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93D73" w14:textId="77777777" w:rsidR="00BA1BB1" w:rsidRPr="005E2FCB" w:rsidRDefault="00BA1BB1" w:rsidP="00E2758D">
      <w:pPr>
        <w:rPr>
          <w:rFonts w:ascii="Times New Roman" w:hAnsi="Times New Roman" w:cs="Times New Roman"/>
          <w:noProof/>
          <w:lang w:val="pl-PL"/>
        </w:rPr>
      </w:pPr>
    </w:p>
    <w:p w14:paraId="12C41CE1" w14:textId="77777777" w:rsidR="007A4070" w:rsidRPr="005E2FCB" w:rsidRDefault="007A4070" w:rsidP="00E2758D">
      <w:pPr>
        <w:rPr>
          <w:lang w:val="pl-PL"/>
        </w:rPr>
      </w:pPr>
    </w:p>
    <w:p w14:paraId="0894A4A1" w14:textId="0596F8C7" w:rsidR="007A4070" w:rsidRPr="005E2FCB" w:rsidRDefault="00BA1BB1" w:rsidP="00E2758D">
      <w:pPr>
        <w:pStyle w:val="DecHTitle"/>
        <w:rPr>
          <w:lang w:val="pl-PL"/>
        </w:rPr>
      </w:pPr>
      <w:r w:rsidRPr="005E2FCB">
        <w:rPr>
          <w:lang w:val="pl-PL"/>
        </w:rPr>
        <w:t>PIERWSZA SEKCJA</w:t>
      </w:r>
    </w:p>
    <w:p w14:paraId="497C7381" w14:textId="28BF2E77" w:rsidR="007A4070" w:rsidRPr="005E2FCB" w:rsidRDefault="007A4070" w:rsidP="00E2758D">
      <w:pPr>
        <w:pStyle w:val="JuTitle"/>
        <w:rPr>
          <w:lang w:val="pl-PL"/>
        </w:rPr>
      </w:pPr>
      <w:r w:rsidRPr="005E2FCB">
        <w:rPr>
          <w:bCs/>
          <w:lang w:val="pl-PL"/>
        </w:rPr>
        <w:t>SPRAWA MAZOWIECKI przeciwko POLSCE</w:t>
      </w:r>
    </w:p>
    <w:p w14:paraId="1BE83BF9" w14:textId="608F32C4" w:rsidR="007A4070" w:rsidRPr="005E2FCB" w:rsidRDefault="007A4070" w:rsidP="00E2758D">
      <w:pPr>
        <w:pStyle w:val="ECHRCoverTitle4"/>
        <w:rPr>
          <w:lang w:val="pl-PL"/>
        </w:rPr>
      </w:pPr>
      <w:r w:rsidRPr="005E2FCB">
        <w:rPr>
          <w:iCs/>
          <w:lang w:val="pl-PL"/>
        </w:rPr>
        <w:t>(</w:t>
      </w:r>
      <w:r w:rsidRPr="005E2FCB">
        <w:rPr>
          <w:iCs/>
          <w:noProof/>
          <w:lang w:val="pl-PL"/>
        </w:rPr>
        <w:t>Skarga nr</w:t>
      </w:r>
      <w:r w:rsidRPr="005E2FCB">
        <w:rPr>
          <w:iCs/>
          <w:lang w:val="pl-PL"/>
        </w:rPr>
        <w:t xml:space="preserve"> 34734/13)</w:t>
      </w:r>
    </w:p>
    <w:p w14:paraId="37517AA7" w14:textId="77777777" w:rsidR="007A4070" w:rsidRPr="005E2FCB" w:rsidRDefault="007A4070" w:rsidP="00E2758D">
      <w:pPr>
        <w:pStyle w:val="DecHCase"/>
        <w:rPr>
          <w:lang w:val="pl-PL"/>
        </w:rPr>
      </w:pPr>
    </w:p>
    <w:p w14:paraId="4BDB1F2D" w14:textId="77777777" w:rsidR="007A4070" w:rsidRPr="005E2FCB" w:rsidRDefault="007A4070" w:rsidP="00E2758D">
      <w:pPr>
        <w:pStyle w:val="DecHCase"/>
        <w:rPr>
          <w:lang w:val="pl-PL"/>
        </w:rPr>
      </w:pPr>
    </w:p>
    <w:p w14:paraId="3047D844" w14:textId="77777777" w:rsidR="007A4070" w:rsidRPr="005E2FCB" w:rsidRDefault="007A4070" w:rsidP="00E2758D">
      <w:pPr>
        <w:pStyle w:val="DecHCase"/>
        <w:rPr>
          <w:lang w:val="pl-PL"/>
        </w:rPr>
      </w:pPr>
    </w:p>
    <w:p w14:paraId="4F407727" w14:textId="77777777" w:rsidR="007A4070" w:rsidRPr="005E2FCB" w:rsidRDefault="007A4070" w:rsidP="00E2758D">
      <w:pPr>
        <w:pStyle w:val="DecHCase"/>
        <w:rPr>
          <w:lang w:val="pl-PL"/>
        </w:rPr>
      </w:pPr>
    </w:p>
    <w:p w14:paraId="7727F3D3" w14:textId="77777777" w:rsidR="007A4070" w:rsidRPr="005E2FCB" w:rsidRDefault="007A4070" w:rsidP="00E2758D">
      <w:pPr>
        <w:pStyle w:val="DecHCase"/>
        <w:rPr>
          <w:lang w:val="pl-PL"/>
        </w:rPr>
      </w:pPr>
    </w:p>
    <w:p w14:paraId="52C1CBA1" w14:textId="77777777" w:rsidR="007A4070" w:rsidRPr="005E2FCB" w:rsidRDefault="007A4070" w:rsidP="00E2758D">
      <w:pPr>
        <w:pStyle w:val="DecHCase"/>
        <w:rPr>
          <w:lang w:val="pl-PL"/>
        </w:rPr>
      </w:pPr>
    </w:p>
    <w:p w14:paraId="6FADC191" w14:textId="2A6C8A7F" w:rsidR="007A4070" w:rsidRPr="005E2FCB" w:rsidRDefault="007A4070" w:rsidP="00E2758D">
      <w:pPr>
        <w:pStyle w:val="DecHCase"/>
        <w:rPr>
          <w:lang w:val="pl-PL"/>
        </w:rPr>
      </w:pPr>
      <w:r w:rsidRPr="005E2FCB">
        <w:rPr>
          <w:lang w:val="pl-PL"/>
        </w:rPr>
        <w:t>WYROK</w:t>
      </w:r>
      <w:r w:rsidRPr="005E2FCB">
        <w:rPr>
          <w:lang w:val="pl-PL"/>
        </w:rPr>
        <w:br/>
      </w:r>
    </w:p>
    <w:p w14:paraId="77E7CEF5" w14:textId="77777777" w:rsidR="007A4070" w:rsidRPr="005E2FCB" w:rsidRDefault="007A4070" w:rsidP="00E2758D">
      <w:pPr>
        <w:pStyle w:val="DecHCase"/>
        <w:rPr>
          <w:lang w:val="pl-PL"/>
        </w:rPr>
      </w:pPr>
      <w:r w:rsidRPr="005E2FCB">
        <w:rPr>
          <w:lang w:val="pl-PL"/>
        </w:rPr>
        <w:t>STRASBURG</w:t>
      </w:r>
    </w:p>
    <w:p w14:paraId="12FB93CE" w14:textId="0AE5BB92" w:rsidR="007A4070" w:rsidRPr="005E2FCB" w:rsidRDefault="00BA1BB1" w:rsidP="00E2758D">
      <w:pPr>
        <w:pStyle w:val="DecHCase"/>
        <w:rPr>
          <w:lang w:val="pl-PL"/>
        </w:rPr>
      </w:pPr>
      <w:r w:rsidRPr="005E2FCB">
        <w:rPr>
          <w:noProof/>
          <w:lang w:val="pl-PL"/>
        </w:rPr>
        <w:t>8 czerwca 2023 r.</w:t>
      </w:r>
    </w:p>
    <w:p w14:paraId="5861F09E" w14:textId="77777777" w:rsidR="007A4070" w:rsidRPr="005E2FCB" w:rsidRDefault="007A4070" w:rsidP="00E2758D">
      <w:pPr>
        <w:pStyle w:val="DecHCase"/>
        <w:rPr>
          <w:lang w:val="pl-PL"/>
        </w:rPr>
      </w:pPr>
    </w:p>
    <w:p w14:paraId="4058D2BD" w14:textId="1C69218F" w:rsidR="00516B59" w:rsidRPr="005E2FCB" w:rsidRDefault="007A4070" w:rsidP="00E2758D">
      <w:pPr>
        <w:rPr>
          <w:rFonts w:ascii="Times New Roman" w:hAnsi="Times New Roman" w:cs="Times New Roman"/>
          <w:i/>
          <w:sz w:val="22"/>
          <w:lang w:val="pl-PL"/>
        </w:rPr>
      </w:pPr>
      <w:r w:rsidRPr="005E2FCB">
        <w:rPr>
          <w:i/>
          <w:iCs/>
          <w:lang w:val="pl-PL"/>
        </w:rPr>
        <w:t xml:space="preserve">Niniejszy wyrok </w:t>
      </w:r>
      <w:r w:rsidRPr="005E2FCB">
        <w:rPr>
          <w:i/>
          <w:iCs/>
          <w:noProof/>
          <w:sz w:val="22"/>
          <w:lang w:val="pl-PL"/>
        </w:rPr>
        <w:t>jest ostateczny</w:t>
      </w:r>
      <w:r w:rsidRPr="005E2FCB">
        <w:rPr>
          <w:i/>
          <w:iCs/>
          <w:sz w:val="22"/>
          <w:lang w:val="pl-PL"/>
        </w:rPr>
        <w:t>. Może podlegać korekcie wydawniczej</w:t>
      </w:r>
      <w:r w:rsidRPr="005E2FCB">
        <w:rPr>
          <w:rFonts w:ascii="Times New Roman" w:hAnsi="Times New Roman"/>
          <w:i/>
          <w:iCs/>
          <w:sz w:val="22"/>
          <w:lang w:val="pl-PL"/>
        </w:rPr>
        <w:t>.</w:t>
      </w:r>
    </w:p>
    <w:p w14:paraId="2A99615F" w14:textId="77777777" w:rsidR="00516B59" w:rsidRPr="005E2FCB" w:rsidRDefault="00516B59" w:rsidP="00E2758D">
      <w:pPr>
        <w:ind w:left="720"/>
        <w:rPr>
          <w:rFonts w:ascii="Times New Roman" w:hAnsi="Times New Roman" w:cs="Times New Roman"/>
          <w:sz w:val="22"/>
          <w:lang w:val="pl-PL"/>
        </w:rPr>
        <w:sectPr w:rsidR="00516B59" w:rsidRPr="005E2FCB" w:rsidSect="00902601">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93942A4" w14:textId="1863C711" w:rsidR="004344E6" w:rsidRPr="005E2FCB" w:rsidRDefault="004344E6" w:rsidP="00E2758D">
      <w:pPr>
        <w:pStyle w:val="JuCase"/>
        <w:rPr>
          <w:lang w:val="pl-PL"/>
        </w:rPr>
      </w:pPr>
      <w:r w:rsidRPr="005E2FCB">
        <w:rPr>
          <w:bCs/>
          <w:lang w:val="pl-PL"/>
        </w:rPr>
        <w:lastRenderedPageBreak/>
        <w:t>W sprawie Mazowiecki przeciwko Polsce</w:t>
      </w:r>
    </w:p>
    <w:p w14:paraId="04BE7236" w14:textId="20405D73" w:rsidR="004344E6" w:rsidRPr="005E2FCB" w:rsidRDefault="004344E6" w:rsidP="00E2758D">
      <w:pPr>
        <w:pStyle w:val="JuPara"/>
        <w:rPr>
          <w:lang w:val="pl-PL"/>
        </w:rPr>
      </w:pPr>
      <w:r w:rsidRPr="005E2FCB">
        <w:rPr>
          <w:lang w:val="pl-PL"/>
        </w:rPr>
        <w:t xml:space="preserve">Europejski Trybunał Praw Człowieka (pierwsza sekcja), zasiadając jako komitet </w:t>
      </w:r>
      <w:r w:rsidRPr="005E2FCB">
        <w:rPr>
          <w:noProof/>
          <w:lang w:val="pl-PL"/>
        </w:rPr>
        <w:t>w składzie:</w:t>
      </w:r>
    </w:p>
    <w:p w14:paraId="193032EC" w14:textId="3773E5A8" w:rsidR="004344E6" w:rsidRPr="005E2FCB" w:rsidRDefault="004B0DE5" w:rsidP="00E2758D">
      <w:pPr>
        <w:pStyle w:val="JuJudges"/>
        <w:rPr>
          <w:lang w:val="pl-PL"/>
        </w:rPr>
      </w:pPr>
      <w:r w:rsidRPr="005E2FCB">
        <w:rPr>
          <w:lang w:val="pl-PL"/>
        </w:rPr>
        <w:tab/>
      </w:r>
      <w:proofErr w:type="spellStart"/>
      <w:r w:rsidRPr="005E2FCB">
        <w:rPr>
          <w:lang w:val="pl-PL"/>
        </w:rPr>
        <w:t>Lətif</w:t>
      </w:r>
      <w:proofErr w:type="spellEnd"/>
      <w:r w:rsidRPr="005E2FCB">
        <w:rPr>
          <w:lang w:val="pl-PL"/>
        </w:rPr>
        <w:t xml:space="preserve"> </w:t>
      </w:r>
      <w:proofErr w:type="spellStart"/>
      <w:r w:rsidRPr="005E2FCB">
        <w:rPr>
          <w:lang w:val="pl-PL"/>
        </w:rPr>
        <w:t>Hüseynov</w:t>
      </w:r>
      <w:proofErr w:type="spellEnd"/>
      <w:r w:rsidRPr="005E2FCB">
        <w:rPr>
          <w:i/>
          <w:iCs/>
          <w:lang w:val="pl-PL"/>
        </w:rPr>
        <w:t xml:space="preserve">, </w:t>
      </w:r>
      <w:r w:rsidR="00950812">
        <w:rPr>
          <w:i/>
          <w:iCs/>
          <w:lang w:val="pl-PL"/>
        </w:rPr>
        <w:t>P</w:t>
      </w:r>
      <w:r w:rsidRPr="005E2FCB">
        <w:rPr>
          <w:i/>
          <w:iCs/>
          <w:lang w:val="pl-PL"/>
        </w:rPr>
        <w:t>rzewodniczący</w:t>
      </w:r>
      <w:r w:rsidRPr="005E2FCB">
        <w:rPr>
          <w:lang w:val="pl-PL"/>
        </w:rPr>
        <w:t>,</w:t>
      </w:r>
      <w:r w:rsidRPr="005E2FCB">
        <w:rPr>
          <w:lang w:val="pl-PL"/>
        </w:rPr>
        <w:br/>
      </w:r>
      <w:r w:rsidRPr="005E2FCB">
        <w:rPr>
          <w:lang w:val="pl-PL"/>
        </w:rPr>
        <w:tab/>
        <w:t xml:space="preserve">Krzysztof </w:t>
      </w:r>
      <w:proofErr w:type="spellStart"/>
      <w:r w:rsidRPr="005E2FCB">
        <w:rPr>
          <w:lang w:val="pl-PL"/>
        </w:rPr>
        <w:t>Wojtyczek</w:t>
      </w:r>
      <w:proofErr w:type="spellEnd"/>
      <w:r w:rsidRPr="005E2FCB">
        <w:rPr>
          <w:lang w:val="pl-PL"/>
        </w:rPr>
        <w:t>,</w:t>
      </w:r>
      <w:r w:rsidRPr="005E2FCB">
        <w:rPr>
          <w:lang w:val="pl-PL"/>
        </w:rPr>
        <w:br/>
      </w:r>
      <w:r w:rsidRPr="005E2FCB">
        <w:rPr>
          <w:lang w:val="pl-PL"/>
        </w:rPr>
        <w:tab/>
        <w:t xml:space="preserve">Erik </w:t>
      </w:r>
      <w:proofErr w:type="spellStart"/>
      <w:r w:rsidRPr="005E2FCB">
        <w:rPr>
          <w:lang w:val="pl-PL"/>
        </w:rPr>
        <w:t>Wennerström</w:t>
      </w:r>
      <w:proofErr w:type="spellEnd"/>
      <w:r w:rsidRPr="005E2FCB">
        <w:rPr>
          <w:i/>
          <w:iCs/>
          <w:lang w:val="pl-PL"/>
        </w:rPr>
        <w:t>, sędziowie</w:t>
      </w:r>
      <w:r w:rsidRPr="005E2FCB">
        <w:rPr>
          <w:lang w:val="pl-PL"/>
        </w:rPr>
        <w:t>,</w:t>
      </w:r>
      <w:r w:rsidRPr="005E2FCB">
        <w:rPr>
          <w:lang w:val="pl-PL"/>
        </w:rPr>
        <w:br/>
        <w:t xml:space="preserve">oraz </w:t>
      </w:r>
      <w:r w:rsidRPr="005E2FCB">
        <w:rPr>
          <w:noProof/>
          <w:lang w:val="pl-PL"/>
        </w:rPr>
        <w:t>Attila Teplán</w:t>
      </w:r>
      <w:r w:rsidRPr="005E2FCB">
        <w:rPr>
          <w:lang w:val="pl-PL"/>
        </w:rPr>
        <w:t xml:space="preserve">, </w:t>
      </w:r>
      <w:r w:rsidRPr="005E2FCB">
        <w:rPr>
          <w:i/>
          <w:iCs/>
          <w:noProof/>
          <w:lang w:val="pl-PL"/>
        </w:rPr>
        <w:t xml:space="preserve">p.o. </w:t>
      </w:r>
      <w:r w:rsidR="00950812">
        <w:rPr>
          <w:i/>
          <w:iCs/>
          <w:noProof/>
          <w:lang w:val="pl-PL"/>
        </w:rPr>
        <w:t>Z</w:t>
      </w:r>
      <w:r w:rsidRPr="005E2FCB">
        <w:rPr>
          <w:i/>
          <w:iCs/>
          <w:noProof/>
          <w:lang w:val="pl-PL"/>
        </w:rPr>
        <w:t xml:space="preserve">astępcy </w:t>
      </w:r>
      <w:r w:rsidR="00950812">
        <w:rPr>
          <w:i/>
          <w:iCs/>
          <w:noProof/>
          <w:lang w:val="pl-PL"/>
        </w:rPr>
        <w:t>K</w:t>
      </w:r>
      <w:r w:rsidRPr="005E2FCB">
        <w:rPr>
          <w:i/>
          <w:iCs/>
          <w:noProof/>
          <w:lang w:val="pl-PL"/>
        </w:rPr>
        <w:t>anclerza sekcji</w:t>
      </w:r>
      <w:r w:rsidRPr="005E2FCB">
        <w:rPr>
          <w:lang w:val="pl-PL"/>
        </w:rPr>
        <w:t>,</w:t>
      </w:r>
    </w:p>
    <w:p w14:paraId="691E4F24" w14:textId="74E7E43C" w:rsidR="00BA1BB1" w:rsidRPr="005E2FCB" w:rsidRDefault="00BA1BB1" w:rsidP="00E2758D">
      <w:pPr>
        <w:pStyle w:val="JuPara"/>
        <w:rPr>
          <w:lang w:val="pl-PL"/>
        </w:rPr>
      </w:pPr>
      <w:r w:rsidRPr="005E2FCB">
        <w:rPr>
          <w:lang w:val="pl-PL"/>
        </w:rPr>
        <w:t>uwzględniając skargę (nr 34734/13) przeciwko Rzeczypospolitej Polskiej wniesioną do Trybunału</w:t>
      </w:r>
      <w:r w:rsidRPr="005E2FCB">
        <w:rPr>
          <w:color w:val="0072BC" w:themeColor="background1"/>
          <w:lang w:val="pl-PL"/>
        </w:rPr>
        <w:t xml:space="preserve"> </w:t>
      </w:r>
      <w:r w:rsidRPr="005E2FCB">
        <w:rPr>
          <w:lang w:val="pl-PL"/>
        </w:rPr>
        <w:t xml:space="preserve">na podstawie art. 34 Konwencji o ochronie praw człowieka i podstawowych wolności („Konwencja”) w dniu 22 maja 2013 r. przez obywatela tego państwa, </w:t>
      </w:r>
      <w:r w:rsidR="00950812">
        <w:rPr>
          <w:lang w:val="pl-PL"/>
        </w:rPr>
        <w:t xml:space="preserve">p. </w:t>
      </w:r>
      <w:r w:rsidRPr="005E2FCB">
        <w:rPr>
          <w:lang w:val="pl-PL"/>
        </w:rPr>
        <w:t>Mieczysława Mazowieckiego („skarżący”), urodzonego w 1980 r. i zamieszkałego w Połczynie-Zdroju,</w:t>
      </w:r>
    </w:p>
    <w:p w14:paraId="4ACEF5E3" w14:textId="0A47EA9D" w:rsidR="00BA1BB1" w:rsidRPr="005E2FCB" w:rsidRDefault="00BA1BB1" w:rsidP="00E2758D">
      <w:pPr>
        <w:pStyle w:val="JuPara"/>
        <w:rPr>
          <w:lang w:val="pl-PL"/>
        </w:rPr>
      </w:pPr>
      <w:r w:rsidRPr="005E2FCB">
        <w:rPr>
          <w:lang w:val="pl-PL"/>
        </w:rPr>
        <w:t xml:space="preserve">uwzględniając decyzję o </w:t>
      </w:r>
      <w:r w:rsidR="00950812">
        <w:rPr>
          <w:lang w:val="pl-PL"/>
        </w:rPr>
        <w:t xml:space="preserve">zakomunikowaniu </w:t>
      </w:r>
      <w:r w:rsidRPr="005E2FCB">
        <w:rPr>
          <w:lang w:val="pl-PL"/>
        </w:rPr>
        <w:t>Rząd</w:t>
      </w:r>
      <w:r w:rsidR="00950812">
        <w:rPr>
          <w:lang w:val="pl-PL"/>
        </w:rPr>
        <w:t>owi</w:t>
      </w:r>
      <w:r w:rsidRPr="005E2FCB">
        <w:rPr>
          <w:lang w:val="pl-PL"/>
        </w:rPr>
        <w:t xml:space="preserve"> Rzeczypospolitej Polskiej („Rząd”), reprezentowane</w:t>
      </w:r>
      <w:r w:rsidR="00950812">
        <w:rPr>
          <w:lang w:val="pl-PL"/>
        </w:rPr>
        <w:t>mu</w:t>
      </w:r>
      <w:r w:rsidRPr="005E2FCB">
        <w:rPr>
          <w:lang w:val="pl-PL"/>
        </w:rPr>
        <w:t xml:space="preserve"> przez jego pełnomocnika, </w:t>
      </w:r>
      <w:r w:rsidR="0093088D">
        <w:rPr>
          <w:lang w:val="pl-PL"/>
        </w:rPr>
        <w:t xml:space="preserve">p. </w:t>
      </w:r>
      <w:r w:rsidRPr="005E2FCB">
        <w:rPr>
          <w:lang w:val="pl-PL"/>
        </w:rPr>
        <w:t xml:space="preserve">J. Sobczaka z Ministerstwa Spraw Zagranicznych, skargi </w:t>
      </w:r>
      <w:r w:rsidR="0093088D">
        <w:rPr>
          <w:lang w:val="pl-PL"/>
        </w:rPr>
        <w:t>w zakresie dotyczącym</w:t>
      </w:r>
      <w:r w:rsidRPr="005E2FCB">
        <w:rPr>
          <w:lang w:val="pl-PL"/>
        </w:rPr>
        <w:t xml:space="preserve"> art. 8 Konwencji oraz o uznaniu skargi za niedopuszczalną w</w:t>
      </w:r>
      <w:r w:rsidR="00FA4E5E" w:rsidRPr="005E2FCB">
        <w:rPr>
          <w:lang w:val="pl-PL"/>
        </w:rPr>
        <w:t> </w:t>
      </w:r>
      <w:r w:rsidRPr="005E2FCB">
        <w:rPr>
          <w:lang w:val="pl-PL"/>
        </w:rPr>
        <w:t>pozostałym zakresie,</w:t>
      </w:r>
    </w:p>
    <w:p w14:paraId="00BBEF31" w14:textId="77777777" w:rsidR="00BA1BB1" w:rsidRPr="005E2FCB" w:rsidRDefault="00BA1BB1" w:rsidP="00E2758D">
      <w:pPr>
        <w:pStyle w:val="JuPara"/>
        <w:rPr>
          <w:lang w:val="pl-PL"/>
        </w:rPr>
      </w:pPr>
      <w:r w:rsidRPr="005E2FCB">
        <w:rPr>
          <w:lang w:val="pl-PL"/>
        </w:rPr>
        <w:t>uwzględniając uwagi Rządu,</w:t>
      </w:r>
    </w:p>
    <w:p w14:paraId="44D3E997" w14:textId="14721C48" w:rsidR="004344E6" w:rsidRPr="005E2FCB" w:rsidRDefault="004344E6" w:rsidP="00E2758D">
      <w:pPr>
        <w:pStyle w:val="JuPara"/>
        <w:rPr>
          <w:lang w:val="pl-PL"/>
        </w:rPr>
      </w:pPr>
      <w:r w:rsidRPr="005E2FCB">
        <w:rPr>
          <w:lang w:val="pl-PL"/>
        </w:rPr>
        <w:t>obradując na posiedzeniu zamkniętym rady w dniu 16 maja 2023 r.,</w:t>
      </w:r>
    </w:p>
    <w:p w14:paraId="10B527F1" w14:textId="4D60E056" w:rsidR="00876F03" w:rsidRPr="005E2FCB" w:rsidRDefault="004344E6" w:rsidP="00E2758D">
      <w:pPr>
        <w:pStyle w:val="JuPara"/>
        <w:rPr>
          <w:lang w:val="pl-PL"/>
        </w:rPr>
      </w:pPr>
      <w:r w:rsidRPr="005E2FCB">
        <w:rPr>
          <w:lang w:val="pl-PL"/>
        </w:rPr>
        <w:t>wydaje następujący wyrok, który został przyjęty w tym dniu:</w:t>
      </w:r>
    </w:p>
    <w:p w14:paraId="10C9FE94" w14:textId="2A85F036" w:rsidR="00BA1BB1" w:rsidRPr="005E2FCB" w:rsidRDefault="00BA1BB1" w:rsidP="00E2758D">
      <w:pPr>
        <w:pStyle w:val="JuHHead"/>
        <w:rPr>
          <w:lang w:val="pl-PL"/>
        </w:rPr>
      </w:pPr>
      <w:r w:rsidRPr="005E2FCB">
        <w:rPr>
          <w:bCs w:val="0"/>
          <w:lang w:val="pl-PL"/>
        </w:rPr>
        <w:t>PRZEDMIOT SPRAWY</w:t>
      </w:r>
    </w:p>
    <w:p w14:paraId="303825D2" w14:textId="5E68CA9D" w:rsidR="00BA1BB1" w:rsidRPr="005E2FCB" w:rsidRDefault="00000000" w:rsidP="00E2758D">
      <w:pPr>
        <w:pStyle w:val="JuPara"/>
        <w:rPr>
          <w:lang w:val="pl-PL"/>
        </w:rPr>
      </w:pPr>
      <w:r w:rsidRPr="005E2FCB">
        <w:rPr>
          <w:noProof/>
          <w:lang w:val="pl-PL"/>
        </w:rPr>
        <w:fldChar w:fldCharType="begin"/>
      </w:r>
      <w:r w:rsidRPr="005E2FCB">
        <w:rPr>
          <w:noProof/>
          <w:lang w:val="pl-PL"/>
        </w:rPr>
        <w:instrText xml:space="preserve"> SEQ level0 \*arabic \* MERGEFORMAT </w:instrText>
      </w:r>
      <w:r w:rsidRPr="005E2FCB">
        <w:rPr>
          <w:noProof/>
          <w:lang w:val="pl-PL"/>
        </w:rPr>
        <w:fldChar w:fldCharType="separate"/>
      </w:r>
      <w:r w:rsidRPr="005E2FCB">
        <w:rPr>
          <w:noProof/>
          <w:lang w:val="pl-PL"/>
        </w:rPr>
        <w:t>1</w:t>
      </w:r>
      <w:r w:rsidRPr="005E2FCB">
        <w:rPr>
          <w:noProof/>
          <w:lang w:val="pl-PL"/>
        </w:rPr>
        <w:fldChar w:fldCharType="end"/>
      </w:r>
      <w:r w:rsidRPr="005E2FCB">
        <w:rPr>
          <w:lang w:val="pl-PL"/>
        </w:rPr>
        <w:t>.  Sprawa dotyczy przeszukania domu skarżącego w związku z</w:t>
      </w:r>
      <w:r w:rsidR="00FA4E5E" w:rsidRPr="005E2FCB">
        <w:rPr>
          <w:lang w:val="pl-PL"/>
        </w:rPr>
        <w:t> </w:t>
      </w:r>
      <w:r w:rsidR="005F5242" w:rsidRPr="005F5242">
        <w:rPr>
          <w:lang w:val="pl-PL"/>
        </w:rPr>
        <w:t>postępowanie</w:t>
      </w:r>
      <w:r w:rsidR="005F5242">
        <w:rPr>
          <w:lang w:val="pl-PL"/>
        </w:rPr>
        <w:t>m</w:t>
      </w:r>
      <w:r w:rsidR="005F5242" w:rsidRPr="005F5242">
        <w:rPr>
          <w:lang w:val="pl-PL"/>
        </w:rPr>
        <w:t xml:space="preserve"> przygotowawcz</w:t>
      </w:r>
      <w:r w:rsidR="005F5242">
        <w:rPr>
          <w:lang w:val="pl-PL"/>
        </w:rPr>
        <w:t xml:space="preserve">ym </w:t>
      </w:r>
      <w:r w:rsidRPr="005E2FCB">
        <w:rPr>
          <w:lang w:val="pl-PL"/>
        </w:rPr>
        <w:t xml:space="preserve">wszczętym przez </w:t>
      </w:r>
      <w:r w:rsidR="0093088D">
        <w:rPr>
          <w:lang w:val="pl-PL"/>
        </w:rPr>
        <w:t>organy</w:t>
      </w:r>
      <w:r w:rsidRPr="005E2FCB">
        <w:rPr>
          <w:lang w:val="pl-PL"/>
        </w:rPr>
        <w:t xml:space="preserve"> krajowe na wniosek A.M., </w:t>
      </w:r>
      <w:r w:rsidR="0093088D">
        <w:rPr>
          <w:lang w:val="pl-PL"/>
        </w:rPr>
        <w:t>wówczas</w:t>
      </w:r>
      <w:r w:rsidRPr="005E2FCB">
        <w:rPr>
          <w:lang w:val="pl-PL"/>
        </w:rPr>
        <w:t xml:space="preserve"> żony skarżącego – w</w:t>
      </w:r>
      <w:r w:rsidR="004A6BED">
        <w:rPr>
          <w:lang w:val="pl-PL"/>
        </w:rPr>
        <w:t> </w:t>
      </w:r>
      <w:r w:rsidRPr="005E2FCB">
        <w:rPr>
          <w:lang w:val="pl-PL"/>
        </w:rPr>
        <w:t>czasie istotny</w:t>
      </w:r>
      <w:r w:rsidR="0093088D">
        <w:rPr>
          <w:lang w:val="pl-PL"/>
        </w:rPr>
        <w:t>m</w:t>
      </w:r>
      <w:r w:rsidRPr="005E2FCB">
        <w:rPr>
          <w:lang w:val="pl-PL"/>
        </w:rPr>
        <w:t xml:space="preserve"> dla sprawy para była w trakcie rozwodu.</w:t>
      </w:r>
    </w:p>
    <w:p w14:paraId="750FA9A6" w14:textId="4FF170BF"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2</w:t>
      </w:r>
      <w:r w:rsidRPr="005E2FCB">
        <w:rPr>
          <w:noProof/>
          <w:lang w:val="pl-PL"/>
        </w:rPr>
        <w:fldChar w:fldCharType="end"/>
      </w:r>
      <w:r w:rsidR="00E2758D" w:rsidRPr="005E2FCB">
        <w:rPr>
          <w:lang w:val="pl-PL"/>
        </w:rPr>
        <w:t>.  W dniu 11 października 2012 r. A.M. poinformowała policję, że podejrzewa, iż skarżący ukradł klucze do jej mieszkania oraz egzemplarz aktu notarialnego umowy darowizny przedmiotowego mieszkania.</w:t>
      </w:r>
    </w:p>
    <w:p w14:paraId="74EC46A1" w14:textId="0D8ADD05"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3</w:t>
      </w:r>
      <w:r w:rsidRPr="005E2FCB">
        <w:rPr>
          <w:noProof/>
          <w:lang w:val="pl-PL"/>
        </w:rPr>
        <w:fldChar w:fldCharType="end"/>
      </w:r>
      <w:r w:rsidR="00E2758D" w:rsidRPr="005E2FCB">
        <w:rPr>
          <w:lang w:val="pl-PL"/>
        </w:rPr>
        <w:t>.  Tego samego dnia policja przeprowadziła przeszukanie w domu skarżącego pod jego nieobecność.</w:t>
      </w:r>
    </w:p>
    <w:p w14:paraId="275E7C1C" w14:textId="66C46022"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bookmarkStart w:id="0" w:name="paragraph00004"/>
      <w:r w:rsidR="00E2758D" w:rsidRPr="005E2FCB">
        <w:rPr>
          <w:noProof/>
          <w:lang w:val="pl-PL"/>
        </w:rPr>
        <w:t>4</w:t>
      </w:r>
      <w:bookmarkEnd w:id="0"/>
      <w:r w:rsidRPr="005E2FCB">
        <w:rPr>
          <w:noProof/>
          <w:lang w:val="pl-PL"/>
        </w:rPr>
        <w:fldChar w:fldCharType="end"/>
      </w:r>
      <w:r w:rsidR="00E2758D" w:rsidRPr="005E2FCB">
        <w:rPr>
          <w:lang w:val="pl-PL"/>
        </w:rPr>
        <w:t xml:space="preserve">.  W trakcie przeszukania funkcjonariusze </w:t>
      </w:r>
      <w:r w:rsidR="00B5419C">
        <w:rPr>
          <w:lang w:val="pl-PL"/>
        </w:rPr>
        <w:t>zatrzymali</w:t>
      </w:r>
      <w:r w:rsidR="00E2758D" w:rsidRPr="005E2FCB">
        <w:rPr>
          <w:lang w:val="pl-PL"/>
        </w:rPr>
        <w:t xml:space="preserve"> trzy komplety kluczy oraz szereg dokumentów, w tym egzemplarz wniosku o</w:t>
      </w:r>
      <w:r w:rsidR="00FA4E5E" w:rsidRPr="005E2FCB">
        <w:rPr>
          <w:lang w:val="pl-PL"/>
        </w:rPr>
        <w:t> </w:t>
      </w:r>
      <w:r w:rsidR="00E2758D" w:rsidRPr="005E2FCB">
        <w:rPr>
          <w:lang w:val="pl-PL"/>
        </w:rPr>
        <w:t xml:space="preserve">wymeldowanie skarżącego w drodze decyzji administracyjnej z mieszkania A.M., złożonego </w:t>
      </w:r>
      <w:r w:rsidR="003E2EE6">
        <w:rPr>
          <w:lang w:val="pl-PL"/>
        </w:rPr>
        <w:t xml:space="preserve">przez nią </w:t>
      </w:r>
      <w:r w:rsidR="00E2758D" w:rsidRPr="005E2FCB">
        <w:rPr>
          <w:lang w:val="pl-PL"/>
        </w:rPr>
        <w:t xml:space="preserve">we właściwym organie administracyjnym </w:t>
      </w:r>
      <w:r w:rsidR="00B5419C">
        <w:rPr>
          <w:lang w:val="pl-PL"/>
        </w:rPr>
        <w:br/>
      </w:r>
      <w:r w:rsidR="00E2758D" w:rsidRPr="005E2FCB">
        <w:rPr>
          <w:lang w:val="pl-PL"/>
        </w:rPr>
        <w:t>5 września 2012 r., egzemplarz wyżej wspomnianego aktu notarialnego (którego egzemplarz został dołączony do wyżej wspomnianego wniosku A.M.), a</w:t>
      </w:r>
      <w:r w:rsidR="00FA4E5E" w:rsidRPr="005E2FCB">
        <w:rPr>
          <w:lang w:val="pl-PL"/>
        </w:rPr>
        <w:t> </w:t>
      </w:r>
      <w:r w:rsidR="00E2758D" w:rsidRPr="005E2FCB">
        <w:rPr>
          <w:lang w:val="pl-PL"/>
        </w:rPr>
        <w:t xml:space="preserve">także egzemplarze trzech wezwań sądowych, których inne kopie zostały dołączone przez A.M. do akt </w:t>
      </w:r>
      <w:r w:rsidR="00B5419C">
        <w:rPr>
          <w:lang w:val="pl-PL"/>
        </w:rPr>
        <w:t>sprawy</w:t>
      </w:r>
      <w:r w:rsidR="00E2758D" w:rsidRPr="005E2FCB">
        <w:rPr>
          <w:lang w:val="pl-PL"/>
        </w:rPr>
        <w:t xml:space="preserve"> rozwodow</w:t>
      </w:r>
      <w:r w:rsidR="00B5419C">
        <w:rPr>
          <w:lang w:val="pl-PL"/>
        </w:rPr>
        <w:t>ej</w:t>
      </w:r>
      <w:r w:rsidR="00E2758D" w:rsidRPr="005E2FCB">
        <w:rPr>
          <w:lang w:val="pl-PL"/>
        </w:rPr>
        <w:t xml:space="preserve"> pary.</w:t>
      </w:r>
    </w:p>
    <w:p w14:paraId="6ECC0E1E" w14:textId="2A343A0B"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bookmarkStart w:id="1" w:name="paragraph00005"/>
      <w:r w:rsidR="00E2758D" w:rsidRPr="005E2FCB">
        <w:rPr>
          <w:noProof/>
          <w:lang w:val="pl-PL"/>
        </w:rPr>
        <w:t>5</w:t>
      </w:r>
      <w:bookmarkEnd w:id="1"/>
      <w:r w:rsidRPr="005E2FCB">
        <w:rPr>
          <w:noProof/>
          <w:lang w:val="pl-PL"/>
        </w:rPr>
        <w:fldChar w:fldCharType="end"/>
      </w:r>
      <w:r w:rsidR="00E2758D" w:rsidRPr="005E2FCB">
        <w:rPr>
          <w:lang w:val="pl-PL"/>
        </w:rPr>
        <w:t xml:space="preserve">.  W dniu 16 października 2012 r. władze wszczęły </w:t>
      </w:r>
      <w:r w:rsidR="005F5242">
        <w:rPr>
          <w:lang w:val="pl-PL"/>
        </w:rPr>
        <w:t>postępowanie przygotowawcze</w:t>
      </w:r>
      <w:r w:rsidR="005F5242" w:rsidRPr="005E2FCB" w:rsidDel="005F5242">
        <w:rPr>
          <w:lang w:val="pl-PL"/>
        </w:rPr>
        <w:t xml:space="preserve"> </w:t>
      </w:r>
      <w:r w:rsidR="00E2758D" w:rsidRPr="005E2FCB">
        <w:rPr>
          <w:lang w:val="pl-PL"/>
        </w:rPr>
        <w:t>w</w:t>
      </w:r>
      <w:r w:rsidR="00FA4E5E" w:rsidRPr="005E2FCB">
        <w:rPr>
          <w:lang w:val="pl-PL"/>
        </w:rPr>
        <w:t> </w:t>
      </w:r>
      <w:r w:rsidR="00E2758D" w:rsidRPr="005E2FCB">
        <w:rPr>
          <w:lang w:val="pl-PL"/>
        </w:rPr>
        <w:t>sprawie zarzut</w:t>
      </w:r>
      <w:r w:rsidR="006D035E">
        <w:rPr>
          <w:lang w:val="pl-PL"/>
        </w:rPr>
        <w:t>u</w:t>
      </w:r>
      <w:r w:rsidR="00E2758D" w:rsidRPr="005E2FCB">
        <w:rPr>
          <w:lang w:val="pl-PL"/>
        </w:rPr>
        <w:t xml:space="preserve"> kradzieży wyżej wymienionego aktu notarialnego, przestępstwa podlegającego karze z art. 276 </w:t>
      </w:r>
      <w:r w:rsidR="00B5419C">
        <w:rPr>
          <w:lang w:val="pl-PL"/>
        </w:rPr>
        <w:t>K</w:t>
      </w:r>
      <w:r w:rsidR="00E2758D" w:rsidRPr="005E2FCB">
        <w:rPr>
          <w:lang w:val="pl-PL"/>
        </w:rPr>
        <w:t>odeksu karnego („k.k.”).</w:t>
      </w:r>
    </w:p>
    <w:p w14:paraId="1A8D787B" w14:textId="0B54125E" w:rsidR="00BA1BB1" w:rsidRPr="005E2FCB" w:rsidRDefault="00000000" w:rsidP="00E2758D">
      <w:pPr>
        <w:pStyle w:val="JuPara"/>
        <w:rPr>
          <w:lang w:val="pl-PL"/>
        </w:rPr>
      </w:pPr>
      <w:r w:rsidRPr="005E2FCB">
        <w:rPr>
          <w:lang w:val="pl-PL"/>
        </w:rPr>
        <w:lastRenderedPageBreak/>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6</w:t>
      </w:r>
      <w:r w:rsidRPr="005E2FCB">
        <w:rPr>
          <w:noProof/>
          <w:lang w:val="pl-PL"/>
        </w:rPr>
        <w:fldChar w:fldCharType="end"/>
      </w:r>
      <w:r w:rsidR="00E2758D" w:rsidRPr="005E2FCB">
        <w:rPr>
          <w:lang w:val="pl-PL"/>
        </w:rPr>
        <w:t xml:space="preserve">.  W dniu 18 października 2012 r. prokurator </w:t>
      </w:r>
      <w:r w:rsidR="008D5E7A">
        <w:rPr>
          <w:lang w:val="pl-PL"/>
        </w:rPr>
        <w:t>rejonowy</w:t>
      </w:r>
      <w:r w:rsidR="00E2758D" w:rsidRPr="005E2FCB">
        <w:rPr>
          <w:lang w:val="pl-PL"/>
        </w:rPr>
        <w:t xml:space="preserve"> w Poznaniu zatwierdził przeszukanie, uznając, że środek ten był uzasadniony pilnością i</w:t>
      </w:r>
      <w:r w:rsidR="00FA4E5E" w:rsidRPr="005E2FCB">
        <w:rPr>
          <w:lang w:val="pl-PL"/>
        </w:rPr>
        <w:t> </w:t>
      </w:r>
      <w:r w:rsidR="00E2758D" w:rsidRPr="005E2FCB">
        <w:rPr>
          <w:lang w:val="pl-PL"/>
        </w:rPr>
        <w:t xml:space="preserve">był konieczny, aby zapobiec ryzyku manipulowania dowodami w toczącym się </w:t>
      </w:r>
      <w:r w:rsidR="005F5242" w:rsidRPr="005F5242">
        <w:rPr>
          <w:lang w:val="pl-PL"/>
        </w:rPr>
        <w:t>postępowani</w:t>
      </w:r>
      <w:r w:rsidR="005F5242">
        <w:rPr>
          <w:lang w:val="pl-PL"/>
        </w:rPr>
        <w:t>u</w:t>
      </w:r>
      <w:r w:rsidR="005F5242" w:rsidRPr="005F5242">
        <w:rPr>
          <w:lang w:val="pl-PL"/>
        </w:rPr>
        <w:t xml:space="preserve"> przygotowawcz</w:t>
      </w:r>
      <w:r w:rsidR="005F5242">
        <w:rPr>
          <w:lang w:val="pl-PL"/>
        </w:rPr>
        <w:t>ym</w:t>
      </w:r>
      <w:r w:rsidR="00E2758D" w:rsidRPr="005E2FCB">
        <w:rPr>
          <w:lang w:val="pl-PL"/>
        </w:rPr>
        <w:t>.</w:t>
      </w:r>
    </w:p>
    <w:p w14:paraId="6AF93BF2" w14:textId="2D082574"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bookmarkStart w:id="2" w:name="paragraph00007"/>
      <w:r w:rsidR="00E2758D" w:rsidRPr="005E2FCB">
        <w:rPr>
          <w:noProof/>
          <w:lang w:val="pl-PL"/>
        </w:rPr>
        <w:t>7</w:t>
      </w:r>
      <w:bookmarkEnd w:id="2"/>
      <w:r w:rsidRPr="005E2FCB">
        <w:rPr>
          <w:noProof/>
          <w:lang w:val="pl-PL"/>
        </w:rPr>
        <w:fldChar w:fldCharType="end"/>
      </w:r>
      <w:r w:rsidR="00E2758D" w:rsidRPr="005E2FCB">
        <w:rPr>
          <w:lang w:val="pl-PL"/>
        </w:rPr>
        <w:t xml:space="preserve">.  Postanowieniem z dnia 19 listopada 2012 r. Sąd Rejonowy Poznań – Nowe Miasto i Wilda w Poznaniu, orzekając w przedmiocie </w:t>
      </w:r>
      <w:r w:rsidR="008D5E7A">
        <w:rPr>
          <w:lang w:val="pl-PL"/>
        </w:rPr>
        <w:t>zażalenia</w:t>
      </w:r>
      <w:r w:rsidR="00E2758D" w:rsidRPr="005E2FCB">
        <w:rPr>
          <w:lang w:val="pl-PL"/>
        </w:rPr>
        <w:t xml:space="preserve"> wniesione</w:t>
      </w:r>
      <w:r w:rsidR="008D5E7A">
        <w:rPr>
          <w:lang w:val="pl-PL"/>
        </w:rPr>
        <w:t>go</w:t>
      </w:r>
      <w:r w:rsidR="00E2758D" w:rsidRPr="005E2FCB">
        <w:rPr>
          <w:lang w:val="pl-PL"/>
        </w:rPr>
        <w:t xml:space="preserve"> przez skarżącego </w:t>
      </w:r>
      <w:r w:rsidR="008D5E7A">
        <w:rPr>
          <w:lang w:val="pl-PL"/>
        </w:rPr>
        <w:t>1</w:t>
      </w:r>
      <w:r w:rsidR="00E2758D" w:rsidRPr="005E2FCB">
        <w:rPr>
          <w:lang w:val="pl-PL"/>
        </w:rPr>
        <w:t>5 października 2012 r., utrzymał w</w:t>
      </w:r>
      <w:r w:rsidR="00396D7B">
        <w:rPr>
          <w:lang w:val="pl-PL"/>
        </w:rPr>
        <w:t> </w:t>
      </w:r>
      <w:r w:rsidR="00E2758D" w:rsidRPr="005E2FCB">
        <w:rPr>
          <w:lang w:val="pl-PL"/>
        </w:rPr>
        <w:t xml:space="preserve">mocy zastosowane wobec niego środki. </w:t>
      </w:r>
      <w:r w:rsidR="008D5E7A">
        <w:rPr>
          <w:lang w:val="pl-PL"/>
        </w:rPr>
        <w:t>W uzasadnieniu</w:t>
      </w:r>
      <w:r w:rsidR="00E2758D" w:rsidRPr="005E2FCB">
        <w:rPr>
          <w:lang w:val="pl-PL"/>
        </w:rPr>
        <w:t xml:space="preserve"> swojej decyzji przytoczył odpowiednie przepisy art. 220 § 3 i </w:t>
      </w:r>
      <w:r w:rsidR="00396D7B">
        <w:rPr>
          <w:lang w:val="pl-PL"/>
        </w:rPr>
        <w:t>art. </w:t>
      </w:r>
      <w:r w:rsidR="00E2758D" w:rsidRPr="005E2FCB">
        <w:rPr>
          <w:lang w:val="pl-PL"/>
        </w:rPr>
        <w:t xml:space="preserve">219 </w:t>
      </w:r>
      <w:r w:rsidR="008D5E7A">
        <w:rPr>
          <w:lang w:val="pl-PL"/>
        </w:rPr>
        <w:t>K</w:t>
      </w:r>
      <w:r w:rsidR="00E2758D" w:rsidRPr="005E2FCB">
        <w:rPr>
          <w:lang w:val="pl-PL"/>
        </w:rPr>
        <w:t>odeksu postępowania karnego („k.p.k.”), które z jednej strony określa</w:t>
      </w:r>
      <w:r w:rsidR="00396D7B">
        <w:rPr>
          <w:lang w:val="pl-PL"/>
        </w:rPr>
        <w:t>ją</w:t>
      </w:r>
      <w:r w:rsidR="00E2758D" w:rsidRPr="005E2FCB">
        <w:rPr>
          <w:lang w:val="pl-PL"/>
        </w:rPr>
        <w:t xml:space="preserve"> prawo Policji do przeprowadzenia przeszukania bez uprzedniej zgody sądu w wypadkach niecierpiących zwłoki i gdy Policja nie mo</w:t>
      </w:r>
      <w:r w:rsidR="00396D7B">
        <w:rPr>
          <w:lang w:val="pl-PL"/>
        </w:rPr>
        <w:t>że</w:t>
      </w:r>
      <w:r w:rsidR="00E2758D" w:rsidRPr="005E2FCB">
        <w:rPr>
          <w:lang w:val="pl-PL"/>
        </w:rPr>
        <w:t xml:space="preserve"> uzyskać takiej zgody, a po drugie, stanowi</w:t>
      </w:r>
      <w:r w:rsidR="00396D7B">
        <w:rPr>
          <w:lang w:val="pl-PL"/>
        </w:rPr>
        <w:t>ą</w:t>
      </w:r>
      <w:r w:rsidR="00E2758D" w:rsidRPr="005E2FCB">
        <w:rPr>
          <w:lang w:val="pl-PL"/>
        </w:rPr>
        <w:t xml:space="preserve">, że przeszukania można dokonać w celu zebrania dowodów istotnych dla toczącego się </w:t>
      </w:r>
      <w:r w:rsidR="005F5242" w:rsidRPr="005F5242">
        <w:rPr>
          <w:lang w:val="pl-PL"/>
        </w:rPr>
        <w:t>postępowani</w:t>
      </w:r>
      <w:r w:rsidR="005F5242">
        <w:rPr>
          <w:lang w:val="pl-PL"/>
        </w:rPr>
        <w:t>a</w:t>
      </w:r>
      <w:r w:rsidR="005F5242" w:rsidRPr="005F5242">
        <w:rPr>
          <w:lang w:val="pl-PL"/>
        </w:rPr>
        <w:t xml:space="preserve"> </w:t>
      </w:r>
      <w:r w:rsidR="00C80B84">
        <w:rPr>
          <w:lang w:val="pl-PL"/>
        </w:rPr>
        <w:t>karnego</w:t>
      </w:r>
      <w:r w:rsidR="00E2758D" w:rsidRPr="005E2FCB">
        <w:rPr>
          <w:lang w:val="pl-PL"/>
        </w:rPr>
        <w:t>, pod warunkiem</w:t>
      </w:r>
      <w:r w:rsidR="00614770">
        <w:rPr>
          <w:lang w:val="pl-PL"/>
        </w:rPr>
        <w:t>,</w:t>
      </w:r>
      <w:r w:rsidR="00E2758D" w:rsidRPr="005E2FCB">
        <w:rPr>
          <w:lang w:val="pl-PL"/>
        </w:rPr>
        <w:t xml:space="preserve"> że istnieją uzasadnione podstawy do przypuszczenia, że poszukiwane dowody znajdują się w miejscu objętym takim środkiem. Sąd wyjaśnił ponadto, że środek zaskarżony przez skarżącego był uzasadniony potrzebą zweryfikowania przez Policję zasadności zarzutów A.M., </w:t>
      </w:r>
      <w:r w:rsidR="00352D4C">
        <w:rPr>
          <w:lang w:val="pl-PL"/>
        </w:rPr>
        <w:t xml:space="preserve">zgodnie z </w:t>
      </w:r>
      <w:r w:rsidR="00E2758D" w:rsidRPr="005E2FCB">
        <w:rPr>
          <w:lang w:val="pl-PL"/>
        </w:rPr>
        <w:t>któr</w:t>
      </w:r>
      <w:r w:rsidR="00352D4C">
        <w:rPr>
          <w:lang w:val="pl-PL"/>
        </w:rPr>
        <w:t>ymi</w:t>
      </w:r>
      <w:r w:rsidR="00E2758D" w:rsidRPr="005E2FCB">
        <w:rPr>
          <w:lang w:val="pl-PL"/>
        </w:rPr>
        <w:t xml:space="preserve"> skarżący popełnił przestępstwo </w:t>
      </w:r>
      <w:r w:rsidR="00352D4C">
        <w:rPr>
          <w:lang w:val="pl-PL"/>
        </w:rPr>
        <w:t>z</w:t>
      </w:r>
      <w:r w:rsidR="00E2758D" w:rsidRPr="005E2FCB">
        <w:rPr>
          <w:lang w:val="pl-PL"/>
        </w:rPr>
        <w:t xml:space="preserve"> art. 276 k.k.</w:t>
      </w:r>
    </w:p>
    <w:p w14:paraId="2E1170A3" w14:textId="7748E197"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8</w:t>
      </w:r>
      <w:r w:rsidRPr="005E2FCB">
        <w:rPr>
          <w:noProof/>
          <w:lang w:val="pl-PL"/>
        </w:rPr>
        <w:fldChar w:fldCharType="end"/>
      </w:r>
      <w:r w:rsidR="00E2758D" w:rsidRPr="005E2FCB">
        <w:rPr>
          <w:lang w:val="pl-PL"/>
        </w:rPr>
        <w:t>.  W dniu 19 grudnia 2012 r</w:t>
      </w:r>
      <w:r w:rsidR="00AB44B0">
        <w:rPr>
          <w:lang w:val="pl-PL"/>
        </w:rPr>
        <w:t>.</w:t>
      </w:r>
      <w:r w:rsidR="00E2758D" w:rsidRPr="005E2FCB">
        <w:rPr>
          <w:lang w:val="pl-PL"/>
        </w:rPr>
        <w:t xml:space="preserve"> </w:t>
      </w:r>
      <w:r w:rsidR="005F5242">
        <w:rPr>
          <w:lang w:val="pl-PL"/>
        </w:rPr>
        <w:t>postępowanie przygotowawcze</w:t>
      </w:r>
      <w:r w:rsidR="005F5242" w:rsidRPr="005E2FCB">
        <w:rPr>
          <w:lang w:val="pl-PL"/>
        </w:rPr>
        <w:t xml:space="preserve"> </w:t>
      </w:r>
      <w:r w:rsidR="00E2758D" w:rsidRPr="005E2FCB">
        <w:rPr>
          <w:lang w:val="pl-PL"/>
        </w:rPr>
        <w:t>opisane w</w:t>
      </w:r>
      <w:r w:rsidR="00CB4146">
        <w:rPr>
          <w:lang w:val="pl-PL"/>
        </w:rPr>
        <w:t> </w:t>
      </w:r>
      <w:r w:rsidR="00AB44B0">
        <w:rPr>
          <w:lang w:val="pl-PL"/>
        </w:rPr>
        <w:t>pkt</w:t>
      </w:r>
      <w:r w:rsidR="00CB4146">
        <w:rPr>
          <w:lang w:val="pl-PL"/>
        </w:rPr>
        <w:t> </w:t>
      </w:r>
      <w:r w:rsidR="00E2758D" w:rsidRPr="005E2FCB">
        <w:rPr>
          <w:lang w:val="pl-PL"/>
        </w:rPr>
        <w:fldChar w:fldCharType="begin"/>
      </w:r>
      <w:r w:rsidR="00E2758D" w:rsidRPr="005E2FCB">
        <w:rPr>
          <w:lang w:val="pl-PL"/>
        </w:rPr>
        <w:instrText xml:space="preserve"> REF paragraph00005 \h  \* CharFormat  \* MERGEFORMAT </w:instrText>
      </w:r>
      <w:r w:rsidR="00E2758D" w:rsidRPr="005E2FCB">
        <w:rPr>
          <w:lang w:val="pl-PL"/>
        </w:rPr>
      </w:r>
      <w:r w:rsidR="00E2758D" w:rsidRPr="005E2FCB">
        <w:rPr>
          <w:lang w:val="pl-PL"/>
        </w:rPr>
        <w:fldChar w:fldCharType="separate"/>
      </w:r>
      <w:r w:rsidR="00E2758D" w:rsidRPr="005E2FCB">
        <w:rPr>
          <w:lang w:val="pl-PL"/>
        </w:rPr>
        <w:t>5</w:t>
      </w:r>
      <w:r w:rsidR="00E2758D" w:rsidRPr="005E2FCB">
        <w:rPr>
          <w:lang w:val="pl-PL"/>
        </w:rPr>
        <w:fldChar w:fldCharType="end"/>
      </w:r>
      <w:r w:rsidR="00E2758D" w:rsidRPr="005E2FCB">
        <w:rPr>
          <w:lang w:val="pl-PL"/>
        </w:rPr>
        <w:t xml:space="preserve"> powyżej zostało umorzone z powodu braku znamion przestępstwa z</w:t>
      </w:r>
      <w:r w:rsidR="00CB4146">
        <w:rPr>
          <w:lang w:val="pl-PL"/>
        </w:rPr>
        <w:t> </w:t>
      </w:r>
      <w:r w:rsidR="00E2758D" w:rsidRPr="005E2FCB">
        <w:rPr>
          <w:lang w:val="pl-PL"/>
        </w:rPr>
        <w:t>art. 276 k.k.</w:t>
      </w:r>
    </w:p>
    <w:p w14:paraId="6E1AE538" w14:textId="1FB4F39C"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9</w:t>
      </w:r>
      <w:r w:rsidRPr="005E2FCB">
        <w:rPr>
          <w:noProof/>
          <w:lang w:val="pl-PL"/>
        </w:rPr>
        <w:fldChar w:fldCharType="end"/>
      </w:r>
      <w:r w:rsidR="00E2758D" w:rsidRPr="005E2FCB">
        <w:rPr>
          <w:lang w:val="pl-PL"/>
        </w:rPr>
        <w:t>.  Powołując się na art. 8 Konwencji, skarżący zarzucił, że przeszukanie jego domu i zajęcie rzeczy przez władze naruszyło przysługujące mu prawo do poszanowania jego mieszkania i poufności jego kontaktów z</w:t>
      </w:r>
      <w:r w:rsidR="00FA4E5E" w:rsidRPr="005E2FCB">
        <w:rPr>
          <w:lang w:val="pl-PL"/>
        </w:rPr>
        <w:t> </w:t>
      </w:r>
      <w:r w:rsidR="00E2758D" w:rsidRPr="005E2FCB">
        <w:rPr>
          <w:lang w:val="pl-PL"/>
        </w:rPr>
        <w:t>adwokatem.</w:t>
      </w:r>
    </w:p>
    <w:p w14:paraId="18D8848A" w14:textId="77777777" w:rsidR="00BA1BB1" w:rsidRPr="005E2FCB" w:rsidRDefault="00BA1BB1" w:rsidP="00E2758D">
      <w:pPr>
        <w:pStyle w:val="JuHHead"/>
        <w:rPr>
          <w:lang w:val="pl-PL"/>
        </w:rPr>
      </w:pPr>
      <w:r w:rsidRPr="005E2FCB">
        <w:rPr>
          <w:bCs w:val="0"/>
          <w:lang w:val="pl-PL"/>
        </w:rPr>
        <w:t>OCENA TRYBUNAŁU</w:t>
      </w:r>
    </w:p>
    <w:p w14:paraId="45616AE3" w14:textId="0023338A" w:rsidR="00BA1BB1" w:rsidRPr="005E2FCB" w:rsidRDefault="00352D4C" w:rsidP="00E2758D">
      <w:pPr>
        <w:pStyle w:val="JuHIRoman"/>
        <w:numPr>
          <w:ilvl w:val="0"/>
          <w:numId w:val="0"/>
        </w:numPr>
        <w:rPr>
          <w:lang w:val="pl-PL"/>
        </w:rPr>
      </w:pPr>
      <w:r>
        <w:rPr>
          <w:bCs w:val="0"/>
          <w:lang w:val="pl-PL"/>
        </w:rPr>
        <w:t>ODNOŚNIE DO</w:t>
      </w:r>
      <w:r w:rsidR="00BA1BB1" w:rsidRPr="005E2FCB">
        <w:rPr>
          <w:bCs w:val="0"/>
          <w:lang w:val="pl-PL"/>
        </w:rPr>
        <w:t xml:space="preserve"> </w:t>
      </w:r>
      <w:r>
        <w:rPr>
          <w:bCs w:val="0"/>
          <w:lang w:val="pl-PL"/>
        </w:rPr>
        <w:t>ZARZUCANEGO</w:t>
      </w:r>
      <w:r w:rsidR="00BA1BB1" w:rsidRPr="005E2FCB">
        <w:rPr>
          <w:bCs w:val="0"/>
          <w:lang w:val="pl-PL"/>
        </w:rPr>
        <w:t xml:space="preserve"> NARUSZENIA ART.</w:t>
      </w:r>
      <w:r w:rsidR="00FA4E5E" w:rsidRPr="005E2FCB">
        <w:rPr>
          <w:bCs w:val="0"/>
          <w:lang w:val="pl-PL"/>
        </w:rPr>
        <w:t> </w:t>
      </w:r>
      <w:r w:rsidR="00BA1BB1" w:rsidRPr="005E2FCB">
        <w:rPr>
          <w:bCs w:val="0"/>
          <w:lang w:val="pl-PL"/>
        </w:rPr>
        <w:t>8</w:t>
      </w:r>
      <w:r w:rsidR="00FA4E5E" w:rsidRPr="005E2FCB">
        <w:rPr>
          <w:bCs w:val="0"/>
          <w:lang w:val="pl-PL"/>
        </w:rPr>
        <w:t> </w:t>
      </w:r>
      <w:r w:rsidR="00BA1BB1" w:rsidRPr="005E2FCB">
        <w:rPr>
          <w:bCs w:val="0"/>
          <w:lang w:val="pl-PL"/>
        </w:rPr>
        <w:t>KONWENCJI</w:t>
      </w:r>
    </w:p>
    <w:p w14:paraId="4EE2FC81" w14:textId="150C1C72" w:rsidR="00BA1BB1" w:rsidRPr="005E2FCB" w:rsidRDefault="00000000" w:rsidP="00E2758D">
      <w:pPr>
        <w:pStyle w:val="JuPara"/>
        <w:rPr>
          <w:lang w:val="pl-PL"/>
        </w:rPr>
      </w:pPr>
      <w:r w:rsidRPr="005E2FCB">
        <w:rPr>
          <w:noProof/>
          <w:lang w:val="pl-PL"/>
        </w:rPr>
        <w:fldChar w:fldCharType="begin"/>
      </w:r>
      <w:r w:rsidRPr="005E2FCB">
        <w:rPr>
          <w:noProof/>
          <w:lang w:val="pl-PL"/>
        </w:rPr>
        <w:instrText xml:space="preserve"> SEQ level0 \*arabic \* MERGEFORMAT </w:instrText>
      </w:r>
      <w:r w:rsidRPr="005E2FCB">
        <w:rPr>
          <w:noProof/>
          <w:lang w:val="pl-PL"/>
        </w:rPr>
        <w:fldChar w:fldCharType="separate"/>
      </w:r>
      <w:r w:rsidRPr="005E2FCB">
        <w:rPr>
          <w:noProof/>
          <w:lang w:val="pl-PL"/>
        </w:rPr>
        <w:t>10</w:t>
      </w:r>
      <w:r w:rsidRPr="005E2FCB">
        <w:rPr>
          <w:noProof/>
          <w:lang w:val="pl-PL"/>
        </w:rPr>
        <w:fldChar w:fldCharType="end"/>
      </w:r>
      <w:r w:rsidRPr="005E2FCB">
        <w:rPr>
          <w:lang w:val="pl-PL"/>
        </w:rPr>
        <w:t xml:space="preserve">.  Rząd podniósł, że skarżący nie wyczerpał </w:t>
      </w:r>
      <w:r w:rsidR="00352D4C" w:rsidRPr="005E2FCB">
        <w:rPr>
          <w:lang w:val="pl-PL"/>
        </w:rPr>
        <w:t xml:space="preserve">środków </w:t>
      </w:r>
      <w:r w:rsidRPr="005E2FCB">
        <w:rPr>
          <w:lang w:val="pl-PL"/>
        </w:rPr>
        <w:t xml:space="preserve">krajowych. </w:t>
      </w:r>
      <w:r w:rsidR="00352D4C">
        <w:rPr>
          <w:lang w:val="pl-PL"/>
        </w:rPr>
        <w:t>T</w:t>
      </w:r>
      <w:r w:rsidRPr="005E2FCB">
        <w:rPr>
          <w:lang w:val="pl-PL"/>
        </w:rPr>
        <w:t xml:space="preserve">wierdził, że zainteresowany mógł złożyć skargę do Trybunału Konstytucyjnego na </w:t>
      </w:r>
      <w:r w:rsidR="00352D4C">
        <w:rPr>
          <w:lang w:val="pl-PL"/>
        </w:rPr>
        <w:t>treść przepisu</w:t>
      </w:r>
      <w:r w:rsidRPr="005E2FCB">
        <w:rPr>
          <w:lang w:val="pl-PL"/>
        </w:rPr>
        <w:t xml:space="preserve"> art. 220 § 3 k.p.k. (zob. </w:t>
      </w:r>
      <w:r w:rsidR="00685AD8">
        <w:rPr>
          <w:lang w:val="pl-PL"/>
        </w:rPr>
        <w:t>pkt </w:t>
      </w:r>
      <w:r w:rsidRPr="005E2FCB">
        <w:rPr>
          <w:lang w:val="pl-PL"/>
        </w:rPr>
        <w:fldChar w:fldCharType="begin"/>
      </w:r>
      <w:r w:rsidRPr="005E2FCB">
        <w:rPr>
          <w:lang w:val="pl-PL"/>
        </w:rPr>
        <w:instrText xml:space="preserve"> REF paragraph00007 \h  \* CharFormat </w:instrText>
      </w:r>
      <w:r w:rsidRPr="005E2FCB">
        <w:rPr>
          <w:lang w:val="pl-PL"/>
        </w:rPr>
      </w:r>
      <w:r w:rsidRPr="005E2FCB">
        <w:rPr>
          <w:lang w:val="pl-PL"/>
        </w:rPr>
        <w:fldChar w:fldCharType="separate"/>
      </w:r>
      <w:r w:rsidRPr="005E2FCB">
        <w:rPr>
          <w:lang w:val="pl-PL"/>
        </w:rPr>
        <w:t>7</w:t>
      </w:r>
      <w:r w:rsidRPr="005E2FCB">
        <w:rPr>
          <w:lang w:val="pl-PL"/>
        </w:rPr>
        <w:fldChar w:fldCharType="end"/>
      </w:r>
      <w:r w:rsidRPr="005E2FCB">
        <w:rPr>
          <w:lang w:val="pl-PL"/>
        </w:rPr>
        <w:t xml:space="preserve"> powyżej), na który</w:t>
      </w:r>
      <w:r w:rsidR="00352D4C">
        <w:rPr>
          <w:lang w:val="pl-PL"/>
        </w:rPr>
        <w:t>m</w:t>
      </w:r>
      <w:r w:rsidRPr="005E2FCB">
        <w:rPr>
          <w:lang w:val="pl-PL"/>
        </w:rPr>
        <w:t xml:space="preserve"> opierało się sporne przeszukanie. Rząd argumentował, że gdyby krajowy sąd wyższej instancji orzekł na korzyść skarżącego, ten ostatni mógłby powołać się na art. 540 § 2 k.p.k. w celu złożenia wniosku o</w:t>
      </w:r>
      <w:r w:rsidR="00FA4E5E" w:rsidRPr="005E2FCB">
        <w:rPr>
          <w:lang w:val="pl-PL"/>
        </w:rPr>
        <w:t> </w:t>
      </w:r>
      <w:r w:rsidRPr="005E2FCB">
        <w:rPr>
          <w:lang w:val="pl-PL"/>
        </w:rPr>
        <w:t>wznowienie dotyczącego go postępowania karnego lub wnieść powództwo o odszkodowanie przeciwko państwu na podstawie art.</w:t>
      </w:r>
      <w:r w:rsidR="000A4ECB">
        <w:rPr>
          <w:lang w:val="pl-PL"/>
        </w:rPr>
        <w:t> </w:t>
      </w:r>
      <w:r w:rsidRPr="005E2FCB">
        <w:rPr>
          <w:lang w:val="pl-PL"/>
        </w:rPr>
        <w:t xml:space="preserve">417 § 1 </w:t>
      </w:r>
      <w:r w:rsidR="006C1C44">
        <w:rPr>
          <w:lang w:val="pl-PL"/>
        </w:rPr>
        <w:t>K</w:t>
      </w:r>
      <w:r w:rsidRPr="005E2FCB">
        <w:rPr>
          <w:lang w:val="pl-PL"/>
        </w:rPr>
        <w:t>odeksu cywilnego („k.c.”).</w:t>
      </w:r>
    </w:p>
    <w:p w14:paraId="6CF6694E" w14:textId="3BE02134"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11</w:t>
      </w:r>
      <w:r w:rsidRPr="005E2FCB">
        <w:rPr>
          <w:noProof/>
          <w:lang w:val="pl-PL"/>
        </w:rPr>
        <w:fldChar w:fldCharType="end"/>
      </w:r>
      <w:r w:rsidR="00E2758D" w:rsidRPr="005E2FCB">
        <w:rPr>
          <w:lang w:val="pl-PL"/>
        </w:rPr>
        <w:t xml:space="preserve">.  W zakresie, w jakim skarżący zarzucił naruszenie jego prawa do poszanowania poufności kontaktów z adwokatem, Trybunał uznaje za zbędne orzekanie w przedmiocie zarzutu podniesionego przez Rząd, zważywszy że skarga </w:t>
      </w:r>
      <w:r w:rsidR="0026241C">
        <w:rPr>
          <w:lang w:val="pl-PL"/>
        </w:rPr>
        <w:t>ta jest</w:t>
      </w:r>
      <w:r w:rsidR="00E2758D" w:rsidRPr="005E2FCB">
        <w:rPr>
          <w:lang w:val="pl-PL"/>
        </w:rPr>
        <w:t xml:space="preserve"> w każdym razie niedopuszczalna </w:t>
      </w:r>
      <w:r w:rsidR="0026241C">
        <w:rPr>
          <w:lang w:val="pl-PL"/>
        </w:rPr>
        <w:t>z uwagi na to</w:t>
      </w:r>
      <w:r w:rsidR="00E2758D" w:rsidRPr="005E2FCB">
        <w:rPr>
          <w:lang w:val="pl-PL"/>
        </w:rPr>
        <w:t xml:space="preserve">, że skarżący nie </w:t>
      </w:r>
      <w:r w:rsidR="0026241C">
        <w:rPr>
          <w:lang w:val="pl-PL"/>
        </w:rPr>
        <w:t>wykazał</w:t>
      </w:r>
      <w:r w:rsidR="00E2758D" w:rsidRPr="005E2FCB">
        <w:rPr>
          <w:lang w:val="pl-PL"/>
        </w:rPr>
        <w:t xml:space="preserve">, które z dokumentów </w:t>
      </w:r>
      <w:r w:rsidR="006D035E">
        <w:rPr>
          <w:lang w:val="pl-PL"/>
        </w:rPr>
        <w:t>zabezpieczonych</w:t>
      </w:r>
      <w:r w:rsidR="006D035E" w:rsidRPr="005E2FCB">
        <w:rPr>
          <w:lang w:val="pl-PL"/>
        </w:rPr>
        <w:t xml:space="preserve"> </w:t>
      </w:r>
      <w:r w:rsidR="00E2758D" w:rsidRPr="005E2FCB">
        <w:rPr>
          <w:lang w:val="pl-PL"/>
        </w:rPr>
        <w:t xml:space="preserve">przez władze podczas </w:t>
      </w:r>
      <w:r w:rsidR="00E2758D" w:rsidRPr="005E2FCB">
        <w:rPr>
          <w:lang w:val="pl-PL"/>
        </w:rPr>
        <w:lastRenderedPageBreak/>
        <w:t xml:space="preserve">przedmiotowego przeszukania miały dotyczyć </w:t>
      </w:r>
      <w:r w:rsidR="006D035E">
        <w:rPr>
          <w:lang w:val="pl-PL"/>
        </w:rPr>
        <w:t>tych</w:t>
      </w:r>
      <w:r w:rsidR="006D035E" w:rsidRPr="005E2FCB">
        <w:rPr>
          <w:lang w:val="pl-PL"/>
        </w:rPr>
        <w:t xml:space="preserve"> </w:t>
      </w:r>
      <w:r w:rsidR="00E2758D" w:rsidRPr="005E2FCB">
        <w:rPr>
          <w:lang w:val="pl-PL"/>
        </w:rPr>
        <w:t>kontaktów</w:t>
      </w:r>
      <w:r w:rsidR="00935213">
        <w:rPr>
          <w:lang w:val="pl-PL"/>
        </w:rPr>
        <w:t>,</w:t>
      </w:r>
      <w:r w:rsidR="00E2758D" w:rsidRPr="005E2FCB">
        <w:rPr>
          <w:lang w:val="pl-PL"/>
        </w:rPr>
        <w:t xml:space="preserve"> w związku </w:t>
      </w:r>
      <w:r w:rsidR="006D035E">
        <w:rPr>
          <w:lang w:val="pl-PL"/>
        </w:rPr>
        <w:br/>
      </w:r>
      <w:r w:rsidR="00E2758D" w:rsidRPr="005E2FCB">
        <w:rPr>
          <w:lang w:val="pl-PL"/>
        </w:rPr>
        <w:t xml:space="preserve">z </w:t>
      </w:r>
      <w:r w:rsidR="00935213">
        <w:rPr>
          <w:lang w:val="pl-PL"/>
        </w:rPr>
        <w:t>czym</w:t>
      </w:r>
      <w:r w:rsidR="00E2758D" w:rsidRPr="005E2FCB">
        <w:rPr>
          <w:lang w:val="pl-PL"/>
        </w:rPr>
        <w:t xml:space="preserve"> Trybunał uznaje skargę za oczywi</w:t>
      </w:r>
      <w:r w:rsidR="0026241C">
        <w:rPr>
          <w:lang w:val="pl-PL"/>
        </w:rPr>
        <w:t>ście</w:t>
      </w:r>
      <w:r w:rsidR="00E2758D" w:rsidRPr="005E2FCB">
        <w:rPr>
          <w:lang w:val="pl-PL"/>
        </w:rPr>
        <w:t xml:space="preserve"> nieuzasadnioną i oddala ją na podstawie art. 35 ust. 3 lit. a) i </w:t>
      </w:r>
      <w:r w:rsidR="002C64CF" w:rsidRPr="005E2FCB">
        <w:rPr>
          <w:lang w:val="pl-PL"/>
        </w:rPr>
        <w:t xml:space="preserve">art. 35 </w:t>
      </w:r>
      <w:r w:rsidR="00E2758D" w:rsidRPr="005E2FCB">
        <w:rPr>
          <w:lang w:val="pl-PL"/>
        </w:rPr>
        <w:t>ust. 4 Konwencji.</w:t>
      </w:r>
    </w:p>
    <w:p w14:paraId="4432C13C" w14:textId="0E262A20"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12</w:t>
      </w:r>
      <w:r w:rsidRPr="005E2FCB">
        <w:rPr>
          <w:noProof/>
          <w:lang w:val="pl-PL"/>
        </w:rPr>
        <w:fldChar w:fldCharType="end"/>
      </w:r>
      <w:r w:rsidR="00E2758D" w:rsidRPr="005E2FCB">
        <w:rPr>
          <w:lang w:val="pl-PL"/>
        </w:rPr>
        <w:t>.  W zakresie, w jakim skarżący zarzucił, że przeszukanie naruszyło przysługujące mu prawo do poszanowania jego mieszkania, Trybunał przypomina</w:t>
      </w:r>
      <w:r w:rsidR="00935213">
        <w:rPr>
          <w:lang w:val="pl-PL"/>
        </w:rPr>
        <w:t>,</w:t>
      </w:r>
      <w:r w:rsidR="00E2758D" w:rsidRPr="005E2FCB">
        <w:rPr>
          <w:lang w:val="pl-PL"/>
        </w:rPr>
        <w:t xml:space="preserve"> w odniesieniu do </w:t>
      </w:r>
      <w:r w:rsidR="000521A4">
        <w:rPr>
          <w:lang w:val="pl-PL"/>
        </w:rPr>
        <w:t xml:space="preserve">zarzutu </w:t>
      </w:r>
      <w:r w:rsidR="00E2758D" w:rsidRPr="005E2FCB">
        <w:rPr>
          <w:lang w:val="pl-PL"/>
        </w:rPr>
        <w:t>Rząd</w:t>
      </w:r>
      <w:r w:rsidR="000521A4">
        <w:rPr>
          <w:lang w:val="pl-PL"/>
        </w:rPr>
        <w:t>u co do możliwości wniesienia</w:t>
      </w:r>
      <w:r w:rsidR="00E2758D" w:rsidRPr="005E2FCB">
        <w:rPr>
          <w:lang w:val="pl-PL"/>
        </w:rPr>
        <w:t xml:space="preserve"> skargi konstytucyjnej</w:t>
      </w:r>
      <w:r w:rsidR="000521A4">
        <w:rPr>
          <w:lang w:val="pl-PL"/>
        </w:rPr>
        <w:t>,</w:t>
      </w:r>
      <w:r w:rsidR="00E2758D" w:rsidRPr="005E2FCB">
        <w:rPr>
          <w:lang w:val="pl-PL"/>
        </w:rPr>
        <w:t xml:space="preserve"> że miał już okazję oddalić podobny zarzut (zob. m.in. </w:t>
      </w:r>
      <w:proofErr w:type="spellStart"/>
      <w:r w:rsidR="00E2758D" w:rsidRPr="005E2FCB">
        <w:rPr>
          <w:i/>
          <w:iCs/>
          <w:lang w:val="pl-PL"/>
        </w:rPr>
        <w:t>Bugajny</w:t>
      </w:r>
      <w:proofErr w:type="spellEnd"/>
      <w:r w:rsidR="00E2758D" w:rsidRPr="005E2FCB">
        <w:rPr>
          <w:i/>
          <w:iCs/>
          <w:lang w:val="pl-PL"/>
        </w:rPr>
        <w:t xml:space="preserve"> i Inni p</w:t>
      </w:r>
      <w:r w:rsidR="000521A4">
        <w:rPr>
          <w:i/>
          <w:iCs/>
          <w:lang w:val="pl-PL"/>
        </w:rPr>
        <w:t>.</w:t>
      </w:r>
      <w:r w:rsidR="00E2758D" w:rsidRPr="005E2FCB">
        <w:rPr>
          <w:i/>
          <w:iCs/>
          <w:lang w:val="pl-PL"/>
        </w:rPr>
        <w:t xml:space="preserve"> Polsce</w:t>
      </w:r>
      <w:r w:rsidR="00E2758D" w:rsidRPr="005E2FCB">
        <w:rPr>
          <w:lang w:val="pl-PL"/>
        </w:rPr>
        <w:t xml:space="preserve">, nr 22531/05, </w:t>
      </w:r>
      <w:r w:rsidR="000521A4">
        <w:rPr>
          <w:rFonts w:ascii="Calibri" w:hAnsi="Calibri" w:cs="Calibri"/>
          <w:lang w:val="pl-PL"/>
        </w:rPr>
        <w:t>pkt</w:t>
      </w:r>
      <w:r w:rsidR="0094502E">
        <w:rPr>
          <w:lang w:val="pl-PL"/>
        </w:rPr>
        <w:t> </w:t>
      </w:r>
      <w:r w:rsidR="00E2758D" w:rsidRPr="005E2FCB">
        <w:rPr>
          <w:lang w:val="pl-PL"/>
        </w:rPr>
        <w:t xml:space="preserve">45, 6 listopada 2007 r., </w:t>
      </w:r>
      <w:proofErr w:type="spellStart"/>
      <w:r w:rsidR="00E2758D" w:rsidRPr="005E2FCB">
        <w:rPr>
          <w:i/>
          <w:iCs/>
          <w:lang w:val="pl-PL"/>
        </w:rPr>
        <w:t>Sosinowska</w:t>
      </w:r>
      <w:proofErr w:type="spellEnd"/>
      <w:r w:rsidR="00E2758D" w:rsidRPr="005E2FCB">
        <w:rPr>
          <w:i/>
          <w:iCs/>
          <w:lang w:val="pl-PL"/>
        </w:rPr>
        <w:t xml:space="preserve"> p</w:t>
      </w:r>
      <w:r w:rsidR="000521A4">
        <w:rPr>
          <w:i/>
          <w:iCs/>
          <w:lang w:val="pl-PL"/>
        </w:rPr>
        <w:t>,</w:t>
      </w:r>
      <w:r w:rsidR="00E2758D" w:rsidRPr="005E2FCB">
        <w:rPr>
          <w:i/>
          <w:iCs/>
          <w:lang w:val="pl-PL"/>
        </w:rPr>
        <w:t xml:space="preserve"> Polsce</w:t>
      </w:r>
      <w:r w:rsidR="00E2758D" w:rsidRPr="005E2FCB">
        <w:rPr>
          <w:lang w:val="pl-PL"/>
        </w:rPr>
        <w:t xml:space="preserve">, nr 10247/09, </w:t>
      </w:r>
      <w:r w:rsidR="0094502E">
        <w:rPr>
          <w:lang w:val="pl-PL"/>
        </w:rPr>
        <w:t>pkt </w:t>
      </w:r>
      <w:r w:rsidR="00E2758D" w:rsidRPr="005E2FCB">
        <w:rPr>
          <w:lang w:val="pl-PL"/>
        </w:rPr>
        <w:t>55, 18 października 2011</w:t>
      </w:r>
      <w:r w:rsidR="0094502E">
        <w:rPr>
          <w:lang w:val="pl-PL"/>
        </w:rPr>
        <w:t> </w:t>
      </w:r>
      <w:r w:rsidR="00E2758D" w:rsidRPr="005E2FCB">
        <w:rPr>
          <w:lang w:val="pl-PL"/>
        </w:rPr>
        <w:t>r. oraz</w:t>
      </w:r>
      <w:r w:rsidR="00E2758D" w:rsidRPr="005E2FCB">
        <w:rPr>
          <w:i/>
          <w:iCs/>
          <w:lang w:val="pl-PL"/>
        </w:rPr>
        <w:t xml:space="preserve"> </w:t>
      </w:r>
      <w:proofErr w:type="spellStart"/>
      <w:r w:rsidR="00E2758D" w:rsidRPr="005E2FCB">
        <w:rPr>
          <w:i/>
          <w:iCs/>
          <w:lang w:val="pl-PL"/>
        </w:rPr>
        <w:t>Remuszko</w:t>
      </w:r>
      <w:proofErr w:type="spellEnd"/>
      <w:r w:rsidR="00E2758D" w:rsidRPr="005E2FCB">
        <w:rPr>
          <w:i/>
          <w:iCs/>
          <w:lang w:val="pl-PL"/>
        </w:rPr>
        <w:t xml:space="preserve"> p</w:t>
      </w:r>
      <w:r w:rsidR="000521A4">
        <w:rPr>
          <w:i/>
          <w:iCs/>
          <w:lang w:val="pl-PL"/>
        </w:rPr>
        <w:t>.</w:t>
      </w:r>
      <w:r w:rsidR="00E2758D" w:rsidRPr="005E2FCB">
        <w:rPr>
          <w:i/>
          <w:iCs/>
          <w:lang w:val="pl-PL"/>
        </w:rPr>
        <w:t xml:space="preserve"> Polsce</w:t>
      </w:r>
      <w:r w:rsidR="00E2758D" w:rsidRPr="005E2FCB">
        <w:rPr>
          <w:snapToGrid w:val="0"/>
          <w:lang w:val="pl-PL"/>
        </w:rPr>
        <w:t xml:space="preserve">, nr 1562/10, </w:t>
      </w:r>
      <w:r w:rsidR="0094502E">
        <w:rPr>
          <w:snapToGrid w:val="0"/>
          <w:lang w:val="pl-PL"/>
        </w:rPr>
        <w:t>pkt</w:t>
      </w:r>
      <w:r w:rsidR="00E2758D" w:rsidRPr="005E2FCB">
        <w:rPr>
          <w:snapToGrid w:val="0"/>
          <w:lang w:val="pl-PL"/>
        </w:rPr>
        <w:t> 45, 16 lipca 2013</w:t>
      </w:r>
      <w:r w:rsidR="0094502E">
        <w:rPr>
          <w:snapToGrid w:val="0"/>
          <w:lang w:val="pl-PL"/>
        </w:rPr>
        <w:t> </w:t>
      </w:r>
      <w:r w:rsidR="00E2758D" w:rsidRPr="005E2FCB">
        <w:rPr>
          <w:snapToGrid w:val="0"/>
          <w:lang w:val="pl-PL"/>
        </w:rPr>
        <w:t>r.)</w:t>
      </w:r>
      <w:r w:rsidR="0094502E">
        <w:rPr>
          <w:snapToGrid w:val="0"/>
          <w:lang w:val="pl-PL"/>
        </w:rPr>
        <w:t>.</w:t>
      </w:r>
      <w:r w:rsidR="00E2758D" w:rsidRPr="005E2FCB">
        <w:rPr>
          <w:snapToGrid w:val="0"/>
          <w:lang w:val="pl-PL"/>
        </w:rPr>
        <w:t xml:space="preserve"> Ponadto uznaje twierdzenia Rządu dotyczące środków odwoławczych, których zastosowanie zależy od ewentualnego wcześniejszego powodzenia skargi konstytucyjnej</w:t>
      </w:r>
      <w:r w:rsidR="000521A4">
        <w:rPr>
          <w:snapToGrid w:val="0"/>
          <w:lang w:val="pl-PL"/>
        </w:rPr>
        <w:t>,</w:t>
      </w:r>
      <w:r w:rsidR="00EE009A">
        <w:rPr>
          <w:snapToGrid w:val="0"/>
          <w:lang w:val="pl-PL"/>
        </w:rPr>
        <w:t xml:space="preserve"> </w:t>
      </w:r>
      <w:r w:rsidR="000521A4">
        <w:rPr>
          <w:snapToGrid w:val="0"/>
          <w:lang w:val="pl-PL"/>
        </w:rPr>
        <w:t xml:space="preserve">za </w:t>
      </w:r>
      <w:r w:rsidR="00EE009A">
        <w:rPr>
          <w:snapToGrid w:val="0"/>
          <w:lang w:val="pl-PL"/>
        </w:rPr>
        <w:t>spekulatywne</w:t>
      </w:r>
      <w:r w:rsidR="00E2758D" w:rsidRPr="005E2FCB">
        <w:rPr>
          <w:snapToGrid w:val="0"/>
          <w:lang w:val="pl-PL"/>
        </w:rPr>
        <w:t xml:space="preserve">. Dlatego też </w:t>
      </w:r>
      <w:r w:rsidR="00EE009A">
        <w:rPr>
          <w:snapToGrid w:val="0"/>
          <w:lang w:val="pl-PL"/>
        </w:rPr>
        <w:t>zarzut</w:t>
      </w:r>
      <w:r w:rsidR="00EE009A" w:rsidRPr="005E2FCB">
        <w:rPr>
          <w:snapToGrid w:val="0"/>
          <w:lang w:val="pl-PL"/>
        </w:rPr>
        <w:t xml:space="preserve"> </w:t>
      </w:r>
      <w:r w:rsidR="00E2758D" w:rsidRPr="005E2FCB">
        <w:rPr>
          <w:snapToGrid w:val="0"/>
          <w:lang w:val="pl-PL"/>
        </w:rPr>
        <w:t>Rządu został oddalony.</w:t>
      </w:r>
    </w:p>
    <w:p w14:paraId="6A2BE3DA" w14:textId="1BABB796"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13</w:t>
      </w:r>
      <w:r w:rsidRPr="005E2FCB">
        <w:rPr>
          <w:noProof/>
          <w:lang w:val="pl-PL"/>
        </w:rPr>
        <w:fldChar w:fldCharType="end"/>
      </w:r>
      <w:r w:rsidR="00E2758D" w:rsidRPr="005E2FCB">
        <w:rPr>
          <w:lang w:val="pl-PL"/>
        </w:rPr>
        <w:t>.  Stwierdzając, że zarzut ten nie jest w sposób oczywisty nieuzasadniony ani niedopuszczalny z jakiegokolwiek innego powodu na podstawie art. 35 Konwencji, Trybunał uznaje go za dopuszczalny.</w:t>
      </w:r>
    </w:p>
    <w:p w14:paraId="46D34756" w14:textId="2916380F"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14</w:t>
      </w:r>
      <w:r w:rsidRPr="005E2FCB">
        <w:rPr>
          <w:noProof/>
          <w:lang w:val="pl-PL"/>
        </w:rPr>
        <w:fldChar w:fldCharType="end"/>
      </w:r>
      <w:r w:rsidR="00E2758D" w:rsidRPr="005E2FCB">
        <w:rPr>
          <w:lang w:val="pl-PL"/>
        </w:rPr>
        <w:t xml:space="preserve">.  Trybunał zauważa, że w niniejszej sprawie nie </w:t>
      </w:r>
      <w:r w:rsidR="00EE009A">
        <w:rPr>
          <w:lang w:val="pl-PL"/>
        </w:rPr>
        <w:t>ma sporu co do tego</w:t>
      </w:r>
      <w:r w:rsidR="00E2758D" w:rsidRPr="005E2FCB">
        <w:rPr>
          <w:lang w:val="pl-PL"/>
        </w:rPr>
        <w:t>, że doszło do ingerencji w korzystanie przez skarżącego z jego prawa do poszanowania jego mieszkania, chronionego art. 8 Konwencji. Pozostaje do ustalenia, czy ingerencja ta była uzasadniona w świetle art. 8 ust</w:t>
      </w:r>
      <w:r w:rsidR="0099161A">
        <w:rPr>
          <w:lang w:val="pl-PL"/>
        </w:rPr>
        <w:t>. </w:t>
      </w:r>
      <w:r w:rsidR="00E2758D" w:rsidRPr="005E2FCB">
        <w:rPr>
          <w:lang w:val="pl-PL"/>
        </w:rPr>
        <w:t xml:space="preserve">2 Konwencji, tj. w szczególności, czy była „przewidziana przez </w:t>
      </w:r>
      <w:r w:rsidR="006E17EF">
        <w:rPr>
          <w:lang w:val="pl-PL"/>
        </w:rPr>
        <w:t>prawo</w:t>
      </w:r>
      <w:r w:rsidR="00E2758D" w:rsidRPr="005E2FCB">
        <w:rPr>
          <w:lang w:val="pl-PL"/>
        </w:rPr>
        <w:t xml:space="preserve">”, realizowała jeden lub więcej uprawnionych celów i czy była „konieczna” do osiągnięcia tego lub </w:t>
      </w:r>
      <w:r w:rsidR="006E17EF">
        <w:rPr>
          <w:lang w:val="pl-PL"/>
        </w:rPr>
        <w:t>tych</w:t>
      </w:r>
      <w:r w:rsidR="006E17EF" w:rsidRPr="005E2FCB">
        <w:rPr>
          <w:lang w:val="pl-PL"/>
        </w:rPr>
        <w:t xml:space="preserve"> </w:t>
      </w:r>
      <w:r w:rsidR="00E2758D" w:rsidRPr="005E2FCB">
        <w:rPr>
          <w:lang w:val="pl-PL"/>
        </w:rPr>
        <w:t>celów.</w:t>
      </w:r>
    </w:p>
    <w:p w14:paraId="5CF45058" w14:textId="49F18335"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15</w:t>
      </w:r>
      <w:r w:rsidRPr="005E2FCB">
        <w:rPr>
          <w:noProof/>
          <w:lang w:val="pl-PL"/>
        </w:rPr>
        <w:fldChar w:fldCharType="end"/>
      </w:r>
      <w:r w:rsidR="00E2758D" w:rsidRPr="005E2FCB">
        <w:rPr>
          <w:lang w:val="pl-PL"/>
        </w:rPr>
        <w:t xml:space="preserve">.  Ogólne zasady mające zastosowanie w tym zakresie streszczono m.in. w wyrokach w sprawach </w:t>
      </w:r>
      <w:proofErr w:type="spellStart"/>
      <w:r w:rsidR="00E2758D" w:rsidRPr="005E2FCB">
        <w:rPr>
          <w:i/>
          <w:iCs/>
          <w:lang w:val="pl-PL"/>
        </w:rPr>
        <w:t>Rotaru</w:t>
      </w:r>
      <w:proofErr w:type="spellEnd"/>
      <w:r w:rsidR="00E2758D" w:rsidRPr="005E2FCB">
        <w:rPr>
          <w:i/>
          <w:iCs/>
          <w:lang w:val="pl-PL"/>
        </w:rPr>
        <w:t xml:space="preserve"> p</w:t>
      </w:r>
      <w:r w:rsidR="006E17EF">
        <w:rPr>
          <w:i/>
          <w:iCs/>
          <w:lang w:val="pl-PL"/>
        </w:rPr>
        <w:t>.</w:t>
      </w:r>
      <w:r w:rsidR="00E2758D" w:rsidRPr="005E2FCB">
        <w:rPr>
          <w:i/>
          <w:iCs/>
          <w:lang w:val="pl-PL"/>
        </w:rPr>
        <w:t xml:space="preserve"> Rumunii</w:t>
      </w:r>
      <w:r w:rsidR="00E2758D" w:rsidRPr="005E2FCB">
        <w:rPr>
          <w:lang w:val="pl-PL"/>
        </w:rPr>
        <w:t xml:space="preserve"> [WI], nr 28341/95, </w:t>
      </w:r>
      <w:r w:rsidR="0099161A">
        <w:rPr>
          <w:lang w:val="pl-PL"/>
        </w:rPr>
        <w:t>pkt </w:t>
      </w:r>
      <w:r w:rsidR="00E2758D" w:rsidRPr="005E2FCB">
        <w:rPr>
          <w:lang w:val="pl-PL"/>
        </w:rPr>
        <w:t xml:space="preserve">52, ETPC 2000-V, </w:t>
      </w:r>
      <w:proofErr w:type="spellStart"/>
      <w:r w:rsidR="00E2758D" w:rsidRPr="005E2FCB">
        <w:rPr>
          <w:rFonts w:ascii="Times New Roman" w:hAnsi="Times New Roman"/>
          <w:i/>
          <w:iCs/>
          <w:color w:val="000000"/>
          <w:lang w:val="pl-PL"/>
        </w:rPr>
        <w:t>Heino</w:t>
      </w:r>
      <w:proofErr w:type="spellEnd"/>
      <w:r w:rsidR="00E2758D" w:rsidRPr="005E2FCB">
        <w:rPr>
          <w:rFonts w:ascii="Times New Roman" w:hAnsi="Times New Roman"/>
          <w:i/>
          <w:iCs/>
          <w:color w:val="000000"/>
          <w:lang w:val="pl-PL"/>
        </w:rPr>
        <w:t xml:space="preserve"> p</w:t>
      </w:r>
      <w:r w:rsidR="006E17EF">
        <w:rPr>
          <w:rFonts w:ascii="Times New Roman" w:hAnsi="Times New Roman"/>
          <w:i/>
          <w:iCs/>
          <w:color w:val="000000"/>
          <w:lang w:val="pl-PL"/>
        </w:rPr>
        <w:t xml:space="preserve">. </w:t>
      </w:r>
      <w:r w:rsidR="00E2758D" w:rsidRPr="005E2FCB">
        <w:rPr>
          <w:rFonts w:ascii="Times New Roman" w:hAnsi="Times New Roman"/>
          <w:i/>
          <w:iCs/>
          <w:color w:val="000000"/>
          <w:lang w:val="pl-PL"/>
        </w:rPr>
        <w:t>Finlandii</w:t>
      </w:r>
      <w:r w:rsidR="00E2758D" w:rsidRPr="005E2FCB">
        <w:rPr>
          <w:rFonts w:ascii="Times New Roman" w:hAnsi="Times New Roman"/>
          <w:color w:val="000000"/>
          <w:lang w:val="pl-PL"/>
        </w:rPr>
        <w:t xml:space="preserve">, nr 56720/09, </w:t>
      </w:r>
      <w:r w:rsidR="0099161A">
        <w:rPr>
          <w:rFonts w:ascii="Times New Roman" w:hAnsi="Times New Roman"/>
          <w:color w:val="000000"/>
          <w:lang w:val="pl-PL"/>
        </w:rPr>
        <w:t>pkt </w:t>
      </w:r>
      <w:r w:rsidR="00E2758D" w:rsidRPr="005E2FCB">
        <w:rPr>
          <w:rFonts w:ascii="Times New Roman" w:hAnsi="Times New Roman"/>
          <w:color w:val="000000"/>
          <w:lang w:val="pl-PL"/>
        </w:rPr>
        <w:t>36, 15</w:t>
      </w:r>
      <w:r w:rsidR="00FA4E5E" w:rsidRPr="005E2FCB">
        <w:rPr>
          <w:rFonts w:ascii="Times New Roman" w:hAnsi="Times New Roman"/>
          <w:color w:val="000000"/>
          <w:lang w:val="pl-PL"/>
        </w:rPr>
        <w:t> </w:t>
      </w:r>
      <w:r w:rsidR="00E2758D" w:rsidRPr="005E2FCB">
        <w:rPr>
          <w:rFonts w:ascii="Times New Roman" w:hAnsi="Times New Roman"/>
          <w:color w:val="000000"/>
          <w:lang w:val="pl-PL"/>
        </w:rPr>
        <w:t>lutego</w:t>
      </w:r>
      <w:r w:rsidR="00FA4E5E" w:rsidRPr="005E2FCB">
        <w:rPr>
          <w:rFonts w:ascii="Times New Roman" w:hAnsi="Times New Roman"/>
          <w:color w:val="000000"/>
          <w:lang w:val="pl-PL"/>
        </w:rPr>
        <w:t> </w:t>
      </w:r>
      <w:r w:rsidR="00E2758D" w:rsidRPr="005E2FCB">
        <w:rPr>
          <w:rFonts w:ascii="Times New Roman" w:hAnsi="Times New Roman"/>
          <w:color w:val="000000"/>
          <w:lang w:val="pl-PL"/>
        </w:rPr>
        <w:t>2011</w:t>
      </w:r>
      <w:r w:rsidR="00FA4E5E" w:rsidRPr="005E2FCB">
        <w:rPr>
          <w:rFonts w:ascii="Times New Roman" w:hAnsi="Times New Roman"/>
          <w:color w:val="000000"/>
          <w:lang w:val="pl-PL"/>
        </w:rPr>
        <w:t> </w:t>
      </w:r>
      <w:r w:rsidR="00E2758D" w:rsidRPr="005E2FCB">
        <w:rPr>
          <w:rFonts w:ascii="Times New Roman" w:hAnsi="Times New Roman"/>
          <w:color w:val="000000"/>
          <w:lang w:val="pl-PL"/>
        </w:rPr>
        <w:t xml:space="preserve">r., </w:t>
      </w:r>
      <w:proofErr w:type="spellStart"/>
      <w:r w:rsidR="00E2758D" w:rsidRPr="005E2FCB">
        <w:rPr>
          <w:i/>
          <w:iCs/>
          <w:lang w:val="pl-PL"/>
        </w:rPr>
        <w:t>Gutsanovi</w:t>
      </w:r>
      <w:proofErr w:type="spellEnd"/>
      <w:r w:rsidR="00E2758D" w:rsidRPr="005E2FCB">
        <w:rPr>
          <w:i/>
          <w:iCs/>
          <w:lang w:val="pl-PL"/>
        </w:rPr>
        <w:t xml:space="preserve"> p</w:t>
      </w:r>
      <w:r w:rsidR="006E17EF">
        <w:rPr>
          <w:i/>
          <w:iCs/>
          <w:lang w:val="pl-PL"/>
        </w:rPr>
        <w:t>.</w:t>
      </w:r>
      <w:r w:rsidR="00E2758D" w:rsidRPr="005E2FCB">
        <w:rPr>
          <w:i/>
          <w:iCs/>
          <w:lang w:val="pl-PL"/>
        </w:rPr>
        <w:t xml:space="preserve"> Bułgarii</w:t>
      </w:r>
      <w:r w:rsidR="00E2758D" w:rsidRPr="005E2FCB">
        <w:rPr>
          <w:lang w:val="pl-PL"/>
        </w:rPr>
        <w:t xml:space="preserve">, nr 34529/10, </w:t>
      </w:r>
      <w:r w:rsidR="0099161A">
        <w:rPr>
          <w:lang w:val="pl-PL"/>
        </w:rPr>
        <w:t>pkt </w:t>
      </w:r>
      <w:r w:rsidR="00E2758D" w:rsidRPr="005E2FCB">
        <w:rPr>
          <w:lang w:val="pl-PL"/>
        </w:rPr>
        <w:t>220, 15</w:t>
      </w:r>
      <w:r w:rsidR="00FA4E5E" w:rsidRPr="005E2FCB">
        <w:rPr>
          <w:lang w:val="pl-PL"/>
        </w:rPr>
        <w:t> </w:t>
      </w:r>
      <w:r w:rsidR="00E2758D" w:rsidRPr="005E2FCB">
        <w:rPr>
          <w:lang w:val="pl-PL"/>
        </w:rPr>
        <w:t xml:space="preserve">października 2013 r., </w:t>
      </w:r>
      <w:proofErr w:type="spellStart"/>
      <w:r w:rsidR="00E2758D" w:rsidRPr="005E2FCB">
        <w:rPr>
          <w:i/>
          <w:iCs/>
          <w:lang w:val="pl-PL"/>
        </w:rPr>
        <w:t>Govedarski</w:t>
      </w:r>
      <w:proofErr w:type="spellEnd"/>
      <w:r w:rsidR="00E2758D" w:rsidRPr="005E2FCB">
        <w:rPr>
          <w:i/>
          <w:iCs/>
          <w:lang w:val="pl-PL"/>
        </w:rPr>
        <w:t xml:space="preserve"> p</w:t>
      </w:r>
      <w:r w:rsidR="006E17EF">
        <w:rPr>
          <w:i/>
          <w:iCs/>
          <w:lang w:val="pl-PL"/>
        </w:rPr>
        <w:t>.</w:t>
      </w:r>
      <w:r w:rsidR="00E2758D" w:rsidRPr="005E2FCB">
        <w:rPr>
          <w:i/>
          <w:iCs/>
          <w:lang w:val="pl-PL"/>
        </w:rPr>
        <w:t xml:space="preserve"> </w:t>
      </w:r>
      <w:r w:rsidR="0099161A" w:rsidRPr="005E2FCB">
        <w:rPr>
          <w:i/>
          <w:iCs/>
          <w:lang w:val="pl-PL"/>
        </w:rPr>
        <w:t>Buł</w:t>
      </w:r>
      <w:r w:rsidR="0099161A">
        <w:rPr>
          <w:i/>
          <w:iCs/>
          <w:lang w:val="pl-PL"/>
        </w:rPr>
        <w:t>g</w:t>
      </w:r>
      <w:r w:rsidR="0099161A" w:rsidRPr="005E2FCB">
        <w:rPr>
          <w:i/>
          <w:iCs/>
          <w:lang w:val="pl-PL"/>
        </w:rPr>
        <w:t>arii</w:t>
      </w:r>
      <w:r w:rsidR="00E2758D" w:rsidRPr="005E2FCB">
        <w:rPr>
          <w:lang w:val="pl-PL"/>
        </w:rPr>
        <w:t>, nr 34957/12</w:t>
      </w:r>
      <w:r w:rsidR="00E2758D" w:rsidRPr="005E2FCB">
        <w:rPr>
          <w:snapToGrid w:val="0"/>
          <w:lang w:val="pl-PL"/>
        </w:rPr>
        <w:t xml:space="preserve">, </w:t>
      </w:r>
      <w:r w:rsidR="0099161A">
        <w:rPr>
          <w:snapToGrid w:val="0"/>
          <w:lang w:val="pl-PL"/>
        </w:rPr>
        <w:t>pkt</w:t>
      </w:r>
      <w:r w:rsidR="0099161A" w:rsidRPr="005E2FCB">
        <w:rPr>
          <w:snapToGrid w:val="0"/>
          <w:lang w:val="pl-PL"/>
        </w:rPr>
        <w:t> </w:t>
      </w:r>
      <w:r w:rsidR="00E2758D" w:rsidRPr="005E2FCB">
        <w:rPr>
          <w:snapToGrid w:val="0"/>
          <w:lang w:val="pl-PL"/>
        </w:rPr>
        <w:t>79</w:t>
      </w:r>
      <w:r w:rsidR="00FA4E5E" w:rsidRPr="005E2FCB">
        <w:rPr>
          <w:snapToGrid w:val="0"/>
          <w:lang w:val="pl-PL"/>
        </w:rPr>
        <w:t> </w:t>
      </w:r>
      <w:r w:rsidR="00E2758D" w:rsidRPr="005E2FCB">
        <w:rPr>
          <w:snapToGrid w:val="0"/>
          <w:lang w:val="pl-PL"/>
        </w:rPr>
        <w:t>i</w:t>
      </w:r>
      <w:r w:rsidR="00FA4E5E" w:rsidRPr="005E2FCB">
        <w:rPr>
          <w:snapToGrid w:val="0"/>
          <w:lang w:val="pl-PL"/>
        </w:rPr>
        <w:t> </w:t>
      </w:r>
      <w:r w:rsidR="00E2758D" w:rsidRPr="005E2FCB">
        <w:rPr>
          <w:snapToGrid w:val="0"/>
          <w:lang w:val="pl-PL"/>
        </w:rPr>
        <w:t xml:space="preserve">81, 16 </w:t>
      </w:r>
      <w:r w:rsidR="00E2758D" w:rsidRPr="005E2FCB">
        <w:rPr>
          <w:lang w:val="pl-PL"/>
        </w:rPr>
        <w:t>lutego</w:t>
      </w:r>
      <w:r w:rsidR="00E2758D" w:rsidRPr="005E2FCB">
        <w:rPr>
          <w:snapToGrid w:val="0"/>
          <w:lang w:val="pl-PL"/>
        </w:rPr>
        <w:t xml:space="preserve"> 2016 r. oraz </w:t>
      </w:r>
      <w:proofErr w:type="spellStart"/>
      <w:r w:rsidR="00E2758D" w:rsidRPr="005E2FCB">
        <w:rPr>
          <w:i/>
          <w:iCs/>
          <w:lang w:val="pl-PL"/>
        </w:rPr>
        <w:t>Stoyanov</w:t>
      </w:r>
      <w:proofErr w:type="spellEnd"/>
      <w:r w:rsidR="00E2758D" w:rsidRPr="005E2FCB">
        <w:rPr>
          <w:i/>
          <w:iCs/>
          <w:lang w:val="pl-PL"/>
        </w:rPr>
        <w:t xml:space="preserve"> i </w:t>
      </w:r>
      <w:r w:rsidR="006E17EF">
        <w:rPr>
          <w:i/>
          <w:iCs/>
          <w:lang w:val="pl-PL"/>
        </w:rPr>
        <w:t>I</w:t>
      </w:r>
      <w:r w:rsidR="00E2758D" w:rsidRPr="005E2FCB">
        <w:rPr>
          <w:i/>
          <w:iCs/>
          <w:lang w:val="pl-PL"/>
        </w:rPr>
        <w:t>nni p</w:t>
      </w:r>
      <w:r w:rsidR="006E17EF">
        <w:rPr>
          <w:i/>
          <w:iCs/>
          <w:lang w:val="pl-PL"/>
        </w:rPr>
        <w:t>.</w:t>
      </w:r>
      <w:r w:rsidR="00E2758D" w:rsidRPr="005E2FCB">
        <w:rPr>
          <w:i/>
          <w:iCs/>
          <w:lang w:val="pl-PL"/>
        </w:rPr>
        <w:t> Bułgarii</w:t>
      </w:r>
      <w:r w:rsidR="00E2758D" w:rsidRPr="005E2FCB">
        <w:rPr>
          <w:lang w:val="pl-PL"/>
        </w:rPr>
        <w:t xml:space="preserve">, nr 55388/10, </w:t>
      </w:r>
      <w:r w:rsidR="0099161A">
        <w:rPr>
          <w:lang w:val="pl-PL"/>
        </w:rPr>
        <w:t>pkt</w:t>
      </w:r>
      <w:r w:rsidR="00E2758D" w:rsidRPr="005E2FCB">
        <w:rPr>
          <w:lang w:val="pl-PL"/>
        </w:rPr>
        <w:t> 124, 31</w:t>
      </w:r>
      <w:r w:rsidR="00FA4E5E" w:rsidRPr="005E2FCB">
        <w:rPr>
          <w:lang w:val="pl-PL"/>
        </w:rPr>
        <w:t> </w:t>
      </w:r>
      <w:r w:rsidR="00E2758D" w:rsidRPr="005E2FCB">
        <w:rPr>
          <w:lang w:val="pl-PL"/>
        </w:rPr>
        <w:t>marca 2016 r.</w:t>
      </w:r>
    </w:p>
    <w:p w14:paraId="5574E2EC" w14:textId="1221BE63"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16</w:t>
      </w:r>
      <w:r w:rsidRPr="005E2FCB">
        <w:rPr>
          <w:noProof/>
          <w:lang w:val="pl-PL"/>
        </w:rPr>
        <w:fldChar w:fldCharType="end"/>
      </w:r>
      <w:r w:rsidR="00E2758D" w:rsidRPr="005E2FCB">
        <w:rPr>
          <w:lang w:val="pl-PL"/>
        </w:rPr>
        <w:t>.  Przechodząc do okoliczności faktycznych niniejszej sprawy, Trybunał zauważa, że przedmiotowe przeszukanie i zajęcie przeprowadzono bez uprzedniego postanowienia sądu, zgodnie z art. 220 § 3 k.p.k. Trybunał odnotowuje, że wspomniany przepis k.p.k. upoważnia organy dochodzeniowe do wdrożenia przedmiotowych środków „w wypadkach niecierpiących zwłoki” (</w:t>
      </w:r>
      <w:r w:rsidR="005F04CD">
        <w:rPr>
          <w:lang w:val="pl-PL"/>
        </w:rPr>
        <w:t>pkt </w:t>
      </w:r>
      <w:r w:rsidR="00E2758D" w:rsidRPr="005E2FCB">
        <w:rPr>
          <w:lang w:val="pl-PL"/>
        </w:rPr>
        <w:fldChar w:fldCharType="begin"/>
      </w:r>
      <w:r w:rsidR="00E2758D" w:rsidRPr="005E2FCB">
        <w:rPr>
          <w:lang w:val="pl-PL"/>
        </w:rPr>
        <w:instrText xml:space="preserve"> REF paragraph00007 \h  \* CharFormat </w:instrText>
      </w:r>
      <w:r w:rsidR="00E2758D" w:rsidRPr="005E2FCB">
        <w:rPr>
          <w:lang w:val="pl-PL"/>
        </w:rPr>
      </w:r>
      <w:r w:rsidR="00E2758D" w:rsidRPr="005E2FCB">
        <w:rPr>
          <w:lang w:val="pl-PL"/>
        </w:rPr>
        <w:fldChar w:fldCharType="separate"/>
      </w:r>
      <w:r w:rsidR="00E2758D" w:rsidRPr="005E2FCB">
        <w:rPr>
          <w:lang w:val="pl-PL"/>
        </w:rPr>
        <w:t>7</w:t>
      </w:r>
      <w:r w:rsidR="00E2758D" w:rsidRPr="005E2FCB">
        <w:rPr>
          <w:lang w:val="pl-PL"/>
        </w:rPr>
        <w:fldChar w:fldCharType="end"/>
      </w:r>
      <w:r w:rsidR="00E2758D" w:rsidRPr="005E2FCB">
        <w:rPr>
          <w:lang w:val="pl-PL"/>
        </w:rPr>
        <w:t xml:space="preserve"> powyżej). Zauważa również, że brzmienie tego przepisu w praktyce pozostawia władzom szeroki margines oceny konieczności i zakresu przeszukań i zajęć (zob., odpowiednio, </w:t>
      </w:r>
      <w:proofErr w:type="spellStart"/>
      <w:r w:rsidR="00E2758D" w:rsidRPr="005E2FCB">
        <w:rPr>
          <w:i/>
          <w:iCs/>
          <w:lang w:val="pl-PL"/>
        </w:rPr>
        <w:t>Gutsanovi</w:t>
      </w:r>
      <w:proofErr w:type="spellEnd"/>
      <w:r w:rsidR="00E2758D" w:rsidRPr="005E2FCB">
        <w:rPr>
          <w:lang w:val="pl-PL"/>
        </w:rPr>
        <w:t xml:space="preserve">, </w:t>
      </w:r>
      <w:r w:rsidR="000253A3">
        <w:rPr>
          <w:lang w:val="pl-PL"/>
        </w:rPr>
        <w:t>cyt. pow.,</w:t>
      </w:r>
      <w:r w:rsidR="00E2758D" w:rsidRPr="005E2FCB">
        <w:rPr>
          <w:lang w:val="pl-PL"/>
        </w:rPr>
        <w:t xml:space="preserve"> </w:t>
      </w:r>
      <w:r w:rsidR="0099161A">
        <w:rPr>
          <w:lang w:val="pl-PL"/>
        </w:rPr>
        <w:t>pkt </w:t>
      </w:r>
      <w:r w:rsidR="00E2758D" w:rsidRPr="005E2FCB">
        <w:rPr>
          <w:lang w:val="pl-PL"/>
        </w:rPr>
        <w:t>221).</w:t>
      </w:r>
    </w:p>
    <w:p w14:paraId="5EC82A1E" w14:textId="52EE9528" w:rsidR="00BA1BB1" w:rsidRPr="005E2FCB" w:rsidRDefault="00000000" w:rsidP="00E2758D">
      <w:pPr>
        <w:pStyle w:val="JuPara"/>
        <w:rPr>
          <w:rFonts w:ascii="Times New Roman" w:hAnsi="Times New Roman" w:cs="Times New Roman"/>
          <w:color w:val="000000"/>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17</w:t>
      </w:r>
      <w:r w:rsidRPr="005E2FCB">
        <w:rPr>
          <w:noProof/>
          <w:lang w:val="pl-PL"/>
        </w:rPr>
        <w:fldChar w:fldCharType="end"/>
      </w:r>
      <w:r w:rsidR="00E2758D" w:rsidRPr="005E2FCB">
        <w:rPr>
          <w:lang w:val="pl-PL"/>
        </w:rPr>
        <w:t xml:space="preserve">.  Trybunał przypomina, że o ile brak nakazu przeszukania lub zajęcia można </w:t>
      </w:r>
      <w:r w:rsidR="00AC1273">
        <w:rPr>
          <w:lang w:val="pl-PL"/>
        </w:rPr>
        <w:t>zostać zrównoważony</w:t>
      </w:r>
      <w:r w:rsidR="00AC1273" w:rsidRPr="005E2FCB">
        <w:rPr>
          <w:lang w:val="pl-PL"/>
        </w:rPr>
        <w:t xml:space="preserve"> </w:t>
      </w:r>
      <w:r w:rsidR="00AC1273">
        <w:rPr>
          <w:lang w:val="pl-PL"/>
        </w:rPr>
        <w:t xml:space="preserve">następczą </w:t>
      </w:r>
      <w:r w:rsidR="00E2758D" w:rsidRPr="005E2FCB">
        <w:rPr>
          <w:lang w:val="pl-PL"/>
        </w:rPr>
        <w:t>kontrol</w:t>
      </w:r>
      <w:r w:rsidR="00AC1273">
        <w:rPr>
          <w:lang w:val="pl-PL"/>
        </w:rPr>
        <w:t>ą</w:t>
      </w:r>
      <w:r w:rsidR="00E2758D" w:rsidRPr="005E2FCB">
        <w:rPr>
          <w:lang w:val="pl-PL"/>
        </w:rPr>
        <w:t xml:space="preserve"> sądową zgodności </w:t>
      </w:r>
      <w:r w:rsidR="00AC1273">
        <w:rPr>
          <w:lang w:val="pl-PL"/>
        </w:rPr>
        <w:br/>
      </w:r>
      <w:r w:rsidR="00E2758D" w:rsidRPr="005E2FCB">
        <w:rPr>
          <w:lang w:val="pl-PL"/>
        </w:rPr>
        <w:t>z prawem i</w:t>
      </w:r>
      <w:r w:rsidR="00FA4E5E" w:rsidRPr="005E2FCB">
        <w:rPr>
          <w:lang w:val="pl-PL"/>
        </w:rPr>
        <w:t> </w:t>
      </w:r>
      <w:r w:rsidR="00E2758D" w:rsidRPr="005E2FCB">
        <w:rPr>
          <w:lang w:val="pl-PL"/>
        </w:rPr>
        <w:t>konieczności takich środków dochodzeniowych (</w:t>
      </w:r>
      <w:r w:rsidR="00E2758D" w:rsidRPr="005E2FCB">
        <w:rPr>
          <w:rFonts w:ascii="Times New Roman" w:hAnsi="Times New Roman"/>
          <w:color w:val="000000"/>
          <w:lang w:val="pl-PL"/>
        </w:rPr>
        <w:t xml:space="preserve">zob. </w:t>
      </w:r>
      <w:proofErr w:type="spellStart"/>
      <w:r w:rsidR="00E2758D" w:rsidRPr="005E2FCB">
        <w:rPr>
          <w:rFonts w:ascii="Times New Roman" w:hAnsi="Times New Roman"/>
          <w:i/>
          <w:iCs/>
          <w:color w:val="000000"/>
          <w:lang w:val="pl-PL"/>
        </w:rPr>
        <w:t>Heino</w:t>
      </w:r>
      <w:proofErr w:type="spellEnd"/>
      <w:r w:rsidR="00E2758D" w:rsidRPr="005E2FCB">
        <w:rPr>
          <w:rFonts w:ascii="Times New Roman" w:hAnsi="Times New Roman"/>
          <w:color w:val="000000"/>
          <w:lang w:val="pl-PL"/>
        </w:rPr>
        <w:t xml:space="preserve">, </w:t>
      </w:r>
      <w:r w:rsidR="00AC1273">
        <w:rPr>
          <w:rFonts w:ascii="Times New Roman" w:hAnsi="Times New Roman"/>
          <w:color w:val="000000"/>
          <w:lang w:val="pl-PL"/>
        </w:rPr>
        <w:t xml:space="preserve">cyt. pow., </w:t>
      </w:r>
      <w:r w:rsidR="00595C36">
        <w:rPr>
          <w:rFonts w:ascii="Times New Roman" w:hAnsi="Times New Roman"/>
          <w:color w:val="000000"/>
          <w:lang w:val="pl-PL"/>
        </w:rPr>
        <w:t>pkt </w:t>
      </w:r>
      <w:r w:rsidR="00E2758D" w:rsidRPr="005E2FCB">
        <w:rPr>
          <w:rFonts w:ascii="Times New Roman" w:hAnsi="Times New Roman"/>
          <w:color w:val="000000"/>
          <w:lang w:val="pl-PL"/>
        </w:rPr>
        <w:t>45</w:t>
      </w:r>
      <w:r w:rsidR="00E2758D" w:rsidRPr="005E2FCB">
        <w:rPr>
          <w:lang w:val="pl-PL"/>
        </w:rPr>
        <w:t xml:space="preserve">), </w:t>
      </w:r>
      <w:r w:rsidR="00AC1273">
        <w:rPr>
          <w:lang w:val="pl-PL"/>
        </w:rPr>
        <w:t>to</w:t>
      </w:r>
      <w:r w:rsidR="00E2758D" w:rsidRPr="005E2FCB">
        <w:rPr>
          <w:lang w:val="pl-PL"/>
        </w:rPr>
        <w:t xml:space="preserve"> kontrola </w:t>
      </w:r>
      <w:r w:rsidR="00AC1273">
        <w:rPr>
          <w:lang w:val="pl-PL"/>
        </w:rPr>
        <w:t xml:space="preserve">ta </w:t>
      </w:r>
      <w:r w:rsidR="00E2758D" w:rsidRPr="005E2FCB">
        <w:rPr>
          <w:rFonts w:ascii="Times New Roman" w:hAnsi="Times New Roman"/>
          <w:color w:val="000000"/>
          <w:lang w:val="pl-PL"/>
        </w:rPr>
        <w:t xml:space="preserve">musi być skuteczna (zob. </w:t>
      </w:r>
      <w:proofErr w:type="spellStart"/>
      <w:r w:rsidR="00E2758D" w:rsidRPr="005E2FCB">
        <w:rPr>
          <w:rFonts w:ascii="Times New Roman" w:hAnsi="Times New Roman"/>
          <w:i/>
          <w:iCs/>
          <w:color w:val="000000"/>
          <w:lang w:val="pl-PL"/>
        </w:rPr>
        <w:t>Smirnov</w:t>
      </w:r>
      <w:proofErr w:type="spellEnd"/>
      <w:r w:rsidR="00E2758D" w:rsidRPr="005E2FCB">
        <w:rPr>
          <w:rFonts w:ascii="Times New Roman" w:hAnsi="Times New Roman"/>
          <w:i/>
          <w:iCs/>
          <w:color w:val="000000"/>
          <w:lang w:val="pl-PL"/>
        </w:rPr>
        <w:t xml:space="preserve"> p</w:t>
      </w:r>
      <w:r w:rsidR="00AC1273">
        <w:rPr>
          <w:rFonts w:ascii="Times New Roman" w:hAnsi="Times New Roman"/>
          <w:i/>
          <w:iCs/>
          <w:color w:val="000000"/>
          <w:lang w:val="pl-PL"/>
        </w:rPr>
        <w:t>.</w:t>
      </w:r>
      <w:r w:rsidR="00E2758D" w:rsidRPr="005E2FCB">
        <w:rPr>
          <w:rFonts w:ascii="Times New Roman" w:hAnsi="Times New Roman"/>
          <w:i/>
          <w:iCs/>
          <w:color w:val="000000"/>
          <w:lang w:val="pl-PL"/>
        </w:rPr>
        <w:t xml:space="preserve"> Rosji</w:t>
      </w:r>
      <w:r w:rsidR="00E2758D" w:rsidRPr="005E2FCB">
        <w:rPr>
          <w:rFonts w:ascii="Times New Roman" w:hAnsi="Times New Roman"/>
          <w:color w:val="000000"/>
          <w:lang w:val="pl-PL"/>
        </w:rPr>
        <w:t xml:space="preserve">, nr 71362/01, </w:t>
      </w:r>
      <w:r w:rsidR="00595C36">
        <w:rPr>
          <w:rFonts w:ascii="Times New Roman" w:hAnsi="Times New Roman"/>
          <w:color w:val="000000"/>
          <w:lang w:val="pl-PL"/>
        </w:rPr>
        <w:t>pkt </w:t>
      </w:r>
      <w:r w:rsidR="00E2758D" w:rsidRPr="005E2FCB">
        <w:rPr>
          <w:rFonts w:ascii="Times New Roman" w:hAnsi="Times New Roman"/>
          <w:color w:val="000000"/>
          <w:lang w:val="pl-PL"/>
        </w:rPr>
        <w:t>45</w:t>
      </w:r>
      <w:r w:rsidR="00E2758D" w:rsidRPr="005E2FCB">
        <w:rPr>
          <w:rFonts w:ascii="Times New Roman" w:hAnsi="Times New Roman"/>
          <w:i/>
          <w:iCs/>
          <w:color w:val="000000"/>
          <w:lang w:val="pl-PL"/>
        </w:rPr>
        <w:t xml:space="preserve"> in fine</w:t>
      </w:r>
      <w:r w:rsidR="00E2758D" w:rsidRPr="005E2FCB">
        <w:rPr>
          <w:rFonts w:ascii="Times New Roman" w:hAnsi="Times New Roman"/>
          <w:color w:val="000000"/>
          <w:lang w:val="pl-PL"/>
        </w:rPr>
        <w:t>, 7</w:t>
      </w:r>
      <w:r w:rsidR="00FA4E5E" w:rsidRPr="005E2FCB">
        <w:rPr>
          <w:rFonts w:ascii="Times New Roman" w:hAnsi="Times New Roman"/>
          <w:color w:val="000000"/>
          <w:lang w:val="pl-PL"/>
        </w:rPr>
        <w:t> </w:t>
      </w:r>
      <w:r w:rsidR="00E2758D" w:rsidRPr="005E2FCB">
        <w:rPr>
          <w:rFonts w:ascii="Times New Roman" w:hAnsi="Times New Roman"/>
          <w:color w:val="000000"/>
          <w:lang w:val="pl-PL"/>
        </w:rPr>
        <w:t xml:space="preserve">czerwca 2007 r. oraz </w:t>
      </w:r>
      <w:proofErr w:type="spellStart"/>
      <w:r w:rsidR="00E2758D" w:rsidRPr="005E2FCB">
        <w:rPr>
          <w:rFonts w:ascii="Times New Roman" w:hAnsi="Times New Roman"/>
          <w:i/>
          <w:iCs/>
          <w:color w:val="000000"/>
          <w:lang w:val="pl-PL"/>
        </w:rPr>
        <w:t>Gutsanovi</w:t>
      </w:r>
      <w:proofErr w:type="spellEnd"/>
      <w:r w:rsidR="00E2758D" w:rsidRPr="005E2FCB">
        <w:rPr>
          <w:rFonts w:ascii="Times New Roman" w:hAnsi="Times New Roman"/>
          <w:color w:val="000000"/>
          <w:lang w:val="pl-PL"/>
        </w:rPr>
        <w:t xml:space="preserve">, </w:t>
      </w:r>
      <w:r w:rsidR="00AC1273">
        <w:rPr>
          <w:rFonts w:ascii="Times New Roman" w:hAnsi="Times New Roman"/>
          <w:color w:val="000000"/>
          <w:lang w:val="pl-PL"/>
        </w:rPr>
        <w:t xml:space="preserve">cyt. pow., </w:t>
      </w:r>
      <w:r w:rsidR="002E73BD">
        <w:rPr>
          <w:rFonts w:ascii="Times New Roman" w:hAnsi="Times New Roman"/>
          <w:color w:val="000000"/>
          <w:lang w:val="pl-PL"/>
        </w:rPr>
        <w:t>pkt </w:t>
      </w:r>
      <w:r w:rsidR="00E2758D" w:rsidRPr="005E2FCB">
        <w:rPr>
          <w:rFonts w:ascii="Times New Roman" w:hAnsi="Times New Roman"/>
          <w:color w:val="000000"/>
          <w:lang w:val="pl-PL"/>
        </w:rPr>
        <w:t xml:space="preserve">222). Orzecznictwo Trybunału w tym zakresie </w:t>
      </w:r>
      <w:r w:rsidR="00945FF8">
        <w:rPr>
          <w:rFonts w:ascii="Times New Roman" w:hAnsi="Times New Roman"/>
          <w:color w:val="000000"/>
          <w:lang w:val="pl-PL"/>
        </w:rPr>
        <w:t>ws</w:t>
      </w:r>
      <w:r w:rsidR="00E2758D" w:rsidRPr="005E2FCB">
        <w:rPr>
          <w:rFonts w:ascii="Times New Roman" w:hAnsi="Times New Roman"/>
          <w:color w:val="000000"/>
          <w:lang w:val="pl-PL"/>
        </w:rPr>
        <w:t xml:space="preserve">kazuje, że sporządzenie </w:t>
      </w:r>
      <w:r w:rsidR="00E2758D" w:rsidRPr="005E2FCB">
        <w:rPr>
          <w:rFonts w:ascii="Times New Roman" w:hAnsi="Times New Roman"/>
          <w:color w:val="000000"/>
          <w:lang w:val="pl-PL"/>
        </w:rPr>
        <w:lastRenderedPageBreak/>
        <w:t>postanowienia sądu w</w:t>
      </w:r>
      <w:r w:rsidR="00595C36">
        <w:rPr>
          <w:rFonts w:ascii="Times New Roman" w:hAnsi="Times New Roman"/>
          <w:color w:val="000000"/>
          <w:lang w:val="pl-PL"/>
        </w:rPr>
        <w:t> </w:t>
      </w:r>
      <w:r w:rsidR="00E2758D" w:rsidRPr="005E2FCB">
        <w:rPr>
          <w:rFonts w:ascii="Times New Roman" w:hAnsi="Times New Roman"/>
          <w:color w:val="000000"/>
          <w:lang w:val="pl-PL"/>
        </w:rPr>
        <w:t xml:space="preserve">następstwie przeprowadzonej w ten sposób kontroli, choć konieczne (zob. </w:t>
      </w:r>
      <w:r w:rsidR="00E2758D" w:rsidRPr="005E2FCB">
        <w:rPr>
          <w:rFonts w:ascii="Times New Roman" w:hAnsi="Times New Roman"/>
          <w:i/>
          <w:iCs/>
          <w:color w:val="000000"/>
          <w:lang w:val="pl-PL"/>
        </w:rPr>
        <w:t>a</w:t>
      </w:r>
      <w:r w:rsidR="00595C36">
        <w:rPr>
          <w:rFonts w:ascii="Times New Roman" w:hAnsi="Times New Roman"/>
          <w:i/>
          <w:iCs/>
          <w:color w:val="000000"/>
          <w:lang w:val="pl-PL"/>
        </w:rPr>
        <w:t> </w:t>
      </w:r>
      <w:r w:rsidR="00E2758D" w:rsidRPr="005E2FCB">
        <w:rPr>
          <w:rFonts w:ascii="Times New Roman" w:hAnsi="Times New Roman"/>
          <w:i/>
          <w:iCs/>
          <w:color w:val="000000"/>
          <w:lang w:val="pl-PL"/>
        </w:rPr>
        <w:t>contrario</w:t>
      </w:r>
      <w:r w:rsidR="00E2758D" w:rsidRPr="005E2FCB">
        <w:rPr>
          <w:rFonts w:ascii="Times New Roman" w:hAnsi="Times New Roman"/>
          <w:color w:val="000000"/>
          <w:lang w:val="pl-PL"/>
        </w:rPr>
        <w:t xml:space="preserve">, </w:t>
      </w:r>
      <w:proofErr w:type="spellStart"/>
      <w:r w:rsidR="00E2758D" w:rsidRPr="005E2FCB">
        <w:rPr>
          <w:rFonts w:ascii="Times New Roman" w:hAnsi="Times New Roman"/>
          <w:i/>
          <w:iCs/>
          <w:color w:val="000000"/>
          <w:lang w:val="pl-PL"/>
        </w:rPr>
        <w:t>Gutsanovi</w:t>
      </w:r>
      <w:proofErr w:type="spellEnd"/>
      <w:r w:rsidR="00E2758D" w:rsidRPr="005E2FCB">
        <w:rPr>
          <w:rFonts w:ascii="Times New Roman" w:hAnsi="Times New Roman"/>
          <w:color w:val="000000"/>
          <w:lang w:val="pl-PL"/>
        </w:rPr>
        <w:t xml:space="preserve">, </w:t>
      </w:r>
      <w:r w:rsidR="00945FF8">
        <w:rPr>
          <w:rFonts w:ascii="Times New Roman" w:hAnsi="Times New Roman"/>
          <w:color w:val="000000"/>
          <w:lang w:val="pl-PL"/>
        </w:rPr>
        <w:t>cyt. pow.,</w:t>
      </w:r>
      <w:r w:rsidR="00E2758D" w:rsidRPr="005E2FCB">
        <w:rPr>
          <w:rFonts w:ascii="Times New Roman" w:hAnsi="Times New Roman"/>
          <w:color w:val="000000"/>
          <w:lang w:val="pl-PL"/>
        </w:rPr>
        <w:t xml:space="preserve"> </w:t>
      </w:r>
      <w:r w:rsidR="0087400E">
        <w:rPr>
          <w:rFonts w:ascii="Times New Roman" w:hAnsi="Times New Roman"/>
          <w:color w:val="000000"/>
          <w:lang w:val="pl-PL"/>
        </w:rPr>
        <w:t>pkt </w:t>
      </w:r>
      <w:r w:rsidR="00E2758D" w:rsidRPr="005E2FCB">
        <w:rPr>
          <w:rFonts w:ascii="Times New Roman" w:hAnsi="Times New Roman"/>
          <w:color w:val="000000"/>
          <w:lang w:val="pl-PL"/>
        </w:rPr>
        <w:t xml:space="preserve">223), nie jest wystarczające i że </w:t>
      </w:r>
      <w:r w:rsidR="00E2758D" w:rsidRPr="005E2FCB">
        <w:rPr>
          <w:lang w:val="pl-PL"/>
        </w:rPr>
        <w:t>takie postanowienie musi również odzwierciedlać skuteczne zbadanie pilności sprawy przez sąd i</w:t>
      </w:r>
      <w:r w:rsidR="00FA4E5E" w:rsidRPr="005E2FCB">
        <w:rPr>
          <w:lang w:val="pl-PL"/>
        </w:rPr>
        <w:t> </w:t>
      </w:r>
      <w:r w:rsidR="00E2758D" w:rsidRPr="005E2FCB">
        <w:rPr>
          <w:lang w:val="pl-PL"/>
        </w:rPr>
        <w:t xml:space="preserve">przedstawiać argumenty w tym zakresie (zob., odpowiednio, </w:t>
      </w:r>
      <w:proofErr w:type="spellStart"/>
      <w:r w:rsidR="00E2758D" w:rsidRPr="005E2FCB">
        <w:rPr>
          <w:i/>
          <w:iCs/>
          <w:lang w:val="pl-PL"/>
        </w:rPr>
        <w:t>Govedarski</w:t>
      </w:r>
      <w:proofErr w:type="spellEnd"/>
      <w:r w:rsidR="00E2758D" w:rsidRPr="005E2FCB">
        <w:rPr>
          <w:lang w:val="pl-PL"/>
        </w:rPr>
        <w:t xml:space="preserve">, </w:t>
      </w:r>
      <w:r w:rsidR="00945FF8">
        <w:rPr>
          <w:lang w:val="pl-PL"/>
        </w:rPr>
        <w:t xml:space="preserve">cyt. pow., </w:t>
      </w:r>
      <w:r w:rsidR="0087400E">
        <w:rPr>
          <w:lang w:val="pl-PL"/>
        </w:rPr>
        <w:t>pkt </w:t>
      </w:r>
      <w:r w:rsidR="00E2758D" w:rsidRPr="005E2FCB">
        <w:rPr>
          <w:lang w:val="pl-PL"/>
        </w:rPr>
        <w:t xml:space="preserve">85 i </w:t>
      </w:r>
      <w:proofErr w:type="spellStart"/>
      <w:r w:rsidR="00E2758D" w:rsidRPr="005E2FCB">
        <w:rPr>
          <w:i/>
          <w:iCs/>
          <w:lang w:val="pl-PL"/>
        </w:rPr>
        <w:t>Stoyanov</w:t>
      </w:r>
      <w:proofErr w:type="spellEnd"/>
      <w:r w:rsidR="00E2758D" w:rsidRPr="005E2FCB">
        <w:rPr>
          <w:lang w:val="pl-PL"/>
        </w:rPr>
        <w:t xml:space="preserve">, </w:t>
      </w:r>
      <w:r w:rsidR="00945FF8">
        <w:rPr>
          <w:lang w:val="pl-PL"/>
        </w:rPr>
        <w:t>cyt. pow.,</w:t>
      </w:r>
      <w:r w:rsidR="00E2758D" w:rsidRPr="005E2FCB">
        <w:rPr>
          <w:lang w:val="pl-PL"/>
        </w:rPr>
        <w:t xml:space="preserve"> </w:t>
      </w:r>
      <w:r w:rsidR="0087400E">
        <w:rPr>
          <w:lang w:val="pl-PL"/>
        </w:rPr>
        <w:t>pkt </w:t>
      </w:r>
      <w:r w:rsidR="00E2758D" w:rsidRPr="005E2FCB">
        <w:rPr>
          <w:lang w:val="pl-PL"/>
        </w:rPr>
        <w:t>130).</w:t>
      </w:r>
    </w:p>
    <w:p w14:paraId="400498DD" w14:textId="25DCFE78"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18</w:t>
      </w:r>
      <w:r w:rsidRPr="005E2FCB">
        <w:rPr>
          <w:noProof/>
          <w:lang w:val="pl-PL"/>
        </w:rPr>
        <w:fldChar w:fldCharType="end"/>
      </w:r>
      <w:r w:rsidR="00E2758D" w:rsidRPr="005E2FCB">
        <w:rPr>
          <w:lang w:val="pl-PL"/>
        </w:rPr>
        <w:t xml:space="preserve">.  W niniejszej sprawie Trybunał zauważa, że Sąd Rejonowy zatwierdził sporne przeszukanie postanowieniem z </w:t>
      </w:r>
      <w:r w:rsidR="00945FF8">
        <w:rPr>
          <w:lang w:val="pl-PL"/>
        </w:rPr>
        <w:t>1</w:t>
      </w:r>
      <w:r w:rsidR="00E2758D" w:rsidRPr="005E2FCB">
        <w:rPr>
          <w:lang w:val="pl-PL"/>
        </w:rPr>
        <w:t>9 listopada 2012 r. Trybunał uważa jednak, z powodów przedstawionych poniżej, że przedmiotowe postanowienie nie miało skutku równoważącego brak nakazu sądowego.</w:t>
      </w:r>
    </w:p>
    <w:p w14:paraId="0B693992" w14:textId="13E2A03F"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19</w:t>
      </w:r>
      <w:r w:rsidRPr="005E2FCB">
        <w:rPr>
          <w:noProof/>
          <w:lang w:val="pl-PL"/>
        </w:rPr>
        <w:fldChar w:fldCharType="end"/>
      </w:r>
      <w:r w:rsidR="00E2758D" w:rsidRPr="005E2FCB">
        <w:rPr>
          <w:lang w:val="pl-PL"/>
        </w:rPr>
        <w:t xml:space="preserve">.  Trybunał odnotowuje, że Sąd Rejonowy w swoim postanowieniu zatwierdzającym przeszukanie przytoczył jedynie odpowiednie przepisy prawa i stwierdził, że skoro celem przeszukania było </w:t>
      </w:r>
      <w:r w:rsidR="00C206E0">
        <w:rPr>
          <w:lang w:val="pl-PL"/>
        </w:rPr>
        <w:t>sprawdzenie</w:t>
      </w:r>
      <w:r w:rsidR="00E2758D" w:rsidRPr="005E2FCB">
        <w:rPr>
          <w:lang w:val="pl-PL"/>
        </w:rPr>
        <w:t>, czy istnieją podstawy do podejrzenia popełnienia przestępstwa, przedmiotowy środek był zgodny z prawem. Trybunał zauważa, że z uzasadnienia przedmiotowego postanowienia nie wynikało, że Sąd Rejonowy rozważał, czy przeszukanie było uzasadnione ze względu na niecierpiący zwłoki charakter sprawy, ani że przeprowadził jakąkolwiek analizę sprawy pod tym kątem. Trybunał uważa</w:t>
      </w:r>
      <w:r w:rsidR="00C206E0">
        <w:rPr>
          <w:lang w:val="pl-PL"/>
        </w:rPr>
        <w:t>,</w:t>
      </w:r>
      <w:r w:rsidR="00E2758D" w:rsidRPr="005E2FCB">
        <w:rPr>
          <w:lang w:val="pl-PL"/>
        </w:rPr>
        <w:t xml:space="preserve"> że wobec braku jakiegokolwiek oświadczenia na ten temat ze strony Sądu Rejonowego, nie wykazano, że przeprowadził on skuteczną kontrolę legalności i konieczności zaskarżonego środka.</w:t>
      </w:r>
    </w:p>
    <w:p w14:paraId="5ED23D00" w14:textId="7752845B"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20</w:t>
      </w:r>
      <w:r w:rsidRPr="005E2FCB">
        <w:rPr>
          <w:noProof/>
          <w:lang w:val="pl-PL"/>
        </w:rPr>
        <w:fldChar w:fldCharType="end"/>
      </w:r>
      <w:r w:rsidR="00E2758D" w:rsidRPr="005E2FCB">
        <w:rPr>
          <w:lang w:val="pl-PL"/>
        </w:rPr>
        <w:t xml:space="preserve">.  Zdaniem Trybunału taka kontrola była </w:t>
      </w:r>
      <w:r w:rsidR="00081D96">
        <w:rPr>
          <w:lang w:val="pl-PL"/>
        </w:rPr>
        <w:t xml:space="preserve">w niniejszej sprawie jednak </w:t>
      </w:r>
      <w:r w:rsidR="00E2758D" w:rsidRPr="005E2FCB">
        <w:rPr>
          <w:lang w:val="pl-PL"/>
        </w:rPr>
        <w:t>tym bardziej konieczna, że przestępstwo</w:t>
      </w:r>
      <w:r w:rsidR="00081D96">
        <w:rPr>
          <w:lang w:val="pl-PL"/>
        </w:rPr>
        <w:t xml:space="preserve"> zarzucane skarżącemu</w:t>
      </w:r>
      <w:r w:rsidR="00E2758D" w:rsidRPr="005E2FCB">
        <w:rPr>
          <w:lang w:val="pl-PL"/>
        </w:rPr>
        <w:t xml:space="preserve">, nie było poważne, a zainteresowany nie był obecny w miejscu przeszukania. Trybunał odnotowuje ponadto, że nie wydaje się, aby organy śledcze </w:t>
      </w:r>
      <w:r w:rsidR="00081D96">
        <w:rPr>
          <w:lang w:val="pl-PL"/>
        </w:rPr>
        <w:t>rozważyły</w:t>
      </w:r>
      <w:r w:rsidR="00E2758D" w:rsidRPr="005E2FCB">
        <w:rPr>
          <w:lang w:val="pl-PL"/>
        </w:rPr>
        <w:t>, czy skarżący – jako strona postępowania o</w:t>
      </w:r>
      <w:r w:rsidR="00961B9B">
        <w:rPr>
          <w:lang w:val="pl-PL"/>
        </w:rPr>
        <w:t> </w:t>
      </w:r>
      <w:r w:rsidR="00E2758D" w:rsidRPr="005E2FCB">
        <w:rPr>
          <w:lang w:val="pl-PL"/>
        </w:rPr>
        <w:t>wymeldowanie z</w:t>
      </w:r>
      <w:r w:rsidR="00EE0ECD">
        <w:rPr>
          <w:lang w:val="pl-PL"/>
        </w:rPr>
        <w:t> </w:t>
      </w:r>
      <w:r w:rsidR="00E2758D" w:rsidRPr="005E2FCB">
        <w:rPr>
          <w:lang w:val="pl-PL"/>
        </w:rPr>
        <w:t xml:space="preserve">mieszkania, o którym mowa w </w:t>
      </w:r>
      <w:r w:rsidR="00961B9B">
        <w:rPr>
          <w:lang w:val="pl-PL"/>
        </w:rPr>
        <w:t>pkt </w:t>
      </w:r>
      <w:r w:rsidR="00E2758D" w:rsidRPr="005E2FCB">
        <w:rPr>
          <w:lang w:val="pl-PL"/>
        </w:rPr>
        <w:fldChar w:fldCharType="begin"/>
      </w:r>
      <w:r w:rsidR="00E2758D" w:rsidRPr="005E2FCB">
        <w:rPr>
          <w:lang w:val="pl-PL"/>
        </w:rPr>
        <w:instrText xml:space="preserve"> REF paragraph00004 \h  \* CharFormat </w:instrText>
      </w:r>
      <w:r w:rsidR="00E2758D" w:rsidRPr="005E2FCB">
        <w:rPr>
          <w:lang w:val="pl-PL"/>
        </w:rPr>
      </w:r>
      <w:r w:rsidR="00E2758D" w:rsidRPr="005E2FCB">
        <w:rPr>
          <w:lang w:val="pl-PL"/>
        </w:rPr>
        <w:fldChar w:fldCharType="separate"/>
      </w:r>
      <w:r w:rsidR="00E2758D" w:rsidRPr="005E2FCB">
        <w:rPr>
          <w:lang w:val="pl-PL"/>
        </w:rPr>
        <w:t>4</w:t>
      </w:r>
      <w:r w:rsidR="00E2758D" w:rsidRPr="005E2FCB">
        <w:rPr>
          <w:lang w:val="pl-PL"/>
        </w:rPr>
        <w:fldChar w:fldCharType="end"/>
      </w:r>
      <w:r w:rsidR="00E2758D" w:rsidRPr="005E2FCB">
        <w:rPr>
          <w:lang w:val="pl-PL"/>
        </w:rPr>
        <w:t xml:space="preserve"> powyżej – mógł, w sposób zgodny z prawem, uzyskać akt notarialny, o którego kradzież był podejrzany, zważywszy, że dokument ten został uprzednio </w:t>
      </w:r>
      <w:r w:rsidR="00081D96">
        <w:rPr>
          <w:lang w:val="pl-PL"/>
        </w:rPr>
        <w:t>włączony do akt</w:t>
      </w:r>
      <w:r w:rsidR="00E2758D" w:rsidRPr="005E2FCB">
        <w:rPr>
          <w:lang w:val="pl-PL"/>
        </w:rPr>
        <w:t xml:space="preserve"> </w:t>
      </w:r>
      <w:r w:rsidR="00081D96">
        <w:rPr>
          <w:lang w:val="pl-PL"/>
        </w:rPr>
        <w:t>wspomnianej sprawy</w:t>
      </w:r>
      <w:r w:rsidR="00E2758D" w:rsidRPr="005E2FCB">
        <w:rPr>
          <w:lang w:val="pl-PL"/>
        </w:rPr>
        <w:t>.</w:t>
      </w:r>
    </w:p>
    <w:p w14:paraId="427B1439" w14:textId="7E21CE70"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21</w:t>
      </w:r>
      <w:r w:rsidRPr="005E2FCB">
        <w:rPr>
          <w:noProof/>
          <w:lang w:val="pl-PL"/>
        </w:rPr>
        <w:fldChar w:fldCharType="end"/>
      </w:r>
      <w:r w:rsidR="00E2758D" w:rsidRPr="005E2FCB">
        <w:rPr>
          <w:lang w:val="pl-PL"/>
        </w:rPr>
        <w:t>.  Trybunał uznaje, że</w:t>
      </w:r>
      <w:r w:rsidR="00455085">
        <w:rPr>
          <w:lang w:val="pl-PL"/>
        </w:rPr>
        <w:t>,</w:t>
      </w:r>
      <w:r w:rsidR="00E2758D" w:rsidRPr="005E2FCB">
        <w:rPr>
          <w:lang w:val="pl-PL"/>
        </w:rPr>
        <w:t xml:space="preserve"> wobec braku uprzedniej zgody sędziego i</w:t>
      </w:r>
      <w:r w:rsidR="00FA4E5E" w:rsidRPr="005E2FCB">
        <w:rPr>
          <w:lang w:val="pl-PL"/>
        </w:rPr>
        <w:t> </w:t>
      </w:r>
      <w:r w:rsidR="00E2758D" w:rsidRPr="005E2FCB">
        <w:rPr>
          <w:lang w:val="pl-PL"/>
        </w:rPr>
        <w:t>skutecznej kontroli po przeszukaniu, skarżący nie korzystał z</w:t>
      </w:r>
      <w:r w:rsidR="00FA4E5E" w:rsidRPr="005E2FCB">
        <w:rPr>
          <w:lang w:val="pl-PL"/>
        </w:rPr>
        <w:t> </w:t>
      </w:r>
      <w:r w:rsidR="00E2758D" w:rsidRPr="005E2FCB">
        <w:rPr>
          <w:lang w:val="pl-PL"/>
        </w:rPr>
        <w:t>wystarczających gwarancji proceduralnych, aby zapobiec ryzyku nadużycia władzy przez organy śledcze.</w:t>
      </w:r>
    </w:p>
    <w:p w14:paraId="06C3A5C7" w14:textId="2CD9B211"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22</w:t>
      </w:r>
      <w:r w:rsidRPr="005E2FCB">
        <w:rPr>
          <w:noProof/>
          <w:lang w:val="pl-PL"/>
        </w:rPr>
        <w:fldChar w:fldCharType="end"/>
      </w:r>
      <w:r w:rsidR="00E2758D" w:rsidRPr="005E2FCB">
        <w:rPr>
          <w:lang w:val="pl-PL"/>
        </w:rPr>
        <w:t xml:space="preserve">.  Czynnik ten jest </w:t>
      </w:r>
      <w:r w:rsidR="00226259" w:rsidRPr="005E2FCB">
        <w:rPr>
          <w:lang w:val="pl-PL"/>
        </w:rPr>
        <w:t xml:space="preserve">wystarczający </w:t>
      </w:r>
      <w:r w:rsidR="00E2758D" w:rsidRPr="005E2FCB">
        <w:rPr>
          <w:lang w:val="pl-PL"/>
        </w:rPr>
        <w:t xml:space="preserve">dla Trybunału, aby stwierdzić, że nawet jeśli </w:t>
      </w:r>
      <w:r w:rsidR="00226259">
        <w:rPr>
          <w:lang w:val="pl-PL"/>
        </w:rPr>
        <w:t>kwestionowana czynność</w:t>
      </w:r>
      <w:r w:rsidR="00E2758D" w:rsidRPr="005E2FCB">
        <w:rPr>
          <w:lang w:val="pl-PL"/>
        </w:rPr>
        <w:t xml:space="preserve"> </w:t>
      </w:r>
      <w:r w:rsidR="00226259">
        <w:rPr>
          <w:lang w:val="pl-PL"/>
        </w:rPr>
        <w:t xml:space="preserve">dochodzeniowa </w:t>
      </w:r>
      <w:r w:rsidR="00E2758D" w:rsidRPr="005E2FCB">
        <w:rPr>
          <w:lang w:val="pl-PL"/>
        </w:rPr>
        <w:t>miał</w:t>
      </w:r>
      <w:r w:rsidR="00226259">
        <w:rPr>
          <w:lang w:val="pl-PL"/>
        </w:rPr>
        <w:t>a</w:t>
      </w:r>
      <w:r w:rsidR="00E2758D" w:rsidRPr="005E2FCB">
        <w:rPr>
          <w:lang w:val="pl-PL"/>
        </w:rPr>
        <w:t xml:space="preserve"> podstawę prawną w</w:t>
      </w:r>
      <w:r w:rsidR="00FA4E5E" w:rsidRPr="005E2FCB">
        <w:rPr>
          <w:lang w:val="pl-PL"/>
        </w:rPr>
        <w:t> </w:t>
      </w:r>
      <w:r w:rsidR="00E2758D" w:rsidRPr="005E2FCB">
        <w:rPr>
          <w:lang w:val="pl-PL"/>
        </w:rPr>
        <w:t>prawie krajowym, ustawodawstwo krajowe nie zapewniało skarżącemu, w</w:t>
      </w:r>
      <w:r w:rsidR="00FA4E5E" w:rsidRPr="005E2FCB">
        <w:rPr>
          <w:lang w:val="pl-PL"/>
        </w:rPr>
        <w:t> </w:t>
      </w:r>
      <w:r w:rsidR="00E2758D" w:rsidRPr="005E2FCB">
        <w:rPr>
          <w:lang w:val="pl-PL"/>
        </w:rPr>
        <w:t xml:space="preserve">okolicznościach niniejszej sprawy, ani przed, ani po </w:t>
      </w:r>
      <w:r w:rsidR="00226259">
        <w:rPr>
          <w:lang w:val="pl-PL"/>
        </w:rPr>
        <w:t>kwestionowanym</w:t>
      </w:r>
      <w:r w:rsidR="00226259" w:rsidRPr="005E2FCB">
        <w:rPr>
          <w:lang w:val="pl-PL"/>
        </w:rPr>
        <w:t xml:space="preserve"> </w:t>
      </w:r>
      <w:r w:rsidR="00E2758D" w:rsidRPr="005E2FCB">
        <w:rPr>
          <w:lang w:val="pl-PL"/>
        </w:rPr>
        <w:t>przeszukaniu, wystarczających zabezpieczeń przed arbitralnością. Skarżący został zatem pozbawiony w tym zakresie ochrony należnej mu zgodnie z</w:t>
      </w:r>
      <w:r w:rsidR="008569A5">
        <w:rPr>
          <w:lang w:val="pl-PL"/>
        </w:rPr>
        <w:t> </w:t>
      </w:r>
      <w:r w:rsidR="00E2758D" w:rsidRPr="005E2FCB">
        <w:rPr>
          <w:lang w:val="pl-PL"/>
        </w:rPr>
        <w:t>zasadą rządów prawa w społeczeństwie demokratycznym (zob., odpowiednio</w:t>
      </w:r>
      <w:r w:rsidR="006D521C">
        <w:rPr>
          <w:lang w:val="pl-PL"/>
        </w:rPr>
        <w:t>,</w:t>
      </w:r>
      <w:r w:rsidR="00E2758D" w:rsidRPr="005E2FCB">
        <w:rPr>
          <w:lang w:val="pl-PL"/>
        </w:rPr>
        <w:t xml:space="preserve"> </w:t>
      </w:r>
      <w:proofErr w:type="spellStart"/>
      <w:r w:rsidR="00E2758D" w:rsidRPr="005E2FCB">
        <w:rPr>
          <w:i/>
          <w:iCs/>
          <w:lang w:val="pl-PL"/>
        </w:rPr>
        <w:t>Govedarski</w:t>
      </w:r>
      <w:proofErr w:type="spellEnd"/>
      <w:r w:rsidR="00E2758D" w:rsidRPr="005E2FCB">
        <w:rPr>
          <w:lang w:val="pl-PL"/>
        </w:rPr>
        <w:t xml:space="preserve">, </w:t>
      </w:r>
      <w:r w:rsidR="00226259">
        <w:rPr>
          <w:snapToGrid w:val="0"/>
          <w:lang w:val="pl-PL"/>
        </w:rPr>
        <w:t>cyt. pow.,</w:t>
      </w:r>
      <w:r w:rsidR="00E2758D" w:rsidRPr="005E2FCB">
        <w:rPr>
          <w:snapToGrid w:val="0"/>
          <w:lang w:val="pl-PL"/>
        </w:rPr>
        <w:t xml:space="preserve"> </w:t>
      </w:r>
      <w:r w:rsidR="006D521C">
        <w:rPr>
          <w:snapToGrid w:val="0"/>
          <w:lang w:val="pl-PL"/>
        </w:rPr>
        <w:t>pkt </w:t>
      </w:r>
      <w:r w:rsidR="00E2758D" w:rsidRPr="005E2FCB">
        <w:rPr>
          <w:snapToGrid w:val="0"/>
          <w:lang w:val="pl-PL"/>
        </w:rPr>
        <w:t xml:space="preserve">88, </w:t>
      </w:r>
      <w:proofErr w:type="spellStart"/>
      <w:r w:rsidR="00E2758D" w:rsidRPr="005E2FCB">
        <w:rPr>
          <w:i/>
          <w:iCs/>
          <w:lang w:val="pl-PL"/>
        </w:rPr>
        <w:t>Stoyanov</w:t>
      </w:r>
      <w:proofErr w:type="spellEnd"/>
      <w:r w:rsidR="00E2758D" w:rsidRPr="005E2FCB">
        <w:rPr>
          <w:i/>
          <w:iCs/>
          <w:lang w:val="pl-PL"/>
        </w:rPr>
        <w:t xml:space="preserve"> i </w:t>
      </w:r>
      <w:r w:rsidR="00226259">
        <w:rPr>
          <w:i/>
          <w:iCs/>
          <w:lang w:val="pl-PL"/>
        </w:rPr>
        <w:t>I</w:t>
      </w:r>
      <w:r w:rsidR="00E2758D" w:rsidRPr="005E2FCB">
        <w:rPr>
          <w:i/>
          <w:iCs/>
          <w:lang w:val="pl-PL"/>
        </w:rPr>
        <w:t>nni</w:t>
      </w:r>
      <w:r w:rsidR="00E2758D" w:rsidRPr="005E2FCB">
        <w:rPr>
          <w:lang w:val="pl-PL"/>
        </w:rPr>
        <w:t xml:space="preserve">, </w:t>
      </w:r>
      <w:r w:rsidR="00226259">
        <w:rPr>
          <w:snapToGrid w:val="0"/>
          <w:lang w:val="pl-PL"/>
        </w:rPr>
        <w:t xml:space="preserve">cyt. pow., </w:t>
      </w:r>
      <w:r w:rsidR="006D521C">
        <w:rPr>
          <w:snapToGrid w:val="0"/>
          <w:lang w:val="pl-PL"/>
        </w:rPr>
        <w:t>pkt </w:t>
      </w:r>
      <w:r w:rsidR="00E2758D" w:rsidRPr="005E2FCB">
        <w:rPr>
          <w:snapToGrid w:val="0"/>
          <w:lang w:val="pl-PL"/>
        </w:rPr>
        <w:t xml:space="preserve">133 oraz </w:t>
      </w:r>
      <w:proofErr w:type="spellStart"/>
      <w:r w:rsidR="00E2758D" w:rsidRPr="005E2FCB">
        <w:rPr>
          <w:i/>
          <w:iCs/>
          <w:lang w:val="pl-PL"/>
        </w:rPr>
        <w:t>Hristova</w:t>
      </w:r>
      <w:proofErr w:type="spellEnd"/>
      <w:r w:rsidR="00E2758D" w:rsidRPr="005E2FCB">
        <w:rPr>
          <w:i/>
          <w:iCs/>
          <w:lang w:val="pl-PL"/>
        </w:rPr>
        <w:t xml:space="preserve"> i </w:t>
      </w:r>
      <w:r w:rsidR="00226259">
        <w:rPr>
          <w:i/>
          <w:iCs/>
          <w:lang w:val="pl-PL"/>
        </w:rPr>
        <w:t>I</w:t>
      </w:r>
      <w:r w:rsidR="00E2758D" w:rsidRPr="005E2FCB">
        <w:rPr>
          <w:i/>
          <w:iCs/>
          <w:lang w:val="pl-PL"/>
        </w:rPr>
        <w:t>nni p</w:t>
      </w:r>
      <w:r w:rsidR="00226259">
        <w:rPr>
          <w:i/>
          <w:iCs/>
          <w:lang w:val="pl-PL"/>
        </w:rPr>
        <w:t>.</w:t>
      </w:r>
      <w:r w:rsidR="00E2758D" w:rsidRPr="005E2FCB">
        <w:rPr>
          <w:i/>
          <w:iCs/>
          <w:lang w:val="pl-PL"/>
        </w:rPr>
        <w:t xml:space="preserve"> Bułgarii</w:t>
      </w:r>
      <w:r w:rsidR="00E2758D" w:rsidRPr="005E2FCB">
        <w:rPr>
          <w:lang w:val="pl-PL"/>
        </w:rPr>
        <w:t xml:space="preserve">, nr 48411/15, </w:t>
      </w:r>
      <w:r w:rsidR="006D521C">
        <w:rPr>
          <w:lang w:val="pl-PL"/>
        </w:rPr>
        <w:t>pkt </w:t>
      </w:r>
      <w:r w:rsidR="00E2758D" w:rsidRPr="005E2FCB">
        <w:rPr>
          <w:lang w:val="pl-PL"/>
        </w:rPr>
        <w:t>9, 14</w:t>
      </w:r>
      <w:r w:rsidR="006D521C">
        <w:rPr>
          <w:lang w:val="pl-PL"/>
        </w:rPr>
        <w:t> </w:t>
      </w:r>
      <w:r w:rsidR="00E2758D" w:rsidRPr="005E2FCB">
        <w:rPr>
          <w:lang w:val="pl-PL"/>
        </w:rPr>
        <w:t>czerwca 2022 r.). W</w:t>
      </w:r>
      <w:r w:rsidR="008569A5">
        <w:rPr>
          <w:lang w:val="pl-PL"/>
        </w:rPr>
        <w:t> </w:t>
      </w:r>
      <w:r w:rsidR="00E2758D" w:rsidRPr="005E2FCB">
        <w:rPr>
          <w:lang w:val="pl-PL"/>
        </w:rPr>
        <w:t xml:space="preserve">tych okolicznościach Trybunał uznaje, że ingerencja w korzystanie </w:t>
      </w:r>
      <w:r w:rsidR="00E2758D" w:rsidRPr="005E2FCB">
        <w:rPr>
          <w:lang w:val="pl-PL"/>
        </w:rPr>
        <w:lastRenderedPageBreak/>
        <w:t>przez skarżącego z prawa do poszanowania jego mieszkania nie była „przewidziana przez ustawę” w rozumieniu art. 8 ust. 2 Konwencji.</w:t>
      </w:r>
    </w:p>
    <w:p w14:paraId="1ABB7952" w14:textId="6D123858" w:rsidR="00BA1BB1" w:rsidRPr="005E2FCB" w:rsidRDefault="00000000" w:rsidP="00E2758D">
      <w:pPr>
        <w:pStyle w:val="JuPara"/>
        <w:rPr>
          <w:lang w:val="pl-PL"/>
        </w:rPr>
      </w:pPr>
      <w:r w:rsidRPr="005E2FCB">
        <w:rPr>
          <w:lang w:val="pl-PL"/>
        </w:rPr>
        <w:fldChar w:fldCharType="begin"/>
      </w:r>
      <w:r w:rsidRPr="005E2FCB">
        <w:rPr>
          <w:lang w:val="pl-PL"/>
        </w:rPr>
        <w:instrText xml:space="preserve"> SEQ level0 \*arabic \* MERGEFORMAT </w:instrText>
      </w:r>
      <w:r w:rsidRPr="005E2FCB">
        <w:rPr>
          <w:lang w:val="pl-PL"/>
        </w:rPr>
        <w:fldChar w:fldCharType="separate"/>
      </w:r>
      <w:r w:rsidR="00E2758D" w:rsidRPr="005E2FCB">
        <w:rPr>
          <w:noProof/>
          <w:lang w:val="pl-PL"/>
        </w:rPr>
        <w:t>23</w:t>
      </w:r>
      <w:r w:rsidRPr="005E2FCB">
        <w:rPr>
          <w:noProof/>
          <w:lang w:val="pl-PL"/>
        </w:rPr>
        <w:fldChar w:fldCharType="end"/>
      </w:r>
      <w:r w:rsidR="00E2758D" w:rsidRPr="005E2FCB">
        <w:rPr>
          <w:lang w:val="pl-PL"/>
        </w:rPr>
        <w:t>.  Doszło zatem do naruszenia art. 8 Konwencji.</w:t>
      </w:r>
    </w:p>
    <w:p w14:paraId="2529F0D8" w14:textId="1887471E" w:rsidR="00BA1BB1" w:rsidRPr="005E2FCB" w:rsidRDefault="00BA1BB1" w:rsidP="00E2758D">
      <w:pPr>
        <w:pStyle w:val="JuHHead"/>
        <w:rPr>
          <w:lang w:val="pl-PL"/>
        </w:rPr>
      </w:pPr>
      <w:r w:rsidRPr="005E2FCB">
        <w:rPr>
          <w:bCs w:val="0"/>
          <w:lang w:val="pl-PL"/>
        </w:rPr>
        <w:t>ZASTOSOWANIE ART. 41 KONWENCJI</w:t>
      </w:r>
    </w:p>
    <w:p w14:paraId="55094ED5" w14:textId="65B5CCC1" w:rsidR="00BA1BB1" w:rsidRPr="005E2FCB" w:rsidRDefault="00BA1BB1" w:rsidP="00E2758D">
      <w:pPr>
        <w:pStyle w:val="JuPara"/>
        <w:rPr>
          <w:lang w:val="pl-PL"/>
        </w:rPr>
      </w:pPr>
      <w:r w:rsidRPr="005E2FCB">
        <w:rPr>
          <w:lang w:val="pl-PL"/>
        </w:rPr>
        <w:fldChar w:fldCharType="begin"/>
      </w:r>
      <w:r w:rsidRPr="005E2FCB">
        <w:rPr>
          <w:lang w:val="pl-PL"/>
        </w:rPr>
        <w:instrText xml:space="preserve"> SEQ level0 \*arabic </w:instrText>
      </w:r>
      <w:r w:rsidRPr="005E2FCB">
        <w:rPr>
          <w:lang w:val="pl-PL"/>
        </w:rPr>
        <w:fldChar w:fldCharType="separate"/>
      </w:r>
      <w:r w:rsidRPr="005E2FCB">
        <w:rPr>
          <w:noProof/>
          <w:lang w:val="pl-PL"/>
        </w:rPr>
        <w:t>24</w:t>
      </w:r>
      <w:r w:rsidRPr="005E2FCB">
        <w:rPr>
          <w:lang w:val="pl-PL"/>
        </w:rPr>
        <w:fldChar w:fldCharType="end"/>
      </w:r>
      <w:r w:rsidRPr="005E2FCB">
        <w:rPr>
          <w:lang w:val="pl-PL"/>
        </w:rPr>
        <w:t>.  Skarżący nie złożył wniosku o słuszne zadośćuczynienie zgodnie z</w:t>
      </w:r>
      <w:r w:rsidR="006D521C">
        <w:rPr>
          <w:lang w:val="pl-PL"/>
        </w:rPr>
        <w:t> </w:t>
      </w:r>
      <w:r w:rsidRPr="005E2FCB">
        <w:rPr>
          <w:lang w:val="pl-PL"/>
        </w:rPr>
        <w:t>art. 60 Regulaminu Trybunału. W związku z tym Trybunał uznał, że nie ma podstaw do zasądzenia na jego rzecz jakiejkolwiek kwoty z tego tytułu.</w:t>
      </w:r>
    </w:p>
    <w:p w14:paraId="61221C57" w14:textId="756E0324" w:rsidR="00BA1BB1" w:rsidRPr="005E2FCB" w:rsidRDefault="00BA1BB1" w:rsidP="00E2758D">
      <w:pPr>
        <w:pStyle w:val="JuHHead"/>
        <w:rPr>
          <w:lang w:val="pl-PL"/>
        </w:rPr>
      </w:pPr>
      <w:r w:rsidRPr="005E2FCB">
        <w:rPr>
          <w:bCs w:val="0"/>
          <w:lang w:val="pl-PL"/>
        </w:rPr>
        <w:t xml:space="preserve">Z </w:t>
      </w:r>
      <w:r w:rsidR="00602BF3">
        <w:rPr>
          <w:bCs w:val="0"/>
          <w:lang w:val="pl-PL"/>
        </w:rPr>
        <w:t>TYCH</w:t>
      </w:r>
      <w:r w:rsidR="00602BF3" w:rsidRPr="005E2FCB">
        <w:rPr>
          <w:bCs w:val="0"/>
          <w:lang w:val="pl-PL"/>
        </w:rPr>
        <w:t xml:space="preserve"> </w:t>
      </w:r>
      <w:r w:rsidRPr="005E2FCB">
        <w:rPr>
          <w:bCs w:val="0"/>
          <w:lang w:val="pl-PL"/>
        </w:rPr>
        <w:t>WZGLĘDÓW, TRYBUNAŁ, JEDNO</w:t>
      </w:r>
      <w:r w:rsidR="00602BF3">
        <w:rPr>
          <w:bCs w:val="0"/>
          <w:lang w:val="pl-PL"/>
        </w:rPr>
        <w:t>GłOŚNIE</w:t>
      </w:r>
      <w:r w:rsidRPr="005E2FCB">
        <w:rPr>
          <w:bCs w:val="0"/>
          <w:lang w:val="pl-PL"/>
        </w:rPr>
        <w:t>,</w:t>
      </w:r>
    </w:p>
    <w:p w14:paraId="74A62313" w14:textId="52563F2E" w:rsidR="00BA1BB1" w:rsidRPr="005E2FCB" w:rsidRDefault="00BA1BB1" w:rsidP="00E2758D">
      <w:pPr>
        <w:pStyle w:val="JuList"/>
        <w:rPr>
          <w:lang w:val="pl-PL"/>
        </w:rPr>
      </w:pPr>
      <w:r w:rsidRPr="005E2FCB">
        <w:rPr>
          <w:i/>
          <w:iCs/>
          <w:lang w:val="pl-PL"/>
        </w:rPr>
        <w:t>Uznaje</w:t>
      </w:r>
      <w:r w:rsidRPr="005E2FCB">
        <w:rPr>
          <w:lang w:val="pl-PL"/>
        </w:rPr>
        <w:t xml:space="preserve"> skargę za dopuszczalną w zakresie, w jakim odnosi się ona do zarzutu </w:t>
      </w:r>
      <w:r w:rsidR="00602BF3">
        <w:rPr>
          <w:lang w:val="pl-PL"/>
        </w:rPr>
        <w:t>z</w:t>
      </w:r>
      <w:r w:rsidRPr="005E2FCB">
        <w:rPr>
          <w:lang w:val="pl-PL"/>
        </w:rPr>
        <w:t xml:space="preserve"> art. 8 Konwencji</w:t>
      </w:r>
      <w:r w:rsidR="00602BF3">
        <w:rPr>
          <w:lang w:val="pl-PL"/>
        </w:rPr>
        <w:t>,</w:t>
      </w:r>
      <w:r w:rsidRPr="005E2FCB">
        <w:rPr>
          <w:lang w:val="pl-PL"/>
        </w:rPr>
        <w:t xml:space="preserve"> dotyczącego przeszukania </w:t>
      </w:r>
      <w:r w:rsidR="00DB52BA">
        <w:rPr>
          <w:lang w:val="pl-PL"/>
        </w:rPr>
        <w:t>mieszkania</w:t>
      </w:r>
      <w:r w:rsidR="00DB52BA" w:rsidRPr="005E2FCB">
        <w:rPr>
          <w:lang w:val="pl-PL"/>
        </w:rPr>
        <w:t xml:space="preserve"> </w:t>
      </w:r>
      <w:r w:rsidRPr="005E2FCB">
        <w:rPr>
          <w:lang w:val="pl-PL"/>
        </w:rPr>
        <w:t>skarżącego oraz za niedopuszczalną w pozostałym zakresie;</w:t>
      </w:r>
    </w:p>
    <w:p w14:paraId="15B1E964" w14:textId="51C2B4F5" w:rsidR="00D3796E" w:rsidRPr="005E2FCB" w:rsidRDefault="00BA1BB1" w:rsidP="00E2758D">
      <w:pPr>
        <w:pStyle w:val="JuList"/>
        <w:rPr>
          <w:lang w:val="pl-PL"/>
        </w:rPr>
      </w:pPr>
      <w:r w:rsidRPr="005E2FCB">
        <w:rPr>
          <w:i/>
          <w:iCs/>
          <w:lang w:val="pl-PL"/>
        </w:rPr>
        <w:t>Orzeka</w:t>
      </w:r>
      <w:r w:rsidRPr="005E2FCB">
        <w:rPr>
          <w:lang w:val="pl-PL"/>
        </w:rPr>
        <w:t>, że doszło do naruszenia art. 8 Konwencji</w:t>
      </w:r>
      <w:r w:rsidR="00602BF3">
        <w:rPr>
          <w:lang w:val="pl-PL"/>
        </w:rPr>
        <w:t>.</w:t>
      </w:r>
    </w:p>
    <w:p w14:paraId="21BC36BD" w14:textId="135A9F44" w:rsidR="00893F30" w:rsidRPr="005E2FCB" w:rsidRDefault="00893F30" w:rsidP="00E2758D">
      <w:pPr>
        <w:pStyle w:val="JuParaLast"/>
        <w:rPr>
          <w:lang w:val="pl-PL"/>
        </w:rPr>
      </w:pPr>
      <w:r w:rsidRPr="005E2FCB">
        <w:rPr>
          <w:lang w:val="pl-PL"/>
        </w:rPr>
        <w:t xml:space="preserve">Sporządzono w języku francuskim i </w:t>
      </w:r>
      <w:r w:rsidR="00602BF3">
        <w:rPr>
          <w:lang w:val="pl-PL"/>
        </w:rPr>
        <w:t>obwieszczono</w:t>
      </w:r>
      <w:r w:rsidR="00602BF3" w:rsidRPr="005E2FCB">
        <w:rPr>
          <w:lang w:val="pl-PL"/>
        </w:rPr>
        <w:t xml:space="preserve"> </w:t>
      </w:r>
      <w:r w:rsidRPr="005E2FCB">
        <w:rPr>
          <w:lang w:val="pl-PL"/>
        </w:rPr>
        <w:t xml:space="preserve">w formie pisemnej </w:t>
      </w:r>
      <w:r w:rsidR="00602BF3">
        <w:rPr>
          <w:lang w:val="pl-PL"/>
        </w:rPr>
        <w:br/>
      </w:r>
      <w:r w:rsidRPr="005E2FCB">
        <w:rPr>
          <w:lang w:val="pl-PL"/>
        </w:rPr>
        <w:t>8 czerwca 2023 r., zgodnie z Regułą 77 §§ 2 i 3 Regulaminu.</w:t>
      </w:r>
    </w:p>
    <w:p w14:paraId="4C8CADF3" w14:textId="20FCAE91" w:rsidR="00F94531" w:rsidRPr="005E2FCB" w:rsidRDefault="00510D77" w:rsidP="00E2758D">
      <w:pPr>
        <w:pStyle w:val="JuSigned"/>
        <w:keepNext/>
        <w:keepLines/>
        <w:rPr>
          <w:color w:val="F8F8F8" w:themeColor="background2"/>
          <w:lang w:val="pl-PL"/>
        </w:rPr>
      </w:pPr>
      <w:r w:rsidRPr="005E2FCB">
        <w:rPr>
          <w:lang w:val="pl-PL"/>
        </w:rPr>
        <w:tab/>
      </w:r>
    </w:p>
    <w:p w14:paraId="6FF69ED8" w14:textId="1413D262" w:rsidR="00876F03" w:rsidRPr="005E2FCB" w:rsidRDefault="00086E70" w:rsidP="00E2758D">
      <w:pPr>
        <w:pStyle w:val="JuSigned"/>
        <w:rPr>
          <w:lang w:val="pl-PL"/>
        </w:rPr>
      </w:pPr>
      <w:r w:rsidRPr="005E2FCB">
        <w:rPr>
          <w:lang w:val="pl-PL"/>
        </w:rPr>
        <w:tab/>
      </w:r>
      <w:r w:rsidRPr="005E2FCB">
        <w:rPr>
          <w:noProof/>
          <w:lang w:val="pl-PL"/>
        </w:rPr>
        <w:t>Attila Teplán</w:t>
      </w:r>
      <w:r w:rsidRPr="005E2FCB">
        <w:rPr>
          <w:lang w:val="pl-PL"/>
        </w:rPr>
        <w:tab/>
      </w:r>
      <w:r w:rsidRPr="005E2FCB">
        <w:rPr>
          <w:noProof/>
          <w:lang w:val="pl-PL"/>
        </w:rPr>
        <w:t>Lətif Hüseynov</w:t>
      </w:r>
      <w:r w:rsidRPr="005E2FCB">
        <w:rPr>
          <w:lang w:val="pl-PL"/>
        </w:rPr>
        <w:br/>
      </w:r>
      <w:r w:rsidRPr="005E2FCB">
        <w:rPr>
          <w:lang w:val="pl-PL"/>
        </w:rPr>
        <w:tab/>
      </w:r>
      <w:r w:rsidRPr="005E2FCB">
        <w:rPr>
          <w:noProof/>
          <w:lang w:val="pl-PL"/>
        </w:rPr>
        <w:t xml:space="preserve">p.o. </w:t>
      </w:r>
      <w:r w:rsidR="00602BF3">
        <w:rPr>
          <w:noProof/>
          <w:lang w:val="pl-PL"/>
        </w:rPr>
        <w:t>Z</w:t>
      </w:r>
      <w:r w:rsidRPr="005E2FCB">
        <w:rPr>
          <w:noProof/>
          <w:lang w:val="pl-PL"/>
        </w:rPr>
        <w:t xml:space="preserve">astępcy </w:t>
      </w:r>
      <w:r w:rsidR="00602BF3">
        <w:rPr>
          <w:noProof/>
          <w:lang w:val="pl-PL"/>
        </w:rPr>
        <w:t>K</w:t>
      </w:r>
      <w:r w:rsidRPr="005E2FCB">
        <w:rPr>
          <w:noProof/>
          <w:lang w:val="pl-PL"/>
        </w:rPr>
        <w:t>anclerza</w:t>
      </w:r>
      <w:r w:rsidRPr="005E2FCB">
        <w:rPr>
          <w:lang w:val="pl-PL"/>
        </w:rPr>
        <w:tab/>
      </w:r>
      <w:r w:rsidRPr="005E2FCB">
        <w:rPr>
          <w:noProof/>
          <w:lang w:val="pl-PL"/>
        </w:rPr>
        <w:t>Przewodniczący</w:t>
      </w:r>
    </w:p>
    <w:sectPr w:rsidR="00876F03" w:rsidRPr="005E2FCB">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E4815" w14:textId="77777777" w:rsidR="00610831" w:rsidRPr="00BA1BB1" w:rsidRDefault="00610831" w:rsidP="00516B59">
      <w:r>
        <w:separator/>
      </w:r>
    </w:p>
  </w:endnote>
  <w:endnote w:type="continuationSeparator" w:id="0">
    <w:p w14:paraId="68C16E6F" w14:textId="77777777" w:rsidR="00610831" w:rsidRPr="00BA1BB1" w:rsidRDefault="00610831" w:rsidP="0051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6B8ED" w14:textId="7C0E358F" w:rsidR="00954AD6" w:rsidRPr="00BA1BB1" w:rsidRDefault="00BA1BB1" w:rsidP="00954AD6">
    <w:pPr>
      <w:pStyle w:val="JuHeader"/>
    </w:pPr>
    <w:r>
      <w:rPr>
        <w:lang w:val="pl"/>
      </w:rPr>
      <w:fldChar w:fldCharType="begin"/>
    </w:r>
    <w:r>
      <w:rPr>
        <w:lang w:val="pl"/>
      </w:rPr>
      <w:instrText xml:space="preserve"> PAGE </w:instrText>
    </w:r>
    <w:r>
      <w:rPr>
        <w:lang w:val="pl"/>
      </w:rPr>
      <w:fldChar w:fldCharType="separate"/>
    </w:r>
    <w:r>
      <w:rPr>
        <w:noProof/>
        <w:lang w:val="pl"/>
      </w:rPr>
      <w:t>2</w:t>
    </w:r>
    <w:r>
      <w:rPr>
        <w:lang w:val="p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428E6" w14:textId="0BB859B5" w:rsidR="00BA1BB1" w:rsidRPr="00150BFA" w:rsidRDefault="00BA1BB1" w:rsidP="0020718E">
    <w:pPr>
      <w:jc w:val="center"/>
    </w:pPr>
    <w:r>
      <w:rPr>
        <w:noProof/>
        <w:lang w:val="pl"/>
      </w:rPr>
      <w:drawing>
        <wp:inline distT="0" distB="0" distL="0" distR="0" wp14:anchorId="1D290CC9" wp14:editId="4ADC380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203669C" w14:textId="7D5D9F61" w:rsidR="00F22D5C" w:rsidRPr="00BA1BB1" w:rsidRDefault="00000000"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1C02" w14:textId="01801D0D" w:rsidR="00BA1BB1" w:rsidRPr="00150BFA" w:rsidRDefault="00BA1BB1" w:rsidP="0020718E">
    <w:pPr>
      <w:jc w:val="center"/>
    </w:pPr>
    <w:r>
      <w:rPr>
        <w:noProof/>
        <w:lang w:val="pl"/>
      </w:rPr>
      <w:drawing>
        <wp:inline distT="0" distB="0" distL="0" distR="0" wp14:anchorId="1F9180C5" wp14:editId="2C05C196">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EE392E3" w14:textId="73E05DEC" w:rsidR="00902601" w:rsidRPr="00BA1BB1" w:rsidRDefault="00902601"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3FF88" w14:textId="79FFBFB2" w:rsidR="00F22D5C" w:rsidRPr="00D01935" w:rsidRDefault="00BA1BB1" w:rsidP="00662882">
    <w:pPr>
      <w:pStyle w:val="JuHeader"/>
    </w:pPr>
    <w:r>
      <w:rPr>
        <w:lang w:val="pl"/>
      </w:rPr>
      <w:fldChar w:fldCharType="begin"/>
    </w:r>
    <w:r>
      <w:rPr>
        <w:lang w:val="pl"/>
      </w:rPr>
      <w:instrText xml:space="preserve"> PAGE </w:instrText>
    </w:r>
    <w:r>
      <w:rPr>
        <w:lang w:val="pl"/>
      </w:rPr>
      <w:fldChar w:fldCharType="separate"/>
    </w:r>
    <w:r>
      <w:rPr>
        <w:noProof/>
        <w:lang w:val="pl"/>
      </w:rPr>
      <w:t>3</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AEEA5" w14:textId="77777777" w:rsidR="00610831" w:rsidRPr="00BA1BB1" w:rsidRDefault="00610831" w:rsidP="00516B59">
      <w:r>
        <w:separator/>
      </w:r>
    </w:p>
  </w:footnote>
  <w:footnote w:type="continuationSeparator" w:id="0">
    <w:p w14:paraId="43D4FDBD" w14:textId="77777777" w:rsidR="00610831" w:rsidRPr="00BA1BB1" w:rsidRDefault="00610831" w:rsidP="00516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10332" w14:textId="76A5AA84" w:rsidR="00BA1BB1" w:rsidRPr="00A45145" w:rsidRDefault="00BA1BB1" w:rsidP="00A45145">
    <w:pPr>
      <w:jc w:val="center"/>
    </w:pPr>
    <w:r>
      <w:rPr>
        <w:noProof/>
        <w:lang w:val="pl"/>
      </w:rPr>
      <w:drawing>
        <wp:inline distT="0" distB="0" distL="0" distR="0" wp14:anchorId="50A1D5E6" wp14:editId="6B97B2D7">
          <wp:extent cx="2962275" cy="1219200"/>
          <wp:effectExtent l="0" t="0" r="9525" b="0"/>
          <wp:docPr id="63" name="Picture 6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F30DA09" w14:textId="35B4DD97" w:rsidR="00F22D5C" w:rsidRPr="00BA1BB1" w:rsidRDefault="00000000" w:rsidP="009840A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13EC" w14:textId="46249963" w:rsidR="00BA1BB1" w:rsidRPr="00A45145" w:rsidRDefault="00BA1BB1" w:rsidP="00A45145">
    <w:pPr>
      <w:jc w:val="center"/>
    </w:pPr>
    <w:r>
      <w:rPr>
        <w:noProof/>
        <w:lang w:val="pl"/>
      </w:rPr>
      <w:drawing>
        <wp:inline distT="0" distB="0" distL="0" distR="0" wp14:anchorId="67ADC474" wp14:editId="1056747B">
          <wp:extent cx="2962275" cy="1219200"/>
          <wp:effectExtent l="0" t="0" r="9525" b="0"/>
          <wp:docPr id="57" name="Picture 5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DE4A398" w14:textId="5FBF3A18" w:rsidR="00902601" w:rsidRPr="00BA1BB1" w:rsidRDefault="00902601" w:rsidP="00902601">
    <w:pPr>
      <w:jc w:val="center"/>
      <w:rPr>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AA12" w14:textId="2CDC9E98" w:rsidR="00F22D5C" w:rsidRPr="00FA4E5E" w:rsidRDefault="00A21624" w:rsidP="00A21624">
    <w:pPr>
      <w:pStyle w:val="JuHeader"/>
      <w:rPr>
        <w:lang w:val="pl-PL"/>
      </w:rPr>
    </w:pPr>
    <w:r>
      <w:rPr>
        <w:lang w:val="pl"/>
      </w:rPr>
      <w:t>WYROK W SPRAWIE MAZOWIECKI przeciwko POLSCE</w:t>
    </w:r>
    <w:r>
      <w:rPr>
        <w:noProof/>
        <w:lang w:val="p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37A04" w14:textId="560A9A65" w:rsidR="00F22D5C" w:rsidRPr="00FA4E5E" w:rsidRDefault="00256F45" w:rsidP="00662882">
    <w:pPr>
      <w:pStyle w:val="JuHeader"/>
      <w:rPr>
        <w:lang w:val="pl-PL"/>
      </w:rPr>
    </w:pPr>
    <w:r>
      <w:rPr>
        <w:lang w:val="pl"/>
      </w:rPr>
      <w:t xml:space="preserve">WYROK W SPRAWIE MAZOWIECKI przeciwko POLSCE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16cid:durableId="477963307">
    <w:abstractNumId w:val="13"/>
  </w:num>
  <w:num w:numId="2" w16cid:durableId="1022979733">
    <w:abstractNumId w:val="11"/>
  </w:num>
  <w:num w:numId="3" w16cid:durableId="1901087805">
    <w:abstractNumId w:val="10"/>
  </w:num>
  <w:num w:numId="4" w16cid:durableId="484787598">
    <w:abstractNumId w:val="16"/>
  </w:num>
  <w:num w:numId="5" w16cid:durableId="1566843430">
    <w:abstractNumId w:val="7"/>
  </w:num>
  <w:num w:numId="6" w16cid:durableId="1053695952">
    <w:abstractNumId w:val="6"/>
  </w:num>
  <w:num w:numId="7" w16cid:durableId="96412814">
    <w:abstractNumId w:val="5"/>
  </w:num>
  <w:num w:numId="8" w16cid:durableId="1099712509">
    <w:abstractNumId w:val="4"/>
  </w:num>
  <w:num w:numId="9" w16cid:durableId="313530359">
    <w:abstractNumId w:val="8"/>
  </w:num>
  <w:num w:numId="10" w16cid:durableId="357003346">
    <w:abstractNumId w:val="3"/>
  </w:num>
  <w:num w:numId="11" w16cid:durableId="1186483806">
    <w:abstractNumId w:val="2"/>
  </w:num>
  <w:num w:numId="12" w16cid:durableId="1833645229">
    <w:abstractNumId w:val="1"/>
  </w:num>
  <w:num w:numId="13" w16cid:durableId="853374477">
    <w:abstractNumId w:val="0"/>
  </w:num>
  <w:num w:numId="14" w16cid:durableId="1904289198">
    <w:abstractNumId w:val="9"/>
  </w:num>
  <w:num w:numId="15" w16cid:durableId="1206138521">
    <w:abstractNumId w:val="14"/>
  </w:num>
  <w:num w:numId="16" w16cid:durableId="803350309">
    <w:abstractNumId w:val="12"/>
  </w:num>
  <w:num w:numId="17" w16cid:durableId="164885267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AppNatAutre" w:val="0"/>
    <w:docVar w:name="DocVarPREMATURE" w:val="0"/>
    <w:docVar w:name="EMM" w:val="0"/>
    <w:docVar w:name="ETRANSMISSION" w:val="PAR VOIE ÈLECTRONIQUE UNIQUEMENT"/>
    <w:docVar w:name="L4_1Annex" w:val="0"/>
    <w:docVar w:name="L4_1Anonymity" w:val="0"/>
    <w:docVar w:name="NBEMMDOC" w:val="0"/>
    <w:docVar w:name="Plural" w:val="0"/>
    <w:docVar w:name="SignForeName" w:val="0"/>
    <w:docVar w:name="SndCaseNumber" w:val="Error!Nodocumentvariablesupplied."/>
  </w:docVars>
  <w:rsids>
    <w:rsidRoot w:val="00BA1BB1"/>
    <w:rsid w:val="000041F8"/>
    <w:rsid w:val="000042A8"/>
    <w:rsid w:val="00004308"/>
    <w:rsid w:val="00005BF0"/>
    <w:rsid w:val="00007154"/>
    <w:rsid w:val="000103AE"/>
    <w:rsid w:val="00011D69"/>
    <w:rsid w:val="00012AD3"/>
    <w:rsid w:val="00015C2D"/>
    <w:rsid w:val="00015F00"/>
    <w:rsid w:val="00022C1D"/>
    <w:rsid w:val="000253A3"/>
    <w:rsid w:val="00034987"/>
    <w:rsid w:val="00051015"/>
    <w:rsid w:val="000521A4"/>
    <w:rsid w:val="000602DF"/>
    <w:rsid w:val="00061B05"/>
    <w:rsid w:val="000632D5"/>
    <w:rsid w:val="000644EE"/>
    <w:rsid w:val="000675A9"/>
    <w:rsid w:val="00080ECE"/>
    <w:rsid w:val="00081D96"/>
    <w:rsid w:val="00086E4E"/>
    <w:rsid w:val="00086E70"/>
    <w:rsid w:val="0009057B"/>
    <w:rsid w:val="000925AD"/>
    <w:rsid w:val="000A20EB"/>
    <w:rsid w:val="000A24EB"/>
    <w:rsid w:val="000A4ECB"/>
    <w:rsid w:val="000B5D17"/>
    <w:rsid w:val="000B6923"/>
    <w:rsid w:val="000C5F3C"/>
    <w:rsid w:val="000C6BA5"/>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3D33"/>
    <w:rsid w:val="00134D64"/>
    <w:rsid w:val="00135A30"/>
    <w:rsid w:val="0013612C"/>
    <w:rsid w:val="00137FF6"/>
    <w:rsid w:val="00141650"/>
    <w:rsid w:val="001503B6"/>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C6A7B"/>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26259"/>
    <w:rsid w:val="00230D00"/>
    <w:rsid w:val="00231364"/>
    <w:rsid w:val="00231DF7"/>
    <w:rsid w:val="00231FD1"/>
    <w:rsid w:val="002339E0"/>
    <w:rsid w:val="00233CF8"/>
    <w:rsid w:val="0023575D"/>
    <w:rsid w:val="00237148"/>
    <w:rsid w:val="002416AF"/>
    <w:rsid w:val="0024222D"/>
    <w:rsid w:val="00244B0E"/>
    <w:rsid w:val="00244F6C"/>
    <w:rsid w:val="002532C5"/>
    <w:rsid w:val="002546AE"/>
    <w:rsid w:val="00256F45"/>
    <w:rsid w:val="00260C03"/>
    <w:rsid w:val="0026241C"/>
    <w:rsid w:val="0026540E"/>
    <w:rsid w:val="00275123"/>
    <w:rsid w:val="00282240"/>
    <w:rsid w:val="002948AD"/>
    <w:rsid w:val="0029739C"/>
    <w:rsid w:val="002A01CC"/>
    <w:rsid w:val="002A61B1"/>
    <w:rsid w:val="002A663C"/>
    <w:rsid w:val="002B444B"/>
    <w:rsid w:val="002B5887"/>
    <w:rsid w:val="002B7E83"/>
    <w:rsid w:val="002C0E27"/>
    <w:rsid w:val="002C3040"/>
    <w:rsid w:val="002C64CF"/>
    <w:rsid w:val="002D022D"/>
    <w:rsid w:val="002D24BB"/>
    <w:rsid w:val="002E73BD"/>
    <w:rsid w:val="002F29AA"/>
    <w:rsid w:val="002F2AF7"/>
    <w:rsid w:val="002F7E1C"/>
    <w:rsid w:val="00301A75"/>
    <w:rsid w:val="00302F70"/>
    <w:rsid w:val="0030336F"/>
    <w:rsid w:val="0030375E"/>
    <w:rsid w:val="00305B67"/>
    <w:rsid w:val="0030660C"/>
    <w:rsid w:val="00312A30"/>
    <w:rsid w:val="00316323"/>
    <w:rsid w:val="00320F72"/>
    <w:rsid w:val="0032463E"/>
    <w:rsid w:val="00326224"/>
    <w:rsid w:val="00337EE4"/>
    <w:rsid w:val="00340FFD"/>
    <w:rsid w:val="00345E51"/>
    <w:rsid w:val="003471AF"/>
    <w:rsid w:val="003506B1"/>
    <w:rsid w:val="00352D4C"/>
    <w:rsid w:val="00356AC7"/>
    <w:rsid w:val="003609FA"/>
    <w:rsid w:val="00361D45"/>
    <w:rsid w:val="00367B4F"/>
    <w:rsid w:val="003710C8"/>
    <w:rsid w:val="003722CE"/>
    <w:rsid w:val="00374DE5"/>
    <w:rsid w:val="003750BE"/>
    <w:rsid w:val="00387B9D"/>
    <w:rsid w:val="00387DFB"/>
    <w:rsid w:val="0039364F"/>
    <w:rsid w:val="00396686"/>
    <w:rsid w:val="00396D7B"/>
    <w:rsid w:val="0039778E"/>
    <w:rsid w:val="003A37B8"/>
    <w:rsid w:val="003B4941"/>
    <w:rsid w:val="003B6A2E"/>
    <w:rsid w:val="003C5714"/>
    <w:rsid w:val="003C6B9F"/>
    <w:rsid w:val="003C6E2A"/>
    <w:rsid w:val="003D0299"/>
    <w:rsid w:val="003D32BE"/>
    <w:rsid w:val="003E2EE6"/>
    <w:rsid w:val="003E3FE3"/>
    <w:rsid w:val="003E6D80"/>
    <w:rsid w:val="003E7A9C"/>
    <w:rsid w:val="003F05FA"/>
    <w:rsid w:val="003F06FD"/>
    <w:rsid w:val="003F244A"/>
    <w:rsid w:val="003F30B8"/>
    <w:rsid w:val="003F4C45"/>
    <w:rsid w:val="003F5F7B"/>
    <w:rsid w:val="003F7D64"/>
    <w:rsid w:val="00401F7D"/>
    <w:rsid w:val="0041177B"/>
    <w:rsid w:val="00414300"/>
    <w:rsid w:val="00425C67"/>
    <w:rsid w:val="00427E7A"/>
    <w:rsid w:val="00431C07"/>
    <w:rsid w:val="004344E6"/>
    <w:rsid w:val="00436C49"/>
    <w:rsid w:val="0044318F"/>
    <w:rsid w:val="00445366"/>
    <w:rsid w:val="00447F5B"/>
    <w:rsid w:val="00455085"/>
    <w:rsid w:val="00456549"/>
    <w:rsid w:val="004604A0"/>
    <w:rsid w:val="00461DB0"/>
    <w:rsid w:val="00463926"/>
    <w:rsid w:val="00464C9A"/>
    <w:rsid w:val="00474F3D"/>
    <w:rsid w:val="00477E3A"/>
    <w:rsid w:val="00483E5F"/>
    <w:rsid w:val="00484EA4"/>
    <w:rsid w:val="00485FF9"/>
    <w:rsid w:val="004907F0"/>
    <w:rsid w:val="0049140B"/>
    <w:rsid w:val="004923A5"/>
    <w:rsid w:val="00494B5B"/>
    <w:rsid w:val="00496197"/>
    <w:rsid w:val="00496BFB"/>
    <w:rsid w:val="004A15C7"/>
    <w:rsid w:val="004A6BED"/>
    <w:rsid w:val="004B013B"/>
    <w:rsid w:val="004B0DE5"/>
    <w:rsid w:val="004B112B"/>
    <w:rsid w:val="004C01E4"/>
    <w:rsid w:val="004C086C"/>
    <w:rsid w:val="004C14C4"/>
    <w:rsid w:val="004C1A3F"/>
    <w:rsid w:val="004C1F56"/>
    <w:rsid w:val="004C27BC"/>
    <w:rsid w:val="004D15F3"/>
    <w:rsid w:val="004D51C3"/>
    <w:rsid w:val="004D5311"/>
    <w:rsid w:val="004D5DCC"/>
    <w:rsid w:val="004E22F1"/>
    <w:rsid w:val="004F10AF"/>
    <w:rsid w:val="004F11A4"/>
    <w:rsid w:val="004F2389"/>
    <w:rsid w:val="004F304D"/>
    <w:rsid w:val="004F61BE"/>
    <w:rsid w:val="004F66B1"/>
    <w:rsid w:val="005075C8"/>
    <w:rsid w:val="00510D77"/>
    <w:rsid w:val="00511C07"/>
    <w:rsid w:val="0051696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4B9A"/>
    <w:rsid w:val="0059574A"/>
    <w:rsid w:val="00595C36"/>
    <w:rsid w:val="005A1B9B"/>
    <w:rsid w:val="005A6751"/>
    <w:rsid w:val="005B092E"/>
    <w:rsid w:val="005B152C"/>
    <w:rsid w:val="005B1EE0"/>
    <w:rsid w:val="005B2B24"/>
    <w:rsid w:val="005B4425"/>
    <w:rsid w:val="005B4B94"/>
    <w:rsid w:val="005C353F"/>
    <w:rsid w:val="005C3EE8"/>
    <w:rsid w:val="005C5494"/>
    <w:rsid w:val="005D34F9"/>
    <w:rsid w:val="005D4190"/>
    <w:rsid w:val="005D67A3"/>
    <w:rsid w:val="005E2988"/>
    <w:rsid w:val="005E2FCB"/>
    <w:rsid w:val="005E3085"/>
    <w:rsid w:val="005F04CD"/>
    <w:rsid w:val="005F51E1"/>
    <w:rsid w:val="005F5242"/>
    <w:rsid w:val="00602BF3"/>
    <w:rsid w:val="00610831"/>
    <w:rsid w:val="00610F7A"/>
    <w:rsid w:val="00611C80"/>
    <w:rsid w:val="00613B21"/>
    <w:rsid w:val="00614770"/>
    <w:rsid w:val="00620692"/>
    <w:rsid w:val="006242CA"/>
    <w:rsid w:val="00627507"/>
    <w:rsid w:val="00633717"/>
    <w:rsid w:val="006344E1"/>
    <w:rsid w:val="006361FD"/>
    <w:rsid w:val="006370D9"/>
    <w:rsid w:val="006545C4"/>
    <w:rsid w:val="00654B7E"/>
    <w:rsid w:val="00661971"/>
    <w:rsid w:val="00661CE8"/>
    <w:rsid w:val="006623D9"/>
    <w:rsid w:val="00662882"/>
    <w:rsid w:val="0066550C"/>
    <w:rsid w:val="006716F2"/>
    <w:rsid w:val="006779BD"/>
    <w:rsid w:val="00682BF2"/>
    <w:rsid w:val="006859CE"/>
    <w:rsid w:val="00685AD8"/>
    <w:rsid w:val="00691270"/>
    <w:rsid w:val="00694BA8"/>
    <w:rsid w:val="006A037C"/>
    <w:rsid w:val="006A36F4"/>
    <w:rsid w:val="006A406F"/>
    <w:rsid w:val="006A5D3A"/>
    <w:rsid w:val="006C1C44"/>
    <w:rsid w:val="006C23D4"/>
    <w:rsid w:val="006C475E"/>
    <w:rsid w:val="006C7BB0"/>
    <w:rsid w:val="006D035E"/>
    <w:rsid w:val="006D3237"/>
    <w:rsid w:val="006D521C"/>
    <w:rsid w:val="006E17EF"/>
    <w:rsid w:val="006E2E37"/>
    <w:rsid w:val="006E3CF1"/>
    <w:rsid w:val="006E7E80"/>
    <w:rsid w:val="006F44C0"/>
    <w:rsid w:val="006F48CA"/>
    <w:rsid w:val="006F64DD"/>
    <w:rsid w:val="00711202"/>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1453C"/>
    <w:rsid w:val="008204C7"/>
    <w:rsid w:val="00820992"/>
    <w:rsid w:val="00823602"/>
    <w:rsid w:val="008255F5"/>
    <w:rsid w:val="0083014E"/>
    <w:rsid w:val="0083214A"/>
    <w:rsid w:val="00834220"/>
    <w:rsid w:val="00845723"/>
    <w:rsid w:val="00851EF9"/>
    <w:rsid w:val="008569A5"/>
    <w:rsid w:val="008577FD"/>
    <w:rsid w:val="00860B03"/>
    <w:rsid w:val="0086497A"/>
    <w:rsid w:val="008713A1"/>
    <w:rsid w:val="00873D9C"/>
    <w:rsid w:val="0087400E"/>
    <w:rsid w:val="008748BE"/>
    <w:rsid w:val="008754AB"/>
    <w:rsid w:val="00876A02"/>
    <w:rsid w:val="00876F03"/>
    <w:rsid w:val="0088060C"/>
    <w:rsid w:val="00884261"/>
    <w:rsid w:val="00891107"/>
    <w:rsid w:val="00893576"/>
    <w:rsid w:val="00893E73"/>
    <w:rsid w:val="00893F30"/>
    <w:rsid w:val="00895F5B"/>
    <w:rsid w:val="008B02DC"/>
    <w:rsid w:val="008B2698"/>
    <w:rsid w:val="008B57CE"/>
    <w:rsid w:val="008C26DE"/>
    <w:rsid w:val="008D2225"/>
    <w:rsid w:val="008D2A13"/>
    <w:rsid w:val="008D4752"/>
    <w:rsid w:val="008D5E7A"/>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088D"/>
    <w:rsid w:val="00934301"/>
    <w:rsid w:val="00935213"/>
    <w:rsid w:val="00936CD1"/>
    <w:rsid w:val="009375A5"/>
    <w:rsid w:val="00941747"/>
    <w:rsid w:val="00941EFB"/>
    <w:rsid w:val="0094502E"/>
    <w:rsid w:val="00945FF8"/>
    <w:rsid w:val="00947AFB"/>
    <w:rsid w:val="00950812"/>
    <w:rsid w:val="00951D7D"/>
    <w:rsid w:val="00954AD6"/>
    <w:rsid w:val="00961B9B"/>
    <w:rsid w:val="009630C7"/>
    <w:rsid w:val="00972B55"/>
    <w:rsid w:val="009743B7"/>
    <w:rsid w:val="00975039"/>
    <w:rsid w:val="00977227"/>
    <w:rsid w:val="0098228B"/>
    <w:rsid w:val="009828DA"/>
    <w:rsid w:val="00985BAB"/>
    <w:rsid w:val="0099161A"/>
    <w:rsid w:val="009B1716"/>
    <w:rsid w:val="009B1B5F"/>
    <w:rsid w:val="009B6673"/>
    <w:rsid w:val="009C191B"/>
    <w:rsid w:val="009C2BD6"/>
    <w:rsid w:val="009D2F52"/>
    <w:rsid w:val="009E0E2A"/>
    <w:rsid w:val="009E16D2"/>
    <w:rsid w:val="009E1F32"/>
    <w:rsid w:val="009E776C"/>
    <w:rsid w:val="00A00672"/>
    <w:rsid w:val="00A065BF"/>
    <w:rsid w:val="00A101DD"/>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226"/>
    <w:rsid w:val="00AA754A"/>
    <w:rsid w:val="00AB099E"/>
    <w:rsid w:val="00AB4328"/>
    <w:rsid w:val="00AB44B0"/>
    <w:rsid w:val="00AB5628"/>
    <w:rsid w:val="00AC00C2"/>
    <w:rsid w:val="00AC1273"/>
    <w:rsid w:val="00AC5872"/>
    <w:rsid w:val="00AD2473"/>
    <w:rsid w:val="00AE0A2E"/>
    <w:rsid w:val="00AE354C"/>
    <w:rsid w:val="00AF30EA"/>
    <w:rsid w:val="00AF4B07"/>
    <w:rsid w:val="00AF6186"/>
    <w:rsid w:val="00AF7A3A"/>
    <w:rsid w:val="00B009F4"/>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5419C"/>
    <w:rsid w:val="00B541C0"/>
    <w:rsid w:val="00B701ED"/>
    <w:rsid w:val="00B751F4"/>
    <w:rsid w:val="00B8086C"/>
    <w:rsid w:val="00B840F7"/>
    <w:rsid w:val="00B855D4"/>
    <w:rsid w:val="00B861B4"/>
    <w:rsid w:val="00B86DFE"/>
    <w:rsid w:val="00B90990"/>
    <w:rsid w:val="00B922FF"/>
    <w:rsid w:val="00B9281E"/>
    <w:rsid w:val="00B93925"/>
    <w:rsid w:val="00B95187"/>
    <w:rsid w:val="00BA1BB1"/>
    <w:rsid w:val="00BA2D55"/>
    <w:rsid w:val="00BA71B1"/>
    <w:rsid w:val="00BB0637"/>
    <w:rsid w:val="00BB345F"/>
    <w:rsid w:val="00BB5CA3"/>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06E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0B84"/>
    <w:rsid w:val="00C81ACF"/>
    <w:rsid w:val="00C90D68"/>
    <w:rsid w:val="00C939FE"/>
    <w:rsid w:val="00CA4BDA"/>
    <w:rsid w:val="00CA7C61"/>
    <w:rsid w:val="00CB1F66"/>
    <w:rsid w:val="00CB2951"/>
    <w:rsid w:val="00CB4146"/>
    <w:rsid w:val="00CB57DA"/>
    <w:rsid w:val="00CD282B"/>
    <w:rsid w:val="00CD4C35"/>
    <w:rsid w:val="00CD7369"/>
    <w:rsid w:val="00CE0B0E"/>
    <w:rsid w:val="00CE3831"/>
    <w:rsid w:val="00CE57AB"/>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3796E"/>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2BA"/>
    <w:rsid w:val="00DB5CBD"/>
    <w:rsid w:val="00DC169B"/>
    <w:rsid w:val="00DC2AB9"/>
    <w:rsid w:val="00DC63F0"/>
    <w:rsid w:val="00DD10E5"/>
    <w:rsid w:val="00DD5382"/>
    <w:rsid w:val="00DD6EE5"/>
    <w:rsid w:val="00DD7998"/>
    <w:rsid w:val="00DE2362"/>
    <w:rsid w:val="00DE386C"/>
    <w:rsid w:val="00DE4D35"/>
    <w:rsid w:val="00DF098B"/>
    <w:rsid w:val="00DF11C4"/>
    <w:rsid w:val="00DF210C"/>
    <w:rsid w:val="00DF4B6A"/>
    <w:rsid w:val="00E00F55"/>
    <w:rsid w:val="00E02C09"/>
    <w:rsid w:val="00E04D59"/>
    <w:rsid w:val="00E07DA1"/>
    <w:rsid w:val="00E123CB"/>
    <w:rsid w:val="00E171F2"/>
    <w:rsid w:val="00E20E13"/>
    <w:rsid w:val="00E21DBC"/>
    <w:rsid w:val="00E2758D"/>
    <w:rsid w:val="00E275D7"/>
    <w:rsid w:val="00E27DBE"/>
    <w:rsid w:val="00E32AB1"/>
    <w:rsid w:val="00E36C71"/>
    <w:rsid w:val="00E37E79"/>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09A"/>
    <w:rsid w:val="00EE0277"/>
    <w:rsid w:val="00EE0ECD"/>
    <w:rsid w:val="00EE3E00"/>
    <w:rsid w:val="00EE5DD2"/>
    <w:rsid w:val="00EF34CB"/>
    <w:rsid w:val="00EF6E2D"/>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71F6C"/>
    <w:rsid w:val="00F83589"/>
    <w:rsid w:val="00F8765F"/>
    <w:rsid w:val="00F90767"/>
    <w:rsid w:val="00F912E4"/>
    <w:rsid w:val="00F94531"/>
    <w:rsid w:val="00F9588E"/>
    <w:rsid w:val="00FA0688"/>
    <w:rsid w:val="00FA4E5E"/>
    <w:rsid w:val="00FA685B"/>
    <w:rsid w:val="00FB0C01"/>
    <w:rsid w:val="00FC04E5"/>
    <w:rsid w:val="00FC18F2"/>
    <w:rsid w:val="00FC39E5"/>
    <w:rsid w:val="00FC3A78"/>
    <w:rsid w:val="00FD1005"/>
    <w:rsid w:val="00FD61AA"/>
    <w:rsid w:val="00FD6C75"/>
    <w:rsid w:val="00FD72E1"/>
    <w:rsid w:val="00FD7649"/>
    <w:rsid w:val="00FE132B"/>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08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E2758D"/>
    <w:rPr>
      <w:sz w:val="24"/>
      <w:szCs w:val="24"/>
      <w:lang w:val="fr-FR"/>
    </w:rPr>
  </w:style>
  <w:style w:type="paragraph" w:styleId="Nagwek1">
    <w:name w:val="heading 1"/>
    <w:basedOn w:val="Normalny"/>
    <w:next w:val="Normalny"/>
    <w:link w:val="Nagwek1Znak"/>
    <w:uiPriority w:val="98"/>
    <w:semiHidden/>
    <w:rsid w:val="00E2758D"/>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E2758D"/>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E2758D"/>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E2758D"/>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E2758D"/>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E2758D"/>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E2758D"/>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E2758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E2758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E2758D"/>
    <w:rPr>
      <w:rFonts w:ascii="Tahoma" w:hAnsi="Tahoma" w:cs="Tahoma"/>
      <w:sz w:val="16"/>
      <w:szCs w:val="16"/>
    </w:rPr>
  </w:style>
  <w:style w:type="character" w:customStyle="1" w:styleId="TekstdymkaZnak">
    <w:name w:val="Tekst dymka Znak"/>
    <w:basedOn w:val="Domylnaczcionkaakapitu"/>
    <w:link w:val="Tekstdymka"/>
    <w:uiPriority w:val="98"/>
    <w:semiHidden/>
    <w:rsid w:val="00E2758D"/>
    <w:rPr>
      <w:rFonts w:ascii="Tahoma" w:hAnsi="Tahoma" w:cs="Tahoma"/>
      <w:sz w:val="16"/>
      <w:szCs w:val="16"/>
      <w:lang w:val="fr-FR"/>
    </w:rPr>
  </w:style>
  <w:style w:type="character" w:styleId="Tytuksiki">
    <w:name w:val="Book Title"/>
    <w:uiPriority w:val="98"/>
    <w:semiHidden/>
    <w:qFormat/>
    <w:rsid w:val="00E2758D"/>
    <w:rPr>
      <w:i/>
      <w:iCs/>
      <w:smallCaps/>
      <w:spacing w:val="5"/>
    </w:rPr>
  </w:style>
  <w:style w:type="paragraph" w:customStyle="1" w:styleId="JuHeader">
    <w:name w:val="Ju_Header"/>
    <w:aliases w:val="_Header"/>
    <w:basedOn w:val="Nagwek"/>
    <w:uiPriority w:val="29"/>
    <w:qFormat/>
    <w:rsid w:val="00E2758D"/>
    <w:pPr>
      <w:tabs>
        <w:tab w:val="clear" w:pos="4536"/>
        <w:tab w:val="clear" w:pos="9072"/>
      </w:tabs>
      <w:jc w:val="center"/>
    </w:pPr>
    <w:rPr>
      <w:sz w:val="18"/>
    </w:rPr>
  </w:style>
  <w:style w:type="table" w:styleId="Tabelasiatki1jasna">
    <w:name w:val="Grid Table 1 Light"/>
    <w:basedOn w:val="Standardowy"/>
    <w:uiPriority w:val="46"/>
    <w:semiHidden/>
    <w:rsid w:val="00D3796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ogrubienie">
    <w:name w:val="Strong"/>
    <w:uiPriority w:val="98"/>
    <w:semiHidden/>
    <w:qFormat/>
    <w:rsid w:val="00E2758D"/>
    <w:rPr>
      <w:b/>
      <w:bCs/>
    </w:rPr>
  </w:style>
  <w:style w:type="paragraph" w:styleId="Bezodstpw">
    <w:name w:val="No Spacing"/>
    <w:basedOn w:val="Normalny"/>
    <w:link w:val="BezodstpwZnak"/>
    <w:uiPriority w:val="98"/>
    <w:semiHidden/>
    <w:qFormat/>
    <w:rsid w:val="00E2758D"/>
  </w:style>
  <w:style w:type="character" w:customStyle="1" w:styleId="BezodstpwZnak">
    <w:name w:val="Bez odstępów Znak"/>
    <w:basedOn w:val="Domylnaczcionkaakapitu"/>
    <w:link w:val="Bezodstpw"/>
    <w:uiPriority w:val="98"/>
    <w:semiHidden/>
    <w:rsid w:val="00E2758D"/>
    <w:rPr>
      <w:sz w:val="24"/>
      <w:szCs w:val="24"/>
      <w:lang w:val="fr-FR"/>
    </w:rPr>
  </w:style>
  <w:style w:type="paragraph" w:customStyle="1" w:styleId="JuQuot">
    <w:name w:val="Ju_Quot"/>
    <w:aliases w:val="_Quote"/>
    <w:basedOn w:val="NormalJustified"/>
    <w:uiPriority w:val="20"/>
    <w:qFormat/>
    <w:rsid w:val="00E2758D"/>
    <w:pPr>
      <w:spacing w:before="120" w:after="120"/>
      <w:ind w:left="425" w:firstLine="142"/>
    </w:pPr>
    <w:rPr>
      <w:sz w:val="20"/>
    </w:rPr>
  </w:style>
  <w:style w:type="paragraph" w:customStyle="1" w:styleId="JuList">
    <w:name w:val="Ju_List"/>
    <w:aliases w:val="_List_1"/>
    <w:basedOn w:val="NormalJustified"/>
    <w:uiPriority w:val="23"/>
    <w:qFormat/>
    <w:rsid w:val="00E2758D"/>
    <w:pPr>
      <w:numPr>
        <w:numId w:val="16"/>
      </w:numPr>
      <w:spacing w:before="280" w:after="60"/>
    </w:pPr>
  </w:style>
  <w:style w:type="paragraph" w:customStyle="1" w:styleId="JuLista">
    <w:name w:val="Ju_List_a"/>
    <w:aliases w:val="_List_2"/>
    <w:basedOn w:val="NormalJustified"/>
    <w:uiPriority w:val="23"/>
    <w:rsid w:val="00E2758D"/>
    <w:pPr>
      <w:numPr>
        <w:ilvl w:val="1"/>
        <w:numId w:val="16"/>
      </w:numPr>
    </w:pPr>
  </w:style>
  <w:style w:type="paragraph" w:customStyle="1" w:styleId="JuListi">
    <w:name w:val="Ju_List_i"/>
    <w:aliases w:val="_List_3"/>
    <w:basedOn w:val="NormalJustified"/>
    <w:uiPriority w:val="23"/>
    <w:rsid w:val="00E2758D"/>
    <w:pPr>
      <w:numPr>
        <w:ilvl w:val="2"/>
        <w:numId w:val="16"/>
      </w:numPr>
    </w:pPr>
  </w:style>
  <w:style w:type="paragraph" w:customStyle="1" w:styleId="DecHTitle">
    <w:name w:val="Dec_H_Title"/>
    <w:aliases w:val="_Title_1"/>
    <w:basedOn w:val="JuPara"/>
    <w:next w:val="JuPara"/>
    <w:uiPriority w:val="38"/>
    <w:qFormat/>
    <w:rsid w:val="00E2758D"/>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E2758D"/>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E2758D"/>
    <w:pPr>
      <w:keepNext/>
      <w:keepLines/>
      <w:tabs>
        <w:tab w:val="right" w:pos="7938"/>
      </w:tabs>
      <w:ind w:firstLine="0"/>
      <w:jc w:val="center"/>
    </w:pPr>
    <w:rPr>
      <w:i/>
    </w:rPr>
  </w:style>
  <w:style w:type="numbering" w:customStyle="1" w:styleId="ECHRA1StyleBulletedSquare">
    <w:name w:val="ECHR_A1_Style_Bulleted_Square"/>
    <w:basedOn w:val="Bezlisty"/>
    <w:rsid w:val="00E2758D"/>
    <w:pPr>
      <w:numPr>
        <w:numId w:val="15"/>
      </w:numPr>
    </w:pPr>
  </w:style>
  <w:style w:type="paragraph" w:customStyle="1" w:styleId="JuHHead">
    <w:name w:val="Ju_H_Head"/>
    <w:aliases w:val="_Head_1"/>
    <w:basedOn w:val="Nagwek1"/>
    <w:next w:val="JuPara"/>
    <w:uiPriority w:val="17"/>
    <w:qFormat/>
    <w:rsid w:val="00E2758D"/>
    <w:pPr>
      <w:keepNext/>
      <w:keepLines/>
      <w:numPr>
        <w:numId w:val="14"/>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E2758D"/>
    <w:pPr>
      <w:numPr>
        <w:numId w:val="16"/>
      </w:numPr>
    </w:pPr>
  </w:style>
  <w:style w:type="paragraph" w:customStyle="1" w:styleId="JuSigned">
    <w:name w:val="Ju_Signed"/>
    <w:aliases w:val="_Signature"/>
    <w:basedOn w:val="Normalny"/>
    <w:next w:val="JuPara"/>
    <w:uiPriority w:val="31"/>
    <w:qFormat/>
    <w:rsid w:val="00E2758D"/>
    <w:pPr>
      <w:tabs>
        <w:tab w:val="center" w:pos="1418"/>
        <w:tab w:val="center" w:pos="5954"/>
      </w:tabs>
      <w:spacing w:before="720"/>
    </w:pPr>
  </w:style>
  <w:style w:type="paragraph" w:styleId="Tytu">
    <w:name w:val="Title"/>
    <w:basedOn w:val="Normalny"/>
    <w:next w:val="Normalny"/>
    <w:link w:val="TytuZnak"/>
    <w:uiPriority w:val="98"/>
    <w:semiHidden/>
    <w:qFormat/>
    <w:rsid w:val="00E2758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E2758D"/>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Bezlisty"/>
    <w:rsid w:val="00E2758D"/>
    <w:pPr>
      <w:numPr>
        <w:numId w:val="17"/>
      </w:numPr>
    </w:pPr>
  </w:style>
  <w:style w:type="table" w:customStyle="1" w:styleId="ECHRTable2019">
    <w:name w:val="ECHR_Table_2019"/>
    <w:basedOn w:val="Standardowy"/>
    <w:uiPriority w:val="99"/>
    <w:rsid w:val="00E2758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E2758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E2758D"/>
    <w:pPr>
      <w:tabs>
        <w:tab w:val="center" w:pos="6407"/>
      </w:tabs>
      <w:spacing w:before="720"/>
      <w:jc w:val="right"/>
    </w:pPr>
  </w:style>
  <w:style w:type="paragraph" w:customStyle="1" w:styleId="JuHIRoman">
    <w:name w:val="Ju_H_I_Roman"/>
    <w:aliases w:val="_Head_2"/>
    <w:basedOn w:val="Nagwek2"/>
    <w:next w:val="JuPara"/>
    <w:uiPriority w:val="17"/>
    <w:qFormat/>
    <w:rsid w:val="00E2758D"/>
    <w:pPr>
      <w:keepNext/>
      <w:keepLines/>
      <w:numPr>
        <w:ilvl w:val="1"/>
        <w:numId w:val="14"/>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E2758D"/>
    <w:pPr>
      <w:keepNext/>
      <w:keepLines/>
      <w:numPr>
        <w:ilvl w:val="2"/>
        <w:numId w:val="1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E2758D"/>
    <w:pPr>
      <w:keepNext/>
      <w:keepLines/>
      <w:numPr>
        <w:ilvl w:val="3"/>
        <w:numId w:val="14"/>
      </w:numPr>
      <w:spacing w:before="100" w:beforeAutospacing="1" w:after="120"/>
      <w:jc w:val="both"/>
    </w:pPr>
    <w:rPr>
      <w:b w:val="0"/>
      <w:color w:val="auto"/>
      <w:sz w:val="24"/>
    </w:rPr>
  </w:style>
  <w:style w:type="paragraph" w:styleId="Nagwek">
    <w:name w:val="header"/>
    <w:basedOn w:val="Normalny"/>
    <w:link w:val="NagwekZnak"/>
    <w:uiPriority w:val="98"/>
    <w:semiHidden/>
    <w:rsid w:val="00E2758D"/>
    <w:pPr>
      <w:tabs>
        <w:tab w:val="center" w:pos="4536"/>
        <w:tab w:val="right" w:pos="9072"/>
      </w:tabs>
    </w:pPr>
  </w:style>
  <w:style w:type="character" w:customStyle="1" w:styleId="NagwekZnak">
    <w:name w:val="Nagłówek Znak"/>
    <w:basedOn w:val="Domylnaczcionkaakapitu"/>
    <w:link w:val="Nagwek"/>
    <w:uiPriority w:val="98"/>
    <w:semiHidden/>
    <w:rsid w:val="00E2758D"/>
    <w:rPr>
      <w:sz w:val="24"/>
      <w:szCs w:val="24"/>
      <w:lang w:val="fr-FR"/>
    </w:rPr>
  </w:style>
  <w:style w:type="character" w:customStyle="1" w:styleId="Nagwek1Znak">
    <w:name w:val="Nagłówek 1 Znak"/>
    <w:basedOn w:val="Domylnaczcionkaakapitu"/>
    <w:link w:val="Nagwek1"/>
    <w:uiPriority w:val="98"/>
    <w:semiHidden/>
    <w:rsid w:val="00E2758D"/>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agwek5"/>
    <w:next w:val="JuPara"/>
    <w:uiPriority w:val="17"/>
    <w:rsid w:val="00E2758D"/>
    <w:pPr>
      <w:keepNext/>
      <w:keepLines/>
      <w:numPr>
        <w:ilvl w:val="4"/>
        <w:numId w:val="14"/>
      </w:numPr>
      <w:spacing w:before="100" w:beforeAutospacing="1" w:after="120"/>
      <w:jc w:val="both"/>
    </w:pPr>
    <w:rPr>
      <w:color w:val="auto"/>
      <w:sz w:val="20"/>
    </w:rPr>
  </w:style>
  <w:style w:type="paragraph" w:customStyle="1" w:styleId="JuHi">
    <w:name w:val="Ju_H_i"/>
    <w:aliases w:val="_Head_6"/>
    <w:basedOn w:val="Nagwek6"/>
    <w:next w:val="JuPara"/>
    <w:uiPriority w:val="17"/>
    <w:rsid w:val="00E2758D"/>
    <w:pPr>
      <w:keepNext/>
      <w:keepLines/>
      <w:numPr>
        <w:ilvl w:val="5"/>
        <w:numId w:val="1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E2758D"/>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agwek7"/>
    <w:next w:val="JuPara"/>
    <w:uiPriority w:val="17"/>
    <w:rsid w:val="00E2758D"/>
    <w:pPr>
      <w:keepNext/>
      <w:keepLines/>
      <w:numPr>
        <w:ilvl w:val="6"/>
        <w:numId w:val="1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E2758D"/>
    <w:pPr>
      <w:keepNext/>
      <w:keepLines/>
      <w:numPr>
        <w:ilvl w:val="7"/>
        <w:numId w:val="14"/>
      </w:numPr>
      <w:spacing w:before="100" w:beforeAutospacing="1" w:after="120"/>
      <w:jc w:val="both"/>
    </w:pPr>
    <w:rPr>
      <w:i/>
    </w:rPr>
  </w:style>
  <w:style w:type="character" w:customStyle="1" w:styleId="Nagwek3Znak">
    <w:name w:val="Nagłówek 3 Znak"/>
    <w:basedOn w:val="Domylnaczcionkaakapitu"/>
    <w:link w:val="Nagwek3"/>
    <w:uiPriority w:val="98"/>
    <w:semiHidden/>
    <w:rsid w:val="00E2758D"/>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E2758D"/>
    <w:pPr>
      <w:keepNext/>
      <w:keepLines/>
      <w:spacing w:before="240" w:after="240"/>
      <w:ind w:firstLine="284"/>
    </w:pPr>
  </w:style>
  <w:style w:type="paragraph" w:customStyle="1" w:styleId="JuJudges">
    <w:name w:val="Ju_Judges"/>
    <w:aliases w:val="_Judges"/>
    <w:basedOn w:val="Normalny"/>
    <w:uiPriority w:val="32"/>
    <w:qFormat/>
    <w:rsid w:val="00E2758D"/>
    <w:pPr>
      <w:tabs>
        <w:tab w:val="left" w:pos="567"/>
        <w:tab w:val="left" w:pos="1134"/>
      </w:tabs>
    </w:pPr>
  </w:style>
  <w:style w:type="character" w:customStyle="1" w:styleId="Nagwek4Znak">
    <w:name w:val="Nagłówek 4 Znak"/>
    <w:basedOn w:val="Domylnaczcionkaakapitu"/>
    <w:link w:val="Nagwek4"/>
    <w:uiPriority w:val="98"/>
    <w:semiHidden/>
    <w:rsid w:val="00E2758D"/>
    <w:rPr>
      <w:rFonts w:asciiTheme="majorHAnsi" w:eastAsiaTheme="majorEastAsia" w:hAnsiTheme="majorHAnsi" w:cstheme="majorBidi"/>
      <w:b/>
      <w:bCs/>
      <w:i/>
      <w:iCs/>
      <w:color w:val="777777"/>
      <w:lang w:val="fr-FR"/>
    </w:rPr>
  </w:style>
  <w:style w:type="character" w:customStyle="1" w:styleId="JuITMark">
    <w:name w:val="Ju_ITMark"/>
    <w:aliases w:val="_ITMark"/>
    <w:basedOn w:val="Domylnaczcionkaakapitu"/>
    <w:uiPriority w:val="54"/>
    <w:semiHidden/>
    <w:qFormat/>
    <w:rsid w:val="00E2758D"/>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E2758D"/>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E2758D"/>
    <w:rPr>
      <w:caps w:val="0"/>
      <w:smallCaps/>
    </w:rPr>
  </w:style>
  <w:style w:type="paragraph" w:customStyle="1" w:styleId="NormalJustified">
    <w:name w:val="Normal_Justified"/>
    <w:basedOn w:val="Normalny"/>
    <w:semiHidden/>
    <w:rsid w:val="00E2758D"/>
    <w:pPr>
      <w:jc w:val="both"/>
    </w:pPr>
  </w:style>
  <w:style w:type="character" w:styleId="Wyrnieniedelikatne">
    <w:name w:val="Subtle Emphasis"/>
    <w:uiPriority w:val="98"/>
    <w:semiHidden/>
    <w:qFormat/>
    <w:rsid w:val="00E2758D"/>
    <w:rPr>
      <w:i/>
      <w:iCs/>
    </w:rPr>
  </w:style>
  <w:style w:type="table" w:customStyle="1" w:styleId="ECHRTable">
    <w:name w:val="ECHR_Table"/>
    <w:basedOn w:val="Standardowy"/>
    <w:rsid w:val="00E2758D"/>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E2758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E2758D"/>
    <w:rPr>
      <w:b/>
      <w:bCs/>
      <w:i/>
      <w:iCs/>
      <w:spacing w:val="10"/>
      <w:bdr w:val="none" w:sz="0" w:space="0" w:color="auto"/>
      <w:shd w:val="clear" w:color="auto" w:fill="auto"/>
    </w:rPr>
  </w:style>
  <w:style w:type="paragraph" w:styleId="Stopka">
    <w:name w:val="footer"/>
    <w:basedOn w:val="Normalny"/>
    <w:link w:val="StopkaZnak"/>
    <w:uiPriority w:val="98"/>
    <w:semiHidden/>
    <w:rsid w:val="00E2758D"/>
    <w:pPr>
      <w:tabs>
        <w:tab w:val="center" w:pos="3686"/>
        <w:tab w:val="right" w:pos="7371"/>
      </w:tabs>
    </w:pPr>
  </w:style>
  <w:style w:type="character" w:customStyle="1" w:styleId="StopkaZnak">
    <w:name w:val="Stopka Znak"/>
    <w:basedOn w:val="Domylnaczcionkaakapitu"/>
    <w:link w:val="Stopka"/>
    <w:uiPriority w:val="98"/>
    <w:semiHidden/>
    <w:rsid w:val="00E2758D"/>
    <w:rPr>
      <w:sz w:val="24"/>
      <w:szCs w:val="24"/>
      <w:lang w:val="fr-FR"/>
    </w:rPr>
  </w:style>
  <w:style w:type="character" w:styleId="Odwoanieprzypisudolnego">
    <w:name w:val="footnote reference"/>
    <w:basedOn w:val="Domylnaczcionkaakapitu"/>
    <w:uiPriority w:val="98"/>
    <w:semiHidden/>
    <w:rsid w:val="00E2758D"/>
    <w:rPr>
      <w:vertAlign w:val="superscript"/>
    </w:rPr>
  </w:style>
  <w:style w:type="paragraph" w:styleId="Tekstprzypisudolnego">
    <w:name w:val="footnote text"/>
    <w:basedOn w:val="NormalJustified"/>
    <w:link w:val="TekstprzypisudolnegoZnak"/>
    <w:uiPriority w:val="98"/>
    <w:semiHidden/>
    <w:rsid w:val="00E2758D"/>
    <w:rPr>
      <w:sz w:val="20"/>
      <w:szCs w:val="20"/>
    </w:rPr>
  </w:style>
  <w:style w:type="character" w:customStyle="1" w:styleId="TekstprzypisudolnegoZnak">
    <w:name w:val="Tekst przypisu dolnego Znak"/>
    <w:basedOn w:val="Domylnaczcionkaakapitu"/>
    <w:link w:val="Tekstprzypisudolnego"/>
    <w:uiPriority w:val="98"/>
    <w:semiHidden/>
    <w:rsid w:val="00E2758D"/>
    <w:rPr>
      <w:sz w:val="20"/>
      <w:szCs w:val="20"/>
      <w:lang w:val="fr-FR"/>
    </w:rPr>
  </w:style>
  <w:style w:type="character" w:customStyle="1" w:styleId="Nagwek6Znak">
    <w:name w:val="Nagłówek 6 Znak"/>
    <w:basedOn w:val="Domylnaczcionkaakapitu"/>
    <w:link w:val="Nagwek6"/>
    <w:uiPriority w:val="98"/>
    <w:semiHidden/>
    <w:rsid w:val="00E2758D"/>
    <w:rPr>
      <w:rFonts w:asciiTheme="majorHAnsi" w:eastAsiaTheme="majorEastAsia" w:hAnsiTheme="majorHAnsi" w:cstheme="majorBidi"/>
      <w:b/>
      <w:bCs/>
      <w:i/>
      <w:iCs/>
      <w:color w:val="7F7F7F" w:themeColor="text1" w:themeTint="80"/>
      <w:lang w:val="fr-FR" w:bidi="en-US"/>
    </w:rPr>
  </w:style>
  <w:style w:type="character" w:customStyle="1" w:styleId="Nagwek7Znak">
    <w:name w:val="Nagłówek 7 Znak"/>
    <w:basedOn w:val="Domylnaczcionkaakapitu"/>
    <w:link w:val="Nagwek7"/>
    <w:uiPriority w:val="98"/>
    <w:semiHidden/>
    <w:rsid w:val="00E2758D"/>
    <w:rPr>
      <w:rFonts w:asciiTheme="majorHAnsi" w:eastAsiaTheme="majorEastAsia" w:hAnsiTheme="majorHAnsi" w:cstheme="majorBidi"/>
      <w:i/>
      <w:iCs/>
      <w:lang w:val="fr-FR" w:bidi="en-US"/>
    </w:rPr>
  </w:style>
  <w:style w:type="character" w:customStyle="1" w:styleId="Nagwek8Znak">
    <w:name w:val="Nagłówek 8 Znak"/>
    <w:basedOn w:val="Domylnaczcionkaakapitu"/>
    <w:link w:val="Nagwek8"/>
    <w:uiPriority w:val="98"/>
    <w:semiHidden/>
    <w:rsid w:val="00E2758D"/>
    <w:rPr>
      <w:rFonts w:asciiTheme="majorHAnsi" w:eastAsiaTheme="majorEastAsia" w:hAnsiTheme="majorHAnsi" w:cstheme="majorBidi"/>
      <w:sz w:val="20"/>
      <w:szCs w:val="20"/>
      <w:lang w:val="fr-FR" w:bidi="en-US"/>
    </w:rPr>
  </w:style>
  <w:style w:type="character" w:customStyle="1" w:styleId="Nagwek9Znak">
    <w:name w:val="Nagłówek 9 Znak"/>
    <w:basedOn w:val="Domylnaczcionkaakapitu"/>
    <w:link w:val="Nagwek9"/>
    <w:uiPriority w:val="98"/>
    <w:semiHidden/>
    <w:rsid w:val="00E2758D"/>
    <w:rPr>
      <w:rFonts w:asciiTheme="majorHAnsi" w:eastAsiaTheme="majorEastAsia" w:hAnsiTheme="majorHAnsi" w:cstheme="majorBidi"/>
      <w:i/>
      <w:iCs/>
      <w:spacing w:val="5"/>
      <w:sz w:val="20"/>
      <w:szCs w:val="20"/>
      <w:lang w:val="fr-FR" w:bidi="en-US"/>
    </w:rPr>
  </w:style>
  <w:style w:type="character" w:styleId="Hipercze">
    <w:name w:val="Hyperlink"/>
    <w:basedOn w:val="Domylnaczcionkaakapitu"/>
    <w:uiPriority w:val="98"/>
    <w:semiHidden/>
    <w:rsid w:val="00E2758D"/>
    <w:rPr>
      <w:color w:val="0072BC" w:themeColor="hyperlink"/>
      <w:u w:val="single"/>
    </w:rPr>
  </w:style>
  <w:style w:type="character" w:styleId="Wyrnienieintensywne">
    <w:name w:val="Intense Emphasis"/>
    <w:uiPriority w:val="98"/>
    <w:semiHidden/>
    <w:qFormat/>
    <w:rsid w:val="00E2758D"/>
    <w:rPr>
      <w:b/>
      <w:bCs/>
    </w:rPr>
  </w:style>
  <w:style w:type="paragraph" w:styleId="Cytatintensywny">
    <w:name w:val="Intense Quote"/>
    <w:basedOn w:val="Normalny"/>
    <w:next w:val="Normalny"/>
    <w:link w:val="CytatintensywnyZnak"/>
    <w:uiPriority w:val="98"/>
    <w:semiHidden/>
    <w:qFormat/>
    <w:rsid w:val="00E2758D"/>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E2758D"/>
    <w:rPr>
      <w:b/>
      <w:bCs/>
      <w:i/>
      <w:iCs/>
      <w:sz w:val="24"/>
      <w:szCs w:val="24"/>
      <w:lang w:val="fr-FR" w:bidi="en-US"/>
    </w:rPr>
  </w:style>
  <w:style w:type="character" w:styleId="Odwoanieintensywne">
    <w:name w:val="Intense Reference"/>
    <w:uiPriority w:val="98"/>
    <w:semiHidden/>
    <w:qFormat/>
    <w:rsid w:val="00E2758D"/>
    <w:rPr>
      <w:smallCaps/>
      <w:spacing w:val="5"/>
      <w:u w:val="single"/>
    </w:rPr>
  </w:style>
  <w:style w:type="paragraph" w:styleId="Akapitzlist">
    <w:name w:val="List Paragraph"/>
    <w:basedOn w:val="Normalny"/>
    <w:uiPriority w:val="98"/>
    <w:semiHidden/>
    <w:qFormat/>
    <w:rsid w:val="00E2758D"/>
    <w:pPr>
      <w:ind w:left="720"/>
      <w:contextualSpacing/>
    </w:pPr>
  </w:style>
  <w:style w:type="table" w:customStyle="1" w:styleId="LtrTableAddress">
    <w:name w:val="Ltr_Table_Address"/>
    <w:aliases w:val="ECHR_Ltr_Table_Address"/>
    <w:basedOn w:val="Standardowy"/>
    <w:uiPriority w:val="99"/>
    <w:rsid w:val="00E2758D"/>
    <w:rPr>
      <w:sz w:val="24"/>
      <w:szCs w:val="24"/>
    </w:rPr>
    <w:tblPr>
      <w:tblInd w:w="5103" w:type="dxa"/>
    </w:tblPr>
  </w:style>
  <w:style w:type="paragraph" w:styleId="Cytat">
    <w:name w:val="Quote"/>
    <w:basedOn w:val="Normalny"/>
    <w:next w:val="Normalny"/>
    <w:link w:val="CytatZnak"/>
    <w:uiPriority w:val="98"/>
    <w:semiHidden/>
    <w:qFormat/>
    <w:rsid w:val="00E2758D"/>
    <w:pPr>
      <w:spacing w:before="200"/>
      <w:ind w:left="360" w:right="360"/>
    </w:pPr>
    <w:rPr>
      <w:i/>
      <w:iCs/>
      <w:lang w:bidi="en-US"/>
    </w:rPr>
  </w:style>
  <w:style w:type="character" w:customStyle="1" w:styleId="CytatZnak">
    <w:name w:val="Cytat Znak"/>
    <w:basedOn w:val="Domylnaczcionkaakapitu"/>
    <w:link w:val="Cytat"/>
    <w:uiPriority w:val="98"/>
    <w:semiHidden/>
    <w:rsid w:val="00E2758D"/>
    <w:rPr>
      <w:i/>
      <w:iCs/>
      <w:sz w:val="24"/>
      <w:szCs w:val="24"/>
      <w:lang w:val="fr-FR" w:bidi="en-US"/>
    </w:rPr>
  </w:style>
  <w:style w:type="character" w:styleId="Odwoaniedelikatne">
    <w:name w:val="Subtle Reference"/>
    <w:uiPriority w:val="98"/>
    <w:semiHidden/>
    <w:qFormat/>
    <w:rsid w:val="00E2758D"/>
    <w:rPr>
      <w:smallCaps/>
    </w:rPr>
  </w:style>
  <w:style w:type="table" w:styleId="Tabela-Siatka">
    <w:name w:val="Table Grid"/>
    <w:basedOn w:val="Standardowy"/>
    <w:uiPriority w:val="59"/>
    <w:semiHidden/>
    <w:rsid w:val="00E2758D"/>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E2758D"/>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E2758D"/>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E2758D"/>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E2758D"/>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E2758D"/>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E2758D"/>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E2758D"/>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E2758D"/>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E2758D"/>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E2758D"/>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E2758D"/>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E2758D"/>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E2758D"/>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E2758D"/>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E2758D"/>
    <w:rPr>
      <w:rFonts w:asciiTheme="majorHAnsi" w:eastAsiaTheme="majorEastAsia" w:hAnsiTheme="majorHAnsi" w:cstheme="majorBidi"/>
      <w:i/>
      <w:iCs/>
      <w:spacing w:val="13"/>
      <w:sz w:val="24"/>
      <w:szCs w:val="24"/>
      <w:lang w:val="fr-FR" w:bidi="en-US"/>
    </w:rPr>
  </w:style>
  <w:style w:type="numbering" w:styleId="111111">
    <w:name w:val="Outline List 2"/>
    <w:basedOn w:val="Bezlisty"/>
    <w:uiPriority w:val="99"/>
    <w:semiHidden/>
    <w:unhideWhenUsed/>
    <w:rsid w:val="00E2758D"/>
    <w:pPr>
      <w:numPr>
        <w:numId w:val="1"/>
      </w:numPr>
    </w:pPr>
  </w:style>
  <w:style w:type="paragraph" w:customStyle="1" w:styleId="JuPara">
    <w:name w:val="Ju_Para"/>
    <w:aliases w:val="_Para"/>
    <w:basedOn w:val="NormalJustified"/>
    <w:link w:val="JuParaChar"/>
    <w:uiPriority w:val="4"/>
    <w:qFormat/>
    <w:rsid w:val="00E2758D"/>
    <w:pPr>
      <w:ind w:firstLine="284"/>
    </w:pPr>
  </w:style>
  <w:style w:type="numbering" w:styleId="1ai">
    <w:name w:val="Outline List 1"/>
    <w:basedOn w:val="Bezlisty"/>
    <w:uiPriority w:val="99"/>
    <w:semiHidden/>
    <w:unhideWhenUsed/>
    <w:rsid w:val="00E2758D"/>
    <w:pPr>
      <w:numPr>
        <w:numId w:val="2"/>
      </w:numPr>
    </w:pPr>
  </w:style>
  <w:style w:type="table" w:customStyle="1" w:styleId="ECHRTableSimpleBox">
    <w:name w:val="ECHR_Table_Simple_Box"/>
    <w:basedOn w:val="Standardowy"/>
    <w:uiPriority w:val="99"/>
    <w:rsid w:val="00E2758D"/>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E2758D"/>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E2758D"/>
    <w:pPr>
      <w:numPr>
        <w:numId w:val="3"/>
      </w:numPr>
    </w:pPr>
  </w:style>
  <w:style w:type="table" w:customStyle="1" w:styleId="ECHRTableForInternalUse">
    <w:name w:val="ECHR_Table_For_Internal_Use"/>
    <w:basedOn w:val="Standardowy"/>
    <w:uiPriority w:val="99"/>
    <w:rsid w:val="00E2758D"/>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2758D"/>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E2758D"/>
  </w:style>
  <w:style w:type="paragraph" w:styleId="Tekstblokowy">
    <w:name w:val="Block Text"/>
    <w:basedOn w:val="Normalny"/>
    <w:uiPriority w:val="98"/>
    <w:semiHidden/>
    <w:rsid w:val="00E2758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E2758D"/>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E2758D"/>
    <w:pPr>
      <w:spacing w:after="120"/>
    </w:pPr>
  </w:style>
  <w:style w:type="character" w:customStyle="1" w:styleId="TekstpodstawowyZnak">
    <w:name w:val="Tekst podstawowy Znak"/>
    <w:basedOn w:val="Domylnaczcionkaakapitu"/>
    <w:link w:val="Tekstpodstawowy"/>
    <w:uiPriority w:val="98"/>
    <w:semiHidden/>
    <w:rsid w:val="00E2758D"/>
    <w:rPr>
      <w:sz w:val="24"/>
      <w:szCs w:val="24"/>
      <w:lang w:val="fr-FR"/>
    </w:rPr>
  </w:style>
  <w:style w:type="table" w:customStyle="1" w:styleId="ECHRTableOddBanded">
    <w:name w:val="ECHR_Table_Odd_Banded"/>
    <w:basedOn w:val="Standardowy"/>
    <w:uiPriority w:val="99"/>
    <w:rsid w:val="00E2758D"/>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E2758D"/>
    <w:pPr>
      <w:spacing w:after="120" w:line="480" w:lineRule="auto"/>
    </w:pPr>
  </w:style>
  <w:style w:type="table" w:customStyle="1" w:styleId="ECHRHeaderTableReduced">
    <w:name w:val="ECHR_Header_Table_Reduced"/>
    <w:basedOn w:val="Standardowy"/>
    <w:uiPriority w:val="99"/>
    <w:rsid w:val="00E2758D"/>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E2758D"/>
    <w:pPr>
      <w:ind w:firstLine="284"/>
    </w:pPr>
    <w:rPr>
      <w:b/>
    </w:rPr>
  </w:style>
  <w:style w:type="character" w:styleId="Numerstrony">
    <w:name w:val="page number"/>
    <w:uiPriority w:val="98"/>
    <w:semiHidden/>
    <w:rsid w:val="00E2758D"/>
    <w:rPr>
      <w:sz w:val="18"/>
    </w:rPr>
  </w:style>
  <w:style w:type="paragraph" w:styleId="Listapunktowana2">
    <w:name w:val="List Bullet 2"/>
    <w:basedOn w:val="Normalny"/>
    <w:uiPriority w:val="98"/>
    <w:semiHidden/>
    <w:rsid w:val="00E2758D"/>
    <w:pPr>
      <w:numPr>
        <w:numId w:val="5"/>
      </w:numPr>
      <w:contextualSpacing/>
    </w:pPr>
  </w:style>
  <w:style w:type="character" w:customStyle="1" w:styleId="Tekstpodstawowy2Znak">
    <w:name w:val="Tekst podstawowy 2 Znak"/>
    <w:basedOn w:val="Domylnaczcionkaakapitu"/>
    <w:link w:val="Tekstpodstawowy2"/>
    <w:uiPriority w:val="98"/>
    <w:semiHidden/>
    <w:rsid w:val="00E2758D"/>
    <w:rPr>
      <w:sz w:val="24"/>
      <w:szCs w:val="24"/>
      <w:lang w:val="fr-FR"/>
    </w:rPr>
  </w:style>
  <w:style w:type="paragraph" w:styleId="Tekstpodstawowy3">
    <w:name w:val="Body Text 3"/>
    <w:basedOn w:val="Normalny"/>
    <w:link w:val="Tekstpodstawowy3Znak"/>
    <w:uiPriority w:val="98"/>
    <w:semiHidden/>
    <w:rsid w:val="00E2758D"/>
    <w:pPr>
      <w:spacing w:after="120"/>
    </w:pPr>
    <w:rPr>
      <w:sz w:val="16"/>
      <w:szCs w:val="16"/>
    </w:rPr>
  </w:style>
  <w:style w:type="character" w:customStyle="1" w:styleId="Tekstpodstawowy3Znak">
    <w:name w:val="Tekst podstawowy 3 Znak"/>
    <w:basedOn w:val="Domylnaczcionkaakapitu"/>
    <w:link w:val="Tekstpodstawowy3"/>
    <w:uiPriority w:val="98"/>
    <w:semiHidden/>
    <w:rsid w:val="00E2758D"/>
    <w:rPr>
      <w:sz w:val="16"/>
      <w:szCs w:val="16"/>
      <w:lang w:val="fr-FR"/>
    </w:rPr>
  </w:style>
  <w:style w:type="paragraph" w:styleId="Tekstpodstawowyzwciciem">
    <w:name w:val="Body Text First Indent"/>
    <w:basedOn w:val="Tekstpodstawowy"/>
    <w:link w:val="TekstpodstawowyzwciciemZnak"/>
    <w:uiPriority w:val="98"/>
    <w:semiHidden/>
    <w:rsid w:val="00E2758D"/>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E2758D"/>
    <w:rPr>
      <w:sz w:val="24"/>
      <w:szCs w:val="24"/>
      <w:lang w:val="fr-FR"/>
    </w:rPr>
  </w:style>
  <w:style w:type="paragraph" w:styleId="Tekstpodstawowywcity">
    <w:name w:val="Body Text Indent"/>
    <w:basedOn w:val="Normalny"/>
    <w:link w:val="TekstpodstawowywcityZnak"/>
    <w:uiPriority w:val="98"/>
    <w:semiHidden/>
    <w:rsid w:val="00E2758D"/>
    <w:pPr>
      <w:spacing w:after="120"/>
      <w:ind w:left="283"/>
    </w:pPr>
  </w:style>
  <w:style w:type="character" w:customStyle="1" w:styleId="TekstpodstawowywcityZnak">
    <w:name w:val="Tekst podstawowy wcięty Znak"/>
    <w:basedOn w:val="Domylnaczcionkaakapitu"/>
    <w:link w:val="Tekstpodstawowywcity"/>
    <w:uiPriority w:val="98"/>
    <w:semiHidden/>
    <w:rsid w:val="00E2758D"/>
    <w:rPr>
      <w:sz w:val="24"/>
      <w:szCs w:val="24"/>
      <w:lang w:val="fr-FR"/>
    </w:rPr>
  </w:style>
  <w:style w:type="paragraph" w:styleId="Tekstpodstawowyzwciciem2">
    <w:name w:val="Body Text First Indent 2"/>
    <w:basedOn w:val="Tekstpodstawowywcity"/>
    <w:link w:val="Tekstpodstawowyzwciciem2Znak"/>
    <w:uiPriority w:val="98"/>
    <w:semiHidden/>
    <w:rsid w:val="00E2758D"/>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E2758D"/>
    <w:rPr>
      <w:sz w:val="24"/>
      <w:szCs w:val="24"/>
      <w:lang w:val="fr-FR"/>
    </w:rPr>
  </w:style>
  <w:style w:type="paragraph" w:styleId="Tekstpodstawowywcity2">
    <w:name w:val="Body Text Indent 2"/>
    <w:basedOn w:val="Normalny"/>
    <w:link w:val="Tekstpodstawowywcity2Znak"/>
    <w:uiPriority w:val="98"/>
    <w:semiHidden/>
    <w:rsid w:val="00E2758D"/>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E2758D"/>
    <w:rPr>
      <w:sz w:val="24"/>
      <w:szCs w:val="24"/>
      <w:lang w:val="fr-FR"/>
    </w:rPr>
  </w:style>
  <w:style w:type="paragraph" w:styleId="Tekstpodstawowywcity3">
    <w:name w:val="Body Text Indent 3"/>
    <w:basedOn w:val="Normalny"/>
    <w:link w:val="Tekstpodstawowywcity3Znak"/>
    <w:uiPriority w:val="98"/>
    <w:semiHidden/>
    <w:rsid w:val="00E2758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E2758D"/>
    <w:rPr>
      <w:sz w:val="16"/>
      <w:szCs w:val="16"/>
      <w:lang w:val="fr-FR"/>
    </w:rPr>
  </w:style>
  <w:style w:type="paragraph" w:styleId="Legenda">
    <w:name w:val="caption"/>
    <w:basedOn w:val="Normalny"/>
    <w:next w:val="Normalny"/>
    <w:uiPriority w:val="98"/>
    <w:semiHidden/>
    <w:qFormat/>
    <w:rsid w:val="00E2758D"/>
    <w:pPr>
      <w:spacing w:after="200"/>
    </w:pPr>
    <w:rPr>
      <w:b/>
      <w:bCs/>
      <w:color w:val="0072BC" w:themeColor="accent1"/>
      <w:sz w:val="18"/>
      <w:szCs w:val="18"/>
    </w:rPr>
  </w:style>
  <w:style w:type="paragraph" w:styleId="Zwrotpoegnalny">
    <w:name w:val="Closing"/>
    <w:basedOn w:val="Normalny"/>
    <w:link w:val="ZwrotpoegnalnyZnak"/>
    <w:uiPriority w:val="98"/>
    <w:semiHidden/>
    <w:rsid w:val="00E2758D"/>
    <w:pPr>
      <w:ind w:left="4252"/>
    </w:pPr>
  </w:style>
  <w:style w:type="character" w:customStyle="1" w:styleId="ZwrotpoegnalnyZnak">
    <w:name w:val="Zwrot pożegnalny Znak"/>
    <w:basedOn w:val="Domylnaczcionkaakapitu"/>
    <w:link w:val="Zwrotpoegnalny"/>
    <w:uiPriority w:val="98"/>
    <w:semiHidden/>
    <w:rsid w:val="00E2758D"/>
    <w:rPr>
      <w:sz w:val="24"/>
      <w:szCs w:val="24"/>
      <w:lang w:val="fr-FR"/>
    </w:rPr>
  </w:style>
  <w:style w:type="table" w:styleId="Kolorowasiatka">
    <w:name w:val="Colorful Grid"/>
    <w:basedOn w:val="Standardowy"/>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E2758D"/>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E2758D"/>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E2758D"/>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E2758D"/>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E2758D"/>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E2758D"/>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E2758D"/>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E2758D"/>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E2758D"/>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E2758D"/>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E2758D"/>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E2758D"/>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E2758D"/>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E2758D"/>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E2758D"/>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E2758D"/>
    <w:rPr>
      <w:sz w:val="16"/>
      <w:szCs w:val="16"/>
    </w:rPr>
  </w:style>
  <w:style w:type="paragraph" w:styleId="Tekstkomentarza">
    <w:name w:val="annotation text"/>
    <w:basedOn w:val="Normalny"/>
    <w:link w:val="TekstkomentarzaZnak"/>
    <w:uiPriority w:val="98"/>
    <w:semiHidden/>
    <w:rsid w:val="00E2758D"/>
    <w:rPr>
      <w:sz w:val="20"/>
      <w:szCs w:val="20"/>
    </w:rPr>
  </w:style>
  <w:style w:type="character" w:customStyle="1" w:styleId="TekstkomentarzaZnak">
    <w:name w:val="Tekst komentarza Znak"/>
    <w:basedOn w:val="Domylnaczcionkaakapitu"/>
    <w:link w:val="Tekstkomentarza"/>
    <w:uiPriority w:val="98"/>
    <w:semiHidden/>
    <w:rsid w:val="00E2758D"/>
    <w:rPr>
      <w:sz w:val="20"/>
      <w:szCs w:val="20"/>
      <w:lang w:val="fr-FR"/>
    </w:rPr>
  </w:style>
  <w:style w:type="paragraph" w:styleId="Tematkomentarza">
    <w:name w:val="annotation subject"/>
    <w:basedOn w:val="Tekstkomentarza"/>
    <w:next w:val="Tekstkomentarza"/>
    <w:link w:val="TematkomentarzaZnak"/>
    <w:uiPriority w:val="98"/>
    <w:semiHidden/>
    <w:rsid w:val="00E2758D"/>
    <w:rPr>
      <w:b/>
      <w:bCs/>
    </w:rPr>
  </w:style>
  <w:style w:type="character" w:customStyle="1" w:styleId="TematkomentarzaZnak">
    <w:name w:val="Temat komentarza Znak"/>
    <w:basedOn w:val="TekstkomentarzaZnak"/>
    <w:link w:val="Tematkomentarza"/>
    <w:uiPriority w:val="98"/>
    <w:semiHidden/>
    <w:rsid w:val="00E2758D"/>
    <w:rPr>
      <w:b/>
      <w:bCs/>
      <w:sz w:val="20"/>
      <w:szCs w:val="20"/>
      <w:lang w:val="fr-FR"/>
    </w:rPr>
  </w:style>
  <w:style w:type="table" w:styleId="Ciemnalista">
    <w:name w:val="Dark List"/>
    <w:basedOn w:val="Standardowy"/>
    <w:uiPriority w:val="70"/>
    <w:semiHidden/>
    <w:rsid w:val="00E2758D"/>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E2758D"/>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E2758D"/>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E2758D"/>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E2758D"/>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E2758D"/>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E2758D"/>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E2758D"/>
  </w:style>
  <w:style w:type="character" w:customStyle="1" w:styleId="DataZnak">
    <w:name w:val="Data Znak"/>
    <w:basedOn w:val="Domylnaczcionkaakapitu"/>
    <w:link w:val="Data"/>
    <w:uiPriority w:val="98"/>
    <w:semiHidden/>
    <w:rsid w:val="00E2758D"/>
    <w:rPr>
      <w:sz w:val="24"/>
      <w:szCs w:val="24"/>
      <w:lang w:val="fr-FR"/>
    </w:rPr>
  </w:style>
  <w:style w:type="paragraph" w:styleId="Mapadokumentu">
    <w:name w:val="Document Map"/>
    <w:basedOn w:val="Normalny"/>
    <w:link w:val="MapadokumentuZnak"/>
    <w:uiPriority w:val="98"/>
    <w:semiHidden/>
    <w:rsid w:val="00E2758D"/>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E2758D"/>
    <w:rPr>
      <w:rFonts w:ascii="Tahoma" w:hAnsi="Tahoma" w:cs="Tahoma"/>
      <w:sz w:val="16"/>
      <w:szCs w:val="16"/>
      <w:lang w:val="fr-FR"/>
    </w:rPr>
  </w:style>
  <w:style w:type="paragraph" w:styleId="Podpise-mail">
    <w:name w:val="E-mail Signature"/>
    <w:basedOn w:val="Normalny"/>
    <w:link w:val="Podpise-mailZnak"/>
    <w:uiPriority w:val="98"/>
    <w:semiHidden/>
    <w:rsid w:val="00E2758D"/>
  </w:style>
  <w:style w:type="character" w:customStyle="1" w:styleId="Podpise-mailZnak">
    <w:name w:val="Podpis e-mail Znak"/>
    <w:basedOn w:val="Domylnaczcionkaakapitu"/>
    <w:link w:val="Podpise-mail"/>
    <w:uiPriority w:val="98"/>
    <w:semiHidden/>
    <w:rsid w:val="00E2758D"/>
    <w:rPr>
      <w:sz w:val="24"/>
      <w:szCs w:val="24"/>
      <w:lang w:val="fr-FR"/>
    </w:rPr>
  </w:style>
  <w:style w:type="character" w:styleId="Odwoanieprzypisukocowego">
    <w:name w:val="endnote reference"/>
    <w:basedOn w:val="Domylnaczcionkaakapitu"/>
    <w:uiPriority w:val="98"/>
    <w:semiHidden/>
    <w:rsid w:val="00E2758D"/>
    <w:rPr>
      <w:vertAlign w:val="superscript"/>
    </w:rPr>
  </w:style>
  <w:style w:type="paragraph" w:styleId="Tekstprzypisukocowego">
    <w:name w:val="endnote text"/>
    <w:basedOn w:val="Normalny"/>
    <w:link w:val="TekstprzypisukocowegoZnak"/>
    <w:uiPriority w:val="98"/>
    <w:semiHidden/>
    <w:rsid w:val="00E2758D"/>
    <w:rPr>
      <w:sz w:val="20"/>
      <w:szCs w:val="20"/>
    </w:rPr>
  </w:style>
  <w:style w:type="character" w:customStyle="1" w:styleId="TekstprzypisukocowegoZnak">
    <w:name w:val="Tekst przypisu końcowego Znak"/>
    <w:basedOn w:val="Domylnaczcionkaakapitu"/>
    <w:link w:val="Tekstprzypisukocowego"/>
    <w:uiPriority w:val="98"/>
    <w:semiHidden/>
    <w:rsid w:val="00E2758D"/>
    <w:rPr>
      <w:sz w:val="20"/>
      <w:szCs w:val="20"/>
      <w:lang w:val="fr-FR"/>
    </w:rPr>
  </w:style>
  <w:style w:type="paragraph" w:styleId="Adresnakopercie">
    <w:name w:val="envelope address"/>
    <w:basedOn w:val="Normalny"/>
    <w:uiPriority w:val="98"/>
    <w:semiHidden/>
    <w:rsid w:val="00E2758D"/>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E2758D"/>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E2758D"/>
    <w:rPr>
      <w:color w:val="7030A0" w:themeColor="followedHyperlink"/>
      <w:u w:val="single"/>
    </w:rPr>
  </w:style>
  <w:style w:type="character" w:styleId="HTML-akronim">
    <w:name w:val="HTML Acronym"/>
    <w:basedOn w:val="Domylnaczcionkaakapitu"/>
    <w:uiPriority w:val="98"/>
    <w:semiHidden/>
    <w:rsid w:val="00E2758D"/>
  </w:style>
  <w:style w:type="paragraph" w:styleId="HTML-adres">
    <w:name w:val="HTML Address"/>
    <w:basedOn w:val="Normalny"/>
    <w:link w:val="HTML-adresZnak"/>
    <w:uiPriority w:val="98"/>
    <w:semiHidden/>
    <w:rsid w:val="00E2758D"/>
    <w:rPr>
      <w:i/>
      <w:iCs/>
    </w:rPr>
  </w:style>
  <w:style w:type="character" w:customStyle="1" w:styleId="HTML-adresZnak">
    <w:name w:val="HTML - adres Znak"/>
    <w:basedOn w:val="Domylnaczcionkaakapitu"/>
    <w:link w:val="HTML-adres"/>
    <w:uiPriority w:val="98"/>
    <w:semiHidden/>
    <w:rsid w:val="00E2758D"/>
    <w:rPr>
      <w:i/>
      <w:iCs/>
      <w:sz w:val="24"/>
      <w:szCs w:val="24"/>
      <w:lang w:val="fr-FR"/>
    </w:rPr>
  </w:style>
  <w:style w:type="character" w:styleId="HTML-cytat">
    <w:name w:val="HTML Cite"/>
    <w:basedOn w:val="Domylnaczcionkaakapitu"/>
    <w:uiPriority w:val="98"/>
    <w:semiHidden/>
    <w:rsid w:val="00E2758D"/>
    <w:rPr>
      <w:i/>
      <w:iCs/>
    </w:rPr>
  </w:style>
  <w:style w:type="character" w:styleId="HTML-kod">
    <w:name w:val="HTML Code"/>
    <w:basedOn w:val="Domylnaczcionkaakapitu"/>
    <w:uiPriority w:val="98"/>
    <w:semiHidden/>
    <w:rsid w:val="00E2758D"/>
    <w:rPr>
      <w:rFonts w:ascii="Consolas" w:hAnsi="Consolas" w:cs="Consolas"/>
      <w:sz w:val="20"/>
      <w:szCs w:val="20"/>
    </w:rPr>
  </w:style>
  <w:style w:type="character" w:styleId="HTML-definicja">
    <w:name w:val="HTML Definition"/>
    <w:basedOn w:val="Domylnaczcionkaakapitu"/>
    <w:uiPriority w:val="98"/>
    <w:semiHidden/>
    <w:rsid w:val="00E2758D"/>
    <w:rPr>
      <w:i/>
      <w:iCs/>
    </w:rPr>
  </w:style>
  <w:style w:type="character" w:styleId="HTML-klawiatura">
    <w:name w:val="HTML Keyboard"/>
    <w:basedOn w:val="Domylnaczcionkaakapitu"/>
    <w:uiPriority w:val="98"/>
    <w:semiHidden/>
    <w:rsid w:val="00E2758D"/>
    <w:rPr>
      <w:rFonts w:ascii="Consolas" w:hAnsi="Consolas" w:cs="Consolas"/>
      <w:sz w:val="20"/>
      <w:szCs w:val="20"/>
    </w:rPr>
  </w:style>
  <w:style w:type="paragraph" w:styleId="HTML-wstpniesformatowany">
    <w:name w:val="HTML Preformatted"/>
    <w:basedOn w:val="Normalny"/>
    <w:link w:val="HTML-wstpniesformatowanyZnak"/>
    <w:uiPriority w:val="98"/>
    <w:semiHidden/>
    <w:rsid w:val="00E2758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E2758D"/>
    <w:rPr>
      <w:rFonts w:ascii="Consolas" w:hAnsi="Consolas" w:cs="Consolas"/>
      <w:sz w:val="20"/>
      <w:szCs w:val="20"/>
      <w:lang w:val="fr-FR"/>
    </w:rPr>
  </w:style>
  <w:style w:type="character" w:styleId="HTML-przykad">
    <w:name w:val="HTML Sample"/>
    <w:basedOn w:val="Domylnaczcionkaakapitu"/>
    <w:uiPriority w:val="98"/>
    <w:semiHidden/>
    <w:rsid w:val="00E2758D"/>
    <w:rPr>
      <w:rFonts w:ascii="Consolas" w:hAnsi="Consolas" w:cs="Consolas"/>
      <w:sz w:val="24"/>
      <w:szCs w:val="24"/>
    </w:rPr>
  </w:style>
  <w:style w:type="character" w:styleId="HTML-staaszeroko">
    <w:name w:val="HTML Typewriter"/>
    <w:basedOn w:val="Domylnaczcionkaakapitu"/>
    <w:uiPriority w:val="98"/>
    <w:semiHidden/>
    <w:rsid w:val="00E2758D"/>
    <w:rPr>
      <w:rFonts w:ascii="Consolas" w:hAnsi="Consolas" w:cs="Consolas"/>
      <w:sz w:val="20"/>
      <w:szCs w:val="20"/>
    </w:rPr>
  </w:style>
  <w:style w:type="character" w:styleId="HTML-zmienna">
    <w:name w:val="HTML Variable"/>
    <w:basedOn w:val="Domylnaczcionkaakapitu"/>
    <w:uiPriority w:val="98"/>
    <w:semiHidden/>
    <w:rsid w:val="00E2758D"/>
    <w:rPr>
      <w:i/>
      <w:iCs/>
    </w:rPr>
  </w:style>
  <w:style w:type="paragraph" w:styleId="Indeks1">
    <w:name w:val="index 1"/>
    <w:basedOn w:val="Normalny"/>
    <w:next w:val="Normalny"/>
    <w:autoRedefine/>
    <w:uiPriority w:val="98"/>
    <w:semiHidden/>
    <w:rsid w:val="00E2758D"/>
    <w:pPr>
      <w:ind w:left="240" w:hanging="240"/>
    </w:pPr>
  </w:style>
  <w:style w:type="paragraph" w:styleId="Indeks2">
    <w:name w:val="index 2"/>
    <w:basedOn w:val="Normalny"/>
    <w:next w:val="Normalny"/>
    <w:autoRedefine/>
    <w:uiPriority w:val="98"/>
    <w:semiHidden/>
    <w:rsid w:val="00E2758D"/>
    <w:pPr>
      <w:ind w:left="480" w:hanging="240"/>
    </w:pPr>
  </w:style>
  <w:style w:type="paragraph" w:styleId="Indeks3">
    <w:name w:val="index 3"/>
    <w:basedOn w:val="Normalny"/>
    <w:next w:val="Normalny"/>
    <w:autoRedefine/>
    <w:uiPriority w:val="98"/>
    <w:semiHidden/>
    <w:rsid w:val="00E2758D"/>
    <w:pPr>
      <w:ind w:left="720" w:hanging="240"/>
    </w:pPr>
  </w:style>
  <w:style w:type="paragraph" w:styleId="Indeks4">
    <w:name w:val="index 4"/>
    <w:basedOn w:val="Normalny"/>
    <w:next w:val="Normalny"/>
    <w:autoRedefine/>
    <w:uiPriority w:val="98"/>
    <w:semiHidden/>
    <w:rsid w:val="00E2758D"/>
    <w:pPr>
      <w:ind w:left="960" w:hanging="240"/>
    </w:pPr>
  </w:style>
  <w:style w:type="paragraph" w:styleId="Indeks5">
    <w:name w:val="index 5"/>
    <w:basedOn w:val="Normalny"/>
    <w:next w:val="Normalny"/>
    <w:autoRedefine/>
    <w:uiPriority w:val="98"/>
    <w:semiHidden/>
    <w:rsid w:val="00E2758D"/>
    <w:pPr>
      <w:ind w:left="1200" w:hanging="240"/>
    </w:pPr>
  </w:style>
  <w:style w:type="paragraph" w:styleId="Indeks6">
    <w:name w:val="index 6"/>
    <w:basedOn w:val="Normalny"/>
    <w:next w:val="Normalny"/>
    <w:autoRedefine/>
    <w:uiPriority w:val="98"/>
    <w:semiHidden/>
    <w:rsid w:val="00E2758D"/>
    <w:pPr>
      <w:ind w:left="1440" w:hanging="240"/>
    </w:pPr>
  </w:style>
  <w:style w:type="paragraph" w:styleId="Indeks7">
    <w:name w:val="index 7"/>
    <w:basedOn w:val="Normalny"/>
    <w:next w:val="Normalny"/>
    <w:autoRedefine/>
    <w:uiPriority w:val="98"/>
    <w:semiHidden/>
    <w:rsid w:val="00E2758D"/>
    <w:pPr>
      <w:ind w:left="1680" w:hanging="240"/>
    </w:pPr>
  </w:style>
  <w:style w:type="paragraph" w:styleId="Indeks8">
    <w:name w:val="index 8"/>
    <w:basedOn w:val="Normalny"/>
    <w:next w:val="Normalny"/>
    <w:autoRedefine/>
    <w:uiPriority w:val="98"/>
    <w:semiHidden/>
    <w:rsid w:val="00E2758D"/>
    <w:pPr>
      <w:ind w:left="1920" w:hanging="240"/>
    </w:pPr>
  </w:style>
  <w:style w:type="paragraph" w:styleId="Indeks9">
    <w:name w:val="index 9"/>
    <w:basedOn w:val="Normalny"/>
    <w:next w:val="Normalny"/>
    <w:autoRedefine/>
    <w:uiPriority w:val="98"/>
    <w:semiHidden/>
    <w:rsid w:val="00E2758D"/>
    <w:pPr>
      <w:ind w:left="2160" w:hanging="240"/>
    </w:pPr>
  </w:style>
  <w:style w:type="paragraph" w:styleId="Nagwekindeksu">
    <w:name w:val="index heading"/>
    <w:basedOn w:val="Normalny"/>
    <w:next w:val="Indeks1"/>
    <w:uiPriority w:val="98"/>
    <w:semiHidden/>
    <w:rsid w:val="00E2758D"/>
    <w:rPr>
      <w:rFonts w:asciiTheme="majorHAnsi" w:eastAsiaTheme="majorEastAsia" w:hAnsiTheme="majorHAnsi" w:cstheme="majorBidi"/>
      <w:b/>
      <w:bCs/>
    </w:rPr>
  </w:style>
  <w:style w:type="table" w:styleId="Jasnasiatka">
    <w:name w:val="Light Grid"/>
    <w:basedOn w:val="Standardowy"/>
    <w:uiPriority w:val="62"/>
    <w:semiHidden/>
    <w:rsid w:val="00E2758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E2758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E2758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E2758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E2758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E2758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E2758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E2758D"/>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E2758D"/>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E2758D"/>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E2758D"/>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E2758D"/>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E2758D"/>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E2758D"/>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E2758D"/>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E2758D"/>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E2758D"/>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E2758D"/>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E2758D"/>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E2758D"/>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E2758D"/>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E2758D"/>
  </w:style>
  <w:style w:type="paragraph" w:styleId="Lista">
    <w:name w:val="List"/>
    <w:basedOn w:val="Normalny"/>
    <w:uiPriority w:val="98"/>
    <w:semiHidden/>
    <w:rsid w:val="00E2758D"/>
    <w:pPr>
      <w:ind w:left="283" w:hanging="283"/>
      <w:contextualSpacing/>
    </w:pPr>
  </w:style>
  <w:style w:type="paragraph" w:styleId="Lista2">
    <w:name w:val="List 2"/>
    <w:basedOn w:val="Normalny"/>
    <w:uiPriority w:val="98"/>
    <w:semiHidden/>
    <w:rsid w:val="00E2758D"/>
    <w:pPr>
      <w:ind w:left="566" w:hanging="283"/>
      <w:contextualSpacing/>
    </w:pPr>
  </w:style>
  <w:style w:type="paragraph" w:styleId="Lista3">
    <w:name w:val="List 3"/>
    <w:basedOn w:val="Normalny"/>
    <w:uiPriority w:val="98"/>
    <w:semiHidden/>
    <w:rsid w:val="00E2758D"/>
    <w:pPr>
      <w:ind w:left="849" w:hanging="283"/>
      <w:contextualSpacing/>
    </w:pPr>
  </w:style>
  <w:style w:type="paragraph" w:styleId="Lista4">
    <w:name w:val="List 4"/>
    <w:basedOn w:val="Normalny"/>
    <w:uiPriority w:val="98"/>
    <w:semiHidden/>
    <w:rsid w:val="00E2758D"/>
    <w:pPr>
      <w:ind w:left="1132" w:hanging="283"/>
      <w:contextualSpacing/>
    </w:pPr>
  </w:style>
  <w:style w:type="paragraph" w:styleId="Lista5">
    <w:name w:val="List 5"/>
    <w:basedOn w:val="Normalny"/>
    <w:uiPriority w:val="98"/>
    <w:semiHidden/>
    <w:rsid w:val="00E2758D"/>
    <w:pPr>
      <w:ind w:left="1415" w:hanging="283"/>
      <w:contextualSpacing/>
    </w:pPr>
  </w:style>
  <w:style w:type="paragraph" w:styleId="Listapunktowana">
    <w:name w:val="List Bullet"/>
    <w:basedOn w:val="Normalny"/>
    <w:uiPriority w:val="98"/>
    <w:semiHidden/>
    <w:rsid w:val="00E2758D"/>
    <w:pPr>
      <w:numPr>
        <w:numId w:val="4"/>
      </w:numPr>
    </w:pPr>
  </w:style>
  <w:style w:type="paragraph" w:styleId="Listapunktowana3">
    <w:name w:val="List Bullet 3"/>
    <w:basedOn w:val="Normalny"/>
    <w:uiPriority w:val="98"/>
    <w:semiHidden/>
    <w:rsid w:val="00E2758D"/>
    <w:pPr>
      <w:numPr>
        <w:numId w:val="6"/>
      </w:numPr>
      <w:contextualSpacing/>
    </w:pPr>
  </w:style>
  <w:style w:type="paragraph" w:styleId="Listapunktowana4">
    <w:name w:val="List Bullet 4"/>
    <w:basedOn w:val="Normalny"/>
    <w:uiPriority w:val="98"/>
    <w:semiHidden/>
    <w:rsid w:val="00E2758D"/>
    <w:pPr>
      <w:numPr>
        <w:numId w:val="7"/>
      </w:numPr>
      <w:contextualSpacing/>
    </w:pPr>
  </w:style>
  <w:style w:type="paragraph" w:styleId="Listapunktowana5">
    <w:name w:val="List Bullet 5"/>
    <w:basedOn w:val="Normalny"/>
    <w:uiPriority w:val="98"/>
    <w:semiHidden/>
    <w:rsid w:val="00E2758D"/>
    <w:pPr>
      <w:numPr>
        <w:numId w:val="8"/>
      </w:numPr>
      <w:contextualSpacing/>
    </w:pPr>
  </w:style>
  <w:style w:type="paragraph" w:styleId="Lista-kontynuacja">
    <w:name w:val="List Continue"/>
    <w:basedOn w:val="Normalny"/>
    <w:uiPriority w:val="98"/>
    <w:semiHidden/>
    <w:rsid w:val="00E2758D"/>
    <w:pPr>
      <w:spacing w:after="120"/>
      <w:ind w:left="283"/>
      <w:contextualSpacing/>
    </w:pPr>
  </w:style>
  <w:style w:type="paragraph" w:styleId="Lista-kontynuacja2">
    <w:name w:val="List Continue 2"/>
    <w:basedOn w:val="Normalny"/>
    <w:uiPriority w:val="98"/>
    <w:semiHidden/>
    <w:rsid w:val="00E2758D"/>
    <w:pPr>
      <w:spacing w:after="120"/>
      <w:ind w:left="566"/>
      <w:contextualSpacing/>
    </w:pPr>
  </w:style>
  <w:style w:type="paragraph" w:styleId="Lista-kontynuacja3">
    <w:name w:val="List Continue 3"/>
    <w:basedOn w:val="Normalny"/>
    <w:uiPriority w:val="98"/>
    <w:semiHidden/>
    <w:rsid w:val="00E2758D"/>
    <w:pPr>
      <w:spacing w:after="120"/>
      <w:ind w:left="849"/>
      <w:contextualSpacing/>
    </w:pPr>
  </w:style>
  <w:style w:type="paragraph" w:styleId="Lista-kontynuacja4">
    <w:name w:val="List Continue 4"/>
    <w:basedOn w:val="Normalny"/>
    <w:uiPriority w:val="98"/>
    <w:semiHidden/>
    <w:rsid w:val="00E2758D"/>
    <w:pPr>
      <w:spacing w:after="120"/>
      <w:ind w:left="1132"/>
      <w:contextualSpacing/>
    </w:pPr>
  </w:style>
  <w:style w:type="paragraph" w:styleId="Lista-kontynuacja5">
    <w:name w:val="List Continue 5"/>
    <w:basedOn w:val="Normalny"/>
    <w:uiPriority w:val="98"/>
    <w:semiHidden/>
    <w:rsid w:val="00E2758D"/>
    <w:pPr>
      <w:spacing w:after="120"/>
      <w:ind w:left="1415"/>
      <w:contextualSpacing/>
    </w:pPr>
  </w:style>
  <w:style w:type="paragraph" w:styleId="Listanumerowana">
    <w:name w:val="List Number"/>
    <w:basedOn w:val="Normalny"/>
    <w:uiPriority w:val="98"/>
    <w:semiHidden/>
    <w:rsid w:val="00E2758D"/>
    <w:pPr>
      <w:numPr>
        <w:numId w:val="9"/>
      </w:numPr>
      <w:contextualSpacing/>
    </w:pPr>
  </w:style>
  <w:style w:type="paragraph" w:styleId="Listanumerowana2">
    <w:name w:val="List Number 2"/>
    <w:basedOn w:val="Normalny"/>
    <w:uiPriority w:val="98"/>
    <w:semiHidden/>
    <w:rsid w:val="00E2758D"/>
    <w:pPr>
      <w:numPr>
        <w:numId w:val="10"/>
      </w:numPr>
      <w:contextualSpacing/>
    </w:pPr>
  </w:style>
  <w:style w:type="paragraph" w:styleId="Listanumerowana3">
    <w:name w:val="List Number 3"/>
    <w:basedOn w:val="Normalny"/>
    <w:uiPriority w:val="98"/>
    <w:semiHidden/>
    <w:rsid w:val="00E2758D"/>
    <w:pPr>
      <w:numPr>
        <w:numId w:val="11"/>
      </w:numPr>
      <w:contextualSpacing/>
    </w:pPr>
  </w:style>
  <w:style w:type="paragraph" w:styleId="Listanumerowana4">
    <w:name w:val="List Number 4"/>
    <w:basedOn w:val="Normalny"/>
    <w:uiPriority w:val="98"/>
    <w:semiHidden/>
    <w:rsid w:val="00E2758D"/>
    <w:pPr>
      <w:numPr>
        <w:numId w:val="12"/>
      </w:numPr>
      <w:contextualSpacing/>
    </w:pPr>
  </w:style>
  <w:style w:type="paragraph" w:styleId="Listanumerowana5">
    <w:name w:val="List Number 5"/>
    <w:basedOn w:val="Normalny"/>
    <w:uiPriority w:val="98"/>
    <w:semiHidden/>
    <w:rsid w:val="00E2758D"/>
    <w:pPr>
      <w:numPr>
        <w:numId w:val="13"/>
      </w:numPr>
      <w:contextualSpacing/>
    </w:pPr>
  </w:style>
  <w:style w:type="paragraph" w:styleId="Tekstmakra">
    <w:name w:val="macro"/>
    <w:link w:val="TekstmakraZnak"/>
    <w:uiPriority w:val="98"/>
    <w:semiHidden/>
    <w:rsid w:val="00E2758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E2758D"/>
    <w:rPr>
      <w:rFonts w:ascii="Consolas" w:eastAsiaTheme="minorEastAsia" w:hAnsi="Consolas" w:cs="Consolas"/>
      <w:sz w:val="20"/>
      <w:szCs w:val="20"/>
    </w:rPr>
  </w:style>
  <w:style w:type="table" w:styleId="redniasiatka1">
    <w:name w:val="Medium Grid 1"/>
    <w:basedOn w:val="Standardowy"/>
    <w:uiPriority w:val="67"/>
    <w:semiHidden/>
    <w:rsid w:val="00E2758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E2758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E2758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E2758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E2758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E2758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E2758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E2758D"/>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E2758D"/>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E2758D"/>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E2758D"/>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E2758D"/>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E2758D"/>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E2758D"/>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E2758D"/>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E2758D"/>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E2758D"/>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E2758D"/>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E2758D"/>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E2758D"/>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E2758D"/>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E2758D"/>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E2758D"/>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E2758D"/>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E2758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E2758D"/>
    <w:rPr>
      <w:rFonts w:asciiTheme="majorHAnsi" w:eastAsiaTheme="majorEastAsia" w:hAnsiTheme="majorHAnsi" w:cstheme="majorBidi"/>
      <w:sz w:val="24"/>
      <w:szCs w:val="24"/>
      <w:shd w:val="pct20" w:color="auto" w:fill="auto"/>
      <w:lang w:val="fr-FR"/>
    </w:rPr>
  </w:style>
  <w:style w:type="paragraph" w:styleId="NormalnyWeb">
    <w:name w:val="Normal (Web)"/>
    <w:basedOn w:val="Normalny"/>
    <w:uiPriority w:val="98"/>
    <w:semiHidden/>
    <w:rsid w:val="00E2758D"/>
    <w:rPr>
      <w:rFonts w:ascii="Times New Roman" w:hAnsi="Times New Roman" w:cs="Times New Roman"/>
    </w:rPr>
  </w:style>
  <w:style w:type="paragraph" w:styleId="Wcicienormalne">
    <w:name w:val="Normal Indent"/>
    <w:basedOn w:val="Normalny"/>
    <w:uiPriority w:val="98"/>
    <w:semiHidden/>
    <w:rsid w:val="00E2758D"/>
    <w:pPr>
      <w:ind w:left="720"/>
    </w:pPr>
  </w:style>
  <w:style w:type="paragraph" w:styleId="Nagweknotatki">
    <w:name w:val="Note Heading"/>
    <w:basedOn w:val="Normalny"/>
    <w:next w:val="Normalny"/>
    <w:link w:val="NagweknotatkiZnak"/>
    <w:uiPriority w:val="98"/>
    <w:semiHidden/>
    <w:rsid w:val="00E2758D"/>
  </w:style>
  <w:style w:type="character" w:customStyle="1" w:styleId="NagweknotatkiZnak">
    <w:name w:val="Nagłówek notatki Znak"/>
    <w:basedOn w:val="Domylnaczcionkaakapitu"/>
    <w:link w:val="Nagweknotatki"/>
    <w:uiPriority w:val="98"/>
    <w:semiHidden/>
    <w:rsid w:val="00E2758D"/>
    <w:rPr>
      <w:sz w:val="24"/>
      <w:szCs w:val="24"/>
      <w:lang w:val="fr-FR"/>
    </w:rPr>
  </w:style>
  <w:style w:type="character" w:styleId="Tekstzastpczy">
    <w:name w:val="Placeholder Text"/>
    <w:basedOn w:val="Domylnaczcionkaakapitu"/>
    <w:uiPriority w:val="98"/>
    <w:semiHidden/>
    <w:rsid w:val="00E2758D"/>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E2758D"/>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E2758D"/>
    <w:rPr>
      <w:rFonts w:ascii="Consolas" w:hAnsi="Consolas" w:cs="Consolas"/>
      <w:sz w:val="21"/>
      <w:szCs w:val="21"/>
      <w:lang w:val="fr-FR"/>
    </w:rPr>
  </w:style>
  <w:style w:type="paragraph" w:styleId="Zwrotgrzecznociowy">
    <w:name w:val="Salutation"/>
    <w:basedOn w:val="Normalny"/>
    <w:next w:val="Normalny"/>
    <w:link w:val="ZwrotgrzecznociowyZnak"/>
    <w:uiPriority w:val="98"/>
    <w:semiHidden/>
    <w:rsid w:val="00E2758D"/>
  </w:style>
  <w:style w:type="character" w:customStyle="1" w:styleId="ZwrotgrzecznociowyZnak">
    <w:name w:val="Zwrot grzecznościowy Znak"/>
    <w:basedOn w:val="Domylnaczcionkaakapitu"/>
    <w:link w:val="Zwrotgrzecznociowy"/>
    <w:uiPriority w:val="98"/>
    <w:semiHidden/>
    <w:rsid w:val="00E2758D"/>
    <w:rPr>
      <w:sz w:val="24"/>
      <w:szCs w:val="24"/>
      <w:lang w:val="fr-FR"/>
    </w:rPr>
  </w:style>
  <w:style w:type="paragraph" w:styleId="Podpis">
    <w:name w:val="Signature"/>
    <w:basedOn w:val="Normalny"/>
    <w:link w:val="PodpisZnak"/>
    <w:uiPriority w:val="98"/>
    <w:semiHidden/>
    <w:rsid w:val="00E2758D"/>
    <w:pPr>
      <w:ind w:left="4252"/>
    </w:pPr>
  </w:style>
  <w:style w:type="character" w:customStyle="1" w:styleId="PodpisZnak">
    <w:name w:val="Podpis Znak"/>
    <w:basedOn w:val="Domylnaczcionkaakapitu"/>
    <w:link w:val="Podpis"/>
    <w:uiPriority w:val="98"/>
    <w:semiHidden/>
    <w:rsid w:val="00E2758D"/>
    <w:rPr>
      <w:sz w:val="24"/>
      <w:szCs w:val="24"/>
      <w:lang w:val="fr-FR"/>
    </w:rPr>
  </w:style>
  <w:style w:type="table" w:styleId="Tabela-Efekty3D1">
    <w:name w:val="Table 3D effects 1"/>
    <w:basedOn w:val="Standardowy"/>
    <w:uiPriority w:val="99"/>
    <w:semiHidden/>
    <w:unhideWhenUsed/>
    <w:rsid w:val="00E2758D"/>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2758D"/>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2758D"/>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2758D"/>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2758D"/>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2758D"/>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2758D"/>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2758D"/>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2758D"/>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2758D"/>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2758D"/>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2758D"/>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2758D"/>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2758D"/>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2758D"/>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2758D"/>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2758D"/>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E275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2758D"/>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2758D"/>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2758D"/>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2758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2758D"/>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2758D"/>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2758D"/>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2758D"/>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2758D"/>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2758D"/>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2758D"/>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275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2758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2758D"/>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2758D"/>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E2758D"/>
    <w:pPr>
      <w:ind w:left="240" w:hanging="240"/>
    </w:pPr>
  </w:style>
  <w:style w:type="paragraph" w:styleId="Spisilustracji">
    <w:name w:val="table of figures"/>
    <w:basedOn w:val="Normalny"/>
    <w:next w:val="Normalny"/>
    <w:uiPriority w:val="98"/>
    <w:semiHidden/>
    <w:rsid w:val="00E2758D"/>
  </w:style>
  <w:style w:type="table" w:styleId="Tabela-Profesjonalny">
    <w:name w:val="Table Professional"/>
    <w:basedOn w:val="Standardowy"/>
    <w:uiPriority w:val="99"/>
    <w:semiHidden/>
    <w:unhideWhenUsed/>
    <w:rsid w:val="00E2758D"/>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2758D"/>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2758D"/>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2758D"/>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2758D"/>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2758D"/>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2758D"/>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2758D"/>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2758D"/>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2758D"/>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E2758D"/>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E2758D"/>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E2758D"/>
    <w:pPr>
      <w:spacing w:after="100"/>
      <w:ind w:left="1680"/>
    </w:pPr>
  </w:style>
  <w:style w:type="paragraph" w:styleId="Spistreci9">
    <w:name w:val="toc 9"/>
    <w:basedOn w:val="Normalny"/>
    <w:next w:val="Normalny"/>
    <w:autoRedefine/>
    <w:uiPriority w:val="98"/>
    <w:semiHidden/>
    <w:rsid w:val="00E2758D"/>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E2758D"/>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E2758D"/>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E2758D"/>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E2758D"/>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E2758D"/>
    <w:pPr>
      <w:numPr>
        <w:numId w:val="15"/>
      </w:numPr>
      <w:spacing w:before="60" w:after="60"/>
    </w:pPr>
  </w:style>
  <w:style w:type="paragraph" w:customStyle="1" w:styleId="ECHRBullet2">
    <w:name w:val="ECHR_Bullet_2"/>
    <w:aliases w:val="_Bul_2"/>
    <w:basedOn w:val="ECHRBullet1"/>
    <w:uiPriority w:val="23"/>
    <w:semiHidden/>
    <w:rsid w:val="00E2758D"/>
    <w:pPr>
      <w:numPr>
        <w:ilvl w:val="1"/>
      </w:numPr>
    </w:pPr>
  </w:style>
  <w:style w:type="paragraph" w:customStyle="1" w:styleId="ECHRBullet3">
    <w:name w:val="ECHR_Bullet_3"/>
    <w:aliases w:val="_Bul_3"/>
    <w:basedOn w:val="ECHRBullet2"/>
    <w:uiPriority w:val="23"/>
    <w:semiHidden/>
    <w:rsid w:val="00E2758D"/>
    <w:pPr>
      <w:numPr>
        <w:ilvl w:val="2"/>
      </w:numPr>
    </w:pPr>
  </w:style>
  <w:style w:type="paragraph" w:customStyle="1" w:styleId="ECHRBullet4">
    <w:name w:val="ECHR_Bullet_4"/>
    <w:aliases w:val="_Bul_4"/>
    <w:basedOn w:val="ECHRBullet3"/>
    <w:uiPriority w:val="23"/>
    <w:semiHidden/>
    <w:rsid w:val="00E2758D"/>
    <w:pPr>
      <w:numPr>
        <w:ilvl w:val="3"/>
      </w:numPr>
    </w:pPr>
  </w:style>
  <w:style w:type="paragraph" w:customStyle="1" w:styleId="ECHRConfidential">
    <w:name w:val="ECHR_Confidential"/>
    <w:aliases w:val="_Confidential"/>
    <w:basedOn w:val="Normalny"/>
    <w:next w:val="Normalny"/>
    <w:uiPriority w:val="42"/>
    <w:semiHidden/>
    <w:qFormat/>
    <w:rsid w:val="00E2758D"/>
    <w:pPr>
      <w:jc w:val="right"/>
    </w:pPr>
    <w:rPr>
      <w:color w:val="C00000"/>
      <w:sz w:val="20"/>
    </w:rPr>
  </w:style>
  <w:style w:type="paragraph" w:customStyle="1" w:styleId="ECHRDecisionBody">
    <w:name w:val="ECHR_Decision_Body"/>
    <w:aliases w:val="_Decision_Body"/>
    <w:basedOn w:val="NormalJustified"/>
    <w:uiPriority w:val="54"/>
    <w:semiHidden/>
    <w:rsid w:val="00E2758D"/>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E2758D"/>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E2758D"/>
    <w:rPr>
      <w:rFonts w:ascii="Arial" w:hAnsi="Arial"/>
      <w:i/>
      <w:color w:val="002856"/>
      <w:sz w:val="32"/>
      <w:szCs w:val="24"/>
      <w:lang w:val="fr-FR"/>
    </w:rPr>
  </w:style>
  <w:style w:type="paragraph" w:customStyle="1" w:styleId="ECHRFooterLineLandscape">
    <w:name w:val="ECHR_Footer_Line_Landscape"/>
    <w:aliases w:val="_Footer_Line_Landscape"/>
    <w:basedOn w:val="Normalny"/>
    <w:uiPriority w:val="29"/>
    <w:semiHidden/>
    <w:rsid w:val="00E2758D"/>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E2758D"/>
    <w:pPr>
      <w:jc w:val="right"/>
    </w:pPr>
    <w:rPr>
      <w:sz w:val="20"/>
    </w:rPr>
  </w:style>
  <w:style w:type="paragraph" w:customStyle="1" w:styleId="ECHRHeaderRefIt">
    <w:name w:val="ECHR_Header_Ref_It"/>
    <w:aliases w:val="_Ref_Ital"/>
    <w:basedOn w:val="Normalny"/>
    <w:next w:val="ECHRHeaderDate"/>
    <w:uiPriority w:val="43"/>
    <w:semiHidden/>
    <w:qFormat/>
    <w:rsid w:val="00E2758D"/>
    <w:pPr>
      <w:jc w:val="right"/>
    </w:pPr>
    <w:rPr>
      <w:i/>
      <w:sz w:val="20"/>
    </w:rPr>
  </w:style>
  <w:style w:type="paragraph" w:customStyle="1" w:styleId="ECHRHeading9">
    <w:name w:val="ECHR_Heading_9"/>
    <w:aliases w:val="_Head_9"/>
    <w:basedOn w:val="Nagwek9"/>
    <w:uiPriority w:val="17"/>
    <w:semiHidden/>
    <w:rsid w:val="00E2758D"/>
    <w:pPr>
      <w:keepNext/>
      <w:keepLines/>
      <w:numPr>
        <w:ilvl w:val="8"/>
        <w:numId w:val="1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E2758D"/>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E2758D"/>
    <w:pPr>
      <w:numPr>
        <w:numId w:val="17"/>
      </w:numPr>
      <w:spacing w:before="60" w:after="60"/>
    </w:pPr>
  </w:style>
  <w:style w:type="paragraph" w:customStyle="1" w:styleId="ECHRNumberedList2">
    <w:name w:val="ECHR_Numbered_List_2"/>
    <w:aliases w:val="_Num_2"/>
    <w:basedOn w:val="ECHRNumberedList1"/>
    <w:uiPriority w:val="23"/>
    <w:semiHidden/>
    <w:rsid w:val="00E2758D"/>
    <w:pPr>
      <w:numPr>
        <w:ilvl w:val="1"/>
      </w:numPr>
    </w:pPr>
  </w:style>
  <w:style w:type="paragraph" w:customStyle="1" w:styleId="ECHRNumberedList3">
    <w:name w:val="ECHR_Numbered_List_3"/>
    <w:aliases w:val="_Num_3"/>
    <w:basedOn w:val="ECHRNumberedList2"/>
    <w:uiPriority w:val="23"/>
    <w:semiHidden/>
    <w:rsid w:val="00E2758D"/>
    <w:pPr>
      <w:numPr>
        <w:ilvl w:val="2"/>
      </w:numPr>
    </w:pPr>
  </w:style>
  <w:style w:type="paragraph" w:customStyle="1" w:styleId="ECHRParaHanging">
    <w:name w:val="ECHR_Para_Hanging"/>
    <w:aliases w:val="_Hanging"/>
    <w:basedOn w:val="NormalJustified"/>
    <w:uiPriority w:val="8"/>
    <w:semiHidden/>
    <w:qFormat/>
    <w:rsid w:val="00E2758D"/>
    <w:pPr>
      <w:ind w:left="567" w:hanging="567"/>
    </w:pPr>
  </w:style>
  <w:style w:type="paragraph" w:customStyle="1" w:styleId="ECHRParaIndent">
    <w:name w:val="ECHR_Para_Indent"/>
    <w:aliases w:val="_Indent"/>
    <w:basedOn w:val="NormalJustified"/>
    <w:uiPriority w:val="7"/>
    <w:semiHidden/>
    <w:qFormat/>
    <w:rsid w:val="00E2758D"/>
    <w:pPr>
      <w:spacing w:before="120" w:after="120"/>
      <w:ind w:left="567"/>
    </w:pPr>
  </w:style>
  <w:style w:type="character" w:customStyle="1" w:styleId="ECHRRed">
    <w:name w:val="ECHR_Red"/>
    <w:aliases w:val="_Red"/>
    <w:basedOn w:val="Domylnaczcionkaakapitu"/>
    <w:uiPriority w:val="15"/>
    <w:semiHidden/>
    <w:qFormat/>
    <w:rsid w:val="00E2758D"/>
    <w:rPr>
      <w:color w:val="C00000" w:themeColor="accent2"/>
    </w:rPr>
  </w:style>
  <w:style w:type="paragraph" w:customStyle="1" w:styleId="DecList">
    <w:name w:val="Dec_List"/>
    <w:aliases w:val="_List"/>
    <w:basedOn w:val="JuList"/>
    <w:uiPriority w:val="22"/>
    <w:rsid w:val="00E2758D"/>
    <w:pPr>
      <w:numPr>
        <w:numId w:val="0"/>
      </w:numPr>
      <w:ind w:left="284"/>
    </w:pPr>
  </w:style>
  <w:style w:type="table" w:customStyle="1" w:styleId="ECHRTable2">
    <w:name w:val="ECHR_Table_2"/>
    <w:basedOn w:val="Standardowy"/>
    <w:uiPriority w:val="99"/>
    <w:rsid w:val="00E2758D"/>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E2758D"/>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E2758D"/>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E2758D"/>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E2758D"/>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E2758D"/>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E2758D"/>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E2758D"/>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E2758D"/>
    <w:pPr>
      <w:outlineLvl w:val="0"/>
    </w:pPr>
  </w:style>
  <w:style w:type="paragraph" w:customStyle="1" w:styleId="ECHRTitleTOC1">
    <w:name w:val="ECHR_Title_TOC_1"/>
    <w:aliases w:val="_Title_L_TOC"/>
    <w:basedOn w:val="ECHRTitle1"/>
    <w:next w:val="Normalny"/>
    <w:uiPriority w:val="27"/>
    <w:semiHidden/>
    <w:qFormat/>
    <w:rsid w:val="00E2758D"/>
    <w:pPr>
      <w:outlineLvl w:val="0"/>
    </w:pPr>
  </w:style>
  <w:style w:type="paragraph" w:customStyle="1" w:styleId="ECHRPlaceholder">
    <w:name w:val="ECHR_Placeholder"/>
    <w:aliases w:val="_Placeholder"/>
    <w:basedOn w:val="JuSigned"/>
    <w:uiPriority w:val="31"/>
    <w:rsid w:val="00E2758D"/>
    <w:rPr>
      <w:color w:val="FFFFFF"/>
    </w:rPr>
  </w:style>
  <w:style w:type="paragraph" w:customStyle="1" w:styleId="ECHRSpacer">
    <w:name w:val="ECHR_Spacer"/>
    <w:aliases w:val="_Spacer"/>
    <w:basedOn w:val="Normalny"/>
    <w:uiPriority w:val="45"/>
    <w:semiHidden/>
    <w:rsid w:val="00E2758D"/>
    <w:rPr>
      <w:sz w:val="4"/>
    </w:rPr>
  </w:style>
  <w:style w:type="table" w:customStyle="1" w:styleId="ECHRTableGrey">
    <w:name w:val="ECHR_Table_Grey"/>
    <w:basedOn w:val="Standardowy"/>
    <w:uiPriority w:val="99"/>
    <w:rsid w:val="00E2758D"/>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BA1BB1"/>
    <w:rPr>
      <w:sz w:val="24"/>
      <w:szCs w:val="24"/>
      <w:lang w:val="fr-FR"/>
    </w:rPr>
  </w:style>
  <w:style w:type="table" w:styleId="Tabelasiatki1jasnaakcent1">
    <w:name w:val="Grid Table 1 Light Accent 1"/>
    <w:basedOn w:val="Standardowy"/>
    <w:uiPriority w:val="46"/>
    <w:semiHidden/>
    <w:rsid w:val="00D3796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D3796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D3796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D3796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D3796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D3796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D3796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D3796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D3796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D3796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D3796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D3796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D3796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D379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D379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D379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D379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D379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D379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D379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D379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D379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D379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D379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D379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D379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D379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D3796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D379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D379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D379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D3796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D379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D379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D379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D3796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D3796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D3796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D3796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D3796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D3796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D3796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D3796E"/>
    <w:rPr>
      <w:color w:val="2B579A"/>
      <w:shd w:val="clear" w:color="auto" w:fill="E1DFDD"/>
    </w:rPr>
  </w:style>
  <w:style w:type="table" w:styleId="Tabelalisty1jasna">
    <w:name w:val="List Table 1 Light"/>
    <w:basedOn w:val="Standardowy"/>
    <w:uiPriority w:val="46"/>
    <w:semiHidden/>
    <w:rsid w:val="00D3796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D3796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D3796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D3796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D3796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D3796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D3796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D3796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D3796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D3796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D3796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D3796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D3796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D3796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D3796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D3796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D3796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D3796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D3796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D3796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D3796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D3796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D3796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D3796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D3796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D3796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D3796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D3796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D3796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D3796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D3796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D3796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D3796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D3796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D3796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D3796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D3796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D3796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D3796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D3796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D3796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D3796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D3796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D3796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D3796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D3796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D3796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D3796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D3796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D3796E"/>
    <w:rPr>
      <w:color w:val="2B579A"/>
      <w:shd w:val="clear" w:color="auto" w:fill="E1DFDD"/>
    </w:rPr>
  </w:style>
  <w:style w:type="table" w:styleId="Zwykatabela1">
    <w:name w:val="Plain Table 1"/>
    <w:basedOn w:val="Standardowy"/>
    <w:uiPriority w:val="41"/>
    <w:semiHidden/>
    <w:rsid w:val="00D3796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D3796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D3796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D3796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D3796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D3796E"/>
    <w:rPr>
      <w:u w:val="dotted"/>
    </w:rPr>
  </w:style>
  <w:style w:type="character" w:customStyle="1" w:styleId="Inteligentnylink1">
    <w:name w:val="Inteligentny link1"/>
    <w:basedOn w:val="Domylnaczcionkaakapitu"/>
    <w:uiPriority w:val="99"/>
    <w:semiHidden/>
    <w:unhideWhenUsed/>
    <w:rsid w:val="00D3796E"/>
    <w:rPr>
      <w:color w:val="0000FF"/>
      <w:u w:val="single"/>
      <w:shd w:val="clear" w:color="auto" w:fill="F3F2F1"/>
    </w:rPr>
  </w:style>
  <w:style w:type="table" w:styleId="Siatkatabelijasna">
    <w:name w:val="Grid Table Light"/>
    <w:basedOn w:val="Standardowy"/>
    <w:uiPriority w:val="40"/>
    <w:semiHidden/>
    <w:rsid w:val="00D3796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DummyStyle">
    <w:name w:val="Dummy_Style"/>
    <w:aliases w:val="_Dummy"/>
    <w:basedOn w:val="Normalny"/>
    <w:semiHidden/>
    <w:qFormat/>
    <w:rsid w:val="00E2758D"/>
    <w:rPr>
      <w:color w:val="00B050"/>
      <w:sz w:val="22"/>
    </w:rPr>
  </w:style>
  <w:style w:type="paragraph" w:styleId="Poprawka">
    <w:name w:val="Revision"/>
    <w:hidden/>
    <w:uiPriority w:val="99"/>
    <w:semiHidden/>
    <w:rsid w:val="005E2FCB"/>
    <w:rPr>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2836E-C6BD-4DC2-90D5-59B294B05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1859</Words>
  <Characters>11156</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2023-07-18T13:27:00Z</dcterms:created>
  <dcterms:modified xsi:type="dcterms:W3CDTF">2023-07-18T13:27:00Z</dcterms:modified>
  <cp:category/>
</cp:coreProperties>
</file>