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E2758D" w:rsidR="00BA1BB1" w:rsidP="00E2758D" w:rsidRDefault="00BA1BB1" w14:paraId="08393D73" w14:textId="77777777">
      <w:pPr>
        <w:rPr>
          <w:rFonts w:ascii="Times New Roman" w:hAnsi="Times New Roman" w:cs="Times New Roman"/>
          <w:noProof/>
        </w:rPr>
      </w:pPr>
    </w:p>
    <w:p w:rsidRPr="00E2758D" w:rsidR="007A4070" w:rsidP="00E2758D" w:rsidRDefault="007A4070" w14:paraId="12C41CE1" w14:textId="77777777"/>
    <w:p w:rsidRPr="00E2758D" w:rsidR="007A4070" w:rsidP="00E2758D" w:rsidRDefault="00BA1BB1" w14:paraId="0894A4A1" w14:textId="0596F8C7">
      <w:pPr>
        <w:pStyle w:val="DecHTitle"/>
      </w:pPr>
      <w:r w:rsidRPr="00E2758D">
        <w:t>PREMIÈRE SECTION</w:t>
      </w:r>
    </w:p>
    <w:p w:rsidRPr="00E2758D" w:rsidR="007A4070" w:rsidP="00E2758D" w:rsidRDefault="007A4070" w14:paraId="497C7381" w14:textId="28BF2E77">
      <w:pPr>
        <w:pStyle w:val="JuTitle"/>
      </w:pPr>
      <w:r w:rsidRPr="00E2758D">
        <w:t xml:space="preserve">AFFAIRE </w:t>
      </w:r>
      <w:r w:rsidRPr="00E2758D" w:rsidR="00BA1BB1">
        <w:t>MAZOWIECKI c. POLOGNE</w:t>
      </w:r>
    </w:p>
    <w:p w:rsidRPr="00E2758D" w:rsidR="007A4070" w:rsidP="00E2758D" w:rsidRDefault="007A4070" w14:paraId="1BE83BF9" w14:textId="608F32C4">
      <w:pPr>
        <w:pStyle w:val="ECHRCoverTitle4"/>
      </w:pPr>
      <w:r w:rsidRPr="00E2758D">
        <w:t>(</w:t>
      </w:r>
      <w:r w:rsidRPr="00E2758D" w:rsidR="00BA1BB1">
        <w:rPr>
          <w:noProof/>
        </w:rPr>
        <w:t>Requête n</w:t>
      </w:r>
      <w:r w:rsidRPr="00E2758D" w:rsidR="00BA1BB1">
        <w:rPr>
          <w:noProof/>
          <w:vertAlign w:val="superscript"/>
        </w:rPr>
        <w:t>o</w:t>
      </w:r>
      <w:r w:rsidRPr="00E2758D">
        <w:t xml:space="preserve"> </w:t>
      </w:r>
      <w:r w:rsidRPr="00E2758D" w:rsidR="00BA1BB1">
        <w:t>34734/13</w:t>
      </w:r>
      <w:r w:rsidRPr="00E2758D">
        <w:t>)</w:t>
      </w:r>
    </w:p>
    <w:p w:rsidRPr="00E2758D" w:rsidR="007A4070" w:rsidP="00E2758D" w:rsidRDefault="007A4070" w14:paraId="37517AA7" w14:textId="77777777">
      <w:pPr>
        <w:pStyle w:val="DecHCase"/>
      </w:pPr>
    </w:p>
    <w:p w:rsidRPr="00E2758D" w:rsidR="007A4070" w:rsidP="00E2758D" w:rsidRDefault="007A4070" w14:paraId="4BDB1F2D" w14:textId="77777777">
      <w:pPr>
        <w:pStyle w:val="DecHCase"/>
      </w:pPr>
    </w:p>
    <w:p w:rsidRPr="00E2758D" w:rsidR="007A4070" w:rsidP="00E2758D" w:rsidRDefault="007A4070" w14:paraId="3047D844" w14:textId="77777777">
      <w:pPr>
        <w:pStyle w:val="DecHCase"/>
      </w:pPr>
    </w:p>
    <w:p w:rsidRPr="00E2758D" w:rsidR="007A4070" w:rsidP="00E2758D" w:rsidRDefault="007A4070" w14:paraId="4F407727" w14:textId="77777777">
      <w:pPr>
        <w:pStyle w:val="DecHCase"/>
      </w:pPr>
    </w:p>
    <w:p w:rsidRPr="00E2758D" w:rsidR="007A4070" w:rsidP="00E2758D" w:rsidRDefault="007A4070" w14:paraId="7727F3D3" w14:textId="77777777">
      <w:pPr>
        <w:pStyle w:val="DecHCase"/>
      </w:pPr>
    </w:p>
    <w:p w:rsidRPr="00E2758D" w:rsidR="007A4070" w:rsidP="00E2758D" w:rsidRDefault="007A4070" w14:paraId="52C1CBA1" w14:textId="77777777">
      <w:pPr>
        <w:pStyle w:val="DecHCase"/>
      </w:pPr>
    </w:p>
    <w:p w:rsidRPr="00E2758D" w:rsidR="007A4070" w:rsidP="00E2758D" w:rsidRDefault="007A4070" w14:paraId="6FADC191" w14:textId="2A6C8A7F">
      <w:pPr>
        <w:pStyle w:val="DecHCase"/>
      </w:pPr>
      <w:r w:rsidRPr="00E2758D">
        <w:t>ARRÊT</w:t>
      </w:r>
      <w:r w:rsidRPr="00E2758D">
        <w:br/>
      </w:r>
    </w:p>
    <w:p w:rsidRPr="00E2758D" w:rsidR="007A4070" w:rsidP="00E2758D" w:rsidRDefault="007A4070" w14:paraId="77E7CEF5" w14:textId="77777777">
      <w:pPr>
        <w:pStyle w:val="DecHCase"/>
      </w:pPr>
      <w:r w:rsidRPr="00E2758D">
        <w:t>STRASBOURG</w:t>
      </w:r>
    </w:p>
    <w:p w:rsidRPr="00E2758D" w:rsidR="007A4070" w:rsidP="00E2758D" w:rsidRDefault="00BA1BB1" w14:paraId="12FB93CE" w14:textId="0AE5BB92">
      <w:pPr>
        <w:pStyle w:val="DecHCase"/>
      </w:pPr>
      <w:r w:rsidRPr="00E2758D">
        <w:rPr>
          <w:noProof/>
        </w:rPr>
        <w:t>8 juin 2023</w:t>
      </w:r>
    </w:p>
    <w:p w:rsidRPr="00E2758D" w:rsidR="007A4070" w:rsidP="00E2758D" w:rsidRDefault="007A4070" w14:paraId="5861F09E" w14:textId="77777777">
      <w:pPr>
        <w:pStyle w:val="DecHCase"/>
      </w:pPr>
    </w:p>
    <w:p w:rsidRPr="00E2758D" w:rsidR="00516B59" w:rsidP="00E2758D" w:rsidRDefault="007A4070" w14:paraId="4058D2BD" w14:textId="1C69218F">
      <w:pPr>
        <w:rPr>
          <w:rFonts w:ascii="Times New Roman" w:hAnsi="Times New Roman" w:cs="Times New Roman"/>
          <w:i/>
          <w:sz w:val="22"/>
        </w:rPr>
      </w:pPr>
      <w:r w:rsidRPr="00E2758D">
        <w:rPr>
          <w:i/>
          <w:sz w:val="22"/>
        </w:rPr>
        <w:t>Cet arrêt</w:t>
      </w:r>
      <w:r w:rsidRPr="00E2758D" w:rsidR="00BA1BB1">
        <w:rPr>
          <w:i/>
          <w:sz w:val="22"/>
        </w:rPr>
        <w:t xml:space="preserve"> </w:t>
      </w:r>
      <w:r w:rsidRPr="00E2758D" w:rsidR="00BA1BB1">
        <w:rPr>
          <w:i/>
          <w:noProof/>
          <w:sz w:val="22"/>
        </w:rPr>
        <w:t>est définitif</w:t>
      </w:r>
      <w:r w:rsidRPr="00E2758D">
        <w:rPr>
          <w:i/>
          <w:sz w:val="22"/>
        </w:rPr>
        <w:t>. Il peut subir des retouches de fo</w:t>
      </w:r>
      <w:r w:rsidRPr="00E2758D" w:rsidR="00516B59">
        <w:rPr>
          <w:rFonts w:ascii="Times New Roman" w:hAnsi="Times New Roman" w:cs="Times New Roman"/>
          <w:i/>
          <w:sz w:val="22"/>
        </w:rPr>
        <w:t>rme.</w:t>
      </w:r>
    </w:p>
    <w:p w:rsidRPr="00E2758D" w:rsidR="00516B59" w:rsidP="00E2758D" w:rsidRDefault="00516B59" w14:paraId="2A99615F" w14:textId="77777777">
      <w:pPr>
        <w:ind w:left="720"/>
        <w:rPr>
          <w:rFonts w:ascii="Times New Roman" w:hAnsi="Times New Roman" w:cs="Times New Roman"/>
          <w:sz w:val="22"/>
        </w:rPr>
        <w:sectPr w:rsidRPr="00E2758D" w:rsidR="00516B59" w:rsidSect="0090260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E2758D" w:rsidR="004344E6" w:rsidP="00E2758D" w:rsidRDefault="004344E6" w14:paraId="593942A4" w14:textId="1863C711">
      <w:pPr>
        <w:pStyle w:val="JuCase"/>
      </w:pPr>
      <w:r w:rsidRPr="00E2758D">
        <w:t>En l</w:t>
      </w:r>
      <w:r w:rsidRPr="00E2758D" w:rsidR="00E2758D">
        <w:t>’</w:t>
      </w:r>
      <w:r w:rsidRPr="00E2758D">
        <w:t xml:space="preserve">affaire </w:t>
      </w:r>
      <w:r w:rsidRPr="00E2758D" w:rsidR="00BA1BB1">
        <w:t>Mazowiecki c. Pologne</w:t>
      </w:r>
      <w:r w:rsidRPr="00E2758D">
        <w:t>,</w:t>
      </w:r>
    </w:p>
    <w:p w:rsidRPr="00E2758D" w:rsidR="004344E6" w:rsidP="00E2758D" w:rsidRDefault="004344E6" w14:paraId="04BE7236" w14:textId="0059ABA8">
      <w:pPr>
        <w:pStyle w:val="JuPara"/>
      </w:pPr>
      <w:r w:rsidRPr="00E2758D">
        <w:t>La Cour européenne des droits de l</w:t>
      </w:r>
      <w:r w:rsidRPr="00E2758D" w:rsidR="00E2758D">
        <w:t>’</w:t>
      </w:r>
      <w:r w:rsidRPr="00E2758D">
        <w:t>homme (</w:t>
      </w:r>
      <w:r w:rsidRPr="00E2758D" w:rsidR="00BA1BB1">
        <w:t>première section</w:t>
      </w:r>
      <w:r w:rsidRPr="00E2758D">
        <w:t xml:space="preserve">), siégeant en </w:t>
      </w:r>
      <w:r w:rsidRPr="00E2758D" w:rsidR="00BA1BB1">
        <w:rPr>
          <w:noProof/>
          <w:color w:val="000000"/>
        </w:rPr>
        <w:t>un</w:t>
      </w:r>
      <w:r w:rsidRPr="00E2758D" w:rsidR="00BA1BB1">
        <w:rPr>
          <w:noProof/>
        </w:rPr>
        <w:t xml:space="preserve"> comité</w:t>
      </w:r>
      <w:r w:rsidRPr="00E2758D" w:rsidR="00DD7998">
        <w:rPr>
          <w:noProof/>
        </w:rPr>
        <w:t xml:space="preserve"> </w:t>
      </w:r>
      <w:r w:rsidRPr="00E2758D" w:rsidR="00BA1BB1">
        <w:rPr>
          <w:noProof/>
        </w:rPr>
        <w:t>composé</w:t>
      </w:r>
      <w:r w:rsidRPr="00E2758D">
        <w:t xml:space="preserve"> de :</w:t>
      </w:r>
    </w:p>
    <w:p w:rsidRPr="00E2758D" w:rsidR="004344E6" w:rsidP="00E2758D" w:rsidRDefault="004B0DE5" w14:paraId="193032EC" w14:textId="188D2DD4">
      <w:pPr>
        <w:pStyle w:val="JuJudges"/>
      </w:pPr>
      <w:r w:rsidRPr="00E2758D">
        <w:tab/>
      </w:r>
      <w:proofErr w:type="spellStart"/>
      <w:r w:rsidRPr="00E2758D">
        <w:t>Lətif</w:t>
      </w:r>
      <w:proofErr w:type="spellEnd"/>
      <w:r w:rsidRPr="00E2758D">
        <w:t xml:space="preserve"> </w:t>
      </w:r>
      <w:proofErr w:type="spellStart"/>
      <w:r w:rsidRPr="00E2758D">
        <w:t>Hüseynov</w:t>
      </w:r>
      <w:proofErr w:type="spellEnd"/>
      <w:r w:rsidRPr="00E2758D">
        <w:rPr>
          <w:i/>
        </w:rPr>
        <w:t>, président</w:t>
      </w:r>
      <w:r w:rsidRPr="00E2758D">
        <w:t>,</w:t>
      </w:r>
      <w:r w:rsidRPr="00E2758D">
        <w:br/>
      </w:r>
      <w:r w:rsidRPr="00E2758D">
        <w:tab/>
        <w:t xml:space="preserve">Krzysztof </w:t>
      </w:r>
      <w:proofErr w:type="spellStart"/>
      <w:r w:rsidRPr="00E2758D">
        <w:t>Wojtyczek</w:t>
      </w:r>
      <w:proofErr w:type="spellEnd"/>
      <w:r w:rsidRPr="00E2758D">
        <w:t>,</w:t>
      </w:r>
      <w:r w:rsidRPr="00E2758D">
        <w:br/>
      </w:r>
      <w:r w:rsidRPr="00E2758D">
        <w:tab/>
        <w:t xml:space="preserve">Erik </w:t>
      </w:r>
      <w:proofErr w:type="spellStart"/>
      <w:r w:rsidRPr="00E2758D">
        <w:t>Wennerström</w:t>
      </w:r>
      <w:proofErr w:type="spellEnd"/>
      <w:r w:rsidRPr="00E2758D">
        <w:rPr>
          <w:i/>
        </w:rPr>
        <w:t>, juges</w:t>
      </w:r>
      <w:r w:rsidRPr="00E2758D">
        <w:t>,</w:t>
      </w:r>
      <w:r w:rsidRPr="00E2758D" w:rsidR="004344E6">
        <w:br/>
        <w:t xml:space="preserve">et de </w:t>
      </w:r>
      <w:r w:rsidRPr="00E2758D">
        <w:rPr>
          <w:noProof/>
        </w:rPr>
        <w:t>Attila Teplán</w:t>
      </w:r>
      <w:r w:rsidRPr="00E2758D" w:rsidR="004344E6">
        <w:t xml:space="preserve">, </w:t>
      </w:r>
      <w:r w:rsidRPr="00E2758D" w:rsidR="00DD7998">
        <w:rPr>
          <w:i/>
          <w:iCs/>
          <w:noProof/>
        </w:rPr>
        <w:t>greffier adjoint de section</w:t>
      </w:r>
      <w:r w:rsidRPr="00E2758D" w:rsidR="001503B6">
        <w:rPr>
          <w:i/>
          <w:iCs/>
          <w:noProof/>
        </w:rPr>
        <w:t xml:space="preserve"> f.f.</w:t>
      </w:r>
      <w:r w:rsidRPr="00E2758D" w:rsidR="004344E6">
        <w:t>,</w:t>
      </w:r>
    </w:p>
    <w:p w:rsidRPr="00E2758D" w:rsidR="00BA1BB1" w:rsidP="00E2758D" w:rsidRDefault="00BA1BB1" w14:paraId="691E4F24" w14:textId="3884DA08">
      <w:pPr>
        <w:pStyle w:val="JuPara"/>
      </w:pPr>
      <w:r w:rsidRPr="00E2758D">
        <w:t>Vu la requête (n</w:t>
      </w:r>
      <w:r w:rsidRPr="00E2758D">
        <w:rPr>
          <w:vertAlign w:val="superscript"/>
        </w:rPr>
        <w:t>o</w:t>
      </w:r>
      <w:r w:rsidRPr="00E2758D">
        <w:t> 34734/13) dirigée contre la République de Pologne et dont un ressortissant de cet État, M. </w:t>
      </w:r>
      <w:proofErr w:type="spellStart"/>
      <w:r w:rsidRPr="00E2758D">
        <w:t>Mieczysław</w:t>
      </w:r>
      <w:proofErr w:type="spellEnd"/>
      <w:r w:rsidRPr="00E2758D">
        <w:t xml:space="preserve"> Mazowiecki (« le requérant »), né en 1980 et résidant à </w:t>
      </w:r>
      <w:proofErr w:type="spellStart"/>
      <w:r w:rsidRPr="00E2758D">
        <w:t>Połczyn-Zdrój</w:t>
      </w:r>
      <w:proofErr w:type="spellEnd"/>
      <w:r w:rsidRPr="00E2758D">
        <w:t>, a saisi la Cour le 22 mai 2013</w:t>
      </w:r>
      <w:r w:rsidRPr="00E2758D">
        <w:rPr>
          <w:color w:val="0072BC" w:themeColor="background1"/>
        </w:rPr>
        <w:t xml:space="preserve"> </w:t>
      </w:r>
      <w:r w:rsidRPr="00E2758D">
        <w:t>en vertu de l</w:t>
      </w:r>
      <w:r w:rsidRPr="00E2758D" w:rsidR="00E2758D">
        <w:t>’</w:t>
      </w:r>
      <w:r w:rsidRPr="00E2758D">
        <w:t>article 34 de la Convention de sauvegarde des droits de l</w:t>
      </w:r>
      <w:r w:rsidRPr="00E2758D" w:rsidR="00E2758D">
        <w:t>’</w:t>
      </w:r>
      <w:r w:rsidRPr="00E2758D">
        <w:t>homme et des libertés fondamentales (« la Convention »),</w:t>
      </w:r>
    </w:p>
    <w:p w:rsidRPr="00E2758D" w:rsidR="00BA1BB1" w:rsidP="00E2758D" w:rsidRDefault="00BA1BB1" w14:paraId="4ACEF5E3" w14:textId="1EB1E98E">
      <w:pPr>
        <w:pStyle w:val="JuPara"/>
      </w:pPr>
      <w:r w:rsidRPr="00E2758D">
        <w:t xml:space="preserve">Vu la décision de porter à la connaissance du gouvernement polonais (« le Gouvernement »), représenté par son agent, M. J. </w:t>
      </w:r>
      <w:proofErr w:type="spellStart"/>
      <w:r w:rsidRPr="00E2758D">
        <w:t>Sobczak</w:t>
      </w:r>
      <w:proofErr w:type="spellEnd"/>
      <w:r w:rsidRPr="00E2758D">
        <w:t>, du ministère des Affaires étrangères, le grief concernant l</w:t>
      </w:r>
      <w:r w:rsidRPr="00E2758D" w:rsidR="00E2758D">
        <w:t>’</w:t>
      </w:r>
      <w:r w:rsidRPr="00E2758D">
        <w:t>article 8 de la Convention et de déclarer la requête irrecevable pour le surplus,</w:t>
      </w:r>
    </w:p>
    <w:p w:rsidRPr="00E2758D" w:rsidR="00BA1BB1" w:rsidP="00E2758D" w:rsidRDefault="00BA1BB1" w14:paraId="00BBEF31" w14:textId="77777777">
      <w:pPr>
        <w:pStyle w:val="JuPara"/>
      </w:pPr>
      <w:r w:rsidRPr="00E2758D">
        <w:t>Vu les observations du Gouvernement,</w:t>
      </w:r>
    </w:p>
    <w:p w:rsidRPr="00E2758D" w:rsidR="004344E6" w:rsidP="00E2758D" w:rsidRDefault="004344E6" w14:paraId="44D3E997" w14:textId="14721C48">
      <w:pPr>
        <w:pStyle w:val="JuPara"/>
      </w:pPr>
      <w:r w:rsidRPr="00E2758D">
        <w:t xml:space="preserve">Après en avoir délibéré en chambre du conseil le </w:t>
      </w:r>
      <w:r w:rsidRPr="00E2758D" w:rsidR="00BA1BB1">
        <w:t>16 mai 2023</w:t>
      </w:r>
      <w:r w:rsidRPr="00E2758D">
        <w:t>,</w:t>
      </w:r>
    </w:p>
    <w:p w:rsidRPr="00E2758D" w:rsidR="00876F03" w:rsidP="00E2758D" w:rsidRDefault="004344E6" w14:paraId="10B527F1" w14:textId="4D60E056">
      <w:pPr>
        <w:pStyle w:val="JuPara"/>
      </w:pPr>
      <w:r w:rsidRPr="00E2758D">
        <w:t>Rend l</w:t>
      </w:r>
      <w:r w:rsidRPr="00E2758D" w:rsidR="00E2758D">
        <w:t>’</w:t>
      </w:r>
      <w:r w:rsidRPr="00E2758D">
        <w:t>arrêt que voici</w:t>
      </w:r>
      <w:r w:rsidRPr="00E2758D" w:rsidR="00876F03">
        <w:t>, adopté à cette date :</w:t>
      </w:r>
    </w:p>
    <w:p w:rsidRPr="00E2758D" w:rsidR="00BA1BB1" w:rsidP="00E2758D" w:rsidRDefault="00BA1BB1" w14:paraId="10C9FE94" w14:textId="2A85F036">
      <w:pPr>
        <w:pStyle w:val="JuHHead"/>
      </w:pPr>
      <w:r w:rsidRPr="00E2758D">
        <w:t>OBJET DE L</w:t>
      </w:r>
      <w:r w:rsidRPr="00E2758D" w:rsidR="00E2758D">
        <w:t>’</w:t>
      </w:r>
      <w:r w:rsidRPr="00E2758D">
        <w:t>AFFAIRE</w:t>
      </w:r>
    </w:p>
    <w:p w:rsidRPr="00E2758D" w:rsidR="00BA1BB1" w:rsidP="00E2758D" w:rsidRDefault="00B21C4C" w14:paraId="303825D2" w14:textId="70222148">
      <w:pPr>
        <w:pStyle w:val="JuPara"/>
      </w:pPr>
      <w:r>
        <w:rPr>
          <w:noProof/>
        </w:rPr>
        <w:fldChar w:fldCharType="begin"/>
      </w:r>
      <w:r>
        <w:rPr>
          <w:noProof/>
        </w:rPr>
        <w:instrText xml:space="preserve"> SEQ level0 \*arabic \* MERGEFORMAT </w:instrText>
      </w:r>
      <w:r>
        <w:rPr>
          <w:noProof/>
        </w:rPr>
        <w:fldChar w:fldCharType="separate"/>
      </w:r>
      <w:r w:rsidRPr="00E2758D" w:rsidR="00E2758D">
        <w:rPr>
          <w:noProof/>
        </w:rPr>
        <w:t>1</w:t>
      </w:r>
      <w:r>
        <w:rPr>
          <w:noProof/>
        </w:rPr>
        <w:fldChar w:fldCharType="end"/>
      </w:r>
      <w:r w:rsidRPr="00E2758D" w:rsidR="00BA1BB1">
        <w:t>.  L</w:t>
      </w:r>
      <w:r w:rsidRPr="00E2758D" w:rsidR="00E2758D">
        <w:t>’</w:t>
      </w:r>
      <w:r w:rsidRPr="00E2758D" w:rsidR="00BA1BB1">
        <w:t>affaire concerne la perquisition effectuée au domicile du requérant en lien avec une enquête pénale diligentée par les autorités nationales à la demande d</w:t>
      </w:r>
      <w:r w:rsidRPr="00E2758D" w:rsidR="00E2758D">
        <w:t>’</w:t>
      </w:r>
      <w:r w:rsidRPr="00E2758D" w:rsidR="00BA1BB1">
        <w:t>A.M., alors l</w:t>
      </w:r>
      <w:r w:rsidRPr="00E2758D" w:rsidR="00E2758D">
        <w:t>’</w:t>
      </w:r>
      <w:r w:rsidRPr="00E2758D" w:rsidR="00BA1BB1">
        <w:t>épouse de l</w:t>
      </w:r>
      <w:r w:rsidRPr="00E2758D" w:rsidR="00E2758D">
        <w:t>’</w:t>
      </w:r>
      <w:r w:rsidRPr="00E2758D" w:rsidR="00BA1BB1">
        <w:t>intéressé, le couple étant à l</w:t>
      </w:r>
      <w:r w:rsidRPr="00E2758D" w:rsidR="00E2758D">
        <w:t>’</w:t>
      </w:r>
      <w:r w:rsidRPr="00E2758D" w:rsidR="00BA1BB1">
        <w:t>époque des faits en instance de divorce.</w:t>
      </w:r>
    </w:p>
    <w:p w:rsidRPr="00E2758D" w:rsidR="00BA1BB1" w:rsidP="00E2758D" w:rsidRDefault="00E2758D" w14:paraId="750FA9A6" w14:textId="4FF170BF">
      <w:pPr>
        <w:pStyle w:val="JuPara"/>
      </w:pPr>
      <w:fldSimple w:instr=" SEQ level0 \*arabic \* MERGEFORMAT ">
        <w:r w:rsidRPr="00E2758D">
          <w:rPr>
            <w:noProof/>
          </w:rPr>
          <w:t>2</w:t>
        </w:r>
      </w:fldSimple>
      <w:r w:rsidRPr="00E2758D" w:rsidR="00BA1BB1">
        <w:t>.  Le 11 octobre 2012, A.M. indiqua à la police qu</w:t>
      </w:r>
      <w:r w:rsidRPr="00E2758D">
        <w:t>’</w:t>
      </w:r>
      <w:r w:rsidRPr="00E2758D" w:rsidR="00BA1BB1">
        <w:t>elle soupçonnait le requérant de lui avoir volé les clés de son appartement ainsi qu</w:t>
      </w:r>
      <w:r w:rsidRPr="00E2758D">
        <w:t>’</w:t>
      </w:r>
      <w:r w:rsidRPr="00E2758D" w:rsidR="00BA1BB1">
        <w:t>une copie de l</w:t>
      </w:r>
      <w:r w:rsidRPr="00E2758D">
        <w:t>’</w:t>
      </w:r>
      <w:r w:rsidRPr="00E2758D" w:rsidR="00BA1BB1">
        <w:t>acte notarié de donation de l</w:t>
      </w:r>
      <w:r w:rsidRPr="00E2758D">
        <w:t>’</w:t>
      </w:r>
      <w:r w:rsidRPr="00E2758D" w:rsidR="00BA1BB1">
        <w:t>appartement en question.</w:t>
      </w:r>
    </w:p>
    <w:p w:rsidRPr="00E2758D" w:rsidR="00BA1BB1" w:rsidP="00E2758D" w:rsidRDefault="00E2758D" w14:paraId="74EC46A1" w14:textId="0D8ADD05">
      <w:pPr>
        <w:pStyle w:val="JuPara"/>
      </w:pPr>
      <w:fldSimple w:instr=" SEQ level0 \*arabic \* MERGEFORMAT ">
        <w:r w:rsidRPr="00E2758D">
          <w:rPr>
            <w:noProof/>
          </w:rPr>
          <w:t>3</w:t>
        </w:r>
      </w:fldSimple>
      <w:r w:rsidRPr="00E2758D" w:rsidR="00BA1BB1">
        <w:t>.  Le même jour, la police procéda à une perquisition au domicile du requérant en l</w:t>
      </w:r>
      <w:r w:rsidRPr="00E2758D">
        <w:t>’</w:t>
      </w:r>
      <w:r w:rsidRPr="00E2758D" w:rsidR="00BA1BB1">
        <w:t>absence de l</w:t>
      </w:r>
      <w:r w:rsidRPr="00E2758D">
        <w:t>’</w:t>
      </w:r>
      <w:r w:rsidRPr="00E2758D" w:rsidR="00BA1BB1">
        <w:t>intéressé.</w:t>
      </w:r>
    </w:p>
    <w:p w:rsidRPr="00E2758D" w:rsidR="00BA1BB1" w:rsidP="00E2758D" w:rsidRDefault="00E2758D" w14:paraId="275E7C1C" w14:textId="680C6A1F">
      <w:pPr>
        <w:pStyle w:val="JuPara"/>
      </w:pPr>
      <w:fldSimple w:instr=" SEQ level0 \*arabic \* MERGEFORMAT ">
        <w:bookmarkStart w:name="paragraph00004" w:id="0"/>
        <w:r w:rsidRPr="00E2758D">
          <w:rPr>
            <w:noProof/>
          </w:rPr>
          <w:t>4</w:t>
        </w:r>
        <w:bookmarkEnd w:id="0"/>
      </w:fldSimple>
      <w:r w:rsidRPr="00E2758D" w:rsidR="00BA1BB1">
        <w:t>.  Au cours de la perquisition, les agents saisirent trois trousseaux de clés et plusieurs documents, dont notamment une copie d</w:t>
      </w:r>
      <w:r w:rsidRPr="00E2758D">
        <w:t>’</w:t>
      </w:r>
      <w:r w:rsidRPr="00E2758D" w:rsidR="00BA1BB1">
        <w:t>une demande en annulation de la domiciliation du requérant à l</w:t>
      </w:r>
      <w:r w:rsidRPr="00E2758D">
        <w:t>’</w:t>
      </w:r>
      <w:r w:rsidRPr="00E2758D" w:rsidR="00BA1BB1">
        <w:t>adresse de l</w:t>
      </w:r>
      <w:r w:rsidRPr="00E2758D">
        <w:t>’</w:t>
      </w:r>
      <w:r w:rsidRPr="00E2758D" w:rsidR="00BA1BB1">
        <w:t>appartement d</w:t>
      </w:r>
      <w:r w:rsidRPr="00E2758D">
        <w:t>’</w:t>
      </w:r>
      <w:r w:rsidRPr="00E2758D" w:rsidR="00BA1BB1">
        <w:t>A.M. (</w:t>
      </w:r>
      <w:proofErr w:type="spellStart"/>
      <w:r w:rsidRPr="00E2758D" w:rsidR="00BA1BB1">
        <w:rPr>
          <w:i/>
          <w:iCs/>
        </w:rPr>
        <w:t>wniosek</w:t>
      </w:r>
      <w:proofErr w:type="spellEnd"/>
      <w:r w:rsidRPr="00E2758D" w:rsidR="00BA1BB1">
        <w:rPr>
          <w:i/>
          <w:iCs/>
        </w:rPr>
        <w:t xml:space="preserve"> o </w:t>
      </w:r>
      <w:proofErr w:type="spellStart"/>
      <w:r w:rsidRPr="00E2758D" w:rsidR="00BA1BB1">
        <w:rPr>
          <w:i/>
          <w:iCs/>
        </w:rPr>
        <w:t>wymeldowanie</w:t>
      </w:r>
      <w:proofErr w:type="spellEnd"/>
      <w:r w:rsidRPr="00E2758D" w:rsidR="00BA1BB1">
        <w:rPr>
          <w:i/>
          <w:iCs/>
        </w:rPr>
        <w:t xml:space="preserve"> w </w:t>
      </w:r>
      <w:proofErr w:type="spellStart"/>
      <w:r w:rsidRPr="00E2758D" w:rsidR="00BA1BB1">
        <w:rPr>
          <w:i/>
          <w:iCs/>
        </w:rPr>
        <w:t>drodze</w:t>
      </w:r>
      <w:proofErr w:type="spellEnd"/>
      <w:r w:rsidRPr="00E2758D" w:rsidR="00BA1BB1">
        <w:rPr>
          <w:i/>
          <w:iCs/>
        </w:rPr>
        <w:t xml:space="preserve"> </w:t>
      </w:r>
      <w:proofErr w:type="spellStart"/>
      <w:r w:rsidRPr="00E2758D" w:rsidR="00BA1BB1">
        <w:rPr>
          <w:i/>
          <w:iCs/>
        </w:rPr>
        <w:t>decyzji</w:t>
      </w:r>
      <w:proofErr w:type="spellEnd"/>
      <w:r w:rsidRPr="00E2758D" w:rsidR="00BA1BB1">
        <w:rPr>
          <w:i/>
          <w:iCs/>
        </w:rPr>
        <w:t xml:space="preserve"> </w:t>
      </w:r>
      <w:proofErr w:type="spellStart"/>
      <w:r w:rsidRPr="00E2758D" w:rsidR="00BA1BB1">
        <w:rPr>
          <w:i/>
          <w:iCs/>
        </w:rPr>
        <w:t>administracyjnej</w:t>
      </w:r>
      <w:proofErr w:type="spellEnd"/>
      <w:r w:rsidRPr="00E2758D" w:rsidR="00BA1BB1">
        <w:t>) formée par celle-ci le 5 septembre 2012 auprès de l</w:t>
      </w:r>
      <w:r w:rsidRPr="00E2758D">
        <w:t>’</w:t>
      </w:r>
      <w:r w:rsidRPr="00E2758D" w:rsidR="00BA1BB1">
        <w:t>autorité administrative compétente, une copie de l</w:t>
      </w:r>
      <w:r w:rsidRPr="00E2758D">
        <w:t>’</w:t>
      </w:r>
      <w:r w:rsidRPr="00E2758D" w:rsidR="00BA1BB1">
        <w:t>acte notarié susmentionné (dont un exemplaire avait été annexé à la demande précitée d</w:t>
      </w:r>
      <w:r w:rsidRPr="00E2758D">
        <w:t>’</w:t>
      </w:r>
      <w:r w:rsidRPr="00E2758D" w:rsidR="00BA1BB1">
        <w:t>A.M.), ainsi que les copies de trois assignations en justice dont d</w:t>
      </w:r>
      <w:r w:rsidRPr="00E2758D">
        <w:t>’</w:t>
      </w:r>
      <w:r w:rsidRPr="00E2758D" w:rsidR="00BA1BB1">
        <w:t>autres exemplaires avaient été versés par A.M. au dossier de la procédure de divorce du couple.</w:t>
      </w:r>
    </w:p>
    <w:p w:rsidRPr="00E2758D" w:rsidR="00BA1BB1" w:rsidP="00E2758D" w:rsidRDefault="00E2758D" w14:paraId="6ECC0E1E" w14:textId="6DCE53B0">
      <w:pPr>
        <w:pStyle w:val="JuPara"/>
      </w:pPr>
      <w:fldSimple w:instr=" SEQ level0 \*arabic \* MERGEFORMAT ">
        <w:bookmarkStart w:name="paragraph00005" w:id="1"/>
        <w:r w:rsidRPr="00E2758D">
          <w:rPr>
            <w:noProof/>
          </w:rPr>
          <w:t>5</w:t>
        </w:r>
        <w:bookmarkEnd w:id="1"/>
      </w:fldSimple>
      <w:r w:rsidRPr="00E2758D" w:rsidR="00BA1BB1">
        <w:t>.  Le 16</w:t>
      </w:r>
      <w:r w:rsidRPr="00E2758D" w:rsidR="00D3796E">
        <w:t xml:space="preserve"> </w:t>
      </w:r>
      <w:r w:rsidRPr="00E2758D" w:rsidR="00BA1BB1">
        <w:t>octobre 2012, les autorités diligentèrent une enquête sur les allégations de vol de l</w:t>
      </w:r>
      <w:r w:rsidRPr="00E2758D">
        <w:t>’</w:t>
      </w:r>
      <w:r w:rsidRPr="00E2758D" w:rsidR="00BA1BB1">
        <w:t>acte notarié susmentionné, infraction pénale réprimée par l</w:t>
      </w:r>
      <w:r w:rsidRPr="00E2758D">
        <w:t>’</w:t>
      </w:r>
      <w:r w:rsidRPr="00E2758D" w:rsidR="00BA1BB1">
        <w:t>article</w:t>
      </w:r>
      <w:r w:rsidRPr="00E2758D" w:rsidR="00D3796E">
        <w:t xml:space="preserve"> </w:t>
      </w:r>
      <w:r w:rsidRPr="00E2758D" w:rsidR="00BA1BB1">
        <w:t>276 du code pénal (« CP »).</w:t>
      </w:r>
    </w:p>
    <w:p w:rsidRPr="00E2758D" w:rsidR="00BA1BB1" w:rsidP="00E2758D" w:rsidRDefault="00E2758D" w14:paraId="1A8D787B" w14:textId="4A615FF8">
      <w:pPr>
        <w:pStyle w:val="JuPara"/>
      </w:pPr>
      <w:fldSimple w:instr=" SEQ level0 \*arabic \* MERGEFORMAT ">
        <w:r w:rsidRPr="00E2758D">
          <w:rPr>
            <w:noProof/>
          </w:rPr>
          <w:t>6</w:t>
        </w:r>
      </w:fldSimple>
      <w:r w:rsidRPr="00E2758D" w:rsidR="00BA1BB1">
        <w:t>.  Le 18 octobre 2012, le procureur de district de Poznań approuva la perquisition, considérant que cette mesure avait été justifiée par l</w:t>
      </w:r>
      <w:r w:rsidRPr="00E2758D">
        <w:t>’</w:t>
      </w:r>
      <w:r w:rsidRPr="00E2758D" w:rsidR="00BA1BB1">
        <w:t>urgence et qu</w:t>
      </w:r>
      <w:r w:rsidRPr="00E2758D">
        <w:t>’</w:t>
      </w:r>
      <w:r w:rsidRPr="00E2758D" w:rsidR="00BA1BB1">
        <w:t>elle avait été nécessaire à la prévention du risque d</w:t>
      </w:r>
      <w:r w:rsidRPr="00E2758D">
        <w:t>’</w:t>
      </w:r>
      <w:r w:rsidRPr="00E2758D" w:rsidR="00BA1BB1">
        <w:t>altération de preuves dans l</w:t>
      </w:r>
      <w:r w:rsidRPr="00E2758D">
        <w:t>’</w:t>
      </w:r>
      <w:r w:rsidRPr="00E2758D" w:rsidR="00BA1BB1">
        <w:t>enquête en cours.</w:t>
      </w:r>
    </w:p>
    <w:p w:rsidRPr="00E2758D" w:rsidR="00BA1BB1" w:rsidP="00E2758D" w:rsidRDefault="00E2758D" w14:paraId="6AF93BF2" w14:textId="59C3AC6A">
      <w:pPr>
        <w:pStyle w:val="JuPara"/>
      </w:pPr>
      <w:fldSimple w:instr=" SEQ level0 \*arabic \* MERGEFORMAT ">
        <w:bookmarkStart w:name="paragraph00007" w:id="2"/>
        <w:r w:rsidRPr="00E2758D">
          <w:rPr>
            <w:noProof/>
          </w:rPr>
          <w:t>7</w:t>
        </w:r>
        <w:bookmarkEnd w:id="2"/>
      </w:fldSimple>
      <w:r w:rsidRPr="00E2758D" w:rsidR="00BA1BB1">
        <w:t xml:space="preserve">.  Par une ordonnance du 19 novembre 2012, le tribunal de district de Poznań </w:t>
      </w:r>
      <w:proofErr w:type="spellStart"/>
      <w:r w:rsidRPr="00E2758D" w:rsidR="00BA1BB1">
        <w:t>Nowe</w:t>
      </w:r>
      <w:proofErr w:type="spellEnd"/>
      <w:r w:rsidRPr="00E2758D" w:rsidR="00BA1BB1">
        <w:t xml:space="preserve"> </w:t>
      </w:r>
      <w:proofErr w:type="spellStart"/>
      <w:r w:rsidRPr="00E2758D" w:rsidR="00BA1BB1">
        <w:t>Miasto</w:t>
      </w:r>
      <w:proofErr w:type="spellEnd"/>
      <w:r w:rsidRPr="00E2758D" w:rsidR="00BA1BB1">
        <w:t xml:space="preserve"> et </w:t>
      </w:r>
      <w:proofErr w:type="spellStart"/>
      <w:r w:rsidRPr="00E2758D" w:rsidR="00BA1BB1">
        <w:t>Wilda</w:t>
      </w:r>
      <w:proofErr w:type="spellEnd"/>
      <w:r w:rsidRPr="00E2758D" w:rsidR="00BA1BB1">
        <w:t>, statuant sur recours formé le 15 octobre 2012 par le requérant, confirma le bien-fondé des mesures diligentées contre l</w:t>
      </w:r>
      <w:r w:rsidRPr="00E2758D">
        <w:t>’</w:t>
      </w:r>
      <w:r w:rsidRPr="00E2758D" w:rsidR="00BA1BB1">
        <w:t>intéressé. À l</w:t>
      </w:r>
      <w:r w:rsidRPr="00E2758D">
        <w:t>’</w:t>
      </w:r>
      <w:r w:rsidRPr="00E2758D" w:rsidR="00BA1BB1">
        <w:t>appui de sa décision, il cita les dispositions pertinentes des articles 220 § 3 et 219 du code de procédure pénale (« CPP »), lesquelles, d</w:t>
      </w:r>
      <w:r w:rsidRPr="00E2758D">
        <w:t>’</w:t>
      </w:r>
      <w:r w:rsidRPr="00E2758D" w:rsidR="00BA1BB1">
        <w:t>une part, énonçaient le droit pour la police d</w:t>
      </w:r>
      <w:r w:rsidRPr="00E2758D">
        <w:t>’</w:t>
      </w:r>
      <w:r w:rsidRPr="00E2758D" w:rsidR="00BA1BB1">
        <w:t>effectuer une perquisition sans l</w:t>
      </w:r>
      <w:r w:rsidRPr="00E2758D">
        <w:t>’</w:t>
      </w:r>
      <w:r w:rsidRPr="00E2758D" w:rsidR="00BA1BB1">
        <w:t>autorisation préalable d</w:t>
      </w:r>
      <w:r w:rsidRPr="00E2758D">
        <w:t>’</w:t>
      </w:r>
      <w:r w:rsidRPr="00E2758D" w:rsidR="00BA1BB1">
        <w:t>un juge en cas d</w:t>
      </w:r>
      <w:r w:rsidRPr="00E2758D">
        <w:t>’</w:t>
      </w:r>
      <w:r w:rsidRPr="00E2758D" w:rsidR="00BA1BB1">
        <w:t>urgence et d</w:t>
      </w:r>
      <w:r w:rsidRPr="00E2758D">
        <w:t>’</w:t>
      </w:r>
      <w:r w:rsidRPr="00E2758D" w:rsidR="00BA1BB1">
        <w:t>impossibilité pour elle d</w:t>
      </w:r>
      <w:r w:rsidRPr="00E2758D">
        <w:t>’</w:t>
      </w:r>
      <w:r w:rsidRPr="00E2758D" w:rsidR="00BA1BB1">
        <w:t>obtenir une telle autorisation, et, d</w:t>
      </w:r>
      <w:r w:rsidRPr="00E2758D">
        <w:t>’</w:t>
      </w:r>
      <w:r w:rsidRPr="00E2758D" w:rsidR="00BA1BB1">
        <w:t>autre part, stipulaient qu</w:t>
      </w:r>
      <w:r w:rsidRPr="00E2758D">
        <w:t>’</w:t>
      </w:r>
      <w:r w:rsidRPr="00E2758D" w:rsidR="00BA1BB1">
        <w:t>une perquisition pouvait être opérée dans le but de recueillir des preuves pertinentes pour une enquête pénale en cours à la condition qu</w:t>
      </w:r>
      <w:r w:rsidRPr="00E2758D">
        <w:t>’</w:t>
      </w:r>
      <w:r w:rsidRPr="00E2758D" w:rsidR="00BA1BB1">
        <w:t>il existât des éléments donnant à penser que les preuves recherchées se trouvaient à l</w:t>
      </w:r>
      <w:r w:rsidRPr="00E2758D">
        <w:t>’</w:t>
      </w:r>
      <w:r w:rsidRPr="00E2758D" w:rsidR="00BA1BB1">
        <w:t>endroit visé par une telle mesure. Le tribunal expliqua en outre que la mesure dénoncée par le requérant avait été justifiée par la nécessité pour la police de vérifier le bien-fondé des allégations d</w:t>
      </w:r>
      <w:r w:rsidRPr="00E2758D">
        <w:t>’</w:t>
      </w:r>
      <w:r w:rsidRPr="00E2758D" w:rsidR="00BA1BB1">
        <w:t>A.M. selon lesquelles l</w:t>
      </w:r>
      <w:r w:rsidRPr="00E2758D">
        <w:t>’</w:t>
      </w:r>
      <w:r w:rsidRPr="00E2758D" w:rsidR="00BA1BB1">
        <w:t>intéressé aurait commis l</w:t>
      </w:r>
      <w:r w:rsidRPr="00E2758D">
        <w:t>’</w:t>
      </w:r>
      <w:r w:rsidRPr="00E2758D" w:rsidR="00BA1BB1">
        <w:t>infraction pénale réprimée par l</w:t>
      </w:r>
      <w:r w:rsidRPr="00E2758D">
        <w:t>’</w:t>
      </w:r>
      <w:r w:rsidRPr="00E2758D" w:rsidR="00BA1BB1">
        <w:t>article 276 du CP.</w:t>
      </w:r>
    </w:p>
    <w:p w:rsidRPr="00E2758D" w:rsidR="00BA1BB1" w:rsidP="00E2758D" w:rsidRDefault="00E2758D" w14:paraId="2E1170A3" w14:textId="50EB34A9">
      <w:pPr>
        <w:pStyle w:val="JuPara"/>
      </w:pPr>
      <w:fldSimple w:instr=" SEQ level0 \*arabic \* MERGEFORMAT ">
        <w:r w:rsidRPr="00E2758D">
          <w:rPr>
            <w:noProof/>
          </w:rPr>
          <w:t>8</w:t>
        </w:r>
      </w:fldSimple>
      <w:r w:rsidRPr="00E2758D" w:rsidR="00BA1BB1">
        <w:t>.  Le 19 décembre 2012, l</w:t>
      </w:r>
      <w:r w:rsidRPr="00E2758D">
        <w:t>’</w:t>
      </w:r>
      <w:r w:rsidRPr="00E2758D" w:rsidR="00BA1BB1">
        <w:t xml:space="preserve">enquête décrite au paragraphe </w:t>
      </w:r>
      <w:r w:rsidRPr="00E2758D" w:rsidR="00BA1BB1">
        <w:fldChar w:fldCharType="begin"/>
      </w:r>
      <w:r w:rsidRPr="00E2758D" w:rsidR="00BA1BB1">
        <w:instrText xml:space="preserve"> REF paragraph00005 \h  \* CharFormat  \* MERGEFORMAT </w:instrText>
      </w:r>
      <w:r w:rsidRPr="00E2758D" w:rsidR="00BA1BB1">
        <w:fldChar w:fldCharType="separate"/>
      </w:r>
      <w:r w:rsidRPr="00E2758D">
        <w:t>5</w:t>
      </w:r>
      <w:r w:rsidRPr="00E2758D" w:rsidR="00BA1BB1">
        <w:fldChar w:fldCharType="end"/>
      </w:r>
      <w:r w:rsidRPr="00E2758D" w:rsidR="00BA1BB1">
        <w:t xml:space="preserve"> ci-dessus fut close pour absence d</w:t>
      </w:r>
      <w:r w:rsidRPr="00E2758D">
        <w:t>’</w:t>
      </w:r>
      <w:r w:rsidRPr="00E2758D" w:rsidR="00BA1BB1">
        <w:t>éléments constitutifs de l</w:t>
      </w:r>
      <w:r w:rsidRPr="00E2758D">
        <w:t>’</w:t>
      </w:r>
      <w:r w:rsidRPr="00E2758D" w:rsidR="00BA1BB1">
        <w:t>infraction pénale réprimée par l</w:t>
      </w:r>
      <w:r w:rsidRPr="00E2758D">
        <w:t>’</w:t>
      </w:r>
      <w:r w:rsidRPr="00E2758D" w:rsidR="00BA1BB1">
        <w:t>article 276 du CP.</w:t>
      </w:r>
    </w:p>
    <w:p w:rsidRPr="00E2758D" w:rsidR="00BA1BB1" w:rsidP="00E2758D" w:rsidRDefault="00E2758D" w14:paraId="6E1AE538" w14:textId="55F55710">
      <w:pPr>
        <w:pStyle w:val="JuPara"/>
      </w:pPr>
      <w:fldSimple w:instr=" SEQ level0 \*arabic \* MERGEFORMAT ">
        <w:r w:rsidRPr="00E2758D">
          <w:rPr>
            <w:noProof/>
          </w:rPr>
          <w:t>9</w:t>
        </w:r>
      </w:fldSimple>
      <w:r w:rsidRPr="00E2758D" w:rsidR="00BA1BB1">
        <w:t>.  Invoquant l</w:t>
      </w:r>
      <w:r w:rsidRPr="00E2758D">
        <w:t>’</w:t>
      </w:r>
      <w:r w:rsidRPr="00E2758D" w:rsidR="00BA1BB1">
        <w:t>article 8 de la Convention, le requérant se plaint que la perquisition et la saisie opérées à son domicile par les autorités ont porté atteinte à ses droits au respect de son domicile et au respect de la confidentialité des échanges qu</w:t>
      </w:r>
      <w:r w:rsidRPr="00E2758D">
        <w:t>’</w:t>
      </w:r>
      <w:r w:rsidRPr="00E2758D" w:rsidR="00BA1BB1">
        <w:t>il entretenait avec son avocat.</w:t>
      </w:r>
    </w:p>
    <w:p w:rsidRPr="00E2758D" w:rsidR="00BA1BB1" w:rsidP="00E2758D" w:rsidRDefault="00BA1BB1" w14:paraId="18D8848A" w14:textId="77777777">
      <w:pPr>
        <w:pStyle w:val="JuHHead"/>
      </w:pPr>
      <w:r w:rsidRPr="00E2758D">
        <w:t>APPRÉCIATION DE LA COUR</w:t>
      </w:r>
    </w:p>
    <w:p w:rsidRPr="00E2758D" w:rsidR="00BA1BB1" w:rsidP="00E2758D" w:rsidRDefault="00BA1BB1" w14:paraId="45616AE3" w14:textId="3ADD6ABA">
      <w:pPr>
        <w:pStyle w:val="JuHIRoman"/>
        <w:numPr>
          <w:ilvl w:val="0"/>
          <w:numId w:val="0"/>
        </w:numPr>
      </w:pPr>
      <w:r w:rsidRPr="00E2758D">
        <w:t>SUR LA VIOLATION ALLÉGUÉE DE L</w:t>
      </w:r>
      <w:r w:rsidRPr="00E2758D" w:rsidR="00E2758D">
        <w:t>’</w:t>
      </w:r>
      <w:r w:rsidRPr="00E2758D">
        <w:t>ARTICLE 8 DE LA CONVENTION</w:t>
      </w:r>
    </w:p>
    <w:p w:rsidRPr="00E2758D" w:rsidR="00BA1BB1" w:rsidP="00E2758D" w:rsidRDefault="00B21C4C" w14:paraId="4EE2FC81" w14:textId="13135B10">
      <w:pPr>
        <w:pStyle w:val="JuPara"/>
      </w:pPr>
      <w:r>
        <w:rPr>
          <w:noProof/>
        </w:rPr>
        <w:fldChar w:fldCharType="begin"/>
      </w:r>
      <w:r>
        <w:rPr>
          <w:noProof/>
        </w:rPr>
        <w:instrText xml:space="preserve"> SEQ level0 \*arabic \* MERGEFORMAT </w:instrText>
      </w:r>
      <w:r>
        <w:rPr>
          <w:noProof/>
        </w:rPr>
        <w:fldChar w:fldCharType="separate"/>
      </w:r>
      <w:r w:rsidRPr="00E2758D" w:rsidR="00E2758D">
        <w:rPr>
          <w:noProof/>
        </w:rPr>
        <w:t>10</w:t>
      </w:r>
      <w:r>
        <w:rPr>
          <w:noProof/>
        </w:rPr>
        <w:fldChar w:fldCharType="end"/>
      </w:r>
      <w:r w:rsidRPr="00E2758D" w:rsidR="00BA1BB1">
        <w:t>. </w:t>
      </w:r>
      <w:r w:rsidRPr="00E2758D" w:rsidR="00D3796E">
        <w:t> </w:t>
      </w:r>
      <w:r w:rsidRPr="00E2758D" w:rsidR="00BA1BB1">
        <w:t>Le Gouvernement soutient que le requérant n</w:t>
      </w:r>
      <w:r w:rsidRPr="00E2758D" w:rsidR="00E2758D">
        <w:t>’</w:t>
      </w:r>
      <w:r w:rsidRPr="00E2758D" w:rsidR="00BA1BB1">
        <w:t>a pas épuisé les voies de recours internes. Il argue que l</w:t>
      </w:r>
      <w:r w:rsidRPr="00E2758D" w:rsidR="00E2758D">
        <w:t>’</w:t>
      </w:r>
      <w:r w:rsidRPr="00E2758D" w:rsidR="00BA1BB1">
        <w:t>intéressé aurait pu se plaindre devant la Cour constitutionnelle des dispositions de l</w:t>
      </w:r>
      <w:r w:rsidRPr="00E2758D" w:rsidR="00E2758D">
        <w:t>’</w:t>
      </w:r>
      <w:r w:rsidRPr="00E2758D" w:rsidR="00BA1BB1">
        <w:t>article 220 § 3 du CPP (paragraphe </w:t>
      </w:r>
      <w:r w:rsidRPr="00E2758D" w:rsidR="00BA1BB1">
        <w:fldChar w:fldCharType="begin"/>
      </w:r>
      <w:r w:rsidRPr="00E2758D" w:rsidR="00BA1BB1">
        <w:instrText xml:space="preserve"> REF paragraph00007 \h  \* CharFormat </w:instrText>
      </w:r>
      <w:r w:rsidRPr="00E2758D" w:rsidR="00BA1BB1">
        <w:fldChar w:fldCharType="separate"/>
      </w:r>
      <w:r w:rsidRPr="00E2758D" w:rsidR="00E2758D">
        <w:t>7</w:t>
      </w:r>
      <w:r w:rsidRPr="00E2758D" w:rsidR="00BA1BB1">
        <w:fldChar w:fldCharType="end"/>
      </w:r>
      <w:r w:rsidRPr="00E2758D" w:rsidR="00BA1BB1">
        <w:t xml:space="preserve"> ci-dessus) sur lesquelles se fondait la perquisition litigieuse. Il soutient que dans l</w:t>
      </w:r>
      <w:r w:rsidRPr="00E2758D" w:rsidR="00E2758D">
        <w:t>’</w:t>
      </w:r>
      <w:r w:rsidRPr="00E2758D" w:rsidR="00BA1BB1">
        <w:t>hypothèse où la haute juridiction nationale ainsi saisie aurait statué en faveur du requérant, ce dernier aurait pu invoquer l</w:t>
      </w:r>
      <w:r w:rsidRPr="00E2758D" w:rsidR="00E2758D">
        <w:t>’</w:t>
      </w:r>
      <w:r w:rsidRPr="00E2758D" w:rsidR="00BA1BB1">
        <w:t xml:space="preserve">article 540 § 2 du CPP pour demander la reprise de la procédure pénale le concernant </w:t>
      </w:r>
      <w:proofErr w:type="gramStart"/>
      <w:r w:rsidRPr="00E2758D" w:rsidR="00BA1BB1">
        <w:t>ou</w:t>
      </w:r>
      <w:proofErr w:type="gramEnd"/>
      <w:r w:rsidRPr="00E2758D" w:rsidR="00BA1BB1">
        <w:t xml:space="preserve"> engager une action en dommages et intérêts contre l</w:t>
      </w:r>
      <w:r w:rsidRPr="00E2758D" w:rsidR="00E2758D">
        <w:t>’</w:t>
      </w:r>
      <w:r w:rsidRPr="00E2758D" w:rsidR="00BA1BB1">
        <w:t>État sur le fondement de l</w:t>
      </w:r>
      <w:r w:rsidRPr="00E2758D" w:rsidR="00E2758D">
        <w:t>’</w:t>
      </w:r>
      <w:r w:rsidRPr="00E2758D" w:rsidR="00BA1BB1">
        <w:t>article 417 § 1 du code civil (« CC »).</w:t>
      </w:r>
    </w:p>
    <w:p w:rsidRPr="00E2758D" w:rsidR="00BA1BB1" w:rsidP="00E2758D" w:rsidRDefault="00E2758D" w14:paraId="6CF6694E" w14:textId="55B2D44C">
      <w:pPr>
        <w:pStyle w:val="JuPara"/>
      </w:pPr>
      <w:fldSimple w:instr=" SEQ level0 \*arabic \* MERGEFORMAT ">
        <w:r w:rsidRPr="00E2758D">
          <w:rPr>
            <w:noProof/>
          </w:rPr>
          <w:t>11</w:t>
        </w:r>
      </w:fldSimple>
      <w:r w:rsidRPr="00E2758D" w:rsidR="00BA1BB1">
        <w:t>.  Pour autant que le requérant se plaint d</w:t>
      </w:r>
      <w:r w:rsidRPr="00E2758D">
        <w:t>’</w:t>
      </w:r>
      <w:r w:rsidRPr="00E2758D" w:rsidR="00BA1BB1">
        <w:t>une violation de son droit au respect de la confidentialité de ses échanges avec son avocat, la Cour estime qu</w:t>
      </w:r>
      <w:r w:rsidRPr="00E2758D">
        <w:t>’</w:t>
      </w:r>
      <w:r w:rsidRPr="00E2758D" w:rsidR="00BA1BB1">
        <w:t>il n</w:t>
      </w:r>
      <w:r w:rsidRPr="00E2758D">
        <w:t>’</w:t>
      </w:r>
      <w:r w:rsidRPr="00E2758D" w:rsidR="00BA1BB1">
        <w:t>est pas nécessaire de statuer sur l</w:t>
      </w:r>
      <w:r w:rsidRPr="00E2758D">
        <w:t>’</w:t>
      </w:r>
      <w:r w:rsidRPr="00E2758D" w:rsidR="00BA1BB1">
        <w:t>exception soulevée par le Gouvernement, compte tenu du fait que ce grief est en tout état de cause irrecevable au motif que le requérant n</w:t>
      </w:r>
      <w:r w:rsidRPr="00E2758D">
        <w:t>’</w:t>
      </w:r>
      <w:r w:rsidRPr="00E2758D" w:rsidR="00BA1BB1">
        <w:t>établit pas quels documents parmi ceux qu</w:t>
      </w:r>
      <w:r w:rsidRPr="00E2758D">
        <w:t>’</w:t>
      </w:r>
      <w:r w:rsidRPr="00E2758D" w:rsidR="00BA1BB1">
        <w:t>ont saisis les autorités à l</w:t>
      </w:r>
      <w:r w:rsidRPr="00E2758D">
        <w:t>’</w:t>
      </w:r>
      <w:r w:rsidRPr="00E2758D" w:rsidR="00BA1BB1">
        <w:t>occasion de la perquisition litigieuse auraient concerné les échanges en question, et qu</w:t>
      </w:r>
      <w:r w:rsidRPr="00E2758D">
        <w:t>’</w:t>
      </w:r>
      <w:r w:rsidRPr="00E2758D" w:rsidR="00BA1BB1">
        <w:t>en conséquence la Cour juge ce grief manifestement mal fondé et le rejette en application de l</w:t>
      </w:r>
      <w:r w:rsidRPr="00E2758D">
        <w:t>’</w:t>
      </w:r>
      <w:r w:rsidRPr="00E2758D" w:rsidR="00BA1BB1">
        <w:t>article 35 §§ 3 a) et 4 de la Convention.</w:t>
      </w:r>
    </w:p>
    <w:p w:rsidRPr="00E2758D" w:rsidR="00BA1BB1" w:rsidP="00E2758D" w:rsidRDefault="00E2758D" w14:paraId="4432C13C" w14:textId="78CBD13D">
      <w:pPr>
        <w:pStyle w:val="JuPara"/>
      </w:pPr>
      <w:fldSimple w:instr=" SEQ level0 \*arabic \* MERGEFORMAT ">
        <w:r w:rsidRPr="00E2758D">
          <w:rPr>
            <w:noProof/>
          </w:rPr>
          <w:t>12</w:t>
        </w:r>
      </w:fldSimple>
      <w:r w:rsidRPr="00E2758D" w:rsidR="00BA1BB1">
        <w:t>.  Pour autant que le requérant se plaint de ce que la perquisition litigieuse ait emporté violation de son droit au respect de son domicile, la Cour rappelle, en ce qui concerne la possibilité invoquée par le Gouvernement d</w:t>
      </w:r>
      <w:r w:rsidRPr="00E2758D">
        <w:t>’</w:t>
      </w:r>
      <w:r w:rsidRPr="00E2758D" w:rsidR="00BA1BB1">
        <w:t>un recours constitutionnel, qu</w:t>
      </w:r>
      <w:r w:rsidRPr="00E2758D">
        <w:t>’</w:t>
      </w:r>
      <w:r w:rsidRPr="00E2758D" w:rsidR="00BA1BB1">
        <w:t>elle a déjà eu l</w:t>
      </w:r>
      <w:r w:rsidRPr="00E2758D">
        <w:t>’</w:t>
      </w:r>
      <w:r w:rsidRPr="00E2758D" w:rsidR="00BA1BB1">
        <w:t>occasion de rejeter pareille exception (voir, parmi beaucoup d</w:t>
      </w:r>
      <w:r w:rsidRPr="00E2758D">
        <w:t>’</w:t>
      </w:r>
      <w:r w:rsidRPr="00E2758D" w:rsidR="00BA1BB1">
        <w:t xml:space="preserve">autres, </w:t>
      </w:r>
      <w:proofErr w:type="spellStart"/>
      <w:r w:rsidRPr="00E2758D" w:rsidR="00BA1BB1">
        <w:rPr>
          <w:i/>
        </w:rPr>
        <w:t>Bugajny</w:t>
      </w:r>
      <w:proofErr w:type="spellEnd"/>
      <w:r w:rsidRPr="00E2758D" w:rsidR="00BA1BB1">
        <w:rPr>
          <w:i/>
        </w:rPr>
        <w:t xml:space="preserve"> et autres c. Pologne</w:t>
      </w:r>
      <w:r w:rsidRPr="00E2758D" w:rsidR="00BA1BB1">
        <w:t>, n</w:t>
      </w:r>
      <w:r w:rsidRPr="00E2758D" w:rsidR="00BA1BB1">
        <w:rPr>
          <w:vertAlign w:val="superscript"/>
        </w:rPr>
        <w:t>o</w:t>
      </w:r>
      <w:r w:rsidRPr="00E2758D" w:rsidR="00BA1BB1">
        <w:t xml:space="preserve"> 22531/05, § 45, 6 novembre 2007, </w:t>
      </w:r>
      <w:proofErr w:type="spellStart"/>
      <w:r w:rsidRPr="00E2758D" w:rsidR="00BA1BB1">
        <w:rPr>
          <w:i/>
        </w:rPr>
        <w:t>Sosinowska</w:t>
      </w:r>
      <w:proofErr w:type="spellEnd"/>
      <w:r w:rsidRPr="00E2758D" w:rsidR="00BA1BB1">
        <w:rPr>
          <w:i/>
        </w:rPr>
        <w:t xml:space="preserve"> c. Pologne</w:t>
      </w:r>
      <w:r w:rsidRPr="00E2758D" w:rsidR="00BA1BB1">
        <w:t>, n</w:t>
      </w:r>
      <w:r w:rsidRPr="00E2758D" w:rsidR="00BA1BB1">
        <w:rPr>
          <w:vertAlign w:val="superscript"/>
        </w:rPr>
        <w:t>o</w:t>
      </w:r>
      <w:r w:rsidRPr="00E2758D" w:rsidR="00BA1BB1">
        <w:t xml:space="preserve"> 10247/09, § 55, 18 octobre 2011, et </w:t>
      </w:r>
      <w:proofErr w:type="spellStart"/>
      <w:r w:rsidRPr="00E2758D" w:rsidR="00BA1BB1">
        <w:rPr>
          <w:i/>
        </w:rPr>
        <w:t>Remuszko</w:t>
      </w:r>
      <w:proofErr w:type="spellEnd"/>
      <w:r w:rsidRPr="00E2758D" w:rsidR="00BA1BB1">
        <w:rPr>
          <w:i/>
        </w:rPr>
        <w:t xml:space="preserve"> c. Pologne</w:t>
      </w:r>
      <w:r w:rsidRPr="00E2758D" w:rsidR="00BA1BB1">
        <w:rPr>
          <w:snapToGrid w:val="0"/>
        </w:rPr>
        <w:t>, n</w:t>
      </w:r>
      <w:r w:rsidRPr="00E2758D" w:rsidR="00BA1BB1">
        <w:rPr>
          <w:snapToGrid w:val="0"/>
          <w:vertAlign w:val="superscript"/>
        </w:rPr>
        <w:t>o</w:t>
      </w:r>
      <w:r w:rsidRPr="00E2758D" w:rsidR="00BA1BB1">
        <w:rPr>
          <w:snapToGrid w:val="0"/>
        </w:rPr>
        <w:t> 1562/10, § 45, 16</w:t>
      </w:r>
      <w:r w:rsidRPr="00E2758D" w:rsidR="00E00F55">
        <w:rPr>
          <w:snapToGrid w:val="0"/>
        </w:rPr>
        <w:t xml:space="preserve"> </w:t>
      </w:r>
      <w:r w:rsidRPr="00E2758D" w:rsidR="00BA1BB1">
        <w:rPr>
          <w:snapToGrid w:val="0"/>
        </w:rPr>
        <w:t>juillet 2013). En outre, elle considère comme spéculatives les affirmations du Gouvernement relatives à des recours dont l</w:t>
      </w:r>
      <w:r w:rsidRPr="00E2758D">
        <w:rPr>
          <w:snapToGrid w:val="0"/>
        </w:rPr>
        <w:t>’</w:t>
      </w:r>
      <w:r w:rsidRPr="00E2758D" w:rsidR="00BA1BB1">
        <w:rPr>
          <w:snapToGrid w:val="0"/>
        </w:rPr>
        <w:t>exercice dépend de l</w:t>
      </w:r>
      <w:r w:rsidRPr="00E2758D">
        <w:rPr>
          <w:snapToGrid w:val="0"/>
        </w:rPr>
        <w:t>’</w:t>
      </w:r>
      <w:r w:rsidRPr="00E2758D" w:rsidR="00BA1BB1">
        <w:rPr>
          <w:snapToGrid w:val="0"/>
        </w:rPr>
        <w:t>éventuel succès préalable d</w:t>
      </w:r>
      <w:r w:rsidRPr="00E2758D">
        <w:rPr>
          <w:snapToGrid w:val="0"/>
        </w:rPr>
        <w:t>’</w:t>
      </w:r>
      <w:r w:rsidRPr="00E2758D" w:rsidR="00BA1BB1">
        <w:rPr>
          <w:snapToGrid w:val="0"/>
        </w:rPr>
        <w:t>un recours constitutionnel. L</w:t>
      </w:r>
      <w:r w:rsidRPr="00E2758D">
        <w:rPr>
          <w:snapToGrid w:val="0"/>
        </w:rPr>
        <w:t>’</w:t>
      </w:r>
      <w:r w:rsidRPr="00E2758D" w:rsidR="00BA1BB1">
        <w:rPr>
          <w:snapToGrid w:val="0"/>
        </w:rPr>
        <w:t>exception du Gouvernement est par conséquent rejetée.</w:t>
      </w:r>
    </w:p>
    <w:p w:rsidRPr="00E2758D" w:rsidR="00BA1BB1" w:rsidP="00E2758D" w:rsidRDefault="00E2758D" w14:paraId="6A2BE3DA" w14:textId="1BABB796">
      <w:pPr>
        <w:pStyle w:val="JuPara"/>
      </w:pPr>
      <w:fldSimple w:instr=" SEQ level0 \*arabic \* MERGEFORMAT ">
        <w:r w:rsidRPr="00E2758D">
          <w:rPr>
            <w:noProof/>
          </w:rPr>
          <w:t>13</w:t>
        </w:r>
      </w:fldSimple>
      <w:r w:rsidRPr="00E2758D" w:rsidR="00BA1BB1">
        <w:t>.  Constatant que ce grief n</w:t>
      </w:r>
      <w:r w:rsidRPr="00E2758D">
        <w:t>’</w:t>
      </w:r>
      <w:r w:rsidRPr="00E2758D" w:rsidR="00BA1BB1">
        <w:t>est pas manifestement mal fondé ni irrecevable pour un autre motif visé à l</w:t>
      </w:r>
      <w:r w:rsidRPr="00E2758D">
        <w:t>’</w:t>
      </w:r>
      <w:r w:rsidRPr="00E2758D" w:rsidR="00BA1BB1">
        <w:t>article 35 de la Convention, la Cour le déclare recevable.</w:t>
      </w:r>
    </w:p>
    <w:p w:rsidRPr="00E2758D" w:rsidR="00BA1BB1" w:rsidP="00E2758D" w:rsidRDefault="00E2758D" w14:paraId="46D34756" w14:textId="01571958">
      <w:pPr>
        <w:pStyle w:val="JuPara"/>
      </w:pPr>
      <w:fldSimple w:instr=" SEQ level0 \*arabic \* MERGEFORMAT ">
        <w:r w:rsidRPr="00E2758D">
          <w:rPr>
            <w:noProof/>
          </w:rPr>
          <w:t>14</w:t>
        </w:r>
      </w:fldSimple>
      <w:r w:rsidRPr="00E2758D" w:rsidR="00BA1BB1">
        <w:t>.  La Cour note qu</w:t>
      </w:r>
      <w:r w:rsidRPr="00E2758D">
        <w:t>’</w:t>
      </w:r>
      <w:r w:rsidRPr="00E2758D" w:rsidR="00BA1BB1">
        <w:t>en l</w:t>
      </w:r>
      <w:r w:rsidRPr="00E2758D">
        <w:t>’</w:t>
      </w:r>
      <w:r w:rsidRPr="00E2758D" w:rsidR="00BA1BB1">
        <w:t>espèce, nul ne conteste qu</w:t>
      </w:r>
      <w:r w:rsidRPr="00E2758D">
        <w:t>’</w:t>
      </w:r>
      <w:r w:rsidRPr="00E2758D" w:rsidR="00BA1BB1">
        <w:t xml:space="preserve">il y </w:t>
      </w:r>
      <w:proofErr w:type="gramStart"/>
      <w:r w:rsidRPr="00E2758D" w:rsidR="00BA1BB1">
        <w:t>a</w:t>
      </w:r>
      <w:proofErr w:type="gramEnd"/>
      <w:r w:rsidRPr="00E2758D" w:rsidR="00BA1BB1">
        <w:t xml:space="preserve"> eu ingérence dans l</w:t>
      </w:r>
      <w:r w:rsidRPr="00E2758D">
        <w:t>’</w:t>
      </w:r>
      <w:r w:rsidRPr="00E2758D" w:rsidR="00BA1BB1">
        <w:t>exercice par le requérant du droit, protégé par l</w:t>
      </w:r>
      <w:r w:rsidRPr="00E2758D">
        <w:t>’</w:t>
      </w:r>
      <w:r w:rsidRPr="00E2758D" w:rsidR="00BA1BB1">
        <w:t>article</w:t>
      </w:r>
      <w:r w:rsidRPr="00E2758D" w:rsidR="00E00F55">
        <w:t xml:space="preserve"> </w:t>
      </w:r>
      <w:r w:rsidRPr="00E2758D" w:rsidR="00BA1BB1">
        <w:t>8 de la Convention, au respect de son domicile. Il reste à déterminer si cette ingérence était justifiée au regard du paragraphe</w:t>
      </w:r>
      <w:r w:rsidRPr="00E2758D" w:rsidR="00E00F55">
        <w:t xml:space="preserve"> </w:t>
      </w:r>
      <w:r w:rsidRPr="00E2758D" w:rsidR="00BA1BB1">
        <w:t>2 de l</w:t>
      </w:r>
      <w:r w:rsidRPr="00E2758D">
        <w:t>’</w:t>
      </w:r>
      <w:r w:rsidRPr="00E2758D" w:rsidR="00BA1BB1">
        <w:t>article</w:t>
      </w:r>
      <w:r w:rsidRPr="00E2758D" w:rsidR="00E00F55">
        <w:t xml:space="preserve"> </w:t>
      </w:r>
      <w:r w:rsidRPr="00E2758D" w:rsidR="00BA1BB1">
        <w:t>8 de la Convention, c</w:t>
      </w:r>
      <w:r w:rsidRPr="00E2758D">
        <w:t>’</w:t>
      </w:r>
      <w:r w:rsidRPr="00E2758D" w:rsidR="00BA1BB1">
        <w:t>est-à-dire notamment si elle était « prévue par la loi », poursuivait un ou plusieurs buts légitimes et était « nécessaire » à la réalisation de ce ou ces buts.</w:t>
      </w:r>
    </w:p>
    <w:p w:rsidRPr="00E2758D" w:rsidR="00BA1BB1" w:rsidP="00E2758D" w:rsidRDefault="00E2758D" w14:paraId="5CF45058" w14:textId="6D451D4E">
      <w:pPr>
        <w:pStyle w:val="JuPara"/>
      </w:pPr>
      <w:fldSimple w:instr=" SEQ level0 \*arabic \* MERGEFORMAT ">
        <w:r w:rsidRPr="00E2758D">
          <w:rPr>
            <w:noProof/>
          </w:rPr>
          <w:t>15</w:t>
        </w:r>
      </w:fldSimple>
      <w:r w:rsidRPr="00E2758D" w:rsidR="00BA1BB1">
        <w:t xml:space="preserve">.  Les principes généraux applicables à cet égard ont été résumés, entre autres, dans les arrêts </w:t>
      </w:r>
      <w:proofErr w:type="spellStart"/>
      <w:r w:rsidRPr="00E2758D" w:rsidR="00BA1BB1">
        <w:rPr>
          <w:i/>
          <w:iCs/>
        </w:rPr>
        <w:t>Rotaru</w:t>
      </w:r>
      <w:proofErr w:type="spellEnd"/>
      <w:r w:rsidRPr="00E2758D" w:rsidR="00BA1BB1">
        <w:rPr>
          <w:i/>
          <w:iCs/>
        </w:rPr>
        <w:t xml:space="preserve"> c. Roumanie</w:t>
      </w:r>
      <w:r w:rsidRPr="00E2758D" w:rsidR="00BA1BB1">
        <w:t xml:space="preserve"> [GC], n</w:t>
      </w:r>
      <w:r w:rsidRPr="00E2758D" w:rsidR="00BA1BB1">
        <w:rPr>
          <w:vertAlign w:val="superscript"/>
        </w:rPr>
        <w:t>o</w:t>
      </w:r>
      <w:r w:rsidRPr="00E2758D" w:rsidR="00BA1BB1">
        <w:t xml:space="preserve"> 28341/95, § 52, CEDH 2000‑V, </w:t>
      </w:r>
      <w:proofErr w:type="spellStart"/>
      <w:r w:rsidRPr="00E2758D" w:rsidR="00BA1BB1">
        <w:rPr>
          <w:rFonts w:ascii="Times New Roman" w:hAnsi="Times New Roman" w:cs="Times New Roman"/>
          <w:i/>
          <w:iCs/>
          <w:color w:val="000000"/>
        </w:rPr>
        <w:t>Heino</w:t>
      </w:r>
      <w:proofErr w:type="spellEnd"/>
      <w:r w:rsidRPr="00E2758D" w:rsidR="00BA1BB1">
        <w:rPr>
          <w:rFonts w:ascii="Times New Roman" w:hAnsi="Times New Roman" w:cs="Times New Roman"/>
          <w:i/>
          <w:iCs/>
          <w:color w:val="000000"/>
        </w:rPr>
        <w:t xml:space="preserve"> c. Finlande</w:t>
      </w:r>
      <w:r w:rsidRPr="00E2758D" w:rsidR="00BA1BB1">
        <w:rPr>
          <w:rFonts w:ascii="Times New Roman" w:hAnsi="Times New Roman" w:cs="Times New Roman"/>
          <w:color w:val="000000"/>
        </w:rPr>
        <w:t>, n</w:t>
      </w:r>
      <w:r w:rsidRPr="00E2758D" w:rsidR="00BA1BB1">
        <w:rPr>
          <w:rFonts w:ascii="Times New Roman" w:hAnsi="Times New Roman" w:cs="Times New Roman"/>
          <w:color w:val="000000"/>
          <w:vertAlign w:val="superscript"/>
        </w:rPr>
        <w:t>o</w:t>
      </w:r>
      <w:r w:rsidRPr="00E2758D" w:rsidR="00BA1BB1">
        <w:rPr>
          <w:rFonts w:ascii="Times New Roman" w:hAnsi="Times New Roman" w:cs="Times New Roman"/>
          <w:color w:val="000000"/>
        </w:rPr>
        <w:t> 56720/09, § 36, 15</w:t>
      </w:r>
      <w:r w:rsidRPr="00E2758D" w:rsidR="00E00F55">
        <w:rPr>
          <w:rFonts w:ascii="Times New Roman" w:hAnsi="Times New Roman" w:cs="Times New Roman"/>
          <w:color w:val="000000"/>
        </w:rPr>
        <w:t xml:space="preserve"> </w:t>
      </w:r>
      <w:r w:rsidRPr="00E2758D" w:rsidR="00BA1BB1">
        <w:rPr>
          <w:rFonts w:ascii="Times New Roman" w:hAnsi="Times New Roman" w:cs="Times New Roman"/>
          <w:color w:val="000000"/>
        </w:rPr>
        <w:t xml:space="preserve">février 2011, </w:t>
      </w:r>
      <w:proofErr w:type="spellStart"/>
      <w:r w:rsidRPr="00E2758D" w:rsidR="00BA1BB1">
        <w:rPr>
          <w:i/>
          <w:iCs/>
        </w:rPr>
        <w:t>Gutsanovi</w:t>
      </w:r>
      <w:proofErr w:type="spellEnd"/>
      <w:r w:rsidRPr="00E2758D" w:rsidR="00BA1BB1">
        <w:rPr>
          <w:i/>
          <w:iCs/>
        </w:rPr>
        <w:t xml:space="preserve"> c. Bulgarie</w:t>
      </w:r>
      <w:r w:rsidRPr="00E2758D" w:rsidR="00BA1BB1">
        <w:t>, n</w:t>
      </w:r>
      <w:r w:rsidRPr="00E2758D" w:rsidR="00BA1BB1">
        <w:rPr>
          <w:vertAlign w:val="superscript"/>
        </w:rPr>
        <w:t>o</w:t>
      </w:r>
      <w:r w:rsidRPr="00E2758D" w:rsidR="00BA1BB1">
        <w:t> 34529/10, § 220, 15</w:t>
      </w:r>
      <w:r w:rsidRPr="00E2758D" w:rsidR="00E00F55">
        <w:t xml:space="preserve"> </w:t>
      </w:r>
      <w:r w:rsidRPr="00E2758D" w:rsidR="00BA1BB1">
        <w:t xml:space="preserve">octobre 2013, </w:t>
      </w:r>
      <w:proofErr w:type="spellStart"/>
      <w:r w:rsidRPr="00E2758D" w:rsidR="00BA1BB1">
        <w:rPr>
          <w:i/>
        </w:rPr>
        <w:t>Govedarski</w:t>
      </w:r>
      <w:proofErr w:type="spellEnd"/>
      <w:r w:rsidRPr="00E2758D" w:rsidR="00BA1BB1">
        <w:rPr>
          <w:i/>
        </w:rPr>
        <w:t xml:space="preserve"> c. Bulgarie</w:t>
      </w:r>
      <w:r w:rsidRPr="00E2758D" w:rsidR="00BA1BB1">
        <w:t>, n</w:t>
      </w:r>
      <w:r w:rsidRPr="00E2758D" w:rsidR="00BA1BB1">
        <w:rPr>
          <w:vertAlign w:val="superscript"/>
        </w:rPr>
        <w:t>o</w:t>
      </w:r>
      <w:r w:rsidRPr="00E2758D" w:rsidR="00BA1BB1">
        <w:t> 34957/12</w:t>
      </w:r>
      <w:r w:rsidRPr="00E2758D" w:rsidR="00BA1BB1">
        <w:rPr>
          <w:snapToGrid w:val="0"/>
        </w:rPr>
        <w:t>, §§ 79 et 81, 16</w:t>
      </w:r>
      <w:r w:rsidRPr="00E2758D" w:rsidR="00E00F55">
        <w:rPr>
          <w:snapToGrid w:val="0"/>
        </w:rPr>
        <w:t xml:space="preserve"> </w:t>
      </w:r>
      <w:r w:rsidRPr="00E2758D" w:rsidR="00BA1BB1">
        <w:t>février</w:t>
      </w:r>
      <w:r w:rsidRPr="00E2758D" w:rsidR="00BA1BB1">
        <w:rPr>
          <w:snapToGrid w:val="0"/>
        </w:rPr>
        <w:t xml:space="preserve"> 2016</w:t>
      </w:r>
      <w:r w:rsidRPr="00E2758D" w:rsidR="00E00F55">
        <w:rPr>
          <w:snapToGrid w:val="0"/>
        </w:rPr>
        <w:t>,</w:t>
      </w:r>
      <w:r w:rsidRPr="00E2758D" w:rsidR="00BA1BB1">
        <w:rPr>
          <w:snapToGrid w:val="0"/>
        </w:rPr>
        <w:t xml:space="preserve"> et </w:t>
      </w:r>
      <w:proofErr w:type="spellStart"/>
      <w:r w:rsidRPr="00E2758D" w:rsidR="00BA1BB1">
        <w:rPr>
          <w:i/>
          <w:iCs/>
        </w:rPr>
        <w:t>Stoyanov</w:t>
      </w:r>
      <w:proofErr w:type="spellEnd"/>
      <w:r w:rsidRPr="00E2758D" w:rsidR="00BA1BB1">
        <w:rPr>
          <w:i/>
          <w:iCs/>
        </w:rPr>
        <w:t xml:space="preserve"> et autres c. Bulgarie</w:t>
      </w:r>
      <w:r w:rsidRPr="00E2758D" w:rsidR="00BA1BB1">
        <w:t>, n</w:t>
      </w:r>
      <w:r w:rsidRPr="00E2758D" w:rsidR="00BA1BB1">
        <w:rPr>
          <w:vertAlign w:val="superscript"/>
        </w:rPr>
        <w:t>o</w:t>
      </w:r>
      <w:r w:rsidRPr="00E2758D" w:rsidR="00BA1BB1">
        <w:t> 55388/10, § 124, 31</w:t>
      </w:r>
      <w:r w:rsidRPr="00E2758D" w:rsidR="00E00F55">
        <w:t xml:space="preserve"> </w:t>
      </w:r>
      <w:r w:rsidRPr="00E2758D" w:rsidR="00BA1BB1">
        <w:t>mars 2016.</w:t>
      </w:r>
    </w:p>
    <w:p w:rsidRPr="00E2758D" w:rsidR="00BA1BB1" w:rsidP="00E2758D" w:rsidRDefault="00E2758D" w14:paraId="5574E2EC" w14:textId="44776B23">
      <w:pPr>
        <w:pStyle w:val="JuPara"/>
      </w:pPr>
      <w:fldSimple w:instr=" SEQ level0 \*arabic \* MERGEFORMAT ">
        <w:r w:rsidRPr="00E2758D">
          <w:rPr>
            <w:noProof/>
          </w:rPr>
          <w:t>16</w:t>
        </w:r>
      </w:fldSimple>
      <w:r w:rsidRPr="00E2758D" w:rsidR="00BA1BB1">
        <w:t>.  Se tournant vers les faits de l</w:t>
      </w:r>
      <w:r w:rsidRPr="00E2758D">
        <w:t>’</w:t>
      </w:r>
      <w:r w:rsidRPr="00E2758D" w:rsidR="00BA1BB1">
        <w:t>espèce, la Cour observe que la perquisition et la saisie litigieuses ont été opérées sans l</w:t>
      </w:r>
      <w:r w:rsidRPr="00E2758D">
        <w:t>’</w:t>
      </w:r>
      <w:r w:rsidRPr="00E2758D" w:rsidR="00BA1BB1">
        <w:t>autorisation préalable d</w:t>
      </w:r>
      <w:r w:rsidRPr="00E2758D">
        <w:t>’</w:t>
      </w:r>
      <w:r w:rsidRPr="00E2758D" w:rsidR="00BA1BB1">
        <w:t>un juge, en application de l</w:t>
      </w:r>
      <w:r w:rsidRPr="00E2758D">
        <w:t>’</w:t>
      </w:r>
      <w:r w:rsidRPr="00E2758D" w:rsidR="00BA1BB1">
        <w:t>article 220 § 3 du CPP. Elle note que la disposition précitée du CPP donne aux organes d</w:t>
      </w:r>
      <w:r w:rsidRPr="00E2758D">
        <w:t>’</w:t>
      </w:r>
      <w:r w:rsidRPr="00E2758D" w:rsidR="00BA1BB1">
        <w:t>enquête l</w:t>
      </w:r>
      <w:r w:rsidRPr="00E2758D">
        <w:t>’</w:t>
      </w:r>
      <w:r w:rsidRPr="00E2758D" w:rsidR="00BA1BB1">
        <w:t>autorisation de procéder à la mise en œuvre des mesures en question « en cas d</w:t>
      </w:r>
      <w:r w:rsidRPr="00E2758D">
        <w:t>’</w:t>
      </w:r>
      <w:r w:rsidRPr="00E2758D" w:rsidR="00BA1BB1">
        <w:t>urgence » (paragraphe </w:t>
      </w:r>
      <w:r w:rsidRPr="00E2758D" w:rsidR="00BA1BB1">
        <w:fldChar w:fldCharType="begin"/>
      </w:r>
      <w:r w:rsidRPr="00E2758D" w:rsidR="00BA1BB1">
        <w:instrText xml:space="preserve"> REF paragraph00007 \h  \* CharFormat </w:instrText>
      </w:r>
      <w:r w:rsidRPr="00E2758D" w:rsidR="00BA1BB1">
        <w:fldChar w:fldCharType="separate"/>
      </w:r>
      <w:r w:rsidRPr="00E2758D">
        <w:t>7</w:t>
      </w:r>
      <w:r w:rsidRPr="00E2758D" w:rsidR="00BA1BB1">
        <w:fldChar w:fldCharType="end"/>
      </w:r>
      <w:r w:rsidRPr="00E2758D" w:rsidR="00BA1BB1">
        <w:t xml:space="preserve"> ci-dessus). Elle relève en outre que la rédaction de ladite disposition laisse en pratique une large marge de manœuvre aux autorités quant à l</w:t>
      </w:r>
      <w:r w:rsidRPr="00E2758D">
        <w:t>’</w:t>
      </w:r>
      <w:r w:rsidRPr="00E2758D" w:rsidR="00BA1BB1">
        <w:t>appréciation de la nécessité et de l</w:t>
      </w:r>
      <w:r w:rsidRPr="00E2758D">
        <w:t>’</w:t>
      </w:r>
      <w:r w:rsidRPr="00E2758D" w:rsidR="00BA1BB1">
        <w:t xml:space="preserve">ampleur des perquisitions et saisies (voir, </w:t>
      </w:r>
      <w:r w:rsidRPr="00E2758D" w:rsidR="00BA1BB1">
        <w:rPr>
          <w:i/>
          <w:iCs/>
        </w:rPr>
        <w:t>mutatis mutandis</w:t>
      </w:r>
      <w:r w:rsidRPr="00E2758D" w:rsidR="00BA1BB1">
        <w:t xml:space="preserve">, </w:t>
      </w:r>
      <w:proofErr w:type="spellStart"/>
      <w:r w:rsidRPr="00E2758D" w:rsidR="00BA1BB1">
        <w:rPr>
          <w:i/>
          <w:iCs/>
        </w:rPr>
        <w:t>Gutsanovi</w:t>
      </w:r>
      <w:proofErr w:type="spellEnd"/>
      <w:r w:rsidRPr="00E2758D" w:rsidR="00BA1BB1">
        <w:t>, précité, § 221).</w:t>
      </w:r>
    </w:p>
    <w:p w:rsidRPr="00E2758D" w:rsidR="00BA1BB1" w:rsidP="00E2758D" w:rsidRDefault="00E2758D" w14:paraId="5EC82A1E" w14:textId="75E949D9">
      <w:pPr>
        <w:pStyle w:val="JuPara"/>
        <w:rPr>
          <w:rFonts w:ascii="Times New Roman" w:hAnsi="Times New Roman" w:cs="Times New Roman"/>
          <w:color w:val="000000"/>
        </w:rPr>
      </w:pPr>
      <w:fldSimple w:instr=" SEQ level0 \*arabic \* MERGEFORMAT ">
        <w:r w:rsidRPr="00E2758D">
          <w:rPr>
            <w:noProof/>
          </w:rPr>
          <w:t>17</w:t>
        </w:r>
      </w:fldSimple>
      <w:r w:rsidRPr="00E2758D" w:rsidR="00BA1BB1">
        <w:t>. </w:t>
      </w:r>
      <w:r w:rsidRPr="00E2758D" w:rsidR="00D3796E">
        <w:t> </w:t>
      </w:r>
      <w:r w:rsidRPr="00E2758D" w:rsidR="00BA1BB1">
        <w:t>La Cour rappelle qu</w:t>
      </w:r>
      <w:r w:rsidRPr="00E2758D">
        <w:t>’</w:t>
      </w:r>
      <w:r w:rsidRPr="00E2758D" w:rsidR="00BA1BB1">
        <w:t>elle a déjà eu l</w:t>
      </w:r>
      <w:r w:rsidRPr="00E2758D">
        <w:t>’</w:t>
      </w:r>
      <w:r w:rsidRPr="00E2758D" w:rsidR="00BA1BB1">
        <w:t>occasion de juger que si l</w:t>
      </w:r>
      <w:r w:rsidRPr="00E2758D">
        <w:t>’</w:t>
      </w:r>
      <w:r w:rsidRPr="00E2758D" w:rsidR="00BA1BB1">
        <w:t>absence d</w:t>
      </w:r>
      <w:r w:rsidRPr="00E2758D">
        <w:t>’</w:t>
      </w:r>
      <w:r w:rsidRPr="00E2758D" w:rsidR="00BA1BB1">
        <w:t xml:space="preserve">un mandat de perquisition ou de saisie peut être contrebalancée par un contrôle judiciaire </w:t>
      </w:r>
      <w:r w:rsidRPr="00E2758D" w:rsidR="00BA1BB1">
        <w:rPr>
          <w:i/>
          <w:iCs/>
        </w:rPr>
        <w:t>a posteriori</w:t>
      </w:r>
      <w:r w:rsidRPr="00E2758D" w:rsidR="00BA1BB1">
        <w:t xml:space="preserve"> de la légalité et de la nécessité de telles mesures d</w:t>
      </w:r>
      <w:r w:rsidRPr="00E2758D">
        <w:t>’</w:t>
      </w:r>
      <w:r w:rsidRPr="00E2758D" w:rsidR="00BA1BB1">
        <w:t>instruction (</w:t>
      </w:r>
      <w:proofErr w:type="spellStart"/>
      <w:r w:rsidRPr="00E2758D" w:rsidR="00BA1BB1">
        <w:rPr>
          <w:rFonts w:ascii="Times New Roman" w:hAnsi="Times New Roman" w:cs="Times New Roman"/>
          <w:i/>
          <w:iCs/>
          <w:color w:val="000000"/>
        </w:rPr>
        <w:t>Heino</w:t>
      </w:r>
      <w:proofErr w:type="spellEnd"/>
      <w:r w:rsidRPr="00E2758D" w:rsidR="00BA1BB1">
        <w:rPr>
          <w:rFonts w:ascii="Times New Roman" w:hAnsi="Times New Roman" w:cs="Times New Roman"/>
          <w:color w:val="000000"/>
        </w:rPr>
        <w:t>, précité, § 45</w:t>
      </w:r>
      <w:r w:rsidRPr="00E2758D" w:rsidR="00BA1BB1">
        <w:t xml:space="preserve">), le contrôle en question </w:t>
      </w:r>
      <w:r w:rsidRPr="00E2758D" w:rsidR="00BA1BB1">
        <w:rPr>
          <w:rFonts w:ascii="Times New Roman" w:hAnsi="Times New Roman" w:cs="Times New Roman"/>
          <w:color w:val="000000"/>
        </w:rPr>
        <w:t>doit être efficace (</w:t>
      </w:r>
      <w:r w:rsidRPr="00E2758D" w:rsidR="00BA1BB1">
        <w:rPr>
          <w:rFonts w:ascii="Times New Roman" w:hAnsi="Times New Roman" w:cs="Times New Roman"/>
          <w:i/>
          <w:iCs/>
          <w:color w:val="000000"/>
        </w:rPr>
        <w:t>Smirnov c. Russie</w:t>
      </w:r>
      <w:r w:rsidRPr="00E2758D" w:rsidR="00BA1BB1">
        <w:rPr>
          <w:rFonts w:ascii="Times New Roman" w:hAnsi="Times New Roman" w:cs="Times New Roman"/>
          <w:color w:val="000000"/>
        </w:rPr>
        <w:t>, n</w:t>
      </w:r>
      <w:r w:rsidRPr="00E2758D" w:rsidR="00BA1BB1">
        <w:rPr>
          <w:rFonts w:ascii="Times New Roman" w:hAnsi="Times New Roman" w:cs="Times New Roman"/>
          <w:color w:val="000000"/>
          <w:vertAlign w:val="superscript"/>
        </w:rPr>
        <w:t>o</w:t>
      </w:r>
      <w:r w:rsidRPr="00E2758D" w:rsidR="00BA1BB1">
        <w:rPr>
          <w:rFonts w:ascii="Times New Roman" w:hAnsi="Times New Roman" w:cs="Times New Roman"/>
          <w:color w:val="000000"/>
        </w:rPr>
        <w:t xml:space="preserve"> 71362/01, § 45 </w:t>
      </w:r>
      <w:r w:rsidRPr="00E2758D" w:rsidR="00BA1BB1">
        <w:rPr>
          <w:rFonts w:ascii="Times New Roman" w:hAnsi="Times New Roman" w:cs="Times New Roman"/>
          <w:i/>
          <w:iCs/>
          <w:color w:val="000000"/>
        </w:rPr>
        <w:t>in fine</w:t>
      </w:r>
      <w:r w:rsidRPr="00E2758D" w:rsidR="00BA1BB1">
        <w:rPr>
          <w:rFonts w:ascii="Times New Roman" w:hAnsi="Times New Roman" w:cs="Times New Roman"/>
          <w:color w:val="000000"/>
        </w:rPr>
        <w:t xml:space="preserve">, 7 juin 2007 et </w:t>
      </w:r>
      <w:proofErr w:type="spellStart"/>
      <w:r w:rsidRPr="00E2758D" w:rsidR="00BA1BB1">
        <w:rPr>
          <w:rFonts w:ascii="Times New Roman" w:hAnsi="Times New Roman" w:cs="Times New Roman"/>
          <w:i/>
          <w:iCs/>
          <w:color w:val="000000"/>
        </w:rPr>
        <w:t>Gutsanovi</w:t>
      </w:r>
      <w:proofErr w:type="spellEnd"/>
      <w:r w:rsidRPr="00E2758D" w:rsidR="00BA1BB1">
        <w:rPr>
          <w:rFonts w:ascii="Times New Roman" w:hAnsi="Times New Roman" w:cs="Times New Roman"/>
          <w:color w:val="000000"/>
        </w:rPr>
        <w:t>, précité, § 222). Il ressort de sa jurisprudence à cet égard que la rédaction d</w:t>
      </w:r>
      <w:r w:rsidRPr="00E2758D">
        <w:rPr>
          <w:rFonts w:ascii="Times New Roman" w:hAnsi="Times New Roman" w:cs="Times New Roman"/>
          <w:color w:val="000000"/>
        </w:rPr>
        <w:t>’</w:t>
      </w:r>
      <w:r w:rsidRPr="00E2758D" w:rsidR="00BA1BB1">
        <w:rPr>
          <w:rFonts w:ascii="Times New Roman" w:hAnsi="Times New Roman" w:cs="Times New Roman"/>
          <w:color w:val="000000"/>
        </w:rPr>
        <w:t>une décision de justice à la suite du contrôle ainsi exercé, bien qu</w:t>
      </w:r>
      <w:r w:rsidRPr="00E2758D">
        <w:rPr>
          <w:rFonts w:ascii="Times New Roman" w:hAnsi="Times New Roman" w:cs="Times New Roman"/>
          <w:color w:val="000000"/>
        </w:rPr>
        <w:t>’</w:t>
      </w:r>
      <w:r w:rsidRPr="00E2758D" w:rsidR="00BA1BB1">
        <w:rPr>
          <w:rFonts w:ascii="Times New Roman" w:hAnsi="Times New Roman" w:cs="Times New Roman"/>
          <w:color w:val="000000"/>
        </w:rPr>
        <w:t xml:space="preserve">elle soit nécessaire (voir, </w:t>
      </w:r>
      <w:r w:rsidRPr="00E2758D" w:rsidR="00BA1BB1">
        <w:rPr>
          <w:rFonts w:ascii="Times New Roman" w:hAnsi="Times New Roman" w:cs="Times New Roman"/>
          <w:i/>
          <w:iCs/>
          <w:color w:val="000000"/>
        </w:rPr>
        <w:t>a contrario</w:t>
      </w:r>
      <w:r w:rsidRPr="00E2758D" w:rsidR="00BA1BB1">
        <w:rPr>
          <w:rFonts w:ascii="Times New Roman" w:hAnsi="Times New Roman" w:cs="Times New Roman"/>
          <w:color w:val="000000"/>
        </w:rPr>
        <w:t>,</w:t>
      </w:r>
      <w:r w:rsidRPr="00E2758D" w:rsidR="00BA1BB1">
        <w:rPr>
          <w:rFonts w:ascii="Times New Roman" w:hAnsi="Times New Roman" w:cs="Times New Roman"/>
          <w:i/>
          <w:iCs/>
          <w:color w:val="000000"/>
        </w:rPr>
        <w:t xml:space="preserve"> </w:t>
      </w:r>
      <w:proofErr w:type="spellStart"/>
      <w:r w:rsidRPr="00E2758D" w:rsidR="00BA1BB1">
        <w:rPr>
          <w:rFonts w:ascii="Times New Roman" w:hAnsi="Times New Roman" w:cs="Times New Roman"/>
          <w:i/>
          <w:iCs/>
          <w:color w:val="000000"/>
        </w:rPr>
        <w:t>Gutsanovi</w:t>
      </w:r>
      <w:proofErr w:type="spellEnd"/>
      <w:r w:rsidRPr="00E2758D" w:rsidR="00BA1BB1">
        <w:rPr>
          <w:rFonts w:ascii="Times New Roman" w:hAnsi="Times New Roman" w:cs="Times New Roman"/>
          <w:color w:val="000000"/>
        </w:rPr>
        <w:t>, précité, § 223), n</w:t>
      </w:r>
      <w:r w:rsidRPr="00E2758D">
        <w:rPr>
          <w:rFonts w:ascii="Times New Roman" w:hAnsi="Times New Roman" w:cs="Times New Roman"/>
          <w:color w:val="000000"/>
        </w:rPr>
        <w:t>’</w:t>
      </w:r>
      <w:r w:rsidRPr="00E2758D" w:rsidR="00BA1BB1">
        <w:rPr>
          <w:rFonts w:ascii="Times New Roman" w:hAnsi="Times New Roman" w:cs="Times New Roman"/>
          <w:color w:val="000000"/>
        </w:rPr>
        <w:t>est pas suffisante, et qu</w:t>
      </w:r>
      <w:r w:rsidRPr="00E2758D">
        <w:rPr>
          <w:rFonts w:ascii="Times New Roman" w:hAnsi="Times New Roman" w:cs="Times New Roman"/>
          <w:color w:val="000000"/>
        </w:rPr>
        <w:t>’</w:t>
      </w:r>
      <w:r w:rsidRPr="00E2758D" w:rsidR="00BA1BB1">
        <w:rPr>
          <w:rFonts w:ascii="Times New Roman" w:hAnsi="Times New Roman" w:cs="Times New Roman"/>
          <w:color w:val="000000"/>
        </w:rPr>
        <w:t>u</w:t>
      </w:r>
      <w:r w:rsidRPr="00E2758D" w:rsidR="00BA1BB1">
        <w:t>ne telle décision doit également refléter un examen effectif de l</w:t>
      </w:r>
      <w:r w:rsidRPr="00E2758D">
        <w:t>’</w:t>
      </w:r>
      <w:r w:rsidRPr="00E2758D" w:rsidR="00BA1BB1">
        <w:t>urgence de l</w:t>
      </w:r>
      <w:r w:rsidRPr="00E2758D">
        <w:t>’</w:t>
      </w:r>
      <w:r w:rsidRPr="00E2758D" w:rsidR="00BA1BB1">
        <w:t xml:space="preserve">affaire par la juridiction et présenter des arguments à cet effet (voir, </w:t>
      </w:r>
      <w:r w:rsidRPr="00E2758D" w:rsidR="00BA1BB1">
        <w:rPr>
          <w:i/>
          <w:iCs/>
        </w:rPr>
        <w:t>mutatis mutandis</w:t>
      </w:r>
      <w:r w:rsidRPr="00E2758D" w:rsidR="00BA1BB1">
        <w:t xml:space="preserve">, </w:t>
      </w:r>
      <w:proofErr w:type="spellStart"/>
      <w:r w:rsidRPr="00E2758D" w:rsidR="00BA1BB1">
        <w:rPr>
          <w:i/>
          <w:iCs/>
        </w:rPr>
        <w:t>Govedarski</w:t>
      </w:r>
      <w:proofErr w:type="spellEnd"/>
      <w:r w:rsidRPr="00E2758D" w:rsidR="00BA1BB1">
        <w:t xml:space="preserve">, précité, § 85 et </w:t>
      </w:r>
      <w:proofErr w:type="spellStart"/>
      <w:r w:rsidRPr="00E2758D" w:rsidR="00BA1BB1">
        <w:rPr>
          <w:i/>
          <w:iCs/>
        </w:rPr>
        <w:t>Stoyanov</w:t>
      </w:r>
      <w:proofErr w:type="spellEnd"/>
      <w:r w:rsidRPr="00E2758D" w:rsidR="00BA1BB1">
        <w:t>, précité, § 130).</w:t>
      </w:r>
    </w:p>
    <w:p w:rsidRPr="00E2758D" w:rsidR="00BA1BB1" w:rsidP="00E2758D" w:rsidRDefault="00E2758D" w14:paraId="400498DD" w14:textId="70C8D950">
      <w:pPr>
        <w:pStyle w:val="JuPara"/>
      </w:pPr>
      <w:fldSimple w:instr=" SEQ level0 \*arabic \* MERGEFORMAT ">
        <w:r w:rsidRPr="00E2758D">
          <w:rPr>
            <w:noProof/>
          </w:rPr>
          <w:t>18</w:t>
        </w:r>
      </w:fldSimple>
      <w:r w:rsidRPr="00E2758D" w:rsidR="00BA1BB1">
        <w:t>.  En l</w:t>
      </w:r>
      <w:r w:rsidRPr="00E2758D">
        <w:t>’</w:t>
      </w:r>
      <w:r w:rsidRPr="00E2758D" w:rsidR="00BA1BB1">
        <w:t>espèce, la Cour observe que le tribunal de district a approuvé la perquisition litigieuse par une décision du 19 novembre 2012. Elle estime toutefois, pour les raisons ci-après exposées, que la décision en question n</w:t>
      </w:r>
      <w:r w:rsidRPr="00E2758D">
        <w:t>’</w:t>
      </w:r>
      <w:r w:rsidRPr="00E2758D" w:rsidR="00BA1BB1">
        <w:t>a pas eu pour effet de contrebalancer l</w:t>
      </w:r>
      <w:r w:rsidRPr="00E2758D">
        <w:t>’</w:t>
      </w:r>
      <w:r w:rsidRPr="00E2758D" w:rsidR="00BA1BB1">
        <w:t>absence d</w:t>
      </w:r>
      <w:r w:rsidRPr="00E2758D">
        <w:t>’</w:t>
      </w:r>
      <w:r w:rsidRPr="00E2758D" w:rsidR="00BA1BB1">
        <w:t>un mandat judiciaire.</w:t>
      </w:r>
    </w:p>
    <w:p w:rsidRPr="00E2758D" w:rsidR="00BA1BB1" w:rsidP="00E2758D" w:rsidRDefault="00E2758D" w14:paraId="0B693992" w14:textId="03EBF8BC">
      <w:pPr>
        <w:pStyle w:val="JuPara"/>
      </w:pPr>
      <w:fldSimple w:instr=" SEQ level0 \*arabic \* MERGEFORMAT ">
        <w:r w:rsidRPr="00E2758D">
          <w:rPr>
            <w:noProof/>
          </w:rPr>
          <w:t>19</w:t>
        </w:r>
      </w:fldSimple>
      <w:r w:rsidRPr="00E2758D" w:rsidR="00BA1BB1">
        <w:t>.  La Cour observe ainsi que dans sa décision d</w:t>
      </w:r>
      <w:r w:rsidRPr="00E2758D">
        <w:t>’</w:t>
      </w:r>
      <w:r w:rsidRPr="00E2758D" w:rsidR="00BA1BB1">
        <w:t>approbation de la perquisition, le tribunal de district s</w:t>
      </w:r>
      <w:r w:rsidRPr="00E2758D">
        <w:t>’</w:t>
      </w:r>
      <w:r w:rsidRPr="00E2758D" w:rsidR="00BA1BB1">
        <w:t>est simplement borné à citer les dispositions pertinentes de la loi et à déclarer que, dès lors qu</w:t>
      </w:r>
      <w:r w:rsidRPr="00E2758D">
        <w:t>’</w:t>
      </w:r>
      <w:r w:rsidRPr="00E2758D" w:rsidR="00BA1BB1">
        <w:t>elle avait eu pour but de vérifier le bien-fondé de soupçons de commission d</w:t>
      </w:r>
      <w:r w:rsidRPr="00E2758D">
        <w:t>’</w:t>
      </w:r>
      <w:r w:rsidRPr="00E2758D" w:rsidR="00BA1BB1">
        <w:t>une infraction pénale, la mesure en question avait été régulière. Elle note qu</w:t>
      </w:r>
      <w:r w:rsidRPr="00E2758D">
        <w:t>’</w:t>
      </w:r>
      <w:r w:rsidRPr="00E2758D" w:rsidR="00BA1BB1">
        <w:t>il ne ressort pas des motifs de ladite décision que le tribunal de district se soit posé la question de savoir si la perquisition était justifiée par l</w:t>
      </w:r>
      <w:r w:rsidRPr="00E2758D">
        <w:t>’</w:t>
      </w:r>
      <w:r w:rsidRPr="00E2758D" w:rsidR="00BA1BB1">
        <w:t>urgence ni qu</w:t>
      </w:r>
      <w:r w:rsidRPr="00E2758D">
        <w:t>’</w:t>
      </w:r>
      <w:r w:rsidRPr="00E2758D" w:rsidR="00BA1BB1">
        <w:t>il ait procédé à une quelconque analyse de l</w:t>
      </w:r>
      <w:r w:rsidRPr="00E2758D">
        <w:t>’</w:t>
      </w:r>
      <w:r w:rsidRPr="00E2758D" w:rsidR="00BA1BB1">
        <w:t>affaire sous cet angle-là. Or la Cour considère qu</w:t>
      </w:r>
      <w:r w:rsidRPr="00E2758D">
        <w:t>’</w:t>
      </w:r>
      <w:r w:rsidRPr="00E2758D" w:rsidR="00BA1BB1">
        <w:t>en l</w:t>
      </w:r>
      <w:r w:rsidRPr="00E2758D">
        <w:t>’</w:t>
      </w:r>
      <w:r w:rsidRPr="00E2758D" w:rsidR="00BA1BB1">
        <w:t>absence de toute déclaration à ce sujet de la part du tribunal de district, il n</w:t>
      </w:r>
      <w:r w:rsidRPr="00E2758D">
        <w:t>’</w:t>
      </w:r>
      <w:r w:rsidRPr="00E2758D" w:rsidR="00BA1BB1">
        <w:t>est pas démontré que celui-ci ait exercé un contrôle effectif de la légalité et de la nécessité de la mesure contestée.</w:t>
      </w:r>
    </w:p>
    <w:p w:rsidRPr="00E2758D" w:rsidR="00BA1BB1" w:rsidP="00E2758D" w:rsidRDefault="00E2758D" w14:paraId="5ED23D00" w14:textId="194913E2">
      <w:pPr>
        <w:pStyle w:val="JuPara"/>
      </w:pPr>
      <w:fldSimple w:instr=" SEQ level0 \*arabic \* MERGEFORMAT ">
        <w:r w:rsidRPr="00E2758D">
          <w:rPr>
            <w:noProof/>
          </w:rPr>
          <w:t>20</w:t>
        </w:r>
      </w:fldSimple>
      <w:r w:rsidRPr="00E2758D" w:rsidR="00BA1BB1">
        <w:t>.  La Cour estime qu</w:t>
      </w:r>
      <w:r w:rsidRPr="00E2758D">
        <w:t>’</w:t>
      </w:r>
      <w:r w:rsidRPr="00E2758D" w:rsidR="00BA1BB1">
        <w:t>un tel contrôle était pourtant en l</w:t>
      </w:r>
      <w:r w:rsidRPr="00E2758D">
        <w:t>’</w:t>
      </w:r>
      <w:r w:rsidRPr="00E2758D" w:rsidR="00BA1BB1">
        <w:t>espèce</w:t>
      </w:r>
      <w:r w:rsidRPr="00E2758D" w:rsidDel="009C1A96" w:rsidR="00BA1BB1">
        <w:t xml:space="preserve"> </w:t>
      </w:r>
      <w:r w:rsidRPr="00E2758D" w:rsidR="00BA1BB1">
        <w:t>d</w:t>
      </w:r>
      <w:r w:rsidRPr="00E2758D">
        <w:t>’</w:t>
      </w:r>
      <w:r w:rsidRPr="00E2758D" w:rsidR="00BA1BB1">
        <w:t>autant plus nécessaire que la gravité de l</w:t>
      </w:r>
      <w:r w:rsidRPr="00E2758D">
        <w:t>’</w:t>
      </w:r>
      <w:r w:rsidRPr="00E2758D" w:rsidR="00BA1BB1">
        <w:t>infraction reprochée au requérant était faible et que l</w:t>
      </w:r>
      <w:r w:rsidRPr="00E2758D">
        <w:t>’</w:t>
      </w:r>
      <w:r w:rsidRPr="00E2758D" w:rsidR="00BA1BB1">
        <w:t>intéressé n</w:t>
      </w:r>
      <w:r w:rsidRPr="00E2758D">
        <w:t>’</w:t>
      </w:r>
      <w:r w:rsidRPr="00E2758D" w:rsidR="00BA1BB1">
        <w:t>était pas présent sur les lieux de la perquisition. Elle observe par ailleurs qu</w:t>
      </w:r>
      <w:r w:rsidRPr="00E2758D">
        <w:t>’</w:t>
      </w:r>
      <w:r w:rsidRPr="00E2758D" w:rsidR="00BA1BB1">
        <w:t>il n</w:t>
      </w:r>
      <w:r w:rsidRPr="00E2758D">
        <w:t>’</w:t>
      </w:r>
      <w:r w:rsidRPr="00E2758D" w:rsidR="00BA1BB1">
        <w:t>apparaît pas que les autorités en charge de l</w:t>
      </w:r>
      <w:r w:rsidRPr="00E2758D">
        <w:t>’</w:t>
      </w:r>
      <w:r w:rsidRPr="00E2758D" w:rsidR="00BA1BB1">
        <w:t>enquête se soient interrogées sur le point de savoir si le requérant avait pu, en tant que partie à la procédure en annulation de domiciliation mentionnée au paragraphe </w:t>
      </w:r>
      <w:r w:rsidRPr="00E2758D" w:rsidR="00BA1BB1">
        <w:fldChar w:fldCharType="begin"/>
      </w:r>
      <w:r w:rsidRPr="00E2758D" w:rsidR="00BA1BB1">
        <w:instrText xml:space="preserve"> REF paragraph00004 \h  \* CharFormat </w:instrText>
      </w:r>
      <w:r w:rsidRPr="00E2758D" w:rsidR="00BA1BB1">
        <w:fldChar w:fldCharType="separate"/>
      </w:r>
      <w:r w:rsidRPr="00E2758D">
        <w:t>4</w:t>
      </w:r>
      <w:r w:rsidRPr="00E2758D" w:rsidR="00BA1BB1">
        <w:fldChar w:fldCharType="end"/>
      </w:r>
      <w:r w:rsidRPr="00E2758D" w:rsidR="00BA1BB1">
        <w:t xml:space="preserve"> ci-dessus, se procurer régulièrement l</w:t>
      </w:r>
      <w:r w:rsidRPr="00E2758D">
        <w:t>’</w:t>
      </w:r>
      <w:r w:rsidRPr="00E2758D" w:rsidR="00BA1BB1">
        <w:t>acte notarié qu</w:t>
      </w:r>
      <w:r w:rsidRPr="00E2758D">
        <w:t>’</w:t>
      </w:r>
      <w:r w:rsidRPr="00E2758D" w:rsidR="00BA1BB1">
        <w:t>il était soupçonné d</w:t>
      </w:r>
      <w:r w:rsidRPr="00E2758D">
        <w:t>’</w:t>
      </w:r>
      <w:r w:rsidRPr="00E2758D" w:rsidR="00BA1BB1">
        <w:t>avoir dérobé, étant donné que ce document avait été versé au dossier de ladite procédure.</w:t>
      </w:r>
    </w:p>
    <w:p w:rsidRPr="00E2758D" w:rsidR="00BA1BB1" w:rsidP="00E2758D" w:rsidRDefault="00E2758D" w14:paraId="427B1439" w14:textId="24098BE2">
      <w:pPr>
        <w:pStyle w:val="JuPara"/>
      </w:pPr>
      <w:fldSimple w:instr=" SEQ level0 \*arabic \* MERGEFORMAT ">
        <w:r w:rsidRPr="00E2758D">
          <w:rPr>
            <w:noProof/>
          </w:rPr>
          <w:t>21</w:t>
        </w:r>
      </w:fldSimple>
      <w:r w:rsidRPr="00E2758D" w:rsidR="00BA1BB1">
        <w:t>.  La Cour considère qu</w:t>
      </w:r>
      <w:r w:rsidRPr="00E2758D">
        <w:t>’</w:t>
      </w:r>
      <w:r w:rsidRPr="00E2758D" w:rsidR="00BA1BB1">
        <w:t>en l</w:t>
      </w:r>
      <w:r w:rsidRPr="00E2758D">
        <w:t>’</w:t>
      </w:r>
      <w:r w:rsidRPr="00E2758D" w:rsidR="00BA1BB1">
        <w:t>absence d</w:t>
      </w:r>
      <w:r w:rsidRPr="00E2758D">
        <w:t>’</w:t>
      </w:r>
      <w:r w:rsidRPr="00E2758D" w:rsidR="00BA1BB1">
        <w:t>une autorisation préalable délivrée par un juge et d</w:t>
      </w:r>
      <w:r w:rsidRPr="00E2758D">
        <w:t>’</w:t>
      </w:r>
      <w:r w:rsidRPr="00E2758D" w:rsidR="00BA1BB1">
        <w:t xml:space="preserve">un contrôle effectif </w:t>
      </w:r>
      <w:r w:rsidRPr="00E2758D" w:rsidR="00BA1BB1">
        <w:rPr>
          <w:i/>
          <w:iCs/>
        </w:rPr>
        <w:t>a posteriori</w:t>
      </w:r>
      <w:r w:rsidRPr="00E2758D" w:rsidR="00BA1BB1">
        <w:t xml:space="preserve"> de la perquisition, le requérant n</w:t>
      </w:r>
      <w:r w:rsidRPr="00E2758D">
        <w:t>’</w:t>
      </w:r>
      <w:r w:rsidRPr="00E2758D" w:rsidR="00BA1BB1">
        <w:t>a pas bénéficié de garanties procédurales suffisantes pour prévenir tout risque d</w:t>
      </w:r>
      <w:r w:rsidRPr="00E2758D">
        <w:t>’</w:t>
      </w:r>
      <w:r w:rsidRPr="00E2758D" w:rsidR="00BA1BB1">
        <w:t>abus de pouvoir de la part des autorités en charge de l</w:t>
      </w:r>
      <w:r w:rsidRPr="00E2758D">
        <w:t>’</w:t>
      </w:r>
      <w:r w:rsidRPr="00E2758D" w:rsidR="00BA1BB1">
        <w:t>enquête.</w:t>
      </w:r>
    </w:p>
    <w:p w:rsidRPr="00E2758D" w:rsidR="00BA1BB1" w:rsidP="00E2758D" w:rsidRDefault="00E2758D" w14:paraId="06C3A5C7" w14:textId="551204C8">
      <w:pPr>
        <w:pStyle w:val="JuPara"/>
      </w:pPr>
      <w:fldSimple w:instr=" SEQ level0 \*arabic \* MERGEFORMAT ">
        <w:r w:rsidRPr="00E2758D">
          <w:rPr>
            <w:noProof/>
          </w:rPr>
          <w:t>22</w:t>
        </w:r>
      </w:fldSimple>
      <w:r w:rsidRPr="00E2758D" w:rsidR="00BA1BB1">
        <w:t>.  Cet élément suffit à la Cour pour conclure que même si la mesure d</w:t>
      </w:r>
      <w:r w:rsidRPr="00E2758D">
        <w:t>’</w:t>
      </w:r>
      <w:r w:rsidRPr="00E2758D" w:rsidR="00BA1BB1">
        <w:t>instruction contestée avait une base légale en droit interne, la législation nationale n</w:t>
      </w:r>
      <w:r w:rsidRPr="00E2758D">
        <w:t>’</w:t>
      </w:r>
      <w:r w:rsidRPr="00E2758D" w:rsidR="00BA1BB1">
        <w:t>a pas offert au requérant, dans les circonstances de l</w:t>
      </w:r>
      <w:r w:rsidRPr="00E2758D">
        <w:t>’</w:t>
      </w:r>
      <w:r w:rsidRPr="00E2758D" w:rsidR="00BA1BB1">
        <w:t>espèce, avant la perquisition litigieuse ou postérieurement à elle, suffisamment de garanties contre l</w:t>
      </w:r>
      <w:r w:rsidRPr="00E2758D">
        <w:t>’</w:t>
      </w:r>
      <w:r w:rsidRPr="00E2758D" w:rsidR="00BA1BB1">
        <w:t>arbitraire. Le</w:t>
      </w:r>
      <w:r w:rsidRPr="00E2758D" w:rsidR="00E00F55">
        <w:t xml:space="preserve"> </w:t>
      </w:r>
      <w:r w:rsidRPr="00E2758D" w:rsidR="00BA1BB1">
        <w:t xml:space="preserve">requérant a ainsi été privé à cet égard de la protection qui lui était due en vertu du principe de la prééminence du droit dans une société démocratique (voir, </w:t>
      </w:r>
      <w:r w:rsidRPr="00E2758D" w:rsidR="00BA1BB1">
        <w:rPr>
          <w:i/>
          <w:iCs/>
        </w:rPr>
        <w:t>mutatis mutandis</w:t>
      </w:r>
      <w:r w:rsidRPr="00E2758D" w:rsidR="00BA1BB1">
        <w:t xml:space="preserve">, </w:t>
      </w:r>
      <w:proofErr w:type="spellStart"/>
      <w:r w:rsidRPr="00E2758D" w:rsidR="00BA1BB1">
        <w:rPr>
          <w:i/>
        </w:rPr>
        <w:t>Govedarski</w:t>
      </w:r>
      <w:proofErr w:type="spellEnd"/>
      <w:r w:rsidRPr="00E2758D" w:rsidR="00BA1BB1">
        <w:rPr>
          <w:iCs/>
        </w:rPr>
        <w:t>,</w:t>
      </w:r>
      <w:r w:rsidRPr="00E2758D" w:rsidR="00BA1BB1">
        <w:rPr>
          <w:i/>
        </w:rPr>
        <w:t xml:space="preserve"> </w:t>
      </w:r>
      <w:r w:rsidRPr="00E2758D" w:rsidR="00BA1BB1">
        <w:rPr>
          <w:iCs/>
        </w:rPr>
        <w:t>précité</w:t>
      </w:r>
      <w:r w:rsidRPr="00E2758D" w:rsidR="00BA1BB1">
        <w:rPr>
          <w:snapToGrid w:val="0"/>
        </w:rPr>
        <w:t xml:space="preserve">, § 88, </w:t>
      </w:r>
      <w:proofErr w:type="spellStart"/>
      <w:r w:rsidRPr="00E2758D" w:rsidR="00BA1BB1">
        <w:rPr>
          <w:i/>
        </w:rPr>
        <w:t>Stoyanov</w:t>
      </w:r>
      <w:proofErr w:type="spellEnd"/>
      <w:r w:rsidRPr="00E2758D" w:rsidR="00BA1BB1">
        <w:rPr>
          <w:i/>
        </w:rPr>
        <w:t xml:space="preserve"> et autres</w:t>
      </w:r>
      <w:r w:rsidRPr="00E2758D" w:rsidR="00BA1BB1">
        <w:t xml:space="preserve">, </w:t>
      </w:r>
      <w:r w:rsidRPr="00E2758D" w:rsidR="00BA1BB1">
        <w:rPr>
          <w:iCs/>
        </w:rPr>
        <w:t>précité</w:t>
      </w:r>
      <w:r w:rsidRPr="00E2758D" w:rsidR="00BA1BB1">
        <w:rPr>
          <w:snapToGrid w:val="0"/>
        </w:rPr>
        <w:t xml:space="preserve">, § 133, et </w:t>
      </w:r>
      <w:proofErr w:type="spellStart"/>
      <w:r w:rsidRPr="00E2758D" w:rsidR="00BA1BB1">
        <w:rPr>
          <w:i/>
          <w:iCs/>
        </w:rPr>
        <w:t>Hristova</w:t>
      </w:r>
      <w:proofErr w:type="spellEnd"/>
      <w:r w:rsidRPr="00E2758D" w:rsidR="00BA1BB1">
        <w:rPr>
          <w:i/>
          <w:iCs/>
        </w:rPr>
        <w:t xml:space="preserve"> et autres c. Bulgarie, </w:t>
      </w:r>
      <w:r w:rsidRPr="00E2758D" w:rsidR="00BA1BB1">
        <w:t>n</w:t>
      </w:r>
      <w:r w:rsidRPr="00E2758D" w:rsidR="00BA1BB1">
        <w:rPr>
          <w:vertAlign w:val="superscript"/>
        </w:rPr>
        <w:t>o</w:t>
      </w:r>
      <w:r w:rsidRPr="00E2758D" w:rsidR="00BA1BB1">
        <w:t> 48411/15, § 9, 14</w:t>
      </w:r>
      <w:r w:rsidRPr="00E2758D" w:rsidR="00E00F55">
        <w:t xml:space="preserve"> </w:t>
      </w:r>
      <w:r w:rsidRPr="00E2758D" w:rsidR="00BA1BB1">
        <w:t>juin 2022). Dans ces circonstances, la Cour considère que l</w:t>
      </w:r>
      <w:r w:rsidRPr="00E2758D">
        <w:t>’</w:t>
      </w:r>
      <w:r w:rsidRPr="00E2758D" w:rsidR="00BA1BB1">
        <w:t>ingérence dans l</w:t>
      </w:r>
      <w:r w:rsidRPr="00E2758D">
        <w:t>’</w:t>
      </w:r>
      <w:r w:rsidRPr="00E2758D" w:rsidR="00BA1BB1">
        <w:t>exercice par l</w:t>
      </w:r>
      <w:r w:rsidRPr="00E2758D">
        <w:t>’</w:t>
      </w:r>
      <w:r w:rsidRPr="00E2758D" w:rsidR="00BA1BB1">
        <w:t>intéressé de son droit au respect de son domicile n</w:t>
      </w:r>
      <w:r w:rsidRPr="00E2758D">
        <w:t>’</w:t>
      </w:r>
      <w:r w:rsidRPr="00E2758D" w:rsidR="00BA1BB1">
        <w:t>était pas « prévue par la loi » au sens de l</w:t>
      </w:r>
      <w:r w:rsidRPr="00E2758D">
        <w:t>’</w:t>
      </w:r>
      <w:r w:rsidRPr="00E2758D" w:rsidR="00BA1BB1">
        <w:t>article</w:t>
      </w:r>
      <w:r w:rsidRPr="00E2758D" w:rsidR="00E00F55">
        <w:t xml:space="preserve"> </w:t>
      </w:r>
      <w:r w:rsidRPr="00E2758D" w:rsidR="00BA1BB1">
        <w:t>8 §</w:t>
      </w:r>
      <w:r w:rsidRPr="00E2758D" w:rsidR="00E00F55">
        <w:t xml:space="preserve"> </w:t>
      </w:r>
      <w:r w:rsidRPr="00E2758D" w:rsidR="00BA1BB1">
        <w:t>2 de la Convention.</w:t>
      </w:r>
    </w:p>
    <w:p w:rsidRPr="00E2758D" w:rsidR="00BA1BB1" w:rsidP="00E2758D" w:rsidRDefault="00E2758D" w14:paraId="1ABB7952" w14:textId="6D123858">
      <w:pPr>
        <w:pStyle w:val="JuPara"/>
      </w:pPr>
      <w:fldSimple w:instr=" SEQ level0 \*arabic \* MERGEFORMAT ">
        <w:r w:rsidRPr="00E2758D">
          <w:rPr>
            <w:noProof/>
          </w:rPr>
          <w:t>23</w:t>
        </w:r>
      </w:fldSimple>
      <w:r w:rsidRPr="00E2758D" w:rsidR="00BA1BB1">
        <w:t>.  Partant, il y a eu violation de l</w:t>
      </w:r>
      <w:r w:rsidRPr="00E2758D">
        <w:t>’</w:t>
      </w:r>
      <w:r w:rsidRPr="00E2758D" w:rsidR="00BA1BB1">
        <w:t>article 8 de la Convention.</w:t>
      </w:r>
    </w:p>
    <w:p w:rsidRPr="00E2758D" w:rsidR="00BA1BB1" w:rsidP="00E2758D" w:rsidRDefault="00BA1BB1" w14:paraId="2529F0D8" w14:textId="1887471E">
      <w:pPr>
        <w:pStyle w:val="JuHHead"/>
      </w:pPr>
      <w:r w:rsidRPr="00E2758D">
        <w:t>APPLICATION DE L</w:t>
      </w:r>
      <w:r w:rsidRPr="00E2758D" w:rsidR="00E2758D">
        <w:t>’</w:t>
      </w:r>
      <w:r w:rsidRPr="00E2758D">
        <w:t>ARTICLE 41 DE LA CONVENTION</w:t>
      </w:r>
    </w:p>
    <w:p w:rsidRPr="00E2758D" w:rsidR="00BA1BB1" w:rsidP="00E2758D" w:rsidRDefault="00BA1BB1" w14:paraId="55094ED5" w14:textId="1AC13C70">
      <w:pPr>
        <w:pStyle w:val="JuPara"/>
      </w:pPr>
      <w:r w:rsidRPr="00E2758D">
        <w:fldChar w:fldCharType="begin"/>
      </w:r>
      <w:r w:rsidRPr="00E2758D">
        <w:instrText xml:space="preserve"> SEQ level0 \*arabic </w:instrText>
      </w:r>
      <w:r w:rsidRPr="00E2758D">
        <w:fldChar w:fldCharType="separate"/>
      </w:r>
      <w:r w:rsidRPr="00E2758D" w:rsidR="00E2758D">
        <w:rPr>
          <w:noProof/>
        </w:rPr>
        <w:t>24</w:t>
      </w:r>
      <w:r w:rsidRPr="00E2758D">
        <w:fldChar w:fldCharType="end"/>
      </w:r>
      <w:r w:rsidRPr="00E2758D">
        <w:t>.  Le requérant n</w:t>
      </w:r>
      <w:r w:rsidRPr="00E2758D" w:rsidR="00E2758D">
        <w:t>’</w:t>
      </w:r>
      <w:r w:rsidRPr="00E2758D">
        <w:t>a pas présenté de demande au titre de la satisfaction équitable selon les modalités prévues par l</w:t>
      </w:r>
      <w:r w:rsidRPr="00E2758D" w:rsidR="00E2758D">
        <w:t>’</w:t>
      </w:r>
      <w:r w:rsidRPr="00E2758D">
        <w:t>article 60 du règlement de la Cour. En conséquence, la Cour estime qu</w:t>
      </w:r>
      <w:r w:rsidRPr="00E2758D" w:rsidR="00E2758D">
        <w:t>’</w:t>
      </w:r>
      <w:r w:rsidRPr="00E2758D">
        <w:t>il n</w:t>
      </w:r>
      <w:r w:rsidRPr="00E2758D" w:rsidR="00E2758D">
        <w:t>’</w:t>
      </w:r>
      <w:r w:rsidRPr="00E2758D">
        <w:t>y a pas lieu de lui octroyer de somme à ce titre.</w:t>
      </w:r>
    </w:p>
    <w:p w:rsidRPr="00E2758D" w:rsidR="00BA1BB1" w:rsidP="00E2758D" w:rsidRDefault="00BA1BB1" w14:paraId="61221C57" w14:textId="1AF99DC9">
      <w:pPr>
        <w:pStyle w:val="JuHHead"/>
      </w:pPr>
      <w:r w:rsidRPr="00E2758D">
        <w:t>PAR CES MOTIFS, LA COUR, À L</w:t>
      </w:r>
      <w:r w:rsidRPr="00E2758D" w:rsidR="00E2758D">
        <w:t>’</w:t>
      </w:r>
      <w:r w:rsidRPr="00E2758D">
        <w:t>UNANIMITÉ,</w:t>
      </w:r>
    </w:p>
    <w:p w:rsidRPr="00E2758D" w:rsidR="00BA1BB1" w:rsidP="00E2758D" w:rsidRDefault="00BA1BB1" w14:paraId="74A62313" w14:textId="20B2D841">
      <w:pPr>
        <w:pStyle w:val="JuList"/>
      </w:pPr>
      <w:r w:rsidRPr="00E2758D">
        <w:rPr>
          <w:i/>
        </w:rPr>
        <w:t>Déclare</w:t>
      </w:r>
      <w:r w:rsidRPr="00E2758D">
        <w:t xml:space="preserve"> la requête recevable pour autant qu</w:t>
      </w:r>
      <w:r w:rsidRPr="00E2758D" w:rsidR="00E2758D">
        <w:t>’</w:t>
      </w:r>
      <w:r w:rsidRPr="00E2758D">
        <w:t>elle concerne le grief fondé sur l</w:t>
      </w:r>
      <w:r w:rsidRPr="00E2758D" w:rsidR="00E2758D">
        <w:t>’</w:t>
      </w:r>
      <w:r w:rsidRPr="00E2758D">
        <w:t>article 8 de la Convention relativement à la perquisition effectuée au domicile du requérant et irrecevable pour le surplus ;</w:t>
      </w:r>
    </w:p>
    <w:p w:rsidRPr="00E2758D" w:rsidR="00D3796E" w:rsidP="00E2758D" w:rsidRDefault="00BA1BB1" w14:paraId="15B1E964" w14:textId="211B1493">
      <w:pPr>
        <w:pStyle w:val="JuList"/>
      </w:pPr>
      <w:r w:rsidRPr="00E2758D">
        <w:rPr>
          <w:i/>
        </w:rPr>
        <w:t>Dit</w:t>
      </w:r>
      <w:r w:rsidRPr="00E2758D">
        <w:t xml:space="preserve"> qu</w:t>
      </w:r>
      <w:r w:rsidRPr="00E2758D" w:rsidR="00E2758D">
        <w:t>’</w:t>
      </w:r>
      <w:r w:rsidRPr="00E2758D">
        <w:t>il y a eu violation de l</w:t>
      </w:r>
      <w:r w:rsidRPr="00E2758D" w:rsidR="00E2758D">
        <w:t>’</w:t>
      </w:r>
      <w:r w:rsidRPr="00E2758D">
        <w:t>article 8 de la Convention</w:t>
      </w:r>
      <w:r w:rsidRPr="00E2758D" w:rsidR="002416AF">
        <w:t>.</w:t>
      </w:r>
    </w:p>
    <w:p w:rsidRPr="00E2758D" w:rsidR="00893F30" w:rsidP="00E2758D" w:rsidRDefault="00893F30" w14:paraId="21BC36BD" w14:textId="06CDAB25">
      <w:pPr>
        <w:pStyle w:val="JuParaLast"/>
      </w:pPr>
      <w:r w:rsidRPr="00E2758D">
        <w:t xml:space="preserve">Fait en français, puis communiqué par écrit le </w:t>
      </w:r>
      <w:r w:rsidRPr="00E2758D" w:rsidR="00BA1BB1">
        <w:t>8 juin 2023</w:t>
      </w:r>
      <w:r w:rsidRPr="00E2758D">
        <w:t>, en application de l</w:t>
      </w:r>
      <w:r w:rsidRPr="00E2758D" w:rsidR="00E2758D">
        <w:t>’</w:t>
      </w:r>
      <w:r w:rsidRPr="00E2758D">
        <w:t>article 77 §§ 2 et 3 du règlement.</w:t>
      </w:r>
    </w:p>
    <w:p w:rsidRPr="00E2758D" w:rsidR="00F94531" w:rsidP="00E2758D" w:rsidRDefault="00510D77" w14:paraId="4C8CADF3" w14:textId="20FCAE91">
      <w:pPr>
        <w:pStyle w:val="JuSigned"/>
        <w:keepNext/>
        <w:keepLines/>
        <w:rPr>
          <w:color w:val="F8F8F8" w:themeColor="background2"/>
        </w:rPr>
      </w:pPr>
      <w:r w:rsidRPr="00E2758D">
        <w:rPr>
          <w:color w:val="F8F8F8" w:themeColor="background2"/>
        </w:rPr>
        <w:tab/>
      </w:r>
    </w:p>
    <w:p w:rsidRPr="00E2758D" w:rsidR="00876F03" w:rsidP="00E2758D" w:rsidRDefault="00086E70" w14:paraId="6FF69ED8" w14:textId="3FE6A524">
      <w:pPr>
        <w:pStyle w:val="JuSigned"/>
      </w:pPr>
      <w:r w:rsidRPr="00E2758D">
        <w:tab/>
      </w:r>
      <w:r w:rsidRPr="00E2758D" w:rsidR="00DD7998">
        <w:rPr>
          <w:noProof/>
        </w:rPr>
        <w:t>Attila Teplán</w:t>
      </w:r>
      <w:r w:rsidRPr="00E2758D" w:rsidR="004344E6">
        <w:tab/>
      </w:r>
      <w:r w:rsidRPr="00E2758D" w:rsidR="00BA1BB1">
        <w:rPr>
          <w:noProof/>
        </w:rPr>
        <w:t>Lətif Hüseynov</w:t>
      </w:r>
      <w:r w:rsidRPr="00E2758D" w:rsidR="004344E6">
        <w:br/>
      </w:r>
      <w:r w:rsidRPr="00E2758D" w:rsidR="004344E6">
        <w:tab/>
      </w:r>
      <w:r w:rsidRPr="00E2758D" w:rsidR="00DD7998">
        <w:rPr>
          <w:noProof/>
        </w:rPr>
        <w:t>Greffier adjoint</w:t>
      </w:r>
      <w:r w:rsidRPr="00E2758D" w:rsidR="001503B6">
        <w:rPr>
          <w:noProof/>
        </w:rPr>
        <w:t xml:space="preserve"> f.f.</w:t>
      </w:r>
      <w:r w:rsidRPr="00E2758D" w:rsidR="009E0E2A">
        <w:rPr>
          <w:iCs/>
        </w:rPr>
        <w:tab/>
      </w:r>
      <w:r w:rsidRPr="00E2758D" w:rsidR="00BA1BB1">
        <w:rPr>
          <w:noProof/>
        </w:rPr>
        <w:t>Président</w:t>
      </w:r>
    </w:p>
    <w:sectPr w:rsidRPr="00E2758D" w:rsidR="00876F03">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01D815" w14:textId="77777777" w:rsidR="00BA1BB1" w:rsidRPr="00BA1BB1" w:rsidRDefault="00BA1BB1" w:rsidP="00516B59">
      <w:r w:rsidRPr="00BA1BB1">
        <w:separator/>
      </w:r>
    </w:p>
  </w:endnote>
  <w:endnote w:type="continuationSeparator" w:id="0">
    <w:p w14:paraId="17BC2A69" w14:textId="77777777" w:rsidR="00BA1BB1" w:rsidRPr="00BA1BB1" w:rsidRDefault="00BA1BB1" w:rsidP="00516B59">
      <w:r w:rsidRPr="00BA1BB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F6B8ED" w14:textId="7C0E358F" w:rsidR="00954AD6" w:rsidRPr="00BA1BB1" w:rsidRDefault="00BA1BB1" w:rsidP="00954AD6">
    <w:pPr>
      <w:pStyle w:val="JuHeader"/>
    </w:pPr>
    <w:r>
      <w:fldChar w:fldCharType="begin"/>
    </w:r>
    <w:r>
      <w:instrText xml:space="preserve"> PAGE </w:instrText>
    </w:r>
    <w:r>
      <w:fldChar w:fldCharType="separate"/>
    </w:r>
    <w:r>
      <w:rPr>
        <w:noProof/>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1428E6" w14:textId="0BB859B5" w:rsidR="00BA1BB1" w:rsidRPr="00150BFA" w:rsidRDefault="00BA1BB1" w:rsidP="0020718E">
    <w:pPr>
      <w:jc w:val="center"/>
    </w:pPr>
    <w:r>
      <w:rPr>
        <w:noProof/>
        <w:lang w:val="en-US" w:eastAsia="ja-JP"/>
      </w:rPr>
      <w:drawing>
        <wp:inline distT="0" distB="0" distL="0" distR="0" wp14:anchorId="1D290CC9" wp14:editId="4ADC380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203669C" w14:textId="7D5D9F61" w:rsidR="00F22D5C" w:rsidRPr="00BA1BB1" w:rsidRDefault="00B21C4C" w:rsidP="00F27D13">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91C02" w14:textId="01801D0D" w:rsidR="00BA1BB1" w:rsidRPr="00150BFA" w:rsidRDefault="00BA1BB1" w:rsidP="0020718E">
    <w:pPr>
      <w:jc w:val="center"/>
    </w:pPr>
    <w:r>
      <w:rPr>
        <w:noProof/>
        <w:lang w:val="en-US" w:eastAsia="ja-JP"/>
      </w:rPr>
      <w:drawing>
        <wp:inline distT="0" distB="0" distL="0" distR="0" wp14:anchorId="1F9180C5" wp14:editId="2C05C196">
          <wp:extent cx="771525" cy="619125"/>
          <wp:effectExtent l="0" t="0" r="9525" b="9525"/>
          <wp:docPr id="61" name="Picture 6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EE392E3" w14:textId="73E05DEC" w:rsidR="00902601" w:rsidRPr="00BA1BB1" w:rsidRDefault="00902601" w:rsidP="00902601">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83FF88" w14:textId="79FFBFB2" w:rsidR="00F22D5C" w:rsidRPr="00D01935" w:rsidRDefault="00BA1BB1" w:rsidP="00662882">
    <w:pPr>
      <w:pStyle w:val="JuHeader"/>
    </w:pPr>
    <w:r>
      <w:fldChar w:fldCharType="begin"/>
    </w:r>
    <w:r>
      <w:instrText xml:space="preserve"> PAGE </w:instrText>
    </w:r>
    <w:r>
      <w:fldChar w:fldCharType="separate"/>
    </w:r>
    <w:r>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2D4ABB" w14:textId="77777777" w:rsidR="00BA1BB1" w:rsidRPr="00BA1BB1" w:rsidRDefault="00BA1BB1" w:rsidP="00516B59">
      <w:r w:rsidRPr="00BA1BB1">
        <w:separator/>
      </w:r>
    </w:p>
  </w:footnote>
  <w:footnote w:type="continuationSeparator" w:id="0">
    <w:p w14:paraId="59BC2CB5" w14:textId="77777777" w:rsidR="00BA1BB1" w:rsidRPr="00BA1BB1" w:rsidRDefault="00BA1BB1" w:rsidP="00516B59">
      <w:r w:rsidRPr="00BA1BB1">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86F6A6" w14:textId="77777777" w:rsidR="00BA1BB1" w:rsidRDefault="00BA1BB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910332" w14:textId="76A5AA84" w:rsidR="00BA1BB1" w:rsidRPr="00A45145" w:rsidRDefault="00BA1BB1" w:rsidP="00A45145">
    <w:pPr>
      <w:jc w:val="center"/>
    </w:pPr>
    <w:r>
      <w:rPr>
        <w:noProof/>
        <w:lang w:val="en-US" w:eastAsia="ja-JP"/>
      </w:rPr>
      <w:drawing>
        <wp:inline distT="0" distB="0" distL="0" distR="0" wp14:anchorId="50A1D5E6" wp14:editId="6B97B2D7">
          <wp:extent cx="2962275" cy="1219200"/>
          <wp:effectExtent l="0" t="0" r="9525" b="0"/>
          <wp:docPr id="63" name="Picture 6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F30DA09" w14:textId="35B4DD97" w:rsidR="00F22D5C" w:rsidRPr="00BA1BB1" w:rsidRDefault="00B21C4C" w:rsidP="009840A2"/>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D413EC" w14:textId="46249963" w:rsidR="00BA1BB1" w:rsidRPr="00A45145" w:rsidRDefault="00BA1BB1" w:rsidP="00A45145">
    <w:pPr>
      <w:jc w:val="center"/>
    </w:pPr>
    <w:r>
      <w:rPr>
        <w:noProof/>
        <w:lang w:val="en-US" w:eastAsia="ja-JP"/>
      </w:rPr>
      <w:drawing>
        <wp:inline distT="0" distB="0" distL="0" distR="0" wp14:anchorId="67ADC474" wp14:editId="1056747B">
          <wp:extent cx="2962275" cy="1219200"/>
          <wp:effectExtent l="0" t="0" r="9525" b="0"/>
          <wp:docPr id="57" name="Picture 5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DE4A398" w14:textId="5FBF3A18" w:rsidR="00902601" w:rsidRPr="00BA1BB1" w:rsidRDefault="00902601" w:rsidP="00902601">
    <w:pPr>
      <w:jc w:val="center"/>
      <w:rPr>
        <w:sz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D6AA12" w14:textId="2CDC9E98" w:rsidR="00F22D5C" w:rsidRPr="00592C8D" w:rsidRDefault="00A21624" w:rsidP="00A21624">
    <w:pPr>
      <w:pStyle w:val="JuHeader"/>
      <w:rPr>
        <w:lang w:val="en-US"/>
      </w:rPr>
    </w:pPr>
    <w:r w:rsidRPr="00592C8D">
      <w:rPr>
        <w:lang w:val="en-US"/>
      </w:rPr>
      <w:t>ARRÊT</w:t>
    </w:r>
    <w:r w:rsidR="00256F45" w:rsidRPr="00592C8D">
      <w:rPr>
        <w:lang w:val="en-US"/>
      </w:rPr>
      <w:t xml:space="preserve"> </w:t>
    </w:r>
    <w:r w:rsidR="00BA1BB1">
      <w:rPr>
        <w:lang w:val="en-US"/>
      </w:rPr>
      <w:t>MAZOWIECKI c. POLOGNE</w:t>
    </w:r>
    <w:r w:rsidR="00BA1BB1" w:rsidRPr="00592C8D">
      <w:rPr>
        <w:noProof/>
        <w:lang w:val="en-US"/>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937A04" w14:textId="560A9A65" w:rsidR="00F22D5C" w:rsidRPr="00662882" w:rsidRDefault="00256F45" w:rsidP="00662882">
    <w:pPr>
      <w:pStyle w:val="JuHeader"/>
    </w:pPr>
    <w:r w:rsidRPr="00592C8D">
      <w:rPr>
        <w:lang w:val="en-US"/>
      </w:rPr>
      <w:t>ARRÊT</w:t>
    </w:r>
    <w:r w:rsidR="00162967" w:rsidRPr="00592C8D">
      <w:rPr>
        <w:lang w:val="en-US"/>
      </w:rPr>
      <w:t xml:space="preserve"> </w:t>
    </w:r>
    <w:r w:rsidR="00BA1BB1">
      <w:rPr>
        <w:lang w:val="en-US"/>
      </w:rPr>
      <w:t>MAZOWIECKI c. POLOGNE</w:t>
    </w:r>
    <w:r w:rsidR="007971FF" w:rsidRPr="00592C8D">
      <w:rPr>
        <w:lang w:val="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EE20E2DE"/>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3"/>
  </w:num>
  <w:num w:numId="2">
    <w:abstractNumId w:val="11"/>
  </w:num>
  <w:num w:numId="3">
    <w:abstractNumId w:val="10"/>
  </w:num>
  <w:num w:numId="4">
    <w:abstractNumId w:val="16"/>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9"/>
  </w:num>
  <w:num w:numId="15">
    <w:abstractNumId w:val="14"/>
  </w:num>
  <w:num w:numId="16">
    <w:abstractNumId w:val="12"/>
  </w:num>
  <w:num w:numId="17">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AppNatAutre" w:val="0"/>
    <w:docVar w:name="DocVarPREMATURE" w:val="0"/>
    <w:docVar w:name="EMM" w:val="0"/>
    <w:docVar w:name="ETRANSMISSION" w:val="PAR VOIE ÈLECTRONIQUE UNIQUEMENT"/>
    <w:docVar w:name="L4_1Annex" w:val="0"/>
    <w:docVar w:name="L4_1Anonymity" w:val="0"/>
    <w:docVar w:name="NBEMMDOC" w:val="0"/>
    <w:docVar w:name="Plural" w:val="0"/>
    <w:docVar w:name="SignForeName" w:val="0"/>
    <w:docVar w:name="SndCaseNumber" w:val="Error!Nodocumentvariablesupplied."/>
  </w:docVars>
  <w:rsids>
    <w:rsidRoot w:val="00BA1BB1"/>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B05"/>
    <w:rsid w:val="000632D5"/>
    <w:rsid w:val="000644EE"/>
    <w:rsid w:val="000675A9"/>
    <w:rsid w:val="00080ECE"/>
    <w:rsid w:val="00086E4E"/>
    <w:rsid w:val="00086E70"/>
    <w:rsid w:val="0009057B"/>
    <w:rsid w:val="000925AD"/>
    <w:rsid w:val="000A20EB"/>
    <w:rsid w:val="000A24EB"/>
    <w:rsid w:val="000B5D17"/>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7851"/>
    <w:rsid w:val="00104E23"/>
    <w:rsid w:val="00111B0C"/>
    <w:rsid w:val="00117CD2"/>
    <w:rsid w:val="00120D6C"/>
    <w:rsid w:val="001257EC"/>
    <w:rsid w:val="00133D33"/>
    <w:rsid w:val="00134D64"/>
    <w:rsid w:val="00135A30"/>
    <w:rsid w:val="0013612C"/>
    <w:rsid w:val="00137FF6"/>
    <w:rsid w:val="00141650"/>
    <w:rsid w:val="001503B6"/>
    <w:rsid w:val="001625AD"/>
    <w:rsid w:val="00162967"/>
    <w:rsid w:val="00162A12"/>
    <w:rsid w:val="00166530"/>
    <w:rsid w:val="00181508"/>
    <w:rsid w:val="001832BD"/>
    <w:rsid w:val="001943B5"/>
    <w:rsid w:val="00194C5B"/>
    <w:rsid w:val="00195134"/>
    <w:rsid w:val="001A145B"/>
    <w:rsid w:val="001A2684"/>
    <w:rsid w:val="001A674C"/>
    <w:rsid w:val="001B3B24"/>
    <w:rsid w:val="001C0F98"/>
    <w:rsid w:val="001C2A42"/>
    <w:rsid w:val="001C2B5C"/>
    <w:rsid w:val="001C6A7B"/>
    <w:rsid w:val="001D63ED"/>
    <w:rsid w:val="001D7348"/>
    <w:rsid w:val="001E035B"/>
    <w:rsid w:val="001E0961"/>
    <w:rsid w:val="001E3EAE"/>
    <w:rsid w:val="001E6F32"/>
    <w:rsid w:val="001F2145"/>
    <w:rsid w:val="001F39F4"/>
    <w:rsid w:val="001F6262"/>
    <w:rsid w:val="001F67B0"/>
    <w:rsid w:val="001F7B3D"/>
    <w:rsid w:val="00204F24"/>
    <w:rsid w:val="00205F9F"/>
    <w:rsid w:val="00210338"/>
    <w:rsid w:val="002115FC"/>
    <w:rsid w:val="00212184"/>
    <w:rsid w:val="0021423C"/>
    <w:rsid w:val="00230D00"/>
    <w:rsid w:val="00231364"/>
    <w:rsid w:val="00231DF7"/>
    <w:rsid w:val="00231FD1"/>
    <w:rsid w:val="002339E0"/>
    <w:rsid w:val="00233CF8"/>
    <w:rsid w:val="0023575D"/>
    <w:rsid w:val="00237148"/>
    <w:rsid w:val="002416AF"/>
    <w:rsid w:val="0024222D"/>
    <w:rsid w:val="00244B0E"/>
    <w:rsid w:val="00244F6C"/>
    <w:rsid w:val="002532C5"/>
    <w:rsid w:val="002546AE"/>
    <w:rsid w:val="00256F45"/>
    <w:rsid w:val="00260C03"/>
    <w:rsid w:val="0026540E"/>
    <w:rsid w:val="00275123"/>
    <w:rsid w:val="00282240"/>
    <w:rsid w:val="002948AD"/>
    <w:rsid w:val="0029739C"/>
    <w:rsid w:val="002A01CC"/>
    <w:rsid w:val="002A61B1"/>
    <w:rsid w:val="002A663C"/>
    <w:rsid w:val="002B444B"/>
    <w:rsid w:val="002B5887"/>
    <w:rsid w:val="002B7E83"/>
    <w:rsid w:val="002C0E27"/>
    <w:rsid w:val="002C3040"/>
    <w:rsid w:val="002D022D"/>
    <w:rsid w:val="002D24BB"/>
    <w:rsid w:val="002F29AA"/>
    <w:rsid w:val="002F2AF7"/>
    <w:rsid w:val="002F7E1C"/>
    <w:rsid w:val="00301A75"/>
    <w:rsid w:val="00302F70"/>
    <w:rsid w:val="0030336F"/>
    <w:rsid w:val="0030375E"/>
    <w:rsid w:val="0030660C"/>
    <w:rsid w:val="00312A30"/>
    <w:rsid w:val="00316323"/>
    <w:rsid w:val="00320F72"/>
    <w:rsid w:val="0032463E"/>
    <w:rsid w:val="00326224"/>
    <w:rsid w:val="00337EE4"/>
    <w:rsid w:val="00340FFD"/>
    <w:rsid w:val="003471AF"/>
    <w:rsid w:val="003506B1"/>
    <w:rsid w:val="00356AC7"/>
    <w:rsid w:val="003609FA"/>
    <w:rsid w:val="00361D45"/>
    <w:rsid w:val="00367B4F"/>
    <w:rsid w:val="003710C8"/>
    <w:rsid w:val="003722CE"/>
    <w:rsid w:val="003750BE"/>
    <w:rsid w:val="00387B9D"/>
    <w:rsid w:val="00387DFB"/>
    <w:rsid w:val="0039364F"/>
    <w:rsid w:val="00396686"/>
    <w:rsid w:val="0039778E"/>
    <w:rsid w:val="003A37B8"/>
    <w:rsid w:val="003B4941"/>
    <w:rsid w:val="003B6A2E"/>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318F"/>
    <w:rsid w:val="00445366"/>
    <w:rsid w:val="00447F5B"/>
    <w:rsid w:val="00456549"/>
    <w:rsid w:val="004604A0"/>
    <w:rsid w:val="00461DB0"/>
    <w:rsid w:val="00463926"/>
    <w:rsid w:val="00464C9A"/>
    <w:rsid w:val="00474F3D"/>
    <w:rsid w:val="00477E3A"/>
    <w:rsid w:val="00483E5F"/>
    <w:rsid w:val="00484EA4"/>
    <w:rsid w:val="00485FF9"/>
    <w:rsid w:val="004907F0"/>
    <w:rsid w:val="0049140B"/>
    <w:rsid w:val="004923A5"/>
    <w:rsid w:val="00496197"/>
    <w:rsid w:val="00496BFB"/>
    <w:rsid w:val="004A15C7"/>
    <w:rsid w:val="004B013B"/>
    <w:rsid w:val="004B0DE5"/>
    <w:rsid w:val="004B112B"/>
    <w:rsid w:val="004C01E4"/>
    <w:rsid w:val="004C086C"/>
    <w:rsid w:val="004C14C4"/>
    <w:rsid w:val="004C1A3F"/>
    <w:rsid w:val="004C1F56"/>
    <w:rsid w:val="004C27BC"/>
    <w:rsid w:val="004D15F3"/>
    <w:rsid w:val="004D51C3"/>
    <w:rsid w:val="004D5311"/>
    <w:rsid w:val="004D5DCC"/>
    <w:rsid w:val="004E22F1"/>
    <w:rsid w:val="004F10AF"/>
    <w:rsid w:val="004F11A4"/>
    <w:rsid w:val="004F2389"/>
    <w:rsid w:val="004F304D"/>
    <w:rsid w:val="004F61BE"/>
    <w:rsid w:val="004F66B1"/>
    <w:rsid w:val="00510D77"/>
    <w:rsid w:val="00511C07"/>
    <w:rsid w:val="00516967"/>
    <w:rsid w:val="00516B59"/>
    <w:rsid w:val="005173A6"/>
    <w:rsid w:val="00520BAA"/>
    <w:rsid w:val="00522ABA"/>
    <w:rsid w:val="00525208"/>
    <w:rsid w:val="005257A5"/>
    <w:rsid w:val="005264C0"/>
    <w:rsid w:val="00526A8A"/>
    <w:rsid w:val="00531DF2"/>
    <w:rsid w:val="005442EE"/>
    <w:rsid w:val="00547353"/>
    <w:rsid w:val="005474E7"/>
    <w:rsid w:val="005512A3"/>
    <w:rsid w:val="005578CE"/>
    <w:rsid w:val="00562781"/>
    <w:rsid w:val="00566E2B"/>
    <w:rsid w:val="0057271C"/>
    <w:rsid w:val="00572845"/>
    <w:rsid w:val="00576986"/>
    <w:rsid w:val="00592772"/>
    <w:rsid w:val="00592C8D"/>
    <w:rsid w:val="00594B9A"/>
    <w:rsid w:val="0059574A"/>
    <w:rsid w:val="005A1B9B"/>
    <w:rsid w:val="005A6751"/>
    <w:rsid w:val="005B092E"/>
    <w:rsid w:val="005B152C"/>
    <w:rsid w:val="005B1EE0"/>
    <w:rsid w:val="005B2B24"/>
    <w:rsid w:val="005B4425"/>
    <w:rsid w:val="005B4B94"/>
    <w:rsid w:val="005C353F"/>
    <w:rsid w:val="005C3EE8"/>
    <w:rsid w:val="005C5494"/>
    <w:rsid w:val="005D34F9"/>
    <w:rsid w:val="005D4190"/>
    <w:rsid w:val="005D67A3"/>
    <w:rsid w:val="005E2988"/>
    <w:rsid w:val="005E3085"/>
    <w:rsid w:val="005F51E1"/>
    <w:rsid w:val="00610F7A"/>
    <w:rsid w:val="00611C80"/>
    <w:rsid w:val="00613B21"/>
    <w:rsid w:val="00620692"/>
    <w:rsid w:val="006242CA"/>
    <w:rsid w:val="00627507"/>
    <w:rsid w:val="00633717"/>
    <w:rsid w:val="006344E1"/>
    <w:rsid w:val="006361FD"/>
    <w:rsid w:val="006545C4"/>
    <w:rsid w:val="00654B7E"/>
    <w:rsid w:val="00661971"/>
    <w:rsid w:val="00661CE8"/>
    <w:rsid w:val="006623D9"/>
    <w:rsid w:val="00662882"/>
    <w:rsid w:val="0066550C"/>
    <w:rsid w:val="006716F2"/>
    <w:rsid w:val="006779BD"/>
    <w:rsid w:val="00682BF2"/>
    <w:rsid w:val="006859CE"/>
    <w:rsid w:val="00691270"/>
    <w:rsid w:val="00694BA8"/>
    <w:rsid w:val="006A037C"/>
    <w:rsid w:val="006A36F4"/>
    <w:rsid w:val="006A406F"/>
    <w:rsid w:val="006A5D3A"/>
    <w:rsid w:val="006C23D4"/>
    <w:rsid w:val="006C475E"/>
    <w:rsid w:val="006C7BB0"/>
    <w:rsid w:val="006D3237"/>
    <w:rsid w:val="006E2E37"/>
    <w:rsid w:val="006E3CF1"/>
    <w:rsid w:val="006E7E80"/>
    <w:rsid w:val="006F48CA"/>
    <w:rsid w:val="006F64DD"/>
    <w:rsid w:val="00715127"/>
    <w:rsid w:val="00715E8E"/>
    <w:rsid w:val="007172B0"/>
    <w:rsid w:val="00723580"/>
    <w:rsid w:val="00723755"/>
    <w:rsid w:val="00724AE2"/>
    <w:rsid w:val="00730B5C"/>
    <w:rsid w:val="0073136C"/>
    <w:rsid w:val="00731F0F"/>
    <w:rsid w:val="00733250"/>
    <w:rsid w:val="00735951"/>
    <w:rsid w:val="00741404"/>
    <w:rsid w:val="007449E5"/>
    <w:rsid w:val="00747FF0"/>
    <w:rsid w:val="007612E2"/>
    <w:rsid w:val="00764D4E"/>
    <w:rsid w:val="00765A1F"/>
    <w:rsid w:val="00775B6D"/>
    <w:rsid w:val="00776D68"/>
    <w:rsid w:val="007850EE"/>
    <w:rsid w:val="00785B95"/>
    <w:rsid w:val="00790AAD"/>
    <w:rsid w:val="00790E96"/>
    <w:rsid w:val="00793366"/>
    <w:rsid w:val="00794E99"/>
    <w:rsid w:val="007971FF"/>
    <w:rsid w:val="007A4070"/>
    <w:rsid w:val="007A716F"/>
    <w:rsid w:val="007B270A"/>
    <w:rsid w:val="007C0695"/>
    <w:rsid w:val="007C419A"/>
    <w:rsid w:val="007C4CC8"/>
    <w:rsid w:val="007C5426"/>
    <w:rsid w:val="007C5798"/>
    <w:rsid w:val="007D4832"/>
    <w:rsid w:val="007E21B2"/>
    <w:rsid w:val="007E2C4E"/>
    <w:rsid w:val="007F1905"/>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3D9C"/>
    <w:rsid w:val="008748BE"/>
    <w:rsid w:val="008754AB"/>
    <w:rsid w:val="00876A02"/>
    <w:rsid w:val="00876F03"/>
    <w:rsid w:val="0088060C"/>
    <w:rsid w:val="00884261"/>
    <w:rsid w:val="00891107"/>
    <w:rsid w:val="00893576"/>
    <w:rsid w:val="00893E73"/>
    <w:rsid w:val="00893F30"/>
    <w:rsid w:val="00895F5B"/>
    <w:rsid w:val="008B02DC"/>
    <w:rsid w:val="008B2698"/>
    <w:rsid w:val="008B57CE"/>
    <w:rsid w:val="008C26DE"/>
    <w:rsid w:val="008D2225"/>
    <w:rsid w:val="008D4752"/>
    <w:rsid w:val="008E271C"/>
    <w:rsid w:val="008E418E"/>
    <w:rsid w:val="008E5BC6"/>
    <w:rsid w:val="008E6A25"/>
    <w:rsid w:val="008E7A1B"/>
    <w:rsid w:val="008F5193"/>
    <w:rsid w:val="009013A7"/>
    <w:rsid w:val="009017FB"/>
    <w:rsid w:val="009017FC"/>
    <w:rsid w:val="009020E3"/>
    <w:rsid w:val="00902601"/>
    <w:rsid w:val="0090506B"/>
    <w:rsid w:val="009050C9"/>
    <w:rsid w:val="009066FC"/>
    <w:rsid w:val="009140A3"/>
    <w:rsid w:val="009144A2"/>
    <w:rsid w:val="0091510C"/>
    <w:rsid w:val="009259AC"/>
    <w:rsid w:val="00926F38"/>
    <w:rsid w:val="00934301"/>
    <w:rsid w:val="00936CD1"/>
    <w:rsid w:val="009375A5"/>
    <w:rsid w:val="00941747"/>
    <w:rsid w:val="00941EFB"/>
    <w:rsid w:val="00947AFB"/>
    <w:rsid w:val="00951D7D"/>
    <w:rsid w:val="00954AD6"/>
    <w:rsid w:val="009630C7"/>
    <w:rsid w:val="00972B55"/>
    <w:rsid w:val="009743B7"/>
    <w:rsid w:val="00975039"/>
    <w:rsid w:val="00977227"/>
    <w:rsid w:val="0098228B"/>
    <w:rsid w:val="009828DA"/>
    <w:rsid w:val="00985BAB"/>
    <w:rsid w:val="009B1B5F"/>
    <w:rsid w:val="009B6673"/>
    <w:rsid w:val="009C191B"/>
    <w:rsid w:val="009C2BD6"/>
    <w:rsid w:val="009D2F52"/>
    <w:rsid w:val="009E0E2A"/>
    <w:rsid w:val="009E16D2"/>
    <w:rsid w:val="009E1F32"/>
    <w:rsid w:val="009E776C"/>
    <w:rsid w:val="00A00672"/>
    <w:rsid w:val="00A065BF"/>
    <w:rsid w:val="00A101DD"/>
    <w:rsid w:val="00A132AD"/>
    <w:rsid w:val="00A1726E"/>
    <w:rsid w:val="00A204CF"/>
    <w:rsid w:val="00A21624"/>
    <w:rsid w:val="00A23D49"/>
    <w:rsid w:val="00A27004"/>
    <w:rsid w:val="00A30C29"/>
    <w:rsid w:val="00A34DD6"/>
    <w:rsid w:val="00A36819"/>
    <w:rsid w:val="00A36989"/>
    <w:rsid w:val="00A43628"/>
    <w:rsid w:val="00A43AA3"/>
    <w:rsid w:val="00A4783F"/>
    <w:rsid w:val="00A54192"/>
    <w:rsid w:val="00A6035E"/>
    <w:rsid w:val="00A6144C"/>
    <w:rsid w:val="00A66617"/>
    <w:rsid w:val="00A671F8"/>
    <w:rsid w:val="00A673A4"/>
    <w:rsid w:val="00A724AE"/>
    <w:rsid w:val="00A73329"/>
    <w:rsid w:val="00A75785"/>
    <w:rsid w:val="00A8094B"/>
    <w:rsid w:val="00A82359"/>
    <w:rsid w:val="00A865D2"/>
    <w:rsid w:val="00A94C20"/>
    <w:rsid w:val="00AA227F"/>
    <w:rsid w:val="00AA3BC7"/>
    <w:rsid w:val="00AA754A"/>
    <w:rsid w:val="00AB099E"/>
    <w:rsid w:val="00AB4328"/>
    <w:rsid w:val="00AB5628"/>
    <w:rsid w:val="00AC00C2"/>
    <w:rsid w:val="00AC5872"/>
    <w:rsid w:val="00AD2473"/>
    <w:rsid w:val="00AE0A2E"/>
    <w:rsid w:val="00AE354C"/>
    <w:rsid w:val="00AF4B07"/>
    <w:rsid w:val="00AF6186"/>
    <w:rsid w:val="00AF7A3A"/>
    <w:rsid w:val="00B009F4"/>
    <w:rsid w:val="00B160DB"/>
    <w:rsid w:val="00B20836"/>
    <w:rsid w:val="00B235BB"/>
    <w:rsid w:val="00B25320"/>
    <w:rsid w:val="00B25943"/>
    <w:rsid w:val="00B25D3B"/>
    <w:rsid w:val="00B27A44"/>
    <w:rsid w:val="00B30BBF"/>
    <w:rsid w:val="00B33C03"/>
    <w:rsid w:val="00B44E56"/>
    <w:rsid w:val="00B46543"/>
    <w:rsid w:val="00B47D33"/>
    <w:rsid w:val="00B52BE0"/>
    <w:rsid w:val="00B54133"/>
    <w:rsid w:val="00B701ED"/>
    <w:rsid w:val="00B751F4"/>
    <w:rsid w:val="00B8086C"/>
    <w:rsid w:val="00B840F7"/>
    <w:rsid w:val="00B861B4"/>
    <w:rsid w:val="00B86DFE"/>
    <w:rsid w:val="00B90990"/>
    <w:rsid w:val="00B922FF"/>
    <w:rsid w:val="00B9281E"/>
    <w:rsid w:val="00B93925"/>
    <w:rsid w:val="00B95187"/>
    <w:rsid w:val="00BA1BB1"/>
    <w:rsid w:val="00BA2D55"/>
    <w:rsid w:val="00BA71B1"/>
    <w:rsid w:val="00BB0637"/>
    <w:rsid w:val="00BB345F"/>
    <w:rsid w:val="00BB5CA3"/>
    <w:rsid w:val="00BB68EA"/>
    <w:rsid w:val="00BC1C27"/>
    <w:rsid w:val="00BC1F03"/>
    <w:rsid w:val="00BC6BBF"/>
    <w:rsid w:val="00BD1572"/>
    <w:rsid w:val="00BE14E3"/>
    <w:rsid w:val="00BE3774"/>
    <w:rsid w:val="00BE41E5"/>
    <w:rsid w:val="00BF4109"/>
    <w:rsid w:val="00BF4B9C"/>
    <w:rsid w:val="00BF4CC3"/>
    <w:rsid w:val="00C00E59"/>
    <w:rsid w:val="00C054C7"/>
    <w:rsid w:val="00C057B5"/>
    <w:rsid w:val="00C149F0"/>
    <w:rsid w:val="00C22687"/>
    <w:rsid w:val="00C25983"/>
    <w:rsid w:val="00C32E4D"/>
    <w:rsid w:val="00C333A0"/>
    <w:rsid w:val="00C36408"/>
    <w:rsid w:val="00C36A81"/>
    <w:rsid w:val="00C41974"/>
    <w:rsid w:val="00C45616"/>
    <w:rsid w:val="00C53F4A"/>
    <w:rsid w:val="00C54125"/>
    <w:rsid w:val="00C55B54"/>
    <w:rsid w:val="00C6098E"/>
    <w:rsid w:val="00C6152C"/>
    <w:rsid w:val="00C74810"/>
    <w:rsid w:val="00C81ACF"/>
    <w:rsid w:val="00C90D68"/>
    <w:rsid w:val="00C939FE"/>
    <w:rsid w:val="00CA4BDA"/>
    <w:rsid w:val="00CA7C61"/>
    <w:rsid w:val="00CB1F66"/>
    <w:rsid w:val="00CB2951"/>
    <w:rsid w:val="00CD282B"/>
    <w:rsid w:val="00CD4C35"/>
    <w:rsid w:val="00CD7369"/>
    <w:rsid w:val="00CE0B0E"/>
    <w:rsid w:val="00CE3831"/>
    <w:rsid w:val="00CE57AB"/>
    <w:rsid w:val="00D00ABB"/>
    <w:rsid w:val="00D02781"/>
    <w:rsid w:val="00D02EEC"/>
    <w:rsid w:val="00D03551"/>
    <w:rsid w:val="00D06A63"/>
    <w:rsid w:val="00D07E0E"/>
    <w:rsid w:val="00D11478"/>
    <w:rsid w:val="00D15ED0"/>
    <w:rsid w:val="00D21B3E"/>
    <w:rsid w:val="00D21C26"/>
    <w:rsid w:val="00D21FED"/>
    <w:rsid w:val="00D24251"/>
    <w:rsid w:val="00D343E2"/>
    <w:rsid w:val="00D361A2"/>
    <w:rsid w:val="00D3796E"/>
    <w:rsid w:val="00D44C2E"/>
    <w:rsid w:val="00D45414"/>
    <w:rsid w:val="00D54FF1"/>
    <w:rsid w:val="00D55E2C"/>
    <w:rsid w:val="00D566BD"/>
    <w:rsid w:val="00D57A4D"/>
    <w:rsid w:val="00D60AA7"/>
    <w:rsid w:val="00D62A67"/>
    <w:rsid w:val="00D6435F"/>
    <w:rsid w:val="00D75E28"/>
    <w:rsid w:val="00D772C2"/>
    <w:rsid w:val="00D8008E"/>
    <w:rsid w:val="00D82C45"/>
    <w:rsid w:val="00D908A8"/>
    <w:rsid w:val="00D977B6"/>
    <w:rsid w:val="00DA3634"/>
    <w:rsid w:val="00DA4A31"/>
    <w:rsid w:val="00DA7B04"/>
    <w:rsid w:val="00DB36C2"/>
    <w:rsid w:val="00DB5CBD"/>
    <w:rsid w:val="00DC169B"/>
    <w:rsid w:val="00DC2AB9"/>
    <w:rsid w:val="00DC63F0"/>
    <w:rsid w:val="00DD10E5"/>
    <w:rsid w:val="00DD5382"/>
    <w:rsid w:val="00DD6EE5"/>
    <w:rsid w:val="00DD7998"/>
    <w:rsid w:val="00DE2362"/>
    <w:rsid w:val="00DE386C"/>
    <w:rsid w:val="00DE4D35"/>
    <w:rsid w:val="00DF098B"/>
    <w:rsid w:val="00DF11C4"/>
    <w:rsid w:val="00DF210C"/>
    <w:rsid w:val="00DF4B6A"/>
    <w:rsid w:val="00E00F55"/>
    <w:rsid w:val="00E02C09"/>
    <w:rsid w:val="00E04D59"/>
    <w:rsid w:val="00E07DA1"/>
    <w:rsid w:val="00E123CB"/>
    <w:rsid w:val="00E20E13"/>
    <w:rsid w:val="00E21DBC"/>
    <w:rsid w:val="00E2758D"/>
    <w:rsid w:val="00E275D7"/>
    <w:rsid w:val="00E27DBE"/>
    <w:rsid w:val="00E32AB1"/>
    <w:rsid w:val="00E36C71"/>
    <w:rsid w:val="00E37E79"/>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3E00"/>
    <w:rsid w:val="00EE5DD2"/>
    <w:rsid w:val="00EF34CB"/>
    <w:rsid w:val="00EF6E2D"/>
    <w:rsid w:val="00F00A79"/>
    <w:rsid w:val="00F00E86"/>
    <w:rsid w:val="00F07C1E"/>
    <w:rsid w:val="00F105DB"/>
    <w:rsid w:val="00F132BC"/>
    <w:rsid w:val="00F13D80"/>
    <w:rsid w:val="00F16AAA"/>
    <w:rsid w:val="00F21161"/>
    <w:rsid w:val="00F218EF"/>
    <w:rsid w:val="00F21BC7"/>
    <w:rsid w:val="00F25EFC"/>
    <w:rsid w:val="00F266A2"/>
    <w:rsid w:val="00F27D13"/>
    <w:rsid w:val="00F32269"/>
    <w:rsid w:val="00F56A6F"/>
    <w:rsid w:val="00F5709C"/>
    <w:rsid w:val="00F626DA"/>
    <w:rsid w:val="00F64EF1"/>
    <w:rsid w:val="00F659F3"/>
    <w:rsid w:val="00F83589"/>
    <w:rsid w:val="00F8765F"/>
    <w:rsid w:val="00F90767"/>
    <w:rsid w:val="00F912E4"/>
    <w:rsid w:val="00F94531"/>
    <w:rsid w:val="00F9588E"/>
    <w:rsid w:val="00FA0688"/>
    <w:rsid w:val="00FA685B"/>
    <w:rsid w:val="00FB0C01"/>
    <w:rsid w:val="00FC04E5"/>
    <w:rsid w:val="00FC18F2"/>
    <w:rsid w:val="00FC39E5"/>
    <w:rsid w:val="00FC3A78"/>
    <w:rsid w:val="00FD1005"/>
    <w:rsid w:val="00FD61AA"/>
    <w:rsid w:val="00FD6C75"/>
    <w:rsid w:val="00FD7649"/>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B088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E2758D"/>
    <w:rPr>
      <w:sz w:val="24"/>
      <w:szCs w:val="24"/>
      <w:lang w:val="fr-FR"/>
    </w:rPr>
  </w:style>
  <w:style w:type="paragraph" w:styleId="Heading1">
    <w:name w:val="heading 1"/>
    <w:basedOn w:val="Normal"/>
    <w:next w:val="Normal"/>
    <w:link w:val="Heading1Char"/>
    <w:uiPriority w:val="98"/>
    <w:semiHidden/>
    <w:rsid w:val="00E2758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E2758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E2758D"/>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E2758D"/>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E2758D"/>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E2758D"/>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E2758D"/>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E2758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E2758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E2758D"/>
    <w:rPr>
      <w:rFonts w:ascii="Tahoma" w:hAnsi="Tahoma" w:cs="Tahoma"/>
      <w:sz w:val="16"/>
      <w:szCs w:val="16"/>
    </w:rPr>
  </w:style>
  <w:style w:type="character" w:customStyle="1" w:styleId="BalloonTextChar">
    <w:name w:val="Balloon Text Char"/>
    <w:basedOn w:val="DefaultParagraphFont"/>
    <w:link w:val="BalloonText"/>
    <w:uiPriority w:val="98"/>
    <w:semiHidden/>
    <w:rsid w:val="00E2758D"/>
    <w:rPr>
      <w:rFonts w:ascii="Tahoma" w:hAnsi="Tahoma" w:cs="Tahoma"/>
      <w:sz w:val="16"/>
      <w:szCs w:val="16"/>
      <w:lang w:val="fr-FR"/>
    </w:rPr>
  </w:style>
  <w:style w:type="character" w:styleId="BookTitle">
    <w:name w:val="Book Title"/>
    <w:uiPriority w:val="98"/>
    <w:semiHidden/>
    <w:qFormat/>
    <w:rsid w:val="00E2758D"/>
    <w:rPr>
      <w:i/>
      <w:iCs/>
      <w:smallCaps/>
      <w:spacing w:val="5"/>
    </w:rPr>
  </w:style>
  <w:style w:type="paragraph" w:customStyle="1" w:styleId="JuHeader">
    <w:name w:val="Ju_Header"/>
    <w:aliases w:val="_Header"/>
    <w:basedOn w:val="Header"/>
    <w:uiPriority w:val="29"/>
    <w:qFormat/>
    <w:rsid w:val="00E2758D"/>
    <w:pPr>
      <w:tabs>
        <w:tab w:val="clear" w:pos="4536"/>
        <w:tab w:val="clear" w:pos="9072"/>
      </w:tabs>
      <w:jc w:val="center"/>
    </w:pPr>
    <w:rPr>
      <w:sz w:val="18"/>
    </w:rPr>
  </w:style>
  <w:style w:type="table" w:styleId="GridTable1Light">
    <w:name w:val="Grid Table 1 Light"/>
    <w:basedOn w:val="TableNormal"/>
    <w:uiPriority w:val="46"/>
    <w:semiHidden/>
    <w:rsid w:val="00D3796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uiPriority w:val="98"/>
    <w:semiHidden/>
    <w:qFormat/>
    <w:rsid w:val="00E2758D"/>
    <w:rPr>
      <w:b/>
      <w:bCs/>
    </w:rPr>
  </w:style>
  <w:style w:type="paragraph" w:styleId="NoSpacing">
    <w:name w:val="No Spacing"/>
    <w:basedOn w:val="Normal"/>
    <w:link w:val="NoSpacingChar"/>
    <w:uiPriority w:val="98"/>
    <w:semiHidden/>
    <w:qFormat/>
    <w:rsid w:val="00E2758D"/>
  </w:style>
  <w:style w:type="character" w:customStyle="1" w:styleId="NoSpacingChar">
    <w:name w:val="No Spacing Char"/>
    <w:basedOn w:val="DefaultParagraphFont"/>
    <w:link w:val="NoSpacing"/>
    <w:uiPriority w:val="98"/>
    <w:semiHidden/>
    <w:rsid w:val="00E2758D"/>
    <w:rPr>
      <w:sz w:val="24"/>
      <w:szCs w:val="24"/>
      <w:lang w:val="fr-FR"/>
    </w:rPr>
  </w:style>
  <w:style w:type="paragraph" w:customStyle="1" w:styleId="JuQuot">
    <w:name w:val="Ju_Quot"/>
    <w:aliases w:val="_Quote"/>
    <w:basedOn w:val="NormalJustified"/>
    <w:uiPriority w:val="20"/>
    <w:qFormat/>
    <w:rsid w:val="00E2758D"/>
    <w:pPr>
      <w:spacing w:before="120" w:after="120"/>
      <w:ind w:left="425" w:firstLine="142"/>
    </w:pPr>
    <w:rPr>
      <w:sz w:val="20"/>
    </w:rPr>
  </w:style>
  <w:style w:type="paragraph" w:customStyle="1" w:styleId="JuList">
    <w:name w:val="Ju_List"/>
    <w:aliases w:val="_List_1"/>
    <w:basedOn w:val="NormalJustified"/>
    <w:uiPriority w:val="23"/>
    <w:qFormat/>
    <w:rsid w:val="00E2758D"/>
    <w:pPr>
      <w:numPr>
        <w:numId w:val="16"/>
      </w:numPr>
      <w:spacing w:before="280" w:after="60"/>
    </w:pPr>
  </w:style>
  <w:style w:type="paragraph" w:customStyle="1" w:styleId="JuLista">
    <w:name w:val="Ju_List_a"/>
    <w:aliases w:val="_List_2"/>
    <w:basedOn w:val="NormalJustified"/>
    <w:uiPriority w:val="23"/>
    <w:rsid w:val="00E2758D"/>
    <w:pPr>
      <w:numPr>
        <w:ilvl w:val="1"/>
        <w:numId w:val="16"/>
      </w:numPr>
    </w:pPr>
  </w:style>
  <w:style w:type="paragraph" w:customStyle="1" w:styleId="JuListi">
    <w:name w:val="Ju_List_i"/>
    <w:aliases w:val="_List_3"/>
    <w:basedOn w:val="NormalJustified"/>
    <w:uiPriority w:val="23"/>
    <w:rsid w:val="00E2758D"/>
    <w:pPr>
      <w:numPr>
        <w:ilvl w:val="2"/>
        <w:numId w:val="16"/>
      </w:numPr>
    </w:pPr>
  </w:style>
  <w:style w:type="paragraph" w:customStyle="1" w:styleId="DecHTitle">
    <w:name w:val="Dec_H_Title"/>
    <w:aliases w:val="_Title_1"/>
    <w:basedOn w:val="JuPara"/>
    <w:next w:val="JuPara"/>
    <w:uiPriority w:val="38"/>
    <w:qFormat/>
    <w:rsid w:val="00E2758D"/>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E2758D"/>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E2758D"/>
    <w:pPr>
      <w:keepNext/>
      <w:keepLines/>
      <w:tabs>
        <w:tab w:val="right" w:pos="7938"/>
      </w:tabs>
      <w:ind w:firstLine="0"/>
      <w:jc w:val="center"/>
    </w:pPr>
    <w:rPr>
      <w:i/>
    </w:rPr>
  </w:style>
  <w:style w:type="numbering" w:customStyle="1" w:styleId="ECHRA1StyleBulletedSquare">
    <w:name w:val="ECHR_A1_Style_Bulleted_Square"/>
    <w:basedOn w:val="NoList"/>
    <w:rsid w:val="00E2758D"/>
    <w:pPr>
      <w:numPr>
        <w:numId w:val="15"/>
      </w:numPr>
    </w:pPr>
  </w:style>
  <w:style w:type="paragraph" w:customStyle="1" w:styleId="JuHHead">
    <w:name w:val="Ju_H_Head"/>
    <w:aliases w:val="_Head_1"/>
    <w:basedOn w:val="Heading1"/>
    <w:next w:val="JuPara"/>
    <w:uiPriority w:val="17"/>
    <w:qFormat/>
    <w:rsid w:val="00E2758D"/>
    <w:pPr>
      <w:keepNext/>
      <w:keepLines/>
      <w:numPr>
        <w:numId w:val="14"/>
      </w:numPr>
      <w:spacing w:before="100" w:beforeAutospacing="1" w:after="240"/>
      <w:contextualSpacing w:val="0"/>
      <w:jc w:val="both"/>
    </w:pPr>
    <w:rPr>
      <w:b w:val="0"/>
      <w:caps/>
      <w:color w:val="auto"/>
    </w:rPr>
  </w:style>
  <w:style w:type="numbering" w:customStyle="1" w:styleId="ECHRA1StyleList">
    <w:name w:val="ECHR_A1_Style_List"/>
    <w:basedOn w:val="NoList"/>
    <w:uiPriority w:val="99"/>
    <w:rsid w:val="00E2758D"/>
    <w:pPr>
      <w:numPr>
        <w:numId w:val="16"/>
      </w:numPr>
    </w:pPr>
  </w:style>
  <w:style w:type="paragraph" w:customStyle="1" w:styleId="JuSigned">
    <w:name w:val="Ju_Signed"/>
    <w:aliases w:val="_Signature"/>
    <w:basedOn w:val="Normal"/>
    <w:next w:val="JuPara"/>
    <w:uiPriority w:val="31"/>
    <w:qFormat/>
    <w:rsid w:val="00E2758D"/>
    <w:pPr>
      <w:tabs>
        <w:tab w:val="center" w:pos="1418"/>
        <w:tab w:val="center" w:pos="5954"/>
      </w:tabs>
      <w:spacing w:before="720"/>
    </w:pPr>
  </w:style>
  <w:style w:type="paragraph" w:styleId="Title">
    <w:name w:val="Title"/>
    <w:basedOn w:val="Normal"/>
    <w:next w:val="Normal"/>
    <w:link w:val="TitleChar"/>
    <w:uiPriority w:val="98"/>
    <w:semiHidden/>
    <w:qFormat/>
    <w:rsid w:val="00E2758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E2758D"/>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E2758D"/>
    <w:pPr>
      <w:numPr>
        <w:numId w:val="17"/>
      </w:numPr>
    </w:pPr>
  </w:style>
  <w:style w:type="table" w:customStyle="1" w:styleId="ECHRTable2019">
    <w:name w:val="ECHR_Table_2019"/>
    <w:basedOn w:val="TableNormal"/>
    <w:uiPriority w:val="99"/>
    <w:rsid w:val="00E2758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A00672"/>
    <w:rPr>
      <w:sz w:val="8"/>
    </w:rPr>
  </w:style>
  <w:style w:type="paragraph" w:customStyle="1" w:styleId="JuCourt">
    <w:name w:val="Ju_Court"/>
    <w:aliases w:val="_Court_Names"/>
    <w:basedOn w:val="Normal"/>
    <w:next w:val="Normal"/>
    <w:uiPriority w:val="32"/>
    <w:qFormat/>
    <w:rsid w:val="00E2758D"/>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E2758D"/>
    <w:pPr>
      <w:tabs>
        <w:tab w:val="center" w:pos="6407"/>
      </w:tabs>
      <w:spacing w:before="720"/>
      <w:jc w:val="right"/>
    </w:pPr>
  </w:style>
  <w:style w:type="paragraph" w:customStyle="1" w:styleId="JuHIRoman">
    <w:name w:val="Ju_H_I_Roman"/>
    <w:aliases w:val="_Head_2"/>
    <w:basedOn w:val="Heading2"/>
    <w:next w:val="JuPara"/>
    <w:uiPriority w:val="17"/>
    <w:qFormat/>
    <w:rsid w:val="00E2758D"/>
    <w:pPr>
      <w:keepNext/>
      <w:keepLines/>
      <w:numPr>
        <w:ilvl w:val="1"/>
        <w:numId w:val="14"/>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E2758D"/>
    <w:pPr>
      <w:keepNext/>
      <w:keepLines/>
      <w:numPr>
        <w:ilvl w:val="2"/>
        <w:numId w:val="14"/>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E2758D"/>
    <w:pPr>
      <w:keepNext/>
      <w:keepLines/>
      <w:numPr>
        <w:ilvl w:val="3"/>
        <w:numId w:val="14"/>
      </w:numPr>
      <w:spacing w:before="100" w:beforeAutospacing="1" w:after="120"/>
      <w:jc w:val="both"/>
    </w:pPr>
    <w:rPr>
      <w:b w:val="0"/>
      <w:color w:val="auto"/>
      <w:sz w:val="24"/>
    </w:rPr>
  </w:style>
  <w:style w:type="paragraph" w:styleId="Header">
    <w:name w:val="header"/>
    <w:basedOn w:val="Normal"/>
    <w:link w:val="HeaderChar"/>
    <w:uiPriority w:val="98"/>
    <w:semiHidden/>
    <w:rsid w:val="00E2758D"/>
    <w:pPr>
      <w:tabs>
        <w:tab w:val="center" w:pos="4536"/>
        <w:tab w:val="right" w:pos="9072"/>
      </w:tabs>
    </w:pPr>
  </w:style>
  <w:style w:type="character" w:customStyle="1" w:styleId="HeaderChar">
    <w:name w:val="Header Char"/>
    <w:basedOn w:val="DefaultParagraphFont"/>
    <w:link w:val="Header"/>
    <w:uiPriority w:val="98"/>
    <w:semiHidden/>
    <w:rsid w:val="00E2758D"/>
    <w:rPr>
      <w:sz w:val="24"/>
      <w:szCs w:val="24"/>
      <w:lang w:val="fr-FR"/>
    </w:rPr>
  </w:style>
  <w:style w:type="character" w:customStyle="1" w:styleId="Heading1Char">
    <w:name w:val="Heading 1 Char"/>
    <w:basedOn w:val="DefaultParagraphFont"/>
    <w:link w:val="Heading1"/>
    <w:uiPriority w:val="98"/>
    <w:semiHidden/>
    <w:rsid w:val="00E2758D"/>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Heading5"/>
    <w:next w:val="JuPara"/>
    <w:uiPriority w:val="17"/>
    <w:rsid w:val="00E2758D"/>
    <w:pPr>
      <w:keepNext/>
      <w:keepLines/>
      <w:numPr>
        <w:ilvl w:val="4"/>
        <w:numId w:val="14"/>
      </w:numPr>
      <w:spacing w:before="100" w:beforeAutospacing="1" w:after="120"/>
      <w:jc w:val="both"/>
    </w:pPr>
    <w:rPr>
      <w:color w:val="auto"/>
      <w:sz w:val="20"/>
    </w:rPr>
  </w:style>
  <w:style w:type="paragraph" w:customStyle="1" w:styleId="JuHi">
    <w:name w:val="Ju_H_i"/>
    <w:aliases w:val="_Head_6"/>
    <w:basedOn w:val="Heading6"/>
    <w:next w:val="JuPara"/>
    <w:uiPriority w:val="17"/>
    <w:rsid w:val="00E2758D"/>
    <w:pPr>
      <w:keepNext/>
      <w:keepLines/>
      <w:numPr>
        <w:ilvl w:val="5"/>
        <w:numId w:val="14"/>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E2758D"/>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Heading7"/>
    <w:next w:val="JuPara"/>
    <w:uiPriority w:val="17"/>
    <w:rsid w:val="00E2758D"/>
    <w:pPr>
      <w:keepNext/>
      <w:keepLines/>
      <w:numPr>
        <w:ilvl w:val="6"/>
        <w:numId w:val="14"/>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E2758D"/>
    <w:pPr>
      <w:keepNext/>
      <w:keepLines/>
      <w:numPr>
        <w:ilvl w:val="7"/>
        <w:numId w:val="14"/>
      </w:numPr>
      <w:spacing w:before="100" w:beforeAutospacing="1" w:after="120"/>
      <w:jc w:val="both"/>
    </w:pPr>
    <w:rPr>
      <w:i/>
    </w:rPr>
  </w:style>
  <w:style w:type="character" w:customStyle="1" w:styleId="Heading3Char">
    <w:name w:val="Heading 3 Char"/>
    <w:basedOn w:val="DefaultParagraphFont"/>
    <w:link w:val="Heading3"/>
    <w:uiPriority w:val="98"/>
    <w:semiHidden/>
    <w:rsid w:val="00E2758D"/>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E2758D"/>
    <w:pPr>
      <w:keepNext/>
      <w:keepLines/>
      <w:spacing w:before="240" w:after="240"/>
      <w:ind w:firstLine="284"/>
    </w:pPr>
  </w:style>
  <w:style w:type="paragraph" w:customStyle="1" w:styleId="JuJudges">
    <w:name w:val="Ju_Judges"/>
    <w:aliases w:val="_Judges"/>
    <w:basedOn w:val="Normal"/>
    <w:uiPriority w:val="32"/>
    <w:qFormat/>
    <w:rsid w:val="00E2758D"/>
    <w:pPr>
      <w:tabs>
        <w:tab w:val="left" w:pos="567"/>
        <w:tab w:val="left" w:pos="1134"/>
      </w:tabs>
    </w:pPr>
  </w:style>
  <w:style w:type="character" w:customStyle="1" w:styleId="Heading4Char">
    <w:name w:val="Heading 4 Char"/>
    <w:basedOn w:val="DefaultParagraphFont"/>
    <w:link w:val="Heading4"/>
    <w:uiPriority w:val="98"/>
    <w:semiHidden/>
    <w:rsid w:val="00E2758D"/>
    <w:rPr>
      <w:rFonts w:asciiTheme="majorHAnsi" w:eastAsiaTheme="majorEastAsia" w:hAnsiTheme="majorHAnsi" w:cstheme="majorBidi"/>
      <w:b/>
      <w:bCs/>
      <w:i/>
      <w:iCs/>
      <w:color w:val="777777"/>
      <w:lang w:val="fr-FR"/>
    </w:rPr>
  </w:style>
  <w:style w:type="character" w:customStyle="1" w:styleId="JuITMark">
    <w:name w:val="Ju_ITMark"/>
    <w:aliases w:val="_ITMark"/>
    <w:basedOn w:val="DefaultParagraphFont"/>
    <w:uiPriority w:val="54"/>
    <w:semiHidden/>
    <w:qFormat/>
    <w:rsid w:val="00E2758D"/>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E2758D"/>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E2758D"/>
    <w:rPr>
      <w:caps w:val="0"/>
      <w:smallCaps/>
    </w:rPr>
  </w:style>
  <w:style w:type="paragraph" w:customStyle="1" w:styleId="NormalJustified">
    <w:name w:val="Normal_Justified"/>
    <w:basedOn w:val="Normal"/>
    <w:semiHidden/>
    <w:rsid w:val="00E2758D"/>
    <w:pPr>
      <w:jc w:val="both"/>
    </w:pPr>
  </w:style>
  <w:style w:type="character" w:styleId="SubtleEmphasis">
    <w:name w:val="Subtle Emphasis"/>
    <w:uiPriority w:val="98"/>
    <w:semiHidden/>
    <w:qFormat/>
    <w:rsid w:val="00E2758D"/>
    <w:rPr>
      <w:i/>
      <w:iCs/>
    </w:rPr>
  </w:style>
  <w:style w:type="table" w:customStyle="1" w:styleId="ECHRTable">
    <w:name w:val="ECHR_Table"/>
    <w:basedOn w:val="TableNormal"/>
    <w:rsid w:val="00E2758D"/>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E2758D"/>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E2758D"/>
    <w:rPr>
      <w:b/>
      <w:bCs/>
      <w:i/>
      <w:iCs/>
      <w:spacing w:val="10"/>
      <w:bdr w:val="none" w:sz="0" w:space="0" w:color="auto"/>
      <w:shd w:val="clear" w:color="auto" w:fill="auto"/>
    </w:rPr>
  </w:style>
  <w:style w:type="paragraph" w:styleId="Footer0">
    <w:name w:val="footer"/>
    <w:basedOn w:val="Normal"/>
    <w:link w:val="FooterChar"/>
    <w:uiPriority w:val="98"/>
    <w:semiHidden/>
    <w:rsid w:val="00E2758D"/>
    <w:pPr>
      <w:tabs>
        <w:tab w:val="center" w:pos="3686"/>
        <w:tab w:val="right" w:pos="7371"/>
      </w:tabs>
    </w:pPr>
  </w:style>
  <w:style w:type="character" w:customStyle="1" w:styleId="FooterChar">
    <w:name w:val="Footer Char"/>
    <w:basedOn w:val="DefaultParagraphFont"/>
    <w:link w:val="Footer0"/>
    <w:uiPriority w:val="98"/>
    <w:semiHidden/>
    <w:rsid w:val="00E2758D"/>
    <w:rPr>
      <w:sz w:val="24"/>
      <w:szCs w:val="24"/>
      <w:lang w:val="fr-FR"/>
    </w:rPr>
  </w:style>
  <w:style w:type="character" w:styleId="FootnoteReference">
    <w:name w:val="footnote reference"/>
    <w:basedOn w:val="DefaultParagraphFont"/>
    <w:uiPriority w:val="98"/>
    <w:semiHidden/>
    <w:rsid w:val="00E2758D"/>
    <w:rPr>
      <w:vertAlign w:val="superscript"/>
    </w:rPr>
  </w:style>
  <w:style w:type="paragraph" w:styleId="FootnoteText">
    <w:name w:val="footnote text"/>
    <w:basedOn w:val="NormalJustified"/>
    <w:link w:val="FootnoteTextChar"/>
    <w:uiPriority w:val="98"/>
    <w:semiHidden/>
    <w:rsid w:val="00E2758D"/>
    <w:rPr>
      <w:sz w:val="20"/>
      <w:szCs w:val="20"/>
    </w:rPr>
  </w:style>
  <w:style w:type="character" w:customStyle="1" w:styleId="FootnoteTextChar">
    <w:name w:val="Footnote Text Char"/>
    <w:basedOn w:val="DefaultParagraphFont"/>
    <w:link w:val="FootnoteText"/>
    <w:uiPriority w:val="98"/>
    <w:semiHidden/>
    <w:rsid w:val="00E2758D"/>
    <w:rPr>
      <w:sz w:val="20"/>
      <w:szCs w:val="20"/>
      <w:lang w:val="fr-FR"/>
    </w:rPr>
  </w:style>
  <w:style w:type="character" w:customStyle="1" w:styleId="Heading6Char">
    <w:name w:val="Heading 6 Char"/>
    <w:basedOn w:val="DefaultParagraphFont"/>
    <w:link w:val="Heading6"/>
    <w:uiPriority w:val="98"/>
    <w:semiHidden/>
    <w:rsid w:val="00E2758D"/>
    <w:rPr>
      <w:rFonts w:asciiTheme="majorHAnsi" w:eastAsiaTheme="majorEastAsia" w:hAnsiTheme="majorHAnsi" w:cstheme="majorBidi"/>
      <w:b/>
      <w:bCs/>
      <w:i/>
      <w:iCs/>
      <w:color w:val="7F7F7F" w:themeColor="text1" w:themeTint="80"/>
      <w:lang w:val="fr-FR" w:bidi="en-US"/>
    </w:rPr>
  </w:style>
  <w:style w:type="character" w:customStyle="1" w:styleId="Heading7Char">
    <w:name w:val="Heading 7 Char"/>
    <w:basedOn w:val="DefaultParagraphFont"/>
    <w:link w:val="Heading7"/>
    <w:uiPriority w:val="98"/>
    <w:semiHidden/>
    <w:rsid w:val="00E2758D"/>
    <w:rPr>
      <w:rFonts w:asciiTheme="majorHAnsi" w:eastAsiaTheme="majorEastAsia" w:hAnsiTheme="majorHAnsi" w:cstheme="majorBidi"/>
      <w:i/>
      <w:iCs/>
      <w:lang w:val="fr-FR" w:bidi="en-US"/>
    </w:rPr>
  </w:style>
  <w:style w:type="character" w:customStyle="1" w:styleId="Heading8Char">
    <w:name w:val="Heading 8 Char"/>
    <w:basedOn w:val="DefaultParagraphFont"/>
    <w:link w:val="Heading8"/>
    <w:uiPriority w:val="98"/>
    <w:semiHidden/>
    <w:rsid w:val="00E2758D"/>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8"/>
    <w:semiHidden/>
    <w:rsid w:val="00E2758D"/>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8"/>
    <w:semiHidden/>
    <w:rsid w:val="00E2758D"/>
    <w:rPr>
      <w:color w:val="0072BC" w:themeColor="hyperlink"/>
      <w:u w:val="single"/>
    </w:rPr>
  </w:style>
  <w:style w:type="character" w:styleId="IntenseEmphasis">
    <w:name w:val="Intense Emphasis"/>
    <w:uiPriority w:val="98"/>
    <w:semiHidden/>
    <w:qFormat/>
    <w:rsid w:val="00E2758D"/>
    <w:rPr>
      <w:b/>
      <w:bCs/>
    </w:rPr>
  </w:style>
  <w:style w:type="paragraph" w:styleId="IntenseQuote">
    <w:name w:val="Intense Quote"/>
    <w:basedOn w:val="Normal"/>
    <w:next w:val="Normal"/>
    <w:link w:val="IntenseQuoteChar"/>
    <w:uiPriority w:val="98"/>
    <w:semiHidden/>
    <w:qFormat/>
    <w:rsid w:val="00E2758D"/>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E2758D"/>
    <w:rPr>
      <w:b/>
      <w:bCs/>
      <w:i/>
      <w:iCs/>
      <w:sz w:val="24"/>
      <w:szCs w:val="24"/>
      <w:lang w:val="fr-FR" w:bidi="en-US"/>
    </w:rPr>
  </w:style>
  <w:style w:type="character" w:styleId="IntenseReference">
    <w:name w:val="Intense Reference"/>
    <w:uiPriority w:val="98"/>
    <w:semiHidden/>
    <w:qFormat/>
    <w:rsid w:val="00E2758D"/>
    <w:rPr>
      <w:smallCaps/>
      <w:spacing w:val="5"/>
      <w:u w:val="single"/>
    </w:rPr>
  </w:style>
  <w:style w:type="paragraph" w:styleId="ListParagraph">
    <w:name w:val="List Paragraph"/>
    <w:basedOn w:val="Normal"/>
    <w:uiPriority w:val="98"/>
    <w:semiHidden/>
    <w:qFormat/>
    <w:rsid w:val="00E2758D"/>
    <w:pPr>
      <w:ind w:left="720"/>
      <w:contextualSpacing/>
    </w:pPr>
  </w:style>
  <w:style w:type="table" w:customStyle="1" w:styleId="LtrTableAddress">
    <w:name w:val="Ltr_Table_Address"/>
    <w:aliases w:val="ECHR_Ltr_Table_Address"/>
    <w:basedOn w:val="TableNormal"/>
    <w:uiPriority w:val="99"/>
    <w:rsid w:val="00E2758D"/>
    <w:rPr>
      <w:sz w:val="24"/>
      <w:szCs w:val="24"/>
    </w:rPr>
    <w:tblPr>
      <w:tblInd w:w="5103" w:type="dxa"/>
    </w:tblPr>
  </w:style>
  <w:style w:type="paragraph" w:styleId="Quote">
    <w:name w:val="Quote"/>
    <w:basedOn w:val="Normal"/>
    <w:next w:val="Normal"/>
    <w:link w:val="QuoteChar"/>
    <w:uiPriority w:val="98"/>
    <w:semiHidden/>
    <w:qFormat/>
    <w:rsid w:val="00E2758D"/>
    <w:pPr>
      <w:spacing w:before="200"/>
      <w:ind w:left="360" w:right="360"/>
    </w:pPr>
    <w:rPr>
      <w:i/>
      <w:iCs/>
      <w:lang w:bidi="en-US"/>
    </w:rPr>
  </w:style>
  <w:style w:type="character" w:customStyle="1" w:styleId="QuoteChar">
    <w:name w:val="Quote Char"/>
    <w:basedOn w:val="DefaultParagraphFont"/>
    <w:link w:val="Quote"/>
    <w:uiPriority w:val="98"/>
    <w:semiHidden/>
    <w:rsid w:val="00E2758D"/>
    <w:rPr>
      <w:i/>
      <w:iCs/>
      <w:sz w:val="24"/>
      <w:szCs w:val="24"/>
      <w:lang w:val="fr-FR" w:bidi="en-US"/>
    </w:rPr>
  </w:style>
  <w:style w:type="character" w:styleId="SubtleReference">
    <w:name w:val="Subtle Reference"/>
    <w:uiPriority w:val="98"/>
    <w:semiHidden/>
    <w:qFormat/>
    <w:rsid w:val="00E2758D"/>
    <w:rPr>
      <w:smallCaps/>
    </w:rPr>
  </w:style>
  <w:style w:type="table" w:styleId="TableGrid">
    <w:name w:val="Table Grid"/>
    <w:basedOn w:val="TableNormal"/>
    <w:uiPriority w:val="59"/>
    <w:semiHidden/>
    <w:rsid w:val="00E2758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E2758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E2758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E2758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E2758D"/>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E2758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E2758D"/>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E2758D"/>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E2758D"/>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E2758D"/>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E2758D"/>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E2758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E2758D"/>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E2758D"/>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E2758D"/>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E2758D"/>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E2758D"/>
    <w:pPr>
      <w:numPr>
        <w:numId w:val="1"/>
      </w:numPr>
    </w:pPr>
  </w:style>
  <w:style w:type="paragraph" w:customStyle="1" w:styleId="JuPara">
    <w:name w:val="Ju_Para"/>
    <w:aliases w:val="_Para"/>
    <w:basedOn w:val="NormalJustified"/>
    <w:link w:val="JuParaChar"/>
    <w:uiPriority w:val="4"/>
    <w:qFormat/>
    <w:rsid w:val="00E2758D"/>
    <w:pPr>
      <w:ind w:firstLine="284"/>
    </w:pPr>
  </w:style>
  <w:style w:type="numbering" w:styleId="1ai">
    <w:name w:val="Outline List 1"/>
    <w:basedOn w:val="NoList"/>
    <w:uiPriority w:val="99"/>
    <w:semiHidden/>
    <w:unhideWhenUsed/>
    <w:rsid w:val="00E2758D"/>
    <w:pPr>
      <w:numPr>
        <w:numId w:val="2"/>
      </w:numPr>
    </w:pPr>
  </w:style>
  <w:style w:type="table" w:customStyle="1" w:styleId="ECHRTableSimpleBox">
    <w:name w:val="ECHR_Table_Simple_Box"/>
    <w:basedOn w:val="TableNormal"/>
    <w:uiPriority w:val="99"/>
    <w:rsid w:val="00E2758D"/>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E2758D"/>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E2758D"/>
    <w:pPr>
      <w:numPr>
        <w:numId w:val="3"/>
      </w:numPr>
    </w:pPr>
  </w:style>
  <w:style w:type="table" w:customStyle="1" w:styleId="ECHRTableForInternalUse">
    <w:name w:val="ECHR_Table_For_Internal_Use"/>
    <w:basedOn w:val="TableNormal"/>
    <w:uiPriority w:val="99"/>
    <w:rsid w:val="00E2758D"/>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E2758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E2758D"/>
  </w:style>
  <w:style w:type="paragraph" w:styleId="BlockText">
    <w:name w:val="Block Text"/>
    <w:basedOn w:val="Normal"/>
    <w:uiPriority w:val="98"/>
    <w:semiHidden/>
    <w:rsid w:val="00E2758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E2758D"/>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E2758D"/>
    <w:pPr>
      <w:spacing w:after="120"/>
    </w:pPr>
  </w:style>
  <w:style w:type="character" w:customStyle="1" w:styleId="BodyTextChar">
    <w:name w:val="Body Text Char"/>
    <w:basedOn w:val="DefaultParagraphFont"/>
    <w:link w:val="BodyText"/>
    <w:uiPriority w:val="98"/>
    <w:semiHidden/>
    <w:rsid w:val="00E2758D"/>
    <w:rPr>
      <w:sz w:val="24"/>
      <w:szCs w:val="24"/>
      <w:lang w:val="fr-FR"/>
    </w:rPr>
  </w:style>
  <w:style w:type="table" w:customStyle="1" w:styleId="ECHRTableOddBanded">
    <w:name w:val="ECHR_Table_Odd_Banded"/>
    <w:basedOn w:val="TableNormal"/>
    <w:uiPriority w:val="99"/>
    <w:rsid w:val="00E2758D"/>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E2758D"/>
    <w:pPr>
      <w:spacing w:after="120" w:line="480" w:lineRule="auto"/>
    </w:pPr>
  </w:style>
  <w:style w:type="table" w:customStyle="1" w:styleId="ECHRHeaderTableReduced">
    <w:name w:val="ECHR_Header_Table_Reduced"/>
    <w:basedOn w:val="TableNormal"/>
    <w:uiPriority w:val="99"/>
    <w:rsid w:val="00E2758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E2758D"/>
    <w:pPr>
      <w:ind w:firstLine="284"/>
    </w:pPr>
    <w:rPr>
      <w:b/>
    </w:rPr>
  </w:style>
  <w:style w:type="character" w:styleId="PageNumber">
    <w:name w:val="page number"/>
    <w:uiPriority w:val="98"/>
    <w:semiHidden/>
    <w:rsid w:val="00E2758D"/>
    <w:rPr>
      <w:sz w:val="18"/>
    </w:rPr>
  </w:style>
  <w:style w:type="paragraph" w:styleId="ListBullet2">
    <w:name w:val="List Bullet 2"/>
    <w:basedOn w:val="Normal"/>
    <w:uiPriority w:val="98"/>
    <w:semiHidden/>
    <w:rsid w:val="00E2758D"/>
    <w:pPr>
      <w:numPr>
        <w:numId w:val="5"/>
      </w:numPr>
      <w:contextualSpacing/>
    </w:pPr>
  </w:style>
  <w:style w:type="character" w:customStyle="1" w:styleId="BodyText2Char">
    <w:name w:val="Body Text 2 Char"/>
    <w:basedOn w:val="DefaultParagraphFont"/>
    <w:link w:val="BodyText2"/>
    <w:uiPriority w:val="98"/>
    <w:semiHidden/>
    <w:rsid w:val="00E2758D"/>
    <w:rPr>
      <w:sz w:val="24"/>
      <w:szCs w:val="24"/>
      <w:lang w:val="fr-FR"/>
    </w:rPr>
  </w:style>
  <w:style w:type="paragraph" w:styleId="BodyText3">
    <w:name w:val="Body Text 3"/>
    <w:basedOn w:val="Normal"/>
    <w:link w:val="BodyText3Char"/>
    <w:uiPriority w:val="98"/>
    <w:semiHidden/>
    <w:rsid w:val="00E2758D"/>
    <w:pPr>
      <w:spacing w:after="120"/>
    </w:pPr>
    <w:rPr>
      <w:sz w:val="16"/>
      <w:szCs w:val="16"/>
    </w:rPr>
  </w:style>
  <w:style w:type="character" w:customStyle="1" w:styleId="BodyText3Char">
    <w:name w:val="Body Text 3 Char"/>
    <w:basedOn w:val="DefaultParagraphFont"/>
    <w:link w:val="BodyText3"/>
    <w:uiPriority w:val="98"/>
    <w:semiHidden/>
    <w:rsid w:val="00E2758D"/>
    <w:rPr>
      <w:sz w:val="16"/>
      <w:szCs w:val="16"/>
      <w:lang w:val="fr-FR"/>
    </w:rPr>
  </w:style>
  <w:style w:type="paragraph" w:styleId="BodyTextFirstIndent">
    <w:name w:val="Body Text First Indent"/>
    <w:basedOn w:val="BodyText"/>
    <w:link w:val="BodyTextFirstIndentChar"/>
    <w:uiPriority w:val="98"/>
    <w:semiHidden/>
    <w:rsid w:val="00E2758D"/>
    <w:pPr>
      <w:spacing w:after="0"/>
      <w:ind w:firstLine="360"/>
    </w:pPr>
  </w:style>
  <w:style w:type="character" w:customStyle="1" w:styleId="BodyTextFirstIndentChar">
    <w:name w:val="Body Text First Indent Char"/>
    <w:basedOn w:val="BodyTextChar"/>
    <w:link w:val="BodyTextFirstIndent"/>
    <w:uiPriority w:val="98"/>
    <w:semiHidden/>
    <w:rsid w:val="00E2758D"/>
    <w:rPr>
      <w:sz w:val="24"/>
      <w:szCs w:val="24"/>
      <w:lang w:val="fr-FR"/>
    </w:rPr>
  </w:style>
  <w:style w:type="paragraph" w:styleId="BodyTextIndent">
    <w:name w:val="Body Text Indent"/>
    <w:basedOn w:val="Normal"/>
    <w:link w:val="BodyTextIndentChar"/>
    <w:uiPriority w:val="98"/>
    <w:semiHidden/>
    <w:rsid w:val="00E2758D"/>
    <w:pPr>
      <w:spacing w:after="120"/>
      <w:ind w:left="283"/>
    </w:pPr>
  </w:style>
  <w:style w:type="character" w:customStyle="1" w:styleId="BodyTextIndentChar">
    <w:name w:val="Body Text Indent Char"/>
    <w:basedOn w:val="DefaultParagraphFont"/>
    <w:link w:val="BodyTextIndent"/>
    <w:uiPriority w:val="98"/>
    <w:semiHidden/>
    <w:rsid w:val="00E2758D"/>
    <w:rPr>
      <w:sz w:val="24"/>
      <w:szCs w:val="24"/>
      <w:lang w:val="fr-FR"/>
    </w:rPr>
  </w:style>
  <w:style w:type="paragraph" w:styleId="BodyTextFirstIndent2">
    <w:name w:val="Body Text First Indent 2"/>
    <w:basedOn w:val="BodyTextIndent"/>
    <w:link w:val="BodyTextFirstIndent2Char"/>
    <w:uiPriority w:val="98"/>
    <w:semiHidden/>
    <w:rsid w:val="00E2758D"/>
    <w:pPr>
      <w:spacing w:after="0"/>
      <w:ind w:left="360" w:firstLine="360"/>
    </w:pPr>
  </w:style>
  <w:style w:type="character" w:customStyle="1" w:styleId="BodyTextFirstIndent2Char">
    <w:name w:val="Body Text First Indent 2 Char"/>
    <w:basedOn w:val="BodyTextIndentChar"/>
    <w:link w:val="BodyTextFirstIndent2"/>
    <w:uiPriority w:val="98"/>
    <w:semiHidden/>
    <w:rsid w:val="00E2758D"/>
    <w:rPr>
      <w:sz w:val="24"/>
      <w:szCs w:val="24"/>
      <w:lang w:val="fr-FR"/>
    </w:rPr>
  </w:style>
  <w:style w:type="paragraph" w:styleId="BodyTextIndent2">
    <w:name w:val="Body Text Indent 2"/>
    <w:basedOn w:val="Normal"/>
    <w:link w:val="BodyTextIndent2Char"/>
    <w:uiPriority w:val="98"/>
    <w:semiHidden/>
    <w:rsid w:val="00E2758D"/>
    <w:pPr>
      <w:spacing w:after="120" w:line="480" w:lineRule="auto"/>
      <w:ind w:left="283"/>
    </w:pPr>
  </w:style>
  <w:style w:type="character" w:customStyle="1" w:styleId="BodyTextIndent2Char">
    <w:name w:val="Body Text Indent 2 Char"/>
    <w:basedOn w:val="DefaultParagraphFont"/>
    <w:link w:val="BodyTextIndent2"/>
    <w:uiPriority w:val="98"/>
    <w:semiHidden/>
    <w:rsid w:val="00E2758D"/>
    <w:rPr>
      <w:sz w:val="24"/>
      <w:szCs w:val="24"/>
      <w:lang w:val="fr-FR"/>
    </w:rPr>
  </w:style>
  <w:style w:type="paragraph" w:styleId="BodyTextIndent3">
    <w:name w:val="Body Text Indent 3"/>
    <w:basedOn w:val="Normal"/>
    <w:link w:val="BodyTextIndent3Char"/>
    <w:uiPriority w:val="98"/>
    <w:semiHidden/>
    <w:rsid w:val="00E2758D"/>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E2758D"/>
    <w:rPr>
      <w:sz w:val="16"/>
      <w:szCs w:val="16"/>
      <w:lang w:val="fr-FR"/>
    </w:rPr>
  </w:style>
  <w:style w:type="paragraph" w:styleId="Caption">
    <w:name w:val="caption"/>
    <w:basedOn w:val="Normal"/>
    <w:next w:val="Normal"/>
    <w:uiPriority w:val="98"/>
    <w:semiHidden/>
    <w:qFormat/>
    <w:rsid w:val="00E2758D"/>
    <w:pPr>
      <w:spacing w:after="200"/>
    </w:pPr>
    <w:rPr>
      <w:b/>
      <w:bCs/>
      <w:color w:val="0072BC" w:themeColor="accent1"/>
      <w:sz w:val="18"/>
      <w:szCs w:val="18"/>
    </w:rPr>
  </w:style>
  <w:style w:type="paragraph" w:styleId="Closing">
    <w:name w:val="Closing"/>
    <w:basedOn w:val="Normal"/>
    <w:link w:val="ClosingChar"/>
    <w:uiPriority w:val="98"/>
    <w:semiHidden/>
    <w:rsid w:val="00E2758D"/>
    <w:pPr>
      <w:ind w:left="4252"/>
    </w:pPr>
  </w:style>
  <w:style w:type="character" w:customStyle="1" w:styleId="ClosingChar">
    <w:name w:val="Closing Char"/>
    <w:basedOn w:val="DefaultParagraphFont"/>
    <w:link w:val="Closing"/>
    <w:uiPriority w:val="98"/>
    <w:semiHidden/>
    <w:rsid w:val="00E2758D"/>
    <w:rPr>
      <w:sz w:val="24"/>
      <w:szCs w:val="24"/>
      <w:lang w:val="fr-FR"/>
    </w:rPr>
  </w:style>
  <w:style w:type="table" w:styleId="ColorfulGrid">
    <w:name w:val="Colorful Grid"/>
    <w:basedOn w:val="TableNormal"/>
    <w:uiPriority w:val="73"/>
    <w:semiHidden/>
    <w:rsid w:val="00E2758D"/>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2758D"/>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2758D"/>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2758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E2758D"/>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2758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2758D"/>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2758D"/>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2758D"/>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2758D"/>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2758D"/>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E2758D"/>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2758D"/>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2758D"/>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2758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2758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2758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2758D"/>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E2758D"/>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2758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2758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E2758D"/>
    <w:rPr>
      <w:sz w:val="16"/>
      <w:szCs w:val="16"/>
    </w:rPr>
  </w:style>
  <w:style w:type="paragraph" w:styleId="CommentText">
    <w:name w:val="annotation text"/>
    <w:basedOn w:val="Normal"/>
    <w:link w:val="CommentTextChar"/>
    <w:uiPriority w:val="98"/>
    <w:semiHidden/>
    <w:rsid w:val="00E2758D"/>
    <w:rPr>
      <w:sz w:val="20"/>
      <w:szCs w:val="20"/>
    </w:rPr>
  </w:style>
  <w:style w:type="character" w:customStyle="1" w:styleId="CommentTextChar">
    <w:name w:val="Comment Text Char"/>
    <w:basedOn w:val="DefaultParagraphFont"/>
    <w:link w:val="CommentText"/>
    <w:uiPriority w:val="98"/>
    <w:semiHidden/>
    <w:rsid w:val="00E2758D"/>
    <w:rPr>
      <w:sz w:val="20"/>
      <w:szCs w:val="20"/>
      <w:lang w:val="fr-FR"/>
    </w:rPr>
  </w:style>
  <w:style w:type="paragraph" w:styleId="CommentSubject">
    <w:name w:val="annotation subject"/>
    <w:basedOn w:val="CommentText"/>
    <w:next w:val="CommentText"/>
    <w:link w:val="CommentSubjectChar"/>
    <w:uiPriority w:val="98"/>
    <w:semiHidden/>
    <w:rsid w:val="00E2758D"/>
    <w:rPr>
      <w:b/>
      <w:bCs/>
    </w:rPr>
  </w:style>
  <w:style w:type="character" w:customStyle="1" w:styleId="CommentSubjectChar">
    <w:name w:val="Comment Subject Char"/>
    <w:basedOn w:val="CommentTextChar"/>
    <w:link w:val="CommentSubject"/>
    <w:uiPriority w:val="98"/>
    <w:semiHidden/>
    <w:rsid w:val="00E2758D"/>
    <w:rPr>
      <w:b/>
      <w:bCs/>
      <w:sz w:val="20"/>
      <w:szCs w:val="20"/>
      <w:lang w:val="fr-FR"/>
    </w:rPr>
  </w:style>
  <w:style w:type="table" w:styleId="DarkList">
    <w:name w:val="Dark List"/>
    <w:basedOn w:val="TableNormal"/>
    <w:uiPriority w:val="70"/>
    <w:semiHidden/>
    <w:rsid w:val="00E2758D"/>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2758D"/>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2758D"/>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2758D"/>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E2758D"/>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2758D"/>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2758D"/>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E2758D"/>
  </w:style>
  <w:style w:type="character" w:customStyle="1" w:styleId="DateChar">
    <w:name w:val="Date Char"/>
    <w:basedOn w:val="DefaultParagraphFont"/>
    <w:link w:val="Date"/>
    <w:uiPriority w:val="98"/>
    <w:semiHidden/>
    <w:rsid w:val="00E2758D"/>
    <w:rPr>
      <w:sz w:val="24"/>
      <w:szCs w:val="24"/>
      <w:lang w:val="fr-FR"/>
    </w:rPr>
  </w:style>
  <w:style w:type="paragraph" w:styleId="DocumentMap">
    <w:name w:val="Document Map"/>
    <w:basedOn w:val="Normal"/>
    <w:link w:val="DocumentMapChar"/>
    <w:uiPriority w:val="98"/>
    <w:semiHidden/>
    <w:rsid w:val="00E2758D"/>
    <w:rPr>
      <w:rFonts w:ascii="Tahoma" w:hAnsi="Tahoma" w:cs="Tahoma"/>
      <w:sz w:val="16"/>
      <w:szCs w:val="16"/>
    </w:rPr>
  </w:style>
  <w:style w:type="character" w:customStyle="1" w:styleId="DocumentMapChar">
    <w:name w:val="Document Map Char"/>
    <w:basedOn w:val="DefaultParagraphFont"/>
    <w:link w:val="DocumentMap"/>
    <w:uiPriority w:val="98"/>
    <w:semiHidden/>
    <w:rsid w:val="00E2758D"/>
    <w:rPr>
      <w:rFonts w:ascii="Tahoma" w:hAnsi="Tahoma" w:cs="Tahoma"/>
      <w:sz w:val="16"/>
      <w:szCs w:val="16"/>
      <w:lang w:val="fr-FR"/>
    </w:rPr>
  </w:style>
  <w:style w:type="paragraph" w:styleId="E-mailSignature">
    <w:name w:val="E-mail Signature"/>
    <w:basedOn w:val="Normal"/>
    <w:link w:val="E-mailSignatureChar"/>
    <w:uiPriority w:val="98"/>
    <w:semiHidden/>
    <w:rsid w:val="00E2758D"/>
  </w:style>
  <w:style w:type="character" w:customStyle="1" w:styleId="E-mailSignatureChar">
    <w:name w:val="E-mail Signature Char"/>
    <w:basedOn w:val="DefaultParagraphFont"/>
    <w:link w:val="E-mailSignature"/>
    <w:uiPriority w:val="98"/>
    <w:semiHidden/>
    <w:rsid w:val="00E2758D"/>
    <w:rPr>
      <w:sz w:val="24"/>
      <w:szCs w:val="24"/>
      <w:lang w:val="fr-FR"/>
    </w:rPr>
  </w:style>
  <w:style w:type="character" w:styleId="EndnoteReference">
    <w:name w:val="endnote reference"/>
    <w:basedOn w:val="DefaultParagraphFont"/>
    <w:uiPriority w:val="98"/>
    <w:semiHidden/>
    <w:rsid w:val="00E2758D"/>
    <w:rPr>
      <w:vertAlign w:val="superscript"/>
    </w:rPr>
  </w:style>
  <w:style w:type="paragraph" w:styleId="EndnoteText">
    <w:name w:val="endnote text"/>
    <w:basedOn w:val="Normal"/>
    <w:link w:val="EndnoteTextChar"/>
    <w:uiPriority w:val="98"/>
    <w:semiHidden/>
    <w:rsid w:val="00E2758D"/>
    <w:rPr>
      <w:sz w:val="20"/>
      <w:szCs w:val="20"/>
    </w:rPr>
  </w:style>
  <w:style w:type="character" w:customStyle="1" w:styleId="EndnoteTextChar">
    <w:name w:val="Endnote Text Char"/>
    <w:basedOn w:val="DefaultParagraphFont"/>
    <w:link w:val="EndnoteText"/>
    <w:uiPriority w:val="98"/>
    <w:semiHidden/>
    <w:rsid w:val="00E2758D"/>
    <w:rPr>
      <w:sz w:val="20"/>
      <w:szCs w:val="20"/>
      <w:lang w:val="fr-FR"/>
    </w:rPr>
  </w:style>
  <w:style w:type="paragraph" w:styleId="EnvelopeAddress">
    <w:name w:val="envelope address"/>
    <w:basedOn w:val="Normal"/>
    <w:uiPriority w:val="98"/>
    <w:semiHidden/>
    <w:rsid w:val="00E2758D"/>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E2758D"/>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E2758D"/>
    <w:rPr>
      <w:color w:val="7030A0" w:themeColor="followedHyperlink"/>
      <w:u w:val="single"/>
    </w:rPr>
  </w:style>
  <w:style w:type="character" w:styleId="HTMLAcronym">
    <w:name w:val="HTML Acronym"/>
    <w:basedOn w:val="DefaultParagraphFont"/>
    <w:uiPriority w:val="98"/>
    <w:semiHidden/>
    <w:rsid w:val="00E2758D"/>
  </w:style>
  <w:style w:type="paragraph" w:styleId="HTMLAddress">
    <w:name w:val="HTML Address"/>
    <w:basedOn w:val="Normal"/>
    <w:link w:val="HTMLAddressChar"/>
    <w:uiPriority w:val="98"/>
    <w:semiHidden/>
    <w:rsid w:val="00E2758D"/>
    <w:rPr>
      <w:i/>
      <w:iCs/>
    </w:rPr>
  </w:style>
  <w:style w:type="character" w:customStyle="1" w:styleId="HTMLAddressChar">
    <w:name w:val="HTML Address Char"/>
    <w:basedOn w:val="DefaultParagraphFont"/>
    <w:link w:val="HTMLAddress"/>
    <w:uiPriority w:val="98"/>
    <w:semiHidden/>
    <w:rsid w:val="00E2758D"/>
    <w:rPr>
      <w:i/>
      <w:iCs/>
      <w:sz w:val="24"/>
      <w:szCs w:val="24"/>
      <w:lang w:val="fr-FR"/>
    </w:rPr>
  </w:style>
  <w:style w:type="character" w:styleId="HTMLCite">
    <w:name w:val="HTML Cite"/>
    <w:basedOn w:val="DefaultParagraphFont"/>
    <w:uiPriority w:val="98"/>
    <w:semiHidden/>
    <w:rsid w:val="00E2758D"/>
    <w:rPr>
      <w:i/>
      <w:iCs/>
    </w:rPr>
  </w:style>
  <w:style w:type="character" w:styleId="HTMLCode">
    <w:name w:val="HTML Code"/>
    <w:basedOn w:val="DefaultParagraphFont"/>
    <w:uiPriority w:val="98"/>
    <w:semiHidden/>
    <w:rsid w:val="00E2758D"/>
    <w:rPr>
      <w:rFonts w:ascii="Consolas" w:hAnsi="Consolas" w:cs="Consolas"/>
      <w:sz w:val="20"/>
      <w:szCs w:val="20"/>
    </w:rPr>
  </w:style>
  <w:style w:type="character" w:styleId="HTMLDefinition">
    <w:name w:val="HTML Definition"/>
    <w:basedOn w:val="DefaultParagraphFont"/>
    <w:uiPriority w:val="98"/>
    <w:semiHidden/>
    <w:rsid w:val="00E2758D"/>
    <w:rPr>
      <w:i/>
      <w:iCs/>
    </w:rPr>
  </w:style>
  <w:style w:type="character" w:styleId="HTMLKeyboard">
    <w:name w:val="HTML Keyboard"/>
    <w:basedOn w:val="DefaultParagraphFont"/>
    <w:uiPriority w:val="98"/>
    <w:semiHidden/>
    <w:rsid w:val="00E2758D"/>
    <w:rPr>
      <w:rFonts w:ascii="Consolas" w:hAnsi="Consolas" w:cs="Consolas"/>
      <w:sz w:val="20"/>
      <w:szCs w:val="20"/>
    </w:rPr>
  </w:style>
  <w:style w:type="paragraph" w:styleId="HTMLPreformatted">
    <w:name w:val="HTML Preformatted"/>
    <w:basedOn w:val="Normal"/>
    <w:link w:val="HTMLPreformattedChar"/>
    <w:uiPriority w:val="98"/>
    <w:semiHidden/>
    <w:rsid w:val="00E2758D"/>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E2758D"/>
    <w:rPr>
      <w:rFonts w:ascii="Consolas" w:hAnsi="Consolas" w:cs="Consolas"/>
      <w:sz w:val="20"/>
      <w:szCs w:val="20"/>
      <w:lang w:val="fr-FR"/>
    </w:rPr>
  </w:style>
  <w:style w:type="character" w:styleId="HTMLSample">
    <w:name w:val="HTML Sample"/>
    <w:basedOn w:val="DefaultParagraphFont"/>
    <w:uiPriority w:val="98"/>
    <w:semiHidden/>
    <w:rsid w:val="00E2758D"/>
    <w:rPr>
      <w:rFonts w:ascii="Consolas" w:hAnsi="Consolas" w:cs="Consolas"/>
      <w:sz w:val="24"/>
      <w:szCs w:val="24"/>
    </w:rPr>
  </w:style>
  <w:style w:type="character" w:styleId="HTMLTypewriter">
    <w:name w:val="HTML Typewriter"/>
    <w:basedOn w:val="DefaultParagraphFont"/>
    <w:uiPriority w:val="98"/>
    <w:semiHidden/>
    <w:rsid w:val="00E2758D"/>
    <w:rPr>
      <w:rFonts w:ascii="Consolas" w:hAnsi="Consolas" w:cs="Consolas"/>
      <w:sz w:val="20"/>
      <w:szCs w:val="20"/>
    </w:rPr>
  </w:style>
  <w:style w:type="character" w:styleId="HTMLVariable">
    <w:name w:val="HTML Variable"/>
    <w:basedOn w:val="DefaultParagraphFont"/>
    <w:uiPriority w:val="98"/>
    <w:semiHidden/>
    <w:rsid w:val="00E2758D"/>
    <w:rPr>
      <w:i/>
      <w:iCs/>
    </w:rPr>
  </w:style>
  <w:style w:type="paragraph" w:styleId="Index1">
    <w:name w:val="index 1"/>
    <w:basedOn w:val="Normal"/>
    <w:next w:val="Normal"/>
    <w:autoRedefine/>
    <w:uiPriority w:val="98"/>
    <w:semiHidden/>
    <w:rsid w:val="00E2758D"/>
    <w:pPr>
      <w:ind w:left="240" w:hanging="240"/>
    </w:pPr>
  </w:style>
  <w:style w:type="paragraph" w:styleId="Index2">
    <w:name w:val="index 2"/>
    <w:basedOn w:val="Normal"/>
    <w:next w:val="Normal"/>
    <w:autoRedefine/>
    <w:uiPriority w:val="98"/>
    <w:semiHidden/>
    <w:rsid w:val="00E2758D"/>
    <w:pPr>
      <w:ind w:left="480" w:hanging="240"/>
    </w:pPr>
  </w:style>
  <w:style w:type="paragraph" w:styleId="Index3">
    <w:name w:val="index 3"/>
    <w:basedOn w:val="Normal"/>
    <w:next w:val="Normal"/>
    <w:autoRedefine/>
    <w:uiPriority w:val="98"/>
    <w:semiHidden/>
    <w:rsid w:val="00E2758D"/>
    <w:pPr>
      <w:ind w:left="720" w:hanging="240"/>
    </w:pPr>
  </w:style>
  <w:style w:type="paragraph" w:styleId="Index4">
    <w:name w:val="index 4"/>
    <w:basedOn w:val="Normal"/>
    <w:next w:val="Normal"/>
    <w:autoRedefine/>
    <w:uiPriority w:val="98"/>
    <w:semiHidden/>
    <w:rsid w:val="00E2758D"/>
    <w:pPr>
      <w:ind w:left="960" w:hanging="240"/>
    </w:pPr>
  </w:style>
  <w:style w:type="paragraph" w:styleId="Index5">
    <w:name w:val="index 5"/>
    <w:basedOn w:val="Normal"/>
    <w:next w:val="Normal"/>
    <w:autoRedefine/>
    <w:uiPriority w:val="98"/>
    <w:semiHidden/>
    <w:rsid w:val="00E2758D"/>
    <w:pPr>
      <w:ind w:left="1200" w:hanging="240"/>
    </w:pPr>
  </w:style>
  <w:style w:type="paragraph" w:styleId="Index6">
    <w:name w:val="index 6"/>
    <w:basedOn w:val="Normal"/>
    <w:next w:val="Normal"/>
    <w:autoRedefine/>
    <w:uiPriority w:val="98"/>
    <w:semiHidden/>
    <w:rsid w:val="00E2758D"/>
    <w:pPr>
      <w:ind w:left="1440" w:hanging="240"/>
    </w:pPr>
  </w:style>
  <w:style w:type="paragraph" w:styleId="Index7">
    <w:name w:val="index 7"/>
    <w:basedOn w:val="Normal"/>
    <w:next w:val="Normal"/>
    <w:autoRedefine/>
    <w:uiPriority w:val="98"/>
    <w:semiHidden/>
    <w:rsid w:val="00E2758D"/>
    <w:pPr>
      <w:ind w:left="1680" w:hanging="240"/>
    </w:pPr>
  </w:style>
  <w:style w:type="paragraph" w:styleId="Index8">
    <w:name w:val="index 8"/>
    <w:basedOn w:val="Normal"/>
    <w:next w:val="Normal"/>
    <w:autoRedefine/>
    <w:uiPriority w:val="98"/>
    <w:semiHidden/>
    <w:rsid w:val="00E2758D"/>
    <w:pPr>
      <w:ind w:left="1920" w:hanging="240"/>
    </w:pPr>
  </w:style>
  <w:style w:type="paragraph" w:styleId="Index9">
    <w:name w:val="index 9"/>
    <w:basedOn w:val="Normal"/>
    <w:next w:val="Normal"/>
    <w:autoRedefine/>
    <w:uiPriority w:val="98"/>
    <w:semiHidden/>
    <w:rsid w:val="00E2758D"/>
    <w:pPr>
      <w:ind w:left="2160" w:hanging="240"/>
    </w:pPr>
  </w:style>
  <w:style w:type="paragraph" w:styleId="IndexHeading">
    <w:name w:val="index heading"/>
    <w:basedOn w:val="Normal"/>
    <w:next w:val="Index1"/>
    <w:uiPriority w:val="98"/>
    <w:semiHidden/>
    <w:rsid w:val="00E2758D"/>
    <w:rPr>
      <w:rFonts w:asciiTheme="majorHAnsi" w:eastAsiaTheme="majorEastAsia" w:hAnsiTheme="majorHAnsi" w:cstheme="majorBidi"/>
      <w:b/>
      <w:bCs/>
    </w:rPr>
  </w:style>
  <w:style w:type="table" w:styleId="LightGrid">
    <w:name w:val="Light Grid"/>
    <w:basedOn w:val="TableNormal"/>
    <w:uiPriority w:val="62"/>
    <w:semiHidden/>
    <w:rsid w:val="00E2758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2758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2758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2758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E2758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2758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2758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2758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2758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2758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2758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E2758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2758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2758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2758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2758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2758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2758D"/>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E2758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2758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2758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E2758D"/>
  </w:style>
  <w:style w:type="paragraph" w:styleId="List">
    <w:name w:val="List"/>
    <w:basedOn w:val="Normal"/>
    <w:uiPriority w:val="98"/>
    <w:semiHidden/>
    <w:rsid w:val="00E2758D"/>
    <w:pPr>
      <w:ind w:left="283" w:hanging="283"/>
      <w:contextualSpacing/>
    </w:pPr>
  </w:style>
  <w:style w:type="paragraph" w:styleId="List2">
    <w:name w:val="List 2"/>
    <w:basedOn w:val="Normal"/>
    <w:uiPriority w:val="98"/>
    <w:semiHidden/>
    <w:rsid w:val="00E2758D"/>
    <w:pPr>
      <w:ind w:left="566" w:hanging="283"/>
      <w:contextualSpacing/>
    </w:pPr>
  </w:style>
  <w:style w:type="paragraph" w:styleId="List3">
    <w:name w:val="List 3"/>
    <w:basedOn w:val="Normal"/>
    <w:uiPriority w:val="98"/>
    <w:semiHidden/>
    <w:rsid w:val="00E2758D"/>
    <w:pPr>
      <w:ind w:left="849" w:hanging="283"/>
      <w:contextualSpacing/>
    </w:pPr>
  </w:style>
  <w:style w:type="paragraph" w:styleId="List4">
    <w:name w:val="List 4"/>
    <w:basedOn w:val="Normal"/>
    <w:uiPriority w:val="98"/>
    <w:semiHidden/>
    <w:rsid w:val="00E2758D"/>
    <w:pPr>
      <w:ind w:left="1132" w:hanging="283"/>
      <w:contextualSpacing/>
    </w:pPr>
  </w:style>
  <w:style w:type="paragraph" w:styleId="List5">
    <w:name w:val="List 5"/>
    <w:basedOn w:val="Normal"/>
    <w:uiPriority w:val="98"/>
    <w:semiHidden/>
    <w:rsid w:val="00E2758D"/>
    <w:pPr>
      <w:ind w:left="1415" w:hanging="283"/>
      <w:contextualSpacing/>
    </w:pPr>
  </w:style>
  <w:style w:type="paragraph" w:styleId="ListBullet">
    <w:name w:val="List Bullet"/>
    <w:basedOn w:val="Normal"/>
    <w:uiPriority w:val="98"/>
    <w:semiHidden/>
    <w:rsid w:val="00E2758D"/>
    <w:pPr>
      <w:numPr>
        <w:numId w:val="4"/>
      </w:numPr>
    </w:pPr>
  </w:style>
  <w:style w:type="paragraph" w:styleId="ListBullet3">
    <w:name w:val="List Bullet 3"/>
    <w:basedOn w:val="Normal"/>
    <w:uiPriority w:val="98"/>
    <w:semiHidden/>
    <w:rsid w:val="00E2758D"/>
    <w:pPr>
      <w:numPr>
        <w:numId w:val="6"/>
      </w:numPr>
      <w:contextualSpacing/>
    </w:pPr>
  </w:style>
  <w:style w:type="paragraph" w:styleId="ListBullet4">
    <w:name w:val="List Bullet 4"/>
    <w:basedOn w:val="Normal"/>
    <w:uiPriority w:val="98"/>
    <w:semiHidden/>
    <w:rsid w:val="00E2758D"/>
    <w:pPr>
      <w:numPr>
        <w:numId w:val="7"/>
      </w:numPr>
      <w:contextualSpacing/>
    </w:pPr>
  </w:style>
  <w:style w:type="paragraph" w:styleId="ListBullet5">
    <w:name w:val="List Bullet 5"/>
    <w:basedOn w:val="Normal"/>
    <w:uiPriority w:val="98"/>
    <w:semiHidden/>
    <w:rsid w:val="00E2758D"/>
    <w:pPr>
      <w:numPr>
        <w:numId w:val="8"/>
      </w:numPr>
      <w:contextualSpacing/>
    </w:pPr>
  </w:style>
  <w:style w:type="paragraph" w:styleId="ListContinue">
    <w:name w:val="List Continue"/>
    <w:basedOn w:val="Normal"/>
    <w:uiPriority w:val="98"/>
    <w:semiHidden/>
    <w:rsid w:val="00E2758D"/>
    <w:pPr>
      <w:spacing w:after="120"/>
      <w:ind w:left="283"/>
      <w:contextualSpacing/>
    </w:pPr>
  </w:style>
  <w:style w:type="paragraph" w:styleId="ListContinue2">
    <w:name w:val="List Continue 2"/>
    <w:basedOn w:val="Normal"/>
    <w:uiPriority w:val="98"/>
    <w:semiHidden/>
    <w:rsid w:val="00E2758D"/>
    <w:pPr>
      <w:spacing w:after="120"/>
      <w:ind w:left="566"/>
      <w:contextualSpacing/>
    </w:pPr>
  </w:style>
  <w:style w:type="paragraph" w:styleId="ListContinue3">
    <w:name w:val="List Continue 3"/>
    <w:basedOn w:val="Normal"/>
    <w:uiPriority w:val="98"/>
    <w:semiHidden/>
    <w:rsid w:val="00E2758D"/>
    <w:pPr>
      <w:spacing w:after="120"/>
      <w:ind w:left="849"/>
      <w:contextualSpacing/>
    </w:pPr>
  </w:style>
  <w:style w:type="paragraph" w:styleId="ListContinue4">
    <w:name w:val="List Continue 4"/>
    <w:basedOn w:val="Normal"/>
    <w:uiPriority w:val="98"/>
    <w:semiHidden/>
    <w:rsid w:val="00E2758D"/>
    <w:pPr>
      <w:spacing w:after="120"/>
      <w:ind w:left="1132"/>
      <w:contextualSpacing/>
    </w:pPr>
  </w:style>
  <w:style w:type="paragraph" w:styleId="ListContinue5">
    <w:name w:val="List Continue 5"/>
    <w:basedOn w:val="Normal"/>
    <w:uiPriority w:val="98"/>
    <w:semiHidden/>
    <w:rsid w:val="00E2758D"/>
    <w:pPr>
      <w:spacing w:after="120"/>
      <w:ind w:left="1415"/>
      <w:contextualSpacing/>
    </w:pPr>
  </w:style>
  <w:style w:type="paragraph" w:styleId="ListNumber">
    <w:name w:val="List Number"/>
    <w:basedOn w:val="Normal"/>
    <w:uiPriority w:val="98"/>
    <w:semiHidden/>
    <w:rsid w:val="00E2758D"/>
    <w:pPr>
      <w:numPr>
        <w:numId w:val="9"/>
      </w:numPr>
      <w:contextualSpacing/>
    </w:pPr>
  </w:style>
  <w:style w:type="paragraph" w:styleId="ListNumber2">
    <w:name w:val="List Number 2"/>
    <w:basedOn w:val="Normal"/>
    <w:uiPriority w:val="98"/>
    <w:semiHidden/>
    <w:rsid w:val="00E2758D"/>
    <w:pPr>
      <w:numPr>
        <w:numId w:val="10"/>
      </w:numPr>
      <w:contextualSpacing/>
    </w:pPr>
  </w:style>
  <w:style w:type="paragraph" w:styleId="ListNumber3">
    <w:name w:val="List Number 3"/>
    <w:basedOn w:val="Normal"/>
    <w:uiPriority w:val="98"/>
    <w:semiHidden/>
    <w:rsid w:val="00E2758D"/>
    <w:pPr>
      <w:numPr>
        <w:numId w:val="11"/>
      </w:numPr>
      <w:contextualSpacing/>
    </w:pPr>
  </w:style>
  <w:style w:type="paragraph" w:styleId="ListNumber4">
    <w:name w:val="List Number 4"/>
    <w:basedOn w:val="Normal"/>
    <w:uiPriority w:val="98"/>
    <w:semiHidden/>
    <w:rsid w:val="00E2758D"/>
    <w:pPr>
      <w:numPr>
        <w:numId w:val="12"/>
      </w:numPr>
      <w:contextualSpacing/>
    </w:pPr>
  </w:style>
  <w:style w:type="paragraph" w:styleId="ListNumber5">
    <w:name w:val="List Number 5"/>
    <w:basedOn w:val="Normal"/>
    <w:uiPriority w:val="98"/>
    <w:semiHidden/>
    <w:rsid w:val="00E2758D"/>
    <w:pPr>
      <w:numPr>
        <w:numId w:val="13"/>
      </w:numPr>
      <w:contextualSpacing/>
    </w:pPr>
  </w:style>
  <w:style w:type="paragraph" w:styleId="MacroText">
    <w:name w:val="macro"/>
    <w:link w:val="MacroTextChar"/>
    <w:uiPriority w:val="98"/>
    <w:semiHidden/>
    <w:rsid w:val="00E2758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E2758D"/>
    <w:rPr>
      <w:rFonts w:ascii="Consolas" w:eastAsiaTheme="minorEastAsia" w:hAnsi="Consolas" w:cs="Consolas"/>
      <w:sz w:val="20"/>
      <w:szCs w:val="20"/>
    </w:rPr>
  </w:style>
  <w:style w:type="table" w:styleId="MediumGrid1">
    <w:name w:val="Medium Grid 1"/>
    <w:basedOn w:val="TableNormal"/>
    <w:uiPriority w:val="67"/>
    <w:semiHidden/>
    <w:rsid w:val="00E2758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2758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2758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2758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E2758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2758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2758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E275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E275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275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275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E275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275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275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E2758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2758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2758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2758D"/>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E2758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2758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2758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E2758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2758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2758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2758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2758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2758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2758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275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275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275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275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275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275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275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E2758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E2758D"/>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E2758D"/>
    <w:rPr>
      <w:rFonts w:ascii="Times New Roman" w:hAnsi="Times New Roman" w:cs="Times New Roman"/>
    </w:rPr>
  </w:style>
  <w:style w:type="paragraph" w:styleId="NormalIndent">
    <w:name w:val="Normal Indent"/>
    <w:basedOn w:val="Normal"/>
    <w:uiPriority w:val="98"/>
    <w:semiHidden/>
    <w:rsid w:val="00E2758D"/>
    <w:pPr>
      <w:ind w:left="720"/>
    </w:pPr>
  </w:style>
  <w:style w:type="paragraph" w:styleId="NoteHeading">
    <w:name w:val="Note Heading"/>
    <w:basedOn w:val="Normal"/>
    <w:next w:val="Normal"/>
    <w:link w:val="NoteHeadingChar"/>
    <w:uiPriority w:val="98"/>
    <w:semiHidden/>
    <w:rsid w:val="00E2758D"/>
  </w:style>
  <w:style w:type="character" w:customStyle="1" w:styleId="NoteHeadingChar">
    <w:name w:val="Note Heading Char"/>
    <w:basedOn w:val="DefaultParagraphFont"/>
    <w:link w:val="NoteHeading"/>
    <w:uiPriority w:val="98"/>
    <w:semiHidden/>
    <w:rsid w:val="00E2758D"/>
    <w:rPr>
      <w:sz w:val="24"/>
      <w:szCs w:val="24"/>
      <w:lang w:val="fr-FR"/>
    </w:rPr>
  </w:style>
  <w:style w:type="character" w:styleId="PlaceholderText">
    <w:name w:val="Placeholder Text"/>
    <w:basedOn w:val="DefaultParagraphFont"/>
    <w:uiPriority w:val="98"/>
    <w:semiHidden/>
    <w:rsid w:val="00E2758D"/>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E2758D"/>
    <w:rPr>
      <w:rFonts w:ascii="Consolas" w:hAnsi="Consolas" w:cs="Consolas"/>
      <w:sz w:val="21"/>
      <w:szCs w:val="21"/>
    </w:rPr>
  </w:style>
  <w:style w:type="character" w:customStyle="1" w:styleId="PlainTextChar">
    <w:name w:val="Plain Text Char"/>
    <w:basedOn w:val="DefaultParagraphFont"/>
    <w:link w:val="PlainText"/>
    <w:uiPriority w:val="98"/>
    <w:semiHidden/>
    <w:rsid w:val="00E2758D"/>
    <w:rPr>
      <w:rFonts w:ascii="Consolas" w:hAnsi="Consolas" w:cs="Consolas"/>
      <w:sz w:val="21"/>
      <w:szCs w:val="21"/>
      <w:lang w:val="fr-FR"/>
    </w:rPr>
  </w:style>
  <w:style w:type="paragraph" w:styleId="Salutation">
    <w:name w:val="Salutation"/>
    <w:basedOn w:val="Normal"/>
    <w:next w:val="Normal"/>
    <w:link w:val="SalutationChar"/>
    <w:uiPriority w:val="98"/>
    <w:semiHidden/>
    <w:rsid w:val="00E2758D"/>
  </w:style>
  <w:style w:type="character" w:customStyle="1" w:styleId="SalutationChar">
    <w:name w:val="Salutation Char"/>
    <w:basedOn w:val="DefaultParagraphFont"/>
    <w:link w:val="Salutation"/>
    <w:uiPriority w:val="98"/>
    <w:semiHidden/>
    <w:rsid w:val="00E2758D"/>
    <w:rPr>
      <w:sz w:val="24"/>
      <w:szCs w:val="24"/>
      <w:lang w:val="fr-FR"/>
    </w:rPr>
  </w:style>
  <w:style w:type="paragraph" w:styleId="Signature">
    <w:name w:val="Signature"/>
    <w:basedOn w:val="Normal"/>
    <w:link w:val="SignatureChar"/>
    <w:uiPriority w:val="98"/>
    <w:semiHidden/>
    <w:rsid w:val="00E2758D"/>
    <w:pPr>
      <w:ind w:left="4252"/>
    </w:pPr>
  </w:style>
  <w:style w:type="character" w:customStyle="1" w:styleId="SignatureChar">
    <w:name w:val="Signature Char"/>
    <w:basedOn w:val="DefaultParagraphFont"/>
    <w:link w:val="Signature"/>
    <w:uiPriority w:val="98"/>
    <w:semiHidden/>
    <w:rsid w:val="00E2758D"/>
    <w:rPr>
      <w:sz w:val="24"/>
      <w:szCs w:val="24"/>
      <w:lang w:val="fr-FR"/>
    </w:rPr>
  </w:style>
  <w:style w:type="table" w:styleId="Table3Deffects1">
    <w:name w:val="Table 3D effects 1"/>
    <w:basedOn w:val="TableNormal"/>
    <w:uiPriority w:val="99"/>
    <w:semiHidden/>
    <w:unhideWhenUsed/>
    <w:rsid w:val="00E2758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2758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2758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2758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2758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2758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2758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2758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2758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2758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2758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2758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2758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2758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2758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2758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2758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E2758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2758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2758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2758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2758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2758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2758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2758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2758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2758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2758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2758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2758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2758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2758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2758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E2758D"/>
    <w:pPr>
      <w:ind w:left="240" w:hanging="240"/>
    </w:pPr>
  </w:style>
  <w:style w:type="paragraph" w:styleId="TableofFigures">
    <w:name w:val="table of figures"/>
    <w:basedOn w:val="Normal"/>
    <w:next w:val="Normal"/>
    <w:uiPriority w:val="98"/>
    <w:semiHidden/>
    <w:rsid w:val="00E2758D"/>
  </w:style>
  <w:style w:type="table" w:styleId="TableProfessional">
    <w:name w:val="Table Professional"/>
    <w:basedOn w:val="TableNormal"/>
    <w:uiPriority w:val="99"/>
    <w:semiHidden/>
    <w:unhideWhenUsed/>
    <w:rsid w:val="00E2758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2758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2758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2758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2758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2758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2758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2758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2758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2758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E2758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E2758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E2758D"/>
    <w:pPr>
      <w:spacing w:after="100"/>
      <w:ind w:left="1680"/>
    </w:pPr>
  </w:style>
  <w:style w:type="paragraph" w:styleId="TOC9">
    <w:name w:val="toc 9"/>
    <w:basedOn w:val="Normal"/>
    <w:next w:val="Normal"/>
    <w:autoRedefine/>
    <w:uiPriority w:val="98"/>
    <w:semiHidden/>
    <w:rsid w:val="00E2758D"/>
    <w:pPr>
      <w:spacing w:after="100"/>
      <w:ind w:left="1920"/>
    </w:pPr>
  </w:style>
  <w:style w:type="paragraph" w:customStyle="1" w:styleId="ECHRFooter">
    <w:name w:val="ECHR_Footer"/>
    <w:aliases w:val="Footer_ECHR"/>
    <w:basedOn w:val="Footer0"/>
    <w:uiPriority w:val="57"/>
    <w:semiHidden/>
    <w:rsid w:val="00893F30"/>
    <w:rPr>
      <w:sz w:val="8"/>
    </w:rPr>
  </w:style>
  <w:style w:type="paragraph" w:customStyle="1" w:styleId="ECHRFooterLine">
    <w:name w:val="ECHR_Footer_Line"/>
    <w:aliases w:val="_Footer_Line"/>
    <w:basedOn w:val="Normal"/>
    <w:next w:val="Normal"/>
    <w:uiPriority w:val="29"/>
    <w:semiHidden/>
    <w:rsid w:val="00E2758D"/>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2758D"/>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E2758D"/>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E2758D"/>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2758D"/>
    <w:pPr>
      <w:numPr>
        <w:numId w:val="15"/>
      </w:numPr>
      <w:spacing w:before="60" w:after="60"/>
    </w:pPr>
  </w:style>
  <w:style w:type="paragraph" w:customStyle="1" w:styleId="ECHRBullet2">
    <w:name w:val="ECHR_Bullet_2"/>
    <w:aliases w:val="_Bul_2"/>
    <w:basedOn w:val="ECHRBullet1"/>
    <w:uiPriority w:val="23"/>
    <w:semiHidden/>
    <w:rsid w:val="00E2758D"/>
    <w:pPr>
      <w:numPr>
        <w:ilvl w:val="1"/>
      </w:numPr>
    </w:pPr>
  </w:style>
  <w:style w:type="paragraph" w:customStyle="1" w:styleId="ECHRBullet3">
    <w:name w:val="ECHR_Bullet_3"/>
    <w:aliases w:val="_Bul_3"/>
    <w:basedOn w:val="ECHRBullet2"/>
    <w:uiPriority w:val="23"/>
    <w:semiHidden/>
    <w:rsid w:val="00E2758D"/>
    <w:pPr>
      <w:numPr>
        <w:ilvl w:val="2"/>
      </w:numPr>
    </w:pPr>
  </w:style>
  <w:style w:type="paragraph" w:customStyle="1" w:styleId="ECHRBullet4">
    <w:name w:val="ECHR_Bullet_4"/>
    <w:aliases w:val="_Bul_4"/>
    <w:basedOn w:val="ECHRBullet3"/>
    <w:uiPriority w:val="23"/>
    <w:semiHidden/>
    <w:rsid w:val="00E2758D"/>
    <w:pPr>
      <w:numPr>
        <w:ilvl w:val="3"/>
      </w:numPr>
    </w:pPr>
  </w:style>
  <w:style w:type="paragraph" w:customStyle="1" w:styleId="ECHRConfidential">
    <w:name w:val="ECHR_Confidential"/>
    <w:aliases w:val="_Confidential"/>
    <w:basedOn w:val="Normal"/>
    <w:next w:val="Normal"/>
    <w:uiPriority w:val="42"/>
    <w:semiHidden/>
    <w:qFormat/>
    <w:rsid w:val="00E2758D"/>
    <w:pPr>
      <w:jc w:val="right"/>
    </w:pPr>
    <w:rPr>
      <w:color w:val="C00000"/>
      <w:sz w:val="20"/>
    </w:rPr>
  </w:style>
  <w:style w:type="paragraph" w:customStyle="1" w:styleId="ECHRDecisionBody">
    <w:name w:val="ECHR_Decision_Body"/>
    <w:aliases w:val="_Decision_Body"/>
    <w:basedOn w:val="NormalJustified"/>
    <w:uiPriority w:val="54"/>
    <w:semiHidden/>
    <w:rsid w:val="00E2758D"/>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E2758D"/>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E2758D"/>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29"/>
    <w:semiHidden/>
    <w:rsid w:val="00E2758D"/>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E2758D"/>
    <w:pPr>
      <w:jc w:val="right"/>
    </w:pPr>
    <w:rPr>
      <w:sz w:val="20"/>
    </w:rPr>
  </w:style>
  <w:style w:type="paragraph" w:customStyle="1" w:styleId="ECHRHeaderRefIt">
    <w:name w:val="ECHR_Header_Ref_It"/>
    <w:aliases w:val="_Ref_Ital"/>
    <w:basedOn w:val="Normal"/>
    <w:next w:val="ECHRHeaderDate"/>
    <w:uiPriority w:val="43"/>
    <w:semiHidden/>
    <w:qFormat/>
    <w:rsid w:val="00E2758D"/>
    <w:pPr>
      <w:jc w:val="right"/>
    </w:pPr>
    <w:rPr>
      <w:i/>
      <w:sz w:val="20"/>
    </w:rPr>
  </w:style>
  <w:style w:type="paragraph" w:customStyle="1" w:styleId="ECHRHeading9">
    <w:name w:val="ECHR_Heading_9"/>
    <w:aliases w:val="_Head_9"/>
    <w:basedOn w:val="Heading9"/>
    <w:uiPriority w:val="17"/>
    <w:semiHidden/>
    <w:rsid w:val="00E2758D"/>
    <w:pPr>
      <w:keepNext/>
      <w:keepLines/>
      <w:numPr>
        <w:ilvl w:val="8"/>
        <w:numId w:val="14"/>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E2758D"/>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E2758D"/>
    <w:pPr>
      <w:numPr>
        <w:numId w:val="17"/>
      </w:numPr>
      <w:spacing w:before="60" w:after="60"/>
    </w:pPr>
  </w:style>
  <w:style w:type="paragraph" w:customStyle="1" w:styleId="ECHRNumberedList2">
    <w:name w:val="ECHR_Numbered_List_2"/>
    <w:aliases w:val="_Num_2"/>
    <w:basedOn w:val="ECHRNumberedList1"/>
    <w:uiPriority w:val="23"/>
    <w:semiHidden/>
    <w:rsid w:val="00E2758D"/>
    <w:pPr>
      <w:numPr>
        <w:ilvl w:val="1"/>
      </w:numPr>
    </w:pPr>
  </w:style>
  <w:style w:type="paragraph" w:customStyle="1" w:styleId="ECHRNumberedList3">
    <w:name w:val="ECHR_Numbered_List_3"/>
    <w:aliases w:val="_Num_3"/>
    <w:basedOn w:val="ECHRNumberedList2"/>
    <w:uiPriority w:val="23"/>
    <w:semiHidden/>
    <w:rsid w:val="00E2758D"/>
    <w:pPr>
      <w:numPr>
        <w:ilvl w:val="2"/>
      </w:numPr>
    </w:pPr>
  </w:style>
  <w:style w:type="paragraph" w:customStyle="1" w:styleId="ECHRParaHanging">
    <w:name w:val="ECHR_Para_Hanging"/>
    <w:aliases w:val="_Hanging"/>
    <w:basedOn w:val="NormalJustified"/>
    <w:uiPriority w:val="8"/>
    <w:semiHidden/>
    <w:qFormat/>
    <w:rsid w:val="00E2758D"/>
    <w:pPr>
      <w:ind w:left="567" w:hanging="567"/>
    </w:pPr>
  </w:style>
  <w:style w:type="paragraph" w:customStyle="1" w:styleId="ECHRParaIndent">
    <w:name w:val="ECHR_Para_Indent"/>
    <w:aliases w:val="_Indent"/>
    <w:basedOn w:val="NormalJustified"/>
    <w:uiPriority w:val="7"/>
    <w:semiHidden/>
    <w:qFormat/>
    <w:rsid w:val="00E2758D"/>
    <w:pPr>
      <w:spacing w:before="120" w:after="120"/>
      <w:ind w:left="567"/>
    </w:pPr>
  </w:style>
  <w:style w:type="character" w:customStyle="1" w:styleId="ECHRRed">
    <w:name w:val="ECHR_Red"/>
    <w:aliases w:val="_Red"/>
    <w:basedOn w:val="DefaultParagraphFont"/>
    <w:uiPriority w:val="15"/>
    <w:semiHidden/>
    <w:qFormat/>
    <w:rsid w:val="00E2758D"/>
    <w:rPr>
      <w:color w:val="C00000" w:themeColor="accent2"/>
    </w:rPr>
  </w:style>
  <w:style w:type="paragraph" w:customStyle="1" w:styleId="DecList">
    <w:name w:val="Dec_List"/>
    <w:aliases w:val="_List"/>
    <w:basedOn w:val="JuList"/>
    <w:uiPriority w:val="22"/>
    <w:rsid w:val="00E2758D"/>
    <w:pPr>
      <w:numPr>
        <w:numId w:val="0"/>
      </w:numPr>
      <w:ind w:left="284"/>
    </w:pPr>
  </w:style>
  <w:style w:type="table" w:customStyle="1" w:styleId="ECHRTable2">
    <w:name w:val="ECHR_Table_2"/>
    <w:basedOn w:val="TableNormal"/>
    <w:uiPriority w:val="99"/>
    <w:rsid w:val="00E2758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E2758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E2758D"/>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E2758D"/>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E2758D"/>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E2758D"/>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E2758D"/>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E2758D"/>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E2758D"/>
    <w:pPr>
      <w:outlineLvl w:val="0"/>
    </w:pPr>
  </w:style>
  <w:style w:type="paragraph" w:customStyle="1" w:styleId="ECHRTitleTOC1">
    <w:name w:val="ECHR_Title_TOC_1"/>
    <w:aliases w:val="_Title_L_TOC"/>
    <w:basedOn w:val="ECHRTitle1"/>
    <w:next w:val="Normal"/>
    <w:uiPriority w:val="27"/>
    <w:semiHidden/>
    <w:qFormat/>
    <w:rsid w:val="00E2758D"/>
    <w:pPr>
      <w:outlineLvl w:val="0"/>
    </w:pPr>
  </w:style>
  <w:style w:type="paragraph" w:customStyle="1" w:styleId="ECHRPlaceholder">
    <w:name w:val="ECHR_Placeholder"/>
    <w:aliases w:val="_Placeholder"/>
    <w:basedOn w:val="JuSigned"/>
    <w:uiPriority w:val="31"/>
    <w:rsid w:val="00E2758D"/>
    <w:rPr>
      <w:color w:val="FFFFFF"/>
    </w:rPr>
  </w:style>
  <w:style w:type="paragraph" w:customStyle="1" w:styleId="ECHRSpacer">
    <w:name w:val="ECHR_Spacer"/>
    <w:aliases w:val="_Spacer"/>
    <w:basedOn w:val="Normal"/>
    <w:uiPriority w:val="45"/>
    <w:semiHidden/>
    <w:rsid w:val="00E2758D"/>
    <w:rPr>
      <w:sz w:val="4"/>
    </w:rPr>
  </w:style>
  <w:style w:type="table" w:customStyle="1" w:styleId="ECHRTableGrey">
    <w:name w:val="ECHR_Table_Grey"/>
    <w:basedOn w:val="TableNormal"/>
    <w:uiPriority w:val="99"/>
    <w:rsid w:val="00E2758D"/>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884261"/>
    <w:rPr>
      <w:color w:val="605E5C"/>
      <w:shd w:val="clear" w:color="auto" w:fill="E1DFDD"/>
    </w:rPr>
  </w:style>
  <w:style w:type="character" w:customStyle="1" w:styleId="JuParaChar">
    <w:name w:val="Ju_Para Char"/>
    <w:aliases w:val="_Para Char"/>
    <w:link w:val="JuPara"/>
    <w:uiPriority w:val="4"/>
    <w:rsid w:val="00BA1BB1"/>
    <w:rPr>
      <w:sz w:val="24"/>
      <w:szCs w:val="24"/>
      <w:lang w:val="fr-FR"/>
    </w:rPr>
  </w:style>
  <w:style w:type="table" w:styleId="GridTable1Light-Accent1">
    <w:name w:val="Grid Table 1 Light Accent 1"/>
    <w:basedOn w:val="TableNormal"/>
    <w:uiPriority w:val="46"/>
    <w:semiHidden/>
    <w:rsid w:val="00D3796E"/>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D3796E"/>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D3796E"/>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D3796E"/>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D3796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D3796E"/>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D3796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D3796E"/>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D3796E"/>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D3796E"/>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D3796E"/>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D3796E"/>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D3796E"/>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D3796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D3796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D3796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D3796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D3796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D3796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D3796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D3796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D3796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D3796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D3796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D3796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D3796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D3796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D379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D379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D379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D379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D379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D379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D379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D3796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D3796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D3796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D3796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D3796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D3796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D3796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D3796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D3796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D3796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D3796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D3796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D3796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D3796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D3796E"/>
    <w:rPr>
      <w:color w:val="2B579A"/>
      <w:shd w:val="clear" w:color="auto" w:fill="E1DFDD"/>
    </w:rPr>
  </w:style>
  <w:style w:type="table" w:styleId="ListTable1Light">
    <w:name w:val="List Table 1 Light"/>
    <w:basedOn w:val="TableNormal"/>
    <w:uiPriority w:val="46"/>
    <w:semiHidden/>
    <w:rsid w:val="00D3796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D3796E"/>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D3796E"/>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D3796E"/>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D3796E"/>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D3796E"/>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D3796E"/>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D3796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D3796E"/>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D3796E"/>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D3796E"/>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D3796E"/>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D3796E"/>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D3796E"/>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D3796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D3796E"/>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D3796E"/>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D3796E"/>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D3796E"/>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D3796E"/>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D3796E"/>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D3796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D3796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D3796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D3796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D3796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D3796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D3796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D3796E"/>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D3796E"/>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D3796E"/>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D3796E"/>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D3796E"/>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D3796E"/>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D3796E"/>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D3796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D3796E"/>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D3796E"/>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D3796E"/>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D3796E"/>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D3796E"/>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D3796E"/>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D3796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D3796E"/>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D3796E"/>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D3796E"/>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D3796E"/>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D3796E"/>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D3796E"/>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D3796E"/>
    <w:rPr>
      <w:color w:val="2B579A"/>
      <w:shd w:val="clear" w:color="auto" w:fill="E1DFDD"/>
    </w:rPr>
  </w:style>
  <w:style w:type="table" w:styleId="PlainTable1">
    <w:name w:val="Plain Table 1"/>
    <w:basedOn w:val="TableNormal"/>
    <w:uiPriority w:val="41"/>
    <w:semiHidden/>
    <w:rsid w:val="00D3796E"/>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D3796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D3796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D3796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D3796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D3796E"/>
    <w:rPr>
      <w:u w:val="dotted"/>
    </w:rPr>
  </w:style>
  <w:style w:type="character" w:customStyle="1" w:styleId="SmartLink">
    <w:name w:val="Smart Link"/>
    <w:basedOn w:val="DefaultParagraphFont"/>
    <w:uiPriority w:val="99"/>
    <w:semiHidden/>
    <w:unhideWhenUsed/>
    <w:rsid w:val="00D3796E"/>
    <w:rPr>
      <w:color w:val="0000FF"/>
      <w:u w:val="single"/>
      <w:shd w:val="clear" w:color="auto" w:fill="F3F2F1"/>
    </w:rPr>
  </w:style>
  <w:style w:type="table" w:styleId="TableGridLight">
    <w:name w:val="Grid Table Light"/>
    <w:basedOn w:val="TableNormal"/>
    <w:uiPriority w:val="40"/>
    <w:semiHidden/>
    <w:rsid w:val="00D3796E"/>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DummyStyle">
    <w:name w:val="Dummy_Style"/>
    <w:aliases w:val="_Dummy"/>
    <w:basedOn w:val="Normal"/>
    <w:semiHidden/>
    <w:qFormat/>
    <w:rsid w:val="00E2758D"/>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12836E-C6BD-4DC2-90D5-59B294B05F10}">
  <ds:schemaRefs>
    <ds:schemaRef ds:uri="http://schemas.openxmlformats.org/officeDocument/2006/bibliography"/>
  </ds:schemaRefs>
</ds:datastoreItem>
</file>

<file path=customXml/itemProps2.xml><?xml version="1.0" encoding="utf-8"?>
<ds:datastoreItem xmlns:ds="http://schemas.openxmlformats.org/officeDocument/2006/customXml" ds:itemID="{9AAF545C-088F-41B7-9EB3-67416DBDEF44}"/>
</file>

<file path=customXml/itemProps3.xml><?xml version="1.0" encoding="utf-8"?>
<ds:datastoreItem xmlns:ds="http://schemas.openxmlformats.org/officeDocument/2006/customXml" ds:itemID="{DC9300D7-EE6C-4931-BE7B-FC47C475F046}"/>
</file>

<file path=customXml/itemProps4.xml><?xml version="1.0" encoding="utf-8"?>
<ds:datastoreItem xmlns:ds="http://schemas.openxmlformats.org/officeDocument/2006/customXml" ds:itemID="{46A9CEFC-F7A5-4B30-9453-6685E215EB13}"/>
</file>

<file path=docProps/app.xml><?xml version="1.0" encoding="utf-8"?>
<Properties xmlns="http://schemas.openxmlformats.org/officeDocument/2006/extended-properties" xmlns:vt="http://schemas.openxmlformats.org/officeDocument/2006/docPropsVTypes">
  <Template>Normal.dotm</Template>
  <TotalTime>0</TotalTime>
  <Pages>1</Pages>
  <Words>2097</Words>
  <Characters>11955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14024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lastModifiedBy/>
  <cp:revision>1</cp:revision>
  <dcterms:created xsi:type="dcterms:W3CDTF">2023-06-08T07:50:00Z</dcterms:created>
  <dcterms:modified xsi:type="dcterms:W3CDTF">2023-06-08T07:50:00Z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34734/13</vt:lpwstr>
  </property>
  <property fmtid="{D5CDD505-2E9C-101B-9397-08002B2CF9AE}" pid="4" name="CASEID">
    <vt:lpwstr>885347</vt:lpwstr>
  </property>
  <property fmtid="{D5CDD505-2E9C-101B-9397-08002B2CF9AE}" pid="5" name="ContentTypeId">
    <vt:lpwstr>0x010100558EB02BDB9E204AB350EDD385B68E10</vt:lpwstr>
  </property>
</Properties>
</file>