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20FD6" w14:textId="77777777" w:rsidR="00031026" w:rsidRPr="00031026" w:rsidRDefault="00031026" w:rsidP="00031026">
      <w:pPr>
        <w:jc w:val="center"/>
        <w:rPr>
          <w:rFonts w:ascii="Times New Roman" w:hAnsi="Times New Roman" w:cs="Times New Roman"/>
        </w:rPr>
      </w:pPr>
    </w:p>
    <w:p w14:paraId="65D66C37" w14:textId="77777777" w:rsidR="00031026" w:rsidRPr="00031026" w:rsidRDefault="00031026" w:rsidP="00031026">
      <w:pPr>
        <w:jc w:val="center"/>
      </w:pPr>
    </w:p>
    <w:p w14:paraId="6E027443" w14:textId="77777777" w:rsidR="00031026" w:rsidRPr="00031026" w:rsidRDefault="00031026" w:rsidP="00031026">
      <w:pPr>
        <w:pStyle w:val="DecHCase"/>
      </w:pPr>
      <w:r>
        <w:t>SEKCJA PIĄTA</w:t>
      </w:r>
    </w:p>
    <w:p w14:paraId="6F3318F6" w14:textId="677430B7" w:rsidR="00031026" w:rsidRPr="00031026" w:rsidRDefault="00031026" w:rsidP="00031026">
      <w:pPr>
        <w:pStyle w:val="JuTitle"/>
        <w:spacing w:before="1200"/>
      </w:pPr>
      <w:bookmarkStart w:id="0" w:name="To"/>
      <w:r>
        <w:rPr>
          <w:color w:val="000000" w:themeColor="text1"/>
        </w:rPr>
        <w:t xml:space="preserve">SPRAWA </w:t>
      </w:r>
      <w:bookmarkEnd w:id="0"/>
      <w:r>
        <w:t>AZIZOV I NOVRUZLU p</w:t>
      </w:r>
      <w:r w:rsidR="00225B78">
        <w:t>.</w:t>
      </w:r>
      <w:r>
        <w:t xml:space="preserve"> AZERBEJDŻANOWI</w:t>
      </w:r>
    </w:p>
    <w:p w14:paraId="1651817E" w14:textId="77777777" w:rsidR="00031026" w:rsidRPr="00031026" w:rsidRDefault="00031026" w:rsidP="00031026">
      <w:pPr>
        <w:pStyle w:val="ECHRCoverTitle4"/>
      </w:pPr>
      <w:r>
        <w:t xml:space="preserve">(Skargi nr </w:t>
      </w:r>
      <w:bookmarkStart w:id="1" w:name="_Hlk138426894"/>
      <w:r>
        <w:t>65583/13 oraz 70106/13</w:t>
      </w:r>
      <w:bookmarkEnd w:id="1"/>
      <w:r>
        <w:t>)</w:t>
      </w:r>
    </w:p>
    <w:p w14:paraId="4FE17672" w14:textId="77777777" w:rsidR="00031026" w:rsidRPr="00031026" w:rsidRDefault="00031026" w:rsidP="00031026">
      <w:pPr>
        <w:pStyle w:val="DecHCase"/>
      </w:pPr>
    </w:p>
    <w:p w14:paraId="1789CBAF" w14:textId="77777777" w:rsidR="00031026" w:rsidRPr="00031026" w:rsidRDefault="00031026" w:rsidP="00031026">
      <w:pPr>
        <w:pStyle w:val="DecHCase"/>
      </w:pPr>
    </w:p>
    <w:p w14:paraId="1C57AB01" w14:textId="77777777" w:rsidR="00031026" w:rsidRPr="00031026" w:rsidRDefault="00031026" w:rsidP="00031026">
      <w:pPr>
        <w:pStyle w:val="DecHCase"/>
        <w:spacing w:after="120"/>
      </w:pPr>
    </w:p>
    <w:p w14:paraId="6A480234" w14:textId="77777777" w:rsidR="00031026" w:rsidRPr="00031026" w:rsidRDefault="00031026" w:rsidP="00031026">
      <w:pPr>
        <w:pStyle w:val="DecHCase"/>
      </w:pPr>
      <w:r>
        <w:t>WYROK</w:t>
      </w:r>
      <w:r>
        <w:br/>
      </w:r>
    </w:p>
    <w:p w14:paraId="6789719C" w14:textId="4F063A47" w:rsidR="00031026" w:rsidRPr="00031026" w:rsidRDefault="00225B78" w:rsidP="00031026">
      <w:pPr>
        <w:pStyle w:val="JuPara"/>
        <w:pBdr>
          <w:top w:val="single" w:sz="4" w:space="1" w:color="auto"/>
          <w:left w:val="single" w:sz="4" w:space="4" w:color="auto"/>
          <w:bottom w:val="single" w:sz="4" w:space="1" w:color="auto"/>
          <w:right w:val="single" w:sz="4" w:space="4" w:color="auto"/>
        </w:pBdr>
        <w:ind w:firstLine="0"/>
      </w:pPr>
      <w:r>
        <w:t xml:space="preserve">Art. </w:t>
      </w:r>
      <w:r w:rsidR="00031026">
        <w:t>5 ust. 3 – Zasadność tymczasowego aresztowania – Brak przedstawienia przez sądy krajowe „</w:t>
      </w:r>
      <w:r>
        <w:t>odpowiednich</w:t>
      </w:r>
      <w:r w:rsidR="00031026">
        <w:t>” i „wystarczających” powodów uzasadniających przedłużenie tymczasowego aresztowania skarżących</w:t>
      </w:r>
    </w:p>
    <w:p w14:paraId="1ED85D05" w14:textId="5B815C45" w:rsidR="00031026" w:rsidRPr="00031026" w:rsidRDefault="00225B78" w:rsidP="00031026">
      <w:pPr>
        <w:pStyle w:val="JuPara"/>
        <w:pBdr>
          <w:top w:val="single" w:sz="4" w:space="1" w:color="auto"/>
          <w:left w:val="single" w:sz="4" w:space="4" w:color="auto"/>
          <w:bottom w:val="single" w:sz="4" w:space="1" w:color="auto"/>
          <w:right w:val="single" w:sz="4" w:space="4" w:color="auto"/>
        </w:pBdr>
        <w:ind w:firstLine="0"/>
      </w:pPr>
      <w:r>
        <w:t xml:space="preserve">Art. </w:t>
      </w:r>
      <w:r w:rsidR="00031026">
        <w:t xml:space="preserve">18 (+ art. 5 ust. 3) – Ograniczenia w niedozwolonych celach – Tymczasowe aresztowanie działaczy opozycji, którego ukrytym i </w:t>
      </w:r>
      <w:r w:rsidR="00CB5AFB">
        <w:t xml:space="preserve">głównym </w:t>
      </w:r>
      <w:r w:rsidR="00031026">
        <w:t>celem było ukaranie i uciszenie ich za aktywny udział w demonstracjach antyrządowych</w:t>
      </w:r>
    </w:p>
    <w:p w14:paraId="6D753925" w14:textId="77777777" w:rsidR="00031026" w:rsidRPr="00031026" w:rsidRDefault="00031026" w:rsidP="00031026">
      <w:pPr>
        <w:pStyle w:val="DecHCase"/>
        <w:spacing w:after="120"/>
      </w:pPr>
    </w:p>
    <w:p w14:paraId="451E205A" w14:textId="77777777" w:rsidR="00031026" w:rsidRPr="00031026" w:rsidRDefault="00031026" w:rsidP="00031026">
      <w:pPr>
        <w:pStyle w:val="DecHCase"/>
      </w:pPr>
      <w:r>
        <w:t>STRASBURG</w:t>
      </w:r>
    </w:p>
    <w:p w14:paraId="2FCBE35B" w14:textId="77777777" w:rsidR="00031026" w:rsidRPr="00031026" w:rsidRDefault="00031026" w:rsidP="00031026">
      <w:pPr>
        <w:pStyle w:val="DecHCase"/>
      </w:pPr>
      <w:r>
        <w:rPr>
          <w:rFonts w:ascii="Times New Roman" w:hAnsi="Times New Roman"/>
        </w:rPr>
        <w:t>18 lutego 2021 r.</w:t>
      </w:r>
    </w:p>
    <w:p w14:paraId="3BDDD88D" w14:textId="0CBDB0FD" w:rsidR="00031026" w:rsidRPr="00031026" w:rsidRDefault="00031026" w:rsidP="00031026">
      <w:pPr>
        <w:pStyle w:val="jucase0"/>
        <w:ind w:firstLine="0"/>
        <w:jc w:val="center"/>
        <w:rPr>
          <w:color w:val="FF0000"/>
          <w:sz w:val="28"/>
          <w:szCs w:val="28"/>
          <w:u w:val="single"/>
        </w:rPr>
      </w:pPr>
      <w:r>
        <w:rPr>
          <w:color w:val="FF0000"/>
          <w:sz w:val="28"/>
          <w:szCs w:val="28"/>
          <w:u w:val="single"/>
        </w:rPr>
        <w:t>OSTATECZNY</w:t>
      </w:r>
    </w:p>
    <w:p w14:paraId="48C95F6E" w14:textId="77777777" w:rsidR="00031026" w:rsidRPr="00031026" w:rsidRDefault="00031026" w:rsidP="00031026">
      <w:pPr>
        <w:pStyle w:val="jucase0"/>
        <w:ind w:firstLine="0"/>
        <w:jc w:val="center"/>
        <w:rPr>
          <w:b w:val="0"/>
          <w:bCs w:val="0"/>
          <w:color w:val="FF0000"/>
          <w:u w:val="single"/>
        </w:rPr>
      </w:pPr>
    </w:p>
    <w:p w14:paraId="705EE05D" w14:textId="77777777" w:rsidR="00031026" w:rsidRPr="00031026" w:rsidRDefault="00031026" w:rsidP="00031026">
      <w:pPr>
        <w:pStyle w:val="jucase0"/>
        <w:ind w:firstLine="0"/>
        <w:jc w:val="center"/>
        <w:rPr>
          <w:b w:val="0"/>
          <w:color w:val="FF0000"/>
          <w:sz w:val="28"/>
          <w:szCs w:val="28"/>
        </w:rPr>
      </w:pPr>
      <w:r>
        <w:rPr>
          <w:b w:val="0"/>
          <w:color w:val="FF0000"/>
          <w:sz w:val="28"/>
          <w:szCs w:val="28"/>
        </w:rPr>
        <w:t>18/05/2021</w:t>
      </w:r>
    </w:p>
    <w:p w14:paraId="02D25516" w14:textId="77777777" w:rsidR="00031026" w:rsidRPr="00031026" w:rsidRDefault="00031026" w:rsidP="00031026">
      <w:pPr>
        <w:pStyle w:val="jupara0"/>
        <w:spacing w:after="120"/>
        <w:ind w:firstLine="0"/>
        <w:jc w:val="center"/>
      </w:pPr>
    </w:p>
    <w:p w14:paraId="5A16E5DD" w14:textId="5E5AE1BA" w:rsidR="00031026" w:rsidRPr="00031026" w:rsidRDefault="00031026" w:rsidP="00031026">
      <w:pPr>
        <w:jc w:val="center"/>
        <w:rPr>
          <w:i/>
          <w:sz w:val="22"/>
        </w:rPr>
      </w:pPr>
      <w:r>
        <w:rPr>
          <w:i/>
          <w:iCs/>
          <w:sz w:val="22"/>
          <w:szCs w:val="22"/>
        </w:rPr>
        <w:t xml:space="preserve">Wyrok stał się ostateczny zgodnie z warunkami określonymi w art. 44 ust. 2 Konwencji. </w:t>
      </w:r>
      <w:r w:rsidR="00CB5AFB">
        <w:rPr>
          <w:i/>
          <w:iCs/>
          <w:sz w:val="22"/>
          <w:szCs w:val="22"/>
        </w:rPr>
        <w:t>M</w:t>
      </w:r>
      <w:r>
        <w:rPr>
          <w:i/>
          <w:iCs/>
          <w:sz w:val="22"/>
          <w:szCs w:val="22"/>
        </w:rPr>
        <w:t>oże podlegać korekcie wydawniczej.</w:t>
      </w:r>
    </w:p>
    <w:p w14:paraId="3B7D23F5" w14:textId="77777777" w:rsidR="00031026" w:rsidRPr="00031026" w:rsidRDefault="00031026" w:rsidP="00031026">
      <w:pPr>
        <w:sectPr w:rsidR="00031026" w:rsidRPr="00031026" w:rsidSect="00197783">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docGrid w:linePitch="326"/>
        </w:sectPr>
      </w:pPr>
    </w:p>
    <w:p w14:paraId="4AD94239" w14:textId="11F7D770" w:rsidR="00031026" w:rsidRPr="00031026" w:rsidRDefault="00031026" w:rsidP="00031026">
      <w:pPr>
        <w:pStyle w:val="JuCase"/>
      </w:pPr>
      <w:r>
        <w:lastRenderedPageBreak/>
        <w:t xml:space="preserve">W sprawie </w:t>
      </w:r>
      <w:proofErr w:type="spellStart"/>
      <w:r>
        <w:t>Azizov</w:t>
      </w:r>
      <w:proofErr w:type="spellEnd"/>
      <w:r>
        <w:t xml:space="preserve"> i </w:t>
      </w:r>
      <w:proofErr w:type="spellStart"/>
      <w:r>
        <w:t>Novruzlu</w:t>
      </w:r>
      <w:proofErr w:type="spellEnd"/>
      <w:r>
        <w:t xml:space="preserve"> przeciwko Azerbejdżanowi</w:t>
      </w:r>
      <w:r w:rsidR="00CB5AFB">
        <w:t>,</w:t>
      </w:r>
    </w:p>
    <w:p w14:paraId="0BCE64D8" w14:textId="77777777" w:rsidR="00031026" w:rsidRPr="00031026" w:rsidRDefault="00031026" w:rsidP="00031026">
      <w:pPr>
        <w:pStyle w:val="JuPara"/>
      </w:pPr>
      <w:r>
        <w:t>Europejski Trybunał Praw Człowieka (sekcja piąta), zasiadając jako Izba w składzie:</w:t>
      </w:r>
    </w:p>
    <w:p w14:paraId="07FF67AC" w14:textId="3815044C" w:rsidR="00031026" w:rsidRPr="00031026" w:rsidRDefault="00031026" w:rsidP="00031026">
      <w:pPr>
        <w:pStyle w:val="JuJudges"/>
      </w:pPr>
      <w:r>
        <w:tab/>
      </w:r>
      <w:proofErr w:type="spellStart"/>
      <w:r>
        <w:t>Síofra</w:t>
      </w:r>
      <w:proofErr w:type="spellEnd"/>
      <w:r>
        <w:t xml:space="preserve"> </w:t>
      </w:r>
      <w:proofErr w:type="spellStart"/>
      <w:r>
        <w:t>O’Leary</w:t>
      </w:r>
      <w:proofErr w:type="spellEnd"/>
      <w:r>
        <w:t>,</w:t>
      </w:r>
      <w:r>
        <w:rPr>
          <w:i/>
        </w:rPr>
        <w:t xml:space="preserve"> </w:t>
      </w:r>
      <w:r w:rsidR="00CB5AFB">
        <w:rPr>
          <w:i/>
        </w:rPr>
        <w:t>P</w:t>
      </w:r>
      <w:r>
        <w:rPr>
          <w:i/>
        </w:rPr>
        <w:t>rzewodnicząca</w:t>
      </w:r>
      <w:r>
        <w:t>,</w:t>
      </w:r>
      <w:r>
        <w:rPr>
          <w:i/>
        </w:rPr>
        <w:br/>
      </w:r>
      <w:r>
        <w:tab/>
      </w:r>
      <w:proofErr w:type="spellStart"/>
      <w:r>
        <w:t>Ganna</w:t>
      </w:r>
      <w:proofErr w:type="spellEnd"/>
      <w:r>
        <w:t xml:space="preserve"> </w:t>
      </w:r>
      <w:proofErr w:type="spellStart"/>
      <w:r>
        <w:t>Yudkivska</w:t>
      </w:r>
      <w:proofErr w:type="spellEnd"/>
      <w:r>
        <w:t>,</w:t>
      </w:r>
      <w:r>
        <w:rPr>
          <w:i/>
        </w:rPr>
        <w:br/>
      </w:r>
      <w:r>
        <w:tab/>
      </w:r>
      <w:proofErr w:type="spellStart"/>
      <w:r>
        <w:t>Stéphanie</w:t>
      </w:r>
      <w:proofErr w:type="spellEnd"/>
      <w:r>
        <w:t xml:space="preserve"> </w:t>
      </w:r>
      <w:proofErr w:type="spellStart"/>
      <w:r>
        <w:t>Mourou-Vikström</w:t>
      </w:r>
      <w:proofErr w:type="spellEnd"/>
      <w:r>
        <w:t>,</w:t>
      </w:r>
      <w:r>
        <w:rPr>
          <w:i/>
        </w:rPr>
        <w:br/>
      </w:r>
      <w:r>
        <w:tab/>
      </w:r>
      <w:proofErr w:type="spellStart"/>
      <w:r>
        <w:t>Lətif</w:t>
      </w:r>
      <w:proofErr w:type="spellEnd"/>
      <w:r>
        <w:t xml:space="preserve"> </w:t>
      </w:r>
      <w:proofErr w:type="spellStart"/>
      <w:r>
        <w:t>Hüseynov</w:t>
      </w:r>
      <w:proofErr w:type="spellEnd"/>
      <w:r>
        <w:t>,</w:t>
      </w:r>
      <w:r>
        <w:rPr>
          <w:i/>
        </w:rPr>
        <w:br/>
      </w:r>
      <w:r>
        <w:tab/>
        <w:t xml:space="preserve">Lado </w:t>
      </w:r>
      <w:proofErr w:type="spellStart"/>
      <w:r>
        <w:t>Chanturia</w:t>
      </w:r>
      <w:proofErr w:type="spellEnd"/>
      <w:r>
        <w:t>,</w:t>
      </w:r>
      <w:r>
        <w:rPr>
          <w:i/>
        </w:rPr>
        <w:br/>
      </w:r>
      <w:r>
        <w:tab/>
        <w:t xml:space="preserve">Ivana </w:t>
      </w:r>
      <w:proofErr w:type="spellStart"/>
      <w:r>
        <w:t>Jelić</w:t>
      </w:r>
      <w:proofErr w:type="spellEnd"/>
      <w:r>
        <w:t>,</w:t>
      </w:r>
      <w:r>
        <w:rPr>
          <w:i/>
        </w:rPr>
        <w:br/>
      </w:r>
      <w:r>
        <w:tab/>
      </w:r>
      <w:proofErr w:type="spellStart"/>
      <w:r>
        <w:t>Arnfinn</w:t>
      </w:r>
      <w:proofErr w:type="spellEnd"/>
      <w:r>
        <w:t xml:space="preserve"> </w:t>
      </w:r>
      <w:proofErr w:type="spellStart"/>
      <w:r>
        <w:t>Bårdsen</w:t>
      </w:r>
      <w:proofErr w:type="spellEnd"/>
      <w:r>
        <w:t>,</w:t>
      </w:r>
      <w:r>
        <w:rPr>
          <w:i/>
        </w:rPr>
        <w:t xml:space="preserve"> sędziowie</w:t>
      </w:r>
      <w:r>
        <w:br/>
        <w:t xml:space="preserve">oraz Victor </w:t>
      </w:r>
      <w:proofErr w:type="spellStart"/>
      <w:r>
        <w:t>Soloveytchik</w:t>
      </w:r>
      <w:proofErr w:type="spellEnd"/>
      <w:r>
        <w:t xml:space="preserve">, </w:t>
      </w:r>
      <w:r w:rsidR="00CB5AFB">
        <w:rPr>
          <w:i/>
          <w:iCs/>
        </w:rPr>
        <w:t>K</w:t>
      </w:r>
      <w:r>
        <w:rPr>
          <w:i/>
          <w:iCs/>
        </w:rPr>
        <w:t xml:space="preserve">anclerz </w:t>
      </w:r>
      <w:r w:rsidR="00CB5AFB">
        <w:rPr>
          <w:i/>
        </w:rPr>
        <w:t>S</w:t>
      </w:r>
      <w:r>
        <w:rPr>
          <w:i/>
        </w:rPr>
        <w:t>ekcji</w:t>
      </w:r>
      <w:r>
        <w:t>,</w:t>
      </w:r>
    </w:p>
    <w:p w14:paraId="6C38E39C" w14:textId="77777777" w:rsidR="00031026" w:rsidRPr="00031026" w:rsidRDefault="00031026" w:rsidP="00031026">
      <w:pPr>
        <w:pStyle w:val="JuPara"/>
      </w:pPr>
      <w:bookmarkStart w:id="2" w:name="ITMARKHavingStart"/>
      <w:bookmarkEnd w:id="2"/>
      <w:r>
        <w:t>Mając na uwadze:</w:t>
      </w:r>
    </w:p>
    <w:p w14:paraId="5D80C55E" w14:textId="1952ABD5" w:rsidR="00031026" w:rsidRPr="00031026" w:rsidRDefault="00031026" w:rsidP="00031026">
      <w:pPr>
        <w:pStyle w:val="JuPara"/>
      </w:pPr>
      <w:r>
        <w:t xml:space="preserve">skargi (nr 65583/13 i 70106/13) przeciwko Republice Azerbejdżanu wniesione do Trybunału na podstawie art. 34 Konwencji o ochronie praw człowieka i podstawowych wolności („Konwencja”) przez dwóch obywateli Azerbejdżanu, p. </w:t>
      </w:r>
      <w:proofErr w:type="spellStart"/>
      <w:r>
        <w:t>Mammada</w:t>
      </w:r>
      <w:proofErr w:type="spellEnd"/>
      <w:r>
        <w:t xml:space="preserve"> </w:t>
      </w:r>
      <w:proofErr w:type="spellStart"/>
      <w:r>
        <w:t>Rasima</w:t>
      </w:r>
      <w:proofErr w:type="spellEnd"/>
      <w:r>
        <w:t xml:space="preserve"> </w:t>
      </w:r>
      <w:proofErr w:type="spellStart"/>
      <w:r>
        <w:t>oglu</w:t>
      </w:r>
      <w:proofErr w:type="spellEnd"/>
      <w:r>
        <w:t xml:space="preserve"> </w:t>
      </w:r>
      <w:proofErr w:type="spellStart"/>
      <w:r>
        <w:t>Azizova</w:t>
      </w:r>
      <w:proofErr w:type="spellEnd"/>
      <w:r>
        <w:t xml:space="preserve"> </w:t>
      </w:r>
      <w:r>
        <w:rPr>
          <w:i/>
        </w:rPr>
        <w:t>(</w:t>
      </w:r>
      <w:proofErr w:type="spellStart"/>
      <w:r>
        <w:rPr>
          <w:i/>
        </w:rPr>
        <w:t>Məmməd</w:t>
      </w:r>
      <w:proofErr w:type="spellEnd"/>
      <w:r>
        <w:rPr>
          <w:i/>
        </w:rPr>
        <w:t xml:space="preserve"> </w:t>
      </w:r>
      <w:proofErr w:type="spellStart"/>
      <w:r>
        <w:rPr>
          <w:i/>
        </w:rPr>
        <w:t>Rasim</w:t>
      </w:r>
      <w:proofErr w:type="spellEnd"/>
      <w:r>
        <w:rPr>
          <w:i/>
        </w:rPr>
        <w:t xml:space="preserve"> </w:t>
      </w:r>
      <w:proofErr w:type="spellStart"/>
      <w:r>
        <w:rPr>
          <w:i/>
        </w:rPr>
        <w:t>oğlu</w:t>
      </w:r>
      <w:proofErr w:type="spellEnd"/>
      <w:r>
        <w:rPr>
          <w:i/>
        </w:rPr>
        <w:t xml:space="preserve"> </w:t>
      </w:r>
      <w:proofErr w:type="spellStart"/>
      <w:r>
        <w:rPr>
          <w:i/>
        </w:rPr>
        <w:t>Əzizov</w:t>
      </w:r>
      <w:proofErr w:type="spellEnd"/>
      <w:r>
        <w:t xml:space="preserve"> - „pierwszy skarżący”) i </w:t>
      </w:r>
      <w:proofErr w:type="spellStart"/>
      <w:r>
        <w:t>Shahina</w:t>
      </w:r>
      <w:proofErr w:type="spellEnd"/>
      <w:r>
        <w:t xml:space="preserve"> Ibrahima </w:t>
      </w:r>
      <w:proofErr w:type="spellStart"/>
      <w:r>
        <w:t>oglu</w:t>
      </w:r>
      <w:proofErr w:type="spellEnd"/>
      <w:r>
        <w:t xml:space="preserve"> </w:t>
      </w:r>
      <w:proofErr w:type="spellStart"/>
      <w:r>
        <w:t>Novruzlu</w:t>
      </w:r>
      <w:proofErr w:type="spellEnd"/>
      <w:r>
        <w:t xml:space="preserve"> </w:t>
      </w:r>
      <w:r>
        <w:rPr>
          <w:i/>
        </w:rPr>
        <w:t>(</w:t>
      </w:r>
      <w:proofErr w:type="spellStart"/>
      <w:r>
        <w:rPr>
          <w:i/>
        </w:rPr>
        <w:t>Şahin</w:t>
      </w:r>
      <w:proofErr w:type="spellEnd"/>
      <w:r>
        <w:rPr>
          <w:i/>
        </w:rPr>
        <w:t xml:space="preserve"> İbrahim </w:t>
      </w:r>
      <w:proofErr w:type="spellStart"/>
      <w:r>
        <w:rPr>
          <w:i/>
        </w:rPr>
        <w:t>oğlu</w:t>
      </w:r>
      <w:proofErr w:type="spellEnd"/>
      <w:r>
        <w:rPr>
          <w:i/>
        </w:rPr>
        <w:t xml:space="preserve"> </w:t>
      </w:r>
      <w:proofErr w:type="spellStart"/>
      <w:r>
        <w:rPr>
          <w:i/>
        </w:rPr>
        <w:t>Novruzlu</w:t>
      </w:r>
      <w:proofErr w:type="spellEnd"/>
      <w:r>
        <w:t xml:space="preserve"> - „drugi skarżący”) („skarżący”), odpowiednio 27 września i 17 października 2013 r.;</w:t>
      </w:r>
    </w:p>
    <w:p w14:paraId="30207DFE" w14:textId="19638F9C" w:rsidR="00031026" w:rsidRPr="00031026" w:rsidRDefault="00031026" w:rsidP="00031026">
      <w:pPr>
        <w:pStyle w:val="JuPara"/>
      </w:pPr>
      <w:r>
        <w:t xml:space="preserve">decyzje o </w:t>
      </w:r>
      <w:r w:rsidR="00CB5AFB">
        <w:t xml:space="preserve">zakomunikowaniu </w:t>
      </w:r>
      <w:r>
        <w:t>Rząd</w:t>
      </w:r>
      <w:r w:rsidR="00CB5AFB">
        <w:t>owi</w:t>
      </w:r>
      <w:r>
        <w:t xml:space="preserve"> Azerbejdżanu („Rząd”) skar</w:t>
      </w:r>
      <w:r w:rsidR="00CB5AFB">
        <w:t>gi</w:t>
      </w:r>
      <w:r>
        <w:t xml:space="preserve"> dotyczącej zarzucanego braku uzasadnienia tymczasowego aresztowania skarżących (art. 5 ust. 3 Konwencji) oraz kwestii podniesionej przez Trybunał z urzędu na podstawie art. 18 Konwencji, a także o uznaniu pozostałej części skarg za niedopuszczalną;</w:t>
      </w:r>
    </w:p>
    <w:p w14:paraId="698E40C1" w14:textId="43D6BAB4" w:rsidR="00031026" w:rsidRPr="00031026" w:rsidRDefault="00031026" w:rsidP="00031026">
      <w:pPr>
        <w:pStyle w:val="JuPara"/>
      </w:pPr>
      <w:r>
        <w:t>uwagi stron;</w:t>
      </w:r>
    </w:p>
    <w:p w14:paraId="115710E5" w14:textId="1B8912EA" w:rsidR="00031026" w:rsidRPr="00031026" w:rsidRDefault="00031026" w:rsidP="00031026">
      <w:pPr>
        <w:pStyle w:val="JuPara"/>
      </w:pPr>
      <w:r>
        <w:t>obradując na posiedzeniu niejawnym 13 października 2020 r. i 26 stycznia 2021 r.,</w:t>
      </w:r>
    </w:p>
    <w:p w14:paraId="542FE06E" w14:textId="533B288B" w:rsidR="00031026" w:rsidRPr="00031026" w:rsidRDefault="00031026" w:rsidP="00031026">
      <w:pPr>
        <w:pStyle w:val="JuPara"/>
      </w:pPr>
      <w:r>
        <w:t xml:space="preserve">wydaje następujący wyrok, który został przyjęty w </w:t>
      </w:r>
      <w:r w:rsidR="001B0E8A">
        <w:t>ostatniej wspomnianej dacie</w:t>
      </w:r>
    </w:p>
    <w:p w14:paraId="4BC1C17D" w14:textId="77777777" w:rsidR="00031026" w:rsidRPr="00031026" w:rsidRDefault="00031026" w:rsidP="00031026">
      <w:pPr>
        <w:pStyle w:val="JuHHead"/>
        <w:numPr>
          <w:ilvl w:val="0"/>
          <w:numId w:val="0"/>
        </w:numPr>
      </w:pPr>
      <w:r>
        <w:t>WPROWADZENIE</w:t>
      </w:r>
    </w:p>
    <w:p w14:paraId="6328B6F8" w14:textId="1F8F3F54" w:rsidR="00031026" w:rsidRPr="00031026" w:rsidRDefault="00000000" w:rsidP="00031026">
      <w:pPr>
        <w:pStyle w:val="JuPara"/>
      </w:pPr>
      <w:fldSimple w:instr=" SEQ level0 \*arabic ">
        <w:r w:rsidR="00D86FCE">
          <w:rPr>
            <w:noProof/>
          </w:rPr>
          <w:t>1</w:t>
        </w:r>
      </w:fldSimple>
      <w:r w:rsidR="00031026">
        <w:t xml:space="preserve">.  Powołując się na art. 5 ust. 3 Konwencji, skarżący zarzucili, że sądy krajowe nie uzasadniły zastosowanego wobec nich tymczasowego aresztowania oraz że nie istniały istotne i wystarczające powody </w:t>
      </w:r>
      <w:r w:rsidR="00D125AB">
        <w:t xml:space="preserve">przedłużania </w:t>
      </w:r>
      <w:r w:rsidR="00031026">
        <w:t xml:space="preserve">stosowania wobec nich tymczasowego aresztowania. W swoich uwagach, powołując się na art. 18 Konwencji, zarzucili również, </w:t>
      </w:r>
      <w:r w:rsidR="00031026">
        <w:rPr>
          <w:rFonts w:ascii="Times New Roman" w:hAnsi="Times New Roman"/>
        </w:rPr>
        <w:t>że ich prawa wynikające z Konwencji zostały ograniczone w celach innych niż określone w Konwencji</w:t>
      </w:r>
      <w:r w:rsidR="00031026">
        <w:t>.</w:t>
      </w:r>
    </w:p>
    <w:p w14:paraId="2C002AC7" w14:textId="77777777" w:rsidR="00031026" w:rsidRPr="00031026" w:rsidRDefault="00031026" w:rsidP="00031026">
      <w:pPr>
        <w:pStyle w:val="JuHHead"/>
        <w:jc w:val="left"/>
      </w:pPr>
      <w:r>
        <w:t>FAKTY</w:t>
      </w:r>
    </w:p>
    <w:p w14:paraId="1D75D03D" w14:textId="0BCEEE64" w:rsidR="00031026" w:rsidRPr="00031026" w:rsidRDefault="00000000" w:rsidP="00031026">
      <w:pPr>
        <w:pStyle w:val="JuPara"/>
        <w:rPr>
          <w:rFonts w:ascii="Times New Roman" w:eastAsia="SimHei" w:hAnsi="Times New Roman" w:cs="SimHei"/>
        </w:rPr>
      </w:pPr>
      <w:fldSimple w:instr=" SEQ level0 \*arabic ">
        <w:r w:rsidR="00D86FCE">
          <w:rPr>
            <w:noProof/>
          </w:rPr>
          <w:t>2</w:t>
        </w:r>
      </w:fldSimple>
      <w:r w:rsidR="00031026">
        <w:t>.  </w:t>
      </w:r>
      <w:r w:rsidR="00031026">
        <w:rPr>
          <w:rFonts w:ascii="Times New Roman" w:hAnsi="Times New Roman"/>
        </w:rPr>
        <w:t>Dane skarżących oraz imiona i nazwiska ich przedstawicieli są wymienione w załączniku.</w:t>
      </w:r>
    </w:p>
    <w:p w14:paraId="4BC273A0" w14:textId="5BC0E2F7" w:rsidR="00031026" w:rsidRPr="00031026" w:rsidRDefault="00000000" w:rsidP="00031026">
      <w:pPr>
        <w:pStyle w:val="JuPara"/>
      </w:pPr>
      <w:fldSimple w:instr=" SEQ level0 \*arabic ">
        <w:r w:rsidR="00D86FCE">
          <w:rPr>
            <w:noProof/>
          </w:rPr>
          <w:t>3</w:t>
        </w:r>
      </w:fldSimple>
      <w:r w:rsidR="00031026">
        <w:t xml:space="preserve">.  Rząd był reprezentowany przez swojego pełnomocnika p. Ç. </w:t>
      </w:r>
      <w:proofErr w:type="spellStart"/>
      <w:r w:rsidR="00031026">
        <w:t>Əsgərova</w:t>
      </w:r>
      <w:proofErr w:type="spellEnd"/>
      <w:r w:rsidR="00031026">
        <w:t>.</w:t>
      </w:r>
    </w:p>
    <w:p w14:paraId="7DDA9531" w14:textId="77777777" w:rsidR="00031026" w:rsidRPr="00031026" w:rsidRDefault="00031026" w:rsidP="00031026">
      <w:pPr>
        <w:pStyle w:val="JuHIRoman"/>
        <w:tabs>
          <w:tab w:val="clear" w:pos="454"/>
          <w:tab w:val="clear" w:pos="567"/>
          <w:tab w:val="clear" w:pos="680"/>
        </w:tabs>
        <w:ind w:left="357" w:hanging="357"/>
        <w:jc w:val="left"/>
      </w:pPr>
      <w:r>
        <w:t>Informacje podstawowe</w:t>
      </w:r>
    </w:p>
    <w:p w14:paraId="459A715C" w14:textId="753BC764" w:rsidR="00031026" w:rsidRPr="00031026" w:rsidRDefault="00000000" w:rsidP="00031026">
      <w:pPr>
        <w:pStyle w:val="JuPara"/>
        <w:rPr>
          <w:rFonts w:ascii="Times New Roman" w:eastAsia="SimHei" w:hAnsi="Times New Roman" w:cs="SimHei"/>
        </w:rPr>
      </w:pPr>
      <w:fldSimple w:instr=" SEQ level0 \*arabic ">
        <w:r w:rsidR="00D86FCE">
          <w:rPr>
            <w:noProof/>
          </w:rPr>
          <w:t>4</w:t>
        </w:r>
      </w:fldSimple>
      <w:r w:rsidR="00031026">
        <w:t>.  W czasie, gdy miały miejsce przedmiotowe zdarzenia</w:t>
      </w:r>
      <w:r w:rsidR="00D125AB">
        <w:t>,</w:t>
      </w:r>
      <w:r w:rsidR="00031026">
        <w:t xml:space="preserve"> pierwszy skarżący był studentem Państwowego Uniwersytetu w Baku, a drugi skarżący studentem Uniwersytetu </w:t>
      </w:r>
      <w:proofErr w:type="spellStart"/>
      <w:r w:rsidR="00031026">
        <w:t>Odlar</w:t>
      </w:r>
      <w:proofErr w:type="spellEnd"/>
      <w:r w:rsidR="00031026">
        <w:t xml:space="preserve"> </w:t>
      </w:r>
      <w:proofErr w:type="spellStart"/>
      <w:r w:rsidR="00031026">
        <w:t>Yurdu</w:t>
      </w:r>
      <w:proofErr w:type="spellEnd"/>
      <w:r w:rsidR="00031026">
        <w:t xml:space="preserve">. Byli członkami ruchu obywatelskiego NIDA, organizacji pozarządowej założonej przez grupę młodych ludzi w lutym 2011 r. </w:t>
      </w:r>
      <w:r w:rsidR="00D125AB">
        <w:rPr>
          <w:rFonts w:ascii="Times New Roman" w:hAnsi="Times New Roman"/>
        </w:rPr>
        <w:t>Według jej programu</w:t>
      </w:r>
      <w:r w:rsidR="00031026">
        <w:rPr>
          <w:rFonts w:ascii="Times New Roman" w:hAnsi="Times New Roman"/>
        </w:rPr>
        <w:t xml:space="preserve"> NIDA dąży do wolności, sprawiedliwości, prawdy i zmian w Azerbejdżanie, a także odrzuca przemoc i stosuje wyłącznie </w:t>
      </w:r>
      <w:proofErr w:type="spellStart"/>
      <w:r w:rsidR="00D125AB">
        <w:rPr>
          <w:rFonts w:ascii="Times New Roman" w:hAnsi="Times New Roman"/>
        </w:rPr>
        <w:t>nieprzemocowe</w:t>
      </w:r>
      <w:proofErr w:type="spellEnd"/>
      <w:r w:rsidR="00D125AB">
        <w:rPr>
          <w:rFonts w:ascii="Times New Roman" w:hAnsi="Times New Roman"/>
        </w:rPr>
        <w:t xml:space="preserve"> </w:t>
      </w:r>
      <w:r w:rsidR="00031026">
        <w:rPr>
          <w:rFonts w:ascii="Times New Roman" w:hAnsi="Times New Roman"/>
        </w:rPr>
        <w:t>metody protestu.</w:t>
      </w:r>
    </w:p>
    <w:p w14:paraId="50FBBA4D" w14:textId="0DE44AD6" w:rsidR="00031026" w:rsidRPr="00031026" w:rsidRDefault="00000000" w:rsidP="00031026">
      <w:pPr>
        <w:pStyle w:val="JuPara"/>
      </w:pPr>
      <w:fldSimple w:instr=" SEQ level0 \*arabic ">
        <w:r w:rsidR="00D86FCE">
          <w:rPr>
            <w:noProof/>
          </w:rPr>
          <w:t>5</w:t>
        </w:r>
      </w:fldSimple>
      <w:r w:rsidR="00031026">
        <w:t xml:space="preserve">.  W związku z szeregiem zgonów żołnierzy armii azerbejdżańskiej w sytuacjach niebojowych, od stycznia do marca 2013 r. w Baku </w:t>
      </w:r>
      <w:r w:rsidR="00861EA1">
        <w:t>został przeprowadzony</w:t>
      </w:r>
      <w:r w:rsidR="00031026">
        <w:t xml:space="preserve"> szereg demonstracji. Demonstracje odbiły się szerokim echem w mediach i zwróciły uwagę opinii publicznej na sprawę śmierci żołnierzy służących w armii, za co rząd spotkał się z ostrą krytyką. Manifestacje </w:t>
      </w:r>
      <w:r w:rsidR="00861EA1">
        <w:t>zostały z</w:t>
      </w:r>
      <w:r w:rsidR="00031026">
        <w:t xml:space="preserve">organizowane za pośrednictwem mediów społecznościowych, a informacje o nich były rozpowszechniane za pośrednictwem mediów społecznościowych i prasy. Skarżący aktywnie uczestniczyli w tych demonstracjach, a NIDA odegrała kluczową rolę w ich organizacji i przebiegu. Chociaż demonstracje miały charakter pokojowy, policja rozpędziła zgromadzonych, a kilku demonstrantów zostało zatrzymanych (zob. wśród wielu innych spraw dotyczących tych wydarzeń, </w:t>
      </w:r>
      <w:proofErr w:type="spellStart"/>
      <w:r w:rsidR="00031026">
        <w:rPr>
          <w:i/>
        </w:rPr>
        <w:t>Mehtiyev</w:t>
      </w:r>
      <w:proofErr w:type="spellEnd"/>
      <w:r w:rsidR="00031026">
        <w:rPr>
          <w:i/>
        </w:rPr>
        <w:t xml:space="preserve"> i Inni p</w:t>
      </w:r>
      <w:r w:rsidR="00861EA1">
        <w:rPr>
          <w:i/>
        </w:rPr>
        <w:t>.</w:t>
      </w:r>
      <w:r w:rsidR="00031026">
        <w:rPr>
          <w:i/>
        </w:rPr>
        <w:t xml:space="preserve"> Azerbejdżan</w:t>
      </w:r>
      <w:r w:rsidR="00031026">
        <w:t>owi, nr 20589/13 i 7 innych, 6 kwietnia 2017 r.</w:t>
      </w:r>
      <w:r w:rsidR="00861EA1">
        <w:t>,</w:t>
      </w:r>
      <w:r w:rsidR="00031026">
        <w:rPr>
          <w:i/>
        </w:rPr>
        <w:t xml:space="preserve"> </w:t>
      </w:r>
      <w:proofErr w:type="spellStart"/>
      <w:r w:rsidR="00031026">
        <w:rPr>
          <w:i/>
        </w:rPr>
        <w:t>Bayramov</w:t>
      </w:r>
      <w:proofErr w:type="spellEnd"/>
      <w:r w:rsidR="00031026">
        <w:rPr>
          <w:i/>
        </w:rPr>
        <w:t xml:space="preserve"> p</w:t>
      </w:r>
      <w:r w:rsidR="00861EA1">
        <w:rPr>
          <w:i/>
        </w:rPr>
        <w:t>.</w:t>
      </w:r>
      <w:r w:rsidR="00031026">
        <w:rPr>
          <w:i/>
        </w:rPr>
        <w:t xml:space="preserve"> Azerbejdżanowi</w:t>
      </w:r>
      <w:r w:rsidR="00031026">
        <w:t xml:space="preserve">, nr 19150/13 i 52022/13, 6 kwietnia 2017 r. oraz </w:t>
      </w:r>
      <w:proofErr w:type="spellStart"/>
      <w:r w:rsidR="00031026">
        <w:rPr>
          <w:i/>
        </w:rPr>
        <w:t>Hajili</w:t>
      </w:r>
      <w:proofErr w:type="spellEnd"/>
      <w:r w:rsidR="00031026">
        <w:rPr>
          <w:i/>
        </w:rPr>
        <w:t xml:space="preserve"> i Inni p</w:t>
      </w:r>
      <w:r w:rsidR="00861EA1">
        <w:rPr>
          <w:i/>
        </w:rPr>
        <w:t>.</w:t>
      </w:r>
      <w:r w:rsidR="00031026">
        <w:rPr>
          <w:i/>
        </w:rPr>
        <w:t xml:space="preserve"> Azerbejdżanowi</w:t>
      </w:r>
      <w:r w:rsidR="00031026">
        <w:t>, nr 44699/13 i 2 inne, 29 czerwca 2017 r.). Jedna z takich demonstracji została zaplanowana na 10 marca 2013 r.</w:t>
      </w:r>
    </w:p>
    <w:p w14:paraId="6426FAAE" w14:textId="0A17A007" w:rsidR="00031026" w:rsidRPr="00031026" w:rsidRDefault="00031026" w:rsidP="00031026">
      <w:pPr>
        <w:pStyle w:val="JuHIRoman"/>
        <w:tabs>
          <w:tab w:val="clear" w:pos="454"/>
          <w:tab w:val="clear" w:pos="567"/>
          <w:tab w:val="clear" w:pos="680"/>
        </w:tabs>
        <w:ind w:left="357" w:hanging="357"/>
        <w:rPr>
          <w:rFonts w:eastAsia="SimHei"/>
        </w:rPr>
      </w:pPr>
      <w:r>
        <w:t xml:space="preserve">Wszczęcie postępowania karnego przeciwko skarżącym i ich </w:t>
      </w:r>
      <w:r w:rsidR="00861EA1">
        <w:t>TYMCZASOWE ARESZTOWANIE</w:t>
      </w:r>
    </w:p>
    <w:p w14:paraId="466BD5D4" w14:textId="77777777" w:rsidR="00031026" w:rsidRPr="00031026" w:rsidRDefault="00031026" w:rsidP="00031026">
      <w:pPr>
        <w:pStyle w:val="JuHA"/>
        <w:ind w:left="584" w:hanging="352"/>
        <w:jc w:val="left"/>
        <w:rPr>
          <w:rFonts w:eastAsia="SimHei"/>
        </w:rPr>
      </w:pPr>
      <w:r>
        <w:t>W odniesieniu do pierwszego skarżącego</w:t>
      </w:r>
    </w:p>
    <w:p w14:paraId="31F70015" w14:textId="4DC5CCD4" w:rsidR="00031026" w:rsidRPr="00031026" w:rsidRDefault="00000000" w:rsidP="00031026">
      <w:pPr>
        <w:pStyle w:val="JuPara"/>
        <w:rPr>
          <w:rFonts w:ascii="Times New Roman" w:eastAsia="Times New Roman" w:hAnsi="Times New Roman" w:cs="Times New Roman"/>
        </w:rPr>
      </w:pPr>
      <w:fldSimple w:instr=" SEQ level0 \*arabic ">
        <w:r w:rsidR="00D86FCE">
          <w:rPr>
            <w:noProof/>
          </w:rPr>
          <w:t>6</w:t>
        </w:r>
      </w:fldSimple>
      <w:r w:rsidR="00031026">
        <w:t xml:space="preserve">.  W dniu 7 marca 2013 r. pierwszy skarżący został zatrzymany przez funkcjonariuszy </w:t>
      </w:r>
      <w:r w:rsidR="00031026">
        <w:rPr>
          <w:color w:val="000000"/>
        </w:rPr>
        <w:t xml:space="preserve">Ministerstwa Bezpieczeństwa Narodowego („MNS”) i </w:t>
      </w:r>
      <w:r w:rsidR="00031026">
        <w:rPr>
          <w:rFonts w:ascii="Times New Roman" w:hAnsi="Times New Roman"/>
          <w:szCs w:val="20"/>
        </w:rPr>
        <w:t>Prokuratury Generalnej</w:t>
      </w:r>
      <w:r w:rsidR="00031026">
        <w:t>.</w:t>
      </w:r>
      <w:r w:rsidR="00031026">
        <w:rPr>
          <w:rFonts w:ascii="Times New Roman" w:hAnsi="Times New Roman"/>
          <w:szCs w:val="20"/>
        </w:rPr>
        <w:t xml:space="preserve"> Tego samego dnia </w:t>
      </w:r>
      <w:r w:rsidR="00031026">
        <w:t>dokonano przeszukania mieszkania, w którym mieszkał. Podczas przeszukania mieszkania rzekomo ujawniono 174,54</w:t>
      </w:r>
      <w:r w:rsidR="00031026">
        <w:rPr>
          <w:color w:val="000000"/>
        </w:rPr>
        <w:t xml:space="preserve"> grama substancji odurzających </w:t>
      </w:r>
      <w:r w:rsidR="007B7185">
        <w:rPr>
          <w:color w:val="000000"/>
        </w:rPr>
        <w:t xml:space="preserve">i </w:t>
      </w:r>
      <w:r w:rsidR="00031026">
        <w:rPr>
          <w:color w:val="000000"/>
        </w:rPr>
        <w:t>dwadzieścia osiem ulotek z napisem „</w:t>
      </w:r>
      <w:r w:rsidR="007B7185">
        <w:rPr>
          <w:color w:val="000000"/>
        </w:rPr>
        <w:t xml:space="preserve">demokracja </w:t>
      </w:r>
      <w:r w:rsidR="00031026">
        <w:rPr>
          <w:color w:val="000000"/>
        </w:rPr>
        <w:t>pilnie potrzebna, tel.</w:t>
      </w:r>
      <w:r w:rsidR="00031026">
        <w:t>:</w:t>
      </w:r>
      <w:r w:rsidR="00031026">
        <w:rPr>
          <w:color w:val="000000"/>
        </w:rPr>
        <w:t xml:space="preserve"> + 994, adres: Azerbejdżan” („</w:t>
      </w:r>
      <w:proofErr w:type="spellStart"/>
      <w:r w:rsidR="00031026">
        <w:rPr>
          <w:rFonts w:ascii="Times New Roman" w:hAnsi="Times New Roman"/>
          <w:i/>
        </w:rPr>
        <w:t>təcili</w:t>
      </w:r>
      <w:proofErr w:type="spellEnd"/>
      <w:r w:rsidR="00031026">
        <w:rPr>
          <w:rFonts w:ascii="Times New Roman" w:hAnsi="Times New Roman"/>
          <w:i/>
        </w:rPr>
        <w:t xml:space="preserve"> </w:t>
      </w:r>
      <w:proofErr w:type="spellStart"/>
      <w:r w:rsidR="00031026">
        <w:rPr>
          <w:rFonts w:ascii="Times New Roman" w:hAnsi="Times New Roman"/>
          <w:i/>
        </w:rPr>
        <w:t>demokratiya</w:t>
      </w:r>
      <w:proofErr w:type="spellEnd"/>
      <w:r w:rsidR="00031026">
        <w:rPr>
          <w:rFonts w:ascii="Times New Roman" w:hAnsi="Times New Roman"/>
          <w:i/>
        </w:rPr>
        <w:t xml:space="preserve"> </w:t>
      </w:r>
      <w:proofErr w:type="spellStart"/>
      <w:r w:rsidR="00031026">
        <w:rPr>
          <w:rFonts w:ascii="Times New Roman" w:hAnsi="Times New Roman"/>
          <w:i/>
        </w:rPr>
        <w:t>tələb</w:t>
      </w:r>
      <w:proofErr w:type="spellEnd"/>
      <w:r w:rsidR="00031026">
        <w:rPr>
          <w:rFonts w:ascii="Times New Roman" w:hAnsi="Times New Roman"/>
          <w:i/>
        </w:rPr>
        <w:t xml:space="preserve"> </w:t>
      </w:r>
      <w:proofErr w:type="spellStart"/>
      <w:r w:rsidR="00031026">
        <w:rPr>
          <w:rFonts w:ascii="Times New Roman" w:hAnsi="Times New Roman"/>
          <w:i/>
        </w:rPr>
        <w:t>olunur</w:t>
      </w:r>
      <w:proofErr w:type="spellEnd"/>
      <w:r w:rsidR="00031026">
        <w:rPr>
          <w:rFonts w:ascii="Times New Roman" w:hAnsi="Times New Roman"/>
          <w:i/>
        </w:rPr>
        <w:t xml:space="preserve">, </w:t>
      </w:r>
      <w:proofErr w:type="spellStart"/>
      <w:r w:rsidR="00031026">
        <w:rPr>
          <w:rFonts w:ascii="Times New Roman" w:hAnsi="Times New Roman"/>
          <w:i/>
        </w:rPr>
        <w:t>tel</w:t>
      </w:r>
      <w:proofErr w:type="spellEnd"/>
      <w:r w:rsidR="00031026">
        <w:rPr>
          <w:rFonts w:ascii="Times New Roman" w:hAnsi="Times New Roman"/>
          <w:i/>
        </w:rPr>
        <w:t xml:space="preserve">: + 994, </w:t>
      </w:r>
      <w:proofErr w:type="spellStart"/>
      <w:r w:rsidR="00031026">
        <w:rPr>
          <w:rFonts w:ascii="Times New Roman" w:hAnsi="Times New Roman"/>
          <w:i/>
        </w:rPr>
        <w:t>ünvan</w:t>
      </w:r>
      <w:proofErr w:type="spellEnd"/>
      <w:r w:rsidR="00031026">
        <w:rPr>
          <w:rFonts w:ascii="Times New Roman" w:hAnsi="Times New Roman"/>
          <w:i/>
        </w:rPr>
        <w:t xml:space="preserve">: </w:t>
      </w:r>
      <w:proofErr w:type="spellStart"/>
      <w:r w:rsidR="00031026">
        <w:rPr>
          <w:rFonts w:ascii="Times New Roman" w:hAnsi="Times New Roman"/>
          <w:i/>
        </w:rPr>
        <w:t>Azərbaycan</w:t>
      </w:r>
      <w:proofErr w:type="spellEnd"/>
      <w:r w:rsidR="00031026">
        <w:rPr>
          <w:rFonts w:ascii="Times New Roman" w:hAnsi="Times New Roman"/>
          <w:iCs/>
        </w:rPr>
        <w:t>”</w:t>
      </w:r>
      <w:r w:rsidR="00031026">
        <w:rPr>
          <w:rFonts w:ascii="Times New Roman" w:hAnsi="Times New Roman"/>
        </w:rPr>
        <w:t>)</w:t>
      </w:r>
      <w:r w:rsidR="00031026">
        <w:rPr>
          <w:color w:val="000000"/>
        </w:rPr>
        <w:t xml:space="preserve">. </w:t>
      </w:r>
      <w:r w:rsidR="00031026">
        <w:rPr>
          <w:rFonts w:ascii="Times New Roman" w:hAnsi="Times New Roman"/>
          <w:color w:val="000000"/>
          <w:szCs w:val="20"/>
        </w:rPr>
        <w:t xml:space="preserve">Pomimo </w:t>
      </w:r>
      <w:r w:rsidR="007B7185">
        <w:rPr>
          <w:rFonts w:ascii="Times New Roman" w:hAnsi="Times New Roman"/>
          <w:color w:val="000000"/>
          <w:szCs w:val="20"/>
        </w:rPr>
        <w:t xml:space="preserve">skierowania do Rządu </w:t>
      </w:r>
      <w:r w:rsidR="00031026">
        <w:rPr>
          <w:rFonts w:ascii="Times New Roman" w:hAnsi="Times New Roman"/>
          <w:color w:val="000000"/>
          <w:szCs w:val="20"/>
        </w:rPr>
        <w:t>wyraźnego żądania Trybunału przedstawieni</w:t>
      </w:r>
      <w:r w:rsidR="007B7185">
        <w:rPr>
          <w:rFonts w:ascii="Times New Roman" w:hAnsi="Times New Roman"/>
          <w:color w:val="000000"/>
          <w:szCs w:val="20"/>
        </w:rPr>
        <w:t>a</w:t>
      </w:r>
      <w:r w:rsidR="00031026">
        <w:rPr>
          <w:rFonts w:ascii="Times New Roman" w:hAnsi="Times New Roman"/>
          <w:color w:val="000000"/>
          <w:szCs w:val="20"/>
        </w:rPr>
        <w:t xml:space="preserve"> kopii wszystkich dokumentów dotyczących postępowania krajowego, Rząd</w:t>
      </w:r>
      <w:r w:rsidR="00031026">
        <w:rPr>
          <w:rFonts w:ascii="Times New Roman" w:hAnsi="Times New Roman"/>
          <w:szCs w:val="20"/>
        </w:rPr>
        <w:t xml:space="preserve"> nie przedstawił Trybunałowi kopii protokołu tego przeszukania.</w:t>
      </w:r>
    </w:p>
    <w:p w14:paraId="6BCAE5D7" w14:textId="689A5461" w:rsidR="00031026" w:rsidRPr="00031026" w:rsidRDefault="00000000" w:rsidP="00031026">
      <w:pPr>
        <w:pStyle w:val="JuPara"/>
      </w:pPr>
      <w:fldSimple w:instr=" SEQ level0 \*arabic ">
        <w:r w:rsidR="00D86FCE">
          <w:rPr>
            <w:noProof/>
          </w:rPr>
          <w:t>7</w:t>
        </w:r>
      </w:fldSimple>
      <w:r w:rsidR="00031026">
        <w:t xml:space="preserve">.  W dniu 9 marca 2013 r. pierwszemu skarżącemu przedstawiono zarzut popełnienia przestępstwa z art. 234.1 </w:t>
      </w:r>
      <w:r w:rsidR="007B7185">
        <w:t xml:space="preserve">Kodeksu karnego </w:t>
      </w:r>
      <w:r w:rsidR="00031026">
        <w:t xml:space="preserve">(nielegalne </w:t>
      </w:r>
      <w:r w:rsidR="00031026">
        <w:lastRenderedPageBreak/>
        <w:t>posiadanie substancji odurzających w ilości przekraczającej ilość niezbędną do użytku osobistego bez zamiaru sprzedaży).</w:t>
      </w:r>
    </w:p>
    <w:p w14:paraId="61E05C7E" w14:textId="45EF8D61" w:rsidR="00031026" w:rsidRPr="00031026" w:rsidRDefault="00000000" w:rsidP="00031026">
      <w:pPr>
        <w:pStyle w:val="JuPara"/>
      </w:pPr>
      <w:fldSimple w:instr=" SEQ level0 \*arabic ">
        <w:r w:rsidR="00D86FCE">
          <w:rPr>
            <w:noProof/>
          </w:rPr>
          <w:t>8</w:t>
        </w:r>
      </w:fldSimple>
      <w:r w:rsidR="00031026">
        <w:t xml:space="preserve">.  Tego samego dnia Sąd Rejonowy w </w:t>
      </w:r>
      <w:proofErr w:type="spellStart"/>
      <w:r w:rsidR="00031026">
        <w:t>Nasimi</w:t>
      </w:r>
      <w:proofErr w:type="spellEnd"/>
      <w:r w:rsidR="00031026">
        <w:t xml:space="preserve"> wydał postanowienie o zastosowaniu wobec pierwszego skarżącego tymczasowego aresztowania na okres dwóch miesięcy. Sąd uzasadnił zastosowanie tymczasowego aresztowania wobec pierwszego skarżącego powołując się na wagę stawianych mu zarzutów oraz prawdopodobieństwo ucieczki i matactwa w razie </w:t>
      </w:r>
      <w:r w:rsidR="00740F44">
        <w:t>zwolnienia</w:t>
      </w:r>
      <w:r w:rsidR="00031026">
        <w:t>.</w:t>
      </w:r>
    </w:p>
    <w:p w14:paraId="7749437C" w14:textId="120FA838" w:rsidR="00031026" w:rsidRPr="00031026" w:rsidRDefault="00000000" w:rsidP="00031026">
      <w:pPr>
        <w:pStyle w:val="JuPara"/>
      </w:pPr>
      <w:fldSimple w:instr=" SEQ level0 \*arabic ">
        <w:r w:rsidR="00D86FCE">
          <w:rPr>
            <w:noProof/>
          </w:rPr>
          <w:t>9</w:t>
        </w:r>
      </w:fldSimple>
      <w:r w:rsidR="00031026">
        <w:t xml:space="preserve">.  Pierwszy skarżący nie zaskarżył postanowienia Sądu Rejonowego w </w:t>
      </w:r>
      <w:proofErr w:type="spellStart"/>
      <w:r w:rsidR="00031026">
        <w:t>Nasimi</w:t>
      </w:r>
      <w:proofErr w:type="spellEnd"/>
      <w:r w:rsidR="00031026">
        <w:t xml:space="preserve"> z 9 marca 2013 r.</w:t>
      </w:r>
    </w:p>
    <w:p w14:paraId="50AED399" w14:textId="77777777" w:rsidR="00031026" w:rsidRPr="00031026" w:rsidRDefault="00031026" w:rsidP="00031026">
      <w:pPr>
        <w:pStyle w:val="JuHA"/>
        <w:ind w:left="584" w:hanging="352"/>
        <w:rPr>
          <w:rFonts w:eastAsia="SimHei"/>
        </w:rPr>
      </w:pPr>
      <w:r>
        <w:t>W odniesieniu do drugiego skarżącego</w:t>
      </w:r>
    </w:p>
    <w:p w14:paraId="5DF86F9E" w14:textId="7DB527FC" w:rsidR="00031026" w:rsidRPr="00031026" w:rsidRDefault="00000000" w:rsidP="00031026">
      <w:pPr>
        <w:pStyle w:val="JuPara"/>
      </w:pPr>
      <w:fldSimple w:instr=" SEQ level0 \*arabic ">
        <w:r w:rsidR="00D86FCE">
          <w:rPr>
            <w:noProof/>
          </w:rPr>
          <w:t>10</w:t>
        </w:r>
      </w:fldSimple>
      <w:r w:rsidR="00031026">
        <w:t xml:space="preserve">.  W dniu 7 marca 2013 r. drugi skarżący, który wówczas był nieletni, został zatrzymany i doprowadzony do siedziby MNS. Tego samego dnia dokonano przeszukania w mieszkaniu drugiego skarżącego, gdzie rzekomo znaleziono 252,27 gramów substancji odurzających oraz trzy koktajle Mołotowa. </w:t>
      </w:r>
      <w:r w:rsidR="00031026">
        <w:rPr>
          <w:rFonts w:ascii="Times New Roman" w:hAnsi="Times New Roman"/>
          <w:szCs w:val="20"/>
        </w:rPr>
        <w:t>Pomimo wyraźnego żądania Trybunału skierowanego do Rządu o przedstawienie kopii wszystkich dokumentów dotyczących postępowania krajowego, Rząd nie przedstawił Trybunałowi kopii protokołu tego przeszukania.</w:t>
      </w:r>
    </w:p>
    <w:p w14:paraId="1EDEF4D7" w14:textId="0D31A8EB" w:rsidR="00031026" w:rsidRPr="00031026" w:rsidRDefault="00000000" w:rsidP="00031026">
      <w:pPr>
        <w:pStyle w:val="JuPara"/>
      </w:pPr>
      <w:fldSimple w:instr=" SEQ level0 \*arabic ">
        <w:r w:rsidR="00D86FCE">
          <w:rPr>
            <w:noProof/>
          </w:rPr>
          <w:t>11</w:t>
        </w:r>
      </w:fldSimple>
      <w:r w:rsidR="00031026">
        <w:t xml:space="preserve">.  W dniu 9 marca 2013 r. drugiemu skarżącemu przedstawiono zarzut popełnienia przestępstw z art. 228.3 (nielegalne posiadanie broni, popełnione przez zorganizowaną grupę) i art. 234.1 </w:t>
      </w:r>
      <w:r w:rsidR="00660B54">
        <w:t xml:space="preserve">Kodeksu karnego </w:t>
      </w:r>
      <w:r w:rsidR="00031026">
        <w:t>(nielegalne posiadanie substancji odurzających w ilości przekraczającej niezbędną do użytku osobistego bez zamiaru sprzedaży). Przypisane drugiemu skarżącemu czyny w szczególności polegały na tym, że nielegalnie uzyskał substancje odurzające oraz że tworząc zorganizowaną grupę przestępczą z innym członkiem NIDA (B.G.), nielegalnie uzyskał trzy koktajle Mołotowa, a następnie przechowywał je w swoim miejscu zamieszkania.</w:t>
      </w:r>
    </w:p>
    <w:p w14:paraId="6A6399EB" w14:textId="7502E440" w:rsidR="00031026" w:rsidRPr="00031026" w:rsidRDefault="00000000" w:rsidP="00031026">
      <w:pPr>
        <w:pStyle w:val="JuPara"/>
      </w:pPr>
      <w:fldSimple w:instr=" SEQ level0 \*arabic ">
        <w:r w:rsidR="00D86FCE">
          <w:rPr>
            <w:noProof/>
          </w:rPr>
          <w:t>12</w:t>
        </w:r>
      </w:fldSimple>
      <w:r w:rsidR="00031026">
        <w:t xml:space="preserve">.  Tego samego dnia Sąd Rejonowy w </w:t>
      </w:r>
      <w:proofErr w:type="spellStart"/>
      <w:r w:rsidR="00031026">
        <w:t>Nasimi</w:t>
      </w:r>
      <w:proofErr w:type="spellEnd"/>
      <w:r w:rsidR="00031026">
        <w:t xml:space="preserve"> wydał postanowienie o zastosowaniu wobec drugiego skarżącego tymczasowego aresztowania na okres trzech miesięcy. Sąd uzasadnił zastosowanie tymczasowego aresztowania wobec drugiego skarżącego</w:t>
      </w:r>
      <w:r w:rsidR="00660B54">
        <w:t xml:space="preserve"> </w:t>
      </w:r>
      <w:r w:rsidR="00031026">
        <w:t xml:space="preserve">powołując się na wagę stawianych mu zarzutów oraz prawdopodobieństwo ucieczki i matactwa w razie </w:t>
      </w:r>
      <w:r w:rsidR="00660B54">
        <w:t>zwolnienia</w:t>
      </w:r>
      <w:r w:rsidR="00031026">
        <w:t>.</w:t>
      </w:r>
    </w:p>
    <w:p w14:paraId="0A14C6F5" w14:textId="0AFB6F6D" w:rsidR="00031026" w:rsidRPr="00031026" w:rsidRDefault="00000000" w:rsidP="00031026">
      <w:pPr>
        <w:pStyle w:val="JuPara"/>
        <w:rPr>
          <w:rFonts w:ascii="Times New Roman" w:eastAsia="SimHei" w:hAnsi="Times New Roman" w:cs="SimHei"/>
        </w:rPr>
      </w:pPr>
      <w:fldSimple w:instr=" SEQ level0 \*arabic ">
        <w:r w:rsidR="00D86FCE">
          <w:rPr>
            <w:noProof/>
          </w:rPr>
          <w:t>13</w:t>
        </w:r>
      </w:fldSimple>
      <w:r w:rsidR="00031026">
        <w:t xml:space="preserve">.  Drugi skarżący nie zaskarżył postanowienia Sądu Rejonowego w </w:t>
      </w:r>
      <w:proofErr w:type="spellStart"/>
      <w:r w:rsidR="00031026">
        <w:t>Nasimi</w:t>
      </w:r>
      <w:proofErr w:type="spellEnd"/>
      <w:r w:rsidR="00031026">
        <w:t xml:space="preserve"> z 9 marca 2013 r.</w:t>
      </w:r>
    </w:p>
    <w:p w14:paraId="5A215EC6" w14:textId="77777777" w:rsidR="00031026" w:rsidRPr="00031026" w:rsidRDefault="00031026" w:rsidP="00031026">
      <w:pPr>
        <w:pStyle w:val="JuHIRoman"/>
        <w:tabs>
          <w:tab w:val="clear" w:pos="454"/>
          <w:tab w:val="clear" w:pos="567"/>
          <w:tab w:val="clear" w:pos="680"/>
        </w:tabs>
        <w:ind w:left="357" w:hanging="357"/>
        <w:rPr>
          <w:rFonts w:eastAsia="SimHei"/>
        </w:rPr>
      </w:pPr>
      <w:r>
        <w:t>Wspólne publiczne oświadczenie organów ścigania i dalszy rozwój sytuacji</w:t>
      </w:r>
    </w:p>
    <w:p w14:paraId="1EA42614" w14:textId="3C394596" w:rsidR="00031026" w:rsidRPr="00031026" w:rsidRDefault="00031026" w:rsidP="00031026">
      <w:pPr>
        <w:pStyle w:val="JuPara"/>
        <w:rPr>
          <w:rFonts w:ascii="Times New Roman" w:eastAsia="SimHei" w:hAnsi="Times New Roman" w:cs="SimHei"/>
          <w:color w:val="000000"/>
          <w:szCs w:val="20"/>
        </w:rPr>
      </w:pPr>
      <w:r w:rsidRPr="00031026">
        <w:rPr>
          <w:rFonts w:ascii="Times New Roman" w:eastAsia="SimHei" w:hAnsi="Times New Roman" w:cs="SimHei"/>
          <w:szCs w:val="20"/>
        </w:rPr>
        <w:fldChar w:fldCharType="begin"/>
      </w:r>
      <w:r w:rsidRPr="00031026">
        <w:rPr>
          <w:rFonts w:ascii="Times New Roman" w:eastAsia="SimHei" w:hAnsi="Times New Roman" w:cs="SimHei"/>
          <w:szCs w:val="20"/>
        </w:rPr>
        <w:instrText xml:space="preserve"> SEQ level0 \*arabic </w:instrText>
      </w:r>
      <w:r w:rsidRPr="00031026">
        <w:rPr>
          <w:rFonts w:ascii="Times New Roman" w:eastAsia="SimHei" w:hAnsi="Times New Roman" w:cs="SimHei"/>
          <w:szCs w:val="20"/>
        </w:rPr>
        <w:fldChar w:fldCharType="separate"/>
      </w:r>
      <w:r w:rsidR="00D86FCE">
        <w:rPr>
          <w:rFonts w:ascii="Times New Roman" w:eastAsia="SimHei" w:hAnsi="Times New Roman" w:cs="SimHei"/>
          <w:noProof/>
          <w:szCs w:val="20"/>
        </w:rPr>
        <w:t>14</w:t>
      </w:r>
      <w:r w:rsidRPr="00031026">
        <w:rPr>
          <w:rFonts w:ascii="Times New Roman" w:eastAsia="SimHei" w:hAnsi="Times New Roman" w:cs="SimHei"/>
          <w:szCs w:val="20"/>
        </w:rPr>
        <w:fldChar w:fldCharType="end"/>
      </w:r>
      <w:r>
        <w:rPr>
          <w:rFonts w:ascii="Times New Roman" w:hAnsi="Times New Roman"/>
          <w:szCs w:val="20"/>
        </w:rPr>
        <w:t xml:space="preserve">.  W dniu 8 marca 2013 r. Prokuratura Generalna i MNS wydały wspólne publiczne oświadczenie dla prasy, stwierdzając, że „niektóre radykalne siły destrukcyjne niedawno podjęły nielegalne próby podważenia </w:t>
      </w:r>
      <w:r>
        <w:rPr>
          <w:rFonts w:ascii="Times New Roman" w:hAnsi="Times New Roman"/>
          <w:szCs w:val="20"/>
        </w:rPr>
        <w:lastRenderedPageBreak/>
        <w:t>stabilności społecznej i politycznej ustanowionej w kraju” („</w:t>
      </w:r>
      <w:proofErr w:type="spellStart"/>
      <w:r>
        <w:rPr>
          <w:rFonts w:ascii="Times New Roman" w:hAnsi="Times New Roman"/>
          <w:i/>
        </w:rPr>
        <w:t>son</w:t>
      </w:r>
      <w:proofErr w:type="spellEnd"/>
      <w:r>
        <w:rPr>
          <w:rFonts w:ascii="Times New Roman" w:hAnsi="Times New Roman"/>
          <w:i/>
        </w:rPr>
        <w:t xml:space="preserve"> </w:t>
      </w:r>
      <w:proofErr w:type="spellStart"/>
      <w:r>
        <w:rPr>
          <w:rFonts w:ascii="Times New Roman" w:hAnsi="Times New Roman"/>
          <w:i/>
        </w:rPr>
        <w:t>dövrlər</w:t>
      </w:r>
      <w:proofErr w:type="spellEnd"/>
      <w:r>
        <w:rPr>
          <w:rFonts w:ascii="Times New Roman" w:hAnsi="Times New Roman"/>
          <w:i/>
        </w:rPr>
        <w:t xml:space="preserve"> </w:t>
      </w:r>
      <w:proofErr w:type="spellStart"/>
      <w:r>
        <w:rPr>
          <w:rFonts w:ascii="Times New Roman" w:hAnsi="Times New Roman"/>
          <w:i/>
        </w:rPr>
        <w:t>radikal</w:t>
      </w:r>
      <w:proofErr w:type="spellEnd"/>
      <w:r>
        <w:rPr>
          <w:rFonts w:ascii="Times New Roman" w:hAnsi="Times New Roman"/>
          <w:i/>
        </w:rPr>
        <w:t xml:space="preserve"> </w:t>
      </w:r>
      <w:proofErr w:type="spellStart"/>
      <w:r>
        <w:rPr>
          <w:rFonts w:ascii="Times New Roman" w:hAnsi="Times New Roman"/>
          <w:i/>
        </w:rPr>
        <w:t>yönümlü</w:t>
      </w:r>
      <w:proofErr w:type="spellEnd"/>
      <w:r>
        <w:rPr>
          <w:rFonts w:ascii="Times New Roman" w:hAnsi="Times New Roman"/>
          <w:i/>
        </w:rPr>
        <w:t xml:space="preserve"> </w:t>
      </w:r>
      <w:proofErr w:type="spellStart"/>
      <w:r>
        <w:rPr>
          <w:rFonts w:ascii="Times New Roman" w:hAnsi="Times New Roman"/>
          <w:i/>
        </w:rPr>
        <w:t>bəzi</w:t>
      </w:r>
      <w:proofErr w:type="spellEnd"/>
      <w:r>
        <w:rPr>
          <w:rFonts w:ascii="Times New Roman" w:hAnsi="Times New Roman"/>
          <w:i/>
        </w:rPr>
        <w:t xml:space="preserve"> </w:t>
      </w:r>
      <w:proofErr w:type="spellStart"/>
      <w:r>
        <w:rPr>
          <w:rFonts w:ascii="Times New Roman" w:hAnsi="Times New Roman"/>
          <w:i/>
        </w:rPr>
        <w:t>destruktiv</w:t>
      </w:r>
      <w:proofErr w:type="spellEnd"/>
      <w:r>
        <w:rPr>
          <w:rFonts w:ascii="Times New Roman" w:hAnsi="Times New Roman"/>
          <w:i/>
        </w:rPr>
        <w:t xml:space="preserve"> </w:t>
      </w:r>
      <w:proofErr w:type="spellStart"/>
      <w:r>
        <w:rPr>
          <w:rFonts w:ascii="Times New Roman" w:hAnsi="Times New Roman"/>
          <w:i/>
        </w:rPr>
        <w:t>qüvvələr</w:t>
      </w:r>
      <w:proofErr w:type="spellEnd"/>
      <w:r>
        <w:rPr>
          <w:rFonts w:ascii="Times New Roman" w:hAnsi="Times New Roman"/>
          <w:i/>
        </w:rPr>
        <w:t xml:space="preserve"> </w:t>
      </w:r>
      <w:proofErr w:type="spellStart"/>
      <w:r>
        <w:rPr>
          <w:rFonts w:ascii="Times New Roman" w:hAnsi="Times New Roman"/>
          <w:i/>
        </w:rPr>
        <w:t>tərəfindən</w:t>
      </w:r>
      <w:proofErr w:type="spellEnd"/>
      <w:r>
        <w:rPr>
          <w:rFonts w:ascii="Times New Roman" w:hAnsi="Times New Roman"/>
          <w:i/>
        </w:rPr>
        <w:t xml:space="preserve"> </w:t>
      </w:r>
      <w:proofErr w:type="spellStart"/>
      <w:r>
        <w:rPr>
          <w:rFonts w:ascii="Times New Roman" w:hAnsi="Times New Roman"/>
          <w:i/>
        </w:rPr>
        <w:t>ölkədə</w:t>
      </w:r>
      <w:proofErr w:type="spellEnd"/>
      <w:r>
        <w:rPr>
          <w:rFonts w:ascii="Times New Roman" w:hAnsi="Times New Roman"/>
          <w:i/>
        </w:rPr>
        <w:t xml:space="preserve"> </w:t>
      </w:r>
      <w:proofErr w:type="spellStart"/>
      <w:r>
        <w:rPr>
          <w:rFonts w:ascii="Times New Roman" w:hAnsi="Times New Roman"/>
          <w:i/>
        </w:rPr>
        <w:t>bərqərar</w:t>
      </w:r>
      <w:proofErr w:type="spellEnd"/>
      <w:r>
        <w:rPr>
          <w:rFonts w:ascii="Times New Roman" w:hAnsi="Times New Roman"/>
          <w:i/>
        </w:rPr>
        <w:t xml:space="preserve"> </w:t>
      </w:r>
      <w:proofErr w:type="spellStart"/>
      <w:r>
        <w:rPr>
          <w:rFonts w:ascii="Times New Roman" w:hAnsi="Times New Roman"/>
          <w:i/>
        </w:rPr>
        <w:t>olmuş</w:t>
      </w:r>
      <w:proofErr w:type="spellEnd"/>
      <w:r>
        <w:rPr>
          <w:rFonts w:ascii="Times New Roman" w:hAnsi="Times New Roman"/>
          <w:i/>
        </w:rPr>
        <w:t xml:space="preserve"> </w:t>
      </w:r>
      <w:proofErr w:type="spellStart"/>
      <w:r>
        <w:rPr>
          <w:rFonts w:ascii="Times New Roman" w:hAnsi="Times New Roman"/>
          <w:i/>
        </w:rPr>
        <w:t>ictimai</w:t>
      </w:r>
      <w:r>
        <w:rPr>
          <w:rFonts w:ascii="Times New Roman" w:hAnsi="Times New Roman"/>
          <w:i/>
        </w:rPr>
        <w:noBreakHyphen/>
        <w:t>siyasi</w:t>
      </w:r>
      <w:proofErr w:type="spellEnd"/>
      <w:r>
        <w:rPr>
          <w:rFonts w:ascii="Times New Roman" w:hAnsi="Times New Roman"/>
          <w:i/>
        </w:rPr>
        <w:t xml:space="preserve"> </w:t>
      </w:r>
      <w:proofErr w:type="spellStart"/>
      <w:r>
        <w:rPr>
          <w:rFonts w:ascii="Times New Roman" w:hAnsi="Times New Roman"/>
          <w:i/>
        </w:rPr>
        <w:t>sabitliyin</w:t>
      </w:r>
      <w:proofErr w:type="spellEnd"/>
      <w:r>
        <w:rPr>
          <w:rFonts w:ascii="Times New Roman" w:hAnsi="Times New Roman"/>
          <w:i/>
        </w:rPr>
        <w:t xml:space="preserve"> </w:t>
      </w:r>
      <w:proofErr w:type="spellStart"/>
      <w:r>
        <w:rPr>
          <w:rFonts w:ascii="Times New Roman" w:hAnsi="Times New Roman"/>
          <w:i/>
        </w:rPr>
        <w:t>pozulmasına</w:t>
      </w:r>
      <w:proofErr w:type="spellEnd"/>
      <w:r>
        <w:rPr>
          <w:rFonts w:ascii="Times New Roman" w:hAnsi="Times New Roman"/>
          <w:i/>
        </w:rPr>
        <w:t xml:space="preserve"> </w:t>
      </w:r>
      <w:proofErr w:type="spellStart"/>
      <w:r>
        <w:rPr>
          <w:rFonts w:ascii="Times New Roman" w:hAnsi="Times New Roman"/>
          <w:i/>
        </w:rPr>
        <w:t>yönəlmiş</w:t>
      </w:r>
      <w:proofErr w:type="spellEnd"/>
      <w:r>
        <w:rPr>
          <w:rFonts w:ascii="Times New Roman" w:hAnsi="Times New Roman"/>
          <w:i/>
        </w:rPr>
        <w:t xml:space="preserve"> </w:t>
      </w:r>
      <w:proofErr w:type="spellStart"/>
      <w:r>
        <w:rPr>
          <w:rFonts w:ascii="Times New Roman" w:hAnsi="Times New Roman"/>
          <w:i/>
        </w:rPr>
        <w:t>qanunazidd</w:t>
      </w:r>
      <w:proofErr w:type="spellEnd"/>
      <w:r>
        <w:rPr>
          <w:rFonts w:ascii="Times New Roman" w:hAnsi="Times New Roman"/>
          <w:i/>
        </w:rPr>
        <w:t xml:space="preserve"> </w:t>
      </w:r>
      <w:proofErr w:type="spellStart"/>
      <w:r>
        <w:rPr>
          <w:rFonts w:ascii="Times New Roman" w:hAnsi="Times New Roman"/>
          <w:i/>
        </w:rPr>
        <w:t>cəhdlər</w:t>
      </w:r>
      <w:proofErr w:type="spellEnd"/>
      <w:r>
        <w:rPr>
          <w:rFonts w:ascii="Times New Roman" w:hAnsi="Times New Roman"/>
          <w:i/>
        </w:rPr>
        <w:t xml:space="preserve"> </w:t>
      </w:r>
      <w:proofErr w:type="spellStart"/>
      <w:r>
        <w:rPr>
          <w:rFonts w:ascii="Times New Roman" w:hAnsi="Times New Roman"/>
          <w:i/>
        </w:rPr>
        <w:t>göstərilir</w:t>
      </w:r>
      <w:proofErr w:type="spellEnd"/>
      <w:r>
        <w:rPr>
          <w:rFonts w:ascii="Times New Roman" w:hAnsi="Times New Roman"/>
        </w:rPr>
        <w:t>”</w:t>
      </w:r>
      <w:r>
        <w:rPr>
          <w:rFonts w:ascii="Times New Roman" w:hAnsi="Times New Roman"/>
          <w:szCs w:val="20"/>
        </w:rPr>
        <w:t xml:space="preserve">). </w:t>
      </w:r>
      <w:r>
        <w:rPr>
          <w:rFonts w:ascii="Times New Roman" w:hAnsi="Times New Roman"/>
          <w:color w:val="000000"/>
        </w:rPr>
        <w:t xml:space="preserve">W oświadczeniu potwierdzono również, że skarżący i B.G. </w:t>
      </w:r>
      <w:r>
        <w:rPr>
          <w:rFonts w:ascii="Times New Roman" w:hAnsi="Times New Roman"/>
          <w:szCs w:val="20"/>
        </w:rPr>
        <w:t>zostali zatrzymani za planowanie podżegania do przemocy i niepokojów społecznych podczas bezprawnej demonstracji zaplanowanej na 10 marca 2013 r. Stwierdzono również, że</w:t>
      </w:r>
      <w:r>
        <w:rPr>
          <w:rFonts w:ascii="Times New Roman" w:hAnsi="Times New Roman"/>
          <w:color w:val="000000"/>
        </w:rPr>
        <w:t xml:space="preserve"> przeciwko skarżącym i B.G. wszczęto postępowanie karne, </w:t>
      </w:r>
      <w:r>
        <w:rPr>
          <w:rFonts w:ascii="Times New Roman" w:hAnsi="Times New Roman"/>
          <w:szCs w:val="20"/>
        </w:rPr>
        <w:t>ponieważ</w:t>
      </w:r>
      <w:r>
        <w:rPr>
          <w:rFonts w:ascii="Times New Roman" w:hAnsi="Times New Roman"/>
          <w:color w:val="000000"/>
          <w:szCs w:val="20"/>
        </w:rPr>
        <w:t xml:space="preserve"> w ich mieszkaniach znaleziono</w:t>
      </w:r>
      <w:r>
        <w:rPr>
          <w:rFonts w:ascii="Times New Roman" w:hAnsi="Times New Roman"/>
          <w:szCs w:val="20"/>
        </w:rPr>
        <w:t xml:space="preserve"> substancje </w:t>
      </w:r>
      <w:r>
        <w:rPr>
          <w:rFonts w:ascii="Times New Roman" w:hAnsi="Times New Roman"/>
          <w:color w:val="000000"/>
          <w:szCs w:val="20"/>
        </w:rPr>
        <w:t xml:space="preserve">odurzające, </w:t>
      </w:r>
      <w:r w:rsidR="004372F1">
        <w:rPr>
          <w:rFonts w:ascii="Times New Roman" w:hAnsi="Times New Roman"/>
          <w:color w:val="000000"/>
          <w:szCs w:val="20"/>
        </w:rPr>
        <w:t xml:space="preserve">w mieszkaniu B.G. - </w:t>
      </w:r>
      <w:r>
        <w:rPr>
          <w:rFonts w:ascii="Times New Roman" w:hAnsi="Times New Roman"/>
          <w:color w:val="000000"/>
          <w:szCs w:val="20"/>
        </w:rPr>
        <w:t>dziewiętnaście koktajli Mołotowa</w:t>
      </w:r>
      <w:r w:rsidR="004372F1">
        <w:rPr>
          <w:rFonts w:ascii="Times New Roman" w:hAnsi="Times New Roman"/>
          <w:color w:val="000000"/>
          <w:szCs w:val="20"/>
        </w:rPr>
        <w:t>, a</w:t>
      </w:r>
      <w:r>
        <w:rPr>
          <w:rFonts w:ascii="Times New Roman" w:hAnsi="Times New Roman"/>
          <w:color w:val="000000"/>
          <w:szCs w:val="20"/>
        </w:rPr>
        <w:t xml:space="preserve"> </w:t>
      </w:r>
      <w:r w:rsidR="004372F1">
        <w:rPr>
          <w:rFonts w:ascii="Times New Roman" w:hAnsi="Times New Roman"/>
          <w:color w:val="000000"/>
          <w:szCs w:val="20"/>
        </w:rPr>
        <w:t>w mieszkaniu drugiego skarżącego</w:t>
      </w:r>
      <w:r w:rsidR="004372F1" w:rsidDel="004372F1">
        <w:rPr>
          <w:rFonts w:ascii="Times New Roman" w:hAnsi="Times New Roman"/>
          <w:color w:val="000000"/>
          <w:szCs w:val="20"/>
        </w:rPr>
        <w:t xml:space="preserve"> </w:t>
      </w:r>
      <w:r>
        <w:rPr>
          <w:rFonts w:ascii="Times New Roman" w:hAnsi="Times New Roman"/>
          <w:color w:val="000000"/>
          <w:szCs w:val="20"/>
        </w:rPr>
        <w:t>trzy</w:t>
      </w:r>
      <w:r w:rsidR="004372F1">
        <w:rPr>
          <w:rFonts w:ascii="Times New Roman" w:hAnsi="Times New Roman"/>
          <w:color w:val="000000"/>
          <w:szCs w:val="20"/>
        </w:rPr>
        <w:t xml:space="preserve"> koktajle</w:t>
      </w:r>
      <w:r>
        <w:rPr>
          <w:rFonts w:ascii="Times New Roman" w:hAnsi="Times New Roman"/>
          <w:color w:val="000000"/>
          <w:szCs w:val="20"/>
        </w:rPr>
        <w:t xml:space="preserve">, </w:t>
      </w:r>
      <w:r w:rsidR="004372F1">
        <w:rPr>
          <w:rFonts w:ascii="Times New Roman" w:hAnsi="Times New Roman"/>
          <w:color w:val="000000"/>
          <w:szCs w:val="20"/>
        </w:rPr>
        <w:t>ponadto</w:t>
      </w:r>
      <w:r>
        <w:rPr>
          <w:rFonts w:ascii="Times New Roman" w:hAnsi="Times New Roman"/>
          <w:color w:val="000000"/>
          <w:szCs w:val="20"/>
        </w:rPr>
        <w:t xml:space="preserve"> </w:t>
      </w:r>
      <w:r w:rsidR="004372F1">
        <w:rPr>
          <w:rFonts w:ascii="Times New Roman" w:hAnsi="Times New Roman"/>
          <w:color w:val="000000"/>
          <w:szCs w:val="20"/>
        </w:rPr>
        <w:t xml:space="preserve">w mieszkaniu pierwszego skarżącego znaleziono </w:t>
      </w:r>
      <w:r>
        <w:rPr>
          <w:rFonts w:ascii="Times New Roman" w:hAnsi="Times New Roman"/>
          <w:color w:val="000000"/>
          <w:szCs w:val="20"/>
        </w:rPr>
        <w:t>dwadzieścia osiem ulotek z napisem „</w:t>
      </w:r>
      <w:r w:rsidR="004372F1">
        <w:rPr>
          <w:rFonts w:ascii="Times New Roman" w:hAnsi="Times New Roman"/>
          <w:color w:val="000000"/>
          <w:szCs w:val="20"/>
        </w:rPr>
        <w:t xml:space="preserve">demokracja </w:t>
      </w:r>
      <w:r>
        <w:rPr>
          <w:rFonts w:ascii="Times New Roman" w:hAnsi="Times New Roman"/>
          <w:color w:val="000000"/>
          <w:szCs w:val="20"/>
        </w:rPr>
        <w:t xml:space="preserve">pilnie potrzebna, tel.: + 994, adres: </w:t>
      </w:r>
      <w:r>
        <w:rPr>
          <w:rFonts w:ascii="Times New Roman" w:hAnsi="Times New Roman"/>
          <w:color w:val="000000"/>
        </w:rPr>
        <w:t>Azerbejdżan” („</w:t>
      </w:r>
      <w:proofErr w:type="spellStart"/>
      <w:r>
        <w:rPr>
          <w:rFonts w:ascii="Times New Roman" w:hAnsi="Times New Roman"/>
          <w:i/>
          <w:szCs w:val="20"/>
        </w:rPr>
        <w:t>təcili</w:t>
      </w:r>
      <w:proofErr w:type="spellEnd"/>
      <w:r>
        <w:rPr>
          <w:rFonts w:ascii="Times New Roman" w:hAnsi="Times New Roman"/>
          <w:i/>
          <w:szCs w:val="20"/>
        </w:rPr>
        <w:t xml:space="preserve"> </w:t>
      </w:r>
      <w:proofErr w:type="spellStart"/>
      <w:r>
        <w:rPr>
          <w:rFonts w:ascii="Times New Roman" w:hAnsi="Times New Roman"/>
          <w:i/>
          <w:szCs w:val="20"/>
        </w:rPr>
        <w:t>demokratiya</w:t>
      </w:r>
      <w:proofErr w:type="spellEnd"/>
      <w:r>
        <w:rPr>
          <w:rFonts w:ascii="Times New Roman" w:hAnsi="Times New Roman"/>
          <w:i/>
          <w:szCs w:val="20"/>
        </w:rPr>
        <w:t xml:space="preserve"> </w:t>
      </w:r>
      <w:proofErr w:type="spellStart"/>
      <w:r>
        <w:rPr>
          <w:rFonts w:ascii="Times New Roman" w:hAnsi="Times New Roman"/>
          <w:i/>
          <w:szCs w:val="20"/>
        </w:rPr>
        <w:t>tələb</w:t>
      </w:r>
      <w:proofErr w:type="spellEnd"/>
      <w:r>
        <w:rPr>
          <w:rFonts w:ascii="Times New Roman" w:hAnsi="Times New Roman"/>
          <w:i/>
          <w:szCs w:val="20"/>
        </w:rPr>
        <w:t xml:space="preserve"> </w:t>
      </w:r>
      <w:proofErr w:type="spellStart"/>
      <w:r>
        <w:rPr>
          <w:rFonts w:ascii="Times New Roman" w:hAnsi="Times New Roman"/>
          <w:i/>
          <w:szCs w:val="20"/>
        </w:rPr>
        <w:t>olunur</w:t>
      </w:r>
      <w:proofErr w:type="spellEnd"/>
      <w:r>
        <w:rPr>
          <w:rFonts w:ascii="Times New Roman" w:hAnsi="Times New Roman"/>
          <w:i/>
          <w:szCs w:val="20"/>
        </w:rPr>
        <w:t xml:space="preserve">, </w:t>
      </w:r>
      <w:proofErr w:type="spellStart"/>
      <w:r>
        <w:rPr>
          <w:rFonts w:ascii="Times New Roman" w:hAnsi="Times New Roman"/>
          <w:i/>
          <w:szCs w:val="20"/>
        </w:rPr>
        <w:t>tel</w:t>
      </w:r>
      <w:proofErr w:type="spellEnd"/>
      <w:r>
        <w:rPr>
          <w:rFonts w:ascii="Times New Roman" w:hAnsi="Times New Roman"/>
          <w:i/>
          <w:szCs w:val="20"/>
        </w:rPr>
        <w:t>:</w:t>
      </w:r>
      <w:r>
        <w:rPr>
          <w:rFonts w:ascii="Times New Roman" w:hAnsi="Times New Roman"/>
          <w:i/>
        </w:rPr>
        <w:t xml:space="preserve"> + 994, </w:t>
      </w:r>
      <w:proofErr w:type="spellStart"/>
      <w:r>
        <w:rPr>
          <w:rFonts w:ascii="Times New Roman" w:hAnsi="Times New Roman"/>
          <w:i/>
        </w:rPr>
        <w:t>ünvan</w:t>
      </w:r>
      <w:proofErr w:type="spellEnd"/>
      <w:r>
        <w:rPr>
          <w:rFonts w:ascii="Times New Roman" w:hAnsi="Times New Roman"/>
          <w:i/>
        </w:rPr>
        <w:t xml:space="preserve">: </w:t>
      </w:r>
      <w:proofErr w:type="spellStart"/>
      <w:r>
        <w:rPr>
          <w:rFonts w:ascii="Times New Roman" w:hAnsi="Times New Roman"/>
          <w:i/>
        </w:rPr>
        <w:t>Azərbaycan</w:t>
      </w:r>
      <w:proofErr w:type="spellEnd"/>
      <w:r>
        <w:rPr>
          <w:rFonts w:ascii="Times New Roman" w:hAnsi="Times New Roman"/>
        </w:rPr>
        <w:t>”</w:t>
      </w:r>
      <w:r>
        <w:rPr>
          <w:rFonts w:ascii="Times New Roman" w:hAnsi="Times New Roman"/>
          <w:szCs w:val="20"/>
        </w:rPr>
        <w:t>).</w:t>
      </w:r>
      <w:r>
        <w:rPr>
          <w:rFonts w:ascii="Times New Roman" w:hAnsi="Times New Roman"/>
          <w:color w:val="000000"/>
          <w:szCs w:val="20"/>
        </w:rPr>
        <w:t xml:space="preserve"> Dalej oświadczenie brzmiało następująco:</w:t>
      </w:r>
    </w:p>
    <w:p w14:paraId="52359343" w14:textId="7C2F5CF0" w:rsidR="00031026" w:rsidRPr="00031026" w:rsidRDefault="00031026" w:rsidP="00031026">
      <w:pPr>
        <w:pStyle w:val="JuQuot"/>
        <w:rPr>
          <w:rFonts w:eastAsia="SimHei"/>
        </w:rPr>
      </w:pPr>
      <w:r>
        <w:t xml:space="preserve">„w toku postępowania przygotowawczego ustalono, że od połowy 2012 r. wszystkie trzy osoby, będąc uzależnione od substancji odurzających i stając się członkami NIDA za pośrednictwem Internetu, aktywnie uczestniczyły w szeregu nielegalnych działań tej organizacji i przygotowały [butelki zawierające] łatwopalny płyn znany </w:t>
      </w:r>
      <w:r w:rsidR="004372F1">
        <w:t>jako</w:t>
      </w:r>
      <w:r>
        <w:t xml:space="preserve"> „koktajle Mołotowa”, [które] zostały znalezione w ich mieszkaniach </w:t>
      </w:r>
      <w:r>
        <w:rPr>
          <w:i/>
        </w:rPr>
        <w:t>[</w:t>
      </w:r>
      <w:proofErr w:type="spellStart"/>
      <w:r>
        <w:rPr>
          <w:i/>
        </w:rPr>
        <w:t>İlkin</w:t>
      </w:r>
      <w:proofErr w:type="spellEnd"/>
      <w:r>
        <w:rPr>
          <w:i/>
        </w:rPr>
        <w:t xml:space="preserve"> </w:t>
      </w:r>
      <w:proofErr w:type="spellStart"/>
      <w:r>
        <w:rPr>
          <w:i/>
        </w:rPr>
        <w:t>istintaqla</w:t>
      </w:r>
      <w:proofErr w:type="spellEnd"/>
      <w:r>
        <w:rPr>
          <w:i/>
        </w:rPr>
        <w:t xml:space="preserve"> </w:t>
      </w:r>
      <w:proofErr w:type="spellStart"/>
      <w:r>
        <w:rPr>
          <w:i/>
        </w:rPr>
        <w:t>müəyyən</w:t>
      </w:r>
      <w:proofErr w:type="spellEnd"/>
      <w:r>
        <w:rPr>
          <w:i/>
        </w:rPr>
        <w:t xml:space="preserve"> </w:t>
      </w:r>
      <w:proofErr w:type="spellStart"/>
      <w:r>
        <w:rPr>
          <w:i/>
        </w:rPr>
        <w:t>edilmişdir</w:t>
      </w:r>
      <w:proofErr w:type="spellEnd"/>
      <w:r>
        <w:rPr>
          <w:i/>
        </w:rPr>
        <w:t xml:space="preserve"> ki, </w:t>
      </w:r>
      <w:proofErr w:type="spellStart"/>
      <w:r>
        <w:rPr>
          <w:i/>
        </w:rPr>
        <w:t>hər</w:t>
      </w:r>
      <w:proofErr w:type="spellEnd"/>
      <w:r>
        <w:rPr>
          <w:i/>
        </w:rPr>
        <w:t xml:space="preserve"> </w:t>
      </w:r>
      <w:proofErr w:type="spellStart"/>
      <w:r>
        <w:rPr>
          <w:i/>
        </w:rPr>
        <w:t>üç</w:t>
      </w:r>
      <w:proofErr w:type="spellEnd"/>
      <w:r>
        <w:rPr>
          <w:i/>
        </w:rPr>
        <w:t xml:space="preserve"> </w:t>
      </w:r>
      <w:proofErr w:type="spellStart"/>
      <w:r>
        <w:rPr>
          <w:i/>
        </w:rPr>
        <w:t>şəxs</w:t>
      </w:r>
      <w:proofErr w:type="spellEnd"/>
      <w:r>
        <w:rPr>
          <w:i/>
        </w:rPr>
        <w:t xml:space="preserve"> 2012-ci </w:t>
      </w:r>
      <w:proofErr w:type="spellStart"/>
      <w:r>
        <w:rPr>
          <w:i/>
        </w:rPr>
        <w:t>ilin</w:t>
      </w:r>
      <w:proofErr w:type="spellEnd"/>
      <w:r>
        <w:rPr>
          <w:i/>
        </w:rPr>
        <w:t xml:space="preserve"> </w:t>
      </w:r>
      <w:proofErr w:type="spellStart"/>
      <w:r>
        <w:rPr>
          <w:i/>
        </w:rPr>
        <w:t>ortalarından</w:t>
      </w:r>
      <w:proofErr w:type="spellEnd"/>
      <w:r>
        <w:rPr>
          <w:i/>
        </w:rPr>
        <w:t xml:space="preserve"> </w:t>
      </w:r>
      <w:proofErr w:type="spellStart"/>
      <w:r>
        <w:rPr>
          <w:i/>
        </w:rPr>
        <w:t>etibarən</w:t>
      </w:r>
      <w:proofErr w:type="spellEnd"/>
      <w:r>
        <w:rPr>
          <w:i/>
        </w:rPr>
        <w:t xml:space="preserve"> </w:t>
      </w:r>
      <w:proofErr w:type="spellStart"/>
      <w:r>
        <w:rPr>
          <w:i/>
        </w:rPr>
        <w:t>internet</w:t>
      </w:r>
      <w:proofErr w:type="spellEnd"/>
      <w:r>
        <w:rPr>
          <w:i/>
        </w:rPr>
        <w:t xml:space="preserve"> </w:t>
      </w:r>
      <w:proofErr w:type="spellStart"/>
      <w:r>
        <w:rPr>
          <w:i/>
        </w:rPr>
        <w:t>vasitəsilə</w:t>
      </w:r>
      <w:proofErr w:type="spellEnd"/>
      <w:r>
        <w:rPr>
          <w:i/>
        </w:rPr>
        <w:t xml:space="preserve"> ‘Nida’ </w:t>
      </w:r>
      <w:proofErr w:type="spellStart"/>
      <w:r>
        <w:rPr>
          <w:i/>
        </w:rPr>
        <w:t>vətəndaş</w:t>
      </w:r>
      <w:proofErr w:type="spellEnd"/>
      <w:r>
        <w:rPr>
          <w:i/>
        </w:rPr>
        <w:t xml:space="preserve"> </w:t>
      </w:r>
      <w:proofErr w:type="spellStart"/>
      <w:r>
        <w:rPr>
          <w:i/>
        </w:rPr>
        <w:t>hərəkatının</w:t>
      </w:r>
      <w:proofErr w:type="spellEnd"/>
      <w:r>
        <w:rPr>
          <w:i/>
        </w:rPr>
        <w:t xml:space="preserve"> </w:t>
      </w:r>
      <w:proofErr w:type="spellStart"/>
      <w:r>
        <w:rPr>
          <w:i/>
        </w:rPr>
        <w:t>üzvləri</w:t>
      </w:r>
      <w:proofErr w:type="spellEnd"/>
      <w:r>
        <w:rPr>
          <w:i/>
        </w:rPr>
        <w:t xml:space="preserve"> </w:t>
      </w:r>
      <w:proofErr w:type="spellStart"/>
      <w:r>
        <w:rPr>
          <w:i/>
        </w:rPr>
        <w:t>və</w:t>
      </w:r>
      <w:proofErr w:type="spellEnd"/>
      <w:r>
        <w:rPr>
          <w:i/>
        </w:rPr>
        <w:t xml:space="preserve"> </w:t>
      </w:r>
      <w:proofErr w:type="spellStart"/>
      <w:r>
        <w:rPr>
          <w:i/>
        </w:rPr>
        <w:t>narkotika</w:t>
      </w:r>
      <w:proofErr w:type="spellEnd"/>
      <w:r>
        <w:rPr>
          <w:i/>
        </w:rPr>
        <w:t xml:space="preserve"> </w:t>
      </w:r>
      <w:proofErr w:type="spellStart"/>
      <w:r>
        <w:rPr>
          <w:i/>
        </w:rPr>
        <w:t>aludəçisi</w:t>
      </w:r>
      <w:proofErr w:type="spellEnd"/>
      <w:r>
        <w:rPr>
          <w:i/>
        </w:rPr>
        <w:t xml:space="preserve"> </w:t>
      </w:r>
      <w:proofErr w:type="spellStart"/>
      <w:r>
        <w:rPr>
          <w:i/>
        </w:rPr>
        <w:t>olmaqla</w:t>
      </w:r>
      <w:proofErr w:type="spellEnd"/>
      <w:r>
        <w:rPr>
          <w:i/>
        </w:rPr>
        <w:t xml:space="preserve">, </w:t>
      </w:r>
      <w:proofErr w:type="spellStart"/>
      <w:r>
        <w:rPr>
          <w:i/>
        </w:rPr>
        <w:t>təşkilatın</w:t>
      </w:r>
      <w:proofErr w:type="spellEnd"/>
      <w:r>
        <w:rPr>
          <w:i/>
        </w:rPr>
        <w:t xml:space="preserve"> </w:t>
      </w:r>
      <w:proofErr w:type="spellStart"/>
      <w:r>
        <w:rPr>
          <w:i/>
        </w:rPr>
        <w:t>bir</w:t>
      </w:r>
      <w:proofErr w:type="spellEnd"/>
      <w:r>
        <w:rPr>
          <w:i/>
        </w:rPr>
        <w:t xml:space="preserve"> </w:t>
      </w:r>
      <w:proofErr w:type="spellStart"/>
      <w:r>
        <w:rPr>
          <w:i/>
        </w:rPr>
        <w:t>sıra</w:t>
      </w:r>
      <w:proofErr w:type="spellEnd"/>
      <w:r>
        <w:rPr>
          <w:i/>
        </w:rPr>
        <w:t xml:space="preserve"> </w:t>
      </w:r>
      <w:proofErr w:type="spellStart"/>
      <w:r>
        <w:rPr>
          <w:i/>
        </w:rPr>
        <w:t>qanunsuz</w:t>
      </w:r>
      <w:proofErr w:type="spellEnd"/>
      <w:r>
        <w:rPr>
          <w:i/>
        </w:rPr>
        <w:t xml:space="preserve"> </w:t>
      </w:r>
      <w:proofErr w:type="spellStart"/>
      <w:r>
        <w:rPr>
          <w:i/>
        </w:rPr>
        <w:t>tədbirlərində</w:t>
      </w:r>
      <w:proofErr w:type="spellEnd"/>
      <w:r>
        <w:rPr>
          <w:i/>
        </w:rPr>
        <w:t xml:space="preserve"> </w:t>
      </w:r>
      <w:proofErr w:type="spellStart"/>
      <w:r>
        <w:rPr>
          <w:i/>
        </w:rPr>
        <w:t>fəal</w:t>
      </w:r>
      <w:proofErr w:type="spellEnd"/>
      <w:r>
        <w:rPr>
          <w:i/>
        </w:rPr>
        <w:t xml:space="preserve"> </w:t>
      </w:r>
      <w:proofErr w:type="spellStart"/>
      <w:r>
        <w:rPr>
          <w:i/>
        </w:rPr>
        <w:t>iştirak</w:t>
      </w:r>
      <w:proofErr w:type="spellEnd"/>
      <w:r>
        <w:rPr>
          <w:i/>
        </w:rPr>
        <w:t xml:space="preserve"> </w:t>
      </w:r>
      <w:proofErr w:type="spellStart"/>
      <w:r>
        <w:rPr>
          <w:i/>
        </w:rPr>
        <w:t>etmiş</w:t>
      </w:r>
      <w:proofErr w:type="spellEnd"/>
      <w:r>
        <w:rPr>
          <w:i/>
        </w:rPr>
        <w:t xml:space="preserve"> </w:t>
      </w:r>
      <w:proofErr w:type="spellStart"/>
      <w:r>
        <w:rPr>
          <w:i/>
        </w:rPr>
        <w:t>və</w:t>
      </w:r>
      <w:proofErr w:type="spellEnd"/>
      <w:r>
        <w:rPr>
          <w:i/>
        </w:rPr>
        <w:t xml:space="preserve"> </w:t>
      </w:r>
      <w:proofErr w:type="spellStart"/>
      <w:r>
        <w:rPr>
          <w:i/>
        </w:rPr>
        <w:t>yaşadıqları</w:t>
      </w:r>
      <w:proofErr w:type="spellEnd"/>
      <w:r>
        <w:rPr>
          <w:i/>
        </w:rPr>
        <w:t xml:space="preserve"> </w:t>
      </w:r>
      <w:proofErr w:type="spellStart"/>
      <w:r>
        <w:rPr>
          <w:i/>
        </w:rPr>
        <w:t>mənzillərdən</w:t>
      </w:r>
      <w:proofErr w:type="spellEnd"/>
      <w:r>
        <w:rPr>
          <w:i/>
        </w:rPr>
        <w:t xml:space="preserve"> </w:t>
      </w:r>
      <w:proofErr w:type="spellStart"/>
      <w:r>
        <w:rPr>
          <w:i/>
        </w:rPr>
        <w:t>aşkar</w:t>
      </w:r>
      <w:proofErr w:type="spellEnd"/>
      <w:r>
        <w:rPr>
          <w:i/>
        </w:rPr>
        <w:t xml:space="preserve"> </w:t>
      </w:r>
      <w:proofErr w:type="spellStart"/>
      <w:r>
        <w:rPr>
          <w:i/>
        </w:rPr>
        <w:t>edilmiş</w:t>
      </w:r>
      <w:proofErr w:type="spellEnd"/>
      <w:r>
        <w:rPr>
          <w:i/>
        </w:rPr>
        <w:t xml:space="preserve"> ‘</w:t>
      </w:r>
      <w:proofErr w:type="spellStart"/>
      <w:r>
        <w:rPr>
          <w:i/>
        </w:rPr>
        <w:t>Molotov</w:t>
      </w:r>
      <w:proofErr w:type="spellEnd"/>
      <w:r>
        <w:rPr>
          <w:i/>
        </w:rPr>
        <w:t xml:space="preserve"> </w:t>
      </w:r>
      <w:proofErr w:type="spellStart"/>
      <w:r>
        <w:rPr>
          <w:i/>
        </w:rPr>
        <w:t>kokteyli</w:t>
      </w:r>
      <w:proofErr w:type="spellEnd"/>
      <w:r>
        <w:rPr>
          <w:i/>
        </w:rPr>
        <w:t xml:space="preserve">’ </w:t>
      </w:r>
      <w:proofErr w:type="spellStart"/>
      <w:r>
        <w:rPr>
          <w:i/>
        </w:rPr>
        <w:t>adlanan</w:t>
      </w:r>
      <w:proofErr w:type="spellEnd"/>
      <w:r>
        <w:rPr>
          <w:i/>
        </w:rPr>
        <w:t xml:space="preserve"> tez </w:t>
      </w:r>
      <w:proofErr w:type="spellStart"/>
      <w:r>
        <w:rPr>
          <w:i/>
        </w:rPr>
        <w:t>alışan</w:t>
      </w:r>
      <w:proofErr w:type="spellEnd"/>
      <w:r>
        <w:rPr>
          <w:i/>
        </w:rPr>
        <w:t xml:space="preserve"> </w:t>
      </w:r>
      <w:proofErr w:type="spellStart"/>
      <w:r>
        <w:rPr>
          <w:i/>
        </w:rPr>
        <w:t>maye</w:t>
      </w:r>
      <w:proofErr w:type="spellEnd"/>
      <w:r>
        <w:rPr>
          <w:i/>
        </w:rPr>
        <w:t xml:space="preserve"> </w:t>
      </w:r>
      <w:proofErr w:type="spellStart"/>
      <w:r>
        <w:rPr>
          <w:i/>
        </w:rPr>
        <w:t>onlar</w:t>
      </w:r>
      <w:proofErr w:type="spellEnd"/>
      <w:r>
        <w:rPr>
          <w:i/>
        </w:rPr>
        <w:t xml:space="preserve"> </w:t>
      </w:r>
      <w:proofErr w:type="spellStart"/>
      <w:r>
        <w:rPr>
          <w:i/>
        </w:rPr>
        <w:t>tərəfindən</w:t>
      </w:r>
      <w:proofErr w:type="spellEnd"/>
      <w:r>
        <w:rPr>
          <w:i/>
        </w:rPr>
        <w:t xml:space="preserve"> </w:t>
      </w:r>
      <w:proofErr w:type="spellStart"/>
      <w:r>
        <w:rPr>
          <w:i/>
        </w:rPr>
        <w:t>hazırlanmışdır</w:t>
      </w:r>
      <w:proofErr w:type="spellEnd"/>
      <w:r>
        <w:t>]”</w:t>
      </w:r>
    </w:p>
    <w:p w14:paraId="6C5F5F08" w14:textId="400D4E09"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15</w:t>
      </w:r>
      <w:r w:rsidRPr="00031026">
        <w:rPr>
          <w:rFonts w:eastAsia="SimHei"/>
        </w:rPr>
        <w:fldChar w:fldCharType="end"/>
      </w:r>
      <w:r>
        <w:t>.  Tego samego dnia NIDA wydała publiczne oświadczenie, w którym stwierdziła, że zatrzymanie skarżących i B.G. było motywowane politycznie i miało na celu uciszenie protestujących poprzez wywołanie wśród nich poczucia strachu przed demonstracją zaplanowaną na 10 marca 2013 r.</w:t>
      </w:r>
    </w:p>
    <w:p w14:paraId="21CDB31D" w14:textId="72488B94" w:rsidR="00031026" w:rsidRPr="00031026" w:rsidRDefault="00031026" w:rsidP="00031026">
      <w:pPr>
        <w:pStyle w:val="JuPara"/>
        <w:rPr>
          <w:rFonts w:ascii="Times New Roman" w:eastAsia="SimHei" w:hAnsi="Times New Roman" w:cs="SimHei"/>
        </w:rPr>
      </w:pPr>
      <w:r w:rsidRPr="00031026">
        <w:rPr>
          <w:rFonts w:ascii="Times New Roman" w:eastAsia="SimHei" w:hAnsi="Times New Roman" w:cs="SimHei"/>
        </w:rPr>
        <w:fldChar w:fldCharType="begin"/>
      </w:r>
      <w:r w:rsidRPr="00031026">
        <w:rPr>
          <w:rFonts w:ascii="Times New Roman" w:eastAsia="SimHei" w:hAnsi="Times New Roman" w:cs="SimHei"/>
        </w:rPr>
        <w:instrText xml:space="preserve"> SEQ level0 \*arabic </w:instrText>
      </w:r>
      <w:r w:rsidRPr="00031026">
        <w:rPr>
          <w:rFonts w:ascii="Times New Roman" w:eastAsia="SimHei" w:hAnsi="Times New Roman" w:cs="SimHei"/>
        </w:rPr>
        <w:fldChar w:fldCharType="separate"/>
      </w:r>
      <w:r w:rsidR="00D86FCE">
        <w:rPr>
          <w:rFonts w:ascii="Times New Roman" w:eastAsia="SimHei" w:hAnsi="Times New Roman" w:cs="SimHei"/>
          <w:noProof/>
        </w:rPr>
        <w:t>16</w:t>
      </w:r>
      <w:r w:rsidRPr="00031026">
        <w:rPr>
          <w:rFonts w:ascii="Times New Roman" w:eastAsia="SimHei" w:hAnsi="Times New Roman" w:cs="SimHei"/>
        </w:rPr>
        <w:fldChar w:fldCharType="end"/>
      </w:r>
      <w:r>
        <w:t>.</w:t>
      </w:r>
      <w:r>
        <w:rPr>
          <w:rFonts w:ascii="Times New Roman" w:hAnsi="Times New Roman"/>
        </w:rPr>
        <w:t xml:space="preserve">  Po zatrzymaniu skarżących, w różnych </w:t>
      </w:r>
      <w:r w:rsidR="004372F1">
        <w:rPr>
          <w:rFonts w:ascii="Times New Roman" w:hAnsi="Times New Roman"/>
        </w:rPr>
        <w:t xml:space="preserve">datach w </w:t>
      </w:r>
      <w:r>
        <w:rPr>
          <w:rFonts w:ascii="Times New Roman" w:hAnsi="Times New Roman"/>
        </w:rPr>
        <w:t>marc</w:t>
      </w:r>
      <w:r w:rsidR="004372F1">
        <w:rPr>
          <w:rFonts w:ascii="Times New Roman" w:hAnsi="Times New Roman"/>
        </w:rPr>
        <w:t>u</w:t>
      </w:r>
      <w:r>
        <w:rPr>
          <w:rFonts w:ascii="Times New Roman" w:hAnsi="Times New Roman"/>
        </w:rPr>
        <w:t xml:space="preserve"> i kwietni</w:t>
      </w:r>
      <w:r w:rsidR="004372F1">
        <w:rPr>
          <w:rFonts w:ascii="Times New Roman" w:hAnsi="Times New Roman"/>
        </w:rPr>
        <w:t>u</w:t>
      </w:r>
      <w:r>
        <w:rPr>
          <w:rFonts w:ascii="Times New Roman" w:hAnsi="Times New Roman"/>
        </w:rPr>
        <w:t xml:space="preserve"> 2013 r., w ramach tego samego postępowania karnego</w:t>
      </w:r>
      <w:r w:rsidR="00C77EFE">
        <w:rPr>
          <w:rFonts w:ascii="Times New Roman" w:hAnsi="Times New Roman"/>
        </w:rPr>
        <w:t>,</w:t>
      </w:r>
      <w:r>
        <w:rPr>
          <w:rFonts w:ascii="Times New Roman" w:hAnsi="Times New Roman"/>
        </w:rPr>
        <w:t xml:space="preserve"> zatrzymano również czterech z siedmiu członków zarządu NIDA. Postępowanie krajowe dotyczące zatrzymania i tymczasowego aresztowania członków zarządu NIDA było już przedmiotem wyroku Trybunału w sprawie </w:t>
      </w:r>
      <w:proofErr w:type="spellStart"/>
      <w:r>
        <w:rPr>
          <w:rFonts w:ascii="Times New Roman" w:hAnsi="Times New Roman"/>
          <w:i/>
          <w:iCs/>
        </w:rPr>
        <w:t>Rashad</w:t>
      </w:r>
      <w:proofErr w:type="spellEnd"/>
      <w:r>
        <w:rPr>
          <w:rFonts w:ascii="Times New Roman" w:hAnsi="Times New Roman"/>
          <w:i/>
          <w:iCs/>
        </w:rPr>
        <w:t xml:space="preserve"> </w:t>
      </w:r>
      <w:proofErr w:type="spellStart"/>
      <w:r>
        <w:rPr>
          <w:rFonts w:ascii="Times New Roman" w:hAnsi="Times New Roman"/>
          <w:i/>
          <w:iCs/>
        </w:rPr>
        <w:t>Hasanov</w:t>
      </w:r>
      <w:proofErr w:type="spellEnd"/>
      <w:r>
        <w:rPr>
          <w:rFonts w:ascii="Times New Roman" w:hAnsi="Times New Roman"/>
          <w:i/>
          <w:iCs/>
        </w:rPr>
        <w:t xml:space="preserve"> i Inni p</w:t>
      </w:r>
      <w:r w:rsidR="00C77EFE">
        <w:rPr>
          <w:rFonts w:ascii="Times New Roman" w:hAnsi="Times New Roman"/>
          <w:i/>
          <w:iCs/>
        </w:rPr>
        <w:t>.</w:t>
      </w:r>
      <w:r>
        <w:rPr>
          <w:rFonts w:ascii="Times New Roman" w:hAnsi="Times New Roman"/>
          <w:i/>
          <w:iCs/>
        </w:rPr>
        <w:t xml:space="preserve"> Azerbejdżanowi</w:t>
      </w:r>
      <w:r>
        <w:rPr>
          <w:rFonts w:ascii="Times New Roman" w:hAnsi="Times New Roman"/>
        </w:rPr>
        <w:t xml:space="preserve"> </w:t>
      </w:r>
      <w:r>
        <w:rPr>
          <w:rFonts w:ascii="Times New Roman" w:hAnsi="Times New Roman"/>
          <w:snapToGrid w:val="0"/>
        </w:rPr>
        <w:t xml:space="preserve">(nr </w:t>
      </w:r>
      <w:r>
        <w:rPr>
          <w:rFonts w:ascii="Times New Roman" w:hAnsi="Times New Roman"/>
        </w:rPr>
        <w:t>48653/13 i 3 inne, 7 czerwca 2018 r.).</w:t>
      </w:r>
    </w:p>
    <w:p w14:paraId="6B5D2717" w14:textId="67059274" w:rsidR="00031026" w:rsidRPr="00031026" w:rsidRDefault="00031026" w:rsidP="00031026">
      <w:pPr>
        <w:pStyle w:val="JuHIRoman"/>
        <w:tabs>
          <w:tab w:val="clear" w:pos="454"/>
          <w:tab w:val="clear" w:pos="567"/>
          <w:tab w:val="clear" w:pos="680"/>
        </w:tabs>
        <w:ind w:left="357" w:hanging="357"/>
        <w:rPr>
          <w:rFonts w:eastAsia="SimHei"/>
        </w:rPr>
      </w:pPr>
      <w:r>
        <w:t>Przedłużenie tymczasowego aresztowania wobec skarżących</w:t>
      </w:r>
    </w:p>
    <w:p w14:paraId="6FB1891A" w14:textId="77777777" w:rsidR="00031026" w:rsidRPr="00031026" w:rsidRDefault="00031026" w:rsidP="00031026">
      <w:pPr>
        <w:pStyle w:val="JuHA"/>
        <w:ind w:left="584" w:hanging="352"/>
        <w:jc w:val="left"/>
        <w:rPr>
          <w:rFonts w:eastAsia="SimHei"/>
        </w:rPr>
      </w:pPr>
      <w:r>
        <w:t>W odniesieniu do pierwszego skarżącego</w:t>
      </w:r>
    </w:p>
    <w:p w14:paraId="08E58C15" w14:textId="444AB4CF" w:rsidR="00031026" w:rsidRPr="00031026" w:rsidRDefault="00000000" w:rsidP="00031026">
      <w:pPr>
        <w:pStyle w:val="JuPara"/>
      </w:pPr>
      <w:fldSimple w:instr=" SEQ level0 \*arabic ">
        <w:r w:rsidR="00D86FCE">
          <w:rPr>
            <w:noProof/>
          </w:rPr>
          <w:t>17</w:t>
        </w:r>
      </w:fldSimple>
      <w:r w:rsidR="00031026">
        <w:t xml:space="preserve">.  W dniu 15 marca 2013 r. pierwszy skarżący złożył w Sądzie Rejonowym w </w:t>
      </w:r>
      <w:proofErr w:type="spellStart"/>
      <w:r w:rsidR="00031026">
        <w:t>Nasimi</w:t>
      </w:r>
      <w:proofErr w:type="spellEnd"/>
      <w:r w:rsidR="00031026">
        <w:t xml:space="preserve"> wniosek o zastosowanie wobec niego </w:t>
      </w:r>
      <w:r w:rsidR="001D5CE2">
        <w:t>aresztu domowego</w:t>
      </w:r>
      <w:r w:rsidR="00031026">
        <w:t xml:space="preserve"> zamiast tymczasowego aresztowania. Twierdził on w szczególności, że nie istniała obawa ucieczki ani </w:t>
      </w:r>
      <w:r w:rsidR="001D5CE2">
        <w:t xml:space="preserve">utrudniania postępowania </w:t>
      </w:r>
      <w:r w:rsidR="00031026">
        <w:t xml:space="preserve">z jego strony oraz że sądy nie wzięły pod uwagę jego sytuacji osobistej, </w:t>
      </w:r>
      <w:r w:rsidR="001D5CE2">
        <w:t xml:space="preserve">tj. tego, że </w:t>
      </w:r>
      <w:r w:rsidR="00031026">
        <w:t>miał stałe miejsce zamieszkania i był studentem.</w:t>
      </w:r>
    </w:p>
    <w:p w14:paraId="693BA8D0" w14:textId="6B851FC4" w:rsidR="00031026" w:rsidRPr="00031026" w:rsidRDefault="00000000" w:rsidP="00031026">
      <w:pPr>
        <w:pStyle w:val="JuPara"/>
      </w:pPr>
      <w:fldSimple w:instr=" SEQ level0 \*arabic ">
        <w:r w:rsidR="00D86FCE">
          <w:rPr>
            <w:noProof/>
          </w:rPr>
          <w:t>18</w:t>
        </w:r>
      </w:fldSimple>
      <w:r w:rsidR="00031026">
        <w:t xml:space="preserve">.  W dniu 18 marca 2013 r. </w:t>
      </w:r>
      <w:r w:rsidR="00031026">
        <w:rPr>
          <w:color w:val="000000"/>
        </w:rPr>
        <w:t xml:space="preserve">Sąd Rejonowy w </w:t>
      </w:r>
      <w:proofErr w:type="spellStart"/>
      <w:r w:rsidR="00031026">
        <w:rPr>
          <w:color w:val="000000"/>
        </w:rPr>
        <w:t>Nasimi</w:t>
      </w:r>
      <w:proofErr w:type="spellEnd"/>
      <w:r w:rsidR="00031026">
        <w:rPr>
          <w:color w:val="000000"/>
        </w:rPr>
        <w:t xml:space="preserve"> oddalił ten wniosek, uznając</w:t>
      </w:r>
      <w:r w:rsidR="00031026">
        <w:t>, że nie ma potrzeby stosowania środka zapobiegawczego alternatywnego wobec tymczasowego aresztowania.</w:t>
      </w:r>
    </w:p>
    <w:p w14:paraId="30C833B1" w14:textId="0107546D" w:rsidR="00031026" w:rsidRPr="00031026" w:rsidRDefault="00000000" w:rsidP="00031026">
      <w:pPr>
        <w:pStyle w:val="JuPara"/>
      </w:pPr>
      <w:fldSimple w:instr=" SEQ level0 \*arabic ">
        <w:r w:rsidR="00D86FCE">
          <w:rPr>
            <w:noProof/>
          </w:rPr>
          <w:t>19</w:t>
        </w:r>
      </w:fldSimple>
      <w:r w:rsidR="00031026">
        <w:t xml:space="preserve">.  W dniu 27 marca 2013 r. Sąd Apelacyjny w Baku utrzymał w mocy </w:t>
      </w:r>
      <w:r w:rsidR="003826BB">
        <w:t xml:space="preserve">decyzję </w:t>
      </w:r>
      <w:r w:rsidR="00031026">
        <w:t>sądu pierwszej instancji.</w:t>
      </w:r>
    </w:p>
    <w:p w14:paraId="0B73D802" w14:textId="3CF7799E" w:rsidR="00031026" w:rsidRPr="00031026" w:rsidRDefault="00000000" w:rsidP="00031026">
      <w:pPr>
        <w:pStyle w:val="JuPara"/>
        <w:rPr>
          <w:color w:val="000000"/>
        </w:rPr>
      </w:pPr>
      <w:fldSimple w:instr=" SEQ level0 \*arabic ">
        <w:r w:rsidR="00D86FCE">
          <w:rPr>
            <w:noProof/>
          </w:rPr>
          <w:t>20</w:t>
        </w:r>
      </w:fldSimple>
      <w:r w:rsidR="00031026">
        <w:t xml:space="preserve">.  Na wniosek </w:t>
      </w:r>
      <w:r w:rsidR="00031026">
        <w:rPr>
          <w:rFonts w:ascii="Times New Roman" w:hAnsi="Times New Roman"/>
        </w:rPr>
        <w:t>prokuratora</w:t>
      </w:r>
      <w:r w:rsidR="003826BB">
        <w:rPr>
          <w:rFonts w:ascii="Times New Roman" w:hAnsi="Times New Roman"/>
        </w:rPr>
        <w:t>,</w:t>
      </w:r>
      <w:r w:rsidR="00031026">
        <w:t xml:space="preserve"> w dniu 2 maja 2013 r.</w:t>
      </w:r>
      <w:r w:rsidR="003826BB">
        <w:t>,</w:t>
      </w:r>
      <w:r w:rsidR="00031026">
        <w:t xml:space="preserve"> Sąd Rejonowy w </w:t>
      </w:r>
      <w:proofErr w:type="spellStart"/>
      <w:r w:rsidR="00031026">
        <w:t>Nasimi</w:t>
      </w:r>
      <w:proofErr w:type="spellEnd"/>
      <w:r w:rsidR="00031026">
        <w:t xml:space="preserve"> przedłużył </w:t>
      </w:r>
      <w:r w:rsidR="003826BB">
        <w:t xml:space="preserve">tymczasowe aresztowanie </w:t>
      </w:r>
      <w:r w:rsidR="00031026">
        <w:t xml:space="preserve">wobec pierwszego skarżącego o dwa miesiące, do 7 lipca 2013 r. Sąd </w:t>
      </w:r>
      <w:r w:rsidR="00031026">
        <w:rPr>
          <w:color w:val="000000"/>
        </w:rPr>
        <w:t>powołał się na złożoność sprawy, możliwość ucieczki pierwszego skarżącego, niezbędny dodatkowy czas na przeprowadzenie dalszych czynności postępowania przygotowawczego, sposób życia pierwszego skarżącego (</w:t>
      </w:r>
      <w:proofErr w:type="spellStart"/>
      <w:r w:rsidR="00031026">
        <w:rPr>
          <w:i/>
          <w:color w:val="000000"/>
        </w:rPr>
        <w:t>həyat</w:t>
      </w:r>
      <w:proofErr w:type="spellEnd"/>
      <w:r w:rsidR="00031026">
        <w:rPr>
          <w:i/>
          <w:color w:val="000000"/>
        </w:rPr>
        <w:t xml:space="preserve"> </w:t>
      </w:r>
      <w:proofErr w:type="spellStart"/>
      <w:r w:rsidR="00031026">
        <w:rPr>
          <w:i/>
          <w:color w:val="000000"/>
        </w:rPr>
        <w:t>tərzi</w:t>
      </w:r>
      <w:proofErr w:type="spellEnd"/>
      <w:r w:rsidR="00031026">
        <w:rPr>
          <w:color w:val="000000"/>
        </w:rPr>
        <w:t>) oraz powiązania z państwami zagranicznymi</w:t>
      </w:r>
      <w:r w:rsidR="00031026">
        <w:t>.</w:t>
      </w:r>
      <w:r w:rsidR="00031026">
        <w:rPr>
          <w:color w:val="000000"/>
        </w:rPr>
        <w:t xml:space="preserve"> Tym samym postanowieniem sąd odrzucił również wniosek pierwszego skarżącego </w:t>
      </w:r>
      <w:r w:rsidR="00031026">
        <w:t xml:space="preserve">o zastosowanie wobec niego </w:t>
      </w:r>
      <w:r w:rsidR="003826BB">
        <w:t>aresztu domowego</w:t>
      </w:r>
      <w:r w:rsidR="00031026">
        <w:t xml:space="preserve"> zamiast tymczasowego aresztowania.</w:t>
      </w:r>
    </w:p>
    <w:p w14:paraId="76327BDF" w14:textId="452B1C38" w:rsidR="00031026" w:rsidRPr="00031026" w:rsidRDefault="00031026" w:rsidP="00031026">
      <w:pPr>
        <w:pStyle w:val="JuPara"/>
        <w:rPr>
          <w:color w:val="000000"/>
        </w:rPr>
      </w:pPr>
      <w:r w:rsidRPr="00031026">
        <w:rPr>
          <w:color w:val="000000"/>
        </w:rPr>
        <w:fldChar w:fldCharType="begin"/>
      </w:r>
      <w:r w:rsidRPr="00031026">
        <w:rPr>
          <w:color w:val="000000"/>
        </w:rPr>
        <w:instrText xml:space="preserve"> SEQ level0 \*arabic </w:instrText>
      </w:r>
      <w:r w:rsidRPr="00031026">
        <w:rPr>
          <w:color w:val="000000"/>
        </w:rPr>
        <w:fldChar w:fldCharType="separate"/>
      </w:r>
      <w:r w:rsidR="00D86FCE">
        <w:rPr>
          <w:noProof/>
          <w:color w:val="000000"/>
        </w:rPr>
        <w:t>21</w:t>
      </w:r>
      <w:r w:rsidRPr="00031026">
        <w:rPr>
          <w:color w:val="000000"/>
        </w:rPr>
        <w:fldChar w:fldCharType="end"/>
      </w:r>
      <w:r>
        <w:t>.</w:t>
      </w:r>
      <w:r>
        <w:rPr>
          <w:color w:val="000000"/>
        </w:rPr>
        <w:t xml:space="preserve">  W dniu 4 maja 2013 r. pierwszy skarżący zaskarżył to postanowienie. W szczególności podniósł, że Sąd Rejonowy w </w:t>
      </w:r>
      <w:proofErr w:type="spellStart"/>
      <w:r>
        <w:rPr>
          <w:color w:val="000000"/>
        </w:rPr>
        <w:t>Nasimi</w:t>
      </w:r>
      <w:proofErr w:type="spellEnd"/>
      <w:r>
        <w:rPr>
          <w:color w:val="000000"/>
        </w:rPr>
        <w:t xml:space="preserve"> nie uzasadnił przedłużenia wobec niego tymczasowego aresztowania.</w:t>
      </w:r>
    </w:p>
    <w:p w14:paraId="09C70E3B" w14:textId="4D1D0759" w:rsidR="00031026" w:rsidRPr="00031026" w:rsidRDefault="00031026" w:rsidP="00031026">
      <w:pPr>
        <w:pStyle w:val="JuPara"/>
      </w:pPr>
      <w:r w:rsidRPr="00031026">
        <w:rPr>
          <w:color w:val="000000"/>
        </w:rPr>
        <w:fldChar w:fldCharType="begin"/>
      </w:r>
      <w:r w:rsidRPr="00031026">
        <w:rPr>
          <w:color w:val="000000"/>
        </w:rPr>
        <w:instrText xml:space="preserve"> SEQ level0 \*arabic </w:instrText>
      </w:r>
      <w:r w:rsidRPr="00031026">
        <w:rPr>
          <w:color w:val="000000"/>
        </w:rPr>
        <w:fldChar w:fldCharType="separate"/>
      </w:r>
      <w:r w:rsidR="00D86FCE">
        <w:rPr>
          <w:noProof/>
          <w:color w:val="000000"/>
        </w:rPr>
        <w:t>22</w:t>
      </w:r>
      <w:r w:rsidRPr="00031026">
        <w:rPr>
          <w:color w:val="000000"/>
        </w:rPr>
        <w:fldChar w:fldCharType="end"/>
      </w:r>
      <w:r>
        <w:t>.</w:t>
      </w:r>
      <w:r>
        <w:rPr>
          <w:color w:val="000000"/>
        </w:rPr>
        <w:t>  W dniu 13 maja 2013</w:t>
      </w:r>
      <w:r>
        <w:t xml:space="preserve"> r. Sąd Apelacyjny w Baku oddalił zażalenie, uznając, że postanowienie sądu pierwszej instancji było uzasadnione.</w:t>
      </w:r>
    </w:p>
    <w:p w14:paraId="3479966C" w14:textId="0301D18D" w:rsidR="00031026" w:rsidRPr="00031026" w:rsidRDefault="00031026" w:rsidP="00031026">
      <w:pPr>
        <w:pStyle w:val="JuPara"/>
        <w:rPr>
          <w:color w:val="000000"/>
        </w:rPr>
      </w:pPr>
      <w:r w:rsidRPr="00031026">
        <w:rPr>
          <w:color w:val="000000"/>
        </w:rPr>
        <w:fldChar w:fldCharType="begin"/>
      </w:r>
      <w:r w:rsidRPr="00031026">
        <w:rPr>
          <w:color w:val="000000"/>
        </w:rPr>
        <w:instrText xml:space="preserve"> SEQ level0 \*arabic </w:instrText>
      </w:r>
      <w:r w:rsidRPr="00031026">
        <w:rPr>
          <w:color w:val="000000"/>
        </w:rPr>
        <w:fldChar w:fldCharType="separate"/>
      </w:r>
      <w:r w:rsidR="00D86FCE">
        <w:rPr>
          <w:noProof/>
          <w:color w:val="000000"/>
        </w:rPr>
        <w:t>23</w:t>
      </w:r>
      <w:r w:rsidRPr="00031026">
        <w:rPr>
          <w:color w:val="000000"/>
        </w:rPr>
        <w:fldChar w:fldCharType="end"/>
      </w:r>
      <w:r>
        <w:t>.</w:t>
      </w:r>
      <w:r>
        <w:rPr>
          <w:color w:val="000000"/>
        </w:rPr>
        <w:t xml:space="preserve">  W dniach 2 lipca i 29 sierpnia 2013 r. Sąd Rejonowy w </w:t>
      </w:r>
      <w:proofErr w:type="spellStart"/>
      <w:r>
        <w:rPr>
          <w:color w:val="000000"/>
        </w:rPr>
        <w:t>Nasimi</w:t>
      </w:r>
      <w:proofErr w:type="spellEnd"/>
      <w:r>
        <w:rPr>
          <w:color w:val="000000"/>
        </w:rPr>
        <w:t xml:space="preserve"> ponownie przedłużył tymczasowe aresztowanie pierwszego skarżącego na okresy odpowiednio dwóch i trzech miesięcy. Sąd oparł się na tych samych </w:t>
      </w:r>
      <w:r w:rsidR="003826BB">
        <w:rPr>
          <w:color w:val="000000"/>
        </w:rPr>
        <w:t>przesłankach</w:t>
      </w:r>
      <w:r>
        <w:rPr>
          <w:color w:val="000000"/>
        </w:rPr>
        <w:t xml:space="preserve">, a mianowicie </w:t>
      </w:r>
      <w:r>
        <w:t xml:space="preserve">wadze zarzutów, </w:t>
      </w:r>
      <w:r>
        <w:rPr>
          <w:color w:val="000000"/>
        </w:rPr>
        <w:t>złożoności sprawy, istnieniu obawy ucieczki i potrzebnym dodatkowym czasie na przeprowadzenie dalszych czynności postępowania przygotowawczego</w:t>
      </w:r>
      <w:r>
        <w:t>.</w:t>
      </w:r>
    </w:p>
    <w:p w14:paraId="378C6E6C" w14:textId="3C83665F" w:rsidR="00031026" w:rsidRPr="00031026" w:rsidRDefault="00031026" w:rsidP="00031026">
      <w:pPr>
        <w:pStyle w:val="JuPara"/>
        <w:rPr>
          <w:color w:val="000000"/>
        </w:rPr>
      </w:pPr>
      <w:r w:rsidRPr="00031026">
        <w:rPr>
          <w:color w:val="000000"/>
        </w:rPr>
        <w:fldChar w:fldCharType="begin"/>
      </w:r>
      <w:r w:rsidRPr="00031026">
        <w:rPr>
          <w:color w:val="000000"/>
        </w:rPr>
        <w:instrText xml:space="preserve"> SEQ level0 \*arabic </w:instrText>
      </w:r>
      <w:r w:rsidRPr="00031026">
        <w:rPr>
          <w:color w:val="000000"/>
        </w:rPr>
        <w:fldChar w:fldCharType="separate"/>
      </w:r>
      <w:r w:rsidR="00D86FCE">
        <w:rPr>
          <w:noProof/>
          <w:color w:val="000000"/>
        </w:rPr>
        <w:t>24</w:t>
      </w:r>
      <w:r w:rsidRPr="00031026">
        <w:rPr>
          <w:color w:val="000000"/>
        </w:rPr>
        <w:fldChar w:fldCharType="end"/>
      </w:r>
      <w:r>
        <w:t>.</w:t>
      </w:r>
      <w:r>
        <w:rPr>
          <w:color w:val="000000"/>
        </w:rPr>
        <w:t xml:space="preserve">  Postanowienia Sądu Rejonowego w </w:t>
      </w:r>
      <w:proofErr w:type="spellStart"/>
      <w:r>
        <w:rPr>
          <w:color w:val="000000"/>
        </w:rPr>
        <w:t>Nasimi</w:t>
      </w:r>
      <w:proofErr w:type="spellEnd"/>
      <w:r>
        <w:rPr>
          <w:color w:val="000000"/>
        </w:rPr>
        <w:t xml:space="preserve"> o przedłużeniu tymczasowego aresztowania zostały utrzymane w mocy przez Sąd Apelacyjny w Baku</w:t>
      </w:r>
      <w:r w:rsidR="003826BB">
        <w:rPr>
          <w:color w:val="000000"/>
        </w:rPr>
        <w:t>,</w:t>
      </w:r>
      <w:r>
        <w:rPr>
          <w:color w:val="000000"/>
        </w:rPr>
        <w:t xml:space="preserve"> na skutek zażalenia, odpowiednio w dniach 10 lipca i 6 września 2013 r.</w:t>
      </w:r>
    </w:p>
    <w:p w14:paraId="21750020" w14:textId="77D0C4EB" w:rsidR="00031026" w:rsidRPr="00031026" w:rsidRDefault="00031026" w:rsidP="00031026">
      <w:pPr>
        <w:pStyle w:val="JuPara"/>
        <w:rPr>
          <w:color w:val="000000"/>
        </w:rPr>
      </w:pPr>
      <w:r w:rsidRPr="00031026">
        <w:rPr>
          <w:rFonts w:ascii="Times New Roman" w:eastAsia="SimHei" w:hAnsi="Times New Roman" w:cs="SimHei"/>
        </w:rPr>
        <w:fldChar w:fldCharType="begin"/>
      </w:r>
      <w:r w:rsidRPr="00031026">
        <w:rPr>
          <w:rFonts w:ascii="Times New Roman" w:eastAsia="SimHei" w:hAnsi="Times New Roman" w:cs="SimHei"/>
        </w:rPr>
        <w:instrText xml:space="preserve"> SEQ level0 \*arabic </w:instrText>
      </w:r>
      <w:r w:rsidRPr="00031026">
        <w:rPr>
          <w:rFonts w:ascii="Times New Roman" w:eastAsia="SimHei" w:hAnsi="Times New Roman" w:cs="SimHei"/>
        </w:rPr>
        <w:fldChar w:fldCharType="separate"/>
      </w:r>
      <w:r w:rsidR="00D86FCE">
        <w:rPr>
          <w:rFonts w:ascii="Times New Roman" w:eastAsia="SimHei" w:hAnsi="Times New Roman" w:cs="SimHei"/>
          <w:noProof/>
        </w:rPr>
        <w:t>25</w:t>
      </w:r>
      <w:r w:rsidRPr="00031026">
        <w:rPr>
          <w:rFonts w:ascii="Times New Roman" w:eastAsia="SimHei" w:hAnsi="Times New Roman" w:cs="SimHei"/>
        </w:rPr>
        <w:fldChar w:fldCharType="end"/>
      </w:r>
      <w:r>
        <w:t>.</w:t>
      </w:r>
      <w:r>
        <w:rPr>
          <w:rFonts w:ascii="Times New Roman" w:hAnsi="Times New Roman"/>
        </w:rPr>
        <w:t xml:space="preserve">  Do akt sprawy nie </w:t>
      </w:r>
      <w:r w:rsidR="0076797C">
        <w:rPr>
          <w:rFonts w:ascii="Times New Roman" w:hAnsi="Times New Roman"/>
        </w:rPr>
        <w:t>do</w:t>
      </w:r>
      <w:r>
        <w:rPr>
          <w:rFonts w:ascii="Times New Roman" w:hAnsi="Times New Roman"/>
        </w:rPr>
        <w:t>łączono kolejnych postanowień o przedłużeniu tymczasowego aresztowania.</w:t>
      </w:r>
    </w:p>
    <w:p w14:paraId="20928BC4" w14:textId="77777777" w:rsidR="00031026" w:rsidRPr="00031026" w:rsidRDefault="00031026" w:rsidP="00031026">
      <w:pPr>
        <w:pStyle w:val="JuHA"/>
        <w:ind w:left="584" w:hanging="352"/>
        <w:jc w:val="left"/>
      </w:pPr>
      <w:r>
        <w:t>W odniesieniu do drugiego skarżącego</w:t>
      </w:r>
    </w:p>
    <w:p w14:paraId="3108A443" w14:textId="6061CD1C" w:rsidR="00031026" w:rsidRPr="00031026" w:rsidRDefault="00000000" w:rsidP="00031026">
      <w:pPr>
        <w:pStyle w:val="JuPara"/>
      </w:pPr>
      <w:fldSimple w:instr=" SEQ level0 \*arabic ">
        <w:r w:rsidR="00D86FCE">
          <w:rPr>
            <w:noProof/>
          </w:rPr>
          <w:t>26</w:t>
        </w:r>
      </w:fldSimple>
      <w:r w:rsidR="00031026">
        <w:t>.  Na wniosek prokuratora</w:t>
      </w:r>
      <w:r w:rsidR="003826BB">
        <w:t>,</w:t>
      </w:r>
      <w:r w:rsidR="00031026">
        <w:t xml:space="preserve"> w dniu 30 maja 2013 r.</w:t>
      </w:r>
      <w:r w:rsidR="003826BB">
        <w:t>,</w:t>
      </w:r>
      <w:r w:rsidR="00031026">
        <w:t xml:space="preserve"> Sąd Rejonowy w </w:t>
      </w:r>
      <w:proofErr w:type="spellStart"/>
      <w:r w:rsidR="00031026">
        <w:t>Nasimi</w:t>
      </w:r>
      <w:proofErr w:type="spellEnd"/>
      <w:r w:rsidR="00031026">
        <w:t xml:space="preserve"> przedłużył </w:t>
      </w:r>
      <w:r w:rsidR="003826BB">
        <w:t xml:space="preserve">tymczasowe aresztowanie </w:t>
      </w:r>
      <w:r w:rsidR="00031026">
        <w:t>drugiego skarżącego o trzy miesiące, do 7 września 2013 r. Sąd powołał się na wagę zarzutów, złożoność sprawy, możliwość ucieczki drugiego skarżącego oraz potrzebny dodatkowy czas na przeprowadzenie dalszych czynności postępowania przygotowawczego.</w:t>
      </w:r>
    </w:p>
    <w:p w14:paraId="339271D0" w14:textId="0C9A9610" w:rsidR="00031026" w:rsidRPr="00031026" w:rsidRDefault="00000000" w:rsidP="00031026">
      <w:pPr>
        <w:pStyle w:val="JuPara"/>
        <w:rPr>
          <w:color w:val="000000"/>
        </w:rPr>
      </w:pPr>
      <w:fldSimple w:instr=" SEQ level0 \*arabic ">
        <w:r w:rsidR="00D86FCE">
          <w:rPr>
            <w:noProof/>
          </w:rPr>
          <w:t>27</w:t>
        </w:r>
      </w:fldSimple>
      <w:r w:rsidR="00031026">
        <w:t xml:space="preserve">.  W dniu 3 czerwca 2013 r. drugi skarżący wniósł zażalenie na to postanowienie podnosząc, że sąd pierwszej instancji nie uzasadnił dalszego stosowania wobec niego tymczasowego aresztowania. Twierdził, że nie istniała obawa ucieczki lub </w:t>
      </w:r>
      <w:r w:rsidR="00C95485">
        <w:t xml:space="preserve">utrudniania postępowania </w:t>
      </w:r>
      <w:r w:rsidR="00031026">
        <w:t xml:space="preserve">oraz że sąd pierwszej instancji nie wziął pod uwagę jego sytuacji osobistej. W </w:t>
      </w:r>
      <w:r w:rsidR="00C95485">
        <w:t>tym zakresie</w:t>
      </w:r>
      <w:r w:rsidR="00031026">
        <w:t xml:space="preserve"> </w:t>
      </w:r>
      <w:r w:rsidR="00031026">
        <w:lastRenderedPageBreak/>
        <w:t>zauważył, że sąd niższej instancji pominął fakt, że był nieletni, nie był karany i miał stałe miejsce zamieszkania.</w:t>
      </w:r>
    </w:p>
    <w:p w14:paraId="1424F961" w14:textId="1FB7E8EA" w:rsidR="00031026" w:rsidRPr="00031026" w:rsidRDefault="00000000" w:rsidP="00031026">
      <w:pPr>
        <w:pStyle w:val="JuPara"/>
      </w:pPr>
      <w:fldSimple w:instr=" SEQ level0 \*arabic ">
        <w:r w:rsidR="00D86FCE">
          <w:rPr>
            <w:noProof/>
          </w:rPr>
          <w:t>28</w:t>
        </w:r>
      </w:fldSimple>
      <w:r w:rsidR="00031026">
        <w:t>.  W dniu 6 czerwca 2013 r. Sąd Apelacyjny w Baku oddalił zażalenie uznając, że postanowienie sądu pierwszej instancji o przedłużeniu tymczasowego aresztowania drugiego skarżącego było uzasadnione. Sąd odwoławczy nie odniósł się do żadnego z poszczególnych argumentów drugiego skarżącego.</w:t>
      </w:r>
    </w:p>
    <w:p w14:paraId="697FB648" w14:textId="6D6F2D73" w:rsidR="00031026" w:rsidRPr="00031026" w:rsidRDefault="00000000" w:rsidP="00031026">
      <w:pPr>
        <w:pStyle w:val="JuPara"/>
      </w:pPr>
      <w:fldSimple w:instr=" SEQ level0 \*arabic ">
        <w:r w:rsidR="00D86FCE">
          <w:rPr>
            <w:noProof/>
          </w:rPr>
          <w:t>29</w:t>
        </w:r>
      </w:fldSimple>
      <w:r w:rsidR="00031026">
        <w:t xml:space="preserve">.  W dniu 3 lipca 2013 r. drugi skarżący wystąpił do sądu z wnioskiem o zastosowanie wobec niego </w:t>
      </w:r>
      <w:r w:rsidR="00C95485">
        <w:t>aresztu domowego</w:t>
      </w:r>
      <w:r w:rsidR="00031026">
        <w:t xml:space="preserve"> zamiast tymczasowego aresztowania, ponownie przytaczając swoje argumenty.</w:t>
      </w:r>
    </w:p>
    <w:p w14:paraId="6380E343" w14:textId="007CF2FC" w:rsidR="00031026" w:rsidRPr="00031026" w:rsidRDefault="00000000" w:rsidP="00031026">
      <w:pPr>
        <w:pStyle w:val="JuPara"/>
      </w:pPr>
      <w:fldSimple w:instr=" SEQ level0 \*arabic ">
        <w:r w:rsidR="00D86FCE">
          <w:rPr>
            <w:noProof/>
          </w:rPr>
          <w:t>30</w:t>
        </w:r>
      </w:fldSimple>
      <w:r w:rsidR="00031026">
        <w:t xml:space="preserve">.  W dniu 4 lipca 2013 r. Sąd Rejonowy w </w:t>
      </w:r>
      <w:proofErr w:type="spellStart"/>
      <w:r w:rsidR="00031026">
        <w:t>Nasimi</w:t>
      </w:r>
      <w:proofErr w:type="spellEnd"/>
      <w:r w:rsidR="00031026">
        <w:t xml:space="preserve"> oddalił ten wniosek uznając, że nie ma potrzeby stosowania środka zapobiegawczego alternatywnego wobec tymczasowego aresztowania. </w:t>
      </w:r>
      <w:r w:rsidR="00C95485">
        <w:t>Sąd n</w:t>
      </w:r>
      <w:r w:rsidR="00031026">
        <w:t xml:space="preserve">ie </w:t>
      </w:r>
      <w:r w:rsidR="00C95485">
        <w:t>zbadał</w:t>
      </w:r>
      <w:r w:rsidR="00031026">
        <w:t xml:space="preserve"> </w:t>
      </w:r>
      <w:r w:rsidR="00C95485">
        <w:t xml:space="preserve">konkretnych </w:t>
      </w:r>
      <w:r w:rsidR="00031026">
        <w:t>zarzutów drugiego skarżącego.</w:t>
      </w:r>
    </w:p>
    <w:p w14:paraId="629B6BE3" w14:textId="71E99457" w:rsidR="00031026" w:rsidRPr="00031026" w:rsidRDefault="00000000" w:rsidP="00031026">
      <w:pPr>
        <w:pStyle w:val="JuPara"/>
      </w:pPr>
      <w:fldSimple w:instr=" SEQ level0 \*arabic ">
        <w:r w:rsidR="00D86FCE">
          <w:rPr>
            <w:noProof/>
          </w:rPr>
          <w:t>31</w:t>
        </w:r>
      </w:fldSimple>
      <w:r w:rsidR="00031026">
        <w:t xml:space="preserve">.  W dniu 8 lipca 2013 r. drugi skarżący wniósł zażalenie na to postanowienie, ponownie przytaczając </w:t>
      </w:r>
      <w:r w:rsidR="00C95485">
        <w:t xml:space="preserve">swoje </w:t>
      </w:r>
      <w:r w:rsidR="00031026">
        <w:t>wcześniejsze argumenty.</w:t>
      </w:r>
    </w:p>
    <w:p w14:paraId="7F86C88A" w14:textId="54826212" w:rsidR="00031026" w:rsidRPr="00031026" w:rsidRDefault="00000000" w:rsidP="00031026">
      <w:pPr>
        <w:pStyle w:val="JuPara"/>
      </w:pPr>
      <w:fldSimple w:instr=" SEQ level0 \*arabic ">
        <w:r w:rsidR="00D86FCE">
          <w:rPr>
            <w:noProof/>
          </w:rPr>
          <w:t>32</w:t>
        </w:r>
      </w:fldSimple>
      <w:r w:rsidR="00031026">
        <w:t>.  W dniu 11 lipca 2013 r. Sąd Apelacyjny w Baku oddalił zażalenie uznając, że postanowienie sądu pierwszej instancji było uzasadnione.</w:t>
      </w:r>
    </w:p>
    <w:p w14:paraId="70C8579B" w14:textId="485BFFC5" w:rsidR="00031026" w:rsidRPr="00031026" w:rsidRDefault="00000000" w:rsidP="00031026">
      <w:pPr>
        <w:pStyle w:val="JuPara"/>
      </w:pPr>
      <w:fldSimple w:instr=" SEQ level0 \*arabic ">
        <w:r w:rsidR="00D86FCE">
          <w:rPr>
            <w:noProof/>
          </w:rPr>
          <w:t>33</w:t>
        </w:r>
      </w:fldSimple>
      <w:r w:rsidR="00031026">
        <w:t xml:space="preserve">.  W dniu 29 sierpnia 2013 r. Sąd Rejonowy w </w:t>
      </w:r>
      <w:proofErr w:type="spellStart"/>
      <w:r w:rsidR="00031026">
        <w:t>Nasimi</w:t>
      </w:r>
      <w:proofErr w:type="spellEnd"/>
      <w:r w:rsidR="00031026">
        <w:t xml:space="preserve"> ponownie przedłużył tymczasowe aresztowanie drugiego skarżącego na okres trzech miesięcy. Sąd oparł się na tych samych podstawach, a mianowicie wadze zarzutów, złożoności sprawy oraz potrzebnym dodatkowym czasie na przeprowadzenie dalszych czynności postępowania przygotowawczego.</w:t>
      </w:r>
    </w:p>
    <w:p w14:paraId="50D5D0B7" w14:textId="409B0269" w:rsidR="00031026" w:rsidRPr="00031026" w:rsidRDefault="00000000" w:rsidP="00031026">
      <w:pPr>
        <w:pStyle w:val="JuPara"/>
      </w:pPr>
      <w:fldSimple w:instr=" SEQ level0 \*arabic ">
        <w:r w:rsidR="00D86FCE">
          <w:rPr>
            <w:noProof/>
          </w:rPr>
          <w:t>34</w:t>
        </w:r>
      </w:fldSimple>
      <w:r w:rsidR="00031026">
        <w:t xml:space="preserve">.  W dniu 2 września 2013 r. drugi skarżący wniósł zażalenie na to postanowienie, ponownie przytaczając </w:t>
      </w:r>
      <w:r w:rsidR="0076797C">
        <w:t xml:space="preserve">swoje </w:t>
      </w:r>
      <w:r w:rsidR="00031026">
        <w:t>wcześniejsze zarzuty.</w:t>
      </w:r>
    </w:p>
    <w:p w14:paraId="35B4DC9D" w14:textId="60D8BEB5" w:rsidR="00031026" w:rsidRPr="00031026" w:rsidRDefault="00000000" w:rsidP="00031026">
      <w:pPr>
        <w:pStyle w:val="JuPara"/>
      </w:pPr>
      <w:fldSimple w:instr=" SEQ level0 \*arabic ">
        <w:r w:rsidR="00D86FCE">
          <w:rPr>
            <w:noProof/>
          </w:rPr>
          <w:t>35</w:t>
        </w:r>
      </w:fldSimple>
      <w:r w:rsidR="00031026">
        <w:t xml:space="preserve">.  W dniu 5 września 2013 r. Sąd Apelacyjny w Baku utrzymał w mocy </w:t>
      </w:r>
      <w:r w:rsidR="0076797C">
        <w:t xml:space="preserve">orzeczenie </w:t>
      </w:r>
      <w:r w:rsidR="00031026">
        <w:t xml:space="preserve">Sądu Rejonowego w </w:t>
      </w:r>
      <w:proofErr w:type="spellStart"/>
      <w:r w:rsidR="00031026">
        <w:t>Nasimi</w:t>
      </w:r>
      <w:proofErr w:type="spellEnd"/>
      <w:r w:rsidR="00031026">
        <w:t xml:space="preserve"> z 29 sierpnia 2013 r., uznając </w:t>
      </w:r>
      <w:r w:rsidR="0076797C">
        <w:t xml:space="preserve">je </w:t>
      </w:r>
      <w:r w:rsidR="00031026">
        <w:t xml:space="preserve">za </w:t>
      </w:r>
      <w:r w:rsidR="0076797C">
        <w:t>zasadne</w:t>
      </w:r>
      <w:r w:rsidR="00031026">
        <w:t>. W tamtym czasie drugi skarżący był nadal nieletni.</w:t>
      </w:r>
    </w:p>
    <w:p w14:paraId="76804E98" w14:textId="7619195E" w:rsidR="00031026" w:rsidRPr="00031026" w:rsidRDefault="00031026" w:rsidP="00031026">
      <w:pPr>
        <w:pStyle w:val="JuPara"/>
      </w:pPr>
      <w:r w:rsidRPr="00031026">
        <w:rPr>
          <w:rFonts w:ascii="Times New Roman" w:eastAsia="SimHei" w:hAnsi="Times New Roman" w:cs="SimHei"/>
        </w:rPr>
        <w:fldChar w:fldCharType="begin"/>
      </w:r>
      <w:r w:rsidRPr="00031026">
        <w:rPr>
          <w:rFonts w:ascii="Times New Roman" w:eastAsia="SimHei" w:hAnsi="Times New Roman" w:cs="SimHei"/>
        </w:rPr>
        <w:instrText xml:space="preserve"> SEQ level0 \*arabic </w:instrText>
      </w:r>
      <w:r w:rsidRPr="00031026">
        <w:rPr>
          <w:rFonts w:ascii="Times New Roman" w:eastAsia="SimHei" w:hAnsi="Times New Roman" w:cs="SimHei"/>
        </w:rPr>
        <w:fldChar w:fldCharType="separate"/>
      </w:r>
      <w:r w:rsidR="00D86FCE">
        <w:rPr>
          <w:rFonts w:ascii="Times New Roman" w:eastAsia="SimHei" w:hAnsi="Times New Roman" w:cs="SimHei"/>
          <w:noProof/>
        </w:rPr>
        <w:t>36</w:t>
      </w:r>
      <w:r w:rsidRPr="00031026">
        <w:rPr>
          <w:rFonts w:ascii="Times New Roman" w:eastAsia="SimHei" w:hAnsi="Times New Roman" w:cs="SimHei"/>
        </w:rPr>
        <w:fldChar w:fldCharType="end"/>
      </w:r>
      <w:r>
        <w:t>.</w:t>
      </w:r>
      <w:r>
        <w:rPr>
          <w:rFonts w:ascii="Times New Roman" w:hAnsi="Times New Roman"/>
        </w:rPr>
        <w:t xml:space="preserve">  Do akt sprawy nie </w:t>
      </w:r>
      <w:r w:rsidR="0076797C">
        <w:rPr>
          <w:rFonts w:ascii="Times New Roman" w:hAnsi="Times New Roman"/>
        </w:rPr>
        <w:t>do</w:t>
      </w:r>
      <w:r>
        <w:rPr>
          <w:rFonts w:ascii="Times New Roman" w:hAnsi="Times New Roman"/>
        </w:rPr>
        <w:t>łączono kolejnych postanowień o przedłużeniu tymczasowego aresztowania.</w:t>
      </w:r>
    </w:p>
    <w:p w14:paraId="33541C13" w14:textId="77777777" w:rsidR="00031026" w:rsidRPr="00031026" w:rsidRDefault="00031026" w:rsidP="00031026">
      <w:pPr>
        <w:pStyle w:val="JuHIRoman"/>
        <w:tabs>
          <w:tab w:val="clear" w:pos="454"/>
          <w:tab w:val="clear" w:pos="567"/>
          <w:tab w:val="clear" w:pos="680"/>
        </w:tabs>
        <w:ind w:left="357" w:hanging="357"/>
        <w:jc w:val="left"/>
        <w:rPr>
          <w:rFonts w:eastAsia="SimHei"/>
        </w:rPr>
      </w:pPr>
      <w:r>
        <w:t>Dalszy rozwój sytuacji</w:t>
      </w:r>
    </w:p>
    <w:p w14:paraId="3CC5CC4F" w14:textId="3BEF0F67" w:rsidR="00031026" w:rsidRPr="00031026" w:rsidRDefault="00000000" w:rsidP="00031026">
      <w:pPr>
        <w:pStyle w:val="JuPara"/>
      </w:pPr>
      <w:fldSimple w:instr=" SEQ level0 \*arabic ">
        <w:r w:rsidR="00D86FCE">
          <w:rPr>
            <w:noProof/>
          </w:rPr>
          <w:t>37</w:t>
        </w:r>
      </w:fldSimple>
      <w:r w:rsidR="00031026">
        <w:t xml:space="preserve">.  We wrześniu 2013 r. pierwszemu skarżącemu przedstawiono dodatkowo zarzuty popełnienia nowych przestępstw z art. 28 (przygotowanie do popełnienia przestępstwa), art. 220.1 (masowe zakłócanie porządku) i art. </w:t>
      </w:r>
      <w:r w:rsidR="00031026">
        <w:rPr>
          <w:color w:val="000000"/>
        </w:rPr>
        <w:t>228.3 (</w:t>
      </w:r>
      <w:r w:rsidR="00031026">
        <w:t xml:space="preserve">nielegalne posiadanie broni, popełnione przez zorganizowaną grupę) </w:t>
      </w:r>
      <w:r w:rsidR="0076797C">
        <w:t>K</w:t>
      </w:r>
      <w:r w:rsidR="00031026">
        <w:t>odeksu karnego.</w:t>
      </w:r>
    </w:p>
    <w:p w14:paraId="0B3BD083" w14:textId="65327F0F" w:rsidR="00031026" w:rsidRPr="00031026" w:rsidRDefault="00000000" w:rsidP="00031026">
      <w:pPr>
        <w:pStyle w:val="JuPara"/>
        <w:rPr>
          <w:rFonts w:ascii="Times New Roman" w:eastAsia="SimHei" w:hAnsi="Times New Roman" w:cs="SimHei"/>
          <w:szCs w:val="20"/>
        </w:rPr>
      </w:pPr>
      <w:fldSimple w:instr=" SEQ level0 \*arabic ">
        <w:r w:rsidR="00D86FCE">
          <w:rPr>
            <w:noProof/>
          </w:rPr>
          <w:t>38</w:t>
        </w:r>
      </w:fldSimple>
      <w:r w:rsidR="00031026">
        <w:t>.  Ponadto</w:t>
      </w:r>
      <w:r w:rsidR="00031026">
        <w:rPr>
          <w:rFonts w:ascii="Times New Roman" w:hAnsi="Times New Roman"/>
          <w:szCs w:val="20"/>
        </w:rPr>
        <w:t xml:space="preserve"> </w:t>
      </w:r>
      <w:r w:rsidR="0076797C">
        <w:rPr>
          <w:rFonts w:ascii="Times New Roman" w:hAnsi="Times New Roman"/>
          <w:szCs w:val="20"/>
        </w:rPr>
        <w:t>wydaje się</w:t>
      </w:r>
      <w:r w:rsidR="00031026">
        <w:rPr>
          <w:rFonts w:ascii="Times New Roman" w:hAnsi="Times New Roman"/>
          <w:szCs w:val="20"/>
        </w:rPr>
        <w:t xml:space="preserve">, że we wrześniu 2013 r. drugiemu skarżącemu przedstawiono dodatkowo zarzuty popełnienia nowych przestępstw z art. 28 (przygotowanie do popełnienia przestępstwa) i art. 220.1 (masowe zakłócanie porządku) </w:t>
      </w:r>
      <w:r w:rsidR="0076797C">
        <w:rPr>
          <w:rFonts w:ascii="Times New Roman" w:hAnsi="Times New Roman"/>
          <w:szCs w:val="20"/>
        </w:rPr>
        <w:t>K</w:t>
      </w:r>
      <w:r w:rsidR="00031026">
        <w:rPr>
          <w:rFonts w:ascii="Times New Roman" w:hAnsi="Times New Roman"/>
          <w:szCs w:val="20"/>
        </w:rPr>
        <w:t>odeksu karnego</w:t>
      </w:r>
      <w:r w:rsidR="00031026">
        <w:t>.</w:t>
      </w:r>
    </w:p>
    <w:p w14:paraId="10BAF4F4" w14:textId="23D0AC26"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39</w:t>
      </w:r>
      <w:r w:rsidRPr="00031026">
        <w:rPr>
          <w:rFonts w:eastAsia="SimHei"/>
        </w:rPr>
        <w:fldChar w:fldCharType="end"/>
      </w:r>
      <w:r>
        <w:t xml:space="preserve">.  W dniu 6 maja 2014 r. Sąd ds. Poważnych Przestępstw w Baku uznał skarżących za winnych wszystkich zarzucanych im czynów i skazał </w:t>
      </w:r>
      <w:r>
        <w:lastRenderedPageBreak/>
        <w:t>pierwszego skarżącego na karę siedmiu lat i pół roku pozbawienia wolności, a drugiego skarżącego na karę sześciu lat pozbawienia wolności.</w:t>
      </w:r>
    </w:p>
    <w:p w14:paraId="6F53F36E" w14:textId="2D238000"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40</w:t>
      </w:r>
      <w:r w:rsidRPr="00031026">
        <w:rPr>
          <w:rFonts w:eastAsia="SimHei"/>
        </w:rPr>
        <w:fldChar w:fldCharType="end"/>
      </w:r>
      <w:r>
        <w:t>.  W dniu 16 grudnia 2014 r. Sąd Apelacyjny w Baku utrzymał ten wyrok w mocy.</w:t>
      </w:r>
    </w:p>
    <w:p w14:paraId="02AEA50C" w14:textId="0A497C29"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41</w:t>
      </w:r>
      <w:r w:rsidRPr="00031026">
        <w:rPr>
          <w:rFonts w:eastAsia="SimHei"/>
        </w:rPr>
        <w:fldChar w:fldCharType="end"/>
      </w:r>
      <w:r>
        <w:t>.  W dniach 2 czerwca i 15 października 2015 r. Sąd Najwyższy utrzymał w mocy wyrok sądu odwoławczego w odniesieniu do odpowiednio drugiego i pierwszego skarżącego.</w:t>
      </w:r>
    </w:p>
    <w:p w14:paraId="00FE67FF" w14:textId="05511464" w:rsidR="00031026" w:rsidRPr="00031026" w:rsidRDefault="00031026" w:rsidP="00031026">
      <w:pPr>
        <w:pStyle w:val="JuPara"/>
        <w:rPr>
          <w:rFonts w:eastAsia="SimHei"/>
          <w:color w:val="000000"/>
        </w:rPr>
      </w:pPr>
      <w:r w:rsidRPr="00031026">
        <w:rPr>
          <w:rFonts w:eastAsia="SimHei"/>
          <w:color w:val="000000"/>
        </w:rPr>
        <w:fldChar w:fldCharType="begin"/>
      </w:r>
      <w:r w:rsidRPr="00031026">
        <w:rPr>
          <w:rFonts w:eastAsia="SimHei"/>
          <w:color w:val="000000"/>
        </w:rPr>
        <w:instrText xml:space="preserve"> SEQ level0 \*arabic </w:instrText>
      </w:r>
      <w:r w:rsidRPr="00031026">
        <w:rPr>
          <w:rFonts w:eastAsia="SimHei"/>
          <w:color w:val="000000"/>
        </w:rPr>
        <w:fldChar w:fldCharType="separate"/>
      </w:r>
      <w:r w:rsidR="00D86FCE">
        <w:rPr>
          <w:rFonts w:eastAsia="SimHei"/>
          <w:noProof/>
          <w:color w:val="000000"/>
        </w:rPr>
        <w:t>42</w:t>
      </w:r>
      <w:r w:rsidRPr="00031026">
        <w:rPr>
          <w:rFonts w:eastAsia="SimHei"/>
          <w:color w:val="000000"/>
        </w:rPr>
        <w:fldChar w:fldCharType="end"/>
      </w:r>
      <w:r>
        <w:t>.</w:t>
      </w:r>
      <w:r>
        <w:rPr>
          <w:color w:val="000000"/>
        </w:rPr>
        <w:t>  W dniu 17 października 2014 r. drugi skarżący, a w dniu 17 marca 2016 r. pierwszy skarżący zostali zwolnieni z odbycia pozostałej części kary po ułaskawieniu dekretami prezydenckimi.</w:t>
      </w:r>
    </w:p>
    <w:p w14:paraId="3AE862AD" w14:textId="0A105720" w:rsidR="00031026" w:rsidRPr="00031026" w:rsidRDefault="00000000" w:rsidP="00031026">
      <w:pPr>
        <w:pStyle w:val="JuPara"/>
        <w:rPr>
          <w:rFonts w:eastAsia="SimHei"/>
          <w:color w:val="000000"/>
        </w:rPr>
      </w:pPr>
      <w:fldSimple w:instr=" SEQ level0 \*arabic ">
        <w:r w:rsidR="00D86FCE">
          <w:rPr>
            <w:noProof/>
          </w:rPr>
          <w:t>43</w:t>
        </w:r>
      </w:fldSimple>
      <w:r w:rsidR="00031026">
        <w:t>.  Dwie odrębne skargi (nr 57334/15 i 22334/16) dotyczące rzetelności postępowania karnego przeciwko skarżącym, w których podniesiono różne zarzuty z art. 6, 10, 11 i 18 Konwencji, są rozpatrywane przez Trybunał.</w:t>
      </w:r>
    </w:p>
    <w:p w14:paraId="001E6ACD" w14:textId="5D415C82" w:rsidR="00031026" w:rsidRPr="00031026" w:rsidRDefault="000814E7" w:rsidP="00031026">
      <w:pPr>
        <w:pStyle w:val="JuHHead"/>
      </w:pPr>
      <w:r>
        <w:t xml:space="preserve">ODPOWIEDNIE </w:t>
      </w:r>
      <w:r w:rsidR="00031026">
        <w:t>RAMY PRAWNE</w:t>
      </w:r>
    </w:p>
    <w:p w14:paraId="29F3E6AF" w14:textId="77777777" w:rsidR="00031026" w:rsidRPr="00031026" w:rsidRDefault="00031026" w:rsidP="00031026">
      <w:pPr>
        <w:pStyle w:val="JuHIRoman"/>
        <w:tabs>
          <w:tab w:val="clear" w:pos="454"/>
          <w:tab w:val="clear" w:pos="567"/>
          <w:tab w:val="clear" w:pos="680"/>
        </w:tabs>
        <w:ind w:left="357" w:hanging="357"/>
      </w:pPr>
      <w:r>
        <w:t>Właściwe prawo krajowe i praktyka</w:t>
      </w:r>
    </w:p>
    <w:p w14:paraId="0CE58180" w14:textId="52B9F03C" w:rsidR="00031026" w:rsidRPr="00031026" w:rsidRDefault="00000000" w:rsidP="00031026">
      <w:pPr>
        <w:pStyle w:val="JuPara"/>
        <w:rPr>
          <w:rFonts w:ascii="Times New Roman" w:eastAsia="SimHei" w:hAnsi="Times New Roman" w:cs="SimHei"/>
          <w:snapToGrid w:val="0"/>
        </w:rPr>
      </w:pPr>
      <w:fldSimple w:instr=" SEQ level0 \*arabic ">
        <w:r w:rsidR="00D86FCE">
          <w:rPr>
            <w:noProof/>
          </w:rPr>
          <w:t>44</w:t>
        </w:r>
      </w:fldSimple>
      <w:r w:rsidR="00031026">
        <w:t>.  </w:t>
      </w:r>
      <w:r w:rsidR="00031026">
        <w:rPr>
          <w:rFonts w:ascii="Times New Roman" w:hAnsi="Times New Roman"/>
          <w:color w:val="000000"/>
        </w:rPr>
        <w:t xml:space="preserve">Odpowiednie przepisy </w:t>
      </w:r>
      <w:r w:rsidR="00063A34">
        <w:rPr>
          <w:rFonts w:ascii="Times New Roman" w:hAnsi="Times New Roman"/>
          <w:color w:val="000000"/>
        </w:rPr>
        <w:t>K</w:t>
      </w:r>
      <w:r w:rsidR="00031026">
        <w:rPr>
          <w:rFonts w:ascii="Times New Roman" w:hAnsi="Times New Roman"/>
          <w:color w:val="000000"/>
        </w:rPr>
        <w:t>odeksu postępowania karnego („k.p.k.”) dotyczące tymczasowego aresztowania zostały szczegółowo opisane w wyrokach Trybunału w sprawach</w:t>
      </w:r>
      <w:r w:rsidR="00031026">
        <w:rPr>
          <w:rFonts w:ascii="Times New Roman" w:hAnsi="Times New Roman"/>
          <w:i/>
        </w:rPr>
        <w:t xml:space="preserve"> </w:t>
      </w:r>
      <w:proofErr w:type="spellStart"/>
      <w:r w:rsidR="00031026">
        <w:rPr>
          <w:rFonts w:ascii="Times New Roman" w:hAnsi="Times New Roman"/>
          <w:i/>
        </w:rPr>
        <w:t>Farhad</w:t>
      </w:r>
      <w:proofErr w:type="spellEnd"/>
      <w:r w:rsidR="00031026">
        <w:rPr>
          <w:rFonts w:ascii="Times New Roman" w:hAnsi="Times New Roman"/>
          <w:i/>
        </w:rPr>
        <w:t xml:space="preserve"> </w:t>
      </w:r>
      <w:proofErr w:type="spellStart"/>
      <w:r w:rsidR="00031026">
        <w:rPr>
          <w:rFonts w:ascii="Times New Roman" w:hAnsi="Times New Roman"/>
          <w:i/>
        </w:rPr>
        <w:t>Aliyev</w:t>
      </w:r>
      <w:proofErr w:type="spellEnd"/>
      <w:r w:rsidR="00031026">
        <w:rPr>
          <w:rFonts w:ascii="Times New Roman" w:hAnsi="Times New Roman"/>
          <w:i/>
        </w:rPr>
        <w:t xml:space="preserve"> p</w:t>
      </w:r>
      <w:r w:rsidR="00063A34">
        <w:rPr>
          <w:rFonts w:ascii="Times New Roman" w:hAnsi="Times New Roman"/>
          <w:i/>
        </w:rPr>
        <w:t>.</w:t>
      </w:r>
      <w:r w:rsidR="00031026">
        <w:rPr>
          <w:rFonts w:ascii="Times New Roman" w:hAnsi="Times New Roman"/>
          <w:i/>
        </w:rPr>
        <w:t xml:space="preserve"> Azerbejdżanowi</w:t>
      </w:r>
      <w:r w:rsidR="00031026">
        <w:rPr>
          <w:rFonts w:ascii="Times New Roman" w:hAnsi="Times New Roman"/>
        </w:rPr>
        <w:t xml:space="preserve"> (nr 37138/06</w:t>
      </w:r>
      <w:r w:rsidR="00031026">
        <w:rPr>
          <w:rFonts w:ascii="Times New Roman" w:hAnsi="Times New Roman"/>
          <w:snapToGrid w:val="0"/>
        </w:rPr>
        <w:t>, §§ 83-102, 9 listopada 2010 r.) oraz</w:t>
      </w:r>
      <w:r w:rsidR="00031026">
        <w:rPr>
          <w:rFonts w:ascii="Times New Roman" w:hAnsi="Times New Roman"/>
        </w:rPr>
        <w:t xml:space="preserve"> </w:t>
      </w:r>
      <w:proofErr w:type="spellStart"/>
      <w:r w:rsidR="00031026">
        <w:rPr>
          <w:rFonts w:ascii="Times New Roman" w:hAnsi="Times New Roman"/>
          <w:i/>
        </w:rPr>
        <w:t>Muradverdiyev</w:t>
      </w:r>
      <w:proofErr w:type="spellEnd"/>
      <w:r w:rsidR="00031026">
        <w:rPr>
          <w:rFonts w:ascii="Times New Roman" w:hAnsi="Times New Roman"/>
          <w:i/>
        </w:rPr>
        <w:t xml:space="preserve"> p</w:t>
      </w:r>
      <w:r w:rsidR="00063A34">
        <w:rPr>
          <w:rFonts w:ascii="Times New Roman" w:hAnsi="Times New Roman"/>
          <w:i/>
        </w:rPr>
        <w:t>.</w:t>
      </w:r>
      <w:r w:rsidR="00031026">
        <w:rPr>
          <w:rFonts w:ascii="Times New Roman" w:hAnsi="Times New Roman"/>
          <w:i/>
        </w:rPr>
        <w:t xml:space="preserve"> Azerbejdżanowi</w:t>
      </w:r>
      <w:r w:rsidR="00031026">
        <w:rPr>
          <w:rFonts w:ascii="Times New Roman" w:hAnsi="Times New Roman"/>
        </w:rPr>
        <w:t xml:space="preserve"> (nr 16966/06, </w:t>
      </w:r>
      <w:r w:rsidR="00031026">
        <w:rPr>
          <w:rFonts w:ascii="Times New Roman" w:hAnsi="Times New Roman"/>
          <w:snapToGrid w:val="0"/>
        </w:rPr>
        <w:t>§§ 35</w:t>
      </w:r>
      <w:r w:rsidR="00031026">
        <w:rPr>
          <w:rFonts w:ascii="Times New Roman" w:hAnsi="Times New Roman"/>
          <w:snapToGrid w:val="0"/>
        </w:rPr>
        <w:noBreakHyphen/>
        <w:t>49, 9 grudnia 2010 r.)</w:t>
      </w:r>
      <w:r w:rsidR="00031026">
        <w:t>.</w:t>
      </w:r>
    </w:p>
    <w:p w14:paraId="5BA5B6A8" w14:textId="42420DC8" w:rsidR="00031026" w:rsidRPr="00031026" w:rsidRDefault="00000000" w:rsidP="00031026">
      <w:pPr>
        <w:pStyle w:val="JuPara"/>
      </w:pPr>
      <w:fldSimple w:instr=" SEQ level0 \*arabic ">
        <w:r w:rsidR="00D86FCE">
          <w:rPr>
            <w:noProof/>
          </w:rPr>
          <w:t>45</w:t>
        </w:r>
      </w:fldSimple>
      <w:r w:rsidR="00031026">
        <w:t>.  Zgodnie z art. 428.2 k.p.k. dla celów postępowania karnego nieletnim jest osoba, która w chwili popełnienia danego przestępstwa nie miała ukończonych osiemnastu lat. Zastosowanie wobec nieletniego podejrzanego lub oskarżonego tymczasowego aresztowania jest dopuszczalne tylko wtedy, gdy miało ono związek z popełnieniem „mniej poważnego przestępstwa</w:t>
      </w:r>
      <w:r w:rsidR="004E4A7F">
        <w:t xml:space="preserve"> z użyciem przemocy</w:t>
      </w:r>
      <w:r w:rsidR="00031026">
        <w:t xml:space="preserve">”, „poważnego przestępstwa” lub „szczególnie poważnego przestępstwa” (art. 434.1 k.p.k.). Zastosowanie wobec nieletniego tymczasowego aresztowania jest dopuszczalne jako środek wyjątkowy i na możliwie najkrótszy czas </w:t>
      </w:r>
      <w:r w:rsidR="00031026">
        <w:rPr>
          <w:i/>
        </w:rPr>
        <w:t>(</w:t>
      </w:r>
      <w:proofErr w:type="spellStart"/>
      <w:r w:rsidR="00031026">
        <w:rPr>
          <w:i/>
        </w:rPr>
        <w:t>müstəsna</w:t>
      </w:r>
      <w:proofErr w:type="spellEnd"/>
      <w:r w:rsidR="00031026">
        <w:rPr>
          <w:i/>
        </w:rPr>
        <w:t xml:space="preserve"> </w:t>
      </w:r>
      <w:proofErr w:type="spellStart"/>
      <w:r w:rsidR="00031026">
        <w:rPr>
          <w:i/>
        </w:rPr>
        <w:t>tədbir</w:t>
      </w:r>
      <w:proofErr w:type="spellEnd"/>
      <w:r w:rsidR="00031026">
        <w:rPr>
          <w:i/>
        </w:rPr>
        <w:t xml:space="preserve"> </w:t>
      </w:r>
      <w:proofErr w:type="spellStart"/>
      <w:r w:rsidR="00031026">
        <w:rPr>
          <w:i/>
        </w:rPr>
        <w:t>kimi</w:t>
      </w:r>
      <w:proofErr w:type="spellEnd"/>
      <w:r w:rsidR="00031026">
        <w:rPr>
          <w:i/>
        </w:rPr>
        <w:t xml:space="preserve"> </w:t>
      </w:r>
      <w:proofErr w:type="spellStart"/>
      <w:r w:rsidR="00031026">
        <w:rPr>
          <w:i/>
        </w:rPr>
        <w:t>və</w:t>
      </w:r>
      <w:proofErr w:type="spellEnd"/>
      <w:r w:rsidR="00031026">
        <w:rPr>
          <w:i/>
        </w:rPr>
        <w:t xml:space="preserve"> </w:t>
      </w:r>
      <w:proofErr w:type="spellStart"/>
      <w:r w:rsidR="00031026">
        <w:rPr>
          <w:i/>
        </w:rPr>
        <w:t>mümkün</w:t>
      </w:r>
      <w:proofErr w:type="spellEnd"/>
      <w:r w:rsidR="00031026">
        <w:rPr>
          <w:i/>
        </w:rPr>
        <w:t xml:space="preserve"> </w:t>
      </w:r>
      <w:proofErr w:type="spellStart"/>
      <w:r w:rsidR="00031026">
        <w:rPr>
          <w:i/>
        </w:rPr>
        <w:t>qədər</w:t>
      </w:r>
      <w:proofErr w:type="spellEnd"/>
      <w:r w:rsidR="00031026">
        <w:rPr>
          <w:i/>
        </w:rPr>
        <w:t xml:space="preserve"> </w:t>
      </w:r>
      <w:proofErr w:type="spellStart"/>
      <w:r w:rsidR="00031026">
        <w:rPr>
          <w:i/>
        </w:rPr>
        <w:t>qısa</w:t>
      </w:r>
      <w:proofErr w:type="spellEnd"/>
      <w:r w:rsidR="00031026">
        <w:rPr>
          <w:i/>
        </w:rPr>
        <w:t xml:space="preserve"> </w:t>
      </w:r>
      <w:proofErr w:type="spellStart"/>
      <w:r w:rsidR="00031026">
        <w:rPr>
          <w:i/>
        </w:rPr>
        <w:t>müddət</w:t>
      </w:r>
      <w:proofErr w:type="spellEnd"/>
      <w:r w:rsidR="00031026">
        <w:rPr>
          <w:i/>
        </w:rPr>
        <w:t xml:space="preserve"> </w:t>
      </w:r>
      <w:proofErr w:type="spellStart"/>
      <w:r w:rsidR="00031026">
        <w:rPr>
          <w:i/>
        </w:rPr>
        <w:t>ərzində</w:t>
      </w:r>
      <w:proofErr w:type="spellEnd"/>
      <w:r w:rsidR="00031026">
        <w:t>) (art. 434.2 k.p.k.).</w:t>
      </w:r>
    </w:p>
    <w:p w14:paraId="7F5D3CD8" w14:textId="7B177F47" w:rsidR="00031026" w:rsidRPr="00031026" w:rsidRDefault="00031026" w:rsidP="00031026">
      <w:pPr>
        <w:pStyle w:val="JuPara"/>
      </w:pPr>
      <w:r w:rsidRPr="00031026">
        <w:rPr>
          <w:rFonts w:ascii="Times New Roman" w:eastAsia="SimHei" w:hAnsi="Times New Roman" w:cs="SimHei"/>
          <w:snapToGrid w:val="0"/>
        </w:rPr>
        <w:fldChar w:fldCharType="begin"/>
      </w:r>
      <w:r w:rsidRPr="00031026">
        <w:rPr>
          <w:rFonts w:ascii="Times New Roman" w:eastAsia="SimHei" w:hAnsi="Times New Roman" w:cs="SimHei"/>
          <w:snapToGrid w:val="0"/>
        </w:rPr>
        <w:instrText xml:space="preserve"> SEQ level0 \*arabic </w:instrText>
      </w:r>
      <w:r w:rsidRPr="00031026">
        <w:rPr>
          <w:rFonts w:ascii="Times New Roman" w:eastAsia="SimHei" w:hAnsi="Times New Roman" w:cs="SimHei"/>
          <w:snapToGrid w:val="0"/>
        </w:rPr>
        <w:fldChar w:fldCharType="separate"/>
      </w:r>
      <w:r w:rsidR="00D86FCE">
        <w:rPr>
          <w:rFonts w:ascii="Times New Roman" w:eastAsia="SimHei" w:hAnsi="Times New Roman" w:cs="SimHei"/>
          <w:noProof/>
          <w:snapToGrid w:val="0"/>
        </w:rPr>
        <w:t>46</w:t>
      </w:r>
      <w:r w:rsidRPr="00031026">
        <w:rPr>
          <w:rFonts w:ascii="Times New Roman" w:eastAsia="SimHei" w:hAnsi="Times New Roman" w:cs="SimHei"/>
          <w:snapToGrid w:val="0"/>
        </w:rPr>
        <w:fldChar w:fldCharType="end"/>
      </w:r>
      <w:r>
        <w:rPr>
          <w:rFonts w:ascii="Times New Roman" w:hAnsi="Times New Roman"/>
          <w:snapToGrid w:val="0"/>
        </w:rPr>
        <w:t xml:space="preserve">.  Odpowiednie orzeczenia Pełnego Składu Sądu Najwyższego dotyczące </w:t>
      </w:r>
      <w:r>
        <w:rPr>
          <w:rFonts w:ascii="Times New Roman" w:hAnsi="Times New Roman"/>
          <w:color w:val="000000"/>
        </w:rPr>
        <w:t xml:space="preserve">tymczasowego aresztowania zostały szczegółowo opisane w wyroku Trybunału w sprawie </w:t>
      </w:r>
      <w:proofErr w:type="spellStart"/>
      <w:r>
        <w:rPr>
          <w:rFonts w:ascii="Times New Roman" w:hAnsi="Times New Roman"/>
          <w:i/>
        </w:rPr>
        <w:t>Allahverdiyev</w:t>
      </w:r>
      <w:proofErr w:type="spellEnd"/>
      <w:r>
        <w:rPr>
          <w:rFonts w:ascii="Times New Roman" w:hAnsi="Times New Roman"/>
          <w:i/>
        </w:rPr>
        <w:t xml:space="preserve"> p</w:t>
      </w:r>
      <w:r w:rsidR="004E4A7F">
        <w:rPr>
          <w:rFonts w:ascii="Times New Roman" w:hAnsi="Times New Roman"/>
          <w:i/>
        </w:rPr>
        <w:t>.</w:t>
      </w:r>
      <w:r>
        <w:rPr>
          <w:rFonts w:ascii="Times New Roman" w:hAnsi="Times New Roman"/>
          <w:i/>
        </w:rPr>
        <w:t xml:space="preserve"> Azerbejdżanowi</w:t>
      </w:r>
      <w:r>
        <w:rPr>
          <w:rFonts w:ascii="Times New Roman" w:hAnsi="Times New Roman"/>
        </w:rPr>
        <w:t xml:space="preserve"> (nr 49192/08</w:t>
      </w:r>
      <w:r>
        <w:rPr>
          <w:rFonts w:ascii="Times New Roman" w:hAnsi="Times New Roman"/>
          <w:snapToGrid w:val="0"/>
        </w:rPr>
        <w:t>, §§ 31</w:t>
      </w:r>
      <w:r>
        <w:rPr>
          <w:rFonts w:ascii="Times New Roman" w:hAnsi="Times New Roman"/>
          <w:snapToGrid w:val="0"/>
        </w:rPr>
        <w:noBreakHyphen/>
        <w:t>32, 6 marca 2014 r.)</w:t>
      </w:r>
      <w:r>
        <w:t>.</w:t>
      </w:r>
    </w:p>
    <w:p w14:paraId="36F4274D" w14:textId="77777777" w:rsidR="00031026" w:rsidRPr="00031026" w:rsidRDefault="00031026" w:rsidP="00031026">
      <w:pPr>
        <w:pStyle w:val="JuHIRoman"/>
        <w:tabs>
          <w:tab w:val="clear" w:pos="454"/>
          <w:tab w:val="clear" w:pos="567"/>
          <w:tab w:val="clear" w:pos="680"/>
        </w:tabs>
        <w:ind w:left="357" w:hanging="357"/>
        <w:jc w:val="left"/>
      </w:pPr>
      <w:r>
        <w:t>Właściwe materiały międzynarodowe</w:t>
      </w:r>
    </w:p>
    <w:p w14:paraId="4F948020" w14:textId="0F20296A" w:rsidR="00031026" w:rsidRPr="00031026" w:rsidRDefault="00031026" w:rsidP="00031026">
      <w:pPr>
        <w:pStyle w:val="JuPara"/>
      </w:pPr>
      <w:r w:rsidRPr="00031026">
        <w:rPr>
          <w:rFonts w:ascii="Times New Roman" w:eastAsia="SimHei" w:hAnsi="Times New Roman" w:cs="SimHei"/>
        </w:rPr>
        <w:fldChar w:fldCharType="begin"/>
      </w:r>
      <w:r w:rsidRPr="00031026">
        <w:rPr>
          <w:rFonts w:ascii="Times New Roman" w:eastAsia="SimHei" w:hAnsi="Times New Roman" w:cs="SimHei"/>
        </w:rPr>
        <w:instrText xml:space="preserve"> SEQ level0 \*arabic </w:instrText>
      </w:r>
      <w:r w:rsidRPr="00031026">
        <w:rPr>
          <w:rFonts w:ascii="Times New Roman" w:eastAsia="SimHei" w:hAnsi="Times New Roman" w:cs="SimHei"/>
        </w:rPr>
        <w:fldChar w:fldCharType="separate"/>
      </w:r>
      <w:r w:rsidR="00D86FCE">
        <w:rPr>
          <w:rFonts w:ascii="Times New Roman" w:eastAsia="SimHei" w:hAnsi="Times New Roman" w:cs="SimHei"/>
          <w:noProof/>
        </w:rPr>
        <w:t>47</w:t>
      </w:r>
      <w:r w:rsidRPr="00031026">
        <w:rPr>
          <w:rFonts w:ascii="Times New Roman" w:eastAsia="SimHei" w:hAnsi="Times New Roman" w:cs="SimHei"/>
        </w:rPr>
        <w:fldChar w:fldCharType="end"/>
      </w:r>
      <w:r>
        <w:t>.</w:t>
      </w:r>
      <w:r>
        <w:rPr>
          <w:rFonts w:ascii="Times New Roman" w:hAnsi="Times New Roman"/>
        </w:rPr>
        <w:t xml:space="preserve">  Szereg właściwych dokumentów międzynarodowych </w:t>
      </w:r>
      <w:r>
        <w:rPr>
          <w:rFonts w:ascii="Times New Roman" w:hAnsi="Times New Roman"/>
          <w:color w:val="000000"/>
        </w:rPr>
        <w:t xml:space="preserve">opisano szczegółowo w wyroku Trybunału w sprawie </w:t>
      </w:r>
      <w:proofErr w:type="spellStart"/>
      <w:r>
        <w:rPr>
          <w:i/>
          <w:iCs/>
        </w:rPr>
        <w:t>Rashad</w:t>
      </w:r>
      <w:proofErr w:type="spellEnd"/>
      <w:r>
        <w:rPr>
          <w:i/>
          <w:iCs/>
        </w:rPr>
        <w:t xml:space="preserve"> </w:t>
      </w:r>
      <w:proofErr w:type="spellStart"/>
      <w:r>
        <w:rPr>
          <w:i/>
          <w:iCs/>
        </w:rPr>
        <w:t>Hasanov</w:t>
      </w:r>
      <w:proofErr w:type="spellEnd"/>
      <w:r>
        <w:rPr>
          <w:i/>
          <w:iCs/>
        </w:rPr>
        <w:t xml:space="preserve"> i Inni </w:t>
      </w:r>
      <w:r>
        <w:t>(cyt. powyżej, §§ 79</w:t>
      </w:r>
      <w:r>
        <w:noBreakHyphen/>
        <w:t>81).</w:t>
      </w:r>
    </w:p>
    <w:p w14:paraId="0F042C96" w14:textId="76B6FBE6" w:rsidR="00031026" w:rsidRPr="00031026" w:rsidRDefault="00000000" w:rsidP="00031026">
      <w:pPr>
        <w:pStyle w:val="JuPara"/>
      </w:pPr>
      <w:fldSimple w:instr=" SEQ level0 \*arabic ">
        <w:r w:rsidR="00D86FCE">
          <w:rPr>
            <w:noProof/>
          </w:rPr>
          <w:t>48</w:t>
        </w:r>
      </w:fldSimple>
      <w:r w:rsidR="00031026">
        <w:t xml:space="preserve">.  Konwencja Narodów Zjednoczonych o prawach dziecka, przyjęta przez Zgromadzenie Ogólne </w:t>
      </w:r>
      <w:bookmarkStart w:id="3" w:name="HIT35"/>
      <w:bookmarkEnd w:id="3"/>
      <w:r w:rsidR="00031026">
        <w:t xml:space="preserve">Narodów Zjednoczonych 20 listopada 1989 r. </w:t>
      </w:r>
      <w:r w:rsidR="004E4A7F">
        <w:br/>
      </w:r>
      <w:r w:rsidR="00031026">
        <w:lastRenderedPageBreak/>
        <w:t xml:space="preserve">i ratyfikowana przez Azerbejdżan 13 sierpnia 1992 r., w </w:t>
      </w:r>
      <w:r w:rsidR="004E4A7F">
        <w:t xml:space="preserve">odpowiednim </w:t>
      </w:r>
      <w:r w:rsidR="00031026">
        <w:t>zakresie, stanowi:</w:t>
      </w:r>
    </w:p>
    <w:p w14:paraId="2E2F2B9E" w14:textId="77777777" w:rsidR="00031026" w:rsidRPr="00031026" w:rsidRDefault="00031026" w:rsidP="00031026">
      <w:pPr>
        <w:pStyle w:val="JuHArticle"/>
      </w:pPr>
      <w:r>
        <w:t>Artykuł 1</w:t>
      </w:r>
    </w:p>
    <w:p w14:paraId="62A91DEB" w14:textId="161B141C" w:rsidR="00031026" w:rsidRPr="00031026" w:rsidRDefault="00031026" w:rsidP="00031026">
      <w:pPr>
        <w:pStyle w:val="JuQuot"/>
      </w:pPr>
      <w:r>
        <w:t>„W rozumieniu niniejszej konwencji dziecko oznacza każdą istotę ludzką w wieku poniżej osiemnastu lat, chyba że zgodnie z prawem odnoszącym się do dziecka uzyska ono wcześniej pełnoletność.</w:t>
      </w:r>
    </w:p>
    <w:p w14:paraId="0CEDB231" w14:textId="77777777" w:rsidR="00031026" w:rsidRPr="00031026" w:rsidRDefault="00031026" w:rsidP="00031026">
      <w:pPr>
        <w:pStyle w:val="JuQuot"/>
      </w:pPr>
      <w:r>
        <w:t>[...]”</w:t>
      </w:r>
    </w:p>
    <w:p w14:paraId="15D9B1E8" w14:textId="77777777" w:rsidR="00031026" w:rsidRPr="00031026" w:rsidRDefault="00031026" w:rsidP="00031026">
      <w:pPr>
        <w:pStyle w:val="JuHArticle"/>
      </w:pPr>
      <w:r>
        <w:t>Artykuł 37</w:t>
      </w:r>
    </w:p>
    <w:p w14:paraId="5B8ADC48" w14:textId="77777777" w:rsidR="00031026" w:rsidRPr="00031026" w:rsidRDefault="00031026" w:rsidP="00031026">
      <w:pPr>
        <w:pStyle w:val="JuQuot"/>
        <w:rPr>
          <w:rFonts w:eastAsia="Times New Roman"/>
        </w:rPr>
      </w:pPr>
      <w:r>
        <w:t>„Państwa-Strony zapewnią, aby:</w:t>
      </w:r>
    </w:p>
    <w:p w14:paraId="7931AF89" w14:textId="77777777" w:rsidR="00031026" w:rsidRPr="00031026" w:rsidRDefault="00031026" w:rsidP="00031026">
      <w:pPr>
        <w:pStyle w:val="JuQuot"/>
        <w:rPr>
          <w:rFonts w:eastAsia="Times New Roman"/>
        </w:rPr>
      </w:pPr>
      <w:r>
        <w:t>[…]</w:t>
      </w:r>
    </w:p>
    <w:p w14:paraId="022824DE" w14:textId="6C40E216" w:rsidR="00031026" w:rsidRPr="00031026" w:rsidRDefault="00031026" w:rsidP="00031026">
      <w:pPr>
        <w:pStyle w:val="JuQuot"/>
        <w:rPr>
          <w:rFonts w:eastAsia="Times New Roman"/>
        </w:rPr>
      </w:pPr>
      <w:r>
        <w:t>b) żadne dziecko nie zostało pozbawione wolności w sposób bezprawny lub arbitralny. Aresztowanie, zatrzymanie lub uwięzienie dziecka powinno być zgodne z prawem i może być zastosowane jedynie jako środek ostateczny i na możliwie najkrótszy czas</w:t>
      </w:r>
      <w:r w:rsidR="004E4A7F">
        <w:t>…”</w:t>
      </w:r>
      <w:r>
        <w:t>;</w:t>
      </w:r>
    </w:p>
    <w:p w14:paraId="591B0322" w14:textId="50396501" w:rsidR="00031026" w:rsidRPr="00031026" w:rsidRDefault="00000000" w:rsidP="00031026">
      <w:pPr>
        <w:pStyle w:val="JuPara"/>
      </w:pPr>
      <w:fldSimple w:instr=" SEQ level0 \*arabic ">
        <w:r w:rsidR="00D86FCE">
          <w:rPr>
            <w:noProof/>
          </w:rPr>
          <w:t>49</w:t>
        </w:r>
      </w:fldSimple>
      <w:r w:rsidR="00031026">
        <w:t>.  W części komentarza ogólnego nr 24 (CRC/C/GC/24) Komitetu Praw Dziecka ONZ dotyczącego praw dziecka w systemie wymiaru sprawiedliwości dla dzieci, z dnia 18 września 2019 r., czytamy:</w:t>
      </w:r>
    </w:p>
    <w:p w14:paraId="7C5408D1" w14:textId="178EEBEA" w:rsidR="00031026" w:rsidRPr="00031026" w:rsidRDefault="00031026" w:rsidP="00031026">
      <w:pPr>
        <w:pStyle w:val="JuQuot"/>
        <w:rPr>
          <w:rFonts w:eastAsia="Times New Roman"/>
        </w:rPr>
      </w:pPr>
      <w:r>
        <w:t>„85.  Wiodąc</w:t>
      </w:r>
      <w:r w:rsidR="007605F4">
        <w:t>ymi</w:t>
      </w:r>
      <w:r>
        <w:t xml:space="preserve"> zasad</w:t>
      </w:r>
      <w:r w:rsidR="007605F4">
        <w:t>ami</w:t>
      </w:r>
      <w:r>
        <w:t xml:space="preserve"> dotycząc</w:t>
      </w:r>
      <w:r w:rsidR="007605F4">
        <w:t>ymi</w:t>
      </w:r>
      <w:r>
        <w:t xml:space="preserve"> stosowania pozbawienia wolności </w:t>
      </w:r>
      <w:r w:rsidR="007605F4">
        <w:t>są</w:t>
      </w:r>
      <w:r>
        <w:t xml:space="preserve">: a) aresztowanie, zatrzymanie lub uwięzienie dziecka powinno być stosowane tylko zgodnie z prawem, tylko jako środek ostateczny i na możliwie najkrótszy czas; oraz b) żadne dziecko nie może być pozbawione wolności w sposób bezprawny lub arbitralny. </w:t>
      </w:r>
      <w:r w:rsidR="007605F4">
        <w:t xml:space="preserve">Zatrzymanie </w:t>
      </w:r>
      <w:r>
        <w:t xml:space="preserve">jest często punktem wyjścia dla tymczasowego aresztowania, a państwa powinny zapewnić, by prawo nakładało na funkcjonariuszy organów ścigania jednoznaczne obowiązki stosowania art. 37 w kontekście aresztowania. Państwa powinny ponadto zapewnić, aby dzieci </w:t>
      </w:r>
      <w:r w:rsidR="00C0305D">
        <w:t xml:space="preserve">nie były przetrzymywanie </w:t>
      </w:r>
      <w:r>
        <w:t>w</w:t>
      </w:r>
      <w:r w:rsidR="00C0305D">
        <w:t xml:space="preserve"> środkach</w:t>
      </w:r>
      <w:r>
        <w:t xml:space="preserve"> transpor</w:t>
      </w:r>
      <w:r w:rsidR="00C0305D">
        <w:t>tu</w:t>
      </w:r>
      <w:r>
        <w:t xml:space="preserve"> lub w policyjnych celach</w:t>
      </w:r>
      <w:r w:rsidR="00C0305D">
        <w:t xml:space="preserve">, chyba że w ostateczności i </w:t>
      </w:r>
      <w:r>
        <w:t xml:space="preserve">przez możliwie najkrótszy czas, oraz aby nie były one </w:t>
      </w:r>
      <w:r w:rsidR="00123C6D">
        <w:t xml:space="preserve">osadzane </w:t>
      </w:r>
      <w:r>
        <w:t xml:space="preserve">z dorosłymi, chyba że </w:t>
      </w:r>
      <w:r w:rsidR="00C0305D">
        <w:t>leży to w ich najlepszym interesie</w:t>
      </w:r>
      <w:r>
        <w:t xml:space="preserve">. </w:t>
      </w:r>
      <w:r w:rsidR="00C0305D">
        <w:t>Priorytetem powinny być</w:t>
      </w:r>
      <w:r>
        <w:t xml:space="preserve"> mechanizmy szybkiego wydawania dzieci rodzicom lub odpowiednim osobom dorosłym.</w:t>
      </w:r>
    </w:p>
    <w:p w14:paraId="3EE3261F" w14:textId="6BEACAD6" w:rsidR="00031026" w:rsidRPr="00031026" w:rsidRDefault="00031026" w:rsidP="00031026">
      <w:pPr>
        <w:pStyle w:val="JuQuot"/>
        <w:rPr>
          <w:rFonts w:eastAsia="Times New Roman"/>
        </w:rPr>
      </w:pPr>
      <w:r>
        <w:t xml:space="preserve">86.  Komitet z niepokojem zauważa, że w wielu krajach wobec dzieci tymczasowe aresztowanie stosuje się miesiącami, a nawet latami, co stanowi poważne naruszenie art. 37 lit. b Konwencji. Tymczasowe aresztowanie należy stosować wyłącznie w najpoważniejszych sprawach, a nawet wówczas dopiero po dokładnym rozważeniu zastosowania środka </w:t>
      </w:r>
      <w:proofErr w:type="spellStart"/>
      <w:r>
        <w:t>nieizolacyjnego</w:t>
      </w:r>
      <w:proofErr w:type="spellEnd"/>
      <w:r>
        <w:t xml:space="preserve">. Zastosowanie środków prewencyjnych na etapie przedsądowym ogranicza zastosowanie tymczasowego aresztowania, ale nawet w przypadku, gdy dziecko ma być sądzone </w:t>
      </w:r>
      <w:r w:rsidR="005E5A9E">
        <w:t>w ramach postępowania dla nieletnich</w:t>
      </w:r>
      <w:r>
        <w:t xml:space="preserve">, środki </w:t>
      </w:r>
      <w:proofErr w:type="spellStart"/>
      <w:r>
        <w:t>nieizolacyjne</w:t>
      </w:r>
      <w:proofErr w:type="spellEnd"/>
      <w:r>
        <w:t xml:space="preserve"> należy dobierać na tyle starannie, aby ograniczyć stosowanie tymczasowego aresztowania.</w:t>
      </w:r>
    </w:p>
    <w:p w14:paraId="2B3A5831" w14:textId="3D82DEAD" w:rsidR="00031026" w:rsidRPr="00031026" w:rsidRDefault="00031026" w:rsidP="00031026">
      <w:pPr>
        <w:pStyle w:val="JuQuot"/>
        <w:rPr>
          <w:rFonts w:eastAsia="Times New Roman"/>
        </w:rPr>
      </w:pPr>
      <w:r>
        <w:t xml:space="preserve">87.  Przepisy prawa powinny jasno określać kryteria stosowania tymczasowego aresztowania, które powinno </w:t>
      </w:r>
      <w:r w:rsidR="005E5A9E">
        <w:t xml:space="preserve">być stosowane </w:t>
      </w:r>
      <w:r>
        <w:t xml:space="preserve">przede wszystkim </w:t>
      </w:r>
      <w:r w:rsidR="005E5A9E">
        <w:t xml:space="preserve">w celu </w:t>
      </w:r>
      <w:r>
        <w:t>zapewnieni</w:t>
      </w:r>
      <w:r w:rsidR="005E5A9E">
        <w:t>a</w:t>
      </w:r>
      <w:r>
        <w:t xml:space="preserve"> stawiennictwa na rozprawie oraz w przypadku, gdy dziecko stanowi bezpośrednie zagrożenie dla innych. Jeśli dziecko zostanie uznane za zagrożenie (dla siebie lub innych) należy zastosować środki ochrony dziecka. Stosowanie tymczasowego aresztowania należy poddawać regularnej ocenie, a czas jego trwania powinien być ograniczony przepisami prawa. Wszyscy uczestnicy systemu wymiaru sprawiedliwości </w:t>
      </w:r>
      <w:r w:rsidR="005E5A9E">
        <w:lastRenderedPageBreak/>
        <w:t>dla nieletnich</w:t>
      </w:r>
      <w:r>
        <w:t xml:space="preserve"> powinni w sposób priorytetowy traktować sprawy tymczasowo aresztowanych dzieci.</w:t>
      </w:r>
    </w:p>
    <w:p w14:paraId="78561CF9" w14:textId="24DF9ED7" w:rsidR="00031026" w:rsidRPr="00031026" w:rsidRDefault="00031026" w:rsidP="00031026">
      <w:pPr>
        <w:pStyle w:val="JuQuot"/>
        <w:rPr>
          <w:rFonts w:cs="Times New Roman"/>
        </w:rPr>
      </w:pPr>
      <w:r>
        <w:t>88.  </w:t>
      </w:r>
      <w:r w:rsidR="000D7205">
        <w:t>Zgodnie z zasadą</w:t>
      </w:r>
      <w:r>
        <w:t xml:space="preserve">, że pozbawienie wolności powinno być </w:t>
      </w:r>
      <w:r w:rsidR="005E5A9E">
        <w:t xml:space="preserve">stosowane </w:t>
      </w:r>
      <w:r w:rsidR="000D7205">
        <w:t xml:space="preserve">przez </w:t>
      </w:r>
      <w:r>
        <w:t xml:space="preserve">możliwie najkrótszy czas, Państwa-Strony powinny zapewnić regularne możliwości </w:t>
      </w:r>
      <w:r w:rsidR="000D7205">
        <w:t>wcześniejszego zwolnienia z aresztu</w:t>
      </w:r>
      <w:r>
        <w:t xml:space="preserve">, w tym z aresztu policyjnego, i oddania pod opiekę rodziców lub innych odpowiednich osób dorosłych. Powinna istnieć możliwość zwolnienia </w:t>
      </w:r>
      <w:r w:rsidR="00644E24">
        <w:t xml:space="preserve">pod </w:t>
      </w:r>
      <w:r>
        <w:t>określ</w:t>
      </w:r>
      <w:r w:rsidR="00644E24">
        <w:t>onymi warunkami</w:t>
      </w:r>
      <w:r>
        <w:t xml:space="preserve"> lub bez nich, taki</w:t>
      </w:r>
      <w:r w:rsidR="00644E24">
        <w:t>mi</w:t>
      </w:r>
      <w:r>
        <w:t xml:space="preserve"> jak zgłaszanie się do uprawnionej osoby lub miejsca. Poręczenie majątkowe nie powinno być wymogiem, ponieważ większość dzieci nie jest w stanie go </w:t>
      </w:r>
      <w:r w:rsidR="00644E24">
        <w:t>zapłacić</w:t>
      </w:r>
      <w:r>
        <w:t xml:space="preserve">, a także dlatego, że dyskryminuje ono rodziny ubogie i marginalizowane. Ponadto, </w:t>
      </w:r>
      <w:r w:rsidR="00644E24">
        <w:t>gdy</w:t>
      </w:r>
      <w:r>
        <w:t xml:space="preserve"> </w:t>
      </w:r>
      <w:r w:rsidR="00644E24">
        <w:t xml:space="preserve">zastosowane zostaje </w:t>
      </w:r>
      <w:r>
        <w:t>poręczeni</w:t>
      </w:r>
      <w:r w:rsidR="00644E24">
        <w:t>e</w:t>
      </w:r>
      <w:r>
        <w:t xml:space="preserve"> majątkowe</w:t>
      </w:r>
      <w:r w:rsidR="00644E24">
        <w:t>,</w:t>
      </w:r>
      <w:r>
        <w:t xml:space="preserve"> oznacza to, że sąd</w:t>
      </w:r>
      <w:r w:rsidR="00BF3DFF">
        <w:t xml:space="preserve"> uznaje</w:t>
      </w:r>
      <w:r w:rsidR="00BF3DFF" w:rsidRPr="00BF3DFF">
        <w:t xml:space="preserve"> </w:t>
      </w:r>
      <w:r w:rsidR="00BF3DFF">
        <w:t>co do zasady</w:t>
      </w:r>
      <w:r>
        <w:t xml:space="preserve">, </w:t>
      </w:r>
      <w:r w:rsidR="00BF3DFF">
        <w:t xml:space="preserve">iż </w:t>
      </w:r>
      <w:r>
        <w:t>dziecko powinno zostać zwolnione, a w celu zabezpieczenia stawiennictwa można zastosować inne mechanizmy.”</w:t>
      </w:r>
    </w:p>
    <w:p w14:paraId="1AA2801C" w14:textId="1666B60B" w:rsidR="00031026" w:rsidRPr="00031026" w:rsidRDefault="00031026" w:rsidP="00031026">
      <w:pPr>
        <w:pStyle w:val="JuPara"/>
        <w:rPr>
          <w:rFonts w:eastAsia="Times New Roman" w:cs="Times New Roman"/>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50</w:t>
      </w:r>
      <w:r w:rsidRPr="00031026">
        <w:rPr>
          <w:rFonts w:eastAsia="SimHei"/>
        </w:rPr>
        <w:fldChar w:fldCharType="end"/>
      </w:r>
      <w:r>
        <w:t>.  W styczniu i lutym 2012 r. Komitet Praw Dziecka ONZ rozpatrzył połączone trzecie i czwarte sprawozdanie okresowe Azerbejdżanu i przyjął uwagi końcowe (CRC/C/AZE/CO/3</w:t>
      </w:r>
      <w:r>
        <w:noBreakHyphen/>
        <w:t>4) z dnia 12 marca 2012 r. Odpowiednia część tych uwag końcowych stanowi, co następuje:</w:t>
      </w:r>
    </w:p>
    <w:p w14:paraId="67196B31" w14:textId="77777777" w:rsidR="00031026" w:rsidRPr="00031026" w:rsidRDefault="00031026" w:rsidP="00031026">
      <w:pPr>
        <w:pStyle w:val="JuQuot"/>
      </w:pPr>
      <w:r>
        <w:t>„Wymiar sprawiedliwości w sprawach nieletnich</w:t>
      </w:r>
    </w:p>
    <w:p w14:paraId="55321968" w14:textId="285EF28D" w:rsidR="00031026" w:rsidRPr="00031026" w:rsidRDefault="00031026" w:rsidP="00031026">
      <w:pPr>
        <w:pStyle w:val="JuQuot"/>
      </w:pPr>
      <w:r>
        <w:t xml:space="preserve">75.  Odnotowując, że Państwo-Strona podjęło się zapewnienia pewnych programów szkoleniowych </w:t>
      </w:r>
      <w:r w:rsidR="00BF3DFF">
        <w:t xml:space="preserve">w zakresie </w:t>
      </w:r>
      <w:r>
        <w:t xml:space="preserve">wymiaru sprawiedliwości wobec nieletnich dla funkcjonariuszy organów ścigania </w:t>
      </w:r>
      <w:r w:rsidR="00A21E6F">
        <w:t xml:space="preserve">stosujących </w:t>
      </w:r>
      <w:r>
        <w:t>praw</w:t>
      </w:r>
      <w:r w:rsidR="00A21E6F">
        <w:t>o</w:t>
      </w:r>
      <w:r>
        <w:t xml:space="preserve"> oraz podjęło próby przyjęcia przepisów dotyczących wymiaru sprawiedliwości dla nieletnich, Komitet pozostaje głęboko zaniepokojony brakiem znaczącej poprawy </w:t>
      </w:r>
      <w:r w:rsidR="00A21E6F">
        <w:t xml:space="preserve">w zakresie </w:t>
      </w:r>
      <w:r>
        <w:t>systemu wymiaru sprawiedliwości wobec nieletnich w Państwie-Stronie, pomimo zaleceń Komitetu z 1997 r. (CRC/C/15/Add.77, pkt 28 i 49) i 2006 (CRC/C/AZE/CO/2, pkt 67</w:t>
      </w:r>
      <w:r w:rsidR="00A21E6F">
        <w:t>)</w:t>
      </w:r>
      <w:r>
        <w:t xml:space="preserve">. Komitet </w:t>
      </w:r>
      <w:r w:rsidR="00A21E6F">
        <w:t xml:space="preserve">jest </w:t>
      </w:r>
      <w:r>
        <w:t xml:space="preserve">szczególnie zaniepokojony </w:t>
      </w:r>
      <w:r w:rsidR="00A21E6F">
        <w:t>tym</w:t>
      </w:r>
      <w:r>
        <w:t>, że:</w:t>
      </w:r>
    </w:p>
    <w:p w14:paraId="7E05861E" w14:textId="58898362" w:rsidR="00031026" w:rsidRPr="00031026" w:rsidRDefault="00031026" w:rsidP="00031026">
      <w:pPr>
        <w:pStyle w:val="JuQuot"/>
        <w:rPr>
          <w:rFonts w:ascii="Times New Roman" w:eastAsia="Times New Roman" w:hAnsi="Times New Roman" w:cs="Times New Roman"/>
          <w:szCs w:val="20"/>
        </w:rPr>
      </w:pPr>
      <w:r>
        <w:rPr>
          <w:rFonts w:ascii="Times New Roman" w:hAnsi="Times New Roman"/>
          <w:szCs w:val="20"/>
        </w:rPr>
        <w:t xml:space="preserve">(a) Państwo-Strona nie przyjęło przepisów </w:t>
      </w:r>
      <w:r w:rsidR="00A21E6F">
        <w:rPr>
          <w:rFonts w:ascii="Times New Roman" w:hAnsi="Times New Roman"/>
          <w:szCs w:val="20"/>
        </w:rPr>
        <w:t xml:space="preserve">w zakresie </w:t>
      </w:r>
      <w:r>
        <w:rPr>
          <w:rFonts w:ascii="Times New Roman" w:hAnsi="Times New Roman"/>
          <w:szCs w:val="20"/>
        </w:rPr>
        <w:t xml:space="preserve">wymiaru sprawiedliwości wobec nieletnich, które odnoszą się do sytuacji dzieci </w:t>
      </w:r>
      <w:r w:rsidR="00A21E6F">
        <w:rPr>
          <w:rFonts w:ascii="Times New Roman" w:hAnsi="Times New Roman"/>
          <w:szCs w:val="20"/>
        </w:rPr>
        <w:t xml:space="preserve">pozostających w konflikcie z prawem, </w:t>
      </w:r>
      <w:r>
        <w:rPr>
          <w:rFonts w:ascii="Times New Roman" w:hAnsi="Times New Roman"/>
          <w:szCs w:val="20"/>
        </w:rPr>
        <w:t>zgodnie z postanowieniami Konwencji;</w:t>
      </w:r>
    </w:p>
    <w:p w14:paraId="34F716D9" w14:textId="2E822D2E" w:rsidR="00031026" w:rsidRPr="00031026" w:rsidRDefault="00031026" w:rsidP="00031026">
      <w:pPr>
        <w:pStyle w:val="JuQuot"/>
        <w:rPr>
          <w:rFonts w:ascii="Times New Roman" w:eastAsia="Times New Roman" w:hAnsi="Times New Roman" w:cs="Times New Roman"/>
          <w:szCs w:val="20"/>
        </w:rPr>
      </w:pPr>
      <w:r>
        <w:rPr>
          <w:rFonts w:ascii="Times New Roman" w:hAnsi="Times New Roman"/>
          <w:szCs w:val="20"/>
        </w:rPr>
        <w:t xml:space="preserve">(b) </w:t>
      </w:r>
      <w:r w:rsidR="00A21E6F">
        <w:rPr>
          <w:rFonts w:ascii="Times New Roman" w:hAnsi="Times New Roman"/>
          <w:szCs w:val="20"/>
        </w:rPr>
        <w:t>Brak</w:t>
      </w:r>
      <w:r>
        <w:rPr>
          <w:rFonts w:ascii="Times New Roman" w:hAnsi="Times New Roman"/>
          <w:szCs w:val="20"/>
        </w:rPr>
        <w:t xml:space="preserve"> pracowników organów ścigania specjalizujących się w dochodzeniach dotyczących dzieci oraz w przesłuchiwaniu dzieci;</w:t>
      </w:r>
    </w:p>
    <w:p w14:paraId="063456AE" w14:textId="77777777" w:rsidR="00031026" w:rsidRPr="00031026" w:rsidRDefault="00031026" w:rsidP="00031026">
      <w:pPr>
        <w:pStyle w:val="JuQuot"/>
        <w:rPr>
          <w:rFonts w:ascii="Times New Roman" w:eastAsia="Times New Roman" w:hAnsi="Times New Roman" w:cs="Times New Roman"/>
          <w:szCs w:val="20"/>
        </w:rPr>
      </w:pPr>
      <w:r>
        <w:rPr>
          <w:rFonts w:ascii="Times New Roman" w:hAnsi="Times New Roman"/>
          <w:szCs w:val="20"/>
        </w:rPr>
        <w:t>(c) Istnieją przestępstwa, za które osoby poniżej 18 roku życia są sądzone jak dorośli;</w:t>
      </w:r>
    </w:p>
    <w:p w14:paraId="20EE0E81" w14:textId="1004C403" w:rsidR="00031026" w:rsidRPr="00031026" w:rsidRDefault="00031026" w:rsidP="00031026">
      <w:pPr>
        <w:pStyle w:val="JuQuot"/>
        <w:rPr>
          <w:rFonts w:ascii="Times New Roman" w:eastAsia="Times New Roman" w:hAnsi="Times New Roman" w:cs="Times New Roman"/>
          <w:szCs w:val="20"/>
        </w:rPr>
      </w:pPr>
      <w:r>
        <w:rPr>
          <w:rFonts w:ascii="Times New Roman" w:hAnsi="Times New Roman"/>
          <w:szCs w:val="20"/>
        </w:rPr>
        <w:t>(d) Wobec osób poniżej 18 roku życia często stosuje się tymczasowe aresztowanie</w:t>
      </w:r>
      <w:r w:rsidR="00A21E6F">
        <w:rPr>
          <w:rFonts w:ascii="Times New Roman" w:hAnsi="Times New Roman"/>
          <w:szCs w:val="20"/>
        </w:rPr>
        <w:t xml:space="preserve"> przez długi okres</w:t>
      </w:r>
      <w:r>
        <w:rPr>
          <w:rFonts w:ascii="Times New Roman" w:hAnsi="Times New Roman"/>
          <w:szCs w:val="20"/>
        </w:rPr>
        <w:t xml:space="preserve"> i nie zawsze są one </w:t>
      </w:r>
      <w:r w:rsidR="008310D0">
        <w:rPr>
          <w:rFonts w:ascii="Times New Roman" w:hAnsi="Times New Roman"/>
          <w:szCs w:val="20"/>
        </w:rPr>
        <w:t xml:space="preserve">osadzane </w:t>
      </w:r>
      <w:r>
        <w:rPr>
          <w:rFonts w:ascii="Times New Roman" w:hAnsi="Times New Roman"/>
          <w:szCs w:val="20"/>
        </w:rPr>
        <w:t>oddzielnie od osób dorosłych, zwłaszcza w przypadku</w:t>
      </w:r>
      <w:r w:rsidR="008310D0">
        <w:rPr>
          <w:rFonts w:ascii="Times New Roman" w:hAnsi="Times New Roman"/>
          <w:szCs w:val="20"/>
        </w:rPr>
        <w:t xml:space="preserve"> osadzonych</w:t>
      </w:r>
      <w:r>
        <w:rPr>
          <w:rFonts w:ascii="Times New Roman" w:hAnsi="Times New Roman"/>
          <w:szCs w:val="20"/>
        </w:rPr>
        <w:t xml:space="preserve"> kobiet;</w:t>
      </w:r>
    </w:p>
    <w:p w14:paraId="67AF34AA" w14:textId="21E06848" w:rsidR="00031026" w:rsidRPr="00031026" w:rsidRDefault="00031026" w:rsidP="00031026">
      <w:pPr>
        <w:pStyle w:val="JuQuot"/>
        <w:rPr>
          <w:rFonts w:ascii="Times New Roman" w:eastAsia="Times New Roman" w:hAnsi="Times New Roman" w:cs="Times New Roman"/>
          <w:szCs w:val="20"/>
        </w:rPr>
      </w:pPr>
      <w:r>
        <w:rPr>
          <w:rFonts w:ascii="Times New Roman" w:hAnsi="Times New Roman"/>
          <w:szCs w:val="20"/>
        </w:rPr>
        <w:t xml:space="preserve">(e) Alternatywy dla pozbawienia wolności nie są wystarczająco </w:t>
      </w:r>
      <w:r w:rsidR="008310D0">
        <w:rPr>
          <w:rFonts w:ascii="Times New Roman" w:hAnsi="Times New Roman"/>
          <w:szCs w:val="20"/>
        </w:rPr>
        <w:t xml:space="preserve">brane pod uwagę </w:t>
      </w:r>
      <w:r>
        <w:rPr>
          <w:rFonts w:ascii="Times New Roman" w:hAnsi="Times New Roman"/>
          <w:szCs w:val="20"/>
        </w:rPr>
        <w:t>i stosowane, a osoby poniżej 18 roku życia mogą zostać skazane na karę pozbawienia wolności do lat 10;</w:t>
      </w:r>
    </w:p>
    <w:p w14:paraId="47845ABD" w14:textId="0701D71A" w:rsidR="00031026" w:rsidRPr="00031026" w:rsidRDefault="00031026" w:rsidP="00031026">
      <w:pPr>
        <w:pStyle w:val="JuQuot"/>
        <w:rPr>
          <w:rFonts w:ascii="Times New Roman" w:eastAsia="Times New Roman" w:hAnsi="Times New Roman" w:cs="Times New Roman"/>
          <w:szCs w:val="20"/>
        </w:rPr>
      </w:pPr>
      <w:r>
        <w:rPr>
          <w:rFonts w:ascii="Times New Roman" w:hAnsi="Times New Roman"/>
          <w:szCs w:val="20"/>
        </w:rPr>
        <w:t>(f) Warunki</w:t>
      </w:r>
      <w:r w:rsidR="008310D0">
        <w:rPr>
          <w:rFonts w:ascii="Times New Roman" w:hAnsi="Times New Roman"/>
          <w:szCs w:val="20"/>
        </w:rPr>
        <w:t xml:space="preserve"> osadzenia są</w:t>
      </w:r>
      <w:r>
        <w:rPr>
          <w:rFonts w:ascii="Times New Roman" w:hAnsi="Times New Roman"/>
          <w:szCs w:val="20"/>
        </w:rPr>
        <w:t xml:space="preserve"> często złe i nieodpowiednie, </w:t>
      </w:r>
      <w:r w:rsidR="008310D0">
        <w:rPr>
          <w:rFonts w:ascii="Times New Roman" w:hAnsi="Times New Roman"/>
          <w:szCs w:val="20"/>
        </w:rPr>
        <w:t>często poważny problem</w:t>
      </w:r>
      <w:r>
        <w:rPr>
          <w:rFonts w:ascii="Times New Roman" w:hAnsi="Times New Roman"/>
          <w:szCs w:val="20"/>
        </w:rPr>
        <w:t xml:space="preserve"> stanowi </w:t>
      </w:r>
      <w:r w:rsidR="008310D0">
        <w:rPr>
          <w:rFonts w:ascii="Times New Roman" w:hAnsi="Times New Roman"/>
          <w:szCs w:val="20"/>
        </w:rPr>
        <w:t>też przeludnieni</w:t>
      </w:r>
      <w:r>
        <w:rPr>
          <w:rFonts w:ascii="Times New Roman" w:hAnsi="Times New Roman"/>
          <w:szCs w:val="20"/>
        </w:rPr>
        <w:t>;</w:t>
      </w:r>
    </w:p>
    <w:p w14:paraId="3B99DD9A" w14:textId="2DD720AE" w:rsidR="00031026" w:rsidRPr="00031026" w:rsidRDefault="00031026" w:rsidP="00031026">
      <w:pPr>
        <w:pStyle w:val="JuQuot"/>
        <w:rPr>
          <w:rFonts w:ascii="Times New Roman" w:eastAsia="Times New Roman" w:hAnsi="Times New Roman" w:cs="Times New Roman"/>
          <w:szCs w:val="20"/>
        </w:rPr>
      </w:pPr>
      <w:r>
        <w:rPr>
          <w:rFonts w:ascii="Times New Roman" w:hAnsi="Times New Roman"/>
          <w:szCs w:val="20"/>
        </w:rPr>
        <w:t>(g) Resocjalizacja</w:t>
      </w:r>
      <w:r w:rsidR="008310D0">
        <w:rPr>
          <w:rFonts w:ascii="Times New Roman" w:hAnsi="Times New Roman"/>
          <w:szCs w:val="20"/>
        </w:rPr>
        <w:t>,</w:t>
      </w:r>
      <w:r>
        <w:rPr>
          <w:rFonts w:ascii="Times New Roman" w:hAnsi="Times New Roman"/>
          <w:szCs w:val="20"/>
        </w:rPr>
        <w:t xml:space="preserve"> wsparcie</w:t>
      </w:r>
      <w:r w:rsidR="008310D0">
        <w:rPr>
          <w:rFonts w:ascii="Times New Roman" w:hAnsi="Times New Roman"/>
          <w:szCs w:val="20"/>
        </w:rPr>
        <w:t xml:space="preserve"> i reintegracja</w:t>
      </w:r>
      <w:r>
        <w:rPr>
          <w:rFonts w:ascii="Times New Roman" w:hAnsi="Times New Roman"/>
          <w:szCs w:val="20"/>
        </w:rPr>
        <w:t xml:space="preserve"> osób poniżej 18 roku życia, które weszły w konflikt z prawem, są niewystarczające.</w:t>
      </w:r>
    </w:p>
    <w:p w14:paraId="18D727BA" w14:textId="21D1111D" w:rsidR="00031026" w:rsidRPr="00031026" w:rsidRDefault="00031026" w:rsidP="00031026">
      <w:pPr>
        <w:pStyle w:val="JuQuot"/>
        <w:rPr>
          <w:rFonts w:eastAsia="Times New Roman"/>
        </w:rPr>
      </w:pPr>
      <w:r>
        <w:t xml:space="preserve">76.  Komitet ponawia swoje wcześniejsze zalecenia i wzywa Państwo-Stronę do pełnego dostosowania systemu wymiaru sprawiedliwości wobec nieletnich do Konwencji, w szczególności do art. 37, 40 i 39; </w:t>
      </w:r>
      <w:r w:rsidR="006B2B01">
        <w:t>do</w:t>
      </w:r>
      <w:r>
        <w:t xml:space="preserve"> inny</w:t>
      </w:r>
      <w:r w:rsidR="006B2B01">
        <w:t>ch</w:t>
      </w:r>
      <w:r>
        <w:t xml:space="preserve"> standard</w:t>
      </w:r>
      <w:r w:rsidR="006B2B01">
        <w:t>ów</w:t>
      </w:r>
      <w:r>
        <w:t xml:space="preserve"> </w:t>
      </w:r>
      <w:r w:rsidR="006B2B01">
        <w:t>ONZ</w:t>
      </w:r>
      <w:r>
        <w:t xml:space="preserve"> w </w:t>
      </w:r>
      <w:r w:rsidR="006B2B01">
        <w:t xml:space="preserve">zakresie </w:t>
      </w:r>
      <w:r>
        <w:t>wymiaru sprawiedliwości wobec nieletnich, w tym Wzorcowy</w:t>
      </w:r>
      <w:r w:rsidR="006B2B01">
        <w:t>ch</w:t>
      </w:r>
      <w:r>
        <w:t xml:space="preserve"> reguł minimum Organizacji Narodów Zjednoczonych dotyczący</w:t>
      </w:r>
      <w:r w:rsidR="00EA207B">
        <w:t>ch</w:t>
      </w:r>
      <w:r>
        <w:t xml:space="preserve"> wymiaru sprawiedliwości wobec </w:t>
      </w:r>
      <w:r>
        <w:lastRenderedPageBreak/>
        <w:t>nieletnich (Reguły Pekińskie), Wytyczny</w:t>
      </w:r>
      <w:r w:rsidR="00EA207B">
        <w:t>ch</w:t>
      </w:r>
      <w:r>
        <w:t xml:space="preserve"> Organizacji Narodów Zjednoczonych w sprawie zapobiegania przestępczości nieletnich (Wytyczne z Rijadu), Reguł Organizacji Narodów Zjednoczonych dotyczący</w:t>
      </w:r>
      <w:r w:rsidR="00EA207B">
        <w:t>ch</w:t>
      </w:r>
      <w:r>
        <w:t xml:space="preserve"> ochrony nieletnich pozbawionych wolności oraz Wytyczny</w:t>
      </w:r>
      <w:r w:rsidR="00EA207B">
        <w:t>ch</w:t>
      </w:r>
      <w:r>
        <w:t xml:space="preserve"> dotyczący</w:t>
      </w:r>
      <w:r w:rsidR="00EA207B">
        <w:t>ch</w:t>
      </w:r>
      <w:r>
        <w:t xml:space="preserve"> działań na rzecz dzieci w systemie wymiaru sprawiedliwości w sprawach karnych; a także </w:t>
      </w:r>
      <w:r w:rsidR="00EA207B">
        <w:t>do</w:t>
      </w:r>
      <w:r>
        <w:t xml:space="preserve"> zalece</w:t>
      </w:r>
      <w:r w:rsidR="00EA207B">
        <w:t>ń</w:t>
      </w:r>
      <w:r>
        <w:t xml:space="preserve"> Komitetu sformułowany</w:t>
      </w:r>
      <w:r w:rsidR="00EA207B">
        <w:t>ch</w:t>
      </w:r>
      <w:r>
        <w:t xml:space="preserve"> w dniu ogólnej dyskusji na temat wymiaru sprawiedliwości wobec nieletnich (CRC/C/46, pkt 203-238). W </w:t>
      </w:r>
      <w:r w:rsidR="00EA207B">
        <w:t>tym obszarze</w:t>
      </w:r>
      <w:r>
        <w:t xml:space="preserve"> Komitet zaleca, aby Państwo-Strona:</w:t>
      </w:r>
    </w:p>
    <w:p w14:paraId="111BC8B0" w14:textId="77777777" w:rsidR="00031026" w:rsidRPr="00031026" w:rsidRDefault="00031026" w:rsidP="00031026">
      <w:pPr>
        <w:pStyle w:val="JuQuot"/>
        <w:rPr>
          <w:rFonts w:eastAsia="Times New Roman"/>
        </w:rPr>
      </w:pPr>
      <w:r>
        <w:t>[…]</w:t>
      </w:r>
    </w:p>
    <w:p w14:paraId="71EED1AA" w14:textId="6C8A57E1" w:rsidR="00031026" w:rsidRPr="00031026" w:rsidRDefault="00031026" w:rsidP="00031026">
      <w:pPr>
        <w:pStyle w:val="JuQuot"/>
        <w:rPr>
          <w:rFonts w:eastAsia="Times New Roman"/>
        </w:rPr>
      </w:pPr>
      <w:r>
        <w:t>(c) podjęło wszelkie niezbędne środki w celu zapewnienia, aby osoby poniżej 18 roku życia były pozbawiane wolności jedynie w ostateczności i na możliwie najkrótszy okres, w szczególności poprzez opracowanie i wdrożenie alternatyw dla kar izolacyjnych, w tym ustanowienie ośrodków prewencyjnych lub klinik prawnych dla dzieci</w:t>
      </w:r>
      <w:r w:rsidR="001B2C5A">
        <w:t xml:space="preserve"> skonfliktowanych z prawem</w:t>
      </w:r>
      <w:r>
        <w:t>;</w:t>
      </w:r>
    </w:p>
    <w:p w14:paraId="71EE5CC4" w14:textId="77777777" w:rsidR="00031026" w:rsidRPr="00031026" w:rsidRDefault="00031026" w:rsidP="00031026">
      <w:pPr>
        <w:pStyle w:val="JuQuot"/>
      </w:pPr>
      <w:r>
        <w:t>[...]”</w:t>
      </w:r>
    </w:p>
    <w:p w14:paraId="6069CEB3" w14:textId="77777777" w:rsidR="00031026" w:rsidRPr="00031026" w:rsidRDefault="00031026" w:rsidP="00031026">
      <w:pPr>
        <w:pStyle w:val="JuHHead"/>
        <w:numPr>
          <w:ilvl w:val="0"/>
          <w:numId w:val="1"/>
        </w:numPr>
      </w:pPr>
      <w:r>
        <w:t>PRAWO</w:t>
      </w:r>
    </w:p>
    <w:p w14:paraId="562BA0D6" w14:textId="77777777" w:rsidR="00031026" w:rsidRPr="00031026" w:rsidRDefault="00031026" w:rsidP="00031026">
      <w:pPr>
        <w:pStyle w:val="JuHIRoman"/>
        <w:numPr>
          <w:ilvl w:val="1"/>
          <w:numId w:val="1"/>
        </w:numPr>
        <w:tabs>
          <w:tab w:val="clear" w:pos="454"/>
          <w:tab w:val="clear" w:pos="567"/>
          <w:tab w:val="clear" w:pos="680"/>
        </w:tabs>
      </w:pPr>
      <w:r>
        <w:t>POŁĄCZENIE SKARG</w:t>
      </w:r>
    </w:p>
    <w:p w14:paraId="62C61C97" w14:textId="125A447C" w:rsidR="00031026" w:rsidRPr="00031026" w:rsidRDefault="00000000" w:rsidP="00031026">
      <w:pPr>
        <w:pStyle w:val="JuPara"/>
      </w:pPr>
      <w:fldSimple w:instr=" SEQ level0 \*arabic ">
        <w:r w:rsidR="00D86FCE">
          <w:rPr>
            <w:noProof/>
          </w:rPr>
          <w:t>51</w:t>
        </w:r>
      </w:fldSimple>
      <w:r w:rsidR="00031026">
        <w:t xml:space="preserve">.  Mając na uwadze podobieństwo przedmiotu skarg, Trybunał uznaje za stosowne </w:t>
      </w:r>
      <w:r w:rsidR="001B2C5A">
        <w:t>ich łączne rozstrzygnięcie</w:t>
      </w:r>
      <w:r w:rsidR="00031026">
        <w:t xml:space="preserve"> w jednym wyroku, zgodnie z art. 42 ust. 1 Regulaminu Trybunału.</w:t>
      </w:r>
    </w:p>
    <w:p w14:paraId="6543A771" w14:textId="77777777" w:rsidR="00031026" w:rsidRPr="00031026" w:rsidRDefault="00031026" w:rsidP="00031026">
      <w:pPr>
        <w:pStyle w:val="JuHIRoman"/>
        <w:numPr>
          <w:ilvl w:val="1"/>
          <w:numId w:val="1"/>
        </w:numPr>
        <w:tabs>
          <w:tab w:val="clear" w:pos="454"/>
          <w:tab w:val="clear" w:pos="567"/>
          <w:tab w:val="clear" w:pos="680"/>
        </w:tabs>
      </w:pPr>
      <w:r>
        <w:t>ZARZUCANE NARUSZENIE ART. 5 UST. 3 KONWENCJI</w:t>
      </w:r>
    </w:p>
    <w:p w14:paraId="6F7B8B0A" w14:textId="69673EA4" w:rsidR="00031026" w:rsidRPr="00031026" w:rsidRDefault="00000000" w:rsidP="00031026">
      <w:pPr>
        <w:pStyle w:val="JuPara"/>
        <w:rPr>
          <w:rFonts w:ascii="Times New Roman" w:eastAsia="SimHei" w:hAnsi="Times New Roman" w:cs="SimHei"/>
          <w:szCs w:val="20"/>
        </w:rPr>
      </w:pPr>
      <w:fldSimple w:instr=" SEQ level0 \*arabic ">
        <w:r w:rsidR="00D86FCE">
          <w:rPr>
            <w:noProof/>
          </w:rPr>
          <w:t>52</w:t>
        </w:r>
      </w:fldSimple>
      <w:r w:rsidR="00031026">
        <w:t>.</w:t>
      </w:r>
      <w:r w:rsidR="00031026">
        <w:tab/>
      </w:r>
      <w:r w:rsidR="00031026">
        <w:rPr>
          <w:rFonts w:ascii="Times New Roman" w:hAnsi="Times New Roman"/>
        </w:rPr>
        <w:t xml:space="preserve">Powołując się na art. 5 ust. 3 Konwencji, skarżący zarzucili, że sądy krajowe nie uzasadniły </w:t>
      </w:r>
      <w:r w:rsidR="001B2C5A">
        <w:rPr>
          <w:rFonts w:ascii="Times New Roman" w:hAnsi="Times New Roman"/>
        </w:rPr>
        <w:t>potrzeby zastosowania</w:t>
      </w:r>
      <w:r w:rsidR="00031026">
        <w:rPr>
          <w:rFonts w:ascii="Times New Roman" w:hAnsi="Times New Roman"/>
        </w:rPr>
        <w:t xml:space="preserve"> wobec nich tymczasowego aresztowania oraz że nie </w:t>
      </w:r>
      <w:r w:rsidR="001B2C5A">
        <w:rPr>
          <w:rFonts w:ascii="Times New Roman" w:hAnsi="Times New Roman"/>
        </w:rPr>
        <w:t>przedstawiły powodów jego przedłużania</w:t>
      </w:r>
      <w:r w:rsidR="00031026">
        <w:rPr>
          <w:rFonts w:ascii="Times New Roman" w:hAnsi="Times New Roman"/>
        </w:rPr>
        <w:t>.</w:t>
      </w:r>
      <w:r w:rsidR="00031026">
        <w:rPr>
          <w:rFonts w:ascii="Times New Roman" w:hAnsi="Times New Roman"/>
          <w:szCs w:val="20"/>
        </w:rPr>
        <w:t xml:space="preserve"> Artykuł 5 ust. 3 Konwencji stanowi:</w:t>
      </w:r>
    </w:p>
    <w:p w14:paraId="7191FB89" w14:textId="77777777" w:rsidR="00031026" w:rsidRPr="00031026" w:rsidRDefault="00031026" w:rsidP="00031026">
      <w:pPr>
        <w:pStyle w:val="JuQuot"/>
        <w:rPr>
          <w:rFonts w:eastAsia="SimHei"/>
        </w:rPr>
      </w:pPr>
      <w:r>
        <w:t>„Każdy zatrzymany lub aresztowany zgodnie z postanowieniami ustępu 1 lit. c niniejszego artykułu powinien zostać niezwłocznie postawiony przed sędzią lub innym urzędnikiem uprawnionym przez ustawę do wykonywania władzy sądowej i ma prawo być sądzony w rozsądnym terminie albo zwolniony na czas postępowania. Zwolnienie może zostać uzależnione od udzielenia gwarancji zapewniających stawienie się na rozprawę.”</w:t>
      </w:r>
    </w:p>
    <w:p w14:paraId="086BAF2F" w14:textId="77777777" w:rsidR="00031026" w:rsidRPr="00031026" w:rsidRDefault="00031026" w:rsidP="00031026">
      <w:pPr>
        <w:pStyle w:val="JuHA"/>
        <w:ind w:left="584" w:hanging="352"/>
        <w:rPr>
          <w:rFonts w:eastAsia="SimHei"/>
        </w:rPr>
      </w:pPr>
      <w:r>
        <w:t>Dopuszczalność</w:t>
      </w:r>
    </w:p>
    <w:p w14:paraId="262C4DA8" w14:textId="2BC97C54"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53</w:t>
      </w:r>
      <w:r w:rsidRPr="00031026">
        <w:rPr>
          <w:rFonts w:eastAsia="SimHei"/>
        </w:rPr>
        <w:fldChar w:fldCharType="end"/>
      </w:r>
      <w:r>
        <w:t xml:space="preserve">.  Trybunał zauważa, że skarga nie jest w sposób oczywisty nieuzasadniona w rozumieniu art. 35 ust. 3 lit. a Konwencji. Ponadto zauważa, że nie jest ona niedopuszczalna </w:t>
      </w:r>
      <w:r w:rsidR="001B2C5A">
        <w:t>z żadnego innego powodu</w:t>
      </w:r>
      <w:r>
        <w:t xml:space="preserve">. Tym samym należy </w:t>
      </w:r>
      <w:r w:rsidR="001B2C5A">
        <w:t xml:space="preserve">ją </w:t>
      </w:r>
      <w:r>
        <w:t>uznać za dopuszczalną.</w:t>
      </w:r>
    </w:p>
    <w:p w14:paraId="0CABE69F" w14:textId="77777777" w:rsidR="00031026" w:rsidRPr="00031026" w:rsidRDefault="00031026" w:rsidP="00031026">
      <w:pPr>
        <w:pStyle w:val="JuHA"/>
        <w:ind w:left="584" w:hanging="352"/>
        <w:rPr>
          <w:rFonts w:eastAsia="SimHei"/>
        </w:rPr>
      </w:pPr>
      <w:r>
        <w:lastRenderedPageBreak/>
        <w:t>Przedmiot skargi</w:t>
      </w:r>
    </w:p>
    <w:p w14:paraId="39BB2B44" w14:textId="5C0930DC" w:rsidR="00031026" w:rsidRPr="00031026" w:rsidRDefault="00031026" w:rsidP="00031026">
      <w:pPr>
        <w:pStyle w:val="JuH1"/>
        <w:ind w:left="731" w:hanging="300"/>
        <w:rPr>
          <w:rFonts w:eastAsia="SimHei"/>
        </w:rPr>
      </w:pPr>
      <w:r>
        <w:t>Stanowiska stron</w:t>
      </w:r>
    </w:p>
    <w:p w14:paraId="5C77B0CF" w14:textId="60839186" w:rsidR="00031026" w:rsidRPr="00031026" w:rsidRDefault="00031026" w:rsidP="00031026">
      <w:pPr>
        <w:pStyle w:val="JuPara"/>
        <w:rPr>
          <w:rFonts w:eastAsia="SimHei" w:cs="SimHei"/>
          <w:szCs w:val="20"/>
        </w:rPr>
      </w:pPr>
      <w:r w:rsidRPr="00031026">
        <w:rPr>
          <w:rFonts w:eastAsia="SimHei" w:cs="SimHei"/>
          <w:szCs w:val="20"/>
        </w:rPr>
        <w:fldChar w:fldCharType="begin"/>
      </w:r>
      <w:r w:rsidRPr="00031026">
        <w:rPr>
          <w:rFonts w:eastAsia="SimHei" w:cs="SimHei"/>
          <w:szCs w:val="20"/>
        </w:rPr>
        <w:instrText xml:space="preserve"> SEQ level0 \*arabic </w:instrText>
      </w:r>
      <w:r w:rsidRPr="00031026">
        <w:rPr>
          <w:rFonts w:eastAsia="SimHei" w:cs="SimHei"/>
          <w:szCs w:val="20"/>
        </w:rPr>
        <w:fldChar w:fldCharType="separate"/>
      </w:r>
      <w:r w:rsidR="00D86FCE">
        <w:rPr>
          <w:rFonts w:eastAsia="SimHei" w:cs="SimHei"/>
          <w:noProof/>
          <w:szCs w:val="20"/>
        </w:rPr>
        <w:t>54</w:t>
      </w:r>
      <w:r w:rsidRPr="00031026">
        <w:rPr>
          <w:rFonts w:eastAsia="SimHei" w:cs="SimHei"/>
          <w:szCs w:val="20"/>
        </w:rPr>
        <w:fldChar w:fldCharType="end"/>
      </w:r>
      <w:r>
        <w:t>.  Skarżący twierdzili, że sądy krajowe nie przedstawiły właściwych i wystarczających powodów uzasadniających ich tymczasowe aresztowani</w:t>
      </w:r>
      <w:r w:rsidR="006348A9">
        <w:t>e</w:t>
      </w:r>
      <w:r>
        <w:t>. W szczególności podnieśli, że sądy krajowe jedynie przytoczyły odpowiednie przepisy prawne, bez dokonywania oceny szczególnych okoliczności ich sprawy.</w:t>
      </w:r>
    </w:p>
    <w:p w14:paraId="76C6DE9F" w14:textId="69631201"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55</w:t>
      </w:r>
      <w:r w:rsidRPr="00031026">
        <w:rPr>
          <w:rFonts w:eastAsia="SimHei"/>
        </w:rPr>
        <w:fldChar w:fldCharType="end"/>
      </w:r>
      <w:r>
        <w:t xml:space="preserve">.  Rząd zakwestionował twierdzenia skarżących wskazując, że sądy krajowe prawidłowo oceniły sytuację skarżących i wydały uzasadnione postanowienia w </w:t>
      </w:r>
      <w:r w:rsidR="006348A9">
        <w:t>przedmiocie ich</w:t>
      </w:r>
      <w:r>
        <w:t xml:space="preserve"> tymczasowego aresztowania. Ponadto </w:t>
      </w:r>
      <w:r w:rsidR="006348A9">
        <w:t>podniósł</w:t>
      </w:r>
      <w:r>
        <w:t xml:space="preserve">, że sądy krajowe przytoczyły </w:t>
      </w:r>
      <w:r w:rsidR="006348A9">
        <w:t xml:space="preserve">odpowiednie </w:t>
      </w:r>
      <w:r>
        <w:t>i wystarczające powody uzasadniające konieczność dalszego stosowania tymczasowego aresztowania skarżących.</w:t>
      </w:r>
    </w:p>
    <w:p w14:paraId="46576968" w14:textId="3A2AEB74" w:rsidR="00031026" w:rsidRPr="00031026" w:rsidRDefault="00031026" w:rsidP="00031026">
      <w:pPr>
        <w:pStyle w:val="JuH1"/>
        <w:ind w:left="731" w:hanging="300"/>
        <w:jc w:val="left"/>
        <w:rPr>
          <w:rFonts w:eastAsia="SimHei"/>
        </w:rPr>
      </w:pPr>
      <w:r>
        <w:t>Ocena Trybunału</w:t>
      </w:r>
    </w:p>
    <w:p w14:paraId="22738723" w14:textId="6E2CB007" w:rsidR="00031026" w:rsidRPr="00031026" w:rsidRDefault="00031026" w:rsidP="00031026">
      <w:pPr>
        <w:pStyle w:val="JuPara"/>
        <w:rPr>
          <w:rFonts w:eastAsia="SimHei"/>
          <w:snapToGrid w:val="0"/>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56</w:t>
      </w:r>
      <w:r w:rsidRPr="00031026">
        <w:rPr>
          <w:rFonts w:eastAsia="SimHei"/>
        </w:rPr>
        <w:fldChar w:fldCharType="end"/>
      </w:r>
      <w:r>
        <w:t xml:space="preserve">.  Trybunał odwołuje się do ogólnych zasad </w:t>
      </w:r>
      <w:r w:rsidR="006348A9">
        <w:t xml:space="preserve">ustalonych </w:t>
      </w:r>
      <w:r>
        <w:t>w</w:t>
      </w:r>
      <w:r>
        <w:rPr>
          <w:color w:val="949494"/>
        </w:rPr>
        <w:t xml:space="preserve"> </w:t>
      </w:r>
      <w:r w:rsidR="006348A9">
        <w:t xml:space="preserve">jego </w:t>
      </w:r>
      <w:r>
        <w:t xml:space="preserve">orzecznictwie i przedstawionych w sprawie </w:t>
      </w:r>
      <w:proofErr w:type="spellStart"/>
      <w:r>
        <w:rPr>
          <w:i/>
        </w:rPr>
        <w:t>Buzadji</w:t>
      </w:r>
      <w:proofErr w:type="spellEnd"/>
      <w:r>
        <w:rPr>
          <w:i/>
        </w:rPr>
        <w:t xml:space="preserve"> p</w:t>
      </w:r>
      <w:r w:rsidR="006348A9">
        <w:rPr>
          <w:i/>
        </w:rPr>
        <w:t>.</w:t>
      </w:r>
      <w:r>
        <w:rPr>
          <w:i/>
        </w:rPr>
        <w:t xml:space="preserve"> Republice Mołdawii </w:t>
      </w:r>
      <w:r>
        <w:t>[WI] (nr 23755/07</w:t>
      </w:r>
      <w:r>
        <w:rPr>
          <w:snapToGrid w:val="0"/>
        </w:rPr>
        <w:t xml:space="preserve">, §§ 84-91, </w:t>
      </w:r>
      <w:r>
        <w:t>5 lipca</w:t>
      </w:r>
      <w:r>
        <w:rPr>
          <w:snapToGrid w:val="0"/>
        </w:rPr>
        <w:t xml:space="preserve"> 2016 r.)</w:t>
      </w:r>
      <w:r>
        <w:t xml:space="preserve">, które </w:t>
      </w:r>
      <w:r w:rsidR="006348A9">
        <w:t>mają zastosowanie także w</w:t>
      </w:r>
      <w:r>
        <w:t xml:space="preserve"> niniejszej spraw</w:t>
      </w:r>
      <w:r w:rsidR="006348A9">
        <w:t>ie</w:t>
      </w:r>
      <w:r>
        <w:t>.</w:t>
      </w:r>
    </w:p>
    <w:p w14:paraId="451400B6" w14:textId="360BF463" w:rsidR="00031026" w:rsidRPr="00031026" w:rsidRDefault="00031026" w:rsidP="00031026">
      <w:pPr>
        <w:pStyle w:val="JuPara"/>
        <w:rPr>
          <w:rFonts w:ascii="Times New Roman" w:eastAsia="SimHei" w:hAnsi="Times New Roman" w:cs="SimHei"/>
          <w:szCs w:val="20"/>
        </w:rPr>
      </w:pPr>
      <w:r w:rsidRPr="00031026">
        <w:rPr>
          <w:rFonts w:ascii="Times New Roman" w:eastAsia="SimHei" w:hAnsi="Times New Roman" w:cs="SimHei"/>
          <w:szCs w:val="20"/>
        </w:rPr>
        <w:fldChar w:fldCharType="begin"/>
      </w:r>
      <w:r w:rsidRPr="00031026">
        <w:rPr>
          <w:rFonts w:ascii="Times New Roman" w:eastAsia="SimHei" w:hAnsi="Times New Roman" w:cs="SimHei"/>
          <w:szCs w:val="20"/>
        </w:rPr>
        <w:instrText xml:space="preserve"> SEQ level0 \*arabic </w:instrText>
      </w:r>
      <w:r w:rsidRPr="00031026">
        <w:rPr>
          <w:rFonts w:ascii="Times New Roman" w:eastAsia="SimHei" w:hAnsi="Times New Roman" w:cs="SimHei"/>
          <w:szCs w:val="20"/>
        </w:rPr>
        <w:fldChar w:fldCharType="separate"/>
      </w:r>
      <w:r w:rsidR="00D86FCE">
        <w:rPr>
          <w:rFonts w:ascii="Times New Roman" w:eastAsia="SimHei" w:hAnsi="Times New Roman" w:cs="SimHei"/>
          <w:noProof/>
          <w:szCs w:val="20"/>
        </w:rPr>
        <w:t>57</w:t>
      </w:r>
      <w:r w:rsidRPr="00031026">
        <w:rPr>
          <w:rFonts w:ascii="Times New Roman" w:eastAsia="SimHei" w:hAnsi="Times New Roman" w:cs="SimHei"/>
          <w:szCs w:val="20"/>
        </w:rPr>
        <w:fldChar w:fldCharType="end"/>
      </w:r>
      <w:r>
        <w:t>.</w:t>
      </w:r>
      <w:r>
        <w:rPr>
          <w:rFonts w:ascii="Times New Roman" w:hAnsi="Times New Roman"/>
          <w:szCs w:val="20"/>
        </w:rPr>
        <w:t xml:space="preserve">  W odniesieniu do okresu, który należy wziąć pod uwagę dla celów art. 5 ust. 3, Trybunał zauważa, że okres ten rozpoczął się 7 marca 2013 r., kiedy skarżący zostali zatrzymani, a zakończył się 6 maja 2014 r., kiedy zostali skazani przez Sąd ds. Poważnych Przestępstw w Baku. </w:t>
      </w:r>
      <w:r w:rsidR="006348A9">
        <w:rPr>
          <w:rFonts w:ascii="Times New Roman" w:hAnsi="Times New Roman"/>
          <w:szCs w:val="20"/>
        </w:rPr>
        <w:t>Zatem</w:t>
      </w:r>
      <w:r>
        <w:rPr>
          <w:rFonts w:ascii="Times New Roman" w:hAnsi="Times New Roman"/>
          <w:szCs w:val="20"/>
        </w:rPr>
        <w:t xml:space="preserve"> okres tymczasowego aresztowania obu skarżących wyniósł łącznie rok, jeden miesiąc i dwadzieścia dziewięć dni.</w:t>
      </w:r>
    </w:p>
    <w:p w14:paraId="2B6C2C65" w14:textId="048F6E02" w:rsidR="00031026" w:rsidRPr="00031026" w:rsidRDefault="00031026" w:rsidP="00031026">
      <w:pPr>
        <w:pStyle w:val="JuPara"/>
      </w:pPr>
      <w:r w:rsidRPr="00031026">
        <w:rPr>
          <w:rFonts w:ascii="Times New Roman" w:eastAsia="SimHei" w:hAnsi="Times New Roman" w:cs="SimHei"/>
          <w:szCs w:val="20"/>
        </w:rPr>
        <w:fldChar w:fldCharType="begin"/>
      </w:r>
      <w:r w:rsidRPr="00031026">
        <w:rPr>
          <w:rFonts w:ascii="Times New Roman" w:eastAsia="SimHei" w:hAnsi="Times New Roman" w:cs="SimHei"/>
          <w:szCs w:val="20"/>
        </w:rPr>
        <w:instrText xml:space="preserve"> SEQ level0 \*arabic </w:instrText>
      </w:r>
      <w:r w:rsidRPr="00031026">
        <w:rPr>
          <w:rFonts w:ascii="Times New Roman" w:eastAsia="SimHei" w:hAnsi="Times New Roman" w:cs="SimHei"/>
          <w:szCs w:val="20"/>
        </w:rPr>
        <w:fldChar w:fldCharType="separate"/>
      </w:r>
      <w:r w:rsidR="00D86FCE">
        <w:rPr>
          <w:rFonts w:ascii="Times New Roman" w:eastAsia="SimHei" w:hAnsi="Times New Roman" w:cs="SimHei"/>
          <w:noProof/>
          <w:szCs w:val="20"/>
        </w:rPr>
        <w:t>58</w:t>
      </w:r>
      <w:r w:rsidRPr="00031026">
        <w:rPr>
          <w:rFonts w:ascii="Times New Roman" w:eastAsia="SimHei" w:hAnsi="Times New Roman" w:cs="SimHei"/>
          <w:szCs w:val="20"/>
        </w:rPr>
        <w:fldChar w:fldCharType="end"/>
      </w:r>
      <w:r>
        <w:rPr>
          <w:rFonts w:ascii="Times New Roman" w:hAnsi="Times New Roman"/>
          <w:szCs w:val="20"/>
        </w:rPr>
        <w:t xml:space="preserve">.  Trybunał zauważa, że tymczasowe aresztowanie </w:t>
      </w:r>
      <w:r w:rsidR="00C80CD1">
        <w:rPr>
          <w:rFonts w:ascii="Times New Roman" w:hAnsi="Times New Roman"/>
          <w:szCs w:val="20"/>
        </w:rPr>
        <w:t xml:space="preserve">skarżących było </w:t>
      </w:r>
      <w:r>
        <w:rPr>
          <w:rFonts w:ascii="Times New Roman" w:hAnsi="Times New Roman"/>
          <w:szCs w:val="20"/>
        </w:rPr>
        <w:t>przedłuż</w:t>
      </w:r>
      <w:r w:rsidR="00C80CD1">
        <w:rPr>
          <w:rFonts w:ascii="Times New Roman" w:hAnsi="Times New Roman"/>
          <w:szCs w:val="20"/>
        </w:rPr>
        <w:t>a</w:t>
      </w:r>
      <w:r>
        <w:rPr>
          <w:rFonts w:ascii="Times New Roman" w:hAnsi="Times New Roman"/>
          <w:szCs w:val="20"/>
        </w:rPr>
        <w:t>ne szereg</w:t>
      </w:r>
      <w:r w:rsidR="00C80CD1">
        <w:rPr>
          <w:rFonts w:ascii="Times New Roman" w:hAnsi="Times New Roman"/>
          <w:szCs w:val="20"/>
        </w:rPr>
        <w:t>iem</w:t>
      </w:r>
      <w:r>
        <w:rPr>
          <w:rFonts w:ascii="Times New Roman" w:hAnsi="Times New Roman"/>
          <w:szCs w:val="20"/>
        </w:rPr>
        <w:t xml:space="preserve"> postanowień wydanych przez Sąd Rejonowy w </w:t>
      </w:r>
      <w:proofErr w:type="spellStart"/>
      <w:r>
        <w:rPr>
          <w:rFonts w:ascii="Times New Roman" w:hAnsi="Times New Roman"/>
          <w:szCs w:val="20"/>
        </w:rPr>
        <w:t>Nasimi</w:t>
      </w:r>
      <w:proofErr w:type="spellEnd"/>
      <w:r>
        <w:rPr>
          <w:rFonts w:ascii="Times New Roman" w:hAnsi="Times New Roman"/>
          <w:szCs w:val="20"/>
        </w:rPr>
        <w:t xml:space="preserve"> oraz Sąd Apelacyjny w Baku, które odrzuciły </w:t>
      </w:r>
      <w:r w:rsidR="00C80CD1">
        <w:rPr>
          <w:rFonts w:ascii="Times New Roman" w:hAnsi="Times New Roman"/>
          <w:szCs w:val="20"/>
        </w:rPr>
        <w:t xml:space="preserve">również </w:t>
      </w:r>
      <w:r>
        <w:rPr>
          <w:rFonts w:ascii="Times New Roman" w:hAnsi="Times New Roman"/>
          <w:szCs w:val="20"/>
        </w:rPr>
        <w:t xml:space="preserve">wnioski skarżących o zastosowanie wobec nich </w:t>
      </w:r>
      <w:r w:rsidR="00C80CD1">
        <w:rPr>
          <w:rFonts w:ascii="Times New Roman" w:hAnsi="Times New Roman"/>
          <w:szCs w:val="20"/>
        </w:rPr>
        <w:t>aresztu domowego</w:t>
      </w:r>
      <w:r>
        <w:rPr>
          <w:rFonts w:ascii="Times New Roman" w:hAnsi="Times New Roman"/>
          <w:szCs w:val="20"/>
        </w:rPr>
        <w:t xml:space="preserve"> zamiast tymczasowego aresztowania (zob. paragrafy 17-24 i 26-35 powyżej). W związku z tym Trybunał zauważył, że zarówno sąd pierwszej instancji, jak i sąd odwoławczy posłużyły się standardowym szablonem. W szczególności sądy krajowe ograniczyły się do powtórzenia kilku podstaw stosowania tymczasowego aresztowania w sposób abstrakcyjny i </w:t>
      </w:r>
      <w:r w:rsidR="00C80CD1">
        <w:rPr>
          <w:rFonts w:ascii="Times New Roman" w:hAnsi="Times New Roman"/>
          <w:szCs w:val="20"/>
        </w:rPr>
        <w:t>schematyczny</w:t>
      </w:r>
      <w:r>
        <w:rPr>
          <w:rFonts w:ascii="Times New Roman" w:hAnsi="Times New Roman"/>
          <w:szCs w:val="20"/>
        </w:rPr>
        <w:t>, bez przytoczenia powodów, dla których uznały</w:t>
      </w:r>
      <w:r w:rsidR="00C80CD1">
        <w:rPr>
          <w:rFonts w:ascii="Times New Roman" w:hAnsi="Times New Roman"/>
          <w:szCs w:val="20"/>
        </w:rPr>
        <w:t>, że</w:t>
      </w:r>
      <w:r>
        <w:rPr>
          <w:rFonts w:ascii="Times New Roman" w:hAnsi="Times New Roman"/>
          <w:szCs w:val="20"/>
        </w:rPr>
        <w:t xml:space="preserve"> podstawy </w:t>
      </w:r>
      <w:r w:rsidR="00C80CD1">
        <w:rPr>
          <w:rFonts w:ascii="Times New Roman" w:hAnsi="Times New Roman"/>
          <w:szCs w:val="20"/>
        </w:rPr>
        <w:t>te mają zastosowanie w sprawie</w:t>
      </w:r>
      <w:r w:rsidR="003D2010">
        <w:rPr>
          <w:rFonts w:ascii="Times New Roman" w:hAnsi="Times New Roman"/>
          <w:szCs w:val="20"/>
        </w:rPr>
        <w:t xml:space="preserve"> skarżących</w:t>
      </w:r>
      <w:r>
        <w:rPr>
          <w:rFonts w:ascii="Times New Roman" w:hAnsi="Times New Roman"/>
          <w:szCs w:val="20"/>
        </w:rPr>
        <w:t xml:space="preserve">. Nie przytoczyły również żadnych specyficznych dla sprawy faktów istotnych dla tych podstaw oraz nie uzasadniły ich odpowiednimi i wystarczającymi powodami (zob. </w:t>
      </w:r>
      <w:proofErr w:type="spellStart"/>
      <w:r>
        <w:rPr>
          <w:rFonts w:ascii="Times New Roman" w:hAnsi="Times New Roman"/>
          <w:i/>
          <w:szCs w:val="20"/>
        </w:rPr>
        <w:t>Farhad</w:t>
      </w:r>
      <w:proofErr w:type="spellEnd"/>
      <w:r>
        <w:rPr>
          <w:rFonts w:ascii="Times New Roman" w:hAnsi="Times New Roman"/>
          <w:i/>
          <w:szCs w:val="20"/>
        </w:rPr>
        <w:t xml:space="preserve"> </w:t>
      </w:r>
      <w:proofErr w:type="spellStart"/>
      <w:r>
        <w:rPr>
          <w:rFonts w:ascii="Times New Roman" w:hAnsi="Times New Roman"/>
          <w:i/>
          <w:szCs w:val="20"/>
        </w:rPr>
        <w:t>Aliyev</w:t>
      </w:r>
      <w:proofErr w:type="spellEnd"/>
      <w:r>
        <w:rPr>
          <w:rFonts w:ascii="Times New Roman" w:hAnsi="Times New Roman"/>
          <w:i/>
          <w:szCs w:val="20"/>
        </w:rPr>
        <w:t xml:space="preserve"> p</w:t>
      </w:r>
      <w:r w:rsidR="003D2010">
        <w:rPr>
          <w:rFonts w:ascii="Times New Roman" w:hAnsi="Times New Roman"/>
          <w:i/>
          <w:szCs w:val="20"/>
        </w:rPr>
        <w:t xml:space="preserve">. </w:t>
      </w:r>
      <w:r>
        <w:rPr>
          <w:rFonts w:ascii="Times New Roman" w:hAnsi="Times New Roman"/>
          <w:i/>
          <w:szCs w:val="20"/>
        </w:rPr>
        <w:t>Azerbejdżan</w:t>
      </w:r>
      <w:r>
        <w:rPr>
          <w:rFonts w:ascii="Times New Roman" w:hAnsi="Times New Roman"/>
          <w:szCs w:val="20"/>
        </w:rPr>
        <w:t>owi, nr 37138/06, §§ 191</w:t>
      </w:r>
      <w:r>
        <w:rPr>
          <w:rFonts w:ascii="Times New Roman" w:hAnsi="Times New Roman"/>
          <w:szCs w:val="20"/>
        </w:rPr>
        <w:noBreakHyphen/>
        <w:t>94, 9 listopada 2010 r.</w:t>
      </w:r>
      <w:r w:rsidR="003D2010">
        <w:rPr>
          <w:rFonts w:ascii="Times New Roman" w:hAnsi="Times New Roman"/>
          <w:szCs w:val="20"/>
        </w:rPr>
        <w:t>,</w:t>
      </w:r>
      <w:r>
        <w:rPr>
          <w:rFonts w:ascii="Times New Roman" w:hAnsi="Times New Roman"/>
          <w:snapToGrid w:val="0"/>
        </w:rPr>
        <w:t xml:space="preserve"> </w:t>
      </w:r>
      <w:proofErr w:type="spellStart"/>
      <w:r>
        <w:rPr>
          <w:rFonts w:ascii="Times New Roman" w:hAnsi="Times New Roman"/>
          <w:i/>
          <w:szCs w:val="20"/>
        </w:rPr>
        <w:t>Muradverdiyev</w:t>
      </w:r>
      <w:proofErr w:type="spellEnd"/>
      <w:r>
        <w:rPr>
          <w:rFonts w:ascii="Times New Roman" w:hAnsi="Times New Roman"/>
          <w:i/>
          <w:szCs w:val="20"/>
        </w:rPr>
        <w:t xml:space="preserve"> p</w:t>
      </w:r>
      <w:r w:rsidR="003D2010">
        <w:rPr>
          <w:rFonts w:ascii="Times New Roman" w:hAnsi="Times New Roman"/>
          <w:i/>
          <w:szCs w:val="20"/>
        </w:rPr>
        <w:t>.</w:t>
      </w:r>
      <w:r>
        <w:rPr>
          <w:rFonts w:ascii="Times New Roman" w:hAnsi="Times New Roman"/>
          <w:i/>
          <w:szCs w:val="20"/>
        </w:rPr>
        <w:t xml:space="preserve"> Az</w:t>
      </w:r>
      <w:r>
        <w:rPr>
          <w:rFonts w:ascii="Times New Roman" w:hAnsi="Times New Roman"/>
          <w:szCs w:val="20"/>
        </w:rPr>
        <w:t xml:space="preserve">erbejdżanowi, nr 16966/06, §§ 87-91, 9 grudnia 2010 r. oraz </w:t>
      </w:r>
      <w:proofErr w:type="spellStart"/>
      <w:r>
        <w:rPr>
          <w:i/>
        </w:rPr>
        <w:t>Zayidov</w:t>
      </w:r>
      <w:proofErr w:type="spellEnd"/>
      <w:r>
        <w:rPr>
          <w:i/>
        </w:rPr>
        <w:t xml:space="preserve"> p</w:t>
      </w:r>
      <w:r w:rsidR="003D2010">
        <w:rPr>
          <w:i/>
        </w:rPr>
        <w:t>.</w:t>
      </w:r>
      <w:r>
        <w:rPr>
          <w:i/>
        </w:rPr>
        <w:t xml:space="preserve"> Azerbejdżan</w:t>
      </w:r>
      <w:r>
        <w:t>owi, nr 11948/08, §§ 64-68, 20 lutego 2014 r</w:t>
      </w:r>
      <w:r>
        <w:rPr>
          <w:rFonts w:ascii="Times New Roman" w:hAnsi="Times New Roman"/>
        </w:rPr>
        <w:t>.</w:t>
      </w:r>
      <w:r>
        <w:rPr>
          <w:rFonts w:ascii="Times New Roman" w:hAnsi="Times New Roman"/>
          <w:snapToGrid w:val="0"/>
        </w:rPr>
        <w:t>)</w:t>
      </w:r>
      <w:r>
        <w:rPr>
          <w:rFonts w:ascii="Times New Roman" w:hAnsi="Times New Roman"/>
          <w:szCs w:val="20"/>
        </w:rPr>
        <w:t>.</w:t>
      </w:r>
      <w:r>
        <w:t xml:space="preserve"> Trybunał </w:t>
      </w:r>
      <w:r w:rsidR="003D2010">
        <w:t xml:space="preserve">stwierdza </w:t>
      </w:r>
      <w:r>
        <w:t>również</w:t>
      </w:r>
      <w:r w:rsidR="003D2010">
        <w:t>, że uderzające jest to</w:t>
      </w:r>
      <w:r>
        <w:t xml:space="preserve">, że sądy krajowe oparły się na sposobie życia i powiązaniach pierwszego skarżącego z obcymi </w:t>
      </w:r>
      <w:r>
        <w:lastRenderedPageBreak/>
        <w:t>państwami jako podstawach dalszego stosowania wobec niego tymczasowego aresztowania, nie przedstawiając żadnego wyjaśnienia ani informacji na poparcie swojego rozumowania (zob. paragrafy 20 i 22 powyżej).</w:t>
      </w:r>
    </w:p>
    <w:p w14:paraId="6FEFF634" w14:textId="5801AEF0"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59</w:t>
      </w:r>
      <w:r w:rsidRPr="00031026">
        <w:rPr>
          <w:rFonts w:eastAsia="SimHei"/>
        </w:rPr>
        <w:fldChar w:fldCharType="end"/>
      </w:r>
      <w:r>
        <w:t xml:space="preserve">.  Trybunał zauważa, że sądy krajowe powoływały się </w:t>
      </w:r>
      <w:r w:rsidR="003D2010">
        <w:t xml:space="preserve">również </w:t>
      </w:r>
      <w:r>
        <w:t xml:space="preserve">na </w:t>
      </w:r>
      <w:r w:rsidR="003D2010">
        <w:t xml:space="preserve">niewłaściwe </w:t>
      </w:r>
      <w:r>
        <w:t xml:space="preserve">powody. W szczególności stwierdziły, że potrzeba więcej czasu na zakończenie postępowania przygotowawczego (zob. paragrafy 20, 23, 26 i 33 powyżej). Trybunał </w:t>
      </w:r>
      <w:r w:rsidR="00B01A4E">
        <w:t>jednak przypomina</w:t>
      </w:r>
      <w:r>
        <w:t xml:space="preserve">, że zgodnie z art. 5 ust. 3 powody takie jak potrzeba przeprowadzenia dalszych czynności postępowania przygotowawczego lub fakt, że postępowanie nie zostało jeszcze zakończone, nie </w:t>
      </w:r>
      <w:r w:rsidR="00B01A4E">
        <w:t xml:space="preserve">odpowiadają </w:t>
      </w:r>
      <w:r>
        <w:t>żadne</w:t>
      </w:r>
      <w:r w:rsidR="00B01A4E">
        <w:t>j</w:t>
      </w:r>
      <w:r>
        <w:t xml:space="preserve"> z dopuszczalnych podstaw tymczasowego aresztowania (zob. </w:t>
      </w:r>
      <w:proofErr w:type="spellStart"/>
      <w:r>
        <w:rPr>
          <w:i/>
        </w:rPr>
        <w:t>Allahverdiyev</w:t>
      </w:r>
      <w:proofErr w:type="spellEnd"/>
      <w:r>
        <w:rPr>
          <w:i/>
        </w:rPr>
        <w:t xml:space="preserve"> p</w:t>
      </w:r>
      <w:r w:rsidR="00B01A4E">
        <w:rPr>
          <w:i/>
        </w:rPr>
        <w:t>.</w:t>
      </w:r>
      <w:r>
        <w:rPr>
          <w:i/>
        </w:rPr>
        <w:t xml:space="preserve"> Azerbejdżanowi</w:t>
      </w:r>
      <w:r>
        <w:t xml:space="preserve">, nr 49192/08, § 60, 6 marca 2014 r. oraz </w:t>
      </w:r>
      <w:proofErr w:type="spellStart"/>
      <w:r>
        <w:rPr>
          <w:i/>
        </w:rPr>
        <w:t>Mammadov</w:t>
      </w:r>
      <w:proofErr w:type="spellEnd"/>
      <w:r>
        <w:rPr>
          <w:i/>
        </w:rPr>
        <w:t xml:space="preserve"> i </w:t>
      </w:r>
      <w:r w:rsidR="00B01A4E">
        <w:rPr>
          <w:i/>
        </w:rPr>
        <w:t>I</w:t>
      </w:r>
      <w:r>
        <w:rPr>
          <w:i/>
        </w:rPr>
        <w:t>nni p</w:t>
      </w:r>
      <w:r w:rsidR="00B01A4E">
        <w:rPr>
          <w:i/>
        </w:rPr>
        <w:t>.</w:t>
      </w:r>
      <w:r>
        <w:rPr>
          <w:i/>
        </w:rPr>
        <w:t xml:space="preserve"> Az</w:t>
      </w:r>
      <w:r>
        <w:t>erbejdżanowi, nr 35432/07, § 99, 21 lutego 2019 r.).</w:t>
      </w:r>
    </w:p>
    <w:p w14:paraId="63C52F16" w14:textId="7608DE84" w:rsidR="00031026" w:rsidRPr="00031026" w:rsidRDefault="00031026" w:rsidP="00031026">
      <w:pPr>
        <w:pStyle w:val="JuPara"/>
        <w:rPr>
          <w:rFonts w:ascii="Times New Roman" w:eastAsia="SimHei" w:hAnsi="Times New Roman" w:cs="SimHei"/>
          <w:szCs w:val="20"/>
        </w:rPr>
      </w:pPr>
      <w:r w:rsidRPr="00031026">
        <w:rPr>
          <w:rFonts w:ascii="Times New Roman" w:eastAsia="SimHei" w:hAnsi="Times New Roman" w:cs="SimHei"/>
          <w:szCs w:val="20"/>
        </w:rPr>
        <w:fldChar w:fldCharType="begin"/>
      </w:r>
      <w:r w:rsidRPr="00031026">
        <w:rPr>
          <w:rFonts w:ascii="Times New Roman" w:eastAsia="SimHei" w:hAnsi="Times New Roman" w:cs="SimHei"/>
          <w:szCs w:val="20"/>
        </w:rPr>
        <w:instrText xml:space="preserve"> SEQ level0 \*arabic </w:instrText>
      </w:r>
      <w:r w:rsidRPr="00031026">
        <w:rPr>
          <w:rFonts w:ascii="Times New Roman" w:eastAsia="SimHei" w:hAnsi="Times New Roman" w:cs="SimHei"/>
          <w:szCs w:val="20"/>
        </w:rPr>
        <w:fldChar w:fldCharType="separate"/>
      </w:r>
      <w:r w:rsidR="00D86FCE">
        <w:rPr>
          <w:rFonts w:ascii="Times New Roman" w:eastAsia="SimHei" w:hAnsi="Times New Roman" w:cs="SimHei"/>
          <w:noProof/>
          <w:szCs w:val="20"/>
        </w:rPr>
        <w:t>60</w:t>
      </w:r>
      <w:r w:rsidRPr="00031026">
        <w:rPr>
          <w:rFonts w:ascii="Times New Roman" w:eastAsia="SimHei" w:hAnsi="Times New Roman" w:cs="SimHei"/>
          <w:szCs w:val="20"/>
        </w:rPr>
        <w:fldChar w:fldCharType="end"/>
      </w:r>
      <w:r>
        <w:t>.</w:t>
      </w:r>
      <w:r>
        <w:rPr>
          <w:rFonts w:ascii="Times New Roman" w:hAnsi="Times New Roman"/>
          <w:szCs w:val="20"/>
        </w:rPr>
        <w:t xml:space="preserve">  Trybunał nie może również pominąć faktu, że w swoich postanowieniach o przedłużeniu tymczasowego aresztowania sądy krajowe całkowicie pominęły wiek drugiego skarżącego. W związku z tym Trybunał zauważa, że tymczasowe aresztowanie drugiego skarżącego jako nieletniego powinno </w:t>
      </w:r>
      <w:r w:rsidR="00B01A4E">
        <w:rPr>
          <w:rFonts w:ascii="Times New Roman" w:hAnsi="Times New Roman"/>
          <w:szCs w:val="20"/>
        </w:rPr>
        <w:t>być</w:t>
      </w:r>
      <w:r>
        <w:rPr>
          <w:rFonts w:ascii="Times New Roman" w:hAnsi="Times New Roman"/>
          <w:szCs w:val="20"/>
        </w:rPr>
        <w:t xml:space="preserve"> środk</w:t>
      </w:r>
      <w:r w:rsidR="00B01A4E">
        <w:rPr>
          <w:rFonts w:ascii="Times New Roman" w:hAnsi="Times New Roman"/>
          <w:szCs w:val="20"/>
        </w:rPr>
        <w:t>iem</w:t>
      </w:r>
      <w:r>
        <w:rPr>
          <w:rFonts w:ascii="Times New Roman" w:hAnsi="Times New Roman"/>
          <w:szCs w:val="20"/>
        </w:rPr>
        <w:t xml:space="preserve"> ostateczny</w:t>
      </w:r>
      <w:r w:rsidR="00B01A4E">
        <w:rPr>
          <w:rFonts w:ascii="Times New Roman" w:hAnsi="Times New Roman"/>
          <w:szCs w:val="20"/>
        </w:rPr>
        <w:t>m</w:t>
      </w:r>
      <w:r>
        <w:rPr>
          <w:rFonts w:ascii="Times New Roman" w:hAnsi="Times New Roman"/>
          <w:szCs w:val="20"/>
        </w:rPr>
        <w:t xml:space="preserve"> i </w:t>
      </w:r>
      <w:r w:rsidR="00B01A4E">
        <w:rPr>
          <w:rFonts w:ascii="Times New Roman" w:hAnsi="Times New Roman"/>
          <w:szCs w:val="20"/>
        </w:rPr>
        <w:t xml:space="preserve">stosowanym przez </w:t>
      </w:r>
      <w:r>
        <w:rPr>
          <w:rFonts w:ascii="Times New Roman" w:hAnsi="Times New Roman"/>
          <w:szCs w:val="20"/>
        </w:rPr>
        <w:t xml:space="preserve">możliwie najkrótszy </w:t>
      </w:r>
      <w:r w:rsidR="00B01A4E">
        <w:rPr>
          <w:rFonts w:ascii="Times New Roman" w:hAnsi="Times New Roman"/>
          <w:szCs w:val="20"/>
        </w:rPr>
        <w:t xml:space="preserve">okres </w:t>
      </w:r>
      <w:r>
        <w:rPr>
          <w:rFonts w:ascii="Times New Roman" w:hAnsi="Times New Roman"/>
          <w:szCs w:val="20"/>
        </w:rPr>
        <w:t>zgodnie z międzynarodowymi zobowiązaniami Azerbejdżanu (zob. paragrafy 48-50 powyżej) i</w:t>
      </w:r>
      <w:r>
        <w:t xml:space="preserve"> art. 434.2 k.p.k. (zob. paragraf 45 powyżej).</w:t>
      </w:r>
      <w:r>
        <w:rPr>
          <w:rFonts w:ascii="Times New Roman" w:hAnsi="Times New Roman"/>
          <w:szCs w:val="20"/>
        </w:rPr>
        <w:t xml:space="preserve"> </w:t>
      </w:r>
      <w:r>
        <w:t xml:space="preserve">Jednakże sądy krajowe w swoich postanowieniach </w:t>
      </w:r>
      <w:r w:rsidR="00B01A4E">
        <w:t xml:space="preserve">nawet </w:t>
      </w:r>
      <w:r>
        <w:t xml:space="preserve">nie próbowały wyjaśnić, dlaczego ten wyjątkowy środek powinien był zostać zastosowany w odniesieniu do drugiego skarżącego (por. </w:t>
      </w:r>
      <w:r>
        <w:rPr>
          <w:i/>
        </w:rPr>
        <w:t>Nart p</w:t>
      </w:r>
      <w:r w:rsidR="004436CC">
        <w:rPr>
          <w:i/>
        </w:rPr>
        <w:t>.</w:t>
      </w:r>
      <w:r>
        <w:rPr>
          <w:i/>
        </w:rPr>
        <w:t xml:space="preserve"> Turcji</w:t>
      </w:r>
      <w:r>
        <w:t>, nr 20817/04, § 33, 6 maja 2008 r</w:t>
      </w:r>
      <w:r w:rsidR="004436CC">
        <w:t>.,</w:t>
      </w:r>
      <w:r>
        <w:t xml:space="preserve"> </w:t>
      </w:r>
      <w:proofErr w:type="spellStart"/>
      <w:r>
        <w:rPr>
          <w:i/>
        </w:rPr>
        <w:t>Korneykova</w:t>
      </w:r>
      <w:proofErr w:type="spellEnd"/>
      <w:r>
        <w:rPr>
          <w:i/>
        </w:rPr>
        <w:t xml:space="preserve"> p</w:t>
      </w:r>
      <w:r w:rsidR="004436CC">
        <w:rPr>
          <w:i/>
        </w:rPr>
        <w:t>.</w:t>
      </w:r>
      <w:r>
        <w:rPr>
          <w:i/>
        </w:rPr>
        <w:t xml:space="preserve"> Ukrainie</w:t>
      </w:r>
      <w:r>
        <w:t xml:space="preserve">, nr 39884/05, § 46, 19 stycznia 2012 r. oraz </w:t>
      </w:r>
      <w:proofErr w:type="spellStart"/>
      <w:r>
        <w:rPr>
          <w:i/>
        </w:rPr>
        <w:t>Mahmut</w:t>
      </w:r>
      <w:proofErr w:type="spellEnd"/>
      <w:r>
        <w:rPr>
          <w:i/>
        </w:rPr>
        <w:t xml:space="preserve"> </w:t>
      </w:r>
      <w:proofErr w:type="spellStart"/>
      <w:r>
        <w:rPr>
          <w:i/>
        </w:rPr>
        <w:t>Öz</w:t>
      </w:r>
      <w:proofErr w:type="spellEnd"/>
      <w:r>
        <w:rPr>
          <w:i/>
        </w:rPr>
        <w:t xml:space="preserve"> p</w:t>
      </w:r>
      <w:r w:rsidR="004436CC">
        <w:rPr>
          <w:i/>
        </w:rPr>
        <w:t>.</w:t>
      </w:r>
      <w:r>
        <w:rPr>
          <w:i/>
        </w:rPr>
        <w:t xml:space="preserve"> Turcji</w:t>
      </w:r>
      <w:r>
        <w:t>, nr 6840/08, § 36, 3 lipca 2012 r.).</w:t>
      </w:r>
    </w:p>
    <w:p w14:paraId="1EAC451F" w14:textId="3648B2C8"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61</w:t>
      </w:r>
      <w:r w:rsidRPr="00031026">
        <w:rPr>
          <w:rFonts w:eastAsia="SimHei"/>
        </w:rPr>
        <w:fldChar w:fldCharType="end"/>
      </w:r>
      <w:r>
        <w:t xml:space="preserve">.  W świetle powyższych rozważań Trybunał stwierdza, że stosując standardowy szablon polegający jedynie na wymienieniu podstaw tymczasowego aresztowania bez odniesienia się do konkretnych </w:t>
      </w:r>
      <w:r w:rsidR="004436CC">
        <w:t>okoliczności sprawy</w:t>
      </w:r>
      <w:r>
        <w:t xml:space="preserve"> skarżących oraz przytaczając </w:t>
      </w:r>
      <w:r w:rsidR="004436CC">
        <w:t>podstawy</w:t>
      </w:r>
      <w:r w:rsidR="004436CC" w:rsidDel="004436CC">
        <w:t xml:space="preserve"> </w:t>
      </w:r>
      <w:r w:rsidR="004436CC">
        <w:t>nie mające związku ze sprawą</w:t>
      </w:r>
      <w:r>
        <w:t xml:space="preserve">, władze nie </w:t>
      </w:r>
      <w:r w:rsidR="004436CC">
        <w:t xml:space="preserve">podały </w:t>
      </w:r>
      <w:r>
        <w:t>„</w:t>
      </w:r>
      <w:r w:rsidR="004436CC">
        <w:t>odpowiednich</w:t>
      </w:r>
      <w:r>
        <w:t>” ani „wystarczających” powodów uzasadniających potrzebę przedłużenia tymczasowego aresztowania skarżących.</w:t>
      </w:r>
    </w:p>
    <w:p w14:paraId="51E47FD7" w14:textId="501387F4"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62</w:t>
      </w:r>
      <w:r w:rsidRPr="00031026">
        <w:rPr>
          <w:rFonts w:eastAsia="SimHei"/>
        </w:rPr>
        <w:fldChar w:fldCharType="end"/>
      </w:r>
      <w:r>
        <w:t>.  W związku z powyższym doszło do naruszenia art. 5 ust. 3 Konwencji.</w:t>
      </w:r>
    </w:p>
    <w:p w14:paraId="4609432E" w14:textId="77777777" w:rsidR="00031026" w:rsidRPr="00031026" w:rsidRDefault="00031026" w:rsidP="00031026">
      <w:pPr>
        <w:pStyle w:val="JuHIRoman"/>
        <w:numPr>
          <w:ilvl w:val="1"/>
          <w:numId w:val="1"/>
        </w:numPr>
        <w:tabs>
          <w:tab w:val="clear" w:pos="454"/>
          <w:tab w:val="clear" w:pos="567"/>
          <w:tab w:val="clear" w:pos="680"/>
        </w:tabs>
      </w:pPr>
      <w:r>
        <w:t>ZARZUCANE NARUSZENIE ART. 18 W ZWIĄZKU Z ART. 5 UST. 3 KONWENCJI</w:t>
      </w:r>
    </w:p>
    <w:p w14:paraId="6C632103" w14:textId="1DFF6771" w:rsidR="00031026" w:rsidRPr="00031026" w:rsidRDefault="00000000" w:rsidP="00031026">
      <w:pPr>
        <w:pStyle w:val="JuPara"/>
        <w:rPr>
          <w:rFonts w:ascii="Times New Roman" w:eastAsia="SimHei" w:hAnsi="Times New Roman" w:cs="SimHei"/>
          <w:szCs w:val="20"/>
        </w:rPr>
      </w:pPr>
      <w:fldSimple w:instr=" SEQ level0 \*arabic ">
        <w:r w:rsidR="00D86FCE">
          <w:rPr>
            <w:noProof/>
          </w:rPr>
          <w:t>63</w:t>
        </w:r>
      </w:fldSimple>
      <w:r w:rsidR="00031026">
        <w:t>.</w:t>
      </w:r>
      <w:r w:rsidR="00031026">
        <w:tab/>
        <w:t xml:space="preserve">Powołując się na art. 18 Konwencji skarżący twierdzili, </w:t>
      </w:r>
      <w:r w:rsidR="00031026">
        <w:rPr>
          <w:rFonts w:ascii="Times New Roman" w:hAnsi="Times New Roman"/>
          <w:szCs w:val="20"/>
        </w:rPr>
        <w:t xml:space="preserve">że ich prawa wynikające z Konwencji zostały ograniczone </w:t>
      </w:r>
      <w:r w:rsidR="007B5856">
        <w:rPr>
          <w:rFonts w:ascii="Times New Roman" w:hAnsi="Times New Roman"/>
          <w:szCs w:val="20"/>
        </w:rPr>
        <w:t>dla celów</w:t>
      </w:r>
      <w:r w:rsidR="00031026">
        <w:rPr>
          <w:rFonts w:ascii="Times New Roman" w:hAnsi="Times New Roman"/>
          <w:szCs w:val="20"/>
        </w:rPr>
        <w:t xml:space="preserve"> innych niż określone w Konwencji</w:t>
      </w:r>
      <w:r w:rsidR="00031026">
        <w:t>.</w:t>
      </w:r>
      <w:r w:rsidR="00031026">
        <w:rPr>
          <w:rFonts w:ascii="Times New Roman" w:hAnsi="Times New Roman"/>
          <w:szCs w:val="20"/>
        </w:rPr>
        <w:t xml:space="preserve"> Artykuł 18 stanowi:</w:t>
      </w:r>
    </w:p>
    <w:p w14:paraId="31F6601C" w14:textId="77777777" w:rsidR="00031026" w:rsidRPr="00031026" w:rsidRDefault="00031026" w:rsidP="00031026">
      <w:pPr>
        <w:pStyle w:val="JuQuot"/>
        <w:rPr>
          <w:rFonts w:eastAsia="SimHei"/>
        </w:rPr>
      </w:pPr>
      <w:r>
        <w:t>„Ograniczenia praw i wolności, na które zezwala niniejsza Konwencja, nie będą stosowane w innych celach, niż te, dla których je wprowadzono”.</w:t>
      </w:r>
    </w:p>
    <w:p w14:paraId="53D1DAED" w14:textId="77777777" w:rsidR="00031026" w:rsidRPr="00031026" w:rsidRDefault="00031026" w:rsidP="00031026">
      <w:pPr>
        <w:pStyle w:val="JuHA"/>
        <w:numPr>
          <w:ilvl w:val="2"/>
          <w:numId w:val="2"/>
        </w:numPr>
      </w:pPr>
      <w:r>
        <w:lastRenderedPageBreak/>
        <w:t>Dopuszczalność</w:t>
      </w:r>
    </w:p>
    <w:p w14:paraId="34C89E40" w14:textId="6A302A26" w:rsidR="00031026" w:rsidRPr="00031026" w:rsidRDefault="00000000" w:rsidP="00031026">
      <w:pPr>
        <w:pStyle w:val="JuPara"/>
        <w:rPr>
          <w:rFonts w:ascii="Times New Roman" w:eastAsia="SimHei" w:hAnsi="Times New Roman" w:cs="SimHei"/>
          <w:szCs w:val="20"/>
        </w:rPr>
      </w:pPr>
      <w:fldSimple w:instr=" SEQ level0 \*arabic ">
        <w:r w:rsidR="00D86FCE">
          <w:rPr>
            <w:noProof/>
          </w:rPr>
          <w:t>64</w:t>
        </w:r>
      </w:fldSimple>
      <w:r w:rsidR="00031026">
        <w:t>.  Trybunał zauważa, że skarga nie jest w sposób oczywisty nieuzasadniona w rozumieniu art. 35 ust. 3 lit. a Konwencji.</w:t>
      </w:r>
      <w:r w:rsidR="00031026">
        <w:rPr>
          <w:rFonts w:ascii="Times New Roman" w:hAnsi="Times New Roman"/>
          <w:szCs w:val="20"/>
        </w:rPr>
        <w:t xml:space="preserve"> Ponadto zauważa, że nie jest ona również niedopuszczalna </w:t>
      </w:r>
      <w:r w:rsidR="00F152FE">
        <w:rPr>
          <w:rFonts w:ascii="Times New Roman" w:hAnsi="Times New Roman"/>
          <w:szCs w:val="20"/>
        </w:rPr>
        <w:t>z żadnego innego powodu</w:t>
      </w:r>
      <w:r w:rsidR="00031026">
        <w:rPr>
          <w:rFonts w:ascii="Times New Roman" w:hAnsi="Times New Roman"/>
          <w:szCs w:val="20"/>
        </w:rPr>
        <w:t>. Tym samym należy uznać ją za dopuszczalną.</w:t>
      </w:r>
    </w:p>
    <w:p w14:paraId="0F6BC329" w14:textId="54CDD450" w:rsidR="00031026" w:rsidRPr="00031026" w:rsidRDefault="00F152FE" w:rsidP="00031026">
      <w:pPr>
        <w:pStyle w:val="JuHA"/>
        <w:ind w:left="584" w:hanging="352"/>
        <w:jc w:val="left"/>
        <w:rPr>
          <w:rFonts w:eastAsia="SimHei"/>
        </w:rPr>
      </w:pPr>
      <w:r>
        <w:t>Meritum</w:t>
      </w:r>
    </w:p>
    <w:p w14:paraId="342AC16E" w14:textId="79FB803A" w:rsidR="00031026" w:rsidRPr="00031026" w:rsidRDefault="00031026" w:rsidP="00031026">
      <w:pPr>
        <w:pStyle w:val="JuH1"/>
        <w:ind w:left="731" w:hanging="300"/>
        <w:jc w:val="left"/>
        <w:rPr>
          <w:rFonts w:eastAsia="SimHei"/>
        </w:rPr>
      </w:pPr>
      <w:r>
        <w:t>Stanowiska stron</w:t>
      </w:r>
    </w:p>
    <w:p w14:paraId="674B6204" w14:textId="6ECD6099"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65</w:t>
      </w:r>
      <w:r w:rsidRPr="00031026">
        <w:rPr>
          <w:rFonts w:eastAsia="SimHei"/>
        </w:rPr>
        <w:fldChar w:fldCharType="end"/>
      </w:r>
      <w:r>
        <w:t>.  Skarżący twierdzili, że ich zatrzymanie i tymczasowe aresztowanie miało podłoże polityczne i zostało zastosowane z zamiarem ukarania i uciszenia ich jako członków NIDA. W związku z tym wywodzili, że aktywnie uczestniczyli w protestach przeciwko śmierci żołnierzy armii azerbejdżańskiej i że wielu członków NIDA zostało zatrzymanych i tymczasowo aresztowanych w ciągu ostatnich kilku lat w związku z ich działalnością.</w:t>
      </w:r>
    </w:p>
    <w:p w14:paraId="51FC111D" w14:textId="59D3A4B1" w:rsidR="00031026" w:rsidRPr="00031026" w:rsidRDefault="00031026" w:rsidP="00031026">
      <w:pPr>
        <w:pStyle w:val="JuPara"/>
        <w:rPr>
          <w:rFonts w:eastAsia="SimHei"/>
        </w:rPr>
      </w:pPr>
      <w:r w:rsidRPr="00031026">
        <w:rPr>
          <w:rFonts w:eastAsia="SimHei"/>
        </w:rPr>
        <w:fldChar w:fldCharType="begin"/>
      </w:r>
      <w:r w:rsidRPr="00031026">
        <w:rPr>
          <w:rFonts w:eastAsia="SimHei"/>
        </w:rPr>
        <w:instrText xml:space="preserve"> SEQ level0 \*arabic </w:instrText>
      </w:r>
      <w:r w:rsidRPr="00031026">
        <w:rPr>
          <w:rFonts w:eastAsia="SimHei"/>
        </w:rPr>
        <w:fldChar w:fldCharType="separate"/>
      </w:r>
      <w:r w:rsidR="00D86FCE">
        <w:rPr>
          <w:rFonts w:eastAsia="SimHei"/>
          <w:noProof/>
        </w:rPr>
        <w:t>66</w:t>
      </w:r>
      <w:r w:rsidRPr="00031026">
        <w:rPr>
          <w:rFonts w:eastAsia="SimHei"/>
        </w:rPr>
        <w:fldChar w:fldCharType="end"/>
      </w:r>
      <w:r>
        <w:t>.  Stanowisko Rządu był</w:t>
      </w:r>
      <w:r w:rsidR="00F152FE">
        <w:t>o</w:t>
      </w:r>
      <w:r>
        <w:t xml:space="preserve"> dokładnie takie samo jak stanowisko, które przedstawił w sprawie </w:t>
      </w:r>
      <w:proofErr w:type="spellStart"/>
      <w:r>
        <w:rPr>
          <w:i/>
          <w:iCs/>
        </w:rPr>
        <w:t>Rashad</w:t>
      </w:r>
      <w:proofErr w:type="spellEnd"/>
      <w:r>
        <w:rPr>
          <w:i/>
          <w:iCs/>
        </w:rPr>
        <w:t xml:space="preserve"> </w:t>
      </w:r>
      <w:proofErr w:type="spellStart"/>
      <w:r>
        <w:rPr>
          <w:i/>
          <w:iCs/>
        </w:rPr>
        <w:t>Hasanov</w:t>
      </w:r>
      <w:proofErr w:type="spellEnd"/>
      <w:r>
        <w:rPr>
          <w:i/>
          <w:iCs/>
        </w:rPr>
        <w:t xml:space="preserve"> i Inni p</w:t>
      </w:r>
      <w:r w:rsidR="00F152FE">
        <w:rPr>
          <w:i/>
          <w:iCs/>
        </w:rPr>
        <w:t xml:space="preserve">. </w:t>
      </w:r>
      <w:r>
        <w:rPr>
          <w:i/>
          <w:iCs/>
        </w:rPr>
        <w:t>Azerbejdżanowi</w:t>
      </w:r>
      <w:r>
        <w:t xml:space="preserve"> (nr</w:t>
      </w:r>
      <w:r>
        <w:rPr>
          <w:snapToGrid w:val="0"/>
        </w:rPr>
        <w:t xml:space="preserve"> </w:t>
      </w:r>
      <w:r>
        <w:t>48653/13 i 3 inne, § 114-15, 7 czerwca 2018 r.).</w:t>
      </w:r>
    </w:p>
    <w:p w14:paraId="4E296152" w14:textId="1EA94F1B" w:rsidR="00031026" w:rsidRPr="00031026" w:rsidRDefault="00031026" w:rsidP="00031026">
      <w:pPr>
        <w:pStyle w:val="JuH1"/>
        <w:ind w:left="731" w:hanging="300"/>
        <w:rPr>
          <w:rFonts w:eastAsia="SimHei"/>
        </w:rPr>
      </w:pPr>
      <w:r>
        <w:t>Ocena Trybunału</w:t>
      </w:r>
    </w:p>
    <w:p w14:paraId="24877430" w14:textId="36289937" w:rsidR="00031026" w:rsidRPr="00031026" w:rsidRDefault="00000000" w:rsidP="00031026">
      <w:pPr>
        <w:pStyle w:val="JuPara"/>
      </w:pPr>
      <w:fldSimple w:instr=" SEQ level0 \*arabic ">
        <w:r w:rsidR="00D86FCE">
          <w:rPr>
            <w:noProof/>
          </w:rPr>
          <w:t>67</w:t>
        </w:r>
      </w:fldSimple>
      <w:r w:rsidR="00031026">
        <w:t xml:space="preserve">.  Trybunał zbada zarzut skarżących w świetle odpowiednich zasad ogólnych określonych przez Wielką Izbę w wyrokach w sprawach </w:t>
      </w:r>
      <w:proofErr w:type="spellStart"/>
      <w:r w:rsidR="00031026">
        <w:rPr>
          <w:i/>
        </w:rPr>
        <w:t>Merabishvili</w:t>
      </w:r>
      <w:proofErr w:type="spellEnd"/>
      <w:r w:rsidR="00031026">
        <w:rPr>
          <w:i/>
        </w:rPr>
        <w:t xml:space="preserve"> p</w:t>
      </w:r>
      <w:r w:rsidR="00F152FE">
        <w:rPr>
          <w:i/>
        </w:rPr>
        <w:t>.</w:t>
      </w:r>
      <w:r w:rsidR="00031026">
        <w:rPr>
          <w:i/>
        </w:rPr>
        <w:t xml:space="preserve"> Gruzji</w:t>
      </w:r>
      <w:r w:rsidR="00031026">
        <w:t xml:space="preserve"> ([WI], nr 72508/13, §§ 287-317, 28 listopada 2017 r.) oraz </w:t>
      </w:r>
      <w:proofErr w:type="spellStart"/>
      <w:r w:rsidR="00031026">
        <w:rPr>
          <w:i/>
        </w:rPr>
        <w:t>Navalnyy</w:t>
      </w:r>
      <w:proofErr w:type="spellEnd"/>
      <w:r w:rsidR="00031026">
        <w:rPr>
          <w:i/>
        </w:rPr>
        <w:t xml:space="preserve"> p</w:t>
      </w:r>
      <w:r w:rsidR="00F152FE">
        <w:rPr>
          <w:i/>
        </w:rPr>
        <w:t>.</w:t>
      </w:r>
      <w:r w:rsidR="00031026">
        <w:rPr>
          <w:i/>
        </w:rPr>
        <w:t xml:space="preserve"> Rosji</w:t>
      </w:r>
      <w:r w:rsidR="00031026">
        <w:t xml:space="preserve"> ([WI], nr 29580/12 i 4 inne, §§ 164</w:t>
      </w:r>
      <w:r w:rsidR="00031026">
        <w:noBreakHyphen/>
        <w:t xml:space="preserve">65, 15 listopada 2018 r.), jak również w świetle ustaleń Wielkiej Izby w sprawie </w:t>
      </w:r>
      <w:proofErr w:type="spellStart"/>
      <w:r w:rsidR="00031026">
        <w:rPr>
          <w:i/>
        </w:rPr>
        <w:t>Selahattin</w:t>
      </w:r>
      <w:proofErr w:type="spellEnd"/>
      <w:r w:rsidR="00031026">
        <w:rPr>
          <w:i/>
        </w:rPr>
        <w:t xml:space="preserve"> </w:t>
      </w:r>
      <w:proofErr w:type="spellStart"/>
      <w:r w:rsidR="00031026">
        <w:rPr>
          <w:i/>
        </w:rPr>
        <w:t>Demirtaş</w:t>
      </w:r>
      <w:proofErr w:type="spellEnd"/>
      <w:r w:rsidR="00031026">
        <w:rPr>
          <w:i/>
        </w:rPr>
        <w:t xml:space="preserve"> p</w:t>
      </w:r>
      <w:r w:rsidR="00F152FE">
        <w:rPr>
          <w:i/>
        </w:rPr>
        <w:t xml:space="preserve">. </w:t>
      </w:r>
      <w:r w:rsidR="00031026">
        <w:rPr>
          <w:i/>
        </w:rPr>
        <w:t>Turcji (nr 2)</w:t>
      </w:r>
      <w:r w:rsidR="00031026">
        <w:t xml:space="preserve"> ([WI], nr 14305/17, §§ 425, 429 i 436, 22 grudnia 2020 r.).</w:t>
      </w:r>
    </w:p>
    <w:p w14:paraId="7B811067" w14:textId="367FA3B5" w:rsidR="00031026" w:rsidRPr="00031026" w:rsidRDefault="00000000" w:rsidP="00031026">
      <w:pPr>
        <w:pStyle w:val="JuPara"/>
      </w:pPr>
      <w:fldSimple w:instr=" SEQ level0 \*arabic ">
        <w:r w:rsidR="00D86FCE">
          <w:rPr>
            <w:noProof/>
          </w:rPr>
          <w:t>68</w:t>
        </w:r>
      </w:fldSimple>
      <w:r w:rsidR="00031026">
        <w:t xml:space="preserve">.  Trybunał </w:t>
      </w:r>
      <w:r w:rsidR="00A527C0">
        <w:t>na wstępie stwierdza</w:t>
      </w:r>
      <w:r w:rsidR="00031026">
        <w:t>, że w niniejszej skardze zarzut oparty o art. 18 stanowi podstawowy aspekt sprawy, który nie został omówiony powyżej w odniesieniu do art. 5 ust. 3 i zasługuje na odrębną analizę.</w:t>
      </w:r>
    </w:p>
    <w:p w14:paraId="215F3DC0" w14:textId="27840EF0" w:rsidR="00031026" w:rsidRPr="00031026" w:rsidRDefault="00000000" w:rsidP="00031026">
      <w:pPr>
        <w:pStyle w:val="JuPara"/>
      </w:pPr>
      <w:fldSimple w:instr=" SEQ level0 \*arabic ">
        <w:r w:rsidR="00D86FCE">
          <w:rPr>
            <w:noProof/>
          </w:rPr>
          <w:t>69</w:t>
        </w:r>
      </w:fldSimple>
      <w:r w:rsidR="00031026">
        <w:t xml:space="preserve">.  Trybunał zauważa ponadto, że okoliczności niniejszej sprawy oraz zarzut podniesiony na podstawie art. 18 Konwencji przez skarżących są podobne do tych, które były już przedmiotem jego analizy w sprawie </w:t>
      </w:r>
      <w:proofErr w:type="spellStart"/>
      <w:r w:rsidR="00031026">
        <w:rPr>
          <w:i/>
          <w:iCs/>
        </w:rPr>
        <w:t>Rashad</w:t>
      </w:r>
      <w:proofErr w:type="spellEnd"/>
      <w:r w:rsidR="00031026">
        <w:rPr>
          <w:i/>
          <w:iCs/>
        </w:rPr>
        <w:t xml:space="preserve"> </w:t>
      </w:r>
      <w:proofErr w:type="spellStart"/>
      <w:r w:rsidR="00031026">
        <w:rPr>
          <w:i/>
          <w:iCs/>
        </w:rPr>
        <w:t>Hasanov</w:t>
      </w:r>
      <w:proofErr w:type="spellEnd"/>
      <w:r w:rsidR="00031026">
        <w:rPr>
          <w:i/>
          <w:iCs/>
        </w:rPr>
        <w:t xml:space="preserve"> i Inni</w:t>
      </w:r>
      <w:r w:rsidR="00031026">
        <w:t xml:space="preserve"> (cyt. pow</w:t>
      </w:r>
      <w:r w:rsidR="00A527C0">
        <w:t>.</w:t>
      </w:r>
      <w:r w:rsidR="00031026">
        <w:t>, w której stwierdził naruszenie art. 18 w zw</w:t>
      </w:r>
      <w:r w:rsidR="00A527C0">
        <w:t>.</w:t>
      </w:r>
      <w:r w:rsidR="00031026">
        <w:t xml:space="preserve"> z art. 5 Konwencji). W szczególności skarżący w niniejszej sprawie oraz czterej skarżący w sprawie </w:t>
      </w:r>
      <w:proofErr w:type="spellStart"/>
      <w:r w:rsidR="00031026">
        <w:rPr>
          <w:i/>
        </w:rPr>
        <w:t>Rashad</w:t>
      </w:r>
      <w:proofErr w:type="spellEnd"/>
      <w:r w:rsidR="00031026">
        <w:rPr>
          <w:i/>
        </w:rPr>
        <w:t xml:space="preserve"> </w:t>
      </w:r>
      <w:proofErr w:type="spellStart"/>
      <w:r w:rsidR="00031026">
        <w:rPr>
          <w:i/>
        </w:rPr>
        <w:t>Hasanov</w:t>
      </w:r>
      <w:proofErr w:type="spellEnd"/>
      <w:r w:rsidR="00031026">
        <w:rPr>
          <w:i/>
        </w:rPr>
        <w:t xml:space="preserve"> i Inni</w:t>
      </w:r>
      <w:r w:rsidR="00031026">
        <w:t xml:space="preserve"> zostali zatrzymani i tymczasowo aresztowani głównie na podstawie tych samych zarzutów, a następnie byli </w:t>
      </w:r>
      <w:r w:rsidR="00A527C0">
        <w:t xml:space="preserve">oskarżeni </w:t>
      </w:r>
      <w:r w:rsidR="00031026">
        <w:t xml:space="preserve">i zostali </w:t>
      </w:r>
      <w:r w:rsidR="00A527C0">
        <w:t>skazani</w:t>
      </w:r>
      <w:r w:rsidR="00031026">
        <w:t xml:space="preserve"> w ramach tego samego postępowania karnego (tamże, §§ 5-12 i §§ 65-66).</w:t>
      </w:r>
    </w:p>
    <w:p w14:paraId="5DD0ABD1" w14:textId="1602B068" w:rsidR="00031026" w:rsidRPr="00031026" w:rsidRDefault="00000000" w:rsidP="00031026">
      <w:pPr>
        <w:pStyle w:val="JuPara"/>
      </w:pPr>
      <w:fldSimple w:instr=" SEQ level0 \*arabic ">
        <w:r w:rsidR="00D86FCE">
          <w:rPr>
            <w:noProof/>
          </w:rPr>
          <w:t>70</w:t>
        </w:r>
      </w:fldSimple>
      <w:r w:rsidR="00031026">
        <w:t xml:space="preserve">.  Jednakże, w odróżnieniu od sprawy </w:t>
      </w:r>
      <w:proofErr w:type="spellStart"/>
      <w:r w:rsidR="00031026">
        <w:rPr>
          <w:i/>
          <w:iCs/>
        </w:rPr>
        <w:t>Rashad</w:t>
      </w:r>
      <w:proofErr w:type="spellEnd"/>
      <w:r w:rsidR="00031026">
        <w:rPr>
          <w:i/>
          <w:iCs/>
        </w:rPr>
        <w:t xml:space="preserve"> </w:t>
      </w:r>
      <w:proofErr w:type="spellStart"/>
      <w:r w:rsidR="00031026">
        <w:rPr>
          <w:i/>
          <w:iCs/>
        </w:rPr>
        <w:t>Hasanov</w:t>
      </w:r>
      <w:proofErr w:type="spellEnd"/>
      <w:r w:rsidR="00031026">
        <w:rPr>
          <w:i/>
          <w:iCs/>
        </w:rPr>
        <w:t xml:space="preserve"> i Inni</w:t>
      </w:r>
      <w:r w:rsidR="00031026">
        <w:t xml:space="preserve">, w niniejszej sprawie Trybunał nie </w:t>
      </w:r>
      <w:r w:rsidR="00A527C0">
        <w:t xml:space="preserve">był </w:t>
      </w:r>
      <w:r w:rsidR="00031026">
        <w:t xml:space="preserve">zobowiązany do zbadania, czy skarżący zostali pozbawieni wolności przy braku „uzasadnionego podejrzenia” </w:t>
      </w:r>
      <w:r w:rsidR="00031026">
        <w:lastRenderedPageBreak/>
        <w:t xml:space="preserve">popełnienia przez nich przestępstwa, ponieważ skarżący nie zaskarżyli pierwotnych </w:t>
      </w:r>
      <w:r w:rsidR="00DE7F1D">
        <w:t xml:space="preserve">orzeczeń </w:t>
      </w:r>
      <w:r w:rsidR="00031026">
        <w:t xml:space="preserve">o pozbawieniu ich wolności (zob. paragrafy 9 i 13 powyżej) i nie podnieśli tego zarzutu w swoich zażaleniach na postanowienia </w:t>
      </w:r>
      <w:r w:rsidR="00DE7F1D">
        <w:t>o</w:t>
      </w:r>
      <w:r w:rsidR="00031026">
        <w:t xml:space="preserve"> przedłużeni</w:t>
      </w:r>
      <w:r w:rsidR="00DE7F1D">
        <w:t>u</w:t>
      </w:r>
      <w:r w:rsidR="00031026">
        <w:t xml:space="preserve"> tymczasowego aresztowania, a zatem nie wyczerpali krajowych środków odwoławczych w tym zakresie. Niniejszą sprawę należy zatem odróżnić od spraw, w których prawo lub wolność skarżącego zostały ograniczone </w:t>
      </w:r>
      <w:r w:rsidR="00DE7F1D">
        <w:t xml:space="preserve">dla realizacji </w:t>
      </w:r>
      <w:r w:rsidR="00031026">
        <w:t xml:space="preserve">celu, który nie był przewidziany przez Konwencję; w tych sprawach nie pojawiała się kwestia potencjalnej wielości celów (por., </w:t>
      </w:r>
      <w:proofErr w:type="spellStart"/>
      <w:r w:rsidR="00DE7F1D">
        <w:t>n.p</w:t>
      </w:r>
      <w:proofErr w:type="spellEnd"/>
      <w:r w:rsidR="00DE7F1D">
        <w:t>.</w:t>
      </w:r>
      <w:r w:rsidR="00031026">
        <w:t xml:space="preserve">, </w:t>
      </w:r>
      <w:proofErr w:type="spellStart"/>
      <w:r w:rsidR="00031026">
        <w:rPr>
          <w:i/>
          <w:iCs/>
        </w:rPr>
        <w:t>Rashad</w:t>
      </w:r>
      <w:proofErr w:type="spellEnd"/>
      <w:r w:rsidR="00031026">
        <w:rPr>
          <w:i/>
          <w:iCs/>
        </w:rPr>
        <w:t xml:space="preserve"> </w:t>
      </w:r>
      <w:proofErr w:type="spellStart"/>
      <w:r w:rsidR="00031026">
        <w:rPr>
          <w:i/>
          <w:iCs/>
        </w:rPr>
        <w:t>Hasanov</w:t>
      </w:r>
      <w:proofErr w:type="spellEnd"/>
      <w:r w:rsidR="00031026">
        <w:rPr>
          <w:i/>
          <w:iCs/>
        </w:rPr>
        <w:t xml:space="preserve"> i Inni</w:t>
      </w:r>
      <w:r w:rsidR="00031026">
        <w:t>, cyt. pow</w:t>
      </w:r>
      <w:r w:rsidR="00DE7F1D">
        <w:t>.</w:t>
      </w:r>
      <w:r w:rsidR="00031026">
        <w:t>, § 119</w:t>
      </w:r>
      <w:r w:rsidR="00DE7F1D">
        <w:t>,</w:t>
      </w:r>
      <w:r w:rsidR="00031026">
        <w:t xml:space="preserve"> </w:t>
      </w:r>
      <w:proofErr w:type="spellStart"/>
      <w:r w:rsidR="00031026">
        <w:rPr>
          <w:i/>
          <w:iCs/>
        </w:rPr>
        <w:t>Aliyev</w:t>
      </w:r>
      <w:proofErr w:type="spellEnd"/>
      <w:r w:rsidR="00031026">
        <w:rPr>
          <w:i/>
          <w:iCs/>
        </w:rPr>
        <w:t xml:space="preserve"> p</w:t>
      </w:r>
      <w:r w:rsidR="00DE7F1D">
        <w:rPr>
          <w:i/>
          <w:iCs/>
        </w:rPr>
        <w:t>.</w:t>
      </w:r>
      <w:r w:rsidR="00031026">
        <w:rPr>
          <w:i/>
          <w:iCs/>
        </w:rPr>
        <w:t xml:space="preserve"> Azerbejdżanowi</w:t>
      </w:r>
      <w:r w:rsidR="00031026">
        <w:t xml:space="preserve">, nr 68762/14 i 71200/14, § 206, 20 września 2018 r. oraz </w:t>
      </w:r>
      <w:proofErr w:type="spellStart"/>
      <w:r w:rsidR="00031026">
        <w:t>Navalny</w:t>
      </w:r>
      <w:proofErr w:type="spellEnd"/>
      <w:r w:rsidR="00DE7F1D">
        <w:t>, cyt. pow.</w:t>
      </w:r>
      <w:r w:rsidR="00031026">
        <w:t xml:space="preserve">, § 166). W niniejszej sprawie, przy rozpatrywaniu zarzutu skarżących na podstawie art. 18 Konwencji, Trybunał musi zająć się kwestią wielości celów. Trybunał zbada zatem, czy postanowienia </w:t>
      </w:r>
      <w:r w:rsidR="00DE7F1D">
        <w:t xml:space="preserve">organów </w:t>
      </w:r>
      <w:r w:rsidR="00031026">
        <w:t xml:space="preserve">krajowych </w:t>
      </w:r>
      <w:r w:rsidR="00DE7F1D">
        <w:t>w przedmiocie</w:t>
      </w:r>
      <w:r w:rsidR="00031026">
        <w:t xml:space="preserve"> tymczasowego aresztowania wobec skarżących miały również ukryty cel, a jeśli tak, to czy ten ukryty cel był dominującym celem ograniczenia prawa do wolności skarżących (por. </w:t>
      </w:r>
      <w:proofErr w:type="spellStart"/>
      <w:r w:rsidR="00031026">
        <w:rPr>
          <w:i/>
        </w:rPr>
        <w:t>Merabishvili</w:t>
      </w:r>
      <w:proofErr w:type="spellEnd"/>
      <w:r w:rsidR="00031026">
        <w:t>, cyt. pow</w:t>
      </w:r>
      <w:r w:rsidR="006B3DF3">
        <w:t>.,</w:t>
      </w:r>
      <w:r w:rsidR="00031026">
        <w:t xml:space="preserve"> §§ 318</w:t>
      </w:r>
      <w:r w:rsidR="00031026">
        <w:noBreakHyphen/>
        <w:t>54).</w:t>
      </w:r>
    </w:p>
    <w:p w14:paraId="295C4C31" w14:textId="7B54B777" w:rsidR="00031026" w:rsidRPr="00031026" w:rsidRDefault="00031026" w:rsidP="00031026">
      <w:pPr>
        <w:pStyle w:val="JuPara"/>
        <w:rPr>
          <w:rFonts w:ascii="Times New Roman" w:eastAsia="SimHei" w:hAnsi="Times New Roman" w:cs="SimHei"/>
          <w:color w:val="000000"/>
          <w:szCs w:val="20"/>
        </w:rPr>
      </w:pPr>
      <w:r w:rsidRPr="00031026">
        <w:rPr>
          <w:rFonts w:ascii="Times New Roman" w:eastAsia="SimHei" w:hAnsi="Times New Roman" w:cs="SimHei"/>
          <w:szCs w:val="20"/>
        </w:rPr>
        <w:fldChar w:fldCharType="begin"/>
      </w:r>
      <w:r w:rsidRPr="00031026">
        <w:rPr>
          <w:rFonts w:ascii="Times New Roman" w:eastAsia="SimHei" w:hAnsi="Times New Roman" w:cs="SimHei"/>
          <w:szCs w:val="20"/>
        </w:rPr>
        <w:instrText xml:space="preserve"> SEQ level0 \*arabic </w:instrText>
      </w:r>
      <w:r w:rsidRPr="00031026">
        <w:rPr>
          <w:rFonts w:ascii="Times New Roman" w:eastAsia="SimHei" w:hAnsi="Times New Roman" w:cs="SimHei"/>
          <w:szCs w:val="20"/>
        </w:rPr>
        <w:fldChar w:fldCharType="separate"/>
      </w:r>
      <w:r w:rsidR="00D86FCE">
        <w:rPr>
          <w:rFonts w:ascii="Times New Roman" w:eastAsia="SimHei" w:hAnsi="Times New Roman" w:cs="SimHei"/>
          <w:noProof/>
          <w:szCs w:val="20"/>
        </w:rPr>
        <w:t>71</w:t>
      </w:r>
      <w:r w:rsidRPr="00031026">
        <w:rPr>
          <w:rFonts w:ascii="Times New Roman" w:eastAsia="SimHei" w:hAnsi="Times New Roman" w:cs="SimHei"/>
          <w:szCs w:val="20"/>
        </w:rPr>
        <w:fldChar w:fldCharType="end"/>
      </w:r>
      <w:r>
        <w:t>.</w:t>
      </w:r>
      <w:r>
        <w:rPr>
          <w:rFonts w:ascii="Times New Roman" w:hAnsi="Times New Roman"/>
          <w:szCs w:val="20"/>
        </w:rPr>
        <w:t>  Jeśli chodzi o kwestię, czy</w:t>
      </w:r>
      <w:r>
        <w:t xml:space="preserve"> dalsze stosowanie tymczasowego aresztowania wobec skarżących miało ukryty cel</w:t>
      </w:r>
      <w:r>
        <w:rPr>
          <w:rFonts w:ascii="Times New Roman" w:hAnsi="Times New Roman"/>
          <w:szCs w:val="20"/>
        </w:rPr>
        <w:t xml:space="preserve">, Trybunał stwierdził już w sprawie </w:t>
      </w:r>
      <w:proofErr w:type="spellStart"/>
      <w:r>
        <w:rPr>
          <w:i/>
          <w:iCs/>
        </w:rPr>
        <w:t>Rashad</w:t>
      </w:r>
      <w:proofErr w:type="spellEnd"/>
      <w:r>
        <w:rPr>
          <w:i/>
          <w:iCs/>
        </w:rPr>
        <w:t xml:space="preserve"> </w:t>
      </w:r>
      <w:proofErr w:type="spellStart"/>
      <w:r>
        <w:rPr>
          <w:i/>
          <w:iCs/>
        </w:rPr>
        <w:t>Hasanov</w:t>
      </w:r>
      <w:proofErr w:type="spellEnd"/>
      <w:r>
        <w:rPr>
          <w:i/>
          <w:iCs/>
        </w:rPr>
        <w:t xml:space="preserve"> i Inni</w:t>
      </w:r>
      <w:r>
        <w:t xml:space="preserve"> (cyt. pow</w:t>
      </w:r>
      <w:r w:rsidR="006B3DF3">
        <w:t>.</w:t>
      </w:r>
      <w:r>
        <w:t>, §§ 122</w:t>
      </w:r>
      <w:r>
        <w:noBreakHyphen/>
        <w:t>24)</w:t>
      </w:r>
      <w:r>
        <w:rPr>
          <w:rFonts w:ascii="Times New Roman" w:hAnsi="Times New Roman"/>
          <w:szCs w:val="20"/>
        </w:rPr>
        <w:t>, że wspólne publiczne oświadczenie z 8 marca 2013 r. wydane przez Prokuraturę Generalną i MNS było wyraźnie wymierzone w NIDA i jej członków, stwierdzając, że „niektóre radykalne siły destrukcyjne niedawno podjęły nielegalne próby podważenia stabilności społecznej i politycznej ustanowionej w kraju”</w:t>
      </w:r>
      <w:r>
        <w:t>.</w:t>
      </w:r>
      <w:r>
        <w:rPr>
          <w:rFonts w:ascii="Times New Roman" w:hAnsi="Times New Roman"/>
          <w:szCs w:val="20"/>
        </w:rPr>
        <w:t xml:space="preserve"> Z powyższego oświadczenia wynika również</w:t>
      </w:r>
      <w:r w:rsidR="00087EAA">
        <w:rPr>
          <w:rFonts w:ascii="Times New Roman" w:hAnsi="Times New Roman"/>
          <w:szCs w:val="20"/>
        </w:rPr>
        <w:t xml:space="preserve"> jasno</w:t>
      </w:r>
      <w:r>
        <w:rPr>
          <w:rFonts w:ascii="Times New Roman" w:hAnsi="Times New Roman"/>
          <w:szCs w:val="20"/>
        </w:rPr>
        <w:t xml:space="preserve">, że od samego początku postępowania karnego, w ramach którego wobec skarżących zastosowano tymczasowe aresztowanie, organy ścigania próbowały powiązać </w:t>
      </w:r>
      <w:r w:rsidR="00087EAA">
        <w:rPr>
          <w:rFonts w:ascii="Times New Roman" w:hAnsi="Times New Roman"/>
          <w:szCs w:val="20"/>
        </w:rPr>
        <w:t xml:space="preserve">zarzucane </w:t>
      </w:r>
      <w:r>
        <w:rPr>
          <w:rFonts w:ascii="Times New Roman" w:hAnsi="Times New Roman"/>
          <w:szCs w:val="20"/>
        </w:rPr>
        <w:t xml:space="preserve">posiadanie przez skarżących substancji odurzających i koktajli Mołotowa z ich członkostwem w NIDA, </w:t>
      </w:r>
      <w:r w:rsidR="00087EAA">
        <w:rPr>
          <w:rFonts w:ascii="Times New Roman" w:hAnsi="Times New Roman"/>
          <w:szCs w:val="20"/>
        </w:rPr>
        <w:t xml:space="preserve">poprzez stwierdzenie, </w:t>
      </w:r>
      <w:r>
        <w:rPr>
          <w:rFonts w:ascii="Times New Roman" w:hAnsi="Times New Roman"/>
          <w:szCs w:val="20"/>
        </w:rPr>
        <w:t xml:space="preserve">bez </w:t>
      </w:r>
      <w:r w:rsidR="00087EAA">
        <w:rPr>
          <w:rFonts w:ascii="Times New Roman" w:hAnsi="Times New Roman"/>
          <w:szCs w:val="20"/>
        </w:rPr>
        <w:t xml:space="preserve">żadnych </w:t>
      </w:r>
      <w:r>
        <w:rPr>
          <w:rFonts w:ascii="Times New Roman" w:hAnsi="Times New Roman"/>
          <w:szCs w:val="20"/>
        </w:rPr>
        <w:t>zastrzeżeń, że „od połowy 2012 r. wszystkie trzy osoby, będąc uzależnione od substancji odurzających i stając się członkami NIDA za pośrednictwem Internetu, aktywnie uczestniczyły w szeregu nielegalnych działań tej organizacji</w:t>
      </w:r>
      <w:r>
        <w:rPr>
          <w:rFonts w:ascii="Times New Roman" w:hAnsi="Times New Roman"/>
          <w:color w:val="000000"/>
          <w:szCs w:val="20"/>
        </w:rPr>
        <w:t>” (</w:t>
      </w:r>
      <w:proofErr w:type="spellStart"/>
      <w:r>
        <w:rPr>
          <w:rFonts w:ascii="Times New Roman" w:hAnsi="Times New Roman"/>
          <w:color w:val="000000"/>
          <w:szCs w:val="20"/>
        </w:rPr>
        <w:t>ibid</w:t>
      </w:r>
      <w:proofErr w:type="spellEnd"/>
      <w:r>
        <w:rPr>
          <w:rFonts w:ascii="Times New Roman" w:hAnsi="Times New Roman"/>
          <w:color w:val="000000"/>
          <w:szCs w:val="20"/>
        </w:rPr>
        <w:t xml:space="preserve">, § 122, i zob. </w:t>
      </w:r>
      <w:r w:rsidR="00087EAA">
        <w:rPr>
          <w:rFonts w:ascii="Calibri" w:hAnsi="Calibri" w:cs="Calibri"/>
          <w:color w:val="000000"/>
          <w:szCs w:val="20"/>
        </w:rPr>
        <w:t>§</w:t>
      </w:r>
      <w:r w:rsidR="00087EAA">
        <w:rPr>
          <w:rFonts w:ascii="Times New Roman" w:hAnsi="Times New Roman"/>
          <w:color w:val="000000"/>
          <w:szCs w:val="20"/>
        </w:rPr>
        <w:t xml:space="preserve"> </w:t>
      </w:r>
      <w:r>
        <w:rPr>
          <w:rFonts w:ascii="Times New Roman" w:hAnsi="Times New Roman"/>
          <w:color w:val="000000"/>
          <w:szCs w:val="20"/>
        </w:rPr>
        <w:t>14 powyżej).</w:t>
      </w:r>
    </w:p>
    <w:p w14:paraId="54E3B06B" w14:textId="20159466" w:rsidR="00031026" w:rsidRPr="00031026" w:rsidRDefault="00031026" w:rsidP="00031026">
      <w:pPr>
        <w:pStyle w:val="JuPara"/>
        <w:rPr>
          <w:rFonts w:ascii="Times New Roman" w:eastAsia="SimHei" w:hAnsi="Times New Roman" w:cs="SimHei"/>
          <w:color w:val="000000"/>
          <w:szCs w:val="20"/>
        </w:rPr>
      </w:pPr>
      <w:r w:rsidRPr="00031026">
        <w:rPr>
          <w:rFonts w:ascii="Times New Roman" w:eastAsia="SimHei" w:hAnsi="Times New Roman" w:cs="SimHei"/>
          <w:color w:val="000000"/>
          <w:szCs w:val="20"/>
        </w:rPr>
        <w:fldChar w:fldCharType="begin"/>
      </w:r>
      <w:r w:rsidRPr="00031026">
        <w:rPr>
          <w:rFonts w:ascii="Times New Roman" w:eastAsia="SimHei" w:hAnsi="Times New Roman" w:cs="SimHei"/>
          <w:color w:val="000000"/>
          <w:szCs w:val="20"/>
        </w:rPr>
        <w:instrText xml:space="preserve"> SEQ level0 \*arabic </w:instrText>
      </w:r>
      <w:r w:rsidRPr="00031026">
        <w:rPr>
          <w:rFonts w:ascii="Times New Roman" w:eastAsia="SimHei" w:hAnsi="Times New Roman" w:cs="SimHei"/>
          <w:color w:val="000000"/>
          <w:szCs w:val="20"/>
        </w:rPr>
        <w:fldChar w:fldCharType="separate"/>
      </w:r>
      <w:r w:rsidR="00D86FCE">
        <w:rPr>
          <w:rFonts w:ascii="Times New Roman" w:eastAsia="SimHei" w:hAnsi="Times New Roman" w:cs="SimHei"/>
          <w:noProof/>
          <w:color w:val="000000"/>
          <w:szCs w:val="20"/>
        </w:rPr>
        <w:t>72</w:t>
      </w:r>
      <w:r w:rsidRPr="00031026">
        <w:rPr>
          <w:rFonts w:ascii="Times New Roman" w:eastAsia="SimHei" w:hAnsi="Times New Roman" w:cs="SimHei"/>
          <w:color w:val="000000"/>
          <w:szCs w:val="20"/>
        </w:rPr>
        <w:fldChar w:fldCharType="end"/>
      </w:r>
      <w:r>
        <w:t>.</w:t>
      </w:r>
      <w:r>
        <w:rPr>
          <w:rFonts w:ascii="Times New Roman" w:hAnsi="Times New Roman"/>
          <w:color w:val="000000"/>
          <w:szCs w:val="20"/>
        </w:rPr>
        <w:t xml:space="preserve">  Trybunał stwierdził ponadto w sprawie </w:t>
      </w:r>
      <w:proofErr w:type="spellStart"/>
      <w:r>
        <w:rPr>
          <w:rFonts w:ascii="Times New Roman" w:hAnsi="Times New Roman"/>
          <w:i/>
          <w:iCs/>
          <w:color w:val="000000"/>
          <w:szCs w:val="20"/>
        </w:rPr>
        <w:t>Rashad</w:t>
      </w:r>
      <w:proofErr w:type="spellEnd"/>
      <w:r>
        <w:rPr>
          <w:rFonts w:ascii="Times New Roman" w:hAnsi="Times New Roman"/>
          <w:i/>
          <w:iCs/>
          <w:color w:val="000000"/>
          <w:szCs w:val="20"/>
        </w:rPr>
        <w:t xml:space="preserve"> </w:t>
      </w:r>
      <w:proofErr w:type="spellStart"/>
      <w:r>
        <w:rPr>
          <w:rFonts w:ascii="Times New Roman" w:hAnsi="Times New Roman"/>
          <w:i/>
          <w:iCs/>
          <w:color w:val="000000"/>
          <w:szCs w:val="20"/>
        </w:rPr>
        <w:t>Hasanov</w:t>
      </w:r>
      <w:proofErr w:type="spellEnd"/>
      <w:r>
        <w:rPr>
          <w:rFonts w:ascii="Times New Roman" w:hAnsi="Times New Roman"/>
          <w:i/>
          <w:iCs/>
          <w:color w:val="000000"/>
          <w:szCs w:val="20"/>
        </w:rPr>
        <w:t xml:space="preserve"> i Inni</w:t>
      </w:r>
      <w:r>
        <w:rPr>
          <w:rFonts w:ascii="Times New Roman" w:hAnsi="Times New Roman"/>
          <w:color w:val="000000"/>
          <w:szCs w:val="20"/>
        </w:rPr>
        <w:t xml:space="preserve">, że organy ścigania zamierzały wykazać, że NIDA i jej członkowie byli „siłami destrukcyjnymi” i organizacją prowadzącą „szereg nielegalnych działań”, opierając się wyłącznie na fakcie, że </w:t>
      </w:r>
      <w:r w:rsidR="004A605A">
        <w:rPr>
          <w:rFonts w:ascii="Times New Roman" w:hAnsi="Times New Roman"/>
          <w:color w:val="000000"/>
          <w:szCs w:val="20"/>
        </w:rPr>
        <w:t xml:space="preserve">rzekomo w mieszkaniach członków NIDA znaleziono </w:t>
      </w:r>
      <w:r>
        <w:rPr>
          <w:rFonts w:ascii="Times New Roman" w:hAnsi="Times New Roman"/>
          <w:color w:val="000000"/>
          <w:szCs w:val="20"/>
        </w:rPr>
        <w:t>substancje odurzające i koktajle Mołotowa (tamże</w:t>
      </w:r>
      <w:r>
        <w:t>, § 123</w:t>
      </w:r>
      <w:r>
        <w:rPr>
          <w:rFonts w:ascii="Times New Roman" w:hAnsi="Times New Roman"/>
          <w:color w:val="000000"/>
          <w:szCs w:val="20"/>
        </w:rPr>
        <w:t>)</w:t>
      </w:r>
      <w:r>
        <w:t>.</w:t>
      </w:r>
    </w:p>
    <w:p w14:paraId="3DF3D0B0" w14:textId="61DEF4DD" w:rsidR="00031026" w:rsidRPr="00031026" w:rsidRDefault="00031026" w:rsidP="00031026">
      <w:pPr>
        <w:pStyle w:val="JuPara"/>
        <w:rPr>
          <w:rFonts w:ascii="Times New Roman" w:eastAsia="SimHei" w:hAnsi="Times New Roman" w:cs="SimHei"/>
          <w:szCs w:val="20"/>
        </w:rPr>
      </w:pPr>
      <w:r w:rsidRPr="00031026">
        <w:rPr>
          <w:rFonts w:ascii="Times New Roman" w:eastAsia="SimHei" w:hAnsi="Times New Roman" w:cs="SimHei"/>
          <w:color w:val="000000"/>
          <w:szCs w:val="20"/>
        </w:rPr>
        <w:fldChar w:fldCharType="begin"/>
      </w:r>
      <w:r w:rsidRPr="00031026">
        <w:rPr>
          <w:rFonts w:ascii="Times New Roman" w:eastAsia="SimHei" w:hAnsi="Times New Roman" w:cs="SimHei"/>
          <w:color w:val="000000"/>
          <w:szCs w:val="20"/>
        </w:rPr>
        <w:instrText xml:space="preserve"> SEQ level0 \*arabic </w:instrText>
      </w:r>
      <w:r w:rsidRPr="00031026">
        <w:rPr>
          <w:rFonts w:ascii="Times New Roman" w:eastAsia="SimHei" w:hAnsi="Times New Roman" w:cs="SimHei"/>
          <w:color w:val="000000"/>
          <w:szCs w:val="20"/>
        </w:rPr>
        <w:fldChar w:fldCharType="separate"/>
      </w:r>
      <w:r w:rsidR="00D86FCE">
        <w:rPr>
          <w:rFonts w:ascii="Times New Roman" w:eastAsia="SimHei" w:hAnsi="Times New Roman" w:cs="SimHei"/>
          <w:noProof/>
          <w:color w:val="000000"/>
          <w:szCs w:val="20"/>
        </w:rPr>
        <w:t>73</w:t>
      </w:r>
      <w:r w:rsidRPr="00031026">
        <w:rPr>
          <w:rFonts w:ascii="Times New Roman" w:eastAsia="SimHei" w:hAnsi="Times New Roman" w:cs="SimHei"/>
          <w:color w:val="000000"/>
          <w:szCs w:val="20"/>
        </w:rPr>
        <w:fldChar w:fldCharType="end"/>
      </w:r>
      <w:r>
        <w:rPr>
          <w:rFonts w:ascii="Times New Roman" w:hAnsi="Times New Roman"/>
          <w:color w:val="000000"/>
          <w:szCs w:val="20"/>
        </w:rPr>
        <w:t xml:space="preserve">.  Trybunał </w:t>
      </w:r>
      <w:r w:rsidR="004A605A">
        <w:rPr>
          <w:rFonts w:ascii="Times New Roman" w:hAnsi="Times New Roman"/>
          <w:color w:val="000000"/>
          <w:szCs w:val="20"/>
        </w:rPr>
        <w:t>za</w:t>
      </w:r>
      <w:r>
        <w:rPr>
          <w:rFonts w:ascii="Times New Roman" w:hAnsi="Times New Roman"/>
          <w:color w:val="000000"/>
          <w:szCs w:val="20"/>
        </w:rPr>
        <w:t xml:space="preserve">uważa również, że wszczęcie postępowania karnego przeciwko skarżącym przez prokuraturę i ich późniejsze tymczasowe aresztowanie zostały wykorzystane przez władze krajowe w celu uniemożliwienia organizacji dalszych </w:t>
      </w:r>
      <w:r>
        <w:rPr>
          <w:rFonts w:ascii="Times New Roman" w:hAnsi="Times New Roman"/>
          <w:szCs w:val="20"/>
        </w:rPr>
        <w:t xml:space="preserve">protestów przeciwko rządowi. W związku z tym Trybunał przywiązuje wagę do terminu wszczęcia postępowania karnego przeciwko skarżącym w przeddzień demonstracji zaplanowanej na 10 marca 2013 r., po szeregu demonstracji przeciwko </w:t>
      </w:r>
      <w:r>
        <w:rPr>
          <w:rFonts w:ascii="Times New Roman" w:hAnsi="Times New Roman"/>
          <w:szCs w:val="20"/>
        </w:rPr>
        <w:lastRenderedPageBreak/>
        <w:t xml:space="preserve">rządowi, w których skarżący i inni członkowie NIDA aktywnie uczestniczyli (por. </w:t>
      </w:r>
      <w:proofErr w:type="spellStart"/>
      <w:r>
        <w:rPr>
          <w:i/>
          <w:iCs/>
        </w:rPr>
        <w:t>Mammadli</w:t>
      </w:r>
      <w:proofErr w:type="spellEnd"/>
      <w:r>
        <w:rPr>
          <w:i/>
          <w:iCs/>
        </w:rPr>
        <w:t xml:space="preserve"> p</w:t>
      </w:r>
      <w:r w:rsidR="004A605A">
        <w:rPr>
          <w:i/>
          <w:iCs/>
        </w:rPr>
        <w:t>.</w:t>
      </w:r>
      <w:r>
        <w:rPr>
          <w:i/>
          <w:iCs/>
        </w:rPr>
        <w:t xml:space="preserve"> Azerbejdżanowi</w:t>
      </w:r>
      <w:r>
        <w:t xml:space="preserve">, nr 47145/14, § 102, 19 kwietnia 2018 r. oraz </w:t>
      </w:r>
      <w:proofErr w:type="spellStart"/>
      <w:r>
        <w:rPr>
          <w:i/>
        </w:rPr>
        <w:t>Ibrahimov</w:t>
      </w:r>
      <w:proofErr w:type="spellEnd"/>
      <w:r>
        <w:rPr>
          <w:i/>
        </w:rPr>
        <w:t xml:space="preserve"> i </w:t>
      </w:r>
      <w:proofErr w:type="spellStart"/>
      <w:r>
        <w:rPr>
          <w:i/>
        </w:rPr>
        <w:t>Mammadov</w:t>
      </w:r>
      <w:proofErr w:type="spellEnd"/>
      <w:r>
        <w:rPr>
          <w:i/>
        </w:rPr>
        <w:t xml:space="preserve"> p</w:t>
      </w:r>
      <w:r w:rsidR="004A605A">
        <w:rPr>
          <w:i/>
        </w:rPr>
        <w:t>.</w:t>
      </w:r>
      <w:r>
        <w:rPr>
          <w:i/>
        </w:rPr>
        <w:t xml:space="preserve"> Azerbejdżan</w:t>
      </w:r>
      <w:r>
        <w:t>owi, nr 63571/16 i 5 inne, § 153, 13 lutego 2020 r.</w:t>
      </w:r>
      <w:r>
        <w:rPr>
          <w:szCs w:val="20"/>
        </w:rPr>
        <w:t>)</w:t>
      </w:r>
      <w:r>
        <w:t>.</w:t>
      </w:r>
      <w:r>
        <w:rPr>
          <w:rFonts w:ascii="Times New Roman" w:hAnsi="Times New Roman"/>
          <w:szCs w:val="20"/>
        </w:rPr>
        <w:t xml:space="preserve"> </w:t>
      </w:r>
      <w:r w:rsidR="00644EC6">
        <w:rPr>
          <w:rFonts w:ascii="Times New Roman" w:hAnsi="Times New Roman"/>
          <w:szCs w:val="20"/>
        </w:rPr>
        <w:t xml:space="preserve">Trybunał </w:t>
      </w:r>
      <w:r>
        <w:rPr>
          <w:rFonts w:ascii="Times New Roman" w:hAnsi="Times New Roman"/>
          <w:szCs w:val="20"/>
        </w:rPr>
        <w:t xml:space="preserve">nie traci również z pola widzenia faktu, że organy ścigania w </w:t>
      </w:r>
      <w:r w:rsidR="00644EC6">
        <w:rPr>
          <w:rFonts w:ascii="Times New Roman" w:hAnsi="Times New Roman"/>
          <w:szCs w:val="20"/>
        </w:rPr>
        <w:t xml:space="preserve">swoim </w:t>
      </w:r>
      <w:r>
        <w:rPr>
          <w:rFonts w:ascii="Times New Roman" w:hAnsi="Times New Roman"/>
          <w:szCs w:val="20"/>
        </w:rPr>
        <w:t xml:space="preserve">oświadczeniu z 8 marca 2013 r. starały się przedstawić </w:t>
      </w:r>
      <w:r>
        <w:rPr>
          <w:rFonts w:ascii="Times New Roman" w:hAnsi="Times New Roman"/>
          <w:color w:val="000000"/>
          <w:szCs w:val="20"/>
        </w:rPr>
        <w:t>dwadzieścia osiem ulotek o treści „</w:t>
      </w:r>
      <w:r w:rsidR="00644EC6">
        <w:rPr>
          <w:rFonts w:ascii="Times New Roman" w:hAnsi="Times New Roman"/>
          <w:color w:val="000000"/>
          <w:szCs w:val="20"/>
        </w:rPr>
        <w:t xml:space="preserve">demokracja </w:t>
      </w:r>
      <w:r>
        <w:rPr>
          <w:rFonts w:ascii="Times New Roman" w:hAnsi="Times New Roman"/>
          <w:color w:val="000000"/>
          <w:szCs w:val="20"/>
        </w:rPr>
        <w:t xml:space="preserve">pilnie potrzebna, tel.: + 994, adres: </w:t>
      </w:r>
      <w:r>
        <w:rPr>
          <w:rFonts w:ascii="Times New Roman" w:hAnsi="Times New Roman"/>
          <w:color w:val="000000"/>
        </w:rPr>
        <w:t>Azerbejdżan” („</w:t>
      </w:r>
      <w:proofErr w:type="spellStart"/>
      <w:r>
        <w:rPr>
          <w:rFonts w:ascii="Times New Roman" w:hAnsi="Times New Roman"/>
          <w:i/>
          <w:szCs w:val="20"/>
        </w:rPr>
        <w:t>təcili</w:t>
      </w:r>
      <w:proofErr w:type="spellEnd"/>
      <w:r>
        <w:rPr>
          <w:rFonts w:ascii="Times New Roman" w:hAnsi="Times New Roman"/>
          <w:i/>
          <w:szCs w:val="20"/>
        </w:rPr>
        <w:t xml:space="preserve"> </w:t>
      </w:r>
      <w:proofErr w:type="spellStart"/>
      <w:r>
        <w:rPr>
          <w:rFonts w:ascii="Times New Roman" w:hAnsi="Times New Roman"/>
          <w:i/>
          <w:szCs w:val="20"/>
        </w:rPr>
        <w:t>demokratiya</w:t>
      </w:r>
      <w:proofErr w:type="spellEnd"/>
      <w:r>
        <w:rPr>
          <w:rFonts w:ascii="Times New Roman" w:hAnsi="Times New Roman"/>
          <w:i/>
          <w:szCs w:val="20"/>
        </w:rPr>
        <w:t xml:space="preserve"> </w:t>
      </w:r>
      <w:proofErr w:type="spellStart"/>
      <w:r>
        <w:rPr>
          <w:rFonts w:ascii="Times New Roman" w:hAnsi="Times New Roman"/>
          <w:i/>
          <w:szCs w:val="20"/>
        </w:rPr>
        <w:t>tələb</w:t>
      </w:r>
      <w:proofErr w:type="spellEnd"/>
      <w:r>
        <w:rPr>
          <w:rFonts w:ascii="Times New Roman" w:hAnsi="Times New Roman"/>
          <w:i/>
          <w:szCs w:val="20"/>
        </w:rPr>
        <w:t xml:space="preserve"> </w:t>
      </w:r>
      <w:proofErr w:type="spellStart"/>
      <w:r>
        <w:rPr>
          <w:rFonts w:ascii="Times New Roman" w:hAnsi="Times New Roman"/>
          <w:i/>
          <w:szCs w:val="20"/>
        </w:rPr>
        <w:t>olunur</w:t>
      </w:r>
      <w:proofErr w:type="spellEnd"/>
      <w:r>
        <w:rPr>
          <w:rFonts w:ascii="Times New Roman" w:hAnsi="Times New Roman"/>
          <w:i/>
          <w:szCs w:val="20"/>
        </w:rPr>
        <w:t xml:space="preserve">, </w:t>
      </w:r>
      <w:proofErr w:type="spellStart"/>
      <w:r>
        <w:rPr>
          <w:rFonts w:ascii="Times New Roman" w:hAnsi="Times New Roman"/>
          <w:i/>
          <w:szCs w:val="20"/>
        </w:rPr>
        <w:t>tel</w:t>
      </w:r>
      <w:proofErr w:type="spellEnd"/>
      <w:r>
        <w:rPr>
          <w:rFonts w:ascii="Times New Roman" w:hAnsi="Times New Roman"/>
          <w:i/>
          <w:szCs w:val="20"/>
        </w:rPr>
        <w:t>:</w:t>
      </w:r>
      <w:r>
        <w:rPr>
          <w:rFonts w:ascii="Times New Roman" w:hAnsi="Times New Roman"/>
          <w:i/>
        </w:rPr>
        <w:t xml:space="preserve"> + 994, </w:t>
      </w:r>
      <w:proofErr w:type="spellStart"/>
      <w:r>
        <w:rPr>
          <w:rFonts w:ascii="Times New Roman" w:hAnsi="Times New Roman"/>
          <w:i/>
        </w:rPr>
        <w:t>ünvan</w:t>
      </w:r>
      <w:proofErr w:type="spellEnd"/>
      <w:r>
        <w:rPr>
          <w:rFonts w:ascii="Times New Roman" w:hAnsi="Times New Roman"/>
          <w:i/>
        </w:rPr>
        <w:t xml:space="preserve">: </w:t>
      </w:r>
      <w:proofErr w:type="spellStart"/>
      <w:r>
        <w:rPr>
          <w:rFonts w:ascii="Times New Roman" w:hAnsi="Times New Roman"/>
          <w:i/>
        </w:rPr>
        <w:t>Azərbaycan</w:t>
      </w:r>
      <w:proofErr w:type="spellEnd"/>
      <w:r>
        <w:rPr>
          <w:rFonts w:ascii="Times New Roman" w:hAnsi="Times New Roman"/>
        </w:rPr>
        <w:t>”</w:t>
      </w:r>
      <w:r>
        <w:rPr>
          <w:rFonts w:ascii="Times New Roman" w:hAnsi="Times New Roman"/>
          <w:szCs w:val="20"/>
        </w:rPr>
        <w:t>)</w:t>
      </w:r>
      <w:r>
        <w:rPr>
          <w:rFonts w:ascii="Times New Roman" w:hAnsi="Times New Roman"/>
          <w:color w:val="000000"/>
          <w:szCs w:val="20"/>
        </w:rPr>
        <w:t xml:space="preserve">, </w:t>
      </w:r>
      <w:r w:rsidR="00644EC6">
        <w:rPr>
          <w:rFonts w:ascii="Times New Roman" w:hAnsi="Times New Roman"/>
          <w:color w:val="000000"/>
          <w:szCs w:val="20"/>
        </w:rPr>
        <w:t xml:space="preserve">ujawnione </w:t>
      </w:r>
      <w:r>
        <w:rPr>
          <w:rFonts w:ascii="Times New Roman" w:hAnsi="Times New Roman"/>
          <w:color w:val="000000"/>
          <w:szCs w:val="20"/>
        </w:rPr>
        <w:t xml:space="preserve">w mieszkaniu pierwszego skarżącego, jako nielegalny materiał świadczący o tym, że skarżący mieli zamiar podżegania do </w:t>
      </w:r>
      <w:r>
        <w:rPr>
          <w:rFonts w:ascii="Times New Roman" w:hAnsi="Times New Roman"/>
          <w:szCs w:val="20"/>
        </w:rPr>
        <w:t>przemocy i niepokojów społecznych podczas bezprawnej demonstracji zaplanowanej na 10 marca 2013 r. (zob. paragraf 14 powyżej)</w:t>
      </w:r>
      <w:r>
        <w:rPr>
          <w:rFonts w:ascii="Times New Roman" w:hAnsi="Times New Roman"/>
          <w:color w:val="000000"/>
          <w:szCs w:val="20"/>
        </w:rPr>
        <w:t xml:space="preserve">. </w:t>
      </w:r>
    </w:p>
    <w:p w14:paraId="4D99C548" w14:textId="5C304203" w:rsidR="00031026" w:rsidRPr="00031026" w:rsidRDefault="00000000" w:rsidP="00031026">
      <w:pPr>
        <w:pStyle w:val="JuPara"/>
      </w:pPr>
      <w:fldSimple w:instr=" SEQ level0 \*arabic ">
        <w:r w:rsidR="00D86FCE">
          <w:rPr>
            <w:noProof/>
          </w:rPr>
          <w:t>74</w:t>
        </w:r>
      </w:fldSimple>
      <w:r w:rsidR="00031026">
        <w:t xml:space="preserve">.  Trybunał uważa, że </w:t>
      </w:r>
      <w:r w:rsidR="00644EC6">
        <w:t>wyżej wymienione elementy</w:t>
      </w:r>
      <w:r w:rsidR="00031026">
        <w:t xml:space="preserve"> są wystarczające, aby umożliwić mu stwierdzenie, że tymczasow</w:t>
      </w:r>
      <w:r w:rsidR="00646C1F">
        <w:t>e</w:t>
      </w:r>
      <w:r w:rsidR="00031026">
        <w:t xml:space="preserve"> aresztowaniu skarżących</w:t>
      </w:r>
      <w:r w:rsidR="00646C1F">
        <w:t xml:space="preserve"> miało ukryty cel, a</w:t>
      </w:r>
      <w:r w:rsidR="00031026">
        <w:t xml:space="preserve"> mianowicie</w:t>
      </w:r>
      <w:r w:rsidR="00646C1F">
        <w:t xml:space="preserve"> miało na celu</w:t>
      </w:r>
      <w:r w:rsidR="00031026">
        <w:t xml:space="preserve"> </w:t>
      </w:r>
      <w:r w:rsidR="00646C1F">
        <w:t xml:space="preserve">ukaranie i uciszenie członków NIDA </w:t>
      </w:r>
      <w:r w:rsidR="00031026">
        <w:t xml:space="preserve">za ich aktywny udział w demonstracjach przeciwko rządowi </w:t>
      </w:r>
      <w:r w:rsidR="0013100E">
        <w:t>w związku ze śmiercią</w:t>
      </w:r>
      <w:r w:rsidR="00031026">
        <w:t xml:space="preserve"> żołnierzy służących w armii.</w:t>
      </w:r>
    </w:p>
    <w:p w14:paraId="1F3230BA" w14:textId="3DA3936D" w:rsidR="00031026" w:rsidRPr="00031026" w:rsidRDefault="00000000" w:rsidP="00031026">
      <w:pPr>
        <w:pStyle w:val="JuPara"/>
      </w:pPr>
      <w:fldSimple w:instr=" SEQ level0 \*arabic ">
        <w:r w:rsidR="00D86FCE">
          <w:rPr>
            <w:noProof/>
          </w:rPr>
          <w:t>75</w:t>
        </w:r>
      </w:fldSimple>
      <w:r w:rsidR="00031026">
        <w:t xml:space="preserve">.  Trybunał musi teraz ustalić, czy przedmiotowy ukryty cel był dominującym celem ograniczenia prawa do wolności skarżących. </w:t>
      </w:r>
      <w:r w:rsidR="0013100E">
        <w:t>Trybunał przypomina</w:t>
      </w:r>
      <w:r w:rsidR="00031026">
        <w:t xml:space="preserve">, że kwestia, który cel jest w danej sprawie dominujący, zależy od wszystkich istotnych okoliczności. Oceniając tę kwestię, Trybunał </w:t>
      </w:r>
      <w:r w:rsidR="0013100E">
        <w:t>weźmie pod uwagę</w:t>
      </w:r>
      <w:r w:rsidR="00031026">
        <w:t xml:space="preserve"> charakter i stopień naganności </w:t>
      </w:r>
      <w:r w:rsidR="0013100E">
        <w:t xml:space="preserve">domniemanego </w:t>
      </w:r>
      <w:r w:rsidR="00031026">
        <w:t xml:space="preserve">ukrytego celu oraz będzie miał na uwadze fakt, że Konwencja </w:t>
      </w:r>
      <w:r w:rsidR="00DF5FDF">
        <w:t>ma na</w:t>
      </w:r>
      <w:r w:rsidR="00031026">
        <w:t xml:space="preserve"> celu utrzymani</w:t>
      </w:r>
      <w:r w:rsidR="00DF5FDF">
        <w:t>e</w:t>
      </w:r>
      <w:r w:rsidR="00031026">
        <w:t xml:space="preserve"> i promowani</w:t>
      </w:r>
      <w:r w:rsidR="00DF5FDF">
        <w:t>e</w:t>
      </w:r>
      <w:r w:rsidR="00031026">
        <w:t xml:space="preserve"> ide</w:t>
      </w:r>
      <w:r w:rsidR="00DF5FDF">
        <w:t>i</w:t>
      </w:r>
      <w:r w:rsidR="00031026">
        <w:t xml:space="preserve"> i wartości </w:t>
      </w:r>
      <w:r w:rsidR="00DF5FDF">
        <w:t xml:space="preserve">praworządnego </w:t>
      </w:r>
      <w:r w:rsidR="00031026">
        <w:t xml:space="preserve">społeczeństwa </w:t>
      </w:r>
      <w:r w:rsidR="00DF5FDF">
        <w:t xml:space="preserve">demokratycznego </w:t>
      </w:r>
      <w:r w:rsidR="00031026">
        <w:t xml:space="preserve">(zob. </w:t>
      </w:r>
      <w:proofErr w:type="spellStart"/>
      <w:r w:rsidR="00031026">
        <w:rPr>
          <w:i/>
          <w:iCs/>
        </w:rPr>
        <w:t>Merabishvili</w:t>
      </w:r>
      <w:proofErr w:type="spellEnd"/>
      <w:r w:rsidR="00031026">
        <w:t>, cyt. pow</w:t>
      </w:r>
      <w:r w:rsidR="00DF5FDF">
        <w:t>.</w:t>
      </w:r>
      <w:r w:rsidR="00031026">
        <w:t>, § 307).</w:t>
      </w:r>
    </w:p>
    <w:p w14:paraId="638413AE" w14:textId="24ECBA91" w:rsidR="00031026" w:rsidRPr="00031026" w:rsidRDefault="00000000" w:rsidP="00031026">
      <w:pPr>
        <w:pStyle w:val="JuPara"/>
      </w:pPr>
      <w:fldSimple w:instr=" SEQ level0 \*arabic ">
        <w:r w:rsidR="00D86FCE">
          <w:rPr>
            <w:noProof/>
          </w:rPr>
          <w:t>76</w:t>
        </w:r>
      </w:fldSimple>
      <w:r w:rsidR="00031026">
        <w:t xml:space="preserve">.  W tym względzie sprawę skarżących należy rozpatrywać na tle arbitralnych zatrzymań i tymczasowych aresztowań krytyków rządu, działaczy społeczeństwa obywatelskiego i obrońców praw człowieka w kraju. Trybunał </w:t>
      </w:r>
      <w:proofErr w:type="spellStart"/>
      <w:r w:rsidR="00DF5FDF">
        <w:t>podkresla</w:t>
      </w:r>
      <w:proofErr w:type="spellEnd"/>
      <w:r w:rsidR="00031026">
        <w:t xml:space="preserve">, że w sprawie </w:t>
      </w:r>
      <w:proofErr w:type="spellStart"/>
      <w:r w:rsidR="00031026">
        <w:rPr>
          <w:i/>
          <w:iCs/>
        </w:rPr>
        <w:t>Aliyev</w:t>
      </w:r>
      <w:proofErr w:type="spellEnd"/>
      <w:r w:rsidR="00031026">
        <w:t xml:space="preserve"> (cyt. pow</w:t>
      </w:r>
      <w:r w:rsidR="00DF5FDF">
        <w:t>.</w:t>
      </w:r>
      <w:r w:rsidR="00031026">
        <w:t xml:space="preserve">, § 223) stwierdził, że jego wyroki w szeregu podobnych spraw odzwierciedlały </w:t>
      </w:r>
      <w:r w:rsidR="00F95F74">
        <w:t xml:space="preserve">schemat </w:t>
      </w:r>
      <w:r w:rsidR="00031026">
        <w:t>arbitraln</w:t>
      </w:r>
      <w:r w:rsidR="00F95F74">
        <w:t>ych</w:t>
      </w:r>
      <w:r w:rsidR="00031026">
        <w:t xml:space="preserve"> zatrzyma</w:t>
      </w:r>
      <w:r w:rsidR="00F95F74">
        <w:t>ń</w:t>
      </w:r>
      <w:r w:rsidR="00031026">
        <w:t xml:space="preserve"> i tymczasow</w:t>
      </w:r>
      <w:r w:rsidR="00F95F74">
        <w:t>ych</w:t>
      </w:r>
      <w:r w:rsidR="00031026">
        <w:t xml:space="preserve"> aresztowa</w:t>
      </w:r>
      <w:r w:rsidR="00F95F74">
        <w:t>ń</w:t>
      </w:r>
      <w:r w:rsidR="00031026">
        <w:t xml:space="preserve"> krytyków rządu, działaczy społeczeństwa obywatelskiego i obrońców praw człowieka poprzez odwetowe działania karne i nadużywanie prawa karnego z naruszeniem art. 18. Trybunał potwierdził to ustalenie w swoich ostatnich wyrokach dotyczących zatrzymania i tymczasowego aresztowania działaczy społeczeństwa obywatelskiego, w tym członków NIDA (zob. </w:t>
      </w:r>
      <w:proofErr w:type="spellStart"/>
      <w:r w:rsidR="00031026">
        <w:rPr>
          <w:i/>
        </w:rPr>
        <w:t>Natig</w:t>
      </w:r>
      <w:proofErr w:type="spellEnd"/>
      <w:r w:rsidR="00031026">
        <w:rPr>
          <w:i/>
        </w:rPr>
        <w:t xml:space="preserve"> </w:t>
      </w:r>
      <w:proofErr w:type="spellStart"/>
      <w:r w:rsidR="00031026">
        <w:rPr>
          <w:i/>
        </w:rPr>
        <w:t>Jafarov</w:t>
      </w:r>
      <w:proofErr w:type="spellEnd"/>
      <w:r w:rsidR="00031026">
        <w:rPr>
          <w:i/>
        </w:rPr>
        <w:t xml:space="preserve"> p</w:t>
      </w:r>
      <w:r w:rsidR="00F95F74">
        <w:rPr>
          <w:i/>
        </w:rPr>
        <w:t>.</w:t>
      </w:r>
      <w:r w:rsidR="00031026">
        <w:rPr>
          <w:i/>
        </w:rPr>
        <w:t xml:space="preserve"> Azerbejdżanowi</w:t>
      </w:r>
      <w:r w:rsidR="00031026">
        <w:t>, nr 64581/16, §§ 64-70, 7 listopada 2019 r.</w:t>
      </w:r>
      <w:r w:rsidR="00F95F74">
        <w:t>,</w:t>
      </w:r>
      <w:r w:rsidR="00031026">
        <w:t xml:space="preserve"> </w:t>
      </w:r>
      <w:proofErr w:type="spellStart"/>
      <w:r w:rsidR="00031026">
        <w:rPr>
          <w:i/>
        </w:rPr>
        <w:t>Ibrahimov</w:t>
      </w:r>
      <w:proofErr w:type="spellEnd"/>
      <w:r w:rsidR="00031026">
        <w:rPr>
          <w:i/>
        </w:rPr>
        <w:t xml:space="preserve"> i </w:t>
      </w:r>
      <w:proofErr w:type="spellStart"/>
      <w:r w:rsidR="00031026">
        <w:rPr>
          <w:i/>
        </w:rPr>
        <w:t>Mammadov</w:t>
      </w:r>
      <w:proofErr w:type="spellEnd"/>
      <w:r w:rsidR="00031026">
        <w:t>, cyt</w:t>
      </w:r>
      <w:r w:rsidR="00F95F74">
        <w:t>.</w:t>
      </w:r>
      <w:r w:rsidR="00031026">
        <w:t xml:space="preserve"> pow</w:t>
      </w:r>
      <w:r w:rsidR="00F95F74">
        <w:t>.</w:t>
      </w:r>
      <w:r w:rsidR="00031026">
        <w:t xml:space="preserve">, §§ 151-58 oraz </w:t>
      </w:r>
      <w:proofErr w:type="spellStart"/>
      <w:r w:rsidR="00031026">
        <w:rPr>
          <w:i/>
        </w:rPr>
        <w:t>Khadija</w:t>
      </w:r>
      <w:proofErr w:type="spellEnd"/>
      <w:r w:rsidR="00031026">
        <w:rPr>
          <w:i/>
        </w:rPr>
        <w:t xml:space="preserve"> </w:t>
      </w:r>
      <w:proofErr w:type="spellStart"/>
      <w:r w:rsidR="00031026">
        <w:rPr>
          <w:i/>
        </w:rPr>
        <w:t>Ismayilova</w:t>
      </w:r>
      <w:proofErr w:type="spellEnd"/>
      <w:r w:rsidR="00031026">
        <w:rPr>
          <w:i/>
        </w:rPr>
        <w:t xml:space="preserve"> p</w:t>
      </w:r>
      <w:r w:rsidR="00F95F74">
        <w:rPr>
          <w:i/>
        </w:rPr>
        <w:t>.</w:t>
      </w:r>
      <w:r w:rsidR="00031026">
        <w:rPr>
          <w:i/>
        </w:rPr>
        <w:t xml:space="preserve"> Azerbejdżanowi (nr 2)</w:t>
      </w:r>
      <w:r w:rsidR="00031026">
        <w:t xml:space="preserve">, nr 30778/15, §§ 113-20, 27 lutego 2020 r.) i uważa, że sytuacja skarżących w niniejszej sprawie odzwierciedla ten </w:t>
      </w:r>
      <w:r w:rsidR="00F95F74">
        <w:t>schemat</w:t>
      </w:r>
      <w:r w:rsidR="00031026">
        <w:t>.</w:t>
      </w:r>
    </w:p>
    <w:p w14:paraId="5CF3D852" w14:textId="4A4CDB96" w:rsidR="00031026" w:rsidRPr="00031026" w:rsidRDefault="00000000" w:rsidP="00031026">
      <w:pPr>
        <w:pStyle w:val="JuPara"/>
        <w:rPr>
          <w:rFonts w:ascii="Times New Roman" w:eastAsia="SimHei" w:hAnsi="Times New Roman" w:cs="SimHei"/>
          <w:color w:val="000000"/>
          <w:szCs w:val="20"/>
        </w:rPr>
      </w:pPr>
      <w:fldSimple w:instr=" SEQ level0 \*arabic ">
        <w:r w:rsidR="00D86FCE">
          <w:rPr>
            <w:noProof/>
          </w:rPr>
          <w:t>77</w:t>
        </w:r>
      </w:fldSimple>
      <w:r w:rsidR="00031026">
        <w:t>.  Trybunał zauważ</w:t>
      </w:r>
      <w:r w:rsidR="00F95F74">
        <w:t>a</w:t>
      </w:r>
      <w:r w:rsidR="00031026">
        <w:t xml:space="preserve"> ponadto, że władze najwyraźniej przywiązywały najwyższą wagę do swoich działań skierowanych przeciwko NIDA jako organizacji i jej </w:t>
      </w:r>
      <w:r w:rsidR="00F95F74">
        <w:t>zarządowi</w:t>
      </w:r>
      <w:r w:rsidR="00031026">
        <w:t xml:space="preserve">. Wydaje się zatem, że </w:t>
      </w:r>
      <w:r w:rsidR="00031026">
        <w:rPr>
          <w:rFonts w:ascii="Times New Roman" w:hAnsi="Times New Roman"/>
          <w:color w:val="000000"/>
          <w:szCs w:val="20"/>
        </w:rPr>
        <w:t xml:space="preserve">wszczęcie postępowania karnego przeciwko skarżącym i ich późniejsze tymczasowe aresztowanie zostały wykorzystane przez władze krajowe w celu uniemożliwienia organizacji dalszych </w:t>
      </w:r>
      <w:r w:rsidR="00031026">
        <w:rPr>
          <w:rFonts w:ascii="Times New Roman" w:hAnsi="Times New Roman"/>
          <w:szCs w:val="20"/>
        </w:rPr>
        <w:t xml:space="preserve">protestów przeciwko rządowi w związku ze śmiercią </w:t>
      </w:r>
      <w:r w:rsidR="00031026">
        <w:rPr>
          <w:rFonts w:ascii="Times New Roman" w:hAnsi="Times New Roman"/>
          <w:szCs w:val="20"/>
        </w:rPr>
        <w:lastRenderedPageBreak/>
        <w:t xml:space="preserve">żołnierzy służących w armii (zob. </w:t>
      </w:r>
      <w:r w:rsidR="00031026">
        <w:rPr>
          <w:rFonts w:ascii="Times New Roman" w:hAnsi="Times New Roman"/>
          <w:color w:val="000000"/>
          <w:szCs w:val="20"/>
        </w:rPr>
        <w:t>paragraf</w:t>
      </w:r>
      <w:r w:rsidR="00031026">
        <w:rPr>
          <w:rFonts w:ascii="Times New Roman" w:hAnsi="Times New Roman"/>
          <w:szCs w:val="20"/>
        </w:rPr>
        <w:t xml:space="preserve"> 73 powyżej), a także</w:t>
      </w:r>
      <w:r w:rsidR="00031026">
        <w:t xml:space="preserve"> w </w:t>
      </w:r>
      <w:r w:rsidR="00031026">
        <w:rPr>
          <w:rFonts w:ascii="Times New Roman" w:hAnsi="Times New Roman"/>
          <w:color w:val="000000"/>
          <w:szCs w:val="20"/>
        </w:rPr>
        <w:t xml:space="preserve">celu </w:t>
      </w:r>
      <w:r w:rsidR="00284439">
        <w:rPr>
          <w:rFonts w:ascii="Times New Roman" w:hAnsi="Times New Roman"/>
          <w:color w:val="000000"/>
          <w:szCs w:val="20"/>
        </w:rPr>
        <w:t xml:space="preserve">sparaliżowania </w:t>
      </w:r>
      <w:r w:rsidR="00031026">
        <w:rPr>
          <w:rFonts w:ascii="Times New Roman" w:hAnsi="Times New Roman"/>
          <w:color w:val="000000"/>
          <w:szCs w:val="20"/>
        </w:rPr>
        <w:t xml:space="preserve">działalności NIDA poprzez późniejsze zatrzymanie </w:t>
      </w:r>
      <w:r w:rsidR="00284439">
        <w:rPr>
          <w:rFonts w:ascii="Times New Roman" w:hAnsi="Times New Roman"/>
          <w:color w:val="000000"/>
          <w:szCs w:val="20"/>
        </w:rPr>
        <w:t xml:space="preserve">i aresztowanie </w:t>
      </w:r>
      <w:r w:rsidR="00031026">
        <w:rPr>
          <w:rFonts w:ascii="Times New Roman" w:hAnsi="Times New Roman"/>
          <w:color w:val="000000"/>
          <w:szCs w:val="20"/>
        </w:rPr>
        <w:t>czterech członków jej zarządu w marcu i kwietniu 2013</w:t>
      </w:r>
      <w:r w:rsidR="00031026">
        <w:t xml:space="preserve"> r. </w:t>
      </w:r>
      <w:r w:rsidR="00031026">
        <w:rPr>
          <w:rFonts w:ascii="Times New Roman" w:hAnsi="Times New Roman"/>
          <w:szCs w:val="20"/>
        </w:rPr>
        <w:t>i zastosowanie wobec nich tymczasowego aresztowania.</w:t>
      </w:r>
      <w:r w:rsidR="00031026">
        <w:rPr>
          <w:rFonts w:ascii="Times New Roman" w:hAnsi="Times New Roman"/>
          <w:color w:val="000000"/>
          <w:szCs w:val="20"/>
        </w:rPr>
        <w:t xml:space="preserve"> Trybunał uznał już, że ich zatrzymanie i tymczasowe aresztowanie stanowiło naruszenie art. 5 ust. 1, a także art. 18 w zw</w:t>
      </w:r>
      <w:r w:rsidR="006E0744">
        <w:rPr>
          <w:rFonts w:ascii="Times New Roman" w:hAnsi="Times New Roman"/>
          <w:color w:val="000000"/>
          <w:szCs w:val="20"/>
        </w:rPr>
        <w:t>.</w:t>
      </w:r>
      <w:r w:rsidR="00031026">
        <w:rPr>
          <w:rFonts w:ascii="Times New Roman" w:hAnsi="Times New Roman"/>
          <w:color w:val="000000"/>
          <w:szCs w:val="20"/>
        </w:rPr>
        <w:t xml:space="preserve"> z art. 5 Konwencji (zob.</w:t>
      </w:r>
      <w:r w:rsidR="00031026">
        <w:rPr>
          <w:i/>
          <w:iCs/>
        </w:rPr>
        <w:t xml:space="preserve"> </w:t>
      </w:r>
      <w:proofErr w:type="spellStart"/>
      <w:r w:rsidR="00031026">
        <w:rPr>
          <w:i/>
          <w:iCs/>
        </w:rPr>
        <w:t>Rashad</w:t>
      </w:r>
      <w:proofErr w:type="spellEnd"/>
      <w:r w:rsidR="00031026">
        <w:rPr>
          <w:i/>
          <w:iCs/>
        </w:rPr>
        <w:t xml:space="preserve"> </w:t>
      </w:r>
      <w:proofErr w:type="spellStart"/>
      <w:r w:rsidR="00031026">
        <w:rPr>
          <w:i/>
          <w:iCs/>
        </w:rPr>
        <w:t>Hasanov</w:t>
      </w:r>
      <w:proofErr w:type="spellEnd"/>
      <w:r w:rsidR="00031026">
        <w:rPr>
          <w:i/>
          <w:iCs/>
        </w:rPr>
        <w:t xml:space="preserve"> i Inni</w:t>
      </w:r>
      <w:r w:rsidR="00031026">
        <w:t>, cyt. powyżej, §§ 108 i 127</w:t>
      </w:r>
      <w:r w:rsidR="00031026">
        <w:rPr>
          <w:rFonts w:ascii="Times New Roman" w:hAnsi="Times New Roman"/>
          <w:color w:val="000000"/>
          <w:szCs w:val="20"/>
        </w:rPr>
        <w:t xml:space="preserve">). Wszystkie powyższe </w:t>
      </w:r>
      <w:r w:rsidR="006E0744">
        <w:rPr>
          <w:rFonts w:ascii="Times New Roman" w:hAnsi="Times New Roman"/>
          <w:color w:val="000000"/>
          <w:szCs w:val="20"/>
        </w:rPr>
        <w:t xml:space="preserve">ustalenia </w:t>
      </w:r>
      <w:r w:rsidR="00031026">
        <w:rPr>
          <w:rFonts w:ascii="Times New Roman" w:hAnsi="Times New Roman"/>
          <w:color w:val="000000"/>
          <w:szCs w:val="20"/>
        </w:rPr>
        <w:t>wskazują na domin</w:t>
      </w:r>
      <w:r w:rsidR="006E0744">
        <w:rPr>
          <w:rFonts w:ascii="Times New Roman" w:hAnsi="Times New Roman"/>
          <w:color w:val="000000"/>
          <w:szCs w:val="20"/>
        </w:rPr>
        <w:t>ację</w:t>
      </w:r>
      <w:r w:rsidR="00031026">
        <w:rPr>
          <w:rFonts w:ascii="Times New Roman" w:hAnsi="Times New Roman"/>
          <w:color w:val="000000"/>
          <w:szCs w:val="20"/>
        </w:rPr>
        <w:t xml:space="preserve"> ukryt</w:t>
      </w:r>
      <w:r w:rsidR="006E0744">
        <w:rPr>
          <w:rFonts w:ascii="Times New Roman" w:hAnsi="Times New Roman"/>
          <w:color w:val="000000"/>
          <w:szCs w:val="20"/>
        </w:rPr>
        <w:t>ego</w:t>
      </w:r>
      <w:r w:rsidR="00031026">
        <w:rPr>
          <w:rFonts w:ascii="Times New Roman" w:hAnsi="Times New Roman"/>
          <w:color w:val="000000"/>
          <w:szCs w:val="20"/>
        </w:rPr>
        <w:t xml:space="preserve"> cel</w:t>
      </w:r>
      <w:r w:rsidR="006E0744">
        <w:rPr>
          <w:rFonts w:ascii="Times New Roman" w:hAnsi="Times New Roman"/>
          <w:color w:val="000000"/>
          <w:szCs w:val="20"/>
        </w:rPr>
        <w:t>u realizowanego przez</w:t>
      </w:r>
      <w:r w:rsidR="00031026">
        <w:rPr>
          <w:rFonts w:ascii="Times New Roman" w:hAnsi="Times New Roman"/>
          <w:color w:val="000000"/>
          <w:szCs w:val="20"/>
        </w:rPr>
        <w:t xml:space="preserve"> władze </w:t>
      </w:r>
      <w:r w:rsidR="00031026">
        <w:t>w sprawie skarżących.</w:t>
      </w:r>
    </w:p>
    <w:p w14:paraId="11BEA107" w14:textId="308D4D1C" w:rsidR="00031026" w:rsidRPr="00031026" w:rsidRDefault="00000000" w:rsidP="00031026">
      <w:pPr>
        <w:pStyle w:val="JuPara"/>
        <w:rPr>
          <w:rFonts w:ascii="Times New Roman" w:eastAsia="SimHei" w:hAnsi="Times New Roman" w:cs="SimHei"/>
          <w:szCs w:val="20"/>
        </w:rPr>
      </w:pPr>
      <w:fldSimple w:instr=" SEQ level0 \*arabic ">
        <w:r w:rsidR="00D86FCE">
          <w:rPr>
            <w:noProof/>
          </w:rPr>
          <w:t>78</w:t>
        </w:r>
      </w:fldSimple>
      <w:r w:rsidR="00031026">
        <w:t>.  Widać to również po sposobie, w jaki sądy krajowe rozpatrywały przedłużenie tymczasowego aresztowania wobec skarżących. W szczególności, sądy krajowe nie tylko nie</w:t>
      </w:r>
      <w:r w:rsidR="00031026">
        <w:rPr>
          <w:rFonts w:ascii="Times New Roman" w:hAnsi="Times New Roman"/>
          <w:szCs w:val="20"/>
        </w:rPr>
        <w:t xml:space="preserve"> podały „istotnych” i „wystarczających” powodów uzasadniających konieczność przedłużenia tymczasowego aresztowania wobec skarżących, ale także całkowicie zignorowały wiek drugiego skarżącego – istotny element, który</w:t>
      </w:r>
      <w:r w:rsidR="006E0744">
        <w:rPr>
          <w:rFonts w:ascii="Times New Roman" w:hAnsi="Times New Roman"/>
          <w:szCs w:val="20"/>
        </w:rPr>
        <w:t xml:space="preserve"> - </w:t>
      </w:r>
      <w:r w:rsidR="00031026">
        <w:rPr>
          <w:rFonts w:ascii="Times New Roman" w:hAnsi="Times New Roman"/>
          <w:szCs w:val="20"/>
        </w:rPr>
        <w:t>gdyby został uwzględniony</w:t>
      </w:r>
      <w:r w:rsidR="006E0744">
        <w:rPr>
          <w:rFonts w:ascii="Times New Roman" w:hAnsi="Times New Roman"/>
          <w:szCs w:val="20"/>
        </w:rPr>
        <w:t xml:space="preserve"> -</w:t>
      </w:r>
      <w:r w:rsidR="00031026">
        <w:rPr>
          <w:rFonts w:ascii="Times New Roman" w:hAnsi="Times New Roman"/>
          <w:szCs w:val="20"/>
        </w:rPr>
        <w:t xml:space="preserve"> prawdopodobnie spowodowałby szybkie uchylenie jego tymczasowego aresztowania  (zob. paragraf 60 powyżej)</w:t>
      </w:r>
      <w:r w:rsidR="00031026">
        <w:t>.</w:t>
      </w:r>
    </w:p>
    <w:p w14:paraId="593437D9" w14:textId="26AD5705" w:rsidR="00031026" w:rsidRPr="00031026" w:rsidRDefault="00000000" w:rsidP="00031026">
      <w:pPr>
        <w:pStyle w:val="JuPara"/>
      </w:pPr>
      <w:fldSimple w:instr=" SEQ level0 \*arabic ">
        <w:r w:rsidR="00D86FCE">
          <w:rPr>
            <w:noProof/>
          </w:rPr>
          <w:t>79</w:t>
        </w:r>
      </w:fldSimple>
      <w:r w:rsidR="00031026">
        <w:t xml:space="preserve">.  Mając na uwadze wszystkie okoliczności sprawy, Trybunał jest przekonany, że ukryty cel ograniczenia wolności skarżących, skutkujący ich </w:t>
      </w:r>
      <w:r w:rsidR="00715FE8">
        <w:t xml:space="preserve">przedłużanym </w:t>
      </w:r>
      <w:r w:rsidR="00031026">
        <w:t>tymczasowym aresztowaniem, stanowił cel dominujący, którym było ukaranie i uciszenie członków NIDA za ich aktywny udział w demonstracjach organizowanych przeciwko rządowi</w:t>
      </w:r>
      <w:r w:rsidR="00715FE8">
        <w:t xml:space="preserve"> w związku ze</w:t>
      </w:r>
      <w:r w:rsidR="00031026">
        <w:t xml:space="preserve"> śmierci</w:t>
      </w:r>
      <w:r w:rsidR="00715FE8">
        <w:t>ą</w:t>
      </w:r>
      <w:r w:rsidR="00031026">
        <w:t xml:space="preserve"> żołnierzy służących w armii.</w:t>
      </w:r>
    </w:p>
    <w:p w14:paraId="434F6369" w14:textId="62F02A2A" w:rsidR="00031026" w:rsidRPr="00031026" w:rsidRDefault="00000000" w:rsidP="00031026">
      <w:pPr>
        <w:pStyle w:val="JuPara"/>
        <w:rPr>
          <w:rFonts w:ascii="Times New Roman" w:eastAsia="SimHei" w:hAnsi="Times New Roman" w:cs="SimHei"/>
          <w:szCs w:val="20"/>
        </w:rPr>
      </w:pPr>
      <w:fldSimple w:instr=" SEQ level0 \*arabic ">
        <w:r w:rsidR="00D86FCE">
          <w:rPr>
            <w:noProof/>
          </w:rPr>
          <w:t>80</w:t>
        </w:r>
      </w:fldSimple>
      <w:r w:rsidR="00031026">
        <w:t>.  Tym samym doszło do naruszenia art. 18 w zw</w:t>
      </w:r>
      <w:r w:rsidR="00715FE8">
        <w:t>.</w:t>
      </w:r>
      <w:r w:rsidR="00031026">
        <w:t xml:space="preserve"> z art. 5 ust. 3 Konwencji.</w:t>
      </w:r>
    </w:p>
    <w:p w14:paraId="57A59C58" w14:textId="77777777" w:rsidR="00031026" w:rsidRPr="00031026" w:rsidRDefault="00031026" w:rsidP="00031026">
      <w:pPr>
        <w:pStyle w:val="JuHIRoman"/>
        <w:numPr>
          <w:ilvl w:val="1"/>
          <w:numId w:val="1"/>
        </w:numPr>
        <w:tabs>
          <w:tab w:val="clear" w:pos="454"/>
          <w:tab w:val="clear" w:pos="567"/>
          <w:tab w:val="clear" w:pos="680"/>
        </w:tabs>
      </w:pPr>
      <w:r>
        <w:t>ZASTOSOWANIE ART. 41 KONWENCJI</w:t>
      </w:r>
    </w:p>
    <w:p w14:paraId="076BB6B6" w14:textId="3B8AE147" w:rsidR="00031026" w:rsidRPr="00031026" w:rsidRDefault="00000000" w:rsidP="00031026">
      <w:pPr>
        <w:pStyle w:val="JuPara"/>
      </w:pPr>
      <w:fldSimple w:instr=" SEQ level0 \*arabic ">
        <w:r w:rsidR="00D86FCE">
          <w:rPr>
            <w:noProof/>
          </w:rPr>
          <w:t>81</w:t>
        </w:r>
      </w:fldSimple>
      <w:r w:rsidR="00031026">
        <w:t>.  Artykuł 41 Konwencji stanowi:</w:t>
      </w:r>
    </w:p>
    <w:p w14:paraId="4A4D1652" w14:textId="77777777" w:rsidR="00031026" w:rsidRPr="00031026" w:rsidRDefault="00031026" w:rsidP="00031026">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0A5E1618" w14:textId="77777777" w:rsidR="00031026" w:rsidRPr="00031026" w:rsidRDefault="00031026" w:rsidP="00031026">
      <w:pPr>
        <w:pStyle w:val="JuHA"/>
        <w:numPr>
          <w:ilvl w:val="2"/>
          <w:numId w:val="1"/>
        </w:numPr>
        <w:jc w:val="left"/>
      </w:pPr>
      <w:r>
        <w:t>Szkoda</w:t>
      </w:r>
    </w:p>
    <w:p w14:paraId="56824313" w14:textId="77777777" w:rsidR="00031026" w:rsidRPr="00031026" w:rsidRDefault="00031026" w:rsidP="00031026">
      <w:pPr>
        <w:pStyle w:val="JuH1"/>
        <w:numPr>
          <w:ilvl w:val="3"/>
          <w:numId w:val="2"/>
        </w:numPr>
        <w:jc w:val="left"/>
      </w:pPr>
      <w:r>
        <w:t>Szkoda majątkowa</w:t>
      </w:r>
    </w:p>
    <w:p w14:paraId="5E541E1F" w14:textId="328E74CF" w:rsidR="00031026" w:rsidRPr="00031026" w:rsidRDefault="00000000" w:rsidP="00031026">
      <w:pPr>
        <w:pStyle w:val="JuPara"/>
      </w:pPr>
      <w:fldSimple w:instr=" SEQ level0 \*arabic ">
        <w:r w:rsidR="00D86FCE">
          <w:rPr>
            <w:noProof/>
          </w:rPr>
          <w:t>82</w:t>
        </w:r>
      </w:fldSimple>
      <w:r w:rsidR="00031026">
        <w:t>.  Drugi skarżący dochodził kwoty 124 000 euro (EUR) tytułem odszkodowania za szkodę majątkową. W tym względzie podniósł, że należąca do jego ojca kwota 121 391 dolarów amerykańskich została zabrana przez organy ścigania podczas przeszukania jego mieszkania oraz że pozostała część żądanej kwoty odpowiada kwocie, któr</w:t>
      </w:r>
      <w:r w:rsidR="00F05098">
        <w:t>ą</w:t>
      </w:r>
      <w:r w:rsidR="00031026">
        <w:t xml:space="preserve"> jego rodzina przeznaczyła na wysyłanie mu żywności i regularne odwiedziny w jednostce penitencjarnej.</w:t>
      </w:r>
    </w:p>
    <w:p w14:paraId="5C146C84" w14:textId="39F63A13" w:rsidR="00031026" w:rsidRPr="00031026" w:rsidRDefault="00000000" w:rsidP="00031026">
      <w:pPr>
        <w:pStyle w:val="JuPara"/>
      </w:pPr>
      <w:fldSimple w:instr=" SEQ level0 \*arabic ">
        <w:r w:rsidR="00D86FCE">
          <w:rPr>
            <w:noProof/>
          </w:rPr>
          <w:t>83</w:t>
        </w:r>
      </w:fldSimple>
      <w:r w:rsidR="00031026">
        <w:t>.  Rząd zwrócił się do Trybunału o oddalenie tego roszczenia.</w:t>
      </w:r>
    </w:p>
    <w:p w14:paraId="1693FB51" w14:textId="3C53CEAF" w:rsidR="00031026" w:rsidRPr="00031026" w:rsidRDefault="00000000" w:rsidP="00031026">
      <w:pPr>
        <w:pStyle w:val="JuPara"/>
      </w:pPr>
      <w:fldSimple w:instr=" SEQ level0 \*arabic ">
        <w:r w:rsidR="00D86FCE">
          <w:rPr>
            <w:noProof/>
          </w:rPr>
          <w:t>84</w:t>
        </w:r>
      </w:fldSimple>
      <w:r w:rsidR="00031026">
        <w:t>.  Co do części roszczenia dotyczącej kwoty zabranej przez organy ścigania podczas przeszukania, Trybunał zauważa, że niniejsza skarga nie dotyczy zgodności z prawem przedmiotowego przeszukania. Ponadto drugi skarżący sam stwierdził, że przedmiotowe pieniądze należały do jego ojca, który nie jest skarżącym w niniejszej sprawie przed Trybunałem. Tym samym Trybunał nie dostrzega żadnego związku przyczynowego między stwierdzonymi naruszeniami a zarzucaną szkodą majątkową.</w:t>
      </w:r>
    </w:p>
    <w:p w14:paraId="461D1377" w14:textId="2B74037C" w:rsidR="00031026" w:rsidRPr="00031026" w:rsidRDefault="00000000" w:rsidP="00031026">
      <w:pPr>
        <w:pStyle w:val="JuPara"/>
      </w:pPr>
      <w:fldSimple w:instr=" SEQ level0 \*arabic ">
        <w:r w:rsidR="00D86FCE">
          <w:rPr>
            <w:noProof/>
          </w:rPr>
          <w:t>85</w:t>
        </w:r>
      </w:fldSimple>
      <w:r w:rsidR="00031026">
        <w:t>.  Jeśli chodzi o część roszczenia dotyczącą sumy, którą jego rodzina wydała na wysyłanie mu żywności i regularne odwiedziny w jednostce penitencjarnej, nawet zakładając istnienie związku przyczynowego między zarzucaną szkodą pieniężną a stwierdzonymi naruszeniami, Trybunał zauważa, że drugi skarżący nie przedstawił odpowiednich dowodów z dokumentów na poparcie tego roszczenia.</w:t>
      </w:r>
    </w:p>
    <w:p w14:paraId="6480892E" w14:textId="1E240417" w:rsidR="00031026" w:rsidRPr="00031026" w:rsidRDefault="00000000" w:rsidP="00031026">
      <w:pPr>
        <w:pStyle w:val="JuPara"/>
        <w:rPr>
          <w:i/>
        </w:rPr>
      </w:pPr>
      <w:fldSimple w:instr=" SEQ level0 \*arabic ">
        <w:r w:rsidR="00D86FCE">
          <w:rPr>
            <w:noProof/>
          </w:rPr>
          <w:t>86</w:t>
        </w:r>
      </w:fldSimple>
      <w:r w:rsidR="00031026">
        <w:t>.  </w:t>
      </w:r>
      <w:r w:rsidR="00F05098">
        <w:t>W związku z tym</w:t>
      </w:r>
      <w:r w:rsidR="00031026">
        <w:t xml:space="preserve"> </w:t>
      </w:r>
      <w:r w:rsidR="00F05098">
        <w:t xml:space="preserve">Trybunał </w:t>
      </w:r>
      <w:r w:rsidR="00031026">
        <w:t>oddala roszczenia drugiego skarżącego z tytułu szkody majątkowej.</w:t>
      </w:r>
    </w:p>
    <w:p w14:paraId="321B9875" w14:textId="77777777" w:rsidR="00031026" w:rsidRPr="00031026" w:rsidRDefault="00031026" w:rsidP="00031026">
      <w:pPr>
        <w:pStyle w:val="JuH1"/>
        <w:ind w:left="731" w:hanging="300"/>
        <w:jc w:val="left"/>
      </w:pPr>
      <w:r>
        <w:t>Szkoda niemajątkowa</w:t>
      </w:r>
    </w:p>
    <w:p w14:paraId="67B485CF" w14:textId="1368B8DB" w:rsidR="00031026" w:rsidRPr="00031026" w:rsidRDefault="00000000" w:rsidP="00031026">
      <w:pPr>
        <w:pStyle w:val="JuPara"/>
      </w:pPr>
      <w:fldSimple w:instr=" SEQ level0 \*arabic ">
        <w:r w:rsidR="00D86FCE">
          <w:rPr>
            <w:noProof/>
          </w:rPr>
          <w:t>87</w:t>
        </w:r>
      </w:fldSimple>
      <w:r w:rsidR="00031026">
        <w:t xml:space="preserve">.  Z tytułu szkody niemajątkowej pierwszy skarżący domagał się kwoty 25 000 EUR, a drugi </w:t>
      </w:r>
      <w:r w:rsidR="00F05098">
        <w:t xml:space="preserve">skarżący </w:t>
      </w:r>
      <w:r w:rsidR="00031026">
        <w:t>– 100 000 EUR.</w:t>
      </w:r>
    </w:p>
    <w:p w14:paraId="137E5714" w14:textId="6BFF9707" w:rsidR="00031026" w:rsidRPr="00031026" w:rsidRDefault="00000000" w:rsidP="00031026">
      <w:pPr>
        <w:pStyle w:val="JuPara"/>
        <w:keepNext/>
        <w:keepLines/>
      </w:pPr>
      <w:fldSimple w:instr=" SEQ level0 \*arabic ">
        <w:r w:rsidR="00D86FCE">
          <w:rPr>
            <w:noProof/>
          </w:rPr>
          <w:t>88</w:t>
        </w:r>
      </w:fldSimple>
      <w:r w:rsidR="00031026">
        <w:t xml:space="preserve">.  Rząd </w:t>
      </w:r>
      <w:r w:rsidR="00F05098">
        <w:t>s</w:t>
      </w:r>
      <w:r w:rsidR="00031026">
        <w:t xml:space="preserve">twierdził, że kwoty dochodzone przez skarżących były nieuzasadnione i nadmierne. Ponadto Rząd </w:t>
      </w:r>
      <w:r w:rsidR="00F05098">
        <w:t>podniósł</w:t>
      </w:r>
      <w:r w:rsidR="00031026">
        <w:t>, że kwota 10 000 manatów azerbejdżańskich (AZN) stanowiłaby rozsądne zadośćuczynienie za szkodę niemajątkową, któr</w:t>
      </w:r>
      <w:r w:rsidR="00F05098">
        <w:t>ej</w:t>
      </w:r>
      <w:r w:rsidR="00031026">
        <w:t xml:space="preserve"> skarżący rzekomo </w:t>
      </w:r>
      <w:r w:rsidR="00F05098">
        <w:t>doznali</w:t>
      </w:r>
      <w:r w:rsidR="00031026">
        <w:t>.</w:t>
      </w:r>
    </w:p>
    <w:p w14:paraId="70DF5DEC" w14:textId="340E7CC2" w:rsidR="00031026" w:rsidRPr="00031026" w:rsidRDefault="00000000" w:rsidP="00031026">
      <w:pPr>
        <w:pStyle w:val="JuPara"/>
      </w:pPr>
      <w:fldSimple w:instr=" SEQ level0 \*arabic ">
        <w:r w:rsidR="00D86FCE">
          <w:rPr>
            <w:noProof/>
          </w:rPr>
          <w:t>89</w:t>
        </w:r>
      </w:fldSimple>
      <w:r w:rsidR="00031026">
        <w:t xml:space="preserve">.  Trybunał uważa, że skarżący ponieśli szkodę niemajątkową, której nie można </w:t>
      </w:r>
      <w:r w:rsidR="00F05098">
        <w:t xml:space="preserve">zrekompensować </w:t>
      </w:r>
      <w:r w:rsidR="00031026">
        <w:t xml:space="preserve">poprzez </w:t>
      </w:r>
      <w:r w:rsidR="00D853F8">
        <w:t xml:space="preserve">samo </w:t>
      </w:r>
      <w:r w:rsidR="00031026">
        <w:t xml:space="preserve">stwierdzenie naruszenia, a zatem należy przyznać im zadośćuczynienie. Dokonując oceny w oparciu o zasadę słuszności, zgodnie z wymogami art. 41 Konwencji, Trybunał z tego tytułu przyznaje </w:t>
      </w:r>
      <w:r w:rsidR="00D853F8">
        <w:t xml:space="preserve">każdemu </w:t>
      </w:r>
      <w:r w:rsidR="00031026">
        <w:t>skarżąc</w:t>
      </w:r>
      <w:r w:rsidR="00D853F8">
        <w:t>emu</w:t>
      </w:r>
      <w:r w:rsidR="00031026">
        <w:t xml:space="preserve"> kwotę 20 000 EUR powiększoną o </w:t>
      </w:r>
      <w:r w:rsidR="00D853F8">
        <w:t>wszelkie należne podatki</w:t>
      </w:r>
      <w:r w:rsidR="00031026">
        <w:t>.</w:t>
      </w:r>
    </w:p>
    <w:p w14:paraId="442327C3" w14:textId="77777777" w:rsidR="00031026" w:rsidRPr="00031026" w:rsidRDefault="00031026" w:rsidP="00031026">
      <w:pPr>
        <w:pStyle w:val="JuHA"/>
        <w:numPr>
          <w:ilvl w:val="2"/>
          <w:numId w:val="1"/>
        </w:numPr>
        <w:jc w:val="left"/>
      </w:pPr>
      <w:r>
        <w:t>Koszty i wydatki</w:t>
      </w:r>
    </w:p>
    <w:p w14:paraId="13B93597" w14:textId="01E0303F" w:rsidR="00031026" w:rsidRPr="00031026" w:rsidRDefault="00000000" w:rsidP="00031026">
      <w:pPr>
        <w:pStyle w:val="JuPara"/>
      </w:pPr>
      <w:fldSimple w:instr=" SEQ level0 \*arabic ">
        <w:r w:rsidR="00D86FCE">
          <w:rPr>
            <w:noProof/>
          </w:rPr>
          <w:t>90</w:t>
        </w:r>
      </w:fldSimple>
      <w:r w:rsidR="00031026">
        <w:t>.  Pierwszy skarżący domagał się kwoty 2 000 EUR, a drugi 10 000 EUR tytułem zwrotu kosztów zastępstwa procesowego</w:t>
      </w:r>
      <w:r w:rsidR="00883074">
        <w:t>,</w:t>
      </w:r>
      <w:r w:rsidR="00031026">
        <w:t xml:space="preserve"> poniesionych w postępowaniu przed Trybunałem i sądami krajowymi. Przedłożyli stosowne umowy zawarte ze swoimi pełnomocnikami. Drugi skarżący wniósł, aby zasądzone koszty i wydatki zostały wpłacone bezpośrednio na rachunek bankowy jego pełnomocnika.</w:t>
      </w:r>
    </w:p>
    <w:p w14:paraId="43499BDA" w14:textId="43AF367B" w:rsidR="00031026" w:rsidRPr="00031026" w:rsidRDefault="00000000" w:rsidP="00031026">
      <w:pPr>
        <w:pStyle w:val="JuPara"/>
      </w:pPr>
      <w:fldSimple w:instr=" SEQ level0 \*arabic ">
        <w:r w:rsidR="00D86FCE">
          <w:rPr>
            <w:noProof/>
          </w:rPr>
          <w:t>91</w:t>
        </w:r>
      </w:fldSimple>
      <w:r w:rsidR="00031026">
        <w:t xml:space="preserve">.  Rząd twierdził, że kwoty </w:t>
      </w:r>
      <w:r w:rsidR="00883074">
        <w:t xml:space="preserve">wnioskowane </w:t>
      </w:r>
      <w:r w:rsidR="00031026">
        <w:t xml:space="preserve">przez skarżących były nadmierne. </w:t>
      </w:r>
      <w:r w:rsidR="00883074">
        <w:t xml:space="preserve">Jego </w:t>
      </w:r>
      <w:r w:rsidR="00031026">
        <w:t>zdaniem kwota 1000 AZN stanowiłaby rozsądną rekompensatę kosztów i wydatków w odniesieniu do pierwszego skarżącego, a kwota 1500 AZN w odniesieniu do drugiego skarżącego.</w:t>
      </w:r>
    </w:p>
    <w:p w14:paraId="79ECC44C" w14:textId="6522B4F0" w:rsidR="00031026" w:rsidRPr="00031026" w:rsidRDefault="00000000" w:rsidP="00031026">
      <w:pPr>
        <w:pStyle w:val="JuPara"/>
      </w:pPr>
      <w:fldSimple w:instr=" SEQ level0 \*arabic ">
        <w:r w:rsidR="00D86FCE">
          <w:rPr>
            <w:noProof/>
          </w:rPr>
          <w:t>92</w:t>
        </w:r>
      </w:fldSimple>
      <w:r w:rsidR="00031026">
        <w:t xml:space="preserve">.  Zgodnie z orzecznictwem Trybunału skarżącemu przysługuje prawo do zwrotu kosztów i wydatków </w:t>
      </w:r>
      <w:r w:rsidR="00883074">
        <w:t>tylko do takiej wysokości</w:t>
      </w:r>
      <w:r w:rsidR="00031026">
        <w:t xml:space="preserve">, </w:t>
      </w:r>
      <w:r w:rsidR="00883074">
        <w:t xml:space="preserve">co do której </w:t>
      </w:r>
      <w:r w:rsidR="00031026">
        <w:lastRenderedPageBreak/>
        <w:t xml:space="preserve">wykazał, że były one rzeczywiście i koniecznie poniesione oraz że są uzasadnione co do </w:t>
      </w:r>
      <w:r w:rsidR="00883074">
        <w:t>kwoty</w:t>
      </w:r>
      <w:r w:rsidR="00031026">
        <w:t xml:space="preserve">. W niniejszej sprawie, uwzględniając dokumenty znajdujące się w jego posiadaniu oraz nakład pracy pełnomocników skarżących, Trybunał uważa za zasadne </w:t>
      </w:r>
      <w:r w:rsidR="00883074">
        <w:t xml:space="preserve">przyznanie </w:t>
      </w:r>
      <w:r w:rsidR="00031026">
        <w:t xml:space="preserve">kwoty 1500 EUR na rzecz pierwszego skarżącego oraz kwoty 2000 EUR na rzecz drugiego skarżącego, obejmującej koszty ze wszystkich tytułów, powiększone o </w:t>
      </w:r>
      <w:r w:rsidR="00883074">
        <w:t>wszelkie należne</w:t>
      </w:r>
      <w:r w:rsidR="00031026">
        <w:t xml:space="preserve"> podatk</w:t>
      </w:r>
      <w:r w:rsidR="00883074">
        <w:t>i</w:t>
      </w:r>
      <w:r w:rsidR="00031026">
        <w:t xml:space="preserve">. Trybunał wskazał również, że kwota </w:t>
      </w:r>
      <w:r w:rsidR="00E37DA0">
        <w:t>przyznana</w:t>
      </w:r>
      <w:r w:rsidR="00031026">
        <w:t xml:space="preserve"> drugie</w:t>
      </w:r>
      <w:r w:rsidR="00E37DA0">
        <w:t>mu</w:t>
      </w:r>
      <w:r w:rsidR="00031026">
        <w:t xml:space="preserve"> skarżące</w:t>
      </w:r>
      <w:r w:rsidR="00E37DA0">
        <w:t>mu</w:t>
      </w:r>
      <w:r w:rsidR="00031026">
        <w:t xml:space="preserve"> ma być wpłacona bezpośrednio na rachunek bankowy jego pełnomocnika.</w:t>
      </w:r>
    </w:p>
    <w:p w14:paraId="0B338A1A" w14:textId="77777777" w:rsidR="00031026" w:rsidRPr="00031026" w:rsidRDefault="00031026" w:rsidP="00031026">
      <w:pPr>
        <w:pStyle w:val="JuHA"/>
        <w:numPr>
          <w:ilvl w:val="2"/>
          <w:numId w:val="1"/>
        </w:numPr>
      </w:pPr>
      <w:r>
        <w:t>Odsetki za zwłokę</w:t>
      </w:r>
    </w:p>
    <w:p w14:paraId="5345CFE6" w14:textId="07C9B158" w:rsidR="00031026" w:rsidRPr="00031026" w:rsidRDefault="00000000" w:rsidP="00031026">
      <w:pPr>
        <w:pStyle w:val="JuPara"/>
      </w:pPr>
      <w:fldSimple w:instr=" SEQ level0 \*arabic ">
        <w:r w:rsidR="00D86FCE">
          <w:rPr>
            <w:noProof/>
          </w:rPr>
          <w:t>93</w:t>
        </w:r>
      </w:fldSimple>
      <w:r w:rsidR="00031026">
        <w:t xml:space="preserve">.  Trybunał za słuszne uznaje wyznaczenie wysokości odsetek za zwłokę </w:t>
      </w:r>
      <w:r w:rsidR="006D205D">
        <w:t xml:space="preserve">w oparciu o </w:t>
      </w:r>
      <w:r w:rsidR="00031026">
        <w:t>marginaln</w:t>
      </w:r>
      <w:r w:rsidR="006D205D">
        <w:t>ą</w:t>
      </w:r>
      <w:r w:rsidR="00031026">
        <w:t xml:space="preserve"> stop</w:t>
      </w:r>
      <w:r w:rsidR="006D205D">
        <w:t>ę</w:t>
      </w:r>
      <w:r w:rsidR="00031026">
        <w:t xml:space="preserve"> procentow</w:t>
      </w:r>
      <w:r w:rsidR="006D205D">
        <w:t>ą</w:t>
      </w:r>
      <w:r w:rsidR="00031026">
        <w:t xml:space="preserve"> Europejskiego Banku Centralnego powiększon</w:t>
      </w:r>
      <w:r w:rsidR="006D205D">
        <w:t>ą</w:t>
      </w:r>
      <w:r w:rsidR="00031026">
        <w:t xml:space="preserve"> o trzy punkty procentowe.</w:t>
      </w:r>
    </w:p>
    <w:p w14:paraId="38459D32" w14:textId="5FA52C3F" w:rsidR="00031026" w:rsidRPr="00031026" w:rsidRDefault="00031026" w:rsidP="00031026">
      <w:pPr>
        <w:pStyle w:val="JuHHead"/>
        <w:numPr>
          <w:ilvl w:val="0"/>
          <w:numId w:val="1"/>
        </w:numPr>
      </w:pPr>
      <w:r>
        <w:t xml:space="preserve">Z </w:t>
      </w:r>
      <w:r w:rsidR="00BF56B4">
        <w:t xml:space="preserve">TYCH </w:t>
      </w:r>
      <w:r>
        <w:t>WZGLĘDÓW TRYBUNAŁ JEDNOGŁOŚNIE</w:t>
      </w:r>
    </w:p>
    <w:p w14:paraId="61AC5D8E" w14:textId="77777777" w:rsidR="00031026" w:rsidRPr="00031026" w:rsidRDefault="00031026" w:rsidP="00031026">
      <w:pPr>
        <w:pStyle w:val="JuList"/>
        <w:rPr>
          <w:rFonts w:eastAsia="SimHei"/>
        </w:rPr>
      </w:pPr>
      <w:r>
        <w:rPr>
          <w:i/>
          <w:iCs/>
        </w:rPr>
        <w:t>postanawia</w:t>
      </w:r>
      <w:r>
        <w:t xml:space="preserve"> połączyć skargi;</w:t>
      </w:r>
    </w:p>
    <w:p w14:paraId="2C8DFAFC" w14:textId="77777777" w:rsidR="00031026" w:rsidRPr="00031026" w:rsidRDefault="00031026" w:rsidP="00031026">
      <w:pPr>
        <w:pStyle w:val="JuList"/>
        <w:rPr>
          <w:rFonts w:eastAsia="SimHei"/>
        </w:rPr>
      </w:pPr>
      <w:r>
        <w:rPr>
          <w:i/>
        </w:rPr>
        <w:t>uznaje</w:t>
      </w:r>
      <w:r>
        <w:t xml:space="preserve"> skargi za dopuszczalne;</w:t>
      </w:r>
    </w:p>
    <w:p w14:paraId="5DE26CB0" w14:textId="5E9F5E54" w:rsidR="00031026" w:rsidRPr="00031026" w:rsidRDefault="00BF56B4" w:rsidP="00031026">
      <w:pPr>
        <w:pStyle w:val="JuList"/>
        <w:rPr>
          <w:rFonts w:eastAsia="SimHei"/>
        </w:rPr>
      </w:pPr>
      <w:r>
        <w:rPr>
          <w:i/>
        </w:rPr>
        <w:t>stwierdza</w:t>
      </w:r>
      <w:r w:rsidR="00031026">
        <w:t>, że doszło do naruszenia art. 5 ust. 3 Konwencji w odniesieniu do obu skarżących;</w:t>
      </w:r>
    </w:p>
    <w:p w14:paraId="52707F4B" w14:textId="4F84B279" w:rsidR="00031026" w:rsidRPr="00031026" w:rsidRDefault="00BF56B4" w:rsidP="00031026">
      <w:pPr>
        <w:pStyle w:val="JuList"/>
      </w:pPr>
      <w:r>
        <w:rPr>
          <w:i/>
        </w:rPr>
        <w:t>stwierdza</w:t>
      </w:r>
      <w:r w:rsidR="00031026">
        <w:t>, że doszło do naruszenia art. 18 w zw</w:t>
      </w:r>
      <w:r>
        <w:t>.</w:t>
      </w:r>
      <w:r w:rsidR="00031026">
        <w:t xml:space="preserve"> z </w:t>
      </w:r>
      <w:r>
        <w:t xml:space="preserve">art. </w:t>
      </w:r>
      <w:r w:rsidR="00031026">
        <w:t>5 ust. 3 Konwencji w odniesieniu do obu skarżących;</w:t>
      </w:r>
    </w:p>
    <w:p w14:paraId="40D0348A" w14:textId="30BF9D1B" w:rsidR="00031026" w:rsidRPr="00031026" w:rsidRDefault="00BF56B4" w:rsidP="00031026">
      <w:pPr>
        <w:pStyle w:val="JuList"/>
      </w:pPr>
      <w:r>
        <w:rPr>
          <w:i/>
          <w:iCs/>
        </w:rPr>
        <w:t>orzeka</w:t>
      </w:r>
    </w:p>
    <w:p w14:paraId="0E7C793D" w14:textId="77777777" w:rsidR="00031026" w:rsidRPr="00031026" w:rsidRDefault="00031026" w:rsidP="00031026">
      <w:pPr>
        <w:pStyle w:val="JuLista"/>
      </w:pPr>
      <w:r>
        <w:t>że pozwane państwo winno, w terminie trzech miesięcy od daty, w której niniejszy wyrok stanie się ostateczny zgodnie z art. 44 ust. 2 Konwencji, uiścić na rzecz skarżących następujące kwoty, przeliczone na walutę pozwanego państwa według kursu obowiązującego w dniu płatności:</w:t>
      </w:r>
    </w:p>
    <w:p w14:paraId="5843CA3D" w14:textId="77777777" w:rsidR="00031026" w:rsidRPr="00031026" w:rsidRDefault="00031026" w:rsidP="00031026">
      <w:pPr>
        <w:pStyle w:val="JuListi"/>
      </w:pPr>
      <w:r>
        <w:t>20 000 EUR (dwadzieścia tysięcy euro) plus wszelkie należne podatki, na rzecz każdego ze skarżących, tytułem zadośćuczynienia za szkodę niemajątkową;</w:t>
      </w:r>
    </w:p>
    <w:p w14:paraId="3BB25F07" w14:textId="77777777" w:rsidR="00031026" w:rsidRPr="00031026" w:rsidRDefault="00031026" w:rsidP="00031026">
      <w:pPr>
        <w:pStyle w:val="JuListi"/>
      </w:pPr>
      <w:r>
        <w:t>1500 EUR (tysiąc pięćset euro) na rzecz pierwszego skarżącego, plus wszelkie należne podatki, tytułem zwrotu poniesionych kosztów i wydatków;</w:t>
      </w:r>
    </w:p>
    <w:p w14:paraId="44F4535A" w14:textId="51015ABA" w:rsidR="00031026" w:rsidRPr="00031026" w:rsidRDefault="00031026" w:rsidP="00031026">
      <w:pPr>
        <w:pStyle w:val="JuListi"/>
      </w:pPr>
      <w:r>
        <w:t xml:space="preserve">2000 EUR (dwa tysiące euro) na rzecz drugiego skarżącego, plus wszelkie należne podatki, tytułem zwrotu kosztów i wydatków, </w:t>
      </w:r>
      <w:r w:rsidR="00BF56B4">
        <w:t>płatne</w:t>
      </w:r>
      <w:r>
        <w:t xml:space="preserve"> bezpośrednio na rachunek bankowy </w:t>
      </w:r>
      <w:r w:rsidR="00BF56B4">
        <w:t xml:space="preserve">jego </w:t>
      </w:r>
      <w:r>
        <w:t>pełnomocnika;</w:t>
      </w:r>
    </w:p>
    <w:p w14:paraId="6C2E8C4B" w14:textId="77777777" w:rsidR="00031026" w:rsidRPr="00031026" w:rsidRDefault="00031026" w:rsidP="00031026">
      <w:pPr>
        <w:pStyle w:val="JuLista"/>
      </w:pPr>
      <w:r>
        <w:lastRenderedPageBreak/>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50C908F7" w14:textId="6ADBF1B7" w:rsidR="00031026" w:rsidRPr="00031026" w:rsidRDefault="00031026" w:rsidP="00031026">
      <w:pPr>
        <w:pStyle w:val="JuList"/>
      </w:pPr>
      <w:r>
        <w:rPr>
          <w:i/>
        </w:rPr>
        <w:t xml:space="preserve">oddala </w:t>
      </w:r>
      <w:r>
        <w:t xml:space="preserve">pozostałą część roszczenia skarżących </w:t>
      </w:r>
      <w:r w:rsidR="00BF56B4">
        <w:t xml:space="preserve">o </w:t>
      </w:r>
      <w:r>
        <w:t>słuszne zadośćuczynieni</w:t>
      </w:r>
      <w:r w:rsidR="00BF56B4">
        <w:t>e</w:t>
      </w:r>
      <w:r>
        <w:t>.</w:t>
      </w:r>
    </w:p>
    <w:p w14:paraId="4B69BEFA" w14:textId="77777777" w:rsidR="00031026" w:rsidRPr="00031026" w:rsidRDefault="00031026" w:rsidP="00031026">
      <w:pPr>
        <w:pStyle w:val="JuParaLast"/>
      </w:pPr>
      <w:r>
        <w:t xml:space="preserve">Sporządzono w języku angielskim i obwieszczono pisemnie w dniu </w:t>
      </w:r>
      <w:r>
        <w:rPr>
          <w:rFonts w:ascii="Times New Roman" w:hAnsi="Times New Roman"/>
        </w:rPr>
        <w:t>18 lutego 2021 r.</w:t>
      </w:r>
      <w:r>
        <w:t>, zgodnie z Regułą 77 § 2 i 3 Regulaminu Trybunału.</w:t>
      </w:r>
    </w:p>
    <w:p w14:paraId="5B2BEEDD" w14:textId="6D640776" w:rsidR="00C93640" w:rsidRDefault="00031026" w:rsidP="00C93640">
      <w:pPr>
        <w:pStyle w:val="JuSigned"/>
      </w:pPr>
      <w:r>
        <w:t xml:space="preserve">Victor </w:t>
      </w:r>
      <w:proofErr w:type="spellStart"/>
      <w:r>
        <w:t>Soloveytchik</w:t>
      </w:r>
      <w:proofErr w:type="spellEnd"/>
      <w:r>
        <w:t xml:space="preserve"> </w:t>
      </w:r>
      <w:r w:rsidR="00C93640">
        <w:tab/>
      </w:r>
      <w:proofErr w:type="spellStart"/>
      <w:r>
        <w:t>Síofra</w:t>
      </w:r>
      <w:proofErr w:type="spellEnd"/>
      <w:r>
        <w:t xml:space="preserve"> </w:t>
      </w:r>
      <w:proofErr w:type="spellStart"/>
      <w:r>
        <w:t>O’Leary</w:t>
      </w:r>
      <w:proofErr w:type="spellEnd"/>
      <w:r>
        <w:t xml:space="preserve"> </w:t>
      </w:r>
    </w:p>
    <w:p w14:paraId="32D04F18" w14:textId="02522AFE" w:rsidR="00031026" w:rsidRPr="00031026" w:rsidRDefault="00C93640" w:rsidP="00C93640">
      <w:pPr>
        <w:pStyle w:val="JuSigned"/>
        <w:spacing w:before="120"/>
      </w:pPr>
      <w:r>
        <w:t xml:space="preserve">          </w:t>
      </w:r>
      <w:r w:rsidR="00031026">
        <w:t xml:space="preserve">Kanclerz </w:t>
      </w:r>
      <w:r>
        <w:tab/>
      </w:r>
      <w:r w:rsidR="00031026">
        <w:t>Przewodnicząca</w:t>
      </w:r>
    </w:p>
    <w:p w14:paraId="7C771020" w14:textId="77777777" w:rsidR="00031026" w:rsidRPr="00031026" w:rsidRDefault="00031026" w:rsidP="00031026">
      <w:pPr>
        <w:pStyle w:val="JuPara"/>
      </w:pPr>
    </w:p>
    <w:p w14:paraId="7EB2959B" w14:textId="77777777" w:rsidR="00031026" w:rsidRPr="00031026" w:rsidRDefault="00031026" w:rsidP="00031026">
      <w:r>
        <w:br w:type="page"/>
      </w:r>
    </w:p>
    <w:p w14:paraId="2422506C" w14:textId="77777777" w:rsidR="00031026" w:rsidRPr="00031026" w:rsidRDefault="00031026" w:rsidP="00031026">
      <w:pPr>
        <w:keepNext/>
        <w:keepLines/>
        <w:spacing w:before="1320" w:after="280"/>
        <w:contextualSpacing/>
        <w:jc w:val="center"/>
        <w:rPr>
          <w:b/>
        </w:rPr>
      </w:pPr>
      <w:r>
        <w:rPr>
          <w:b/>
        </w:rPr>
        <w:lastRenderedPageBreak/>
        <w:t>ZAŁĄCZNIK</w:t>
      </w:r>
    </w:p>
    <w:tbl>
      <w:tblPr>
        <w:tblpPr w:leftFromText="141" w:rightFromText="141" w:horzAnchor="margin" w:tblpY="740"/>
        <w:tblW w:w="723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817"/>
        <w:gridCol w:w="1134"/>
        <w:gridCol w:w="1026"/>
        <w:gridCol w:w="2093"/>
        <w:gridCol w:w="2160"/>
      </w:tblGrid>
      <w:tr w:rsidR="00031026" w:rsidRPr="00031026" w14:paraId="52667B14" w14:textId="77777777" w:rsidTr="00AF76D1">
        <w:trPr>
          <w:trHeight w:val="926"/>
        </w:trPr>
        <w:tc>
          <w:tcPr>
            <w:tcW w:w="817" w:type="dxa"/>
            <w:shd w:val="clear" w:color="auto" w:fill="E0E0E0"/>
          </w:tcPr>
          <w:p w14:paraId="5374157A" w14:textId="77777777" w:rsidR="00031026" w:rsidRPr="00031026" w:rsidRDefault="00031026" w:rsidP="00031026">
            <w:pPr>
              <w:jc w:val="both"/>
              <w:rPr>
                <w:b/>
                <w:bCs/>
                <w:sz w:val="16"/>
                <w:szCs w:val="16"/>
              </w:rPr>
            </w:pPr>
            <w:r>
              <w:br w:type="page"/>
            </w:r>
            <w:bookmarkStart w:id="4" w:name="TableStart"/>
            <w:bookmarkEnd w:id="4"/>
            <w:r>
              <w:rPr>
                <w:b/>
                <w:bCs/>
                <w:sz w:val="16"/>
                <w:szCs w:val="16"/>
              </w:rPr>
              <w:t>Lp.</w:t>
            </w:r>
          </w:p>
        </w:tc>
        <w:tc>
          <w:tcPr>
            <w:tcW w:w="1134" w:type="dxa"/>
            <w:shd w:val="clear" w:color="auto" w:fill="E0E0E0"/>
          </w:tcPr>
          <w:p w14:paraId="2768C5C9" w14:textId="77777777" w:rsidR="00031026" w:rsidRPr="00031026" w:rsidRDefault="00031026" w:rsidP="00031026">
            <w:pPr>
              <w:ind w:left="-1"/>
              <w:jc w:val="both"/>
              <w:rPr>
                <w:b/>
                <w:bCs/>
                <w:sz w:val="16"/>
                <w:szCs w:val="16"/>
              </w:rPr>
            </w:pPr>
            <w:r>
              <w:rPr>
                <w:b/>
                <w:bCs/>
                <w:sz w:val="16"/>
                <w:szCs w:val="16"/>
              </w:rPr>
              <w:t>Skarga</w:t>
            </w:r>
          </w:p>
          <w:p w14:paraId="79786909" w14:textId="77777777" w:rsidR="00031026" w:rsidRPr="00031026" w:rsidRDefault="00031026" w:rsidP="00031026">
            <w:pPr>
              <w:ind w:left="-1"/>
              <w:jc w:val="both"/>
              <w:rPr>
                <w:b/>
                <w:bCs/>
                <w:sz w:val="16"/>
                <w:szCs w:val="16"/>
              </w:rPr>
            </w:pPr>
            <w:r>
              <w:rPr>
                <w:b/>
                <w:bCs/>
                <w:sz w:val="16"/>
                <w:szCs w:val="16"/>
              </w:rPr>
              <w:t>nr</w:t>
            </w:r>
          </w:p>
        </w:tc>
        <w:tc>
          <w:tcPr>
            <w:tcW w:w="1026" w:type="dxa"/>
            <w:shd w:val="clear" w:color="auto" w:fill="E0E0E0"/>
          </w:tcPr>
          <w:p w14:paraId="1B62873E" w14:textId="77777777" w:rsidR="00031026" w:rsidRPr="00031026" w:rsidRDefault="00031026" w:rsidP="00031026">
            <w:pPr>
              <w:jc w:val="both"/>
              <w:rPr>
                <w:b/>
                <w:bCs/>
                <w:sz w:val="16"/>
                <w:szCs w:val="16"/>
              </w:rPr>
            </w:pPr>
            <w:r>
              <w:rPr>
                <w:b/>
                <w:bCs/>
                <w:sz w:val="16"/>
                <w:szCs w:val="16"/>
              </w:rPr>
              <w:t>Złożona w dniu</w:t>
            </w:r>
          </w:p>
        </w:tc>
        <w:tc>
          <w:tcPr>
            <w:tcW w:w="2093" w:type="dxa"/>
            <w:shd w:val="clear" w:color="auto" w:fill="E0E0E0"/>
          </w:tcPr>
          <w:p w14:paraId="2DEB0A80" w14:textId="77777777" w:rsidR="00031026" w:rsidRPr="00031026" w:rsidRDefault="00031026" w:rsidP="00031026">
            <w:pPr>
              <w:jc w:val="both"/>
              <w:rPr>
                <w:b/>
                <w:bCs/>
                <w:sz w:val="16"/>
                <w:szCs w:val="16"/>
              </w:rPr>
            </w:pPr>
            <w:r>
              <w:rPr>
                <w:b/>
                <w:bCs/>
                <w:sz w:val="16"/>
                <w:szCs w:val="16"/>
              </w:rPr>
              <w:t>Imię i nazwisko skarżącego</w:t>
            </w:r>
          </w:p>
          <w:p w14:paraId="2CFE9416" w14:textId="77777777" w:rsidR="00031026" w:rsidRPr="00031026" w:rsidRDefault="00031026" w:rsidP="00031026">
            <w:pPr>
              <w:jc w:val="both"/>
              <w:rPr>
                <w:b/>
                <w:bCs/>
                <w:sz w:val="16"/>
                <w:szCs w:val="16"/>
              </w:rPr>
            </w:pPr>
            <w:r>
              <w:rPr>
                <w:b/>
                <w:bCs/>
                <w:sz w:val="16"/>
                <w:szCs w:val="16"/>
              </w:rPr>
              <w:t>rok urodzenia</w:t>
            </w:r>
          </w:p>
          <w:p w14:paraId="3D83E3B0" w14:textId="77777777" w:rsidR="00031026" w:rsidRPr="00031026" w:rsidRDefault="00031026" w:rsidP="00031026">
            <w:pPr>
              <w:jc w:val="both"/>
              <w:rPr>
                <w:b/>
                <w:bCs/>
                <w:sz w:val="16"/>
                <w:szCs w:val="16"/>
              </w:rPr>
            </w:pPr>
            <w:r>
              <w:rPr>
                <w:b/>
                <w:bCs/>
                <w:sz w:val="16"/>
                <w:szCs w:val="16"/>
              </w:rPr>
              <w:t>miejsce zamieszkania</w:t>
            </w:r>
          </w:p>
        </w:tc>
        <w:tc>
          <w:tcPr>
            <w:tcW w:w="2160" w:type="dxa"/>
            <w:tcBorders>
              <w:right w:val="single" w:sz="4" w:space="0" w:color="auto"/>
            </w:tcBorders>
            <w:shd w:val="clear" w:color="auto" w:fill="E0E0E0"/>
          </w:tcPr>
          <w:p w14:paraId="07C2ACA9" w14:textId="77777777" w:rsidR="00031026" w:rsidRPr="00031026" w:rsidRDefault="00031026" w:rsidP="00031026">
            <w:pPr>
              <w:jc w:val="both"/>
              <w:rPr>
                <w:b/>
                <w:bCs/>
                <w:sz w:val="16"/>
                <w:szCs w:val="16"/>
              </w:rPr>
            </w:pPr>
            <w:r>
              <w:rPr>
                <w:b/>
                <w:bCs/>
                <w:sz w:val="16"/>
                <w:szCs w:val="16"/>
              </w:rPr>
              <w:t>Pełnomocnik procesowy</w:t>
            </w:r>
          </w:p>
        </w:tc>
      </w:tr>
      <w:tr w:rsidR="00031026" w:rsidRPr="00031026" w14:paraId="18EEC05F" w14:textId="77777777" w:rsidTr="00AF76D1">
        <w:trPr>
          <w:trHeight w:val="711"/>
        </w:trPr>
        <w:tc>
          <w:tcPr>
            <w:tcW w:w="817" w:type="dxa"/>
            <w:shd w:val="clear" w:color="auto" w:fill="auto"/>
          </w:tcPr>
          <w:p w14:paraId="408C8422" w14:textId="77777777" w:rsidR="00031026" w:rsidRPr="00031026" w:rsidRDefault="00031026" w:rsidP="00031026">
            <w:pPr>
              <w:ind w:left="360"/>
              <w:jc w:val="both"/>
              <w:rPr>
                <w:b/>
                <w:sz w:val="16"/>
                <w:szCs w:val="16"/>
              </w:rPr>
            </w:pPr>
            <w:r>
              <w:rPr>
                <w:b/>
                <w:sz w:val="16"/>
                <w:szCs w:val="16"/>
              </w:rPr>
              <w:t>1. </w:t>
            </w:r>
          </w:p>
        </w:tc>
        <w:tc>
          <w:tcPr>
            <w:tcW w:w="1134" w:type="dxa"/>
            <w:shd w:val="clear" w:color="auto" w:fill="auto"/>
          </w:tcPr>
          <w:p w14:paraId="69B5EC55" w14:textId="77777777" w:rsidR="00031026" w:rsidRPr="00031026" w:rsidRDefault="00031026" w:rsidP="00031026">
            <w:pPr>
              <w:jc w:val="both"/>
              <w:rPr>
                <w:bCs/>
                <w:sz w:val="16"/>
                <w:szCs w:val="16"/>
              </w:rPr>
            </w:pPr>
            <w:r>
              <w:rPr>
                <w:bCs/>
                <w:sz w:val="16"/>
                <w:szCs w:val="16"/>
              </w:rPr>
              <w:t>65583/13</w:t>
            </w:r>
          </w:p>
        </w:tc>
        <w:tc>
          <w:tcPr>
            <w:tcW w:w="1026" w:type="dxa"/>
            <w:shd w:val="clear" w:color="auto" w:fill="auto"/>
          </w:tcPr>
          <w:p w14:paraId="03386CDF" w14:textId="77777777" w:rsidR="00031026" w:rsidRPr="00031026" w:rsidRDefault="00031026" w:rsidP="00031026">
            <w:pPr>
              <w:jc w:val="both"/>
              <w:rPr>
                <w:bCs/>
                <w:sz w:val="16"/>
                <w:szCs w:val="16"/>
              </w:rPr>
            </w:pPr>
            <w:r>
              <w:rPr>
                <w:bCs/>
                <w:sz w:val="16"/>
                <w:szCs w:val="16"/>
              </w:rPr>
              <w:t>27/09/2013</w:t>
            </w:r>
          </w:p>
        </w:tc>
        <w:tc>
          <w:tcPr>
            <w:tcW w:w="2093" w:type="dxa"/>
            <w:shd w:val="clear" w:color="auto" w:fill="auto"/>
          </w:tcPr>
          <w:p w14:paraId="26B56162" w14:textId="77777777" w:rsidR="00031026" w:rsidRPr="00031026" w:rsidRDefault="00031026" w:rsidP="00031026">
            <w:pPr>
              <w:jc w:val="both"/>
              <w:rPr>
                <w:b/>
                <w:bCs/>
                <w:sz w:val="16"/>
                <w:szCs w:val="16"/>
              </w:rPr>
            </w:pPr>
            <w:proofErr w:type="spellStart"/>
            <w:r>
              <w:rPr>
                <w:b/>
                <w:bCs/>
                <w:sz w:val="16"/>
                <w:szCs w:val="16"/>
              </w:rPr>
              <w:t>Mammad</w:t>
            </w:r>
            <w:proofErr w:type="spellEnd"/>
            <w:r>
              <w:rPr>
                <w:b/>
                <w:bCs/>
                <w:sz w:val="16"/>
                <w:szCs w:val="16"/>
              </w:rPr>
              <w:t xml:space="preserve"> AZIZOV</w:t>
            </w:r>
          </w:p>
          <w:p w14:paraId="1765B330" w14:textId="77777777" w:rsidR="00031026" w:rsidRPr="00031026" w:rsidRDefault="00031026" w:rsidP="00031026">
            <w:pPr>
              <w:jc w:val="both"/>
              <w:rPr>
                <w:bCs/>
                <w:sz w:val="16"/>
                <w:szCs w:val="16"/>
              </w:rPr>
            </w:pPr>
            <w:r>
              <w:rPr>
                <w:bCs/>
                <w:sz w:val="16"/>
                <w:szCs w:val="16"/>
              </w:rPr>
              <w:t>1992</w:t>
            </w:r>
          </w:p>
          <w:p w14:paraId="339806F7" w14:textId="77777777" w:rsidR="00031026" w:rsidRPr="00031026" w:rsidRDefault="00031026" w:rsidP="00031026">
            <w:pPr>
              <w:jc w:val="both"/>
              <w:rPr>
                <w:bCs/>
                <w:sz w:val="16"/>
                <w:szCs w:val="16"/>
              </w:rPr>
            </w:pPr>
            <w:proofErr w:type="spellStart"/>
            <w:r>
              <w:rPr>
                <w:bCs/>
                <w:sz w:val="16"/>
                <w:szCs w:val="16"/>
              </w:rPr>
              <w:t>Shaki</w:t>
            </w:r>
            <w:proofErr w:type="spellEnd"/>
          </w:p>
          <w:p w14:paraId="6A4FF2FE" w14:textId="77777777" w:rsidR="00031026" w:rsidRPr="00031026" w:rsidRDefault="00031026" w:rsidP="00031026">
            <w:pPr>
              <w:jc w:val="both"/>
              <w:rPr>
                <w:bCs/>
                <w:sz w:val="16"/>
                <w:szCs w:val="16"/>
              </w:rPr>
            </w:pPr>
          </w:p>
        </w:tc>
        <w:tc>
          <w:tcPr>
            <w:tcW w:w="2160" w:type="dxa"/>
            <w:tcBorders>
              <w:right w:val="single" w:sz="4" w:space="0" w:color="auto"/>
            </w:tcBorders>
            <w:shd w:val="clear" w:color="auto" w:fill="auto"/>
          </w:tcPr>
          <w:p w14:paraId="1829DC22" w14:textId="77777777" w:rsidR="00031026" w:rsidRPr="00031026" w:rsidRDefault="00031026" w:rsidP="00031026">
            <w:pPr>
              <w:jc w:val="both"/>
              <w:rPr>
                <w:bCs/>
                <w:sz w:val="16"/>
                <w:szCs w:val="16"/>
              </w:rPr>
            </w:pPr>
            <w:proofErr w:type="spellStart"/>
            <w:r>
              <w:rPr>
                <w:bCs/>
                <w:sz w:val="16"/>
                <w:szCs w:val="16"/>
              </w:rPr>
              <w:t>Fariz</w:t>
            </w:r>
            <w:proofErr w:type="spellEnd"/>
            <w:r>
              <w:rPr>
                <w:bCs/>
                <w:sz w:val="16"/>
                <w:szCs w:val="16"/>
              </w:rPr>
              <w:t xml:space="preserve"> </w:t>
            </w:r>
            <w:proofErr w:type="spellStart"/>
            <w:r>
              <w:rPr>
                <w:bCs/>
                <w:sz w:val="16"/>
                <w:szCs w:val="16"/>
              </w:rPr>
              <w:t>Namazli</w:t>
            </w:r>
            <w:proofErr w:type="spellEnd"/>
          </w:p>
        </w:tc>
      </w:tr>
      <w:tr w:rsidR="00031026" w:rsidRPr="00031026" w14:paraId="755995B4" w14:textId="77777777" w:rsidTr="00AF76D1">
        <w:trPr>
          <w:trHeight w:val="711"/>
        </w:trPr>
        <w:tc>
          <w:tcPr>
            <w:tcW w:w="817" w:type="dxa"/>
            <w:tcBorders>
              <w:top w:val="single" w:sz="4" w:space="0" w:color="808080"/>
              <w:left w:val="single" w:sz="4" w:space="0" w:color="808080"/>
              <w:bottom w:val="single" w:sz="4" w:space="0" w:color="808080"/>
              <w:right w:val="single" w:sz="4" w:space="0" w:color="808080"/>
            </w:tcBorders>
            <w:shd w:val="clear" w:color="auto" w:fill="auto"/>
          </w:tcPr>
          <w:p w14:paraId="1A56C2F2" w14:textId="77777777" w:rsidR="00031026" w:rsidRPr="00031026" w:rsidRDefault="00031026" w:rsidP="00031026">
            <w:pPr>
              <w:ind w:left="357"/>
              <w:rPr>
                <w:b/>
                <w:sz w:val="16"/>
                <w:szCs w:val="16"/>
              </w:rPr>
            </w:pPr>
            <w:r>
              <w:rPr>
                <w:b/>
                <w:sz w:val="16"/>
                <w:szCs w:val="16"/>
              </w:rPr>
              <w:t>2.</w:t>
            </w:r>
          </w:p>
        </w:tc>
        <w:tc>
          <w:tcPr>
            <w:tcW w:w="1134" w:type="dxa"/>
            <w:tcBorders>
              <w:top w:val="single" w:sz="4" w:space="0" w:color="808080"/>
              <w:left w:val="single" w:sz="4" w:space="0" w:color="808080"/>
              <w:bottom w:val="single" w:sz="4" w:space="0" w:color="808080"/>
              <w:right w:val="single" w:sz="4" w:space="0" w:color="808080"/>
            </w:tcBorders>
            <w:shd w:val="clear" w:color="auto" w:fill="auto"/>
          </w:tcPr>
          <w:p w14:paraId="0D818DDE" w14:textId="77777777" w:rsidR="00031026" w:rsidRPr="00031026" w:rsidRDefault="00031026" w:rsidP="00031026">
            <w:pPr>
              <w:jc w:val="both"/>
              <w:rPr>
                <w:bCs/>
                <w:sz w:val="16"/>
                <w:szCs w:val="16"/>
              </w:rPr>
            </w:pPr>
            <w:r>
              <w:rPr>
                <w:bCs/>
                <w:sz w:val="16"/>
                <w:szCs w:val="16"/>
              </w:rPr>
              <w:t>70106/13</w:t>
            </w:r>
          </w:p>
        </w:tc>
        <w:tc>
          <w:tcPr>
            <w:tcW w:w="1026" w:type="dxa"/>
            <w:tcBorders>
              <w:top w:val="single" w:sz="4" w:space="0" w:color="808080"/>
              <w:left w:val="single" w:sz="4" w:space="0" w:color="808080"/>
              <w:bottom w:val="single" w:sz="4" w:space="0" w:color="808080"/>
              <w:right w:val="single" w:sz="4" w:space="0" w:color="808080"/>
            </w:tcBorders>
            <w:shd w:val="clear" w:color="auto" w:fill="auto"/>
          </w:tcPr>
          <w:p w14:paraId="3E2C29DB" w14:textId="77777777" w:rsidR="00031026" w:rsidRPr="00031026" w:rsidRDefault="00031026" w:rsidP="00031026">
            <w:pPr>
              <w:jc w:val="both"/>
              <w:rPr>
                <w:bCs/>
                <w:sz w:val="16"/>
                <w:szCs w:val="16"/>
              </w:rPr>
            </w:pPr>
            <w:r>
              <w:rPr>
                <w:bCs/>
                <w:sz w:val="16"/>
                <w:szCs w:val="16"/>
              </w:rPr>
              <w:t>17/10/2013</w:t>
            </w:r>
          </w:p>
        </w:tc>
        <w:tc>
          <w:tcPr>
            <w:tcW w:w="2093" w:type="dxa"/>
            <w:tcBorders>
              <w:top w:val="single" w:sz="4" w:space="0" w:color="808080"/>
              <w:left w:val="single" w:sz="4" w:space="0" w:color="808080"/>
              <w:bottom w:val="single" w:sz="4" w:space="0" w:color="808080"/>
              <w:right w:val="single" w:sz="4" w:space="0" w:color="808080"/>
            </w:tcBorders>
            <w:shd w:val="clear" w:color="auto" w:fill="auto"/>
          </w:tcPr>
          <w:p w14:paraId="3F4E96D8" w14:textId="77777777" w:rsidR="00031026" w:rsidRPr="00031026" w:rsidRDefault="00031026" w:rsidP="00031026">
            <w:pPr>
              <w:jc w:val="both"/>
              <w:rPr>
                <w:b/>
                <w:bCs/>
                <w:sz w:val="16"/>
                <w:szCs w:val="16"/>
              </w:rPr>
            </w:pPr>
            <w:proofErr w:type="spellStart"/>
            <w:r>
              <w:rPr>
                <w:b/>
                <w:bCs/>
                <w:sz w:val="16"/>
                <w:szCs w:val="16"/>
              </w:rPr>
              <w:t>Shahin</w:t>
            </w:r>
            <w:proofErr w:type="spellEnd"/>
            <w:r>
              <w:rPr>
                <w:b/>
                <w:bCs/>
                <w:sz w:val="16"/>
                <w:szCs w:val="16"/>
              </w:rPr>
              <w:t xml:space="preserve"> NOVRUZLU</w:t>
            </w:r>
          </w:p>
          <w:p w14:paraId="44FD9F9B" w14:textId="77777777" w:rsidR="00031026" w:rsidRPr="00031026" w:rsidRDefault="00031026" w:rsidP="00031026">
            <w:pPr>
              <w:jc w:val="both"/>
              <w:rPr>
                <w:bCs/>
                <w:sz w:val="16"/>
                <w:szCs w:val="16"/>
              </w:rPr>
            </w:pPr>
            <w:r>
              <w:rPr>
                <w:bCs/>
                <w:sz w:val="16"/>
                <w:szCs w:val="16"/>
              </w:rPr>
              <w:t>1995</w:t>
            </w:r>
          </w:p>
          <w:p w14:paraId="50E0CD8E" w14:textId="77777777" w:rsidR="00031026" w:rsidRPr="00031026" w:rsidRDefault="00031026" w:rsidP="00031026">
            <w:pPr>
              <w:jc w:val="both"/>
              <w:rPr>
                <w:bCs/>
                <w:sz w:val="16"/>
                <w:szCs w:val="16"/>
              </w:rPr>
            </w:pPr>
            <w:r>
              <w:rPr>
                <w:bCs/>
                <w:sz w:val="16"/>
                <w:szCs w:val="16"/>
              </w:rPr>
              <w:t>Baku</w:t>
            </w:r>
          </w:p>
        </w:tc>
        <w:tc>
          <w:tcPr>
            <w:tcW w:w="2160" w:type="dxa"/>
            <w:tcBorders>
              <w:top w:val="single" w:sz="4" w:space="0" w:color="808080"/>
              <w:left w:val="single" w:sz="4" w:space="0" w:color="808080"/>
              <w:bottom w:val="single" w:sz="4" w:space="0" w:color="808080"/>
              <w:right w:val="single" w:sz="4" w:space="0" w:color="auto"/>
            </w:tcBorders>
            <w:shd w:val="clear" w:color="auto" w:fill="auto"/>
          </w:tcPr>
          <w:p w14:paraId="5B3AAF07" w14:textId="77777777" w:rsidR="00031026" w:rsidRPr="00031026" w:rsidRDefault="00031026" w:rsidP="00031026">
            <w:pPr>
              <w:jc w:val="both"/>
              <w:rPr>
                <w:bCs/>
                <w:sz w:val="16"/>
                <w:szCs w:val="16"/>
              </w:rPr>
            </w:pPr>
            <w:proofErr w:type="spellStart"/>
            <w:r>
              <w:rPr>
                <w:bCs/>
                <w:sz w:val="16"/>
                <w:szCs w:val="16"/>
              </w:rPr>
              <w:t>Nemat</w:t>
            </w:r>
            <w:proofErr w:type="spellEnd"/>
            <w:r>
              <w:rPr>
                <w:bCs/>
                <w:sz w:val="16"/>
                <w:szCs w:val="16"/>
              </w:rPr>
              <w:t xml:space="preserve"> </w:t>
            </w:r>
            <w:proofErr w:type="spellStart"/>
            <w:r>
              <w:rPr>
                <w:bCs/>
                <w:sz w:val="16"/>
                <w:szCs w:val="16"/>
              </w:rPr>
              <w:t>Karimli</w:t>
            </w:r>
            <w:proofErr w:type="spellEnd"/>
          </w:p>
        </w:tc>
      </w:tr>
    </w:tbl>
    <w:p w14:paraId="08D10564" w14:textId="77777777" w:rsidR="00031026" w:rsidRPr="00031026" w:rsidRDefault="00031026" w:rsidP="00031026">
      <w:pPr>
        <w:pStyle w:val="JuSigned"/>
        <w:jc w:val="center"/>
      </w:pPr>
    </w:p>
    <w:p w14:paraId="34E6D0BE" w14:textId="77777777" w:rsidR="002A613A" w:rsidRPr="00031026" w:rsidRDefault="002A613A" w:rsidP="00031026"/>
    <w:sectPr w:rsidR="002A613A" w:rsidRPr="00031026" w:rsidSect="004C701D">
      <w:headerReference w:type="even" r:id="rId15"/>
      <w:headerReference w:type="default" r:id="rId16"/>
      <w:footerReference w:type="even" r:id="rId17"/>
      <w:footerReference w:type="default" r:id="rId18"/>
      <w:footnotePr>
        <w:numRestart w:val="eachSect"/>
      </w:footnotePr>
      <w:pgSz w:w="11906" w:h="16838" w:code="9"/>
      <w:pgMar w:top="2274" w:right="2274" w:bottom="2127"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4C388" w14:textId="77777777" w:rsidR="00455EF4" w:rsidRPr="00542DDB" w:rsidRDefault="00455EF4" w:rsidP="0098410D">
      <w:r w:rsidRPr="00542DDB">
        <w:separator/>
      </w:r>
    </w:p>
  </w:endnote>
  <w:endnote w:type="continuationSeparator" w:id="0">
    <w:p w14:paraId="62D849F8" w14:textId="77777777" w:rsidR="00455EF4" w:rsidRPr="00542DDB" w:rsidRDefault="00455EF4" w:rsidP="0098410D">
      <w:r w:rsidRPr="00542D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0175D" w14:textId="77777777" w:rsidR="00031026" w:rsidRPr="00150BFA" w:rsidRDefault="00031026" w:rsidP="00441880">
    <w:pPr>
      <w:jc w:val="center"/>
    </w:pPr>
    <w:r>
      <w:rPr>
        <w:noProof/>
      </w:rPr>
      <w:drawing>
        <wp:inline distT="0" distB="0" distL="0" distR="0" wp14:anchorId="2F44BE31" wp14:editId="7B413457">
          <wp:extent cx="771525" cy="619125"/>
          <wp:effectExtent l="0" t="0" r="9525" b="9525"/>
          <wp:docPr id="59" name="Picture 5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8BD3D34" w14:textId="77777777" w:rsidR="00031026" w:rsidRPr="00542DDB" w:rsidRDefault="00031026" w:rsidP="00441880">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2EDD0" w14:textId="77777777" w:rsidR="00031026" w:rsidRPr="00150BFA" w:rsidRDefault="00031026" w:rsidP="00441880">
    <w:pPr>
      <w:jc w:val="center"/>
    </w:pPr>
    <w:r>
      <w:rPr>
        <w:noProof/>
      </w:rPr>
      <w:drawing>
        <wp:inline distT="0" distB="0" distL="0" distR="0" wp14:anchorId="2CFF68A0" wp14:editId="5D5D8722">
          <wp:extent cx="771525" cy="619125"/>
          <wp:effectExtent l="0" t="0" r="9525" b="9525"/>
          <wp:docPr id="57" name="Picture 5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62A1183" w14:textId="77777777" w:rsidR="00031026" w:rsidRPr="00542DDB" w:rsidRDefault="00031026"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A3141" w14:textId="77777777" w:rsidR="00441880" w:rsidRDefault="00441880"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4CE3A" w14:textId="77777777" w:rsidR="00441880" w:rsidRPr="000B7195" w:rsidRDefault="00441880" w:rsidP="007D3701">
    <w:pPr>
      <w:pStyle w:val="JuHeader"/>
    </w:pPr>
    <w:r>
      <w:fldChar w:fldCharType="begin"/>
    </w:r>
    <w:r>
      <w:instrText xml:space="preserve"> PAGE </w:instrText>
    </w:r>
    <w:r>
      <w:fldChar w:fldCharType="separate"/>
    </w:r>
    <w: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10852" w14:textId="77777777" w:rsidR="00455EF4" w:rsidRPr="00542DDB" w:rsidRDefault="00455EF4" w:rsidP="0098410D">
      <w:r w:rsidRPr="00542DDB">
        <w:separator/>
      </w:r>
    </w:p>
  </w:footnote>
  <w:footnote w:type="continuationSeparator" w:id="0">
    <w:p w14:paraId="5D4A693B" w14:textId="77777777" w:rsidR="00455EF4" w:rsidRPr="00542DDB" w:rsidRDefault="00455EF4" w:rsidP="0098410D">
      <w:r w:rsidRPr="00542DD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88F7D" w14:textId="77777777" w:rsidR="00031026" w:rsidRPr="00A45145" w:rsidRDefault="00031026" w:rsidP="00441880">
    <w:pPr>
      <w:jc w:val="center"/>
    </w:pPr>
    <w:r>
      <w:rPr>
        <w:noProof/>
      </w:rPr>
      <w:drawing>
        <wp:inline distT="0" distB="0" distL="0" distR="0" wp14:anchorId="3FE2518D" wp14:editId="685F68C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A35972A" w14:textId="77777777" w:rsidR="00031026" w:rsidRPr="00542DDB" w:rsidRDefault="00031026" w:rsidP="00441880">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FA82" w14:textId="77777777" w:rsidR="00031026" w:rsidRPr="00A45145" w:rsidRDefault="00031026" w:rsidP="00441880">
    <w:pPr>
      <w:jc w:val="center"/>
    </w:pPr>
    <w:r>
      <w:rPr>
        <w:noProof/>
      </w:rPr>
      <w:drawing>
        <wp:inline distT="0" distB="0" distL="0" distR="0" wp14:anchorId="0F81E5F2" wp14:editId="055F1D9B">
          <wp:extent cx="2962275" cy="1219200"/>
          <wp:effectExtent l="0" t="0" r="9525" b="0"/>
          <wp:docPr id="45" name="Picture 4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E691F20" w14:textId="77777777" w:rsidR="00031026" w:rsidRPr="00542DDB" w:rsidRDefault="0003102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0916B" w14:textId="77777777" w:rsidR="00441880" w:rsidRPr="004D0EC7" w:rsidRDefault="00441880" w:rsidP="004D0EC7">
    <w:pPr>
      <w:pStyle w:val="JuHeader"/>
    </w:pPr>
    <w:r>
      <w:t>WYROK W SPRAWIE AZIZOV I NOVRUZLU przeciwko AZERBEJDŻANOWI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5A644" w14:textId="77777777" w:rsidR="00441880" w:rsidRPr="00882CD5" w:rsidRDefault="00441880" w:rsidP="007D3701">
    <w:pPr>
      <w:pStyle w:val="JuHeader"/>
    </w:pPr>
    <w:r>
      <w:t>WYROK W SPRAWIE AZIZOV I NOVRUZLU przeciwko AZERBEJDŻANOWI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36247CD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1133791681">
    <w:abstractNumId w:val="16"/>
  </w:num>
  <w:num w:numId="2" w16cid:durableId="19211332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90942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2390708">
    <w:abstractNumId w:val="9"/>
  </w:num>
  <w:num w:numId="5" w16cid:durableId="643974276">
    <w:abstractNumId w:val="13"/>
  </w:num>
  <w:num w:numId="6" w16cid:durableId="684283057">
    <w:abstractNumId w:val="11"/>
  </w:num>
  <w:num w:numId="7" w16cid:durableId="1558736687">
    <w:abstractNumId w:val="10"/>
  </w:num>
  <w:num w:numId="8" w16cid:durableId="1534148885">
    <w:abstractNumId w:val="14"/>
  </w:num>
  <w:num w:numId="9" w16cid:durableId="430399770">
    <w:abstractNumId w:val="12"/>
  </w:num>
  <w:num w:numId="10" w16cid:durableId="1439641365">
    <w:abstractNumId w:val="15"/>
  </w:num>
  <w:num w:numId="11" w16cid:durableId="338893008">
    <w:abstractNumId w:val="17"/>
  </w:num>
  <w:num w:numId="12" w16cid:durableId="1143156933">
    <w:abstractNumId w:val="7"/>
  </w:num>
  <w:num w:numId="13" w16cid:durableId="333999006">
    <w:abstractNumId w:val="6"/>
  </w:num>
  <w:num w:numId="14" w16cid:durableId="594632185">
    <w:abstractNumId w:val="5"/>
  </w:num>
  <w:num w:numId="15" w16cid:durableId="540215611">
    <w:abstractNumId w:val="4"/>
  </w:num>
  <w:num w:numId="16" w16cid:durableId="2144305086">
    <w:abstractNumId w:val="8"/>
  </w:num>
  <w:num w:numId="17" w16cid:durableId="186525140">
    <w:abstractNumId w:val="3"/>
  </w:num>
  <w:num w:numId="18" w16cid:durableId="1308049641">
    <w:abstractNumId w:val="2"/>
  </w:num>
  <w:num w:numId="19" w16cid:durableId="1446927805">
    <w:abstractNumId w:val="1"/>
  </w:num>
  <w:num w:numId="20" w16cid:durableId="1521554104">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2"/>
    <w:docVar w:name="EMM" w:val="0"/>
    <w:docVar w:name="LW_DocType" w:val="NORMAL"/>
    <w:docVar w:name="NBEMMDOC" w:val="0"/>
  </w:docVars>
  <w:rsids>
    <w:rsidRoot w:val="00542DDB"/>
    <w:rsid w:val="000041F8"/>
    <w:rsid w:val="000042A8"/>
    <w:rsid w:val="00004308"/>
    <w:rsid w:val="00005BF0"/>
    <w:rsid w:val="0000617D"/>
    <w:rsid w:val="00007154"/>
    <w:rsid w:val="000103AE"/>
    <w:rsid w:val="00011D69"/>
    <w:rsid w:val="00012AD3"/>
    <w:rsid w:val="00015C2D"/>
    <w:rsid w:val="00015F00"/>
    <w:rsid w:val="00022C1D"/>
    <w:rsid w:val="00031026"/>
    <w:rsid w:val="00031428"/>
    <w:rsid w:val="00034987"/>
    <w:rsid w:val="00041560"/>
    <w:rsid w:val="000602DF"/>
    <w:rsid w:val="00061B05"/>
    <w:rsid w:val="000632D5"/>
    <w:rsid w:val="00063A34"/>
    <w:rsid w:val="000644EE"/>
    <w:rsid w:val="000713A5"/>
    <w:rsid w:val="0007780A"/>
    <w:rsid w:val="000814E7"/>
    <w:rsid w:val="00085457"/>
    <w:rsid w:val="00087EAA"/>
    <w:rsid w:val="000925AD"/>
    <w:rsid w:val="00096FE1"/>
    <w:rsid w:val="00097A62"/>
    <w:rsid w:val="000A24EB"/>
    <w:rsid w:val="000B686A"/>
    <w:rsid w:val="000B6923"/>
    <w:rsid w:val="000B7195"/>
    <w:rsid w:val="000C5F3C"/>
    <w:rsid w:val="000C6DCC"/>
    <w:rsid w:val="000D47AA"/>
    <w:rsid w:val="000D7205"/>
    <w:rsid w:val="000D721F"/>
    <w:rsid w:val="000E069B"/>
    <w:rsid w:val="000E0E82"/>
    <w:rsid w:val="000E1DC5"/>
    <w:rsid w:val="000E223F"/>
    <w:rsid w:val="000E46B8"/>
    <w:rsid w:val="000E7D45"/>
    <w:rsid w:val="000F7851"/>
    <w:rsid w:val="001001A5"/>
    <w:rsid w:val="00101505"/>
    <w:rsid w:val="0010296E"/>
    <w:rsid w:val="00104E23"/>
    <w:rsid w:val="00110DA8"/>
    <w:rsid w:val="00111B0C"/>
    <w:rsid w:val="00120D6C"/>
    <w:rsid w:val="00123C6D"/>
    <w:rsid w:val="001257EC"/>
    <w:rsid w:val="0013100E"/>
    <w:rsid w:val="00133D33"/>
    <w:rsid w:val="00134B6A"/>
    <w:rsid w:val="00134D64"/>
    <w:rsid w:val="00135A30"/>
    <w:rsid w:val="0013612C"/>
    <w:rsid w:val="00137FF6"/>
    <w:rsid w:val="00141650"/>
    <w:rsid w:val="001561B6"/>
    <w:rsid w:val="00162A12"/>
    <w:rsid w:val="00166530"/>
    <w:rsid w:val="001678FC"/>
    <w:rsid w:val="00170027"/>
    <w:rsid w:val="001832BD"/>
    <w:rsid w:val="00187489"/>
    <w:rsid w:val="001943B5"/>
    <w:rsid w:val="00195134"/>
    <w:rsid w:val="00197783"/>
    <w:rsid w:val="001A145B"/>
    <w:rsid w:val="001A3E09"/>
    <w:rsid w:val="001A674C"/>
    <w:rsid w:val="001A6D4C"/>
    <w:rsid w:val="001B0E8A"/>
    <w:rsid w:val="001B2C5A"/>
    <w:rsid w:val="001B3B24"/>
    <w:rsid w:val="001C055B"/>
    <w:rsid w:val="001C0F98"/>
    <w:rsid w:val="001C2A42"/>
    <w:rsid w:val="001D5CE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169AE"/>
    <w:rsid w:val="00225B78"/>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4439"/>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1826"/>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26BB"/>
    <w:rsid w:val="00385A36"/>
    <w:rsid w:val="00385F3D"/>
    <w:rsid w:val="00387B9D"/>
    <w:rsid w:val="00387C70"/>
    <w:rsid w:val="00390294"/>
    <w:rsid w:val="0039364F"/>
    <w:rsid w:val="00396686"/>
    <w:rsid w:val="0039778E"/>
    <w:rsid w:val="003B4941"/>
    <w:rsid w:val="003C5714"/>
    <w:rsid w:val="003C6B9F"/>
    <w:rsid w:val="003C6E2A"/>
    <w:rsid w:val="003D0299"/>
    <w:rsid w:val="003D2010"/>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372F1"/>
    <w:rsid w:val="00441880"/>
    <w:rsid w:val="004436CC"/>
    <w:rsid w:val="00443D98"/>
    <w:rsid w:val="00445366"/>
    <w:rsid w:val="00447F5B"/>
    <w:rsid w:val="00455EF4"/>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A605A"/>
    <w:rsid w:val="004B013B"/>
    <w:rsid w:val="004B112B"/>
    <w:rsid w:val="004B1236"/>
    <w:rsid w:val="004B444E"/>
    <w:rsid w:val="004C01E4"/>
    <w:rsid w:val="004C086C"/>
    <w:rsid w:val="004C1F56"/>
    <w:rsid w:val="004C27BC"/>
    <w:rsid w:val="004C6621"/>
    <w:rsid w:val="004C701D"/>
    <w:rsid w:val="004D0EC7"/>
    <w:rsid w:val="004D15F3"/>
    <w:rsid w:val="004D3B3D"/>
    <w:rsid w:val="004D4EF1"/>
    <w:rsid w:val="004D5311"/>
    <w:rsid w:val="004D5DCC"/>
    <w:rsid w:val="004D7E45"/>
    <w:rsid w:val="004E4A7F"/>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2DDB"/>
    <w:rsid w:val="005442EE"/>
    <w:rsid w:val="00545DA6"/>
    <w:rsid w:val="00547353"/>
    <w:rsid w:val="005474E7"/>
    <w:rsid w:val="005512A3"/>
    <w:rsid w:val="005578CE"/>
    <w:rsid w:val="00562781"/>
    <w:rsid w:val="00562B6C"/>
    <w:rsid w:val="0057271C"/>
    <w:rsid w:val="00572845"/>
    <w:rsid w:val="00583C8E"/>
    <w:rsid w:val="005879A2"/>
    <w:rsid w:val="00592772"/>
    <w:rsid w:val="0059574A"/>
    <w:rsid w:val="005A1B9B"/>
    <w:rsid w:val="005A2E79"/>
    <w:rsid w:val="005A6751"/>
    <w:rsid w:val="005B092E"/>
    <w:rsid w:val="005B152C"/>
    <w:rsid w:val="005B1EE0"/>
    <w:rsid w:val="005B2B24"/>
    <w:rsid w:val="005B4425"/>
    <w:rsid w:val="005B4B94"/>
    <w:rsid w:val="005C370A"/>
    <w:rsid w:val="005C3EE8"/>
    <w:rsid w:val="005D2EAF"/>
    <w:rsid w:val="005D2F2A"/>
    <w:rsid w:val="005D34F9"/>
    <w:rsid w:val="005D4190"/>
    <w:rsid w:val="005D67A3"/>
    <w:rsid w:val="005E2988"/>
    <w:rsid w:val="005E3085"/>
    <w:rsid w:val="005E5A9E"/>
    <w:rsid w:val="005F0EB3"/>
    <w:rsid w:val="005F51E1"/>
    <w:rsid w:val="00611C80"/>
    <w:rsid w:val="00620692"/>
    <w:rsid w:val="006242CA"/>
    <w:rsid w:val="00627507"/>
    <w:rsid w:val="00633717"/>
    <w:rsid w:val="006344E1"/>
    <w:rsid w:val="006348A9"/>
    <w:rsid w:val="00643524"/>
    <w:rsid w:val="0064393B"/>
    <w:rsid w:val="00644E24"/>
    <w:rsid w:val="00644EC6"/>
    <w:rsid w:val="00646C1F"/>
    <w:rsid w:val="006545C4"/>
    <w:rsid w:val="00660B54"/>
    <w:rsid w:val="00661971"/>
    <w:rsid w:val="00661CE8"/>
    <w:rsid w:val="006623D9"/>
    <w:rsid w:val="006642A5"/>
    <w:rsid w:val="0066550C"/>
    <w:rsid w:val="006658AB"/>
    <w:rsid w:val="00665BD2"/>
    <w:rsid w:val="006716F2"/>
    <w:rsid w:val="00682BF2"/>
    <w:rsid w:val="0068573E"/>
    <w:rsid w:val="006859CE"/>
    <w:rsid w:val="00691270"/>
    <w:rsid w:val="00694BA8"/>
    <w:rsid w:val="006A037C"/>
    <w:rsid w:val="006A36F4"/>
    <w:rsid w:val="006A406F"/>
    <w:rsid w:val="006A56E2"/>
    <w:rsid w:val="006A5D3A"/>
    <w:rsid w:val="006A6DDF"/>
    <w:rsid w:val="006B2B01"/>
    <w:rsid w:val="006B3DF3"/>
    <w:rsid w:val="006C23D4"/>
    <w:rsid w:val="006C7BB0"/>
    <w:rsid w:val="006D205D"/>
    <w:rsid w:val="006D3237"/>
    <w:rsid w:val="006E0744"/>
    <w:rsid w:val="006E2E37"/>
    <w:rsid w:val="006E3CF1"/>
    <w:rsid w:val="006E68A3"/>
    <w:rsid w:val="006E7E80"/>
    <w:rsid w:val="006F1C2D"/>
    <w:rsid w:val="006F48CA"/>
    <w:rsid w:val="006F64DD"/>
    <w:rsid w:val="006F712D"/>
    <w:rsid w:val="00715127"/>
    <w:rsid w:val="00715E8E"/>
    <w:rsid w:val="00715FE8"/>
    <w:rsid w:val="00723580"/>
    <w:rsid w:val="00723755"/>
    <w:rsid w:val="00726125"/>
    <w:rsid w:val="0073136C"/>
    <w:rsid w:val="00731F0F"/>
    <w:rsid w:val="00733250"/>
    <w:rsid w:val="00740F44"/>
    <w:rsid w:val="00741404"/>
    <w:rsid w:val="007449E5"/>
    <w:rsid w:val="0074750E"/>
    <w:rsid w:val="00747FF0"/>
    <w:rsid w:val="0075566E"/>
    <w:rsid w:val="007605F4"/>
    <w:rsid w:val="00763602"/>
    <w:rsid w:val="00764D4E"/>
    <w:rsid w:val="00765A1F"/>
    <w:rsid w:val="0076797C"/>
    <w:rsid w:val="00775B6D"/>
    <w:rsid w:val="00776D68"/>
    <w:rsid w:val="0078323E"/>
    <w:rsid w:val="007850EE"/>
    <w:rsid w:val="00785B95"/>
    <w:rsid w:val="00790E96"/>
    <w:rsid w:val="00791180"/>
    <w:rsid w:val="00793366"/>
    <w:rsid w:val="007A716F"/>
    <w:rsid w:val="007B270A"/>
    <w:rsid w:val="007B4182"/>
    <w:rsid w:val="007B5856"/>
    <w:rsid w:val="007B7185"/>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10D0"/>
    <w:rsid w:val="0083214A"/>
    <w:rsid w:val="00834220"/>
    <w:rsid w:val="00840F0B"/>
    <w:rsid w:val="00845723"/>
    <w:rsid w:val="008519E7"/>
    <w:rsid w:val="00851EF9"/>
    <w:rsid w:val="008577FD"/>
    <w:rsid w:val="00860B03"/>
    <w:rsid w:val="00861EA1"/>
    <w:rsid w:val="0086497A"/>
    <w:rsid w:val="00867066"/>
    <w:rsid w:val="008713A1"/>
    <w:rsid w:val="00872584"/>
    <w:rsid w:val="008754AB"/>
    <w:rsid w:val="0088060C"/>
    <w:rsid w:val="00882CD5"/>
    <w:rsid w:val="00883074"/>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018"/>
    <w:rsid w:val="00934301"/>
    <w:rsid w:val="00936CD1"/>
    <w:rsid w:val="00941747"/>
    <w:rsid w:val="00941EFB"/>
    <w:rsid w:val="00947AFB"/>
    <w:rsid w:val="00947C2B"/>
    <w:rsid w:val="00951AA3"/>
    <w:rsid w:val="00951D7D"/>
    <w:rsid w:val="00956D0C"/>
    <w:rsid w:val="009630C7"/>
    <w:rsid w:val="00972B55"/>
    <w:rsid w:val="009743B7"/>
    <w:rsid w:val="0098228B"/>
    <w:rsid w:val="009828DA"/>
    <w:rsid w:val="0098410D"/>
    <w:rsid w:val="00985BAB"/>
    <w:rsid w:val="00986B3C"/>
    <w:rsid w:val="009A115C"/>
    <w:rsid w:val="009B0E24"/>
    <w:rsid w:val="009B1606"/>
    <w:rsid w:val="009B1B5F"/>
    <w:rsid w:val="009B6673"/>
    <w:rsid w:val="009C11D4"/>
    <w:rsid w:val="009C191B"/>
    <w:rsid w:val="009C2BD6"/>
    <w:rsid w:val="009D5FA4"/>
    <w:rsid w:val="009E1F32"/>
    <w:rsid w:val="009E2CC2"/>
    <w:rsid w:val="009E47A2"/>
    <w:rsid w:val="009E776C"/>
    <w:rsid w:val="009E7A6F"/>
    <w:rsid w:val="009F4C8F"/>
    <w:rsid w:val="00A05588"/>
    <w:rsid w:val="00A14D9F"/>
    <w:rsid w:val="00A15601"/>
    <w:rsid w:val="00A1726E"/>
    <w:rsid w:val="00A204CF"/>
    <w:rsid w:val="00A21D2B"/>
    <w:rsid w:val="00A21E6F"/>
    <w:rsid w:val="00A22745"/>
    <w:rsid w:val="00A23D49"/>
    <w:rsid w:val="00A27004"/>
    <w:rsid w:val="00A308CE"/>
    <w:rsid w:val="00A30C29"/>
    <w:rsid w:val="00A34DD6"/>
    <w:rsid w:val="00A35683"/>
    <w:rsid w:val="00A36819"/>
    <w:rsid w:val="00A36989"/>
    <w:rsid w:val="00A43628"/>
    <w:rsid w:val="00A51D0F"/>
    <w:rsid w:val="00A527C0"/>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E75A4"/>
    <w:rsid w:val="00AF4B07"/>
    <w:rsid w:val="00AF6186"/>
    <w:rsid w:val="00AF7A3A"/>
    <w:rsid w:val="00B01A4E"/>
    <w:rsid w:val="00B02587"/>
    <w:rsid w:val="00B160DB"/>
    <w:rsid w:val="00B20836"/>
    <w:rsid w:val="00B235BB"/>
    <w:rsid w:val="00B27A44"/>
    <w:rsid w:val="00B30BBF"/>
    <w:rsid w:val="00B33C03"/>
    <w:rsid w:val="00B43005"/>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3DFF"/>
    <w:rsid w:val="00BF4109"/>
    <w:rsid w:val="00BF4CC3"/>
    <w:rsid w:val="00BF56B4"/>
    <w:rsid w:val="00C0305D"/>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190"/>
    <w:rsid w:val="00C6098E"/>
    <w:rsid w:val="00C6152C"/>
    <w:rsid w:val="00C74810"/>
    <w:rsid w:val="00C77EFE"/>
    <w:rsid w:val="00C80CD1"/>
    <w:rsid w:val="00C90D68"/>
    <w:rsid w:val="00C93640"/>
    <w:rsid w:val="00C939FE"/>
    <w:rsid w:val="00C95485"/>
    <w:rsid w:val="00CA4BDA"/>
    <w:rsid w:val="00CB1004"/>
    <w:rsid w:val="00CB13E3"/>
    <w:rsid w:val="00CB1F66"/>
    <w:rsid w:val="00CB232C"/>
    <w:rsid w:val="00CB2951"/>
    <w:rsid w:val="00CB4277"/>
    <w:rsid w:val="00CB5AFB"/>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25AB"/>
    <w:rsid w:val="00D13249"/>
    <w:rsid w:val="00D15ED0"/>
    <w:rsid w:val="00D164BF"/>
    <w:rsid w:val="00D21B3E"/>
    <w:rsid w:val="00D21FED"/>
    <w:rsid w:val="00D23048"/>
    <w:rsid w:val="00D24251"/>
    <w:rsid w:val="00D26E72"/>
    <w:rsid w:val="00D27D76"/>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853F8"/>
    <w:rsid w:val="00D86FCE"/>
    <w:rsid w:val="00D908A8"/>
    <w:rsid w:val="00D977B6"/>
    <w:rsid w:val="00DA1223"/>
    <w:rsid w:val="00DA4A31"/>
    <w:rsid w:val="00DA5CC3"/>
    <w:rsid w:val="00DA7B04"/>
    <w:rsid w:val="00DB36C2"/>
    <w:rsid w:val="00DC169B"/>
    <w:rsid w:val="00DC2AB9"/>
    <w:rsid w:val="00DC63F0"/>
    <w:rsid w:val="00DD37EA"/>
    <w:rsid w:val="00DD6EE5"/>
    <w:rsid w:val="00DE386C"/>
    <w:rsid w:val="00DE4D35"/>
    <w:rsid w:val="00DE7F1D"/>
    <w:rsid w:val="00DF098B"/>
    <w:rsid w:val="00DF11C4"/>
    <w:rsid w:val="00DF210C"/>
    <w:rsid w:val="00DF4B6A"/>
    <w:rsid w:val="00DF5FDF"/>
    <w:rsid w:val="00E004C0"/>
    <w:rsid w:val="00E02C09"/>
    <w:rsid w:val="00E04D59"/>
    <w:rsid w:val="00E07DA1"/>
    <w:rsid w:val="00E123CB"/>
    <w:rsid w:val="00E13B09"/>
    <w:rsid w:val="00E20E13"/>
    <w:rsid w:val="00E21DBC"/>
    <w:rsid w:val="00E275D7"/>
    <w:rsid w:val="00E27DBE"/>
    <w:rsid w:val="00E32AB1"/>
    <w:rsid w:val="00E36C71"/>
    <w:rsid w:val="00E37DA0"/>
    <w:rsid w:val="00E40404"/>
    <w:rsid w:val="00E4126A"/>
    <w:rsid w:val="00E42A06"/>
    <w:rsid w:val="00E459C6"/>
    <w:rsid w:val="00E47589"/>
    <w:rsid w:val="00E54D39"/>
    <w:rsid w:val="00E63EC7"/>
    <w:rsid w:val="00E64915"/>
    <w:rsid w:val="00E64D3A"/>
    <w:rsid w:val="00E661D4"/>
    <w:rsid w:val="00E70091"/>
    <w:rsid w:val="00E70D2E"/>
    <w:rsid w:val="00E720F5"/>
    <w:rsid w:val="00E76D47"/>
    <w:rsid w:val="00E8251D"/>
    <w:rsid w:val="00E827BC"/>
    <w:rsid w:val="00E849F7"/>
    <w:rsid w:val="00E90302"/>
    <w:rsid w:val="00E91D05"/>
    <w:rsid w:val="00E95C1E"/>
    <w:rsid w:val="00E97396"/>
    <w:rsid w:val="00EA185E"/>
    <w:rsid w:val="00EA207B"/>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5098"/>
    <w:rsid w:val="00F07C1E"/>
    <w:rsid w:val="00F105DB"/>
    <w:rsid w:val="00F132BC"/>
    <w:rsid w:val="00F13D80"/>
    <w:rsid w:val="00F152FE"/>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3AC2"/>
    <w:rsid w:val="00F64EF1"/>
    <w:rsid w:val="00F72B14"/>
    <w:rsid w:val="00F7349B"/>
    <w:rsid w:val="00F8004C"/>
    <w:rsid w:val="00F8765F"/>
    <w:rsid w:val="00F90767"/>
    <w:rsid w:val="00F9263C"/>
    <w:rsid w:val="00F95F74"/>
    <w:rsid w:val="00FA1637"/>
    <w:rsid w:val="00FA685B"/>
    <w:rsid w:val="00FB0C01"/>
    <w:rsid w:val="00FB5934"/>
    <w:rsid w:val="00FC18F2"/>
    <w:rsid w:val="00FC2A17"/>
    <w:rsid w:val="00FC38CF"/>
    <w:rsid w:val="00FC39E5"/>
    <w:rsid w:val="00FC3A78"/>
    <w:rsid w:val="00FC5BAC"/>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64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947C2B"/>
    <w:rPr>
      <w:sz w:val="24"/>
      <w:szCs w:val="24"/>
    </w:rPr>
  </w:style>
  <w:style w:type="paragraph" w:styleId="Nagwek1">
    <w:name w:val="heading 1"/>
    <w:basedOn w:val="Normalny"/>
    <w:next w:val="Normalny"/>
    <w:link w:val="Nagwek1Znak"/>
    <w:uiPriority w:val="98"/>
    <w:semiHidden/>
    <w:rsid w:val="00947C2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947C2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947C2B"/>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947C2B"/>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947C2B"/>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947C2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947C2B"/>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947C2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947C2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947C2B"/>
    <w:rPr>
      <w:rFonts w:ascii="Tahoma" w:hAnsi="Tahoma" w:cs="Tahoma"/>
      <w:sz w:val="16"/>
      <w:szCs w:val="16"/>
    </w:rPr>
  </w:style>
  <w:style w:type="character" w:customStyle="1" w:styleId="TekstdymkaZnak">
    <w:name w:val="Tekst dymka Znak"/>
    <w:basedOn w:val="Domylnaczcionkaakapitu"/>
    <w:link w:val="Tekstdymka"/>
    <w:uiPriority w:val="98"/>
    <w:semiHidden/>
    <w:rsid w:val="00947C2B"/>
    <w:rPr>
      <w:rFonts w:ascii="Tahoma" w:hAnsi="Tahoma" w:cs="Tahoma"/>
      <w:sz w:val="16"/>
      <w:szCs w:val="16"/>
      <w:lang w:val="pl-PL"/>
    </w:rPr>
  </w:style>
  <w:style w:type="character" w:styleId="Tytuksiki">
    <w:name w:val="Book Title"/>
    <w:uiPriority w:val="98"/>
    <w:semiHidden/>
    <w:qFormat/>
    <w:rsid w:val="00947C2B"/>
    <w:rPr>
      <w:i/>
      <w:iCs/>
      <w:smallCaps/>
      <w:spacing w:val="5"/>
    </w:rPr>
  </w:style>
  <w:style w:type="paragraph" w:customStyle="1" w:styleId="JuHeader">
    <w:name w:val="Ju_Header"/>
    <w:aliases w:val="_Header"/>
    <w:basedOn w:val="Nagwek"/>
    <w:uiPriority w:val="29"/>
    <w:qFormat/>
    <w:rsid w:val="00947C2B"/>
    <w:pPr>
      <w:tabs>
        <w:tab w:val="clear" w:pos="4536"/>
        <w:tab w:val="clear" w:pos="9072"/>
      </w:tabs>
      <w:jc w:val="center"/>
    </w:pPr>
    <w:rPr>
      <w:sz w:val="18"/>
    </w:rPr>
  </w:style>
  <w:style w:type="paragraph" w:customStyle="1" w:styleId="NormalJustified">
    <w:name w:val="Normal_Justified"/>
    <w:basedOn w:val="Normalny"/>
    <w:semiHidden/>
    <w:rsid w:val="00947C2B"/>
    <w:pPr>
      <w:jc w:val="both"/>
    </w:pPr>
  </w:style>
  <w:style w:type="character" w:styleId="Pogrubienie">
    <w:name w:val="Strong"/>
    <w:uiPriority w:val="98"/>
    <w:semiHidden/>
    <w:qFormat/>
    <w:rsid w:val="00947C2B"/>
    <w:rPr>
      <w:b/>
      <w:bCs/>
    </w:rPr>
  </w:style>
  <w:style w:type="paragraph" w:styleId="Bezodstpw">
    <w:name w:val="No Spacing"/>
    <w:basedOn w:val="Normalny"/>
    <w:link w:val="BezodstpwZnak"/>
    <w:uiPriority w:val="98"/>
    <w:semiHidden/>
    <w:qFormat/>
    <w:rsid w:val="00947C2B"/>
  </w:style>
  <w:style w:type="character" w:customStyle="1" w:styleId="BezodstpwZnak">
    <w:name w:val="Bez odstępów Znak"/>
    <w:basedOn w:val="Domylnaczcionkaakapitu"/>
    <w:link w:val="Bezodstpw"/>
    <w:uiPriority w:val="98"/>
    <w:semiHidden/>
    <w:rsid w:val="00947C2B"/>
    <w:rPr>
      <w:sz w:val="24"/>
      <w:szCs w:val="24"/>
      <w:lang w:val="pl-PL"/>
    </w:rPr>
  </w:style>
  <w:style w:type="paragraph" w:customStyle="1" w:styleId="JuQuot">
    <w:name w:val="Ju_Quot"/>
    <w:aliases w:val="_Quote"/>
    <w:basedOn w:val="NormalJustified"/>
    <w:uiPriority w:val="20"/>
    <w:qFormat/>
    <w:rsid w:val="00947C2B"/>
    <w:pPr>
      <w:spacing w:before="120" w:after="120"/>
      <w:ind w:left="425" w:firstLine="142"/>
    </w:pPr>
    <w:rPr>
      <w:sz w:val="20"/>
    </w:rPr>
  </w:style>
  <w:style w:type="paragraph" w:customStyle="1" w:styleId="DummyStyle">
    <w:name w:val="Dummy_Style"/>
    <w:aliases w:val="_Dummy"/>
    <w:basedOn w:val="Normalny"/>
    <w:semiHidden/>
    <w:qFormat/>
    <w:rsid w:val="00947C2B"/>
    <w:rPr>
      <w:color w:val="00B050"/>
      <w:sz w:val="22"/>
    </w:rPr>
  </w:style>
  <w:style w:type="paragraph" w:customStyle="1" w:styleId="JuList">
    <w:name w:val="Ju_List"/>
    <w:aliases w:val="_List_1"/>
    <w:basedOn w:val="NormalJustified"/>
    <w:link w:val="JuListChar"/>
    <w:uiPriority w:val="23"/>
    <w:qFormat/>
    <w:rsid w:val="00947C2B"/>
    <w:pPr>
      <w:numPr>
        <w:numId w:val="9"/>
      </w:numPr>
      <w:spacing w:before="280" w:after="60"/>
    </w:pPr>
  </w:style>
  <w:style w:type="paragraph" w:customStyle="1" w:styleId="JuLista">
    <w:name w:val="Ju_List_a"/>
    <w:aliases w:val="_List_2"/>
    <w:basedOn w:val="NormalJustified"/>
    <w:uiPriority w:val="23"/>
    <w:rsid w:val="00947C2B"/>
    <w:pPr>
      <w:numPr>
        <w:ilvl w:val="1"/>
        <w:numId w:val="9"/>
      </w:numPr>
    </w:pPr>
  </w:style>
  <w:style w:type="paragraph" w:customStyle="1" w:styleId="JuListi">
    <w:name w:val="Ju_List_i"/>
    <w:aliases w:val="_List_3"/>
    <w:basedOn w:val="NormalJustified"/>
    <w:uiPriority w:val="23"/>
    <w:rsid w:val="00947C2B"/>
    <w:pPr>
      <w:numPr>
        <w:ilvl w:val="2"/>
        <w:numId w:val="9"/>
      </w:numPr>
    </w:pPr>
  </w:style>
  <w:style w:type="paragraph" w:customStyle="1" w:styleId="JuHArticle">
    <w:name w:val="Ju_H_Article"/>
    <w:aliases w:val="_Title_Quote"/>
    <w:basedOn w:val="Normalny"/>
    <w:next w:val="JuQuot"/>
    <w:uiPriority w:val="19"/>
    <w:qFormat/>
    <w:rsid w:val="00947C2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47C2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47C2B"/>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947C2B"/>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947C2B"/>
    <w:pPr>
      <w:numPr>
        <w:numId w:val="8"/>
      </w:numPr>
    </w:pPr>
  </w:style>
  <w:style w:type="paragraph" w:customStyle="1" w:styleId="JuSigned">
    <w:name w:val="Ju_Signed"/>
    <w:aliases w:val="_Signature"/>
    <w:basedOn w:val="Normalny"/>
    <w:next w:val="JuPara"/>
    <w:uiPriority w:val="31"/>
    <w:qFormat/>
    <w:rsid w:val="00947C2B"/>
    <w:pPr>
      <w:tabs>
        <w:tab w:val="center" w:pos="851"/>
        <w:tab w:val="center" w:pos="6407"/>
      </w:tabs>
      <w:spacing w:before="720"/>
    </w:pPr>
  </w:style>
  <w:style w:type="paragraph" w:styleId="Tytu">
    <w:name w:val="Title"/>
    <w:basedOn w:val="Normalny"/>
    <w:next w:val="Normalny"/>
    <w:link w:val="TytuZnak"/>
    <w:uiPriority w:val="98"/>
    <w:semiHidden/>
    <w:qFormat/>
    <w:rsid w:val="00947C2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947C2B"/>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947C2B"/>
    <w:pPr>
      <w:numPr>
        <w:numId w:val="9"/>
      </w:numPr>
    </w:pPr>
  </w:style>
  <w:style w:type="numbering" w:customStyle="1" w:styleId="ECHRA1StyleNumberedList">
    <w:name w:val="ECHR_A1_Style_Numbered_List"/>
    <w:basedOn w:val="Bezlisty"/>
    <w:rsid w:val="00947C2B"/>
    <w:pPr>
      <w:numPr>
        <w:numId w:val="10"/>
      </w:numPr>
    </w:pPr>
  </w:style>
  <w:style w:type="table" w:customStyle="1" w:styleId="ECHRTable2019">
    <w:name w:val="ECHR_Table_2019"/>
    <w:basedOn w:val="Standardowy"/>
    <w:uiPriority w:val="99"/>
    <w:rsid w:val="00947C2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947C2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947C2B"/>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947C2B"/>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947C2B"/>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947C2B"/>
    <w:pPr>
      <w:tabs>
        <w:tab w:val="center" w:pos="4536"/>
        <w:tab w:val="right" w:pos="9072"/>
      </w:tabs>
    </w:pPr>
  </w:style>
  <w:style w:type="character" w:customStyle="1" w:styleId="NagwekZnak">
    <w:name w:val="Nagłówek Znak"/>
    <w:basedOn w:val="Domylnaczcionkaakapitu"/>
    <w:link w:val="Nagwek"/>
    <w:uiPriority w:val="98"/>
    <w:semiHidden/>
    <w:rsid w:val="00947C2B"/>
    <w:rPr>
      <w:sz w:val="24"/>
      <w:szCs w:val="24"/>
      <w:lang w:val="pl-PL"/>
    </w:rPr>
  </w:style>
  <w:style w:type="character" w:customStyle="1" w:styleId="Nagwek1Znak">
    <w:name w:val="Nagłówek 1 Znak"/>
    <w:basedOn w:val="Domylnaczcionkaakapitu"/>
    <w:link w:val="Nagwek1"/>
    <w:uiPriority w:val="98"/>
    <w:semiHidden/>
    <w:rsid w:val="00947C2B"/>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947C2B"/>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947C2B"/>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947C2B"/>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947C2B"/>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947C2B"/>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947C2B"/>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947C2B"/>
    <w:pPr>
      <w:keepNext/>
      <w:keepLines/>
      <w:spacing w:before="240" w:after="240"/>
      <w:ind w:firstLine="284"/>
    </w:pPr>
  </w:style>
  <w:style w:type="paragraph" w:customStyle="1" w:styleId="JuJudges">
    <w:name w:val="Ju_Judges"/>
    <w:aliases w:val="_Judges"/>
    <w:basedOn w:val="Normalny"/>
    <w:uiPriority w:val="32"/>
    <w:qFormat/>
    <w:rsid w:val="00947C2B"/>
    <w:pPr>
      <w:tabs>
        <w:tab w:val="left" w:pos="567"/>
        <w:tab w:val="left" w:pos="1134"/>
      </w:tabs>
    </w:pPr>
  </w:style>
  <w:style w:type="character" w:customStyle="1" w:styleId="Nagwek4Znak">
    <w:name w:val="Nagłówek 4 Znak"/>
    <w:basedOn w:val="Domylnaczcionkaakapitu"/>
    <w:link w:val="Nagwek4"/>
    <w:uiPriority w:val="98"/>
    <w:semiHidden/>
    <w:rsid w:val="00947C2B"/>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947C2B"/>
    <w:pPr>
      <w:tabs>
        <w:tab w:val="center" w:pos="6407"/>
      </w:tabs>
      <w:spacing w:before="720"/>
      <w:jc w:val="right"/>
    </w:pPr>
  </w:style>
  <w:style w:type="character" w:customStyle="1" w:styleId="Nagwek5Znak">
    <w:name w:val="Nagłówek 5 Znak"/>
    <w:basedOn w:val="Domylnaczcionkaakapitu"/>
    <w:link w:val="Nagwek5"/>
    <w:uiPriority w:val="98"/>
    <w:semiHidden/>
    <w:rsid w:val="00947C2B"/>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947C2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47C2B"/>
    <w:rPr>
      <w:caps w:val="0"/>
      <w:smallCaps/>
    </w:rPr>
  </w:style>
  <w:style w:type="character" w:styleId="Wyrnieniedelikatne">
    <w:name w:val="Subtle Emphasis"/>
    <w:uiPriority w:val="98"/>
    <w:semiHidden/>
    <w:qFormat/>
    <w:rsid w:val="00947C2B"/>
    <w:rPr>
      <w:i/>
      <w:iCs/>
    </w:rPr>
  </w:style>
  <w:style w:type="table" w:customStyle="1" w:styleId="ECHRTable">
    <w:name w:val="ECHR_Table"/>
    <w:basedOn w:val="Standardowy"/>
    <w:rsid w:val="00947C2B"/>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47C2B"/>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947C2B"/>
    <w:rPr>
      <w:b/>
      <w:bCs/>
      <w:i/>
      <w:iCs/>
      <w:spacing w:val="10"/>
      <w:bdr w:val="none" w:sz="0" w:space="0" w:color="auto"/>
      <w:shd w:val="clear" w:color="auto" w:fill="auto"/>
    </w:rPr>
  </w:style>
  <w:style w:type="paragraph" w:styleId="Stopka">
    <w:name w:val="footer"/>
    <w:basedOn w:val="Normalny"/>
    <w:link w:val="StopkaZnak"/>
    <w:uiPriority w:val="98"/>
    <w:semiHidden/>
    <w:rsid w:val="00947C2B"/>
    <w:pPr>
      <w:tabs>
        <w:tab w:val="center" w:pos="3686"/>
        <w:tab w:val="right" w:pos="7371"/>
      </w:tabs>
    </w:pPr>
  </w:style>
  <w:style w:type="character" w:customStyle="1" w:styleId="StopkaZnak">
    <w:name w:val="Stopka Znak"/>
    <w:basedOn w:val="Domylnaczcionkaakapitu"/>
    <w:link w:val="Stopka"/>
    <w:uiPriority w:val="98"/>
    <w:semiHidden/>
    <w:rsid w:val="00947C2B"/>
    <w:rPr>
      <w:sz w:val="24"/>
      <w:szCs w:val="24"/>
      <w:lang w:val="pl-PL"/>
    </w:rPr>
  </w:style>
  <w:style w:type="character" w:styleId="Odwoanieprzypisudolnego">
    <w:name w:val="footnote reference"/>
    <w:basedOn w:val="Domylnaczcionkaakapitu"/>
    <w:uiPriority w:val="98"/>
    <w:semiHidden/>
    <w:rsid w:val="00947C2B"/>
    <w:rPr>
      <w:vertAlign w:val="superscript"/>
    </w:rPr>
  </w:style>
  <w:style w:type="paragraph" w:styleId="Tekstprzypisudolnego">
    <w:name w:val="footnote text"/>
    <w:basedOn w:val="Normalny"/>
    <w:link w:val="TekstprzypisudolnegoZnak"/>
    <w:uiPriority w:val="98"/>
    <w:semiHidden/>
    <w:rsid w:val="00947C2B"/>
    <w:rPr>
      <w:sz w:val="20"/>
      <w:szCs w:val="20"/>
    </w:rPr>
  </w:style>
  <w:style w:type="character" w:customStyle="1" w:styleId="TekstprzypisudolnegoZnak">
    <w:name w:val="Tekst przypisu dolnego Znak"/>
    <w:basedOn w:val="Domylnaczcionkaakapitu"/>
    <w:link w:val="Tekstprzypisudolnego"/>
    <w:uiPriority w:val="98"/>
    <w:semiHidden/>
    <w:rsid w:val="00947C2B"/>
    <w:rPr>
      <w:sz w:val="20"/>
      <w:szCs w:val="20"/>
      <w:lang w:val="pl-PL"/>
    </w:rPr>
  </w:style>
  <w:style w:type="character" w:customStyle="1" w:styleId="Nagwek6Znak">
    <w:name w:val="Nagłówek 6 Znak"/>
    <w:basedOn w:val="Domylnaczcionkaakapitu"/>
    <w:link w:val="Nagwek6"/>
    <w:uiPriority w:val="98"/>
    <w:semiHidden/>
    <w:rsid w:val="00947C2B"/>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947C2B"/>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947C2B"/>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947C2B"/>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947C2B"/>
    <w:rPr>
      <w:color w:val="0072BC" w:themeColor="hyperlink"/>
      <w:u w:val="single"/>
    </w:rPr>
  </w:style>
  <w:style w:type="character" w:styleId="Wyrnienieintensywne">
    <w:name w:val="Intense Emphasis"/>
    <w:uiPriority w:val="98"/>
    <w:semiHidden/>
    <w:qFormat/>
    <w:rsid w:val="00947C2B"/>
    <w:rPr>
      <w:b/>
      <w:bCs/>
    </w:rPr>
  </w:style>
  <w:style w:type="paragraph" w:styleId="Cytatintensywny">
    <w:name w:val="Intense Quote"/>
    <w:basedOn w:val="Normalny"/>
    <w:next w:val="Normalny"/>
    <w:link w:val="CytatintensywnyZnak"/>
    <w:uiPriority w:val="98"/>
    <w:semiHidden/>
    <w:qFormat/>
    <w:rsid w:val="00947C2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947C2B"/>
    <w:rPr>
      <w:b/>
      <w:bCs/>
      <w:i/>
      <w:iCs/>
      <w:sz w:val="24"/>
      <w:szCs w:val="24"/>
      <w:lang w:val="pl-PL" w:bidi="en-US"/>
    </w:rPr>
  </w:style>
  <w:style w:type="character" w:styleId="Odwoanieintensywne">
    <w:name w:val="Intense Reference"/>
    <w:uiPriority w:val="98"/>
    <w:semiHidden/>
    <w:qFormat/>
    <w:rsid w:val="00947C2B"/>
    <w:rPr>
      <w:smallCaps/>
      <w:spacing w:val="5"/>
      <w:u w:val="single"/>
    </w:rPr>
  </w:style>
  <w:style w:type="paragraph" w:styleId="Akapitzlist">
    <w:name w:val="List Paragraph"/>
    <w:basedOn w:val="Normalny"/>
    <w:uiPriority w:val="98"/>
    <w:semiHidden/>
    <w:qFormat/>
    <w:rsid w:val="00947C2B"/>
    <w:pPr>
      <w:ind w:left="720"/>
      <w:contextualSpacing/>
    </w:pPr>
  </w:style>
  <w:style w:type="table" w:customStyle="1" w:styleId="LtrTableAddress">
    <w:name w:val="Ltr_Table_Address"/>
    <w:aliases w:val="ECHR_Ltr_Table_Address"/>
    <w:basedOn w:val="Standardowy"/>
    <w:uiPriority w:val="99"/>
    <w:rsid w:val="00947C2B"/>
    <w:rPr>
      <w:sz w:val="24"/>
      <w:szCs w:val="24"/>
    </w:rPr>
    <w:tblPr>
      <w:tblInd w:w="5103" w:type="dxa"/>
    </w:tblPr>
  </w:style>
  <w:style w:type="paragraph" w:styleId="Cytat">
    <w:name w:val="Quote"/>
    <w:basedOn w:val="Normalny"/>
    <w:next w:val="Normalny"/>
    <w:link w:val="CytatZnak"/>
    <w:uiPriority w:val="98"/>
    <w:semiHidden/>
    <w:qFormat/>
    <w:rsid w:val="00947C2B"/>
    <w:pPr>
      <w:spacing w:before="200"/>
      <w:ind w:left="360" w:right="360"/>
    </w:pPr>
    <w:rPr>
      <w:i/>
      <w:iCs/>
      <w:lang w:bidi="en-US"/>
    </w:rPr>
  </w:style>
  <w:style w:type="character" w:customStyle="1" w:styleId="CytatZnak">
    <w:name w:val="Cytat Znak"/>
    <w:basedOn w:val="Domylnaczcionkaakapitu"/>
    <w:link w:val="Cytat"/>
    <w:uiPriority w:val="98"/>
    <w:semiHidden/>
    <w:rsid w:val="00947C2B"/>
    <w:rPr>
      <w:i/>
      <w:iCs/>
      <w:sz w:val="24"/>
      <w:szCs w:val="24"/>
      <w:lang w:val="pl-PL" w:bidi="en-US"/>
    </w:rPr>
  </w:style>
  <w:style w:type="character" w:styleId="Odwoaniedelikatne">
    <w:name w:val="Subtle Reference"/>
    <w:uiPriority w:val="98"/>
    <w:semiHidden/>
    <w:qFormat/>
    <w:rsid w:val="00947C2B"/>
    <w:rPr>
      <w:smallCaps/>
    </w:rPr>
  </w:style>
  <w:style w:type="table" w:styleId="Tabela-Siatka">
    <w:name w:val="Table Grid"/>
    <w:basedOn w:val="Standardowy"/>
    <w:uiPriority w:val="59"/>
    <w:semiHidden/>
    <w:rsid w:val="00947C2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947C2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947C2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947C2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947C2B"/>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947C2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947C2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947C2B"/>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947C2B"/>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947C2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47C2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47C2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47C2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947C2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947C2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947C2B"/>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947C2B"/>
    <w:pPr>
      <w:numPr>
        <w:numId w:val="5"/>
      </w:numPr>
    </w:pPr>
  </w:style>
  <w:style w:type="paragraph" w:customStyle="1" w:styleId="JuPara">
    <w:name w:val="Ju_Para"/>
    <w:aliases w:val="_Para"/>
    <w:basedOn w:val="NormalJustified"/>
    <w:link w:val="JuParaChar"/>
    <w:uiPriority w:val="4"/>
    <w:qFormat/>
    <w:rsid w:val="00947C2B"/>
    <w:pPr>
      <w:ind w:firstLine="284"/>
    </w:pPr>
  </w:style>
  <w:style w:type="numbering" w:styleId="1ai">
    <w:name w:val="Outline List 1"/>
    <w:basedOn w:val="Bezlisty"/>
    <w:uiPriority w:val="99"/>
    <w:semiHidden/>
    <w:unhideWhenUsed/>
    <w:rsid w:val="00947C2B"/>
    <w:pPr>
      <w:numPr>
        <w:numId w:val="6"/>
      </w:numPr>
    </w:pPr>
  </w:style>
  <w:style w:type="table" w:customStyle="1" w:styleId="ECHRTableSimpleBox">
    <w:name w:val="ECHR_Table_Simple_Box"/>
    <w:basedOn w:val="Standardowy"/>
    <w:uiPriority w:val="99"/>
    <w:rsid w:val="00947C2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47C2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47C2B"/>
    <w:pPr>
      <w:numPr>
        <w:numId w:val="7"/>
      </w:numPr>
    </w:pPr>
  </w:style>
  <w:style w:type="table" w:customStyle="1" w:styleId="ECHRTableForInternalUse">
    <w:name w:val="ECHR_Table_For_Internal_Use"/>
    <w:basedOn w:val="Standardowy"/>
    <w:uiPriority w:val="99"/>
    <w:rsid w:val="00947C2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47C2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947C2B"/>
  </w:style>
  <w:style w:type="paragraph" w:styleId="Tekstblokowy">
    <w:name w:val="Block Text"/>
    <w:basedOn w:val="Normalny"/>
    <w:uiPriority w:val="98"/>
    <w:semiHidden/>
    <w:rsid w:val="00947C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47C2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947C2B"/>
    <w:pPr>
      <w:spacing w:after="120"/>
    </w:pPr>
  </w:style>
  <w:style w:type="character" w:customStyle="1" w:styleId="TekstpodstawowyZnak">
    <w:name w:val="Tekst podstawowy Znak"/>
    <w:basedOn w:val="Domylnaczcionkaakapitu"/>
    <w:link w:val="Tekstpodstawowy"/>
    <w:uiPriority w:val="98"/>
    <w:semiHidden/>
    <w:rsid w:val="00947C2B"/>
    <w:rPr>
      <w:sz w:val="24"/>
      <w:szCs w:val="24"/>
      <w:lang w:val="pl-PL"/>
    </w:rPr>
  </w:style>
  <w:style w:type="table" w:customStyle="1" w:styleId="ECHRTableOddBanded">
    <w:name w:val="ECHR_Table_Odd_Banded"/>
    <w:basedOn w:val="Standardowy"/>
    <w:uiPriority w:val="99"/>
    <w:rsid w:val="00947C2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947C2B"/>
    <w:pPr>
      <w:spacing w:after="120" w:line="480" w:lineRule="auto"/>
    </w:pPr>
  </w:style>
  <w:style w:type="table" w:customStyle="1" w:styleId="ECHRHeaderTableReduced">
    <w:name w:val="ECHR_Header_Table_Reduced"/>
    <w:basedOn w:val="Standardowy"/>
    <w:uiPriority w:val="99"/>
    <w:rsid w:val="00947C2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947C2B"/>
    <w:pPr>
      <w:ind w:firstLine="284"/>
    </w:pPr>
    <w:rPr>
      <w:b/>
    </w:rPr>
  </w:style>
  <w:style w:type="character" w:styleId="Numerstrony">
    <w:name w:val="page number"/>
    <w:uiPriority w:val="98"/>
    <w:semiHidden/>
    <w:rsid w:val="00947C2B"/>
    <w:rPr>
      <w:sz w:val="18"/>
    </w:rPr>
  </w:style>
  <w:style w:type="paragraph" w:styleId="Listapunktowana">
    <w:name w:val="List Bullet"/>
    <w:basedOn w:val="Normalny"/>
    <w:uiPriority w:val="98"/>
    <w:semiHidden/>
    <w:rsid w:val="00947C2B"/>
    <w:pPr>
      <w:numPr>
        <w:numId w:val="11"/>
      </w:numPr>
    </w:pPr>
  </w:style>
  <w:style w:type="paragraph" w:styleId="Listapunktowana3">
    <w:name w:val="List Bullet 3"/>
    <w:basedOn w:val="Normalny"/>
    <w:uiPriority w:val="98"/>
    <w:semiHidden/>
    <w:rsid w:val="00947C2B"/>
    <w:pPr>
      <w:numPr>
        <w:numId w:val="13"/>
      </w:numPr>
      <w:contextualSpacing/>
    </w:pPr>
  </w:style>
  <w:style w:type="character" w:customStyle="1" w:styleId="Tekstpodstawowy2Znak">
    <w:name w:val="Tekst podstawowy 2 Znak"/>
    <w:basedOn w:val="Domylnaczcionkaakapitu"/>
    <w:link w:val="Tekstpodstawowy2"/>
    <w:uiPriority w:val="98"/>
    <w:semiHidden/>
    <w:rsid w:val="00947C2B"/>
    <w:rPr>
      <w:sz w:val="24"/>
      <w:szCs w:val="24"/>
      <w:lang w:val="pl-PL"/>
    </w:rPr>
  </w:style>
  <w:style w:type="paragraph" w:styleId="Tekstpodstawowy3">
    <w:name w:val="Body Text 3"/>
    <w:basedOn w:val="Normalny"/>
    <w:link w:val="Tekstpodstawowy3Znak"/>
    <w:uiPriority w:val="98"/>
    <w:semiHidden/>
    <w:rsid w:val="00947C2B"/>
    <w:pPr>
      <w:spacing w:after="120"/>
    </w:pPr>
    <w:rPr>
      <w:sz w:val="16"/>
      <w:szCs w:val="16"/>
    </w:rPr>
  </w:style>
  <w:style w:type="character" w:customStyle="1" w:styleId="Tekstpodstawowy3Znak">
    <w:name w:val="Tekst podstawowy 3 Znak"/>
    <w:basedOn w:val="Domylnaczcionkaakapitu"/>
    <w:link w:val="Tekstpodstawowy3"/>
    <w:uiPriority w:val="98"/>
    <w:semiHidden/>
    <w:rsid w:val="00947C2B"/>
    <w:rPr>
      <w:sz w:val="16"/>
      <w:szCs w:val="16"/>
      <w:lang w:val="pl-PL"/>
    </w:rPr>
  </w:style>
  <w:style w:type="paragraph" w:styleId="Tekstpodstawowyzwciciem">
    <w:name w:val="Body Text First Indent"/>
    <w:basedOn w:val="Tekstpodstawowy"/>
    <w:link w:val="TekstpodstawowyzwciciemZnak"/>
    <w:uiPriority w:val="98"/>
    <w:semiHidden/>
    <w:rsid w:val="00947C2B"/>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947C2B"/>
    <w:rPr>
      <w:sz w:val="24"/>
      <w:szCs w:val="24"/>
      <w:lang w:val="pl-PL"/>
    </w:rPr>
  </w:style>
  <w:style w:type="paragraph" w:styleId="Tekstpodstawowywcity">
    <w:name w:val="Body Text Indent"/>
    <w:basedOn w:val="Normalny"/>
    <w:link w:val="TekstpodstawowywcityZnak"/>
    <w:uiPriority w:val="98"/>
    <w:semiHidden/>
    <w:rsid w:val="00947C2B"/>
    <w:pPr>
      <w:spacing w:after="120"/>
      <w:ind w:left="283"/>
    </w:pPr>
  </w:style>
  <w:style w:type="character" w:customStyle="1" w:styleId="TekstpodstawowywcityZnak">
    <w:name w:val="Tekst podstawowy wcięty Znak"/>
    <w:basedOn w:val="Domylnaczcionkaakapitu"/>
    <w:link w:val="Tekstpodstawowywcity"/>
    <w:uiPriority w:val="98"/>
    <w:semiHidden/>
    <w:rsid w:val="00947C2B"/>
    <w:rPr>
      <w:sz w:val="24"/>
      <w:szCs w:val="24"/>
      <w:lang w:val="pl-PL"/>
    </w:rPr>
  </w:style>
  <w:style w:type="paragraph" w:styleId="Tekstpodstawowyzwciciem2">
    <w:name w:val="Body Text First Indent 2"/>
    <w:basedOn w:val="Tekstpodstawowywcity"/>
    <w:link w:val="Tekstpodstawowyzwciciem2Znak"/>
    <w:uiPriority w:val="98"/>
    <w:semiHidden/>
    <w:rsid w:val="00947C2B"/>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947C2B"/>
    <w:rPr>
      <w:sz w:val="24"/>
      <w:szCs w:val="24"/>
      <w:lang w:val="pl-PL"/>
    </w:rPr>
  </w:style>
  <w:style w:type="paragraph" w:styleId="Tekstpodstawowywcity2">
    <w:name w:val="Body Text Indent 2"/>
    <w:basedOn w:val="Normalny"/>
    <w:link w:val="Tekstpodstawowywcity2Znak"/>
    <w:uiPriority w:val="98"/>
    <w:semiHidden/>
    <w:rsid w:val="00947C2B"/>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947C2B"/>
    <w:rPr>
      <w:sz w:val="24"/>
      <w:szCs w:val="24"/>
      <w:lang w:val="pl-PL"/>
    </w:rPr>
  </w:style>
  <w:style w:type="paragraph" w:styleId="Tekstpodstawowywcity3">
    <w:name w:val="Body Text Indent 3"/>
    <w:basedOn w:val="Normalny"/>
    <w:link w:val="Tekstpodstawowywcity3Znak"/>
    <w:uiPriority w:val="98"/>
    <w:semiHidden/>
    <w:rsid w:val="00947C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947C2B"/>
    <w:rPr>
      <w:sz w:val="16"/>
      <w:szCs w:val="16"/>
      <w:lang w:val="pl-PL"/>
    </w:rPr>
  </w:style>
  <w:style w:type="paragraph" w:styleId="Legenda">
    <w:name w:val="caption"/>
    <w:basedOn w:val="Normalny"/>
    <w:next w:val="Normalny"/>
    <w:uiPriority w:val="98"/>
    <w:semiHidden/>
    <w:qFormat/>
    <w:rsid w:val="00947C2B"/>
    <w:pPr>
      <w:spacing w:after="200"/>
    </w:pPr>
    <w:rPr>
      <w:b/>
      <w:bCs/>
      <w:color w:val="0072BC" w:themeColor="accent1"/>
      <w:sz w:val="18"/>
      <w:szCs w:val="18"/>
    </w:rPr>
  </w:style>
  <w:style w:type="paragraph" w:styleId="Zwrotpoegnalny">
    <w:name w:val="Closing"/>
    <w:basedOn w:val="Normalny"/>
    <w:link w:val="ZwrotpoegnalnyZnak"/>
    <w:uiPriority w:val="98"/>
    <w:semiHidden/>
    <w:rsid w:val="00947C2B"/>
    <w:pPr>
      <w:ind w:left="4252"/>
    </w:pPr>
  </w:style>
  <w:style w:type="character" w:customStyle="1" w:styleId="ZwrotpoegnalnyZnak">
    <w:name w:val="Zwrot pożegnalny Znak"/>
    <w:basedOn w:val="Domylnaczcionkaakapitu"/>
    <w:link w:val="Zwrotpoegnalny"/>
    <w:uiPriority w:val="98"/>
    <w:semiHidden/>
    <w:rsid w:val="00947C2B"/>
    <w:rPr>
      <w:sz w:val="24"/>
      <w:szCs w:val="24"/>
      <w:lang w:val="pl-PL"/>
    </w:rPr>
  </w:style>
  <w:style w:type="table" w:styleId="Kolorowasiatka">
    <w:name w:val="Colorful Grid"/>
    <w:basedOn w:val="Standardowy"/>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47C2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47C2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47C2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47C2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47C2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47C2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47C2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47C2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47C2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47C2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47C2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47C2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47C2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47C2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47C2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947C2B"/>
    <w:rPr>
      <w:sz w:val="16"/>
      <w:szCs w:val="16"/>
    </w:rPr>
  </w:style>
  <w:style w:type="paragraph" w:styleId="Tekstkomentarza">
    <w:name w:val="annotation text"/>
    <w:basedOn w:val="Normalny"/>
    <w:link w:val="TekstkomentarzaZnak"/>
    <w:uiPriority w:val="98"/>
    <w:semiHidden/>
    <w:rsid w:val="00947C2B"/>
    <w:rPr>
      <w:sz w:val="20"/>
      <w:szCs w:val="20"/>
    </w:rPr>
  </w:style>
  <w:style w:type="character" w:customStyle="1" w:styleId="TekstkomentarzaZnak">
    <w:name w:val="Tekst komentarza Znak"/>
    <w:basedOn w:val="Domylnaczcionkaakapitu"/>
    <w:link w:val="Tekstkomentarza"/>
    <w:uiPriority w:val="98"/>
    <w:semiHidden/>
    <w:rsid w:val="00947C2B"/>
    <w:rPr>
      <w:sz w:val="20"/>
      <w:szCs w:val="20"/>
      <w:lang w:val="pl-PL"/>
    </w:rPr>
  </w:style>
  <w:style w:type="paragraph" w:styleId="Tematkomentarza">
    <w:name w:val="annotation subject"/>
    <w:basedOn w:val="Tekstkomentarza"/>
    <w:next w:val="Tekstkomentarza"/>
    <w:link w:val="TematkomentarzaZnak"/>
    <w:uiPriority w:val="98"/>
    <w:semiHidden/>
    <w:rsid w:val="00947C2B"/>
    <w:rPr>
      <w:b/>
      <w:bCs/>
    </w:rPr>
  </w:style>
  <w:style w:type="character" w:customStyle="1" w:styleId="TematkomentarzaZnak">
    <w:name w:val="Temat komentarza Znak"/>
    <w:basedOn w:val="TekstkomentarzaZnak"/>
    <w:link w:val="Tematkomentarza"/>
    <w:uiPriority w:val="98"/>
    <w:semiHidden/>
    <w:rsid w:val="00947C2B"/>
    <w:rPr>
      <w:b/>
      <w:bCs/>
      <w:sz w:val="20"/>
      <w:szCs w:val="20"/>
      <w:lang w:val="pl-PL"/>
    </w:rPr>
  </w:style>
  <w:style w:type="table" w:styleId="Ciemnalista">
    <w:name w:val="Dark List"/>
    <w:basedOn w:val="Standardowy"/>
    <w:uiPriority w:val="70"/>
    <w:semiHidden/>
    <w:rsid w:val="00947C2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47C2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47C2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47C2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47C2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47C2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47C2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947C2B"/>
  </w:style>
  <w:style w:type="character" w:customStyle="1" w:styleId="DataZnak">
    <w:name w:val="Data Znak"/>
    <w:basedOn w:val="Domylnaczcionkaakapitu"/>
    <w:link w:val="Data"/>
    <w:uiPriority w:val="98"/>
    <w:semiHidden/>
    <w:rsid w:val="00947C2B"/>
    <w:rPr>
      <w:sz w:val="24"/>
      <w:szCs w:val="24"/>
      <w:lang w:val="pl-PL"/>
    </w:rPr>
  </w:style>
  <w:style w:type="paragraph" w:styleId="Mapadokumentu">
    <w:name w:val="Document Map"/>
    <w:basedOn w:val="Normalny"/>
    <w:link w:val="MapadokumentuZnak"/>
    <w:uiPriority w:val="98"/>
    <w:semiHidden/>
    <w:rsid w:val="00947C2B"/>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947C2B"/>
    <w:rPr>
      <w:rFonts w:ascii="Tahoma" w:hAnsi="Tahoma" w:cs="Tahoma"/>
      <w:sz w:val="16"/>
      <w:szCs w:val="16"/>
      <w:lang w:val="pl-PL"/>
    </w:rPr>
  </w:style>
  <w:style w:type="paragraph" w:styleId="Podpise-mail">
    <w:name w:val="E-mail Signature"/>
    <w:basedOn w:val="Normalny"/>
    <w:link w:val="Podpise-mailZnak"/>
    <w:uiPriority w:val="98"/>
    <w:semiHidden/>
    <w:rsid w:val="00947C2B"/>
  </w:style>
  <w:style w:type="character" w:customStyle="1" w:styleId="Podpise-mailZnak">
    <w:name w:val="Podpis e-mail Znak"/>
    <w:basedOn w:val="Domylnaczcionkaakapitu"/>
    <w:link w:val="Podpise-mail"/>
    <w:uiPriority w:val="98"/>
    <w:semiHidden/>
    <w:rsid w:val="00947C2B"/>
    <w:rPr>
      <w:sz w:val="24"/>
      <w:szCs w:val="24"/>
      <w:lang w:val="pl-PL"/>
    </w:rPr>
  </w:style>
  <w:style w:type="character" w:styleId="Odwoanieprzypisukocowego">
    <w:name w:val="endnote reference"/>
    <w:basedOn w:val="Domylnaczcionkaakapitu"/>
    <w:uiPriority w:val="98"/>
    <w:semiHidden/>
    <w:rsid w:val="00947C2B"/>
    <w:rPr>
      <w:vertAlign w:val="superscript"/>
    </w:rPr>
  </w:style>
  <w:style w:type="paragraph" w:styleId="Tekstprzypisukocowego">
    <w:name w:val="endnote text"/>
    <w:basedOn w:val="Normalny"/>
    <w:link w:val="TekstprzypisukocowegoZnak"/>
    <w:uiPriority w:val="98"/>
    <w:semiHidden/>
    <w:rsid w:val="00947C2B"/>
    <w:rPr>
      <w:sz w:val="20"/>
      <w:szCs w:val="20"/>
    </w:rPr>
  </w:style>
  <w:style w:type="character" w:customStyle="1" w:styleId="TekstprzypisukocowegoZnak">
    <w:name w:val="Tekst przypisu końcowego Znak"/>
    <w:basedOn w:val="Domylnaczcionkaakapitu"/>
    <w:link w:val="Tekstprzypisukocowego"/>
    <w:uiPriority w:val="98"/>
    <w:semiHidden/>
    <w:rsid w:val="00947C2B"/>
    <w:rPr>
      <w:sz w:val="20"/>
      <w:szCs w:val="20"/>
      <w:lang w:val="pl-PL"/>
    </w:rPr>
  </w:style>
  <w:style w:type="paragraph" w:styleId="Adresnakopercie">
    <w:name w:val="envelope address"/>
    <w:basedOn w:val="Normalny"/>
    <w:uiPriority w:val="98"/>
    <w:semiHidden/>
    <w:rsid w:val="00947C2B"/>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947C2B"/>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947C2B"/>
    <w:rPr>
      <w:color w:val="7030A0" w:themeColor="followedHyperlink"/>
      <w:u w:val="single"/>
    </w:rPr>
  </w:style>
  <w:style w:type="character" w:styleId="HTML-akronim">
    <w:name w:val="HTML Acronym"/>
    <w:basedOn w:val="Domylnaczcionkaakapitu"/>
    <w:uiPriority w:val="98"/>
    <w:semiHidden/>
    <w:rsid w:val="00947C2B"/>
  </w:style>
  <w:style w:type="paragraph" w:styleId="HTML-adres">
    <w:name w:val="HTML Address"/>
    <w:basedOn w:val="Normalny"/>
    <w:link w:val="HTML-adresZnak"/>
    <w:uiPriority w:val="98"/>
    <w:semiHidden/>
    <w:rsid w:val="00947C2B"/>
    <w:rPr>
      <w:i/>
      <w:iCs/>
    </w:rPr>
  </w:style>
  <w:style w:type="character" w:customStyle="1" w:styleId="HTML-adresZnak">
    <w:name w:val="HTML - adres Znak"/>
    <w:basedOn w:val="Domylnaczcionkaakapitu"/>
    <w:link w:val="HTML-adres"/>
    <w:uiPriority w:val="98"/>
    <w:semiHidden/>
    <w:rsid w:val="00947C2B"/>
    <w:rPr>
      <w:i/>
      <w:iCs/>
      <w:sz w:val="24"/>
      <w:szCs w:val="24"/>
      <w:lang w:val="pl-PL"/>
    </w:rPr>
  </w:style>
  <w:style w:type="character" w:styleId="HTML-cytat">
    <w:name w:val="HTML Cite"/>
    <w:basedOn w:val="Domylnaczcionkaakapitu"/>
    <w:uiPriority w:val="98"/>
    <w:semiHidden/>
    <w:rsid w:val="00947C2B"/>
    <w:rPr>
      <w:i/>
      <w:iCs/>
    </w:rPr>
  </w:style>
  <w:style w:type="character" w:styleId="HTML-kod">
    <w:name w:val="HTML Code"/>
    <w:basedOn w:val="Domylnaczcionkaakapitu"/>
    <w:uiPriority w:val="98"/>
    <w:semiHidden/>
    <w:rsid w:val="00947C2B"/>
    <w:rPr>
      <w:rFonts w:ascii="Consolas" w:hAnsi="Consolas" w:cs="Consolas"/>
      <w:sz w:val="20"/>
      <w:szCs w:val="20"/>
    </w:rPr>
  </w:style>
  <w:style w:type="character" w:styleId="HTML-definicja">
    <w:name w:val="HTML Definition"/>
    <w:basedOn w:val="Domylnaczcionkaakapitu"/>
    <w:uiPriority w:val="98"/>
    <w:semiHidden/>
    <w:rsid w:val="00947C2B"/>
    <w:rPr>
      <w:i/>
      <w:iCs/>
    </w:rPr>
  </w:style>
  <w:style w:type="character" w:styleId="HTML-klawiatura">
    <w:name w:val="HTML Keyboard"/>
    <w:basedOn w:val="Domylnaczcionkaakapitu"/>
    <w:uiPriority w:val="98"/>
    <w:semiHidden/>
    <w:rsid w:val="00947C2B"/>
    <w:rPr>
      <w:rFonts w:ascii="Consolas" w:hAnsi="Consolas" w:cs="Consolas"/>
      <w:sz w:val="20"/>
      <w:szCs w:val="20"/>
    </w:rPr>
  </w:style>
  <w:style w:type="paragraph" w:styleId="HTML-wstpniesformatowany">
    <w:name w:val="HTML Preformatted"/>
    <w:basedOn w:val="Normalny"/>
    <w:link w:val="HTML-wstpniesformatowanyZnak"/>
    <w:uiPriority w:val="98"/>
    <w:semiHidden/>
    <w:rsid w:val="00947C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947C2B"/>
    <w:rPr>
      <w:rFonts w:ascii="Consolas" w:hAnsi="Consolas" w:cs="Consolas"/>
      <w:sz w:val="20"/>
      <w:szCs w:val="20"/>
      <w:lang w:val="pl-PL"/>
    </w:rPr>
  </w:style>
  <w:style w:type="character" w:styleId="HTML-przykad">
    <w:name w:val="HTML Sample"/>
    <w:basedOn w:val="Domylnaczcionkaakapitu"/>
    <w:uiPriority w:val="98"/>
    <w:semiHidden/>
    <w:rsid w:val="00947C2B"/>
    <w:rPr>
      <w:rFonts w:ascii="Consolas" w:hAnsi="Consolas" w:cs="Consolas"/>
      <w:sz w:val="24"/>
      <w:szCs w:val="24"/>
    </w:rPr>
  </w:style>
  <w:style w:type="character" w:styleId="HTML-staaszeroko">
    <w:name w:val="HTML Typewriter"/>
    <w:basedOn w:val="Domylnaczcionkaakapitu"/>
    <w:uiPriority w:val="98"/>
    <w:semiHidden/>
    <w:rsid w:val="00947C2B"/>
    <w:rPr>
      <w:rFonts w:ascii="Consolas" w:hAnsi="Consolas" w:cs="Consolas"/>
      <w:sz w:val="20"/>
      <w:szCs w:val="20"/>
    </w:rPr>
  </w:style>
  <w:style w:type="character" w:styleId="HTML-zmienna">
    <w:name w:val="HTML Variable"/>
    <w:basedOn w:val="Domylnaczcionkaakapitu"/>
    <w:uiPriority w:val="98"/>
    <w:semiHidden/>
    <w:rsid w:val="00947C2B"/>
    <w:rPr>
      <w:i/>
      <w:iCs/>
    </w:rPr>
  </w:style>
  <w:style w:type="paragraph" w:styleId="Indeks1">
    <w:name w:val="index 1"/>
    <w:basedOn w:val="Normalny"/>
    <w:next w:val="Normalny"/>
    <w:autoRedefine/>
    <w:uiPriority w:val="98"/>
    <w:semiHidden/>
    <w:rsid w:val="00947C2B"/>
    <w:pPr>
      <w:ind w:left="240" w:hanging="240"/>
    </w:pPr>
  </w:style>
  <w:style w:type="paragraph" w:styleId="Indeks2">
    <w:name w:val="index 2"/>
    <w:basedOn w:val="Normalny"/>
    <w:next w:val="Normalny"/>
    <w:autoRedefine/>
    <w:uiPriority w:val="98"/>
    <w:semiHidden/>
    <w:rsid w:val="00947C2B"/>
    <w:pPr>
      <w:ind w:left="480" w:hanging="240"/>
    </w:pPr>
  </w:style>
  <w:style w:type="paragraph" w:styleId="Indeks3">
    <w:name w:val="index 3"/>
    <w:basedOn w:val="Normalny"/>
    <w:next w:val="Normalny"/>
    <w:autoRedefine/>
    <w:uiPriority w:val="98"/>
    <w:semiHidden/>
    <w:rsid w:val="00947C2B"/>
    <w:pPr>
      <w:ind w:left="720" w:hanging="240"/>
    </w:pPr>
  </w:style>
  <w:style w:type="paragraph" w:styleId="Indeks4">
    <w:name w:val="index 4"/>
    <w:basedOn w:val="Normalny"/>
    <w:next w:val="Normalny"/>
    <w:autoRedefine/>
    <w:uiPriority w:val="98"/>
    <w:semiHidden/>
    <w:rsid w:val="00947C2B"/>
    <w:pPr>
      <w:ind w:left="960" w:hanging="240"/>
    </w:pPr>
  </w:style>
  <w:style w:type="paragraph" w:styleId="Indeks5">
    <w:name w:val="index 5"/>
    <w:basedOn w:val="Normalny"/>
    <w:next w:val="Normalny"/>
    <w:autoRedefine/>
    <w:uiPriority w:val="98"/>
    <w:semiHidden/>
    <w:rsid w:val="00947C2B"/>
    <w:pPr>
      <w:ind w:left="1200" w:hanging="240"/>
    </w:pPr>
  </w:style>
  <w:style w:type="paragraph" w:styleId="Indeks6">
    <w:name w:val="index 6"/>
    <w:basedOn w:val="Normalny"/>
    <w:next w:val="Normalny"/>
    <w:autoRedefine/>
    <w:uiPriority w:val="98"/>
    <w:semiHidden/>
    <w:rsid w:val="00947C2B"/>
    <w:pPr>
      <w:ind w:left="1440" w:hanging="240"/>
    </w:pPr>
  </w:style>
  <w:style w:type="paragraph" w:styleId="Indeks7">
    <w:name w:val="index 7"/>
    <w:basedOn w:val="Normalny"/>
    <w:next w:val="Normalny"/>
    <w:autoRedefine/>
    <w:uiPriority w:val="98"/>
    <w:semiHidden/>
    <w:rsid w:val="00947C2B"/>
    <w:pPr>
      <w:ind w:left="1680" w:hanging="240"/>
    </w:pPr>
  </w:style>
  <w:style w:type="paragraph" w:styleId="Indeks8">
    <w:name w:val="index 8"/>
    <w:basedOn w:val="Normalny"/>
    <w:next w:val="Normalny"/>
    <w:autoRedefine/>
    <w:uiPriority w:val="98"/>
    <w:semiHidden/>
    <w:rsid w:val="00947C2B"/>
    <w:pPr>
      <w:ind w:left="1920" w:hanging="240"/>
    </w:pPr>
  </w:style>
  <w:style w:type="paragraph" w:styleId="Indeks9">
    <w:name w:val="index 9"/>
    <w:basedOn w:val="Normalny"/>
    <w:next w:val="Normalny"/>
    <w:autoRedefine/>
    <w:uiPriority w:val="98"/>
    <w:semiHidden/>
    <w:rsid w:val="00947C2B"/>
    <w:pPr>
      <w:ind w:left="2160" w:hanging="240"/>
    </w:pPr>
  </w:style>
  <w:style w:type="paragraph" w:styleId="Nagwekindeksu">
    <w:name w:val="index heading"/>
    <w:basedOn w:val="Normalny"/>
    <w:next w:val="Indeks1"/>
    <w:uiPriority w:val="98"/>
    <w:semiHidden/>
    <w:rsid w:val="00947C2B"/>
    <w:rPr>
      <w:rFonts w:asciiTheme="majorHAnsi" w:eastAsiaTheme="majorEastAsia" w:hAnsiTheme="majorHAnsi" w:cstheme="majorBidi"/>
      <w:b/>
      <w:bCs/>
    </w:rPr>
  </w:style>
  <w:style w:type="table" w:styleId="Jasnasiatka">
    <w:name w:val="Light Grid"/>
    <w:basedOn w:val="Standardowy"/>
    <w:uiPriority w:val="62"/>
    <w:semiHidden/>
    <w:rsid w:val="00947C2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47C2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47C2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47C2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47C2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47C2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47C2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47C2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47C2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47C2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47C2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47C2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47C2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47C2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47C2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47C2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47C2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47C2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47C2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47C2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47C2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947C2B"/>
  </w:style>
  <w:style w:type="paragraph" w:styleId="Lista">
    <w:name w:val="List"/>
    <w:basedOn w:val="Normalny"/>
    <w:uiPriority w:val="98"/>
    <w:semiHidden/>
    <w:rsid w:val="00947C2B"/>
    <w:pPr>
      <w:ind w:left="283" w:hanging="283"/>
      <w:contextualSpacing/>
    </w:pPr>
  </w:style>
  <w:style w:type="paragraph" w:styleId="Lista2">
    <w:name w:val="List 2"/>
    <w:basedOn w:val="Normalny"/>
    <w:uiPriority w:val="98"/>
    <w:semiHidden/>
    <w:rsid w:val="00947C2B"/>
    <w:pPr>
      <w:ind w:left="566" w:hanging="283"/>
      <w:contextualSpacing/>
    </w:pPr>
  </w:style>
  <w:style w:type="paragraph" w:styleId="Lista3">
    <w:name w:val="List 3"/>
    <w:basedOn w:val="Normalny"/>
    <w:uiPriority w:val="98"/>
    <w:semiHidden/>
    <w:rsid w:val="00947C2B"/>
    <w:pPr>
      <w:ind w:left="849" w:hanging="283"/>
      <w:contextualSpacing/>
    </w:pPr>
  </w:style>
  <w:style w:type="paragraph" w:styleId="Lista4">
    <w:name w:val="List 4"/>
    <w:basedOn w:val="Normalny"/>
    <w:uiPriority w:val="98"/>
    <w:semiHidden/>
    <w:rsid w:val="00947C2B"/>
    <w:pPr>
      <w:ind w:left="1132" w:hanging="283"/>
      <w:contextualSpacing/>
    </w:pPr>
  </w:style>
  <w:style w:type="paragraph" w:styleId="Lista5">
    <w:name w:val="List 5"/>
    <w:basedOn w:val="Normalny"/>
    <w:uiPriority w:val="98"/>
    <w:semiHidden/>
    <w:rsid w:val="00947C2B"/>
    <w:pPr>
      <w:ind w:left="1415" w:hanging="283"/>
      <w:contextualSpacing/>
    </w:pPr>
  </w:style>
  <w:style w:type="paragraph" w:styleId="Listapunktowana2">
    <w:name w:val="List Bullet 2"/>
    <w:basedOn w:val="Normalny"/>
    <w:uiPriority w:val="98"/>
    <w:semiHidden/>
    <w:rsid w:val="00947C2B"/>
    <w:pPr>
      <w:numPr>
        <w:numId w:val="12"/>
      </w:numPr>
      <w:contextualSpacing/>
    </w:pPr>
  </w:style>
  <w:style w:type="paragraph" w:styleId="Listapunktowana4">
    <w:name w:val="List Bullet 4"/>
    <w:basedOn w:val="Normalny"/>
    <w:uiPriority w:val="98"/>
    <w:semiHidden/>
    <w:rsid w:val="00947C2B"/>
    <w:pPr>
      <w:numPr>
        <w:numId w:val="14"/>
      </w:numPr>
      <w:contextualSpacing/>
    </w:pPr>
  </w:style>
  <w:style w:type="paragraph" w:styleId="Listapunktowana5">
    <w:name w:val="List Bullet 5"/>
    <w:basedOn w:val="Normalny"/>
    <w:uiPriority w:val="98"/>
    <w:semiHidden/>
    <w:rsid w:val="00947C2B"/>
    <w:pPr>
      <w:numPr>
        <w:numId w:val="15"/>
      </w:numPr>
      <w:contextualSpacing/>
    </w:pPr>
  </w:style>
  <w:style w:type="paragraph" w:styleId="Lista-kontynuacja">
    <w:name w:val="List Continue"/>
    <w:basedOn w:val="Normalny"/>
    <w:uiPriority w:val="98"/>
    <w:semiHidden/>
    <w:rsid w:val="00947C2B"/>
    <w:pPr>
      <w:spacing w:after="120"/>
      <w:ind w:left="283"/>
      <w:contextualSpacing/>
    </w:pPr>
  </w:style>
  <w:style w:type="paragraph" w:styleId="Lista-kontynuacja2">
    <w:name w:val="List Continue 2"/>
    <w:basedOn w:val="Normalny"/>
    <w:uiPriority w:val="98"/>
    <w:semiHidden/>
    <w:rsid w:val="00947C2B"/>
    <w:pPr>
      <w:spacing w:after="120"/>
      <w:ind w:left="566"/>
      <w:contextualSpacing/>
    </w:pPr>
  </w:style>
  <w:style w:type="paragraph" w:styleId="Lista-kontynuacja3">
    <w:name w:val="List Continue 3"/>
    <w:basedOn w:val="Normalny"/>
    <w:uiPriority w:val="98"/>
    <w:semiHidden/>
    <w:rsid w:val="00947C2B"/>
    <w:pPr>
      <w:spacing w:after="120"/>
      <w:ind w:left="849"/>
      <w:contextualSpacing/>
    </w:pPr>
  </w:style>
  <w:style w:type="paragraph" w:styleId="Lista-kontynuacja4">
    <w:name w:val="List Continue 4"/>
    <w:basedOn w:val="Normalny"/>
    <w:uiPriority w:val="98"/>
    <w:semiHidden/>
    <w:rsid w:val="00947C2B"/>
    <w:pPr>
      <w:spacing w:after="120"/>
      <w:ind w:left="1132"/>
      <w:contextualSpacing/>
    </w:pPr>
  </w:style>
  <w:style w:type="paragraph" w:styleId="Lista-kontynuacja5">
    <w:name w:val="List Continue 5"/>
    <w:basedOn w:val="Normalny"/>
    <w:uiPriority w:val="98"/>
    <w:semiHidden/>
    <w:rsid w:val="00947C2B"/>
    <w:pPr>
      <w:spacing w:after="120"/>
      <w:ind w:left="1415"/>
      <w:contextualSpacing/>
    </w:pPr>
  </w:style>
  <w:style w:type="paragraph" w:styleId="Listanumerowana">
    <w:name w:val="List Number"/>
    <w:basedOn w:val="Normalny"/>
    <w:uiPriority w:val="98"/>
    <w:semiHidden/>
    <w:rsid w:val="00947C2B"/>
    <w:pPr>
      <w:numPr>
        <w:numId w:val="16"/>
      </w:numPr>
      <w:contextualSpacing/>
    </w:pPr>
  </w:style>
  <w:style w:type="paragraph" w:styleId="Listanumerowana2">
    <w:name w:val="List Number 2"/>
    <w:basedOn w:val="Normalny"/>
    <w:uiPriority w:val="98"/>
    <w:semiHidden/>
    <w:rsid w:val="00947C2B"/>
    <w:pPr>
      <w:numPr>
        <w:numId w:val="17"/>
      </w:numPr>
      <w:contextualSpacing/>
    </w:pPr>
  </w:style>
  <w:style w:type="paragraph" w:styleId="Listanumerowana3">
    <w:name w:val="List Number 3"/>
    <w:basedOn w:val="Normalny"/>
    <w:uiPriority w:val="98"/>
    <w:semiHidden/>
    <w:rsid w:val="00947C2B"/>
    <w:pPr>
      <w:numPr>
        <w:numId w:val="18"/>
      </w:numPr>
      <w:contextualSpacing/>
    </w:pPr>
  </w:style>
  <w:style w:type="paragraph" w:styleId="Listanumerowana4">
    <w:name w:val="List Number 4"/>
    <w:basedOn w:val="Normalny"/>
    <w:uiPriority w:val="98"/>
    <w:semiHidden/>
    <w:rsid w:val="00947C2B"/>
    <w:pPr>
      <w:numPr>
        <w:numId w:val="19"/>
      </w:numPr>
      <w:contextualSpacing/>
    </w:pPr>
  </w:style>
  <w:style w:type="paragraph" w:styleId="Listanumerowana5">
    <w:name w:val="List Number 5"/>
    <w:basedOn w:val="Normalny"/>
    <w:uiPriority w:val="98"/>
    <w:semiHidden/>
    <w:rsid w:val="00947C2B"/>
    <w:pPr>
      <w:numPr>
        <w:numId w:val="20"/>
      </w:numPr>
      <w:contextualSpacing/>
    </w:pPr>
  </w:style>
  <w:style w:type="paragraph" w:styleId="Tekstmakra">
    <w:name w:val="macro"/>
    <w:link w:val="TekstmakraZnak"/>
    <w:uiPriority w:val="98"/>
    <w:semiHidden/>
    <w:rsid w:val="00947C2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947C2B"/>
    <w:rPr>
      <w:rFonts w:ascii="Consolas" w:eastAsiaTheme="minorEastAsia" w:hAnsi="Consolas" w:cs="Consolas"/>
      <w:sz w:val="20"/>
      <w:szCs w:val="20"/>
    </w:rPr>
  </w:style>
  <w:style w:type="table" w:styleId="redniasiatka1">
    <w:name w:val="Medium Grid 1"/>
    <w:basedOn w:val="Standardowy"/>
    <w:uiPriority w:val="67"/>
    <w:semiHidden/>
    <w:rsid w:val="00947C2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47C2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47C2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47C2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47C2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47C2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47C2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47C2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47C2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47C2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47C2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47C2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47C2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47C2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47C2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47C2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47C2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47C2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47C2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47C2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47C2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47C2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47C2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47C2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947C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947C2B"/>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947C2B"/>
    <w:rPr>
      <w:rFonts w:ascii="Times New Roman" w:hAnsi="Times New Roman" w:cs="Times New Roman"/>
    </w:rPr>
  </w:style>
  <w:style w:type="paragraph" w:styleId="Wcicienormalne">
    <w:name w:val="Normal Indent"/>
    <w:basedOn w:val="Normalny"/>
    <w:uiPriority w:val="98"/>
    <w:semiHidden/>
    <w:rsid w:val="00947C2B"/>
    <w:pPr>
      <w:ind w:left="720"/>
    </w:pPr>
  </w:style>
  <w:style w:type="paragraph" w:styleId="Nagweknotatki">
    <w:name w:val="Note Heading"/>
    <w:basedOn w:val="Normalny"/>
    <w:next w:val="Normalny"/>
    <w:link w:val="NagweknotatkiZnak"/>
    <w:uiPriority w:val="98"/>
    <w:semiHidden/>
    <w:rsid w:val="00947C2B"/>
  </w:style>
  <w:style w:type="character" w:customStyle="1" w:styleId="NagweknotatkiZnak">
    <w:name w:val="Nagłówek notatki Znak"/>
    <w:basedOn w:val="Domylnaczcionkaakapitu"/>
    <w:link w:val="Nagweknotatki"/>
    <w:uiPriority w:val="98"/>
    <w:semiHidden/>
    <w:rsid w:val="00947C2B"/>
    <w:rPr>
      <w:sz w:val="24"/>
      <w:szCs w:val="24"/>
      <w:lang w:val="pl-PL"/>
    </w:rPr>
  </w:style>
  <w:style w:type="character" w:styleId="Tekstzastpczy">
    <w:name w:val="Placeholder Text"/>
    <w:basedOn w:val="Domylnaczcionkaakapitu"/>
    <w:uiPriority w:val="98"/>
    <w:semiHidden/>
    <w:rsid w:val="00947C2B"/>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947C2B"/>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947C2B"/>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947C2B"/>
  </w:style>
  <w:style w:type="character" w:customStyle="1" w:styleId="ZwrotgrzecznociowyZnak">
    <w:name w:val="Zwrot grzecznościowy Znak"/>
    <w:basedOn w:val="Domylnaczcionkaakapitu"/>
    <w:link w:val="Zwrotgrzecznociowy"/>
    <w:uiPriority w:val="98"/>
    <w:semiHidden/>
    <w:rsid w:val="00947C2B"/>
    <w:rPr>
      <w:sz w:val="24"/>
      <w:szCs w:val="24"/>
      <w:lang w:val="pl-PL"/>
    </w:rPr>
  </w:style>
  <w:style w:type="paragraph" w:styleId="Podpis">
    <w:name w:val="Signature"/>
    <w:basedOn w:val="Normalny"/>
    <w:link w:val="PodpisZnak"/>
    <w:uiPriority w:val="98"/>
    <w:semiHidden/>
    <w:rsid w:val="00947C2B"/>
    <w:pPr>
      <w:ind w:left="4252"/>
    </w:pPr>
  </w:style>
  <w:style w:type="character" w:customStyle="1" w:styleId="PodpisZnak">
    <w:name w:val="Podpis Znak"/>
    <w:basedOn w:val="Domylnaczcionkaakapitu"/>
    <w:link w:val="Podpis"/>
    <w:uiPriority w:val="98"/>
    <w:semiHidden/>
    <w:rsid w:val="00947C2B"/>
    <w:rPr>
      <w:sz w:val="24"/>
      <w:szCs w:val="24"/>
      <w:lang w:val="pl-PL"/>
    </w:rPr>
  </w:style>
  <w:style w:type="table" w:styleId="Tabela-Efekty3D1">
    <w:name w:val="Table 3D effects 1"/>
    <w:basedOn w:val="Standardowy"/>
    <w:uiPriority w:val="99"/>
    <w:semiHidden/>
    <w:unhideWhenUsed/>
    <w:rsid w:val="00947C2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47C2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47C2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47C2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47C2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47C2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47C2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47C2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47C2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47C2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47C2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47C2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47C2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47C2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47C2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47C2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47C2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47C2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47C2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47C2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47C2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47C2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47C2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47C2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47C2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47C2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47C2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47C2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47C2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47C2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47C2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47C2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47C2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947C2B"/>
    <w:pPr>
      <w:ind w:left="240" w:hanging="240"/>
    </w:pPr>
  </w:style>
  <w:style w:type="paragraph" w:styleId="Spisilustracji">
    <w:name w:val="table of figures"/>
    <w:basedOn w:val="Normalny"/>
    <w:next w:val="Normalny"/>
    <w:uiPriority w:val="98"/>
    <w:semiHidden/>
    <w:rsid w:val="00947C2B"/>
  </w:style>
  <w:style w:type="table" w:styleId="Tabela-Profesjonalny">
    <w:name w:val="Table Professional"/>
    <w:basedOn w:val="Standardowy"/>
    <w:uiPriority w:val="99"/>
    <w:semiHidden/>
    <w:unhideWhenUsed/>
    <w:rsid w:val="00947C2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47C2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47C2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47C2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47C2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47C2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47C2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47C2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47C2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47C2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947C2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947C2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947C2B"/>
    <w:pPr>
      <w:spacing w:after="100"/>
      <w:ind w:left="1680"/>
    </w:pPr>
  </w:style>
  <w:style w:type="paragraph" w:styleId="Spistreci9">
    <w:name w:val="toc 9"/>
    <w:basedOn w:val="Normalny"/>
    <w:next w:val="Normalny"/>
    <w:autoRedefine/>
    <w:uiPriority w:val="98"/>
    <w:semiHidden/>
    <w:rsid w:val="00947C2B"/>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947C2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47C2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947C2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947C2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47C2B"/>
    <w:pPr>
      <w:numPr>
        <w:numId w:val="8"/>
      </w:numPr>
      <w:spacing w:before="60" w:after="60"/>
    </w:pPr>
  </w:style>
  <w:style w:type="paragraph" w:customStyle="1" w:styleId="ECHRBullet2">
    <w:name w:val="ECHR_Bullet_2"/>
    <w:aliases w:val="_Bul_2"/>
    <w:basedOn w:val="ECHRBullet1"/>
    <w:uiPriority w:val="23"/>
    <w:semiHidden/>
    <w:rsid w:val="00947C2B"/>
    <w:pPr>
      <w:numPr>
        <w:ilvl w:val="1"/>
      </w:numPr>
    </w:pPr>
  </w:style>
  <w:style w:type="paragraph" w:customStyle="1" w:styleId="ECHRBullet3">
    <w:name w:val="ECHR_Bullet_3"/>
    <w:aliases w:val="_Bul_3"/>
    <w:basedOn w:val="ECHRBullet2"/>
    <w:uiPriority w:val="23"/>
    <w:semiHidden/>
    <w:rsid w:val="00947C2B"/>
    <w:pPr>
      <w:numPr>
        <w:ilvl w:val="2"/>
      </w:numPr>
    </w:pPr>
  </w:style>
  <w:style w:type="paragraph" w:customStyle="1" w:styleId="ECHRBullet4">
    <w:name w:val="ECHR_Bullet_4"/>
    <w:aliases w:val="_Bul_4"/>
    <w:basedOn w:val="ECHRBullet3"/>
    <w:uiPriority w:val="23"/>
    <w:semiHidden/>
    <w:rsid w:val="00947C2B"/>
    <w:pPr>
      <w:numPr>
        <w:ilvl w:val="3"/>
      </w:numPr>
    </w:pPr>
  </w:style>
  <w:style w:type="paragraph" w:customStyle="1" w:styleId="ECHRConfidential">
    <w:name w:val="ECHR_Confidential"/>
    <w:aliases w:val="_Confidential"/>
    <w:basedOn w:val="Normalny"/>
    <w:next w:val="Normalny"/>
    <w:uiPriority w:val="42"/>
    <w:semiHidden/>
    <w:qFormat/>
    <w:rsid w:val="00947C2B"/>
    <w:pPr>
      <w:jc w:val="right"/>
    </w:pPr>
    <w:rPr>
      <w:color w:val="C00000"/>
      <w:sz w:val="20"/>
    </w:rPr>
  </w:style>
  <w:style w:type="paragraph" w:customStyle="1" w:styleId="ECHRDecisionBody">
    <w:name w:val="ECHR_Decision_Body"/>
    <w:aliases w:val="_Decision_Body"/>
    <w:basedOn w:val="NormalJustified"/>
    <w:uiPriority w:val="54"/>
    <w:semiHidden/>
    <w:rsid w:val="00947C2B"/>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947C2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947C2B"/>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947C2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947C2B"/>
    <w:pPr>
      <w:jc w:val="right"/>
    </w:pPr>
    <w:rPr>
      <w:sz w:val="20"/>
    </w:rPr>
  </w:style>
  <w:style w:type="paragraph" w:customStyle="1" w:styleId="ECHRHeaderRefIt">
    <w:name w:val="ECHR_Header_Ref_It"/>
    <w:aliases w:val="_Ref_Ital"/>
    <w:basedOn w:val="Normalny"/>
    <w:next w:val="ECHRHeaderDate"/>
    <w:uiPriority w:val="43"/>
    <w:qFormat/>
    <w:rsid w:val="00947C2B"/>
    <w:pPr>
      <w:jc w:val="right"/>
    </w:pPr>
    <w:rPr>
      <w:i/>
      <w:sz w:val="20"/>
    </w:rPr>
  </w:style>
  <w:style w:type="paragraph" w:customStyle="1" w:styleId="ECHRHeading9">
    <w:name w:val="ECHR_Heading_9"/>
    <w:aliases w:val="_Head_9"/>
    <w:basedOn w:val="Nagwek9"/>
    <w:uiPriority w:val="17"/>
    <w:semiHidden/>
    <w:rsid w:val="00947C2B"/>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947C2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947C2B"/>
    <w:pPr>
      <w:numPr>
        <w:numId w:val="10"/>
      </w:numPr>
      <w:spacing w:before="60" w:after="60"/>
    </w:pPr>
  </w:style>
  <w:style w:type="paragraph" w:customStyle="1" w:styleId="ECHRNumberedList2">
    <w:name w:val="ECHR_Numbered_List_2"/>
    <w:aliases w:val="_Num_2"/>
    <w:basedOn w:val="ECHRNumberedList1"/>
    <w:uiPriority w:val="23"/>
    <w:semiHidden/>
    <w:rsid w:val="00947C2B"/>
    <w:pPr>
      <w:numPr>
        <w:ilvl w:val="1"/>
      </w:numPr>
    </w:pPr>
  </w:style>
  <w:style w:type="paragraph" w:customStyle="1" w:styleId="ECHRNumberedList3">
    <w:name w:val="ECHR_Numbered_List_3"/>
    <w:aliases w:val="_Num_3"/>
    <w:basedOn w:val="ECHRNumberedList2"/>
    <w:uiPriority w:val="23"/>
    <w:semiHidden/>
    <w:rsid w:val="00947C2B"/>
    <w:pPr>
      <w:numPr>
        <w:ilvl w:val="2"/>
      </w:numPr>
    </w:pPr>
  </w:style>
  <w:style w:type="paragraph" w:customStyle="1" w:styleId="ECHRParaHanging">
    <w:name w:val="ECHR_Para_Hanging"/>
    <w:aliases w:val="_Hanging"/>
    <w:basedOn w:val="Normalny"/>
    <w:uiPriority w:val="8"/>
    <w:semiHidden/>
    <w:qFormat/>
    <w:rsid w:val="00947C2B"/>
    <w:pPr>
      <w:ind w:left="567" w:hanging="567"/>
      <w:jc w:val="both"/>
    </w:pPr>
  </w:style>
  <w:style w:type="paragraph" w:customStyle="1" w:styleId="ECHRParaIndent">
    <w:name w:val="ECHR_Para_Indent"/>
    <w:aliases w:val="_Indent"/>
    <w:basedOn w:val="Normalny"/>
    <w:uiPriority w:val="7"/>
    <w:semiHidden/>
    <w:qFormat/>
    <w:rsid w:val="00947C2B"/>
    <w:pPr>
      <w:spacing w:before="120" w:after="120"/>
      <w:ind w:left="284"/>
      <w:jc w:val="both"/>
    </w:pPr>
  </w:style>
  <w:style w:type="character" w:customStyle="1" w:styleId="ECHRRed">
    <w:name w:val="ECHR_Red"/>
    <w:aliases w:val="_Red"/>
    <w:basedOn w:val="Domylnaczcionkaakapitu"/>
    <w:uiPriority w:val="15"/>
    <w:semiHidden/>
    <w:qFormat/>
    <w:rsid w:val="00947C2B"/>
    <w:rPr>
      <w:color w:val="C00000" w:themeColor="accent2"/>
    </w:rPr>
  </w:style>
  <w:style w:type="paragraph" w:customStyle="1" w:styleId="DecList">
    <w:name w:val="Dec_List"/>
    <w:aliases w:val="_List"/>
    <w:basedOn w:val="JuList"/>
    <w:uiPriority w:val="22"/>
    <w:rsid w:val="00947C2B"/>
    <w:pPr>
      <w:numPr>
        <w:numId w:val="0"/>
      </w:numPr>
      <w:ind w:left="284"/>
    </w:pPr>
  </w:style>
  <w:style w:type="table" w:customStyle="1" w:styleId="ECHRTable2">
    <w:name w:val="ECHR_Table_2"/>
    <w:basedOn w:val="Standardowy"/>
    <w:uiPriority w:val="99"/>
    <w:rsid w:val="00947C2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947C2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947C2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947C2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947C2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947C2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947C2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947C2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947C2B"/>
    <w:pPr>
      <w:outlineLvl w:val="0"/>
    </w:pPr>
  </w:style>
  <w:style w:type="paragraph" w:customStyle="1" w:styleId="ECHRTitleTOC1">
    <w:name w:val="ECHR_Title_TOC_1"/>
    <w:aliases w:val="_Title_L_TOC"/>
    <w:basedOn w:val="ECHRTitle1"/>
    <w:next w:val="Normalny"/>
    <w:uiPriority w:val="27"/>
    <w:semiHidden/>
    <w:qFormat/>
    <w:rsid w:val="00947C2B"/>
    <w:pPr>
      <w:outlineLvl w:val="0"/>
    </w:pPr>
  </w:style>
  <w:style w:type="paragraph" w:customStyle="1" w:styleId="ECHRPlaceholder">
    <w:name w:val="ECHR_Placeholder"/>
    <w:aliases w:val="_Placeholder"/>
    <w:basedOn w:val="JuSigned"/>
    <w:uiPriority w:val="31"/>
    <w:rsid w:val="00947C2B"/>
    <w:rPr>
      <w:color w:val="FFFFFF"/>
    </w:rPr>
  </w:style>
  <w:style w:type="paragraph" w:customStyle="1" w:styleId="ECHRSpacer">
    <w:name w:val="ECHR_Spacer"/>
    <w:aliases w:val="_Spacer"/>
    <w:basedOn w:val="Normalny"/>
    <w:uiPriority w:val="45"/>
    <w:semiHidden/>
    <w:rsid w:val="00947C2B"/>
    <w:rPr>
      <w:sz w:val="4"/>
    </w:rPr>
  </w:style>
  <w:style w:type="table" w:customStyle="1" w:styleId="ECHRTableGrey">
    <w:name w:val="ECHR_Table_Grey"/>
    <w:basedOn w:val="Standardowy"/>
    <w:uiPriority w:val="99"/>
    <w:rsid w:val="00947C2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qFormat/>
    <w:rsid w:val="00542DDB"/>
    <w:rPr>
      <w:sz w:val="24"/>
      <w:szCs w:val="24"/>
      <w:lang w:val="pl-PL"/>
    </w:rPr>
  </w:style>
  <w:style w:type="character" w:customStyle="1" w:styleId="JuNames0">
    <w:name w:val="Ju_Names"/>
    <w:rsid w:val="00542DDB"/>
    <w:rPr>
      <w:smallCaps/>
    </w:rPr>
  </w:style>
  <w:style w:type="paragraph" w:customStyle="1" w:styleId="JuList4">
    <w:name w:val="Ju_List_4"/>
    <w:aliases w:val="N_Bul_4"/>
    <w:basedOn w:val="JuListi"/>
    <w:uiPriority w:val="19"/>
    <w:rsid w:val="00542DDB"/>
    <w:pPr>
      <w:numPr>
        <w:ilvl w:val="0"/>
        <w:numId w:val="0"/>
      </w:numPr>
      <w:tabs>
        <w:tab w:val="num" w:pos="1701"/>
      </w:tabs>
      <w:spacing w:before="60" w:after="60" w:line="240" w:lineRule="exact"/>
      <w:ind w:left="1703" w:hanging="284"/>
      <w:contextualSpacing/>
    </w:pPr>
    <w:rPr>
      <w:sz w:val="22"/>
      <w:lang w:eastAsia="fr-FR"/>
    </w:rPr>
  </w:style>
  <w:style w:type="character" w:customStyle="1" w:styleId="JuListChar">
    <w:name w:val="Ju_List Char"/>
    <w:link w:val="JuList"/>
    <w:uiPriority w:val="23"/>
    <w:qFormat/>
    <w:locked/>
    <w:rsid w:val="00542DDB"/>
    <w:rPr>
      <w:sz w:val="24"/>
      <w:szCs w:val="24"/>
      <w:lang w:val="pl-PL"/>
    </w:rPr>
  </w:style>
  <w:style w:type="paragraph" w:customStyle="1" w:styleId="SingleTxtG">
    <w:name w:val="_ Single Txt_G"/>
    <w:basedOn w:val="Normalny"/>
    <w:link w:val="SingleTxtGChar"/>
    <w:qFormat/>
    <w:rsid w:val="00542DDB"/>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542DDB"/>
    <w:rPr>
      <w:rFonts w:ascii="Times New Roman" w:eastAsia="Times New Roman" w:hAnsi="Times New Roman" w:cs="Times New Roman"/>
      <w:sz w:val="20"/>
      <w:szCs w:val="20"/>
      <w:lang w:val="pl-PL"/>
    </w:rPr>
  </w:style>
  <w:style w:type="paragraph" w:customStyle="1" w:styleId="JuParaSub">
    <w:name w:val="Ju_Para_Sub"/>
    <w:basedOn w:val="JuPara"/>
    <w:uiPriority w:val="13"/>
    <w:qFormat/>
    <w:rsid w:val="00542DDB"/>
    <w:pPr>
      <w:ind w:left="284"/>
    </w:pPr>
  </w:style>
  <w:style w:type="table" w:styleId="Tabelasiatki1jasna">
    <w:name w:val="Grid Table 1 Light"/>
    <w:basedOn w:val="Standardowy"/>
    <w:uiPriority w:val="46"/>
    <w:semiHidden/>
    <w:rsid w:val="0044188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44188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44188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44188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44188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44188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44188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44188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44188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44188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44188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44188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44188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44188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44188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44188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44188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44188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44188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44188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44188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44188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44188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44188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44188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44188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44188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44188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44188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44188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44188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44188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44188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44188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44188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44188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44188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44188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44188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44188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44188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44188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44188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441880"/>
    <w:rPr>
      <w:color w:val="2B579A"/>
      <w:shd w:val="clear" w:color="auto" w:fill="E1DFDD"/>
    </w:rPr>
  </w:style>
  <w:style w:type="table" w:styleId="Tabelalisty1jasna">
    <w:name w:val="List Table 1 Light"/>
    <w:basedOn w:val="Standardowy"/>
    <w:uiPriority w:val="46"/>
    <w:semiHidden/>
    <w:rsid w:val="0044188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44188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44188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44188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44188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44188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44188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44188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44188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44188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44188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44188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44188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44188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44188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44188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44188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44188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44188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44188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44188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44188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44188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44188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44188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44188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44188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44188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44188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44188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44188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44188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44188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44188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44188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44188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44188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44188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44188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44188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44188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44188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44188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44188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44188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44188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44188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44188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44188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441880"/>
    <w:rPr>
      <w:color w:val="2B579A"/>
      <w:shd w:val="clear" w:color="auto" w:fill="E1DFDD"/>
    </w:rPr>
  </w:style>
  <w:style w:type="table" w:styleId="Zwykatabela1">
    <w:name w:val="Plain Table 1"/>
    <w:basedOn w:val="Standardowy"/>
    <w:uiPriority w:val="41"/>
    <w:semiHidden/>
    <w:rsid w:val="0044188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44188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44188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44188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44188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441880"/>
    <w:rPr>
      <w:u w:val="dotted"/>
    </w:rPr>
  </w:style>
  <w:style w:type="character" w:customStyle="1" w:styleId="Inteligentnylink1">
    <w:name w:val="Inteligentny link1"/>
    <w:basedOn w:val="Domylnaczcionkaakapitu"/>
    <w:uiPriority w:val="99"/>
    <w:semiHidden/>
    <w:unhideWhenUsed/>
    <w:rsid w:val="00947C2B"/>
    <w:rPr>
      <w:color w:val="0000FF"/>
      <w:u w:val="single"/>
      <w:shd w:val="clear" w:color="auto" w:fill="F3F2F1"/>
    </w:rPr>
  </w:style>
  <w:style w:type="table" w:styleId="Siatkatabelijasna">
    <w:name w:val="Grid Table Light"/>
    <w:basedOn w:val="Standardowy"/>
    <w:uiPriority w:val="40"/>
    <w:semiHidden/>
    <w:rsid w:val="0044188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441880"/>
    <w:rPr>
      <w:color w:val="605E5C"/>
      <w:shd w:val="clear" w:color="auto" w:fill="E1DFDD"/>
    </w:rPr>
  </w:style>
  <w:style w:type="numbering" w:customStyle="1" w:styleId="ECHRA1StyleBulletedSquare1">
    <w:name w:val="ECHR_A1_Style_Bulleted_Square1"/>
    <w:basedOn w:val="Bezlisty"/>
    <w:rsid w:val="004C701D"/>
  </w:style>
  <w:style w:type="paragraph" w:customStyle="1" w:styleId="jupara0">
    <w:name w:val="jupara"/>
    <w:basedOn w:val="Normalny"/>
    <w:rsid w:val="00791180"/>
    <w:pPr>
      <w:ind w:firstLine="284"/>
      <w:jc w:val="both"/>
    </w:pPr>
    <w:rPr>
      <w:rFonts w:ascii="Times New Roman" w:eastAsia="Times New Roman" w:hAnsi="Times New Roman" w:cs="Times New Roman"/>
      <w:lang w:eastAsia="en-GB"/>
    </w:rPr>
  </w:style>
  <w:style w:type="paragraph" w:customStyle="1" w:styleId="jucase0">
    <w:name w:val="jucase"/>
    <w:basedOn w:val="Normalny"/>
    <w:rsid w:val="00791180"/>
    <w:pPr>
      <w:ind w:firstLine="284"/>
      <w:jc w:val="both"/>
    </w:pPr>
    <w:rPr>
      <w:rFonts w:ascii="Times New Roman" w:eastAsia="Times New Roman" w:hAnsi="Times New Roman" w:cs="Times New Roman"/>
      <w:b/>
      <w:bCs/>
      <w:lang w:eastAsia="en-GB"/>
    </w:rPr>
  </w:style>
  <w:style w:type="paragraph" w:styleId="Poprawka">
    <w:name w:val="Revision"/>
    <w:hidden/>
    <w:uiPriority w:val="99"/>
    <w:semiHidden/>
    <w:rsid w:val="0003102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A27A6D-654E-4537-8EF7-6CEB175018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3E95AF-5C19-4DFC-9E23-F21C65F4E80F}">
  <ds:schemaRefs>
    <ds:schemaRef ds:uri="http://schemas.openxmlformats.org/officeDocument/2006/bibliography"/>
  </ds:schemaRefs>
</ds:datastoreItem>
</file>

<file path=customXml/itemProps3.xml><?xml version="1.0" encoding="utf-8"?>
<ds:datastoreItem xmlns:ds="http://schemas.openxmlformats.org/officeDocument/2006/customXml" ds:itemID="{07C18C2C-A953-44BF-B714-1A5929DC9D8C}">
  <ds:schemaRefs>
    <ds:schemaRef ds:uri="http://schemas.microsoft.com/sharepoint/v3/contenttype/forms"/>
  </ds:schemaRefs>
</ds:datastoreItem>
</file>

<file path=customXml/itemProps4.xml><?xml version="1.0" encoding="utf-8"?>
<ds:datastoreItem xmlns:ds="http://schemas.openxmlformats.org/officeDocument/2006/customXml" ds:itemID="{A7E5F4F2-5232-41C6-95CB-F8A6A98B0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7104</Words>
  <Characters>42628</Characters>
  <Application>Microsoft Office Word</Application>
  <DocSecurity>0</DocSecurity>
  <Lines>355</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2023-06-23T13:36:00Z</dcterms:created>
  <dcterms:modified xsi:type="dcterms:W3CDTF">2023-06-23T13:36:00Z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65583/13</vt:lpwstr>
  </property>
  <property fmtid="{D5CDD505-2E9C-101B-9397-08002B2CF9AE}" pid="4" name="CASEID">
    <vt:lpwstr>916329</vt:lpwstr>
  </property>
  <property fmtid="{D5CDD505-2E9C-101B-9397-08002B2CF9AE}" pid="5" name="ContentTypeId">
    <vt:lpwstr>0x010100558EB02BDB9E204AB350EDD385B68E10</vt:lpwstr>
  </property>
</Properties>
</file>