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031026" w:rsidR="00031026" w:rsidP="00031026" w:rsidRDefault="00031026" w14:paraId="4F720FD6" w14:textId="77777777">
      <w:pPr>
        <w:jc w:val="center"/>
        <w:rPr>
          <w:rFonts w:ascii="Times New Roman" w:hAnsi="Times New Roman" w:cs="Times New Roman"/>
        </w:rPr>
      </w:pPr>
    </w:p>
    <w:p w:rsidRPr="00031026" w:rsidR="00031026" w:rsidP="00031026" w:rsidRDefault="00031026" w14:paraId="65D66C37" w14:textId="77777777">
      <w:pPr>
        <w:jc w:val="center"/>
      </w:pPr>
    </w:p>
    <w:p w:rsidRPr="00031026" w:rsidR="00031026" w:rsidP="00031026" w:rsidRDefault="00031026" w14:paraId="6E027443" w14:textId="77777777">
      <w:pPr>
        <w:pStyle w:val="DecHCase"/>
      </w:pPr>
      <w:r w:rsidRPr="00031026">
        <w:t>FIFTH SECTION</w:t>
      </w:r>
    </w:p>
    <w:p w:rsidRPr="00031026" w:rsidR="00031026" w:rsidP="00031026" w:rsidRDefault="00031026" w14:paraId="6F3318F6" w14:textId="77777777">
      <w:pPr>
        <w:pStyle w:val="JuTitle"/>
        <w:spacing w:before="1200"/>
      </w:pPr>
      <w:bookmarkStart w:name="To" w:id="0"/>
      <w:r w:rsidRPr="00031026">
        <w:rPr>
          <w:color w:val="000000" w:themeColor="text1"/>
        </w:rPr>
        <w:t xml:space="preserve">CASE OF </w:t>
      </w:r>
      <w:bookmarkEnd w:id="0"/>
      <w:r w:rsidRPr="00031026">
        <w:t>AZIZOV AND NOVRUZLU v. AZERBAIJAN</w:t>
      </w:r>
    </w:p>
    <w:p w:rsidRPr="00031026" w:rsidR="00031026" w:rsidP="00031026" w:rsidRDefault="00031026" w14:paraId="1651817E" w14:textId="77777777">
      <w:pPr>
        <w:pStyle w:val="ECHRCoverTitle4"/>
      </w:pPr>
      <w:r w:rsidRPr="00031026">
        <w:t>(Applications nos. 65583/13 and 70106/13)</w:t>
      </w:r>
    </w:p>
    <w:p w:rsidRPr="00031026" w:rsidR="00031026" w:rsidP="00031026" w:rsidRDefault="00031026" w14:paraId="4FE17672" w14:textId="77777777">
      <w:pPr>
        <w:pStyle w:val="DecHCase"/>
      </w:pPr>
    </w:p>
    <w:p w:rsidRPr="00031026" w:rsidR="00031026" w:rsidP="00031026" w:rsidRDefault="00031026" w14:paraId="1789CBAF" w14:textId="77777777">
      <w:pPr>
        <w:pStyle w:val="DecHCase"/>
      </w:pPr>
    </w:p>
    <w:p w:rsidRPr="00031026" w:rsidR="00031026" w:rsidP="00031026" w:rsidRDefault="00031026" w14:paraId="1C57AB01" w14:textId="77777777">
      <w:pPr>
        <w:pStyle w:val="DecHCase"/>
        <w:spacing w:after="120"/>
      </w:pPr>
    </w:p>
    <w:p w:rsidRPr="00031026" w:rsidR="00031026" w:rsidP="00031026" w:rsidRDefault="00031026" w14:paraId="6A480234" w14:textId="77777777">
      <w:pPr>
        <w:pStyle w:val="DecHCase"/>
      </w:pPr>
      <w:r w:rsidRPr="00031026">
        <w:t>JUDGMENT</w:t>
      </w:r>
      <w:r w:rsidRPr="00031026">
        <w:br/>
      </w:r>
    </w:p>
    <w:p w:rsidRPr="00031026" w:rsidR="00031026" w:rsidP="00031026" w:rsidRDefault="00031026" w14:paraId="6789719C" w14:textId="75005C49">
      <w:pPr>
        <w:pStyle w:val="JuPara"/>
        <w:pBdr>
          <w:top w:val="single" w:color="auto" w:sz="4" w:space="1"/>
          <w:left w:val="single" w:color="auto" w:sz="4" w:space="4"/>
          <w:bottom w:val="single" w:color="auto" w:sz="4" w:space="1"/>
          <w:right w:val="single" w:color="auto" w:sz="4" w:space="4"/>
        </w:pBdr>
        <w:ind w:firstLine="0"/>
      </w:pPr>
      <w:r w:rsidRPr="00031026">
        <w:t>Art 5 § 3 • Reasonableness of pre-trial detention • Domestic courts’ failure to provide “relevant” and “sufficient” reasons justifying extension of applicants’ pre-trial detention</w:t>
      </w:r>
    </w:p>
    <w:p w:rsidRPr="00031026" w:rsidR="00031026" w:rsidP="00031026" w:rsidRDefault="00031026" w14:paraId="1ED85D05" w14:textId="77777777">
      <w:pPr>
        <w:pStyle w:val="JuPara"/>
        <w:pBdr>
          <w:top w:val="single" w:color="auto" w:sz="4" w:space="1"/>
          <w:left w:val="single" w:color="auto" w:sz="4" w:space="4"/>
          <w:bottom w:val="single" w:color="auto" w:sz="4" w:space="1"/>
          <w:right w:val="single" w:color="auto" w:sz="4" w:space="4"/>
        </w:pBdr>
        <w:ind w:firstLine="0"/>
      </w:pPr>
      <w:r w:rsidRPr="00031026">
        <w:t>Art 18 (+ Art 5 § 3) • Restrictions for unauthorised purposes • Pre-trial detention of opposition activists with ulterior and predominant purpose of punishing and silencing them for their active involvement in anti-government demonstrations</w:t>
      </w:r>
    </w:p>
    <w:p w:rsidRPr="00031026" w:rsidR="00031026" w:rsidP="00031026" w:rsidRDefault="00031026" w14:paraId="6D753925" w14:textId="77777777">
      <w:pPr>
        <w:pStyle w:val="DecHCase"/>
        <w:spacing w:after="120"/>
      </w:pPr>
    </w:p>
    <w:p w:rsidRPr="00031026" w:rsidR="00031026" w:rsidP="00031026" w:rsidRDefault="00031026" w14:paraId="451E205A" w14:textId="77777777">
      <w:pPr>
        <w:pStyle w:val="DecHCase"/>
      </w:pPr>
      <w:r w:rsidRPr="00031026">
        <w:t>STRASBOURG</w:t>
      </w:r>
    </w:p>
    <w:p w:rsidRPr="00031026" w:rsidR="00031026" w:rsidP="00031026" w:rsidRDefault="00031026" w14:paraId="2FCBE35B" w14:textId="77777777">
      <w:pPr>
        <w:pStyle w:val="DecHCase"/>
      </w:pPr>
      <w:r w:rsidRPr="00031026">
        <w:rPr>
          <w:rFonts w:ascii="Times New Roman" w:hAnsi="Times New Roman" w:cs="Times New Roman"/>
        </w:rPr>
        <w:t>18 February 2021</w:t>
      </w:r>
    </w:p>
    <w:p w:rsidRPr="00031026" w:rsidR="00031026" w:rsidP="00031026" w:rsidRDefault="00031026" w14:paraId="3BDDD88D" w14:textId="77777777">
      <w:pPr>
        <w:pStyle w:val="jucase0"/>
        <w:ind w:firstLine="0"/>
        <w:jc w:val="center"/>
        <w:rPr>
          <w:color w:val="FF0000"/>
          <w:sz w:val="28"/>
          <w:szCs w:val="28"/>
          <w:u w:val="single"/>
        </w:rPr>
      </w:pPr>
      <w:r w:rsidRPr="00031026">
        <w:rPr>
          <w:color w:val="FF0000"/>
          <w:sz w:val="28"/>
          <w:szCs w:val="28"/>
          <w:u w:val="single"/>
        </w:rPr>
        <w:t>FINAL</w:t>
      </w:r>
    </w:p>
    <w:p w:rsidRPr="00031026" w:rsidR="00031026" w:rsidP="00031026" w:rsidRDefault="00031026" w14:paraId="48C95F6E" w14:textId="77777777">
      <w:pPr>
        <w:pStyle w:val="jucase0"/>
        <w:ind w:firstLine="0"/>
        <w:jc w:val="center"/>
        <w:rPr>
          <w:b w:val="0"/>
          <w:bCs w:val="0"/>
          <w:color w:val="FF0000"/>
          <w:u w:val="single"/>
        </w:rPr>
      </w:pPr>
    </w:p>
    <w:p w:rsidRPr="00031026" w:rsidR="00031026" w:rsidP="00031026" w:rsidRDefault="00031026" w14:paraId="705EE05D" w14:textId="77777777">
      <w:pPr>
        <w:pStyle w:val="jucase0"/>
        <w:ind w:firstLine="0"/>
        <w:jc w:val="center"/>
        <w:rPr>
          <w:b w:val="0"/>
          <w:color w:val="FF0000"/>
          <w:sz w:val="28"/>
          <w:szCs w:val="28"/>
        </w:rPr>
      </w:pPr>
      <w:r w:rsidRPr="00031026">
        <w:rPr>
          <w:b w:val="0"/>
          <w:color w:val="FF0000"/>
          <w:sz w:val="28"/>
          <w:szCs w:val="28"/>
        </w:rPr>
        <w:t>18/05/2021</w:t>
      </w:r>
    </w:p>
    <w:p w:rsidRPr="00031026" w:rsidR="00031026" w:rsidP="00031026" w:rsidRDefault="00031026" w14:paraId="02D25516" w14:textId="77777777">
      <w:pPr>
        <w:pStyle w:val="jupara0"/>
        <w:spacing w:after="120"/>
        <w:ind w:firstLine="0"/>
        <w:jc w:val="center"/>
      </w:pPr>
    </w:p>
    <w:p w:rsidRPr="00031026" w:rsidR="00031026" w:rsidP="00031026" w:rsidRDefault="00031026" w14:paraId="5A16E5DD" w14:textId="77777777">
      <w:pPr>
        <w:jc w:val="center"/>
        <w:rPr>
          <w:i/>
          <w:sz w:val="22"/>
        </w:rPr>
      </w:pPr>
      <w:r w:rsidRPr="00031026">
        <w:rPr>
          <w:i/>
          <w:iCs/>
          <w:sz w:val="22"/>
          <w:szCs w:val="22"/>
        </w:rPr>
        <w:t>This judgment has become final under Article 44 § 2 of the Convention. It may be subject to editorial revision.</w:t>
      </w:r>
    </w:p>
    <w:p w:rsidRPr="00031026" w:rsidR="00031026" w:rsidP="00031026" w:rsidRDefault="00031026" w14:paraId="3B7D23F5" w14:textId="77777777">
      <w:pPr>
        <w:sectPr w:rsidRPr="00031026" w:rsidR="00031026" w:rsidSect="00197783">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docGrid w:linePitch="326"/>
        </w:sectPr>
      </w:pPr>
    </w:p>
    <w:p w:rsidRPr="00031026" w:rsidR="00031026" w:rsidP="00031026" w:rsidRDefault="00031026" w14:paraId="4AD94239" w14:textId="77777777">
      <w:pPr>
        <w:pStyle w:val="JuCase"/>
      </w:pPr>
      <w:r w:rsidRPr="00031026">
        <w:t xml:space="preserve">In the case of </w:t>
      </w:r>
      <w:proofErr w:type="spellStart"/>
      <w:r w:rsidRPr="00031026">
        <w:t>Azizov</w:t>
      </w:r>
      <w:proofErr w:type="spellEnd"/>
      <w:r w:rsidRPr="00031026">
        <w:t xml:space="preserve"> and </w:t>
      </w:r>
      <w:proofErr w:type="spellStart"/>
      <w:r w:rsidRPr="00031026">
        <w:t>Novruzlu</w:t>
      </w:r>
      <w:proofErr w:type="spellEnd"/>
      <w:r w:rsidRPr="00031026">
        <w:t xml:space="preserve"> v. Azerbaijan,</w:t>
      </w:r>
    </w:p>
    <w:p w:rsidRPr="00031026" w:rsidR="00031026" w:rsidP="00031026" w:rsidRDefault="00031026" w14:paraId="0BCE64D8" w14:textId="77777777">
      <w:pPr>
        <w:pStyle w:val="JuPara"/>
      </w:pPr>
      <w:r w:rsidRPr="00031026">
        <w:t>The European Court of Human Rights (Fifth Section), sitting as a Chamber composed of:</w:t>
      </w:r>
    </w:p>
    <w:p w:rsidRPr="00031026" w:rsidR="00031026" w:rsidP="00031026" w:rsidRDefault="00031026" w14:paraId="07FF67AC" w14:textId="41F4A1E4">
      <w:pPr>
        <w:pStyle w:val="JuJudges"/>
      </w:pPr>
      <w:r w:rsidRPr="00031026">
        <w:tab/>
      </w:r>
      <w:proofErr w:type="spellStart"/>
      <w:r w:rsidRPr="00031026">
        <w:t>Síofra</w:t>
      </w:r>
      <w:proofErr w:type="spellEnd"/>
      <w:r w:rsidRPr="00031026">
        <w:t xml:space="preserve"> O’Leary,</w:t>
      </w:r>
      <w:r w:rsidRPr="00031026">
        <w:rPr>
          <w:i/>
        </w:rPr>
        <w:t xml:space="preserve"> President</w:t>
      </w:r>
      <w:r w:rsidRPr="00031026">
        <w:rPr>
          <w:iCs/>
        </w:rPr>
        <w:t>,</w:t>
      </w:r>
      <w:r w:rsidRPr="00031026">
        <w:rPr>
          <w:i/>
        </w:rPr>
        <w:br/>
      </w:r>
      <w:r w:rsidRPr="00031026">
        <w:tab/>
        <w:t xml:space="preserve">Ganna </w:t>
      </w:r>
      <w:proofErr w:type="spellStart"/>
      <w:r w:rsidRPr="00031026">
        <w:t>Yudkivska</w:t>
      </w:r>
      <w:proofErr w:type="spellEnd"/>
      <w:r w:rsidRPr="00031026">
        <w:t>,</w:t>
      </w:r>
      <w:r w:rsidRPr="00031026">
        <w:rPr>
          <w:i/>
        </w:rPr>
        <w:br/>
      </w:r>
      <w:r w:rsidRPr="00031026">
        <w:tab/>
        <w:t xml:space="preserve">Stéphanie </w:t>
      </w:r>
      <w:proofErr w:type="spellStart"/>
      <w:r w:rsidRPr="00031026">
        <w:t>Mourou-Vikström</w:t>
      </w:r>
      <w:proofErr w:type="spellEnd"/>
      <w:r w:rsidRPr="00031026">
        <w:t>,</w:t>
      </w:r>
      <w:r w:rsidRPr="00031026">
        <w:rPr>
          <w:i/>
        </w:rPr>
        <w:br/>
      </w:r>
      <w:r w:rsidRPr="00031026">
        <w:tab/>
      </w:r>
      <w:proofErr w:type="spellStart"/>
      <w:r w:rsidRPr="00031026">
        <w:t>Lətif</w:t>
      </w:r>
      <w:proofErr w:type="spellEnd"/>
      <w:r w:rsidRPr="00031026">
        <w:t xml:space="preserve"> </w:t>
      </w:r>
      <w:proofErr w:type="spellStart"/>
      <w:r w:rsidRPr="00031026">
        <w:t>Hüseynov</w:t>
      </w:r>
      <w:proofErr w:type="spellEnd"/>
      <w:r w:rsidRPr="00031026">
        <w:t>,</w:t>
      </w:r>
      <w:r w:rsidRPr="00031026">
        <w:rPr>
          <w:i/>
        </w:rPr>
        <w:br/>
      </w:r>
      <w:r w:rsidRPr="00031026">
        <w:tab/>
        <w:t xml:space="preserve">Lado </w:t>
      </w:r>
      <w:proofErr w:type="spellStart"/>
      <w:r w:rsidRPr="00031026">
        <w:t>Chanturia</w:t>
      </w:r>
      <w:proofErr w:type="spellEnd"/>
      <w:r w:rsidRPr="00031026">
        <w:t>,</w:t>
      </w:r>
      <w:r w:rsidRPr="00031026">
        <w:rPr>
          <w:i/>
        </w:rPr>
        <w:br/>
      </w:r>
      <w:r w:rsidRPr="00031026">
        <w:tab/>
        <w:t xml:space="preserve">Ivana </w:t>
      </w:r>
      <w:proofErr w:type="spellStart"/>
      <w:r w:rsidRPr="00031026">
        <w:t>Jelić</w:t>
      </w:r>
      <w:proofErr w:type="spellEnd"/>
      <w:r w:rsidRPr="00031026">
        <w:t>,</w:t>
      </w:r>
      <w:r w:rsidRPr="00031026">
        <w:rPr>
          <w:i/>
        </w:rPr>
        <w:br/>
      </w:r>
      <w:r w:rsidRPr="00031026">
        <w:tab/>
      </w:r>
      <w:proofErr w:type="spellStart"/>
      <w:r w:rsidRPr="00031026">
        <w:t>Arnfinn</w:t>
      </w:r>
      <w:proofErr w:type="spellEnd"/>
      <w:r w:rsidRPr="00031026">
        <w:t xml:space="preserve"> </w:t>
      </w:r>
      <w:proofErr w:type="spellStart"/>
      <w:r w:rsidRPr="00031026">
        <w:t>Bårdsen</w:t>
      </w:r>
      <w:proofErr w:type="spellEnd"/>
      <w:r w:rsidRPr="00031026">
        <w:t>,</w:t>
      </w:r>
      <w:r w:rsidRPr="00031026">
        <w:rPr>
          <w:i/>
        </w:rPr>
        <w:t xml:space="preserve"> judges</w:t>
      </w:r>
      <w:r w:rsidRPr="00031026">
        <w:rPr>
          <w:iCs/>
        </w:rPr>
        <w:t>,</w:t>
      </w:r>
      <w:r w:rsidRPr="00031026">
        <w:br/>
        <w:t xml:space="preserve">and Victor </w:t>
      </w:r>
      <w:proofErr w:type="spellStart"/>
      <w:r w:rsidRPr="00031026">
        <w:t>Soloveytchik</w:t>
      </w:r>
      <w:proofErr w:type="spellEnd"/>
      <w:r w:rsidRPr="00031026">
        <w:t xml:space="preserve">, </w:t>
      </w:r>
      <w:r w:rsidRPr="00031026">
        <w:rPr>
          <w:i/>
        </w:rPr>
        <w:t xml:space="preserve">Section </w:t>
      </w:r>
      <w:r w:rsidRPr="00031026">
        <w:rPr>
          <w:i/>
          <w:iCs/>
        </w:rPr>
        <w:t>Registrar</w:t>
      </w:r>
      <w:r w:rsidRPr="00031026">
        <w:rPr>
          <w:iCs/>
        </w:rPr>
        <w:t>,</w:t>
      </w:r>
    </w:p>
    <w:p w:rsidRPr="00031026" w:rsidR="00031026" w:rsidP="00031026" w:rsidRDefault="00031026" w14:paraId="6C38E39C" w14:textId="77777777">
      <w:pPr>
        <w:pStyle w:val="JuPara"/>
      </w:pPr>
      <w:bookmarkStart w:name="ITMARKHavingStart" w:id="1"/>
      <w:bookmarkEnd w:id="1"/>
      <w:r w:rsidRPr="00031026">
        <w:t>Having regard to:</w:t>
      </w:r>
    </w:p>
    <w:p w:rsidRPr="00031026" w:rsidR="00031026" w:rsidP="00031026" w:rsidRDefault="00031026" w14:paraId="5D80C55E" w14:textId="77777777">
      <w:pPr>
        <w:pStyle w:val="JuPara"/>
      </w:pPr>
      <w:r w:rsidRPr="00031026">
        <w:t xml:space="preserve">the applications (nos. 65583/13 and 70106/13) against the Republic of Azerbaijan lodged with the Court under Article 34 of the Convention for the Protection of Human Rights and Fundamental Freedoms (“the Convention”) by two Azerbaijani nationals, Mr </w:t>
      </w:r>
      <w:proofErr w:type="spellStart"/>
      <w:r w:rsidRPr="00031026">
        <w:t>Mammad</w:t>
      </w:r>
      <w:proofErr w:type="spellEnd"/>
      <w:r w:rsidRPr="00031026">
        <w:t xml:space="preserve"> </w:t>
      </w:r>
      <w:proofErr w:type="spellStart"/>
      <w:r w:rsidRPr="00031026">
        <w:t>Rasim</w:t>
      </w:r>
      <w:proofErr w:type="spellEnd"/>
      <w:r w:rsidRPr="00031026">
        <w:t xml:space="preserve"> </w:t>
      </w:r>
      <w:proofErr w:type="spellStart"/>
      <w:r w:rsidRPr="00031026">
        <w:t>oglu</w:t>
      </w:r>
      <w:proofErr w:type="spellEnd"/>
      <w:r w:rsidRPr="00031026">
        <w:t xml:space="preserve"> </w:t>
      </w:r>
      <w:proofErr w:type="spellStart"/>
      <w:r w:rsidRPr="00031026">
        <w:t>Azizov</w:t>
      </w:r>
      <w:proofErr w:type="spellEnd"/>
      <w:r w:rsidRPr="00031026">
        <w:t xml:space="preserve"> (</w:t>
      </w:r>
      <w:proofErr w:type="spellStart"/>
      <w:r w:rsidRPr="00031026">
        <w:rPr>
          <w:i/>
        </w:rPr>
        <w:t>Məmməd</w:t>
      </w:r>
      <w:proofErr w:type="spellEnd"/>
      <w:r w:rsidRPr="00031026">
        <w:rPr>
          <w:i/>
        </w:rPr>
        <w:t xml:space="preserve"> </w:t>
      </w:r>
      <w:proofErr w:type="spellStart"/>
      <w:r w:rsidRPr="00031026">
        <w:rPr>
          <w:i/>
        </w:rPr>
        <w:t>Rasim</w:t>
      </w:r>
      <w:proofErr w:type="spellEnd"/>
      <w:r w:rsidRPr="00031026">
        <w:rPr>
          <w:i/>
        </w:rPr>
        <w:t xml:space="preserve"> </w:t>
      </w:r>
      <w:proofErr w:type="spellStart"/>
      <w:r w:rsidRPr="00031026">
        <w:rPr>
          <w:i/>
        </w:rPr>
        <w:t>oğlu</w:t>
      </w:r>
      <w:proofErr w:type="spellEnd"/>
      <w:r w:rsidRPr="00031026">
        <w:rPr>
          <w:i/>
        </w:rPr>
        <w:t xml:space="preserve"> </w:t>
      </w:r>
      <w:proofErr w:type="spellStart"/>
      <w:r w:rsidRPr="00031026">
        <w:rPr>
          <w:i/>
        </w:rPr>
        <w:t>Əzizov</w:t>
      </w:r>
      <w:proofErr w:type="spellEnd"/>
      <w:r w:rsidRPr="00031026">
        <w:t xml:space="preserve"> </w:t>
      </w:r>
      <w:r w:rsidRPr="00031026">
        <w:rPr>
          <w:rFonts w:cstheme="minorHAnsi"/>
        </w:rPr>
        <w:t>–</w:t>
      </w:r>
      <w:r w:rsidRPr="00031026">
        <w:t xml:space="preserve"> “the first applicant”) and Shahin Ibrahim </w:t>
      </w:r>
      <w:proofErr w:type="spellStart"/>
      <w:r w:rsidRPr="00031026">
        <w:t>oglu</w:t>
      </w:r>
      <w:proofErr w:type="spellEnd"/>
      <w:r w:rsidRPr="00031026">
        <w:t xml:space="preserve"> </w:t>
      </w:r>
      <w:proofErr w:type="spellStart"/>
      <w:r w:rsidRPr="00031026">
        <w:t>Novruzlu</w:t>
      </w:r>
      <w:proofErr w:type="spellEnd"/>
      <w:r w:rsidRPr="00031026">
        <w:t xml:space="preserve"> (</w:t>
      </w:r>
      <w:proofErr w:type="spellStart"/>
      <w:r w:rsidRPr="00031026">
        <w:rPr>
          <w:i/>
        </w:rPr>
        <w:t>Şahin</w:t>
      </w:r>
      <w:proofErr w:type="spellEnd"/>
      <w:r w:rsidRPr="00031026">
        <w:rPr>
          <w:i/>
        </w:rPr>
        <w:t xml:space="preserve"> İbrahim </w:t>
      </w:r>
      <w:proofErr w:type="spellStart"/>
      <w:r w:rsidRPr="00031026">
        <w:rPr>
          <w:i/>
        </w:rPr>
        <w:t>oğlu</w:t>
      </w:r>
      <w:proofErr w:type="spellEnd"/>
      <w:r w:rsidRPr="00031026">
        <w:rPr>
          <w:i/>
        </w:rPr>
        <w:t xml:space="preserve"> </w:t>
      </w:r>
      <w:proofErr w:type="spellStart"/>
      <w:r w:rsidRPr="00031026">
        <w:rPr>
          <w:i/>
        </w:rPr>
        <w:t>Novruzlu</w:t>
      </w:r>
      <w:proofErr w:type="spellEnd"/>
      <w:r w:rsidRPr="00031026">
        <w:t xml:space="preserve"> </w:t>
      </w:r>
      <w:r w:rsidRPr="00031026">
        <w:rPr>
          <w:rFonts w:cstheme="minorHAnsi"/>
        </w:rPr>
        <w:t>–</w:t>
      </w:r>
      <w:r w:rsidRPr="00031026">
        <w:t xml:space="preserve"> “the second applicant”) (“the applicants”), on 27 September and 17 October 2013, </w:t>
      </w:r>
      <w:proofErr w:type="gramStart"/>
      <w:r w:rsidRPr="00031026">
        <w:t>respectively;</w:t>
      </w:r>
      <w:proofErr w:type="gramEnd"/>
    </w:p>
    <w:p w:rsidRPr="00031026" w:rsidR="00031026" w:rsidP="00031026" w:rsidRDefault="00031026" w14:paraId="30207DFE" w14:textId="77CDF9C8">
      <w:pPr>
        <w:pStyle w:val="JuPara"/>
      </w:pPr>
      <w:r w:rsidRPr="00031026">
        <w:t xml:space="preserve">the decisions to give notice to the Azerbaijani Government (“the Government”) of the complaint concerning </w:t>
      </w:r>
      <w:r w:rsidRPr="00031026">
        <w:rPr>
          <w:lang w:eastAsia="en-GB"/>
        </w:rPr>
        <w:t>the alleged lack of justification for the applicants’ pre-trial detention (Article 5 § 3 of the Convention) and of an issue raised by the Court of its own motion under Article 18 of the Convention,</w:t>
      </w:r>
      <w:r w:rsidRPr="00031026">
        <w:t xml:space="preserve"> and to declare the remainder of the applications </w:t>
      </w:r>
      <w:proofErr w:type="gramStart"/>
      <w:r w:rsidRPr="00031026">
        <w:t>inadmissible;</w:t>
      </w:r>
      <w:proofErr w:type="gramEnd"/>
    </w:p>
    <w:p w:rsidRPr="00031026" w:rsidR="00031026" w:rsidP="00031026" w:rsidRDefault="00031026" w14:paraId="698E40C1" w14:textId="43D6BAB4">
      <w:pPr>
        <w:pStyle w:val="JuPara"/>
      </w:pPr>
      <w:r w:rsidRPr="00031026">
        <w:t xml:space="preserve">the parties’ </w:t>
      </w:r>
      <w:proofErr w:type="gramStart"/>
      <w:r w:rsidRPr="00031026">
        <w:t>observations;</w:t>
      </w:r>
      <w:proofErr w:type="gramEnd"/>
    </w:p>
    <w:p w:rsidRPr="00031026" w:rsidR="00031026" w:rsidP="00031026" w:rsidRDefault="00031026" w14:paraId="115710E5" w14:textId="77777777">
      <w:pPr>
        <w:pStyle w:val="JuPara"/>
      </w:pPr>
      <w:r w:rsidRPr="00031026">
        <w:t>Having deliberated in private on 13 October 2020 and 26 January 2021,</w:t>
      </w:r>
    </w:p>
    <w:p w:rsidRPr="00031026" w:rsidR="00031026" w:rsidP="00031026" w:rsidRDefault="00031026" w14:paraId="542FE06E" w14:textId="77777777">
      <w:pPr>
        <w:pStyle w:val="JuPara"/>
      </w:pPr>
      <w:r w:rsidRPr="00031026">
        <w:t>Delivers the following judgment, which was adopted on the last</w:t>
      </w:r>
      <w:r w:rsidRPr="00031026">
        <w:noBreakHyphen/>
        <w:t>mentioned date:</w:t>
      </w:r>
    </w:p>
    <w:p w:rsidRPr="00031026" w:rsidR="00031026" w:rsidP="00031026" w:rsidRDefault="00031026" w14:paraId="4BC1C17D" w14:textId="77777777">
      <w:pPr>
        <w:pStyle w:val="JuHHead"/>
        <w:numPr>
          <w:ilvl w:val="0"/>
          <w:numId w:val="0"/>
        </w:numPr>
      </w:pPr>
      <w:r w:rsidRPr="00031026">
        <w:t>INTRODUCTION</w:t>
      </w:r>
    </w:p>
    <w:p w:rsidRPr="00031026" w:rsidR="00031026" w:rsidP="00031026" w:rsidRDefault="00031026" w14:paraId="6328B6F8" w14:textId="4C985096">
      <w:pPr>
        <w:pStyle w:val="JuPara"/>
      </w:pPr>
      <w:r w:rsidRPr="00031026">
        <w:fldChar w:fldCharType="begin"/>
      </w:r>
      <w:r w:rsidRPr="00031026">
        <w:instrText xml:space="preserve"> SEQ level0 \*arabic </w:instrText>
      </w:r>
      <w:r w:rsidRPr="00031026">
        <w:fldChar w:fldCharType="separate"/>
      </w:r>
      <w:r w:rsidRPr="00031026">
        <w:rPr>
          <w:noProof/>
        </w:rPr>
        <w:t>1</w:t>
      </w:r>
      <w:r w:rsidRPr="00031026">
        <w:fldChar w:fldCharType="end"/>
      </w:r>
      <w:r w:rsidRPr="00031026">
        <w:t xml:space="preserve">.  Relying on Article 5 § 3 of the Convention, the applicants alleged that the domestic courts had failed to justify their detention pending trial and that there had been no relevant and sufficient reasons for their continued detention. They also alleged in their observations, relying on Article 18 of the Convention, </w:t>
      </w:r>
      <w:r w:rsidRPr="00031026">
        <w:rPr>
          <w:rFonts w:ascii="Times New Roman" w:hAnsi="Times New Roman" w:eastAsia="SimHei" w:cs="SimHei"/>
        </w:rPr>
        <w:t>that their Convention rights had been restricted for purposes other than those prescribed in the Convention.</w:t>
      </w:r>
    </w:p>
    <w:p w:rsidRPr="00031026" w:rsidR="00031026" w:rsidP="00031026" w:rsidRDefault="00031026" w14:paraId="2C002AC7" w14:textId="77777777">
      <w:pPr>
        <w:pStyle w:val="JuHHead"/>
        <w:jc w:val="left"/>
      </w:pPr>
      <w:r w:rsidRPr="00031026">
        <w:t>THE FACTS</w:t>
      </w:r>
    </w:p>
    <w:p w:rsidRPr="00031026" w:rsidR="00031026" w:rsidP="00031026" w:rsidRDefault="00031026" w14:paraId="1D75D03D" w14:textId="0F324C28">
      <w:pPr>
        <w:pStyle w:val="JuPara"/>
        <w:rPr>
          <w:rFonts w:ascii="Times New Roman" w:hAnsi="Times New Roman" w:eastAsia="SimHei" w:cs="SimHei"/>
        </w:rPr>
      </w:pPr>
      <w:r w:rsidRPr="00031026">
        <w:fldChar w:fldCharType="begin"/>
      </w:r>
      <w:r w:rsidRPr="00031026">
        <w:instrText xml:space="preserve"> SEQ level0 \*arabic </w:instrText>
      </w:r>
      <w:r w:rsidRPr="00031026">
        <w:fldChar w:fldCharType="separate"/>
      </w:r>
      <w:r w:rsidRPr="00031026">
        <w:rPr>
          <w:noProof/>
        </w:rPr>
        <w:t>2</w:t>
      </w:r>
      <w:r w:rsidRPr="00031026">
        <w:fldChar w:fldCharType="end"/>
      </w:r>
      <w:r w:rsidRPr="00031026">
        <w:t>.  </w:t>
      </w:r>
      <w:r w:rsidRPr="00031026">
        <w:rPr>
          <w:rFonts w:ascii="Times New Roman" w:hAnsi="Times New Roman" w:eastAsia="SimHei" w:cs="SimHei"/>
        </w:rPr>
        <w:t>The applicants’ details and the names of their representatives are listed in the Appendix.</w:t>
      </w:r>
    </w:p>
    <w:p w:rsidRPr="00031026" w:rsidR="00031026" w:rsidP="00031026" w:rsidRDefault="00031026" w14:paraId="4BC273A0" w14:textId="47AF5E86">
      <w:pPr>
        <w:pStyle w:val="JuPara"/>
      </w:pPr>
      <w:r w:rsidRPr="00031026">
        <w:fldChar w:fldCharType="begin"/>
      </w:r>
      <w:r w:rsidRPr="00031026">
        <w:instrText xml:space="preserve"> SEQ level0 \*arabic </w:instrText>
      </w:r>
      <w:r w:rsidRPr="00031026">
        <w:fldChar w:fldCharType="separate"/>
      </w:r>
      <w:r w:rsidRPr="00031026">
        <w:rPr>
          <w:noProof/>
        </w:rPr>
        <w:t>3</w:t>
      </w:r>
      <w:r w:rsidRPr="00031026">
        <w:fldChar w:fldCharType="end"/>
      </w:r>
      <w:r w:rsidRPr="00031026">
        <w:t xml:space="preserve">.  The Government were represented by their Agent, Mr Ç. </w:t>
      </w:r>
      <w:proofErr w:type="spellStart"/>
      <w:r w:rsidRPr="00031026">
        <w:t>Əsgərov</w:t>
      </w:r>
      <w:proofErr w:type="spellEnd"/>
      <w:r w:rsidRPr="00031026">
        <w:t>.</w:t>
      </w:r>
    </w:p>
    <w:p w:rsidRPr="00031026" w:rsidR="00031026" w:rsidP="00031026" w:rsidRDefault="00031026" w14:paraId="7DDA9531" w14:textId="77777777">
      <w:pPr>
        <w:pStyle w:val="JuHIRoman"/>
        <w:tabs>
          <w:tab w:val="clear" w:pos="454"/>
          <w:tab w:val="clear" w:pos="567"/>
          <w:tab w:val="clear" w:pos="680"/>
        </w:tabs>
        <w:ind w:left="357" w:hanging="357"/>
        <w:jc w:val="left"/>
      </w:pPr>
      <w:r w:rsidRPr="00031026">
        <w:t>BaCkground information</w:t>
      </w:r>
    </w:p>
    <w:p w:rsidRPr="00031026" w:rsidR="00031026" w:rsidP="00031026" w:rsidRDefault="00031026" w14:paraId="459A715C" w14:textId="31896900">
      <w:pPr>
        <w:pStyle w:val="JuPara"/>
        <w:rPr>
          <w:rFonts w:ascii="Times New Roman" w:hAnsi="Times New Roman" w:eastAsia="SimHei" w:cs="SimHei"/>
        </w:rPr>
      </w:pPr>
      <w:r w:rsidRPr="00031026">
        <w:fldChar w:fldCharType="begin"/>
      </w:r>
      <w:r w:rsidRPr="00031026">
        <w:instrText xml:space="preserve"> SEQ level0 \*arabic </w:instrText>
      </w:r>
      <w:r w:rsidRPr="00031026">
        <w:fldChar w:fldCharType="separate"/>
      </w:r>
      <w:r w:rsidRPr="00031026">
        <w:rPr>
          <w:noProof/>
        </w:rPr>
        <w:t>4</w:t>
      </w:r>
      <w:r w:rsidRPr="00031026">
        <w:fldChar w:fldCharType="end"/>
      </w:r>
      <w:r w:rsidRPr="00031026">
        <w:t xml:space="preserve">.  The first applicant was a student at Baku State University and the second applicant was a student at </w:t>
      </w:r>
      <w:proofErr w:type="spellStart"/>
      <w:r w:rsidRPr="00031026">
        <w:t>Odlar</w:t>
      </w:r>
      <w:proofErr w:type="spellEnd"/>
      <w:r w:rsidRPr="00031026">
        <w:t xml:space="preserve"> </w:t>
      </w:r>
      <w:proofErr w:type="spellStart"/>
      <w:r w:rsidRPr="00031026">
        <w:t>Yurdu</w:t>
      </w:r>
      <w:proofErr w:type="spellEnd"/>
      <w:r w:rsidRPr="00031026">
        <w:t xml:space="preserve"> University at the time of the events in question. They were members of the civic movement NIDA, a non-governmental organisation established by a group of young people in February 2011. </w:t>
      </w:r>
      <w:r w:rsidRPr="00031026">
        <w:rPr>
          <w:rFonts w:ascii="Times New Roman" w:hAnsi="Times New Roman" w:eastAsia="SimHei" w:cs="SimHei"/>
        </w:rPr>
        <w:t>According to its manifesto, NIDA seeks liberty, justice, truth and change in Azerbaijan and it rejects violence and uses only non-violent methods of protest.</w:t>
      </w:r>
    </w:p>
    <w:p w:rsidRPr="00031026" w:rsidR="00031026" w:rsidP="00031026" w:rsidRDefault="00031026" w14:paraId="50FBBA4D" w14:textId="7B143D73">
      <w:pPr>
        <w:pStyle w:val="JuPara"/>
      </w:pPr>
      <w:r w:rsidRPr="00031026">
        <w:fldChar w:fldCharType="begin"/>
      </w:r>
      <w:r w:rsidRPr="00031026">
        <w:instrText xml:space="preserve"> SEQ level0 \*arabic </w:instrText>
      </w:r>
      <w:r w:rsidRPr="00031026">
        <w:fldChar w:fldCharType="separate"/>
      </w:r>
      <w:r w:rsidRPr="00031026">
        <w:rPr>
          <w:noProof/>
        </w:rPr>
        <w:t>5</w:t>
      </w:r>
      <w:r w:rsidRPr="00031026">
        <w:fldChar w:fldCharType="end"/>
      </w:r>
      <w:r w:rsidRPr="00031026">
        <w:t xml:space="preserve">.  Following </w:t>
      </w:r>
      <w:proofErr w:type="gramStart"/>
      <w:r w:rsidRPr="00031026">
        <w:t>a number of</w:t>
      </w:r>
      <w:proofErr w:type="gramEnd"/>
      <w:r w:rsidRPr="00031026">
        <w:t xml:space="preserve"> deaths of soldiers in the Azerbaijani army in non-combat situations, from January until March 2013 a number of demonstrations were held in Baku. The demonstrations received wide media coverage and drew the public’s attention to the issue of deaths of soldiers serving in the army, for which the government were harshly criticised. The demonstrations were organised through social media and information about them was disseminated through social media and the press. The applicants actively participated in those demonstrations, and NIDA played a key role in their organisation and conduct. Although the demonstrations were peaceful, the police dispersed those who gathered and </w:t>
      </w:r>
      <w:proofErr w:type="gramStart"/>
      <w:r w:rsidRPr="00031026">
        <w:t>a number of</w:t>
      </w:r>
      <w:proofErr w:type="gramEnd"/>
      <w:r w:rsidRPr="00031026">
        <w:t xml:space="preserve"> demonstrators were arrested (see, among many other cases concerning these events, </w:t>
      </w:r>
      <w:proofErr w:type="spellStart"/>
      <w:r w:rsidRPr="00031026">
        <w:rPr>
          <w:i/>
        </w:rPr>
        <w:t>Mehtiyev</w:t>
      </w:r>
      <w:proofErr w:type="spellEnd"/>
      <w:r w:rsidRPr="00031026">
        <w:rPr>
          <w:i/>
        </w:rPr>
        <w:t xml:space="preserve"> and Others v. Azerbaijan</w:t>
      </w:r>
      <w:r w:rsidRPr="00031026">
        <w:t>, nos. 20589/13 and 7 others, 6 April 2017;</w:t>
      </w:r>
      <w:r w:rsidRPr="00031026">
        <w:rPr>
          <w:i/>
        </w:rPr>
        <w:t xml:space="preserve"> Bayramov v. Azerbaijan</w:t>
      </w:r>
      <w:r w:rsidRPr="00031026">
        <w:t xml:space="preserve">, nos. 19150/13 and 52022/13, 6 April 2017; and </w:t>
      </w:r>
      <w:proofErr w:type="spellStart"/>
      <w:r w:rsidRPr="00031026">
        <w:rPr>
          <w:i/>
        </w:rPr>
        <w:t>Hajili</w:t>
      </w:r>
      <w:proofErr w:type="spellEnd"/>
      <w:r w:rsidRPr="00031026">
        <w:rPr>
          <w:i/>
        </w:rPr>
        <w:t xml:space="preserve"> and Others v. Azerbaijan</w:t>
      </w:r>
      <w:r w:rsidRPr="00031026">
        <w:t>, nos. 44699/13 and 2 others, 29 June 2017). One such demonstration had been scheduled for 10 March 2013.</w:t>
      </w:r>
    </w:p>
    <w:p w:rsidRPr="00031026" w:rsidR="00031026" w:rsidP="00031026" w:rsidRDefault="00031026" w14:paraId="6426FAAE" w14:textId="77777777">
      <w:pPr>
        <w:pStyle w:val="JuHIRoman"/>
        <w:tabs>
          <w:tab w:val="clear" w:pos="454"/>
          <w:tab w:val="clear" w:pos="567"/>
          <w:tab w:val="clear" w:pos="680"/>
        </w:tabs>
        <w:ind w:left="357" w:hanging="357"/>
        <w:rPr>
          <w:rFonts w:eastAsia="SimHei"/>
        </w:rPr>
      </w:pPr>
      <w:r w:rsidRPr="00031026">
        <w:rPr>
          <w:rFonts w:eastAsia="SimHei"/>
        </w:rPr>
        <w:t>Institution of criminal proceedings against the applicants and their remand in custody</w:t>
      </w:r>
    </w:p>
    <w:p w:rsidRPr="00031026" w:rsidR="00031026" w:rsidP="00031026" w:rsidRDefault="00031026" w14:paraId="466BD5D4" w14:textId="77777777">
      <w:pPr>
        <w:pStyle w:val="JuHA"/>
        <w:ind w:left="584" w:hanging="352"/>
        <w:jc w:val="left"/>
        <w:rPr>
          <w:rFonts w:eastAsia="SimHei"/>
        </w:rPr>
      </w:pPr>
      <w:r w:rsidRPr="00031026">
        <w:rPr>
          <w:rFonts w:eastAsia="SimHei"/>
        </w:rPr>
        <w:t>In respect of the first applicant</w:t>
      </w:r>
    </w:p>
    <w:p w:rsidRPr="00031026" w:rsidR="00031026" w:rsidP="00031026" w:rsidRDefault="00031026" w14:paraId="31F70015" w14:textId="1FB9C34C">
      <w:pPr>
        <w:pStyle w:val="JuPara"/>
        <w:rPr>
          <w:rFonts w:ascii="Times New Roman" w:hAnsi="Times New Roman" w:eastAsia="Times New Roman" w:cs="Times New Roman"/>
        </w:rPr>
      </w:pPr>
      <w:r w:rsidRPr="00031026">
        <w:fldChar w:fldCharType="begin"/>
      </w:r>
      <w:r w:rsidRPr="00031026">
        <w:instrText xml:space="preserve"> SEQ level0 \*arabic </w:instrText>
      </w:r>
      <w:r w:rsidRPr="00031026">
        <w:fldChar w:fldCharType="separate"/>
      </w:r>
      <w:r w:rsidRPr="00031026">
        <w:rPr>
          <w:noProof/>
        </w:rPr>
        <w:t>6</w:t>
      </w:r>
      <w:r w:rsidRPr="00031026">
        <w:fldChar w:fldCharType="end"/>
      </w:r>
      <w:r w:rsidRPr="00031026">
        <w:t xml:space="preserve">.  On 7 March 2013 the first applicant was arrested by officers of the </w:t>
      </w:r>
      <w:r w:rsidRPr="00031026">
        <w:rPr>
          <w:color w:val="000000"/>
        </w:rPr>
        <w:t xml:space="preserve">Ministry of National Security (“the MNS”) and </w:t>
      </w:r>
      <w:r w:rsidRPr="00031026">
        <w:rPr>
          <w:rFonts w:ascii="Times New Roman" w:hAnsi="Times New Roman" w:eastAsia="SimHei" w:cs="SimHei"/>
          <w:szCs w:val="20"/>
          <w:lang w:eastAsia="en-GB"/>
        </w:rPr>
        <w:t xml:space="preserve">the Prosecutor General’s Office. On the same day a </w:t>
      </w:r>
      <w:r w:rsidRPr="00031026">
        <w:t>search was carried out in the flat</w:t>
      </w:r>
      <w:r w:rsidRPr="00031026">
        <w:rPr>
          <w:color w:val="000000"/>
        </w:rPr>
        <w:t xml:space="preserve"> </w:t>
      </w:r>
      <w:r w:rsidRPr="00031026">
        <w:t>where he lived. The search of the flat allegedly uncovered 174.54</w:t>
      </w:r>
      <w:r w:rsidRPr="00031026">
        <w:rPr>
          <w:color w:val="000000"/>
        </w:rPr>
        <w:t xml:space="preserve"> grams of narcotic substances and twenty-eight leaflets worded “democracy urgently needed, </w:t>
      </w:r>
      <w:proofErr w:type="spellStart"/>
      <w:r w:rsidRPr="00031026">
        <w:rPr>
          <w:color w:val="000000"/>
        </w:rPr>
        <w:t>tel</w:t>
      </w:r>
      <w:proofErr w:type="spellEnd"/>
      <w:r w:rsidRPr="00031026">
        <w:rPr>
          <w:color w:val="000000"/>
        </w:rPr>
        <w:t>: + 994, address: Azerbaijan” (“</w:t>
      </w:r>
      <w:proofErr w:type="spellStart"/>
      <w:r w:rsidRPr="00031026">
        <w:rPr>
          <w:rFonts w:ascii="Times New Roman" w:hAnsi="Times New Roman" w:eastAsia="Times New Roman" w:cs="Times New Roman"/>
          <w:i/>
        </w:rPr>
        <w:t>təcili</w:t>
      </w:r>
      <w:proofErr w:type="spellEnd"/>
      <w:r w:rsidRPr="00031026">
        <w:rPr>
          <w:rFonts w:ascii="Times New Roman" w:hAnsi="Times New Roman" w:eastAsia="Times New Roman" w:cs="Times New Roman"/>
          <w:i/>
        </w:rPr>
        <w:t xml:space="preserve"> </w:t>
      </w:r>
      <w:proofErr w:type="spellStart"/>
      <w:r w:rsidRPr="00031026">
        <w:rPr>
          <w:rFonts w:ascii="Times New Roman" w:hAnsi="Times New Roman" w:eastAsia="Times New Roman" w:cs="Times New Roman"/>
          <w:i/>
        </w:rPr>
        <w:t>demokratiya</w:t>
      </w:r>
      <w:proofErr w:type="spellEnd"/>
      <w:r w:rsidRPr="00031026">
        <w:rPr>
          <w:rFonts w:ascii="Times New Roman" w:hAnsi="Times New Roman" w:eastAsia="Times New Roman" w:cs="Times New Roman"/>
          <w:i/>
        </w:rPr>
        <w:t xml:space="preserve"> </w:t>
      </w:r>
      <w:proofErr w:type="spellStart"/>
      <w:r w:rsidRPr="00031026">
        <w:rPr>
          <w:rFonts w:ascii="Times New Roman" w:hAnsi="Times New Roman" w:eastAsia="Times New Roman" w:cs="Times New Roman"/>
          <w:i/>
        </w:rPr>
        <w:t>tələb</w:t>
      </w:r>
      <w:proofErr w:type="spellEnd"/>
      <w:r w:rsidRPr="00031026">
        <w:rPr>
          <w:rFonts w:ascii="Times New Roman" w:hAnsi="Times New Roman" w:eastAsia="Times New Roman" w:cs="Times New Roman"/>
          <w:i/>
        </w:rPr>
        <w:t xml:space="preserve"> </w:t>
      </w:r>
      <w:proofErr w:type="spellStart"/>
      <w:r w:rsidRPr="00031026">
        <w:rPr>
          <w:rFonts w:ascii="Times New Roman" w:hAnsi="Times New Roman" w:eastAsia="Times New Roman" w:cs="Times New Roman"/>
          <w:i/>
        </w:rPr>
        <w:t>olunur</w:t>
      </w:r>
      <w:proofErr w:type="spellEnd"/>
      <w:r w:rsidRPr="00031026">
        <w:rPr>
          <w:rFonts w:ascii="Times New Roman" w:hAnsi="Times New Roman" w:eastAsia="Times New Roman" w:cs="Times New Roman"/>
          <w:i/>
        </w:rPr>
        <w:t xml:space="preserve">, </w:t>
      </w:r>
      <w:proofErr w:type="spellStart"/>
      <w:proofErr w:type="gramStart"/>
      <w:r w:rsidRPr="00031026">
        <w:rPr>
          <w:rFonts w:ascii="Times New Roman" w:hAnsi="Times New Roman" w:eastAsia="Times New Roman" w:cs="Times New Roman"/>
          <w:i/>
        </w:rPr>
        <w:t>tel</w:t>
      </w:r>
      <w:proofErr w:type="spellEnd"/>
      <w:r w:rsidRPr="00031026">
        <w:rPr>
          <w:rFonts w:ascii="Times New Roman" w:hAnsi="Times New Roman" w:eastAsia="Times New Roman" w:cs="Times New Roman"/>
          <w:i/>
        </w:rPr>
        <w:t> :</w:t>
      </w:r>
      <w:proofErr w:type="gramEnd"/>
      <w:r w:rsidRPr="00031026">
        <w:rPr>
          <w:rFonts w:ascii="Times New Roman" w:hAnsi="Times New Roman" w:eastAsia="Times New Roman" w:cs="Times New Roman"/>
          <w:i/>
        </w:rPr>
        <w:t xml:space="preserve"> + 994, </w:t>
      </w:r>
      <w:proofErr w:type="spellStart"/>
      <w:r w:rsidRPr="00031026">
        <w:rPr>
          <w:rFonts w:ascii="Times New Roman" w:hAnsi="Times New Roman" w:eastAsia="Times New Roman" w:cs="Times New Roman"/>
          <w:i/>
        </w:rPr>
        <w:t>ünvan</w:t>
      </w:r>
      <w:proofErr w:type="spellEnd"/>
      <w:r w:rsidRPr="00031026">
        <w:rPr>
          <w:rFonts w:ascii="Times New Roman" w:hAnsi="Times New Roman" w:eastAsia="Times New Roman" w:cs="Times New Roman"/>
          <w:i/>
        </w:rPr>
        <w:t xml:space="preserve">: </w:t>
      </w:r>
      <w:proofErr w:type="spellStart"/>
      <w:r w:rsidRPr="00031026">
        <w:rPr>
          <w:rFonts w:ascii="Times New Roman" w:hAnsi="Times New Roman" w:eastAsia="Times New Roman" w:cs="Times New Roman"/>
          <w:i/>
        </w:rPr>
        <w:t>Azərbaycan</w:t>
      </w:r>
      <w:proofErr w:type="spellEnd"/>
      <w:r w:rsidRPr="00031026">
        <w:rPr>
          <w:rFonts w:ascii="Times New Roman" w:hAnsi="Times New Roman" w:eastAsia="Times New Roman" w:cs="Times New Roman"/>
          <w:iCs/>
        </w:rPr>
        <w:t>”</w:t>
      </w:r>
      <w:r w:rsidRPr="00031026">
        <w:rPr>
          <w:rFonts w:ascii="Times New Roman" w:hAnsi="Times New Roman" w:eastAsia="Times New Roman" w:cs="Times New Roman"/>
        </w:rPr>
        <w:t>)</w:t>
      </w:r>
      <w:r w:rsidRPr="00031026">
        <w:rPr>
          <w:color w:val="000000"/>
        </w:rPr>
        <w:t xml:space="preserve">. </w:t>
      </w:r>
      <w:r w:rsidRPr="00031026">
        <w:rPr>
          <w:rFonts w:ascii="Times New Roman" w:hAnsi="Times New Roman" w:eastAsia="SimHei" w:cs="SimHei"/>
          <w:color w:val="000000"/>
          <w:szCs w:val="20"/>
          <w:lang w:eastAsia="fr-FR"/>
        </w:rPr>
        <w:t xml:space="preserve">Despite the Court’s explicit request to the Government to submit copies of all documents relating to the domestic proceedings, the </w:t>
      </w:r>
      <w:r w:rsidRPr="00031026">
        <w:rPr>
          <w:rFonts w:ascii="Times New Roman" w:hAnsi="Times New Roman" w:eastAsia="SimHei" w:cs="SimHei"/>
          <w:szCs w:val="20"/>
          <w:lang w:eastAsia="fr-FR"/>
        </w:rPr>
        <w:t>Government failed to provide the Court with a copy of the record of that search.</w:t>
      </w:r>
    </w:p>
    <w:p w:rsidRPr="00031026" w:rsidR="00031026" w:rsidP="00031026" w:rsidRDefault="00031026" w14:paraId="6BCAE5D7" w14:textId="52B3960B">
      <w:pPr>
        <w:pStyle w:val="JuPara"/>
      </w:pPr>
      <w:r w:rsidRPr="00031026">
        <w:fldChar w:fldCharType="begin"/>
      </w:r>
      <w:r w:rsidRPr="00031026">
        <w:instrText xml:space="preserve"> SEQ level0 \*arabic </w:instrText>
      </w:r>
      <w:r w:rsidRPr="00031026">
        <w:fldChar w:fldCharType="separate"/>
      </w:r>
      <w:r w:rsidRPr="00031026">
        <w:rPr>
          <w:noProof/>
        </w:rPr>
        <w:t>7</w:t>
      </w:r>
      <w:r w:rsidRPr="00031026">
        <w:fldChar w:fldCharType="end"/>
      </w:r>
      <w:r w:rsidRPr="00031026">
        <w:t>.  On 9 March 2013 the first applicant was charged with a criminal offence under Article 234.1 (illegal possession of a quantity of narcotic substances exceeding that necessary for personal use without intent to sell) of the Criminal Code.</w:t>
      </w:r>
    </w:p>
    <w:p w:rsidRPr="00031026" w:rsidR="00031026" w:rsidP="00031026" w:rsidRDefault="00031026" w14:paraId="61E05C7E" w14:textId="1580C053">
      <w:pPr>
        <w:pStyle w:val="JuPara"/>
      </w:pPr>
      <w:r w:rsidRPr="00031026">
        <w:fldChar w:fldCharType="begin"/>
      </w:r>
      <w:r w:rsidRPr="00031026">
        <w:instrText xml:space="preserve"> SEQ level0 \*arabic </w:instrText>
      </w:r>
      <w:r w:rsidRPr="00031026">
        <w:fldChar w:fldCharType="separate"/>
      </w:r>
      <w:r w:rsidRPr="00031026">
        <w:rPr>
          <w:noProof/>
        </w:rPr>
        <w:t>8</w:t>
      </w:r>
      <w:r w:rsidRPr="00031026">
        <w:fldChar w:fldCharType="end"/>
      </w:r>
      <w:r w:rsidRPr="00031026">
        <w:t xml:space="preserve">.  On the same day the </w:t>
      </w:r>
      <w:proofErr w:type="spellStart"/>
      <w:r w:rsidRPr="00031026">
        <w:t>Nasimi</w:t>
      </w:r>
      <w:proofErr w:type="spellEnd"/>
      <w:r w:rsidRPr="00031026">
        <w:t xml:space="preserve"> District Court ordered that the first applicant be detained for a period of two months.</w:t>
      </w:r>
      <w:r w:rsidRPr="00031026">
        <w:rPr>
          <w:lang w:eastAsia="en-GB"/>
        </w:rPr>
        <w:t xml:space="preserve"> The court </w:t>
      </w:r>
      <w:r w:rsidRPr="00031026">
        <w:t xml:space="preserve">justified the first applicant’s detention pending trial by citing </w:t>
      </w:r>
      <w:r w:rsidRPr="00031026">
        <w:rPr>
          <w:lang w:eastAsia="en-GB"/>
        </w:rPr>
        <w:t>the gravity of the charges against him and the likelihood that if released he would abscond and obstruct the investigation.</w:t>
      </w:r>
    </w:p>
    <w:p w:rsidRPr="00031026" w:rsidR="00031026" w:rsidP="00031026" w:rsidRDefault="00031026" w14:paraId="7749437C" w14:textId="60467287">
      <w:pPr>
        <w:pStyle w:val="JuPara"/>
        <w:rPr>
          <w:lang w:eastAsia="en-GB"/>
        </w:rPr>
      </w:pPr>
      <w:r w:rsidRPr="00031026">
        <w:rPr>
          <w:lang w:eastAsia="en-GB"/>
        </w:rPr>
        <w:fldChar w:fldCharType="begin"/>
      </w:r>
      <w:r w:rsidRPr="00031026">
        <w:rPr>
          <w:lang w:eastAsia="en-GB"/>
        </w:rPr>
        <w:instrText xml:space="preserve"> SEQ level0 \*arabic </w:instrText>
      </w:r>
      <w:r w:rsidRPr="00031026">
        <w:rPr>
          <w:lang w:eastAsia="en-GB"/>
        </w:rPr>
        <w:fldChar w:fldCharType="separate"/>
      </w:r>
      <w:r w:rsidRPr="00031026">
        <w:rPr>
          <w:noProof/>
          <w:lang w:eastAsia="en-GB"/>
        </w:rPr>
        <w:t>9</w:t>
      </w:r>
      <w:r w:rsidRPr="00031026">
        <w:rPr>
          <w:lang w:eastAsia="en-GB"/>
        </w:rPr>
        <w:fldChar w:fldCharType="end"/>
      </w:r>
      <w:r w:rsidRPr="00031026">
        <w:rPr>
          <w:lang w:eastAsia="en-GB"/>
        </w:rPr>
        <w:t xml:space="preserve">.  The first applicant did not appeal against the </w:t>
      </w:r>
      <w:proofErr w:type="spellStart"/>
      <w:r w:rsidRPr="00031026">
        <w:rPr>
          <w:lang w:eastAsia="en-GB"/>
        </w:rPr>
        <w:t>Nasimi</w:t>
      </w:r>
      <w:proofErr w:type="spellEnd"/>
      <w:r w:rsidRPr="00031026">
        <w:rPr>
          <w:lang w:eastAsia="en-GB"/>
        </w:rPr>
        <w:t xml:space="preserve"> District Court’s decision of 9 March 2013.</w:t>
      </w:r>
    </w:p>
    <w:p w:rsidRPr="00031026" w:rsidR="00031026" w:rsidP="00031026" w:rsidRDefault="00031026" w14:paraId="50AED399" w14:textId="77777777">
      <w:pPr>
        <w:pStyle w:val="JuHA"/>
        <w:ind w:left="584" w:hanging="352"/>
        <w:rPr>
          <w:rFonts w:eastAsia="SimHei"/>
        </w:rPr>
      </w:pPr>
      <w:r w:rsidRPr="00031026">
        <w:rPr>
          <w:rFonts w:eastAsia="SimHei"/>
        </w:rPr>
        <w:t>In respect of the second applicant</w:t>
      </w:r>
    </w:p>
    <w:p w:rsidRPr="00031026" w:rsidR="00031026" w:rsidP="00031026" w:rsidRDefault="00031026" w14:paraId="5DF86F9E" w14:textId="75B4A9AE">
      <w:pPr>
        <w:pStyle w:val="JuPara"/>
      </w:pPr>
      <w:r w:rsidRPr="00031026">
        <w:fldChar w:fldCharType="begin"/>
      </w:r>
      <w:r w:rsidRPr="00031026">
        <w:instrText xml:space="preserve"> SEQ level0 \*arabic </w:instrText>
      </w:r>
      <w:r w:rsidRPr="00031026">
        <w:fldChar w:fldCharType="separate"/>
      </w:r>
      <w:r w:rsidRPr="00031026">
        <w:rPr>
          <w:noProof/>
        </w:rPr>
        <w:t>10</w:t>
      </w:r>
      <w:r w:rsidRPr="00031026">
        <w:fldChar w:fldCharType="end"/>
      </w:r>
      <w:r w:rsidRPr="00031026">
        <w:t xml:space="preserve">.  On 7 March 2013 the second applicant, who was a minor at that time, was arrested and taken to the premises of the MNS. On the same day a search was carried out in the second applicant’s flat, where 252.27 grams of narcotic substances and </w:t>
      </w:r>
      <w:r w:rsidRPr="00031026">
        <w:rPr>
          <w:lang w:eastAsia="fr-FR"/>
        </w:rPr>
        <w:t xml:space="preserve">three </w:t>
      </w:r>
      <w:r w:rsidRPr="00031026">
        <w:t xml:space="preserve">Molotov cocktails were allegedly found. </w:t>
      </w:r>
      <w:r w:rsidRPr="00031026">
        <w:rPr>
          <w:rFonts w:ascii="Times New Roman" w:hAnsi="Times New Roman" w:eastAsia="SimHei" w:cs="SimHei"/>
          <w:szCs w:val="20"/>
          <w:lang w:eastAsia="fr-FR"/>
        </w:rPr>
        <w:t>Despite the Court’s explicit request to the Government to submit copies of all the documents relating to the domestic proceedings, the Government failed to provide the Court with a copy of the record of that search.</w:t>
      </w:r>
    </w:p>
    <w:p w:rsidRPr="00031026" w:rsidR="00031026" w:rsidP="00031026" w:rsidRDefault="00031026" w14:paraId="1EDEF4D7" w14:textId="6C18F6BB">
      <w:pPr>
        <w:pStyle w:val="JuPara"/>
      </w:pPr>
      <w:r w:rsidRPr="00031026">
        <w:fldChar w:fldCharType="begin"/>
      </w:r>
      <w:r w:rsidRPr="00031026">
        <w:instrText xml:space="preserve"> SEQ level0 \*arabic </w:instrText>
      </w:r>
      <w:r w:rsidRPr="00031026">
        <w:fldChar w:fldCharType="separate"/>
      </w:r>
      <w:r w:rsidRPr="00031026">
        <w:rPr>
          <w:noProof/>
        </w:rPr>
        <w:t>11</w:t>
      </w:r>
      <w:r w:rsidRPr="00031026">
        <w:fldChar w:fldCharType="end"/>
      </w:r>
      <w:r w:rsidRPr="00031026">
        <w:t>.  On 9 March 2013 the second applicant was charged with criminal offences under Article 228.3 (illegal possession of weapons, committed by an organised group) and Article 234.1 (illegal possession of a quantity of narcotic substances exceeding that necessary for personal use without intent to sell) of the Criminal Code. T</w:t>
      </w:r>
      <w:r w:rsidRPr="00031026">
        <w:rPr>
          <w:lang w:eastAsia="fr-FR"/>
        </w:rPr>
        <w:t xml:space="preserve">he acts attributed specifically to him were that he had illegally obtained narcotic substances and that, by creating an organised criminal group with another member of NIDA (B.G.), he had illegally obtained three </w:t>
      </w:r>
      <w:r w:rsidRPr="00031026">
        <w:t>Molotov cocktails and then kept them at his place of residence.</w:t>
      </w:r>
    </w:p>
    <w:p w:rsidRPr="00031026" w:rsidR="00031026" w:rsidP="00031026" w:rsidRDefault="00031026" w14:paraId="6A6399EB" w14:textId="7B86D97C">
      <w:pPr>
        <w:pStyle w:val="JuPara"/>
        <w:rPr>
          <w:lang w:eastAsia="en-GB"/>
        </w:rPr>
      </w:pPr>
      <w:r w:rsidRPr="00031026">
        <w:fldChar w:fldCharType="begin"/>
      </w:r>
      <w:r w:rsidRPr="00031026">
        <w:instrText xml:space="preserve"> SEQ level0 \*arabic </w:instrText>
      </w:r>
      <w:r w:rsidRPr="00031026">
        <w:fldChar w:fldCharType="separate"/>
      </w:r>
      <w:r w:rsidRPr="00031026">
        <w:rPr>
          <w:noProof/>
        </w:rPr>
        <w:t>12</w:t>
      </w:r>
      <w:r w:rsidRPr="00031026">
        <w:fldChar w:fldCharType="end"/>
      </w:r>
      <w:r w:rsidRPr="00031026">
        <w:t xml:space="preserve">.  On the same day the </w:t>
      </w:r>
      <w:proofErr w:type="spellStart"/>
      <w:r w:rsidRPr="00031026">
        <w:t>Nasimi</w:t>
      </w:r>
      <w:proofErr w:type="spellEnd"/>
      <w:r w:rsidRPr="00031026">
        <w:t xml:space="preserve"> District Court ordered the second applicant’s pre-trial detention for a period of three months.</w:t>
      </w:r>
      <w:r w:rsidRPr="00031026">
        <w:rPr>
          <w:lang w:eastAsia="en-GB"/>
        </w:rPr>
        <w:t xml:space="preserve"> The court </w:t>
      </w:r>
      <w:r w:rsidRPr="00031026">
        <w:t xml:space="preserve">justified the second applicant’s detention pending trial by citing </w:t>
      </w:r>
      <w:r w:rsidRPr="00031026">
        <w:rPr>
          <w:lang w:eastAsia="en-GB"/>
        </w:rPr>
        <w:t>the gravity of the charges and the likelihood that if released he would abscond and obstruct the investigation.</w:t>
      </w:r>
    </w:p>
    <w:p w:rsidRPr="00031026" w:rsidR="00031026" w:rsidP="00031026" w:rsidRDefault="00031026" w14:paraId="0A14C6F5" w14:textId="1444F325">
      <w:pPr>
        <w:pStyle w:val="JuPara"/>
        <w:rPr>
          <w:rFonts w:ascii="Times New Roman" w:hAnsi="Times New Roman" w:eastAsia="SimHei" w:cs="SimHei"/>
        </w:rPr>
      </w:pPr>
      <w:r w:rsidRPr="00031026">
        <w:rPr>
          <w:lang w:eastAsia="en-GB"/>
        </w:rPr>
        <w:fldChar w:fldCharType="begin"/>
      </w:r>
      <w:r w:rsidRPr="00031026">
        <w:rPr>
          <w:lang w:eastAsia="en-GB"/>
        </w:rPr>
        <w:instrText xml:space="preserve"> SEQ level0 \*arabic </w:instrText>
      </w:r>
      <w:r w:rsidRPr="00031026">
        <w:rPr>
          <w:lang w:eastAsia="en-GB"/>
        </w:rPr>
        <w:fldChar w:fldCharType="separate"/>
      </w:r>
      <w:r w:rsidRPr="00031026">
        <w:rPr>
          <w:noProof/>
          <w:lang w:eastAsia="en-GB"/>
        </w:rPr>
        <w:t>13</w:t>
      </w:r>
      <w:r w:rsidRPr="00031026">
        <w:rPr>
          <w:lang w:eastAsia="en-GB"/>
        </w:rPr>
        <w:fldChar w:fldCharType="end"/>
      </w:r>
      <w:r w:rsidRPr="00031026">
        <w:rPr>
          <w:lang w:eastAsia="en-GB"/>
        </w:rPr>
        <w:t xml:space="preserve">.  The second applicant did not appeal against the </w:t>
      </w:r>
      <w:proofErr w:type="spellStart"/>
      <w:r w:rsidRPr="00031026">
        <w:rPr>
          <w:lang w:eastAsia="en-GB"/>
        </w:rPr>
        <w:t>Nasimi</w:t>
      </w:r>
      <w:proofErr w:type="spellEnd"/>
      <w:r w:rsidRPr="00031026">
        <w:rPr>
          <w:lang w:eastAsia="en-GB"/>
        </w:rPr>
        <w:t xml:space="preserve"> District Court’s decision of 9 March 2013.</w:t>
      </w:r>
    </w:p>
    <w:p w:rsidRPr="00031026" w:rsidR="00031026" w:rsidP="00031026" w:rsidRDefault="00031026" w14:paraId="5A215EC6" w14:textId="77777777">
      <w:pPr>
        <w:pStyle w:val="JuHIRoman"/>
        <w:tabs>
          <w:tab w:val="clear" w:pos="454"/>
          <w:tab w:val="clear" w:pos="567"/>
          <w:tab w:val="clear" w:pos="680"/>
        </w:tabs>
        <w:ind w:left="357" w:hanging="357"/>
        <w:rPr>
          <w:rFonts w:eastAsia="SimHei"/>
        </w:rPr>
      </w:pPr>
      <w:r w:rsidRPr="00031026">
        <w:rPr>
          <w:rFonts w:eastAsia="SimHei"/>
        </w:rPr>
        <w:t>Joint public statement of the law-enforcement authorities and further developments</w:t>
      </w:r>
    </w:p>
    <w:p w:rsidRPr="00031026" w:rsidR="00031026" w:rsidP="00031026" w:rsidRDefault="00031026" w14:paraId="1EA42614" w14:textId="77777777">
      <w:pPr>
        <w:pStyle w:val="JuPara"/>
        <w:rPr>
          <w:rFonts w:ascii="Times New Roman" w:hAnsi="Times New Roman" w:eastAsia="SimHei" w:cs="SimHei"/>
          <w:color w:val="000000"/>
          <w:szCs w:val="20"/>
          <w:lang w:eastAsia="fr-FR"/>
        </w:rPr>
      </w:pPr>
      <w:r w:rsidRPr="00031026">
        <w:rPr>
          <w:rFonts w:ascii="Times New Roman" w:hAnsi="Times New Roman" w:eastAsia="SimHei" w:cs="SimHei"/>
          <w:szCs w:val="20"/>
          <w:lang w:eastAsia="fr-FR"/>
        </w:rPr>
        <w:fldChar w:fldCharType="begin"/>
      </w:r>
      <w:r w:rsidRPr="00031026">
        <w:rPr>
          <w:rFonts w:ascii="Times New Roman" w:hAnsi="Times New Roman" w:eastAsia="SimHei" w:cs="SimHei"/>
          <w:szCs w:val="20"/>
          <w:lang w:eastAsia="fr-FR"/>
        </w:rPr>
        <w:instrText xml:space="preserve"> SEQ level0 \*arabic </w:instrText>
      </w:r>
      <w:r w:rsidRPr="00031026">
        <w:rPr>
          <w:rFonts w:ascii="Times New Roman" w:hAnsi="Times New Roman" w:eastAsia="SimHei" w:cs="SimHei"/>
          <w:szCs w:val="20"/>
          <w:lang w:eastAsia="fr-FR"/>
        </w:rPr>
        <w:fldChar w:fldCharType="separate"/>
      </w:r>
      <w:r w:rsidRPr="00031026">
        <w:rPr>
          <w:rFonts w:ascii="Times New Roman" w:hAnsi="Times New Roman" w:eastAsia="SimHei" w:cs="SimHei"/>
          <w:noProof/>
          <w:szCs w:val="20"/>
          <w:lang w:eastAsia="fr-FR"/>
        </w:rPr>
        <w:t>14</w:t>
      </w:r>
      <w:r w:rsidRPr="00031026">
        <w:rPr>
          <w:rFonts w:ascii="Times New Roman" w:hAnsi="Times New Roman" w:eastAsia="SimHei" w:cs="SimHei"/>
          <w:szCs w:val="20"/>
          <w:lang w:eastAsia="fr-FR"/>
        </w:rPr>
        <w:fldChar w:fldCharType="end"/>
      </w:r>
      <w:r w:rsidRPr="00031026">
        <w:rPr>
          <w:rFonts w:ascii="Times New Roman" w:hAnsi="Times New Roman" w:eastAsia="SimHei" w:cs="SimHei"/>
          <w:szCs w:val="20"/>
          <w:lang w:eastAsia="fr-FR"/>
        </w:rPr>
        <w:t xml:space="preserve">.  On 8 March 2013 </w:t>
      </w:r>
      <w:r w:rsidRPr="00031026">
        <w:rPr>
          <w:rFonts w:ascii="Times New Roman" w:hAnsi="Times New Roman" w:eastAsia="SimHei" w:cs="SimHei"/>
          <w:szCs w:val="20"/>
          <w:lang w:eastAsia="en-GB"/>
        </w:rPr>
        <w:t>the Prosecutor General’s Office and the MNS issued a joint public statement to the press, stating that “illegal attempts to undermine the social and political stability established in the country have recently been made by some radical destructive forces” (“</w:t>
      </w:r>
      <w:r w:rsidRPr="00031026">
        <w:rPr>
          <w:rFonts w:ascii="Times New Roman" w:hAnsi="Times New Roman" w:eastAsia="SimHei" w:cs="Times New Roman"/>
          <w:i/>
          <w:lang w:eastAsia="fr-FR"/>
        </w:rPr>
        <w:t xml:space="preserve">son </w:t>
      </w:r>
      <w:proofErr w:type="spellStart"/>
      <w:r w:rsidRPr="00031026">
        <w:rPr>
          <w:rFonts w:ascii="Times New Roman" w:hAnsi="Times New Roman" w:eastAsia="SimHei" w:cs="Times New Roman"/>
          <w:i/>
          <w:lang w:eastAsia="fr-FR"/>
        </w:rPr>
        <w:t>dövrlər</w:t>
      </w:r>
      <w:proofErr w:type="spellEnd"/>
      <w:r w:rsidRPr="00031026">
        <w:rPr>
          <w:rFonts w:ascii="Times New Roman" w:hAnsi="Times New Roman" w:eastAsia="SimHei" w:cs="Times New Roman"/>
          <w:i/>
          <w:lang w:eastAsia="fr-FR"/>
        </w:rPr>
        <w:t xml:space="preserve"> </w:t>
      </w:r>
      <w:proofErr w:type="spellStart"/>
      <w:r w:rsidRPr="00031026">
        <w:rPr>
          <w:rFonts w:ascii="Times New Roman" w:hAnsi="Times New Roman" w:eastAsia="SimHei" w:cs="Times New Roman"/>
          <w:i/>
          <w:lang w:eastAsia="fr-FR"/>
        </w:rPr>
        <w:t>radikal</w:t>
      </w:r>
      <w:proofErr w:type="spellEnd"/>
      <w:r w:rsidRPr="00031026">
        <w:rPr>
          <w:rFonts w:ascii="Times New Roman" w:hAnsi="Times New Roman" w:eastAsia="SimHei" w:cs="Times New Roman"/>
          <w:i/>
          <w:lang w:eastAsia="fr-FR"/>
        </w:rPr>
        <w:t xml:space="preserve"> </w:t>
      </w:r>
      <w:proofErr w:type="spellStart"/>
      <w:r w:rsidRPr="00031026">
        <w:rPr>
          <w:rFonts w:ascii="Times New Roman" w:hAnsi="Times New Roman" w:eastAsia="SimHei" w:cs="Times New Roman"/>
          <w:i/>
          <w:lang w:eastAsia="fr-FR"/>
        </w:rPr>
        <w:t>yönümlü</w:t>
      </w:r>
      <w:proofErr w:type="spellEnd"/>
      <w:r w:rsidRPr="00031026">
        <w:rPr>
          <w:rFonts w:ascii="Times New Roman" w:hAnsi="Times New Roman" w:eastAsia="SimHei" w:cs="Times New Roman"/>
          <w:i/>
          <w:lang w:eastAsia="fr-FR"/>
        </w:rPr>
        <w:t xml:space="preserve"> </w:t>
      </w:r>
      <w:proofErr w:type="spellStart"/>
      <w:r w:rsidRPr="00031026">
        <w:rPr>
          <w:rFonts w:ascii="Times New Roman" w:hAnsi="Times New Roman" w:eastAsia="SimHei" w:cs="Times New Roman"/>
          <w:i/>
          <w:lang w:eastAsia="fr-FR"/>
        </w:rPr>
        <w:t>bəzi</w:t>
      </w:r>
      <w:proofErr w:type="spellEnd"/>
      <w:r w:rsidRPr="00031026">
        <w:rPr>
          <w:rFonts w:ascii="Times New Roman" w:hAnsi="Times New Roman" w:eastAsia="SimHei" w:cs="Times New Roman"/>
          <w:i/>
          <w:lang w:eastAsia="fr-FR"/>
        </w:rPr>
        <w:t xml:space="preserve"> </w:t>
      </w:r>
      <w:proofErr w:type="spellStart"/>
      <w:r w:rsidRPr="00031026">
        <w:rPr>
          <w:rFonts w:ascii="Times New Roman" w:hAnsi="Times New Roman" w:eastAsia="SimHei" w:cs="Times New Roman"/>
          <w:i/>
          <w:lang w:eastAsia="fr-FR"/>
        </w:rPr>
        <w:t>destruktiv</w:t>
      </w:r>
      <w:proofErr w:type="spellEnd"/>
      <w:r w:rsidRPr="00031026">
        <w:rPr>
          <w:rFonts w:ascii="Times New Roman" w:hAnsi="Times New Roman" w:eastAsia="SimHei" w:cs="Times New Roman"/>
          <w:i/>
          <w:lang w:eastAsia="fr-FR"/>
        </w:rPr>
        <w:t xml:space="preserve"> </w:t>
      </w:r>
      <w:proofErr w:type="spellStart"/>
      <w:r w:rsidRPr="00031026">
        <w:rPr>
          <w:rFonts w:ascii="Times New Roman" w:hAnsi="Times New Roman" w:eastAsia="SimHei" w:cs="Times New Roman"/>
          <w:i/>
          <w:lang w:eastAsia="fr-FR"/>
        </w:rPr>
        <w:t>qüvvələr</w:t>
      </w:r>
      <w:proofErr w:type="spellEnd"/>
      <w:r w:rsidRPr="00031026">
        <w:rPr>
          <w:rFonts w:ascii="Times New Roman" w:hAnsi="Times New Roman" w:eastAsia="SimHei" w:cs="Times New Roman"/>
          <w:i/>
          <w:lang w:eastAsia="fr-FR"/>
        </w:rPr>
        <w:t xml:space="preserve"> </w:t>
      </w:r>
      <w:proofErr w:type="spellStart"/>
      <w:r w:rsidRPr="00031026">
        <w:rPr>
          <w:rFonts w:ascii="Times New Roman" w:hAnsi="Times New Roman" w:eastAsia="SimHei" w:cs="Times New Roman"/>
          <w:i/>
          <w:lang w:eastAsia="fr-FR"/>
        </w:rPr>
        <w:t>tərəfindən</w:t>
      </w:r>
      <w:proofErr w:type="spellEnd"/>
      <w:r w:rsidRPr="00031026">
        <w:rPr>
          <w:rFonts w:ascii="Times New Roman" w:hAnsi="Times New Roman" w:eastAsia="SimHei" w:cs="Times New Roman"/>
          <w:i/>
          <w:lang w:eastAsia="fr-FR"/>
        </w:rPr>
        <w:t xml:space="preserve"> </w:t>
      </w:r>
      <w:proofErr w:type="spellStart"/>
      <w:r w:rsidRPr="00031026">
        <w:rPr>
          <w:rFonts w:ascii="Times New Roman" w:hAnsi="Times New Roman" w:eastAsia="SimHei" w:cs="Times New Roman"/>
          <w:i/>
          <w:lang w:eastAsia="fr-FR"/>
        </w:rPr>
        <w:t>ölkədə</w:t>
      </w:r>
      <w:proofErr w:type="spellEnd"/>
      <w:r w:rsidRPr="00031026">
        <w:rPr>
          <w:rFonts w:ascii="Times New Roman" w:hAnsi="Times New Roman" w:eastAsia="SimHei" w:cs="Times New Roman"/>
          <w:i/>
          <w:lang w:eastAsia="fr-FR"/>
        </w:rPr>
        <w:t xml:space="preserve"> </w:t>
      </w:r>
      <w:proofErr w:type="spellStart"/>
      <w:r w:rsidRPr="00031026">
        <w:rPr>
          <w:rFonts w:ascii="Times New Roman" w:hAnsi="Times New Roman" w:eastAsia="SimHei" w:cs="Times New Roman"/>
          <w:i/>
          <w:lang w:eastAsia="fr-FR"/>
        </w:rPr>
        <w:t>bərqərar</w:t>
      </w:r>
      <w:proofErr w:type="spellEnd"/>
      <w:r w:rsidRPr="00031026">
        <w:rPr>
          <w:rFonts w:ascii="Times New Roman" w:hAnsi="Times New Roman" w:eastAsia="SimHei" w:cs="Times New Roman"/>
          <w:i/>
          <w:lang w:eastAsia="fr-FR"/>
        </w:rPr>
        <w:t xml:space="preserve"> </w:t>
      </w:r>
      <w:proofErr w:type="spellStart"/>
      <w:r w:rsidRPr="00031026">
        <w:rPr>
          <w:rFonts w:ascii="Times New Roman" w:hAnsi="Times New Roman" w:eastAsia="SimHei" w:cs="Times New Roman"/>
          <w:i/>
          <w:lang w:eastAsia="fr-FR"/>
        </w:rPr>
        <w:t>olmuş</w:t>
      </w:r>
      <w:proofErr w:type="spellEnd"/>
      <w:r w:rsidRPr="00031026">
        <w:rPr>
          <w:rFonts w:ascii="Times New Roman" w:hAnsi="Times New Roman" w:eastAsia="SimHei" w:cs="Times New Roman"/>
          <w:i/>
          <w:lang w:eastAsia="fr-FR"/>
        </w:rPr>
        <w:t xml:space="preserve"> </w:t>
      </w:r>
      <w:proofErr w:type="spellStart"/>
      <w:r w:rsidRPr="00031026">
        <w:rPr>
          <w:rFonts w:ascii="Times New Roman" w:hAnsi="Times New Roman" w:eastAsia="SimHei" w:cs="Times New Roman"/>
          <w:i/>
          <w:lang w:eastAsia="fr-FR"/>
        </w:rPr>
        <w:t>ictimai</w:t>
      </w:r>
      <w:r w:rsidRPr="00031026">
        <w:rPr>
          <w:rFonts w:ascii="Times New Roman" w:hAnsi="Times New Roman" w:eastAsia="SimHei" w:cs="Times New Roman"/>
          <w:i/>
          <w:lang w:eastAsia="fr-FR"/>
        </w:rPr>
        <w:noBreakHyphen/>
        <w:t>siyasi</w:t>
      </w:r>
      <w:proofErr w:type="spellEnd"/>
      <w:r w:rsidRPr="00031026">
        <w:rPr>
          <w:rFonts w:ascii="Times New Roman" w:hAnsi="Times New Roman" w:eastAsia="SimHei" w:cs="Times New Roman"/>
          <w:i/>
          <w:lang w:eastAsia="fr-FR"/>
        </w:rPr>
        <w:t xml:space="preserve"> </w:t>
      </w:r>
      <w:proofErr w:type="spellStart"/>
      <w:r w:rsidRPr="00031026">
        <w:rPr>
          <w:rFonts w:ascii="Times New Roman" w:hAnsi="Times New Roman" w:eastAsia="SimHei" w:cs="Times New Roman"/>
          <w:i/>
          <w:lang w:eastAsia="fr-FR"/>
        </w:rPr>
        <w:t>sabitliyin</w:t>
      </w:r>
      <w:proofErr w:type="spellEnd"/>
      <w:r w:rsidRPr="00031026">
        <w:rPr>
          <w:rFonts w:ascii="Times New Roman" w:hAnsi="Times New Roman" w:eastAsia="SimHei" w:cs="Times New Roman"/>
          <w:i/>
          <w:lang w:eastAsia="fr-FR"/>
        </w:rPr>
        <w:t xml:space="preserve"> </w:t>
      </w:r>
      <w:proofErr w:type="spellStart"/>
      <w:r w:rsidRPr="00031026">
        <w:rPr>
          <w:rFonts w:ascii="Times New Roman" w:hAnsi="Times New Roman" w:eastAsia="SimHei" w:cs="Times New Roman"/>
          <w:i/>
          <w:lang w:eastAsia="fr-FR"/>
        </w:rPr>
        <w:t>pozulmasına</w:t>
      </w:r>
      <w:proofErr w:type="spellEnd"/>
      <w:r w:rsidRPr="00031026">
        <w:rPr>
          <w:rFonts w:ascii="Times New Roman" w:hAnsi="Times New Roman" w:eastAsia="SimHei" w:cs="Times New Roman"/>
          <w:i/>
          <w:lang w:eastAsia="fr-FR"/>
        </w:rPr>
        <w:t xml:space="preserve"> </w:t>
      </w:r>
      <w:proofErr w:type="spellStart"/>
      <w:r w:rsidRPr="00031026">
        <w:rPr>
          <w:rFonts w:ascii="Times New Roman" w:hAnsi="Times New Roman" w:eastAsia="SimHei" w:cs="Times New Roman"/>
          <w:i/>
          <w:lang w:eastAsia="fr-FR"/>
        </w:rPr>
        <w:t>yönəlmiş</w:t>
      </w:r>
      <w:proofErr w:type="spellEnd"/>
      <w:r w:rsidRPr="00031026">
        <w:rPr>
          <w:rFonts w:ascii="Times New Roman" w:hAnsi="Times New Roman" w:eastAsia="SimHei" w:cs="Times New Roman"/>
          <w:i/>
          <w:lang w:eastAsia="fr-FR"/>
        </w:rPr>
        <w:t xml:space="preserve"> </w:t>
      </w:r>
      <w:proofErr w:type="spellStart"/>
      <w:r w:rsidRPr="00031026">
        <w:rPr>
          <w:rFonts w:ascii="Times New Roman" w:hAnsi="Times New Roman" w:eastAsia="SimHei" w:cs="Times New Roman"/>
          <w:i/>
          <w:lang w:eastAsia="fr-FR"/>
        </w:rPr>
        <w:t>qanunazidd</w:t>
      </w:r>
      <w:proofErr w:type="spellEnd"/>
      <w:r w:rsidRPr="00031026">
        <w:rPr>
          <w:rFonts w:ascii="Times New Roman" w:hAnsi="Times New Roman" w:eastAsia="SimHei" w:cs="Times New Roman"/>
          <w:i/>
          <w:lang w:eastAsia="fr-FR"/>
        </w:rPr>
        <w:t xml:space="preserve"> </w:t>
      </w:r>
      <w:proofErr w:type="spellStart"/>
      <w:r w:rsidRPr="00031026">
        <w:rPr>
          <w:rFonts w:ascii="Times New Roman" w:hAnsi="Times New Roman" w:eastAsia="SimHei" w:cs="Times New Roman"/>
          <w:i/>
          <w:lang w:eastAsia="fr-FR"/>
        </w:rPr>
        <w:t>cəhdlər</w:t>
      </w:r>
      <w:proofErr w:type="spellEnd"/>
      <w:r w:rsidRPr="00031026">
        <w:rPr>
          <w:rFonts w:ascii="Times New Roman" w:hAnsi="Times New Roman" w:eastAsia="SimHei" w:cs="Times New Roman"/>
          <w:i/>
          <w:lang w:eastAsia="fr-FR"/>
        </w:rPr>
        <w:t xml:space="preserve"> </w:t>
      </w:r>
      <w:proofErr w:type="spellStart"/>
      <w:r w:rsidRPr="00031026">
        <w:rPr>
          <w:rFonts w:ascii="Times New Roman" w:hAnsi="Times New Roman" w:eastAsia="SimHei" w:cs="Times New Roman"/>
          <w:i/>
          <w:lang w:eastAsia="fr-FR"/>
        </w:rPr>
        <w:t>göstərilir</w:t>
      </w:r>
      <w:proofErr w:type="spellEnd"/>
      <w:r w:rsidRPr="00031026">
        <w:rPr>
          <w:rFonts w:ascii="Times New Roman" w:hAnsi="Times New Roman" w:eastAsia="SimHei" w:cs="Times New Roman"/>
          <w:iCs/>
          <w:lang w:eastAsia="fr-FR"/>
        </w:rPr>
        <w:t>”</w:t>
      </w:r>
      <w:r w:rsidRPr="00031026">
        <w:rPr>
          <w:rFonts w:ascii="Times New Roman" w:hAnsi="Times New Roman" w:eastAsia="SimHei" w:cs="SimHei"/>
          <w:szCs w:val="20"/>
          <w:lang w:eastAsia="en-GB"/>
        </w:rPr>
        <w:t xml:space="preserve">). </w:t>
      </w:r>
      <w:r w:rsidRPr="00031026">
        <w:rPr>
          <w:rFonts w:ascii="Times New Roman" w:hAnsi="Times New Roman" w:eastAsia="SimHei" w:cs="SimHei"/>
          <w:color w:val="000000"/>
          <w:lang w:eastAsia="en-GB"/>
        </w:rPr>
        <w:t xml:space="preserve">The statement also confirmed that the applicants and B.G. </w:t>
      </w:r>
      <w:r w:rsidRPr="00031026">
        <w:rPr>
          <w:rFonts w:ascii="Times New Roman" w:hAnsi="Times New Roman" w:eastAsia="SimHei" w:cs="SimHei"/>
          <w:szCs w:val="20"/>
          <w:lang w:eastAsia="fr-FR"/>
        </w:rPr>
        <w:t xml:space="preserve">had been arrested for planning to incite violence and civil unrest during </w:t>
      </w:r>
      <w:r w:rsidRPr="00031026">
        <w:rPr>
          <w:rFonts w:ascii="Times New Roman" w:hAnsi="Times New Roman" w:eastAsia="SimHei" w:cs="SimHei"/>
          <w:szCs w:val="20"/>
          <w:lang w:eastAsia="en-GB"/>
        </w:rPr>
        <w:t>the unlawful demonstration scheduled for 10 March 2013. It also said that</w:t>
      </w:r>
      <w:r w:rsidRPr="00031026">
        <w:rPr>
          <w:rFonts w:ascii="Times New Roman" w:hAnsi="Times New Roman" w:eastAsia="SimHei" w:cs="SimHei"/>
          <w:color w:val="000000"/>
          <w:lang w:eastAsia="en-GB"/>
        </w:rPr>
        <w:t xml:space="preserve"> criminal proceedings had been instituted against the applicants and B.G., </w:t>
      </w:r>
      <w:r w:rsidRPr="00031026">
        <w:rPr>
          <w:rFonts w:ascii="Times New Roman" w:hAnsi="Times New Roman" w:eastAsia="SimHei" w:cs="SimHei"/>
          <w:szCs w:val="20"/>
          <w:lang w:eastAsia="fr-FR"/>
        </w:rPr>
        <w:t xml:space="preserve">as </w:t>
      </w:r>
      <w:r w:rsidRPr="00031026">
        <w:rPr>
          <w:rFonts w:ascii="Times New Roman" w:hAnsi="Times New Roman" w:eastAsia="SimHei" w:cs="SimHei"/>
          <w:szCs w:val="20"/>
          <w:lang w:eastAsia="en-GB"/>
        </w:rPr>
        <w:t>narcotic substances</w:t>
      </w:r>
      <w:r w:rsidRPr="00031026">
        <w:rPr>
          <w:rFonts w:ascii="Times New Roman" w:hAnsi="Times New Roman" w:eastAsia="SimHei" w:cs="SimHei"/>
          <w:color w:val="000000"/>
          <w:szCs w:val="20"/>
          <w:lang w:eastAsia="fr-FR"/>
        </w:rPr>
        <w:t xml:space="preserve"> had been found in their respective flats, nineteen Molotov cocktails had been found in B.G.’s flat as well as three in the second applicant’s flat, and twenty-eight leaflets worded “democracy urgently needed, </w:t>
      </w:r>
      <w:proofErr w:type="spellStart"/>
      <w:r w:rsidRPr="00031026">
        <w:rPr>
          <w:rFonts w:ascii="Times New Roman" w:hAnsi="Times New Roman" w:eastAsia="SimHei" w:cs="SimHei"/>
          <w:color w:val="000000"/>
          <w:szCs w:val="20"/>
          <w:lang w:eastAsia="fr-FR"/>
        </w:rPr>
        <w:t>tel</w:t>
      </w:r>
      <w:proofErr w:type="spellEnd"/>
      <w:r w:rsidRPr="00031026">
        <w:rPr>
          <w:rFonts w:ascii="Times New Roman" w:hAnsi="Times New Roman" w:eastAsia="SimHei" w:cs="SimHei"/>
          <w:color w:val="000000"/>
          <w:szCs w:val="20"/>
          <w:lang w:eastAsia="fr-FR"/>
        </w:rPr>
        <w:t>: + 994, address: Azerbaijan” (“</w:t>
      </w:r>
      <w:proofErr w:type="spellStart"/>
      <w:r w:rsidRPr="00031026">
        <w:rPr>
          <w:rFonts w:ascii="Times New Roman" w:hAnsi="Times New Roman" w:eastAsia="SimHei" w:cs="SimHei"/>
          <w:i/>
          <w:szCs w:val="20"/>
          <w:lang w:eastAsia="fr-FR"/>
        </w:rPr>
        <w:t>təcili</w:t>
      </w:r>
      <w:proofErr w:type="spellEnd"/>
      <w:r w:rsidRPr="00031026">
        <w:rPr>
          <w:rFonts w:ascii="Times New Roman" w:hAnsi="Times New Roman" w:eastAsia="SimHei" w:cs="SimHei"/>
          <w:i/>
          <w:szCs w:val="20"/>
          <w:lang w:eastAsia="fr-FR"/>
        </w:rPr>
        <w:t xml:space="preserve"> </w:t>
      </w:r>
      <w:proofErr w:type="spellStart"/>
      <w:r w:rsidRPr="00031026">
        <w:rPr>
          <w:rFonts w:ascii="Times New Roman" w:hAnsi="Times New Roman" w:eastAsia="SimHei" w:cs="SimHei"/>
          <w:i/>
          <w:szCs w:val="20"/>
          <w:lang w:eastAsia="fr-FR"/>
        </w:rPr>
        <w:t>demokratiya</w:t>
      </w:r>
      <w:proofErr w:type="spellEnd"/>
      <w:r w:rsidRPr="00031026">
        <w:rPr>
          <w:rFonts w:ascii="Times New Roman" w:hAnsi="Times New Roman" w:eastAsia="SimHei" w:cs="SimHei"/>
          <w:i/>
          <w:szCs w:val="20"/>
          <w:lang w:eastAsia="fr-FR"/>
        </w:rPr>
        <w:t xml:space="preserve"> </w:t>
      </w:r>
      <w:proofErr w:type="spellStart"/>
      <w:r w:rsidRPr="00031026">
        <w:rPr>
          <w:rFonts w:ascii="Times New Roman" w:hAnsi="Times New Roman" w:eastAsia="SimHei" w:cs="SimHei"/>
          <w:i/>
          <w:szCs w:val="20"/>
          <w:lang w:eastAsia="fr-FR"/>
        </w:rPr>
        <w:t>tələb</w:t>
      </w:r>
      <w:proofErr w:type="spellEnd"/>
      <w:r w:rsidRPr="00031026">
        <w:rPr>
          <w:rFonts w:ascii="Times New Roman" w:hAnsi="Times New Roman" w:eastAsia="SimHei" w:cs="SimHei"/>
          <w:i/>
          <w:szCs w:val="20"/>
          <w:lang w:eastAsia="fr-FR"/>
        </w:rPr>
        <w:t xml:space="preserve"> </w:t>
      </w:r>
      <w:proofErr w:type="spellStart"/>
      <w:r w:rsidRPr="00031026">
        <w:rPr>
          <w:rFonts w:ascii="Times New Roman" w:hAnsi="Times New Roman" w:eastAsia="SimHei" w:cs="SimHei"/>
          <w:i/>
          <w:szCs w:val="20"/>
          <w:lang w:eastAsia="fr-FR"/>
        </w:rPr>
        <w:t>olunur</w:t>
      </w:r>
      <w:proofErr w:type="spellEnd"/>
      <w:r w:rsidRPr="00031026">
        <w:rPr>
          <w:rFonts w:ascii="Times New Roman" w:hAnsi="Times New Roman" w:eastAsia="SimHei" w:cs="SimHei"/>
          <w:i/>
          <w:szCs w:val="20"/>
          <w:lang w:eastAsia="fr-FR"/>
        </w:rPr>
        <w:t>,</w:t>
      </w:r>
      <w:r w:rsidRPr="00031026">
        <w:rPr>
          <w:rFonts w:ascii="Times New Roman" w:hAnsi="Times New Roman" w:eastAsia="Times New Roman" w:cs="Times New Roman"/>
          <w:i/>
        </w:rPr>
        <w:t xml:space="preserve"> </w:t>
      </w:r>
      <w:proofErr w:type="spellStart"/>
      <w:r w:rsidRPr="00031026">
        <w:rPr>
          <w:rFonts w:ascii="Times New Roman" w:hAnsi="Times New Roman" w:eastAsia="Times New Roman" w:cs="Times New Roman"/>
          <w:i/>
        </w:rPr>
        <w:t>tel</w:t>
      </w:r>
      <w:proofErr w:type="spellEnd"/>
      <w:r w:rsidRPr="00031026">
        <w:rPr>
          <w:rFonts w:ascii="Times New Roman" w:hAnsi="Times New Roman" w:eastAsia="Times New Roman" w:cs="Times New Roman"/>
          <w:i/>
        </w:rPr>
        <w:t xml:space="preserve"> : + 994, </w:t>
      </w:r>
      <w:proofErr w:type="spellStart"/>
      <w:r w:rsidRPr="00031026">
        <w:rPr>
          <w:rFonts w:ascii="Times New Roman" w:hAnsi="Times New Roman" w:eastAsia="Times New Roman" w:cs="Times New Roman"/>
          <w:i/>
        </w:rPr>
        <w:t>ünvan</w:t>
      </w:r>
      <w:proofErr w:type="spellEnd"/>
      <w:r w:rsidRPr="00031026">
        <w:rPr>
          <w:rFonts w:ascii="Times New Roman" w:hAnsi="Times New Roman" w:eastAsia="Times New Roman" w:cs="Times New Roman"/>
          <w:i/>
        </w:rPr>
        <w:t xml:space="preserve">: </w:t>
      </w:r>
      <w:proofErr w:type="spellStart"/>
      <w:r w:rsidRPr="00031026">
        <w:rPr>
          <w:rFonts w:ascii="Times New Roman" w:hAnsi="Times New Roman" w:eastAsia="Times New Roman" w:cs="Times New Roman"/>
          <w:i/>
        </w:rPr>
        <w:t>Azərbaycan</w:t>
      </w:r>
      <w:proofErr w:type="spellEnd"/>
      <w:r w:rsidRPr="00031026">
        <w:rPr>
          <w:rFonts w:ascii="Times New Roman" w:hAnsi="Times New Roman" w:eastAsia="Times New Roman" w:cs="Times New Roman"/>
          <w:iCs/>
        </w:rPr>
        <w:t>”</w:t>
      </w:r>
      <w:r w:rsidRPr="00031026">
        <w:rPr>
          <w:rFonts w:ascii="Times New Roman" w:hAnsi="Times New Roman" w:eastAsia="SimHei" w:cs="SimHei"/>
          <w:szCs w:val="20"/>
          <w:lang w:eastAsia="fr-FR"/>
        </w:rPr>
        <w:t>)</w:t>
      </w:r>
      <w:r w:rsidRPr="00031026">
        <w:rPr>
          <w:rFonts w:ascii="Times New Roman" w:hAnsi="Times New Roman" w:eastAsia="SimHei" w:cs="SimHei"/>
          <w:color w:val="000000"/>
          <w:szCs w:val="20"/>
          <w:lang w:eastAsia="fr-FR"/>
        </w:rPr>
        <w:t xml:space="preserve"> had been found in the first applicant’s flat. The statement further read as follows:</w:t>
      </w:r>
    </w:p>
    <w:p w:rsidRPr="00031026" w:rsidR="00031026" w:rsidP="00031026" w:rsidRDefault="00031026" w14:paraId="52359343" w14:textId="71853737">
      <w:pPr>
        <w:pStyle w:val="JuQuot"/>
        <w:rPr>
          <w:rFonts w:eastAsia="SimHei"/>
          <w:lang w:eastAsia="fr-FR"/>
        </w:rPr>
      </w:pPr>
      <w:r w:rsidRPr="00031026">
        <w:rPr>
          <w:rFonts w:eastAsia="SimHei"/>
          <w:lang w:eastAsia="fr-FR"/>
        </w:rPr>
        <w:t>“it was established during the preliminary investigation that since mid-2012 all three individuals, being addicted to narcotic substances and having become members of NIDA through the Internet, had actively participated in a number of the organisation’s illegal activities and had prepared [bottles containing] flammable liquid known as ‘Molotov cocktails’, [which were] found in their flats [</w:t>
      </w:r>
      <w:proofErr w:type="spellStart"/>
      <w:r w:rsidRPr="00031026">
        <w:rPr>
          <w:rFonts w:eastAsia="SimHei" w:cs="Times New Roman"/>
          <w:i/>
          <w:lang w:eastAsia="fr-FR"/>
        </w:rPr>
        <w:t>İlkin</w:t>
      </w:r>
      <w:proofErr w:type="spellEnd"/>
      <w:r w:rsidRPr="00031026">
        <w:rPr>
          <w:rFonts w:eastAsia="SimHei" w:cs="Times New Roman"/>
          <w:i/>
          <w:lang w:eastAsia="fr-FR"/>
        </w:rPr>
        <w:t xml:space="preserve"> </w:t>
      </w:r>
      <w:proofErr w:type="spellStart"/>
      <w:r w:rsidRPr="00031026">
        <w:rPr>
          <w:rFonts w:eastAsia="SimHei" w:cs="Times New Roman"/>
          <w:i/>
          <w:lang w:eastAsia="fr-FR"/>
        </w:rPr>
        <w:t>istintaqla</w:t>
      </w:r>
      <w:proofErr w:type="spellEnd"/>
      <w:r w:rsidRPr="00031026">
        <w:rPr>
          <w:rFonts w:eastAsia="SimHei" w:cs="Times New Roman"/>
          <w:i/>
          <w:lang w:eastAsia="fr-FR"/>
        </w:rPr>
        <w:t xml:space="preserve"> </w:t>
      </w:r>
      <w:proofErr w:type="spellStart"/>
      <w:r w:rsidRPr="00031026">
        <w:rPr>
          <w:rFonts w:eastAsia="SimHei" w:cs="Times New Roman"/>
          <w:i/>
          <w:lang w:eastAsia="fr-FR"/>
        </w:rPr>
        <w:t>müəyyən</w:t>
      </w:r>
      <w:proofErr w:type="spellEnd"/>
      <w:r w:rsidRPr="00031026">
        <w:rPr>
          <w:rFonts w:eastAsia="SimHei" w:cs="Times New Roman"/>
          <w:i/>
          <w:lang w:eastAsia="fr-FR"/>
        </w:rPr>
        <w:t xml:space="preserve"> </w:t>
      </w:r>
      <w:proofErr w:type="spellStart"/>
      <w:r w:rsidRPr="00031026">
        <w:rPr>
          <w:rFonts w:eastAsia="SimHei" w:cs="Times New Roman"/>
          <w:i/>
          <w:lang w:eastAsia="fr-FR"/>
        </w:rPr>
        <w:t>edilmişdir</w:t>
      </w:r>
      <w:proofErr w:type="spellEnd"/>
      <w:r w:rsidRPr="00031026">
        <w:rPr>
          <w:rFonts w:eastAsia="SimHei" w:cs="Times New Roman"/>
          <w:i/>
          <w:lang w:eastAsia="fr-FR"/>
        </w:rPr>
        <w:t xml:space="preserve"> ki, </w:t>
      </w:r>
      <w:proofErr w:type="spellStart"/>
      <w:r w:rsidRPr="00031026">
        <w:rPr>
          <w:rFonts w:eastAsia="SimHei" w:cs="Times New Roman"/>
          <w:i/>
          <w:lang w:eastAsia="fr-FR"/>
        </w:rPr>
        <w:t>hər</w:t>
      </w:r>
      <w:proofErr w:type="spellEnd"/>
      <w:r w:rsidRPr="00031026">
        <w:rPr>
          <w:rFonts w:eastAsia="SimHei" w:cs="Times New Roman"/>
          <w:i/>
          <w:lang w:eastAsia="fr-FR"/>
        </w:rPr>
        <w:t xml:space="preserve"> </w:t>
      </w:r>
      <w:proofErr w:type="spellStart"/>
      <w:r w:rsidRPr="00031026">
        <w:rPr>
          <w:rFonts w:eastAsia="SimHei" w:cs="Times New Roman"/>
          <w:i/>
          <w:lang w:eastAsia="fr-FR"/>
        </w:rPr>
        <w:t>üç</w:t>
      </w:r>
      <w:proofErr w:type="spellEnd"/>
      <w:r w:rsidRPr="00031026">
        <w:rPr>
          <w:rFonts w:eastAsia="SimHei" w:cs="Times New Roman"/>
          <w:i/>
          <w:lang w:eastAsia="fr-FR"/>
        </w:rPr>
        <w:t xml:space="preserve"> </w:t>
      </w:r>
      <w:proofErr w:type="spellStart"/>
      <w:r w:rsidRPr="00031026">
        <w:rPr>
          <w:rFonts w:eastAsia="SimHei" w:cs="Times New Roman"/>
          <w:i/>
          <w:lang w:eastAsia="fr-FR"/>
        </w:rPr>
        <w:t>şəxs</w:t>
      </w:r>
      <w:proofErr w:type="spellEnd"/>
      <w:r w:rsidRPr="00031026">
        <w:rPr>
          <w:rFonts w:eastAsia="SimHei" w:cs="Times New Roman"/>
          <w:i/>
          <w:lang w:eastAsia="fr-FR"/>
        </w:rPr>
        <w:t xml:space="preserve"> 2012-ci </w:t>
      </w:r>
      <w:proofErr w:type="spellStart"/>
      <w:r w:rsidRPr="00031026">
        <w:rPr>
          <w:rFonts w:eastAsia="SimHei" w:cs="Times New Roman"/>
          <w:i/>
          <w:lang w:eastAsia="fr-FR"/>
        </w:rPr>
        <w:t>ilin</w:t>
      </w:r>
      <w:proofErr w:type="spellEnd"/>
      <w:r w:rsidRPr="00031026">
        <w:rPr>
          <w:rFonts w:eastAsia="SimHei" w:cs="Times New Roman"/>
          <w:i/>
          <w:lang w:eastAsia="fr-FR"/>
        </w:rPr>
        <w:t xml:space="preserve"> </w:t>
      </w:r>
      <w:proofErr w:type="spellStart"/>
      <w:r w:rsidRPr="00031026">
        <w:rPr>
          <w:rFonts w:eastAsia="SimHei" w:cs="Times New Roman"/>
          <w:i/>
          <w:lang w:eastAsia="fr-FR"/>
        </w:rPr>
        <w:t>ortalarından</w:t>
      </w:r>
      <w:proofErr w:type="spellEnd"/>
      <w:r w:rsidRPr="00031026">
        <w:rPr>
          <w:rFonts w:eastAsia="SimHei" w:cs="Times New Roman"/>
          <w:i/>
          <w:lang w:eastAsia="fr-FR"/>
        </w:rPr>
        <w:t xml:space="preserve"> </w:t>
      </w:r>
      <w:proofErr w:type="spellStart"/>
      <w:r w:rsidRPr="00031026">
        <w:rPr>
          <w:rFonts w:eastAsia="SimHei" w:cs="Times New Roman"/>
          <w:i/>
          <w:lang w:eastAsia="fr-FR"/>
        </w:rPr>
        <w:t>etibarən</w:t>
      </w:r>
      <w:proofErr w:type="spellEnd"/>
      <w:r w:rsidRPr="00031026">
        <w:rPr>
          <w:rFonts w:eastAsia="SimHei" w:cs="Times New Roman"/>
          <w:i/>
          <w:lang w:eastAsia="fr-FR"/>
        </w:rPr>
        <w:t xml:space="preserve"> internet </w:t>
      </w:r>
      <w:proofErr w:type="spellStart"/>
      <w:r w:rsidRPr="00031026">
        <w:rPr>
          <w:rFonts w:eastAsia="SimHei" w:cs="Times New Roman"/>
          <w:i/>
          <w:lang w:eastAsia="fr-FR"/>
        </w:rPr>
        <w:t>vasitəsilə</w:t>
      </w:r>
      <w:proofErr w:type="spellEnd"/>
      <w:r w:rsidRPr="00031026">
        <w:rPr>
          <w:rFonts w:eastAsia="SimHei" w:cs="Times New Roman"/>
          <w:i/>
          <w:lang w:eastAsia="fr-FR"/>
        </w:rPr>
        <w:t xml:space="preserve"> ‘Nida’ </w:t>
      </w:r>
      <w:proofErr w:type="spellStart"/>
      <w:r w:rsidRPr="00031026">
        <w:rPr>
          <w:rFonts w:eastAsia="SimHei" w:cs="Times New Roman"/>
          <w:i/>
          <w:lang w:eastAsia="fr-FR"/>
        </w:rPr>
        <w:t>vətəndaş</w:t>
      </w:r>
      <w:proofErr w:type="spellEnd"/>
      <w:r w:rsidRPr="00031026">
        <w:rPr>
          <w:rFonts w:eastAsia="SimHei" w:cs="Times New Roman"/>
          <w:i/>
          <w:lang w:eastAsia="fr-FR"/>
        </w:rPr>
        <w:t xml:space="preserve"> </w:t>
      </w:r>
      <w:proofErr w:type="spellStart"/>
      <w:r w:rsidRPr="00031026">
        <w:rPr>
          <w:rFonts w:eastAsia="SimHei" w:cs="Times New Roman"/>
          <w:i/>
          <w:lang w:eastAsia="fr-FR"/>
        </w:rPr>
        <w:t>hərəkatının</w:t>
      </w:r>
      <w:proofErr w:type="spellEnd"/>
      <w:r w:rsidRPr="00031026">
        <w:rPr>
          <w:rFonts w:eastAsia="SimHei" w:cs="Times New Roman"/>
          <w:i/>
          <w:lang w:eastAsia="fr-FR"/>
        </w:rPr>
        <w:t xml:space="preserve"> </w:t>
      </w:r>
      <w:proofErr w:type="spellStart"/>
      <w:r w:rsidRPr="00031026">
        <w:rPr>
          <w:rFonts w:eastAsia="SimHei" w:cs="Times New Roman"/>
          <w:i/>
          <w:lang w:eastAsia="fr-FR"/>
        </w:rPr>
        <w:t>üzvləri</w:t>
      </w:r>
      <w:proofErr w:type="spellEnd"/>
      <w:r w:rsidRPr="00031026">
        <w:rPr>
          <w:rFonts w:eastAsia="SimHei" w:cs="Times New Roman"/>
          <w:i/>
          <w:lang w:eastAsia="fr-FR"/>
        </w:rPr>
        <w:t xml:space="preserve"> </w:t>
      </w:r>
      <w:proofErr w:type="spellStart"/>
      <w:r w:rsidRPr="00031026">
        <w:rPr>
          <w:rFonts w:eastAsia="SimHei" w:cs="Times New Roman"/>
          <w:i/>
          <w:lang w:eastAsia="fr-FR"/>
        </w:rPr>
        <w:t>və</w:t>
      </w:r>
      <w:proofErr w:type="spellEnd"/>
      <w:r w:rsidRPr="00031026">
        <w:rPr>
          <w:rFonts w:eastAsia="SimHei" w:cs="Times New Roman"/>
          <w:i/>
          <w:lang w:eastAsia="fr-FR"/>
        </w:rPr>
        <w:t xml:space="preserve"> </w:t>
      </w:r>
      <w:proofErr w:type="spellStart"/>
      <w:r w:rsidRPr="00031026">
        <w:rPr>
          <w:rFonts w:eastAsia="SimHei" w:cs="Times New Roman"/>
          <w:i/>
          <w:lang w:eastAsia="fr-FR"/>
        </w:rPr>
        <w:t>narkotika</w:t>
      </w:r>
      <w:proofErr w:type="spellEnd"/>
      <w:r w:rsidRPr="00031026">
        <w:rPr>
          <w:rFonts w:eastAsia="SimHei" w:cs="Times New Roman"/>
          <w:i/>
          <w:lang w:eastAsia="fr-FR"/>
        </w:rPr>
        <w:t xml:space="preserve"> </w:t>
      </w:r>
      <w:proofErr w:type="spellStart"/>
      <w:r w:rsidRPr="00031026">
        <w:rPr>
          <w:rFonts w:eastAsia="SimHei" w:cs="Times New Roman"/>
          <w:i/>
          <w:lang w:eastAsia="fr-FR"/>
        </w:rPr>
        <w:t>aludəçisi</w:t>
      </w:r>
      <w:proofErr w:type="spellEnd"/>
      <w:r w:rsidRPr="00031026">
        <w:rPr>
          <w:rFonts w:eastAsia="SimHei" w:cs="Times New Roman"/>
          <w:i/>
          <w:lang w:eastAsia="fr-FR"/>
        </w:rPr>
        <w:t xml:space="preserve"> </w:t>
      </w:r>
      <w:proofErr w:type="spellStart"/>
      <w:r w:rsidRPr="00031026">
        <w:rPr>
          <w:rFonts w:eastAsia="SimHei" w:cs="Times New Roman"/>
          <w:i/>
          <w:lang w:eastAsia="fr-FR"/>
        </w:rPr>
        <w:t>olmaqla</w:t>
      </w:r>
      <w:proofErr w:type="spellEnd"/>
      <w:r w:rsidRPr="00031026">
        <w:rPr>
          <w:rFonts w:eastAsia="SimHei" w:cs="Times New Roman"/>
          <w:i/>
          <w:lang w:eastAsia="fr-FR"/>
        </w:rPr>
        <w:t xml:space="preserve">, </w:t>
      </w:r>
      <w:proofErr w:type="spellStart"/>
      <w:r w:rsidRPr="00031026">
        <w:rPr>
          <w:rFonts w:eastAsia="SimHei" w:cs="Times New Roman"/>
          <w:i/>
          <w:lang w:eastAsia="fr-FR"/>
        </w:rPr>
        <w:t>təşkilatın</w:t>
      </w:r>
      <w:proofErr w:type="spellEnd"/>
      <w:r w:rsidRPr="00031026">
        <w:rPr>
          <w:rFonts w:eastAsia="SimHei" w:cs="Times New Roman"/>
          <w:i/>
          <w:lang w:eastAsia="fr-FR"/>
        </w:rPr>
        <w:t xml:space="preserve"> </w:t>
      </w:r>
      <w:proofErr w:type="spellStart"/>
      <w:r w:rsidRPr="00031026">
        <w:rPr>
          <w:rFonts w:eastAsia="SimHei" w:cs="Times New Roman"/>
          <w:i/>
          <w:lang w:eastAsia="fr-FR"/>
        </w:rPr>
        <w:t>bir</w:t>
      </w:r>
      <w:proofErr w:type="spellEnd"/>
      <w:r w:rsidRPr="00031026">
        <w:rPr>
          <w:rFonts w:eastAsia="SimHei" w:cs="Times New Roman"/>
          <w:i/>
          <w:lang w:eastAsia="fr-FR"/>
        </w:rPr>
        <w:t xml:space="preserve"> </w:t>
      </w:r>
      <w:proofErr w:type="spellStart"/>
      <w:r w:rsidRPr="00031026">
        <w:rPr>
          <w:rFonts w:eastAsia="SimHei" w:cs="Times New Roman"/>
          <w:i/>
          <w:lang w:eastAsia="fr-FR"/>
        </w:rPr>
        <w:t>sıra</w:t>
      </w:r>
      <w:proofErr w:type="spellEnd"/>
      <w:r w:rsidRPr="00031026">
        <w:rPr>
          <w:rFonts w:eastAsia="SimHei" w:cs="Times New Roman"/>
          <w:i/>
          <w:lang w:eastAsia="fr-FR"/>
        </w:rPr>
        <w:t xml:space="preserve"> </w:t>
      </w:r>
      <w:proofErr w:type="spellStart"/>
      <w:r w:rsidRPr="00031026">
        <w:rPr>
          <w:rFonts w:eastAsia="SimHei" w:cs="Times New Roman"/>
          <w:i/>
          <w:lang w:eastAsia="fr-FR"/>
        </w:rPr>
        <w:t>qanunsuz</w:t>
      </w:r>
      <w:proofErr w:type="spellEnd"/>
      <w:r w:rsidRPr="00031026">
        <w:rPr>
          <w:rFonts w:eastAsia="SimHei" w:cs="Times New Roman"/>
          <w:i/>
          <w:lang w:eastAsia="fr-FR"/>
        </w:rPr>
        <w:t xml:space="preserve"> </w:t>
      </w:r>
      <w:proofErr w:type="spellStart"/>
      <w:r w:rsidRPr="00031026">
        <w:rPr>
          <w:rFonts w:eastAsia="SimHei" w:cs="Times New Roman"/>
          <w:i/>
          <w:lang w:eastAsia="fr-FR"/>
        </w:rPr>
        <w:t>tədbirlərində</w:t>
      </w:r>
      <w:proofErr w:type="spellEnd"/>
      <w:r w:rsidRPr="00031026">
        <w:rPr>
          <w:rFonts w:eastAsia="SimHei" w:cs="Times New Roman"/>
          <w:i/>
          <w:lang w:eastAsia="fr-FR"/>
        </w:rPr>
        <w:t xml:space="preserve"> </w:t>
      </w:r>
      <w:proofErr w:type="spellStart"/>
      <w:r w:rsidRPr="00031026">
        <w:rPr>
          <w:rFonts w:eastAsia="SimHei" w:cs="Times New Roman"/>
          <w:i/>
          <w:lang w:eastAsia="fr-FR"/>
        </w:rPr>
        <w:t>fəal</w:t>
      </w:r>
      <w:proofErr w:type="spellEnd"/>
      <w:r w:rsidRPr="00031026">
        <w:rPr>
          <w:rFonts w:eastAsia="SimHei" w:cs="Times New Roman"/>
          <w:i/>
          <w:lang w:eastAsia="fr-FR"/>
        </w:rPr>
        <w:t xml:space="preserve"> </w:t>
      </w:r>
      <w:proofErr w:type="spellStart"/>
      <w:r w:rsidRPr="00031026">
        <w:rPr>
          <w:rFonts w:eastAsia="SimHei" w:cs="Times New Roman"/>
          <w:i/>
          <w:lang w:eastAsia="fr-FR"/>
        </w:rPr>
        <w:t>iştirak</w:t>
      </w:r>
      <w:proofErr w:type="spellEnd"/>
      <w:r w:rsidRPr="00031026">
        <w:rPr>
          <w:rFonts w:eastAsia="SimHei" w:cs="Times New Roman"/>
          <w:i/>
          <w:lang w:eastAsia="fr-FR"/>
        </w:rPr>
        <w:t xml:space="preserve"> </w:t>
      </w:r>
      <w:proofErr w:type="spellStart"/>
      <w:r w:rsidRPr="00031026">
        <w:rPr>
          <w:rFonts w:eastAsia="SimHei" w:cs="Times New Roman"/>
          <w:i/>
          <w:lang w:eastAsia="fr-FR"/>
        </w:rPr>
        <w:t>etmiş</w:t>
      </w:r>
      <w:proofErr w:type="spellEnd"/>
      <w:r w:rsidRPr="00031026">
        <w:rPr>
          <w:rFonts w:eastAsia="SimHei" w:cs="Times New Roman"/>
          <w:i/>
          <w:lang w:eastAsia="fr-FR"/>
        </w:rPr>
        <w:t xml:space="preserve"> </w:t>
      </w:r>
      <w:proofErr w:type="spellStart"/>
      <w:r w:rsidRPr="00031026">
        <w:rPr>
          <w:rFonts w:eastAsia="SimHei" w:cs="Times New Roman"/>
          <w:i/>
          <w:lang w:eastAsia="fr-FR"/>
        </w:rPr>
        <w:t>və</w:t>
      </w:r>
      <w:proofErr w:type="spellEnd"/>
      <w:r w:rsidRPr="00031026">
        <w:rPr>
          <w:rFonts w:eastAsia="SimHei" w:cs="Times New Roman"/>
          <w:i/>
          <w:lang w:eastAsia="fr-FR"/>
        </w:rPr>
        <w:t xml:space="preserve"> </w:t>
      </w:r>
      <w:proofErr w:type="spellStart"/>
      <w:r w:rsidRPr="00031026">
        <w:rPr>
          <w:rFonts w:eastAsia="SimHei" w:cs="Times New Roman"/>
          <w:i/>
          <w:lang w:eastAsia="fr-FR"/>
        </w:rPr>
        <w:t>yaşadıqları</w:t>
      </w:r>
      <w:proofErr w:type="spellEnd"/>
      <w:r w:rsidRPr="00031026">
        <w:rPr>
          <w:rFonts w:eastAsia="SimHei" w:cs="Times New Roman"/>
          <w:i/>
          <w:lang w:eastAsia="fr-FR"/>
        </w:rPr>
        <w:t xml:space="preserve"> </w:t>
      </w:r>
      <w:proofErr w:type="spellStart"/>
      <w:r w:rsidRPr="00031026">
        <w:rPr>
          <w:rFonts w:eastAsia="SimHei" w:cs="Times New Roman"/>
          <w:i/>
          <w:lang w:eastAsia="fr-FR"/>
        </w:rPr>
        <w:t>mənzillərdən</w:t>
      </w:r>
      <w:proofErr w:type="spellEnd"/>
      <w:r w:rsidRPr="00031026">
        <w:rPr>
          <w:rFonts w:eastAsia="SimHei" w:cs="Times New Roman"/>
          <w:i/>
          <w:lang w:eastAsia="fr-FR"/>
        </w:rPr>
        <w:t xml:space="preserve"> </w:t>
      </w:r>
      <w:proofErr w:type="spellStart"/>
      <w:r w:rsidRPr="00031026">
        <w:rPr>
          <w:rFonts w:eastAsia="SimHei" w:cs="Times New Roman"/>
          <w:i/>
          <w:lang w:eastAsia="fr-FR"/>
        </w:rPr>
        <w:t>aşkar</w:t>
      </w:r>
      <w:proofErr w:type="spellEnd"/>
      <w:r w:rsidRPr="00031026">
        <w:rPr>
          <w:rFonts w:eastAsia="SimHei" w:cs="Times New Roman"/>
          <w:i/>
          <w:lang w:eastAsia="fr-FR"/>
        </w:rPr>
        <w:t xml:space="preserve"> </w:t>
      </w:r>
      <w:proofErr w:type="spellStart"/>
      <w:r w:rsidRPr="00031026">
        <w:rPr>
          <w:rFonts w:eastAsia="SimHei" w:cs="Times New Roman"/>
          <w:i/>
          <w:lang w:eastAsia="fr-FR"/>
        </w:rPr>
        <w:t>edilmiş</w:t>
      </w:r>
      <w:proofErr w:type="spellEnd"/>
      <w:r w:rsidRPr="00031026">
        <w:rPr>
          <w:rFonts w:eastAsia="SimHei" w:cs="Times New Roman"/>
          <w:i/>
          <w:lang w:eastAsia="fr-FR"/>
        </w:rPr>
        <w:t xml:space="preserve"> ‘Molotov </w:t>
      </w:r>
      <w:proofErr w:type="spellStart"/>
      <w:r w:rsidRPr="00031026">
        <w:rPr>
          <w:rFonts w:eastAsia="SimHei" w:cs="Times New Roman"/>
          <w:i/>
          <w:lang w:eastAsia="fr-FR"/>
        </w:rPr>
        <w:t>kokteyli</w:t>
      </w:r>
      <w:proofErr w:type="spellEnd"/>
      <w:r w:rsidRPr="00031026">
        <w:rPr>
          <w:rFonts w:eastAsia="SimHei" w:cs="Times New Roman"/>
          <w:i/>
          <w:lang w:eastAsia="fr-FR"/>
        </w:rPr>
        <w:t xml:space="preserve">’ </w:t>
      </w:r>
      <w:proofErr w:type="spellStart"/>
      <w:r w:rsidRPr="00031026">
        <w:rPr>
          <w:rFonts w:eastAsia="SimHei" w:cs="Times New Roman"/>
          <w:i/>
          <w:lang w:eastAsia="fr-FR"/>
        </w:rPr>
        <w:t>adlanan</w:t>
      </w:r>
      <w:proofErr w:type="spellEnd"/>
      <w:r w:rsidRPr="00031026">
        <w:rPr>
          <w:rFonts w:eastAsia="SimHei" w:cs="Times New Roman"/>
          <w:i/>
          <w:lang w:eastAsia="fr-FR"/>
        </w:rPr>
        <w:t xml:space="preserve"> </w:t>
      </w:r>
      <w:proofErr w:type="spellStart"/>
      <w:r w:rsidRPr="00031026">
        <w:rPr>
          <w:rFonts w:eastAsia="SimHei" w:cs="Times New Roman"/>
          <w:i/>
          <w:lang w:eastAsia="fr-FR"/>
        </w:rPr>
        <w:t>tez</w:t>
      </w:r>
      <w:proofErr w:type="spellEnd"/>
      <w:r w:rsidRPr="00031026">
        <w:rPr>
          <w:rFonts w:eastAsia="SimHei" w:cs="Times New Roman"/>
          <w:i/>
          <w:lang w:eastAsia="fr-FR"/>
        </w:rPr>
        <w:t xml:space="preserve"> </w:t>
      </w:r>
      <w:proofErr w:type="spellStart"/>
      <w:r w:rsidRPr="00031026">
        <w:rPr>
          <w:rFonts w:eastAsia="SimHei" w:cs="Times New Roman"/>
          <w:i/>
          <w:lang w:eastAsia="fr-FR"/>
        </w:rPr>
        <w:t>alışan</w:t>
      </w:r>
      <w:proofErr w:type="spellEnd"/>
      <w:r w:rsidRPr="00031026">
        <w:rPr>
          <w:rFonts w:eastAsia="SimHei" w:cs="Times New Roman"/>
          <w:i/>
          <w:lang w:eastAsia="fr-FR"/>
        </w:rPr>
        <w:t xml:space="preserve"> </w:t>
      </w:r>
      <w:proofErr w:type="spellStart"/>
      <w:r w:rsidRPr="00031026">
        <w:rPr>
          <w:rFonts w:eastAsia="SimHei" w:cs="Times New Roman"/>
          <w:i/>
          <w:lang w:eastAsia="fr-FR"/>
        </w:rPr>
        <w:t>maye</w:t>
      </w:r>
      <w:proofErr w:type="spellEnd"/>
      <w:r w:rsidRPr="00031026">
        <w:rPr>
          <w:rFonts w:eastAsia="SimHei" w:cs="Times New Roman"/>
          <w:i/>
          <w:lang w:eastAsia="fr-FR"/>
        </w:rPr>
        <w:t xml:space="preserve"> </w:t>
      </w:r>
      <w:proofErr w:type="spellStart"/>
      <w:r w:rsidRPr="00031026">
        <w:rPr>
          <w:rFonts w:eastAsia="SimHei" w:cs="Times New Roman"/>
          <w:i/>
          <w:lang w:eastAsia="fr-FR"/>
        </w:rPr>
        <w:t>onlar</w:t>
      </w:r>
      <w:proofErr w:type="spellEnd"/>
      <w:r w:rsidRPr="00031026">
        <w:rPr>
          <w:rFonts w:eastAsia="SimHei" w:cs="Times New Roman"/>
          <w:i/>
          <w:lang w:eastAsia="fr-FR"/>
        </w:rPr>
        <w:t xml:space="preserve"> </w:t>
      </w:r>
      <w:proofErr w:type="spellStart"/>
      <w:r w:rsidRPr="00031026">
        <w:rPr>
          <w:rFonts w:eastAsia="SimHei" w:cs="Times New Roman"/>
          <w:i/>
          <w:lang w:eastAsia="fr-FR"/>
        </w:rPr>
        <w:t>tərəfindən</w:t>
      </w:r>
      <w:proofErr w:type="spellEnd"/>
      <w:r w:rsidRPr="00031026">
        <w:rPr>
          <w:rFonts w:eastAsia="SimHei" w:cs="Times New Roman"/>
          <w:i/>
          <w:lang w:eastAsia="fr-FR"/>
        </w:rPr>
        <w:t xml:space="preserve"> </w:t>
      </w:r>
      <w:proofErr w:type="spellStart"/>
      <w:r w:rsidRPr="00031026">
        <w:rPr>
          <w:rFonts w:eastAsia="SimHei" w:cs="Times New Roman"/>
          <w:i/>
          <w:lang w:eastAsia="fr-FR"/>
        </w:rPr>
        <w:t>hazırlanmışdır</w:t>
      </w:r>
      <w:proofErr w:type="spellEnd"/>
      <w:r w:rsidRPr="00031026">
        <w:rPr>
          <w:rFonts w:eastAsia="SimHei"/>
          <w:lang w:eastAsia="fr-FR"/>
        </w:rPr>
        <w:t>].”</w:t>
      </w:r>
    </w:p>
    <w:p w:rsidRPr="00031026" w:rsidR="00031026" w:rsidP="00031026" w:rsidRDefault="00031026" w14:paraId="6C5F5F08" w14:textId="47B48506">
      <w:pPr>
        <w:pStyle w:val="JuPara"/>
        <w:rPr>
          <w:rFonts w:eastAsia="SimHei"/>
          <w:lang w:eastAsia="en-GB"/>
        </w:rPr>
      </w:pPr>
      <w:r w:rsidRPr="00031026">
        <w:rPr>
          <w:rFonts w:eastAsia="SimHei"/>
          <w:lang w:eastAsia="en-GB"/>
        </w:rPr>
        <w:fldChar w:fldCharType="begin"/>
      </w:r>
      <w:r w:rsidRPr="00031026">
        <w:rPr>
          <w:rFonts w:eastAsia="SimHei"/>
          <w:lang w:eastAsia="en-GB"/>
        </w:rPr>
        <w:instrText xml:space="preserve"> SEQ level0 \*arabic </w:instrText>
      </w:r>
      <w:r w:rsidRPr="00031026">
        <w:rPr>
          <w:rFonts w:eastAsia="SimHei"/>
          <w:lang w:eastAsia="en-GB"/>
        </w:rPr>
        <w:fldChar w:fldCharType="separate"/>
      </w:r>
      <w:r w:rsidRPr="00031026">
        <w:rPr>
          <w:rFonts w:eastAsia="SimHei"/>
          <w:noProof/>
          <w:lang w:eastAsia="en-GB"/>
        </w:rPr>
        <w:t>15</w:t>
      </w:r>
      <w:r w:rsidRPr="00031026">
        <w:rPr>
          <w:rFonts w:eastAsia="SimHei"/>
          <w:lang w:eastAsia="en-GB"/>
        </w:rPr>
        <w:fldChar w:fldCharType="end"/>
      </w:r>
      <w:r w:rsidRPr="00031026">
        <w:rPr>
          <w:rFonts w:eastAsia="SimHei"/>
          <w:lang w:eastAsia="en-GB"/>
        </w:rPr>
        <w:t xml:space="preserve">.  On the same day NIDA issued a public statement, saying that the arrest of the applicants and </w:t>
      </w:r>
      <w:r w:rsidRPr="00031026">
        <w:rPr>
          <w:rFonts w:eastAsia="SimHei"/>
          <w:lang w:eastAsia="fr-FR"/>
        </w:rPr>
        <w:t xml:space="preserve">B.G. had been politically motivated and had been aimed at </w:t>
      </w:r>
      <w:r w:rsidRPr="00031026">
        <w:rPr>
          <w:rFonts w:eastAsia="SimHei"/>
          <w:lang w:eastAsia="en-GB"/>
        </w:rPr>
        <w:t>silencing the protesters by creating a feeling of fear among them before the demonstration planned for 10 March 2013.</w:t>
      </w:r>
    </w:p>
    <w:p w:rsidRPr="00031026" w:rsidR="00031026" w:rsidP="00031026" w:rsidRDefault="00031026" w14:paraId="21CDB31D" w14:textId="3C80DC50">
      <w:pPr>
        <w:pStyle w:val="JuPara"/>
        <w:rPr>
          <w:rFonts w:ascii="Times New Roman" w:hAnsi="Times New Roman" w:eastAsia="SimHei" w:cs="SimHei"/>
        </w:rPr>
      </w:pPr>
      <w:r w:rsidRPr="00031026">
        <w:rPr>
          <w:rFonts w:ascii="Times New Roman" w:hAnsi="Times New Roman" w:eastAsia="SimHei" w:cs="SimHei"/>
        </w:rPr>
        <w:fldChar w:fldCharType="begin"/>
      </w:r>
      <w:r w:rsidRPr="00031026">
        <w:rPr>
          <w:rFonts w:ascii="Times New Roman" w:hAnsi="Times New Roman" w:eastAsia="SimHei" w:cs="SimHei"/>
        </w:rPr>
        <w:instrText xml:space="preserve"> SEQ level0 \*arabic </w:instrText>
      </w:r>
      <w:r w:rsidRPr="00031026">
        <w:rPr>
          <w:rFonts w:ascii="Times New Roman" w:hAnsi="Times New Roman" w:eastAsia="SimHei" w:cs="SimHei"/>
        </w:rPr>
        <w:fldChar w:fldCharType="separate"/>
      </w:r>
      <w:r w:rsidRPr="00031026">
        <w:rPr>
          <w:rFonts w:ascii="Times New Roman" w:hAnsi="Times New Roman" w:eastAsia="SimHei" w:cs="SimHei"/>
          <w:noProof/>
        </w:rPr>
        <w:t>16</w:t>
      </w:r>
      <w:r w:rsidRPr="00031026">
        <w:rPr>
          <w:rFonts w:ascii="Times New Roman" w:hAnsi="Times New Roman" w:eastAsia="SimHei" w:cs="SimHei"/>
        </w:rPr>
        <w:fldChar w:fldCharType="end"/>
      </w:r>
      <w:r w:rsidRPr="00031026">
        <w:rPr>
          <w:rFonts w:ascii="Times New Roman" w:hAnsi="Times New Roman" w:eastAsia="SimHei" w:cs="SimHei"/>
        </w:rPr>
        <w:t xml:space="preserve">.  Following the applicants’ arrest, on various dates </w:t>
      </w:r>
      <w:r w:rsidRPr="00031026">
        <w:rPr>
          <w:rFonts w:ascii="Times New Roman" w:hAnsi="Times New Roman" w:eastAsia="SimHei" w:cs="SimHei"/>
          <w:lang w:eastAsia="en-GB"/>
        </w:rPr>
        <w:t>in March and April 2013, four of the seven board members of NIDA were also arrested</w:t>
      </w:r>
      <w:r w:rsidRPr="00031026">
        <w:rPr>
          <w:rFonts w:ascii="Times New Roman" w:hAnsi="Times New Roman" w:eastAsia="SimHei" w:cs="SimHei"/>
        </w:rPr>
        <w:t xml:space="preserve"> within the framework of the same criminal proceedings</w:t>
      </w:r>
      <w:r w:rsidRPr="00031026">
        <w:rPr>
          <w:rFonts w:ascii="Times New Roman" w:hAnsi="Times New Roman" w:eastAsia="SimHei" w:cs="SimHei"/>
          <w:lang w:eastAsia="en-GB"/>
        </w:rPr>
        <w:t>.</w:t>
      </w:r>
      <w:r w:rsidRPr="00031026">
        <w:rPr>
          <w:rFonts w:ascii="Times New Roman" w:hAnsi="Times New Roman" w:eastAsia="SimHei" w:cs="SimHei"/>
        </w:rPr>
        <w:t xml:space="preserve"> The domestic proceedings concerning</w:t>
      </w:r>
      <w:r w:rsidRPr="00031026">
        <w:rPr>
          <w:rFonts w:ascii="Times New Roman" w:hAnsi="Times New Roman" w:eastAsia="SimHei" w:cs="SimHei"/>
          <w:lang w:eastAsia="en-GB"/>
        </w:rPr>
        <w:t xml:space="preserve"> the arrest and pre-trial detention of the board members of NIDA have already been the subject of the Court’s judgment in </w:t>
      </w:r>
      <w:r w:rsidRPr="00031026">
        <w:rPr>
          <w:rFonts w:ascii="Times New Roman" w:hAnsi="Times New Roman" w:eastAsia="SimHei" w:cs="SimHei"/>
          <w:i/>
          <w:iCs/>
        </w:rPr>
        <w:t>Rashad Hasanov and Others v. Azerbaijan</w:t>
      </w:r>
      <w:r w:rsidRPr="00031026">
        <w:rPr>
          <w:rFonts w:ascii="Times New Roman" w:hAnsi="Times New Roman" w:eastAsia="SimHei" w:cs="SimHei"/>
          <w:lang w:eastAsia="en-GB"/>
        </w:rPr>
        <w:t xml:space="preserve"> (</w:t>
      </w:r>
      <w:r w:rsidRPr="00031026">
        <w:rPr>
          <w:rFonts w:ascii="Times New Roman" w:hAnsi="Times New Roman" w:eastAsia="SimHei" w:cs="SimHei"/>
          <w:snapToGrid w:val="0"/>
          <w:lang w:eastAsia="en-GB"/>
        </w:rPr>
        <w:t xml:space="preserve">nos. </w:t>
      </w:r>
      <w:r w:rsidRPr="00031026">
        <w:rPr>
          <w:rFonts w:ascii="Times New Roman" w:hAnsi="Times New Roman" w:eastAsia="SimHei" w:cs="SimHei"/>
        </w:rPr>
        <w:t>48653/13 and 3 others</w:t>
      </w:r>
      <w:r w:rsidRPr="00031026">
        <w:rPr>
          <w:rFonts w:ascii="Times New Roman" w:hAnsi="Times New Roman" w:eastAsia="SimHei" w:cs="SimHei"/>
          <w:lang w:eastAsia="en-GB"/>
        </w:rPr>
        <w:t xml:space="preserve">, </w:t>
      </w:r>
      <w:r w:rsidRPr="00031026">
        <w:rPr>
          <w:rFonts w:ascii="Times New Roman" w:hAnsi="Times New Roman" w:eastAsia="SimHei" w:cs="SimHei"/>
        </w:rPr>
        <w:t>7 June 2018).</w:t>
      </w:r>
    </w:p>
    <w:p w:rsidRPr="00031026" w:rsidR="00031026" w:rsidP="00031026" w:rsidRDefault="00031026" w14:paraId="6B5D2717" w14:textId="67059274">
      <w:pPr>
        <w:pStyle w:val="JuHIRoman"/>
        <w:tabs>
          <w:tab w:val="clear" w:pos="454"/>
          <w:tab w:val="clear" w:pos="567"/>
          <w:tab w:val="clear" w:pos="680"/>
        </w:tabs>
        <w:ind w:left="357" w:hanging="357"/>
        <w:rPr>
          <w:rFonts w:eastAsia="SimHei"/>
        </w:rPr>
      </w:pPr>
      <w:r w:rsidRPr="00031026">
        <w:rPr>
          <w:rFonts w:eastAsia="SimHei"/>
        </w:rPr>
        <w:t>Extension of the applicants’ pre-trial detention</w:t>
      </w:r>
    </w:p>
    <w:p w:rsidRPr="00031026" w:rsidR="00031026" w:rsidP="00031026" w:rsidRDefault="00031026" w14:paraId="6FB1891A" w14:textId="77777777">
      <w:pPr>
        <w:pStyle w:val="JuHA"/>
        <w:ind w:left="584" w:hanging="352"/>
        <w:jc w:val="left"/>
        <w:rPr>
          <w:rFonts w:eastAsia="SimHei"/>
        </w:rPr>
      </w:pPr>
      <w:r w:rsidRPr="00031026">
        <w:rPr>
          <w:rFonts w:eastAsia="SimHei"/>
        </w:rPr>
        <w:t>In respect of the first applicant</w:t>
      </w:r>
    </w:p>
    <w:p w:rsidRPr="00031026" w:rsidR="00031026" w:rsidP="00031026" w:rsidRDefault="00031026" w14:paraId="08E58C15" w14:textId="46EC7CA5">
      <w:pPr>
        <w:pStyle w:val="JuPara"/>
      </w:pPr>
      <w:r w:rsidRPr="00031026">
        <w:fldChar w:fldCharType="begin"/>
      </w:r>
      <w:r w:rsidRPr="00031026">
        <w:instrText xml:space="preserve"> SEQ level0 \*arabic </w:instrText>
      </w:r>
      <w:r w:rsidRPr="00031026">
        <w:fldChar w:fldCharType="separate"/>
      </w:r>
      <w:r w:rsidRPr="00031026">
        <w:rPr>
          <w:noProof/>
        </w:rPr>
        <w:t>17</w:t>
      </w:r>
      <w:r w:rsidRPr="00031026">
        <w:fldChar w:fldCharType="end"/>
      </w:r>
      <w:r w:rsidRPr="00031026">
        <w:t xml:space="preserve">.  On 15 March 2013 the first applicant lodged a request with the </w:t>
      </w:r>
      <w:proofErr w:type="spellStart"/>
      <w:r w:rsidRPr="00031026">
        <w:t>Nasimi</w:t>
      </w:r>
      <w:proofErr w:type="spellEnd"/>
      <w:r w:rsidRPr="00031026">
        <w:t xml:space="preserve"> District Court to be put under house arrest rather than in pre-trial detention. He asserted</w:t>
      </w:r>
      <w:proofErr w:type="gramStart"/>
      <w:r w:rsidRPr="00031026">
        <w:t>, in particular, that</w:t>
      </w:r>
      <w:proofErr w:type="gramEnd"/>
      <w:r w:rsidRPr="00031026">
        <w:t xml:space="preserve"> there was no risk of his absconding or obstructing the investigation and that the courts had failed to take into consideration his personal situation in that he had a permanent place of residence and was a student.</w:t>
      </w:r>
    </w:p>
    <w:p w:rsidRPr="00031026" w:rsidR="00031026" w:rsidP="00031026" w:rsidRDefault="00031026" w14:paraId="693BA8D0" w14:textId="7FF5F293">
      <w:pPr>
        <w:pStyle w:val="JuPara"/>
      </w:pPr>
      <w:r w:rsidRPr="00031026">
        <w:fldChar w:fldCharType="begin"/>
      </w:r>
      <w:r w:rsidRPr="00031026">
        <w:instrText xml:space="preserve"> SEQ level0 \*arabic </w:instrText>
      </w:r>
      <w:r w:rsidRPr="00031026">
        <w:fldChar w:fldCharType="separate"/>
      </w:r>
      <w:r w:rsidRPr="00031026">
        <w:rPr>
          <w:noProof/>
        </w:rPr>
        <w:t>18</w:t>
      </w:r>
      <w:r w:rsidRPr="00031026">
        <w:fldChar w:fldCharType="end"/>
      </w:r>
      <w:r w:rsidRPr="00031026">
        <w:t xml:space="preserve">.  On 18 March 2013 </w:t>
      </w:r>
      <w:r w:rsidRPr="00031026">
        <w:rPr>
          <w:color w:val="000000"/>
        </w:rPr>
        <w:t xml:space="preserve">the </w:t>
      </w:r>
      <w:proofErr w:type="spellStart"/>
      <w:r w:rsidRPr="00031026">
        <w:rPr>
          <w:color w:val="000000"/>
        </w:rPr>
        <w:t>Nasimi</w:t>
      </w:r>
      <w:proofErr w:type="spellEnd"/>
      <w:r w:rsidRPr="00031026">
        <w:rPr>
          <w:color w:val="000000"/>
        </w:rPr>
        <w:t xml:space="preserve"> District Court dismissed that request, finding </w:t>
      </w:r>
      <w:r w:rsidRPr="00031026">
        <w:t>that there was no need to use an alternative preventive measure to remand in custody.</w:t>
      </w:r>
    </w:p>
    <w:p w:rsidRPr="00031026" w:rsidR="00031026" w:rsidP="00031026" w:rsidRDefault="00031026" w14:paraId="30C833B1" w14:textId="65778209">
      <w:pPr>
        <w:pStyle w:val="JuPara"/>
      </w:pPr>
      <w:r w:rsidRPr="00031026">
        <w:fldChar w:fldCharType="begin"/>
      </w:r>
      <w:r w:rsidRPr="00031026">
        <w:instrText xml:space="preserve"> SEQ level0 \*arabic </w:instrText>
      </w:r>
      <w:r w:rsidRPr="00031026">
        <w:fldChar w:fldCharType="separate"/>
      </w:r>
      <w:r w:rsidRPr="00031026">
        <w:rPr>
          <w:noProof/>
        </w:rPr>
        <w:t>19</w:t>
      </w:r>
      <w:r w:rsidRPr="00031026">
        <w:fldChar w:fldCharType="end"/>
      </w:r>
      <w:r w:rsidRPr="00031026">
        <w:t>.  On 27 March 2013 the Baku Court of Appeal upheld the first-instance court’s decision.</w:t>
      </w:r>
    </w:p>
    <w:p w:rsidRPr="00031026" w:rsidR="00031026" w:rsidP="00031026" w:rsidRDefault="00031026" w14:paraId="0B73D802" w14:textId="4B1BFFBB">
      <w:pPr>
        <w:pStyle w:val="JuPara"/>
        <w:rPr>
          <w:color w:val="000000"/>
          <w:lang w:eastAsia="en-GB"/>
        </w:rPr>
      </w:pPr>
      <w:r w:rsidRPr="00031026">
        <w:fldChar w:fldCharType="begin"/>
      </w:r>
      <w:r w:rsidRPr="00031026">
        <w:instrText xml:space="preserve"> SEQ level0 \*arabic </w:instrText>
      </w:r>
      <w:r w:rsidRPr="00031026">
        <w:fldChar w:fldCharType="separate"/>
      </w:r>
      <w:r w:rsidRPr="00031026">
        <w:rPr>
          <w:noProof/>
        </w:rPr>
        <w:t>20</w:t>
      </w:r>
      <w:r w:rsidRPr="00031026">
        <w:fldChar w:fldCharType="end"/>
      </w:r>
      <w:r w:rsidRPr="00031026">
        <w:t xml:space="preserve">.  Following a request by </w:t>
      </w:r>
      <w:r w:rsidRPr="00031026">
        <w:rPr>
          <w:rFonts w:ascii="Times New Roman" w:hAnsi="Times New Roman" w:eastAsia="SimHei" w:cs="SimHei"/>
        </w:rPr>
        <w:t>the prosecutor,</w:t>
      </w:r>
      <w:r w:rsidRPr="00031026">
        <w:t xml:space="preserve"> on 2 May 2013 the </w:t>
      </w:r>
      <w:proofErr w:type="spellStart"/>
      <w:r w:rsidRPr="00031026">
        <w:t>Nasimi</w:t>
      </w:r>
      <w:proofErr w:type="spellEnd"/>
      <w:r w:rsidRPr="00031026">
        <w:t xml:space="preserve"> District Court extended the first applicant’s detention pending trial by two months, until 7 July 2013. The court </w:t>
      </w:r>
      <w:r w:rsidRPr="00031026">
        <w:rPr>
          <w:color w:val="000000"/>
          <w:lang w:eastAsia="en-GB"/>
        </w:rPr>
        <w:t>cited the complexity of the case, the possibility of the first applicant’s absconding, the necessity of additional time to carry out further investigative actions, his way of life (</w:t>
      </w:r>
      <w:proofErr w:type="spellStart"/>
      <w:r w:rsidRPr="00031026">
        <w:rPr>
          <w:i/>
          <w:color w:val="000000"/>
          <w:lang w:eastAsia="en-GB"/>
        </w:rPr>
        <w:t>həyat</w:t>
      </w:r>
      <w:proofErr w:type="spellEnd"/>
      <w:r w:rsidRPr="00031026">
        <w:rPr>
          <w:i/>
          <w:color w:val="000000"/>
          <w:lang w:eastAsia="en-GB"/>
        </w:rPr>
        <w:t xml:space="preserve"> </w:t>
      </w:r>
      <w:proofErr w:type="spellStart"/>
      <w:r w:rsidRPr="00031026">
        <w:rPr>
          <w:i/>
          <w:color w:val="000000"/>
          <w:lang w:eastAsia="en-GB"/>
        </w:rPr>
        <w:t>tərzi</w:t>
      </w:r>
      <w:proofErr w:type="spellEnd"/>
      <w:r w:rsidRPr="00031026">
        <w:rPr>
          <w:color w:val="000000"/>
          <w:lang w:eastAsia="en-GB"/>
        </w:rPr>
        <w:t xml:space="preserve">) and his links with foreign States. By the same decision the court also rejected a request made by the first applicant </w:t>
      </w:r>
      <w:r w:rsidRPr="00031026">
        <w:t>to be put under house arrest rather than in pre-trial detention.</w:t>
      </w:r>
    </w:p>
    <w:p w:rsidRPr="00031026" w:rsidR="00031026" w:rsidP="00031026" w:rsidRDefault="00031026" w14:paraId="76327BDF" w14:textId="07E62853">
      <w:pPr>
        <w:pStyle w:val="JuPara"/>
        <w:rPr>
          <w:color w:val="000000"/>
          <w:lang w:eastAsia="en-GB"/>
        </w:rPr>
      </w:pPr>
      <w:r w:rsidRPr="00031026">
        <w:rPr>
          <w:color w:val="000000"/>
          <w:lang w:eastAsia="en-GB"/>
        </w:rPr>
        <w:fldChar w:fldCharType="begin"/>
      </w:r>
      <w:r w:rsidRPr="00031026">
        <w:rPr>
          <w:color w:val="000000"/>
          <w:lang w:eastAsia="en-GB"/>
        </w:rPr>
        <w:instrText xml:space="preserve"> SEQ level0 \*arabic </w:instrText>
      </w:r>
      <w:r w:rsidRPr="00031026">
        <w:rPr>
          <w:color w:val="000000"/>
          <w:lang w:eastAsia="en-GB"/>
        </w:rPr>
        <w:fldChar w:fldCharType="separate"/>
      </w:r>
      <w:r w:rsidRPr="00031026">
        <w:rPr>
          <w:noProof/>
          <w:color w:val="000000"/>
          <w:lang w:eastAsia="en-GB"/>
        </w:rPr>
        <w:t>21</w:t>
      </w:r>
      <w:r w:rsidRPr="00031026">
        <w:rPr>
          <w:color w:val="000000"/>
          <w:lang w:eastAsia="en-GB"/>
        </w:rPr>
        <w:fldChar w:fldCharType="end"/>
      </w:r>
      <w:r w:rsidRPr="00031026">
        <w:rPr>
          <w:color w:val="000000"/>
          <w:lang w:eastAsia="en-GB"/>
        </w:rPr>
        <w:t xml:space="preserve">.  On 4 May 2013 the first applicant appealed against that decision. He specifically argued that the </w:t>
      </w:r>
      <w:proofErr w:type="spellStart"/>
      <w:r w:rsidRPr="00031026">
        <w:rPr>
          <w:color w:val="000000"/>
          <w:lang w:eastAsia="en-GB"/>
        </w:rPr>
        <w:t>Nasimi</w:t>
      </w:r>
      <w:proofErr w:type="spellEnd"/>
      <w:r w:rsidRPr="00031026">
        <w:rPr>
          <w:color w:val="000000"/>
          <w:lang w:eastAsia="en-GB"/>
        </w:rPr>
        <w:t xml:space="preserve"> District Court had failed to justify the extension of his pre-trial detention.</w:t>
      </w:r>
    </w:p>
    <w:p w:rsidRPr="00031026" w:rsidR="00031026" w:rsidP="00031026" w:rsidRDefault="00031026" w14:paraId="09C70E3B" w14:textId="6DA9AB21">
      <w:pPr>
        <w:pStyle w:val="JuPara"/>
      </w:pPr>
      <w:r w:rsidRPr="00031026">
        <w:rPr>
          <w:color w:val="000000"/>
          <w:lang w:eastAsia="en-GB"/>
        </w:rPr>
        <w:fldChar w:fldCharType="begin"/>
      </w:r>
      <w:r w:rsidRPr="00031026">
        <w:rPr>
          <w:color w:val="000000"/>
          <w:lang w:eastAsia="en-GB"/>
        </w:rPr>
        <w:instrText xml:space="preserve"> SEQ level0 \*arabic </w:instrText>
      </w:r>
      <w:r w:rsidRPr="00031026">
        <w:rPr>
          <w:color w:val="000000"/>
          <w:lang w:eastAsia="en-GB"/>
        </w:rPr>
        <w:fldChar w:fldCharType="separate"/>
      </w:r>
      <w:r w:rsidRPr="00031026">
        <w:rPr>
          <w:noProof/>
          <w:color w:val="000000"/>
          <w:lang w:eastAsia="en-GB"/>
        </w:rPr>
        <w:t>22</w:t>
      </w:r>
      <w:r w:rsidRPr="00031026">
        <w:rPr>
          <w:color w:val="000000"/>
          <w:lang w:eastAsia="en-GB"/>
        </w:rPr>
        <w:fldChar w:fldCharType="end"/>
      </w:r>
      <w:r w:rsidRPr="00031026">
        <w:rPr>
          <w:color w:val="000000"/>
          <w:lang w:eastAsia="en-GB"/>
        </w:rPr>
        <w:t>.  On 13 May 2013</w:t>
      </w:r>
      <w:r w:rsidRPr="00031026">
        <w:t xml:space="preserve"> the Baku Court of Appeal dismissed the appeal, holding that the first-instance court’s decision had been justified.</w:t>
      </w:r>
    </w:p>
    <w:p w:rsidRPr="00031026" w:rsidR="00031026" w:rsidP="00031026" w:rsidRDefault="00031026" w14:paraId="3479966C" w14:textId="086F2B01">
      <w:pPr>
        <w:pStyle w:val="JuPara"/>
        <w:rPr>
          <w:color w:val="000000"/>
          <w:lang w:eastAsia="en-GB"/>
        </w:rPr>
      </w:pPr>
      <w:r w:rsidRPr="00031026">
        <w:rPr>
          <w:color w:val="000000"/>
          <w:lang w:eastAsia="en-GB"/>
        </w:rPr>
        <w:fldChar w:fldCharType="begin"/>
      </w:r>
      <w:r w:rsidRPr="00031026">
        <w:rPr>
          <w:color w:val="000000"/>
          <w:lang w:eastAsia="en-GB"/>
        </w:rPr>
        <w:instrText xml:space="preserve"> SEQ level0 \*arabic </w:instrText>
      </w:r>
      <w:r w:rsidRPr="00031026">
        <w:rPr>
          <w:color w:val="000000"/>
          <w:lang w:eastAsia="en-GB"/>
        </w:rPr>
        <w:fldChar w:fldCharType="separate"/>
      </w:r>
      <w:r w:rsidRPr="00031026">
        <w:rPr>
          <w:noProof/>
          <w:color w:val="000000"/>
          <w:lang w:eastAsia="en-GB"/>
        </w:rPr>
        <w:t>23</w:t>
      </w:r>
      <w:r w:rsidRPr="00031026">
        <w:rPr>
          <w:color w:val="000000"/>
          <w:lang w:eastAsia="en-GB"/>
        </w:rPr>
        <w:fldChar w:fldCharType="end"/>
      </w:r>
      <w:r w:rsidRPr="00031026">
        <w:rPr>
          <w:color w:val="000000"/>
          <w:lang w:eastAsia="en-GB"/>
        </w:rPr>
        <w:t xml:space="preserve">.  On 2 July and </w:t>
      </w:r>
      <w:proofErr w:type="gramStart"/>
      <w:r w:rsidRPr="00031026">
        <w:rPr>
          <w:color w:val="000000"/>
          <w:lang w:eastAsia="en-GB"/>
        </w:rPr>
        <w:t>29 August 2013</w:t>
      </w:r>
      <w:proofErr w:type="gramEnd"/>
      <w:r w:rsidRPr="00031026">
        <w:rPr>
          <w:color w:val="000000"/>
          <w:lang w:eastAsia="en-GB"/>
        </w:rPr>
        <w:t xml:space="preserve"> the </w:t>
      </w:r>
      <w:proofErr w:type="spellStart"/>
      <w:r w:rsidRPr="00031026">
        <w:rPr>
          <w:color w:val="000000"/>
          <w:lang w:eastAsia="en-GB"/>
        </w:rPr>
        <w:t>Nasimi</w:t>
      </w:r>
      <w:proofErr w:type="spellEnd"/>
      <w:r w:rsidRPr="00031026">
        <w:rPr>
          <w:color w:val="000000"/>
          <w:lang w:eastAsia="en-GB"/>
        </w:rPr>
        <w:t xml:space="preserve"> District Court again extended the first applicant’s detention pending trial for periods of two and three months, respectively. The court relied on the same grounds, namely </w:t>
      </w:r>
      <w:r w:rsidRPr="00031026">
        <w:rPr>
          <w:lang w:eastAsia="en-GB"/>
        </w:rPr>
        <w:t xml:space="preserve">the gravity of the charges, </w:t>
      </w:r>
      <w:r w:rsidRPr="00031026">
        <w:rPr>
          <w:color w:val="000000"/>
          <w:lang w:eastAsia="en-GB"/>
        </w:rPr>
        <w:t>the complexity of the case, the existence of a risk of absconding and the need for additional time to carry out further investigative actions.</w:t>
      </w:r>
    </w:p>
    <w:p w:rsidRPr="00031026" w:rsidR="00031026" w:rsidP="00031026" w:rsidRDefault="00031026" w14:paraId="378C6E6C" w14:textId="1D43CB38">
      <w:pPr>
        <w:pStyle w:val="JuPara"/>
        <w:rPr>
          <w:color w:val="000000"/>
          <w:lang w:eastAsia="en-GB"/>
        </w:rPr>
      </w:pPr>
      <w:r w:rsidRPr="00031026">
        <w:rPr>
          <w:color w:val="000000"/>
          <w:lang w:eastAsia="en-GB"/>
        </w:rPr>
        <w:fldChar w:fldCharType="begin"/>
      </w:r>
      <w:r w:rsidRPr="00031026">
        <w:rPr>
          <w:color w:val="000000"/>
          <w:lang w:eastAsia="en-GB"/>
        </w:rPr>
        <w:instrText xml:space="preserve"> SEQ level0 \*arabic </w:instrText>
      </w:r>
      <w:r w:rsidRPr="00031026">
        <w:rPr>
          <w:color w:val="000000"/>
          <w:lang w:eastAsia="en-GB"/>
        </w:rPr>
        <w:fldChar w:fldCharType="separate"/>
      </w:r>
      <w:r w:rsidRPr="00031026">
        <w:rPr>
          <w:noProof/>
          <w:color w:val="000000"/>
          <w:lang w:eastAsia="en-GB"/>
        </w:rPr>
        <w:t>24</w:t>
      </w:r>
      <w:r w:rsidRPr="00031026">
        <w:rPr>
          <w:color w:val="000000"/>
          <w:lang w:eastAsia="en-GB"/>
        </w:rPr>
        <w:fldChar w:fldCharType="end"/>
      </w:r>
      <w:r w:rsidRPr="00031026">
        <w:rPr>
          <w:color w:val="000000"/>
          <w:lang w:eastAsia="en-GB"/>
        </w:rPr>
        <w:t xml:space="preserve">.  The </w:t>
      </w:r>
      <w:proofErr w:type="spellStart"/>
      <w:r w:rsidRPr="00031026">
        <w:rPr>
          <w:color w:val="000000"/>
          <w:lang w:eastAsia="en-GB"/>
        </w:rPr>
        <w:t>Nasimi</w:t>
      </w:r>
      <w:proofErr w:type="spellEnd"/>
      <w:r w:rsidRPr="00031026">
        <w:rPr>
          <w:color w:val="000000"/>
          <w:lang w:eastAsia="en-GB"/>
        </w:rPr>
        <w:t xml:space="preserve"> District Court’s extension decisions were upheld on appeal by the Baku Court of Appeal on 10 July and 6 September 2013, respectively.</w:t>
      </w:r>
    </w:p>
    <w:p w:rsidRPr="00031026" w:rsidR="00031026" w:rsidP="00031026" w:rsidRDefault="00031026" w14:paraId="21750020" w14:textId="339CC61C">
      <w:pPr>
        <w:pStyle w:val="JuPara"/>
        <w:rPr>
          <w:color w:val="000000"/>
          <w:lang w:eastAsia="en-GB"/>
        </w:rPr>
      </w:pPr>
      <w:r w:rsidRPr="00031026">
        <w:rPr>
          <w:rFonts w:ascii="Times New Roman" w:hAnsi="Times New Roman" w:eastAsia="SimHei" w:cs="SimHei"/>
        </w:rPr>
        <w:fldChar w:fldCharType="begin"/>
      </w:r>
      <w:r w:rsidRPr="00031026">
        <w:rPr>
          <w:rFonts w:ascii="Times New Roman" w:hAnsi="Times New Roman" w:eastAsia="SimHei" w:cs="SimHei"/>
        </w:rPr>
        <w:instrText xml:space="preserve"> SEQ level0 \*arabic </w:instrText>
      </w:r>
      <w:r w:rsidRPr="00031026">
        <w:rPr>
          <w:rFonts w:ascii="Times New Roman" w:hAnsi="Times New Roman" w:eastAsia="SimHei" w:cs="SimHei"/>
        </w:rPr>
        <w:fldChar w:fldCharType="separate"/>
      </w:r>
      <w:r w:rsidRPr="00031026">
        <w:rPr>
          <w:rFonts w:ascii="Times New Roman" w:hAnsi="Times New Roman" w:eastAsia="SimHei" w:cs="SimHei"/>
          <w:noProof/>
        </w:rPr>
        <w:t>25</w:t>
      </w:r>
      <w:r w:rsidRPr="00031026">
        <w:rPr>
          <w:rFonts w:ascii="Times New Roman" w:hAnsi="Times New Roman" w:eastAsia="SimHei" w:cs="SimHei"/>
        </w:rPr>
        <w:fldChar w:fldCharType="end"/>
      </w:r>
      <w:r w:rsidRPr="00031026">
        <w:rPr>
          <w:rFonts w:ascii="Times New Roman" w:hAnsi="Times New Roman" w:eastAsia="SimHei" w:cs="SimHei"/>
        </w:rPr>
        <w:t>.  No further extension decisions were included in the case file.</w:t>
      </w:r>
    </w:p>
    <w:p w:rsidRPr="00031026" w:rsidR="00031026" w:rsidP="00031026" w:rsidRDefault="00031026" w14:paraId="20928BC4" w14:textId="77777777">
      <w:pPr>
        <w:pStyle w:val="JuHA"/>
        <w:ind w:left="584" w:hanging="352"/>
        <w:jc w:val="left"/>
      </w:pPr>
      <w:r w:rsidRPr="00031026">
        <w:t>In respect of the second applicant</w:t>
      </w:r>
    </w:p>
    <w:p w:rsidRPr="00031026" w:rsidR="00031026" w:rsidP="00031026" w:rsidRDefault="00031026" w14:paraId="3108A443" w14:textId="141EB100">
      <w:pPr>
        <w:pStyle w:val="JuPara"/>
      </w:pPr>
      <w:r w:rsidRPr="00031026">
        <w:fldChar w:fldCharType="begin"/>
      </w:r>
      <w:r w:rsidRPr="00031026">
        <w:instrText xml:space="preserve"> SEQ level0 \*arabic </w:instrText>
      </w:r>
      <w:r w:rsidRPr="00031026">
        <w:fldChar w:fldCharType="separate"/>
      </w:r>
      <w:r w:rsidRPr="00031026">
        <w:rPr>
          <w:noProof/>
        </w:rPr>
        <w:t>26</w:t>
      </w:r>
      <w:r w:rsidRPr="00031026">
        <w:fldChar w:fldCharType="end"/>
      </w:r>
      <w:r w:rsidRPr="00031026">
        <w:t xml:space="preserve">.  Following a request by the prosecutor, on 30 May 2013 the </w:t>
      </w:r>
      <w:proofErr w:type="spellStart"/>
      <w:r w:rsidRPr="00031026">
        <w:t>Nasimi</w:t>
      </w:r>
      <w:proofErr w:type="spellEnd"/>
      <w:r w:rsidRPr="00031026">
        <w:t xml:space="preserve"> District Court extended the second applicant’s detention pending trial by three months, until 7 September 2013. The court cited the gravity of the charges, the complexity of the case, the possibility of his absconding and the need for additional time to carry out further investigative actions.</w:t>
      </w:r>
    </w:p>
    <w:p w:rsidRPr="00031026" w:rsidR="00031026" w:rsidP="00031026" w:rsidRDefault="00031026" w14:paraId="339271D0" w14:textId="6AD47405">
      <w:pPr>
        <w:pStyle w:val="JuPara"/>
        <w:rPr>
          <w:color w:val="000000"/>
          <w:lang w:eastAsia="en-GB"/>
        </w:rPr>
      </w:pPr>
      <w:r w:rsidRPr="00031026">
        <w:fldChar w:fldCharType="begin"/>
      </w:r>
      <w:r w:rsidRPr="00031026">
        <w:instrText xml:space="preserve"> SEQ level0 \*arabic </w:instrText>
      </w:r>
      <w:r w:rsidRPr="00031026">
        <w:fldChar w:fldCharType="separate"/>
      </w:r>
      <w:r w:rsidRPr="00031026">
        <w:rPr>
          <w:noProof/>
        </w:rPr>
        <w:t>27</w:t>
      </w:r>
      <w:r w:rsidRPr="00031026">
        <w:fldChar w:fldCharType="end"/>
      </w:r>
      <w:r w:rsidRPr="00031026">
        <w:t>.  On 3 June 2013 the second applicant appealed against that decision, arguing that the first-instance court had failed to justify his continued detention. He asserted that there was no risk of absconding or obstructing the investigation and that the first-instance court had failed to take into consideration his personal situation. In that connection, he noted that the lower court had ignored the fact that he was a minor, that he had no criminal record and that he had a permanent place of residence.</w:t>
      </w:r>
    </w:p>
    <w:p w:rsidRPr="00031026" w:rsidR="00031026" w:rsidP="00031026" w:rsidRDefault="00031026" w14:paraId="1424F961" w14:textId="09740088">
      <w:pPr>
        <w:pStyle w:val="JuPara"/>
        <w:rPr>
          <w:lang w:eastAsia="en-GB"/>
        </w:rPr>
      </w:pPr>
      <w:r w:rsidRPr="00031026">
        <w:rPr>
          <w:lang w:eastAsia="en-GB"/>
        </w:rPr>
        <w:fldChar w:fldCharType="begin"/>
      </w:r>
      <w:r w:rsidRPr="00031026">
        <w:rPr>
          <w:lang w:eastAsia="en-GB"/>
        </w:rPr>
        <w:instrText xml:space="preserve"> SEQ level0 \*arabic </w:instrText>
      </w:r>
      <w:r w:rsidRPr="00031026">
        <w:rPr>
          <w:lang w:eastAsia="en-GB"/>
        </w:rPr>
        <w:fldChar w:fldCharType="separate"/>
      </w:r>
      <w:r w:rsidRPr="00031026">
        <w:rPr>
          <w:noProof/>
          <w:lang w:eastAsia="en-GB"/>
        </w:rPr>
        <w:t>28</w:t>
      </w:r>
      <w:r w:rsidRPr="00031026">
        <w:rPr>
          <w:lang w:eastAsia="en-GB"/>
        </w:rPr>
        <w:fldChar w:fldCharType="end"/>
      </w:r>
      <w:r w:rsidRPr="00031026">
        <w:rPr>
          <w:lang w:eastAsia="en-GB"/>
        </w:rPr>
        <w:t>.  On 6 June 2013 the Baku Court of Appeal dismissed the appeal, finding that the extension of the second applicant’s detention pending trial had been justified. The appellate court did not address any of the second applicant’s specific arguments.</w:t>
      </w:r>
    </w:p>
    <w:p w:rsidRPr="00031026" w:rsidR="00031026" w:rsidP="00031026" w:rsidRDefault="00031026" w14:paraId="697FB648" w14:textId="54DBF124">
      <w:pPr>
        <w:pStyle w:val="JuPara"/>
      </w:pPr>
      <w:r w:rsidRPr="00031026">
        <w:fldChar w:fldCharType="begin"/>
      </w:r>
      <w:r w:rsidRPr="00031026">
        <w:instrText xml:space="preserve"> SEQ level0 \*arabic </w:instrText>
      </w:r>
      <w:r w:rsidRPr="00031026">
        <w:fldChar w:fldCharType="separate"/>
      </w:r>
      <w:r w:rsidRPr="00031026">
        <w:rPr>
          <w:noProof/>
        </w:rPr>
        <w:t>29</w:t>
      </w:r>
      <w:r w:rsidRPr="00031026">
        <w:fldChar w:fldCharType="end"/>
      </w:r>
      <w:r w:rsidRPr="00031026">
        <w:t>.  On 3 July 2013 the second applicant lodged a request with the court asking to be put under house arrest rather than in pre-trial detention, reiterating his arguments.</w:t>
      </w:r>
    </w:p>
    <w:p w:rsidRPr="00031026" w:rsidR="00031026" w:rsidP="00031026" w:rsidRDefault="00031026" w14:paraId="6380E343" w14:textId="6E41FF27">
      <w:pPr>
        <w:pStyle w:val="JuPara"/>
      </w:pPr>
      <w:r w:rsidRPr="00031026">
        <w:fldChar w:fldCharType="begin"/>
      </w:r>
      <w:r w:rsidRPr="00031026">
        <w:instrText xml:space="preserve"> SEQ level0 \*arabic </w:instrText>
      </w:r>
      <w:r w:rsidRPr="00031026">
        <w:fldChar w:fldCharType="separate"/>
      </w:r>
      <w:r w:rsidRPr="00031026">
        <w:rPr>
          <w:noProof/>
        </w:rPr>
        <w:t>30</w:t>
      </w:r>
      <w:r w:rsidRPr="00031026">
        <w:fldChar w:fldCharType="end"/>
      </w:r>
      <w:r w:rsidRPr="00031026">
        <w:t xml:space="preserve">.  On 4 July 2013 the </w:t>
      </w:r>
      <w:proofErr w:type="spellStart"/>
      <w:r w:rsidRPr="00031026">
        <w:t>Nasimi</w:t>
      </w:r>
      <w:proofErr w:type="spellEnd"/>
      <w:r w:rsidRPr="00031026">
        <w:t xml:space="preserve"> District Court dismissed the request, finding that there was no need to apply an alternative preventive measure to remand in custody. It did not examine the second applicant’s specific complaints.</w:t>
      </w:r>
    </w:p>
    <w:p w:rsidRPr="00031026" w:rsidR="00031026" w:rsidP="00031026" w:rsidRDefault="00031026" w14:paraId="629B6BE3" w14:textId="45DE5C0C">
      <w:pPr>
        <w:pStyle w:val="JuPara"/>
      </w:pPr>
      <w:r w:rsidRPr="00031026">
        <w:fldChar w:fldCharType="begin"/>
      </w:r>
      <w:r w:rsidRPr="00031026">
        <w:instrText xml:space="preserve"> SEQ level0 \*arabic </w:instrText>
      </w:r>
      <w:r w:rsidRPr="00031026">
        <w:fldChar w:fldCharType="separate"/>
      </w:r>
      <w:r w:rsidRPr="00031026">
        <w:rPr>
          <w:noProof/>
        </w:rPr>
        <w:t>31</w:t>
      </w:r>
      <w:r w:rsidRPr="00031026">
        <w:fldChar w:fldCharType="end"/>
      </w:r>
      <w:r w:rsidRPr="00031026">
        <w:t>.  On 8 July 2013 the second applicant appealed against that decision, reiterating his previous arguments.</w:t>
      </w:r>
    </w:p>
    <w:p w:rsidRPr="00031026" w:rsidR="00031026" w:rsidP="00031026" w:rsidRDefault="00031026" w14:paraId="7F86C88A" w14:textId="45E1A23F">
      <w:pPr>
        <w:pStyle w:val="JuPara"/>
      </w:pPr>
      <w:r w:rsidRPr="00031026">
        <w:fldChar w:fldCharType="begin"/>
      </w:r>
      <w:r w:rsidRPr="00031026">
        <w:instrText xml:space="preserve"> SEQ level0 \*arabic </w:instrText>
      </w:r>
      <w:r w:rsidRPr="00031026">
        <w:fldChar w:fldCharType="separate"/>
      </w:r>
      <w:r w:rsidRPr="00031026">
        <w:rPr>
          <w:noProof/>
        </w:rPr>
        <w:t>32</w:t>
      </w:r>
      <w:r w:rsidRPr="00031026">
        <w:fldChar w:fldCharType="end"/>
      </w:r>
      <w:r w:rsidRPr="00031026">
        <w:t>.  On 11 July 2013 the Baku Court of Appeal dismissed that appeal, finding that the first-instance court’s decision had been justified.</w:t>
      </w:r>
    </w:p>
    <w:p w:rsidRPr="00031026" w:rsidR="00031026" w:rsidP="00031026" w:rsidRDefault="00031026" w14:paraId="70C8579B" w14:textId="11648C3B">
      <w:pPr>
        <w:pStyle w:val="JuPara"/>
        <w:rPr>
          <w:lang w:eastAsia="en-GB"/>
        </w:rPr>
      </w:pPr>
      <w:r w:rsidRPr="00031026">
        <w:rPr>
          <w:lang w:eastAsia="en-GB"/>
        </w:rPr>
        <w:fldChar w:fldCharType="begin"/>
      </w:r>
      <w:r w:rsidRPr="00031026">
        <w:rPr>
          <w:lang w:eastAsia="en-GB"/>
        </w:rPr>
        <w:instrText xml:space="preserve"> SEQ level0 \*arabic </w:instrText>
      </w:r>
      <w:r w:rsidRPr="00031026">
        <w:rPr>
          <w:lang w:eastAsia="en-GB"/>
        </w:rPr>
        <w:fldChar w:fldCharType="separate"/>
      </w:r>
      <w:r w:rsidRPr="00031026">
        <w:rPr>
          <w:noProof/>
          <w:lang w:eastAsia="en-GB"/>
        </w:rPr>
        <w:t>33</w:t>
      </w:r>
      <w:r w:rsidRPr="00031026">
        <w:rPr>
          <w:lang w:eastAsia="en-GB"/>
        </w:rPr>
        <w:fldChar w:fldCharType="end"/>
      </w:r>
      <w:r w:rsidRPr="00031026">
        <w:rPr>
          <w:lang w:eastAsia="en-GB"/>
        </w:rPr>
        <w:t xml:space="preserve">.  On 29 August 2013 the </w:t>
      </w:r>
      <w:proofErr w:type="spellStart"/>
      <w:r w:rsidRPr="00031026">
        <w:rPr>
          <w:lang w:eastAsia="en-GB"/>
        </w:rPr>
        <w:t>Nasimi</w:t>
      </w:r>
      <w:proofErr w:type="spellEnd"/>
      <w:r w:rsidRPr="00031026">
        <w:rPr>
          <w:lang w:eastAsia="en-GB"/>
        </w:rPr>
        <w:t xml:space="preserve"> District Court again extended the second applicant’s detention pending trial for a period of three months. The court relied on the same grounds, namely, the gravity of the charges, the complexity of the case, and the necessity of additional time to carry out further investigative actions.</w:t>
      </w:r>
    </w:p>
    <w:p w:rsidRPr="00031026" w:rsidR="00031026" w:rsidP="00031026" w:rsidRDefault="00031026" w14:paraId="50D5D0B7" w14:textId="70973BC5">
      <w:pPr>
        <w:pStyle w:val="JuPara"/>
        <w:rPr>
          <w:lang w:eastAsia="en-GB"/>
        </w:rPr>
      </w:pPr>
      <w:r w:rsidRPr="00031026">
        <w:rPr>
          <w:lang w:eastAsia="en-GB"/>
        </w:rPr>
        <w:fldChar w:fldCharType="begin"/>
      </w:r>
      <w:r w:rsidRPr="00031026">
        <w:rPr>
          <w:lang w:eastAsia="en-GB"/>
        </w:rPr>
        <w:instrText xml:space="preserve"> SEQ level0 \*arabic </w:instrText>
      </w:r>
      <w:r w:rsidRPr="00031026">
        <w:rPr>
          <w:lang w:eastAsia="en-GB"/>
        </w:rPr>
        <w:fldChar w:fldCharType="separate"/>
      </w:r>
      <w:r w:rsidRPr="00031026">
        <w:rPr>
          <w:noProof/>
          <w:lang w:eastAsia="en-GB"/>
        </w:rPr>
        <w:t>34</w:t>
      </w:r>
      <w:r w:rsidRPr="00031026">
        <w:rPr>
          <w:lang w:eastAsia="en-GB"/>
        </w:rPr>
        <w:fldChar w:fldCharType="end"/>
      </w:r>
      <w:r w:rsidRPr="00031026">
        <w:rPr>
          <w:lang w:eastAsia="en-GB"/>
        </w:rPr>
        <w:t>.  On 2 September 2013 the second applicant appealed against that decision, reiterating his previous complaints.</w:t>
      </w:r>
    </w:p>
    <w:p w:rsidRPr="00031026" w:rsidR="00031026" w:rsidP="00031026" w:rsidRDefault="00031026" w14:paraId="35B4DC9D" w14:textId="7A965848">
      <w:pPr>
        <w:pStyle w:val="JuPara"/>
        <w:rPr>
          <w:lang w:eastAsia="en-GB"/>
        </w:rPr>
      </w:pPr>
      <w:r w:rsidRPr="00031026">
        <w:rPr>
          <w:lang w:eastAsia="en-GB"/>
        </w:rPr>
        <w:fldChar w:fldCharType="begin"/>
      </w:r>
      <w:r w:rsidRPr="00031026">
        <w:rPr>
          <w:lang w:eastAsia="en-GB"/>
        </w:rPr>
        <w:instrText xml:space="preserve"> SEQ level0 \*arabic </w:instrText>
      </w:r>
      <w:r w:rsidRPr="00031026">
        <w:rPr>
          <w:lang w:eastAsia="en-GB"/>
        </w:rPr>
        <w:fldChar w:fldCharType="separate"/>
      </w:r>
      <w:r w:rsidRPr="00031026">
        <w:rPr>
          <w:noProof/>
          <w:lang w:eastAsia="en-GB"/>
        </w:rPr>
        <w:t>35</w:t>
      </w:r>
      <w:r w:rsidRPr="00031026">
        <w:rPr>
          <w:lang w:eastAsia="en-GB"/>
        </w:rPr>
        <w:fldChar w:fldCharType="end"/>
      </w:r>
      <w:r w:rsidRPr="00031026">
        <w:rPr>
          <w:lang w:eastAsia="en-GB"/>
        </w:rPr>
        <w:t xml:space="preserve">.  On 5 September 2013 the Baku Court of Appeal upheld the </w:t>
      </w:r>
      <w:proofErr w:type="spellStart"/>
      <w:r w:rsidRPr="00031026">
        <w:rPr>
          <w:lang w:eastAsia="en-GB"/>
        </w:rPr>
        <w:t>Nasimi</w:t>
      </w:r>
      <w:proofErr w:type="spellEnd"/>
      <w:r w:rsidRPr="00031026">
        <w:rPr>
          <w:lang w:eastAsia="en-GB"/>
        </w:rPr>
        <w:t xml:space="preserve"> District Court’s decision of 29 August 2013, finding it justified. The second applicant was still a minor at that time.</w:t>
      </w:r>
    </w:p>
    <w:p w:rsidRPr="00031026" w:rsidR="00031026" w:rsidP="00031026" w:rsidRDefault="00031026" w14:paraId="76804E98" w14:textId="3B10AD28">
      <w:pPr>
        <w:pStyle w:val="JuPara"/>
      </w:pPr>
      <w:r w:rsidRPr="00031026">
        <w:rPr>
          <w:rFonts w:ascii="Times New Roman" w:hAnsi="Times New Roman" w:eastAsia="SimHei" w:cs="SimHei"/>
        </w:rPr>
        <w:fldChar w:fldCharType="begin"/>
      </w:r>
      <w:r w:rsidRPr="00031026">
        <w:rPr>
          <w:rFonts w:ascii="Times New Roman" w:hAnsi="Times New Roman" w:eastAsia="SimHei" w:cs="SimHei"/>
        </w:rPr>
        <w:instrText xml:space="preserve"> SEQ level0 \*arabic </w:instrText>
      </w:r>
      <w:r w:rsidRPr="00031026">
        <w:rPr>
          <w:rFonts w:ascii="Times New Roman" w:hAnsi="Times New Roman" w:eastAsia="SimHei" w:cs="SimHei"/>
        </w:rPr>
        <w:fldChar w:fldCharType="separate"/>
      </w:r>
      <w:r w:rsidRPr="00031026">
        <w:rPr>
          <w:rFonts w:ascii="Times New Roman" w:hAnsi="Times New Roman" w:eastAsia="SimHei" w:cs="SimHei"/>
          <w:noProof/>
        </w:rPr>
        <w:t>36</w:t>
      </w:r>
      <w:r w:rsidRPr="00031026">
        <w:rPr>
          <w:rFonts w:ascii="Times New Roman" w:hAnsi="Times New Roman" w:eastAsia="SimHei" w:cs="SimHei"/>
        </w:rPr>
        <w:fldChar w:fldCharType="end"/>
      </w:r>
      <w:r w:rsidRPr="00031026">
        <w:rPr>
          <w:rFonts w:ascii="Times New Roman" w:hAnsi="Times New Roman" w:eastAsia="SimHei" w:cs="SimHei"/>
        </w:rPr>
        <w:t>.  No further extension decisions were included in the case file.</w:t>
      </w:r>
    </w:p>
    <w:p w:rsidRPr="00031026" w:rsidR="00031026" w:rsidP="00031026" w:rsidRDefault="00031026" w14:paraId="33541C13" w14:textId="77777777">
      <w:pPr>
        <w:pStyle w:val="JuHIRoman"/>
        <w:tabs>
          <w:tab w:val="clear" w:pos="454"/>
          <w:tab w:val="clear" w:pos="567"/>
          <w:tab w:val="clear" w:pos="680"/>
        </w:tabs>
        <w:ind w:left="357" w:hanging="357"/>
        <w:jc w:val="left"/>
        <w:rPr>
          <w:rFonts w:eastAsia="SimHei"/>
          <w:lang w:eastAsia="fr-FR"/>
        </w:rPr>
      </w:pPr>
      <w:r w:rsidRPr="00031026">
        <w:rPr>
          <w:rFonts w:eastAsia="SimHei"/>
          <w:lang w:eastAsia="fr-FR"/>
        </w:rPr>
        <w:t>Further developments</w:t>
      </w:r>
    </w:p>
    <w:p w:rsidRPr="00031026" w:rsidR="00031026" w:rsidP="00031026" w:rsidRDefault="00031026" w14:paraId="3CC5CC4F" w14:textId="2E904EF5">
      <w:pPr>
        <w:pStyle w:val="JuPara"/>
        <w:rPr>
          <w:lang w:eastAsia="fr-FR"/>
        </w:rPr>
      </w:pPr>
      <w:r w:rsidRPr="00031026">
        <w:fldChar w:fldCharType="begin"/>
      </w:r>
      <w:r w:rsidRPr="00031026">
        <w:instrText xml:space="preserve"> SEQ level0 \*arabic </w:instrText>
      </w:r>
      <w:r w:rsidRPr="00031026">
        <w:fldChar w:fldCharType="separate"/>
      </w:r>
      <w:r w:rsidRPr="00031026">
        <w:rPr>
          <w:noProof/>
        </w:rPr>
        <w:t>37</w:t>
      </w:r>
      <w:r w:rsidRPr="00031026">
        <w:fldChar w:fldCharType="end"/>
      </w:r>
      <w:r w:rsidRPr="00031026">
        <w:t xml:space="preserve">.  In September 2013 </w:t>
      </w:r>
      <w:r w:rsidRPr="00031026">
        <w:rPr>
          <w:lang w:eastAsia="en-GB"/>
        </w:rPr>
        <w:t xml:space="preserve">the first applicant </w:t>
      </w:r>
      <w:r w:rsidRPr="00031026">
        <w:rPr>
          <w:lang w:eastAsia="fr-FR"/>
        </w:rPr>
        <w:t xml:space="preserve">was additionally charged with new criminal offences under Article 28 (preparation of a crime), Article 220.1 (mass disorder) and Article </w:t>
      </w:r>
      <w:r w:rsidRPr="00031026">
        <w:rPr>
          <w:color w:val="000000"/>
        </w:rPr>
        <w:t>228.3 (</w:t>
      </w:r>
      <w:r w:rsidRPr="00031026">
        <w:t>illegal possession of weapons, committed by an organised group)</w:t>
      </w:r>
      <w:r w:rsidRPr="00031026">
        <w:rPr>
          <w:lang w:eastAsia="fr-FR"/>
        </w:rPr>
        <w:t xml:space="preserve"> of the Criminal Code.</w:t>
      </w:r>
    </w:p>
    <w:p w:rsidRPr="00031026" w:rsidR="00031026" w:rsidP="00031026" w:rsidRDefault="00031026" w14:paraId="0B3BD083" w14:textId="4FCF553A">
      <w:pPr>
        <w:pStyle w:val="JuPara"/>
        <w:rPr>
          <w:rFonts w:ascii="Times New Roman" w:hAnsi="Times New Roman" w:eastAsia="SimHei" w:cs="SimHei"/>
          <w:szCs w:val="20"/>
          <w:lang w:eastAsia="fr-FR"/>
        </w:rPr>
      </w:pPr>
      <w:r w:rsidRPr="00031026">
        <w:rPr>
          <w:lang w:eastAsia="fr-FR"/>
        </w:rPr>
        <w:fldChar w:fldCharType="begin"/>
      </w:r>
      <w:r w:rsidRPr="00031026">
        <w:rPr>
          <w:lang w:eastAsia="fr-FR"/>
        </w:rPr>
        <w:instrText xml:space="preserve"> SEQ level0 \*arabic </w:instrText>
      </w:r>
      <w:r w:rsidRPr="00031026">
        <w:rPr>
          <w:lang w:eastAsia="fr-FR"/>
        </w:rPr>
        <w:fldChar w:fldCharType="separate"/>
      </w:r>
      <w:r w:rsidRPr="00031026">
        <w:rPr>
          <w:noProof/>
          <w:lang w:eastAsia="fr-FR"/>
        </w:rPr>
        <w:t>38</w:t>
      </w:r>
      <w:r w:rsidRPr="00031026">
        <w:rPr>
          <w:lang w:eastAsia="fr-FR"/>
        </w:rPr>
        <w:fldChar w:fldCharType="end"/>
      </w:r>
      <w:r w:rsidRPr="00031026">
        <w:rPr>
          <w:lang w:eastAsia="fr-FR"/>
        </w:rPr>
        <w:t>.  Furthermore, it</w:t>
      </w:r>
      <w:r w:rsidRPr="00031026">
        <w:rPr>
          <w:rFonts w:ascii="Times New Roman" w:hAnsi="Times New Roman" w:eastAsia="SimHei" w:cs="SimHei"/>
          <w:szCs w:val="20"/>
          <w:lang w:eastAsia="fr-FR"/>
        </w:rPr>
        <w:t xml:space="preserve"> appears that in September 2013 t</w:t>
      </w:r>
      <w:r w:rsidRPr="00031026">
        <w:rPr>
          <w:rFonts w:ascii="Times New Roman" w:hAnsi="Times New Roman" w:eastAsia="SimHei" w:cs="SimHei"/>
          <w:szCs w:val="20"/>
          <w:lang w:eastAsia="en-GB"/>
        </w:rPr>
        <w:t xml:space="preserve">he second applicant </w:t>
      </w:r>
      <w:r w:rsidRPr="00031026">
        <w:rPr>
          <w:rFonts w:ascii="Times New Roman" w:hAnsi="Times New Roman" w:eastAsia="SimHei" w:cs="SimHei"/>
          <w:szCs w:val="20"/>
          <w:lang w:eastAsia="fr-FR"/>
        </w:rPr>
        <w:t>was additionally charged with new criminal offences under Article 28 (preparation of a crime) and Article 220.1 (mass disorder) of the Criminal Code.</w:t>
      </w:r>
    </w:p>
    <w:p w:rsidRPr="00031026" w:rsidR="00031026" w:rsidP="00031026" w:rsidRDefault="00031026" w14:paraId="10BAF4F4" w14:textId="59656694">
      <w:pPr>
        <w:pStyle w:val="JuPara"/>
        <w:rPr>
          <w:rFonts w:eastAsia="SimHei"/>
          <w:lang w:eastAsia="fr-FR"/>
        </w:rPr>
      </w:pPr>
      <w:r w:rsidRPr="00031026">
        <w:rPr>
          <w:rFonts w:eastAsia="SimHei"/>
          <w:lang w:eastAsia="fr-FR"/>
        </w:rPr>
        <w:fldChar w:fldCharType="begin"/>
      </w:r>
      <w:r w:rsidRPr="00031026">
        <w:rPr>
          <w:rFonts w:eastAsia="SimHei"/>
          <w:lang w:eastAsia="fr-FR"/>
        </w:rPr>
        <w:instrText xml:space="preserve"> SEQ level0 \*arabic </w:instrText>
      </w:r>
      <w:r w:rsidRPr="00031026">
        <w:rPr>
          <w:rFonts w:eastAsia="SimHei"/>
          <w:lang w:eastAsia="fr-FR"/>
        </w:rPr>
        <w:fldChar w:fldCharType="separate"/>
      </w:r>
      <w:r w:rsidRPr="00031026">
        <w:rPr>
          <w:rFonts w:eastAsia="SimHei"/>
          <w:noProof/>
          <w:lang w:eastAsia="fr-FR"/>
        </w:rPr>
        <w:t>39</w:t>
      </w:r>
      <w:r w:rsidRPr="00031026">
        <w:rPr>
          <w:rFonts w:eastAsia="SimHei"/>
          <w:lang w:eastAsia="fr-FR"/>
        </w:rPr>
        <w:fldChar w:fldCharType="end"/>
      </w:r>
      <w:r w:rsidRPr="00031026">
        <w:rPr>
          <w:rFonts w:eastAsia="SimHei"/>
          <w:lang w:eastAsia="fr-FR"/>
        </w:rPr>
        <w:t>.  On 6 May 2014 the Baku Court of Serious Crimes found the applicants guilty on all counts and sentenced the first applicant to seven and a half years’ imprisonment and the second applicant to six years’ imprisonment.</w:t>
      </w:r>
    </w:p>
    <w:p w:rsidRPr="00031026" w:rsidR="00031026" w:rsidP="00031026" w:rsidRDefault="00031026" w14:paraId="6F53F36E" w14:textId="25BC80FD">
      <w:pPr>
        <w:pStyle w:val="JuPara"/>
        <w:rPr>
          <w:rFonts w:eastAsia="SimHei"/>
          <w:lang w:eastAsia="fr-FR"/>
        </w:rPr>
      </w:pPr>
      <w:r w:rsidRPr="00031026">
        <w:rPr>
          <w:rFonts w:eastAsia="SimHei"/>
          <w:lang w:eastAsia="fr-FR"/>
        </w:rPr>
        <w:fldChar w:fldCharType="begin"/>
      </w:r>
      <w:r w:rsidRPr="00031026">
        <w:rPr>
          <w:rFonts w:eastAsia="SimHei"/>
          <w:lang w:eastAsia="fr-FR"/>
        </w:rPr>
        <w:instrText xml:space="preserve"> SEQ level0 \*arabic </w:instrText>
      </w:r>
      <w:r w:rsidRPr="00031026">
        <w:rPr>
          <w:rFonts w:eastAsia="SimHei"/>
          <w:lang w:eastAsia="fr-FR"/>
        </w:rPr>
        <w:fldChar w:fldCharType="separate"/>
      </w:r>
      <w:r w:rsidRPr="00031026">
        <w:rPr>
          <w:rFonts w:eastAsia="SimHei"/>
          <w:noProof/>
          <w:lang w:eastAsia="fr-FR"/>
        </w:rPr>
        <w:t>40</w:t>
      </w:r>
      <w:r w:rsidRPr="00031026">
        <w:rPr>
          <w:rFonts w:eastAsia="SimHei"/>
          <w:lang w:eastAsia="fr-FR"/>
        </w:rPr>
        <w:fldChar w:fldCharType="end"/>
      </w:r>
      <w:r w:rsidRPr="00031026">
        <w:rPr>
          <w:rFonts w:eastAsia="SimHei"/>
          <w:lang w:eastAsia="fr-FR"/>
        </w:rPr>
        <w:t>.  On 16 December 2014 the Baku Court of Appeal upheld that judgment.</w:t>
      </w:r>
    </w:p>
    <w:p w:rsidRPr="00031026" w:rsidR="00031026" w:rsidP="00031026" w:rsidRDefault="00031026" w14:paraId="02AEA50C" w14:textId="4FBEB965">
      <w:pPr>
        <w:pStyle w:val="JuPara"/>
        <w:rPr>
          <w:rFonts w:eastAsia="SimHei"/>
          <w:lang w:eastAsia="fr-FR"/>
        </w:rPr>
      </w:pPr>
      <w:r w:rsidRPr="00031026">
        <w:rPr>
          <w:rFonts w:eastAsia="SimHei"/>
          <w:lang w:eastAsia="fr-FR"/>
        </w:rPr>
        <w:fldChar w:fldCharType="begin"/>
      </w:r>
      <w:r w:rsidRPr="00031026">
        <w:rPr>
          <w:rFonts w:eastAsia="SimHei"/>
          <w:lang w:eastAsia="fr-FR"/>
        </w:rPr>
        <w:instrText xml:space="preserve"> SEQ level0 \*arabic </w:instrText>
      </w:r>
      <w:r w:rsidRPr="00031026">
        <w:rPr>
          <w:rFonts w:eastAsia="SimHei"/>
          <w:lang w:eastAsia="fr-FR"/>
        </w:rPr>
        <w:fldChar w:fldCharType="separate"/>
      </w:r>
      <w:r w:rsidRPr="00031026">
        <w:rPr>
          <w:rFonts w:eastAsia="SimHei"/>
          <w:noProof/>
          <w:lang w:eastAsia="fr-FR"/>
        </w:rPr>
        <w:t>41</w:t>
      </w:r>
      <w:r w:rsidRPr="00031026">
        <w:rPr>
          <w:rFonts w:eastAsia="SimHei"/>
          <w:lang w:eastAsia="fr-FR"/>
        </w:rPr>
        <w:fldChar w:fldCharType="end"/>
      </w:r>
      <w:r w:rsidRPr="00031026">
        <w:rPr>
          <w:rFonts w:eastAsia="SimHei"/>
          <w:lang w:eastAsia="fr-FR"/>
        </w:rPr>
        <w:t xml:space="preserve">.  On 2 June and </w:t>
      </w:r>
      <w:proofErr w:type="gramStart"/>
      <w:r w:rsidRPr="00031026">
        <w:rPr>
          <w:rFonts w:eastAsia="SimHei"/>
          <w:lang w:eastAsia="fr-FR"/>
        </w:rPr>
        <w:t>15 October 2015</w:t>
      </w:r>
      <w:proofErr w:type="gramEnd"/>
      <w:r w:rsidRPr="00031026">
        <w:rPr>
          <w:rFonts w:eastAsia="SimHei"/>
          <w:lang w:eastAsia="fr-FR"/>
        </w:rPr>
        <w:t xml:space="preserve"> the Supreme Court upheld the appellate court’s judgment in respect of the second and first applicants respectively.</w:t>
      </w:r>
    </w:p>
    <w:p w:rsidRPr="00031026" w:rsidR="00031026" w:rsidP="00031026" w:rsidRDefault="00031026" w14:paraId="00FE67FF" w14:textId="4FDCFD6D">
      <w:pPr>
        <w:pStyle w:val="JuPara"/>
        <w:rPr>
          <w:rFonts w:eastAsia="SimHei"/>
          <w:color w:val="000000"/>
          <w:lang w:eastAsia="fr-FR"/>
        </w:rPr>
      </w:pPr>
      <w:r w:rsidRPr="00031026">
        <w:rPr>
          <w:rFonts w:eastAsia="SimHei"/>
          <w:color w:val="000000"/>
          <w:lang w:eastAsia="fr-FR"/>
        </w:rPr>
        <w:fldChar w:fldCharType="begin"/>
      </w:r>
      <w:r w:rsidRPr="00031026">
        <w:rPr>
          <w:rFonts w:eastAsia="SimHei"/>
          <w:color w:val="000000"/>
          <w:lang w:eastAsia="fr-FR"/>
        </w:rPr>
        <w:instrText xml:space="preserve"> SEQ level0 \*arabic </w:instrText>
      </w:r>
      <w:r w:rsidRPr="00031026">
        <w:rPr>
          <w:rFonts w:eastAsia="SimHei"/>
          <w:color w:val="000000"/>
          <w:lang w:eastAsia="fr-FR"/>
        </w:rPr>
        <w:fldChar w:fldCharType="separate"/>
      </w:r>
      <w:r w:rsidRPr="00031026">
        <w:rPr>
          <w:rFonts w:eastAsia="SimHei"/>
          <w:noProof/>
          <w:color w:val="000000"/>
          <w:lang w:eastAsia="fr-FR"/>
        </w:rPr>
        <w:t>42</w:t>
      </w:r>
      <w:r w:rsidRPr="00031026">
        <w:rPr>
          <w:rFonts w:eastAsia="SimHei"/>
          <w:color w:val="000000"/>
          <w:lang w:eastAsia="fr-FR"/>
        </w:rPr>
        <w:fldChar w:fldCharType="end"/>
      </w:r>
      <w:r w:rsidRPr="00031026">
        <w:rPr>
          <w:rFonts w:eastAsia="SimHei"/>
          <w:color w:val="000000"/>
          <w:lang w:eastAsia="fr-FR"/>
        </w:rPr>
        <w:t>.  On 17 October 2014 the second applicant and on 17 March 2016 the first applicant were released from serving the remainder of their sentence after being pardoned by presidential decrees.</w:t>
      </w:r>
    </w:p>
    <w:p w:rsidRPr="00031026" w:rsidR="00031026" w:rsidP="00031026" w:rsidRDefault="00031026" w14:paraId="3AE862AD" w14:textId="4C513D7E">
      <w:pPr>
        <w:pStyle w:val="JuPara"/>
        <w:rPr>
          <w:rFonts w:eastAsia="SimHei"/>
          <w:color w:val="000000"/>
          <w:lang w:eastAsia="fr-FR"/>
        </w:rPr>
      </w:pPr>
      <w:r w:rsidRPr="00031026">
        <w:fldChar w:fldCharType="begin"/>
      </w:r>
      <w:r w:rsidRPr="00031026">
        <w:instrText xml:space="preserve"> SEQ level0 \*arabic </w:instrText>
      </w:r>
      <w:r w:rsidRPr="00031026">
        <w:fldChar w:fldCharType="separate"/>
      </w:r>
      <w:r w:rsidRPr="00031026">
        <w:rPr>
          <w:noProof/>
        </w:rPr>
        <w:t>43</w:t>
      </w:r>
      <w:r w:rsidRPr="00031026">
        <w:fldChar w:fldCharType="end"/>
      </w:r>
      <w:r w:rsidRPr="00031026">
        <w:t>.  Two separate applications (nos. 57334/15 and 22334/16) concerning the fairness of the criminal proceedings against the applicants, in which various complaints under Articles 6, 10, 11 and 18 of the Convention were raised, are pending before the Court.</w:t>
      </w:r>
    </w:p>
    <w:p w:rsidRPr="00031026" w:rsidR="00031026" w:rsidP="00031026" w:rsidRDefault="00031026" w14:paraId="001E6ACD" w14:textId="77777777">
      <w:pPr>
        <w:pStyle w:val="JuHHead"/>
      </w:pPr>
      <w:r w:rsidRPr="00031026">
        <w:t>RELEVANT LEGAL FRAMEWORK</w:t>
      </w:r>
    </w:p>
    <w:p w:rsidRPr="00031026" w:rsidR="00031026" w:rsidP="00031026" w:rsidRDefault="00031026" w14:paraId="29F3E6AF" w14:textId="77777777">
      <w:pPr>
        <w:pStyle w:val="JuHIRoman"/>
        <w:tabs>
          <w:tab w:val="clear" w:pos="454"/>
          <w:tab w:val="clear" w:pos="567"/>
          <w:tab w:val="clear" w:pos="680"/>
        </w:tabs>
        <w:ind w:left="357" w:hanging="357"/>
      </w:pPr>
      <w:r w:rsidRPr="00031026">
        <w:t>Relevant domestic law and practice</w:t>
      </w:r>
    </w:p>
    <w:p w:rsidRPr="00031026" w:rsidR="00031026" w:rsidP="00031026" w:rsidRDefault="00031026" w14:paraId="0CE58180" w14:textId="0FC2AC2A">
      <w:pPr>
        <w:pStyle w:val="JuPara"/>
        <w:rPr>
          <w:rFonts w:ascii="Times New Roman" w:hAnsi="Times New Roman" w:eastAsia="SimHei" w:cs="SimHei"/>
          <w:snapToGrid w:val="0"/>
        </w:rPr>
      </w:pPr>
      <w:r w:rsidRPr="00031026">
        <w:fldChar w:fldCharType="begin"/>
      </w:r>
      <w:r w:rsidRPr="00031026">
        <w:instrText xml:space="preserve"> SEQ level0 \*arabic </w:instrText>
      </w:r>
      <w:r w:rsidRPr="00031026">
        <w:fldChar w:fldCharType="separate"/>
      </w:r>
      <w:r w:rsidRPr="00031026">
        <w:rPr>
          <w:noProof/>
        </w:rPr>
        <w:t>44</w:t>
      </w:r>
      <w:r w:rsidRPr="00031026">
        <w:fldChar w:fldCharType="end"/>
      </w:r>
      <w:r w:rsidRPr="00031026">
        <w:t>.  </w:t>
      </w:r>
      <w:r w:rsidRPr="00031026">
        <w:rPr>
          <w:rFonts w:ascii="Times New Roman" w:hAnsi="Times New Roman" w:eastAsia="SimHei" w:cs="SimHei"/>
          <w:color w:val="000000"/>
          <w:lang w:eastAsia="en-GB"/>
        </w:rPr>
        <w:t xml:space="preserve">The relevant provisions of the Code of Criminal Procedure (“the </w:t>
      </w:r>
      <w:proofErr w:type="spellStart"/>
      <w:r w:rsidRPr="00031026">
        <w:rPr>
          <w:rFonts w:ascii="Times New Roman" w:hAnsi="Times New Roman" w:eastAsia="SimHei" w:cs="SimHei"/>
          <w:color w:val="000000"/>
          <w:lang w:eastAsia="en-GB"/>
        </w:rPr>
        <w:t>CCrP</w:t>
      </w:r>
      <w:proofErr w:type="spellEnd"/>
      <w:r w:rsidRPr="00031026">
        <w:rPr>
          <w:rFonts w:ascii="Times New Roman" w:hAnsi="Times New Roman" w:eastAsia="SimHei" w:cs="SimHei"/>
          <w:color w:val="000000"/>
          <w:lang w:eastAsia="en-GB"/>
        </w:rPr>
        <w:t>”) concerning pre-trial detention are described in detail in the Court’s judgments in</w:t>
      </w:r>
      <w:r w:rsidRPr="00031026">
        <w:rPr>
          <w:rFonts w:ascii="Times New Roman" w:hAnsi="Times New Roman" w:eastAsia="SimHei" w:cs="SimHei"/>
          <w:i/>
        </w:rPr>
        <w:t xml:space="preserve"> </w:t>
      </w:r>
      <w:proofErr w:type="spellStart"/>
      <w:r w:rsidRPr="00031026">
        <w:rPr>
          <w:rFonts w:ascii="Times New Roman" w:hAnsi="Times New Roman" w:eastAsia="SimHei" w:cs="SimHei"/>
          <w:i/>
        </w:rPr>
        <w:t>Farhad</w:t>
      </w:r>
      <w:proofErr w:type="spellEnd"/>
      <w:r w:rsidRPr="00031026">
        <w:rPr>
          <w:rFonts w:ascii="Times New Roman" w:hAnsi="Times New Roman" w:eastAsia="SimHei" w:cs="SimHei"/>
          <w:i/>
        </w:rPr>
        <w:t xml:space="preserve"> Aliyev v. Azerbaijan</w:t>
      </w:r>
      <w:r w:rsidRPr="00031026">
        <w:rPr>
          <w:rFonts w:ascii="Times New Roman" w:hAnsi="Times New Roman" w:eastAsia="SimHei" w:cs="SimHei"/>
        </w:rPr>
        <w:t xml:space="preserve"> (no. 37138/06</w:t>
      </w:r>
      <w:r w:rsidRPr="00031026">
        <w:rPr>
          <w:rFonts w:ascii="Times New Roman" w:hAnsi="Times New Roman" w:eastAsia="SimHei" w:cs="SimHei"/>
          <w:snapToGrid w:val="0"/>
        </w:rPr>
        <w:t>, §§ 83-102, 9 November 2010) and</w:t>
      </w:r>
      <w:r w:rsidRPr="00031026">
        <w:rPr>
          <w:rFonts w:ascii="Times New Roman" w:hAnsi="Times New Roman" w:eastAsia="SimHei" w:cs="SimHei"/>
        </w:rPr>
        <w:t xml:space="preserve"> </w:t>
      </w:r>
      <w:proofErr w:type="spellStart"/>
      <w:r w:rsidRPr="00031026">
        <w:rPr>
          <w:rFonts w:ascii="Times New Roman" w:hAnsi="Times New Roman" w:eastAsia="SimHei" w:cs="SimHei"/>
          <w:i/>
        </w:rPr>
        <w:t>Muradverdiyev</w:t>
      </w:r>
      <w:proofErr w:type="spellEnd"/>
      <w:r w:rsidRPr="00031026">
        <w:rPr>
          <w:rFonts w:ascii="Times New Roman" w:hAnsi="Times New Roman" w:eastAsia="SimHei" w:cs="SimHei"/>
          <w:i/>
        </w:rPr>
        <w:t xml:space="preserve"> v. Azerbaijan</w:t>
      </w:r>
      <w:r w:rsidRPr="00031026">
        <w:rPr>
          <w:rFonts w:ascii="Times New Roman" w:hAnsi="Times New Roman" w:eastAsia="SimHei" w:cs="SimHei"/>
        </w:rPr>
        <w:t xml:space="preserve"> (no. 16966/06</w:t>
      </w:r>
      <w:r w:rsidRPr="00031026">
        <w:rPr>
          <w:rFonts w:ascii="Times New Roman" w:hAnsi="Times New Roman" w:eastAsia="SimHei" w:cs="SimHei"/>
          <w:snapToGrid w:val="0"/>
        </w:rPr>
        <w:t>, §§ 35</w:t>
      </w:r>
      <w:r w:rsidRPr="00031026">
        <w:rPr>
          <w:rFonts w:ascii="Times New Roman" w:hAnsi="Times New Roman" w:eastAsia="SimHei" w:cs="SimHei"/>
          <w:snapToGrid w:val="0"/>
        </w:rPr>
        <w:noBreakHyphen/>
        <w:t>49, 9 December 2010).</w:t>
      </w:r>
    </w:p>
    <w:p w:rsidRPr="00031026" w:rsidR="00031026" w:rsidP="00031026" w:rsidRDefault="00031026" w14:paraId="5BA5B6A8" w14:textId="5A1224FB">
      <w:pPr>
        <w:pStyle w:val="JuPara"/>
      </w:pPr>
      <w:r w:rsidRPr="00031026">
        <w:fldChar w:fldCharType="begin"/>
      </w:r>
      <w:r w:rsidRPr="00031026">
        <w:instrText xml:space="preserve"> SEQ level0 \*arabic </w:instrText>
      </w:r>
      <w:r w:rsidRPr="00031026">
        <w:fldChar w:fldCharType="separate"/>
      </w:r>
      <w:r w:rsidRPr="00031026">
        <w:rPr>
          <w:noProof/>
        </w:rPr>
        <w:t>45</w:t>
      </w:r>
      <w:r w:rsidRPr="00031026">
        <w:fldChar w:fldCharType="end"/>
      </w:r>
      <w:r w:rsidRPr="00031026">
        <w:t xml:space="preserve">.  Under Article 428.2 of the </w:t>
      </w:r>
      <w:proofErr w:type="spellStart"/>
      <w:r w:rsidRPr="00031026">
        <w:t>CCrP</w:t>
      </w:r>
      <w:proofErr w:type="spellEnd"/>
      <w:r w:rsidRPr="00031026">
        <w:t xml:space="preserve">, a minor is, for the purposes the criminal proceedings, a person who was below the age of eighteen years at the time of the commission of the crime in question. Remanding a suspect or accused minor in custody is allowed only when it was related to the commission of a “violent less serious crime”, a “serious crime” or a “particularly serious crime” (Article 434.1 of the </w:t>
      </w:r>
      <w:proofErr w:type="spellStart"/>
      <w:r w:rsidRPr="00031026">
        <w:t>CCrP</w:t>
      </w:r>
      <w:proofErr w:type="spellEnd"/>
      <w:r w:rsidRPr="00031026">
        <w:t xml:space="preserve">). Remanding a minor is allowed as an exceptional measure and for as short </w:t>
      </w:r>
      <w:proofErr w:type="gramStart"/>
      <w:r w:rsidRPr="00031026">
        <w:t>a period of time</w:t>
      </w:r>
      <w:proofErr w:type="gramEnd"/>
      <w:r w:rsidRPr="00031026">
        <w:t xml:space="preserve"> as possible (</w:t>
      </w:r>
      <w:proofErr w:type="spellStart"/>
      <w:r w:rsidRPr="00031026">
        <w:rPr>
          <w:i/>
        </w:rPr>
        <w:t>müstəsna</w:t>
      </w:r>
      <w:proofErr w:type="spellEnd"/>
      <w:r w:rsidRPr="00031026">
        <w:rPr>
          <w:i/>
        </w:rPr>
        <w:t xml:space="preserve"> </w:t>
      </w:r>
      <w:proofErr w:type="spellStart"/>
      <w:r w:rsidRPr="00031026">
        <w:rPr>
          <w:i/>
        </w:rPr>
        <w:t>tədbir</w:t>
      </w:r>
      <w:proofErr w:type="spellEnd"/>
      <w:r w:rsidRPr="00031026">
        <w:rPr>
          <w:i/>
        </w:rPr>
        <w:t xml:space="preserve"> </w:t>
      </w:r>
      <w:proofErr w:type="spellStart"/>
      <w:r w:rsidRPr="00031026">
        <w:rPr>
          <w:i/>
        </w:rPr>
        <w:t>kimi</w:t>
      </w:r>
      <w:proofErr w:type="spellEnd"/>
      <w:r w:rsidRPr="00031026">
        <w:rPr>
          <w:i/>
        </w:rPr>
        <w:t xml:space="preserve"> </w:t>
      </w:r>
      <w:proofErr w:type="spellStart"/>
      <w:r w:rsidRPr="00031026">
        <w:rPr>
          <w:i/>
        </w:rPr>
        <w:t>və</w:t>
      </w:r>
      <w:proofErr w:type="spellEnd"/>
      <w:r w:rsidRPr="00031026">
        <w:rPr>
          <w:i/>
        </w:rPr>
        <w:t xml:space="preserve"> </w:t>
      </w:r>
      <w:proofErr w:type="spellStart"/>
      <w:r w:rsidRPr="00031026">
        <w:rPr>
          <w:i/>
        </w:rPr>
        <w:t>mümkün</w:t>
      </w:r>
      <w:proofErr w:type="spellEnd"/>
      <w:r w:rsidRPr="00031026">
        <w:rPr>
          <w:i/>
        </w:rPr>
        <w:t xml:space="preserve"> </w:t>
      </w:r>
      <w:proofErr w:type="spellStart"/>
      <w:r w:rsidRPr="00031026">
        <w:rPr>
          <w:i/>
        </w:rPr>
        <w:t>qədər</w:t>
      </w:r>
      <w:proofErr w:type="spellEnd"/>
      <w:r w:rsidRPr="00031026">
        <w:rPr>
          <w:i/>
        </w:rPr>
        <w:t xml:space="preserve"> </w:t>
      </w:r>
      <w:proofErr w:type="spellStart"/>
      <w:r w:rsidRPr="00031026">
        <w:rPr>
          <w:i/>
        </w:rPr>
        <w:t>qısa</w:t>
      </w:r>
      <w:proofErr w:type="spellEnd"/>
      <w:r w:rsidRPr="00031026">
        <w:rPr>
          <w:i/>
        </w:rPr>
        <w:t xml:space="preserve"> </w:t>
      </w:r>
      <w:proofErr w:type="spellStart"/>
      <w:r w:rsidRPr="00031026">
        <w:rPr>
          <w:i/>
        </w:rPr>
        <w:t>müddət</w:t>
      </w:r>
      <w:proofErr w:type="spellEnd"/>
      <w:r w:rsidRPr="00031026">
        <w:rPr>
          <w:i/>
        </w:rPr>
        <w:t xml:space="preserve"> </w:t>
      </w:r>
      <w:proofErr w:type="spellStart"/>
      <w:r w:rsidRPr="00031026">
        <w:rPr>
          <w:i/>
        </w:rPr>
        <w:t>ərzində</w:t>
      </w:r>
      <w:proofErr w:type="spellEnd"/>
      <w:r w:rsidRPr="00031026">
        <w:t xml:space="preserve">) (Article 434.2 of the </w:t>
      </w:r>
      <w:proofErr w:type="spellStart"/>
      <w:r w:rsidRPr="00031026">
        <w:t>CCrP</w:t>
      </w:r>
      <w:proofErr w:type="spellEnd"/>
      <w:r w:rsidRPr="00031026">
        <w:t>).</w:t>
      </w:r>
    </w:p>
    <w:p w:rsidRPr="00031026" w:rsidR="00031026" w:rsidP="00031026" w:rsidRDefault="00031026" w14:paraId="7F5D3CD8" w14:textId="3227B27C">
      <w:pPr>
        <w:pStyle w:val="JuPara"/>
      </w:pPr>
      <w:r w:rsidRPr="00031026">
        <w:rPr>
          <w:rFonts w:ascii="Times New Roman" w:hAnsi="Times New Roman" w:eastAsia="SimHei" w:cs="SimHei"/>
          <w:snapToGrid w:val="0"/>
        </w:rPr>
        <w:fldChar w:fldCharType="begin"/>
      </w:r>
      <w:r w:rsidRPr="00031026">
        <w:rPr>
          <w:rFonts w:ascii="Times New Roman" w:hAnsi="Times New Roman" w:eastAsia="SimHei" w:cs="SimHei"/>
          <w:snapToGrid w:val="0"/>
        </w:rPr>
        <w:instrText xml:space="preserve"> SEQ level0 \*arabic </w:instrText>
      </w:r>
      <w:r w:rsidRPr="00031026">
        <w:rPr>
          <w:rFonts w:ascii="Times New Roman" w:hAnsi="Times New Roman" w:eastAsia="SimHei" w:cs="SimHei"/>
          <w:snapToGrid w:val="0"/>
        </w:rPr>
        <w:fldChar w:fldCharType="separate"/>
      </w:r>
      <w:r w:rsidRPr="00031026">
        <w:rPr>
          <w:rFonts w:ascii="Times New Roman" w:hAnsi="Times New Roman" w:eastAsia="SimHei" w:cs="SimHei"/>
          <w:noProof/>
          <w:snapToGrid w:val="0"/>
        </w:rPr>
        <w:t>46</w:t>
      </w:r>
      <w:r w:rsidRPr="00031026">
        <w:rPr>
          <w:rFonts w:ascii="Times New Roman" w:hAnsi="Times New Roman" w:eastAsia="SimHei" w:cs="SimHei"/>
          <w:snapToGrid w:val="0"/>
        </w:rPr>
        <w:fldChar w:fldCharType="end"/>
      </w:r>
      <w:r w:rsidRPr="00031026">
        <w:rPr>
          <w:rFonts w:ascii="Times New Roman" w:hAnsi="Times New Roman" w:eastAsia="SimHei" w:cs="SimHei"/>
          <w:snapToGrid w:val="0"/>
        </w:rPr>
        <w:t xml:space="preserve">.  The relevant decisions of the Plenum of the Supreme Court concerning </w:t>
      </w:r>
      <w:r w:rsidRPr="00031026">
        <w:rPr>
          <w:rFonts w:ascii="Times New Roman" w:hAnsi="Times New Roman" w:eastAsia="SimHei" w:cs="SimHei"/>
          <w:color w:val="000000"/>
          <w:lang w:eastAsia="en-GB"/>
        </w:rPr>
        <w:t xml:space="preserve">pre-trial detention are described in detail in the Court’s judgment in </w:t>
      </w:r>
      <w:proofErr w:type="spellStart"/>
      <w:r w:rsidRPr="00031026">
        <w:rPr>
          <w:rFonts w:ascii="Times New Roman" w:hAnsi="Times New Roman" w:eastAsia="SimHei" w:cs="SimHei"/>
          <w:i/>
        </w:rPr>
        <w:t>Allahverdiyev</w:t>
      </w:r>
      <w:proofErr w:type="spellEnd"/>
      <w:r w:rsidRPr="00031026">
        <w:rPr>
          <w:rFonts w:ascii="Times New Roman" w:hAnsi="Times New Roman" w:eastAsia="SimHei" w:cs="SimHei"/>
          <w:i/>
        </w:rPr>
        <w:t xml:space="preserve"> v. Azerbaijan</w:t>
      </w:r>
      <w:r w:rsidRPr="00031026">
        <w:rPr>
          <w:rFonts w:ascii="Times New Roman" w:hAnsi="Times New Roman" w:eastAsia="SimHei" w:cs="SimHei"/>
        </w:rPr>
        <w:t xml:space="preserve"> (no. 49192/08</w:t>
      </w:r>
      <w:r w:rsidRPr="00031026">
        <w:rPr>
          <w:rFonts w:ascii="Times New Roman" w:hAnsi="Times New Roman" w:eastAsia="SimHei" w:cs="SimHei"/>
          <w:snapToGrid w:val="0"/>
        </w:rPr>
        <w:t>, §§ 31</w:t>
      </w:r>
      <w:r w:rsidRPr="00031026">
        <w:rPr>
          <w:rFonts w:ascii="Times New Roman" w:hAnsi="Times New Roman" w:eastAsia="SimHei" w:cs="SimHei"/>
          <w:snapToGrid w:val="0"/>
        </w:rPr>
        <w:noBreakHyphen/>
        <w:t>32, 6 March 2014)</w:t>
      </w:r>
      <w:r w:rsidRPr="00031026">
        <w:t>.</w:t>
      </w:r>
    </w:p>
    <w:p w:rsidRPr="00031026" w:rsidR="00031026" w:rsidP="00031026" w:rsidRDefault="00031026" w14:paraId="36F4274D" w14:textId="77777777">
      <w:pPr>
        <w:pStyle w:val="JuHIRoman"/>
        <w:tabs>
          <w:tab w:val="clear" w:pos="454"/>
          <w:tab w:val="clear" w:pos="567"/>
          <w:tab w:val="clear" w:pos="680"/>
        </w:tabs>
        <w:ind w:left="357" w:hanging="357"/>
        <w:jc w:val="left"/>
      </w:pPr>
      <w:r w:rsidRPr="00031026">
        <w:t>Relevant international material</w:t>
      </w:r>
    </w:p>
    <w:p w:rsidRPr="00031026" w:rsidR="00031026" w:rsidP="00031026" w:rsidRDefault="00031026" w14:paraId="4F948020" w14:textId="1A9CEF81">
      <w:pPr>
        <w:pStyle w:val="JuPara"/>
      </w:pPr>
      <w:r w:rsidRPr="00031026">
        <w:rPr>
          <w:rFonts w:ascii="Times New Roman" w:hAnsi="Times New Roman" w:eastAsia="SimHei" w:cs="SimHei"/>
        </w:rPr>
        <w:fldChar w:fldCharType="begin"/>
      </w:r>
      <w:r w:rsidRPr="00031026">
        <w:rPr>
          <w:rFonts w:ascii="Times New Roman" w:hAnsi="Times New Roman" w:eastAsia="SimHei" w:cs="SimHei"/>
        </w:rPr>
        <w:instrText xml:space="preserve"> SEQ level0 \*arabic </w:instrText>
      </w:r>
      <w:r w:rsidRPr="00031026">
        <w:rPr>
          <w:rFonts w:ascii="Times New Roman" w:hAnsi="Times New Roman" w:eastAsia="SimHei" w:cs="SimHei"/>
        </w:rPr>
        <w:fldChar w:fldCharType="separate"/>
      </w:r>
      <w:r w:rsidRPr="00031026">
        <w:rPr>
          <w:rFonts w:ascii="Times New Roman" w:hAnsi="Times New Roman" w:eastAsia="SimHei" w:cs="SimHei"/>
          <w:noProof/>
        </w:rPr>
        <w:t>47</w:t>
      </w:r>
      <w:r w:rsidRPr="00031026">
        <w:rPr>
          <w:rFonts w:ascii="Times New Roman" w:hAnsi="Times New Roman" w:eastAsia="SimHei" w:cs="SimHei"/>
        </w:rPr>
        <w:fldChar w:fldCharType="end"/>
      </w:r>
      <w:r w:rsidRPr="00031026">
        <w:rPr>
          <w:rFonts w:ascii="Times New Roman" w:hAnsi="Times New Roman" w:eastAsia="SimHei" w:cs="SimHei"/>
        </w:rPr>
        <w:t>.  </w:t>
      </w:r>
      <w:proofErr w:type="gramStart"/>
      <w:r w:rsidRPr="00031026">
        <w:rPr>
          <w:rFonts w:ascii="Times New Roman" w:hAnsi="Times New Roman" w:eastAsia="SimHei" w:cs="SimHei"/>
        </w:rPr>
        <w:t>A number of</w:t>
      </w:r>
      <w:proofErr w:type="gramEnd"/>
      <w:r w:rsidRPr="00031026">
        <w:rPr>
          <w:rFonts w:ascii="Times New Roman" w:hAnsi="Times New Roman" w:eastAsia="SimHei" w:cs="SimHei"/>
        </w:rPr>
        <w:t xml:space="preserve"> relevant international documents are </w:t>
      </w:r>
      <w:r w:rsidRPr="00031026">
        <w:rPr>
          <w:rFonts w:ascii="Times New Roman" w:hAnsi="Times New Roman" w:eastAsia="SimHei" w:cs="SimHei"/>
          <w:color w:val="000000"/>
          <w:lang w:eastAsia="en-GB"/>
        </w:rPr>
        <w:t xml:space="preserve">described in detail in the Court’s judgment in </w:t>
      </w:r>
      <w:r w:rsidRPr="00031026">
        <w:rPr>
          <w:i/>
          <w:iCs/>
        </w:rPr>
        <w:t xml:space="preserve">Rashad Hasanov and Others </w:t>
      </w:r>
      <w:r w:rsidRPr="00031026">
        <w:rPr>
          <w:iCs/>
        </w:rPr>
        <w:t>(cited above</w:t>
      </w:r>
      <w:r w:rsidRPr="00031026">
        <w:rPr>
          <w:lang w:eastAsia="en-GB"/>
        </w:rPr>
        <w:t xml:space="preserve">, </w:t>
      </w:r>
      <w:r w:rsidRPr="00031026">
        <w:t>§§ 79</w:t>
      </w:r>
      <w:r w:rsidRPr="00031026">
        <w:noBreakHyphen/>
        <w:t>81).</w:t>
      </w:r>
    </w:p>
    <w:p w:rsidRPr="00031026" w:rsidR="00031026" w:rsidP="00031026" w:rsidRDefault="00031026" w14:paraId="0F042C96" w14:textId="78FAFF3B">
      <w:pPr>
        <w:pStyle w:val="JuPara"/>
      </w:pPr>
      <w:r w:rsidRPr="00031026">
        <w:fldChar w:fldCharType="begin"/>
      </w:r>
      <w:r w:rsidRPr="00031026">
        <w:instrText xml:space="preserve"> SEQ level0 \*arabic </w:instrText>
      </w:r>
      <w:r w:rsidRPr="00031026">
        <w:fldChar w:fldCharType="separate"/>
      </w:r>
      <w:r w:rsidRPr="00031026">
        <w:rPr>
          <w:noProof/>
        </w:rPr>
        <w:t>48</w:t>
      </w:r>
      <w:r w:rsidRPr="00031026">
        <w:fldChar w:fldCharType="end"/>
      </w:r>
      <w:r w:rsidRPr="00031026">
        <w:t xml:space="preserve">.  The United Nations Convention on the Rights of the Child, adopted by the General Assembly of the </w:t>
      </w:r>
      <w:bookmarkStart w:name="HIT35" w:id="2"/>
      <w:bookmarkEnd w:id="2"/>
      <w:r w:rsidRPr="00031026">
        <w:t>United Nations on 20 November 1989 and ratified by Azerbaijan on 13 August 1992, in so far as relevant, reads as follows:</w:t>
      </w:r>
    </w:p>
    <w:p w:rsidRPr="00031026" w:rsidR="00031026" w:rsidP="00031026" w:rsidRDefault="00031026" w14:paraId="2E2F2B9E" w14:textId="77777777">
      <w:pPr>
        <w:pStyle w:val="JuHArticle"/>
      </w:pPr>
      <w:r w:rsidRPr="00031026">
        <w:t>Article 1</w:t>
      </w:r>
    </w:p>
    <w:p w:rsidRPr="00031026" w:rsidR="00031026" w:rsidP="00031026" w:rsidRDefault="00031026" w14:paraId="62A91DEB" w14:textId="77777777">
      <w:pPr>
        <w:pStyle w:val="JuQuot"/>
      </w:pPr>
      <w:r w:rsidRPr="00031026">
        <w:t>“For the purposes of the present Convention, a child means every human being below the age of eighteen years unless under the law applicable to the child, majority is attained earlier.</w:t>
      </w:r>
    </w:p>
    <w:p w:rsidRPr="00031026" w:rsidR="00031026" w:rsidP="00031026" w:rsidRDefault="00031026" w14:paraId="0CEDB231" w14:textId="77777777">
      <w:pPr>
        <w:pStyle w:val="JuQuot"/>
      </w:pPr>
      <w:r w:rsidRPr="00031026">
        <w:t>...”</w:t>
      </w:r>
    </w:p>
    <w:p w:rsidRPr="00031026" w:rsidR="00031026" w:rsidP="00031026" w:rsidRDefault="00031026" w14:paraId="15D9B1E8" w14:textId="77777777">
      <w:pPr>
        <w:pStyle w:val="JuHArticle"/>
      </w:pPr>
      <w:r w:rsidRPr="00031026">
        <w:t>Article 37</w:t>
      </w:r>
    </w:p>
    <w:p w:rsidRPr="00031026" w:rsidR="00031026" w:rsidP="00031026" w:rsidRDefault="00031026" w14:paraId="5B8ADC48" w14:textId="77777777">
      <w:pPr>
        <w:pStyle w:val="JuQuot"/>
        <w:rPr>
          <w:rFonts w:eastAsia="Times New Roman"/>
          <w:lang w:eastAsia="en-GB"/>
        </w:rPr>
      </w:pPr>
      <w:r w:rsidRPr="00031026">
        <w:rPr>
          <w:rFonts w:eastAsia="Times New Roman"/>
          <w:lang w:eastAsia="en-GB"/>
        </w:rPr>
        <w:t>“States Parties shall ensure that:</w:t>
      </w:r>
    </w:p>
    <w:p w:rsidRPr="00031026" w:rsidR="00031026" w:rsidP="00031026" w:rsidRDefault="00031026" w14:paraId="7931AF89" w14:textId="77777777">
      <w:pPr>
        <w:pStyle w:val="JuQuot"/>
        <w:rPr>
          <w:rFonts w:eastAsia="Times New Roman"/>
          <w:lang w:eastAsia="en-GB"/>
        </w:rPr>
      </w:pPr>
      <w:r w:rsidRPr="00031026">
        <w:rPr>
          <w:rFonts w:eastAsia="Times New Roman"/>
          <w:lang w:eastAsia="en-GB"/>
        </w:rPr>
        <w:t>...</w:t>
      </w:r>
    </w:p>
    <w:p w:rsidRPr="00031026" w:rsidR="00031026" w:rsidP="00031026" w:rsidRDefault="00031026" w14:paraId="022824DE" w14:textId="77777777">
      <w:pPr>
        <w:pStyle w:val="JuQuot"/>
        <w:rPr>
          <w:rFonts w:eastAsia="Times New Roman"/>
          <w:lang w:eastAsia="en-GB"/>
        </w:rPr>
      </w:pPr>
      <w:r w:rsidRPr="00031026">
        <w:rPr>
          <w:rFonts w:eastAsia="Times New Roman"/>
          <w:lang w:eastAsia="en-GB"/>
        </w:rPr>
        <w:t xml:space="preserve">(b)  No child shall be deprived of his or her liberty unlawfully or arbitrarily. The arrest, detention or imprisonment of a child shall be in conformity with the law and shall be used only as a measure of last resort and for the shortest appropriate </w:t>
      </w:r>
      <w:proofErr w:type="gramStart"/>
      <w:r w:rsidRPr="00031026">
        <w:rPr>
          <w:rFonts w:eastAsia="Times New Roman"/>
          <w:lang w:eastAsia="en-GB"/>
        </w:rPr>
        <w:t>period of time</w:t>
      </w:r>
      <w:proofErr w:type="gramEnd"/>
      <w:r w:rsidRPr="00031026">
        <w:rPr>
          <w:rFonts w:eastAsia="Times New Roman"/>
          <w:lang w:eastAsia="en-GB"/>
        </w:rPr>
        <w:t>; ...;”</w:t>
      </w:r>
    </w:p>
    <w:p w:rsidRPr="00031026" w:rsidR="00031026" w:rsidP="00031026" w:rsidRDefault="00031026" w14:paraId="591B0322" w14:textId="4DA23BB8">
      <w:pPr>
        <w:pStyle w:val="JuPara"/>
      </w:pPr>
      <w:r w:rsidRPr="00031026">
        <w:fldChar w:fldCharType="begin"/>
      </w:r>
      <w:r w:rsidRPr="00031026">
        <w:instrText xml:space="preserve"> SEQ level0 \*arabic </w:instrText>
      </w:r>
      <w:r w:rsidRPr="00031026">
        <w:fldChar w:fldCharType="separate"/>
      </w:r>
      <w:r w:rsidRPr="00031026">
        <w:rPr>
          <w:noProof/>
        </w:rPr>
        <w:t>49</w:t>
      </w:r>
      <w:r w:rsidRPr="00031026">
        <w:fldChar w:fldCharType="end"/>
      </w:r>
      <w:r w:rsidRPr="00031026">
        <w:t>.  The part of General Comment No. 24 (CRC/C/GC/24) of the United Nations Committee on the Rights of the Child concerning children’s rights in the child justice system, dated 18 September 2019, reads:</w:t>
      </w:r>
    </w:p>
    <w:p w:rsidRPr="00031026" w:rsidR="00031026" w:rsidP="00031026" w:rsidRDefault="00031026" w14:paraId="7C5408D1" w14:textId="77777777">
      <w:pPr>
        <w:pStyle w:val="JuQuot"/>
        <w:rPr>
          <w:rFonts w:eastAsia="Times New Roman"/>
        </w:rPr>
      </w:pPr>
      <w:r w:rsidRPr="00031026">
        <w:t>“</w:t>
      </w:r>
      <w:r w:rsidRPr="00031026">
        <w:rPr>
          <w:rFonts w:eastAsia="Times New Roman"/>
        </w:rPr>
        <w:t xml:space="preserve">85.  The leading principles for the use of deprivation of liberty are: (a) the arrest, detention or imprisonment of a child is to be used only in conformity with the law, only as a measure of last resort and for the shortest appropriate </w:t>
      </w:r>
      <w:proofErr w:type="gramStart"/>
      <w:r w:rsidRPr="00031026">
        <w:rPr>
          <w:rFonts w:eastAsia="Times New Roman"/>
        </w:rPr>
        <w:t>period of time</w:t>
      </w:r>
      <w:proofErr w:type="gramEnd"/>
      <w:r w:rsidRPr="00031026">
        <w:rPr>
          <w:rFonts w:eastAsia="Times New Roman"/>
        </w:rPr>
        <w:t xml:space="preserve">; and (b) no child is to be deprived of his or her liberty unlawfully or arbitrarily. Arrest is often the starting point of pre-trial detention, and States should ensure that the law places clear obligations on law-enforcement officers to apply article 37 in the context of arrest. States should further ensure that children are not held in transportation or in police cells, except as a measure of last resort and for the shortest </w:t>
      </w:r>
      <w:proofErr w:type="gramStart"/>
      <w:r w:rsidRPr="00031026">
        <w:rPr>
          <w:rFonts w:eastAsia="Times New Roman"/>
        </w:rPr>
        <w:t>period of time</w:t>
      </w:r>
      <w:proofErr w:type="gramEnd"/>
      <w:r w:rsidRPr="00031026">
        <w:rPr>
          <w:rFonts w:eastAsia="Times New Roman"/>
        </w:rPr>
        <w:t>, and that they are not held with adults, except where that is in their best interests. Mechanisms for swift release to parents or appropriate adults should be prioritized.</w:t>
      </w:r>
    </w:p>
    <w:p w:rsidRPr="00031026" w:rsidR="00031026" w:rsidP="00031026" w:rsidRDefault="00031026" w14:paraId="3EE3261F" w14:textId="77777777">
      <w:pPr>
        <w:pStyle w:val="JuQuot"/>
        <w:rPr>
          <w:rFonts w:eastAsia="Times New Roman"/>
        </w:rPr>
      </w:pPr>
      <w:r w:rsidRPr="00031026">
        <w:rPr>
          <w:rFonts w:eastAsia="Times New Roman"/>
        </w:rPr>
        <w:t xml:space="preserve">86.  The Committee notes with concern that, in many countries, children languish in pre-trial detention for months or even years, which constitutes a grave violation of article 37 (b) of the Convention. Pre-trial detention should not be used except in the most serious cases, and even </w:t>
      </w:r>
      <w:proofErr w:type="gramStart"/>
      <w:r w:rsidRPr="00031026">
        <w:rPr>
          <w:rFonts w:eastAsia="Times New Roman"/>
        </w:rPr>
        <w:t>then</w:t>
      </w:r>
      <w:proofErr w:type="gramEnd"/>
      <w:r w:rsidRPr="00031026">
        <w:rPr>
          <w:rFonts w:eastAsia="Times New Roman"/>
        </w:rPr>
        <w:t xml:space="preserve"> only after community placement has been carefully considered. Diversion at the pre-trial stage reduces the use of detention, but even where the child is to be tried in the child justice system, non-custodial measures should be carefully targeted to restrict the use of pre-trial detention.</w:t>
      </w:r>
    </w:p>
    <w:p w:rsidRPr="00031026" w:rsidR="00031026" w:rsidP="00031026" w:rsidRDefault="00031026" w14:paraId="2B3A5831" w14:textId="77777777">
      <w:pPr>
        <w:pStyle w:val="JuQuot"/>
        <w:rPr>
          <w:rFonts w:eastAsia="Times New Roman"/>
        </w:rPr>
      </w:pPr>
      <w:r w:rsidRPr="00031026">
        <w:rPr>
          <w:rFonts w:eastAsia="Times New Roman"/>
        </w:rPr>
        <w:t>87.  The law should clearly state the criteria for the use of pre-trial detention, which should be primarily for ensuring appearance at the court proceedings and if the child poses an immediate danger to others. If the child is considered a danger (to himself or herself or others) child protection measures should be applied. Pre-trial detention should be subject to regular review and its duration limited by law.</w:t>
      </w:r>
      <w:r w:rsidRPr="00031026" w:rsidDel="00971DF9">
        <w:rPr>
          <w:rFonts w:eastAsia="Times New Roman"/>
        </w:rPr>
        <w:t xml:space="preserve"> </w:t>
      </w:r>
      <w:r w:rsidRPr="00031026">
        <w:rPr>
          <w:rFonts w:eastAsia="Times New Roman"/>
        </w:rPr>
        <w:t>All actors in the child justice system should prioritize cases of children in pre-trial detention.</w:t>
      </w:r>
    </w:p>
    <w:p w:rsidRPr="00031026" w:rsidR="00031026" w:rsidP="00031026" w:rsidRDefault="00031026" w14:paraId="78561CF9" w14:textId="77777777">
      <w:pPr>
        <w:pStyle w:val="JuQuot"/>
        <w:rPr>
          <w:rFonts w:cs="Times New Roman"/>
        </w:rPr>
      </w:pPr>
      <w:r w:rsidRPr="00031026">
        <w:rPr>
          <w:rFonts w:eastAsia="Times New Roman"/>
        </w:rPr>
        <w:t xml:space="preserve">88.  In application of the principle that deprivation of liberty should be imposed for the shortest appropriate </w:t>
      </w:r>
      <w:proofErr w:type="gramStart"/>
      <w:r w:rsidRPr="00031026">
        <w:rPr>
          <w:rFonts w:eastAsia="Times New Roman"/>
        </w:rPr>
        <w:t>period of time</w:t>
      </w:r>
      <w:proofErr w:type="gramEnd"/>
      <w:r w:rsidRPr="00031026">
        <w:rPr>
          <w:rFonts w:eastAsia="Times New Roman"/>
        </w:rPr>
        <w:t>, States parties should provide regular opportunities to permit early release from custody, including police custody, into the care of parents or other appropriate adults. There should be discretion to release with or without conditions, such as reporting to an authorized person or place.</w:t>
      </w:r>
      <w:r w:rsidRPr="00031026" w:rsidDel="004845A2">
        <w:rPr>
          <w:rFonts w:eastAsia="Times New Roman"/>
        </w:rPr>
        <w:t xml:space="preserve"> </w:t>
      </w:r>
      <w:r w:rsidRPr="00031026">
        <w:rPr>
          <w:rFonts w:eastAsia="Times New Roman"/>
        </w:rPr>
        <w:t>The payment of monetary bail should not be a requirement, as most children cannot pay and because it discriminates against poor and marginalized families. Furthermore, where bail is set it means that there is a recognition in principle by the court that the child should be released, and other mechanisms can be used to secure attendance.”</w:t>
      </w:r>
    </w:p>
    <w:p w:rsidRPr="00031026" w:rsidR="00031026" w:rsidP="00031026" w:rsidRDefault="00031026" w14:paraId="1AA2801C" w14:textId="328E38B1">
      <w:pPr>
        <w:pStyle w:val="JuPara"/>
        <w:rPr>
          <w:rFonts w:eastAsia="Times New Roman" w:cs="Times New Roman"/>
          <w:lang w:eastAsia="en-GB"/>
        </w:rPr>
      </w:pPr>
      <w:r w:rsidRPr="00031026">
        <w:rPr>
          <w:rFonts w:eastAsia="SimHei"/>
        </w:rPr>
        <w:fldChar w:fldCharType="begin"/>
      </w:r>
      <w:r w:rsidRPr="00031026">
        <w:rPr>
          <w:rFonts w:eastAsia="SimHei"/>
        </w:rPr>
        <w:instrText xml:space="preserve"> SEQ level0 \*arabic </w:instrText>
      </w:r>
      <w:r w:rsidRPr="00031026">
        <w:rPr>
          <w:rFonts w:eastAsia="SimHei"/>
        </w:rPr>
        <w:fldChar w:fldCharType="separate"/>
      </w:r>
      <w:r w:rsidRPr="00031026">
        <w:rPr>
          <w:rFonts w:eastAsia="SimHei"/>
          <w:noProof/>
        </w:rPr>
        <w:t>50</w:t>
      </w:r>
      <w:r w:rsidRPr="00031026">
        <w:rPr>
          <w:rFonts w:eastAsia="SimHei"/>
        </w:rPr>
        <w:fldChar w:fldCharType="end"/>
      </w:r>
      <w:r w:rsidRPr="00031026">
        <w:rPr>
          <w:rFonts w:eastAsia="SimHei"/>
        </w:rPr>
        <w:t xml:space="preserve">.  In January and </w:t>
      </w:r>
      <w:proofErr w:type="gramStart"/>
      <w:r w:rsidRPr="00031026">
        <w:rPr>
          <w:rFonts w:eastAsia="SimHei"/>
        </w:rPr>
        <w:t>February 2012</w:t>
      </w:r>
      <w:proofErr w:type="gramEnd"/>
      <w:r w:rsidRPr="00031026">
        <w:rPr>
          <w:rFonts w:eastAsia="SimHei"/>
        </w:rPr>
        <w:t xml:space="preserve"> </w:t>
      </w:r>
      <w:r w:rsidRPr="00031026">
        <w:rPr>
          <w:rFonts w:cs="Times New Roman"/>
        </w:rPr>
        <w:t>the United Nations Committee on the Rights of the Child</w:t>
      </w:r>
      <w:r w:rsidRPr="00031026">
        <w:rPr>
          <w:rFonts w:eastAsia="SimHei"/>
        </w:rPr>
        <w:t xml:space="preserve"> considered the combined third and fourth periodic report of Azerbaijan and adopted the concluding observations </w:t>
      </w:r>
      <w:r w:rsidRPr="00031026">
        <w:rPr>
          <w:rFonts w:cs="Times New Roman"/>
        </w:rPr>
        <w:t>(</w:t>
      </w:r>
      <w:r w:rsidRPr="00031026">
        <w:rPr>
          <w:rFonts w:eastAsia="Times New Roman" w:cs="Times New Roman"/>
          <w:lang w:eastAsia="en-GB"/>
        </w:rPr>
        <w:t>CRC/C/AZE/CO/3</w:t>
      </w:r>
      <w:r w:rsidRPr="00031026">
        <w:rPr>
          <w:rFonts w:eastAsia="Times New Roman" w:cs="Times New Roman"/>
          <w:lang w:eastAsia="en-GB"/>
        </w:rPr>
        <w:noBreakHyphen/>
        <w:t>4</w:t>
      </w:r>
      <w:r w:rsidRPr="00031026">
        <w:rPr>
          <w:rFonts w:cs="Times New Roman"/>
        </w:rPr>
        <w:t>)</w:t>
      </w:r>
      <w:r w:rsidRPr="00031026">
        <w:rPr>
          <w:rFonts w:eastAsia="SimHei"/>
        </w:rPr>
        <w:t xml:space="preserve"> dated 12 March 2012. The relevant part of these concluding observations </w:t>
      </w:r>
      <w:r w:rsidRPr="00031026">
        <w:rPr>
          <w:rFonts w:cs="Times New Roman"/>
        </w:rPr>
        <w:t>states as follows:</w:t>
      </w:r>
    </w:p>
    <w:p w:rsidRPr="00031026" w:rsidR="00031026" w:rsidP="00031026" w:rsidRDefault="00031026" w14:paraId="67196B31" w14:textId="77777777">
      <w:pPr>
        <w:pStyle w:val="JuQuot"/>
      </w:pPr>
      <w:r w:rsidRPr="00031026">
        <w:t>“Administration of juvenile justice</w:t>
      </w:r>
    </w:p>
    <w:p w:rsidRPr="00031026" w:rsidR="00031026" w:rsidP="00031026" w:rsidRDefault="00031026" w14:paraId="55321968" w14:textId="5896FEDD">
      <w:pPr>
        <w:pStyle w:val="JuQuot"/>
        <w:rPr>
          <w:lang w:eastAsia="en-GB"/>
        </w:rPr>
      </w:pPr>
      <w:r w:rsidRPr="00031026">
        <w:t>75.  While noting that the State party has undertaken the provision of some training programmes on juvenile justice for law-enforcement professionals and has initiated attempts to enact legislation on juvenile justice, the Committee remains deeply concerned at the lack of significant improvement regarding the State party’s juvenile justice system, despite the Committee’s recommendations in 1997 (</w:t>
      </w:r>
      <w:r w:rsidRPr="00031026">
        <w:rPr>
          <w:lang w:eastAsia="en-GB"/>
        </w:rPr>
        <w:t xml:space="preserve">CRC/C/15/Add.77, paras. 28 and 49) </w:t>
      </w:r>
      <w:r w:rsidRPr="00031026">
        <w:t>and 2006 (</w:t>
      </w:r>
      <w:r w:rsidRPr="00031026">
        <w:rPr>
          <w:lang w:eastAsia="en-GB"/>
        </w:rPr>
        <w:t>CRC/C/AZE/CO/2, para. 67). It remains particularly concerned that:</w:t>
      </w:r>
    </w:p>
    <w:p w:rsidRPr="00031026" w:rsidR="00031026" w:rsidP="00031026" w:rsidRDefault="00031026" w14:paraId="7E05861E" w14:textId="77777777">
      <w:pPr>
        <w:pStyle w:val="JuQuot"/>
        <w:rPr>
          <w:rFonts w:ascii="Times New Roman" w:hAnsi="Times New Roman" w:eastAsia="Times New Roman" w:cs="Times New Roman"/>
          <w:szCs w:val="20"/>
          <w:lang w:eastAsia="en-GB"/>
        </w:rPr>
      </w:pPr>
      <w:r w:rsidRPr="00031026">
        <w:rPr>
          <w:rFonts w:ascii="Times New Roman" w:hAnsi="Times New Roman" w:eastAsia="Times New Roman" w:cs="Times New Roman"/>
          <w:szCs w:val="20"/>
          <w:lang w:eastAsia="en-GB"/>
        </w:rPr>
        <w:t xml:space="preserve">(a)  The State party has not adopted legislation on juvenile justice that addresses the situation of children in conflict with the law in accordance with the provisions of the </w:t>
      </w:r>
      <w:proofErr w:type="gramStart"/>
      <w:r w:rsidRPr="00031026">
        <w:rPr>
          <w:rFonts w:ascii="Times New Roman" w:hAnsi="Times New Roman" w:eastAsia="Times New Roman" w:cs="Times New Roman"/>
          <w:szCs w:val="20"/>
          <w:lang w:eastAsia="en-GB"/>
        </w:rPr>
        <w:t>Convention;</w:t>
      </w:r>
      <w:proofErr w:type="gramEnd"/>
    </w:p>
    <w:p w:rsidRPr="00031026" w:rsidR="00031026" w:rsidP="00031026" w:rsidRDefault="00031026" w14:paraId="34F716D9" w14:textId="77777777">
      <w:pPr>
        <w:pStyle w:val="JuQuot"/>
        <w:rPr>
          <w:rFonts w:ascii="Times New Roman" w:hAnsi="Times New Roman" w:eastAsia="Times New Roman" w:cs="Times New Roman"/>
          <w:szCs w:val="20"/>
          <w:lang w:eastAsia="en-GB"/>
        </w:rPr>
      </w:pPr>
      <w:r w:rsidRPr="00031026">
        <w:rPr>
          <w:rFonts w:ascii="Times New Roman" w:hAnsi="Times New Roman" w:eastAsia="Times New Roman" w:cs="Times New Roman"/>
          <w:szCs w:val="20"/>
          <w:lang w:eastAsia="en-GB"/>
        </w:rPr>
        <w:t xml:space="preserve">(b)  There are no law-enforcement personnel specialised in child-related investigations and in interrogation of children in conflict with the </w:t>
      </w:r>
      <w:proofErr w:type="gramStart"/>
      <w:r w:rsidRPr="00031026">
        <w:rPr>
          <w:rFonts w:ascii="Times New Roman" w:hAnsi="Times New Roman" w:eastAsia="Times New Roman" w:cs="Times New Roman"/>
          <w:szCs w:val="20"/>
          <w:lang w:eastAsia="en-GB"/>
        </w:rPr>
        <w:t>law;</w:t>
      </w:r>
      <w:proofErr w:type="gramEnd"/>
    </w:p>
    <w:p w:rsidRPr="00031026" w:rsidR="00031026" w:rsidP="00031026" w:rsidRDefault="00031026" w14:paraId="063456AE" w14:textId="77777777">
      <w:pPr>
        <w:pStyle w:val="JuQuot"/>
        <w:rPr>
          <w:rFonts w:ascii="Times New Roman" w:hAnsi="Times New Roman" w:eastAsia="Times New Roman" w:cs="Times New Roman"/>
          <w:szCs w:val="20"/>
          <w:lang w:eastAsia="en-GB"/>
        </w:rPr>
      </w:pPr>
      <w:r w:rsidRPr="00031026">
        <w:rPr>
          <w:rFonts w:ascii="Times New Roman" w:hAnsi="Times New Roman" w:eastAsia="Times New Roman" w:cs="Times New Roman"/>
          <w:szCs w:val="20"/>
          <w:lang w:eastAsia="en-GB"/>
        </w:rPr>
        <w:t xml:space="preserve">(c)  There are offences for which persons under the age of 18 are tried as </w:t>
      </w:r>
      <w:proofErr w:type="gramStart"/>
      <w:r w:rsidRPr="00031026">
        <w:rPr>
          <w:rFonts w:ascii="Times New Roman" w:hAnsi="Times New Roman" w:eastAsia="Times New Roman" w:cs="Times New Roman"/>
          <w:szCs w:val="20"/>
          <w:lang w:eastAsia="en-GB"/>
        </w:rPr>
        <w:t>adults;</w:t>
      </w:r>
      <w:proofErr w:type="gramEnd"/>
    </w:p>
    <w:p w:rsidRPr="00031026" w:rsidR="00031026" w:rsidP="00031026" w:rsidRDefault="00031026" w14:paraId="20EE0E81" w14:textId="77777777">
      <w:pPr>
        <w:pStyle w:val="JuQuot"/>
        <w:rPr>
          <w:rFonts w:ascii="Times New Roman" w:hAnsi="Times New Roman" w:eastAsia="Times New Roman" w:cs="Times New Roman"/>
          <w:szCs w:val="20"/>
          <w:lang w:eastAsia="en-GB"/>
        </w:rPr>
      </w:pPr>
      <w:r w:rsidRPr="00031026">
        <w:rPr>
          <w:rFonts w:ascii="Times New Roman" w:hAnsi="Times New Roman" w:eastAsia="Times New Roman" w:cs="Times New Roman"/>
          <w:szCs w:val="20"/>
          <w:lang w:eastAsia="en-GB"/>
        </w:rPr>
        <w:t xml:space="preserve">(d)  Persons under the age of 18 are often held in pre-trial detention for long periods and are not always detained separately from adults, particularly in the case of female </w:t>
      </w:r>
      <w:proofErr w:type="gramStart"/>
      <w:r w:rsidRPr="00031026">
        <w:rPr>
          <w:rFonts w:ascii="Times New Roman" w:hAnsi="Times New Roman" w:eastAsia="Times New Roman" w:cs="Times New Roman"/>
          <w:szCs w:val="20"/>
          <w:lang w:eastAsia="en-GB"/>
        </w:rPr>
        <w:t>detainees;</w:t>
      </w:r>
      <w:proofErr w:type="gramEnd"/>
    </w:p>
    <w:p w:rsidRPr="00031026" w:rsidR="00031026" w:rsidP="00031026" w:rsidRDefault="00031026" w14:paraId="67AF34AA" w14:textId="77777777">
      <w:pPr>
        <w:pStyle w:val="JuQuot"/>
        <w:rPr>
          <w:rFonts w:ascii="Times New Roman" w:hAnsi="Times New Roman" w:eastAsia="Times New Roman" w:cs="Times New Roman"/>
          <w:szCs w:val="20"/>
          <w:lang w:eastAsia="en-GB"/>
        </w:rPr>
      </w:pPr>
      <w:r w:rsidRPr="00031026">
        <w:rPr>
          <w:rFonts w:ascii="Times New Roman" w:hAnsi="Times New Roman" w:eastAsia="Times New Roman" w:cs="Times New Roman"/>
          <w:szCs w:val="20"/>
          <w:lang w:eastAsia="en-GB"/>
        </w:rPr>
        <w:t xml:space="preserve">(e)  Alternatives to the deprivation of liberty are not sufficiently considered and applied, and persons under the age of 18 can be sentenced to detention for a period of up to 10 </w:t>
      </w:r>
      <w:proofErr w:type="gramStart"/>
      <w:r w:rsidRPr="00031026">
        <w:rPr>
          <w:rFonts w:ascii="Times New Roman" w:hAnsi="Times New Roman" w:eastAsia="Times New Roman" w:cs="Times New Roman"/>
          <w:szCs w:val="20"/>
          <w:lang w:eastAsia="en-GB"/>
        </w:rPr>
        <w:t>years;</w:t>
      </w:r>
      <w:proofErr w:type="gramEnd"/>
    </w:p>
    <w:p w:rsidRPr="00031026" w:rsidR="00031026" w:rsidP="00031026" w:rsidRDefault="00031026" w14:paraId="47845ABD" w14:textId="77777777">
      <w:pPr>
        <w:pStyle w:val="JuQuot"/>
        <w:rPr>
          <w:rFonts w:ascii="Times New Roman" w:hAnsi="Times New Roman" w:eastAsia="Times New Roman" w:cs="Times New Roman"/>
          <w:szCs w:val="20"/>
          <w:lang w:eastAsia="en-GB"/>
        </w:rPr>
      </w:pPr>
      <w:r w:rsidRPr="00031026">
        <w:rPr>
          <w:rFonts w:ascii="Times New Roman" w:hAnsi="Times New Roman" w:eastAsia="Times New Roman" w:cs="Times New Roman"/>
          <w:szCs w:val="20"/>
          <w:lang w:eastAsia="en-GB"/>
        </w:rPr>
        <w:t xml:space="preserve">(f)  The conditions of detention are often poor and inadequate, and overcrowding is frequently a serious </w:t>
      </w:r>
      <w:proofErr w:type="gramStart"/>
      <w:r w:rsidRPr="00031026">
        <w:rPr>
          <w:rFonts w:ascii="Times New Roman" w:hAnsi="Times New Roman" w:eastAsia="Times New Roman" w:cs="Times New Roman"/>
          <w:szCs w:val="20"/>
          <w:lang w:eastAsia="en-GB"/>
        </w:rPr>
        <w:t>problem;</w:t>
      </w:r>
      <w:proofErr w:type="gramEnd"/>
    </w:p>
    <w:p w:rsidRPr="00031026" w:rsidR="00031026" w:rsidP="00031026" w:rsidRDefault="00031026" w14:paraId="3B99DD9A" w14:textId="77777777">
      <w:pPr>
        <w:pStyle w:val="JuQuot"/>
        <w:rPr>
          <w:rFonts w:ascii="Times New Roman" w:hAnsi="Times New Roman" w:eastAsia="Times New Roman" w:cs="Times New Roman"/>
          <w:szCs w:val="20"/>
          <w:lang w:eastAsia="en-GB"/>
        </w:rPr>
      </w:pPr>
      <w:r w:rsidRPr="00031026">
        <w:rPr>
          <w:rFonts w:ascii="Times New Roman" w:hAnsi="Times New Roman" w:eastAsia="Times New Roman" w:cs="Times New Roman"/>
          <w:szCs w:val="20"/>
          <w:lang w:eastAsia="en-GB"/>
        </w:rPr>
        <w:t xml:space="preserve">(g)  Recovery, </w:t>
      </w:r>
      <w:proofErr w:type="gramStart"/>
      <w:r w:rsidRPr="00031026">
        <w:rPr>
          <w:rFonts w:ascii="Times New Roman" w:hAnsi="Times New Roman" w:eastAsia="Times New Roman" w:cs="Times New Roman"/>
          <w:szCs w:val="20"/>
          <w:lang w:eastAsia="en-GB"/>
        </w:rPr>
        <w:t>assistance</w:t>
      </w:r>
      <w:proofErr w:type="gramEnd"/>
      <w:r w:rsidRPr="00031026">
        <w:rPr>
          <w:rFonts w:ascii="Times New Roman" w:hAnsi="Times New Roman" w:eastAsia="Times New Roman" w:cs="Times New Roman"/>
          <w:szCs w:val="20"/>
          <w:lang w:eastAsia="en-GB"/>
        </w:rPr>
        <w:t xml:space="preserve"> and reintegration services for persons under the age of 18 in conflict with the law are insufficient.</w:t>
      </w:r>
    </w:p>
    <w:p w:rsidRPr="00031026" w:rsidR="00031026" w:rsidP="00031026" w:rsidRDefault="00031026" w14:paraId="18D727BA" w14:textId="77777777">
      <w:pPr>
        <w:pStyle w:val="JuQuot"/>
        <w:rPr>
          <w:rFonts w:eastAsia="Times New Roman"/>
          <w:lang w:eastAsia="en-GB"/>
        </w:rPr>
      </w:pPr>
      <w:r w:rsidRPr="00031026">
        <w:rPr>
          <w:rFonts w:eastAsia="Times New Roman"/>
        </w:rPr>
        <w:t xml:space="preserve">76.  The Committee reiterates its previous recommendations and urges the State party to </w:t>
      </w:r>
      <w:r w:rsidRPr="00031026">
        <w:rPr>
          <w:rFonts w:eastAsia="Times New Roman"/>
          <w:lang w:eastAsia="en-GB"/>
        </w:rPr>
        <w:t>bring the system of juvenile justice fully into line with the Convention, in particular articles 37, 40 and 39; with other United Nations standards in the field of juvenile justice, including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Guidelines for Action on Children in the Criminal Justice System; and with the recommendations of the Committee made at its day of general discussion on juvenile justice (CRC/C/46, paras. 203-238). In this regard, the Committee recommends that the State party:</w:t>
      </w:r>
    </w:p>
    <w:p w:rsidRPr="00031026" w:rsidR="00031026" w:rsidP="00031026" w:rsidRDefault="00031026" w14:paraId="111BC8B0" w14:textId="77777777">
      <w:pPr>
        <w:pStyle w:val="JuQuot"/>
        <w:rPr>
          <w:rFonts w:eastAsia="Times New Roman"/>
          <w:lang w:eastAsia="en-GB"/>
        </w:rPr>
      </w:pPr>
      <w:r w:rsidRPr="00031026">
        <w:rPr>
          <w:rFonts w:eastAsia="Times New Roman"/>
          <w:lang w:eastAsia="en-GB"/>
        </w:rPr>
        <w:t>...</w:t>
      </w:r>
    </w:p>
    <w:p w:rsidRPr="00031026" w:rsidR="00031026" w:rsidP="00031026" w:rsidRDefault="00031026" w14:paraId="71EED1AA" w14:textId="77777777">
      <w:pPr>
        <w:pStyle w:val="JuQuot"/>
        <w:rPr>
          <w:rFonts w:eastAsia="Times New Roman"/>
          <w:lang w:eastAsia="en-GB"/>
        </w:rPr>
      </w:pPr>
      <w:r w:rsidRPr="00031026">
        <w:rPr>
          <w:rFonts w:eastAsia="Times New Roman"/>
          <w:lang w:eastAsia="en-GB"/>
        </w:rPr>
        <w:t>(c)  </w:t>
      </w:r>
      <w:r w:rsidRPr="00031026">
        <w:rPr>
          <w:rFonts w:eastAsia="Times New Roman"/>
          <w:bCs/>
          <w:lang w:eastAsia="en-GB"/>
        </w:rPr>
        <w:t>Take all necessary measures to ensure that persons under the age of 18 are deprived of liberty only as a last resort and for the shortest appropriate period of time, in</w:t>
      </w:r>
      <w:r w:rsidRPr="00031026">
        <w:rPr>
          <w:rFonts w:eastAsia="Times New Roman"/>
          <w:lang w:eastAsia="en-GB"/>
        </w:rPr>
        <w:t xml:space="preserve"> </w:t>
      </w:r>
      <w:r w:rsidRPr="00031026">
        <w:rPr>
          <w:rFonts w:eastAsia="Times New Roman"/>
          <w:bCs/>
          <w:lang w:eastAsia="en-GB"/>
        </w:rPr>
        <w:t xml:space="preserve">particular by developing and implementing alternatives to custodial sentences, including the establishment of diversion centres and/or legal clinics for children in conflict with the </w:t>
      </w:r>
      <w:proofErr w:type="gramStart"/>
      <w:r w:rsidRPr="00031026">
        <w:rPr>
          <w:rFonts w:eastAsia="Times New Roman"/>
          <w:bCs/>
          <w:lang w:eastAsia="en-GB"/>
        </w:rPr>
        <w:t>law;</w:t>
      </w:r>
      <w:proofErr w:type="gramEnd"/>
    </w:p>
    <w:p w:rsidRPr="00031026" w:rsidR="00031026" w:rsidP="00031026" w:rsidRDefault="00031026" w14:paraId="71EE5CC4" w14:textId="77777777">
      <w:pPr>
        <w:pStyle w:val="JuQuot"/>
      </w:pPr>
      <w:r w:rsidRPr="00031026">
        <w:t>...”</w:t>
      </w:r>
    </w:p>
    <w:p w:rsidRPr="00031026" w:rsidR="00031026" w:rsidP="00031026" w:rsidRDefault="00031026" w14:paraId="6069CEB3" w14:textId="77777777">
      <w:pPr>
        <w:pStyle w:val="JuHHead"/>
        <w:numPr>
          <w:ilvl w:val="0"/>
          <w:numId w:val="1"/>
        </w:numPr>
      </w:pPr>
      <w:r w:rsidRPr="00031026">
        <w:t>THE LAW</w:t>
      </w:r>
    </w:p>
    <w:p w:rsidRPr="00031026" w:rsidR="00031026" w:rsidP="00031026" w:rsidRDefault="00031026" w14:paraId="562BA0D6" w14:textId="77777777">
      <w:pPr>
        <w:pStyle w:val="JuHIRoman"/>
        <w:numPr>
          <w:ilvl w:val="1"/>
          <w:numId w:val="1"/>
        </w:numPr>
        <w:tabs>
          <w:tab w:val="clear" w:pos="454"/>
          <w:tab w:val="clear" w:pos="567"/>
          <w:tab w:val="clear" w:pos="680"/>
        </w:tabs>
      </w:pPr>
      <w:r w:rsidRPr="00031026">
        <w:t>JOINDER OF THE APPLICATIONS</w:t>
      </w:r>
    </w:p>
    <w:p w:rsidRPr="00031026" w:rsidR="00031026" w:rsidP="00031026" w:rsidRDefault="00031026" w14:paraId="62C61C97" w14:textId="10AA4482">
      <w:pPr>
        <w:pStyle w:val="JuPara"/>
      </w:pPr>
      <w:r w:rsidRPr="00031026">
        <w:fldChar w:fldCharType="begin"/>
      </w:r>
      <w:r w:rsidRPr="00031026">
        <w:instrText xml:space="preserve"> SEQ level0 \*arabic </w:instrText>
      </w:r>
      <w:r w:rsidRPr="00031026">
        <w:fldChar w:fldCharType="separate"/>
      </w:r>
      <w:r w:rsidRPr="00031026">
        <w:rPr>
          <w:noProof/>
        </w:rPr>
        <w:t>51</w:t>
      </w:r>
      <w:r w:rsidRPr="00031026">
        <w:fldChar w:fldCharType="end"/>
      </w:r>
      <w:r w:rsidRPr="00031026">
        <w:t>.  Having regard to the similar subject matter of the applications, the Court finds it appropriate to examine them jointly in a single judgment, pursuant to Rule 42 § 1 of the Rules of Court.</w:t>
      </w:r>
    </w:p>
    <w:p w:rsidRPr="00031026" w:rsidR="00031026" w:rsidP="00031026" w:rsidRDefault="00031026" w14:paraId="6543A771" w14:textId="77777777">
      <w:pPr>
        <w:pStyle w:val="JuHIRoman"/>
        <w:numPr>
          <w:ilvl w:val="1"/>
          <w:numId w:val="1"/>
        </w:numPr>
        <w:tabs>
          <w:tab w:val="clear" w:pos="454"/>
          <w:tab w:val="clear" w:pos="567"/>
          <w:tab w:val="clear" w:pos="680"/>
        </w:tabs>
      </w:pPr>
      <w:r w:rsidRPr="00031026">
        <w:t>ALLEGED VIOLATION OF ARTICLE 5 § 3 OF THE CONVENTION</w:t>
      </w:r>
    </w:p>
    <w:p w:rsidRPr="00031026" w:rsidR="00031026" w:rsidP="00031026" w:rsidRDefault="00031026" w14:paraId="6F7B8B0A" w14:textId="1E99F128">
      <w:pPr>
        <w:pStyle w:val="JuPara"/>
        <w:rPr>
          <w:rFonts w:ascii="Times New Roman" w:hAnsi="Times New Roman" w:eastAsia="SimHei" w:cs="SimHei"/>
          <w:szCs w:val="20"/>
          <w:lang w:eastAsia="fr-FR"/>
        </w:rPr>
      </w:pPr>
      <w:r w:rsidRPr="00031026">
        <w:fldChar w:fldCharType="begin"/>
      </w:r>
      <w:r w:rsidRPr="00031026">
        <w:instrText xml:space="preserve"> SEQ level0 \*arabic </w:instrText>
      </w:r>
      <w:r w:rsidRPr="00031026">
        <w:fldChar w:fldCharType="separate"/>
      </w:r>
      <w:r w:rsidRPr="00031026">
        <w:rPr>
          <w:noProof/>
        </w:rPr>
        <w:t>52</w:t>
      </w:r>
      <w:r w:rsidRPr="00031026">
        <w:fldChar w:fldCharType="end"/>
      </w:r>
      <w:r w:rsidRPr="00031026">
        <w:t>.  </w:t>
      </w:r>
      <w:r w:rsidRPr="00031026">
        <w:rPr>
          <w:rFonts w:ascii="Times New Roman" w:hAnsi="Times New Roman" w:eastAsia="SimHei" w:cs="SimHei"/>
        </w:rPr>
        <w:t xml:space="preserve">Relying on Article 5 </w:t>
      </w:r>
      <w:r w:rsidRPr="00031026">
        <w:rPr>
          <w:rFonts w:ascii="Times New Roman" w:hAnsi="Times New Roman" w:eastAsia="SimHei" w:cs="Times New Roman"/>
        </w:rPr>
        <w:t xml:space="preserve">§ </w:t>
      </w:r>
      <w:r w:rsidRPr="00031026">
        <w:rPr>
          <w:rFonts w:ascii="Times New Roman" w:hAnsi="Times New Roman" w:eastAsia="SimHei" w:cs="SimHei"/>
        </w:rPr>
        <w:t xml:space="preserve">3 of the Convention, the applicants complained that the domestic courts </w:t>
      </w:r>
      <w:r w:rsidRPr="00031026">
        <w:rPr>
          <w:rFonts w:ascii="Times New Roman" w:hAnsi="Times New Roman" w:eastAsia="SimHei" w:cs="SimHei"/>
          <w:szCs w:val="20"/>
          <w:lang w:eastAsia="fr-FR"/>
        </w:rPr>
        <w:t>had failed to justify the need for their pre-trial detention and to provide reasons for their continued detention. Article 5 § 3 of the Convention reads as follows:</w:t>
      </w:r>
    </w:p>
    <w:p w:rsidRPr="00031026" w:rsidR="00031026" w:rsidP="00031026" w:rsidRDefault="00031026" w14:paraId="7191FB89" w14:textId="77777777">
      <w:pPr>
        <w:pStyle w:val="JuQuot"/>
        <w:rPr>
          <w:rFonts w:eastAsia="SimHei"/>
          <w:lang w:eastAsia="fr-FR"/>
        </w:rPr>
      </w:pPr>
      <w:r w:rsidRPr="00031026">
        <w:rPr>
          <w:rFonts w:eastAsia="SimHei"/>
          <w:lang w:eastAsia="fr-FR"/>
        </w:rPr>
        <w:t>“Everyone arrested or detained in accordance with the provisions of paragraph 1 (c) of this Article shall be brought promptly before a judge or other officer authorised by law to exercise judicial power and shall be entitled to trial within a reasonable time or to release pending trial. Release may be conditioned by guarantees to appear for trial.”</w:t>
      </w:r>
    </w:p>
    <w:p w:rsidRPr="00031026" w:rsidR="00031026" w:rsidP="00031026" w:rsidRDefault="00031026" w14:paraId="086BAF2F" w14:textId="77777777">
      <w:pPr>
        <w:pStyle w:val="JuHA"/>
        <w:ind w:left="584" w:hanging="352"/>
        <w:rPr>
          <w:rFonts w:eastAsia="SimHei"/>
        </w:rPr>
      </w:pPr>
      <w:r w:rsidRPr="00031026">
        <w:rPr>
          <w:rFonts w:eastAsia="SimHei"/>
        </w:rPr>
        <w:t>Admissibility</w:t>
      </w:r>
    </w:p>
    <w:p w:rsidRPr="00031026" w:rsidR="00031026" w:rsidP="00031026" w:rsidRDefault="00031026" w14:paraId="262C4DA8" w14:textId="7F67512E">
      <w:pPr>
        <w:pStyle w:val="JuPara"/>
        <w:rPr>
          <w:rFonts w:eastAsia="SimHei"/>
          <w:lang w:eastAsia="fr-FR"/>
        </w:rPr>
      </w:pPr>
      <w:r w:rsidRPr="00031026">
        <w:rPr>
          <w:rFonts w:eastAsia="SimHei"/>
          <w:lang w:eastAsia="fr-FR"/>
        </w:rPr>
        <w:fldChar w:fldCharType="begin"/>
      </w:r>
      <w:r w:rsidRPr="00031026">
        <w:rPr>
          <w:rFonts w:eastAsia="SimHei"/>
          <w:lang w:eastAsia="fr-FR"/>
        </w:rPr>
        <w:instrText xml:space="preserve"> SEQ level0 \*arabic </w:instrText>
      </w:r>
      <w:r w:rsidRPr="00031026">
        <w:rPr>
          <w:rFonts w:eastAsia="SimHei"/>
          <w:lang w:eastAsia="fr-FR"/>
        </w:rPr>
        <w:fldChar w:fldCharType="separate"/>
      </w:r>
      <w:r w:rsidRPr="00031026">
        <w:rPr>
          <w:rFonts w:eastAsia="SimHei"/>
          <w:noProof/>
          <w:lang w:eastAsia="fr-FR"/>
        </w:rPr>
        <w:t>53</w:t>
      </w:r>
      <w:r w:rsidRPr="00031026">
        <w:rPr>
          <w:rFonts w:eastAsia="SimHei"/>
          <w:lang w:eastAsia="fr-FR"/>
        </w:rPr>
        <w:fldChar w:fldCharType="end"/>
      </w:r>
      <w:r w:rsidRPr="00031026">
        <w:rPr>
          <w:rFonts w:eastAsia="SimHei"/>
          <w:lang w:eastAsia="fr-FR"/>
        </w:rPr>
        <w:t>.  The Court notes that this complaint is not manifestly ill-founded within the meaning of Article 35 § 3 (a) of the Convention. It further notes that it is not inadmissible on any other grounds. It must therefore be declared admissible.</w:t>
      </w:r>
    </w:p>
    <w:p w:rsidRPr="00031026" w:rsidR="00031026" w:rsidP="00031026" w:rsidRDefault="00031026" w14:paraId="0CABE69F" w14:textId="77777777">
      <w:pPr>
        <w:pStyle w:val="JuHA"/>
        <w:ind w:left="584" w:hanging="352"/>
        <w:rPr>
          <w:rFonts w:eastAsia="SimHei"/>
        </w:rPr>
      </w:pPr>
      <w:r w:rsidRPr="00031026">
        <w:rPr>
          <w:rFonts w:eastAsia="SimHei"/>
        </w:rPr>
        <w:t>Merits</w:t>
      </w:r>
    </w:p>
    <w:p w:rsidRPr="00031026" w:rsidR="00031026" w:rsidP="00031026" w:rsidRDefault="00031026" w14:paraId="39BB2B44" w14:textId="5C0930DC">
      <w:pPr>
        <w:pStyle w:val="JuH1"/>
        <w:ind w:left="731" w:hanging="300"/>
        <w:rPr>
          <w:rFonts w:eastAsia="SimHei"/>
          <w:lang w:eastAsia="fr-FR"/>
        </w:rPr>
      </w:pPr>
      <w:r w:rsidRPr="00031026">
        <w:rPr>
          <w:rFonts w:eastAsia="SimHei"/>
          <w:lang w:eastAsia="fr-FR"/>
        </w:rPr>
        <w:t>The parties’ submissions</w:t>
      </w:r>
    </w:p>
    <w:p w:rsidRPr="00031026" w:rsidR="00031026" w:rsidP="00031026" w:rsidRDefault="00031026" w14:paraId="5C77B0CF" w14:textId="43058076">
      <w:pPr>
        <w:pStyle w:val="JuPara"/>
        <w:rPr>
          <w:rFonts w:eastAsia="SimHei" w:cs="SimHei"/>
          <w:szCs w:val="20"/>
          <w:lang w:eastAsia="fr-FR"/>
        </w:rPr>
      </w:pPr>
      <w:r w:rsidRPr="00031026">
        <w:rPr>
          <w:rFonts w:eastAsia="SimHei" w:cs="SimHei"/>
          <w:szCs w:val="20"/>
          <w:lang w:eastAsia="fr-FR"/>
        </w:rPr>
        <w:fldChar w:fldCharType="begin"/>
      </w:r>
      <w:r w:rsidRPr="00031026">
        <w:rPr>
          <w:rFonts w:eastAsia="SimHei" w:cs="SimHei"/>
          <w:szCs w:val="20"/>
          <w:lang w:eastAsia="fr-FR"/>
        </w:rPr>
        <w:instrText xml:space="preserve"> SEQ level0 \*arabic </w:instrText>
      </w:r>
      <w:r w:rsidRPr="00031026">
        <w:rPr>
          <w:rFonts w:eastAsia="SimHei" w:cs="SimHei"/>
          <w:szCs w:val="20"/>
          <w:lang w:eastAsia="fr-FR"/>
        </w:rPr>
        <w:fldChar w:fldCharType="separate"/>
      </w:r>
      <w:r w:rsidRPr="00031026">
        <w:rPr>
          <w:rFonts w:eastAsia="SimHei" w:cs="SimHei"/>
          <w:noProof/>
          <w:szCs w:val="20"/>
          <w:lang w:eastAsia="fr-FR"/>
        </w:rPr>
        <w:t>54</w:t>
      </w:r>
      <w:r w:rsidRPr="00031026">
        <w:rPr>
          <w:rFonts w:eastAsia="SimHei" w:cs="SimHei"/>
          <w:szCs w:val="20"/>
          <w:lang w:eastAsia="fr-FR"/>
        </w:rPr>
        <w:fldChar w:fldCharType="end"/>
      </w:r>
      <w:r w:rsidRPr="00031026">
        <w:rPr>
          <w:rFonts w:eastAsia="SimHei" w:cs="SimHei"/>
          <w:szCs w:val="20"/>
          <w:lang w:eastAsia="fr-FR"/>
        </w:rPr>
        <w:t xml:space="preserve">.  The applicants maintained that </w:t>
      </w:r>
      <w:r w:rsidRPr="00031026">
        <w:rPr>
          <w:rFonts w:eastAsia="SimHei"/>
        </w:rPr>
        <w:t xml:space="preserve">the domestic courts had failed to provide relevant and sufficient reasons justifying their pre-trial detention. </w:t>
      </w:r>
      <w:proofErr w:type="gramStart"/>
      <w:r w:rsidRPr="00031026">
        <w:rPr>
          <w:rFonts w:eastAsia="SimHei"/>
        </w:rPr>
        <w:t>In particular, they</w:t>
      </w:r>
      <w:proofErr w:type="gramEnd"/>
      <w:r w:rsidRPr="00031026">
        <w:rPr>
          <w:rFonts w:eastAsia="SimHei"/>
        </w:rPr>
        <w:t xml:space="preserve"> submitted that the domestic courts had merely quoted the relevant legal provisions, without assessing their particular circumstances.</w:t>
      </w:r>
    </w:p>
    <w:p w:rsidRPr="00031026" w:rsidR="00031026" w:rsidP="00031026" w:rsidRDefault="00031026" w14:paraId="76C6DE9F" w14:textId="396E960B">
      <w:pPr>
        <w:pStyle w:val="JuPara"/>
        <w:rPr>
          <w:rFonts w:eastAsia="SimHei"/>
        </w:rPr>
      </w:pPr>
      <w:r w:rsidRPr="00031026">
        <w:rPr>
          <w:rFonts w:eastAsia="SimHei"/>
        </w:rPr>
        <w:fldChar w:fldCharType="begin"/>
      </w:r>
      <w:r w:rsidRPr="00031026">
        <w:rPr>
          <w:rFonts w:eastAsia="SimHei"/>
        </w:rPr>
        <w:instrText xml:space="preserve"> SEQ level0 \*arabic </w:instrText>
      </w:r>
      <w:r w:rsidRPr="00031026">
        <w:rPr>
          <w:rFonts w:eastAsia="SimHei"/>
        </w:rPr>
        <w:fldChar w:fldCharType="separate"/>
      </w:r>
      <w:r w:rsidRPr="00031026">
        <w:rPr>
          <w:rFonts w:eastAsia="SimHei"/>
          <w:noProof/>
        </w:rPr>
        <w:t>55</w:t>
      </w:r>
      <w:r w:rsidRPr="00031026">
        <w:rPr>
          <w:rFonts w:eastAsia="SimHei"/>
        </w:rPr>
        <w:fldChar w:fldCharType="end"/>
      </w:r>
      <w:r w:rsidRPr="00031026">
        <w:rPr>
          <w:rFonts w:eastAsia="SimHei"/>
        </w:rPr>
        <w:t>.  The Government contested the applicants’ submissions, pointing out that the domestic courts had correctly assessed the applicants’ situation and had delivered justified decisions on their pre-trial detention. They furthermore submitted that the domestic courts had provided relevant and sufficient reasons justifying the need for the applicants’ continued pre-trial detention.</w:t>
      </w:r>
    </w:p>
    <w:p w:rsidRPr="00031026" w:rsidR="00031026" w:rsidP="00031026" w:rsidRDefault="00031026" w14:paraId="46576968" w14:textId="3A2AEB74">
      <w:pPr>
        <w:pStyle w:val="JuH1"/>
        <w:ind w:left="731" w:hanging="300"/>
        <w:jc w:val="left"/>
        <w:rPr>
          <w:rFonts w:eastAsia="SimHei"/>
          <w:lang w:eastAsia="fr-FR"/>
        </w:rPr>
      </w:pPr>
      <w:r w:rsidRPr="00031026">
        <w:rPr>
          <w:rFonts w:eastAsia="SimHei"/>
          <w:lang w:eastAsia="fr-FR"/>
        </w:rPr>
        <w:t>The Court’s assessment</w:t>
      </w:r>
    </w:p>
    <w:p w:rsidRPr="00031026" w:rsidR="00031026" w:rsidP="00031026" w:rsidRDefault="00031026" w14:paraId="22738723" w14:textId="747CE255">
      <w:pPr>
        <w:pStyle w:val="JuPara"/>
        <w:rPr>
          <w:rFonts w:eastAsia="SimHei"/>
          <w:snapToGrid w:val="0"/>
          <w:lang w:eastAsia="fr-FR"/>
        </w:rPr>
      </w:pPr>
      <w:r w:rsidRPr="00031026">
        <w:rPr>
          <w:rFonts w:eastAsia="SimHei"/>
          <w:lang w:eastAsia="fr-FR"/>
        </w:rPr>
        <w:fldChar w:fldCharType="begin"/>
      </w:r>
      <w:r w:rsidRPr="00031026">
        <w:rPr>
          <w:rFonts w:eastAsia="SimHei"/>
          <w:lang w:eastAsia="fr-FR"/>
        </w:rPr>
        <w:instrText xml:space="preserve"> SEQ level0 \*arabic </w:instrText>
      </w:r>
      <w:r w:rsidRPr="00031026">
        <w:rPr>
          <w:rFonts w:eastAsia="SimHei"/>
          <w:lang w:eastAsia="fr-FR"/>
        </w:rPr>
        <w:fldChar w:fldCharType="separate"/>
      </w:r>
      <w:r w:rsidRPr="00031026">
        <w:rPr>
          <w:rFonts w:eastAsia="SimHei"/>
          <w:noProof/>
          <w:lang w:eastAsia="fr-FR"/>
        </w:rPr>
        <w:t>56</w:t>
      </w:r>
      <w:r w:rsidRPr="00031026">
        <w:rPr>
          <w:rFonts w:eastAsia="SimHei"/>
          <w:lang w:eastAsia="fr-FR"/>
        </w:rPr>
        <w:fldChar w:fldCharType="end"/>
      </w:r>
      <w:r w:rsidRPr="00031026">
        <w:rPr>
          <w:rFonts w:eastAsia="SimHei"/>
          <w:lang w:eastAsia="fr-FR"/>
        </w:rPr>
        <w:t>.  The Court refers to the general principles established in</w:t>
      </w:r>
      <w:r w:rsidRPr="00031026">
        <w:rPr>
          <w:rFonts w:eastAsia="SimHei"/>
          <w:color w:val="949494"/>
          <w:lang w:eastAsia="fr-FR"/>
        </w:rPr>
        <w:t xml:space="preserve"> </w:t>
      </w:r>
      <w:r w:rsidRPr="00031026">
        <w:rPr>
          <w:rFonts w:eastAsia="SimHei"/>
          <w:lang w:eastAsia="fr-FR"/>
        </w:rPr>
        <w:t xml:space="preserve">its case-law and set out in </w:t>
      </w:r>
      <w:proofErr w:type="spellStart"/>
      <w:r w:rsidRPr="00031026">
        <w:rPr>
          <w:rFonts w:eastAsia="SimHei"/>
          <w:i/>
          <w:lang w:eastAsia="fr-FR"/>
        </w:rPr>
        <w:t>Buzadji</w:t>
      </w:r>
      <w:proofErr w:type="spellEnd"/>
      <w:r w:rsidRPr="00031026">
        <w:rPr>
          <w:rFonts w:eastAsia="SimHei"/>
          <w:i/>
          <w:lang w:eastAsia="fr-FR"/>
        </w:rPr>
        <w:t xml:space="preserve"> v. the Republic of Moldova </w:t>
      </w:r>
      <w:r w:rsidRPr="00031026">
        <w:rPr>
          <w:rFonts w:eastAsia="SimHei"/>
          <w:lang w:eastAsia="fr-FR"/>
        </w:rPr>
        <w:t>[GC] (no. 23755/07</w:t>
      </w:r>
      <w:r w:rsidRPr="00031026">
        <w:rPr>
          <w:rFonts w:eastAsia="SimHei"/>
          <w:snapToGrid w:val="0"/>
          <w:lang w:eastAsia="fr-FR"/>
        </w:rPr>
        <w:t xml:space="preserve">, §§ 84-91, </w:t>
      </w:r>
      <w:r w:rsidRPr="00031026">
        <w:rPr>
          <w:rFonts w:eastAsia="SimHei"/>
          <w:lang w:eastAsia="fr-FR"/>
        </w:rPr>
        <w:t>5 July</w:t>
      </w:r>
      <w:r w:rsidRPr="00031026">
        <w:rPr>
          <w:rFonts w:eastAsia="SimHei"/>
          <w:snapToGrid w:val="0"/>
          <w:lang w:eastAsia="fr-FR"/>
        </w:rPr>
        <w:t xml:space="preserve"> 2016)</w:t>
      </w:r>
      <w:r w:rsidRPr="00031026">
        <w:rPr>
          <w:rFonts w:eastAsia="SimHei"/>
          <w:lang w:eastAsia="fr-FR"/>
        </w:rPr>
        <w:t>, which are equally pertinent to the present case.</w:t>
      </w:r>
    </w:p>
    <w:p w:rsidRPr="00031026" w:rsidR="00031026" w:rsidP="00031026" w:rsidRDefault="00031026" w14:paraId="451400B6" w14:textId="4E6F4E4F">
      <w:pPr>
        <w:pStyle w:val="JuPara"/>
        <w:rPr>
          <w:rFonts w:ascii="Times New Roman" w:hAnsi="Times New Roman" w:eastAsia="SimHei" w:cs="SimHei"/>
          <w:szCs w:val="20"/>
          <w:lang w:eastAsia="fr-FR"/>
        </w:rPr>
      </w:pPr>
      <w:r w:rsidRPr="00031026">
        <w:rPr>
          <w:rFonts w:ascii="Times New Roman" w:hAnsi="Times New Roman" w:eastAsia="SimHei" w:cs="SimHei"/>
          <w:szCs w:val="20"/>
          <w:lang w:eastAsia="fr-FR"/>
        </w:rPr>
        <w:fldChar w:fldCharType="begin"/>
      </w:r>
      <w:r w:rsidRPr="00031026">
        <w:rPr>
          <w:rFonts w:ascii="Times New Roman" w:hAnsi="Times New Roman" w:eastAsia="SimHei" w:cs="SimHei"/>
          <w:szCs w:val="20"/>
          <w:lang w:eastAsia="fr-FR"/>
        </w:rPr>
        <w:instrText xml:space="preserve"> SEQ level0 \*arabic </w:instrText>
      </w:r>
      <w:r w:rsidRPr="00031026">
        <w:rPr>
          <w:rFonts w:ascii="Times New Roman" w:hAnsi="Times New Roman" w:eastAsia="SimHei" w:cs="SimHei"/>
          <w:szCs w:val="20"/>
          <w:lang w:eastAsia="fr-FR"/>
        </w:rPr>
        <w:fldChar w:fldCharType="separate"/>
      </w:r>
      <w:r w:rsidRPr="00031026">
        <w:rPr>
          <w:rFonts w:ascii="Times New Roman" w:hAnsi="Times New Roman" w:eastAsia="SimHei" w:cs="SimHei"/>
          <w:noProof/>
          <w:szCs w:val="20"/>
          <w:lang w:eastAsia="fr-FR"/>
        </w:rPr>
        <w:t>57</w:t>
      </w:r>
      <w:r w:rsidRPr="00031026">
        <w:rPr>
          <w:rFonts w:ascii="Times New Roman" w:hAnsi="Times New Roman" w:eastAsia="SimHei" w:cs="SimHei"/>
          <w:szCs w:val="20"/>
          <w:lang w:eastAsia="fr-FR"/>
        </w:rPr>
        <w:fldChar w:fldCharType="end"/>
      </w:r>
      <w:r w:rsidRPr="00031026">
        <w:rPr>
          <w:rFonts w:ascii="Times New Roman" w:hAnsi="Times New Roman" w:eastAsia="SimHei" w:cs="SimHei"/>
          <w:szCs w:val="20"/>
          <w:lang w:eastAsia="fr-FR"/>
        </w:rPr>
        <w:t>.  As regards the period to be taken into consideration for the purposes of Article 5 § 3, the Court notes that this period commenced on 7 March 2013, when the applicants were arrested, and ended on 6 May 2014, when the Baku Court of Serious Crimes convicted them. Thus, the applicants were both held in pre-trial detention for one year, one month and twenty-nine days in total.</w:t>
      </w:r>
    </w:p>
    <w:p w:rsidRPr="00031026" w:rsidR="00031026" w:rsidP="00031026" w:rsidRDefault="00031026" w14:paraId="2B6C2C65" w14:textId="3A101DB0">
      <w:pPr>
        <w:pStyle w:val="JuPara"/>
      </w:pPr>
      <w:r w:rsidRPr="00031026">
        <w:rPr>
          <w:rFonts w:ascii="Times New Roman" w:hAnsi="Times New Roman" w:eastAsia="SimHei" w:cs="SimHei"/>
          <w:szCs w:val="20"/>
          <w:lang w:eastAsia="fr-FR"/>
        </w:rPr>
        <w:fldChar w:fldCharType="begin"/>
      </w:r>
      <w:r w:rsidRPr="00031026">
        <w:rPr>
          <w:rFonts w:ascii="Times New Roman" w:hAnsi="Times New Roman" w:eastAsia="SimHei" w:cs="SimHei"/>
          <w:szCs w:val="20"/>
          <w:lang w:eastAsia="fr-FR"/>
        </w:rPr>
        <w:instrText xml:space="preserve"> SEQ level0 \*arabic </w:instrText>
      </w:r>
      <w:r w:rsidRPr="00031026">
        <w:rPr>
          <w:rFonts w:ascii="Times New Roman" w:hAnsi="Times New Roman" w:eastAsia="SimHei" w:cs="SimHei"/>
          <w:szCs w:val="20"/>
          <w:lang w:eastAsia="fr-FR"/>
        </w:rPr>
        <w:fldChar w:fldCharType="separate"/>
      </w:r>
      <w:r w:rsidRPr="00031026">
        <w:rPr>
          <w:rFonts w:ascii="Times New Roman" w:hAnsi="Times New Roman" w:eastAsia="SimHei" w:cs="SimHei"/>
          <w:noProof/>
          <w:szCs w:val="20"/>
          <w:lang w:eastAsia="fr-FR"/>
        </w:rPr>
        <w:t>58</w:t>
      </w:r>
      <w:r w:rsidRPr="00031026">
        <w:rPr>
          <w:rFonts w:ascii="Times New Roman" w:hAnsi="Times New Roman" w:eastAsia="SimHei" w:cs="SimHei"/>
          <w:szCs w:val="20"/>
          <w:lang w:eastAsia="fr-FR"/>
        </w:rPr>
        <w:fldChar w:fldCharType="end"/>
      </w:r>
      <w:r w:rsidRPr="00031026">
        <w:rPr>
          <w:rFonts w:ascii="Times New Roman" w:hAnsi="Times New Roman" w:eastAsia="SimHei" w:cs="SimHei"/>
          <w:szCs w:val="20"/>
          <w:lang w:eastAsia="fr-FR"/>
        </w:rPr>
        <w:t>.  The Court notes that the applicants’ pre-trial detention was extended by</w:t>
      </w:r>
      <w:r w:rsidRPr="00031026">
        <w:rPr>
          <w:rFonts w:ascii="Times New Roman" w:hAnsi="Times New Roman" w:eastAsia="SimHei" w:cs="SimHei"/>
          <w:szCs w:val="20"/>
          <w:lang w:eastAsia="en-GB"/>
        </w:rPr>
        <w:t xml:space="preserve"> </w:t>
      </w:r>
      <w:proofErr w:type="gramStart"/>
      <w:r w:rsidRPr="00031026">
        <w:rPr>
          <w:rFonts w:ascii="Times New Roman" w:hAnsi="Times New Roman" w:eastAsia="SimHei" w:cs="SimHei"/>
          <w:szCs w:val="20"/>
          <w:lang w:eastAsia="en-GB"/>
        </w:rPr>
        <w:t>a number of</w:t>
      </w:r>
      <w:proofErr w:type="gramEnd"/>
      <w:r w:rsidRPr="00031026">
        <w:rPr>
          <w:rFonts w:ascii="Times New Roman" w:hAnsi="Times New Roman" w:eastAsia="SimHei" w:cs="SimHei"/>
          <w:szCs w:val="20"/>
          <w:lang w:eastAsia="en-GB"/>
        </w:rPr>
        <w:t xml:space="preserve"> decisions delivered by the </w:t>
      </w:r>
      <w:proofErr w:type="spellStart"/>
      <w:r w:rsidRPr="00031026">
        <w:rPr>
          <w:rFonts w:ascii="Times New Roman" w:hAnsi="Times New Roman" w:eastAsia="SimHei" w:cs="SimHei"/>
          <w:szCs w:val="20"/>
          <w:lang w:eastAsia="en-GB"/>
        </w:rPr>
        <w:t>Nasimi</w:t>
      </w:r>
      <w:proofErr w:type="spellEnd"/>
      <w:r w:rsidRPr="00031026">
        <w:rPr>
          <w:rFonts w:ascii="Times New Roman" w:hAnsi="Times New Roman" w:eastAsia="SimHei" w:cs="SimHei"/>
          <w:szCs w:val="20"/>
          <w:lang w:eastAsia="en-GB"/>
        </w:rPr>
        <w:t xml:space="preserve"> District Court and the Baku Court of Appeal, which also dismissed </w:t>
      </w:r>
      <w:r w:rsidRPr="00031026">
        <w:rPr>
          <w:rFonts w:ascii="Times New Roman" w:hAnsi="Times New Roman" w:eastAsia="SimHei" w:cs="SimHei"/>
          <w:szCs w:val="20"/>
          <w:lang w:eastAsia="fr-FR"/>
        </w:rPr>
        <w:t xml:space="preserve">the applicants’ requests to be placed under house arrest rather than in pre-trial detention </w:t>
      </w:r>
      <w:r w:rsidRPr="00031026">
        <w:rPr>
          <w:rFonts w:ascii="Times New Roman" w:hAnsi="Times New Roman" w:eastAsia="SimHei" w:cs="SimHei"/>
          <w:szCs w:val="20"/>
          <w:lang w:eastAsia="en-GB"/>
        </w:rPr>
        <w:t>(see paragraphs 17-24 and 26-35 above)</w:t>
      </w:r>
      <w:r w:rsidRPr="00031026">
        <w:rPr>
          <w:rFonts w:ascii="Times New Roman" w:hAnsi="Times New Roman" w:eastAsia="SimHei" w:cs="SimHei"/>
          <w:szCs w:val="20"/>
          <w:lang w:eastAsia="fr-FR"/>
        </w:rPr>
        <w:t xml:space="preserve">. In that connection, the Court observes that both the first-instance court and the appellate court used a standard template. In particular, the domestic courts limited themselves to repeating </w:t>
      </w:r>
      <w:proofErr w:type="gramStart"/>
      <w:r w:rsidRPr="00031026">
        <w:rPr>
          <w:rFonts w:ascii="Times New Roman" w:hAnsi="Times New Roman" w:eastAsia="SimHei" w:cs="SimHei"/>
          <w:szCs w:val="20"/>
          <w:lang w:eastAsia="fr-FR"/>
        </w:rPr>
        <w:t>a number of</w:t>
      </w:r>
      <w:proofErr w:type="gramEnd"/>
      <w:r w:rsidRPr="00031026">
        <w:rPr>
          <w:rFonts w:ascii="Times New Roman" w:hAnsi="Times New Roman" w:eastAsia="SimHei" w:cs="SimHei"/>
          <w:szCs w:val="20"/>
          <w:lang w:eastAsia="fr-FR"/>
        </w:rPr>
        <w:t xml:space="preserve"> grounds for detention in an abstract and formulaic way, without giving any reasons why they considered those grounds relevant to the applicants’ cases. They also failed to mention any case-specific facts relevant to those grounds and to substantiate them with relevant and sufficient reasons (see </w:t>
      </w:r>
      <w:proofErr w:type="spellStart"/>
      <w:r w:rsidRPr="00031026">
        <w:rPr>
          <w:rFonts w:ascii="Times New Roman" w:hAnsi="Times New Roman" w:eastAsia="SimHei" w:cs="SimHei"/>
          <w:i/>
          <w:szCs w:val="20"/>
          <w:lang w:eastAsia="fr-FR"/>
        </w:rPr>
        <w:t>Farhad</w:t>
      </w:r>
      <w:proofErr w:type="spellEnd"/>
      <w:r w:rsidRPr="00031026">
        <w:rPr>
          <w:rFonts w:ascii="Times New Roman" w:hAnsi="Times New Roman" w:eastAsia="SimHei" w:cs="SimHei"/>
          <w:i/>
          <w:szCs w:val="20"/>
          <w:lang w:eastAsia="fr-FR"/>
        </w:rPr>
        <w:t xml:space="preserve"> Aliyev v. Azerbaijan</w:t>
      </w:r>
      <w:r w:rsidRPr="00031026">
        <w:rPr>
          <w:rFonts w:ascii="Times New Roman" w:hAnsi="Times New Roman" w:eastAsia="SimHei" w:cs="SimHei"/>
          <w:szCs w:val="20"/>
          <w:lang w:eastAsia="fr-FR"/>
        </w:rPr>
        <w:t>, no. 37138/06, §§ 191</w:t>
      </w:r>
      <w:r w:rsidRPr="00031026">
        <w:rPr>
          <w:rFonts w:ascii="Times New Roman" w:hAnsi="Times New Roman" w:eastAsia="SimHei" w:cs="SimHei"/>
          <w:szCs w:val="20"/>
          <w:lang w:eastAsia="fr-FR"/>
        </w:rPr>
        <w:noBreakHyphen/>
        <w:t>94, 9 November 2010;</w:t>
      </w:r>
      <w:r w:rsidRPr="00031026">
        <w:rPr>
          <w:rFonts w:ascii="Times New Roman" w:hAnsi="Times New Roman" w:eastAsia="SimHei" w:cs="SimHei"/>
          <w:snapToGrid w:val="0"/>
          <w:lang w:eastAsia="fr-FR"/>
        </w:rPr>
        <w:t xml:space="preserve"> </w:t>
      </w:r>
      <w:proofErr w:type="spellStart"/>
      <w:r w:rsidRPr="00031026">
        <w:rPr>
          <w:rFonts w:ascii="Times New Roman" w:hAnsi="Times New Roman" w:eastAsia="SimHei" w:cs="SimHei"/>
          <w:i/>
          <w:szCs w:val="20"/>
          <w:lang w:eastAsia="fr-FR"/>
        </w:rPr>
        <w:t>Muradverdiyev</w:t>
      </w:r>
      <w:proofErr w:type="spellEnd"/>
      <w:r w:rsidRPr="00031026">
        <w:rPr>
          <w:rFonts w:ascii="Times New Roman" w:hAnsi="Times New Roman" w:eastAsia="SimHei" w:cs="SimHei"/>
          <w:i/>
          <w:szCs w:val="20"/>
          <w:lang w:eastAsia="fr-FR"/>
        </w:rPr>
        <w:t xml:space="preserve"> v. Azerbaijan</w:t>
      </w:r>
      <w:r w:rsidRPr="00031026">
        <w:rPr>
          <w:rFonts w:ascii="Times New Roman" w:hAnsi="Times New Roman" w:eastAsia="SimHei" w:cs="SimHei"/>
          <w:szCs w:val="20"/>
          <w:lang w:eastAsia="fr-FR"/>
        </w:rPr>
        <w:t xml:space="preserve">, no. 16966/06, §§ 87-91, 9 December 2010; and </w:t>
      </w:r>
      <w:proofErr w:type="spellStart"/>
      <w:r w:rsidRPr="00031026">
        <w:rPr>
          <w:i/>
        </w:rPr>
        <w:t>Zayidov</w:t>
      </w:r>
      <w:proofErr w:type="spellEnd"/>
      <w:r w:rsidRPr="00031026">
        <w:rPr>
          <w:i/>
        </w:rPr>
        <w:t xml:space="preserve"> v. Azerbaijan</w:t>
      </w:r>
      <w:r w:rsidRPr="00031026">
        <w:t>, no. 11948/08, §§ 64-68, 20 February 2014</w:t>
      </w:r>
      <w:r w:rsidRPr="00031026">
        <w:rPr>
          <w:rFonts w:ascii="Times New Roman" w:hAnsi="Times New Roman" w:eastAsia="SimHei" w:cs="SimHei"/>
          <w:snapToGrid w:val="0"/>
          <w:lang w:eastAsia="fr-FR"/>
        </w:rPr>
        <w:t>)</w:t>
      </w:r>
      <w:r w:rsidRPr="00031026">
        <w:rPr>
          <w:rFonts w:ascii="Times New Roman" w:hAnsi="Times New Roman" w:eastAsia="SimHei" w:cs="SimHei"/>
          <w:szCs w:val="20"/>
          <w:lang w:eastAsia="fr-FR"/>
        </w:rPr>
        <w:t>.</w:t>
      </w:r>
      <w:r w:rsidRPr="00031026">
        <w:rPr>
          <w:rFonts w:eastAsia="SimHei"/>
          <w:lang w:eastAsia="fr-FR"/>
        </w:rPr>
        <w:t xml:space="preserve"> The Court also finds it striking that the domestic courts relied on the first applicant’s way of life and links with foreign States as grounds for his continued detention, without providing any explanation or information in support of their reasoning (see paragraphs 20 and 22 above).</w:t>
      </w:r>
    </w:p>
    <w:p w:rsidRPr="00031026" w:rsidR="00031026" w:rsidP="00031026" w:rsidRDefault="00031026" w14:paraId="6FEFF634" w14:textId="689A0D5A">
      <w:pPr>
        <w:pStyle w:val="JuPara"/>
        <w:rPr>
          <w:rFonts w:eastAsia="SimHei"/>
          <w:lang w:eastAsia="fr-FR"/>
        </w:rPr>
      </w:pPr>
      <w:r w:rsidRPr="00031026">
        <w:rPr>
          <w:rFonts w:eastAsia="SimHei"/>
          <w:lang w:eastAsia="fr-FR"/>
        </w:rPr>
        <w:fldChar w:fldCharType="begin"/>
      </w:r>
      <w:r w:rsidRPr="00031026">
        <w:rPr>
          <w:rFonts w:eastAsia="SimHei"/>
          <w:lang w:eastAsia="fr-FR"/>
        </w:rPr>
        <w:instrText xml:space="preserve"> SEQ level0 \*arabic </w:instrText>
      </w:r>
      <w:r w:rsidRPr="00031026">
        <w:rPr>
          <w:rFonts w:eastAsia="SimHei"/>
          <w:lang w:eastAsia="fr-FR"/>
        </w:rPr>
        <w:fldChar w:fldCharType="separate"/>
      </w:r>
      <w:r w:rsidRPr="00031026">
        <w:rPr>
          <w:rFonts w:eastAsia="SimHei"/>
          <w:noProof/>
          <w:lang w:eastAsia="fr-FR"/>
        </w:rPr>
        <w:t>59</w:t>
      </w:r>
      <w:r w:rsidRPr="00031026">
        <w:rPr>
          <w:rFonts w:eastAsia="SimHei"/>
          <w:lang w:eastAsia="fr-FR"/>
        </w:rPr>
        <w:fldChar w:fldCharType="end"/>
      </w:r>
      <w:r w:rsidRPr="00031026">
        <w:rPr>
          <w:rFonts w:eastAsia="SimHei"/>
          <w:lang w:eastAsia="fr-FR"/>
        </w:rPr>
        <w:t xml:space="preserve">.  The Court notes that the domestic courts also cited irrelevant grounds when they extended the applicants’ pre-trial detention. </w:t>
      </w:r>
      <w:proofErr w:type="gramStart"/>
      <w:r w:rsidRPr="00031026">
        <w:rPr>
          <w:rFonts w:eastAsia="SimHei"/>
          <w:lang w:eastAsia="fr-FR"/>
        </w:rPr>
        <w:t>In particular, they</w:t>
      </w:r>
      <w:proofErr w:type="gramEnd"/>
      <w:r w:rsidRPr="00031026">
        <w:rPr>
          <w:rFonts w:eastAsia="SimHei"/>
          <w:lang w:eastAsia="fr-FR"/>
        </w:rPr>
        <w:t xml:space="preserve"> stated that more time was needed to complete the investigation (see paragraphs 20, 23, 26 and 33 above). However, the Court reiterates that, under Article 5 § 3, grounds such as the need to implement further investigative measures, or the fact that proceedings have not yet been completed, do not correspond to any of the acceptable reasons for detaining a person pending trial (see </w:t>
      </w:r>
      <w:proofErr w:type="spellStart"/>
      <w:r w:rsidRPr="00031026">
        <w:rPr>
          <w:rFonts w:eastAsia="SimHei"/>
          <w:i/>
          <w:lang w:eastAsia="fr-FR"/>
        </w:rPr>
        <w:t>Allahverdiyev</w:t>
      </w:r>
      <w:proofErr w:type="spellEnd"/>
      <w:r w:rsidRPr="00031026">
        <w:rPr>
          <w:rFonts w:eastAsia="SimHei"/>
          <w:i/>
          <w:lang w:eastAsia="fr-FR"/>
        </w:rPr>
        <w:t xml:space="preserve"> v. Azerbaijan</w:t>
      </w:r>
      <w:r w:rsidRPr="00031026">
        <w:rPr>
          <w:rFonts w:eastAsia="SimHei"/>
          <w:lang w:eastAsia="fr-FR"/>
        </w:rPr>
        <w:t xml:space="preserve">, no. 49192/08, § 60, 6 March 2014, and </w:t>
      </w:r>
      <w:r w:rsidRPr="00031026">
        <w:rPr>
          <w:rFonts w:eastAsia="SimHei"/>
          <w:i/>
          <w:lang w:eastAsia="fr-FR"/>
        </w:rPr>
        <w:t>Mammadov and Others v. Azerbaijan</w:t>
      </w:r>
      <w:r w:rsidRPr="00031026">
        <w:rPr>
          <w:rFonts w:eastAsia="SimHei"/>
          <w:lang w:eastAsia="fr-FR"/>
        </w:rPr>
        <w:t>, no. 35432/07, § 99, 21 February 2019).</w:t>
      </w:r>
    </w:p>
    <w:p w:rsidRPr="00031026" w:rsidR="00031026" w:rsidP="00031026" w:rsidRDefault="00031026" w14:paraId="63C52F16" w14:textId="20FE9D2D">
      <w:pPr>
        <w:pStyle w:val="JuPara"/>
        <w:rPr>
          <w:rFonts w:ascii="Times New Roman" w:hAnsi="Times New Roman" w:eastAsia="SimHei" w:cs="SimHei"/>
          <w:szCs w:val="20"/>
          <w:lang w:eastAsia="fr-FR"/>
        </w:rPr>
      </w:pPr>
      <w:r w:rsidRPr="00031026">
        <w:rPr>
          <w:rFonts w:ascii="Times New Roman" w:hAnsi="Times New Roman" w:eastAsia="SimHei" w:cs="SimHei"/>
          <w:szCs w:val="20"/>
          <w:lang w:eastAsia="fr-FR"/>
        </w:rPr>
        <w:fldChar w:fldCharType="begin"/>
      </w:r>
      <w:r w:rsidRPr="00031026">
        <w:rPr>
          <w:rFonts w:ascii="Times New Roman" w:hAnsi="Times New Roman" w:eastAsia="SimHei" w:cs="SimHei"/>
          <w:szCs w:val="20"/>
          <w:lang w:eastAsia="fr-FR"/>
        </w:rPr>
        <w:instrText xml:space="preserve"> SEQ level0 \*arabic </w:instrText>
      </w:r>
      <w:r w:rsidRPr="00031026">
        <w:rPr>
          <w:rFonts w:ascii="Times New Roman" w:hAnsi="Times New Roman" w:eastAsia="SimHei" w:cs="SimHei"/>
          <w:szCs w:val="20"/>
          <w:lang w:eastAsia="fr-FR"/>
        </w:rPr>
        <w:fldChar w:fldCharType="separate"/>
      </w:r>
      <w:r w:rsidRPr="00031026">
        <w:rPr>
          <w:rFonts w:ascii="Times New Roman" w:hAnsi="Times New Roman" w:eastAsia="SimHei" w:cs="SimHei"/>
          <w:noProof/>
          <w:szCs w:val="20"/>
          <w:lang w:eastAsia="fr-FR"/>
        </w:rPr>
        <w:t>60</w:t>
      </w:r>
      <w:r w:rsidRPr="00031026">
        <w:rPr>
          <w:rFonts w:ascii="Times New Roman" w:hAnsi="Times New Roman" w:eastAsia="SimHei" w:cs="SimHei"/>
          <w:szCs w:val="20"/>
          <w:lang w:eastAsia="fr-FR"/>
        </w:rPr>
        <w:fldChar w:fldCharType="end"/>
      </w:r>
      <w:r w:rsidRPr="00031026">
        <w:rPr>
          <w:rFonts w:ascii="Times New Roman" w:hAnsi="Times New Roman" w:eastAsia="SimHei" w:cs="SimHei"/>
          <w:szCs w:val="20"/>
          <w:lang w:eastAsia="fr-FR"/>
        </w:rPr>
        <w:t xml:space="preserve">.  The Court also cannot overlook the fact that the domestic courts completely disregarded the second applicant’s age in their decisions extending his pre-trial detention. In that connection, the Court notes that the second applicant’s pre-trial detention as a minor should have been considered a measure of last resort and imposed for the shortest appropriate </w:t>
      </w:r>
      <w:proofErr w:type="gramStart"/>
      <w:r w:rsidRPr="00031026">
        <w:rPr>
          <w:rFonts w:ascii="Times New Roman" w:hAnsi="Times New Roman" w:eastAsia="SimHei" w:cs="SimHei"/>
          <w:szCs w:val="20"/>
          <w:lang w:eastAsia="fr-FR"/>
        </w:rPr>
        <w:t>period of time</w:t>
      </w:r>
      <w:proofErr w:type="gramEnd"/>
      <w:r w:rsidRPr="00031026">
        <w:rPr>
          <w:rFonts w:ascii="Times New Roman" w:hAnsi="Times New Roman" w:eastAsia="SimHei" w:cs="SimHei"/>
          <w:szCs w:val="20"/>
          <w:lang w:eastAsia="fr-FR"/>
        </w:rPr>
        <w:t xml:space="preserve"> in accordance with Azerbaijan’s international obligations (see paragraphs 48-50 above) and</w:t>
      </w:r>
      <w:r w:rsidRPr="00031026">
        <w:t xml:space="preserve"> Article 434.2 of the </w:t>
      </w:r>
      <w:proofErr w:type="spellStart"/>
      <w:r w:rsidRPr="00031026">
        <w:t>CCrP</w:t>
      </w:r>
      <w:proofErr w:type="spellEnd"/>
      <w:r w:rsidRPr="00031026">
        <w:t xml:space="preserve"> (see paragraph 45 above).</w:t>
      </w:r>
      <w:r w:rsidRPr="00031026">
        <w:rPr>
          <w:rFonts w:ascii="Times New Roman" w:hAnsi="Times New Roman" w:eastAsia="SimHei" w:cs="SimHei"/>
          <w:szCs w:val="20"/>
          <w:lang w:eastAsia="fr-FR"/>
        </w:rPr>
        <w:t xml:space="preserve"> </w:t>
      </w:r>
      <w:r w:rsidRPr="00031026">
        <w:t xml:space="preserve">However, the domestic courts did not even try to elaborate in their decisions on why this exceptional measure should have been taken in respect of the second applicant (compare </w:t>
      </w:r>
      <w:proofErr w:type="spellStart"/>
      <w:r w:rsidRPr="00031026">
        <w:rPr>
          <w:i/>
        </w:rPr>
        <w:t>Nart</w:t>
      </w:r>
      <w:proofErr w:type="spellEnd"/>
      <w:r w:rsidRPr="00031026">
        <w:rPr>
          <w:i/>
        </w:rPr>
        <w:t xml:space="preserve"> v. Turkey</w:t>
      </w:r>
      <w:r w:rsidRPr="00031026">
        <w:t xml:space="preserve">, no. 20817/04, § 33, 6 May 2008; </w:t>
      </w:r>
      <w:proofErr w:type="spellStart"/>
      <w:r w:rsidRPr="00031026">
        <w:rPr>
          <w:i/>
        </w:rPr>
        <w:t>Korneykova</w:t>
      </w:r>
      <w:proofErr w:type="spellEnd"/>
      <w:r w:rsidRPr="00031026">
        <w:rPr>
          <w:i/>
        </w:rPr>
        <w:t xml:space="preserve"> v. Ukraine</w:t>
      </w:r>
      <w:r w:rsidRPr="00031026">
        <w:t xml:space="preserve">, no. 39884/05, § 46, 19 January 2012; and </w:t>
      </w:r>
      <w:r w:rsidRPr="00031026">
        <w:rPr>
          <w:i/>
        </w:rPr>
        <w:t xml:space="preserve">Mahmut </w:t>
      </w:r>
      <w:proofErr w:type="spellStart"/>
      <w:r w:rsidRPr="00031026">
        <w:rPr>
          <w:i/>
        </w:rPr>
        <w:t>Öz</w:t>
      </w:r>
      <w:proofErr w:type="spellEnd"/>
      <w:r w:rsidRPr="00031026">
        <w:rPr>
          <w:i/>
        </w:rPr>
        <w:t xml:space="preserve"> v. Turkey</w:t>
      </w:r>
      <w:r w:rsidRPr="00031026">
        <w:t>, no. 6840/08, § 36, 3 July 2012).</w:t>
      </w:r>
    </w:p>
    <w:p w:rsidRPr="00031026" w:rsidR="00031026" w:rsidP="00031026" w:rsidRDefault="00031026" w14:paraId="1EAC451F" w14:textId="3D7E67FD">
      <w:pPr>
        <w:pStyle w:val="JuPara"/>
        <w:rPr>
          <w:rFonts w:eastAsia="SimHei"/>
          <w:lang w:eastAsia="fr-FR"/>
        </w:rPr>
      </w:pPr>
      <w:r w:rsidRPr="00031026">
        <w:rPr>
          <w:rFonts w:eastAsia="SimHei"/>
          <w:lang w:eastAsia="fr-FR"/>
        </w:rPr>
        <w:fldChar w:fldCharType="begin"/>
      </w:r>
      <w:r w:rsidRPr="00031026">
        <w:rPr>
          <w:rFonts w:eastAsia="SimHei"/>
          <w:lang w:eastAsia="fr-FR"/>
        </w:rPr>
        <w:instrText xml:space="preserve"> SEQ level0 \*arabic </w:instrText>
      </w:r>
      <w:r w:rsidRPr="00031026">
        <w:rPr>
          <w:rFonts w:eastAsia="SimHei"/>
          <w:lang w:eastAsia="fr-FR"/>
        </w:rPr>
        <w:fldChar w:fldCharType="separate"/>
      </w:r>
      <w:r w:rsidRPr="00031026">
        <w:rPr>
          <w:rFonts w:eastAsia="SimHei"/>
          <w:noProof/>
          <w:lang w:eastAsia="fr-FR"/>
        </w:rPr>
        <w:t>61</w:t>
      </w:r>
      <w:r w:rsidRPr="00031026">
        <w:rPr>
          <w:rFonts w:eastAsia="SimHei"/>
          <w:lang w:eastAsia="fr-FR"/>
        </w:rPr>
        <w:fldChar w:fldCharType="end"/>
      </w:r>
      <w:r w:rsidRPr="00031026">
        <w:rPr>
          <w:rFonts w:eastAsia="SimHei"/>
          <w:lang w:eastAsia="fr-FR"/>
        </w:rPr>
        <w:t>.  In view of the foregoing considerations, the Court concludes that, by using a standard formula merely listing the grounds for detention without addressing the specific facts of the applicants’ cases, and by citing irrelevant grounds, the authorities failed to give “relevant” and “sufficient” reasons to justify the need for the extension of the applicants’ pre-trial detention.</w:t>
      </w:r>
    </w:p>
    <w:p w:rsidRPr="00031026" w:rsidR="00031026" w:rsidP="00031026" w:rsidRDefault="00031026" w14:paraId="51E47FD7" w14:textId="453ED584">
      <w:pPr>
        <w:pStyle w:val="JuPara"/>
        <w:rPr>
          <w:rFonts w:eastAsia="SimHei"/>
          <w:lang w:eastAsia="fr-FR"/>
        </w:rPr>
      </w:pPr>
      <w:r w:rsidRPr="00031026">
        <w:rPr>
          <w:rFonts w:eastAsia="SimHei"/>
          <w:lang w:eastAsia="fr-FR"/>
        </w:rPr>
        <w:fldChar w:fldCharType="begin"/>
      </w:r>
      <w:r w:rsidRPr="00031026">
        <w:rPr>
          <w:rFonts w:eastAsia="SimHei"/>
          <w:lang w:eastAsia="fr-FR"/>
        </w:rPr>
        <w:instrText xml:space="preserve"> SEQ level0 \*arabic </w:instrText>
      </w:r>
      <w:r w:rsidRPr="00031026">
        <w:rPr>
          <w:rFonts w:eastAsia="SimHei"/>
          <w:lang w:eastAsia="fr-FR"/>
        </w:rPr>
        <w:fldChar w:fldCharType="separate"/>
      </w:r>
      <w:r w:rsidRPr="00031026">
        <w:rPr>
          <w:rFonts w:eastAsia="SimHei"/>
          <w:noProof/>
          <w:lang w:eastAsia="fr-FR"/>
        </w:rPr>
        <w:t>62</w:t>
      </w:r>
      <w:r w:rsidRPr="00031026">
        <w:rPr>
          <w:rFonts w:eastAsia="SimHei"/>
          <w:lang w:eastAsia="fr-FR"/>
        </w:rPr>
        <w:fldChar w:fldCharType="end"/>
      </w:r>
      <w:r w:rsidRPr="00031026">
        <w:rPr>
          <w:rFonts w:eastAsia="SimHei"/>
          <w:lang w:eastAsia="fr-FR"/>
        </w:rPr>
        <w:t>.  Accordingly, there has been a violation of Article 5 § 3 of the Convention.</w:t>
      </w:r>
    </w:p>
    <w:p w:rsidRPr="00031026" w:rsidR="00031026" w:rsidP="00031026" w:rsidRDefault="00031026" w14:paraId="4609432E" w14:textId="77777777">
      <w:pPr>
        <w:pStyle w:val="JuHIRoman"/>
        <w:numPr>
          <w:ilvl w:val="1"/>
          <w:numId w:val="1"/>
        </w:numPr>
        <w:tabs>
          <w:tab w:val="clear" w:pos="454"/>
          <w:tab w:val="clear" w:pos="567"/>
          <w:tab w:val="clear" w:pos="680"/>
        </w:tabs>
      </w:pPr>
      <w:r w:rsidRPr="00031026">
        <w:t xml:space="preserve">ALLEGED VIOLATION OF ARTICLE 18 </w:t>
      </w:r>
      <w:r w:rsidRPr="00031026">
        <w:rPr>
          <w:rFonts w:ascii="Times New Roman" w:hAnsi="Times New Roman" w:eastAsia="SimHei" w:cs="SimHei"/>
          <w:caps w:val="0"/>
        </w:rPr>
        <w:t>TAKEN IN CONJUNCTION WITH ARTICLE 5 § 3 OF THE CONVENTION</w:t>
      </w:r>
    </w:p>
    <w:p w:rsidRPr="00031026" w:rsidR="00031026" w:rsidP="00031026" w:rsidRDefault="00031026" w14:paraId="6C632103" w14:textId="5E36ADBB">
      <w:pPr>
        <w:pStyle w:val="JuPara"/>
        <w:rPr>
          <w:rFonts w:ascii="Times New Roman" w:hAnsi="Times New Roman" w:eastAsia="SimHei" w:cs="SimHei"/>
          <w:szCs w:val="20"/>
          <w:lang w:eastAsia="fr-FR"/>
        </w:rPr>
      </w:pPr>
      <w:r w:rsidRPr="00031026">
        <w:fldChar w:fldCharType="begin"/>
      </w:r>
      <w:r w:rsidRPr="00031026">
        <w:instrText xml:space="preserve"> SEQ level0 \*arabic </w:instrText>
      </w:r>
      <w:r w:rsidRPr="00031026">
        <w:fldChar w:fldCharType="separate"/>
      </w:r>
      <w:r w:rsidRPr="00031026">
        <w:rPr>
          <w:noProof/>
        </w:rPr>
        <w:t>63</w:t>
      </w:r>
      <w:r w:rsidRPr="00031026">
        <w:fldChar w:fldCharType="end"/>
      </w:r>
      <w:r w:rsidRPr="00031026">
        <w:t>.  </w:t>
      </w:r>
      <w:r w:rsidRPr="00031026">
        <w:rPr>
          <w:rFonts w:ascii="Times New Roman" w:hAnsi="Times New Roman" w:eastAsia="SimHei" w:cs="SimHei"/>
          <w:szCs w:val="20"/>
          <w:lang w:eastAsia="fr-FR"/>
        </w:rPr>
        <w:t>The applicants argued under Article 18 of the Convention that their Convention rights had been restricted for purposes other than those prescribed in the Convention. Article 18 provides:</w:t>
      </w:r>
    </w:p>
    <w:p w:rsidRPr="00031026" w:rsidR="00031026" w:rsidP="00031026" w:rsidRDefault="00031026" w14:paraId="31F6601C" w14:textId="77777777">
      <w:pPr>
        <w:pStyle w:val="JuQuot"/>
        <w:rPr>
          <w:rFonts w:eastAsia="SimHei"/>
          <w:lang w:eastAsia="fr-FR"/>
        </w:rPr>
      </w:pPr>
      <w:r w:rsidRPr="00031026">
        <w:rPr>
          <w:rFonts w:eastAsia="SimHei"/>
          <w:lang w:eastAsia="fr-FR"/>
        </w:rPr>
        <w:t>“The restrictions permitted under [the] Convention to the said rights and freedoms shall not be applied for any purpose other than those for which they have been prescribed.”</w:t>
      </w:r>
    </w:p>
    <w:p w:rsidRPr="00031026" w:rsidR="00031026" w:rsidP="00031026" w:rsidRDefault="00031026" w14:paraId="53D1DAED" w14:textId="77777777">
      <w:pPr>
        <w:pStyle w:val="JuHA"/>
        <w:numPr>
          <w:ilvl w:val="2"/>
          <w:numId w:val="2"/>
        </w:numPr>
      </w:pPr>
      <w:r w:rsidRPr="00031026">
        <w:t>Admissibility</w:t>
      </w:r>
    </w:p>
    <w:p w:rsidRPr="00031026" w:rsidR="00031026" w:rsidP="00031026" w:rsidRDefault="00031026" w14:paraId="34C89E40" w14:textId="223DD80F">
      <w:pPr>
        <w:pStyle w:val="JuPara"/>
        <w:rPr>
          <w:rFonts w:ascii="Times New Roman" w:hAnsi="Times New Roman" w:eastAsia="SimHei" w:cs="SimHei"/>
          <w:szCs w:val="20"/>
          <w:lang w:eastAsia="fr-FR"/>
        </w:rPr>
      </w:pPr>
      <w:r w:rsidRPr="00031026">
        <w:fldChar w:fldCharType="begin"/>
      </w:r>
      <w:r w:rsidRPr="00031026">
        <w:instrText xml:space="preserve"> SEQ level0 \*arabic </w:instrText>
      </w:r>
      <w:r w:rsidRPr="00031026">
        <w:fldChar w:fldCharType="separate"/>
      </w:r>
      <w:r w:rsidRPr="00031026">
        <w:rPr>
          <w:noProof/>
        </w:rPr>
        <w:t>64</w:t>
      </w:r>
      <w:r w:rsidRPr="00031026">
        <w:fldChar w:fldCharType="end"/>
      </w:r>
      <w:r w:rsidRPr="00031026">
        <w:t xml:space="preserve">.  The Court notes that </w:t>
      </w:r>
      <w:r w:rsidRPr="00031026">
        <w:rPr>
          <w:rFonts w:ascii="Times New Roman" w:hAnsi="Times New Roman" w:eastAsia="SimHei" w:cs="SimHei"/>
          <w:szCs w:val="20"/>
          <w:lang w:eastAsia="fr-FR"/>
        </w:rPr>
        <w:t>this complaint is not manifestly ill-founded within the meaning of Article 35 § 3 (a) of the Convention. It further notes that it is not inadmissible on any other grounds. It must therefore be declared admissible.</w:t>
      </w:r>
    </w:p>
    <w:p w:rsidRPr="00031026" w:rsidR="00031026" w:rsidP="00031026" w:rsidRDefault="00031026" w14:paraId="0F6BC329" w14:textId="77777777">
      <w:pPr>
        <w:pStyle w:val="JuHA"/>
        <w:ind w:left="584" w:hanging="352"/>
        <w:jc w:val="left"/>
        <w:rPr>
          <w:rFonts w:eastAsia="SimHei"/>
        </w:rPr>
      </w:pPr>
      <w:r w:rsidRPr="00031026">
        <w:rPr>
          <w:rFonts w:eastAsia="SimHei"/>
        </w:rPr>
        <w:t>Merits</w:t>
      </w:r>
    </w:p>
    <w:p w:rsidRPr="00031026" w:rsidR="00031026" w:rsidP="00031026" w:rsidRDefault="00031026" w14:paraId="342AC16E" w14:textId="79FB803A">
      <w:pPr>
        <w:pStyle w:val="JuH1"/>
        <w:ind w:left="731" w:hanging="300"/>
        <w:jc w:val="left"/>
        <w:rPr>
          <w:rFonts w:eastAsia="SimHei"/>
          <w:lang w:eastAsia="fr-FR"/>
        </w:rPr>
      </w:pPr>
      <w:r w:rsidRPr="00031026">
        <w:rPr>
          <w:rFonts w:eastAsia="SimHei"/>
          <w:lang w:eastAsia="fr-FR"/>
        </w:rPr>
        <w:t>The parties’ submissions</w:t>
      </w:r>
    </w:p>
    <w:p w:rsidRPr="00031026" w:rsidR="00031026" w:rsidP="00031026" w:rsidRDefault="00031026" w14:paraId="674B6204" w14:textId="55964A8B">
      <w:pPr>
        <w:pStyle w:val="JuPara"/>
        <w:rPr>
          <w:rFonts w:eastAsia="SimHei"/>
          <w:lang w:eastAsia="fr-FR"/>
        </w:rPr>
      </w:pPr>
      <w:r w:rsidRPr="00031026">
        <w:rPr>
          <w:rFonts w:eastAsia="SimHei"/>
          <w:lang w:eastAsia="fr-FR"/>
        </w:rPr>
        <w:fldChar w:fldCharType="begin"/>
      </w:r>
      <w:r w:rsidRPr="00031026">
        <w:rPr>
          <w:rFonts w:eastAsia="SimHei"/>
          <w:lang w:eastAsia="fr-FR"/>
        </w:rPr>
        <w:instrText xml:space="preserve"> SEQ level0 \*arabic </w:instrText>
      </w:r>
      <w:r w:rsidRPr="00031026">
        <w:rPr>
          <w:rFonts w:eastAsia="SimHei"/>
          <w:lang w:eastAsia="fr-FR"/>
        </w:rPr>
        <w:fldChar w:fldCharType="separate"/>
      </w:r>
      <w:r w:rsidRPr="00031026">
        <w:rPr>
          <w:rFonts w:eastAsia="SimHei"/>
          <w:noProof/>
          <w:lang w:eastAsia="fr-FR"/>
        </w:rPr>
        <w:t>65</w:t>
      </w:r>
      <w:r w:rsidRPr="00031026">
        <w:rPr>
          <w:rFonts w:eastAsia="SimHei"/>
          <w:lang w:eastAsia="fr-FR"/>
        </w:rPr>
        <w:fldChar w:fldCharType="end"/>
      </w:r>
      <w:r w:rsidRPr="00031026">
        <w:rPr>
          <w:rFonts w:eastAsia="SimHei"/>
          <w:lang w:eastAsia="fr-FR"/>
        </w:rPr>
        <w:t xml:space="preserve">.  The applicants submitted that their arrest and detention had been politically motivated and had been applied with the intention of punishing and silencing them as NIDA members. In that connection, they submitted that they had actively participated in </w:t>
      </w:r>
      <w:proofErr w:type="gramStart"/>
      <w:r w:rsidRPr="00031026">
        <w:rPr>
          <w:rFonts w:eastAsia="SimHei"/>
          <w:lang w:eastAsia="fr-FR"/>
        </w:rPr>
        <w:t>protests against</w:t>
      </w:r>
      <w:proofErr w:type="gramEnd"/>
      <w:r w:rsidRPr="00031026">
        <w:rPr>
          <w:rFonts w:eastAsia="SimHei"/>
          <w:lang w:eastAsia="fr-FR"/>
        </w:rPr>
        <w:t xml:space="preserve"> the deaths of soldiers in the Azerbaijani army and that a number of members of NIDA had been arrested and detained over the previous few years on account of their activities.</w:t>
      </w:r>
    </w:p>
    <w:p w:rsidRPr="00031026" w:rsidR="00031026" w:rsidP="00031026" w:rsidRDefault="00031026" w14:paraId="51FC111D" w14:textId="1E641A1C">
      <w:pPr>
        <w:pStyle w:val="JuPara"/>
        <w:rPr>
          <w:rFonts w:eastAsia="SimHei"/>
          <w:lang w:eastAsia="fr-FR"/>
        </w:rPr>
      </w:pPr>
      <w:r w:rsidRPr="00031026">
        <w:rPr>
          <w:rFonts w:eastAsia="SimHei"/>
          <w:lang w:eastAsia="fr-FR"/>
        </w:rPr>
        <w:fldChar w:fldCharType="begin"/>
      </w:r>
      <w:r w:rsidRPr="00031026">
        <w:rPr>
          <w:rFonts w:eastAsia="SimHei"/>
          <w:lang w:eastAsia="fr-FR"/>
        </w:rPr>
        <w:instrText xml:space="preserve"> SEQ level0 \*arabic </w:instrText>
      </w:r>
      <w:r w:rsidRPr="00031026">
        <w:rPr>
          <w:rFonts w:eastAsia="SimHei"/>
          <w:lang w:eastAsia="fr-FR"/>
        </w:rPr>
        <w:fldChar w:fldCharType="separate"/>
      </w:r>
      <w:r w:rsidRPr="00031026">
        <w:rPr>
          <w:rFonts w:eastAsia="SimHei"/>
          <w:noProof/>
          <w:lang w:eastAsia="fr-FR"/>
        </w:rPr>
        <w:t>66</w:t>
      </w:r>
      <w:r w:rsidRPr="00031026">
        <w:rPr>
          <w:rFonts w:eastAsia="SimHei"/>
          <w:lang w:eastAsia="fr-FR"/>
        </w:rPr>
        <w:fldChar w:fldCharType="end"/>
      </w:r>
      <w:r w:rsidRPr="00031026">
        <w:rPr>
          <w:rFonts w:eastAsia="SimHei"/>
          <w:lang w:eastAsia="fr-FR"/>
        </w:rPr>
        <w:t xml:space="preserve">.  The Government’s submissions were </w:t>
      </w:r>
      <w:proofErr w:type="gramStart"/>
      <w:r w:rsidRPr="00031026">
        <w:rPr>
          <w:rFonts w:eastAsia="SimHei"/>
          <w:lang w:eastAsia="fr-FR"/>
        </w:rPr>
        <w:t>exactly the same</w:t>
      </w:r>
      <w:proofErr w:type="gramEnd"/>
      <w:r w:rsidRPr="00031026">
        <w:rPr>
          <w:rFonts w:eastAsia="SimHei"/>
          <w:lang w:eastAsia="fr-FR"/>
        </w:rPr>
        <w:t xml:space="preserve"> as those that they had made in </w:t>
      </w:r>
      <w:r w:rsidRPr="00031026">
        <w:rPr>
          <w:i/>
          <w:iCs/>
        </w:rPr>
        <w:t>Rashad Hasanov and Others v. Azerbaijan</w:t>
      </w:r>
      <w:r w:rsidRPr="00031026">
        <w:rPr>
          <w:iCs/>
        </w:rPr>
        <w:t xml:space="preserve"> (nos.</w:t>
      </w:r>
      <w:r w:rsidRPr="00031026">
        <w:rPr>
          <w:snapToGrid w:val="0"/>
          <w:lang w:eastAsia="en-GB"/>
        </w:rPr>
        <w:t xml:space="preserve"> </w:t>
      </w:r>
      <w:r w:rsidRPr="00031026">
        <w:t>48653/13 and 3 others</w:t>
      </w:r>
      <w:r w:rsidRPr="00031026">
        <w:rPr>
          <w:lang w:eastAsia="en-GB"/>
        </w:rPr>
        <w:t xml:space="preserve">, </w:t>
      </w:r>
      <w:r w:rsidRPr="00031026">
        <w:t>§§ 114-15, 7 June 2018).</w:t>
      </w:r>
    </w:p>
    <w:p w:rsidRPr="00031026" w:rsidR="00031026" w:rsidP="00031026" w:rsidRDefault="00031026" w14:paraId="4E296152" w14:textId="1EA94F1B">
      <w:pPr>
        <w:pStyle w:val="JuH1"/>
        <w:ind w:left="731" w:hanging="300"/>
        <w:rPr>
          <w:rFonts w:eastAsia="SimHei"/>
          <w:lang w:eastAsia="fr-FR"/>
        </w:rPr>
      </w:pPr>
      <w:r w:rsidRPr="00031026">
        <w:rPr>
          <w:rFonts w:eastAsia="SimHei"/>
          <w:lang w:eastAsia="fr-FR"/>
        </w:rPr>
        <w:t>The Court’s assessment</w:t>
      </w:r>
    </w:p>
    <w:p w:rsidRPr="00031026" w:rsidR="00031026" w:rsidP="00031026" w:rsidRDefault="00031026" w14:paraId="24877430" w14:textId="53E14F60">
      <w:pPr>
        <w:pStyle w:val="JuPara"/>
      </w:pPr>
      <w:r w:rsidRPr="00031026">
        <w:fldChar w:fldCharType="begin"/>
      </w:r>
      <w:r w:rsidRPr="00031026">
        <w:instrText xml:space="preserve"> SEQ level0 \*arabic </w:instrText>
      </w:r>
      <w:r w:rsidRPr="00031026">
        <w:fldChar w:fldCharType="separate"/>
      </w:r>
      <w:r w:rsidRPr="00031026">
        <w:rPr>
          <w:noProof/>
        </w:rPr>
        <w:t>67</w:t>
      </w:r>
      <w:r w:rsidRPr="00031026">
        <w:fldChar w:fldCharType="end"/>
      </w:r>
      <w:r w:rsidRPr="00031026">
        <w:t xml:space="preserve">.  The Court will examine the applicants’ complaint in the light of the relevant general principles set out by the Grand Chamber in its judgments in </w:t>
      </w:r>
      <w:r w:rsidRPr="00031026">
        <w:rPr>
          <w:i/>
        </w:rPr>
        <w:t>Merabishvili v. Georgia</w:t>
      </w:r>
      <w:r w:rsidRPr="00031026">
        <w:t xml:space="preserve"> ([GC], no. 72508/13, §§ 287-317, 28 November 2017) and </w:t>
      </w:r>
      <w:proofErr w:type="spellStart"/>
      <w:r w:rsidRPr="00031026">
        <w:rPr>
          <w:i/>
        </w:rPr>
        <w:t>Navalnyy</w:t>
      </w:r>
      <w:proofErr w:type="spellEnd"/>
      <w:r w:rsidRPr="00031026">
        <w:rPr>
          <w:i/>
        </w:rPr>
        <w:t xml:space="preserve"> v. Russia</w:t>
      </w:r>
      <w:r w:rsidRPr="00031026">
        <w:t xml:space="preserve"> ([GC], nos. 29580/12 and 4 others, §§ 164</w:t>
      </w:r>
      <w:r w:rsidRPr="00031026">
        <w:noBreakHyphen/>
        <w:t xml:space="preserve">65, 15 November 2018), as well as in the light of the Grand Chamber’s findings in </w:t>
      </w:r>
      <w:proofErr w:type="spellStart"/>
      <w:r w:rsidRPr="00031026">
        <w:rPr>
          <w:i/>
        </w:rPr>
        <w:t>Selahattin</w:t>
      </w:r>
      <w:proofErr w:type="spellEnd"/>
      <w:r w:rsidRPr="00031026">
        <w:rPr>
          <w:i/>
        </w:rPr>
        <w:t xml:space="preserve"> </w:t>
      </w:r>
      <w:proofErr w:type="spellStart"/>
      <w:r w:rsidRPr="00031026">
        <w:rPr>
          <w:i/>
        </w:rPr>
        <w:t>Demirtaş</w:t>
      </w:r>
      <w:proofErr w:type="spellEnd"/>
      <w:r w:rsidRPr="00031026">
        <w:rPr>
          <w:i/>
        </w:rPr>
        <w:t xml:space="preserve"> v. Turkey (no. 2)</w:t>
      </w:r>
      <w:r w:rsidRPr="00031026">
        <w:t xml:space="preserve"> ([GC], no. 14305/17, §§ 425, 429 and 436, 22 December 2020).</w:t>
      </w:r>
    </w:p>
    <w:p w:rsidRPr="00031026" w:rsidR="00031026" w:rsidP="00031026" w:rsidRDefault="00031026" w14:paraId="7B811067" w14:textId="315EA0D8">
      <w:pPr>
        <w:pStyle w:val="JuPara"/>
      </w:pPr>
      <w:r w:rsidRPr="00031026">
        <w:fldChar w:fldCharType="begin"/>
      </w:r>
      <w:r w:rsidRPr="00031026">
        <w:instrText xml:space="preserve"> SEQ level0 \*arabic </w:instrText>
      </w:r>
      <w:r w:rsidRPr="00031026">
        <w:fldChar w:fldCharType="separate"/>
      </w:r>
      <w:r w:rsidRPr="00031026">
        <w:rPr>
          <w:noProof/>
        </w:rPr>
        <w:t>68</w:t>
      </w:r>
      <w:r w:rsidRPr="00031026">
        <w:fldChar w:fldCharType="end"/>
      </w:r>
      <w:r w:rsidRPr="00031026">
        <w:t>.  The Court considers at the outset that in the present application the complaint under Article 18 constitutes a fundamental aspect of the case that has not been addressed above in relation to Article 5 § 3 and merits a separate examination.</w:t>
      </w:r>
    </w:p>
    <w:p w:rsidRPr="00031026" w:rsidR="00031026" w:rsidP="00031026" w:rsidRDefault="00031026" w14:paraId="215F3DC0" w14:textId="602E2908">
      <w:pPr>
        <w:pStyle w:val="JuPara"/>
      </w:pPr>
      <w:r w:rsidRPr="00031026">
        <w:fldChar w:fldCharType="begin"/>
      </w:r>
      <w:r w:rsidRPr="00031026">
        <w:instrText xml:space="preserve"> SEQ level0 \*arabic </w:instrText>
      </w:r>
      <w:r w:rsidRPr="00031026">
        <w:fldChar w:fldCharType="separate"/>
      </w:r>
      <w:r w:rsidRPr="00031026">
        <w:rPr>
          <w:noProof/>
        </w:rPr>
        <w:t>69</w:t>
      </w:r>
      <w:r w:rsidRPr="00031026">
        <w:fldChar w:fldCharType="end"/>
      </w:r>
      <w:r w:rsidRPr="00031026">
        <w:t xml:space="preserve">.  The Court further observes that the circumstances of the present case and the complaint raised under Article 18 of the Convention by the applicants are </w:t>
      </w:r>
      <w:proofErr w:type="gramStart"/>
      <w:r w:rsidRPr="00031026">
        <w:t>similar to</w:t>
      </w:r>
      <w:proofErr w:type="gramEnd"/>
      <w:r w:rsidRPr="00031026">
        <w:t xml:space="preserve"> those already examined by it in </w:t>
      </w:r>
      <w:r w:rsidRPr="00031026">
        <w:rPr>
          <w:i/>
          <w:iCs/>
        </w:rPr>
        <w:t>Rashad Hasanov and Others</w:t>
      </w:r>
      <w:r w:rsidRPr="00031026">
        <w:rPr>
          <w:iCs/>
        </w:rPr>
        <w:t xml:space="preserve"> (cited above, </w:t>
      </w:r>
      <w:r w:rsidRPr="00031026">
        <w:t xml:space="preserve">in which it found a violation of Article 18 taken in conjunction with Article 5 of the Convention). In particular, the applicants in the present case and the four applicants in </w:t>
      </w:r>
      <w:r w:rsidRPr="00031026">
        <w:rPr>
          <w:i/>
        </w:rPr>
        <w:t>Rashad Hasanov and Others</w:t>
      </w:r>
      <w:r w:rsidRPr="00031026">
        <w:t xml:space="preserve"> were arrested and detained mainly </w:t>
      </w:r>
      <w:proofErr w:type="gramStart"/>
      <w:r w:rsidRPr="00031026">
        <w:t>on the basis of</w:t>
      </w:r>
      <w:proofErr w:type="gramEnd"/>
      <w:r w:rsidRPr="00031026">
        <w:t xml:space="preserve"> the same criminal charges and were subsequently prosecuted and convicted within the framework of the same criminal proceedings (</w:t>
      </w:r>
      <w:r w:rsidRPr="00031026">
        <w:rPr>
          <w:iCs/>
        </w:rPr>
        <w:t>ibid., §§ 5-12 and §§ 65-66</w:t>
      </w:r>
      <w:r w:rsidRPr="00031026">
        <w:t>).</w:t>
      </w:r>
    </w:p>
    <w:p w:rsidRPr="00031026" w:rsidR="00031026" w:rsidP="00031026" w:rsidRDefault="00031026" w14:paraId="5DD0ABD1" w14:textId="2154DD0E">
      <w:pPr>
        <w:pStyle w:val="JuPara"/>
      </w:pPr>
      <w:r w:rsidRPr="00031026">
        <w:fldChar w:fldCharType="begin"/>
      </w:r>
      <w:r w:rsidRPr="00031026">
        <w:instrText xml:space="preserve"> SEQ level0 \*arabic </w:instrText>
      </w:r>
      <w:r w:rsidRPr="00031026">
        <w:fldChar w:fldCharType="separate"/>
      </w:r>
      <w:r w:rsidRPr="00031026">
        <w:rPr>
          <w:noProof/>
        </w:rPr>
        <w:t>70</w:t>
      </w:r>
      <w:r w:rsidRPr="00031026">
        <w:fldChar w:fldCharType="end"/>
      </w:r>
      <w:r w:rsidRPr="00031026">
        <w:t xml:space="preserve">.  However, unlike in </w:t>
      </w:r>
      <w:r w:rsidRPr="00031026">
        <w:rPr>
          <w:i/>
          <w:iCs/>
        </w:rPr>
        <w:t>Rashad Hasanov and Others</w:t>
      </w:r>
      <w:r w:rsidRPr="00031026">
        <w:rPr>
          <w:iCs/>
        </w:rPr>
        <w:t>,</w:t>
      </w:r>
      <w:r w:rsidRPr="00031026">
        <w:t xml:space="preserve"> in the present case the Court was not called upon to examine whether the applicants had been deprived of their liberty in the absence of a “reasonable suspicion” of their having committed a criminal offence, as the applicants did not appeal against the original decisions depriving them of their liberty (see paragraphs 9 and 13 above) and did not raise this complaint in their appeals against the extension of their pre-trial detention, and thus did not exhaust domestic remedies in this regard. The present case should therefore be distinguished from cases in which an applicant’s right or freedom was restricted for a purpose that was not prescribed by the Convention; in those </w:t>
      </w:r>
      <w:proofErr w:type="gramStart"/>
      <w:r w:rsidRPr="00031026">
        <w:t>cases</w:t>
      </w:r>
      <w:proofErr w:type="gramEnd"/>
      <w:r w:rsidRPr="00031026">
        <w:t xml:space="preserve"> no issue arose in respect of a potential plurality of purposes (compare, for example, </w:t>
      </w:r>
      <w:r w:rsidRPr="00031026">
        <w:rPr>
          <w:i/>
          <w:iCs/>
        </w:rPr>
        <w:t>Rashad Hasanov and Others</w:t>
      </w:r>
      <w:r w:rsidRPr="00031026">
        <w:rPr>
          <w:iCs/>
        </w:rPr>
        <w:t>,</w:t>
      </w:r>
      <w:r w:rsidRPr="00031026">
        <w:rPr>
          <w:lang w:eastAsia="en-GB"/>
        </w:rPr>
        <w:t xml:space="preserve"> cited above, </w:t>
      </w:r>
      <w:r w:rsidRPr="00031026">
        <w:t xml:space="preserve">§ 119; </w:t>
      </w:r>
      <w:r w:rsidRPr="00031026">
        <w:rPr>
          <w:i/>
          <w:iCs/>
        </w:rPr>
        <w:t>Aliyev v. Azerbaijan</w:t>
      </w:r>
      <w:r w:rsidRPr="00031026">
        <w:rPr>
          <w:lang w:eastAsia="en-GB"/>
        </w:rPr>
        <w:t xml:space="preserve">, nos. </w:t>
      </w:r>
      <w:r w:rsidRPr="00031026">
        <w:t>68762/14 and 71200/14</w:t>
      </w:r>
      <w:r w:rsidRPr="00031026">
        <w:rPr>
          <w:lang w:eastAsia="en-GB"/>
        </w:rPr>
        <w:t xml:space="preserve">, </w:t>
      </w:r>
      <w:r w:rsidRPr="00031026">
        <w:t xml:space="preserve">§ 206, 20 September 2018; and </w:t>
      </w:r>
      <w:proofErr w:type="spellStart"/>
      <w:r w:rsidRPr="00031026">
        <w:rPr>
          <w:i/>
        </w:rPr>
        <w:t>Navalnyy</w:t>
      </w:r>
      <w:proofErr w:type="spellEnd"/>
      <w:r w:rsidRPr="00031026">
        <w:t xml:space="preserve">, cited above, § 166). In the present case the Court must deal with the issue of plurality of purposes in the examination of the applicants’ complaint under Article 18 of the Convention. The Court will thus examine whether the domestic authorities’ decisions to keep the applicants in pre-trial detention also pursued an ulterior purpose, and, if that is the case, whether that ulterior purpose was </w:t>
      </w:r>
      <w:r w:rsidRPr="00031026">
        <w:rPr>
          <w:lang w:bidi="en-US"/>
        </w:rPr>
        <w:t>the predominant purpose of the restriction of the applicants’ right to liberty (</w:t>
      </w:r>
      <w:r w:rsidRPr="00031026">
        <w:t xml:space="preserve">compare </w:t>
      </w:r>
      <w:r w:rsidRPr="00031026">
        <w:rPr>
          <w:i/>
        </w:rPr>
        <w:t>Merabishvili</w:t>
      </w:r>
      <w:r w:rsidRPr="00031026">
        <w:t>, cited above, §§ 318</w:t>
      </w:r>
      <w:r w:rsidRPr="00031026">
        <w:noBreakHyphen/>
        <w:t>54</w:t>
      </w:r>
      <w:r w:rsidRPr="00031026">
        <w:rPr>
          <w:lang w:bidi="en-US"/>
        </w:rPr>
        <w:t>).</w:t>
      </w:r>
    </w:p>
    <w:p w:rsidRPr="00031026" w:rsidR="00031026" w:rsidP="00031026" w:rsidRDefault="00031026" w14:paraId="295C4C31" w14:textId="7BD0B24D">
      <w:pPr>
        <w:pStyle w:val="JuPara"/>
        <w:rPr>
          <w:rFonts w:ascii="Times New Roman" w:hAnsi="Times New Roman" w:eastAsia="SimHei" w:cs="SimHei"/>
          <w:color w:val="000000"/>
          <w:szCs w:val="20"/>
          <w:lang w:eastAsia="fr-FR"/>
        </w:rPr>
      </w:pPr>
      <w:r w:rsidRPr="00031026">
        <w:rPr>
          <w:rFonts w:ascii="Times New Roman" w:hAnsi="Times New Roman" w:eastAsia="SimHei" w:cs="SimHei"/>
          <w:szCs w:val="20"/>
          <w:lang w:eastAsia="fr-FR"/>
        </w:rPr>
        <w:fldChar w:fldCharType="begin"/>
      </w:r>
      <w:r w:rsidRPr="00031026">
        <w:rPr>
          <w:rFonts w:ascii="Times New Roman" w:hAnsi="Times New Roman" w:eastAsia="SimHei" w:cs="SimHei"/>
          <w:szCs w:val="20"/>
          <w:lang w:eastAsia="fr-FR"/>
        </w:rPr>
        <w:instrText xml:space="preserve"> SEQ level0 \*arabic </w:instrText>
      </w:r>
      <w:r w:rsidRPr="00031026">
        <w:rPr>
          <w:rFonts w:ascii="Times New Roman" w:hAnsi="Times New Roman" w:eastAsia="SimHei" w:cs="SimHei"/>
          <w:szCs w:val="20"/>
          <w:lang w:eastAsia="fr-FR"/>
        </w:rPr>
        <w:fldChar w:fldCharType="separate"/>
      </w:r>
      <w:r w:rsidRPr="00031026">
        <w:rPr>
          <w:rFonts w:ascii="Times New Roman" w:hAnsi="Times New Roman" w:eastAsia="SimHei" w:cs="SimHei"/>
          <w:noProof/>
          <w:szCs w:val="20"/>
          <w:lang w:eastAsia="fr-FR"/>
        </w:rPr>
        <w:t>71</w:t>
      </w:r>
      <w:r w:rsidRPr="00031026">
        <w:rPr>
          <w:rFonts w:ascii="Times New Roman" w:hAnsi="Times New Roman" w:eastAsia="SimHei" w:cs="SimHei"/>
          <w:szCs w:val="20"/>
          <w:lang w:eastAsia="fr-FR"/>
        </w:rPr>
        <w:fldChar w:fldCharType="end"/>
      </w:r>
      <w:r w:rsidRPr="00031026">
        <w:rPr>
          <w:rFonts w:ascii="Times New Roman" w:hAnsi="Times New Roman" w:eastAsia="SimHei" w:cs="SimHei"/>
          <w:szCs w:val="20"/>
          <w:lang w:eastAsia="fr-FR"/>
        </w:rPr>
        <w:t>.  As regards the question of whether</w:t>
      </w:r>
      <w:r w:rsidRPr="00031026">
        <w:t xml:space="preserve"> the applicants’ continued pre-trial detention pursued an ulterior purpose</w:t>
      </w:r>
      <w:r w:rsidRPr="00031026">
        <w:rPr>
          <w:rFonts w:ascii="Times New Roman" w:hAnsi="Times New Roman" w:eastAsia="SimHei" w:cs="SimHei"/>
          <w:szCs w:val="20"/>
          <w:lang w:eastAsia="fr-FR"/>
        </w:rPr>
        <w:t xml:space="preserve">, the Court has already found in </w:t>
      </w:r>
      <w:r w:rsidRPr="00031026">
        <w:rPr>
          <w:i/>
          <w:iCs/>
        </w:rPr>
        <w:t>Rashad Hasanov and Others</w:t>
      </w:r>
      <w:r w:rsidRPr="00031026">
        <w:rPr>
          <w:iCs/>
        </w:rPr>
        <w:t xml:space="preserve"> (</w:t>
      </w:r>
      <w:r w:rsidRPr="00031026">
        <w:t>cited above, §§ 122</w:t>
      </w:r>
      <w:r w:rsidRPr="00031026">
        <w:noBreakHyphen/>
        <w:t>24</w:t>
      </w:r>
      <w:r w:rsidRPr="00031026">
        <w:rPr>
          <w:lang w:bidi="en-US"/>
        </w:rPr>
        <w:t xml:space="preserve">) </w:t>
      </w:r>
      <w:r w:rsidRPr="00031026">
        <w:rPr>
          <w:rFonts w:ascii="Times New Roman" w:hAnsi="Times New Roman" w:eastAsia="SimHei" w:cs="SimHei"/>
          <w:szCs w:val="20"/>
          <w:lang w:eastAsia="fr-FR"/>
        </w:rPr>
        <w:t xml:space="preserve">that the joint public statement of 8 March 2013 issued by </w:t>
      </w:r>
      <w:r w:rsidRPr="00031026">
        <w:rPr>
          <w:rFonts w:ascii="Times New Roman" w:hAnsi="Times New Roman" w:eastAsia="SimHei" w:cs="SimHei"/>
          <w:szCs w:val="20"/>
          <w:lang w:eastAsia="en-GB"/>
        </w:rPr>
        <w:t>the Prosecutor General’s Office and the MNS clearly targeted NIDA and its members, stating that “illegal attempts to undermine the social and political stability established in the country have recently been made by some radical destructive forces”. It is also clear from the above-mentioned statement that from the very beginning of the criminal proceedings, within the framework of which the applicants were kept in pre</w:t>
      </w:r>
      <w:r w:rsidRPr="00031026">
        <w:rPr>
          <w:rFonts w:ascii="Times New Roman" w:hAnsi="Times New Roman" w:eastAsia="SimHei" w:cs="SimHei"/>
          <w:szCs w:val="20"/>
          <w:lang w:eastAsia="en-GB"/>
        </w:rPr>
        <w:noBreakHyphen/>
        <w:t>trial detention, the law-enforcement authorities tried to link the applicants’ alleged possession of narcotic substances and Molotov cocktails to their membership of NIDA by stating, without any reservation, that “</w:t>
      </w:r>
      <w:r w:rsidRPr="00031026">
        <w:rPr>
          <w:rFonts w:ascii="Times New Roman" w:hAnsi="Times New Roman" w:eastAsia="SimHei" w:cs="SimHei"/>
          <w:color w:val="000000"/>
          <w:szCs w:val="20"/>
          <w:lang w:eastAsia="fr-FR"/>
        </w:rPr>
        <w:t xml:space="preserve">since mid-2012 all three individuals, being addicted to narcotic substances and having become members of NIDA through the Internet, had actively participated in a number of the organisation’s illegal activities” (ibid., </w:t>
      </w:r>
      <w:r w:rsidRPr="00031026">
        <w:rPr>
          <w:rFonts w:ascii="Times New Roman" w:hAnsi="Times New Roman" w:eastAsia="SimHei" w:cs="Times New Roman"/>
          <w:color w:val="000000"/>
          <w:szCs w:val="20"/>
          <w:lang w:eastAsia="fr-FR"/>
        </w:rPr>
        <w:t>§</w:t>
      </w:r>
      <w:r w:rsidRPr="00031026">
        <w:rPr>
          <w:rFonts w:ascii="Times New Roman" w:hAnsi="Times New Roman" w:eastAsia="SimHei" w:cs="SimHei"/>
          <w:color w:val="000000"/>
          <w:szCs w:val="20"/>
          <w:lang w:eastAsia="fr-FR"/>
        </w:rPr>
        <w:t> 122, and see paragraph 14 above).</w:t>
      </w:r>
    </w:p>
    <w:p w:rsidRPr="00031026" w:rsidR="00031026" w:rsidP="00031026" w:rsidRDefault="00031026" w14:paraId="54E3B06B" w14:textId="299EE705">
      <w:pPr>
        <w:pStyle w:val="JuPara"/>
        <w:rPr>
          <w:rFonts w:ascii="Times New Roman" w:hAnsi="Times New Roman" w:eastAsia="SimHei" w:cs="SimHei"/>
          <w:color w:val="000000"/>
          <w:szCs w:val="20"/>
          <w:lang w:eastAsia="fr-FR"/>
        </w:rPr>
      </w:pPr>
      <w:r w:rsidRPr="00031026">
        <w:rPr>
          <w:rFonts w:ascii="Times New Roman" w:hAnsi="Times New Roman" w:eastAsia="SimHei" w:cs="SimHei"/>
          <w:color w:val="000000"/>
          <w:szCs w:val="20"/>
          <w:lang w:eastAsia="fr-FR"/>
        </w:rPr>
        <w:fldChar w:fldCharType="begin"/>
      </w:r>
      <w:r w:rsidRPr="00031026">
        <w:rPr>
          <w:rFonts w:ascii="Times New Roman" w:hAnsi="Times New Roman" w:eastAsia="SimHei" w:cs="SimHei"/>
          <w:color w:val="000000"/>
          <w:szCs w:val="20"/>
          <w:lang w:eastAsia="fr-FR"/>
        </w:rPr>
        <w:instrText xml:space="preserve"> SEQ level0 \*arabic </w:instrText>
      </w:r>
      <w:r w:rsidRPr="00031026">
        <w:rPr>
          <w:rFonts w:ascii="Times New Roman" w:hAnsi="Times New Roman" w:eastAsia="SimHei" w:cs="SimHei"/>
          <w:color w:val="000000"/>
          <w:szCs w:val="20"/>
          <w:lang w:eastAsia="fr-FR"/>
        </w:rPr>
        <w:fldChar w:fldCharType="separate"/>
      </w:r>
      <w:r w:rsidRPr="00031026">
        <w:rPr>
          <w:rFonts w:ascii="Times New Roman" w:hAnsi="Times New Roman" w:eastAsia="SimHei" w:cs="SimHei"/>
          <w:noProof/>
          <w:color w:val="000000"/>
          <w:szCs w:val="20"/>
          <w:lang w:eastAsia="fr-FR"/>
        </w:rPr>
        <w:t>72</w:t>
      </w:r>
      <w:r w:rsidRPr="00031026">
        <w:rPr>
          <w:rFonts w:ascii="Times New Roman" w:hAnsi="Times New Roman" w:eastAsia="SimHei" w:cs="SimHei"/>
          <w:color w:val="000000"/>
          <w:szCs w:val="20"/>
          <w:lang w:eastAsia="fr-FR"/>
        </w:rPr>
        <w:fldChar w:fldCharType="end"/>
      </w:r>
      <w:r w:rsidRPr="00031026">
        <w:rPr>
          <w:rFonts w:ascii="Times New Roman" w:hAnsi="Times New Roman" w:eastAsia="SimHei" w:cs="SimHei"/>
          <w:color w:val="000000"/>
          <w:szCs w:val="20"/>
          <w:lang w:eastAsia="fr-FR"/>
        </w:rPr>
        <w:t xml:space="preserve">.  The Court further held in </w:t>
      </w:r>
      <w:r w:rsidRPr="00031026">
        <w:rPr>
          <w:rFonts w:ascii="Times New Roman" w:hAnsi="Times New Roman" w:eastAsia="SimHei" w:cs="SimHei"/>
          <w:i/>
          <w:iCs/>
          <w:color w:val="000000"/>
          <w:szCs w:val="20"/>
          <w:lang w:eastAsia="fr-FR"/>
        </w:rPr>
        <w:t>Rashad Hasanov and Others</w:t>
      </w:r>
      <w:r w:rsidRPr="00031026">
        <w:rPr>
          <w:rFonts w:ascii="Times New Roman" w:hAnsi="Times New Roman" w:eastAsia="SimHei" w:cs="SimHei"/>
          <w:color w:val="000000"/>
          <w:szCs w:val="20"/>
          <w:lang w:eastAsia="fr-FR"/>
        </w:rPr>
        <w:t xml:space="preserve"> that the prosecution authorities had intended to demonstrate that NIDA and its members were “destructive forces” and an organisation carrying out “a number of illegal activities”, solely relying on the fact that narcotic substances and Molotov cocktails had allegedly been found in the flats of NIDA members (ibid.</w:t>
      </w:r>
      <w:r w:rsidRPr="00031026">
        <w:t>, § 123</w:t>
      </w:r>
      <w:r w:rsidRPr="00031026">
        <w:rPr>
          <w:rFonts w:ascii="Times New Roman" w:hAnsi="Times New Roman" w:eastAsia="SimHei" w:cs="SimHei"/>
          <w:color w:val="000000"/>
          <w:szCs w:val="20"/>
          <w:lang w:eastAsia="fr-FR"/>
        </w:rPr>
        <w:t>).</w:t>
      </w:r>
    </w:p>
    <w:p w:rsidRPr="00031026" w:rsidR="00031026" w:rsidP="00031026" w:rsidRDefault="00031026" w14:paraId="3DF3D0B0" w14:textId="590C43A3">
      <w:pPr>
        <w:pStyle w:val="JuPara"/>
        <w:rPr>
          <w:rFonts w:ascii="Times New Roman" w:hAnsi="Times New Roman" w:eastAsia="SimHei" w:cs="SimHei"/>
          <w:szCs w:val="20"/>
          <w:lang w:eastAsia="en-GB"/>
        </w:rPr>
      </w:pPr>
      <w:r w:rsidRPr="00031026">
        <w:rPr>
          <w:rFonts w:ascii="Times New Roman" w:hAnsi="Times New Roman" w:eastAsia="SimHei" w:cs="SimHei"/>
          <w:color w:val="000000"/>
          <w:szCs w:val="20"/>
          <w:lang w:eastAsia="fr-FR"/>
        </w:rPr>
        <w:fldChar w:fldCharType="begin"/>
      </w:r>
      <w:r w:rsidRPr="00031026">
        <w:rPr>
          <w:rFonts w:ascii="Times New Roman" w:hAnsi="Times New Roman" w:eastAsia="SimHei" w:cs="SimHei"/>
          <w:color w:val="000000"/>
          <w:szCs w:val="20"/>
          <w:lang w:eastAsia="fr-FR"/>
        </w:rPr>
        <w:instrText xml:space="preserve"> SEQ level0 \*arabic </w:instrText>
      </w:r>
      <w:r w:rsidRPr="00031026">
        <w:rPr>
          <w:rFonts w:ascii="Times New Roman" w:hAnsi="Times New Roman" w:eastAsia="SimHei" w:cs="SimHei"/>
          <w:color w:val="000000"/>
          <w:szCs w:val="20"/>
          <w:lang w:eastAsia="fr-FR"/>
        </w:rPr>
        <w:fldChar w:fldCharType="separate"/>
      </w:r>
      <w:r w:rsidRPr="00031026">
        <w:rPr>
          <w:rFonts w:ascii="Times New Roman" w:hAnsi="Times New Roman" w:eastAsia="SimHei" w:cs="SimHei"/>
          <w:noProof/>
          <w:color w:val="000000"/>
          <w:szCs w:val="20"/>
          <w:lang w:eastAsia="fr-FR"/>
        </w:rPr>
        <w:t>73</w:t>
      </w:r>
      <w:r w:rsidRPr="00031026">
        <w:rPr>
          <w:rFonts w:ascii="Times New Roman" w:hAnsi="Times New Roman" w:eastAsia="SimHei" w:cs="SimHei"/>
          <w:color w:val="000000"/>
          <w:szCs w:val="20"/>
          <w:lang w:eastAsia="fr-FR"/>
        </w:rPr>
        <w:fldChar w:fldCharType="end"/>
      </w:r>
      <w:r w:rsidRPr="00031026">
        <w:rPr>
          <w:rFonts w:ascii="Times New Roman" w:hAnsi="Times New Roman" w:eastAsia="SimHei" w:cs="SimHei"/>
          <w:color w:val="000000"/>
          <w:szCs w:val="20"/>
          <w:lang w:eastAsia="fr-FR"/>
        </w:rPr>
        <w:t xml:space="preserve">.  The Court also considers that the institution of criminal proceedings against the applicants by the prosecuting authorities and their subsequent pre-trial detention were used by the domestic authorities to prevent the organisation of further </w:t>
      </w:r>
      <w:proofErr w:type="gramStart"/>
      <w:r w:rsidRPr="00031026">
        <w:rPr>
          <w:rFonts w:ascii="Times New Roman" w:hAnsi="Times New Roman" w:eastAsia="SimHei" w:cs="SimHei"/>
          <w:szCs w:val="20"/>
          <w:lang w:eastAsia="fr-FR"/>
        </w:rPr>
        <w:t>protests against</w:t>
      </w:r>
      <w:proofErr w:type="gramEnd"/>
      <w:r w:rsidRPr="00031026">
        <w:rPr>
          <w:rFonts w:ascii="Times New Roman" w:hAnsi="Times New Roman" w:eastAsia="SimHei" w:cs="SimHei"/>
          <w:szCs w:val="20"/>
          <w:lang w:eastAsia="fr-FR"/>
        </w:rPr>
        <w:t xml:space="preserve"> the government. In that connection, the Court attaches weight to the timing of the institution of criminal proceedings against the applicants on the eve of the demonstration scheduled for 10 March 2013, following a series of demonstrations against the government in which the applicants and other members of NIDA had actively participated (compare </w:t>
      </w:r>
      <w:r w:rsidRPr="00031026">
        <w:rPr>
          <w:i/>
          <w:iCs/>
        </w:rPr>
        <w:t>Mammadli v. Azerbaijan</w:t>
      </w:r>
      <w:r w:rsidRPr="00031026">
        <w:rPr>
          <w:lang w:eastAsia="en-GB"/>
        </w:rPr>
        <w:t>, no.</w:t>
      </w:r>
      <w:r w:rsidRPr="00031026">
        <w:t xml:space="preserve"> 47145/14</w:t>
      </w:r>
      <w:r w:rsidRPr="00031026">
        <w:rPr>
          <w:lang w:eastAsia="en-GB"/>
        </w:rPr>
        <w:t xml:space="preserve">, </w:t>
      </w:r>
      <w:r w:rsidRPr="00031026">
        <w:t xml:space="preserve">§ 102, 19 April 2018, and </w:t>
      </w:r>
      <w:r w:rsidRPr="00031026">
        <w:rPr>
          <w:i/>
        </w:rPr>
        <w:t>Ibrahimov and Mammadov v. Azerbaijan</w:t>
      </w:r>
      <w:r w:rsidRPr="00031026">
        <w:t>, nos. 63571/16 and 5 others, § 153, 13 February 2020</w:t>
      </w:r>
      <w:r w:rsidRPr="00031026">
        <w:rPr>
          <w:rFonts w:ascii="Times New Roman" w:hAnsi="Times New Roman" w:eastAsia="SimHei" w:cs="SimHei"/>
          <w:szCs w:val="20"/>
          <w:lang w:eastAsia="fr-FR"/>
        </w:rPr>
        <w:t xml:space="preserve">). The Court also does not lose sight of the fact that the prosecuting authorities, in their statement of 8 March 2013, </w:t>
      </w:r>
      <w:r w:rsidRPr="00031026">
        <w:rPr>
          <w:rFonts w:ascii="Times New Roman" w:hAnsi="Times New Roman" w:eastAsia="SimHei" w:cs="SimHei"/>
          <w:szCs w:val="20"/>
          <w:lang w:eastAsia="en-GB"/>
        </w:rPr>
        <w:t xml:space="preserve">tried to portray </w:t>
      </w:r>
      <w:r w:rsidRPr="00031026">
        <w:rPr>
          <w:rFonts w:ascii="Times New Roman" w:hAnsi="Times New Roman" w:eastAsia="SimHei" w:cs="SimHei"/>
          <w:color w:val="000000"/>
          <w:szCs w:val="20"/>
          <w:lang w:eastAsia="fr-FR"/>
        </w:rPr>
        <w:t xml:space="preserve">twenty-eight leaflets worded “democracy urgently needed, </w:t>
      </w:r>
      <w:proofErr w:type="spellStart"/>
      <w:r w:rsidRPr="00031026">
        <w:rPr>
          <w:rFonts w:ascii="Times New Roman" w:hAnsi="Times New Roman" w:eastAsia="SimHei" w:cs="SimHei"/>
          <w:color w:val="000000"/>
          <w:szCs w:val="20"/>
          <w:lang w:eastAsia="fr-FR"/>
        </w:rPr>
        <w:t>tel</w:t>
      </w:r>
      <w:proofErr w:type="spellEnd"/>
      <w:r w:rsidRPr="00031026">
        <w:rPr>
          <w:rFonts w:ascii="Times New Roman" w:hAnsi="Times New Roman" w:eastAsia="SimHei" w:cs="SimHei"/>
          <w:color w:val="000000"/>
          <w:szCs w:val="20"/>
          <w:lang w:eastAsia="fr-FR"/>
        </w:rPr>
        <w:t>: + 994, address: Azerbaijan” (“</w:t>
      </w:r>
      <w:proofErr w:type="spellStart"/>
      <w:r w:rsidRPr="00031026">
        <w:rPr>
          <w:rFonts w:ascii="Times New Roman" w:hAnsi="Times New Roman" w:eastAsia="SimHei" w:cs="SimHei"/>
          <w:i/>
          <w:szCs w:val="20"/>
          <w:lang w:eastAsia="fr-FR"/>
        </w:rPr>
        <w:t>təcili</w:t>
      </w:r>
      <w:proofErr w:type="spellEnd"/>
      <w:r w:rsidRPr="00031026">
        <w:rPr>
          <w:rFonts w:ascii="Times New Roman" w:hAnsi="Times New Roman" w:eastAsia="SimHei" w:cs="SimHei"/>
          <w:i/>
          <w:szCs w:val="20"/>
          <w:lang w:eastAsia="fr-FR"/>
        </w:rPr>
        <w:t xml:space="preserve"> </w:t>
      </w:r>
      <w:proofErr w:type="spellStart"/>
      <w:r w:rsidRPr="00031026">
        <w:rPr>
          <w:rFonts w:ascii="Times New Roman" w:hAnsi="Times New Roman" w:eastAsia="SimHei" w:cs="SimHei"/>
          <w:i/>
          <w:szCs w:val="20"/>
          <w:lang w:eastAsia="fr-FR"/>
        </w:rPr>
        <w:t>demokratiya</w:t>
      </w:r>
      <w:proofErr w:type="spellEnd"/>
      <w:r w:rsidRPr="00031026">
        <w:rPr>
          <w:rFonts w:ascii="Times New Roman" w:hAnsi="Times New Roman" w:eastAsia="SimHei" w:cs="SimHei"/>
          <w:i/>
          <w:szCs w:val="20"/>
          <w:lang w:eastAsia="fr-FR"/>
        </w:rPr>
        <w:t xml:space="preserve"> </w:t>
      </w:r>
      <w:proofErr w:type="spellStart"/>
      <w:r w:rsidRPr="00031026">
        <w:rPr>
          <w:rFonts w:ascii="Times New Roman" w:hAnsi="Times New Roman" w:eastAsia="SimHei" w:cs="SimHei"/>
          <w:i/>
          <w:szCs w:val="20"/>
          <w:lang w:eastAsia="fr-FR"/>
        </w:rPr>
        <w:t>tələb</w:t>
      </w:r>
      <w:proofErr w:type="spellEnd"/>
      <w:r w:rsidRPr="00031026">
        <w:rPr>
          <w:rFonts w:ascii="Times New Roman" w:hAnsi="Times New Roman" w:eastAsia="SimHei" w:cs="SimHei"/>
          <w:i/>
          <w:szCs w:val="20"/>
          <w:lang w:eastAsia="fr-FR"/>
        </w:rPr>
        <w:t xml:space="preserve"> </w:t>
      </w:r>
      <w:proofErr w:type="spellStart"/>
      <w:r w:rsidRPr="00031026">
        <w:rPr>
          <w:rFonts w:ascii="Times New Roman" w:hAnsi="Times New Roman" w:eastAsia="SimHei" w:cs="SimHei"/>
          <w:i/>
          <w:szCs w:val="20"/>
          <w:lang w:eastAsia="fr-FR"/>
        </w:rPr>
        <w:t>olunur</w:t>
      </w:r>
      <w:proofErr w:type="spellEnd"/>
      <w:r w:rsidRPr="00031026">
        <w:rPr>
          <w:rFonts w:ascii="Times New Roman" w:hAnsi="Times New Roman" w:eastAsia="SimHei" w:cs="SimHei"/>
          <w:i/>
          <w:szCs w:val="20"/>
          <w:lang w:eastAsia="fr-FR"/>
        </w:rPr>
        <w:t>,</w:t>
      </w:r>
      <w:r w:rsidRPr="00031026">
        <w:rPr>
          <w:rFonts w:ascii="Times New Roman" w:hAnsi="Times New Roman" w:eastAsia="Times New Roman" w:cs="Times New Roman"/>
          <w:i/>
        </w:rPr>
        <w:t xml:space="preserve"> </w:t>
      </w:r>
      <w:proofErr w:type="spellStart"/>
      <w:r w:rsidRPr="00031026">
        <w:rPr>
          <w:rFonts w:ascii="Times New Roman" w:hAnsi="Times New Roman" w:eastAsia="Times New Roman" w:cs="Times New Roman"/>
          <w:i/>
        </w:rPr>
        <w:t>tel</w:t>
      </w:r>
      <w:proofErr w:type="spellEnd"/>
      <w:r w:rsidRPr="00031026">
        <w:rPr>
          <w:rFonts w:ascii="Times New Roman" w:hAnsi="Times New Roman" w:eastAsia="Times New Roman" w:cs="Times New Roman"/>
          <w:i/>
        </w:rPr>
        <w:t xml:space="preserve"> : + 994, </w:t>
      </w:r>
      <w:proofErr w:type="spellStart"/>
      <w:r w:rsidRPr="00031026">
        <w:rPr>
          <w:rFonts w:ascii="Times New Roman" w:hAnsi="Times New Roman" w:eastAsia="Times New Roman" w:cs="Times New Roman"/>
          <w:i/>
        </w:rPr>
        <w:t>ünvan</w:t>
      </w:r>
      <w:proofErr w:type="spellEnd"/>
      <w:r w:rsidRPr="00031026">
        <w:rPr>
          <w:rFonts w:ascii="Times New Roman" w:hAnsi="Times New Roman" w:eastAsia="Times New Roman" w:cs="Times New Roman"/>
          <w:i/>
        </w:rPr>
        <w:t xml:space="preserve">: </w:t>
      </w:r>
      <w:proofErr w:type="spellStart"/>
      <w:r w:rsidRPr="00031026">
        <w:rPr>
          <w:rFonts w:ascii="Times New Roman" w:hAnsi="Times New Roman" w:eastAsia="Times New Roman" w:cs="Times New Roman"/>
          <w:i/>
        </w:rPr>
        <w:t>Azərbaycan</w:t>
      </w:r>
      <w:proofErr w:type="spellEnd"/>
      <w:r w:rsidRPr="00031026">
        <w:rPr>
          <w:rFonts w:ascii="Times New Roman" w:hAnsi="Times New Roman" w:eastAsia="Times New Roman" w:cs="Times New Roman"/>
          <w:iCs/>
        </w:rPr>
        <w:t>”</w:t>
      </w:r>
      <w:r w:rsidRPr="00031026">
        <w:rPr>
          <w:rFonts w:ascii="Times New Roman" w:hAnsi="Times New Roman" w:eastAsia="SimHei" w:cs="SimHei"/>
          <w:szCs w:val="20"/>
          <w:lang w:eastAsia="fr-FR"/>
        </w:rPr>
        <w:t>)</w:t>
      </w:r>
      <w:r w:rsidRPr="00031026">
        <w:rPr>
          <w:rFonts w:ascii="Times New Roman" w:hAnsi="Times New Roman" w:eastAsia="SimHei" w:cs="SimHei"/>
          <w:color w:val="000000"/>
          <w:szCs w:val="20"/>
          <w:lang w:eastAsia="fr-FR"/>
        </w:rPr>
        <w:t xml:space="preserve">, found in the first applicant’s flat, as illegal material proving the applicants’ intention to incite </w:t>
      </w:r>
      <w:r w:rsidRPr="00031026">
        <w:rPr>
          <w:rFonts w:ascii="Times New Roman" w:hAnsi="Times New Roman" w:eastAsia="SimHei" w:cs="SimHei"/>
          <w:szCs w:val="20"/>
          <w:lang w:eastAsia="fr-FR"/>
        </w:rPr>
        <w:t xml:space="preserve">violence and civil unrest during </w:t>
      </w:r>
      <w:r w:rsidRPr="00031026">
        <w:rPr>
          <w:rFonts w:ascii="Times New Roman" w:hAnsi="Times New Roman" w:eastAsia="SimHei" w:cs="SimHei"/>
          <w:szCs w:val="20"/>
          <w:lang w:eastAsia="en-GB"/>
        </w:rPr>
        <w:t>the unlawful demonstration scheduled for 10 March 2013 (see paragraph 14 above).</w:t>
      </w:r>
    </w:p>
    <w:p w:rsidRPr="00031026" w:rsidR="00031026" w:rsidP="00031026" w:rsidRDefault="00031026" w14:paraId="4D99C548" w14:textId="750D52D3">
      <w:pPr>
        <w:pStyle w:val="JuPara"/>
      </w:pPr>
      <w:r w:rsidRPr="00031026">
        <w:fldChar w:fldCharType="begin"/>
      </w:r>
      <w:r w:rsidRPr="00031026">
        <w:instrText xml:space="preserve"> SEQ level0 \*arabic </w:instrText>
      </w:r>
      <w:r w:rsidRPr="00031026">
        <w:fldChar w:fldCharType="separate"/>
      </w:r>
      <w:r w:rsidRPr="00031026">
        <w:rPr>
          <w:noProof/>
        </w:rPr>
        <w:t>74</w:t>
      </w:r>
      <w:r w:rsidRPr="00031026">
        <w:fldChar w:fldCharType="end"/>
      </w:r>
      <w:r w:rsidRPr="00031026">
        <w:t>.  The Court considers that the above</w:t>
      </w:r>
      <w:r w:rsidRPr="00031026">
        <w:noBreakHyphen/>
        <w:t>mentioned elements are sufficient to enable it to conclude that there was an ulterior purpose in the applicants’ pre-trial detention; namely, it was aimed at punishing and silencing NIDA members for their active involvement in the demonstrations held against the government regarding the deaths of soldiers serving in the army.</w:t>
      </w:r>
    </w:p>
    <w:p w:rsidRPr="00031026" w:rsidR="00031026" w:rsidP="00031026" w:rsidRDefault="00031026" w14:paraId="1F3230BA" w14:textId="03273EB5">
      <w:pPr>
        <w:pStyle w:val="JuPara"/>
      </w:pPr>
      <w:r w:rsidRPr="00031026">
        <w:fldChar w:fldCharType="begin"/>
      </w:r>
      <w:r w:rsidRPr="00031026">
        <w:instrText xml:space="preserve"> SEQ level0 \*arabic </w:instrText>
      </w:r>
      <w:r w:rsidRPr="00031026">
        <w:fldChar w:fldCharType="separate"/>
      </w:r>
      <w:r w:rsidRPr="00031026">
        <w:rPr>
          <w:noProof/>
        </w:rPr>
        <w:t>75</w:t>
      </w:r>
      <w:r w:rsidRPr="00031026">
        <w:fldChar w:fldCharType="end"/>
      </w:r>
      <w:r w:rsidRPr="00031026">
        <w:t xml:space="preserve">.  The Court must now determine whether the ulterior purpose in question was </w:t>
      </w:r>
      <w:r w:rsidRPr="00031026">
        <w:rPr>
          <w:lang w:bidi="en-US"/>
        </w:rPr>
        <w:t>the predominant purpose of the restriction of the applicants’ right to liberty.</w:t>
      </w:r>
      <w:r w:rsidRPr="00031026">
        <w:t xml:space="preserve"> It reiterates that precisely which purpose is predominant </w:t>
      </w:r>
      <w:proofErr w:type="gramStart"/>
      <w:r w:rsidRPr="00031026">
        <w:t>in a given</w:t>
      </w:r>
      <w:proofErr w:type="gramEnd"/>
      <w:r w:rsidRPr="00031026">
        <w:t xml:space="preserve"> case depends on all the relevant circumstances. In assessing that point, the Court will have regard to the nature and degree of reprehensibility of the alleged ulterior </w:t>
      </w:r>
      <w:proofErr w:type="gramStart"/>
      <w:r w:rsidRPr="00031026">
        <w:t>purpose, and</w:t>
      </w:r>
      <w:proofErr w:type="gramEnd"/>
      <w:r w:rsidRPr="00031026">
        <w:t xml:space="preserve"> will bear in mind the fact that the Convention was designed to maintain and promote the ideals and values of a democratic society governed by the rule of law (see</w:t>
      </w:r>
      <w:r w:rsidRPr="00031026">
        <w:rPr>
          <w:i/>
        </w:rPr>
        <w:t xml:space="preserve"> Merabishvili</w:t>
      </w:r>
      <w:r w:rsidRPr="00031026">
        <w:t>, cited above, § 307).</w:t>
      </w:r>
    </w:p>
    <w:p w:rsidRPr="00031026" w:rsidR="00031026" w:rsidP="00031026" w:rsidRDefault="00031026" w14:paraId="638413AE" w14:textId="5742F773">
      <w:pPr>
        <w:pStyle w:val="JuPara"/>
      </w:pPr>
      <w:r w:rsidRPr="00031026">
        <w:fldChar w:fldCharType="begin"/>
      </w:r>
      <w:r w:rsidRPr="00031026">
        <w:instrText xml:space="preserve"> SEQ level0 \*arabic </w:instrText>
      </w:r>
      <w:r w:rsidRPr="00031026">
        <w:fldChar w:fldCharType="separate"/>
      </w:r>
      <w:r w:rsidRPr="00031026">
        <w:rPr>
          <w:noProof/>
        </w:rPr>
        <w:t>76</w:t>
      </w:r>
      <w:r w:rsidRPr="00031026">
        <w:fldChar w:fldCharType="end"/>
      </w:r>
      <w:r w:rsidRPr="00031026">
        <w:t xml:space="preserve">.  In that regard, the applicants’ case should be viewed against the backdrop of the arbitrary arrest and detention of government critics, civil society activists and human rights defenders in the country. The Court points out that in </w:t>
      </w:r>
      <w:r w:rsidRPr="00031026">
        <w:rPr>
          <w:i/>
          <w:iCs/>
        </w:rPr>
        <w:t>Aliyev</w:t>
      </w:r>
      <w:r w:rsidRPr="00031026">
        <w:rPr>
          <w:lang w:eastAsia="en-GB"/>
        </w:rPr>
        <w:t xml:space="preserve"> (cited above, </w:t>
      </w:r>
      <w:r w:rsidRPr="00031026">
        <w:t xml:space="preserve">§ 223) it found that its judgments in a series of similar cases reflected a pattern of arbitrary arrest and detention of government critics, civil society activists and human rights defenders through retaliatory prosecutions and misuse of the criminal law in breach of Article 18. The Court reaffirmed that finding in its recent judgments relating to the arrest and detention of civil society activists, including members of NIDA (see </w:t>
      </w:r>
      <w:r w:rsidRPr="00031026">
        <w:rPr>
          <w:i/>
        </w:rPr>
        <w:t xml:space="preserve">Natig </w:t>
      </w:r>
      <w:proofErr w:type="spellStart"/>
      <w:r w:rsidRPr="00031026">
        <w:rPr>
          <w:i/>
        </w:rPr>
        <w:t>Jafarov</w:t>
      </w:r>
      <w:proofErr w:type="spellEnd"/>
      <w:r w:rsidRPr="00031026">
        <w:rPr>
          <w:i/>
        </w:rPr>
        <w:t xml:space="preserve"> v. Azerbaijan</w:t>
      </w:r>
      <w:r w:rsidRPr="00031026">
        <w:t xml:space="preserve">, no. 64581/16, §§ 64-70, 7 November 2019; </w:t>
      </w:r>
      <w:r w:rsidRPr="00031026">
        <w:rPr>
          <w:i/>
        </w:rPr>
        <w:t>Ibrahimov and Mammadov</w:t>
      </w:r>
      <w:r w:rsidRPr="00031026">
        <w:t xml:space="preserve">, cited above, §§ 151-58; and </w:t>
      </w:r>
      <w:r w:rsidRPr="00031026">
        <w:rPr>
          <w:i/>
        </w:rPr>
        <w:t>Khadija Ismayilova v. Azerbaijan (no. 2)</w:t>
      </w:r>
      <w:r w:rsidRPr="00031026">
        <w:t>, no. 30778/15, §§ 113-20, 27 February 2020) and considers that the applicants’ situation in the present case reflects this pattern.</w:t>
      </w:r>
    </w:p>
    <w:p w:rsidRPr="00031026" w:rsidR="00031026" w:rsidP="00031026" w:rsidRDefault="00031026" w14:paraId="5CF3D852" w14:textId="6B64E25F">
      <w:pPr>
        <w:pStyle w:val="JuPara"/>
        <w:rPr>
          <w:rFonts w:ascii="Times New Roman" w:hAnsi="Times New Roman" w:eastAsia="SimHei" w:cs="SimHei"/>
          <w:color w:val="000000"/>
          <w:szCs w:val="20"/>
          <w:lang w:eastAsia="fr-FR"/>
        </w:rPr>
      </w:pPr>
      <w:r w:rsidRPr="00031026">
        <w:fldChar w:fldCharType="begin"/>
      </w:r>
      <w:r w:rsidRPr="00031026">
        <w:instrText xml:space="preserve"> SEQ level0 \*arabic </w:instrText>
      </w:r>
      <w:r w:rsidRPr="00031026">
        <w:fldChar w:fldCharType="separate"/>
      </w:r>
      <w:r w:rsidRPr="00031026">
        <w:rPr>
          <w:noProof/>
        </w:rPr>
        <w:t>77</w:t>
      </w:r>
      <w:r w:rsidRPr="00031026">
        <w:fldChar w:fldCharType="end"/>
      </w:r>
      <w:r w:rsidRPr="00031026">
        <w:t xml:space="preserve">.  The Court further notes that the authorities apparently attached the utmost importance to their actions targeting NIDA as an organisation and its administration. It therefore appears that </w:t>
      </w:r>
      <w:r w:rsidRPr="00031026">
        <w:rPr>
          <w:rFonts w:ascii="Times New Roman" w:hAnsi="Times New Roman" w:eastAsia="SimHei" w:cs="SimHei"/>
          <w:color w:val="000000"/>
          <w:szCs w:val="20"/>
          <w:lang w:eastAsia="fr-FR"/>
        </w:rPr>
        <w:t xml:space="preserve">the institution of criminal proceedings against the applicants and their subsequent pre-trial detention were used by the domestic authorities to prevent the organisation of further </w:t>
      </w:r>
      <w:proofErr w:type="gramStart"/>
      <w:r w:rsidRPr="00031026">
        <w:rPr>
          <w:rFonts w:ascii="Times New Roman" w:hAnsi="Times New Roman" w:eastAsia="SimHei" w:cs="SimHei"/>
          <w:szCs w:val="20"/>
          <w:lang w:eastAsia="fr-FR"/>
        </w:rPr>
        <w:t>protests against</w:t>
      </w:r>
      <w:proofErr w:type="gramEnd"/>
      <w:r w:rsidRPr="00031026">
        <w:rPr>
          <w:rFonts w:ascii="Times New Roman" w:hAnsi="Times New Roman" w:eastAsia="SimHei" w:cs="SimHei"/>
          <w:szCs w:val="20"/>
          <w:lang w:eastAsia="fr-FR"/>
        </w:rPr>
        <w:t xml:space="preserve"> the government regarding the deaths of soldiers serving in the army (see paragraph 73 above) and also </w:t>
      </w:r>
      <w:r w:rsidRPr="00031026">
        <w:rPr>
          <w:rFonts w:ascii="Times New Roman" w:hAnsi="Times New Roman" w:eastAsia="SimHei" w:cs="SimHei"/>
          <w:color w:val="000000"/>
          <w:szCs w:val="20"/>
          <w:lang w:eastAsia="fr-FR"/>
        </w:rPr>
        <w:t>to paralyse NIDA’s activities through the subsequent arrest and detention of four of its board members in March and April 2013. The Court has already found that their arrest and detention were in breach of Article 5 § 1, as well as Article 18 taken in conjunction with Article 5 of the Convention (see</w:t>
      </w:r>
      <w:r w:rsidRPr="00031026">
        <w:rPr>
          <w:i/>
          <w:iCs/>
        </w:rPr>
        <w:t xml:space="preserve"> Rashad Hasanov and Others</w:t>
      </w:r>
      <w:r w:rsidRPr="00031026">
        <w:rPr>
          <w:iCs/>
        </w:rPr>
        <w:t xml:space="preserve">, </w:t>
      </w:r>
      <w:r w:rsidRPr="00031026">
        <w:t>cited above, §§ 108 and 127</w:t>
      </w:r>
      <w:r w:rsidRPr="00031026">
        <w:rPr>
          <w:rFonts w:ascii="Times New Roman" w:hAnsi="Times New Roman" w:eastAsia="SimHei" w:cs="SimHei"/>
          <w:color w:val="000000"/>
          <w:szCs w:val="20"/>
          <w:lang w:eastAsia="fr-FR"/>
        </w:rPr>
        <w:t xml:space="preserve">). </w:t>
      </w:r>
      <w:proofErr w:type="gramStart"/>
      <w:r w:rsidRPr="00031026">
        <w:rPr>
          <w:rFonts w:ascii="Times New Roman" w:hAnsi="Times New Roman" w:eastAsia="SimHei" w:cs="SimHei"/>
          <w:color w:val="000000"/>
          <w:szCs w:val="20"/>
          <w:lang w:eastAsia="fr-FR"/>
        </w:rPr>
        <w:t>All of</w:t>
      </w:r>
      <w:proofErr w:type="gramEnd"/>
      <w:r w:rsidRPr="00031026">
        <w:rPr>
          <w:rFonts w:ascii="Times New Roman" w:hAnsi="Times New Roman" w:eastAsia="SimHei" w:cs="SimHei"/>
          <w:color w:val="000000"/>
          <w:szCs w:val="20"/>
          <w:lang w:eastAsia="fr-FR"/>
        </w:rPr>
        <w:t xml:space="preserve"> the above points to a predominance of the ulterior purpose pursued by the authorities </w:t>
      </w:r>
      <w:r w:rsidRPr="00031026">
        <w:t>in the applicants’ case.</w:t>
      </w:r>
    </w:p>
    <w:p w:rsidRPr="00031026" w:rsidR="00031026" w:rsidP="00031026" w:rsidRDefault="00031026" w14:paraId="11BEA107" w14:textId="19F25DFA">
      <w:pPr>
        <w:pStyle w:val="JuPara"/>
        <w:rPr>
          <w:rFonts w:ascii="Times New Roman" w:hAnsi="Times New Roman" w:eastAsia="SimHei" w:cs="SimHei"/>
          <w:szCs w:val="20"/>
          <w:lang w:eastAsia="fr-FR"/>
        </w:rPr>
      </w:pPr>
      <w:r w:rsidRPr="00031026">
        <w:fldChar w:fldCharType="begin"/>
      </w:r>
      <w:r w:rsidRPr="00031026">
        <w:instrText xml:space="preserve"> SEQ level0 \*arabic </w:instrText>
      </w:r>
      <w:r w:rsidRPr="00031026">
        <w:fldChar w:fldCharType="separate"/>
      </w:r>
      <w:r w:rsidRPr="00031026">
        <w:rPr>
          <w:noProof/>
        </w:rPr>
        <w:t>78</w:t>
      </w:r>
      <w:r w:rsidRPr="00031026">
        <w:fldChar w:fldCharType="end"/>
      </w:r>
      <w:r w:rsidRPr="00031026">
        <w:t>.  This can also be seen from the way in which the domestic courts handled the extension of the applicants’ pre-trial detention. In particular, the domestic courts did not solely</w:t>
      </w:r>
      <w:r w:rsidRPr="00031026">
        <w:rPr>
          <w:rFonts w:ascii="Times New Roman" w:hAnsi="Times New Roman" w:eastAsia="SimHei" w:cs="SimHei"/>
          <w:szCs w:val="20"/>
          <w:lang w:eastAsia="fr-FR"/>
        </w:rPr>
        <w:t xml:space="preserve"> fail to give “relevant” and “sufficient” reasons to justify the need for the extension of the applicants’ pre-trial detention, but also completely ignored the second applicant’s age – a major element which, if it had been </w:t>
      </w:r>
      <w:proofErr w:type="gramStart"/>
      <w:r w:rsidRPr="00031026">
        <w:rPr>
          <w:rFonts w:ascii="Times New Roman" w:hAnsi="Times New Roman" w:eastAsia="SimHei" w:cs="SimHei"/>
          <w:szCs w:val="20"/>
          <w:lang w:eastAsia="fr-FR"/>
        </w:rPr>
        <w:t>taken into account</w:t>
      </w:r>
      <w:proofErr w:type="gramEnd"/>
      <w:r w:rsidRPr="00031026">
        <w:rPr>
          <w:rFonts w:ascii="Times New Roman" w:hAnsi="Times New Roman" w:eastAsia="SimHei" w:cs="SimHei"/>
          <w:szCs w:val="20"/>
          <w:lang w:eastAsia="fr-FR"/>
        </w:rPr>
        <w:t>, would probably have resulted in his rapid release from pre</w:t>
      </w:r>
      <w:r w:rsidRPr="00031026">
        <w:rPr>
          <w:rFonts w:ascii="Times New Roman" w:hAnsi="Times New Roman" w:eastAsia="SimHei" w:cs="SimHei"/>
          <w:szCs w:val="20"/>
          <w:lang w:eastAsia="fr-FR"/>
        </w:rPr>
        <w:noBreakHyphen/>
        <w:t>trial detention (see paragraph 60 above).</w:t>
      </w:r>
    </w:p>
    <w:p w:rsidRPr="00031026" w:rsidR="00031026" w:rsidP="00031026" w:rsidRDefault="00031026" w14:paraId="593437D9" w14:textId="2144C7FB">
      <w:pPr>
        <w:pStyle w:val="JuPara"/>
      </w:pPr>
      <w:r w:rsidRPr="00031026">
        <w:rPr>
          <w:lang w:bidi="en-US"/>
        </w:rPr>
        <w:fldChar w:fldCharType="begin"/>
      </w:r>
      <w:r w:rsidRPr="00031026">
        <w:rPr>
          <w:lang w:bidi="en-US"/>
        </w:rPr>
        <w:instrText xml:space="preserve"> SEQ level0 \*arabic </w:instrText>
      </w:r>
      <w:r w:rsidRPr="00031026">
        <w:rPr>
          <w:lang w:bidi="en-US"/>
        </w:rPr>
        <w:fldChar w:fldCharType="separate"/>
      </w:r>
      <w:r w:rsidRPr="00031026">
        <w:rPr>
          <w:noProof/>
          <w:lang w:bidi="en-US"/>
        </w:rPr>
        <w:t>79</w:t>
      </w:r>
      <w:r w:rsidRPr="00031026">
        <w:rPr>
          <w:lang w:bidi="en-US"/>
        </w:rPr>
        <w:fldChar w:fldCharType="end"/>
      </w:r>
      <w:r w:rsidRPr="00031026">
        <w:rPr>
          <w:lang w:bidi="en-US"/>
        </w:rPr>
        <w:t xml:space="preserve">.  Bearing in mind all the circumstances of the case, the Court is satisfied that the ulterior purpose of the restriction of the applicants’ liberty resulting in their continued pre-trial detention constituted the predominant purpose, </w:t>
      </w:r>
      <w:r w:rsidRPr="00031026">
        <w:t>which was to punish and silence NIDA members for their active involvement in the demonstrations held against the government regarding the deaths of soldiers serving in the army.</w:t>
      </w:r>
    </w:p>
    <w:p w:rsidRPr="00031026" w:rsidR="00031026" w:rsidP="00031026" w:rsidRDefault="00031026" w14:paraId="434F6369" w14:textId="4DBC52EA">
      <w:pPr>
        <w:pStyle w:val="JuPara"/>
        <w:rPr>
          <w:rFonts w:ascii="Times New Roman" w:hAnsi="Times New Roman" w:eastAsia="SimHei" w:cs="SimHei"/>
          <w:szCs w:val="20"/>
          <w:lang w:eastAsia="fr-FR"/>
        </w:rPr>
      </w:pPr>
      <w:r w:rsidRPr="00031026">
        <w:rPr>
          <w:lang w:bidi="en-US"/>
        </w:rPr>
        <w:fldChar w:fldCharType="begin"/>
      </w:r>
      <w:r w:rsidRPr="00031026">
        <w:rPr>
          <w:lang w:bidi="en-US"/>
        </w:rPr>
        <w:instrText xml:space="preserve"> SEQ level0 \*arabic </w:instrText>
      </w:r>
      <w:r w:rsidRPr="00031026">
        <w:rPr>
          <w:lang w:bidi="en-US"/>
        </w:rPr>
        <w:fldChar w:fldCharType="separate"/>
      </w:r>
      <w:r w:rsidRPr="00031026">
        <w:rPr>
          <w:noProof/>
          <w:lang w:bidi="en-US"/>
        </w:rPr>
        <w:t>80</w:t>
      </w:r>
      <w:r w:rsidRPr="00031026">
        <w:rPr>
          <w:lang w:bidi="en-US"/>
        </w:rPr>
        <w:fldChar w:fldCharType="end"/>
      </w:r>
      <w:r w:rsidRPr="00031026">
        <w:rPr>
          <w:lang w:bidi="en-US"/>
        </w:rPr>
        <w:t>.  There has accordingly been a violation of Article 18 taken in conjunction with Article 5 § 3 of the Convention.</w:t>
      </w:r>
    </w:p>
    <w:p w:rsidRPr="00031026" w:rsidR="00031026" w:rsidP="00031026" w:rsidRDefault="00031026" w14:paraId="57A59C58" w14:textId="77777777">
      <w:pPr>
        <w:pStyle w:val="JuHIRoman"/>
        <w:numPr>
          <w:ilvl w:val="1"/>
          <w:numId w:val="1"/>
        </w:numPr>
        <w:tabs>
          <w:tab w:val="clear" w:pos="454"/>
          <w:tab w:val="clear" w:pos="567"/>
          <w:tab w:val="clear" w:pos="680"/>
        </w:tabs>
      </w:pPr>
      <w:r w:rsidRPr="00031026">
        <w:t>APPLICATION OF ARTICLE 41 OF THE CONVENTION</w:t>
      </w:r>
    </w:p>
    <w:p w:rsidRPr="00031026" w:rsidR="00031026" w:rsidP="00031026" w:rsidRDefault="00031026" w14:paraId="076BB6B6" w14:textId="6146A1B3">
      <w:pPr>
        <w:pStyle w:val="JuPara"/>
      </w:pPr>
      <w:r w:rsidRPr="00031026">
        <w:fldChar w:fldCharType="begin"/>
      </w:r>
      <w:r w:rsidRPr="00031026">
        <w:instrText xml:space="preserve"> SEQ level0 \*arabic </w:instrText>
      </w:r>
      <w:r w:rsidRPr="00031026">
        <w:fldChar w:fldCharType="separate"/>
      </w:r>
      <w:r w:rsidRPr="00031026">
        <w:rPr>
          <w:noProof/>
        </w:rPr>
        <w:t>81</w:t>
      </w:r>
      <w:r w:rsidRPr="00031026">
        <w:fldChar w:fldCharType="end"/>
      </w:r>
      <w:r w:rsidRPr="00031026">
        <w:t>.  Article 41 of the Convention provides:</w:t>
      </w:r>
    </w:p>
    <w:p w:rsidRPr="00031026" w:rsidR="00031026" w:rsidP="00031026" w:rsidRDefault="00031026" w14:paraId="4A4D1652" w14:textId="77777777">
      <w:pPr>
        <w:pStyle w:val="JuQuot"/>
        <w:keepNext/>
        <w:keepLines/>
      </w:pPr>
      <w:r w:rsidRPr="00031026">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031026" w:rsidR="00031026" w:rsidP="00031026" w:rsidRDefault="00031026" w14:paraId="0A5E1618" w14:textId="77777777">
      <w:pPr>
        <w:pStyle w:val="JuHA"/>
        <w:numPr>
          <w:ilvl w:val="2"/>
          <w:numId w:val="1"/>
        </w:numPr>
        <w:jc w:val="left"/>
      </w:pPr>
      <w:r w:rsidRPr="00031026">
        <w:t>Damage</w:t>
      </w:r>
    </w:p>
    <w:p w:rsidRPr="00031026" w:rsidR="00031026" w:rsidP="00031026" w:rsidRDefault="00031026" w14:paraId="56824313" w14:textId="77777777">
      <w:pPr>
        <w:pStyle w:val="JuH1"/>
        <w:numPr>
          <w:ilvl w:val="3"/>
          <w:numId w:val="2"/>
        </w:numPr>
        <w:jc w:val="left"/>
      </w:pPr>
      <w:r w:rsidRPr="00031026">
        <w:t>Pecuniary damage</w:t>
      </w:r>
    </w:p>
    <w:p w:rsidRPr="00031026" w:rsidR="00031026" w:rsidP="00031026" w:rsidRDefault="00031026" w14:paraId="5E541E1F" w14:textId="2D67340E">
      <w:pPr>
        <w:pStyle w:val="JuPara"/>
      </w:pPr>
      <w:r w:rsidRPr="00031026">
        <w:fldChar w:fldCharType="begin"/>
      </w:r>
      <w:r w:rsidRPr="00031026">
        <w:instrText xml:space="preserve"> SEQ level0 \*arabic </w:instrText>
      </w:r>
      <w:r w:rsidRPr="00031026">
        <w:fldChar w:fldCharType="separate"/>
      </w:r>
      <w:r w:rsidRPr="00031026">
        <w:rPr>
          <w:noProof/>
        </w:rPr>
        <w:t>82</w:t>
      </w:r>
      <w:r w:rsidRPr="00031026">
        <w:fldChar w:fldCharType="end"/>
      </w:r>
      <w:r w:rsidRPr="00031026">
        <w:t>.  The second applicant claimed 124,000 euros (EUR) in respect of pecuniary damage. In that connection, he submitted that 121,391 United States dollars belonging to his father had been taken by the law-enforcement authorities during the search carried out of his flat and that the remaining part of the claimed amount corresponded to the sum that his family had spent on sending him food and regularly visiting him in prison.</w:t>
      </w:r>
    </w:p>
    <w:p w:rsidRPr="00031026" w:rsidR="00031026" w:rsidP="00031026" w:rsidRDefault="00031026" w14:paraId="5C146C84" w14:textId="6F4F2DF8">
      <w:pPr>
        <w:pStyle w:val="JuPara"/>
      </w:pPr>
      <w:r w:rsidRPr="00031026">
        <w:fldChar w:fldCharType="begin"/>
      </w:r>
      <w:r w:rsidRPr="00031026">
        <w:instrText xml:space="preserve"> SEQ level0 \*arabic </w:instrText>
      </w:r>
      <w:r w:rsidRPr="00031026">
        <w:fldChar w:fldCharType="separate"/>
      </w:r>
      <w:r w:rsidRPr="00031026">
        <w:rPr>
          <w:noProof/>
        </w:rPr>
        <w:t>83</w:t>
      </w:r>
      <w:r w:rsidRPr="00031026">
        <w:fldChar w:fldCharType="end"/>
      </w:r>
      <w:r w:rsidRPr="00031026">
        <w:t>.  The Government asked the Court to reject the claim.</w:t>
      </w:r>
    </w:p>
    <w:p w:rsidRPr="00031026" w:rsidR="00031026" w:rsidP="00031026" w:rsidRDefault="00031026" w14:paraId="1693FB51" w14:textId="22CC3CCC">
      <w:pPr>
        <w:pStyle w:val="JuPara"/>
      </w:pPr>
      <w:r w:rsidRPr="00031026">
        <w:fldChar w:fldCharType="begin"/>
      </w:r>
      <w:r w:rsidRPr="00031026">
        <w:instrText xml:space="preserve"> SEQ level0 \*arabic </w:instrText>
      </w:r>
      <w:r w:rsidRPr="00031026">
        <w:fldChar w:fldCharType="separate"/>
      </w:r>
      <w:r w:rsidRPr="00031026">
        <w:rPr>
          <w:noProof/>
        </w:rPr>
        <w:t>84</w:t>
      </w:r>
      <w:r w:rsidRPr="00031026">
        <w:fldChar w:fldCharType="end"/>
      </w:r>
      <w:r w:rsidRPr="00031026">
        <w:t>.  As to the part of the part of the claim concerning the amount of money taken by the law-enforcement authorities during the search, the Court notes that the present application does not concern the lawfulness of the search in question. Moreover, the second applicant himself stated that the money in question had belonged to his father, who is not an applicant in the present case before the Court. Accordingly, the Court does not discern any causal link between the violations found and the pecuniary damage alleged.</w:t>
      </w:r>
    </w:p>
    <w:p w:rsidRPr="00031026" w:rsidR="00031026" w:rsidP="00031026" w:rsidRDefault="00031026" w14:paraId="461D1377" w14:textId="21AEAA7B">
      <w:pPr>
        <w:pStyle w:val="JuPara"/>
      </w:pPr>
      <w:r w:rsidRPr="00031026">
        <w:fldChar w:fldCharType="begin"/>
      </w:r>
      <w:r w:rsidRPr="00031026">
        <w:instrText xml:space="preserve"> SEQ level0 \*arabic </w:instrText>
      </w:r>
      <w:r w:rsidRPr="00031026">
        <w:fldChar w:fldCharType="separate"/>
      </w:r>
      <w:r w:rsidRPr="00031026">
        <w:rPr>
          <w:noProof/>
        </w:rPr>
        <w:t>85</w:t>
      </w:r>
      <w:r w:rsidRPr="00031026">
        <w:fldChar w:fldCharType="end"/>
      </w:r>
      <w:r w:rsidRPr="00031026">
        <w:t>.  As regards the part of the claim concerning the sum that his family had spent on sending him food and regularly visiting him in prison, even assuming a causal link between the pecuniary damage alleged and the violations found, the Court notes that the second applicant did not submit relevant documentary evidence supporting this claim.</w:t>
      </w:r>
    </w:p>
    <w:p w:rsidRPr="00031026" w:rsidR="00031026" w:rsidP="00031026" w:rsidRDefault="00031026" w14:paraId="6480892E" w14:textId="53EDA2EC">
      <w:pPr>
        <w:pStyle w:val="JuPara"/>
        <w:rPr>
          <w:i/>
        </w:rPr>
      </w:pPr>
      <w:r w:rsidRPr="00031026">
        <w:fldChar w:fldCharType="begin"/>
      </w:r>
      <w:r w:rsidRPr="00031026">
        <w:instrText xml:space="preserve"> SEQ level0 \*arabic </w:instrText>
      </w:r>
      <w:r w:rsidRPr="00031026">
        <w:fldChar w:fldCharType="separate"/>
      </w:r>
      <w:r w:rsidRPr="00031026">
        <w:rPr>
          <w:noProof/>
        </w:rPr>
        <w:t>86</w:t>
      </w:r>
      <w:r w:rsidRPr="00031026">
        <w:fldChar w:fldCharType="end"/>
      </w:r>
      <w:r w:rsidRPr="00031026">
        <w:t>.  Accordingly, it rejects the second applicant’s claims in respect of pecuniary damage.</w:t>
      </w:r>
    </w:p>
    <w:p w:rsidRPr="00031026" w:rsidR="00031026" w:rsidP="00031026" w:rsidRDefault="00031026" w14:paraId="321B9875" w14:textId="77777777">
      <w:pPr>
        <w:pStyle w:val="JuH1"/>
        <w:ind w:left="731" w:hanging="300"/>
        <w:jc w:val="left"/>
      </w:pPr>
      <w:r w:rsidRPr="00031026">
        <w:t>Non-pecuniary damage</w:t>
      </w:r>
    </w:p>
    <w:p w:rsidRPr="00031026" w:rsidR="00031026" w:rsidP="00031026" w:rsidRDefault="00031026" w14:paraId="67B485CF" w14:textId="75840C16">
      <w:pPr>
        <w:pStyle w:val="JuPara"/>
      </w:pPr>
      <w:r w:rsidRPr="00031026">
        <w:fldChar w:fldCharType="begin"/>
      </w:r>
      <w:r w:rsidRPr="00031026">
        <w:instrText xml:space="preserve"> SEQ level0 \*arabic </w:instrText>
      </w:r>
      <w:r w:rsidRPr="00031026">
        <w:fldChar w:fldCharType="separate"/>
      </w:r>
      <w:r w:rsidRPr="00031026">
        <w:rPr>
          <w:noProof/>
        </w:rPr>
        <w:t>87</w:t>
      </w:r>
      <w:r w:rsidRPr="00031026">
        <w:fldChar w:fldCharType="end"/>
      </w:r>
      <w:r w:rsidRPr="00031026">
        <w:t>.  Under the head of non-pecuniary damage, the first applicant claimed EUR 25,000 and the second applicant EUR 100,000.</w:t>
      </w:r>
    </w:p>
    <w:p w:rsidRPr="00031026" w:rsidR="00031026" w:rsidP="00031026" w:rsidRDefault="00031026" w14:paraId="137E5714" w14:textId="1192E77F">
      <w:pPr>
        <w:pStyle w:val="JuPara"/>
        <w:keepNext/>
        <w:keepLines/>
      </w:pPr>
      <w:r w:rsidRPr="00031026">
        <w:fldChar w:fldCharType="begin"/>
      </w:r>
      <w:r w:rsidRPr="00031026">
        <w:instrText xml:space="preserve"> SEQ level0 \*arabic </w:instrText>
      </w:r>
      <w:r w:rsidRPr="00031026">
        <w:fldChar w:fldCharType="separate"/>
      </w:r>
      <w:r w:rsidRPr="00031026">
        <w:rPr>
          <w:noProof/>
        </w:rPr>
        <w:t>88</w:t>
      </w:r>
      <w:r w:rsidRPr="00031026">
        <w:fldChar w:fldCharType="end"/>
      </w:r>
      <w:r w:rsidRPr="00031026">
        <w:t xml:space="preserve">.  The Government submitted that the amounts claimed by the applicants were unsubstantiated and excessive. They furthermore submitted that 10,000 Azerbaijani </w:t>
      </w:r>
      <w:proofErr w:type="spellStart"/>
      <w:r w:rsidRPr="00031026">
        <w:t>manats</w:t>
      </w:r>
      <w:proofErr w:type="spellEnd"/>
      <w:r w:rsidRPr="00031026">
        <w:t xml:space="preserve"> (AZN) would constitute reasonable compensation for the non</w:t>
      </w:r>
      <w:r w:rsidRPr="00031026">
        <w:noBreakHyphen/>
        <w:t>pecuniary damage allegedly sustained by the applicants.</w:t>
      </w:r>
    </w:p>
    <w:p w:rsidRPr="00031026" w:rsidR="00031026" w:rsidP="00031026" w:rsidRDefault="00031026" w14:paraId="70DF5DEC" w14:textId="02A96D8E">
      <w:pPr>
        <w:pStyle w:val="JuPara"/>
      </w:pPr>
      <w:r w:rsidRPr="00031026">
        <w:fldChar w:fldCharType="begin"/>
      </w:r>
      <w:r w:rsidRPr="00031026">
        <w:instrText xml:space="preserve"> SEQ level0 \*arabic </w:instrText>
      </w:r>
      <w:r w:rsidRPr="00031026">
        <w:fldChar w:fldCharType="separate"/>
      </w:r>
      <w:r w:rsidRPr="00031026">
        <w:rPr>
          <w:noProof/>
        </w:rPr>
        <w:t>89</w:t>
      </w:r>
      <w:r w:rsidRPr="00031026">
        <w:fldChar w:fldCharType="end"/>
      </w:r>
      <w:r w:rsidRPr="00031026">
        <w:t>.  The Court considers that the applicants have suffered non</w:t>
      </w:r>
      <w:r w:rsidRPr="00031026">
        <w:noBreakHyphen/>
        <w:t>pecuniary damage which cannot be compensated for solely by the finding of a violation, and that compensation should thus be awarded. Making its assessment on an equitable basis, as required by Article 41 of the Convention, the Court awards each applicant the sum of EUR 20,000 under this head, plus any tax that may be chargeable on this amount.</w:t>
      </w:r>
    </w:p>
    <w:p w:rsidRPr="00031026" w:rsidR="00031026" w:rsidP="00031026" w:rsidRDefault="00031026" w14:paraId="442327C3" w14:textId="77777777">
      <w:pPr>
        <w:pStyle w:val="JuHA"/>
        <w:numPr>
          <w:ilvl w:val="2"/>
          <w:numId w:val="1"/>
        </w:numPr>
        <w:jc w:val="left"/>
      </w:pPr>
      <w:r w:rsidRPr="00031026">
        <w:t>Costs and expenses</w:t>
      </w:r>
    </w:p>
    <w:p w:rsidRPr="00031026" w:rsidR="00031026" w:rsidP="00031026" w:rsidRDefault="00031026" w14:paraId="13B93597" w14:textId="57E8071C">
      <w:pPr>
        <w:pStyle w:val="JuPara"/>
      </w:pPr>
      <w:r w:rsidRPr="00031026">
        <w:fldChar w:fldCharType="begin"/>
      </w:r>
      <w:r w:rsidRPr="00031026">
        <w:instrText xml:space="preserve"> SEQ level0 \*arabic </w:instrText>
      </w:r>
      <w:r w:rsidRPr="00031026">
        <w:fldChar w:fldCharType="separate"/>
      </w:r>
      <w:r w:rsidRPr="00031026">
        <w:rPr>
          <w:noProof/>
        </w:rPr>
        <w:t>90</w:t>
      </w:r>
      <w:r w:rsidRPr="00031026">
        <w:fldChar w:fldCharType="end"/>
      </w:r>
      <w:r w:rsidRPr="00031026">
        <w:t>.  The first applicant claimed EUR 2,000 and the second applicant EUR 10,000 for legal services incurred in the proceedings before the Court and the domestic courts. They submitted the relevant contracts concluded with their representatives. The second applicant asked that the award in respect of costs and expenses be paid directly into his representative’s bank account.</w:t>
      </w:r>
    </w:p>
    <w:p w:rsidRPr="00031026" w:rsidR="00031026" w:rsidP="00031026" w:rsidRDefault="00031026" w14:paraId="43499BDA" w14:textId="68B08892">
      <w:pPr>
        <w:pStyle w:val="JuPara"/>
      </w:pPr>
      <w:r w:rsidRPr="00031026">
        <w:fldChar w:fldCharType="begin"/>
      </w:r>
      <w:r w:rsidRPr="00031026">
        <w:instrText xml:space="preserve"> SEQ level0 \*arabic </w:instrText>
      </w:r>
      <w:r w:rsidRPr="00031026">
        <w:fldChar w:fldCharType="separate"/>
      </w:r>
      <w:r w:rsidRPr="00031026">
        <w:rPr>
          <w:noProof/>
        </w:rPr>
        <w:t>91</w:t>
      </w:r>
      <w:r w:rsidRPr="00031026">
        <w:fldChar w:fldCharType="end"/>
      </w:r>
      <w:r w:rsidRPr="00031026">
        <w:t>.  The Government considered that the amounts claimed by the applicants were excessive. In their view, AZN 1,000 would constitute reasonable compensation for costs and expenses in respect of the first applicant and AZN 1,500 in respect of the second applicant.</w:t>
      </w:r>
    </w:p>
    <w:p w:rsidRPr="00031026" w:rsidR="00031026" w:rsidP="00031026" w:rsidRDefault="00031026" w14:paraId="79ECC44C" w14:textId="5A1EA7EC">
      <w:pPr>
        <w:pStyle w:val="JuPara"/>
      </w:pPr>
      <w:r w:rsidRPr="00031026">
        <w:fldChar w:fldCharType="begin"/>
      </w:r>
      <w:r w:rsidRPr="00031026">
        <w:instrText xml:space="preserve"> SEQ level0 \*arabic </w:instrText>
      </w:r>
      <w:r w:rsidRPr="00031026">
        <w:fldChar w:fldCharType="separate"/>
      </w:r>
      <w:r w:rsidRPr="00031026">
        <w:rPr>
          <w:noProof/>
        </w:rPr>
        <w:t>92</w:t>
      </w:r>
      <w:r w:rsidRPr="00031026">
        <w:fldChar w:fldCharType="end"/>
      </w:r>
      <w:r w:rsidRPr="00031026">
        <w:t>.  According to the Court’s case-law, an applicant is entitled to the reimbursement of costs and expenses only in so far as it has been shown that these were actually and necessarily incurred and are reasonable as to quantum. In the present case, regard being had to the documents in its possession and the amount of work carried out by the applicants’ representatives, the Court considers it reasonable to award the sum of EUR 1,500 to the first applicant and the sum of EUR 2,000 to the second applicant, covering costs under all heads, plus any tax that may be chargeable to the applicants. The Court also specifies that the amount awarded in respect of the second applicant is to be paid directly into the bank account of his representative.</w:t>
      </w:r>
    </w:p>
    <w:p w:rsidRPr="00031026" w:rsidR="00031026" w:rsidP="00031026" w:rsidRDefault="00031026" w14:paraId="0B338A1A" w14:textId="77777777">
      <w:pPr>
        <w:pStyle w:val="JuHA"/>
        <w:numPr>
          <w:ilvl w:val="2"/>
          <w:numId w:val="1"/>
        </w:numPr>
      </w:pPr>
      <w:r w:rsidRPr="00031026">
        <w:t>Default interest</w:t>
      </w:r>
    </w:p>
    <w:p w:rsidRPr="00031026" w:rsidR="00031026" w:rsidP="00031026" w:rsidRDefault="00031026" w14:paraId="5345CFE6" w14:textId="0867577D">
      <w:pPr>
        <w:pStyle w:val="JuPara"/>
      </w:pPr>
      <w:r w:rsidRPr="00031026">
        <w:fldChar w:fldCharType="begin"/>
      </w:r>
      <w:r w:rsidRPr="00031026">
        <w:instrText xml:space="preserve"> SEQ level0 \*arabic </w:instrText>
      </w:r>
      <w:r w:rsidRPr="00031026">
        <w:fldChar w:fldCharType="separate"/>
      </w:r>
      <w:r w:rsidRPr="00031026">
        <w:rPr>
          <w:noProof/>
        </w:rPr>
        <w:t>93</w:t>
      </w:r>
      <w:r w:rsidRPr="00031026">
        <w:fldChar w:fldCharType="end"/>
      </w:r>
      <w:r w:rsidRPr="00031026">
        <w:t>.  The Court considers it appropriate that the default interest rate should be based on the marginal lending rate of the European Central Bank, to which should be added three percentage points.</w:t>
      </w:r>
    </w:p>
    <w:p w:rsidRPr="00031026" w:rsidR="00031026" w:rsidP="00031026" w:rsidRDefault="00031026" w14:paraId="38459D32" w14:textId="77777777">
      <w:pPr>
        <w:pStyle w:val="JuHHead"/>
        <w:numPr>
          <w:ilvl w:val="0"/>
          <w:numId w:val="1"/>
        </w:numPr>
      </w:pPr>
      <w:r w:rsidRPr="00031026">
        <w:t>FOR THESE REASONS, THE COURT, UNANIMOUSLY,</w:t>
      </w:r>
    </w:p>
    <w:p w:rsidRPr="00031026" w:rsidR="00031026" w:rsidP="00031026" w:rsidRDefault="00031026" w14:paraId="61AC5D8E" w14:textId="77777777">
      <w:pPr>
        <w:pStyle w:val="JuList"/>
        <w:rPr>
          <w:rFonts w:eastAsia="SimHei"/>
          <w:lang w:eastAsia="fr-FR"/>
        </w:rPr>
      </w:pPr>
      <w:r w:rsidRPr="00031026">
        <w:rPr>
          <w:rFonts w:eastAsia="SimHei"/>
          <w:i/>
          <w:iCs/>
          <w:lang w:eastAsia="fr-FR"/>
        </w:rPr>
        <w:t>Decides</w:t>
      </w:r>
      <w:r w:rsidRPr="00031026">
        <w:rPr>
          <w:rFonts w:eastAsia="SimHei"/>
          <w:lang w:eastAsia="fr-FR"/>
        </w:rPr>
        <w:t xml:space="preserve"> to join the </w:t>
      </w:r>
      <w:proofErr w:type="gramStart"/>
      <w:r w:rsidRPr="00031026">
        <w:rPr>
          <w:rFonts w:eastAsia="SimHei"/>
          <w:lang w:eastAsia="fr-FR"/>
        </w:rPr>
        <w:t>applications;</w:t>
      </w:r>
      <w:proofErr w:type="gramEnd"/>
    </w:p>
    <w:p w:rsidRPr="00031026" w:rsidR="00031026" w:rsidP="00031026" w:rsidRDefault="00031026" w14:paraId="2C8DFAFC" w14:textId="77777777">
      <w:pPr>
        <w:pStyle w:val="JuList"/>
        <w:rPr>
          <w:rFonts w:eastAsia="SimHei"/>
          <w:lang w:eastAsia="fr-FR"/>
        </w:rPr>
      </w:pPr>
      <w:r w:rsidRPr="00031026">
        <w:rPr>
          <w:rFonts w:eastAsia="SimHei"/>
          <w:i/>
          <w:lang w:eastAsia="fr-FR"/>
        </w:rPr>
        <w:t>Declares</w:t>
      </w:r>
      <w:r w:rsidRPr="00031026">
        <w:t xml:space="preserve"> </w:t>
      </w:r>
      <w:r w:rsidRPr="00031026">
        <w:rPr>
          <w:rFonts w:eastAsia="SimHei"/>
          <w:lang w:eastAsia="fr-FR"/>
        </w:rPr>
        <w:t xml:space="preserve">the applications </w:t>
      </w:r>
      <w:proofErr w:type="gramStart"/>
      <w:r w:rsidRPr="00031026">
        <w:rPr>
          <w:rFonts w:eastAsia="SimHei"/>
          <w:lang w:eastAsia="fr-FR"/>
        </w:rPr>
        <w:t>admissible;</w:t>
      </w:r>
      <w:proofErr w:type="gramEnd"/>
    </w:p>
    <w:p w:rsidRPr="00031026" w:rsidR="00031026" w:rsidP="00031026" w:rsidRDefault="00031026" w14:paraId="5DE26CB0" w14:textId="77777777">
      <w:pPr>
        <w:pStyle w:val="JuList"/>
        <w:rPr>
          <w:rFonts w:eastAsia="SimHei"/>
          <w:lang w:eastAsia="fr-FR"/>
        </w:rPr>
      </w:pPr>
      <w:r w:rsidRPr="00031026">
        <w:rPr>
          <w:rFonts w:eastAsia="SimHei"/>
          <w:i/>
          <w:lang w:eastAsia="fr-FR"/>
        </w:rPr>
        <w:t>Holds</w:t>
      </w:r>
      <w:r w:rsidRPr="00031026">
        <w:t xml:space="preserve"> </w:t>
      </w:r>
      <w:r w:rsidRPr="00031026">
        <w:rPr>
          <w:rFonts w:eastAsia="SimHei"/>
          <w:lang w:eastAsia="fr-FR"/>
        </w:rPr>
        <w:t xml:space="preserve">that there has been a violation of Article 5 § 3 of the Convention in respect of both </w:t>
      </w:r>
      <w:proofErr w:type="gramStart"/>
      <w:r w:rsidRPr="00031026">
        <w:rPr>
          <w:rFonts w:eastAsia="SimHei"/>
          <w:lang w:eastAsia="fr-FR"/>
        </w:rPr>
        <w:t>applicants;</w:t>
      </w:r>
      <w:proofErr w:type="gramEnd"/>
    </w:p>
    <w:p w:rsidRPr="00031026" w:rsidR="00031026" w:rsidP="00031026" w:rsidRDefault="00031026" w14:paraId="52707F4B" w14:textId="77777777">
      <w:pPr>
        <w:pStyle w:val="JuList"/>
      </w:pPr>
      <w:r w:rsidRPr="00031026">
        <w:rPr>
          <w:rFonts w:eastAsia="SimHei"/>
          <w:i/>
          <w:lang w:eastAsia="fr-FR"/>
        </w:rPr>
        <w:t>Holds</w:t>
      </w:r>
      <w:r w:rsidRPr="00031026">
        <w:t xml:space="preserve"> </w:t>
      </w:r>
      <w:r w:rsidRPr="00031026">
        <w:rPr>
          <w:rFonts w:eastAsia="SimHei"/>
          <w:lang w:eastAsia="fr-FR"/>
        </w:rPr>
        <w:t xml:space="preserve">that there has been a violation of Article 18 taken in conjunction with Article 5 § 3 of the Convention in respect of both </w:t>
      </w:r>
      <w:proofErr w:type="gramStart"/>
      <w:r w:rsidRPr="00031026">
        <w:rPr>
          <w:rFonts w:eastAsia="SimHei"/>
          <w:lang w:eastAsia="fr-FR"/>
        </w:rPr>
        <w:t>applicants;</w:t>
      </w:r>
      <w:proofErr w:type="gramEnd"/>
    </w:p>
    <w:p w:rsidRPr="00031026" w:rsidR="00031026" w:rsidP="00031026" w:rsidRDefault="00031026" w14:paraId="40D0348A" w14:textId="77777777">
      <w:pPr>
        <w:pStyle w:val="JuList"/>
      </w:pPr>
      <w:r w:rsidRPr="00031026">
        <w:rPr>
          <w:i/>
        </w:rPr>
        <w:t>Holds</w:t>
      </w:r>
    </w:p>
    <w:p w:rsidRPr="00031026" w:rsidR="00031026" w:rsidP="00031026" w:rsidRDefault="00031026" w14:paraId="0E7C793D" w14:textId="77777777">
      <w:pPr>
        <w:pStyle w:val="JuLista"/>
      </w:pPr>
      <w:r w:rsidRPr="00031026">
        <w:t xml:space="preserve">that the respondent State is to pay the applicants, within three months from the date on which the judgment becomes final in accordance with Article 44 § 2 of the Convention, the following amounts, to be converted into </w:t>
      </w:r>
      <w:r w:rsidRPr="00031026">
        <w:rPr>
          <w:color w:val="000000"/>
        </w:rPr>
        <w:t>the currency of the respondent State</w:t>
      </w:r>
      <w:r w:rsidRPr="00031026">
        <w:t xml:space="preserve"> at the rate applicable at the date of settlement:</w:t>
      </w:r>
    </w:p>
    <w:p w:rsidRPr="00031026" w:rsidR="00031026" w:rsidP="00031026" w:rsidRDefault="00031026" w14:paraId="5843CA3D" w14:textId="77777777">
      <w:pPr>
        <w:pStyle w:val="JuListi"/>
      </w:pPr>
      <w:r w:rsidRPr="00031026">
        <w:t xml:space="preserve">EUR 20,000 (twenty thousand euros), plus any tax that may be chargeable, to each applicant, in respect of non-pecuniary </w:t>
      </w:r>
      <w:proofErr w:type="gramStart"/>
      <w:r w:rsidRPr="00031026">
        <w:t>damage;</w:t>
      </w:r>
      <w:proofErr w:type="gramEnd"/>
    </w:p>
    <w:p w:rsidRPr="00031026" w:rsidR="00031026" w:rsidP="00031026" w:rsidRDefault="00031026" w14:paraId="3BB25F07" w14:textId="77777777">
      <w:pPr>
        <w:pStyle w:val="JuListi"/>
      </w:pPr>
      <w:r w:rsidRPr="00031026">
        <w:t xml:space="preserve">EUR 1,500 (one thousand five hundred euros) to the first applicant, plus any tax that may be chargeable to him, in respect of costs and </w:t>
      </w:r>
      <w:proofErr w:type="gramStart"/>
      <w:r w:rsidRPr="00031026">
        <w:t>expenses;</w:t>
      </w:r>
      <w:proofErr w:type="gramEnd"/>
    </w:p>
    <w:p w:rsidRPr="00031026" w:rsidR="00031026" w:rsidP="00031026" w:rsidRDefault="00031026" w14:paraId="44F4535A" w14:textId="23F8875D">
      <w:pPr>
        <w:pStyle w:val="JuListi"/>
      </w:pPr>
      <w:r w:rsidRPr="00031026">
        <w:t xml:space="preserve">EUR 2,000 (two thousand euros) to the second applicant, plus any tax that may be chargeable to him, in respect of costs and expenses, to be paid directly into his representative’s bank </w:t>
      </w:r>
      <w:proofErr w:type="gramStart"/>
      <w:r w:rsidRPr="00031026">
        <w:t>account;</w:t>
      </w:r>
      <w:proofErr w:type="gramEnd"/>
    </w:p>
    <w:p w:rsidRPr="00031026" w:rsidR="00031026" w:rsidP="00031026" w:rsidRDefault="00031026" w14:paraId="6C2E8C4B" w14:textId="77777777">
      <w:pPr>
        <w:pStyle w:val="JuLista"/>
      </w:pPr>
      <w:r w:rsidRPr="00031026">
        <w:t xml:space="preserve">that from the expiry of the above-mentioned three months until settlement simple interest shall be payable on the above amounts at a rate equal to the marginal lending rate of the European Central Bank during the default period, plus three percentage </w:t>
      </w:r>
      <w:proofErr w:type="gramStart"/>
      <w:r w:rsidRPr="00031026">
        <w:t>points;</w:t>
      </w:r>
      <w:proofErr w:type="gramEnd"/>
    </w:p>
    <w:p w:rsidRPr="00031026" w:rsidR="00031026" w:rsidP="00031026" w:rsidRDefault="00031026" w14:paraId="50C908F7" w14:textId="5F814CCE">
      <w:pPr>
        <w:pStyle w:val="JuList"/>
      </w:pPr>
      <w:r w:rsidRPr="00031026">
        <w:rPr>
          <w:i/>
        </w:rPr>
        <w:t>Dismisses</w:t>
      </w:r>
      <w:r w:rsidRPr="00031026">
        <w:t xml:space="preserve"> the remainder of the applicants’ claims for just satisfaction.</w:t>
      </w:r>
    </w:p>
    <w:p w:rsidRPr="00031026" w:rsidR="00031026" w:rsidP="00031026" w:rsidRDefault="00031026" w14:paraId="4B69BEFA" w14:textId="77777777">
      <w:pPr>
        <w:pStyle w:val="JuParaLast"/>
      </w:pPr>
      <w:r w:rsidRPr="00031026">
        <w:t xml:space="preserve">Done in English, and notified in writing on </w:t>
      </w:r>
      <w:r w:rsidRPr="00031026">
        <w:rPr>
          <w:rFonts w:ascii="Times New Roman" w:hAnsi="Times New Roman" w:cs="Times New Roman"/>
        </w:rPr>
        <w:t>18 February 2021</w:t>
      </w:r>
      <w:r w:rsidRPr="00031026">
        <w:t>, pursuant to Rule 77 §§ 2 and 3 of the Rules of Court.</w:t>
      </w:r>
    </w:p>
    <w:p w:rsidRPr="00031026" w:rsidR="00031026" w:rsidP="00031026" w:rsidRDefault="00031026" w14:paraId="32D04F18" w14:textId="2123B28B">
      <w:pPr>
        <w:pStyle w:val="JuSigned"/>
        <w:jc w:val="center"/>
      </w:pPr>
      <w:r w:rsidRPr="00031026">
        <w:t xml:space="preserve">Victor </w:t>
      </w:r>
      <w:proofErr w:type="spellStart"/>
      <w:r w:rsidRPr="00031026">
        <w:t>Soloveytchik</w:t>
      </w:r>
      <w:proofErr w:type="spellEnd"/>
      <w:r w:rsidRPr="00031026">
        <w:t xml:space="preserve"> </w:t>
      </w:r>
      <w:r w:rsidRPr="00031026">
        <w:tab/>
      </w:r>
      <w:proofErr w:type="spellStart"/>
      <w:r w:rsidRPr="00031026">
        <w:t>Síofra</w:t>
      </w:r>
      <w:proofErr w:type="spellEnd"/>
      <w:r w:rsidRPr="00031026">
        <w:t xml:space="preserve"> O’Leary</w:t>
      </w:r>
      <w:r w:rsidRPr="00031026">
        <w:br/>
      </w:r>
      <w:r w:rsidRPr="00031026">
        <w:tab/>
      </w:r>
      <w:r w:rsidRPr="00031026">
        <w:rPr>
          <w:iCs/>
        </w:rPr>
        <w:t>Registrar</w:t>
      </w:r>
      <w:r w:rsidRPr="00031026">
        <w:tab/>
        <w:t>President</w:t>
      </w:r>
    </w:p>
    <w:p w:rsidRPr="00031026" w:rsidR="00031026" w:rsidP="00031026" w:rsidRDefault="00031026" w14:paraId="7C771020" w14:textId="77777777">
      <w:pPr>
        <w:pStyle w:val="JuPara"/>
      </w:pPr>
    </w:p>
    <w:p w:rsidRPr="00031026" w:rsidR="00031026" w:rsidP="00031026" w:rsidRDefault="00031026" w14:paraId="7EB2959B" w14:textId="77777777">
      <w:r w:rsidRPr="00031026">
        <w:br w:type="page"/>
      </w:r>
    </w:p>
    <w:p w:rsidRPr="00031026" w:rsidR="00031026" w:rsidP="00031026" w:rsidRDefault="00031026" w14:paraId="2422506C" w14:textId="77777777">
      <w:pPr>
        <w:keepNext/>
        <w:keepLines/>
        <w:spacing w:before="1320" w:after="280"/>
        <w:contextualSpacing/>
        <w:jc w:val="center"/>
        <w:rPr>
          <w:b/>
        </w:rPr>
      </w:pPr>
      <w:r w:rsidRPr="00031026">
        <w:rPr>
          <w:b/>
        </w:rPr>
        <w:t>APPENDIX</w:t>
      </w:r>
    </w:p>
    <w:tbl>
      <w:tblPr>
        <w:tblpPr w:leftFromText="141" w:rightFromText="141" w:horzAnchor="margin" w:tblpY="740"/>
        <w:tblW w:w="7230"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Look w:val="01E0" w:firstRow="1" w:lastRow="1" w:firstColumn="1" w:lastColumn="1" w:noHBand="0" w:noVBand="0"/>
      </w:tblPr>
      <w:tblGrid>
        <w:gridCol w:w="817"/>
        <w:gridCol w:w="1134"/>
        <w:gridCol w:w="1026"/>
        <w:gridCol w:w="2093"/>
        <w:gridCol w:w="2160"/>
      </w:tblGrid>
      <w:tr w:rsidRPr="00031026" w:rsidR="00031026" w:rsidTr="00AF76D1" w14:paraId="52667B14" w14:textId="77777777">
        <w:trPr>
          <w:trHeight w:val="926"/>
        </w:trPr>
        <w:tc>
          <w:tcPr>
            <w:tcW w:w="817" w:type="dxa"/>
            <w:shd w:val="clear" w:color="auto" w:fill="E0E0E0"/>
          </w:tcPr>
          <w:p w:rsidRPr="00031026" w:rsidR="00031026" w:rsidP="00031026" w:rsidRDefault="00031026" w14:paraId="5374157A" w14:textId="77777777">
            <w:pPr>
              <w:jc w:val="both"/>
              <w:rPr>
                <w:b/>
                <w:bCs/>
                <w:sz w:val="16"/>
                <w:szCs w:val="16"/>
              </w:rPr>
            </w:pPr>
            <w:r w:rsidRPr="00031026">
              <w:rPr>
                <w:b/>
                <w:bCs/>
                <w:sz w:val="16"/>
                <w:szCs w:val="16"/>
              </w:rPr>
              <w:br w:type="page"/>
            </w:r>
            <w:bookmarkStart w:name="TableStart" w:id="3"/>
            <w:bookmarkEnd w:id="3"/>
            <w:r w:rsidRPr="00031026">
              <w:rPr>
                <w:b/>
                <w:bCs/>
                <w:sz w:val="16"/>
                <w:szCs w:val="16"/>
              </w:rPr>
              <w:t>No.</w:t>
            </w:r>
          </w:p>
        </w:tc>
        <w:tc>
          <w:tcPr>
            <w:tcW w:w="1134" w:type="dxa"/>
            <w:shd w:val="clear" w:color="auto" w:fill="E0E0E0"/>
          </w:tcPr>
          <w:p w:rsidRPr="00031026" w:rsidR="00031026" w:rsidP="00031026" w:rsidRDefault="00031026" w14:paraId="2768C5C9" w14:textId="77777777">
            <w:pPr>
              <w:ind w:left="-1"/>
              <w:jc w:val="both"/>
              <w:rPr>
                <w:b/>
                <w:bCs/>
                <w:sz w:val="16"/>
                <w:szCs w:val="16"/>
              </w:rPr>
            </w:pPr>
            <w:r w:rsidRPr="00031026">
              <w:rPr>
                <w:b/>
                <w:bCs/>
                <w:sz w:val="16"/>
                <w:szCs w:val="16"/>
              </w:rPr>
              <w:t>Application</w:t>
            </w:r>
          </w:p>
          <w:p w:rsidRPr="00031026" w:rsidR="00031026" w:rsidP="00031026" w:rsidRDefault="00031026" w14:paraId="79786909" w14:textId="77777777">
            <w:pPr>
              <w:ind w:left="-1"/>
              <w:jc w:val="both"/>
              <w:rPr>
                <w:b/>
                <w:bCs/>
                <w:sz w:val="16"/>
                <w:szCs w:val="16"/>
              </w:rPr>
            </w:pPr>
            <w:r w:rsidRPr="00031026">
              <w:rPr>
                <w:b/>
                <w:bCs/>
                <w:sz w:val="16"/>
                <w:szCs w:val="16"/>
              </w:rPr>
              <w:t>no.</w:t>
            </w:r>
          </w:p>
        </w:tc>
        <w:tc>
          <w:tcPr>
            <w:tcW w:w="1026" w:type="dxa"/>
            <w:shd w:val="clear" w:color="auto" w:fill="E0E0E0"/>
          </w:tcPr>
          <w:p w:rsidRPr="00031026" w:rsidR="00031026" w:rsidP="00031026" w:rsidRDefault="00031026" w14:paraId="1B62873E" w14:textId="77777777">
            <w:pPr>
              <w:jc w:val="both"/>
              <w:rPr>
                <w:b/>
                <w:bCs/>
                <w:sz w:val="16"/>
                <w:szCs w:val="16"/>
              </w:rPr>
            </w:pPr>
            <w:r w:rsidRPr="00031026">
              <w:rPr>
                <w:b/>
                <w:bCs/>
                <w:sz w:val="16"/>
                <w:szCs w:val="16"/>
              </w:rPr>
              <w:t>Lodged on</w:t>
            </w:r>
          </w:p>
        </w:tc>
        <w:tc>
          <w:tcPr>
            <w:tcW w:w="2093" w:type="dxa"/>
            <w:shd w:val="clear" w:color="auto" w:fill="E0E0E0"/>
          </w:tcPr>
          <w:p w:rsidRPr="00031026" w:rsidR="00031026" w:rsidP="00031026" w:rsidRDefault="00031026" w14:paraId="2DEB0A80" w14:textId="77777777">
            <w:pPr>
              <w:jc w:val="both"/>
              <w:rPr>
                <w:b/>
                <w:bCs/>
                <w:sz w:val="16"/>
                <w:szCs w:val="16"/>
              </w:rPr>
            </w:pPr>
            <w:r w:rsidRPr="00031026">
              <w:rPr>
                <w:b/>
                <w:bCs/>
                <w:sz w:val="16"/>
                <w:szCs w:val="16"/>
              </w:rPr>
              <w:t>Applicant name,</w:t>
            </w:r>
          </w:p>
          <w:p w:rsidRPr="00031026" w:rsidR="00031026" w:rsidP="00031026" w:rsidRDefault="00031026" w14:paraId="2CFE9416" w14:textId="77777777">
            <w:pPr>
              <w:jc w:val="both"/>
              <w:rPr>
                <w:b/>
                <w:bCs/>
                <w:sz w:val="16"/>
                <w:szCs w:val="16"/>
              </w:rPr>
            </w:pPr>
            <w:r w:rsidRPr="00031026">
              <w:rPr>
                <w:b/>
                <w:bCs/>
                <w:sz w:val="16"/>
                <w:szCs w:val="16"/>
              </w:rPr>
              <w:t>year of birth,</w:t>
            </w:r>
          </w:p>
          <w:p w:rsidRPr="00031026" w:rsidR="00031026" w:rsidP="00031026" w:rsidRDefault="00031026" w14:paraId="3D83E3B0" w14:textId="77777777">
            <w:pPr>
              <w:jc w:val="both"/>
              <w:rPr>
                <w:b/>
                <w:bCs/>
                <w:sz w:val="16"/>
                <w:szCs w:val="16"/>
              </w:rPr>
            </w:pPr>
            <w:r w:rsidRPr="00031026">
              <w:rPr>
                <w:b/>
                <w:bCs/>
                <w:sz w:val="16"/>
                <w:szCs w:val="16"/>
              </w:rPr>
              <w:t>place of residence</w:t>
            </w:r>
          </w:p>
        </w:tc>
        <w:tc>
          <w:tcPr>
            <w:tcW w:w="2160" w:type="dxa"/>
            <w:tcBorders>
              <w:right w:val="single" w:color="auto" w:sz="4" w:space="0"/>
            </w:tcBorders>
            <w:shd w:val="clear" w:color="auto" w:fill="E0E0E0"/>
          </w:tcPr>
          <w:p w:rsidRPr="00031026" w:rsidR="00031026" w:rsidP="00031026" w:rsidRDefault="00031026" w14:paraId="07C2ACA9" w14:textId="77777777">
            <w:pPr>
              <w:jc w:val="both"/>
              <w:rPr>
                <w:b/>
                <w:bCs/>
                <w:sz w:val="16"/>
                <w:szCs w:val="16"/>
              </w:rPr>
            </w:pPr>
            <w:r w:rsidRPr="00031026">
              <w:rPr>
                <w:b/>
                <w:bCs/>
                <w:sz w:val="16"/>
                <w:szCs w:val="16"/>
              </w:rPr>
              <w:t>Represented by</w:t>
            </w:r>
          </w:p>
        </w:tc>
      </w:tr>
      <w:tr w:rsidRPr="00031026" w:rsidR="00031026" w:rsidTr="00AF76D1" w14:paraId="18EEC05F" w14:textId="77777777">
        <w:trPr>
          <w:trHeight w:val="711"/>
        </w:trPr>
        <w:tc>
          <w:tcPr>
            <w:tcW w:w="817" w:type="dxa"/>
            <w:shd w:val="clear" w:color="auto" w:fill="auto"/>
          </w:tcPr>
          <w:p w:rsidRPr="00031026" w:rsidR="00031026" w:rsidP="00031026" w:rsidRDefault="00031026" w14:paraId="408C8422" w14:textId="77777777">
            <w:pPr>
              <w:ind w:left="360"/>
              <w:jc w:val="both"/>
              <w:rPr>
                <w:b/>
                <w:sz w:val="16"/>
                <w:szCs w:val="16"/>
              </w:rPr>
            </w:pPr>
            <w:r w:rsidRPr="00031026">
              <w:rPr>
                <w:b/>
                <w:sz w:val="16"/>
                <w:szCs w:val="16"/>
              </w:rPr>
              <w:t>1. </w:t>
            </w:r>
          </w:p>
        </w:tc>
        <w:tc>
          <w:tcPr>
            <w:tcW w:w="1134" w:type="dxa"/>
            <w:shd w:val="clear" w:color="auto" w:fill="auto"/>
          </w:tcPr>
          <w:p w:rsidRPr="00031026" w:rsidR="00031026" w:rsidP="00031026" w:rsidRDefault="00031026" w14:paraId="69B5EC55" w14:textId="77777777">
            <w:pPr>
              <w:jc w:val="both"/>
              <w:rPr>
                <w:bCs/>
                <w:sz w:val="16"/>
                <w:szCs w:val="16"/>
              </w:rPr>
            </w:pPr>
            <w:r w:rsidRPr="00031026">
              <w:rPr>
                <w:bCs/>
                <w:sz w:val="16"/>
                <w:szCs w:val="16"/>
              </w:rPr>
              <w:t>65583/13</w:t>
            </w:r>
          </w:p>
        </w:tc>
        <w:tc>
          <w:tcPr>
            <w:tcW w:w="1026" w:type="dxa"/>
            <w:shd w:val="clear" w:color="auto" w:fill="auto"/>
          </w:tcPr>
          <w:p w:rsidRPr="00031026" w:rsidR="00031026" w:rsidP="00031026" w:rsidRDefault="00031026" w14:paraId="03386CDF" w14:textId="77777777">
            <w:pPr>
              <w:jc w:val="both"/>
              <w:rPr>
                <w:bCs/>
                <w:sz w:val="16"/>
                <w:szCs w:val="16"/>
              </w:rPr>
            </w:pPr>
            <w:r w:rsidRPr="00031026">
              <w:rPr>
                <w:bCs/>
                <w:sz w:val="16"/>
                <w:szCs w:val="16"/>
              </w:rPr>
              <w:t>27/09/2013</w:t>
            </w:r>
          </w:p>
        </w:tc>
        <w:tc>
          <w:tcPr>
            <w:tcW w:w="2093" w:type="dxa"/>
            <w:shd w:val="clear" w:color="auto" w:fill="auto"/>
          </w:tcPr>
          <w:p w:rsidRPr="00031026" w:rsidR="00031026" w:rsidP="00031026" w:rsidRDefault="00031026" w14:paraId="26B56162" w14:textId="77777777">
            <w:pPr>
              <w:jc w:val="both"/>
              <w:rPr>
                <w:b/>
                <w:bCs/>
                <w:sz w:val="16"/>
                <w:szCs w:val="16"/>
              </w:rPr>
            </w:pPr>
            <w:proofErr w:type="spellStart"/>
            <w:r w:rsidRPr="00031026">
              <w:rPr>
                <w:b/>
                <w:bCs/>
                <w:sz w:val="16"/>
                <w:szCs w:val="16"/>
              </w:rPr>
              <w:t>Mammad</w:t>
            </w:r>
            <w:proofErr w:type="spellEnd"/>
            <w:r w:rsidRPr="00031026">
              <w:rPr>
                <w:b/>
                <w:bCs/>
                <w:sz w:val="16"/>
                <w:szCs w:val="16"/>
              </w:rPr>
              <w:t xml:space="preserve"> AZIZOV</w:t>
            </w:r>
          </w:p>
          <w:p w:rsidRPr="00031026" w:rsidR="00031026" w:rsidP="00031026" w:rsidRDefault="00031026" w14:paraId="1765B330" w14:textId="77777777">
            <w:pPr>
              <w:jc w:val="both"/>
              <w:rPr>
                <w:bCs/>
                <w:sz w:val="16"/>
                <w:szCs w:val="16"/>
              </w:rPr>
            </w:pPr>
            <w:r w:rsidRPr="00031026">
              <w:rPr>
                <w:bCs/>
                <w:sz w:val="16"/>
                <w:szCs w:val="16"/>
              </w:rPr>
              <w:t>1992</w:t>
            </w:r>
          </w:p>
          <w:p w:rsidRPr="00031026" w:rsidR="00031026" w:rsidP="00031026" w:rsidRDefault="00031026" w14:paraId="339806F7" w14:textId="77777777">
            <w:pPr>
              <w:jc w:val="both"/>
              <w:rPr>
                <w:bCs/>
                <w:sz w:val="16"/>
                <w:szCs w:val="16"/>
              </w:rPr>
            </w:pPr>
            <w:proofErr w:type="spellStart"/>
            <w:r w:rsidRPr="00031026">
              <w:rPr>
                <w:bCs/>
                <w:sz w:val="16"/>
                <w:szCs w:val="16"/>
              </w:rPr>
              <w:t>Shaki</w:t>
            </w:r>
            <w:proofErr w:type="spellEnd"/>
          </w:p>
          <w:p w:rsidRPr="00031026" w:rsidR="00031026" w:rsidP="00031026" w:rsidRDefault="00031026" w14:paraId="6A4FF2FE" w14:textId="77777777">
            <w:pPr>
              <w:jc w:val="both"/>
              <w:rPr>
                <w:bCs/>
                <w:sz w:val="16"/>
                <w:szCs w:val="16"/>
              </w:rPr>
            </w:pPr>
          </w:p>
        </w:tc>
        <w:tc>
          <w:tcPr>
            <w:tcW w:w="2160" w:type="dxa"/>
            <w:tcBorders>
              <w:right w:val="single" w:color="auto" w:sz="4" w:space="0"/>
            </w:tcBorders>
            <w:shd w:val="clear" w:color="auto" w:fill="auto"/>
          </w:tcPr>
          <w:p w:rsidRPr="00031026" w:rsidR="00031026" w:rsidP="00031026" w:rsidRDefault="00031026" w14:paraId="1829DC22" w14:textId="77777777">
            <w:pPr>
              <w:jc w:val="both"/>
              <w:rPr>
                <w:bCs/>
                <w:sz w:val="16"/>
                <w:szCs w:val="16"/>
              </w:rPr>
            </w:pPr>
            <w:proofErr w:type="spellStart"/>
            <w:r w:rsidRPr="00031026">
              <w:rPr>
                <w:bCs/>
                <w:sz w:val="16"/>
                <w:szCs w:val="16"/>
              </w:rPr>
              <w:t>Fariz</w:t>
            </w:r>
            <w:proofErr w:type="spellEnd"/>
            <w:r w:rsidRPr="00031026">
              <w:rPr>
                <w:bCs/>
                <w:sz w:val="16"/>
                <w:szCs w:val="16"/>
              </w:rPr>
              <w:t xml:space="preserve"> </w:t>
            </w:r>
            <w:proofErr w:type="spellStart"/>
            <w:r w:rsidRPr="00031026">
              <w:rPr>
                <w:bCs/>
                <w:sz w:val="16"/>
                <w:szCs w:val="16"/>
              </w:rPr>
              <w:t>Namazli</w:t>
            </w:r>
            <w:proofErr w:type="spellEnd"/>
          </w:p>
        </w:tc>
      </w:tr>
      <w:tr w:rsidRPr="00031026" w:rsidR="00031026" w:rsidTr="00AF76D1" w14:paraId="755995B4" w14:textId="77777777">
        <w:trPr>
          <w:trHeight w:val="711"/>
        </w:trPr>
        <w:tc>
          <w:tcPr>
            <w:tcW w:w="817" w:type="dxa"/>
            <w:tcBorders>
              <w:top w:val="single" w:color="808080" w:sz="4" w:space="0"/>
              <w:left w:val="single" w:color="808080" w:sz="4" w:space="0"/>
              <w:bottom w:val="single" w:color="808080" w:sz="4" w:space="0"/>
              <w:right w:val="single" w:color="808080" w:sz="4" w:space="0"/>
            </w:tcBorders>
            <w:shd w:val="clear" w:color="auto" w:fill="auto"/>
          </w:tcPr>
          <w:p w:rsidRPr="00031026" w:rsidR="00031026" w:rsidP="00031026" w:rsidRDefault="00031026" w14:paraId="1A56C2F2" w14:textId="77777777">
            <w:pPr>
              <w:ind w:left="357"/>
              <w:rPr>
                <w:b/>
                <w:sz w:val="16"/>
                <w:szCs w:val="16"/>
              </w:rPr>
            </w:pPr>
            <w:r w:rsidRPr="00031026">
              <w:rPr>
                <w:b/>
                <w:sz w:val="16"/>
                <w:szCs w:val="16"/>
              </w:rPr>
              <w:t>2.</w:t>
            </w:r>
          </w:p>
        </w:tc>
        <w:tc>
          <w:tcPr>
            <w:tcW w:w="1134" w:type="dxa"/>
            <w:tcBorders>
              <w:top w:val="single" w:color="808080" w:sz="4" w:space="0"/>
              <w:left w:val="single" w:color="808080" w:sz="4" w:space="0"/>
              <w:bottom w:val="single" w:color="808080" w:sz="4" w:space="0"/>
              <w:right w:val="single" w:color="808080" w:sz="4" w:space="0"/>
            </w:tcBorders>
            <w:shd w:val="clear" w:color="auto" w:fill="auto"/>
          </w:tcPr>
          <w:p w:rsidRPr="00031026" w:rsidR="00031026" w:rsidP="00031026" w:rsidRDefault="00031026" w14:paraId="0D818DDE" w14:textId="77777777">
            <w:pPr>
              <w:jc w:val="both"/>
              <w:rPr>
                <w:bCs/>
                <w:sz w:val="16"/>
                <w:szCs w:val="16"/>
              </w:rPr>
            </w:pPr>
            <w:r w:rsidRPr="00031026">
              <w:rPr>
                <w:bCs/>
                <w:sz w:val="16"/>
                <w:szCs w:val="16"/>
              </w:rPr>
              <w:t>70106/13</w:t>
            </w:r>
          </w:p>
        </w:tc>
        <w:tc>
          <w:tcPr>
            <w:tcW w:w="1026" w:type="dxa"/>
            <w:tcBorders>
              <w:top w:val="single" w:color="808080" w:sz="4" w:space="0"/>
              <w:left w:val="single" w:color="808080" w:sz="4" w:space="0"/>
              <w:bottom w:val="single" w:color="808080" w:sz="4" w:space="0"/>
              <w:right w:val="single" w:color="808080" w:sz="4" w:space="0"/>
            </w:tcBorders>
            <w:shd w:val="clear" w:color="auto" w:fill="auto"/>
          </w:tcPr>
          <w:p w:rsidRPr="00031026" w:rsidR="00031026" w:rsidP="00031026" w:rsidRDefault="00031026" w14:paraId="3E2C29DB" w14:textId="77777777">
            <w:pPr>
              <w:jc w:val="both"/>
              <w:rPr>
                <w:bCs/>
                <w:sz w:val="16"/>
                <w:szCs w:val="16"/>
              </w:rPr>
            </w:pPr>
            <w:r w:rsidRPr="00031026">
              <w:rPr>
                <w:bCs/>
                <w:sz w:val="16"/>
                <w:szCs w:val="16"/>
              </w:rPr>
              <w:t>17/10/2013</w:t>
            </w:r>
          </w:p>
        </w:tc>
        <w:tc>
          <w:tcPr>
            <w:tcW w:w="2093" w:type="dxa"/>
            <w:tcBorders>
              <w:top w:val="single" w:color="808080" w:sz="4" w:space="0"/>
              <w:left w:val="single" w:color="808080" w:sz="4" w:space="0"/>
              <w:bottom w:val="single" w:color="808080" w:sz="4" w:space="0"/>
              <w:right w:val="single" w:color="808080" w:sz="4" w:space="0"/>
            </w:tcBorders>
            <w:shd w:val="clear" w:color="auto" w:fill="auto"/>
          </w:tcPr>
          <w:p w:rsidRPr="00031026" w:rsidR="00031026" w:rsidP="00031026" w:rsidRDefault="00031026" w14:paraId="3F4E96D8" w14:textId="77777777">
            <w:pPr>
              <w:jc w:val="both"/>
              <w:rPr>
                <w:b/>
                <w:bCs/>
                <w:sz w:val="16"/>
                <w:szCs w:val="16"/>
              </w:rPr>
            </w:pPr>
            <w:r w:rsidRPr="00031026">
              <w:rPr>
                <w:b/>
                <w:bCs/>
                <w:sz w:val="16"/>
                <w:szCs w:val="16"/>
              </w:rPr>
              <w:t>Shahin NOVRUZLU</w:t>
            </w:r>
          </w:p>
          <w:p w:rsidRPr="00031026" w:rsidR="00031026" w:rsidP="00031026" w:rsidRDefault="00031026" w14:paraId="44FD9F9B" w14:textId="77777777">
            <w:pPr>
              <w:jc w:val="both"/>
              <w:rPr>
                <w:bCs/>
                <w:sz w:val="16"/>
                <w:szCs w:val="16"/>
              </w:rPr>
            </w:pPr>
            <w:r w:rsidRPr="00031026">
              <w:rPr>
                <w:bCs/>
                <w:sz w:val="16"/>
                <w:szCs w:val="16"/>
              </w:rPr>
              <w:t>1995</w:t>
            </w:r>
          </w:p>
          <w:p w:rsidRPr="00031026" w:rsidR="00031026" w:rsidP="00031026" w:rsidRDefault="00031026" w14:paraId="50E0CD8E" w14:textId="77777777">
            <w:pPr>
              <w:jc w:val="both"/>
              <w:rPr>
                <w:bCs/>
                <w:sz w:val="16"/>
                <w:szCs w:val="16"/>
              </w:rPr>
            </w:pPr>
            <w:r w:rsidRPr="00031026">
              <w:rPr>
                <w:bCs/>
                <w:sz w:val="16"/>
                <w:szCs w:val="16"/>
              </w:rPr>
              <w:t>Baku</w:t>
            </w:r>
          </w:p>
        </w:tc>
        <w:tc>
          <w:tcPr>
            <w:tcW w:w="2160" w:type="dxa"/>
            <w:tcBorders>
              <w:top w:val="single" w:color="808080" w:sz="4" w:space="0"/>
              <w:left w:val="single" w:color="808080" w:sz="4" w:space="0"/>
              <w:bottom w:val="single" w:color="808080" w:sz="4" w:space="0"/>
              <w:right w:val="single" w:color="auto" w:sz="4" w:space="0"/>
            </w:tcBorders>
            <w:shd w:val="clear" w:color="auto" w:fill="auto"/>
          </w:tcPr>
          <w:p w:rsidRPr="00031026" w:rsidR="00031026" w:rsidP="00031026" w:rsidRDefault="00031026" w14:paraId="5B3AAF07" w14:textId="77777777">
            <w:pPr>
              <w:jc w:val="both"/>
              <w:rPr>
                <w:bCs/>
                <w:sz w:val="16"/>
                <w:szCs w:val="16"/>
              </w:rPr>
            </w:pPr>
            <w:r w:rsidRPr="00031026">
              <w:rPr>
                <w:bCs/>
                <w:sz w:val="16"/>
                <w:szCs w:val="16"/>
              </w:rPr>
              <w:t xml:space="preserve">Nemat </w:t>
            </w:r>
            <w:proofErr w:type="spellStart"/>
            <w:r w:rsidRPr="00031026">
              <w:rPr>
                <w:bCs/>
                <w:sz w:val="16"/>
                <w:szCs w:val="16"/>
              </w:rPr>
              <w:t>Karimli</w:t>
            </w:r>
            <w:proofErr w:type="spellEnd"/>
          </w:p>
        </w:tc>
      </w:tr>
    </w:tbl>
    <w:p w:rsidRPr="00031026" w:rsidR="00031026" w:rsidP="00031026" w:rsidRDefault="00031026" w14:paraId="08D10564" w14:textId="77777777">
      <w:pPr>
        <w:pStyle w:val="JuSigned"/>
        <w:jc w:val="center"/>
      </w:pPr>
    </w:p>
    <w:p w:rsidRPr="00031026" w:rsidR="002A613A" w:rsidP="00031026" w:rsidRDefault="002A613A" w14:paraId="34E6D0BE" w14:textId="77777777"/>
    <w:sectPr w:rsidRPr="00031026" w:rsidR="002A613A" w:rsidSect="004C701D">
      <w:headerReference w:type="even" r:id="rId12"/>
      <w:headerReference w:type="default" r:id="rId13"/>
      <w:footerReference w:type="even" r:id="rId14"/>
      <w:footerReference w:type="default" r:id="rId15"/>
      <w:footnotePr>
        <w:numRestart w:val="eachSect"/>
      </w:footnotePr>
      <w:pgSz w:w="11906" w:h="16838" w:code="9"/>
      <w:pgMar w:top="2274" w:right="2274" w:bottom="2127"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FEC9DC" w14:textId="77777777" w:rsidR="00441880" w:rsidRPr="00542DDB" w:rsidRDefault="00441880" w:rsidP="0098410D">
      <w:r w:rsidRPr="00542DDB">
        <w:separator/>
      </w:r>
    </w:p>
  </w:endnote>
  <w:endnote w:type="continuationSeparator" w:id="0">
    <w:p w14:paraId="791B2CFA" w14:textId="77777777" w:rsidR="00441880" w:rsidRPr="00542DDB" w:rsidRDefault="00441880" w:rsidP="0098410D">
      <w:r w:rsidRPr="00542DD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F0175D" w14:textId="77777777" w:rsidR="00031026" w:rsidRPr="00150BFA" w:rsidRDefault="00031026" w:rsidP="00441880">
    <w:pPr>
      <w:jc w:val="center"/>
    </w:pPr>
    <w:r>
      <w:rPr>
        <w:noProof/>
        <w:lang w:val="en-US" w:eastAsia="ja-JP"/>
      </w:rPr>
      <w:drawing>
        <wp:inline distT="0" distB="0" distL="0" distR="0" wp14:anchorId="2F44BE31" wp14:editId="7B413457">
          <wp:extent cx="771525" cy="619125"/>
          <wp:effectExtent l="0" t="0" r="9525" b="9525"/>
          <wp:docPr id="59" name="Picture 5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8BD3D34" w14:textId="77777777" w:rsidR="00031026" w:rsidRPr="00542DDB" w:rsidRDefault="00031026" w:rsidP="00441880">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C2EDD0" w14:textId="77777777" w:rsidR="00031026" w:rsidRPr="00150BFA" w:rsidRDefault="00031026" w:rsidP="00441880">
    <w:pPr>
      <w:jc w:val="center"/>
    </w:pPr>
    <w:r>
      <w:rPr>
        <w:noProof/>
        <w:lang w:val="en-US" w:eastAsia="ja-JP"/>
      </w:rPr>
      <w:drawing>
        <wp:inline distT="0" distB="0" distL="0" distR="0" wp14:anchorId="2CFF68A0" wp14:editId="5D5D8722">
          <wp:extent cx="771525" cy="619125"/>
          <wp:effectExtent l="0" t="0" r="9525" b="9525"/>
          <wp:docPr id="57" name="Picture 5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62A1183" w14:textId="77777777" w:rsidR="00031026" w:rsidRPr="00542DDB" w:rsidRDefault="00031026"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DA3141" w14:textId="77777777" w:rsidR="00441880" w:rsidRDefault="00441880"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E4CE3A" w14:textId="77777777" w:rsidR="00441880" w:rsidRPr="000B7195" w:rsidRDefault="00441880" w:rsidP="007D3701">
    <w:pPr>
      <w:pStyle w:val="JuHeader"/>
    </w:pPr>
    <w:r>
      <w:fldChar w:fldCharType="begin"/>
    </w:r>
    <w:r>
      <w:instrText xml:space="preserve"> PAGE </w:instrText>
    </w:r>
    <w:r>
      <w:fldChar w:fldCharType="separate"/>
    </w:r>
    <w:r>
      <w:rPr>
        <w:noProof/>
      </w:rPr>
      <w:t>21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E2E94F" w14:textId="77777777" w:rsidR="00441880" w:rsidRPr="00542DDB" w:rsidRDefault="00441880" w:rsidP="0098410D">
      <w:r w:rsidRPr="00542DDB">
        <w:separator/>
      </w:r>
    </w:p>
  </w:footnote>
  <w:footnote w:type="continuationSeparator" w:id="0">
    <w:p w14:paraId="260067FE" w14:textId="77777777" w:rsidR="00441880" w:rsidRPr="00542DDB" w:rsidRDefault="00441880" w:rsidP="0098410D">
      <w:r w:rsidRPr="00542DDB">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C88F7D" w14:textId="77777777" w:rsidR="00031026" w:rsidRPr="00A45145" w:rsidRDefault="00031026" w:rsidP="00441880">
    <w:pPr>
      <w:jc w:val="center"/>
    </w:pPr>
    <w:r>
      <w:rPr>
        <w:noProof/>
        <w:lang w:val="en-US" w:eastAsia="ja-JP"/>
      </w:rPr>
      <w:drawing>
        <wp:inline distT="0" distB="0" distL="0" distR="0" wp14:anchorId="3FE2518D" wp14:editId="685F68CF">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A35972A" w14:textId="77777777" w:rsidR="00031026" w:rsidRPr="00542DDB" w:rsidRDefault="00031026" w:rsidP="00441880">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FAFA82" w14:textId="77777777" w:rsidR="00031026" w:rsidRPr="00A45145" w:rsidRDefault="00031026" w:rsidP="00441880">
    <w:pPr>
      <w:jc w:val="center"/>
    </w:pPr>
    <w:r>
      <w:rPr>
        <w:noProof/>
        <w:lang w:val="en-US" w:eastAsia="ja-JP"/>
      </w:rPr>
      <w:drawing>
        <wp:inline distT="0" distB="0" distL="0" distR="0" wp14:anchorId="0F81E5F2" wp14:editId="055F1D9B">
          <wp:extent cx="2962275" cy="1219200"/>
          <wp:effectExtent l="0" t="0" r="9525" b="0"/>
          <wp:docPr id="45" name="Picture 4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E691F20" w14:textId="77777777" w:rsidR="00031026" w:rsidRPr="00542DDB" w:rsidRDefault="00031026"/>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C0916B" w14:textId="77777777" w:rsidR="00441880" w:rsidRPr="004D0EC7" w:rsidRDefault="00441880" w:rsidP="004D0EC7">
    <w:pPr>
      <w:pStyle w:val="JuHeader"/>
    </w:pPr>
    <w:r>
      <w:t>AZIZOV</w:t>
    </w:r>
    <w:r w:rsidR="006A6DDF">
      <w:t xml:space="preserve"> AND NOVRUZLU</w:t>
    </w:r>
    <w:r>
      <w:t xml:space="preserve"> v. AZERBAIJAN</w:t>
    </w:r>
    <w:r>
      <w:rPr>
        <w:noProof/>
      </w:rPr>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5A644" w14:textId="77777777" w:rsidR="00441880" w:rsidRPr="00882CD5" w:rsidRDefault="00441880" w:rsidP="007D3701">
    <w:pPr>
      <w:pStyle w:val="JuHeader"/>
    </w:pPr>
    <w:r>
      <w:t>AZIZOV</w:t>
    </w:r>
    <w:r w:rsidR="0010296E">
      <w:t xml:space="preserve"> AND NOVRUZLU</w:t>
    </w:r>
    <w:r>
      <w:t xml:space="preserve"> v. AZERBAIJAN</w:t>
    </w:r>
    <w:r>
      <w:rPr>
        <w:noProof/>
      </w:rPr>
      <w:t xml:space="preserve"> </w:t>
    </w:r>
    <w:r w:rsidRPr="00882CD5">
      <w:t>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36247CD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3"/>
  </w:num>
  <w:num w:numId="6">
    <w:abstractNumId w:val="11"/>
  </w:num>
  <w:num w:numId="7">
    <w:abstractNumId w:val="10"/>
  </w:num>
  <w:num w:numId="8">
    <w:abstractNumId w:val="14"/>
  </w:num>
  <w:num w:numId="9">
    <w:abstractNumId w:val="12"/>
  </w:num>
  <w:num w:numId="10">
    <w:abstractNumId w:val="15"/>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30721"/>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2"/>
    <w:docVar w:name="EMM" w:val="0"/>
    <w:docVar w:name="NBEMMDOC" w:val="0"/>
  </w:docVars>
  <w:rsids>
    <w:rsidRoot w:val="00542DDB"/>
    <w:rsid w:val="000041F8"/>
    <w:rsid w:val="000042A8"/>
    <w:rsid w:val="00004308"/>
    <w:rsid w:val="00005BF0"/>
    <w:rsid w:val="0000617D"/>
    <w:rsid w:val="00007154"/>
    <w:rsid w:val="000103AE"/>
    <w:rsid w:val="00011D69"/>
    <w:rsid w:val="00012AD3"/>
    <w:rsid w:val="00015C2D"/>
    <w:rsid w:val="00015F00"/>
    <w:rsid w:val="00022C1D"/>
    <w:rsid w:val="00031026"/>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296E"/>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97783"/>
    <w:rsid w:val="001A145B"/>
    <w:rsid w:val="001A3E09"/>
    <w:rsid w:val="001A674C"/>
    <w:rsid w:val="001A6D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169AE"/>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1826"/>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1880"/>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1236"/>
    <w:rsid w:val="004B444E"/>
    <w:rsid w:val="004C01E4"/>
    <w:rsid w:val="004C086C"/>
    <w:rsid w:val="004C1F56"/>
    <w:rsid w:val="004C27BC"/>
    <w:rsid w:val="004C6621"/>
    <w:rsid w:val="004C701D"/>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0A97"/>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2DDB"/>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70A"/>
    <w:rsid w:val="005C3EE8"/>
    <w:rsid w:val="005D2EAF"/>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6E2"/>
    <w:rsid w:val="006A5D3A"/>
    <w:rsid w:val="006A6DDF"/>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2612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1180"/>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018"/>
    <w:rsid w:val="00934301"/>
    <w:rsid w:val="00936CD1"/>
    <w:rsid w:val="00941747"/>
    <w:rsid w:val="00941EFB"/>
    <w:rsid w:val="00947AFB"/>
    <w:rsid w:val="00947C2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11D4"/>
    <w:rsid w:val="009C191B"/>
    <w:rsid w:val="009C2BD6"/>
    <w:rsid w:val="009E1F32"/>
    <w:rsid w:val="009E2CC2"/>
    <w:rsid w:val="009E47A2"/>
    <w:rsid w:val="009E776C"/>
    <w:rsid w:val="009E7A6F"/>
    <w:rsid w:val="009F4C8F"/>
    <w:rsid w:val="00A05588"/>
    <w:rsid w:val="00A14D9F"/>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3005"/>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190"/>
    <w:rsid w:val="00C6098E"/>
    <w:rsid w:val="00C6152C"/>
    <w:rsid w:val="00C74810"/>
    <w:rsid w:val="00C90D68"/>
    <w:rsid w:val="00C939FE"/>
    <w:rsid w:val="00CA4BDA"/>
    <w:rsid w:val="00CB1004"/>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27D76"/>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5CC3"/>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4D3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2FA"/>
    <w:rsid w:val="00F56A6F"/>
    <w:rsid w:val="00F5709C"/>
    <w:rsid w:val="00F60B85"/>
    <w:rsid w:val="00F6163E"/>
    <w:rsid w:val="00F63AC2"/>
    <w:rsid w:val="00F64EF1"/>
    <w:rsid w:val="00F72B14"/>
    <w:rsid w:val="00F7349B"/>
    <w:rsid w:val="00F8004C"/>
    <w:rsid w:val="00F8765F"/>
    <w:rsid w:val="00F90767"/>
    <w:rsid w:val="00F9263C"/>
    <w:rsid w:val="00FA1637"/>
    <w:rsid w:val="00FA685B"/>
    <w:rsid w:val="00FB0C01"/>
    <w:rsid w:val="00FB5934"/>
    <w:rsid w:val="00FC18F2"/>
    <w:rsid w:val="00FC2A17"/>
    <w:rsid w:val="00FC38CF"/>
    <w:rsid w:val="00FC39E5"/>
    <w:rsid w:val="00FC3A78"/>
    <w:rsid w:val="00FC5BAC"/>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21"/>
    <o:shapelayout v:ext="edit">
      <o:idmap v:ext="edit" data="1"/>
    </o:shapelayout>
  </w:shapeDefaults>
  <w:decimalSymbol w:val=","/>
  <w:listSeparator w:val=";"/>
  <w14:docId w14:val="4F64C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947C2B"/>
    <w:rPr>
      <w:sz w:val="24"/>
      <w:szCs w:val="24"/>
      <w:lang w:val="en-GB"/>
    </w:rPr>
  </w:style>
  <w:style w:type="paragraph" w:styleId="Heading1">
    <w:name w:val="heading 1"/>
    <w:basedOn w:val="Normal"/>
    <w:next w:val="Normal"/>
    <w:link w:val="Heading1Char"/>
    <w:uiPriority w:val="98"/>
    <w:semiHidden/>
    <w:rsid w:val="00947C2B"/>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947C2B"/>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947C2B"/>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947C2B"/>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947C2B"/>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947C2B"/>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947C2B"/>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947C2B"/>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947C2B"/>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947C2B"/>
    <w:rPr>
      <w:rFonts w:ascii="Tahoma" w:hAnsi="Tahoma" w:cs="Tahoma"/>
      <w:sz w:val="16"/>
      <w:szCs w:val="16"/>
    </w:rPr>
  </w:style>
  <w:style w:type="character" w:customStyle="1" w:styleId="BalloonTextChar">
    <w:name w:val="Balloon Text Char"/>
    <w:basedOn w:val="DefaultParagraphFont"/>
    <w:link w:val="BalloonText"/>
    <w:uiPriority w:val="98"/>
    <w:semiHidden/>
    <w:rsid w:val="00947C2B"/>
    <w:rPr>
      <w:rFonts w:ascii="Tahoma" w:hAnsi="Tahoma" w:cs="Tahoma"/>
      <w:sz w:val="16"/>
      <w:szCs w:val="16"/>
      <w:lang w:val="en-GB"/>
    </w:rPr>
  </w:style>
  <w:style w:type="character" w:styleId="BookTitle">
    <w:name w:val="Book Title"/>
    <w:uiPriority w:val="98"/>
    <w:semiHidden/>
    <w:qFormat/>
    <w:rsid w:val="00947C2B"/>
    <w:rPr>
      <w:i/>
      <w:iCs/>
      <w:smallCaps/>
      <w:spacing w:val="5"/>
    </w:rPr>
  </w:style>
  <w:style w:type="paragraph" w:customStyle="1" w:styleId="JuHeader">
    <w:name w:val="Ju_Header"/>
    <w:aliases w:val="_Header"/>
    <w:basedOn w:val="Header"/>
    <w:uiPriority w:val="29"/>
    <w:qFormat/>
    <w:rsid w:val="00947C2B"/>
    <w:pPr>
      <w:tabs>
        <w:tab w:val="clear" w:pos="4536"/>
        <w:tab w:val="clear" w:pos="9072"/>
      </w:tabs>
      <w:jc w:val="center"/>
    </w:pPr>
    <w:rPr>
      <w:sz w:val="18"/>
    </w:rPr>
  </w:style>
  <w:style w:type="paragraph" w:customStyle="1" w:styleId="NormalJustified">
    <w:name w:val="Normal_Justified"/>
    <w:basedOn w:val="Normal"/>
    <w:semiHidden/>
    <w:rsid w:val="00947C2B"/>
    <w:pPr>
      <w:jc w:val="both"/>
    </w:pPr>
  </w:style>
  <w:style w:type="character" w:styleId="Strong">
    <w:name w:val="Strong"/>
    <w:uiPriority w:val="98"/>
    <w:semiHidden/>
    <w:qFormat/>
    <w:rsid w:val="00947C2B"/>
    <w:rPr>
      <w:b/>
      <w:bCs/>
    </w:rPr>
  </w:style>
  <w:style w:type="paragraph" w:styleId="NoSpacing">
    <w:name w:val="No Spacing"/>
    <w:basedOn w:val="Normal"/>
    <w:link w:val="NoSpacingChar"/>
    <w:uiPriority w:val="98"/>
    <w:semiHidden/>
    <w:qFormat/>
    <w:rsid w:val="00947C2B"/>
  </w:style>
  <w:style w:type="character" w:customStyle="1" w:styleId="NoSpacingChar">
    <w:name w:val="No Spacing Char"/>
    <w:basedOn w:val="DefaultParagraphFont"/>
    <w:link w:val="NoSpacing"/>
    <w:uiPriority w:val="98"/>
    <w:semiHidden/>
    <w:rsid w:val="00947C2B"/>
    <w:rPr>
      <w:sz w:val="24"/>
      <w:szCs w:val="24"/>
      <w:lang w:val="en-GB"/>
    </w:rPr>
  </w:style>
  <w:style w:type="paragraph" w:customStyle="1" w:styleId="JuQuot">
    <w:name w:val="Ju_Quot"/>
    <w:aliases w:val="_Quote"/>
    <w:basedOn w:val="NormalJustified"/>
    <w:uiPriority w:val="20"/>
    <w:qFormat/>
    <w:rsid w:val="00947C2B"/>
    <w:pPr>
      <w:spacing w:before="120" w:after="120"/>
      <w:ind w:left="425" w:firstLine="142"/>
    </w:pPr>
    <w:rPr>
      <w:sz w:val="20"/>
    </w:rPr>
  </w:style>
  <w:style w:type="paragraph" w:customStyle="1" w:styleId="DummyStyle">
    <w:name w:val="Dummy_Style"/>
    <w:aliases w:val="_Dummy"/>
    <w:basedOn w:val="Normal"/>
    <w:semiHidden/>
    <w:qFormat/>
    <w:rsid w:val="00947C2B"/>
    <w:rPr>
      <w:color w:val="00B050"/>
      <w:sz w:val="22"/>
    </w:rPr>
  </w:style>
  <w:style w:type="paragraph" w:customStyle="1" w:styleId="JuList">
    <w:name w:val="Ju_List"/>
    <w:aliases w:val="_List_1"/>
    <w:basedOn w:val="NormalJustified"/>
    <w:link w:val="JuListChar"/>
    <w:uiPriority w:val="23"/>
    <w:qFormat/>
    <w:rsid w:val="00947C2B"/>
    <w:pPr>
      <w:numPr>
        <w:numId w:val="9"/>
      </w:numPr>
      <w:spacing w:before="280" w:after="60"/>
    </w:pPr>
  </w:style>
  <w:style w:type="paragraph" w:customStyle="1" w:styleId="JuLista">
    <w:name w:val="Ju_List_a"/>
    <w:aliases w:val="_List_2"/>
    <w:basedOn w:val="NormalJustified"/>
    <w:uiPriority w:val="23"/>
    <w:rsid w:val="00947C2B"/>
    <w:pPr>
      <w:numPr>
        <w:ilvl w:val="1"/>
        <w:numId w:val="9"/>
      </w:numPr>
    </w:pPr>
  </w:style>
  <w:style w:type="paragraph" w:customStyle="1" w:styleId="JuListi">
    <w:name w:val="Ju_List_i"/>
    <w:aliases w:val="_List_3"/>
    <w:basedOn w:val="NormalJustified"/>
    <w:uiPriority w:val="23"/>
    <w:rsid w:val="00947C2B"/>
    <w:pPr>
      <w:numPr>
        <w:ilvl w:val="2"/>
        <w:numId w:val="9"/>
      </w:numPr>
    </w:pPr>
  </w:style>
  <w:style w:type="paragraph" w:customStyle="1" w:styleId="JuHArticle">
    <w:name w:val="Ju_H_Article"/>
    <w:aliases w:val="_Title_Quote"/>
    <w:basedOn w:val="Normal"/>
    <w:next w:val="JuQuot"/>
    <w:uiPriority w:val="19"/>
    <w:qFormat/>
    <w:rsid w:val="00947C2B"/>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947C2B"/>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947C2B"/>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947C2B"/>
    <w:pPr>
      <w:keepNext/>
      <w:keepLines/>
      <w:numPr>
        <w:numId w:val="4"/>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947C2B"/>
    <w:pPr>
      <w:numPr>
        <w:numId w:val="8"/>
      </w:numPr>
    </w:pPr>
  </w:style>
  <w:style w:type="paragraph" w:customStyle="1" w:styleId="JuSigned">
    <w:name w:val="Ju_Signed"/>
    <w:aliases w:val="_Signature"/>
    <w:basedOn w:val="Normal"/>
    <w:next w:val="JuPara"/>
    <w:uiPriority w:val="31"/>
    <w:qFormat/>
    <w:rsid w:val="00947C2B"/>
    <w:pPr>
      <w:tabs>
        <w:tab w:val="center" w:pos="851"/>
        <w:tab w:val="center" w:pos="6407"/>
      </w:tabs>
      <w:spacing w:before="720"/>
    </w:pPr>
  </w:style>
  <w:style w:type="paragraph" w:styleId="Title">
    <w:name w:val="Title"/>
    <w:basedOn w:val="Normal"/>
    <w:next w:val="Normal"/>
    <w:link w:val="TitleChar"/>
    <w:uiPriority w:val="98"/>
    <w:semiHidden/>
    <w:qFormat/>
    <w:rsid w:val="00947C2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947C2B"/>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947C2B"/>
    <w:pPr>
      <w:numPr>
        <w:numId w:val="9"/>
      </w:numPr>
    </w:pPr>
  </w:style>
  <w:style w:type="numbering" w:customStyle="1" w:styleId="ECHRA1StyleNumberedList">
    <w:name w:val="ECHR_A1_Style_Numbered_List"/>
    <w:basedOn w:val="NoList"/>
    <w:rsid w:val="00947C2B"/>
    <w:pPr>
      <w:numPr>
        <w:numId w:val="10"/>
      </w:numPr>
    </w:pPr>
  </w:style>
  <w:style w:type="table" w:customStyle="1" w:styleId="ECHRTable2019">
    <w:name w:val="ECHR_Table_2019"/>
    <w:basedOn w:val="TableNormal"/>
    <w:uiPriority w:val="99"/>
    <w:rsid w:val="00947C2B"/>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947C2B"/>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947C2B"/>
    <w:pPr>
      <w:keepNext/>
      <w:keepLines/>
      <w:numPr>
        <w:ilvl w:val="1"/>
        <w:numId w:val="4"/>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947C2B"/>
    <w:pPr>
      <w:keepNext/>
      <w:keepLines/>
      <w:numPr>
        <w:ilvl w:val="2"/>
        <w:numId w:val="4"/>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947C2B"/>
    <w:pPr>
      <w:keepNext/>
      <w:keepLines/>
      <w:numPr>
        <w:ilvl w:val="3"/>
        <w:numId w:val="4"/>
      </w:numPr>
      <w:spacing w:before="100" w:beforeAutospacing="1" w:after="120"/>
      <w:jc w:val="both"/>
    </w:pPr>
    <w:rPr>
      <w:b w:val="0"/>
      <w:color w:val="auto"/>
      <w:sz w:val="24"/>
    </w:rPr>
  </w:style>
  <w:style w:type="paragraph" w:styleId="Header">
    <w:name w:val="header"/>
    <w:basedOn w:val="Normal"/>
    <w:link w:val="HeaderChar"/>
    <w:uiPriority w:val="98"/>
    <w:semiHidden/>
    <w:rsid w:val="00947C2B"/>
    <w:pPr>
      <w:tabs>
        <w:tab w:val="center" w:pos="4536"/>
        <w:tab w:val="right" w:pos="9072"/>
      </w:tabs>
    </w:pPr>
  </w:style>
  <w:style w:type="character" w:customStyle="1" w:styleId="HeaderChar">
    <w:name w:val="Header Char"/>
    <w:basedOn w:val="DefaultParagraphFont"/>
    <w:link w:val="Header"/>
    <w:uiPriority w:val="98"/>
    <w:semiHidden/>
    <w:rsid w:val="00947C2B"/>
    <w:rPr>
      <w:sz w:val="24"/>
      <w:szCs w:val="24"/>
      <w:lang w:val="en-GB"/>
    </w:rPr>
  </w:style>
  <w:style w:type="character" w:customStyle="1" w:styleId="Heading1Char">
    <w:name w:val="Heading 1 Char"/>
    <w:basedOn w:val="DefaultParagraphFont"/>
    <w:link w:val="Heading1"/>
    <w:uiPriority w:val="98"/>
    <w:semiHidden/>
    <w:rsid w:val="00947C2B"/>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947C2B"/>
    <w:pPr>
      <w:keepNext/>
      <w:keepLines/>
      <w:numPr>
        <w:ilvl w:val="4"/>
        <w:numId w:val="4"/>
      </w:numPr>
      <w:spacing w:before="100" w:beforeAutospacing="1" w:after="120"/>
      <w:jc w:val="both"/>
    </w:pPr>
    <w:rPr>
      <w:color w:val="auto"/>
      <w:sz w:val="20"/>
    </w:rPr>
  </w:style>
  <w:style w:type="paragraph" w:customStyle="1" w:styleId="JuHi">
    <w:name w:val="Ju_H_i"/>
    <w:aliases w:val="_Head_6"/>
    <w:basedOn w:val="Heading6"/>
    <w:next w:val="JuPara"/>
    <w:uiPriority w:val="17"/>
    <w:rsid w:val="00947C2B"/>
    <w:pPr>
      <w:keepNext/>
      <w:keepLines/>
      <w:numPr>
        <w:ilvl w:val="5"/>
        <w:numId w:val="4"/>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947C2B"/>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947C2B"/>
    <w:pPr>
      <w:keepNext/>
      <w:keepLines/>
      <w:numPr>
        <w:ilvl w:val="6"/>
        <w:numId w:val="4"/>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947C2B"/>
    <w:pPr>
      <w:keepNext/>
      <w:keepLines/>
      <w:numPr>
        <w:ilvl w:val="7"/>
        <w:numId w:val="4"/>
      </w:numPr>
      <w:spacing w:before="100" w:beforeAutospacing="1" w:after="120"/>
      <w:jc w:val="both"/>
    </w:pPr>
    <w:rPr>
      <w:i/>
    </w:rPr>
  </w:style>
  <w:style w:type="character" w:customStyle="1" w:styleId="Heading3Char">
    <w:name w:val="Heading 3 Char"/>
    <w:basedOn w:val="DefaultParagraphFont"/>
    <w:link w:val="Heading3"/>
    <w:uiPriority w:val="98"/>
    <w:semiHidden/>
    <w:rsid w:val="00947C2B"/>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947C2B"/>
    <w:pPr>
      <w:keepNext/>
      <w:keepLines/>
      <w:spacing w:before="240" w:after="240"/>
      <w:ind w:firstLine="284"/>
    </w:pPr>
  </w:style>
  <w:style w:type="paragraph" w:customStyle="1" w:styleId="JuJudges">
    <w:name w:val="Ju_Judges"/>
    <w:aliases w:val="_Judges"/>
    <w:basedOn w:val="Normal"/>
    <w:uiPriority w:val="32"/>
    <w:qFormat/>
    <w:rsid w:val="00947C2B"/>
    <w:pPr>
      <w:tabs>
        <w:tab w:val="left" w:pos="567"/>
        <w:tab w:val="left" w:pos="1134"/>
      </w:tabs>
    </w:pPr>
  </w:style>
  <w:style w:type="character" w:customStyle="1" w:styleId="Heading4Char">
    <w:name w:val="Heading 4 Char"/>
    <w:basedOn w:val="DefaultParagraphFont"/>
    <w:link w:val="Heading4"/>
    <w:uiPriority w:val="98"/>
    <w:semiHidden/>
    <w:rsid w:val="00947C2B"/>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947C2B"/>
    <w:pPr>
      <w:tabs>
        <w:tab w:val="center" w:pos="6407"/>
      </w:tabs>
      <w:spacing w:before="720"/>
      <w:jc w:val="right"/>
    </w:pPr>
  </w:style>
  <w:style w:type="character" w:customStyle="1" w:styleId="Heading5Char">
    <w:name w:val="Heading 5 Char"/>
    <w:basedOn w:val="DefaultParagraphFont"/>
    <w:link w:val="Heading5"/>
    <w:uiPriority w:val="98"/>
    <w:semiHidden/>
    <w:rsid w:val="00947C2B"/>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947C2B"/>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947C2B"/>
    <w:rPr>
      <w:caps w:val="0"/>
      <w:smallCaps/>
    </w:rPr>
  </w:style>
  <w:style w:type="character" w:styleId="SubtleEmphasis">
    <w:name w:val="Subtle Emphasis"/>
    <w:uiPriority w:val="98"/>
    <w:semiHidden/>
    <w:qFormat/>
    <w:rsid w:val="00947C2B"/>
    <w:rPr>
      <w:i/>
      <w:iCs/>
    </w:rPr>
  </w:style>
  <w:style w:type="table" w:customStyle="1" w:styleId="ECHRTable">
    <w:name w:val="ECHR_Table"/>
    <w:basedOn w:val="TableNormal"/>
    <w:rsid w:val="00947C2B"/>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947C2B"/>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947C2B"/>
    <w:rPr>
      <w:b/>
      <w:bCs/>
      <w:i/>
      <w:iCs/>
      <w:spacing w:val="10"/>
      <w:bdr w:val="none" w:sz="0" w:space="0" w:color="auto"/>
      <w:shd w:val="clear" w:color="auto" w:fill="auto"/>
    </w:rPr>
  </w:style>
  <w:style w:type="paragraph" w:styleId="Footer0">
    <w:name w:val="footer"/>
    <w:basedOn w:val="Normal"/>
    <w:link w:val="FooterChar"/>
    <w:uiPriority w:val="98"/>
    <w:semiHidden/>
    <w:rsid w:val="00947C2B"/>
    <w:pPr>
      <w:tabs>
        <w:tab w:val="center" w:pos="3686"/>
        <w:tab w:val="right" w:pos="7371"/>
      </w:tabs>
    </w:pPr>
  </w:style>
  <w:style w:type="character" w:customStyle="1" w:styleId="FooterChar">
    <w:name w:val="Footer Char"/>
    <w:basedOn w:val="DefaultParagraphFont"/>
    <w:link w:val="Footer0"/>
    <w:uiPriority w:val="98"/>
    <w:semiHidden/>
    <w:rsid w:val="00947C2B"/>
    <w:rPr>
      <w:sz w:val="24"/>
      <w:szCs w:val="24"/>
      <w:lang w:val="en-GB"/>
    </w:rPr>
  </w:style>
  <w:style w:type="character" w:styleId="FootnoteReference">
    <w:name w:val="footnote reference"/>
    <w:basedOn w:val="DefaultParagraphFont"/>
    <w:uiPriority w:val="98"/>
    <w:semiHidden/>
    <w:rsid w:val="00947C2B"/>
    <w:rPr>
      <w:vertAlign w:val="superscript"/>
    </w:rPr>
  </w:style>
  <w:style w:type="paragraph" w:styleId="FootnoteText">
    <w:name w:val="footnote text"/>
    <w:basedOn w:val="Normal"/>
    <w:link w:val="FootnoteTextChar"/>
    <w:uiPriority w:val="98"/>
    <w:semiHidden/>
    <w:rsid w:val="00947C2B"/>
    <w:rPr>
      <w:sz w:val="20"/>
      <w:szCs w:val="20"/>
    </w:rPr>
  </w:style>
  <w:style w:type="character" w:customStyle="1" w:styleId="FootnoteTextChar">
    <w:name w:val="Footnote Text Char"/>
    <w:basedOn w:val="DefaultParagraphFont"/>
    <w:link w:val="FootnoteText"/>
    <w:uiPriority w:val="98"/>
    <w:semiHidden/>
    <w:rsid w:val="00947C2B"/>
    <w:rPr>
      <w:sz w:val="20"/>
      <w:szCs w:val="20"/>
      <w:lang w:val="en-GB"/>
    </w:rPr>
  </w:style>
  <w:style w:type="character" w:customStyle="1" w:styleId="Heading6Char">
    <w:name w:val="Heading 6 Char"/>
    <w:basedOn w:val="DefaultParagraphFont"/>
    <w:link w:val="Heading6"/>
    <w:uiPriority w:val="98"/>
    <w:semiHidden/>
    <w:rsid w:val="00947C2B"/>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947C2B"/>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947C2B"/>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947C2B"/>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947C2B"/>
    <w:rPr>
      <w:color w:val="0072BC" w:themeColor="hyperlink"/>
      <w:u w:val="single"/>
    </w:rPr>
  </w:style>
  <w:style w:type="character" w:styleId="IntenseEmphasis">
    <w:name w:val="Intense Emphasis"/>
    <w:uiPriority w:val="98"/>
    <w:semiHidden/>
    <w:qFormat/>
    <w:rsid w:val="00947C2B"/>
    <w:rPr>
      <w:b/>
      <w:bCs/>
    </w:rPr>
  </w:style>
  <w:style w:type="paragraph" w:styleId="IntenseQuote">
    <w:name w:val="Intense Quote"/>
    <w:basedOn w:val="Normal"/>
    <w:next w:val="Normal"/>
    <w:link w:val="IntenseQuoteChar"/>
    <w:uiPriority w:val="98"/>
    <w:semiHidden/>
    <w:qFormat/>
    <w:rsid w:val="00947C2B"/>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947C2B"/>
    <w:rPr>
      <w:b/>
      <w:bCs/>
      <w:i/>
      <w:iCs/>
      <w:sz w:val="24"/>
      <w:szCs w:val="24"/>
      <w:lang w:val="en-GB" w:bidi="en-US"/>
    </w:rPr>
  </w:style>
  <w:style w:type="character" w:styleId="IntenseReference">
    <w:name w:val="Intense Reference"/>
    <w:uiPriority w:val="98"/>
    <w:semiHidden/>
    <w:qFormat/>
    <w:rsid w:val="00947C2B"/>
    <w:rPr>
      <w:smallCaps/>
      <w:spacing w:val="5"/>
      <w:u w:val="single"/>
    </w:rPr>
  </w:style>
  <w:style w:type="paragraph" w:styleId="ListParagraph">
    <w:name w:val="List Paragraph"/>
    <w:basedOn w:val="Normal"/>
    <w:uiPriority w:val="98"/>
    <w:semiHidden/>
    <w:qFormat/>
    <w:rsid w:val="00947C2B"/>
    <w:pPr>
      <w:ind w:left="720"/>
      <w:contextualSpacing/>
    </w:pPr>
  </w:style>
  <w:style w:type="table" w:customStyle="1" w:styleId="LtrTableAddress">
    <w:name w:val="Ltr_Table_Address"/>
    <w:aliases w:val="ECHR_Ltr_Table_Address"/>
    <w:basedOn w:val="TableNormal"/>
    <w:uiPriority w:val="99"/>
    <w:rsid w:val="00947C2B"/>
    <w:rPr>
      <w:sz w:val="24"/>
      <w:szCs w:val="24"/>
    </w:rPr>
    <w:tblPr>
      <w:tblInd w:w="5103" w:type="dxa"/>
    </w:tblPr>
  </w:style>
  <w:style w:type="paragraph" w:styleId="Quote">
    <w:name w:val="Quote"/>
    <w:basedOn w:val="Normal"/>
    <w:next w:val="Normal"/>
    <w:link w:val="QuoteChar"/>
    <w:uiPriority w:val="98"/>
    <w:semiHidden/>
    <w:qFormat/>
    <w:rsid w:val="00947C2B"/>
    <w:pPr>
      <w:spacing w:before="200"/>
      <w:ind w:left="360" w:right="360"/>
    </w:pPr>
    <w:rPr>
      <w:i/>
      <w:iCs/>
      <w:lang w:bidi="en-US"/>
    </w:rPr>
  </w:style>
  <w:style w:type="character" w:customStyle="1" w:styleId="QuoteChar">
    <w:name w:val="Quote Char"/>
    <w:basedOn w:val="DefaultParagraphFont"/>
    <w:link w:val="Quote"/>
    <w:uiPriority w:val="98"/>
    <w:semiHidden/>
    <w:rsid w:val="00947C2B"/>
    <w:rPr>
      <w:i/>
      <w:iCs/>
      <w:sz w:val="24"/>
      <w:szCs w:val="24"/>
      <w:lang w:val="en-GB" w:bidi="en-US"/>
    </w:rPr>
  </w:style>
  <w:style w:type="character" w:styleId="SubtleReference">
    <w:name w:val="Subtle Reference"/>
    <w:uiPriority w:val="98"/>
    <w:semiHidden/>
    <w:qFormat/>
    <w:rsid w:val="00947C2B"/>
    <w:rPr>
      <w:smallCaps/>
    </w:rPr>
  </w:style>
  <w:style w:type="table" w:styleId="TableGrid">
    <w:name w:val="Table Grid"/>
    <w:basedOn w:val="TableNormal"/>
    <w:uiPriority w:val="59"/>
    <w:semiHidden/>
    <w:rsid w:val="00947C2B"/>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947C2B"/>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947C2B"/>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947C2B"/>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947C2B"/>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947C2B"/>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947C2B"/>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947C2B"/>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947C2B"/>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947C2B"/>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947C2B"/>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947C2B"/>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947C2B"/>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947C2B"/>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947C2B"/>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947C2B"/>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947C2B"/>
    <w:pPr>
      <w:numPr>
        <w:numId w:val="5"/>
      </w:numPr>
    </w:pPr>
  </w:style>
  <w:style w:type="paragraph" w:customStyle="1" w:styleId="JuPara">
    <w:name w:val="Ju_Para"/>
    <w:aliases w:val="_Para"/>
    <w:basedOn w:val="NormalJustified"/>
    <w:link w:val="JuParaChar"/>
    <w:uiPriority w:val="4"/>
    <w:qFormat/>
    <w:rsid w:val="00947C2B"/>
    <w:pPr>
      <w:ind w:firstLine="284"/>
    </w:pPr>
  </w:style>
  <w:style w:type="numbering" w:styleId="1ai">
    <w:name w:val="Outline List 1"/>
    <w:basedOn w:val="NoList"/>
    <w:uiPriority w:val="99"/>
    <w:semiHidden/>
    <w:unhideWhenUsed/>
    <w:rsid w:val="00947C2B"/>
    <w:pPr>
      <w:numPr>
        <w:numId w:val="6"/>
      </w:numPr>
    </w:pPr>
  </w:style>
  <w:style w:type="table" w:customStyle="1" w:styleId="ECHRTableSimpleBox">
    <w:name w:val="ECHR_Table_Simple_Box"/>
    <w:basedOn w:val="TableNormal"/>
    <w:uiPriority w:val="99"/>
    <w:rsid w:val="00947C2B"/>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947C2B"/>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47C2B"/>
    <w:pPr>
      <w:numPr>
        <w:numId w:val="7"/>
      </w:numPr>
    </w:pPr>
  </w:style>
  <w:style w:type="table" w:customStyle="1" w:styleId="ECHRTableForInternalUse">
    <w:name w:val="ECHR_Table_For_Internal_Use"/>
    <w:basedOn w:val="TableNormal"/>
    <w:uiPriority w:val="99"/>
    <w:rsid w:val="00947C2B"/>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947C2B"/>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947C2B"/>
  </w:style>
  <w:style w:type="paragraph" w:styleId="BlockText">
    <w:name w:val="Block Text"/>
    <w:basedOn w:val="Normal"/>
    <w:uiPriority w:val="98"/>
    <w:semiHidden/>
    <w:rsid w:val="00947C2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947C2B"/>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947C2B"/>
    <w:pPr>
      <w:spacing w:after="120"/>
    </w:pPr>
  </w:style>
  <w:style w:type="character" w:customStyle="1" w:styleId="BodyTextChar">
    <w:name w:val="Body Text Char"/>
    <w:basedOn w:val="DefaultParagraphFont"/>
    <w:link w:val="BodyText"/>
    <w:uiPriority w:val="98"/>
    <w:semiHidden/>
    <w:rsid w:val="00947C2B"/>
    <w:rPr>
      <w:sz w:val="24"/>
      <w:szCs w:val="24"/>
      <w:lang w:val="en-GB"/>
    </w:rPr>
  </w:style>
  <w:style w:type="table" w:customStyle="1" w:styleId="ECHRTableOddBanded">
    <w:name w:val="ECHR_Table_Odd_Banded"/>
    <w:basedOn w:val="TableNormal"/>
    <w:uiPriority w:val="99"/>
    <w:rsid w:val="00947C2B"/>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947C2B"/>
    <w:pPr>
      <w:spacing w:after="120" w:line="480" w:lineRule="auto"/>
    </w:pPr>
  </w:style>
  <w:style w:type="table" w:customStyle="1" w:styleId="ECHRHeaderTableReduced">
    <w:name w:val="ECHR_Header_Table_Reduced"/>
    <w:basedOn w:val="TableNormal"/>
    <w:uiPriority w:val="99"/>
    <w:rsid w:val="00947C2B"/>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947C2B"/>
    <w:pPr>
      <w:ind w:firstLine="284"/>
    </w:pPr>
    <w:rPr>
      <w:b/>
    </w:rPr>
  </w:style>
  <w:style w:type="character" w:styleId="PageNumber">
    <w:name w:val="page number"/>
    <w:uiPriority w:val="98"/>
    <w:semiHidden/>
    <w:rsid w:val="00947C2B"/>
    <w:rPr>
      <w:sz w:val="18"/>
    </w:rPr>
  </w:style>
  <w:style w:type="paragraph" w:styleId="ListBullet">
    <w:name w:val="List Bullet"/>
    <w:basedOn w:val="Normal"/>
    <w:uiPriority w:val="98"/>
    <w:semiHidden/>
    <w:rsid w:val="00947C2B"/>
    <w:pPr>
      <w:numPr>
        <w:numId w:val="11"/>
      </w:numPr>
    </w:pPr>
  </w:style>
  <w:style w:type="paragraph" w:styleId="ListBullet3">
    <w:name w:val="List Bullet 3"/>
    <w:basedOn w:val="Normal"/>
    <w:uiPriority w:val="98"/>
    <w:semiHidden/>
    <w:rsid w:val="00947C2B"/>
    <w:pPr>
      <w:numPr>
        <w:numId w:val="13"/>
      </w:numPr>
      <w:contextualSpacing/>
    </w:pPr>
  </w:style>
  <w:style w:type="character" w:customStyle="1" w:styleId="BodyText2Char">
    <w:name w:val="Body Text 2 Char"/>
    <w:basedOn w:val="DefaultParagraphFont"/>
    <w:link w:val="BodyText2"/>
    <w:uiPriority w:val="98"/>
    <w:semiHidden/>
    <w:rsid w:val="00947C2B"/>
    <w:rPr>
      <w:sz w:val="24"/>
      <w:szCs w:val="24"/>
      <w:lang w:val="en-GB"/>
    </w:rPr>
  </w:style>
  <w:style w:type="paragraph" w:styleId="BodyText3">
    <w:name w:val="Body Text 3"/>
    <w:basedOn w:val="Normal"/>
    <w:link w:val="BodyText3Char"/>
    <w:uiPriority w:val="98"/>
    <w:semiHidden/>
    <w:rsid w:val="00947C2B"/>
    <w:pPr>
      <w:spacing w:after="120"/>
    </w:pPr>
    <w:rPr>
      <w:sz w:val="16"/>
      <w:szCs w:val="16"/>
    </w:rPr>
  </w:style>
  <w:style w:type="character" w:customStyle="1" w:styleId="BodyText3Char">
    <w:name w:val="Body Text 3 Char"/>
    <w:basedOn w:val="DefaultParagraphFont"/>
    <w:link w:val="BodyText3"/>
    <w:uiPriority w:val="98"/>
    <w:semiHidden/>
    <w:rsid w:val="00947C2B"/>
    <w:rPr>
      <w:sz w:val="16"/>
      <w:szCs w:val="16"/>
      <w:lang w:val="en-GB"/>
    </w:rPr>
  </w:style>
  <w:style w:type="paragraph" w:styleId="BodyTextFirstIndent">
    <w:name w:val="Body Text First Indent"/>
    <w:basedOn w:val="BodyText"/>
    <w:link w:val="BodyTextFirstIndentChar"/>
    <w:uiPriority w:val="98"/>
    <w:semiHidden/>
    <w:rsid w:val="00947C2B"/>
    <w:pPr>
      <w:spacing w:after="0"/>
      <w:ind w:firstLine="360"/>
    </w:pPr>
  </w:style>
  <w:style w:type="character" w:customStyle="1" w:styleId="BodyTextFirstIndentChar">
    <w:name w:val="Body Text First Indent Char"/>
    <w:basedOn w:val="BodyTextChar"/>
    <w:link w:val="BodyTextFirstIndent"/>
    <w:uiPriority w:val="98"/>
    <w:semiHidden/>
    <w:rsid w:val="00947C2B"/>
    <w:rPr>
      <w:sz w:val="24"/>
      <w:szCs w:val="24"/>
      <w:lang w:val="en-GB"/>
    </w:rPr>
  </w:style>
  <w:style w:type="paragraph" w:styleId="BodyTextIndent">
    <w:name w:val="Body Text Indent"/>
    <w:basedOn w:val="Normal"/>
    <w:link w:val="BodyTextIndentChar"/>
    <w:uiPriority w:val="98"/>
    <w:semiHidden/>
    <w:rsid w:val="00947C2B"/>
    <w:pPr>
      <w:spacing w:after="120"/>
      <w:ind w:left="283"/>
    </w:pPr>
  </w:style>
  <w:style w:type="character" w:customStyle="1" w:styleId="BodyTextIndentChar">
    <w:name w:val="Body Text Indent Char"/>
    <w:basedOn w:val="DefaultParagraphFont"/>
    <w:link w:val="BodyTextIndent"/>
    <w:uiPriority w:val="98"/>
    <w:semiHidden/>
    <w:rsid w:val="00947C2B"/>
    <w:rPr>
      <w:sz w:val="24"/>
      <w:szCs w:val="24"/>
      <w:lang w:val="en-GB"/>
    </w:rPr>
  </w:style>
  <w:style w:type="paragraph" w:styleId="BodyTextFirstIndent2">
    <w:name w:val="Body Text First Indent 2"/>
    <w:basedOn w:val="BodyTextIndent"/>
    <w:link w:val="BodyTextFirstIndent2Char"/>
    <w:uiPriority w:val="98"/>
    <w:semiHidden/>
    <w:rsid w:val="00947C2B"/>
    <w:pPr>
      <w:spacing w:after="0"/>
      <w:ind w:left="360" w:firstLine="360"/>
    </w:pPr>
  </w:style>
  <w:style w:type="character" w:customStyle="1" w:styleId="BodyTextFirstIndent2Char">
    <w:name w:val="Body Text First Indent 2 Char"/>
    <w:basedOn w:val="BodyTextIndentChar"/>
    <w:link w:val="BodyTextFirstIndent2"/>
    <w:uiPriority w:val="98"/>
    <w:semiHidden/>
    <w:rsid w:val="00947C2B"/>
    <w:rPr>
      <w:sz w:val="24"/>
      <w:szCs w:val="24"/>
      <w:lang w:val="en-GB"/>
    </w:rPr>
  </w:style>
  <w:style w:type="paragraph" w:styleId="BodyTextIndent2">
    <w:name w:val="Body Text Indent 2"/>
    <w:basedOn w:val="Normal"/>
    <w:link w:val="BodyTextIndent2Char"/>
    <w:uiPriority w:val="98"/>
    <w:semiHidden/>
    <w:rsid w:val="00947C2B"/>
    <w:pPr>
      <w:spacing w:after="120" w:line="480" w:lineRule="auto"/>
      <w:ind w:left="283"/>
    </w:pPr>
  </w:style>
  <w:style w:type="character" w:customStyle="1" w:styleId="BodyTextIndent2Char">
    <w:name w:val="Body Text Indent 2 Char"/>
    <w:basedOn w:val="DefaultParagraphFont"/>
    <w:link w:val="BodyTextIndent2"/>
    <w:uiPriority w:val="98"/>
    <w:semiHidden/>
    <w:rsid w:val="00947C2B"/>
    <w:rPr>
      <w:sz w:val="24"/>
      <w:szCs w:val="24"/>
      <w:lang w:val="en-GB"/>
    </w:rPr>
  </w:style>
  <w:style w:type="paragraph" w:styleId="BodyTextIndent3">
    <w:name w:val="Body Text Indent 3"/>
    <w:basedOn w:val="Normal"/>
    <w:link w:val="BodyTextIndent3Char"/>
    <w:uiPriority w:val="98"/>
    <w:semiHidden/>
    <w:rsid w:val="00947C2B"/>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947C2B"/>
    <w:rPr>
      <w:sz w:val="16"/>
      <w:szCs w:val="16"/>
      <w:lang w:val="en-GB"/>
    </w:rPr>
  </w:style>
  <w:style w:type="paragraph" w:styleId="Caption">
    <w:name w:val="caption"/>
    <w:basedOn w:val="Normal"/>
    <w:next w:val="Normal"/>
    <w:uiPriority w:val="98"/>
    <w:semiHidden/>
    <w:qFormat/>
    <w:rsid w:val="00947C2B"/>
    <w:pPr>
      <w:spacing w:after="200"/>
    </w:pPr>
    <w:rPr>
      <w:b/>
      <w:bCs/>
      <w:color w:val="0072BC" w:themeColor="accent1"/>
      <w:sz w:val="18"/>
      <w:szCs w:val="18"/>
    </w:rPr>
  </w:style>
  <w:style w:type="paragraph" w:styleId="Closing">
    <w:name w:val="Closing"/>
    <w:basedOn w:val="Normal"/>
    <w:link w:val="ClosingChar"/>
    <w:uiPriority w:val="98"/>
    <w:semiHidden/>
    <w:rsid w:val="00947C2B"/>
    <w:pPr>
      <w:ind w:left="4252"/>
    </w:pPr>
  </w:style>
  <w:style w:type="character" w:customStyle="1" w:styleId="ClosingChar">
    <w:name w:val="Closing Char"/>
    <w:basedOn w:val="DefaultParagraphFont"/>
    <w:link w:val="Closing"/>
    <w:uiPriority w:val="98"/>
    <w:semiHidden/>
    <w:rsid w:val="00947C2B"/>
    <w:rPr>
      <w:sz w:val="24"/>
      <w:szCs w:val="24"/>
      <w:lang w:val="en-GB"/>
    </w:rPr>
  </w:style>
  <w:style w:type="table" w:styleId="ColorfulGrid">
    <w:name w:val="Colorful Grid"/>
    <w:basedOn w:val="TableNormal"/>
    <w:uiPriority w:val="73"/>
    <w:semiHidden/>
    <w:rsid w:val="00947C2B"/>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947C2B"/>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947C2B"/>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947C2B"/>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947C2B"/>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947C2B"/>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947C2B"/>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947C2B"/>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947C2B"/>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947C2B"/>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947C2B"/>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947C2B"/>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947C2B"/>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947C2B"/>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947C2B"/>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947C2B"/>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947C2B"/>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947C2B"/>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947C2B"/>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947C2B"/>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947C2B"/>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947C2B"/>
    <w:rPr>
      <w:sz w:val="16"/>
      <w:szCs w:val="16"/>
    </w:rPr>
  </w:style>
  <w:style w:type="paragraph" w:styleId="CommentText">
    <w:name w:val="annotation text"/>
    <w:basedOn w:val="Normal"/>
    <w:link w:val="CommentTextChar"/>
    <w:uiPriority w:val="98"/>
    <w:semiHidden/>
    <w:rsid w:val="00947C2B"/>
    <w:rPr>
      <w:sz w:val="20"/>
      <w:szCs w:val="20"/>
    </w:rPr>
  </w:style>
  <w:style w:type="character" w:customStyle="1" w:styleId="CommentTextChar">
    <w:name w:val="Comment Text Char"/>
    <w:basedOn w:val="DefaultParagraphFont"/>
    <w:link w:val="CommentText"/>
    <w:uiPriority w:val="98"/>
    <w:semiHidden/>
    <w:rsid w:val="00947C2B"/>
    <w:rPr>
      <w:sz w:val="20"/>
      <w:szCs w:val="20"/>
      <w:lang w:val="en-GB"/>
    </w:rPr>
  </w:style>
  <w:style w:type="paragraph" w:styleId="CommentSubject">
    <w:name w:val="annotation subject"/>
    <w:basedOn w:val="CommentText"/>
    <w:next w:val="CommentText"/>
    <w:link w:val="CommentSubjectChar"/>
    <w:uiPriority w:val="98"/>
    <w:semiHidden/>
    <w:rsid w:val="00947C2B"/>
    <w:rPr>
      <w:b/>
      <w:bCs/>
    </w:rPr>
  </w:style>
  <w:style w:type="character" w:customStyle="1" w:styleId="CommentSubjectChar">
    <w:name w:val="Comment Subject Char"/>
    <w:basedOn w:val="CommentTextChar"/>
    <w:link w:val="CommentSubject"/>
    <w:uiPriority w:val="98"/>
    <w:semiHidden/>
    <w:rsid w:val="00947C2B"/>
    <w:rPr>
      <w:b/>
      <w:bCs/>
      <w:sz w:val="20"/>
      <w:szCs w:val="20"/>
      <w:lang w:val="en-GB"/>
    </w:rPr>
  </w:style>
  <w:style w:type="table" w:styleId="DarkList">
    <w:name w:val="Dark List"/>
    <w:basedOn w:val="TableNormal"/>
    <w:uiPriority w:val="70"/>
    <w:semiHidden/>
    <w:rsid w:val="00947C2B"/>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947C2B"/>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947C2B"/>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947C2B"/>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947C2B"/>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947C2B"/>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947C2B"/>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947C2B"/>
  </w:style>
  <w:style w:type="character" w:customStyle="1" w:styleId="DateChar">
    <w:name w:val="Date Char"/>
    <w:basedOn w:val="DefaultParagraphFont"/>
    <w:link w:val="Date"/>
    <w:uiPriority w:val="98"/>
    <w:semiHidden/>
    <w:rsid w:val="00947C2B"/>
    <w:rPr>
      <w:sz w:val="24"/>
      <w:szCs w:val="24"/>
      <w:lang w:val="en-GB"/>
    </w:rPr>
  </w:style>
  <w:style w:type="paragraph" w:styleId="DocumentMap">
    <w:name w:val="Document Map"/>
    <w:basedOn w:val="Normal"/>
    <w:link w:val="DocumentMapChar"/>
    <w:uiPriority w:val="98"/>
    <w:semiHidden/>
    <w:rsid w:val="00947C2B"/>
    <w:rPr>
      <w:rFonts w:ascii="Tahoma" w:hAnsi="Tahoma" w:cs="Tahoma"/>
      <w:sz w:val="16"/>
      <w:szCs w:val="16"/>
    </w:rPr>
  </w:style>
  <w:style w:type="character" w:customStyle="1" w:styleId="DocumentMapChar">
    <w:name w:val="Document Map Char"/>
    <w:basedOn w:val="DefaultParagraphFont"/>
    <w:link w:val="DocumentMap"/>
    <w:uiPriority w:val="98"/>
    <w:semiHidden/>
    <w:rsid w:val="00947C2B"/>
    <w:rPr>
      <w:rFonts w:ascii="Tahoma" w:hAnsi="Tahoma" w:cs="Tahoma"/>
      <w:sz w:val="16"/>
      <w:szCs w:val="16"/>
      <w:lang w:val="en-GB"/>
    </w:rPr>
  </w:style>
  <w:style w:type="paragraph" w:styleId="E-mailSignature">
    <w:name w:val="E-mail Signature"/>
    <w:basedOn w:val="Normal"/>
    <w:link w:val="E-mailSignatureChar"/>
    <w:uiPriority w:val="98"/>
    <w:semiHidden/>
    <w:rsid w:val="00947C2B"/>
  </w:style>
  <w:style w:type="character" w:customStyle="1" w:styleId="E-mailSignatureChar">
    <w:name w:val="E-mail Signature Char"/>
    <w:basedOn w:val="DefaultParagraphFont"/>
    <w:link w:val="E-mailSignature"/>
    <w:uiPriority w:val="98"/>
    <w:semiHidden/>
    <w:rsid w:val="00947C2B"/>
    <w:rPr>
      <w:sz w:val="24"/>
      <w:szCs w:val="24"/>
      <w:lang w:val="en-GB"/>
    </w:rPr>
  </w:style>
  <w:style w:type="character" w:styleId="EndnoteReference">
    <w:name w:val="endnote reference"/>
    <w:basedOn w:val="DefaultParagraphFont"/>
    <w:uiPriority w:val="98"/>
    <w:semiHidden/>
    <w:rsid w:val="00947C2B"/>
    <w:rPr>
      <w:vertAlign w:val="superscript"/>
    </w:rPr>
  </w:style>
  <w:style w:type="paragraph" w:styleId="EndnoteText">
    <w:name w:val="endnote text"/>
    <w:basedOn w:val="Normal"/>
    <w:link w:val="EndnoteTextChar"/>
    <w:uiPriority w:val="98"/>
    <w:semiHidden/>
    <w:rsid w:val="00947C2B"/>
    <w:rPr>
      <w:sz w:val="20"/>
      <w:szCs w:val="20"/>
    </w:rPr>
  </w:style>
  <w:style w:type="character" w:customStyle="1" w:styleId="EndnoteTextChar">
    <w:name w:val="Endnote Text Char"/>
    <w:basedOn w:val="DefaultParagraphFont"/>
    <w:link w:val="EndnoteText"/>
    <w:uiPriority w:val="98"/>
    <w:semiHidden/>
    <w:rsid w:val="00947C2B"/>
    <w:rPr>
      <w:sz w:val="20"/>
      <w:szCs w:val="20"/>
      <w:lang w:val="en-GB"/>
    </w:rPr>
  </w:style>
  <w:style w:type="paragraph" w:styleId="EnvelopeAddress">
    <w:name w:val="envelope address"/>
    <w:basedOn w:val="Normal"/>
    <w:uiPriority w:val="98"/>
    <w:semiHidden/>
    <w:rsid w:val="00947C2B"/>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947C2B"/>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947C2B"/>
    <w:rPr>
      <w:color w:val="7030A0" w:themeColor="followedHyperlink"/>
      <w:u w:val="single"/>
    </w:rPr>
  </w:style>
  <w:style w:type="character" w:styleId="HTMLAcronym">
    <w:name w:val="HTML Acronym"/>
    <w:basedOn w:val="DefaultParagraphFont"/>
    <w:uiPriority w:val="98"/>
    <w:semiHidden/>
    <w:rsid w:val="00947C2B"/>
  </w:style>
  <w:style w:type="paragraph" w:styleId="HTMLAddress">
    <w:name w:val="HTML Address"/>
    <w:basedOn w:val="Normal"/>
    <w:link w:val="HTMLAddressChar"/>
    <w:uiPriority w:val="98"/>
    <w:semiHidden/>
    <w:rsid w:val="00947C2B"/>
    <w:rPr>
      <w:i/>
      <w:iCs/>
    </w:rPr>
  </w:style>
  <w:style w:type="character" w:customStyle="1" w:styleId="HTMLAddressChar">
    <w:name w:val="HTML Address Char"/>
    <w:basedOn w:val="DefaultParagraphFont"/>
    <w:link w:val="HTMLAddress"/>
    <w:uiPriority w:val="98"/>
    <w:semiHidden/>
    <w:rsid w:val="00947C2B"/>
    <w:rPr>
      <w:i/>
      <w:iCs/>
      <w:sz w:val="24"/>
      <w:szCs w:val="24"/>
      <w:lang w:val="en-GB"/>
    </w:rPr>
  </w:style>
  <w:style w:type="character" w:styleId="HTMLCite">
    <w:name w:val="HTML Cite"/>
    <w:basedOn w:val="DefaultParagraphFont"/>
    <w:uiPriority w:val="98"/>
    <w:semiHidden/>
    <w:rsid w:val="00947C2B"/>
    <w:rPr>
      <w:i/>
      <w:iCs/>
    </w:rPr>
  </w:style>
  <w:style w:type="character" w:styleId="HTMLCode">
    <w:name w:val="HTML Code"/>
    <w:basedOn w:val="DefaultParagraphFont"/>
    <w:uiPriority w:val="98"/>
    <w:semiHidden/>
    <w:rsid w:val="00947C2B"/>
    <w:rPr>
      <w:rFonts w:ascii="Consolas" w:hAnsi="Consolas" w:cs="Consolas"/>
      <w:sz w:val="20"/>
      <w:szCs w:val="20"/>
    </w:rPr>
  </w:style>
  <w:style w:type="character" w:styleId="HTMLDefinition">
    <w:name w:val="HTML Definition"/>
    <w:basedOn w:val="DefaultParagraphFont"/>
    <w:uiPriority w:val="98"/>
    <w:semiHidden/>
    <w:rsid w:val="00947C2B"/>
    <w:rPr>
      <w:i/>
      <w:iCs/>
    </w:rPr>
  </w:style>
  <w:style w:type="character" w:styleId="HTMLKeyboard">
    <w:name w:val="HTML Keyboard"/>
    <w:basedOn w:val="DefaultParagraphFont"/>
    <w:uiPriority w:val="98"/>
    <w:semiHidden/>
    <w:rsid w:val="00947C2B"/>
    <w:rPr>
      <w:rFonts w:ascii="Consolas" w:hAnsi="Consolas" w:cs="Consolas"/>
      <w:sz w:val="20"/>
      <w:szCs w:val="20"/>
    </w:rPr>
  </w:style>
  <w:style w:type="paragraph" w:styleId="HTMLPreformatted">
    <w:name w:val="HTML Preformatted"/>
    <w:basedOn w:val="Normal"/>
    <w:link w:val="HTMLPreformattedChar"/>
    <w:uiPriority w:val="98"/>
    <w:semiHidden/>
    <w:rsid w:val="00947C2B"/>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947C2B"/>
    <w:rPr>
      <w:rFonts w:ascii="Consolas" w:hAnsi="Consolas" w:cs="Consolas"/>
      <w:sz w:val="20"/>
      <w:szCs w:val="20"/>
      <w:lang w:val="en-GB"/>
    </w:rPr>
  </w:style>
  <w:style w:type="character" w:styleId="HTMLSample">
    <w:name w:val="HTML Sample"/>
    <w:basedOn w:val="DefaultParagraphFont"/>
    <w:uiPriority w:val="98"/>
    <w:semiHidden/>
    <w:rsid w:val="00947C2B"/>
    <w:rPr>
      <w:rFonts w:ascii="Consolas" w:hAnsi="Consolas" w:cs="Consolas"/>
      <w:sz w:val="24"/>
      <w:szCs w:val="24"/>
    </w:rPr>
  </w:style>
  <w:style w:type="character" w:styleId="HTMLTypewriter">
    <w:name w:val="HTML Typewriter"/>
    <w:basedOn w:val="DefaultParagraphFont"/>
    <w:uiPriority w:val="98"/>
    <w:semiHidden/>
    <w:rsid w:val="00947C2B"/>
    <w:rPr>
      <w:rFonts w:ascii="Consolas" w:hAnsi="Consolas" w:cs="Consolas"/>
      <w:sz w:val="20"/>
      <w:szCs w:val="20"/>
    </w:rPr>
  </w:style>
  <w:style w:type="character" w:styleId="HTMLVariable">
    <w:name w:val="HTML Variable"/>
    <w:basedOn w:val="DefaultParagraphFont"/>
    <w:uiPriority w:val="98"/>
    <w:semiHidden/>
    <w:rsid w:val="00947C2B"/>
    <w:rPr>
      <w:i/>
      <w:iCs/>
    </w:rPr>
  </w:style>
  <w:style w:type="paragraph" w:styleId="Index1">
    <w:name w:val="index 1"/>
    <w:basedOn w:val="Normal"/>
    <w:next w:val="Normal"/>
    <w:autoRedefine/>
    <w:uiPriority w:val="98"/>
    <w:semiHidden/>
    <w:rsid w:val="00947C2B"/>
    <w:pPr>
      <w:ind w:left="240" w:hanging="240"/>
    </w:pPr>
  </w:style>
  <w:style w:type="paragraph" w:styleId="Index2">
    <w:name w:val="index 2"/>
    <w:basedOn w:val="Normal"/>
    <w:next w:val="Normal"/>
    <w:autoRedefine/>
    <w:uiPriority w:val="98"/>
    <w:semiHidden/>
    <w:rsid w:val="00947C2B"/>
    <w:pPr>
      <w:ind w:left="480" w:hanging="240"/>
    </w:pPr>
  </w:style>
  <w:style w:type="paragraph" w:styleId="Index3">
    <w:name w:val="index 3"/>
    <w:basedOn w:val="Normal"/>
    <w:next w:val="Normal"/>
    <w:autoRedefine/>
    <w:uiPriority w:val="98"/>
    <w:semiHidden/>
    <w:rsid w:val="00947C2B"/>
    <w:pPr>
      <w:ind w:left="720" w:hanging="240"/>
    </w:pPr>
  </w:style>
  <w:style w:type="paragraph" w:styleId="Index4">
    <w:name w:val="index 4"/>
    <w:basedOn w:val="Normal"/>
    <w:next w:val="Normal"/>
    <w:autoRedefine/>
    <w:uiPriority w:val="98"/>
    <w:semiHidden/>
    <w:rsid w:val="00947C2B"/>
    <w:pPr>
      <w:ind w:left="960" w:hanging="240"/>
    </w:pPr>
  </w:style>
  <w:style w:type="paragraph" w:styleId="Index5">
    <w:name w:val="index 5"/>
    <w:basedOn w:val="Normal"/>
    <w:next w:val="Normal"/>
    <w:autoRedefine/>
    <w:uiPriority w:val="98"/>
    <w:semiHidden/>
    <w:rsid w:val="00947C2B"/>
    <w:pPr>
      <w:ind w:left="1200" w:hanging="240"/>
    </w:pPr>
  </w:style>
  <w:style w:type="paragraph" w:styleId="Index6">
    <w:name w:val="index 6"/>
    <w:basedOn w:val="Normal"/>
    <w:next w:val="Normal"/>
    <w:autoRedefine/>
    <w:uiPriority w:val="98"/>
    <w:semiHidden/>
    <w:rsid w:val="00947C2B"/>
    <w:pPr>
      <w:ind w:left="1440" w:hanging="240"/>
    </w:pPr>
  </w:style>
  <w:style w:type="paragraph" w:styleId="Index7">
    <w:name w:val="index 7"/>
    <w:basedOn w:val="Normal"/>
    <w:next w:val="Normal"/>
    <w:autoRedefine/>
    <w:uiPriority w:val="98"/>
    <w:semiHidden/>
    <w:rsid w:val="00947C2B"/>
    <w:pPr>
      <w:ind w:left="1680" w:hanging="240"/>
    </w:pPr>
  </w:style>
  <w:style w:type="paragraph" w:styleId="Index8">
    <w:name w:val="index 8"/>
    <w:basedOn w:val="Normal"/>
    <w:next w:val="Normal"/>
    <w:autoRedefine/>
    <w:uiPriority w:val="98"/>
    <w:semiHidden/>
    <w:rsid w:val="00947C2B"/>
    <w:pPr>
      <w:ind w:left="1920" w:hanging="240"/>
    </w:pPr>
  </w:style>
  <w:style w:type="paragraph" w:styleId="Index9">
    <w:name w:val="index 9"/>
    <w:basedOn w:val="Normal"/>
    <w:next w:val="Normal"/>
    <w:autoRedefine/>
    <w:uiPriority w:val="98"/>
    <w:semiHidden/>
    <w:rsid w:val="00947C2B"/>
    <w:pPr>
      <w:ind w:left="2160" w:hanging="240"/>
    </w:pPr>
  </w:style>
  <w:style w:type="paragraph" w:styleId="IndexHeading">
    <w:name w:val="index heading"/>
    <w:basedOn w:val="Normal"/>
    <w:next w:val="Index1"/>
    <w:uiPriority w:val="98"/>
    <w:semiHidden/>
    <w:rsid w:val="00947C2B"/>
    <w:rPr>
      <w:rFonts w:asciiTheme="majorHAnsi" w:eastAsiaTheme="majorEastAsia" w:hAnsiTheme="majorHAnsi" w:cstheme="majorBidi"/>
      <w:b/>
      <w:bCs/>
    </w:rPr>
  </w:style>
  <w:style w:type="table" w:styleId="LightGrid">
    <w:name w:val="Light Grid"/>
    <w:basedOn w:val="TableNormal"/>
    <w:uiPriority w:val="62"/>
    <w:semiHidden/>
    <w:rsid w:val="00947C2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947C2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947C2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947C2B"/>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947C2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947C2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947C2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947C2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947C2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947C2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947C2B"/>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947C2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947C2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947C2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947C2B"/>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947C2B"/>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947C2B"/>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947C2B"/>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947C2B"/>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947C2B"/>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947C2B"/>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947C2B"/>
  </w:style>
  <w:style w:type="paragraph" w:styleId="List">
    <w:name w:val="List"/>
    <w:basedOn w:val="Normal"/>
    <w:uiPriority w:val="98"/>
    <w:semiHidden/>
    <w:rsid w:val="00947C2B"/>
    <w:pPr>
      <w:ind w:left="283" w:hanging="283"/>
      <w:contextualSpacing/>
    </w:pPr>
  </w:style>
  <w:style w:type="paragraph" w:styleId="List2">
    <w:name w:val="List 2"/>
    <w:basedOn w:val="Normal"/>
    <w:uiPriority w:val="98"/>
    <w:semiHidden/>
    <w:rsid w:val="00947C2B"/>
    <w:pPr>
      <w:ind w:left="566" w:hanging="283"/>
      <w:contextualSpacing/>
    </w:pPr>
  </w:style>
  <w:style w:type="paragraph" w:styleId="List3">
    <w:name w:val="List 3"/>
    <w:basedOn w:val="Normal"/>
    <w:uiPriority w:val="98"/>
    <w:semiHidden/>
    <w:rsid w:val="00947C2B"/>
    <w:pPr>
      <w:ind w:left="849" w:hanging="283"/>
      <w:contextualSpacing/>
    </w:pPr>
  </w:style>
  <w:style w:type="paragraph" w:styleId="List4">
    <w:name w:val="List 4"/>
    <w:basedOn w:val="Normal"/>
    <w:uiPriority w:val="98"/>
    <w:semiHidden/>
    <w:rsid w:val="00947C2B"/>
    <w:pPr>
      <w:ind w:left="1132" w:hanging="283"/>
      <w:contextualSpacing/>
    </w:pPr>
  </w:style>
  <w:style w:type="paragraph" w:styleId="List5">
    <w:name w:val="List 5"/>
    <w:basedOn w:val="Normal"/>
    <w:uiPriority w:val="98"/>
    <w:semiHidden/>
    <w:rsid w:val="00947C2B"/>
    <w:pPr>
      <w:ind w:left="1415" w:hanging="283"/>
      <w:contextualSpacing/>
    </w:pPr>
  </w:style>
  <w:style w:type="paragraph" w:styleId="ListBullet2">
    <w:name w:val="List Bullet 2"/>
    <w:basedOn w:val="Normal"/>
    <w:uiPriority w:val="98"/>
    <w:semiHidden/>
    <w:rsid w:val="00947C2B"/>
    <w:pPr>
      <w:numPr>
        <w:numId w:val="12"/>
      </w:numPr>
      <w:contextualSpacing/>
    </w:pPr>
  </w:style>
  <w:style w:type="paragraph" w:styleId="ListBullet4">
    <w:name w:val="List Bullet 4"/>
    <w:basedOn w:val="Normal"/>
    <w:uiPriority w:val="98"/>
    <w:semiHidden/>
    <w:rsid w:val="00947C2B"/>
    <w:pPr>
      <w:numPr>
        <w:numId w:val="14"/>
      </w:numPr>
      <w:contextualSpacing/>
    </w:pPr>
  </w:style>
  <w:style w:type="paragraph" w:styleId="ListBullet5">
    <w:name w:val="List Bullet 5"/>
    <w:basedOn w:val="Normal"/>
    <w:uiPriority w:val="98"/>
    <w:semiHidden/>
    <w:rsid w:val="00947C2B"/>
    <w:pPr>
      <w:numPr>
        <w:numId w:val="15"/>
      </w:numPr>
      <w:contextualSpacing/>
    </w:pPr>
  </w:style>
  <w:style w:type="paragraph" w:styleId="ListContinue">
    <w:name w:val="List Continue"/>
    <w:basedOn w:val="Normal"/>
    <w:uiPriority w:val="98"/>
    <w:semiHidden/>
    <w:rsid w:val="00947C2B"/>
    <w:pPr>
      <w:spacing w:after="120"/>
      <w:ind w:left="283"/>
      <w:contextualSpacing/>
    </w:pPr>
  </w:style>
  <w:style w:type="paragraph" w:styleId="ListContinue2">
    <w:name w:val="List Continue 2"/>
    <w:basedOn w:val="Normal"/>
    <w:uiPriority w:val="98"/>
    <w:semiHidden/>
    <w:rsid w:val="00947C2B"/>
    <w:pPr>
      <w:spacing w:after="120"/>
      <w:ind w:left="566"/>
      <w:contextualSpacing/>
    </w:pPr>
  </w:style>
  <w:style w:type="paragraph" w:styleId="ListContinue3">
    <w:name w:val="List Continue 3"/>
    <w:basedOn w:val="Normal"/>
    <w:uiPriority w:val="98"/>
    <w:semiHidden/>
    <w:rsid w:val="00947C2B"/>
    <w:pPr>
      <w:spacing w:after="120"/>
      <w:ind w:left="849"/>
      <w:contextualSpacing/>
    </w:pPr>
  </w:style>
  <w:style w:type="paragraph" w:styleId="ListContinue4">
    <w:name w:val="List Continue 4"/>
    <w:basedOn w:val="Normal"/>
    <w:uiPriority w:val="98"/>
    <w:semiHidden/>
    <w:rsid w:val="00947C2B"/>
    <w:pPr>
      <w:spacing w:after="120"/>
      <w:ind w:left="1132"/>
      <w:contextualSpacing/>
    </w:pPr>
  </w:style>
  <w:style w:type="paragraph" w:styleId="ListContinue5">
    <w:name w:val="List Continue 5"/>
    <w:basedOn w:val="Normal"/>
    <w:uiPriority w:val="98"/>
    <w:semiHidden/>
    <w:rsid w:val="00947C2B"/>
    <w:pPr>
      <w:spacing w:after="120"/>
      <w:ind w:left="1415"/>
      <w:contextualSpacing/>
    </w:pPr>
  </w:style>
  <w:style w:type="paragraph" w:styleId="ListNumber">
    <w:name w:val="List Number"/>
    <w:basedOn w:val="Normal"/>
    <w:uiPriority w:val="98"/>
    <w:semiHidden/>
    <w:rsid w:val="00947C2B"/>
    <w:pPr>
      <w:numPr>
        <w:numId w:val="16"/>
      </w:numPr>
      <w:contextualSpacing/>
    </w:pPr>
  </w:style>
  <w:style w:type="paragraph" w:styleId="ListNumber2">
    <w:name w:val="List Number 2"/>
    <w:basedOn w:val="Normal"/>
    <w:uiPriority w:val="98"/>
    <w:semiHidden/>
    <w:rsid w:val="00947C2B"/>
    <w:pPr>
      <w:numPr>
        <w:numId w:val="17"/>
      </w:numPr>
      <w:contextualSpacing/>
    </w:pPr>
  </w:style>
  <w:style w:type="paragraph" w:styleId="ListNumber3">
    <w:name w:val="List Number 3"/>
    <w:basedOn w:val="Normal"/>
    <w:uiPriority w:val="98"/>
    <w:semiHidden/>
    <w:rsid w:val="00947C2B"/>
    <w:pPr>
      <w:numPr>
        <w:numId w:val="18"/>
      </w:numPr>
      <w:contextualSpacing/>
    </w:pPr>
  </w:style>
  <w:style w:type="paragraph" w:styleId="ListNumber4">
    <w:name w:val="List Number 4"/>
    <w:basedOn w:val="Normal"/>
    <w:uiPriority w:val="98"/>
    <w:semiHidden/>
    <w:rsid w:val="00947C2B"/>
    <w:pPr>
      <w:numPr>
        <w:numId w:val="19"/>
      </w:numPr>
      <w:contextualSpacing/>
    </w:pPr>
  </w:style>
  <w:style w:type="paragraph" w:styleId="ListNumber5">
    <w:name w:val="List Number 5"/>
    <w:basedOn w:val="Normal"/>
    <w:uiPriority w:val="98"/>
    <w:semiHidden/>
    <w:rsid w:val="00947C2B"/>
    <w:pPr>
      <w:numPr>
        <w:numId w:val="20"/>
      </w:numPr>
      <w:contextualSpacing/>
    </w:pPr>
  </w:style>
  <w:style w:type="paragraph" w:styleId="MacroText">
    <w:name w:val="macro"/>
    <w:link w:val="MacroTextChar"/>
    <w:uiPriority w:val="98"/>
    <w:semiHidden/>
    <w:rsid w:val="00947C2B"/>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947C2B"/>
    <w:rPr>
      <w:rFonts w:ascii="Consolas" w:eastAsiaTheme="minorEastAsia" w:hAnsi="Consolas" w:cs="Consolas"/>
      <w:sz w:val="20"/>
      <w:szCs w:val="20"/>
    </w:rPr>
  </w:style>
  <w:style w:type="table" w:styleId="MediumGrid1">
    <w:name w:val="Medium Grid 1"/>
    <w:basedOn w:val="TableNormal"/>
    <w:uiPriority w:val="67"/>
    <w:semiHidden/>
    <w:rsid w:val="00947C2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947C2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947C2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947C2B"/>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947C2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947C2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947C2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947C2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947C2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947C2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947C2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947C2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947C2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947C2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947C2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947C2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947C2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947C2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947C2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947C2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947C2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947C2B"/>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947C2B"/>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947C2B"/>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947C2B"/>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947C2B"/>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947C2B"/>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947C2B"/>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947C2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947C2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947C2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947C2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947C2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947C2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947C2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947C2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947C2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947C2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947C2B"/>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947C2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947C2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947C2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947C2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947C2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947C2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947C2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947C2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947C2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947C2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947C2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947C2B"/>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947C2B"/>
    <w:rPr>
      <w:rFonts w:ascii="Times New Roman" w:hAnsi="Times New Roman" w:cs="Times New Roman"/>
    </w:rPr>
  </w:style>
  <w:style w:type="paragraph" w:styleId="NormalIndent">
    <w:name w:val="Normal Indent"/>
    <w:basedOn w:val="Normal"/>
    <w:uiPriority w:val="98"/>
    <w:semiHidden/>
    <w:rsid w:val="00947C2B"/>
    <w:pPr>
      <w:ind w:left="720"/>
    </w:pPr>
  </w:style>
  <w:style w:type="paragraph" w:styleId="NoteHeading">
    <w:name w:val="Note Heading"/>
    <w:basedOn w:val="Normal"/>
    <w:next w:val="Normal"/>
    <w:link w:val="NoteHeadingChar"/>
    <w:uiPriority w:val="98"/>
    <w:semiHidden/>
    <w:rsid w:val="00947C2B"/>
  </w:style>
  <w:style w:type="character" w:customStyle="1" w:styleId="NoteHeadingChar">
    <w:name w:val="Note Heading Char"/>
    <w:basedOn w:val="DefaultParagraphFont"/>
    <w:link w:val="NoteHeading"/>
    <w:uiPriority w:val="98"/>
    <w:semiHidden/>
    <w:rsid w:val="00947C2B"/>
    <w:rPr>
      <w:sz w:val="24"/>
      <w:szCs w:val="24"/>
      <w:lang w:val="en-GB"/>
    </w:rPr>
  </w:style>
  <w:style w:type="character" w:styleId="PlaceholderText">
    <w:name w:val="Placeholder Text"/>
    <w:basedOn w:val="DefaultParagraphFont"/>
    <w:uiPriority w:val="98"/>
    <w:semiHidden/>
    <w:rsid w:val="00947C2B"/>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947C2B"/>
    <w:rPr>
      <w:rFonts w:ascii="Consolas" w:hAnsi="Consolas" w:cs="Consolas"/>
      <w:sz w:val="21"/>
      <w:szCs w:val="21"/>
    </w:rPr>
  </w:style>
  <w:style w:type="character" w:customStyle="1" w:styleId="PlainTextChar">
    <w:name w:val="Plain Text Char"/>
    <w:basedOn w:val="DefaultParagraphFont"/>
    <w:link w:val="PlainText"/>
    <w:uiPriority w:val="98"/>
    <w:semiHidden/>
    <w:rsid w:val="00947C2B"/>
    <w:rPr>
      <w:rFonts w:ascii="Consolas" w:hAnsi="Consolas" w:cs="Consolas"/>
      <w:sz w:val="21"/>
      <w:szCs w:val="21"/>
      <w:lang w:val="en-GB"/>
    </w:rPr>
  </w:style>
  <w:style w:type="paragraph" w:styleId="Salutation">
    <w:name w:val="Salutation"/>
    <w:basedOn w:val="Normal"/>
    <w:next w:val="Normal"/>
    <w:link w:val="SalutationChar"/>
    <w:uiPriority w:val="98"/>
    <w:semiHidden/>
    <w:rsid w:val="00947C2B"/>
  </w:style>
  <w:style w:type="character" w:customStyle="1" w:styleId="SalutationChar">
    <w:name w:val="Salutation Char"/>
    <w:basedOn w:val="DefaultParagraphFont"/>
    <w:link w:val="Salutation"/>
    <w:uiPriority w:val="98"/>
    <w:semiHidden/>
    <w:rsid w:val="00947C2B"/>
    <w:rPr>
      <w:sz w:val="24"/>
      <w:szCs w:val="24"/>
      <w:lang w:val="en-GB"/>
    </w:rPr>
  </w:style>
  <w:style w:type="paragraph" w:styleId="Signature">
    <w:name w:val="Signature"/>
    <w:basedOn w:val="Normal"/>
    <w:link w:val="SignatureChar"/>
    <w:uiPriority w:val="98"/>
    <w:semiHidden/>
    <w:rsid w:val="00947C2B"/>
    <w:pPr>
      <w:ind w:left="4252"/>
    </w:pPr>
  </w:style>
  <w:style w:type="character" w:customStyle="1" w:styleId="SignatureChar">
    <w:name w:val="Signature Char"/>
    <w:basedOn w:val="DefaultParagraphFont"/>
    <w:link w:val="Signature"/>
    <w:uiPriority w:val="98"/>
    <w:semiHidden/>
    <w:rsid w:val="00947C2B"/>
    <w:rPr>
      <w:sz w:val="24"/>
      <w:szCs w:val="24"/>
      <w:lang w:val="en-GB"/>
    </w:rPr>
  </w:style>
  <w:style w:type="table" w:styleId="Table3Deffects1">
    <w:name w:val="Table 3D effects 1"/>
    <w:basedOn w:val="TableNormal"/>
    <w:uiPriority w:val="99"/>
    <w:semiHidden/>
    <w:unhideWhenUsed/>
    <w:rsid w:val="00947C2B"/>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47C2B"/>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47C2B"/>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47C2B"/>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47C2B"/>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47C2B"/>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47C2B"/>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47C2B"/>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47C2B"/>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47C2B"/>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47C2B"/>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47C2B"/>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47C2B"/>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47C2B"/>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47C2B"/>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47C2B"/>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47C2B"/>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47C2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47C2B"/>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47C2B"/>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47C2B"/>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47C2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47C2B"/>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47C2B"/>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47C2B"/>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47C2B"/>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47C2B"/>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47C2B"/>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47C2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47C2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47C2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47C2B"/>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47C2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947C2B"/>
    <w:pPr>
      <w:ind w:left="240" w:hanging="240"/>
    </w:pPr>
  </w:style>
  <w:style w:type="paragraph" w:styleId="TableofFigures">
    <w:name w:val="table of figures"/>
    <w:basedOn w:val="Normal"/>
    <w:next w:val="Normal"/>
    <w:uiPriority w:val="98"/>
    <w:semiHidden/>
    <w:rsid w:val="00947C2B"/>
  </w:style>
  <w:style w:type="table" w:styleId="TableProfessional">
    <w:name w:val="Table Professional"/>
    <w:basedOn w:val="TableNormal"/>
    <w:uiPriority w:val="99"/>
    <w:semiHidden/>
    <w:unhideWhenUsed/>
    <w:rsid w:val="00947C2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47C2B"/>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47C2B"/>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47C2B"/>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47C2B"/>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47C2B"/>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47C2B"/>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47C2B"/>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47C2B"/>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47C2B"/>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947C2B"/>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947C2B"/>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947C2B"/>
    <w:pPr>
      <w:spacing w:after="100"/>
      <w:ind w:left="1680"/>
    </w:pPr>
  </w:style>
  <w:style w:type="paragraph" w:styleId="TOC9">
    <w:name w:val="toc 9"/>
    <w:basedOn w:val="Normal"/>
    <w:next w:val="Normal"/>
    <w:autoRedefine/>
    <w:uiPriority w:val="98"/>
    <w:semiHidden/>
    <w:rsid w:val="00947C2B"/>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947C2B"/>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947C2B"/>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947C2B"/>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947C2B"/>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947C2B"/>
    <w:pPr>
      <w:numPr>
        <w:numId w:val="8"/>
      </w:numPr>
      <w:spacing w:before="60" w:after="60"/>
    </w:pPr>
  </w:style>
  <w:style w:type="paragraph" w:customStyle="1" w:styleId="ECHRBullet2">
    <w:name w:val="ECHR_Bullet_2"/>
    <w:aliases w:val="_Bul_2"/>
    <w:basedOn w:val="ECHRBullet1"/>
    <w:uiPriority w:val="23"/>
    <w:semiHidden/>
    <w:rsid w:val="00947C2B"/>
    <w:pPr>
      <w:numPr>
        <w:ilvl w:val="1"/>
      </w:numPr>
    </w:pPr>
  </w:style>
  <w:style w:type="paragraph" w:customStyle="1" w:styleId="ECHRBullet3">
    <w:name w:val="ECHR_Bullet_3"/>
    <w:aliases w:val="_Bul_3"/>
    <w:basedOn w:val="ECHRBullet2"/>
    <w:uiPriority w:val="23"/>
    <w:semiHidden/>
    <w:rsid w:val="00947C2B"/>
    <w:pPr>
      <w:numPr>
        <w:ilvl w:val="2"/>
      </w:numPr>
    </w:pPr>
  </w:style>
  <w:style w:type="paragraph" w:customStyle="1" w:styleId="ECHRBullet4">
    <w:name w:val="ECHR_Bullet_4"/>
    <w:aliases w:val="_Bul_4"/>
    <w:basedOn w:val="ECHRBullet3"/>
    <w:uiPriority w:val="23"/>
    <w:semiHidden/>
    <w:rsid w:val="00947C2B"/>
    <w:pPr>
      <w:numPr>
        <w:ilvl w:val="3"/>
      </w:numPr>
    </w:pPr>
  </w:style>
  <w:style w:type="paragraph" w:customStyle="1" w:styleId="ECHRConfidential">
    <w:name w:val="ECHR_Confidential"/>
    <w:aliases w:val="_Confidential"/>
    <w:basedOn w:val="Normal"/>
    <w:next w:val="Normal"/>
    <w:uiPriority w:val="42"/>
    <w:semiHidden/>
    <w:qFormat/>
    <w:rsid w:val="00947C2B"/>
    <w:pPr>
      <w:jc w:val="right"/>
    </w:pPr>
    <w:rPr>
      <w:color w:val="C00000"/>
      <w:sz w:val="20"/>
    </w:rPr>
  </w:style>
  <w:style w:type="paragraph" w:customStyle="1" w:styleId="ECHRDecisionBody">
    <w:name w:val="ECHR_Decision_Body"/>
    <w:aliases w:val="_Decision_Body"/>
    <w:basedOn w:val="NormalJustified"/>
    <w:uiPriority w:val="54"/>
    <w:semiHidden/>
    <w:rsid w:val="00947C2B"/>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947C2B"/>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947C2B"/>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947C2B"/>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947C2B"/>
    <w:pPr>
      <w:jc w:val="right"/>
    </w:pPr>
    <w:rPr>
      <w:sz w:val="20"/>
    </w:rPr>
  </w:style>
  <w:style w:type="paragraph" w:customStyle="1" w:styleId="ECHRHeaderRefIt">
    <w:name w:val="ECHR_Header_Ref_It"/>
    <w:aliases w:val="_Ref_Ital"/>
    <w:basedOn w:val="Normal"/>
    <w:next w:val="ECHRHeaderDate"/>
    <w:uiPriority w:val="43"/>
    <w:qFormat/>
    <w:rsid w:val="00947C2B"/>
    <w:pPr>
      <w:jc w:val="right"/>
    </w:pPr>
    <w:rPr>
      <w:i/>
      <w:sz w:val="20"/>
    </w:rPr>
  </w:style>
  <w:style w:type="paragraph" w:customStyle="1" w:styleId="ECHRHeading9">
    <w:name w:val="ECHR_Heading_9"/>
    <w:aliases w:val="_Head_9"/>
    <w:basedOn w:val="Heading9"/>
    <w:uiPriority w:val="17"/>
    <w:semiHidden/>
    <w:rsid w:val="00947C2B"/>
    <w:pPr>
      <w:keepNext/>
      <w:keepLines/>
      <w:numPr>
        <w:ilvl w:val="8"/>
        <w:numId w:val="4"/>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947C2B"/>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947C2B"/>
    <w:pPr>
      <w:numPr>
        <w:numId w:val="10"/>
      </w:numPr>
      <w:spacing w:before="60" w:after="60"/>
    </w:pPr>
  </w:style>
  <w:style w:type="paragraph" w:customStyle="1" w:styleId="ECHRNumberedList2">
    <w:name w:val="ECHR_Numbered_List_2"/>
    <w:aliases w:val="_Num_2"/>
    <w:basedOn w:val="ECHRNumberedList1"/>
    <w:uiPriority w:val="23"/>
    <w:semiHidden/>
    <w:rsid w:val="00947C2B"/>
    <w:pPr>
      <w:numPr>
        <w:ilvl w:val="1"/>
      </w:numPr>
    </w:pPr>
  </w:style>
  <w:style w:type="paragraph" w:customStyle="1" w:styleId="ECHRNumberedList3">
    <w:name w:val="ECHR_Numbered_List_3"/>
    <w:aliases w:val="_Num_3"/>
    <w:basedOn w:val="ECHRNumberedList2"/>
    <w:uiPriority w:val="23"/>
    <w:semiHidden/>
    <w:rsid w:val="00947C2B"/>
    <w:pPr>
      <w:numPr>
        <w:ilvl w:val="2"/>
      </w:numPr>
    </w:pPr>
  </w:style>
  <w:style w:type="paragraph" w:customStyle="1" w:styleId="ECHRParaHanging">
    <w:name w:val="ECHR_Para_Hanging"/>
    <w:aliases w:val="_Hanging"/>
    <w:basedOn w:val="Normal"/>
    <w:uiPriority w:val="8"/>
    <w:semiHidden/>
    <w:qFormat/>
    <w:rsid w:val="00947C2B"/>
    <w:pPr>
      <w:ind w:left="567" w:hanging="567"/>
      <w:jc w:val="both"/>
    </w:pPr>
  </w:style>
  <w:style w:type="paragraph" w:customStyle="1" w:styleId="ECHRParaIndent">
    <w:name w:val="ECHR_Para_Indent"/>
    <w:aliases w:val="_Indent"/>
    <w:basedOn w:val="Normal"/>
    <w:uiPriority w:val="7"/>
    <w:semiHidden/>
    <w:qFormat/>
    <w:rsid w:val="00947C2B"/>
    <w:pPr>
      <w:spacing w:before="120" w:after="120"/>
      <w:ind w:left="284"/>
      <w:jc w:val="both"/>
    </w:pPr>
  </w:style>
  <w:style w:type="character" w:customStyle="1" w:styleId="ECHRRed">
    <w:name w:val="ECHR_Red"/>
    <w:aliases w:val="_Red"/>
    <w:basedOn w:val="DefaultParagraphFont"/>
    <w:uiPriority w:val="15"/>
    <w:semiHidden/>
    <w:qFormat/>
    <w:rsid w:val="00947C2B"/>
    <w:rPr>
      <w:color w:val="C00000" w:themeColor="accent2"/>
    </w:rPr>
  </w:style>
  <w:style w:type="paragraph" w:customStyle="1" w:styleId="DecList">
    <w:name w:val="Dec_List"/>
    <w:aliases w:val="_List"/>
    <w:basedOn w:val="JuList"/>
    <w:uiPriority w:val="22"/>
    <w:rsid w:val="00947C2B"/>
    <w:pPr>
      <w:numPr>
        <w:numId w:val="0"/>
      </w:numPr>
      <w:ind w:left="284"/>
    </w:pPr>
  </w:style>
  <w:style w:type="table" w:customStyle="1" w:styleId="ECHRTable2">
    <w:name w:val="ECHR_Table_2"/>
    <w:basedOn w:val="TableNormal"/>
    <w:uiPriority w:val="99"/>
    <w:rsid w:val="00947C2B"/>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947C2B"/>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947C2B"/>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947C2B"/>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947C2B"/>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947C2B"/>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947C2B"/>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947C2B"/>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947C2B"/>
    <w:pPr>
      <w:outlineLvl w:val="0"/>
    </w:pPr>
  </w:style>
  <w:style w:type="paragraph" w:customStyle="1" w:styleId="ECHRTitleTOC1">
    <w:name w:val="ECHR_Title_TOC_1"/>
    <w:aliases w:val="_Title_L_TOC"/>
    <w:basedOn w:val="ECHRTitle1"/>
    <w:next w:val="Normal"/>
    <w:uiPriority w:val="27"/>
    <w:semiHidden/>
    <w:qFormat/>
    <w:rsid w:val="00947C2B"/>
    <w:pPr>
      <w:outlineLvl w:val="0"/>
    </w:pPr>
  </w:style>
  <w:style w:type="paragraph" w:customStyle="1" w:styleId="ECHRPlaceholder">
    <w:name w:val="ECHR_Placeholder"/>
    <w:aliases w:val="_Placeholder"/>
    <w:basedOn w:val="JuSigned"/>
    <w:uiPriority w:val="31"/>
    <w:rsid w:val="00947C2B"/>
    <w:rPr>
      <w:color w:val="FFFFFF"/>
    </w:rPr>
  </w:style>
  <w:style w:type="paragraph" w:customStyle="1" w:styleId="ECHRSpacer">
    <w:name w:val="ECHR_Spacer"/>
    <w:aliases w:val="_Spacer"/>
    <w:basedOn w:val="Normal"/>
    <w:uiPriority w:val="45"/>
    <w:semiHidden/>
    <w:rsid w:val="00947C2B"/>
    <w:rPr>
      <w:sz w:val="4"/>
    </w:rPr>
  </w:style>
  <w:style w:type="table" w:customStyle="1" w:styleId="ECHRTableGrey">
    <w:name w:val="ECHR_Table_Grey"/>
    <w:basedOn w:val="TableNormal"/>
    <w:uiPriority w:val="99"/>
    <w:rsid w:val="00947C2B"/>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qFormat/>
    <w:rsid w:val="00542DDB"/>
    <w:rPr>
      <w:sz w:val="24"/>
      <w:szCs w:val="24"/>
      <w:lang w:val="en-GB"/>
    </w:rPr>
  </w:style>
  <w:style w:type="character" w:customStyle="1" w:styleId="JuNames0">
    <w:name w:val="Ju_Names"/>
    <w:rsid w:val="00542DDB"/>
    <w:rPr>
      <w:smallCaps/>
    </w:rPr>
  </w:style>
  <w:style w:type="paragraph" w:customStyle="1" w:styleId="JuList4">
    <w:name w:val="Ju_List_4"/>
    <w:aliases w:val="N_Bul_4"/>
    <w:basedOn w:val="JuListi"/>
    <w:uiPriority w:val="19"/>
    <w:rsid w:val="00542DDB"/>
    <w:pPr>
      <w:numPr>
        <w:ilvl w:val="0"/>
        <w:numId w:val="0"/>
      </w:numPr>
      <w:tabs>
        <w:tab w:val="num" w:pos="1701"/>
      </w:tabs>
      <w:spacing w:before="60" w:after="60" w:line="240" w:lineRule="exact"/>
      <w:ind w:left="1703" w:hanging="284"/>
      <w:contextualSpacing/>
    </w:pPr>
    <w:rPr>
      <w:sz w:val="22"/>
      <w:lang w:val="fr-FR" w:eastAsia="fr-FR"/>
    </w:rPr>
  </w:style>
  <w:style w:type="character" w:customStyle="1" w:styleId="JuListChar">
    <w:name w:val="Ju_List Char"/>
    <w:link w:val="JuList"/>
    <w:uiPriority w:val="23"/>
    <w:qFormat/>
    <w:locked/>
    <w:rsid w:val="00542DDB"/>
    <w:rPr>
      <w:sz w:val="24"/>
      <w:szCs w:val="24"/>
      <w:lang w:val="en-GB"/>
    </w:rPr>
  </w:style>
  <w:style w:type="paragraph" w:customStyle="1" w:styleId="SingleTxtG">
    <w:name w:val="_ Single Txt_G"/>
    <w:basedOn w:val="Normal"/>
    <w:link w:val="SingleTxtGChar"/>
    <w:qFormat/>
    <w:rsid w:val="00542DDB"/>
    <w:pPr>
      <w:suppressAutoHyphens/>
      <w:spacing w:after="120" w:line="240" w:lineRule="atLeast"/>
      <w:ind w:left="1134" w:right="1134"/>
      <w:jc w:val="both"/>
    </w:pPr>
    <w:rPr>
      <w:rFonts w:ascii="Times New Roman" w:eastAsia="Times New Roman" w:hAnsi="Times New Roman" w:cs="Times New Roman"/>
      <w:sz w:val="20"/>
      <w:szCs w:val="20"/>
    </w:rPr>
  </w:style>
  <w:style w:type="character" w:customStyle="1" w:styleId="SingleTxtGChar">
    <w:name w:val="_ Single Txt_G Char"/>
    <w:link w:val="SingleTxtG"/>
    <w:locked/>
    <w:rsid w:val="00542DDB"/>
    <w:rPr>
      <w:rFonts w:ascii="Times New Roman" w:eastAsia="Times New Roman" w:hAnsi="Times New Roman" w:cs="Times New Roman"/>
      <w:sz w:val="20"/>
      <w:szCs w:val="20"/>
      <w:lang w:val="en-GB"/>
    </w:rPr>
  </w:style>
  <w:style w:type="paragraph" w:customStyle="1" w:styleId="JuParaSub">
    <w:name w:val="Ju_Para_Sub"/>
    <w:basedOn w:val="JuPara"/>
    <w:uiPriority w:val="13"/>
    <w:qFormat/>
    <w:rsid w:val="00542DDB"/>
    <w:pPr>
      <w:ind w:left="284"/>
    </w:pPr>
  </w:style>
  <w:style w:type="table" w:styleId="GridTable1Light">
    <w:name w:val="Grid Table 1 Light"/>
    <w:basedOn w:val="TableNormal"/>
    <w:uiPriority w:val="46"/>
    <w:semiHidden/>
    <w:rsid w:val="00441880"/>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441880"/>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441880"/>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441880"/>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441880"/>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441880"/>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441880"/>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441880"/>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441880"/>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441880"/>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441880"/>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441880"/>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441880"/>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441880"/>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44188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44188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44188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44188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44188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44188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44188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44188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44188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44188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44188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44188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44188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44188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44188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44188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44188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44188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44188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44188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44188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44188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441880"/>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441880"/>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441880"/>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441880"/>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441880"/>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441880"/>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44188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441880"/>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441880"/>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441880"/>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441880"/>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441880"/>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441880"/>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441880"/>
    <w:rPr>
      <w:color w:val="2B579A"/>
      <w:shd w:val="clear" w:color="auto" w:fill="E1DFDD"/>
    </w:rPr>
  </w:style>
  <w:style w:type="table" w:styleId="ListTable1Light">
    <w:name w:val="List Table 1 Light"/>
    <w:basedOn w:val="TableNormal"/>
    <w:uiPriority w:val="46"/>
    <w:semiHidden/>
    <w:rsid w:val="00441880"/>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441880"/>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441880"/>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441880"/>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441880"/>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441880"/>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441880"/>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441880"/>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441880"/>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441880"/>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441880"/>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441880"/>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441880"/>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441880"/>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441880"/>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441880"/>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441880"/>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441880"/>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441880"/>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441880"/>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441880"/>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44188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44188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44188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44188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44188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44188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44188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441880"/>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441880"/>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441880"/>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441880"/>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441880"/>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441880"/>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441880"/>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441880"/>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441880"/>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441880"/>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441880"/>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441880"/>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441880"/>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441880"/>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441880"/>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441880"/>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441880"/>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441880"/>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441880"/>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441880"/>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441880"/>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441880"/>
    <w:rPr>
      <w:color w:val="2B579A"/>
      <w:shd w:val="clear" w:color="auto" w:fill="E1DFDD"/>
    </w:rPr>
  </w:style>
  <w:style w:type="table" w:styleId="PlainTable1">
    <w:name w:val="Plain Table 1"/>
    <w:basedOn w:val="TableNormal"/>
    <w:uiPriority w:val="41"/>
    <w:semiHidden/>
    <w:rsid w:val="00441880"/>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44188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44188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44188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441880"/>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441880"/>
    <w:rPr>
      <w:u w:val="dotted"/>
    </w:rPr>
  </w:style>
  <w:style w:type="character" w:customStyle="1" w:styleId="SmartLink">
    <w:name w:val="Smart Link"/>
    <w:basedOn w:val="DefaultParagraphFont"/>
    <w:uiPriority w:val="99"/>
    <w:semiHidden/>
    <w:unhideWhenUsed/>
    <w:rsid w:val="00947C2B"/>
    <w:rPr>
      <w:color w:val="0000FF"/>
      <w:u w:val="single"/>
      <w:shd w:val="clear" w:color="auto" w:fill="F3F2F1"/>
    </w:rPr>
  </w:style>
  <w:style w:type="table" w:styleId="TableGridLight">
    <w:name w:val="Grid Table Light"/>
    <w:basedOn w:val="TableNormal"/>
    <w:uiPriority w:val="40"/>
    <w:semiHidden/>
    <w:rsid w:val="00441880"/>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441880"/>
    <w:rPr>
      <w:color w:val="605E5C"/>
      <w:shd w:val="clear" w:color="auto" w:fill="E1DFDD"/>
    </w:rPr>
  </w:style>
  <w:style w:type="numbering" w:customStyle="1" w:styleId="ECHRA1StyleBulletedSquare1">
    <w:name w:val="ECHR_A1_Style_Bulleted_Square1"/>
    <w:basedOn w:val="NoList"/>
    <w:rsid w:val="004C701D"/>
  </w:style>
  <w:style w:type="paragraph" w:customStyle="1" w:styleId="jupara0">
    <w:name w:val="jupara"/>
    <w:basedOn w:val="Normal"/>
    <w:rsid w:val="00791180"/>
    <w:pPr>
      <w:ind w:firstLine="284"/>
      <w:jc w:val="both"/>
    </w:pPr>
    <w:rPr>
      <w:rFonts w:ascii="Times New Roman" w:eastAsia="Times New Roman" w:hAnsi="Times New Roman" w:cs="Times New Roman"/>
      <w:lang w:eastAsia="en-GB"/>
    </w:rPr>
  </w:style>
  <w:style w:type="paragraph" w:customStyle="1" w:styleId="jucase0">
    <w:name w:val="jucase"/>
    <w:basedOn w:val="Normal"/>
    <w:rsid w:val="00791180"/>
    <w:pPr>
      <w:ind w:firstLine="284"/>
      <w:jc w:val="both"/>
    </w:pPr>
    <w:rPr>
      <w:rFonts w:ascii="Times New Roman" w:eastAsia="Times New Roman" w:hAnsi="Times New Roman" w:cs="Times New Roman"/>
      <w:b/>
      <w:bCs/>
      <w:lang w:eastAsia="en-GB"/>
    </w:rPr>
  </w:style>
  <w:style w:type="paragraph" w:styleId="Revision">
    <w:name w:val="Revision"/>
    <w:hidden/>
    <w:uiPriority w:val="99"/>
    <w:semiHidden/>
    <w:rsid w:val="00031026"/>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342CB2-C693-4FE9-9B5F-F15181C597DB}">
  <ds:schemaRefs>
    <ds:schemaRef ds:uri="http://schemas.openxmlformats.org/officeDocument/2006/bibliography"/>
  </ds:schemaRefs>
</ds:datastoreItem>
</file>

<file path=customXml/itemProps2.xml><?xml version="1.0" encoding="utf-8"?>
<ds:datastoreItem xmlns:ds="http://schemas.openxmlformats.org/officeDocument/2006/customXml" ds:itemID="{DF170F9C-E570-421D-927A-7C0E710EE590}"/>
</file>

<file path=customXml/itemProps3.xml><?xml version="1.0" encoding="utf-8"?>
<ds:datastoreItem xmlns:ds="http://schemas.openxmlformats.org/officeDocument/2006/customXml" ds:itemID="{5D31006E-0A62-4012-AC78-24C1582D422E}"/>
</file>

<file path=customXml/itemProps4.xml><?xml version="1.0" encoding="utf-8"?>
<ds:datastoreItem xmlns:ds="http://schemas.openxmlformats.org/officeDocument/2006/customXml" ds:itemID="{C09C8530-466F-4872-AAEE-E29DDA9DF2A4}"/>
</file>

<file path=docProps/app.xml><?xml version="1.0" encoding="utf-8"?>
<Properties xmlns="http://schemas.openxmlformats.org/officeDocument/2006/extended-properties" xmlns:vt="http://schemas.openxmlformats.org/officeDocument/2006/docPropsVTypes">
  <Template>Normal.dotm</Template>
  <TotalTime>0</TotalTime>
  <Pages>1</Pages>
  <Words>7386</Words>
  <Characters>42104</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49392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2023-04-26T14:03:00Z</dcterms:created>
  <dcterms:modified xsi:type="dcterms:W3CDTF">2023-04-26T14:03:00Z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65583/13</vt:lpwstr>
  </property>
  <property fmtid="{D5CDD505-2E9C-101B-9397-08002B2CF9AE}" pid="4" name="CASEID">
    <vt:lpwstr>916329</vt:lpwstr>
  </property>
  <property fmtid="{D5CDD505-2E9C-101B-9397-08002B2CF9AE}" pid="5" name="ContentTypeId">
    <vt:lpwstr>0x010100558EB02BDB9E204AB350EDD385B68E10</vt:lpwstr>
  </property>
</Properties>
</file>