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C469D" w14:textId="6AD28980" w:rsidR="006544C4" w:rsidRPr="00CF29B1" w:rsidRDefault="00F37411" w:rsidP="009E131B">
      <w:pPr>
        <w:pStyle w:val="DecHTitle"/>
        <w:rPr>
          <w:sz w:val="4"/>
          <w:szCs w:val="4"/>
          <w:lang w:val="pl-PL"/>
        </w:rPr>
      </w:pPr>
      <w:r>
        <w:rPr>
          <w:lang w:val="pl"/>
        </w:rPr>
        <w:t>SEKCJA</w:t>
      </w:r>
      <w:r w:rsidR="005D244F">
        <w:rPr>
          <w:lang w:val="pl"/>
        </w:rPr>
        <w:t xml:space="preserve"> PIERWSZA</w:t>
      </w:r>
    </w:p>
    <w:p w14:paraId="2ADDE38E" w14:textId="77777777" w:rsidR="006544C4" w:rsidRPr="00CF29B1" w:rsidRDefault="006544C4" w:rsidP="009E131B">
      <w:pPr>
        <w:pStyle w:val="DecHTitle"/>
        <w:rPr>
          <w:caps/>
          <w:sz w:val="32"/>
          <w:lang w:val="pl-PL"/>
        </w:rPr>
      </w:pPr>
      <w:r>
        <w:rPr>
          <w:lang w:val="pl"/>
        </w:rPr>
        <w:t>DECYZJA</w:t>
      </w:r>
    </w:p>
    <w:p w14:paraId="1D6F955B" w14:textId="77777777" w:rsidR="006544C4" w:rsidRPr="00CF29B1" w:rsidRDefault="00F37411" w:rsidP="009E131B">
      <w:pPr>
        <w:pStyle w:val="DecHCase"/>
        <w:rPr>
          <w:lang w:val="pl-PL"/>
        </w:rPr>
      </w:pPr>
      <w:r>
        <w:rPr>
          <w:lang w:val="pl"/>
        </w:rPr>
        <w:t>Skarga nr 46505/19</w:t>
      </w:r>
      <w:r>
        <w:rPr>
          <w:lang w:val="pl"/>
        </w:rPr>
        <w:br/>
      </w:r>
      <w:proofErr w:type="spellStart"/>
      <w:r>
        <w:rPr>
          <w:lang w:val="pl"/>
        </w:rPr>
        <w:t>Xanthi</w:t>
      </w:r>
      <w:proofErr w:type="spellEnd"/>
      <w:r>
        <w:rPr>
          <w:lang w:val="pl"/>
        </w:rPr>
        <w:t xml:space="preserve"> ANTONOPOULOU</w:t>
      </w:r>
      <w:r>
        <w:rPr>
          <w:lang w:val="pl"/>
        </w:rPr>
        <w:br/>
        <w:t>przeciwko Grecji</w:t>
      </w:r>
    </w:p>
    <w:p w14:paraId="5CC18492" w14:textId="3520E580" w:rsidR="00F37411" w:rsidRPr="00CF29B1" w:rsidRDefault="00F37411" w:rsidP="009E131B">
      <w:pPr>
        <w:pStyle w:val="JuPara"/>
        <w:rPr>
          <w:lang w:val="pl-PL"/>
        </w:rPr>
      </w:pPr>
      <w:r>
        <w:rPr>
          <w:lang w:val="pl"/>
        </w:rPr>
        <w:t>Europejski Trybunał Praw Człowieka (pierwsza sekcja), zasiadając dnia</w:t>
      </w:r>
      <w:r w:rsidR="00CF29B1">
        <w:rPr>
          <w:lang w:val="pl"/>
        </w:rPr>
        <w:t> </w:t>
      </w:r>
      <w:r>
        <w:rPr>
          <w:lang w:val="pl"/>
        </w:rPr>
        <w:t>1</w:t>
      </w:r>
      <w:r w:rsidR="00CF29B1">
        <w:rPr>
          <w:lang w:val="pl"/>
        </w:rPr>
        <w:t>9</w:t>
      </w:r>
      <w:r>
        <w:rPr>
          <w:lang w:val="pl"/>
        </w:rPr>
        <w:t xml:space="preserve"> stycznia 2021 r. jako izba w składzie:</w:t>
      </w:r>
    </w:p>
    <w:p w14:paraId="0707BDF1" w14:textId="77777777" w:rsidR="00F37411" w:rsidRPr="00CF29B1" w:rsidRDefault="00865503" w:rsidP="009E131B">
      <w:pPr>
        <w:pStyle w:val="JuJudges"/>
        <w:rPr>
          <w:lang w:val="pl"/>
        </w:rPr>
      </w:pPr>
      <w:r>
        <w:rPr>
          <w:lang w:val="pl"/>
        </w:rPr>
        <w:tab/>
      </w:r>
      <w:proofErr w:type="spellStart"/>
      <w:r>
        <w:rPr>
          <w:lang w:val="pl"/>
        </w:rPr>
        <w:t>Ksenija</w:t>
      </w:r>
      <w:proofErr w:type="spellEnd"/>
      <w:r>
        <w:rPr>
          <w:lang w:val="pl"/>
        </w:rPr>
        <w:t xml:space="preserve"> </w:t>
      </w:r>
      <w:proofErr w:type="spellStart"/>
      <w:r>
        <w:rPr>
          <w:lang w:val="pl"/>
        </w:rPr>
        <w:t>Turković</w:t>
      </w:r>
      <w:proofErr w:type="spellEnd"/>
      <w:r>
        <w:rPr>
          <w:lang w:val="pl"/>
        </w:rPr>
        <w:t xml:space="preserve">, </w:t>
      </w:r>
      <w:r>
        <w:rPr>
          <w:i/>
          <w:iCs/>
          <w:lang w:val="pl"/>
        </w:rPr>
        <w:t>przewodnicząca</w:t>
      </w:r>
      <w:r>
        <w:rPr>
          <w:lang w:val="pl"/>
        </w:rPr>
        <w:t>,</w:t>
      </w:r>
      <w:r>
        <w:rPr>
          <w:lang w:val="pl"/>
        </w:rPr>
        <w:br/>
      </w:r>
      <w:r>
        <w:rPr>
          <w:lang w:val="pl"/>
        </w:rPr>
        <w:tab/>
      </w:r>
      <w:proofErr w:type="spellStart"/>
      <w:r>
        <w:rPr>
          <w:lang w:val="pl"/>
        </w:rPr>
        <w:t>Linos-Alexandre</w:t>
      </w:r>
      <w:proofErr w:type="spellEnd"/>
      <w:r>
        <w:rPr>
          <w:lang w:val="pl"/>
        </w:rPr>
        <w:t xml:space="preserve"> </w:t>
      </w:r>
      <w:proofErr w:type="spellStart"/>
      <w:r>
        <w:rPr>
          <w:lang w:val="pl"/>
        </w:rPr>
        <w:t>Sicilianos</w:t>
      </w:r>
      <w:proofErr w:type="spellEnd"/>
      <w:r>
        <w:rPr>
          <w:lang w:val="pl"/>
        </w:rPr>
        <w:t>,</w:t>
      </w:r>
      <w:r>
        <w:rPr>
          <w:lang w:val="pl"/>
        </w:rPr>
        <w:br/>
      </w:r>
      <w:r>
        <w:rPr>
          <w:lang w:val="pl"/>
        </w:rPr>
        <w:tab/>
        <w:t xml:space="preserve">Alena </w:t>
      </w:r>
      <w:proofErr w:type="spellStart"/>
      <w:r>
        <w:rPr>
          <w:lang w:val="pl"/>
        </w:rPr>
        <w:t>Poláčková</w:t>
      </w:r>
      <w:proofErr w:type="spellEnd"/>
      <w:r>
        <w:rPr>
          <w:lang w:val="pl"/>
        </w:rPr>
        <w:t>,</w:t>
      </w:r>
      <w:r>
        <w:rPr>
          <w:lang w:val="pl"/>
        </w:rPr>
        <w:br/>
      </w:r>
      <w:r>
        <w:rPr>
          <w:lang w:val="pl"/>
        </w:rPr>
        <w:tab/>
      </w:r>
      <w:proofErr w:type="spellStart"/>
      <w:r>
        <w:rPr>
          <w:lang w:val="pl"/>
        </w:rPr>
        <w:t>Péter</w:t>
      </w:r>
      <w:proofErr w:type="spellEnd"/>
      <w:r>
        <w:rPr>
          <w:lang w:val="pl"/>
        </w:rPr>
        <w:t xml:space="preserve"> </w:t>
      </w:r>
      <w:proofErr w:type="spellStart"/>
      <w:r>
        <w:rPr>
          <w:lang w:val="pl"/>
        </w:rPr>
        <w:t>Paczolay</w:t>
      </w:r>
      <w:proofErr w:type="spellEnd"/>
      <w:r>
        <w:rPr>
          <w:lang w:val="pl"/>
        </w:rPr>
        <w:t>,</w:t>
      </w:r>
      <w:r>
        <w:rPr>
          <w:lang w:val="pl"/>
        </w:rPr>
        <w:br/>
      </w:r>
      <w:r>
        <w:rPr>
          <w:lang w:val="pl"/>
        </w:rPr>
        <w:tab/>
        <w:t xml:space="preserve">Gilberto </w:t>
      </w:r>
      <w:proofErr w:type="spellStart"/>
      <w:r>
        <w:rPr>
          <w:lang w:val="pl"/>
        </w:rPr>
        <w:t>Felici</w:t>
      </w:r>
      <w:proofErr w:type="spellEnd"/>
      <w:r>
        <w:rPr>
          <w:lang w:val="pl"/>
        </w:rPr>
        <w:t>,</w:t>
      </w:r>
      <w:r>
        <w:rPr>
          <w:lang w:val="pl"/>
        </w:rPr>
        <w:br/>
      </w:r>
      <w:r>
        <w:rPr>
          <w:lang w:val="pl"/>
        </w:rPr>
        <w:tab/>
        <w:t xml:space="preserve">Erik </w:t>
      </w:r>
      <w:proofErr w:type="spellStart"/>
      <w:r>
        <w:rPr>
          <w:lang w:val="pl"/>
        </w:rPr>
        <w:t>Wennerström</w:t>
      </w:r>
      <w:proofErr w:type="spellEnd"/>
      <w:r>
        <w:rPr>
          <w:lang w:val="pl"/>
        </w:rPr>
        <w:t>,</w:t>
      </w:r>
      <w:r>
        <w:rPr>
          <w:lang w:val="pl"/>
        </w:rPr>
        <w:br/>
      </w:r>
      <w:r>
        <w:rPr>
          <w:lang w:val="pl"/>
        </w:rPr>
        <w:tab/>
        <w:t xml:space="preserve">Lorraine </w:t>
      </w:r>
      <w:proofErr w:type="spellStart"/>
      <w:r>
        <w:rPr>
          <w:lang w:val="pl"/>
        </w:rPr>
        <w:t>Schembri</w:t>
      </w:r>
      <w:proofErr w:type="spellEnd"/>
      <w:r>
        <w:rPr>
          <w:lang w:val="pl"/>
        </w:rPr>
        <w:t xml:space="preserve"> </w:t>
      </w:r>
      <w:proofErr w:type="spellStart"/>
      <w:r>
        <w:rPr>
          <w:lang w:val="pl"/>
        </w:rPr>
        <w:t>Orland</w:t>
      </w:r>
      <w:proofErr w:type="spellEnd"/>
      <w:r>
        <w:rPr>
          <w:lang w:val="pl"/>
        </w:rPr>
        <w:t>,</w:t>
      </w:r>
      <w:r>
        <w:rPr>
          <w:i/>
          <w:iCs/>
          <w:lang w:val="pl"/>
        </w:rPr>
        <w:t xml:space="preserve"> sędziowie,</w:t>
      </w:r>
      <w:r>
        <w:rPr>
          <w:lang w:val="pl"/>
        </w:rPr>
        <w:br/>
        <w:t xml:space="preserve">i Renata </w:t>
      </w:r>
      <w:proofErr w:type="spellStart"/>
      <w:r>
        <w:rPr>
          <w:lang w:val="pl"/>
        </w:rPr>
        <w:t>Degener</w:t>
      </w:r>
      <w:proofErr w:type="spellEnd"/>
      <w:r>
        <w:rPr>
          <w:lang w:val="pl"/>
        </w:rPr>
        <w:t xml:space="preserve">, </w:t>
      </w:r>
      <w:r>
        <w:rPr>
          <w:i/>
          <w:iCs/>
          <w:lang w:val="pl"/>
        </w:rPr>
        <w:t>zastępca kanclerza sekcji</w:t>
      </w:r>
      <w:r>
        <w:rPr>
          <w:lang w:val="pl"/>
        </w:rPr>
        <w:t>,</w:t>
      </w:r>
    </w:p>
    <w:p w14:paraId="4F0E856A" w14:textId="4126F6D0" w:rsidR="00F37411" w:rsidRPr="00CF29B1" w:rsidRDefault="00F37411" w:rsidP="009E131B">
      <w:pPr>
        <w:pStyle w:val="JuPara"/>
        <w:rPr>
          <w:lang w:val="pl-PL"/>
        </w:rPr>
      </w:pPr>
      <w:r>
        <w:rPr>
          <w:lang w:val="pl"/>
        </w:rPr>
        <w:t>uwzględniając wyżej wymienioną skargę wniesioną w</w:t>
      </w:r>
      <w:r w:rsidR="00CF29B1">
        <w:rPr>
          <w:lang w:val="pl"/>
        </w:rPr>
        <w:t> </w:t>
      </w:r>
      <w:r>
        <w:rPr>
          <w:lang w:val="pl"/>
        </w:rPr>
        <w:t>dniu</w:t>
      </w:r>
      <w:r w:rsidR="00CF29B1">
        <w:rPr>
          <w:lang w:val="pl"/>
        </w:rPr>
        <w:t> </w:t>
      </w:r>
      <w:r>
        <w:rPr>
          <w:lang w:val="pl"/>
        </w:rPr>
        <w:t>26</w:t>
      </w:r>
      <w:r w:rsidR="00CF29B1">
        <w:rPr>
          <w:lang w:val="pl"/>
        </w:rPr>
        <w:t> </w:t>
      </w:r>
      <w:r>
        <w:rPr>
          <w:lang w:val="pl"/>
        </w:rPr>
        <w:t>sierpnia</w:t>
      </w:r>
      <w:r w:rsidR="00CF29B1">
        <w:rPr>
          <w:lang w:val="pl"/>
        </w:rPr>
        <w:t> </w:t>
      </w:r>
      <w:r>
        <w:rPr>
          <w:lang w:val="pl"/>
        </w:rPr>
        <w:t>2019 r.,</w:t>
      </w:r>
    </w:p>
    <w:p w14:paraId="7B211C8E" w14:textId="77777777" w:rsidR="00F37411" w:rsidRPr="00CF29B1" w:rsidRDefault="00F37411" w:rsidP="009E131B">
      <w:pPr>
        <w:pStyle w:val="JuPara"/>
        <w:rPr>
          <w:lang w:val="pl-PL"/>
        </w:rPr>
      </w:pPr>
      <w:r>
        <w:rPr>
          <w:lang w:val="pl"/>
        </w:rPr>
        <w:t>uwzględniając uwagi przedstawione przez pozwany rząd oraz uwagi przedstawione w odpowiedzi przez skarżącą,</w:t>
      </w:r>
    </w:p>
    <w:p w14:paraId="405166C0" w14:textId="77777777" w:rsidR="00F37411" w:rsidRPr="00CF29B1" w:rsidRDefault="00F37411" w:rsidP="009E131B">
      <w:pPr>
        <w:pStyle w:val="JuPara"/>
        <w:rPr>
          <w:lang w:val="pl-PL"/>
        </w:rPr>
      </w:pPr>
      <w:r>
        <w:rPr>
          <w:lang w:val="pl"/>
        </w:rPr>
        <w:t>uwzględniając uwagi zgłoszone przez Eurobank-</w:t>
      </w:r>
      <w:proofErr w:type="spellStart"/>
      <w:r>
        <w:rPr>
          <w:lang w:val="pl"/>
        </w:rPr>
        <w:t>Ergasias</w:t>
      </w:r>
      <w:proofErr w:type="spellEnd"/>
      <w:r>
        <w:rPr>
          <w:lang w:val="pl"/>
        </w:rPr>
        <w:t>, który został upoważniony przez przewodniczącą sekcji do udziału w procedurze pisemnej w charakterze strony trzeciej (art. 36 ust. 2 Konwencji i Reguła 44 § 3 lit. a) Regulaminu Trybunału),</w:t>
      </w:r>
    </w:p>
    <w:p w14:paraId="0DDFB4A3" w14:textId="77777777" w:rsidR="00F37411" w:rsidRPr="00CF29B1" w:rsidRDefault="00F37411" w:rsidP="009E131B">
      <w:pPr>
        <w:pStyle w:val="JuPara"/>
        <w:rPr>
          <w:lang w:val="pl-PL"/>
        </w:rPr>
      </w:pPr>
      <w:r>
        <w:rPr>
          <w:lang w:val="pl"/>
        </w:rPr>
        <w:t>po obradach, wydaje następującą decyzję:</w:t>
      </w:r>
    </w:p>
    <w:p w14:paraId="5A217F5F" w14:textId="77777777" w:rsidR="00F37411" w:rsidRPr="009E131B" w:rsidRDefault="00F37411" w:rsidP="009E131B">
      <w:pPr>
        <w:pStyle w:val="JuHHead"/>
      </w:pPr>
      <w:r>
        <w:rPr>
          <w:bCs w:val="0"/>
          <w:lang w:val="pl"/>
        </w:rPr>
        <w:t>STAN FAKTYCZNY</w:t>
      </w:r>
    </w:p>
    <w:p w14:paraId="52203527" w14:textId="0EA414E1"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xml:space="preserve">.  Skarżąca, </w:t>
      </w:r>
      <w:proofErr w:type="spellStart"/>
      <w:r>
        <w:rPr>
          <w:lang w:val="pl"/>
        </w:rPr>
        <w:t>Xanthi</w:t>
      </w:r>
      <w:proofErr w:type="spellEnd"/>
      <w:r>
        <w:rPr>
          <w:lang w:val="pl"/>
        </w:rPr>
        <w:t xml:space="preserve"> </w:t>
      </w:r>
      <w:proofErr w:type="spellStart"/>
      <w:r>
        <w:rPr>
          <w:lang w:val="pl"/>
        </w:rPr>
        <w:t>A</w:t>
      </w:r>
      <w:r w:rsidRPr="00EC3427">
        <w:rPr>
          <w:u w:val="single"/>
          <w:lang w:val="pl"/>
        </w:rPr>
        <w:t>ntonopoul</w:t>
      </w:r>
      <w:r>
        <w:rPr>
          <w:lang w:val="pl"/>
        </w:rPr>
        <w:t>ou</w:t>
      </w:r>
      <w:proofErr w:type="spellEnd"/>
      <w:r>
        <w:rPr>
          <w:lang w:val="pl"/>
        </w:rPr>
        <w:t>, jest obywatelką Grecji urodzoną w</w:t>
      </w:r>
      <w:r w:rsidR="00CF29B1">
        <w:rPr>
          <w:lang w:val="pl"/>
        </w:rPr>
        <w:t> </w:t>
      </w:r>
      <w:r>
        <w:rPr>
          <w:lang w:val="pl"/>
        </w:rPr>
        <w:t xml:space="preserve">1957 r. i zamieszkałą w Salonikach. Jest reprezentowana przed Trybunałem przez V. </w:t>
      </w:r>
      <w:proofErr w:type="spellStart"/>
      <w:r>
        <w:rPr>
          <w:lang w:val="pl"/>
        </w:rPr>
        <w:t>Chirdaris</w:t>
      </w:r>
      <w:proofErr w:type="spellEnd"/>
      <w:r>
        <w:rPr>
          <w:lang w:val="pl"/>
        </w:rPr>
        <w:t xml:space="preserve"> i A. </w:t>
      </w:r>
      <w:proofErr w:type="spellStart"/>
      <w:r>
        <w:rPr>
          <w:lang w:val="pl"/>
        </w:rPr>
        <w:t>Noukę</w:t>
      </w:r>
      <w:proofErr w:type="spellEnd"/>
      <w:r>
        <w:rPr>
          <w:lang w:val="pl"/>
        </w:rPr>
        <w:t>, adwokatki praktykujące odpowiednio w Atenach i Salonikach.</w:t>
      </w:r>
    </w:p>
    <w:p w14:paraId="38A40A9C" w14:textId="6EA7A8EA"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xml:space="preserve">.  Rząd grecki („Rząd”) był reprezentowany przez delegatów swojego pełnomocnika, S. </w:t>
      </w:r>
      <w:proofErr w:type="spellStart"/>
      <w:r>
        <w:rPr>
          <w:lang w:val="pl"/>
        </w:rPr>
        <w:t>Charitaki</w:t>
      </w:r>
      <w:proofErr w:type="spellEnd"/>
      <w:r>
        <w:rPr>
          <w:lang w:val="pl"/>
        </w:rPr>
        <w:t>, doradczynię Państwowej Rady Prawnej, oraz Z.</w:t>
      </w:r>
      <w:r w:rsidR="00CF29B1">
        <w:rPr>
          <w:lang w:val="pl"/>
        </w:rPr>
        <w:t> </w:t>
      </w:r>
      <w:proofErr w:type="spellStart"/>
      <w:r>
        <w:rPr>
          <w:lang w:val="pl"/>
        </w:rPr>
        <w:t>Chatzipavlou</w:t>
      </w:r>
      <w:proofErr w:type="spellEnd"/>
      <w:r>
        <w:rPr>
          <w:lang w:val="pl"/>
        </w:rPr>
        <w:t xml:space="preserve"> i A. </w:t>
      </w:r>
      <w:proofErr w:type="spellStart"/>
      <w:r>
        <w:rPr>
          <w:lang w:val="pl"/>
        </w:rPr>
        <w:t>Magrippi</w:t>
      </w:r>
      <w:proofErr w:type="spellEnd"/>
      <w:r>
        <w:rPr>
          <w:lang w:val="pl"/>
        </w:rPr>
        <w:t>, członkinie Państwowej Rady Prawnej.</w:t>
      </w:r>
    </w:p>
    <w:p w14:paraId="0837DCAA" w14:textId="77777777" w:rsidR="00F37411" w:rsidRPr="00CF29B1" w:rsidRDefault="00F37411" w:rsidP="009E131B">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Stan faktyczny sprawy, przedstawiony przez strony, można podsumować w następujący sposób.</w:t>
      </w:r>
    </w:p>
    <w:p w14:paraId="62191F00" w14:textId="77777777" w:rsidR="00F37411" w:rsidRPr="00CF29B1" w:rsidRDefault="00F37411" w:rsidP="009E131B">
      <w:pPr>
        <w:pStyle w:val="JuHA"/>
        <w:rPr>
          <w:lang w:val="pl-PL"/>
        </w:rPr>
      </w:pPr>
      <w:r>
        <w:rPr>
          <w:lang w:val="pl"/>
        </w:rPr>
        <w:t>Zawarcie umowy kredytu i jej spłata</w:t>
      </w:r>
    </w:p>
    <w:p w14:paraId="78C73A82" w14:textId="1C7FF80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W celu nabycia mieszkania o powierzchni 63 m², skarżąca, która była właścicielką małej firmy rzemieślniczej, zawarła w dniu 2 stycznia 2007 r. z</w:t>
      </w:r>
      <w:r w:rsidR="00CF29B1">
        <w:rPr>
          <w:lang w:val="pl"/>
        </w:rPr>
        <w:t> </w:t>
      </w:r>
      <w:r>
        <w:rPr>
          <w:lang w:val="pl"/>
        </w:rPr>
        <w:t xml:space="preserve">Eurobank </w:t>
      </w:r>
      <w:proofErr w:type="spellStart"/>
      <w:r>
        <w:rPr>
          <w:lang w:val="pl"/>
        </w:rPr>
        <w:t>Ergasias</w:t>
      </w:r>
      <w:proofErr w:type="spellEnd"/>
      <w:r>
        <w:rPr>
          <w:lang w:val="pl"/>
        </w:rPr>
        <w:t xml:space="preserve"> („bank”), spółką prywatną, umowę kredytu na kwotę 243 225 franków szwajcarskich (co odpowiadało 150 000 euro (EUR) w dniu wypłaty w dniu 10 stycznia 2007 r.), obciążając mieszkanie hipoteką. Za radą banku zgodziła się na udzielenie kredytu we frankach szwajcarskich, ponieważ kurs franka szwajcarskiego do euro był od wielu lat bardzo stabilny. Umowa kredytu dawała skarżącej możliwość przewalutowania kredytu z franków szwajcarskich na euro (klauzula nr 4 załącznika I do umowy). Kredyt został również ubezpieczony od ryzyka śmierci lub całkowitej niezdolności do pracy skarżącej w zakładzie ubezpieczeń E. (spółka zależna banku) na mocy umowy zawartej w dniu 8 stycznia 2007 r. Skarżąca zawarła również z bankiem na okres trzech lat umowę polisy ubezpieczeniowej od ryzyka zmiany kursu walutowego.</w:t>
      </w:r>
    </w:p>
    <w:p w14:paraId="0E1C8291"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Umowa kredytu zawierała klauzulę nr 7 (</w:t>
      </w:r>
      <w:proofErr w:type="spellStart"/>
      <w:r>
        <w:rPr>
          <w:i/>
          <w:iCs/>
          <w:lang w:val="pl"/>
        </w:rPr>
        <w:t>γενικοί</w:t>
      </w:r>
      <w:proofErr w:type="spellEnd"/>
      <w:r>
        <w:rPr>
          <w:i/>
          <w:iCs/>
          <w:lang w:val="pl"/>
        </w:rPr>
        <w:t xml:space="preserve"> </w:t>
      </w:r>
      <w:proofErr w:type="spellStart"/>
      <w:r>
        <w:rPr>
          <w:i/>
          <w:iCs/>
          <w:lang w:val="pl"/>
        </w:rPr>
        <w:t>όροι</w:t>
      </w:r>
      <w:proofErr w:type="spellEnd"/>
      <w:r>
        <w:rPr>
          <w:i/>
          <w:iCs/>
          <w:lang w:val="pl"/>
        </w:rPr>
        <w:t xml:space="preserve"> </w:t>
      </w:r>
      <w:proofErr w:type="spellStart"/>
      <w:r>
        <w:rPr>
          <w:i/>
          <w:iCs/>
          <w:lang w:val="pl"/>
        </w:rPr>
        <w:t>συν</w:t>
      </w:r>
      <w:proofErr w:type="spellEnd"/>
      <w:r>
        <w:rPr>
          <w:i/>
          <w:iCs/>
          <w:lang w:val="pl"/>
        </w:rPr>
        <w:t>αλλαγών</w:t>
      </w:r>
      <w:r>
        <w:rPr>
          <w:lang w:val="pl"/>
        </w:rPr>
        <w:t xml:space="preserve"> – warunki ogólne), zgodnie z którą dłużniczka kredytu we frankach szwajcarskich przyjęła na siebie obowiązek wywiązania się ze swoich zobowiązań wobec banku bądź w walucie udzielenia kredytu, bądź w euro, ale na podstawie kursu tej ostatniej w walucie kredytu w dniu spłaty miesięcznych rat.</w:t>
      </w:r>
    </w:p>
    <w:p w14:paraId="76C9B988"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W momencie udzielania kredytu parytet między frankiem szwajcarskim a euro wynosił 1/1,6215, ale 4 lutego 2015 r. wynosił 1/1,0175. Skarżąca przez kilka lat spłacała miesięczne raty kredytu w euro, do 26 lutego 2015 r.</w:t>
      </w:r>
      <w:r>
        <w:rPr>
          <w:rStyle w:val="Odwoanieprzypisudolnego"/>
          <w:lang w:val="pl"/>
        </w:rPr>
        <w:footnoteReference w:id="1"/>
      </w:r>
      <w:r>
        <w:rPr>
          <w:lang w:val="pl"/>
        </w:rPr>
        <w:t>.</w:t>
      </w:r>
    </w:p>
    <w:p w14:paraId="33DF93D6" w14:textId="4597D17C"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W związku z niemożnością wywiązania się przez skarżącą z</w:t>
      </w:r>
      <w:r w:rsidR="00CF29B1">
        <w:rPr>
          <w:lang w:val="pl"/>
        </w:rPr>
        <w:t> </w:t>
      </w:r>
      <w:r>
        <w:rPr>
          <w:lang w:val="pl"/>
        </w:rPr>
        <w:t>obowiązków umownych od 24 sierpnia 2011 r., na skutek ślepoty i</w:t>
      </w:r>
      <w:r w:rsidR="00CF29B1">
        <w:rPr>
          <w:lang w:val="pl"/>
        </w:rPr>
        <w:t> </w:t>
      </w:r>
      <w:r>
        <w:rPr>
          <w:lang w:val="pl"/>
        </w:rPr>
        <w:t xml:space="preserve">zaprzestania działalności zawodowej, wystąpiła ona o zawarcie umowy regulującej spłatę kredytu i uzyskała ją. Ogółem zawarto cztery umowy zmieniające pierwotną umowę, odpowiednio, w dniach 29 grudnia 2010 r., </w:t>
      </w:r>
      <w:r>
        <w:rPr>
          <w:lang w:val="pl"/>
        </w:rPr>
        <w:lastRenderedPageBreak/>
        <w:t>22 sierpnia 2011 r., 2 stycznia 2012 r. i 21 stycznia 2015 r., przewidujące zmniejszenie kwoty wpłat lub zawieszenie ich płatności.</w:t>
      </w:r>
    </w:p>
    <w:p w14:paraId="23375548"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r>
        <w:rPr>
          <w:lang w:val="pl"/>
        </w:rPr>
        <w:t>.  Umowa z dnia 29 grudnia 2010 r. dawała skarżącej możliwość zmiany wysokości miesięcznej raty kredytu, poprzez a) obniżenie jej o 50%, b) podwyższenie o 100%, c) lub poprzez brak płatności miesięcznej – zaznaczono, że kurs waluty pozostanie taki, jak ustalony w umowie kredytu.</w:t>
      </w:r>
    </w:p>
    <w:p w14:paraId="1CCF6B26"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r>
        <w:rPr>
          <w:lang w:val="pl"/>
        </w:rPr>
        <w:t>.  W drodze umowy z dnia 22 sierpnia 2011 r. uzgodniono, że przez okres jednego roku (od 1 września 2011 r. do 1 sierpnia 2012 r.) skarżąca będzie płaciła obniżoną ratę miesięczną w wysokości 50%. Umowa z dnia 2 stycznia 2012 r. przewidywała zawieszenie płatności miesięcznych na okres sześciu miesięcy – do dnia 1 lipca 2012 r. Te dwie umowy spowodowały zwiększenie kapitału kredytu o 1 450,21 euro lub 1 725,76 franków szwajcarskich.</w:t>
      </w:r>
    </w:p>
    <w:p w14:paraId="5C4E48ED"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W dniu 23 maja 2012 r. skarżąca poinformowała bank o swojej niezdolności do pracy z powodu ślepoty i niemożności kontynuowania działalności zawodowej.</w:t>
      </w:r>
    </w:p>
    <w:p w14:paraId="425087CF" w14:textId="4A7ECD5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r>
        <w:rPr>
          <w:lang w:val="pl"/>
        </w:rPr>
        <w:t>.  W dniu 18 lipca 2012 r. na rachunek skarżącej wpłynęła, w ramach wyżej wymienionej umowy ubezpieczenia, kwota 182 726,31 franków szwajcarskich (153.473 euro) z przeznaczeniem na częściową spłatę kapitału kredytu pozostałego do spłaty w chwili wystąpienia niezdolności do pracy. Spłata kapitału była częściowa, ponieważ zgodnie z warunkami umowy ubezpieczenia suma, którą zakład ubezpieczeń miał wypłacić bankowi w</w:t>
      </w:r>
      <w:r w:rsidR="00CF29B1">
        <w:rPr>
          <w:lang w:val="pl"/>
        </w:rPr>
        <w:t> </w:t>
      </w:r>
      <w:r>
        <w:rPr>
          <w:lang w:val="pl"/>
        </w:rPr>
        <w:t>przypadku trwałej całkowitej niezdolności do pracy, stanowiłaby równowartość salda pozostałego do spłaty pierwotnej kwoty kredytu w dniu wystąpienia niezdolności do pracy</w:t>
      </w:r>
      <w:r>
        <w:rPr>
          <w:rStyle w:val="Odwoanieprzypisudolnego"/>
          <w:lang w:val="pl"/>
        </w:rPr>
        <w:footnoteReference w:id="2"/>
      </w:r>
      <w:r>
        <w:rPr>
          <w:lang w:val="pl"/>
        </w:rPr>
        <w:t>.</w:t>
      </w:r>
    </w:p>
    <w:p w14:paraId="2676F6A1" w14:textId="6243F674" w:rsidR="00F37411" w:rsidRPr="00CF29B1" w:rsidRDefault="00135500" w:rsidP="009E131B">
      <w:pPr>
        <w:pStyle w:val="JuH1"/>
        <w:rPr>
          <w:lang w:val="pl-PL"/>
        </w:rPr>
      </w:pPr>
      <w:r>
        <w:rPr>
          <w:bCs w:val="0"/>
          <w:lang w:val="pl"/>
        </w:rPr>
        <w:t>Twierdzenia</w:t>
      </w:r>
      <w:r w:rsidR="00F37411">
        <w:rPr>
          <w:bCs w:val="0"/>
          <w:lang w:val="pl"/>
        </w:rPr>
        <w:t xml:space="preserve"> skarżącej dotycząc</w:t>
      </w:r>
      <w:r>
        <w:rPr>
          <w:bCs w:val="0"/>
          <w:lang w:val="pl"/>
        </w:rPr>
        <w:t>e</w:t>
      </w:r>
      <w:r w:rsidR="00F37411">
        <w:rPr>
          <w:bCs w:val="0"/>
          <w:lang w:val="pl"/>
        </w:rPr>
        <w:t xml:space="preserve"> niektórych aspektów zawarcia umowy</w:t>
      </w:r>
    </w:p>
    <w:p w14:paraId="3CE03D94" w14:textId="5A6CC415"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r>
        <w:rPr>
          <w:lang w:val="pl"/>
        </w:rPr>
        <w:t>.  Skarżąca twierdzi, że kredyt został wypłacony w euro i był spłacany także w euro. Kredyt nie był więc pełnym kredytem walutowym, lecz kredytem denominowanym (ang. „</w:t>
      </w:r>
      <w:proofErr w:type="spellStart"/>
      <w:r>
        <w:rPr>
          <w:lang w:val="pl"/>
        </w:rPr>
        <w:t>denominated</w:t>
      </w:r>
      <w:proofErr w:type="spellEnd"/>
      <w:r>
        <w:rPr>
          <w:lang w:val="pl"/>
        </w:rPr>
        <w:t xml:space="preserve"> </w:t>
      </w:r>
      <w:proofErr w:type="spellStart"/>
      <w:r>
        <w:rPr>
          <w:lang w:val="pl"/>
        </w:rPr>
        <w:t>loan</w:t>
      </w:r>
      <w:proofErr w:type="spellEnd"/>
      <w:r>
        <w:rPr>
          <w:lang w:val="pl"/>
        </w:rPr>
        <w:t>”). Walutą wniosku o</w:t>
      </w:r>
      <w:r w:rsidR="00CF29B1">
        <w:rPr>
          <w:lang w:val="pl"/>
        </w:rPr>
        <w:t> </w:t>
      </w:r>
      <w:r>
        <w:rPr>
          <w:lang w:val="pl"/>
        </w:rPr>
        <w:t>udzielenie kredytu, wstępnej akceptacji przez bank i ostatecznej akceptacji było euro. W wewnętrznym dokumencie banku zatytułowanym „Procedura programu nieruchomości Swiss” podano, że walutą kredytu jest frank szwajcarski, bez odniesienia do dokładnej kwoty kredytu, która jest ustalana na etapie przygotowania oferty kredytu.</w:t>
      </w:r>
    </w:p>
    <w:p w14:paraId="01A72E5C" w14:textId="5AF03116"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r>
        <w:rPr>
          <w:lang w:val="pl"/>
        </w:rPr>
        <w:t>.  Skarżąca podkreśla, że bank uruchomił szeroko zakrojoną kampanię reklamową, aby zachęcić potencjalnych kredytobiorców do zaciągania kredytów mieszkaniowych we frankach szwajcarskich, w wyniku której w</w:t>
      </w:r>
      <w:r w:rsidR="00CF29B1">
        <w:rPr>
          <w:lang w:val="pl"/>
        </w:rPr>
        <w:t> </w:t>
      </w:r>
      <w:r>
        <w:rPr>
          <w:lang w:val="pl"/>
        </w:rPr>
        <w:t xml:space="preserve">latach 2007–2009 zaciągnięto liczne kredyty na łączną kwotę 6,5 mld. </w:t>
      </w:r>
      <w:r>
        <w:rPr>
          <w:lang w:val="pl"/>
        </w:rPr>
        <w:lastRenderedPageBreak/>
        <w:t>Celem tej kampanii, w której jako przynętę wykorzystano niską stopę procentową, nie było wyświadczenie klientom banku przysługi, lecz był to plan zapewnienia bankowi wielokrotnych zysków.</w:t>
      </w:r>
    </w:p>
    <w:p w14:paraId="05AA3FDD"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r>
        <w:rPr>
          <w:lang w:val="pl"/>
        </w:rPr>
        <w:t>.  Skarżąca twierdzi również, że nie otrzymała od banku żadnych informacji o ryzyku związanym z kursem walutowym, opatrzonych przykładami i w odrębnym piśmie, czego wymagają przepisy prawa bankowego. Ponadto bank nigdy nie twierdził przed sądami krajowymi, że takie informacje zostały przekazane skarżącej. Ten brak informacji, będący podejściem wspólnym dla kilku banków, spowodował reakcję niezależnego organu rzecznika praw konsumenta, który wydał zalecenia dla różnych banków.</w:t>
      </w:r>
    </w:p>
    <w:p w14:paraId="6F60BCDA"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r>
        <w:rPr>
          <w:lang w:val="pl"/>
        </w:rPr>
        <w:t>.  Skarżąca podkreśla, że umowa przewidywała spłatę miesięcznych rat w euro i że nigdy nie doszło do przeliczenia euro na franki szwajcarskie. Jeżeli doszło do przewalutowania na franki szwajcarskie, to miało ono wyłącznie charakter księgowy i nie zostało dokonane na polecenie skarżącej.</w:t>
      </w:r>
    </w:p>
    <w:p w14:paraId="6D39EC0A" w14:textId="7E8AE912"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r>
        <w:rPr>
          <w:lang w:val="pl"/>
        </w:rPr>
        <w:t>.  Skarżąca podnosi, że nie zwrócono jej uwagi na klauzulę nr</w:t>
      </w:r>
      <w:r w:rsidR="00CF29B1">
        <w:rPr>
          <w:lang w:val="pl"/>
        </w:rPr>
        <w:t> </w:t>
      </w:r>
      <w:r>
        <w:rPr>
          <w:lang w:val="pl"/>
        </w:rPr>
        <w:t>4</w:t>
      </w:r>
      <w:r w:rsidR="00CF29B1">
        <w:rPr>
          <w:lang w:val="pl"/>
        </w:rPr>
        <w:t> </w:t>
      </w:r>
      <w:r>
        <w:rPr>
          <w:lang w:val="pl"/>
        </w:rPr>
        <w:t>załącznika I do umowy, w której przewidziano możliwość przewalutowania kredytu z franków szwajcarskich na euro w dowolnym momencie. Możliwości tej nie dało się jednak zastosować w praktyce, ponieważ gdyby z niej skorzystano, przeliczenie nastąpiłoby według kursu z</w:t>
      </w:r>
      <w:r w:rsidR="00CF29B1">
        <w:rPr>
          <w:lang w:val="pl"/>
        </w:rPr>
        <w:t> </w:t>
      </w:r>
      <w:r>
        <w:rPr>
          <w:lang w:val="pl"/>
        </w:rPr>
        <w:t>dnia przeliczenia, a więc kursu niekorzystnego dla euro. Ponadto osoba taka jak skarżąca, nieposiadająca szczególnej wiedzy na temat zarządzania produktem bankowym, nie byłaby w stanie na bieżąco śledzić kursu wymiany walut, aby zażądać tego przeliczenia w korzystnym dla siebie momencie.</w:t>
      </w:r>
    </w:p>
    <w:p w14:paraId="62212B59"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r>
        <w:rPr>
          <w:lang w:val="pl"/>
        </w:rPr>
        <w:t>.  Skarżąca twierdzi, że wyciąg bankowy, który otrzymywała co miesiąc, nie ujawniał jej ryzyka kursowego, ponieważ zadłużenie (kapitał pozostały do spłaty i odsetki) było denominowane we frankach szwajcarskich, przez co wydawało się, iż kapitał pozostały do spłaty maleje, podczas gdy w rzeczywistości w przeliczeniu na euro wzrastał.</w:t>
      </w:r>
    </w:p>
    <w:p w14:paraId="2D88EEF1" w14:textId="170529A0" w:rsidR="00F37411" w:rsidRPr="00CF29B1" w:rsidRDefault="00135500" w:rsidP="009E131B">
      <w:pPr>
        <w:pStyle w:val="JuH1"/>
        <w:rPr>
          <w:lang w:val="pl-PL"/>
        </w:rPr>
      </w:pPr>
      <w:r>
        <w:rPr>
          <w:bCs w:val="0"/>
          <w:lang w:val="pl"/>
        </w:rPr>
        <w:t>Twierdzenia</w:t>
      </w:r>
      <w:r w:rsidR="00F37411">
        <w:rPr>
          <w:bCs w:val="0"/>
          <w:lang w:val="pl"/>
        </w:rPr>
        <w:t xml:space="preserve"> skarżącej dotycząc</w:t>
      </w:r>
      <w:r>
        <w:rPr>
          <w:bCs w:val="0"/>
          <w:lang w:val="pl"/>
        </w:rPr>
        <w:t>e</w:t>
      </w:r>
      <w:r w:rsidR="00F37411">
        <w:rPr>
          <w:bCs w:val="0"/>
          <w:lang w:val="pl"/>
        </w:rPr>
        <w:t xml:space="preserve"> zwiększenia kwoty do spłaty</w:t>
      </w:r>
    </w:p>
    <w:p w14:paraId="794365D2" w14:textId="058F9811"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r>
        <w:rPr>
          <w:lang w:val="pl"/>
        </w:rPr>
        <w:t>.  Skarżąca podkreśla, że jej kapitał kredytowy w wysokości 150 000 euro osiągnął w dniu 4 lutego 2015 r. kwotę 239 041,76 euro, przy uwzględnieniu faktu zmiany parytetu 1/1,6215 franków szwajcarskich na 1/1,0175 franków szwajcarskich. Wzrost pożyczonego kapitału nastąpił w</w:t>
      </w:r>
      <w:r w:rsidR="00CF29B1">
        <w:rPr>
          <w:lang w:val="pl"/>
        </w:rPr>
        <w:t> </w:t>
      </w:r>
      <w:r>
        <w:rPr>
          <w:lang w:val="pl"/>
        </w:rPr>
        <w:t>dwóch etapach i wyniósł 75,07%.</w:t>
      </w:r>
    </w:p>
    <w:p w14:paraId="29A61410" w14:textId="60AA45C5"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r>
        <w:rPr>
          <w:lang w:val="pl"/>
        </w:rPr>
        <w:t>.  Po pierwsze w dniu 12 stycznia 2007 r., po przyznaniu jej pożyczki, skarżąca otrzymała kwotę 150 000 euro. W dniu 24 sierpnia 2011 r., w</w:t>
      </w:r>
      <w:r w:rsidR="00CF29B1">
        <w:rPr>
          <w:lang w:val="pl"/>
        </w:rPr>
        <w:t> </w:t>
      </w:r>
      <w:r>
        <w:rPr>
          <w:lang w:val="pl"/>
        </w:rPr>
        <w:t xml:space="preserve">którym obliczono kapitał pozostały do spłaty w celu wypłaty odszkodowania ubezpieczeniowego, kapitał ten wynosił 191 502,52 euro (co wynika z dokumentu z dnia 29 maja 2012 r. przesłanego przez bank do zakładu ubezpieczeń). Zwiększenie kapitału wyniosło zatem 41 502,52 EUR. Od 12 stycznia 2007 r. do 24 sierpnia 2011 r. skarżąca spłaciła kwotę 20 397,56 euro, która jej zdaniem ostatecznie </w:t>
      </w:r>
      <w:r w:rsidR="00291F29">
        <w:rPr>
          <w:lang w:val="pl"/>
        </w:rPr>
        <w:t>zmalała</w:t>
      </w:r>
      <w:r>
        <w:rPr>
          <w:lang w:val="pl"/>
        </w:rPr>
        <w:t xml:space="preserve"> z uwagi na ciągłe </w:t>
      </w:r>
      <w:r>
        <w:rPr>
          <w:lang w:val="pl"/>
        </w:rPr>
        <w:lastRenderedPageBreak/>
        <w:t>zmiany kursu walutowego. Łącznie od 12 stycznia 2007 r. do 24</w:t>
      </w:r>
      <w:r w:rsidR="00CF29B1">
        <w:rPr>
          <w:lang w:val="pl"/>
        </w:rPr>
        <w:t> </w:t>
      </w:r>
      <w:r>
        <w:rPr>
          <w:lang w:val="pl"/>
        </w:rPr>
        <w:t>sierpnia</w:t>
      </w:r>
      <w:r w:rsidR="00CF29B1">
        <w:rPr>
          <w:lang w:val="pl"/>
        </w:rPr>
        <w:t> </w:t>
      </w:r>
      <w:r>
        <w:rPr>
          <w:lang w:val="pl"/>
        </w:rPr>
        <w:t>2011 r. zwiększenie kapitału wyniosło 61 900,08 euro (41 502,52 + 20 397,56), co odpowiada 41,26% w ciągu czterech lat obowiązywania umowy.</w:t>
      </w:r>
    </w:p>
    <w:p w14:paraId="635C7D81" w14:textId="78AB7AB2"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r>
        <w:rPr>
          <w:lang w:val="pl"/>
        </w:rPr>
        <w:t>.  Po drugie po wypłacie odszkodowania ubezpieczeniowego w dniu 20</w:t>
      </w:r>
      <w:r w:rsidR="00CF29B1">
        <w:rPr>
          <w:lang w:val="pl"/>
        </w:rPr>
        <w:t> </w:t>
      </w:r>
      <w:r>
        <w:rPr>
          <w:lang w:val="pl"/>
        </w:rPr>
        <w:t>lipca 2012 r. zaległe zadłużenie wynosiło 31 359,08 franków szwajcarskich (26 330,04 euro).</w:t>
      </w:r>
    </w:p>
    <w:p w14:paraId="6E47B9F1" w14:textId="370E5C44" w:rsidR="00F37411" w:rsidRPr="00CF29B1" w:rsidRDefault="00F37411" w:rsidP="009E131B">
      <w:pPr>
        <w:pStyle w:val="JuPara"/>
        <w:rPr>
          <w:lang w:val="pl-PL"/>
        </w:rPr>
      </w:pPr>
      <w:r>
        <w:rPr>
          <w:lang w:val="pl"/>
        </w:rPr>
        <w:t>Ponadto w okresie od 24 sierpnia 2011 r. do daty sporządzenia wniosku o wszczęcie postępowania przed sądem w Salonikach (zob. paragraf 26 poniżej), w dniu 4 lutego 2015 r. wpłaciła kwotę 7 907,40 euro na poczet spłaty kapitału, ale wspomniana wyżej kwota 26 330,04 euro nie tylko nie uległa zmniejszeniu, lecz została zwiększona do 27 306,97 euro. Nastąpiło zatem dalsze zwiększenie kapitału o 8 904,33 EUR (976,93 + 907,40), odpowiadające 33,81% w ciągu dwóch i pół roku (od 20 lipca 2012 do 4</w:t>
      </w:r>
      <w:r w:rsidR="00CF29B1">
        <w:rPr>
          <w:lang w:val="pl"/>
        </w:rPr>
        <w:t> </w:t>
      </w:r>
      <w:r>
        <w:rPr>
          <w:lang w:val="pl"/>
        </w:rPr>
        <w:t>lutego 2015 r.).</w:t>
      </w:r>
    </w:p>
    <w:p w14:paraId="50B54AF6"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r>
        <w:rPr>
          <w:lang w:val="pl"/>
        </w:rPr>
        <w:t>.  Skarżąca twierdzi, że od 4 lutego 2015 r. do 2 stycznia 2020 r. wpłaciła dodatkowo 929,94 franków szwajcarskich tytułem odsetek oraz 7 597,82 franków szwajcarskich tytułem kapitału (odpowiednio 867,57 euro i 7 076,17 euro).</w:t>
      </w:r>
    </w:p>
    <w:p w14:paraId="5609954F" w14:textId="38DA540C" w:rsidR="00F37411" w:rsidRPr="00CF29B1" w:rsidRDefault="00291F29" w:rsidP="009E131B">
      <w:pPr>
        <w:pStyle w:val="JuH1"/>
        <w:rPr>
          <w:lang w:val="pl-PL"/>
        </w:rPr>
      </w:pPr>
      <w:r>
        <w:rPr>
          <w:bCs w:val="0"/>
          <w:lang w:val="pl"/>
        </w:rPr>
        <w:t>Twierdzenia</w:t>
      </w:r>
      <w:r w:rsidR="00F37411">
        <w:rPr>
          <w:bCs w:val="0"/>
          <w:lang w:val="pl"/>
        </w:rPr>
        <w:t xml:space="preserve"> Rządu dotycząc</w:t>
      </w:r>
      <w:r>
        <w:rPr>
          <w:bCs w:val="0"/>
          <w:lang w:val="pl"/>
        </w:rPr>
        <w:t>e</w:t>
      </w:r>
      <w:r w:rsidR="00F37411">
        <w:rPr>
          <w:bCs w:val="0"/>
          <w:lang w:val="pl"/>
        </w:rPr>
        <w:t xml:space="preserve"> zwiększenia kwoty do spłaty przez skarżącą</w:t>
      </w:r>
    </w:p>
    <w:p w14:paraId="48B1DEA7"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r>
        <w:rPr>
          <w:lang w:val="pl"/>
        </w:rPr>
        <w:t>.  Rząd potwierdził, że zakład ubezpieczeń zwrócił 153 473 euro, co stanowiło kwotę kapitału, który byłby należny w momencie wystąpienia niezdolności do pracy skarżącej, gdyby pierwotna umowa nie została zmieniona. W związku z tym nadal zaległa należność główna (o której uznanie za nieistniejącą skarżąca zwróciła się do sądów krajowych) wynosiła na dzień 4 lutego 2015 r. 27 784,85 franków szwajcarskich albo 27 306,97 euro.</w:t>
      </w:r>
    </w:p>
    <w:p w14:paraId="6AB7762C" w14:textId="246993A8"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r>
        <w:rPr>
          <w:lang w:val="pl"/>
        </w:rPr>
        <w:t>.  W rezultacie, zdaniem Rządu, do 4 lutego 2015 r. spłacono 177 821,91 euro z tytułu kapitału kredytu, z czego 24 348,91 euro spłaciła skarżąca, a</w:t>
      </w:r>
      <w:r w:rsidR="00CF29B1">
        <w:rPr>
          <w:lang w:val="pl"/>
        </w:rPr>
        <w:t> </w:t>
      </w:r>
      <w:r>
        <w:rPr>
          <w:lang w:val="pl"/>
        </w:rPr>
        <w:t>153 473 euro – zakład ubezpieczeń. W tym samym dniu kwota główna pozostałego do spłaty kredytu wynosiła 27 784,85 franków szwajcarskich, co według skarżącej odpowiadało kwocie 27 306,97 euro lub 26 962,49 euro, zależnie od banku.</w:t>
      </w:r>
    </w:p>
    <w:p w14:paraId="1B3D5718"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r>
        <w:rPr>
          <w:lang w:val="pl"/>
        </w:rPr>
        <w:t>.  W związku z tym na dzień 4 lutego 2015 r. łączna kwota spłaconego i pozostałego do spłaty kapitału wynosiła około 205 000 euro (177 821,91 + 27 306,97). Zwiększenie pożyczonego kapitału wyniosło zatem około 55 000 euro, czyli 1/3, a nie 60% jak utrzymuje skarżąca.</w:t>
      </w:r>
    </w:p>
    <w:p w14:paraId="1B42F6C8" w14:textId="77777777" w:rsidR="00F37411" w:rsidRPr="009E131B" w:rsidRDefault="00F37411" w:rsidP="009E131B">
      <w:pPr>
        <w:pStyle w:val="JuHA"/>
      </w:pPr>
      <w:r>
        <w:rPr>
          <w:lang w:val="pl"/>
        </w:rPr>
        <w:t>Postępowanie przed sądami krajowymi</w:t>
      </w:r>
    </w:p>
    <w:p w14:paraId="73021FEF" w14:textId="79B647B5"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r>
        <w:rPr>
          <w:lang w:val="pl"/>
        </w:rPr>
        <w:t>.  W dniu 18 lutego 2015 r., powołując się na ustawę nr 2251/1994 o</w:t>
      </w:r>
      <w:r w:rsidR="00CF29B1">
        <w:rPr>
          <w:lang w:val="pl"/>
        </w:rPr>
        <w:t> </w:t>
      </w:r>
      <w:r>
        <w:rPr>
          <w:lang w:val="pl"/>
        </w:rPr>
        <w:t xml:space="preserve">ochronie konsumentów, skarżąca wniosła do sądu pierwszej instancji </w:t>
      </w:r>
      <w:r>
        <w:rPr>
          <w:lang w:val="pl"/>
        </w:rPr>
        <w:lastRenderedPageBreak/>
        <w:t>w</w:t>
      </w:r>
      <w:r w:rsidR="00CF29B1">
        <w:rPr>
          <w:lang w:val="pl"/>
        </w:rPr>
        <w:t> </w:t>
      </w:r>
      <w:r>
        <w:rPr>
          <w:lang w:val="pl"/>
        </w:rPr>
        <w:t>Salonikach skargę przeciwko bankowi, żądając: a) uznania klauzuli zawartej w umowie kredytu, przewidującej możliwość spłaty zadłużenia w</w:t>
      </w:r>
      <w:r w:rsidR="00CF29B1">
        <w:rPr>
          <w:lang w:val="pl"/>
        </w:rPr>
        <w:t> </w:t>
      </w:r>
      <w:r>
        <w:rPr>
          <w:lang w:val="pl"/>
        </w:rPr>
        <w:t>euro na podstawie parytetu z frankiem szwajcarskim według kursu obowiązującego w dniu spłaty, za nieważną jako nieuczciwą; b) uznania kursu wymiany obu walut obowiązującego w dniu wypłaty kredytu, a</w:t>
      </w:r>
      <w:r w:rsidR="00CF29B1">
        <w:rPr>
          <w:lang w:val="pl"/>
        </w:rPr>
        <w:t> </w:t>
      </w:r>
      <w:r>
        <w:rPr>
          <w:lang w:val="pl"/>
        </w:rPr>
        <w:t>mianowicie parytetu 1 euro = 1,6215 franków szwajcarskich , za jedyną możliwą metodę przeliczenia kwoty należnej we frankach szwajcarskich na euro; c) uznania, że nie jest już winna bankowi dodatkowych kwot na podstawie spornej umowy kredytu, a bank nie ma wobec niej żadnych roszczeń pieniężnych z tytułu tej umowy. Uzasadniając swoją legitymację procesową powołała się na nadmierne obciążenie finansowe wynikające z</w:t>
      </w:r>
      <w:r w:rsidR="00CF29B1">
        <w:rPr>
          <w:lang w:val="pl"/>
        </w:rPr>
        <w:t> </w:t>
      </w:r>
      <w:r>
        <w:rPr>
          <w:lang w:val="pl"/>
        </w:rPr>
        <w:t>funkcjonowania spornej umowy kredytu.</w:t>
      </w:r>
    </w:p>
    <w:p w14:paraId="33900664"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r>
        <w:rPr>
          <w:lang w:val="pl"/>
        </w:rPr>
        <w:t>.  Wyrokiem nr 8713/2016 z 2016 r. sąd uznał, co następuje:</w:t>
      </w:r>
    </w:p>
    <w:p w14:paraId="3751F9D4" w14:textId="77777777" w:rsidR="00F37411" w:rsidRPr="00CF29B1" w:rsidRDefault="00F37411" w:rsidP="009E131B">
      <w:pPr>
        <w:pStyle w:val="JuQuot"/>
        <w:rPr>
          <w:lang w:val="pl-PL"/>
        </w:rPr>
      </w:pPr>
      <w:r>
        <w:rPr>
          <w:lang w:val="pl"/>
        </w:rPr>
        <w:t>„[...] żądanie zawarte w punkcie a) pozwu, w którym poruszono kwestię nieważności klauzuli umownej [...] przedmiotowej umowy, z tego tylko powodu, że jest ona sprzeczna z art. 2 ust. 1, 6 i 7 ustawy nr 2251/1994 oraz 281 Kodeksu cywilnego, należy oddalić jako pozbawione podstaw prawnych. Klauzula ta [...] jest bowiem jedną z deklaratoryjnych klauzul umowy, jak słusznie podnosi pozwany, gdyż obejmuje powtórzony przepis art. 291 Kodeksu cywilnego, nie wprowadzając od niego odstępstwa ani nie uzupełniając go o dodatkowe regulacje; nie może zatem podlegać kontroli sądowej zgodnie z wyraźnym nakazem dyrektywy 93/13/EWG [...] przewidującym, że z jej zakresu wyłączone są klauzule umowne, które odzwierciedlają przepisy prawa krajowego o charakterze dyspozytywnym, ale nie zmieniają ich treści ani zakresu zastosowania. W każdym razie klauzula ta nie jest nieuczciwa, a jej treść nie jest niejasna, zważywszy, że oznaczenie świadczenia (miesięczna wypłata lub całość niezwróconego kapitału) nie jest w tym przypadku niejasne, lecz dostatecznie określone, a jego dokładne zobrazowanie jest kwestią prostego rachunku matematycznego, zważywszy, że kurs waluty przy sprzedaży jest obiektywnym miernikiem, który można obliczyć [...] W świetle powyższego oraz zważywszy, że roszczenia zawarte w punktach b) i c) również zakładają nieważność wyżej wymienionej klauzuli i opierają się na tej nieważności, której jednak nie uznano, również te roszczenia należy oddalić z tych samych powodów, co prowadzi do oddalenia powództwa w całości”.</w:t>
      </w:r>
    </w:p>
    <w:p w14:paraId="5EEA0923" w14:textId="71B67DB4"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r>
        <w:rPr>
          <w:lang w:val="pl"/>
        </w:rPr>
        <w:t>.  Skarżąca nie wniosła apelacji od powyższego wyroku, lecz w dniu 3</w:t>
      </w:r>
      <w:r w:rsidR="00CF29B1">
        <w:rPr>
          <w:lang w:val="pl"/>
        </w:rPr>
        <w:t> </w:t>
      </w:r>
      <w:r>
        <w:rPr>
          <w:lang w:val="pl"/>
        </w:rPr>
        <w:t>lutego 2017 r. odwołała się bezpośrednio do sądu kasacyjnego. Skarżąca podniosła, że przyjmując, iż sporna klauzula umowy kredytu ma charakter deklaratoryjny i jako taka nie może być poddana kontroli pod kątem nieuczciwości, sąd pierwszej instancji dokonał błędnej wykładni i błędnego zastosowania przepisów ustawy nr 2251/1994 oraz błędnie zastosował art.</w:t>
      </w:r>
      <w:r w:rsidR="00CF29B1">
        <w:rPr>
          <w:lang w:val="pl"/>
        </w:rPr>
        <w:t> </w:t>
      </w:r>
      <w:r>
        <w:rPr>
          <w:lang w:val="pl"/>
        </w:rPr>
        <w:t>1</w:t>
      </w:r>
      <w:r w:rsidR="00CF29B1">
        <w:rPr>
          <w:lang w:val="pl"/>
        </w:rPr>
        <w:t> </w:t>
      </w:r>
      <w:r>
        <w:rPr>
          <w:lang w:val="pl"/>
        </w:rPr>
        <w:t xml:space="preserve">ust. 2 dyrektywy 93/13/EWG, która nie została </w:t>
      </w:r>
      <w:r w:rsidR="003149EA">
        <w:rPr>
          <w:lang w:val="pl"/>
        </w:rPr>
        <w:t>implementowana</w:t>
      </w:r>
      <w:r>
        <w:rPr>
          <w:lang w:val="pl"/>
        </w:rPr>
        <w:t xml:space="preserve"> do prawa krajowego. Zarzuciła także błędną wykładnię i błędne zastosowanie art. 291 Kodeksu cywilnego oraz nieuwzględnienie okoliczności faktycznych, które według skarżącej stanowiły podstawę zarzutu nieuczciwości (brak informacji, naruszenie zasady jawności itd.).</w:t>
      </w:r>
    </w:p>
    <w:p w14:paraId="536D7CB9" w14:textId="77777777" w:rsidR="00F37411" w:rsidRPr="00CF29B1" w:rsidRDefault="00F37411" w:rsidP="009E131B">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28</w:t>
      </w:r>
      <w:r>
        <w:rPr>
          <w:lang w:val="pl"/>
        </w:rPr>
        <w:fldChar w:fldCharType="end"/>
      </w:r>
      <w:r>
        <w:rPr>
          <w:lang w:val="pl"/>
        </w:rPr>
        <w:t>.  Uznając, że sprawa dotyczy kwestii interesu publicznego, orzeczeniem nr 884/2018 pierwsza izba sądu kasacyjnego przekazała ją do rozpoznania pełnemu składowi sądu.</w:t>
      </w:r>
    </w:p>
    <w:p w14:paraId="2A56AC76" w14:textId="58ECA51E"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29</w:t>
      </w:r>
      <w:r>
        <w:rPr>
          <w:lang w:val="pl"/>
        </w:rPr>
        <w:fldChar w:fldCharType="end"/>
      </w:r>
      <w:r>
        <w:rPr>
          <w:lang w:val="pl"/>
        </w:rPr>
        <w:t>.  </w:t>
      </w:r>
      <w:r w:rsidR="003149EA">
        <w:rPr>
          <w:lang w:val="pl"/>
        </w:rPr>
        <w:t>Po stronie</w:t>
      </w:r>
      <w:r>
        <w:rPr>
          <w:lang w:val="pl"/>
        </w:rPr>
        <w:t xml:space="preserve"> skarżącej do postępowania przystąpiło stowarzyszenie ochrony konsumentów oraz dwie osoby fizyczne.</w:t>
      </w:r>
    </w:p>
    <w:p w14:paraId="5A22E9E1" w14:textId="0A8215DE"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r>
        <w:rPr>
          <w:lang w:val="pl"/>
        </w:rPr>
        <w:t xml:space="preserve">.  Wyrokiem nr 4/2019 sąd kasacyjny oddalił </w:t>
      </w:r>
      <w:r w:rsidR="003149EA">
        <w:rPr>
          <w:lang w:val="pl"/>
        </w:rPr>
        <w:t>kasację</w:t>
      </w:r>
      <w:r>
        <w:rPr>
          <w:lang w:val="pl"/>
        </w:rPr>
        <w:t xml:space="preserve"> skarżącej (39 głosami do 5 oraz 33 głosami do 11, w zależności od zarzutów kasacyjnych).</w:t>
      </w:r>
    </w:p>
    <w:p w14:paraId="087353BA" w14:textId="7B239F3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r>
        <w:rPr>
          <w:lang w:val="pl"/>
        </w:rPr>
        <w:t>.  Sąd kasacyjny uznał, że przyjmując, iż wyłączenie klauzul deklaratoryjnych z kontroli nieuczciwości wynikało z „wyraźnego nakazu dyrektywy 93/13/EWG”, sąd pierwszej instancji nie popełnił błędu, ponieważ nawet jeśli wyłączenie to nie zostało wyraźnie przeniesione na grunt prawa krajowego przez ustawę nr 2251/1994, to znalazło w nim odzwierciedlenie w</w:t>
      </w:r>
      <w:r w:rsidR="00CF29B1">
        <w:rPr>
          <w:lang w:val="pl"/>
        </w:rPr>
        <w:t> </w:t>
      </w:r>
      <w:r>
        <w:rPr>
          <w:lang w:val="pl"/>
        </w:rPr>
        <w:t>art. 2 ust. 6 ustawy nr 2251/1994 w drodze wykładni prawa wspólnotowego zgodnej z celem dyrektywy. Sąd kasacyjny uznał, że sąd pierwszej instancji, który twierdził, że sporna klauzula umowy kredytu stanowi klauzulę deklaratoryjną, gdyż odzwierciedla przepis art. 291 Kodeksu cywilnego i</w:t>
      </w:r>
      <w:r w:rsidR="00CF29B1">
        <w:rPr>
          <w:lang w:val="pl"/>
        </w:rPr>
        <w:t> </w:t>
      </w:r>
      <w:r>
        <w:rPr>
          <w:lang w:val="pl"/>
        </w:rPr>
        <w:t>oddalił powództwo skarżącej jako pozbawione podstaw, dokonał prawidłowej wykładni i zastosowania odpowiednich przepisów prawa krajowego (art. 291, 305 i 306 Kodeksu cywilnego oraz art. 2 ust. 6 ustawy nr 2251/1994 w związku z dyrektywą 93/13/EWG).</w:t>
      </w:r>
    </w:p>
    <w:p w14:paraId="4B5FCB21" w14:textId="77777777" w:rsidR="00F37411" w:rsidRPr="00CF29B1" w:rsidRDefault="00F37411" w:rsidP="009E131B">
      <w:pPr>
        <w:pStyle w:val="JuPara"/>
        <w:rPr>
          <w:lang w:val="pl-PL"/>
        </w:rPr>
      </w:pPr>
      <w:r>
        <w:rPr>
          <w:lang w:val="pl"/>
        </w:rPr>
        <w:t>W szczególności sąd kasacyjny stwierdził:</w:t>
      </w:r>
    </w:p>
    <w:p w14:paraId="3500928C" w14:textId="36CA2945" w:rsidR="00F37411" w:rsidRPr="00CF29B1" w:rsidRDefault="00F37411" w:rsidP="009E131B">
      <w:pPr>
        <w:pStyle w:val="JuQuot"/>
        <w:rPr>
          <w:lang w:val="pl-PL"/>
        </w:rPr>
      </w:pPr>
      <w:r>
        <w:rPr>
          <w:lang w:val="pl"/>
        </w:rPr>
        <w:t>„[...] Z [art. 1 ust. 2 dyrektywy 93/13/EWG i motywu 3 jej preambuły] wynika, że warunki umowne, które odzwierciedlają, tj. odtwarzają znaczenie przepisów państwa członkowskiego lub są z nimi identyczne, z definicji nie wchodzą w zakres stosowania dyrektywy i w związku z tym nie podlegają kontroli jako ogólne warunki handlowe pod kątem nieuczciwości, ponieważ to, co jest przewidziane jako warunek umowny, byłoby ważne w każdym przypadku, nawet gdyby ta klauzula nie istniała. Powodem tego wyłączenia jest fakt, że przepisy krajowe z definicji nie zawierają nieuczciwych warunków, ponieważ ustawodawca dokonał już wyważenia interesów stron, a takie wyważenie nie może być nieuczciwe. W przeciwnym razie kontrola nieuczciwości takich warunków oznaczałaby w rzeczywistości kontrolę celowości prac legislacyjnych przez sądy, co jest sprzeczne z zasadą podziału władz (art. 26 Konstytucji). Klauzule te, zwane klauzulami »deklaratoryjnymi«, mogą odzwierciedlać nie tylko bezwzględnie obowiązujące przepisy ustawowe lub wykonawcze, lecz także przepisy prawa o</w:t>
      </w:r>
      <w:r w:rsidR="00CF29B1">
        <w:rPr>
          <w:lang w:val="pl"/>
        </w:rPr>
        <w:t> </w:t>
      </w:r>
      <w:r>
        <w:rPr>
          <w:lang w:val="pl"/>
        </w:rPr>
        <w:t>charakterze dyspozytywnym, co wyraźnie stwierdzono w motywie 13 preambuły, zatem odniesienie w art. 1 ust. 2 dyrektywy do »obowiązujących przepisów ustawowych lub wykonawczych« nie stanowi ścisłego użycia zastosowanych terminów prawnych [...]</w:t>
      </w:r>
    </w:p>
    <w:p w14:paraId="7202CB5D" w14:textId="3C657D5D" w:rsidR="00F37411" w:rsidRPr="00CF29B1" w:rsidRDefault="00F37411" w:rsidP="009E131B">
      <w:pPr>
        <w:pStyle w:val="JuQuot"/>
        <w:rPr>
          <w:lang w:val="pl-PL"/>
        </w:rPr>
      </w:pPr>
      <w:r>
        <w:rPr>
          <w:lang w:val="pl"/>
        </w:rPr>
        <w:t>Ponadto prawdą jest, że wyłączenie klauzul deklaratoryjnych z kontroli nieuczciwości nie zostało w sposób wyraźny przeniesione na grunt prawa krajowego ustawą nr</w:t>
      </w:r>
      <w:r w:rsidR="00CF29B1">
        <w:rPr>
          <w:lang w:val="pl"/>
        </w:rPr>
        <w:t> </w:t>
      </w:r>
      <w:r>
        <w:rPr>
          <w:lang w:val="pl"/>
        </w:rPr>
        <w:t xml:space="preserve">2251/1994, która transponuje dyrektywę 93/13 do prawa greckiego. Jednakże pomimo braku takiej transpozycji w drodze konkretnego i wyraźnego przepisu, należy przyznać, że znajduje on odzwierciedlenie w art. 2 ust. 6 ustawy nr 2251/1994 poprzez skutek w postaci interpretacji zgodnej z prawem wspólnotowym. [...] Aby zatem ogólny warunek sprzedaży można było uznać za nieuczciwy, musiałby powodować »znaczącą nierównowagę wynikających z umowy, praw i obowiązków stron ze szkodą dla konsumenta«. Jeżeli jednak dany warunek odzwierciedla przepis prawa krajowego, czy to bezwzględnie obowiązujący, czy też o charakterze dyspozytywnym, nie można </w:t>
      </w:r>
      <w:r>
        <w:rPr>
          <w:lang w:val="pl"/>
        </w:rPr>
        <w:lastRenderedPageBreak/>
        <w:t>mówić o naruszeniu równowagi między stronami ani o nieuczciwym warunku umownym.</w:t>
      </w:r>
    </w:p>
    <w:p w14:paraId="7040AC10" w14:textId="77777777" w:rsidR="00F37411" w:rsidRPr="00CF29B1" w:rsidRDefault="00F37411" w:rsidP="009E131B">
      <w:pPr>
        <w:pStyle w:val="JuQuot"/>
        <w:rPr>
          <w:lang w:val="pl-PL"/>
        </w:rPr>
      </w:pPr>
      <w:r>
        <w:rPr>
          <w:lang w:val="pl"/>
        </w:rPr>
        <w:t>Umowa kredytu mieszkaniowego w walucie obcej zawarta między stronami zawiera w szczególności zapis, że dłużnik jest zobowiązany do wywiązania się ze swoich zobowiązań wobec banku albo w walucie przyznania kredytu, albo w euro na podstawie kursu tej ostatniej z walutą obcą w dniu spłaty. Powstaje zatem pytanie, czy klauzula ta ma charakter »deklaratoryjny«, tzn. czy jest tożsama z przepisami prawa krajowego, czy też odzwierciedla treść takich przepisów, niezależnie od tego, czy mają one charakter bezwzględnie obowiązujący, czy o charakterze dyspozytywnym. W istocie art. 291 Kodeksu cywilnego stanowi: [...]. Wynika z tego, że dłużnik [...] ma możliwość spłaty swojego długu albo w walucie obcej kredytu, albo w walucie miejscowej na podstawie kursu tej ostatniej z walutą obcą w dniu i miejscu spłaty [...]. W tym przypadku mamy zatem do czynienia z długiem w walucie obcej, ale dłużnik ma możliwość [...] spłacenia go w walucie miejscowej na podstawie kursu waluty lokalnej z walutą obcą z dnia [...] spłaty. Taka klauzula w umowie kredytu zawartej pomiędzy bankiem a kredytobiorcą [...] odzwierciedla treść przepisu art. 291 Kodeksu cywilnego, a zatem, zgodnie z wyżej wymienionymi przesłankami, nie można mówić o naruszeniu równowagi pomiędzy stronami czy nieuczciwym warunku.</w:t>
      </w:r>
    </w:p>
    <w:p w14:paraId="7C15D69F" w14:textId="77777777" w:rsidR="00F37411" w:rsidRPr="00CF29B1" w:rsidRDefault="00F37411" w:rsidP="009E131B">
      <w:pPr>
        <w:pStyle w:val="JuQuot"/>
        <w:rPr>
          <w:lang w:val="pl-PL"/>
        </w:rPr>
      </w:pPr>
      <w:r>
        <w:rPr>
          <w:lang w:val="pl"/>
        </w:rPr>
        <w:t>Wymienienie w tej klauzuli obowiązku dłużnika do wywiązania się ze zobowiązań wobec banku albo w walucie, w której udzielono kredytu, albo w euro [...], nie stanowi obowiązkowej alternatywy w rozumieniu art. 205 i nast. Kodeksu cywilnego, mimo użycia pojęcia »zobowiązanie«, ponieważ jest on winien tylko jedno świadczenie – to w walucie obcej, i ma jedynie możliwość wyboru wywiązania się z niego albo w tej walucie, albo w euro, ale po kursie obowiązującym w dniu spłaty. [...]”.</w:t>
      </w:r>
    </w:p>
    <w:p w14:paraId="6CD798DB" w14:textId="03FD08F1"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r>
        <w:rPr>
          <w:lang w:val="pl"/>
        </w:rPr>
        <w:t>.  Mniejszość pięciu członków składu orzekającego uznała, że wobec faktu, iż wyłączenie spornej klauzuli spod kontroli nieuczciwości nie zostało wyraźnie przeniesione do prawa krajowego ustawą nr 2251/1994, nie można uznać – nawet w drodze wykładni – że objęcie klauzuli kontrolą zostało włączone do regulacji przewidzianej w tej ustawie, ponieważ gdyby ustawodawca chciał dokonać transpozycji, zrobiłby to. Mniejszość składu sędziowskiego podkreśliła również, że w każdym przypadku wyjątkom od zasady nieuczciwości w odniesieniu do takich warunków umownych należy nadać wykładnię z</w:t>
      </w:r>
      <w:r w:rsidR="0083274E">
        <w:rPr>
          <w:lang w:val="pl"/>
        </w:rPr>
        <w:t>a</w:t>
      </w:r>
      <w:r>
        <w:rPr>
          <w:lang w:val="pl"/>
        </w:rPr>
        <w:t>wężającą. W szczególności mniejszość wyjaśniła swoje rozumowanie w następujący sposób:</w:t>
      </w:r>
    </w:p>
    <w:p w14:paraId="260FF695" w14:textId="019FB41E" w:rsidR="00F37411" w:rsidRPr="00CF29B1" w:rsidRDefault="00F37411" w:rsidP="009E131B">
      <w:pPr>
        <w:pStyle w:val="JuQuot"/>
        <w:rPr>
          <w:lang w:val="pl-PL"/>
        </w:rPr>
      </w:pPr>
      <w:r>
        <w:rPr>
          <w:lang w:val="pl"/>
        </w:rPr>
        <w:t>„Jest to uzasadnione tym, że dyrektywa 93/13/EWG częściowo zharmonizowała krajowe przepisy dotyczące nieuczciwych warunków, co wynika z pkt 12 jej preambuły, a jej art. 8 upoważnia państwa członkowskie do wprowadzenia lub utrzymania [...] bardziej rygorystycznych przepisów prawnych zgodnych z Traktatem, aby zapewnić lepszą ochronę konsumentów. Osiąga się to poprzez transpozycję przepisów dyrektywy, ograniczających zakres ochrony konsumentów, jak ma to miejsce w przypadku art. 1 ust. 2 omawianej dyrektywy, który nie został przeniesiony do prawa krajowego pomimo kolejnych nowelizacji ustawy nr 2251/1994. W związku z tym, że celowo pominięto transpozycję do prawa krajowego wyjątku z art. 1 ust. 2 omawianej dyrektywy, dyrektywa [...] nie wywiera bezpośredniego skutku horyzontalnego między osobami fizycznymi, a wykładnia prawa krajowego oraz art.</w:t>
      </w:r>
      <w:r w:rsidR="00CF29B1">
        <w:rPr>
          <w:lang w:val="pl"/>
        </w:rPr>
        <w:t> </w:t>
      </w:r>
      <w:r>
        <w:rPr>
          <w:lang w:val="pl"/>
        </w:rPr>
        <w:t>2</w:t>
      </w:r>
      <w:r w:rsidR="00CF29B1">
        <w:rPr>
          <w:lang w:val="pl"/>
        </w:rPr>
        <w:t> </w:t>
      </w:r>
      <w:r>
        <w:rPr>
          <w:lang w:val="pl"/>
        </w:rPr>
        <w:t xml:space="preserve">ust. 6 ustawy nr 2251/1994 zgodnie z duchem i celem dyrektywy nie jest możliwa: taka wykładnia prowadziłaby do zmniejszenia ochrony konsumentów, do której dążył ustawodawca [...], a zatem stanowiłaby niedopuszczalną wykładnię </w:t>
      </w:r>
      <w:r>
        <w:rPr>
          <w:i/>
          <w:iCs/>
          <w:lang w:val="pl"/>
        </w:rPr>
        <w:t xml:space="preserve">contra legem </w:t>
      </w:r>
      <w:r>
        <w:rPr>
          <w:lang w:val="pl"/>
        </w:rPr>
        <w:t>prawa krajowego”.</w:t>
      </w:r>
    </w:p>
    <w:p w14:paraId="4D7370B2" w14:textId="77777777" w:rsidR="00F37411" w:rsidRPr="009E131B" w:rsidRDefault="00F37411" w:rsidP="009E131B">
      <w:pPr>
        <w:pStyle w:val="JuHHead"/>
      </w:pPr>
      <w:r>
        <w:rPr>
          <w:bCs w:val="0"/>
          <w:lang w:val="pl"/>
        </w:rPr>
        <w:lastRenderedPageBreak/>
        <w:t>Odpowiednie ramy prawne</w:t>
      </w:r>
    </w:p>
    <w:p w14:paraId="60B729D7" w14:textId="77777777" w:rsidR="00F37411" w:rsidRPr="009E131B" w:rsidRDefault="00F37411" w:rsidP="009E131B">
      <w:pPr>
        <w:pStyle w:val="JuHA"/>
      </w:pPr>
      <w:r>
        <w:rPr>
          <w:lang w:val="pl"/>
        </w:rPr>
        <w:t>Odpowiednie prawo krajowe i praktyka</w:t>
      </w:r>
    </w:p>
    <w:p w14:paraId="6DCCFA64"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r>
        <w:rPr>
          <w:lang w:val="pl"/>
        </w:rPr>
        <w:t>.  Odpowiednie przepisy Kodeksu cywilnego mają następujące brzmienie:</w:t>
      </w:r>
    </w:p>
    <w:p w14:paraId="6BAEADA2" w14:textId="77777777" w:rsidR="00F37411" w:rsidRPr="00CF29B1" w:rsidRDefault="00F37411" w:rsidP="009E131B">
      <w:pPr>
        <w:pStyle w:val="JuHArticle"/>
        <w:rPr>
          <w:lang w:val="pl-PL"/>
        </w:rPr>
      </w:pPr>
      <w:r>
        <w:rPr>
          <w:bCs/>
          <w:lang w:val="pl"/>
        </w:rPr>
        <w:t>Artykuł 281 (nadużycie prawa)</w:t>
      </w:r>
    </w:p>
    <w:p w14:paraId="274821DB" w14:textId="77777777" w:rsidR="00F37411" w:rsidRPr="00CF29B1" w:rsidRDefault="00F37411" w:rsidP="009E131B">
      <w:pPr>
        <w:pStyle w:val="JuQuot"/>
        <w:rPr>
          <w:lang w:val="pl-PL"/>
        </w:rPr>
      </w:pPr>
      <w:r>
        <w:rPr>
          <w:lang w:val="pl"/>
        </w:rPr>
        <w:t>Korzystanie z prawa jest zakazane, jeżeli w sposób oczywisty przekracza granice wyznaczone przez dobrą wiarę lub moralność albo społeczny lub gospodarczy cel tego prawa”.</w:t>
      </w:r>
    </w:p>
    <w:p w14:paraId="154787BB" w14:textId="77777777" w:rsidR="00F37411" w:rsidRPr="00CF29B1" w:rsidRDefault="00F37411" w:rsidP="009E131B">
      <w:pPr>
        <w:pStyle w:val="JuHArticle"/>
        <w:rPr>
          <w:lang w:val="pl-PL"/>
        </w:rPr>
      </w:pPr>
      <w:r>
        <w:rPr>
          <w:bCs/>
          <w:lang w:val="pl"/>
        </w:rPr>
        <w:t>Artykuł 288</w:t>
      </w:r>
    </w:p>
    <w:p w14:paraId="742EDB1C" w14:textId="77777777" w:rsidR="00F37411" w:rsidRPr="00CF29B1" w:rsidRDefault="00F37411" w:rsidP="009E131B">
      <w:pPr>
        <w:pStyle w:val="JuQuot"/>
        <w:rPr>
          <w:lang w:val="pl-PL"/>
        </w:rPr>
      </w:pPr>
      <w:r>
        <w:rPr>
          <w:lang w:val="pl"/>
        </w:rPr>
        <w:t>„Dłużnik jest zobowiązany do wykonania świadczenia zgodnie z wymogami dobrej wiary, przy uwzględnieniu przyjętych praktyk handlowych”.</w:t>
      </w:r>
    </w:p>
    <w:p w14:paraId="4498BAA1" w14:textId="77777777" w:rsidR="00F37411" w:rsidRPr="00CF29B1" w:rsidRDefault="00F37411" w:rsidP="009E131B">
      <w:pPr>
        <w:pStyle w:val="JuHArticle"/>
        <w:rPr>
          <w:lang w:val="pl-PL"/>
        </w:rPr>
      </w:pPr>
      <w:r>
        <w:rPr>
          <w:bCs/>
          <w:lang w:val="pl"/>
        </w:rPr>
        <w:t>Artykuł 291 (świadczenia w walutach obcych)</w:t>
      </w:r>
    </w:p>
    <w:p w14:paraId="323C9D43" w14:textId="75CA0CAB" w:rsidR="00F37411" w:rsidRPr="00CF29B1" w:rsidRDefault="00F37411" w:rsidP="009E131B">
      <w:pPr>
        <w:pStyle w:val="JuQuot"/>
        <w:rPr>
          <w:lang w:val="pl-PL"/>
        </w:rPr>
      </w:pPr>
      <w:r>
        <w:rPr>
          <w:lang w:val="pl"/>
        </w:rPr>
        <w:t>„W przypadku długu pieniężnego w walucie obcej, który ma być uregulowany w</w:t>
      </w:r>
      <w:r w:rsidR="00CF29B1">
        <w:rPr>
          <w:lang w:val="pl"/>
        </w:rPr>
        <w:t> </w:t>
      </w:r>
      <w:r>
        <w:rPr>
          <w:lang w:val="pl"/>
        </w:rPr>
        <w:t>Grecji, dłużnik – o ile nie uzgodniono inaczej – ma prawo do zapłaty w walucie danego kraju na podstawie aktualnego kursu tej waluty w czasie i miejscu zapłaty”.</w:t>
      </w:r>
    </w:p>
    <w:p w14:paraId="5A69E6F5" w14:textId="77777777" w:rsidR="00F37411" w:rsidRPr="00CF29B1" w:rsidRDefault="00F37411" w:rsidP="009E131B">
      <w:pPr>
        <w:pStyle w:val="JuHArticle"/>
        <w:rPr>
          <w:lang w:val="pl-PL"/>
        </w:rPr>
      </w:pPr>
      <w:r>
        <w:rPr>
          <w:bCs/>
          <w:lang w:val="pl"/>
        </w:rPr>
        <w:t xml:space="preserve">Artykuł 305 (zobowiązanie przemienne – </w:t>
      </w:r>
      <w:proofErr w:type="spellStart"/>
      <w:r>
        <w:rPr>
          <w:bCs/>
          <w:i/>
          <w:iCs/>
          <w:lang w:val="pl"/>
        </w:rPr>
        <w:t>δι</w:t>
      </w:r>
      <w:proofErr w:type="spellEnd"/>
      <w:r>
        <w:rPr>
          <w:bCs/>
          <w:i/>
          <w:iCs/>
          <w:lang w:val="pl"/>
        </w:rPr>
        <w:t xml:space="preserve">αζευκτική </w:t>
      </w:r>
      <w:proofErr w:type="spellStart"/>
      <w:r>
        <w:rPr>
          <w:bCs/>
          <w:i/>
          <w:iCs/>
          <w:lang w:val="pl"/>
        </w:rPr>
        <w:t>ενοχή</w:t>
      </w:r>
      <w:proofErr w:type="spellEnd"/>
      <w:r>
        <w:rPr>
          <w:bCs/>
          <w:lang w:val="pl"/>
        </w:rPr>
        <w:t>)</w:t>
      </w:r>
    </w:p>
    <w:p w14:paraId="2BCE3A1E" w14:textId="77777777" w:rsidR="00F37411" w:rsidRPr="00CF29B1" w:rsidRDefault="00F37411" w:rsidP="009E131B">
      <w:pPr>
        <w:pStyle w:val="JuQuot"/>
        <w:rPr>
          <w:lang w:val="pl-PL"/>
        </w:rPr>
      </w:pPr>
      <w:r>
        <w:rPr>
          <w:lang w:val="pl"/>
        </w:rPr>
        <w:t>„Jeżeli z dwóch lub więcej świadczeń należnych należy spełnić tylko jedno (zobowiązanie przemienne), prawo wyboru świadczenia, w razie wątpliwości, należy do dłużnika”.</w:t>
      </w:r>
    </w:p>
    <w:p w14:paraId="21986711" w14:textId="77777777" w:rsidR="00F37411" w:rsidRPr="00CF29B1" w:rsidRDefault="00F37411" w:rsidP="009E131B">
      <w:pPr>
        <w:pStyle w:val="JuHArticle"/>
        <w:rPr>
          <w:lang w:val="pl-PL"/>
        </w:rPr>
      </w:pPr>
      <w:r>
        <w:rPr>
          <w:bCs/>
          <w:lang w:val="pl"/>
        </w:rPr>
        <w:t>Artykuł 388 (nieprzewidziana zmiana okoliczności)</w:t>
      </w:r>
    </w:p>
    <w:p w14:paraId="6EB6CCAB" w14:textId="047852BE" w:rsidR="00F37411" w:rsidRPr="00CF29B1" w:rsidRDefault="00F37411" w:rsidP="009E131B">
      <w:pPr>
        <w:pStyle w:val="JuQuot"/>
        <w:rPr>
          <w:lang w:val="pl-PL"/>
        </w:rPr>
      </w:pPr>
      <w:r>
        <w:rPr>
          <w:lang w:val="pl"/>
        </w:rPr>
        <w:t xml:space="preserve">„Jeżeli okoliczności – na których w dobrej wierze i zgodnie z przyjętą praktyką biznesową strony oparły zasadniczo umowę </w:t>
      </w:r>
      <w:r w:rsidR="0083274E">
        <w:rPr>
          <w:lang w:val="pl"/>
        </w:rPr>
        <w:t>synalagmatyczną</w:t>
      </w:r>
      <w:r>
        <w:rPr>
          <w:lang w:val="pl"/>
        </w:rPr>
        <w:t xml:space="preserve"> – uległy następnie zmianie z przyczyn nadzwyczajnych i nieprzewidywalnych, a w wyniku tej zmiany świadczenie dłużnika, w stosunku do świadczenia wzajemnego, stało się niewspółmiernie uciążliwe, sąd może, na wniosek dłużnika, obniżyć je do odpowiedniego stopnia, a nawet zmniejszyć, świadczenie dłużnika stało się niewspółmiernie uciążliwe, sąd może na wniosek dłużnika obniżyć je do odpowiedniego poziomu według własnego uznania, a nawet nakazać rozwiązanie umowy w całości lub w części jeszcze niewykonanej.</w:t>
      </w:r>
    </w:p>
    <w:p w14:paraId="75D69F9F" w14:textId="77777777" w:rsidR="00F37411" w:rsidRPr="00CF29B1" w:rsidRDefault="00F37411" w:rsidP="009E131B">
      <w:pPr>
        <w:pStyle w:val="JuQuot"/>
        <w:rPr>
          <w:lang w:val="pl-PL"/>
        </w:rPr>
      </w:pPr>
      <w:r>
        <w:rPr>
          <w:lang w:val="pl"/>
        </w:rPr>
        <w:t>[...]”.</w:t>
      </w:r>
    </w:p>
    <w:p w14:paraId="45B69F5B"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r>
        <w:rPr>
          <w:lang w:val="pl"/>
        </w:rPr>
        <w:t>.  Odpowiednie artykuły ustawy nr 2251/1994 o ochronie konsumentów przewidują.</w:t>
      </w:r>
    </w:p>
    <w:p w14:paraId="0A0C44FF" w14:textId="77777777" w:rsidR="00F37411" w:rsidRPr="00CF29B1" w:rsidRDefault="00F37411" w:rsidP="009E131B">
      <w:pPr>
        <w:pStyle w:val="JuHArticle"/>
        <w:rPr>
          <w:lang w:val="pl-PL"/>
        </w:rPr>
      </w:pPr>
      <w:r>
        <w:rPr>
          <w:bCs/>
          <w:lang w:val="pl"/>
        </w:rPr>
        <w:t>Artykuł 2</w:t>
      </w:r>
    </w:p>
    <w:p w14:paraId="13BFA36F" w14:textId="77777777" w:rsidR="00F37411" w:rsidRPr="00CF29B1" w:rsidRDefault="00F37411" w:rsidP="009E131B">
      <w:pPr>
        <w:pStyle w:val="JuQuot"/>
        <w:rPr>
          <w:lang w:val="pl-PL"/>
        </w:rPr>
      </w:pPr>
      <w:r>
        <w:rPr>
          <w:lang w:val="pl"/>
        </w:rPr>
        <w:t>„1.  Klauzule, które zostały sporządzone z wyprzedzeniem na potrzeby przyszłych umów (ogólne warunki) nie są wiążące dla konsumenta, jeżeli w chwili zawarcia umowy konsument nie wiedział nich, nie z własnej winy, np. gdy dostawca nie poinformował go o ich istnieniu lub pozbawił go możliwości skutecznego zapoznania się z ich treścią.</w:t>
      </w:r>
    </w:p>
    <w:p w14:paraId="39EDA707" w14:textId="77777777" w:rsidR="00F37411" w:rsidRPr="00CF29B1" w:rsidRDefault="00F37411" w:rsidP="009E131B">
      <w:pPr>
        <w:pStyle w:val="JuQuot"/>
        <w:rPr>
          <w:lang w:val="pl-PL"/>
        </w:rPr>
      </w:pPr>
      <w:r>
        <w:rPr>
          <w:lang w:val="pl"/>
        </w:rPr>
        <w:lastRenderedPageBreak/>
        <w:t>[...]</w:t>
      </w:r>
    </w:p>
    <w:p w14:paraId="6D2D78E1" w14:textId="77777777" w:rsidR="00F37411" w:rsidRPr="00CF29B1" w:rsidRDefault="00F37411" w:rsidP="009E131B">
      <w:pPr>
        <w:pStyle w:val="JuQuot"/>
        <w:rPr>
          <w:lang w:val="pl-PL"/>
        </w:rPr>
      </w:pPr>
      <w:r>
        <w:rPr>
          <w:lang w:val="pl"/>
        </w:rPr>
        <w:t>6.  Zakazane i nieważne są ogólne warunki handlowe, których skutkiem jest znaczące naruszenie równowagi praw i obowiązków stron umowy na niekorzyść konsumenta.</w:t>
      </w:r>
    </w:p>
    <w:p w14:paraId="04833891" w14:textId="4E4CAEBB" w:rsidR="00F37411" w:rsidRPr="00CF29B1" w:rsidRDefault="00F37411" w:rsidP="009E131B">
      <w:pPr>
        <w:pStyle w:val="JuQuot"/>
        <w:rPr>
          <w:lang w:val="pl-PL"/>
        </w:rPr>
      </w:pPr>
      <w:r>
        <w:rPr>
          <w:lang w:val="pl"/>
        </w:rPr>
        <w:t>Nieuczciwość warunku ogólnego włączonego do umowy ocenia się z</w:t>
      </w:r>
      <w:r w:rsidR="00CF29B1">
        <w:rPr>
          <w:lang w:val="pl"/>
        </w:rPr>
        <w:t> </w:t>
      </w:r>
      <w:r>
        <w:rPr>
          <w:lang w:val="pl"/>
        </w:rPr>
        <w:t>uwzględnieniem charakteru towarów lub usług objętych umową, celu umowy, wszystkich szczególnych okoliczności w momencie jej zawarcia oraz wszystkich innych warunków umowy lub innej umowy, od której jest ona zależna.</w:t>
      </w:r>
    </w:p>
    <w:p w14:paraId="391DCAA6" w14:textId="77777777" w:rsidR="00F37411" w:rsidRPr="00CF29B1" w:rsidRDefault="00F37411" w:rsidP="009E131B">
      <w:pPr>
        <w:pStyle w:val="JuQuot"/>
        <w:rPr>
          <w:lang w:val="pl-PL"/>
        </w:rPr>
      </w:pPr>
      <w:r>
        <w:rPr>
          <w:lang w:val="pl"/>
        </w:rPr>
        <w:t>7.  We wszystkich przypadkach warunki są uważane za nieuczciwe, jeśli:</w:t>
      </w:r>
    </w:p>
    <w:p w14:paraId="46F41015" w14:textId="77777777" w:rsidR="00F37411" w:rsidRPr="00CF29B1" w:rsidRDefault="00F37411" w:rsidP="009E131B">
      <w:pPr>
        <w:pStyle w:val="JuQuot"/>
        <w:rPr>
          <w:lang w:val="pl-PL"/>
        </w:rPr>
      </w:pPr>
      <w:r>
        <w:rPr>
          <w:lang w:val="pl"/>
        </w:rPr>
        <w:t>[...]</w:t>
      </w:r>
    </w:p>
    <w:p w14:paraId="1C19BDF0" w14:textId="77777777" w:rsidR="00F37411" w:rsidRPr="00CF29B1" w:rsidRDefault="00F37411" w:rsidP="009E131B">
      <w:pPr>
        <w:pStyle w:val="JuQuot"/>
        <w:rPr>
          <w:lang w:val="pl-PL"/>
        </w:rPr>
      </w:pPr>
      <w:r>
        <w:rPr>
          <w:lang w:val="pl"/>
        </w:rPr>
        <w:t>b) ograniczają zobowiązania przyjęte przez dostawcę i zakres jego odpowiedzialności;</w:t>
      </w:r>
    </w:p>
    <w:p w14:paraId="22985E88" w14:textId="77777777" w:rsidR="00F37411" w:rsidRPr="00CF29B1" w:rsidRDefault="00F37411" w:rsidP="009E131B">
      <w:pPr>
        <w:pStyle w:val="JuQuot"/>
        <w:rPr>
          <w:lang w:val="pl-PL"/>
        </w:rPr>
      </w:pPr>
      <w:r>
        <w:rPr>
          <w:lang w:val="pl"/>
        </w:rPr>
        <w:t>c) przewidują wyjątkowo krótki okres wypowiedzenia dla konsumenta lub wyjątkowo długi okres wypowiedzenia dla dostawcy;</w:t>
      </w:r>
    </w:p>
    <w:p w14:paraId="4A6F3FAD" w14:textId="77777777" w:rsidR="00F37411" w:rsidRPr="00CF29B1" w:rsidRDefault="00F37411" w:rsidP="009E131B">
      <w:pPr>
        <w:pStyle w:val="JuQuot"/>
        <w:rPr>
          <w:lang w:val="pl-PL"/>
        </w:rPr>
      </w:pPr>
      <w:r>
        <w:rPr>
          <w:lang w:val="pl"/>
        </w:rPr>
        <w:t>d) obejmują przedłużenie lub odnowienie umowy na wyjątkowo długi okres, jeżeli konsument nie odstąpi od umowy w określonym terminie;</w:t>
      </w:r>
    </w:p>
    <w:p w14:paraId="28EAB980" w14:textId="77777777" w:rsidR="00F37411" w:rsidRPr="00CF29B1" w:rsidRDefault="00F37411" w:rsidP="009E131B">
      <w:pPr>
        <w:pStyle w:val="JuQuot"/>
        <w:rPr>
          <w:lang w:val="pl-PL"/>
        </w:rPr>
      </w:pPr>
      <w:r>
        <w:rPr>
          <w:lang w:val="pl"/>
        </w:rPr>
        <w:t>e) zastrzegają prawo dostawcy do jednostronnej zmiany lub rozwiązania umowy bez szczególnego, konkretnego i ważnego powodu wskazanego w umowie”.</w:t>
      </w:r>
    </w:p>
    <w:p w14:paraId="4FDB1B52" w14:textId="126B7CD9" w:rsidR="00F37411" w:rsidRPr="00CF29B1" w:rsidRDefault="00F37411" w:rsidP="009E131B">
      <w:pPr>
        <w:pStyle w:val="JuPara"/>
        <w:rPr>
          <w:lang w:val="pl-PL"/>
        </w:rPr>
      </w:pPr>
      <w:r>
        <w:rPr>
          <w:lang w:val="pl"/>
        </w:rPr>
        <w:t>Zgodnie z orzecznictwem przepis art. 2 ust. 6 stanowi konkretyzację ogólnej zasady z art. 281 Kodeksu cywilnego. Dokonując wykładni ust. 6, sądy krajowe stwierdzają, że klauzule zawarte w ogólnych warunkach handlowych, przejmujących zasady o charakterze dyspozytywnym, nie są nieuczciwe. W orzecznictwie przyjmuje się, że ogólne warunki handlowe, które bez wystarczającego i uzasadnionego powodu odbiegają od podstawowych zasad prawa o charakterze dyspozytywnym, są nieuczciwe, a</w:t>
      </w:r>
      <w:r w:rsidR="00CF29B1">
        <w:rPr>
          <w:lang w:val="pl"/>
        </w:rPr>
        <w:t> </w:t>
      </w:r>
      <w:r>
        <w:rPr>
          <w:lang w:val="pl"/>
        </w:rPr>
        <w:t>zatem nieważne. Funkcja przewodnia prawa o charakterze dyspozytywnym zostaje naruszona, jeżeli treść ogólnych warunków handlowych zmienia sytuację ukształtowaną na podstawie prawa o charakterze dyspozytywnym w</w:t>
      </w:r>
      <w:r w:rsidR="00CF29B1">
        <w:rPr>
          <w:lang w:val="pl"/>
        </w:rPr>
        <w:t> </w:t>
      </w:r>
      <w:r>
        <w:rPr>
          <w:lang w:val="pl"/>
        </w:rPr>
        <w:t>odniesieniu do określonej formy umownej (wyroki sądu kasacyjnego nr</w:t>
      </w:r>
      <w:r w:rsidR="00CF29B1">
        <w:rPr>
          <w:lang w:val="pl"/>
        </w:rPr>
        <w:t> </w:t>
      </w:r>
      <w:r>
        <w:rPr>
          <w:lang w:val="pl"/>
        </w:rPr>
        <w:t>296/2001, 561/2014 i 13/2018). Prawo o charakterze dyspozytywnym mające zastosowanie do konkretnej umowy jest zatem w każdym przypadku wykorzystywane jako miernik do badania zakłóceń równowagi (wyroki sądu kasacyjnego nr 1987/2006 i 350/2016).</w:t>
      </w:r>
    </w:p>
    <w:p w14:paraId="23B3FEFE" w14:textId="77777777" w:rsidR="00F37411" w:rsidRPr="00CF29B1" w:rsidRDefault="00F37411" w:rsidP="009E131B">
      <w:pPr>
        <w:pStyle w:val="JuPara"/>
        <w:rPr>
          <w:lang w:val="pl-PL"/>
        </w:rPr>
      </w:pPr>
      <w:r>
        <w:rPr>
          <w:lang w:val="pl"/>
        </w:rPr>
        <w:t>Sąd kasacyjny wyjaśnił, że klauzule w umowie, które przejmują treść przepisów ustawowych, czyli tzw. klauzule deklaratoryjne (</w:t>
      </w:r>
      <w:r>
        <w:rPr>
          <w:i/>
          <w:iCs/>
          <w:lang w:val="pl"/>
        </w:rPr>
        <w:t xml:space="preserve">naturalia </w:t>
      </w:r>
      <w:proofErr w:type="spellStart"/>
      <w:r>
        <w:rPr>
          <w:i/>
          <w:iCs/>
          <w:lang w:val="pl"/>
        </w:rPr>
        <w:t>negotii</w:t>
      </w:r>
      <w:proofErr w:type="spellEnd"/>
      <w:r>
        <w:rPr>
          <w:lang w:val="pl"/>
        </w:rPr>
        <w:t>), są wyłączone z kontroli nieuczciwości na podstawie art. 2 ust. 6 ustawy nr 2251/1994, gdy transakcja w pełni odpowiada modelowi umownemu uregulowanemu w ustawie (umowa sprzedaży, dzierżawy, umowa o dzieło itp.). Taka wykładnia art. 2 ust. 6 wynika z art. 1 ust. 2 lit. a) i b) dyrektywy 93/13/EWG oraz motywu 13 preambuły dyrektywy.</w:t>
      </w:r>
    </w:p>
    <w:p w14:paraId="4B4A26D2" w14:textId="77777777" w:rsidR="00F37411" w:rsidRPr="00CF29B1" w:rsidRDefault="00F37411" w:rsidP="009E131B">
      <w:pPr>
        <w:pStyle w:val="JuHArticle"/>
        <w:rPr>
          <w:lang w:val="pl-PL"/>
        </w:rPr>
      </w:pPr>
      <w:r>
        <w:rPr>
          <w:bCs/>
          <w:lang w:val="pl"/>
        </w:rPr>
        <w:lastRenderedPageBreak/>
        <w:t>Artykuł 8</w:t>
      </w:r>
    </w:p>
    <w:p w14:paraId="76C02A3E" w14:textId="77777777" w:rsidR="00F37411" w:rsidRPr="00CF29B1" w:rsidRDefault="00F37411" w:rsidP="009E131B">
      <w:pPr>
        <w:pStyle w:val="JuQuot"/>
        <w:rPr>
          <w:lang w:val="pl-PL"/>
        </w:rPr>
      </w:pPr>
      <w:r>
        <w:rPr>
          <w:lang w:val="pl"/>
        </w:rPr>
        <w:t>„1.  Usługodawca ponosi odpowiedzialność za szkodę majątkową lub niemajątkową wyrządzoną bezprawnie i bezpodstawnie przez swoje czyny lub zaniechanie przy świadczeniu tych usług na rzecz konsumenta. [...]</w:t>
      </w:r>
    </w:p>
    <w:p w14:paraId="45217233" w14:textId="77777777" w:rsidR="00F37411" w:rsidRPr="00CF29B1" w:rsidRDefault="00F37411" w:rsidP="009E131B">
      <w:pPr>
        <w:pStyle w:val="JuQuot"/>
        <w:rPr>
          <w:lang w:val="pl-PL"/>
        </w:rPr>
      </w:pPr>
      <w:r>
        <w:rPr>
          <w:lang w:val="pl"/>
        </w:rPr>
        <w:t>3.  Poszkodowany musi wykazać szkodę oraz związek przyczynowy pomiędzy świadczeniem usługi a powstaniem szkody.</w:t>
      </w:r>
    </w:p>
    <w:p w14:paraId="2F26FB1A" w14:textId="77777777" w:rsidR="00F37411" w:rsidRPr="00CF29B1" w:rsidRDefault="00F37411" w:rsidP="009E131B">
      <w:pPr>
        <w:pStyle w:val="JuQuot"/>
        <w:rPr>
          <w:lang w:val="pl-PL"/>
        </w:rPr>
      </w:pPr>
      <w:r>
        <w:rPr>
          <w:lang w:val="pl"/>
        </w:rPr>
        <w:t>4.  Na usługodawcy spoczywa ciężar dowodu w zakresie braku bezprawności i winy po jego stronie [...]”.</w:t>
      </w:r>
    </w:p>
    <w:p w14:paraId="057BCF7E" w14:textId="77777777" w:rsidR="00F37411" w:rsidRPr="00CF29B1" w:rsidRDefault="00F37411" w:rsidP="009E131B">
      <w:pPr>
        <w:pStyle w:val="JuHArticle"/>
        <w:rPr>
          <w:lang w:val="pl-PL"/>
        </w:rPr>
      </w:pPr>
      <w:r>
        <w:rPr>
          <w:bCs/>
          <w:lang w:val="pl"/>
        </w:rPr>
        <w:t>Artykuł 9 e) – Zaniechania wprowadzające w błąd</w:t>
      </w:r>
    </w:p>
    <w:p w14:paraId="79D3CD57" w14:textId="77777777" w:rsidR="00F37411" w:rsidRPr="00CF29B1" w:rsidRDefault="00F37411" w:rsidP="009E131B">
      <w:pPr>
        <w:pStyle w:val="JuQuot"/>
        <w:rPr>
          <w:lang w:val="pl-PL"/>
        </w:rPr>
      </w:pPr>
      <w:r>
        <w:rPr>
          <w:lang w:val="pl"/>
        </w:rPr>
        <w:t>„1.  Praktykę handlową uznaje się za wprowadzającą w błąd, jeżeli w konkretnym przypadku, zważywszy na wszystkie jej cechy i okoliczności, jak również wszystkie ograniczenia danego środka przekazu, nie dostarcza ona istotnych informacji wymaganych przez przeciętnego konsumenta, stosownie do kontekstu, aby umożliwić mu podjęcie świadomej decyzji dotyczącej transakcji, i tym samym prowadzi lub może prowadzić do podjęcia przez przeciętnego konsumenta decyzji, której w innym przypadku by nie podjął.</w:t>
      </w:r>
    </w:p>
    <w:p w14:paraId="4D798821" w14:textId="77777777" w:rsidR="00F37411" w:rsidRPr="00CF29B1" w:rsidRDefault="00F37411" w:rsidP="009E131B">
      <w:pPr>
        <w:pStyle w:val="JuQuot"/>
        <w:rPr>
          <w:lang w:val="pl-PL"/>
        </w:rPr>
      </w:pPr>
      <w:r>
        <w:rPr>
          <w:lang w:val="pl"/>
        </w:rPr>
        <w:t>2.  Zaniechanie wprowadzające w błąd zakłada się również w przypadku, gdy dostawca zataja istotne informacje lub dostarcza je w sposób niejasny, niezrozumiały, dwuznaczny lub niepożądany [...] lub gdy nie podaje celu handlowego praktyki handlowej, jeżeli cel ten nie wynika z danego kontekstu, oraz gdy w obu przypadkach ma to lub może mieć wpływ na podjęcie przez konsumenta decyzji, której w innym przypadku by nie podjął”.</w:t>
      </w:r>
    </w:p>
    <w:p w14:paraId="4A6827D7" w14:textId="09445428"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35</w:t>
      </w:r>
      <w:r>
        <w:rPr>
          <w:lang w:val="pl"/>
        </w:rPr>
        <w:fldChar w:fldCharType="end"/>
      </w:r>
      <w:r>
        <w:rPr>
          <w:lang w:val="pl"/>
        </w:rPr>
        <w:t>.  Ustawa gubernatora Banku Grecji (nr 2501, z dnia 31 października 2002 r.), zatytułowana „Informowanie osób mających do czynienia z</w:t>
      </w:r>
      <w:r w:rsidR="00CF29B1">
        <w:rPr>
          <w:lang w:val="pl"/>
        </w:rPr>
        <w:t> </w:t>
      </w:r>
      <w:r>
        <w:rPr>
          <w:lang w:val="pl"/>
        </w:rPr>
        <w:t>instytucjami kredytowymi o warunkach regulujących ich transakcje” stanowi:</w:t>
      </w:r>
    </w:p>
    <w:p w14:paraId="18CD3262" w14:textId="77777777" w:rsidR="00F37411" w:rsidRPr="00CF29B1" w:rsidRDefault="00F37411" w:rsidP="009E131B">
      <w:pPr>
        <w:pStyle w:val="JuQuot"/>
        <w:rPr>
          <w:lang w:val="pl-PL"/>
        </w:rPr>
      </w:pPr>
      <w:r>
        <w:rPr>
          <w:lang w:val="pl"/>
        </w:rPr>
        <w:t>„A) Zasady ogólne</w:t>
      </w:r>
    </w:p>
    <w:p w14:paraId="131293D3" w14:textId="77777777" w:rsidR="00F37411" w:rsidRPr="00CF29B1" w:rsidRDefault="00F37411" w:rsidP="009E131B">
      <w:pPr>
        <w:pStyle w:val="JuQuot"/>
        <w:rPr>
          <w:lang w:val="pl-PL"/>
        </w:rPr>
      </w:pPr>
      <w:r>
        <w:rPr>
          <w:lang w:val="pl"/>
        </w:rPr>
        <w:t>Instytucje kredytowe mające siedzibę w Grecji muszą :</w:t>
      </w:r>
    </w:p>
    <w:p w14:paraId="4ABDBE4C" w14:textId="77777777" w:rsidR="00F37411" w:rsidRPr="00CF29B1" w:rsidRDefault="00F37411" w:rsidP="009E131B">
      <w:pPr>
        <w:pStyle w:val="JuQuot"/>
        <w:rPr>
          <w:lang w:val="pl-PL"/>
        </w:rPr>
      </w:pPr>
      <w:r>
        <w:rPr>
          <w:lang w:val="pl"/>
        </w:rPr>
        <w:t>– należycie informować kontrahentów o charakterze i cechach oferowanych produktów i usług oraz ogólnie o warunkach regulujących wymianę bankową;</w:t>
      </w:r>
    </w:p>
    <w:p w14:paraId="6C3A4FBC" w14:textId="77777777" w:rsidR="00F37411" w:rsidRPr="00CF29B1" w:rsidRDefault="00F37411" w:rsidP="009E131B">
      <w:pPr>
        <w:pStyle w:val="JuQuot"/>
        <w:rPr>
          <w:lang w:val="pl-PL"/>
        </w:rPr>
      </w:pPr>
      <w:r>
        <w:rPr>
          <w:lang w:val="pl"/>
        </w:rPr>
        <w:t>– dostarczać kontrahentom okresowe pisemne aktualizacje w trakcie obowiązywania i funkcjonowania umów dotyczące sposobu stosowania uzgodnionych warunków [...]</w:t>
      </w:r>
    </w:p>
    <w:p w14:paraId="1411CF3E" w14:textId="77777777" w:rsidR="00F37411" w:rsidRPr="00CF29B1" w:rsidRDefault="00F37411" w:rsidP="009E131B">
      <w:pPr>
        <w:pStyle w:val="JuQuot"/>
        <w:rPr>
          <w:lang w:val="pl-PL"/>
        </w:rPr>
      </w:pPr>
      <w:r>
        <w:rPr>
          <w:lang w:val="pl"/>
        </w:rPr>
        <w:t>B.  Minimalny zakres wymaganych informacji</w:t>
      </w:r>
    </w:p>
    <w:p w14:paraId="0A483F64" w14:textId="77777777" w:rsidR="00F37411" w:rsidRPr="00CF29B1" w:rsidRDefault="00F37411" w:rsidP="009E131B">
      <w:pPr>
        <w:pStyle w:val="JuQuot"/>
        <w:rPr>
          <w:lang w:val="pl-PL"/>
        </w:rPr>
      </w:pPr>
      <w:r>
        <w:rPr>
          <w:lang w:val="pl"/>
        </w:rPr>
        <w:t>Zgodnie z powyższymi zasadami ogólnymi instytucje kredytowe dostarczają co najmniej następujących informacji i danych, aby umożliwić swoim kontrahentom wyrobienie sobie jasnego obrazu oferowanych usług i produktów przed zawarciem umowy, o ile te ostatnie nie są negocjowane indywidualnie</w:t>
      </w:r>
    </w:p>
    <w:p w14:paraId="10B485D8" w14:textId="77777777" w:rsidR="00F37411" w:rsidRPr="00CF29B1" w:rsidRDefault="00F37411" w:rsidP="009E131B">
      <w:pPr>
        <w:pStyle w:val="JuQuot"/>
        <w:rPr>
          <w:lang w:val="pl-PL"/>
        </w:rPr>
      </w:pPr>
      <w:r>
        <w:rPr>
          <w:lang w:val="pl"/>
        </w:rPr>
        <w:t>[...]</w:t>
      </w:r>
    </w:p>
    <w:p w14:paraId="787F70E1" w14:textId="77777777" w:rsidR="00F37411" w:rsidRPr="00CF29B1" w:rsidRDefault="00F37411" w:rsidP="009E131B">
      <w:pPr>
        <w:pStyle w:val="JuQuot"/>
        <w:rPr>
          <w:lang w:val="pl-PL"/>
        </w:rPr>
      </w:pPr>
      <w:r>
        <w:rPr>
          <w:lang w:val="pl"/>
        </w:rPr>
        <w:t>2.  Kredyty</w:t>
      </w:r>
    </w:p>
    <w:p w14:paraId="4C1A5788" w14:textId="77777777" w:rsidR="00F37411" w:rsidRPr="00CF29B1" w:rsidRDefault="00F37411" w:rsidP="009E131B">
      <w:pPr>
        <w:pStyle w:val="JuQuot"/>
        <w:rPr>
          <w:lang w:val="pl-PL"/>
        </w:rPr>
      </w:pPr>
      <w:r>
        <w:rPr>
          <w:lang w:val="pl"/>
        </w:rPr>
        <w:t>W przypadku kredytów minimalny zakres informacji obejmuje:</w:t>
      </w:r>
    </w:p>
    <w:p w14:paraId="299CD68C" w14:textId="77777777" w:rsidR="00F37411" w:rsidRPr="00CF29B1" w:rsidRDefault="00F37411" w:rsidP="009E131B">
      <w:pPr>
        <w:pStyle w:val="JuQuot"/>
        <w:rPr>
          <w:lang w:val="pl-PL"/>
        </w:rPr>
      </w:pPr>
      <w:r>
        <w:rPr>
          <w:lang w:val="pl"/>
        </w:rPr>
        <w:t>[...]</w:t>
      </w:r>
    </w:p>
    <w:p w14:paraId="00DF800C" w14:textId="77777777" w:rsidR="00F37411" w:rsidRPr="00CF29B1" w:rsidRDefault="00F37411" w:rsidP="009E131B">
      <w:pPr>
        <w:pStyle w:val="JuQuot"/>
        <w:rPr>
          <w:lang w:val="pl-PL"/>
        </w:rPr>
      </w:pPr>
      <w:r>
        <w:rPr>
          <w:lang w:val="pl"/>
        </w:rPr>
        <w:lastRenderedPageBreak/>
        <w:t>x) informacje o ryzyku ewentualnych wahań kursów walutowych w przypadku kredytów w walutach obcych lub zawierających klauzulę walutową.</w:t>
      </w:r>
    </w:p>
    <w:p w14:paraId="193FEEE7" w14:textId="77777777" w:rsidR="00F37411" w:rsidRPr="00CF29B1" w:rsidRDefault="00F37411" w:rsidP="009E131B">
      <w:pPr>
        <w:pStyle w:val="JuQuot"/>
        <w:rPr>
          <w:lang w:val="pl-PL"/>
        </w:rPr>
      </w:pPr>
      <w:r>
        <w:rPr>
          <w:lang w:val="pl"/>
        </w:rPr>
        <w:t>xi) możliwość i koszt zastosowania technik zabezpieczających ryzyko ewentualnych wahań kursów walutowych lub stóp procentowych.</w:t>
      </w:r>
    </w:p>
    <w:p w14:paraId="44BCE3A5" w14:textId="77777777" w:rsidR="00F37411" w:rsidRPr="00CF29B1" w:rsidRDefault="00F37411" w:rsidP="009E131B">
      <w:pPr>
        <w:pStyle w:val="JuQuot"/>
        <w:rPr>
          <w:lang w:val="pl-PL"/>
        </w:rPr>
      </w:pPr>
      <w:r>
        <w:rPr>
          <w:lang w:val="pl"/>
        </w:rPr>
        <w:t>[...]”.</w:t>
      </w:r>
    </w:p>
    <w:p w14:paraId="1D75FA1C"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r>
        <w:rPr>
          <w:lang w:val="pl"/>
        </w:rPr>
        <w:t>.  Zgodnie z informacjami przekazanymi przez bank, do końca 2019 r. sądy krajowe wydały kilka orzeczeń dotyczących banku w sprawach podobnych do sprawy skarżącej: a) 615 wyroków sądów pierwszej instancji, z których 568 (92,4%) orzekło na korzyść ważności kredytu, a 47 (7,6%) na niekorzyść. Z tych 47 wyroków 9 uchylono w apelacji, a co do pozostałych postępowanie odwoławcze nadal się toczy; b) w sprawie sprzeciwów od nakazów zapłaty zapadło 119 wyroków sądów pierwszej instancji, z czego 110 (92,4%) orzekało na korzyść ważności kredytu, a 9 (7,6%) na niekorzyść; c) 44 wyroki sądów apelacyjnych również orzekały na korzyść argumentów banku, a 1 (który był przedmiotem apelacji, która nadal się toczy) na niekorzyść. Bank twierdzi, że podobna sytuacja ma miejsce w przypadku orzeczeń sądowych dotyczących pozwów przeciwko innym bankom.</w:t>
      </w:r>
    </w:p>
    <w:p w14:paraId="5208D924"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r>
        <w:rPr>
          <w:lang w:val="pl"/>
        </w:rPr>
        <w:t xml:space="preserve">.  W dniu 5 czerwca 2020 r. sąd pierwszej instancji w Atenach zwrócił się do Trybunału Sprawiedliwości Unii Europejskiej o wydanie orzeczenia w trybie prejudycjalnym na podstawie art. 267 Traktatu w sporze między dwiema osobami fizycznymi a </w:t>
      </w:r>
      <w:proofErr w:type="spellStart"/>
      <w:r>
        <w:rPr>
          <w:lang w:val="pl"/>
        </w:rPr>
        <w:t>Piraeus</w:t>
      </w:r>
      <w:proofErr w:type="spellEnd"/>
      <w:r>
        <w:rPr>
          <w:lang w:val="pl"/>
        </w:rPr>
        <w:t xml:space="preserve"> Bank. Sąd zadał następujące pytania:</w:t>
      </w:r>
    </w:p>
    <w:p w14:paraId="387F132B" w14:textId="77777777" w:rsidR="00F37411" w:rsidRPr="00CF29B1" w:rsidRDefault="00F37411" w:rsidP="009E131B">
      <w:pPr>
        <w:pStyle w:val="JuQuot"/>
        <w:rPr>
          <w:rFonts w:eastAsia="Times New Roman"/>
          <w:lang w:val="pl-PL"/>
        </w:rPr>
      </w:pPr>
      <w:r>
        <w:rPr>
          <w:rFonts w:eastAsia="Times New Roman"/>
          <w:lang w:val="pl"/>
        </w:rPr>
        <w:t>„1.  Czy art. 8 dyrektywy 93/13/EWG</w:t>
      </w:r>
      <w:r>
        <w:rPr>
          <w:rFonts w:eastAsia="Times New Roman"/>
          <w:color w:val="0000FF"/>
          <w:u w:val="single"/>
          <w:vertAlign w:val="superscript"/>
          <w:lang w:val="pl"/>
        </w:rPr>
        <w:t>1</w:t>
      </w:r>
      <w:r>
        <w:rPr>
          <w:rFonts w:eastAsia="Times New Roman"/>
          <w:lang w:val="pl"/>
        </w:rPr>
        <w:t>, który przewiduje możliwość przyjęcia przez państwa członkowskie surowszych przepisów w celu zagwarantowania wyższego poziomu ochrony konsumenta, należy interpretować w ten sposób, że państwo członkowskie może nie dokonać transpozycji art. 1 ust. 2 dyrektywy 93/13/EWG do swojego prawa krajowego oraz zezwolić na sądową kontrolę warunków umowy odzwierciedlających ustawowe lub wykonawcze przepisy prawa bezwzględnie obowiązującego lub dyspozytywnego?</w:t>
      </w:r>
    </w:p>
    <w:p w14:paraId="7E0F3155" w14:textId="77777777" w:rsidR="00F37411" w:rsidRPr="00CF29B1" w:rsidRDefault="00F37411" w:rsidP="009E131B">
      <w:pPr>
        <w:pStyle w:val="JuQuot"/>
        <w:rPr>
          <w:rFonts w:eastAsia="Times New Roman"/>
          <w:lang w:val="pl-PL"/>
        </w:rPr>
      </w:pPr>
      <w:r>
        <w:rPr>
          <w:rFonts w:eastAsia="Times New Roman"/>
          <w:lang w:val="pl"/>
        </w:rPr>
        <w:t>2.  Czy można uznać, że art. 1 ust. 2 akapit pierwszy i drugi [akapit drugi, identyczny z drugim zdaniem motywu 13 dyrektywy, nie występuje w wersji greckiej] dyrektywy 93/13/EWG, mimo że nie został wyraźnie włączony do prawa greckiego, został przyjęty pośrednio, zgodnie z treścią art. 3 ust. 1 i art. 4 ust. 1 rzeczonej dyrektywy, jako że to samo zostało transponowane w przepisie art. 2 ust. 6 ustawy nr 2251/1994?</w:t>
      </w:r>
    </w:p>
    <w:p w14:paraId="27E48C7B" w14:textId="77777777" w:rsidR="00F37411" w:rsidRPr="00CF29B1" w:rsidRDefault="00F37411" w:rsidP="009E131B">
      <w:pPr>
        <w:pStyle w:val="JuQuot"/>
        <w:rPr>
          <w:rFonts w:eastAsia="Times New Roman"/>
          <w:lang w:val="pl-PL"/>
        </w:rPr>
      </w:pPr>
      <w:r>
        <w:rPr>
          <w:rFonts w:eastAsia="Times New Roman"/>
          <w:lang w:val="pl"/>
        </w:rPr>
        <w:t>3.  Czy w pojęciu nieuczciwych warunków i ich zakresu, zgodnie z definicją zawartą przepisach, o których mowa w art. 3 ust. 1 i art. 4 ust. 1 dyrektywy 93/13/EWG, mieści się wyjątek określony w art. 1 ust. 2 akapit pierwszy i drugi dyrektywy 93/13?</w:t>
      </w:r>
    </w:p>
    <w:p w14:paraId="05EE153E" w14:textId="77777777" w:rsidR="00F37411" w:rsidRPr="00CF29B1" w:rsidRDefault="00F37411" w:rsidP="009E131B">
      <w:pPr>
        <w:pStyle w:val="JuQuot"/>
        <w:rPr>
          <w:rFonts w:eastAsia="Times New Roman"/>
          <w:lang w:val="pl-PL"/>
        </w:rPr>
      </w:pPr>
      <w:r>
        <w:rPr>
          <w:rFonts w:eastAsia="Times New Roman"/>
          <w:lang w:val="pl"/>
        </w:rPr>
        <w:t>4.  Czy postanowienie umowy o kredyt zawartej między konsumentem a instytucją kredytową, które odzwierciedla treść dyspozytywnego przepisu prawa państwa członkowskiego, może zostać poddane kontroli pod kątem nieuczciwego charakteru ogólnych warunków umowy zgodnie z przepisami dyrektywy 93/13/EWG, jeżeli postanowienie to nie było przedmiotem odrębnych negocjacji?”</w:t>
      </w:r>
    </w:p>
    <w:p w14:paraId="19B194BD" w14:textId="77777777" w:rsidR="00F37411" w:rsidRPr="00CF29B1" w:rsidRDefault="00F37411" w:rsidP="009E131B">
      <w:pPr>
        <w:pStyle w:val="JuPara"/>
        <w:rPr>
          <w:lang w:val="pl-PL"/>
        </w:rPr>
      </w:pPr>
      <w:r>
        <w:rPr>
          <w:lang w:val="pl"/>
        </w:rPr>
        <w:t>Postępowanie przed Trybunałem Sprawiedliwości Unii Europejskiej jest w toku.</w:t>
      </w:r>
    </w:p>
    <w:p w14:paraId="4CA3C664" w14:textId="77777777" w:rsidR="00F37411" w:rsidRPr="009E131B" w:rsidRDefault="00F37411" w:rsidP="009E131B">
      <w:pPr>
        <w:pStyle w:val="JuHA"/>
      </w:pPr>
      <w:r>
        <w:rPr>
          <w:lang w:val="pl"/>
        </w:rPr>
        <w:lastRenderedPageBreak/>
        <w:t>Odpowiednie przepisy prawa Unii</w:t>
      </w:r>
    </w:p>
    <w:p w14:paraId="41FEB8DA"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38</w:t>
      </w:r>
      <w:r>
        <w:rPr>
          <w:lang w:val="pl"/>
        </w:rPr>
        <w:fldChar w:fldCharType="end"/>
      </w:r>
      <w:r>
        <w:rPr>
          <w:lang w:val="pl"/>
        </w:rPr>
        <w:t>.  Odpowiednie przepisy dyrektywy 93/13/EWG w sprawie nieuczciwych warunków w umowach konsumenckich przewidują:</w:t>
      </w:r>
    </w:p>
    <w:p w14:paraId="64066AD2" w14:textId="77777777" w:rsidR="00F37411" w:rsidRPr="00CF29B1" w:rsidRDefault="00F37411" w:rsidP="009E131B">
      <w:pPr>
        <w:pStyle w:val="JuHArticle"/>
        <w:rPr>
          <w:lang w:val="pl-PL"/>
        </w:rPr>
      </w:pPr>
      <w:r>
        <w:rPr>
          <w:bCs/>
          <w:lang w:val="pl"/>
        </w:rPr>
        <w:t>Artykuł 1</w:t>
      </w:r>
    </w:p>
    <w:p w14:paraId="653CDC25" w14:textId="77777777" w:rsidR="00F37411" w:rsidRPr="00CF29B1" w:rsidRDefault="00F37411" w:rsidP="009E131B">
      <w:pPr>
        <w:pStyle w:val="JuQuot"/>
        <w:rPr>
          <w:lang w:val="pl-PL"/>
        </w:rPr>
      </w:pPr>
      <w:r>
        <w:rPr>
          <w:lang w:val="pl"/>
        </w:rPr>
        <w:t>„1.  Celem niniejszej dyrektywy jest zbliżenie przepisów ustawowych, wykonawczych i administracyjnych Państw Członkowskich odnoszących się do nieuczciwych warunków umownych w umowach zawieranych pomiędzy sprzedawcą lub dostawcą a konsumentem.</w:t>
      </w:r>
    </w:p>
    <w:p w14:paraId="6AD659D2" w14:textId="77777777" w:rsidR="00F37411" w:rsidRPr="00CF29B1" w:rsidRDefault="00F37411" w:rsidP="009E131B">
      <w:pPr>
        <w:pStyle w:val="JuQuot"/>
        <w:rPr>
          <w:lang w:val="pl-PL"/>
        </w:rPr>
      </w:pPr>
      <w:r>
        <w:rPr>
          <w:lang w:val="pl"/>
        </w:rPr>
        <w:t>2.  Warunki umowy odzwierciedlające obowiązujące przepisy ustawowe lub wykonawcze [...] nie będą podlegały przepisom niniejszej dyrektywy”.</w:t>
      </w:r>
    </w:p>
    <w:p w14:paraId="3C40BA16" w14:textId="77777777" w:rsidR="00F37411" w:rsidRPr="00CF29B1" w:rsidRDefault="00F37411" w:rsidP="009E131B">
      <w:pPr>
        <w:pStyle w:val="JuHArticle"/>
        <w:rPr>
          <w:lang w:val="pl-PL"/>
        </w:rPr>
      </w:pPr>
      <w:r>
        <w:rPr>
          <w:bCs/>
          <w:lang w:val="pl"/>
        </w:rPr>
        <w:t>Artykuł 3</w:t>
      </w:r>
    </w:p>
    <w:p w14:paraId="1A2FADF1" w14:textId="77777777" w:rsidR="00F37411" w:rsidRPr="00CF29B1" w:rsidRDefault="00F37411" w:rsidP="009E131B">
      <w:pPr>
        <w:pStyle w:val="JuQuot"/>
        <w:rPr>
          <w:lang w:val="pl-PL"/>
        </w:rPr>
      </w:pPr>
      <w:r>
        <w:rPr>
          <w:lang w:val="pl"/>
        </w:rPr>
        <w:t>„1.  Warunki umowy, które nie były indywidualnie negocjowane, mogą być uznane za nieuczciwe, jeśli stoją w sprzeczności z wymogami dobrej wiary, powodują znaczącą nierównowagę wynikających z umowy, praw i obowiązków stron ze szkodą dla konsumenta.</w:t>
      </w:r>
    </w:p>
    <w:p w14:paraId="3230C91F" w14:textId="77777777" w:rsidR="00F37411" w:rsidRPr="00CF29B1" w:rsidRDefault="00F37411" w:rsidP="009E131B">
      <w:pPr>
        <w:pStyle w:val="JuQuot"/>
        <w:rPr>
          <w:lang w:val="pl-PL"/>
        </w:rPr>
      </w:pPr>
      <w:r>
        <w:rPr>
          <w:lang w:val="pl"/>
        </w:rPr>
        <w:t>2.  Warunki umowy zawsze zostaną uznane za niewynegocjowane indywidualnie, jeżeli zostały sporządzone wcześniej i konsument nie miał w związku z tym wpływu na ich treść, zwłaszcza jeśli zostały przedstawione konsumentowi w formie uprzednio sformułowanej umowy standardowej.</w:t>
      </w:r>
    </w:p>
    <w:p w14:paraId="14A08A8C" w14:textId="77777777" w:rsidR="00F37411" w:rsidRPr="00CF29B1" w:rsidRDefault="00F37411" w:rsidP="009E131B">
      <w:pPr>
        <w:pStyle w:val="JuQuot"/>
        <w:rPr>
          <w:lang w:val="pl-PL"/>
        </w:rPr>
      </w:pPr>
      <w:r>
        <w:rPr>
          <w:lang w:val="pl"/>
        </w:rPr>
        <w:t>Fakt, że niektóre aspekty warunku lub jeden szczególny warunek były negocjowane indywidualnie, nie wyłącza stosowania niniejszego artykułu do pozostałej części umowy, jeżeli ogólna ocena umowy wskazuje na to, że została ona sporządzona w formie uprzednio sformułowanej umowy standardowej.</w:t>
      </w:r>
    </w:p>
    <w:p w14:paraId="6DEFDFFE" w14:textId="77777777" w:rsidR="00F37411" w:rsidRPr="00CF29B1" w:rsidRDefault="00F37411" w:rsidP="009E131B">
      <w:pPr>
        <w:pStyle w:val="JuQuot"/>
        <w:rPr>
          <w:lang w:val="pl-PL"/>
        </w:rPr>
      </w:pPr>
      <w:r>
        <w:rPr>
          <w:lang w:val="pl"/>
        </w:rPr>
        <w:t>Jeśli sprzedawca lub dostawca twierdzi, że standardowe warunki umowne zostały wynegocjowane indywidualnie, ciężar dowodu w tym zakresie spoczywa na nim.</w:t>
      </w:r>
    </w:p>
    <w:p w14:paraId="267109E3" w14:textId="77777777" w:rsidR="00F37411" w:rsidRPr="00CF29B1" w:rsidRDefault="00F37411" w:rsidP="009E131B">
      <w:pPr>
        <w:pStyle w:val="JuQuot"/>
        <w:rPr>
          <w:lang w:val="pl-PL"/>
        </w:rPr>
      </w:pPr>
      <w:r>
        <w:rPr>
          <w:lang w:val="pl"/>
        </w:rPr>
        <w:t>3.  Załącznik zawiera przykładowy i niewyczerpujący wykaz warunków, które mogą być uznane za nieuczciwe.</w:t>
      </w:r>
    </w:p>
    <w:p w14:paraId="5995119F" w14:textId="77777777" w:rsidR="00F37411" w:rsidRPr="00CF29B1" w:rsidRDefault="00F37411" w:rsidP="009E131B">
      <w:pPr>
        <w:pStyle w:val="JuHArticle"/>
        <w:rPr>
          <w:lang w:val="pl-PL"/>
        </w:rPr>
      </w:pPr>
      <w:r>
        <w:rPr>
          <w:bCs/>
          <w:lang w:val="pl"/>
        </w:rPr>
        <w:t>Artykuł 4 ust. 2</w:t>
      </w:r>
    </w:p>
    <w:p w14:paraId="46D1D787" w14:textId="77777777" w:rsidR="00F37411" w:rsidRPr="00CF29B1" w:rsidRDefault="00F37411" w:rsidP="009E131B">
      <w:pPr>
        <w:pStyle w:val="JuQuot"/>
        <w:rPr>
          <w:lang w:val="pl-PL"/>
        </w:rPr>
      </w:pPr>
      <w:r>
        <w:rPr>
          <w:lang w:val="pl"/>
        </w:rPr>
        <w:t>„Ocena nieuczciwego charakteru warunków nie dotyczy ani określenia głównego przedmiotu umowy, ani relacji ceny i wynagrodzenia do dostarczonych w zamian towarów lub usług, o ile warunki te zostały wyrażone prostym i zrozumiałym językiem”.</w:t>
      </w:r>
    </w:p>
    <w:p w14:paraId="7B463CEB" w14:textId="77777777" w:rsidR="00F37411" w:rsidRPr="00CF29B1" w:rsidRDefault="00F37411" w:rsidP="009E131B">
      <w:pPr>
        <w:pStyle w:val="JuHArticle"/>
        <w:rPr>
          <w:lang w:val="pl-PL"/>
        </w:rPr>
      </w:pPr>
      <w:r>
        <w:rPr>
          <w:bCs/>
          <w:lang w:val="pl"/>
        </w:rPr>
        <w:t>Artykuł 6 ust. 1</w:t>
      </w:r>
    </w:p>
    <w:p w14:paraId="509BEC45" w14:textId="77777777" w:rsidR="00F37411" w:rsidRPr="00CF29B1" w:rsidRDefault="00F37411" w:rsidP="009E131B">
      <w:pPr>
        <w:pStyle w:val="JuQuot"/>
        <w:rPr>
          <w:lang w:val="pl-PL"/>
        </w:rPr>
      </w:pPr>
      <w:r>
        <w:rPr>
          <w:lang w:val="pl"/>
        </w:rPr>
        <w:t>„Państwa Członkowskie stanowią, że na mocy prawa krajowego nieuczciwe warunki w umowach zawieranych przez sprzedawców lub dostawców z konsumentami nie będą wiążące dla konsumenta, a umowa w pozostałej części będzie nadal obowiązywała strony, jeżeli jest to możliwe po wyłączeniu z niej nieuczciwych warunków”.</w:t>
      </w:r>
    </w:p>
    <w:p w14:paraId="08C3F84C" w14:textId="77777777" w:rsidR="00F37411" w:rsidRPr="00CF29B1" w:rsidRDefault="00F37411" w:rsidP="009E131B">
      <w:pPr>
        <w:pStyle w:val="JuHArticle"/>
        <w:rPr>
          <w:lang w:val="pl-PL"/>
        </w:rPr>
      </w:pPr>
      <w:r>
        <w:rPr>
          <w:bCs/>
          <w:lang w:val="pl"/>
        </w:rPr>
        <w:lastRenderedPageBreak/>
        <w:t>Artykuł 8</w:t>
      </w:r>
    </w:p>
    <w:p w14:paraId="61193E4B" w14:textId="1983B835" w:rsidR="00F37411" w:rsidRPr="00CF29B1" w:rsidRDefault="00F37411" w:rsidP="009E131B">
      <w:pPr>
        <w:pStyle w:val="JuQuot"/>
        <w:rPr>
          <w:lang w:val="pl-PL"/>
        </w:rPr>
      </w:pPr>
      <w:r>
        <w:rPr>
          <w:lang w:val="pl"/>
        </w:rPr>
        <w:t>„W celu zapewnienia wyższego stopnia ochrony konsumenta Państwa Członkowskie mogą przyjąć lub utrzymać bardziej rygorystyczne przepisy prawne zgodne z</w:t>
      </w:r>
      <w:r w:rsidR="00CF29B1">
        <w:rPr>
          <w:lang w:val="pl"/>
        </w:rPr>
        <w:t> </w:t>
      </w:r>
      <w:r>
        <w:rPr>
          <w:lang w:val="pl"/>
        </w:rPr>
        <w:t>Traktatem w dziedzinie objętej niniejszą dyrektywą”.</w:t>
      </w:r>
    </w:p>
    <w:p w14:paraId="2077B66A" w14:textId="77777777" w:rsidR="00F37411" w:rsidRPr="00CF29B1" w:rsidRDefault="00F37411" w:rsidP="009E131B">
      <w:pPr>
        <w:pStyle w:val="JuPara"/>
        <w:rPr>
          <w:lang w:val="pl-PL"/>
        </w:rPr>
      </w:pPr>
      <w:r>
        <w:rPr>
          <w:lang w:val="pl"/>
        </w:rPr>
        <w:t>Motywy 12 i 13 preambuły do dyrektywy stanowią:</w:t>
      </w:r>
    </w:p>
    <w:p w14:paraId="2B9DBAF4" w14:textId="77777777" w:rsidR="00F37411" w:rsidRPr="00CF29B1" w:rsidRDefault="00F37411" w:rsidP="009E131B">
      <w:pPr>
        <w:pStyle w:val="JuHArticle"/>
        <w:rPr>
          <w:lang w:val="pl-PL"/>
        </w:rPr>
      </w:pPr>
      <w:r>
        <w:rPr>
          <w:bCs/>
          <w:lang w:val="pl"/>
        </w:rPr>
        <w:t>Motyw 12</w:t>
      </w:r>
    </w:p>
    <w:p w14:paraId="5D19F031" w14:textId="77777777" w:rsidR="00F37411" w:rsidRPr="00CF29B1" w:rsidRDefault="00F37411" w:rsidP="009E131B">
      <w:pPr>
        <w:pStyle w:val="JuQuot"/>
        <w:rPr>
          <w:lang w:val="pl-PL"/>
        </w:rPr>
      </w:pPr>
      <w:r>
        <w:rPr>
          <w:lang w:val="pl"/>
        </w:rPr>
        <w:t>„jednakże obowiązujące prawo krajowe pozwala jedynie na częściową harmonizację przepisów; niniejsza dyrektywa dotyczy w szczególności warunków umownych, które nie zostały indywidualnie wynegocjowane; Państwa Członkowskie w poszanowaniu postanowień Traktatu powinny mieć możliwość zapewnienia konsumentom wyższego poziomu bezpieczeństwa poprzez wprowadzenie przepisów prawa krajowego bardziej rygorystycznych niż przewidziane w niniejszej dyrektywie;”</w:t>
      </w:r>
    </w:p>
    <w:p w14:paraId="47206191" w14:textId="77777777" w:rsidR="00F37411" w:rsidRPr="00CF29B1" w:rsidRDefault="00F37411" w:rsidP="009E131B">
      <w:pPr>
        <w:pStyle w:val="JuHArticle"/>
        <w:rPr>
          <w:lang w:val="pl-PL"/>
        </w:rPr>
      </w:pPr>
      <w:r>
        <w:rPr>
          <w:bCs/>
          <w:lang w:val="pl"/>
        </w:rPr>
        <w:t>Motyw 13</w:t>
      </w:r>
    </w:p>
    <w:p w14:paraId="404BC261" w14:textId="69CD1BD7" w:rsidR="00F37411" w:rsidRPr="00CF29B1" w:rsidRDefault="00F37411" w:rsidP="009E131B">
      <w:pPr>
        <w:pStyle w:val="JuQuot"/>
        <w:rPr>
          <w:lang w:val="pl-PL"/>
        </w:rPr>
      </w:pPr>
      <w:r>
        <w:rPr>
          <w:lang w:val="pl"/>
        </w:rPr>
        <w:t>„zakłada się, iż obowiązujące w Państwach Członkowskich przepisy ustawowe i</w:t>
      </w:r>
      <w:r w:rsidR="00CF29B1">
        <w:rPr>
          <w:lang w:val="pl"/>
        </w:rPr>
        <w:t> </w:t>
      </w:r>
      <w:r>
        <w:rPr>
          <w:lang w:val="pl"/>
        </w:rPr>
        <w:t>wykonawcze, które bezpośrednio lub pośrednio ustalają warunki umów konsumenckich, nie zawierają nieuczciwych warunków; w związku z tym nie wydaje się konieczne rozpatrywanie warunków umowy, które są zgodne z obowiązującymi przepisami ustawowymi lub wykonawczymi oraz zgodne z zasadami lub postanowieniami konwencji międzynarodowych, których stronami są Państwa Członkowskie lub Wspólnota; użyte w art. 1 ust. 2 sformułowanie »obowiązujące przepisy ustawowe lub wykonawcze« obejmuje również zasady, które zgodnie z</w:t>
      </w:r>
      <w:r w:rsidR="00CF29B1">
        <w:rPr>
          <w:lang w:val="pl"/>
        </w:rPr>
        <w:t> </w:t>
      </w:r>
      <w:r>
        <w:rPr>
          <w:lang w:val="pl"/>
        </w:rPr>
        <w:t>prawem będą stosowane między umawiającymi się stronami z zastrzeżeniem, że nie dokonano żadnych innych uzgodnień;”</w:t>
      </w:r>
    </w:p>
    <w:p w14:paraId="356CE0C0" w14:textId="52624F4E" w:rsidR="00C235AC" w:rsidRPr="00CF29B1" w:rsidRDefault="00C235AC" w:rsidP="009E131B">
      <w:pPr>
        <w:pStyle w:val="JuPara"/>
        <w:rPr>
          <w:rFonts w:ascii="Times New Roman" w:hAnsi="Times New Roman" w:cs="Times New Roman"/>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r>
        <w:rPr>
          <w:lang w:val="pl"/>
        </w:rPr>
        <w:t xml:space="preserve">.  Zgodnie z utrwalonym orzecznictwem Trybunału Sprawiedliwości Unii Europejskiej, art. 1 ust. 2 dyrektywy 93/13 stanowi, że warunki umowy powtarzające krajowe przepisy ustawowe lub wykonawcze, nie pociągające za sobą zmiany ich zakresu lub treści za pomocą klauzuli umownej, nie podlegają przepisom tej dyrektywy, tj. są wyłączone z zakresu stosowania dyrektywy, ponieważ zakłada się, że służą one równowadze umownej zagwarantowanej przez ustawodawcę krajowego (wyrok z 21.03.2013 r., sprawa C-92/11, RWE </w:t>
      </w:r>
      <w:proofErr w:type="spellStart"/>
      <w:r>
        <w:rPr>
          <w:lang w:val="pl"/>
        </w:rPr>
        <w:t>Vertrieb</w:t>
      </w:r>
      <w:proofErr w:type="spellEnd"/>
      <w:r>
        <w:rPr>
          <w:lang w:val="pl"/>
        </w:rPr>
        <w:t xml:space="preserve">, pkt 25–28; wyrok z 10.09.2014 r., sprawa C-34/13, </w:t>
      </w:r>
      <w:proofErr w:type="spellStart"/>
      <w:r>
        <w:rPr>
          <w:lang w:val="pl"/>
        </w:rPr>
        <w:t>Kusianova</w:t>
      </w:r>
      <w:proofErr w:type="spellEnd"/>
      <w:r>
        <w:rPr>
          <w:lang w:val="pl"/>
        </w:rPr>
        <w:t xml:space="preserve">, pkt 76-80; wyrok z 30.04.2014 r., sprawa C-26/13, </w:t>
      </w:r>
      <w:proofErr w:type="spellStart"/>
      <w:r>
        <w:rPr>
          <w:rFonts w:ascii="Times New Roman" w:hAnsi="Times New Roman"/>
          <w:lang w:val="pl"/>
        </w:rPr>
        <w:t>Árpád</w:t>
      </w:r>
      <w:proofErr w:type="spellEnd"/>
      <w:r>
        <w:rPr>
          <w:rFonts w:ascii="Times New Roman" w:hAnsi="Times New Roman"/>
          <w:lang w:val="pl"/>
        </w:rPr>
        <w:t xml:space="preserve"> </w:t>
      </w:r>
      <w:proofErr w:type="spellStart"/>
      <w:r>
        <w:rPr>
          <w:rFonts w:ascii="Times New Roman" w:hAnsi="Times New Roman"/>
          <w:lang w:val="pl"/>
        </w:rPr>
        <w:t>Kásler</w:t>
      </w:r>
      <w:proofErr w:type="spellEnd"/>
      <w:r>
        <w:rPr>
          <w:rFonts w:ascii="Times New Roman" w:hAnsi="Times New Roman"/>
          <w:lang w:val="pl"/>
        </w:rPr>
        <w:t xml:space="preserve"> i </w:t>
      </w:r>
      <w:proofErr w:type="spellStart"/>
      <w:r>
        <w:rPr>
          <w:rFonts w:ascii="Times New Roman" w:hAnsi="Times New Roman"/>
          <w:lang w:val="pl"/>
        </w:rPr>
        <w:t>Hajnalka</w:t>
      </w:r>
      <w:proofErr w:type="spellEnd"/>
      <w:r>
        <w:rPr>
          <w:rFonts w:ascii="Times New Roman" w:hAnsi="Times New Roman"/>
          <w:lang w:val="pl"/>
        </w:rPr>
        <w:t xml:space="preserve"> </w:t>
      </w:r>
      <w:proofErr w:type="spellStart"/>
      <w:r>
        <w:rPr>
          <w:rFonts w:ascii="Times New Roman" w:hAnsi="Times New Roman"/>
          <w:lang w:val="pl"/>
        </w:rPr>
        <w:t>Káslerné</w:t>
      </w:r>
      <w:proofErr w:type="spellEnd"/>
      <w:r>
        <w:rPr>
          <w:rFonts w:ascii="Times New Roman" w:hAnsi="Times New Roman"/>
          <w:lang w:val="pl"/>
        </w:rPr>
        <w:t xml:space="preserve"> </w:t>
      </w:r>
      <w:proofErr w:type="spellStart"/>
      <w:r>
        <w:rPr>
          <w:rFonts w:ascii="Times New Roman" w:hAnsi="Times New Roman"/>
          <w:lang w:val="pl"/>
        </w:rPr>
        <w:t>Rábai</w:t>
      </w:r>
      <w:proofErr w:type="spellEnd"/>
      <w:r>
        <w:rPr>
          <w:rFonts w:ascii="Times New Roman" w:hAnsi="Times New Roman"/>
          <w:lang w:val="pl"/>
        </w:rPr>
        <w:t xml:space="preserve"> przeciwko OTP </w:t>
      </w:r>
      <w:proofErr w:type="spellStart"/>
      <w:r>
        <w:rPr>
          <w:rFonts w:ascii="Times New Roman" w:hAnsi="Times New Roman"/>
          <w:lang w:val="pl"/>
        </w:rPr>
        <w:t>Jelzálogbank</w:t>
      </w:r>
      <w:proofErr w:type="spellEnd"/>
      <w:r>
        <w:rPr>
          <w:rFonts w:ascii="Times New Roman" w:hAnsi="Times New Roman"/>
          <w:lang w:val="pl"/>
        </w:rPr>
        <w:t xml:space="preserve"> </w:t>
      </w:r>
      <w:proofErr w:type="spellStart"/>
      <w:r>
        <w:rPr>
          <w:rFonts w:ascii="Times New Roman" w:hAnsi="Times New Roman"/>
          <w:lang w:val="pl"/>
        </w:rPr>
        <w:t>Zrt</w:t>
      </w:r>
      <w:proofErr w:type="spellEnd"/>
      <w:r>
        <w:rPr>
          <w:lang w:val="pl"/>
        </w:rPr>
        <w:t xml:space="preserve">, pkt 80–85; wyrok z 20.09.2017 r., sprawa C-186/16; </w:t>
      </w:r>
      <w:proofErr w:type="spellStart"/>
      <w:r>
        <w:rPr>
          <w:lang w:val="pl"/>
        </w:rPr>
        <w:t>Ruxandra</w:t>
      </w:r>
      <w:proofErr w:type="spellEnd"/>
      <w:r>
        <w:rPr>
          <w:lang w:val="pl"/>
        </w:rPr>
        <w:t xml:space="preserve"> przeciwko Banca </w:t>
      </w:r>
      <w:proofErr w:type="spellStart"/>
      <w:r>
        <w:rPr>
          <w:lang w:val="pl"/>
        </w:rPr>
        <w:t>Romaneska</w:t>
      </w:r>
      <w:proofErr w:type="spellEnd"/>
      <w:r>
        <w:rPr>
          <w:lang w:val="pl"/>
        </w:rPr>
        <w:t xml:space="preserve"> </w:t>
      </w:r>
      <w:proofErr w:type="spellStart"/>
      <w:r>
        <w:rPr>
          <w:lang w:val="pl"/>
        </w:rPr>
        <w:t>sa</w:t>
      </w:r>
      <w:proofErr w:type="spellEnd"/>
      <w:r>
        <w:rPr>
          <w:lang w:val="pl"/>
        </w:rPr>
        <w:t>, pkt 27–29). Ustawodawca unijny wyraźnie postanowił o zachowaniu tej równowagi, co wynika z postanowień motywu trzeciego i</w:t>
      </w:r>
      <w:r w:rsidR="00CF29B1">
        <w:rPr>
          <w:lang w:val="pl"/>
        </w:rPr>
        <w:t> </w:t>
      </w:r>
      <w:r>
        <w:rPr>
          <w:lang w:val="pl"/>
        </w:rPr>
        <w:t xml:space="preserve">art. 1 ust. 2 dyrektywy (wyrok z dnia 30 kwietnia 2014 r., sprawa C-280/13, Barclays Bank SA, pkt 41). Do sądu krajowego należy ustalenie, czy warunki będące przedmiotem zawisłego przed nim sporu odzwierciedlają bezwzględnie obowiązujące przepisy ustawowe lub wykonawcze, a zatem nie podlegają przepisom dyrektywy 93/13 (wyrok z dnia 30 maja 2013 r., sprawa C-488/11, </w:t>
      </w:r>
      <w:proofErr w:type="spellStart"/>
      <w:r>
        <w:rPr>
          <w:lang w:val="pl"/>
        </w:rPr>
        <w:t>Dirk</w:t>
      </w:r>
      <w:proofErr w:type="spellEnd"/>
      <w:r>
        <w:rPr>
          <w:lang w:val="pl"/>
        </w:rPr>
        <w:t xml:space="preserve"> Frederik </w:t>
      </w:r>
      <w:proofErr w:type="spellStart"/>
      <w:r>
        <w:rPr>
          <w:lang w:val="pl"/>
        </w:rPr>
        <w:t>Asbeek</w:t>
      </w:r>
      <w:proofErr w:type="spellEnd"/>
      <w:r>
        <w:rPr>
          <w:lang w:val="pl"/>
        </w:rPr>
        <w:t xml:space="preserve"> </w:t>
      </w:r>
      <w:proofErr w:type="spellStart"/>
      <w:r>
        <w:rPr>
          <w:lang w:val="pl"/>
        </w:rPr>
        <w:t>Brusse</w:t>
      </w:r>
      <w:proofErr w:type="spellEnd"/>
      <w:r>
        <w:rPr>
          <w:lang w:val="pl"/>
        </w:rPr>
        <w:t xml:space="preserve"> i Katarina de Man </w:t>
      </w:r>
      <w:proofErr w:type="spellStart"/>
      <w:r>
        <w:rPr>
          <w:lang w:val="pl"/>
        </w:rPr>
        <w:t>Grabito</w:t>
      </w:r>
      <w:proofErr w:type="spellEnd"/>
      <w:r>
        <w:rPr>
          <w:lang w:val="pl"/>
        </w:rPr>
        <w:t>, pkt 33).</w:t>
      </w:r>
    </w:p>
    <w:p w14:paraId="2CF6F39A" w14:textId="77777777" w:rsidR="00C235AC" w:rsidRPr="00CF29B1" w:rsidRDefault="00C235AC" w:rsidP="009E131B">
      <w:pPr>
        <w:pStyle w:val="JuPara"/>
        <w:rPr>
          <w:rFonts w:ascii="Times New Roman" w:hAnsi="Times New Roman" w:cs="Times New Roman"/>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40</w:t>
      </w:r>
      <w:r>
        <w:rPr>
          <w:lang w:val="pl"/>
        </w:rPr>
        <w:fldChar w:fldCharType="end"/>
      </w:r>
      <w:r>
        <w:rPr>
          <w:lang w:val="pl"/>
        </w:rPr>
        <w:t xml:space="preserve">.  W odniesieniu do obowiązku informowania konsumenta Trybunał Sprawiedliwości </w:t>
      </w:r>
      <w:r>
        <w:rPr>
          <w:rFonts w:ascii="Times New Roman" w:hAnsi="Times New Roman"/>
          <w:lang w:val="pl"/>
        </w:rPr>
        <w:t>Unii Europejskiej podkreślił</w:t>
      </w:r>
      <w:r>
        <w:rPr>
          <w:lang w:val="pl"/>
        </w:rPr>
        <w:t xml:space="preserve"> w przytoczonej sprawie C-26/13, </w:t>
      </w:r>
      <w:proofErr w:type="spellStart"/>
      <w:r>
        <w:rPr>
          <w:lang w:val="pl"/>
        </w:rPr>
        <w:t>Kásler</w:t>
      </w:r>
      <w:proofErr w:type="spellEnd"/>
      <w:r>
        <w:rPr>
          <w:lang w:val="pl"/>
        </w:rPr>
        <w:t xml:space="preserve"> i </w:t>
      </w:r>
      <w:proofErr w:type="spellStart"/>
      <w:r>
        <w:rPr>
          <w:rFonts w:ascii="Times New Roman" w:hAnsi="Times New Roman"/>
          <w:lang w:val="pl"/>
        </w:rPr>
        <w:t>Rábai</w:t>
      </w:r>
      <w:proofErr w:type="spellEnd"/>
      <w:r>
        <w:rPr>
          <w:lang w:val="pl"/>
        </w:rPr>
        <w:t>, co następuje:</w:t>
      </w:r>
    </w:p>
    <w:p w14:paraId="18EC2A39" w14:textId="77777777" w:rsidR="00C235AC" w:rsidRPr="00CF29B1" w:rsidRDefault="00C235AC" w:rsidP="009E131B">
      <w:pPr>
        <w:pStyle w:val="JuQuot"/>
        <w:rPr>
          <w:lang w:val="pl-PL"/>
        </w:rPr>
      </w:pPr>
      <w:r>
        <w:rPr>
          <w:lang w:val="pl"/>
        </w:rPr>
        <w:t xml:space="preserve">„70. Tymczasem w odniesieniu do art. 5 [dyrektywy 93/13] Trybunał miał już okazję orzec, że przed zawarciem umowy informacja o warunkach umownych i skutkach owego zawarcia ma fundamentalne znaczenie dla konsumenta. To w szczególności na podstawie tej informacji ten ostatni podejmuje decyzję, czy zamierza związać się warunkami sformułowanymi uprzednio przez przedsiębiorcę (zob. wyrok RWE </w:t>
      </w:r>
      <w:proofErr w:type="spellStart"/>
      <w:r>
        <w:rPr>
          <w:lang w:val="pl"/>
        </w:rPr>
        <w:t>Vertrieb</w:t>
      </w:r>
      <w:proofErr w:type="spellEnd"/>
      <w:r>
        <w:rPr>
          <w:lang w:val="pl"/>
        </w:rPr>
        <w:t>, EU:C:2013:180, pkt 44).</w:t>
      </w:r>
    </w:p>
    <w:p w14:paraId="371C86ED" w14:textId="4D1C2C16" w:rsidR="00C235AC" w:rsidRPr="00CF29B1" w:rsidRDefault="00C235AC" w:rsidP="009E131B">
      <w:pPr>
        <w:pStyle w:val="JuQuot"/>
        <w:rPr>
          <w:lang w:val="pl-PL"/>
        </w:rPr>
      </w:pPr>
      <w:bookmarkStart w:id="0" w:name="point73"/>
      <w:r>
        <w:rPr>
          <w:lang w:val="pl"/>
        </w:rPr>
        <w:t>71</w:t>
      </w:r>
      <w:bookmarkEnd w:id="0"/>
      <w:r>
        <w:rPr>
          <w:lang w:val="pl"/>
        </w:rPr>
        <w:t>. Wprowadzony w dyrektywie 93/13 wymóg przejrzystości warunków umownych nie może zatem zostać zawężony do ich zrozumiałości pod względem formalnym i</w:t>
      </w:r>
      <w:r w:rsidR="00CF29B1">
        <w:rPr>
          <w:lang w:val="pl"/>
        </w:rPr>
        <w:t> </w:t>
      </w:r>
      <w:r>
        <w:rPr>
          <w:lang w:val="pl"/>
        </w:rPr>
        <w:t>gramatycznym”.</w:t>
      </w:r>
    </w:p>
    <w:p w14:paraId="5C71111B" w14:textId="77777777" w:rsidR="00C235AC" w:rsidRPr="00CF29B1" w:rsidRDefault="00C235AC" w:rsidP="009E131B">
      <w:pPr>
        <w:pStyle w:val="JuPara"/>
        <w:rPr>
          <w:rFonts w:ascii="Times New Roman" w:hAnsi="Times New Roman" w:cs="Times New Roman"/>
          <w:lang w:val="pl-PL"/>
        </w:rPr>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r>
        <w:rPr>
          <w:lang w:val="pl"/>
        </w:rPr>
        <w:t xml:space="preserve">.  W tym samym duchu i w odniesieniu do ryzyka ponoszonego przez osoby fizyczne, które zaciągały pożyczki w obcej walucie, </w:t>
      </w:r>
      <w:r>
        <w:rPr>
          <w:rFonts w:ascii="Times New Roman" w:hAnsi="Times New Roman"/>
          <w:lang w:val="pl"/>
        </w:rPr>
        <w:t xml:space="preserve">Trybunał Sprawiedliwości Unii Europejskiej w wyroku z dnia 20 września 2018 r., </w:t>
      </w:r>
      <w:r>
        <w:rPr>
          <w:lang w:val="pl"/>
        </w:rPr>
        <w:t xml:space="preserve">OTP Bank </w:t>
      </w:r>
      <w:proofErr w:type="spellStart"/>
      <w:r>
        <w:rPr>
          <w:lang w:val="pl"/>
        </w:rPr>
        <w:t>Nyrt</w:t>
      </w:r>
      <w:proofErr w:type="spellEnd"/>
      <w:r>
        <w:rPr>
          <w:lang w:val="pl"/>
        </w:rPr>
        <w:t xml:space="preserve">. i OTP Faktoring </w:t>
      </w:r>
      <w:proofErr w:type="spellStart"/>
      <w:r>
        <w:rPr>
          <w:lang w:val="pl"/>
        </w:rPr>
        <w:t>Követeléskezelő</w:t>
      </w:r>
      <w:proofErr w:type="spellEnd"/>
      <w:r>
        <w:rPr>
          <w:lang w:val="pl"/>
        </w:rPr>
        <w:t xml:space="preserve"> </w:t>
      </w:r>
      <w:proofErr w:type="spellStart"/>
      <w:r>
        <w:rPr>
          <w:lang w:val="pl"/>
        </w:rPr>
        <w:t>Zrt</w:t>
      </w:r>
      <w:proofErr w:type="spellEnd"/>
      <w:r>
        <w:rPr>
          <w:lang w:val="pl"/>
        </w:rPr>
        <w:t xml:space="preserve">. przeciwko </w:t>
      </w:r>
      <w:proofErr w:type="spellStart"/>
      <w:r>
        <w:rPr>
          <w:lang w:val="pl"/>
        </w:rPr>
        <w:t>Teréz</w:t>
      </w:r>
      <w:proofErr w:type="spellEnd"/>
      <w:r>
        <w:rPr>
          <w:lang w:val="pl"/>
        </w:rPr>
        <w:t xml:space="preserve"> </w:t>
      </w:r>
      <w:proofErr w:type="spellStart"/>
      <w:r>
        <w:rPr>
          <w:lang w:val="pl"/>
        </w:rPr>
        <w:t>Ilyés</w:t>
      </w:r>
      <w:proofErr w:type="spellEnd"/>
      <w:r>
        <w:rPr>
          <w:lang w:val="pl"/>
        </w:rPr>
        <w:t xml:space="preserve"> i Emil Kiss</w:t>
      </w:r>
      <w:r>
        <w:rPr>
          <w:rFonts w:ascii="Times New Roman" w:hAnsi="Times New Roman"/>
          <w:lang w:val="pl"/>
        </w:rPr>
        <w:t xml:space="preserve"> (sprawa C-51/17) orzekł, co następuje:</w:t>
      </w:r>
    </w:p>
    <w:p w14:paraId="78AA1EEF" w14:textId="77777777" w:rsidR="00C235AC" w:rsidRPr="00CF29B1" w:rsidRDefault="00C235AC" w:rsidP="009E131B">
      <w:pPr>
        <w:pStyle w:val="JuQuot"/>
        <w:rPr>
          <w:lang w:val="pl-PL"/>
        </w:rPr>
      </w:pPr>
      <w:r>
        <w:rPr>
          <w:lang w:val="pl"/>
        </w:rPr>
        <w:t>„78. [...] art. 4 ust. 2 dyrektywy 93/13 należy interpretować w ten sposób, że wymóg, zgodnie z którym warunki umowy powinny być wyrażone prostym i zrozumiałym językiem, zobowiązuje instytucje finansowe do dostarczenia kredytobiorcom informacji wystarczających do podjęcia przez nich świadomych i rozważnych decyzji. W tym względzie wymóg ów oznacza, że warunek dotyczący ryzyka kursowego musi zostać zrozumiany przez konsumenta zarówno w aspekcie formalnym i gramatycznym, jak i w odniesieniu do jego konkretnego zakresu, tak aby właściwie poinformowany oraz dostatecznie uważny i rozsądny przeciętny konsument mógł nie tylko dowiedzieć się o możliwości spadku wartości waluty krajowej względem waluty obcej, w której kredyt był denominowany, ale również oszacować – potencjalnie istotne – konsekwencje ekonomiczne takiego warunku dla swoich zobowiązań finansowych”.</w:t>
      </w:r>
    </w:p>
    <w:p w14:paraId="3171A6C5" w14:textId="77777777" w:rsidR="00C235AC" w:rsidRPr="00CF29B1" w:rsidRDefault="00C235AC" w:rsidP="009E131B">
      <w:pPr>
        <w:pStyle w:val="JuPara"/>
        <w:rPr>
          <w:lang w:val="pl-PL"/>
        </w:rPr>
      </w:pPr>
      <w:r>
        <w:rPr>
          <w:lang w:val="pl"/>
        </w:rPr>
        <w:t>Ponadto w tym samym wyroku stwierdzono, że:</w:t>
      </w:r>
    </w:p>
    <w:p w14:paraId="7017956D" w14:textId="0EDEC651" w:rsidR="00C235AC" w:rsidRPr="00CF29B1" w:rsidRDefault="00C235AC" w:rsidP="009E131B">
      <w:pPr>
        <w:pStyle w:val="JuQuot"/>
        <w:rPr>
          <w:lang w:val="pl-PL"/>
        </w:rPr>
      </w:pPr>
      <w:r>
        <w:rPr>
          <w:lang w:val="pl"/>
        </w:rPr>
        <w:t>„52. Należy przypomnieć, że art. 1 ust. 2 dyrektywy 93/13, który dotyczy warunków umowy odzwierciedlających obowiązujące przepisy ustawowe lub wykonawcze, wprowadza wyłączenie z zakresu jej stosowania. Trybunał orzekł już, że owo wyłączenie wymaga spełnienia dwóch przesłanek. Po pierwsze, warunek umowy powinien odzwierciedlać przepis ustawowy lub wykonawczy, a po drugie, przepis ten musi być bezwzględnie obowiązujący (zob. podobnie wyrok z dnia 20 września 2017</w:t>
      </w:r>
      <w:r w:rsidR="00CF29B1">
        <w:rPr>
          <w:lang w:val="pl"/>
        </w:rPr>
        <w:t> </w:t>
      </w:r>
      <w:r>
        <w:rPr>
          <w:lang w:val="pl"/>
        </w:rPr>
        <w:t xml:space="preserve">r., </w:t>
      </w:r>
      <w:proofErr w:type="spellStart"/>
      <w:r>
        <w:rPr>
          <w:lang w:val="pl"/>
        </w:rPr>
        <w:t>Andriciuc</w:t>
      </w:r>
      <w:proofErr w:type="spellEnd"/>
      <w:r>
        <w:rPr>
          <w:lang w:val="pl"/>
        </w:rPr>
        <w:t xml:space="preserve"> i in., C</w:t>
      </w:r>
      <w:r>
        <w:rPr>
          <w:lang w:val="pl"/>
        </w:rPr>
        <w:noBreakHyphen/>
        <w:t>186/16, EU:C:2017:703, pkt 27, 28 i przytoczone tam orzecznictwo).</w:t>
      </w:r>
    </w:p>
    <w:p w14:paraId="53CC69D6" w14:textId="028CE9C2" w:rsidR="00C235AC" w:rsidRPr="00CF29B1" w:rsidRDefault="00C235AC" w:rsidP="009E131B">
      <w:pPr>
        <w:pStyle w:val="JuQuot"/>
        <w:rPr>
          <w:lang w:val="pl-PL"/>
        </w:rPr>
      </w:pPr>
      <w:r>
        <w:rPr>
          <w:lang w:val="pl"/>
        </w:rPr>
        <w:t xml:space="preserve">53. Owo wyłączenie stosowania systemu dyrektywy 93/13 jest uzasadnione okolicznością, że co do zasady istnieje uzasadnione przypuszczenie, iż ustawodawca krajowy dokonał wyważenia ogółu praw i obowiązków stron niektórych umów (zob. podobnie wyrok z dnia 21 marca 2013 r., RWE </w:t>
      </w:r>
      <w:proofErr w:type="spellStart"/>
      <w:r>
        <w:rPr>
          <w:lang w:val="pl"/>
        </w:rPr>
        <w:t>Vertrieb</w:t>
      </w:r>
      <w:proofErr w:type="spellEnd"/>
      <w:r>
        <w:rPr>
          <w:lang w:val="pl"/>
        </w:rPr>
        <w:t>, C</w:t>
      </w:r>
      <w:r>
        <w:rPr>
          <w:lang w:val="pl"/>
        </w:rPr>
        <w:noBreakHyphen/>
        <w:t>92/11, EU:C:2013:180, pkt</w:t>
      </w:r>
      <w:r w:rsidR="00CF29B1">
        <w:rPr>
          <w:lang w:val="pl"/>
        </w:rPr>
        <w:t> </w:t>
      </w:r>
      <w:r>
        <w:rPr>
          <w:lang w:val="pl"/>
        </w:rPr>
        <w:t>28).</w:t>
      </w:r>
    </w:p>
    <w:p w14:paraId="64051EAA" w14:textId="2A0EA3F8" w:rsidR="00C235AC" w:rsidRPr="00CF29B1" w:rsidRDefault="00C235AC" w:rsidP="009E131B">
      <w:pPr>
        <w:pStyle w:val="JuQuot"/>
        <w:rPr>
          <w:lang w:val="pl-PL"/>
        </w:rPr>
      </w:pPr>
      <w:r>
        <w:rPr>
          <w:lang w:val="pl"/>
        </w:rPr>
        <w:t xml:space="preserve">54. Jednakże Trybunał orzekł również, że sąd krajowy musi mieć na uwadze okoliczność, iż w świetle w szczególności celu wskazanej dyrektywy, obejmującego ochronę konsumentów przed nieuczciwymi warunkami występującymi w umowach zawieranych przez konsumentów z przedsiębiorcami, wyjątek ustanowiony w art. 1 ust. 2 tej dyrektywy podlega ścisłej wykładni (zob. podobnie wyrok z dnia </w:t>
      </w:r>
      <w:r>
        <w:rPr>
          <w:lang w:val="pl"/>
        </w:rPr>
        <w:lastRenderedPageBreak/>
        <w:t>20</w:t>
      </w:r>
      <w:r w:rsidR="00CF29B1">
        <w:rPr>
          <w:lang w:val="pl"/>
        </w:rPr>
        <w:t> </w:t>
      </w:r>
      <w:r>
        <w:rPr>
          <w:lang w:val="pl"/>
        </w:rPr>
        <w:t>września</w:t>
      </w:r>
      <w:r w:rsidR="00CF29B1">
        <w:rPr>
          <w:lang w:val="pl"/>
        </w:rPr>
        <w:t> </w:t>
      </w:r>
      <w:r>
        <w:rPr>
          <w:lang w:val="pl"/>
        </w:rPr>
        <w:t>2017</w:t>
      </w:r>
      <w:r w:rsidR="00CF29B1">
        <w:rPr>
          <w:lang w:val="pl"/>
        </w:rPr>
        <w:t> </w:t>
      </w:r>
      <w:r>
        <w:rPr>
          <w:lang w:val="pl"/>
        </w:rPr>
        <w:t xml:space="preserve">r., </w:t>
      </w:r>
      <w:proofErr w:type="spellStart"/>
      <w:r>
        <w:rPr>
          <w:lang w:val="pl"/>
        </w:rPr>
        <w:t>Andriciuc</w:t>
      </w:r>
      <w:proofErr w:type="spellEnd"/>
      <w:r>
        <w:rPr>
          <w:lang w:val="pl"/>
        </w:rPr>
        <w:t xml:space="preserve"> i in., C</w:t>
      </w:r>
      <w:r>
        <w:rPr>
          <w:lang w:val="pl"/>
        </w:rPr>
        <w:noBreakHyphen/>
        <w:t>186/16, EU:C:2017:703, pkt 31 i przytoczone tam orzecznictwo)”.</w:t>
      </w:r>
    </w:p>
    <w:p w14:paraId="33765D7D" w14:textId="77777777" w:rsidR="00C235AC" w:rsidRPr="00CF29B1" w:rsidRDefault="00C235AC" w:rsidP="009E131B">
      <w:pPr>
        <w:pStyle w:val="JuPara"/>
        <w:rPr>
          <w:rFonts w:ascii="Times New Roman" w:hAnsi="Times New Roman" w:cs="Times New Roman"/>
          <w:lang w:val="pl-PL"/>
        </w:rPr>
      </w:pPr>
      <w:r>
        <w:rPr>
          <w:rFonts w:ascii="Times New Roman" w:hAnsi="Times New Roman" w:cs="Times New Roman"/>
          <w:lang w:val="pl"/>
        </w:rPr>
        <w:fldChar w:fldCharType="begin"/>
      </w:r>
      <w:r>
        <w:rPr>
          <w:rFonts w:ascii="Times New Roman" w:hAnsi="Times New Roman" w:cs="Times New Roman"/>
          <w:lang w:val="pl"/>
        </w:rPr>
        <w:instrText xml:space="preserve"> SEQ level0 \*arabic </w:instrText>
      </w:r>
      <w:r>
        <w:rPr>
          <w:rFonts w:ascii="Times New Roman" w:hAnsi="Times New Roman" w:cs="Times New Roman"/>
          <w:lang w:val="pl"/>
        </w:rPr>
        <w:fldChar w:fldCharType="separate"/>
      </w:r>
      <w:r>
        <w:rPr>
          <w:rFonts w:ascii="Times New Roman" w:hAnsi="Times New Roman" w:cs="Times New Roman"/>
          <w:noProof/>
          <w:lang w:val="pl"/>
        </w:rPr>
        <w:t>42</w:t>
      </w:r>
      <w:r>
        <w:rPr>
          <w:rFonts w:ascii="Times New Roman" w:hAnsi="Times New Roman" w:cs="Times New Roman"/>
          <w:lang w:val="pl"/>
        </w:rPr>
        <w:fldChar w:fldCharType="end"/>
      </w:r>
      <w:r>
        <w:rPr>
          <w:rFonts w:ascii="Times New Roman" w:hAnsi="Times New Roman" w:cs="Times New Roman"/>
          <w:lang w:val="pl"/>
        </w:rPr>
        <w:t xml:space="preserve">.  W innym wyroku z dnia 9 lipca 2020 r., NG i OH przeciwko SC Banca </w:t>
      </w:r>
      <w:proofErr w:type="spellStart"/>
      <w:r>
        <w:rPr>
          <w:rFonts w:ascii="Times New Roman" w:hAnsi="Times New Roman" w:cs="Times New Roman"/>
          <w:lang w:val="pl"/>
        </w:rPr>
        <w:t>Transilvania</w:t>
      </w:r>
      <w:proofErr w:type="spellEnd"/>
      <w:r>
        <w:rPr>
          <w:rFonts w:ascii="Times New Roman" w:hAnsi="Times New Roman" w:cs="Times New Roman"/>
          <w:lang w:val="pl"/>
        </w:rPr>
        <w:t xml:space="preserve"> (sprawa C-81/19), Trybunał Sprawiedliwości Unii Europejskiej stwierdził, co następuje:</w:t>
      </w:r>
    </w:p>
    <w:p w14:paraId="5EED564E" w14:textId="77777777" w:rsidR="00C235AC" w:rsidRPr="00CF29B1" w:rsidRDefault="00C235AC" w:rsidP="009E131B">
      <w:pPr>
        <w:pStyle w:val="JuQuot"/>
        <w:rPr>
          <w:lang w:val="pl-PL"/>
        </w:rPr>
      </w:pPr>
      <w:r>
        <w:rPr>
          <w:lang w:val="pl"/>
        </w:rPr>
        <w:t>„23.  Należy przypomnieć, że art. 1 ust. 2 dyrektywy 93/13, który dotyczy warunków umowy odzwierciedlających obowiązujące przepisy ustawowe lub wykonawcze, wprowadza wyłączenie z zakresu jej stosowania (wyrok z dnia 20 września 2018 r. OTP Bank i OTP Faktoring, C</w:t>
      </w:r>
      <w:r>
        <w:rPr>
          <w:lang w:val="pl"/>
        </w:rPr>
        <w:noBreakHyphen/>
        <w:t>51/17, EU:C:2018:750, pkt 52).</w:t>
      </w:r>
    </w:p>
    <w:p w14:paraId="5214DCA1" w14:textId="77777777" w:rsidR="00C235AC" w:rsidRPr="00CF29B1" w:rsidRDefault="00C235AC" w:rsidP="009E131B">
      <w:pPr>
        <w:pStyle w:val="JuQuot"/>
        <w:rPr>
          <w:lang w:val="pl-PL"/>
        </w:rPr>
      </w:pPr>
      <w:bookmarkStart w:id="1" w:name="point24"/>
      <w:r>
        <w:rPr>
          <w:lang w:val="pl"/>
        </w:rPr>
        <w:t>24</w:t>
      </w:r>
      <w:bookmarkEnd w:id="1"/>
      <w:r>
        <w:rPr>
          <w:lang w:val="pl"/>
        </w:rPr>
        <w:t xml:space="preserve">. Wyłączenie to podlega ścisłej wykładni, a jego zastosowanie wymaga spełnienia dwóch przesłanek, a mianowicie, po pierwsze, by warunek umowny powinien odzwierciedlać przepis ustawowy lub wykonawczy, a po drugie, by przepis ten powinien mieć charakter bezwzględnie wiążący (zob. podobnie wyrok z dnia 3 marca 2020 r., </w:t>
      </w:r>
      <w:proofErr w:type="spellStart"/>
      <w:r>
        <w:rPr>
          <w:lang w:val="pl"/>
        </w:rPr>
        <w:t>Gómez</w:t>
      </w:r>
      <w:proofErr w:type="spellEnd"/>
      <w:r>
        <w:rPr>
          <w:lang w:val="pl"/>
        </w:rPr>
        <w:t xml:space="preserve"> del </w:t>
      </w:r>
      <w:proofErr w:type="spellStart"/>
      <w:r>
        <w:rPr>
          <w:lang w:val="pl"/>
        </w:rPr>
        <w:t>Moral</w:t>
      </w:r>
      <w:proofErr w:type="spellEnd"/>
      <w:r>
        <w:rPr>
          <w:lang w:val="pl"/>
        </w:rPr>
        <w:t xml:space="preserve"> </w:t>
      </w:r>
      <w:proofErr w:type="spellStart"/>
      <w:r>
        <w:rPr>
          <w:lang w:val="pl"/>
        </w:rPr>
        <w:t>Guasch</w:t>
      </w:r>
      <w:proofErr w:type="spellEnd"/>
      <w:r>
        <w:rPr>
          <w:lang w:val="pl"/>
        </w:rPr>
        <w:t>, C</w:t>
      </w:r>
      <w:r>
        <w:rPr>
          <w:lang w:val="pl"/>
        </w:rPr>
        <w:noBreakHyphen/>
        <w:t>125/18, EU:C:2020:138, pkt 30, 31 i przytoczone tam orzecznictwo).</w:t>
      </w:r>
    </w:p>
    <w:p w14:paraId="0560F4B8" w14:textId="77777777" w:rsidR="00C235AC" w:rsidRPr="00CF29B1" w:rsidRDefault="00C235AC" w:rsidP="009E131B">
      <w:pPr>
        <w:pStyle w:val="JuQuot"/>
        <w:rPr>
          <w:lang w:val="pl-PL"/>
        </w:rPr>
      </w:pPr>
      <w:bookmarkStart w:id="2" w:name="point25"/>
      <w:r>
        <w:rPr>
          <w:lang w:val="pl"/>
        </w:rPr>
        <w:t>25</w:t>
      </w:r>
      <w:bookmarkEnd w:id="2"/>
      <w:r>
        <w:rPr>
          <w:lang w:val="pl"/>
        </w:rPr>
        <w:t xml:space="preserve">. Jak wynika z motywu trzynastego dyrektywy 93/13, użyte w art. 1 ust. 2 tej dyrektywy sformułowanie »obowiązujące przepisy ustawowe lub wykonawcze« obejmuje również zasady, które zgodnie z prawem krajowym będą stosowane między umawiającymi się stronami, w sytuacji gdy nie dokonano żadnych innych uzgodnień (zob. podobnie wyroki: z dnia 21 marca 2013 r., RWE </w:t>
      </w:r>
      <w:proofErr w:type="spellStart"/>
      <w:r>
        <w:rPr>
          <w:lang w:val="pl"/>
        </w:rPr>
        <w:t>Vertrieb</w:t>
      </w:r>
      <w:proofErr w:type="spellEnd"/>
      <w:r>
        <w:rPr>
          <w:lang w:val="pl"/>
        </w:rPr>
        <w:t>, C</w:t>
      </w:r>
      <w:r>
        <w:rPr>
          <w:lang w:val="pl"/>
        </w:rPr>
        <w:noBreakHyphen/>
        <w:t xml:space="preserve">92/11, EU:C:2013:180, pkt 26; z dnia 3 kwietnia 2019 r., </w:t>
      </w:r>
      <w:proofErr w:type="spellStart"/>
      <w:r>
        <w:rPr>
          <w:lang w:val="pl"/>
        </w:rPr>
        <w:t>Aqua</w:t>
      </w:r>
      <w:proofErr w:type="spellEnd"/>
      <w:r>
        <w:rPr>
          <w:lang w:val="pl"/>
        </w:rPr>
        <w:t xml:space="preserve"> </w:t>
      </w:r>
      <w:proofErr w:type="spellStart"/>
      <w:r>
        <w:rPr>
          <w:lang w:val="pl"/>
        </w:rPr>
        <w:t>Med</w:t>
      </w:r>
      <w:proofErr w:type="spellEnd"/>
      <w:r>
        <w:rPr>
          <w:lang w:val="pl"/>
        </w:rPr>
        <w:t>, C</w:t>
      </w:r>
      <w:r>
        <w:rPr>
          <w:lang w:val="pl"/>
        </w:rPr>
        <w:noBreakHyphen/>
        <w:t>266/18, EU:C:2019:282, pkt 29).</w:t>
      </w:r>
    </w:p>
    <w:p w14:paraId="7398DD5B" w14:textId="77777777" w:rsidR="00C235AC" w:rsidRPr="00CF29B1" w:rsidRDefault="00C235AC" w:rsidP="009E131B">
      <w:pPr>
        <w:pStyle w:val="JuQuot"/>
        <w:rPr>
          <w:lang w:val="pl-PL"/>
        </w:rPr>
      </w:pPr>
      <w:bookmarkStart w:id="3" w:name="point26"/>
      <w:r>
        <w:rPr>
          <w:lang w:val="pl"/>
        </w:rPr>
        <w:t>26</w:t>
      </w:r>
      <w:bookmarkEnd w:id="3"/>
      <w:r>
        <w:rPr>
          <w:lang w:val="pl"/>
        </w:rPr>
        <w:t xml:space="preserve">. Trybunał wielokrotnie orzekł, że wspomniane wyłączenie stosowania przepisów dyrektywy 93/13 jest uzasadnione okolicznością, iż można zazwyczaj zasadnie przypuszczać, że ustawodawca krajowy dokonał wyważenia ogółu praw i obowiązków stron niektórych umów (zob. wyroki: z dnia 21 marca 2013 r., RWE </w:t>
      </w:r>
      <w:proofErr w:type="spellStart"/>
      <w:r>
        <w:rPr>
          <w:lang w:val="pl"/>
        </w:rPr>
        <w:t>Vertrieb</w:t>
      </w:r>
      <w:proofErr w:type="spellEnd"/>
      <w:r>
        <w:rPr>
          <w:lang w:val="pl"/>
        </w:rPr>
        <w:t>, C</w:t>
      </w:r>
      <w:r>
        <w:rPr>
          <w:lang w:val="pl"/>
        </w:rPr>
        <w:noBreakHyphen/>
        <w:t>92/11, EU:C:2013:180, pkt 28; a także z dnia 20 września 2018 r., OTP Bank i OTP Faktoring, C</w:t>
      </w:r>
      <w:r>
        <w:rPr>
          <w:lang w:val="pl"/>
        </w:rPr>
        <w:noBreakHyphen/>
        <w:t>51/17, EU:C:2018:750, pkt 53).</w:t>
      </w:r>
    </w:p>
    <w:p w14:paraId="4A70D3D5" w14:textId="77777777" w:rsidR="00C235AC" w:rsidRPr="00CF29B1" w:rsidRDefault="00C235AC" w:rsidP="009E131B">
      <w:pPr>
        <w:pStyle w:val="JuQuot"/>
        <w:rPr>
          <w:lang w:val="pl-PL"/>
        </w:rPr>
      </w:pPr>
      <w:bookmarkStart w:id="4" w:name="point27"/>
      <w:r>
        <w:rPr>
          <w:lang w:val="pl"/>
        </w:rPr>
        <w:t>27</w:t>
      </w:r>
      <w:bookmarkEnd w:id="4"/>
      <w:r>
        <w:rPr>
          <w:lang w:val="pl"/>
        </w:rPr>
        <w:t>. W konsekwencji okoliczność, że ustawodawca krajowy dokonał wyważenia ogółu praw i obowiązków stron niektórych umów, nie stanowi warunku zastosowania wyłączenia, o którym mowa w art. 1 ust. 2 dyrektywy 93/13, lecz uzasadnienie takiego wyłączenia”.</w:t>
      </w:r>
    </w:p>
    <w:p w14:paraId="657B823F" w14:textId="2A0AD306" w:rsidR="00C235AC" w:rsidRPr="00CF29B1" w:rsidRDefault="0013209D" w:rsidP="009E131B">
      <w:pPr>
        <w:pStyle w:val="JuPara"/>
        <w:rPr>
          <w:b/>
          <w:bCs/>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r>
        <w:rPr>
          <w:b/>
          <w:bCs/>
          <w:lang w:val="pl"/>
        </w:rPr>
        <w:t>.  </w:t>
      </w:r>
      <w:r>
        <w:rPr>
          <w:lang w:val="pl"/>
        </w:rPr>
        <w:t>Podobną argumentację do powyższego wyroku zawierają również następujące wyroki Trybunału Sprawiedliwości Unii Europejskiej: wyrok z</w:t>
      </w:r>
      <w:r w:rsidR="00CF29B1">
        <w:rPr>
          <w:lang w:val="pl"/>
        </w:rPr>
        <w:t> </w:t>
      </w:r>
      <w:r>
        <w:rPr>
          <w:lang w:val="pl"/>
        </w:rPr>
        <w:t>7</w:t>
      </w:r>
      <w:r w:rsidR="00CF29B1">
        <w:rPr>
          <w:lang w:val="pl"/>
        </w:rPr>
        <w:t> </w:t>
      </w:r>
      <w:r>
        <w:rPr>
          <w:lang w:val="pl"/>
        </w:rPr>
        <w:t xml:space="preserve">lipca 2019 r., sprawy C-349/18 do C-351/18, </w:t>
      </w:r>
      <w:proofErr w:type="spellStart"/>
      <w:r>
        <w:rPr>
          <w:lang w:val="pl"/>
        </w:rPr>
        <w:t>Nationale</w:t>
      </w:r>
      <w:proofErr w:type="spellEnd"/>
      <w:r>
        <w:rPr>
          <w:lang w:val="pl"/>
        </w:rPr>
        <w:t xml:space="preserve"> </w:t>
      </w:r>
      <w:proofErr w:type="spellStart"/>
      <w:r>
        <w:rPr>
          <w:lang w:val="pl"/>
        </w:rPr>
        <w:t>Maatschappij</w:t>
      </w:r>
      <w:proofErr w:type="spellEnd"/>
      <w:r>
        <w:rPr>
          <w:lang w:val="pl"/>
        </w:rPr>
        <w:t xml:space="preserve"> der </w:t>
      </w:r>
      <w:proofErr w:type="spellStart"/>
      <w:r>
        <w:rPr>
          <w:lang w:val="pl"/>
        </w:rPr>
        <w:t>Belgische</w:t>
      </w:r>
      <w:proofErr w:type="spellEnd"/>
      <w:r>
        <w:rPr>
          <w:lang w:val="pl"/>
        </w:rPr>
        <w:t xml:space="preserve"> </w:t>
      </w:r>
      <w:proofErr w:type="spellStart"/>
      <w:r>
        <w:rPr>
          <w:lang w:val="pl"/>
        </w:rPr>
        <w:t>Spoorwengen</w:t>
      </w:r>
      <w:proofErr w:type="spellEnd"/>
      <w:r>
        <w:rPr>
          <w:lang w:val="pl"/>
        </w:rPr>
        <w:t xml:space="preserve"> przeciwko  </w:t>
      </w:r>
      <w:proofErr w:type="spellStart"/>
      <w:r>
        <w:rPr>
          <w:lang w:val="pl"/>
        </w:rPr>
        <w:t>Mbutuku</w:t>
      </w:r>
      <w:proofErr w:type="spellEnd"/>
      <w:r>
        <w:rPr>
          <w:lang w:val="pl"/>
        </w:rPr>
        <w:t xml:space="preserve"> </w:t>
      </w:r>
      <w:proofErr w:type="spellStart"/>
      <w:r>
        <w:rPr>
          <w:lang w:val="pl"/>
        </w:rPr>
        <w:t>Kanyeba</w:t>
      </w:r>
      <w:proofErr w:type="spellEnd"/>
      <w:r>
        <w:rPr>
          <w:lang w:val="pl"/>
        </w:rPr>
        <w:t xml:space="preserve">, </w:t>
      </w:r>
      <w:proofErr w:type="spellStart"/>
      <w:r>
        <w:rPr>
          <w:lang w:val="pl"/>
        </w:rPr>
        <w:t>Larissa</w:t>
      </w:r>
      <w:proofErr w:type="spellEnd"/>
      <w:r>
        <w:rPr>
          <w:lang w:val="pl"/>
        </w:rPr>
        <w:t xml:space="preserve"> </w:t>
      </w:r>
      <w:proofErr w:type="spellStart"/>
      <w:r>
        <w:rPr>
          <w:lang w:val="pl"/>
        </w:rPr>
        <w:t>Niejs</w:t>
      </w:r>
      <w:proofErr w:type="spellEnd"/>
      <w:r>
        <w:rPr>
          <w:lang w:val="pl"/>
        </w:rPr>
        <w:t xml:space="preserve">, Jean-Louis Anita </w:t>
      </w:r>
      <w:proofErr w:type="spellStart"/>
      <w:r>
        <w:rPr>
          <w:lang w:val="pl"/>
        </w:rPr>
        <w:t>Dedroog</w:t>
      </w:r>
      <w:proofErr w:type="spellEnd"/>
      <w:r>
        <w:rPr>
          <w:lang w:val="pl"/>
        </w:rPr>
        <w:t xml:space="preserve">, pkt 57 i nast.; wyrok z 3 października 2019 r., sprawa C-260/18, Kamil Dziubak, Justyna Dziubak przeciwko Raiffeisen International AG, pkt 45, 48 i 59; wyrok z 20 września 2017 r., sprawa C-186/16, </w:t>
      </w:r>
      <w:proofErr w:type="spellStart"/>
      <w:r>
        <w:rPr>
          <w:lang w:val="pl"/>
        </w:rPr>
        <w:t>Ruxandra</w:t>
      </w:r>
      <w:proofErr w:type="spellEnd"/>
      <w:r>
        <w:rPr>
          <w:lang w:val="pl"/>
        </w:rPr>
        <w:t xml:space="preserve"> przeciwko Banka </w:t>
      </w:r>
      <w:proofErr w:type="spellStart"/>
      <w:r>
        <w:rPr>
          <w:lang w:val="pl"/>
        </w:rPr>
        <w:t>Romaneska</w:t>
      </w:r>
      <w:proofErr w:type="spellEnd"/>
      <w:r>
        <w:rPr>
          <w:lang w:val="pl"/>
        </w:rPr>
        <w:t xml:space="preserve"> SA, pkt 27–29 i 32; wyrok z 20 września 2018 r., sprawa C-51/17, OTP Bank </w:t>
      </w:r>
      <w:proofErr w:type="spellStart"/>
      <w:r>
        <w:rPr>
          <w:lang w:val="pl"/>
        </w:rPr>
        <w:t>Nyrt</w:t>
      </w:r>
      <w:proofErr w:type="spellEnd"/>
      <w:r>
        <w:rPr>
          <w:lang w:val="pl"/>
        </w:rPr>
        <w:t xml:space="preserve"> i OTP Faktoring </w:t>
      </w:r>
      <w:proofErr w:type="spellStart"/>
      <w:r>
        <w:rPr>
          <w:lang w:val="pl"/>
        </w:rPr>
        <w:t>Követeléskezelő</w:t>
      </w:r>
      <w:proofErr w:type="spellEnd"/>
      <w:r>
        <w:rPr>
          <w:lang w:val="pl"/>
        </w:rPr>
        <w:t xml:space="preserve"> </w:t>
      </w:r>
      <w:proofErr w:type="spellStart"/>
      <w:r>
        <w:rPr>
          <w:lang w:val="pl"/>
        </w:rPr>
        <w:t>Zrt</w:t>
      </w:r>
      <w:proofErr w:type="spellEnd"/>
      <w:r>
        <w:rPr>
          <w:lang w:val="pl"/>
        </w:rPr>
        <w:t xml:space="preserve">. przeciwko </w:t>
      </w:r>
      <w:proofErr w:type="spellStart"/>
      <w:r>
        <w:rPr>
          <w:lang w:val="pl"/>
        </w:rPr>
        <w:t>Terez</w:t>
      </w:r>
      <w:proofErr w:type="spellEnd"/>
      <w:r>
        <w:rPr>
          <w:lang w:val="pl"/>
        </w:rPr>
        <w:t xml:space="preserve"> </w:t>
      </w:r>
      <w:proofErr w:type="spellStart"/>
      <w:r>
        <w:rPr>
          <w:lang w:val="pl"/>
        </w:rPr>
        <w:t>Ilyés</w:t>
      </w:r>
      <w:proofErr w:type="spellEnd"/>
      <w:r>
        <w:rPr>
          <w:lang w:val="pl"/>
        </w:rPr>
        <w:t xml:space="preserve">, pkt 20, 52, 53, 63,64, 70 i 77; wyrok z 23 października 2014 r., sprawy C-359/11 i C-400/11, Alexandra Schultz i </w:t>
      </w:r>
      <w:proofErr w:type="spellStart"/>
      <w:r>
        <w:rPr>
          <w:lang w:val="pl"/>
        </w:rPr>
        <w:t>Technische</w:t>
      </w:r>
      <w:proofErr w:type="spellEnd"/>
      <w:r>
        <w:rPr>
          <w:lang w:val="pl"/>
        </w:rPr>
        <w:t xml:space="preserve"> </w:t>
      </w:r>
      <w:proofErr w:type="spellStart"/>
      <w:r>
        <w:rPr>
          <w:lang w:val="pl"/>
        </w:rPr>
        <w:t>Werke</w:t>
      </w:r>
      <w:proofErr w:type="spellEnd"/>
      <w:r>
        <w:rPr>
          <w:lang w:val="pl"/>
        </w:rPr>
        <w:t xml:space="preserve"> </w:t>
      </w:r>
      <w:proofErr w:type="spellStart"/>
      <w:r>
        <w:rPr>
          <w:lang w:val="pl"/>
        </w:rPr>
        <w:t>Schussental</w:t>
      </w:r>
      <w:proofErr w:type="spellEnd"/>
      <w:r>
        <w:rPr>
          <w:lang w:val="pl"/>
        </w:rPr>
        <w:t xml:space="preserve"> GmbH </w:t>
      </w:r>
      <w:proofErr w:type="spellStart"/>
      <w:r>
        <w:rPr>
          <w:lang w:val="pl"/>
        </w:rPr>
        <w:t>und</w:t>
      </w:r>
      <w:proofErr w:type="spellEnd"/>
      <w:r>
        <w:rPr>
          <w:lang w:val="pl"/>
        </w:rPr>
        <w:t xml:space="preserve"> Co. oraz Josef </w:t>
      </w:r>
      <w:proofErr w:type="spellStart"/>
      <w:r>
        <w:rPr>
          <w:lang w:val="pl"/>
        </w:rPr>
        <w:t>Egbringhoff</w:t>
      </w:r>
      <w:proofErr w:type="spellEnd"/>
      <w:r>
        <w:rPr>
          <w:lang w:val="pl"/>
        </w:rPr>
        <w:t xml:space="preserve"> przeciwko </w:t>
      </w:r>
      <w:proofErr w:type="spellStart"/>
      <w:r>
        <w:rPr>
          <w:lang w:val="pl"/>
        </w:rPr>
        <w:t>Stadtwerke</w:t>
      </w:r>
      <w:proofErr w:type="spellEnd"/>
      <w:r>
        <w:rPr>
          <w:lang w:val="pl"/>
        </w:rPr>
        <w:t xml:space="preserve"> </w:t>
      </w:r>
      <w:proofErr w:type="spellStart"/>
      <w:r>
        <w:rPr>
          <w:lang w:val="pl"/>
        </w:rPr>
        <w:t>Ahaus</w:t>
      </w:r>
      <w:proofErr w:type="spellEnd"/>
      <w:r>
        <w:rPr>
          <w:lang w:val="pl"/>
        </w:rPr>
        <w:t xml:space="preserve"> GmbH, pkt 51; wyrok z</w:t>
      </w:r>
      <w:r w:rsidR="00CF29B1">
        <w:rPr>
          <w:lang w:val="pl"/>
        </w:rPr>
        <w:t> </w:t>
      </w:r>
      <w:r>
        <w:rPr>
          <w:lang w:val="pl"/>
        </w:rPr>
        <w:t>10</w:t>
      </w:r>
      <w:r w:rsidR="00CF29B1">
        <w:rPr>
          <w:lang w:val="pl"/>
        </w:rPr>
        <w:t> </w:t>
      </w:r>
      <w:r>
        <w:rPr>
          <w:lang w:val="pl"/>
        </w:rPr>
        <w:t xml:space="preserve">września 2014 r., sprawa C-34/13, Monika </w:t>
      </w:r>
      <w:proofErr w:type="spellStart"/>
      <w:r>
        <w:rPr>
          <w:lang w:val="pl"/>
        </w:rPr>
        <w:t>Kusionnova</w:t>
      </w:r>
      <w:proofErr w:type="spellEnd"/>
      <w:r>
        <w:rPr>
          <w:lang w:val="pl"/>
        </w:rPr>
        <w:t xml:space="preserve"> przeciwko </w:t>
      </w:r>
      <w:r>
        <w:rPr>
          <w:lang w:val="pl"/>
        </w:rPr>
        <w:lastRenderedPageBreak/>
        <w:t xml:space="preserve">Smart Capital </w:t>
      </w:r>
      <w:proofErr w:type="spellStart"/>
      <w:r>
        <w:rPr>
          <w:lang w:val="pl"/>
        </w:rPr>
        <w:t>a.s</w:t>
      </w:r>
      <w:proofErr w:type="spellEnd"/>
      <w:r>
        <w:rPr>
          <w:lang w:val="pl"/>
        </w:rPr>
        <w:t xml:space="preserve">, pkt 76 i 79; wyrok z 30 kwietnia 2014 r., sprawa C-26/13, </w:t>
      </w:r>
      <w:proofErr w:type="spellStart"/>
      <w:r>
        <w:rPr>
          <w:rFonts w:ascii="Times New Roman" w:hAnsi="Times New Roman"/>
          <w:lang w:val="pl"/>
        </w:rPr>
        <w:t>Árpád</w:t>
      </w:r>
      <w:proofErr w:type="spellEnd"/>
      <w:r>
        <w:rPr>
          <w:rFonts w:ascii="Times New Roman" w:hAnsi="Times New Roman"/>
          <w:lang w:val="pl"/>
        </w:rPr>
        <w:t xml:space="preserve"> </w:t>
      </w:r>
      <w:proofErr w:type="spellStart"/>
      <w:r>
        <w:rPr>
          <w:rFonts w:ascii="Times New Roman" w:hAnsi="Times New Roman"/>
          <w:lang w:val="pl"/>
        </w:rPr>
        <w:t>Kásler</w:t>
      </w:r>
      <w:proofErr w:type="spellEnd"/>
      <w:r>
        <w:rPr>
          <w:rFonts w:ascii="Times New Roman" w:hAnsi="Times New Roman"/>
          <w:lang w:val="pl"/>
        </w:rPr>
        <w:t xml:space="preserve"> i </w:t>
      </w:r>
      <w:proofErr w:type="spellStart"/>
      <w:r>
        <w:rPr>
          <w:rFonts w:ascii="Times New Roman" w:hAnsi="Times New Roman"/>
          <w:lang w:val="pl"/>
        </w:rPr>
        <w:t>Hajnalka</w:t>
      </w:r>
      <w:proofErr w:type="spellEnd"/>
      <w:r>
        <w:rPr>
          <w:rFonts w:ascii="Times New Roman" w:hAnsi="Times New Roman"/>
          <w:lang w:val="pl"/>
        </w:rPr>
        <w:t xml:space="preserve"> </w:t>
      </w:r>
      <w:proofErr w:type="spellStart"/>
      <w:r>
        <w:rPr>
          <w:rFonts w:ascii="Times New Roman" w:hAnsi="Times New Roman"/>
          <w:lang w:val="pl"/>
        </w:rPr>
        <w:t>Káslerné</w:t>
      </w:r>
      <w:proofErr w:type="spellEnd"/>
      <w:r>
        <w:rPr>
          <w:rFonts w:ascii="Times New Roman" w:hAnsi="Times New Roman"/>
          <w:lang w:val="pl"/>
        </w:rPr>
        <w:t xml:space="preserve"> </w:t>
      </w:r>
      <w:proofErr w:type="spellStart"/>
      <w:r>
        <w:rPr>
          <w:rFonts w:ascii="Times New Roman" w:hAnsi="Times New Roman"/>
          <w:lang w:val="pl"/>
        </w:rPr>
        <w:t>Rábai</w:t>
      </w:r>
      <w:proofErr w:type="spellEnd"/>
      <w:r>
        <w:rPr>
          <w:lang w:val="pl"/>
        </w:rPr>
        <w:t xml:space="preserve"> przeciwko </w:t>
      </w:r>
      <w:proofErr w:type="spellStart"/>
      <w:r>
        <w:rPr>
          <w:lang w:val="pl"/>
        </w:rPr>
        <w:t>Jelzalogbank</w:t>
      </w:r>
      <w:proofErr w:type="spellEnd"/>
      <w:r>
        <w:rPr>
          <w:lang w:val="pl"/>
        </w:rPr>
        <w:t xml:space="preserve"> </w:t>
      </w:r>
      <w:proofErr w:type="spellStart"/>
      <w:r>
        <w:rPr>
          <w:lang w:val="pl"/>
        </w:rPr>
        <w:t>Zrt</w:t>
      </w:r>
      <w:proofErr w:type="spellEnd"/>
      <w:r>
        <w:rPr>
          <w:lang w:val="pl"/>
        </w:rPr>
        <w:t xml:space="preserve">, pkt 80, 82 i 85; wyrok z 21 marca 2013 r., sprawa C-92/11, RWE </w:t>
      </w:r>
      <w:proofErr w:type="spellStart"/>
      <w:r>
        <w:rPr>
          <w:lang w:val="pl"/>
        </w:rPr>
        <w:t>Vertrieb</w:t>
      </w:r>
      <w:proofErr w:type="spellEnd"/>
      <w:r>
        <w:rPr>
          <w:lang w:val="pl"/>
        </w:rPr>
        <w:t xml:space="preserve"> AG przeciwko </w:t>
      </w:r>
      <w:proofErr w:type="spellStart"/>
      <w:r>
        <w:rPr>
          <w:lang w:val="pl"/>
        </w:rPr>
        <w:t>Verbraucherzentrale</w:t>
      </w:r>
      <w:proofErr w:type="spellEnd"/>
      <w:r>
        <w:rPr>
          <w:lang w:val="pl"/>
        </w:rPr>
        <w:t xml:space="preserve"> </w:t>
      </w:r>
      <w:proofErr w:type="spellStart"/>
      <w:r>
        <w:rPr>
          <w:lang w:val="pl"/>
        </w:rPr>
        <w:t>Nordhein-Westfalen</w:t>
      </w:r>
      <w:proofErr w:type="spellEnd"/>
      <w:r>
        <w:rPr>
          <w:lang w:val="pl"/>
        </w:rPr>
        <w:t>, pkt 26–28; wyrok z</w:t>
      </w:r>
      <w:r w:rsidR="00CF29B1">
        <w:rPr>
          <w:lang w:val="pl"/>
        </w:rPr>
        <w:t> </w:t>
      </w:r>
      <w:r>
        <w:rPr>
          <w:lang w:val="pl"/>
        </w:rPr>
        <w:t>30</w:t>
      </w:r>
      <w:r w:rsidR="00CF29B1">
        <w:rPr>
          <w:lang w:val="pl"/>
        </w:rPr>
        <w:t> </w:t>
      </w:r>
      <w:r>
        <w:rPr>
          <w:lang w:val="pl"/>
        </w:rPr>
        <w:t xml:space="preserve">kwietnia 2014 r., Barclays Bank SA przeciwko Sara </w:t>
      </w:r>
      <w:proofErr w:type="spellStart"/>
      <w:r>
        <w:rPr>
          <w:lang w:val="pl"/>
        </w:rPr>
        <w:t>Sánchez</w:t>
      </w:r>
      <w:proofErr w:type="spellEnd"/>
      <w:r>
        <w:rPr>
          <w:lang w:val="pl"/>
        </w:rPr>
        <w:t xml:space="preserve"> </w:t>
      </w:r>
      <w:proofErr w:type="spellStart"/>
      <w:r>
        <w:rPr>
          <w:lang w:val="pl"/>
        </w:rPr>
        <w:t>García</w:t>
      </w:r>
      <w:proofErr w:type="spellEnd"/>
      <w:r>
        <w:rPr>
          <w:lang w:val="pl"/>
        </w:rPr>
        <w:t xml:space="preserve">, </w:t>
      </w:r>
      <w:proofErr w:type="spellStart"/>
      <w:r>
        <w:rPr>
          <w:lang w:val="pl"/>
        </w:rPr>
        <w:t>Alejandro</w:t>
      </w:r>
      <w:proofErr w:type="spellEnd"/>
      <w:r>
        <w:rPr>
          <w:lang w:val="pl"/>
        </w:rPr>
        <w:t xml:space="preserve"> </w:t>
      </w:r>
      <w:proofErr w:type="spellStart"/>
      <w:r>
        <w:rPr>
          <w:lang w:val="pl"/>
        </w:rPr>
        <w:t>Chacón</w:t>
      </w:r>
      <w:proofErr w:type="spellEnd"/>
      <w:r>
        <w:rPr>
          <w:lang w:val="pl"/>
        </w:rPr>
        <w:t xml:space="preserve"> </w:t>
      </w:r>
      <w:proofErr w:type="spellStart"/>
      <w:r>
        <w:rPr>
          <w:lang w:val="pl"/>
        </w:rPr>
        <w:t>Barrera</w:t>
      </w:r>
      <w:proofErr w:type="spellEnd"/>
      <w:r>
        <w:rPr>
          <w:lang w:val="pl"/>
        </w:rPr>
        <w:t>, pkt 41–42.</w:t>
      </w:r>
    </w:p>
    <w:p w14:paraId="4E408BFE" w14:textId="77777777" w:rsidR="00F37411" w:rsidRPr="009E131B" w:rsidRDefault="00F37411" w:rsidP="009E131B">
      <w:pPr>
        <w:pStyle w:val="JuHHead"/>
      </w:pPr>
      <w:r>
        <w:rPr>
          <w:bCs w:val="0"/>
          <w:lang w:val="pl"/>
        </w:rPr>
        <w:t>ZARZUT</w:t>
      </w:r>
    </w:p>
    <w:p w14:paraId="1D4778B3"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Powołując się na art. 1 Protokołu nr 1, skarżąca zarzuca, że została zobowiązana do zwrotu bankowi znacznie większej kwoty w euro, niż pożyczyła we frankach szwajcarskich.</w:t>
      </w:r>
    </w:p>
    <w:p w14:paraId="59EE344E" w14:textId="77777777" w:rsidR="00F37411" w:rsidRPr="009E131B" w:rsidRDefault="00F37411" w:rsidP="009E131B">
      <w:pPr>
        <w:pStyle w:val="JuHHead"/>
      </w:pPr>
      <w:r>
        <w:rPr>
          <w:bCs w:val="0"/>
          <w:lang w:val="pl"/>
        </w:rPr>
        <w:t>CO DO PRAWA</w:t>
      </w:r>
    </w:p>
    <w:p w14:paraId="225986E7"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r>
        <w:rPr>
          <w:lang w:val="pl"/>
        </w:rPr>
        <w:t>.  Skarżąca zarzuca, że obowiązek spłaty kapitału jej kredytu hipotecznego we frankach szwajcarskich, podwyższonego o 60%, w celu uniknięcia utraty mieszkania obciążonego hipoteką, w połączeniu z odmową zbadania przez sądy nieuczciwości klauzuli umowy dotyczącej tego podwyższenia, stanowi nieproporcjonalną ingerencję w jej prawo do poszanowania mienia. Zarzuca ona naruszenie art. 1 Protokołu nr 1, który ma następujące brzmienie:</w:t>
      </w:r>
    </w:p>
    <w:p w14:paraId="5F991B57" w14:textId="77777777" w:rsidR="00F37411" w:rsidRPr="00CF29B1" w:rsidRDefault="00F37411" w:rsidP="009E131B">
      <w:pPr>
        <w:pStyle w:val="JuQuot"/>
        <w:rPr>
          <w:lang w:val="pl-PL"/>
        </w:rPr>
      </w:pPr>
      <w:r>
        <w:rPr>
          <w:lang w:val="pl"/>
        </w:rPr>
        <w:t>„Każda osoba fizyczna i prawna ma prawo do poszanowania swego mienia. Nikt nie może być pozbawiony swojej własności, chyba że w interesie publicznym i na warunkach przewidzianych przez ustawę oraz zgodnie z podstawowymi zasadami prawa międzynarodowego.</w:t>
      </w:r>
    </w:p>
    <w:p w14:paraId="0FBAC721" w14:textId="77777777" w:rsidR="00F37411" w:rsidRPr="00CF29B1" w:rsidRDefault="00F37411" w:rsidP="009E131B">
      <w:pPr>
        <w:pStyle w:val="JuQuot"/>
        <w:rPr>
          <w:lang w:val="pl-PL"/>
        </w:rPr>
      </w:pPr>
      <w:r>
        <w:rPr>
          <w:lang w:val="pl"/>
        </w:rPr>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p>
    <w:p w14:paraId="0B75ED65" w14:textId="71208C3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xml:space="preserve">.  Po pierwsze Rząd podniósł, że skarżąca nie przestrzegała zasady pomocniczości ani nie wyczerpała krajowych środków odwoławczych. Przede wszystkim na żadnym etapie postępowania przed sądami krajowymi, a w szczególności w skardze wniesionej do sądu kasacyjnego (zob. paragraf 11 powyżej), skarżąca nie podniosła, ani nawet nie uzasadniła, naruszenia art. 1 Protokołu nr 1 lub podobnego przepisu Konstytucji lub prawa krajowego. Skarżąca zdecydowała się nie odwoływać od wyroku sądu pierwszej instancji, lecz skierować sprawę bezpośrednio do sądu kasacyjnego, który nie może ponownie orzekać w sprawie stanu faktycznego. Rząd zarzucił również, że skarżąca nie powołała w swojej skardze kasacyjnej innych podstaw prawnych, które byłyby bardziej skuteczne niż te, które powołała (zob. paragraf 11 powyżej), a mianowicie art. 288 i 388 Kodeksu cywilnego (zob. paragraf 17 powyżej). Rząd podniósł ponadto, że skarżąca nie wniosła również </w:t>
      </w:r>
      <w:r w:rsidR="00BF36A5">
        <w:rPr>
          <w:lang w:val="pl"/>
        </w:rPr>
        <w:t>pozwu</w:t>
      </w:r>
      <w:r>
        <w:rPr>
          <w:lang w:val="pl"/>
        </w:rPr>
        <w:t xml:space="preserve"> o odszkodowanie na podstawie art. 8 ustawy nr 2251/1994.</w:t>
      </w:r>
    </w:p>
    <w:p w14:paraId="4620FC34" w14:textId="618079C9" w:rsidR="00F37411" w:rsidRPr="00CF29B1" w:rsidRDefault="00F37411" w:rsidP="009E131B">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Po drugie Rząd podniósł, że skarżąca nie może twierdzić, że jest ofiarą w rozumieniu art. 34 Konwencji, ponieważ zaciągając kredyt we frankach szwajcarskich, odniosła znaczną korzyść w latach 2007–2012: w</w:t>
      </w:r>
      <w:r w:rsidR="00CF29B1">
        <w:rPr>
          <w:lang w:val="pl"/>
        </w:rPr>
        <w:t> </w:t>
      </w:r>
      <w:r>
        <w:rPr>
          <w:lang w:val="pl"/>
        </w:rPr>
        <w:t>rzeczywistości do 2012 r. skarżąca spłaciła bankowi łącznie 41 954,60 euro, natomiast gdyby zaciągnęła kredyt w euro, w tym samym okresie spłaciłaby kwotę 46 688,71 euro.</w:t>
      </w:r>
    </w:p>
    <w:p w14:paraId="7A783FC9"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r>
        <w:rPr>
          <w:lang w:val="pl"/>
        </w:rPr>
        <w:t>.  Po trzecie Rząd zarzucił, że skarżąca nie miała interesu majątkowego chronionego przez art. 1 Protokołu nr 1. Spór, który w niniejszej sprawie musiały rozstrzygnąć sądy krajowe, dotyczył ustalenia wysokości zadłużenia skarżącej wobec banku. Rząd podkreślił ponadto, że przedmiotowe postępowanie sądowe nie miało bezpośredniego ani pośredniego wpływu na prawo własności skarżącej do mieszkania, na zakup którego zaciągnęła kredyt. Skutkiem oddalenia jej powództwa było zobowiązanie skarżącej do dalszej spłaty kredytu zgodnie z ustalonymi warunkami.</w:t>
      </w:r>
    </w:p>
    <w:p w14:paraId="72340D9C"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r>
        <w:rPr>
          <w:lang w:val="pl"/>
        </w:rPr>
        <w:t>.  Trybunał nie uważa za konieczne orzekanie w sprawie wyżej wymienionych zarzutów wstępnych Rządu, ponieważ w każdym razie stwierdza, że skarga jest niedopuszczalna z poniższych powodów.</w:t>
      </w:r>
    </w:p>
    <w:p w14:paraId="51FB02CC" w14:textId="77777777" w:rsidR="00F37411" w:rsidRPr="009E131B" w:rsidRDefault="00F37411" w:rsidP="009E131B">
      <w:pPr>
        <w:pStyle w:val="JuHA"/>
      </w:pPr>
      <w:r>
        <w:rPr>
          <w:lang w:val="pl"/>
        </w:rPr>
        <w:t>Przedmiot sporu</w:t>
      </w:r>
    </w:p>
    <w:p w14:paraId="25A71FF5"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r>
        <w:rPr>
          <w:lang w:val="pl"/>
        </w:rPr>
        <w:t>.  Rząd utrzymywał, że nie doszło do ingerencji w prawo własności skarżącej.</w:t>
      </w:r>
    </w:p>
    <w:p w14:paraId="1781B74C" w14:textId="77777777" w:rsidR="00F37411" w:rsidRPr="00CF29B1" w:rsidRDefault="00F37411" w:rsidP="009E131B">
      <w:pPr>
        <w:pStyle w:val="JuPara"/>
        <w:rPr>
          <w:lang w:val="pl-PL"/>
        </w:rPr>
      </w:pPr>
      <w:r>
        <w:rPr>
          <w:lang w:val="pl"/>
        </w:rPr>
        <w:t>Z jednej strony Rząd twierdził, że nie nastąpiło zwiększenie należnego kapitału o 60% (w euro), jak twierdziła skarżąca. W dniu 4 lutego 2015 r. suma spłaconego kapitału (177 821,91 euro) i kapitału pozostałego do spłaty (27 306,97 euro) we frankach szwajcarskich odpowiadała kwocie około 205 000 euro (177 821,91 + 27 306,97). Zatem podwyższenie kapitału początkowego (po przeliczeniu na euro) wyniosło około 55 000 euro, czyli 1/3 kapitału początkowego, a nie 60%. Ponadto umowa została zawarta na długi okres, dlatego na koniec umowy trzeba będzie obliczyć w euro całkowitą sumę wymaganą na miesięczne płatności.</w:t>
      </w:r>
    </w:p>
    <w:p w14:paraId="6661A869" w14:textId="77777777" w:rsidR="00F37411" w:rsidRPr="00CF29B1" w:rsidRDefault="00F37411" w:rsidP="009E131B">
      <w:pPr>
        <w:pStyle w:val="JuPara"/>
        <w:rPr>
          <w:lang w:val="pl-PL"/>
        </w:rPr>
      </w:pPr>
      <w:r>
        <w:rPr>
          <w:lang w:val="pl"/>
        </w:rPr>
        <w:t>Z drugiej strony Rząd utrzymywał, że sądy krajowe nie wyraziły odmowy zbadania nieuczciwości spornej klauzuli umowy, lecz uznały, że warunek nie był nieuczciwy, ponieważ odzwierciedlał przepis prawa dyspozytywnego, który miał zastosowanie w danych okolicznościach: zarówno sąd pierwszej instancji, jak i sąd kasacyjny doszły do wniosku, że wspomniana klauzula miała charakter deklaratoryjny, ponieważ odzwierciedlała art. 291 Kodeksu cywilnego, przepis, który regulował stosunek umowny skarżącej.</w:t>
      </w:r>
    </w:p>
    <w:p w14:paraId="4B86C120" w14:textId="700C6493"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r>
        <w:rPr>
          <w:lang w:val="pl"/>
        </w:rPr>
        <w:t xml:space="preserve">.  Skarżąca podnosi, że niniejsza sprawa stanowi przypadek znacznej dysproporcji ekonomicznej pomiędzy praktycznie nieistniejącym ryzykiem dla banku a zobowiązaniami podjętymi w nieświadomości tego ryzyka. Wynika to z faktu, że zamieszczenie przez bank w umowie nieprzejrzystej klauzuli spowodowało drastyczną </w:t>
      </w:r>
      <w:r w:rsidR="00BF36A5">
        <w:rPr>
          <w:lang w:val="pl"/>
        </w:rPr>
        <w:t>dysproporcję</w:t>
      </w:r>
      <w:r>
        <w:rPr>
          <w:lang w:val="pl"/>
        </w:rPr>
        <w:t xml:space="preserve"> między stronami umowy w</w:t>
      </w:r>
      <w:r w:rsidR="00CF29B1">
        <w:rPr>
          <w:lang w:val="pl"/>
        </w:rPr>
        <w:t> </w:t>
      </w:r>
      <w:r>
        <w:rPr>
          <w:lang w:val="pl"/>
        </w:rPr>
        <w:t xml:space="preserve">zakresie, w jakim skarżąca w całkowitej nieświadomości przyjęła na siebie </w:t>
      </w:r>
      <w:r>
        <w:rPr>
          <w:lang w:val="pl"/>
        </w:rPr>
        <w:lastRenderedPageBreak/>
        <w:t>ryzyko, które następnie zobligowało ją do spłaty kredytu kwotą niewspółmierną do pożyczonej sumy. Wzrost kwoty pożyczonego kapitału nie był czysto księgowy, lecz rzeczywisty, ponieważ pierwotnie pożyczony kapitał w wysokości 150 000 euro został całkowicie spłacony.</w:t>
      </w:r>
    </w:p>
    <w:p w14:paraId="0BABC192" w14:textId="42A71EFB"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r>
        <w:rPr>
          <w:lang w:val="pl"/>
        </w:rPr>
        <w:t>.  Trybunał zauważył, że skarżąca, uważając, że musi zwrócić znacznie większą kwotę niż ta, którą pożyczyła, wystąpiła do sądów krajowych o</w:t>
      </w:r>
      <w:r w:rsidR="00CF29B1">
        <w:rPr>
          <w:lang w:val="pl"/>
        </w:rPr>
        <w:t> </w:t>
      </w:r>
      <w:r>
        <w:rPr>
          <w:lang w:val="pl"/>
        </w:rPr>
        <w:t>uznanie, że klauzula nr 7 umowy kredytu jest nieważna i że skarżąca nie jest już zobowiązana wobec banku do spłaty dodatkowych kwot. Sąd pierwszej instancji, a ostatecznie sąd kasacyjny uznały, że klauzula, na mocy której skarżąca był zobowiązana do zwrotu określonych kwot ponad kwoty pożyczone, nie była nieuczciwa.</w:t>
      </w:r>
    </w:p>
    <w:p w14:paraId="572DA274"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r>
        <w:rPr>
          <w:lang w:val="pl"/>
        </w:rPr>
        <w:t>.  Trybunał zauważa również, że nastąpiło zwiększenie pożyczonego kapitału, przy czym nie ma zgody co do rzeczywistej kwoty tego zwiększenia.</w:t>
      </w:r>
    </w:p>
    <w:p w14:paraId="0CBE209F" w14:textId="12A2FE45"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r>
        <w:rPr>
          <w:lang w:val="pl"/>
        </w:rPr>
        <w:t>.  To zwiększenie kapitału oraz nałożony na skarżącą na mocy klauzuli 7 umowy obowiązek zwrotu określonych dodatkowych kwot, w połączeniu z wykładnią prawa krajowego dokonaną przez sądy rozpatrujące sprawę w</w:t>
      </w:r>
      <w:r w:rsidR="00CF29B1">
        <w:rPr>
          <w:lang w:val="pl"/>
        </w:rPr>
        <w:t> </w:t>
      </w:r>
      <w:r>
        <w:rPr>
          <w:lang w:val="pl"/>
        </w:rPr>
        <w:t>sposób wykluczający jakąkolwiek kontrolę nieuczciwości klauzuli 7, mogły stanowić ingerencję w prawo skarżącej do poszanowania jej własności. Jednakże w niniejszej sprawie taka ingerencja nie była wynikiem jakiejkolwiek interwencji państwa, lecz wynikiem sporu między podmiotami prywatnymi (skarżącą i bankiem będącym interwenientem ubocznym).</w:t>
      </w:r>
    </w:p>
    <w:p w14:paraId="74F63D7D" w14:textId="5877EB1A"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W okolicznościach takich jak w niniejszej sprawie Trybunał przypomina swoje orzecznictwo, zgodnie z którym w pewnych okolicznościach art. 1 Protokołu nr 1 może nakładać „pewne środki niezbędne do ochrony prawa własności [...], nawet w sprawach dotyczących sporu między osobami fizycznymi lub prawnymi” (</w:t>
      </w:r>
      <w:bookmarkStart w:id="5" w:name="_Hlk63845093"/>
      <w:proofErr w:type="spellStart"/>
      <w:r>
        <w:rPr>
          <w:i/>
          <w:iCs/>
          <w:lang w:val="pl"/>
        </w:rPr>
        <w:t>Sovtransavto</w:t>
      </w:r>
      <w:proofErr w:type="spellEnd"/>
      <w:r>
        <w:rPr>
          <w:i/>
          <w:iCs/>
          <w:lang w:val="pl"/>
        </w:rPr>
        <w:t xml:space="preserve"> Holding przeciwko Ukrainie</w:t>
      </w:r>
      <w:r>
        <w:rPr>
          <w:lang w:val="pl"/>
        </w:rPr>
        <w:t xml:space="preserve"> (skarga nr 48553/99, § 96, ETPC 2002-VII). Zasada ta była szeroko stosowana w kontekście postępowań egzekucyjnych przeciwko dłużnikom prywatnym (</w:t>
      </w:r>
      <w:proofErr w:type="spellStart"/>
      <w:r>
        <w:rPr>
          <w:i/>
          <w:iCs/>
          <w:lang w:val="pl"/>
        </w:rPr>
        <w:t>Fuklev</w:t>
      </w:r>
      <w:proofErr w:type="spellEnd"/>
      <w:r>
        <w:rPr>
          <w:i/>
          <w:iCs/>
          <w:lang w:val="pl"/>
        </w:rPr>
        <w:t xml:space="preserve"> przeciwko Ukrainie</w:t>
      </w:r>
      <w:r>
        <w:rPr>
          <w:lang w:val="pl"/>
        </w:rPr>
        <w:t xml:space="preserve">, skarga nr 71186/01, §§ 89–91, 7 czerwca 2005 r., </w:t>
      </w:r>
      <w:proofErr w:type="spellStart"/>
      <w:r>
        <w:rPr>
          <w:i/>
          <w:iCs/>
          <w:lang w:val="pl"/>
        </w:rPr>
        <w:t>Kesyan</w:t>
      </w:r>
      <w:proofErr w:type="spellEnd"/>
      <w:r>
        <w:rPr>
          <w:i/>
          <w:iCs/>
          <w:lang w:val="pl"/>
        </w:rPr>
        <w:t xml:space="preserve"> przeciwko Rosji</w:t>
      </w:r>
      <w:r>
        <w:rPr>
          <w:lang w:val="pl"/>
        </w:rPr>
        <w:t>, skarga nr 36496/02, 19</w:t>
      </w:r>
      <w:r w:rsidR="00CF29B1">
        <w:rPr>
          <w:lang w:val="pl"/>
        </w:rPr>
        <w:t> </w:t>
      </w:r>
      <w:r>
        <w:rPr>
          <w:lang w:val="pl"/>
        </w:rPr>
        <w:t xml:space="preserve">października 2006 r. oraz </w:t>
      </w:r>
      <w:proofErr w:type="spellStart"/>
      <w:r>
        <w:rPr>
          <w:i/>
          <w:iCs/>
          <w:lang w:val="pl"/>
        </w:rPr>
        <w:t>Kotov</w:t>
      </w:r>
      <w:proofErr w:type="spellEnd"/>
      <w:r>
        <w:rPr>
          <w:i/>
          <w:iCs/>
          <w:lang w:val="pl"/>
        </w:rPr>
        <w:t xml:space="preserve"> przeciwko Rosji</w:t>
      </w:r>
      <w:r>
        <w:rPr>
          <w:lang w:val="pl"/>
        </w:rPr>
        <w:t xml:space="preserve"> [WI], skarga nr</w:t>
      </w:r>
      <w:r w:rsidR="00CF29B1">
        <w:rPr>
          <w:lang w:val="pl"/>
        </w:rPr>
        <w:t> </w:t>
      </w:r>
      <w:r>
        <w:rPr>
          <w:lang w:val="pl"/>
        </w:rPr>
        <w:t>54522/00, §</w:t>
      </w:r>
      <w:r w:rsidR="00CF29B1">
        <w:rPr>
          <w:lang w:val="pl"/>
        </w:rPr>
        <w:t> </w:t>
      </w:r>
      <w:r>
        <w:rPr>
          <w:lang w:val="pl"/>
        </w:rPr>
        <w:t xml:space="preserve">112, ETPC 2012 , zobacz również </w:t>
      </w:r>
      <w:r>
        <w:rPr>
          <w:i/>
          <w:iCs/>
          <w:lang w:val="pl"/>
        </w:rPr>
        <w:t>Kin-</w:t>
      </w:r>
      <w:proofErr w:type="spellStart"/>
      <w:r>
        <w:rPr>
          <w:i/>
          <w:iCs/>
          <w:lang w:val="pl"/>
        </w:rPr>
        <w:t>Stib</w:t>
      </w:r>
      <w:proofErr w:type="spellEnd"/>
      <w:r>
        <w:rPr>
          <w:i/>
          <w:iCs/>
          <w:lang w:val="pl"/>
        </w:rPr>
        <w:t xml:space="preserve"> i </w:t>
      </w:r>
      <w:proofErr w:type="spellStart"/>
      <w:r>
        <w:rPr>
          <w:i/>
          <w:iCs/>
          <w:lang w:val="pl"/>
        </w:rPr>
        <w:t>Majkić</w:t>
      </w:r>
      <w:proofErr w:type="spellEnd"/>
      <w:r>
        <w:rPr>
          <w:i/>
          <w:iCs/>
          <w:lang w:val="pl"/>
        </w:rPr>
        <w:t xml:space="preserve"> przeciwko Serbii</w:t>
      </w:r>
      <w:r>
        <w:rPr>
          <w:lang w:val="pl"/>
        </w:rPr>
        <w:t>, skarga nr 12312/05</w:t>
      </w:r>
      <w:r>
        <w:rPr>
          <w:snapToGrid w:val="0"/>
          <w:lang w:val="pl"/>
        </w:rPr>
        <w:t xml:space="preserve">, § 84, </w:t>
      </w:r>
      <w:r>
        <w:rPr>
          <w:lang w:val="pl"/>
        </w:rPr>
        <w:t>20</w:t>
      </w:r>
      <w:r>
        <w:rPr>
          <w:snapToGrid w:val="0"/>
          <w:lang w:val="pl"/>
        </w:rPr>
        <w:t xml:space="preserve"> </w:t>
      </w:r>
      <w:r>
        <w:rPr>
          <w:lang w:val="pl"/>
        </w:rPr>
        <w:t>kwietnia</w:t>
      </w:r>
      <w:r>
        <w:rPr>
          <w:snapToGrid w:val="0"/>
          <w:lang w:val="pl"/>
        </w:rPr>
        <w:t xml:space="preserve"> 2010 r. oraz</w:t>
      </w:r>
      <w:r>
        <w:rPr>
          <w:lang w:val="pl"/>
        </w:rPr>
        <w:t xml:space="preserve"> </w:t>
      </w:r>
      <w:proofErr w:type="spellStart"/>
      <w:r>
        <w:rPr>
          <w:i/>
          <w:iCs/>
          <w:lang w:val="pl"/>
        </w:rPr>
        <w:t>Marčić</w:t>
      </w:r>
      <w:proofErr w:type="spellEnd"/>
      <w:r>
        <w:rPr>
          <w:i/>
          <w:iCs/>
          <w:lang w:val="pl"/>
        </w:rPr>
        <w:t xml:space="preserve"> i Inni przeciwko Serbii</w:t>
      </w:r>
      <w:r>
        <w:rPr>
          <w:lang w:val="pl"/>
        </w:rPr>
        <w:t>, skarga nr 17556/05, § 56, 30 października 2007 r.).</w:t>
      </w:r>
    </w:p>
    <w:p w14:paraId="25A1DA6D" w14:textId="3FF9EA85" w:rsidR="00F37411" w:rsidRPr="00CF29B1" w:rsidRDefault="00F37411" w:rsidP="009E131B">
      <w:pPr>
        <w:pStyle w:val="JuPara"/>
        <w:rPr>
          <w:i/>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xml:space="preserve">.  W wyrokach w sprawach </w:t>
      </w:r>
      <w:proofErr w:type="spellStart"/>
      <w:r>
        <w:rPr>
          <w:i/>
          <w:iCs/>
          <w:lang w:val="pl"/>
        </w:rPr>
        <w:t>Blumberga</w:t>
      </w:r>
      <w:proofErr w:type="spellEnd"/>
      <w:r>
        <w:rPr>
          <w:i/>
          <w:iCs/>
          <w:lang w:val="pl"/>
        </w:rPr>
        <w:t xml:space="preserve"> przeciwko Łotwie </w:t>
      </w:r>
      <w:r>
        <w:rPr>
          <w:lang w:val="pl"/>
        </w:rPr>
        <w:t>(skarga nr</w:t>
      </w:r>
      <w:r w:rsidR="00CF29B1">
        <w:rPr>
          <w:lang w:val="pl"/>
        </w:rPr>
        <w:t> </w:t>
      </w:r>
      <w:r>
        <w:rPr>
          <w:lang w:val="pl"/>
        </w:rPr>
        <w:t xml:space="preserve">70930/01, § 67, 14 października 2008 r.) oraz </w:t>
      </w:r>
      <w:proofErr w:type="spellStart"/>
      <w:r>
        <w:rPr>
          <w:i/>
          <w:iCs/>
          <w:lang w:val="pl"/>
        </w:rPr>
        <w:t>Kotov</w:t>
      </w:r>
      <w:proofErr w:type="spellEnd"/>
      <w:r>
        <w:rPr>
          <w:lang w:val="pl"/>
        </w:rPr>
        <w:t xml:space="preserve"> (</w:t>
      </w:r>
      <w:proofErr w:type="spellStart"/>
      <w:r>
        <w:rPr>
          <w:i/>
          <w:iCs/>
          <w:lang w:val="pl"/>
        </w:rPr>
        <w:t>op,cit</w:t>
      </w:r>
      <w:proofErr w:type="spellEnd"/>
      <w:r>
        <w:rPr>
          <w:i/>
          <w:iCs/>
          <w:lang w:val="pl"/>
        </w:rPr>
        <w:t>.</w:t>
      </w:r>
      <w:r>
        <w:rPr>
          <w:lang w:val="pl"/>
        </w:rPr>
        <w:t xml:space="preserve">, § 113) </w:t>
      </w:r>
      <w:bookmarkEnd w:id="5"/>
      <w:r>
        <w:rPr>
          <w:color w:val="000000"/>
          <w:lang w:val="pl"/>
        </w:rPr>
        <w:t>Trybunał</w:t>
      </w:r>
      <w:r>
        <w:rPr>
          <w:lang w:val="pl"/>
        </w:rPr>
        <w:t xml:space="preserve"> stwierdził, że „[k]</w:t>
      </w:r>
      <w:proofErr w:type="spellStart"/>
      <w:r>
        <w:rPr>
          <w:lang w:val="pl"/>
        </w:rPr>
        <w:t>ażde</w:t>
      </w:r>
      <w:proofErr w:type="spellEnd"/>
      <w:r>
        <w:rPr>
          <w:lang w:val="pl"/>
        </w:rPr>
        <w:t xml:space="preserve"> naruszenie prawa do poszanowania mienia przez jednostkę rodzi po stronie państwa pozytywny obowiązek zapewnienia w wewnętrznym porządku prawnym, by prawo własności było wystarczająco chronione przez przepisy prawa oraz by dostępne były odpowiednie środki odwoławcze umożliwiające ofierze takiego naruszenia dochodzenie swoich praw, w tym, w stosownych przypadkach, poprzez żądanie odszkodowania za poniesioną szkodę”. Wynika stąd, że w takich okolicznościach państwo </w:t>
      </w:r>
      <w:r>
        <w:rPr>
          <w:lang w:val="pl"/>
        </w:rPr>
        <w:lastRenderedPageBreak/>
        <w:t>może być zobowiązane do podjęcia środków zapobiegawczych lub zaradczych.</w:t>
      </w:r>
    </w:p>
    <w:p w14:paraId="4D453E5F" w14:textId="26333761" w:rsidR="00F37411" w:rsidRPr="00CF29B1" w:rsidRDefault="00F37411" w:rsidP="009E131B">
      <w:pPr>
        <w:pStyle w:val="JuPara"/>
        <w:rPr>
          <w:lang w:val="pl"/>
        </w:rPr>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xml:space="preserve">.  Wśród środków zaradczych, do których podjęcia państwo może być zobowiązane w pewnych okolicznościach, jest zapewnienie odpowiednich środków prawnych umożliwiających ofierze skuteczne dochodzenie swoich praw. Istnienie pozytywnych obowiązków proceduralnych na podstawie art. 1 Protokołu nr 1, pomimo milczenia przepisu w tej kwestii, zostało uznane przez Trybunał zarówno w sprawach dotyczących organów państwowych (zob. </w:t>
      </w:r>
      <w:bookmarkStart w:id="6" w:name="_Hlk63845174"/>
      <w:proofErr w:type="spellStart"/>
      <w:r>
        <w:rPr>
          <w:i/>
          <w:iCs/>
          <w:lang w:val="pl"/>
        </w:rPr>
        <w:t>Jokela</w:t>
      </w:r>
      <w:proofErr w:type="spellEnd"/>
      <w:r>
        <w:rPr>
          <w:i/>
          <w:iCs/>
          <w:lang w:val="pl"/>
        </w:rPr>
        <w:t xml:space="preserve"> przeciwko Finlandii</w:t>
      </w:r>
      <w:r>
        <w:rPr>
          <w:lang w:val="pl"/>
        </w:rPr>
        <w:t xml:space="preserve">, skarga nr 28856/95, § 45, ETPC 2002-IV; zob. także </w:t>
      </w:r>
      <w:proofErr w:type="spellStart"/>
      <w:r>
        <w:rPr>
          <w:i/>
          <w:iCs/>
          <w:lang w:val="pl"/>
        </w:rPr>
        <w:t>Zehentner</w:t>
      </w:r>
      <w:proofErr w:type="spellEnd"/>
      <w:r>
        <w:rPr>
          <w:i/>
          <w:iCs/>
          <w:lang w:val="pl"/>
        </w:rPr>
        <w:t xml:space="preserve"> przeciwko Austrii,</w:t>
      </w:r>
      <w:r>
        <w:rPr>
          <w:lang w:val="pl"/>
        </w:rPr>
        <w:t xml:space="preserve"> skarga nr 20082/02</w:t>
      </w:r>
      <w:r>
        <w:rPr>
          <w:snapToGrid w:val="0"/>
          <w:lang w:val="pl"/>
        </w:rPr>
        <w:t xml:space="preserve">, § 73, </w:t>
      </w:r>
      <w:r>
        <w:rPr>
          <w:lang w:val="pl"/>
        </w:rPr>
        <w:t>16 lipca 2009 r.), jak i w sprawach dotyczących, jak ma to miejsce w niniejszej sprawie, sporu wyłącznie między osobami fizycznymi. W związku z tym w sprawie należącej do drugiej kategorii Trybunał uznał, że państwo miało obowiązek zapewnić procedurę sądową oferującą niezbędne gwarancje procesowe, a tym samym umożliwiającą sądom krajowym skuteczne i</w:t>
      </w:r>
      <w:r w:rsidR="00CF29B1">
        <w:rPr>
          <w:lang w:val="pl"/>
        </w:rPr>
        <w:t> </w:t>
      </w:r>
      <w:r>
        <w:rPr>
          <w:lang w:val="pl"/>
        </w:rPr>
        <w:t xml:space="preserve">sprawiedliwe rozstrzyganie wszelkich sporów między osobami fizycznymi (zob. </w:t>
      </w:r>
      <w:proofErr w:type="spellStart"/>
      <w:r>
        <w:rPr>
          <w:i/>
          <w:iCs/>
          <w:lang w:val="pl"/>
        </w:rPr>
        <w:t>Sovtransavto</w:t>
      </w:r>
      <w:proofErr w:type="spellEnd"/>
      <w:r>
        <w:rPr>
          <w:i/>
          <w:iCs/>
          <w:lang w:val="pl"/>
        </w:rPr>
        <w:t xml:space="preserve"> Holding</w:t>
      </w:r>
      <w:r>
        <w:rPr>
          <w:lang w:val="pl"/>
        </w:rPr>
        <w:t xml:space="preserve">, </w:t>
      </w:r>
      <w:proofErr w:type="spellStart"/>
      <w:r>
        <w:rPr>
          <w:i/>
          <w:iCs/>
          <w:lang w:val="pl"/>
        </w:rPr>
        <w:t>op.cit</w:t>
      </w:r>
      <w:proofErr w:type="spellEnd"/>
      <w:r>
        <w:rPr>
          <w:i/>
          <w:iCs/>
          <w:lang w:val="pl"/>
        </w:rPr>
        <w:t>.</w:t>
      </w:r>
      <w:r>
        <w:rPr>
          <w:lang w:val="pl"/>
        </w:rPr>
        <w:t xml:space="preserve">, § 96; zob. także </w:t>
      </w:r>
      <w:proofErr w:type="spellStart"/>
      <w:r>
        <w:rPr>
          <w:i/>
          <w:iCs/>
          <w:lang w:val="pl"/>
        </w:rPr>
        <w:t>Anheuser</w:t>
      </w:r>
      <w:proofErr w:type="spellEnd"/>
      <w:r>
        <w:rPr>
          <w:i/>
          <w:iCs/>
          <w:lang w:val="pl"/>
        </w:rPr>
        <w:t>-Busch Inc. przeciwko Portugalii</w:t>
      </w:r>
      <w:r>
        <w:rPr>
          <w:lang w:val="pl"/>
        </w:rPr>
        <w:t xml:space="preserve"> [WI], skarga nr 73049/01, § 83, ETPC 2007-I, oraz </w:t>
      </w:r>
      <w:r>
        <w:rPr>
          <w:i/>
          <w:iCs/>
          <w:lang w:val="pl"/>
        </w:rPr>
        <w:t>Freitag przeciwko Niemcom</w:t>
      </w:r>
      <w:r>
        <w:rPr>
          <w:lang w:val="pl"/>
        </w:rPr>
        <w:t>, skarga nr 71440/01, § 54, 19 lipca 2007 r.).</w:t>
      </w:r>
    </w:p>
    <w:bookmarkEnd w:id="6"/>
    <w:p w14:paraId="747693E2" w14:textId="77777777" w:rsidR="00087E13" w:rsidRPr="00CF29B1" w:rsidRDefault="00087E13"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58</w:t>
      </w:r>
      <w:r>
        <w:rPr>
          <w:lang w:val="pl"/>
        </w:rPr>
        <w:fldChar w:fldCharType="end"/>
      </w:r>
      <w:r>
        <w:rPr>
          <w:lang w:val="pl"/>
        </w:rPr>
        <w:t xml:space="preserve">.  Wreszcie Trybunał przypomniał, że jego zadaniem jest ocena, czy sposób rozstrzygnięcia przez sądy krajowe sporu dotyczącego praw własności między jednostkami był zgodny z prawem wewnętrznym oraz upewnienie się, że decyzje sądów krajowych nie były arbitralne lub w sposób oczywisty nieuzasadnione (zob. ostatnio, </w:t>
      </w:r>
      <w:bookmarkStart w:id="7" w:name="_Hlk63845229"/>
      <w:proofErr w:type="spellStart"/>
      <w:r>
        <w:rPr>
          <w:i/>
          <w:iCs/>
          <w:lang w:val="pl"/>
        </w:rPr>
        <w:t>Kanevska</w:t>
      </w:r>
      <w:proofErr w:type="spellEnd"/>
      <w:r>
        <w:rPr>
          <w:i/>
          <w:iCs/>
          <w:lang w:val="pl"/>
        </w:rPr>
        <w:t xml:space="preserve"> przeciwko Ukrainie</w:t>
      </w:r>
      <w:r>
        <w:rPr>
          <w:lang w:val="pl"/>
        </w:rPr>
        <w:t xml:space="preserve"> (</w:t>
      </w:r>
      <w:proofErr w:type="spellStart"/>
      <w:r>
        <w:rPr>
          <w:lang w:val="pl"/>
        </w:rPr>
        <w:t>déc</w:t>
      </w:r>
      <w:proofErr w:type="spellEnd"/>
      <w:r>
        <w:rPr>
          <w:lang w:val="pl"/>
        </w:rPr>
        <w:t xml:space="preserve">.), skarga nr 73944/11, § 45 </w:t>
      </w:r>
      <w:r>
        <w:rPr>
          <w:i/>
          <w:iCs/>
          <w:lang w:val="pl"/>
        </w:rPr>
        <w:t>in fine</w:t>
      </w:r>
      <w:r>
        <w:rPr>
          <w:lang w:val="pl"/>
        </w:rPr>
        <w:t>, 17 listopada 2020 r.).</w:t>
      </w:r>
    </w:p>
    <w:bookmarkEnd w:id="7"/>
    <w:p w14:paraId="041428FC"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59</w:t>
      </w:r>
      <w:r>
        <w:rPr>
          <w:lang w:val="pl"/>
        </w:rPr>
        <w:fldChar w:fldCharType="end"/>
      </w:r>
      <w:r>
        <w:rPr>
          <w:lang w:val="pl"/>
        </w:rPr>
        <w:t>.  Trybunał zbada zatem sprawę z punktu widzenia obowiązków pozytywnych wymaganych przez art. 1 Protokołu nr 1, nawet przy założeniu, że taki przepis ma zastosowanie w niniejszej sprawie, którą to kwestię, jak powtarza, nie uważa za konieczną do zbadania (zob. paragraf 44 powyżej).</w:t>
      </w:r>
    </w:p>
    <w:p w14:paraId="147503F9" w14:textId="0EA564E8" w:rsidR="00F37411" w:rsidRPr="00CF29B1" w:rsidRDefault="00F37411" w:rsidP="009E131B">
      <w:pPr>
        <w:pStyle w:val="JuHA"/>
        <w:rPr>
          <w:lang w:val="pl-PL"/>
        </w:rPr>
      </w:pPr>
      <w:r>
        <w:rPr>
          <w:lang w:val="pl"/>
        </w:rPr>
        <w:t xml:space="preserve">W sprawie wypełniania przez państwo obowiązków pozytywnych w </w:t>
      </w:r>
      <w:r w:rsidR="00CF29B1">
        <w:rPr>
          <w:lang w:val="pl"/>
        </w:rPr>
        <w:t> </w:t>
      </w:r>
      <w:r>
        <w:rPr>
          <w:lang w:val="pl"/>
        </w:rPr>
        <w:t>tym zakresie</w:t>
      </w:r>
    </w:p>
    <w:p w14:paraId="68261250" w14:textId="77777777" w:rsidR="00F37411" w:rsidRPr="009E131B" w:rsidRDefault="00F37411" w:rsidP="009E131B">
      <w:pPr>
        <w:pStyle w:val="JuH1"/>
      </w:pPr>
      <w:r>
        <w:rPr>
          <w:bCs w:val="0"/>
          <w:lang w:val="pl"/>
        </w:rPr>
        <w:t>Stanowiska stron</w:t>
      </w:r>
    </w:p>
    <w:p w14:paraId="1799835F" w14:textId="77777777" w:rsidR="00F37411" w:rsidRPr="009E131B" w:rsidRDefault="00F37411" w:rsidP="009E131B">
      <w:pPr>
        <w:pStyle w:val="JuHa0"/>
      </w:pPr>
      <w:r>
        <w:rPr>
          <w:lang w:val="pl"/>
        </w:rPr>
        <w:t>Rząd</w:t>
      </w:r>
    </w:p>
    <w:p w14:paraId="77519419" w14:textId="34DE4DA2"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60</w:t>
      </w:r>
      <w:r>
        <w:rPr>
          <w:lang w:val="pl"/>
        </w:rPr>
        <w:fldChar w:fldCharType="end"/>
      </w:r>
      <w:r>
        <w:rPr>
          <w:lang w:val="pl"/>
        </w:rPr>
        <w:t xml:space="preserve">.  Rząd zwraca uwagę, że zmiana parytetu między dwiema walutami może być uznana czasem za małą lub dużą, ale nigdy za niespodziewaną. Ryzyko </w:t>
      </w:r>
      <w:r w:rsidR="00D02049">
        <w:rPr>
          <w:lang w:val="pl"/>
        </w:rPr>
        <w:t>synalagmatyczne</w:t>
      </w:r>
      <w:r>
        <w:rPr>
          <w:lang w:val="pl"/>
        </w:rPr>
        <w:t xml:space="preserve"> było normalną konsekwencją wyboru dokonanego przez skarżącą w ramach swobody umów. Uznaje się, że wybór zaciągnięcia kredytu we frankach szwajcarskich, zarówno w Grecji, jak i w innych krajach, wynikał z atrakcyjniejszego oprocentowania oferowanego przez banki dla takich kredytów (2,0633%) w porównaniu z oprocentowaniem kredytów w euro (3,612%). Uznaje się również, że kredytobiorcy we </w:t>
      </w:r>
      <w:r>
        <w:rPr>
          <w:lang w:val="pl"/>
        </w:rPr>
        <w:lastRenderedPageBreak/>
        <w:t>frankach szwajcarskich odnieśli znaczne korzyści z tego niższego oprocentowania.</w:t>
      </w:r>
    </w:p>
    <w:p w14:paraId="0FAB72F4" w14:textId="407C23B9"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Rząd stwierdził, że od 2007 do 2012 r: skarżąca wpłaciła 21 334,93</w:t>
      </w:r>
      <w:r w:rsidR="00CF29B1">
        <w:rPr>
          <w:lang w:val="pl"/>
        </w:rPr>
        <w:t> </w:t>
      </w:r>
      <w:r>
        <w:rPr>
          <w:lang w:val="pl"/>
        </w:rPr>
        <w:t>euro tytułem kapitału i 20 619,67 euro tytułem odsetek, co daje łącznie 41 954,60 euro. Gdyby skarżąca zaciągnęła pożyczkę w euro, zapłaciłaby 19 897,77 euro tytułem kapitału i 26 790,94 euro tytułem odsetek (tj. 46 688,71 euro), czyli kwotę wyższą (o 15%) od tej, którą faktycznie zapłaciła.</w:t>
      </w:r>
    </w:p>
    <w:p w14:paraId="3F65B576" w14:textId="0CF5C1ED"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62</w:t>
      </w:r>
      <w:r>
        <w:rPr>
          <w:lang w:val="pl"/>
        </w:rPr>
        <w:fldChar w:fldCharType="end"/>
      </w:r>
      <w:r>
        <w:rPr>
          <w:lang w:val="pl"/>
        </w:rPr>
        <w:t xml:space="preserve">.  Rząd utrzymywał, że kredytobiorcy we frankach szwajcarskich, tacy jak skarżąca, zostali poinformowani przez banki o ryzyku </w:t>
      </w:r>
      <w:r w:rsidR="00D02049">
        <w:rPr>
          <w:lang w:val="pl"/>
        </w:rPr>
        <w:t>synalagmatycznym</w:t>
      </w:r>
      <w:r>
        <w:rPr>
          <w:lang w:val="pl"/>
        </w:rPr>
        <w:t xml:space="preserve"> za pomocą przykładów i odrębnego pisma. Rząd zwraca uwagę, że fakt, iż 90,4% kredytów mieszkaniowych zostało zaciągniętych w</w:t>
      </w:r>
      <w:r w:rsidR="00CF29B1">
        <w:rPr>
          <w:lang w:val="pl"/>
        </w:rPr>
        <w:t> </w:t>
      </w:r>
      <w:r>
        <w:rPr>
          <w:lang w:val="pl"/>
        </w:rPr>
        <w:t>euro, mimo wyższego oprocentowania, świadczy o tym, że kredytobiorcy we frankach szwajcarskich świadomie preferowali natychmiastowy efekt niższego oprocentowania, nie martwiąc się o ryzyko przyszłej zmiany parytetu. Ponadto oczywiste jest, że skarżąca była świadoma tego ryzyka, ponieważ podjęła kroki w celu zabezpieczenia się: zawarła na trzy lata ubezpieczenie od ryzyka wzrostu miesięcznych spłat w związku z</w:t>
      </w:r>
      <w:r w:rsidR="00CF29B1">
        <w:rPr>
          <w:lang w:val="pl"/>
        </w:rPr>
        <w:t> </w:t>
      </w:r>
      <w:r>
        <w:rPr>
          <w:lang w:val="pl"/>
        </w:rPr>
        <w:t>ewentualnym wzrostem kursu walutowego i miała możliwość przedłużenia tego ubezpieczenia; zawarła ubezpieczenie od ryzyka śmierci i wystąpienia całkowitej niezdolności do pracy; była również świadoma, że umowa kredytu zawierała klauzulę umożliwiającą jej zażądanie przeliczenia waluty kredytu na euro. Wreszcie miała możliwość wynegocjowania czterech zmian do pierwotnej umowy, dzięki którym uzyskała przedłużenie terminów i ustalenia dotyczące spłaty.</w:t>
      </w:r>
    </w:p>
    <w:p w14:paraId="3BEF39E6" w14:textId="3C75298A"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63</w:t>
      </w:r>
      <w:r>
        <w:rPr>
          <w:lang w:val="pl"/>
        </w:rPr>
        <w:fldChar w:fldCharType="end"/>
      </w:r>
      <w:r>
        <w:rPr>
          <w:lang w:val="pl"/>
        </w:rPr>
        <w:t>.  Rząd wskazał również, że to nie kapitał pożyczony przez skarżącą ulegał wahaniom, lecz suma miesięcznej spłaty w euro zgodnie z wahaniami parytetu. W okresie trwania kredytu, w tym przypadku 25 lat, mogą bowiem wystąpić nieprzewidziane zdarzenia, które doprowadzą do znacznych wahań parytetu, a tym samym do ewentualnego uszczerbku majątkowego dłużnika. Ponadto ani władze krajowe, ani bank nie mogły przewidzieć z</w:t>
      </w:r>
      <w:r w:rsidR="00CF29B1">
        <w:rPr>
          <w:lang w:val="pl"/>
        </w:rPr>
        <w:t> </w:t>
      </w:r>
      <w:r>
        <w:rPr>
          <w:lang w:val="pl"/>
        </w:rPr>
        <w:t>wyprzedzeniem zmiany kursu walutowego.</w:t>
      </w:r>
    </w:p>
    <w:p w14:paraId="638CF1B6" w14:textId="3F1E08B4"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64</w:t>
      </w:r>
      <w:r>
        <w:rPr>
          <w:lang w:val="pl"/>
        </w:rPr>
        <w:fldChar w:fldCharType="end"/>
      </w:r>
      <w:r>
        <w:rPr>
          <w:lang w:val="pl"/>
        </w:rPr>
        <w:t>.  Rząd stwierdza, że aby udzielać kredytów we frankach szwajcarskich, bank sam pożyczał tę walutę na rynku międzybankowym, przyjmując na siebie obowiązek spłaty własnych kredytów po kursie obowiązującym w dniu spłaty. Gdyby powiodło się roszczenie skarżącej przed sądami krajowymi o</w:t>
      </w:r>
      <w:r w:rsidR="00CF29B1">
        <w:rPr>
          <w:lang w:val="pl"/>
        </w:rPr>
        <w:t> </w:t>
      </w:r>
      <w:r>
        <w:rPr>
          <w:lang w:val="pl"/>
        </w:rPr>
        <w:t>spłatę jej kredytu po kursie obowiązującym w dniu wypłaty, spowodowałoby to szkodę dla banku. Ponadto, oddalenie skargi skarżącej z</w:t>
      </w:r>
      <w:r w:rsidR="00CF29B1">
        <w:rPr>
          <w:lang w:val="pl"/>
        </w:rPr>
        <w:t> </w:t>
      </w:r>
      <w:r>
        <w:rPr>
          <w:lang w:val="pl"/>
        </w:rPr>
        <w:t>przyczyn podanych przez sąd kasacyjny nie oznacza, że gdyby sądy krajowe uznały, że klauzula nr 7 nie ma charakteru deklaratoryjnego, to uznałyby ją za nieuczciwą.</w:t>
      </w:r>
    </w:p>
    <w:p w14:paraId="3121C60F" w14:textId="77777777" w:rsidR="00F37411" w:rsidRPr="009E131B" w:rsidRDefault="00F37411" w:rsidP="009E131B">
      <w:pPr>
        <w:pStyle w:val="JuHa0"/>
      </w:pPr>
      <w:r>
        <w:rPr>
          <w:lang w:val="pl"/>
        </w:rPr>
        <w:lastRenderedPageBreak/>
        <w:t>Skarżąca</w:t>
      </w:r>
    </w:p>
    <w:p w14:paraId="77B7F959" w14:textId="3BDDDFB3"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r>
        <w:rPr>
          <w:lang w:val="pl"/>
        </w:rPr>
        <w:t>.  Skarżąca podkreśla, że walutą kredytu było euro, a nie frank szwajcarski. Podpisana umowa była denominowana w euro, gdyż w dniu podpisania (2 stycznia 2007 r.) wydrukowano w niej kwotę 150 000 euro. Rubryka dotycząca kwoty we frankach szwajcarskich pozostała pusta i</w:t>
      </w:r>
      <w:r w:rsidR="00CF29B1">
        <w:rPr>
          <w:lang w:val="pl"/>
        </w:rPr>
        <w:t> </w:t>
      </w:r>
      <w:r>
        <w:rPr>
          <w:lang w:val="pl"/>
        </w:rPr>
        <w:t>została wypełniona odręcznie w terminie późniejszym, tj. w dniu wypłaty kwoty (12 stycznia 2007 r.) Zarówno wypłata kwoty, jak i spłata miesięcznych rat odbywała się w euro, zgodnie z postanowieniami umowy kredytu. Ponadto bank nigdy nie przeliczał na franki szwajcarskie wpłat w</w:t>
      </w:r>
      <w:r w:rsidR="00CF29B1">
        <w:rPr>
          <w:lang w:val="pl"/>
        </w:rPr>
        <w:t> </w:t>
      </w:r>
      <w:r>
        <w:rPr>
          <w:lang w:val="pl"/>
        </w:rPr>
        <w:t>euro z tytułu miesięcznych spłat.</w:t>
      </w:r>
    </w:p>
    <w:p w14:paraId="67E5CB9B"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r>
        <w:rPr>
          <w:lang w:val="pl"/>
        </w:rPr>
        <w:t>.  Skarżąca podnosi, że sporna klauzula nie spełniała zasady przejrzystości ogólnych warunków umowy, ponieważ nie ujawniała jej działania w ramach umowy ani zmienności spłat i samego kapitału. Skarżąca twierdzi, że nigdy nie została poinformowana przez bank o ryzyku związanym z kursem walutowym, nie otrzymała pisma w tym zakresie ani nie została poinformowana przed zawarciem umowy o możliwości i kosztach kompensacji tego ryzyka, do czego zobowiązują przepisy prawa bankowego i rzecznik praw konsumenta. Skarżąca twierdzi też, że pracownicy banku zostali przeszkoleni jedynie w zakresie promowania wśród kredytobiorców korzyści z kredytu. Warunki przejrzystości spornej klauzuli oraz obowiązek informowania kredytobiorców podkreślono również w kilku wyrokach Trybunału Sprawiedliwości Unii Europejskiej.</w:t>
      </w:r>
    </w:p>
    <w:p w14:paraId="75C0F84F" w14:textId="08BACE92"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67</w:t>
      </w:r>
      <w:r>
        <w:rPr>
          <w:lang w:val="pl"/>
        </w:rPr>
        <w:fldChar w:fldCharType="end"/>
      </w:r>
      <w:r>
        <w:rPr>
          <w:lang w:val="pl"/>
        </w:rPr>
        <w:t>.  Skarżąca twierdzi, że Rząd nie przedstawił żadnych dokumentów potwierdzających, że bank sam pożyczył franki szwajcarskie na rynku międzybankowym. Bank nigdy nie wypłacał franków szwajcarskich ani nie był narażony na ryzyko walutowe. Zamiast tego rozwinął spekulacyjną „grę”, udzielając toksycznego kredytu. Banki, które oferowały kredyty we frankach szwajcarskich w kilku krajach europejskich, zaprojektowały taki produkt bankowy i przeważnie nie ostrzegały zainteresowanych tymi kredytami o</w:t>
      </w:r>
      <w:r w:rsidR="00CF29B1">
        <w:rPr>
          <w:lang w:val="pl"/>
        </w:rPr>
        <w:t> </w:t>
      </w:r>
      <w:r>
        <w:rPr>
          <w:lang w:val="pl"/>
        </w:rPr>
        <w:t>realnych zagrożeniach wynikających ze zmiany kursu euro do franka szwajcarskiego. Banki nie miały powodu, by promować ten rodzaj kredytu, gdyby nie przewidziały wzrostu wartości franka szwajcarskiego i zysku spekulacyjnego, jaki z tego tytułu uzyskały.</w:t>
      </w:r>
    </w:p>
    <w:p w14:paraId="0702EA56" w14:textId="77777777" w:rsidR="00F37411" w:rsidRPr="009E131B" w:rsidRDefault="00F37411" w:rsidP="009E131B">
      <w:pPr>
        <w:pStyle w:val="JuH1"/>
      </w:pPr>
      <w:r>
        <w:rPr>
          <w:bCs w:val="0"/>
          <w:lang w:val="pl"/>
        </w:rPr>
        <w:t>Uwagi interwenienta ubocznego</w:t>
      </w:r>
    </w:p>
    <w:p w14:paraId="15E48DA2" w14:textId="0EFCE08B"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68</w:t>
      </w:r>
      <w:r>
        <w:rPr>
          <w:lang w:val="pl"/>
        </w:rPr>
        <w:fldChar w:fldCharType="end"/>
      </w:r>
      <w:r>
        <w:rPr>
          <w:lang w:val="pl"/>
        </w:rPr>
        <w:t>.  Interwenient uboczny, Eurobank-</w:t>
      </w:r>
      <w:proofErr w:type="spellStart"/>
      <w:r>
        <w:rPr>
          <w:lang w:val="pl"/>
        </w:rPr>
        <w:t>Ergasias</w:t>
      </w:r>
      <w:proofErr w:type="spellEnd"/>
      <w:r>
        <w:rPr>
          <w:lang w:val="pl"/>
        </w:rPr>
        <w:t>, podkreśla, że kapitał, który pożyczyła skarżąca, nigdy nie został zwiększony z powodu zmiany kursu euro/franka szwajcarskiego ani z żadnego innego powodu. Zmniejszyła go natomiast spłata miesięcznych rat, w przypadku której korzystano z</w:t>
      </w:r>
      <w:r w:rsidR="00CF29B1">
        <w:rPr>
          <w:lang w:val="pl"/>
        </w:rPr>
        <w:t> </w:t>
      </w:r>
      <w:r>
        <w:rPr>
          <w:lang w:val="pl"/>
        </w:rPr>
        <w:t xml:space="preserve">niskiego oprocentowania franka szwajcarskiego. Powołując się na wybór podany jej przez bank, skarżąca próbuje jednostronnie zamienić kredyt we frankach szwajcarskich na kredyt w euro, unikając w ten sposób ryzyka kursowego i korzystając z niskiego oprocentowania franka szwajcarskiego. </w:t>
      </w:r>
      <w:r>
        <w:rPr>
          <w:lang w:val="pl"/>
        </w:rPr>
        <w:lastRenderedPageBreak/>
        <w:t>Zatem twierdzenie, że kapitał kredytu, jako kredytu w euro, został zwiększony o 60% z uwagi na zmianę kursu walut nie odpowiada rzeczywistości. Bank podkreślił również, że wyjaśnił skarżącej dostępne dla niej alternatywy, a także ryzyko kursowe w przypadku zaciągnięcia kredytu w walucie obcej. Statystyki Banku Grecji pokazują, że w latach 2006–2015 90,4% kredytów mieszkaniowych było udzielanych w euro, a zaledwie 9,6% we frankach szwajcarskich, pomimo niskiego oprocentowania franka szwajcarskiego. Jest to wyraźny dowód na to, że kredytobiorcy byli informowani przez banki o ryzyku związanym z kredytami we frankach szwajcarskich.</w:t>
      </w:r>
    </w:p>
    <w:p w14:paraId="7C1A2FA7" w14:textId="4F183F52"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r>
        <w:rPr>
          <w:lang w:val="pl"/>
        </w:rPr>
        <w:t>.  Interwenient uboczny twierdzi, że orzeczenia sądowe w tej sprawie dotyczyły kredytu, a nie majątku skarżącej, więc nie można twierdzić, że sądy lub państwo naruszyły tę własność. Art. 1 Protokołu nr 1 nie pozwala na zwolnienie dłużnika z długów wynikających z umowy podpisanej z</w:t>
      </w:r>
      <w:r w:rsidR="00CF29B1">
        <w:rPr>
          <w:lang w:val="pl"/>
        </w:rPr>
        <w:t> </w:t>
      </w:r>
      <w:r>
        <w:rPr>
          <w:lang w:val="pl"/>
        </w:rPr>
        <w:t>podmiotem prywatnym, takim jak bank. Dewaluacji lokalnej waluty (w tym przypadku euro) w stosunku do innej waluty (w tym przypadku franka szwajcarskiego) nie można przypisać żadnemu konkretnemu państwu, a już na pewno nie Grecji, będącej małym krajem, którego gospodarka ma niewielki wpływ na wartość euro w stosunku do innych walut. Co więcej, sądy greckie nie miały wyboru i musiały orzec inaczej, gdyż zastosowały przepisy europejskie, tj. dyrektywę 93/13/EWG, oraz wyroki Trybunału Sprawiedliwości. Ponadto sąd kasacyjny uznał, że klauzula 7 umowy kredytu odzwierciedlała art. 291 Kodeksu cywilnego i z tego powodu nie mogła być nieuczciwa. Wreszcie nie można uznać, że art. 291 jest zgodny z</w:t>
      </w:r>
      <w:r w:rsidR="00CF29B1">
        <w:rPr>
          <w:lang w:val="pl"/>
        </w:rPr>
        <w:t> </w:t>
      </w:r>
      <w:r>
        <w:rPr>
          <w:lang w:val="pl"/>
        </w:rPr>
        <w:t>art</w:t>
      </w:r>
      <w:r w:rsidR="00CF29B1">
        <w:rPr>
          <w:lang w:val="pl"/>
        </w:rPr>
        <w:t>.</w:t>
      </w:r>
      <w:r>
        <w:rPr>
          <w:lang w:val="pl"/>
        </w:rPr>
        <w:t>1</w:t>
      </w:r>
      <w:r w:rsidR="00CF29B1">
        <w:rPr>
          <w:lang w:val="pl"/>
        </w:rPr>
        <w:t> </w:t>
      </w:r>
      <w:r>
        <w:rPr>
          <w:lang w:val="pl"/>
        </w:rPr>
        <w:t xml:space="preserve">Protokołu nr 1, gdy kurs wymiany jest korzystny dla dłużnika, a </w:t>
      </w:r>
      <w:r w:rsidR="00CF29B1">
        <w:rPr>
          <w:lang w:val="pl"/>
        </w:rPr>
        <w:t> </w:t>
      </w:r>
      <w:r>
        <w:rPr>
          <w:lang w:val="pl"/>
        </w:rPr>
        <w:t>niezgodny, gdy kurs jest niekorzystny. Przecież kredytodawca – w</w:t>
      </w:r>
      <w:r w:rsidR="00CF29B1">
        <w:rPr>
          <w:lang w:val="pl"/>
        </w:rPr>
        <w:t> </w:t>
      </w:r>
      <w:r>
        <w:rPr>
          <w:lang w:val="pl"/>
        </w:rPr>
        <w:t>międzynarodowym systemie bankowym – jest dłużnikiem wobec własnych wierzycieli, od których pożyczył środki w walucie obcej, a</w:t>
      </w:r>
      <w:r w:rsidR="00CF29B1">
        <w:rPr>
          <w:lang w:val="pl"/>
        </w:rPr>
        <w:t> </w:t>
      </w:r>
      <w:r>
        <w:rPr>
          <w:lang w:val="pl"/>
        </w:rPr>
        <w:t>następnie pożyczył je klientom w walucie obcej.</w:t>
      </w:r>
    </w:p>
    <w:p w14:paraId="13A31587" w14:textId="77777777" w:rsidR="00F37411" w:rsidRPr="009E131B" w:rsidRDefault="00F37411" w:rsidP="009E131B">
      <w:pPr>
        <w:pStyle w:val="JuH1"/>
      </w:pPr>
      <w:r>
        <w:rPr>
          <w:bCs w:val="0"/>
          <w:lang w:val="pl"/>
        </w:rPr>
        <w:t>Ocena Trybunału</w:t>
      </w:r>
    </w:p>
    <w:p w14:paraId="727D9942" w14:textId="1055E3C4"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r>
        <w:rPr>
          <w:lang w:val="pl"/>
        </w:rPr>
        <w:t xml:space="preserve">.  W celu rozstrzygnięcia, czy pozwane państwo wypełniło swoje obowiązki pozytywne w niniejszej sprawie, Trybunał uważa za stosowne przypomnieć kontekst okoliczności faktycznych w tej sprawie. Zauważa m.in., że w latach 2006–2010 banki udzielały osobom fizycznym kredytów mieszkaniowych we frankach szwajcarskich. W szczególności kredytobiorca otrzymywał kredyt w euro, po przeliczeniu franka szwajcarskiego na euro, po kursie wymiany obowiązującym w dniu wypłaty. Te umowy kredytu zawierały </w:t>
      </w:r>
      <w:r w:rsidR="0045450D">
        <w:rPr>
          <w:lang w:val="pl"/>
        </w:rPr>
        <w:t xml:space="preserve">standardową </w:t>
      </w:r>
      <w:r>
        <w:rPr>
          <w:lang w:val="pl"/>
        </w:rPr>
        <w:t xml:space="preserve"> klauzulę, która przewidywała, że spłata kredytu przez dłużnika nastąpi albo w walucie obcej albo w euro, ale po kursie wymiany, w stosunku do franka szwajcarskiego, obowiązującym w dniu spłaty. Ten obowiązek umowny dłużników okazał się dla nich niekorzystny. O ile w 2007 r. parytet euro do franka szwajcarskiego wynosił ok. 1:1,61, to w 2015 r., w związku z rewaloryzacją franka szwajcarskiego, osiągnął poziom ok. 1:1,20. </w:t>
      </w:r>
      <w:r>
        <w:rPr>
          <w:lang w:val="pl"/>
        </w:rPr>
        <w:lastRenderedPageBreak/>
        <w:t>Oznaczało to, że w dniu spłaty swojego kredytu kredytobiorca musiał spłacić wyższą kwotę w euro niż otrzymał wraz z</w:t>
      </w:r>
      <w:r w:rsidR="00CF29B1">
        <w:rPr>
          <w:lang w:val="pl"/>
        </w:rPr>
        <w:t> </w:t>
      </w:r>
      <w:r>
        <w:rPr>
          <w:lang w:val="pl"/>
        </w:rPr>
        <w:t>kredytem.</w:t>
      </w:r>
    </w:p>
    <w:p w14:paraId="576D622D"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71</w:t>
      </w:r>
      <w:r>
        <w:rPr>
          <w:lang w:val="pl"/>
        </w:rPr>
        <w:fldChar w:fldCharType="end"/>
      </w:r>
      <w:r>
        <w:rPr>
          <w:lang w:val="pl"/>
        </w:rPr>
        <w:t>.  Taka sytuacja miała miejsce również w przypadku skarżącej.</w:t>
      </w:r>
    </w:p>
    <w:p w14:paraId="1A5C3317" w14:textId="657003AD" w:rsidR="00F37411" w:rsidRPr="00CF29B1" w:rsidRDefault="00F37411" w:rsidP="009E131B">
      <w:pPr>
        <w:pStyle w:val="JuPara"/>
        <w:rPr>
          <w:lang w:val="pl-PL"/>
        </w:rPr>
      </w:pPr>
      <w:r>
        <w:rPr>
          <w:lang w:val="pl"/>
        </w:rPr>
        <w:t>W dniu 2 stycznia 2007 r. skarżąca zawarła z Eurobank-</w:t>
      </w:r>
      <w:proofErr w:type="spellStart"/>
      <w:r>
        <w:rPr>
          <w:lang w:val="pl"/>
        </w:rPr>
        <w:t>Ergasias</w:t>
      </w:r>
      <w:proofErr w:type="spellEnd"/>
      <w:r>
        <w:rPr>
          <w:lang w:val="pl"/>
        </w:rPr>
        <w:t xml:space="preserve"> umowę kredytu w wysokości 243 225 franków szwajcarskich, co w momencie wypłaty w dniu 10 stycznia 2007 r. odpowiadało kwocie 150 000 euro. W</w:t>
      </w:r>
      <w:r w:rsidR="00CF29B1">
        <w:rPr>
          <w:lang w:val="pl"/>
        </w:rPr>
        <w:t> </w:t>
      </w:r>
      <w:r>
        <w:rPr>
          <w:lang w:val="pl"/>
        </w:rPr>
        <w:t>momencie udzielania kredytu parytet między frankiem szwajcarskim a</w:t>
      </w:r>
      <w:r w:rsidR="00CF29B1">
        <w:rPr>
          <w:lang w:val="pl"/>
        </w:rPr>
        <w:t> </w:t>
      </w:r>
      <w:r>
        <w:rPr>
          <w:lang w:val="pl"/>
        </w:rPr>
        <w:t>euro wynosił 1/1,6215, ale 4 lutego 2015 r. wynosił 1/1,0175. Skarżąca przez kilka lat, do 26 lutego 2015 r., spłacała raty kredytu w euro, jednak czując się pokrzywdzona wzrostem kursu walutowego, postanowiła wystąpić na drogę sądową.</w:t>
      </w:r>
    </w:p>
    <w:p w14:paraId="5E20AB8E" w14:textId="5FC08154"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r>
        <w:rPr>
          <w:lang w:val="pl"/>
        </w:rPr>
        <w:t>.  W dniu 18 lutego 2015 r., powołując się na ustawę nr 2251/1994 o</w:t>
      </w:r>
      <w:r w:rsidR="00CF29B1">
        <w:rPr>
          <w:lang w:val="pl"/>
        </w:rPr>
        <w:t> </w:t>
      </w:r>
      <w:r>
        <w:rPr>
          <w:lang w:val="pl"/>
        </w:rPr>
        <w:t>ochronie konsumentów, skarżąca wniosła do sądu pierwszej instancji w</w:t>
      </w:r>
      <w:r w:rsidR="00CF29B1">
        <w:rPr>
          <w:lang w:val="pl"/>
        </w:rPr>
        <w:t> </w:t>
      </w:r>
      <w:r>
        <w:rPr>
          <w:lang w:val="pl"/>
        </w:rPr>
        <w:t>Salonikach skargę przeciwko bankowi, żądając m.in. uznania klauzuli zawartej w umowie kredytu, przewidującej możliwość spłaty zadłużenia w</w:t>
      </w:r>
      <w:r w:rsidR="00CF29B1">
        <w:rPr>
          <w:lang w:val="pl"/>
        </w:rPr>
        <w:t> </w:t>
      </w:r>
      <w:r>
        <w:rPr>
          <w:lang w:val="pl"/>
        </w:rPr>
        <w:t>euro na podstawie parytetu z frankiem szwajcarskim według kursu obowiązującego w dniu spłaty, za nieważną jako nieuczciwą.</w:t>
      </w:r>
    </w:p>
    <w:p w14:paraId="26625B40" w14:textId="4B0637EE"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r>
        <w:rPr>
          <w:lang w:val="pl"/>
        </w:rPr>
        <w:t>.  W pierwszej kolejności sąd pierwszej instancji oddalił odwołanie skarżącej. Uznał on z jednej strony, że nie może badać tej klauzuli z punktu widzenia dyrektywy 93/13/EWG, ponieważ ma ona charakter deklaratoryjny w stosunku do treści art. 291 Kodeksu cywilnego, a z drugiej strony, nie można jej uznać za nieuczciwą ani niejasną (zob. paragraf 26 powyżej). Po</w:t>
      </w:r>
      <w:r w:rsidR="00CF29B1">
        <w:rPr>
          <w:lang w:val="pl"/>
        </w:rPr>
        <w:t> </w:t>
      </w:r>
      <w:r>
        <w:rPr>
          <w:lang w:val="pl"/>
        </w:rPr>
        <w:t>drugie sąd kasacyjny, obradujący w pełnym składzie ze względu na wagę rozstrzyganej kwestii prawnej, uznał, że przyjmując, iż wyłączenie klauzul deklaratoryjnych z kontroli nieuczciwości wynikało z „wyraźnego nakazu dyrektywy 93/13/EWG”, sąd pierwszej instancji nie popełnił błędu, ponieważ nawet jeśli wyłączenie to nie zostało wyraźnie przeniesione na grunt prawa krajowego przez ustawę nr 2251/1994, to znalazło w nim odzwierciedlenie w art. 2 ust. 6 ustawy nr 2251/1994 w drodze wykładni prawa wspólnotowego zgodnej z celem dyrektywy (paragraf 31 powyżej).</w:t>
      </w:r>
    </w:p>
    <w:p w14:paraId="265378F9"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r>
        <w:rPr>
          <w:lang w:val="pl"/>
        </w:rPr>
        <w:t>.  Trybunał odnotowuje, że duża część przedstawionej mu argumentacji skarżącej i Rządu poświęcona jest wykładni przepisów krajowych i unijnych zarówno przez sądy greckie, jak i Trybunał Sprawiedliwości Unii Europejskiej</w:t>
      </w:r>
    </w:p>
    <w:p w14:paraId="6B54B050"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r>
        <w:rPr>
          <w:lang w:val="pl"/>
        </w:rPr>
        <w:t>.  Trybunał przypomina w związku z tym, że w sprawach wynikających z indywidualnej skargi zadaniem Trybunału nie jest abstrakcyjny przegląd spornego ustawodawstwa; musi on ograniczyć się, na ile to możliwe, do zbadania kwestii poruszonych w zawisłej przed nim sprawie (</w:t>
      </w:r>
      <w:bookmarkStart w:id="8" w:name="_Hlk63845274"/>
      <w:r>
        <w:rPr>
          <w:i/>
          <w:iCs/>
          <w:lang w:val="pl"/>
        </w:rPr>
        <w:t xml:space="preserve">Holy </w:t>
      </w:r>
      <w:proofErr w:type="spellStart"/>
      <w:r>
        <w:rPr>
          <w:i/>
          <w:iCs/>
          <w:lang w:val="pl"/>
        </w:rPr>
        <w:t>Monasteries</w:t>
      </w:r>
      <w:proofErr w:type="spellEnd"/>
      <w:r>
        <w:rPr>
          <w:i/>
          <w:iCs/>
          <w:lang w:val="pl"/>
        </w:rPr>
        <w:t xml:space="preserve"> przeciwko Grecji</w:t>
      </w:r>
      <w:r>
        <w:rPr>
          <w:lang w:val="pl"/>
        </w:rPr>
        <w:t>, wyrok z 9 grudnia 1994 r., Seria A nr 301-A, § 55</w:t>
      </w:r>
      <w:bookmarkEnd w:id="8"/>
      <w:r>
        <w:rPr>
          <w:lang w:val="pl"/>
        </w:rPr>
        <w:t>).</w:t>
      </w:r>
    </w:p>
    <w:p w14:paraId="2AFCCE52" w14:textId="77777777" w:rsidR="003418F7"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xml:space="preserve">.  Trybunał zauważył, że zmiana kursu wymiany euro na franka szwajcarskiego nastąpiła w czasie kryzysu finansowego, który dotknął całą Europę, a w szczególności Grecję, i który przez długi czas się pogłębiał. Taka zmiana okoliczności była niewątpliwie nieprzewidywalna zarówno dla </w:t>
      </w:r>
      <w:r>
        <w:rPr>
          <w:lang w:val="pl"/>
        </w:rPr>
        <w:lastRenderedPageBreak/>
        <w:t>banków, jak i kredytobiorców, a dla tych ostatnich osiągnęła stopień przekraczający ryzyko podejmowane przez kredytobiorcę, gdy przy okazji kredytu mieszkaniowego w normalnych warunkach dokonuje on wyboru między kredytem o stałej lub zmiennej stopie procentowej. W obliczu tak wielkiego kryzysu finansowego państwo musi podjąć działania, które zapewnią, by tysiące osób posiadających kredyty mieszkaniowe nie były nieproporcjonalnie obciążone, nie z własnej winy, ryzykiem utraty swojego mienia.</w:t>
      </w:r>
    </w:p>
    <w:p w14:paraId="3F83F0F0" w14:textId="77777777" w:rsidR="003418F7" w:rsidRPr="00CF29B1" w:rsidRDefault="005C2455"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r>
        <w:rPr>
          <w:lang w:val="pl"/>
        </w:rPr>
        <w:t>.  W niniejszej sprawie Trybunał uznał jednak, że skarżąca nie pozostawała w niewiedzy co do ryzyka związanego z zawarciem umowy kredytu we frankach szwajcarskich i wahaniami w górę tak silnej waluty jak frank szwajcarski w okresie spłaty kredytu wynoszącym 25 lat.</w:t>
      </w:r>
    </w:p>
    <w:p w14:paraId="43BEF629" w14:textId="77777777" w:rsidR="005C2455" w:rsidRPr="00CF29B1" w:rsidRDefault="005C2455"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r>
        <w:rPr>
          <w:lang w:val="pl"/>
        </w:rPr>
        <w:t>.  Trybunał zauważa zatem, że skarżąca ubezpieczyła się na trzy lata od ryzyka wzrostu jej miesięcznych spłat z powodu ewentualnego wzrostu kursu walutowego (zob. paragraf 4 powyżej) i miała możliwość przedłużenia tego ubezpieczenia, czego nie uczyniła.</w:t>
      </w:r>
    </w:p>
    <w:p w14:paraId="0FF66DF8" w14:textId="77777777" w:rsidR="005C2455" w:rsidRPr="00CF29B1" w:rsidRDefault="005C2455"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r>
        <w:rPr>
          <w:lang w:val="pl"/>
        </w:rPr>
        <w:t>.  Ponadto umowa kredytu przewidywała możliwość żądania przez skarżącą, w dowolnym momencie, przeliczenia waluty kredytu na euro (zob. paragraf 62 powyżej), czego również skarżąca nie uczyniła.</w:t>
      </w:r>
    </w:p>
    <w:p w14:paraId="7BE58C38" w14:textId="0FA7BFBD" w:rsidR="005C2455" w:rsidRPr="00CF29B1" w:rsidRDefault="005C2455"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Ostatecznie pomiędzy skarżącą a bankiem, odpowiednio w dniach 29</w:t>
      </w:r>
      <w:r w:rsidR="00CF29B1">
        <w:rPr>
          <w:lang w:val="pl"/>
        </w:rPr>
        <w:t> </w:t>
      </w:r>
      <w:r>
        <w:rPr>
          <w:lang w:val="pl"/>
        </w:rPr>
        <w:t>grudnia 2010 r., 22 sierpnia 2011 r., 2 stycznia 2012 r. i 21 stycznia 2015 r., zawarte zostały cztery umowy zmieniające pierwotną umowę, przewidujące zmniejszenie wysokości rat, wydłużenie terminów płatności, a</w:t>
      </w:r>
      <w:r w:rsidR="00CF29B1">
        <w:rPr>
          <w:lang w:val="pl"/>
        </w:rPr>
        <w:t> </w:t>
      </w:r>
      <w:r>
        <w:rPr>
          <w:lang w:val="pl"/>
        </w:rPr>
        <w:t>nawet czasowe zawieszenie płatności niektórych miesięcznych rat (zob. paragrafy 7–9 powyżej).</w:t>
      </w:r>
    </w:p>
    <w:p w14:paraId="30414B56" w14:textId="356120B2"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81</w:t>
      </w:r>
      <w:r>
        <w:rPr>
          <w:lang w:val="pl"/>
        </w:rPr>
        <w:fldChar w:fldCharType="end"/>
      </w:r>
      <w:r>
        <w:rPr>
          <w:lang w:val="pl"/>
        </w:rPr>
        <w:t>.  Trybunał zauważył wreszcie, że od 2007 r. do 2015 r. skarżąca uiszczała miesięczne raty, nie powołując się na niemożność wykonania zobowiązania z uwagi na wahania kursu walut. Jeśli jednak uważała, że jej zdolność do spłaty kredytu uległa zmniejszeniu z powodu nieprzewidzianego zdarzenia, na które nie miała wpływu ani ona, ani bank, np. nagłej zmiany międzynarodowego kursu wymiany euro na franka szwajcarskiego, art. 388 Kodeksu cywilnego (zob. paragraf 34 powyżej) umożliwiał jej zwrócenie się do sądu o renegocjację kredytu, a nawet o rozwiązanie umowy. Jednak to, co nie było przedmiotem żądań skarżącej, stało się ostatecznie nagle wraz z</w:t>
      </w:r>
      <w:r w:rsidR="00CF29B1">
        <w:rPr>
          <w:lang w:val="pl"/>
        </w:rPr>
        <w:t> </w:t>
      </w:r>
      <w:r>
        <w:rPr>
          <w:lang w:val="pl"/>
        </w:rPr>
        <w:t>wystąpieniem u niej niezdolności do pracy, powodując uruchomienie procedury ubezpieczenia, którego umowę zawarła w tym celu.</w:t>
      </w:r>
    </w:p>
    <w:p w14:paraId="53F3F9FB" w14:textId="7F1DCF6F"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xml:space="preserve">.  W skrócie, Trybunał stwierdził, że prawo krajowe zapewniało skarżącej odpowiednie środki odwoławcze w celu dochodzenia jej praw związanych z poszanowaniem własności: prawo do dochodzenia przed sądami cywilnymi unieważnienia klauzuli umowy pożyczki, którą uznała za nieuczciwą, z czego faktycznie skorzystała; możliwość dochodzenia przed sądami renegocjacji lub nawet rozwiązania umowy na podstawie art. 388 Kodeksu cywilnego. Ponadto sama umowa daje możliwość zażądania od banku, w dowolnym momencie, przewalutowania kredytu na euro </w:t>
      </w:r>
      <w:r>
        <w:rPr>
          <w:lang w:val="pl"/>
        </w:rPr>
        <w:lastRenderedPageBreak/>
        <w:t>i</w:t>
      </w:r>
      <w:r w:rsidR="00CF29B1">
        <w:rPr>
          <w:lang w:val="pl"/>
        </w:rPr>
        <w:t> </w:t>
      </w:r>
      <w:r>
        <w:rPr>
          <w:lang w:val="pl"/>
        </w:rPr>
        <w:t>ubezpieczenia się od ryzyka zwiększonych miesięcznych spłat. W</w:t>
      </w:r>
      <w:r w:rsidR="00CF29B1">
        <w:rPr>
          <w:lang w:val="pl"/>
        </w:rPr>
        <w:t> </w:t>
      </w:r>
      <w:r>
        <w:rPr>
          <w:lang w:val="pl"/>
        </w:rPr>
        <w:t>odniesieniu do skuteczności wybranego środka prawnego Trybunał zauważa, że skarżąca miała możliwość rozwinięcia wszystkich swoich argumentów przed właściwymi sądami i uzyskania szczegółowo uzasadnionego wyroku wydanego przez sąd kasacyjny w pełnym składzie.</w:t>
      </w:r>
    </w:p>
    <w:p w14:paraId="51CA06EC" w14:textId="77777777" w:rsidR="003418F7" w:rsidRPr="00CF29B1" w:rsidRDefault="00087E13" w:rsidP="009E131B">
      <w:pPr>
        <w:pStyle w:val="JuPara"/>
        <w:rPr>
          <w:rFonts w:ascii="Times New Roman" w:hAnsi="Times New Roman" w:cs="Times New Roman"/>
          <w:lang w:val="pl-PL"/>
        </w:rPr>
      </w:pPr>
      <w:r>
        <w:rPr>
          <w:lang w:val="pl"/>
        </w:rPr>
        <w:fldChar w:fldCharType="begin"/>
      </w:r>
      <w:r>
        <w:rPr>
          <w:lang w:val="pl"/>
        </w:rPr>
        <w:instrText xml:space="preserve"> SEQ level0 \*arabic </w:instrText>
      </w:r>
      <w:r>
        <w:rPr>
          <w:lang w:val="pl"/>
        </w:rPr>
        <w:fldChar w:fldCharType="separate"/>
      </w:r>
      <w:r>
        <w:rPr>
          <w:noProof/>
          <w:lang w:val="pl"/>
        </w:rPr>
        <w:t>83</w:t>
      </w:r>
      <w:r>
        <w:rPr>
          <w:lang w:val="pl"/>
        </w:rPr>
        <w:fldChar w:fldCharType="end"/>
      </w:r>
      <w:r>
        <w:rPr>
          <w:lang w:val="pl"/>
        </w:rPr>
        <w:t xml:space="preserve">.  Wreszcie Trybunał zauważył, że sąd kasacyjny, nie odwołując się wyraźnie do orzecznictwa Trybunału Sprawiedliwości Unii Europejskiej, dokonał wykładni prawa krajowego w sposób zgodny z wykładnią odpowiednich przepisów prawa europejskiego dokonaną przez Trybunał Sprawiedliwości Unii Europejskiej. W szczególności w ostatnim wyroku w sprawie </w:t>
      </w:r>
      <w:r>
        <w:rPr>
          <w:rFonts w:ascii="Times New Roman" w:hAnsi="Times New Roman"/>
          <w:lang w:val="pl"/>
        </w:rPr>
        <w:t xml:space="preserve">NG i OH przeciwko SC Banca </w:t>
      </w:r>
      <w:proofErr w:type="spellStart"/>
      <w:r>
        <w:rPr>
          <w:rFonts w:ascii="Times New Roman" w:hAnsi="Times New Roman"/>
          <w:lang w:val="pl"/>
        </w:rPr>
        <w:t>Transilvania</w:t>
      </w:r>
      <w:proofErr w:type="spellEnd"/>
      <w:r>
        <w:rPr>
          <w:rFonts w:ascii="Times New Roman" w:hAnsi="Times New Roman"/>
          <w:lang w:val="pl"/>
        </w:rPr>
        <w:t xml:space="preserve"> (paragraf 42 powyżej), ale także w szeregu wyroków dotyczących tych samych kwestii (paragraf 43 powyżej), Trybunał Sprawiedliwości rzeczywiście uznał, że art. 1 ust. 2 dyrektywy 93/13/EWG (paragraf 38 powyżej) należy interpretować w ten sposób, że warunek umowny, który nie jest indywidualnie negocjowany, ale odzwierciedla zasadę, która zgodnie z prawem krajowym ma zastosowanie do umawiających się stron, nie jest objęty tą dyrektywą. W szczególności Trybunał Sprawiedliwości podkreślił, że klauzula ta nie może być poddana badaniu pod kątem nieuczciwości, ponieważ ustawodawstwo krajowe ustanowiło już równowagę między prawami i obowiązkami stron w tego rodzaju umowie.</w:t>
      </w:r>
    </w:p>
    <w:p w14:paraId="4E78656C" w14:textId="77777777"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84</w:t>
      </w:r>
      <w:r>
        <w:rPr>
          <w:lang w:val="pl"/>
        </w:rPr>
        <w:fldChar w:fldCharType="end"/>
      </w:r>
      <w:r>
        <w:rPr>
          <w:lang w:val="pl"/>
        </w:rPr>
        <w:t>.  Z powyższego wynika, że ramy prawne wprowadzone przez państwo zapewniły skarżącej mechanizm egzekwowania jej praw wynikających z art. 1 Protokołu nr 1. Trybunał stwierdza zatem, że pozwane państwo wypełniło swoje obowiązki pozytywne wynikające z tego przepisu, nawet przy założeniu, że miał on zastosowanie w niniejszej sprawie.</w:t>
      </w:r>
    </w:p>
    <w:p w14:paraId="7BD7CA54" w14:textId="1C25AE0D" w:rsidR="00F37411" w:rsidRPr="00CF29B1" w:rsidRDefault="00F37411" w:rsidP="009E131B">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85</w:t>
      </w:r>
      <w:r>
        <w:rPr>
          <w:lang w:val="pl"/>
        </w:rPr>
        <w:fldChar w:fldCharType="end"/>
      </w:r>
      <w:r>
        <w:rPr>
          <w:lang w:val="pl"/>
        </w:rPr>
        <w:t>.  Ta część skargi jest zatem w sposób oczywisty nieuzasadniona i</w:t>
      </w:r>
      <w:r w:rsidR="00CF29B1">
        <w:rPr>
          <w:lang w:val="pl"/>
        </w:rPr>
        <w:t> </w:t>
      </w:r>
      <w:r>
        <w:rPr>
          <w:lang w:val="pl"/>
        </w:rPr>
        <w:t>należy ją oddalić zgodnie z art. 35 ust. 3 i 4 Konwencji.</w:t>
      </w:r>
    </w:p>
    <w:p w14:paraId="207A0083" w14:textId="77777777" w:rsidR="00F37411" w:rsidRPr="00CF29B1" w:rsidRDefault="00F37411" w:rsidP="009E131B">
      <w:pPr>
        <w:pStyle w:val="JuPara"/>
        <w:rPr>
          <w:lang w:val="pl-PL"/>
        </w:rPr>
      </w:pPr>
    </w:p>
    <w:p w14:paraId="03726F25" w14:textId="77777777" w:rsidR="00F37411" w:rsidRPr="00CF29B1" w:rsidRDefault="00F37411" w:rsidP="009E131B">
      <w:pPr>
        <w:pStyle w:val="JuParaLast"/>
        <w:rPr>
          <w:lang w:val="pl-PL"/>
        </w:rPr>
      </w:pPr>
      <w:r>
        <w:rPr>
          <w:lang w:val="pl"/>
        </w:rPr>
        <w:t>Z powyższych względów, Trybunał, jednomyślnie,</w:t>
      </w:r>
    </w:p>
    <w:p w14:paraId="581E91D7" w14:textId="77777777" w:rsidR="00F37411" w:rsidRPr="00CF29B1" w:rsidRDefault="00F37411" w:rsidP="009E131B">
      <w:pPr>
        <w:pStyle w:val="DecList"/>
        <w:rPr>
          <w:lang w:val="pl-PL"/>
        </w:rPr>
      </w:pPr>
      <w:r>
        <w:rPr>
          <w:i/>
          <w:iCs/>
          <w:lang w:val="pl"/>
        </w:rPr>
        <w:t>Uznaje</w:t>
      </w:r>
      <w:r>
        <w:rPr>
          <w:lang w:val="pl"/>
        </w:rPr>
        <w:t xml:space="preserve"> skargę za niedopuszczalną.</w:t>
      </w:r>
    </w:p>
    <w:p w14:paraId="27CDD62D" w14:textId="1CD8F86A" w:rsidR="00050A32" w:rsidRPr="00CF29B1" w:rsidRDefault="00F40988" w:rsidP="009E131B">
      <w:pPr>
        <w:pStyle w:val="JuParaLast"/>
        <w:rPr>
          <w:sz w:val="14"/>
          <w:lang w:val="pl-PL"/>
        </w:rPr>
      </w:pPr>
      <w:r>
        <w:rPr>
          <w:lang w:val="pl"/>
        </w:rPr>
        <w:t>Sporządzono w języku francuskim i przekazano w formie pisemnej w</w:t>
      </w:r>
      <w:r w:rsidR="00CF29B1">
        <w:rPr>
          <w:lang w:val="pl"/>
        </w:rPr>
        <w:t> </w:t>
      </w:r>
      <w:r>
        <w:rPr>
          <w:lang w:val="pl"/>
        </w:rPr>
        <w:t>dniu</w:t>
      </w:r>
      <w:r w:rsidR="00CF29B1">
        <w:rPr>
          <w:lang w:val="pl"/>
        </w:rPr>
        <w:t> </w:t>
      </w:r>
      <w:r>
        <w:rPr>
          <w:lang w:val="pl"/>
        </w:rPr>
        <w:t>11 lutego 2021 r.</w:t>
      </w:r>
    </w:p>
    <w:p w14:paraId="1E9E337F" w14:textId="77777777" w:rsidR="0091478F" w:rsidRPr="00CF29B1" w:rsidRDefault="00050A32" w:rsidP="009E131B">
      <w:pPr>
        <w:pStyle w:val="JuSigned"/>
        <w:rPr>
          <w:lang w:val="pl-PL"/>
        </w:rPr>
      </w:pPr>
      <w:r>
        <w:rPr>
          <w:lang w:val="pl"/>
        </w:rPr>
        <w:tab/>
        <w:t xml:space="preserve">Renata </w:t>
      </w:r>
      <w:proofErr w:type="spellStart"/>
      <w:r>
        <w:rPr>
          <w:lang w:val="pl"/>
        </w:rPr>
        <w:t>Degener</w:t>
      </w:r>
      <w:proofErr w:type="spellEnd"/>
      <w:r>
        <w:rPr>
          <w:lang w:val="pl"/>
        </w:rPr>
        <w:tab/>
      </w:r>
      <w:proofErr w:type="spellStart"/>
      <w:r>
        <w:rPr>
          <w:lang w:val="pl"/>
        </w:rPr>
        <w:t>Ksenija</w:t>
      </w:r>
      <w:proofErr w:type="spellEnd"/>
      <w:r>
        <w:rPr>
          <w:lang w:val="pl"/>
        </w:rPr>
        <w:t xml:space="preserve"> </w:t>
      </w:r>
      <w:proofErr w:type="spellStart"/>
      <w:r>
        <w:rPr>
          <w:lang w:val="pl"/>
        </w:rPr>
        <w:t>Turković</w:t>
      </w:r>
      <w:proofErr w:type="spellEnd"/>
      <w:r>
        <w:rPr>
          <w:lang w:val="pl"/>
        </w:rPr>
        <w:br/>
      </w:r>
      <w:r>
        <w:rPr>
          <w:lang w:val="pl"/>
        </w:rPr>
        <w:tab/>
        <w:t>Zastępczyni Kanclerza</w:t>
      </w:r>
      <w:r>
        <w:rPr>
          <w:lang w:val="pl"/>
        </w:rPr>
        <w:tab/>
        <w:t>Przewodnicząca</w:t>
      </w:r>
    </w:p>
    <w:p w14:paraId="362A5CFD" w14:textId="77777777" w:rsidR="00234E8A" w:rsidRPr="00CF29B1" w:rsidRDefault="00234E8A" w:rsidP="009E131B">
      <w:pPr>
        <w:pStyle w:val="JuPara"/>
        <w:rPr>
          <w:lang w:val="pl-PL"/>
        </w:rPr>
      </w:pPr>
    </w:p>
    <w:sectPr w:rsidR="00234E8A" w:rsidRPr="00CF29B1" w:rsidSect="00AF7102">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CCD91" w14:textId="77777777" w:rsidR="00017EA5" w:rsidRPr="00F37411" w:rsidRDefault="00017EA5" w:rsidP="006544C4">
      <w:r>
        <w:separator/>
      </w:r>
    </w:p>
  </w:endnote>
  <w:endnote w:type="continuationSeparator" w:id="0">
    <w:p w14:paraId="4F7CDD7D" w14:textId="77777777" w:rsidR="00017EA5" w:rsidRPr="00F37411" w:rsidRDefault="00017EA5" w:rsidP="00654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BEA19" w14:textId="77777777" w:rsidR="00A36416" w:rsidRPr="00F37411" w:rsidRDefault="00A36416" w:rsidP="00FB64E0">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28</w:t>
    </w:r>
    <w:r>
      <w:rPr>
        <w:rStyle w:val="Numerstrony"/>
        <w:lang w:val="p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9DCE7" w14:textId="77777777" w:rsidR="00A36416" w:rsidRPr="00F37411" w:rsidRDefault="00A36416" w:rsidP="00FB64E0">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Pr>
        <w:rStyle w:val="Numerstrony"/>
        <w:noProof/>
        <w:lang w:val="pl"/>
      </w:rPr>
      <w:t>28</w:t>
    </w:r>
    <w:r>
      <w:rPr>
        <w:rStyle w:val="Numerstrony"/>
        <w:lang w:val="p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6E885" w14:textId="77777777" w:rsidR="00A36416" w:rsidRPr="00150BFA" w:rsidRDefault="00A36416" w:rsidP="003418F7">
    <w:pPr>
      <w:jc w:val="center"/>
    </w:pPr>
    <w:r>
      <w:rPr>
        <w:noProof/>
        <w:lang w:val="pl"/>
      </w:rPr>
      <w:drawing>
        <wp:inline distT="0" distB="0" distL="0" distR="0" wp14:anchorId="165B88A4" wp14:editId="5095B62C">
          <wp:extent cx="771525" cy="619125"/>
          <wp:effectExtent l="0" t="0" r="9525" b="9525"/>
          <wp:docPr id="36" name="Picture 3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1F33A6A" w14:textId="77777777" w:rsidR="00A36416" w:rsidRPr="00F37411" w:rsidRDefault="00A36416" w:rsidP="003418F7">
    <w:pPr>
      <w:jc w:val="center"/>
      <w:rPr>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1AE02" w14:textId="77777777" w:rsidR="00017EA5" w:rsidRPr="00F37411" w:rsidRDefault="00017EA5" w:rsidP="006544C4">
      <w:r>
        <w:separator/>
      </w:r>
    </w:p>
  </w:footnote>
  <w:footnote w:type="continuationSeparator" w:id="0">
    <w:p w14:paraId="462FFB74" w14:textId="77777777" w:rsidR="00017EA5" w:rsidRPr="00F37411" w:rsidRDefault="00017EA5" w:rsidP="006544C4">
      <w:r>
        <w:continuationSeparator/>
      </w:r>
    </w:p>
  </w:footnote>
  <w:footnote w:id="1">
    <w:p w14:paraId="1A7A9179" w14:textId="77777777" w:rsidR="00A36416" w:rsidRPr="00CF29B1" w:rsidRDefault="00A36416">
      <w:pPr>
        <w:pStyle w:val="Tekstprzypisudolnego"/>
        <w:rPr>
          <w:lang w:val="pl-PL"/>
        </w:rPr>
      </w:pPr>
      <w:r>
        <w:rPr>
          <w:rStyle w:val="Odwoanieprzypisudolnego"/>
          <w:lang w:val="pl"/>
        </w:rPr>
        <w:footnoteRef/>
      </w:r>
      <w:r>
        <w:rPr>
          <w:lang w:val="pl"/>
        </w:rPr>
        <w:t xml:space="preserve"> Mechanizm wypłaty i spłaty kredytów we frankach szwajcarskich działa w następujący sposób: wypłata kredytu kredytobiorcy następuje poprzez zaksięgowanie kwoty we frankach szwajcarskich na rachunku kredytobiorcy. Następnie w celu wykorzystania kredytu (zakup mieszkania przez skarżącą) franki szwajcarskie są przeliczane na euro poprzez sprzedaż franków bankowi i nabycie euro. W umowie określono, że kredyt jest we frankach szwajcarskich, dlatego miesięczne płatności również są obliczane we frankach szwajcarskich. Bank pozyskuje franki szwajcarskie na rynku międzybankowym i pożycza je osobom fizycznym. Kredyt jest spłacany we frankach szwajcarskich. Jeśli kredytobiorca nie ma franków szwajcarskich, może wpłacić równowartość kwoty w euro, które następnie bank zamieni na franki szwajcarskie. Konto kredytowe jest zasilane we frankach szwajcarskich.</w:t>
      </w:r>
    </w:p>
  </w:footnote>
  <w:footnote w:id="2">
    <w:p w14:paraId="6B2BA07A" w14:textId="77777777" w:rsidR="00A36416" w:rsidRPr="00CF29B1" w:rsidRDefault="00A36416" w:rsidP="00F37411">
      <w:pPr>
        <w:pStyle w:val="Tekstprzypisudolnego"/>
        <w:jc w:val="both"/>
        <w:rPr>
          <w:lang w:val="pl-PL"/>
        </w:rPr>
      </w:pPr>
      <w:r>
        <w:rPr>
          <w:rStyle w:val="Odwoanieprzypisudolnego"/>
          <w:lang w:val="pl"/>
        </w:rPr>
        <w:footnoteRef/>
      </w:r>
      <w:r>
        <w:rPr>
          <w:rStyle w:val="Odwoanieprzypisudolnego"/>
          <w:lang w:val="pl"/>
        </w:rPr>
        <w:t xml:space="preserve"> </w:t>
      </w:r>
      <w:r>
        <w:rPr>
          <w:lang w:val="pl"/>
        </w:rPr>
        <w:t>Suma wypłacona przez zakład ubezpieczeń nie odpowiadała pierwotnej kwocie kredytu, lecz kwocie, która była należna w chwili powstania niezdolności do pracy skarżącej, gdyby nie skorzystała z umów zmieniających pierwotną umowę. Zakład ubezpieczeń zwróciłby cały niespłacony kapitał kredytu, gdyby te umowy zmieniające nie zostały zawarte.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63AC1" w14:textId="77777777" w:rsidR="00A36416" w:rsidRPr="00CF29B1" w:rsidRDefault="00A36416" w:rsidP="003312A3">
    <w:pPr>
      <w:pStyle w:val="JuHeader"/>
      <w:rPr>
        <w:lang w:val="pl-PL"/>
      </w:rPr>
    </w:pPr>
    <w:r>
      <w:rPr>
        <w:lang w:val="pl"/>
      </w:rPr>
      <w:t>DECYZJA W SPRAWIE ANTONOPOULOU przeciwko GRECJI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6849C" w14:textId="77777777" w:rsidR="00A36416" w:rsidRPr="00CF29B1" w:rsidRDefault="00A36416" w:rsidP="006544C4">
    <w:pPr>
      <w:pStyle w:val="JuHeader"/>
      <w:rPr>
        <w:lang w:val="pl-PL"/>
      </w:rPr>
    </w:pPr>
    <w:r>
      <w:rPr>
        <w:lang w:val="pl"/>
      </w:rPr>
      <w:t>DECYZJA W SPRAWIE ANTONOPOULOU przeciwko GRECJI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EFD3D" w14:textId="77777777" w:rsidR="00A36416" w:rsidRPr="00A45145" w:rsidRDefault="00A36416" w:rsidP="003418F7">
    <w:pPr>
      <w:jc w:val="center"/>
    </w:pPr>
    <w:r>
      <w:rPr>
        <w:noProof/>
        <w:lang w:val="pl"/>
      </w:rPr>
      <w:drawing>
        <wp:inline distT="0" distB="0" distL="0" distR="0" wp14:anchorId="67EAE8A1" wp14:editId="39EB63AC">
          <wp:extent cx="2962275" cy="1219200"/>
          <wp:effectExtent l="0" t="0" r="9525" b="0"/>
          <wp:docPr id="22" name="Picture 2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C05BC10" w14:textId="77777777" w:rsidR="00A36416" w:rsidRPr="00F37411" w:rsidRDefault="00A36416" w:rsidP="003418F7">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D8668044"/>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16cid:durableId="624308348">
    <w:abstractNumId w:val="9"/>
  </w:num>
  <w:num w:numId="2" w16cid:durableId="380911382">
    <w:abstractNumId w:val="13"/>
  </w:num>
  <w:num w:numId="3" w16cid:durableId="1655909231">
    <w:abstractNumId w:val="11"/>
  </w:num>
  <w:num w:numId="4" w16cid:durableId="2078358315">
    <w:abstractNumId w:val="10"/>
  </w:num>
  <w:num w:numId="5" w16cid:durableId="1689603542">
    <w:abstractNumId w:val="14"/>
  </w:num>
  <w:num w:numId="6" w16cid:durableId="231279936">
    <w:abstractNumId w:val="12"/>
  </w:num>
  <w:num w:numId="7" w16cid:durableId="2105609949">
    <w:abstractNumId w:val="15"/>
  </w:num>
  <w:num w:numId="8" w16cid:durableId="285697255">
    <w:abstractNumId w:val="16"/>
  </w:num>
  <w:num w:numId="9" w16cid:durableId="57678602">
    <w:abstractNumId w:val="7"/>
  </w:num>
  <w:num w:numId="10" w16cid:durableId="61026116">
    <w:abstractNumId w:val="6"/>
  </w:num>
  <w:num w:numId="11" w16cid:durableId="1961715958">
    <w:abstractNumId w:val="5"/>
  </w:num>
  <w:num w:numId="12" w16cid:durableId="280572626">
    <w:abstractNumId w:val="4"/>
  </w:num>
  <w:num w:numId="13" w16cid:durableId="219174259">
    <w:abstractNumId w:val="8"/>
  </w:num>
  <w:num w:numId="14" w16cid:durableId="989557642">
    <w:abstractNumId w:val="3"/>
  </w:num>
  <w:num w:numId="15" w16cid:durableId="997462116">
    <w:abstractNumId w:val="2"/>
  </w:num>
  <w:num w:numId="16" w16cid:durableId="301080746">
    <w:abstractNumId w:val="1"/>
  </w:num>
  <w:num w:numId="17" w16cid:durableId="540631334">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s>
  <w:rsids>
    <w:rsidRoot w:val="00F37411"/>
    <w:rsid w:val="000041F8"/>
    <w:rsid w:val="000042A8"/>
    <w:rsid w:val="00004308"/>
    <w:rsid w:val="00005BF0"/>
    <w:rsid w:val="00007154"/>
    <w:rsid w:val="0001025C"/>
    <w:rsid w:val="000103AE"/>
    <w:rsid w:val="00011D69"/>
    <w:rsid w:val="00012AD3"/>
    <w:rsid w:val="00015C2D"/>
    <w:rsid w:val="00015F00"/>
    <w:rsid w:val="00017EA5"/>
    <w:rsid w:val="00022C1D"/>
    <w:rsid w:val="000279B8"/>
    <w:rsid w:val="00034987"/>
    <w:rsid w:val="00050A32"/>
    <w:rsid w:val="000602DF"/>
    <w:rsid w:val="00061B05"/>
    <w:rsid w:val="000632D5"/>
    <w:rsid w:val="000644EE"/>
    <w:rsid w:val="00087E13"/>
    <w:rsid w:val="000925AD"/>
    <w:rsid w:val="000A24EB"/>
    <w:rsid w:val="000B6923"/>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209D"/>
    <w:rsid w:val="00133D33"/>
    <w:rsid w:val="00134D64"/>
    <w:rsid w:val="00135500"/>
    <w:rsid w:val="00135A30"/>
    <w:rsid w:val="0013612C"/>
    <w:rsid w:val="00137FF6"/>
    <w:rsid w:val="00141650"/>
    <w:rsid w:val="00162A12"/>
    <w:rsid w:val="001641A2"/>
    <w:rsid w:val="00166234"/>
    <w:rsid w:val="00166530"/>
    <w:rsid w:val="0016678F"/>
    <w:rsid w:val="001832BD"/>
    <w:rsid w:val="001943B5"/>
    <w:rsid w:val="00195134"/>
    <w:rsid w:val="001A145B"/>
    <w:rsid w:val="001A674C"/>
    <w:rsid w:val="001B3B24"/>
    <w:rsid w:val="001C0F98"/>
    <w:rsid w:val="001C2A42"/>
    <w:rsid w:val="001D4B94"/>
    <w:rsid w:val="001D63ED"/>
    <w:rsid w:val="001D7348"/>
    <w:rsid w:val="001E035B"/>
    <w:rsid w:val="001E0961"/>
    <w:rsid w:val="001E3EAE"/>
    <w:rsid w:val="001E6F32"/>
    <w:rsid w:val="001F2145"/>
    <w:rsid w:val="001F4DC5"/>
    <w:rsid w:val="001F6262"/>
    <w:rsid w:val="001F67B0"/>
    <w:rsid w:val="001F7B3D"/>
    <w:rsid w:val="00205F9F"/>
    <w:rsid w:val="00210338"/>
    <w:rsid w:val="002115FC"/>
    <w:rsid w:val="0021423C"/>
    <w:rsid w:val="00230D00"/>
    <w:rsid w:val="00231DF7"/>
    <w:rsid w:val="00231FD1"/>
    <w:rsid w:val="002339E0"/>
    <w:rsid w:val="00233CF8"/>
    <w:rsid w:val="00234E8A"/>
    <w:rsid w:val="0023575D"/>
    <w:rsid w:val="00237148"/>
    <w:rsid w:val="0024222D"/>
    <w:rsid w:val="00244B0E"/>
    <w:rsid w:val="00244F6C"/>
    <w:rsid w:val="002532C5"/>
    <w:rsid w:val="00260C03"/>
    <w:rsid w:val="0026540E"/>
    <w:rsid w:val="00275123"/>
    <w:rsid w:val="00282240"/>
    <w:rsid w:val="00291F29"/>
    <w:rsid w:val="002948AD"/>
    <w:rsid w:val="002A01CC"/>
    <w:rsid w:val="002A61B1"/>
    <w:rsid w:val="002A663C"/>
    <w:rsid w:val="002B444B"/>
    <w:rsid w:val="002B5887"/>
    <w:rsid w:val="002C0E27"/>
    <w:rsid w:val="002C3040"/>
    <w:rsid w:val="002D022D"/>
    <w:rsid w:val="002D24BB"/>
    <w:rsid w:val="002D609F"/>
    <w:rsid w:val="002F2AF7"/>
    <w:rsid w:val="002F7E1C"/>
    <w:rsid w:val="00301A75"/>
    <w:rsid w:val="00302F70"/>
    <w:rsid w:val="0030336F"/>
    <w:rsid w:val="0030375E"/>
    <w:rsid w:val="00312A30"/>
    <w:rsid w:val="003149EA"/>
    <w:rsid w:val="00320F72"/>
    <w:rsid w:val="0032463E"/>
    <w:rsid w:val="00326224"/>
    <w:rsid w:val="003312A3"/>
    <w:rsid w:val="00334EC5"/>
    <w:rsid w:val="00337EE4"/>
    <w:rsid w:val="00340FFD"/>
    <w:rsid w:val="003418F7"/>
    <w:rsid w:val="003506B1"/>
    <w:rsid w:val="0035621E"/>
    <w:rsid w:val="00356AC7"/>
    <w:rsid w:val="003609FA"/>
    <w:rsid w:val="003710C8"/>
    <w:rsid w:val="003750BE"/>
    <w:rsid w:val="00381AF0"/>
    <w:rsid w:val="00387B9D"/>
    <w:rsid w:val="0039055E"/>
    <w:rsid w:val="0039364F"/>
    <w:rsid w:val="00396686"/>
    <w:rsid w:val="0039778E"/>
    <w:rsid w:val="003B4941"/>
    <w:rsid w:val="003C5714"/>
    <w:rsid w:val="003C6B9F"/>
    <w:rsid w:val="003C6E2A"/>
    <w:rsid w:val="003D0299"/>
    <w:rsid w:val="003D1A95"/>
    <w:rsid w:val="003E6D80"/>
    <w:rsid w:val="003E747B"/>
    <w:rsid w:val="003F05FA"/>
    <w:rsid w:val="003F244A"/>
    <w:rsid w:val="003F30B8"/>
    <w:rsid w:val="003F4C45"/>
    <w:rsid w:val="003F5F7B"/>
    <w:rsid w:val="003F7D64"/>
    <w:rsid w:val="004047FE"/>
    <w:rsid w:val="00414300"/>
    <w:rsid w:val="00425C67"/>
    <w:rsid w:val="0042772D"/>
    <w:rsid w:val="00427E7A"/>
    <w:rsid w:val="00436C49"/>
    <w:rsid w:val="00445366"/>
    <w:rsid w:val="00447F5B"/>
    <w:rsid w:val="0045450D"/>
    <w:rsid w:val="00461DB0"/>
    <w:rsid w:val="00463926"/>
    <w:rsid w:val="00464C9A"/>
    <w:rsid w:val="00474F3D"/>
    <w:rsid w:val="00474FDF"/>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24AA"/>
    <w:rsid w:val="00525208"/>
    <w:rsid w:val="005257A5"/>
    <w:rsid w:val="005264C0"/>
    <w:rsid w:val="00526A8A"/>
    <w:rsid w:val="00531DF2"/>
    <w:rsid w:val="005442EE"/>
    <w:rsid w:val="00547353"/>
    <w:rsid w:val="005474E7"/>
    <w:rsid w:val="005512A3"/>
    <w:rsid w:val="005578CE"/>
    <w:rsid w:val="00560C6F"/>
    <w:rsid w:val="00562781"/>
    <w:rsid w:val="0057271C"/>
    <w:rsid w:val="00572845"/>
    <w:rsid w:val="0058193F"/>
    <w:rsid w:val="00587EFC"/>
    <w:rsid w:val="00592772"/>
    <w:rsid w:val="0059574A"/>
    <w:rsid w:val="005A1B9B"/>
    <w:rsid w:val="005A6751"/>
    <w:rsid w:val="005B092E"/>
    <w:rsid w:val="005B152C"/>
    <w:rsid w:val="005B1EE0"/>
    <w:rsid w:val="005B2B24"/>
    <w:rsid w:val="005B4425"/>
    <w:rsid w:val="005B4B94"/>
    <w:rsid w:val="005C2455"/>
    <w:rsid w:val="005C3EE8"/>
    <w:rsid w:val="005D244F"/>
    <w:rsid w:val="005D34F9"/>
    <w:rsid w:val="005D4190"/>
    <w:rsid w:val="005D67A3"/>
    <w:rsid w:val="005E2988"/>
    <w:rsid w:val="005E3085"/>
    <w:rsid w:val="005F51E1"/>
    <w:rsid w:val="005F675D"/>
    <w:rsid w:val="00611C80"/>
    <w:rsid w:val="00620692"/>
    <w:rsid w:val="006242CA"/>
    <w:rsid w:val="00627507"/>
    <w:rsid w:val="00633717"/>
    <w:rsid w:val="006344E1"/>
    <w:rsid w:val="006544C4"/>
    <w:rsid w:val="006545C4"/>
    <w:rsid w:val="006578C8"/>
    <w:rsid w:val="00661971"/>
    <w:rsid w:val="00661CE8"/>
    <w:rsid w:val="006623D9"/>
    <w:rsid w:val="0066550C"/>
    <w:rsid w:val="006716F2"/>
    <w:rsid w:val="00682BF2"/>
    <w:rsid w:val="006859CE"/>
    <w:rsid w:val="00691270"/>
    <w:rsid w:val="00694BA8"/>
    <w:rsid w:val="006A037C"/>
    <w:rsid w:val="006A36F4"/>
    <w:rsid w:val="006A406F"/>
    <w:rsid w:val="006A5D3A"/>
    <w:rsid w:val="006A63F3"/>
    <w:rsid w:val="006B7E08"/>
    <w:rsid w:val="006C23D4"/>
    <w:rsid w:val="006C7BB0"/>
    <w:rsid w:val="006D3237"/>
    <w:rsid w:val="006E2E37"/>
    <w:rsid w:val="006E3CF1"/>
    <w:rsid w:val="006E7E80"/>
    <w:rsid w:val="006F19B0"/>
    <w:rsid w:val="006F48CA"/>
    <w:rsid w:val="006F64DD"/>
    <w:rsid w:val="00715127"/>
    <w:rsid w:val="00715E8E"/>
    <w:rsid w:val="0071796B"/>
    <w:rsid w:val="00723580"/>
    <w:rsid w:val="00723755"/>
    <w:rsid w:val="0073136C"/>
    <w:rsid w:val="00731F0F"/>
    <w:rsid w:val="00733250"/>
    <w:rsid w:val="00741404"/>
    <w:rsid w:val="007449E5"/>
    <w:rsid w:val="00747FF0"/>
    <w:rsid w:val="00764D4E"/>
    <w:rsid w:val="00765A1F"/>
    <w:rsid w:val="00775B6D"/>
    <w:rsid w:val="00775CF4"/>
    <w:rsid w:val="00776D68"/>
    <w:rsid w:val="007850EE"/>
    <w:rsid w:val="00785B95"/>
    <w:rsid w:val="00790E96"/>
    <w:rsid w:val="00791F1F"/>
    <w:rsid w:val="00793366"/>
    <w:rsid w:val="007A6280"/>
    <w:rsid w:val="007A716F"/>
    <w:rsid w:val="007B270A"/>
    <w:rsid w:val="007C0695"/>
    <w:rsid w:val="007C419A"/>
    <w:rsid w:val="007C4CC8"/>
    <w:rsid w:val="007C5426"/>
    <w:rsid w:val="007C5798"/>
    <w:rsid w:val="007D4832"/>
    <w:rsid w:val="007D7219"/>
    <w:rsid w:val="007E21B2"/>
    <w:rsid w:val="007E2C4E"/>
    <w:rsid w:val="007E3991"/>
    <w:rsid w:val="007F1905"/>
    <w:rsid w:val="00801300"/>
    <w:rsid w:val="00802C64"/>
    <w:rsid w:val="00805E52"/>
    <w:rsid w:val="008061D0"/>
    <w:rsid w:val="00810B38"/>
    <w:rsid w:val="008204C7"/>
    <w:rsid w:val="00820992"/>
    <w:rsid w:val="00823602"/>
    <w:rsid w:val="008255F5"/>
    <w:rsid w:val="0083014E"/>
    <w:rsid w:val="0083214A"/>
    <w:rsid w:val="0083274E"/>
    <w:rsid w:val="00834220"/>
    <w:rsid w:val="00845723"/>
    <w:rsid w:val="00851EF9"/>
    <w:rsid w:val="008577FD"/>
    <w:rsid w:val="00860B03"/>
    <w:rsid w:val="0086497A"/>
    <w:rsid w:val="00865503"/>
    <w:rsid w:val="008713A1"/>
    <w:rsid w:val="008754AB"/>
    <w:rsid w:val="0088060C"/>
    <w:rsid w:val="0089015C"/>
    <w:rsid w:val="00893576"/>
    <w:rsid w:val="00893E73"/>
    <w:rsid w:val="008B02DC"/>
    <w:rsid w:val="008B0BD9"/>
    <w:rsid w:val="008B57CE"/>
    <w:rsid w:val="008C26DE"/>
    <w:rsid w:val="008C4AA6"/>
    <w:rsid w:val="008D2225"/>
    <w:rsid w:val="008D4752"/>
    <w:rsid w:val="008E271C"/>
    <w:rsid w:val="008E418E"/>
    <w:rsid w:val="008E5BC6"/>
    <w:rsid w:val="008E6A25"/>
    <w:rsid w:val="008F5193"/>
    <w:rsid w:val="009013A7"/>
    <w:rsid w:val="009017FB"/>
    <w:rsid w:val="009017FC"/>
    <w:rsid w:val="0090506B"/>
    <w:rsid w:val="009050C9"/>
    <w:rsid w:val="009066FC"/>
    <w:rsid w:val="009140A3"/>
    <w:rsid w:val="009144A2"/>
    <w:rsid w:val="0091478F"/>
    <w:rsid w:val="0091510C"/>
    <w:rsid w:val="00924E78"/>
    <w:rsid w:val="009259AC"/>
    <w:rsid w:val="00926F38"/>
    <w:rsid w:val="00934301"/>
    <w:rsid w:val="00934A97"/>
    <w:rsid w:val="00936CD1"/>
    <w:rsid w:val="00941747"/>
    <w:rsid w:val="0094178F"/>
    <w:rsid w:val="00941EFB"/>
    <w:rsid w:val="00947AFB"/>
    <w:rsid w:val="00951D7D"/>
    <w:rsid w:val="009630C7"/>
    <w:rsid w:val="00972B55"/>
    <w:rsid w:val="009743B7"/>
    <w:rsid w:val="00977DA8"/>
    <w:rsid w:val="0098228B"/>
    <w:rsid w:val="009828DA"/>
    <w:rsid w:val="00985BAB"/>
    <w:rsid w:val="009B1B5F"/>
    <w:rsid w:val="009B6673"/>
    <w:rsid w:val="009C191B"/>
    <w:rsid w:val="009C2BD6"/>
    <w:rsid w:val="009D13E6"/>
    <w:rsid w:val="009E131B"/>
    <w:rsid w:val="009E1F32"/>
    <w:rsid w:val="009E776C"/>
    <w:rsid w:val="009F1D6B"/>
    <w:rsid w:val="00A1726E"/>
    <w:rsid w:val="00A204CF"/>
    <w:rsid w:val="00A23D49"/>
    <w:rsid w:val="00A27004"/>
    <w:rsid w:val="00A30C29"/>
    <w:rsid w:val="00A34DD6"/>
    <w:rsid w:val="00A36416"/>
    <w:rsid w:val="00A36819"/>
    <w:rsid w:val="00A36989"/>
    <w:rsid w:val="00A43628"/>
    <w:rsid w:val="00A51D4C"/>
    <w:rsid w:val="00A54192"/>
    <w:rsid w:val="00A55CE9"/>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C6FC1"/>
    <w:rsid w:val="00AD4F05"/>
    <w:rsid w:val="00AE0A2E"/>
    <w:rsid w:val="00AE354C"/>
    <w:rsid w:val="00AF4B07"/>
    <w:rsid w:val="00AF6186"/>
    <w:rsid w:val="00AF7102"/>
    <w:rsid w:val="00AF7A3A"/>
    <w:rsid w:val="00B01FB0"/>
    <w:rsid w:val="00B160DB"/>
    <w:rsid w:val="00B20836"/>
    <w:rsid w:val="00B235BB"/>
    <w:rsid w:val="00B27A44"/>
    <w:rsid w:val="00B30BBF"/>
    <w:rsid w:val="00B33516"/>
    <w:rsid w:val="00B33C03"/>
    <w:rsid w:val="00B44E56"/>
    <w:rsid w:val="00B46543"/>
    <w:rsid w:val="00B47D33"/>
    <w:rsid w:val="00B52BE0"/>
    <w:rsid w:val="00B54133"/>
    <w:rsid w:val="00B615B9"/>
    <w:rsid w:val="00B701ED"/>
    <w:rsid w:val="00B8086C"/>
    <w:rsid w:val="00B83A72"/>
    <w:rsid w:val="00B861B4"/>
    <w:rsid w:val="00B86DFE"/>
    <w:rsid w:val="00B87FB1"/>
    <w:rsid w:val="00B90990"/>
    <w:rsid w:val="00B922FF"/>
    <w:rsid w:val="00B9281E"/>
    <w:rsid w:val="00B93925"/>
    <w:rsid w:val="00B95187"/>
    <w:rsid w:val="00BA1CA3"/>
    <w:rsid w:val="00BA2D55"/>
    <w:rsid w:val="00BA71B1"/>
    <w:rsid w:val="00BB0637"/>
    <w:rsid w:val="00BB312C"/>
    <w:rsid w:val="00BB345F"/>
    <w:rsid w:val="00BB68EA"/>
    <w:rsid w:val="00BC1C27"/>
    <w:rsid w:val="00BC6BBF"/>
    <w:rsid w:val="00BD1572"/>
    <w:rsid w:val="00BD27FD"/>
    <w:rsid w:val="00BE14E3"/>
    <w:rsid w:val="00BE3774"/>
    <w:rsid w:val="00BE41E5"/>
    <w:rsid w:val="00BF36A5"/>
    <w:rsid w:val="00BF4109"/>
    <w:rsid w:val="00BF4CC3"/>
    <w:rsid w:val="00C054C7"/>
    <w:rsid w:val="00C057B5"/>
    <w:rsid w:val="00C22687"/>
    <w:rsid w:val="00C235AC"/>
    <w:rsid w:val="00C32E4D"/>
    <w:rsid w:val="00C333A0"/>
    <w:rsid w:val="00C36408"/>
    <w:rsid w:val="00C36A81"/>
    <w:rsid w:val="00C41974"/>
    <w:rsid w:val="00C53F4A"/>
    <w:rsid w:val="00C54125"/>
    <w:rsid w:val="00C559CB"/>
    <w:rsid w:val="00C55B54"/>
    <w:rsid w:val="00C6098E"/>
    <w:rsid w:val="00C6152C"/>
    <w:rsid w:val="00C64EBF"/>
    <w:rsid w:val="00C74810"/>
    <w:rsid w:val="00C90D68"/>
    <w:rsid w:val="00C939FE"/>
    <w:rsid w:val="00CA4BDA"/>
    <w:rsid w:val="00CB1F66"/>
    <w:rsid w:val="00CB2951"/>
    <w:rsid w:val="00CD282B"/>
    <w:rsid w:val="00CD4C35"/>
    <w:rsid w:val="00CD7369"/>
    <w:rsid w:val="00CE0B0E"/>
    <w:rsid w:val="00CE3831"/>
    <w:rsid w:val="00CE6ED9"/>
    <w:rsid w:val="00CF29B1"/>
    <w:rsid w:val="00D00ABB"/>
    <w:rsid w:val="00D02049"/>
    <w:rsid w:val="00D02EEC"/>
    <w:rsid w:val="00D03551"/>
    <w:rsid w:val="00D06A63"/>
    <w:rsid w:val="00D07E0E"/>
    <w:rsid w:val="00D11478"/>
    <w:rsid w:val="00D15ED0"/>
    <w:rsid w:val="00D21B3E"/>
    <w:rsid w:val="00D21FED"/>
    <w:rsid w:val="00D24251"/>
    <w:rsid w:val="00D343E2"/>
    <w:rsid w:val="00D361A2"/>
    <w:rsid w:val="00D43F5E"/>
    <w:rsid w:val="00D44C2E"/>
    <w:rsid w:val="00D45414"/>
    <w:rsid w:val="00D566BD"/>
    <w:rsid w:val="00D57A4D"/>
    <w:rsid w:val="00D60AA7"/>
    <w:rsid w:val="00D6435F"/>
    <w:rsid w:val="00D75E28"/>
    <w:rsid w:val="00D772C2"/>
    <w:rsid w:val="00D8008E"/>
    <w:rsid w:val="00D82C45"/>
    <w:rsid w:val="00D908A8"/>
    <w:rsid w:val="00D90EB3"/>
    <w:rsid w:val="00D91EA0"/>
    <w:rsid w:val="00D92780"/>
    <w:rsid w:val="00D977B6"/>
    <w:rsid w:val="00D979FC"/>
    <w:rsid w:val="00DA4A31"/>
    <w:rsid w:val="00DA7B04"/>
    <w:rsid w:val="00DB36C2"/>
    <w:rsid w:val="00DC169B"/>
    <w:rsid w:val="00DC2AB9"/>
    <w:rsid w:val="00DC63F0"/>
    <w:rsid w:val="00DD6EE5"/>
    <w:rsid w:val="00DE386C"/>
    <w:rsid w:val="00DE4D35"/>
    <w:rsid w:val="00DF098B"/>
    <w:rsid w:val="00DF1114"/>
    <w:rsid w:val="00DF11C4"/>
    <w:rsid w:val="00DF210C"/>
    <w:rsid w:val="00DF4B6A"/>
    <w:rsid w:val="00E02897"/>
    <w:rsid w:val="00E02C09"/>
    <w:rsid w:val="00E04D59"/>
    <w:rsid w:val="00E07DA1"/>
    <w:rsid w:val="00E12134"/>
    <w:rsid w:val="00E123CB"/>
    <w:rsid w:val="00E17227"/>
    <w:rsid w:val="00E20E13"/>
    <w:rsid w:val="00E21DB2"/>
    <w:rsid w:val="00E21DBC"/>
    <w:rsid w:val="00E260BD"/>
    <w:rsid w:val="00E275D7"/>
    <w:rsid w:val="00E27DBE"/>
    <w:rsid w:val="00E32AB1"/>
    <w:rsid w:val="00E34C69"/>
    <w:rsid w:val="00E36C71"/>
    <w:rsid w:val="00E40404"/>
    <w:rsid w:val="00E459C6"/>
    <w:rsid w:val="00E47589"/>
    <w:rsid w:val="00E64915"/>
    <w:rsid w:val="00E661D4"/>
    <w:rsid w:val="00E70091"/>
    <w:rsid w:val="00E720F5"/>
    <w:rsid w:val="00E76D47"/>
    <w:rsid w:val="00E849F7"/>
    <w:rsid w:val="00E8668A"/>
    <w:rsid w:val="00E90302"/>
    <w:rsid w:val="00E97396"/>
    <w:rsid w:val="00EA185E"/>
    <w:rsid w:val="00EA592A"/>
    <w:rsid w:val="00EB14E4"/>
    <w:rsid w:val="00EB32A5"/>
    <w:rsid w:val="00EB34ED"/>
    <w:rsid w:val="00EB7BE0"/>
    <w:rsid w:val="00EC2784"/>
    <w:rsid w:val="00EC315E"/>
    <w:rsid w:val="00EC3427"/>
    <w:rsid w:val="00EC78A3"/>
    <w:rsid w:val="00ED077C"/>
    <w:rsid w:val="00ED1190"/>
    <w:rsid w:val="00ED6544"/>
    <w:rsid w:val="00EE0277"/>
    <w:rsid w:val="00EE3E00"/>
    <w:rsid w:val="00EE45C0"/>
    <w:rsid w:val="00EE5DD2"/>
    <w:rsid w:val="00EF1D1F"/>
    <w:rsid w:val="00F00A79"/>
    <w:rsid w:val="00F00E86"/>
    <w:rsid w:val="00F07C1E"/>
    <w:rsid w:val="00F105DB"/>
    <w:rsid w:val="00F132BC"/>
    <w:rsid w:val="00F13D80"/>
    <w:rsid w:val="00F16AAA"/>
    <w:rsid w:val="00F21161"/>
    <w:rsid w:val="00F218EF"/>
    <w:rsid w:val="00F21BC7"/>
    <w:rsid w:val="00F266A2"/>
    <w:rsid w:val="00F32269"/>
    <w:rsid w:val="00F37411"/>
    <w:rsid w:val="00F40988"/>
    <w:rsid w:val="00F428BC"/>
    <w:rsid w:val="00F56A6F"/>
    <w:rsid w:val="00F5709C"/>
    <w:rsid w:val="00F64EF1"/>
    <w:rsid w:val="00F8765F"/>
    <w:rsid w:val="00F90767"/>
    <w:rsid w:val="00F9130D"/>
    <w:rsid w:val="00FA685B"/>
    <w:rsid w:val="00FB0C01"/>
    <w:rsid w:val="00FB64E0"/>
    <w:rsid w:val="00FC18F2"/>
    <w:rsid w:val="00FC39E5"/>
    <w:rsid w:val="00FC3A78"/>
    <w:rsid w:val="00FD1005"/>
    <w:rsid w:val="00FD6C75"/>
    <w:rsid w:val="00FE28EA"/>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F70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A36416"/>
    <w:rPr>
      <w:sz w:val="24"/>
      <w:szCs w:val="24"/>
      <w:lang w:val="fr-FR"/>
    </w:rPr>
  </w:style>
  <w:style w:type="paragraph" w:styleId="Nagwek1">
    <w:name w:val="heading 1"/>
    <w:basedOn w:val="Normalny"/>
    <w:next w:val="Normalny"/>
    <w:link w:val="Nagwek1Znak"/>
    <w:uiPriority w:val="98"/>
    <w:semiHidden/>
    <w:rsid w:val="00A3641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A3641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A36416"/>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A36416"/>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A36416"/>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A3641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A36416"/>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A3641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A3641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A36416"/>
    <w:rPr>
      <w:rFonts w:ascii="Tahoma" w:hAnsi="Tahoma" w:cs="Tahoma"/>
      <w:sz w:val="16"/>
      <w:szCs w:val="16"/>
    </w:rPr>
  </w:style>
  <w:style w:type="character" w:customStyle="1" w:styleId="TekstdymkaZnak">
    <w:name w:val="Tekst dymka Znak"/>
    <w:basedOn w:val="Domylnaczcionkaakapitu"/>
    <w:link w:val="Tekstdymka"/>
    <w:uiPriority w:val="98"/>
    <w:semiHidden/>
    <w:rsid w:val="00A36416"/>
    <w:rPr>
      <w:rFonts w:ascii="Tahoma" w:hAnsi="Tahoma" w:cs="Tahoma"/>
      <w:sz w:val="16"/>
      <w:szCs w:val="16"/>
      <w:lang w:val="fr-FR"/>
    </w:rPr>
  </w:style>
  <w:style w:type="character" w:styleId="Tytuksiki">
    <w:name w:val="Book Title"/>
    <w:uiPriority w:val="98"/>
    <w:semiHidden/>
    <w:qFormat/>
    <w:rsid w:val="00A36416"/>
    <w:rPr>
      <w:i/>
      <w:iCs/>
      <w:smallCaps/>
      <w:spacing w:val="5"/>
    </w:rPr>
  </w:style>
  <w:style w:type="paragraph" w:customStyle="1" w:styleId="JuHeader">
    <w:name w:val="Ju_Header"/>
    <w:aliases w:val="_Header"/>
    <w:basedOn w:val="Nagwek"/>
    <w:uiPriority w:val="29"/>
    <w:qFormat/>
    <w:rsid w:val="00A36416"/>
    <w:pPr>
      <w:tabs>
        <w:tab w:val="clear" w:pos="4536"/>
        <w:tab w:val="clear" w:pos="9072"/>
      </w:tabs>
      <w:jc w:val="center"/>
    </w:pPr>
    <w:rPr>
      <w:sz w:val="18"/>
    </w:rPr>
  </w:style>
  <w:style w:type="paragraph" w:customStyle="1" w:styleId="NormalJustified">
    <w:name w:val="Normal_Justified"/>
    <w:basedOn w:val="Normalny"/>
    <w:semiHidden/>
    <w:rsid w:val="00A36416"/>
    <w:pPr>
      <w:jc w:val="both"/>
    </w:pPr>
  </w:style>
  <w:style w:type="character" w:styleId="Pogrubienie">
    <w:name w:val="Strong"/>
    <w:uiPriority w:val="98"/>
    <w:semiHidden/>
    <w:qFormat/>
    <w:rsid w:val="00A36416"/>
    <w:rPr>
      <w:b/>
      <w:bCs/>
    </w:rPr>
  </w:style>
  <w:style w:type="paragraph" w:styleId="Bezodstpw">
    <w:name w:val="No Spacing"/>
    <w:basedOn w:val="Normalny"/>
    <w:link w:val="BezodstpwZnak"/>
    <w:uiPriority w:val="98"/>
    <w:semiHidden/>
    <w:qFormat/>
    <w:rsid w:val="00A36416"/>
  </w:style>
  <w:style w:type="character" w:customStyle="1" w:styleId="BezodstpwZnak">
    <w:name w:val="Bez odstępów Znak"/>
    <w:basedOn w:val="Domylnaczcionkaakapitu"/>
    <w:link w:val="Bezodstpw"/>
    <w:uiPriority w:val="98"/>
    <w:semiHidden/>
    <w:rsid w:val="00A36416"/>
    <w:rPr>
      <w:sz w:val="24"/>
      <w:szCs w:val="24"/>
      <w:lang w:val="fr-FR"/>
    </w:rPr>
  </w:style>
  <w:style w:type="paragraph" w:customStyle="1" w:styleId="ECHRBullet1">
    <w:name w:val="ECHR_Bullet_1"/>
    <w:aliases w:val="_Bul_1"/>
    <w:basedOn w:val="NormalJustified"/>
    <w:uiPriority w:val="23"/>
    <w:semiHidden/>
    <w:qFormat/>
    <w:rsid w:val="00A36416"/>
    <w:pPr>
      <w:numPr>
        <w:numId w:val="5"/>
      </w:numPr>
      <w:spacing w:before="60" w:after="60"/>
    </w:pPr>
  </w:style>
  <w:style w:type="paragraph" w:customStyle="1" w:styleId="JuQuot">
    <w:name w:val="Ju_Quot"/>
    <w:aliases w:val="_Quote"/>
    <w:basedOn w:val="NormalJustified"/>
    <w:uiPriority w:val="20"/>
    <w:qFormat/>
    <w:rsid w:val="00A36416"/>
    <w:pPr>
      <w:spacing w:before="120" w:after="120"/>
      <w:ind w:left="425" w:firstLine="142"/>
    </w:pPr>
    <w:rPr>
      <w:sz w:val="20"/>
    </w:rPr>
  </w:style>
  <w:style w:type="paragraph" w:customStyle="1" w:styleId="JuList">
    <w:name w:val="Ju_List"/>
    <w:aliases w:val="_List_1"/>
    <w:basedOn w:val="NormalJustified"/>
    <w:uiPriority w:val="23"/>
    <w:qFormat/>
    <w:rsid w:val="00A36416"/>
    <w:pPr>
      <w:numPr>
        <w:numId w:val="6"/>
      </w:numPr>
      <w:spacing w:before="280" w:after="60"/>
    </w:pPr>
  </w:style>
  <w:style w:type="paragraph" w:customStyle="1" w:styleId="JuLista">
    <w:name w:val="Ju_List_a"/>
    <w:aliases w:val="_List_2"/>
    <w:basedOn w:val="NormalJustified"/>
    <w:uiPriority w:val="23"/>
    <w:rsid w:val="00A36416"/>
    <w:pPr>
      <w:numPr>
        <w:ilvl w:val="1"/>
        <w:numId w:val="6"/>
      </w:numPr>
    </w:pPr>
  </w:style>
  <w:style w:type="paragraph" w:customStyle="1" w:styleId="JuListi">
    <w:name w:val="Ju_List_i"/>
    <w:aliases w:val="_List_3"/>
    <w:basedOn w:val="NormalJustified"/>
    <w:uiPriority w:val="23"/>
    <w:rsid w:val="00A36416"/>
    <w:pPr>
      <w:numPr>
        <w:ilvl w:val="2"/>
        <w:numId w:val="6"/>
      </w:numPr>
    </w:pPr>
  </w:style>
  <w:style w:type="paragraph" w:customStyle="1" w:styleId="ECHRCoverTitle4">
    <w:name w:val="ECHR_Cover_Title_4"/>
    <w:aliases w:val="_Title_4"/>
    <w:basedOn w:val="JuPara"/>
    <w:next w:val="JuPara"/>
    <w:uiPriority w:val="38"/>
    <w:qFormat/>
    <w:rsid w:val="00A36416"/>
    <w:pPr>
      <w:keepNext/>
      <w:keepLines/>
      <w:tabs>
        <w:tab w:val="right" w:pos="7938"/>
      </w:tabs>
      <w:ind w:firstLine="0"/>
      <w:jc w:val="center"/>
    </w:pPr>
    <w:rPr>
      <w:i/>
    </w:rPr>
  </w:style>
  <w:style w:type="paragraph" w:customStyle="1" w:styleId="JuHArticle">
    <w:name w:val="Ju_H_Article"/>
    <w:aliases w:val="_Title_Quote"/>
    <w:basedOn w:val="Normalny"/>
    <w:next w:val="JuQuot"/>
    <w:uiPriority w:val="19"/>
    <w:qFormat/>
    <w:rsid w:val="00A36416"/>
    <w:pPr>
      <w:keepNext/>
      <w:spacing w:before="100" w:beforeAutospacing="1" w:after="120"/>
      <w:contextualSpacing/>
      <w:jc w:val="center"/>
    </w:pPr>
    <w:rPr>
      <w:b/>
      <w:sz w:val="20"/>
    </w:rPr>
  </w:style>
  <w:style w:type="numbering" w:customStyle="1" w:styleId="ECHRA1StyleBulletedSquare">
    <w:name w:val="ECHR_A1_Style_Bulleted_Square"/>
    <w:basedOn w:val="Bezlisty"/>
    <w:rsid w:val="00A36416"/>
    <w:pPr>
      <w:numPr>
        <w:numId w:val="5"/>
      </w:numPr>
    </w:pPr>
  </w:style>
  <w:style w:type="numbering" w:customStyle="1" w:styleId="ECHRA1StyleList">
    <w:name w:val="ECHR_A1_Style_List"/>
    <w:basedOn w:val="Bezlisty"/>
    <w:uiPriority w:val="99"/>
    <w:rsid w:val="00A36416"/>
    <w:pPr>
      <w:numPr>
        <w:numId w:val="6"/>
      </w:numPr>
    </w:pPr>
  </w:style>
  <w:style w:type="paragraph" w:customStyle="1" w:styleId="JuHHead">
    <w:name w:val="Ju_H_Head"/>
    <w:aliases w:val="_Head_1"/>
    <w:basedOn w:val="Nagwek1"/>
    <w:next w:val="JuPara"/>
    <w:uiPriority w:val="17"/>
    <w:qFormat/>
    <w:rsid w:val="00A36416"/>
    <w:pPr>
      <w:keepNext/>
      <w:keepLines/>
      <w:numPr>
        <w:numId w:val="1"/>
      </w:numPr>
      <w:spacing w:before="100" w:beforeAutospacing="1" w:after="240"/>
      <w:contextualSpacing w:val="0"/>
      <w:jc w:val="both"/>
    </w:pPr>
    <w:rPr>
      <w:b w:val="0"/>
      <w:caps/>
      <w:color w:val="auto"/>
    </w:rPr>
  </w:style>
  <w:style w:type="numbering" w:customStyle="1" w:styleId="ECHRA1StyleNumberedList">
    <w:name w:val="ECHR_A1_Style_Numbered_List"/>
    <w:basedOn w:val="Bezlisty"/>
    <w:rsid w:val="00A36416"/>
    <w:pPr>
      <w:numPr>
        <w:numId w:val="7"/>
      </w:numPr>
    </w:pPr>
  </w:style>
  <w:style w:type="paragraph" w:styleId="Tytu">
    <w:name w:val="Title"/>
    <w:basedOn w:val="Normalny"/>
    <w:next w:val="Normalny"/>
    <w:link w:val="TytuZnak"/>
    <w:uiPriority w:val="98"/>
    <w:semiHidden/>
    <w:qFormat/>
    <w:rsid w:val="00A3641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A36416"/>
    <w:rPr>
      <w:rFonts w:asciiTheme="majorHAnsi" w:eastAsiaTheme="majorEastAsia" w:hAnsiTheme="majorHAnsi" w:cstheme="majorBidi"/>
      <w:spacing w:val="5"/>
      <w:sz w:val="52"/>
      <w:szCs w:val="52"/>
      <w:lang w:val="fr-FR" w:bidi="en-US"/>
    </w:rPr>
  </w:style>
  <w:style w:type="table" w:customStyle="1" w:styleId="ECHRTable2019">
    <w:name w:val="ECHR_Table_2019"/>
    <w:basedOn w:val="Standardowy"/>
    <w:uiPriority w:val="99"/>
    <w:rsid w:val="00A3641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2D609F"/>
    <w:rPr>
      <w:sz w:val="8"/>
    </w:rPr>
  </w:style>
  <w:style w:type="paragraph" w:customStyle="1" w:styleId="JuCase">
    <w:name w:val="Ju_Case"/>
    <w:aliases w:val="_Case_Name"/>
    <w:basedOn w:val="Normalny"/>
    <w:next w:val="JuPara"/>
    <w:uiPriority w:val="32"/>
    <w:rsid w:val="00A36416"/>
    <w:pPr>
      <w:ind w:firstLine="284"/>
    </w:pPr>
    <w:rPr>
      <w:b/>
    </w:rPr>
  </w:style>
  <w:style w:type="paragraph" w:customStyle="1" w:styleId="JuCourt">
    <w:name w:val="Ju_Court"/>
    <w:aliases w:val="_Court_Names"/>
    <w:basedOn w:val="Normalny"/>
    <w:next w:val="Normalny"/>
    <w:uiPriority w:val="32"/>
    <w:qFormat/>
    <w:rsid w:val="00A36416"/>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A36416"/>
    <w:pPr>
      <w:tabs>
        <w:tab w:val="center" w:pos="6407"/>
      </w:tabs>
      <w:spacing w:before="720"/>
      <w:jc w:val="right"/>
    </w:pPr>
  </w:style>
  <w:style w:type="paragraph" w:customStyle="1" w:styleId="JuHIRoman">
    <w:name w:val="Ju_H_I_Roman"/>
    <w:aliases w:val="_Head_2"/>
    <w:basedOn w:val="Nagwek2"/>
    <w:next w:val="JuPara"/>
    <w:uiPriority w:val="17"/>
    <w:qFormat/>
    <w:rsid w:val="00A36416"/>
    <w:pPr>
      <w:keepNext/>
      <w:keepLines/>
      <w:numPr>
        <w:ilvl w:val="1"/>
        <w:numId w:val="1"/>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A36416"/>
    <w:pPr>
      <w:keepNext/>
      <w:keepLines/>
      <w:numPr>
        <w:ilvl w:val="2"/>
        <w:numId w:val="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A36416"/>
    <w:pPr>
      <w:keepNext/>
      <w:keepLines/>
      <w:numPr>
        <w:ilvl w:val="3"/>
        <w:numId w:val="1"/>
      </w:numPr>
      <w:spacing w:before="100" w:beforeAutospacing="1" w:after="120"/>
      <w:jc w:val="both"/>
    </w:pPr>
    <w:rPr>
      <w:b w:val="0"/>
      <w:color w:val="auto"/>
      <w:sz w:val="24"/>
    </w:rPr>
  </w:style>
  <w:style w:type="paragraph" w:styleId="Nagwek">
    <w:name w:val="header"/>
    <w:basedOn w:val="Normalny"/>
    <w:link w:val="NagwekZnak"/>
    <w:uiPriority w:val="98"/>
    <w:semiHidden/>
    <w:rsid w:val="00A36416"/>
    <w:pPr>
      <w:tabs>
        <w:tab w:val="center" w:pos="4536"/>
        <w:tab w:val="right" w:pos="9072"/>
      </w:tabs>
    </w:pPr>
  </w:style>
  <w:style w:type="character" w:customStyle="1" w:styleId="NagwekZnak">
    <w:name w:val="Nagłówek Znak"/>
    <w:basedOn w:val="Domylnaczcionkaakapitu"/>
    <w:link w:val="Nagwek"/>
    <w:uiPriority w:val="98"/>
    <w:semiHidden/>
    <w:rsid w:val="00A36416"/>
    <w:rPr>
      <w:sz w:val="24"/>
      <w:szCs w:val="24"/>
      <w:lang w:val="fr-FR"/>
    </w:rPr>
  </w:style>
  <w:style w:type="character" w:customStyle="1" w:styleId="Nagwek1Znak">
    <w:name w:val="Nagłówek 1 Znak"/>
    <w:basedOn w:val="Domylnaczcionkaakapitu"/>
    <w:link w:val="Nagwek1"/>
    <w:uiPriority w:val="98"/>
    <w:semiHidden/>
    <w:rsid w:val="00A36416"/>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agwek5"/>
    <w:next w:val="JuPara"/>
    <w:uiPriority w:val="17"/>
    <w:rsid w:val="00A36416"/>
    <w:pPr>
      <w:keepNext/>
      <w:keepLines/>
      <w:numPr>
        <w:ilvl w:val="4"/>
        <w:numId w:val="1"/>
      </w:numPr>
      <w:spacing w:before="100" w:beforeAutospacing="1" w:after="120"/>
      <w:jc w:val="both"/>
    </w:pPr>
    <w:rPr>
      <w:color w:val="auto"/>
      <w:sz w:val="20"/>
    </w:rPr>
  </w:style>
  <w:style w:type="paragraph" w:customStyle="1" w:styleId="JuHi">
    <w:name w:val="Ju_H_i"/>
    <w:aliases w:val="_Head_6"/>
    <w:basedOn w:val="Nagwek6"/>
    <w:next w:val="JuPara"/>
    <w:uiPriority w:val="17"/>
    <w:rsid w:val="00A36416"/>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A36416"/>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agwek7"/>
    <w:next w:val="JuPara"/>
    <w:uiPriority w:val="17"/>
    <w:rsid w:val="00A36416"/>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A36416"/>
    <w:pPr>
      <w:keepNext/>
      <w:keepLines/>
      <w:numPr>
        <w:ilvl w:val="7"/>
        <w:numId w:val="1"/>
      </w:numPr>
      <w:spacing w:before="100" w:beforeAutospacing="1" w:after="120"/>
      <w:jc w:val="both"/>
    </w:pPr>
    <w:rPr>
      <w:i/>
    </w:rPr>
  </w:style>
  <w:style w:type="character" w:customStyle="1" w:styleId="Nagwek3Znak">
    <w:name w:val="Nagłówek 3 Znak"/>
    <w:basedOn w:val="Domylnaczcionkaakapitu"/>
    <w:link w:val="Nagwek3"/>
    <w:uiPriority w:val="98"/>
    <w:semiHidden/>
    <w:rsid w:val="00A36416"/>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A36416"/>
    <w:pPr>
      <w:keepNext/>
      <w:keepLines/>
      <w:spacing w:before="240" w:after="240"/>
      <w:ind w:firstLine="284"/>
    </w:pPr>
  </w:style>
  <w:style w:type="character" w:customStyle="1" w:styleId="JuITMark">
    <w:name w:val="Ju_ITMark"/>
    <w:aliases w:val="_ITMark"/>
    <w:basedOn w:val="Domylnaczcionkaakapitu"/>
    <w:uiPriority w:val="54"/>
    <w:qFormat/>
    <w:rsid w:val="00A36416"/>
    <w:rPr>
      <w:vanish w:val="0"/>
      <w:color w:val="auto"/>
      <w:sz w:val="14"/>
      <w:bdr w:val="none" w:sz="0" w:space="0" w:color="auto"/>
      <w:shd w:val="clear" w:color="auto" w:fill="BEE5FF" w:themeFill="background1" w:themeFillTint="33"/>
    </w:rPr>
  </w:style>
  <w:style w:type="character" w:customStyle="1" w:styleId="Nagwek4Znak">
    <w:name w:val="Nagłówek 4 Znak"/>
    <w:basedOn w:val="Domylnaczcionkaakapitu"/>
    <w:link w:val="Nagwek4"/>
    <w:uiPriority w:val="98"/>
    <w:semiHidden/>
    <w:rsid w:val="00A36416"/>
    <w:rPr>
      <w:rFonts w:asciiTheme="majorHAnsi" w:eastAsiaTheme="majorEastAsia" w:hAnsiTheme="majorHAnsi" w:cstheme="majorBidi"/>
      <w:b/>
      <w:bCs/>
      <w:i/>
      <w:iCs/>
      <w:color w:val="777777"/>
      <w:lang w:val="fr-FR"/>
    </w:rPr>
  </w:style>
  <w:style w:type="paragraph" w:customStyle="1" w:styleId="JuJudges">
    <w:name w:val="Ju_Judges"/>
    <w:aliases w:val="_Judges"/>
    <w:basedOn w:val="Normalny"/>
    <w:uiPriority w:val="32"/>
    <w:qFormat/>
    <w:rsid w:val="00A36416"/>
    <w:pPr>
      <w:tabs>
        <w:tab w:val="left" w:pos="567"/>
        <w:tab w:val="left" w:pos="1134"/>
      </w:tabs>
    </w:pPr>
  </w:style>
  <w:style w:type="character" w:customStyle="1" w:styleId="Nagwek5Znak">
    <w:name w:val="Nagłówek 5 Znak"/>
    <w:basedOn w:val="Domylnaczcionkaakapitu"/>
    <w:link w:val="Nagwek5"/>
    <w:uiPriority w:val="98"/>
    <w:semiHidden/>
    <w:rsid w:val="00A36416"/>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A36416"/>
    <w:rPr>
      <w:caps w:val="0"/>
      <w:smallCaps/>
    </w:rPr>
  </w:style>
  <w:style w:type="character" w:styleId="Wyrnieniedelikatne">
    <w:name w:val="Subtle Emphasis"/>
    <w:uiPriority w:val="98"/>
    <w:semiHidden/>
    <w:qFormat/>
    <w:rsid w:val="00A36416"/>
    <w:rPr>
      <w:i/>
      <w:iCs/>
    </w:rPr>
  </w:style>
  <w:style w:type="table" w:customStyle="1" w:styleId="ECHRTable">
    <w:name w:val="ECHR_Table"/>
    <w:basedOn w:val="Standardowy"/>
    <w:rsid w:val="00A36416"/>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3641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HCase">
    <w:name w:val="Dec_H_Case"/>
    <w:aliases w:val="_Title_3"/>
    <w:basedOn w:val="JuPara"/>
    <w:next w:val="JuPara"/>
    <w:uiPriority w:val="38"/>
    <w:qFormat/>
    <w:rsid w:val="00A36416"/>
    <w:pPr>
      <w:keepNext/>
      <w:keepLines/>
      <w:spacing w:after="280"/>
      <w:ind w:firstLine="0"/>
      <w:jc w:val="center"/>
    </w:pPr>
    <w:rPr>
      <w:rFonts w:asciiTheme="majorHAnsi" w:hAnsiTheme="majorHAnsi"/>
    </w:rPr>
  </w:style>
  <w:style w:type="character" w:styleId="Uwydatnienie">
    <w:name w:val="Emphasis"/>
    <w:uiPriority w:val="98"/>
    <w:semiHidden/>
    <w:qFormat/>
    <w:rsid w:val="00A36416"/>
    <w:rPr>
      <w:b/>
      <w:bCs/>
      <w:i/>
      <w:iCs/>
      <w:spacing w:val="10"/>
      <w:bdr w:val="none" w:sz="0" w:space="0" w:color="auto"/>
      <w:shd w:val="clear" w:color="auto" w:fill="auto"/>
    </w:rPr>
  </w:style>
  <w:style w:type="paragraph" w:styleId="Stopka">
    <w:name w:val="footer"/>
    <w:basedOn w:val="Normalny"/>
    <w:link w:val="StopkaZnak"/>
    <w:uiPriority w:val="98"/>
    <w:semiHidden/>
    <w:rsid w:val="00A36416"/>
    <w:pPr>
      <w:tabs>
        <w:tab w:val="center" w:pos="3686"/>
        <w:tab w:val="right" w:pos="7371"/>
      </w:tabs>
    </w:pPr>
  </w:style>
  <w:style w:type="character" w:customStyle="1" w:styleId="StopkaZnak">
    <w:name w:val="Stopka Znak"/>
    <w:basedOn w:val="Domylnaczcionkaakapitu"/>
    <w:link w:val="Stopka"/>
    <w:uiPriority w:val="98"/>
    <w:semiHidden/>
    <w:rsid w:val="00A36416"/>
    <w:rPr>
      <w:sz w:val="24"/>
      <w:szCs w:val="24"/>
      <w:lang w:val="fr-FR"/>
    </w:rPr>
  </w:style>
  <w:style w:type="character" w:styleId="Odwoanieprzypisudolnego">
    <w:name w:val="footnote reference"/>
    <w:basedOn w:val="Domylnaczcionkaakapitu"/>
    <w:uiPriority w:val="98"/>
    <w:semiHidden/>
    <w:rsid w:val="00A36416"/>
    <w:rPr>
      <w:vertAlign w:val="superscript"/>
    </w:rPr>
  </w:style>
  <w:style w:type="paragraph" w:styleId="Tekstprzypisudolnego">
    <w:name w:val="footnote text"/>
    <w:basedOn w:val="Normalny"/>
    <w:link w:val="TekstprzypisudolnegoZnak"/>
    <w:uiPriority w:val="98"/>
    <w:semiHidden/>
    <w:rsid w:val="00A36416"/>
    <w:rPr>
      <w:sz w:val="20"/>
      <w:szCs w:val="20"/>
    </w:rPr>
  </w:style>
  <w:style w:type="character" w:customStyle="1" w:styleId="TekstprzypisudolnegoZnak">
    <w:name w:val="Tekst przypisu dolnego Znak"/>
    <w:basedOn w:val="Domylnaczcionkaakapitu"/>
    <w:link w:val="Tekstprzypisudolnego"/>
    <w:uiPriority w:val="98"/>
    <w:semiHidden/>
    <w:rsid w:val="00A36416"/>
    <w:rPr>
      <w:sz w:val="20"/>
      <w:szCs w:val="20"/>
      <w:lang w:val="fr-FR"/>
    </w:rPr>
  </w:style>
  <w:style w:type="character" w:customStyle="1" w:styleId="Nagwek6Znak">
    <w:name w:val="Nagłówek 6 Znak"/>
    <w:basedOn w:val="Domylnaczcionkaakapitu"/>
    <w:link w:val="Nagwek6"/>
    <w:uiPriority w:val="98"/>
    <w:semiHidden/>
    <w:rsid w:val="00A36416"/>
    <w:rPr>
      <w:rFonts w:asciiTheme="majorHAnsi" w:eastAsiaTheme="majorEastAsia" w:hAnsiTheme="majorHAnsi" w:cstheme="majorBidi"/>
      <w:b/>
      <w:bCs/>
      <w:i/>
      <w:iCs/>
      <w:color w:val="7F7F7F" w:themeColor="text1" w:themeTint="80"/>
      <w:lang w:val="fr-FR" w:bidi="en-US"/>
    </w:rPr>
  </w:style>
  <w:style w:type="character" w:customStyle="1" w:styleId="Nagwek7Znak">
    <w:name w:val="Nagłówek 7 Znak"/>
    <w:basedOn w:val="Domylnaczcionkaakapitu"/>
    <w:link w:val="Nagwek7"/>
    <w:uiPriority w:val="98"/>
    <w:semiHidden/>
    <w:rsid w:val="00A36416"/>
    <w:rPr>
      <w:rFonts w:asciiTheme="majorHAnsi" w:eastAsiaTheme="majorEastAsia" w:hAnsiTheme="majorHAnsi" w:cstheme="majorBidi"/>
      <w:i/>
      <w:iCs/>
      <w:lang w:val="fr-FR" w:bidi="en-US"/>
    </w:rPr>
  </w:style>
  <w:style w:type="character" w:customStyle="1" w:styleId="Nagwek8Znak">
    <w:name w:val="Nagłówek 8 Znak"/>
    <w:basedOn w:val="Domylnaczcionkaakapitu"/>
    <w:link w:val="Nagwek8"/>
    <w:uiPriority w:val="98"/>
    <w:semiHidden/>
    <w:rsid w:val="00A36416"/>
    <w:rPr>
      <w:rFonts w:asciiTheme="majorHAnsi" w:eastAsiaTheme="majorEastAsia" w:hAnsiTheme="majorHAnsi" w:cstheme="majorBidi"/>
      <w:sz w:val="20"/>
      <w:szCs w:val="20"/>
      <w:lang w:val="fr-FR" w:bidi="en-US"/>
    </w:rPr>
  </w:style>
  <w:style w:type="character" w:customStyle="1" w:styleId="Nagwek9Znak">
    <w:name w:val="Nagłówek 9 Znak"/>
    <w:basedOn w:val="Domylnaczcionkaakapitu"/>
    <w:link w:val="Nagwek9"/>
    <w:uiPriority w:val="98"/>
    <w:semiHidden/>
    <w:rsid w:val="00A36416"/>
    <w:rPr>
      <w:rFonts w:asciiTheme="majorHAnsi" w:eastAsiaTheme="majorEastAsia" w:hAnsiTheme="majorHAnsi" w:cstheme="majorBidi"/>
      <w:i/>
      <w:iCs/>
      <w:spacing w:val="5"/>
      <w:sz w:val="20"/>
      <w:szCs w:val="20"/>
      <w:lang w:val="fr-FR" w:bidi="en-US"/>
    </w:rPr>
  </w:style>
  <w:style w:type="character" w:styleId="Hipercze">
    <w:name w:val="Hyperlink"/>
    <w:basedOn w:val="Domylnaczcionkaakapitu"/>
    <w:uiPriority w:val="98"/>
    <w:semiHidden/>
    <w:rsid w:val="00A36416"/>
    <w:rPr>
      <w:color w:val="0072BC" w:themeColor="hyperlink"/>
      <w:u w:val="single"/>
    </w:rPr>
  </w:style>
  <w:style w:type="character" w:styleId="Wyrnienieintensywne">
    <w:name w:val="Intense Emphasis"/>
    <w:uiPriority w:val="98"/>
    <w:semiHidden/>
    <w:qFormat/>
    <w:rsid w:val="00A36416"/>
    <w:rPr>
      <w:b/>
      <w:bCs/>
    </w:rPr>
  </w:style>
  <w:style w:type="paragraph" w:styleId="Cytatintensywny">
    <w:name w:val="Intense Quote"/>
    <w:basedOn w:val="Normalny"/>
    <w:next w:val="Normalny"/>
    <w:link w:val="CytatintensywnyZnak"/>
    <w:uiPriority w:val="98"/>
    <w:semiHidden/>
    <w:qFormat/>
    <w:rsid w:val="00A36416"/>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A36416"/>
    <w:rPr>
      <w:b/>
      <w:bCs/>
      <w:i/>
      <w:iCs/>
      <w:sz w:val="24"/>
      <w:szCs w:val="24"/>
      <w:lang w:val="fr-FR" w:bidi="en-US"/>
    </w:rPr>
  </w:style>
  <w:style w:type="character" w:styleId="Odwoanieintensywne">
    <w:name w:val="Intense Reference"/>
    <w:uiPriority w:val="98"/>
    <w:semiHidden/>
    <w:qFormat/>
    <w:rsid w:val="00A36416"/>
    <w:rPr>
      <w:smallCaps/>
      <w:spacing w:val="5"/>
      <w:u w:val="single"/>
    </w:rPr>
  </w:style>
  <w:style w:type="paragraph" w:styleId="Akapitzlist">
    <w:name w:val="List Paragraph"/>
    <w:basedOn w:val="Normalny"/>
    <w:uiPriority w:val="98"/>
    <w:semiHidden/>
    <w:qFormat/>
    <w:rsid w:val="00A36416"/>
    <w:pPr>
      <w:ind w:left="720"/>
      <w:contextualSpacing/>
    </w:pPr>
  </w:style>
  <w:style w:type="table" w:customStyle="1" w:styleId="LtrTableAddress">
    <w:name w:val="Ltr_Table_Address"/>
    <w:aliases w:val="ECHR_Ltr_Table_Address"/>
    <w:basedOn w:val="Standardowy"/>
    <w:uiPriority w:val="99"/>
    <w:rsid w:val="00A36416"/>
    <w:rPr>
      <w:sz w:val="24"/>
      <w:szCs w:val="24"/>
    </w:rPr>
    <w:tblPr>
      <w:tblInd w:w="5103" w:type="dxa"/>
    </w:tblPr>
  </w:style>
  <w:style w:type="paragraph" w:styleId="Cytat">
    <w:name w:val="Quote"/>
    <w:basedOn w:val="Normalny"/>
    <w:next w:val="Normalny"/>
    <w:link w:val="CytatZnak"/>
    <w:uiPriority w:val="98"/>
    <w:semiHidden/>
    <w:qFormat/>
    <w:rsid w:val="00A36416"/>
    <w:pPr>
      <w:spacing w:before="200"/>
      <w:ind w:left="360" w:right="360"/>
    </w:pPr>
    <w:rPr>
      <w:i/>
      <w:iCs/>
      <w:lang w:bidi="en-US"/>
    </w:rPr>
  </w:style>
  <w:style w:type="character" w:customStyle="1" w:styleId="CytatZnak">
    <w:name w:val="Cytat Znak"/>
    <w:basedOn w:val="Domylnaczcionkaakapitu"/>
    <w:link w:val="Cytat"/>
    <w:uiPriority w:val="98"/>
    <w:semiHidden/>
    <w:rsid w:val="00A36416"/>
    <w:rPr>
      <w:i/>
      <w:iCs/>
      <w:sz w:val="24"/>
      <w:szCs w:val="24"/>
      <w:lang w:val="fr-FR" w:bidi="en-US"/>
    </w:rPr>
  </w:style>
  <w:style w:type="character" w:styleId="Odwoaniedelikatne">
    <w:name w:val="Subtle Reference"/>
    <w:uiPriority w:val="98"/>
    <w:semiHidden/>
    <w:qFormat/>
    <w:rsid w:val="00A36416"/>
    <w:rPr>
      <w:smallCaps/>
    </w:rPr>
  </w:style>
  <w:style w:type="table" w:styleId="Tabela-Siatka">
    <w:name w:val="Table Grid"/>
    <w:basedOn w:val="Standardowy"/>
    <w:uiPriority w:val="59"/>
    <w:semiHidden/>
    <w:rsid w:val="00A3641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A3641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A3641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A3641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A36416"/>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A3641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A3641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A3641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A3641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A3641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3641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3641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A3641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A3641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A36416"/>
    <w:pPr>
      <w:spacing w:after="600"/>
    </w:pPr>
    <w:rPr>
      <w:rFonts w:asciiTheme="majorHAnsi" w:eastAsiaTheme="majorEastAsia" w:hAnsiTheme="majorHAnsi" w:cstheme="majorBidi"/>
      <w:i/>
      <w:iCs/>
      <w:spacing w:val="13"/>
      <w:lang w:bidi="en-US"/>
    </w:rPr>
  </w:style>
  <w:style w:type="paragraph" w:customStyle="1" w:styleId="JuPara">
    <w:name w:val="Ju_Para"/>
    <w:aliases w:val="_Para"/>
    <w:basedOn w:val="NormalJustified"/>
    <w:link w:val="JuParaChar"/>
    <w:uiPriority w:val="4"/>
    <w:qFormat/>
    <w:rsid w:val="00A36416"/>
    <w:pPr>
      <w:ind w:firstLine="284"/>
    </w:pPr>
  </w:style>
  <w:style w:type="character" w:customStyle="1" w:styleId="PodtytuZnak">
    <w:name w:val="Podtytuł Znak"/>
    <w:basedOn w:val="Domylnaczcionkaakapitu"/>
    <w:link w:val="Podtytu"/>
    <w:uiPriority w:val="98"/>
    <w:semiHidden/>
    <w:rsid w:val="00A36416"/>
    <w:rPr>
      <w:rFonts w:asciiTheme="majorHAnsi" w:eastAsiaTheme="majorEastAsia" w:hAnsiTheme="majorHAnsi" w:cstheme="majorBidi"/>
      <w:i/>
      <w:iCs/>
      <w:spacing w:val="13"/>
      <w:sz w:val="24"/>
      <w:szCs w:val="24"/>
      <w:lang w:val="fr-FR" w:bidi="en-US"/>
    </w:rPr>
  </w:style>
  <w:style w:type="table" w:customStyle="1" w:styleId="ECHRTableSimpleBox">
    <w:name w:val="ECHR_Table_Simple_Box"/>
    <w:basedOn w:val="Standardowy"/>
    <w:uiPriority w:val="99"/>
    <w:rsid w:val="00A3641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3641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Bezlisty"/>
    <w:uiPriority w:val="99"/>
    <w:semiHidden/>
    <w:unhideWhenUsed/>
    <w:rsid w:val="00A36416"/>
    <w:pPr>
      <w:numPr>
        <w:numId w:val="2"/>
      </w:numPr>
    </w:pPr>
  </w:style>
  <w:style w:type="table" w:customStyle="1" w:styleId="ECHRTableForInternalUse">
    <w:name w:val="ECHR_Table_For_Internal_Use"/>
    <w:basedOn w:val="Standardowy"/>
    <w:uiPriority w:val="99"/>
    <w:rsid w:val="00A3641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3641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Bezlisty"/>
    <w:uiPriority w:val="99"/>
    <w:semiHidden/>
    <w:unhideWhenUsed/>
    <w:rsid w:val="00A36416"/>
    <w:pPr>
      <w:numPr>
        <w:numId w:val="3"/>
      </w:numPr>
    </w:pPr>
  </w:style>
  <w:style w:type="numbering" w:styleId="Artykusekcja">
    <w:name w:val="Outline List 3"/>
    <w:basedOn w:val="Bezlisty"/>
    <w:uiPriority w:val="99"/>
    <w:semiHidden/>
    <w:unhideWhenUsed/>
    <w:rsid w:val="00A36416"/>
    <w:pPr>
      <w:numPr>
        <w:numId w:val="4"/>
      </w:numPr>
    </w:pPr>
  </w:style>
  <w:style w:type="table" w:customStyle="1" w:styleId="ECHRHeaderTable">
    <w:name w:val="ECHR_Header_Table"/>
    <w:basedOn w:val="Standardowy"/>
    <w:uiPriority w:val="99"/>
    <w:rsid w:val="00A3641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fia">
    <w:name w:val="Bibliography"/>
    <w:basedOn w:val="Normalny"/>
    <w:next w:val="Normalny"/>
    <w:uiPriority w:val="98"/>
    <w:semiHidden/>
    <w:rsid w:val="00A36416"/>
  </w:style>
  <w:style w:type="paragraph" w:styleId="Tekstblokowy">
    <w:name w:val="Block Text"/>
    <w:basedOn w:val="Normalny"/>
    <w:uiPriority w:val="98"/>
    <w:semiHidden/>
    <w:rsid w:val="00A3641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OddBanded">
    <w:name w:val="ECHR_Table_Odd_Banded"/>
    <w:basedOn w:val="Standardowy"/>
    <w:uiPriority w:val="99"/>
    <w:rsid w:val="00A3641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
    <w:name w:val="Body Text"/>
    <w:basedOn w:val="Normalny"/>
    <w:link w:val="TekstpodstawowyZnak"/>
    <w:uiPriority w:val="98"/>
    <w:semiHidden/>
    <w:rsid w:val="00A36416"/>
    <w:pPr>
      <w:spacing w:after="120"/>
    </w:pPr>
  </w:style>
  <w:style w:type="table" w:customStyle="1" w:styleId="ECHRHeaderTableReduced">
    <w:name w:val="ECHR_Header_Table_Reduced"/>
    <w:basedOn w:val="Standardowy"/>
    <w:uiPriority w:val="99"/>
    <w:rsid w:val="00A3641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uiPriority w:val="98"/>
    <w:semiHidden/>
    <w:rsid w:val="00A36416"/>
    <w:rPr>
      <w:sz w:val="18"/>
    </w:rPr>
  </w:style>
  <w:style w:type="character" w:styleId="Odwoaniedokomentarza">
    <w:name w:val="annotation reference"/>
    <w:basedOn w:val="Domylnaczcionkaakapitu"/>
    <w:uiPriority w:val="98"/>
    <w:semiHidden/>
    <w:rsid w:val="00A36416"/>
    <w:rPr>
      <w:sz w:val="16"/>
      <w:szCs w:val="16"/>
    </w:rPr>
  </w:style>
  <w:style w:type="paragraph" w:styleId="Tekstkomentarza">
    <w:name w:val="annotation text"/>
    <w:basedOn w:val="Normalny"/>
    <w:link w:val="TekstkomentarzaZnak"/>
    <w:uiPriority w:val="98"/>
    <w:semiHidden/>
    <w:rsid w:val="00A36416"/>
    <w:rPr>
      <w:sz w:val="20"/>
      <w:szCs w:val="20"/>
    </w:rPr>
  </w:style>
  <w:style w:type="character" w:customStyle="1" w:styleId="TekstkomentarzaZnak">
    <w:name w:val="Tekst komentarza Znak"/>
    <w:basedOn w:val="Domylnaczcionkaakapitu"/>
    <w:link w:val="Tekstkomentarza"/>
    <w:uiPriority w:val="98"/>
    <w:semiHidden/>
    <w:rsid w:val="00A36416"/>
    <w:rPr>
      <w:sz w:val="20"/>
      <w:szCs w:val="20"/>
      <w:lang w:val="fr-FR"/>
    </w:rPr>
  </w:style>
  <w:style w:type="paragraph" w:customStyle="1" w:styleId="JuSigned">
    <w:name w:val="Ju_Signed"/>
    <w:aliases w:val="_Signature"/>
    <w:basedOn w:val="Normalny"/>
    <w:next w:val="JuPara"/>
    <w:uiPriority w:val="31"/>
    <w:qFormat/>
    <w:rsid w:val="00A36416"/>
    <w:pPr>
      <w:tabs>
        <w:tab w:val="center" w:pos="851"/>
        <w:tab w:val="center" w:pos="6407"/>
      </w:tabs>
      <w:spacing w:before="720"/>
    </w:pPr>
  </w:style>
  <w:style w:type="paragraph" w:customStyle="1" w:styleId="JuTitle">
    <w:name w:val="Ju_Title"/>
    <w:aliases w:val="_Title_2"/>
    <w:basedOn w:val="Normalny"/>
    <w:next w:val="JuPara"/>
    <w:uiPriority w:val="38"/>
    <w:qFormat/>
    <w:rsid w:val="00A36416"/>
    <w:pPr>
      <w:keepNext/>
      <w:keepLines/>
      <w:spacing w:before="1320" w:after="280"/>
      <w:contextualSpacing/>
      <w:jc w:val="center"/>
    </w:pPr>
    <w:rPr>
      <w:b/>
    </w:rPr>
  </w:style>
  <w:style w:type="paragraph" w:customStyle="1" w:styleId="DecHTitle">
    <w:name w:val="Dec_H_Title"/>
    <w:aliases w:val="_Title_1"/>
    <w:basedOn w:val="JuPara"/>
    <w:next w:val="JuPara"/>
    <w:uiPriority w:val="38"/>
    <w:qFormat/>
    <w:rsid w:val="00A36416"/>
    <w:pPr>
      <w:keepNext/>
      <w:keepLines/>
      <w:spacing w:after="240"/>
      <w:ind w:firstLine="0"/>
      <w:jc w:val="center"/>
      <w:outlineLvl w:val="0"/>
    </w:pPr>
    <w:rPr>
      <w:rFonts w:asciiTheme="majorHAnsi" w:hAnsiTheme="majorHAnsi"/>
      <w:sz w:val="28"/>
    </w:rPr>
  </w:style>
  <w:style w:type="paragraph" w:styleId="Listapunktowana2">
    <w:name w:val="List Bullet 2"/>
    <w:basedOn w:val="Normalny"/>
    <w:uiPriority w:val="98"/>
    <w:semiHidden/>
    <w:rsid w:val="00A36416"/>
    <w:pPr>
      <w:numPr>
        <w:numId w:val="9"/>
      </w:numPr>
      <w:contextualSpacing/>
    </w:pPr>
  </w:style>
  <w:style w:type="paragraph" w:styleId="Listapunktowana3">
    <w:name w:val="List Bullet 3"/>
    <w:basedOn w:val="Normalny"/>
    <w:uiPriority w:val="98"/>
    <w:semiHidden/>
    <w:rsid w:val="00A36416"/>
    <w:pPr>
      <w:numPr>
        <w:numId w:val="10"/>
      </w:numPr>
      <w:contextualSpacing/>
    </w:pPr>
  </w:style>
  <w:style w:type="character" w:customStyle="1" w:styleId="TekstpodstawowyZnak">
    <w:name w:val="Tekst podstawowy Znak"/>
    <w:basedOn w:val="Domylnaczcionkaakapitu"/>
    <w:link w:val="Tekstpodstawowy"/>
    <w:uiPriority w:val="98"/>
    <w:semiHidden/>
    <w:rsid w:val="00A36416"/>
    <w:rPr>
      <w:sz w:val="24"/>
      <w:szCs w:val="24"/>
      <w:lang w:val="fr-FR"/>
    </w:rPr>
  </w:style>
  <w:style w:type="paragraph" w:styleId="Tekstpodstawowy2">
    <w:name w:val="Body Text 2"/>
    <w:basedOn w:val="Normalny"/>
    <w:link w:val="Tekstpodstawowy2Znak"/>
    <w:uiPriority w:val="98"/>
    <w:semiHidden/>
    <w:rsid w:val="00A36416"/>
    <w:pPr>
      <w:spacing w:after="120" w:line="480" w:lineRule="auto"/>
    </w:pPr>
  </w:style>
  <w:style w:type="character" w:customStyle="1" w:styleId="Tekstpodstawowy2Znak">
    <w:name w:val="Tekst podstawowy 2 Znak"/>
    <w:basedOn w:val="Domylnaczcionkaakapitu"/>
    <w:link w:val="Tekstpodstawowy2"/>
    <w:uiPriority w:val="98"/>
    <w:semiHidden/>
    <w:rsid w:val="00A36416"/>
    <w:rPr>
      <w:sz w:val="24"/>
      <w:szCs w:val="24"/>
      <w:lang w:val="fr-FR"/>
    </w:rPr>
  </w:style>
  <w:style w:type="paragraph" w:styleId="Tekstpodstawowy3">
    <w:name w:val="Body Text 3"/>
    <w:basedOn w:val="Normalny"/>
    <w:link w:val="Tekstpodstawowy3Znak"/>
    <w:uiPriority w:val="98"/>
    <w:semiHidden/>
    <w:rsid w:val="00A36416"/>
    <w:pPr>
      <w:spacing w:after="120"/>
    </w:pPr>
    <w:rPr>
      <w:sz w:val="16"/>
      <w:szCs w:val="16"/>
    </w:rPr>
  </w:style>
  <w:style w:type="character" w:customStyle="1" w:styleId="Tekstpodstawowy3Znak">
    <w:name w:val="Tekst podstawowy 3 Znak"/>
    <w:basedOn w:val="Domylnaczcionkaakapitu"/>
    <w:link w:val="Tekstpodstawowy3"/>
    <w:uiPriority w:val="98"/>
    <w:semiHidden/>
    <w:rsid w:val="00A36416"/>
    <w:rPr>
      <w:sz w:val="16"/>
      <w:szCs w:val="16"/>
      <w:lang w:val="fr-FR"/>
    </w:rPr>
  </w:style>
  <w:style w:type="paragraph" w:styleId="Tekstpodstawowyzwciciem">
    <w:name w:val="Body Text First Indent"/>
    <w:basedOn w:val="Tekstpodstawowy"/>
    <w:link w:val="TekstpodstawowyzwciciemZnak"/>
    <w:uiPriority w:val="98"/>
    <w:semiHidden/>
    <w:rsid w:val="00A36416"/>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A36416"/>
    <w:rPr>
      <w:sz w:val="24"/>
      <w:szCs w:val="24"/>
      <w:lang w:val="fr-FR"/>
    </w:rPr>
  </w:style>
  <w:style w:type="paragraph" w:styleId="Tekstpodstawowywcity">
    <w:name w:val="Body Text Indent"/>
    <w:basedOn w:val="Normalny"/>
    <w:link w:val="TekstpodstawowywcityZnak"/>
    <w:uiPriority w:val="98"/>
    <w:semiHidden/>
    <w:rsid w:val="00A36416"/>
    <w:pPr>
      <w:spacing w:after="120"/>
      <w:ind w:left="283"/>
    </w:pPr>
  </w:style>
  <w:style w:type="character" w:customStyle="1" w:styleId="TekstpodstawowywcityZnak">
    <w:name w:val="Tekst podstawowy wcięty Znak"/>
    <w:basedOn w:val="Domylnaczcionkaakapitu"/>
    <w:link w:val="Tekstpodstawowywcity"/>
    <w:uiPriority w:val="98"/>
    <w:semiHidden/>
    <w:rsid w:val="00A36416"/>
    <w:rPr>
      <w:sz w:val="24"/>
      <w:szCs w:val="24"/>
      <w:lang w:val="fr-FR"/>
    </w:rPr>
  </w:style>
  <w:style w:type="paragraph" w:styleId="Tekstpodstawowyzwciciem2">
    <w:name w:val="Body Text First Indent 2"/>
    <w:basedOn w:val="Tekstpodstawowywcity"/>
    <w:link w:val="Tekstpodstawowyzwciciem2Znak"/>
    <w:uiPriority w:val="98"/>
    <w:semiHidden/>
    <w:rsid w:val="00A36416"/>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A36416"/>
    <w:rPr>
      <w:sz w:val="24"/>
      <w:szCs w:val="24"/>
      <w:lang w:val="fr-FR"/>
    </w:rPr>
  </w:style>
  <w:style w:type="paragraph" w:styleId="Tekstpodstawowywcity2">
    <w:name w:val="Body Text Indent 2"/>
    <w:basedOn w:val="Normalny"/>
    <w:link w:val="Tekstpodstawowywcity2Znak"/>
    <w:uiPriority w:val="98"/>
    <w:semiHidden/>
    <w:rsid w:val="00A36416"/>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A36416"/>
    <w:rPr>
      <w:sz w:val="24"/>
      <w:szCs w:val="24"/>
      <w:lang w:val="fr-FR"/>
    </w:rPr>
  </w:style>
  <w:style w:type="paragraph" w:styleId="Tekstpodstawowywcity3">
    <w:name w:val="Body Text Indent 3"/>
    <w:basedOn w:val="Normalny"/>
    <w:link w:val="Tekstpodstawowywcity3Znak"/>
    <w:uiPriority w:val="98"/>
    <w:semiHidden/>
    <w:rsid w:val="00A3641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A36416"/>
    <w:rPr>
      <w:sz w:val="16"/>
      <w:szCs w:val="16"/>
      <w:lang w:val="fr-FR"/>
    </w:rPr>
  </w:style>
  <w:style w:type="paragraph" w:styleId="Legenda">
    <w:name w:val="caption"/>
    <w:basedOn w:val="Normalny"/>
    <w:next w:val="Normalny"/>
    <w:uiPriority w:val="98"/>
    <w:semiHidden/>
    <w:qFormat/>
    <w:rsid w:val="00A36416"/>
    <w:pPr>
      <w:spacing w:after="200"/>
    </w:pPr>
    <w:rPr>
      <w:b/>
      <w:bCs/>
      <w:color w:val="0072BC" w:themeColor="accent1"/>
      <w:sz w:val="18"/>
      <w:szCs w:val="18"/>
    </w:rPr>
  </w:style>
  <w:style w:type="paragraph" w:styleId="Zwrotpoegnalny">
    <w:name w:val="Closing"/>
    <w:basedOn w:val="Normalny"/>
    <w:link w:val="ZwrotpoegnalnyZnak"/>
    <w:uiPriority w:val="98"/>
    <w:semiHidden/>
    <w:rsid w:val="00A36416"/>
    <w:pPr>
      <w:ind w:left="4252"/>
    </w:pPr>
  </w:style>
  <w:style w:type="character" w:customStyle="1" w:styleId="ZwrotpoegnalnyZnak">
    <w:name w:val="Zwrot pożegnalny Znak"/>
    <w:basedOn w:val="Domylnaczcionkaakapitu"/>
    <w:link w:val="Zwrotpoegnalny"/>
    <w:uiPriority w:val="98"/>
    <w:semiHidden/>
    <w:rsid w:val="00A36416"/>
    <w:rPr>
      <w:sz w:val="24"/>
      <w:szCs w:val="24"/>
      <w:lang w:val="fr-FR"/>
    </w:rPr>
  </w:style>
  <w:style w:type="table" w:styleId="Kolorowasiatka">
    <w:name w:val="Colorful Grid"/>
    <w:basedOn w:val="Standardowy"/>
    <w:uiPriority w:val="73"/>
    <w:semiHidden/>
    <w:rsid w:val="00A3641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3641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3641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3641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A3641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3641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3641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3641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3641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3641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3641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A3641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3641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3641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3641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3641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3641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3641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A3641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3641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3641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8"/>
    <w:semiHidden/>
    <w:rsid w:val="00A36416"/>
    <w:rPr>
      <w:b/>
      <w:bCs/>
    </w:rPr>
  </w:style>
  <w:style w:type="character" w:customStyle="1" w:styleId="TematkomentarzaZnak">
    <w:name w:val="Temat komentarza Znak"/>
    <w:basedOn w:val="TekstkomentarzaZnak"/>
    <w:link w:val="Tematkomentarza"/>
    <w:uiPriority w:val="98"/>
    <w:semiHidden/>
    <w:rsid w:val="00A36416"/>
    <w:rPr>
      <w:b/>
      <w:bCs/>
      <w:sz w:val="20"/>
      <w:szCs w:val="20"/>
      <w:lang w:val="fr-FR"/>
    </w:rPr>
  </w:style>
  <w:style w:type="table" w:styleId="Ciemnalista">
    <w:name w:val="Dark List"/>
    <w:basedOn w:val="Standardowy"/>
    <w:uiPriority w:val="70"/>
    <w:semiHidden/>
    <w:rsid w:val="00A3641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3641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3641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3641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A3641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3641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3641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A36416"/>
  </w:style>
  <w:style w:type="character" w:customStyle="1" w:styleId="DataZnak">
    <w:name w:val="Data Znak"/>
    <w:basedOn w:val="Domylnaczcionkaakapitu"/>
    <w:link w:val="Data"/>
    <w:uiPriority w:val="98"/>
    <w:semiHidden/>
    <w:rsid w:val="00A36416"/>
    <w:rPr>
      <w:sz w:val="24"/>
      <w:szCs w:val="24"/>
      <w:lang w:val="fr-FR"/>
    </w:rPr>
  </w:style>
  <w:style w:type="paragraph" w:styleId="Mapadokumentu">
    <w:name w:val="Document Map"/>
    <w:basedOn w:val="Normalny"/>
    <w:link w:val="MapadokumentuZnak"/>
    <w:uiPriority w:val="98"/>
    <w:semiHidden/>
    <w:rsid w:val="00A36416"/>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A36416"/>
    <w:rPr>
      <w:rFonts w:ascii="Tahoma" w:hAnsi="Tahoma" w:cs="Tahoma"/>
      <w:sz w:val="16"/>
      <w:szCs w:val="16"/>
      <w:lang w:val="fr-FR"/>
    </w:rPr>
  </w:style>
  <w:style w:type="paragraph" w:styleId="Podpise-mail">
    <w:name w:val="E-mail Signature"/>
    <w:basedOn w:val="Normalny"/>
    <w:link w:val="Podpise-mailZnak"/>
    <w:uiPriority w:val="98"/>
    <w:semiHidden/>
    <w:rsid w:val="00A36416"/>
  </w:style>
  <w:style w:type="character" w:customStyle="1" w:styleId="Podpise-mailZnak">
    <w:name w:val="Podpis e-mail Znak"/>
    <w:basedOn w:val="Domylnaczcionkaakapitu"/>
    <w:link w:val="Podpise-mail"/>
    <w:uiPriority w:val="98"/>
    <w:semiHidden/>
    <w:rsid w:val="00A36416"/>
    <w:rPr>
      <w:sz w:val="24"/>
      <w:szCs w:val="24"/>
      <w:lang w:val="fr-FR"/>
    </w:rPr>
  </w:style>
  <w:style w:type="character" w:styleId="Odwoanieprzypisukocowego">
    <w:name w:val="endnote reference"/>
    <w:basedOn w:val="Domylnaczcionkaakapitu"/>
    <w:uiPriority w:val="98"/>
    <w:semiHidden/>
    <w:rsid w:val="00A36416"/>
    <w:rPr>
      <w:vertAlign w:val="superscript"/>
    </w:rPr>
  </w:style>
  <w:style w:type="paragraph" w:styleId="Tekstprzypisukocowego">
    <w:name w:val="endnote text"/>
    <w:basedOn w:val="Normalny"/>
    <w:link w:val="TekstprzypisukocowegoZnak"/>
    <w:uiPriority w:val="98"/>
    <w:semiHidden/>
    <w:rsid w:val="00A36416"/>
    <w:rPr>
      <w:sz w:val="20"/>
      <w:szCs w:val="20"/>
    </w:rPr>
  </w:style>
  <w:style w:type="character" w:customStyle="1" w:styleId="TekstprzypisukocowegoZnak">
    <w:name w:val="Tekst przypisu końcowego Znak"/>
    <w:basedOn w:val="Domylnaczcionkaakapitu"/>
    <w:link w:val="Tekstprzypisukocowego"/>
    <w:uiPriority w:val="98"/>
    <w:semiHidden/>
    <w:rsid w:val="00A36416"/>
    <w:rPr>
      <w:sz w:val="20"/>
      <w:szCs w:val="20"/>
      <w:lang w:val="fr-FR"/>
    </w:rPr>
  </w:style>
  <w:style w:type="paragraph" w:styleId="Adresnakopercie">
    <w:name w:val="envelope address"/>
    <w:basedOn w:val="Normalny"/>
    <w:uiPriority w:val="98"/>
    <w:semiHidden/>
    <w:rsid w:val="00A36416"/>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A36416"/>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A36416"/>
    <w:rPr>
      <w:color w:val="7030A0" w:themeColor="followedHyperlink"/>
      <w:u w:val="single"/>
    </w:rPr>
  </w:style>
  <w:style w:type="character" w:styleId="HTML-akronim">
    <w:name w:val="HTML Acronym"/>
    <w:basedOn w:val="Domylnaczcionkaakapitu"/>
    <w:uiPriority w:val="98"/>
    <w:semiHidden/>
    <w:rsid w:val="00A36416"/>
  </w:style>
  <w:style w:type="paragraph" w:styleId="HTML-adres">
    <w:name w:val="HTML Address"/>
    <w:basedOn w:val="Normalny"/>
    <w:link w:val="HTML-adresZnak"/>
    <w:uiPriority w:val="98"/>
    <w:semiHidden/>
    <w:rsid w:val="00A36416"/>
    <w:rPr>
      <w:i/>
      <w:iCs/>
    </w:rPr>
  </w:style>
  <w:style w:type="character" w:customStyle="1" w:styleId="HTML-adresZnak">
    <w:name w:val="HTML - adres Znak"/>
    <w:basedOn w:val="Domylnaczcionkaakapitu"/>
    <w:link w:val="HTML-adres"/>
    <w:uiPriority w:val="98"/>
    <w:semiHidden/>
    <w:rsid w:val="00A36416"/>
    <w:rPr>
      <w:i/>
      <w:iCs/>
      <w:sz w:val="24"/>
      <w:szCs w:val="24"/>
      <w:lang w:val="fr-FR"/>
    </w:rPr>
  </w:style>
  <w:style w:type="character" w:styleId="HTML-cytat">
    <w:name w:val="HTML Cite"/>
    <w:basedOn w:val="Domylnaczcionkaakapitu"/>
    <w:uiPriority w:val="98"/>
    <w:semiHidden/>
    <w:rsid w:val="00A36416"/>
    <w:rPr>
      <w:i/>
      <w:iCs/>
    </w:rPr>
  </w:style>
  <w:style w:type="character" w:styleId="HTML-kod">
    <w:name w:val="HTML Code"/>
    <w:basedOn w:val="Domylnaczcionkaakapitu"/>
    <w:uiPriority w:val="98"/>
    <w:semiHidden/>
    <w:rsid w:val="00A36416"/>
    <w:rPr>
      <w:rFonts w:ascii="Consolas" w:hAnsi="Consolas" w:cs="Consolas"/>
      <w:sz w:val="20"/>
      <w:szCs w:val="20"/>
    </w:rPr>
  </w:style>
  <w:style w:type="character" w:styleId="HTML-definicja">
    <w:name w:val="HTML Definition"/>
    <w:basedOn w:val="Domylnaczcionkaakapitu"/>
    <w:uiPriority w:val="98"/>
    <w:semiHidden/>
    <w:rsid w:val="00A36416"/>
    <w:rPr>
      <w:i/>
      <w:iCs/>
    </w:rPr>
  </w:style>
  <w:style w:type="character" w:styleId="HTML-klawiatura">
    <w:name w:val="HTML Keyboard"/>
    <w:basedOn w:val="Domylnaczcionkaakapitu"/>
    <w:uiPriority w:val="98"/>
    <w:semiHidden/>
    <w:rsid w:val="00A36416"/>
    <w:rPr>
      <w:rFonts w:ascii="Consolas" w:hAnsi="Consolas" w:cs="Consolas"/>
      <w:sz w:val="20"/>
      <w:szCs w:val="20"/>
    </w:rPr>
  </w:style>
  <w:style w:type="paragraph" w:styleId="HTML-wstpniesformatowany">
    <w:name w:val="HTML Preformatted"/>
    <w:basedOn w:val="Normalny"/>
    <w:link w:val="HTML-wstpniesformatowanyZnak"/>
    <w:uiPriority w:val="98"/>
    <w:semiHidden/>
    <w:rsid w:val="00A3641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A36416"/>
    <w:rPr>
      <w:rFonts w:ascii="Consolas" w:hAnsi="Consolas" w:cs="Consolas"/>
      <w:sz w:val="20"/>
      <w:szCs w:val="20"/>
      <w:lang w:val="fr-FR"/>
    </w:rPr>
  </w:style>
  <w:style w:type="character" w:styleId="HTML-przykad">
    <w:name w:val="HTML Sample"/>
    <w:basedOn w:val="Domylnaczcionkaakapitu"/>
    <w:uiPriority w:val="98"/>
    <w:semiHidden/>
    <w:rsid w:val="00A36416"/>
    <w:rPr>
      <w:rFonts w:ascii="Consolas" w:hAnsi="Consolas" w:cs="Consolas"/>
      <w:sz w:val="24"/>
      <w:szCs w:val="24"/>
    </w:rPr>
  </w:style>
  <w:style w:type="character" w:styleId="HTML-staaszeroko">
    <w:name w:val="HTML Typewriter"/>
    <w:basedOn w:val="Domylnaczcionkaakapitu"/>
    <w:uiPriority w:val="98"/>
    <w:semiHidden/>
    <w:rsid w:val="00A36416"/>
    <w:rPr>
      <w:rFonts w:ascii="Consolas" w:hAnsi="Consolas" w:cs="Consolas"/>
      <w:sz w:val="20"/>
      <w:szCs w:val="20"/>
    </w:rPr>
  </w:style>
  <w:style w:type="character" w:styleId="HTML-zmienna">
    <w:name w:val="HTML Variable"/>
    <w:basedOn w:val="Domylnaczcionkaakapitu"/>
    <w:uiPriority w:val="98"/>
    <w:semiHidden/>
    <w:rsid w:val="00A36416"/>
    <w:rPr>
      <w:i/>
      <w:iCs/>
    </w:rPr>
  </w:style>
  <w:style w:type="paragraph" w:styleId="Indeks1">
    <w:name w:val="index 1"/>
    <w:basedOn w:val="Normalny"/>
    <w:next w:val="Normalny"/>
    <w:autoRedefine/>
    <w:uiPriority w:val="98"/>
    <w:semiHidden/>
    <w:rsid w:val="00A36416"/>
    <w:pPr>
      <w:ind w:left="240" w:hanging="240"/>
    </w:pPr>
  </w:style>
  <w:style w:type="paragraph" w:styleId="Indeks2">
    <w:name w:val="index 2"/>
    <w:basedOn w:val="Normalny"/>
    <w:next w:val="Normalny"/>
    <w:autoRedefine/>
    <w:uiPriority w:val="98"/>
    <w:semiHidden/>
    <w:rsid w:val="00A36416"/>
    <w:pPr>
      <w:ind w:left="480" w:hanging="240"/>
    </w:pPr>
  </w:style>
  <w:style w:type="paragraph" w:styleId="Indeks3">
    <w:name w:val="index 3"/>
    <w:basedOn w:val="Normalny"/>
    <w:next w:val="Normalny"/>
    <w:autoRedefine/>
    <w:uiPriority w:val="98"/>
    <w:semiHidden/>
    <w:rsid w:val="00A36416"/>
    <w:pPr>
      <w:ind w:left="720" w:hanging="240"/>
    </w:pPr>
  </w:style>
  <w:style w:type="paragraph" w:styleId="Indeks4">
    <w:name w:val="index 4"/>
    <w:basedOn w:val="Normalny"/>
    <w:next w:val="Normalny"/>
    <w:autoRedefine/>
    <w:uiPriority w:val="98"/>
    <w:semiHidden/>
    <w:rsid w:val="00A36416"/>
    <w:pPr>
      <w:ind w:left="960" w:hanging="240"/>
    </w:pPr>
  </w:style>
  <w:style w:type="paragraph" w:styleId="Indeks5">
    <w:name w:val="index 5"/>
    <w:basedOn w:val="Normalny"/>
    <w:next w:val="Normalny"/>
    <w:autoRedefine/>
    <w:uiPriority w:val="98"/>
    <w:semiHidden/>
    <w:rsid w:val="00A36416"/>
    <w:pPr>
      <w:ind w:left="1200" w:hanging="240"/>
    </w:pPr>
  </w:style>
  <w:style w:type="paragraph" w:styleId="Indeks6">
    <w:name w:val="index 6"/>
    <w:basedOn w:val="Normalny"/>
    <w:next w:val="Normalny"/>
    <w:autoRedefine/>
    <w:uiPriority w:val="98"/>
    <w:semiHidden/>
    <w:rsid w:val="00A36416"/>
    <w:pPr>
      <w:ind w:left="1440" w:hanging="240"/>
    </w:pPr>
  </w:style>
  <w:style w:type="paragraph" w:styleId="Indeks7">
    <w:name w:val="index 7"/>
    <w:basedOn w:val="Normalny"/>
    <w:next w:val="Normalny"/>
    <w:autoRedefine/>
    <w:uiPriority w:val="98"/>
    <w:semiHidden/>
    <w:rsid w:val="00A36416"/>
    <w:pPr>
      <w:ind w:left="1680" w:hanging="240"/>
    </w:pPr>
  </w:style>
  <w:style w:type="paragraph" w:styleId="Indeks8">
    <w:name w:val="index 8"/>
    <w:basedOn w:val="Normalny"/>
    <w:next w:val="Normalny"/>
    <w:autoRedefine/>
    <w:uiPriority w:val="98"/>
    <w:semiHidden/>
    <w:rsid w:val="00A36416"/>
    <w:pPr>
      <w:ind w:left="1920" w:hanging="240"/>
    </w:pPr>
  </w:style>
  <w:style w:type="paragraph" w:styleId="Indeks9">
    <w:name w:val="index 9"/>
    <w:basedOn w:val="Normalny"/>
    <w:next w:val="Normalny"/>
    <w:autoRedefine/>
    <w:uiPriority w:val="98"/>
    <w:semiHidden/>
    <w:rsid w:val="00A36416"/>
    <w:pPr>
      <w:ind w:left="2160" w:hanging="240"/>
    </w:pPr>
  </w:style>
  <w:style w:type="paragraph" w:styleId="Nagwekindeksu">
    <w:name w:val="index heading"/>
    <w:basedOn w:val="Normalny"/>
    <w:next w:val="Indeks1"/>
    <w:uiPriority w:val="98"/>
    <w:semiHidden/>
    <w:rsid w:val="00A36416"/>
    <w:rPr>
      <w:rFonts w:asciiTheme="majorHAnsi" w:eastAsiaTheme="majorEastAsia" w:hAnsiTheme="majorHAnsi" w:cstheme="majorBidi"/>
      <w:b/>
      <w:bCs/>
    </w:rPr>
  </w:style>
  <w:style w:type="table" w:styleId="Jasnasiatka">
    <w:name w:val="Light Grid"/>
    <w:basedOn w:val="Standardowy"/>
    <w:uiPriority w:val="62"/>
    <w:semiHidden/>
    <w:rsid w:val="00A3641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3641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3641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3641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A3641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3641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3641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3641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3641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3641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3641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A3641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3641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3641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3641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3641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3641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3641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A3641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3641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3641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A36416"/>
  </w:style>
  <w:style w:type="paragraph" w:styleId="Lista">
    <w:name w:val="List"/>
    <w:basedOn w:val="Normalny"/>
    <w:uiPriority w:val="98"/>
    <w:semiHidden/>
    <w:rsid w:val="00A36416"/>
    <w:pPr>
      <w:ind w:left="283" w:hanging="283"/>
      <w:contextualSpacing/>
    </w:pPr>
  </w:style>
  <w:style w:type="paragraph" w:styleId="Lista2">
    <w:name w:val="List 2"/>
    <w:basedOn w:val="Normalny"/>
    <w:uiPriority w:val="98"/>
    <w:semiHidden/>
    <w:rsid w:val="00A36416"/>
    <w:pPr>
      <w:ind w:left="566" w:hanging="283"/>
      <w:contextualSpacing/>
    </w:pPr>
  </w:style>
  <w:style w:type="paragraph" w:styleId="Lista3">
    <w:name w:val="List 3"/>
    <w:basedOn w:val="Normalny"/>
    <w:uiPriority w:val="98"/>
    <w:semiHidden/>
    <w:rsid w:val="00A36416"/>
    <w:pPr>
      <w:ind w:left="849" w:hanging="283"/>
      <w:contextualSpacing/>
    </w:pPr>
  </w:style>
  <w:style w:type="paragraph" w:styleId="Lista4">
    <w:name w:val="List 4"/>
    <w:basedOn w:val="Normalny"/>
    <w:uiPriority w:val="98"/>
    <w:semiHidden/>
    <w:rsid w:val="00A36416"/>
    <w:pPr>
      <w:ind w:left="1132" w:hanging="283"/>
      <w:contextualSpacing/>
    </w:pPr>
  </w:style>
  <w:style w:type="paragraph" w:styleId="Lista5">
    <w:name w:val="List 5"/>
    <w:basedOn w:val="Normalny"/>
    <w:uiPriority w:val="98"/>
    <w:semiHidden/>
    <w:rsid w:val="00A36416"/>
    <w:pPr>
      <w:ind w:left="1415" w:hanging="283"/>
      <w:contextualSpacing/>
    </w:pPr>
  </w:style>
  <w:style w:type="paragraph" w:styleId="Listapunktowana">
    <w:name w:val="List Bullet"/>
    <w:basedOn w:val="Normalny"/>
    <w:uiPriority w:val="98"/>
    <w:semiHidden/>
    <w:rsid w:val="00A36416"/>
    <w:pPr>
      <w:numPr>
        <w:numId w:val="8"/>
      </w:numPr>
    </w:pPr>
  </w:style>
  <w:style w:type="paragraph" w:styleId="Listapunktowana4">
    <w:name w:val="List Bullet 4"/>
    <w:basedOn w:val="Normalny"/>
    <w:uiPriority w:val="98"/>
    <w:semiHidden/>
    <w:rsid w:val="00A36416"/>
    <w:pPr>
      <w:numPr>
        <w:numId w:val="11"/>
      </w:numPr>
      <w:contextualSpacing/>
    </w:pPr>
  </w:style>
  <w:style w:type="paragraph" w:styleId="Listapunktowana5">
    <w:name w:val="List Bullet 5"/>
    <w:basedOn w:val="Normalny"/>
    <w:uiPriority w:val="98"/>
    <w:semiHidden/>
    <w:rsid w:val="00A36416"/>
    <w:pPr>
      <w:numPr>
        <w:numId w:val="12"/>
      </w:numPr>
      <w:contextualSpacing/>
    </w:pPr>
  </w:style>
  <w:style w:type="paragraph" w:styleId="Lista-kontynuacja">
    <w:name w:val="List Continue"/>
    <w:basedOn w:val="Normalny"/>
    <w:uiPriority w:val="98"/>
    <w:semiHidden/>
    <w:rsid w:val="00A36416"/>
    <w:pPr>
      <w:spacing w:after="120"/>
      <w:ind w:left="283"/>
      <w:contextualSpacing/>
    </w:pPr>
  </w:style>
  <w:style w:type="paragraph" w:styleId="Lista-kontynuacja2">
    <w:name w:val="List Continue 2"/>
    <w:basedOn w:val="Normalny"/>
    <w:uiPriority w:val="98"/>
    <w:semiHidden/>
    <w:rsid w:val="00A36416"/>
    <w:pPr>
      <w:spacing w:after="120"/>
      <w:ind w:left="566"/>
      <w:contextualSpacing/>
    </w:pPr>
  </w:style>
  <w:style w:type="paragraph" w:styleId="Lista-kontynuacja3">
    <w:name w:val="List Continue 3"/>
    <w:basedOn w:val="Normalny"/>
    <w:uiPriority w:val="98"/>
    <w:semiHidden/>
    <w:rsid w:val="00A36416"/>
    <w:pPr>
      <w:spacing w:after="120"/>
      <w:ind w:left="849"/>
      <w:contextualSpacing/>
    </w:pPr>
  </w:style>
  <w:style w:type="paragraph" w:styleId="Lista-kontynuacja4">
    <w:name w:val="List Continue 4"/>
    <w:basedOn w:val="Normalny"/>
    <w:uiPriority w:val="98"/>
    <w:semiHidden/>
    <w:rsid w:val="00A36416"/>
    <w:pPr>
      <w:spacing w:after="120"/>
      <w:ind w:left="1132"/>
      <w:contextualSpacing/>
    </w:pPr>
  </w:style>
  <w:style w:type="paragraph" w:styleId="Lista-kontynuacja5">
    <w:name w:val="List Continue 5"/>
    <w:basedOn w:val="Normalny"/>
    <w:uiPriority w:val="98"/>
    <w:semiHidden/>
    <w:rsid w:val="00A36416"/>
    <w:pPr>
      <w:spacing w:after="120"/>
      <w:ind w:left="1415"/>
      <w:contextualSpacing/>
    </w:pPr>
  </w:style>
  <w:style w:type="paragraph" w:styleId="Listanumerowana">
    <w:name w:val="List Number"/>
    <w:basedOn w:val="Normalny"/>
    <w:uiPriority w:val="98"/>
    <w:semiHidden/>
    <w:rsid w:val="00A36416"/>
    <w:pPr>
      <w:numPr>
        <w:numId w:val="13"/>
      </w:numPr>
      <w:contextualSpacing/>
    </w:pPr>
  </w:style>
  <w:style w:type="paragraph" w:styleId="Listanumerowana2">
    <w:name w:val="List Number 2"/>
    <w:basedOn w:val="Normalny"/>
    <w:uiPriority w:val="98"/>
    <w:semiHidden/>
    <w:rsid w:val="00A36416"/>
    <w:pPr>
      <w:numPr>
        <w:numId w:val="14"/>
      </w:numPr>
      <w:contextualSpacing/>
    </w:pPr>
  </w:style>
  <w:style w:type="paragraph" w:styleId="Listanumerowana3">
    <w:name w:val="List Number 3"/>
    <w:basedOn w:val="Normalny"/>
    <w:uiPriority w:val="98"/>
    <w:semiHidden/>
    <w:rsid w:val="00A36416"/>
    <w:pPr>
      <w:numPr>
        <w:numId w:val="15"/>
      </w:numPr>
      <w:contextualSpacing/>
    </w:pPr>
  </w:style>
  <w:style w:type="paragraph" w:styleId="Listanumerowana4">
    <w:name w:val="List Number 4"/>
    <w:basedOn w:val="Normalny"/>
    <w:uiPriority w:val="98"/>
    <w:semiHidden/>
    <w:rsid w:val="00A36416"/>
    <w:pPr>
      <w:numPr>
        <w:numId w:val="16"/>
      </w:numPr>
      <w:contextualSpacing/>
    </w:pPr>
  </w:style>
  <w:style w:type="paragraph" w:styleId="Listanumerowana5">
    <w:name w:val="List Number 5"/>
    <w:basedOn w:val="Normalny"/>
    <w:uiPriority w:val="98"/>
    <w:semiHidden/>
    <w:rsid w:val="00A36416"/>
    <w:pPr>
      <w:numPr>
        <w:numId w:val="17"/>
      </w:numPr>
      <w:contextualSpacing/>
    </w:pPr>
  </w:style>
  <w:style w:type="paragraph" w:styleId="Tekstmakra">
    <w:name w:val="macro"/>
    <w:link w:val="TekstmakraZnak"/>
    <w:uiPriority w:val="98"/>
    <w:semiHidden/>
    <w:rsid w:val="00A3641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A36416"/>
    <w:rPr>
      <w:rFonts w:ascii="Consolas" w:eastAsiaTheme="minorEastAsia" w:hAnsi="Consolas" w:cs="Consolas"/>
      <w:sz w:val="20"/>
      <w:szCs w:val="20"/>
    </w:rPr>
  </w:style>
  <w:style w:type="table" w:styleId="redniasiatka1">
    <w:name w:val="Medium Grid 1"/>
    <w:basedOn w:val="Standardowy"/>
    <w:uiPriority w:val="67"/>
    <w:semiHidden/>
    <w:rsid w:val="00A3641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3641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3641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3641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A3641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3641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3641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A3641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3641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3641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3641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A3641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3641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3641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A3641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3641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3641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3641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A3641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3641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3641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3641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A3641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3641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3641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3641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3641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3641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3641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3641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3641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3641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3641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3641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3641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3641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A3641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A36416"/>
    <w:rPr>
      <w:rFonts w:asciiTheme="majorHAnsi" w:eastAsiaTheme="majorEastAsia" w:hAnsiTheme="majorHAnsi" w:cstheme="majorBidi"/>
      <w:sz w:val="24"/>
      <w:szCs w:val="24"/>
      <w:shd w:val="pct20" w:color="auto" w:fill="auto"/>
      <w:lang w:val="fr-FR"/>
    </w:rPr>
  </w:style>
  <w:style w:type="paragraph" w:styleId="NormalnyWeb">
    <w:name w:val="Normal (Web)"/>
    <w:basedOn w:val="Normalny"/>
    <w:uiPriority w:val="98"/>
    <w:semiHidden/>
    <w:rsid w:val="00A36416"/>
    <w:rPr>
      <w:rFonts w:ascii="Times New Roman" w:hAnsi="Times New Roman" w:cs="Times New Roman"/>
    </w:rPr>
  </w:style>
  <w:style w:type="paragraph" w:styleId="Wcicienormalne">
    <w:name w:val="Normal Indent"/>
    <w:basedOn w:val="Normalny"/>
    <w:uiPriority w:val="98"/>
    <w:semiHidden/>
    <w:rsid w:val="00A36416"/>
    <w:pPr>
      <w:ind w:left="720"/>
    </w:pPr>
  </w:style>
  <w:style w:type="paragraph" w:styleId="Nagweknotatki">
    <w:name w:val="Note Heading"/>
    <w:basedOn w:val="Normalny"/>
    <w:next w:val="Normalny"/>
    <w:link w:val="NagweknotatkiZnak"/>
    <w:uiPriority w:val="98"/>
    <w:semiHidden/>
    <w:rsid w:val="00A36416"/>
  </w:style>
  <w:style w:type="character" w:customStyle="1" w:styleId="NagweknotatkiZnak">
    <w:name w:val="Nagłówek notatki Znak"/>
    <w:basedOn w:val="Domylnaczcionkaakapitu"/>
    <w:link w:val="Nagweknotatki"/>
    <w:uiPriority w:val="98"/>
    <w:semiHidden/>
    <w:rsid w:val="00A36416"/>
    <w:rPr>
      <w:sz w:val="24"/>
      <w:szCs w:val="24"/>
      <w:lang w:val="fr-FR"/>
    </w:rPr>
  </w:style>
  <w:style w:type="character" w:styleId="Tekstzastpczy">
    <w:name w:val="Placeholder Text"/>
    <w:basedOn w:val="Domylnaczcionkaakapitu"/>
    <w:uiPriority w:val="98"/>
    <w:semiHidden/>
    <w:rsid w:val="00A36416"/>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A36416"/>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A36416"/>
    <w:rPr>
      <w:rFonts w:ascii="Consolas" w:hAnsi="Consolas" w:cs="Consolas"/>
      <w:sz w:val="21"/>
      <w:szCs w:val="21"/>
      <w:lang w:val="fr-FR"/>
    </w:rPr>
  </w:style>
  <w:style w:type="paragraph" w:styleId="Zwrotgrzecznociowy">
    <w:name w:val="Salutation"/>
    <w:basedOn w:val="Normalny"/>
    <w:next w:val="Normalny"/>
    <w:link w:val="ZwrotgrzecznociowyZnak"/>
    <w:uiPriority w:val="98"/>
    <w:semiHidden/>
    <w:rsid w:val="00A36416"/>
  </w:style>
  <w:style w:type="character" w:customStyle="1" w:styleId="ZwrotgrzecznociowyZnak">
    <w:name w:val="Zwrot grzecznościowy Znak"/>
    <w:basedOn w:val="Domylnaczcionkaakapitu"/>
    <w:link w:val="Zwrotgrzecznociowy"/>
    <w:uiPriority w:val="98"/>
    <w:semiHidden/>
    <w:rsid w:val="00A36416"/>
    <w:rPr>
      <w:sz w:val="24"/>
      <w:szCs w:val="24"/>
      <w:lang w:val="fr-FR"/>
    </w:rPr>
  </w:style>
  <w:style w:type="paragraph" w:styleId="Podpis">
    <w:name w:val="Signature"/>
    <w:basedOn w:val="Normalny"/>
    <w:link w:val="PodpisZnak"/>
    <w:uiPriority w:val="98"/>
    <w:semiHidden/>
    <w:rsid w:val="00A36416"/>
    <w:pPr>
      <w:ind w:left="4252"/>
    </w:pPr>
  </w:style>
  <w:style w:type="character" w:customStyle="1" w:styleId="PodpisZnak">
    <w:name w:val="Podpis Znak"/>
    <w:basedOn w:val="Domylnaczcionkaakapitu"/>
    <w:link w:val="Podpis"/>
    <w:uiPriority w:val="98"/>
    <w:semiHidden/>
    <w:rsid w:val="00A36416"/>
    <w:rPr>
      <w:sz w:val="24"/>
      <w:szCs w:val="24"/>
      <w:lang w:val="fr-FR"/>
    </w:rPr>
  </w:style>
  <w:style w:type="table" w:styleId="Tabela-Efekty3D1">
    <w:name w:val="Table 3D effects 1"/>
    <w:basedOn w:val="Standardowy"/>
    <w:uiPriority w:val="99"/>
    <w:semiHidden/>
    <w:unhideWhenUsed/>
    <w:rsid w:val="00A3641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A3641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A3641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3641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3641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3641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3641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3641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3641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3641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3641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3641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3641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3641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3641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3641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3641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3641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3641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3641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3641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3641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3641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3641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3641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3641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3641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3641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3641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3641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3641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3641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3641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A36416"/>
    <w:pPr>
      <w:ind w:left="240" w:hanging="240"/>
    </w:pPr>
  </w:style>
  <w:style w:type="paragraph" w:styleId="Spisilustracji">
    <w:name w:val="table of figures"/>
    <w:basedOn w:val="Normalny"/>
    <w:next w:val="Normalny"/>
    <w:uiPriority w:val="98"/>
    <w:semiHidden/>
    <w:rsid w:val="00A36416"/>
  </w:style>
  <w:style w:type="table" w:styleId="Tabela-Profesjonalny">
    <w:name w:val="Table Professional"/>
    <w:basedOn w:val="Standardowy"/>
    <w:uiPriority w:val="99"/>
    <w:semiHidden/>
    <w:unhideWhenUsed/>
    <w:rsid w:val="00A3641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3641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3641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3641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3641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3641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3641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3641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3641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3641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A3641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A3641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A36416"/>
    <w:pPr>
      <w:spacing w:after="100"/>
      <w:ind w:left="1680"/>
    </w:pPr>
  </w:style>
  <w:style w:type="paragraph" w:styleId="Spistreci9">
    <w:name w:val="toc 9"/>
    <w:basedOn w:val="Normalny"/>
    <w:next w:val="Normalny"/>
    <w:autoRedefine/>
    <w:uiPriority w:val="98"/>
    <w:semiHidden/>
    <w:rsid w:val="00A36416"/>
    <w:pPr>
      <w:spacing w:after="100"/>
      <w:ind w:left="1920"/>
    </w:pPr>
  </w:style>
  <w:style w:type="paragraph" w:customStyle="1" w:styleId="ECHRFooter">
    <w:name w:val="ECHR_Footer"/>
    <w:aliases w:val="Footer_ECHR"/>
    <w:basedOn w:val="Stopka"/>
    <w:uiPriority w:val="57"/>
    <w:semiHidden/>
    <w:rsid w:val="00F9130D"/>
    <w:rPr>
      <w:sz w:val="8"/>
    </w:rPr>
  </w:style>
  <w:style w:type="paragraph" w:customStyle="1" w:styleId="ECHRFooterLine">
    <w:name w:val="ECHR_Footer_Line"/>
    <w:aliases w:val="_Footer_Line"/>
    <w:basedOn w:val="Normalny"/>
    <w:next w:val="Normalny"/>
    <w:uiPriority w:val="29"/>
    <w:semiHidden/>
    <w:rsid w:val="00A36416"/>
    <w:pPr>
      <w:pBdr>
        <w:top w:val="single" w:sz="6" w:space="1" w:color="5F5F5F"/>
      </w:pBdr>
      <w:tabs>
        <w:tab w:val="center" w:pos="3686"/>
        <w:tab w:val="right" w:pos="7371"/>
      </w:tabs>
      <w:ind w:left="-1474" w:right="-1474"/>
    </w:pPr>
    <w:rPr>
      <w:color w:val="5F5F5F"/>
    </w:rPr>
  </w:style>
  <w:style w:type="paragraph" w:customStyle="1" w:styleId="ECHRBullet2">
    <w:name w:val="ECHR_Bullet_2"/>
    <w:aliases w:val="_Bul_2"/>
    <w:basedOn w:val="ECHRBullet1"/>
    <w:uiPriority w:val="23"/>
    <w:semiHidden/>
    <w:rsid w:val="00A36416"/>
    <w:pPr>
      <w:numPr>
        <w:ilvl w:val="1"/>
      </w:numPr>
    </w:pPr>
  </w:style>
  <w:style w:type="paragraph" w:customStyle="1" w:styleId="ECHRBullet3">
    <w:name w:val="ECHR_Bullet_3"/>
    <w:aliases w:val="_Bul_3"/>
    <w:basedOn w:val="ECHRBullet2"/>
    <w:uiPriority w:val="23"/>
    <w:semiHidden/>
    <w:rsid w:val="00A36416"/>
    <w:pPr>
      <w:numPr>
        <w:ilvl w:val="2"/>
      </w:numPr>
    </w:pPr>
  </w:style>
  <w:style w:type="paragraph" w:customStyle="1" w:styleId="ECHRBullet4">
    <w:name w:val="ECHR_Bullet_4"/>
    <w:aliases w:val="_Bul_4"/>
    <w:basedOn w:val="ECHRBullet3"/>
    <w:uiPriority w:val="23"/>
    <w:semiHidden/>
    <w:rsid w:val="00A36416"/>
    <w:pPr>
      <w:numPr>
        <w:ilvl w:val="3"/>
      </w:numPr>
    </w:pPr>
  </w:style>
  <w:style w:type="paragraph" w:customStyle="1" w:styleId="ECHRConfidential">
    <w:name w:val="ECHR_Confidential"/>
    <w:aliases w:val="_Confidential"/>
    <w:basedOn w:val="Normalny"/>
    <w:next w:val="Normalny"/>
    <w:uiPriority w:val="42"/>
    <w:semiHidden/>
    <w:qFormat/>
    <w:rsid w:val="00A36416"/>
    <w:pPr>
      <w:jc w:val="right"/>
    </w:pPr>
    <w:rPr>
      <w:color w:val="C00000"/>
      <w:sz w:val="20"/>
    </w:rPr>
  </w:style>
  <w:style w:type="paragraph" w:customStyle="1" w:styleId="ECHRDecisionBody">
    <w:name w:val="ECHR_Decision_Body"/>
    <w:aliases w:val="_Decision_Body"/>
    <w:basedOn w:val="NormalJustified"/>
    <w:uiPriority w:val="54"/>
    <w:semiHidden/>
    <w:rsid w:val="00A36416"/>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A36416"/>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A36416"/>
    <w:rPr>
      <w:rFonts w:ascii="Arial" w:hAnsi="Arial"/>
      <w:i/>
      <w:color w:val="002856"/>
      <w:sz w:val="32"/>
      <w:szCs w:val="24"/>
      <w:lang w:val="fr-FR"/>
    </w:rPr>
  </w:style>
  <w:style w:type="table" w:styleId="Tabelasiatki1jasna">
    <w:name w:val="Grid Table 1 Light"/>
    <w:basedOn w:val="Standardowy"/>
    <w:uiPriority w:val="46"/>
    <w:semiHidden/>
    <w:rsid w:val="003418F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CHRFooterLineLandscape">
    <w:name w:val="ECHR_Footer_Line_Landscape"/>
    <w:aliases w:val="_Footer_Line_Landscape"/>
    <w:basedOn w:val="Normalny"/>
    <w:uiPriority w:val="29"/>
    <w:semiHidden/>
    <w:rsid w:val="00A3641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ny"/>
    <w:uiPriority w:val="8"/>
    <w:semiHidden/>
    <w:qFormat/>
    <w:rsid w:val="00A36416"/>
    <w:pPr>
      <w:ind w:left="567" w:hanging="567"/>
      <w:jc w:val="both"/>
    </w:pPr>
  </w:style>
  <w:style w:type="paragraph" w:customStyle="1" w:styleId="ECHRHeading9">
    <w:name w:val="ECHR_Heading_9"/>
    <w:aliases w:val="_Head_9"/>
    <w:basedOn w:val="Nagwek9"/>
    <w:uiPriority w:val="17"/>
    <w:semiHidden/>
    <w:rsid w:val="00A36416"/>
    <w:pPr>
      <w:keepNext/>
      <w:keepLines/>
      <w:numPr>
        <w:ilvl w:val="8"/>
        <w:numId w:val="1"/>
      </w:numPr>
      <w:spacing w:before="100" w:beforeAutospacing="1"/>
      <w:contextualSpacing/>
      <w:jc w:val="both"/>
    </w:pPr>
    <w:rPr>
      <w:i w:val="0"/>
      <w:sz w:val="18"/>
    </w:rPr>
  </w:style>
  <w:style w:type="paragraph" w:customStyle="1" w:styleId="ECHRHeaderLandscape">
    <w:name w:val="ECHR_Header_Landscape"/>
    <w:aliases w:val="_Header_Landscape"/>
    <w:basedOn w:val="JuHeader"/>
    <w:uiPriority w:val="29"/>
    <w:semiHidden/>
    <w:rsid w:val="00A36416"/>
    <w:pPr>
      <w:tabs>
        <w:tab w:val="center" w:pos="6146"/>
        <w:tab w:val="right" w:pos="13778"/>
      </w:tabs>
      <w:ind w:left="-1474" w:right="-1474"/>
    </w:pPr>
  </w:style>
  <w:style w:type="paragraph" w:customStyle="1" w:styleId="ECHRParaIndent">
    <w:name w:val="ECHR_Para_Indent"/>
    <w:aliases w:val="_Indent"/>
    <w:basedOn w:val="Normalny"/>
    <w:uiPriority w:val="7"/>
    <w:semiHidden/>
    <w:qFormat/>
    <w:rsid w:val="00A36416"/>
    <w:pPr>
      <w:spacing w:before="120" w:after="120"/>
      <w:ind w:left="567"/>
      <w:jc w:val="both"/>
    </w:pPr>
  </w:style>
  <w:style w:type="paragraph" w:customStyle="1" w:styleId="ECHRLine">
    <w:name w:val="ECHR_Line"/>
    <w:aliases w:val="_Line"/>
    <w:basedOn w:val="NormalJustified"/>
    <w:next w:val="Normalny"/>
    <w:uiPriority w:val="46"/>
    <w:semiHidden/>
    <w:rsid w:val="00A36416"/>
    <w:pPr>
      <w:pBdr>
        <w:bottom w:val="single" w:sz="12" w:space="1" w:color="949494" w:themeColor="text2" w:themeShade="BF"/>
      </w:pBdr>
      <w:spacing w:after="120"/>
    </w:pPr>
    <w:rPr>
      <w:sz w:val="12"/>
    </w:rPr>
  </w:style>
  <w:style w:type="paragraph" w:customStyle="1" w:styleId="DecList">
    <w:name w:val="Dec_List"/>
    <w:aliases w:val="_List"/>
    <w:basedOn w:val="JuList"/>
    <w:uiPriority w:val="22"/>
    <w:rsid w:val="00A36416"/>
    <w:pPr>
      <w:numPr>
        <w:numId w:val="0"/>
      </w:numPr>
      <w:ind w:left="284"/>
    </w:pPr>
  </w:style>
  <w:style w:type="paragraph" w:customStyle="1" w:styleId="ECHRNumberedList1">
    <w:name w:val="ECHR_Numbered_List_1"/>
    <w:aliases w:val="_Num_1"/>
    <w:basedOn w:val="Normalny"/>
    <w:uiPriority w:val="23"/>
    <w:semiHidden/>
    <w:qFormat/>
    <w:rsid w:val="00A36416"/>
    <w:pPr>
      <w:numPr>
        <w:numId w:val="7"/>
      </w:numPr>
      <w:spacing w:before="60" w:after="60"/>
    </w:pPr>
  </w:style>
  <w:style w:type="paragraph" w:customStyle="1" w:styleId="ECHRNumberedList2">
    <w:name w:val="ECHR_Numbered_List_2"/>
    <w:aliases w:val="_Num_2"/>
    <w:basedOn w:val="ECHRNumberedList1"/>
    <w:uiPriority w:val="23"/>
    <w:semiHidden/>
    <w:rsid w:val="00A36416"/>
    <w:pPr>
      <w:numPr>
        <w:ilvl w:val="1"/>
      </w:numPr>
    </w:pPr>
  </w:style>
  <w:style w:type="paragraph" w:customStyle="1" w:styleId="ECHRNumberedList3">
    <w:name w:val="ECHR_Numbered_List_3"/>
    <w:aliases w:val="_Num_3"/>
    <w:basedOn w:val="ECHRNumberedList2"/>
    <w:uiPriority w:val="23"/>
    <w:semiHidden/>
    <w:rsid w:val="00A36416"/>
    <w:pPr>
      <w:numPr>
        <w:ilvl w:val="2"/>
      </w:numPr>
    </w:pPr>
  </w:style>
  <w:style w:type="paragraph" w:customStyle="1" w:styleId="ECHRPlaceholder">
    <w:name w:val="ECHR_Placeholder"/>
    <w:aliases w:val="_Placeholder"/>
    <w:basedOn w:val="JuSigned"/>
    <w:uiPriority w:val="31"/>
    <w:rsid w:val="00A36416"/>
    <w:rPr>
      <w:color w:val="FFFFFF"/>
    </w:rPr>
  </w:style>
  <w:style w:type="character" w:customStyle="1" w:styleId="ECHRRed">
    <w:name w:val="ECHR_Red"/>
    <w:aliases w:val="_Red"/>
    <w:basedOn w:val="Domylnaczcionkaakapitu"/>
    <w:uiPriority w:val="15"/>
    <w:semiHidden/>
    <w:qFormat/>
    <w:rsid w:val="00A36416"/>
    <w:rPr>
      <w:color w:val="C00000" w:themeColor="accent2"/>
    </w:rPr>
  </w:style>
  <w:style w:type="paragraph" w:customStyle="1" w:styleId="ECHRHeaderDate">
    <w:name w:val="ECHR_Header_Date"/>
    <w:aliases w:val="_Ref_Date"/>
    <w:basedOn w:val="Normalny"/>
    <w:uiPriority w:val="44"/>
    <w:semiHidden/>
    <w:qFormat/>
    <w:rsid w:val="00A36416"/>
    <w:pPr>
      <w:jc w:val="right"/>
    </w:pPr>
    <w:rPr>
      <w:sz w:val="20"/>
    </w:rPr>
  </w:style>
  <w:style w:type="paragraph" w:customStyle="1" w:styleId="ECHRHeaderRefIt">
    <w:name w:val="ECHR_Header_Ref_It"/>
    <w:aliases w:val="_Ref_Ital"/>
    <w:basedOn w:val="Normalny"/>
    <w:next w:val="ECHRHeaderDate"/>
    <w:uiPriority w:val="43"/>
    <w:semiHidden/>
    <w:qFormat/>
    <w:rsid w:val="00A36416"/>
    <w:pPr>
      <w:jc w:val="right"/>
    </w:pPr>
    <w:rPr>
      <w:i/>
      <w:sz w:val="20"/>
    </w:rPr>
  </w:style>
  <w:style w:type="paragraph" w:customStyle="1" w:styleId="ECHRSpacer">
    <w:name w:val="ECHR_Spacer"/>
    <w:aliases w:val="_Spacer"/>
    <w:basedOn w:val="Normalny"/>
    <w:uiPriority w:val="45"/>
    <w:semiHidden/>
    <w:rsid w:val="00A36416"/>
    <w:rPr>
      <w:sz w:val="4"/>
    </w:rPr>
  </w:style>
  <w:style w:type="paragraph" w:customStyle="1" w:styleId="ECHRTitleCentre1">
    <w:name w:val="ECHR_Title_Centre_1"/>
    <w:aliases w:val="_Title_C_1"/>
    <w:basedOn w:val="Normalny"/>
    <w:next w:val="Normalny"/>
    <w:uiPriority w:val="26"/>
    <w:semiHidden/>
    <w:qFormat/>
    <w:rsid w:val="00A3641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A3641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A3641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A36416"/>
    <w:pPr>
      <w:outlineLvl w:val="0"/>
    </w:pPr>
  </w:style>
  <w:style w:type="paragraph" w:customStyle="1" w:styleId="ECHRTitle1">
    <w:name w:val="ECHR_Title_1"/>
    <w:aliases w:val="_Title_L_1"/>
    <w:basedOn w:val="Normalny"/>
    <w:next w:val="Normalny"/>
    <w:uiPriority w:val="28"/>
    <w:semiHidden/>
    <w:qFormat/>
    <w:rsid w:val="00A3641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A3641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A36416"/>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ny"/>
    <w:uiPriority w:val="27"/>
    <w:semiHidden/>
    <w:qFormat/>
    <w:rsid w:val="00A36416"/>
    <w:pPr>
      <w:outlineLvl w:val="0"/>
    </w:pPr>
  </w:style>
  <w:style w:type="table" w:customStyle="1" w:styleId="ECHRTable2">
    <w:name w:val="ECHR_Table_2"/>
    <w:basedOn w:val="Standardowy"/>
    <w:uiPriority w:val="99"/>
    <w:rsid w:val="00A3641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A3641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Grey">
    <w:name w:val="ECHR_Table_Grey"/>
    <w:basedOn w:val="Standardowy"/>
    <w:uiPriority w:val="99"/>
    <w:rsid w:val="00A3641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styleId="Tabelasiatki1jasnaakcent1">
    <w:name w:val="Grid Table 1 Light Accent 1"/>
    <w:basedOn w:val="Standardowy"/>
    <w:uiPriority w:val="46"/>
    <w:semiHidden/>
    <w:rsid w:val="003418F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character" w:customStyle="1" w:styleId="JuParaChar">
    <w:name w:val="Ju_Para Char"/>
    <w:aliases w:val="_Para Char"/>
    <w:link w:val="JuPara"/>
    <w:uiPriority w:val="4"/>
    <w:rsid w:val="00F37411"/>
    <w:rPr>
      <w:sz w:val="24"/>
      <w:szCs w:val="24"/>
      <w:lang w:val="fr-FR"/>
    </w:rPr>
  </w:style>
  <w:style w:type="character" w:customStyle="1" w:styleId="JuParaCar">
    <w:name w:val="Ju_Para Car"/>
    <w:basedOn w:val="Domylnaczcionkaakapitu"/>
    <w:rsid w:val="00F37411"/>
    <w:rPr>
      <w:sz w:val="24"/>
      <w:lang w:val="en-GB" w:eastAsia="fr-FR" w:bidi="ar-SA"/>
    </w:rPr>
  </w:style>
  <w:style w:type="table" w:styleId="Tabelasiatki1jasnaakcent2">
    <w:name w:val="Grid Table 1 Light Accent 2"/>
    <w:basedOn w:val="Standardowy"/>
    <w:uiPriority w:val="46"/>
    <w:semiHidden/>
    <w:rsid w:val="003418F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3418F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3418F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3418F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3418F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3418F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3418F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3418F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3418F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3418F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3418F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3418F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3418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3418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3418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3418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3418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3418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3418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3418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3418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3418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3418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3418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3418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3418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341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341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341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341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341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341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3418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3418F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3418F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3418F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3418F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3418F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3418F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3418F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3418F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3418F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3418F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3418F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3418F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3418F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3418F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3418F7"/>
    <w:rPr>
      <w:color w:val="2B579A"/>
      <w:shd w:val="clear" w:color="auto" w:fill="E1DFDD"/>
    </w:rPr>
  </w:style>
  <w:style w:type="table" w:styleId="Tabelalisty1jasna">
    <w:name w:val="List Table 1 Light"/>
    <w:basedOn w:val="Standardowy"/>
    <w:uiPriority w:val="46"/>
    <w:semiHidden/>
    <w:rsid w:val="003418F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3418F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3418F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3418F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3418F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3418F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3418F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3418F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3418F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3418F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3418F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3418F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3418F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3418F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3418F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3418F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3418F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3418F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3418F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3418F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3418F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3418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3418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3418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3418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3418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3418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3418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3418F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3418F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3418F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3418F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3418F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3418F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3418F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3418F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3418F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3418F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3418F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3418F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3418F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3418F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3418F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3418F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3418F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3418F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3418F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3418F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3418F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3418F7"/>
    <w:rPr>
      <w:color w:val="2B579A"/>
      <w:shd w:val="clear" w:color="auto" w:fill="E1DFDD"/>
    </w:rPr>
  </w:style>
  <w:style w:type="table" w:styleId="Zwykatabela1">
    <w:name w:val="Plain Table 1"/>
    <w:basedOn w:val="Standardowy"/>
    <w:uiPriority w:val="41"/>
    <w:semiHidden/>
    <w:rsid w:val="003418F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3418F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3418F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3418F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3418F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3418F7"/>
    <w:rPr>
      <w:u w:val="dotted"/>
    </w:rPr>
  </w:style>
  <w:style w:type="character" w:customStyle="1" w:styleId="SmartLink1">
    <w:name w:val="SmartLink1"/>
    <w:basedOn w:val="Domylnaczcionkaakapitu"/>
    <w:uiPriority w:val="99"/>
    <w:semiHidden/>
    <w:unhideWhenUsed/>
    <w:rsid w:val="003418F7"/>
    <w:rPr>
      <w:color w:val="0000FF"/>
      <w:u w:val="single"/>
      <w:shd w:val="clear" w:color="auto" w:fill="F3F2F1"/>
    </w:rPr>
  </w:style>
  <w:style w:type="table" w:styleId="Siatkatabelijasna">
    <w:name w:val="Grid Table Light"/>
    <w:basedOn w:val="Standardowy"/>
    <w:uiPriority w:val="40"/>
    <w:semiHidden/>
    <w:rsid w:val="003418F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3418F7"/>
    <w:rPr>
      <w:color w:val="605E5C"/>
      <w:shd w:val="clear" w:color="auto" w:fill="E1DFDD"/>
    </w:rPr>
  </w:style>
  <w:style w:type="paragraph" w:customStyle="1" w:styleId="DummyStyle">
    <w:name w:val="Dummy_Style"/>
    <w:aliases w:val="_Dummy"/>
    <w:basedOn w:val="Normalny"/>
    <w:semiHidden/>
    <w:qFormat/>
    <w:rsid w:val="00A36416"/>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5808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31A374-4FA1-45D5-BD96-93756606A7E6}">
  <ds:schemaRefs>
    <ds:schemaRef ds:uri="http://schemas.openxmlformats.org/officeDocument/2006/bibliography"/>
  </ds:schemaRefs>
</ds:datastoreItem>
</file>

<file path=customXml/itemProps2.xml><?xml version="1.0" encoding="utf-8"?>
<ds:datastoreItem xmlns:ds="http://schemas.openxmlformats.org/officeDocument/2006/customXml" ds:itemID="{513704C4-AE4F-408A-8F0F-462D86CC89E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B6E869A-BDB8-4681-9FA2-AC978EDD9872}">
  <ds:schemaRefs>
    <ds:schemaRef ds:uri="http://schemas.microsoft.com/sharepoint/v3/contenttype/forms"/>
  </ds:schemaRefs>
</ds:datastoreItem>
</file>

<file path=customXml/itemProps4.xml><?xml version="1.0" encoding="utf-8"?>
<ds:datastoreItem xmlns:ds="http://schemas.openxmlformats.org/officeDocument/2006/customXml" ds:itemID="{2732FFD7-464A-43BC-A2F8-034E4E15CB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10251</Words>
  <Characters>61510</Characters>
  <Application>Microsoft Office Word</Application>
  <DocSecurity>0</DocSecurity>
  <Lines>512</Lines>
  <Paragraphs>143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71618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DCF</dc:subject>
  <dc:creator/>
  <cp:lastModifiedBy/>
  <cp:revision>1</cp:revision>
  <dcterms:created xsi:type="dcterms:W3CDTF">2023-06-07T11:57:00Z</dcterms:created>
  <dcterms:modified xsi:type="dcterms:W3CDTF">2023-06-07T11:57:00Z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46505/19</vt:lpwstr>
  </property>
  <property fmtid="{D5CDD505-2E9C-101B-9397-08002B2CF9AE}" pid="4" name="CASEID">
    <vt:lpwstr>1474531</vt:lpwstr>
  </property>
  <property fmtid="{D5CDD505-2E9C-101B-9397-08002B2CF9AE}" pid="5" name="ContentTypeId">
    <vt:lpwstr>0x010100558EB02BDB9E204AB350EDD385B68E10</vt:lpwstr>
  </property>
</Properties>
</file>