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CC1E7B" w14:textId="6AD86C98" w:rsidR="002934D0" w:rsidRPr="00E4522F" w:rsidRDefault="002934D0" w:rsidP="00E4522F">
      <w:pPr>
        <w:jc w:val="center"/>
      </w:pPr>
    </w:p>
    <w:p w14:paraId="5DBA1AD1" w14:textId="77777777" w:rsidR="0098410D" w:rsidRPr="00E4522F" w:rsidRDefault="0098410D" w:rsidP="00E4522F">
      <w:pPr>
        <w:jc w:val="center"/>
      </w:pPr>
    </w:p>
    <w:p w14:paraId="47A39E5D" w14:textId="1093ECB7" w:rsidR="0098410D" w:rsidRPr="00E4522F" w:rsidRDefault="008E43F2" w:rsidP="00E4522F">
      <w:pPr>
        <w:pStyle w:val="DecHTitle"/>
      </w:pPr>
      <w:r>
        <w:t>SEKCJA</w:t>
      </w:r>
      <w:r w:rsidR="0085612A">
        <w:t xml:space="preserve"> DRUGA</w:t>
      </w:r>
    </w:p>
    <w:p w14:paraId="6AFF38D7" w14:textId="4B990CCC" w:rsidR="008E6217" w:rsidRPr="00E4522F" w:rsidRDefault="008E6217" w:rsidP="00E4522F">
      <w:pPr>
        <w:pStyle w:val="JuTitle"/>
        <w:spacing w:before="1080"/>
      </w:pPr>
      <w:r>
        <w:t>SPRAWA E.G. przeciwko REPUBLICE MOŁDAWII</w:t>
      </w:r>
    </w:p>
    <w:p w14:paraId="5C346EE3" w14:textId="7C4E3DB0" w:rsidR="00D74888" w:rsidRPr="00E4522F" w:rsidRDefault="008E6217" w:rsidP="00E4522F">
      <w:pPr>
        <w:pStyle w:val="ECHRCoverTitle4"/>
      </w:pPr>
      <w:r>
        <w:t>(Skarga nr 37882/13)</w:t>
      </w:r>
    </w:p>
    <w:p w14:paraId="1DC301D4" w14:textId="77777777" w:rsidR="0098410D" w:rsidRPr="00E4522F" w:rsidRDefault="0098410D" w:rsidP="00E4522F">
      <w:pPr>
        <w:pStyle w:val="DecHCase"/>
        <w:spacing w:after="360"/>
      </w:pPr>
    </w:p>
    <w:p w14:paraId="5D29D93C" w14:textId="3345C8CE" w:rsidR="0098410D" w:rsidRPr="00E4522F" w:rsidRDefault="0098410D" w:rsidP="00E4522F">
      <w:pPr>
        <w:pStyle w:val="DecHCase"/>
      </w:pPr>
      <w:r>
        <w:t>WYROK</w:t>
      </w:r>
      <w:r>
        <w:br/>
      </w:r>
    </w:p>
    <w:p w14:paraId="4B8D852B" w14:textId="513B5878" w:rsidR="00C02051" w:rsidRPr="00E4522F" w:rsidRDefault="00C02051" w:rsidP="00E4522F">
      <w:pPr>
        <w:pBdr>
          <w:top w:val="single" w:sz="4" w:space="1" w:color="auto"/>
          <w:left w:val="single" w:sz="4" w:space="4" w:color="auto"/>
          <w:bottom w:val="single" w:sz="4" w:space="1" w:color="auto"/>
          <w:right w:val="single" w:sz="4" w:space="4" w:color="auto"/>
        </w:pBdr>
        <w:jc w:val="both"/>
        <w:rPr>
          <w:sz w:val="22"/>
          <w:szCs w:val="22"/>
        </w:rPr>
      </w:pPr>
      <w:r>
        <w:rPr>
          <w:sz w:val="22"/>
          <w:szCs w:val="22"/>
        </w:rPr>
        <w:t>Artykuły 3 i 8 – Naruszenie przez władze pozytywnych obowiązków proceduralnych w zakresie wykonania kary za naruszenie nietykalności cielesnej na tle seksualnym po udzieleniu, a następnie uchyleniu amnestii – Amnestia i ułaskawienie mieszczą się w zakresie prawa krajowego; nie są sprzeczne z prawem międzynarodowym, chyba że dotyczą czynów stanowiących poważne naruszenie podstawowych praw człowieka – Amnestia umożliwiająca sprawcy opuszczenie kraju – Brak koordynacji między organami państwa – Nieuzasadniona zwłoka w wydawaniu listów gończych</w:t>
      </w:r>
    </w:p>
    <w:p w14:paraId="0F3AB1E5" w14:textId="4C39420F" w:rsidR="00C02051" w:rsidRPr="00E4522F" w:rsidRDefault="00C02051" w:rsidP="00E4522F">
      <w:pPr>
        <w:pStyle w:val="JuPara"/>
        <w:pBdr>
          <w:top w:val="single" w:sz="4" w:space="1" w:color="auto"/>
          <w:left w:val="single" w:sz="4" w:space="4" w:color="auto"/>
          <w:bottom w:val="single" w:sz="4" w:space="1" w:color="auto"/>
          <w:right w:val="single" w:sz="4" w:space="4" w:color="auto"/>
        </w:pBdr>
        <w:ind w:firstLine="0"/>
        <w:rPr>
          <w:sz w:val="22"/>
          <w:szCs w:val="22"/>
        </w:rPr>
      </w:pPr>
      <w:r>
        <w:rPr>
          <w:sz w:val="22"/>
          <w:szCs w:val="22"/>
        </w:rPr>
        <w:noBreakHyphen/>
        <w:t>Art. 35 ust. 1 – Okres niewykonywania sankcji karnej uwzględniany jako całość dla celów zasady dotyczącej sześciomiesięcznego terminu</w:t>
      </w:r>
      <w:r>
        <w:rPr>
          <w:sz w:val="22"/>
          <w:szCs w:val="22"/>
        </w:rPr>
        <w:noBreakHyphen/>
        <w:t xml:space="preserve"> – Uchybienia władz nierozerwalnie ze sobą związane i stanowiące sytuację ciągłą</w:t>
      </w:r>
    </w:p>
    <w:p w14:paraId="17355118" w14:textId="77777777" w:rsidR="00C02051" w:rsidRPr="00E4522F" w:rsidRDefault="00C02051" w:rsidP="00E4522F">
      <w:pPr>
        <w:pStyle w:val="JuPara"/>
        <w:spacing w:after="240"/>
      </w:pPr>
    </w:p>
    <w:p w14:paraId="297FCDFB" w14:textId="77777777" w:rsidR="0098410D" w:rsidRPr="00E4522F" w:rsidRDefault="0098410D" w:rsidP="00E4522F">
      <w:pPr>
        <w:pStyle w:val="DecHCase"/>
      </w:pPr>
      <w:r>
        <w:t>STRASBURG</w:t>
      </w:r>
    </w:p>
    <w:p w14:paraId="270DE157" w14:textId="70A7DF6E" w:rsidR="0098410D" w:rsidRPr="00E4522F" w:rsidRDefault="008E43F2" w:rsidP="00E4522F">
      <w:pPr>
        <w:pStyle w:val="DecHCase"/>
        <w:rPr>
          <w:rFonts w:ascii="Times New Roman" w:hAnsi="Times New Roman" w:cs="Times New Roman"/>
        </w:rPr>
      </w:pPr>
      <w:r>
        <w:rPr>
          <w:rFonts w:ascii="Times New Roman" w:hAnsi="Times New Roman"/>
        </w:rPr>
        <w:t>13 kwietnia 2021 r.</w:t>
      </w:r>
    </w:p>
    <w:p w14:paraId="73336D7B" w14:textId="77777777" w:rsidR="003C2109" w:rsidRPr="00E4522F" w:rsidRDefault="003C2109" w:rsidP="00E4522F">
      <w:pPr>
        <w:pStyle w:val="JuPara"/>
      </w:pPr>
    </w:p>
    <w:p w14:paraId="155848EE" w14:textId="58AE50B8" w:rsidR="00BC3329" w:rsidRPr="00E4522F" w:rsidRDefault="00BC3329" w:rsidP="00E4522F">
      <w:pPr>
        <w:pStyle w:val="JuPara"/>
        <w:ind w:firstLine="0"/>
        <w:jc w:val="center"/>
        <w:rPr>
          <w:b/>
          <w:bCs/>
          <w:color w:val="FF0000"/>
          <w:u w:val="single"/>
        </w:rPr>
      </w:pPr>
      <w:r>
        <w:rPr>
          <w:b/>
          <w:bCs/>
          <w:color w:val="FF0000"/>
          <w:u w:val="single"/>
        </w:rPr>
        <w:t>WYROK OSTATECZNY</w:t>
      </w:r>
    </w:p>
    <w:p w14:paraId="325B8108" w14:textId="7B71CFBE" w:rsidR="00BC3329" w:rsidRPr="00E4522F" w:rsidRDefault="00BC3329" w:rsidP="00E4522F">
      <w:pPr>
        <w:pStyle w:val="JuPara"/>
        <w:jc w:val="center"/>
        <w:rPr>
          <w:b/>
          <w:bCs/>
          <w:color w:val="FF0000"/>
          <w:u w:val="single"/>
        </w:rPr>
      </w:pPr>
    </w:p>
    <w:p w14:paraId="583BA2EF" w14:textId="49903EE0" w:rsidR="00BC3329" w:rsidRPr="00E4522F" w:rsidRDefault="0085612A" w:rsidP="00E4522F">
      <w:pPr>
        <w:pStyle w:val="JuPara"/>
        <w:ind w:firstLine="0"/>
        <w:jc w:val="center"/>
        <w:rPr>
          <w:color w:val="FF0000"/>
        </w:rPr>
      </w:pPr>
      <w:r>
        <w:rPr>
          <w:color w:val="FF0000"/>
        </w:rPr>
        <w:t>13/0</w:t>
      </w:r>
      <w:r w:rsidR="00A23B60">
        <w:rPr>
          <w:color w:val="FF0000"/>
        </w:rPr>
        <w:t>7</w:t>
      </w:r>
      <w:r>
        <w:rPr>
          <w:color w:val="FF0000"/>
        </w:rPr>
        <w:t>/2021</w:t>
      </w:r>
    </w:p>
    <w:p w14:paraId="5A8A8133" w14:textId="5204172D" w:rsidR="00AC4CD4" w:rsidRPr="00E4522F" w:rsidRDefault="00AC4CD4" w:rsidP="00E4522F">
      <w:pPr>
        <w:pStyle w:val="JuPara"/>
      </w:pPr>
    </w:p>
    <w:p w14:paraId="01FA0BEB" w14:textId="77777777" w:rsidR="003C2109" w:rsidRPr="00E4522F" w:rsidRDefault="003C2109" w:rsidP="00E4522F">
      <w:pPr>
        <w:pStyle w:val="JuPara"/>
      </w:pPr>
    </w:p>
    <w:p w14:paraId="358CF3B7" w14:textId="77777777" w:rsidR="0098410D" w:rsidRPr="00E4522F" w:rsidRDefault="00AE6C8A" w:rsidP="00E4522F">
      <w:pPr>
        <w:jc w:val="both"/>
        <w:rPr>
          <w:i/>
          <w:sz w:val="22"/>
        </w:rPr>
      </w:pPr>
      <w:r>
        <w:rPr>
          <w:i/>
          <w:sz w:val="22"/>
        </w:rPr>
        <w:lastRenderedPageBreak/>
        <w:t>Wyrok ten stał się ostateczny zgodnie z warunkami określonymi w art. 44 ust. 2 Konwencji. Wyrok może podlegać korekcie wydawniczej.</w:t>
      </w:r>
    </w:p>
    <w:p w14:paraId="137C33FA" w14:textId="37AE5202" w:rsidR="003C2109" w:rsidRPr="00E4522F" w:rsidRDefault="003C2109" w:rsidP="00E4522F">
      <w:pPr>
        <w:jc w:val="both"/>
        <w:rPr>
          <w:i/>
          <w:sz w:val="22"/>
        </w:rPr>
        <w:sectPr w:rsidR="003C2109" w:rsidRPr="00E4522F"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EE2C947" w14:textId="14CFBF87" w:rsidR="0098410D" w:rsidRPr="00E4522F" w:rsidRDefault="0098410D" w:rsidP="00E4522F">
      <w:pPr>
        <w:pStyle w:val="JuCase"/>
      </w:pPr>
      <w:r>
        <w:lastRenderedPageBreak/>
        <w:t>W sprawie E.G. przeciwko Republice Mołdawii</w:t>
      </w:r>
    </w:p>
    <w:p w14:paraId="7D5058E5" w14:textId="2A1F935C" w:rsidR="009F4C8F" w:rsidRPr="00E4522F" w:rsidRDefault="009F4C8F" w:rsidP="00E4522F">
      <w:pPr>
        <w:pStyle w:val="JuPara"/>
      </w:pPr>
      <w:r>
        <w:t>Europejski Trybunał Praw Człowieka (Sekcja Druga), zasiadając jako Izba w składzie:</w:t>
      </w:r>
    </w:p>
    <w:p w14:paraId="0E6F3A90" w14:textId="3F7005B4" w:rsidR="009F4C8F" w:rsidRPr="00E4522F" w:rsidRDefault="00696F94" w:rsidP="00E4522F">
      <w:pPr>
        <w:pStyle w:val="JuJudges"/>
      </w:pPr>
      <w:r>
        <w:tab/>
        <w:t xml:space="preserve">Jon </w:t>
      </w:r>
      <w:proofErr w:type="spellStart"/>
      <w:r>
        <w:t>Fridrik</w:t>
      </w:r>
      <w:proofErr w:type="spellEnd"/>
      <w:r>
        <w:t xml:space="preserve"> </w:t>
      </w:r>
      <w:proofErr w:type="spellStart"/>
      <w:r>
        <w:t>Kjølbro</w:t>
      </w:r>
      <w:proofErr w:type="spellEnd"/>
      <w:r>
        <w:rPr>
          <w:i/>
        </w:rPr>
        <w:t>, przewodniczący</w:t>
      </w:r>
      <w:r>
        <w:t>,</w:t>
      </w:r>
      <w:r>
        <w:br/>
        <w:t xml:space="preserve">Marko </w:t>
      </w:r>
      <w:proofErr w:type="spellStart"/>
      <w:r>
        <w:t>Bošnjak</w:t>
      </w:r>
      <w:proofErr w:type="spellEnd"/>
      <w:r>
        <w:t>,</w:t>
      </w:r>
      <w:r>
        <w:br/>
      </w:r>
      <w:proofErr w:type="spellStart"/>
      <w:r>
        <w:t>Aleš</w:t>
      </w:r>
      <w:proofErr w:type="spellEnd"/>
      <w:r>
        <w:t xml:space="preserve"> </w:t>
      </w:r>
      <w:proofErr w:type="spellStart"/>
      <w:r>
        <w:t>Pejchal</w:t>
      </w:r>
      <w:proofErr w:type="spellEnd"/>
      <w:r>
        <w:t>,</w:t>
      </w:r>
      <w:r>
        <w:br/>
        <w:t xml:space="preserve">Valeriu </w:t>
      </w:r>
      <w:proofErr w:type="spellStart"/>
      <w:r>
        <w:t>Griţco</w:t>
      </w:r>
      <w:proofErr w:type="spellEnd"/>
      <w:r>
        <w:t>,</w:t>
      </w:r>
      <w:r>
        <w:br/>
        <w:t xml:space="preserve">Carlo </w:t>
      </w:r>
      <w:proofErr w:type="spellStart"/>
      <w:r>
        <w:t>Ranzoni</w:t>
      </w:r>
      <w:proofErr w:type="spellEnd"/>
      <w:r>
        <w:t>,</w:t>
      </w:r>
      <w:r>
        <w:br/>
      </w:r>
      <w:proofErr w:type="spellStart"/>
      <w:r>
        <w:t>Pauliine</w:t>
      </w:r>
      <w:proofErr w:type="spellEnd"/>
      <w:r>
        <w:t xml:space="preserve"> </w:t>
      </w:r>
      <w:proofErr w:type="spellStart"/>
      <w:r>
        <w:t>Koskelo</w:t>
      </w:r>
      <w:proofErr w:type="spellEnd"/>
      <w:r>
        <w:t>,</w:t>
      </w:r>
      <w:r>
        <w:br/>
      </w:r>
      <w:proofErr w:type="spellStart"/>
      <w:r>
        <w:t>Saadet</w:t>
      </w:r>
      <w:proofErr w:type="spellEnd"/>
      <w:r>
        <w:t xml:space="preserve"> </w:t>
      </w:r>
      <w:proofErr w:type="spellStart"/>
      <w:r>
        <w:t>Yüksel</w:t>
      </w:r>
      <w:proofErr w:type="spellEnd"/>
      <w:r>
        <w:t xml:space="preserve">, </w:t>
      </w:r>
      <w:r>
        <w:rPr>
          <w:i/>
        </w:rPr>
        <w:t>sędziowie</w:t>
      </w:r>
      <w:r>
        <w:br/>
        <w:t xml:space="preserve">oraz </w:t>
      </w:r>
      <w:proofErr w:type="spellStart"/>
      <w:r>
        <w:t>Hasan</w:t>
      </w:r>
      <w:proofErr w:type="spellEnd"/>
      <w:r>
        <w:t xml:space="preserve"> </w:t>
      </w:r>
      <w:proofErr w:type="spellStart"/>
      <w:r>
        <w:t>Bakırcı</w:t>
      </w:r>
      <w:proofErr w:type="spellEnd"/>
      <w:r>
        <w:t xml:space="preserve">, </w:t>
      </w:r>
      <w:r>
        <w:rPr>
          <w:i/>
          <w:iCs/>
        </w:rPr>
        <w:t xml:space="preserve">zastępca kanclerza </w:t>
      </w:r>
      <w:r>
        <w:rPr>
          <w:i/>
        </w:rPr>
        <w:t>sekcji</w:t>
      </w:r>
      <w:r>
        <w:t>,</w:t>
      </w:r>
    </w:p>
    <w:p w14:paraId="5C26530B" w14:textId="77777777" w:rsidR="008E43F2" w:rsidRPr="00E4522F" w:rsidRDefault="008E43F2" w:rsidP="00E4522F">
      <w:pPr>
        <w:pStyle w:val="JuPara"/>
      </w:pPr>
      <w:r>
        <w:t>Mając na uwadze:</w:t>
      </w:r>
    </w:p>
    <w:p w14:paraId="454CB7B2" w14:textId="0EB358AD" w:rsidR="008E43F2" w:rsidRPr="00E4522F" w:rsidRDefault="008E43F2" w:rsidP="00E4522F">
      <w:pPr>
        <w:pStyle w:val="JuPara"/>
      </w:pPr>
      <w:r>
        <w:t>skargę (nr 37882/13) wniesioną w dniu 9 maja 2013 r. do Trybunału przeciwko Republice Mołdawii na podstawie art. 34 Konwencji o ochronie praw człowieka i podstawowych wolności („Konwencji”) przez obywatelkę mołdawsko-rumuńską E.G. („skarżącą”);</w:t>
      </w:r>
    </w:p>
    <w:p w14:paraId="2B2FF451" w14:textId="0395392D" w:rsidR="008E43F2" w:rsidRPr="00E4522F" w:rsidRDefault="008E43F2" w:rsidP="00E4522F">
      <w:pPr>
        <w:pStyle w:val="JuPara"/>
      </w:pPr>
      <w:r>
        <w:t>decyzję o zawiadomieniu Rządu Mołdawii („Rząd”) o skargach wniesionych na podstawie art. 3 i 8 Konwencji dotyczących niewykonania kary pozbawienia wolności oraz o uznaniu pozostałej części skargi za niedopuszczalną;</w:t>
      </w:r>
    </w:p>
    <w:p w14:paraId="69BC9A4B" w14:textId="2CA59B1F" w:rsidR="008E43F2" w:rsidRPr="00E4522F" w:rsidRDefault="008E43F2" w:rsidP="00E4522F">
      <w:pPr>
        <w:pStyle w:val="JuPara"/>
      </w:pPr>
      <w:r>
        <w:t>decyzję o nieujawnianiu tożsamości skarżącej;</w:t>
      </w:r>
    </w:p>
    <w:p w14:paraId="03782B68" w14:textId="4D989269" w:rsidR="008E43F2" w:rsidRPr="00E4522F" w:rsidRDefault="008E43F2" w:rsidP="00E4522F">
      <w:pPr>
        <w:pStyle w:val="JuPara"/>
      </w:pPr>
      <w:r>
        <w:t>stanowiska stron; oraz</w:t>
      </w:r>
    </w:p>
    <w:p w14:paraId="433B72E1" w14:textId="5006A4BA" w:rsidR="00B16283" w:rsidRPr="00E4522F" w:rsidRDefault="0084683F" w:rsidP="00E4522F">
      <w:pPr>
        <w:pStyle w:val="JuPara"/>
      </w:pPr>
      <w:bookmarkStart w:id="0" w:name="lt_pId045"/>
      <w:r>
        <w:t>decyzję Rządu Rumunii o nieskorzystaniu z prawa do przystąpienia do postępowania w charakterze strony interweniującej (art. 36 ust. 1 Konwencji)</w:t>
      </w:r>
      <w:bookmarkEnd w:id="0"/>
      <w:r>
        <w:t>,</w:t>
      </w:r>
    </w:p>
    <w:p w14:paraId="3425E76F" w14:textId="41BC39A6" w:rsidR="009F4C8F" w:rsidRPr="00E4522F" w:rsidRDefault="009F4C8F" w:rsidP="00E4522F">
      <w:pPr>
        <w:pStyle w:val="JuPara"/>
      </w:pPr>
      <w:r>
        <w:t>obradując na posiedzeniu niejawnym w dniu 16 marca 2021 r.,</w:t>
      </w:r>
    </w:p>
    <w:p w14:paraId="2D2C5F13" w14:textId="77777777" w:rsidR="009F4C8F" w:rsidRPr="00E4522F" w:rsidRDefault="009F4C8F" w:rsidP="00E4522F">
      <w:pPr>
        <w:pStyle w:val="JuPara"/>
      </w:pPr>
      <w:r>
        <w:t>wydaje następujący wyrok, który został przyjęty w tym dniu:</w:t>
      </w:r>
    </w:p>
    <w:p w14:paraId="1A4815E6" w14:textId="77777777" w:rsidR="008E43F2" w:rsidRPr="00E4522F" w:rsidRDefault="008E43F2" w:rsidP="00E4522F">
      <w:pPr>
        <w:pStyle w:val="JuHHead"/>
        <w:numPr>
          <w:ilvl w:val="0"/>
          <w:numId w:val="0"/>
        </w:numPr>
      </w:pPr>
      <w:r>
        <w:t>WPROWADZENIE</w:t>
      </w:r>
    </w:p>
    <w:p w14:paraId="6F91A5BE" w14:textId="4BB1B9EE" w:rsidR="00F008C1" w:rsidRPr="00E4522F" w:rsidRDefault="00564A52" w:rsidP="00E4522F">
      <w:pPr>
        <w:pStyle w:val="JuPara"/>
      </w:pPr>
      <w:fldSimple w:instr=" SEQ level0 \*arabic ">
        <w:r w:rsidR="001F6C98">
          <w:rPr>
            <w:noProof/>
          </w:rPr>
          <w:t>1</w:t>
        </w:r>
      </w:fldSimple>
      <w:r w:rsidR="008E43F2">
        <w:t>.  </w:t>
      </w:r>
      <w:bookmarkStart w:id="1" w:name="lt_pId050"/>
      <w:r w:rsidR="008E43F2">
        <w:t xml:space="preserve">Sprawa dotyczy niewykonania kary orzeczonej wobec jednego ze sprawców </w:t>
      </w:r>
      <w:r w:rsidR="004E75BB">
        <w:t xml:space="preserve">napaści na tle  </w:t>
      </w:r>
      <w:r w:rsidR="008E43F2">
        <w:t>seksualnym</w:t>
      </w:r>
      <w:r w:rsidR="009D0552">
        <w:t xml:space="preserve"> </w:t>
      </w:r>
      <w:r w:rsidR="009D0552" w:rsidRPr="009D0552">
        <w:t>na skarżącą</w:t>
      </w:r>
      <w:r w:rsidR="008E43F2">
        <w:t>.</w:t>
      </w:r>
      <w:bookmarkEnd w:id="1"/>
      <w:r w:rsidR="008E43F2">
        <w:t xml:space="preserve"> Jej podstawę stanowią art. 3 i 8 Konwencji.</w:t>
      </w:r>
    </w:p>
    <w:p w14:paraId="04103987" w14:textId="77777777" w:rsidR="008E43F2" w:rsidRPr="00E4522F" w:rsidRDefault="008E43F2" w:rsidP="00E4522F">
      <w:pPr>
        <w:pStyle w:val="JuHHead"/>
      </w:pPr>
      <w:r>
        <w:t>FAKTY</w:t>
      </w:r>
    </w:p>
    <w:p w14:paraId="7D7B9222" w14:textId="16E96270" w:rsidR="008E43F2" w:rsidRPr="00E4522F" w:rsidRDefault="00564A52" w:rsidP="00E4522F">
      <w:pPr>
        <w:pStyle w:val="JuPara"/>
      </w:pPr>
      <w:fldSimple w:instr=" SEQ level0 \*arabic ">
        <w:r w:rsidR="001F6C98">
          <w:rPr>
            <w:noProof/>
          </w:rPr>
          <w:t>2</w:t>
        </w:r>
      </w:fldSimple>
      <w:r w:rsidR="008E43F2">
        <w:t xml:space="preserve">.  Skarżąca urodziła się w 1977 r. i mieszka w Kiszyniowie. Reprezentował ją pełnomocnik S. </w:t>
      </w:r>
      <w:proofErr w:type="spellStart"/>
      <w:r w:rsidR="008E43F2">
        <w:t>Burlaca</w:t>
      </w:r>
      <w:proofErr w:type="spellEnd"/>
      <w:r w:rsidR="008E43F2">
        <w:t>.</w:t>
      </w:r>
    </w:p>
    <w:p w14:paraId="32732773" w14:textId="7D019872" w:rsidR="00D1423F" w:rsidRPr="00E4522F" w:rsidRDefault="00564A52" w:rsidP="00E4522F">
      <w:pPr>
        <w:pStyle w:val="JuPara"/>
      </w:pPr>
      <w:fldSimple w:instr=" SEQ level0 \*arabic ">
        <w:r w:rsidR="001F6C98">
          <w:rPr>
            <w:noProof/>
          </w:rPr>
          <w:t>3</w:t>
        </w:r>
      </w:fldSimple>
      <w:r w:rsidR="00D1423F">
        <w:t>.  </w:t>
      </w:r>
      <w:bookmarkStart w:id="2" w:name="lt_pId057"/>
      <w:r w:rsidR="00D1423F">
        <w:t xml:space="preserve">Rząd był reprezentowany przez swoich pełnomocników, w następującej kolejności: L. </w:t>
      </w:r>
      <w:proofErr w:type="spellStart"/>
      <w:r w:rsidR="00D1423F">
        <w:t>Apostol</w:t>
      </w:r>
      <w:proofErr w:type="spellEnd"/>
      <w:r w:rsidR="00D1423F">
        <w:t xml:space="preserve">, M. </w:t>
      </w:r>
      <w:proofErr w:type="spellStart"/>
      <w:r w:rsidR="00D1423F">
        <w:t>Gurin</w:t>
      </w:r>
      <w:proofErr w:type="spellEnd"/>
      <w:r w:rsidR="00D1423F">
        <w:t xml:space="preserve"> i O. </w:t>
      </w:r>
      <w:proofErr w:type="spellStart"/>
      <w:r w:rsidR="00D1423F">
        <w:t>Rotari</w:t>
      </w:r>
      <w:proofErr w:type="spellEnd"/>
      <w:r w:rsidR="00D1423F">
        <w:t>.</w:t>
      </w:r>
      <w:bookmarkEnd w:id="2"/>
    </w:p>
    <w:p w14:paraId="06BD3B86" w14:textId="4C961E2D" w:rsidR="00D1423F" w:rsidRPr="00E4522F" w:rsidRDefault="00564A52" w:rsidP="00E4522F">
      <w:pPr>
        <w:pStyle w:val="JuPara"/>
      </w:pPr>
      <w:fldSimple w:instr=" SEQ level0 \*arabic ">
        <w:r w:rsidR="001F6C98">
          <w:rPr>
            <w:noProof/>
          </w:rPr>
          <w:t>4</w:t>
        </w:r>
      </w:fldSimple>
      <w:r w:rsidR="00D1423F">
        <w:t>.  W nocy z 9 na 10 lutego 2008 r. trzy osoby dopuściły się wobec skarżącej naruszenia nietykalności cielesnej na tle seksualnym.</w:t>
      </w:r>
    </w:p>
    <w:p w14:paraId="24A147DE" w14:textId="740FE0BF" w:rsidR="00D1423F" w:rsidRPr="00E4522F" w:rsidRDefault="00564A52" w:rsidP="00E4522F">
      <w:pPr>
        <w:pStyle w:val="JuPara"/>
      </w:pPr>
      <w:fldSimple w:instr=" SEQ level0 \*arabic ">
        <w:r w:rsidR="001F6C98">
          <w:rPr>
            <w:noProof/>
          </w:rPr>
          <w:t>5</w:t>
        </w:r>
      </w:fldSimple>
      <w:r w:rsidR="00D1423F">
        <w:t>.  </w:t>
      </w:r>
      <w:bookmarkStart w:id="3" w:name="lt_pId061"/>
      <w:r w:rsidR="00D1423F">
        <w:t xml:space="preserve">Na podstawie zawiadomienia o popełnieniu przestępstwa złożonego przez pokrzywdzoną prokuratura wszczęła postępowanie karne przeciwko </w:t>
      </w:r>
      <w:r w:rsidR="00D1423F">
        <w:lastRenderedPageBreak/>
        <w:t xml:space="preserve">P.G., R.G. i V.B. Początkowo zastosowano wobec nich tymczasowe aresztowanie, ale zwolniono do czasu rozstrzygnięcia sprawy. Konkretnie V.B. został zwolniony w dniu </w:t>
      </w:r>
      <w:bookmarkStart w:id="4" w:name="lt_pId062"/>
      <w:bookmarkEnd w:id="3"/>
      <w:r w:rsidR="00D1423F">
        <w:t>12 marca 2008 r. za poręczeniem majątkowym.</w:t>
      </w:r>
      <w:bookmarkEnd w:id="4"/>
    </w:p>
    <w:p w14:paraId="5A4ECE5D" w14:textId="2039392D" w:rsidR="00D1423F" w:rsidRPr="00E4522F" w:rsidRDefault="00564A52" w:rsidP="00E4522F">
      <w:pPr>
        <w:pStyle w:val="JuPara"/>
      </w:pPr>
      <w:fldSimple w:instr=" SEQ level0 \*arabic ">
        <w:r w:rsidR="001F6C98">
          <w:rPr>
            <w:noProof/>
          </w:rPr>
          <w:t>6</w:t>
        </w:r>
      </w:fldSimple>
      <w:r w:rsidR="00D1423F">
        <w:t>.  </w:t>
      </w:r>
      <w:bookmarkStart w:id="5" w:name="lt_pId064"/>
      <w:r w:rsidR="00D1423F">
        <w:t xml:space="preserve">W dniu 17 czerwca 2009 r. </w:t>
      </w:r>
      <w:r w:rsidR="0006239B">
        <w:t>Centralny S</w:t>
      </w:r>
      <w:r w:rsidR="00D1423F">
        <w:t xml:space="preserve">ąd </w:t>
      </w:r>
      <w:r w:rsidR="0006239B">
        <w:t>R</w:t>
      </w:r>
      <w:r w:rsidR="00D1423F">
        <w:t>ejonowy w Kiszyniowie uznał trzech oskarżonych winnych popełnienia przestępstwa zbiorowego naruszenia nietykalności cielesnej na tle seksualnym z art. 172 § 2 lit. c) kodeksu karnego i skazał ich na kar</w:t>
      </w:r>
      <w:r w:rsidR="004257FE">
        <w:t>y</w:t>
      </w:r>
      <w:r w:rsidR="00D1423F">
        <w:t xml:space="preserve"> pozbawienia wolności z warunkowym zawieszeniem </w:t>
      </w:r>
      <w:r w:rsidR="004257FE">
        <w:t>ich</w:t>
      </w:r>
      <w:r w:rsidR="00D1423F">
        <w:t xml:space="preserve"> wykonania. </w:t>
      </w:r>
      <w:bookmarkStart w:id="6" w:name="lt_pId065"/>
      <w:bookmarkEnd w:id="5"/>
      <w:r w:rsidR="00D1423F">
        <w:t>Skarżąca wniosła apelację.</w:t>
      </w:r>
      <w:bookmarkEnd w:id="6"/>
    </w:p>
    <w:bookmarkStart w:id="7" w:name="arrêt_condamnation_cour_appel"/>
    <w:p w14:paraId="1C4FA0E7" w14:textId="5163DA2D"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7</w:t>
      </w:r>
      <w:r w:rsidRPr="00E4522F">
        <w:fldChar w:fldCharType="end"/>
      </w:r>
      <w:bookmarkEnd w:id="7"/>
      <w:r>
        <w:t>.  </w:t>
      </w:r>
      <w:bookmarkStart w:id="8" w:name="lt_pId067"/>
      <w:r>
        <w:t xml:space="preserve">Wyrokiem z dnia 2 grudnia 2009 r. </w:t>
      </w:r>
      <w:r w:rsidR="004257FE">
        <w:t>S</w:t>
      </w:r>
      <w:r>
        <w:t xml:space="preserve">ąd </w:t>
      </w:r>
      <w:r w:rsidR="004257FE">
        <w:t>A</w:t>
      </w:r>
      <w:r>
        <w:t>pelacyjny w Kiszyniowie potwierdził ustalenia sądu niższej instancji; ponadto uznał P.G. i R.G. winnych popełnienia przestępstwa zgwałcenia zbiorowego z art. 171 § 2 lit. c) kodeksu karnego i skazał ich na karę pozbawienia wolności w wymiarze odpowiednio sześciu oraz pięciu i pół roku.</w:t>
      </w:r>
      <w:bookmarkEnd w:id="8"/>
      <w:r>
        <w:t xml:space="preserve"> </w:t>
      </w:r>
      <w:bookmarkStart w:id="9" w:name="lt_pId068"/>
      <w:r>
        <w:t>Wymierzył również V.B. karę pięciu lat pozbawienia wolności.</w:t>
      </w:r>
      <w:bookmarkEnd w:id="9"/>
      <w:r>
        <w:t xml:space="preserve"> </w:t>
      </w:r>
      <w:bookmarkStart w:id="10" w:name="lt_pId069"/>
      <w:r>
        <w:t>Wyrok</w:t>
      </w:r>
      <w:r w:rsidR="004B7D9A">
        <w:t xml:space="preserve"> był natychmiast wykonalny. </w:t>
      </w:r>
      <w:bookmarkEnd w:id="10"/>
    </w:p>
    <w:p w14:paraId="35DC6C99" w14:textId="49B15F2A" w:rsidR="00D1423F" w:rsidRPr="00E4522F" w:rsidRDefault="00564A52" w:rsidP="00E4522F">
      <w:pPr>
        <w:pStyle w:val="JuPara"/>
      </w:pPr>
      <w:fldSimple w:instr=" SEQ level0 \*arabic ">
        <w:r w:rsidR="001F6C98">
          <w:rPr>
            <w:noProof/>
          </w:rPr>
          <w:t>8</w:t>
        </w:r>
      </w:fldSimple>
      <w:r w:rsidR="00D1423F">
        <w:t>.  </w:t>
      </w:r>
      <w:bookmarkStart w:id="11" w:name="lt_pId071"/>
      <w:r w:rsidR="00D1423F">
        <w:t xml:space="preserve">Tego samego dnia władze państwowe zabrały P.G. i R.G. do aresztu z sali sądowej </w:t>
      </w:r>
      <w:r w:rsidR="004B7D9A">
        <w:t>S</w:t>
      </w:r>
      <w:r w:rsidR="00D1423F">
        <w:t xml:space="preserve">ądu </w:t>
      </w:r>
      <w:r w:rsidR="004B7D9A">
        <w:t>A</w:t>
      </w:r>
      <w:r w:rsidR="00D1423F">
        <w:t>pelacyjnego w Kiszyniowie.</w:t>
      </w:r>
      <w:bookmarkEnd w:id="11"/>
      <w:r w:rsidR="00D1423F">
        <w:t xml:space="preserve"> Z uwagi na nieobecność na rozprawie </w:t>
      </w:r>
      <w:bookmarkStart w:id="12" w:name="lt_pId072"/>
      <w:r w:rsidR="00D1423F">
        <w:t>V.B. nie został zabrany</w:t>
      </w:r>
      <w:bookmarkEnd w:id="12"/>
      <w:r w:rsidR="00D1423F">
        <w:t xml:space="preserve"> do aresztu.</w:t>
      </w:r>
    </w:p>
    <w:p w14:paraId="643F09A3" w14:textId="1C39ED48" w:rsidR="00D1423F" w:rsidRPr="00E4522F" w:rsidRDefault="00564A52" w:rsidP="00E4522F">
      <w:pPr>
        <w:pStyle w:val="JuPara"/>
      </w:pPr>
      <w:fldSimple w:instr=" SEQ level0 \*arabic ">
        <w:r w:rsidR="001F6C98">
          <w:rPr>
            <w:noProof/>
          </w:rPr>
          <w:t>9</w:t>
        </w:r>
      </w:fldSimple>
      <w:r w:rsidR="00D1423F">
        <w:t>.  </w:t>
      </w:r>
      <w:bookmarkStart w:id="13" w:name="lt_pId074"/>
      <w:r w:rsidR="00D1423F">
        <w:t>Prawomocnym orzeczeniem z dnia 7 grudnia 2010 r. Sąd Najwyższy utrzymał w mocy wyrok sądu apelacyjnego.</w:t>
      </w:r>
      <w:bookmarkEnd w:id="13"/>
    </w:p>
    <w:p w14:paraId="3BCC6192" w14:textId="4B4A1B53" w:rsidR="00D1423F" w:rsidRPr="00E4522F" w:rsidRDefault="00564A52" w:rsidP="00E4522F">
      <w:pPr>
        <w:pStyle w:val="JuPara"/>
      </w:pPr>
      <w:fldSimple w:instr=" SEQ level0 \*arabic ">
        <w:r w:rsidR="001F6C98">
          <w:rPr>
            <w:noProof/>
          </w:rPr>
          <w:t>10</w:t>
        </w:r>
      </w:fldSimple>
      <w:r w:rsidR="00D1423F">
        <w:t>.  </w:t>
      </w:r>
      <w:bookmarkStart w:id="14" w:name="lt_pId076"/>
      <w:r w:rsidR="00D1423F">
        <w:t>W międzyczasie, w dniu 14 maja 2010 r., władze wydały list gończy za V.B.</w:t>
      </w:r>
      <w:bookmarkEnd w:id="14"/>
    </w:p>
    <w:p w14:paraId="2AC8012C" w14:textId="43C218F7" w:rsidR="00D1423F" w:rsidRPr="00E4522F" w:rsidRDefault="00564A52" w:rsidP="00E4522F">
      <w:pPr>
        <w:pStyle w:val="JuPara"/>
      </w:pPr>
      <w:fldSimple w:instr=" SEQ level0 \*arabic ">
        <w:r w:rsidR="001F6C98">
          <w:rPr>
            <w:noProof/>
          </w:rPr>
          <w:t>11</w:t>
        </w:r>
      </w:fldSimple>
      <w:r w:rsidR="00D1423F">
        <w:t>.  </w:t>
      </w:r>
      <w:bookmarkStart w:id="15" w:name="lt_pId078"/>
      <w:r w:rsidR="00D1423F">
        <w:t>W dniu 18 kwietnia 2011 r. V.B. złożył za pośrednictwem swojego pełnomocnika wniosek o zwolnienie z odbywania kary na podstawie ustawy o amnestii z 2008 r.</w:t>
      </w:r>
      <w:bookmarkEnd w:id="15"/>
    </w:p>
    <w:bookmarkStart w:id="16" w:name="rejet_amnistie_RG"/>
    <w:p w14:paraId="3CD98625" w14:textId="2C266BC5"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12</w:t>
      </w:r>
      <w:r w:rsidRPr="00E4522F">
        <w:fldChar w:fldCharType="end"/>
      </w:r>
      <w:bookmarkEnd w:id="16"/>
      <w:r>
        <w:t>.  </w:t>
      </w:r>
      <w:bookmarkStart w:id="17" w:name="lt_pId080"/>
      <w:r>
        <w:t>Podobny wniosek o udzielenie amnestii złożony przez R.G. został odrzucony przez sąd apelacyjny w Kiszyniowie</w:t>
      </w:r>
      <w:bookmarkStart w:id="18" w:name="lt_pId081"/>
      <w:bookmarkEnd w:id="17"/>
      <w:r>
        <w:t xml:space="preserve"> prawomocnym postanowieniem z dnia 5 października 2011 r. Sąd zauważył między innymi, że skazanie R.G. nastąpiło po wejściu w życie ustawy o amnestii i </w:t>
      </w:r>
      <w:r w:rsidR="00641CB8">
        <w:t>sekcja</w:t>
      </w:r>
      <w:r>
        <w:t xml:space="preserve"> 5 tejże ustawy nie miał</w:t>
      </w:r>
      <w:r w:rsidR="00641CB8">
        <w:t>a</w:t>
      </w:r>
      <w:r>
        <w:t xml:space="preserve"> wobec niego zastosowania.</w:t>
      </w:r>
      <w:bookmarkEnd w:id="18"/>
    </w:p>
    <w:bookmarkStart w:id="19" w:name="jugement_20déc2011_rejet_amnistie_VB"/>
    <w:p w14:paraId="7FFC14B3" w14:textId="77CE7C82"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13</w:t>
      </w:r>
      <w:r w:rsidRPr="00E4522F">
        <w:fldChar w:fldCharType="end"/>
      </w:r>
      <w:bookmarkEnd w:id="19"/>
      <w:r>
        <w:t>.  </w:t>
      </w:r>
      <w:bookmarkStart w:id="20" w:name="lt_pId083"/>
      <w:r>
        <w:t xml:space="preserve">W dniu 20 grudnia 2011 r. </w:t>
      </w:r>
      <w:r w:rsidR="00641CB8">
        <w:t>Centralny S</w:t>
      </w:r>
      <w:r>
        <w:t xml:space="preserve">ąd </w:t>
      </w:r>
      <w:r w:rsidR="00641CB8">
        <w:t>R</w:t>
      </w:r>
      <w:r>
        <w:t>ejonowy w Kiszyniowie odrzucił wniosek V.B. o udzielenie amnestii na tej samej podstawie.</w:t>
      </w:r>
      <w:bookmarkEnd w:id="20"/>
      <w:r>
        <w:t xml:space="preserve"> </w:t>
      </w:r>
      <w:bookmarkStart w:id="21" w:name="lt_pId084"/>
      <w:r>
        <w:t>V.B. zaskarżył postanowienie</w:t>
      </w:r>
      <w:bookmarkEnd w:id="21"/>
      <w:r>
        <w:t>. W postępowaniu odwoławczym prokuratura poparła jego wniosek o udzielenie amnestii.</w:t>
      </w:r>
    </w:p>
    <w:bookmarkStart w:id="22" w:name="décision_amnistie_22mai2012"/>
    <w:p w14:paraId="04B32060" w14:textId="265F335B"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14</w:t>
      </w:r>
      <w:r w:rsidRPr="00E4522F">
        <w:fldChar w:fldCharType="end"/>
      </w:r>
      <w:bookmarkEnd w:id="22"/>
      <w:r>
        <w:t>.  </w:t>
      </w:r>
      <w:bookmarkStart w:id="23" w:name="lt_pId087"/>
      <w:r>
        <w:t xml:space="preserve">Prawomocnym orzeczeniem z dnia 22 maja 2012 r. sąd apelacyjny w Kiszyniowie uchylił wyrok sądu niższej instancji i uwzględnił wniosek V.B. o udzielenie amnestii. Wyraził stanowisko, zgodnie z którym </w:t>
      </w:r>
      <w:r w:rsidR="00641CB8">
        <w:t>sekcja</w:t>
      </w:r>
      <w:r>
        <w:t xml:space="preserve"> 5 ustawy o amnestii z 2008 r. (zob. paragraf </w:t>
      </w:r>
      <w:r w:rsidRPr="00E4522F">
        <w:fldChar w:fldCharType="begin"/>
      </w:r>
      <w:r w:rsidRPr="00E4522F">
        <w:instrText xml:space="preserve"> REF loi_amnistie \h </w:instrText>
      </w:r>
      <w:r w:rsidR="00957318" w:rsidRPr="00E4522F">
        <w:instrText xml:space="preserve"> \* MERGEFORMAT </w:instrText>
      </w:r>
      <w:r w:rsidRPr="00E4522F">
        <w:fldChar w:fldCharType="separate"/>
      </w:r>
      <w:r w:rsidR="001F6C98">
        <w:t>28</w:t>
      </w:r>
      <w:r w:rsidRPr="00E4522F">
        <w:fldChar w:fldCharType="end"/>
      </w:r>
      <w:r>
        <w:t xml:space="preserve"> poniżej) miał</w:t>
      </w:r>
      <w:r w:rsidR="00641CB8">
        <w:t>a</w:t>
      </w:r>
      <w:r>
        <w:t xml:space="preserve"> zastosowanie, ponieważ, między innymi, przestępstwo miało miejsce przed wejściem ustawy w życie.</w:t>
      </w:r>
      <w:bookmarkEnd w:id="23"/>
    </w:p>
    <w:bookmarkStart w:id="24" w:name="révision_29juin2012"/>
    <w:p w14:paraId="66EDB467" w14:textId="499FFFD9"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15</w:t>
      </w:r>
      <w:r w:rsidRPr="00E4522F">
        <w:fldChar w:fldCharType="end"/>
      </w:r>
      <w:bookmarkEnd w:id="24"/>
      <w:r>
        <w:t>.  </w:t>
      </w:r>
      <w:bookmarkStart w:id="25" w:name="lt_pId089"/>
      <w:r>
        <w:t xml:space="preserve">W dniu 29 czerwca 2012 r. </w:t>
      </w:r>
      <w:r w:rsidR="00641CB8">
        <w:t>S</w:t>
      </w:r>
      <w:r>
        <w:t xml:space="preserve">ąd </w:t>
      </w:r>
      <w:r w:rsidR="00641CB8">
        <w:t>A</w:t>
      </w:r>
      <w:r>
        <w:t>pelacyjny w Kiszyniowie uwzględnił wniosek prokuratury o ponowne rozpoznanie sprawy dotyczącej amnestii V.B. w oparciu o nowe dowody.</w:t>
      </w:r>
      <w:bookmarkEnd w:id="25"/>
      <w:r>
        <w:t xml:space="preserve"> Sąd wznowił postępowanie, </w:t>
      </w:r>
      <w:bookmarkStart w:id="26" w:name="lt_pId090"/>
      <w:r>
        <w:t>uchylił postanowienie, które wydał w dniu 22 maja 2012 r. i utrzymał w mocy wyrok z dnia 20 grudnia 2011 r. (zob. paragraf </w:t>
      </w:r>
      <w:r w:rsidRPr="00E4522F">
        <w:fldChar w:fldCharType="begin"/>
      </w:r>
      <w:r w:rsidRPr="00E4522F">
        <w:instrText xml:space="preserve"> REF jugement_20déc2011_rejet_amnistie_VB \h </w:instrText>
      </w:r>
      <w:r w:rsidR="00906E83" w:rsidRPr="00E4522F">
        <w:instrText xml:space="preserve"> \* MERGEFORMAT </w:instrText>
      </w:r>
      <w:r w:rsidRPr="00E4522F">
        <w:fldChar w:fldCharType="separate"/>
      </w:r>
      <w:r w:rsidR="001F6C98">
        <w:t>13</w:t>
      </w:r>
      <w:r w:rsidRPr="00E4522F">
        <w:fldChar w:fldCharType="end"/>
      </w:r>
      <w:r>
        <w:t xml:space="preserve"> powyżej)</w:t>
      </w:r>
      <w:bookmarkEnd w:id="26"/>
      <w:r>
        <w:t xml:space="preserve">. Prokuratura i </w:t>
      </w:r>
      <w:bookmarkStart w:id="27" w:name="lt_pId091"/>
      <w:r>
        <w:t xml:space="preserve">obrońca </w:t>
      </w:r>
      <w:r>
        <w:lastRenderedPageBreak/>
        <w:t>V.B. złożyli wnioski o uchylenie tego orzeczenia</w:t>
      </w:r>
      <w:bookmarkEnd w:id="27"/>
      <w:r>
        <w:t xml:space="preserve"> w ramach ponownego rozpoznania sprawy.</w:t>
      </w:r>
    </w:p>
    <w:bookmarkStart w:id="28" w:name="recours_extraordinaire_4déc2012"/>
    <w:p w14:paraId="482EAFBB" w14:textId="232102C6"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16</w:t>
      </w:r>
      <w:r w:rsidRPr="00E4522F">
        <w:fldChar w:fldCharType="end"/>
      </w:r>
      <w:bookmarkEnd w:id="28"/>
      <w:r>
        <w:t>.  </w:t>
      </w:r>
      <w:bookmarkStart w:id="29" w:name="lt_pId093"/>
      <w:r>
        <w:t xml:space="preserve">Orzeczeniem z dnia 4 grudnia 2012 r. Sąd Najwyższy uwzględnił ich wnioski. Uchylił orzeczenie sądu apelacyjnego z dnia 29 czerwca 2012 r. z powodu braku właściwości rzeczowej i </w:t>
      </w:r>
      <w:r w:rsidR="00766340">
        <w:t>umorzył sprawę</w:t>
      </w:r>
      <w:r>
        <w:t>.</w:t>
      </w:r>
      <w:bookmarkEnd w:id="29"/>
    </w:p>
    <w:p w14:paraId="42186A61" w14:textId="2ADCC329" w:rsidR="00D1423F" w:rsidRPr="00E4522F" w:rsidRDefault="00564A52" w:rsidP="00E4522F">
      <w:pPr>
        <w:pStyle w:val="JuPara"/>
      </w:pPr>
      <w:fldSimple w:instr=" SEQ level0 \*arabic ">
        <w:r w:rsidR="001F6C98">
          <w:rPr>
            <w:noProof/>
          </w:rPr>
          <w:t>17</w:t>
        </w:r>
      </w:fldSimple>
      <w:r w:rsidR="00D1423F">
        <w:t>.  </w:t>
      </w:r>
      <w:bookmarkStart w:id="30" w:name="lt_pId095"/>
      <w:r w:rsidR="00D1423F">
        <w:t>W dniu 7 marca 2013 r. sąd apelacyjny w Kiszyniowie stwierdził, że wniosek prokuratury o ponowne rozpoznanie sprawy w oparciu o nowe dowody nie może zostać uwzględniony.</w:t>
      </w:r>
      <w:bookmarkEnd w:id="30"/>
    </w:p>
    <w:bookmarkStart w:id="31" w:name="arrestation_VB"/>
    <w:p w14:paraId="3DB5F616" w14:textId="7EBED704"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18</w:t>
      </w:r>
      <w:r w:rsidRPr="00E4522F">
        <w:fldChar w:fldCharType="end"/>
      </w:r>
      <w:bookmarkEnd w:id="31"/>
      <w:r>
        <w:t>.  </w:t>
      </w:r>
      <w:bookmarkStart w:id="32" w:name="lt_pId097"/>
      <w:r>
        <w:t xml:space="preserve">Tymczasem w dniu 22 października 2012 r. władze dokonały zatrzymania V.B. Zwolniły go tego samego dnia na podstawie postanowienia </w:t>
      </w:r>
      <w:r w:rsidR="00766340">
        <w:t>S</w:t>
      </w:r>
      <w:r>
        <w:t xml:space="preserve">ądu </w:t>
      </w:r>
      <w:r w:rsidR="00766340">
        <w:t>A</w:t>
      </w:r>
      <w:r>
        <w:t>pelacyjnego w Kiszyniowie z dnia 22 maja 2012 r.</w:t>
      </w:r>
      <w:bookmarkEnd w:id="32"/>
    </w:p>
    <w:bookmarkStart w:id="33" w:name="révision_18nov2013"/>
    <w:p w14:paraId="08AE8496" w14:textId="217C7712"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19</w:t>
      </w:r>
      <w:r w:rsidRPr="00E4522F">
        <w:fldChar w:fldCharType="end"/>
      </w:r>
      <w:bookmarkEnd w:id="33"/>
      <w:r>
        <w:t>.  </w:t>
      </w:r>
      <w:bookmarkStart w:id="34" w:name="lt_pId099"/>
      <w:r>
        <w:t xml:space="preserve">Wyrokiem z dnia 4 września 2013 r. </w:t>
      </w:r>
      <w:r w:rsidR="00766340">
        <w:t>Centralny S</w:t>
      </w:r>
      <w:r>
        <w:t xml:space="preserve">ąd </w:t>
      </w:r>
      <w:r w:rsidR="00766340">
        <w:t>R</w:t>
      </w:r>
      <w:r>
        <w:t>ejonowy w Kiszyniowie uwzględnił kolejny wniosek prokuratury o ponowne rozpoznanie sprawy w oparciu o nowe dowody, wznowił postępowanie w sprawie dotyczącej zastosowania amnestii wobec V.B. i uchylił orzeczenie sądu apelacyjnego w Kiszyniowie z dnia 22 maja 2012 r.</w:t>
      </w:r>
      <w:bookmarkEnd w:id="34"/>
      <w:r>
        <w:t xml:space="preserve"> </w:t>
      </w:r>
      <w:bookmarkStart w:id="35" w:name="lt_pId100"/>
      <w:r>
        <w:t xml:space="preserve">W dniu 18 listopada 2013 r. </w:t>
      </w:r>
      <w:r w:rsidR="00766340">
        <w:t>S</w:t>
      </w:r>
      <w:r>
        <w:t xml:space="preserve">ąd </w:t>
      </w:r>
      <w:r w:rsidR="00766340">
        <w:t>A</w:t>
      </w:r>
      <w:r>
        <w:t>pelacyjny w Kiszyniowie utrzymał ten wyrok w mocy.</w:t>
      </w:r>
      <w:bookmarkEnd w:id="35"/>
      <w:r>
        <w:t xml:space="preserve"> Zauważył między innymi, że sąd, który wydał postanowienie z dnia </w:t>
      </w:r>
      <w:bookmarkStart w:id="36" w:name="lt_pId101"/>
      <w:r>
        <w:t>22 maja 2012 r., nie wiedział o naruszeniu przez V.B. warunków, na jakich został zwolniony za</w:t>
      </w:r>
      <w:bookmarkEnd w:id="36"/>
      <w:r>
        <w:t xml:space="preserve"> poręczeniem majątkowym.</w:t>
      </w:r>
    </w:p>
    <w:bookmarkStart w:id="37" w:name="retard_reconnu_par_la_police"/>
    <w:p w14:paraId="2A2112C2" w14:textId="47E054FE"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20</w:t>
      </w:r>
      <w:r w:rsidRPr="00E4522F">
        <w:fldChar w:fldCharType="end"/>
      </w:r>
      <w:bookmarkEnd w:id="37"/>
      <w:r>
        <w:t>.  </w:t>
      </w:r>
      <w:bookmarkStart w:id="38" w:name="lt_pId103"/>
      <w:r>
        <w:t xml:space="preserve">Następnie skarżąca zapytała, czy V.B. został odnaleziony i czy odbywa karę. </w:t>
      </w:r>
      <w:bookmarkStart w:id="39" w:name="lt_pId104"/>
      <w:bookmarkEnd w:id="38"/>
      <w:r>
        <w:t xml:space="preserve">Pismem z dnia 10 stycznia 2014 r. inspektorat policji poinformował jej pełnomocnika, że za V.B. nie wydano żadnego listu gończego ani nie podjęto żadnych kroków w celu jego odnalezienia, ponieważ ani właściwy organ ścigania, ani </w:t>
      </w:r>
      <w:r w:rsidR="00766340">
        <w:t>S</w:t>
      </w:r>
      <w:r>
        <w:t xml:space="preserve">ąd </w:t>
      </w:r>
      <w:r w:rsidR="00766340">
        <w:t>A</w:t>
      </w:r>
      <w:r>
        <w:t>pelacyjny w Kiszyniowie nie nakazali przeprowadzenia poszukiwań.</w:t>
      </w:r>
      <w:bookmarkEnd w:id="39"/>
    </w:p>
    <w:bookmarkStart w:id="40" w:name="demande_exécution_décision_18nov2013"/>
    <w:p w14:paraId="51D97305" w14:textId="0E1101E1"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21</w:t>
      </w:r>
      <w:r w:rsidRPr="00E4522F">
        <w:fldChar w:fldCharType="end"/>
      </w:r>
      <w:bookmarkEnd w:id="40"/>
      <w:r>
        <w:t>.  </w:t>
      </w:r>
      <w:bookmarkStart w:id="41" w:name="lt_pId106"/>
      <w:r>
        <w:t>W dniu 28 stycznia 2014 r. prokuratura zwróciła się do policji o wykonanie postanowienia o uchyleniu amnestii zastosowanej wobec V.B.</w:t>
      </w:r>
      <w:bookmarkEnd w:id="41"/>
    </w:p>
    <w:bookmarkStart w:id="42" w:name="depart_étranger_VB"/>
    <w:p w14:paraId="1E1E58CA" w14:textId="1E85EB5B"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22</w:t>
      </w:r>
      <w:r w:rsidRPr="00E4522F">
        <w:fldChar w:fldCharType="end"/>
      </w:r>
      <w:bookmarkEnd w:id="42"/>
      <w:r>
        <w:t>.  </w:t>
      </w:r>
      <w:bookmarkStart w:id="43" w:name="lt_pId108"/>
      <w:r>
        <w:t xml:space="preserve">W dniu 31 stycznia 2014 r. policja wznowiła czynności wyjaśniające w sprawie miejsca pobytu V.B. Ustaliła, że </w:t>
      </w:r>
      <w:bookmarkStart w:id="44" w:name="lt_pId109"/>
      <w:bookmarkEnd w:id="43"/>
      <w:r>
        <w:t>w dniu 16 listopada 2013 r. wyjechał z Mołdawii na Ukrainę.</w:t>
      </w:r>
      <w:bookmarkEnd w:id="44"/>
    </w:p>
    <w:bookmarkStart w:id="45" w:name="retard_reconnu_par_le_parquet"/>
    <w:p w14:paraId="0D410C49" w14:textId="12A2B696"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23</w:t>
      </w:r>
      <w:r w:rsidRPr="00E4522F">
        <w:fldChar w:fldCharType="end"/>
      </w:r>
      <w:bookmarkEnd w:id="45"/>
      <w:r>
        <w:t>.  </w:t>
      </w:r>
      <w:bookmarkStart w:id="46" w:name="lt_pId111"/>
      <w:r>
        <w:t>W piśmie skierowanym do skarżącej z dnia 4 lutego 2014 r. prokuratura zaopiniowała, że sądy nie wywiązały się z obowiązku przekazania w terminie dziesięciu dni właściwemu organowi policji w celu wykonania prawomocnego orzeczenia sądu apelacyjnego z dnia 18 listopada 2013</w:t>
      </w:r>
      <w:bookmarkEnd w:id="46"/>
      <w:r w:rsidR="001F6C98">
        <w:t xml:space="preserve"> </w:t>
      </w:r>
      <w:r>
        <w:t>r.</w:t>
      </w:r>
    </w:p>
    <w:bookmarkStart w:id="47" w:name="second_avis_de_recherche"/>
    <w:p w14:paraId="13810A43" w14:textId="217C0C30" w:rsidR="00D1423F" w:rsidRPr="00E4522F" w:rsidRDefault="00D1423F" w:rsidP="00E4522F">
      <w:pPr>
        <w:pStyle w:val="JuPara"/>
      </w:pPr>
      <w:r w:rsidRPr="00E4522F">
        <w:fldChar w:fldCharType="begin"/>
      </w:r>
      <w:r w:rsidRPr="00E4522F">
        <w:instrText xml:space="preserve"> SEQ level0 \*arabic </w:instrText>
      </w:r>
      <w:r w:rsidRPr="00E4522F">
        <w:fldChar w:fldCharType="separate"/>
      </w:r>
      <w:r w:rsidR="001F6C98">
        <w:rPr>
          <w:noProof/>
        </w:rPr>
        <w:t>24</w:t>
      </w:r>
      <w:r w:rsidRPr="00E4522F">
        <w:fldChar w:fldCharType="end"/>
      </w:r>
      <w:bookmarkEnd w:id="47"/>
      <w:r>
        <w:t>.  </w:t>
      </w:r>
      <w:bookmarkStart w:id="48" w:name="lt_pId114"/>
      <w:r>
        <w:t>W dniu 20 lutego 2014 r. policja wydała list gończy za V.B. obejmujący Wspólnotę Niepodległych Państw, a w dniu 29 kwietnia 2015 r. międzynarodowy list gończy.</w:t>
      </w:r>
      <w:bookmarkEnd w:id="48"/>
    </w:p>
    <w:p w14:paraId="0F6F89F2" w14:textId="24A05513" w:rsidR="00B406E3" w:rsidRPr="00E4522F" w:rsidRDefault="00564A52" w:rsidP="00E4522F">
      <w:pPr>
        <w:pStyle w:val="JuPara"/>
      </w:pPr>
      <w:fldSimple w:instr=" SEQ level0 \*arabic ">
        <w:r w:rsidR="001F6C98">
          <w:rPr>
            <w:noProof/>
          </w:rPr>
          <w:t>25</w:t>
        </w:r>
      </w:fldSimple>
      <w:r w:rsidR="00D1423F">
        <w:t>.  </w:t>
      </w:r>
      <w:bookmarkStart w:id="49" w:name="lt_pId116"/>
      <w:r w:rsidR="00D1423F">
        <w:t>Zgodnie z najnowszym stanowiskiem Rządu otrzymanymi przez Trybunał w dniu 2 marca 2020 roku V.B. nie został jeszcze odnaleziony.</w:t>
      </w:r>
      <w:bookmarkEnd w:id="49"/>
    </w:p>
    <w:p w14:paraId="450BBCD7" w14:textId="66B5ABEB" w:rsidR="00B406E3" w:rsidRPr="00E4522F" w:rsidRDefault="00931B0C" w:rsidP="00E4522F">
      <w:pPr>
        <w:pStyle w:val="JuHHead"/>
        <w:numPr>
          <w:ilvl w:val="0"/>
          <w:numId w:val="22"/>
        </w:numPr>
        <w:ind w:left="360" w:hanging="360"/>
      </w:pPr>
      <w:r>
        <w:rPr>
          <w:caps w:val="0"/>
        </w:rPr>
        <w:lastRenderedPageBreak/>
        <w:t>WŁAŚCIWE KRAJOWE RAMY PRAWNE</w:t>
      </w:r>
    </w:p>
    <w:bookmarkStart w:id="50" w:name="code_pénal"/>
    <w:p w14:paraId="7836C8E9" w14:textId="03EE3034"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1F6C98">
        <w:rPr>
          <w:noProof/>
        </w:rPr>
        <w:t>26</w:t>
      </w:r>
      <w:r w:rsidRPr="00E4522F">
        <w:fldChar w:fldCharType="end"/>
      </w:r>
      <w:bookmarkStart w:id="51" w:name="lt_pId119"/>
      <w:bookmarkEnd w:id="50"/>
      <w:r w:rsidR="004F615E">
        <w:t xml:space="preserve">. </w:t>
      </w:r>
      <w:r>
        <w:t xml:space="preserve">Odpowiednie przepisy kodeksu karnego, które obowiązywały w </w:t>
      </w:r>
      <w:r w:rsidR="004F615E">
        <w:t>c</w:t>
      </w:r>
      <w:r>
        <w:t>zasie</w:t>
      </w:r>
      <w:r w:rsidR="004F615E">
        <w:t xml:space="preserve"> rozpoznawania sprawy</w:t>
      </w:r>
      <w:r>
        <w:t>, brzmiały następująco:</w:t>
      </w:r>
      <w:bookmarkEnd w:id="51"/>
    </w:p>
    <w:p w14:paraId="68C67F37" w14:textId="4B1B5DE6" w:rsidR="00B406E3" w:rsidRPr="00E4522F" w:rsidRDefault="00B406E3" w:rsidP="00E4522F">
      <w:pPr>
        <w:pStyle w:val="JuHArticle"/>
      </w:pPr>
      <w:bookmarkStart w:id="52" w:name="lt_pId120"/>
      <w:r>
        <w:t>Artykuł 171</w:t>
      </w:r>
      <w:bookmarkEnd w:id="52"/>
      <w:r>
        <w:t xml:space="preserve"> – </w:t>
      </w:r>
      <w:bookmarkStart w:id="53" w:name="lt_pId121"/>
      <w:r>
        <w:t>Zgwałcenie</w:t>
      </w:r>
      <w:bookmarkEnd w:id="53"/>
    </w:p>
    <w:p w14:paraId="220B4277" w14:textId="38927675" w:rsidR="00B406E3" w:rsidRPr="00E4522F" w:rsidRDefault="00B406E3" w:rsidP="00E4522F">
      <w:pPr>
        <w:pStyle w:val="JuQuot"/>
      </w:pPr>
      <w:r>
        <w:t>“ [...]</w:t>
      </w:r>
    </w:p>
    <w:p w14:paraId="25018EC6" w14:textId="77777777" w:rsidR="00B406E3" w:rsidRPr="00E4522F" w:rsidRDefault="00B406E3" w:rsidP="00E4522F">
      <w:pPr>
        <w:pStyle w:val="JuQuot"/>
      </w:pPr>
      <w:r>
        <w:t>2.  </w:t>
      </w:r>
      <w:bookmarkStart w:id="54" w:name="lt_pId124"/>
      <w:r>
        <w:t>Zgwałcenie</w:t>
      </w:r>
      <w:bookmarkEnd w:id="54"/>
      <w:r>
        <w:t>:</w:t>
      </w:r>
    </w:p>
    <w:p w14:paraId="47CEF69B" w14:textId="06280A08" w:rsidR="00B406E3" w:rsidRPr="00E4522F" w:rsidRDefault="00B406E3" w:rsidP="00E4522F">
      <w:pPr>
        <w:pStyle w:val="JuQuot"/>
      </w:pPr>
      <w:r>
        <w:t>[…]</w:t>
      </w:r>
    </w:p>
    <w:p w14:paraId="69D76662" w14:textId="77777777" w:rsidR="00B406E3" w:rsidRPr="00E4522F" w:rsidRDefault="00B406E3" w:rsidP="00E4522F">
      <w:pPr>
        <w:pStyle w:val="JuQuot"/>
      </w:pPr>
      <w:bookmarkStart w:id="55" w:name="lt_pId126"/>
      <w:r>
        <w:t>c) popełnione przez dwie lub więcej osób;</w:t>
      </w:r>
      <w:bookmarkEnd w:id="55"/>
    </w:p>
    <w:p w14:paraId="077FA1C9" w14:textId="77777777" w:rsidR="00B406E3" w:rsidRPr="00E4522F" w:rsidRDefault="00B406E3" w:rsidP="00E4522F">
      <w:pPr>
        <w:pStyle w:val="JuQuot"/>
      </w:pPr>
      <w:r>
        <w:t>[…]</w:t>
      </w:r>
    </w:p>
    <w:p w14:paraId="466E49E0" w14:textId="7E6DC026" w:rsidR="00B406E3" w:rsidRPr="00E4522F" w:rsidRDefault="00B406E3" w:rsidP="00E4522F">
      <w:pPr>
        <w:pStyle w:val="JuQuot"/>
      </w:pPr>
      <w:bookmarkStart w:id="56" w:name="lt_pId128"/>
      <w:r>
        <w:t>zagrożone jest karą pozbawienia wolności od lat 5 do 15.</w:t>
      </w:r>
      <w:bookmarkEnd w:id="56"/>
    </w:p>
    <w:p w14:paraId="1014F683" w14:textId="77777777" w:rsidR="00B406E3" w:rsidRPr="00E4522F" w:rsidRDefault="00B406E3" w:rsidP="00E4522F">
      <w:pPr>
        <w:pStyle w:val="JuQuot"/>
      </w:pPr>
      <w:r>
        <w:t>[...]”</w:t>
      </w:r>
    </w:p>
    <w:p w14:paraId="0F41B4CB" w14:textId="40D19AB4" w:rsidR="00B406E3" w:rsidRPr="00E4522F" w:rsidRDefault="00B406E3" w:rsidP="00E4522F">
      <w:pPr>
        <w:pStyle w:val="JuHArticle"/>
      </w:pPr>
      <w:bookmarkStart w:id="57" w:name="lt_pId130"/>
      <w:r>
        <w:t>Artykuł 172</w:t>
      </w:r>
      <w:bookmarkEnd w:id="57"/>
      <w:r>
        <w:t xml:space="preserve"> – </w:t>
      </w:r>
      <w:bookmarkStart w:id="58" w:name="lt_pId131"/>
      <w:r>
        <w:t>Przemoc na tle seksualnym</w:t>
      </w:r>
      <w:bookmarkEnd w:id="58"/>
    </w:p>
    <w:p w14:paraId="6BDDDA1E" w14:textId="496C499F" w:rsidR="00D71EE9" w:rsidRPr="00E4522F" w:rsidRDefault="00B406E3" w:rsidP="00E4522F">
      <w:pPr>
        <w:pStyle w:val="JuQuot"/>
      </w:pPr>
      <w:r>
        <w:t>„1.  </w:t>
      </w:r>
      <w:bookmarkStart w:id="59" w:name="lt_pId133"/>
      <w:r>
        <w:t>[...] zaspokajanie pożądania seksualnego w perwersyjnych formach [uzyskiwanych] poprzez przymus fizyczny lub psychiczny albo poprzez wykorzystanie niezdolności osoby do obrony lub wyrażenia woli</w:t>
      </w:r>
    </w:p>
    <w:p w14:paraId="66C181DF" w14:textId="6A8EC399" w:rsidR="00B406E3" w:rsidRPr="00E4522F" w:rsidRDefault="00D71EE9" w:rsidP="00E4522F">
      <w:pPr>
        <w:pStyle w:val="JuQuot"/>
      </w:pPr>
      <w:r>
        <w:t>zagrożone jest karą pozbawienia wolności od lat 3 do 7.</w:t>
      </w:r>
    </w:p>
    <w:bookmarkEnd w:id="59"/>
    <w:p w14:paraId="28A035B5" w14:textId="4DF22934" w:rsidR="00B406E3" w:rsidRPr="00E4522F" w:rsidRDefault="00B406E3" w:rsidP="00E4522F">
      <w:pPr>
        <w:pStyle w:val="JuQuot"/>
      </w:pPr>
      <w:r>
        <w:t>2.  </w:t>
      </w:r>
      <w:bookmarkStart w:id="60" w:name="lt_pId136"/>
      <w:r>
        <w:t>Te same czyny:</w:t>
      </w:r>
      <w:bookmarkEnd w:id="60"/>
    </w:p>
    <w:p w14:paraId="25393799" w14:textId="77777777" w:rsidR="00B406E3" w:rsidRPr="00E4522F" w:rsidRDefault="00B406E3" w:rsidP="00E4522F">
      <w:pPr>
        <w:pStyle w:val="JuQuot"/>
      </w:pPr>
      <w:r>
        <w:t>[…]</w:t>
      </w:r>
    </w:p>
    <w:p w14:paraId="1F16B011" w14:textId="77777777" w:rsidR="00B406E3" w:rsidRPr="00E4522F" w:rsidRDefault="00B406E3" w:rsidP="00E4522F">
      <w:pPr>
        <w:pStyle w:val="JuQuot"/>
      </w:pPr>
      <w:bookmarkStart w:id="61" w:name="lt_pId138"/>
      <w:r>
        <w:t>c) popełnione przez dwie lub więcej osób;</w:t>
      </w:r>
    </w:p>
    <w:bookmarkEnd w:id="61"/>
    <w:p w14:paraId="446D3A97" w14:textId="77777777" w:rsidR="00B406E3" w:rsidRPr="00E4522F" w:rsidRDefault="00B406E3" w:rsidP="00E4522F">
      <w:pPr>
        <w:pStyle w:val="JuQuot"/>
      </w:pPr>
      <w:r>
        <w:t>[…]</w:t>
      </w:r>
    </w:p>
    <w:p w14:paraId="2D6D9876" w14:textId="4395ABB3" w:rsidR="00B406E3" w:rsidRPr="00E4522F" w:rsidRDefault="00B406E3" w:rsidP="00E4522F">
      <w:pPr>
        <w:pStyle w:val="JuQuot"/>
      </w:pPr>
      <w:bookmarkStart w:id="62" w:name="lt_pId140"/>
      <w:r>
        <w:t>zagrożone są karą pozbawienia wolności od lat 5 do 15.</w:t>
      </w:r>
      <w:bookmarkEnd w:id="62"/>
      <w:r>
        <w:t>”</w:t>
      </w:r>
    </w:p>
    <w:p w14:paraId="607EA608" w14:textId="323F010F" w:rsidR="00B406E3" w:rsidRPr="00E4522F" w:rsidRDefault="00564A52" w:rsidP="00E4522F">
      <w:pPr>
        <w:pStyle w:val="JuPara"/>
      </w:pPr>
      <w:fldSimple w:instr=" SEQ level0 \*arabic ">
        <w:r w:rsidR="001F6C98">
          <w:rPr>
            <w:noProof/>
          </w:rPr>
          <w:t>27</w:t>
        </w:r>
      </w:fldSimple>
      <w:r w:rsidR="00B406E3">
        <w:t>.  </w:t>
      </w:r>
      <w:bookmarkStart w:id="63" w:name="lt_pId143"/>
      <w:r w:rsidR="00B406E3">
        <w:t xml:space="preserve">Art. 468 § 1 </w:t>
      </w:r>
      <w:r w:rsidR="00145E98">
        <w:t>K</w:t>
      </w:r>
      <w:r w:rsidR="00B406E3">
        <w:t xml:space="preserve">odeksu </w:t>
      </w:r>
      <w:r w:rsidR="00145E98">
        <w:t>P</w:t>
      </w:r>
      <w:r w:rsidR="00B406E3">
        <w:t xml:space="preserve">ostępowania </w:t>
      </w:r>
      <w:r w:rsidR="00145E98">
        <w:t>K</w:t>
      </w:r>
      <w:r w:rsidR="00B406E3">
        <w:t>arnego nakłada na sąd obowiązek przekazania każdego orzeczenia podlegającego natychmiastowemu wykonaniu, w terminie dziesięciu dni, organowi właściwemu do wykonania kary</w:t>
      </w:r>
      <w:bookmarkEnd w:id="63"/>
      <w:r w:rsidR="00B406E3">
        <w:t>.</w:t>
      </w:r>
    </w:p>
    <w:bookmarkStart w:id="64" w:name="loi_amnistie"/>
    <w:p w14:paraId="75B45F76" w14:textId="461BA315"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1F6C98">
        <w:rPr>
          <w:noProof/>
        </w:rPr>
        <w:t>28</w:t>
      </w:r>
      <w:r w:rsidRPr="00E4522F">
        <w:fldChar w:fldCharType="end"/>
      </w:r>
      <w:bookmarkEnd w:id="64"/>
      <w:r>
        <w:t>.  </w:t>
      </w:r>
      <w:bookmarkStart w:id="65" w:name="lt_pId145"/>
      <w:r>
        <w:t xml:space="preserve">Odpowiednie fragmenty </w:t>
      </w:r>
      <w:r w:rsidR="00145E98">
        <w:t>sekcji</w:t>
      </w:r>
      <w:r>
        <w:t xml:space="preserve"> 5 ustawy o amnestii (ustawa nr 188), która weszła w życie 18 lipca 2008 r., brzmią następująco:</w:t>
      </w:r>
      <w:bookmarkEnd w:id="65"/>
    </w:p>
    <w:p w14:paraId="23BF3AEA" w14:textId="47D219F2" w:rsidR="00B406E3" w:rsidRPr="00E4522F" w:rsidRDefault="00145E98" w:rsidP="00E4522F">
      <w:pPr>
        <w:pStyle w:val="JuHArticle"/>
      </w:pPr>
      <w:bookmarkStart w:id="66" w:name="lt_pId146"/>
      <w:r>
        <w:t>Sekcja</w:t>
      </w:r>
      <w:r w:rsidR="00E23E40">
        <w:t xml:space="preserve"> 5</w:t>
      </w:r>
      <w:bookmarkEnd w:id="66"/>
    </w:p>
    <w:p w14:paraId="7A43DF06" w14:textId="22A41913" w:rsidR="00B406E3" w:rsidRPr="00E4522F" w:rsidRDefault="00E23E40" w:rsidP="00E4522F">
      <w:pPr>
        <w:pStyle w:val="JuQuot"/>
      </w:pPr>
      <w:bookmarkStart w:id="67" w:name="lt_pId147"/>
      <w:r>
        <w:t>„</w:t>
      </w:r>
      <w:r w:rsidR="00145E98">
        <w:t>Każda o</w:t>
      </w:r>
      <w:r>
        <w:t>sob</w:t>
      </w:r>
      <w:r w:rsidR="00B7194B">
        <w:t>a</w:t>
      </w:r>
      <w:r>
        <w:t>, która została skazana na karę</w:t>
      </w:r>
      <w:r w:rsidR="00B7194B">
        <w:t xml:space="preserve"> siedmiu lat</w:t>
      </w:r>
      <w:r>
        <w:t xml:space="preserve"> pozbawienia wolności </w:t>
      </w:r>
      <w:r w:rsidR="00B7194B">
        <w:t>lub krótszą</w:t>
      </w:r>
      <w:r>
        <w:t xml:space="preserve">, a która w chwili wejścia niniejszej ustawy w życie nie ukończyła dwudziestu jeden lat [...], </w:t>
      </w:r>
      <w:r w:rsidR="00145E98">
        <w:t xml:space="preserve">zostanie zwolniona </w:t>
      </w:r>
      <w:r>
        <w:t>z odbywania kary</w:t>
      </w:r>
      <w:bookmarkEnd w:id="67"/>
      <w:r>
        <w:t>”.</w:t>
      </w:r>
    </w:p>
    <w:p w14:paraId="18CFD5FA" w14:textId="77777777" w:rsidR="00B406E3" w:rsidRPr="00E4522F" w:rsidRDefault="00B406E3" w:rsidP="00E4522F">
      <w:pPr>
        <w:pStyle w:val="JuHHead"/>
        <w:numPr>
          <w:ilvl w:val="0"/>
          <w:numId w:val="22"/>
        </w:numPr>
        <w:ind w:left="360" w:hanging="360"/>
      </w:pPr>
      <w:r>
        <w:lastRenderedPageBreak/>
        <w:t>PRAWO</w:t>
      </w:r>
    </w:p>
    <w:p w14:paraId="7850A7C4" w14:textId="0CAF8FAC" w:rsidR="00B406E3" w:rsidRPr="00E4522F" w:rsidRDefault="00B406E3" w:rsidP="00E4522F">
      <w:pPr>
        <w:pStyle w:val="JuHIRoman"/>
        <w:numPr>
          <w:ilvl w:val="1"/>
          <w:numId w:val="22"/>
        </w:numPr>
        <w:tabs>
          <w:tab w:val="clear" w:pos="454"/>
        </w:tabs>
        <w:ind w:left="792" w:hanging="432"/>
      </w:pPr>
      <w:bookmarkStart w:id="68" w:name="lt_pId150"/>
      <w:r>
        <w:t>ZARZUCANE NARUSZENIE ARTYKUŁÓW 3 I 8 KONWENCJI</w:t>
      </w:r>
      <w:bookmarkEnd w:id="68"/>
    </w:p>
    <w:p w14:paraId="0B694C1A" w14:textId="24F1F565" w:rsidR="00B406E3" w:rsidRPr="00E4522F" w:rsidRDefault="00564A52" w:rsidP="00E4522F">
      <w:pPr>
        <w:pStyle w:val="JuPara"/>
      </w:pPr>
      <w:fldSimple w:instr=" SEQ level0 \*arabic ">
        <w:r w:rsidR="001F6C98">
          <w:rPr>
            <w:noProof/>
          </w:rPr>
          <w:t>29</w:t>
        </w:r>
      </w:fldSimple>
      <w:r w:rsidR="00B406E3">
        <w:t>.  </w:t>
      </w:r>
      <w:bookmarkStart w:id="69" w:name="lt_pId152"/>
      <w:r w:rsidR="00B406E3">
        <w:t xml:space="preserve">Powołując się na art. 3 i 8 Konwencji, skarżąca zarzuciła, że Państwo nie wywiązało się z tego, co uznawała za jego pozytywne obowiązki wymagające od niego wykonania wyroku, w którym V.B. został uznany za winnego i skazany za </w:t>
      </w:r>
      <w:r w:rsidR="00B7194B">
        <w:t>napaść seksualną</w:t>
      </w:r>
      <w:r w:rsidR="00B406E3">
        <w:t>.</w:t>
      </w:r>
      <w:bookmarkEnd w:id="69"/>
      <w:r w:rsidR="00B406E3">
        <w:t xml:space="preserve"> W szczególności skarżyła się na postanowienie o zastosowaniu wobec niego amnestii oraz, w odniesieniu do okresów, w których nie był objęty amnestią, brak przeprowadzenia przez władze skutecznych poszukiwań. W odpowiednim zakresie artykuły, na które się powołano, mają następujące brzmienie:</w:t>
      </w:r>
    </w:p>
    <w:p w14:paraId="6199433B" w14:textId="77777777" w:rsidR="00B406E3" w:rsidRPr="00E4522F" w:rsidRDefault="00B406E3" w:rsidP="00E4522F">
      <w:pPr>
        <w:pStyle w:val="JuHArticle"/>
      </w:pPr>
      <w:bookmarkStart w:id="70" w:name="lt_pId155"/>
      <w:r>
        <w:t>Artykuł 3</w:t>
      </w:r>
      <w:bookmarkEnd w:id="70"/>
    </w:p>
    <w:p w14:paraId="4FB51AB4" w14:textId="77777777" w:rsidR="00B406E3" w:rsidRPr="00E4522F" w:rsidRDefault="00B406E3" w:rsidP="00E4522F">
      <w:pPr>
        <w:pStyle w:val="JuQuot"/>
      </w:pPr>
      <w:r>
        <w:t>„Nikt nie może być poddany torturom ani nieludzkiemu lub poniżającemu traktowaniu albo karaniu”.</w:t>
      </w:r>
    </w:p>
    <w:p w14:paraId="71CE5749" w14:textId="77777777" w:rsidR="00B406E3" w:rsidRPr="00E4522F" w:rsidRDefault="00B406E3" w:rsidP="00E4522F">
      <w:pPr>
        <w:pStyle w:val="JuHArticle"/>
      </w:pPr>
      <w:bookmarkStart w:id="71" w:name="lt_pId158"/>
      <w:r>
        <w:t>Artykuł 8</w:t>
      </w:r>
      <w:bookmarkEnd w:id="71"/>
    </w:p>
    <w:p w14:paraId="13F77AF1" w14:textId="77777777" w:rsidR="00B406E3" w:rsidRPr="00E4522F" w:rsidRDefault="00B406E3" w:rsidP="00E4522F">
      <w:pPr>
        <w:pStyle w:val="JuQuot"/>
      </w:pPr>
      <w:r>
        <w:t>„1.  Każdy ma prawo do poszanowania swojego życia prywatnego i rodzinnego, swojego mieszkania i swojej korespondencji.”</w:t>
      </w:r>
    </w:p>
    <w:p w14:paraId="183426ED" w14:textId="77777777" w:rsidR="00B406E3" w:rsidRPr="00E4522F" w:rsidRDefault="00B406E3" w:rsidP="00E4522F">
      <w:pPr>
        <w:pStyle w:val="JuHA"/>
        <w:numPr>
          <w:ilvl w:val="2"/>
          <w:numId w:val="22"/>
        </w:numPr>
        <w:ind w:left="1224" w:hanging="504"/>
      </w:pPr>
      <w:r>
        <w:t>Dopuszczalność</w:t>
      </w:r>
    </w:p>
    <w:p w14:paraId="23C60E7E" w14:textId="5232368C" w:rsidR="00B406E3" w:rsidRPr="00E4522F" w:rsidRDefault="00564A52" w:rsidP="00E4522F">
      <w:pPr>
        <w:pStyle w:val="JuPara"/>
      </w:pPr>
      <w:fldSimple w:instr=" SEQ level0 \*arabic ">
        <w:r w:rsidR="001F6C98">
          <w:rPr>
            <w:noProof/>
          </w:rPr>
          <w:t>30</w:t>
        </w:r>
      </w:fldSimple>
      <w:r w:rsidR="00B406E3">
        <w:t>.  </w:t>
      </w:r>
      <w:bookmarkStart w:id="72" w:name="lt_pId164"/>
      <w:r w:rsidR="00B406E3">
        <w:t xml:space="preserve">Rząd </w:t>
      </w:r>
      <w:r w:rsidR="003A1DF4">
        <w:t>zarzucił</w:t>
      </w:r>
      <w:r w:rsidR="00B406E3">
        <w:t>, że skarga nie została złożona w terminie sześciu miesięcy.</w:t>
      </w:r>
      <w:bookmarkEnd w:id="72"/>
      <w:r w:rsidR="00B406E3">
        <w:t xml:space="preserve"> Zwrócił uwagę na fakt, że główny zarzut skarżącej dotyczył udzielenia V.B. amnestii przez </w:t>
      </w:r>
      <w:bookmarkStart w:id="73" w:name="lt_pId165"/>
      <w:r w:rsidR="003A1DF4">
        <w:t>S</w:t>
      </w:r>
      <w:r w:rsidR="00B406E3">
        <w:t xml:space="preserve">ąd </w:t>
      </w:r>
      <w:r w:rsidR="003A1DF4">
        <w:t>A</w:t>
      </w:r>
      <w:r w:rsidR="00B406E3">
        <w:t>pelacyjny w Kiszyniowie w prawomocnym orzeczeniu z dnia 22 maja 2012 r</w:t>
      </w:r>
      <w:bookmarkStart w:id="74" w:name="lt_pId166"/>
      <w:bookmarkEnd w:id="73"/>
      <w:r w:rsidR="00B406E3">
        <w:t>. Jego zdaniem termin sześciu miesięcy należy liczyć od tego dnia, a przy jego obliczaniu nie należy brać pod uwagę zażaleń na to postanowienie.</w:t>
      </w:r>
      <w:bookmarkEnd w:id="74"/>
      <w:r w:rsidR="00B406E3">
        <w:t xml:space="preserve"> </w:t>
      </w:r>
      <w:bookmarkStart w:id="75" w:name="lt_pId167"/>
      <w:r w:rsidR="00B406E3">
        <w:t>W związku z tym, jak twierdzi Rząd, skarga została złożona po terminie.</w:t>
      </w:r>
      <w:bookmarkEnd w:id="75"/>
    </w:p>
    <w:p w14:paraId="0026BAB0" w14:textId="71B8FEAC" w:rsidR="00B406E3" w:rsidRPr="00E4522F" w:rsidRDefault="00564A52" w:rsidP="00E4522F">
      <w:pPr>
        <w:pStyle w:val="JuPara"/>
      </w:pPr>
      <w:fldSimple w:instr=" SEQ level0 \*arabic ">
        <w:r w:rsidR="001F6C98">
          <w:rPr>
            <w:noProof/>
          </w:rPr>
          <w:t>31</w:t>
        </w:r>
      </w:fldSimple>
      <w:r w:rsidR="00B406E3">
        <w:t>.  </w:t>
      </w:r>
      <w:bookmarkStart w:id="76" w:name="lt_pId169"/>
      <w:r w:rsidR="00B406E3">
        <w:t>Skarżąca nie ustosunkowała się do tej kwestii.</w:t>
      </w:r>
      <w:bookmarkEnd w:id="76"/>
    </w:p>
    <w:p w14:paraId="68D4AD47" w14:textId="58AB4285" w:rsidR="00B406E3" w:rsidRPr="00E4522F" w:rsidRDefault="00564A52" w:rsidP="00E4522F">
      <w:pPr>
        <w:pStyle w:val="JuPara"/>
      </w:pPr>
      <w:fldSimple w:instr=" SEQ level0 \*arabic ">
        <w:r w:rsidR="001F6C98">
          <w:rPr>
            <w:noProof/>
          </w:rPr>
          <w:t>32</w:t>
        </w:r>
      </w:fldSimple>
      <w:r w:rsidR="00B406E3">
        <w:t>.  </w:t>
      </w:r>
      <w:bookmarkStart w:id="77" w:name="lt_pId171"/>
      <w:r w:rsidR="00B406E3">
        <w:t>Trybunał zauważa, że skargi skarżącej składają się z dwóch aspektów. Pierwszy aspekt dotyczy udzielenia amnestii V.B., a drugi faktu, że nie podjęto faktycznych kroków, gdy V.B. nie był objęty amnestią, mających na celu wykonanie wyroku skazującego. Trybunał musi ustalić, czy należy dokonać rozróżnienia między tymi dwoma aspektami na potrzeby obliczenia sześciomiesięcznego terminu zakreślonego w</w:t>
      </w:r>
      <w:bookmarkStart w:id="78" w:name="lt_pId173"/>
      <w:bookmarkEnd w:id="77"/>
      <w:r w:rsidR="00B406E3">
        <w:t xml:space="preserve"> art. 35 ust. 1 Konwencji.</w:t>
      </w:r>
      <w:bookmarkEnd w:id="78"/>
    </w:p>
    <w:p w14:paraId="4208779A" w14:textId="2FF6C64B" w:rsidR="00B406E3" w:rsidRPr="00E4522F" w:rsidRDefault="00564A52" w:rsidP="00E4522F">
      <w:pPr>
        <w:pStyle w:val="JuPara"/>
      </w:pPr>
      <w:fldSimple w:instr=" SEQ level0 \*arabic ">
        <w:r w:rsidR="001F6C98">
          <w:rPr>
            <w:noProof/>
          </w:rPr>
          <w:t>33</w:t>
        </w:r>
      </w:fldSimple>
      <w:r w:rsidR="00B406E3">
        <w:t>.  </w:t>
      </w:r>
      <w:bookmarkStart w:id="79" w:name="lt_pId175"/>
      <w:r w:rsidR="00B406E3">
        <w:t>W związku z tym Trybunał zwraca uwagę na pojęcie „sytuacji ciągłej” – oznaczającej stan rzeczy, który istnieje wskutek ciągłych działań podejmowanych przez państwo lub ze strony państwa, aby nadać skarżącemu status pokrzywdzonego – i zauważa, że termin sześciu</w:t>
      </w:r>
      <w:r w:rsidR="001F6C98">
        <w:t xml:space="preserve"> </w:t>
      </w:r>
      <w:r w:rsidR="00B406E3">
        <w:t xml:space="preserve">miesięcy nie zaczyna biec tak długo, jak długo istnieje sytuacja ciągła (zob. </w:t>
      </w:r>
      <w:proofErr w:type="spellStart"/>
      <w:r w:rsidR="00B406E3">
        <w:rPr>
          <w:i/>
          <w:iCs/>
        </w:rPr>
        <w:t>Iordache</w:t>
      </w:r>
      <w:proofErr w:type="spellEnd"/>
      <w:r w:rsidR="00B406E3">
        <w:rPr>
          <w:i/>
          <w:iCs/>
        </w:rPr>
        <w:t xml:space="preserve"> przeciwko Rumunii</w:t>
      </w:r>
      <w:r w:rsidR="00B406E3">
        <w:t xml:space="preserve">, nr 6817/02, §§ 49-50, 14 października 2008 r., oraz </w:t>
      </w:r>
      <w:proofErr w:type="spellStart"/>
      <w:r w:rsidR="00B406E3">
        <w:rPr>
          <w:i/>
          <w:iCs/>
        </w:rPr>
        <w:t>Călin</w:t>
      </w:r>
      <w:proofErr w:type="spellEnd"/>
      <w:r w:rsidR="00B406E3">
        <w:rPr>
          <w:i/>
          <w:iCs/>
        </w:rPr>
        <w:t xml:space="preserve"> i Inni przeciwko Rumunii</w:t>
      </w:r>
      <w:r w:rsidR="00B406E3">
        <w:t>, nr 25057/11 i 2 inne, § 57, 19 lipca 2016 r.</w:t>
      </w:r>
      <w:r w:rsidR="00B406E3">
        <w:rPr>
          <w:snapToGrid w:val="0"/>
        </w:rPr>
        <w:t>)</w:t>
      </w:r>
      <w:r w:rsidR="00B406E3">
        <w:t>.</w:t>
      </w:r>
      <w:bookmarkEnd w:id="79"/>
      <w:r w:rsidR="00B406E3">
        <w:rPr>
          <w:snapToGrid w:val="0"/>
        </w:rPr>
        <w:t xml:space="preserve"> </w:t>
      </w:r>
      <w:bookmarkStart w:id="80" w:name="lt_pId176"/>
      <w:r w:rsidR="00B406E3">
        <w:rPr>
          <w:snapToGrid w:val="0"/>
        </w:rPr>
        <w:t xml:space="preserve">Jednakże </w:t>
      </w:r>
      <w:r w:rsidR="00B406E3">
        <w:rPr>
          <w:snapToGrid w:val="0"/>
        </w:rPr>
        <w:lastRenderedPageBreak/>
        <w:t>nie wszystkie sytuacje ciągłe są takie same</w:t>
      </w:r>
      <w:r w:rsidR="00B406E3">
        <w:t xml:space="preserve"> (zob. </w:t>
      </w:r>
      <w:proofErr w:type="spellStart"/>
      <w:r w:rsidR="00B406E3">
        <w:rPr>
          <w:i/>
          <w:iCs/>
        </w:rPr>
        <w:t>Mocanu</w:t>
      </w:r>
      <w:proofErr w:type="spellEnd"/>
      <w:r w:rsidR="00B406E3">
        <w:rPr>
          <w:i/>
          <w:iCs/>
        </w:rPr>
        <w:t xml:space="preserve"> i Inni przeciwko Rumunii</w:t>
      </w:r>
      <w:r w:rsidR="00B406E3">
        <w:t xml:space="preserve"> [WI], nr 10865/09 i 2 inne, § 262, </w:t>
      </w:r>
      <w:proofErr w:type="spellStart"/>
      <w:r w:rsidR="00B406E3">
        <w:t>ETPCz</w:t>
      </w:r>
      <w:proofErr w:type="spellEnd"/>
      <w:r w:rsidR="00B406E3">
        <w:t xml:space="preserve"> 2014 (fragmenty)).</w:t>
      </w:r>
      <w:bookmarkEnd w:id="80"/>
      <w:r w:rsidR="00B406E3">
        <w:t xml:space="preserve"> Trybunał powtarza, że choć istnieją oczywiste rozróżnienia pomiędzy różnymi naruszeniami o charakterze ciągłym, skarga skarżącego musi w każdym przypadku zostać wniesiona „bez zbędnej zwłoki”, gdy tylko okaże się, że brak jest realnych perspektyw na korzystne rozstrzygnięcie lub prowadzenie postępowania ze skargi w kraju </w:t>
      </w:r>
      <w:bookmarkStart w:id="81" w:name="lt_pId177"/>
      <w:r w:rsidR="00B406E3">
        <w:t xml:space="preserve">(zob. </w:t>
      </w:r>
      <w:r w:rsidR="00B406E3">
        <w:rPr>
          <w:i/>
        </w:rPr>
        <w:t>Sokolov i Inni przeciwko Serbii</w:t>
      </w:r>
      <w:r w:rsidR="00B406E3">
        <w:t xml:space="preserve"> (</w:t>
      </w:r>
      <w:proofErr w:type="spellStart"/>
      <w:r w:rsidR="00B406E3">
        <w:t>dec</w:t>
      </w:r>
      <w:proofErr w:type="spellEnd"/>
      <w:r w:rsidR="00B406E3">
        <w:t xml:space="preserve">.), nr 30859/10 i inne, § 31 </w:t>
      </w:r>
      <w:r w:rsidR="00B406E3">
        <w:rPr>
          <w:i/>
          <w:iCs/>
        </w:rPr>
        <w:t>in fine</w:t>
      </w:r>
      <w:r w:rsidR="00B406E3">
        <w:t>, 14 stycznia 2014 r.).</w:t>
      </w:r>
      <w:bookmarkEnd w:id="81"/>
    </w:p>
    <w:p w14:paraId="59E12C01" w14:textId="1A15A410" w:rsidR="00B406E3" w:rsidRPr="00E4522F" w:rsidRDefault="00564A52" w:rsidP="00E4522F">
      <w:pPr>
        <w:pStyle w:val="JuPara"/>
      </w:pPr>
      <w:fldSimple w:instr=" SEQ level0 \*arabic ">
        <w:r w:rsidR="001F6C98">
          <w:rPr>
            <w:noProof/>
          </w:rPr>
          <w:t>34</w:t>
        </w:r>
      </w:fldSimple>
      <w:r w:rsidR="00B406E3">
        <w:t>.  </w:t>
      </w:r>
      <w:bookmarkStart w:id="82" w:name="lt_pId179"/>
      <w:r w:rsidR="00B406E3">
        <w:t xml:space="preserve">W tej sprawie Trybunał zauważa, że przedmiot skarg skarżącej na podstawie art. 3 i 8 Konwencji dotyczy </w:t>
      </w:r>
      <w:r w:rsidR="00B406E3">
        <w:rPr>
          <w:i/>
          <w:iCs/>
        </w:rPr>
        <w:t>faktycznej</w:t>
      </w:r>
      <w:r w:rsidR="00B406E3">
        <w:t xml:space="preserve"> bezkarności V.B. za naruszenie nietykalności cielesnej na tle seksualnym, jakiego dopuścił się wobec jej osoby. Zdaniem Trybunału, konkretne uchybienia wskazane przez skarżącą w odniesieniu do tych skarg – tj. rzekomo bezprawne udzielenie amnestii oraz rzekoma bezczynność władz polegająca na niepodejmowaniu żadnych czynności w celu odnalezienia V.B.</w:t>
      </w:r>
      <w:bookmarkStart w:id="83" w:name="lt_pId180"/>
      <w:bookmarkEnd w:id="82"/>
      <w:r w:rsidR="00B406E3">
        <w:t xml:space="preserve"> – są ze sobą nierozerwalnie związane. Z tego powodu Sąd uznał, że w okolicznościach niniejszej sprawy okres niewykonywania sankcji karnej nałożonej na V.B. należy </w:t>
      </w:r>
      <w:bookmarkStart w:id="84" w:name="lt_pId181"/>
      <w:bookmarkEnd w:id="83"/>
      <w:r w:rsidR="00B406E3">
        <w:t>potraktować całościowo dla celów zasady dotyczącej terminu sześciu miesięcy</w:t>
      </w:r>
      <w:bookmarkEnd w:id="84"/>
      <w:r w:rsidR="00B406E3">
        <w:t>.</w:t>
      </w:r>
    </w:p>
    <w:p w14:paraId="6CDC9A84" w14:textId="074358A2" w:rsidR="00B406E3" w:rsidRPr="00E4522F" w:rsidRDefault="00564A52" w:rsidP="00E4522F">
      <w:pPr>
        <w:pStyle w:val="JuPara"/>
      </w:pPr>
      <w:fldSimple w:instr=" SEQ level0 \*arabic ">
        <w:r w:rsidR="001F6C98">
          <w:rPr>
            <w:noProof/>
          </w:rPr>
          <w:t>35</w:t>
        </w:r>
      </w:fldSimple>
      <w:r w:rsidR="00B406E3">
        <w:t>.  </w:t>
      </w:r>
      <w:bookmarkStart w:id="85" w:name="lt_pId183"/>
      <w:r w:rsidR="00B406E3">
        <w:t>Reasumując, Trybunał uważa, że uchybienia, za które skarżąca stara się pociągnąć do odpowiedzialności władze mołdawskie, stanowiły sytuację ciągłą (por., w odniesieniu do braku wykonania wyroków sądu administracyjnego, sprawy</w:t>
      </w:r>
      <w:r w:rsidR="001F6C98">
        <w:t xml:space="preserve"> </w:t>
      </w:r>
      <w:proofErr w:type="spellStart"/>
      <w:r w:rsidR="00B406E3">
        <w:rPr>
          <w:i/>
        </w:rPr>
        <w:t>Hornsby</w:t>
      </w:r>
      <w:proofErr w:type="spellEnd"/>
      <w:r w:rsidR="00B406E3">
        <w:rPr>
          <w:i/>
        </w:rPr>
        <w:t xml:space="preserve"> przeciwko Grecji</w:t>
      </w:r>
      <w:r w:rsidR="00B406E3">
        <w:t>, 19 marca 1997 r., § 35, Zbiór Wyroków i Decyzji 199 7</w:t>
      </w:r>
      <w:r w:rsidR="00B406E3">
        <w:noBreakHyphen/>
        <w:t xml:space="preserve">II, oraz </w:t>
      </w:r>
      <w:r w:rsidR="00B406E3">
        <w:rPr>
          <w:i/>
          <w:iCs/>
        </w:rPr>
        <w:t xml:space="preserve">Sabin </w:t>
      </w:r>
      <w:proofErr w:type="spellStart"/>
      <w:r w:rsidR="00B406E3">
        <w:rPr>
          <w:i/>
          <w:iCs/>
        </w:rPr>
        <w:t>Popescu</w:t>
      </w:r>
      <w:proofErr w:type="spellEnd"/>
      <w:r w:rsidR="00B406E3">
        <w:rPr>
          <w:i/>
          <w:iCs/>
        </w:rPr>
        <w:t xml:space="preserve"> przeciwko Rumunii</w:t>
      </w:r>
      <w:r w:rsidR="00B406E3">
        <w:t>, nr 48102/99, § 51, 2 marca 2004 r.).</w:t>
      </w:r>
      <w:bookmarkEnd w:id="85"/>
      <w:r w:rsidR="00B406E3">
        <w:t xml:space="preserve"> Ponadto Trybunał zauważył, że z przedstawionych mu materiałów nie wynika, że przestała istnieć realna perspektywa wykonania kary przez władze mołdawskie. </w:t>
      </w:r>
      <w:bookmarkStart w:id="86" w:name="lt_pId185"/>
      <w:r w:rsidR="00B406E3">
        <w:t>Zastrzeżenie Rządu należy zatem oddalić.</w:t>
      </w:r>
      <w:bookmarkEnd w:id="86"/>
    </w:p>
    <w:p w14:paraId="66209896" w14:textId="4B43B42E" w:rsidR="00B406E3" w:rsidRPr="00E4522F" w:rsidRDefault="00564A52" w:rsidP="00E4522F">
      <w:pPr>
        <w:pStyle w:val="JuPara"/>
      </w:pPr>
      <w:fldSimple w:instr=" SEQ level0 \*arabic ">
        <w:r w:rsidR="001F6C98">
          <w:rPr>
            <w:noProof/>
          </w:rPr>
          <w:t>36</w:t>
        </w:r>
      </w:fldSimple>
      <w:r w:rsidR="00B406E3">
        <w:t>.  </w:t>
      </w:r>
      <w:bookmarkStart w:id="87" w:name="lt_pId187"/>
      <w:r w:rsidR="00B406E3">
        <w:t>Trybunał stwierdza ponadto, że skargi nie są w sposób oczywisty nieuzasadnione ani niedopuszczalne z jakiegokolwiek innego powodu na podstawie art. 35 Konwencji i w związku z tym uznaje je za dopuszczalne</w:t>
      </w:r>
      <w:bookmarkEnd w:id="87"/>
      <w:r w:rsidR="00B406E3">
        <w:t>.</w:t>
      </w:r>
    </w:p>
    <w:p w14:paraId="2EC5CC40" w14:textId="77777777" w:rsidR="00B406E3" w:rsidRPr="00E4522F" w:rsidRDefault="00B406E3" w:rsidP="00E4522F">
      <w:pPr>
        <w:pStyle w:val="JuHA"/>
        <w:numPr>
          <w:ilvl w:val="2"/>
          <w:numId w:val="22"/>
        </w:numPr>
        <w:ind w:left="1224" w:hanging="504"/>
      </w:pPr>
      <w:r>
        <w:t>Przedmiot skargi</w:t>
      </w:r>
    </w:p>
    <w:p w14:paraId="75396D51" w14:textId="479410E1" w:rsidR="00B406E3" w:rsidRPr="00E4522F" w:rsidRDefault="00564A52" w:rsidP="00E4522F">
      <w:pPr>
        <w:pStyle w:val="JuPara"/>
      </w:pPr>
      <w:fldSimple w:instr=" SEQ level0 \*arabic ">
        <w:r w:rsidR="001F6C98">
          <w:rPr>
            <w:noProof/>
          </w:rPr>
          <w:t>37</w:t>
        </w:r>
      </w:fldSimple>
      <w:r w:rsidR="00B406E3">
        <w:t>.  </w:t>
      </w:r>
      <w:bookmarkStart w:id="88" w:name="lt_pId190"/>
      <w:r w:rsidR="00B406E3">
        <w:t xml:space="preserve">Skarżąca podniosła, że brak wykonania wyroku skazującego V.B. uczynił iluzoryczną ochronę, jaką powinno zapewnić ukaranie sprawcy za przestępstwo </w:t>
      </w:r>
      <w:r w:rsidR="00A54CBA">
        <w:t xml:space="preserve">napaści seksualnej, </w:t>
      </w:r>
      <w:r w:rsidR="00B406E3">
        <w:t>co skutkowało, jej zdaniem, naruszeniem art. 3 i 8 ust. 1 Konwencji.</w:t>
      </w:r>
      <w:bookmarkEnd w:id="88"/>
      <w:r w:rsidR="00B406E3">
        <w:t xml:space="preserve"> </w:t>
      </w:r>
      <w:bookmarkStart w:id="89" w:name="lt_pId191"/>
      <w:r w:rsidR="00B406E3">
        <w:t>Zarzuciła, że zastosowanie amnestii wobec V.B. było niezgodne z prawem i że sądy krajowe zastosowały przepisy ustawy o amnestii z 2008 r. w sposób niespójny.</w:t>
      </w:r>
      <w:bookmarkEnd w:id="89"/>
      <w:r w:rsidR="00B406E3">
        <w:t xml:space="preserve"> Skarżyła się ponadto na brak wykonania przez władze wyroku skazującego po uchyleniu amnestii.</w:t>
      </w:r>
    </w:p>
    <w:p w14:paraId="3723B3DD" w14:textId="3DAC04E9" w:rsidR="00B406E3" w:rsidRPr="00E4522F" w:rsidRDefault="00564A52" w:rsidP="00E4522F">
      <w:pPr>
        <w:pStyle w:val="JuPara"/>
      </w:pPr>
      <w:fldSimple w:instr=" SEQ level0 \*arabic ">
        <w:r w:rsidR="001F6C98">
          <w:rPr>
            <w:noProof/>
          </w:rPr>
          <w:t>38</w:t>
        </w:r>
      </w:fldSimple>
      <w:r w:rsidR="00B406E3">
        <w:t>.  </w:t>
      </w:r>
      <w:bookmarkStart w:id="90" w:name="lt_pId194"/>
      <w:r w:rsidR="00B406E3">
        <w:t>Rząd zauważył, że władze państwowe nie mogły zabronić V.B. złożenia wniosku o udzielenie amnestii.</w:t>
      </w:r>
      <w:bookmarkEnd w:id="90"/>
      <w:r w:rsidR="00B406E3">
        <w:t xml:space="preserve"> W każdym razie, jak twierdził Rząd, przy rozważaniu, czy państwo wywiązało się ze swoich pozytywnych obowiązków wynikających z</w:t>
      </w:r>
      <w:bookmarkStart w:id="91" w:name="lt_pId195"/>
      <w:r w:rsidR="00B406E3">
        <w:t> art. 3 i 8 Konwencji</w:t>
      </w:r>
      <w:bookmarkEnd w:id="91"/>
      <w:r w:rsidR="00B406E3">
        <w:t xml:space="preserve"> należy wziąć pod uwagę </w:t>
      </w:r>
      <w:r w:rsidR="00B406E3">
        <w:lastRenderedPageBreak/>
        <w:t xml:space="preserve">późniejsze uchylenie amnestii. Rząd twierdził ponadto, że pozytywne obowiązki aktualizujące się w sprawach dotyczących przemocy między osobami prywatnymi są zobowiązaniami dotyczącymi środków, a nie rezultatu, i że w związku z tym wykonanie </w:t>
      </w:r>
      <w:bookmarkStart w:id="92" w:name="lt_pId196"/>
      <w:r w:rsidR="00B406E3">
        <w:t xml:space="preserve">wyroku wobec V.B. nie wchodziło w zakres pozytywnych obowiązków Państwa. Niemniej jednak zaznaczył, że władze nadal podejmują działania mające na celu odnalezienie i zatrzymanie </w:t>
      </w:r>
      <w:bookmarkStart w:id="93" w:name="lt_pId197"/>
      <w:bookmarkEnd w:id="92"/>
      <w:r w:rsidR="00B406E3">
        <w:t>V.B.</w:t>
      </w:r>
      <w:bookmarkEnd w:id="93"/>
    </w:p>
    <w:p w14:paraId="6FB7ED70" w14:textId="0B45321E" w:rsidR="00B406E3" w:rsidRPr="00E4522F" w:rsidRDefault="00564A52" w:rsidP="00E4522F">
      <w:pPr>
        <w:pStyle w:val="JuPara"/>
        <w:rPr>
          <w:snapToGrid w:val="0"/>
        </w:rPr>
      </w:pPr>
      <w:fldSimple w:instr=" SEQ level0 \*arabic ">
        <w:r w:rsidR="001F6C98">
          <w:rPr>
            <w:noProof/>
          </w:rPr>
          <w:t>39</w:t>
        </w:r>
      </w:fldSimple>
      <w:r w:rsidR="00B406E3">
        <w:t>. </w:t>
      </w:r>
      <w:bookmarkStart w:id="94" w:name="lt_pId199"/>
      <w:r w:rsidR="00B406E3">
        <w:t> Trybunał powtarza na wstępie, że zgwałcenie i poważne naruszenie nietykalności cielesnej na tle seksualnym stanowią traktowanie, które wchodzi w zakres art. 3 Konwencji, a także dotyczy podstawowych wartości i istotnych aspektów „życia prywatnego” w rozumieniu art. 8 (</w:t>
      </w:r>
      <w:bookmarkStart w:id="95" w:name="File3375"/>
      <w:r w:rsidR="00B406E3">
        <w:t xml:space="preserve">zob. </w:t>
      </w:r>
      <w:r w:rsidR="00B406E3">
        <w:rPr>
          <w:i/>
          <w:iCs/>
        </w:rPr>
        <w:t>Y przeciwko Bułgarii</w:t>
      </w:r>
      <w:r w:rsidR="00B406E3">
        <w:t>, nr 41990/18, §§ 63</w:t>
      </w:r>
      <w:r w:rsidR="00B406E3">
        <w:noBreakHyphen/>
        <w:t>64, 20 lutego 2020 r</w:t>
      </w:r>
      <w:bookmarkEnd w:id="95"/>
      <w:r w:rsidR="00B406E3">
        <w:t>., i przytoczone tam sprawy)</w:t>
      </w:r>
      <w:bookmarkEnd w:id="94"/>
      <w:r w:rsidR="00B406E3">
        <w:t xml:space="preserve">. </w:t>
      </w:r>
      <w:bookmarkStart w:id="96" w:name="lt_pId200"/>
      <w:r w:rsidR="00B406E3">
        <w:t>Stosując tę utrwaloną zasadę, Trybunał uznaje, że skargi skarżącej mogą być rozpatrywane łącznie na podstawie art. 3 i 8 Konwencji (tamże, § 65).</w:t>
      </w:r>
      <w:bookmarkEnd w:id="96"/>
      <w:r w:rsidR="00B406E3">
        <w:t xml:space="preserve"> Trybunał odwołuje się również do mających zastosowanie zasad ogólnych</w:t>
      </w:r>
      <w:bookmarkStart w:id="97" w:name="lt_pId201"/>
      <w:r w:rsidR="00B406E3">
        <w:t xml:space="preserve"> przytoczonych w sprawie </w:t>
      </w:r>
      <w:r w:rsidR="00B406E3">
        <w:rPr>
          <w:i/>
          <w:iCs/>
        </w:rPr>
        <w:t>M.C. przeciwko Bułgarii</w:t>
      </w:r>
      <w:r w:rsidR="00B406E3">
        <w:t xml:space="preserve"> (nr 39272/98, §§ 149</w:t>
      </w:r>
      <w:r w:rsidR="00B406E3">
        <w:noBreakHyphen/>
        <w:t xml:space="preserve">152, </w:t>
      </w:r>
      <w:proofErr w:type="spellStart"/>
      <w:r w:rsidR="00B406E3">
        <w:t>ETPCz</w:t>
      </w:r>
      <w:proofErr w:type="spellEnd"/>
      <w:r w:rsidR="00B406E3">
        <w:t xml:space="preserve"> 2003-XII)</w:t>
      </w:r>
      <w:bookmarkEnd w:id="97"/>
      <w:r w:rsidR="00B406E3">
        <w:t xml:space="preserve">. Trybunał zauważa przede wszystkim, </w:t>
      </w:r>
      <w:bookmarkStart w:id="98" w:name="lt_pId202"/>
      <w:r w:rsidR="00B406E3">
        <w:t xml:space="preserve">że państwa mają pozytywny obowiązek wynikający z art. 3 i 8 Konwencji, aby wprowadzić w życie przepisy prawa karnego, które skutecznie sankcjonują przestępstwo zgwałcenia i stosować je w praktyce poprzez prowadzenie skutecznego postępowania karnego (zob. </w:t>
      </w:r>
      <w:r w:rsidR="00B406E3">
        <w:rPr>
          <w:i/>
        </w:rPr>
        <w:t xml:space="preserve">M.C., </w:t>
      </w:r>
      <w:r w:rsidR="00B406E3">
        <w:t xml:space="preserve">cyt. powyżej, oraz </w:t>
      </w:r>
      <w:r w:rsidR="00B406E3">
        <w:rPr>
          <w:i/>
          <w:iCs/>
        </w:rPr>
        <w:t>B.V. przeciwko Belgii</w:t>
      </w:r>
      <w:r w:rsidR="00B406E3">
        <w:t>, nr 61030/08, § 55, 2 maja 2017 r.).</w:t>
      </w:r>
      <w:bookmarkEnd w:id="98"/>
      <w:r w:rsidR="00B406E3">
        <w:t xml:space="preserve"> Ten pozytywny obowiązek wymaga ponadto kryminalizacji i skutecznego ścigania wszystkich czynności seksualnych, na które pokrzywdzony nie wyraził zgody </w:t>
      </w:r>
      <w:bookmarkStart w:id="99" w:name="lt_pId203"/>
      <w:r w:rsidR="00B406E3">
        <w:t xml:space="preserve">(zob. </w:t>
      </w:r>
      <w:r w:rsidR="00B406E3">
        <w:rPr>
          <w:i/>
          <w:iCs/>
        </w:rPr>
        <w:t>M.G.C. przeciwko Rumunii</w:t>
      </w:r>
      <w:r w:rsidR="00B406E3">
        <w:t>, nr 61495/11, § 59, 15 marca 2016</w:t>
      </w:r>
      <w:r w:rsidR="00B406E3">
        <w:rPr>
          <w:snapToGrid w:val="0"/>
        </w:rPr>
        <w:t xml:space="preserve"> r., oraz </w:t>
      </w:r>
      <w:r w:rsidR="00B406E3">
        <w:rPr>
          <w:i/>
          <w:iCs/>
          <w:snapToGrid w:val="0"/>
        </w:rPr>
        <w:t>Z przeciwko Bułgarii</w:t>
      </w:r>
      <w:r w:rsidR="00B406E3">
        <w:rPr>
          <w:snapToGrid w:val="0"/>
        </w:rPr>
        <w:t>, nr 39257/17, § 67, 28 maja 2020 r.).</w:t>
      </w:r>
      <w:bookmarkEnd w:id="99"/>
    </w:p>
    <w:bookmarkStart w:id="100" w:name="exigence_célérité"/>
    <w:p w14:paraId="7E1CDED0" w14:textId="1B69BB51" w:rsidR="00B406E3" w:rsidRPr="00E4522F" w:rsidRDefault="00B406E3" w:rsidP="00E4522F">
      <w:pPr>
        <w:pStyle w:val="JuPara"/>
      </w:pPr>
      <w:r w:rsidRPr="00E4522F">
        <w:fldChar w:fldCharType="begin"/>
      </w:r>
      <w:r w:rsidRPr="00E4522F">
        <w:instrText xml:space="preserve"> SEQ level0 \*arabic </w:instrText>
      </w:r>
      <w:r w:rsidRPr="00E4522F">
        <w:fldChar w:fldCharType="separate"/>
      </w:r>
      <w:r w:rsidR="001F6C98">
        <w:rPr>
          <w:noProof/>
        </w:rPr>
        <w:t>40</w:t>
      </w:r>
      <w:r w:rsidRPr="00E4522F">
        <w:fldChar w:fldCharType="end"/>
      </w:r>
      <w:bookmarkEnd w:id="100"/>
      <w:r>
        <w:t>.  </w:t>
      </w:r>
      <w:bookmarkStart w:id="101" w:name="lt_pId205"/>
      <w:r>
        <w:t>W tym kontekście implikowany jest wymóg działania z należytą szybkością i celowością.</w:t>
      </w:r>
      <w:bookmarkEnd w:id="101"/>
      <w:r>
        <w:t xml:space="preserve"> Szybka reakcja ze strony władz ma zasadnicze znaczenie dla utrzymania publicznego zaufania w przestrzeganie przez nie rządów prawa i zapobiegania wszelkim pozorom zmowy lub tolerancji dla działań bezprawnych </w:t>
      </w:r>
      <w:bookmarkStart w:id="102" w:name="lt_pId206"/>
      <w:r>
        <w:t xml:space="preserve">(zob. </w:t>
      </w:r>
      <w:r>
        <w:rPr>
          <w:i/>
          <w:iCs/>
        </w:rPr>
        <w:t>B.V.</w:t>
      </w:r>
      <w:r>
        <w:t>, cyt. powyżej, § 58, i przytoczone tam sprawy)</w:t>
      </w:r>
      <w:bookmarkEnd w:id="102"/>
      <w:r>
        <w:t>.</w:t>
      </w:r>
    </w:p>
    <w:p w14:paraId="7EE35EE6" w14:textId="4D19CC56" w:rsidR="00C64D23" w:rsidRPr="00E4522F" w:rsidRDefault="00564A52" w:rsidP="00E4522F">
      <w:pPr>
        <w:pStyle w:val="JuPara"/>
      </w:pPr>
      <w:fldSimple w:instr=" SEQ level0 \*arabic ">
        <w:r w:rsidR="001F6C98">
          <w:rPr>
            <w:noProof/>
          </w:rPr>
          <w:t>41</w:t>
        </w:r>
      </w:fldSimple>
      <w:r w:rsidR="00C64D23">
        <w:t>.  </w:t>
      </w:r>
      <w:bookmarkStart w:id="103" w:name="lt_pId208"/>
      <w:r w:rsidR="00C64D23">
        <w:t>Trybunał pragnie ponadto wskazać, że w odniesieniu do art. 2 Konwencji orzekł, że wymóg podjęcia przez władze skutecznego dochodzenia karnego może być również interpretowany jako nałożenie na państwa obowiązku wykonania ostatecznego orzeczenia bez zbędnej zwłoki. Jest tak, ponieważ wykonanie kary orzeczonej w kontekście prawa do życia należy uznać za integralną część obowiązku proceduralnego państwa wynikającego z tego artykułu</w:t>
      </w:r>
      <w:bookmarkEnd w:id="103"/>
      <w:r w:rsidR="00C64D23">
        <w:t xml:space="preserve"> </w:t>
      </w:r>
      <w:bookmarkStart w:id="104" w:name="lt_pId209"/>
      <w:r w:rsidR="00C64D23">
        <w:t xml:space="preserve">(zob. </w:t>
      </w:r>
      <w:proofErr w:type="spellStart"/>
      <w:r w:rsidR="00C64D23">
        <w:rPr>
          <w:i/>
          <w:iCs/>
        </w:rPr>
        <w:t>Kitanovska</w:t>
      </w:r>
      <w:proofErr w:type="spellEnd"/>
      <w:r w:rsidR="00C64D23">
        <w:rPr>
          <w:i/>
          <w:iCs/>
        </w:rPr>
        <w:t xml:space="preserve"> </w:t>
      </w:r>
      <w:proofErr w:type="spellStart"/>
      <w:r w:rsidR="00C64D23">
        <w:rPr>
          <w:i/>
          <w:iCs/>
        </w:rPr>
        <w:t>Stanojkovic</w:t>
      </w:r>
      <w:proofErr w:type="spellEnd"/>
      <w:r w:rsidR="00C64D23">
        <w:rPr>
          <w:i/>
          <w:iCs/>
        </w:rPr>
        <w:t xml:space="preserve"> i Inni przeciwko Byłej Jugosłowiańskiej Republice Macedonii</w:t>
      </w:r>
      <w:r w:rsidR="00C64D23">
        <w:t xml:space="preserve">, nr 2319/14, § 32, 13 października 2016; </w:t>
      </w:r>
      <w:proofErr w:type="spellStart"/>
      <w:r w:rsidR="00C64D23">
        <w:rPr>
          <w:i/>
          <w:iCs/>
        </w:rPr>
        <w:t>Akelienė</w:t>
      </w:r>
      <w:proofErr w:type="spellEnd"/>
      <w:r w:rsidR="00C64D23">
        <w:rPr>
          <w:i/>
          <w:iCs/>
        </w:rPr>
        <w:t xml:space="preserve"> przeciwko Litwie</w:t>
      </w:r>
      <w:r w:rsidR="00C64D23">
        <w:t xml:space="preserve">, nr 54917/13, § 85, 16 października 2018 roku; oraz </w:t>
      </w:r>
      <w:proofErr w:type="spellStart"/>
      <w:r w:rsidR="00C64D23">
        <w:rPr>
          <w:i/>
          <w:iCs/>
        </w:rPr>
        <w:t>Makuchyan</w:t>
      </w:r>
      <w:proofErr w:type="spellEnd"/>
      <w:r w:rsidR="00C64D23">
        <w:rPr>
          <w:i/>
          <w:iCs/>
        </w:rPr>
        <w:t xml:space="preserve"> i </w:t>
      </w:r>
      <w:proofErr w:type="spellStart"/>
      <w:r w:rsidR="00C64D23">
        <w:rPr>
          <w:i/>
          <w:iCs/>
        </w:rPr>
        <w:t>Minasyan</w:t>
      </w:r>
      <w:proofErr w:type="spellEnd"/>
      <w:r w:rsidR="00C64D23">
        <w:rPr>
          <w:i/>
          <w:iCs/>
        </w:rPr>
        <w:t xml:space="preserve"> przeciwko Azerbejdżanowi i Węgrom</w:t>
      </w:r>
      <w:r w:rsidR="00C64D23">
        <w:t>, nr 17247/13, § 50, 26 maja 2020 r.).</w:t>
      </w:r>
      <w:bookmarkEnd w:id="104"/>
      <w:r w:rsidR="00C64D23">
        <w:t xml:space="preserve"> Trybunał jest zdania, że to samo podejście należy zastosować w niniejszej sprawie i że </w:t>
      </w:r>
      <w:r w:rsidR="00C64D23">
        <w:lastRenderedPageBreak/>
        <w:t>wykonywanie kar za przestępstwa na tle seksualnym jest integralną częścią pozytywnego obowiązku nałożonego na państwa przez art. 3 i 8 Konwencji.</w:t>
      </w:r>
    </w:p>
    <w:p w14:paraId="780206BA" w14:textId="20B0B1A4" w:rsidR="00C64D23" w:rsidRPr="00E4522F" w:rsidRDefault="00C64D23" w:rsidP="00E4522F">
      <w:pPr>
        <w:pStyle w:val="JuPara"/>
        <w:rPr>
          <w:iCs/>
        </w:rPr>
      </w:pPr>
      <w:r w:rsidRPr="00E4522F">
        <w:rPr>
          <w:iCs/>
        </w:rPr>
        <w:fldChar w:fldCharType="begin"/>
      </w:r>
      <w:r w:rsidRPr="00E4522F">
        <w:rPr>
          <w:iCs/>
        </w:rPr>
        <w:instrText xml:space="preserve"> SEQ level0 \*arabic </w:instrText>
      </w:r>
      <w:r w:rsidRPr="00E4522F">
        <w:rPr>
          <w:iCs/>
        </w:rPr>
        <w:fldChar w:fldCharType="separate"/>
      </w:r>
      <w:r w:rsidR="001F6C98">
        <w:rPr>
          <w:iCs/>
          <w:noProof/>
        </w:rPr>
        <w:t>42</w:t>
      </w:r>
      <w:r w:rsidRPr="00E4522F">
        <w:rPr>
          <w:iCs/>
        </w:rPr>
        <w:fldChar w:fldCharType="end"/>
      </w:r>
      <w:r>
        <w:t>.  </w:t>
      </w:r>
      <w:bookmarkStart w:id="105" w:name="lt_pId212"/>
      <w:r>
        <w:t xml:space="preserve">Przechodząc do stanu faktycznego sprawy, Trybunał zauważa, że V.B. został skazany na pięć lat pozbawienia wolności za </w:t>
      </w:r>
      <w:r w:rsidR="00BF3244">
        <w:t>napaść seksualną na skarżącą.</w:t>
      </w:r>
      <w:r>
        <w:t xml:space="preserve"> Wyrok stał się wykonalny w dniu 2 grudnia 2009 r., ale do chwili obecnej nie został wykonany</w:t>
      </w:r>
      <w:bookmarkStart w:id="106" w:name="lt_pId213"/>
      <w:r>
        <w:t>.</w:t>
      </w:r>
      <w:bookmarkEnd w:id="105"/>
      <w:bookmarkEnd w:id="106"/>
    </w:p>
    <w:p w14:paraId="664C1767" w14:textId="1E998BCF" w:rsidR="00F76E33" w:rsidRPr="00E4522F" w:rsidRDefault="00C64D23" w:rsidP="00E4522F">
      <w:pPr>
        <w:pStyle w:val="JuPara"/>
      </w:pPr>
      <w:r w:rsidRPr="00E4522F">
        <w:rPr>
          <w:iCs/>
        </w:rPr>
        <w:fldChar w:fldCharType="begin"/>
      </w:r>
      <w:r w:rsidRPr="00E4522F">
        <w:rPr>
          <w:iCs/>
        </w:rPr>
        <w:instrText xml:space="preserve"> SEQ level0 \*arabic </w:instrText>
      </w:r>
      <w:r w:rsidRPr="00E4522F">
        <w:rPr>
          <w:iCs/>
        </w:rPr>
        <w:fldChar w:fldCharType="separate"/>
      </w:r>
      <w:r w:rsidR="001F6C98">
        <w:rPr>
          <w:iCs/>
          <w:noProof/>
        </w:rPr>
        <w:t>43</w:t>
      </w:r>
      <w:r w:rsidRPr="00E4522F">
        <w:rPr>
          <w:iCs/>
        </w:rPr>
        <w:fldChar w:fldCharType="end"/>
      </w:r>
      <w:r>
        <w:t>.  </w:t>
      </w:r>
      <w:bookmarkStart w:id="107" w:name="lt_pId215"/>
      <w:r>
        <w:t>Trybunał zauważa, że V.B. został objęty amnestią prawomocnym postanowieniem z dnia 22 maja 2012 r., w czasie gdy był poszukiwany przez władze i nie odbywał żadnej kary.</w:t>
      </w:r>
      <w:bookmarkEnd w:id="107"/>
      <w:r>
        <w:t xml:space="preserve"> </w:t>
      </w:r>
      <w:bookmarkStart w:id="108" w:name="lt_pId216"/>
      <w:r>
        <w:t xml:space="preserve">W tej kwestii Trybunał wskazuje na swoje stanowisko, zgodnie z którym amnestie i ułaskawienia nie powinny być tolerowane w przypadkach tortur lub złego traktowania przez funkcjonariuszy publicznych (zob. na przykład </w:t>
      </w:r>
      <w:proofErr w:type="spellStart"/>
      <w:r>
        <w:rPr>
          <w:i/>
        </w:rPr>
        <w:t>Mocanu</w:t>
      </w:r>
      <w:proofErr w:type="spellEnd"/>
      <w:r>
        <w:rPr>
          <w:i/>
        </w:rPr>
        <w:t xml:space="preserve"> i Inni</w:t>
      </w:r>
      <w:r>
        <w:rPr>
          <w:snapToGrid w:val="0"/>
        </w:rPr>
        <w:t>, cyt. powyżej</w:t>
      </w:r>
      <w:r>
        <w:t>, § 326)</w:t>
      </w:r>
      <w:bookmarkEnd w:id="108"/>
      <w:r>
        <w:t xml:space="preserve">, którą to </w:t>
      </w:r>
      <w:bookmarkStart w:id="109" w:name="lt_pId217"/>
      <w:r>
        <w:t xml:space="preserve">zasadę stosuje również do aktów przemocy popełnionych przez osoby prywatne (zob. </w:t>
      </w:r>
      <w:proofErr w:type="spellStart"/>
      <w:r>
        <w:rPr>
          <w:i/>
          <w:iCs/>
        </w:rPr>
        <w:t>Pulfer</w:t>
      </w:r>
      <w:proofErr w:type="spellEnd"/>
      <w:r>
        <w:rPr>
          <w:i/>
          <w:iCs/>
        </w:rPr>
        <w:t xml:space="preserve"> </w:t>
      </w:r>
      <w:r w:rsidR="001F6C98">
        <w:rPr>
          <w:i/>
          <w:iCs/>
        </w:rPr>
        <w:t xml:space="preserve">przeciwko </w:t>
      </w:r>
      <w:r>
        <w:rPr>
          <w:i/>
          <w:iCs/>
        </w:rPr>
        <w:t>Albani</w:t>
      </w:r>
      <w:r w:rsidR="001F6C98">
        <w:rPr>
          <w:i/>
          <w:iCs/>
        </w:rPr>
        <w:t>i</w:t>
      </w:r>
      <w:r>
        <w:t xml:space="preserve">, nr 31959/13, § 83, 20 listopada 2018 r.; zob. także, dla przypadku bezkarności wynikającej z przedawnienia, </w:t>
      </w:r>
      <w:r>
        <w:rPr>
          <w:i/>
          <w:iCs/>
        </w:rPr>
        <w:t xml:space="preserve">İbrahim </w:t>
      </w:r>
      <w:proofErr w:type="spellStart"/>
      <w:r>
        <w:rPr>
          <w:i/>
          <w:iCs/>
        </w:rPr>
        <w:t>Demirtaş</w:t>
      </w:r>
      <w:proofErr w:type="spellEnd"/>
      <w:r>
        <w:rPr>
          <w:i/>
          <w:iCs/>
        </w:rPr>
        <w:t xml:space="preserve"> przeciwko Turcji</w:t>
      </w:r>
      <w:r>
        <w:t>, nr 25018/10, § 35, 28 października 2014 r.,</w:t>
      </w:r>
      <w:r>
        <w:rPr>
          <w:snapToGrid w:val="0"/>
        </w:rPr>
        <w:t xml:space="preserve"> i przytoczone tam sprawy</w:t>
      </w:r>
      <w:r>
        <w:t>).</w:t>
      </w:r>
      <w:bookmarkEnd w:id="109"/>
      <w:r>
        <w:t xml:space="preserve"> Niezależnie od powyższego, Trybunał powtarza, że ułaskawienia i amnestie są przede wszystkim kwestiami prawa wewnętrznego państw członkowskich i co do zasady nie są sprzeczne z prawem międzynarodowym, chyba że dotyczą czynów stanowiących poważne naruszenia podstawowych praw człowieka </w:t>
      </w:r>
      <w:bookmarkStart w:id="110" w:name="lt_pId218"/>
      <w:r>
        <w:t xml:space="preserve">(zob. </w:t>
      </w:r>
      <w:proofErr w:type="spellStart"/>
      <w:r>
        <w:rPr>
          <w:i/>
        </w:rPr>
        <w:t>Makuchyan</w:t>
      </w:r>
      <w:proofErr w:type="spellEnd"/>
      <w:r>
        <w:rPr>
          <w:i/>
        </w:rPr>
        <w:t xml:space="preserve"> i </w:t>
      </w:r>
      <w:proofErr w:type="spellStart"/>
      <w:r>
        <w:rPr>
          <w:i/>
        </w:rPr>
        <w:t>Minasyan</w:t>
      </w:r>
      <w:proofErr w:type="spellEnd"/>
      <w:r>
        <w:t xml:space="preserve">, cyt. powyżej, § 160; zob. także </w:t>
      </w:r>
      <w:proofErr w:type="spellStart"/>
      <w:r>
        <w:rPr>
          <w:i/>
          <w:iCs/>
        </w:rPr>
        <w:t>Marguš</w:t>
      </w:r>
      <w:proofErr w:type="spellEnd"/>
      <w:r>
        <w:rPr>
          <w:i/>
          <w:iCs/>
        </w:rPr>
        <w:t xml:space="preserve"> przeciwko Chorwacji</w:t>
      </w:r>
      <w:r>
        <w:t xml:space="preserve"> [WI], nr 4455/10, § 139, </w:t>
      </w:r>
      <w:proofErr w:type="spellStart"/>
      <w:r>
        <w:t>ETPCz</w:t>
      </w:r>
      <w:proofErr w:type="spellEnd"/>
      <w:r>
        <w:t xml:space="preserve"> 2014 (fragmenty)).</w:t>
      </w:r>
      <w:bookmarkEnd w:id="110"/>
      <w:r>
        <w:t xml:space="preserve"> W tym miejscu uważa, że </w:t>
      </w:r>
      <w:bookmarkStart w:id="111" w:name="lt_pId219"/>
      <w:r>
        <w:t>naruszenie nietykalności cielesnej skarżącej na tle seksualnym stanowiło poważne naruszenie jej prawa do integralności fizycznej i psychicznej, a także, że na podstawie przytoczonego wyżej orzecznictwa, udzielenie amnestii jednemu ze sprawców naruszenia nietykalności cielesnej było w szczególnych okolicznościach sprawy potencjalnie niezgodne z obowiązkami pozwanego państwa wynikającymi z art. 3 i 8 Konwencji.</w:t>
      </w:r>
    </w:p>
    <w:bookmarkEnd w:id="111"/>
    <w:p w14:paraId="6234072E" w14:textId="2931A835" w:rsidR="00C64D23" w:rsidRPr="00E4522F" w:rsidRDefault="00C64D23" w:rsidP="00E4522F">
      <w:pPr>
        <w:pStyle w:val="JuPara"/>
      </w:pPr>
      <w:r w:rsidRPr="00E4522F">
        <w:fldChar w:fldCharType="begin"/>
      </w:r>
      <w:r w:rsidRPr="00E4522F">
        <w:instrText xml:space="preserve"> SEQ level0 \*arabic </w:instrText>
      </w:r>
      <w:r w:rsidRPr="00E4522F">
        <w:fldChar w:fldCharType="separate"/>
      </w:r>
      <w:r w:rsidR="001F6C98">
        <w:rPr>
          <w:noProof/>
        </w:rPr>
        <w:t>44</w:t>
      </w:r>
      <w:r w:rsidRPr="00E4522F">
        <w:fldChar w:fldCharType="end"/>
      </w:r>
      <w:r>
        <w:t>.  </w:t>
      </w:r>
      <w:bookmarkStart w:id="112" w:name="lt_pId221"/>
      <w:r>
        <w:t xml:space="preserve">W niniejszej sprawie Trybunał zauważył również, że </w:t>
      </w:r>
      <w:r w:rsidR="00BF3244">
        <w:t>S</w:t>
      </w:r>
      <w:r>
        <w:t xml:space="preserve">ąd </w:t>
      </w:r>
      <w:r w:rsidR="00BF3244">
        <w:t>A</w:t>
      </w:r>
      <w:r>
        <w:t>pelacyjny w Kiszyniowie nie był konsekwentny w stosowaniu ustawy o amnestii z 2008 r.</w:t>
      </w:r>
      <w:bookmarkStart w:id="113" w:name="lt_pId222"/>
      <w:bookmarkEnd w:id="112"/>
      <w:r>
        <w:t xml:space="preserve"> W szczególności dostrzega, że R.G., który znajdował się w sytuacji podobnej do V.B. i odbył już część kary, odmówiono udzielenia amnestii (zob. paragraf 12 powyżej).</w:t>
      </w:r>
      <w:bookmarkStart w:id="114" w:name="lt_pId223"/>
      <w:bookmarkEnd w:id="113"/>
      <w:r>
        <w:t xml:space="preserve"> Trybunał stwierdza zatem, że w sprawie V.B. sędziowie sądu apelacyjnego skorzystali z przysługującej im swobody uznania w celu zminimalizowania skutków niezwykle poważnego czynu zabronionego, a nie w celu wykazania, że takie czyny nie mogą być w żaden sposób tolerowane (por. </w:t>
      </w:r>
      <w:proofErr w:type="spellStart"/>
      <w:r>
        <w:rPr>
          <w:i/>
          <w:iCs/>
        </w:rPr>
        <w:t>Ateşoğlu</w:t>
      </w:r>
      <w:proofErr w:type="spellEnd"/>
      <w:r>
        <w:rPr>
          <w:i/>
          <w:iCs/>
        </w:rPr>
        <w:t xml:space="preserve"> przeciwko Turcji</w:t>
      </w:r>
      <w:r>
        <w:t xml:space="preserve">, nr 53645/10, § 28 </w:t>
      </w:r>
      <w:r>
        <w:rPr>
          <w:i/>
          <w:iCs/>
        </w:rPr>
        <w:t>in fine</w:t>
      </w:r>
      <w:r>
        <w:t>, 20 stycznia 2015 r., i przytoczone tam sprawy).</w:t>
      </w:r>
      <w:bookmarkEnd w:id="114"/>
    </w:p>
    <w:p w14:paraId="07CFB053" w14:textId="26016C82" w:rsidR="00C64D23" w:rsidRPr="00E4522F" w:rsidRDefault="00564A52" w:rsidP="00E4522F">
      <w:pPr>
        <w:pStyle w:val="JuPara"/>
      </w:pPr>
      <w:fldSimple w:instr=" SEQ level0 \*arabic ">
        <w:r w:rsidR="001F6C98">
          <w:rPr>
            <w:noProof/>
          </w:rPr>
          <w:t>45</w:t>
        </w:r>
      </w:fldSimple>
      <w:r w:rsidR="00C64D23">
        <w:t>.  </w:t>
      </w:r>
      <w:bookmarkStart w:id="115" w:name="lt_pId225"/>
      <w:r w:rsidR="00C64D23">
        <w:t>Trybunał ma na uwadze, że ostatecznie uchylono postanowienie o zastosowaniu amnestii wobec V. B.</w:t>
      </w:r>
      <w:bookmarkEnd w:id="115"/>
      <w:r w:rsidR="00C64D23">
        <w:t xml:space="preserve"> Uważa jednak, że fakt, </w:t>
      </w:r>
      <w:bookmarkStart w:id="116" w:name="lt_pId226"/>
      <w:r w:rsidR="00C64D23">
        <w:t>że korzystał z amnestii przez łączny okres około roku, stoi w sprzeczności z wymogami proceduralnymi art. 3 i 8 Konwencji, przedstawionymi powyżej</w:t>
      </w:r>
      <w:bookmarkEnd w:id="116"/>
      <w:r w:rsidR="00C64D23">
        <w:t xml:space="preserve">, </w:t>
      </w:r>
      <w:bookmarkStart w:id="117" w:name="lt_pId227"/>
      <w:r w:rsidR="00C64D23">
        <w:t xml:space="preserve">zwłaszcza </w:t>
      </w:r>
      <w:r w:rsidR="00C64D23">
        <w:lastRenderedPageBreak/>
        <w:t xml:space="preserve">że umożliwiło mu to opuszczenie Mołdawii tuż przed wydaniem ostatniego postanowienia o uchyleniu amnestii (zob. paragraf </w:t>
      </w:r>
      <w:r w:rsidR="00C64D23" w:rsidRPr="00E4522F">
        <w:fldChar w:fldCharType="begin"/>
      </w:r>
      <w:r w:rsidR="00C64D23" w:rsidRPr="00E4522F">
        <w:instrText xml:space="preserve"> REF depart_étranger_VB \h </w:instrText>
      </w:r>
      <w:r w:rsidR="00E34010" w:rsidRPr="00E4522F">
        <w:instrText xml:space="preserve"> \* MERGEFORMAT </w:instrText>
      </w:r>
      <w:r w:rsidR="00C64D23" w:rsidRPr="00E4522F">
        <w:fldChar w:fldCharType="separate"/>
      </w:r>
      <w:r w:rsidR="001F6C98">
        <w:t>22</w:t>
      </w:r>
      <w:r w:rsidR="00C64D23" w:rsidRPr="00E4522F">
        <w:fldChar w:fldCharType="end"/>
      </w:r>
      <w:r w:rsidR="00C64D23">
        <w:t xml:space="preserve"> powyżej).</w:t>
      </w:r>
      <w:bookmarkEnd w:id="117"/>
    </w:p>
    <w:p w14:paraId="6E2FF364" w14:textId="2D1FBADE" w:rsidR="00C64D23" w:rsidRPr="00E4522F" w:rsidRDefault="00564A52" w:rsidP="00E4522F">
      <w:pPr>
        <w:pStyle w:val="JuPara"/>
      </w:pPr>
      <w:fldSimple w:instr=" SEQ level0 \*arabic ">
        <w:r w:rsidR="001F6C98">
          <w:rPr>
            <w:noProof/>
          </w:rPr>
          <w:t>46</w:t>
        </w:r>
      </w:fldSimple>
      <w:r w:rsidR="00C64D23">
        <w:t>.  </w:t>
      </w:r>
      <w:bookmarkStart w:id="118" w:name="lt_pId229"/>
      <w:r w:rsidR="00C64D23">
        <w:t>Pozostaje pytanie do Trybunału, czy kroki podjęte przez władze w celu wykonania wyroku skazującego wobec V.B. poza okresami, w których obowiązywała amnestia, były wystarczające.</w:t>
      </w:r>
      <w:bookmarkEnd w:id="118"/>
    </w:p>
    <w:p w14:paraId="409937EB" w14:textId="12C94369" w:rsidR="00C64D23" w:rsidRPr="00E4522F" w:rsidRDefault="00564A52" w:rsidP="00E4522F">
      <w:pPr>
        <w:pStyle w:val="JuPara"/>
      </w:pPr>
      <w:fldSimple w:instr=" SEQ level0 \*arabic ">
        <w:r w:rsidR="001F6C98">
          <w:rPr>
            <w:noProof/>
          </w:rPr>
          <w:t>47</w:t>
        </w:r>
      </w:fldSimple>
      <w:r w:rsidR="00C64D23">
        <w:t>.  </w:t>
      </w:r>
      <w:bookmarkStart w:id="119" w:name="lt_pId231"/>
      <w:r w:rsidR="00C64D23">
        <w:t xml:space="preserve">W tym punkcie Trybunał najpierw zauważa, że </w:t>
      </w:r>
      <w:bookmarkStart w:id="120" w:name="lt_pId232"/>
      <w:bookmarkEnd w:id="119"/>
      <w:r w:rsidR="00C64D23">
        <w:t xml:space="preserve">władze państwowe wydają się nie brać pod uwagę pierwszego postanowienia o uchyleniu amnestii wobec V.B., a mianowicie prawomocnego postanowienia z dnia 29 czerwca 2012 r. Został zatrzymany w dniu 22 października 2012 r. (zob. paragraf 18 powyżej), ale zwolniono go tego samego dnia na podstawie postanowienia z dnia 22 maja 2012 r., które zostało już uchylone i już wtedy nie wywoływało skutków prawnych. </w:t>
      </w:r>
      <w:bookmarkStart w:id="121" w:name="lt_pId233"/>
      <w:bookmarkEnd w:id="120"/>
      <w:r w:rsidR="00C64D23">
        <w:t>W ocenie Trybunału sprowadza się to co najwyżej do braku koordynacji między organami państwa, co doprowadziło do zwolnienia V.B. bez ważnej podstawy prawnej.</w:t>
      </w:r>
      <w:bookmarkEnd w:id="121"/>
    </w:p>
    <w:p w14:paraId="5102FE1F" w14:textId="15E93A26" w:rsidR="00C64D23" w:rsidRPr="00E4522F" w:rsidRDefault="00564A52" w:rsidP="00E4522F">
      <w:pPr>
        <w:pStyle w:val="JuPara"/>
      </w:pPr>
      <w:fldSimple w:instr=" SEQ level0 \*arabic ">
        <w:r w:rsidR="001F6C98">
          <w:rPr>
            <w:noProof/>
          </w:rPr>
          <w:t>48</w:t>
        </w:r>
      </w:fldSimple>
      <w:r w:rsidR="00C64D23">
        <w:t>.  </w:t>
      </w:r>
      <w:bookmarkStart w:id="122" w:name="lt_pId235"/>
      <w:r w:rsidR="00C64D23">
        <w:t xml:space="preserve">Sąd zauważa ponadto, że ostatnie postanowienie o uchyleniu amnestii – postanowienie z dnia 18 listopada 2013 r. – zostało przekazane organowi odpowiedzialnemu za poszukiwanie V.B. ponad dwa miesiące po jego wydaniu (zob. paragraf </w:t>
      </w:r>
      <w:r w:rsidR="00C64D23" w:rsidRPr="00E4522F">
        <w:fldChar w:fldCharType="begin"/>
      </w:r>
      <w:r w:rsidR="00C64D23" w:rsidRPr="00E4522F">
        <w:instrText xml:space="preserve"> REF demande_exécution_décision_18nov2013 \h  \* MERGEFORMAT </w:instrText>
      </w:r>
      <w:r w:rsidR="00C64D23" w:rsidRPr="00E4522F">
        <w:fldChar w:fldCharType="separate"/>
      </w:r>
      <w:r w:rsidR="001F6C98">
        <w:t>21</w:t>
      </w:r>
      <w:r w:rsidR="00C64D23" w:rsidRPr="00E4522F">
        <w:fldChar w:fldCharType="end"/>
      </w:r>
      <w:r w:rsidR="00C64D23">
        <w:t xml:space="preserve"> powyżej).</w:t>
      </w:r>
      <w:bookmarkEnd w:id="122"/>
      <w:r w:rsidR="00C64D23">
        <w:t xml:space="preserve"> </w:t>
      </w:r>
      <w:bookmarkStart w:id="123" w:name="lt_pId236"/>
      <w:r w:rsidR="00C64D23">
        <w:t xml:space="preserve">W tym kontekście Trybunał odnotowuje opinię prokuratury, że ten upływ czasu był sprzeczny z prawem krajowym (zob. paragraf </w:t>
      </w:r>
      <w:r w:rsidR="00C64D23" w:rsidRPr="00E4522F">
        <w:fldChar w:fldCharType="begin"/>
      </w:r>
      <w:r w:rsidR="00C64D23" w:rsidRPr="00E4522F">
        <w:instrText xml:space="preserve"> REF retard_reconnu_par_le_parquet \h  \* MERGEFORMAT </w:instrText>
      </w:r>
      <w:r w:rsidR="00C64D23" w:rsidRPr="00E4522F">
        <w:fldChar w:fldCharType="separate"/>
      </w:r>
      <w:r w:rsidR="001F6C98">
        <w:t>23</w:t>
      </w:r>
      <w:r w:rsidR="00C64D23" w:rsidRPr="00E4522F">
        <w:fldChar w:fldCharType="end"/>
      </w:r>
      <w:r w:rsidR="00C64D23">
        <w:t xml:space="preserve"> powyżej).</w:t>
      </w:r>
      <w:bookmarkEnd w:id="123"/>
      <w:r w:rsidR="00C64D23">
        <w:t xml:space="preserve"> </w:t>
      </w:r>
      <w:bookmarkStart w:id="124" w:name="lt_pId237"/>
      <w:r w:rsidR="00C64D23">
        <w:t xml:space="preserve">Chociaż później ustalono, że V.B. opuścił kraj przed dniem 18 listopada 2013 r., Trybunał uważa, że to opóźnienie siłą rzeczy skutkowało późniejszym wydaniem listu gończego przez władze (zob. paragrafy </w:t>
      </w:r>
      <w:r w:rsidR="00C64D23" w:rsidRPr="00E4522F">
        <w:fldChar w:fldCharType="begin"/>
      </w:r>
      <w:r w:rsidR="00C64D23" w:rsidRPr="00E4522F">
        <w:instrText xml:space="preserve"> REF retard_reconnu_par_la_police \h  \* MERGEFORMAT </w:instrText>
      </w:r>
      <w:r w:rsidR="00C64D23" w:rsidRPr="00E4522F">
        <w:fldChar w:fldCharType="separate"/>
      </w:r>
      <w:r w:rsidR="001F6C98">
        <w:t>20</w:t>
      </w:r>
      <w:r w:rsidR="00C64D23" w:rsidRPr="00E4522F">
        <w:fldChar w:fldCharType="end"/>
      </w:r>
      <w:r w:rsidR="00C64D23">
        <w:t xml:space="preserve"> i </w:t>
      </w:r>
      <w:r w:rsidR="00C64D23" w:rsidRPr="00E4522F">
        <w:fldChar w:fldCharType="begin"/>
      </w:r>
      <w:r w:rsidR="00C64D23" w:rsidRPr="00E4522F">
        <w:instrText xml:space="preserve"> REF second_avis_de_recherche \h  \* MERGEFORMAT </w:instrText>
      </w:r>
      <w:r w:rsidR="00C64D23" w:rsidRPr="00E4522F">
        <w:fldChar w:fldCharType="separate"/>
      </w:r>
      <w:r w:rsidR="001F6C98">
        <w:t>24</w:t>
      </w:r>
      <w:r w:rsidR="00C64D23" w:rsidRPr="00E4522F">
        <w:fldChar w:fldCharType="end"/>
      </w:r>
      <w:r w:rsidR="00C64D23">
        <w:t xml:space="preserve"> powyżej).</w:t>
      </w:r>
      <w:bookmarkEnd w:id="124"/>
      <w:r w:rsidR="00C64D23">
        <w:t xml:space="preserve"> </w:t>
      </w:r>
      <w:bookmarkStart w:id="125" w:name="lt_pId238"/>
      <w:r w:rsidR="00C64D23">
        <w:t>Ponadto Trybunał zauważa, że międzynarodowy list gończy został wydany dopiero w 2015 r. (zob. paragraf 24 powyżej), ale w aktach sprawy brak jest dokumentu wyjaśniającego przyczyny takiego stanu rzeczy.</w:t>
      </w:r>
      <w:bookmarkStart w:id="126" w:name="lt_pId239"/>
      <w:bookmarkEnd w:id="125"/>
      <w:r w:rsidR="00C64D23">
        <w:t xml:space="preserve"> W ocenie Trybunału, te przypadki opóźnień nie są zgodne z wymogiem działania z należytą szybkością i celowością, o którym mowa powyżej (zob. paragraf </w:t>
      </w:r>
      <w:r w:rsidR="00C64D23" w:rsidRPr="00E4522F">
        <w:fldChar w:fldCharType="begin"/>
      </w:r>
      <w:r w:rsidR="00C64D23" w:rsidRPr="00E4522F">
        <w:instrText xml:space="preserve"> REF exigence_célérité \h </w:instrText>
      </w:r>
      <w:r w:rsidR="00C64D23" w:rsidRPr="00E4522F">
        <w:fldChar w:fldCharType="separate"/>
      </w:r>
      <w:r w:rsidR="001F6C98">
        <w:rPr>
          <w:noProof/>
        </w:rPr>
        <w:t>40</w:t>
      </w:r>
      <w:r w:rsidR="00C64D23" w:rsidRPr="00E4522F">
        <w:fldChar w:fldCharType="end"/>
      </w:r>
      <w:r w:rsidR="00C64D23">
        <w:t xml:space="preserve"> powyżej oraz, odwrotnie, </w:t>
      </w:r>
      <w:proofErr w:type="spellStart"/>
      <w:r w:rsidR="00C64D23">
        <w:rPr>
          <w:i/>
          <w:iCs/>
        </w:rPr>
        <w:t>Akelienė</w:t>
      </w:r>
      <w:proofErr w:type="spellEnd"/>
      <w:r w:rsidR="00C64D23">
        <w:t>, cyt. powyżej, §§ 91-93).</w:t>
      </w:r>
      <w:bookmarkEnd w:id="126"/>
    </w:p>
    <w:p w14:paraId="0F284CB0" w14:textId="740B20D0" w:rsidR="00C64D23" w:rsidRPr="00E4522F" w:rsidRDefault="00564A52" w:rsidP="00E4522F">
      <w:pPr>
        <w:pStyle w:val="JuPara"/>
      </w:pPr>
      <w:fldSimple w:instr=" SEQ level0 \*arabic ">
        <w:r w:rsidR="001F6C98">
          <w:rPr>
            <w:noProof/>
          </w:rPr>
          <w:t>49</w:t>
        </w:r>
      </w:fldSimple>
      <w:r w:rsidR="00C64D23">
        <w:t>.  </w:t>
      </w:r>
      <w:bookmarkStart w:id="127" w:name="lt_pId241"/>
      <w:r w:rsidR="00C64D23">
        <w:t>W świetle powyższego Trybunał uważa, że kroki podjęte przez Państwo w celu wykonania kary V.B. nie były wystarczające, aby wywiązać się z obowiązku wykonania wyroków skazujących i kar orzeczonych wobec sprawców na</w:t>
      </w:r>
      <w:r w:rsidR="009F2E49">
        <w:t xml:space="preserve">paści seksualnej. </w:t>
      </w:r>
      <w:bookmarkEnd w:id="127"/>
    </w:p>
    <w:p w14:paraId="56E4DEC1" w14:textId="38667165" w:rsidR="00C64D23" w:rsidRPr="00E4522F" w:rsidRDefault="00564A52" w:rsidP="00E4522F">
      <w:pPr>
        <w:pStyle w:val="JuPara"/>
      </w:pPr>
      <w:fldSimple w:instr=" SEQ level0 \*arabic ">
        <w:r w:rsidR="001F6C98">
          <w:rPr>
            <w:noProof/>
          </w:rPr>
          <w:t>50</w:t>
        </w:r>
      </w:fldSimple>
      <w:r w:rsidR="00C64D23">
        <w:t>.  </w:t>
      </w:r>
      <w:bookmarkStart w:id="128" w:name="lt_pId243"/>
      <w:r w:rsidR="00C64D23">
        <w:t>Reasumując, z ustaleń Trybunału wynika, że zastosowanie amnestii wobec V.B. oraz niewykonanie przez władze jego wyroku skazującego nie było zgodne z pozytywnymi obowiązkami pozwanego Państwa wynikającymi z art. 3 i 8 Konwencji.</w:t>
      </w:r>
      <w:bookmarkEnd w:id="128"/>
    </w:p>
    <w:p w14:paraId="12708ADF" w14:textId="5BB1A72E" w:rsidR="00C64D23" w:rsidRPr="00E4522F" w:rsidRDefault="00564A52" w:rsidP="00E4522F">
      <w:pPr>
        <w:pStyle w:val="JuPara"/>
      </w:pPr>
      <w:fldSimple w:instr=" SEQ level0 \*arabic ">
        <w:r w:rsidR="001F6C98">
          <w:rPr>
            <w:noProof/>
          </w:rPr>
          <w:t>51</w:t>
        </w:r>
      </w:fldSimple>
      <w:r w:rsidR="00C64D23">
        <w:t>.  W związku z powyższym doszło do naruszenia przedmiotowych artykułów.</w:t>
      </w:r>
    </w:p>
    <w:p w14:paraId="028C53E6" w14:textId="77777777" w:rsidR="00C64D23" w:rsidRPr="00E4522F" w:rsidRDefault="00C64D23" w:rsidP="00E4522F">
      <w:pPr>
        <w:pStyle w:val="JuHIRoman"/>
        <w:numPr>
          <w:ilvl w:val="1"/>
          <w:numId w:val="22"/>
        </w:numPr>
        <w:tabs>
          <w:tab w:val="clear" w:pos="454"/>
        </w:tabs>
        <w:ind w:left="792" w:hanging="432"/>
      </w:pPr>
      <w:r>
        <w:rPr>
          <w:caps w:val="0"/>
        </w:rPr>
        <w:t>ZASTOSOWANIE ART. 41 KONWENCJI</w:t>
      </w:r>
    </w:p>
    <w:p w14:paraId="5C7B4B96" w14:textId="6F2B5E60" w:rsidR="00C64D23" w:rsidRPr="00E4522F" w:rsidRDefault="00564A52" w:rsidP="00E4522F">
      <w:pPr>
        <w:pStyle w:val="JuPara"/>
      </w:pPr>
      <w:fldSimple w:instr=" SEQ level0 \*arabic ">
        <w:r w:rsidR="001F6C98">
          <w:rPr>
            <w:noProof/>
          </w:rPr>
          <w:t>52</w:t>
        </w:r>
      </w:fldSimple>
      <w:r w:rsidR="00C64D23">
        <w:t>.  Artykuł 41 Konwencji stanowi:</w:t>
      </w:r>
    </w:p>
    <w:p w14:paraId="010F99B5" w14:textId="77777777" w:rsidR="00C64D23" w:rsidRPr="00E4522F" w:rsidRDefault="00C64D23" w:rsidP="00E4522F">
      <w:pPr>
        <w:pStyle w:val="JuQuot"/>
      </w:pPr>
      <w:r>
        <w:lastRenderedPageBreak/>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4E88618F" w14:textId="77777777" w:rsidR="00C64D23" w:rsidRPr="00E4522F" w:rsidRDefault="00C64D23" w:rsidP="00E4522F">
      <w:pPr>
        <w:pStyle w:val="JuHA"/>
        <w:numPr>
          <w:ilvl w:val="2"/>
          <w:numId w:val="22"/>
        </w:numPr>
        <w:ind w:left="1224" w:hanging="504"/>
      </w:pPr>
      <w:r>
        <w:t>Szkoda</w:t>
      </w:r>
    </w:p>
    <w:p w14:paraId="61139C9D" w14:textId="7F6435A7" w:rsidR="00C64D23" w:rsidRPr="00E4522F" w:rsidRDefault="00564A52" w:rsidP="00E4522F">
      <w:pPr>
        <w:pStyle w:val="JuPara"/>
      </w:pPr>
      <w:fldSimple w:instr=" SEQ level0 \*arabic ">
        <w:r w:rsidR="001F6C98">
          <w:rPr>
            <w:noProof/>
          </w:rPr>
          <w:t>53</w:t>
        </w:r>
      </w:fldSimple>
      <w:r w:rsidR="00C64D23">
        <w:t>.</w:t>
      </w:r>
      <w:r w:rsidR="00C64D23">
        <w:tab/>
      </w:r>
      <w:bookmarkStart w:id="129" w:name="lt_pId253"/>
      <w:r w:rsidR="00C64D23">
        <w:t>Skarżąca dochodziła kwoty 20 000 euro (EUR) tytułem zadośćuczynienia za szkodę niemajątkową.</w:t>
      </w:r>
      <w:bookmarkEnd w:id="129"/>
    </w:p>
    <w:p w14:paraId="486C2D65" w14:textId="6957EDC0" w:rsidR="00C64D23" w:rsidRPr="00E4522F" w:rsidRDefault="00564A52" w:rsidP="00E4522F">
      <w:pPr>
        <w:pStyle w:val="JuPara"/>
      </w:pPr>
      <w:fldSimple w:instr=" SEQ level0 \*arabic ">
        <w:r w:rsidR="001F6C98">
          <w:rPr>
            <w:noProof/>
          </w:rPr>
          <w:t>54</w:t>
        </w:r>
      </w:fldSimple>
      <w:r w:rsidR="00C64D23">
        <w:t>.</w:t>
      </w:r>
      <w:r w:rsidR="00C64D23">
        <w:tab/>
      </w:r>
      <w:bookmarkStart w:id="130" w:name="lt_pId255"/>
      <w:r w:rsidR="00C64D23">
        <w:t>Rząd podniósł, że dochodzona kwota jest wygórowana.</w:t>
      </w:r>
      <w:bookmarkEnd w:id="130"/>
    </w:p>
    <w:p w14:paraId="791646EB" w14:textId="426B4BEB" w:rsidR="00C64D23" w:rsidRPr="00E4522F" w:rsidRDefault="00564A52" w:rsidP="00E4522F">
      <w:pPr>
        <w:pStyle w:val="JuPara"/>
      </w:pPr>
      <w:fldSimple w:instr=" SEQ level0 \*arabic ">
        <w:r w:rsidR="001F6C98">
          <w:rPr>
            <w:noProof/>
          </w:rPr>
          <w:t>55</w:t>
        </w:r>
      </w:fldSimple>
      <w:r w:rsidR="00C64D23">
        <w:t>.  </w:t>
      </w:r>
      <w:bookmarkStart w:id="131" w:name="lt_pId257"/>
      <w:r w:rsidR="00C64D23">
        <w:t>Trybunał stwierdza, że skarżąca doznała konkretnej krzywdy w wyniku stwierdzonych powyżej naruszeń i orzekając na zasadzie słuszności, przyznaje jej kwotę 10 000 EUR</w:t>
      </w:r>
      <w:bookmarkStart w:id="132" w:name="lt_pId258"/>
      <w:bookmarkEnd w:id="131"/>
      <w:r w:rsidR="00C64D23">
        <w:t> (plus wszelkie należne podatki od skarżącej) tytułem zadośćuczynienia za szkodę niemajątkową.</w:t>
      </w:r>
      <w:bookmarkEnd w:id="132"/>
    </w:p>
    <w:p w14:paraId="0EBC37AB" w14:textId="77777777" w:rsidR="00C64D23" w:rsidRPr="00E4522F" w:rsidRDefault="00C64D23" w:rsidP="00E4522F">
      <w:pPr>
        <w:pStyle w:val="JuHA"/>
        <w:numPr>
          <w:ilvl w:val="2"/>
          <w:numId w:val="22"/>
        </w:numPr>
        <w:ind w:left="1224" w:hanging="504"/>
      </w:pPr>
      <w:r>
        <w:t>Koszty i wydatki</w:t>
      </w:r>
    </w:p>
    <w:p w14:paraId="65B05D5C" w14:textId="4E8977CC" w:rsidR="00C64D23" w:rsidRPr="00E4522F" w:rsidRDefault="00564A52" w:rsidP="00E4522F">
      <w:pPr>
        <w:pStyle w:val="JuPara"/>
      </w:pPr>
      <w:fldSimple w:instr=" SEQ level0 \*arabic ">
        <w:r w:rsidR="001F6C98">
          <w:rPr>
            <w:noProof/>
          </w:rPr>
          <w:t>56</w:t>
        </w:r>
      </w:fldSimple>
      <w:r w:rsidR="00C64D23">
        <w:t>.  </w:t>
      </w:r>
      <w:bookmarkStart w:id="133" w:name="lt_pId261"/>
      <w:r w:rsidR="00C64D23">
        <w:t>Skarżąca dochodziła również kwoty 1820 EUR tytułem zwrotu kosztów i wydatków poniesionych w postępowaniu przed Trybunałem</w:t>
      </w:r>
      <w:bookmarkEnd w:id="133"/>
      <w:r w:rsidR="00C64D23">
        <w:t xml:space="preserve">, stanowiących wynagrodzenie pobrane przez jej pełnomocnika za </w:t>
      </w:r>
      <w:bookmarkStart w:id="134" w:name="lt_pId262"/>
      <w:r w:rsidR="00C64D23">
        <w:rPr>
          <w:rFonts w:ascii="Times New Roman" w:hAnsi="Times New Roman"/>
          <w:color w:val="000000"/>
        </w:rPr>
        <w:t>dwadzieścia sześć godzin pracy po 70 EUR za godzinę.</w:t>
      </w:r>
      <w:bookmarkEnd w:id="134"/>
      <w:r w:rsidR="00C64D23">
        <w:rPr>
          <w:rFonts w:ascii="Times New Roman" w:hAnsi="Times New Roman"/>
          <w:color w:val="000000"/>
        </w:rPr>
        <w:t xml:space="preserve"> </w:t>
      </w:r>
      <w:bookmarkStart w:id="135" w:name="lt_pId263"/>
      <w:r w:rsidR="00C64D23">
        <w:rPr>
          <w:rFonts w:ascii="Times New Roman" w:hAnsi="Times New Roman"/>
          <w:color w:val="000000"/>
        </w:rPr>
        <w:t>Przedstawiła wyszczególnione zestawienie poświęconego czasu.</w:t>
      </w:r>
      <w:bookmarkEnd w:id="135"/>
    </w:p>
    <w:p w14:paraId="1ACDF28D" w14:textId="0085EEAF" w:rsidR="00C64D23" w:rsidRPr="00E4522F" w:rsidRDefault="00564A52" w:rsidP="00E4522F">
      <w:pPr>
        <w:pStyle w:val="JuPara"/>
      </w:pPr>
      <w:fldSimple w:instr=" SEQ level0 \*arabic ">
        <w:r w:rsidR="001F6C98">
          <w:rPr>
            <w:noProof/>
          </w:rPr>
          <w:t>57</w:t>
        </w:r>
      </w:fldSimple>
      <w:r w:rsidR="00C64D23">
        <w:t xml:space="preserve">. </w:t>
      </w:r>
      <w:bookmarkStart w:id="136" w:name="lt_pId265"/>
      <w:r w:rsidR="00C64D23">
        <w:t>Rząd podniósł, że roszczenie jest nieuzasadnione.</w:t>
      </w:r>
      <w:bookmarkEnd w:id="136"/>
    </w:p>
    <w:p w14:paraId="69DED77F" w14:textId="503E2742" w:rsidR="00C64D23" w:rsidRPr="00E4522F" w:rsidRDefault="00564A52" w:rsidP="00E4522F">
      <w:pPr>
        <w:pStyle w:val="JuPara"/>
      </w:pPr>
      <w:fldSimple w:instr=" SEQ level0 \*arabic ">
        <w:r w:rsidR="001F6C98">
          <w:rPr>
            <w:noProof/>
          </w:rPr>
          <w:t>58</w:t>
        </w:r>
      </w:fldSimple>
      <w:r w:rsidR="00C64D23">
        <w:t>.  </w:t>
      </w:r>
      <w:bookmarkStart w:id="137" w:name="lt_pId267"/>
      <w:r w:rsidR="00C64D23">
        <w:t>Trybunał już wcześniej orzekł, że koszty i wydatki skarżącego podlegają zwrotowi jedynie w zakresie, w jakim wykazano, że zostały one rzeczywiście i koniecznie poniesione oraz były rozsądne co do wysokości.</w:t>
      </w:r>
      <w:bookmarkEnd w:id="137"/>
      <w:r w:rsidR="00C64D23">
        <w:t xml:space="preserve"> W niniejszej sprawie, mając na uwadze przedstawione dokumenty oraz wskazane przed chwilą kryteria, Trybunał uznał za zasadne zasądzenie na rzecz skarżącej pełnej kwoty dochodzonej w związku z prowadzonym przed nim postępowaniem, plus wszelkie należne podatki od skarżącej.</w:t>
      </w:r>
    </w:p>
    <w:p w14:paraId="24FE1FE5" w14:textId="77777777" w:rsidR="00C64D23" w:rsidRPr="00E4522F" w:rsidRDefault="00C64D23" w:rsidP="00E4522F">
      <w:pPr>
        <w:pStyle w:val="JuHA"/>
        <w:numPr>
          <w:ilvl w:val="2"/>
          <w:numId w:val="22"/>
        </w:numPr>
        <w:ind w:left="1224" w:hanging="504"/>
      </w:pPr>
      <w:r>
        <w:t>Odsetki za zwłokę</w:t>
      </w:r>
    </w:p>
    <w:p w14:paraId="441A583A" w14:textId="7580C173" w:rsidR="00C64D23" w:rsidRPr="00E4522F" w:rsidRDefault="00564A52" w:rsidP="00E4522F">
      <w:pPr>
        <w:pStyle w:val="JuPara"/>
      </w:pPr>
      <w:fldSimple w:instr=" SEQ level0 \*arabic ">
        <w:r w:rsidR="001F6C98">
          <w:rPr>
            <w:noProof/>
          </w:rPr>
          <w:t>59</w:t>
        </w:r>
      </w:fldSimple>
      <w:r w:rsidR="00C64D23">
        <w:t>.  Trybunał uważa za właściwe ustalenie stopy odsetek za zwłokę w wysokości stopy kredytu marginalnego Europejskiego Banku Centralnego powiększonej o trzy punkty procentowe.</w:t>
      </w:r>
    </w:p>
    <w:p w14:paraId="41B78036" w14:textId="25354DD6" w:rsidR="00C64D23" w:rsidRPr="00E4522F" w:rsidRDefault="00C64D23" w:rsidP="00E4522F">
      <w:pPr>
        <w:pStyle w:val="JuHHead"/>
        <w:numPr>
          <w:ilvl w:val="0"/>
          <w:numId w:val="22"/>
        </w:numPr>
        <w:ind w:left="360" w:hanging="360"/>
      </w:pPr>
      <w:r>
        <w:t>Z POWYŻSZYCH WZGLĘDÓW TRYBUNAŁ JEDNOGŁOŚNIE</w:t>
      </w:r>
    </w:p>
    <w:p w14:paraId="37BE7AF9" w14:textId="26710EAE" w:rsidR="00C64D23" w:rsidRPr="00E4522F" w:rsidRDefault="00C64D23" w:rsidP="00E4522F">
      <w:pPr>
        <w:pStyle w:val="JuList"/>
        <w:numPr>
          <w:ilvl w:val="0"/>
          <w:numId w:val="23"/>
        </w:numPr>
      </w:pPr>
      <w:bookmarkStart w:id="138" w:name="lt_pId273"/>
      <w:r>
        <w:rPr>
          <w:i/>
        </w:rPr>
        <w:t xml:space="preserve">uznaje </w:t>
      </w:r>
      <w:r>
        <w:t>skargi wniesione na podstawie art. 3 ust. 8 Konwencji za dopuszczalne;</w:t>
      </w:r>
      <w:bookmarkEnd w:id="138"/>
    </w:p>
    <w:p w14:paraId="218076C1" w14:textId="77777777" w:rsidR="00C64D23" w:rsidRPr="00E4522F" w:rsidRDefault="00C64D23" w:rsidP="00E4522F">
      <w:pPr>
        <w:pStyle w:val="JuList"/>
        <w:numPr>
          <w:ilvl w:val="0"/>
          <w:numId w:val="23"/>
        </w:numPr>
      </w:pPr>
      <w:bookmarkStart w:id="139" w:name="lt_pId274"/>
      <w:r>
        <w:rPr>
          <w:i/>
          <w:iCs/>
        </w:rPr>
        <w:t>stwierdza</w:t>
      </w:r>
      <w:r>
        <w:t>, że doszło do naruszenia art. 3 i 8 Konwencji;</w:t>
      </w:r>
      <w:bookmarkEnd w:id="139"/>
    </w:p>
    <w:p w14:paraId="58588ADA" w14:textId="77777777" w:rsidR="00C64D23" w:rsidRPr="00E4522F" w:rsidRDefault="00C64D23" w:rsidP="00E4522F">
      <w:pPr>
        <w:pStyle w:val="JuList"/>
        <w:numPr>
          <w:ilvl w:val="0"/>
          <w:numId w:val="23"/>
        </w:numPr>
        <w:rPr>
          <w:i/>
          <w:iCs/>
        </w:rPr>
      </w:pPr>
      <w:r>
        <w:rPr>
          <w:i/>
          <w:iCs/>
        </w:rPr>
        <w:lastRenderedPageBreak/>
        <w:t>stwierdza</w:t>
      </w:r>
    </w:p>
    <w:p w14:paraId="57D3A4A3" w14:textId="1C0A18A5" w:rsidR="00C64D23" w:rsidRPr="00E4522F" w:rsidRDefault="00C64D23" w:rsidP="00E4522F">
      <w:pPr>
        <w:pStyle w:val="JuLista"/>
        <w:numPr>
          <w:ilvl w:val="1"/>
          <w:numId w:val="23"/>
        </w:numPr>
      </w:pPr>
      <w:r>
        <w:t>że pozwane państwo winno, w terminie trzech miesięcy od daty, w której niniejszy wyrok stanie się ostateczny zgodnie z art. 44 ust. 2 Konwencji, uiścić na rzecz skarżącej następujące kwoty, przeliczone na walutę pozwanego państwa według kursu obowiązującego w dniu płatności:</w:t>
      </w:r>
    </w:p>
    <w:p w14:paraId="113E1B71" w14:textId="77777777" w:rsidR="00C64D23" w:rsidRPr="00E4522F" w:rsidRDefault="00C64D23" w:rsidP="00E4522F">
      <w:pPr>
        <w:pStyle w:val="JuListi"/>
        <w:numPr>
          <w:ilvl w:val="2"/>
          <w:numId w:val="23"/>
        </w:numPr>
        <w:ind w:left="907" w:hanging="227"/>
      </w:pPr>
      <w:r>
        <w:t>10 000 EUR (dziesięć tysięcy euro) plus wszelkie należne podatki, tytułem zadośćuczynienia za szkodę niemajątkową;</w:t>
      </w:r>
    </w:p>
    <w:p w14:paraId="16AF805D" w14:textId="77777777" w:rsidR="00C64D23" w:rsidRPr="00E4522F" w:rsidRDefault="00C64D23" w:rsidP="00E4522F">
      <w:pPr>
        <w:pStyle w:val="JuListi"/>
        <w:numPr>
          <w:ilvl w:val="2"/>
          <w:numId w:val="23"/>
        </w:numPr>
        <w:ind w:left="907" w:hanging="227"/>
      </w:pPr>
      <w:r>
        <w:t>1820 EUR (tysiąc osiemset dwadzieścia euro), plus wszelkie należne od skarżącej podatki, tytułem zwrotu poniesionych kosztów i wydatków;</w:t>
      </w:r>
    </w:p>
    <w:p w14:paraId="65DC401B" w14:textId="2AEAFCA6" w:rsidR="00C64D23" w:rsidRPr="00E4522F" w:rsidRDefault="00C64D23" w:rsidP="00E4522F">
      <w:pPr>
        <w:pStyle w:val="JuLista"/>
        <w:numPr>
          <w:ilvl w:val="1"/>
          <w:numId w:val="23"/>
        </w:numPr>
      </w:pPr>
      <w:r>
        <w:t>że od upływu wyżej wskazanego okresu aż do momentu uregulowania należności, należne będą odsetki zwykłe od określonych powyżej kwot, naliczone według stopy równej marginalnej stopie procentowej Europejskiego Banku Centralnego obowiązującej w tym okresie, powiększone o trzy punkty procentowe;</w:t>
      </w:r>
    </w:p>
    <w:p w14:paraId="4D944139" w14:textId="1A4097C2" w:rsidR="00C64D23" w:rsidRPr="00E4522F" w:rsidRDefault="00C64D23" w:rsidP="00E4522F">
      <w:pPr>
        <w:pStyle w:val="JuList"/>
        <w:numPr>
          <w:ilvl w:val="0"/>
          <w:numId w:val="23"/>
        </w:numPr>
      </w:pPr>
      <w:r>
        <w:rPr>
          <w:i/>
          <w:iCs/>
        </w:rPr>
        <w:t xml:space="preserve">oddala </w:t>
      </w:r>
      <w:r>
        <w:t>pozostałą część roszczenia dotyczącego słusznego zadośćuczynienia.</w:t>
      </w:r>
    </w:p>
    <w:p w14:paraId="4B96F362" w14:textId="303A9D91" w:rsidR="00C64D23" w:rsidRPr="00E4522F" w:rsidRDefault="00C64D23" w:rsidP="00E4522F">
      <w:pPr>
        <w:pStyle w:val="JuParaLast"/>
      </w:pPr>
      <w:bookmarkStart w:id="140" w:name="lt_pId281"/>
      <w:r>
        <w:t>Sporządzono w języku francuskim i obwieszczono pisemnie dnia 13 kwietnia 2021 r., zgodnie z regułą 77 §§ 2 i 3 Regulaminu Trybunału.</w:t>
      </w:r>
      <w:bookmarkEnd w:id="140"/>
    </w:p>
    <w:p w14:paraId="7903E1F8" w14:textId="77777777" w:rsidR="00C64D23" w:rsidRPr="00E4522F" w:rsidRDefault="00C64D23" w:rsidP="00E4522F">
      <w:pPr>
        <w:pStyle w:val="JuSigned"/>
      </w:pPr>
      <w:r>
        <w:tab/>
      </w:r>
      <w:bookmarkStart w:id="141" w:name="lt_pId282"/>
      <w:proofErr w:type="spellStart"/>
      <w:r>
        <w:t>Hasan</w:t>
      </w:r>
      <w:proofErr w:type="spellEnd"/>
      <w:r>
        <w:t xml:space="preserve"> </w:t>
      </w:r>
      <w:proofErr w:type="spellStart"/>
      <w:r>
        <w:t>Bakırcı</w:t>
      </w:r>
      <w:bookmarkEnd w:id="141"/>
      <w:proofErr w:type="spellEnd"/>
      <w:r>
        <w:tab/>
      </w:r>
      <w:bookmarkStart w:id="142" w:name="lt_pId283"/>
      <w:r>
        <w:t xml:space="preserve">Jon </w:t>
      </w:r>
      <w:proofErr w:type="spellStart"/>
      <w:r>
        <w:t>Fridrik</w:t>
      </w:r>
      <w:proofErr w:type="spellEnd"/>
      <w:r>
        <w:t xml:space="preserve"> </w:t>
      </w:r>
      <w:proofErr w:type="spellStart"/>
      <w:r>
        <w:t>Kjølbro</w:t>
      </w:r>
      <w:bookmarkEnd w:id="142"/>
      <w:proofErr w:type="spellEnd"/>
      <w:r>
        <w:br/>
      </w:r>
      <w:r>
        <w:tab/>
      </w:r>
      <w:bookmarkStart w:id="143" w:name="lt_pId284"/>
      <w:r>
        <w:t>Zastępca kanclerza</w:t>
      </w:r>
      <w:bookmarkEnd w:id="143"/>
      <w:r>
        <w:tab/>
      </w:r>
      <w:bookmarkStart w:id="144" w:name="lt_pId285"/>
      <w:r>
        <w:t>Przewodniczący</w:t>
      </w:r>
      <w:bookmarkEnd w:id="144"/>
    </w:p>
    <w:p w14:paraId="2500F276" w14:textId="77777777" w:rsidR="00C64D23" w:rsidRPr="00E4522F" w:rsidRDefault="00C64D23" w:rsidP="00E4522F">
      <w:pPr>
        <w:pStyle w:val="JuPara"/>
      </w:pPr>
    </w:p>
    <w:p w14:paraId="247B73D0" w14:textId="3EEF5474" w:rsidR="00182EBA" w:rsidRPr="00E4522F" w:rsidRDefault="00182EBA" w:rsidP="00E4522F"/>
    <w:sectPr w:rsidR="00182EBA" w:rsidRPr="00E4522F"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AE937" w14:textId="77777777" w:rsidR="00810AB4" w:rsidRPr="00134CEC" w:rsidRDefault="00810AB4" w:rsidP="0098410D">
      <w:r w:rsidRPr="00134CEC">
        <w:separator/>
      </w:r>
    </w:p>
  </w:endnote>
  <w:endnote w:type="continuationSeparator" w:id="0">
    <w:p w14:paraId="1D3A6DCC" w14:textId="77777777" w:rsidR="00810AB4" w:rsidRPr="00134CEC" w:rsidRDefault="00810AB4" w:rsidP="0098410D">
      <w:r w:rsidRPr="00134CE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EEAC8" w14:textId="243528ED" w:rsidR="008E43F2" w:rsidRPr="00134CEC" w:rsidRDefault="008E43F2" w:rsidP="0020718E">
    <w:pPr>
      <w:jc w:val="center"/>
    </w:pPr>
    <w:r>
      <w:rPr>
        <w:noProof/>
      </w:rPr>
      <w:drawing>
        <wp:inline distT="0" distB="0" distL="0" distR="0" wp14:anchorId="2F750E8D" wp14:editId="38BBF6B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5A47D3A" w14:textId="1DF39202" w:rsidR="0098410D" w:rsidRPr="00134CEC"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2F2F3" w14:textId="4F70B7E7" w:rsidR="008E43F2" w:rsidRPr="00134CEC" w:rsidRDefault="008E43F2" w:rsidP="0020718E">
    <w:pPr>
      <w:jc w:val="center"/>
    </w:pPr>
    <w:r>
      <w:rPr>
        <w:noProof/>
      </w:rPr>
      <w:drawing>
        <wp:inline distT="0" distB="0" distL="0" distR="0" wp14:anchorId="0F978522" wp14:editId="42DB351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4366EC6" w14:textId="6E9118C9" w:rsidR="009E7A6F" w:rsidRPr="00134CEC"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AE730" w14:textId="58C055AE" w:rsidR="00182EBA" w:rsidRDefault="008E43F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2926B" w14:textId="19A2CF9D" w:rsidR="00182EBA" w:rsidRPr="000B7195" w:rsidRDefault="008E43F2" w:rsidP="007D3701">
    <w:pPr>
      <w:pStyle w:val="JuHeader"/>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6B19D1" w14:textId="77777777" w:rsidR="00810AB4" w:rsidRPr="00134CEC" w:rsidRDefault="00810AB4" w:rsidP="0098410D">
      <w:r w:rsidRPr="00134CEC">
        <w:separator/>
      </w:r>
    </w:p>
  </w:footnote>
  <w:footnote w:type="continuationSeparator" w:id="0">
    <w:p w14:paraId="6756AC04" w14:textId="77777777" w:rsidR="00810AB4" w:rsidRPr="00134CEC" w:rsidRDefault="00810AB4" w:rsidP="0098410D">
      <w:r w:rsidRPr="00134CE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F4944" w14:textId="6F20337E" w:rsidR="008E43F2" w:rsidRPr="00134CEC" w:rsidRDefault="008E43F2" w:rsidP="00A45145">
    <w:pPr>
      <w:jc w:val="center"/>
    </w:pPr>
    <w:r>
      <w:rPr>
        <w:noProof/>
      </w:rPr>
      <w:drawing>
        <wp:inline distT="0" distB="0" distL="0" distR="0" wp14:anchorId="2C19D75C" wp14:editId="7667AA7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4B768B4" w14:textId="02040428" w:rsidR="0098410D" w:rsidRPr="00134CEC"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24226" w14:textId="1AA96B73" w:rsidR="008E43F2" w:rsidRPr="00134CEC" w:rsidRDefault="008E43F2" w:rsidP="00A45145">
    <w:pPr>
      <w:jc w:val="center"/>
    </w:pPr>
    <w:r>
      <w:rPr>
        <w:noProof/>
      </w:rPr>
      <w:drawing>
        <wp:inline distT="0" distB="0" distL="0" distR="0" wp14:anchorId="1B94CAF9" wp14:editId="363B629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3EC3EEB" w14:textId="1F40F951" w:rsidR="0098410D" w:rsidRPr="00134CEC"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5A442" w14:textId="474EE453" w:rsidR="00182EBA" w:rsidRPr="004D0EC7" w:rsidRDefault="008E43F2" w:rsidP="004D0EC7">
    <w:pPr>
      <w:pStyle w:val="JuHeader"/>
    </w:pPr>
    <w:r>
      <w:t>WYROK W SPRAWIE E.G. przeciwko REPUBLICE MOŁDAWII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DDE4E" w14:textId="5B045517" w:rsidR="00182EBA" w:rsidRPr="00882CD5" w:rsidRDefault="008E43F2" w:rsidP="007D3701">
    <w:pPr>
      <w:pStyle w:val="JuHeader"/>
    </w:pPr>
    <w:r>
      <w:t>WYROK W SPRRAWIE E.G. przeciwko REPUBLICE MOŁDAWII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 w:numId="23">
    <w:abstractNumId w:val="13"/>
    <w:lvlOverride w:ilvl="0">
      <w:lvl w:ilvl="0">
        <w:start w:val="1"/>
        <w:numFmt w:val="decimal"/>
        <w:pStyle w:val="JuList"/>
        <w:lvlText w:val="%1."/>
        <w:lvlJc w:val="left"/>
        <w:pPr>
          <w:tabs>
            <w:tab w:val="num" w:pos="340"/>
          </w:tabs>
          <w:ind w:left="340" w:hanging="340"/>
        </w:pPr>
        <w:rPr>
          <w:rFonts w:hint="default"/>
          <w:i w:val="0"/>
          <w:iCs w:val="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LW_DocType" w:val="NORMAL"/>
    <w:docVar w:name="NBEMMDOC" w:val="0"/>
    <w:docVar w:name="Plural" w:val="0"/>
  </w:docVars>
  <w:rsids>
    <w:rsidRoot w:val="008E43F2"/>
    <w:rsid w:val="000006C3"/>
    <w:rsid w:val="00002969"/>
    <w:rsid w:val="000041F8"/>
    <w:rsid w:val="000042A8"/>
    <w:rsid w:val="00004308"/>
    <w:rsid w:val="00004A3D"/>
    <w:rsid w:val="00005BF0"/>
    <w:rsid w:val="0000617D"/>
    <w:rsid w:val="00006E69"/>
    <w:rsid w:val="00007154"/>
    <w:rsid w:val="000103AE"/>
    <w:rsid w:val="00010BA9"/>
    <w:rsid w:val="00011D69"/>
    <w:rsid w:val="00012AD3"/>
    <w:rsid w:val="00015C2D"/>
    <w:rsid w:val="00015F00"/>
    <w:rsid w:val="00020F80"/>
    <w:rsid w:val="00022C1D"/>
    <w:rsid w:val="00030222"/>
    <w:rsid w:val="000303DF"/>
    <w:rsid w:val="00031428"/>
    <w:rsid w:val="000323DC"/>
    <w:rsid w:val="00032483"/>
    <w:rsid w:val="00034987"/>
    <w:rsid w:val="00037276"/>
    <w:rsid w:val="00041560"/>
    <w:rsid w:val="000602DF"/>
    <w:rsid w:val="00061B05"/>
    <w:rsid w:val="0006239B"/>
    <w:rsid w:val="000632D5"/>
    <w:rsid w:val="00063643"/>
    <w:rsid w:val="000644EE"/>
    <w:rsid w:val="00075223"/>
    <w:rsid w:val="0007780A"/>
    <w:rsid w:val="000833EA"/>
    <w:rsid w:val="00085457"/>
    <w:rsid w:val="000925AD"/>
    <w:rsid w:val="00096FE1"/>
    <w:rsid w:val="00097651"/>
    <w:rsid w:val="00097A62"/>
    <w:rsid w:val="000A24EB"/>
    <w:rsid w:val="000A74B3"/>
    <w:rsid w:val="000B686A"/>
    <w:rsid w:val="000B6923"/>
    <w:rsid w:val="000B7195"/>
    <w:rsid w:val="000B76DA"/>
    <w:rsid w:val="000C0C12"/>
    <w:rsid w:val="000C5F3C"/>
    <w:rsid w:val="000C6DCC"/>
    <w:rsid w:val="000D228F"/>
    <w:rsid w:val="000D47AA"/>
    <w:rsid w:val="000D52DB"/>
    <w:rsid w:val="000D721F"/>
    <w:rsid w:val="000D732D"/>
    <w:rsid w:val="000E069B"/>
    <w:rsid w:val="000E0E82"/>
    <w:rsid w:val="000E11E4"/>
    <w:rsid w:val="000E1DC5"/>
    <w:rsid w:val="000E223F"/>
    <w:rsid w:val="000E46B8"/>
    <w:rsid w:val="000E7D45"/>
    <w:rsid w:val="000F44D8"/>
    <w:rsid w:val="000F61C9"/>
    <w:rsid w:val="000F7851"/>
    <w:rsid w:val="00101505"/>
    <w:rsid w:val="00104E23"/>
    <w:rsid w:val="00107807"/>
    <w:rsid w:val="00110CBB"/>
    <w:rsid w:val="00110DA8"/>
    <w:rsid w:val="00111B0C"/>
    <w:rsid w:val="00120D6C"/>
    <w:rsid w:val="0012242D"/>
    <w:rsid w:val="001257EC"/>
    <w:rsid w:val="00125F91"/>
    <w:rsid w:val="00133D33"/>
    <w:rsid w:val="00134B6A"/>
    <w:rsid w:val="00134CEC"/>
    <w:rsid w:val="00134D64"/>
    <w:rsid w:val="00135A30"/>
    <w:rsid w:val="00135ACD"/>
    <w:rsid w:val="0013612C"/>
    <w:rsid w:val="00136910"/>
    <w:rsid w:val="00137FF6"/>
    <w:rsid w:val="00141650"/>
    <w:rsid w:val="001427A2"/>
    <w:rsid w:val="00145E98"/>
    <w:rsid w:val="001561B6"/>
    <w:rsid w:val="00157A77"/>
    <w:rsid w:val="00162A12"/>
    <w:rsid w:val="00165527"/>
    <w:rsid w:val="00166530"/>
    <w:rsid w:val="00170027"/>
    <w:rsid w:val="00170B46"/>
    <w:rsid w:val="00177F40"/>
    <w:rsid w:val="00182EBA"/>
    <w:rsid w:val="001832BD"/>
    <w:rsid w:val="00186063"/>
    <w:rsid w:val="00187BA5"/>
    <w:rsid w:val="00190144"/>
    <w:rsid w:val="001943B5"/>
    <w:rsid w:val="00195134"/>
    <w:rsid w:val="001A020C"/>
    <w:rsid w:val="001A145B"/>
    <w:rsid w:val="001A3E09"/>
    <w:rsid w:val="001A674C"/>
    <w:rsid w:val="001A7F18"/>
    <w:rsid w:val="001B3B24"/>
    <w:rsid w:val="001C055B"/>
    <w:rsid w:val="001C0A7F"/>
    <w:rsid w:val="001C0F98"/>
    <w:rsid w:val="001C2542"/>
    <w:rsid w:val="001C2A42"/>
    <w:rsid w:val="001C397B"/>
    <w:rsid w:val="001C7D8C"/>
    <w:rsid w:val="001D2536"/>
    <w:rsid w:val="001D63ED"/>
    <w:rsid w:val="001D7348"/>
    <w:rsid w:val="001E035B"/>
    <w:rsid w:val="001E0961"/>
    <w:rsid w:val="001E26A5"/>
    <w:rsid w:val="001E3EAE"/>
    <w:rsid w:val="001E5CA7"/>
    <w:rsid w:val="001E6857"/>
    <w:rsid w:val="001E6F32"/>
    <w:rsid w:val="001F0C1F"/>
    <w:rsid w:val="001F2145"/>
    <w:rsid w:val="001F6262"/>
    <w:rsid w:val="001F67B0"/>
    <w:rsid w:val="001F6C98"/>
    <w:rsid w:val="001F784A"/>
    <w:rsid w:val="001F7B3D"/>
    <w:rsid w:val="00202752"/>
    <w:rsid w:val="0020335A"/>
    <w:rsid w:val="002052BC"/>
    <w:rsid w:val="00205F9F"/>
    <w:rsid w:val="00210338"/>
    <w:rsid w:val="002115FC"/>
    <w:rsid w:val="00212565"/>
    <w:rsid w:val="0021423C"/>
    <w:rsid w:val="00226DFB"/>
    <w:rsid w:val="00230D00"/>
    <w:rsid w:val="00231DF7"/>
    <w:rsid w:val="00231FD1"/>
    <w:rsid w:val="002339E0"/>
    <w:rsid w:val="00233CF8"/>
    <w:rsid w:val="0023575D"/>
    <w:rsid w:val="00237148"/>
    <w:rsid w:val="0024222D"/>
    <w:rsid w:val="002422B6"/>
    <w:rsid w:val="00242608"/>
    <w:rsid w:val="0024397B"/>
    <w:rsid w:val="00244B0E"/>
    <w:rsid w:val="00244F6C"/>
    <w:rsid w:val="00246B89"/>
    <w:rsid w:val="00250A7C"/>
    <w:rsid w:val="00251330"/>
    <w:rsid w:val="002513CF"/>
    <w:rsid w:val="00252C4E"/>
    <w:rsid w:val="002532C5"/>
    <w:rsid w:val="00254DF2"/>
    <w:rsid w:val="00260C03"/>
    <w:rsid w:val="0026439A"/>
    <w:rsid w:val="0026540E"/>
    <w:rsid w:val="00266234"/>
    <w:rsid w:val="00271ABE"/>
    <w:rsid w:val="00275123"/>
    <w:rsid w:val="00275593"/>
    <w:rsid w:val="00275851"/>
    <w:rsid w:val="0027735E"/>
    <w:rsid w:val="00281B7C"/>
    <w:rsid w:val="00282240"/>
    <w:rsid w:val="00282BD8"/>
    <w:rsid w:val="00287AD5"/>
    <w:rsid w:val="002934D0"/>
    <w:rsid w:val="00293676"/>
    <w:rsid w:val="00293BD9"/>
    <w:rsid w:val="00294143"/>
    <w:rsid w:val="002943C2"/>
    <w:rsid w:val="002948AD"/>
    <w:rsid w:val="00294BF1"/>
    <w:rsid w:val="002972A2"/>
    <w:rsid w:val="002A01CC"/>
    <w:rsid w:val="002A05C0"/>
    <w:rsid w:val="002A1A1E"/>
    <w:rsid w:val="002A613A"/>
    <w:rsid w:val="002A61B1"/>
    <w:rsid w:val="002A663C"/>
    <w:rsid w:val="002B213F"/>
    <w:rsid w:val="002B444B"/>
    <w:rsid w:val="002B5887"/>
    <w:rsid w:val="002C0E27"/>
    <w:rsid w:val="002C2B0C"/>
    <w:rsid w:val="002C3040"/>
    <w:rsid w:val="002C4433"/>
    <w:rsid w:val="002C5ADD"/>
    <w:rsid w:val="002C7826"/>
    <w:rsid w:val="002D022D"/>
    <w:rsid w:val="002D24BB"/>
    <w:rsid w:val="002D2FA7"/>
    <w:rsid w:val="002D3583"/>
    <w:rsid w:val="002D47BA"/>
    <w:rsid w:val="002D77B9"/>
    <w:rsid w:val="002E2119"/>
    <w:rsid w:val="002E30D0"/>
    <w:rsid w:val="002E46DA"/>
    <w:rsid w:val="002E7764"/>
    <w:rsid w:val="002F2AF7"/>
    <w:rsid w:val="002F4EAE"/>
    <w:rsid w:val="002F69C4"/>
    <w:rsid w:val="002F7D9E"/>
    <w:rsid w:val="002F7E1C"/>
    <w:rsid w:val="003006B3"/>
    <w:rsid w:val="00301A75"/>
    <w:rsid w:val="00302BBA"/>
    <w:rsid w:val="00302F70"/>
    <w:rsid w:val="0030336F"/>
    <w:rsid w:val="0030375E"/>
    <w:rsid w:val="00312A30"/>
    <w:rsid w:val="003144D3"/>
    <w:rsid w:val="00314EFF"/>
    <w:rsid w:val="003201D8"/>
    <w:rsid w:val="00320F72"/>
    <w:rsid w:val="0032177F"/>
    <w:rsid w:val="003240A4"/>
    <w:rsid w:val="00324573"/>
    <w:rsid w:val="0032463E"/>
    <w:rsid w:val="00326224"/>
    <w:rsid w:val="00326AB8"/>
    <w:rsid w:val="0033648B"/>
    <w:rsid w:val="00337EE4"/>
    <w:rsid w:val="00340FFD"/>
    <w:rsid w:val="00342D52"/>
    <w:rsid w:val="00345C41"/>
    <w:rsid w:val="003506B1"/>
    <w:rsid w:val="00351FC0"/>
    <w:rsid w:val="00355877"/>
    <w:rsid w:val="00356AC7"/>
    <w:rsid w:val="00356BC7"/>
    <w:rsid w:val="0035758F"/>
    <w:rsid w:val="003609FA"/>
    <w:rsid w:val="00367E3A"/>
    <w:rsid w:val="003710C8"/>
    <w:rsid w:val="0037208A"/>
    <w:rsid w:val="0037324A"/>
    <w:rsid w:val="003750BE"/>
    <w:rsid w:val="00377558"/>
    <w:rsid w:val="00377C71"/>
    <w:rsid w:val="00385A36"/>
    <w:rsid w:val="00385F3D"/>
    <w:rsid w:val="0038740C"/>
    <w:rsid w:val="00387B9D"/>
    <w:rsid w:val="00387C70"/>
    <w:rsid w:val="00390294"/>
    <w:rsid w:val="003916AE"/>
    <w:rsid w:val="00392C1F"/>
    <w:rsid w:val="0039364F"/>
    <w:rsid w:val="00396686"/>
    <w:rsid w:val="00397073"/>
    <w:rsid w:val="0039778E"/>
    <w:rsid w:val="003A1DF4"/>
    <w:rsid w:val="003A4C1A"/>
    <w:rsid w:val="003B0768"/>
    <w:rsid w:val="003B0F28"/>
    <w:rsid w:val="003B4941"/>
    <w:rsid w:val="003C18E7"/>
    <w:rsid w:val="003C2109"/>
    <w:rsid w:val="003C5714"/>
    <w:rsid w:val="003C6B9F"/>
    <w:rsid w:val="003C6E2A"/>
    <w:rsid w:val="003C743F"/>
    <w:rsid w:val="003D0299"/>
    <w:rsid w:val="003D3CC1"/>
    <w:rsid w:val="003D7A25"/>
    <w:rsid w:val="003E1507"/>
    <w:rsid w:val="003E5CBD"/>
    <w:rsid w:val="003E5DA1"/>
    <w:rsid w:val="003E6D80"/>
    <w:rsid w:val="003F05FA"/>
    <w:rsid w:val="003F17E8"/>
    <w:rsid w:val="003F244A"/>
    <w:rsid w:val="003F2517"/>
    <w:rsid w:val="003F2B6F"/>
    <w:rsid w:val="003F30B8"/>
    <w:rsid w:val="003F3C1F"/>
    <w:rsid w:val="003F4C45"/>
    <w:rsid w:val="003F5F7B"/>
    <w:rsid w:val="003F7D64"/>
    <w:rsid w:val="00401345"/>
    <w:rsid w:val="0040433A"/>
    <w:rsid w:val="0041261F"/>
    <w:rsid w:val="00414300"/>
    <w:rsid w:val="00414F27"/>
    <w:rsid w:val="00420703"/>
    <w:rsid w:val="004238A2"/>
    <w:rsid w:val="00424B5E"/>
    <w:rsid w:val="004257FE"/>
    <w:rsid w:val="00425C67"/>
    <w:rsid w:val="004278C3"/>
    <w:rsid w:val="00427D67"/>
    <w:rsid w:val="00427E7A"/>
    <w:rsid w:val="00433880"/>
    <w:rsid w:val="004355AC"/>
    <w:rsid w:val="00436C49"/>
    <w:rsid w:val="00443D98"/>
    <w:rsid w:val="0044426C"/>
    <w:rsid w:val="00445366"/>
    <w:rsid w:val="004478A8"/>
    <w:rsid w:val="00447F5B"/>
    <w:rsid w:val="00461809"/>
    <w:rsid w:val="00461DB0"/>
    <w:rsid w:val="00463926"/>
    <w:rsid w:val="00464AB7"/>
    <w:rsid w:val="00464C9A"/>
    <w:rsid w:val="00474F3D"/>
    <w:rsid w:val="00477E3A"/>
    <w:rsid w:val="0048081C"/>
    <w:rsid w:val="00483E5F"/>
    <w:rsid w:val="00485976"/>
    <w:rsid w:val="00485FF9"/>
    <w:rsid w:val="0049049B"/>
    <w:rsid w:val="004907F0"/>
    <w:rsid w:val="0049140B"/>
    <w:rsid w:val="004923A5"/>
    <w:rsid w:val="00492ABB"/>
    <w:rsid w:val="0049310E"/>
    <w:rsid w:val="004950E2"/>
    <w:rsid w:val="00496BFB"/>
    <w:rsid w:val="004A15C7"/>
    <w:rsid w:val="004A2342"/>
    <w:rsid w:val="004A24EE"/>
    <w:rsid w:val="004A3201"/>
    <w:rsid w:val="004A7044"/>
    <w:rsid w:val="004B013B"/>
    <w:rsid w:val="004B112B"/>
    <w:rsid w:val="004B26FC"/>
    <w:rsid w:val="004B444E"/>
    <w:rsid w:val="004B59ED"/>
    <w:rsid w:val="004B5E6D"/>
    <w:rsid w:val="004B626C"/>
    <w:rsid w:val="004B66E9"/>
    <w:rsid w:val="004B7D9A"/>
    <w:rsid w:val="004C01E4"/>
    <w:rsid w:val="004C086C"/>
    <w:rsid w:val="004C1BCD"/>
    <w:rsid w:val="004C1F56"/>
    <w:rsid w:val="004C2663"/>
    <w:rsid w:val="004C27BC"/>
    <w:rsid w:val="004C6621"/>
    <w:rsid w:val="004D0B31"/>
    <w:rsid w:val="004D0EC7"/>
    <w:rsid w:val="004D15F3"/>
    <w:rsid w:val="004D3B3D"/>
    <w:rsid w:val="004D4EF1"/>
    <w:rsid w:val="004D5311"/>
    <w:rsid w:val="004D5DCC"/>
    <w:rsid w:val="004D67B1"/>
    <w:rsid w:val="004D7E45"/>
    <w:rsid w:val="004E09EC"/>
    <w:rsid w:val="004E37A1"/>
    <w:rsid w:val="004E40AE"/>
    <w:rsid w:val="004E6ED0"/>
    <w:rsid w:val="004E75BB"/>
    <w:rsid w:val="004F0C6B"/>
    <w:rsid w:val="004F10AF"/>
    <w:rsid w:val="004F11A4"/>
    <w:rsid w:val="004F2389"/>
    <w:rsid w:val="004F304D"/>
    <w:rsid w:val="004F4290"/>
    <w:rsid w:val="004F615E"/>
    <w:rsid w:val="004F61BE"/>
    <w:rsid w:val="004F66B1"/>
    <w:rsid w:val="0050691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5ACF"/>
    <w:rsid w:val="00537476"/>
    <w:rsid w:val="005442EE"/>
    <w:rsid w:val="005454D3"/>
    <w:rsid w:val="00545DA6"/>
    <w:rsid w:val="00547353"/>
    <w:rsid w:val="005474E7"/>
    <w:rsid w:val="005512A3"/>
    <w:rsid w:val="005578CE"/>
    <w:rsid w:val="00562781"/>
    <w:rsid w:val="00562B6C"/>
    <w:rsid w:val="00564A52"/>
    <w:rsid w:val="0056613F"/>
    <w:rsid w:val="0057271C"/>
    <w:rsid w:val="00572845"/>
    <w:rsid w:val="0058270F"/>
    <w:rsid w:val="005835D9"/>
    <w:rsid w:val="00587144"/>
    <w:rsid w:val="005879A2"/>
    <w:rsid w:val="00592772"/>
    <w:rsid w:val="0059574A"/>
    <w:rsid w:val="005A1B9B"/>
    <w:rsid w:val="005A2628"/>
    <w:rsid w:val="005A2E79"/>
    <w:rsid w:val="005A6751"/>
    <w:rsid w:val="005A6D12"/>
    <w:rsid w:val="005B092E"/>
    <w:rsid w:val="005B152C"/>
    <w:rsid w:val="005B1EE0"/>
    <w:rsid w:val="005B2B24"/>
    <w:rsid w:val="005B4425"/>
    <w:rsid w:val="005B4B94"/>
    <w:rsid w:val="005B6F31"/>
    <w:rsid w:val="005C0278"/>
    <w:rsid w:val="005C3EE8"/>
    <w:rsid w:val="005C4C0B"/>
    <w:rsid w:val="005C6458"/>
    <w:rsid w:val="005D1FD2"/>
    <w:rsid w:val="005D201B"/>
    <w:rsid w:val="005D2F2A"/>
    <w:rsid w:val="005D34F9"/>
    <w:rsid w:val="005D4190"/>
    <w:rsid w:val="005D4B98"/>
    <w:rsid w:val="005D5D32"/>
    <w:rsid w:val="005D67A3"/>
    <w:rsid w:val="005E21A9"/>
    <w:rsid w:val="005E2988"/>
    <w:rsid w:val="005E3085"/>
    <w:rsid w:val="005E7AA9"/>
    <w:rsid w:val="005F0EB3"/>
    <w:rsid w:val="005F0FB7"/>
    <w:rsid w:val="005F3AC7"/>
    <w:rsid w:val="005F4133"/>
    <w:rsid w:val="005F4721"/>
    <w:rsid w:val="005F51E1"/>
    <w:rsid w:val="005F5D81"/>
    <w:rsid w:val="00601B5B"/>
    <w:rsid w:val="00606391"/>
    <w:rsid w:val="00611C80"/>
    <w:rsid w:val="006138DF"/>
    <w:rsid w:val="00615235"/>
    <w:rsid w:val="00615E3B"/>
    <w:rsid w:val="00620692"/>
    <w:rsid w:val="00623252"/>
    <w:rsid w:val="006242CA"/>
    <w:rsid w:val="0062503A"/>
    <w:rsid w:val="00625B30"/>
    <w:rsid w:val="00627507"/>
    <w:rsid w:val="00627686"/>
    <w:rsid w:val="00631676"/>
    <w:rsid w:val="00633717"/>
    <w:rsid w:val="006344E1"/>
    <w:rsid w:val="00634595"/>
    <w:rsid w:val="00635097"/>
    <w:rsid w:val="00636196"/>
    <w:rsid w:val="00641CB8"/>
    <w:rsid w:val="00643524"/>
    <w:rsid w:val="0064393B"/>
    <w:rsid w:val="006454FF"/>
    <w:rsid w:val="00645CF2"/>
    <w:rsid w:val="006539F0"/>
    <w:rsid w:val="006545C4"/>
    <w:rsid w:val="00661971"/>
    <w:rsid w:val="00661CE8"/>
    <w:rsid w:val="006623D9"/>
    <w:rsid w:val="00662F35"/>
    <w:rsid w:val="006642A5"/>
    <w:rsid w:val="0066550C"/>
    <w:rsid w:val="00665BD2"/>
    <w:rsid w:val="0066795D"/>
    <w:rsid w:val="00667A84"/>
    <w:rsid w:val="006716F2"/>
    <w:rsid w:val="0067311F"/>
    <w:rsid w:val="00675AF2"/>
    <w:rsid w:val="006765D9"/>
    <w:rsid w:val="0068100C"/>
    <w:rsid w:val="00682BF2"/>
    <w:rsid w:val="006853D8"/>
    <w:rsid w:val="0068573E"/>
    <w:rsid w:val="006859CE"/>
    <w:rsid w:val="00691270"/>
    <w:rsid w:val="00694BA8"/>
    <w:rsid w:val="00696F94"/>
    <w:rsid w:val="00697C4C"/>
    <w:rsid w:val="006A037C"/>
    <w:rsid w:val="006A0C84"/>
    <w:rsid w:val="006A1C3E"/>
    <w:rsid w:val="006A36F4"/>
    <w:rsid w:val="006A406F"/>
    <w:rsid w:val="006A5D3A"/>
    <w:rsid w:val="006B001B"/>
    <w:rsid w:val="006B041B"/>
    <w:rsid w:val="006B1942"/>
    <w:rsid w:val="006B3C1A"/>
    <w:rsid w:val="006C1D4D"/>
    <w:rsid w:val="006C23D4"/>
    <w:rsid w:val="006C6549"/>
    <w:rsid w:val="006C7BB0"/>
    <w:rsid w:val="006D30DF"/>
    <w:rsid w:val="006D3237"/>
    <w:rsid w:val="006D64A5"/>
    <w:rsid w:val="006E0D09"/>
    <w:rsid w:val="006E1A08"/>
    <w:rsid w:val="006E2E37"/>
    <w:rsid w:val="006E3CF1"/>
    <w:rsid w:val="006E68A3"/>
    <w:rsid w:val="006E75C1"/>
    <w:rsid w:val="006E7E80"/>
    <w:rsid w:val="006F1C2D"/>
    <w:rsid w:val="006F48CA"/>
    <w:rsid w:val="006F64DD"/>
    <w:rsid w:val="006F712D"/>
    <w:rsid w:val="0070051D"/>
    <w:rsid w:val="00703039"/>
    <w:rsid w:val="00715127"/>
    <w:rsid w:val="007158BF"/>
    <w:rsid w:val="00715E8E"/>
    <w:rsid w:val="00723580"/>
    <w:rsid w:val="00723755"/>
    <w:rsid w:val="00724E0E"/>
    <w:rsid w:val="0073136C"/>
    <w:rsid w:val="00731F0F"/>
    <w:rsid w:val="00732B34"/>
    <w:rsid w:val="00733250"/>
    <w:rsid w:val="00740156"/>
    <w:rsid w:val="00740E78"/>
    <w:rsid w:val="00741404"/>
    <w:rsid w:val="007449E5"/>
    <w:rsid w:val="0074750E"/>
    <w:rsid w:val="00747FF0"/>
    <w:rsid w:val="00753F26"/>
    <w:rsid w:val="00754D74"/>
    <w:rsid w:val="0075566E"/>
    <w:rsid w:val="00755F1A"/>
    <w:rsid w:val="00756ED9"/>
    <w:rsid w:val="0076075D"/>
    <w:rsid w:val="00763602"/>
    <w:rsid w:val="00764D4E"/>
    <w:rsid w:val="00765A1F"/>
    <w:rsid w:val="00766340"/>
    <w:rsid w:val="0076698B"/>
    <w:rsid w:val="00773419"/>
    <w:rsid w:val="00773893"/>
    <w:rsid w:val="007749D3"/>
    <w:rsid w:val="00774F6C"/>
    <w:rsid w:val="00775B6D"/>
    <w:rsid w:val="00776D68"/>
    <w:rsid w:val="00780C44"/>
    <w:rsid w:val="0078323E"/>
    <w:rsid w:val="00784E06"/>
    <w:rsid w:val="007850EE"/>
    <w:rsid w:val="00785B95"/>
    <w:rsid w:val="0078754D"/>
    <w:rsid w:val="00790E96"/>
    <w:rsid w:val="007926FD"/>
    <w:rsid w:val="00792779"/>
    <w:rsid w:val="00793366"/>
    <w:rsid w:val="0079666C"/>
    <w:rsid w:val="007A0EE0"/>
    <w:rsid w:val="007A276B"/>
    <w:rsid w:val="007A716F"/>
    <w:rsid w:val="007B270A"/>
    <w:rsid w:val="007B4182"/>
    <w:rsid w:val="007B42BE"/>
    <w:rsid w:val="007C0695"/>
    <w:rsid w:val="007C1736"/>
    <w:rsid w:val="007C419A"/>
    <w:rsid w:val="007C4CC8"/>
    <w:rsid w:val="007C5426"/>
    <w:rsid w:val="007C5798"/>
    <w:rsid w:val="007C67C7"/>
    <w:rsid w:val="007D1ECD"/>
    <w:rsid w:val="007D3701"/>
    <w:rsid w:val="007D4832"/>
    <w:rsid w:val="007E21B2"/>
    <w:rsid w:val="007E2C4E"/>
    <w:rsid w:val="007E2C8C"/>
    <w:rsid w:val="007E51BA"/>
    <w:rsid w:val="007E6B9C"/>
    <w:rsid w:val="007E73D7"/>
    <w:rsid w:val="007F0E4A"/>
    <w:rsid w:val="007F1905"/>
    <w:rsid w:val="007F27E4"/>
    <w:rsid w:val="007F2F6C"/>
    <w:rsid w:val="007F3437"/>
    <w:rsid w:val="00801C6A"/>
    <w:rsid w:val="00802C64"/>
    <w:rsid w:val="008047EB"/>
    <w:rsid w:val="00805E52"/>
    <w:rsid w:val="008061D0"/>
    <w:rsid w:val="00807A97"/>
    <w:rsid w:val="00810AB4"/>
    <w:rsid w:val="00810B38"/>
    <w:rsid w:val="008204C7"/>
    <w:rsid w:val="00820992"/>
    <w:rsid w:val="00823602"/>
    <w:rsid w:val="00824195"/>
    <w:rsid w:val="008255F5"/>
    <w:rsid w:val="00826890"/>
    <w:rsid w:val="0083014E"/>
    <w:rsid w:val="0083214A"/>
    <w:rsid w:val="00834220"/>
    <w:rsid w:val="00845723"/>
    <w:rsid w:val="0084683F"/>
    <w:rsid w:val="008519E7"/>
    <w:rsid w:val="00851EF9"/>
    <w:rsid w:val="0085612A"/>
    <w:rsid w:val="008577FD"/>
    <w:rsid w:val="00857D3C"/>
    <w:rsid w:val="00860B03"/>
    <w:rsid w:val="0086497A"/>
    <w:rsid w:val="00865E68"/>
    <w:rsid w:val="00867066"/>
    <w:rsid w:val="008713A1"/>
    <w:rsid w:val="00872584"/>
    <w:rsid w:val="008754AB"/>
    <w:rsid w:val="00876755"/>
    <w:rsid w:val="0088060C"/>
    <w:rsid w:val="00882CD5"/>
    <w:rsid w:val="00883151"/>
    <w:rsid w:val="00893576"/>
    <w:rsid w:val="00893E73"/>
    <w:rsid w:val="008A00E1"/>
    <w:rsid w:val="008A39FB"/>
    <w:rsid w:val="008B02DC"/>
    <w:rsid w:val="008B092C"/>
    <w:rsid w:val="008B1586"/>
    <w:rsid w:val="008B3AC7"/>
    <w:rsid w:val="008B43E6"/>
    <w:rsid w:val="008B54E7"/>
    <w:rsid w:val="008B57CE"/>
    <w:rsid w:val="008C17CF"/>
    <w:rsid w:val="008C2329"/>
    <w:rsid w:val="008C26DE"/>
    <w:rsid w:val="008C497D"/>
    <w:rsid w:val="008C749A"/>
    <w:rsid w:val="008D0040"/>
    <w:rsid w:val="008D2225"/>
    <w:rsid w:val="008D4752"/>
    <w:rsid w:val="008D5A13"/>
    <w:rsid w:val="008D660D"/>
    <w:rsid w:val="008D79DE"/>
    <w:rsid w:val="008E1B15"/>
    <w:rsid w:val="008E271C"/>
    <w:rsid w:val="008E3A08"/>
    <w:rsid w:val="008E418E"/>
    <w:rsid w:val="008E43F2"/>
    <w:rsid w:val="008E4E74"/>
    <w:rsid w:val="008E5BC6"/>
    <w:rsid w:val="008E6217"/>
    <w:rsid w:val="008E63C9"/>
    <w:rsid w:val="008E6A25"/>
    <w:rsid w:val="008F0B35"/>
    <w:rsid w:val="008F2554"/>
    <w:rsid w:val="008F3AEC"/>
    <w:rsid w:val="008F4D80"/>
    <w:rsid w:val="008F5193"/>
    <w:rsid w:val="008F5C45"/>
    <w:rsid w:val="008F6B36"/>
    <w:rsid w:val="008F75E0"/>
    <w:rsid w:val="009013A7"/>
    <w:rsid w:val="009017FB"/>
    <w:rsid w:val="009017FC"/>
    <w:rsid w:val="00903FF2"/>
    <w:rsid w:val="009042F8"/>
    <w:rsid w:val="0090506B"/>
    <w:rsid w:val="009050C9"/>
    <w:rsid w:val="009066FC"/>
    <w:rsid w:val="00906E83"/>
    <w:rsid w:val="009140A3"/>
    <w:rsid w:val="009144A2"/>
    <w:rsid w:val="0091510C"/>
    <w:rsid w:val="00915A00"/>
    <w:rsid w:val="009259AC"/>
    <w:rsid w:val="00926F38"/>
    <w:rsid w:val="00927BEB"/>
    <w:rsid w:val="00930126"/>
    <w:rsid w:val="00931B0C"/>
    <w:rsid w:val="009333DC"/>
    <w:rsid w:val="00934301"/>
    <w:rsid w:val="009360DE"/>
    <w:rsid w:val="009369FF"/>
    <w:rsid w:val="00936CD1"/>
    <w:rsid w:val="00941747"/>
    <w:rsid w:val="00941EFB"/>
    <w:rsid w:val="00944CF4"/>
    <w:rsid w:val="009456C8"/>
    <w:rsid w:val="0094749A"/>
    <w:rsid w:val="00947AFB"/>
    <w:rsid w:val="00950E1A"/>
    <w:rsid w:val="00951AA3"/>
    <w:rsid w:val="00951D7D"/>
    <w:rsid w:val="00955D0E"/>
    <w:rsid w:val="00956D0C"/>
    <w:rsid w:val="00957318"/>
    <w:rsid w:val="009575EE"/>
    <w:rsid w:val="009630C7"/>
    <w:rsid w:val="00972B55"/>
    <w:rsid w:val="009743B7"/>
    <w:rsid w:val="009759B5"/>
    <w:rsid w:val="0098228B"/>
    <w:rsid w:val="009828DA"/>
    <w:rsid w:val="0098410D"/>
    <w:rsid w:val="00985BAB"/>
    <w:rsid w:val="00986B3C"/>
    <w:rsid w:val="009876D1"/>
    <w:rsid w:val="00991DFF"/>
    <w:rsid w:val="00996AF3"/>
    <w:rsid w:val="009A115C"/>
    <w:rsid w:val="009A7FC1"/>
    <w:rsid w:val="009B1606"/>
    <w:rsid w:val="009B1B5F"/>
    <w:rsid w:val="009B626C"/>
    <w:rsid w:val="009B6673"/>
    <w:rsid w:val="009C191B"/>
    <w:rsid w:val="009C2BD6"/>
    <w:rsid w:val="009C3F45"/>
    <w:rsid w:val="009D0552"/>
    <w:rsid w:val="009D1440"/>
    <w:rsid w:val="009D57AA"/>
    <w:rsid w:val="009D71EF"/>
    <w:rsid w:val="009E1D72"/>
    <w:rsid w:val="009E1F32"/>
    <w:rsid w:val="009E2CC2"/>
    <w:rsid w:val="009E42EA"/>
    <w:rsid w:val="009E47A2"/>
    <w:rsid w:val="009E4ADD"/>
    <w:rsid w:val="009E69CF"/>
    <w:rsid w:val="009E776C"/>
    <w:rsid w:val="009E7A6F"/>
    <w:rsid w:val="009E7CA9"/>
    <w:rsid w:val="009F2E49"/>
    <w:rsid w:val="009F4C8F"/>
    <w:rsid w:val="009F5764"/>
    <w:rsid w:val="00A02972"/>
    <w:rsid w:val="00A04833"/>
    <w:rsid w:val="00A05588"/>
    <w:rsid w:val="00A074B9"/>
    <w:rsid w:val="00A15601"/>
    <w:rsid w:val="00A15704"/>
    <w:rsid w:val="00A1726E"/>
    <w:rsid w:val="00A204CF"/>
    <w:rsid w:val="00A21D2B"/>
    <w:rsid w:val="00A22745"/>
    <w:rsid w:val="00A23B60"/>
    <w:rsid w:val="00A23D49"/>
    <w:rsid w:val="00A25114"/>
    <w:rsid w:val="00A27004"/>
    <w:rsid w:val="00A30652"/>
    <w:rsid w:val="00A308CE"/>
    <w:rsid w:val="00A30C29"/>
    <w:rsid w:val="00A34DD6"/>
    <w:rsid w:val="00A35683"/>
    <w:rsid w:val="00A3679B"/>
    <w:rsid w:val="00A36819"/>
    <w:rsid w:val="00A36989"/>
    <w:rsid w:val="00A41D86"/>
    <w:rsid w:val="00A43628"/>
    <w:rsid w:val="00A43D95"/>
    <w:rsid w:val="00A45206"/>
    <w:rsid w:val="00A50D21"/>
    <w:rsid w:val="00A51D0F"/>
    <w:rsid w:val="00A53CE6"/>
    <w:rsid w:val="00A54192"/>
    <w:rsid w:val="00A54CBA"/>
    <w:rsid w:val="00A54E39"/>
    <w:rsid w:val="00A57147"/>
    <w:rsid w:val="00A6035E"/>
    <w:rsid w:val="00A6144C"/>
    <w:rsid w:val="00A66617"/>
    <w:rsid w:val="00A671F8"/>
    <w:rsid w:val="00A673A4"/>
    <w:rsid w:val="00A67CF2"/>
    <w:rsid w:val="00A724AE"/>
    <w:rsid w:val="00A72865"/>
    <w:rsid w:val="00A73329"/>
    <w:rsid w:val="00A7503C"/>
    <w:rsid w:val="00A82359"/>
    <w:rsid w:val="00A824BE"/>
    <w:rsid w:val="00A865D2"/>
    <w:rsid w:val="00A87650"/>
    <w:rsid w:val="00A90BCD"/>
    <w:rsid w:val="00A93CE7"/>
    <w:rsid w:val="00A94C20"/>
    <w:rsid w:val="00AA1B09"/>
    <w:rsid w:val="00AA227F"/>
    <w:rsid w:val="00AA22FE"/>
    <w:rsid w:val="00AA3BC7"/>
    <w:rsid w:val="00AA754A"/>
    <w:rsid w:val="00AA782F"/>
    <w:rsid w:val="00AB099E"/>
    <w:rsid w:val="00AB4328"/>
    <w:rsid w:val="00AB730B"/>
    <w:rsid w:val="00AB7ADF"/>
    <w:rsid w:val="00AB7C83"/>
    <w:rsid w:val="00AC4CD4"/>
    <w:rsid w:val="00AE0A2E"/>
    <w:rsid w:val="00AE354C"/>
    <w:rsid w:val="00AE6405"/>
    <w:rsid w:val="00AE6C8A"/>
    <w:rsid w:val="00AE728C"/>
    <w:rsid w:val="00AF4B07"/>
    <w:rsid w:val="00AF6186"/>
    <w:rsid w:val="00AF7596"/>
    <w:rsid w:val="00AF7A3A"/>
    <w:rsid w:val="00B02587"/>
    <w:rsid w:val="00B03C0F"/>
    <w:rsid w:val="00B049D1"/>
    <w:rsid w:val="00B04F3B"/>
    <w:rsid w:val="00B160DB"/>
    <w:rsid w:val="00B16283"/>
    <w:rsid w:val="00B167CB"/>
    <w:rsid w:val="00B1736E"/>
    <w:rsid w:val="00B20836"/>
    <w:rsid w:val="00B20EE7"/>
    <w:rsid w:val="00B21C11"/>
    <w:rsid w:val="00B235BB"/>
    <w:rsid w:val="00B27A44"/>
    <w:rsid w:val="00B27B65"/>
    <w:rsid w:val="00B30BBF"/>
    <w:rsid w:val="00B328C2"/>
    <w:rsid w:val="00B33C03"/>
    <w:rsid w:val="00B365B2"/>
    <w:rsid w:val="00B406E3"/>
    <w:rsid w:val="00B4421F"/>
    <w:rsid w:val="00B44B03"/>
    <w:rsid w:val="00B44E56"/>
    <w:rsid w:val="00B45917"/>
    <w:rsid w:val="00B46543"/>
    <w:rsid w:val="00B47D33"/>
    <w:rsid w:val="00B52BE0"/>
    <w:rsid w:val="00B54133"/>
    <w:rsid w:val="00B54954"/>
    <w:rsid w:val="00B55CA3"/>
    <w:rsid w:val="00B66D96"/>
    <w:rsid w:val="00B701ED"/>
    <w:rsid w:val="00B7194B"/>
    <w:rsid w:val="00B748F7"/>
    <w:rsid w:val="00B8086C"/>
    <w:rsid w:val="00B81C58"/>
    <w:rsid w:val="00B82B84"/>
    <w:rsid w:val="00B85C8D"/>
    <w:rsid w:val="00B861B4"/>
    <w:rsid w:val="00B86518"/>
    <w:rsid w:val="00B86DFE"/>
    <w:rsid w:val="00B90990"/>
    <w:rsid w:val="00B922FF"/>
    <w:rsid w:val="00B9281E"/>
    <w:rsid w:val="00B93925"/>
    <w:rsid w:val="00B95187"/>
    <w:rsid w:val="00BA2D55"/>
    <w:rsid w:val="00BA71B1"/>
    <w:rsid w:val="00BB0637"/>
    <w:rsid w:val="00BB345F"/>
    <w:rsid w:val="00BB68EA"/>
    <w:rsid w:val="00BB784C"/>
    <w:rsid w:val="00BC0B99"/>
    <w:rsid w:val="00BC1C27"/>
    <w:rsid w:val="00BC3329"/>
    <w:rsid w:val="00BC6BBF"/>
    <w:rsid w:val="00BD1572"/>
    <w:rsid w:val="00BE049E"/>
    <w:rsid w:val="00BE14E3"/>
    <w:rsid w:val="00BE3774"/>
    <w:rsid w:val="00BE41E5"/>
    <w:rsid w:val="00BF118F"/>
    <w:rsid w:val="00BF13FC"/>
    <w:rsid w:val="00BF275F"/>
    <w:rsid w:val="00BF3244"/>
    <w:rsid w:val="00BF4109"/>
    <w:rsid w:val="00BF4CC3"/>
    <w:rsid w:val="00BF5919"/>
    <w:rsid w:val="00C02051"/>
    <w:rsid w:val="00C04A68"/>
    <w:rsid w:val="00C054C7"/>
    <w:rsid w:val="00C057B5"/>
    <w:rsid w:val="00C07D0E"/>
    <w:rsid w:val="00C1015C"/>
    <w:rsid w:val="00C115C3"/>
    <w:rsid w:val="00C11791"/>
    <w:rsid w:val="00C15547"/>
    <w:rsid w:val="00C1672D"/>
    <w:rsid w:val="00C22687"/>
    <w:rsid w:val="00C262BA"/>
    <w:rsid w:val="00C26A92"/>
    <w:rsid w:val="00C26B1C"/>
    <w:rsid w:val="00C32E4D"/>
    <w:rsid w:val="00C333A0"/>
    <w:rsid w:val="00C36A81"/>
    <w:rsid w:val="00C37D72"/>
    <w:rsid w:val="00C40BFD"/>
    <w:rsid w:val="00C41974"/>
    <w:rsid w:val="00C42230"/>
    <w:rsid w:val="00C44A2C"/>
    <w:rsid w:val="00C44F09"/>
    <w:rsid w:val="00C477F7"/>
    <w:rsid w:val="00C509A6"/>
    <w:rsid w:val="00C52081"/>
    <w:rsid w:val="00C53F4A"/>
    <w:rsid w:val="00C54125"/>
    <w:rsid w:val="00C55B54"/>
    <w:rsid w:val="00C6098E"/>
    <w:rsid w:val="00C6152C"/>
    <w:rsid w:val="00C63888"/>
    <w:rsid w:val="00C6395E"/>
    <w:rsid w:val="00C64D23"/>
    <w:rsid w:val="00C72F42"/>
    <w:rsid w:val="00C74810"/>
    <w:rsid w:val="00C754A8"/>
    <w:rsid w:val="00C85F62"/>
    <w:rsid w:val="00C90D68"/>
    <w:rsid w:val="00C939FE"/>
    <w:rsid w:val="00C9649D"/>
    <w:rsid w:val="00CA4BDA"/>
    <w:rsid w:val="00CA57D7"/>
    <w:rsid w:val="00CB095A"/>
    <w:rsid w:val="00CB13E3"/>
    <w:rsid w:val="00CB1F66"/>
    <w:rsid w:val="00CB232C"/>
    <w:rsid w:val="00CB2951"/>
    <w:rsid w:val="00CB4277"/>
    <w:rsid w:val="00CB641C"/>
    <w:rsid w:val="00CC5067"/>
    <w:rsid w:val="00CC69FD"/>
    <w:rsid w:val="00CD11D3"/>
    <w:rsid w:val="00CD127D"/>
    <w:rsid w:val="00CD18FE"/>
    <w:rsid w:val="00CD282B"/>
    <w:rsid w:val="00CD3887"/>
    <w:rsid w:val="00CD447B"/>
    <w:rsid w:val="00CD4C35"/>
    <w:rsid w:val="00CD63BD"/>
    <w:rsid w:val="00CD7369"/>
    <w:rsid w:val="00CE0B0E"/>
    <w:rsid w:val="00CE3831"/>
    <w:rsid w:val="00CF2397"/>
    <w:rsid w:val="00CF30B1"/>
    <w:rsid w:val="00D00ABB"/>
    <w:rsid w:val="00D00FAE"/>
    <w:rsid w:val="00D01AAF"/>
    <w:rsid w:val="00D02B84"/>
    <w:rsid w:val="00D02EEC"/>
    <w:rsid w:val="00D03551"/>
    <w:rsid w:val="00D04315"/>
    <w:rsid w:val="00D04C81"/>
    <w:rsid w:val="00D06A63"/>
    <w:rsid w:val="00D07E0E"/>
    <w:rsid w:val="00D10CD6"/>
    <w:rsid w:val="00D11478"/>
    <w:rsid w:val="00D1423F"/>
    <w:rsid w:val="00D14C3B"/>
    <w:rsid w:val="00D15ED0"/>
    <w:rsid w:val="00D164BF"/>
    <w:rsid w:val="00D16D11"/>
    <w:rsid w:val="00D21B3E"/>
    <w:rsid w:val="00D21FED"/>
    <w:rsid w:val="00D23048"/>
    <w:rsid w:val="00D2416C"/>
    <w:rsid w:val="00D24251"/>
    <w:rsid w:val="00D25E56"/>
    <w:rsid w:val="00D26E72"/>
    <w:rsid w:val="00D343E2"/>
    <w:rsid w:val="00D35858"/>
    <w:rsid w:val="00D361A2"/>
    <w:rsid w:val="00D37272"/>
    <w:rsid w:val="00D37C7C"/>
    <w:rsid w:val="00D44C2E"/>
    <w:rsid w:val="00D44D1F"/>
    <w:rsid w:val="00D45414"/>
    <w:rsid w:val="00D45B9D"/>
    <w:rsid w:val="00D50A0A"/>
    <w:rsid w:val="00D53548"/>
    <w:rsid w:val="00D53A50"/>
    <w:rsid w:val="00D5576B"/>
    <w:rsid w:val="00D566BD"/>
    <w:rsid w:val="00D57A4D"/>
    <w:rsid w:val="00D603D6"/>
    <w:rsid w:val="00D60AA7"/>
    <w:rsid w:val="00D6435F"/>
    <w:rsid w:val="00D66471"/>
    <w:rsid w:val="00D70641"/>
    <w:rsid w:val="00D71EE9"/>
    <w:rsid w:val="00D74613"/>
    <w:rsid w:val="00D74888"/>
    <w:rsid w:val="00D7488B"/>
    <w:rsid w:val="00D75E28"/>
    <w:rsid w:val="00D772C2"/>
    <w:rsid w:val="00D8008E"/>
    <w:rsid w:val="00D82C45"/>
    <w:rsid w:val="00D837A9"/>
    <w:rsid w:val="00D852DE"/>
    <w:rsid w:val="00D87275"/>
    <w:rsid w:val="00D900D4"/>
    <w:rsid w:val="00D908A8"/>
    <w:rsid w:val="00D977B6"/>
    <w:rsid w:val="00DA1223"/>
    <w:rsid w:val="00DA124E"/>
    <w:rsid w:val="00DA4A31"/>
    <w:rsid w:val="00DA7B04"/>
    <w:rsid w:val="00DB1ECD"/>
    <w:rsid w:val="00DB236C"/>
    <w:rsid w:val="00DB2AC3"/>
    <w:rsid w:val="00DB36C2"/>
    <w:rsid w:val="00DB4594"/>
    <w:rsid w:val="00DB6BB6"/>
    <w:rsid w:val="00DB7036"/>
    <w:rsid w:val="00DC169B"/>
    <w:rsid w:val="00DC2AB9"/>
    <w:rsid w:val="00DC5F11"/>
    <w:rsid w:val="00DC63F0"/>
    <w:rsid w:val="00DD37EA"/>
    <w:rsid w:val="00DD6EE5"/>
    <w:rsid w:val="00DE16C1"/>
    <w:rsid w:val="00DE386C"/>
    <w:rsid w:val="00DE4D35"/>
    <w:rsid w:val="00DE51F5"/>
    <w:rsid w:val="00DE7547"/>
    <w:rsid w:val="00DE7C4B"/>
    <w:rsid w:val="00DE7F7E"/>
    <w:rsid w:val="00DF098B"/>
    <w:rsid w:val="00DF11C4"/>
    <w:rsid w:val="00DF210C"/>
    <w:rsid w:val="00DF2293"/>
    <w:rsid w:val="00DF2586"/>
    <w:rsid w:val="00DF273C"/>
    <w:rsid w:val="00DF4384"/>
    <w:rsid w:val="00DF4B6A"/>
    <w:rsid w:val="00E004C0"/>
    <w:rsid w:val="00E00A6E"/>
    <w:rsid w:val="00E01B9F"/>
    <w:rsid w:val="00E02C09"/>
    <w:rsid w:val="00E04D59"/>
    <w:rsid w:val="00E05AAE"/>
    <w:rsid w:val="00E07DA1"/>
    <w:rsid w:val="00E123CB"/>
    <w:rsid w:val="00E13B09"/>
    <w:rsid w:val="00E20E13"/>
    <w:rsid w:val="00E21DBC"/>
    <w:rsid w:val="00E23E40"/>
    <w:rsid w:val="00E275D7"/>
    <w:rsid w:val="00E27DBE"/>
    <w:rsid w:val="00E30399"/>
    <w:rsid w:val="00E32AB1"/>
    <w:rsid w:val="00E34010"/>
    <w:rsid w:val="00E36C71"/>
    <w:rsid w:val="00E40404"/>
    <w:rsid w:val="00E4126A"/>
    <w:rsid w:val="00E415D8"/>
    <w:rsid w:val="00E42A06"/>
    <w:rsid w:val="00E445A9"/>
    <w:rsid w:val="00E4522F"/>
    <w:rsid w:val="00E459C6"/>
    <w:rsid w:val="00E47589"/>
    <w:rsid w:val="00E508C1"/>
    <w:rsid w:val="00E54329"/>
    <w:rsid w:val="00E546D3"/>
    <w:rsid w:val="00E5610A"/>
    <w:rsid w:val="00E63EC7"/>
    <w:rsid w:val="00E6441E"/>
    <w:rsid w:val="00E64915"/>
    <w:rsid w:val="00E64D3A"/>
    <w:rsid w:val="00E661D4"/>
    <w:rsid w:val="00E67565"/>
    <w:rsid w:val="00E67B19"/>
    <w:rsid w:val="00E70091"/>
    <w:rsid w:val="00E70D2E"/>
    <w:rsid w:val="00E71FCC"/>
    <w:rsid w:val="00E720F5"/>
    <w:rsid w:val="00E73574"/>
    <w:rsid w:val="00E76D47"/>
    <w:rsid w:val="00E827BC"/>
    <w:rsid w:val="00E82940"/>
    <w:rsid w:val="00E849F7"/>
    <w:rsid w:val="00E86C40"/>
    <w:rsid w:val="00E90302"/>
    <w:rsid w:val="00E913BF"/>
    <w:rsid w:val="00E91D05"/>
    <w:rsid w:val="00E9262D"/>
    <w:rsid w:val="00E95C1E"/>
    <w:rsid w:val="00E97396"/>
    <w:rsid w:val="00E973FC"/>
    <w:rsid w:val="00EA0E7A"/>
    <w:rsid w:val="00EA185E"/>
    <w:rsid w:val="00EA3756"/>
    <w:rsid w:val="00EA592A"/>
    <w:rsid w:val="00EA6BF8"/>
    <w:rsid w:val="00EB14E4"/>
    <w:rsid w:val="00EB32A5"/>
    <w:rsid w:val="00EB34ED"/>
    <w:rsid w:val="00EB447C"/>
    <w:rsid w:val="00EB7BE0"/>
    <w:rsid w:val="00EC1BB4"/>
    <w:rsid w:val="00EC315E"/>
    <w:rsid w:val="00ED077C"/>
    <w:rsid w:val="00ED10A9"/>
    <w:rsid w:val="00ED1190"/>
    <w:rsid w:val="00ED2239"/>
    <w:rsid w:val="00ED34AC"/>
    <w:rsid w:val="00ED4CE2"/>
    <w:rsid w:val="00ED6544"/>
    <w:rsid w:val="00EE0277"/>
    <w:rsid w:val="00EE2899"/>
    <w:rsid w:val="00EE3D2E"/>
    <w:rsid w:val="00EE3E00"/>
    <w:rsid w:val="00EE5A2B"/>
    <w:rsid w:val="00EE5DD2"/>
    <w:rsid w:val="00EF0F91"/>
    <w:rsid w:val="00EF36C5"/>
    <w:rsid w:val="00EF3DB4"/>
    <w:rsid w:val="00F008C1"/>
    <w:rsid w:val="00F00A79"/>
    <w:rsid w:val="00F00D13"/>
    <w:rsid w:val="00F00E86"/>
    <w:rsid w:val="00F0424A"/>
    <w:rsid w:val="00F04D1C"/>
    <w:rsid w:val="00F07C1E"/>
    <w:rsid w:val="00F105DB"/>
    <w:rsid w:val="00F12B92"/>
    <w:rsid w:val="00F132BC"/>
    <w:rsid w:val="00F13A59"/>
    <w:rsid w:val="00F13D80"/>
    <w:rsid w:val="00F14C53"/>
    <w:rsid w:val="00F15B4D"/>
    <w:rsid w:val="00F15C87"/>
    <w:rsid w:val="00F16A7C"/>
    <w:rsid w:val="00F16AAA"/>
    <w:rsid w:val="00F1709C"/>
    <w:rsid w:val="00F21161"/>
    <w:rsid w:val="00F218EF"/>
    <w:rsid w:val="00F21BC7"/>
    <w:rsid w:val="00F23F9E"/>
    <w:rsid w:val="00F24A0F"/>
    <w:rsid w:val="00F266A2"/>
    <w:rsid w:val="00F32269"/>
    <w:rsid w:val="00F34673"/>
    <w:rsid w:val="00F35B7A"/>
    <w:rsid w:val="00F418BC"/>
    <w:rsid w:val="00F4778B"/>
    <w:rsid w:val="00F5298B"/>
    <w:rsid w:val="00F55C96"/>
    <w:rsid w:val="00F56A6F"/>
    <w:rsid w:val="00F5709C"/>
    <w:rsid w:val="00F60B85"/>
    <w:rsid w:val="00F64EF1"/>
    <w:rsid w:val="00F709CA"/>
    <w:rsid w:val="00F71379"/>
    <w:rsid w:val="00F72B14"/>
    <w:rsid w:val="00F7349B"/>
    <w:rsid w:val="00F76E33"/>
    <w:rsid w:val="00F81938"/>
    <w:rsid w:val="00F8765F"/>
    <w:rsid w:val="00F90767"/>
    <w:rsid w:val="00F9263C"/>
    <w:rsid w:val="00FA0003"/>
    <w:rsid w:val="00FA0838"/>
    <w:rsid w:val="00FA1637"/>
    <w:rsid w:val="00FA310D"/>
    <w:rsid w:val="00FA685B"/>
    <w:rsid w:val="00FB0C01"/>
    <w:rsid w:val="00FB5934"/>
    <w:rsid w:val="00FB6205"/>
    <w:rsid w:val="00FB7930"/>
    <w:rsid w:val="00FC18F2"/>
    <w:rsid w:val="00FC2A17"/>
    <w:rsid w:val="00FC3789"/>
    <w:rsid w:val="00FC38CF"/>
    <w:rsid w:val="00FC39E5"/>
    <w:rsid w:val="00FC3A78"/>
    <w:rsid w:val="00FC539A"/>
    <w:rsid w:val="00FD1005"/>
    <w:rsid w:val="00FD1F7F"/>
    <w:rsid w:val="00FD4533"/>
    <w:rsid w:val="00FD6C75"/>
    <w:rsid w:val="00FD7547"/>
    <w:rsid w:val="00FD7972"/>
    <w:rsid w:val="00FE0401"/>
    <w:rsid w:val="00FE71B3"/>
    <w:rsid w:val="00FF0D79"/>
    <w:rsid w:val="00FF42C5"/>
    <w:rsid w:val="00FF6F41"/>
    <w:rsid w:val="00FF7EFD"/>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9C7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6439A"/>
    <w:rPr>
      <w:sz w:val="24"/>
      <w:szCs w:val="24"/>
    </w:rPr>
  </w:style>
  <w:style w:type="paragraph" w:styleId="Nagwek1">
    <w:name w:val="heading 1"/>
    <w:basedOn w:val="Normalny"/>
    <w:next w:val="Normalny"/>
    <w:link w:val="Nagwek1Znak"/>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643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6439A"/>
    <w:rPr>
      <w:rFonts w:ascii="Tahoma" w:hAnsi="Tahoma" w:cs="Tahoma"/>
      <w:sz w:val="16"/>
      <w:szCs w:val="16"/>
    </w:rPr>
  </w:style>
  <w:style w:type="character" w:customStyle="1" w:styleId="TekstdymkaZnak">
    <w:name w:val="Tekst dymka Znak"/>
    <w:basedOn w:val="Domylnaczcionkaakapitu"/>
    <w:link w:val="Tekstdymka"/>
    <w:uiPriority w:val="98"/>
    <w:semiHidden/>
    <w:rsid w:val="0026439A"/>
    <w:rPr>
      <w:rFonts w:ascii="Tahoma" w:hAnsi="Tahoma" w:cs="Tahoma"/>
      <w:sz w:val="16"/>
      <w:szCs w:val="16"/>
      <w:lang w:val="pl-PL"/>
    </w:rPr>
  </w:style>
  <w:style w:type="character" w:styleId="Tytuksiki">
    <w:name w:val="Book Title"/>
    <w:uiPriority w:val="98"/>
    <w:semiHidden/>
    <w:qFormat/>
    <w:rsid w:val="0026439A"/>
    <w:rPr>
      <w:i/>
      <w:iCs/>
      <w:smallCaps/>
      <w:spacing w:val="5"/>
    </w:rPr>
  </w:style>
  <w:style w:type="paragraph" w:customStyle="1" w:styleId="JuHeader">
    <w:name w:val="Ju_Header"/>
    <w:aliases w:val="_Header"/>
    <w:basedOn w:val="Nagwek"/>
    <w:uiPriority w:val="29"/>
    <w:qFormat/>
    <w:rsid w:val="0026439A"/>
    <w:pPr>
      <w:tabs>
        <w:tab w:val="clear" w:pos="4536"/>
        <w:tab w:val="clear" w:pos="9072"/>
      </w:tabs>
      <w:jc w:val="center"/>
    </w:pPr>
    <w:rPr>
      <w:sz w:val="18"/>
    </w:rPr>
  </w:style>
  <w:style w:type="paragraph" w:customStyle="1" w:styleId="NormalJustified">
    <w:name w:val="Normal_Justified"/>
    <w:basedOn w:val="Normalny"/>
    <w:semiHidden/>
    <w:rsid w:val="0026439A"/>
    <w:pPr>
      <w:jc w:val="both"/>
    </w:pPr>
  </w:style>
  <w:style w:type="character" w:styleId="Pogrubienie">
    <w:name w:val="Strong"/>
    <w:uiPriority w:val="98"/>
    <w:semiHidden/>
    <w:qFormat/>
    <w:rsid w:val="0026439A"/>
    <w:rPr>
      <w:b/>
      <w:bCs/>
    </w:rPr>
  </w:style>
  <w:style w:type="paragraph" w:styleId="Bezodstpw">
    <w:name w:val="No Spacing"/>
    <w:basedOn w:val="Normalny"/>
    <w:link w:val="BezodstpwZnak"/>
    <w:uiPriority w:val="98"/>
    <w:semiHidden/>
    <w:qFormat/>
    <w:rsid w:val="0026439A"/>
  </w:style>
  <w:style w:type="character" w:customStyle="1" w:styleId="BezodstpwZnak">
    <w:name w:val="Bez odstępów Znak"/>
    <w:basedOn w:val="Domylnaczcionkaakapitu"/>
    <w:link w:val="Bezodstpw"/>
    <w:uiPriority w:val="98"/>
    <w:semiHidden/>
    <w:rsid w:val="0026439A"/>
    <w:rPr>
      <w:sz w:val="24"/>
      <w:szCs w:val="24"/>
      <w:lang w:val="pl-PL"/>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DummyStyle">
    <w:name w:val="Dummy_Style"/>
    <w:aliases w:val="_Dummy"/>
    <w:basedOn w:val="Normalny"/>
    <w:semiHidden/>
    <w:qFormat/>
    <w:rsid w:val="0026439A"/>
    <w:rPr>
      <w:color w:val="00B050"/>
      <w:sz w:val="22"/>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ny"/>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6439A"/>
    <w:pPr>
      <w:numPr>
        <w:numId w:val="4"/>
      </w:numPr>
    </w:pPr>
  </w:style>
  <w:style w:type="paragraph" w:customStyle="1" w:styleId="JuSigned">
    <w:name w:val="Ju_Signed"/>
    <w:aliases w:val="_Signature"/>
    <w:basedOn w:val="Normalny"/>
    <w:next w:val="JuPara"/>
    <w:uiPriority w:val="31"/>
    <w:qFormat/>
    <w:rsid w:val="0026439A"/>
    <w:pPr>
      <w:tabs>
        <w:tab w:val="center" w:pos="1418"/>
        <w:tab w:val="center" w:pos="5954"/>
      </w:tabs>
      <w:spacing w:before="720"/>
    </w:pPr>
  </w:style>
  <w:style w:type="paragraph" w:styleId="Tytu">
    <w:name w:val="Title"/>
    <w:basedOn w:val="Normalny"/>
    <w:next w:val="Normalny"/>
    <w:link w:val="TytuZnak"/>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643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6439A"/>
    <w:pPr>
      <w:numPr>
        <w:numId w:val="5"/>
      </w:numPr>
    </w:pPr>
  </w:style>
  <w:style w:type="numbering" w:customStyle="1" w:styleId="ECHRA1StyleNumberedList">
    <w:name w:val="ECHR_A1_Style_Numbered_List"/>
    <w:basedOn w:val="Bezlisty"/>
    <w:rsid w:val="0026439A"/>
    <w:pPr>
      <w:numPr>
        <w:numId w:val="6"/>
      </w:numPr>
    </w:pPr>
  </w:style>
  <w:style w:type="table" w:customStyle="1" w:styleId="ECHRTable2019">
    <w:name w:val="ECHR_Table_2019"/>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6439A"/>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6439A"/>
    <w:pPr>
      <w:tabs>
        <w:tab w:val="center" w:pos="4536"/>
        <w:tab w:val="right" w:pos="9072"/>
      </w:tabs>
    </w:pPr>
  </w:style>
  <w:style w:type="character" w:customStyle="1" w:styleId="NagwekZnak">
    <w:name w:val="Nagłówek Znak"/>
    <w:basedOn w:val="Domylnaczcionkaakapitu"/>
    <w:link w:val="Nagwek"/>
    <w:uiPriority w:val="98"/>
    <w:semiHidden/>
    <w:rsid w:val="0026439A"/>
    <w:rPr>
      <w:sz w:val="24"/>
      <w:szCs w:val="24"/>
      <w:lang w:val="pl-PL"/>
    </w:rPr>
  </w:style>
  <w:style w:type="character" w:customStyle="1" w:styleId="Nagwek1Znak">
    <w:name w:val="Nagłówek 1 Znak"/>
    <w:basedOn w:val="Domylnaczcionkaakapitu"/>
    <w:link w:val="Nagwek1"/>
    <w:uiPriority w:val="98"/>
    <w:semiHidden/>
    <w:rsid w:val="0026439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6439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6439A"/>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6439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ny"/>
    <w:uiPriority w:val="32"/>
    <w:qFormat/>
    <w:rsid w:val="0026439A"/>
    <w:pPr>
      <w:tabs>
        <w:tab w:val="left" w:pos="567"/>
        <w:tab w:val="left" w:pos="1134"/>
      </w:tabs>
    </w:pPr>
  </w:style>
  <w:style w:type="character" w:customStyle="1" w:styleId="Nagwek4Znak">
    <w:name w:val="Nagłówek 4 Znak"/>
    <w:basedOn w:val="Domylnaczcionkaakapitu"/>
    <w:link w:val="Nagwek4"/>
    <w:uiPriority w:val="98"/>
    <w:semiHidden/>
    <w:rsid w:val="002643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6439A"/>
    <w:pPr>
      <w:tabs>
        <w:tab w:val="center" w:pos="6407"/>
      </w:tabs>
      <w:spacing w:before="720"/>
      <w:jc w:val="right"/>
    </w:pPr>
  </w:style>
  <w:style w:type="character" w:customStyle="1" w:styleId="Nagwek5Znak">
    <w:name w:val="Nagłówek 5 Znak"/>
    <w:basedOn w:val="Domylnaczcionkaakapitu"/>
    <w:link w:val="Nagwek5"/>
    <w:uiPriority w:val="98"/>
    <w:semiHidden/>
    <w:rsid w:val="002643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Wyrnieniedelikatne">
    <w:name w:val="Subtle Emphasis"/>
    <w:uiPriority w:val="98"/>
    <w:semiHidden/>
    <w:qFormat/>
    <w:rsid w:val="0026439A"/>
    <w:rPr>
      <w:i/>
      <w:iCs/>
    </w:rPr>
  </w:style>
  <w:style w:type="table" w:customStyle="1" w:styleId="ECHRTable">
    <w:name w:val="ECHR_Table"/>
    <w:basedOn w:val="Standardowy"/>
    <w:rsid w:val="0026439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643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6439A"/>
    <w:rPr>
      <w:b/>
      <w:bCs/>
      <w:i/>
      <w:iCs/>
      <w:spacing w:val="10"/>
      <w:bdr w:val="none" w:sz="0" w:space="0" w:color="auto"/>
      <w:shd w:val="clear" w:color="auto" w:fill="auto"/>
    </w:rPr>
  </w:style>
  <w:style w:type="paragraph" w:styleId="Stopka">
    <w:name w:val="footer"/>
    <w:basedOn w:val="Normalny"/>
    <w:link w:val="StopkaZnak"/>
    <w:uiPriority w:val="98"/>
    <w:semiHidden/>
    <w:rsid w:val="0026439A"/>
    <w:pPr>
      <w:tabs>
        <w:tab w:val="center" w:pos="3686"/>
        <w:tab w:val="right" w:pos="7371"/>
      </w:tabs>
    </w:pPr>
  </w:style>
  <w:style w:type="character" w:customStyle="1" w:styleId="StopkaZnak">
    <w:name w:val="Stopka Znak"/>
    <w:basedOn w:val="Domylnaczcionkaakapitu"/>
    <w:link w:val="Stopka"/>
    <w:uiPriority w:val="98"/>
    <w:semiHidden/>
    <w:rsid w:val="0026439A"/>
    <w:rPr>
      <w:sz w:val="24"/>
      <w:szCs w:val="24"/>
      <w:lang w:val="pl-PL"/>
    </w:rPr>
  </w:style>
  <w:style w:type="character" w:styleId="Odwoanieprzypisudolnego">
    <w:name w:val="footnote reference"/>
    <w:basedOn w:val="Domylnaczcionkaakapitu"/>
    <w:uiPriority w:val="98"/>
    <w:semiHidden/>
    <w:rsid w:val="0026439A"/>
    <w:rPr>
      <w:vertAlign w:val="superscript"/>
    </w:rPr>
  </w:style>
  <w:style w:type="paragraph" w:styleId="Tekstprzypisudolnego">
    <w:name w:val="footnote text"/>
    <w:basedOn w:val="Normalny"/>
    <w:link w:val="TekstprzypisudolnegoZnak"/>
    <w:uiPriority w:val="98"/>
    <w:semiHidden/>
    <w:rsid w:val="0026439A"/>
    <w:rPr>
      <w:sz w:val="20"/>
      <w:szCs w:val="20"/>
    </w:rPr>
  </w:style>
  <w:style w:type="character" w:customStyle="1" w:styleId="TekstprzypisudolnegoZnak">
    <w:name w:val="Tekst przypisu dolnego Znak"/>
    <w:basedOn w:val="Domylnaczcionkaakapitu"/>
    <w:link w:val="Tekstprzypisudolnego"/>
    <w:uiPriority w:val="98"/>
    <w:semiHidden/>
    <w:rsid w:val="0026439A"/>
    <w:rPr>
      <w:sz w:val="20"/>
      <w:szCs w:val="20"/>
      <w:lang w:val="pl-PL"/>
    </w:rPr>
  </w:style>
  <w:style w:type="character" w:customStyle="1" w:styleId="Nagwek6Znak">
    <w:name w:val="Nagłówek 6 Znak"/>
    <w:basedOn w:val="Domylnaczcionkaakapitu"/>
    <w:link w:val="Nagwek6"/>
    <w:uiPriority w:val="98"/>
    <w:semiHidden/>
    <w:rsid w:val="002643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643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643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643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6439A"/>
    <w:rPr>
      <w:color w:val="0072BC" w:themeColor="hyperlink"/>
      <w:u w:val="single"/>
    </w:rPr>
  </w:style>
  <w:style w:type="character" w:styleId="Wyrnienieintensywne">
    <w:name w:val="Intense Emphasis"/>
    <w:uiPriority w:val="98"/>
    <w:semiHidden/>
    <w:qFormat/>
    <w:rsid w:val="0026439A"/>
    <w:rPr>
      <w:b/>
      <w:bCs/>
    </w:rPr>
  </w:style>
  <w:style w:type="paragraph" w:styleId="Cytatintensywny">
    <w:name w:val="Intense Quote"/>
    <w:basedOn w:val="Normalny"/>
    <w:next w:val="Normalny"/>
    <w:link w:val="CytatintensywnyZnak"/>
    <w:uiPriority w:val="98"/>
    <w:semiHidden/>
    <w:qFormat/>
    <w:rsid w:val="002643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6439A"/>
    <w:rPr>
      <w:b/>
      <w:bCs/>
      <w:i/>
      <w:iCs/>
      <w:sz w:val="24"/>
      <w:szCs w:val="24"/>
      <w:lang w:val="pl-PL" w:bidi="en-US"/>
    </w:rPr>
  </w:style>
  <w:style w:type="character" w:styleId="Odwoanieintensywne">
    <w:name w:val="Intense Reference"/>
    <w:uiPriority w:val="98"/>
    <w:semiHidden/>
    <w:qFormat/>
    <w:rsid w:val="0026439A"/>
    <w:rPr>
      <w:smallCaps/>
      <w:spacing w:val="5"/>
      <w:u w:val="single"/>
    </w:rPr>
  </w:style>
  <w:style w:type="paragraph" w:styleId="Akapitzlist">
    <w:name w:val="List Paragraph"/>
    <w:basedOn w:val="Normalny"/>
    <w:uiPriority w:val="98"/>
    <w:semiHidden/>
    <w:qFormat/>
    <w:rsid w:val="0026439A"/>
    <w:pPr>
      <w:ind w:left="720"/>
      <w:contextualSpacing/>
    </w:pPr>
  </w:style>
  <w:style w:type="table" w:customStyle="1" w:styleId="LtrTableAddress">
    <w:name w:val="Ltr_Table_Address"/>
    <w:aliases w:val="ECHR_Ltr_Table_Address"/>
    <w:basedOn w:val="Standardowy"/>
    <w:uiPriority w:val="99"/>
    <w:rsid w:val="0026439A"/>
    <w:rPr>
      <w:sz w:val="24"/>
      <w:szCs w:val="24"/>
    </w:rPr>
    <w:tblPr>
      <w:tblInd w:w="5103" w:type="dxa"/>
    </w:tblPr>
  </w:style>
  <w:style w:type="paragraph" w:styleId="Cytat">
    <w:name w:val="Quote"/>
    <w:basedOn w:val="Normalny"/>
    <w:next w:val="Normalny"/>
    <w:link w:val="CytatZnak"/>
    <w:uiPriority w:val="98"/>
    <w:semiHidden/>
    <w:qFormat/>
    <w:rsid w:val="0026439A"/>
    <w:pPr>
      <w:spacing w:before="200"/>
      <w:ind w:left="360" w:right="360"/>
    </w:pPr>
    <w:rPr>
      <w:i/>
      <w:iCs/>
      <w:lang w:bidi="en-US"/>
    </w:rPr>
  </w:style>
  <w:style w:type="character" w:customStyle="1" w:styleId="CytatZnak">
    <w:name w:val="Cytat Znak"/>
    <w:basedOn w:val="Domylnaczcionkaakapitu"/>
    <w:link w:val="Cytat"/>
    <w:uiPriority w:val="98"/>
    <w:semiHidden/>
    <w:rsid w:val="0026439A"/>
    <w:rPr>
      <w:i/>
      <w:iCs/>
      <w:sz w:val="24"/>
      <w:szCs w:val="24"/>
      <w:lang w:val="pl-PL" w:bidi="en-US"/>
    </w:rPr>
  </w:style>
  <w:style w:type="character" w:styleId="Odwoaniedelikatne">
    <w:name w:val="Subtle Reference"/>
    <w:uiPriority w:val="98"/>
    <w:semiHidden/>
    <w:qFormat/>
    <w:rsid w:val="0026439A"/>
    <w:rPr>
      <w:smallCaps/>
    </w:rPr>
  </w:style>
  <w:style w:type="table" w:styleId="Tabela-Siatka">
    <w:name w:val="Table Grid"/>
    <w:basedOn w:val="Standardowy"/>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643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643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643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643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643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643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643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6439A"/>
    <w:pPr>
      <w:numPr>
        <w:numId w:val="1"/>
      </w:numPr>
    </w:pPr>
  </w:style>
  <w:style w:type="paragraph" w:customStyle="1" w:styleId="JuPara">
    <w:name w:val="Ju_Para"/>
    <w:aliases w:val="_Para,ECHR_Para"/>
    <w:basedOn w:val="NormalJustified"/>
    <w:link w:val="JuParaChar"/>
    <w:uiPriority w:val="4"/>
    <w:qFormat/>
    <w:rsid w:val="0026439A"/>
    <w:pPr>
      <w:ind w:firstLine="284"/>
    </w:pPr>
  </w:style>
  <w:style w:type="numbering" w:styleId="1ai">
    <w:name w:val="Outline List 1"/>
    <w:basedOn w:val="Bezlisty"/>
    <w:uiPriority w:val="99"/>
    <w:semiHidden/>
    <w:unhideWhenUsed/>
    <w:rsid w:val="0026439A"/>
    <w:pPr>
      <w:numPr>
        <w:numId w:val="2"/>
      </w:numPr>
    </w:pPr>
  </w:style>
  <w:style w:type="table" w:customStyle="1" w:styleId="ECHRTableSimpleBox">
    <w:name w:val="ECHR_Table_Simple_Box"/>
    <w:basedOn w:val="Standardowy"/>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6439A"/>
    <w:pPr>
      <w:numPr>
        <w:numId w:val="3"/>
      </w:numPr>
    </w:pPr>
  </w:style>
  <w:style w:type="table" w:customStyle="1" w:styleId="ECHRTableForInternalUse">
    <w:name w:val="ECHR_Table_For_Internal_Use"/>
    <w:basedOn w:val="Standardowy"/>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6439A"/>
  </w:style>
  <w:style w:type="paragraph" w:styleId="Tekstblokowy">
    <w:name w:val="Block Text"/>
    <w:basedOn w:val="Normalny"/>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6439A"/>
    <w:pPr>
      <w:spacing w:after="120"/>
    </w:pPr>
  </w:style>
  <w:style w:type="character" w:customStyle="1" w:styleId="TekstpodstawowyZnak">
    <w:name w:val="Tekst podstawowy Znak"/>
    <w:basedOn w:val="Domylnaczcionkaakapitu"/>
    <w:link w:val="Tekstpodstawowy"/>
    <w:uiPriority w:val="98"/>
    <w:semiHidden/>
    <w:rsid w:val="0026439A"/>
    <w:rPr>
      <w:sz w:val="24"/>
      <w:szCs w:val="24"/>
      <w:lang w:val="pl-PL"/>
    </w:rPr>
  </w:style>
  <w:style w:type="table" w:customStyle="1" w:styleId="ECHRTableOddBanded">
    <w:name w:val="ECHR_Table_Odd_Banded"/>
    <w:basedOn w:val="Standardowy"/>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6439A"/>
    <w:pPr>
      <w:spacing w:after="120" w:line="480" w:lineRule="auto"/>
    </w:pPr>
  </w:style>
  <w:style w:type="table" w:customStyle="1" w:styleId="ECHRHeaderTableReduced">
    <w:name w:val="ECHR_Header_Table_Reduced"/>
    <w:basedOn w:val="Standardowy"/>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26439A"/>
    <w:pPr>
      <w:ind w:firstLine="284"/>
      <w:jc w:val="both"/>
    </w:pPr>
    <w:rPr>
      <w:b/>
    </w:rPr>
  </w:style>
  <w:style w:type="character" w:styleId="Numerstrony">
    <w:name w:val="page number"/>
    <w:uiPriority w:val="98"/>
    <w:semiHidden/>
    <w:rsid w:val="0026439A"/>
    <w:rPr>
      <w:sz w:val="18"/>
    </w:rPr>
  </w:style>
  <w:style w:type="paragraph" w:styleId="Listapunktowana">
    <w:name w:val="List Bullet"/>
    <w:basedOn w:val="Normalny"/>
    <w:uiPriority w:val="98"/>
    <w:semiHidden/>
    <w:rsid w:val="0026439A"/>
    <w:pPr>
      <w:numPr>
        <w:numId w:val="11"/>
      </w:numPr>
    </w:pPr>
  </w:style>
  <w:style w:type="paragraph" w:styleId="Listapunktowana3">
    <w:name w:val="List Bullet 3"/>
    <w:basedOn w:val="Normalny"/>
    <w:uiPriority w:val="98"/>
    <w:semiHidden/>
    <w:rsid w:val="0026439A"/>
    <w:pPr>
      <w:numPr>
        <w:numId w:val="13"/>
      </w:numPr>
      <w:contextualSpacing/>
    </w:pPr>
  </w:style>
  <w:style w:type="character" w:customStyle="1" w:styleId="Tekstpodstawowy2Znak">
    <w:name w:val="Tekst podstawowy 2 Znak"/>
    <w:basedOn w:val="Domylnaczcionkaakapitu"/>
    <w:link w:val="Tekstpodstawowy2"/>
    <w:uiPriority w:val="98"/>
    <w:semiHidden/>
    <w:rsid w:val="0026439A"/>
    <w:rPr>
      <w:sz w:val="24"/>
      <w:szCs w:val="24"/>
      <w:lang w:val="pl-PL"/>
    </w:rPr>
  </w:style>
  <w:style w:type="paragraph" w:styleId="Tekstpodstawowy3">
    <w:name w:val="Body Text 3"/>
    <w:basedOn w:val="Normalny"/>
    <w:link w:val="Tekstpodstawowy3Znak"/>
    <w:uiPriority w:val="98"/>
    <w:semiHidden/>
    <w:rsid w:val="0026439A"/>
    <w:pPr>
      <w:spacing w:after="120"/>
    </w:pPr>
    <w:rPr>
      <w:sz w:val="16"/>
      <w:szCs w:val="16"/>
    </w:rPr>
  </w:style>
  <w:style w:type="character" w:customStyle="1" w:styleId="Tekstpodstawowy3Znak">
    <w:name w:val="Tekst podstawowy 3 Znak"/>
    <w:basedOn w:val="Domylnaczcionkaakapitu"/>
    <w:link w:val="Tekstpodstawowy3"/>
    <w:uiPriority w:val="98"/>
    <w:semiHidden/>
    <w:rsid w:val="0026439A"/>
    <w:rPr>
      <w:sz w:val="16"/>
      <w:szCs w:val="16"/>
      <w:lang w:val="pl-PL"/>
    </w:rPr>
  </w:style>
  <w:style w:type="paragraph" w:styleId="Tekstpodstawowyzwciciem">
    <w:name w:val="Body Text First Indent"/>
    <w:basedOn w:val="Tekstpodstawowy"/>
    <w:link w:val="TekstpodstawowyzwciciemZnak"/>
    <w:uiPriority w:val="98"/>
    <w:semiHidden/>
    <w:rsid w:val="002643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6439A"/>
    <w:rPr>
      <w:sz w:val="24"/>
      <w:szCs w:val="24"/>
      <w:lang w:val="pl-PL"/>
    </w:rPr>
  </w:style>
  <w:style w:type="paragraph" w:styleId="Tekstpodstawowywcity">
    <w:name w:val="Body Text Indent"/>
    <w:basedOn w:val="Normalny"/>
    <w:link w:val="TekstpodstawowywcityZnak"/>
    <w:uiPriority w:val="98"/>
    <w:semiHidden/>
    <w:rsid w:val="0026439A"/>
    <w:pPr>
      <w:spacing w:after="120"/>
      <w:ind w:left="283"/>
    </w:pPr>
  </w:style>
  <w:style w:type="character" w:customStyle="1" w:styleId="TekstpodstawowywcityZnak">
    <w:name w:val="Tekst podstawowy wcięty Znak"/>
    <w:basedOn w:val="Domylnaczcionkaakapitu"/>
    <w:link w:val="Tekstpodstawowywcity"/>
    <w:uiPriority w:val="98"/>
    <w:semiHidden/>
    <w:rsid w:val="0026439A"/>
    <w:rPr>
      <w:sz w:val="24"/>
      <w:szCs w:val="24"/>
      <w:lang w:val="pl-PL"/>
    </w:rPr>
  </w:style>
  <w:style w:type="paragraph" w:styleId="Tekstpodstawowyzwciciem2">
    <w:name w:val="Body Text First Indent 2"/>
    <w:basedOn w:val="Tekstpodstawowywcity"/>
    <w:link w:val="Tekstpodstawowyzwciciem2Znak"/>
    <w:uiPriority w:val="98"/>
    <w:semiHidden/>
    <w:rsid w:val="002643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6439A"/>
    <w:rPr>
      <w:sz w:val="24"/>
      <w:szCs w:val="24"/>
      <w:lang w:val="pl-PL"/>
    </w:rPr>
  </w:style>
  <w:style w:type="paragraph" w:styleId="Tekstpodstawowywcity2">
    <w:name w:val="Body Text Indent 2"/>
    <w:basedOn w:val="Normalny"/>
    <w:link w:val="Tekstpodstawowywcity2Znak"/>
    <w:uiPriority w:val="98"/>
    <w:semiHidden/>
    <w:rsid w:val="002643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6439A"/>
    <w:rPr>
      <w:sz w:val="24"/>
      <w:szCs w:val="24"/>
      <w:lang w:val="pl-PL"/>
    </w:rPr>
  </w:style>
  <w:style w:type="paragraph" w:styleId="Tekstpodstawowywcity3">
    <w:name w:val="Body Text Indent 3"/>
    <w:basedOn w:val="Normalny"/>
    <w:link w:val="Tekstpodstawowywcity3Znak"/>
    <w:uiPriority w:val="98"/>
    <w:semiHidden/>
    <w:rsid w:val="002643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6439A"/>
    <w:rPr>
      <w:sz w:val="16"/>
      <w:szCs w:val="16"/>
      <w:lang w:val="pl-PL"/>
    </w:rPr>
  </w:style>
  <w:style w:type="paragraph" w:styleId="Legenda">
    <w:name w:val="caption"/>
    <w:basedOn w:val="Normalny"/>
    <w:next w:val="Normalny"/>
    <w:uiPriority w:val="98"/>
    <w:semiHidden/>
    <w:qFormat/>
    <w:rsid w:val="0026439A"/>
    <w:pPr>
      <w:spacing w:after="200"/>
    </w:pPr>
    <w:rPr>
      <w:b/>
      <w:bCs/>
      <w:color w:val="0072BC" w:themeColor="accent1"/>
      <w:sz w:val="18"/>
      <w:szCs w:val="18"/>
    </w:rPr>
  </w:style>
  <w:style w:type="paragraph" w:styleId="Zwrotpoegnalny">
    <w:name w:val="Closing"/>
    <w:basedOn w:val="Normalny"/>
    <w:link w:val="ZwrotpoegnalnyZnak"/>
    <w:uiPriority w:val="98"/>
    <w:semiHidden/>
    <w:rsid w:val="0026439A"/>
    <w:pPr>
      <w:ind w:left="4252"/>
    </w:pPr>
  </w:style>
  <w:style w:type="character" w:customStyle="1" w:styleId="ZwrotpoegnalnyZnak">
    <w:name w:val="Zwrot pożegnalny Znak"/>
    <w:basedOn w:val="Domylnaczcionkaakapitu"/>
    <w:link w:val="Zwrotpoegnalny"/>
    <w:uiPriority w:val="98"/>
    <w:semiHidden/>
    <w:rsid w:val="0026439A"/>
    <w:rPr>
      <w:sz w:val="24"/>
      <w:szCs w:val="24"/>
      <w:lang w:val="pl-PL"/>
    </w:rPr>
  </w:style>
  <w:style w:type="table" w:styleId="Kolorowasiatka">
    <w:name w:val="Colorful Grid"/>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6439A"/>
    <w:rPr>
      <w:sz w:val="16"/>
      <w:szCs w:val="16"/>
    </w:rPr>
  </w:style>
  <w:style w:type="paragraph" w:styleId="Tekstkomentarza">
    <w:name w:val="annotation text"/>
    <w:basedOn w:val="Normalny"/>
    <w:link w:val="TekstkomentarzaZnak"/>
    <w:uiPriority w:val="98"/>
    <w:semiHidden/>
    <w:rsid w:val="0026439A"/>
    <w:rPr>
      <w:sz w:val="20"/>
      <w:szCs w:val="20"/>
    </w:rPr>
  </w:style>
  <w:style w:type="character" w:customStyle="1" w:styleId="TekstkomentarzaZnak">
    <w:name w:val="Tekst komentarza Znak"/>
    <w:basedOn w:val="Domylnaczcionkaakapitu"/>
    <w:link w:val="Tekstkomentarza"/>
    <w:uiPriority w:val="98"/>
    <w:semiHidden/>
    <w:rsid w:val="0026439A"/>
    <w:rPr>
      <w:sz w:val="20"/>
      <w:szCs w:val="20"/>
      <w:lang w:val="pl-PL"/>
    </w:rPr>
  </w:style>
  <w:style w:type="paragraph" w:styleId="Tematkomentarza">
    <w:name w:val="annotation subject"/>
    <w:basedOn w:val="Tekstkomentarza"/>
    <w:next w:val="Tekstkomentarza"/>
    <w:link w:val="TematkomentarzaZnak"/>
    <w:uiPriority w:val="98"/>
    <w:semiHidden/>
    <w:rsid w:val="0026439A"/>
    <w:rPr>
      <w:b/>
      <w:bCs/>
    </w:rPr>
  </w:style>
  <w:style w:type="character" w:customStyle="1" w:styleId="TematkomentarzaZnak">
    <w:name w:val="Temat komentarza Znak"/>
    <w:basedOn w:val="TekstkomentarzaZnak"/>
    <w:link w:val="Tematkomentarza"/>
    <w:uiPriority w:val="98"/>
    <w:semiHidden/>
    <w:rsid w:val="0026439A"/>
    <w:rPr>
      <w:b/>
      <w:bCs/>
      <w:sz w:val="20"/>
      <w:szCs w:val="20"/>
      <w:lang w:val="pl-PL"/>
    </w:rPr>
  </w:style>
  <w:style w:type="table" w:styleId="Ciemnalista">
    <w:name w:val="Dark List"/>
    <w:basedOn w:val="Standardowy"/>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6439A"/>
  </w:style>
  <w:style w:type="character" w:customStyle="1" w:styleId="DataZnak">
    <w:name w:val="Data Znak"/>
    <w:basedOn w:val="Domylnaczcionkaakapitu"/>
    <w:link w:val="Data"/>
    <w:uiPriority w:val="98"/>
    <w:semiHidden/>
    <w:rsid w:val="0026439A"/>
    <w:rPr>
      <w:sz w:val="24"/>
      <w:szCs w:val="24"/>
      <w:lang w:val="pl-PL"/>
    </w:rPr>
  </w:style>
  <w:style w:type="paragraph" w:styleId="Mapadokumentu">
    <w:name w:val="Document Map"/>
    <w:basedOn w:val="Normalny"/>
    <w:link w:val="MapadokumentuZnak"/>
    <w:uiPriority w:val="98"/>
    <w:semiHidden/>
    <w:rsid w:val="002643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6439A"/>
    <w:rPr>
      <w:rFonts w:ascii="Tahoma" w:hAnsi="Tahoma" w:cs="Tahoma"/>
      <w:sz w:val="16"/>
      <w:szCs w:val="16"/>
      <w:lang w:val="pl-PL"/>
    </w:rPr>
  </w:style>
  <w:style w:type="paragraph" w:styleId="Podpise-mail">
    <w:name w:val="E-mail Signature"/>
    <w:basedOn w:val="Normalny"/>
    <w:link w:val="Podpise-mailZnak"/>
    <w:uiPriority w:val="98"/>
    <w:semiHidden/>
    <w:rsid w:val="0026439A"/>
  </w:style>
  <w:style w:type="character" w:customStyle="1" w:styleId="Podpise-mailZnak">
    <w:name w:val="Podpis e-mail Znak"/>
    <w:basedOn w:val="Domylnaczcionkaakapitu"/>
    <w:link w:val="Podpise-mail"/>
    <w:uiPriority w:val="98"/>
    <w:semiHidden/>
    <w:rsid w:val="0026439A"/>
    <w:rPr>
      <w:sz w:val="24"/>
      <w:szCs w:val="24"/>
      <w:lang w:val="pl-PL"/>
    </w:rPr>
  </w:style>
  <w:style w:type="character" w:styleId="Odwoanieprzypisukocowego">
    <w:name w:val="endnote reference"/>
    <w:basedOn w:val="Domylnaczcionkaakapitu"/>
    <w:uiPriority w:val="98"/>
    <w:semiHidden/>
    <w:rsid w:val="0026439A"/>
    <w:rPr>
      <w:vertAlign w:val="superscript"/>
    </w:rPr>
  </w:style>
  <w:style w:type="paragraph" w:styleId="Tekstprzypisukocowego">
    <w:name w:val="endnote text"/>
    <w:basedOn w:val="Normalny"/>
    <w:link w:val="TekstprzypisukocowegoZnak"/>
    <w:uiPriority w:val="98"/>
    <w:semiHidden/>
    <w:rsid w:val="0026439A"/>
    <w:rPr>
      <w:sz w:val="20"/>
      <w:szCs w:val="20"/>
    </w:rPr>
  </w:style>
  <w:style w:type="character" w:customStyle="1" w:styleId="TekstprzypisukocowegoZnak">
    <w:name w:val="Tekst przypisu końcowego Znak"/>
    <w:basedOn w:val="Domylnaczcionkaakapitu"/>
    <w:link w:val="Tekstprzypisukocowego"/>
    <w:uiPriority w:val="98"/>
    <w:semiHidden/>
    <w:rsid w:val="0026439A"/>
    <w:rPr>
      <w:sz w:val="20"/>
      <w:szCs w:val="20"/>
      <w:lang w:val="pl-PL"/>
    </w:rPr>
  </w:style>
  <w:style w:type="paragraph" w:styleId="Adresnakopercie">
    <w:name w:val="envelope address"/>
    <w:basedOn w:val="Normalny"/>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643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6439A"/>
    <w:rPr>
      <w:color w:val="7030A0" w:themeColor="followedHyperlink"/>
      <w:u w:val="single"/>
    </w:rPr>
  </w:style>
  <w:style w:type="character" w:styleId="HTML-akronim">
    <w:name w:val="HTML Acronym"/>
    <w:basedOn w:val="Domylnaczcionkaakapitu"/>
    <w:uiPriority w:val="98"/>
    <w:semiHidden/>
    <w:rsid w:val="0026439A"/>
  </w:style>
  <w:style w:type="paragraph" w:styleId="HTML-adres">
    <w:name w:val="HTML Address"/>
    <w:basedOn w:val="Normalny"/>
    <w:link w:val="HTML-adresZnak"/>
    <w:uiPriority w:val="98"/>
    <w:semiHidden/>
    <w:rsid w:val="0026439A"/>
    <w:rPr>
      <w:i/>
      <w:iCs/>
    </w:rPr>
  </w:style>
  <w:style w:type="character" w:customStyle="1" w:styleId="HTML-adresZnak">
    <w:name w:val="HTML - adres Znak"/>
    <w:basedOn w:val="Domylnaczcionkaakapitu"/>
    <w:link w:val="HTML-adres"/>
    <w:uiPriority w:val="98"/>
    <w:semiHidden/>
    <w:rsid w:val="0026439A"/>
    <w:rPr>
      <w:i/>
      <w:iCs/>
      <w:sz w:val="24"/>
      <w:szCs w:val="24"/>
      <w:lang w:val="pl-PL"/>
    </w:rPr>
  </w:style>
  <w:style w:type="character" w:styleId="HTML-cytat">
    <w:name w:val="HTML Cite"/>
    <w:basedOn w:val="Domylnaczcionkaakapitu"/>
    <w:uiPriority w:val="98"/>
    <w:semiHidden/>
    <w:rsid w:val="0026439A"/>
    <w:rPr>
      <w:i/>
      <w:iCs/>
    </w:rPr>
  </w:style>
  <w:style w:type="character" w:styleId="HTML-kod">
    <w:name w:val="HTML Code"/>
    <w:basedOn w:val="Domylnaczcionkaakapitu"/>
    <w:uiPriority w:val="98"/>
    <w:semiHidden/>
    <w:rsid w:val="0026439A"/>
    <w:rPr>
      <w:rFonts w:ascii="Consolas" w:hAnsi="Consolas" w:cs="Consolas"/>
      <w:sz w:val="20"/>
      <w:szCs w:val="20"/>
    </w:rPr>
  </w:style>
  <w:style w:type="character" w:styleId="HTML-definicja">
    <w:name w:val="HTML Definition"/>
    <w:basedOn w:val="Domylnaczcionkaakapitu"/>
    <w:uiPriority w:val="98"/>
    <w:semiHidden/>
    <w:rsid w:val="0026439A"/>
    <w:rPr>
      <w:i/>
      <w:iCs/>
    </w:rPr>
  </w:style>
  <w:style w:type="character" w:styleId="HTML-klawiatura">
    <w:name w:val="HTML Keyboard"/>
    <w:basedOn w:val="Domylnaczcionkaakapitu"/>
    <w:uiPriority w:val="98"/>
    <w:semiHidden/>
    <w:rsid w:val="0026439A"/>
    <w:rPr>
      <w:rFonts w:ascii="Consolas" w:hAnsi="Consolas" w:cs="Consolas"/>
      <w:sz w:val="20"/>
      <w:szCs w:val="20"/>
    </w:rPr>
  </w:style>
  <w:style w:type="paragraph" w:styleId="HTML-wstpniesformatowany">
    <w:name w:val="HTML Preformatted"/>
    <w:basedOn w:val="Normalny"/>
    <w:link w:val="HTML-wstpniesformatowanyZnak"/>
    <w:uiPriority w:val="98"/>
    <w:semiHidden/>
    <w:rsid w:val="002643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6439A"/>
    <w:rPr>
      <w:rFonts w:ascii="Consolas" w:hAnsi="Consolas" w:cs="Consolas"/>
      <w:sz w:val="20"/>
      <w:szCs w:val="20"/>
      <w:lang w:val="pl-PL"/>
    </w:rPr>
  </w:style>
  <w:style w:type="character" w:styleId="HTML-przykad">
    <w:name w:val="HTML Sample"/>
    <w:basedOn w:val="Domylnaczcionkaakapitu"/>
    <w:uiPriority w:val="98"/>
    <w:semiHidden/>
    <w:rsid w:val="0026439A"/>
    <w:rPr>
      <w:rFonts w:ascii="Consolas" w:hAnsi="Consolas" w:cs="Consolas"/>
      <w:sz w:val="24"/>
      <w:szCs w:val="24"/>
    </w:rPr>
  </w:style>
  <w:style w:type="character" w:styleId="HTML-staaszeroko">
    <w:name w:val="HTML Typewriter"/>
    <w:basedOn w:val="Domylnaczcionkaakapitu"/>
    <w:uiPriority w:val="98"/>
    <w:semiHidden/>
    <w:rsid w:val="0026439A"/>
    <w:rPr>
      <w:rFonts w:ascii="Consolas" w:hAnsi="Consolas" w:cs="Consolas"/>
      <w:sz w:val="20"/>
      <w:szCs w:val="20"/>
    </w:rPr>
  </w:style>
  <w:style w:type="character" w:styleId="HTML-zmienna">
    <w:name w:val="HTML Variable"/>
    <w:basedOn w:val="Domylnaczcionkaakapitu"/>
    <w:uiPriority w:val="98"/>
    <w:semiHidden/>
    <w:rsid w:val="0026439A"/>
    <w:rPr>
      <w:i/>
      <w:iCs/>
    </w:rPr>
  </w:style>
  <w:style w:type="paragraph" w:styleId="Indeks1">
    <w:name w:val="index 1"/>
    <w:basedOn w:val="Normalny"/>
    <w:next w:val="Normalny"/>
    <w:autoRedefine/>
    <w:uiPriority w:val="98"/>
    <w:semiHidden/>
    <w:rsid w:val="0026439A"/>
    <w:pPr>
      <w:ind w:left="240" w:hanging="240"/>
    </w:pPr>
  </w:style>
  <w:style w:type="paragraph" w:styleId="Indeks2">
    <w:name w:val="index 2"/>
    <w:basedOn w:val="Normalny"/>
    <w:next w:val="Normalny"/>
    <w:autoRedefine/>
    <w:uiPriority w:val="98"/>
    <w:semiHidden/>
    <w:rsid w:val="0026439A"/>
    <w:pPr>
      <w:ind w:left="480" w:hanging="240"/>
    </w:pPr>
  </w:style>
  <w:style w:type="paragraph" w:styleId="Indeks3">
    <w:name w:val="index 3"/>
    <w:basedOn w:val="Normalny"/>
    <w:next w:val="Normalny"/>
    <w:autoRedefine/>
    <w:uiPriority w:val="98"/>
    <w:semiHidden/>
    <w:rsid w:val="0026439A"/>
    <w:pPr>
      <w:ind w:left="720" w:hanging="240"/>
    </w:pPr>
  </w:style>
  <w:style w:type="paragraph" w:styleId="Indeks4">
    <w:name w:val="index 4"/>
    <w:basedOn w:val="Normalny"/>
    <w:next w:val="Normalny"/>
    <w:autoRedefine/>
    <w:uiPriority w:val="98"/>
    <w:semiHidden/>
    <w:rsid w:val="0026439A"/>
    <w:pPr>
      <w:ind w:left="960" w:hanging="240"/>
    </w:pPr>
  </w:style>
  <w:style w:type="paragraph" w:styleId="Indeks5">
    <w:name w:val="index 5"/>
    <w:basedOn w:val="Normalny"/>
    <w:next w:val="Normalny"/>
    <w:autoRedefine/>
    <w:uiPriority w:val="98"/>
    <w:semiHidden/>
    <w:rsid w:val="0026439A"/>
    <w:pPr>
      <w:ind w:left="1200" w:hanging="240"/>
    </w:pPr>
  </w:style>
  <w:style w:type="paragraph" w:styleId="Indeks6">
    <w:name w:val="index 6"/>
    <w:basedOn w:val="Normalny"/>
    <w:next w:val="Normalny"/>
    <w:autoRedefine/>
    <w:uiPriority w:val="98"/>
    <w:semiHidden/>
    <w:rsid w:val="0026439A"/>
    <w:pPr>
      <w:ind w:left="1440" w:hanging="240"/>
    </w:pPr>
  </w:style>
  <w:style w:type="paragraph" w:styleId="Indeks7">
    <w:name w:val="index 7"/>
    <w:basedOn w:val="Normalny"/>
    <w:next w:val="Normalny"/>
    <w:autoRedefine/>
    <w:uiPriority w:val="98"/>
    <w:semiHidden/>
    <w:rsid w:val="0026439A"/>
    <w:pPr>
      <w:ind w:left="1680" w:hanging="240"/>
    </w:pPr>
  </w:style>
  <w:style w:type="paragraph" w:styleId="Indeks8">
    <w:name w:val="index 8"/>
    <w:basedOn w:val="Normalny"/>
    <w:next w:val="Normalny"/>
    <w:autoRedefine/>
    <w:uiPriority w:val="98"/>
    <w:semiHidden/>
    <w:rsid w:val="0026439A"/>
    <w:pPr>
      <w:ind w:left="1920" w:hanging="240"/>
    </w:pPr>
  </w:style>
  <w:style w:type="paragraph" w:styleId="Indeks9">
    <w:name w:val="index 9"/>
    <w:basedOn w:val="Normalny"/>
    <w:next w:val="Normalny"/>
    <w:autoRedefine/>
    <w:uiPriority w:val="98"/>
    <w:semiHidden/>
    <w:rsid w:val="0026439A"/>
    <w:pPr>
      <w:ind w:left="2160" w:hanging="240"/>
    </w:pPr>
  </w:style>
  <w:style w:type="paragraph" w:styleId="Nagwekindeksu">
    <w:name w:val="index heading"/>
    <w:basedOn w:val="Normalny"/>
    <w:next w:val="Indeks1"/>
    <w:uiPriority w:val="98"/>
    <w:semiHidden/>
    <w:rsid w:val="0026439A"/>
    <w:rPr>
      <w:rFonts w:asciiTheme="majorHAnsi" w:eastAsiaTheme="majorEastAsia" w:hAnsiTheme="majorHAnsi" w:cstheme="majorBidi"/>
      <w:b/>
      <w:bCs/>
    </w:rPr>
  </w:style>
  <w:style w:type="table" w:styleId="Jasnasiatka">
    <w:name w:val="Light Grid"/>
    <w:basedOn w:val="Standardowy"/>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6439A"/>
  </w:style>
  <w:style w:type="paragraph" w:styleId="Lista">
    <w:name w:val="List"/>
    <w:basedOn w:val="Normalny"/>
    <w:uiPriority w:val="98"/>
    <w:semiHidden/>
    <w:rsid w:val="0026439A"/>
    <w:pPr>
      <w:ind w:left="283" w:hanging="283"/>
      <w:contextualSpacing/>
    </w:pPr>
  </w:style>
  <w:style w:type="paragraph" w:styleId="Lista2">
    <w:name w:val="List 2"/>
    <w:basedOn w:val="Normalny"/>
    <w:uiPriority w:val="98"/>
    <w:semiHidden/>
    <w:rsid w:val="0026439A"/>
    <w:pPr>
      <w:ind w:left="566" w:hanging="283"/>
      <w:contextualSpacing/>
    </w:pPr>
  </w:style>
  <w:style w:type="paragraph" w:styleId="Lista3">
    <w:name w:val="List 3"/>
    <w:basedOn w:val="Normalny"/>
    <w:uiPriority w:val="98"/>
    <w:semiHidden/>
    <w:rsid w:val="0026439A"/>
    <w:pPr>
      <w:ind w:left="849" w:hanging="283"/>
      <w:contextualSpacing/>
    </w:pPr>
  </w:style>
  <w:style w:type="paragraph" w:styleId="Lista4">
    <w:name w:val="List 4"/>
    <w:basedOn w:val="Normalny"/>
    <w:uiPriority w:val="98"/>
    <w:semiHidden/>
    <w:rsid w:val="0026439A"/>
    <w:pPr>
      <w:ind w:left="1132" w:hanging="283"/>
      <w:contextualSpacing/>
    </w:pPr>
  </w:style>
  <w:style w:type="paragraph" w:styleId="Lista5">
    <w:name w:val="List 5"/>
    <w:basedOn w:val="Normalny"/>
    <w:uiPriority w:val="98"/>
    <w:semiHidden/>
    <w:rsid w:val="0026439A"/>
    <w:pPr>
      <w:ind w:left="1415" w:hanging="283"/>
      <w:contextualSpacing/>
    </w:pPr>
  </w:style>
  <w:style w:type="paragraph" w:styleId="Listapunktowana2">
    <w:name w:val="List Bullet 2"/>
    <w:basedOn w:val="Normalny"/>
    <w:uiPriority w:val="98"/>
    <w:semiHidden/>
    <w:rsid w:val="0026439A"/>
    <w:pPr>
      <w:numPr>
        <w:numId w:val="12"/>
      </w:numPr>
      <w:contextualSpacing/>
    </w:pPr>
  </w:style>
  <w:style w:type="paragraph" w:styleId="Listapunktowana4">
    <w:name w:val="List Bullet 4"/>
    <w:basedOn w:val="Normalny"/>
    <w:uiPriority w:val="98"/>
    <w:semiHidden/>
    <w:rsid w:val="0026439A"/>
    <w:pPr>
      <w:numPr>
        <w:numId w:val="14"/>
      </w:numPr>
      <w:contextualSpacing/>
    </w:pPr>
  </w:style>
  <w:style w:type="paragraph" w:styleId="Listapunktowana5">
    <w:name w:val="List Bullet 5"/>
    <w:basedOn w:val="Normalny"/>
    <w:uiPriority w:val="98"/>
    <w:semiHidden/>
    <w:rsid w:val="0026439A"/>
    <w:pPr>
      <w:numPr>
        <w:numId w:val="15"/>
      </w:numPr>
      <w:contextualSpacing/>
    </w:pPr>
  </w:style>
  <w:style w:type="paragraph" w:styleId="Lista-kontynuacja">
    <w:name w:val="List Continue"/>
    <w:basedOn w:val="Normalny"/>
    <w:uiPriority w:val="98"/>
    <w:semiHidden/>
    <w:rsid w:val="0026439A"/>
    <w:pPr>
      <w:spacing w:after="120"/>
      <w:ind w:left="283"/>
      <w:contextualSpacing/>
    </w:pPr>
  </w:style>
  <w:style w:type="paragraph" w:styleId="Lista-kontynuacja2">
    <w:name w:val="List Continue 2"/>
    <w:basedOn w:val="Normalny"/>
    <w:uiPriority w:val="98"/>
    <w:semiHidden/>
    <w:rsid w:val="0026439A"/>
    <w:pPr>
      <w:spacing w:after="120"/>
      <w:ind w:left="566"/>
      <w:contextualSpacing/>
    </w:pPr>
  </w:style>
  <w:style w:type="paragraph" w:styleId="Lista-kontynuacja3">
    <w:name w:val="List Continue 3"/>
    <w:basedOn w:val="Normalny"/>
    <w:uiPriority w:val="98"/>
    <w:semiHidden/>
    <w:rsid w:val="0026439A"/>
    <w:pPr>
      <w:spacing w:after="120"/>
      <w:ind w:left="849"/>
      <w:contextualSpacing/>
    </w:pPr>
  </w:style>
  <w:style w:type="paragraph" w:styleId="Lista-kontynuacja4">
    <w:name w:val="List Continue 4"/>
    <w:basedOn w:val="Normalny"/>
    <w:uiPriority w:val="98"/>
    <w:semiHidden/>
    <w:rsid w:val="0026439A"/>
    <w:pPr>
      <w:spacing w:after="120"/>
      <w:ind w:left="1132"/>
      <w:contextualSpacing/>
    </w:pPr>
  </w:style>
  <w:style w:type="paragraph" w:styleId="Lista-kontynuacja5">
    <w:name w:val="List Continue 5"/>
    <w:basedOn w:val="Normalny"/>
    <w:uiPriority w:val="98"/>
    <w:semiHidden/>
    <w:rsid w:val="0026439A"/>
    <w:pPr>
      <w:spacing w:after="120"/>
      <w:ind w:left="1415"/>
      <w:contextualSpacing/>
    </w:pPr>
  </w:style>
  <w:style w:type="paragraph" w:styleId="Listanumerowana">
    <w:name w:val="List Number"/>
    <w:basedOn w:val="Normalny"/>
    <w:uiPriority w:val="98"/>
    <w:semiHidden/>
    <w:rsid w:val="0026439A"/>
    <w:pPr>
      <w:numPr>
        <w:numId w:val="16"/>
      </w:numPr>
      <w:contextualSpacing/>
    </w:pPr>
  </w:style>
  <w:style w:type="paragraph" w:styleId="Listanumerowana2">
    <w:name w:val="List Number 2"/>
    <w:basedOn w:val="Normalny"/>
    <w:uiPriority w:val="98"/>
    <w:semiHidden/>
    <w:rsid w:val="0026439A"/>
    <w:pPr>
      <w:numPr>
        <w:numId w:val="17"/>
      </w:numPr>
      <w:contextualSpacing/>
    </w:pPr>
  </w:style>
  <w:style w:type="paragraph" w:styleId="Listanumerowana3">
    <w:name w:val="List Number 3"/>
    <w:basedOn w:val="Normalny"/>
    <w:uiPriority w:val="98"/>
    <w:semiHidden/>
    <w:rsid w:val="0026439A"/>
    <w:pPr>
      <w:numPr>
        <w:numId w:val="18"/>
      </w:numPr>
      <w:contextualSpacing/>
    </w:pPr>
  </w:style>
  <w:style w:type="paragraph" w:styleId="Listanumerowana4">
    <w:name w:val="List Number 4"/>
    <w:basedOn w:val="Normalny"/>
    <w:uiPriority w:val="98"/>
    <w:semiHidden/>
    <w:rsid w:val="0026439A"/>
    <w:pPr>
      <w:numPr>
        <w:numId w:val="19"/>
      </w:numPr>
      <w:contextualSpacing/>
    </w:pPr>
  </w:style>
  <w:style w:type="paragraph" w:styleId="Listanumerowana5">
    <w:name w:val="List Number 5"/>
    <w:basedOn w:val="Normalny"/>
    <w:uiPriority w:val="98"/>
    <w:semiHidden/>
    <w:rsid w:val="0026439A"/>
    <w:pPr>
      <w:numPr>
        <w:numId w:val="20"/>
      </w:numPr>
      <w:contextualSpacing/>
    </w:pPr>
  </w:style>
  <w:style w:type="paragraph" w:styleId="Tekstmakra">
    <w:name w:val="macro"/>
    <w:link w:val="TekstmakraZnak"/>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6439A"/>
    <w:rPr>
      <w:rFonts w:ascii="Consolas" w:eastAsiaTheme="minorEastAsia" w:hAnsi="Consolas" w:cs="Consolas"/>
      <w:sz w:val="20"/>
      <w:szCs w:val="20"/>
    </w:rPr>
  </w:style>
  <w:style w:type="table" w:styleId="redniasiatka1">
    <w:name w:val="Medium Grid 1"/>
    <w:basedOn w:val="Standardowy"/>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643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6439A"/>
    <w:rPr>
      <w:rFonts w:ascii="Times New Roman" w:hAnsi="Times New Roman" w:cs="Times New Roman"/>
    </w:rPr>
  </w:style>
  <w:style w:type="paragraph" w:styleId="Wcicienormalne">
    <w:name w:val="Normal Indent"/>
    <w:basedOn w:val="Normalny"/>
    <w:uiPriority w:val="98"/>
    <w:semiHidden/>
    <w:rsid w:val="0026439A"/>
    <w:pPr>
      <w:ind w:left="720"/>
    </w:pPr>
  </w:style>
  <w:style w:type="paragraph" w:styleId="Nagweknotatki">
    <w:name w:val="Note Heading"/>
    <w:basedOn w:val="Normalny"/>
    <w:next w:val="Normalny"/>
    <w:link w:val="NagweknotatkiZnak"/>
    <w:uiPriority w:val="98"/>
    <w:semiHidden/>
    <w:rsid w:val="0026439A"/>
  </w:style>
  <w:style w:type="character" w:customStyle="1" w:styleId="NagweknotatkiZnak">
    <w:name w:val="Nagłówek notatki Znak"/>
    <w:basedOn w:val="Domylnaczcionkaakapitu"/>
    <w:link w:val="Nagweknotatki"/>
    <w:uiPriority w:val="98"/>
    <w:semiHidden/>
    <w:rsid w:val="0026439A"/>
    <w:rPr>
      <w:sz w:val="24"/>
      <w:szCs w:val="24"/>
      <w:lang w:val="pl-PL"/>
    </w:rPr>
  </w:style>
  <w:style w:type="character" w:styleId="Tekstzastpczy">
    <w:name w:val="Placeholder Text"/>
    <w:basedOn w:val="Domylnaczcionkaakapitu"/>
    <w:uiPriority w:val="98"/>
    <w:semiHidden/>
    <w:rsid w:val="002643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643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643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6439A"/>
  </w:style>
  <w:style w:type="character" w:customStyle="1" w:styleId="ZwrotgrzecznociowyZnak">
    <w:name w:val="Zwrot grzecznościowy Znak"/>
    <w:basedOn w:val="Domylnaczcionkaakapitu"/>
    <w:link w:val="Zwrotgrzecznociowy"/>
    <w:uiPriority w:val="98"/>
    <w:semiHidden/>
    <w:rsid w:val="0026439A"/>
    <w:rPr>
      <w:sz w:val="24"/>
      <w:szCs w:val="24"/>
      <w:lang w:val="pl-PL"/>
    </w:rPr>
  </w:style>
  <w:style w:type="paragraph" w:styleId="Podpis">
    <w:name w:val="Signature"/>
    <w:basedOn w:val="Normalny"/>
    <w:link w:val="PodpisZnak"/>
    <w:uiPriority w:val="98"/>
    <w:semiHidden/>
    <w:rsid w:val="0026439A"/>
    <w:pPr>
      <w:ind w:left="4252"/>
    </w:pPr>
  </w:style>
  <w:style w:type="character" w:customStyle="1" w:styleId="PodpisZnak">
    <w:name w:val="Podpis Znak"/>
    <w:basedOn w:val="Domylnaczcionkaakapitu"/>
    <w:link w:val="Podpis"/>
    <w:uiPriority w:val="98"/>
    <w:semiHidden/>
    <w:rsid w:val="0026439A"/>
    <w:rPr>
      <w:sz w:val="24"/>
      <w:szCs w:val="24"/>
      <w:lang w:val="pl-PL"/>
    </w:rPr>
  </w:style>
  <w:style w:type="table" w:styleId="Tabela-Efekty3D1">
    <w:name w:val="Table 3D effects 1"/>
    <w:basedOn w:val="Standardowy"/>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6439A"/>
    <w:pPr>
      <w:ind w:left="240" w:hanging="240"/>
    </w:pPr>
  </w:style>
  <w:style w:type="paragraph" w:styleId="Spisilustracji">
    <w:name w:val="table of figures"/>
    <w:basedOn w:val="Normalny"/>
    <w:next w:val="Normalny"/>
    <w:uiPriority w:val="98"/>
    <w:semiHidden/>
    <w:rsid w:val="0026439A"/>
  </w:style>
  <w:style w:type="table" w:styleId="Tabela-Profesjonalny">
    <w:name w:val="Table Professional"/>
    <w:basedOn w:val="Standardowy"/>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643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643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6439A"/>
    <w:pPr>
      <w:spacing w:after="100"/>
      <w:ind w:left="1680"/>
    </w:pPr>
  </w:style>
  <w:style w:type="paragraph" w:styleId="Spistreci9">
    <w:name w:val="toc 9"/>
    <w:basedOn w:val="Normalny"/>
    <w:next w:val="Normalny"/>
    <w:autoRedefine/>
    <w:uiPriority w:val="98"/>
    <w:semiHidden/>
    <w:rsid w:val="002643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ny"/>
    <w:next w:val="Normalny"/>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643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6439A"/>
    <w:pPr>
      <w:jc w:val="right"/>
    </w:pPr>
    <w:rPr>
      <w:sz w:val="20"/>
    </w:rPr>
  </w:style>
  <w:style w:type="paragraph" w:customStyle="1" w:styleId="ECHRHeaderRefIt">
    <w:name w:val="ECHR_Header_Ref_It"/>
    <w:aliases w:val="_Ref_Ital"/>
    <w:basedOn w:val="Normalny"/>
    <w:next w:val="ECHRHeaderDate"/>
    <w:uiPriority w:val="43"/>
    <w:semiHidden/>
    <w:qFormat/>
    <w:rsid w:val="0026439A"/>
    <w:pPr>
      <w:jc w:val="right"/>
    </w:pPr>
    <w:rPr>
      <w:i/>
      <w:sz w:val="20"/>
    </w:rPr>
  </w:style>
  <w:style w:type="paragraph" w:customStyle="1" w:styleId="ECHRHeading9">
    <w:name w:val="ECHR_Heading_9"/>
    <w:aliases w:val="_Head_9"/>
    <w:basedOn w:val="Nagwek9"/>
    <w:uiPriority w:val="17"/>
    <w:semiHidden/>
    <w:rsid w:val="0026439A"/>
    <w:pPr>
      <w:keepNext/>
      <w:keepLines/>
      <w:numPr>
        <w:ilvl w:val="8"/>
        <w:numId w:val="9"/>
      </w:numPr>
      <w:tabs>
        <w:tab w:val="num" w:pos="3123"/>
      </w:tabs>
      <w:spacing w:before="100" w:beforeAutospacing="1"/>
      <w:ind w:left="3123" w:hanging="284"/>
      <w:contextualSpacing/>
      <w:jc w:val="both"/>
    </w:pPr>
    <w:rPr>
      <w:i w:val="0"/>
      <w:sz w:val="18"/>
    </w:rPr>
  </w:style>
  <w:style w:type="paragraph" w:customStyle="1" w:styleId="ECHRLine">
    <w:name w:val="ECHR_Line"/>
    <w:aliases w:val="_Line"/>
    <w:basedOn w:val="NormalJustified"/>
    <w:next w:val="Normalny"/>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ny"/>
    <w:uiPriority w:val="8"/>
    <w:semiHidden/>
    <w:qFormat/>
    <w:rsid w:val="0026439A"/>
    <w:pPr>
      <w:ind w:left="567" w:hanging="567"/>
      <w:jc w:val="both"/>
    </w:pPr>
  </w:style>
  <w:style w:type="paragraph" w:customStyle="1" w:styleId="ECHRParaIndent">
    <w:name w:val="ECHR_Para_Indent"/>
    <w:aliases w:val="_Indent"/>
    <w:basedOn w:val="Normalny"/>
    <w:uiPriority w:val="7"/>
    <w:semiHidden/>
    <w:qFormat/>
    <w:rsid w:val="0026439A"/>
    <w:pPr>
      <w:spacing w:before="120" w:after="120"/>
      <w:ind w:left="284"/>
      <w:jc w:val="both"/>
    </w:pPr>
  </w:style>
  <w:style w:type="character" w:customStyle="1" w:styleId="ECHRRed">
    <w:name w:val="ECHR_Red"/>
    <w:aliases w:val="_Red"/>
    <w:basedOn w:val="Domylnaczcionkaakapitu"/>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Standardowy"/>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6439A"/>
    <w:pPr>
      <w:outlineLvl w:val="0"/>
    </w:pPr>
  </w:style>
  <w:style w:type="paragraph" w:customStyle="1" w:styleId="ECHRTitleTOC1">
    <w:name w:val="ECHR_Title_TOC_1"/>
    <w:aliases w:val="_Title_L_TOC"/>
    <w:basedOn w:val="ECHRTitle1"/>
    <w:next w:val="Normalny"/>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ny"/>
    <w:uiPriority w:val="45"/>
    <w:semiHidden/>
    <w:rsid w:val="0026439A"/>
    <w:rPr>
      <w:sz w:val="4"/>
    </w:rPr>
  </w:style>
  <w:style w:type="table" w:customStyle="1" w:styleId="ECHRTableGrey">
    <w:name w:val="ECHR_Table_Grey"/>
    <w:basedOn w:val="Standardowy"/>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8E43F2"/>
    <w:rPr>
      <w:sz w:val="24"/>
      <w:szCs w:val="24"/>
      <w:lang w:val="pl-PL"/>
    </w:rPr>
  </w:style>
  <w:style w:type="paragraph" w:styleId="Poprawka">
    <w:name w:val="Revision"/>
    <w:hidden/>
    <w:uiPriority w:val="99"/>
    <w:semiHidden/>
    <w:rsid w:val="00F418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0918">
      <w:bodyDiv w:val="1"/>
      <w:marLeft w:val="0"/>
      <w:marRight w:val="0"/>
      <w:marTop w:val="0"/>
      <w:marBottom w:val="0"/>
      <w:divBdr>
        <w:top w:val="none" w:sz="0" w:space="0" w:color="auto"/>
        <w:left w:val="none" w:sz="0" w:space="0" w:color="auto"/>
        <w:bottom w:val="none" w:sz="0" w:space="0" w:color="auto"/>
        <w:right w:val="none" w:sz="0" w:space="0" w:color="auto"/>
      </w:divBdr>
    </w:div>
    <w:div w:id="25570168">
      <w:bodyDiv w:val="1"/>
      <w:marLeft w:val="0"/>
      <w:marRight w:val="0"/>
      <w:marTop w:val="0"/>
      <w:marBottom w:val="0"/>
      <w:divBdr>
        <w:top w:val="none" w:sz="0" w:space="0" w:color="auto"/>
        <w:left w:val="none" w:sz="0" w:space="0" w:color="auto"/>
        <w:bottom w:val="none" w:sz="0" w:space="0" w:color="auto"/>
        <w:right w:val="none" w:sz="0" w:space="0" w:color="auto"/>
      </w:divBdr>
    </w:div>
    <w:div w:id="82456325">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338242733">
      <w:bodyDiv w:val="1"/>
      <w:marLeft w:val="0"/>
      <w:marRight w:val="0"/>
      <w:marTop w:val="0"/>
      <w:marBottom w:val="0"/>
      <w:divBdr>
        <w:top w:val="none" w:sz="0" w:space="0" w:color="auto"/>
        <w:left w:val="none" w:sz="0" w:space="0" w:color="auto"/>
        <w:bottom w:val="none" w:sz="0" w:space="0" w:color="auto"/>
        <w:right w:val="none" w:sz="0" w:space="0" w:color="auto"/>
      </w:divBdr>
    </w:div>
    <w:div w:id="346372478">
      <w:bodyDiv w:val="1"/>
      <w:marLeft w:val="0"/>
      <w:marRight w:val="0"/>
      <w:marTop w:val="0"/>
      <w:marBottom w:val="0"/>
      <w:divBdr>
        <w:top w:val="none" w:sz="0" w:space="0" w:color="auto"/>
        <w:left w:val="none" w:sz="0" w:space="0" w:color="auto"/>
        <w:bottom w:val="none" w:sz="0" w:space="0" w:color="auto"/>
        <w:right w:val="none" w:sz="0" w:space="0" w:color="auto"/>
      </w:divBdr>
    </w:div>
    <w:div w:id="425855178">
      <w:bodyDiv w:val="1"/>
      <w:marLeft w:val="0"/>
      <w:marRight w:val="0"/>
      <w:marTop w:val="0"/>
      <w:marBottom w:val="0"/>
      <w:divBdr>
        <w:top w:val="none" w:sz="0" w:space="0" w:color="auto"/>
        <w:left w:val="none" w:sz="0" w:space="0" w:color="auto"/>
        <w:bottom w:val="none" w:sz="0" w:space="0" w:color="auto"/>
        <w:right w:val="none" w:sz="0" w:space="0" w:color="auto"/>
      </w:divBdr>
    </w:div>
    <w:div w:id="656224316">
      <w:bodyDiv w:val="1"/>
      <w:marLeft w:val="0"/>
      <w:marRight w:val="0"/>
      <w:marTop w:val="0"/>
      <w:marBottom w:val="0"/>
      <w:divBdr>
        <w:top w:val="none" w:sz="0" w:space="0" w:color="auto"/>
        <w:left w:val="none" w:sz="0" w:space="0" w:color="auto"/>
        <w:bottom w:val="none" w:sz="0" w:space="0" w:color="auto"/>
        <w:right w:val="none" w:sz="0" w:space="0" w:color="auto"/>
      </w:divBdr>
    </w:div>
    <w:div w:id="679547013">
      <w:bodyDiv w:val="1"/>
      <w:marLeft w:val="0"/>
      <w:marRight w:val="0"/>
      <w:marTop w:val="0"/>
      <w:marBottom w:val="0"/>
      <w:divBdr>
        <w:top w:val="none" w:sz="0" w:space="0" w:color="auto"/>
        <w:left w:val="none" w:sz="0" w:space="0" w:color="auto"/>
        <w:bottom w:val="none" w:sz="0" w:space="0" w:color="auto"/>
        <w:right w:val="none" w:sz="0" w:space="0" w:color="auto"/>
      </w:divBdr>
    </w:div>
    <w:div w:id="842860206">
      <w:bodyDiv w:val="1"/>
      <w:marLeft w:val="0"/>
      <w:marRight w:val="0"/>
      <w:marTop w:val="0"/>
      <w:marBottom w:val="0"/>
      <w:divBdr>
        <w:top w:val="none" w:sz="0" w:space="0" w:color="auto"/>
        <w:left w:val="none" w:sz="0" w:space="0" w:color="auto"/>
        <w:bottom w:val="none" w:sz="0" w:space="0" w:color="auto"/>
        <w:right w:val="none" w:sz="0" w:space="0" w:color="auto"/>
      </w:divBdr>
    </w:div>
    <w:div w:id="903947274">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129669068">
      <w:bodyDiv w:val="1"/>
      <w:marLeft w:val="0"/>
      <w:marRight w:val="0"/>
      <w:marTop w:val="0"/>
      <w:marBottom w:val="0"/>
      <w:divBdr>
        <w:top w:val="none" w:sz="0" w:space="0" w:color="auto"/>
        <w:left w:val="none" w:sz="0" w:space="0" w:color="auto"/>
        <w:bottom w:val="none" w:sz="0" w:space="0" w:color="auto"/>
        <w:right w:val="none" w:sz="0" w:space="0" w:color="auto"/>
      </w:divBdr>
    </w:div>
    <w:div w:id="1332876660">
      <w:bodyDiv w:val="1"/>
      <w:marLeft w:val="0"/>
      <w:marRight w:val="0"/>
      <w:marTop w:val="0"/>
      <w:marBottom w:val="0"/>
      <w:divBdr>
        <w:top w:val="none" w:sz="0" w:space="0" w:color="auto"/>
        <w:left w:val="none" w:sz="0" w:space="0" w:color="auto"/>
        <w:bottom w:val="none" w:sz="0" w:space="0" w:color="auto"/>
        <w:right w:val="none" w:sz="0" w:space="0" w:color="auto"/>
      </w:divBdr>
    </w:div>
    <w:div w:id="1341620074">
      <w:bodyDiv w:val="1"/>
      <w:marLeft w:val="0"/>
      <w:marRight w:val="0"/>
      <w:marTop w:val="0"/>
      <w:marBottom w:val="0"/>
      <w:divBdr>
        <w:top w:val="none" w:sz="0" w:space="0" w:color="auto"/>
        <w:left w:val="none" w:sz="0" w:space="0" w:color="auto"/>
        <w:bottom w:val="none" w:sz="0" w:space="0" w:color="auto"/>
        <w:right w:val="none" w:sz="0" w:space="0" w:color="auto"/>
      </w:divBdr>
    </w:div>
    <w:div w:id="1591157569">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2514449">
      <w:bodyDiv w:val="1"/>
      <w:marLeft w:val="0"/>
      <w:marRight w:val="0"/>
      <w:marTop w:val="0"/>
      <w:marBottom w:val="0"/>
      <w:divBdr>
        <w:top w:val="none" w:sz="0" w:space="0" w:color="auto"/>
        <w:left w:val="none" w:sz="0" w:space="0" w:color="auto"/>
        <w:bottom w:val="none" w:sz="0" w:space="0" w:color="auto"/>
        <w:right w:val="none" w:sz="0" w:space="0" w:color="auto"/>
      </w:divBdr>
    </w:div>
    <w:div w:id="1743680156">
      <w:bodyDiv w:val="1"/>
      <w:marLeft w:val="0"/>
      <w:marRight w:val="0"/>
      <w:marTop w:val="0"/>
      <w:marBottom w:val="0"/>
      <w:divBdr>
        <w:top w:val="none" w:sz="0" w:space="0" w:color="auto"/>
        <w:left w:val="none" w:sz="0" w:space="0" w:color="auto"/>
        <w:bottom w:val="none" w:sz="0" w:space="0" w:color="auto"/>
        <w:right w:val="none" w:sz="0" w:space="0" w:color="auto"/>
      </w:divBdr>
    </w:div>
    <w:div w:id="199945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5D4AC9-9E79-4D5E-9567-D0233C01CD53}">
  <ds:schemaRefs>
    <ds:schemaRef ds:uri="http://schemas.openxmlformats.org/officeDocument/2006/bibliography"/>
  </ds:schemaRefs>
</ds:datastoreItem>
</file>

<file path=customXml/itemProps2.xml><?xml version="1.0" encoding="utf-8"?>
<ds:datastoreItem xmlns:ds="http://schemas.openxmlformats.org/officeDocument/2006/customXml" ds:itemID="{8F19CBC7-0B7B-42D4-9CFD-C89C1E79B33C}">
  <ds:schemaRefs>
    <ds:schemaRef ds:uri="http://schemas.microsoft.com/sharepoint/v3/contenttype/forms"/>
  </ds:schemaRefs>
</ds:datastoreItem>
</file>

<file path=customXml/itemProps3.xml><?xml version="1.0" encoding="utf-8"?>
<ds:datastoreItem xmlns:ds="http://schemas.openxmlformats.org/officeDocument/2006/customXml" ds:itemID="{C5E0CEA7-94A4-4D8E-8517-0188514A1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CBC6E48-F5A8-40BE-BE16-8DCED216D2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4003</Words>
  <Characters>24020</Characters>
  <Application>Microsoft Office Word</Application>
  <DocSecurity>0</DocSecurity>
  <Lines>200</Lines>
  <Paragraphs>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27968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2023-05-25T11:06:00Z</dcterms:created>
  <dcterms:modified xsi:type="dcterms:W3CDTF">2023-05-25T12:35:00Z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37882/13</vt:lpwstr>
  </property>
  <property fmtid="{D5CDD505-2E9C-101B-9397-08002B2CF9AE}" pid="4" name="CASEID">
    <vt:lpwstr>888511</vt:lpwstr>
  </property>
  <property fmtid="{D5CDD505-2E9C-101B-9397-08002B2CF9AE}" pid="5" name="ContentTypeId">
    <vt:lpwstr>0x010100558EB02BDB9E204AB350EDD385B68E10</vt:lpwstr>
  </property>
</Properties>
</file>