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39EC9" w14:textId="3246DCD6" w:rsidR="00681617" w:rsidRDefault="00681617" w:rsidP="00D0033B">
      <w:pPr>
        <w:jc w:val="center"/>
        <w:rPr>
          <w:rFonts w:ascii="Times New Roman" w:hAnsi="Times New Roman" w:cs="Times New Roman"/>
          <w:noProof/>
        </w:rPr>
      </w:pPr>
    </w:p>
    <w:p w14:paraId="6392BFC1" w14:textId="77777777" w:rsidR="00D0033B" w:rsidRPr="00D0033B" w:rsidRDefault="00D0033B" w:rsidP="00D0033B">
      <w:pPr>
        <w:jc w:val="center"/>
        <w:rPr>
          <w:rFonts w:ascii="Times New Roman" w:hAnsi="Times New Roman" w:cs="Times New Roman"/>
          <w:noProof/>
        </w:rPr>
      </w:pPr>
    </w:p>
    <w:p w14:paraId="7F2C29CD" w14:textId="77777777" w:rsidR="0098410D" w:rsidRPr="00D0033B" w:rsidRDefault="0098410D" w:rsidP="00D0033B">
      <w:pPr>
        <w:jc w:val="center"/>
      </w:pPr>
    </w:p>
    <w:p w14:paraId="5C4CA1CB" w14:textId="181EDB9E" w:rsidR="0098410D" w:rsidRPr="00D0033B" w:rsidRDefault="00681617" w:rsidP="00D0033B">
      <w:pPr>
        <w:pStyle w:val="DecHTitle"/>
      </w:pPr>
      <w:r>
        <w:t>PIERWSZA SEKCJA</w:t>
      </w:r>
    </w:p>
    <w:p w14:paraId="02E7E08F" w14:textId="7E56EA76" w:rsidR="008E6217" w:rsidRPr="00D0033B" w:rsidRDefault="008E6217" w:rsidP="00D0033B">
      <w:pPr>
        <w:pStyle w:val="JuTitle"/>
      </w:pPr>
      <w:r>
        <w:t>SPRAWA BOJAR przeciwko POLSCE</w:t>
      </w:r>
    </w:p>
    <w:p w14:paraId="149E9270" w14:textId="4A333D6C" w:rsidR="00D74888" w:rsidRPr="00D0033B" w:rsidRDefault="008E6217" w:rsidP="00D0033B">
      <w:pPr>
        <w:pStyle w:val="ECHRCoverTitle4"/>
      </w:pPr>
      <w:r>
        <w:t>(Skarga nr 11148/18)</w:t>
      </w:r>
    </w:p>
    <w:p w14:paraId="226486EB" w14:textId="77777777" w:rsidR="0098410D" w:rsidRPr="00D0033B" w:rsidRDefault="0098410D" w:rsidP="00D0033B">
      <w:pPr>
        <w:pStyle w:val="DecHCase"/>
      </w:pPr>
    </w:p>
    <w:p w14:paraId="0598A0A5" w14:textId="77777777" w:rsidR="0098410D" w:rsidRPr="00D0033B" w:rsidRDefault="0098410D" w:rsidP="00D0033B">
      <w:pPr>
        <w:pStyle w:val="DecHCase"/>
      </w:pPr>
    </w:p>
    <w:p w14:paraId="682F95FF" w14:textId="77777777" w:rsidR="00D0033B" w:rsidRPr="00D0033B" w:rsidRDefault="00D0033B" w:rsidP="00D0033B">
      <w:pPr>
        <w:pStyle w:val="DecHCase"/>
      </w:pPr>
    </w:p>
    <w:p w14:paraId="4B57810E" w14:textId="77777777" w:rsidR="00AC4CD4" w:rsidRPr="00D0033B" w:rsidRDefault="00AC4CD4" w:rsidP="00D0033B">
      <w:pPr>
        <w:pStyle w:val="DecHCase"/>
      </w:pPr>
    </w:p>
    <w:p w14:paraId="76FEC8E1" w14:textId="77777777" w:rsidR="0098410D" w:rsidRPr="00D0033B" w:rsidRDefault="0098410D" w:rsidP="00D0033B">
      <w:pPr>
        <w:pStyle w:val="DecHCase"/>
      </w:pPr>
    </w:p>
    <w:p w14:paraId="7947BB00" w14:textId="77777777" w:rsidR="00D0033B" w:rsidRPr="00D0033B" w:rsidRDefault="0098410D" w:rsidP="00D0033B">
      <w:pPr>
        <w:pStyle w:val="DecHCase"/>
      </w:pPr>
      <w:r>
        <w:t>WYROK</w:t>
      </w:r>
      <w:r>
        <w:br/>
      </w:r>
    </w:p>
    <w:p w14:paraId="11F11141" w14:textId="77777777" w:rsidR="00D0033B" w:rsidRPr="00D0033B" w:rsidRDefault="00D0033B" w:rsidP="00D0033B">
      <w:pPr>
        <w:pStyle w:val="DecHCase"/>
      </w:pPr>
    </w:p>
    <w:p w14:paraId="4FDDD9B2" w14:textId="77777777" w:rsidR="00D0033B" w:rsidRPr="00D0033B" w:rsidRDefault="00D0033B" w:rsidP="00D0033B">
      <w:pPr>
        <w:pStyle w:val="DecHCase"/>
      </w:pPr>
    </w:p>
    <w:p w14:paraId="0CF574AF" w14:textId="77777777" w:rsidR="00D0033B" w:rsidRPr="00D0033B" w:rsidRDefault="00D0033B" w:rsidP="00D0033B">
      <w:pPr>
        <w:pStyle w:val="DecHCase"/>
      </w:pPr>
    </w:p>
    <w:p w14:paraId="276D54EE" w14:textId="3F8A0A15" w:rsidR="0098410D" w:rsidRPr="00D0033B" w:rsidRDefault="0098410D" w:rsidP="00D0033B">
      <w:pPr>
        <w:pStyle w:val="DecHCase"/>
      </w:pPr>
    </w:p>
    <w:p w14:paraId="285FE53C" w14:textId="77777777" w:rsidR="0098410D" w:rsidRPr="00D0033B" w:rsidRDefault="0098410D" w:rsidP="00D0033B">
      <w:pPr>
        <w:pStyle w:val="DecHCase"/>
      </w:pPr>
      <w:r>
        <w:t>STRASBURG</w:t>
      </w:r>
    </w:p>
    <w:p w14:paraId="01EA002C" w14:textId="3796EA53" w:rsidR="0098410D" w:rsidRPr="00D0033B" w:rsidRDefault="00681617" w:rsidP="00D0033B">
      <w:pPr>
        <w:pStyle w:val="DecHCase"/>
      </w:pPr>
      <w:r>
        <w:rPr>
          <w:rFonts w:ascii="Times New Roman" w:hAnsi="Times New Roman"/>
        </w:rPr>
        <w:t>11 maja 2023 r.</w:t>
      </w:r>
    </w:p>
    <w:p w14:paraId="127DEE37" w14:textId="27C2DAE6" w:rsidR="002422B6" w:rsidRPr="00D0033B" w:rsidRDefault="0098410D" w:rsidP="00D0033B">
      <w:pPr>
        <w:rPr>
          <w:i/>
          <w:sz w:val="22"/>
        </w:rPr>
      </w:pPr>
      <w:r>
        <w:rPr>
          <w:i/>
          <w:sz w:val="22"/>
        </w:rPr>
        <w:t>Wyrok ten jest ostateczny, ale może podlegać korekcie wydawniczej.</w:t>
      </w:r>
    </w:p>
    <w:p w14:paraId="04286EDE" w14:textId="77777777" w:rsidR="0098410D" w:rsidRPr="00D0033B" w:rsidRDefault="0098410D" w:rsidP="00D0033B">
      <w:pPr>
        <w:sectPr w:rsidR="0098410D" w:rsidRPr="00D0033B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1E31FC67" w14:textId="3A024E36" w:rsidR="0098410D" w:rsidRPr="00D0033B" w:rsidRDefault="0098410D" w:rsidP="00D0033B">
      <w:pPr>
        <w:pStyle w:val="JuCase"/>
      </w:pPr>
      <w:r>
        <w:lastRenderedPageBreak/>
        <w:t>W sprawie Bojar przeciwko Polsce</w:t>
      </w:r>
    </w:p>
    <w:p w14:paraId="7EACAAA8" w14:textId="3A3AB9E7" w:rsidR="009F4C8F" w:rsidRPr="00D0033B" w:rsidRDefault="009F4C8F" w:rsidP="00D0033B">
      <w:pPr>
        <w:pStyle w:val="JuPara"/>
      </w:pPr>
      <w:r>
        <w:t>Europejski Trybunał Praw Człowieka (pierwsza sekcja), zasiadając jako Komitet w składzie:</w:t>
      </w:r>
    </w:p>
    <w:p w14:paraId="411BF02C" w14:textId="43ACD5F1" w:rsidR="009F4C8F" w:rsidRPr="00D0033B" w:rsidRDefault="005C0782" w:rsidP="00D0033B">
      <w:pPr>
        <w:pStyle w:val="JuJudges"/>
      </w:pPr>
      <w:r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  <w:r w:rsidR="00FA23D8">
        <w:t>,</w:t>
      </w:r>
      <w:r>
        <w:rPr>
          <w:i/>
        </w:rPr>
        <w:t xml:space="preserve"> </w:t>
      </w:r>
      <w:r w:rsidR="005129A9">
        <w:rPr>
          <w:i/>
        </w:rPr>
        <w:t>P</w:t>
      </w:r>
      <w:r>
        <w:rPr>
          <w:i/>
        </w:rPr>
        <w:t>rzewodniczący</w:t>
      </w:r>
      <w:r>
        <w:t>,</w:t>
      </w:r>
      <w: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br/>
      </w:r>
      <w:r>
        <w:tab/>
        <w:t>Erik Wennerström</w:t>
      </w:r>
      <w:r>
        <w:rPr>
          <w:i/>
        </w:rPr>
        <w:t>, sędziowie</w:t>
      </w:r>
      <w:r>
        <w:t>,</w:t>
      </w:r>
      <w:r>
        <w:br/>
      </w:r>
      <w:r w:rsidR="00FA23D8">
        <w:t>i</w:t>
      </w:r>
      <w:r>
        <w:t xml:space="preserve">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5129A9">
        <w:rPr>
          <w:i/>
          <w:iCs/>
        </w:rPr>
        <w:t>Z</w:t>
      </w:r>
      <w:r>
        <w:rPr>
          <w:i/>
          <w:iCs/>
        </w:rPr>
        <w:t xml:space="preserve">astępca </w:t>
      </w:r>
      <w:r w:rsidR="005129A9">
        <w:rPr>
          <w:i/>
          <w:iCs/>
        </w:rPr>
        <w:t>K</w:t>
      </w:r>
      <w:r>
        <w:rPr>
          <w:i/>
          <w:iCs/>
        </w:rPr>
        <w:t xml:space="preserve">anclerza </w:t>
      </w:r>
      <w:r w:rsidR="005129A9">
        <w:rPr>
          <w:i/>
          <w:iCs/>
        </w:rPr>
        <w:t>S</w:t>
      </w:r>
      <w:r>
        <w:rPr>
          <w:i/>
          <w:iCs/>
        </w:rPr>
        <w:t>ekcji</w:t>
      </w:r>
      <w:r>
        <w:rPr>
          <w:i/>
        </w:rPr>
        <w:t>,</w:t>
      </w:r>
    </w:p>
    <w:p w14:paraId="67D990E3" w14:textId="77777777" w:rsidR="00681617" w:rsidRPr="00D0033B" w:rsidRDefault="00681617" w:rsidP="00D0033B">
      <w:pPr>
        <w:pStyle w:val="JuPara"/>
      </w:pPr>
      <w:r>
        <w:t>mając na uwadze:</w:t>
      </w:r>
    </w:p>
    <w:p w14:paraId="20984A8E" w14:textId="3AD2D9CC" w:rsidR="00681617" w:rsidRPr="00D0033B" w:rsidRDefault="00681617" w:rsidP="00D0033B">
      <w:pPr>
        <w:pStyle w:val="JuPara"/>
      </w:pPr>
      <w:r>
        <w:t>skargę (nr 11148/18) przeciwko Rzeczypospolitej Polskiej wniesioną do</w:t>
      </w:r>
      <w:r w:rsidR="007B6D79">
        <w:t> </w:t>
      </w:r>
      <w:r>
        <w:t>Trybunału w dniu 14 lutego 2018 r. na podstawie art. 34 Konwencji o</w:t>
      </w:r>
      <w:r w:rsidR="007B6D79">
        <w:t> </w:t>
      </w:r>
      <w:r>
        <w:t>ochronie praw człowieka i podstawowych wolności (</w:t>
      </w:r>
      <w:r w:rsidR="007B6D79">
        <w:t>„</w:t>
      </w:r>
      <w:r>
        <w:t>Konwencj</w:t>
      </w:r>
      <w:r w:rsidR="005129A9">
        <w:t>a</w:t>
      </w:r>
      <w:r w:rsidR="007B6D79">
        <w:t>”</w:t>
      </w:r>
      <w:r>
        <w:t>) przez obywatela polskiego, p. Bartłomieja Bojara (</w:t>
      </w:r>
      <w:r w:rsidR="007B6D79">
        <w:t>„</w:t>
      </w:r>
      <w:r>
        <w:t>skarżąc</w:t>
      </w:r>
      <w:r w:rsidR="005129A9">
        <w:t>y</w:t>
      </w:r>
      <w:r w:rsidR="007B6D79">
        <w:t>”</w:t>
      </w:r>
      <w:r>
        <w:t>), urodzonego w</w:t>
      </w:r>
      <w:r w:rsidR="00FA23D8">
        <w:t> </w:t>
      </w:r>
      <w:r>
        <w:t xml:space="preserve">1973 r. i </w:t>
      </w:r>
      <w:r w:rsidR="005129A9">
        <w:t xml:space="preserve">obecnie </w:t>
      </w:r>
      <w:r>
        <w:t xml:space="preserve">osadzonego w </w:t>
      </w:r>
      <w:r w:rsidR="00FA23D8">
        <w:t xml:space="preserve">Zakładzie Karnym </w:t>
      </w:r>
      <w:r>
        <w:t xml:space="preserve">w Strzelcach Opolskich, któremu </w:t>
      </w:r>
      <w:r w:rsidR="005129A9">
        <w:t xml:space="preserve">przyznano </w:t>
      </w:r>
      <w:r>
        <w:t>pomoc prawn</w:t>
      </w:r>
      <w:r w:rsidR="005129A9">
        <w:t>ą</w:t>
      </w:r>
      <w:r>
        <w:t xml:space="preserve"> i który był reprezentowany przez p.</w:t>
      </w:r>
      <w:bookmarkStart w:id="0" w:name="_Hlk134526902"/>
      <w:r w:rsidR="00FA23D8">
        <w:t> </w:t>
      </w:r>
      <w:r>
        <w:t>B.</w:t>
      </w:r>
      <w:r w:rsidR="00FA23D8">
        <w:t> </w:t>
      </w:r>
      <w:r>
        <w:t>Solińską</w:t>
      </w:r>
      <w:bookmarkEnd w:id="0"/>
      <w:r>
        <w:t>, prawnika praktykującego we Wrocławiu;</w:t>
      </w:r>
    </w:p>
    <w:p w14:paraId="0D70E741" w14:textId="45FA3316" w:rsidR="00681617" w:rsidRPr="00D0033B" w:rsidRDefault="00681617" w:rsidP="00D0033B">
      <w:pPr>
        <w:pStyle w:val="JuPara"/>
      </w:pPr>
      <w:r>
        <w:t xml:space="preserve">decyzję o zakomunikowaniu sprawy rządowi polskiemu („Rząd”), reprezentowanemu przez </w:t>
      </w:r>
      <w:r w:rsidR="00476611">
        <w:t xml:space="preserve">swojego </w:t>
      </w:r>
      <w:r>
        <w:t xml:space="preserve">pełnomocnika p. J. Sobczaka </w:t>
      </w:r>
      <w:r w:rsidR="00476611">
        <w:br/>
      </w:r>
      <w:r>
        <w:t>z Ministerstwa Spraw Zagranicznych</w:t>
      </w:r>
      <w:r w:rsidR="00FA23D8">
        <w:t>;</w:t>
      </w:r>
    </w:p>
    <w:p w14:paraId="3F646EE5" w14:textId="2A86B3E0" w:rsidR="00681617" w:rsidRPr="00D0033B" w:rsidRDefault="00476611" w:rsidP="00D0033B">
      <w:pPr>
        <w:pStyle w:val="JuPara"/>
      </w:pPr>
      <w:r>
        <w:t xml:space="preserve">stanowiska </w:t>
      </w:r>
      <w:r w:rsidR="00681617">
        <w:t>stron</w:t>
      </w:r>
      <w:r w:rsidR="00FA23D8">
        <w:t>,</w:t>
      </w:r>
    </w:p>
    <w:p w14:paraId="7AD0A87C" w14:textId="56A59D24" w:rsidR="009F4C8F" w:rsidRPr="00D0033B" w:rsidRDefault="009F4C8F" w:rsidP="00D0033B">
      <w:pPr>
        <w:pStyle w:val="JuPara"/>
      </w:pPr>
      <w:r>
        <w:t>obradując na posiedzeniu niejawnym w dniu 11 kwietnia 2023 r.,</w:t>
      </w:r>
    </w:p>
    <w:p w14:paraId="31DCA2F2" w14:textId="77777777" w:rsidR="009F4C8F" w:rsidRPr="00D0033B" w:rsidRDefault="009F4C8F" w:rsidP="00D0033B">
      <w:pPr>
        <w:pStyle w:val="JuPara"/>
      </w:pPr>
      <w:r>
        <w:t>wydaje następujący wyrok, który został przyjęty w tym dniu:</w:t>
      </w:r>
    </w:p>
    <w:p w14:paraId="7863E82A" w14:textId="537CF99A" w:rsidR="00681617" w:rsidRPr="00D0033B" w:rsidRDefault="00681617" w:rsidP="00D0033B">
      <w:pPr>
        <w:pStyle w:val="JuHHead"/>
        <w:numPr>
          <w:ilvl w:val="0"/>
          <w:numId w:val="0"/>
        </w:numPr>
      </w:pPr>
      <w:r>
        <w:t>PRZEDMIOT SPRAWY</w:t>
      </w:r>
    </w:p>
    <w:p w14:paraId="2BCE93B0" w14:textId="0CAF6CE6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1</w:t>
        </w:r>
      </w:fldSimple>
      <w:r w:rsidR="00681617">
        <w:t>.  Skarga dotyczy kilku przypadków kontroli osobistej</w:t>
      </w:r>
      <w:r w:rsidR="00FA23D8">
        <w:t>, której poddawano</w:t>
      </w:r>
      <w:r w:rsidR="00681617">
        <w:t xml:space="preserve"> skarżącego podczas </w:t>
      </w:r>
      <w:r w:rsidR="00476611">
        <w:t>osadzenia</w:t>
      </w:r>
      <w:r w:rsidR="00681617">
        <w:t>.</w:t>
      </w:r>
    </w:p>
    <w:p w14:paraId="2F04874D" w14:textId="5E09DAF8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2</w:t>
        </w:r>
      </w:fldSimple>
      <w:r w:rsidR="00B32F7B">
        <w:t>.  Od 2002 r. skarżący odbywa</w:t>
      </w:r>
      <w:r w:rsidR="00476611">
        <w:t>ł</w:t>
      </w:r>
      <w:r w:rsidR="00B32F7B">
        <w:t xml:space="preserve"> karę dwudziestu pięciu lat pozbawienia wolności. W grudniu 2013 r. osadzono go w Zakładzie Karnym w Strzelcach Opolskich. W dniu 5 marca 2014 r. rozpoczął pracę w przedsiębiorstwie znajdującym się poza zakładem karnym.</w:t>
      </w:r>
    </w:p>
    <w:p w14:paraId="5BC76FEF" w14:textId="74003046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3</w:t>
        </w:r>
      </w:fldSimple>
      <w:r w:rsidR="00B32F7B">
        <w:t>.  W dniu 29 sierpnia 2017 r. podczas ogólnej kontroli więziennej skarżący został poddany kontroli osobistej w</w:t>
      </w:r>
      <w:r w:rsidR="00476611">
        <w:t xml:space="preserve"> swojej</w:t>
      </w:r>
      <w:r w:rsidR="00B32F7B">
        <w:t xml:space="preserve"> celi</w:t>
      </w:r>
      <w:r w:rsidR="00476611">
        <w:t>, na co złożył skargę</w:t>
      </w:r>
      <w:r w:rsidR="00B32F7B">
        <w:t>. W dniu 14 listopada 2017 r. Dyrektor Okręgowego Inspektoratu Służby Więziennej (</w:t>
      </w:r>
      <w:r w:rsidR="00FA23D8">
        <w:t>„</w:t>
      </w:r>
      <w:r w:rsidR="00B32F7B">
        <w:t>Dyrektor</w:t>
      </w:r>
      <w:r w:rsidR="00FA23D8">
        <w:t>”</w:t>
      </w:r>
      <w:r w:rsidR="00B32F7B">
        <w:t>) poinformował skarżącego, że</w:t>
      </w:r>
      <w:r w:rsidR="00FA23D8">
        <w:t> </w:t>
      </w:r>
      <w:r w:rsidR="00B32F7B">
        <w:t>jego skarga jest bezzasadna. Skarżący złożył kolejną skargę do Sądu Okręgowego w Opolu, który 12 stycznia 2018 r. stwierdził, że</w:t>
      </w:r>
      <w:r w:rsidR="00FA23D8">
        <w:t> </w:t>
      </w:r>
      <w:r w:rsidR="00B32F7B">
        <w:t xml:space="preserve">odpowiedź </w:t>
      </w:r>
      <w:r w:rsidR="00F3666D">
        <w:t xml:space="preserve">Dyrektora </w:t>
      </w:r>
      <w:r w:rsidR="00FA23D8">
        <w:t>„</w:t>
      </w:r>
      <w:r w:rsidR="00B32F7B">
        <w:t>pozostaje w mocy</w:t>
      </w:r>
      <w:r w:rsidR="00FA23D8">
        <w:t>”</w:t>
      </w:r>
      <w:r w:rsidR="00B32F7B">
        <w:t>.</w:t>
      </w:r>
    </w:p>
    <w:p w14:paraId="0D1E114C" w14:textId="0D210530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4</w:t>
        </w:r>
      </w:fldSimple>
      <w:r w:rsidR="00B32F7B">
        <w:t>.  W dniu 11 września 2017 r. skarżący został poddany kontroli osobistej po zakończeniu zmiany w pracy. Skarżący złożył skargę do Dyrektora, w</w:t>
      </w:r>
      <w:r w:rsidR="00FA23D8">
        <w:t> </w:t>
      </w:r>
      <w:r w:rsidR="00B32F7B">
        <w:t>której podniósł, że nie było podstaw do przeprowadzenia kontroli i</w:t>
      </w:r>
      <w:r w:rsidR="00FA23D8">
        <w:t> </w:t>
      </w:r>
      <w:r w:rsidR="00B32F7B">
        <w:t xml:space="preserve">zarzucił, że kontrole </w:t>
      </w:r>
      <w:r w:rsidR="00FA23D8">
        <w:t xml:space="preserve">osobiste </w:t>
      </w:r>
      <w:r w:rsidR="00B32F7B">
        <w:t xml:space="preserve">były systematycznie </w:t>
      </w:r>
      <w:r w:rsidR="00FA23D8">
        <w:t xml:space="preserve">przeprowadzane </w:t>
      </w:r>
      <w:r w:rsidR="00B32F7B">
        <w:t>u</w:t>
      </w:r>
      <w:r w:rsidR="00FA23D8">
        <w:t> </w:t>
      </w:r>
      <w:r w:rsidR="00B32F7B">
        <w:t>losowo wybranych pracujących więźniów po zakończeniu ich zmiany. W</w:t>
      </w:r>
      <w:r w:rsidR="00FA23D8">
        <w:t> </w:t>
      </w:r>
      <w:r w:rsidR="00B32F7B">
        <w:t xml:space="preserve">dniu 22 listopada 2017 r. Dyrektor poinformował go, że skarga była bezzasadna, ponieważ skarżący podlegał tzw. programowi wzmożonego </w:t>
      </w:r>
      <w:r w:rsidR="00B32F7B">
        <w:lastRenderedPageBreak/>
        <w:t xml:space="preserve">nadzoru w związku z podejrzeniami, że </w:t>
      </w:r>
      <w:r w:rsidR="00FA23D8">
        <w:t>zajmował się</w:t>
      </w:r>
      <w:r w:rsidR="00B32F7B">
        <w:t xml:space="preserve"> hand</w:t>
      </w:r>
      <w:r w:rsidR="00FA23D8">
        <w:t>lem</w:t>
      </w:r>
      <w:r w:rsidR="00B32F7B">
        <w:t xml:space="preserve"> narkotykami. Kontrole osobiste osadzonych, w szczególności po powrocie z pracy, były głównym środkiem </w:t>
      </w:r>
      <w:r w:rsidR="003B0522">
        <w:t xml:space="preserve">zapobiegawczym </w:t>
      </w:r>
      <w:r w:rsidR="00B32F7B">
        <w:t>stosowanym w celu utrzymania porządku i</w:t>
      </w:r>
      <w:r w:rsidR="00FA23D8">
        <w:t> </w:t>
      </w:r>
      <w:r w:rsidR="00B32F7B">
        <w:t>bezpieczeństwa w zakładzie karnym. Skarżący wniósł odwołanie do Sądu Okręgowego w Opolu, który 21 grudnia 2017 r. odmówił jego rozpatrzenia. Sąd uznał, że skoro Dyrektor nie wydał żadnej decyzji, nie przysługiwało prawo do odwołania się do sądu.</w:t>
      </w:r>
    </w:p>
    <w:p w14:paraId="558A528C" w14:textId="46D0BF6E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5</w:t>
        </w:r>
      </w:fldSimple>
      <w:r w:rsidR="00B32F7B">
        <w:t>.  W dniu 19 października 2017 r. skarżący został poddany kontroli osobistej po zakończeniu zmiany. Skarżący zarzucił, że podczas kontroli była obecna osoba, która nie miała na sobie munduru i która nie była znana skarżącemu, a także inni strażnicy więzienni, którzy nie przeprowadzali kontroli osobistej</w:t>
      </w:r>
      <w:r w:rsidR="003B0522">
        <w:t xml:space="preserve"> skarżącego</w:t>
      </w:r>
      <w:r w:rsidR="00B32F7B">
        <w:t>. Skarżący złożył skargę do Dyrektora, który 19</w:t>
      </w:r>
      <w:r w:rsidR="000D3C7A">
        <w:t> </w:t>
      </w:r>
      <w:r w:rsidR="00B32F7B">
        <w:t>grudnia 2017 r. poinformował skarżącego, że skarga jest bezzasadna.</w:t>
      </w:r>
    </w:p>
    <w:p w14:paraId="368D98B4" w14:textId="511962EC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6</w:t>
        </w:r>
      </w:fldSimple>
      <w:r w:rsidR="00B32F7B">
        <w:t xml:space="preserve">.  Kolejne kontrole miały miejsce 3 czerwca 2018 r. </w:t>
      </w:r>
      <w:r w:rsidR="00FA23D8">
        <w:t xml:space="preserve">– </w:t>
      </w:r>
      <w:r w:rsidR="00B32F7B">
        <w:t xml:space="preserve">po widzeniu </w:t>
      </w:r>
      <w:r w:rsidR="00FA23D8">
        <w:t xml:space="preserve">– </w:t>
      </w:r>
      <w:r w:rsidR="00B32F7B">
        <w:t xml:space="preserve">oraz 15 czerwca 2018 r. </w:t>
      </w:r>
      <w:r w:rsidR="00FA23D8">
        <w:t>–</w:t>
      </w:r>
      <w:r w:rsidR="00B32F7B">
        <w:t xml:space="preserve"> po zakończeniu zmiany. Skarżący złożył skargę do Dyrektora. W odpowiedzi Dyrektor poinformował go, że </w:t>
      </w:r>
      <w:r w:rsidR="003B0522">
        <w:t>jest w stanie potwierdzić,</w:t>
      </w:r>
      <w:r w:rsidR="00B32F7B">
        <w:t xml:space="preserve"> czy kontrole osobiste miały miejsce, ponieważ nie istniała ich oficjalna ewidencja.</w:t>
      </w:r>
    </w:p>
    <w:p w14:paraId="7128150B" w14:textId="40542D98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7</w:t>
        </w:r>
      </w:fldSimple>
      <w:r w:rsidR="00B32F7B">
        <w:t>.  Skarżący zarzuca, iż kontrole osobiste stanowiły naruszenie jego prawa do poszanowania życia prywatnego wynikającego z art. 8 Konwencji. Po drugie zarzuc</w:t>
      </w:r>
      <w:r w:rsidR="00FA23D8">
        <w:t>a</w:t>
      </w:r>
      <w:r w:rsidR="00B32F7B">
        <w:t xml:space="preserve">, że nie dysponował wymaganym na mocy art. 13 Konwencji skutecznym </w:t>
      </w:r>
      <w:r w:rsidR="00E33F0C">
        <w:t xml:space="preserve">środkiem </w:t>
      </w:r>
      <w:r w:rsidR="00B32F7B">
        <w:t>krajowym w odniesieniu do</w:t>
      </w:r>
      <w:r w:rsidR="00FA23D8">
        <w:t> </w:t>
      </w:r>
      <w:r w:rsidR="00E33F0C">
        <w:t xml:space="preserve">jego </w:t>
      </w:r>
      <w:r w:rsidR="00B32F7B">
        <w:t xml:space="preserve">zarzutu na </w:t>
      </w:r>
      <w:r w:rsidR="00E33F0C">
        <w:t xml:space="preserve">gruncie </w:t>
      </w:r>
      <w:r w:rsidR="00B32F7B">
        <w:t xml:space="preserve">art. 8 Konwencji, ponieważ </w:t>
      </w:r>
      <w:r w:rsidR="00E33F0C">
        <w:t xml:space="preserve">organy </w:t>
      </w:r>
      <w:r w:rsidR="00B32F7B">
        <w:t>nie wydały żadne</w:t>
      </w:r>
      <w:r w:rsidR="000D3C7A">
        <w:t>go</w:t>
      </w:r>
      <w:r w:rsidR="00B32F7B">
        <w:t xml:space="preserve"> </w:t>
      </w:r>
      <w:r w:rsidR="00E33F0C">
        <w:t xml:space="preserve">uzasadnionej decyzji </w:t>
      </w:r>
      <w:r w:rsidR="000D3C7A">
        <w:t>nakazu</w:t>
      </w:r>
      <w:r w:rsidR="00E33F0C">
        <w:t>jącej</w:t>
      </w:r>
      <w:r w:rsidR="000D3C7A">
        <w:t xml:space="preserve"> </w:t>
      </w:r>
      <w:r w:rsidR="00E33F0C">
        <w:t>dokonanie</w:t>
      </w:r>
      <w:r w:rsidR="000D3C7A">
        <w:t xml:space="preserve"> kontroli osobistej </w:t>
      </w:r>
      <w:r w:rsidR="00B32F7B">
        <w:t>i</w:t>
      </w:r>
      <w:r w:rsidR="00E33F0C">
        <w:t xml:space="preserve"> przez to</w:t>
      </w:r>
      <w:r w:rsidR="00B32F7B">
        <w:t xml:space="preserve"> skarżący nie miał prawa do wniesienia odwołania do sądu.</w:t>
      </w:r>
    </w:p>
    <w:p w14:paraId="29BC372A" w14:textId="415F9ABD" w:rsidR="00681617" w:rsidRPr="00D0033B" w:rsidRDefault="00681617" w:rsidP="00D0033B">
      <w:pPr>
        <w:pStyle w:val="JuHHead"/>
      </w:pPr>
      <w:r>
        <w:t>OCENA TRYBUNAŁU</w:t>
      </w:r>
    </w:p>
    <w:p w14:paraId="349D1CF3" w14:textId="7865F376" w:rsidR="00681617" w:rsidRPr="00D0033B" w:rsidRDefault="00E33F0C" w:rsidP="00D0033B">
      <w:pPr>
        <w:pStyle w:val="JuHIRoman"/>
      </w:pPr>
      <w:r>
        <w:t xml:space="preserve">ZARZUCANE </w:t>
      </w:r>
      <w:r w:rsidR="00681617">
        <w:t>NARUSZENIE ART.</w:t>
      </w:r>
      <w:r w:rsidR="00FA23D8">
        <w:t xml:space="preserve"> </w:t>
      </w:r>
      <w:r w:rsidR="00681617">
        <w:t>8 KONWENCJI w</w:t>
      </w:r>
      <w:r w:rsidR="00FA23D8">
        <w:t> </w:t>
      </w:r>
      <w:r w:rsidR="00681617">
        <w:t>odniesieniu do kontroli osobistych</w:t>
      </w:r>
    </w:p>
    <w:p w14:paraId="0A6C7630" w14:textId="7A39EE80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8</w:t>
        </w:r>
      </w:fldSimple>
      <w:r w:rsidR="00681617">
        <w:t xml:space="preserve">.  Trybunał zauważa, że </w:t>
      </w:r>
      <w:r w:rsidR="00E33F0C">
        <w:t xml:space="preserve">ten </w:t>
      </w:r>
      <w:r w:rsidR="00681617">
        <w:t xml:space="preserve">zarzut nie jest w sposób oczywisty nieuzasadniony w rozumieniu </w:t>
      </w:r>
      <w:proofErr w:type="spellStart"/>
      <w:r w:rsidR="00E33F0C">
        <w:t>rt</w:t>
      </w:r>
      <w:proofErr w:type="spellEnd"/>
      <w:r w:rsidR="00E33F0C">
        <w:t>.</w:t>
      </w:r>
      <w:r w:rsidR="00681617">
        <w:t>. 35 ust. 3 lit. a) Konwencji ani nie jest niedopuszczalny z jakichkolwiek innych względów. Należy go zatem uznać za dopuszczalny.</w:t>
      </w:r>
    </w:p>
    <w:p w14:paraId="7DFED617" w14:textId="1B7F8F6D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9</w:t>
        </w:r>
      </w:fldSimple>
      <w:r w:rsidR="00681617">
        <w:t>.  Ogólne zasady dotyczące kontroli osobistych podsumowan</w:t>
      </w:r>
      <w:r w:rsidR="000D3C7A">
        <w:t>o</w:t>
      </w:r>
      <w:r w:rsidR="00681617">
        <w:t xml:space="preserve"> w wyroku w sprawie </w:t>
      </w:r>
      <w:r w:rsidR="00681617">
        <w:rPr>
          <w:i/>
          <w:iCs/>
        </w:rPr>
        <w:t>Piechowicz p</w:t>
      </w:r>
      <w:r w:rsidR="00E33F0C">
        <w:rPr>
          <w:i/>
          <w:iCs/>
        </w:rPr>
        <w:t>.</w:t>
      </w:r>
      <w:r w:rsidR="00681617">
        <w:rPr>
          <w:i/>
          <w:iCs/>
        </w:rPr>
        <w:t xml:space="preserve"> Polsce</w:t>
      </w:r>
      <w:r w:rsidR="00681617">
        <w:t xml:space="preserve"> (skarga nr 20071/07, §§ 105-17, 17</w:t>
      </w:r>
      <w:r w:rsidR="000D3C7A">
        <w:t> </w:t>
      </w:r>
      <w:r w:rsidR="00681617">
        <w:t>kwietnia 2012 r.).</w:t>
      </w:r>
    </w:p>
    <w:p w14:paraId="2FDD7A4B" w14:textId="500174DD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10</w:t>
        </w:r>
      </w:fldSimple>
      <w:r w:rsidR="00B32F7B">
        <w:t xml:space="preserve">.  Skarżący </w:t>
      </w:r>
      <w:r w:rsidR="00E33F0C">
        <w:t>podniósł</w:t>
      </w:r>
      <w:r w:rsidR="00B32F7B">
        <w:t>, że kontrol</w:t>
      </w:r>
      <w:r w:rsidR="000D3C7A">
        <w:t>e</w:t>
      </w:r>
      <w:r w:rsidR="00B32F7B">
        <w:t xml:space="preserve"> osobist</w:t>
      </w:r>
      <w:r w:rsidR="000D3C7A">
        <w:t>e</w:t>
      </w:r>
      <w:r w:rsidR="00B32F7B">
        <w:t xml:space="preserve"> </w:t>
      </w:r>
      <w:r w:rsidR="00E33F0C">
        <w:t>nie były uzasadnione oraz nie były środkiem</w:t>
      </w:r>
      <w:r w:rsidR="00B32F7B">
        <w:t xml:space="preserve"> proporcjonalnym. W szczególności skarżący nigdy nie dał służbie więziennej żadnego powodu, by podejrzewać, że mógł ukrywać jakiekolwiek przedmioty w miejscach intymnych, i sprzeciwił się twierdzeniu Rządu, że </w:t>
      </w:r>
      <w:r w:rsidR="000D3C7A">
        <w:t xml:space="preserve">zajmował się </w:t>
      </w:r>
      <w:r w:rsidR="00B32F7B">
        <w:t>hand</w:t>
      </w:r>
      <w:r w:rsidR="000D3C7A">
        <w:t>lem</w:t>
      </w:r>
      <w:r w:rsidR="00B32F7B">
        <w:t xml:space="preserve"> narkotykami, co uzasadniałoby wzmożony nadzór.</w:t>
      </w:r>
    </w:p>
    <w:p w14:paraId="1DC23CC3" w14:textId="62ED2650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11</w:t>
        </w:r>
      </w:fldSimple>
      <w:r w:rsidR="00B32F7B">
        <w:t>.  Rząd stwierdził, że ingerencja w prawo skarżącego do poszanowania życia prywatnego była uzasadniona w celu zapobiegania zakłóceniom porządku i przestęp</w:t>
      </w:r>
      <w:r w:rsidR="00A473E6">
        <w:t>stwu</w:t>
      </w:r>
      <w:r w:rsidR="00B32F7B">
        <w:t xml:space="preserve"> oraz w celu ochrony praw i wolności innych osób, a także że była proporcjonalna. Co więcej kontrole osobiste były przeprowadzane w obecności dwóch funkcjonariuszy tej samej płci co</w:t>
      </w:r>
      <w:r w:rsidR="007774FB">
        <w:t> </w:t>
      </w:r>
      <w:r w:rsidR="00B32F7B">
        <w:t>skarżący, bez obecności innych osób. Skarżący nie był traktowany w</w:t>
      </w:r>
      <w:r w:rsidR="007774FB">
        <w:t> </w:t>
      </w:r>
      <w:r w:rsidR="00B32F7B">
        <w:t>sposób upokarzający i nikt nie używał wobec niego obraźliwego lub obelżywego języka. Zdaniem Rządu kontrole osobiste były również uzasadnione podejrzeniem, że skarżący zajmował się handlem narkotykami</w:t>
      </w:r>
      <w:r w:rsidR="007774FB">
        <w:t xml:space="preserve">, z którego to względu </w:t>
      </w:r>
      <w:r w:rsidR="00B32F7B">
        <w:t>podlegał wzmożonemu nadzorowi. Skargi skarżącego dotyczące kontroli osobistych zostały rozpatrzone i nie stwierdzono naruszenia przepisów krajowych.</w:t>
      </w:r>
    </w:p>
    <w:p w14:paraId="3FA1CDD2" w14:textId="479A09FB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12</w:t>
        </w:r>
      </w:fldSimple>
      <w:r w:rsidR="00B32F7B">
        <w:t>.  Trybunał stwierdził już, że w przypadku, gdy środek nie spełnia wymogów art. 3, może on naruszać art. 8 Konwencji, który między innymi przewiduje ochronę integralności fizycznej i psychicznej w ramach poszanowania życia prywatnego jednostki. Nie ma wątpliwości, że wymóg poddania się kontroli osobistej będzie generalnie stanowił ingerencję na</w:t>
      </w:r>
      <w:r w:rsidR="007774FB">
        <w:t> </w:t>
      </w:r>
      <w:r w:rsidR="00B32F7B">
        <w:t>mocy art. 8 ust. 1 i musi być uzasadniony w kategoriach ust. 2, tj. być „</w:t>
      </w:r>
      <w:r w:rsidR="003F3EA4">
        <w:t>zgodny z prawem</w:t>
      </w:r>
      <w:r w:rsidR="007774FB">
        <w:t>”</w:t>
      </w:r>
      <w:r w:rsidR="00B32F7B">
        <w:t xml:space="preserve"> i </w:t>
      </w:r>
      <w:r w:rsidR="007774FB">
        <w:t>„</w:t>
      </w:r>
      <w:r w:rsidR="00B32F7B">
        <w:t>konieczny w społeczeństwie demokratycznym</w:t>
      </w:r>
      <w:r w:rsidR="007774FB">
        <w:t>”</w:t>
      </w:r>
      <w:r w:rsidR="00B32F7B">
        <w:t xml:space="preserve"> z uwagi na co najmniej jeden z </w:t>
      </w:r>
      <w:r w:rsidR="00574F25">
        <w:t xml:space="preserve">wymienionych w nim </w:t>
      </w:r>
      <w:r w:rsidR="00B32F7B">
        <w:t xml:space="preserve">uzasadnionych celów. Zgodnie z utrwalonym orzecznictwem pojęcie konieczności oznacza, że ingerencja odpowiada </w:t>
      </w:r>
      <w:r w:rsidR="00574F25">
        <w:t xml:space="preserve">pilnej </w:t>
      </w:r>
      <w:r w:rsidR="00B32F7B">
        <w:t xml:space="preserve">potrzebie społecznej, a w szczególności, że jest proporcjonalna do zamierzonego uzasadnionego celu (zob. </w:t>
      </w:r>
      <w:r w:rsidR="00B32F7B">
        <w:rPr>
          <w:i/>
          <w:iCs/>
        </w:rPr>
        <w:t>Wainwright przeciwko Zjednoczonemu Królestwu</w:t>
      </w:r>
      <w:r w:rsidR="00B32F7B">
        <w:t>, skarga nr 12350/04, § 43, ETPC 2006-X).</w:t>
      </w:r>
    </w:p>
    <w:p w14:paraId="3D61C7FB" w14:textId="50AAD955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13</w:t>
        </w:r>
      </w:fldSimple>
      <w:r w:rsidR="00B32F7B">
        <w:t xml:space="preserve">.  W odniesieniu do niniejszej sprawy Trybunał zauważa, że nakazy kontroli osobistej miały podstawę w przepisach prawa krajowego, a mianowicie w </w:t>
      </w:r>
      <w:r w:rsidR="00574F25">
        <w:t>K</w:t>
      </w:r>
      <w:r w:rsidR="00B32F7B">
        <w:t xml:space="preserve">odeksie karnym wykonawczym. Trybunał </w:t>
      </w:r>
      <w:r w:rsidR="007774FB">
        <w:t>stwierdza</w:t>
      </w:r>
      <w:r w:rsidR="00B32F7B">
        <w:t xml:space="preserve"> </w:t>
      </w:r>
      <w:r w:rsidR="007774FB">
        <w:t>również</w:t>
      </w:r>
      <w:r w:rsidR="00B32F7B">
        <w:t xml:space="preserve">, że zarzucana ingerencja służyła uzasadnionemu celowi „zapobiegania zakłóceniom porządku i </w:t>
      </w:r>
      <w:r w:rsidR="00574F25">
        <w:t>przestępstwu</w:t>
      </w:r>
      <w:r w:rsidR="007774FB">
        <w:t>”</w:t>
      </w:r>
      <w:r w:rsidR="00B32F7B">
        <w:t>.</w:t>
      </w:r>
    </w:p>
    <w:p w14:paraId="6B41C817" w14:textId="45606832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14</w:t>
        </w:r>
      </w:fldSimple>
      <w:r w:rsidR="00B32F7B">
        <w:t>.  Pozostaje zbadać, czy kontrole osobiste, którym skarżący</w:t>
      </w:r>
      <w:r w:rsidR="00574F25">
        <w:t xml:space="preserve"> został poddany</w:t>
      </w:r>
      <w:r w:rsidR="00B32F7B">
        <w:t>, były proporcjonalne w okolicznościach niniejszej sprawy.</w:t>
      </w:r>
    </w:p>
    <w:p w14:paraId="55A60760" w14:textId="5838EBFC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15</w:t>
        </w:r>
      </w:fldSimple>
      <w:r w:rsidR="00B32F7B">
        <w:t xml:space="preserve">.  Władze </w:t>
      </w:r>
      <w:r w:rsidR="00574F25">
        <w:t xml:space="preserve">powołały się na </w:t>
      </w:r>
      <w:r w:rsidR="00B32F7B">
        <w:t>potrzeb</w:t>
      </w:r>
      <w:r w:rsidR="00574F25">
        <w:t>y</w:t>
      </w:r>
      <w:r w:rsidR="00B32F7B">
        <w:t xml:space="preserve"> w zakresie bezpieczeństwa zakładu karnego w sposób ogólny, bez wskazania żadnego konkretnego zdarzenia lub zachowania skarżącego, które uzasadniałoby zastosowanie środków. Z</w:t>
      </w:r>
      <w:r w:rsidR="007774FB">
        <w:t> </w:t>
      </w:r>
      <w:r w:rsidR="00B32F7B">
        <w:t xml:space="preserve">uzasadnienia </w:t>
      </w:r>
      <w:r w:rsidR="004F38A1">
        <w:t xml:space="preserve">przedstawionego </w:t>
      </w:r>
      <w:r w:rsidR="00B32F7B">
        <w:t xml:space="preserve">przez władze wynika również, że więźniowie byli poddawani prewencyjnej kontroli osobistej po powrocie z pracy. Rząd nie przedstawił żadnych dowodów </w:t>
      </w:r>
      <w:r w:rsidR="004F38A1">
        <w:t xml:space="preserve">uzasadniających </w:t>
      </w:r>
      <w:r w:rsidR="00B32F7B">
        <w:t>podejrzenie służb, ż</w:t>
      </w:r>
      <w:r w:rsidR="004F38A1">
        <w:t>e</w:t>
      </w:r>
      <w:r w:rsidR="00B32F7B">
        <w:t xml:space="preserve"> skarżący mógł </w:t>
      </w:r>
      <w:r w:rsidR="004F38A1">
        <w:t xml:space="preserve">być zamieszany w handel </w:t>
      </w:r>
      <w:r w:rsidR="00B32F7B">
        <w:t>narkotykami.</w:t>
      </w:r>
    </w:p>
    <w:bookmarkStart w:id="1" w:name="reasoning_conclusion8"/>
    <w:p w14:paraId="5D75D2CD" w14:textId="5B22D248" w:rsidR="00681617" w:rsidRPr="00D0033B" w:rsidRDefault="00681617" w:rsidP="00D0033B">
      <w:pPr>
        <w:pStyle w:val="JuPara"/>
      </w:pPr>
      <w:r w:rsidRPr="00D0033B">
        <w:fldChar w:fldCharType="begin"/>
      </w:r>
      <w:r w:rsidRPr="00D0033B">
        <w:instrText xml:space="preserve"> SEQ level0 \*arabic \* MERGEFORMAT </w:instrText>
      </w:r>
      <w:r w:rsidRPr="00D0033B">
        <w:fldChar w:fldCharType="separate"/>
      </w:r>
      <w:r w:rsidR="007B6D79">
        <w:rPr>
          <w:noProof/>
        </w:rPr>
        <w:t>16</w:t>
      </w:r>
      <w:r w:rsidRPr="00D0033B">
        <w:fldChar w:fldCharType="end"/>
      </w:r>
      <w:bookmarkEnd w:id="1"/>
      <w:r>
        <w:t>.  Trybunał jest świadomy potrzeby zapewnienia bezpieczeństwa w</w:t>
      </w:r>
      <w:r w:rsidR="007774FB">
        <w:t> </w:t>
      </w:r>
      <w:r>
        <w:t>instytucjach, w których przebywają osoby pozbawione wolności. Uważa jednak, że wysoce inwazyjne i potencjalnie poniżające środki, takie jak oględziny</w:t>
      </w:r>
      <w:r w:rsidR="004F38A1">
        <w:t xml:space="preserve"> ciała</w:t>
      </w:r>
      <w:r>
        <w:t xml:space="preserve"> i kontrole osobiste</w:t>
      </w:r>
      <w:r w:rsidR="007774FB">
        <w:t>,</w:t>
      </w:r>
      <w:r>
        <w:t xml:space="preserve"> wymagają wiarygodnego uzasadnienia. Nie wydaje się, aby takie uzasadnienie zostało przedstawione skarżącemu </w:t>
      </w:r>
      <w:r>
        <w:lastRenderedPageBreak/>
        <w:t xml:space="preserve">przez </w:t>
      </w:r>
      <w:r w:rsidR="004F38A1">
        <w:t xml:space="preserve">władze </w:t>
      </w:r>
      <w:r>
        <w:t xml:space="preserve">więzienne w niniejszej sprawie (zob. </w:t>
      </w:r>
      <w:proofErr w:type="spellStart"/>
      <w:r>
        <w:rPr>
          <w:i/>
          <w:iCs/>
        </w:rPr>
        <w:t>Dejnek</w:t>
      </w:r>
      <w:proofErr w:type="spellEnd"/>
      <w:r>
        <w:rPr>
          <w:i/>
          <w:iCs/>
        </w:rPr>
        <w:t xml:space="preserve"> p</w:t>
      </w:r>
      <w:r w:rsidR="004F38A1">
        <w:rPr>
          <w:i/>
          <w:iCs/>
        </w:rPr>
        <w:t>.</w:t>
      </w:r>
      <w:r>
        <w:rPr>
          <w:i/>
          <w:iCs/>
        </w:rPr>
        <w:t xml:space="preserve"> Polsce</w:t>
      </w:r>
      <w:r>
        <w:t xml:space="preserve">, skarga nr 9635/13, § 75, 1 czerwca 2017 r.). Trybunał zauważył również, że Sąd Okręgowy uznał, </w:t>
      </w:r>
      <w:r w:rsidR="004F38A1">
        <w:t xml:space="preserve">że </w:t>
      </w:r>
      <w:r>
        <w:t xml:space="preserve">nie może </w:t>
      </w:r>
      <w:r w:rsidR="004F38A1">
        <w:t xml:space="preserve">rozpoznać </w:t>
      </w:r>
      <w:r>
        <w:t>skargi, ponieważ nie wydano oficjalnej decyzji. W odniesieniu do innego przypadku władze nie były w</w:t>
      </w:r>
      <w:r w:rsidR="007774FB">
        <w:t> </w:t>
      </w:r>
      <w:r>
        <w:t xml:space="preserve">stanie </w:t>
      </w:r>
      <w:r w:rsidR="00C40D82">
        <w:t>potwierdzić</w:t>
      </w:r>
      <w:r w:rsidR="004F38A1">
        <w:t>,</w:t>
      </w:r>
      <w:r>
        <w:t xml:space="preserve"> czy przeprowadzono kontrolę osobistą, </w:t>
      </w:r>
      <w:r w:rsidR="004F38A1">
        <w:t>jak zarzucał</w:t>
      </w:r>
      <w:r>
        <w:t xml:space="preserve"> skarżący, ponieważ nie istniała ewidencja</w:t>
      </w:r>
      <w:r w:rsidR="007774FB">
        <w:t xml:space="preserve"> kontroli</w:t>
      </w:r>
      <w:r>
        <w:t xml:space="preserve">. Taka sytuacja uniemożliwia Trybunałowi </w:t>
      </w:r>
      <w:r w:rsidR="00C40D82">
        <w:t>ocenę</w:t>
      </w:r>
      <w:r w:rsidR="001C3236">
        <w:t>,</w:t>
      </w:r>
      <w:r>
        <w:t xml:space="preserve"> czy wymóg </w:t>
      </w:r>
      <w:r w:rsidR="001C3236">
        <w:t xml:space="preserve">odpowiedniego </w:t>
      </w:r>
      <w:r>
        <w:t>uzasadnienia kontroli na poziomie krajowym został spełniony (zob.</w:t>
      </w:r>
      <w:r>
        <w:rPr>
          <w:i/>
          <w:iCs/>
        </w:rPr>
        <w:t xml:space="preserve"> mutatis mutandis</w:t>
      </w:r>
      <w:r>
        <w:t xml:space="preserve">, </w:t>
      </w:r>
      <w:r>
        <w:rPr>
          <w:i/>
          <w:iCs/>
        </w:rPr>
        <w:t>Dejnek</w:t>
      </w:r>
      <w:r>
        <w:t>, cyt. pow</w:t>
      </w:r>
      <w:r w:rsidR="001C3236">
        <w:t>.</w:t>
      </w:r>
      <w:r>
        <w:t xml:space="preserve">, § 75 oraz </w:t>
      </w:r>
      <w:r>
        <w:rPr>
          <w:i/>
          <w:iCs/>
        </w:rPr>
        <w:t>Nowak przeciwko Polsce</w:t>
      </w:r>
      <w:r>
        <w:t xml:space="preserve">, skarga nr 60906/16, </w:t>
      </w:r>
      <w:r w:rsidR="001C3236">
        <w:br/>
      </w:r>
      <w:r>
        <w:t>§ 37, 13 października 2022 r.).</w:t>
      </w:r>
    </w:p>
    <w:bookmarkStart w:id="2" w:name="conclusion8"/>
    <w:p w14:paraId="0C24F604" w14:textId="35BDCB70" w:rsidR="00681617" w:rsidRPr="00D0033B" w:rsidRDefault="00681617" w:rsidP="00D0033B">
      <w:pPr>
        <w:pStyle w:val="JuPara"/>
      </w:pPr>
      <w:r w:rsidRPr="00D0033B">
        <w:fldChar w:fldCharType="begin"/>
      </w:r>
      <w:r w:rsidRPr="00D0033B">
        <w:instrText xml:space="preserve"> SEQ level0 \*arabic \* MERGEFORMAT </w:instrText>
      </w:r>
      <w:r w:rsidRPr="00D0033B">
        <w:fldChar w:fldCharType="separate"/>
      </w:r>
      <w:r w:rsidR="007B6D79">
        <w:rPr>
          <w:noProof/>
        </w:rPr>
        <w:t>17</w:t>
      </w:r>
      <w:r w:rsidRPr="00D0033B">
        <w:fldChar w:fldCharType="end"/>
      </w:r>
      <w:bookmarkEnd w:id="2"/>
      <w:r>
        <w:t>.  </w:t>
      </w:r>
      <w:r w:rsidR="001C3236">
        <w:t>Powyższe rozważania są wystarczające by</w:t>
      </w:r>
      <w:r w:rsidR="007774FB">
        <w:t xml:space="preserve"> </w:t>
      </w:r>
      <w:r>
        <w:t xml:space="preserve">Trybunał </w:t>
      </w:r>
      <w:r w:rsidR="001C3236">
        <w:t xml:space="preserve">mógł </w:t>
      </w:r>
      <w:r w:rsidR="007774FB">
        <w:t>stwierdz</w:t>
      </w:r>
      <w:r w:rsidR="001C3236">
        <w:t>ić</w:t>
      </w:r>
      <w:r>
        <w:t>, że</w:t>
      </w:r>
      <w:r w:rsidR="007774FB">
        <w:t> </w:t>
      </w:r>
      <w:r>
        <w:t>władze nie przedstawiły wystarczających i istotnych powodów</w:t>
      </w:r>
      <w:r w:rsidR="00E44228">
        <w:t xml:space="preserve"> uzasadnia</w:t>
      </w:r>
      <w:r w:rsidR="001C3236">
        <w:t>jących</w:t>
      </w:r>
      <w:r>
        <w:t xml:space="preserve"> kontrole osobiste skarżącego.</w:t>
      </w:r>
    </w:p>
    <w:p w14:paraId="00FEAE61" w14:textId="4D32681F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18</w:t>
        </w:r>
      </w:fldSimple>
      <w:r w:rsidR="00B32F7B">
        <w:t xml:space="preserve">.  W związku z </w:t>
      </w:r>
      <w:r w:rsidR="001C3236">
        <w:t xml:space="preserve">tym </w:t>
      </w:r>
      <w:r w:rsidR="00B32F7B">
        <w:t>doszło do naruszenia art. 8 Konwencji.</w:t>
      </w:r>
    </w:p>
    <w:p w14:paraId="4574782F" w14:textId="77777777" w:rsidR="00681617" w:rsidRPr="00D0033B" w:rsidRDefault="00681617" w:rsidP="00D0033B">
      <w:pPr>
        <w:pStyle w:val="JuHIRoman"/>
      </w:pPr>
      <w:r>
        <w:t>Pozostałe ZARZUTY</w:t>
      </w:r>
    </w:p>
    <w:p w14:paraId="20337EB7" w14:textId="6B0E47B6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19</w:t>
        </w:r>
      </w:fldSimple>
      <w:r w:rsidR="00B32F7B">
        <w:t>.  Skarżący zarzucił również, że w okolicznościach sprawy doszło do</w:t>
      </w:r>
      <w:r w:rsidR="00E44228">
        <w:t> </w:t>
      </w:r>
      <w:r w:rsidR="00B32F7B">
        <w:t>naruszenia art. 13 Konwencji w związku z art. 8, ponieważ władze nie wydały żadne</w:t>
      </w:r>
      <w:r w:rsidR="001C3236">
        <w:t>j</w:t>
      </w:r>
      <w:r w:rsidR="00B32F7B">
        <w:t xml:space="preserve"> uzasadnione</w:t>
      </w:r>
      <w:r w:rsidR="001C3236">
        <w:t>j decyzji</w:t>
      </w:r>
      <w:r w:rsidR="00B32F7B">
        <w:t xml:space="preserve"> </w:t>
      </w:r>
      <w:r w:rsidR="00E44228">
        <w:t>nakazu</w:t>
      </w:r>
      <w:r w:rsidR="001C3236">
        <w:t>jącej</w:t>
      </w:r>
      <w:r w:rsidR="00E44228">
        <w:t xml:space="preserve"> </w:t>
      </w:r>
      <w:r w:rsidR="00B32F7B">
        <w:t>kontrol</w:t>
      </w:r>
      <w:r w:rsidR="001C3236">
        <w:t>e</w:t>
      </w:r>
      <w:r w:rsidR="00B32F7B">
        <w:t xml:space="preserve"> osobist</w:t>
      </w:r>
      <w:r w:rsidR="00E44228">
        <w:t>e</w:t>
      </w:r>
      <w:r w:rsidR="00B32F7B">
        <w:t xml:space="preserve"> skarżącego, od które</w:t>
      </w:r>
      <w:r w:rsidR="006B13D4">
        <w:t>j</w:t>
      </w:r>
      <w:r w:rsidR="00B32F7B">
        <w:t xml:space="preserve"> można byłoby wnieść odwołanie. </w:t>
      </w:r>
    </w:p>
    <w:p w14:paraId="7290F709" w14:textId="54B2FA8A" w:rsidR="00681617" w:rsidRPr="00D0033B" w:rsidRDefault="00000000" w:rsidP="00D0033B">
      <w:pPr>
        <w:pStyle w:val="JuPara"/>
      </w:pPr>
      <w:fldSimple w:instr=" SEQ level0 \*arabic \* MERGEFORMAT ">
        <w:r w:rsidR="007B6D79">
          <w:rPr>
            <w:noProof/>
          </w:rPr>
          <w:t>20</w:t>
        </w:r>
      </w:fldSimple>
      <w:r w:rsidR="00B32F7B">
        <w:t xml:space="preserve">.  Trybunał zauważa, że u podstaw zarzutu skarżącego na podstawie art. 13 Konwencji leżą </w:t>
      </w:r>
      <w:r w:rsidR="00E44228">
        <w:t>kwestie</w:t>
      </w:r>
      <w:r w:rsidR="00B32F7B">
        <w:t xml:space="preserve">, które zostały </w:t>
      </w:r>
      <w:r w:rsidR="006B13D4">
        <w:t xml:space="preserve">zbadane </w:t>
      </w:r>
      <w:r w:rsidR="00B32F7B">
        <w:t>i doprowadziły do</w:t>
      </w:r>
      <w:r w:rsidR="00E44228">
        <w:t> </w:t>
      </w:r>
      <w:r w:rsidR="00B32F7B">
        <w:t xml:space="preserve">stwierdzenia naruszenia art. 8 Konwencji (zob. paragrafy 15 i </w:t>
      </w:r>
      <w:r w:rsidR="00681617" w:rsidRPr="00D0033B">
        <w:fldChar w:fldCharType="begin"/>
      </w:r>
      <w:r w:rsidR="00681617" w:rsidRPr="00D0033B">
        <w:instrText xml:space="preserve"> REF reasoning_conclusion8 \h </w:instrText>
      </w:r>
      <w:r w:rsidR="00681617" w:rsidRPr="00D0033B">
        <w:fldChar w:fldCharType="separate"/>
      </w:r>
      <w:r w:rsidR="007B6D79">
        <w:rPr>
          <w:noProof/>
        </w:rPr>
        <w:t>16</w:t>
      </w:r>
      <w:r w:rsidR="00681617" w:rsidRPr="00D0033B">
        <w:fldChar w:fldCharType="end"/>
      </w:r>
      <w:r w:rsidR="00B32F7B">
        <w:t xml:space="preserve"> powyżej). Uwzględniając okoliczności sprawy, </w:t>
      </w:r>
      <w:r w:rsidR="006B13D4">
        <w:t xml:space="preserve">oświadczenia </w:t>
      </w:r>
      <w:r w:rsidR="00B32F7B">
        <w:t>stron oraz poczynione wyżej ustalenia, Trybunał uznaje, że nie powstaje odrębne zagadnienie na</w:t>
      </w:r>
      <w:r w:rsidR="00E44228">
        <w:t> </w:t>
      </w:r>
      <w:r w:rsidR="00B32F7B">
        <w:t xml:space="preserve">podstawie art. 13 Konwencji i nie dokonuje odrębnych ustaleń </w:t>
      </w:r>
      <w:r w:rsidR="006B13D4">
        <w:t>co do tego</w:t>
      </w:r>
      <w:r w:rsidR="00B32F7B">
        <w:t xml:space="preserve"> przepisu (zob. </w:t>
      </w:r>
      <w:r w:rsidR="00B32F7B">
        <w:rPr>
          <w:i/>
          <w:iCs/>
        </w:rPr>
        <w:t>Prus przeciwko Polsce</w:t>
      </w:r>
      <w:r w:rsidR="00B32F7B">
        <w:t>, skarga nr 5136/11, § 43, 12 stycznia 2016 r.).</w:t>
      </w:r>
    </w:p>
    <w:p w14:paraId="3E621C31" w14:textId="77777777" w:rsidR="00681617" w:rsidRPr="00D0033B" w:rsidRDefault="00681617" w:rsidP="00D0033B">
      <w:pPr>
        <w:pStyle w:val="JuHHead"/>
      </w:pPr>
      <w:r>
        <w:t>ZASTOSOWANIE ART. 41 KONWENCJI</w:t>
      </w:r>
    </w:p>
    <w:p w14:paraId="54E04A75" w14:textId="714275FE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21</w:t>
        </w:r>
      </w:fldSimple>
      <w:r w:rsidR="00681617">
        <w:t xml:space="preserve">.  Skarżący domagał się kwoty 6 000 euro (EUR) </w:t>
      </w:r>
      <w:r w:rsidR="00E44228">
        <w:t>tytułem</w:t>
      </w:r>
      <w:r w:rsidR="00681617">
        <w:t xml:space="preserve"> zadośćuczynienia za szkodę niemajątkow</w:t>
      </w:r>
      <w:r w:rsidR="00E44228">
        <w:t>ą</w:t>
      </w:r>
      <w:r w:rsidR="00681617">
        <w:t xml:space="preserve"> (z czego 4 000 EUR z </w:t>
      </w:r>
      <w:r w:rsidR="00534886">
        <w:t xml:space="preserve">tytułu </w:t>
      </w:r>
      <w:r w:rsidR="00681617">
        <w:t>naruszenia art. 8 Konwencji). Tytułem kosztów i wydatków poniesionych przed Trybunałem skarżący domagał się kwoty 1 474 polskich złotych (równowarto</w:t>
      </w:r>
      <w:r w:rsidR="00E44228">
        <w:t>ś</w:t>
      </w:r>
      <w:r w:rsidR="006B13D4">
        <w:t>ć</w:t>
      </w:r>
      <w:r w:rsidR="00681617">
        <w:t xml:space="preserve"> 320 euro) oraz dodatkowo 30% kwot zasądzonych przez Trybunał na </w:t>
      </w:r>
      <w:r w:rsidR="00E44228">
        <w:t>jego rzecz</w:t>
      </w:r>
      <w:r w:rsidR="00681617">
        <w:t>.</w:t>
      </w:r>
    </w:p>
    <w:p w14:paraId="3B954F5C" w14:textId="323EA194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22</w:t>
        </w:r>
      </w:fldSimple>
      <w:r w:rsidR="00681617">
        <w:t>.  Rząd zakwestionował te roszczenia.</w:t>
      </w:r>
    </w:p>
    <w:p w14:paraId="6A1242A1" w14:textId="441CF8B2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23</w:t>
        </w:r>
      </w:fldSimple>
      <w:r w:rsidR="00681617">
        <w:t xml:space="preserve">.  Trybunał przyznaje skarżącemu kwotę 4 000 </w:t>
      </w:r>
      <w:r w:rsidR="00E44228">
        <w:t>EUR</w:t>
      </w:r>
      <w:r w:rsidR="00681617">
        <w:t xml:space="preserve"> z tytułu zadośćuczynienia za szkod</w:t>
      </w:r>
      <w:r w:rsidR="00E44228">
        <w:t>ę</w:t>
      </w:r>
      <w:r w:rsidR="00681617">
        <w:t xml:space="preserve"> niemajątkową, powiększoną o </w:t>
      </w:r>
      <w:r w:rsidR="006B13D4">
        <w:t xml:space="preserve">jakikolwiek </w:t>
      </w:r>
      <w:r w:rsidR="00681617">
        <w:t>podatek należny od tej kwoty.</w:t>
      </w:r>
    </w:p>
    <w:p w14:paraId="5992FBE5" w14:textId="087BB14D" w:rsidR="00681617" w:rsidRPr="00D0033B" w:rsidRDefault="00000000" w:rsidP="00D0033B">
      <w:pPr>
        <w:pStyle w:val="JuPara"/>
      </w:pPr>
      <w:fldSimple w:instr=" SEQ level0 \*arabic ">
        <w:r w:rsidR="007B6D79">
          <w:rPr>
            <w:noProof/>
          </w:rPr>
          <w:t>24</w:t>
        </w:r>
      </w:fldSimple>
      <w:r w:rsidR="00681617">
        <w:t xml:space="preserve">.  Mając na uwadze posiadane dokumenty oraz fakt, iż skarżącemu </w:t>
      </w:r>
      <w:r w:rsidR="006B13D4">
        <w:t xml:space="preserve">przyznano </w:t>
      </w:r>
      <w:r w:rsidR="00681617">
        <w:t>pomoc prawn</w:t>
      </w:r>
      <w:r w:rsidR="006B13D4">
        <w:t>ą</w:t>
      </w:r>
      <w:r w:rsidR="00681617">
        <w:t>, Trybunał uznaje za uzasadnione zasądzić</w:t>
      </w:r>
      <w:r w:rsidR="00E44228">
        <w:t xml:space="preserve"> na jego </w:t>
      </w:r>
      <w:r w:rsidR="00E44228">
        <w:lastRenderedPageBreak/>
        <w:t>rzecz</w:t>
      </w:r>
      <w:r w:rsidR="00681617">
        <w:t xml:space="preserve"> kwotę 320 EUR tytułem kosztów poniesionych w postępowaniu przed Trybunałem, powiększoną o </w:t>
      </w:r>
      <w:r w:rsidR="006B13D4">
        <w:t xml:space="preserve">jakikolwiek </w:t>
      </w:r>
      <w:r w:rsidR="00681617">
        <w:t>podatek należny od tej kwoty.</w:t>
      </w:r>
    </w:p>
    <w:p w14:paraId="76D65F1F" w14:textId="144718F9" w:rsidR="00681617" w:rsidRPr="00D0033B" w:rsidRDefault="00681617" w:rsidP="00D0033B">
      <w:pPr>
        <w:pStyle w:val="JuHHead"/>
      </w:pPr>
      <w:r>
        <w:t>Z TYCH PRZYCZYN TRYBUNAŁ JEDNOGŁOŚNIE</w:t>
      </w:r>
    </w:p>
    <w:p w14:paraId="190C2DC9" w14:textId="77777777" w:rsidR="00681617" w:rsidRPr="00D0033B" w:rsidRDefault="00681617" w:rsidP="00D0033B">
      <w:pPr>
        <w:pStyle w:val="JuList"/>
      </w:pPr>
      <w:r>
        <w:rPr>
          <w:i/>
        </w:rPr>
        <w:t>uznaje</w:t>
      </w:r>
      <w:r>
        <w:t xml:space="preserve"> zarzut dotyczący art. 8 Konwencji za dopuszczalny;</w:t>
      </w:r>
    </w:p>
    <w:p w14:paraId="034545E0" w14:textId="77777777" w:rsidR="00681617" w:rsidRPr="00D0033B" w:rsidRDefault="00681617" w:rsidP="00D0033B">
      <w:pPr>
        <w:pStyle w:val="JuList"/>
      </w:pPr>
      <w:r>
        <w:rPr>
          <w:i/>
        </w:rPr>
        <w:t xml:space="preserve">orzeka, </w:t>
      </w:r>
      <w:r>
        <w:t>że doszło do naruszenia art. 8 Konwencji;</w:t>
      </w:r>
    </w:p>
    <w:p w14:paraId="13964B4A" w14:textId="248C0713" w:rsidR="00681617" w:rsidRPr="00D0033B" w:rsidRDefault="00681617" w:rsidP="00D0033B">
      <w:pPr>
        <w:pStyle w:val="JuList"/>
      </w:pPr>
      <w:r>
        <w:rPr>
          <w:i/>
        </w:rPr>
        <w:t>stwierdza</w:t>
      </w:r>
      <w:r>
        <w:t xml:space="preserve">, że nie ma konieczności badania dopuszczalności i </w:t>
      </w:r>
      <w:r w:rsidR="005B5142">
        <w:t>meritum skargi w zakresie dotyczącym</w:t>
      </w:r>
      <w:r>
        <w:t xml:space="preserve"> art. 13 Konwencji w związku z art. 8 Konwencji;</w:t>
      </w:r>
    </w:p>
    <w:p w14:paraId="07D3101C" w14:textId="0D4FA3D0" w:rsidR="00681617" w:rsidRPr="00D0033B" w:rsidRDefault="00681617" w:rsidP="00D0033B">
      <w:pPr>
        <w:pStyle w:val="JuList"/>
      </w:pPr>
      <w:r>
        <w:rPr>
          <w:i/>
          <w:iCs/>
        </w:rPr>
        <w:t>orzeka</w:t>
      </w:r>
      <w:r w:rsidR="00E44228">
        <w:rPr>
          <w:i/>
          <w:iCs/>
        </w:rPr>
        <w:t>,</w:t>
      </w:r>
    </w:p>
    <w:p w14:paraId="471DAB75" w14:textId="586805B5" w:rsidR="00681617" w:rsidRPr="00D0033B" w:rsidRDefault="00681617" w:rsidP="00D0033B">
      <w:pPr>
        <w:pStyle w:val="JuLista"/>
        <w:numPr>
          <w:ilvl w:val="1"/>
          <w:numId w:val="1"/>
        </w:numPr>
      </w:pPr>
      <w:r>
        <w:t>że pozwane państwo winno, w terminie trzech miesięcy, uiścić na</w:t>
      </w:r>
      <w:r w:rsidR="00E44228">
        <w:t> </w:t>
      </w:r>
      <w:r>
        <w:t>rzecz skarżącego następujące kwoty, przeliczone na walutę pozwanego państwa według kursu obowiązującego w dniu płatności:</w:t>
      </w:r>
    </w:p>
    <w:p w14:paraId="58478490" w14:textId="77777777" w:rsidR="00681617" w:rsidRPr="00D0033B" w:rsidRDefault="00681617" w:rsidP="00D0033B">
      <w:pPr>
        <w:pStyle w:val="JuListi"/>
        <w:numPr>
          <w:ilvl w:val="2"/>
          <w:numId w:val="1"/>
        </w:numPr>
      </w:pPr>
      <w:r>
        <w:t>4 000 EUR (cztery tysiące euro), plus wszelkie należne podatki, tytułem zadośćuczynienia za szkodę niemajątkową;</w:t>
      </w:r>
    </w:p>
    <w:p w14:paraId="4AB57914" w14:textId="2AF82A69" w:rsidR="00681617" w:rsidRPr="00D0033B" w:rsidRDefault="00681617" w:rsidP="00D0033B">
      <w:pPr>
        <w:pStyle w:val="JuListi"/>
        <w:numPr>
          <w:ilvl w:val="2"/>
          <w:numId w:val="1"/>
        </w:numPr>
      </w:pPr>
      <w:r>
        <w:t>320 EUR (trzysta dwadzieścia euro) plus wszelkie należne podatki, tytułem kosztów i wydatków;</w:t>
      </w:r>
    </w:p>
    <w:p w14:paraId="2EF2DC44" w14:textId="0D7FD511" w:rsidR="00681617" w:rsidRPr="00D0033B" w:rsidRDefault="00681617" w:rsidP="00D0033B">
      <w:pPr>
        <w:pStyle w:val="JuLista"/>
        <w:numPr>
          <w:ilvl w:val="1"/>
          <w:numId w:val="1"/>
        </w:numPr>
      </w:pPr>
      <w:r>
        <w:t>że od upływu wyżej wskazanego terminu trzech miesięcy aż</w:t>
      </w:r>
      <w:r w:rsidR="00E44228">
        <w:t> </w:t>
      </w:r>
      <w:r>
        <w:t>do</w:t>
      </w:r>
      <w:r w:rsidR="00E44228">
        <w:t> </w:t>
      </w:r>
      <w:r>
        <w:t xml:space="preserve">momentu uregulowania należności </w:t>
      </w:r>
      <w:r w:rsidR="005B5142">
        <w:t xml:space="preserve">płatne </w:t>
      </w:r>
      <w:r>
        <w:t>będą odsetki zwykłe od określonych powyżej kwot, naliczone według stopy równej marginalnej stopie procentowej Europejskiego Banku Centralnego obowiązującej w</w:t>
      </w:r>
      <w:r w:rsidR="00E44228">
        <w:t xml:space="preserve"> </w:t>
      </w:r>
      <w:r>
        <w:t>tym okresie, powiększonej o trzy punkty procentowe;</w:t>
      </w:r>
    </w:p>
    <w:p w14:paraId="35F8FB0A" w14:textId="0881F495" w:rsidR="004D0EC7" w:rsidRPr="00D0033B" w:rsidRDefault="00681617" w:rsidP="00D0033B">
      <w:pPr>
        <w:pStyle w:val="JuList"/>
      </w:pPr>
      <w:r>
        <w:rPr>
          <w:i/>
        </w:rPr>
        <w:t>oddala</w:t>
      </w:r>
      <w:r>
        <w:t xml:space="preserve"> pozostałą część roszczenia skarżącego o słuszne zadośćuczynienie.</w:t>
      </w:r>
    </w:p>
    <w:p w14:paraId="2BC37C69" w14:textId="7C1D9542" w:rsidR="008E3A08" w:rsidRPr="00D0033B" w:rsidRDefault="007E2C8C" w:rsidP="00D0033B">
      <w:pPr>
        <w:pStyle w:val="JuParaLast"/>
      </w:pPr>
      <w:r>
        <w:t xml:space="preserve">Sporządzono w języku angielskim i obwieszczono pisemnie </w:t>
      </w:r>
      <w:r>
        <w:rPr>
          <w:rFonts w:ascii="Times New Roman" w:hAnsi="Times New Roman"/>
        </w:rPr>
        <w:t>11 maja 2023 r.</w:t>
      </w:r>
      <w:r>
        <w:t>, zgodnie z Regułą 77 §§ 2 i 3 Regulaminu Trybunału.</w:t>
      </w:r>
    </w:p>
    <w:p w14:paraId="05889074" w14:textId="69D701EB" w:rsidR="008B092C" w:rsidRPr="00D0033B" w:rsidRDefault="00281B7C" w:rsidP="00D0033B">
      <w:pPr>
        <w:pStyle w:val="ECHRPlaceholder"/>
        <w:rPr>
          <w:szCs w:val="22"/>
        </w:rPr>
      </w:pPr>
      <w:r>
        <w:tab/>
      </w:r>
    </w:p>
    <w:p w14:paraId="30BED5A9" w14:textId="3E44F5A0" w:rsidR="00182EBA" w:rsidRPr="00D0033B" w:rsidRDefault="002E7764" w:rsidP="00D0033B">
      <w:pPr>
        <w:pStyle w:val="JuSigned"/>
      </w:pPr>
      <w:r>
        <w:tab/>
        <w:t xml:space="preserve">Liv Tigerstedt </w:t>
      </w:r>
      <w:r>
        <w:tab/>
        <w:t>Lətif Hüseynov</w:t>
      </w:r>
      <w:r>
        <w:br/>
      </w:r>
      <w:r>
        <w:tab/>
        <w:t>Zastępca Kanclerza</w:t>
      </w:r>
      <w:r>
        <w:tab/>
        <w:t>Przewodniczący</w:t>
      </w:r>
    </w:p>
    <w:sectPr w:rsidR="00182EBA" w:rsidRPr="00D0033B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B32D1" w14:textId="77777777" w:rsidR="00EC55A5" w:rsidRPr="00681617" w:rsidRDefault="00EC55A5" w:rsidP="0098410D">
      <w:r w:rsidRPr="00681617">
        <w:separator/>
      </w:r>
    </w:p>
  </w:endnote>
  <w:endnote w:type="continuationSeparator" w:id="0">
    <w:p w14:paraId="1BDF12DB" w14:textId="77777777" w:rsidR="00EC55A5" w:rsidRPr="00681617" w:rsidRDefault="00EC55A5" w:rsidP="0098410D">
      <w:r w:rsidRPr="006816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10191" w14:textId="77777777" w:rsidR="00681617" w:rsidRDefault="006816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11E7E" w14:textId="19469905" w:rsidR="00681617" w:rsidRPr="00150BFA" w:rsidRDefault="00681617" w:rsidP="0020718E">
    <w:pPr>
      <w:jc w:val="center"/>
    </w:pPr>
    <w:r>
      <w:rPr>
        <w:noProof/>
      </w:rPr>
      <w:drawing>
        <wp:inline distT="0" distB="0" distL="0" distR="0" wp14:anchorId="16E0CC3B" wp14:editId="4907A14A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D7FD4" w14:textId="44C37404" w:rsidR="0098410D" w:rsidRPr="00681617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568F" w14:textId="667E4B03" w:rsidR="00681617" w:rsidRPr="00150BFA" w:rsidRDefault="00681617" w:rsidP="0020718E">
    <w:pPr>
      <w:jc w:val="center"/>
    </w:pPr>
    <w:r>
      <w:rPr>
        <w:noProof/>
      </w:rPr>
      <w:drawing>
        <wp:inline distT="0" distB="0" distL="0" distR="0" wp14:anchorId="42009BC9" wp14:editId="2C654636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F4686" w14:textId="44435770" w:rsidR="009E7A6F" w:rsidRPr="00681617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04EBE" w14:textId="34F0849F" w:rsidR="00182EBA" w:rsidRDefault="00681617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20A95" w14:textId="223ADC0C" w:rsidR="00182EBA" w:rsidRPr="000B7195" w:rsidRDefault="00681617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792C1" w14:textId="77777777" w:rsidR="00EC55A5" w:rsidRPr="00681617" w:rsidRDefault="00EC55A5" w:rsidP="0098410D">
      <w:r w:rsidRPr="00681617">
        <w:separator/>
      </w:r>
    </w:p>
  </w:footnote>
  <w:footnote w:type="continuationSeparator" w:id="0">
    <w:p w14:paraId="6CAB67CA" w14:textId="77777777" w:rsidR="00EC55A5" w:rsidRPr="00681617" w:rsidRDefault="00EC55A5" w:rsidP="0098410D">
      <w:r w:rsidRPr="0068161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3B6F" w14:textId="77777777" w:rsidR="00681617" w:rsidRDefault="00681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126D" w14:textId="2855261D" w:rsidR="00681617" w:rsidRPr="00A45145" w:rsidRDefault="00681617" w:rsidP="00A45145">
    <w:pPr>
      <w:jc w:val="center"/>
    </w:pPr>
    <w:r>
      <w:rPr>
        <w:noProof/>
      </w:rPr>
      <w:drawing>
        <wp:inline distT="0" distB="0" distL="0" distR="0" wp14:anchorId="733E6BEC" wp14:editId="3CBF2BDB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0D2874" w14:textId="0D02326D" w:rsidR="0098410D" w:rsidRPr="00681617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18614" w14:textId="379ABC76" w:rsidR="00681617" w:rsidRPr="00A45145" w:rsidRDefault="00681617" w:rsidP="00A45145">
    <w:pPr>
      <w:jc w:val="center"/>
    </w:pPr>
    <w:r>
      <w:rPr>
        <w:noProof/>
      </w:rPr>
      <w:drawing>
        <wp:inline distT="0" distB="0" distL="0" distR="0" wp14:anchorId="37635A67" wp14:editId="798FE646">
          <wp:extent cx="2962275" cy="1219200"/>
          <wp:effectExtent l="0" t="0" r="9525" b="0"/>
          <wp:docPr id="39" name="Picture 3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AC77CB" w14:textId="208208DD" w:rsidR="0098410D" w:rsidRPr="00681617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5411B" w14:textId="2797CC8A" w:rsidR="00182EBA" w:rsidRPr="004D0EC7" w:rsidRDefault="00681617" w:rsidP="004D0EC7">
    <w:pPr>
      <w:pStyle w:val="JuHeader"/>
    </w:pPr>
    <w:r>
      <w:t>WYROK w sprawie BOJAR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A5E03" w14:textId="0DBC1FE3" w:rsidR="00182EBA" w:rsidRPr="00882CD5" w:rsidRDefault="00681617" w:rsidP="007D3701">
    <w:pPr>
      <w:pStyle w:val="JuHeader"/>
    </w:pPr>
    <w:r>
      <w:t>WYROK w sprawie BOJAR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695956695">
    <w:abstractNumId w:val="13"/>
  </w:num>
  <w:num w:numId="2" w16cid:durableId="579559185">
    <w:abstractNumId w:val="14"/>
  </w:num>
  <w:num w:numId="3" w16cid:durableId="1234468325">
    <w:abstractNumId w:val="12"/>
  </w:num>
  <w:num w:numId="4" w16cid:durableId="710114669">
    <w:abstractNumId w:val="11"/>
  </w:num>
  <w:num w:numId="5" w16cid:durableId="58411024">
    <w:abstractNumId w:val="17"/>
  </w:num>
  <w:num w:numId="6" w16cid:durableId="1065567371">
    <w:abstractNumId w:val="7"/>
  </w:num>
  <w:num w:numId="7" w16cid:durableId="1619066907">
    <w:abstractNumId w:val="6"/>
  </w:num>
  <w:num w:numId="8" w16cid:durableId="236330625">
    <w:abstractNumId w:val="5"/>
  </w:num>
  <w:num w:numId="9" w16cid:durableId="1916472864">
    <w:abstractNumId w:val="4"/>
  </w:num>
  <w:num w:numId="10" w16cid:durableId="1106342835">
    <w:abstractNumId w:val="8"/>
  </w:num>
  <w:num w:numId="11" w16cid:durableId="1480145773">
    <w:abstractNumId w:val="3"/>
  </w:num>
  <w:num w:numId="12" w16cid:durableId="769008748">
    <w:abstractNumId w:val="2"/>
  </w:num>
  <w:num w:numId="13" w16cid:durableId="1724136641">
    <w:abstractNumId w:val="1"/>
  </w:num>
  <w:num w:numId="14" w16cid:durableId="1516651573">
    <w:abstractNumId w:val="0"/>
  </w:num>
  <w:num w:numId="15" w16cid:durableId="17854814">
    <w:abstractNumId w:val="15"/>
  </w:num>
  <w:num w:numId="16" w16cid:durableId="374426070">
    <w:abstractNumId w:val="13"/>
  </w:num>
  <w:num w:numId="17" w16cid:durableId="723602980">
    <w:abstractNumId w:val="16"/>
  </w:num>
  <w:num w:numId="18" w16cid:durableId="672073780">
    <w:abstractNumId w:val="15"/>
  </w:num>
  <w:num w:numId="19" w16cid:durableId="868882640">
    <w:abstractNumId w:val="16"/>
  </w:num>
  <w:num w:numId="20" w16cid:durableId="783383672">
    <w:abstractNumId w:val="10"/>
  </w:num>
  <w:num w:numId="21" w16cid:durableId="507982524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681617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32D5"/>
    <w:rsid w:val="000644EE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3C7A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C3236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0522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3EA4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6611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38A1"/>
    <w:rsid w:val="004F4290"/>
    <w:rsid w:val="004F61BE"/>
    <w:rsid w:val="004F66B1"/>
    <w:rsid w:val="00511C07"/>
    <w:rsid w:val="005125CB"/>
    <w:rsid w:val="005129A9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4886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74F25"/>
    <w:rsid w:val="005879A2"/>
    <w:rsid w:val="00592772"/>
    <w:rsid w:val="0059574A"/>
    <w:rsid w:val="005A1B9B"/>
    <w:rsid w:val="005A2E79"/>
    <w:rsid w:val="005A617A"/>
    <w:rsid w:val="005A6751"/>
    <w:rsid w:val="005B092E"/>
    <w:rsid w:val="005B152C"/>
    <w:rsid w:val="005B1EE0"/>
    <w:rsid w:val="005B2B24"/>
    <w:rsid w:val="005B4425"/>
    <w:rsid w:val="005B4B94"/>
    <w:rsid w:val="005B5142"/>
    <w:rsid w:val="005C0782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2729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1617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5D3A"/>
    <w:rsid w:val="006B13D4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774FB"/>
    <w:rsid w:val="0078323E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B6D79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356F9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85E27"/>
    <w:rsid w:val="00893576"/>
    <w:rsid w:val="00893E73"/>
    <w:rsid w:val="008B02DC"/>
    <w:rsid w:val="008B092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73E6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F0404"/>
    <w:rsid w:val="00AF4B07"/>
    <w:rsid w:val="00AF6186"/>
    <w:rsid w:val="00AF7A3A"/>
    <w:rsid w:val="00B02587"/>
    <w:rsid w:val="00B049D1"/>
    <w:rsid w:val="00B160DB"/>
    <w:rsid w:val="00B20836"/>
    <w:rsid w:val="00B235BB"/>
    <w:rsid w:val="00B27A44"/>
    <w:rsid w:val="00B30BBF"/>
    <w:rsid w:val="00B32F7B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8007D"/>
    <w:rsid w:val="00B8086C"/>
    <w:rsid w:val="00B81C58"/>
    <w:rsid w:val="00B84C4E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1F93"/>
    <w:rsid w:val="00C22687"/>
    <w:rsid w:val="00C26A92"/>
    <w:rsid w:val="00C26B1C"/>
    <w:rsid w:val="00C32E4D"/>
    <w:rsid w:val="00C333A0"/>
    <w:rsid w:val="00C36A81"/>
    <w:rsid w:val="00C40D82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33B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3F0C"/>
    <w:rsid w:val="00E36C71"/>
    <w:rsid w:val="00E40404"/>
    <w:rsid w:val="00E4126A"/>
    <w:rsid w:val="00E42A06"/>
    <w:rsid w:val="00E44228"/>
    <w:rsid w:val="00E459C6"/>
    <w:rsid w:val="00E47589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C55A5"/>
    <w:rsid w:val="00ED077C"/>
    <w:rsid w:val="00ED10A9"/>
    <w:rsid w:val="00ED1190"/>
    <w:rsid w:val="00ED34AC"/>
    <w:rsid w:val="00ED6544"/>
    <w:rsid w:val="00EE0277"/>
    <w:rsid w:val="00EE2899"/>
    <w:rsid w:val="00EE3E00"/>
    <w:rsid w:val="00EE586C"/>
    <w:rsid w:val="00EE5DD2"/>
    <w:rsid w:val="00EF36C5"/>
    <w:rsid w:val="00EF3DB4"/>
    <w:rsid w:val="00F00A79"/>
    <w:rsid w:val="00F00D13"/>
    <w:rsid w:val="00F00E86"/>
    <w:rsid w:val="00F07C1E"/>
    <w:rsid w:val="00F105DB"/>
    <w:rsid w:val="00F128CF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3666D"/>
    <w:rsid w:val="00F56478"/>
    <w:rsid w:val="00F56A6F"/>
    <w:rsid w:val="00F5709C"/>
    <w:rsid w:val="00F60B85"/>
    <w:rsid w:val="00F64EF1"/>
    <w:rsid w:val="00F72B14"/>
    <w:rsid w:val="00F7349B"/>
    <w:rsid w:val="00F8765F"/>
    <w:rsid w:val="00F90767"/>
    <w:rsid w:val="00F9263C"/>
    <w:rsid w:val="00FA1637"/>
    <w:rsid w:val="00FA23D8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058B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D0033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D0033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D0033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D0033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D0033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D0033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D0033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D0033B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D0033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D0033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D003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D0033B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D0033B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D0033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D0033B"/>
    <w:pPr>
      <w:jc w:val="both"/>
    </w:pPr>
  </w:style>
  <w:style w:type="character" w:styleId="Pogrubienie">
    <w:name w:val="Strong"/>
    <w:uiPriority w:val="98"/>
    <w:semiHidden/>
    <w:qFormat/>
    <w:rsid w:val="00D0033B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D0033B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D0033B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D0033B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D0033B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D0033B"/>
    <w:pPr>
      <w:numPr>
        <w:numId w:val="2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D0033B"/>
    <w:pPr>
      <w:numPr>
        <w:ilvl w:val="1"/>
        <w:numId w:val="21"/>
      </w:numPr>
    </w:pPr>
  </w:style>
  <w:style w:type="paragraph" w:customStyle="1" w:styleId="JuListi">
    <w:name w:val="Ju_List_i"/>
    <w:aliases w:val="_List_3"/>
    <w:basedOn w:val="NormalJustified"/>
    <w:uiPriority w:val="23"/>
    <w:rsid w:val="00D0033B"/>
    <w:pPr>
      <w:numPr>
        <w:ilvl w:val="2"/>
        <w:numId w:val="2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D0033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D0033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D0033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D0033B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D0033B"/>
    <w:pPr>
      <w:numPr>
        <w:numId w:val="15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D0033B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D0033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D0033B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D0033B"/>
    <w:pPr>
      <w:numPr>
        <w:numId w:val="1"/>
      </w:numPr>
    </w:pPr>
  </w:style>
  <w:style w:type="numbering" w:customStyle="1" w:styleId="ECHRA1StyleNumberedList">
    <w:name w:val="ECHR_A1_Style_Numbered_List"/>
    <w:basedOn w:val="Bezlisty"/>
    <w:rsid w:val="00D0033B"/>
    <w:pPr>
      <w:numPr>
        <w:numId w:val="17"/>
      </w:numPr>
    </w:pPr>
  </w:style>
  <w:style w:type="table" w:customStyle="1" w:styleId="ECHRTable2019">
    <w:name w:val="ECHR_Table_2019"/>
    <w:basedOn w:val="Standardowy"/>
    <w:uiPriority w:val="99"/>
    <w:rsid w:val="00D0033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D0033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D0033B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D0033B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D0033B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D003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D0033B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D0033B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D0033B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D0033B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D0033B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D0033B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D0033B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D0033B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D0033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D0033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D0033B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D0033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D0033B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D0033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D0033B"/>
    <w:rPr>
      <w:caps w:val="0"/>
      <w:smallCaps/>
    </w:rPr>
  </w:style>
  <w:style w:type="character" w:styleId="Wyrnieniedelikatne">
    <w:name w:val="Subtle Emphasis"/>
    <w:uiPriority w:val="98"/>
    <w:semiHidden/>
    <w:qFormat/>
    <w:rsid w:val="00D0033B"/>
    <w:rPr>
      <w:i/>
      <w:iCs/>
    </w:rPr>
  </w:style>
  <w:style w:type="table" w:customStyle="1" w:styleId="ECHRTable">
    <w:name w:val="ECHR_Table"/>
    <w:basedOn w:val="Standardowy"/>
    <w:rsid w:val="00D0033B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D0033B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D0033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D0033B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D0033B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D0033B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D003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D0033B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D0033B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D0033B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D0033B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D0033B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D0033B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D0033B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D0033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D0033B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D0033B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D0033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D0033B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D0033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D0033B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D0033B"/>
    <w:rPr>
      <w:smallCaps/>
    </w:rPr>
  </w:style>
  <w:style w:type="table" w:styleId="Tabela-Siatka">
    <w:name w:val="Table Grid"/>
    <w:basedOn w:val="Standardowy"/>
    <w:uiPriority w:val="59"/>
    <w:semiHidden/>
    <w:rsid w:val="00D0033B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D0033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D0033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D0033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D0033B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D0033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D0033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D0033B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D0033B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D0033B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D0033B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D0033B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D0033B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D0033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D0033B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D0033B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D0033B"/>
    <w:pPr>
      <w:numPr>
        <w:numId w:val="2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D0033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D0033B"/>
    <w:pPr>
      <w:numPr>
        <w:numId w:val="3"/>
      </w:numPr>
    </w:pPr>
  </w:style>
  <w:style w:type="table" w:customStyle="1" w:styleId="ECHRTableSimpleBox">
    <w:name w:val="ECHR_Table_Simple_Box"/>
    <w:basedOn w:val="Standardowy"/>
    <w:uiPriority w:val="99"/>
    <w:rsid w:val="00D0033B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D0033B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D0033B"/>
    <w:pPr>
      <w:numPr>
        <w:numId w:val="4"/>
      </w:numPr>
    </w:pPr>
  </w:style>
  <w:style w:type="table" w:customStyle="1" w:styleId="ECHRTableForInternalUse">
    <w:name w:val="ECHR_Table_For_Internal_Use"/>
    <w:basedOn w:val="Standardowy"/>
    <w:uiPriority w:val="99"/>
    <w:rsid w:val="00D0033B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0033B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D0033B"/>
  </w:style>
  <w:style w:type="paragraph" w:styleId="Tekstblokowy">
    <w:name w:val="Block Text"/>
    <w:basedOn w:val="Normalny"/>
    <w:uiPriority w:val="98"/>
    <w:semiHidden/>
    <w:rsid w:val="00D0033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D0033B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D003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D0033B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D0033B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D0033B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D0033B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D0033B"/>
    <w:pPr>
      <w:ind w:firstLine="284"/>
    </w:pPr>
    <w:rPr>
      <w:b/>
    </w:rPr>
  </w:style>
  <w:style w:type="character" w:styleId="Numerstrony">
    <w:name w:val="page number"/>
    <w:uiPriority w:val="98"/>
    <w:semiHidden/>
    <w:rsid w:val="00D0033B"/>
    <w:rPr>
      <w:sz w:val="18"/>
    </w:rPr>
  </w:style>
  <w:style w:type="paragraph" w:styleId="Listapunktowana">
    <w:name w:val="List Bullet"/>
    <w:basedOn w:val="Normalny"/>
    <w:uiPriority w:val="98"/>
    <w:semiHidden/>
    <w:rsid w:val="00D0033B"/>
    <w:pPr>
      <w:numPr>
        <w:numId w:val="5"/>
      </w:numPr>
    </w:pPr>
  </w:style>
  <w:style w:type="paragraph" w:styleId="Listapunktowana3">
    <w:name w:val="List Bullet 3"/>
    <w:basedOn w:val="Normalny"/>
    <w:uiPriority w:val="98"/>
    <w:semiHidden/>
    <w:rsid w:val="00D0033B"/>
    <w:pPr>
      <w:numPr>
        <w:numId w:val="7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D0033B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D0033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D0033B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D0033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D0033B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D0033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D0033B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D0033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D0033B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D0033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D0033B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D003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D0033B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D0033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D0033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D0033B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D003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D003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D0033B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D003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D0033B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D0033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D0033B"/>
  </w:style>
  <w:style w:type="character" w:customStyle="1" w:styleId="DataZnak">
    <w:name w:val="Data Znak"/>
    <w:basedOn w:val="Domylnaczcionkaakapitu"/>
    <w:link w:val="Data"/>
    <w:uiPriority w:val="98"/>
    <w:semiHidden/>
    <w:rsid w:val="00D0033B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D0033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D0033B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D0033B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D0033B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D0033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D0033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D0033B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D0033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D0033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D0033B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D0033B"/>
  </w:style>
  <w:style w:type="paragraph" w:styleId="HTML-adres">
    <w:name w:val="HTML Address"/>
    <w:basedOn w:val="Normalny"/>
    <w:link w:val="HTML-adresZnak"/>
    <w:uiPriority w:val="98"/>
    <w:semiHidden/>
    <w:rsid w:val="00D0033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D0033B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D0033B"/>
    <w:rPr>
      <w:i/>
      <w:iCs/>
    </w:rPr>
  </w:style>
  <w:style w:type="character" w:styleId="HTML-kod">
    <w:name w:val="HTML Code"/>
    <w:basedOn w:val="Domylnaczcionkaakapitu"/>
    <w:uiPriority w:val="98"/>
    <w:semiHidden/>
    <w:rsid w:val="00D0033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D0033B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D0033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D0033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D0033B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D0033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D0033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D0033B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D0033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D0033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D0033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D0033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D0033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D0033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D0033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D0033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D0033B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D0033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D0033B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D0033B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D0033B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D0033B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D0033B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D0033B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D0033B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D0033B"/>
  </w:style>
  <w:style w:type="paragraph" w:styleId="Lista">
    <w:name w:val="List"/>
    <w:basedOn w:val="Normalny"/>
    <w:uiPriority w:val="98"/>
    <w:semiHidden/>
    <w:rsid w:val="00D0033B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D0033B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D0033B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D0033B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D0033B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D0033B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D0033B"/>
    <w:pPr>
      <w:numPr>
        <w:numId w:val="8"/>
      </w:numPr>
      <w:contextualSpacing/>
    </w:pPr>
  </w:style>
  <w:style w:type="paragraph" w:styleId="Listapunktowana5">
    <w:name w:val="List Bullet 5"/>
    <w:basedOn w:val="Normalny"/>
    <w:uiPriority w:val="98"/>
    <w:semiHidden/>
    <w:rsid w:val="00D0033B"/>
    <w:pPr>
      <w:numPr>
        <w:numId w:val="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D0033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D0033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D0033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D0033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D0033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D0033B"/>
    <w:pPr>
      <w:numPr>
        <w:numId w:val="10"/>
      </w:numPr>
      <w:contextualSpacing/>
    </w:pPr>
  </w:style>
  <w:style w:type="paragraph" w:styleId="Listanumerowana2">
    <w:name w:val="List Number 2"/>
    <w:basedOn w:val="Normalny"/>
    <w:uiPriority w:val="98"/>
    <w:semiHidden/>
    <w:rsid w:val="00D0033B"/>
    <w:pPr>
      <w:numPr>
        <w:numId w:val="11"/>
      </w:numPr>
      <w:contextualSpacing/>
    </w:pPr>
  </w:style>
  <w:style w:type="paragraph" w:styleId="Listanumerowana3">
    <w:name w:val="List Number 3"/>
    <w:basedOn w:val="Normalny"/>
    <w:uiPriority w:val="98"/>
    <w:semiHidden/>
    <w:rsid w:val="00D0033B"/>
    <w:pPr>
      <w:numPr>
        <w:numId w:val="12"/>
      </w:numPr>
      <w:contextualSpacing/>
    </w:pPr>
  </w:style>
  <w:style w:type="paragraph" w:styleId="Listanumerowana4">
    <w:name w:val="List Number 4"/>
    <w:basedOn w:val="Normalny"/>
    <w:uiPriority w:val="98"/>
    <w:semiHidden/>
    <w:rsid w:val="00D0033B"/>
    <w:pPr>
      <w:numPr>
        <w:numId w:val="13"/>
      </w:numPr>
      <w:contextualSpacing/>
    </w:pPr>
  </w:style>
  <w:style w:type="paragraph" w:styleId="Listanumerowana5">
    <w:name w:val="List Number 5"/>
    <w:basedOn w:val="Normalny"/>
    <w:uiPriority w:val="98"/>
    <w:semiHidden/>
    <w:rsid w:val="00D0033B"/>
    <w:pPr>
      <w:numPr>
        <w:numId w:val="14"/>
      </w:numPr>
      <w:contextualSpacing/>
    </w:pPr>
  </w:style>
  <w:style w:type="paragraph" w:styleId="Tekstmakra">
    <w:name w:val="macro"/>
    <w:link w:val="TekstmakraZnak"/>
    <w:uiPriority w:val="98"/>
    <w:semiHidden/>
    <w:rsid w:val="00D003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D0033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D0033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D0033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D0033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D0033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D0033B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D0033B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D0033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D0033B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D0033B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D0033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D0033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D0033B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D0033B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D0033B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D0033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D0033B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0033B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0033B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0033B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0033B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0033B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0033B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D0033B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D0033B"/>
  </w:style>
  <w:style w:type="table" w:styleId="Tabela-Profesjonalny">
    <w:name w:val="Table Professional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0033B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D0033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D0033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D0033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D0033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D0033B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D0033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D0033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D0033B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D0033B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D0033B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D0033B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D0033B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D0033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D0033B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D0033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D0033B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D0033B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D0033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D0033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D0033B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D0033B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D0033B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D0033B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D0033B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D0033B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D0033B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D0033B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D0033B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D0033B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D0033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D0033B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D0033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D0033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D0033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D0033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D0033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D0033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D0033B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D0033B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D0033B"/>
    <w:rPr>
      <w:sz w:val="4"/>
    </w:rPr>
  </w:style>
  <w:style w:type="table" w:customStyle="1" w:styleId="ECHRTableGrey">
    <w:name w:val="ECHR_Table_Grey"/>
    <w:basedOn w:val="Standardowy"/>
    <w:uiPriority w:val="99"/>
    <w:rsid w:val="00D0033B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0033B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681617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D0033B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D0033B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D0033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D0033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D0033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D0033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D0033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D0033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D0033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D0033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D0033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D0033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D0033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D0033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D0033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D0033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D0033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D0033B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D0033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D0033B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D0033B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D0033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D0033B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D0033B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D0033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D0033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D0033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D0033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D0033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D0033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D0033B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D0033B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D0033B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D0033B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D0033B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D0033B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D0033B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D0033B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D0033B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D0033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D0033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D0033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D0033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D0033B"/>
    <w:rPr>
      <w:u w:val="dotted"/>
    </w:rPr>
  </w:style>
  <w:style w:type="character" w:customStyle="1" w:styleId="SmartLink1">
    <w:name w:val="SmartLink1"/>
    <w:basedOn w:val="Domylnaczcionkaakapitu"/>
    <w:uiPriority w:val="99"/>
    <w:semiHidden/>
    <w:unhideWhenUsed/>
    <w:rsid w:val="00D0033B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D0033B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F366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2123D-0B25-46AF-8EA5-7F5EF51E1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F5F197-BF2E-4073-9CE0-81975A622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527F9-1864-4557-9FB9-C6132AF8DD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BB7192-1797-46D4-9076-A0FF6047B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1798</Words>
  <Characters>10790</Characters>
  <Application>Microsoft Office Word</Application>
  <DocSecurity>0</DocSecurity>
  <Lines>89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Manager/>
  <Company/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2023-05-23T13:43:00Z</dcterms:created>
  <dcterms:modified xsi:type="dcterms:W3CDTF">2023-05-26T05:13:00Z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11148/18</vt:lpwstr>
  </property>
  <property fmtid="{D5CDD505-2E9C-101B-9397-08002B2CF9AE}" pid="4" name="CASEID">
    <vt:lpwstr>1369179</vt:lpwstr>
  </property>
  <property fmtid="{D5CDD505-2E9C-101B-9397-08002B2CF9AE}" pid="5" name="ContentTypeId">
    <vt:lpwstr>0x010100558EB02BDB9E204AB350EDD385B68E10</vt:lpwstr>
  </property>
</Properties>
</file>