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2A652A" w14:textId="77777777" w:rsidR="00F82259" w:rsidRPr="00F82259" w:rsidRDefault="00F82259" w:rsidP="00F82259">
      <w:pPr>
        <w:jc w:val="center"/>
      </w:pPr>
    </w:p>
    <w:p w14:paraId="1A77E5FC" w14:textId="77777777" w:rsidR="00F82259" w:rsidRPr="00F82259" w:rsidRDefault="00F82259" w:rsidP="00F82259">
      <w:pPr>
        <w:jc w:val="center"/>
      </w:pPr>
    </w:p>
    <w:p w14:paraId="04BEB357" w14:textId="04F234ED" w:rsidR="00F82259" w:rsidRPr="00F82259" w:rsidRDefault="00F82259" w:rsidP="00F82259">
      <w:pPr>
        <w:pStyle w:val="DecHCase"/>
      </w:pPr>
      <w:r>
        <w:t>SEKCJA</w:t>
      </w:r>
      <w:r w:rsidR="006F6C72">
        <w:t xml:space="preserve"> CZWARTA</w:t>
      </w:r>
    </w:p>
    <w:p w14:paraId="22F2CC53" w14:textId="77777777" w:rsidR="00F82259" w:rsidRPr="00F82259" w:rsidRDefault="00F82259" w:rsidP="00F82259">
      <w:pPr>
        <w:pStyle w:val="JuTitle"/>
        <w:spacing w:before="1200"/>
      </w:pPr>
      <w:bookmarkStart w:id="0" w:name="To"/>
      <w:r>
        <w:rPr>
          <w:color w:val="000000" w:themeColor="text1"/>
        </w:rPr>
        <w:t xml:space="preserve">SPRAWA </w:t>
      </w:r>
      <w:bookmarkEnd w:id="0"/>
      <w:r>
        <w:t>KINDLHOFER przeciwko AUSTRII</w:t>
      </w:r>
    </w:p>
    <w:p w14:paraId="57955D13" w14:textId="77777777" w:rsidR="00F82259" w:rsidRPr="00F82259" w:rsidRDefault="00F82259" w:rsidP="00F82259">
      <w:pPr>
        <w:pStyle w:val="ECHRCoverTitle4"/>
      </w:pPr>
      <w:r>
        <w:t>(Skarga nr 20962/15)</w:t>
      </w:r>
    </w:p>
    <w:p w14:paraId="18208256" w14:textId="77777777" w:rsidR="00F82259" w:rsidRPr="00F82259" w:rsidRDefault="00F82259" w:rsidP="00F82259">
      <w:pPr>
        <w:pStyle w:val="DecHCase"/>
      </w:pPr>
    </w:p>
    <w:p w14:paraId="3234EE51" w14:textId="77777777" w:rsidR="00F82259" w:rsidRPr="00F82259" w:rsidRDefault="00F82259" w:rsidP="00F82259">
      <w:pPr>
        <w:pStyle w:val="DecHCase"/>
      </w:pPr>
    </w:p>
    <w:p w14:paraId="33A7616F" w14:textId="77777777" w:rsidR="00F82259" w:rsidRPr="00F82259" w:rsidRDefault="00F82259" w:rsidP="00F82259">
      <w:pPr>
        <w:pStyle w:val="DecHCase"/>
      </w:pPr>
      <w:r>
        <w:t>WYROK</w:t>
      </w:r>
      <w:r>
        <w:br/>
      </w:r>
    </w:p>
    <w:p w14:paraId="3751A828" w14:textId="5340E362" w:rsidR="00F82259" w:rsidRPr="00F82259" w:rsidRDefault="00F82259" w:rsidP="00F82259">
      <w:pPr>
        <w:pStyle w:val="DecHCase"/>
        <w:pBdr>
          <w:top w:val="single" w:sz="4" w:space="1" w:color="auto"/>
          <w:left w:val="single" w:sz="4" w:space="4" w:color="auto"/>
          <w:bottom w:val="single" w:sz="4" w:space="1" w:color="auto"/>
          <w:right w:val="single" w:sz="4" w:space="4" w:color="auto"/>
        </w:pBdr>
        <w:jc w:val="both"/>
      </w:pPr>
      <w:r>
        <w:t xml:space="preserve">Artykuł 2 Protokołu nr 7 • Wyjątek od prawa do rozpatrzenia sprawy przez sąd wyższej instancji • Czyn zagrożony karą grzywny lub pozbawienia wolności w przypadku braku zapłaty, uznawany za </w:t>
      </w:r>
      <w:r w:rsidR="00AE15EB">
        <w:t>„</w:t>
      </w:r>
      <w:r>
        <w:t>drobny</w:t>
      </w:r>
      <w:r w:rsidR="00AE15EB">
        <w:t>”</w:t>
      </w:r>
      <w:r>
        <w:t xml:space="preserve"> w obliczu gwarancji procesowych dotyczących wykonania sankcji pozbawienia wolności • Czyn niebędący poważnym przestępstwem, zważywszy na</w:t>
      </w:r>
      <w:r w:rsidR="00FD6D24">
        <w:t> </w:t>
      </w:r>
      <w:r>
        <w:t>maksymalny wymiar kary czy wysokość faktycznie nałożonej grzywny</w:t>
      </w:r>
    </w:p>
    <w:p w14:paraId="52ACCF49" w14:textId="77777777" w:rsidR="00F82259" w:rsidRPr="00F82259" w:rsidRDefault="00F82259" w:rsidP="00F82259">
      <w:pPr>
        <w:pStyle w:val="DecHCase"/>
      </w:pPr>
    </w:p>
    <w:p w14:paraId="4A990BAB" w14:textId="77777777" w:rsidR="00F82259" w:rsidRPr="00F82259" w:rsidRDefault="00F82259" w:rsidP="00F82259">
      <w:pPr>
        <w:pStyle w:val="DecHCase"/>
      </w:pPr>
      <w:r>
        <w:t>STRASBURG</w:t>
      </w:r>
    </w:p>
    <w:p w14:paraId="6C618B64" w14:textId="77777777" w:rsidR="00F82259" w:rsidRPr="00F82259" w:rsidRDefault="00F82259" w:rsidP="00F82259">
      <w:pPr>
        <w:pStyle w:val="DecHCase"/>
      </w:pPr>
      <w:r>
        <w:rPr>
          <w:rFonts w:ascii="Times New Roman" w:hAnsi="Times New Roman"/>
        </w:rPr>
        <w:t>26 października 2021 r.</w:t>
      </w:r>
    </w:p>
    <w:p w14:paraId="752D6739" w14:textId="77777777" w:rsidR="00F82259" w:rsidRPr="00F82259" w:rsidRDefault="00F82259" w:rsidP="00F82259">
      <w:pPr>
        <w:rPr>
          <w:i/>
          <w:sz w:val="22"/>
        </w:rPr>
      </w:pPr>
    </w:p>
    <w:p w14:paraId="69DDE520" w14:textId="77777777" w:rsidR="00F82259" w:rsidRPr="00F82259" w:rsidRDefault="00F82259" w:rsidP="00F82259">
      <w:pPr>
        <w:pStyle w:val="jucase0"/>
        <w:ind w:firstLine="0"/>
        <w:jc w:val="center"/>
        <w:rPr>
          <w:color w:val="FF0000"/>
          <w:sz w:val="28"/>
          <w:szCs w:val="28"/>
          <w:u w:val="single"/>
        </w:rPr>
      </w:pPr>
      <w:r>
        <w:rPr>
          <w:color w:val="FF0000"/>
          <w:sz w:val="28"/>
          <w:szCs w:val="28"/>
          <w:u w:val="single"/>
        </w:rPr>
        <w:t>WYROK OSTATECZNY</w:t>
      </w:r>
    </w:p>
    <w:p w14:paraId="00ABDA5D" w14:textId="77777777" w:rsidR="00F82259" w:rsidRPr="00F82259" w:rsidRDefault="00F82259" w:rsidP="00F82259">
      <w:pPr>
        <w:pStyle w:val="jucase0"/>
        <w:ind w:firstLine="0"/>
        <w:jc w:val="center"/>
        <w:rPr>
          <w:b w:val="0"/>
          <w:bCs w:val="0"/>
          <w:color w:val="FF0000"/>
          <w:u w:val="single"/>
        </w:rPr>
      </w:pPr>
    </w:p>
    <w:p w14:paraId="5BE4DE2D" w14:textId="5A479917" w:rsidR="00F82259" w:rsidRPr="00F82259" w:rsidRDefault="00F82259" w:rsidP="00F82259">
      <w:pPr>
        <w:pStyle w:val="jucase0"/>
        <w:ind w:firstLine="0"/>
        <w:jc w:val="center"/>
        <w:rPr>
          <w:b w:val="0"/>
          <w:color w:val="FF0000"/>
          <w:sz w:val="28"/>
          <w:szCs w:val="28"/>
        </w:rPr>
      </w:pPr>
      <w:r>
        <w:rPr>
          <w:b w:val="0"/>
          <w:color w:val="FF0000"/>
          <w:sz w:val="28"/>
          <w:szCs w:val="28"/>
        </w:rPr>
        <w:t>26</w:t>
      </w:r>
      <w:r w:rsidR="006F6C72">
        <w:rPr>
          <w:b w:val="0"/>
          <w:color w:val="FF0000"/>
          <w:sz w:val="28"/>
          <w:szCs w:val="28"/>
        </w:rPr>
        <w:t>/</w:t>
      </w:r>
      <w:r>
        <w:rPr>
          <w:b w:val="0"/>
          <w:color w:val="FF0000"/>
          <w:sz w:val="28"/>
          <w:szCs w:val="28"/>
        </w:rPr>
        <w:t>01</w:t>
      </w:r>
      <w:r w:rsidR="006F6C72">
        <w:rPr>
          <w:b w:val="0"/>
          <w:color w:val="FF0000"/>
          <w:sz w:val="28"/>
          <w:szCs w:val="28"/>
        </w:rPr>
        <w:t>/</w:t>
      </w:r>
      <w:r>
        <w:rPr>
          <w:b w:val="0"/>
          <w:color w:val="FF0000"/>
          <w:sz w:val="28"/>
          <w:szCs w:val="28"/>
        </w:rPr>
        <w:t>2022</w:t>
      </w:r>
    </w:p>
    <w:p w14:paraId="762C4D9F" w14:textId="77777777" w:rsidR="00F82259" w:rsidRPr="00F82259" w:rsidRDefault="00F82259" w:rsidP="00F82259">
      <w:pPr>
        <w:pStyle w:val="jupara0"/>
        <w:spacing w:after="120"/>
        <w:ind w:firstLine="0"/>
        <w:jc w:val="center"/>
      </w:pPr>
    </w:p>
    <w:p w14:paraId="1CAAB9EF" w14:textId="09F9560B" w:rsidR="00F82259" w:rsidRPr="00F82259" w:rsidRDefault="00F82259" w:rsidP="00F82259">
      <w:pPr>
        <w:jc w:val="center"/>
        <w:rPr>
          <w:i/>
          <w:sz w:val="22"/>
        </w:rPr>
      </w:pPr>
      <w:r>
        <w:rPr>
          <w:i/>
          <w:iCs/>
          <w:sz w:val="22"/>
          <w:szCs w:val="22"/>
        </w:rPr>
        <w:t xml:space="preserve">Wyrok stał się ostateczny </w:t>
      </w:r>
      <w:r w:rsidR="00FD6D24">
        <w:rPr>
          <w:i/>
          <w:iCs/>
          <w:sz w:val="22"/>
          <w:szCs w:val="22"/>
        </w:rPr>
        <w:t xml:space="preserve">na podstawie </w:t>
      </w:r>
      <w:r>
        <w:rPr>
          <w:i/>
          <w:iCs/>
          <w:sz w:val="22"/>
          <w:szCs w:val="22"/>
        </w:rPr>
        <w:t xml:space="preserve">art. 44 ust. 2 Konwencji. </w:t>
      </w:r>
      <w:r>
        <w:rPr>
          <w:i/>
          <w:iCs/>
          <w:sz w:val="22"/>
          <w:szCs w:val="22"/>
        </w:rPr>
        <w:br/>
        <w:t>Może podlegać korekcie wydawniczej.</w:t>
      </w:r>
    </w:p>
    <w:p w14:paraId="5CABD253" w14:textId="77777777" w:rsidR="00F82259" w:rsidRPr="00F82259" w:rsidRDefault="00F82259" w:rsidP="00F82259">
      <w:pPr>
        <w:sectPr w:rsidR="00F82259" w:rsidRPr="00F82259"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6B0A573" w14:textId="77777777" w:rsidR="00F82259" w:rsidRPr="00F82259" w:rsidRDefault="00F82259" w:rsidP="00F82259">
      <w:pPr>
        <w:pStyle w:val="JuCase"/>
      </w:pPr>
      <w:r>
        <w:lastRenderedPageBreak/>
        <w:t xml:space="preserve">W sprawie </w:t>
      </w:r>
      <w:proofErr w:type="spellStart"/>
      <w:r>
        <w:t>Kindlhofer</w:t>
      </w:r>
      <w:proofErr w:type="spellEnd"/>
      <w:r>
        <w:t xml:space="preserve"> przeciwko Austrii</w:t>
      </w:r>
    </w:p>
    <w:p w14:paraId="01C80AD1" w14:textId="77777777" w:rsidR="00F82259" w:rsidRPr="00F82259" w:rsidRDefault="00F82259" w:rsidP="00F82259">
      <w:pPr>
        <w:pStyle w:val="JuPara"/>
      </w:pPr>
      <w:r>
        <w:t>Europejski Trybunał Praw Człowieka (czwarta sekcja), zasiadając jako Izba w składzie:</w:t>
      </w:r>
    </w:p>
    <w:p w14:paraId="7253A5D3" w14:textId="77777777" w:rsidR="00F82259" w:rsidRPr="00F82259" w:rsidRDefault="00F82259" w:rsidP="00F82259">
      <w:pPr>
        <w:pStyle w:val="JuJudges"/>
      </w:pPr>
      <w:r>
        <w:tab/>
      </w:r>
      <w:proofErr w:type="spellStart"/>
      <w:r>
        <w:t>Yonko</w:t>
      </w:r>
      <w:proofErr w:type="spellEnd"/>
      <w:r>
        <w:t xml:space="preserve"> </w:t>
      </w:r>
      <w:proofErr w:type="spellStart"/>
      <w:r>
        <w:t>Grozev</w:t>
      </w:r>
      <w:proofErr w:type="spellEnd"/>
      <w:r>
        <w:t>,</w:t>
      </w:r>
      <w:r>
        <w:rPr>
          <w:i/>
        </w:rPr>
        <w:t xml:space="preserve"> Przewodniczący</w:t>
      </w:r>
      <w:r>
        <w:t>,</w:t>
      </w:r>
      <w:r>
        <w:rPr>
          <w:i/>
        </w:rPr>
        <w:br/>
      </w:r>
      <w:r>
        <w:tab/>
      </w:r>
      <w:proofErr w:type="spellStart"/>
      <w:r>
        <w:t>Faris</w:t>
      </w:r>
      <w:proofErr w:type="spellEnd"/>
      <w:r>
        <w:t xml:space="preserve"> </w:t>
      </w:r>
      <w:proofErr w:type="spellStart"/>
      <w:r>
        <w:t>Vehabović</w:t>
      </w:r>
      <w:proofErr w:type="spellEnd"/>
      <w:r>
        <w:t>,</w:t>
      </w:r>
      <w:r>
        <w:rPr>
          <w:i/>
        </w:rPr>
        <w:br/>
      </w:r>
      <w:r>
        <w:tab/>
      </w:r>
      <w:proofErr w:type="spellStart"/>
      <w:r>
        <w:t>Iulia</w:t>
      </w:r>
      <w:proofErr w:type="spellEnd"/>
      <w:r>
        <w:t xml:space="preserve"> </w:t>
      </w:r>
      <w:proofErr w:type="spellStart"/>
      <w:r>
        <w:t>Antoanella</w:t>
      </w:r>
      <w:proofErr w:type="spellEnd"/>
      <w:r>
        <w:t xml:space="preserve"> </w:t>
      </w:r>
      <w:proofErr w:type="spellStart"/>
      <w:r>
        <w:t>Motoc</w:t>
      </w:r>
      <w:proofErr w:type="spellEnd"/>
      <w:r>
        <w:t>,</w:t>
      </w:r>
      <w:r>
        <w:rPr>
          <w:i/>
        </w:rPr>
        <w:br/>
      </w:r>
      <w:r>
        <w:tab/>
        <w:t xml:space="preserve">Gabriele </w:t>
      </w:r>
      <w:proofErr w:type="spellStart"/>
      <w:r>
        <w:t>Kucsko-Stadlmayer</w:t>
      </w:r>
      <w:proofErr w:type="spellEnd"/>
      <w:r>
        <w:t>,</w:t>
      </w:r>
      <w:r>
        <w:rPr>
          <w:i/>
        </w:rPr>
        <w:br/>
      </w:r>
      <w:r>
        <w:tab/>
      </w:r>
      <w:proofErr w:type="spellStart"/>
      <w:r>
        <w:t>Pere</w:t>
      </w:r>
      <w:proofErr w:type="spellEnd"/>
      <w:r>
        <w:t xml:space="preserve"> Pastor </w:t>
      </w:r>
      <w:proofErr w:type="spellStart"/>
      <w:r>
        <w:t>Vilanova</w:t>
      </w:r>
      <w:proofErr w:type="spellEnd"/>
      <w:r>
        <w:t>,</w:t>
      </w:r>
      <w:r>
        <w:rPr>
          <w:i/>
        </w:rPr>
        <w:br/>
      </w:r>
      <w:r>
        <w:tab/>
      </w:r>
      <w:proofErr w:type="spellStart"/>
      <w:r>
        <w:t>Jolien</w:t>
      </w:r>
      <w:proofErr w:type="spellEnd"/>
      <w:r>
        <w:t xml:space="preserve"> </w:t>
      </w:r>
      <w:proofErr w:type="spellStart"/>
      <w:r>
        <w:t>Schukking</w:t>
      </w:r>
      <w:proofErr w:type="spellEnd"/>
      <w:r>
        <w:t>,</w:t>
      </w:r>
      <w:r>
        <w:rPr>
          <w:i/>
        </w:rPr>
        <w:br/>
      </w:r>
      <w:r>
        <w:tab/>
      </w:r>
      <w:proofErr w:type="spellStart"/>
      <w:r>
        <w:t>Ana</w:t>
      </w:r>
      <w:proofErr w:type="spellEnd"/>
      <w:r>
        <w:t xml:space="preserve"> Maria </w:t>
      </w:r>
      <w:proofErr w:type="spellStart"/>
      <w:r>
        <w:t>Guerra</w:t>
      </w:r>
      <w:proofErr w:type="spellEnd"/>
      <w:r>
        <w:t xml:space="preserve"> </w:t>
      </w:r>
      <w:proofErr w:type="spellStart"/>
      <w:r>
        <w:t>Martins</w:t>
      </w:r>
      <w:proofErr w:type="spellEnd"/>
      <w:r>
        <w:t>,</w:t>
      </w:r>
      <w:r>
        <w:rPr>
          <w:i/>
        </w:rPr>
        <w:t xml:space="preserve"> sędziowie</w:t>
      </w:r>
      <w:r>
        <w:t>,</w:t>
      </w:r>
      <w:r>
        <w:br/>
        <w:t xml:space="preserve">i Andrea </w:t>
      </w:r>
      <w:proofErr w:type="spellStart"/>
      <w:r>
        <w:t>Tamietti</w:t>
      </w:r>
      <w:proofErr w:type="spellEnd"/>
      <w:r>
        <w:t xml:space="preserve">, </w:t>
      </w:r>
      <w:r>
        <w:rPr>
          <w:i/>
        </w:rPr>
        <w:t>kanclerz sekcji</w:t>
      </w:r>
      <w:r>
        <w:t>,</w:t>
      </w:r>
    </w:p>
    <w:p w14:paraId="0E0D8ED0" w14:textId="77777777" w:rsidR="00F82259" w:rsidRPr="00F82259" w:rsidRDefault="00F82259" w:rsidP="00F82259">
      <w:pPr>
        <w:pStyle w:val="JuPara"/>
      </w:pPr>
      <w:r>
        <w:t>mając na uwadze:</w:t>
      </w:r>
    </w:p>
    <w:p w14:paraId="392C6F0B" w14:textId="19586E1C" w:rsidR="00F82259" w:rsidRPr="00F82259" w:rsidRDefault="00F82259" w:rsidP="00F82259">
      <w:pPr>
        <w:pStyle w:val="JuPara"/>
      </w:pPr>
      <w:r>
        <w:t>skargę (nr</w:t>
      </w:r>
      <w:r w:rsidR="00FD6D24">
        <w:t xml:space="preserve"> </w:t>
      </w:r>
      <w:r>
        <w:t>20962/15) przeciwko Republice Austrii wniesioną do</w:t>
      </w:r>
      <w:r w:rsidR="00FD6D24">
        <w:t> </w:t>
      </w:r>
      <w:r>
        <w:t>Trybunału w dniu 20 kwietnia 2015 r. na podstawie art. 34 Konwencji o</w:t>
      </w:r>
      <w:r w:rsidR="00FD6D24">
        <w:t> </w:t>
      </w:r>
      <w:r>
        <w:t>ochronie praw człowieka i podstawowych wolności („Konwencj</w:t>
      </w:r>
      <w:r w:rsidR="00AE15EB">
        <w:t>a</w:t>
      </w:r>
      <w:r>
        <w:t xml:space="preserve">”) przez obywatela austriackiego p. Manfreda </w:t>
      </w:r>
      <w:proofErr w:type="spellStart"/>
      <w:r>
        <w:t>Kindlhofera</w:t>
      </w:r>
      <w:proofErr w:type="spellEnd"/>
      <w:r>
        <w:t xml:space="preserve"> („skarżąc</w:t>
      </w:r>
      <w:r w:rsidR="00AE15EB">
        <w:t>y</w:t>
      </w:r>
      <w:r>
        <w:t>”);</w:t>
      </w:r>
    </w:p>
    <w:p w14:paraId="78ACDCA6" w14:textId="7084EFE0" w:rsidR="00F82259" w:rsidRPr="00F82259" w:rsidRDefault="00F82259" w:rsidP="00F82259">
      <w:pPr>
        <w:pStyle w:val="JuPara"/>
      </w:pPr>
      <w:r>
        <w:t>decyzję o zakomunikowaniu sprawy rządowi austriackiemu („Rząd”);</w:t>
      </w:r>
    </w:p>
    <w:p w14:paraId="1A99BC7A" w14:textId="2C07ADC1" w:rsidR="00F82259" w:rsidRPr="00F82259" w:rsidRDefault="00F82259" w:rsidP="00F82259">
      <w:pPr>
        <w:pStyle w:val="JuPara"/>
      </w:pPr>
      <w:r>
        <w:t>uwagi przedstawione przez strony;</w:t>
      </w:r>
    </w:p>
    <w:p w14:paraId="16E044A7" w14:textId="77777777" w:rsidR="00F82259" w:rsidRPr="00F82259" w:rsidRDefault="00F82259" w:rsidP="00F82259">
      <w:pPr>
        <w:pStyle w:val="JuPara"/>
      </w:pPr>
      <w:r>
        <w:t>obradując na posiedzeniu niejawnym w dniu 21 września 2021 r.,</w:t>
      </w:r>
    </w:p>
    <w:p w14:paraId="34B67437" w14:textId="77777777" w:rsidR="00F82259" w:rsidRPr="00F82259" w:rsidRDefault="00F82259" w:rsidP="00F82259">
      <w:pPr>
        <w:pStyle w:val="JuPara"/>
      </w:pPr>
      <w:r>
        <w:t>wydaje następujący wyrok, który został przyjęty w tym dniu:</w:t>
      </w:r>
    </w:p>
    <w:p w14:paraId="569528A3" w14:textId="77777777" w:rsidR="00F82259" w:rsidRPr="00F82259" w:rsidRDefault="00F82259" w:rsidP="00F82259">
      <w:pPr>
        <w:pStyle w:val="JuHHead"/>
        <w:numPr>
          <w:ilvl w:val="0"/>
          <w:numId w:val="0"/>
        </w:numPr>
      </w:pPr>
      <w:r>
        <w:t>WPROWADZENIE</w:t>
      </w:r>
    </w:p>
    <w:p w14:paraId="3344DA12" w14:textId="36F35E0F" w:rsidR="00F82259" w:rsidRPr="00F82259" w:rsidRDefault="00167ED2" w:rsidP="00F82259">
      <w:pPr>
        <w:pStyle w:val="JuPara"/>
      </w:pPr>
      <w:r>
        <w:fldChar w:fldCharType="begin"/>
      </w:r>
      <w:r>
        <w:instrText xml:space="preserve"> SEQ level0 \*arabic </w:instrText>
      </w:r>
      <w:r>
        <w:fldChar w:fldCharType="separate"/>
      </w:r>
      <w:r w:rsidR="00FD6D24">
        <w:rPr>
          <w:noProof/>
        </w:rPr>
        <w:t>1</w:t>
      </w:r>
      <w:r>
        <w:rPr>
          <w:noProof/>
        </w:rPr>
        <w:fldChar w:fldCharType="end"/>
      </w:r>
      <w:r w:rsidR="00F82259">
        <w:t xml:space="preserve">.  Niniejsza sprawa głównie dotyczy zarzutu, jaki skarżący sformułował na podstawie art. 2 Protokołu nr 7 do Konwencji, </w:t>
      </w:r>
      <w:r w:rsidR="00AE15EB">
        <w:t>dotyczącego pozbawienia go</w:t>
      </w:r>
      <w:r w:rsidR="00F82259">
        <w:t xml:space="preserve"> środka </w:t>
      </w:r>
      <w:r w:rsidR="00AE15EB">
        <w:t xml:space="preserve">odwoławczego </w:t>
      </w:r>
      <w:r w:rsidR="00F82259">
        <w:t>przeciwko decyzji okręgowego sądu administracyjnego w sprawie karnoadministracyjnej.</w:t>
      </w:r>
    </w:p>
    <w:p w14:paraId="736EAABE" w14:textId="77777777" w:rsidR="00F82259" w:rsidRPr="00F82259" w:rsidRDefault="00F82259" w:rsidP="00F82259">
      <w:pPr>
        <w:pStyle w:val="JuHHead"/>
      </w:pPr>
      <w:r>
        <w:t>FAKTY</w:t>
      </w:r>
    </w:p>
    <w:p w14:paraId="779942CA" w14:textId="468E90DA" w:rsidR="00F82259" w:rsidRPr="00F82259" w:rsidRDefault="00167ED2" w:rsidP="00F82259">
      <w:pPr>
        <w:pStyle w:val="JuPara"/>
      </w:pPr>
      <w:r>
        <w:fldChar w:fldCharType="begin"/>
      </w:r>
      <w:r>
        <w:instrText xml:space="preserve"> SEQ level0 \*arabic </w:instrText>
      </w:r>
      <w:r>
        <w:fldChar w:fldCharType="separate"/>
      </w:r>
      <w:r w:rsidR="00FD6D24">
        <w:rPr>
          <w:noProof/>
        </w:rPr>
        <w:t>2</w:t>
      </w:r>
      <w:r>
        <w:rPr>
          <w:noProof/>
        </w:rPr>
        <w:fldChar w:fldCharType="end"/>
      </w:r>
      <w:r w:rsidR="00F82259">
        <w:t xml:space="preserve">.  Skarżący urodził się w 1963 r. i mieszka w Grazu. Był reprezentowany przez R. </w:t>
      </w:r>
      <w:proofErr w:type="spellStart"/>
      <w:r w:rsidR="00F82259">
        <w:t>Frühwirtha</w:t>
      </w:r>
      <w:proofErr w:type="spellEnd"/>
      <w:r w:rsidR="00F82259">
        <w:t xml:space="preserve">, </w:t>
      </w:r>
      <w:r w:rsidR="00AE15EB">
        <w:t xml:space="preserve">adwokata </w:t>
      </w:r>
      <w:r w:rsidR="00F82259">
        <w:t>praktykującego w </w:t>
      </w:r>
      <w:r w:rsidR="00AE15EB">
        <w:t>Grazu</w:t>
      </w:r>
      <w:r w:rsidR="00F82259">
        <w:t>.</w:t>
      </w:r>
    </w:p>
    <w:p w14:paraId="4DA444AE" w14:textId="6657C66C" w:rsidR="00F82259" w:rsidRPr="00F82259" w:rsidRDefault="00167ED2" w:rsidP="00F82259">
      <w:pPr>
        <w:pStyle w:val="JuPara"/>
      </w:pPr>
      <w:r>
        <w:fldChar w:fldCharType="begin"/>
      </w:r>
      <w:r>
        <w:instrText xml:space="preserve"> SEQ level0 \*arabic </w:instrText>
      </w:r>
      <w:r>
        <w:fldChar w:fldCharType="separate"/>
      </w:r>
      <w:r w:rsidR="00FD6D24">
        <w:rPr>
          <w:noProof/>
        </w:rPr>
        <w:t>3</w:t>
      </w:r>
      <w:r>
        <w:rPr>
          <w:noProof/>
        </w:rPr>
        <w:fldChar w:fldCharType="end"/>
      </w:r>
      <w:r w:rsidR="00F82259">
        <w:t>.  Rząd był reprezentowany przez pełnomocnika, ambasadora H.</w:t>
      </w:r>
      <w:r w:rsidR="00FD6D24">
        <w:t> </w:t>
      </w:r>
      <w:proofErr w:type="spellStart"/>
      <w:r w:rsidR="00F82259">
        <w:t>Tichy’ego</w:t>
      </w:r>
      <w:proofErr w:type="spellEnd"/>
      <w:r w:rsidR="00F82259">
        <w:t xml:space="preserve">, Dyrektora Departamentu Prawa Międzynarodowego przy Federalnym Ministerstwie Spraw Europejskich, Integracji i Spraw </w:t>
      </w:r>
      <w:r w:rsidR="00E40A80">
        <w:t>Zagranicznych</w:t>
      </w:r>
      <w:r w:rsidR="00F82259">
        <w:t>.</w:t>
      </w:r>
    </w:p>
    <w:p w14:paraId="31EBA672" w14:textId="2D617673" w:rsidR="00F82259" w:rsidRPr="00F82259" w:rsidRDefault="00167ED2" w:rsidP="00F82259">
      <w:pPr>
        <w:pStyle w:val="JuPara"/>
      </w:pPr>
      <w:r>
        <w:fldChar w:fldCharType="begin"/>
      </w:r>
      <w:r>
        <w:instrText xml:space="preserve"> SEQ level0 \*arabic </w:instrText>
      </w:r>
      <w:r>
        <w:fldChar w:fldCharType="separate"/>
      </w:r>
      <w:r w:rsidR="00FD6D24">
        <w:rPr>
          <w:noProof/>
        </w:rPr>
        <w:t>4</w:t>
      </w:r>
      <w:r>
        <w:rPr>
          <w:noProof/>
        </w:rPr>
        <w:fldChar w:fldCharType="end"/>
      </w:r>
      <w:r w:rsidR="00F82259">
        <w:t>.  Stan faktyczny sprawy, przedstawiony przez strony, można streścić następująco.</w:t>
      </w:r>
    </w:p>
    <w:p w14:paraId="385D3815" w14:textId="75DBCD17" w:rsidR="00F82259" w:rsidRPr="00F82259" w:rsidRDefault="00167ED2" w:rsidP="00F82259">
      <w:pPr>
        <w:pStyle w:val="JuPara"/>
      </w:pPr>
      <w:r>
        <w:fldChar w:fldCharType="begin"/>
      </w:r>
      <w:r>
        <w:instrText xml:space="preserve"> SEQ level0 \*arabic </w:instrText>
      </w:r>
      <w:r>
        <w:fldChar w:fldCharType="separate"/>
      </w:r>
      <w:bookmarkStart w:id="1" w:name="paragraph5"/>
      <w:r w:rsidR="00FD6D24">
        <w:rPr>
          <w:noProof/>
        </w:rPr>
        <w:t>5</w:t>
      </w:r>
      <w:bookmarkEnd w:id="1"/>
      <w:r>
        <w:rPr>
          <w:noProof/>
        </w:rPr>
        <w:fldChar w:fldCharType="end"/>
      </w:r>
      <w:r w:rsidR="00F82259">
        <w:t xml:space="preserve">.  Dnia 20 listopada 2012 r. regionalna dyrekcja policji Styrii </w:t>
      </w:r>
      <w:r w:rsidR="00FD6D24">
        <w:t>[</w:t>
      </w:r>
      <w:proofErr w:type="spellStart"/>
      <w:r w:rsidR="00F82259">
        <w:rPr>
          <w:i/>
        </w:rPr>
        <w:t>Landespolizeidirektion</w:t>
      </w:r>
      <w:proofErr w:type="spellEnd"/>
      <w:r w:rsidR="00F82259">
        <w:t xml:space="preserve"> – „LPD”</w:t>
      </w:r>
      <w:r w:rsidR="00FD6D24">
        <w:t>]</w:t>
      </w:r>
      <w:r w:rsidR="00F82259">
        <w:t xml:space="preserve"> wystawiła skarżącemu mandat za</w:t>
      </w:r>
      <w:r w:rsidR="00FD6D24">
        <w:t> </w:t>
      </w:r>
      <w:r w:rsidR="00F82259">
        <w:t>naruszenie art. 4 ust. 5 ustawy o ruchu drogowym (zob. par. </w:t>
      </w:r>
      <w:r w:rsidR="00F82259" w:rsidRPr="00F82259">
        <w:fldChar w:fldCharType="begin"/>
      </w:r>
      <w:r w:rsidR="00F82259" w:rsidRPr="00F82259">
        <w:instrText xml:space="preserve"> REF para19section4RTA \h </w:instrText>
      </w:r>
      <w:r w:rsidR="00F82259" w:rsidRPr="00F82259">
        <w:fldChar w:fldCharType="separate"/>
      </w:r>
      <w:r w:rsidR="00FD6D24" w:rsidRPr="00F82259">
        <w:t>19</w:t>
      </w:r>
      <w:r w:rsidR="00F82259" w:rsidRPr="00F82259">
        <w:fldChar w:fldCharType="end"/>
      </w:r>
      <w:r w:rsidR="00F82259">
        <w:t xml:space="preserve"> poniżej). Stwierdzono, że skarżący</w:t>
      </w:r>
      <w:r w:rsidR="00AE15EB">
        <w:t xml:space="preserve"> </w:t>
      </w:r>
      <w:r w:rsidR="00F82259">
        <w:t>kierując samochodem uczestniczył w</w:t>
      </w:r>
      <w:r w:rsidR="00FD6D24">
        <w:t> </w:t>
      </w:r>
      <w:r w:rsidR="00F82259">
        <w:t>wypadku drogowym, w którym doszło wyłącznie do szkód materialnych, i</w:t>
      </w:r>
      <w:r w:rsidR="00FD6D24">
        <w:t> </w:t>
      </w:r>
      <w:r w:rsidR="00F82259">
        <w:t xml:space="preserve">nie zawiadomił niezwłocznie najbliższego posterunku policji o zdarzeniu. LPD </w:t>
      </w:r>
      <w:r w:rsidR="00F82259">
        <w:lastRenderedPageBreak/>
        <w:t xml:space="preserve">wystawiła mandat w wysokości 200 euro (EUR) plus 20 </w:t>
      </w:r>
      <w:r w:rsidR="00D7103D">
        <w:t>euro</w:t>
      </w:r>
      <w:r w:rsidR="00F82259">
        <w:t xml:space="preserve"> kosztów, z karą czterech dni pozbawienia wolności w przypadku braku zapłaty.</w:t>
      </w:r>
    </w:p>
    <w:p w14:paraId="6B3D6135" w14:textId="54D719C4" w:rsidR="00F82259" w:rsidRPr="00F82259" w:rsidRDefault="00167ED2" w:rsidP="00F82259">
      <w:pPr>
        <w:pStyle w:val="JuPara"/>
      </w:pPr>
      <w:r>
        <w:fldChar w:fldCharType="begin"/>
      </w:r>
      <w:r>
        <w:instrText xml:space="preserve"> SEQ level0 \*arabic </w:instrText>
      </w:r>
      <w:r>
        <w:fldChar w:fldCharType="separate"/>
      </w:r>
      <w:r w:rsidR="00FD6D24">
        <w:rPr>
          <w:noProof/>
        </w:rPr>
        <w:t>6</w:t>
      </w:r>
      <w:r>
        <w:rPr>
          <w:noProof/>
        </w:rPr>
        <w:fldChar w:fldCharType="end"/>
      </w:r>
      <w:r w:rsidR="00F82259">
        <w:t xml:space="preserve">.  Dnia 19 grudnia 2012 r. skarżący wniósł skargę </w:t>
      </w:r>
      <w:r w:rsidR="00FD6D24">
        <w:t>[</w:t>
      </w:r>
      <w:proofErr w:type="spellStart"/>
      <w:r w:rsidR="00F82259">
        <w:rPr>
          <w:i/>
        </w:rPr>
        <w:t>Beschwerde</w:t>
      </w:r>
      <w:proofErr w:type="spellEnd"/>
      <w:r w:rsidR="00FD6D24">
        <w:t>]</w:t>
      </w:r>
      <w:r w:rsidR="00F82259">
        <w:t xml:space="preserve"> do</w:t>
      </w:r>
      <w:r w:rsidR="00FD6D24">
        <w:t> </w:t>
      </w:r>
      <w:r w:rsidR="00C66779">
        <w:t>Okręgowego</w:t>
      </w:r>
      <w:r w:rsidR="00D7103D">
        <w:t xml:space="preserve"> S</w:t>
      </w:r>
      <w:r w:rsidR="00F82259">
        <w:t xml:space="preserve">ądu </w:t>
      </w:r>
      <w:r w:rsidR="00D7103D">
        <w:t>A</w:t>
      </w:r>
      <w:r w:rsidR="00F82259">
        <w:t>dministracyjnego Styrii</w:t>
      </w:r>
      <w:r w:rsidR="00D7103D">
        <w:t xml:space="preserve"> [</w:t>
      </w:r>
      <w:proofErr w:type="spellStart"/>
      <w:r w:rsidR="00D7103D">
        <w:rPr>
          <w:i/>
        </w:rPr>
        <w:t>Landesverwaltungsgericht</w:t>
      </w:r>
      <w:proofErr w:type="spellEnd"/>
      <w:r w:rsidR="00D7103D">
        <w:t>]</w:t>
      </w:r>
      <w:r w:rsidR="00F82259">
        <w:t>, w której zapewnił, że jest niewinny i stwierdził, iż w przedmiotowym dniu spożywał alkohol w kilku barach i z tego powodu nie wrócił do domu samochodem, który pożyczył od przyjaciela, oraz iż nie był w stanie wskazać, kto kierował pojazdem w chwili, gdy doszło do zdarzenia. Skierował również zarzut dotyczący oceny dowodów przez LPD.</w:t>
      </w:r>
    </w:p>
    <w:p w14:paraId="2CC71774" w14:textId="037EE359" w:rsidR="00F82259" w:rsidRPr="00F82259" w:rsidRDefault="00167ED2" w:rsidP="00F82259">
      <w:pPr>
        <w:pStyle w:val="JuPara"/>
      </w:pPr>
      <w:r>
        <w:fldChar w:fldCharType="begin"/>
      </w:r>
      <w:r>
        <w:instrText xml:space="preserve"> SEQ level0 \*arabic </w:instrText>
      </w:r>
      <w:r>
        <w:fldChar w:fldCharType="separate"/>
      </w:r>
      <w:bookmarkStart w:id="2" w:name="paragraph7"/>
      <w:r w:rsidR="00FD6D24">
        <w:rPr>
          <w:noProof/>
        </w:rPr>
        <w:t>7</w:t>
      </w:r>
      <w:bookmarkEnd w:id="2"/>
      <w:r>
        <w:rPr>
          <w:noProof/>
        </w:rPr>
        <w:fldChar w:fldCharType="end"/>
      </w:r>
      <w:r w:rsidR="00F82259">
        <w:t>.  </w:t>
      </w:r>
      <w:r w:rsidR="00C66779">
        <w:t xml:space="preserve">Okręgowy </w:t>
      </w:r>
      <w:r w:rsidR="00D7103D">
        <w:t>S</w:t>
      </w:r>
      <w:r w:rsidR="00F82259">
        <w:t xml:space="preserve">ąd </w:t>
      </w:r>
      <w:r w:rsidR="00D7103D">
        <w:t>A</w:t>
      </w:r>
      <w:r w:rsidR="00F82259">
        <w:t>dministracyjny oddalił skargę skarżącego dnia 5 lutego 2014 r. po przeprowadzeniu przesłuchania ustnego. Utrzymał w mocy nałożoną przez LPD sankcję, na którą składała się grzywna w wysokości 200</w:t>
      </w:r>
      <w:r w:rsidR="00FD6D24">
        <w:t> </w:t>
      </w:r>
      <w:r w:rsidR="00D7103D">
        <w:t>euro</w:t>
      </w:r>
      <w:r w:rsidR="00F82259">
        <w:t>, oraz zasądził koszty postępowania odwoławczego w wysokości 40</w:t>
      </w:r>
      <w:r w:rsidR="00D7103D">
        <w:t xml:space="preserve"> euro</w:t>
      </w:r>
      <w:r w:rsidR="00F82259">
        <w:t xml:space="preserve">, z karą pozbawienia wolności na cztery dni w przypadku braku zapłaty. Sąd doszedł do wniosku, że LPD dokonała poprawnej oceny dowodów z zeznań świadków, oględzin części </w:t>
      </w:r>
      <w:r w:rsidR="00D7103D">
        <w:t xml:space="preserve">zderzaka </w:t>
      </w:r>
      <w:r w:rsidR="00F82259">
        <w:t>samochodu, którego kierowca spowodował wypadek, a znajdujących się na miejscu zdarzenia, jak też z wyjaśnie</w:t>
      </w:r>
      <w:r w:rsidR="00D7103D">
        <w:t>ń</w:t>
      </w:r>
      <w:r w:rsidR="00F82259">
        <w:t xml:space="preserve"> skarżącego, iż wcześniej tego wieczoru kierował </w:t>
      </w:r>
      <w:r w:rsidR="00D7103D">
        <w:t xml:space="preserve">przedmiotowym </w:t>
      </w:r>
      <w:r w:rsidR="00F82259">
        <w:t>pojazdem. Sąd uznał, że nie było to prawdopodobne, aby</w:t>
      </w:r>
      <w:r w:rsidR="00FD6D24">
        <w:t xml:space="preserve"> – </w:t>
      </w:r>
      <w:r w:rsidR="00F82259">
        <w:t>jak stwierdził skarżący w obronie</w:t>
      </w:r>
      <w:r w:rsidR="00FD6D24">
        <w:t xml:space="preserve"> – </w:t>
      </w:r>
      <w:r w:rsidR="00F82259">
        <w:t>kierowca samochodu jego przyjaciela mógł mieć uraz głowy (którego nie miał), z uwagi na pękniecie w lewym górnym rogu szyby przedniej. Sąd odmówił przeprowadzenia dowodu, o który wnosił skarżący, tj. dowodu z</w:t>
      </w:r>
      <w:r w:rsidR="005E3B64">
        <w:t xml:space="preserve"> opinii </w:t>
      </w:r>
      <w:r w:rsidR="00F82259">
        <w:t xml:space="preserve">biegłego technicznego, </w:t>
      </w:r>
      <w:r w:rsidR="005E3B64">
        <w:t>ponieważ</w:t>
      </w:r>
      <w:r w:rsidR="00FD6D24">
        <w:t> </w:t>
      </w:r>
      <w:r w:rsidR="00F82259">
        <w:t xml:space="preserve">oczywistym było, iż osoba siedząca w fotelu kierowcy nie mogła uderzyć głową w przedmiotowe miejsce. W pouczeniu o dalszych środkach prawnych </w:t>
      </w:r>
      <w:r w:rsidR="00FD6D24">
        <w:t>[</w:t>
      </w:r>
      <w:proofErr w:type="spellStart"/>
      <w:r w:rsidR="00F82259">
        <w:rPr>
          <w:i/>
        </w:rPr>
        <w:t>Rechtsmittelbelehrung</w:t>
      </w:r>
      <w:proofErr w:type="spellEnd"/>
      <w:r w:rsidR="00FD6D24">
        <w:t>]</w:t>
      </w:r>
      <w:r w:rsidR="00F82259">
        <w:t xml:space="preserve"> sąd poinformował skarżącego, że skarga przeciwko wydanej decyzji do </w:t>
      </w:r>
      <w:r w:rsidR="005E3B64">
        <w:t xml:space="preserve">Najwyższego </w:t>
      </w:r>
      <w:r w:rsidR="00F82259">
        <w:t xml:space="preserve">Trybunału Administracyjnego </w:t>
      </w:r>
      <w:r w:rsidR="00FD6D24">
        <w:t>[</w:t>
      </w:r>
      <w:proofErr w:type="spellStart"/>
      <w:r w:rsidR="00F82259">
        <w:rPr>
          <w:i/>
        </w:rPr>
        <w:t>Verwaltungsgerichtshof</w:t>
      </w:r>
      <w:proofErr w:type="spellEnd"/>
      <w:r w:rsidR="00FD6D24">
        <w:t>]</w:t>
      </w:r>
      <w:r w:rsidR="00F82259">
        <w:t xml:space="preserve"> nie była dozwolona zgodnie z art. 25a ust. 4 ustawy o sądownictwie administracyjnym (zob. par. </w:t>
      </w:r>
      <w:r w:rsidR="00F82259" w:rsidRPr="00F82259">
        <w:fldChar w:fldCharType="begin"/>
      </w:r>
      <w:r w:rsidR="00F82259" w:rsidRPr="00F82259">
        <w:instrText xml:space="preserve"> REF para12section25aACA \h </w:instrText>
      </w:r>
      <w:r w:rsidR="00F82259" w:rsidRPr="00F82259">
        <w:fldChar w:fldCharType="separate"/>
      </w:r>
      <w:r w:rsidR="00FD6D24">
        <w:rPr>
          <w:noProof/>
        </w:rPr>
        <w:t>12</w:t>
      </w:r>
      <w:r w:rsidR="00F82259" w:rsidRPr="00F82259">
        <w:fldChar w:fldCharType="end"/>
      </w:r>
      <w:r w:rsidR="00F82259">
        <w:t xml:space="preserve"> poniżej). </w:t>
      </w:r>
    </w:p>
    <w:p w14:paraId="6CDB97E0" w14:textId="4E1B4FF5" w:rsidR="00F82259" w:rsidRPr="00F82259" w:rsidRDefault="00167ED2" w:rsidP="00F82259">
      <w:pPr>
        <w:pStyle w:val="JuPara"/>
      </w:pPr>
      <w:r>
        <w:fldChar w:fldCharType="begin"/>
      </w:r>
      <w:r>
        <w:instrText xml:space="preserve"> SEQ level0 \*arabic </w:instrText>
      </w:r>
      <w:r>
        <w:fldChar w:fldCharType="separate"/>
      </w:r>
      <w:r w:rsidR="00FD6D24">
        <w:rPr>
          <w:noProof/>
        </w:rPr>
        <w:t>8</w:t>
      </w:r>
      <w:r>
        <w:rPr>
          <w:noProof/>
        </w:rPr>
        <w:fldChar w:fldCharType="end"/>
      </w:r>
      <w:r w:rsidR="00F82259">
        <w:t xml:space="preserve">.  Dnia 31 marca 2014 r. skarżący wniósł skargę do Trybunału Konstytucyjnego </w:t>
      </w:r>
      <w:r w:rsidR="00FD6D24">
        <w:t>[</w:t>
      </w:r>
      <w:proofErr w:type="spellStart"/>
      <w:r w:rsidR="00F82259">
        <w:rPr>
          <w:i/>
        </w:rPr>
        <w:t>Verfassungsgerichtshof</w:t>
      </w:r>
      <w:proofErr w:type="spellEnd"/>
      <w:r w:rsidR="00FD6D24">
        <w:t>]</w:t>
      </w:r>
      <w:r w:rsidR="00F82259">
        <w:t>. Skarżący stwierdził, że art. 25a ustawy o sądownictwie administracyjnym, stanowiący, że skargi do</w:t>
      </w:r>
      <w:r w:rsidR="00FD6D24">
        <w:t> </w:t>
      </w:r>
      <w:r w:rsidR="005E3B64">
        <w:t xml:space="preserve">Najwyższego </w:t>
      </w:r>
      <w:r w:rsidR="00F82259">
        <w:t>Trybunału Administracyjnego nie można złożyć w przypadku grzywny w</w:t>
      </w:r>
      <w:r w:rsidR="00EE112C">
        <w:t> </w:t>
      </w:r>
      <w:r w:rsidR="00F82259">
        <w:t xml:space="preserve">wysokości poniżej 400 </w:t>
      </w:r>
      <w:r w:rsidR="005E3B64">
        <w:t>euro</w:t>
      </w:r>
      <w:r w:rsidR="00F82259">
        <w:t xml:space="preserve">, jest niezgodny z </w:t>
      </w:r>
      <w:r w:rsidR="000D75E8">
        <w:t>K</w:t>
      </w:r>
      <w:r w:rsidR="00F82259">
        <w:t xml:space="preserve">onstytucją, ponieważ stanowi naruszenie art. 2 Protokołu nr 7 do Konwencji, </w:t>
      </w:r>
      <w:r w:rsidR="005E3B64">
        <w:t>ponieważ</w:t>
      </w:r>
      <w:r w:rsidR="00F82259">
        <w:t xml:space="preserve"> zarówno abstrakcyjny wymiar kary, wynikający z przepisu ustawy (zob. par. </w:t>
      </w:r>
      <w:r w:rsidR="00F82259" w:rsidRPr="00F82259">
        <w:fldChar w:fldCharType="begin"/>
      </w:r>
      <w:r w:rsidR="00F82259" w:rsidRPr="00F82259">
        <w:instrText xml:space="preserve"> REF paragraph00014 \h  \* CharFormat </w:instrText>
      </w:r>
      <w:r w:rsidR="00F82259" w:rsidRPr="00F82259">
        <w:fldChar w:fldCharType="separate"/>
      </w:r>
      <w:r w:rsidR="00FD6D24" w:rsidRPr="00F82259">
        <w:t>14</w:t>
      </w:r>
      <w:r w:rsidR="00F82259" w:rsidRPr="00F82259">
        <w:fldChar w:fldCharType="end"/>
      </w:r>
      <w:r w:rsidR="00F82259">
        <w:t>-</w:t>
      </w:r>
      <w:r w:rsidR="00F82259" w:rsidRPr="00F82259">
        <w:fldChar w:fldCharType="begin"/>
      </w:r>
      <w:r w:rsidR="00F82259" w:rsidRPr="00F82259">
        <w:instrText xml:space="preserve"> REF para15section54bAOA \h  \* CharFormat </w:instrText>
      </w:r>
      <w:r w:rsidR="00F82259" w:rsidRPr="00F82259">
        <w:fldChar w:fldCharType="separate"/>
      </w:r>
      <w:r w:rsidR="00FD6D24" w:rsidRPr="00F82259">
        <w:t>15</w:t>
      </w:r>
      <w:r w:rsidR="00F82259" w:rsidRPr="00F82259">
        <w:fldChar w:fldCharType="end"/>
      </w:r>
      <w:r w:rsidR="00F82259">
        <w:t xml:space="preserve"> poniżej), jak i</w:t>
      </w:r>
      <w:r w:rsidR="00FD6D24">
        <w:t> </w:t>
      </w:r>
      <w:r w:rsidR="00F82259">
        <w:t xml:space="preserve">zastosowana wobec niego sankcja obejmowały karę pozbawienia wolności w przypadku braku zapłaty. Ponadto doszło do naruszenia zasady równości stron zawartej w art. 6 Konwencji, ponieważ organowi nakładającemu grzywnę oraz właściwemu ministrowi federalnemu przysługuje prawo wniesienia skargi do </w:t>
      </w:r>
      <w:r w:rsidR="005E3B64">
        <w:t xml:space="preserve">Najwyższego </w:t>
      </w:r>
      <w:r w:rsidR="00F82259">
        <w:t xml:space="preserve">Trybunału Administracyjnego niezależnie od wysokości grzywny, </w:t>
      </w:r>
      <w:r w:rsidR="005E3B64">
        <w:t>a skarżący nie mógł tego zrobić</w:t>
      </w:r>
      <w:r w:rsidR="00F82259">
        <w:t xml:space="preserve"> (zob. par. </w:t>
      </w:r>
      <w:r w:rsidR="00F82259" w:rsidRPr="00F82259">
        <w:fldChar w:fldCharType="begin"/>
      </w:r>
      <w:r w:rsidR="00F82259" w:rsidRPr="00F82259">
        <w:instrText xml:space="preserve"> REF paragraph10 \h </w:instrText>
      </w:r>
      <w:r w:rsidR="00F82259" w:rsidRPr="00F82259">
        <w:fldChar w:fldCharType="separate"/>
      </w:r>
      <w:r w:rsidR="00FD6D24">
        <w:rPr>
          <w:noProof/>
        </w:rPr>
        <w:t>10</w:t>
      </w:r>
      <w:r w:rsidR="00F82259" w:rsidRPr="00F82259">
        <w:fldChar w:fldCharType="end"/>
      </w:r>
      <w:r w:rsidR="00F82259">
        <w:t xml:space="preserve"> poniżej).</w:t>
      </w:r>
    </w:p>
    <w:bookmarkStart w:id="3" w:name="paragraph9"/>
    <w:p w14:paraId="3F5E6B4E" w14:textId="5F463C51" w:rsidR="00F82259" w:rsidRPr="00F82259" w:rsidRDefault="00F82259" w:rsidP="00F82259">
      <w:pPr>
        <w:pStyle w:val="JuPara"/>
      </w:pPr>
      <w:r w:rsidRPr="00F82259">
        <w:lastRenderedPageBreak/>
        <w:fldChar w:fldCharType="begin"/>
      </w:r>
      <w:r w:rsidRPr="00F82259">
        <w:instrText xml:space="preserve"> SEQ level0 \*arabic </w:instrText>
      </w:r>
      <w:r w:rsidRPr="00F82259">
        <w:fldChar w:fldCharType="separate"/>
      </w:r>
      <w:r w:rsidR="00FD6D24">
        <w:rPr>
          <w:noProof/>
        </w:rPr>
        <w:t>9</w:t>
      </w:r>
      <w:r w:rsidRPr="00F82259">
        <w:fldChar w:fldCharType="end"/>
      </w:r>
      <w:bookmarkEnd w:id="3"/>
      <w:r>
        <w:t>.  W dniu 25 września 2014 r. Trybunał Konstytucyjny odrzucił skargę skarżącego jako niemającą szans na powodzenie. W zakresie, w jakim w</w:t>
      </w:r>
      <w:r w:rsidR="00FD6D24">
        <w:t> </w:t>
      </w:r>
      <w:r>
        <w:t xml:space="preserve">skardze zakwestionowano zgodność z </w:t>
      </w:r>
      <w:r w:rsidR="005E3B64">
        <w:t>K</w:t>
      </w:r>
      <w:r>
        <w:t>onstytucją art. 25a ust. 4 ustawy o</w:t>
      </w:r>
      <w:r w:rsidR="00FD6D24">
        <w:t> </w:t>
      </w:r>
      <w:r>
        <w:t xml:space="preserve">sądownictwie administracyjnym, Trybunał stwierdził, że w świetle </w:t>
      </w:r>
      <w:r w:rsidR="000D75E8">
        <w:t xml:space="preserve">jego </w:t>
      </w:r>
      <w:r>
        <w:t>orzecznictwa w tej kwestii nic nie wskazywało na</w:t>
      </w:r>
      <w:r w:rsidR="00FD6D24">
        <w:t xml:space="preserve"> </w:t>
      </w:r>
      <w:r>
        <w:t>zarzucane przez skarżącego</w:t>
      </w:r>
      <w:r w:rsidR="00FD6D24">
        <w:t xml:space="preserve"> </w:t>
      </w:r>
      <w:r>
        <w:t>naruszenie konstytucyjnie gwarantowanego prawa lub na</w:t>
      </w:r>
      <w:r w:rsidR="00FD6D24">
        <w:t> </w:t>
      </w:r>
      <w:r>
        <w:t>naruszenie innego prawa w wyniku zastosowania sprzecznej z</w:t>
      </w:r>
      <w:r w:rsidR="00FD6D24">
        <w:t> </w:t>
      </w:r>
      <w:r>
        <w:t>Konstytucją ustawy. Nie było zatem konieczne szczegółowe zbadanie zgodności z Konstytucją rzeczonych zagadnień prawnych.</w:t>
      </w:r>
    </w:p>
    <w:p w14:paraId="24475DCA" w14:textId="77777777" w:rsidR="00F82259" w:rsidRPr="00F82259" w:rsidRDefault="00F82259" w:rsidP="00F82259">
      <w:pPr>
        <w:pStyle w:val="JuHHead"/>
      </w:pPr>
      <w:r>
        <w:t>WŁAŚCIWE RAMY PRAWNE I PRAKTYKA</w:t>
      </w:r>
    </w:p>
    <w:p w14:paraId="60E5C8AD" w14:textId="77777777" w:rsidR="00F82259" w:rsidRPr="00F82259" w:rsidRDefault="00F82259" w:rsidP="00F82259">
      <w:pPr>
        <w:pStyle w:val="JuHIRoman"/>
        <w:numPr>
          <w:ilvl w:val="1"/>
          <w:numId w:val="2"/>
        </w:numPr>
        <w:tabs>
          <w:tab w:val="clear" w:pos="454"/>
          <w:tab w:val="clear" w:pos="567"/>
          <w:tab w:val="clear" w:pos="680"/>
        </w:tabs>
        <w:ind w:left="792" w:hanging="432"/>
      </w:pPr>
      <w:r>
        <w:t>Prawo krajowe i praktyka</w:t>
      </w:r>
    </w:p>
    <w:p w14:paraId="6A507AD3" w14:textId="77777777" w:rsidR="00F82259" w:rsidRPr="00F82259" w:rsidRDefault="00F82259" w:rsidP="00F82259">
      <w:pPr>
        <w:pStyle w:val="JuHA"/>
        <w:numPr>
          <w:ilvl w:val="0"/>
          <w:numId w:val="0"/>
        </w:numPr>
        <w:ind w:left="584"/>
      </w:pPr>
      <w:r>
        <w:t>A. Federalna Ustawa Konstytucyjna</w:t>
      </w:r>
    </w:p>
    <w:bookmarkStart w:id="4" w:name="paragraph10"/>
    <w:p w14:paraId="2C84D2A9" w14:textId="18C1DDFE" w:rsidR="00F82259" w:rsidRPr="00F82259" w:rsidRDefault="00F82259" w:rsidP="00F82259">
      <w:pPr>
        <w:pStyle w:val="JuPara"/>
      </w:pPr>
      <w:r w:rsidRPr="00F82259">
        <w:fldChar w:fldCharType="begin"/>
      </w:r>
      <w:r w:rsidRPr="00F82259">
        <w:instrText xml:space="preserve"> SEQ level0 \*arabic </w:instrText>
      </w:r>
      <w:r w:rsidRPr="00F82259">
        <w:fldChar w:fldCharType="separate"/>
      </w:r>
      <w:r w:rsidR="00FD6D24">
        <w:rPr>
          <w:noProof/>
        </w:rPr>
        <w:t>10</w:t>
      </w:r>
      <w:r w:rsidRPr="00F82259">
        <w:fldChar w:fldCharType="end"/>
      </w:r>
      <w:bookmarkEnd w:id="4"/>
      <w:r>
        <w:t>.  Artykuły 133 i 144 w zakresie istotnym dla sprawy stanowią:</w:t>
      </w:r>
    </w:p>
    <w:p w14:paraId="7E926758" w14:textId="77777777" w:rsidR="00F82259" w:rsidRPr="00F82259" w:rsidRDefault="00F82259" w:rsidP="00F82259">
      <w:pPr>
        <w:pStyle w:val="JuHArticle"/>
      </w:pPr>
      <w:r>
        <w:t>Artykuł 133</w:t>
      </w:r>
    </w:p>
    <w:p w14:paraId="5193A5E3" w14:textId="7949B9FA" w:rsidR="00F82259" w:rsidRPr="00F82259" w:rsidRDefault="00F82259" w:rsidP="00F82259">
      <w:pPr>
        <w:pStyle w:val="JuQuot"/>
      </w:pPr>
      <w:r>
        <w:t xml:space="preserve">„(1) </w:t>
      </w:r>
      <w:r w:rsidR="00E40A80">
        <w:t xml:space="preserve">Najwyższy </w:t>
      </w:r>
      <w:r>
        <w:t>Trybunał Administracyjny rozpoznaje:</w:t>
      </w:r>
    </w:p>
    <w:p w14:paraId="284FC650" w14:textId="606E2446" w:rsidR="00F82259" w:rsidRPr="00F82259" w:rsidRDefault="00F82259" w:rsidP="00F82259">
      <w:pPr>
        <w:pStyle w:val="JuQuot"/>
      </w:pPr>
      <w:r>
        <w:t xml:space="preserve">1.  skargi przeciwko decyzjom </w:t>
      </w:r>
      <w:r w:rsidR="00C66779">
        <w:t xml:space="preserve">okręgowego </w:t>
      </w:r>
      <w:r>
        <w:t>lub federalnego sądu administracyjnego, w których zarzuca się ich sprzeczność z prawem;</w:t>
      </w:r>
    </w:p>
    <w:p w14:paraId="1777C488" w14:textId="77777777" w:rsidR="00F82259" w:rsidRPr="00F82259" w:rsidRDefault="00F82259" w:rsidP="00F82259">
      <w:pPr>
        <w:pStyle w:val="JuQuot"/>
      </w:pPr>
      <w:r>
        <w:t>[…]</w:t>
      </w:r>
    </w:p>
    <w:p w14:paraId="68BB443C" w14:textId="06ABBF1F" w:rsidR="00F82259" w:rsidRPr="00F82259" w:rsidRDefault="00F82259" w:rsidP="00F82259">
      <w:pPr>
        <w:pStyle w:val="JuQuot"/>
      </w:pPr>
      <w:r>
        <w:t xml:space="preserve">(4) Skarga przeciwko decyzji sądu administracyjnego jest dozwolona, jeżeli rozstrzygnięcie jest uzależnione od rozwiązania kwestii prawnej mającej zasadnicze znaczenie, w szczególności gdy w decyzji odstąpiono od orzecznictwa </w:t>
      </w:r>
      <w:r w:rsidR="00E40A80">
        <w:t xml:space="preserve">Najwyższego </w:t>
      </w:r>
      <w:r>
        <w:t xml:space="preserve">Trybunału Administracyjnego, gdy brak jest takiego orzecznictwa lub też dotychczasowe orzecznictwo </w:t>
      </w:r>
      <w:r w:rsidR="00E40A80">
        <w:t xml:space="preserve">Najwyższego </w:t>
      </w:r>
      <w:r>
        <w:t>Trybunału Administracyjnego w danej kwestii prawnej nie jest jednolite. Jeżeli przedmiotem decyzji jest nieznaczna grzywna, ustawa federalna może stanowić, iż skarga [</w:t>
      </w:r>
      <w:proofErr w:type="spellStart"/>
      <w:r>
        <w:rPr>
          <w:i/>
          <w:iCs/>
        </w:rPr>
        <w:t>Revision</w:t>
      </w:r>
      <w:proofErr w:type="spellEnd"/>
      <w:r>
        <w:t xml:space="preserve">] jest niedozwolona. </w:t>
      </w:r>
    </w:p>
    <w:p w14:paraId="73359FCA" w14:textId="77777777" w:rsidR="00F82259" w:rsidRPr="00F82259" w:rsidRDefault="00F82259" w:rsidP="00F82259">
      <w:pPr>
        <w:pStyle w:val="JuQuot"/>
      </w:pPr>
      <w:r>
        <w:t>[…]</w:t>
      </w:r>
    </w:p>
    <w:p w14:paraId="6B3FFB19" w14:textId="3CEFCEFE" w:rsidR="00F82259" w:rsidRPr="00F82259" w:rsidRDefault="00F82259" w:rsidP="00F82259">
      <w:pPr>
        <w:pStyle w:val="JuQuot"/>
      </w:pPr>
      <w:r>
        <w:t>(6) Skargę przeciwko decyzji sądu administracyjnego z powodu sprzeczności z</w:t>
      </w:r>
      <w:r w:rsidR="00D7181F">
        <w:t> </w:t>
      </w:r>
      <w:r>
        <w:t>prawem, może wnieść:</w:t>
      </w:r>
    </w:p>
    <w:p w14:paraId="1090CB85" w14:textId="77777777" w:rsidR="00F82259" w:rsidRPr="00F82259" w:rsidRDefault="00F82259" w:rsidP="00F82259">
      <w:pPr>
        <w:pStyle w:val="JuQuot"/>
      </w:pPr>
      <w:r>
        <w:t>[…]</w:t>
      </w:r>
    </w:p>
    <w:p w14:paraId="1DDC7447" w14:textId="77777777" w:rsidR="00F82259" w:rsidRPr="00F82259" w:rsidRDefault="00F82259" w:rsidP="00F82259">
      <w:pPr>
        <w:pStyle w:val="JuQuot"/>
      </w:pPr>
      <w:r>
        <w:t>2.  organ, którego decyzja jest przedmiotem postępowania przed sądem administracyjnym;</w:t>
      </w:r>
    </w:p>
    <w:p w14:paraId="2D657BCB" w14:textId="77777777" w:rsidR="00F82259" w:rsidRPr="00F82259" w:rsidRDefault="00F82259" w:rsidP="00F82259">
      <w:pPr>
        <w:pStyle w:val="JuQuot"/>
      </w:pPr>
      <w:r>
        <w:t>3.  minister federalny właściwy do spraw prawnych, o których mowa w art. 132 § 1 pkt 2;”</w:t>
      </w:r>
    </w:p>
    <w:p w14:paraId="294AF6D6" w14:textId="77777777" w:rsidR="00F82259" w:rsidRPr="00F82259" w:rsidRDefault="00F82259" w:rsidP="00F82259">
      <w:pPr>
        <w:pStyle w:val="JuHArticle"/>
      </w:pPr>
      <w:r>
        <w:t>Artykuł 144</w:t>
      </w:r>
    </w:p>
    <w:p w14:paraId="3BEC2C49" w14:textId="77777777" w:rsidR="00F82259" w:rsidRPr="00F82259" w:rsidRDefault="00F82259" w:rsidP="00F82259">
      <w:pPr>
        <w:pStyle w:val="JuQuot"/>
      </w:pPr>
      <w:r>
        <w:t>„(1) Trybunał Konstytucyjny orzeka o skargach na decyzje [sądu administracyjnego], jeżeli skarżący twierdzi, że decyzja narusza konstytucyjnie gwarantowane prawa [...]</w:t>
      </w:r>
    </w:p>
    <w:p w14:paraId="6E6BBD5D" w14:textId="7C728ACF" w:rsidR="00F82259" w:rsidRPr="00F82259" w:rsidRDefault="00F82259" w:rsidP="00F82259">
      <w:pPr>
        <w:pStyle w:val="JuQuot"/>
      </w:pPr>
      <w:r>
        <w:lastRenderedPageBreak/>
        <w:t xml:space="preserve">(2) Trybunał Konstytucyjne może aż do czasu rozprawy na podstawie uchwały odmówić rozpatrzenia sprawy, jeżeli brak perspektyw na pomyślny jej wynik albo </w:t>
      </w:r>
      <w:r w:rsidR="00E40A80">
        <w:t>jeśli nie można się spodziewać, że wyrok wyjaśni zagadnienie z zakresu prawa konstytucyjnego.</w:t>
      </w:r>
    </w:p>
    <w:p w14:paraId="364C989D" w14:textId="77777777" w:rsidR="00F82259" w:rsidRPr="00F82259" w:rsidRDefault="00F82259" w:rsidP="00F82259">
      <w:pPr>
        <w:pStyle w:val="JuQuot"/>
      </w:pPr>
      <w:r>
        <w:t>[…]</w:t>
      </w:r>
    </w:p>
    <w:p w14:paraId="33879461" w14:textId="77777777" w:rsidR="00F82259" w:rsidRPr="00F82259" w:rsidRDefault="00F82259" w:rsidP="00F82259">
      <w:pPr>
        <w:pStyle w:val="JuQuot"/>
      </w:pPr>
      <w:r>
        <w:t>(5) W zakresie, w jakim decyzja sądu administracyjnego dotyczy dopuszczalności skargi, skarga, o której mowa w § 1, jest niedopuszczalna.”</w:t>
      </w:r>
    </w:p>
    <w:p w14:paraId="735422CE" w14:textId="77777777" w:rsidR="00F82259" w:rsidRPr="00F82259" w:rsidRDefault="00F82259" w:rsidP="00F82259">
      <w:pPr>
        <w:pStyle w:val="JuHA"/>
        <w:numPr>
          <w:ilvl w:val="0"/>
          <w:numId w:val="0"/>
        </w:numPr>
        <w:ind w:left="584"/>
      </w:pPr>
      <w:r>
        <w:t>B. Ustawa o Trybunale Konstytucyjnym</w:t>
      </w:r>
    </w:p>
    <w:p w14:paraId="7DC8234E" w14:textId="4023DB18" w:rsidR="00F82259" w:rsidRPr="00F82259" w:rsidRDefault="00167ED2" w:rsidP="00F82259">
      <w:pPr>
        <w:pStyle w:val="JuPara"/>
      </w:pPr>
      <w:r>
        <w:fldChar w:fldCharType="begin"/>
      </w:r>
      <w:r>
        <w:instrText xml:space="preserve"> SEQ level0 \*arabic </w:instrText>
      </w:r>
      <w:r>
        <w:fldChar w:fldCharType="separate"/>
      </w:r>
      <w:r w:rsidR="00FD6D24">
        <w:rPr>
          <w:noProof/>
        </w:rPr>
        <w:t>11</w:t>
      </w:r>
      <w:r>
        <w:rPr>
          <w:noProof/>
        </w:rPr>
        <w:fldChar w:fldCharType="end"/>
      </w:r>
      <w:r w:rsidR="00F82259">
        <w:t xml:space="preserve">.  Artykuł 88a ust. 2 ustawy o Trybunale Konstytucyjnym </w:t>
      </w:r>
      <w:r w:rsidR="00FD6D24">
        <w:t>[</w:t>
      </w:r>
      <w:proofErr w:type="spellStart"/>
      <w:r w:rsidR="00F82259">
        <w:rPr>
          <w:i/>
          <w:iCs/>
        </w:rPr>
        <w:t>Verfassungsgerichtshofgesetz</w:t>
      </w:r>
      <w:proofErr w:type="spellEnd"/>
      <w:r w:rsidR="00FD6D24">
        <w:t>]</w:t>
      </w:r>
      <w:r w:rsidR="00F82259">
        <w:t xml:space="preserve"> w zakresie istotnym dla sprawy stanowi:</w:t>
      </w:r>
    </w:p>
    <w:p w14:paraId="01FF6BE3" w14:textId="77777777" w:rsidR="00F82259" w:rsidRPr="00F82259" w:rsidRDefault="00F82259" w:rsidP="00F82259">
      <w:pPr>
        <w:pStyle w:val="JuQuot"/>
      </w:pPr>
      <w:r>
        <w:t>„(2) Skarga nie jest dozwolona przeciwko:</w:t>
      </w:r>
    </w:p>
    <w:p w14:paraId="3EDAA361" w14:textId="77777777" w:rsidR="00F82259" w:rsidRPr="00F82259" w:rsidRDefault="00F82259" w:rsidP="00F82259">
      <w:pPr>
        <w:pStyle w:val="JuQuot"/>
      </w:pPr>
      <w:r>
        <w:tab/>
        <w:t>1.  ustaleniom dokonanym zgodnie z art. 25a ust. 1 ustawy o sądownictwie administracyjnym; Federalny Dziennik Ustaw nr 10/1985;”</w:t>
      </w:r>
    </w:p>
    <w:p w14:paraId="64BA97C1" w14:textId="77777777" w:rsidR="00F82259" w:rsidRPr="00F82259" w:rsidRDefault="00F82259" w:rsidP="00F82259">
      <w:pPr>
        <w:pStyle w:val="JuHA"/>
        <w:numPr>
          <w:ilvl w:val="0"/>
          <w:numId w:val="0"/>
        </w:numPr>
        <w:ind w:left="584"/>
      </w:pPr>
      <w:r>
        <w:t>C.  Ustawa o sądownictwie administracyjnym</w:t>
      </w:r>
    </w:p>
    <w:bookmarkStart w:id="5" w:name="para12section25aACA"/>
    <w:p w14:paraId="655CBDF3" w14:textId="1ACF3D45" w:rsidR="00F82259" w:rsidRPr="00F82259" w:rsidRDefault="00F82259" w:rsidP="00F82259">
      <w:pPr>
        <w:pStyle w:val="JuPara"/>
      </w:pPr>
      <w:r w:rsidRPr="00F82259">
        <w:fldChar w:fldCharType="begin"/>
      </w:r>
      <w:r w:rsidRPr="00F82259">
        <w:instrText xml:space="preserve"> SEQ level0 \*arabic </w:instrText>
      </w:r>
      <w:r w:rsidRPr="00F82259">
        <w:fldChar w:fldCharType="separate"/>
      </w:r>
      <w:r w:rsidR="00FD6D24">
        <w:rPr>
          <w:noProof/>
        </w:rPr>
        <w:t>12</w:t>
      </w:r>
      <w:r w:rsidRPr="00F82259">
        <w:fldChar w:fldCharType="end"/>
      </w:r>
      <w:bookmarkEnd w:id="5"/>
      <w:r>
        <w:t xml:space="preserve">.  Art. 25a ustawy o sądownictwie administracyjnym </w:t>
      </w:r>
      <w:r w:rsidR="00FD6D24">
        <w:t>[</w:t>
      </w:r>
      <w:proofErr w:type="spellStart"/>
      <w:r>
        <w:rPr>
          <w:i/>
          <w:iCs/>
        </w:rPr>
        <w:t>Verwaltungsgerichtshofgesetz</w:t>
      </w:r>
      <w:proofErr w:type="spellEnd"/>
      <w:r w:rsidR="00FD6D24">
        <w:t>]</w:t>
      </w:r>
      <w:r>
        <w:t xml:space="preserve"> w zakresie istotnym dla sprawy stanowi:</w:t>
      </w:r>
    </w:p>
    <w:p w14:paraId="31EFF044" w14:textId="77777777" w:rsidR="00F82259" w:rsidRPr="00F82259" w:rsidRDefault="00F82259" w:rsidP="00F82259">
      <w:pPr>
        <w:pStyle w:val="JuQuot"/>
      </w:pPr>
      <w:r>
        <w:t>„(1) W decyzji sąd administracyjny określa, czy dozwolona jest skarga na mocy art. 133 § 4 Federalnej Ustawy Konstytucyjnej. Należy sporządzić krótkie uzasadnienie decyzji.</w:t>
      </w:r>
    </w:p>
    <w:p w14:paraId="5CE12423" w14:textId="77777777" w:rsidR="00F82259" w:rsidRPr="00F82259" w:rsidRDefault="00F82259" w:rsidP="00F82259">
      <w:pPr>
        <w:pStyle w:val="JuQuot"/>
      </w:pPr>
      <w:r>
        <w:t>[…]</w:t>
      </w:r>
    </w:p>
    <w:p w14:paraId="44343ED6" w14:textId="77777777" w:rsidR="00F82259" w:rsidRPr="00F82259" w:rsidRDefault="00F82259" w:rsidP="00F82259">
      <w:pPr>
        <w:pStyle w:val="JuQuot"/>
      </w:pPr>
      <w:r>
        <w:t>(4)  Jeżeli w sprawie karnoadministracyjnej lub karnoskarbowej:</w:t>
      </w:r>
    </w:p>
    <w:p w14:paraId="235B75B4" w14:textId="77777777" w:rsidR="00F82259" w:rsidRPr="00F82259" w:rsidRDefault="00F82259" w:rsidP="00F82259">
      <w:pPr>
        <w:pStyle w:val="JuQuot"/>
      </w:pPr>
      <w:r>
        <w:tab/>
        <w:t>1.  może zostać nałożona kara grzywny w wysokości do 750 euro i nie może zostać nałożona kara pozbawienia wolności; oraz</w:t>
      </w:r>
    </w:p>
    <w:p w14:paraId="06BF4BB1" w14:textId="77777777" w:rsidR="00F82259" w:rsidRPr="00F82259" w:rsidRDefault="00F82259" w:rsidP="00F82259">
      <w:pPr>
        <w:pStyle w:val="JuQuot"/>
      </w:pPr>
      <w:r>
        <w:tab/>
        <w:t>2.  została nałożona kara grzywny w wysokości 400 euro,</w:t>
      </w:r>
    </w:p>
    <w:p w14:paraId="73C77BD9" w14:textId="77777777" w:rsidR="00F82259" w:rsidRPr="00F82259" w:rsidRDefault="00F82259" w:rsidP="00F82259">
      <w:pPr>
        <w:pStyle w:val="JuQuot"/>
      </w:pPr>
      <w:r>
        <w:t>skarga nie jest dozwolona.”</w:t>
      </w:r>
    </w:p>
    <w:p w14:paraId="46E716AA" w14:textId="77777777" w:rsidR="00F82259" w:rsidRPr="00F82259" w:rsidRDefault="00F82259" w:rsidP="00F82259">
      <w:pPr>
        <w:pStyle w:val="JuHA"/>
        <w:numPr>
          <w:ilvl w:val="0"/>
          <w:numId w:val="0"/>
        </w:numPr>
        <w:ind w:left="584"/>
      </w:pPr>
      <w:r>
        <w:t>D. Ustawa o przestępstwach administracyjnych</w:t>
      </w:r>
    </w:p>
    <w:p w14:paraId="2A5D41B7" w14:textId="40D9FC80" w:rsidR="00F82259" w:rsidRPr="00F82259" w:rsidRDefault="00167ED2" w:rsidP="00F82259">
      <w:pPr>
        <w:pStyle w:val="JuPara"/>
      </w:pPr>
      <w:r>
        <w:fldChar w:fldCharType="begin"/>
      </w:r>
      <w:r>
        <w:instrText xml:space="preserve"> SEQ level0 \*arabic </w:instrText>
      </w:r>
      <w:r>
        <w:fldChar w:fldCharType="separate"/>
      </w:r>
      <w:r w:rsidR="00FD6D24">
        <w:rPr>
          <w:noProof/>
        </w:rPr>
        <w:t>13</w:t>
      </w:r>
      <w:r>
        <w:rPr>
          <w:noProof/>
        </w:rPr>
        <w:fldChar w:fldCharType="end"/>
      </w:r>
      <w:r w:rsidR="00F82259">
        <w:t xml:space="preserve">.  Ustawa o przestępstwach administracyjnych </w:t>
      </w:r>
      <w:r w:rsidR="00FD6D24">
        <w:t>[</w:t>
      </w:r>
      <w:proofErr w:type="spellStart"/>
      <w:r w:rsidR="00F82259">
        <w:rPr>
          <w:i/>
        </w:rPr>
        <w:t>Verwaltungsstrafgesetz</w:t>
      </w:r>
      <w:proofErr w:type="spellEnd"/>
      <w:r w:rsidR="00FD6D24">
        <w:t>]</w:t>
      </w:r>
      <w:r w:rsidR="00F82259">
        <w:t xml:space="preserve"> reguluje ogólne zasady dotyczące przestępstw administracyjnych i stosowanych procedur. W art. 10 – 18 określono sankcje za przestępstwa administracyjne, takie jak pozbawienie wolności (art. 12), grzywny (art. 13 – 15) czy konfiskata (art. 17).</w:t>
      </w:r>
    </w:p>
    <w:p w14:paraId="56AEC7AB" w14:textId="1ED93F29" w:rsidR="00F82259" w:rsidRPr="00F82259" w:rsidRDefault="00167ED2" w:rsidP="00F82259">
      <w:pPr>
        <w:pStyle w:val="JuPara"/>
      </w:pPr>
      <w:r>
        <w:fldChar w:fldCharType="begin"/>
      </w:r>
      <w:r>
        <w:instrText xml:space="preserve"> SEQ level0 \*arabic </w:instrText>
      </w:r>
      <w:r>
        <w:fldChar w:fldCharType="separate"/>
      </w:r>
      <w:bookmarkStart w:id="6" w:name="paragraph00014"/>
      <w:r w:rsidR="00FD6D24">
        <w:rPr>
          <w:noProof/>
        </w:rPr>
        <w:t>14</w:t>
      </w:r>
      <w:bookmarkEnd w:id="6"/>
      <w:r>
        <w:rPr>
          <w:noProof/>
        </w:rPr>
        <w:fldChar w:fldCharType="end"/>
      </w:r>
      <w:r w:rsidR="00F82259">
        <w:t>.  Artykuł 16, w którym mowa o karze pozbawienia wolności w</w:t>
      </w:r>
      <w:r w:rsidR="00D7181F">
        <w:t> </w:t>
      </w:r>
      <w:r w:rsidR="00F82259">
        <w:t xml:space="preserve">przypadku braku zapłaty grzywny </w:t>
      </w:r>
      <w:r w:rsidR="00FD6D24">
        <w:t>[</w:t>
      </w:r>
      <w:proofErr w:type="spellStart"/>
      <w:r w:rsidR="00F82259">
        <w:rPr>
          <w:i/>
        </w:rPr>
        <w:t>Ersatzfreiheitsstrafe</w:t>
      </w:r>
      <w:proofErr w:type="spellEnd"/>
      <w:r w:rsidR="00FD6D24">
        <w:t>]</w:t>
      </w:r>
      <w:r w:rsidR="00F82259">
        <w:t xml:space="preserve"> – w zakresie istotnym dla sprawy – stanowi:</w:t>
      </w:r>
    </w:p>
    <w:p w14:paraId="0A2EE230" w14:textId="69EFF007" w:rsidR="00F82259" w:rsidRPr="00F82259" w:rsidRDefault="00F82259" w:rsidP="00F82259">
      <w:pPr>
        <w:pStyle w:val="JuQuot"/>
      </w:pPr>
      <w:r>
        <w:t>“(1</w:t>
      </w:r>
      <w:r w:rsidR="00FD6D24">
        <w:t>) Jeżeli</w:t>
      </w:r>
      <w:r>
        <w:t xml:space="preserve"> jako sankcję nałożono grzywnę, należy jednocześnie ustalić wymiar kary pozbawienia wolności w przypadku braku zapłaty [</w:t>
      </w:r>
      <w:proofErr w:type="spellStart"/>
      <w:r>
        <w:rPr>
          <w:i/>
          <w:iCs/>
        </w:rPr>
        <w:t>für</w:t>
      </w:r>
      <w:proofErr w:type="spellEnd"/>
      <w:r>
        <w:rPr>
          <w:i/>
        </w:rPr>
        <w:t xml:space="preserve"> den Fall der </w:t>
      </w:r>
      <w:proofErr w:type="spellStart"/>
      <w:r>
        <w:rPr>
          <w:i/>
        </w:rPr>
        <w:t>Uneinbringlichkeit</w:t>
      </w:r>
      <w:proofErr w:type="spellEnd"/>
      <w:r>
        <w:t>]</w:t>
      </w:r>
      <w:r w:rsidR="00FD6D24">
        <w:t>.</w:t>
      </w:r>
    </w:p>
    <w:p w14:paraId="43A7F09A" w14:textId="5C57E351" w:rsidR="00F82259" w:rsidRPr="00F82259" w:rsidRDefault="00F82259" w:rsidP="00F82259">
      <w:pPr>
        <w:pStyle w:val="JuQuot"/>
      </w:pPr>
      <w:r>
        <w:lastRenderedPageBreak/>
        <w:t>(2) Wymiar kary pozbawienia wolności w przypadku braku zapłaty nie może wynosić więcej niż maksymalny wymiar kary pozbawienia wolności przewidzianej dla danego przestępstwa administracyjnego</w:t>
      </w:r>
      <w:r w:rsidR="00FD6D24">
        <w:t xml:space="preserve"> – </w:t>
      </w:r>
      <w:r>
        <w:t>a jeżeli nie przewidziano kary pozbawienia wolności, nie może wynosić więcej niż dwa tygodnie. Wymiar kary pozbawienia wolności w</w:t>
      </w:r>
      <w:r w:rsidR="00D7181F">
        <w:t> </w:t>
      </w:r>
      <w:r>
        <w:t>przypadku braku zapłaty nie może wynosić więcej niż sześć tygodni [...]”</w:t>
      </w:r>
    </w:p>
    <w:p w14:paraId="1CC62162" w14:textId="6F0DCB29" w:rsidR="00F82259" w:rsidRPr="00F82259" w:rsidRDefault="00167ED2" w:rsidP="00F82259">
      <w:pPr>
        <w:pStyle w:val="JuPara"/>
      </w:pPr>
      <w:r>
        <w:fldChar w:fldCharType="begin"/>
      </w:r>
      <w:r>
        <w:instrText xml:space="preserve"> SEQ level0 \*arabic </w:instrText>
      </w:r>
      <w:r>
        <w:fldChar w:fldCharType="separate"/>
      </w:r>
      <w:bookmarkStart w:id="7" w:name="para15section54bAOA"/>
      <w:r w:rsidR="00FD6D24">
        <w:rPr>
          <w:noProof/>
        </w:rPr>
        <w:t>15</w:t>
      </w:r>
      <w:bookmarkEnd w:id="7"/>
      <w:r>
        <w:rPr>
          <w:noProof/>
        </w:rPr>
        <w:fldChar w:fldCharType="end"/>
      </w:r>
      <w:r w:rsidR="00F82259">
        <w:t>.  Istotne fragmenty art. 54b, który dotyczy egzekwowania grzywien, stanowią, co następuje:</w:t>
      </w:r>
    </w:p>
    <w:p w14:paraId="77FB737B" w14:textId="471AE899" w:rsidR="00F82259" w:rsidRPr="00F82259" w:rsidRDefault="00F82259" w:rsidP="00F82259">
      <w:pPr>
        <w:pStyle w:val="JuQuot"/>
      </w:pPr>
      <w:r>
        <w:t xml:space="preserve">„(1) Grzywna [...] podlega uiszczeniu w terminie dwóch tygodni od jej uprawomocnienia. Jeżeli </w:t>
      </w:r>
      <w:r w:rsidR="00D70E53">
        <w:t xml:space="preserve">wpłata </w:t>
      </w:r>
      <w:r>
        <w:t xml:space="preserve">nie zostanie otrzymana w tym terminie, można określić dodatkowy, stosowny termin, wynoszący nie więcej niż dwa tygodnie. Po upływie </w:t>
      </w:r>
      <w:r w:rsidR="00D70E53">
        <w:t xml:space="preserve">tego </w:t>
      </w:r>
      <w:r>
        <w:t>terminu wykonuje się karę pozbawienia wolności. Jeżeli istnieją powody, aby zakładać, że osoba ukarana nie jest gotowa uiścić grzywny lub że kwoty grzywny nie można ściągnąć w drodze egzekucji, ustalenie dodatkowego terminu nie jest konieczne, a organ dokonuje egzekucji bezzwłoczn</w:t>
      </w:r>
      <w:r w:rsidR="00D70E53">
        <w:t>ie</w:t>
      </w:r>
      <w:r>
        <w:t xml:space="preserve"> lub postępuje zgodnie z ust. 2.</w:t>
      </w:r>
    </w:p>
    <w:p w14:paraId="048A2F72" w14:textId="77777777" w:rsidR="00F82259" w:rsidRPr="00F82259" w:rsidRDefault="00F82259" w:rsidP="00F82259">
      <w:pPr>
        <w:pStyle w:val="JuQuot"/>
      </w:pPr>
      <w:r>
        <w:t>[…]</w:t>
      </w:r>
    </w:p>
    <w:p w14:paraId="444AE255" w14:textId="6E5A1C02" w:rsidR="00F82259" w:rsidRPr="00F82259" w:rsidRDefault="00F82259" w:rsidP="00F82259">
      <w:pPr>
        <w:pStyle w:val="JuQuot"/>
      </w:pPr>
      <w:r>
        <w:t>(2)  Jeżeli kwota grzywny jest nieściągalna [</w:t>
      </w:r>
      <w:proofErr w:type="spellStart"/>
      <w:r>
        <w:rPr>
          <w:i/>
        </w:rPr>
        <w:t>uneinbringlich</w:t>
      </w:r>
      <w:proofErr w:type="spellEnd"/>
      <w:r>
        <w:t xml:space="preserve">] lub istnieją uzasadnione powody, aby tak zakładać, wykonuje się karę pozbawienia wolności odpowiadającą nieuiszczonej grzywnie. Kara pozbawienia wolności nie podlega wykonaniu, jeżeli uiszczono wymagalną kwotę grzywny. </w:t>
      </w:r>
      <w:r w:rsidR="00D70E53">
        <w:t xml:space="preserve">Tę </w:t>
      </w:r>
      <w:r>
        <w:t>informację należy podać w</w:t>
      </w:r>
      <w:r w:rsidR="00D7181F">
        <w:t> </w:t>
      </w:r>
      <w:r>
        <w:t>zarządzeniu wykonania kary [</w:t>
      </w:r>
      <w:proofErr w:type="spellStart"/>
      <w:r>
        <w:rPr>
          <w:i/>
        </w:rPr>
        <w:t>Aufforderung</w:t>
      </w:r>
      <w:proofErr w:type="spellEnd"/>
      <w:r>
        <w:rPr>
          <w:i/>
        </w:rPr>
        <w:t xml:space="preserve"> </w:t>
      </w:r>
      <w:proofErr w:type="spellStart"/>
      <w:r>
        <w:rPr>
          <w:i/>
        </w:rPr>
        <w:t>zum</w:t>
      </w:r>
      <w:proofErr w:type="spellEnd"/>
      <w:r>
        <w:rPr>
          <w:i/>
        </w:rPr>
        <w:t xml:space="preserve"> </w:t>
      </w:r>
      <w:proofErr w:type="spellStart"/>
      <w:r>
        <w:rPr>
          <w:i/>
        </w:rPr>
        <w:t>Strafantritt</w:t>
      </w:r>
      <w:proofErr w:type="spellEnd"/>
      <w:r>
        <w:t>].</w:t>
      </w:r>
    </w:p>
    <w:p w14:paraId="07D9C062" w14:textId="77777777" w:rsidR="00F82259" w:rsidRPr="00F82259" w:rsidRDefault="00F82259" w:rsidP="00F82259">
      <w:pPr>
        <w:pStyle w:val="JuQuot"/>
      </w:pPr>
      <w:r>
        <w:t>(3)  Wobec osoby ukaranej grzywną, od której ze względów finansowych nie można oczekiwać, że uiści grzywnę bezzwłocznie, organ zarządza stosowne przedłużenie terminu lub [udziela zezwolenia na] płatności w ratach [...] [Zezwolenie na] płatność w ratach można udzielić wyłącznie pod warunkiem bezzwłocznej wymagalności pozostałych rat w przypadku zalegania w płatności przynajmniej dwóch rat.”</w:t>
      </w:r>
    </w:p>
    <w:bookmarkStart w:id="8" w:name="para16CCcaselaw"/>
    <w:p w14:paraId="47B6197D" w14:textId="73B6E273" w:rsidR="00F82259" w:rsidRPr="00F82259" w:rsidRDefault="00F82259" w:rsidP="00F82259">
      <w:pPr>
        <w:pStyle w:val="JuPara"/>
      </w:pPr>
      <w:r w:rsidRPr="00F82259">
        <w:fldChar w:fldCharType="begin"/>
      </w:r>
      <w:r w:rsidRPr="00F82259">
        <w:instrText xml:space="preserve"> SEQ level0 \*arabic </w:instrText>
      </w:r>
      <w:r w:rsidRPr="00F82259">
        <w:fldChar w:fldCharType="separate"/>
      </w:r>
      <w:r w:rsidR="00FD6D24">
        <w:rPr>
          <w:noProof/>
        </w:rPr>
        <w:t>16</w:t>
      </w:r>
      <w:r w:rsidRPr="00F82259">
        <w:fldChar w:fldCharType="end"/>
      </w:r>
      <w:bookmarkEnd w:id="8"/>
      <w:r>
        <w:t>.  W swoim orzecznictwie Trybunał Konstytucyjny określił, w jakich warunkach grzywnę</w:t>
      </w:r>
      <w:r w:rsidR="00FD6D24">
        <w:t xml:space="preserve"> </w:t>
      </w:r>
      <w:r>
        <w:t>jako sankcję administracyjną</w:t>
      </w:r>
      <w:r w:rsidR="00D70E53">
        <w:t xml:space="preserve"> </w:t>
      </w:r>
      <w:r>
        <w:t>można uznać za</w:t>
      </w:r>
      <w:r w:rsidR="00D7181F">
        <w:t> </w:t>
      </w:r>
      <w:r>
        <w:t>„nieściągalną” [</w:t>
      </w:r>
      <w:proofErr w:type="spellStart"/>
      <w:r>
        <w:rPr>
          <w:i/>
        </w:rPr>
        <w:t>uneinbringlich</w:t>
      </w:r>
      <w:proofErr w:type="spellEnd"/>
      <w:r>
        <w:t>]:</w:t>
      </w:r>
    </w:p>
    <w:p w14:paraId="2FFC987E" w14:textId="16C22B13" w:rsidR="00F82259" w:rsidRPr="00F82259" w:rsidRDefault="00F82259" w:rsidP="00F82259">
      <w:pPr>
        <w:pStyle w:val="JuQuot"/>
      </w:pPr>
      <w:r>
        <w:t>„Na podstawie art. 54b ustawy o przestępstwach administracyjnych wykonanie kary pozbawienia wolności w przypadku braku zapłaty grzywny administracyjnej</w:t>
      </w:r>
      <w:r w:rsidR="00FD6D24">
        <w:t xml:space="preserve"> – </w:t>
      </w:r>
      <w:r>
        <w:t>zamiast nałożonej grzywny</w:t>
      </w:r>
      <w:r w:rsidR="00FD6D24">
        <w:t xml:space="preserve"> – </w:t>
      </w:r>
      <w:r>
        <w:t xml:space="preserve">nie jest pozostawione do uznania organu. Przeciwnie, przed wykonaniem kary pozbawienia wolności w przypadku braku zapłaty, organ zobowiązany jest przeprowadzić postępowanie egzekucyjne celem ściągnięcia kwoty grzywny lub dochodzenie, którego wynik </w:t>
      </w:r>
      <w:r w:rsidR="00D70E53">
        <w:t xml:space="preserve">musi </w:t>
      </w:r>
      <w:r>
        <w:t>prowadzi</w:t>
      </w:r>
      <w:r w:rsidR="00D70E53">
        <w:t>ć</w:t>
      </w:r>
      <w:r>
        <w:t xml:space="preserve"> do wniosku, iż istnieje duże prawdopodobieństwo niemożliwości ściągnięcia nałożonej kary. Decydująca nie jest chęć osoby skazanej do </w:t>
      </w:r>
      <w:r w:rsidR="00FD6D24">
        <w:t>zapłaty,</w:t>
      </w:r>
      <w:r>
        <w:t xml:space="preserve"> lecz rzeczywista niemożliwość ściągnięcia kwoty grzywny [</w:t>
      </w:r>
      <w:proofErr w:type="spellStart"/>
      <w:r>
        <w:rPr>
          <w:i/>
        </w:rPr>
        <w:t>tatsächliche</w:t>
      </w:r>
      <w:proofErr w:type="spellEnd"/>
      <w:r>
        <w:rPr>
          <w:i/>
        </w:rPr>
        <w:t xml:space="preserve"> </w:t>
      </w:r>
      <w:proofErr w:type="spellStart"/>
      <w:r>
        <w:rPr>
          <w:i/>
        </w:rPr>
        <w:t>Uneinbringlichkeit</w:t>
      </w:r>
      <w:proofErr w:type="spellEnd"/>
      <w:r>
        <w:t>] [zob. postanowienie Trybunału Konstytucyjnego B921/89 z dnia 26 lutego 1990 r., z dalszymi odniesieniami].”</w:t>
      </w:r>
    </w:p>
    <w:p w14:paraId="0872E993" w14:textId="0733CA8C" w:rsidR="00F82259" w:rsidRPr="00F82259" w:rsidRDefault="00167ED2" w:rsidP="00F82259">
      <w:pPr>
        <w:pStyle w:val="JuPara"/>
      </w:pPr>
      <w:r>
        <w:fldChar w:fldCharType="begin"/>
      </w:r>
      <w:r>
        <w:instrText xml:space="preserve"> SEQ level0 \*arabic </w:instrText>
      </w:r>
      <w:r>
        <w:fldChar w:fldCharType="separate"/>
      </w:r>
      <w:r w:rsidR="00FD6D24">
        <w:rPr>
          <w:noProof/>
        </w:rPr>
        <w:t>17</w:t>
      </w:r>
      <w:r>
        <w:rPr>
          <w:noProof/>
        </w:rPr>
        <w:fldChar w:fldCharType="end"/>
      </w:r>
      <w:r w:rsidR="00F82259">
        <w:t xml:space="preserve">.  Zgodnie z orzecznictwem </w:t>
      </w:r>
      <w:r w:rsidR="00D70E53">
        <w:t xml:space="preserve">Najwyższego </w:t>
      </w:r>
      <w:r w:rsidR="00F82259">
        <w:t>Trybunału Administracyjnego dochodzenie dotyczące sytuacji finansowej osoby skazanej winno być aktualne i</w:t>
      </w:r>
      <w:r w:rsidR="00D7181F">
        <w:t> </w:t>
      </w:r>
      <w:r w:rsidR="00F82259">
        <w:t>kompleksowe oraz uwzględniać konkretne wskazania i aktualne dochody osoby (zob. postanowienia Trybunału Administracyjnego 94/02/0165 z dnia 20 maja 1994 r. i 2011/02/0232 z 22 lutego 2013 r.), tak aby stanowiło wystarczającą podstawę do wyciągnięcia wniosku o tym, że istnieją obiektywne powody ku temu, aby założyć, iż osoba nie jest zdolna do zapłaty.</w:t>
      </w:r>
    </w:p>
    <w:p w14:paraId="3B77710A" w14:textId="2162B076" w:rsidR="00F82259" w:rsidRPr="00F82259" w:rsidRDefault="00167ED2" w:rsidP="00F82259">
      <w:pPr>
        <w:pStyle w:val="JuPara"/>
      </w:pPr>
      <w:r>
        <w:lastRenderedPageBreak/>
        <w:fldChar w:fldCharType="begin"/>
      </w:r>
      <w:r>
        <w:instrText xml:space="preserve"> SEQ level0 \*arabic </w:instrText>
      </w:r>
      <w:r>
        <w:fldChar w:fldCharType="separate"/>
      </w:r>
      <w:bookmarkStart w:id="9" w:name="paragraph18"/>
      <w:r w:rsidR="00FD6D24">
        <w:rPr>
          <w:noProof/>
        </w:rPr>
        <w:t>18</w:t>
      </w:r>
      <w:bookmarkEnd w:id="9"/>
      <w:r>
        <w:rPr>
          <w:noProof/>
        </w:rPr>
        <w:fldChar w:fldCharType="end"/>
      </w:r>
      <w:r w:rsidR="00F82259">
        <w:t>.  Trybunał Konstytucyjny stwierdził również, że zarządzenie wykonania kary musi zostać doręczone osobie skazanej. W przypadku braku takiego zarządzenia</w:t>
      </w:r>
      <w:r w:rsidR="00FD6D24">
        <w:t xml:space="preserve"> – </w:t>
      </w:r>
      <w:r w:rsidR="00F82259">
        <w:t xml:space="preserve">które nie jest formalną decyzją </w:t>
      </w:r>
      <w:r w:rsidR="00FD6D24">
        <w:t>[</w:t>
      </w:r>
      <w:proofErr w:type="spellStart"/>
      <w:r w:rsidR="00F82259">
        <w:rPr>
          <w:i/>
        </w:rPr>
        <w:t>Bescheid</w:t>
      </w:r>
      <w:proofErr w:type="spellEnd"/>
      <w:r w:rsidR="00FD6D24">
        <w:t>]</w:t>
      </w:r>
      <w:r w:rsidR="00F82259">
        <w:t xml:space="preserve"> podlegającą skardze</w:t>
      </w:r>
      <w:r w:rsidR="00FD6D24">
        <w:t xml:space="preserve"> – </w:t>
      </w:r>
      <w:r w:rsidR="00F82259">
        <w:t>wykonanie kary pozbawienia wolności w przypadku braku zapłaty jest sprzeczne z prawem i stanowi naruszenie prawa do wolności (zob. np. decyzje Trybunału Konstytucyjnego B175/85 z dnia 27 września 1985 r. i</w:t>
      </w:r>
      <w:r w:rsidR="00D7181F">
        <w:t> </w:t>
      </w:r>
      <w:r w:rsidR="00F82259">
        <w:t>B463/87 z dnia 27 listopada 1987 r.).</w:t>
      </w:r>
    </w:p>
    <w:p w14:paraId="70384ECB" w14:textId="77777777" w:rsidR="00F82259" w:rsidRPr="00F82259" w:rsidRDefault="00F82259" w:rsidP="00F82259">
      <w:pPr>
        <w:pStyle w:val="JuHA"/>
        <w:numPr>
          <w:ilvl w:val="0"/>
          <w:numId w:val="0"/>
        </w:numPr>
        <w:ind w:left="584"/>
      </w:pPr>
      <w:r>
        <w:t>E. Ustawa o ruchu drogowym</w:t>
      </w:r>
    </w:p>
    <w:p w14:paraId="3B33AA7F" w14:textId="6DA983CA" w:rsidR="00F82259" w:rsidRPr="00F82259" w:rsidRDefault="00167ED2" w:rsidP="00F82259">
      <w:pPr>
        <w:pStyle w:val="JuPara"/>
      </w:pPr>
      <w:r>
        <w:fldChar w:fldCharType="begin"/>
      </w:r>
      <w:r>
        <w:instrText xml:space="preserve"> SEQ level0 \*arabic </w:instrText>
      </w:r>
      <w:r>
        <w:fldChar w:fldCharType="separate"/>
      </w:r>
      <w:bookmarkStart w:id="10" w:name="para19section4RTA"/>
      <w:r w:rsidR="00FD6D24">
        <w:rPr>
          <w:noProof/>
        </w:rPr>
        <w:t>19</w:t>
      </w:r>
      <w:bookmarkEnd w:id="10"/>
      <w:r>
        <w:rPr>
          <w:noProof/>
        </w:rPr>
        <w:fldChar w:fldCharType="end"/>
      </w:r>
      <w:r w:rsidR="00F82259">
        <w:t xml:space="preserve">.  Artykuł 4 ustawy o ruchu drogowym </w:t>
      </w:r>
      <w:r w:rsidR="00FD6D24">
        <w:t>[</w:t>
      </w:r>
      <w:proofErr w:type="spellStart"/>
      <w:r w:rsidR="00F82259">
        <w:rPr>
          <w:i/>
        </w:rPr>
        <w:t>Straßenverkehrsordnung</w:t>
      </w:r>
      <w:proofErr w:type="spellEnd"/>
      <w:r w:rsidR="00FD6D24">
        <w:t>]</w:t>
      </w:r>
      <w:r w:rsidR="00F82259">
        <w:t xml:space="preserve"> w</w:t>
      </w:r>
      <w:r w:rsidR="00D7181F">
        <w:t> </w:t>
      </w:r>
      <w:r w:rsidR="00F82259">
        <w:t>zakresie istotnym dla sprawy stanowi:</w:t>
      </w:r>
    </w:p>
    <w:p w14:paraId="4820A194" w14:textId="77777777" w:rsidR="00F82259" w:rsidRPr="00F82259" w:rsidRDefault="00F82259" w:rsidP="00F82259">
      <w:pPr>
        <w:pStyle w:val="JuQuot"/>
      </w:pPr>
      <w:r>
        <w:t>„(1) Osoby, których zachowanie ma związek przyczynowy z wypadkiem drogowym:</w:t>
      </w:r>
    </w:p>
    <w:p w14:paraId="26E383A2" w14:textId="3BC40ECF" w:rsidR="00F82259" w:rsidRPr="00F82259" w:rsidRDefault="00F82259" w:rsidP="00F82259">
      <w:pPr>
        <w:pStyle w:val="JuQuot"/>
      </w:pPr>
      <w:r>
        <w:t>a) zatrzymują się bezzwłocznie, jeżeli kierują pojazdem;</w:t>
      </w:r>
    </w:p>
    <w:p w14:paraId="013DA1AA" w14:textId="6B78E11B" w:rsidR="00F82259" w:rsidRPr="00F82259" w:rsidRDefault="00F82259" w:rsidP="00F82259">
      <w:pPr>
        <w:pStyle w:val="JuQuot"/>
      </w:pPr>
      <w:r>
        <w:t>b) jeżeli w wyniku wypadku drogowego istnieje obawa, że doszło do szkody materialnej lub na osobie, podejmuje wszelkie działania celem uniknięcia takiej szkody;</w:t>
      </w:r>
    </w:p>
    <w:p w14:paraId="346FB8FF" w14:textId="1760B4B5" w:rsidR="00F82259" w:rsidRPr="00F82259" w:rsidRDefault="00F82259" w:rsidP="00F82259">
      <w:pPr>
        <w:pStyle w:val="JuQuot"/>
      </w:pPr>
      <w:r>
        <w:t>c) bierze udział w ustaleniu stanu faktycznego.</w:t>
      </w:r>
    </w:p>
    <w:p w14:paraId="3D18D7FE" w14:textId="77777777" w:rsidR="00F82259" w:rsidRPr="00F82259" w:rsidRDefault="00F82259" w:rsidP="00F82259">
      <w:pPr>
        <w:pStyle w:val="JuQuot"/>
      </w:pPr>
      <w:r>
        <w:t>[…]</w:t>
      </w:r>
    </w:p>
    <w:p w14:paraId="7D2309F1" w14:textId="18B877AB" w:rsidR="00F82259" w:rsidRPr="00F82259" w:rsidRDefault="00F82259" w:rsidP="00F82259">
      <w:pPr>
        <w:pStyle w:val="JuQuot"/>
      </w:pPr>
      <w:r>
        <w:t>(5) Jeżeli w wyniku wypadku drogowego doszło wyłącznie do szkody materialnej [</w:t>
      </w:r>
      <w:proofErr w:type="spellStart"/>
      <w:r>
        <w:rPr>
          <w:i/>
        </w:rPr>
        <w:t>Sachschaden</w:t>
      </w:r>
      <w:proofErr w:type="spellEnd"/>
      <w:r>
        <w:t xml:space="preserve">], osoby, o których mowa w ust. 1, zawiadamiają najbliższy posterunek policji o zdarzeniu bez zbędnej zwłoki; zawiadomienie nie jest </w:t>
      </w:r>
      <w:r w:rsidR="00FD6D24">
        <w:t>wymagane,</w:t>
      </w:r>
      <w:r>
        <w:t xml:space="preserve"> jeżeli osoby, o których mowa w ust. 1, a które poniosły szkody materialne, wymieniły się swoimi imionami i nazwiskami oraz adresami.”</w:t>
      </w:r>
    </w:p>
    <w:p w14:paraId="444162D4" w14:textId="722A9084" w:rsidR="00F82259" w:rsidRPr="00F82259" w:rsidRDefault="00167ED2" w:rsidP="00F82259">
      <w:pPr>
        <w:pStyle w:val="JuPara"/>
        <w:rPr>
          <w:bCs/>
        </w:rPr>
      </w:pPr>
      <w:r>
        <w:fldChar w:fldCharType="begin"/>
      </w:r>
      <w:r>
        <w:instrText xml:space="preserve"> SEQ level0 \*arabic </w:instrText>
      </w:r>
      <w:r>
        <w:fldChar w:fldCharType="separate"/>
      </w:r>
      <w:bookmarkStart w:id="11" w:name="para20section99RTA"/>
      <w:r w:rsidR="00FD6D24">
        <w:rPr>
          <w:noProof/>
        </w:rPr>
        <w:t>20</w:t>
      </w:r>
      <w:bookmarkEnd w:id="11"/>
      <w:r>
        <w:rPr>
          <w:noProof/>
        </w:rPr>
        <w:fldChar w:fldCharType="end"/>
      </w:r>
      <w:r w:rsidR="00F82259">
        <w:t>.  Artykuł 99 ust. 3 w odpowiedniej części brzmi następująco:</w:t>
      </w:r>
    </w:p>
    <w:p w14:paraId="1B7937A9" w14:textId="206BE69E" w:rsidR="00F82259" w:rsidRPr="00F82259" w:rsidRDefault="00F82259" w:rsidP="00F82259">
      <w:pPr>
        <w:pStyle w:val="JuQuot"/>
      </w:pPr>
      <w:r>
        <w:t>“(3</w:t>
      </w:r>
      <w:r w:rsidR="00FD6D24">
        <w:t>) Przestępstwo</w:t>
      </w:r>
      <w:r>
        <w:t xml:space="preserve"> karnoadministracyjne [</w:t>
      </w:r>
      <w:proofErr w:type="spellStart"/>
      <w:r>
        <w:rPr>
          <w:i/>
        </w:rPr>
        <w:t>Verwaltungsübertretung</w:t>
      </w:r>
      <w:proofErr w:type="spellEnd"/>
      <w:r>
        <w:t>] zagrożone karą grzywny w wysokości do 726 euro [i]</w:t>
      </w:r>
      <w:r w:rsidR="00FD6D24">
        <w:t xml:space="preserve"> – </w:t>
      </w:r>
      <w:r>
        <w:t>w przypadku nieściągalności kwoty grzywny</w:t>
      </w:r>
      <w:r w:rsidR="00FD6D24">
        <w:t xml:space="preserve"> – </w:t>
      </w:r>
      <w:r>
        <w:t>karą pozbawienia wolności w maksymalnym wymiarze dwóch tygodni popełnia:</w:t>
      </w:r>
    </w:p>
    <w:p w14:paraId="1458FD4D" w14:textId="77777777" w:rsidR="00F82259" w:rsidRPr="00F82259" w:rsidRDefault="00F82259" w:rsidP="00F82259">
      <w:pPr>
        <w:pStyle w:val="JuQuot"/>
      </w:pPr>
      <w:r>
        <w:t>[…]</w:t>
      </w:r>
    </w:p>
    <w:p w14:paraId="34FA4193" w14:textId="74014CCE" w:rsidR="00F82259" w:rsidRPr="00F82259" w:rsidRDefault="00F82259" w:rsidP="00F82259">
      <w:pPr>
        <w:pStyle w:val="JuQuot"/>
      </w:pPr>
      <w:r>
        <w:t>b) osoba, która narusza postanowienia art. 4, w szczególności jeżeli [...] nie zawiadomi organu o szkodach materialnych, powstałych w wyniku wypadku drogowego [...]”.</w:t>
      </w:r>
    </w:p>
    <w:p w14:paraId="7FB26CA1" w14:textId="3BCB99DC" w:rsidR="00F82259" w:rsidRPr="00F82259" w:rsidRDefault="00F82259" w:rsidP="00F82259">
      <w:pPr>
        <w:pStyle w:val="JuHIRoman"/>
        <w:numPr>
          <w:ilvl w:val="0"/>
          <w:numId w:val="0"/>
        </w:numPr>
      </w:pPr>
      <w:r>
        <w:rPr>
          <w:caps w:val="0"/>
        </w:rPr>
        <w:t>II. SPRAWOZDANIE WYJAŚNIAJĄCE DO PROTOKOŁU NR 7 DO</w:t>
      </w:r>
      <w:r w:rsidR="00D7181F">
        <w:rPr>
          <w:caps w:val="0"/>
        </w:rPr>
        <w:t> </w:t>
      </w:r>
      <w:r>
        <w:rPr>
          <w:caps w:val="0"/>
        </w:rPr>
        <w:t>KONWENCJI</w:t>
      </w:r>
    </w:p>
    <w:bookmarkStart w:id="12" w:name="para20explanatoryreport"/>
    <w:p w14:paraId="7AFE6095" w14:textId="30854A9E" w:rsidR="00F82259" w:rsidRPr="00F82259" w:rsidRDefault="00F82259" w:rsidP="00F82259">
      <w:pPr>
        <w:pStyle w:val="JuPara"/>
      </w:pPr>
      <w:r w:rsidRPr="00F82259">
        <w:fldChar w:fldCharType="begin"/>
      </w:r>
      <w:r w:rsidRPr="00F82259">
        <w:instrText xml:space="preserve"> SEQ level0 \*arabic </w:instrText>
      </w:r>
      <w:r w:rsidRPr="00F82259">
        <w:fldChar w:fldCharType="separate"/>
      </w:r>
      <w:bookmarkStart w:id="13" w:name="para21explanatoryreport"/>
      <w:r w:rsidR="00FD6D24">
        <w:rPr>
          <w:noProof/>
        </w:rPr>
        <w:t>21</w:t>
      </w:r>
      <w:bookmarkEnd w:id="13"/>
      <w:r w:rsidRPr="00F82259">
        <w:fldChar w:fldCharType="end"/>
      </w:r>
      <w:bookmarkEnd w:id="12"/>
      <w:r>
        <w:t>.  Stosowne paragrafy sprawozdania wyjaśniającego do Protokołu nr 7 do Konwencji stanowią, co następuje:</w:t>
      </w:r>
    </w:p>
    <w:p w14:paraId="0BCC3D53" w14:textId="1B31D46C" w:rsidR="00F82259" w:rsidRPr="00F82259" w:rsidRDefault="00F82259" w:rsidP="00F82259">
      <w:pPr>
        <w:pStyle w:val="JuQuot"/>
      </w:pPr>
      <w:r>
        <w:t xml:space="preserve">„17.  W artykule przyznano prawo każdemu, kto został uznany przez sąd za winnego popełnienia przestępstwa, do rozpatrzenia przez sąd wyższej instancji jego sprawy, tak w przedmiocie orzeczenia o winie, jak i co do kary. Nie jest wymagane, aby w każdej sprawie osoba skazana miała prawo do takiego rozpatrzenia zarówno orzeczenia </w:t>
      </w:r>
      <w:r w:rsidR="00DE049F">
        <w:t>o winie</w:t>
      </w:r>
      <w:r w:rsidR="00D406F9">
        <w:t>,</w:t>
      </w:r>
      <w:r w:rsidR="00DE049F">
        <w:t xml:space="preserve"> </w:t>
      </w:r>
      <w:r>
        <w:t>jak i</w:t>
      </w:r>
      <w:r w:rsidR="00D7181F">
        <w:t> </w:t>
      </w:r>
      <w:r w:rsidR="00DE049F">
        <w:t xml:space="preserve">o </w:t>
      </w:r>
      <w:r>
        <w:t>kar</w:t>
      </w:r>
      <w:r w:rsidR="00DE049F">
        <w:t>ze</w:t>
      </w:r>
      <w:r>
        <w:t xml:space="preserve">. Jeżeli więc osoba skazana przykładowo przyzna się do zarzucanego jej czynu, prawo może zostać ograniczone do rozpatrzenia sprawy co do kary. W </w:t>
      </w:r>
      <w:r>
        <w:lastRenderedPageBreak/>
        <w:t>porównaniu z</w:t>
      </w:r>
      <w:r w:rsidR="00D7181F">
        <w:t> </w:t>
      </w:r>
      <w:r>
        <w:t>brzmieniem analogicznych postanowień Paktu ONZ (art. 14 paragraf 5), słowo „sąd” dodano, aby wyraźnie zaznaczyć, iż rzeczone postanowienie nie dotyczy przestępstw sądzonych przez organy niebędące sądami w znaczeniu art. 6 Konwencji.</w:t>
      </w:r>
    </w:p>
    <w:p w14:paraId="3559631C" w14:textId="77777777" w:rsidR="00F82259" w:rsidRPr="00F82259" w:rsidRDefault="00F82259" w:rsidP="00F82259">
      <w:pPr>
        <w:pStyle w:val="JuQuot"/>
        <w:rPr>
          <w:rFonts w:cstheme="minorHAnsi"/>
        </w:rPr>
      </w:pPr>
      <w:r>
        <w:t xml:space="preserve">18.  Rozpatrywanie spraw przez sądy wyższej instancji w państwach członkowskich Rady Europy regulują różne przepisy. W niektórych państwach takie rozpatrywanie jest w pewnych sprawach ograniczone do zagadnień prawnych, tak jak w przypadku </w:t>
      </w:r>
      <w:proofErr w:type="spellStart"/>
      <w:r>
        <w:rPr>
          <w:i/>
          <w:iCs/>
          <w:szCs w:val="20"/>
        </w:rPr>
        <w:t>recours</w:t>
      </w:r>
      <w:proofErr w:type="spellEnd"/>
      <w:r>
        <w:rPr>
          <w:i/>
          <w:iCs/>
          <w:szCs w:val="20"/>
        </w:rPr>
        <w:t xml:space="preserve"> en </w:t>
      </w:r>
      <w:proofErr w:type="spellStart"/>
      <w:r>
        <w:rPr>
          <w:i/>
          <w:iCs/>
          <w:szCs w:val="20"/>
        </w:rPr>
        <w:t>cassation</w:t>
      </w:r>
      <w:proofErr w:type="spellEnd"/>
      <w:r>
        <w:t>. W innych istnieje prawo do odwołania na podstawie zarzutów dotyczących zarówno ustaleń faktycznych, jak i zagadnień prawnych. W artykule pozostawiono kwestię sposobu i podstaw korzystania z tego prawa do rozstrzygnięcia w ramach porządku krajowego.</w:t>
      </w:r>
    </w:p>
    <w:p w14:paraId="413BE75D" w14:textId="77777777" w:rsidR="00F82259" w:rsidRPr="00F82259" w:rsidRDefault="00F82259" w:rsidP="00F82259">
      <w:pPr>
        <w:pStyle w:val="JuQuot"/>
      </w:pPr>
      <w:r>
        <w:t>[…]</w:t>
      </w:r>
    </w:p>
    <w:p w14:paraId="3227AB7C" w14:textId="77777777" w:rsidR="00F82259" w:rsidRPr="00F82259" w:rsidRDefault="00F82259" w:rsidP="00F82259">
      <w:pPr>
        <w:pStyle w:val="JuQuot"/>
      </w:pPr>
      <w:r>
        <w:t>20.  W ustępie 2 artykułu dopuszczono wyjątki od prawa do rozpatrzenia sprawy przez sąd wyższej instancji:</w:t>
      </w:r>
    </w:p>
    <w:p w14:paraId="36EA7F93" w14:textId="77777777" w:rsidR="00F82259" w:rsidRPr="00F82259" w:rsidRDefault="00F82259" w:rsidP="00F82259">
      <w:pPr>
        <w:pStyle w:val="JuQuot"/>
      </w:pPr>
      <w:r>
        <w:t>– w przypadku drobnych przestępstw, określonych w ustawie;</w:t>
      </w:r>
    </w:p>
    <w:p w14:paraId="5D2D07D6" w14:textId="77777777" w:rsidR="00F82259" w:rsidRPr="00F82259" w:rsidRDefault="00F82259" w:rsidP="00F82259">
      <w:pPr>
        <w:pStyle w:val="JuQuot"/>
      </w:pPr>
      <w:r>
        <w:t>[…]</w:t>
      </w:r>
    </w:p>
    <w:p w14:paraId="239289FD" w14:textId="77777777" w:rsidR="00F82259" w:rsidRPr="00F82259" w:rsidRDefault="00F82259" w:rsidP="00F82259">
      <w:pPr>
        <w:pStyle w:val="JuQuot"/>
      </w:pPr>
      <w:r>
        <w:t>21.  W ustaleniu, czy czyn stanowi drobne przestępstwo, istotnym kryterium stanowi zagrożenie karą pozbawienia wolności.”</w:t>
      </w:r>
    </w:p>
    <w:p w14:paraId="47C4824E" w14:textId="77777777" w:rsidR="00F82259" w:rsidRPr="00F82259" w:rsidRDefault="00F82259" w:rsidP="00F82259">
      <w:pPr>
        <w:pStyle w:val="JuHHead"/>
        <w:numPr>
          <w:ilvl w:val="0"/>
          <w:numId w:val="2"/>
        </w:numPr>
        <w:ind w:left="360" w:hanging="360"/>
      </w:pPr>
      <w:r>
        <w:t>PRAWO</w:t>
      </w:r>
    </w:p>
    <w:p w14:paraId="58C7CA8B" w14:textId="77777777" w:rsidR="00F82259" w:rsidRPr="00F82259" w:rsidRDefault="00F82259" w:rsidP="00F82259">
      <w:pPr>
        <w:pStyle w:val="JuHIRoman"/>
      </w:pPr>
      <w:r>
        <w:t>DOMNIEMANE NARUSZENIE ART. 6 KONWENCJI</w:t>
      </w:r>
    </w:p>
    <w:p w14:paraId="03B21908" w14:textId="1F2C6836" w:rsidR="00F82259" w:rsidRPr="00F82259" w:rsidRDefault="00167ED2" w:rsidP="00F82259">
      <w:pPr>
        <w:pStyle w:val="JuPara"/>
      </w:pPr>
      <w:r>
        <w:fldChar w:fldCharType="begin"/>
      </w:r>
      <w:r>
        <w:instrText xml:space="preserve"> SEQ level0 \*arabic </w:instrText>
      </w:r>
      <w:r>
        <w:fldChar w:fldCharType="separate"/>
      </w:r>
      <w:r w:rsidR="00FD6D24">
        <w:rPr>
          <w:noProof/>
        </w:rPr>
        <w:t>22</w:t>
      </w:r>
      <w:r>
        <w:rPr>
          <w:noProof/>
        </w:rPr>
        <w:fldChar w:fldCharType="end"/>
      </w:r>
      <w:r w:rsidR="00F82259">
        <w:t xml:space="preserve">.  Skarżący zarzucił, że doszło do naruszenia zasady równości stron, jako że nie był w stanie wnieść skargi przeciwko decyzji </w:t>
      </w:r>
      <w:r w:rsidR="00C66779">
        <w:t>okręgowego</w:t>
      </w:r>
      <w:r w:rsidR="00F82259">
        <w:t xml:space="preserve"> sądu administracyjnego do </w:t>
      </w:r>
      <w:r w:rsidR="001F3FB8">
        <w:t xml:space="preserve">Najwyższego </w:t>
      </w:r>
      <w:r w:rsidR="00F82259">
        <w:t>Trybunału Administracyjnego, a taką możliwość miał organ, który wydał przedmiotową decyzj</w:t>
      </w:r>
      <w:r w:rsidR="001F3FB8">
        <w:t>ę</w:t>
      </w:r>
      <w:r w:rsidR="00F82259">
        <w:t>. Skarżący powołał się na art. 6 ust. 1 Konwencji, który w odpowiednim zakresie stanowi:</w:t>
      </w:r>
    </w:p>
    <w:p w14:paraId="6276F5E9" w14:textId="77777777" w:rsidR="00F82259" w:rsidRPr="00F82259" w:rsidRDefault="00F82259" w:rsidP="00F82259">
      <w:pPr>
        <w:pStyle w:val="JuQuot"/>
      </w:pPr>
      <w:r>
        <w:t>„Każdy ma prawo do sprawiedliwego […] rozpatrzenia jego sprawy […] przez […] sąd […] przy rozstrzyganiu o […] zasadności każdego oskarżenia w wytoczonej przeciwko niemu sprawie karnej”.</w:t>
      </w:r>
    </w:p>
    <w:p w14:paraId="08C4D9B8" w14:textId="21D027E0" w:rsidR="00F82259" w:rsidRPr="00F82259" w:rsidRDefault="00167ED2" w:rsidP="00F82259">
      <w:pPr>
        <w:pStyle w:val="JuPara"/>
      </w:pPr>
      <w:r>
        <w:fldChar w:fldCharType="begin"/>
      </w:r>
      <w:r>
        <w:instrText xml:space="preserve"> SEQ level0 \*arabic </w:instrText>
      </w:r>
      <w:r>
        <w:fldChar w:fldCharType="separate"/>
      </w:r>
      <w:r w:rsidR="00FD6D24">
        <w:rPr>
          <w:noProof/>
        </w:rPr>
        <w:t>23</w:t>
      </w:r>
      <w:r>
        <w:rPr>
          <w:noProof/>
        </w:rPr>
        <w:fldChar w:fldCharType="end"/>
      </w:r>
      <w:r w:rsidR="00F82259">
        <w:t>.  Rząd stwierdził, że zarzut skarżącego nie dotyczył faktycznego naruszenia Konwencji, lecz hipotetycznych czy teoretycznych możliwości jej naruszenia, bowiem właściwy organ w niniejszej sprawie nie wniósł skargi. Ponadto zdolność organu wydającego przedmiotową decyzję lub właściwego ministra federalnego do wniesienia urzędowej skargi [</w:t>
      </w:r>
      <w:proofErr w:type="spellStart"/>
      <w:r w:rsidR="00F82259">
        <w:rPr>
          <w:i/>
        </w:rPr>
        <w:t>Amtsrevision</w:t>
      </w:r>
      <w:proofErr w:type="spellEnd"/>
      <w:r w:rsidR="00F82259">
        <w:t>] (zob.</w:t>
      </w:r>
      <w:r w:rsidR="00D7181F">
        <w:t> </w:t>
      </w:r>
      <w:r w:rsidR="00F82259">
        <w:t xml:space="preserve">paragraf </w:t>
      </w:r>
      <w:r w:rsidR="00F82259" w:rsidRPr="00F82259">
        <w:fldChar w:fldCharType="begin"/>
      </w:r>
      <w:r w:rsidR="00F82259" w:rsidRPr="00F82259">
        <w:instrText xml:space="preserve"> REF paragraph10 \h </w:instrText>
      </w:r>
      <w:r w:rsidR="00F82259" w:rsidRPr="00F82259">
        <w:fldChar w:fldCharType="separate"/>
      </w:r>
      <w:r w:rsidR="00FD6D24">
        <w:rPr>
          <w:noProof/>
        </w:rPr>
        <w:t>10</w:t>
      </w:r>
      <w:r w:rsidR="00F82259" w:rsidRPr="00F82259">
        <w:fldChar w:fldCharType="end"/>
      </w:r>
      <w:r w:rsidR="00F82259">
        <w:t xml:space="preserve"> powyżej) niezależnie od wysokości grzywny nałożonej w</w:t>
      </w:r>
      <w:r w:rsidR="00D7181F">
        <w:t> </w:t>
      </w:r>
      <w:r w:rsidR="00F82259">
        <w:t>postępowaniu nie stanowiła naruszenia zasady równości stron, jako że</w:t>
      </w:r>
      <w:r w:rsidR="00D7181F">
        <w:t> </w:t>
      </w:r>
      <w:r w:rsidR="00F82259">
        <w:t>celem tego konkretnego środka prawnego była ochrona jednolitości i</w:t>
      </w:r>
      <w:r w:rsidR="00D7181F">
        <w:t> </w:t>
      </w:r>
      <w:r w:rsidR="00F82259">
        <w:t xml:space="preserve">poprawności orzecznictwa </w:t>
      </w:r>
      <w:r w:rsidR="00C66779">
        <w:t>okręgowych</w:t>
      </w:r>
      <w:r w:rsidR="001F3FB8">
        <w:t xml:space="preserve"> </w:t>
      </w:r>
      <w:r w:rsidR="00F82259">
        <w:t>sądów administracyjnych, dzięki czemu możliwe było zapewnienie zgodności z prawem federalnym w</w:t>
      </w:r>
      <w:r w:rsidR="00D7181F">
        <w:t> </w:t>
      </w:r>
      <w:r w:rsidR="00F82259">
        <w:t xml:space="preserve">państwie-federacji i jednolitej jego wykładni. Wreszcie, o ile </w:t>
      </w:r>
      <w:r w:rsidR="001F3FB8">
        <w:t xml:space="preserve">ten </w:t>
      </w:r>
      <w:r w:rsidR="00F82259">
        <w:t xml:space="preserve">organ i minister federalny byli w stanie wnieść urzędową skargę, tylko skarżącemu przysługiwało prawo wniesienia skargi do Trybunału Konstytucyjnego, w którym mógł zarzucić naruszenie konstytucyjnie gwarantowanego prawa lub </w:t>
      </w:r>
      <w:r w:rsidR="00F82259">
        <w:lastRenderedPageBreak/>
        <w:t>zgłosić zastrzeżenia konstytucyjnoprawne dotyczące podstawy prawnej nałożonej grzywny i toku postępowania karnego.</w:t>
      </w:r>
    </w:p>
    <w:p w14:paraId="02E114CE" w14:textId="49966F67" w:rsidR="00F82259" w:rsidRPr="00F82259" w:rsidRDefault="00167ED2" w:rsidP="00F82259">
      <w:pPr>
        <w:pStyle w:val="JuPara"/>
      </w:pPr>
      <w:r>
        <w:fldChar w:fldCharType="begin"/>
      </w:r>
      <w:r>
        <w:instrText xml:space="preserve"> SEQ level0 \*arabic </w:instrText>
      </w:r>
      <w:r>
        <w:fldChar w:fldCharType="separate"/>
      </w:r>
      <w:r w:rsidR="00FD6D24">
        <w:rPr>
          <w:noProof/>
        </w:rPr>
        <w:t>24</w:t>
      </w:r>
      <w:r>
        <w:rPr>
          <w:noProof/>
        </w:rPr>
        <w:fldChar w:fldCharType="end"/>
      </w:r>
      <w:r w:rsidR="00F82259">
        <w:t>.  Skarżący zakwestionował powyższe stanowisko. Stwierdził, że fakt, iż rozpatrzenie decyzji wydanej w pierwszej instancji w drodze skargi do</w:t>
      </w:r>
      <w:r w:rsidR="00D7181F">
        <w:t> </w:t>
      </w:r>
      <w:r w:rsidR="00F82259">
        <w:t>drugiej instancji przysługiwało tylko organowi administracyjnemu, będącemu organem ścigania w postępowaniu karnoadministracyjnym, a</w:t>
      </w:r>
      <w:r w:rsidR="001F3FB8">
        <w:t>le</w:t>
      </w:r>
      <w:r w:rsidR="00F82259">
        <w:t xml:space="preserve"> nie oskarżonemu, skutkował tym, że organ cieszył się pozycją silniejszą od</w:t>
      </w:r>
      <w:r w:rsidR="00D7181F">
        <w:t> </w:t>
      </w:r>
      <w:r w:rsidR="00F82259">
        <w:t xml:space="preserve">oskarżonego w postępowaniu </w:t>
      </w:r>
      <w:proofErr w:type="spellStart"/>
      <w:r w:rsidR="00F82259">
        <w:t>pierwszoinstancyjnym</w:t>
      </w:r>
      <w:proofErr w:type="spellEnd"/>
      <w:r w:rsidR="00F82259">
        <w:t>. Mimo że obu stronom postępowania przysługiwały takie same prawa procesowe w</w:t>
      </w:r>
      <w:r w:rsidR="00D7181F">
        <w:t> </w:t>
      </w:r>
      <w:r w:rsidR="00F82259">
        <w:t xml:space="preserve">pierwszej instancji, to oskarżyciel jako jedyny miał możliwość skierowania skargi na podstawie uchybień procesowych, takich jak oddalenie wniosku dowodowego, nieprzesłuchanie świadka itd., podczas gdy naruszenie praw procesowych skarżącego nie rodziło następstw, </w:t>
      </w:r>
      <w:r w:rsidR="001F3FB8">
        <w:t>ponieważ</w:t>
      </w:r>
      <w:r w:rsidR="00F82259">
        <w:t xml:space="preserve"> skarżący nie miał możliwości wniesienia skargi do </w:t>
      </w:r>
      <w:r w:rsidR="001F3FB8">
        <w:t xml:space="preserve">Najwyższego </w:t>
      </w:r>
      <w:r w:rsidR="00F82259">
        <w:t>Trybunału Administracyjnego.</w:t>
      </w:r>
    </w:p>
    <w:p w14:paraId="0FE7D5B7" w14:textId="21BDA20E" w:rsidR="00F82259" w:rsidRPr="00F82259" w:rsidRDefault="00167ED2" w:rsidP="00F82259">
      <w:pPr>
        <w:pStyle w:val="JuPara"/>
      </w:pPr>
      <w:r>
        <w:fldChar w:fldCharType="begin"/>
      </w:r>
      <w:r>
        <w:instrText xml:space="preserve"> SEQ level0 \*arabic </w:instrText>
      </w:r>
      <w:r>
        <w:fldChar w:fldCharType="separate"/>
      </w:r>
      <w:r w:rsidR="00FD6D24">
        <w:rPr>
          <w:noProof/>
        </w:rPr>
        <w:t>25</w:t>
      </w:r>
      <w:r>
        <w:rPr>
          <w:noProof/>
        </w:rPr>
        <w:fldChar w:fldCharType="end"/>
      </w:r>
      <w:r w:rsidR="00F82259">
        <w:t xml:space="preserve">.  Skarżący nadto uznał, że zdolność ministra federalnego do wniesienia urzędowej skargi do </w:t>
      </w:r>
      <w:r w:rsidR="001F3FB8">
        <w:t xml:space="preserve">Najwyższego </w:t>
      </w:r>
      <w:r w:rsidR="00F82259">
        <w:t xml:space="preserve">Trybunału Administracyjnego ma na celu zapewnienie jednolitości i poprawności orzecznictwa i wynika z uzasadnionego interesu publicznego. Rozważania te nie były jednak zasadne w odniesieniu do organu ścigania, któremu przysługiwało pełne prawo do wniesienia urzędowej skargi, </w:t>
      </w:r>
      <w:r w:rsidR="001F3FB8">
        <w:t xml:space="preserve">które </w:t>
      </w:r>
      <w:r w:rsidR="00F82259">
        <w:t>nie</w:t>
      </w:r>
      <w:r w:rsidR="001F3FB8">
        <w:t xml:space="preserve"> było </w:t>
      </w:r>
      <w:r w:rsidR="00F82259">
        <w:t>ograniczone do spraw mających na celu zapewnienie jednolitości i</w:t>
      </w:r>
      <w:r w:rsidR="00D7181F">
        <w:t> </w:t>
      </w:r>
      <w:r w:rsidR="00F82259">
        <w:t>poprawności orzecznictwa.</w:t>
      </w:r>
    </w:p>
    <w:p w14:paraId="4BFE8DC5" w14:textId="5AA3A9BD" w:rsidR="00F82259" w:rsidRPr="00F82259" w:rsidRDefault="00167ED2" w:rsidP="00F82259">
      <w:pPr>
        <w:pStyle w:val="JuPara"/>
      </w:pPr>
      <w:r>
        <w:fldChar w:fldCharType="begin"/>
      </w:r>
      <w:r>
        <w:instrText xml:space="preserve"> SEQ level0 \*arabic </w:instrText>
      </w:r>
      <w:r>
        <w:fldChar w:fldCharType="separate"/>
      </w:r>
      <w:r w:rsidR="00FD6D24">
        <w:rPr>
          <w:noProof/>
        </w:rPr>
        <w:t>26</w:t>
      </w:r>
      <w:r>
        <w:rPr>
          <w:noProof/>
        </w:rPr>
        <w:fldChar w:fldCharType="end"/>
      </w:r>
      <w:r w:rsidR="00F82259">
        <w:t xml:space="preserve">.  Trybunał stale utrzymywał w swoim orzecznictwie, że Konwencja nie przewiduje instytucji </w:t>
      </w:r>
      <w:proofErr w:type="spellStart"/>
      <w:r w:rsidR="00F82259">
        <w:rPr>
          <w:i/>
          <w:iCs/>
        </w:rPr>
        <w:t>actio</w:t>
      </w:r>
      <w:proofErr w:type="spellEnd"/>
      <w:r w:rsidR="00F82259">
        <w:rPr>
          <w:i/>
          <w:iCs/>
        </w:rPr>
        <w:t xml:space="preserve"> </w:t>
      </w:r>
      <w:proofErr w:type="spellStart"/>
      <w:r w:rsidR="00F82259">
        <w:rPr>
          <w:i/>
          <w:iCs/>
        </w:rPr>
        <w:t>popularis</w:t>
      </w:r>
      <w:proofErr w:type="spellEnd"/>
      <w:r w:rsidR="00F82259">
        <w:t xml:space="preserve">, a także, że jego zadaniem nie jest dokonywanie kontroli odpowiedniego prawa i praktyki </w:t>
      </w:r>
      <w:r w:rsidR="00F82259">
        <w:rPr>
          <w:i/>
          <w:iCs/>
        </w:rPr>
        <w:t xml:space="preserve">in </w:t>
      </w:r>
      <w:proofErr w:type="spellStart"/>
      <w:r w:rsidR="00F82259">
        <w:rPr>
          <w:i/>
          <w:iCs/>
        </w:rPr>
        <w:t>abstracto</w:t>
      </w:r>
      <w:proofErr w:type="spellEnd"/>
      <w:r w:rsidR="00F82259">
        <w:t>, ale określenie, czy sposób, w jaki został</w:t>
      </w:r>
      <w:r w:rsidR="00BD235F">
        <w:t>y</w:t>
      </w:r>
      <w:r w:rsidR="00F82259">
        <w:t xml:space="preserve"> on</w:t>
      </w:r>
      <w:r w:rsidR="00BD235F">
        <w:t>e</w:t>
      </w:r>
      <w:r w:rsidR="00F82259">
        <w:t xml:space="preserve"> zastosowane </w:t>
      </w:r>
      <w:r w:rsidR="00BD235F">
        <w:t xml:space="preserve">wobec skarżącego </w:t>
      </w:r>
      <w:r w:rsidR="00F82259">
        <w:t>lub jaki wywarł</w:t>
      </w:r>
      <w:r w:rsidR="00BD235F">
        <w:t>y</w:t>
      </w:r>
      <w:r w:rsidR="00F82259">
        <w:t xml:space="preserve"> wpływ, mógł dać podstawę do stwierdzenia naruszenia Konwencji. Zgodnie z tym w celu umożliwienia złożenia skargi na mocy art. 34 osoba musi wykazać, że środki, które zaskarżyła, dotyczyły jej w sposób bezpośredni. Jest to nieodzowne do zastosowania mechanizmu ochrony Konwencji, </w:t>
      </w:r>
      <w:r w:rsidR="00BD235F">
        <w:t>jednak</w:t>
      </w:r>
      <w:r w:rsidR="00F82259">
        <w:t xml:space="preserve"> </w:t>
      </w:r>
      <w:r w:rsidR="00BD235F">
        <w:t xml:space="preserve">tego </w:t>
      </w:r>
      <w:r w:rsidR="00F82259">
        <w:t xml:space="preserve">kryterium nie należy stosować </w:t>
      </w:r>
      <w:r w:rsidR="00BD235F">
        <w:t xml:space="preserve">ściśle, mechanicznie </w:t>
      </w:r>
      <w:r w:rsidR="00F82259">
        <w:t>czy</w:t>
      </w:r>
      <w:r w:rsidR="00BD235F">
        <w:t xml:space="preserve"> </w:t>
      </w:r>
      <w:r w:rsidR="00F82259">
        <w:t>w</w:t>
      </w:r>
      <w:r w:rsidR="00D7181F">
        <w:t> </w:t>
      </w:r>
      <w:r w:rsidR="00F82259">
        <w:t xml:space="preserve">sposób wykluczający jakąkolwiek elastyczność </w:t>
      </w:r>
      <w:r w:rsidR="00BD235F">
        <w:t xml:space="preserve">w trakcie postępowania </w:t>
      </w:r>
      <w:r w:rsidR="00F82259">
        <w:t xml:space="preserve">(zob. </w:t>
      </w:r>
      <w:r w:rsidR="00F82259">
        <w:rPr>
          <w:i/>
        </w:rPr>
        <w:t xml:space="preserve">Roman </w:t>
      </w:r>
      <w:proofErr w:type="spellStart"/>
      <w:r w:rsidR="00F82259">
        <w:rPr>
          <w:i/>
        </w:rPr>
        <w:t>Zakharov</w:t>
      </w:r>
      <w:proofErr w:type="spellEnd"/>
      <w:r w:rsidR="00F82259">
        <w:rPr>
          <w:i/>
          <w:iCs/>
        </w:rPr>
        <w:t xml:space="preserve"> </w:t>
      </w:r>
      <w:r w:rsidR="00F82259">
        <w:rPr>
          <w:i/>
        </w:rPr>
        <w:t>przeciwko Rosji</w:t>
      </w:r>
      <w:r w:rsidR="00F82259">
        <w:t xml:space="preserve"> [WI], skarga nr 47143/06, § 164, ETPC 2015, z dalszymi odniesieniami).</w:t>
      </w:r>
    </w:p>
    <w:p w14:paraId="7F91A98F" w14:textId="54CCE0C8" w:rsidR="00F82259" w:rsidRPr="00F82259" w:rsidRDefault="00167ED2" w:rsidP="00F82259">
      <w:pPr>
        <w:pStyle w:val="JuPara"/>
      </w:pPr>
      <w:r>
        <w:fldChar w:fldCharType="begin"/>
      </w:r>
      <w:r>
        <w:instrText xml:space="preserve"> SEQ level0 \*arabic </w:instrText>
      </w:r>
      <w:r>
        <w:fldChar w:fldCharType="separate"/>
      </w:r>
      <w:r w:rsidR="00FD6D24">
        <w:rPr>
          <w:noProof/>
        </w:rPr>
        <w:t>27</w:t>
      </w:r>
      <w:r>
        <w:rPr>
          <w:noProof/>
        </w:rPr>
        <w:fldChar w:fldCharType="end"/>
      </w:r>
      <w:r w:rsidR="00F82259">
        <w:t>.  W niniejszej sprawie Trybunał zauważa, po pierwsze, że</w:t>
      </w:r>
      <w:r w:rsidR="00D7181F">
        <w:t> </w:t>
      </w:r>
      <w:r w:rsidR="00F82259">
        <w:t>w</w:t>
      </w:r>
      <w:r w:rsidR="00D7181F">
        <w:t> </w:t>
      </w:r>
      <w:r w:rsidR="00F82259">
        <w:t>rzeczywistości wyłącznie organowi, który wydał przedmiotową decyzję, i</w:t>
      </w:r>
      <w:r w:rsidR="00D7181F">
        <w:t> </w:t>
      </w:r>
      <w:r w:rsidR="00F82259">
        <w:t xml:space="preserve">ministrowi federalnemu właściwemu do niektórych zagadnień prawnych, określonemu zgodnie z prawodawstwem krajowym (zob. paragraf </w:t>
      </w:r>
      <w:r w:rsidR="00F82259" w:rsidRPr="00F82259">
        <w:fldChar w:fldCharType="begin"/>
      </w:r>
      <w:r w:rsidR="00F82259" w:rsidRPr="00F82259">
        <w:instrText xml:space="preserve"> REF paragraph10 \h  \* MERGEFORMAT </w:instrText>
      </w:r>
      <w:r w:rsidR="00F82259" w:rsidRPr="00F82259">
        <w:fldChar w:fldCharType="separate"/>
      </w:r>
      <w:r w:rsidR="00FD6D24">
        <w:t>10</w:t>
      </w:r>
      <w:r w:rsidR="00F82259" w:rsidRPr="00F82259">
        <w:fldChar w:fldCharType="end"/>
      </w:r>
      <w:r w:rsidR="00F82259">
        <w:t xml:space="preserve"> powyżej), przysługiwało prawo wniesienia urzędowej skargi na podstawie zarzutu sprzeczności z prawem. Ani właściwy minister federalny ani organ, który wystawił mandat i pełnił rolę przeciwnika skarżącego w postępowaniu przed </w:t>
      </w:r>
      <w:r w:rsidR="00C66779">
        <w:t>okręgowym</w:t>
      </w:r>
      <w:r w:rsidR="00BD235F">
        <w:t xml:space="preserve"> </w:t>
      </w:r>
      <w:r w:rsidR="00F82259">
        <w:t xml:space="preserve">sądem administracyjnym, nie wnieśli jednak faktycznie urzędowej skargi do </w:t>
      </w:r>
      <w:r w:rsidR="00BD235F">
        <w:t xml:space="preserve">Najwyższego </w:t>
      </w:r>
      <w:r w:rsidR="00F82259">
        <w:t>Trybunału Administracyjnego. Skarżący stwierdził, że</w:t>
      </w:r>
      <w:r w:rsidR="00D7181F">
        <w:t> </w:t>
      </w:r>
      <w:r w:rsidR="00F82259">
        <w:t xml:space="preserve">sam fakt, iż stronie przeciwnej przysługiwało wniesienie takiej </w:t>
      </w:r>
      <w:r w:rsidR="00F82259">
        <w:lastRenderedPageBreak/>
        <w:t xml:space="preserve">urzędowej skargi, sprawiał, że miała silniejszą pozycję w postępowaniu przed </w:t>
      </w:r>
      <w:r w:rsidR="00C66779">
        <w:t>okręgowym</w:t>
      </w:r>
      <w:r w:rsidR="00BD235F">
        <w:t xml:space="preserve"> </w:t>
      </w:r>
      <w:r w:rsidR="00F82259">
        <w:t xml:space="preserve">sądem administracyjnym niż oskarżony. </w:t>
      </w:r>
      <w:r w:rsidR="00BD235F">
        <w:t>Niemniej z</w:t>
      </w:r>
      <w:r w:rsidR="00F82259">
        <w:t xml:space="preserve"> uwagi na</w:t>
      </w:r>
      <w:r w:rsidR="00D7181F">
        <w:t> </w:t>
      </w:r>
      <w:r w:rsidR="00F82259">
        <w:t xml:space="preserve">brak uzasadnienia takiego argumentu, Trybunał nie dostrzega, w jaki sposób samo istnienie środka wzmacniało procesową pozycję strony przeciwnej na szkodę skarżącego w postępowaniu przed </w:t>
      </w:r>
      <w:r w:rsidR="00C66779">
        <w:t>okręgowym</w:t>
      </w:r>
      <w:r w:rsidR="00BD235F">
        <w:t xml:space="preserve"> </w:t>
      </w:r>
      <w:r w:rsidR="00F82259">
        <w:t>sądem administracyjnym.</w:t>
      </w:r>
    </w:p>
    <w:p w14:paraId="1222E1D7" w14:textId="4CCAF027" w:rsidR="00F82259" w:rsidRPr="00F82259" w:rsidRDefault="00167ED2" w:rsidP="00F82259">
      <w:pPr>
        <w:pStyle w:val="JuPara"/>
      </w:pPr>
      <w:r>
        <w:fldChar w:fldCharType="begin"/>
      </w:r>
      <w:r>
        <w:instrText xml:space="preserve"> SEQ level0 \*arabic </w:instrText>
      </w:r>
      <w:r>
        <w:fldChar w:fldCharType="separate"/>
      </w:r>
      <w:r w:rsidR="00FD6D24">
        <w:rPr>
          <w:noProof/>
        </w:rPr>
        <w:t>28</w:t>
      </w:r>
      <w:r>
        <w:rPr>
          <w:noProof/>
        </w:rPr>
        <w:fldChar w:fldCharType="end"/>
      </w:r>
      <w:r w:rsidR="00F82259">
        <w:t>.  </w:t>
      </w:r>
      <w:r w:rsidR="00BD235F">
        <w:t xml:space="preserve">W związku z tym </w:t>
      </w:r>
      <w:r w:rsidR="00F82259">
        <w:t xml:space="preserve">fakty w niniejszej sprawie nie wskazują na to, aby skarżący mógł utrzymywać, że jest ofiarą naruszenia zasady równości stron, gwarantowanej przez art. 6 Konwencji. Niniejszy zarzut jest zatem niezgodny </w:t>
      </w:r>
      <w:r w:rsidR="00F82259">
        <w:rPr>
          <w:i/>
        </w:rPr>
        <w:t xml:space="preserve">ratione </w:t>
      </w:r>
      <w:proofErr w:type="spellStart"/>
      <w:r w:rsidR="00F82259">
        <w:rPr>
          <w:i/>
        </w:rPr>
        <w:t>personae</w:t>
      </w:r>
      <w:proofErr w:type="spellEnd"/>
      <w:r w:rsidR="00F82259">
        <w:t xml:space="preserve"> z postanowieniami Konwencji w rozumieniu art. 35 ust. 3 lit. a, w związku z czym podlega odrzuceniu </w:t>
      </w:r>
      <w:r w:rsidR="002059E6">
        <w:t>na podstawie</w:t>
      </w:r>
      <w:r w:rsidR="00F82259">
        <w:t xml:space="preserve"> art. 35 ust. 4.</w:t>
      </w:r>
    </w:p>
    <w:p w14:paraId="5F3EB791" w14:textId="00B734C1" w:rsidR="00F82259" w:rsidRPr="00F82259" w:rsidRDefault="00F82259" w:rsidP="00F82259">
      <w:pPr>
        <w:pStyle w:val="JuHIRoman"/>
      </w:pPr>
      <w:r>
        <w:t>DOMNIEMANE NARUSZENIE ART. 2 PROTOKOŁU NR 7 DO</w:t>
      </w:r>
      <w:r w:rsidR="00A134DB">
        <w:t> </w:t>
      </w:r>
      <w:r>
        <w:t>KONWENCJI</w:t>
      </w:r>
    </w:p>
    <w:p w14:paraId="041513F1" w14:textId="196B9423" w:rsidR="00F82259" w:rsidRPr="00F82259" w:rsidRDefault="00167ED2" w:rsidP="00F82259">
      <w:pPr>
        <w:pStyle w:val="JuPara"/>
      </w:pPr>
      <w:r>
        <w:fldChar w:fldCharType="begin"/>
      </w:r>
      <w:r>
        <w:instrText xml:space="preserve"> SEQ level0 \*arabic </w:instrText>
      </w:r>
      <w:r>
        <w:fldChar w:fldCharType="separate"/>
      </w:r>
      <w:r w:rsidR="00FD6D24">
        <w:rPr>
          <w:noProof/>
        </w:rPr>
        <w:t>29</w:t>
      </w:r>
      <w:r>
        <w:rPr>
          <w:noProof/>
        </w:rPr>
        <w:fldChar w:fldCharType="end"/>
      </w:r>
      <w:r w:rsidR="00F82259">
        <w:t xml:space="preserve">.  Skarżący zarzucił brak możliwości odwołania się do </w:t>
      </w:r>
      <w:r w:rsidR="00C66779">
        <w:t xml:space="preserve">Najwyższego </w:t>
      </w:r>
      <w:r w:rsidR="00F82259">
        <w:t>Trybunału Administracyjnego przeciwko decyzji okręgowego sądu administracyjnego. Powołał się na art. 2 Protokołu nr 7, który stanowi:</w:t>
      </w:r>
    </w:p>
    <w:p w14:paraId="37AAA4FF" w14:textId="43BEED8A" w:rsidR="00F82259" w:rsidRPr="00F82259" w:rsidRDefault="00F82259" w:rsidP="00F82259">
      <w:pPr>
        <w:pStyle w:val="JuQuot"/>
      </w:pPr>
      <w:r>
        <w:t>„1.  Każdy, kto został uznany przez sąd za winnego popełnienia przestępstwa, ma</w:t>
      </w:r>
      <w:r w:rsidR="00A134DB">
        <w:t> </w:t>
      </w:r>
      <w:r>
        <w:t>prawo do rozpatrzenia przez sąd wyższej instancji jego sprawy, tak w przedmiocie orzeczenia o winie, jak i co do kary. Korzystanie z tego prawa, a także jego podstawy, reguluje ustawa.</w:t>
      </w:r>
    </w:p>
    <w:p w14:paraId="28889711" w14:textId="77777777" w:rsidR="00F82259" w:rsidRPr="00F82259" w:rsidRDefault="00F82259" w:rsidP="00F82259">
      <w:pPr>
        <w:pStyle w:val="JuQuot"/>
      </w:pPr>
      <w:r>
        <w:t>2.  Wyjątki od tego prawa mogą być stosowane w przypadku drobnych przestępstw, określonych w ustawie, lub w przypadkach, gdy dana osoba była sądzona w pierwszej instancji przez sąd najwyższy albo została uznana za winną i skazana w wyniku zaskarżenia wyroku uniewinniającego sądu pierwszej instancji.</w:t>
      </w:r>
    </w:p>
    <w:p w14:paraId="1B182525" w14:textId="77777777" w:rsidR="00F82259" w:rsidRPr="00F82259" w:rsidRDefault="00F82259" w:rsidP="00F82259">
      <w:pPr>
        <w:pStyle w:val="JuHA"/>
        <w:numPr>
          <w:ilvl w:val="2"/>
          <w:numId w:val="2"/>
        </w:numPr>
        <w:ind w:left="1224" w:hanging="504"/>
      </w:pPr>
      <w:r>
        <w:t>Dopuszczalność</w:t>
      </w:r>
    </w:p>
    <w:p w14:paraId="0855B83D" w14:textId="58F1DA89" w:rsidR="00F82259" w:rsidRPr="00F82259" w:rsidRDefault="00167ED2" w:rsidP="00F82259">
      <w:pPr>
        <w:pStyle w:val="JuPara"/>
      </w:pPr>
      <w:r>
        <w:fldChar w:fldCharType="begin"/>
      </w:r>
      <w:r>
        <w:instrText xml:space="preserve"> SEQ level0 \*arabic </w:instrText>
      </w:r>
      <w:r>
        <w:fldChar w:fldCharType="separate"/>
      </w:r>
      <w:r w:rsidR="00FD6D24">
        <w:rPr>
          <w:noProof/>
        </w:rPr>
        <w:t>30</w:t>
      </w:r>
      <w:r>
        <w:rPr>
          <w:noProof/>
        </w:rPr>
        <w:fldChar w:fldCharType="end"/>
      </w:r>
      <w:r w:rsidR="00F82259">
        <w:t>.  Strony zgadzają się co do tego, że postępowanie przed okręgowym sądem administracyjnym przeciwko skarżącemu dotyczyło skazania za</w:t>
      </w:r>
      <w:r w:rsidR="00A134DB">
        <w:t> </w:t>
      </w:r>
      <w:r w:rsidR="00F82259">
        <w:t>przestępstwo karne. Trybunał nie dostrzega powodu, by nie zgodzić się z</w:t>
      </w:r>
      <w:r w:rsidR="00A134DB">
        <w:t> </w:t>
      </w:r>
      <w:r w:rsidR="00F82259">
        <w:t xml:space="preserve">tym poglądem. </w:t>
      </w:r>
      <w:r w:rsidR="00F82259">
        <w:rPr>
          <w:rFonts w:ascii="Times New Roman" w:hAnsi="Times New Roman"/>
        </w:rPr>
        <w:t>W istocie</w:t>
      </w:r>
      <w:r w:rsidR="0085411A">
        <w:rPr>
          <w:rFonts w:ascii="Times New Roman" w:hAnsi="Times New Roman"/>
        </w:rPr>
        <w:t>,</w:t>
      </w:r>
      <w:r w:rsidR="00F82259">
        <w:rPr>
          <w:rFonts w:ascii="Times New Roman" w:hAnsi="Times New Roman"/>
        </w:rPr>
        <w:t xml:space="preserve"> zgodnie z ugruntowanym orzecznictwem</w:t>
      </w:r>
      <w:r w:rsidR="0085411A">
        <w:rPr>
          <w:rFonts w:ascii="Times New Roman" w:hAnsi="Times New Roman"/>
        </w:rPr>
        <w:t>,</w:t>
      </w:r>
      <w:r w:rsidR="00F82259">
        <w:rPr>
          <w:rFonts w:ascii="Times New Roman" w:hAnsi="Times New Roman"/>
        </w:rPr>
        <w:t xml:space="preserve"> art. 6 ust. 1 Konwencji w zakresie odnoszącym się do sprawy karnej ma</w:t>
      </w:r>
      <w:r w:rsidR="00A134DB">
        <w:rPr>
          <w:rFonts w:ascii="Times New Roman" w:hAnsi="Times New Roman"/>
        </w:rPr>
        <w:t> </w:t>
      </w:r>
      <w:r w:rsidR="00F82259">
        <w:rPr>
          <w:rFonts w:ascii="Times New Roman" w:hAnsi="Times New Roman"/>
        </w:rPr>
        <w:t>zastosowanie w sprawach administracyjnych, jak ta przedmiotowa, i</w:t>
      </w:r>
      <w:r w:rsidR="00A134DB">
        <w:rPr>
          <w:rFonts w:ascii="Times New Roman" w:hAnsi="Times New Roman"/>
        </w:rPr>
        <w:t> </w:t>
      </w:r>
      <w:r w:rsidR="00F82259">
        <w:rPr>
          <w:rFonts w:ascii="Times New Roman" w:hAnsi="Times New Roman"/>
        </w:rPr>
        <w:t>analogicznych postępowaniach karnoadministracyjnych, określonych w</w:t>
      </w:r>
      <w:r w:rsidR="00A134DB">
        <w:rPr>
          <w:rFonts w:ascii="Times New Roman" w:hAnsi="Times New Roman"/>
        </w:rPr>
        <w:t> </w:t>
      </w:r>
      <w:r w:rsidR="00F82259">
        <w:rPr>
          <w:rFonts w:ascii="Times New Roman" w:hAnsi="Times New Roman"/>
        </w:rPr>
        <w:t xml:space="preserve">prawie austriackim (zob. </w:t>
      </w:r>
      <w:proofErr w:type="spellStart"/>
      <w:r w:rsidR="00F82259">
        <w:rPr>
          <w:rFonts w:ascii="Times New Roman" w:hAnsi="Times New Roman"/>
          <w:i/>
        </w:rPr>
        <w:t>Gradinger</w:t>
      </w:r>
      <w:proofErr w:type="spellEnd"/>
      <w:r w:rsidR="00F82259">
        <w:rPr>
          <w:rFonts w:ascii="Times New Roman" w:hAnsi="Times New Roman"/>
          <w:i/>
        </w:rPr>
        <w:t xml:space="preserve"> przeciwko Austrii</w:t>
      </w:r>
      <w:r w:rsidR="00F82259">
        <w:rPr>
          <w:rFonts w:ascii="Times New Roman" w:hAnsi="Times New Roman"/>
        </w:rPr>
        <w:t>, 23 października 1995 r., § 36, Seria A nr 328-C</w:t>
      </w:r>
      <w:r w:rsidR="00F82259">
        <w:rPr>
          <w:rFonts w:ascii="Times New Roman" w:hAnsi="Times New Roman"/>
          <w:iCs/>
        </w:rPr>
        <w:t xml:space="preserve"> oraz </w:t>
      </w:r>
      <w:proofErr w:type="spellStart"/>
      <w:r w:rsidR="00F82259">
        <w:rPr>
          <w:rFonts w:ascii="Times New Roman" w:hAnsi="Times New Roman"/>
          <w:i/>
        </w:rPr>
        <w:t>Baischer</w:t>
      </w:r>
      <w:proofErr w:type="spellEnd"/>
      <w:r w:rsidR="00F82259">
        <w:rPr>
          <w:rFonts w:ascii="Times New Roman" w:hAnsi="Times New Roman"/>
          <w:i/>
        </w:rPr>
        <w:t xml:space="preserve"> przeciwko Austrii</w:t>
      </w:r>
      <w:r w:rsidR="00F82259">
        <w:rPr>
          <w:rFonts w:ascii="Times New Roman" w:hAnsi="Times New Roman"/>
        </w:rPr>
        <w:t xml:space="preserve">, skarga nr 32381/96, § 22, 20 grudnia 2001 r.). </w:t>
      </w:r>
      <w:r w:rsidR="00F82259">
        <w:t xml:space="preserve">Pojęcie „przestępstwa” w pierwszym zdaniu art. 2 Protokołu nr 7 odpowiada pojęciu „oskarżenia w sprawie karnej” z art. 6 ust. 1 Konwencji (zob. </w:t>
      </w:r>
      <w:proofErr w:type="spellStart"/>
      <w:r w:rsidR="00F82259">
        <w:rPr>
          <w:i/>
        </w:rPr>
        <w:t>Zaicevs</w:t>
      </w:r>
      <w:proofErr w:type="spellEnd"/>
      <w:r w:rsidR="00F82259">
        <w:rPr>
          <w:i/>
        </w:rPr>
        <w:t xml:space="preserve"> przeciwko Łotwie</w:t>
      </w:r>
      <w:r w:rsidR="00F82259">
        <w:t>, skarga nr 65022/01, § 53, 31 lipca 2007 r.). Z tego powodu art. 2 Protokołu nr 7 ma zastosowanie w niniejszej sprawie.</w:t>
      </w:r>
    </w:p>
    <w:p w14:paraId="5B89ADB0" w14:textId="44562B72" w:rsidR="00F82259" w:rsidRPr="00F82259" w:rsidRDefault="00167ED2" w:rsidP="00F82259">
      <w:pPr>
        <w:pStyle w:val="JuPara"/>
      </w:pPr>
      <w:r>
        <w:lastRenderedPageBreak/>
        <w:fldChar w:fldCharType="begin"/>
      </w:r>
      <w:r>
        <w:instrText xml:space="preserve"> SEQ level0 \*arabic \* MERGEFORMAT </w:instrText>
      </w:r>
      <w:r>
        <w:fldChar w:fldCharType="separate"/>
      </w:r>
      <w:r w:rsidR="00FD6D24">
        <w:rPr>
          <w:noProof/>
        </w:rPr>
        <w:t>31</w:t>
      </w:r>
      <w:r>
        <w:rPr>
          <w:noProof/>
        </w:rPr>
        <w:fldChar w:fldCharType="end"/>
      </w:r>
      <w:r w:rsidR="006F6C72">
        <w:t>.  Trybunał stwierdza, że zarzut nie jest ani w sposób oczywisty nieuzasadniony, ani niedopuszczalny z innych powodów wymienionych w art. 35 Konwencji. Należy go zatem uznać za dopuszczalny.</w:t>
      </w:r>
    </w:p>
    <w:p w14:paraId="4BD91540" w14:textId="77777777" w:rsidR="00F82259" w:rsidRPr="00F82259" w:rsidRDefault="00F82259" w:rsidP="00F82259">
      <w:pPr>
        <w:pStyle w:val="JuHA"/>
        <w:numPr>
          <w:ilvl w:val="2"/>
          <w:numId w:val="2"/>
        </w:numPr>
        <w:ind w:left="1224" w:hanging="504"/>
      </w:pPr>
      <w:r>
        <w:t>Przedmiot skargi</w:t>
      </w:r>
    </w:p>
    <w:p w14:paraId="621109B2" w14:textId="343C2EC2" w:rsidR="00F82259" w:rsidRPr="00F82259" w:rsidRDefault="00F82259" w:rsidP="00F82259">
      <w:pPr>
        <w:pStyle w:val="JuH1"/>
        <w:numPr>
          <w:ilvl w:val="3"/>
          <w:numId w:val="2"/>
        </w:numPr>
        <w:ind w:left="1728" w:hanging="648"/>
      </w:pPr>
      <w:r>
        <w:t>Stanowiska stron</w:t>
      </w:r>
    </w:p>
    <w:p w14:paraId="42ADDC83" w14:textId="206BD4F9" w:rsidR="00F82259" w:rsidRPr="00F82259" w:rsidRDefault="00167ED2" w:rsidP="00F82259">
      <w:pPr>
        <w:pStyle w:val="JuPara"/>
      </w:pPr>
      <w:r>
        <w:fldChar w:fldCharType="begin"/>
      </w:r>
      <w:r>
        <w:instrText xml:space="preserve"> SEQ level0 \*arabic </w:instrText>
      </w:r>
      <w:r>
        <w:fldChar w:fldCharType="separate"/>
      </w:r>
      <w:r w:rsidR="00FD6D24">
        <w:rPr>
          <w:noProof/>
        </w:rPr>
        <w:t>32</w:t>
      </w:r>
      <w:r>
        <w:rPr>
          <w:noProof/>
        </w:rPr>
        <w:fldChar w:fldCharType="end"/>
      </w:r>
      <w:r w:rsidR="00F82259">
        <w:t>.  Skarżący stwierdził, że doszło do naruszenia przysługującego mu</w:t>
      </w:r>
      <w:r w:rsidR="00A134DB">
        <w:t> </w:t>
      </w:r>
      <w:r w:rsidR="00F82259">
        <w:t>prawa rozpatrzenia jego wyroku skazującego przez sąd wyższej instancji. Wyrok skazujący okręgowego sądu administracyjnego nie dotyczył drobnego przestępstwa, jako że zgodnie z orzecznictwem Trybunału przestępstwa zagrożone karą pozbawienia wolności do czternastu dni nie są uznawane za</w:t>
      </w:r>
      <w:r w:rsidR="00A134DB">
        <w:t> </w:t>
      </w:r>
      <w:r w:rsidR="00F82259">
        <w:t xml:space="preserve">przestępstwa drobne (zob. </w:t>
      </w:r>
      <w:proofErr w:type="spellStart"/>
      <w:r w:rsidR="00F82259">
        <w:rPr>
          <w:i/>
        </w:rPr>
        <w:t>Zaicevs</w:t>
      </w:r>
      <w:proofErr w:type="spellEnd"/>
      <w:r w:rsidR="00F82259">
        <w:t xml:space="preserve">, cyt. powyżej; </w:t>
      </w:r>
      <w:proofErr w:type="spellStart"/>
      <w:r w:rsidR="00F82259">
        <w:rPr>
          <w:i/>
        </w:rPr>
        <w:t>Galstyan</w:t>
      </w:r>
      <w:proofErr w:type="spellEnd"/>
      <w:r w:rsidR="00F82259">
        <w:rPr>
          <w:i/>
        </w:rPr>
        <w:t xml:space="preserve"> przeciwko Armenii</w:t>
      </w:r>
      <w:r w:rsidR="00F82259">
        <w:t xml:space="preserve">, skarga nr 26986/03, 15 listopada 2007 r. oraz </w:t>
      </w:r>
      <w:proofErr w:type="spellStart"/>
      <w:r w:rsidR="00F82259">
        <w:rPr>
          <w:i/>
        </w:rPr>
        <w:t>Gurepka</w:t>
      </w:r>
      <w:proofErr w:type="spellEnd"/>
      <w:r w:rsidR="00F82259">
        <w:rPr>
          <w:i/>
        </w:rPr>
        <w:t xml:space="preserve"> przeciwko Ukrainie (nr 2)</w:t>
      </w:r>
      <w:r w:rsidR="00F82259">
        <w:t>, skarga nr 38789/04, 8 kwietnia 2010 r.). Przestępstwo, za</w:t>
      </w:r>
      <w:r w:rsidR="00A134DB">
        <w:t> </w:t>
      </w:r>
      <w:r w:rsidR="00F82259">
        <w:t>które został skazany, było zagrożone karą do dwóch tygodni pozbawienia wolności w przypadku braku zapłaty.</w:t>
      </w:r>
    </w:p>
    <w:p w14:paraId="22F1682E" w14:textId="58ED1F90" w:rsidR="00F82259" w:rsidRPr="00F82259" w:rsidRDefault="00167ED2" w:rsidP="00F82259">
      <w:pPr>
        <w:pStyle w:val="JuPara"/>
      </w:pPr>
      <w:r>
        <w:fldChar w:fldCharType="begin"/>
      </w:r>
      <w:r>
        <w:instrText xml:space="preserve"> SEQ level0 \*arabic </w:instrText>
      </w:r>
      <w:r>
        <w:fldChar w:fldCharType="separate"/>
      </w:r>
      <w:bookmarkStart w:id="14" w:name="paragraph00033"/>
      <w:r w:rsidR="00FD6D24">
        <w:rPr>
          <w:noProof/>
        </w:rPr>
        <w:t>33</w:t>
      </w:r>
      <w:bookmarkEnd w:id="14"/>
      <w:r>
        <w:rPr>
          <w:noProof/>
        </w:rPr>
        <w:fldChar w:fldCharType="end"/>
      </w:r>
      <w:r w:rsidR="00F82259">
        <w:t xml:space="preserve">.  Jeżeli chodzi o argumentację Rządu, </w:t>
      </w:r>
      <w:r w:rsidR="0048401C">
        <w:t>że</w:t>
      </w:r>
      <w:r w:rsidR="00F82259">
        <w:t xml:space="preserve"> oskarżony ma prawo zaskarżyć decyzję okręgowego sądu administracyjnego do Trybunału Konstytucyjnego, skarżący wskazał, że kompetencje decyzyjne Trybunału Konstytucyjnego wyraźnie różnią się od tych przysługujących</w:t>
      </w:r>
      <w:r w:rsidR="0048401C">
        <w:t xml:space="preserve"> Najwyższemu</w:t>
      </w:r>
      <w:r w:rsidR="00F82259">
        <w:t xml:space="preserve"> Trybunałowi Administracyjnemu, zwłaszcza skoro </w:t>
      </w:r>
      <w:r w:rsidR="0048401C">
        <w:t xml:space="preserve">przed Trybunałem Konstytucyjnym można podnieść </w:t>
      </w:r>
      <w:r w:rsidR="00F82259">
        <w:t>jedynie naruszenie konstytucyjnie gwarantowanych praw</w:t>
      </w:r>
      <w:r w:rsidR="0048401C">
        <w:t>, co</w:t>
      </w:r>
      <w:r w:rsidR="00F82259">
        <w:t xml:space="preserve"> oznaczało, w szczególności, że niewłaściwe zastosowanie prawa lub uchybienie procesowe można było zarzucić wyłącznie, jeżeli było ono na</w:t>
      </w:r>
      <w:r w:rsidR="00A134DB">
        <w:t> </w:t>
      </w:r>
      <w:r w:rsidR="00F82259">
        <w:t xml:space="preserve">poziomie konstytucyjnym, na przykład </w:t>
      </w:r>
      <w:r w:rsidR="0048401C">
        <w:t xml:space="preserve">poziom </w:t>
      </w:r>
      <w:r w:rsidR="00F82259">
        <w:t>arbitralne</w:t>
      </w:r>
      <w:r w:rsidR="0048401C">
        <w:t>go</w:t>
      </w:r>
      <w:r w:rsidR="00F82259">
        <w:t xml:space="preserve"> zastosowania prawa. Oddalenie wniosku dowodowego przez sąd pierwszej instancji, co miało miejsce w przypadku skarżącego, nie mogło niemniej zostać zaskarżone ze</w:t>
      </w:r>
      <w:r w:rsidR="00A134DB">
        <w:t> </w:t>
      </w:r>
      <w:r w:rsidR="00F82259">
        <w:t>względu na nieosiągnięcie poziomu arbitralności.</w:t>
      </w:r>
    </w:p>
    <w:bookmarkStart w:id="15" w:name="paragraph33"/>
    <w:p w14:paraId="22367757" w14:textId="5B2DE4EE" w:rsidR="00F82259" w:rsidRPr="00F82259" w:rsidRDefault="00F82259" w:rsidP="00F82259">
      <w:pPr>
        <w:pStyle w:val="JuPara"/>
      </w:pPr>
      <w:r w:rsidRPr="00F82259">
        <w:fldChar w:fldCharType="begin"/>
      </w:r>
      <w:r w:rsidRPr="00F82259">
        <w:instrText xml:space="preserve"> SEQ level0 \*arabic </w:instrText>
      </w:r>
      <w:r w:rsidRPr="00F82259">
        <w:fldChar w:fldCharType="separate"/>
      </w:r>
      <w:r w:rsidR="00FD6D24">
        <w:rPr>
          <w:noProof/>
        </w:rPr>
        <w:t>34</w:t>
      </w:r>
      <w:r w:rsidRPr="00F82259">
        <w:fldChar w:fldCharType="end"/>
      </w:r>
      <w:bookmarkEnd w:id="15"/>
      <w:r>
        <w:t xml:space="preserve">.  Rząd powołał się na szeroki margines oceny przysługujący ustawodawcy przy ustalaniu systemu ochrony prawnej i </w:t>
      </w:r>
      <w:r w:rsidR="0048401C">
        <w:t>twierdził</w:t>
      </w:r>
      <w:r>
        <w:t xml:space="preserve">, że brak możliwości wniesienia przez skarżącego skargi przeciwko decyzji okręgowego sądu administracyjnego do </w:t>
      </w:r>
      <w:r w:rsidR="0048401C">
        <w:t xml:space="preserve">Najwyższego </w:t>
      </w:r>
      <w:r>
        <w:t>Trybunału Administracyjnego był zgodny z art. 2 Protokołu nr 7, jako że jego podstawą był wyjątek od prawa do odwołania w sprawach karnych, mający zastosowanie w przypadku przestępstw drobnych. Przedmiotowe prawodawstwo krajowe spełnia właściwe kryteria sformułowane w orzecznictwie Trybunału, jako że</w:t>
      </w:r>
      <w:r w:rsidR="00A134DB">
        <w:t> </w:t>
      </w:r>
      <w:r>
        <w:t>maksymalną karą była grzywna w wysokości do 726 EUR</w:t>
      </w:r>
      <w:r w:rsidR="0048401C">
        <w:t xml:space="preserve"> i</w:t>
      </w:r>
      <w:r>
        <w:t xml:space="preserve"> przestępstwo nie było zagrożone karą pozbawienia wolności. W sprawie </w:t>
      </w:r>
      <w:proofErr w:type="spellStart"/>
      <w:r>
        <w:rPr>
          <w:i/>
          <w:iCs/>
        </w:rPr>
        <w:t>Putz</w:t>
      </w:r>
      <w:proofErr w:type="spellEnd"/>
      <w:r>
        <w:rPr>
          <w:i/>
          <w:iCs/>
        </w:rPr>
        <w:t xml:space="preserve"> przeciwko Austrii</w:t>
      </w:r>
      <w:r>
        <w:t xml:space="preserve"> (skarga nr 18892/91, decyzja Komisji z 3 grudnia 1993 r., </w:t>
      </w:r>
      <w:proofErr w:type="spellStart"/>
      <w:r>
        <w:t>niepubl</w:t>
      </w:r>
      <w:proofErr w:type="spellEnd"/>
      <w:r>
        <w:t xml:space="preserve">.), Komisja za drobne przestępstwo w </w:t>
      </w:r>
      <w:r w:rsidR="00175FD0">
        <w:t xml:space="preserve">rozumieniu </w:t>
      </w:r>
      <w:r>
        <w:t>art. 2 ust. 2 Protokołu nr 7 uznała przestępstwo zagrożone sankcją karną, składającą się z grzywny w</w:t>
      </w:r>
      <w:r w:rsidR="00A134DB">
        <w:t> </w:t>
      </w:r>
      <w:r>
        <w:t xml:space="preserve">wysokości 10.000 szylingów austriackich </w:t>
      </w:r>
      <w:r>
        <w:lastRenderedPageBreak/>
        <w:t>(około 726 EUR) i do ośmiu dni pozbawienia wolności w przypadku braku zapłaty).</w:t>
      </w:r>
    </w:p>
    <w:p w14:paraId="1E8D1B26" w14:textId="0AB46497" w:rsidR="00F82259" w:rsidRPr="00F82259" w:rsidRDefault="00167ED2" w:rsidP="00F82259">
      <w:pPr>
        <w:pStyle w:val="JuPara"/>
      </w:pPr>
      <w:r>
        <w:fldChar w:fldCharType="begin"/>
      </w:r>
      <w:r>
        <w:instrText xml:space="preserve"> SEQ level0 \*arabic </w:instrText>
      </w:r>
      <w:r>
        <w:fldChar w:fldCharType="separate"/>
      </w:r>
      <w:r w:rsidR="00FD6D24">
        <w:rPr>
          <w:noProof/>
        </w:rPr>
        <w:t>35</w:t>
      </w:r>
      <w:r>
        <w:rPr>
          <w:noProof/>
        </w:rPr>
        <w:fldChar w:fldCharType="end"/>
      </w:r>
      <w:r w:rsidR="00F82259">
        <w:t>.  Rząd stwierdził</w:t>
      </w:r>
      <w:r w:rsidR="00175FD0">
        <w:t xml:space="preserve"> ponadto</w:t>
      </w:r>
      <w:r w:rsidR="00F82259">
        <w:t>, że w każdym razie skarżący winien był skorzystać z możliwości rozpatrzenia sprawy przez Trybunał Konstytucyjny, co stanowiłoby wystarczające rozpatrzenie wyroku skazującego na potrzeby art. 2 Protokołu nr 7.</w:t>
      </w:r>
    </w:p>
    <w:p w14:paraId="265752C7" w14:textId="5C23FC74" w:rsidR="00F82259" w:rsidRPr="00F82259" w:rsidRDefault="00F82259" w:rsidP="00F82259">
      <w:pPr>
        <w:pStyle w:val="JuH1"/>
        <w:numPr>
          <w:ilvl w:val="3"/>
          <w:numId w:val="2"/>
        </w:numPr>
        <w:ind w:left="1728" w:hanging="648"/>
      </w:pPr>
      <w:r>
        <w:t>Ocena Trybunału</w:t>
      </w:r>
    </w:p>
    <w:p w14:paraId="7F0F6B30" w14:textId="6A2D9066" w:rsidR="00F82259" w:rsidRPr="00F82259" w:rsidRDefault="00167ED2" w:rsidP="00F82259">
      <w:pPr>
        <w:pStyle w:val="JuPara"/>
      </w:pPr>
      <w:r>
        <w:fldChar w:fldCharType="begin"/>
      </w:r>
      <w:r>
        <w:instrText xml:space="preserve"> SEQ level0 \*arabic </w:instrText>
      </w:r>
      <w:r>
        <w:fldChar w:fldCharType="separate"/>
      </w:r>
      <w:r w:rsidR="00FD6D24">
        <w:rPr>
          <w:noProof/>
        </w:rPr>
        <w:t>36</w:t>
      </w:r>
      <w:r>
        <w:rPr>
          <w:noProof/>
        </w:rPr>
        <w:fldChar w:fldCharType="end"/>
      </w:r>
      <w:r w:rsidR="00F82259">
        <w:t xml:space="preserve">.  Trybunał </w:t>
      </w:r>
      <w:r w:rsidR="00864B35">
        <w:t>najpierw oceni</w:t>
      </w:r>
      <w:r w:rsidR="00F82259">
        <w:t xml:space="preserve">, czy czyn, za który został skazany skarżący, można uznać za </w:t>
      </w:r>
      <w:r w:rsidR="00864B35">
        <w:t>„</w:t>
      </w:r>
      <w:r w:rsidR="00F82259">
        <w:t>drobn</w:t>
      </w:r>
      <w:r w:rsidR="00864B35">
        <w:t>y”</w:t>
      </w:r>
      <w:r w:rsidR="00F82259">
        <w:t xml:space="preserve"> w znaczeniu art. 2 ust. 2 Protokołu nr 7 i czy w związku z tym sprawa podlega wyjątkowi od prawa do rozpatrzenia jej przez sąd wyższej instancji.</w:t>
      </w:r>
    </w:p>
    <w:p w14:paraId="0D901AE9" w14:textId="25AD25CC" w:rsidR="00F82259" w:rsidRPr="00F82259" w:rsidRDefault="00167ED2" w:rsidP="00F82259">
      <w:pPr>
        <w:pStyle w:val="JuPara"/>
        <w:rPr>
          <w:rFonts w:ascii="Times New Roman" w:hAnsi="Times New Roman" w:cs="Times New Roman"/>
        </w:rPr>
      </w:pPr>
      <w:r>
        <w:fldChar w:fldCharType="begin"/>
      </w:r>
      <w:r>
        <w:instrText xml:space="preserve"> SEQ level0 \*arabic </w:instrText>
      </w:r>
      <w:r>
        <w:fldChar w:fldCharType="separate"/>
      </w:r>
      <w:bookmarkStart w:id="16" w:name="paragraph00037"/>
      <w:r w:rsidR="00FD6D24">
        <w:rPr>
          <w:noProof/>
        </w:rPr>
        <w:t>37</w:t>
      </w:r>
      <w:bookmarkEnd w:id="16"/>
      <w:r>
        <w:rPr>
          <w:noProof/>
        </w:rPr>
        <w:fldChar w:fldCharType="end"/>
      </w:r>
      <w:r w:rsidR="00F82259">
        <w:t xml:space="preserve">.  W związku z tym Trybunał zaznacza, że w sprawozdaniu wyjaśniającym do Protokołu nr 7 wyraźnie stwierdzono, że przy ustalaniu, czy czyn stanowi drobne przestępstwo, istotnym kryterium jest to, czy za jego popełnienie grozi kara pozbawienia wolności. Trybunał wielokrotnie stwierdzał, że jeżeli prawo przewiduje karę pozbawienia wolności jako karę główną, nie można uznać czynu za drobne przestępstwo w znaczeniu art. 2 ust. 2 (zob. </w:t>
      </w:r>
      <w:proofErr w:type="spellStart"/>
      <w:r w:rsidR="00F82259">
        <w:rPr>
          <w:i/>
        </w:rPr>
        <w:t>Zaicevs</w:t>
      </w:r>
      <w:proofErr w:type="spellEnd"/>
      <w:r w:rsidR="00F82259">
        <w:t xml:space="preserve">, cyt. powyżej, § 55; </w:t>
      </w:r>
      <w:proofErr w:type="spellStart"/>
      <w:r w:rsidR="00F82259">
        <w:rPr>
          <w:i/>
          <w:iCs/>
        </w:rPr>
        <w:t>Galstyan</w:t>
      </w:r>
      <w:proofErr w:type="spellEnd"/>
      <w:r w:rsidR="00F82259">
        <w:t xml:space="preserve">, cyt. powyżej, § 124; </w:t>
      </w:r>
      <w:proofErr w:type="spellStart"/>
      <w:r w:rsidR="00F82259">
        <w:rPr>
          <w:i/>
        </w:rPr>
        <w:t>Stanchev</w:t>
      </w:r>
      <w:proofErr w:type="spellEnd"/>
      <w:r w:rsidR="00F82259">
        <w:rPr>
          <w:i/>
        </w:rPr>
        <w:t xml:space="preserve"> przeciwko Bułgarii</w:t>
      </w:r>
      <w:r w:rsidR="00F82259">
        <w:t xml:space="preserve">, skarga nr 8682/02, § 48, 1 października 2009 r. oraz </w:t>
      </w:r>
      <w:proofErr w:type="spellStart"/>
      <w:r w:rsidR="00F82259">
        <w:rPr>
          <w:i/>
        </w:rPr>
        <w:t>Gurepka</w:t>
      </w:r>
      <w:proofErr w:type="spellEnd"/>
      <w:r w:rsidR="00F82259">
        <w:t>, cyt. powyżej, § 33). Trybunał również stwierdził, że</w:t>
      </w:r>
      <w:r w:rsidR="00A134DB">
        <w:t> </w:t>
      </w:r>
      <w:r w:rsidR="00F82259">
        <w:t>przestępstwo drobnej kradzieży, niezagrożone karą pozbawienia wolności, jest przestępstwem drobnym, podlegającym wyjątkom dozwolonym w</w:t>
      </w:r>
      <w:r w:rsidR="00A134DB">
        <w:t> </w:t>
      </w:r>
      <w:r w:rsidR="00F82259">
        <w:t xml:space="preserve">ustępie drugim art. 2 Protokołu nr 7 (zob. </w:t>
      </w:r>
      <w:proofErr w:type="spellStart"/>
      <w:r w:rsidR="00F82259">
        <w:rPr>
          <w:i/>
        </w:rPr>
        <w:t>Luchaninova</w:t>
      </w:r>
      <w:proofErr w:type="spellEnd"/>
      <w:r w:rsidR="00F82259">
        <w:rPr>
          <w:i/>
        </w:rPr>
        <w:t xml:space="preserve"> przeciwko Ukrainie</w:t>
      </w:r>
      <w:r w:rsidR="00F82259">
        <w:t xml:space="preserve">, skarga nr 16347/02, § 72, 9 czerwca 2011 r.). Niemniej, </w:t>
      </w:r>
      <w:r w:rsidR="00F82259">
        <w:rPr>
          <w:rFonts w:ascii="Times New Roman" w:hAnsi="Times New Roman"/>
        </w:rPr>
        <w:t xml:space="preserve">brak zagrożenia karą pozbawienia wolności nie jest sam w sobie czynnikiem decyzyjnym w ocenie, czy czyn jest drobnym przestępstwem, pomimo jego istotności. </w:t>
      </w:r>
      <w:r w:rsidR="00F82259">
        <w:t xml:space="preserve">Dokonując tej oceny Trybunał musi również uwzględnić konkretne okoliczności sprawy (zob. </w:t>
      </w:r>
      <w:proofErr w:type="spellStart"/>
      <w:r w:rsidR="00F82259">
        <w:rPr>
          <w:i/>
        </w:rPr>
        <w:t>Saquetti</w:t>
      </w:r>
      <w:proofErr w:type="spellEnd"/>
      <w:r w:rsidR="00F82259">
        <w:rPr>
          <w:i/>
        </w:rPr>
        <w:t xml:space="preserve"> Iglesias przeciwko Hiszpanii</w:t>
      </w:r>
      <w:r w:rsidR="00F82259">
        <w:t xml:space="preserve">, skarga nr 50514/13, §§ 36 </w:t>
      </w:r>
      <w:r w:rsidR="00F82259">
        <w:rPr>
          <w:i/>
        </w:rPr>
        <w:t>in fine</w:t>
      </w:r>
      <w:r w:rsidR="00F82259">
        <w:t xml:space="preserve"> oraz 44, 30 czerwca 2020 r., w którym zważył,</w:t>
      </w:r>
      <w:r w:rsidR="00F82259">
        <w:rPr>
          <w:rFonts w:ascii="Times New Roman" w:hAnsi="Times New Roman"/>
        </w:rPr>
        <w:t xml:space="preserve"> że bardzo poważna kara pieniężna za przestępstwo celne, bez oceny proporcjonalności, również mogłaby wykluczać klasyfikację czynu jako drobne przestępstwo w znaczeniu tego przepisu).</w:t>
      </w:r>
    </w:p>
    <w:p w14:paraId="6C650388" w14:textId="14415914" w:rsidR="00F82259" w:rsidRPr="00F82259" w:rsidRDefault="00167ED2" w:rsidP="00F82259">
      <w:pPr>
        <w:pStyle w:val="JuPara"/>
      </w:pPr>
      <w:r>
        <w:fldChar w:fldCharType="begin"/>
      </w:r>
      <w:r>
        <w:instrText xml:space="preserve"> SEQ level0 \*arabic \* MERGEFORMAT </w:instrText>
      </w:r>
      <w:r>
        <w:fldChar w:fldCharType="separate"/>
      </w:r>
      <w:bookmarkStart w:id="17" w:name="paragraph00038"/>
      <w:r w:rsidR="00FD6D24">
        <w:rPr>
          <w:noProof/>
        </w:rPr>
        <w:t>38</w:t>
      </w:r>
      <w:bookmarkEnd w:id="17"/>
      <w:r>
        <w:rPr>
          <w:noProof/>
        </w:rPr>
        <w:fldChar w:fldCharType="end"/>
      </w:r>
      <w:r w:rsidR="006F6C72">
        <w:t xml:space="preserve">.  W niniejszej sprawie grzywna w wysokości 200 EUR, a w przypadku braku zapłaty kara pozbawienia wolności w wymiarze czterech dni, nałożona została na skarżącego za naruszenie ustawy o ruchu drogowym (zob. paragraf </w:t>
      </w:r>
      <w:r w:rsidR="00F82259" w:rsidRPr="00F82259">
        <w:fldChar w:fldCharType="begin"/>
      </w:r>
      <w:r w:rsidR="00F82259" w:rsidRPr="00F82259">
        <w:instrText xml:space="preserve"> REF paragraph5 \h  \* MERGEFORMAT </w:instrText>
      </w:r>
      <w:r w:rsidR="00F82259" w:rsidRPr="00F82259">
        <w:fldChar w:fldCharType="separate"/>
      </w:r>
      <w:r w:rsidR="00FD6D24">
        <w:t>5</w:t>
      </w:r>
      <w:r w:rsidR="00F82259" w:rsidRPr="00F82259">
        <w:fldChar w:fldCharType="end"/>
      </w:r>
      <w:r w:rsidR="006F6C72">
        <w:t xml:space="preserve"> powyżej), które uznaje się za przestępstwo karnoadministracyjne w ramach prawa krajowego. Na podstawie art. 99 ust. 3 ustawy o ruchu drogowym sankcją za przedmiotowe przestępstwo – niezawiadomienie policji o</w:t>
      </w:r>
      <w:r w:rsidR="00A134DB">
        <w:t> </w:t>
      </w:r>
      <w:r w:rsidR="006F6C72">
        <w:t xml:space="preserve">zdarzeniu, w którym doszło wyłącznie do szkody materialnej – jest „grzywna w wysokości do 726 euro [oraz] jeżeli kwota grzywny jest nieściągalna [...] kara pozbawienia wolności w wymiarze do dwóch tygodni (zob. paragraf </w:t>
      </w:r>
      <w:r w:rsidR="00F82259" w:rsidRPr="00F82259">
        <w:fldChar w:fldCharType="begin"/>
      </w:r>
      <w:r w:rsidR="00F82259" w:rsidRPr="00F82259">
        <w:instrText xml:space="preserve"> REF para20section99RTA \h  \* MERGEFORMAT </w:instrText>
      </w:r>
      <w:r w:rsidR="00F82259" w:rsidRPr="00F82259">
        <w:fldChar w:fldCharType="separate"/>
      </w:r>
      <w:r w:rsidR="00FD6D24">
        <w:t>20</w:t>
      </w:r>
      <w:r w:rsidR="00F82259" w:rsidRPr="00F82259">
        <w:fldChar w:fldCharType="end"/>
      </w:r>
      <w:r w:rsidR="006F6C72">
        <w:t xml:space="preserve"> powyżej). W zakresie zróżnicowania sankcji karnych, o</w:t>
      </w:r>
      <w:r w:rsidR="00A134DB">
        <w:t> </w:t>
      </w:r>
      <w:r w:rsidR="006F6C72">
        <w:t xml:space="preserve">których mowa w ustawie o ruchu drogowym, </w:t>
      </w:r>
      <w:r w:rsidR="00864B35">
        <w:t xml:space="preserve">ten </w:t>
      </w:r>
      <w:r w:rsidR="006F6C72">
        <w:t xml:space="preserve">najwyższy wymiar kary </w:t>
      </w:r>
      <w:r w:rsidR="006F6C72">
        <w:lastRenderedPageBreak/>
        <w:t xml:space="preserve">jest wyraźnie jednym z najmniej poważnych, co wskazuje, że w ramach krajowego porządku prawnego </w:t>
      </w:r>
      <w:r w:rsidR="00864B35">
        <w:t xml:space="preserve">przedmiotowe </w:t>
      </w:r>
      <w:r w:rsidR="006F6C72">
        <w:t>przestępstwo zalicza się do mniej poważnych.</w:t>
      </w:r>
    </w:p>
    <w:p w14:paraId="7A455CA8" w14:textId="788BCBE5" w:rsidR="00F82259" w:rsidRPr="00F82259" w:rsidRDefault="00F82259" w:rsidP="00F82259">
      <w:pPr>
        <w:pStyle w:val="JuPara"/>
        <w:rPr>
          <w:rFonts w:ascii="Times New Roman" w:hAnsi="Times New Roman" w:cs="Times New Roman"/>
        </w:rPr>
      </w:pPr>
      <w:r w:rsidRPr="00F82259">
        <w:rPr>
          <w:rFonts w:ascii="Times New Roman" w:hAnsi="Times New Roman" w:cs="Times New Roman"/>
        </w:rPr>
        <w:fldChar w:fldCharType="begin"/>
      </w:r>
      <w:r w:rsidRPr="00F82259">
        <w:rPr>
          <w:rFonts w:ascii="Times New Roman" w:hAnsi="Times New Roman" w:cs="Times New Roman"/>
        </w:rPr>
        <w:instrText xml:space="preserve"> SEQ level0 \*arabic </w:instrText>
      </w:r>
      <w:r w:rsidRPr="00F82259">
        <w:rPr>
          <w:rFonts w:ascii="Times New Roman" w:hAnsi="Times New Roman" w:cs="Times New Roman"/>
        </w:rPr>
        <w:fldChar w:fldCharType="separate"/>
      </w:r>
      <w:r w:rsidR="00FD6D24">
        <w:rPr>
          <w:rFonts w:ascii="Times New Roman" w:hAnsi="Times New Roman" w:cs="Times New Roman"/>
          <w:noProof/>
        </w:rPr>
        <w:t>39</w:t>
      </w:r>
      <w:r w:rsidRPr="00F82259">
        <w:rPr>
          <w:rFonts w:ascii="Times New Roman" w:hAnsi="Times New Roman" w:cs="Times New Roman"/>
        </w:rPr>
        <w:fldChar w:fldCharType="end"/>
      </w:r>
      <w:r>
        <w:rPr>
          <w:rFonts w:ascii="Times New Roman" w:hAnsi="Times New Roman"/>
        </w:rPr>
        <w:t xml:space="preserve">.  Decyzja okręgowego sądu administracyjnego, który odrzucił skargę skarżącego na mandat (zob. paragraf </w:t>
      </w:r>
      <w:r w:rsidRPr="00F82259">
        <w:rPr>
          <w:rFonts w:ascii="Times New Roman" w:hAnsi="Times New Roman" w:cs="Times New Roman"/>
        </w:rPr>
        <w:fldChar w:fldCharType="begin"/>
      </w:r>
      <w:r w:rsidRPr="00F82259">
        <w:rPr>
          <w:rFonts w:ascii="Times New Roman" w:hAnsi="Times New Roman" w:cs="Times New Roman"/>
        </w:rPr>
        <w:instrText xml:space="preserve"> REF paragraph7 \h  \* MERGEFORMAT </w:instrText>
      </w:r>
      <w:r w:rsidRPr="00F82259">
        <w:rPr>
          <w:rFonts w:ascii="Times New Roman" w:hAnsi="Times New Roman" w:cs="Times New Roman"/>
        </w:rPr>
      </w:r>
      <w:r w:rsidRPr="00F82259">
        <w:rPr>
          <w:rFonts w:ascii="Times New Roman" w:hAnsi="Times New Roman" w:cs="Times New Roman"/>
        </w:rPr>
        <w:fldChar w:fldCharType="separate"/>
      </w:r>
      <w:r w:rsidR="00FD6D24">
        <w:t>7</w:t>
      </w:r>
      <w:r w:rsidRPr="00F82259">
        <w:rPr>
          <w:rFonts w:ascii="Times New Roman" w:hAnsi="Times New Roman" w:cs="Times New Roman"/>
        </w:rPr>
        <w:fldChar w:fldCharType="end"/>
      </w:r>
      <w:r>
        <w:rPr>
          <w:rFonts w:ascii="Times New Roman" w:hAnsi="Times New Roman"/>
        </w:rPr>
        <w:t xml:space="preserve"> powyżej)</w:t>
      </w:r>
      <w:r w:rsidR="00864B35">
        <w:rPr>
          <w:rFonts w:ascii="Times New Roman" w:hAnsi="Times New Roman"/>
        </w:rPr>
        <w:t>,</w:t>
      </w:r>
      <w:r w:rsidR="00FD6D24">
        <w:rPr>
          <w:rFonts w:ascii="Times New Roman" w:hAnsi="Times New Roman"/>
        </w:rPr>
        <w:t xml:space="preserve"> </w:t>
      </w:r>
      <w:r>
        <w:rPr>
          <w:rFonts w:ascii="Times New Roman" w:hAnsi="Times New Roman"/>
        </w:rPr>
        <w:t xml:space="preserve">nie podlegała zgodnie z art. 25a ust. 4 ustawy o sądownictwie administracyjnym zaskarżeniu do </w:t>
      </w:r>
      <w:r w:rsidR="00864B35">
        <w:rPr>
          <w:rFonts w:ascii="Times New Roman" w:hAnsi="Times New Roman"/>
        </w:rPr>
        <w:t xml:space="preserve">Najwyższego </w:t>
      </w:r>
      <w:r>
        <w:t>Trybunału Administracyjnego</w:t>
      </w:r>
      <w:r>
        <w:rPr>
          <w:rFonts w:ascii="Times New Roman" w:hAnsi="Times New Roman"/>
        </w:rPr>
        <w:t xml:space="preserve">, </w:t>
      </w:r>
      <w:r w:rsidR="00864B35">
        <w:rPr>
          <w:rFonts w:ascii="Times New Roman" w:hAnsi="Times New Roman"/>
        </w:rPr>
        <w:t>ponieważ</w:t>
      </w:r>
      <w:r>
        <w:rPr>
          <w:rFonts w:ascii="Times New Roman" w:hAnsi="Times New Roman"/>
        </w:rPr>
        <w:t xml:space="preserve"> skarżącemu nie groziła grzywna w wysokości przekraczającej 750 EUR czy też kara (główna) pozbawienia wolności, a faktyczna grzywna, jaka została nałożona, nie wynosiła więcej niż 400 EUR (zob. paragraf </w:t>
      </w:r>
      <w:r w:rsidRPr="00F82259">
        <w:rPr>
          <w:rFonts w:ascii="Times New Roman" w:hAnsi="Times New Roman" w:cs="Times New Roman"/>
        </w:rPr>
        <w:fldChar w:fldCharType="begin"/>
      </w:r>
      <w:r w:rsidRPr="00F82259">
        <w:rPr>
          <w:rFonts w:ascii="Times New Roman" w:hAnsi="Times New Roman" w:cs="Times New Roman"/>
        </w:rPr>
        <w:instrText xml:space="preserve"> REF para12section25aACA \h  \* MERGEFORMAT </w:instrText>
      </w:r>
      <w:r w:rsidRPr="00F82259">
        <w:rPr>
          <w:rFonts w:ascii="Times New Roman" w:hAnsi="Times New Roman" w:cs="Times New Roman"/>
        </w:rPr>
      </w:r>
      <w:r w:rsidRPr="00F82259">
        <w:rPr>
          <w:rFonts w:ascii="Times New Roman" w:hAnsi="Times New Roman" w:cs="Times New Roman"/>
        </w:rPr>
        <w:fldChar w:fldCharType="separate"/>
      </w:r>
      <w:r w:rsidR="00FD6D24">
        <w:t>12</w:t>
      </w:r>
      <w:r w:rsidRPr="00F82259">
        <w:rPr>
          <w:rFonts w:ascii="Times New Roman" w:hAnsi="Times New Roman" w:cs="Times New Roman"/>
        </w:rPr>
        <w:fldChar w:fldCharType="end"/>
      </w:r>
      <w:r>
        <w:rPr>
          <w:rFonts w:ascii="Times New Roman" w:hAnsi="Times New Roman"/>
        </w:rPr>
        <w:t xml:space="preserve"> powyżej).</w:t>
      </w:r>
    </w:p>
    <w:p w14:paraId="52009ABB" w14:textId="6E425B18" w:rsidR="00F82259" w:rsidRPr="00F82259" w:rsidRDefault="00167ED2" w:rsidP="00F82259">
      <w:pPr>
        <w:pStyle w:val="JuPara"/>
        <w:rPr>
          <w:rFonts w:ascii="Times New Roman" w:hAnsi="Times New Roman" w:cs="Times New Roman"/>
        </w:rPr>
      </w:pPr>
      <w:r>
        <w:fldChar w:fldCharType="begin"/>
      </w:r>
      <w:r>
        <w:instrText xml:space="preserve"> SEQ level0 \*arabic </w:instrText>
      </w:r>
      <w:r>
        <w:fldChar w:fldCharType="separate"/>
      </w:r>
      <w:r w:rsidR="00FD6D24">
        <w:rPr>
          <w:noProof/>
        </w:rPr>
        <w:t>40</w:t>
      </w:r>
      <w:r>
        <w:rPr>
          <w:noProof/>
        </w:rPr>
        <w:fldChar w:fldCharType="end"/>
      </w:r>
      <w:r w:rsidR="00F82259">
        <w:t xml:space="preserve">.  Czyn, za który skarżący został skazany, nie był zagrożony karą pozbawienia wolności jako karą główną. Trybunał musi zatem ustalić, </w:t>
      </w:r>
      <w:r w:rsidR="00F82259">
        <w:rPr>
          <w:rFonts w:ascii="Times New Roman" w:hAnsi="Times New Roman"/>
        </w:rPr>
        <w:t>czy czyn, w stosunku do którego prawo przewiduje karę pozbawienia wolności w wymiarze do dwóch tygodni w przypadku braku zapłaty, można uznać za drobne przestępstwo na potrzeby art. 2 ust. 2 Protokołu nr 7; jest to</w:t>
      </w:r>
      <w:r w:rsidR="00A134DB">
        <w:rPr>
          <w:rFonts w:ascii="Times New Roman" w:hAnsi="Times New Roman"/>
        </w:rPr>
        <w:t> </w:t>
      </w:r>
      <w:r w:rsidR="00F82259">
        <w:rPr>
          <w:rFonts w:ascii="Times New Roman" w:hAnsi="Times New Roman"/>
        </w:rPr>
        <w:t>zagadnienie, którego Trybunał jeszcze nie rozpatrzył.</w:t>
      </w:r>
    </w:p>
    <w:p w14:paraId="7C3CE1F4" w14:textId="0686055F" w:rsidR="00F82259" w:rsidRPr="00F82259" w:rsidRDefault="00167ED2" w:rsidP="00F82259">
      <w:pPr>
        <w:pStyle w:val="JuPara"/>
      </w:pPr>
      <w:r>
        <w:fldChar w:fldCharType="begin"/>
      </w:r>
      <w:r>
        <w:instrText xml:space="preserve"> SEQ</w:instrText>
      </w:r>
      <w:r>
        <w:instrText xml:space="preserve"> level0 \*arabic </w:instrText>
      </w:r>
      <w:r>
        <w:fldChar w:fldCharType="separate"/>
      </w:r>
      <w:r w:rsidR="00FD6D24">
        <w:rPr>
          <w:noProof/>
        </w:rPr>
        <w:t>41</w:t>
      </w:r>
      <w:r>
        <w:rPr>
          <w:noProof/>
        </w:rPr>
        <w:fldChar w:fldCharType="end"/>
      </w:r>
      <w:r w:rsidR="00F82259">
        <w:t>.  Skarżący argumentował, że taką karę należało traktować jako karę główną pozbawienia wolności i że w wyniku tego wyjątek na podstawie art. 2 ust. 2 Protokołu nr 7 dotyczący skazania za drobne przestępstwo nie miał zastosowania. Rząd nie zgodził się z tym.</w:t>
      </w:r>
    </w:p>
    <w:p w14:paraId="46B54EAB" w14:textId="2867D26B" w:rsidR="00F82259" w:rsidRPr="00F82259" w:rsidRDefault="00167ED2" w:rsidP="00F82259">
      <w:pPr>
        <w:pStyle w:val="JuPara"/>
      </w:pPr>
      <w:r>
        <w:fldChar w:fldCharType="begin"/>
      </w:r>
      <w:r>
        <w:instrText xml:space="preserve"> SEQ level0 \*arabic </w:instrText>
      </w:r>
      <w:r>
        <w:fldChar w:fldCharType="separate"/>
      </w:r>
      <w:r w:rsidR="00FD6D24">
        <w:rPr>
          <w:noProof/>
        </w:rPr>
        <w:t>42</w:t>
      </w:r>
      <w:r>
        <w:rPr>
          <w:noProof/>
        </w:rPr>
        <w:fldChar w:fldCharType="end"/>
      </w:r>
      <w:r w:rsidR="00F82259">
        <w:t xml:space="preserve">.  Trybunał uważa, że aby dokonać oceny, czy kara pozbawienia wolności w przypadku braku zapłaty ma wpływ na to, czy dany czyn można uznać za drobne przestępstwo, musi uwzględnić szczególne okoliczności sprawy (zob. </w:t>
      </w:r>
      <w:r w:rsidR="00F82259">
        <w:rPr>
          <w:i/>
          <w:iCs/>
        </w:rPr>
        <w:t>mutatis mutandis</w:t>
      </w:r>
      <w:r w:rsidR="00F82259">
        <w:t xml:space="preserve">, </w:t>
      </w:r>
      <w:proofErr w:type="spellStart"/>
      <w:r w:rsidR="00F82259">
        <w:rPr>
          <w:i/>
        </w:rPr>
        <w:t>Saquetti</w:t>
      </w:r>
      <w:proofErr w:type="spellEnd"/>
      <w:r w:rsidR="00F82259">
        <w:rPr>
          <w:i/>
        </w:rPr>
        <w:t xml:space="preserve"> Iglesias</w:t>
      </w:r>
      <w:r w:rsidR="00F82259">
        <w:t>, cyt. powyżej, § 37), w</w:t>
      </w:r>
      <w:r w:rsidR="00A134DB">
        <w:t> </w:t>
      </w:r>
      <w:r w:rsidR="00F82259">
        <w:t>szczególności prawdopodobieństwo faktycznego wykonania kary pozbawienia wolności w przypadku braku zapłaty. Musi zatem mieć na</w:t>
      </w:r>
      <w:r w:rsidR="00A134DB">
        <w:t> </w:t>
      </w:r>
      <w:r w:rsidR="00F82259">
        <w:t xml:space="preserve">uwadze ramy prawne obejmujące wykonanie kary pozbawienia wolności w przypadku braku zapłaty. Trybunał zauważa, że po uprawomocnieniu się wyroku skazującego </w:t>
      </w:r>
      <w:r w:rsidR="00FB3385">
        <w:t>na</w:t>
      </w:r>
      <w:r w:rsidR="00F82259">
        <w:t xml:space="preserve"> grzywn</w:t>
      </w:r>
      <w:r w:rsidR="00FB3385">
        <w:t>ę</w:t>
      </w:r>
      <w:r w:rsidR="00F82259">
        <w:t xml:space="preserve"> administracyjn</w:t>
      </w:r>
      <w:r w:rsidR="00FB3385">
        <w:t>ą</w:t>
      </w:r>
      <w:r w:rsidR="00F82259">
        <w:t>, na</w:t>
      </w:r>
      <w:r w:rsidR="00A134DB">
        <w:t> </w:t>
      </w:r>
      <w:r w:rsidR="00F82259">
        <w:t xml:space="preserve">podstawie art. 54b ustawy o przestępstwach administracyjnych zarządzenie wykonania kary pozbawienia wolności w przypadku braku zapłaty grzywny nie pozostaje do uznania organów (zob. paragraf </w:t>
      </w:r>
      <w:r w:rsidR="00F82259" w:rsidRPr="00F82259">
        <w:fldChar w:fldCharType="begin"/>
      </w:r>
      <w:r w:rsidR="00F82259" w:rsidRPr="00F82259">
        <w:instrText xml:space="preserve"> REF para15section54bAOA \h  \* MERGEFORMAT </w:instrText>
      </w:r>
      <w:r w:rsidR="00F82259" w:rsidRPr="00F82259">
        <w:fldChar w:fldCharType="separate"/>
      </w:r>
      <w:r w:rsidR="00FD6D24">
        <w:t>15</w:t>
      </w:r>
      <w:r w:rsidR="00F82259" w:rsidRPr="00F82259">
        <w:fldChar w:fldCharType="end"/>
      </w:r>
      <w:r w:rsidR="00F82259">
        <w:t xml:space="preserve"> powyżej). </w:t>
      </w:r>
      <w:r w:rsidR="00FB3385">
        <w:t>Wręcz przeciwnie, j</w:t>
      </w:r>
      <w:r w:rsidR="00F82259">
        <w:t xml:space="preserve">ak </w:t>
      </w:r>
      <w:r w:rsidR="00FB3385">
        <w:t>wy</w:t>
      </w:r>
      <w:r w:rsidR="00F82259">
        <w:t>jaśnił Trybunał Konstytucyjny w swoim orzecznictwie (zob.</w:t>
      </w:r>
      <w:r w:rsidR="00A134DB">
        <w:t> </w:t>
      </w:r>
      <w:r w:rsidR="00F82259">
        <w:t xml:space="preserve">paragraf </w:t>
      </w:r>
      <w:r w:rsidR="00F82259" w:rsidRPr="00F82259">
        <w:fldChar w:fldCharType="begin"/>
      </w:r>
      <w:r w:rsidR="00F82259" w:rsidRPr="00F82259">
        <w:instrText xml:space="preserve"> REF para16CCcaselaw \h  \* MERGEFORMAT </w:instrText>
      </w:r>
      <w:r w:rsidR="00F82259" w:rsidRPr="00F82259">
        <w:fldChar w:fldCharType="separate"/>
      </w:r>
      <w:r w:rsidR="00FD6D24">
        <w:t>16</w:t>
      </w:r>
      <w:r w:rsidR="00F82259" w:rsidRPr="00F82259">
        <w:fldChar w:fldCharType="end"/>
      </w:r>
      <w:r w:rsidR="00F82259">
        <w:t xml:space="preserve"> powyżej), organ zobowiązany jest najpierw podjąć próbę wyegzekwowania zapłaty grzywny lub przeprowadzenia kompleksowego dochodzenia na temat sytuacji finansowej osoby skazanej. Osobę nadto należy poinformować o grożącym wykonaniu kary pozbawienia wolności i należy jej umożliwić uniknięcie tej kary poprzez zapłatę wymagalnej kwoty grzywny i złożenie wniosku o zapłatę grzywny w</w:t>
      </w:r>
      <w:r w:rsidR="00A134DB">
        <w:t> </w:t>
      </w:r>
      <w:r w:rsidR="00F82259">
        <w:t>ratach.</w:t>
      </w:r>
    </w:p>
    <w:p w14:paraId="3497C7DE" w14:textId="5D053C60" w:rsidR="00F82259" w:rsidRPr="00F82259" w:rsidRDefault="00167ED2" w:rsidP="00F82259">
      <w:pPr>
        <w:pStyle w:val="JuPara"/>
      </w:pPr>
      <w:r>
        <w:fldChar w:fldCharType="begin"/>
      </w:r>
      <w:r>
        <w:instrText xml:space="preserve"> SEQ level0 \*arabic </w:instrText>
      </w:r>
      <w:r>
        <w:fldChar w:fldCharType="separate"/>
      </w:r>
      <w:r w:rsidR="00FD6D24">
        <w:rPr>
          <w:noProof/>
        </w:rPr>
        <w:t>43</w:t>
      </w:r>
      <w:r>
        <w:rPr>
          <w:noProof/>
        </w:rPr>
        <w:fldChar w:fldCharType="end"/>
      </w:r>
      <w:r w:rsidR="00F82259">
        <w:t>.  Trybunał w związku z tym uznaje, że pozbawienie wolności w</w:t>
      </w:r>
      <w:r w:rsidR="00A134DB">
        <w:t> </w:t>
      </w:r>
      <w:r w:rsidR="00F82259">
        <w:t xml:space="preserve">przypadku braku zapłaty stanowi wyjątkowy środek w krajowym porządku prawnym, którego wykonanie podlega szeregowi zabezpieczeń procesowych. W szczególności osobę skazaną należy w wyraźny sposób uświadomić o </w:t>
      </w:r>
      <w:r w:rsidR="00FB3385">
        <w:t xml:space="preserve">tym </w:t>
      </w:r>
      <w:r w:rsidR="00F82259">
        <w:t xml:space="preserve">ryzyku i należy jej umożliwić podjęcie odpowiednich </w:t>
      </w:r>
      <w:r w:rsidR="00F82259">
        <w:lastRenderedPageBreak/>
        <w:t xml:space="preserve">środków, aby </w:t>
      </w:r>
      <w:r w:rsidR="00FB3385">
        <w:t xml:space="preserve">go </w:t>
      </w:r>
      <w:r w:rsidR="00F82259">
        <w:t>uniknąć. W takich okolicznościach należy uznać ten środek jako zasadniczo odmienny od kary pozbawienia wolności będącej karą pierwotną, niewykluczający więc zaklasyfikowania czynu, za</w:t>
      </w:r>
      <w:r w:rsidR="00A134DB">
        <w:t> </w:t>
      </w:r>
      <w:r w:rsidR="00F82259">
        <w:t xml:space="preserve">którego popełnienie został skazany skarżący, jako drobnego przestępstwa w znaczeniu art. 2 ust. 2 Protokołu nr 7. Trybunał nadto uznaje, że </w:t>
      </w:r>
      <w:r w:rsidR="00CB3538">
        <w:t xml:space="preserve">zarówno </w:t>
      </w:r>
      <w:r w:rsidR="00F82259">
        <w:t>wysokość faktycznie nałożonej grzywny</w:t>
      </w:r>
      <w:r w:rsidR="00FB3385">
        <w:t>,</w:t>
      </w:r>
      <w:r w:rsidR="00F82259">
        <w:t xml:space="preserve"> </w:t>
      </w:r>
      <w:r w:rsidR="00CB3538">
        <w:t xml:space="preserve">jak i </w:t>
      </w:r>
      <w:r w:rsidR="00F82259">
        <w:t xml:space="preserve">jej maksymalny wymiar, który groził skarżącemu, </w:t>
      </w:r>
      <w:r w:rsidR="00FB3385">
        <w:t xml:space="preserve">nie wydają się być </w:t>
      </w:r>
      <w:r w:rsidR="00F82259">
        <w:t>same w sobie wystarczająco wysokie, aby przestępstw</w:t>
      </w:r>
      <w:r w:rsidR="00FB3385">
        <w:t>a</w:t>
      </w:r>
      <w:r w:rsidR="00F82259">
        <w:t xml:space="preserve"> </w:t>
      </w:r>
      <w:r w:rsidR="00FB3385">
        <w:t xml:space="preserve">nie </w:t>
      </w:r>
      <w:r w:rsidR="00F82259">
        <w:t>można było uznać za drobne. Trybunał ma również na</w:t>
      </w:r>
      <w:r w:rsidR="00A134DB">
        <w:t> </w:t>
      </w:r>
      <w:r w:rsidR="00F82259">
        <w:t xml:space="preserve">względzie, </w:t>
      </w:r>
      <w:r w:rsidR="00FB3385">
        <w:t>że</w:t>
      </w:r>
      <w:r w:rsidR="00F82259">
        <w:t xml:space="preserve"> w ramach krajowego systemu karnoadministracyjnego przedmiotowego przestępstwa nie uznaje się za poważne (zob. paragraf </w:t>
      </w:r>
      <w:r w:rsidR="00F82259" w:rsidRPr="00F82259">
        <w:fldChar w:fldCharType="begin"/>
      </w:r>
      <w:r w:rsidR="00F82259" w:rsidRPr="00F82259">
        <w:instrText xml:space="preserve"> REF paragraph00038 \h  \* CharFormat  \* MERGEFORMAT </w:instrText>
      </w:r>
      <w:r w:rsidR="00F82259" w:rsidRPr="00F82259">
        <w:fldChar w:fldCharType="separate"/>
      </w:r>
      <w:r w:rsidR="00FD6D24">
        <w:t>38</w:t>
      </w:r>
      <w:r w:rsidR="00F82259" w:rsidRPr="00F82259">
        <w:fldChar w:fldCharType="end"/>
      </w:r>
      <w:r w:rsidR="00F82259">
        <w:t xml:space="preserve"> powyżej). Co więcej</w:t>
      </w:r>
      <w:r w:rsidR="00FB3385">
        <w:t>,</w:t>
      </w:r>
      <w:r w:rsidR="00F82259">
        <w:t xml:space="preserve"> skarżący nie </w:t>
      </w:r>
      <w:r w:rsidR="00FB3385">
        <w:t>twierdził</w:t>
      </w:r>
      <w:r w:rsidR="00F82259">
        <w:t>,</w:t>
      </w:r>
      <w:r w:rsidR="00FB3385">
        <w:t xml:space="preserve"> że </w:t>
      </w:r>
      <w:r w:rsidR="00F82259">
        <w:t xml:space="preserve">nie był w stanie zapłacić grzywny, czy też </w:t>
      </w:r>
      <w:r w:rsidR="00FB3385">
        <w:t xml:space="preserve">że </w:t>
      </w:r>
      <w:r w:rsidR="00F82259">
        <w:t>wymierzając grzywnę o takiej wysokości, organ niedostatecznie uwzględnił jego sytuację finansową.</w:t>
      </w:r>
    </w:p>
    <w:p w14:paraId="3DDB7002" w14:textId="2DEC31A6" w:rsidR="00F82259" w:rsidRPr="00F82259" w:rsidRDefault="00167ED2" w:rsidP="00F82259">
      <w:pPr>
        <w:pStyle w:val="JuPara"/>
      </w:pPr>
      <w:r>
        <w:fldChar w:fldCharType="begin"/>
      </w:r>
      <w:r>
        <w:instrText xml:space="preserve"> SEQ level0 \*arabic </w:instrText>
      </w:r>
      <w:r>
        <w:fldChar w:fldCharType="separate"/>
      </w:r>
      <w:r w:rsidR="00FD6D24">
        <w:rPr>
          <w:noProof/>
        </w:rPr>
        <w:t>44</w:t>
      </w:r>
      <w:r>
        <w:rPr>
          <w:noProof/>
        </w:rPr>
        <w:fldChar w:fldCharType="end"/>
      </w:r>
      <w:r w:rsidR="00F82259">
        <w:t>.  Mając na uwadze ten wniosek nie jest konieczne zbadanie argumentów Rządu,</w:t>
      </w:r>
      <w:r w:rsidR="008D3BEC">
        <w:t xml:space="preserve"> że </w:t>
      </w:r>
      <w:r w:rsidR="00F82259">
        <w:t>odwołanie do Trybunału Konstytucyjnego stanowiło procedurę odwoławczą, spełniającą wymogi art. 2 ust. 1 Protokołu nr 7, z</w:t>
      </w:r>
      <w:r w:rsidR="00A134DB">
        <w:t> </w:t>
      </w:r>
      <w:r w:rsidR="00F82259">
        <w:t>której skarżący mógł skorzystać.</w:t>
      </w:r>
    </w:p>
    <w:p w14:paraId="2664C6D5" w14:textId="49911BA0" w:rsidR="00F82259" w:rsidRPr="00F82259" w:rsidRDefault="00167ED2" w:rsidP="00F82259">
      <w:pPr>
        <w:pStyle w:val="JuPara"/>
        <w:rPr>
          <w:rFonts w:ascii="Times New Roman" w:hAnsi="Times New Roman" w:cs="Times New Roman"/>
        </w:rPr>
      </w:pPr>
      <w:r>
        <w:fldChar w:fldCharType="begin"/>
      </w:r>
      <w:r>
        <w:instrText xml:space="preserve"> SEQ level0 \*arabic </w:instrText>
      </w:r>
      <w:r>
        <w:fldChar w:fldCharType="separate"/>
      </w:r>
      <w:r w:rsidR="00FD6D24">
        <w:rPr>
          <w:noProof/>
        </w:rPr>
        <w:t>45</w:t>
      </w:r>
      <w:r>
        <w:rPr>
          <w:noProof/>
        </w:rPr>
        <w:fldChar w:fldCharType="end"/>
      </w:r>
      <w:r w:rsidR="00F82259">
        <w:t>.  Trybunał uznaje, że nie doszło do naruszenia art. 2 Protokołu nr 7 do</w:t>
      </w:r>
      <w:r w:rsidR="00A134DB">
        <w:t> </w:t>
      </w:r>
      <w:r w:rsidR="00F82259">
        <w:t>Konwencji.</w:t>
      </w:r>
    </w:p>
    <w:p w14:paraId="032CA583" w14:textId="77777777" w:rsidR="00F82259" w:rsidRPr="00F82259" w:rsidRDefault="00F82259" w:rsidP="00F82259">
      <w:pPr>
        <w:pStyle w:val="JuHHead"/>
        <w:numPr>
          <w:ilvl w:val="0"/>
          <w:numId w:val="3"/>
        </w:numPr>
        <w:ind w:left="360" w:hanging="360"/>
      </w:pPr>
      <w:r>
        <w:t>Z TYCH PRZYCZYN TRYBUNAŁ</w:t>
      </w:r>
    </w:p>
    <w:p w14:paraId="62D634AE" w14:textId="59396F2A" w:rsidR="00F82259" w:rsidRPr="00F82259" w:rsidRDefault="00CB3538" w:rsidP="00F82259">
      <w:pPr>
        <w:pStyle w:val="JuList"/>
        <w:numPr>
          <w:ilvl w:val="0"/>
          <w:numId w:val="1"/>
        </w:numPr>
      </w:pPr>
      <w:r>
        <w:rPr>
          <w:i/>
        </w:rPr>
        <w:t>U</w:t>
      </w:r>
      <w:r w:rsidR="00F82259">
        <w:rPr>
          <w:i/>
        </w:rPr>
        <w:t>znaje</w:t>
      </w:r>
      <w:r w:rsidR="00F82259">
        <w:t xml:space="preserve"> jednogłośnie zarzuty dotyczące braku możliwości odwołania do</w:t>
      </w:r>
      <w:r w:rsidR="00A134DB">
        <w:t> </w:t>
      </w:r>
      <w:r>
        <w:t xml:space="preserve">Najwyższego </w:t>
      </w:r>
      <w:r w:rsidR="00F82259">
        <w:t>Trybunału Administracyjnego za dopuszczalne, a pozostałą część skargi za niedopuszczalną;</w:t>
      </w:r>
    </w:p>
    <w:p w14:paraId="4EAFE9DA" w14:textId="0B6A9180" w:rsidR="00F82259" w:rsidRPr="00F82259" w:rsidRDefault="00CB3538" w:rsidP="00F82259">
      <w:pPr>
        <w:pStyle w:val="JuList"/>
        <w:numPr>
          <w:ilvl w:val="0"/>
          <w:numId w:val="1"/>
        </w:numPr>
      </w:pPr>
      <w:r>
        <w:rPr>
          <w:i/>
        </w:rPr>
        <w:t>O</w:t>
      </w:r>
      <w:r w:rsidR="00F82259">
        <w:rPr>
          <w:i/>
        </w:rPr>
        <w:t>rzeka</w:t>
      </w:r>
      <w:r w:rsidR="00F82259">
        <w:t>, sześcioma głosami do jednego, że nie doszło do naruszenia art. 2 Protokołu nr 7 do Konwencji.</w:t>
      </w:r>
    </w:p>
    <w:p w14:paraId="4DAB3D97" w14:textId="015ACC15" w:rsidR="00F82259" w:rsidRPr="00F82259" w:rsidRDefault="00F82259" w:rsidP="00F82259">
      <w:pPr>
        <w:pStyle w:val="JuParaLast"/>
      </w:pPr>
      <w:r>
        <w:t>Sporządzono w języku angielskim i obwieszczono pisemnie dnia</w:t>
      </w:r>
      <w:r w:rsidR="00A134DB">
        <w:t xml:space="preserve"> </w:t>
      </w:r>
      <w:r>
        <w:rPr>
          <w:rFonts w:ascii="Times New Roman" w:hAnsi="Times New Roman"/>
        </w:rPr>
        <w:t>26</w:t>
      </w:r>
      <w:r w:rsidR="00A134DB">
        <w:rPr>
          <w:rFonts w:ascii="Times New Roman" w:hAnsi="Times New Roman"/>
        </w:rPr>
        <w:t> </w:t>
      </w:r>
      <w:r>
        <w:rPr>
          <w:rFonts w:ascii="Times New Roman" w:hAnsi="Times New Roman"/>
        </w:rPr>
        <w:t>października 2021 r</w:t>
      </w:r>
      <w:r>
        <w:t>., zgodnie z Regułą 77 §§ 2 i</w:t>
      </w:r>
      <w:r w:rsidR="00A134DB">
        <w:t xml:space="preserve"> </w:t>
      </w:r>
      <w:r>
        <w:t>3 Regulaminu Trybunału.</w:t>
      </w:r>
    </w:p>
    <w:p w14:paraId="3D66AB30" w14:textId="77777777" w:rsidR="00F82259" w:rsidRPr="00F82259" w:rsidRDefault="00F82259" w:rsidP="00F82259">
      <w:pPr>
        <w:pStyle w:val="JuSigned"/>
      </w:pPr>
      <w:r>
        <w:t xml:space="preserve">Andrea </w:t>
      </w:r>
      <w:proofErr w:type="spellStart"/>
      <w:r>
        <w:t>Tamietti</w:t>
      </w:r>
      <w:proofErr w:type="spellEnd"/>
      <w:r>
        <w:t xml:space="preserve"> </w:t>
      </w:r>
      <w:r>
        <w:tab/>
      </w:r>
      <w:proofErr w:type="spellStart"/>
      <w:r>
        <w:t>Yonko</w:t>
      </w:r>
      <w:proofErr w:type="spellEnd"/>
      <w:r>
        <w:t xml:space="preserve"> </w:t>
      </w:r>
      <w:proofErr w:type="spellStart"/>
      <w:r>
        <w:t>Grozev</w:t>
      </w:r>
      <w:proofErr w:type="spellEnd"/>
      <w:r>
        <w:br/>
      </w:r>
      <w:r>
        <w:tab/>
        <w:t>Kanclerz</w:t>
      </w:r>
      <w:r>
        <w:tab/>
        <w:t>Przewodniczący</w:t>
      </w:r>
    </w:p>
    <w:p w14:paraId="26C22868" w14:textId="77777777" w:rsidR="00F82259" w:rsidRPr="00F82259" w:rsidRDefault="00F82259" w:rsidP="00F82259">
      <w:pPr>
        <w:pStyle w:val="JuParaLast"/>
      </w:pPr>
      <w:r>
        <w:t xml:space="preserve">Zgodnie z art. 45 ust. 2 Konwencji i Regułą 74 § 2 Regulaminu Trybunału do wyroku załączono opinię odrębną sędziego </w:t>
      </w:r>
      <w:proofErr w:type="spellStart"/>
      <w:r>
        <w:t>Vehabovicia</w:t>
      </w:r>
      <w:proofErr w:type="spellEnd"/>
      <w:r>
        <w:t>.</w:t>
      </w:r>
    </w:p>
    <w:p w14:paraId="4696D25A" w14:textId="02B9F1C0" w:rsidR="00F82259" w:rsidRPr="00F82259" w:rsidRDefault="00F82259" w:rsidP="00EE112C">
      <w:pPr>
        <w:pStyle w:val="JuInitialled"/>
      </w:pPr>
      <w:r>
        <w:t xml:space="preserve">Y.G.R. </w:t>
      </w:r>
      <w:r>
        <w:br/>
        <w:t>A.N.T.</w:t>
      </w:r>
    </w:p>
    <w:p w14:paraId="2310B1EC" w14:textId="77777777" w:rsidR="00F82259" w:rsidRPr="00F82259" w:rsidRDefault="00F82259" w:rsidP="00F82259">
      <w:pPr>
        <w:pStyle w:val="JuInitialled"/>
        <w:sectPr w:rsidR="00F82259" w:rsidRPr="00F82259" w:rsidSect="00A572E3">
          <w:headerReference w:type="even" r:id="rId15"/>
          <w:headerReference w:type="default" r:id="rId16"/>
          <w:footerReference w:type="even" r:id="rId17"/>
          <w:footerReference w:type="default" r:id="rId18"/>
          <w:footnotePr>
            <w:numRestart w:val="eachSect"/>
          </w:footnotePr>
          <w:type w:val="oddPage"/>
          <w:pgSz w:w="11906" w:h="16838" w:code="9"/>
          <w:pgMar w:top="2274" w:right="2274" w:bottom="2274" w:left="2274" w:header="1701" w:footer="720" w:gutter="0"/>
          <w:pgNumType w:start="1"/>
          <w:cols w:space="720"/>
          <w:docGrid w:linePitch="326"/>
        </w:sectPr>
      </w:pPr>
    </w:p>
    <w:p w14:paraId="528666E7" w14:textId="77777777" w:rsidR="00F82259" w:rsidRPr="00F82259" w:rsidRDefault="00F82259" w:rsidP="00F82259">
      <w:pPr>
        <w:pStyle w:val="DecHTitle"/>
      </w:pPr>
      <w:r>
        <w:lastRenderedPageBreak/>
        <w:t>OPINIA ODRĘBNA SĘDZIEGO VEHABOVICIA</w:t>
      </w:r>
    </w:p>
    <w:p w14:paraId="0926804A" w14:textId="3587531C" w:rsidR="00F82259" w:rsidRPr="00F82259" w:rsidRDefault="00F82259" w:rsidP="00F82259">
      <w:pPr>
        <w:pStyle w:val="JuPara"/>
      </w:pPr>
      <w:r>
        <w:t xml:space="preserve">Stwierdzam z </w:t>
      </w:r>
      <w:r w:rsidR="00CB3538">
        <w:t xml:space="preserve">ogromną </w:t>
      </w:r>
      <w:r>
        <w:t>przykrością, że nie podzielam poglądów wyrażonych przez większość składu Izby.</w:t>
      </w:r>
    </w:p>
    <w:p w14:paraId="25145E97" w14:textId="5DB205ED" w:rsidR="00F82259" w:rsidRPr="00F82259" w:rsidRDefault="00F82259" w:rsidP="00F82259">
      <w:pPr>
        <w:pStyle w:val="JuPara"/>
      </w:pPr>
      <w:r>
        <w:t xml:space="preserve">Oczywistym jest, że czyn, za który skarżący został skazany, nie był zagrożony karą pozbawienia wolności jako karą główną; niemniej </w:t>
      </w:r>
      <w:r w:rsidR="00FD6D24">
        <w:t>rozstrzygnięcie</w:t>
      </w:r>
      <w:r>
        <w:t xml:space="preserve"> czy czyn, dla którego prawo przewiduje karę pozbawienia wolności w wymiarze do dwóch tygodni w przypadku braku zapłaty, można uznać za przestępstwo „drobne” </w:t>
      </w:r>
      <w:r w:rsidR="00FD6D24">
        <w:t>–</w:t>
      </w:r>
      <w:r>
        <w:t xml:space="preserve"> jak uznała większość</w:t>
      </w:r>
      <w:r w:rsidR="00FD6D24">
        <w:t xml:space="preserve"> – </w:t>
      </w:r>
      <w:r>
        <w:t>jest punktem wyjścia dla rozważań.</w:t>
      </w:r>
    </w:p>
    <w:p w14:paraId="197D9A2E" w14:textId="212B5693" w:rsidR="00F82259" w:rsidRPr="00F82259" w:rsidRDefault="00F82259" w:rsidP="00F82259">
      <w:pPr>
        <w:pStyle w:val="JuPara"/>
      </w:pPr>
      <w:r>
        <w:t xml:space="preserve">Jestem zdania, że czynnikiem decydującym nie jest maksymalna wysokość grzywny czy kwota grzywny faktycznie nałożonej, a pełen zakres stosowanych sankcji, do których zaliczała się możliwa kara pozbawienia wolności. Elementem decydującym jest możliwa kara w sensie abstrakcyjnym, a nie faktycznie zastosowana kara, jak w sprawie </w:t>
      </w:r>
      <w:proofErr w:type="spellStart"/>
      <w:r>
        <w:rPr>
          <w:i/>
          <w:iCs/>
        </w:rPr>
        <w:t>Gurepka</w:t>
      </w:r>
      <w:proofErr w:type="spellEnd"/>
      <w:r>
        <w:rPr>
          <w:i/>
          <w:iCs/>
        </w:rPr>
        <w:t xml:space="preserve"> przeciwko Ukrainie (nr 2)</w:t>
      </w:r>
      <w:r>
        <w:t xml:space="preserve"> (skarga nr 38789/04, §§ 12 i 33, 8 kwietnia 2010 r.). W sprawie </w:t>
      </w:r>
      <w:proofErr w:type="spellStart"/>
      <w:r>
        <w:rPr>
          <w:i/>
          <w:iCs/>
        </w:rPr>
        <w:t>Putz</w:t>
      </w:r>
      <w:proofErr w:type="spellEnd"/>
      <w:r>
        <w:rPr>
          <w:i/>
          <w:iCs/>
        </w:rPr>
        <w:t xml:space="preserve"> przeciwko Austrii</w:t>
      </w:r>
      <w:r>
        <w:t xml:space="preserve"> (skarga nr 18892/91, decyzja Komisji z 3 grudnia 1993 r., </w:t>
      </w:r>
      <w:proofErr w:type="spellStart"/>
      <w:r>
        <w:t>niepubl</w:t>
      </w:r>
      <w:proofErr w:type="spellEnd"/>
      <w:r>
        <w:t>.), sytuacja jest odmienna od tej w niniejszej sprawie, jeżeli chodzi o wagę przestępstwa i karę, jak i procedurę zamiany sankcji pieniężnej na karę pozbawienia wolności. W przywołanej sprawie groźba zastosowania kary pozbawienia wolności w przypadku braku zapłaty bezpośrednio wynikała ze skazania skarżącego na podstawie ustawy o ruchu drogowym.</w:t>
      </w:r>
    </w:p>
    <w:p w14:paraId="02908997" w14:textId="5270DB76" w:rsidR="00F82259" w:rsidRPr="00F82259" w:rsidRDefault="00F82259" w:rsidP="00F82259">
      <w:pPr>
        <w:pStyle w:val="JuPara"/>
      </w:pPr>
      <w:r>
        <w:t xml:space="preserve">Niezależnie od tego, czy jest to kara pierwotna czy wtórna, możliwa kara pozbawienia wolności niesie ze sobą poważne konsekwencje, których nie można uznać za „drobne” w znaczeniu art. 2 Protokołu nr 7 (zob. </w:t>
      </w:r>
      <w:proofErr w:type="spellStart"/>
      <w:r>
        <w:rPr>
          <w:i/>
          <w:iCs/>
        </w:rPr>
        <w:t>Kamburov</w:t>
      </w:r>
      <w:proofErr w:type="spellEnd"/>
      <w:r>
        <w:rPr>
          <w:i/>
          <w:iCs/>
        </w:rPr>
        <w:t xml:space="preserve"> przeciwko Bułgarii</w:t>
      </w:r>
      <w:r>
        <w:t>, skarga nr 31001/02, § 26, 23 kwietnia 2009 r.).</w:t>
      </w:r>
    </w:p>
    <w:p w14:paraId="7DFB2624" w14:textId="125C9CEA" w:rsidR="00F82259" w:rsidRPr="00F82259" w:rsidRDefault="00F82259" w:rsidP="00F82259">
      <w:pPr>
        <w:pStyle w:val="JuPara"/>
      </w:pPr>
      <w:r>
        <w:t xml:space="preserve">Podzielam opinię, którą Trybunał wyraził w sprawie </w:t>
      </w:r>
      <w:proofErr w:type="spellStart"/>
      <w:r>
        <w:rPr>
          <w:i/>
          <w:iCs/>
        </w:rPr>
        <w:t>Shvydka</w:t>
      </w:r>
      <w:proofErr w:type="spellEnd"/>
      <w:r>
        <w:rPr>
          <w:i/>
          <w:iCs/>
        </w:rPr>
        <w:t xml:space="preserve"> przeciwko Ukrainie</w:t>
      </w:r>
      <w:r>
        <w:t xml:space="preserve"> (skarga nr 17888/12, § 50, 30 października 2014 r.), iż</w:t>
      </w:r>
      <w:r w:rsidR="00A134DB">
        <w:t> </w:t>
      </w:r>
      <w:r>
        <w:t>w</w:t>
      </w:r>
      <w:r w:rsidR="00A134DB">
        <w:t> </w:t>
      </w:r>
      <w:r>
        <w:t>przypadkach, gdzie ma zastosowanie prawo do rozpatrzenia na</w:t>
      </w:r>
      <w:r w:rsidR="00A134DB">
        <w:t> </w:t>
      </w:r>
      <w:r>
        <w:t>podstawie art. 2 Protokołu nr 7, tam winno ono być równie skuteczne, co</w:t>
      </w:r>
      <w:r w:rsidR="00A134DB">
        <w:t> </w:t>
      </w:r>
      <w:r>
        <w:t>prawo dostępu do sądu zapisane w art. 6 ust. 1 Konwencji, przy uwzględnieniu istotnego miejsca, jakie w demokratycznym społeczeństwie zajmuje prawo do rzetelnego procesu sądowego. Ponadto, jak określono w</w:t>
      </w:r>
      <w:r w:rsidR="00A134DB">
        <w:t> </w:t>
      </w:r>
      <w:r>
        <w:t>pkt</w:t>
      </w:r>
      <w:r w:rsidR="00CB3538">
        <w:t>.</w:t>
      </w:r>
      <w:r>
        <w:t xml:space="preserve"> 18 sprawozdania wyjaśniającego do Protokołu nr 7, można uznać, że</w:t>
      </w:r>
      <w:r w:rsidR="00A134DB">
        <w:t> </w:t>
      </w:r>
      <w:r>
        <w:t>sądy odwoławcze i kasacyjne spełniają wymóg rozpatrzenia sprawy przez sąd wyższej instancji; z kolei w tym kontekście nie wspomniano o</w:t>
      </w:r>
      <w:r w:rsidR="00A134DB">
        <w:t> </w:t>
      </w:r>
      <w:r>
        <w:t xml:space="preserve">trybunałach konstytucyjnych. W niniejszej sprawie zdaje się, że Trybunał Konstytucyjny ograniczał możliwość skarżącego do zarzucenia naruszenia przysługujących mu praw, i że skarżący miał jedynie możliwość zarzucenia niewłaściwego zastosowania prawa lub uchybienia procesowego,  jeżeli </w:t>
      </w:r>
      <w:r w:rsidR="00CB3538">
        <w:t>osiągnęły one poziom</w:t>
      </w:r>
      <w:r>
        <w:t xml:space="preserve"> arbitralnego zastosowania prawa.  Powyższe w oczywisty sposób ograniczało zakres rozpatrzenia sprawy przez Trybunał Konstytucyjny w porównaniu do tego, jakim dysponuje </w:t>
      </w:r>
      <w:r w:rsidR="00CB3538">
        <w:t xml:space="preserve">Najwyższy </w:t>
      </w:r>
      <w:r>
        <w:t xml:space="preserve">Trybunał </w:t>
      </w:r>
      <w:r>
        <w:lastRenderedPageBreak/>
        <w:t>Administracyjny. Co więcej</w:t>
      </w:r>
      <w:r w:rsidR="00CB3538">
        <w:t>,</w:t>
      </w:r>
      <w:r>
        <w:t xml:space="preserve"> Trybunał Konstytucyjny nie zgodził się nawet na rozpatrzenie skargi skarżącego z uwagi na brak perspektyw na pomyślny jej wynik i uznał, że sprawa nie wymagała szczegółowego zbadania zgodności zagadnień prawnych z Konstytucją.</w:t>
      </w:r>
    </w:p>
    <w:p w14:paraId="26F32D71" w14:textId="065DCA5D" w:rsidR="00F82259" w:rsidRPr="00F82259" w:rsidRDefault="00F82259" w:rsidP="00F82259">
      <w:pPr>
        <w:pStyle w:val="JuPara"/>
      </w:pPr>
      <w:r>
        <w:t>W powyższych okolicznościach nie pozostaje mi nic innego, jak nie zgodzić się z większością w niniejszej sprawie. Jestem zdania, że skarżący nie miał możliwości skorzystania ze skutecznego rozpatrzenia dotyczącej go</w:t>
      </w:r>
      <w:r w:rsidR="00A134DB">
        <w:t> </w:t>
      </w:r>
      <w:r>
        <w:t>sprawy karnej przez sąd wyższej instancji w rozumieniu art. 2 ust. 1 Protokołu nr 7.</w:t>
      </w:r>
    </w:p>
    <w:p w14:paraId="2367D84E" w14:textId="38171917" w:rsidR="006A7535" w:rsidRPr="00F82259" w:rsidRDefault="006A7535" w:rsidP="00F82259"/>
    <w:sectPr w:rsidR="006A7535" w:rsidRPr="00F82259" w:rsidSect="00BF20CF">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F8CC4A" w14:textId="77777777" w:rsidR="00167ED2" w:rsidRPr="00E67565" w:rsidRDefault="00167ED2" w:rsidP="0098410D">
      <w:r w:rsidRPr="00E67565">
        <w:separator/>
      </w:r>
    </w:p>
  </w:endnote>
  <w:endnote w:type="continuationSeparator" w:id="0">
    <w:p w14:paraId="7AFFA578" w14:textId="77777777" w:rsidR="00167ED2" w:rsidRPr="00E67565" w:rsidRDefault="00167ED2"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3B3C27" w14:textId="77777777" w:rsidR="00FB3385" w:rsidRPr="00AF3955" w:rsidRDefault="00FB3385" w:rsidP="00FB3385">
    <w:pPr>
      <w:jc w:val="center"/>
    </w:pPr>
    <w:r>
      <w:rPr>
        <w:noProof/>
      </w:rPr>
      <w:drawing>
        <wp:inline distT="0" distB="0" distL="0" distR="0" wp14:anchorId="461D9881" wp14:editId="78705ADC">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67F8101" w14:textId="77777777" w:rsidR="00FB3385" w:rsidRPr="00AF3955" w:rsidRDefault="00FB3385" w:rsidP="00FB338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3891D" w14:textId="77777777" w:rsidR="00FB3385" w:rsidRPr="00AF3955" w:rsidRDefault="00FB3385" w:rsidP="00FB3385">
    <w:pPr>
      <w:jc w:val="center"/>
    </w:pPr>
    <w:r>
      <w:rPr>
        <w:noProof/>
      </w:rPr>
      <w:drawing>
        <wp:inline distT="0" distB="0" distL="0" distR="0" wp14:anchorId="0DDE5D15" wp14:editId="26A5A78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EEFFCC4" w14:textId="77777777" w:rsidR="00FB3385" w:rsidRPr="00AF3955" w:rsidRDefault="00FB3385"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7EA7B" w14:textId="77777777" w:rsidR="00FB3385" w:rsidRDefault="00FB3385"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3</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8798E" w14:textId="77777777" w:rsidR="00FB3385" w:rsidRPr="000B7195" w:rsidRDefault="00FB3385" w:rsidP="007D3701">
    <w:pPr>
      <w:pStyle w:val="JuHeader"/>
    </w:pPr>
    <w:r>
      <w:fldChar w:fldCharType="begin"/>
    </w:r>
    <w:r>
      <w:instrText xml:space="preserve"> PAGE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3C4850" w14:textId="77777777" w:rsidR="00167ED2" w:rsidRPr="00E67565" w:rsidRDefault="00167ED2" w:rsidP="0098410D">
      <w:r w:rsidRPr="00E67565">
        <w:separator/>
      </w:r>
    </w:p>
  </w:footnote>
  <w:footnote w:type="continuationSeparator" w:id="0">
    <w:p w14:paraId="076AE427" w14:textId="77777777" w:rsidR="00167ED2" w:rsidRPr="00E67565" w:rsidRDefault="00167ED2"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6089F" w14:textId="77777777" w:rsidR="00FB3385" w:rsidRPr="00AF3955" w:rsidRDefault="00FB3385" w:rsidP="00FB3385">
    <w:pPr>
      <w:jc w:val="center"/>
    </w:pPr>
    <w:r>
      <w:rPr>
        <w:noProof/>
      </w:rPr>
      <w:drawing>
        <wp:inline distT="0" distB="0" distL="0" distR="0" wp14:anchorId="5D0AB53F" wp14:editId="7ED82C0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305B3F3" w14:textId="77777777" w:rsidR="00FB3385" w:rsidRPr="00AF3955" w:rsidRDefault="00FB3385" w:rsidP="00FB338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748213" w14:textId="77777777" w:rsidR="00FB3385" w:rsidRPr="00AF3955" w:rsidRDefault="00FB3385" w:rsidP="00FB3385">
    <w:pPr>
      <w:jc w:val="center"/>
    </w:pPr>
    <w:r>
      <w:rPr>
        <w:noProof/>
      </w:rPr>
      <w:drawing>
        <wp:inline distT="0" distB="0" distL="0" distR="0" wp14:anchorId="095AAD80" wp14:editId="76BEB979">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8AEC9C0" w14:textId="77777777" w:rsidR="00FB3385" w:rsidRPr="00AF3955" w:rsidRDefault="00FB338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D6F88" w14:textId="77777777" w:rsidR="00FB3385" w:rsidRPr="004D0EC7" w:rsidRDefault="00FB3385" w:rsidP="004D0EC7">
    <w:pPr>
      <w:pStyle w:val="JuHeader"/>
    </w:pPr>
    <w:r>
      <w:t>WYROK KINDLHOFER przeciwko AUSTRII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E4A6D" w14:textId="77777777" w:rsidR="00FB3385" w:rsidRPr="00882CD5" w:rsidRDefault="00FB3385" w:rsidP="007D3701">
    <w:pPr>
      <w:pStyle w:val="JuHeader"/>
    </w:pPr>
    <w:r>
      <w:t>WYROK KINDLHOFER przeciwko AUSTRII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FA8A8" w14:textId="1ED9F000" w:rsidR="00FB3385" w:rsidRPr="004D0EC7" w:rsidRDefault="00FB3385" w:rsidP="004D0EC7">
    <w:pPr>
      <w:pStyle w:val="JuHeader"/>
    </w:pPr>
    <w:r>
      <w:t>WYROK KINDLHOFER przeciwko AUSTRII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6ABFC" w14:textId="160A7B00" w:rsidR="00FB3385" w:rsidRPr="00882CD5" w:rsidRDefault="00FB3385" w:rsidP="006A7535">
    <w:pPr>
      <w:pStyle w:val="JuHeader"/>
      <w:tabs>
        <w:tab w:val="center" w:pos="3685"/>
        <w:tab w:val="right" w:pos="7370"/>
      </w:tabs>
    </w:pPr>
    <w:r>
      <w:t>WYROK KINDLHOFER przeciwko AUSTRII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6"/>
  </w:num>
  <w:num w:numId="3">
    <w:abstractNumId w:val="18"/>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doNotDisplayPageBoundarie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E778EA"/>
    <w:rsid w:val="000041F8"/>
    <w:rsid w:val="000042A8"/>
    <w:rsid w:val="00004308"/>
    <w:rsid w:val="00005BF0"/>
    <w:rsid w:val="0000617D"/>
    <w:rsid w:val="00007154"/>
    <w:rsid w:val="000103AE"/>
    <w:rsid w:val="00011D69"/>
    <w:rsid w:val="00012AD3"/>
    <w:rsid w:val="00015C2D"/>
    <w:rsid w:val="00015F00"/>
    <w:rsid w:val="00022C1D"/>
    <w:rsid w:val="000275D2"/>
    <w:rsid w:val="00031428"/>
    <w:rsid w:val="00034987"/>
    <w:rsid w:val="00041560"/>
    <w:rsid w:val="0005066B"/>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1BE2"/>
    <w:rsid w:val="000D47AA"/>
    <w:rsid w:val="000D721F"/>
    <w:rsid w:val="000D75E8"/>
    <w:rsid w:val="000E069B"/>
    <w:rsid w:val="000E0E82"/>
    <w:rsid w:val="000E1DC5"/>
    <w:rsid w:val="000E223F"/>
    <w:rsid w:val="000E46B8"/>
    <w:rsid w:val="000E7D45"/>
    <w:rsid w:val="000F7851"/>
    <w:rsid w:val="00101505"/>
    <w:rsid w:val="00104E23"/>
    <w:rsid w:val="00110DA8"/>
    <w:rsid w:val="00111B0C"/>
    <w:rsid w:val="001168DA"/>
    <w:rsid w:val="00120D6C"/>
    <w:rsid w:val="001257EC"/>
    <w:rsid w:val="00133D33"/>
    <w:rsid w:val="00134B6A"/>
    <w:rsid w:val="00134D64"/>
    <w:rsid w:val="00135A30"/>
    <w:rsid w:val="0013612C"/>
    <w:rsid w:val="00137FF6"/>
    <w:rsid w:val="00141650"/>
    <w:rsid w:val="001561B6"/>
    <w:rsid w:val="00162A12"/>
    <w:rsid w:val="00166530"/>
    <w:rsid w:val="00167ED2"/>
    <w:rsid w:val="00170027"/>
    <w:rsid w:val="00175FD0"/>
    <w:rsid w:val="0017750E"/>
    <w:rsid w:val="00180C80"/>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4776"/>
    <w:rsid w:val="001E6857"/>
    <w:rsid w:val="001E6F32"/>
    <w:rsid w:val="001E798B"/>
    <w:rsid w:val="001F2145"/>
    <w:rsid w:val="001F3FB8"/>
    <w:rsid w:val="001F6262"/>
    <w:rsid w:val="001F67B0"/>
    <w:rsid w:val="001F7B3D"/>
    <w:rsid w:val="00200831"/>
    <w:rsid w:val="00202752"/>
    <w:rsid w:val="0020335A"/>
    <w:rsid w:val="002052BC"/>
    <w:rsid w:val="002059E6"/>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66ED6"/>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B66B3"/>
    <w:rsid w:val="002C0E27"/>
    <w:rsid w:val="002C3040"/>
    <w:rsid w:val="002C4433"/>
    <w:rsid w:val="002C7826"/>
    <w:rsid w:val="002D022D"/>
    <w:rsid w:val="002D24BB"/>
    <w:rsid w:val="002D2FA7"/>
    <w:rsid w:val="002D47BA"/>
    <w:rsid w:val="002D77B9"/>
    <w:rsid w:val="002E46DA"/>
    <w:rsid w:val="002E7AEA"/>
    <w:rsid w:val="002F2AF7"/>
    <w:rsid w:val="002F5B6F"/>
    <w:rsid w:val="002F69C4"/>
    <w:rsid w:val="002F7D9E"/>
    <w:rsid w:val="002F7E1C"/>
    <w:rsid w:val="00301A75"/>
    <w:rsid w:val="00302F70"/>
    <w:rsid w:val="0030336F"/>
    <w:rsid w:val="0030375E"/>
    <w:rsid w:val="00312A30"/>
    <w:rsid w:val="003201D8"/>
    <w:rsid w:val="00320A72"/>
    <w:rsid w:val="00320B95"/>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1F70"/>
    <w:rsid w:val="0039364F"/>
    <w:rsid w:val="00396686"/>
    <w:rsid w:val="0039778E"/>
    <w:rsid w:val="003B4941"/>
    <w:rsid w:val="003C5714"/>
    <w:rsid w:val="003C6B9F"/>
    <w:rsid w:val="003C6E2A"/>
    <w:rsid w:val="003D0299"/>
    <w:rsid w:val="003E6D80"/>
    <w:rsid w:val="003F05FA"/>
    <w:rsid w:val="003F244A"/>
    <w:rsid w:val="003F2517"/>
    <w:rsid w:val="003F30B8"/>
    <w:rsid w:val="003F34DD"/>
    <w:rsid w:val="003F4C45"/>
    <w:rsid w:val="003F5F7B"/>
    <w:rsid w:val="003F7D64"/>
    <w:rsid w:val="0040433A"/>
    <w:rsid w:val="00414300"/>
    <w:rsid w:val="00414F27"/>
    <w:rsid w:val="00420703"/>
    <w:rsid w:val="00423A18"/>
    <w:rsid w:val="00425C67"/>
    <w:rsid w:val="00427E7A"/>
    <w:rsid w:val="004355AC"/>
    <w:rsid w:val="00436C49"/>
    <w:rsid w:val="00440EF6"/>
    <w:rsid w:val="00443D98"/>
    <w:rsid w:val="00445366"/>
    <w:rsid w:val="00447F5B"/>
    <w:rsid w:val="00461DB0"/>
    <w:rsid w:val="00463926"/>
    <w:rsid w:val="00464AB7"/>
    <w:rsid w:val="00464C9A"/>
    <w:rsid w:val="00474F3D"/>
    <w:rsid w:val="00477E3A"/>
    <w:rsid w:val="00483E5F"/>
    <w:rsid w:val="0048401C"/>
    <w:rsid w:val="00485FF9"/>
    <w:rsid w:val="0049049B"/>
    <w:rsid w:val="004907F0"/>
    <w:rsid w:val="0049140B"/>
    <w:rsid w:val="004923A5"/>
    <w:rsid w:val="0049310E"/>
    <w:rsid w:val="004950E2"/>
    <w:rsid w:val="00496BFB"/>
    <w:rsid w:val="004A15C7"/>
    <w:rsid w:val="004A3201"/>
    <w:rsid w:val="004A3EFB"/>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4F77FE"/>
    <w:rsid w:val="00511C07"/>
    <w:rsid w:val="005125CB"/>
    <w:rsid w:val="00512EC4"/>
    <w:rsid w:val="0051725A"/>
    <w:rsid w:val="005173A6"/>
    <w:rsid w:val="00520354"/>
    <w:rsid w:val="00520BAA"/>
    <w:rsid w:val="005217D8"/>
    <w:rsid w:val="00523146"/>
    <w:rsid w:val="00525208"/>
    <w:rsid w:val="005257A5"/>
    <w:rsid w:val="005264C0"/>
    <w:rsid w:val="00526A8A"/>
    <w:rsid w:val="00527FB1"/>
    <w:rsid w:val="00530FE6"/>
    <w:rsid w:val="00531900"/>
    <w:rsid w:val="00531DF2"/>
    <w:rsid w:val="0053315C"/>
    <w:rsid w:val="00537476"/>
    <w:rsid w:val="005442EE"/>
    <w:rsid w:val="00545DA6"/>
    <w:rsid w:val="00547353"/>
    <w:rsid w:val="005474E7"/>
    <w:rsid w:val="005512A3"/>
    <w:rsid w:val="005578CE"/>
    <w:rsid w:val="00562781"/>
    <w:rsid w:val="00562B6C"/>
    <w:rsid w:val="0057122B"/>
    <w:rsid w:val="0057271C"/>
    <w:rsid w:val="00572845"/>
    <w:rsid w:val="005879A2"/>
    <w:rsid w:val="00592772"/>
    <w:rsid w:val="0059574A"/>
    <w:rsid w:val="005A1B9B"/>
    <w:rsid w:val="005A24F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E3B64"/>
    <w:rsid w:val="005E5272"/>
    <w:rsid w:val="005F0EB3"/>
    <w:rsid w:val="005F51E1"/>
    <w:rsid w:val="00611C80"/>
    <w:rsid w:val="00620692"/>
    <w:rsid w:val="006242CA"/>
    <w:rsid w:val="00627507"/>
    <w:rsid w:val="00633717"/>
    <w:rsid w:val="006344E1"/>
    <w:rsid w:val="00643524"/>
    <w:rsid w:val="0064393B"/>
    <w:rsid w:val="00645CF2"/>
    <w:rsid w:val="006545C4"/>
    <w:rsid w:val="00656CA3"/>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A7535"/>
    <w:rsid w:val="006B1942"/>
    <w:rsid w:val="006C23D4"/>
    <w:rsid w:val="006C7BB0"/>
    <w:rsid w:val="006D3237"/>
    <w:rsid w:val="006E2E37"/>
    <w:rsid w:val="006E3224"/>
    <w:rsid w:val="006E3CF1"/>
    <w:rsid w:val="006E68A3"/>
    <w:rsid w:val="006E7632"/>
    <w:rsid w:val="006E7E80"/>
    <w:rsid w:val="006F1BEB"/>
    <w:rsid w:val="006F1C2D"/>
    <w:rsid w:val="006F48CA"/>
    <w:rsid w:val="006F64DD"/>
    <w:rsid w:val="006F6C72"/>
    <w:rsid w:val="006F712D"/>
    <w:rsid w:val="00715127"/>
    <w:rsid w:val="00715E8E"/>
    <w:rsid w:val="00723580"/>
    <w:rsid w:val="00723755"/>
    <w:rsid w:val="007237C4"/>
    <w:rsid w:val="0073136C"/>
    <w:rsid w:val="00731F0F"/>
    <w:rsid w:val="00733250"/>
    <w:rsid w:val="00741404"/>
    <w:rsid w:val="007449E5"/>
    <w:rsid w:val="0074750E"/>
    <w:rsid w:val="00747FF0"/>
    <w:rsid w:val="0075566E"/>
    <w:rsid w:val="00763602"/>
    <w:rsid w:val="00764D4E"/>
    <w:rsid w:val="00765A1F"/>
    <w:rsid w:val="007673F9"/>
    <w:rsid w:val="00775B6D"/>
    <w:rsid w:val="00776D68"/>
    <w:rsid w:val="0078323E"/>
    <w:rsid w:val="007850EE"/>
    <w:rsid w:val="00785B95"/>
    <w:rsid w:val="00790E96"/>
    <w:rsid w:val="007926FD"/>
    <w:rsid w:val="00793366"/>
    <w:rsid w:val="0079417D"/>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693"/>
    <w:rsid w:val="0083014E"/>
    <w:rsid w:val="0083214A"/>
    <w:rsid w:val="00834220"/>
    <w:rsid w:val="00841B78"/>
    <w:rsid w:val="00845723"/>
    <w:rsid w:val="008519E7"/>
    <w:rsid w:val="00851EF9"/>
    <w:rsid w:val="0085411A"/>
    <w:rsid w:val="008577FD"/>
    <w:rsid w:val="00860B03"/>
    <w:rsid w:val="0086497A"/>
    <w:rsid w:val="00864B35"/>
    <w:rsid w:val="00867066"/>
    <w:rsid w:val="008713A1"/>
    <w:rsid w:val="00872584"/>
    <w:rsid w:val="008743ED"/>
    <w:rsid w:val="008754AB"/>
    <w:rsid w:val="0088060C"/>
    <w:rsid w:val="00882CD5"/>
    <w:rsid w:val="00883151"/>
    <w:rsid w:val="0089061C"/>
    <w:rsid w:val="00891300"/>
    <w:rsid w:val="00893576"/>
    <w:rsid w:val="00893E73"/>
    <w:rsid w:val="008B02DC"/>
    <w:rsid w:val="008B092C"/>
    <w:rsid w:val="008B57CE"/>
    <w:rsid w:val="008C26DE"/>
    <w:rsid w:val="008C63A8"/>
    <w:rsid w:val="008C7B11"/>
    <w:rsid w:val="008D2225"/>
    <w:rsid w:val="008D3BEC"/>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226"/>
    <w:rsid w:val="00985BAB"/>
    <w:rsid w:val="00986B3C"/>
    <w:rsid w:val="00992269"/>
    <w:rsid w:val="009A115C"/>
    <w:rsid w:val="009A7EF5"/>
    <w:rsid w:val="009B1606"/>
    <w:rsid w:val="009B1B5F"/>
    <w:rsid w:val="009B6673"/>
    <w:rsid w:val="009C191B"/>
    <w:rsid w:val="009C2BD6"/>
    <w:rsid w:val="009E1F32"/>
    <w:rsid w:val="009E2CC2"/>
    <w:rsid w:val="009E47A2"/>
    <w:rsid w:val="009E6BE1"/>
    <w:rsid w:val="009E776C"/>
    <w:rsid w:val="009E7A6F"/>
    <w:rsid w:val="009F4C8F"/>
    <w:rsid w:val="00A02972"/>
    <w:rsid w:val="00A05588"/>
    <w:rsid w:val="00A134DB"/>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057D"/>
    <w:rsid w:val="00A51D0F"/>
    <w:rsid w:val="00A54192"/>
    <w:rsid w:val="00A57147"/>
    <w:rsid w:val="00A572E3"/>
    <w:rsid w:val="00A6035E"/>
    <w:rsid w:val="00A6144C"/>
    <w:rsid w:val="00A66617"/>
    <w:rsid w:val="00A671F8"/>
    <w:rsid w:val="00A673A4"/>
    <w:rsid w:val="00A724AE"/>
    <w:rsid w:val="00A73329"/>
    <w:rsid w:val="00A77EF1"/>
    <w:rsid w:val="00A82359"/>
    <w:rsid w:val="00A865D2"/>
    <w:rsid w:val="00A90BCD"/>
    <w:rsid w:val="00A94C20"/>
    <w:rsid w:val="00AA1B09"/>
    <w:rsid w:val="00AA227F"/>
    <w:rsid w:val="00AA299B"/>
    <w:rsid w:val="00AA3BC7"/>
    <w:rsid w:val="00AA754A"/>
    <w:rsid w:val="00AB099E"/>
    <w:rsid w:val="00AB4328"/>
    <w:rsid w:val="00AB51B3"/>
    <w:rsid w:val="00AC4CD4"/>
    <w:rsid w:val="00AE0A2E"/>
    <w:rsid w:val="00AE15EB"/>
    <w:rsid w:val="00AE16F1"/>
    <w:rsid w:val="00AE354C"/>
    <w:rsid w:val="00AF4B07"/>
    <w:rsid w:val="00AF6186"/>
    <w:rsid w:val="00AF7A3A"/>
    <w:rsid w:val="00B02587"/>
    <w:rsid w:val="00B160DB"/>
    <w:rsid w:val="00B16174"/>
    <w:rsid w:val="00B20836"/>
    <w:rsid w:val="00B235BB"/>
    <w:rsid w:val="00B26B83"/>
    <w:rsid w:val="00B27A44"/>
    <w:rsid w:val="00B30BBF"/>
    <w:rsid w:val="00B33C03"/>
    <w:rsid w:val="00B4421F"/>
    <w:rsid w:val="00B44E56"/>
    <w:rsid w:val="00B45917"/>
    <w:rsid w:val="00B46543"/>
    <w:rsid w:val="00B47D33"/>
    <w:rsid w:val="00B52BE0"/>
    <w:rsid w:val="00B54133"/>
    <w:rsid w:val="00B55F2D"/>
    <w:rsid w:val="00B701ED"/>
    <w:rsid w:val="00B748F7"/>
    <w:rsid w:val="00B8086C"/>
    <w:rsid w:val="00B81C58"/>
    <w:rsid w:val="00B861B4"/>
    <w:rsid w:val="00B8633E"/>
    <w:rsid w:val="00B86DFE"/>
    <w:rsid w:val="00B90990"/>
    <w:rsid w:val="00B922FF"/>
    <w:rsid w:val="00B9281E"/>
    <w:rsid w:val="00B93925"/>
    <w:rsid w:val="00B95187"/>
    <w:rsid w:val="00BA2D55"/>
    <w:rsid w:val="00BA71B1"/>
    <w:rsid w:val="00BB0637"/>
    <w:rsid w:val="00BB345F"/>
    <w:rsid w:val="00BB68EA"/>
    <w:rsid w:val="00BC0B99"/>
    <w:rsid w:val="00BC1C27"/>
    <w:rsid w:val="00BC313E"/>
    <w:rsid w:val="00BC6BBF"/>
    <w:rsid w:val="00BD1572"/>
    <w:rsid w:val="00BD235F"/>
    <w:rsid w:val="00BE14E3"/>
    <w:rsid w:val="00BE3774"/>
    <w:rsid w:val="00BE41E5"/>
    <w:rsid w:val="00BF118F"/>
    <w:rsid w:val="00BF20CF"/>
    <w:rsid w:val="00BF285B"/>
    <w:rsid w:val="00BF4109"/>
    <w:rsid w:val="00BF4CC3"/>
    <w:rsid w:val="00BF52CA"/>
    <w:rsid w:val="00BF733F"/>
    <w:rsid w:val="00C0410A"/>
    <w:rsid w:val="00C054C7"/>
    <w:rsid w:val="00C057B5"/>
    <w:rsid w:val="00C07D0E"/>
    <w:rsid w:val="00C10A6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6779"/>
    <w:rsid w:val="00C74810"/>
    <w:rsid w:val="00C83C6C"/>
    <w:rsid w:val="00C90D68"/>
    <w:rsid w:val="00C939FE"/>
    <w:rsid w:val="00CA3034"/>
    <w:rsid w:val="00CA4BDA"/>
    <w:rsid w:val="00CB13E3"/>
    <w:rsid w:val="00CB1F66"/>
    <w:rsid w:val="00CB232C"/>
    <w:rsid w:val="00CB2951"/>
    <w:rsid w:val="00CB3538"/>
    <w:rsid w:val="00CB4277"/>
    <w:rsid w:val="00CC5067"/>
    <w:rsid w:val="00CC5CE3"/>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06F9"/>
    <w:rsid w:val="00D44C2E"/>
    <w:rsid w:val="00D45414"/>
    <w:rsid w:val="00D50A0A"/>
    <w:rsid w:val="00D53548"/>
    <w:rsid w:val="00D566BD"/>
    <w:rsid w:val="00D56D8A"/>
    <w:rsid w:val="00D57652"/>
    <w:rsid w:val="00D57A4D"/>
    <w:rsid w:val="00D60AA7"/>
    <w:rsid w:val="00D6435F"/>
    <w:rsid w:val="00D66471"/>
    <w:rsid w:val="00D70641"/>
    <w:rsid w:val="00D70E53"/>
    <w:rsid w:val="00D7103D"/>
    <w:rsid w:val="00D7181F"/>
    <w:rsid w:val="00D726BF"/>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049F"/>
    <w:rsid w:val="00DE386C"/>
    <w:rsid w:val="00DE4D35"/>
    <w:rsid w:val="00DF098B"/>
    <w:rsid w:val="00DF11C4"/>
    <w:rsid w:val="00DF210C"/>
    <w:rsid w:val="00DF4B6A"/>
    <w:rsid w:val="00E004C0"/>
    <w:rsid w:val="00E02905"/>
    <w:rsid w:val="00E02C09"/>
    <w:rsid w:val="00E036D8"/>
    <w:rsid w:val="00E04D59"/>
    <w:rsid w:val="00E07DA1"/>
    <w:rsid w:val="00E123CB"/>
    <w:rsid w:val="00E13B09"/>
    <w:rsid w:val="00E20E13"/>
    <w:rsid w:val="00E21DBC"/>
    <w:rsid w:val="00E275D7"/>
    <w:rsid w:val="00E27C3F"/>
    <w:rsid w:val="00E27DBE"/>
    <w:rsid w:val="00E32AB1"/>
    <w:rsid w:val="00E36C71"/>
    <w:rsid w:val="00E40404"/>
    <w:rsid w:val="00E40A80"/>
    <w:rsid w:val="00E4126A"/>
    <w:rsid w:val="00E42A06"/>
    <w:rsid w:val="00E43192"/>
    <w:rsid w:val="00E459C6"/>
    <w:rsid w:val="00E47589"/>
    <w:rsid w:val="00E55535"/>
    <w:rsid w:val="00E63EC7"/>
    <w:rsid w:val="00E64915"/>
    <w:rsid w:val="00E64D3A"/>
    <w:rsid w:val="00E661D4"/>
    <w:rsid w:val="00E67565"/>
    <w:rsid w:val="00E675B6"/>
    <w:rsid w:val="00E70091"/>
    <w:rsid w:val="00E70D2E"/>
    <w:rsid w:val="00E720F5"/>
    <w:rsid w:val="00E76D47"/>
    <w:rsid w:val="00E778EA"/>
    <w:rsid w:val="00E827BC"/>
    <w:rsid w:val="00E849F7"/>
    <w:rsid w:val="00E90302"/>
    <w:rsid w:val="00E91D05"/>
    <w:rsid w:val="00E95C1E"/>
    <w:rsid w:val="00E97396"/>
    <w:rsid w:val="00EA185E"/>
    <w:rsid w:val="00EA592A"/>
    <w:rsid w:val="00EB14E4"/>
    <w:rsid w:val="00EB32A5"/>
    <w:rsid w:val="00EB34ED"/>
    <w:rsid w:val="00EB447C"/>
    <w:rsid w:val="00EB47D6"/>
    <w:rsid w:val="00EB7BE0"/>
    <w:rsid w:val="00EC0C6C"/>
    <w:rsid w:val="00EC315E"/>
    <w:rsid w:val="00ED077C"/>
    <w:rsid w:val="00ED10A9"/>
    <w:rsid w:val="00ED1190"/>
    <w:rsid w:val="00ED34AC"/>
    <w:rsid w:val="00ED6544"/>
    <w:rsid w:val="00EE0277"/>
    <w:rsid w:val="00EE112C"/>
    <w:rsid w:val="00EE2793"/>
    <w:rsid w:val="00EE2899"/>
    <w:rsid w:val="00EE3E00"/>
    <w:rsid w:val="00EE5DD2"/>
    <w:rsid w:val="00EF36C5"/>
    <w:rsid w:val="00EF3DB4"/>
    <w:rsid w:val="00EF76FE"/>
    <w:rsid w:val="00F00A79"/>
    <w:rsid w:val="00F00D13"/>
    <w:rsid w:val="00F00E86"/>
    <w:rsid w:val="00F06158"/>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04CE"/>
    <w:rsid w:val="00F82259"/>
    <w:rsid w:val="00F823DF"/>
    <w:rsid w:val="00F8765F"/>
    <w:rsid w:val="00F90767"/>
    <w:rsid w:val="00F9263C"/>
    <w:rsid w:val="00F92862"/>
    <w:rsid w:val="00FA1637"/>
    <w:rsid w:val="00FA685B"/>
    <w:rsid w:val="00FB0C01"/>
    <w:rsid w:val="00FB3385"/>
    <w:rsid w:val="00FB5934"/>
    <w:rsid w:val="00FC18F2"/>
    <w:rsid w:val="00FC2A17"/>
    <w:rsid w:val="00FC38CF"/>
    <w:rsid w:val="00FC39E5"/>
    <w:rsid w:val="00FC3A78"/>
    <w:rsid w:val="00FD1005"/>
    <w:rsid w:val="00FD1F7F"/>
    <w:rsid w:val="00FD6C75"/>
    <w:rsid w:val="00FD6D24"/>
    <w:rsid w:val="00FD7972"/>
    <w:rsid w:val="00FE0401"/>
    <w:rsid w:val="00FE71B3"/>
    <w:rsid w:val="00FF42C5"/>
    <w:rsid w:val="00FF588B"/>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D9A3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B16174"/>
    <w:rPr>
      <w:sz w:val="24"/>
      <w:szCs w:val="24"/>
    </w:rPr>
  </w:style>
  <w:style w:type="paragraph" w:styleId="Nagwek1">
    <w:name w:val="heading 1"/>
    <w:basedOn w:val="Normalny"/>
    <w:next w:val="Normalny"/>
    <w:link w:val="Nagwek1Znak"/>
    <w:uiPriority w:val="98"/>
    <w:semiHidden/>
    <w:rsid w:val="00B1617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B1617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B1617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B1617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B1617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B1617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B1617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B1617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B1617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B16174"/>
    <w:rPr>
      <w:rFonts w:ascii="Tahoma" w:hAnsi="Tahoma" w:cs="Tahoma"/>
      <w:sz w:val="16"/>
      <w:szCs w:val="16"/>
    </w:rPr>
  </w:style>
  <w:style w:type="character" w:customStyle="1" w:styleId="TekstdymkaZnak">
    <w:name w:val="Tekst dymka Znak"/>
    <w:basedOn w:val="Domylnaczcionkaakapitu"/>
    <w:link w:val="Tekstdymka"/>
    <w:uiPriority w:val="98"/>
    <w:semiHidden/>
    <w:rsid w:val="00B16174"/>
    <w:rPr>
      <w:rFonts w:ascii="Tahoma" w:hAnsi="Tahoma" w:cs="Tahoma"/>
      <w:sz w:val="16"/>
      <w:szCs w:val="16"/>
      <w:lang w:val="pl-PL"/>
    </w:rPr>
  </w:style>
  <w:style w:type="character" w:styleId="Tytuksiki">
    <w:name w:val="Book Title"/>
    <w:uiPriority w:val="98"/>
    <w:semiHidden/>
    <w:qFormat/>
    <w:rsid w:val="00B16174"/>
    <w:rPr>
      <w:i/>
      <w:iCs/>
      <w:smallCaps/>
      <w:spacing w:val="5"/>
    </w:rPr>
  </w:style>
  <w:style w:type="paragraph" w:customStyle="1" w:styleId="JuHeader">
    <w:name w:val="Ju_Header"/>
    <w:aliases w:val="_Header"/>
    <w:basedOn w:val="Nagwek"/>
    <w:uiPriority w:val="29"/>
    <w:qFormat/>
    <w:rsid w:val="00B16174"/>
    <w:pPr>
      <w:tabs>
        <w:tab w:val="clear" w:pos="4536"/>
        <w:tab w:val="clear" w:pos="9072"/>
      </w:tabs>
      <w:jc w:val="center"/>
    </w:pPr>
    <w:rPr>
      <w:sz w:val="18"/>
    </w:rPr>
  </w:style>
  <w:style w:type="paragraph" w:customStyle="1" w:styleId="NormalJustified">
    <w:name w:val="Normal_Justified"/>
    <w:basedOn w:val="Normalny"/>
    <w:semiHidden/>
    <w:rsid w:val="00B16174"/>
    <w:pPr>
      <w:jc w:val="both"/>
    </w:pPr>
  </w:style>
  <w:style w:type="character" w:styleId="Pogrubienie">
    <w:name w:val="Strong"/>
    <w:uiPriority w:val="98"/>
    <w:semiHidden/>
    <w:qFormat/>
    <w:rsid w:val="00B16174"/>
    <w:rPr>
      <w:b/>
      <w:bCs/>
    </w:rPr>
  </w:style>
  <w:style w:type="paragraph" w:styleId="Bezodstpw">
    <w:name w:val="No Spacing"/>
    <w:basedOn w:val="Normalny"/>
    <w:link w:val="BezodstpwZnak"/>
    <w:uiPriority w:val="98"/>
    <w:semiHidden/>
    <w:qFormat/>
    <w:rsid w:val="00B16174"/>
  </w:style>
  <w:style w:type="character" w:customStyle="1" w:styleId="BezodstpwZnak">
    <w:name w:val="Bez odstępów Znak"/>
    <w:basedOn w:val="Domylnaczcionkaakapitu"/>
    <w:link w:val="Bezodstpw"/>
    <w:uiPriority w:val="98"/>
    <w:semiHidden/>
    <w:rsid w:val="00B16174"/>
    <w:rPr>
      <w:sz w:val="24"/>
      <w:szCs w:val="24"/>
      <w:lang w:val="pl-PL"/>
    </w:rPr>
  </w:style>
  <w:style w:type="paragraph" w:customStyle="1" w:styleId="JuQuot">
    <w:name w:val="Ju_Quot"/>
    <w:aliases w:val="_Quote"/>
    <w:basedOn w:val="NormalJustified"/>
    <w:uiPriority w:val="20"/>
    <w:qFormat/>
    <w:rsid w:val="00B16174"/>
    <w:pPr>
      <w:spacing w:before="120" w:after="120"/>
      <w:ind w:left="425" w:firstLine="142"/>
    </w:pPr>
    <w:rPr>
      <w:sz w:val="20"/>
    </w:rPr>
  </w:style>
  <w:style w:type="paragraph" w:customStyle="1" w:styleId="DummyStyle">
    <w:name w:val="Dummy_Style"/>
    <w:aliases w:val="_Dummy"/>
    <w:basedOn w:val="Normalny"/>
    <w:semiHidden/>
    <w:qFormat/>
    <w:rsid w:val="00B16174"/>
    <w:rPr>
      <w:color w:val="00B050"/>
      <w:sz w:val="22"/>
    </w:rPr>
  </w:style>
  <w:style w:type="paragraph" w:customStyle="1" w:styleId="JuList">
    <w:name w:val="Ju_List"/>
    <w:aliases w:val="_List_1"/>
    <w:basedOn w:val="NormalJustified"/>
    <w:uiPriority w:val="23"/>
    <w:qFormat/>
    <w:rsid w:val="00B16174"/>
    <w:pPr>
      <w:numPr>
        <w:numId w:val="9"/>
      </w:numPr>
      <w:spacing w:before="280" w:after="60"/>
    </w:pPr>
  </w:style>
  <w:style w:type="paragraph" w:customStyle="1" w:styleId="JuLista">
    <w:name w:val="Ju_List_a"/>
    <w:aliases w:val="_List_2"/>
    <w:basedOn w:val="NormalJustified"/>
    <w:uiPriority w:val="23"/>
    <w:rsid w:val="00B16174"/>
    <w:pPr>
      <w:numPr>
        <w:ilvl w:val="1"/>
        <w:numId w:val="9"/>
      </w:numPr>
    </w:pPr>
  </w:style>
  <w:style w:type="paragraph" w:customStyle="1" w:styleId="JuListi">
    <w:name w:val="Ju_List_i"/>
    <w:aliases w:val="_List_3"/>
    <w:basedOn w:val="NormalJustified"/>
    <w:uiPriority w:val="23"/>
    <w:rsid w:val="00B16174"/>
    <w:pPr>
      <w:numPr>
        <w:ilvl w:val="2"/>
        <w:numId w:val="9"/>
      </w:numPr>
    </w:pPr>
  </w:style>
  <w:style w:type="paragraph" w:customStyle="1" w:styleId="JuHArticle">
    <w:name w:val="Ju_H_Article"/>
    <w:aliases w:val="_Title_Quote"/>
    <w:basedOn w:val="Normalny"/>
    <w:next w:val="JuQuot"/>
    <w:uiPriority w:val="19"/>
    <w:qFormat/>
    <w:rsid w:val="00B1617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B1617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B1617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B16174"/>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B16174"/>
    <w:pPr>
      <w:numPr>
        <w:numId w:val="8"/>
      </w:numPr>
    </w:pPr>
  </w:style>
  <w:style w:type="paragraph" w:customStyle="1" w:styleId="JuSigned">
    <w:name w:val="Ju_Signed"/>
    <w:aliases w:val="_Signature"/>
    <w:basedOn w:val="Normalny"/>
    <w:next w:val="JuPara"/>
    <w:uiPriority w:val="31"/>
    <w:qFormat/>
    <w:rsid w:val="00B16174"/>
    <w:pPr>
      <w:tabs>
        <w:tab w:val="center" w:pos="851"/>
        <w:tab w:val="center" w:pos="6407"/>
      </w:tabs>
      <w:spacing w:before="720"/>
    </w:pPr>
  </w:style>
  <w:style w:type="paragraph" w:styleId="Tytu">
    <w:name w:val="Title"/>
    <w:basedOn w:val="Normalny"/>
    <w:next w:val="Normalny"/>
    <w:link w:val="TytuZnak"/>
    <w:uiPriority w:val="98"/>
    <w:semiHidden/>
    <w:qFormat/>
    <w:rsid w:val="00B1617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B1617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B16174"/>
    <w:pPr>
      <w:numPr>
        <w:numId w:val="1"/>
      </w:numPr>
    </w:pPr>
  </w:style>
  <w:style w:type="numbering" w:customStyle="1" w:styleId="ECHRA1StyleNumberedList">
    <w:name w:val="ECHR_A1_Style_Numbered_List"/>
    <w:basedOn w:val="Bezlisty"/>
    <w:rsid w:val="00B16174"/>
    <w:pPr>
      <w:numPr>
        <w:numId w:val="10"/>
      </w:numPr>
    </w:pPr>
  </w:style>
  <w:style w:type="table" w:customStyle="1" w:styleId="ECHRTable2019">
    <w:name w:val="ECHR_Table_2019"/>
    <w:basedOn w:val="Standardowy"/>
    <w:uiPriority w:val="99"/>
    <w:rsid w:val="00B1617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B1617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B16174"/>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B16174"/>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B16174"/>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B16174"/>
    <w:pPr>
      <w:tabs>
        <w:tab w:val="center" w:pos="4536"/>
        <w:tab w:val="right" w:pos="9072"/>
      </w:tabs>
    </w:pPr>
  </w:style>
  <w:style w:type="character" w:customStyle="1" w:styleId="NagwekZnak">
    <w:name w:val="Nagłówek Znak"/>
    <w:basedOn w:val="Domylnaczcionkaakapitu"/>
    <w:link w:val="Nagwek"/>
    <w:uiPriority w:val="98"/>
    <w:semiHidden/>
    <w:rsid w:val="00B16174"/>
    <w:rPr>
      <w:sz w:val="24"/>
      <w:szCs w:val="24"/>
      <w:lang w:val="pl-PL"/>
    </w:rPr>
  </w:style>
  <w:style w:type="character" w:customStyle="1" w:styleId="Nagwek1Znak">
    <w:name w:val="Nagłówek 1 Znak"/>
    <w:basedOn w:val="Domylnaczcionkaakapitu"/>
    <w:link w:val="Nagwek1"/>
    <w:uiPriority w:val="98"/>
    <w:semiHidden/>
    <w:rsid w:val="00B1617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B16174"/>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B16174"/>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B1617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B16174"/>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B16174"/>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B16174"/>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B16174"/>
    <w:pPr>
      <w:keepNext/>
      <w:keepLines/>
      <w:spacing w:before="240" w:after="240"/>
      <w:ind w:firstLine="284"/>
    </w:pPr>
  </w:style>
  <w:style w:type="paragraph" w:customStyle="1" w:styleId="JuJudges">
    <w:name w:val="Ju_Judges"/>
    <w:aliases w:val="_Judges"/>
    <w:basedOn w:val="Normalny"/>
    <w:uiPriority w:val="32"/>
    <w:qFormat/>
    <w:rsid w:val="00B16174"/>
    <w:pPr>
      <w:tabs>
        <w:tab w:val="left" w:pos="567"/>
        <w:tab w:val="left" w:pos="1134"/>
      </w:tabs>
    </w:pPr>
  </w:style>
  <w:style w:type="character" w:customStyle="1" w:styleId="Nagwek4Znak">
    <w:name w:val="Nagłówek 4 Znak"/>
    <w:basedOn w:val="Domylnaczcionkaakapitu"/>
    <w:link w:val="Nagwek4"/>
    <w:uiPriority w:val="98"/>
    <w:semiHidden/>
    <w:rsid w:val="00B1617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B16174"/>
    <w:pPr>
      <w:tabs>
        <w:tab w:val="center" w:pos="6407"/>
      </w:tabs>
      <w:spacing w:before="720"/>
      <w:jc w:val="right"/>
    </w:pPr>
  </w:style>
  <w:style w:type="character" w:customStyle="1" w:styleId="Nagwek5Znak">
    <w:name w:val="Nagłówek 5 Znak"/>
    <w:basedOn w:val="Domylnaczcionkaakapitu"/>
    <w:link w:val="Nagwek5"/>
    <w:uiPriority w:val="98"/>
    <w:semiHidden/>
    <w:rsid w:val="00B1617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B1617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B16174"/>
    <w:rPr>
      <w:caps w:val="0"/>
      <w:smallCaps/>
    </w:rPr>
  </w:style>
  <w:style w:type="character" w:styleId="Wyrnieniedelikatne">
    <w:name w:val="Subtle Emphasis"/>
    <w:uiPriority w:val="98"/>
    <w:semiHidden/>
    <w:qFormat/>
    <w:rsid w:val="00B16174"/>
    <w:rPr>
      <w:i/>
      <w:iCs/>
    </w:rPr>
  </w:style>
  <w:style w:type="table" w:customStyle="1" w:styleId="ECHRTable">
    <w:name w:val="ECHR_Table"/>
    <w:basedOn w:val="Standardowy"/>
    <w:rsid w:val="00B1617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B1617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B16174"/>
    <w:rPr>
      <w:b/>
      <w:bCs/>
      <w:i/>
      <w:iCs/>
      <w:spacing w:val="10"/>
      <w:bdr w:val="none" w:sz="0" w:space="0" w:color="auto"/>
      <w:shd w:val="clear" w:color="auto" w:fill="auto"/>
    </w:rPr>
  </w:style>
  <w:style w:type="paragraph" w:styleId="Stopka">
    <w:name w:val="footer"/>
    <w:basedOn w:val="Normalny"/>
    <w:link w:val="StopkaZnak"/>
    <w:uiPriority w:val="98"/>
    <w:semiHidden/>
    <w:rsid w:val="00B16174"/>
    <w:pPr>
      <w:tabs>
        <w:tab w:val="center" w:pos="3686"/>
        <w:tab w:val="right" w:pos="7371"/>
      </w:tabs>
    </w:pPr>
  </w:style>
  <w:style w:type="character" w:customStyle="1" w:styleId="StopkaZnak">
    <w:name w:val="Stopka Znak"/>
    <w:basedOn w:val="Domylnaczcionkaakapitu"/>
    <w:link w:val="Stopka"/>
    <w:uiPriority w:val="98"/>
    <w:semiHidden/>
    <w:rsid w:val="00B16174"/>
    <w:rPr>
      <w:sz w:val="24"/>
      <w:szCs w:val="24"/>
      <w:lang w:val="pl-PL"/>
    </w:rPr>
  </w:style>
  <w:style w:type="character" w:styleId="Odwoanieprzypisudolnego">
    <w:name w:val="footnote reference"/>
    <w:basedOn w:val="Domylnaczcionkaakapitu"/>
    <w:uiPriority w:val="98"/>
    <w:semiHidden/>
    <w:rsid w:val="00B16174"/>
    <w:rPr>
      <w:vertAlign w:val="superscript"/>
    </w:rPr>
  </w:style>
  <w:style w:type="paragraph" w:styleId="Tekstprzypisudolnego">
    <w:name w:val="footnote text"/>
    <w:basedOn w:val="Normalny"/>
    <w:link w:val="TekstprzypisudolnegoZnak"/>
    <w:uiPriority w:val="98"/>
    <w:semiHidden/>
    <w:rsid w:val="00B16174"/>
    <w:rPr>
      <w:sz w:val="20"/>
      <w:szCs w:val="20"/>
    </w:rPr>
  </w:style>
  <w:style w:type="character" w:customStyle="1" w:styleId="TekstprzypisudolnegoZnak">
    <w:name w:val="Tekst przypisu dolnego Znak"/>
    <w:basedOn w:val="Domylnaczcionkaakapitu"/>
    <w:link w:val="Tekstprzypisudolnego"/>
    <w:uiPriority w:val="98"/>
    <w:semiHidden/>
    <w:rsid w:val="00B16174"/>
    <w:rPr>
      <w:sz w:val="20"/>
      <w:szCs w:val="20"/>
      <w:lang w:val="pl-PL"/>
    </w:rPr>
  </w:style>
  <w:style w:type="character" w:customStyle="1" w:styleId="Nagwek6Znak">
    <w:name w:val="Nagłówek 6 Znak"/>
    <w:basedOn w:val="Domylnaczcionkaakapitu"/>
    <w:link w:val="Nagwek6"/>
    <w:uiPriority w:val="98"/>
    <w:semiHidden/>
    <w:rsid w:val="00B1617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B1617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B1617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B1617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B16174"/>
    <w:rPr>
      <w:color w:val="0072BC" w:themeColor="hyperlink"/>
      <w:u w:val="single"/>
    </w:rPr>
  </w:style>
  <w:style w:type="character" w:styleId="Wyrnienieintensywne">
    <w:name w:val="Intense Emphasis"/>
    <w:uiPriority w:val="98"/>
    <w:semiHidden/>
    <w:qFormat/>
    <w:rsid w:val="00B16174"/>
    <w:rPr>
      <w:b/>
      <w:bCs/>
    </w:rPr>
  </w:style>
  <w:style w:type="paragraph" w:styleId="Cytatintensywny">
    <w:name w:val="Intense Quote"/>
    <w:basedOn w:val="Normalny"/>
    <w:next w:val="Normalny"/>
    <w:link w:val="CytatintensywnyZnak"/>
    <w:uiPriority w:val="98"/>
    <w:semiHidden/>
    <w:qFormat/>
    <w:rsid w:val="00B1617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B16174"/>
    <w:rPr>
      <w:b/>
      <w:bCs/>
      <w:i/>
      <w:iCs/>
      <w:sz w:val="24"/>
      <w:szCs w:val="24"/>
      <w:lang w:val="pl-PL" w:bidi="en-US"/>
    </w:rPr>
  </w:style>
  <w:style w:type="character" w:styleId="Odwoanieintensywne">
    <w:name w:val="Intense Reference"/>
    <w:uiPriority w:val="98"/>
    <w:semiHidden/>
    <w:qFormat/>
    <w:rsid w:val="00B16174"/>
    <w:rPr>
      <w:smallCaps/>
      <w:spacing w:val="5"/>
      <w:u w:val="single"/>
    </w:rPr>
  </w:style>
  <w:style w:type="paragraph" w:styleId="Akapitzlist">
    <w:name w:val="List Paragraph"/>
    <w:basedOn w:val="Normalny"/>
    <w:uiPriority w:val="98"/>
    <w:semiHidden/>
    <w:qFormat/>
    <w:rsid w:val="00B16174"/>
    <w:pPr>
      <w:ind w:left="720"/>
      <w:contextualSpacing/>
    </w:pPr>
  </w:style>
  <w:style w:type="table" w:customStyle="1" w:styleId="LtrTableAddress">
    <w:name w:val="Ltr_Table_Address"/>
    <w:aliases w:val="ECHR_Ltr_Table_Address"/>
    <w:basedOn w:val="Standardowy"/>
    <w:uiPriority w:val="99"/>
    <w:rsid w:val="00B16174"/>
    <w:rPr>
      <w:sz w:val="24"/>
      <w:szCs w:val="24"/>
    </w:rPr>
    <w:tblPr>
      <w:tblInd w:w="5103" w:type="dxa"/>
    </w:tblPr>
  </w:style>
  <w:style w:type="paragraph" w:styleId="Cytat">
    <w:name w:val="Quote"/>
    <w:basedOn w:val="Normalny"/>
    <w:next w:val="Normalny"/>
    <w:link w:val="CytatZnak"/>
    <w:uiPriority w:val="98"/>
    <w:semiHidden/>
    <w:qFormat/>
    <w:rsid w:val="00B16174"/>
    <w:pPr>
      <w:spacing w:before="200"/>
      <w:ind w:left="360" w:right="360"/>
    </w:pPr>
    <w:rPr>
      <w:i/>
      <w:iCs/>
      <w:lang w:bidi="en-US"/>
    </w:rPr>
  </w:style>
  <w:style w:type="character" w:customStyle="1" w:styleId="CytatZnak">
    <w:name w:val="Cytat Znak"/>
    <w:basedOn w:val="Domylnaczcionkaakapitu"/>
    <w:link w:val="Cytat"/>
    <w:uiPriority w:val="98"/>
    <w:semiHidden/>
    <w:rsid w:val="00B16174"/>
    <w:rPr>
      <w:i/>
      <w:iCs/>
      <w:sz w:val="24"/>
      <w:szCs w:val="24"/>
      <w:lang w:val="pl-PL" w:bidi="en-US"/>
    </w:rPr>
  </w:style>
  <w:style w:type="character" w:styleId="Odwoaniedelikatne">
    <w:name w:val="Subtle Reference"/>
    <w:uiPriority w:val="98"/>
    <w:semiHidden/>
    <w:qFormat/>
    <w:rsid w:val="00B16174"/>
    <w:rPr>
      <w:smallCaps/>
    </w:rPr>
  </w:style>
  <w:style w:type="table" w:styleId="Tabela-Siatka">
    <w:name w:val="Table Grid"/>
    <w:basedOn w:val="Standardowy"/>
    <w:uiPriority w:val="59"/>
    <w:semiHidden/>
    <w:rsid w:val="00B1617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B1617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B1617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B1617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B1617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B1617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B1617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B1617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B1617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B1617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B1617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B1617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B1617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B1617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B1617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B1617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B16174"/>
    <w:pPr>
      <w:numPr>
        <w:numId w:val="5"/>
      </w:numPr>
    </w:pPr>
  </w:style>
  <w:style w:type="paragraph" w:customStyle="1" w:styleId="JuPara">
    <w:name w:val="Ju_Para"/>
    <w:aliases w:val="_Para"/>
    <w:basedOn w:val="NormalJustified"/>
    <w:link w:val="JuParaChar"/>
    <w:uiPriority w:val="4"/>
    <w:qFormat/>
    <w:rsid w:val="00B16174"/>
    <w:pPr>
      <w:ind w:firstLine="284"/>
    </w:pPr>
  </w:style>
  <w:style w:type="numbering" w:styleId="1ai">
    <w:name w:val="Outline List 1"/>
    <w:basedOn w:val="Bezlisty"/>
    <w:uiPriority w:val="99"/>
    <w:semiHidden/>
    <w:unhideWhenUsed/>
    <w:rsid w:val="00B16174"/>
    <w:pPr>
      <w:numPr>
        <w:numId w:val="6"/>
      </w:numPr>
    </w:pPr>
  </w:style>
  <w:style w:type="table" w:customStyle="1" w:styleId="ECHRTableSimpleBox">
    <w:name w:val="ECHR_Table_Simple_Box"/>
    <w:basedOn w:val="Standardowy"/>
    <w:uiPriority w:val="99"/>
    <w:rsid w:val="00B1617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B1617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B16174"/>
    <w:pPr>
      <w:numPr>
        <w:numId w:val="7"/>
      </w:numPr>
    </w:pPr>
  </w:style>
  <w:style w:type="table" w:customStyle="1" w:styleId="ECHRTableForInternalUse">
    <w:name w:val="ECHR_Table_For_Internal_Use"/>
    <w:basedOn w:val="Standardowy"/>
    <w:uiPriority w:val="99"/>
    <w:rsid w:val="00B1617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1617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B16174"/>
  </w:style>
  <w:style w:type="paragraph" w:styleId="Tekstblokowy">
    <w:name w:val="Block Text"/>
    <w:basedOn w:val="Normalny"/>
    <w:uiPriority w:val="98"/>
    <w:semiHidden/>
    <w:rsid w:val="00B1617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B1617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B16174"/>
    <w:pPr>
      <w:spacing w:after="120"/>
    </w:pPr>
  </w:style>
  <w:style w:type="character" w:customStyle="1" w:styleId="TekstpodstawowyZnak">
    <w:name w:val="Tekst podstawowy Znak"/>
    <w:basedOn w:val="Domylnaczcionkaakapitu"/>
    <w:link w:val="Tekstpodstawowy"/>
    <w:uiPriority w:val="98"/>
    <w:semiHidden/>
    <w:rsid w:val="00B16174"/>
    <w:rPr>
      <w:sz w:val="24"/>
      <w:szCs w:val="24"/>
      <w:lang w:val="pl-PL"/>
    </w:rPr>
  </w:style>
  <w:style w:type="table" w:customStyle="1" w:styleId="ECHRTableOddBanded">
    <w:name w:val="ECHR_Table_Odd_Banded"/>
    <w:basedOn w:val="Standardowy"/>
    <w:uiPriority w:val="99"/>
    <w:rsid w:val="00B1617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B16174"/>
    <w:pPr>
      <w:spacing w:after="120" w:line="480" w:lineRule="auto"/>
    </w:pPr>
  </w:style>
  <w:style w:type="table" w:customStyle="1" w:styleId="ECHRHeaderTableReduced">
    <w:name w:val="ECHR_Header_Table_Reduced"/>
    <w:basedOn w:val="Standardowy"/>
    <w:uiPriority w:val="99"/>
    <w:rsid w:val="00B1617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B16174"/>
    <w:pPr>
      <w:ind w:firstLine="284"/>
      <w:jc w:val="both"/>
    </w:pPr>
    <w:rPr>
      <w:b/>
    </w:rPr>
  </w:style>
  <w:style w:type="character" w:styleId="Numerstrony">
    <w:name w:val="page number"/>
    <w:uiPriority w:val="98"/>
    <w:semiHidden/>
    <w:rsid w:val="00B16174"/>
    <w:rPr>
      <w:sz w:val="18"/>
    </w:rPr>
  </w:style>
  <w:style w:type="paragraph" w:styleId="Listapunktowana">
    <w:name w:val="List Bullet"/>
    <w:basedOn w:val="Normalny"/>
    <w:uiPriority w:val="98"/>
    <w:semiHidden/>
    <w:rsid w:val="00B16174"/>
    <w:pPr>
      <w:numPr>
        <w:numId w:val="11"/>
      </w:numPr>
    </w:pPr>
  </w:style>
  <w:style w:type="paragraph" w:styleId="Listapunktowana3">
    <w:name w:val="List Bullet 3"/>
    <w:basedOn w:val="Normalny"/>
    <w:uiPriority w:val="98"/>
    <w:semiHidden/>
    <w:rsid w:val="00B16174"/>
    <w:pPr>
      <w:numPr>
        <w:numId w:val="13"/>
      </w:numPr>
      <w:contextualSpacing/>
    </w:pPr>
  </w:style>
  <w:style w:type="character" w:customStyle="1" w:styleId="Tekstpodstawowy2Znak">
    <w:name w:val="Tekst podstawowy 2 Znak"/>
    <w:basedOn w:val="Domylnaczcionkaakapitu"/>
    <w:link w:val="Tekstpodstawowy2"/>
    <w:uiPriority w:val="98"/>
    <w:semiHidden/>
    <w:rsid w:val="00B16174"/>
    <w:rPr>
      <w:sz w:val="24"/>
      <w:szCs w:val="24"/>
      <w:lang w:val="pl-PL"/>
    </w:rPr>
  </w:style>
  <w:style w:type="paragraph" w:styleId="Tekstpodstawowy3">
    <w:name w:val="Body Text 3"/>
    <w:basedOn w:val="Normalny"/>
    <w:link w:val="Tekstpodstawowy3Znak"/>
    <w:uiPriority w:val="98"/>
    <w:semiHidden/>
    <w:rsid w:val="00B16174"/>
    <w:pPr>
      <w:spacing w:after="120"/>
    </w:pPr>
    <w:rPr>
      <w:sz w:val="16"/>
      <w:szCs w:val="16"/>
    </w:rPr>
  </w:style>
  <w:style w:type="character" w:customStyle="1" w:styleId="Tekstpodstawowy3Znak">
    <w:name w:val="Tekst podstawowy 3 Znak"/>
    <w:basedOn w:val="Domylnaczcionkaakapitu"/>
    <w:link w:val="Tekstpodstawowy3"/>
    <w:uiPriority w:val="98"/>
    <w:semiHidden/>
    <w:rsid w:val="00B16174"/>
    <w:rPr>
      <w:sz w:val="16"/>
      <w:szCs w:val="16"/>
      <w:lang w:val="pl-PL"/>
    </w:rPr>
  </w:style>
  <w:style w:type="paragraph" w:styleId="Tekstpodstawowyzwciciem">
    <w:name w:val="Body Text First Indent"/>
    <w:basedOn w:val="Tekstpodstawowy"/>
    <w:link w:val="TekstpodstawowyzwciciemZnak"/>
    <w:uiPriority w:val="98"/>
    <w:semiHidden/>
    <w:rsid w:val="00B1617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B16174"/>
    <w:rPr>
      <w:sz w:val="24"/>
      <w:szCs w:val="24"/>
      <w:lang w:val="pl-PL"/>
    </w:rPr>
  </w:style>
  <w:style w:type="paragraph" w:styleId="Tekstpodstawowywcity">
    <w:name w:val="Body Text Indent"/>
    <w:basedOn w:val="Normalny"/>
    <w:link w:val="TekstpodstawowywcityZnak"/>
    <w:uiPriority w:val="98"/>
    <w:semiHidden/>
    <w:rsid w:val="00B16174"/>
    <w:pPr>
      <w:spacing w:after="120"/>
      <w:ind w:left="283"/>
    </w:pPr>
  </w:style>
  <w:style w:type="character" w:customStyle="1" w:styleId="TekstpodstawowywcityZnak">
    <w:name w:val="Tekst podstawowy wcięty Znak"/>
    <w:basedOn w:val="Domylnaczcionkaakapitu"/>
    <w:link w:val="Tekstpodstawowywcity"/>
    <w:uiPriority w:val="98"/>
    <w:semiHidden/>
    <w:rsid w:val="00B16174"/>
    <w:rPr>
      <w:sz w:val="24"/>
      <w:szCs w:val="24"/>
      <w:lang w:val="pl-PL"/>
    </w:rPr>
  </w:style>
  <w:style w:type="paragraph" w:styleId="Tekstpodstawowyzwciciem2">
    <w:name w:val="Body Text First Indent 2"/>
    <w:basedOn w:val="Tekstpodstawowywcity"/>
    <w:link w:val="Tekstpodstawowyzwciciem2Znak"/>
    <w:uiPriority w:val="98"/>
    <w:semiHidden/>
    <w:rsid w:val="00B1617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B16174"/>
    <w:rPr>
      <w:sz w:val="24"/>
      <w:szCs w:val="24"/>
      <w:lang w:val="pl-PL"/>
    </w:rPr>
  </w:style>
  <w:style w:type="paragraph" w:styleId="Tekstpodstawowywcity2">
    <w:name w:val="Body Text Indent 2"/>
    <w:basedOn w:val="Normalny"/>
    <w:link w:val="Tekstpodstawowywcity2Znak"/>
    <w:uiPriority w:val="98"/>
    <w:semiHidden/>
    <w:rsid w:val="00B1617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B16174"/>
    <w:rPr>
      <w:sz w:val="24"/>
      <w:szCs w:val="24"/>
      <w:lang w:val="pl-PL"/>
    </w:rPr>
  </w:style>
  <w:style w:type="paragraph" w:styleId="Tekstpodstawowywcity3">
    <w:name w:val="Body Text Indent 3"/>
    <w:basedOn w:val="Normalny"/>
    <w:link w:val="Tekstpodstawowywcity3Znak"/>
    <w:uiPriority w:val="98"/>
    <w:semiHidden/>
    <w:rsid w:val="00B1617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B16174"/>
    <w:rPr>
      <w:sz w:val="16"/>
      <w:szCs w:val="16"/>
      <w:lang w:val="pl-PL"/>
    </w:rPr>
  </w:style>
  <w:style w:type="paragraph" w:styleId="Legenda">
    <w:name w:val="caption"/>
    <w:basedOn w:val="Normalny"/>
    <w:next w:val="Normalny"/>
    <w:uiPriority w:val="98"/>
    <w:semiHidden/>
    <w:qFormat/>
    <w:rsid w:val="00B16174"/>
    <w:pPr>
      <w:spacing w:after="200"/>
    </w:pPr>
    <w:rPr>
      <w:b/>
      <w:bCs/>
      <w:color w:val="0072BC" w:themeColor="accent1"/>
      <w:sz w:val="18"/>
      <w:szCs w:val="18"/>
    </w:rPr>
  </w:style>
  <w:style w:type="paragraph" w:styleId="Zwrotpoegnalny">
    <w:name w:val="Closing"/>
    <w:basedOn w:val="Normalny"/>
    <w:link w:val="ZwrotpoegnalnyZnak"/>
    <w:uiPriority w:val="98"/>
    <w:semiHidden/>
    <w:rsid w:val="00B16174"/>
    <w:pPr>
      <w:ind w:left="4252"/>
    </w:pPr>
  </w:style>
  <w:style w:type="character" w:customStyle="1" w:styleId="ZwrotpoegnalnyZnak">
    <w:name w:val="Zwrot pożegnalny Znak"/>
    <w:basedOn w:val="Domylnaczcionkaakapitu"/>
    <w:link w:val="Zwrotpoegnalny"/>
    <w:uiPriority w:val="98"/>
    <w:semiHidden/>
    <w:rsid w:val="00B16174"/>
    <w:rPr>
      <w:sz w:val="24"/>
      <w:szCs w:val="24"/>
      <w:lang w:val="pl-PL"/>
    </w:rPr>
  </w:style>
  <w:style w:type="table" w:styleId="Kolorowasiatka">
    <w:name w:val="Colorful Grid"/>
    <w:basedOn w:val="Standardowy"/>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B1617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B1617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B1617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B1617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B1617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B1617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B1617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B1617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B1617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B1617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B1617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B1617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B1617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B1617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B16174"/>
    <w:rPr>
      <w:sz w:val="16"/>
      <w:szCs w:val="16"/>
    </w:rPr>
  </w:style>
  <w:style w:type="paragraph" w:styleId="Tekstkomentarza">
    <w:name w:val="annotation text"/>
    <w:basedOn w:val="Normalny"/>
    <w:link w:val="TekstkomentarzaZnak"/>
    <w:uiPriority w:val="98"/>
    <w:semiHidden/>
    <w:rsid w:val="00B16174"/>
    <w:rPr>
      <w:sz w:val="20"/>
      <w:szCs w:val="20"/>
    </w:rPr>
  </w:style>
  <w:style w:type="character" w:customStyle="1" w:styleId="TekstkomentarzaZnak">
    <w:name w:val="Tekst komentarza Znak"/>
    <w:basedOn w:val="Domylnaczcionkaakapitu"/>
    <w:link w:val="Tekstkomentarza"/>
    <w:uiPriority w:val="98"/>
    <w:semiHidden/>
    <w:rsid w:val="00B16174"/>
    <w:rPr>
      <w:sz w:val="20"/>
      <w:szCs w:val="20"/>
      <w:lang w:val="pl-PL"/>
    </w:rPr>
  </w:style>
  <w:style w:type="paragraph" w:styleId="Tematkomentarza">
    <w:name w:val="annotation subject"/>
    <w:basedOn w:val="Tekstkomentarza"/>
    <w:next w:val="Tekstkomentarza"/>
    <w:link w:val="TematkomentarzaZnak"/>
    <w:uiPriority w:val="98"/>
    <w:semiHidden/>
    <w:rsid w:val="00B16174"/>
    <w:rPr>
      <w:b/>
      <w:bCs/>
    </w:rPr>
  </w:style>
  <w:style w:type="character" w:customStyle="1" w:styleId="TematkomentarzaZnak">
    <w:name w:val="Temat komentarza Znak"/>
    <w:basedOn w:val="TekstkomentarzaZnak"/>
    <w:link w:val="Tematkomentarza"/>
    <w:uiPriority w:val="98"/>
    <w:semiHidden/>
    <w:rsid w:val="00B16174"/>
    <w:rPr>
      <w:b/>
      <w:bCs/>
      <w:sz w:val="20"/>
      <w:szCs w:val="20"/>
      <w:lang w:val="pl-PL"/>
    </w:rPr>
  </w:style>
  <w:style w:type="table" w:styleId="Ciemnalista">
    <w:name w:val="Dark List"/>
    <w:basedOn w:val="Standardowy"/>
    <w:uiPriority w:val="70"/>
    <w:semiHidden/>
    <w:rsid w:val="00B1617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B1617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B1617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B1617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B1617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B1617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B1617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B16174"/>
  </w:style>
  <w:style w:type="character" w:customStyle="1" w:styleId="DataZnak">
    <w:name w:val="Data Znak"/>
    <w:basedOn w:val="Domylnaczcionkaakapitu"/>
    <w:link w:val="Data"/>
    <w:uiPriority w:val="98"/>
    <w:semiHidden/>
    <w:rsid w:val="00B16174"/>
    <w:rPr>
      <w:sz w:val="24"/>
      <w:szCs w:val="24"/>
      <w:lang w:val="pl-PL"/>
    </w:rPr>
  </w:style>
  <w:style w:type="paragraph" w:styleId="Mapadokumentu">
    <w:name w:val="Document Map"/>
    <w:basedOn w:val="Normalny"/>
    <w:link w:val="MapadokumentuZnak"/>
    <w:uiPriority w:val="98"/>
    <w:semiHidden/>
    <w:rsid w:val="00B1617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B16174"/>
    <w:rPr>
      <w:rFonts w:ascii="Tahoma" w:hAnsi="Tahoma" w:cs="Tahoma"/>
      <w:sz w:val="16"/>
      <w:szCs w:val="16"/>
      <w:lang w:val="pl-PL"/>
    </w:rPr>
  </w:style>
  <w:style w:type="paragraph" w:styleId="Podpise-mail">
    <w:name w:val="E-mail Signature"/>
    <w:basedOn w:val="Normalny"/>
    <w:link w:val="Podpise-mailZnak"/>
    <w:uiPriority w:val="98"/>
    <w:semiHidden/>
    <w:rsid w:val="00B16174"/>
  </w:style>
  <w:style w:type="character" w:customStyle="1" w:styleId="Podpise-mailZnak">
    <w:name w:val="Podpis e-mail Znak"/>
    <w:basedOn w:val="Domylnaczcionkaakapitu"/>
    <w:link w:val="Podpise-mail"/>
    <w:uiPriority w:val="98"/>
    <w:semiHidden/>
    <w:rsid w:val="00B16174"/>
    <w:rPr>
      <w:sz w:val="24"/>
      <w:szCs w:val="24"/>
      <w:lang w:val="pl-PL"/>
    </w:rPr>
  </w:style>
  <w:style w:type="character" w:styleId="Odwoanieprzypisukocowego">
    <w:name w:val="endnote reference"/>
    <w:basedOn w:val="Domylnaczcionkaakapitu"/>
    <w:uiPriority w:val="98"/>
    <w:semiHidden/>
    <w:rsid w:val="00B16174"/>
    <w:rPr>
      <w:vertAlign w:val="superscript"/>
    </w:rPr>
  </w:style>
  <w:style w:type="paragraph" w:styleId="Tekstprzypisukocowego">
    <w:name w:val="endnote text"/>
    <w:basedOn w:val="Normalny"/>
    <w:link w:val="TekstprzypisukocowegoZnak"/>
    <w:uiPriority w:val="98"/>
    <w:semiHidden/>
    <w:rsid w:val="00B16174"/>
    <w:rPr>
      <w:sz w:val="20"/>
      <w:szCs w:val="20"/>
    </w:rPr>
  </w:style>
  <w:style w:type="character" w:customStyle="1" w:styleId="TekstprzypisukocowegoZnak">
    <w:name w:val="Tekst przypisu końcowego Znak"/>
    <w:basedOn w:val="Domylnaczcionkaakapitu"/>
    <w:link w:val="Tekstprzypisukocowego"/>
    <w:uiPriority w:val="98"/>
    <w:semiHidden/>
    <w:rsid w:val="00B16174"/>
    <w:rPr>
      <w:sz w:val="20"/>
      <w:szCs w:val="20"/>
      <w:lang w:val="pl-PL"/>
    </w:rPr>
  </w:style>
  <w:style w:type="paragraph" w:styleId="Adresnakopercie">
    <w:name w:val="envelope address"/>
    <w:basedOn w:val="Normalny"/>
    <w:uiPriority w:val="98"/>
    <w:semiHidden/>
    <w:rsid w:val="00B1617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B1617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B16174"/>
    <w:rPr>
      <w:color w:val="7030A0" w:themeColor="followedHyperlink"/>
      <w:u w:val="single"/>
    </w:rPr>
  </w:style>
  <w:style w:type="character" w:styleId="HTML-akronim">
    <w:name w:val="HTML Acronym"/>
    <w:basedOn w:val="Domylnaczcionkaakapitu"/>
    <w:uiPriority w:val="98"/>
    <w:semiHidden/>
    <w:rsid w:val="00B16174"/>
  </w:style>
  <w:style w:type="paragraph" w:styleId="HTML-adres">
    <w:name w:val="HTML Address"/>
    <w:basedOn w:val="Normalny"/>
    <w:link w:val="HTML-adresZnak"/>
    <w:uiPriority w:val="98"/>
    <w:semiHidden/>
    <w:rsid w:val="00B16174"/>
    <w:rPr>
      <w:i/>
      <w:iCs/>
    </w:rPr>
  </w:style>
  <w:style w:type="character" w:customStyle="1" w:styleId="HTML-adresZnak">
    <w:name w:val="HTML - adres Znak"/>
    <w:basedOn w:val="Domylnaczcionkaakapitu"/>
    <w:link w:val="HTML-adres"/>
    <w:uiPriority w:val="98"/>
    <w:semiHidden/>
    <w:rsid w:val="00B16174"/>
    <w:rPr>
      <w:i/>
      <w:iCs/>
      <w:sz w:val="24"/>
      <w:szCs w:val="24"/>
      <w:lang w:val="pl-PL"/>
    </w:rPr>
  </w:style>
  <w:style w:type="character" w:styleId="HTML-cytat">
    <w:name w:val="HTML Cite"/>
    <w:basedOn w:val="Domylnaczcionkaakapitu"/>
    <w:uiPriority w:val="98"/>
    <w:semiHidden/>
    <w:rsid w:val="00B16174"/>
    <w:rPr>
      <w:i/>
      <w:iCs/>
    </w:rPr>
  </w:style>
  <w:style w:type="character" w:styleId="HTML-kod">
    <w:name w:val="HTML Code"/>
    <w:basedOn w:val="Domylnaczcionkaakapitu"/>
    <w:uiPriority w:val="98"/>
    <w:semiHidden/>
    <w:rsid w:val="00B16174"/>
    <w:rPr>
      <w:rFonts w:ascii="Consolas" w:hAnsi="Consolas" w:cs="Consolas"/>
      <w:sz w:val="20"/>
      <w:szCs w:val="20"/>
    </w:rPr>
  </w:style>
  <w:style w:type="character" w:styleId="HTML-definicja">
    <w:name w:val="HTML Definition"/>
    <w:basedOn w:val="Domylnaczcionkaakapitu"/>
    <w:uiPriority w:val="98"/>
    <w:semiHidden/>
    <w:rsid w:val="00B16174"/>
    <w:rPr>
      <w:i/>
      <w:iCs/>
    </w:rPr>
  </w:style>
  <w:style w:type="character" w:styleId="HTML-klawiatura">
    <w:name w:val="HTML Keyboard"/>
    <w:basedOn w:val="Domylnaczcionkaakapitu"/>
    <w:uiPriority w:val="98"/>
    <w:semiHidden/>
    <w:rsid w:val="00B16174"/>
    <w:rPr>
      <w:rFonts w:ascii="Consolas" w:hAnsi="Consolas" w:cs="Consolas"/>
      <w:sz w:val="20"/>
      <w:szCs w:val="20"/>
    </w:rPr>
  </w:style>
  <w:style w:type="paragraph" w:styleId="HTML-wstpniesformatowany">
    <w:name w:val="HTML Preformatted"/>
    <w:basedOn w:val="Normalny"/>
    <w:link w:val="HTML-wstpniesformatowanyZnak"/>
    <w:uiPriority w:val="98"/>
    <w:semiHidden/>
    <w:rsid w:val="00B1617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B16174"/>
    <w:rPr>
      <w:rFonts w:ascii="Consolas" w:hAnsi="Consolas" w:cs="Consolas"/>
      <w:sz w:val="20"/>
      <w:szCs w:val="20"/>
      <w:lang w:val="pl-PL"/>
    </w:rPr>
  </w:style>
  <w:style w:type="character" w:styleId="HTML-przykad">
    <w:name w:val="HTML Sample"/>
    <w:basedOn w:val="Domylnaczcionkaakapitu"/>
    <w:uiPriority w:val="98"/>
    <w:semiHidden/>
    <w:rsid w:val="00B16174"/>
    <w:rPr>
      <w:rFonts w:ascii="Consolas" w:hAnsi="Consolas" w:cs="Consolas"/>
      <w:sz w:val="24"/>
      <w:szCs w:val="24"/>
    </w:rPr>
  </w:style>
  <w:style w:type="character" w:styleId="HTML-staaszeroko">
    <w:name w:val="HTML Typewriter"/>
    <w:basedOn w:val="Domylnaczcionkaakapitu"/>
    <w:uiPriority w:val="98"/>
    <w:semiHidden/>
    <w:rsid w:val="00B16174"/>
    <w:rPr>
      <w:rFonts w:ascii="Consolas" w:hAnsi="Consolas" w:cs="Consolas"/>
      <w:sz w:val="20"/>
      <w:szCs w:val="20"/>
    </w:rPr>
  </w:style>
  <w:style w:type="character" w:styleId="HTML-zmienna">
    <w:name w:val="HTML Variable"/>
    <w:basedOn w:val="Domylnaczcionkaakapitu"/>
    <w:uiPriority w:val="98"/>
    <w:semiHidden/>
    <w:rsid w:val="00B16174"/>
    <w:rPr>
      <w:i/>
      <w:iCs/>
    </w:rPr>
  </w:style>
  <w:style w:type="paragraph" w:styleId="Indeks1">
    <w:name w:val="index 1"/>
    <w:basedOn w:val="Normalny"/>
    <w:next w:val="Normalny"/>
    <w:autoRedefine/>
    <w:uiPriority w:val="98"/>
    <w:semiHidden/>
    <w:rsid w:val="00B16174"/>
    <w:pPr>
      <w:ind w:left="240" w:hanging="240"/>
    </w:pPr>
  </w:style>
  <w:style w:type="paragraph" w:styleId="Indeks2">
    <w:name w:val="index 2"/>
    <w:basedOn w:val="Normalny"/>
    <w:next w:val="Normalny"/>
    <w:autoRedefine/>
    <w:uiPriority w:val="98"/>
    <w:semiHidden/>
    <w:rsid w:val="00B16174"/>
    <w:pPr>
      <w:ind w:left="480" w:hanging="240"/>
    </w:pPr>
  </w:style>
  <w:style w:type="paragraph" w:styleId="Indeks3">
    <w:name w:val="index 3"/>
    <w:basedOn w:val="Normalny"/>
    <w:next w:val="Normalny"/>
    <w:autoRedefine/>
    <w:uiPriority w:val="98"/>
    <w:semiHidden/>
    <w:rsid w:val="00B16174"/>
    <w:pPr>
      <w:ind w:left="720" w:hanging="240"/>
    </w:pPr>
  </w:style>
  <w:style w:type="paragraph" w:styleId="Indeks4">
    <w:name w:val="index 4"/>
    <w:basedOn w:val="Normalny"/>
    <w:next w:val="Normalny"/>
    <w:autoRedefine/>
    <w:uiPriority w:val="98"/>
    <w:semiHidden/>
    <w:rsid w:val="00B16174"/>
    <w:pPr>
      <w:ind w:left="960" w:hanging="240"/>
    </w:pPr>
  </w:style>
  <w:style w:type="paragraph" w:styleId="Indeks5">
    <w:name w:val="index 5"/>
    <w:basedOn w:val="Normalny"/>
    <w:next w:val="Normalny"/>
    <w:autoRedefine/>
    <w:uiPriority w:val="98"/>
    <w:semiHidden/>
    <w:rsid w:val="00B16174"/>
    <w:pPr>
      <w:ind w:left="1200" w:hanging="240"/>
    </w:pPr>
  </w:style>
  <w:style w:type="paragraph" w:styleId="Indeks6">
    <w:name w:val="index 6"/>
    <w:basedOn w:val="Normalny"/>
    <w:next w:val="Normalny"/>
    <w:autoRedefine/>
    <w:uiPriority w:val="98"/>
    <w:semiHidden/>
    <w:rsid w:val="00B16174"/>
    <w:pPr>
      <w:ind w:left="1440" w:hanging="240"/>
    </w:pPr>
  </w:style>
  <w:style w:type="paragraph" w:styleId="Indeks7">
    <w:name w:val="index 7"/>
    <w:basedOn w:val="Normalny"/>
    <w:next w:val="Normalny"/>
    <w:autoRedefine/>
    <w:uiPriority w:val="98"/>
    <w:semiHidden/>
    <w:rsid w:val="00B16174"/>
    <w:pPr>
      <w:ind w:left="1680" w:hanging="240"/>
    </w:pPr>
  </w:style>
  <w:style w:type="paragraph" w:styleId="Indeks8">
    <w:name w:val="index 8"/>
    <w:basedOn w:val="Normalny"/>
    <w:next w:val="Normalny"/>
    <w:autoRedefine/>
    <w:uiPriority w:val="98"/>
    <w:semiHidden/>
    <w:rsid w:val="00B16174"/>
    <w:pPr>
      <w:ind w:left="1920" w:hanging="240"/>
    </w:pPr>
  </w:style>
  <w:style w:type="paragraph" w:styleId="Indeks9">
    <w:name w:val="index 9"/>
    <w:basedOn w:val="Normalny"/>
    <w:next w:val="Normalny"/>
    <w:autoRedefine/>
    <w:uiPriority w:val="98"/>
    <w:semiHidden/>
    <w:rsid w:val="00B16174"/>
    <w:pPr>
      <w:ind w:left="2160" w:hanging="240"/>
    </w:pPr>
  </w:style>
  <w:style w:type="paragraph" w:styleId="Nagwekindeksu">
    <w:name w:val="index heading"/>
    <w:basedOn w:val="Normalny"/>
    <w:next w:val="Indeks1"/>
    <w:uiPriority w:val="98"/>
    <w:semiHidden/>
    <w:rsid w:val="00B16174"/>
    <w:rPr>
      <w:rFonts w:asciiTheme="majorHAnsi" w:eastAsiaTheme="majorEastAsia" w:hAnsiTheme="majorHAnsi" w:cstheme="majorBidi"/>
      <w:b/>
      <w:bCs/>
    </w:rPr>
  </w:style>
  <w:style w:type="table" w:styleId="Jasnasiatka">
    <w:name w:val="Light Grid"/>
    <w:basedOn w:val="Standardowy"/>
    <w:uiPriority w:val="62"/>
    <w:semiHidden/>
    <w:rsid w:val="00B1617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B1617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B1617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B1617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B1617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B1617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B1617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B1617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B1617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B1617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B1617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B1617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B1617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B1617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B1617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B1617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B1617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B1617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B1617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B1617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B1617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B16174"/>
  </w:style>
  <w:style w:type="paragraph" w:styleId="Lista">
    <w:name w:val="List"/>
    <w:basedOn w:val="Normalny"/>
    <w:uiPriority w:val="98"/>
    <w:semiHidden/>
    <w:rsid w:val="00B16174"/>
    <w:pPr>
      <w:ind w:left="283" w:hanging="283"/>
      <w:contextualSpacing/>
    </w:pPr>
  </w:style>
  <w:style w:type="paragraph" w:styleId="Lista2">
    <w:name w:val="List 2"/>
    <w:basedOn w:val="Normalny"/>
    <w:uiPriority w:val="98"/>
    <w:semiHidden/>
    <w:rsid w:val="00B16174"/>
    <w:pPr>
      <w:ind w:left="566" w:hanging="283"/>
      <w:contextualSpacing/>
    </w:pPr>
  </w:style>
  <w:style w:type="paragraph" w:styleId="Lista3">
    <w:name w:val="List 3"/>
    <w:basedOn w:val="Normalny"/>
    <w:uiPriority w:val="98"/>
    <w:semiHidden/>
    <w:rsid w:val="00B16174"/>
    <w:pPr>
      <w:ind w:left="849" w:hanging="283"/>
      <w:contextualSpacing/>
    </w:pPr>
  </w:style>
  <w:style w:type="paragraph" w:styleId="Lista4">
    <w:name w:val="List 4"/>
    <w:basedOn w:val="Normalny"/>
    <w:uiPriority w:val="98"/>
    <w:semiHidden/>
    <w:rsid w:val="00B16174"/>
    <w:pPr>
      <w:ind w:left="1132" w:hanging="283"/>
      <w:contextualSpacing/>
    </w:pPr>
  </w:style>
  <w:style w:type="paragraph" w:styleId="Lista5">
    <w:name w:val="List 5"/>
    <w:basedOn w:val="Normalny"/>
    <w:uiPriority w:val="98"/>
    <w:semiHidden/>
    <w:rsid w:val="00B16174"/>
    <w:pPr>
      <w:ind w:left="1415" w:hanging="283"/>
      <w:contextualSpacing/>
    </w:pPr>
  </w:style>
  <w:style w:type="paragraph" w:styleId="Listapunktowana2">
    <w:name w:val="List Bullet 2"/>
    <w:basedOn w:val="Normalny"/>
    <w:uiPriority w:val="98"/>
    <w:semiHidden/>
    <w:rsid w:val="00B16174"/>
    <w:pPr>
      <w:numPr>
        <w:numId w:val="12"/>
      </w:numPr>
      <w:contextualSpacing/>
    </w:pPr>
  </w:style>
  <w:style w:type="paragraph" w:styleId="Listapunktowana4">
    <w:name w:val="List Bullet 4"/>
    <w:basedOn w:val="Normalny"/>
    <w:uiPriority w:val="98"/>
    <w:semiHidden/>
    <w:rsid w:val="00B16174"/>
    <w:pPr>
      <w:numPr>
        <w:numId w:val="14"/>
      </w:numPr>
      <w:contextualSpacing/>
    </w:pPr>
  </w:style>
  <w:style w:type="paragraph" w:styleId="Listapunktowana5">
    <w:name w:val="List Bullet 5"/>
    <w:basedOn w:val="Normalny"/>
    <w:uiPriority w:val="98"/>
    <w:semiHidden/>
    <w:rsid w:val="00B16174"/>
    <w:pPr>
      <w:numPr>
        <w:numId w:val="15"/>
      </w:numPr>
      <w:contextualSpacing/>
    </w:pPr>
  </w:style>
  <w:style w:type="paragraph" w:styleId="Lista-kontynuacja">
    <w:name w:val="List Continue"/>
    <w:basedOn w:val="Normalny"/>
    <w:uiPriority w:val="98"/>
    <w:semiHidden/>
    <w:rsid w:val="00B16174"/>
    <w:pPr>
      <w:spacing w:after="120"/>
      <w:ind w:left="283"/>
      <w:contextualSpacing/>
    </w:pPr>
  </w:style>
  <w:style w:type="paragraph" w:styleId="Lista-kontynuacja2">
    <w:name w:val="List Continue 2"/>
    <w:basedOn w:val="Normalny"/>
    <w:uiPriority w:val="98"/>
    <w:semiHidden/>
    <w:rsid w:val="00B16174"/>
    <w:pPr>
      <w:spacing w:after="120"/>
      <w:ind w:left="566"/>
      <w:contextualSpacing/>
    </w:pPr>
  </w:style>
  <w:style w:type="paragraph" w:styleId="Lista-kontynuacja3">
    <w:name w:val="List Continue 3"/>
    <w:basedOn w:val="Normalny"/>
    <w:uiPriority w:val="98"/>
    <w:semiHidden/>
    <w:rsid w:val="00B16174"/>
    <w:pPr>
      <w:spacing w:after="120"/>
      <w:ind w:left="849"/>
      <w:contextualSpacing/>
    </w:pPr>
  </w:style>
  <w:style w:type="paragraph" w:styleId="Lista-kontynuacja4">
    <w:name w:val="List Continue 4"/>
    <w:basedOn w:val="Normalny"/>
    <w:uiPriority w:val="98"/>
    <w:semiHidden/>
    <w:rsid w:val="00B16174"/>
    <w:pPr>
      <w:spacing w:after="120"/>
      <w:ind w:left="1132"/>
      <w:contextualSpacing/>
    </w:pPr>
  </w:style>
  <w:style w:type="paragraph" w:styleId="Lista-kontynuacja5">
    <w:name w:val="List Continue 5"/>
    <w:basedOn w:val="Normalny"/>
    <w:uiPriority w:val="98"/>
    <w:semiHidden/>
    <w:rsid w:val="00B16174"/>
    <w:pPr>
      <w:spacing w:after="120"/>
      <w:ind w:left="1415"/>
      <w:contextualSpacing/>
    </w:pPr>
  </w:style>
  <w:style w:type="paragraph" w:styleId="Listanumerowana">
    <w:name w:val="List Number"/>
    <w:basedOn w:val="Normalny"/>
    <w:uiPriority w:val="98"/>
    <w:semiHidden/>
    <w:rsid w:val="00B16174"/>
    <w:pPr>
      <w:numPr>
        <w:numId w:val="16"/>
      </w:numPr>
      <w:contextualSpacing/>
    </w:pPr>
  </w:style>
  <w:style w:type="paragraph" w:styleId="Listanumerowana2">
    <w:name w:val="List Number 2"/>
    <w:basedOn w:val="Normalny"/>
    <w:uiPriority w:val="98"/>
    <w:semiHidden/>
    <w:rsid w:val="00B16174"/>
    <w:pPr>
      <w:numPr>
        <w:numId w:val="17"/>
      </w:numPr>
      <w:contextualSpacing/>
    </w:pPr>
  </w:style>
  <w:style w:type="paragraph" w:styleId="Listanumerowana3">
    <w:name w:val="List Number 3"/>
    <w:basedOn w:val="Normalny"/>
    <w:uiPriority w:val="98"/>
    <w:semiHidden/>
    <w:rsid w:val="00B16174"/>
    <w:pPr>
      <w:numPr>
        <w:numId w:val="18"/>
      </w:numPr>
      <w:contextualSpacing/>
    </w:pPr>
  </w:style>
  <w:style w:type="paragraph" w:styleId="Listanumerowana4">
    <w:name w:val="List Number 4"/>
    <w:basedOn w:val="Normalny"/>
    <w:uiPriority w:val="98"/>
    <w:semiHidden/>
    <w:rsid w:val="00B16174"/>
    <w:pPr>
      <w:numPr>
        <w:numId w:val="19"/>
      </w:numPr>
      <w:contextualSpacing/>
    </w:pPr>
  </w:style>
  <w:style w:type="paragraph" w:styleId="Listanumerowana5">
    <w:name w:val="List Number 5"/>
    <w:basedOn w:val="Normalny"/>
    <w:uiPriority w:val="98"/>
    <w:semiHidden/>
    <w:rsid w:val="00B16174"/>
    <w:pPr>
      <w:numPr>
        <w:numId w:val="20"/>
      </w:numPr>
      <w:contextualSpacing/>
    </w:pPr>
  </w:style>
  <w:style w:type="paragraph" w:styleId="Tekstmakra">
    <w:name w:val="macro"/>
    <w:link w:val="TekstmakraZnak"/>
    <w:uiPriority w:val="98"/>
    <w:semiHidden/>
    <w:rsid w:val="00B1617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B16174"/>
    <w:rPr>
      <w:rFonts w:ascii="Consolas" w:eastAsiaTheme="minorEastAsia" w:hAnsi="Consolas" w:cs="Consolas"/>
      <w:sz w:val="20"/>
      <w:szCs w:val="20"/>
    </w:rPr>
  </w:style>
  <w:style w:type="table" w:styleId="redniasiatka1">
    <w:name w:val="Medium Grid 1"/>
    <w:basedOn w:val="Standardowy"/>
    <w:uiPriority w:val="67"/>
    <w:semiHidden/>
    <w:rsid w:val="00B1617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B1617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B1617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B1617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B1617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B1617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B1617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B1617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B1617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B1617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B1617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B1617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B1617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B1617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B1617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B1617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B1617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B1617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B1617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B1617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B1617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B1617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B1617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B16174"/>
    <w:rPr>
      <w:rFonts w:ascii="Times New Roman" w:hAnsi="Times New Roman" w:cs="Times New Roman"/>
    </w:rPr>
  </w:style>
  <w:style w:type="paragraph" w:styleId="Wcicienormalne">
    <w:name w:val="Normal Indent"/>
    <w:basedOn w:val="Normalny"/>
    <w:uiPriority w:val="98"/>
    <w:semiHidden/>
    <w:rsid w:val="00B16174"/>
    <w:pPr>
      <w:ind w:left="720"/>
    </w:pPr>
  </w:style>
  <w:style w:type="paragraph" w:styleId="Nagweknotatki">
    <w:name w:val="Note Heading"/>
    <w:basedOn w:val="Normalny"/>
    <w:next w:val="Normalny"/>
    <w:link w:val="NagweknotatkiZnak"/>
    <w:uiPriority w:val="98"/>
    <w:semiHidden/>
    <w:rsid w:val="00B16174"/>
  </w:style>
  <w:style w:type="character" w:customStyle="1" w:styleId="NagweknotatkiZnak">
    <w:name w:val="Nagłówek notatki Znak"/>
    <w:basedOn w:val="Domylnaczcionkaakapitu"/>
    <w:link w:val="Nagweknotatki"/>
    <w:uiPriority w:val="98"/>
    <w:semiHidden/>
    <w:rsid w:val="00B16174"/>
    <w:rPr>
      <w:sz w:val="24"/>
      <w:szCs w:val="24"/>
      <w:lang w:val="pl-PL"/>
    </w:rPr>
  </w:style>
  <w:style w:type="character" w:styleId="Tekstzastpczy">
    <w:name w:val="Placeholder Text"/>
    <w:basedOn w:val="Domylnaczcionkaakapitu"/>
    <w:uiPriority w:val="98"/>
    <w:semiHidden/>
    <w:rsid w:val="00B1617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B1617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B1617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B16174"/>
  </w:style>
  <w:style w:type="character" w:customStyle="1" w:styleId="ZwrotgrzecznociowyZnak">
    <w:name w:val="Zwrot grzecznościowy Znak"/>
    <w:basedOn w:val="Domylnaczcionkaakapitu"/>
    <w:link w:val="Zwrotgrzecznociowy"/>
    <w:uiPriority w:val="98"/>
    <w:semiHidden/>
    <w:rsid w:val="00B16174"/>
    <w:rPr>
      <w:sz w:val="24"/>
      <w:szCs w:val="24"/>
      <w:lang w:val="pl-PL"/>
    </w:rPr>
  </w:style>
  <w:style w:type="paragraph" w:styleId="Podpis">
    <w:name w:val="Signature"/>
    <w:basedOn w:val="Normalny"/>
    <w:link w:val="PodpisZnak"/>
    <w:uiPriority w:val="98"/>
    <w:semiHidden/>
    <w:rsid w:val="00B16174"/>
    <w:pPr>
      <w:ind w:left="4252"/>
    </w:pPr>
  </w:style>
  <w:style w:type="character" w:customStyle="1" w:styleId="PodpisZnak">
    <w:name w:val="Podpis Znak"/>
    <w:basedOn w:val="Domylnaczcionkaakapitu"/>
    <w:link w:val="Podpis"/>
    <w:uiPriority w:val="98"/>
    <w:semiHidden/>
    <w:rsid w:val="00B16174"/>
    <w:rPr>
      <w:sz w:val="24"/>
      <w:szCs w:val="24"/>
      <w:lang w:val="pl-PL"/>
    </w:rPr>
  </w:style>
  <w:style w:type="table" w:styleId="Tabela-Efekty3D1">
    <w:name w:val="Table 3D effects 1"/>
    <w:basedOn w:val="Standardowy"/>
    <w:uiPriority w:val="99"/>
    <w:semiHidden/>
    <w:unhideWhenUsed/>
    <w:rsid w:val="00B1617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B1617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B1617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B1617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B1617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B1617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B1617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B1617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B1617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B1617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B1617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B1617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B1617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B1617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B1617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B1617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B1617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B161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B1617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B1617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B1617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B1617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B1617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B1617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B1617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B1617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B1617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B1617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B1617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B161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B1617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B1617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B1617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B16174"/>
    <w:pPr>
      <w:ind w:left="240" w:hanging="240"/>
    </w:pPr>
  </w:style>
  <w:style w:type="paragraph" w:styleId="Spisilustracji">
    <w:name w:val="table of figures"/>
    <w:basedOn w:val="Normalny"/>
    <w:next w:val="Normalny"/>
    <w:uiPriority w:val="98"/>
    <w:semiHidden/>
    <w:rsid w:val="00B16174"/>
  </w:style>
  <w:style w:type="table" w:styleId="Tabela-Profesjonalny">
    <w:name w:val="Table Professional"/>
    <w:basedOn w:val="Standardowy"/>
    <w:uiPriority w:val="99"/>
    <w:semiHidden/>
    <w:unhideWhenUsed/>
    <w:rsid w:val="00B161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B1617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B1617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B1617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B1617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B1617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B1617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B1617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B1617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B1617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B1617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B1617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B16174"/>
    <w:pPr>
      <w:spacing w:after="100"/>
      <w:ind w:left="1680"/>
    </w:pPr>
  </w:style>
  <w:style w:type="paragraph" w:styleId="Spistreci9">
    <w:name w:val="toc 9"/>
    <w:basedOn w:val="Normalny"/>
    <w:next w:val="Normalny"/>
    <w:autoRedefine/>
    <w:uiPriority w:val="98"/>
    <w:semiHidden/>
    <w:rsid w:val="00B1617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B1617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B1617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B1617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B1617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B16174"/>
    <w:pPr>
      <w:numPr>
        <w:numId w:val="8"/>
      </w:numPr>
      <w:spacing w:before="60" w:after="60"/>
    </w:pPr>
  </w:style>
  <w:style w:type="paragraph" w:customStyle="1" w:styleId="ECHRBullet2">
    <w:name w:val="ECHR_Bullet_2"/>
    <w:aliases w:val="_Bul_2"/>
    <w:basedOn w:val="ECHRBullet1"/>
    <w:uiPriority w:val="23"/>
    <w:semiHidden/>
    <w:rsid w:val="00B16174"/>
    <w:pPr>
      <w:numPr>
        <w:ilvl w:val="1"/>
      </w:numPr>
    </w:pPr>
  </w:style>
  <w:style w:type="paragraph" w:customStyle="1" w:styleId="ECHRBullet3">
    <w:name w:val="ECHR_Bullet_3"/>
    <w:aliases w:val="_Bul_3"/>
    <w:basedOn w:val="ECHRBullet2"/>
    <w:uiPriority w:val="23"/>
    <w:semiHidden/>
    <w:rsid w:val="00B16174"/>
    <w:pPr>
      <w:numPr>
        <w:ilvl w:val="2"/>
      </w:numPr>
    </w:pPr>
  </w:style>
  <w:style w:type="paragraph" w:customStyle="1" w:styleId="ECHRBullet4">
    <w:name w:val="ECHR_Bullet_4"/>
    <w:aliases w:val="_Bul_4"/>
    <w:basedOn w:val="ECHRBullet3"/>
    <w:uiPriority w:val="23"/>
    <w:semiHidden/>
    <w:rsid w:val="00B16174"/>
    <w:pPr>
      <w:numPr>
        <w:ilvl w:val="3"/>
      </w:numPr>
    </w:pPr>
  </w:style>
  <w:style w:type="paragraph" w:customStyle="1" w:styleId="ECHRConfidential">
    <w:name w:val="ECHR_Confidential"/>
    <w:aliases w:val="_Confidential"/>
    <w:basedOn w:val="Normalny"/>
    <w:next w:val="Normalny"/>
    <w:uiPriority w:val="42"/>
    <w:semiHidden/>
    <w:qFormat/>
    <w:rsid w:val="00B16174"/>
    <w:pPr>
      <w:jc w:val="right"/>
    </w:pPr>
    <w:rPr>
      <w:color w:val="C00000"/>
      <w:sz w:val="20"/>
    </w:rPr>
  </w:style>
  <w:style w:type="paragraph" w:customStyle="1" w:styleId="ECHRDecisionBody">
    <w:name w:val="ECHR_Decision_Body"/>
    <w:aliases w:val="_Decision_Body"/>
    <w:basedOn w:val="NormalJustified"/>
    <w:uiPriority w:val="54"/>
    <w:semiHidden/>
    <w:rsid w:val="00B1617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B1617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B1617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B1617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B16174"/>
    <w:pPr>
      <w:jc w:val="right"/>
    </w:pPr>
    <w:rPr>
      <w:sz w:val="20"/>
    </w:rPr>
  </w:style>
  <w:style w:type="paragraph" w:customStyle="1" w:styleId="ECHRHeaderRefIt">
    <w:name w:val="ECHR_Header_Ref_It"/>
    <w:aliases w:val="_Ref_Ital"/>
    <w:basedOn w:val="Normalny"/>
    <w:next w:val="ECHRHeaderDate"/>
    <w:uiPriority w:val="43"/>
    <w:qFormat/>
    <w:rsid w:val="00B16174"/>
    <w:pPr>
      <w:jc w:val="right"/>
    </w:pPr>
    <w:rPr>
      <w:i/>
      <w:sz w:val="20"/>
    </w:rPr>
  </w:style>
  <w:style w:type="paragraph" w:customStyle="1" w:styleId="ECHRHeading9">
    <w:name w:val="ECHR_Heading_9"/>
    <w:aliases w:val="_Head_9"/>
    <w:basedOn w:val="Nagwek9"/>
    <w:uiPriority w:val="17"/>
    <w:semiHidden/>
    <w:rsid w:val="00B16174"/>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B1617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B16174"/>
    <w:pPr>
      <w:numPr>
        <w:numId w:val="10"/>
      </w:numPr>
      <w:spacing w:before="60" w:after="60"/>
    </w:pPr>
  </w:style>
  <w:style w:type="paragraph" w:customStyle="1" w:styleId="ECHRNumberedList2">
    <w:name w:val="ECHR_Numbered_List_2"/>
    <w:aliases w:val="_Num_2"/>
    <w:basedOn w:val="ECHRNumberedList1"/>
    <w:uiPriority w:val="23"/>
    <w:semiHidden/>
    <w:rsid w:val="00B16174"/>
    <w:pPr>
      <w:numPr>
        <w:ilvl w:val="1"/>
      </w:numPr>
    </w:pPr>
  </w:style>
  <w:style w:type="paragraph" w:customStyle="1" w:styleId="ECHRNumberedList3">
    <w:name w:val="ECHR_Numbered_List_3"/>
    <w:aliases w:val="_Num_3"/>
    <w:basedOn w:val="ECHRNumberedList2"/>
    <w:uiPriority w:val="23"/>
    <w:semiHidden/>
    <w:rsid w:val="00B16174"/>
    <w:pPr>
      <w:numPr>
        <w:ilvl w:val="2"/>
      </w:numPr>
    </w:pPr>
  </w:style>
  <w:style w:type="paragraph" w:customStyle="1" w:styleId="ECHRParaHanging">
    <w:name w:val="ECHR_Para_Hanging"/>
    <w:aliases w:val="_Hanging"/>
    <w:basedOn w:val="Normalny"/>
    <w:uiPriority w:val="8"/>
    <w:semiHidden/>
    <w:qFormat/>
    <w:rsid w:val="00B16174"/>
    <w:pPr>
      <w:ind w:left="567" w:hanging="567"/>
      <w:jc w:val="both"/>
    </w:pPr>
  </w:style>
  <w:style w:type="paragraph" w:customStyle="1" w:styleId="ECHRParaIndent">
    <w:name w:val="ECHR_Para_Indent"/>
    <w:aliases w:val="_Indent"/>
    <w:basedOn w:val="Normalny"/>
    <w:uiPriority w:val="7"/>
    <w:semiHidden/>
    <w:qFormat/>
    <w:rsid w:val="00B16174"/>
    <w:pPr>
      <w:spacing w:before="120" w:after="120"/>
      <w:ind w:left="284"/>
      <w:jc w:val="both"/>
    </w:pPr>
  </w:style>
  <w:style w:type="character" w:customStyle="1" w:styleId="ECHRRed">
    <w:name w:val="ECHR_Red"/>
    <w:aliases w:val="_Red"/>
    <w:basedOn w:val="Domylnaczcionkaakapitu"/>
    <w:uiPriority w:val="15"/>
    <w:semiHidden/>
    <w:qFormat/>
    <w:rsid w:val="00B16174"/>
    <w:rPr>
      <w:color w:val="C00000" w:themeColor="accent2"/>
    </w:rPr>
  </w:style>
  <w:style w:type="paragraph" w:customStyle="1" w:styleId="DecList">
    <w:name w:val="Dec_List"/>
    <w:aliases w:val="_List"/>
    <w:basedOn w:val="JuList"/>
    <w:uiPriority w:val="22"/>
    <w:rsid w:val="00B16174"/>
    <w:pPr>
      <w:numPr>
        <w:numId w:val="0"/>
      </w:numPr>
      <w:ind w:left="284"/>
    </w:pPr>
  </w:style>
  <w:style w:type="table" w:customStyle="1" w:styleId="ECHRTable2">
    <w:name w:val="ECHR_Table_2"/>
    <w:basedOn w:val="Standardowy"/>
    <w:uiPriority w:val="99"/>
    <w:rsid w:val="00B1617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B1617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B1617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B1617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B1617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B1617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B1617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B1617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B16174"/>
    <w:pPr>
      <w:outlineLvl w:val="0"/>
    </w:pPr>
  </w:style>
  <w:style w:type="paragraph" w:customStyle="1" w:styleId="ECHRTitleTOC1">
    <w:name w:val="ECHR_Title_TOC_1"/>
    <w:aliases w:val="_Title_L_TOC"/>
    <w:basedOn w:val="ECHRTitle1"/>
    <w:next w:val="Normalny"/>
    <w:uiPriority w:val="27"/>
    <w:semiHidden/>
    <w:qFormat/>
    <w:rsid w:val="00B16174"/>
    <w:pPr>
      <w:outlineLvl w:val="0"/>
    </w:pPr>
  </w:style>
  <w:style w:type="paragraph" w:customStyle="1" w:styleId="ECHRPlaceholder">
    <w:name w:val="ECHR_Placeholder"/>
    <w:aliases w:val="_Placeholder"/>
    <w:basedOn w:val="JuSigned"/>
    <w:uiPriority w:val="31"/>
    <w:rsid w:val="00B16174"/>
    <w:rPr>
      <w:color w:val="FFFFFF"/>
    </w:rPr>
  </w:style>
  <w:style w:type="paragraph" w:customStyle="1" w:styleId="ECHRSpacer">
    <w:name w:val="ECHR_Spacer"/>
    <w:aliases w:val="_Spacer"/>
    <w:basedOn w:val="Normalny"/>
    <w:uiPriority w:val="45"/>
    <w:semiHidden/>
    <w:rsid w:val="00B16174"/>
    <w:rPr>
      <w:sz w:val="4"/>
    </w:rPr>
  </w:style>
  <w:style w:type="table" w:customStyle="1" w:styleId="ECHRTableGrey">
    <w:name w:val="ECHR_Table_Grey"/>
    <w:basedOn w:val="Standardowy"/>
    <w:uiPriority w:val="99"/>
    <w:rsid w:val="00B1617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E778EA"/>
    <w:rPr>
      <w:sz w:val="24"/>
      <w:szCs w:val="24"/>
      <w:lang w:val="pl-PL"/>
    </w:rPr>
  </w:style>
  <w:style w:type="table" w:styleId="Tabelasiatki1jasna">
    <w:name w:val="Grid Table 1 Light"/>
    <w:basedOn w:val="Standardowy"/>
    <w:uiPriority w:val="46"/>
    <w:semiHidden/>
    <w:rsid w:val="00E778E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E778EA"/>
    <w:rPr>
      <w:smallCaps/>
    </w:rPr>
  </w:style>
  <w:style w:type="paragraph" w:customStyle="1" w:styleId="JuList4">
    <w:name w:val="Ju_List_4"/>
    <w:aliases w:val="N_Bul_4"/>
    <w:basedOn w:val="JuListi"/>
    <w:uiPriority w:val="19"/>
    <w:rsid w:val="00E778EA"/>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E778E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778E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778E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778E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778E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778E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778E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778E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778E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778E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E778E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778E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778E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778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778E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778E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778E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E778E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778E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778E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778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778E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778E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778E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E778E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778E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778E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778E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778E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778E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778E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E778E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778E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778E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778E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778E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778E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778E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E778E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778E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778E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778EA"/>
    <w:rPr>
      <w:color w:val="2B579A"/>
      <w:shd w:val="clear" w:color="auto" w:fill="E1DFDD"/>
    </w:rPr>
  </w:style>
  <w:style w:type="table" w:styleId="Tabelalisty1jasna">
    <w:name w:val="List Table 1 Light"/>
    <w:basedOn w:val="Standardowy"/>
    <w:uiPriority w:val="46"/>
    <w:semiHidden/>
    <w:rsid w:val="00E778E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778E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778E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778E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E778E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778E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778E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778E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778E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778E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778E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E778E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778E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778E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778E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778E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778E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778E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E778E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778E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778E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778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778E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778E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778E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E778E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778E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778E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778E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778E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778E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778E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778E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778E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778E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778E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778E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778E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778E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E778E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778E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778E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778E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778E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778E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778E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778E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778E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778E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778EA"/>
    <w:rPr>
      <w:color w:val="2B579A"/>
      <w:shd w:val="clear" w:color="auto" w:fill="E1DFDD"/>
    </w:rPr>
  </w:style>
  <w:style w:type="table" w:styleId="Zwykatabela1">
    <w:name w:val="Plain Table 1"/>
    <w:basedOn w:val="Standardowy"/>
    <w:uiPriority w:val="41"/>
    <w:semiHidden/>
    <w:rsid w:val="00E778E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E778E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778E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778E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E778E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778EA"/>
    <w:rPr>
      <w:u w:val="dotted"/>
    </w:rPr>
  </w:style>
  <w:style w:type="character" w:customStyle="1" w:styleId="Inteligentnylink1">
    <w:name w:val="Inteligentny link1"/>
    <w:basedOn w:val="Domylnaczcionkaakapitu"/>
    <w:uiPriority w:val="99"/>
    <w:semiHidden/>
    <w:unhideWhenUsed/>
    <w:rsid w:val="00E778EA"/>
    <w:rPr>
      <w:color w:val="0000FF"/>
      <w:u w:val="single"/>
      <w:shd w:val="clear" w:color="auto" w:fill="F3F2F1"/>
    </w:rPr>
  </w:style>
  <w:style w:type="table" w:styleId="Siatkatabelijasna">
    <w:name w:val="Grid Table Light"/>
    <w:basedOn w:val="Standardowy"/>
    <w:uiPriority w:val="40"/>
    <w:semiHidden/>
    <w:rsid w:val="00E778E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E778EA"/>
    <w:rPr>
      <w:color w:val="605E5C"/>
      <w:shd w:val="clear" w:color="auto" w:fill="E1DFDD"/>
    </w:rPr>
  </w:style>
  <w:style w:type="paragraph" w:styleId="Poprawka">
    <w:name w:val="Revision"/>
    <w:hidden/>
    <w:uiPriority w:val="99"/>
    <w:semiHidden/>
    <w:rsid w:val="00E778EA"/>
    <w:rPr>
      <w:sz w:val="24"/>
      <w:szCs w:val="24"/>
    </w:rPr>
  </w:style>
  <w:style w:type="paragraph" w:customStyle="1" w:styleId="jupara0">
    <w:name w:val="jupara"/>
    <w:basedOn w:val="Normalny"/>
    <w:rsid w:val="00A5057D"/>
    <w:pPr>
      <w:ind w:firstLine="284"/>
      <w:jc w:val="both"/>
    </w:pPr>
    <w:rPr>
      <w:rFonts w:ascii="Times New Roman" w:eastAsia="Times New Roman" w:hAnsi="Times New Roman" w:cs="Times New Roman"/>
      <w:lang w:eastAsia="en-GB"/>
    </w:rPr>
  </w:style>
  <w:style w:type="paragraph" w:customStyle="1" w:styleId="jucase0">
    <w:name w:val="jucase"/>
    <w:basedOn w:val="Normalny"/>
    <w:rsid w:val="00A5057D"/>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9E754-D393-4853-B798-30111FB335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22606BE-9BC4-4158-BE57-BC5CEBE1A9FA}">
  <ds:schemaRefs>
    <ds:schemaRef ds:uri="http://schemas.microsoft.com/sharepoint/v3/contenttype/forms"/>
  </ds:schemaRefs>
</ds:datastoreItem>
</file>

<file path=customXml/itemProps3.xml><?xml version="1.0" encoding="utf-8"?>
<ds:datastoreItem xmlns:ds="http://schemas.openxmlformats.org/officeDocument/2006/customXml" ds:itemID="{54BDC5FA-8C57-488C-940A-6DE125E61C1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967C8D9-82BE-4420-B9DE-EAAA0AB68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5514</Words>
  <Characters>33084</Characters>
  <Application>Microsoft Office Word</Application>
  <DocSecurity>0</DocSecurity>
  <Lines>275</Lines>
  <Paragraphs>77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38521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2023-04-28T07:35:00Z</dcterms:created>
  <dcterms:modified xsi:type="dcterms:W3CDTF">2023-05-02T13:49:00Z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20962/15</vt:lpwstr>
  </property>
  <property fmtid="{D5CDD505-2E9C-101B-9397-08002B2CF9AE}" pid="4" name="CASEID">
    <vt:lpwstr>1131319</vt:lpwstr>
  </property>
  <property fmtid="{D5CDD505-2E9C-101B-9397-08002B2CF9AE}" pid="5" name="ContentTypeId">
    <vt:lpwstr>0x010100558EB02BDB9E204AB350EDD385B68E10</vt:lpwstr>
  </property>
</Properties>
</file>