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A4CE76" w14:textId="0383322D" w:rsidR="007A4070" w:rsidRPr="00F00BB6" w:rsidRDefault="007A4070" w:rsidP="00384BCF">
      <w:pPr>
        <w:jc w:val="center"/>
        <w:rPr>
          <w:lang w:val="pl-PL"/>
        </w:rPr>
      </w:pPr>
    </w:p>
    <w:p w14:paraId="5B289527" w14:textId="05163CAE" w:rsidR="00384BCF" w:rsidRPr="00F00BB6" w:rsidRDefault="00384BCF" w:rsidP="00384BCF">
      <w:pPr>
        <w:jc w:val="center"/>
        <w:rPr>
          <w:lang w:val="pl-PL"/>
        </w:rPr>
      </w:pPr>
    </w:p>
    <w:p w14:paraId="41228B32" w14:textId="77777777" w:rsidR="00384BCF" w:rsidRPr="00F00BB6" w:rsidRDefault="00384BCF" w:rsidP="00384BCF">
      <w:pPr>
        <w:jc w:val="center"/>
        <w:rPr>
          <w:lang w:val="pl-PL"/>
        </w:rPr>
      </w:pPr>
    </w:p>
    <w:p w14:paraId="1A915438" w14:textId="43B6F805" w:rsidR="007A4070" w:rsidRPr="00F00BB6" w:rsidRDefault="00227BCF" w:rsidP="00384BCF">
      <w:pPr>
        <w:pStyle w:val="DecHCase"/>
        <w:rPr>
          <w:lang w:val="pl-PL"/>
        </w:rPr>
      </w:pPr>
      <w:r w:rsidRPr="00F00BB6">
        <w:rPr>
          <w:lang w:val="pl-PL"/>
        </w:rPr>
        <w:t>PIERWSZA SEKCJA</w:t>
      </w:r>
    </w:p>
    <w:p w14:paraId="5458A988" w14:textId="3D001B05" w:rsidR="007A4070" w:rsidRPr="00F00BB6" w:rsidRDefault="007A4070" w:rsidP="00384BCF">
      <w:pPr>
        <w:pStyle w:val="JuTitle"/>
        <w:rPr>
          <w:lang w:val="pl-PL"/>
        </w:rPr>
      </w:pPr>
      <w:r w:rsidRPr="00F00BB6">
        <w:rPr>
          <w:bCs/>
          <w:lang w:val="pl-PL"/>
        </w:rPr>
        <w:t>SPRAWA R.M. I INNI przeciwko POLSCE</w:t>
      </w:r>
    </w:p>
    <w:p w14:paraId="2A74A0C0" w14:textId="0EAF5F08" w:rsidR="007A4070" w:rsidRPr="00F00BB6" w:rsidRDefault="007A4070" w:rsidP="00384BCF">
      <w:pPr>
        <w:pStyle w:val="ECHRCoverTitle4"/>
        <w:rPr>
          <w:lang w:val="pl-PL"/>
        </w:rPr>
      </w:pPr>
      <w:r w:rsidRPr="00F00BB6">
        <w:rPr>
          <w:iCs/>
          <w:lang w:val="pl-PL"/>
        </w:rPr>
        <w:t>(</w:t>
      </w:r>
      <w:r w:rsidRPr="00F00BB6">
        <w:rPr>
          <w:iCs/>
          <w:noProof/>
          <w:lang w:val="pl-PL"/>
        </w:rPr>
        <w:t>Skarga nr</w:t>
      </w:r>
      <w:r w:rsidRPr="00F00BB6">
        <w:rPr>
          <w:iCs/>
          <w:lang w:val="pl-PL"/>
        </w:rPr>
        <w:t xml:space="preserve"> 11247/18)</w:t>
      </w:r>
    </w:p>
    <w:p w14:paraId="5747ABCF" w14:textId="77777777" w:rsidR="007A4070" w:rsidRPr="00F00BB6" w:rsidRDefault="007A4070" w:rsidP="00384BCF">
      <w:pPr>
        <w:pStyle w:val="DecHCase"/>
        <w:rPr>
          <w:lang w:val="pl-PL"/>
        </w:rPr>
      </w:pPr>
    </w:p>
    <w:p w14:paraId="7396F7AB" w14:textId="77777777" w:rsidR="007A4070" w:rsidRPr="00F00BB6" w:rsidRDefault="007A4070" w:rsidP="00384BCF">
      <w:pPr>
        <w:pStyle w:val="DecHCase"/>
        <w:rPr>
          <w:lang w:val="pl-PL"/>
        </w:rPr>
      </w:pPr>
    </w:p>
    <w:p w14:paraId="01A8424D" w14:textId="77777777" w:rsidR="007A4070" w:rsidRPr="00F00BB6" w:rsidRDefault="007A4070" w:rsidP="00384BCF">
      <w:pPr>
        <w:pStyle w:val="DecHCase"/>
        <w:rPr>
          <w:lang w:val="pl-PL"/>
        </w:rPr>
      </w:pPr>
    </w:p>
    <w:p w14:paraId="2F043C18" w14:textId="77777777" w:rsidR="007A4070" w:rsidRPr="00F00BB6" w:rsidRDefault="007A4070" w:rsidP="00384BCF">
      <w:pPr>
        <w:pStyle w:val="DecHCase"/>
        <w:rPr>
          <w:lang w:val="pl-PL"/>
        </w:rPr>
      </w:pPr>
    </w:p>
    <w:p w14:paraId="5082406E" w14:textId="77777777" w:rsidR="007A4070" w:rsidRPr="00F00BB6" w:rsidRDefault="007A4070" w:rsidP="00384BCF">
      <w:pPr>
        <w:pStyle w:val="DecHCase"/>
        <w:rPr>
          <w:lang w:val="pl-PL"/>
        </w:rPr>
      </w:pPr>
    </w:p>
    <w:p w14:paraId="2FEEADE4" w14:textId="77777777" w:rsidR="007A4070" w:rsidRPr="00F00BB6" w:rsidRDefault="007A4070" w:rsidP="00384BCF">
      <w:pPr>
        <w:pStyle w:val="DecHCase"/>
        <w:rPr>
          <w:lang w:val="pl-PL"/>
        </w:rPr>
      </w:pPr>
    </w:p>
    <w:p w14:paraId="4DBEBF7C" w14:textId="77777777" w:rsidR="00384BCF" w:rsidRPr="00F00BB6" w:rsidRDefault="007A4070" w:rsidP="00384BCF">
      <w:pPr>
        <w:pStyle w:val="DecHCase"/>
        <w:rPr>
          <w:lang w:val="pl-PL"/>
        </w:rPr>
      </w:pPr>
      <w:r w:rsidRPr="00F00BB6">
        <w:rPr>
          <w:lang w:val="pl-PL"/>
        </w:rPr>
        <w:t>WYROK</w:t>
      </w:r>
      <w:r w:rsidRPr="00F00BB6">
        <w:rPr>
          <w:lang w:val="pl-PL"/>
        </w:rPr>
        <w:br/>
      </w:r>
    </w:p>
    <w:p w14:paraId="29C4DF60" w14:textId="77777777" w:rsidR="00384BCF" w:rsidRPr="00F00BB6" w:rsidRDefault="00384BCF" w:rsidP="00384BCF">
      <w:pPr>
        <w:pStyle w:val="DecHCase"/>
        <w:rPr>
          <w:lang w:val="pl-PL"/>
        </w:rPr>
      </w:pPr>
    </w:p>
    <w:p w14:paraId="00BA2BDD" w14:textId="77777777" w:rsidR="00384BCF" w:rsidRPr="00F00BB6" w:rsidRDefault="00384BCF" w:rsidP="00384BCF">
      <w:pPr>
        <w:pStyle w:val="DecHCase"/>
        <w:rPr>
          <w:lang w:val="pl-PL"/>
        </w:rPr>
      </w:pPr>
    </w:p>
    <w:p w14:paraId="7291D19A" w14:textId="0131636E" w:rsidR="007A4070" w:rsidRPr="00F00BB6" w:rsidRDefault="007A4070" w:rsidP="00384BCF">
      <w:pPr>
        <w:pStyle w:val="DecHCase"/>
        <w:rPr>
          <w:lang w:val="pl-PL"/>
        </w:rPr>
      </w:pPr>
    </w:p>
    <w:p w14:paraId="5F22EF9D" w14:textId="77777777" w:rsidR="007A4070" w:rsidRPr="00F00BB6" w:rsidRDefault="007A4070" w:rsidP="00384BCF">
      <w:pPr>
        <w:pStyle w:val="DecHCase"/>
        <w:rPr>
          <w:lang w:val="pl-PL"/>
        </w:rPr>
      </w:pPr>
      <w:r w:rsidRPr="00F00BB6">
        <w:rPr>
          <w:lang w:val="pl-PL"/>
        </w:rPr>
        <w:t>STRASBURG</w:t>
      </w:r>
    </w:p>
    <w:p w14:paraId="5A4F3ED0" w14:textId="7F232612" w:rsidR="007A4070" w:rsidRPr="00F00BB6" w:rsidRDefault="00227BCF" w:rsidP="00384BCF">
      <w:pPr>
        <w:pStyle w:val="DecHCase"/>
        <w:rPr>
          <w:lang w:val="pl-PL"/>
        </w:rPr>
      </w:pPr>
      <w:r w:rsidRPr="00F00BB6">
        <w:rPr>
          <w:noProof/>
          <w:lang w:val="pl-PL"/>
        </w:rPr>
        <w:t>9 lutego 2023 r.</w:t>
      </w:r>
    </w:p>
    <w:p w14:paraId="2F990BC9" w14:textId="036D2F4B" w:rsidR="00516B59" w:rsidRPr="00F00BB6" w:rsidRDefault="007A4070" w:rsidP="00384BCF">
      <w:pPr>
        <w:rPr>
          <w:rFonts w:cstheme="minorHAnsi"/>
          <w:i/>
          <w:sz w:val="22"/>
          <w:lang w:val="pl-PL"/>
        </w:rPr>
      </w:pPr>
      <w:r w:rsidRPr="00F00BB6">
        <w:rPr>
          <w:rFonts w:cstheme="minorHAnsi"/>
          <w:i/>
          <w:iCs/>
          <w:sz w:val="22"/>
          <w:lang w:val="pl-PL"/>
        </w:rPr>
        <w:t xml:space="preserve">Niniejszy wyrok </w:t>
      </w:r>
      <w:r w:rsidRPr="00F00BB6">
        <w:rPr>
          <w:rFonts w:cstheme="minorHAnsi"/>
          <w:i/>
          <w:iCs/>
          <w:noProof/>
          <w:sz w:val="22"/>
          <w:lang w:val="pl-PL"/>
        </w:rPr>
        <w:t>jest ostateczny</w:t>
      </w:r>
      <w:r w:rsidRPr="00F00BB6">
        <w:rPr>
          <w:rFonts w:cstheme="minorHAnsi"/>
          <w:i/>
          <w:iCs/>
          <w:sz w:val="22"/>
          <w:lang w:val="pl-PL"/>
        </w:rPr>
        <w:t>. Może podlegać korekcie wydawniczej.</w:t>
      </w:r>
    </w:p>
    <w:p w14:paraId="1D65FC95" w14:textId="77777777" w:rsidR="00516B59" w:rsidRPr="00F00BB6" w:rsidRDefault="00516B59" w:rsidP="00384BCF">
      <w:pPr>
        <w:ind w:left="720"/>
        <w:rPr>
          <w:rFonts w:ascii="Times New Roman" w:hAnsi="Times New Roman" w:cs="Times New Roman"/>
          <w:sz w:val="22"/>
          <w:lang w:val="pl-PL"/>
        </w:rPr>
        <w:sectPr w:rsidR="00516B59" w:rsidRPr="00F00BB6" w:rsidSect="00902601">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C979C72" w14:textId="40B09449" w:rsidR="004344E6" w:rsidRPr="00F00BB6" w:rsidRDefault="004344E6" w:rsidP="00384BCF">
      <w:pPr>
        <w:pStyle w:val="JuCase"/>
        <w:rPr>
          <w:lang w:val="pl-PL"/>
        </w:rPr>
      </w:pPr>
      <w:r w:rsidRPr="00F00BB6">
        <w:rPr>
          <w:bCs/>
          <w:lang w:val="pl-PL"/>
        </w:rPr>
        <w:lastRenderedPageBreak/>
        <w:t>W sprawie R.M. i Inni przeciwko Polsce,</w:t>
      </w:r>
    </w:p>
    <w:p w14:paraId="0F59A3B9" w14:textId="73E1227A" w:rsidR="004344E6" w:rsidRPr="00F00BB6" w:rsidRDefault="004344E6" w:rsidP="00384BCF">
      <w:pPr>
        <w:pStyle w:val="JuPara"/>
        <w:rPr>
          <w:lang w:val="pl-PL"/>
        </w:rPr>
      </w:pPr>
      <w:r w:rsidRPr="00F00BB6">
        <w:rPr>
          <w:lang w:val="pl-PL"/>
        </w:rPr>
        <w:t xml:space="preserve">Europejski Trybunał Praw Człowieka (pierwsza sekcja), zasiadając jako komitet </w:t>
      </w:r>
      <w:r w:rsidRPr="00F00BB6">
        <w:rPr>
          <w:noProof/>
          <w:lang w:val="pl-PL"/>
        </w:rPr>
        <w:t>w składzie:</w:t>
      </w:r>
    </w:p>
    <w:p w14:paraId="7CEAAFAB" w14:textId="5C733DE4" w:rsidR="004344E6" w:rsidRPr="00F00BB6" w:rsidRDefault="0075238D" w:rsidP="00384BCF">
      <w:pPr>
        <w:pStyle w:val="JuJudges"/>
        <w:rPr>
          <w:lang w:val="pl-PL"/>
        </w:rPr>
      </w:pPr>
      <w:r w:rsidRPr="00F00BB6">
        <w:rPr>
          <w:lang w:val="pl-PL"/>
        </w:rPr>
        <w:tab/>
        <w:t>Lətif Hüseynov</w:t>
      </w:r>
      <w:r w:rsidRPr="00F00BB6">
        <w:rPr>
          <w:i/>
          <w:iCs/>
          <w:lang w:val="pl-PL"/>
        </w:rPr>
        <w:t>, przewodniczący</w:t>
      </w:r>
      <w:r w:rsidRPr="00F00BB6">
        <w:rPr>
          <w:lang w:val="pl-PL"/>
        </w:rPr>
        <w:t>,</w:t>
      </w:r>
      <w:r w:rsidRPr="00F00BB6">
        <w:rPr>
          <w:lang w:val="pl-PL"/>
        </w:rPr>
        <w:br/>
      </w:r>
      <w:r w:rsidRPr="00F00BB6">
        <w:rPr>
          <w:lang w:val="pl-PL"/>
        </w:rPr>
        <w:tab/>
        <w:t>Krzysztof Wojtyczek,</w:t>
      </w:r>
      <w:r w:rsidRPr="00F00BB6">
        <w:rPr>
          <w:lang w:val="pl-PL"/>
        </w:rPr>
        <w:br/>
      </w:r>
      <w:r w:rsidRPr="00F00BB6">
        <w:rPr>
          <w:lang w:val="pl-PL"/>
        </w:rPr>
        <w:tab/>
        <w:t>Erik Wennerström</w:t>
      </w:r>
      <w:r w:rsidRPr="00F00BB6">
        <w:rPr>
          <w:i/>
          <w:iCs/>
          <w:lang w:val="pl-PL"/>
        </w:rPr>
        <w:t>, sędziowie</w:t>
      </w:r>
      <w:r w:rsidRPr="00F00BB6">
        <w:rPr>
          <w:lang w:val="pl-PL"/>
        </w:rPr>
        <w:t>,</w:t>
      </w:r>
      <w:r w:rsidRPr="00F00BB6">
        <w:rPr>
          <w:lang w:val="pl-PL"/>
        </w:rPr>
        <w:br/>
        <w:t xml:space="preserve">i </w:t>
      </w:r>
      <w:r w:rsidRPr="00F00BB6">
        <w:rPr>
          <w:noProof/>
          <w:lang w:val="pl-PL"/>
        </w:rPr>
        <w:t>Liv Tigerstedt</w:t>
      </w:r>
      <w:r w:rsidRPr="00F00BB6">
        <w:rPr>
          <w:lang w:val="pl-PL"/>
        </w:rPr>
        <w:t xml:space="preserve">, </w:t>
      </w:r>
      <w:r w:rsidRPr="00F00BB6">
        <w:rPr>
          <w:i/>
          <w:iCs/>
          <w:noProof/>
          <w:lang w:val="pl-PL"/>
        </w:rPr>
        <w:t>zastępczyni kanclerza sekcji</w:t>
      </w:r>
      <w:r w:rsidRPr="00F00BB6">
        <w:rPr>
          <w:lang w:val="pl-PL"/>
        </w:rPr>
        <w:t>,</w:t>
      </w:r>
    </w:p>
    <w:p w14:paraId="71D1010F" w14:textId="77777777" w:rsidR="00227BCF" w:rsidRPr="00F00BB6" w:rsidRDefault="00227BCF" w:rsidP="00384BCF">
      <w:pPr>
        <w:pStyle w:val="JuPara"/>
        <w:rPr>
          <w:lang w:val="pl-PL"/>
        </w:rPr>
      </w:pPr>
      <w:r w:rsidRPr="00F00BB6">
        <w:rPr>
          <w:lang w:val="pl-PL"/>
        </w:rPr>
        <w:t>uwzględniając:</w:t>
      </w:r>
    </w:p>
    <w:p w14:paraId="1B7A72EF" w14:textId="2F0B3DC0" w:rsidR="00227BCF" w:rsidRPr="00F00BB6" w:rsidRDefault="00227BCF" w:rsidP="00384BCF">
      <w:pPr>
        <w:pStyle w:val="JuPara"/>
        <w:rPr>
          <w:lang w:val="pl-PL"/>
        </w:rPr>
      </w:pPr>
      <w:r w:rsidRPr="00F00BB6">
        <w:rPr>
          <w:lang w:val="pl-PL"/>
        </w:rPr>
        <w:t>skargę (nr 11247/18) przeciwko Rzeczypospolitej Polskiej wniesioną do Trybunału w dniu 26 lutego 2018 r. na podstawie art. 34 Konwencji o</w:t>
      </w:r>
      <w:r w:rsidR="009C1390" w:rsidRPr="00F00BB6">
        <w:rPr>
          <w:lang w:val="pl-PL"/>
        </w:rPr>
        <w:t> </w:t>
      </w:r>
      <w:r w:rsidRPr="00F00BB6">
        <w:rPr>
          <w:lang w:val="pl-PL"/>
        </w:rPr>
        <w:t>ochronie praw człowieka i podstawowych wolności („Konwencja”) przez czworo obywateli Rosji („skarżący”) (wykaz skarżących i odpowiednie informacje przedstawiono w załączonej tabeli),</w:t>
      </w:r>
    </w:p>
    <w:p w14:paraId="43980634" w14:textId="430D0E74" w:rsidR="00227BCF" w:rsidRPr="00F00BB6" w:rsidRDefault="00227BCF" w:rsidP="00384BCF">
      <w:pPr>
        <w:pStyle w:val="JuPara"/>
        <w:rPr>
          <w:lang w:val="pl-PL"/>
        </w:rPr>
      </w:pPr>
      <w:r w:rsidRPr="00F00BB6">
        <w:rPr>
          <w:lang w:val="pl-PL"/>
        </w:rPr>
        <w:t>decyzję o przekazaniu do wiadomości Rządu Polski („Rząd”), reprezentowanego przez jego pełnomocnika, J. Sobczaka z Ministerstwa Spraw Zagranicznych, skarg dotyczących art. 3, art. 5 ust. 1 lit. f</w:t>
      </w:r>
      <w:r w:rsidR="002B045A">
        <w:rPr>
          <w:lang w:val="pl-PL"/>
        </w:rPr>
        <w:t>,</w:t>
      </w:r>
      <w:r w:rsidRPr="00F00BB6">
        <w:rPr>
          <w:lang w:val="pl-PL"/>
        </w:rPr>
        <w:t xml:space="preserve"> </w:t>
      </w:r>
      <w:r w:rsidR="00C02839">
        <w:rPr>
          <w:lang w:val="pl-PL"/>
        </w:rPr>
        <w:t xml:space="preserve">art. 5 </w:t>
      </w:r>
      <w:r w:rsidRPr="00F00BB6">
        <w:rPr>
          <w:lang w:val="pl-PL"/>
        </w:rPr>
        <w:t>ust.</w:t>
      </w:r>
      <w:r w:rsidR="00C02839">
        <w:rPr>
          <w:lang w:val="pl-PL"/>
        </w:rPr>
        <w:t> </w:t>
      </w:r>
      <w:r w:rsidRPr="00F00BB6">
        <w:rPr>
          <w:lang w:val="pl-PL"/>
        </w:rPr>
        <w:t>4 oraz art. 8 Konwencji oraz o uznaniu skargi za niedopuszczalną w</w:t>
      </w:r>
      <w:r w:rsidR="00F00BB6">
        <w:rPr>
          <w:lang w:val="pl-PL"/>
        </w:rPr>
        <w:t> </w:t>
      </w:r>
      <w:r w:rsidRPr="00F00BB6">
        <w:rPr>
          <w:lang w:val="pl-PL"/>
        </w:rPr>
        <w:t>pozostałym zakresie,</w:t>
      </w:r>
    </w:p>
    <w:p w14:paraId="3A32C864" w14:textId="46BD210C" w:rsidR="00227BCF" w:rsidRPr="00F00BB6" w:rsidRDefault="00227BCF" w:rsidP="00384BCF">
      <w:pPr>
        <w:pStyle w:val="JuPara"/>
        <w:rPr>
          <w:lang w:val="pl-PL"/>
        </w:rPr>
      </w:pPr>
      <w:r w:rsidRPr="00F00BB6">
        <w:rPr>
          <w:lang w:val="pl-PL"/>
        </w:rPr>
        <w:t>decyzję, na mocy której Trybunał odrzucił sprzeciw Rządu wobec rozpatrywania wniosku przez komi</w:t>
      </w:r>
      <w:r w:rsidR="00A05671">
        <w:rPr>
          <w:lang w:val="pl-PL"/>
        </w:rPr>
        <w:t>tet</w:t>
      </w:r>
      <w:r w:rsidRPr="00F00BB6">
        <w:rPr>
          <w:lang w:val="pl-PL"/>
        </w:rPr>
        <w:t>,</w:t>
      </w:r>
    </w:p>
    <w:p w14:paraId="493E7374" w14:textId="72E03CA6" w:rsidR="00227BCF" w:rsidRPr="00F00BB6" w:rsidRDefault="00227BCF" w:rsidP="00384BCF">
      <w:pPr>
        <w:pStyle w:val="JuPara"/>
        <w:rPr>
          <w:lang w:val="pl-PL"/>
        </w:rPr>
      </w:pPr>
      <w:r w:rsidRPr="00F00BB6">
        <w:rPr>
          <w:lang w:val="pl-PL"/>
        </w:rPr>
        <w:t>decyzję o nieujawnianiu tożsamości skarżących,</w:t>
      </w:r>
    </w:p>
    <w:p w14:paraId="7BDFFBC9" w14:textId="77777777" w:rsidR="00227BCF" w:rsidRPr="00F00BB6" w:rsidRDefault="00227BCF" w:rsidP="00384BCF">
      <w:pPr>
        <w:pStyle w:val="JuPara"/>
        <w:rPr>
          <w:lang w:val="pl-PL"/>
        </w:rPr>
      </w:pPr>
      <w:r w:rsidRPr="00F00BB6">
        <w:rPr>
          <w:lang w:val="pl-PL"/>
        </w:rPr>
        <w:t>uwagi stron,</w:t>
      </w:r>
    </w:p>
    <w:p w14:paraId="5ACB3545" w14:textId="77777777" w:rsidR="00227BCF" w:rsidRPr="00F00BB6" w:rsidRDefault="00227BCF" w:rsidP="00384BCF">
      <w:pPr>
        <w:pStyle w:val="JuPara"/>
        <w:rPr>
          <w:lang w:val="pl-PL"/>
        </w:rPr>
      </w:pPr>
      <w:r w:rsidRPr="00F00BB6">
        <w:rPr>
          <w:lang w:val="pl-PL"/>
        </w:rPr>
        <w:t>uwagi przedstawione przez Węgierski Komitet Helsiński („interwenient uboczny”), którego interwencja uboczna została zatwierdzona przez przewodniczącego sekcji,</w:t>
      </w:r>
    </w:p>
    <w:p w14:paraId="40C77D98" w14:textId="60A99DA7" w:rsidR="004344E6" w:rsidRPr="00F00BB6" w:rsidRDefault="004344E6" w:rsidP="00384BCF">
      <w:pPr>
        <w:pStyle w:val="JuPara"/>
        <w:rPr>
          <w:lang w:val="pl-PL"/>
        </w:rPr>
      </w:pPr>
      <w:r w:rsidRPr="00F00BB6">
        <w:rPr>
          <w:lang w:val="pl-PL"/>
        </w:rPr>
        <w:t xml:space="preserve">obradując na posiedzeniu </w:t>
      </w:r>
      <w:r w:rsidR="003325B9">
        <w:rPr>
          <w:lang w:val="pl-PL"/>
        </w:rPr>
        <w:t>niejawnym</w:t>
      </w:r>
      <w:r w:rsidR="00FC7837">
        <w:rPr>
          <w:lang w:val="pl-PL"/>
        </w:rPr>
        <w:t xml:space="preserve"> </w:t>
      </w:r>
      <w:r w:rsidRPr="00F00BB6">
        <w:rPr>
          <w:lang w:val="pl-PL"/>
        </w:rPr>
        <w:t>w dniu 17 stycznia 2023 r.,</w:t>
      </w:r>
    </w:p>
    <w:p w14:paraId="402A0EC7" w14:textId="168CAADC" w:rsidR="00876F03" w:rsidRPr="00F00BB6" w:rsidRDefault="004344E6" w:rsidP="00384BCF">
      <w:pPr>
        <w:pStyle w:val="JuPara"/>
        <w:rPr>
          <w:lang w:val="pl-PL"/>
        </w:rPr>
      </w:pPr>
      <w:r w:rsidRPr="00F00BB6">
        <w:rPr>
          <w:lang w:val="pl-PL"/>
        </w:rPr>
        <w:t>wydaje następujący wyrok, który został przyjęty w tym dniu:</w:t>
      </w:r>
    </w:p>
    <w:p w14:paraId="2885CAFA" w14:textId="27D77EE8" w:rsidR="00227BCF" w:rsidRPr="00F00BB6" w:rsidRDefault="00227BCF" w:rsidP="00384BCF">
      <w:pPr>
        <w:pStyle w:val="JuHHead"/>
        <w:rPr>
          <w:lang w:val="pl-PL"/>
        </w:rPr>
      </w:pPr>
      <w:r w:rsidRPr="00F00BB6">
        <w:rPr>
          <w:bCs w:val="0"/>
          <w:lang w:val="pl-PL"/>
        </w:rPr>
        <w:t>PRZEDMIOT SPRAWY</w:t>
      </w:r>
    </w:p>
    <w:p w14:paraId="6FCD4723" w14:textId="24DC57BF"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1</w:t>
      </w:r>
      <w:r w:rsidRPr="00F00BB6">
        <w:rPr>
          <w:noProof/>
          <w:lang w:val="pl-PL"/>
        </w:rPr>
        <w:fldChar w:fldCharType="end"/>
      </w:r>
      <w:r w:rsidRPr="00F00BB6">
        <w:rPr>
          <w:lang w:val="pl-PL"/>
        </w:rPr>
        <w:t>.  Sprawa dotyczy umieszczenia i przetrzymywania pierwszej skarżącej oraz jej trojga małoletnich dzieci przez okres około siedmiu miesięcy w</w:t>
      </w:r>
      <w:r w:rsidR="009C1390" w:rsidRPr="00F00BB6">
        <w:rPr>
          <w:lang w:val="pl-PL"/>
        </w:rPr>
        <w:t> </w:t>
      </w:r>
      <w:r w:rsidR="004C7F14">
        <w:rPr>
          <w:lang w:val="pl-PL"/>
        </w:rPr>
        <w:t>strzeżonym</w:t>
      </w:r>
      <w:r w:rsidRPr="00F00BB6">
        <w:rPr>
          <w:lang w:val="pl-PL"/>
        </w:rPr>
        <w:t xml:space="preserve"> ośrodku dla cudzoziemców w oczekiwaniu na ich wydalenie do Rosji.</w:t>
      </w:r>
    </w:p>
    <w:p w14:paraId="705DBF00" w14:textId="5A7B7404"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2</w:t>
      </w:r>
      <w:r w:rsidRPr="00F00BB6">
        <w:rPr>
          <w:noProof/>
          <w:lang w:val="pl-PL"/>
        </w:rPr>
        <w:fldChar w:fldCharType="end"/>
      </w:r>
      <w:r w:rsidRPr="00F00BB6">
        <w:rPr>
          <w:lang w:val="pl-PL"/>
        </w:rPr>
        <w:t>.  </w:t>
      </w:r>
      <w:r w:rsidR="0026553C">
        <w:rPr>
          <w:lang w:val="pl-PL"/>
        </w:rPr>
        <w:t xml:space="preserve"> W dniu </w:t>
      </w:r>
      <w:r w:rsidRPr="00F00BB6">
        <w:rPr>
          <w:lang w:val="pl-PL"/>
        </w:rPr>
        <w:t>5 września 2017 r. skarżący zostali przekazani władzom polskim przez swoich niemieckich odpowiedników w trybie przewidzianym w tzw. rozporządzeniu Dublin III (rozporządzenie Parlamentu Europejskiego i Rady (</w:t>
      </w:r>
      <w:r w:rsidR="00717047">
        <w:rPr>
          <w:lang w:val="pl-PL"/>
        </w:rPr>
        <w:t>UE</w:t>
      </w:r>
      <w:r w:rsidRPr="00F00BB6">
        <w:rPr>
          <w:lang w:val="pl-PL"/>
        </w:rPr>
        <w:t>) nr 604/2013 z dnia 26 czerwca 2013 r.). Tego samego dnia władze wszczęły przeciwko nim postępowanie w sprawie ich wyjazdu z Polski.</w:t>
      </w:r>
    </w:p>
    <w:p w14:paraId="4C21026F" w14:textId="2A5A8466"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3</w:t>
      </w:r>
      <w:r w:rsidRPr="00F00BB6">
        <w:rPr>
          <w:noProof/>
          <w:lang w:val="pl-PL"/>
        </w:rPr>
        <w:fldChar w:fldCharType="end"/>
      </w:r>
      <w:r w:rsidRPr="00F00BB6">
        <w:rPr>
          <w:lang w:val="pl-PL"/>
        </w:rPr>
        <w:t>.  </w:t>
      </w:r>
      <w:r w:rsidR="0026553C">
        <w:rPr>
          <w:lang w:val="pl-PL"/>
        </w:rPr>
        <w:t xml:space="preserve">W dniu </w:t>
      </w:r>
      <w:r w:rsidRPr="00F00BB6">
        <w:rPr>
          <w:lang w:val="pl-PL"/>
        </w:rPr>
        <w:t xml:space="preserve">6 września 2017 r. Sąd </w:t>
      </w:r>
      <w:r w:rsidR="00BD757E">
        <w:rPr>
          <w:lang w:val="pl-PL"/>
        </w:rPr>
        <w:t>Rejon</w:t>
      </w:r>
      <w:r w:rsidR="00BD757E" w:rsidRPr="00F00BB6">
        <w:rPr>
          <w:lang w:val="pl-PL"/>
        </w:rPr>
        <w:t xml:space="preserve">owy </w:t>
      </w:r>
      <w:r w:rsidRPr="00F00BB6">
        <w:rPr>
          <w:lang w:val="pl-PL"/>
        </w:rPr>
        <w:t xml:space="preserve">w S. zarządził osadzenie skarżących w </w:t>
      </w:r>
      <w:r w:rsidR="00994E3F">
        <w:rPr>
          <w:lang w:val="pl-PL"/>
        </w:rPr>
        <w:t>strzeżonym</w:t>
      </w:r>
      <w:r w:rsidRPr="00F00BB6">
        <w:rPr>
          <w:lang w:val="pl-PL"/>
        </w:rPr>
        <w:t xml:space="preserve"> ośrodku dla cudzoziemców w Kętrzynie. 23</w:t>
      </w:r>
      <w:r w:rsidR="00D84E45">
        <w:rPr>
          <w:lang w:val="pl-PL"/>
        </w:rPr>
        <w:t> </w:t>
      </w:r>
      <w:r w:rsidRPr="00F00BB6">
        <w:rPr>
          <w:lang w:val="pl-PL"/>
        </w:rPr>
        <w:t xml:space="preserve">października 2017 r. Komendant Główny Straży Granicznej w S. nakazał skarżącym opuszczenie terytorium Polski. 26 stycznia 2018 r. Szef Urzędu </w:t>
      </w:r>
      <w:r w:rsidRPr="00F00BB6">
        <w:rPr>
          <w:lang w:val="pl-PL"/>
        </w:rPr>
        <w:lastRenderedPageBreak/>
        <w:t xml:space="preserve">do Spraw Cudzoziemców </w:t>
      </w:r>
      <w:r w:rsidR="00994E3F">
        <w:rPr>
          <w:lang w:val="pl-PL"/>
        </w:rPr>
        <w:t>utrzymał</w:t>
      </w:r>
      <w:r w:rsidRPr="00F00BB6">
        <w:rPr>
          <w:lang w:val="pl-PL"/>
        </w:rPr>
        <w:t xml:space="preserve"> tę decyzję</w:t>
      </w:r>
      <w:r w:rsidR="00994E3F">
        <w:rPr>
          <w:lang w:val="pl-PL"/>
        </w:rPr>
        <w:t xml:space="preserve"> w mocy</w:t>
      </w:r>
      <w:r w:rsidRPr="00F00BB6">
        <w:rPr>
          <w:lang w:val="pl-PL"/>
        </w:rPr>
        <w:t>. Tymczasem 19</w:t>
      </w:r>
      <w:r w:rsidR="00FA1313">
        <w:rPr>
          <w:lang w:val="pl-PL"/>
        </w:rPr>
        <w:t> </w:t>
      </w:r>
      <w:r w:rsidRPr="00F00BB6">
        <w:rPr>
          <w:lang w:val="pl-PL"/>
        </w:rPr>
        <w:t>października 2017 r. Sąd Okręgowy w S. oddalił odwołanie skarżących od decyzji o umieszczeniu ich w ośrodku detencyjnym.</w:t>
      </w:r>
    </w:p>
    <w:p w14:paraId="798CC44B" w14:textId="54016152"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4</w:t>
      </w:r>
      <w:r w:rsidRPr="00F00BB6">
        <w:rPr>
          <w:noProof/>
          <w:lang w:val="pl-PL"/>
        </w:rPr>
        <w:fldChar w:fldCharType="end"/>
      </w:r>
      <w:r w:rsidRPr="00F00BB6">
        <w:rPr>
          <w:lang w:val="pl-PL"/>
        </w:rPr>
        <w:t xml:space="preserve">.  W dniach 27 października 2017 r. i 28 lutego 2018 r. Sąd </w:t>
      </w:r>
      <w:r w:rsidR="000354F3">
        <w:rPr>
          <w:lang w:val="pl-PL"/>
        </w:rPr>
        <w:t>Rejon</w:t>
      </w:r>
      <w:r w:rsidR="000354F3" w:rsidRPr="00F00BB6">
        <w:rPr>
          <w:lang w:val="pl-PL"/>
        </w:rPr>
        <w:t xml:space="preserve">owy </w:t>
      </w:r>
      <w:r w:rsidR="00DF1FF9" w:rsidRPr="00F00BB6">
        <w:rPr>
          <w:lang w:val="pl-PL"/>
        </w:rPr>
        <w:t>w</w:t>
      </w:r>
      <w:r w:rsidR="00DF1FF9">
        <w:rPr>
          <w:lang w:val="pl-PL"/>
        </w:rPr>
        <w:t> </w:t>
      </w:r>
      <w:r w:rsidRPr="00F00BB6">
        <w:rPr>
          <w:lang w:val="pl-PL"/>
        </w:rPr>
        <w:t xml:space="preserve">S. przedłużył pobyt skarżących w ośrodku </w:t>
      </w:r>
      <w:r w:rsidR="00994E3F">
        <w:rPr>
          <w:lang w:val="pl-PL"/>
        </w:rPr>
        <w:t>strzeżonym</w:t>
      </w:r>
      <w:r w:rsidRPr="00F00BB6">
        <w:rPr>
          <w:lang w:val="pl-PL"/>
        </w:rPr>
        <w:t xml:space="preserve">. Odwołania złożone przez skarżących od decyzji o przedłużeniu ich pobytu w ośrodku </w:t>
      </w:r>
      <w:r w:rsidR="00994E3F">
        <w:rPr>
          <w:lang w:val="pl-PL"/>
        </w:rPr>
        <w:t xml:space="preserve">strzeżonym </w:t>
      </w:r>
      <w:r w:rsidRPr="00F00BB6">
        <w:rPr>
          <w:lang w:val="pl-PL"/>
        </w:rPr>
        <w:t xml:space="preserve">zostały </w:t>
      </w:r>
      <w:r w:rsidR="00994E3F">
        <w:rPr>
          <w:lang w:val="pl-PL"/>
        </w:rPr>
        <w:t>oddalone</w:t>
      </w:r>
      <w:r w:rsidRPr="00F00BB6">
        <w:rPr>
          <w:lang w:val="pl-PL"/>
        </w:rPr>
        <w:t>, podobnie jak ich wnioski o zwolnienie z</w:t>
      </w:r>
      <w:r w:rsidR="009C1390" w:rsidRPr="00F00BB6">
        <w:rPr>
          <w:lang w:val="pl-PL"/>
        </w:rPr>
        <w:t> </w:t>
      </w:r>
      <w:r w:rsidRPr="00F00BB6">
        <w:rPr>
          <w:lang w:val="pl-PL"/>
        </w:rPr>
        <w:t xml:space="preserve">ośrodka. W </w:t>
      </w:r>
      <w:r w:rsidR="00994E3F">
        <w:rPr>
          <w:lang w:val="pl-PL"/>
        </w:rPr>
        <w:t>postanowieniach</w:t>
      </w:r>
      <w:r w:rsidRPr="00F00BB6">
        <w:rPr>
          <w:lang w:val="pl-PL"/>
        </w:rPr>
        <w:t xml:space="preserve"> </w:t>
      </w:r>
      <w:r w:rsidR="007308B1">
        <w:rPr>
          <w:lang w:val="pl-PL"/>
        </w:rPr>
        <w:t xml:space="preserve">ich dotyczących </w:t>
      </w:r>
      <w:r w:rsidRPr="00F00BB6">
        <w:rPr>
          <w:lang w:val="pl-PL"/>
        </w:rPr>
        <w:t xml:space="preserve">sądy krajowe stwierdziły między innymi adekwatność stanu psychosomatycznego drugiego skarżącego do opieki medycznej i psychologicznej, którą otrzymał w ośrodku </w:t>
      </w:r>
      <w:r w:rsidR="007308B1">
        <w:rPr>
          <w:lang w:val="pl-PL"/>
        </w:rPr>
        <w:t>strzeżonym</w:t>
      </w:r>
      <w:r w:rsidRPr="00F00BB6">
        <w:rPr>
          <w:lang w:val="pl-PL"/>
        </w:rPr>
        <w:t>.</w:t>
      </w:r>
    </w:p>
    <w:p w14:paraId="254AEDE8" w14:textId="33F57821" w:rsidR="00227BCF" w:rsidRPr="00F00BB6" w:rsidRDefault="00901745" w:rsidP="00384BCF">
      <w:pPr>
        <w:pStyle w:val="JuPara"/>
        <w:rPr>
          <w:rStyle w:val="Odwoaniedokomentarza"/>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5</w:t>
      </w:r>
      <w:r w:rsidRPr="00F00BB6">
        <w:rPr>
          <w:noProof/>
          <w:lang w:val="pl-PL"/>
        </w:rPr>
        <w:fldChar w:fldCharType="end"/>
      </w:r>
      <w:r w:rsidRPr="00F00BB6">
        <w:rPr>
          <w:lang w:val="pl-PL"/>
        </w:rPr>
        <w:t xml:space="preserve">.  17 kwietnia 2018 r. właściwy Komendant Główny Straży Granicznej nakazał zwolnienie skarżących z ośrodka </w:t>
      </w:r>
      <w:r w:rsidR="007308B1">
        <w:rPr>
          <w:lang w:val="pl-PL"/>
        </w:rPr>
        <w:t>strzeżonego</w:t>
      </w:r>
      <w:r w:rsidRPr="00F00BB6">
        <w:rPr>
          <w:lang w:val="pl-PL"/>
        </w:rPr>
        <w:t xml:space="preserve">. </w:t>
      </w:r>
      <w:r w:rsidR="000E70C0">
        <w:rPr>
          <w:lang w:val="pl-PL"/>
        </w:rPr>
        <w:t>25</w:t>
      </w:r>
      <w:r w:rsidR="000E70C0" w:rsidRPr="00F00BB6">
        <w:rPr>
          <w:lang w:val="pl-PL"/>
        </w:rPr>
        <w:t xml:space="preserve"> </w:t>
      </w:r>
      <w:r w:rsidRPr="00F00BB6">
        <w:rPr>
          <w:lang w:val="pl-PL"/>
        </w:rPr>
        <w:t>października 2018</w:t>
      </w:r>
      <w:r w:rsidR="001116A8">
        <w:rPr>
          <w:lang w:val="pl-PL"/>
        </w:rPr>
        <w:t> </w:t>
      </w:r>
      <w:r w:rsidRPr="00F00BB6">
        <w:rPr>
          <w:lang w:val="pl-PL"/>
        </w:rPr>
        <w:t>r. sąd administracyjny uchylił decyzję z 26 stycznia 2018 r. wydaną przez Szefa Urzędu do Spraw Cudzoziemców i przekazał mu sprawę do ponownego rozpatrzenia. W lutym 2021 r. Szef Urzędu do Spraw Cudzoziemców udzielił skarżącym zezwolenia na pobyt.</w:t>
      </w:r>
    </w:p>
    <w:p w14:paraId="7623AE83" w14:textId="2001242B" w:rsidR="00227BCF" w:rsidRPr="00F00BB6" w:rsidRDefault="00227BCF" w:rsidP="00384BCF">
      <w:pPr>
        <w:pStyle w:val="JuPara"/>
        <w:rPr>
          <w:noProof/>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6</w:t>
      </w:r>
      <w:r w:rsidRPr="00F00BB6">
        <w:rPr>
          <w:noProof/>
          <w:lang w:val="pl-PL"/>
        </w:rPr>
        <w:fldChar w:fldCharType="end"/>
      </w:r>
      <w:r w:rsidRPr="00F00BB6">
        <w:rPr>
          <w:noProof/>
          <w:lang w:val="pl-PL"/>
        </w:rPr>
        <w:t>.  Decyzję o zatrzymaniu skarżących w ośrodku detencyjnym podjęto w</w:t>
      </w:r>
      <w:r w:rsidR="009C1390" w:rsidRPr="00F00BB6">
        <w:rPr>
          <w:noProof/>
          <w:lang w:val="pl-PL"/>
        </w:rPr>
        <w:t> </w:t>
      </w:r>
      <w:r w:rsidRPr="00F00BB6">
        <w:rPr>
          <w:noProof/>
          <w:lang w:val="pl-PL"/>
        </w:rPr>
        <w:t>wyniku złożonych przez straż graniczną kolejnych wniosków, o których skarżących nie poinformowano. Pracownik ośrodka detencyjnego ustnie poinformował skarżącą o dwóch z przedmiotowych wniosków.</w:t>
      </w:r>
    </w:p>
    <w:p w14:paraId="37D5CA65" w14:textId="7E85C799"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7</w:t>
      </w:r>
      <w:r w:rsidRPr="00F00BB6">
        <w:rPr>
          <w:noProof/>
          <w:lang w:val="pl-PL"/>
        </w:rPr>
        <w:fldChar w:fldCharType="end"/>
      </w:r>
      <w:r w:rsidRPr="00F00BB6">
        <w:rPr>
          <w:lang w:val="pl-PL"/>
        </w:rPr>
        <w:t xml:space="preserve">.  Ośrodek dla cudzoziemców, w którym przebywali skarżący, jest uprawniony do przyjmowania rodzin z małymi dziećmi. Materialne warunki przyjęcia w przedmiotowym ośrodku przedstawiono w wyroku w sprawie </w:t>
      </w:r>
      <w:r w:rsidRPr="00F00BB6">
        <w:rPr>
          <w:i/>
          <w:iCs/>
          <w:lang w:val="pl-PL"/>
        </w:rPr>
        <w:t>Bistieva przeciwko Polsce</w:t>
      </w:r>
      <w:r w:rsidRPr="00F00BB6">
        <w:rPr>
          <w:lang w:val="pl-PL"/>
        </w:rPr>
        <w:t xml:space="preserve"> (nr 75157/14, </w:t>
      </w:r>
      <w:r w:rsidR="002025D0">
        <w:rPr>
          <w:lang w:val="pl-PL"/>
        </w:rPr>
        <w:t>pkt</w:t>
      </w:r>
      <w:r w:rsidR="002025D0" w:rsidRPr="00F00BB6">
        <w:rPr>
          <w:lang w:val="pl-PL"/>
        </w:rPr>
        <w:t xml:space="preserve"> </w:t>
      </w:r>
      <w:r w:rsidRPr="00F00BB6">
        <w:rPr>
          <w:lang w:val="pl-PL"/>
        </w:rPr>
        <w:t>11–16 i 84, 10 kwietnia 2018</w:t>
      </w:r>
      <w:r w:rsidR="002025D0">
        <w:rPr>
          <w:lang w:val="pl-PL"/>
        </w:rPr>
        <w:t> </w:t>
      </w:r>
      <w:r w:rsidRPr="00F00BB6">
        <w:rPr>
          <w:lang w:val="pl-PL"/>
        </w:rPr>
        <w:t xml:space="preserve">r.). </w:t>
      </w:r>
      <w:r w:rsidR="007308B1">
        <w:rPr>
          <w:lang w:val="pl-PL"/>
        </w:rPr>
        <w:t>Skarżące dzieci</w:t>
      </w:r>
      <w:r w:rsidRPr="00F00BB6">
        <w:rPr>
          <w:lang w:val="pl-PL"/>
        </w:rPr>
        <w:t xml:space="preserve"> uczestniczy</w:t>
      </w:r>
      <w:r w:rsidR="007308B1">
        <w:rPr>
          <w:lang w:val="pl-PL"/>
        </w:rPr>
        <w:t>ły</w:t>
      </w:r>
      <w:r w:rsidRPr="00F00BB6">
        <w:rPr>
          <w:lang w:val="pl-PL"/>
        </w:rPr>
        <w:t xml:space="preserve"> w zajęciach sportowych i</w:t>
      </w:r>
      <w:r w:rsidR="0017555D">
        <w:rPr>
          <w:lang w:val="pl-PL"/>
        </w:rPr>
        <w:t> </w:t>
      </w:r>
      <w:r w:rsidRPr="00F00BB6">
        <w:rPr>
          <w:lang w:val="pl-PL"/>
        </w:rPr>
        <w:t>rekreacyjnych oferowanych w ośrodku, a drugi skarżący uczęszczał na zajęcia na poziomie odpowiadającym nauce w szkole podstawowej.</w:t>
      </w:r>
    </w:p>
    <w:p w14:paraId="7E3B7E61" w14:textId="6CAA407B"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8</w:t>
      </w:r>
      <w:r w:rsidRPr="00F00BB6">
        <w:rPr>
          <w:noProof/>
          <w:lang w:val="pl-PL"/>
        </w:rPr>
        <w:fldChar w:fldCharType="end"/>
      </w:r>
      <w:r w:rsidRPr="00F00BB6">
        <w:rPr>
          <w:lang w:val="pl-PL"/>
        </w:rPr>
        <w:t xml:space="preserve">.  Skarżący zarzucili, że zatrzymanie skarżących </w:t>
      </w:r>
      <w:r w:rsidR="007308B1">
        <w:rPr>
          <w:lang w:val="pl-PL"/>
        </w:rPr>
        <w:t xml:space="preserve">dzieci </w:t>
      </w:r>
      <w:r w:rsidRPr="00F00BB6">
        <w:rPr>
          <w:lang w:val="pl-PL"/>
        </w:rPr>
        <w:t>było sprzeczne z</w:t>
      </w:r>
      <w:r w:rsidR="009C1390" w:rsidRPr="00F00BB6">
        <w:rPr>
          <w:lang w:val="pl-PL"/>
        </w:rPr>
        <w:t> </w:t>
      </w:r>
      <w:r w:rsidRPr="00F00BB6">
        <w:rPr>
          <w:lang w:val="pl-PL"/>
        </w:rPr>
        <w:t>art. 3 Konwencji ze względu na czas jego trwania, wiek dzieci, obecność pewnych czynników, które skarżący uznali za wywołujące niepokój (np. nadzór ze strony umundurowanego personelu, ograniczenie swobody poruszania się i narażenie na hałas spowodowany pracami remontowymi trwającymi wówczas w ośrodku)</w:t>
      </w:r>
      <w:r w:rsidR="00674BC6">
        <w:rPr>
          <w:lang w:val="pl-PL"/>
        </w:rPr>
        <w:t>,</w:t>
      </w:r>
      <w:r w:rsidRPr="00F00BB6">
        <w:rPr>
          <w:lang w:val="pl-PL"/>
        </w:rPr>
        <w:t xml:space="preserve"> oraz z uwagi na objawy psychosomatyczne, które wykazywał drugi skarżący. Powołując się na art. 5 ust. 1 lit. f i </w:t>
      </w:r>
      <w:r w:rsidR="00C02839">
        <w:rPr>
          <w:lang w:val="pl-PL"/>
        </w:rPr>
        <w:t xml:space="preserve">art. 5 </w:t>
      </w:r>
      <w:r w:rsidRPr="00F00BB6">
        <w:rPr>
          <w:lang w:val="pl-PL"/>
        </w:rPr>
        <w:t xml:space="preserve">ust. 4 Konwencji, zarzucili, że: a) zatrzymanie </w:t>
      </w:r>
      <w:r w:rsidR="003E0193">
        <w:rPr>
          <w:lang w:val="pl-PL"/>
        </w:rPr>
        <w:t>skarżących</w:t>
      </w:r>
      <w:r w:rsidRPr="00F00BB6">
        <w:rPr>
          <w:lang w:val="pl-PL"/>
        </w:rPr>
        <w:t xml:space="preserve"> </w:t>
      </w:r>
      <w:r w:rsidR="007308B1">
        <w:rPr>
          <w:lang w:val="pl-PL"/>
        </w:rPr>
        <w:t xml:space="preserve">dzieci </w:t>
      </w:r>
      <w:r w:rsidRPr="00F00BB6">
        <w:rPr>
          <w:lang w:val="pl-PL"/>
        </w:rPr>
        <w:t>było arbitralne i niepotrzebne, podobnie jak zatrzymanie pierwszej skarżącej po 4</w:t>
      </w:r>
      <w:r w:rsidR="00C02839">
        <w:rPr>
          <w:lang w:val="pl-PL"/>
        </w:rPr>
        <w:t> </w:t>
      </w:r>
      <w:r w:rsidRPr="00F00BB6">
        <w:rPr>
          <w:lang w:val="pl-PL"/>
        </w:rPr>
        <w:t>października 2017 r.; b) nie zostali poinformowani o kolejnych wnioskach straży granicznej o</w:t>
      </w:r>
      <w:r w:rsidR="009C1390" w:rsidRPr="00F00BB6">
        <w:rPr>
          <w:lang w:val="pl-PL"/>
        </w:rPr>
        <w:t> </w:t>
      </w:r>
      <w:r w:rsidRPr="00F00BB6">
        <w:rPr>
          <w:lang w:val="pl-PL"/>
        </w:rPr>
        <w:t>umieszczenie i zatrzymanie ich w ośrodku. Ponadto skarżący zarzucili, że ich umieszczenie i</w:t>
      </w:r>
      <w:r w:rsidR="00072037">
        <w:rPr>
          <w:lang w:val="pl-PL"/>
        </w:rPr>
        <w:t> </w:t>
      </w:r>
      <w:r w:rsidRPr="00F00BB6">
        <w:rPr>
          <w:lang w:val="pl-PL"/>
        </w:rPr>
        <w:t>przetrzymywanie w</w:t>
      </w:r>
      <w:r w:rsidR="0086496B">
        <w:rPr>
          <w:lang w:val="pl-PL"/>
        </w:rPr>
        <w:t> </w:t>
      </w:r>
      <w:r w:rsidRPr="00F00BB6">
        <w:rPr>
          <w:lang w:val="pl-PL"/>
        </w:rPr>
        <w:t>ośrodku było sprzeczne z art. 8 Konwencji.</w:t>
      </w:r>
    </w:p>
    <w:p w14:paraId="732E0B49" w14:textId="76A193A2" w:rsidR="00227BCF" w:rsidRPr="00F00BB6" w:rsidRDefault="00227BCF" w:rsidP="00384BCF">
      <w:pPr>
        <w:pStyle w:val="JuHHead"/>
        <w:rPr>
          <w:lang w:val="pl-PL"/>
        </w:rPr>
      </w:pPr>
      <w:r w:rsidRPr="00F00BB6">
        <w:rPr>
          <w:bCs w:val="0"/>
          <w:lang w:val="pl-PL"/>
        </w:rPr>
        <w:lastRenderedPageBreak/>
        <w:t>OCENA TRYBUNAŁU</w:t>
      </w:r>
    </w:p>
    <w:p w14:paraId="4873E42F" w14:textId="03C4DF25" w:rsidR="00227BCF" w:rsidRPr="00F00BB6" w:rsidRDefault="00227BCF" w:rsidP="00384BCF">
      <w:pPr>
        <w:pStyle w:val="JuHIRoman"/>
        <w:rPr>
          <w:lang w:val="pl-PL"/>
        </w:rPr>
      </w:pPr>
      <w:r w:rsidRPr="00F00BB6">
        <w:rPr>
          <w:bCs w:val="0"/>
          <w:lang w:val="pl-PL"/>
        </w:rPr>
        <w:t>W PRZEDMIOCIE SKREŚLENIA Z LISTY SPRAW CZĘŚCI SKARGI DOTYCZĄCEJ ZARZUTU OPARTEGO NA ART.</w:t>
      </w:r>
      <w:r w:rsidR="009C1390" w:rsidRPr="00F00BB6">
        <w:rPr>
          <w:bCs w:val="0"/>
          <w:lang w:val="pl-PL"/>
        </w:rPr>
        <w:t> </w:t>
      </w:r>
      <w:r w:rsidRPr="00F00BB6">
        <w:rPr>
          <w:bCs w:val="0"/>
          <w:lang w:val="pl-PL"/>
        </w:rPr>
        <w:t>8</w:t>
      </w:r>
      <w:r w:rsidR="009C1390" w:rsidRPr="00F00BB6">
        <w:rPr>
          <w:bCs w:val="0"/>
          <w:lang w:val="pl-PL"/>
        </w:rPr>
        <w:t> </w:t>
      </w:r>
      <w:r w:rsidRPr="00F00BB6">
        <w:rPr>
          <w:bCs w:val="0"/>
          <w:lang w:val="pl-PL"/>
        </w:rPr>
        <w:t>KONWENCJI</w:t>
      </w:r>
    </w:p>
    <w:p w14:paraId="2105B1DF" w14:textId="5A789B41"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9</w:t>
      </w:r>
      <w:r w:rsidRPr="00F00BB6">
        <w:rPr>
          <w:noProof/>
          <w:lang w:val="pl-PL"/>
        </w:rPr>
        <w:fldChar w:fldCharType="end"/>
      </w:r>
      <w:r w:rsidRPr="00F00BB6">
        <w:rPr>
          <w:lang w:val="pl-PL"/>
        </w:rPr>
        <w:t>.  25 września 2019 r. Rząd wystosował do Trybunału pismo z</w:t>
      </w:r>
      <w:r w:rsidR="009C1390" w:rsidRPr="00F00BB6">
        <w:rPr>
          <w:lang w:val="pl-PL"/>
        </w:rPr>
        <w:t> </w:t>
      </w:r>
      <w:r w:rsidRPr="00F00BB6">
        <w:rPr>
          <w:lang w:val="pl-PL"/>
        </w:rPr>
        <w:t>propozycją rozstrzygnięcia kwestii poruszonych w części skargi dotyczącej art. 8 Konwencji i zwrócił się do Trybunału o wykreślenie z listy spraw tej części na podstawie art. 37 ust. 1 lit. c Konwencji. Uznając naruszenie praw skarżących, wynikających z art. 8 Konwencji, Rząd zobowiązał się do wypłacenia im łącznie kwoty 10 000 euro (EUR). Rząd oświadczył, że wspomniana suma, przeznaczona na pokrycie wszelkich szkód materialnych i niematerialnych, jak również kosztów i wydatków, będzie zwolniona z</w:t>
      </w:r>
      <w:r w:rsidR="009C1390" w:rsidRPr="00F00BB6">
        <w:rPr>
          <w:lang w:val="pl-PL"/>
        </w:rPr>
        <w:t> </w:t>
      </w:r>
      <w:r w:rsidRPr="00F00BB6">
        <w:rPr>
          <w:lang w:val="pl-PL"/>
        </w:rPr>
        <w:t>wszelkich obowiązujących podatków i zostanie wypłacona w ciągu trzech miesięcy od daty powiadomienia o decyzji Trybunału. W przypadku braku zapłaty we wspomnianym terminie Rząd zobowiązał się do zapłaty, za okres od upływu tego terminu do faktycznego uregulowania przedmiotowej kwoty, odsetek prostych według stopy równej stopie procentowej kredytu Europejskiego Banku Centralnego</w:t>
      </w:r>
      <w:r w:rsidR="004922AF">
        <w:rPr>
          <w:lang w:val="pl-PL"/>
        </w:rPr>
        <w:t xml:space="preserve"> </w:t>
      </w:r>
      <w:r w:rsidR="004922AF" w:rsidRPr="003A6097">
        <w:rPr>
          <w:rStyle w:val="pointer"/>
          <w:lang w:val="pl-PL"/>
        </w:rPr>
        <w:t>na koniec dnia</w:t>
      </w:r>
      <w:r w:rsidRPr="00F00BB6">
        <w:rPr>
          <w:lang w:val="pl-PL"/>
        </w:rPr>
        <w:t>, powiększonej o trzy punkty procentowe.</w:t>
      </w:r>
    </w:p>
    <w:p w14:paraId="728586D5" w14:textId="7D192A3E"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10</w:t>
      </w:r>
      <w:r w:rsidRPr="00F00BB6">
        <w:rPr>
          <w:noProof/>
          <w:lang w:val="pl-PL"/>
        </w:rPr>
        <w:fldChar w:fldCharType="end"/>
      </w:r>
      <w:r w:rsidRPr="00F00BB6">
        <w:rPr>
          <w:lang w:val="pl-PL"/>
        </w:rPr>
        <w:t>.  Skarżący poinformowali Trybunał, że akceptują warunki zawarte w</w:t>
      </w:r>
      <w:r w:rsidR="009C1390" w:rsidRPr="00F00BB6">
        <w:rPr>
          <w:lang w:val="pl-PL"/>
        </w:rPr>
        <w:t> </w:t>
      </w:r>
      <w:r w:rsidRPr="00F00BB6">
        <w:rPr>
          <w:lang w:val="pl-PL"/>
        </w:rPr>
        <w:t>oświadczeniu Rządu.</w:t>
      </w:r>
    </w:p>
    <w:p w14:paraId="07929CE2" w14:textId="371E12E4"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11</w:t>
      </w:r>
      <w:r w:rsidRPr="00F00BB6">
        <w:rPr>
          <w:noProof/>
          <w:lang w:val="pl-PL"/>
        </w:rPr>
        <w:fldChar w:fldCharType="end"/>
      </w:r>
      <w:r w:rsidRPr="00F00BB6">
        <w:rPr>
          <w:lang w:val="pl-PL"/>
        </w:rPr>
        <w:t>.  Trybunał uważa, że w świetle wyraźnej aprobaty skarżących dla warunków zawartych w oświadczeniu Rządu należy uznać, że między stronami doszło do polubownego rozstrzygnięcia. Trybunał przyjmuje do wiadomości ugodę w odniesieniu do wyżej wymienionego zarzutu i uważa, że opiera się on</w:t>
      </w:r>
      <w:r w:rsidR="00F272CC">
        <w:rPr>
          <w:lang w:val="pl-PL"/>
        </w:rPr>
        <w:t>a</w:t>
      </w:r>
      <w:r w:rsidRPr="00F00BB6">
        <w:rPr>
          <w:lang w:val="pl-PL"/>
        </w:rPr>
        <w:t xml:space="preserve"> na poszanowaniu praw człowieka uznanych w Konwencji i jej protokołach. Trybunał nie widzi również podstaw do dalszego badania tej części skargi.</w:t>
      </w:r>
    </w:p>
    <w:p w14:paraId="1E993530" w14:textId="5FDCB698"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12</w:t>
      </w:r>
      <w:r w:rsidRPr="00F00BB6">
        <w:rPr>
          <w:noProof/>
          <w:lang w:val="pl-PL"/>
        </w:rPr>
        <w:fldChar w:fldCharType="end"/>
      </w:r>
      <w:r w:rsidRPr="00F00BB6">
        <w:rPr>
          <w:lang w:val="pl-PL"/>
        </w:rPr>
        <w:t xml:space="preserve">.  Należy zatem </w:t>
      </w:r>
      <w:r w:rsidR="003F31DE">
        <w:rPr>
          <w:lang w:val="pl-PL"/>
        </w:rPr>
        <w:t>s</w:t>
      </w:r>
      <w:r w:rsidRPr="00F00BB6">
        <w:rPr>
          <w:lang w:val="pl-PL"/>
        </w:rPr>
        <w:t>kreślić tę część skargi z listy spraw</w:t>
      </w:r>
      <w:r w:rsidRPr="00F00BB6">
        <w:rPr>
          <w:rFonts w:ascii="Arial" w:hAnsi="Arial"/>
          <w:color w:val="000000"/>
          <w:lang w:val="pl-PL"/>
        </w:rPr>
        <w:t xml:space="preserve"> </w:t>
      </w:r>
      <w:r w:rsidRPr="00F00BB6">
        <w:rPr>
          <w:lang w:val="pl-PL"/>
        </w:rPr>
        <w:t>na podstawie art.</w:t>
      </w:r>
      <w:r w:rsidR="009C1390" w:rsidRPr="00F00BB6">
        <w:rPr>
          <w:lang w:val="pl-PL"/>
        </w:rPr>
        <w:t> </w:t>
      </w:r>
      <w:r w:rsidRPr="00F00BB6">
        <w:rPr>
          <w:lang w:val="pl-PL"/>
        </w:rPr>
        <w:t>39 Konwencji w zakresie, w jakim odnosi się do zarzutu, o którym mowa powyżej.</w:t>
      </w:r>
    </w:p>
    <w:p w14:paraId="769A36EB" w14:textId="4EB0D25A" w:rsidR="00227BCF" w:rsidRPr="00F00BB6" w:rsidRDefault="00227BCF" w:rsidP="00384BCF">
      <w:pPr>
        <w:pStyle w:val="JuHIRoman"/>
        <w:rPr>
          <w:lang w:val="pl-PL"/>
        </w:rPr>
      </w:pPr>
      <w:r w:rsidRPr="00F00BB6">
        <w:rPr>
          <w:bCs w:val="0"/>
          <w:lang w:val="pl-PL"/>
        </w:rPr>
        <w:t>W PRZEDMIOCIE DOMNIEMANEGO NARUSZENIA ART.</w:t>
      </w:r>
      <w:r w:rsidR="009C1390" w:rsidRPr="00F00BB6">
        <w:rPr>
          <w:bCs w:val="0"/>
          <w:lang w:val="pl-PL"/>
        </w:rPr>
        <w:t> </w:t>
      </w:r>
      <w:r w:rsidRPr="00F00BB6">
        <w:rPr>
          <w:bCs w:val="0"/>
          <w:lang w:val="pl-PL"/>
        </w:rPr>
        <w:t>3</w:t>
      </w:r>
      <w:r w:rsidR="009C1390" w:rsidRPr="00F00BB6">
        <w:rPr>
          <w:bCs w:val="0"/>
          <w:lang w:val="pl-PL"/>
        </w:rPr>
        <w:t> </w:t>
      </w:r>
      <w:r w:rsidRPr="00F00BB6">
        <w:rPr>
          <w:bCs w:val="0"/>
          <w:lang w:val="pl-PL"/>
        </w:rPr>
        <w:t>KONWENCJI</w:t>
      </w:r>
    </w:p>
    <w:p w14:paraId="1539D653" w14:textId="146D3666" w:rsidR="00227BCF" w:rsidRPr="00F00BB6" w:rsidRDefault="00227BCF" w:rsidP="00384BCF">
      <w:pPr>
        <w:pStyle w:val="JuPara"/>
        <w:rPr>
          <w:lang w:val="pl-PL"/>
        </w:rPr>
      </w:pPr>
      <w:r w:rsidRPr="00F00BB6">
        <w:rPr>
          <w:rStyle w:val="JuParaChar"/>
          <w:lang w:val="pl-PL"/>
        </w:rPr>
        <w:fldChar w:fldCharType="begin"/>
      </w:r>
      <w:r w:rsidRPr="00F00BB6">
        <w:rPr>
          <w:rStyle w:val="JuParaChar"/>
          <w:lang w:val="pl-PL"/>
        </w:rPr>
        <w:instrText xml:space="preserve"> SEQ level0 \*arabic \* MERGEFORMAT </w:instrText>
      </w:r>
      <w:r w:rsidRPr="00F00BB6">
        <w:rPr>
          <w:rStyle w:val="JuParaChar"/>
          <w:lang w:val="pl-PL"/>
        </w:rPr>
        <w:fldChar w:fldCharType="separate"/>
      </w:r>
      <w:r w:rsidRPr="00F00BB6">
        <w:rPr>
          <w:rStyle w:val="JuParaChar"/>
          <w:noProof/>
          <w:lang w:val="pl-PL"/>
        </w:rPr>
        <w:t>13</w:t>
      </w:r>
      <w:r w:rsidRPr="00F00BB6">
        <w:rPr>
          <w:rStyle w:val="JuParaChar"/>
          <w:lang w:val="pl-PL"/>
        </w:rPr>
        <w:fldChar w:fldCharType="end"/>
      </w:r>
      <w:r w:rsidRPr="00F00BB6">
        <w:rPr>
          <w:rStyle w:val="JuParaChar"/>
          <w:lang w:val="pl-PL"/>
        </w:rPr>
        <w:t>.  Rząd stwierdził, że nie wyczerpano krajowych środków odwoławczych, ponieważ skarżący nie wnieśli powództwa o odszkodowanie na podstawie art. 23 i 24 Kodeksu cywilnego. Uznaje, że nie doszło do naruszenia art. 3 Konwencji, ponieważ obserwacja medyczna i</w:t>
      </w:r>
      <w:r w:rsidR="009C1390" w:rsidRPr="00F00BB6">
        <w:rPr>
          <w:rStyle w:val="JuParaChar"/>
          <w:lang w:val="pl-PL"/>
        </w:rPr>
        <w:t> </w:t>
      </w:r>
      <w:r w:rsidRPr="00F00BB6">
        <w:rPr>
          <w:rStyle w:val="JuParaChar"/>
          <w:lang w:val="pl-PL"/>
        </w:rPr>
        <w:t xml:space="preserve">psychologiczna drugiego skarżącego w ośrodku detencyjnym była odpowiednia i został on zwolniony bezzwłocznie po otrzymaniu przez właściwe władze opinii lekarskiej w tym zakresie. Rząd podnosi, że objawy </w:t>
      </w:r>
      <w:r w:rsidRPr="00F00BB6">
        <w:rPr>
          <w:rStyle w:val="JuParaChar"/>
          <w:lang w:val="pl-PL"/>
        </w:rPr>
        <w:lastRenderedPageBreak/>
        <w:t xml:space="preserve">psychosomatyczne pogarszające stan drugiego skarżącego podczas jego pobytu w ośrodku detencyjnym </w:t>
      </w:r>
      <w:r w:rsidRPr="00F00BB6">
        <w:rPr>
          <w:lang w:val="pl-PL"/>
        </w:rPr>
        <w:t>miały związek z próbami opuszczenia przedmiotowego ośrodka przez rodziców skarżącego.</w:t>
      </w:r>
    </w:p>
    <w:p w14:paraId="66DFF8DB" w14:textId="51711449"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14</w:t>
      </w:r>
      <w:r w:rsidRPr="00F00BB6">
        <w:rPr>
          <w:noProof/>
          <w:lang w:val="pl-PL"/>
        </w:rPr>
        <w:fldChar w:fldCharType="end"/>
      </w:r>
      <w:r w:rsidRPr="00F00BB6">
        <w:rPr>
          <w:lang w:val="pl-PL"/>
        </w:rPr>
        <w:t>.  Po pierwsze skarżący podnieśli, że środek odwoławczy zaproponowany przez Rząd był nieskuteczny, a po drugie, że doszło do naruszenia art. 3 Konwencji w odniesieniu do skarżących</w:t>
      </w:r>
      <w:r w:rsidR="003F31DE">
        <w:rPr>
          <w:lang w:val="pl-PL"/>
        </w:rPr>
        <w:t xml:space="preserve"> dzieci</w:t>
      </w:r>
      <w:r w:rsidRPr="00F00BB6">
        <w:rPr>
          <w:lang w:val="pl-PL"/>
        </w:rPr>
        <w:t>.</w:t>
      </w:r>
    </w:p>
    <w:p w14:paraId="395AC712" w14:textId="3950FC6F"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15</w:t>
      </w:r>
      <w:r w:rsidRPr="00F00BB6">
        <w:rPr>
          <w:noProof/>
          <w:lang w:val="pl-PL"/>
        </w:rPr>
        <w:fldChar w:fldCharType="end"/>
      </w:r>
      <w:r w:rsidRPr="00F00BB6">
        <w:rPr>
          <w:lang w:val="pl-PL"/>
        </w:rPr>
        <w:t>.  Trybunał uważa, że orzekanie w przedmiocie sprzeciwu Rządu nie jest konieczne, zważywszy, że zarzut jest w każdym razie niedopuszczalny z</w:t>
      </w:r>
      <w:r w:rsidR="009C1390" w:rsidRPr="00F00BB6">
        <w:rPr>
          <w:lang w:val="pl-PL"/>
        </w:rPr>
        <w:t> </w:t>
      </w:r>
      <w:r w:rsidRPr="00F00BB6">
        <w:rPr>
          <w:lang w:val="pl-PL"/>
        </w:rPr>
        <w:t>powodów przedstawionych poniżej.</w:t>
      </w:r>
    </w:p>
    <w:p w14:paraId="11B27BF2" w14:textId="75FE0941"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16</w:t>
      </w:r>
      <w:r w:rsidRPr="00F00BB6">
        <w:rPr>
          <w:noProof/>
          <w:lang w:val="pl-PL"/>
        </w:rPr>
        <w:fldChar w:fldCharType="end"/>
      </w:r>
      <w:r w:rsidRPr="00F00BB6">
        <w:rPr>
          <w:lang w:val="pl-PL"/>
        </w:rPr>
        <w:t xml:space="preserve">.  Zasady mające zastosowanie do traktowania osób </w:t>
      </w:r>
      <w:r w:rsidR="00DE09DB">
        <w:rPr>
          <w:lang w:val="pl-PL"/>
        </w:rPr>
        <w:t>zatrzymanych w kontekście imigracji</w:t>
      </w:r>
      <w:r w:rsidRPr="00F00BB6">
        <w:rPr>
          <w:lang w:val="pl-PL"/>
        </w:rPr>
        <w:t xml:space="preserve"> szczegółowo określono w wyroku w sprawie </w:t>
      </w:r>
      <w:r w:rsidRPr="00F00BB6">
        <w:rPr>
          <w:i/>
          <w:iCs/>
          <w:lang w:val="pl-PL"/>
        </w:rPr>
        <w:t xml:space="preserve">Khlaifia i Inni przeciwko Włochom </w:t>
      </w:r>
      <w:r w:rsidRPr="00F00BB6">
        <w:rPr>
          <w:lang w:val="pl-PL"/>
        </w:rPr>
        <w:t xml:space="preserve">([WI], nr 16483/12, </w:t>
      </w:r>
      <w:r w:rsidR="003F31DE">
        <w:rPr>
          <w:lang w:val="pl-PL"/>
        </w:rPr>
        <w:t>§</w:t>
      </w:r>
      <w:r w:rsidR="0017555D" w:rsidRPr="00F00BB6">
        <w:rPr>
          <w:lang w:val="pl-PL"/>
        </w:rPr>
        <w:t xml:space="preserve"> </w:t>
      </w:r>
      <w:r w:rsidRPr="00F00BB6">
        <w:rPr>
          <w:lang w:val="pl-PL"/>
        </w:rPr>
        <w:t>158–167, ETPC 2016), a</w:t>
      </w:r>
      <w:r w:rsidR="0083676C">
        <w:rPr>
          <w:lang w:val="pl-PL"/>
        </w:rPr>
        <w:t> </w:t>
      </w:r>
      <w:r w:rsidRPr="00F00BB6">
        <w:rPr>
          <w:lang w:val="pl-PL"/>
        </w:rPr>
        <w:t xml:space="preserve">zasady dotyczące zatrzymania nieletnich określono w wyroku w sprawie </w:t>
      </w:r>
      <w:r w:rsidRPr="00F00BB6">
        <w:rPr>
          <w:i/>
          <w:iCs/>
          <w:lang w:val="pl-PL"/>
        </w:rPr>
        <w:t>R.R. i Inni przeciwko Węgrom</w:t>
      </w:r>
      <w:r w:rsidRPr="00F00BB6">
        <w:rPr>
          <w:lang w:val="pl-PL"/>
        </w:rPr>
        <w:t xml:space="preserve"> (nr 36037/17, </w:t>
      </w:r>
      <w:r w:rsidR="003F31DE">
        <w:rPr>
          <w:lang w:val="pl-PL"/>
        </w:rPr>
        <w:t>§</w:t>
      </w:r>
      <w:r w:rsidR="00B54B39">
        <w:rPr>
          <w:lang w:val="pl-PL"/>
        </w:rPr>
        <w:t> </w:t>
      </w:r>
      <w:r w:rsidRPr="00F00BB6">
        <w:rPr>
          <w:lang w:val="pl-PL"/>
        </w:rPr>
        <w:t>49, 2 marca 2021 r.).</w:t>
      </w:r>
    </w:p>
    <w:p w14:paraId="42EE8A9A" w14:textId="4DEA9FA7"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17</w:t>
      </w:r>
      <w:r w:rsidRPr="00F00BB6">
        <w:rPr>
          <w:noProof/>
          <w:lang w:val="pl-PL"/>
        </w:rPr>
        <w:fldChar w:fldCharType="end"/>
      </w:r>
      <w:r w:rsidRPr="00F00BB6">
        <w:rPr>
          <w:lang w:val="pl-PL"/>
        </w:rPr>
        <w:t xml:space="preserve">.  Trybunał zauważa, że osoby zainteresowane w niniejszej sprawie nie tylko nie skarżyły się na swoje materialne warunki przyjęcia w ośrodku </w:t>
      </w:r>
      <w:r w:rsidR="00D555DF">
        <w:rPr>
          <w:lang w:val="pl-PL"/>
        </w:rPr>
        <w:t>strzeżonym</w:t>
      </w:r>
      <w:r w:rsidRPr="00F00BB6">
        <w:rPr>
          <w:lang w:val="pl-PL"/>
        </w:rPr>
        <w:t xml:space="preserve">, lecz także twierdziły, że warunki tam panujące były odpowiednie do przyjmowania rodzin. Warunki życia w ośrodku </w:t>
      </w:r>
      <w:r w:rsidR="00D555DF">
        <w:rPr>
          <w:lang w:val="pl-PL"/>
        </w:rPr>
        <w:t>strzeżonym</w:t>
      </w:r>
      <w:r w:rsidRPr="00F00BB6">
        <w:rPr>
          <w:lang w:val="pl-PL"/>
        </w:rPr>
        <w:t xml:space="preserve"> w Kętrzynie zostały również pozytywnie ocenione przez jedną z głównych polskich organizacji pozarządowych (zob. </w:t>
      </w:r>
      <w:r w:rsidRPr="00F00BB6">
        <w:rPr>
          <w:i/>
          <w:iCs/>
          <w:lang w:val="pl-PL"/>
        </w:rPr>
        <w:t>Bistieva</w:t>
      </w:r>
      <w:r w:rsidRPr="00F00BB6">
        <w:rPr>
          <w:lang w:val="pl-PL"/>
        </w:rPr>
        <w:t xml:space="preserve">, </w:t>
      </w:r>
      <w:proofErr w:type="spellStart"/>
      <w:r w:rsidRPr="00F00BB6">
        <w:rPr>
          <w:i/>
          <w:iCs/>
          <w:lang w:val="pl-PL"/>
        </w:rPr>
        <w:t>op.cit</w:t>
      </w:r>
      <w:proofErr w:type="spellEnd"/>
      <w:r w:rsidRPr="00F00BB6">
        <w:rPr>
          <w:i/>
          <w:iCs/>
          <w:lang w:val="pl-PL"/>
        </w:rPr>
        <w:t>.</w:t>
      </w:r>
      <w:r w:rsidRPr="00F00BB6">
        <w:rPr>
          <w:lang w:val="pl-PL"/>
        </w:rPr>
        <w:t xml:space="preserve">, </w:t>
      </w:r>
      <w:r w:rsidR="003F31DE">
        <w:rPr>
          <w:lang w:val="pl-PL"/>
        </w:rPr>
        <w:t>§</w:t>
      </w:r>
      <w:r w:rsidR="0017555D">
        <w:rPr>
          <w:lang w:val="pl-PL"/>
        </w:rPr>
        <w:t> </w:t>
      </w:r>
      <w:r w:rsidRPr="00F00BB6">
        <w:rPr>
          <w:lang w:val="pl-PL"/>
        </w:rPr>
        <w:t>84). Zarzut ten w zakresie, w jakim dotyczy wieku skarżących</w:t>
      </w:r>
      <w:r w:rsidR="003F31DE">
        <w:rPr>
          <w:lang w:val="pl-PL"/>
        </w:rPr>
        <w:t xml:space="preserve"> dzieci</w:t>
      </w:r>
      <w:r w:rsidRPr="00F00BB6">
        <w:rPr>
          <w:lang w:val="pl-PL"/>
        </w:rPr>
        <w:t xml:space="preserve">, długości pobytu w ośrodku </w:t>
      </w:r>
      <w:r w:rsidR="003F31DE">
        <w:rPr>
          <w:lang w:val="pl-PL"/>
        </w:rPr>
        <w:t>strzeżonym</w:t>
      </w:r>
      <w:r w:rsidRPr="00F00BB6">
        <w:rPr>
          <w:lang w:val="pl-PL"/>
        </w:rPr>
        <w:t xml:space="preserve"> oraz dodatkowych czynników, o</w:t>
      </w:r>
      <w:r w:rsidR="00DD2693">
        <w:rPr>
          <w:lang w:val="pl-PL"/>
        </w:rPr>
        <w:t> </w:t>
      </w:r>
      <w:r w:rsidRPr="00F00BB6">
        <w:rPr>
          <w:lang w:val="pl-PL"/>
        </w:rPr>
        <w:t xml:space="preserve">których mowa w </w:t>
      </w:r>
      <w:r w:rsidR="00F83DA3">
        <w:rPr>
          <w:lang w:val="pl-PL"/>
        </w:rPr>
        <w:t>pkt</w:t>
      </w:r>
      <w:r w:rsidR="003F31DE">
        <w:rPr>
          <w:lang w:val="pl-PL"/>
        </w:rPr>
        <w:t>.</w:t>
      </w:r>
      <w:r w:rsidR="00F83DA3" w:rsidRPr="00F00BB6">
        <w:rPr>
          <w:lang w:val="pl-PL"/>
        </w:rPr>
        <w:t xml:space="preserve"> </w:t>
      </w:r>
      <w:r w:rsidRPr="00F00BB6">
        <w:rPr>
          <w:lang w:val="pl-PL"/>
        </w:rPr>
        <w:t xml:space="preserve">8 powyżej – które to czynniki są nieodłącznie związane z pobytem w strukturach podobnych do ośrodka </w:t>
      </w:r>
      <w:r w:rsidR="00F83DA3">
        <w:rPr>
          <w:lang w:val="pl-PL"/>
        </w:rPr>
        <w:t>dete</w:t>
      </w:r>
      <w:r w:rsidRPr="00F00BB6">
        <w:rPr>
          <w:lang w:val="pl-PL"/>
        </w:rPr>
        <w:t>n</w:t>
      </w:r>
      <w:r w:rsidR="00F83DA3">
        <w:rPr>
          <w:lang w:val="pl-PL"/>
        </w:rPr>
        <w:t>cyjn</w:t>
      </w:r>
      <w:r w:rsidRPr="00F00BB6">
        <w:rPr>
          <w:lang w:val="pl-PL"/>
        </w:rPr>
        <w:t>ego – łączy się z</w:t>
      </w:r>
      <w:r w:rsidR="009C1390" w:rsidRPr="00F00BB6">
        <w:rPr>
          <w:lang w:val="pl-PL"/>
        </w:rPr>
        <w:t> </w:t>
      </w:r>
      <w:r w:rsidRPr="00F00BB6">
        <w:rPr>
          <w:lang w:val="pl-PL"/>
        </w:rPr>
        <w:t xml:space="preserve">zarzutem, który Rząd uznał </w:t>
      </w:r>
      <w:r w:rsidR="009C78A9">
        <w:rPr>
          <w:lang w:val="pl-PL"/>
        </w:rPr>
        <w:t xml:space="preserve">za </w:t>
      </w:r>
      <w:r w:rsidRPr="00F00BB6">
        <w:rPr>
          <w:lang w:val="pl-PL"/>
        </w:rPr>
        <w:t xml:space="preserve">naruszenie art. 8 Konwencji i który był przedmiotem ugody polubownej między stronami (zob. </w:t>
      </w:r>
      <w:r w:rsidR="0017555D">
        <w:rPr>
          <w:lang w:val="pl-PL"/>
        </w:rPr>
        <w:t>pkt </w:t>
      </w:r>
      <w:r w:rsidRPr="00F00BB6">
        <w:rPr>
          <w:lang w:val="pl-PL"/>
        </w:rPr>
        <w:t xml:space="preserve">9–11 powyżej). W związku z tym nie ma potrzeby rozpatrywania dodatkowych zarzutów podniesionych na podstawie art. 3. Zarzuty skarżących dotyczące hałasu spowodowanego remontem ośrodka </w:t>
      </w:r>
      <w:r w:rsidR="007D58B2">
        <w:rPr>
          <w:lang w:val="pl-PL"/>
        </w:rPr>
        <w:t xml:space="preserve">detencyjnego </w:t>
      </w:r>
      <w:r w:rsidRPr="00F00BB6">
        <w:rPr>
          <w:lang w:val="pl-PL"/>
        </w:rPr>
        <w:t>nie zostały przez nich uzasadnione.</w:t>
      </w:r>
    </w:p>
    <w:p w14:paraId="54481687" w14:textId="138DDC91" w:rsidR="00227BCF" w:rsidRPr="00F00BB6" w:rsidRDefault="00901745" w:rsidP="00384BCF">
      <w:pPr>
        <w:pStyle w:val="JuPara"/>
        <w:rPr>
          <w:lang w:val="pl-PL"/>
        </w:rPr>
      </w:pPr>
      <w:r w:rsidRPr="00F00BB6">
        <w:rPr>
          <w:lang w:val="pl-PL"/>
        </w:rPr>
        <w:fldChar w:fldCharType="begin"/>
      </w:r>
      <w:r w:rsidRPr="00F00BB6">
        <w:rPr>
          <w:lang w:val="pl-PL"/>
        </w:rPr>
        <w:instrText xml:space="preserve"> SEQ level0 \*arabic \* MERGEFORMAT </w:instrText>
      </w:r>
      <w:r w:rsidRPr="00F00BB6">
        <w:rPr>
          <w:lang w:val="pl-PL"/>
        </w:rPr>
        <w:fldChar w:fldCharType="separate"/>
      </w:r>
      <w:r w:rsidR="00520539" w:rsidRPr="00F00BB6">
        <w:rPr>
          <w:noProof/>
          <w:lang w:val="pl-PL"/>
        </w:rPr>
        <w:t>18</w:t>
      </w:r>
      <w:r w:rsidRPr="00F00BB6">
        <w:rPr>
          <w:noProof/>
          <w:lang w:val="pl-PL"/>
        </w:rPr>
        <w:fldChar w:fldCharType="end"/>
      </w:r>
      <w:r w:rsidR="00520539" w:rsidRPr="00F00BB6">
        <w:rPr>
          <w:lang w:val="pl-PL"/>
        </w:rPr>
        <w:t xml:space="preserve">.  Adekwatność stanu zdrowia drugiego skarżącego do jego przetrzymywania w ośrodku </w:t>
      </w:r>
      <w:r w:rsidR="00D555DF">
        <w:rPr>
          <w:lang w:val="pl-PL"/>
        </w:rPr>
        <w:t>strzeżonym</w:t>
      </w:r>
      <w:r w:rsidR="00520539" w:rsidRPr="00F00BB6">
        <w:rPr>
          <w:lang w:val="pl-PL"/>
        </w:rPr>
        <w:t xml:space="preserve"> była badana w regularnych odstępach czasu przez sądy krajowe, które orzekały na podstawie informacji zawartych w jego dokumentacji medycznej. Jak wynika z uzasadnień podanych przez właściwe sądy, sytuacja drugiego skarżącego podczas pierwszych czterech miesięcy jego pobytu w ośrodku detencyjnym nie budziła szczególnego niepokoju w oczach właściwych władz, z wyjątkiem kilku objawów nocnego moczenia, na które skarżący cierpiał, a z powodu których był pod obserwacją psychologa spoza ośrodka. W rozpatrywanym czasie zainteresowany brał udział w zajęciach edukacyjnych i rekreacyjnych oferowanych w ośrodku detencyjnym i nie wykazywał szczególnych problemów z integracją szkolną ani społeczną. Stan psychosomatyczny drugiego skarżącego uległ następnie pogorszeniu z przyczyn, których nie można w pełni wyjaśnić. To pogorszenie jego stanu psychosomatycznego nastąpiło wkrótce po bezskutecznym wniosku o udzielenie azylu złożonym </w:t>
      </w:r>
      <w:r w:rsidR="00520539" w:rsidRPr="00F00BB6">
        <w:rPr>
          <w:lang w:val="pl-PL"/>
        </w:rPr>
        <w:lastRenderedPageBreak/>
        <w:t>przez małżonka pierwszej skarżącej i ojca jej dzieci i przejawiało się apatią drugiego skarżącego i brakiem zainteresowania interakcjami społecznymi. Właściwe władze nie pozostały bezczynne w obliczu tej sytuacji, ale zgodnie z odpowiednimi zaleceniami medycznymi zdecydowały się kontynuować obserwację i psychoterapię drugiego skarżącego oraz podawać mu leki. Wobec braku oczekiwanej poprawy stanu zdrowia skarżącego oraz w</w:t>
      </w:r>
      <w:r w:rsidR="00913B1D">
        <w:rPr>
          <w:lang w:val="pl-PL"/>
        </w:rPr>
        <w:t> </w:t>
      </w:r>
      <w:r w:rsidR="00520539" w:rsidRPr="00F00BB6">
        <w:rPr>
          <w:lang w:val="pl-PL"/>
        </w:rPr>
        <w:t>następstwie doniesień zaangażowanych w jego terapię specjalistów o</w:t>
      </w:r>
      <w:r w:rsidR="00913B1D">
        <w:rPr>
          <w:lang w:val="pl-PL"/>
        </w:rPr>
        <w:t> </w:t>
      </w:r>
      <w:r w:rsidR="00520539" w:rsidRPr="00F00BB6">
        <w:rPr>
          <w:lang w:val="pl-PL"/>
        </w:rPr>
        <w:t xml:space="preserve">rzekomym braku zaangażowania rodziców skarżącego w jego obserwację drugi skarżący został zwolniony z ośrodka detencyjnego kilka dni po otrzymaniu przez właściwe władze stosownej opinii lekarskiej. Opieka medyczna i obserwacja psychologiczna drugiego skarżącego w ośrodku </w:t>
      </w:r>
      <w:r w:rsidR="00D555DF">
        <w:rPr>
          <w:lang w:val="pl-PL"/>
        </w:rPr>
        <w:t>strzeżonym</w:t>
      </w:r>
      <w:r w:rsidR="00520539" w:rsidRPr="00F00BB6">
        <w:rPr>
          <w:lang w:val="pl-PL"/>
        </w:rPr>
        <w:t xml:space="preserve"> zostały ocenione pozytywnie przez sądy krajowe, które zauważyły między innymi, że skarżący wielokrotnie rozmawiał z</w:t>
      </w:r>
      <w:r w:rsidR="009C1390" w:rsidRPr="00F00BB6">
        <w:rPr>
          <w:lang w:val="pl-PL"/>
        </w:rPr>
        <w:t> </w:t>
      </w:r>
      <w:r w:rsidR="00520539" w:rsidRPr="00F00BB6">
        <w:rPr>
          <w:lang w:val="pl-PL"/>
        </w:rPr>
        <w:t>psychologami i psychiatrą dziecięcym oraz otrzymał opiekę, jakiej wymagał jego stan zdrowia.</w:t>
      </w:r>
    </w:p>
    <w:p w14:paraId="6C95180D" w14:textId="248E6568"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19</w:t>
      </w:r>
      <w:r w:rsidRPr="00F00BB6">
        <w:rPr>
          <w:noProof/>
          <w:lang w:val="pl-PL"/>
        </w:rPr>
        <w:fldChar w:fldCharType="end"/>
      </w:r>
      <w:r w:rsidRPr="00F00BB6">
        <w:rPr>
          <w:lang w:val="pl-PL"/>
        </w:rPr>
        <w:t xml:space="preserve">.  Mając na uwadze wszystkie posiadane dowody oraz szczególne okoliczności niniejszej sprawy, Trybunał uznaje, że zatrzymanie w ośrodku </w:t>
      </w:r>
      <w:r w:rsidR="00D56FF5">
        <w:rPr>
          <w:lang w:val="pl-PL"/>
        </w:rPr>
        <w:t>strzeżonym</w:t>
      </w:r>
      <w:r w:rsidRPr="00F00BB6">
        <w:rPr>
          <w:lang w:val="pl-PL"/>
        </w:rPr>
        <w:t xml:space="preserve"> drugiego skarżącego, któremu w okresie zatrzymania towarzyszyła rodzina i którego stan zdrowia był ściśle monitorowany przez wykwalifikowanych pracowników medycznych, nie było sprzeczne z art. 3 Konwencji. Dlatego Trybunał uznaje przedmiotowy zarzut za w sposób oczywisty nieuzasadniony i oddala go zgodnie z art. 35 ust. 3 lit. a i</w:t>
      </w:r>
      <w:r w:rsidR="009C1390" w:rsidRPr="00F00BB6">
        <w:rPr>
          <w:lang w:val="pl-PL"/>
        </w:rPr>
        <w:t> </w:t>
      </w:r>
      <w:r w:rsidR="00107387">
        <w:rPr>
          <w:lang w:val="pl-PL"/>
        </w:rPr>
        <w:t xml:space="preserve">art. 35 </w:t>
      </w:r>
      <w:r w:rsidRPr="00F00BB6">
        <w:rPr>
          <w:lang w:val="pl-PL"/>
        </w:rPr>
        <w:t>ust.</w:t>
      </w:r>
      <w:r w:rsidR="009C1390" w:rsidRPr="00F00BB6">
        <w:rPr>
          <w:lang w:val="pl-PL"/>
        </w:rPr>
        <w:t> </w:t>
      </w:r>
      <w:r w:rsidRPr="00F00BB6">
        <w:rPr>
          <w:lang w:val="pl-PL"/>
        </w:rPr>
        <w:t>4</w:t>
      </w:r>
      <w:r w:rsidR="009C1390" w:rsidRPr="00F00BB6">
        <w:rPr>
          <w:lang w:val="pl-PL"/>
        </w:rPr>
        <w:t> </w:t>
      </w:r>
      <w:r w:rsidRPr="00F00BB6">
        <w:rPr>
          <w:lang w:val="pl-PL"/>
        </w:rPr>
        <w:t>Konwencji.</w:t>
      </w:r>
    </w:p>
    <w:p w14:paraId="2EC890DA" w14:textId="05D5160F" w:rsidR="00227BCF" w:rsidRPr="00F00BB6" w:rsidRDefault="00227BCF" w:rsidP="00384BCF">
      <w:pPr>
        <w:pStyle w:val="JuHIRoman"/>
        <w:rPr>
          <w:lang w:val="pl-PL"/>
        </w:rPr>
      </w:pPr>
      <w:r w:rsidRPr="00F00BB6">
        <w:rPr>
          <w:bCs w:val="0"/>
          <w:lang w:val="pl-PL"/>
        </w:rPr>
        <w:t>W PRZEDMIOCIE DOMNIEMANEGO NARUSZENIA ART. 5 UST.</w:t>
      </w:r>
      <w:r w:rsidR="00524F1F">
        <w:rPr>
          <w:bCs w:val="0"/>
          <w:lang w:val="pl-PL"/>
        </w:rPr>
        <w:t> </w:t>
      </w:r>
      <w:r w:rsidRPr="00F00BB6">
        <w:rPr>
          <w:bCs w:val="0"/>
          <w:lang w:val="pl-PL"/>
        </w:rPr>
        <w:t xml:space="preserve">1 lit. f i </w:t>
      </w:r>
      <w:r w:rsidR="00524F1F">
        <w:rPr>
          <w:bCs w:val="0"/>
          <w:lang w:val="pl-PL"/>
        </w:rPr>
        <w:t xml:space="preserve">art. 5 </w:t>
      </w:r>
      <w:r w:rsidRPr="00F00BB6">
        <w:rPr>
          <w:bCs w:val="0"/>
          <w:lang w:val="pl-PL"/>
        </w:rPr>
        <w:t>UST. 4 KONWENCJI</w:t>
      </w:r>
    </w:p>
    <w:p w14:paraId="5F69C4D9" w14:textId="5ABBF7AB"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20</w:t>
      </w:r>
      <w:r w:rsidRPr="00F00BB6">
        <w:rPr>
          <w:noProof/>
          <w:lang w:val="pl-PL"/>
        </w:rPr>
        <w:fldChar w:fldCharType="end"/>
      </w:r>
      <w:r w:rsidRPr="00F00BB6">
        <w:rPr>
          <w:lang w:val="pl-PL"/>
        </w:rPr>
        <w:t xml:space="preserve">.  Skarżący podnieśli zarzuty na podstawie art. 5 ust. 1 lit. f i </w:t>
      </w:r>
      <w:r w:rsidR="00183A8A" w:rsidRPr="00F00BB6">
        <w:rPr>
          <w:lang w:val="pl-PL"/>
        </w:rPr>
        <w:t>art. 5</w:t>
      </w:r>
      <w:r w:rsidR="00183A8A">
        <w:rPr>
          <w:lang w:val="pl-PL"/>
        </w:rPr>
        <w:t xml:space="preserve"> </w:t>
      </w:r>
      <w:r w:rsidRPr="00F00BB6">
        <w:rPr>
          <w:lang w:val="pl-PL"/>
        </w:rPr>
        <w:t>ust.</w:t>
      </w:r>
      <w:r w:rsidR="00183A8A">
        <w:rPr>
          <w:lang w:val="pl-PL"/>
        </w:rPr>
        <w:t> </w:t>
      </w:r>
      <w:r w:rsidRPr="00F00BB6">
        <w:rPr>
          <w:lang w:val="pl-PL"/>
        </w:rPr>
        <w:t xml:space="preserve">4 Konwencji (zob. </w:t>
      </w:r>
      <w:r w:rsidR="001E2F7E">
        <w:rPr>
          <w:lang w:val="pl-PL"/>
        </w:rPr>
        <w:t>pkt</w:t>
      </w:r>
      <w:r w:rsidR="001E2F7E" w:rsidRPr="00F00BB6">
        <w:rPr>
          <w:lang w:val="pl-PL"/>
        </w:rPr>
        <w:t xml:space="preserve"> </w:t>
      </w:r>
      <w:r w:rsidRPr="00F00BB6">
        <w:rPr>
          <w:lang w:val="pl-PL"/>
        </w:rPr>
        <w:t>8 powyżej), w których to zarzutach również poruszono kwestie na gruncie Konwencji, zgodnie z ugruntowanym orzecznictwem Trybunału.</w:t>
      </w:r>
    </w:p>
    <w:p w14:paraId="5A548917" w14:textId="6519E95D"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21</w:t>
      </w:r>
      <w:r w:rsidRPr="00F00BB6">
        <w:rPr>
          <w:noProof/>
          <w:lang w:val="pl-PL"/>
        </w:rPr>
        <w:fldChar w:fldCharType="end"/>
      </w:r>
      <w:r w:rsidRPr="00F00BB6">
        <w:rPr>
          <w:lang w:val="pl-PL"/>
        </w:rPr>
        <w:t>.  Rząd utrzymuje, że skarżący nie wyczerpali krajowych środków odwoławczych, ponieważ nie wnieśli powództwa o odszkodowanie na podstawie art. 407 ustawy o cudzoziemcach.</w:t>
      </w:r>
    </w:p>
    <w:p w14:paraId="75821D8E" w14:textId="33BB9C88" w:rsidR="00227BCF" w:rsidRPr="00F00BB6" w:rsidRDefault="00901745" w:rsidP="00384BCF">
      <w:pPr>
        <w:pStyle w:val="JuPara"/>
        <w:ind w:right="-13"/>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22</w:t>
      </w:r>
      <w:r w:rsidRPr="00F00BB6">
        <w:rPr>
          <w:noProof/>
          <w:lang w:val="pl-PL"/>
        </w:rPr>
        <w:fldChar w:fldCharType="end"/>
      </w:r>
      <w:r w:rsidRPr="00F00BB6">
        <w:rPr>
          <w:lang w:val="pl-PL"/>
        </w:rPr>
        <w:t>.  W zakresie dotyczącym zarzutu naruszenia art. 5 ust. 1 lit. f</w:t>
      </w:r>
      <w:r w:rsidR="00D56FF5">
        <w:rPr>
          <w:lang w:val="pl-PL"/>
        </w:rPr>
        <w:t xml:space="preserve"> </w:t>
      </w:r>
      <w:r w:rsidRPr="00F00BB6">
        <w:rPr>
          <w:lang w:val="pl-PL"/>
        </w:rPr>
        <w:t>Konwencji w odniesieniu do pierwsze</w:t>
      </w:r>
      <w:r w:rsidR="00157B2B">
        <w:rPr>
          <w:lang w:val="pl-PL"/>
        </w:rPr>
        <w:t>j</w:t>
      </w:r>
      <w:r w:rsidRPr="00F00BB6">
        <w:rPr>
          <w:lang w:val="pl-PL"/>
        </w:rPr>
        <w:t xml:space="preserve"> skarżące</w:t>
      </w:r>
      <w:r w:rsidR="00157B2B">
        <w:rPr>
          <w:lang w:val="pl-PL"/>
        </w:rPr>
        <w:t>j</w:t>
      </w:r>
      <w:r w:rsidRPr="00F00BB6">
        <w:rPr>
          <w:lang w:val="pl-PL"/>
        </w:rPr>
        <w:t xml:space="preserve"> Trybunał uważa, że orzekanie w przedmiocie </w:t>
      </w:r>
      <w:r w:rsidR="00AF65DD">
        <w:rPr>
          <w:lang w:val="pl-PL"/>
        </w:rPr>
        <w:t>sprzeciwu</w:t>
      </w:r>
      <w:r w:rsidR="00AF65DD" w:rsidRPr="00F00BB6">
        <w:rPr>
          <w:lang w:val="pl-PL"/>
        </w:rPr>
        <w:t xml:space="preserve"> </w:t>
      </w:r>
      <w:r w:rsidRPr="00F00BB6">
        <w:rPr>
          <w:lang w:val="pl-PL"/>
        </w:rPr>
        <w:t xml:space="preserve">podniesionego przez Rząd nie jest konieczne, zważywszy, że zarzut ten jest w każdym razie niedopuszczalny z powodu przedstawionego poniżej. Trybunał przypomina, że art. 5 ust. 1 lit. f Konwencji nie wymaga, aby zatrzymanie osoby, przeciwko której toczy się postępowanie o wydalenie, zostało uznane za </w:t>
      </w:r>
      <w:r w:rsidR="00D56FF5">
        <w:rPr>
          <w:lang w:val="pl-PL"/>
        </w:rPr>
        <w:t>w sposób uzasadniony</w:t>
      </w:r>
      <w:r w:rsidRPr="00F00BB6">
        <w:rPr>
          <w:lang w:val="pl-PL"/>
        </w:rPr>
        <w:t xml:space="preserve"> konieczne (zob., odpowiednio, </w:t>
      </w:r>
      <w:r w:rsidRPr="00F00BB6">
        <w:rPr>
          <w:i/>
          <w:iCs/>
          <w:lang w:val="pl-PL"/>
        </w:rPr>
        <w:t>Popov przeciwko Francji</w:t>
      </w:r>
      <w:r w:rsidRPr="00F00BB6">
        <w:rPr>
          <w:lang w:val="pl-PL"/>
        </w:rPr>
        <w:t>, nr 39472/07 i</w:t>
      </w:r>
      <w:r w:rsidR="009C1390" w:rsidRPr="00F00BB6">
        <w:rPr>
          <w:lang w:val="pl-PL"/>
        </w:rPr>
        <w:t> </w:t>
      </w:r>
      <w:r w:rsidRPr="00F00BB6">
        <w:rPr>
          <w:lang w:val="pl-PL"/>
        </w:rPr>
        <w:t xml:space="preserve">39474/07, </w:t>
      </w:r>
      <w:r w:rsidR="00D56FF5">
        <w:rPr>
          <w:lang w:val="pl-PL"/>
        </w:rPr>
        <w:t>§</w:t>
      </w:r>
      <w:r w:rsidR="00180BAE">
        <w:rPr>
          <w:lang w:val="pl-PL"/>
        </w:rPr>
        <w:t> </w:t>
      </w:r>
      <w:r w:rsidRPr="00F00BB6">
        <w:rPr>
          <w:lang w:val="pl-PL"/>
        </w:rPr>
        <w:t xml:space="preserve">120, 19 kwietnia 2012 r.). Dlatego Trybunał uznaje, że </w:t>
      </w:r>
      <w:r w:rsidRPr="00F00BB6">
        <w:rPr>
          <w:lang w:val="pl-PL"/>
        </w:rPr>
        <w:lastRenderedPageBreak/>
        <w:t>przedmiotowy zarzut jest w sposób oczywisty nieuzasadniony</w:t>
      </w:r>
      <w:r w:rsidR="00180BAE">
        <w:rPr>
          <w:lang w:val="pl-PL"/>
        </w:rPr>
        <w:t>,</w:t>
      </w:r>
      <w:r w:rsidRPr="00F00BB6">
        <w:rPr>
          <w:lang w:val="pl-PL"/>
        </w:rPr>
        <w:t xml:space="preserve"> i oddala go zgodnie z art. 35 ust. 3 lit. a i </w:t>
      </w:r>
      <w:r w:rsidR="00180BAE">
        <w:rPr>
          <w:lang w:val="pl-PL"/>
        </w:rPr>
        <w:t xml:space="preserve">art. 35 </w:t>
      </w:r>
      <w:r w:rsidRPr="00F00BB6">
        <w:rPr>
          <w:lang w:val="pl-PL"/>
        </w:rPr>
        <w:t>ust. 4 Konwencji.</w:t>
      </w:r>
    </w:p>
    <w:p w14:paraId="1BB4C10E" w14:textId="4BAC84D2"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23</w:t>
      </w:r>
      <w:r w:rsidRPr="00F00BB6">
        <w:rPr>
          <w:noProof/>
          <w:lang w:val="pl-PL"/>
        </w:rPr>
        <w:fldChar w:fldCharType="end"/>
      </w:r>
      <w:r w:rsidRPr="00F00BB6">
        <w:rPr>
          <w:lang w:val="pl-PL"/>
        </w:rPr>
        <w:t>.  W zakresie, w jakim chodzi o ten sam zarzut dotyczący skarżących</w:t>
      </w:r>
      <w:r w:rsidR="00D56FF5">
        <w:rPr>
          <w:lang w:val="pl-PL"/>
        </w:rPr>
        <w:t xml:space="preserve"> dzieci</w:t>
      </w:r>
      <w:r w:rsidRPr="00F00BB6">
        <w:rPr>
          <w:lang w:val="pl-PL"/>
        </w:rPr>
        <w:t xml:space="preserve"> i zarzut naruszenia art. 5 ust. 4 dotyczący wszystkich skarżących, Trybunał przypomina, że oddalił</w:t>
      </w:r>
      <w:r w:rsidR="00693510">
        <w:rPr>
          <w:lang w:val="pl-PL"/>
        </w:rPr>
        <w:t xml:space="preserve"> już</w:t>
      </w:r>
      <w:r w:rsidRPr="00F00BB6">
        <w:rPr>
          <w:lang w:val="pl-PL"/>
        </w:rPr>
        <w:t xml:space="preserve"> taki </w:t>
      </w:r>
      <w:r w:rsidR="002D63AE">
        <w:rPr>
          <w:lang w:val="pl-PL"/>
        </w:rPr>
        <w:t>sprzeciw</w:t>
      </w:r>
      <w:r w:rsidRPr="00F00BB6">
        <w:rPr>
          <w:lang w:val="pl-PL"/>
        </w:rPr>
        <w:t xml:space="preserve"> (</w:t>
      </w:r>
      <w:proofErr w:type="spellStart"/>
      <w:r w:rsidRPr="00F00BB6">
        <w:rPr>
          <w:i/>
          <w:iCs/>
          <w:lang w:val="pl-PL"/>
        </w:rPr>
        <w:t>Bilalova</w:t>
      </w:r>
      <w:proofErr w:type="spellEnd"/>
      <w:r w:rsidRPr="00F00BB6">
        <w:rPr>
          <w:i/>
          <w:iCs/>
          <w:lang w:val="pl-PL"/>
        </w:rPr>
        <w:t xml:space="preserve"> i Inni przeciwko Polsce</w:t>
      </w:r>
      <w:r w:rsidRPr="00F00BB6">
        <w:rPr>
          <w:lang w:val="pl-PL"/>
        </w:rPr>
        <w:t xml:space="preserve">, nr 23685/14, </w:t>
      </w:r>
      <w:r w:rsidR="00D56FF5">
        <w:rPr>
          <w:lang w:val="pl-PL"/>
        </w:rPr>
        <w:t>§</w:t>
      </w:r>
      <w:r w:rsidR="00AF65DD">
        <w:rPr>
          <w:lang w:val="pl-PL"/>
        </w:rPr>
        <w:t> </w:t>
      </w:r>
      <w:r w:rsidRPr="00F00BB6">
        <w:rPr>
          <w:lang w:val="pl-PL"/>
        </w:rPr>
        <w:t>64, 26 marca 2020 r.). Ponadto przed sądami krajowymi skarżący podnieśli zarzut dotyczący naruszenia art. 5 ust. 4 Konwencji. Dlatego też sprzeciw Rządu w zakresie, w jakim odnosi się do wyżej wymienionych zarzutów, zosta</w:t>
      </w:r>
      <w:r w:rsidR="00693510">
        <w:rPr>
          <w:lang w:val="pl-PL"/>
        </w:rPr>
        <w:t>je</w:t>
      </w:r>
      <w:r w:rsidRPr="00F00BB6">
        <w:rPr>
          <w:lang w:val="pl-PL"/>
        </w:rPr>
        <w:t xml:space="preserve"> oddalony.</w:t>
      </w:r>
    </w:p>
    <w:p w14:paraId="005F024B" w14:textId="4963349E"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24</w:t>
      </w:r>
      <w:r w:rsidRPr="00F00BB6">
        <w:rPr>
          <w:noProof/>
          <w:lang w:val="pl-PL"/>
        </w:rPr>
        <w:fldChar w:fldCharType="end"/>
      </w:r>
      <w:r w:rsidRPr="00F00BB6">
        <w:rPr>
          <w:lang w:val="pl-PL"/>
        </w:rPr>
        <w:t>.  Uznając, że zarzuty te nie są w sposób oczywisty nieuzasadnione ani niedopuszczalne z jakiegokolwiek innego powodu na podstawie art.</w:t>
      </w:r>
      <w:r w:rsidR="009C1390" w:rsidRPr="00F00BB6">
        <w:rPr>
          <w:lang w:val="pl-PL"/>
        </w:rPr>
        <w:t> </w:t>
      </w:r>
      <w:r w:rsidRPr="00F00BB6">
        <w:rPr>
          <w:lang w:val="pl-PL"/>
        </w:rPr>
        <w:t>35</w:t>
      </w:r>
      <w:r w:rsidR="009C1390" w:rsidRPr="00F00BB6">
        <w:rPr>
          <w:lang w:val="pl-PL"/>
        </w:rPr>
        <w:t> </w:t>
      </w:r>
      <w:r w:rsidRPr="00F00BB6">
        <w:rPr>
          <w:lang w:val="pl-PL"/>
        </w:rPr>
        <w:t>Konwencji, Trybunał uznaje je za dopuszczalne.</w:t>
      </w:r>
    </w:p>
    <w:p w14:paraId="57E7A04E" w14:textId="30F0559D"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25</w:t>
      </w:r>
      <w:r w:rsidRPr="00F00BB6">
        <w:rPr>
          <w:noProof/>
          <w:lang w:val="pl-PL"/>
        </w:rPr>
        <w:fldChar w:fldCharType="end"/>
      </w:r>
      <w:r w:rsidRPr="00F00BB6">
        <w:rPr>
          <w:lang w:val="pl-PL"/>
        </w:rPr>
        <w:t>.  </w:t>
      </w:r>
      <w:r w:rsidR="002D63AE">
        <w:rPr>
          <w:lang w:val="pl-PL"/>
        </w:rPr>
        <w:t>S</w:t>
      </w:r>
      <w:r w:rsidRPr="00F00BB6">
        <w:rPr>
          <w:lang w:val="pl-PL"/>
        </w:rPr>
        <w:t>karżąc</w:t>
      </w:r>
      <w:r w:rsidR="002D63AE">
        <w:rPr>
          <w:lang w:val="pl-PL"/>
        </w:rPr>
        <w:t xml:space="preserve">e dzieci </w:t>
      </w:r>
      <w:r w:rsidRPr="00F00BB6">
        <w:rPr>
          <w:lang w:val="pl-PL"/>
        </w:rPr>
        <w:t>twierdzi</w:t>
      </w:r>
      <w:r w:rsidR="002D63AE">
        <w:rPr>
          <w:lang w:val="pl-PL"/>
        </w:rPr>
        <w:t>ły</w:t>
      </w:r>
      <w:r w:rsidRPr="00F00BB6">
        <w:rPr>
          <w:lang w:val="pl-PL"/>
        </w:rPr>
        <w:t xml:space="preserve">, że ich osadzenie w ośrodku </w:t>
      </w:r>
      <w:r w:rsidR="00D555DF">
        <w:rPr>
          <w:lang w:val="pl-PL"/>
        </w:rPr>
        <w:t>strzeżonym</w:t>
      </w:r>
      <w:r w:rsidRPr="00F00BB6">
        <w:rPr>
          <w:lang w:val="pl-PL"/>
        </w:rPr>
        <w:t xml:space="preserve"> było sprzeczne z art. 5 ust. 1 lit. f Konwencji. Ponadto wszyscy skarżący zarzucili, że niemożność ustosunkowania się do wyżej wymienionych w </w:t>
      </w:r>
      <w:r w:rsidR="002B43CE">
        <w:rPr>
          <w:lang w:val="pl-PL"/>
        </w:rPr>
        <w:t>pkt</w:t>
      </w:r>
      <w:r w:rsidR="002D63AE">
        <w:rPr>
          <w:lang w:val="pl-PL"/>
        </w:rPr>
        <w:t>.</w:t>
      </w:r>
      <w:r w:rsidR="002B43CE" w:rsidRPr="00F00BB6">
        <w:rPr>
          <w:lang w:val="pl-PL"/>
        </w:rPr>
        <w:t xml:space="preserve"> </w:t>
      </w:r>
      <w:r w:rsidRPr="00F00BB6">
        <w:rPr>
          <w:lang w:val="pl-PL"/>
        </w:rPr>
        <w:t>6 wniosków straży granicznej podważyła rzetelność postępowania związanego z umieszczeniem i przetrzymywaniem ich w ośrodku detencyjnym.</w:t>
      </w:r>
    </w:p>
    <w:p w14:paraId="6BFDBEDB" w14:textId="2B7DD357"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26</w:t>
      </w:r>
      <w:r w:rsidRPr="00F00BB6">
        <w:rPr>
          <w:noProof/>
          <w:lang w:val="pl-PL"/>
        </w:rPr>
        <w:fldChar w:fldCharType="end"/>
      </w:r>
      <w:r w:rsidRPr="00F00BB6">
        <w:rPr>
          <w:lang w:val="pl-PL"/>
        </w:rPr>
        <w:t>.  Nie wypowiadając się w przedmiocie zarzutu wysuniętego na podstawie art. 5 ust. 1 lit. f Konwencji, Rząd stwierdził, że ustawodawstwo krajowe nie wymaga, aby wniosek o umieszczenie lub zatrzymanie w</w:t>
      </w:r>
      <w:r w:rsidR="009C1390" w:rsidRPr="00F00BB6">
        <w:rPr>
          <w:lang w:val="pl-PL"/>
        </w:rPr>
        <w:t> </w:t>
      </w:r>
      <w:r w:rsidRPr="00F00BB6">
        <w:rPr>
          <w:lang w:val="pl-PL"/>
        </w:rPr>
        <w:t xml:space="preserve">ośrodku </w:t>
      </w:r>
      <w:r w:rsidR="002D63AE">
        <w:rPr>
          <w:lang w:val="pl-PL"/>
        </w:rPr>
        <w:t>strzeżonym</w:t>
      </w:r>
      <w:r w:rsidRPr="00F00BB6">
        <w:rPr>
          <w:lang w:val="pl-PL"/>
        </w:rPr>
        <w:t xml:space="preserve"> cudzoziemca oczekującego na wydalenie był przekazywany osobie zainteresowanej.</w:t>
      </w:r>
    </w:p>
    <w:p w14:paraId="008FBCB7" w14:textId="102D6B66"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27</w:t>
      </w:r>
      <w:r w:rsidRPr="00F00BB6">
        <w:rPr>
          <w:noProof/>
          <w:lang w:val="pl-PL"/>
        </w:rPr>
        <w:fldChar w:fldCharType="end"/>
      </w:r>
      <w:r w:rsidRPr="00F00BB6">
        <w:rPr>
          <w:lang w:val="pl-PL"/>
        </w:rPr>
        <w:t>.  </w:t>
      </w:r>
      <w:r w:rsidR="002D63AE">
        <w:rPr>
          <w:lang w:val="pl-PL"/>
        </w:rPr>
        <w:t>Interweniująca strona trzecia</w:t>
      </w:r>
      <w:r w:rsidRPr="00F00BB6">
        <w:rPr>
          <w:lang w:val="pl-PL"/>
        </w:rPr>
        <w:t xml:space="preserve"> stwierdził</w:t>
      </w:r>
      <w:r w:rsidR="002D63AE">
        <w:rPr>
          <w:lang w:val="pl-PL"/>
        </w:rPr>
        <w:t>a</w:t>
      </w:r>
      <w:r w:rsidRPr="00F00BB6">
        <w:rPr>
          <w:lang w:val="pl-PL"/>
        </w:rPr>
        <w:t>, że zasada najlepszego interesu dziecka wymaga rezygnacji z zatrzymywania małoletnich w kontekście migracyjnym.</w:t>
      </w:r>
    </w:p>
    <w:p w14:paraId="6B7E3249" w14:textId="0D461F93"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28</w:t>
      </w:r>
      <w:r w:rsidRPr="00F00BB6">
        <w:rPr>
          <w:noProof/>
          <w:lang w:val="pl-PL"/>
        </w:rPr>
        <w:fldChar w:fldCharType="end"/>
      </w:r>
      <w:r w:rsidRPr="00F00BB6">
        <w:rPr>
          <w:lang w:val="pl-PL"/>
        </w:rPr>
        <w:t xml:space="preserve">.  Trybunał zauważa, że choć materialne warunki przyjęcia skarżących </w:t>
      </w:r>
      <w:r w:rsidR="002D63AE">
        <w:rPr>
          <w:lang w:val="pl-PL"/>
        </w:rPr>
        <w:t xml:space="preserve">dzieci </w:t>
      </w:r>
      <w:r w:rsidRPr="00F00BB6">
        <w:rPr>
          <w:lang w:val="pl-PL"/>
        </w:rPr>
        <w:t xml:space="preserve">w ośrodku detencyjnym były prawidłowe, struktura ta była niewątpliwie miejscem pozbawienia wolności. Trybunał uważa, że nie posiada wystarczających dowodów, aby upewnić się, że władze krajowe rzeczywiście rozważyły, czy zatrzymanie skarżących </w:t>
      </w:r>
      <w:r w:rsidR="00D555DF" w:rsidRPr="00F00BB6">
        <w:rPr>
          <w:lang w:val="pl-PL"/>
        </w:rPr>
        <w:t>dzieci</w:t>
      </w:r>
      <w:r w:rsidR="00D555DF" w:rsidRPr="00F00BB6">
        <w:rPr>
          <w:lang w:val="pl-PL"/>
        </w:rPr>
        <w:t xml:space="preserve"> </w:t>
      </w:r>
      <w:r w:rsidRPr="00F00BB6">
        <w:rPr>
          <w:lang w:val="pl-PL"/>
        </w:rPr>
        <w:t xml:space="preserve">na okres około siedmiu miesięcy było rozwiązaniem zastosowanym w ostateczności, którego nie można było zastąpić żadnym innym środkiem, oraz że podjęły niezbędne kroki w celu ograniczenia czasu trwania zatrzymania skarżących </w:t>
      </w:r>
      <w:r w:rsidR="00D555DF">
        <w:rPr>
          <w:lang w:val="pl-PL"/>
        </w:rPr>
        <w:t>dzieci</w:t>
      </w:r>
      <w:r w:rsidR="00D555DF" w:rsidRPr="00F00BB6">
        <w:rPr>
          <w:lang w:val="pl-PL"/>
        </w:rPr>
        <w:t xml:space="preserve"> </w:t>
      </w:r>
      <w:r w:rsidRPr="00F00BB6">
        <w:rPr>
          <w:lang w:val="pl-PL"/>
        </w:rPr>
        <w:t>do ścisłego minimum.</w:t>
      </w:r>
    </w:p>
    <w:p w14:paraId="5D74943B" w14:textId="583046C2" w:rsidR="00227BCF" w:rsidRPr="00F00BB6" w:rsidRDefault="00901745" w:rsidP="00384BCF">
      <w:pPr>
        <w:pStyle w:val="JuPara"/>
        <w:rPr>
          <w:lang w:val="pl-PL"/>
        </w:rPr>
      </w:pPr>
      <w:r w:rsidRPr="00F00BB6">
        <w:rPr>
          <w:noProof/>
          <w:lang w:val="pl-PL"/>
        </w:rPr>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29</w:t>
      </w:r>
      <w:r w:rsidRPr="00F00BB6">
        <w:rPr>
          <w:noProof/>
          <w:lang w:val="pl-PL"/>
        </w:rPr>
        <w:fldChar w:fldCharType="end"/>
      </w:r>
      <w:r w:rsidRPr="00F00BB6">
        <w:rPr>
          <w:lang w:val="pl-PL"/>
        </w:rPr>
        <w:t xml:space="preserve">.  Trybunał zauważa, że żaden z kolejnych wniosków straży granicznej o umieszczenie i zatrzymanie skarżących </w:t>
      </w:r>
      <w:r w:rsidR="006A3B06">
        <w:rPr>
          <w:lang w:val="pl-PL"/>
        </w:rPr>
        <w:t xml:space="preserve">w ośrodku detencyjnym </w:t>
      </w:r>
      <w:r w:rsidRPr="00F00BB6">
        <w:rPr>
          <w:lang w:val="pl-PL"/>
        </w:rPr>
        <w:t>nie został przekazany skarżącym. Chociaż członek personelu ośrodka poinformował skarżącą o dwóch z</w:t>
      </w:r>
      <w:r w:rsidR="009C1390" w:rsidRPr="00F00BB6">
        <w:rPr>
          <w:lang w:val="pl-PL"/>
        </w:rPr>
        <w:t> </w:t>
      </w:r>
      <w:r w:rsidRPr="00F00BB6">
        <w:rPr>
          <w:lang w:val="pl-PL"/>
        </w:rPr>
        <w:t>przedmiotowych wniosków, Trybunał nie jest przekonany, że informacje przekazane skarżącej zawierały objaśnienie podstawy prawnej oraz prawne i</w:t>
      </w:r>
      <w:r w:rsidR="009C1390" w:rsidRPr="00F00BB6">
        <w:rPr>
          <w:lang w:val="pl-PL"/>
        </w:rPr>
        <w:t> </w:t>
      </w:r>
      <w:r w:rsidRPr="00F00BB6">
        <w:rPr>
          <w:lang w:val="pl-PL"/>
        </w:rPr>
        <w:t>faktyczne powody pozbawienia skarżących wolności w taki sposób, aby dać im rzetelną możliwość zakwestionowania przed sądem legalności przedmiotowego środka.</w:t>
      </w:r>
    </w:p>
    <w:p w14:paraId="6935907E" w14:textId="1A96FFDD" w:rsidR="00227BCF" w:rsidRPr="00F00BB6" w:rsidRDefault="00901745" w:rsidP="00384BCF">
      <w:pPr>
        <w:pStyle w:val="JuPara"/>
        <w:rPr>
          <w:lang w:val="pl-PL"/>
        </w:rPr>
      </w:pPr>
      <w:r w:rsidRPr="00F00BB6">
        <w:rPr>
          <w:noProof/>
          <w:lang w:val="pl-PL"/>
        </w:rPr>
        <w:lastRenderedPageBreak/>
        <w:fldChar w:fldCharType="begin"/>
      </w:r>
      <w:r w:rsidRPr="00F00BB6">
        <w:rPr>
          <w:noProof/>
          <w:lang w:val="pl-PL"/>
        </w:rPr>
        <w:instrText xml:space="preserve"> SEQ level0 \*arabic \* MERGEFORMAT </w:instrText>
      </w:r>
      <w:r w:rsidRPr="00F00BB6">
        <w:rPr>
          <w:noProof/>
          <w:lang w:val="pl-PL"/>
        </w:rPr>
        <w:fldChar w:fldCharType="separate"/>
      </w:r>
      <w:r w:rsidRPr="00F00BB6">
        <w:rPr>
          <w:noProof/>
          <w:lang w:val="pl-PL"/>
        </w:rPr>
        <w:t>30</w:t>
      </w:r>
      <w:r w:rsidRPr="00F00BB6">
        <w:rPr>
          <w:noProof/>
          <w:lang w:val="pl-PL"/>
        </w:rPr>
        <w:fldChar w:fldCharType="end"/>
      </w:r>
      <w:r w:rsidRPr="00F00BB6">
        <w:rPr>
          <w:lang w:val="pl-PL"/>
        </w:rPr>
        <w:t xml:space="preserve">.  Po przeanalizowaniu całego dostępnego mu materiału dowodowego Trybunał stwierdza, że powyższe zarzuty ujawniają naruszenie, odpowiednio, art. 5 ust. 1 lit. f w odniesieniu do skarżących </w:t>
      </w:r>
      <w:r w:rsidR="00D555DF" w:rsidRPr="00F00BB6">
        <w:rPr>
          <w:lang w:val="pl-PL"/>
        </w:rPr>
        <w:t>dzieci</w:t>
      </w:r>
      <w:r w:rsidR="00D555DF" w:rsidRPr="00F00BB6">
        <w:rPr>
          <w:lang w:val="pl-PL"/>
        </w:rPr>
        <w:t xml:space="preserve"> </w:t>
      </w:r>
      <w:r w:rsidRPr="00F00BB6">
        <w:rPr>
          <w:lang w:val="pl-PL"/>
        </w:rPr>
        <w:t xml:space="preserve">oraz naruszenie art. 5 ust. 4 Konwencji w odniesieniu do wszystkich skarżących, zważywszy na ustalenia Trybunału w wyroku w sprawie </w:t>
      </w:r>
      <w:r w:rsidRPr="00F00BB6">
        <w:rPr>
          <w:i/>
          <w:iCs/>
          <w:lang w:val="pl-PL"/>
        </w:rPr>
        <w:t>Bilalova i Inni</w:t>
      </w:r>
      <w:r w:rsidRPr="00F00BB6">
        <w:rPr>
          <w:lang w:val="pl-PL"/>
        </w:rPr>
        <w:t xml:space="preserve"> (</w:t>
      </w:r>
      <w:r w:rsidRPr="00F00BB6">
        <w:rPr>
          <w:i/>
          <w:iCs/>
          <w:lang w:val="pl-PL"/>
        </w:rPr>
        <w:t>op.cit.</w:t>
      </w:r>
      <w:r w:rsidRPr="00F00BB6">
        <w:rPr>
          <w:lang w:val="pl-PL"/>
        </w:rPr>
        <w:t xml:space="preserve">, </w:t>
      </w:r>
      <w:r w:rsidR="00D555DF">
        <w:rPr>
          <w:lang w:val="pl-PL"/>
        </w:rPr>
        <w:t>§§</w:t>
      </w:r>
      <w:r w:rsidR="006A3B06">
        <w:rPr>
          <w:lang w:val="pl-PL"/>
        </w:rPr>
        <w:t> </w:t>
      </w:r>
      <w:r w:rsidRPr="00F00BB6">
        <w:rPr>
          <w:lang w:val="pl-PL"/>
        </w:rPr>
        <w:t xml:space="preserve">77–82) oraz </w:t>
      </w:r>
      <w:r w:rsidRPr="00F00BB6">
        <w:rPr>
          <w:i/>
          <w:iCs/>
          <w:lang w:val="pl-PL"/>
        </w:rPr>
        <w:t>Osváth przeciwko Węgrom</w:t>
      </w:r>
      <w:r w:rsidRPr="00F00BB6">
        <w:rPr>
          <w:lang w:val="pl-PL"/>
        </w:rPr>
        <w:t xml:space="preserve"> (nr 20723/02, </w:t>
      </w:r>
      <w:r w:rsidR="00D555DF">
        <w:rPr>
          <w:lang w:val="pl-PL"/>
        </w:rPr>
        <w:t>§</w:t>
      </w:r>
      <w:r w:rsidR="006A3B06">
        <w:rPr>
          <w:lang w:val="pl-PL"/>
        </w:rPr>
        <w:t> </w:t>
      </w:r>
      <w:r w:rsidRPr="00F00BB6">
        <w:rPr>
          <w:lang w:val="pl-PL"/>
        </w:rPr>
        <w:t>18, 5</w:t>
      </w:r>
      <w:r w:rsidR="008B561F">
        <w:rPr>
          <w:lang w:val="pl-PL"/>
        </w:rPr>
        <w:t> </w:t>
      </w:r>
      <w:r w:rsidRPr="00F00BB6">
        <w:rPr>
          <w:lang w:val="pl-PL"/>
        </w:rPr>
        <w:t>lipca 2005 r.).</w:t>
      </w:r>
    </w:p>
    <w:p w14:paraId="46F51248" w14:textId="4C589E85" w:rsidR="00227BCF" w:rsidRPr="00F00BB6" w:rsidRDefault="00227BCF" w:rsidP="00384BCF">
      <w:pPr>
        <w:pStyle w:val="JuHHead"/>
        <w:rPr>
          <w:lang w:val="pl-PL"/>
        </w:rPr>
      </w:pPr>
      <w:r w:rsidRPr="00F00BB6">
        <w:rPr>
          <w:bCs w:val="0"/>
          <w:caps w:val="0"/>
          <w:lang w:val="pl-PL"/>
        </w:rPr>
        <w:t>W PRZEDMIOCIE ZASTOSOWANIA ART. 41 KONWENCJI</w:t>
      </w:r>
    </w:p>
    <w:p w14:paraId="42CB2C32" w14:textId="4FDA4F8F" w:rsidR="00227BCF" w:rsidRPr="00F00BB6" w:rsidRDefault="00227BCF" w:rsidP="00384BCF">
      <w:pPr>
        <w:pStyle w:val="JuPara"/>
        <w:rPr>
          <w:lang w:val="pl-PL"/>
        </w:rPr>
      </w:pPr>
      <w:r w:rsidRPr="00F00BB6">
        <w:rPr>
          <w:lang w:val="pl-PL"/>
        </w:rPr>
        <w:fldChar w:fldCharType="begin"/>
      </w:r>
      <w:r w:rsidRPr="00F00BB6">
        <w:rPr>
          <w:lang w:val="pl-PL"/>
        </w:rPr>
        <w:instrText xml:space="preserve"> SEQ level0 \*arabic </w:instrText>
      </w:r>
      <w:r w:rsidRPr="00F00BB6">
        <w:rPr>
          <w:lang w:val="pl-PL"/>
        </w:rPr>
        <w:fldChar w:fldCharType="separate"/>
      </w:r>
      <w:r w:rsidRPr="00F00BB6">
        <w:rPr>
          <w:noProof/>
          <w:lang w:val="pl-PL"/>
        </w:rPr>
        <w:t>31</w:t>
      </w:r>
      <w:r w:rsidRPr="00F00BB6">
        <w:rPr>
          <w:lang w:val="pl-PL"/>
        </w:rPr>
        <w:fldChar w:fldCharType="end"/>
      </w:r>
      <w:r w:rsidRPr="00F00BB6">
        <w:rPr>
          <w:lang w:val="pl-PL"/>
        </w:rPr>
        <w:t>.  Skarżący domagają się kwoty 14 000 euro (EUR) za szkody niemat</w:t>
      </w:r>
      <w:r w:rsidR="00056A4B">
        <w:rPr>
          <w:lang w:val="pl-PL"/>
        </w:rPr>
        <w:t>erialn</w:t>
      </w:r>
      <w:r w:rsidRPr="00F00BB6">
        <w:rPr>
          <w:lang w:val="pl-PL"/>
        </w:rPr>
        <w:t>e, których ich zdaniem doznali w wyniku naruszenia art.</w:t>
      </w:r>
      <w:r w:rsidR="009C1390" w:rsidRPr="00F00BB6">
        <w:rPr>
          <w:lang w:val="pl-PL"/>
        </w:rPr>
        <w:t> </w:t>
      </w:r>
      <w:r w:rsidRPr="00F00BB6">
        <w:rPr>
          <w:lang w:val="pl-PL"/>
        </w:rPr>
        <w:t>5</w:t>
      </w:r>
      <w:r w:rsidR="009C1390" w:rsidRPr="00F00BB6">
        <w:rPr>
          <w:lang w:val="pl-PL"/>
        </w:rPr>
        <w:t> </w:t>
      </w:r>
      <w:r w:rsidRPr="00F00BB6">
        <w:rPr>
          <w:lang w:val="pl-PL"/>
        </w:rPr>
        <w:t>ust.</w:t>
      </w:r>
      <w:r w:rsidR="009C1390" w:rsidRPr="00F00BB6">
        <w:rPr>
          <w:lang w:val="pl-PL"/>
        </w:rPr>
        <w:t> </w:t>
      </w:r>
      <w:r w:rsidRPr="00F00BB6">
        <w:rPr>
          <w:lang w:val="pl-PL"/>
        </w:rPr>
        <w:t>1</w:t>
      </w:r>
      <w:r w:rsidR="009C1390" w:rsidRPr="00F00BB6">
        <w:rPr>
          <w:lang w:val="pl-PL"/>
        </w:rPr>
        <w:t> </w:t>
      </w:r>
      <w:r w:rsidRPr="00F00BB6">
        <w:rPr>
          <w:lang w:val="pl-PL"/>
        </w:rPr>
        <w:t>i 4 Konwencji. Ponadto domagają się 360</w:t>
      </w:r>
      <w:r w:rsidR="00094EF0">
        <w:rPr>
          <w:lang w:val="pl-PL"/>
        </w:rPr>
        <w:t> </w:t>
      </w:r>
      <w:r w:rsidRPr="00F00BB6">
        <w:rPr>
          <w:lang w:val="pl-PL"/>
        </w:rPr>
        <w:t>EUR i 3</w:t>
      </w:r>
      <w:r w:rsidR="00094EF0">
        <w:rPr>
          <w:lang w:val="pl-PL"/>
        </w:rPr>
        <w:t> </w:t>
      </w:r>
      <w:r w:rsidRPr="00F00BB6">
        <w:rPr>
          <w:lang w:val="pl-PL"/>
        </w:rPr>
        <w:t>480</w:t>
      </w:r>
      <w:r w:rsidR="00094EF0">
        <w:rPr>
          <w:lang w:val="pl-PL"/>
        </w:rPr>
        <w:t> </w:t>
      </w:r>
      <w:r w:rsidRPr="00F00BB6">
        <w:rPr>
          <w:lang w:val="pl-PL"/>
        </w:rPr>
        <w:t>EUR z</w:t>
      </w:r>
      <w:r w:rsidR="009C1390" w:rsidRPr="00F00BB6">
        <w:rPr>
          <w:lang w:val="pl-PL"/>
        </w:rPr>
        <w:t> </w:t>
      </w:r>
      <w:r w:rsidRPr="00F00BB6">
        <w:rPr>
          <w:lang w:val="pl-PL"/>
        </w:rPr>
        <w:t>tytułu kosztów, które ich zdaniem ponieśli, odpowiednio, w postępowaniu krajowym i w postępowaniu przed Trybunałem.</w:t>
      </w:r>
    </w:p>
    <w:p w14:paraId="076B646B" w14:textId="4EE41FFB" w:rsidR="00227BCF" w:rsidRPr="00F00BB6" w:rsidRDefault="00227BCF" w:rsidP="00384BCF">
      <w:pPr>
        <w:pStyle w:val="JuPara"/>
        <w:rPr>
          <w:lang w:val="pl-PL"/>
        </w:rPr>
      </w:pPr>
      <w:r w:rsidRPr="00F00BB6">
        <w:rPr>
          <w:lang w:val="pl-PL"/>
        </w:rPr>
        <w:fldChar w:fldCharType="begin"/>
      </w:r>
      <w:r w:rsidRPr="00F00BB6">
        <w:rPr>
          <w:lang w:val="pl-PL"/>
        </w:rPr>
        <w:instrText xml:space="preserve"> SEQ level0 \*arabic </w:instrText>
      </w:r>
      <w:r w:rsidRPr="00F00BB6">
        <w:rPr>
          <w:lang w:val="pl-PL"/>
        </w:rPr>
        <w:fldChar w:fldCharType="separate"/>
      </w:r>
      <w:r w:rsidRPr="00F00BB6">
        <w:rPr>
          <w:noProof/>
          <w:lang w:val="pl-PL"/>
        </w:rPr>
        <w:t>32</w:t>
      </w:r>
      <w:r w:rsidRPr="00F00BB6">
        <w:rPr>
          <w:lang w:val="pl-PL"/>
        </w:rPr>
        <w:fldChar w:fldCharType="end"/>
      </w:r>
      <w:r w:rsidRPr="00F00BB6">
        <w:rPr>
          <w:lang w:val="pl-PL"/>
        </w:rPr>
        <w:t>.  Rząd kwestionuje te roszczenia.</w:t>
      </w:r>
    </w:p>
    <w:p w14:paraId="3DF7FFB7" w14:textId="6FF62E18" w:rsidR="00227BCF" w:rsidRPr="00F00BB6" w:rsidRDefault="00227BCF" w:rsidP="00384BCF">
      <w:pPr>
        <w:pStyle w:val="JuPara"/>
        <w:rPr>
          <w:lang w:val="pl-PL"/>
        </w:rPr>
      </w:pPr>
      <w:r w:rsidRPr="00F00BB6">
        <w:rPr>
          <w:lang w:val="pl-PL"/>
        </w:rPr>
        <w:fldChar w:fldCharType="begin"/>
      </w:r>
      <w:r w:rsidRPr="00F00BB6">
        <w:rPr>
          <w:lang w:val="pl-PL"/>
        </w:rPr>
        <w:instrText xml:space="preserve"> SEQ level0 \*arabic </w:instrText>
      </w:r>
      <w:r w:rsidRPr="00F00BB6">
        <w:rPr>
          <w:lang w:val="pl-PL"/>
        </w:rPr>
        <w:fldChar w:fldCharType="separate"/>
      </w:r>
      <w:r w:rsidRPr="00F00BB6">
        <w:rPr>
          <w:noProof/>
          <w:lang w:val="pl-PL"/>
        </w:rPr>
        <w:t>33</w:t>
      </w:r>
      <w:r w:rsidRPr="00F00BB6">
        <w:rPr>
          <w:lang w:val="pl-PL"/>
        </w:rPr>
        <w:fldChar w:fldCharType="end"/>
      </w:r>
      <w:r w:rsidRPr="00F00BB6">
        <w:rPr>
          <w:lang w:val="pl-PL"/>
        </w:rPr>
        <w:t>.  Biorąc pod uwagę kwotę zaproponowaną przez Rząd w</w:t>
      </w:r>
      <w:r w:rsidR="009C1390" w:rsidRPr="00F00BB6">
        <w:rPr>
          <w:lang w:val="pl-PL"/>
        </w:rPr>
        <w:t> </w:t>
      </w:r>
      <w:r w:rsidRPr="00F00BB6">
        <w:rPr>
          <w:lang w:val="pl-PL"/>
        </w:rPr>
        <w:t>jednostronnym oświadczeniu oraz uwzględniając posiadane materiały, Trybunał przyznaje skarżącym łącznie 10</w:t>
      </w:r>
      <w:r w:rsidR="00094EF0">
        <w:rPr>
          <w:lang w:val="pl-PL"/>
        </w:rPr>
        <w:t> </w:t>
      </w:r>
      <w:r w:rsidRPr="00F00BB6">
        <w:rPr>
          <w:lang w:val="pl-PL"/>
        </w:rPr>
        <w:t>000</w:t>
      </w:r>
      <w:r w:rsidR="00094EF0">
        <w:rPr>
          <w:lang w:val="pl-PL"/>
        </w:rPr>
        <w:t> </w:t>
      </w:r>
      <w:r w:rsidRPr="00F00BB6">
        <w:rPr>
          <w:lang w:val="pl-PL"/>
        </w:rPr>
        <w:t>EUR tytułem szkody niemat</w:t>
      </w:r>
      <w:r w:rsidR="00285F04">
        <w:rPr>
          <w:lang w:val="pl-PL"/>
        </w:rPr>
        <w:t>erialn</w:t>
      </w:r>
      <w:r w:rsidRPr="00F00BB6">
        <w:rPr>
          <w:lang w:val="pl-PL"/>
        </w:rPr>
        <w:t>ej oraz 850</w:t>
      </w:r>
      <w:r w:rsidR="000649D2">
        <w:rPr>
          <w:lang w:val="pl-PL"/>
        </w:rPr>
        <w:t> </w:t>
      </w:r>
      <w:r w:rsidRPr="00F00BB6">
        <w:rPr>
          <w:lang w:val="pl-PL"/>
        </w:rPr>
        <w:t>EUR tytułem kosztów poniesionych w</w:t>
      </w:r>
      <w:r w:rsidR="003F4ADE">
        <w:rPr>
          <w:lang w:val="pl-PL"/>
        </w:rPr>
        <w:t> </w:t>
      </w:r>
      <w:r w:rsidRPr="00F00BB6">
        <w:rPr>
          <w:lang w:val="pl-PL"/>
        </w:rPr>
        <w:t>postępowaniu przed Trybunałem, powiększonych o wszelkie kwoty, które mogą być należne z tytułu podatku od tych kwot.</w:t>
      </w:r>
    </w:p>
    <w:p w14:paraId="6E19D4B6" w14:textId="79C875D1" w:rsidR="00227BCF" w:rsidRPr="00F00BB6" w:rsidRDefault="00227BCF" w:rsidP="00384BCF">
      <w:pPr>
        <w:pStyle w:val="JuHHead"/>
        <w:rPr>
          <w:lang w:val="pl-PL"/>
        </w:rPr>
      </w:pPr>
      <w:r w:rsidRPr="00F00BB6">
        <w:rPr>
          <w:bCs w:val="0"/>
          <w:lang w:val="pl-PL"/>
        </w:rPr>
        <w:t>Z POWYŻSZYCH WZGLĘDÓW TRYBUNAŁ</w:t>
      </w:r>
      <w:r w:rsidR="00D555DF">
        <w:rPr>
          <w:bCs w:val="0"/>
          <w:lang w:val="pl-PL"/>
        </w:rPr>
        <w:t xml:space="preserve"> </w:t>
      </w:r>
      <w:r w:rsidRPr="00F00BB6">
        <w:rPr>
          <w:bCs w:val="0"/>
          <w:lang w:val="pl-PL"/>
        </w:rPr>
        <w:t>JEDNO</w:t>
      </w:r>
      <w:r w:rsidR="00D555DF">
        <w:rPr>
          <w:bCs w:val="0"/>
          <w:lang w:val="pl-PL"/>
        </w:rPr>
        <w:t>GŁOŚ</w:t>
      </w:r>
      <w:r w:rsidRPr="00F00BB6">
        <w:rPr>
          <w:bCs w:val="0"/>
          <w:lang w:val="pl-PL"/>
        </w:rPr>
        <w:t>NIE</w:t>
      </w:r>
    </w:p>
    <w:p w14:paraId="70024406" w14:textId="299D15A7" w:rsidR="00227BCF" w:rsidRPr="00F00BB6" w:rsidRDefault="00227BCF" w:rsidP="00384BCF">
      <w:pPr>
        <w:pStyle w:val="JuList"/>
        <w:rPr>
          <w:lang w:val="pl-PL"/>
        </w:rPr>
      </w:pPr>
      <w:r w:rsidRPr="00F00BB6">
        <w:rPr>
          <w:i/>
          <w:iCs/>
          <w:lang w:val="pl-PL"/>
        </w:rPr>
        <w:t>postanawia</w:t>
      </w:r>
      <w:r w:rsidRPr="00F00BB6">
        <w:rPr>
          <w:lang w:val="pl-PL"/>
        </w:rPr>
        <w:t xml:space="preserve"> </w:t>
      </w:r>
      <w:r w:rsidR="00D555DF">
        <w:rPr>
          <w:lang w:val="pl-PL"/>
        </w:rPr>
        <w:t>s</w:t>
      </w:r>
      <w:r w:rsidRPr="00F00BB6">
        <w:rPr>
          <w:lang w:val="pl-PL"/>
        </w:rPr>
        <w:t>kreślić skargę z listy spraw na podstawie art. 39 Konwencji w zakresie, w jakim dotyczy ona zarzutu na podstawie art. 8 Konwencji;</w:t>
      </w:r>
    </w:p>
    <w:p w14:paraId="21F88867" w14:textId="78DC6A49" w:rsidR="00227BCF" w:rsidRPr="00F00BB6" w:rsidRDefault="00227BCF" w:rsidP="00384BCF">
      <w:pPr>
        <w:pStyle w:val="JuList"/>
        <w:rPr>
          <w:lang w:val="pl-PL"/>
        </w:rPr>
      </w:pPr>
      <w:r w:rsidRPr="00F00BB6">
        <w:rPr>
          <w:i/>
          <w:iCs/>
          <w:lang w:val="pl-PL"/>
        </w:rPr>
        <w:t>uznaje</w:t>
      </w:r>
      <w:r w:rsidRPr="00F00BB6">
        <w:rPr>
          <w:lang w:val="pl-PL"/>
        </w:rPr>
        <w:t xml:space="preserve"> zarzuty na podstawie art. 5 ust. 1 lit. f i </w:t>
      </w:r>
      <w:r w:rsidR="00012527" w:rsidRPr="00F00BB6">
        <w:rPr>
          <w:lang w:val="pl-PL"/>
        </w:rPr>
        <w:t xml:space="preserve">art. 5 </w:t>
      </w:r>
      <w:r w:rsidRPr="00F00BB6">
        <w:rPr>
          <w:lang w:val="pl-PL"/>
        </w:rPr>
        <w:t xml:space="preserve">ust. 4 Konwencji za dopuszczalne w zakresie, w jakim dotyczą odpowiednio </w:t>
      </w:r>
      <w:r w:rsidR="00D555DF">
        <w:rPr>
          <w:lang w:val="pl-PL"/>
        </w:rPr>
        <w:t>s</w:t>
      </w:r>
      <w:r w:rsidRPr="00F00BB6">
        <w:rPr>
          <w:lang w:val="pl-PL"/>
        </w:rPr>
        <w:t xml:space="preserve">karżących </w:t>
      </w:r>
      <w:r w:rsidR="00D555DF" w:rsidRPr="00F00BB6">
        <w:rPr>
          <w:lang w:val="pl-PL"/>
        </w:rPr>
        <w:t>dzieci</w:t>
      </w:r>
      <w:r w:rsidR="00D555DF" w:rsidRPr="00F00BB6">
        <w:rPr>
          <w:lang w:val="pl-PL"/>
        </w:rPr>
        <w:t xml:space="preserve"> </w:t>
      </w:r>
      <w:r w:rsidRPr="00F00BB6">
        <w:rPr>
          <w:lang w:val="pl-PL"/>
        </w:rPr>
        <w:t>i wszystkich skarżących, a pozostałą część skargi uznaje za niedopuszczalną;</w:t>
      </w:r>
    </w:p>
    <w:p w14:paraId="56959263" w14:textId="6384AFB5" w:rsidR="00227BCF" w:rsidRPr="00F00BB6" w:rsidRDefault="00227BCF" w:rsidP="00384BCF">
      <w:pPr>
        <w:pStyle w:val="JuList"/>
        <w:rPr>
          <w:lang w:val="pl-PL"/>
        </w:rPr>
      </w:pPr>
      <w:r w:rsidRPr="00F00BB6">
        <w:rPr>
          <w:i/>
          <w:iCs/>
          <w:lang w:val="pl-PL"/>
        </w:rPr>
        <w:t>orzeka</w:t>
      </w:r>
      <w:r w:rsidRPr="00F00BB6">
        <w:rPr>
          <w:lang w:val="pl-PL"/>
        </w:rPr>
        <w:t>, że doszło do naruszenia art. 5 ust. 1 lit. f Konwencji w</w:t>
      </w:r>
      <w:r w:rsidR="009C1390" w:rsidRPr="00F00BB6">
        <w:rPr>
          <w:lang w:val="pl-PL"/>
        </w:rPr>
        <w:t> </w:t>
      </w:r>
      <w:r w:rsidRPr="00F00BB6">
        <w:rPr>
          <w:lang w:val="pl-PL"/>
        </w:rPr>
        <w:t>odniesieniu do skarżących</w:t>
      </w:r>
      <w:r w:rsidR="00D555DF">
        <w:rPr>
          <w:lang w:val="pl-PL"/>
        </w:rPr>
        <w:t xml:space="preserve"> </w:t>
      </w:r>
      <w:r w:rsidR="00D555DF" w:rsidRPr="00F00BB6">
        <w:rPr>
          <w:lang w:val="pl-PL"/>
        </w:rPr>
        <w:t>dzieci</w:t>
      </w:r>
      <w:r w:rsidRPr="00F00BB6">
        <w:rPr>
          <w:lang w:val="pl-PL"/>
        </w:rPr>
        <w:t>;</w:t>
      </w:r>
    </w:p>
    <w:p w14:paraId="431DB7EE" w14:textId="78F78448" w:rsidR="00227BCF" w:rsidRPr="00F00BB6" w:rsidRDefault="00227BCF" w:rsidP="00384BCF">
      <w:pPr>
        <w:pStyle w:val="JuList"/>
        <w:rPr>
          <w:lang w:val="pl-PL"/>
        </w:rPr>
      </w:pPr>
      <w:r w:rsidRPr="00F00BB6">
        <w:rPr>
          <w:i/>
          <w:iCs/>
          <w:lang w:val="pl-PL"/>
        </w:rPr>
        <w:t>orzeka</w:t>
      </w:r>
      <w:r w:rsidRPr="00F00BB6">
        <w:rPr>
          <w:lang w:val="pl-PL"/>
        </w:rPr>
        <w:t>, że doszło do naruszenia art. 5 ust. 4 Konwencji w odniesieniu do wszystkich skarżących;</w:t>
      </w:r>
    </w:p>
    <w:p w14:paraId="662608BD" w14:textId="77777777" w:rsidR="00227BCF" w:rsidRPr="00F00BB6" w:rsidRDefault="00227BCF" w:rsidP="00384BCF">
      <w:pPr>
        <w:pStyle w:val="JuList"/>
        <w:keepNext/>
        <w:keepLines/>
        <w:rPr>
          <w:lang w:val="pl-PL"/>
        </w:rPr>
      </w:pPr>
      <w:r w:rsidRPr="00F00BB6">
        <w:rPr>
          <w:i/>
          <w:iCs/>
          <w:lang w:val="pl-PL"/>
        </w:rPr>
        <w:lastRenderedPageBreak/>
        <w:t>orzeka,</w:t>
      </w:r>
    </w:p>
    <w:p w14:paraId="79B2B8F2" w14:textId="2E60F3E8" w:rsidR="00BA67DB" w:rsidRPr="00F00BB6" w:rsidRDefault="00227BCF" w:rsidP="00384BCF">
      <w:pPr>
        <w:pStyle w:val="JuLista"/>
        <w:keepNext/>
        <w:keepLines/>
        <w:rPr>
          <w:lang w:val="pl-PL"/>
        </w:rPr>
      </w:pPr>
      <w:r w:rsidRPr="00F00BB6">
        <w:rPr>
          <w:lang w:val="pl-PL"/>
        </w:rPr>
        <w:t>że pozwane państwo musi wypłacić łącznie skarżącym w terminie trzech miesięcy następujące kwoty, w przeliczeniu na walutę pozwanego państwa, według kursu obowiązującego w dniu rozliczenia:</w:t>
      </w:r>
    </w:p>
    <w:p w14:paraId="5940F78E" w14:textId="5879CD97" w:rsidR="00227BCF" w:rsidRPr="00F00BB6" w:rsidRDefault="00227BCF" w:rsidP="00384BCF">
      <w:pPr>
        <w:pStyle w:val="JuListi"/>
        <w:numPr>
          <w:ilvl w:val="2"/>
          <w:numId w:val="1"/>
        </w:numPr>
        <w:rPr>
          <w:lang w:val="pl-PL"/>
        </w:rPr>
      </w:pPr>
      <w:r w:rsidRPr="00F00BB6">
        <w:rPr>
          <w:lang w:val="pl-PL"/>
        </w:rPr>
        <w:t>10 000</w:t>
      </w:r>
      <w:r w:rsidR="004D3876">
        <w:rPr>
          <w:lang w:val="pl-PL"/>
        </w:rPr>
        <w:t> </w:t>
      </w:r>
      <w:r w:rsidRPr="00F00BB6">
        <w:rPr>
          <w:lang w:val="pl-PL"/>
        </w:rPr>
        <w:t>EUR (dziesięć tysięcy euro) plus kwoty, które mogą być należne od tej kwoty z tytułu podatku, za szkody niematerialne;</w:t>
      </w:r>
    </w:p>
    <w:p w14:paraId="2C65D9A7" w14:textId="53D1108A" w:rsidR="00227BCF" w:rsidRPr="00F00BB6" w:rsidRDefault="00227BCF" w:rsidP="00384BCF">
      <w:pPr>
        <w:pStyle w:val="JuListi"/>
        <w:numPr>
          <w:ilvl w:val="2"/>
          <w:numId w:val="1"/>
        </w:numPr>
        <w:rPr>
          <w:lang w:val="pl-PL"/>
        </w:rPr>
      </w:pPr>
      <w:r w:rsidRPr="00F00BB6">
        <w:rPr>
          <w:lang w:val="pl-PL"/>
        </w:rPr>
        <w:t>850</w:t>
      </w:r>
      <w:r w:rsidR="004D3876">
        <w:rPr>
          <w:lang w:val="pl-PL"/>
        </w:rPr>
        <w:t> </w:t>
      </w:r>
      <w:r w:rsidRPr="00F00BB6">
        <w:rPr>
          <w:lang w:val="pl-PL"/>
        </w:rPr>
        <w:t xml:space="preserve">EUR (osiemset pięćdziesiąt euro) plus kwoty, które mogą być należne od tej kwoty z tytułu podatku, </w:t>
      </w:r>
      <w:r w:rsidR="00F54057">
        <w:rPr>
          <w:lang w:val="pl-PL"/>
        </w:rPr>
        <w:t xml:space="preserve">tytułem </w:t>
      </w:r>
      <w:r w:rsidRPr="00F00BB6">
        <w:rPr>
          <w:lang w:val="pl-PL"/>
        </w:rPr>
        <w:t>kosztów i wydatków;</w:t>
      </w:r>
    </w:p>
    <w:p w14:paraId="32832A74" w14:textId="239AF90F" w:rsidR="00501056" w:rsidRPr="00F00BB6" w:rsidRDefault="00227BCF" w:rsidP="00384BCF">
      <w:pPr>
        <w:pStyle w:val="JuLista"/>
        <w:numPr>
          <w:ilvl w:val="1"/>
          <w:numId w:val="1"/>
        </w:numPr>
        <w:rPr>
          <w:lang w:val="pl-PL"/>
        </w:rPr>
      </w:pPr>
      <w:r w:rsidRPr="00F00BB6">
        <w:rPr>
          <w:lang w:val="pl-PL"/>
        </w:rPr>
        <w:t>że od upływu wspomnianego okresu do chwili zapłaty od kwot tych należne są odsetki proste według stopy równej stopie procentowej kredytu Europejskiego Banku Centralnego, obowiązującej w tym okresie, powiększonej o trzy punkty procentowe;</w:t>
      </w:r>
    </w:p>
    <w:p w14:paraId="343FE983" w14:textId="290871DC" w:rsidR="00501056" w:rsidRPr="00F00BB6" w:rsidRDefault="00501056" w:rsidP="00384BCF">
      <w:pPr>
        <w:pStyle w:val="JuList"/>
        <w:rPr>
          <w:lang w:val="pl-PL"/>
        </w:rPr>
      </w:pPr>
      <w:r w:rsidRPr="00F00BB6">
        <w:rPr>
          <w:i/>
          <w:iCs/>
          <w:lang w:val="pl-PL"/>
        </w:rPr>
        <w:t>oddala</w:t>
      </w:r>
      <w:r w:rsidRPr="00F00BB6">
        <w:rPr>
          <w:lang w:val="pl-PL"/>
        </w:rPr>
        <w:t xml:space="preserve"> żądanie słusznego zadośćuczynienia w pozostałym zakresie.</w:t>
      </w:r>
    </w:p>
    <w:p w14:paraId="182F1A3B" w14:textId="0C818D8A" w:rsidR="00893F30" w:rsidRPr="00F00BB6" w:rsidRDefault="00893F30" w:rsidP="00384BCF">
      <w:pPr>
        <w:pStyle w:val="JuParaLast"/>
        <w:rPr>
          <w:lang w:val="pl-PL"/>
        </w:rPr>
      </w:pPr>
      <w:r w:rsidRPr="00F00BB6">
        <w:rPr>
          <w:lang w:val="pl-PL"/>
        </w:rPr>
        <w:t>Sporządzono w języku francuskim i przekazano w formie pisemnej w</w:t>
      </w:r>
      <w:r w:rsidR="009C1390" w:rsidRPr="00F00BB6">
        <w:rPr>
          <w:lang w:val="pl-PL"/>
        </w:rPr>
        <w:t> </w:t>
      </w:r>
      <w:r w:rsidRPr="00F00BB6">
        <w:rPr>
          <w:lang w:val="pl-PL"/>
        </w:rPr>
        <w:t>dniu</w:t>
      </w:r>
      <w:r w:rsidR="009C1390" w:rsidRPr="00F00BB6">
        <w:rPr>
          <w:lang w:val="pl-PL"/>
        </w:rPr>
        <w:t> </w:t>
      </w:r>
      <w:r w:rsidRPr="00F00BB6">
        <w:rPr>
          <w:lang w:val="pl-PL"/>
        </w:rPr>
        <w:t xml:space="preserve">9 lutego 2023 r., zgodnie z </w:t>
      </w:r>
      <w:r w:rsidR="00614D57">
        <w:rPr>
          <w:lang w:val="pl-PL"/>
        </w:rPr>
        <w:t>art.</w:t>
      </w:r>
      <w:r w:rsidR="00614D57" w:rsidRPr="00F00BB6">
        <w:rPr>
          <w:lang w:val="pl-PL"/>
        </w:rPr>
        <w:t xml:space="preserve"> </w:t>
      </w:r>
      <w:r w:rsidRPr="00F00BB6">
        <w:rPr>
          <w:lang w:val="pl-PL"/>
        </w:rPr>
        <w:t xml:space="preserve">77 </w:t>
      </w:r>
      <w:r w:rsidR="002F3BBA">
        <w:rPr>
          <w:lang w:val="pl-PL"/>
        </w:rPr>
        <w:t>ust.</w:t>
      </w:r>
      <w:r w:rsidRPr="00F00BB6">
        <w:rPr>
          <w:lang w:val="pl-PL"/>
        </w:rPr>
        <w:t xml:space="preserve"> 2 i 3 Regulaminu.</w:t>
      </w:r>
    </w:p>
    <w:p w14:paraId="620DFE08" w14:textId="661F7677" w:rsidR="00F94531" w:rsidRPr="00F00BB6" w:rsidRDefault="00510D77" w:rsidP="00384BCF">
      <w:pPr>
        <w:pStyle w:val="JuSigned"/>
        <w:keepNext/>
        <w:keepLines/>
        <w:rPr>
          <w:color w:val="F8F8F8" w:themeColor="background2"/>
          <w:lang w:val="pl-PL"/>
        </w:rPr>
      </w:pPr>
      <w:r w:rsidRPr="00F00BB6">
        <w:rPr>
          <w:lang w:val="pl-PL"/>
        </w:rPr>
        <w:tab/>
      </w:r>
    </w:p>
    <w:p w14:paraId="4DD76660" w14:textId="611FAC24" w:rsidR="00876F03" w:rsidRPr="00F00BB6" w:rsidRDefault="003E5DFE" w:rsidP="00384BCF">
      <w:pPr>
        <w:pStyle w:val="JuSigned"/>
        <w:tabs>
          <w:tab w:val="clear" w:pos="1418"/>
          <w:tab w:val="center" w:pos="1560"/>
        </w:tabs>
        <w:rPr>
          <w:lang w:val="pl-PL"/>
        </w:rPr>
      </w:pPr>
      <w:r w:rsidRPr="00F00BB6">
        <w:rPr>
          <w:noProof/>
          <w:lang w:val="pl-PL"/>
        </w:rPr>
        <w:tab/>
        <w:t>Liv Tigerstedt</w:t>
      </w:r>
      <w:r w:rsidRPr="00F00BB6">
        <w:rPr>
          <w:noProof/>
          <w:lang w:val="pl-PL"/>
        </w:rPr>
        <w:tab/>
        <w:t xml:space="preserve">Lətif Hüseynov </w:t>
      </w:r>
      <w:r w:rsidRPr="00F00BB6">
        <w:rPr>
          <w:noProof/>
          <w:lang w:val="pl-PL"/>
        </w:rPr>
        <w:br/>
      </w:r>
      <w:r w:rsidRPr="00F00BB6">
        <w:rPr>
          <w:noProof/>
          <w:lang w:val="pl-PL"/>
        </w:rPr>
        <w:tab/>
        <w:t>Zastępc</w:t>
      </w:r>
      <w:r w:rsidR="0020340E">
        <w:rPr>
          <w:noProof/>
          <w:lang w:val="pl-PL"/>
        </w:rPr>
        <w:t>zyni</w:t>
      </w:r>
      <w:r w:rsidRPr="00F00BB6">
        <w:rPr>
          <w:noProof/>
          <w:lang w:val="pl-PL"/>
        </w:rPr>
        <w:t xml:space="preserve"> Kanclerza</w:t>
      </w:r>
      <w:r w:rsidRPr="00F00BB6">
        <w:rPr>
          <w:noProof/>
          <w:lang w:val="pl-PL"/>
        </w:rPr>
        <w:tab/>
        <w:t>Przewodniczący</w:t>
      </w:r>
    </w:p>
    <w:p w14:paraId="681FEEA1" w14:textId="0C9782CC" w:rsidR="00227BCF" w:rsidRPr="00F00BB6" w:rsidRDefault="00227BCF" w:rsidP="00384BCF">
      <w:pPr>
        <w:pStyle w:val="DecHTitle"/>
        <w:rPr>
          <w:rFonts w:ascii="Times New Roman" w:hAnsi="Times New Roman" w:cs="Times New Roman"/>
          <w:lang w:val="pl-PL"/>
        </w:rPr>
      </w:pPr>
    </w:p>
    <w:p w14:paraId="2B8192D8" w14:textId="24EB2DEE" w:rsidR="008007FC" w:rsidRPr="00F00BB6" w:rsidRDefault="008007FC" w:rsidP="00384BCF">
      <w:pPr>
        <w:pStyle w:val="JuPara"/>
        <w:rPr>
          <w:lang w:val="pl-PL"/>
        </w:rPr>
      </w:pPr>
    </w:p>
    <w:p w14:paraId="6D4DC58C" w14:textId="5BA06DA4" w:rsidR="008007FC" w:rsidRPr="00F00BB6" w:rsidRDefault="008007FC" w:rsidP="00384BCF">
      <w:pPr>
        <w:pStyle w:val="JuPara"/>
        <w:rPr>
          <w:lang w:val="pl-PL"/>
        </w:rPr>
      </w:pPr>
    </w:p>
    <w:p w14:paraId="349B0811" w14:textId="3A9145B3" w:rsidR="008007FC" w:rsidRPr="00F00BB6" w:rsidRDefault="008007FC" w:rsidP="00384BCF">
      <w:pPr>
        <w:rPr>
          <w:lang w:val="pl-PL"/>
        </w:rPr>
      </w:pPr>
      <w:r w:rsidRPr="00F00BB6">
        <w:rPr>
          <w:lang w:val="pl-PL"/>
        </w:rPr>
        <w:br w:type="page"/>
      </w:r>
    </w:p>
    <w:p w14:paraId="722BAF7A" w14:textId="7C8B56BC" w:rsidR="008007FC" w:rsidRPr="00F00BB6" w:rsidRDefault="008007FC" w:rsidP="00384BCF">
      <w:pPr>
        <w:pStyle w:val="JuPara"/>
        <w:rPr>
          <w:lang w:val="pl-PL"/>
        </w:rPr>
      </w:pPr>
    </w:p>
    <w:p w14:paraId="088B5EAA" w14:textId="18C739F5" w:rsidR="008007FC" w:rsidRPr="00F00BB6" w:rsidRDefault="008007FC" w:rsidP="00384BCF">
      <w:pPr>
        <w:pStyle w:val="JuPara"/>
        <w:jc w:val="center"/>
        <w:rPr>
          <w:lang w:val="pl-PL"/>
        </w:rPr>
      </w:pPr>
      <w:r w:rsidRPr="00F00BB6">
        <w:rPr>
          <w:rFonts w:ascii="Times New Roman" w:eastAsia="Times New Roman" w:hAnsi="Times New Roman" w:cs="Times New Roman"/>
          <w:lang w:val="pl-PL"/>
        </w:rPr>
        <w:t>ZAŁĄCZNIK</w:t>
      </w:r>
    </w:p>
    <w:p w14:paraId="5EF93085" w14:textId="77777777" w:rsidR="008007FC" w:rsidRPr="00F00BB6" w:rsidRDefault="008007FC" w:rsidP="00384BCF">
      <w:pPr>
        <w:pStyle w:val="JuPara"/>
        <w:rPr>
          <w:lang w:val="pl-PL"/>
        </w:rPr>
      </w:pPr>
    </w:p>
    <w:tbl>
      <w:tblPr>
        <w:tblStyle w:val="ECHRListTable"/>
        <w:tblW w:w="5000" w:type="pct"/>
        <w:tblLook w:val="0420" w:firstRow="1" w:lastRow="0" w:firstColumn="0" w:lastColumn="0" w:noHBand="0" w:noVBand="1"/>
      </w:tblPr>
      <w:tblGrid>
        <w:gridCol w:w="570"/>
        <w:gridCol w:w="1952"/>
        <w:gridCol w:w="1243"/>
        <w:gridCol w:w="1670"/>
        <w:gridCol w:w="1913"/>
      </w:tblGrid>
      <w:tr w:rsidR="00227BCF" w:rsidRPr="00F00BB6" w14:paraId="77D7F64C" w14:textId="77777777" w:rsidTr="002544E7">
        <w:trPr>
          <w:cnfStyle w:val="100000000000" w:firstRow="1" w:lastRow="0" w:firstColumn="0" w:lastColumn="0" w:oddVBand="0" w:evenVBand="0" w:oddHBand="0" w:evenHBand="0" w:firstRowFirstColumn="0" w:firstRowLastColumn="0" w:lastRowFirstColumn="0" w:lastRowLastColumn="0"/>
        </w:trPr>
        <w:tc>
          <w:tcPr>
            <w:tcW w:w="320" w:type="pct"/>
          </w:tcPr>
          <w:p w14:paraId="2C1287EE" w14:textId="77777777" w:rsidR="00227BCF" w:rsidRPr="00F00BB6" w:rsidRDefault="00227BCF" w:rsidP="00384BCF">
            <w:pPr>
              <w:rPr>
                <w:rFonts w:eastAsia="Times New Roman"/>
                <w:lang w:val="pl-PL"/>
              </w:rPr>
            </w:pPr>
            <w:r w:rsidRPr="00F00BB6">
              <w:rPr>
                <w:rFonts w:eastAsia="Times New Roman"/>
                <w:bCs/>
                <w:lang w:val="pl-PL"/>
              </w:rPr>
              <w:t>Lp.</w:t>
            </w:r>
          </w:p>
        </w:tc>
        <w:tc>
          <w:tcPr>
            <w:tcW w:w="1398" w:type="pct"/>
          </w:tcPr>
          <w:p w14:paraId="5DF58F73" w14:textId="77777777" w:rsidR="00227BCF" w:rsidRPr="00F00BB6" w:rsidRDefault="00227BCF" w:rsidP="00384BCF">
            <w:pPr>
              <w:rPr>
                <w:rFonts w:eastAsia="Times New Roman"/>
                <w:lang w:val="pl-PL"/>
              </w:rPr>
            </w:pPr>
            <w:r w:rsidRPr="00F00BB6">
              <w:rPr>
                <w:rFonts w:eastAsia="Times New Roman"/>
                <w:bCs/>
                <w:lang w:val="pl-PL"/>
              </w:rPr>
              <w:t>Imię NAZWISKO</w:t>
            </w:r>
          </w:p>
        </w:tc>
        <w:tc>
          <w:tcPr>
            <w:tcW w:w="786" w:type="pct"/>
          </w:tcPr>
          <w:p w14:paraId="308D0E63" w14:textId="77777777" w:rsidR="00227BCF" w:rsidRPr="00F00BB6" w:rsidRDefault="00227BCF" w:rsidP="00384BCF">
            <w:pPr>
              <w:rPr>
                <w:rFonts w:eastAsia="Times New Roman"/>
                <w:lang w:val="pl-PL"/>
              </w:rPr>
            </w:pPr>
            <w:r w:rsidRPr="00F00BB6">
              <w:rPr>
                <w:rFonts w:eastAsia="Times New Roman"/>
                <w:bCs/>
                <w:lang w:val="pl-PL"/>
              </w:rPr>
              <w:t>Rok urodzenia</w:t>
            </w:r>
          </w:p>
        </w:tc>
        <w:tc>
          <w:tcPr>
            <w:tcW w:w="1123" w:type="pct"/>
          </w:tcPr>
          <w:p w14:paraId="2E6DBD1D" w14:textId="77777777" w:rsidR="00227BCF" w:rsidRPr="00F00BB6" w:rsidRDefault="00227BCF" w:rsidP="00384BCF">
            <w:pPr>
              <w:rPr>
                <w:rFonts w:eastAsia="Times New Roman"/>
                <w:lang w:val="pl-PL"/>
              </w:rPr>
            </w:pPr>
            <w:r w:rsidRPr="00F00BB6">
              <w:rPr>
                <w:rFonts w:eastAsia="Times New Roman"/>
                <w:bCs/>
                <w:lang w:val="pl-PL"/>
              </w:rPr>
              <w:t>Obywatelstwo</w:t>
            </w:r>
          </w:p>
        </w:tc>
        <w:tc>
          <w:tcPr>
            <w:tcW w:w="1372" w:type="pct"/>
          </w:tcPr>
          <w:p w14:paraId="42FCD082" w14:textId="77777777" w:rsidR="00227BCF" w:rsidRPr="00F00BB6" w:rsidRDefault="00227BCF" w:rsidP="00384BCF">
            <w:pPr>
              <w:rPr>
                <w:rFonts w:eastAsia="Times New Roman"/>
                <w:lang w:val="pl-PL"/>
              </w:rPr>
            </w:pPr>
            <w:r w:rsidRPr="00F00BB6">
              <w:rPr>
                <w:rFonts w:eastAsia="Times New Roman"/>
                <w:bCs/>
                <w:lang w:val="pl-PL"/>
              </w:rPr>
              <w:t>Miejsce zamieszkania</w:t>
            </w:r>
          </w:p>
        </w:tc>
      </w:tr>
      <w:tr w:rsidR="00227BCF" w:rsidRPr="00F00BB6" w14:paraId="6C7FDA6E" w14:textId="77777777" w:rsidTr="002544E7">
        <w:tc>
          <w:tcPr>
            <w:tcW w:w="320" w:type="pct"/>
          </w:tcPr>
          <w:p w14:paraId="3310B11B" w14:textId="77777777" w:rsidR="00227BCF" w:rsidRPr="00F00BB6" w:rsidRDefault="00227BCF" w:rsidP="00384BCF">
            <w:pPr>
              <w:rPr>
                <w:rFonts w:eastAsia="Times New Roman"/>
                <w:lang w:val="pl-PL"/>
              </w:rPr>
            </w:pPr>
            <w:r w:rsidRPr="00F00BB6">
              <w:rPr>
                <w:rFonts w:eastAsia="Times New Roman"/>
                <w:lang w:val="pl-PL"/>
              </w:rPr>
              <w:t>1.</w:t>
            </w:r>
          </w:p>
        </w:tc>
        <w:tc>
          <w:tcPr>
            <w:tcW w:w="1398" w:type="pct"/>
          </w:tcPr>
          <w:p w14:paraId="22671713" w14:textId="171BC616" w:rsidR="00227BCF" w:rsidRPr="00F00BB6" w:rsidRDefault="00227BCF" w:rsidP="00384BCF">
            <w:pPr>
              <w:rPr>
                <w:rFonts w:eastAsia="Times New Roman"/>
                <w:lang w:val="pl-PL"/>
              </w:rPr>
            </w:pPr>
            <w:r w:rsidRPr="00F00BB6">
              <w:rPr>
                <w:rFonts w:eastAsia="Times New Roman"/>
                <w:lang w:val="pl-PL"/>
              </w:rPr>
              <w:t>R.M.</w:t>
            </w:r>
          </w:p>
        </w:tc>
        <w:tc>
          <w:tcPr>
            <w:tcW w:w="786" w:type="pct"/>
          </w:tcPr>
          <w:p w14:paraId="67ED0B91" w14:textId="77777777" w:rsidR="00227BCF" w:rsidRPr="00F00BB6" w:rsidRDefault="00227BCF" w:rsidP="00384BCF">
            <w:pPr>
              <w:rPr>
                <w:rFonts w:eastAsia="Times New Roman"/>
                <w:lang w:val="pl-PL"/>
              </w:rPr>
            </w:pPr>
            <w:r w:rsidRPr="00F00BB6">
              <w:rPr>
                <w:rFonts w:eastAsia="Times New Roman"/>
                <w:lang w:val="pl-PL"/>
              </w:rPr>
              <w:t>1987</w:t>
            </w:r>
          </w:p>
        </w:tc>
        <w:tc>
          <w:tcPr>
            <w:tcW w:w="1123" w:type="pct"/>
          </w:tcPr>
          <w:p w14:paraId="0BE1A773" w14:textId="77777777" w:rsidR="00227BCF" w:rsidRPr="00F00BB6" w:rsidRDefault="00227BCF" w:rsidP="00384BCF">
            <w:pPr>
              <w:rPr>
                <w:rFonts w:eastAsia="Times New Roman"/>
                <w:lang w:val="pl-PL"/>
              </w:rPr>
            </w:pPr>
            <w:r w:rsidRPr="00F00BB6">
              <w:rPr>
                <w:rFonts w:eastAsia="Times New Roman"/>
                <w:lang w:val="pl-PL"/>
              </w:rPr>
              <w:t>rosyjskie</w:t>
            </w:r>
          </w:p>
        </w:tc>
        <w:tc>
          <w:tcPr>
            <w:tcW w:w="1372" w:type="pct"/>
          </w:tcPr>
          <w:p w14:paraId="6AE19E39" w14:textId="77777777" w:rsidR="00227BCF" w:rsidRPr="00F00BB6" w:rsidRDefault="00227BCF" w:rsidP="00384BCF">
            <w:pPr>
              <w:rPr>
                <w:rFonts w:eastAsia="Times New Roman"/>
                <w:lang w:val="pl-PL"/>
              </w:rPr>
            </w:pPr>
            <w:r w:rsidRPr="00F00BB6">
              <w:rPr>
                <w:rFonts w:eastAsia="Times New Roman"/>
                <w:lang w:val="pl-PL"/>
              </w:rPr>
              <w:t>Kętrzyn</w:t>
            </w:r>
          </w:p>
        </w:tc>
      </w:tr>
      <w:tr w:rsidR="00227BCF" w:rsidRPr="00F00BB6" w14:paraId="2323DAE2" w14:textId="77777777" w:rsidTr="002544E7">
        <w:tc>
          <w:tcPr>
            <w:tcW w:w="320" w:type="pct"/>
          </w:tcPr>
          <w:p w14:paraId="7FEB932F" w14:textId="77777777" w:rsidR="00227BCF" w:rsidRPr="00F00BB6" w:rsidRDefault="00227BCF" w:rsidP="00384BCF">
            <w:pPr>
              <w:rPr>
                <w:rFonts w:eastAsia="Times New Roman"/>
                <w:lang w:val="pl-PL"/>
              </w:rPr>
            </w:pPr>
            <w:r w:rsidRPr="00F00BB6">
              <w:rPr>
                <w:lang w:val="pl-PL"/>
              </w:rPr>
              <w:t>2.</w:t>
            </w:r>
          </w:p>
        </w:tc>
        <w:tc>
          <w:tcPr>
            <w:tcW w:w="1398" w:type="pct"/>
          </w:tcPr>
          <w:p w14:paraId="0B7A8191" w14:textId="1F8AE7C7" w:rsidR="00227BCF" w:rsidRPr="00F00BB6" w:rsidRDefault="00227BCF" w:rsidP="00384BCF">
            <w:pPr>
              <w:rPr>
                <w:rFonts w:eastAsia="Times New Roman"/>
                <w:lang w:val="pl-PL"/>
              </w:rPr>
            </w:pPr>
            <w:r w:rsidRPr="00F00BB6">
              <w:rPr>
                <w:lang w:val="pl-PL"/>
              </w:rPr>
              <w:t>M.T.</w:t>
            </w:r>
          </w:p>
        </w:tc>
        <w:tc>
          <w:tcPr>
            <w:tcW w:w="786" w:type="pct"/>
          </w:tcPr>
          <w:p w14:paraId="75C94528" w14:textId="77777777" w:rsidR="00227BCF" w:rsidRPr="00F00BB6" w:rsidRDefault="00227BCF" w:rsidP="00384BCF">
            <w:pPr>
              <w:rPr>
                <w:rFonts w:eastAsia="Times New Roman"/>
                <w:lang w:val="pl-PL"/>
              </w:rPr>
            </w:pPr>
            <w:r w:rsidRPr="00F00BB6">
              <w:rPr>
                <w:lang w:val="pl-PL"/>
              </w:rPr>
              <w:t>2006</w:t>
            </w:r>
          </w:p>
        </w:tc>
        <w:tc>
          <w:tcPr>
            <w:tcW w:w="1123" w:type="pct"/>
          </w:tcPr>
          <w:p w14:paraId="456EF330" w14:textId="77777777" w:rsidR="00227BCF" w:rsidRPr="00F00BB6" w:rsidRDefault="00227BCF" w:rsidP="00384BCF">
            <w:pPr>
              <w:rPr>
                <w:rFonts w:eastAsia="Times New Roman"/>
                <w:lang w:val="pl-PL"/>
              </w:rPr>
            </w:pPr>
            <w:r w:rsidRPr="00F00BB6">
              <w:rPr>
                <w:lang w:val="pl-PL"/>
              </w:rPr>
              <w:t>rosyjskie</w:t>
            </w:r>
          </w:p>
        </w:tc>
        <w:tc>
          <w:tcPr>
            <w:tcW w:w="1372" w:type="pct"/>
          </w:tcPr>
          <w:p w14:paraId="4C744264" w14:textId="77777777" w:rsidR="00227BCF" w:rsidRPr="00F00BB6" w:rsidRDefault="00227BCF" w:rsidP="00384BCF">
            <w:pPr>
              <w:rPr>
                <w:rFonts w:eastAsia="Times New Roman"/>
                <w:lang w:val="pl-PL"/>
              </w:rPr>
            </w:pPr>
            <w:r w:rsidRPr="00F00BB6">
              <w:rPr>
                <w:lang w:val="pl-PL"/>
              </w:rPr>
              <w:t>Kętrzyn</w:t>
            </w:r>
          </w:p>
        </w:tc>
      </w:tr>
      <w:tr w:rsidR="00227BCF" w:rsidRPr="00F00BB6" w14:paraId="5E696246" w14:textId="77777777" w:rsidTr="002544E7">
        <w:tc>
          <w:tcPr>
            <w:tcW w:w="320" w:type="pct"/>
          </w:tcPr>
          <w:p w14:paraId="3190E0CD" w14:textId="77777777" w:rsidR="00227BCF" w:rsidRPr="00F00BB6" w:rsidRDefault="00227BCF" w:rsidP="00384BCF">
            <w:pPr>
              <w:rPr>
                <w:rFonts w:eastAsia="Times New Roman"/>
                <w:lang w:val="pl-PL"/>
              </w:rPr>
            </w:pPr>
            <w:r w:rsidRPr="00F00BB6">
              <w:rPr>
                <w:rFonts w:eastAsia="Times New Roman"/>
                <w:lang w:val="pl-PL"/>
              </w:rPr>
              <w:t>3.</w:t>
            </w:r>
          </w:p>
        </w:tc>
        <w:tc>
          <w:tcPr>
            <w:tcW w:w="1398" w:type="pct"/>
          </w:tcPr>
          <w:p w14:paraId="1E0CE401" w14:textId="2EEA7019" w:rsidR="00227BCF" w:rsidRPr="00F00BB6" w:rsidRDefault="00227BCF" w:rsidP="00384BCF">
            <w:pPr>
              <w:rPr>
                <w:rFonts w:eastAsia="Times New Roman"/>
                <w:lang w:val="pl-PL"/>
              </w:rPr>
            </w:pPr>
            <w:r w:rsidRPr="00F00BB6">
              <w:rPr>
                <w:rFonts w:eastAsia="Times New Roman"/>
                <w:lang w:val="pl-PL"/>
              </w:rPr>
              <w:t>D.T.</w:t>
            </w:r>
          </w:p>
        </w:tc>
        <w:tc>
          <w:tcPr>
            <w:tcW w:w="786" w:type="pct"/>
          </w:tcPr>
          <w:p w14:paraId="6F93B16F" w14:textId="77777777" w:rsidR="00227BCF" w:rsidRPr="00F00BB6" w:rsidRDefault="00227BCF" w:rsidP="00384BCF">
            <w:pPr>
              <w:rPr>
                <w:rFonts w:eastAsia="Times New Roman"/>
                <w:lang w:val="pl-PL"/>
              </w:rPr>
            </w:pPr>
            <w:r w:rsidRPr="00F00BB6">
              <w:rPr>
                <w:rFonts w:eastAsia="Times New Roman"/>
                <w:lang w:val="pl-PL"/>
              </w:rPr>
              <w:t>2014</w:t>
            </w:r>
          </w:p>
        </w:tc>
        <w:tc>
          <w:tcPr>
            <w:tcW w:w="1123" w:type="pct"/>
          </w:tcPr>
          <w:p w14:paraId="100ADC93" w14:textId="77777777" w:rsidR="00227BCF" w:rsidRPr="00F00BB6" w:rsidRDefault="00227BCF" w:rsidP="00384BCF">
            <w:pPr>
              <w:rPr>
                <w:rFonts w:eastAsia="Times New Roman"/>
                <w:lang w:val="pl-PL"/>
              </w:rPr>
            </w:pPr>
            <w:r w:rsidRPr="00F00BB6">
              <w:rPr>
                <w:rFonts w:eastAsia="Times New Roman"/>
                <w:lang w:val="pl-PL"/>
              </w:rPr>
              <w:t>rosyjskie</w:t>
            </w:r>
          </w:p>
        </w:tc>
        <w:tc>
          <w:tcPr>
            <w:tcW w:w="1372" w:type="pct"/>
          </w:tcPr>
          <w:p w14:paraId="0BBCA096" w14:textId="77777777" w:rsidR="00227BCF" w:rsidRPr="00F00BB6" w:rsidRDefault="00227BCF" w:rsidP="00384BCF">
            <w:pPr>
              <w:rPr>
                <w:rFonts w:eastAsia="Times New Roman"/>
                <w:lang w:val="pl-PL"/>
              </w:rPr>
            </w:pPr>
            <w:r w:rsidRPr="00F00BB6">
              <w:rPr>
                <w:rFonts w:eastAsia="Times New Roman"/>
                <w:lang w:val="pl-PL"/>
              </w:rPr>
              <w:t>Kętrzyn</w:t>
            </w:r>
          </w:p>
        </w:tc>
      </w:tr>
      <w:tr w:rsidR="00227BCF" w:rsidRPr="00F00BB6" w14:paraId="4E8AF936" w14:textId="77777777" w:rsidTr="002544E7">
        <w:tc>
          <w:tcPr>
            <w:tcW w:w="320" w:type="pct"/>
          </w:tcPr>
          <w:p w14:paraId="0BEBF1B9" w14:textId="77777777" w:rsidR="00227BCF" w:rsidRPr="00F00BB6" w:rsidRDefault="00227BCF" w:rsidP="00384BCF">
            <w:pPr>
              <w:rPr>
                <w:rFonts w:eastAsia="Times New Roman"/>
                <w:lang w:val="pl-PL"/>
              </w:rPr>
            </w:pPr>
            <w:r w:rsidRPr="00F00BB6">
              <w:rPr>
                <w:rFonts w:eastAsia="Times New Roman"/>
                <w:lang w:val="pl-PL"/>
              </w:rPr>
              <w:t>4.</w:t>
            </w:r>
          </w:p>
        </w:tc>
        <w:tc>
          <w:tcPr>
            <w:tcW w:w="1398" w:type="pct"/>
          </w:tcPr>
          <w:p w14:paraId="75A4F4F6" w14:textId="72DB2866" w:rsidR="00227BCF" w:rsidRPr="00F00BB6" w:rsidRDefault="00227BCF" w:rsidP="00384BCF">
            <w:pPr>
              <w:rPr>
                <w:rFonts w:eastAsia="Times New Roman"/>
                <w:lang w:val="pl-PL"/>
              </w:rPr>
            </w:pPr>
            <w:r w:rsidRPr="00F00BB6">
              <w:rPr>
                <w:rFonts w:eastAsia="Times New Roman"/>
                <w:lang w:val="pl-PL"/>
              </w:rPr>
              <w:t>I.T.</w:t>
            </w:r>
          </w:p>
        </w:tc>
        <w:tc>
          <w:tcPr>
            <w:tcW w:w="786" w:type="pct"/>
          </w:tcPr>
          <w:p w14:paraId="54566865" w14:textId="77777777" w:rsidR="00227BCF" w:rsidRPr="00F00BB6" w:rsidRDefault="00227BCF" w:rsidP="00384BCF">
            <w:pPr>
              <w:rPr>
                <w:rFonts w:eastAsia="Times New Roman"/>
                <w:lang w:val="pl-PL"/>
              </w:rPr>
            </w:pPr>
            <w:r w:rsidRPr="00F00BB6">
              <w:rPr>
                <w:rFonts w:eastAsia="Times New Roman"/>
                <w:lang w:val="pl-PL"/>
              </w:rPr>
              <w:t>2014</w:t>
            </w:r>
          </w:p>
        </w:tc>
        <w:tc>
          <w:tcPr>
            <w:tcW w:w="1123" w:type="pct"/>
          </w:tcPr>
          <w:p w14:paraId="11EFBB3E" w14:textId="77777777" w:rsidR="00227BCF" w:rsidRPr="00F00BB6" w:rsidRDefault="00227BCF" w:rsidP="00384BCF">
            <w:pPr>
              <w:rPr>
                <w:rFonts w:eastAsia="Times New Roman"/>
                <w:lang w:val="pl-PL"/>
              </w:rPr>
            </w:pPr>
            <w:r w:rsidRPr="00F00BB6">
              <w:rPr>
                <w:rFonts w:eastAsia="Times New Roman"/>
                <w:lang w:val="pl-PL"/>
              </w:rPr>
              <w:t>rosyjskie</w:t>
            </w:r>
          </w:p>
        </w:tc>
        <w:tc>
          <w:tcPr>
            <w:tcW w:w="1372" w:type="pct"/>
          </w:tcPr>
          <w:p w14:paraId="34EEF71E" w14:textId="77777777" w:rsidR="00227BCF" w:rsidRPr="00F00BB6" w:rsidRDefault="00227BCF" w:rsidP="00384BCF">
            <w:pPr>
              <w:rPr>
                <w:rFonts w:eastAsia="Times New Roman"/>
                <w:lang w:val="pl-PL"/>
              </w:rPr>
            </w:pPr>
            <w:r w:rsidRPr="00F00BB6">
              <w:rPr>
                <w:rFonts w:eastAsia="Times New Roman"/>
                <w:lang w:val="pl-PL"/>
              </w:rPr>
              <w:t>Kętrzyn</w:t>
            </w:r>
          </w:p>
        </w:tc>
      </w:tr>
    </w:tbl>
    <w:p w14:paraId="77ADE1EC" w14:textId="4487791D" w:rsidR="00876F03" w:rsidRPr="00F00BB6" w:rsidRDefault="00876F03" w:rsidP="00384BCF">
      <w:pPr>
        <w:rPr>
          <w:lang w:val="pl-PL"/>
        </w:rPr>
      </w:pPr>
    </w:p>
    <w:sectPr w:rsidR="00876F03" w:rsidRPr="00F00BB6">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3B46ED" w14:textId="77777777" w:rsidR="006F4797" w:rsidRPr="00227BCF" w:rsidRDefault="006F4797" w:rsidP="00516B59">
      <w:r>
        <w:separator/>
      </w:r>
    </w:p>
  </w:endnote>
  <w:endnote w:type="continuationSeparator" w:id="0">
    <w:p w14:paraId="265D5319" w14:textId="77777777" w:rsidR="006F4797" w:rsidRPr="00227BCF" w:rsidRDefault="006F4797" w:rsidP="0051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798D2" w14:textId="7D5A065A" w:rsidR="00954AD6" w:rsidRPr="00227BCF" w:rsidRDefault="00227BCF" w:rsidP="00954AD6">
    <w:pPr>
      <w:pStyle w:val="JuHeader"/>
    </w:pPr>
    <w:r>
      <w:rPr>
        <w:lang w:val="pl"/>
      </w:rPr>
      <w:fldChar w:fldCharType="begin"/>
    </w:r>
    <w:r>
      <w:rPr>
        <w:lang w:val="pl"/>
      </w:rPr>
      <w:instrText xml:space="preserve"> PAGE </w:instrText>
    </w:r>
    <w:r>
      <w:rPr>
        <w:lang w:val="pl"/>
      </w:rPr>
      <w:fldChar w:fldCharType="separate"/>
    </w:r>
    <w:r>
      <w:rPr>
        <w:noProof/>
        <w:lang w:val="pl"/>
      </w:rPr>
      <w:t>2</w:t>
    </w:r>
    <w:r>
      <w:rPr>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64362" w14:textId="7F467223" w:rsidR="00227BCF" w:rsidRPr="00150BFA" w:rsidRDefault="00227BCF" w:rsidP="0020718E">
    <w:pPr>
      <w:jc w:val="center"/>
    </w:pPr>
    <w:r>
      <w:rPr>
        <w:noProof/>
        <w:lang w:val="pl"/>
      </w:rPr>
      <w:drawing>
        <wp:inline distT="0" distB="0" distL="0" distR="0" wp14:anchorId="5B67153A" wp14:editId="1CA642F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6CF1822" w14:textId="3164B37C" w:rsidR="00F22D5C" w:rsidRPr="00227BCF" w:rsidRDefault="00D555DF"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4D8C4" w14:textId="2A00FE51" w:rsidR="00227BCF" w:rsidRPr="00150BFA" w:rsidRDefault="00227BCF" w:rsidP="0020718E">
    <w:pPr>
      <w:jc w:val="center"/>
    </w:pPr>
    <w:r>
      <w:rPr>
        <w:noProof/>
        <w:lang w:val="pl"/>
      </w:rPr>
      <w:drawing>
        <wp:inline distT="0" distB="0" distL="0" distR="0" wp14:anchorId="0AF4D51D" wp14:editId="6DA06584">
          <wp:extent cx="771525" cy="619125"/>
          <wp:effectExtent l="0" t="0" r="9525" b="9525"/>
          <wp:docPr id="79" name="Picture 7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27214A8" w14:textId="3D636AB2" w:rsidR="00902601" w:rsidRPr="00227BCF" w:rsidRDefault="00902601"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92F9C" w14:textId="6C33A23C" w:rsidR="00F22D5C" w:rsidRPr="00D01935" w:rsidRDefault="00227BCF" w:rsidP="00662882">
    <w:pPr>
      <w:pStyle w:val="JuHeader"/>
    </w:pPr>
    <w:r>
      <w:rPr>
        <w:lang w:val="pl"/>
      </w:rPr>
      <w:fldChar w:fldCharType="begin"/>
    </w:r>
    <w:r>
      <w:rPr>
        <w:lang w:val="pl"/>
      </w:rPr>
      <w:instrText xml:space="preserve"> PAGE </w:instrText>
    </w:r>
    <w:r>
      <w:rPr>
        <w:lang w:val="pl"/>
      </w:rPr>
      <w:fldChar w:fldCharType="separate"/>
    </w:r>
    <w:r>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1A34A3" w14:textId="77777777" w:rsidR="006F4797" w:rsidRPr="00227BCF" w:rsidRDefault="006F4797" w:rsidP="00516B59">
      <w:r>
        <w:separator/>
      </w:r>
    </w:p>
  </w:footnote>
  <w:footnote w:type="continuationSeparator" w:id="0">
    <w:p w14:paraId="1E54072C" w14:textId="77777777" w:rsidR="006F4797" w:rsidRPr="00227BCF" w:rsidRDefault="006F4797" w:rsidP="00516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28EB9" w14:textId="6D4232AA" w:rsidR="00227BCF" w:rsidRPr="00A45145" w:rsidRDefault="00227BCF" w:rsidP="00A45145">
    <w:pPr>
      <w:jc w:val="center"/>
    </w:pPr>
    <w:r>
      <w:rPr>
        <w:noProof/>
        <w:lang w:val="pl"/>
      </w:rPr>
      <w:drawing>
        <wp:inline distT="0" distB="0" distL="0" distR="0" wp14:anchorId="61CC8825" wp14:editId="7E8FECAC">
          <wp:extent cx="2962275" cy="1219200"/>
          <wp:effectExtent l="0" t="0" r="9525" b="0"/>
          <wp:docPr id="81" name="Picture 8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6DEA1E8" w14:textId="72777EA3" w:rsidR="00F22D5C" w:rsidRPr="00227BCF" w:rsidRDefault="00D555DF" w:rsidP="009840A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3B7EE" w14:textId="5065C86E" w:rsidR="00227BCF" w:rsidRPr="00A45145" w:rsidRDefault="00227BCF" w:rsidP="00A45145">
    <w:pPr>
      <w:jc w:val="center"/>
    </w:pPr>
    <w:r>
      <w:rPr>
        <w:noProof/>
        <w:lang w:val="pl"/>
      </w:rPr>
      <w:drawing>
        <wp:inline distT="0" distB="0" distL="0" distR="0" wp14:anchorId="26BA071C" wp14:editId="49AF9630">
          <wp:extent cx="2962275" cy="1219200"/>
          <wp:effectExtent l="0" t="0" r="9525" b="0"/>
          <wp:docPr id="71" name="Picture 7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10E592D" w14:textId="7021812F" w:rsidR="00902601" w:rsidRPr="00227BCF" w:rsidRDefault="00902601" w:rsidP="00902601">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70AAD" w14:textId="4C4F368B" w:rsidR="00F22D5C" w:rsidRPr="009C1390" w:rsidRDefault="00A21624" w:rsidP="00A21624">
    <w:pPr>
      <w:pStyle w:val="JuHeader"/>
      <w:rPr>
        <w:lang w:val="pl-PL"/>
      </w:rPr>
    </w:pPr>
    <w:r>
      <w:rPr>
        <w:lang w:val="pl"/>
      </w:rPr>
      <w:t>WYROK W SPRAWIE R.M. I INNI przeciwko POLSCE</w:t>
    </w:r>
    <w:r>
      <w:rPr>
        <w:noProof/>
        <w:lang w:val="pl"/>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BF587" w14:textId="59F5A0CA" w:rsidR="00F22D5C" w:rsidRPr="009C1390" w:rsidRDefault="00256F45" w:rsidP="00662882">
    <w:pPr>
      <w:pStyle w:val="JuHeader"/>
      <w:rPr>
        <w:lang w:val="pl-PL"/>
      </w:rPr>
    </w:pPr>
    <w:r>
      <w:rPr>
        <w:lang w:val="pl"/>
      </w:rPr>
      <w:t xml:space="preserve">WYROK W SPRAWIE R.M. I INNI przeciwko POLSCE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13"/>
  </w:num>
  <w:num w:numId="3">
    <w:abstractNumId w:val="11"/>
  </w:num>
  <w:num w:numId="4">
    <w:abstractNumId w:val="10"/>
  </w:num>
  <w:num w:numId="5">
    <w:abstractNumId w:val="16"/>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9"/>
  </w:num>
  <w:num w:numId="16">
    <w:abstractNumId w:val="14"/>
  </w:num>
  <w:num w:numId="17">
    <w:abstractNumId w:val="12"/>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AppNatAutre" w:val="1"/>
    <w:docVar w:name="DocVarPREMATURE" w:val="0"/>
    <w:docVar w:name="EMM" w:val="0"/>
    <w:docVar w:name="ETRANSMISSION" w:val="PAR VOIE ÈLECTRONIQUE UNIQUEMENT"/>
    <w:docVar w:name="L4_1Annex" w:val="0"/>
    <w:docVar w:name="L4_1Anonymity" w:val="1"/>
    <w:docVar w:name="L4_1AppNatList" w:val="russe"/>
    <w:docVar w:name="LW_DocType" w:val="NORMAL"/>
    <w:docVar w:name="NBEMMDOC" w:val="0"/>
    <w:docVar w:name="P3" w:val="P3"/>
    <w:docVar w:name="Plural" w:val="0"/>
    <w:docVar w:name="SignForeName" w:val="0"/>
    <w:docVar w:name="SndCaseNumber" w:val="Error!Nodocumentvariablesupplied."/>
  </w:docVars>
  <w:rsids>
    <w:rsidRoot w:val="00227BCF"/>
    <w:rsid w:val="000041F8"/>
    <w:rsid w:val="000042A8"/>
    <w:rsid w:val="00004308"/>
    <w:rsid w:val="00005BF0"/>
    <w:rsid w:val="00007154"/>
    <w:rsid w:val="000103AE"/>
    <w:rsid w:val="00011D69"/>
    <w:rsid w:val="00012527"/>
    <w:rsid w:val="00012AD3"/>
    <w:rsid w:val="00015C2D"/>
    <w:rsid w:val="00015F00"/>
    <w:rsid w:val="00020CF4"/>
    <w:rsid w:val="00022C1D"/>
    <w:rsid w:val="000248DF"/>
    <w:rsid w:val="00034987"/>
    <w:rsid w:val="000354F3"/>
    <w:rsid w:val="00051015"/>
    <w:rsid w:val="00056A4B"/>
    <w:rsid w:val="000602DF"/>
    <w:rsid w:val="00061065"/>
    <w:rsid w:val="00061B05"/>
    <w:rsid w:val="000632D5"/>
    <w:rsid w:val="000644EE"/>
    <w:rsid w:val="000649D2"/>
    <w:rsid w:val="000675A9"/>
    <w:rsid w:val="00072037"/>
    <w:rsid w:val="00080ECE"/>
    <w:rsid w:val="00086E4E"/>
    <w:rsid w:val="0009057B"/>
    <w:rsid w:val="000925AD"/>
    <w:rsid w:val="00094EF0"/>
    <w:rsid w:val="000A20EB"/>
    <w:rsid w:val="000A24EB"/>
    <w:rsid w:val="000A7A31"/>
    <w:rsid w:val="000B5D17"/>
    <w:rsid w:val="000B6923"/>
    <w:rsid w:val="000C5F3C"/>
    <w:rsid w:val="000C62AF"/>
    <w:rsid w:val="000C6DCC"/>
    <w:rsid w:val="000D04C2"/>
    <w:rsid w:val="000D3851"/>
    <w:rsid w:val="000D47AA"/>
    <w:rsid w:val="000D721F"/>
    <w:rsid w:val="000E069B"/>
    <w:rsid w:val="000E0E82"/>
    <w:rsid w:val="000E1DC5"/>
    <w:rsid w:val="000E223F"/>
    <w:rsid w:val="000E4AC8"/>
    <w:rsid w:val="000E70C0"/>
    <w:rsid w:val="000E7D45"/>
    <w:rsid w:val="000F1305"/>
    <w:rsid w:val="000F19D8"/>
    <w:rsid w:val="000F7851"/>
    <w:rsid w:val="00104E23"/>
    <w:rsid w:val="00107387"/>
    <w:rsid w:val="001116A8"/>
    <w:rsid w:val="00111B0C"/>
    <w:rsid w:val="00117CD2"/>
    <w:rsid w:val="00120D6C"/>
    <w:rsid w:val="001257EC"/>
    <w:rsid w:val="00133D33"/>
    <w:rsid w:val="00134D64"/>
    <w:rsid w:val="00135A30"/>
    <w:rsid w:val="0013612C"/>
    <w:rsid w:val="00137FF6"/>
    <w:rsid w:val="001410FE"/>
    <w:rsid w:val="00141650"/>
    <w:rsid w:val="00157B2B"/>
    <w:rsid w:val="001625AD"/>
    <w:rsid w:val="00162967"/>
    <w:rsid w:val="00162A12"/>
    <w:rsid w:val="0016582F"/>
    <w:rsid w:val="00166530"/>
    <w:rsid w:val="00172D7E"/>
    <w:rsid w:val="0017555D"/>
    <w:rsid w:val="00180BAE"/>
    <w:rsid w:val="00180EBE"/>
    <w:rsid w:val="00181508"/>
    <w:rsid w:val="001832BD"/>
    <w:rsid w:val="00183A8A"/>
    <w:rsid w:val="001943B5"/>
    <w:rsid w:val="00194C5B"/>
    <w:rsid w:val="00195134"/>
    <w:rsid w:val="001A145B"/>
    <w:rsid w:val="001A2684"/>
    <w:rsid w:val="001A674C"/>
    <w:rsid w:val="001B3B24"/>
    <w:rsid w:val="001C0F98"/>
    <w:rsid w:val="001C2A42"/>
    <w:rsid w:val="001C2B5C"/>
    <w:rsid w:val="001D63ED"/>
    <w:rsid w:val="001D7348"/>
    <w:rsid w:val="001E035B"/>
    <w:rsid w:val="001E0961"/>
    <w:rsid w:val="001E2F7E"/>
    <w:rsid w:val="001E3EAE"/>
    <w:rsid w:val="001E6F32"/>
    <w:rsid w:val="001F2145"/>
    <w:rsid w:val="001F39F4"/>
    <w:rsid w:val="001F6262"/>
    <w:rsid w:val="001F67B0"/>
    <w:rsid w:val="001F7B3D"/>
    <w:rsid w:val="002025D0"/>
    <w:rsid w:val="0020340E"/>
    <w:rsid w:val="00204F24"/>
    <w:rsid w:val="00205F9F"/>
    <w:rsid w:val="00210338"/>
    <w:rsid w:val="002115FC"/>
    <w:rsid w:val="00212184"/>
    <w:rsid w:val="0021423C"/>
    <w:rsid w:val="00227BCF"/>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6553C"/>
    <w:rsid w:val="00275123"/>
    <w:rsid w:val="00282240"/>
    <w:rsid w:val="00285F04"/>
    <w:rsid w:val="002922A5"/>
    <w:rsid w:val="002948AD"/>
    <w:rsid w:val="0029739C"/>
    <w:rsid w:val="002A01CC"/>
    <w:rsid w:val="002A61B1"/>
    <w:rsid w:val="002A663C"/>
    <w:rsid w:val="002B045A"/>
    <w:rsid w:val="002B43CE"/>
    <w:rsid w:val="002B444B"/>
    <w:rsid w:val="002B5887"/>
    <w:rsid w:val="002B7E83"/>
    <w:rsid w:val="002C0E27"/>
    <w:rsid w:val="002C3040"/>
    <w:rsid w:val="002D022D"/>
    <w:rsid w:val="002D24BB"/>
    <w:rsid w:val="002D63AE"/>
    <w:rsid w:val="002F29AA"/>
    <w:rsid w:val="002F2AF7"/>
    <w:rsid w:val="002F3BBA"/>
    <w:rsid w:val="002F7E1C"/>
    <w:rsid w:val="00301A75"/>
    <w:rsid w:val="00302F70"/>
    <w:rsid w:val="0030336F"/>
    <w:rsid w:val="0030375E"/>
    <w:rsid w:val="0030660C"/>
    <w:rsid w:val="00312A30"/>
    <w:rsid w:val="00316323"/>
    <w:rsid w:val="00320F72"/>
    <w:rsid w:val="0032463E"/>
    <w:rsid w:val="00326224"/>
    <w:rsid w:val="003325B9"/>
    <w:rsid w:val="00337EE4"/>
    <w:rsid w:val="00340FFD"/>
    <w:rsid w:val="00345A3B"/>
    <w:rsid w:val="003471AF"/>
    <w:rsid w:val="003506B1"/>
    <w:rsid w:val="00356AC7"/>
    <w:rsid w:val="003609FA"/>
    <w:rsid w:val="00361D45"/>
    <w:rsid w:val="00367B4F"/>
    <w:rsid w:val="003710C8"/>
    <w:rsid w:val="003722CE"/>
    <w:rsid w:val="003750BE"/>
    <w:rsid w:val="00384BCF"/>
    <w:rsid w:val="00387B9D"/>
    <w:rsid w:val="0039364F"/>
    <w:rsid w:val="00396686"/>
    <w:rsid w:val="0039778E"/>
    <w:rsid w:val="003A37B8"/>
    <w:rsid w:val="003A5E97"/>
    <w:rsid w:val="003A6097"/>
    <w:rsid w:val="003B4941"/>
    <w:rsid w:val="003B6A2E"/>
    <w:rsid w:val="003C5714"/>
    <w:rsid w:val="003C6B9F"/>
    <w:rsid w:val="003C6E2A"/>
    <w:rsid w:val="003D0299"/>
    <w:rsid w:val="003D32BE"/>
    <w:rsid w:val="003E0193"/>
    <w:rsid w:val="003E3FE3"/>
    <w:rsid w:val="003E5DFE"/>
    <w:rsid w:val="003E6D80"/>
    <w:rsid w:val="003E7A9C"/>
    <w:rsid w:val="003F05FA"/>
    <w:rsid w:val="003F244A"/>
    <w:rsid w:val="003F2B64"/>
    <w:rsid w:val="003F30B8"/>
    <w:rsid w:val="003F31DE"/>
    <w:rsid w:val="003F4ADE"/>
    <w:rsid w:val="003F4C45"/>
    <w:rsid w:val="003F5F7B"/>
    <w:rsid w:val="003F7D64"/>
    <w:rsid w:val="00401F7D"/>
    <w:rsid w:val="0041177B"/>
    <w:rsid w:val="00414300"/>
    <w:rsid w:val="00415CD7"/>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2AF"/>
    <w:rsid w:val="004923A5"/>
    <w:rsid w:val="0049589D"/>
    <w:rsid w:val="00496197"/>
    <w:rsid w:val="00496BFB"/>
    <w:rsid w:val="004A15C7"/>
    <w:rsid w:val="004B013B"/>
    <w:rsid w:val="004B112B"/>
    <w:rsid w:val="004B1D53"/>
    <w:rsid w:val="004C01E4"/>
    <w:rsid w:val="004C086C"/>
    <w:rsid w:val="004C14C4"/>
    <w:rsid w:val="004C1A3F"/>
    <w:rsid w:val="004C1F56"/>
    <w:rsid w:val="004C27BC"/>
    <w:rsid w:val="004C7F14"/>
    <w:rsid w:val="004D15F3"/>
    <w:rsid w:val="004D3876"/>
    <w:rsid w:val="004D5311"/>
    <w:rsid w:val="004D5DCC"/>
    <w:rsid w:val="004E22F1"/>
    <w:rsid w:val="004F10AF"/>
    <w:rsid w:val="004F11A4"/>
    <w:rsid w:val="004F2389"/>
    <w:rsid w:val="004F304D"/>
    <w:rsid w:val="004F61BE"/>
    <w:rsid w:val="004F66B1"/>
    <w:rsid w:val="00501056"/>
    <w:rsid w:val="00502B09"/>
    <w:rsid w:val="00510D77"/>
    <w:rsid w:val="00511C07"/>
    <w:rsid w:val="00516B59"/>
    <w:rsid w:val="005173A6"/>
    <w:rsid w:val="00520539"/>
    <w:rsid w:val="00520BAA"/>
    <w:rsid w:val="00522ABA"/>
    <w:rsid w:val="00524F1F"/>
    <w:rsid w:val="00525208"/>
    <w:rsid w:val="005257A5"/>
    <w:rsid w:val="005264C0"/>
    <w:rsid w:val="00526A8A"/>
    <w:rsid w:val="00531DF2"/>
    <w:rsid w:val="005442EE"/>
    <w:rsid w:val="00547353"/>
    <w:rsid w:val="005474E7"/>
    <w:rsid w:val="005512A3"/>
    <w:rsid w:val="005578CE"/>
    <w:rsid w:val="00561D24"/>
    <w:rsid w:val="00562781"/>
    <w:rsid w:val="00566E2B"/>
    <w:rsid w:val="0057271C"/>
    <w:rsid w:val="00572845"/>
    <w:rsid w:val="00576986"/>
    <w:rsid w:val="00582957"/>
    <w:rsid w:val="00592772"/>
    <w:rsid w:val="00592C8D"/>
    <w:rsid w:val="0059574A"/>
    <w:rsid w:val="005A1B9B"/>
    <w:rsid w:val="005A6751"/>
    <w:rsid w:val="005B092E"/>
    <w:rsid w:val="005B152C"/>
    <w:rsid w:val="005B1EE0"/>
    <w:rsid w:val="005B2B24"/>
    <w:rsid w:val="005B32FC"/>
    <w:rsid w:val="005B4425"/>
    <w:rsid w:val="005B4B94"/>
    <w:rsid w:val="005C353F"/>
    <w:rsid w:val="005C3EE8"/>
    <w:rsid w:val="005D104C"/>
    <w:rsid w:val="005D34F9"/>
    <w:rsid w:val="005D4190"/>
    <w:rsid w:val="005D67A3"/>
    <w:rsid w:val="005E2988"/>
    <w:rsid w:val="005E3085"/>
    <w:rsid w:val="005F51E1"/>
    <w:rsid w:val="00610F7A"/>
    <w:rsid w:val="00611C80"/>
    <w:rsid w:val="00613B21"/>
    <w:rsid w:val="00614D57"/>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74BC6"/>
    <w:rsid w:val="006773E2"/>
    <w:rsid w:val="00682BF2"/>
    <w:rsid w:val="006859CE"/>
    <w:rsid w:val="00691270"/>
    <w:rsid w:val="00693510"/>
    <w:rsid w:val="00694BA8"/>
    <w:rsid w:val="006A037C"/>
    <w:rsid w:val="006A36F4"/>
    <w:rsid w:val="006A3B06"/>
    <w:rsid w:val="006A406F"/>
    <w:rsid w:val="006A5D3A"/>
    <w:rsid w:val="006C23D4"/>
    <w:rsid w:val="006C475E"/>
    <w:rsid w:val="006C7BB0"/>
    <w:rsid w:val="006D3237"/>
    <w:rsid w:val="006E2E37"/>
    <w:rsid w:val="006E3CF1"/>
    <w:rsid w:val="006E7E80"/>
    <w:rsid w:val="006F3D35"/>
    <w:rsid w:val="006F4797"/>
    <w:rsid w:val="006F48CA"/>
    <w:rsid w:val="006F64DD"/>
    <w:rsid w:val="0070547A"/>
    <w:rsid w:val="00715127"/>
    <w:rsid w:val="00715E8E"/>
    <w:rsid w:val="00717047"/>
    <w:rsid w:val="007172B0"/>
    <w:rsid w:val="00723580"/>
    <w:rsid w:val="00723755"/>
    <w:rsid w:val="00724AE2"/>
    <w:rsid w:val="007308B1"/>
    <w:rsid w:val="00730B5C"/>
    <w:rsid w:val="0073136C"/>
    <w:rsid w:val="00731F0F"/>
    <w:rsid w:val="00732B77"/>
    <w:rsid w:val="00733250"/>
    <w:rsid w:val="00735951"/>
    <w:rsid w:val="00741404"/>
    <w:rsid w:val="007449E5"/>
    <w:rsid w:val="00747FF0"/>
    <w:rsid w:val="0075238D"/>
    <w:rsid w:val="007531EE"/>
    <w:rsid w:val="007612E2"/>
    <w:rsid w:val="00764D4E"/>
    <w:rsid w:val="00765A1F"/>
    <w:rsid w:val="0076687F"/>
    <w:rsid w:val="007720D6"/>
    <w:rsid w:val="00775B6D"/>
    <w:rsid w:val="00776D68"/>
    <w:rsid w:val="00784FCD"/>
    <w:rsid w:val="007850EE"/>
    <w:rsid w:val="00785B95"/>
    <w:rsid w:val="00787D39"/>
    <w:rsid w:val="00790AAD"/>
    <w:rsid w:val="00790E96"/>
    <w:rsid w:val="00793366"/>
    <w:rsid w:val="00793B28"/>
    <w:rsid w:val="00794E99"/>
    <w:rsid w:val="007971FF"/>
    <w:rsid w:val="007A4070"/>
    <w:rsid w:val="007A716F"/>
    <w:rsid w:val="007B270A"/>
    <w:rsid w:val="007C0695"/>
    <w:rsid w:val="007C419A"/>
    <w:rsid w:val="007C4CC8"/>
    <w:rsid w:val="007C5426"/>
    <w:rsid w:val="007C5798"/>
    <w:rsid w:val="007D4832"/>
    <w:rsid w:val="007D58B2"/>
    <w:rsid w:val="007E21B2"/>
    <w:rsid w:val="007E2C4E"/>
    <w:rsid w:val="007F030E"/>
    <w:rsid w:val="007F0513"/>
    <w:rsid w:val="007F1905"/>
    <w:rsid w:val="008007FC"/>
    <w:rsid w:val="00801300"/>
    <w:rsid w:val="00802C64"/>
    <w:rsid w:val="0080523A"/>
    <w:rsid w:val="00805E52"/>
    <w:rsid w:val="008061D0"/>
    <w:rsid w:val="00810B38"/>
    <w:rsid w:val="008204C7"/>
    <w:rsid w:val="00820992"/>
    <w:rsid w:val="00823602"/>
    <w:rsid w:val="008255F5"/>
    <w:rsid w:val="0083014E"/>
    <w:rsid w:val="0083214A"/>
    <w:rsid w:val="00834220"/>
    <w:rsid w:val="0083676C"/>
    <w:rsid w:val="00845723"/>
    <w:rsid w:val="00851EF9"/>
    <w:rsid w:val="008577FD"/>
    <w:rsid w:val="00860B03"/>
    <w:rsid w:val="0086496B"/>
    <w:rsid w:val="0086497A"/>
    <w:rsid w:val="008713A1"/>
    <w:rsid w:val="00873D9C"/>
    <w:rsid w:val="008748BE"/>
    <w:rsid w:val="008754AB"/>
    <w:rsid w:val="00876A02"/>
    <w:rsid w:val="00876F03"/>
    <w:rsid w:val="0088060C"/>
    <w:rsid w:val="00884261"/>
    <w:rsid w:val="00891107"/>
    <w:rsid w:val="00893576"/>
    <w:rsid w:val="00893E73"/>
    <w:rsid w:val="00893F30"/>
    <w:rsid w:val="00895F5B"/>
    <w:rsid w:val="008B02DC"/>
    <w:rsid w:val="008B2698"/>
    <w:rsid w:val="008B360D"/>
    <w:rsid w:val="008B561F"/>
    <w:rsid w:val="008B57CE"/>
    <w:rsid w:val="008C26DE"/>
    <w:rsid w:val="008D2225"/>
    <w:rsid w:val="008D4752"/>
    <w:rsid w:val="008E271C"/>
    <w:rsid w:val="008E418E"/>
    <w:rsid w:val="008E5BC6"/>
    <w:rsid w:val="008E6A25"/>
    <w:rsid w:val="008E7A1B"/>
    <w:rsid w:val="008F5193"/>
    <w:rsid w:val="009013A7"/>
    <w:rsid w:val="00901745"/>
    <w:rsid w:val="009017FB"/>
    <w:rsid w:val="009017FC"/>
    <w:rsid w:val="009020E3"/>
    <w:rsid w:val="00902601"/>
    <w:rsid w:val="0090506B"/>
    <w:rsid w:val="009050C9"/>
    <w:rsid w:val="009066FC"/>
    <w:rsid w:val="00913B1D"/>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6482"/>
    <w:rsid w:val="00977227"/>
    <w:rsid w:val="0098228B"/>
    <w:rsid w:val="009828DA"/>
    <w:rsid w:val="00985BAB"/>
    <w:rsid w:val="00994E3F"/>
    <w:rsid w:val="009B1B5F"/>
    <w:rsid w:val="009B6673"/>
    <w:rsid w:val="009C1390"/>
    <w:rsid w:val="009C191B"/>
    <w:rsid w:val="009C2BD6"/>
    <w:rsid w:val="009C78A9"/>
    <w:rsid w:val="009D2F52"/>
    <w:rsid w:val="009E16D2"/>
    <w:rsid w:val="009E1F32"/>
    <w:rsid w:val="009E776C"/>
    <w:rsid w:val="009F128A"/>
    <w:rsid w:val="00A00672"/>
    <w:rsid w:val="00A05671"/>
    <w:rsid w:val="00A132AD"/>
    <w:rsid w:val="00A1726E"/>
    <w:rsid w:val="00A204CF"/>
    <w:rsid w:val="00A21624"/>
    <w:rsid w:val="00A23D49"/>
    <w:rsid w:val="00A27004"/>
    <w:rsid w:val="00A30C29"/>
    <w:rsid w:val="00A34DD6"/>
    <w:rsid w:val="00A360B4"/>
    <w:rsid w:val="00A36819"/>
    <w:rsid w:val="00A36989"/>
    <w:rsid w:val="00A42955"/>
    <w:rsid w:val="00A43628"/>
    <w:rsid w:val="00A43AA3"/>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99E"/>
    <w:rsid w:val="00AB4328"/>
    <w:rsid w:val="00AB5628"/>
    <w:rsid w:val="00AC00C2"/>
    <w:rsid w:val="00AC5872"/>
    <w:rsid w:val="00AD2473"/>
    <w:rsid w:val="00AE0A2E"/>
    <w:rsid w:val="00AE354C"/>
    <w:rsid w:val="00AF4B07"/>
    <w:rsid w:val="00AF6186"/>
    <w:rsid w:val="00AF65DD"/>
    <w:rsid w:val="00AF7A3A"/>
    <w:rsid w:val="00B009F4"/>
    <w:rsid w:val="00B03BD2"/>
    <w:rsid w:val="00B05A5B"/>
    <w:rsid w:val="00B160DB"/>
    <w:rsid w:val="00B20836"/>
    <w:rsid w:val="00B235BB"/>
    <w:rsid w:val="00B25320"/>
    <w:rsid w:val="00B25943"/>
    <w:rsid w:val="00B25D3B"/>
    <w:rsid w:val="00B27A44"/>
    <w:rsid w:val="00B30BBF"/>
    <w:rsid w:val="00B33C03"/>
    <w:rsid w:val="00B36DDF"/>
    <w:rsid w:val="00B44E56"/>
    <w:rsid w:val="00B46543"/>
    <w:rsid w:val="00B47D33"/>
    <w:rsid w:val="00B52BE0"/>
    <w:rsid w:val="00B54133"/>
    <w:rsid w:val="00B54B39"/>
    <w:rsid w:val="00B54E16"/>
    <w:rsid w:val="00B701ED"/>
    <w:rsid w:val="00B751F4"/>
    <w:rsid w:val="00B8086C"/>
    <w:rsid w:val="00B840F7"/>
    <w:rsid w:val="00B861B4"/>
    <w:rsid w:val="00B86DFE"/>
    <w:rsid w:val="00B90990"/>
    <w:rsid w:val="00B922FF"/>
    <w:rsid w:val="00B9281E"/>
    <w:rsid w:val="00B93925"/>
    <w:rsid w:val="00B95187"/>
    <w:rsid w:val="00BA2D55"/>
    <w:rsid w:val="00BA67DB"/>
    <w:rsid w:val="00BA71B1"/>
    <w:rsid w:val="00BB0637"/>
    <w:rsid w:val="00BB345F"/>
    <w:rsid w:val="00BB5CA3"/>
    <w:rsid w:val="00BB68EA"/>
    <w:rsid w:val="00BC1C27"/>
    <w:rsid w:val="00BC1F03"/>
    <w:rsid w:val="00BC6BBF"/>
    <w:rsid w:val="00BD1572"/>
    <w:rsid w:val="00BD757E"/>
    <w:rsid w:val="00BE14E3"/>
    <w:rsid w:val="00BE3774"/>
    <w:rsid w:val="00BE41E5"/>
    <w:rsid w:val="00BF4109"/>
    <w:rsid w:val="00BF4B9C"/>
    <w:rsid w:val="00BF4CC3"/>
    <w:rsid w:val="00C00E59"/>
    <w:rsid w:val="00C02839"/>
    <w:rsid w:val="00C054C7"/>
    <w:rsid w:val="00C057B5"/>
    <w:rsid w:val="00C149F0"/>
    <w:rsid w:val="00C22687"/>
    <w:rsid w:val="00C25983"/>
    <w:rsid w:val="00C30C22"/>
    <w:rsid w:val="00C32E4D"/>
    <w:rsid w:val="00C333A0"/>
    <w:rsid w:val="00C36408"/>
    <w:rsid w:val="00C36A81"/>
    <w:rsid w:val="00C41974"/>
    <w:rsid w:val="00C45616"/>
    <w:rsid w:val="00C53F4A"/>
    <w:rsid w:val="00C54125"/>
    <w:rsid w:val="00C55B54"/>
    <w:rsid w:val="00C6098E"/>
    <w:rsid w:val="00C6152C"/>
    <w:rsid w:val="00C74810"/>
    <w:rsid w:val="00C81ACF"/>
    <w:rsid w:val="00C87F58"/>
    <w:rsid w:val="00C90D68"/>
    <w:rsid w:val="00C939FE"/>
    <w:rsid w:val="00CA4BDA"/>
    <w:rsid w:val="00CA7C61"/>
    <w:rsid w:val="00CB17CD"/>
    <w:rsid w:val="00CB1F66"/>
    <w:rsid w:val="00CB2951"/>
    <w:rsid w:val="00CD282B"/>
    <w:rsid w:val="00CD4C3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5DF"/>
    <w:rsid w:val="00D55E2C"/>
    <w:rsid w:val="00D566BD"/>
    <w:rsid w:val="00D56FF5"/>
    <w:rsid w:val="00D57A4D"/>
    <w:rsid w:val="00D60AA7"/>
    <w:rsid w:val="00D61CB7"/>
    <w:rsid w:val="00D62A67"/>
    <w:rsid w:val="00D6435F"/>
    <w:rsid w:val="00D75E28"/>
    <w:rsid w:val="00D772C2"/>
    <w:rsid w:val="00D8008E"/>
    <w:rsid w:val="00D82C45"/>
    <w:rsid w:val="00D84E45"/>
    <w:rsid w:val="00D908A8"/>
    <w:rsid w:val="00D977B6"/>
    <w:rsid w:val="00DA3634"/>
    <w:rsid w:val="00DA4A31"/>
    <w:rsid w:val="00DA7B04"/>
    <w:rsid w:val="00DB36C2"/>
    <w:rsid w:val="00DB5CBD"/>
    <w:rsid w:val="00DC169B"/>
    <w:rsid w:val="00DC2AB9"/>
    <w:rsid w:val="00DC63F0"/>
    <w:rsid w:val="00DD2693"/>
    <w:rsid w:val="00DD35B0"/>
    <w:rsid w:val="00DD5382"/>
    <w:rsid w:val="00DD6EE5"/>
    <w:rsid w:val="00DE09DB"/>
    <w:rsid w:val="00DE2362"/>
    <w:rsid w:val="00DE386C"/>
    <w:rsid w:val="00DE4D35"/>
    <w:rsid w:val="00DF098B"/>
    <w:rsid w:val="00DF11C4"/>
    <w:rsid w:val="00DF1FF9"/>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5FC1"/>
    <w:rsid w:val="00E76D47"/>
    <w:rsid w:val="00E849F7"/>
    <w:rsid w:val="00E90302"/>
    <w:rsid w:val="00E97396"/>
    <w:rsid w:val="00EA0140"/>
    <w:rsid w:val="00EA185E"/>
    <w:rsid w:val="00EA592A"/>
    <w:rsid w:val="00EB14E4"/>
    <w:rsid w:val="00EB182B"/>
    <w:rsid w:val="00EB32A5"/>
    <w:rsid w:val="00EB34ED"/>
    <w:rsid w:val="00EB4A37"/>
    <w:rsid w:val="00EB7BE0"/>
    <w:rsid w:val="00EC0C60"/>
    <w:rsid w:val="00EC315E"/>
    <w:rsid w:val="00EC58D1"/>
    <w:rsid w:val="00ED077C"/>
    <w:rsid w:val="00ED1190"/>
    <w:rsid w:val="00ED6544"/>
    <w:rsid w:val="00EE0277"/>
    <w:rsid w:val="00EE3E00"/>
    <w:rsid w:val="00EE5DD2"/>
    <w:rsid w:val="00F00A79"/>
    <w:rsid w:val="00F00BB6"/>
    <w:rsid w:val="00F00E86"/>
    <w:rsid w:val="00F048E4"/>
    <w:rsid w:val="00F07C1E"/>
    <w:rsid w:val="00F105DB"/>
    <w:rsid w:val="00F132BC"/>
    <w:rsid w:val="00F13D80"/>
    <w:rsid w:val="00F16AAA"/>
    <w:rsid w:val="00F21161"/>
    <w:rsid w:val="00F218EF"/>
    <w:rsid w:val="00F21BC7"/>
    <w:rsid w:val="00F25EFC"/>
    <w:rsid w:val="00F266A2"/>
    <w:rsid w:val="00F272CC"/>
    <w:rsid w:val="00F27D13"/>
    <w:rsid w:val="00F32269"/>
    <w:rsid w:val="00F37F94"/>
    <w:rsid w:val="00F54057"/>
    <w:rsid w:val="00F56A6F"/>
    <w:rsid w:val="00F5709C"/>
    <w:rsid w:val="00F626DA"/>
    <w:rsid w:val="00F64EF1"/>
    <w:rsid w:val="00F659F3"/>
    <w:rsid w:val="00F83589"/>
    <w:rsid w:val="00F83DA3"/>
    <w:rsid w:val="00F8765F"/>
    <w:rsid w:val="00F90767"/>
    <w:rsid w:val="00F912E4"/>
    <w:rsid w:val="00F94531"/>
    <w:rsid w:val="00F9588E"/>
    <w:rsid w:val="00FA1313"/>
    <w:rsid w:val="00FA685B"/>
    <w:rsid w:val="00FB0C01"/>
    <w:rsid w:val="00FC04E5"/>
    <w:rsid w:val="00FC18F2"/>
    <w:rsid w:val="00FC39E5"/>
    <w:rsid w:val="00FC3A78"/>
    <w:rsid w:val="00FC7837"/>
    <w:rsid w:val="00FD1005"/>
    <w:rsid w:val="00FD61AA"/>
    <w:rsid w:val="00FD6C75"/>
    <w:rsid w:val="00FD7649"/>
    <w:rsid w:val="00FE4262"/>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65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384BCF"/>
    <w:rPr>
      <w:sz w:val="24"/>
      <w:szCs w:val="24"/>
      <w:lang w:val="fr-FR"/>
    </w:rPr>
  </w:style>
  <w:style w:type="paragraph" w:styleId="Nagwek1">
    <w:name w:val="heading 1"/>
    <w:basedOn w:val="Normalny"/>
    <w:next w:val="Normalny"/>
    <w:link w:val="Nagwek1Znak"/>
    <w:uiPriority w:val="98"/>
    <w:semiHidden/>
    <w:rsid w:val="00384BC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84BC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84BCF"/>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84BCF"/>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84BCF"/>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84BC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84BCF"/>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84BC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84BC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84BCF"/>
    <w:rPr>
      <w:rFonts w:ascii="Tahoma" w:hAnsi="Tahoma" w:cs="Tahoma"/>
      <w:sz w:val="16"/>
      <w:szCs w:val="16"/>
    </w:rPr>
  </w:style>
  <w:style w:type="character" w:customStyle="1" w:styleId="TekstdymkaZnak">
    <w:name w:val="Tekst dymka Znak"/>
    <w:basedOn w:val="Domylnaczcionkaakapitu"/>
    <w:link w:val="Tekstdymka"/>
    <w:uiPriority w:val="98"/>
    <w:semiHidden/>
    <w:rsid w:val="00384BCF"/>
    <w:rPr>
      <w:rFonts w:ascii="Tahoma" w:hAnsi="Tahoma" w:cs="Tahoma"/>
      <w:sz w:val="16"/>
      <w:szCs w:val="16"/>
      <w:lang w:val="fr-FR"/>
    </w:rPr>
  </w:style>
  <w:style w:type="character" w:styleId="Tytuksiki">
    <w:name w:val="Book Title"/>
    <w:uiPriority w:val="98"/>
    <w:semiHidden/>
    <w:qFormat/>
    <w:rsid w:val="00384BCF"/>
    <w:rPr>
      <w:i/>
      <w:iCs/>
      <w:smallCaps/>
      <w:spacing w:val="5"/>
    </w:rPr>
  </w:style>
  <w:style w:type="paragraph" w:customStyle="1" w:styleId="JuHeader">
    <w:name w:val="Ju_Header"/>
    <w:aliases w:val="_Header"/>
    <w:basedOn w:val="Nagwek"/>
    <w:uiPriority w:val="29"/>
    <w:qFormat/>
    <w:rsid w:val="00384BCF"/>
    <w:pPr>
      <w:tabs>
        <w:tab w:val="clear" w:pos="4536"/>
        <w:tab w:val="clear" w:pos="9072"/>
      </w:tabs>
      <w:jc w:val="center"/>
    </w:pPr>
    <w:rPr>
      <w:sz w:val="18"/>
    </w:rPr>
  </w:style>
  <w:style w:type="character" w:styleId="Pogrubienie">
    <w:name w:val="Strong"/>
    <w:uiPriority w:val="98"/>
    <w:semiHidden/>
    <w:qFormat/>
    <w:rsid w:val="00384BCF"/>
    <w:rPr>
      <w:b/>
      <w:bCs/>
    </w:rPr>
  </w:style>
  <w:style w:type="paragraph" w:styleId="Bezodstpw">
    <w:name w:val="No Spacing"/>
    <w:basedOn w:val="Normalny"/>
    <w:link w:val="BezodstpwZnak"/>
    <w:uiPriority w:val="98"/>
    <w:semiHidden/>
    <w:qFormat/>
    <w:rsid w:val="00384BCF"/>
  </w:style>
  <w:style w:type="character" w:customStyle="1" w:styleId="BezodstpwZnak">
    <w:name w:val="Bez odstępów Znak"/>
    <w:basedOn w:val="Domylnaczcionkaakapitu"/>
    <w:link w:val="Bezodstpw"/>
    <w:uiPriority w:val="98"/>
    <w:semiHidden/>
    <w:rsid w:val="00384BCF"/>
    <w:rPr>
      <w:sz w:val="24"/>
      <w:szCs w:val="24"/>
      <w:lang w:val="fr-FR"/>
    </w:rPr>
  </w:style>
  <w:style w:type="paragraph" w:customStyle="1" w:styleId="JuQuot">
    <w:name w:val="Ju_Quot"/>
    <w:aliases w:val="_Quote"/>
    <w:basedOn w:val="NormalJustified"/>
    <w:uiPriority w:val="20"/>
    <w:qFormat/>
    <w:rsid w:val="00384BCF"/>
    <w:pPr>
      <w:spacing w:before="120" w:after="120"/>
      <w:ind w:left="425" w:firstLine="142"/>
    </w:pPr>
    <w:rPr>
      <w:sz w:val="20"/>
    </w:rPr>
  </w:style>
  <w:style w:type="paragraph" w:customStyle="1" w:styleId="JuList">
    <w:name w:val="Ju_List"/>
    <w:aliases w:val="_List_1"/>
    <w:basedOn w:val="NormalJustified"/>
    <w:uiPriority w:val="23"/>
    <w:qFormat/>
    <w:rsid w:val="00384BCF"/>
    <w:pPr>
      <w:numPr>
        <w:numId w:val="17"/>
      </w:numPr>
      <w:spacing w:before="280" w:after="60"/>
    </w:pPr>
  </w:style>
  <w:style w:type="paragraph" w:customStyle="1" w:styleId="JuLista">
    <w:name w:val="Ju_List_a"/>
    <w:aliases w:val="_List_2"/>
    <w:basedOn w:val="NormalJustified"/>
    <w:uiPriority w:val="23"/>
    <w:rsid w:val="00384BCF"/>
    <w:pPr>
      <w:numPr>
        <w:ilvl w:val="1"/>
        <w:numId w:val="17"/>
      </w:numPr>
    </w:pPr>
  </w:style>
  <w:style w:type="paragraph" w:customStyle="1" w:styleId="JuListi">
    <w:name w:val="Ju_List_i"/>
    <w:aliases w:val="_List_3"/>
    <w:basedOn w:val="NormalJustified"/>
    <w:uiPriority w:val="23"/>
    <w:rsid w:val="00384BCF"/>
    <w:pPr>
      <w:numPr>
        <w:ilvl w:val="2"/>
        <w:numId w:val="17"/>
      </w:numPr>
    </w:pPr>
  </w:style>
  <w:style w:type="paragraph" w:customStyle="1" w:styleId="DecHTitle">
    <w:name w:val="Dec_H_Title"/>
    <w:aliases w:val="_Title_1"/>
    <w:basedOn w:val="JuPara"/>
    <w:next w:val="JuPara"/>
    <w:uiPriority w:val="38"/>
    <w:qFormat/>
    <w:rsid w:val="00384BCF"/>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384BCF"/>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384BCF"/>
    <w:pPr>
      <w:keepNext/>
      <w:keepLines/>
      <w:tabs>
        <w:tab w:val="right" w:pos="7938"/>
      </w:tabs>
      <w:ind w:firstLine="0"/>
      <w:jc w:val="center"/>
    </w:pPr>
    <w:rPr>
      <w:i/>
    </w:rPr>
  </w:style>
  <w:style w:type="numbering" w:customStyle="1" w:styleId="ECHRA1StyleBulletedSquare">
    <w:name w:val="ECHR_A1_Style_Bulleted_Square"/>
    <w:basedOn w:val="Bezlisty"/>
    <w:rsid w:val="00384BCF"/>
    <w:pPr>
      <w:numPr>
        <w:numId w:val="16"/>
      </w:numPr>
    </w:pPr>
  </w:style>
  <w:style w:type="paragraph" w:customStyle="1" w:styleId="JuHHead">
    <w:name w:val="Ju_H_Head"/>
    <w:aliases w:val="_Head_1"/>
    <w:basedOn w:val="Nagwek1"/>
    <w:next w:val="JuPara"/>
    <w:uiPriority w:val="17"/>
    <w:qFormat/>
    <w:rsid w:val="00384BCF"/>
    <w:pPr>
      <w:keepNext/>
      <w:keepLines/>
      <w:numPr>
        <w:numId w:val="15"/>
      </w:numPr>
      <w:spacing w:before="100" w:beforeAutospacing="1" w:after="240"/>
      <w:contextualSpacing w:val="0"/>
      <w:jc w:val="both"/>
    </w:pPr>
    <w:rPr>
      <w:b w:val="0"/>
      <w:caps/>
      <w:color w:val="auto"/>
    </w:rPr>
  </w:style>
  <w:style w:type="numbering" w:customStyle="1" w:styleId="ECHRA1StyleList">
    <w:name w:val="ECHR_A1_Style_List"/>
    <w:basedOn w:val="Bezlisty"/>
    <w:uiPriority w:val="99"/>
    <w:rsid w:val="00384BCF"/>
    <w:pPr>
      <w:numPr>
        <w:numId w:val="1"/>
      </w:numPr>
    </w:pPr>
  </w:style>
  <w:style w:type="paragraph" w:customStyle="1" w:styleId="JuSigned">
    <w:name w:val="Ju_Signed"/>
    <w:aliases w:val="_Signature"/>
    <w:basedOn w:val="Normalny"/>
    <w:next w:val="JuPara"/>
    <w:uiPriority w:val="31"/>
    <w:qFormat/>
    <w:rsid w:val="00384BCF"/>
    <w:pPr>
      <w:tabs>
        <w:tab w:val="center" w:pos="1418"/>
        <w:tab w:val="center" w:pos="5954"/>
      </w:tabs>
      <w:spacing w:before="720"/>
    </w:pPr>
  </w:style>
  <w:style w:type="paragraph" w:styleId="Tytu">
    <w:name w:val="Title"/>
    <w:basedOn w:val="Normalny"/>
    <w:next w:val="Normalny"/>
    <w:link w:val="TytuZnak"/>
    <w:uiPriority w:val="98"/>
    <w:semiHidden/>
    <w:qFormat/>
    <w:rsid w:val="00384BC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84BCF"/>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rsid w:val="00384BCF"/>
    <w:pPr>
      <w:numPr>
        <w:numId w:val="18"/>
      </w:numPr>
    </w:pPr>
  </w:style>
  <w:style w:type="table" w:customStyle="1" w:styleId="ECHRTable2019">
    <w:name w:val="ECHR_Table_2019"/>
    <w:basedOn w:val="Standardowy"/>
    <w:uiPriority w:val="99"/>
    <w:rsid w:val="00384BC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384BCF"/>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384BCF"/>
    <w:pPr>
      <w:tabs>
        <w:tab w:val="center" w:pos="6407"/>
      </w:tabs>
      <w:spacing w:before="720"/>
      <w:jc w:val="right"/>
    </w:pPr>
  </w:style>
  <w:style w:type="paragraph" w:customStyle="1" w:styleId="JuHIRoman">
    <w:name w:val="Ju_H_I_Roman"/>
    <w:aliases w:val="_Head_2"/>
    <w:basedOn w:val="Nagwek2"/>
    <w:next w:val="JuPara"/>
    <w:uiPriority w:val="17"/>
    <w:qFormat/>
    <w:rsid w:val="00384BCF"/>
    <w:pPr>
      <w:keepNext/>
      <w:keepLines/>
      <w:numPr>
        <w:ilvl w:val="1"/>
        <w:numId w:val="15"/>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384BCF"/>
    <w:pPr>
      <w:keepNext/>
      <w:keepLines/>
      <w:numPr>
        <w:ilvl w:val="2"/>
        <w:numId w:val="15"/>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384BCF"/>
    <w:pPr>
      <w:keepNext/>
      <w:keepLines/>
      <w:numPr>
        <w:ilvl w:val="3"/>
        <w:numId w:val="15"/>
      </w:numPr>
      <w:spacing w:before="100" w:beforeAutospacing="1" w:after="120"/>
      <w:jc w:val="both"/>
    </w:pPr>
    <w:rPr>
      <w:b w:val="0"/>
      <w:color w:val="auto"/>
      <w:sz w:val="24"/>
    </w:rPr>
  </w:style>
  <w:style w:type="paragraph" w:styleId="Nagwek">
    <w:name w:val="header"/>
    <w:basedOn w:val="Normalny"/>
    <w:link w:val="NagwekZnak"/>
    <w:uiPriority w:val="98"/>
    <w:semiHidden/>
    <w:rsid w:val="00384BCF"/>
    <w:pPr>
      <w:tabs>
        <w:tab w:val="center" w:pos="4536"/>
        <w:tab w:val="right" w:pos="9072"/>
      </w:tabs>
    </w:pPr>
  </w:style>
  <w:style w:type="character" w:customStyle="1" w:styleId="NagwekZnak">
    <w:name w:val="Nagłówek Znak"/>
    <w:basedOn w:val="Domylnaczcionkaakapitu"/>
    <w:link w:val="Nagwek"/>
    <w:uiPriority w:val="98"/>
    <w:semiHidden/>
    <w:rsid w:val="00384BCF"/>
    <w:rPr>
      <w:sz w:val="24"/>
      <w:szCs w:val="24"/>
      <w:lang w:val="fr-FR"/>
    </w:rPr>
  </w:style>
  <w:style w:type="character" w:customStyle="1" w:styleId="Nagwek1Znak">
    <w:name w:val="Nagłówek 1 Znak"/>
    <w:basedOn w:val="Domylnaczcionkaakapitu"/>
    <w:link w:val="Nagwek1"/>
    <w:uiPriority w:val="98"/>
    <w:semiHidden/>
    <w:rsid w:val="00384BCF"/>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agwek5"/>
    <w:next w:val="JuPara"/>
    <w:uiPriority w:val="17"/>
    <w:rsid w:val="00384BCF"/>
    <w:pPr>
      <w:keepNext/>
      <w:keepLines/>
      <w:numPr>
        <w:ilvl w:val="4"/>
        <w:numId w:val="15"/>
      </w:numPr>
      <w:spacing w:before="100" w:beforeAutospacing="1" w:after="120"/>
      <w:jc w:val="both"/>
    </w:pPr>
    <w:rPr>
      <w:color w:val="auto"/>
      <w:sz w:val="20"/>
    </w:rPr>
  </w:style>
  <w:style w:type="paragraph" w:customStyle="1" w:styleId="JuHi">
    <w:name w:val="Ju_H_i"/>
    <w:aliases w:val="_Head_6"/>
    <w:basedOn w:val="Nagwek6"/>
    <w:next w:val="JuPara"/>
    <w:uiPriority w:val="17"/>
    <w:rsid w:val="00384BCF"/>
    <w:pPr>
      <w:keepNext/>
      <w:keepLines/>
      <w:numPr>
        <w:ilvl w:val="5"/>
        <w:numId w:val="15"/>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384BCF"/>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agwek7"/>
    <w:next w:val="JuPara"/>
    <w:uiPriority w:val="17"/>
    <w:rsid w:val="00384BCF"/>
    <w:pPr>
      <w:keepNext/>
      <w:keepLines/>
      <w:numPr>
        <w:ilvl w:val="6"/>
        <w:numId w:val="15"/>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384BCF"/>
    <w:pPr>
      <w:keepNext/>
      <w:keepLines/>
      <w:numPr>
        <w:ilvl w:val="7"/>
        <w:numId w:val="15"/>
      </w:numPr>
      <w:spacing w:before="100" w:beforeAutospacing="1" w:after="120"/>
      <w:jc w:val="both"/>
    </w:pPr>
    <w:rPr>
      <w:i/>
    </w:rPr>
  </w:style>
  <w:style w:type="character" w:customStyle="1" w:styleId="Nagwek3Znak">
    <w:name w:val="Nagłówek 3 Znak"/>
    <w:basedOn w:val="Domylnaczcionkaakapitu"/>
    <w:link w:val="Nagwek3"/>
    <w:uiPriority w:val="98"/>
    <w:semiHidden/>
    <w:rsid w:val="00384BCF"/>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384BCF"/>
    <w:pPr>
      <w:keepNext/>
      <w:keepLines/>
      <w:spacing w:before="240" w:after="240"/>
      <w:ind w:firstLine="284"/>
    </w:pPr>
  </w:style>
  <w:style w:type="paragraph" w:customStyle="1" w:styleId="JuJudges">
    <w:name w:val="Ju_Judges"/>
    <w:aliases w:val="_Judges"/>
    <w:basedOn w:val="Normalny"/>
    <w:uiPriority w:val="32"/>
    <w:qFormat/>
    <w:rsid w:val="00384BCF"/>
    <w:pPr>
      <w:tabs>
        <w:tab w:val="left" w:pos="567"/>
        <w:tab w:val="left" w:pos="1134"/>
      </w:tabs>
    </w:pPr>
  </w:style>
  <w:style w:type="character" w:customStyle="1" w:styleId="Nagwek4Znak">
    <w:name w:val="Nagłówek 4 Znak"/>
    <w:basedOn w:val="Domylnaczcionkaakapitu"/>
    <w:link w:val="Nagwek4"/>
    <w:uiPriority w:val="98"/>
    <w:semiHidden/>
    <w:rsid w:val="00384BCF"/>
    <w:rPr>
      <w:rFonts w:asciiTheme="majorHAnsi" w:eastAsiaTheme="majorEastAsia" w:hAnsiTheme="majorHAnsi" w:cstheme="majorBidi"/>
      <w:b/>
      <w:bCs/>
      <w:i/>
      <w:iCs/>
      <w:color w:val="777777"/>
      <w:lang w:val="fr-FR"/>
    </w:rPr>
  </w:style>
  <w:style w:type="character" w:customStyle="1" w:styleId="JuITMark">
    <w:name w:val="Ju_ITMark"/>
    <w:aliases w:val="_ITMark"/>
    <w:basedOn w:val="Domylnaczcionkaakapitu"/>
    <w:uiPriority w:val="54"/>
    <w:qFormat/>
    <w:rsid w:val="00384BCF"/>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384BCF"/>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384BCF"/>
    <w:rPr>
      <w:caps w:val="0"/>
      <w:smallCaps/>
    </w:rPr>
  </w:style>
  <w:style w:type="paragraph" w:customStyle="1" w:styleId="NormalJustified">
    <w:name w:val="Normal_Justified"/>
    <w:basedOn w:val="Normalny"/>
    <w:semiHidden/>
    <w:rsid w:val="00384BCF"/>
    <w:pPr>
      <w:jc w:val="both"/>
    </w:pPr>
  </w:style>
  <w:style w:type="character" w:styleId="Wyrnieniedelikatne">
    <w:name w:val="Subtle Emphasis"/>
    <w:uiPriority w:val="98"/>
    <w:semiHidden/>
    <w:qFormat/>
    <w:rsid w:val="00384BCF"/>
    <w:rPr>
      <w:i/>
      <w:iCs/>
    </w:rPr>
  </w:style>
  <w:style w:type="table" w:customStyle="1" w:styleId="ECHRTable">
    <w:name w:val="ECHR_Table"/>
    <w:basedOn w:val="Standardowy"/>
    <w:rsid w:val="00384BC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84BC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384BCF"/>
    <w:rPr>
      <w:b/>
      <w:bCs/>
      <w:i/>
      <w:iCs/>
      <w:spacing w:val="10"/>
      <w:bdr w:val="none" w:sz="0" w:space="0" w:color="auto"/>
      <w:shd w:val="clear" w:color="auto" w:fill="auto"/>
    </w:rPr>
  </w:style>
  <w:style w:type="paragraph" w:styleId="Stopka">
    <w:name w:val="footer"/>
    <w:basedOn w:val="Normalny"/>
    <w:link w:val="StopkaZnak"/>
    <w:uiPriority w:val="98"/>
    <w:semiHidden/>
    <w:rsid w:val="00384BCF"/>
    <w:pPr>
      <w:tabs>
        <w:tab w:val="center" w:pos="3686"/>
        <w:tab w:val="right" w:pos="7371"/>
      </w:tabs>
    </w:pPr>
  </w:style>
  <w:style w:type="character" w:customStyle="1" w:styleId="StopkaZnak">
    <w:name w:val="Stopka Znak"/>
    <w:basedOn w:val="Domylnaczcionkaakapitu"/>
    <w:link w:val="Stopka"/>
    <w:uiPriority w:val="98"/>
    <w:semiHidden/>
    <w:rsid w:val="00384BCF"/>
    <w:rPr>
      <w:sz w:val="24"/>
      <w:szCs w:val="24"/>
      <w:lang w:val="fr-FR"/>
    </w:rPr>
  </w:style>
  <w:style w:type="character" w:styleId="Odwoanieprzypisudolnego">
    <w:name w:val="footnote reference"/>
    <w:basedOn w:val="Domylnaczcionkaakapitu"/>
    <w:uiPriority w:val="98"/>
    <w:semiHidden/>
    <w:rsid w:val="00384BCF"/>
    <w:rPr>
      <w:vertAlign w:val="superscript"/>
    </w:rPr>
  </w:style>
  <w:style w:type="paragraph" w:styleId="Tekstprzypisudolnego">
    <w:name w:val="footnote text"/>
    <w:basedOn w:val="NormalJustified"/>
    <w:link w:val="TekstprzypisudolnegoZnak"/>
    <w:uiPriority w:val="98"/>
    <w:semiHidden/>
    <w:rsid w:val="00384BCF"/>
    <w:rPr>
      <w:sz w:val="20"/>
      <w:szCs w:val="20"/>
    </w:rPr>
  </w:style>
  <w:style w:type="character" w:customStyle="1" w:styleId="TekstprzypisudolnegoZnak">
    <w:name w:val="Tekst przypisu dolnego Znak"/>
    <w:basedOn w:val="Domylnaczcionkaakapitu"/>
    <w:link w:val="Tekstprzypisudolnego"/>
    <w:uiPriority w:val="98"/>
    <w:semiHidden/>
    <w:rsid w:val="00384BCF"/>
    <w:rPr>
      <w:sz w:val="20"/>
      <w:szCs w:val="20"/>
      <w:lang w:val="fr-FR"/>
    </w:rPr>
  </w:style>
  <w:style w:type="character" w:customStyle="1" w:styleId="Nagwek6Znak">
    <w:name w:val="Nagłówek 6 Znak"/>
    <w:basedOn w:val="Domylnaczcionkaakapitu"/>
    <w:link w:val="Nagwek6"/>
    <w:uiPriority w:val="98"/>
    <w:semiHidden/>
    <w:rsid w:val="00384BCF"/>
    <w:rPr>
      <w:rFonts w:asciiTheme="majorHAnsi" w:eastAsiaTheme="majorEastAsia" w:hAnsiTheme="majorHAnsi" w:cstheme="majorBidi"/>
      <w:b/>
      <w:bCs/>
      <w:i/>
      <w:iCs/>
      <w:color w:val="7F7F7F" w:themeColor="text1" w:themeTint="80"/>
      <w:lang w:val="fr-FR" w:bidi="en-US"/>
    </w:rPr>
  </w:style>
  <w:style w:type="character" w:customStyle="1" w:styleId="Nagwek7Znak">
    <w:name w:val="Nagłówek 7 Znak"/>
    <w:basedOn w:val="Domylnaczcionkaakapitu"/>
    <w:link w:val="Nagwek7"/>
    <w:uiPriority w:val="98"/>
    <w:semiHidden/>
    <w:rsid w:val="00384BCF"/>
    <w:rPr>
      <w:rFonts w:asciiTheme="majorHAnsi" w:eastAsiaTheme="majorEastAsia" w:hAnsiTheme="majorHAnsi" w:cstheme="majorBidi"/>
      <w:i/>
      <w:iCs/>
      <w:lang w:val="fr-FR" w:bidi="en-US"/>
    </w:rPr>
  </w:style>
  <w:style w:type="character" w:customStyle="1" w:styleId="Nagwek8Znak">
    <w:name w:val="Nagłówek 8 Znak"/>
    <w:basedOn w:val="Domylnaczcionkaakapitu"/>
    <w:link w:val="Nagwek8"/>
    <w:uiPriority w:val="98"/>
    <w:semiHidden/>
    <w:rsid w:val="00384BCF"/>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384BCF"/>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384BCF"/>
    <w:rPr>
      <w:color w:val="0072BC" w:themeColor="hyperlink"/>
      <w:u w:val="single"/>
    </w:rPr>
  </w:style>
  <w:style w:type="character" w:styleId="Wyrnienieintensywne">
    <w:name w:val="Intense Emphasis"/>
    <w:uiPriority w:val="98"/>
    <w:semiHidden/>
    <w:qFormat/>
    <w:rsid w:val="00384BCF"/>
    <w:rPr>
      <w:b/>
      <w:bCs/>
    </w:rPr>
  </w:style>
  <w:style w:type="paragraph" w:styleId="Cytatintensywny">
    <w:name w:val="Intense Quote"/>
    <w:basedOn w:val="Normalny"/>
    <w:next w:val="Normalny"/>
    <w:link w:val="CytatintensywnyZnak"/>
    <w:uiPriority w:val="98"/>
    <w:semiHidden/>
    <w:qFormat/>
    <w:rsid w:val="00384BC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84BCF"/>
    <w:rPr>
      <w:b/>
      <w:bCs/>
      <w:i/>
      <w:iCs/>
      <w:sz w:val="24"/>
      <w:szCs w:val="24"/>
      <w:lang w:val="fr-FR" w:bidi="en-US"/>
    </w:rPr>
  </w:style>
  <w:style w:type="character" w:styleId="Odwoanieintensywne">
    <w:name w:val="Intense Reference"/>
    <w:uiPriority w:val="98"/>
    <w:semiHidden/>
    <w:qFormat/>
    <w:rsid w:val="00384BCF"/>
    <w:rPr>
      <w:smallCaps/>
      <w:spacing w:val="5"/>
      <w:u w:val="single"/>
    </w:rPr>
  </w:style>
  <w:style w:type="paragraph" w:styleId="Akapitzlist">
    <w:name w:val="List Paragraph"/>
    <w:basedOn w:val="Normalny"/>
    <w:uiPriority w:val="98"/>
    <w:semiHidden/>
    <w:qFormat/>
    <w:rsid w:val="00384BCF"/>
    <w:pPr>
      <w:ind w:left="720"/>
      <w:contextualSpacing/>
    </w:pPr>
  </w:style>
  <w:style w:type="table" w:customStyle="1" w:styleId="LtrTableAddress">
    <w:name w:val="Ltr_Table_Address"/>
    <w:aliases w:val="ECHR_Ltr_Table_Address"/>
    <w:basedOn w:val="Standardowy"/>
    <w:uiPriority w:val="99"/>
    <w:rsid w:val="00384BCF"/>
    <w:rPr>
      <w:sz w:val="24"/>
      <w:szCs w:val="24"/>
    </w:rPr>
    <w:tblPr>
      <w:tblInd w:w="5103" w:type="dxa"/>
    </w:tblPr>
  </w:style>
  <w:style w:type="paragraph" w:styleId="Cytat">
    <w:name w:val="Quote"/>
    <w:basedOn w:val="Normalny"/>
    <w:next w:val="Normalny"/>
    <w:link w:val="CytatZnak"/>
    <w:uiPriority w:val="98"/>
    <w:semiHidden/>
    <w:qFormat/>
    <w:rsid w:val="00384BCF"/>
    <w:pPr>
      <w:spacing w:before="200"/>
      <w:ind w:left="360" w:right="360"/>
    </w:pPr>
    <w:rPr>
      <w:i/>
      <w:iCs/>
      <w:lang w:bidi="en-US"/>
    </w:rPr>
  </w:style>
  <w:style w:type="character" w:customStyle="1" w:styleId="CytatZnak">
    <w:name w:val="Cytat Znak"/>
    <w:basedOn w:val="Domylnaczcionkaakapitu"/>
    <w:link w:val="Cytat"/>
    <w:uiPriority w:val="98"/>
    <w:semiHidden/>
    <w:rsid w:val="00384BCF"/>
    <w:rPr>
      <w:i/>
      <w:iCs/>
      <w:sz w:val="24"/>
      <w:szCs w:val="24"/>
      <w:lang w:val="fr-FR" w:bidi="en-US"/>
    </w:rPr>
  </w:style>
  <w:style w:type="character" w:styleId="Odwoaniedelikatne">
    <w:name w:val="Subtle Reference"/>
    <w:uiPriority w:val="98"/>
    <w:semiHidden/>
    <w:qFormat/>
    <w:rsid w:val="00384BCF"/>
    <w:rPr>
      <w:smallCaps/>
    </w:rPr>
  </w:style>
  <w:style w:type="table" w:styleId="Tabela-Siatka">
    <w:name w:val="Table Grid"/>
    <w:basedOn w:val="Standardowy"/>
    <w:uiPriority w:val="59"/>
    <w:semiHidden/>
    <w:rsid w:val="00384BC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84BC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84BC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84BC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84BCF"/>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84BC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84BCF"/>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84BCF"/>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84BCF"/>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84BCF"/>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84BCF"/>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84BC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84BCF"/>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84BCF"/>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384BCF"/>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84BCF"/>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384BCF"/>
    <w:pPr>
      <w:numPr>
        <w:numId w:val="2"/>
      </w:numPr>
    </w:pPr>
  </w:style>
  <w:style w:type="paragraph" w:customStyle="1" w:styleId="JuPara">
    <w:name w:val="Ju_Para"/>
    <w:aliases w:val="_Para"/>
    <w:basedOn w:val="NormalJustified"/>
    <w:link w:val="JuParaChar"/>
    <w:uiPriority w:val="4"/>
    <w:qFormat/>
    <w:rsid w:val="00384BCF"/>
    <w:pPr>
      <w:ind w:firstLine="284"/>
    </w:pPr>
  </w:style>
  <w:style w:type="numbering" w:styleId="1ai">
    <w:name w:val="Outline List 1"/>
    <w:basedOn w:val="Bezlisty"/>
    <w:uiPriority w:val="99"/>
    <w:semiHidden/>
    <w:unhideWhenUsed/>
    <w:rsid w:val="00384BCF"/>
    <w:pPr>
      <w:numPr>
        <w:numId w:val="3"/>
      </w:numPr>
    </w:pPr>
  </w:style>
  <w:style w:type="table" w:customStyle="1" w:styleId="ECHRTableSimpleBox">
    <w:name w:val="ECHR_Table_Simple_Box"/>
    <w:basedOn w:val="Standardowy"/>
    <w:uiPriority w:val="99"/>
    <w:rsid w:val="00384BCF"/>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84BCF"/>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384BCF"/>
    <w:pPr>
      <w:numPr>
        <w:numId w:val="4"/>
      </w:numPr>
    </w:pPr>
  </w:style>
  <w:style w:type="table" w:customStyle="1" w:styleId="ECHRTableForInternalUse">
    <w:name w:val="ECHR_Table_For_Internal_Use"/>
    <w:basedOn w:val="Standardowy"/>
    <w:uiPriority w:val="99"/>
    <w:rsid w:val="00384BCF"/>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84BCF"/>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384BCF"/>
  </w:style>
  <w:style w:type="paragraph" w:styleId="Tekstblokowy">
    <w:name w:val="Block Text"/>
    <w:basedOn w:val="Normalny"/>
    <w:uiPriority w:val="98"/>
    <w:semiHidden/>
    <w:rsid w:val="00384BC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384BCF"/>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384BCF"/>
    <w:pPr>
      <w:spacing w:after="120"/>
    </w:pPr>
  </w:style>
  <w:style w:type="character" w:customStyle="1" w:styleId="TekstpodstawowyZnak">
    <w:name w:val="Tekst podstawowy Znak"/>
    <w:basedOn w:val="Domylnaczcionkaakapitu"/>
    <w:link w:val="Tekstpodstawowy"/>
    <w:uiPriority w:val="98"/>
    <w:semiHidden/>
    <w:rsid w:val="00384BCF"/>
    <w:rPr>
      <w:sz w:val="24"/>
      <w:szCs w:val="24"/>
      <w:lang w:val="fr-FR"/>
    </w:rPr>
  </w:style>
  <w:style w:type="table" w:customStyle="1" w:styleId="ECHRTableOddBanded">
    <w:name w:val="ECHR_Table_Odd_Banded"/>
    <w:basedOn w:val="Standardowy"/>
    <w:uiPriority w:val="99"/>
    <w:rsid w:val="00384BCF"/>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384BCF"/>
    <w:pPr>
      <w:spacing w:after="120" w:line="480" w:lineRule="auto"/>
    </w:pPr>
  </w:style>
  <w:style w:type="table" w:customStyle="1" w:styleId="ECHRHeaderTableReduced">
    <w:name w:val="ECHR_Header_Table_Reduced"/>
    <w:basedOn w:val="Standardowy"/>
    <w:uiPriority w:val="99"/>
    <w:rsid w:val="00384BC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84BCF"/>
    <w:pPr>
      <w:ind w:firstLine="284"/>
    </w:pPr>
    <w:rPr>
      <w:b/>
    </w:rPr>
  </w:style>
  <w:style w:type="character" w:styleId="Numerstrony">
    <w:name w:val="page number"/>
    <w:uiPriority w:val="98"/>
    <w:semiHidden/>
    <w:rsid w:val="00384BCF"/>
    <w:rPr>
      <w:sz w:val="18"/>
    </w:rPr>
  </w:style>
  <w:style w:type="paragraph" w:styleId="Listapunktowana2">
    <w:name w:val="List Bullet 2"/>
    <w:basedOn w:val="Normalny"/>
    <w:uiPriority w:val="98"/>
    <w:semiHidden/>
    <w:rsid w:val="00384BCF"/>
    <w:pPr>
      <w:numPr>
        <w:numId w:val="6"/>
      </w:numPr>
      <w:contextualSpacing/>
    </w:pPr>
  </w:style>
  <w:style w:type="character" w:customStyle="1" w:styleId="Tekstpodstawowy2Znak">
    <w:name w:val="Tekst podstawowy 2 Znak"/>
    <w:basedOn w:val="Domylnaczcionkaakapitu"/>
    <w:link w:val="Tekstpodstawowy2"/>
    <w:uiPriority w:val="98"/>
    <w:semiHidden/>
    <w:rsid w:val="00384BCF"/>
    <w:rPr>
      <w:sz w:val="24"/>
      <w:szCs w:val="24"/>
      <w:lang w:val="fr-FR"/>
    </w:rPr>
  </w:style>
  <w:style w:type="paragraph" w:styleId="Tekstpodstawowy3">
    <w:name w:val="Body Text 3"/>
    <w:basedOn w:val="Normalny"/>
    <w:link w:val="Tekstpodstawowy3Znak"/>
    <w:uiPriority w:val="98"/>
    <w:semiHidden/>
    <w:rsid w:val="00384BCF"/>
    <w:pPr>
      <w:spacing w:after="120"/>
    </w:pPr>
    <w:rPr>
      <w:sz w:val="16"/>
      <w:szCs w:val="16"/>
    </w:rPr>
  </w:style>
  <w:style w:type="character" w:customStyle="1" w:styleId="Tekstpodstawowy3Znak">
    <w:name w:val="Tekst podstawowy 3 Znak"/>
    <w:basedOn w:val="Domylnaczcionkaakapitu"/>
    <w:link w:val="Tekstpodstawowy3"/>
    <w:uiPriority w:val="98"/>
    <w:semiHidden/>
    <w:rsid w:val="00384BCF"/>
    <w:rPr>
      <w:sz w:val="16"/>
      <w:szCs w:val="16"/>
      <w:lang w:val="fr-FR"/>
    </w:rPr>
  </w:style>
  <w:style w:type="paragraph" w:styleId="Tekstpodstawowyzwciciem">
    <w:name w:val="Body Text First Indent"/>
    <w:basedOn w:val="Tekstpodstawowy"/>
    <w:link w:val="TekstpodstawowyzwciciemZnak"/>
    <w:uiPriority w:val="98"/>
    <w:semiHidden/>
    <w:rsid w:val="00384BCF"/>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84BCF"/>
    <w:rPr>
      <w:sz w:val="24"/>
      <w:szCs w:val="24"/>
      <w:lang w:val="fr-FR"/>
    </w:rPr>
  </w:style>
  <w:style w:type="paragraph" w:styleId="Tekstpodstawowywcity">
    <w:name w:val="Body Text Indent"/>
    <w:basedOn w:val="Normalny"/>
    <w:link w:val="TekstpodstawowywcityZnak"/>
    <w:uiPriority w:val="98"/>
    <w:semiHidden/>
    <w:rsid w:val="00384BCF"/>
    <w:pPr>
      <w:spacing w:after="120"/>
      <w:ind w:left="283"/>
    </w:pPr>
  </w:style>
  <w:style w:type="character" w:customStyle="1" w:styleId="TekstpodstawowywcityZnak">
    <w:name w:val="Tekst podstawowy wcięty Znak"/>
    <w:basedOn w:val="Domylnaczcionkaakapitu"/>
    <w:link w:val="Tekstpodstawowywcity"/>
    <w:uiPriority w:val="98"/>
    <w:semiHidden/>
    <w:rsid w:val="00384BCF"/>
    <w:rPr>
      <w:sz w:val="24"/>
      <w:szCs w:val="24"/>
      <w:lang w:val="fr-FR"/>
    </w:rPr>
  </w:style>
  <w:style w:type="paragraph" w:styleId="Tekstpodstawowyzwciciem2">
    <w:name w:val="Body Text First Indent 2"/>
    <w:basedOn w:val="Tekstpodstawowywcity"/>
    <w:link w:val="Tekstpodstawowyzwciciem2Znak"/>
    <w:uiPriority w:val="98"/>
    <w:semiHidden/>
    <w:rsid w:val="00384BCF"/>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84BCF"/>
    <w:rPr>
      <w:sz w:val="24"/>
      <w:szCs w:val="24"/>
      <w:lang w:val="fr-FR"/>
    </w:rPr>
  </w:style>
  <w:style w:type="paragraph" w:styleId="Tekstpodstawowywcity2">
    <w:name w:val="Body Text Indent 2"/>
    <w:basedOn w:val="Normalny"/>
    <w:link w:val="Tekstpodstawowywcity2Znak"/>
    <w:uiPriority w:val="98"/>
    <w:semiHidden/>
    <w:rsid w:val="00384BCF"/>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84BCF"/>
    <w:rPr>
      <w:sz w:val="24"/>
      <w:szCs w:val="24"/>
      <w:lang w:val="fr-FR"/>
    </w:rPr>
  </w:style>
  <w:style w:type="paragraph" w:styleId="Tekstpodstawowywcity3">
    <w:name w:val="Body Text Indent 3"/>
    <w:basedOn w:val="Normalny"/>
    <w:link w:val="Tekstpodstawowywcity3Znak"/>
    <w:uiPriority w:val="98"/>
    <w:semiHidden/>
    <w:rsid w:val="00384BC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84BCF"/>
    <w:rPr>
      <w:sz w:val="16"/>
      <w:szCs w:val="16"/>
      <w:lang w:val="fr-FR"/>
    </w:rPr>
  </w:style>
  <w:style w:type="paragraph" w:styleId="Legenda">
    <w:name w:val="caption"/>
    <w:basedOn w:val="Normalny"/>
    <w:next w:val="Normalny"/>
    <w:uiPriority w:val="98"/>
    <w:semiHidden/>
    <w:qFormat/>
    <w:rsid w:val="00384BCF"/>
    <w:pPr>
      <w:spacing w:after="200"/>
    </w:pPr>
    <w:rPr>
      <w:b/>
      <w:bCs/>
      <w:color w:val="0072BC" w:themeColor="accent1"/>
      <w:sz w:val="18"/>
      <w:szCs w:val="18"/>
    </w:rPr>
  </w:style>
  <w:style w:type="paragraph" w:styleId="Zwrotpoegnalny">
    <w:name w:val="Closing"/>
    <w:basedOn w:val="Normalny"/>
    <w:link w:val="ZwrotpoegnalnyZnak"/>
    <w:uiPriority w:val="98"/>
    <w:semiHidden/>
    <w:rsid w:val="00384BCF"/>
    <w:pPr>
      <w:ind w:left="4252"/>
    </w:pPr>
  </w:style>
  <w:style w:type="character" w:customStyle="1" w:styleId="ZwrotpoegnalnyZnak">
    <w:name w:val="Zwrot pożegnalny Znak"/>
    <w:basedOn w:val="Domylnaczcionkaakapitu"/>
    <w:link w:val="Zwrotpoegnalny"/>
    <w:uiPriority w:val="98"/>
    <w:semiHidden/>
    <w:rsid w:val="00384BCF"/>
    <w:rPr>
      <w:sz w:val="24"/>
      <w:szCs w:val="24"/>
      <w:lang w:val="fr-FR"/>
    </w:rPr>
  </w:style>
  <w:style w:type="table" w:styleId="Kolorowasiatka">
    <w:name w:val="Colorful Grid"/>
    <w:basedOn w:val="Standardowy"/>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84BCF"/>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84BCF"/>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84BCF"/>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84BCF"/>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84BCF"/>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84BCF"/>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84BCF"/>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84BCF"/>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84BC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84BC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84BC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84BCF"/>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84BCF"/>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84BC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84BC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384BCF"/>
    <w:rPr>
      <w:sz w:val="16"/>
      <w:szCs w:val="16"/>
    </w:rPr>
  </w:style>
  <w:style w:type="paragraph" w:styleId="Tekstkomentarza">
    <w:name w:val="annotation text"/>
    <w:basedOn w:val="Normalny"/>
    <w:link w:val="TekstkomentarzaZnak"/>
    <w:uiPriority w:val="98"/>
    <w:semiHidden/>
    <w:rsid w:val="00384BCF"/>
    <w:rPr>
      <w:sz w:val="20"/>
      <w:szCs w:val="20"/>
    </w:rPr>
  </w:style>
  <w:style w:type="character" w:customStyle="1" w:styleId="TekstkomentarzaZnak">
    <w:name w:val="Tekst komentarza Znak"/>
    <w:basedOn w:val="Domylnaczcionkaakapitu"/>
    <w:link w:val="Tekstkomentarza"/>
    <w:uiPriority w:val="98"/>
    <w:semiHidden/>
    <w:rsid w:val="00384BCF"/>
    <w:rPr>
      <w:sz w:val="20"/>
      <w:szCs w:val="20"/>
      <w:lang w:val="fr-FR"/>
    </w:rPr>
  </w:style>
  <w:style w:type="paragraph" w:styleId="Tematkomentarza">
    <w:name w:val="annotation subject"/>
    <w:basedOn w:val="Tekstkomentarza"/>
    <w:next w:val="Tekstkomentarza"/>
    <w:link w:val="TematkomentarzaZnak"/>
    <w:uiPriority w:val="98"/>
    <w:semiHidden/>
    <w:rsid w:val="00384BCF"/>
    <w:rPr>
      <w:b/>
      <w:bCs/>
    </w:rPr>
  </w:style>
  <w:style w:type="character" w:customStyle="1" w:styleId="TematkomentarzaZnak">
    <w:name w:val="Temat komentarza Znak"/>
    <w:basedOn w:val="TekstkomentarzaZnak"/>
    <w:link w:val="Tematkomentarza"/>
    <w:uiPriority w:val="98"/>
    <w:semiHidden/>
    <w:rsid w:val="00384BCF"/>
    <w:rPr>
      <w:b/>
      <w:bCs/>
      <w:sz w:val="20"/>
      <w:szCs w:val="20"/>
      <w:lang w:val="fr-FR"/>
    </w:rPr>
  </w:style>
  <w:style w:type="table" w:styleId="Ciemnalista">
    <w:name w:val="Dark List"/>
    <w:basedOn w:val="Standardowy"/>
    <w:uiPriority w:val="70"/>
    <w:semiHidden/>
    <w:rsid w:val="00384BCF"/>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84BCF"/>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84BCF"/>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84BCF"/>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84BCF"/>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84BCF"/>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84BCF"/>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84BCF"/>
  </w:style>
  <w:style w:type="character" w:customStyle="1" w:styleId="DataZnak">
    <w:name w:val="Data Znak"/>
    <w:basedOn w:val="Domylnaczcionkaakapitu"/>
    <w:link w:val="Data"/>
    <w:uiPriority w:val="98"/>
    <w:semiHidden/>
    <w:rsid w:val="00384BCF"/>
    <w:rPr>
      <w:sz w:val="24"/>
      <w:szCs w:val="24"/>
      <w:lang w:val="fr-FR"/>
    </w:rPr>
  </w:style>
  <w:style w:type="paragraph" w:styleId="Mapadokumentu">
    <w:name w:val="Document Map"/>
    <w:basedOn w:val="Normalny"/>
    <w:link w:val="MapadokumentuZnak"/>
    <w:uiPriority w:val="98"/>
    <w:semiHidden/>
    <w:rsid w:val="00384BCF"/>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84BCF"/>
    <w:rPr>
      <w:rFonts w:ascii="Tahoma" w:hAnsi="Tahoma" w:cs="Tahoma"/>
      <w:sz w:val="16"/>
      <w:szCs w:val="16"/>
      <w:lang w:val="fr-FR"/>
    </w:rPr>
  </w:style>
  <w:style w:type="paragraph" w:styleId="Podpise-mail">
    <w:name w:val="E-mail Signature"/>
    <w:basedOn w:val="Normalny"/>
    <w:link w:val="Podpise-mailZnak"/>
    <w:uiPriority w:val="98"/>
    <w:semiHidden/>
    <w:rsid w:val="00384BCF"/>
  </w:style>
  <w:style w:type="character" w:customStyle="1" w:styleId="Podpise-mailZnak">
    <w:name w:val="Podpis e-mail Znak"/>
    <w:basedOn w:val="Domylnaczcionkaakapitu"/>
    <w:link w:val="Podpise-mail"/>
    <w:uiPriority w:val="98"/>
    <w:semiHidden/>
    <w:rsid w:val="00384BCF"/>
    <w:rPr>
      <w:sz w:val="24"/>
      <w:szCs w:val="24"/>
      <w:lang w:val="fr-FR"/>
    </w:rPr>
  </w:style>
  <w:style w:type="character" w:styleId="Odwoanieprzypisukocowego">
    <w:name w:val="endnote reference"/>
    <w:basedOn w:val="Domylnaczcionkaakapitu"/>
    <w:uiPriority w:val="98"/>
    <w:semiHidden/>
    <w:rsid w:val="00384BCF"/>
    <w:rPr>
      <w:vertAlign w:val="superscript"/>
    </w:rPr>
  </w:style>
  <w:style w:type="paragraph" w:styleId="Tekstprzypisukocowego">
    <w:name w:val="endnote text"/>
    <w:basedOn w:val="Normalny"/>
    <w:link w:val="TekstprzypisukocowegoZnak"/>
    <w:uiPriority w:val="98"/>
    <w:semiHidden/>
    <w:rsid w:val="00384BCF"/>
    <w:rPr>
      <w:sz w:val="20"/>
      <w:szCs w:val="20"/>
    </w:rPr>
  </w:style>
  <w:style w:type="character" w:customStyle="1" w:styleId="TekstprzypisukocowegoZnak">
    <w:name w:val="Tekst przypisu końcowego Znak"/>
    <w:basedOn w:val="Domylnaczcionkaakapitu"/>
    <w:link w:val="Tekstprzypisukocowego"/>
    <w:uiPriority w:val="98"/>
    <w:semiHidden/>
    <w:rsid w:val="00384BCF"/>
    <w:rPr>
      <w:sz w:val="20"/>
      <w:szCs w:val="20"/>
      <w:lang w:val="fr-FR"/>
    </w:rPr>
  </w:style>
  <w:style w:type="paragraph" w:styleId="Adresnakopercie">
    <w:name w:val="envelope address"/>
    <w:basedOn w:val="Normalny"/>
    <w:uiPriority w:val="98"/>
    <w:semiHidden/>
    <w:rsid w:val="00384BCF"/>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84BCF"/>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384BCF"/>
    <w:rPr>
      <w:color w:val="7030A0" w:themeColor="followedHyperlink"/>
      <w:u w:val="single"/>
    </w:rPr>
  </w:style>
  <w:style w:type="character" w:styleId="HTML-akronim">
    <w:name w:val="HTML Acronym"/>
    <w:basedOn w:val="Domylnaczcionkaakapitu"/>
    <w:uiPriority w:val="98"/>
    <w:semiHidden/>
    <w:rsid w:val="00384BCF"/>
  </w:style>
  <w:style w:type="paragraph" w:styleId="HTML-adres">
    <w:name w:val="HTML Address"/>
    <w:basedOn w:val="Normalny"/>
    <w:link w:val="HTML-adresZnak"/>
    <w:uiPriority w:val="98"/>
    <w:semiHidden/>
    <w:rsid w:val="00384BCF"/>
    <w:rPr>
      <w:i/>
      <w:iCs/>
    </w:rPr>
  </w:style>
  <w:style w:type="character" w:customStyle="1" w:styleId="HTML-adresZnak">
    <w:name w:val="HTML - adres Znak"/>
    <w:basedOn w:val="Domylnaczcionkaakapitu"/>
    <w:link w:val="HTML-adres"/>
    <w:uiPriority w:val="98"/>
    <w:semiHidden/>
    <w:rsid w:val="00384BCF"/>
    <w:rPr>
      <w:i/>
      <w:iCs/>
      <w:sz w:val="24"/>
      <w:szCs w:val="24"/>
      <w:lang w:val="fr-FR"/>
    </w:rPr>
  </w:style>
  <w:style w:type="character" w:styleId="HTML-cytat">
    <w:name w:val="HTML Cite"/>
    <w:basedOn w:val="Domylnaczcionkaakapitu"/>
    <w:uiPriority w:val="98"/>
    <w:semiHidden/>
    <w:rsid w:val="00384BCF"/>
    <w:rPr>
      <w:i/>
      <w:iCs/>
    </w:rPr>
  </w:style>
  <w:style w:type="character" w:styleId="HTML-kod">
    <w:name w:val="HTML Code"/>
    <w:basedOn w:val="Domylnaczcionkaakapitu"/>
    <w:uiPriority w:val="98"/>
    <w:semiHidden/>
    <w:rsid w:val="00384BCF"/>
    <w:rPr>
      <w:rFonts w:ascii="Consolas" w:hAnsi="Consolas" w:cs="Consolas"/>
      <w:sz w:val="20"/>
      <w:szCs w:val="20"/>
    </w:rPr>
  </w:style>
  <w:style w:type="character" w:styleId="HTML-definicja">
    <w:name w:val="HTML Definition"/>
    <w:basedOn w:val="Domylnaczcionkaakapitu"/>
    <w:uiPriority w:val="98"/>
    <w:semiHidden/>
    <w:rsid w:val="00384BCF"/>
    <w:rPr>
      <w:i/>
      <w:iCs/>
    </w:rPr>
  </w:style>
  <w:style w:type="character" w:styleId="HTML-klawiatura">
    <w:name w:val="HTML Keyboard"/>
    <w:basedOn w:val="Domylnaczcionkaakapitu"/>
    <w:uiPriority w:val="98"/>
    <w:semiHidden/>
    <w:rsid w:val="00384BCF"/>
    <w:rPr>
      <w:rFonts w:ascii="Consolas" w:hAnsi="Consolas" w:cs="Consolas"/>
      <w:sz w:val="20"/>
      <w:szCs w:val="20"/>
    </w:rPr>
  </w:style>
  <w:style w:type="paragraph" w:styleId="HTML-wstpniesformatowany">
    <w:name w:val="HTML Preformatted"/>
    <w:basedOn w:val="Normalny"/>
    <w:link w:val="HTML-wstpniesformatowanyZnak"/>
    <w:uiPriority w:val="98"/>
    <w:semiHidden/>
    <w:rsid w:val="00384BCF"/>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84BCF"/>
    <w:rPr>
      <w:rFonts w:ascii="Consolas" w:hAnsi="Consolas" w:cs="Consolas"/>
      <w:sz w:val="20"/>
      <w:szCs w:val="20"/>
      <w:lang w:val="fr-FR"/>
    </w:rPr>
  </w:style>
  <w:style w:type="character" w:styleId="HTML-przykad">
    <w:name w:val="HTML Sample"/>
    <w:basedOn w:val="Domylnaczcionkaakapitu"/>
    <w:uiPriority w:val="98"/>
    <w:semiHidden/>
    <w:rsid w:val="00384BCF"/>
    <w:rPr>
      <w:rFonts w:ascii="Consolas" w:hAnsi="Consolas" w:cs="Consolas"/>
      <w:sz w:val="24"/>
      <w:szCs w:val="24"/>
    </w:rPr>
  </w:style>
  <w:style w:type="character" w:styleId="HTML-staaszeroko">
    <w:name w:val="HTML Typewriter"/>
    <w:basedOn w:val="Domylnaczcionkaakapitu"/>
    <w:uiPriority w:val="98"/>
    <w:semiHidden/>
    <w:rsid w:val="00384BCF"/>
    <w:rPr>
      <w:rFonts w:ascii="Consolas" w:hAnsi="Consolas" w:cs="Consolas"/>
      <w:sz w:val="20"/>
      <w:szCs w:val="20"/>
    </w:rPr>
  </w:style>
  <w:style w:type="character" w:styleId="HTML-zmienna">
    <w:name w:val="HTML Variable"/>
    <w:basedOn w:val="Domylnaczcionkaakapitu"/>
    <w:uiPriority w:val="98"/>
    <w:semiHidden/>
    <w:rsid w:val="00384BCF"/>
    <w:rPr>
      <w:i/>
      <w:iCs/>
    </w:rPr>
  </w:style>
  <w:style w:type="paragraph" w:styleId="Indeks1">
    <w:name w:val="index 1"/>
    <w:basedOn w:val="Normalny"/>
    <w:next w:val="Normalny"/>
    <w:autoRedefine/>
    <w:uiPriority w:val="98"/>
    <w:semiHidden/>
    <w:rsid w:val="00384BCF"/>
    <w:pPr>
      <w:ind w:left="240" w:hanging="240"/>
    </w:pPr>
  </w:style>
  <w:style w:type="paragraph" w:styleId="Indeks2">
    <w:name w:val="index 2"/>
    <w:basedOn w:val="Normalny"/>
    <w:next w:val="Normalny"/>
    <w:autoRedefine/>
    <w:uiPriority w:val="98"/>
    <w:semiHidden/>
    <w:rsid w:val="00384BCF"/>
    <w:pPr>
      <w:ind w:left="480" w:hanging="240"/>
    </w:pPr>
  </w:style>
  <w:style w:type="paragraph" w:styleId="Indeks3">
    <w:name w:val="index 3"/>
    <w:basedOn w:val="Normalny"/>
    <w:next w:val="Normalny"/>
    <w:autoRedefine/>
    <w:uiPriority w:val="98"/>
    <w:semiHidden/>
    <w:rsid w:val="00384BCF"/>
    <w:pPr>
      <w:ind w:left="720" w:hanging="240"/>
    </w:pPr>
  </w:style>
  <w:style w:type="paragraph" w:styleId="Indeks4">
    <w:name w:val="index 4"/>
    <w:basedOn w:val="Normalny"/>
    <w:next w:val="Normalny"/>
    <w:autoRedefine/>
    <w:uiPriority w:val="98"/>
    <w:semiHidden/>
    <w:rsid w:val="00384BCF"/>
    <w:pPr>
      <w:ind w:left="960" w:hanging="240"/>
    </w:pPr>
  </w:style>
  <w:style w:type="paragraph" w:styleId="Indeks5">
    <w:name w:val="index 5"/>
    <w:basedOn w:val="Normalny"/>
    <w:next w:val="Normalny"/>
    <w:autoRedefine/>
    <w:uiPriority w:val="98"/>
    <w:semiHidden/>
    <w:rsid w:val="00384BCF"/>
    <w:pPr>
      <w:ind w:left="1200" w:hanging="240"/>
    </w:pPr>
  </w:style>
  <w:style w:type="paragraph" w:styleId="Indeks6">
    <w:name w:val="index 6"/>
    <w:basedOn w:val="Normalny"/>
    <w:next w:val="Normalny"/>
    <w:autoRedefine/>
    <w:uiPriority w:val="98"/>
    <w:semiHidden/>
    <w:rsid w:val="00384BCF"/>
    <w:pPr>
      <w:ind w:left="1440" w:hanging="240"/>
    </w:pPr>
  </w:style>
  <w:style w:type="paragraph" w:styleId="Indeks7">
    <w:name w:val="index 7"/>
    <w:basedOn w:val="Normalny"/>
    <w:next w:val="Normalny"/>
    <w:autoRedefine/>
    <w:uiPriority w:val="98"/>
    <w:semiHidden/>
    <w:rsid w:val="00384BCF"/>
    <w:pPr>
      <w:ind w:left="1680" w:hanging="240"/>
    </w:pPr>
  </w:style>
  <w:style w:type="paragraph" w:styleId="Indeks8">
    <w:name w:val="index 8"/>
    <w:basedOn w:val="Normalny"/>
    <w:next w:val="Normalny"/>
    <w:autoRedefine/>
    <w:uiPriority w:val="98"/>
    <w:semiHidden/>
    <w:rsid w:val="00384BCF"/>
    <w:pPr>
      <w:ind w:left="1920" w:hanging="240"/>
    </w:pPr>
  </w:style>
  <w:style w:type="paragraph" w:styleId="Indeks9">
    <w:name w:val="index 9"/>
    <w:basedOn w:val="Normalny"/>
    <w:next w:val="Normalny"/>
    <w:autoRedefine/>
    <w:uiPriority w:val="98"/>
    <w:semiHidden/>
    <w:rsid w:val="00384BCF"/>
    <w:pPr>
      <w:ind w:left="2160" w:hanging="240"/>
    </w:pPr>
  </w:style>
  <w:style w:type="paragraph" w:styleId="Nagwekindeksu">
    <w:name w:val="index heading"/>
    <w:basedOn w:val="Normalny"/>
    <w:next w:val="Indeks1"/>
    <w:uiPriority w:val="98"/>
    <w:semiHidden/>
    <w:rsid w:val="00384BCF"/>
    <w:rPr>
      <w:rFonts w:asciiTheme="majorHAnsi" w:eastAsiaTheme="majorEastAsia" w:hAnsiTheme="majorHAnsi" w:cstheme="majorBidi"/>
      <w:b/>
      <w:bCs/>
    </w:rPr>
  </w:style>
  <w:style w:type="table" w:styleId="Jasnasiatka">
    <w:name w:val="Light Grid"/>
    <w:basedOn w:val="Standardowy"/>
    <w:uiPriority w:val="62"/>
    <w:semiHidden/>
    <w:rsid w:val="00384BC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84BC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84BC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84BC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84BC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84BC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84BC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84BC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84BC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84BC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84BC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84BC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84BC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84BC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84BC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84BC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84BC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84BCF"/>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84BC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84BC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84BC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84BCF"/>
  </w:style>
  <w:style w:type="paragraph" w:styleId="Lista">
    <w:name w:val="List"/>
    <w:basedOn w:val="Normalny"/>
    <w:uiPriority w:val="98"/>
    <w:semiHidden/>
    <w:rsid w:val="00384BCF"/>
    <w:pPr>
      <w:ind w:left="283" w:hanging="283"/>
      <w:contextualSpacing/>
    </w:pPr>
  </w:style>
  <w:style w:type="paragraph" w:styleId="Lista2">
    <w:name w:val="List 2"/>
    <w:basedOn w:val="Normalny"/>
    <w:uiPriority w:val="98"/>
    <w:semiHidden/>
    <w:rsid w:val="00384BCF"/>
    <w:pPr>
      <w:ind w:left="566" w:hanging="283"/>
      <w:contextualSpacing/>
    </w:pPr>
  </w:style>
  <w:style w:type="paragraph" w:styleId="Lista3">
    <w:name w:val="List 3"/>
    <w:basedOn w:val="Normalny"/>
    <w:uiPriority w:val="98"/>
    <w:semiHidden/>
    <w:rsid w:val="00384BCF"/>
    <w:pPr>
      <w:ind w:left="849" w:hanging="283"/>
      <w:contextualSpacing/>
    </w:pPr>
  </w:style>
  <w:style w:type="paragraph" w:styleId="Lista4">
    <w:name w:val="List 4"/>
    <w:basedOn w:val="Normalny"/>
    <w:uiPriority w:val="98"/>
    <w:semiHidden/>
    <w:rsid w:val="00384BCF"/>
    <w:pPr>
      <w:ind w:left="1132" w:hanging="283"/>
      <w:contextualSpacing/>
    </w:pPr>
  </w:style>
  <w:style w:type="paragraph" w:styleId="Lista5">
    <w:name w:val="List 5"/>
    <w:basedOn w:val="Normalny"/>
    <w:uiPriority w:val="98"/>
    <w:semiHidden/>
    <w:rsid w:val="00384BCF"/>
    <w:pPr>
      <w:ind w:left="1415" w:hanging="283"/>
      <w:contextualSpacing/>
    </w:pPr>
  </w:style>
  <w:style w:type="paragraph" w:styleId="Listapunktowana">
    <w:name w:val="List Bullet"/>
    <w:basedOn w:val="Normalny"/>
    <w:uiPriority w:val="98"/>
    <w:semiHidden/>
    <w:rsid w:val="00384BCF"/>
    <w:pPr>
      <w:numPr>
        <w:numId w:val="5"/>
      </w:numPr>
    </w:pPr>
  </w:style>
  <w:style w:type="paragraph" w:styleId="Listapunktowana3">
    <w:name w:val="List Bullet 3"/>
    <w:basedOn w:val="Normalny"/>
    <w:uiPriority w:val="98"/>
    <w:semiHidden/>
    <w:rsid w:val="00384BCF"/>
    <w:pPr>
      <w:numPr>
        <w:numId w:val="7"/>
      </w:numPr>
      <w:contextualSpacing/>
    </w:pPr>
  </w:style>
  <w:style w:type="paragraph" w:styleId="Listapunktowana4">
    <w:name w:val="List Bullet 4"/>
    <w:basedOn w:val="Normalny"/>
    <w:uiPriority w:val="98"/>
    <w:semiHidden/>
    <w:rsid w:val="00384BCF"/>
    <w:pPr>
      <w:numPr>
        <w:numId w:val="8"/>
      </w:numPr>
      <w:contextualSpacing/>
    </w:pPr>
  </w:style>
  <w:style w:type="paragraph" w:styleId="Listapunktowana5">
    <w:name w:val="List Bullet 5"/>
    <w:basedOn w:val="Normalny"/>
    <w:uiPriority w:val="98"/>
    <w:semiHidden/>
    <w:rsid w:val="00384BCF"/>
    <w:pPr>
      <w:numPr>
        <w:numId w:val="9"/>
      </w:numPr>
      <w:contextualSpacing/>
    </w:pPr>
  </w:style>
  <w:style w:type="paragraph" w:styleId="Lista-kontynuacja">
    <w:name w:val="List Continue"/>
    <w:basedOn w:val="Normalny"/>
    <w:uiPriority w:val="98"/>
    <w:semiHidden/>
    <w:rsid w:val="00384BCF"/>
    <w:pPr>
      <w:spacing w:after="120"/>
      <w:ind w:left="283"/>
      <w:contextualSpacing/>
    </w:pPr>
  </w:style>
  <w:style w:type="paragraph" w:styleId="Lista-kontynuacja2">
    <w:name w:val="List Continue 2"/>
    <w:basedOn w:val="Normalny"/>
    <w:uiPriority w:val="98"/>
    <w:semiHidden/>
    <w:rsid w:val="00384BCF"/>
    <w:pPr>
      <w:spacing w:after="120"/>
      <w:ind w:left="566"/>
      <w:contextualSpacing/>
    </w:pPr>
  </w:style>
  <w:style w:type="paragraph" w:styleId="Lista-kontynuacja3">
    <w:name w:val="List Continue 3"/>
    <w:basedOn w:val="Normalny"/>
    <w:uiPriority w:val="98"/>
    <w:semiHidden/>
    <w:rsid w:val="00384BCF"/>
    <w:pPr>
      <w:spacing w:after="120"/>
      <w:ind w:left="849"/>
      <w:contextualSpacing/>
    </w:pPr>
  </w:style>
  <w:style w:type="paragraph" w:styleId="Lista-kontynuacja4">
    <w:name w:val="List Continue 4"/>
    <w:basedOn w:val="Normalny"/>
    <w:uiPriority w:val="98"/>
    <w:semiHidden/>
    <w:rsid w:val="00384BCF"/>
    <w:pPr>
      <w:spacing w:after="120"/>
      <w:ind w:left="1132"/>
      <w:contextualSpacing/>
    </w:pPr>
  </w:style>
  <w:style w:type="paragraph" w:styleId="Lista-kontynuacja5">
    <w:name w:val="List Continue 5"/>
    <w:basedOn w:val="Normalny"/>
    <w:uiPriority w:val="98"/>
    <w:semiHidden/>
    <w:rsid w:val="00384BCF"/>
    <w:pPr>
      <w:spacing w:after="120"/>
      <w:ind w:left="1415"/>
      <w:contextualSpacing/>
    </w:pPr>
  </w:style>
  <w:style w:type="paragraph" w:styleId="Listanumerowana">
    <w:name w:val="List Number"/>
    <w:basedOn w:val="Normalny"/>
    <w:uiPriority w:val="98"/>
    <w:semiHidden/>
    <w:rsid w:val="00384BCF"/>
    <w:pPr>
      <w:numPr>
        <w:numId w:val="10"/>
      </w:numPr>
      <w:contextualSpacing/>
    </w:pPr>
  </w:style>
  <w:style w:type="paragraph" w:styleId="Listanumerowana2">
    <w:name w:val="List Number 2"/>
    <w:basedOn w:val="Normalny"/>
    <w:uiPriority w:val="98"/>
    <w:semiHidden/>
    <w:rsid w:val="00384BCF"/>
    <w:pPr>
      <w:numPr>
        <w:numId w:val="11"/>
      </w:numPr>
      <w:contextualSpacing/>
    </w:pPr>
  </w:style>
  <w:style w:type="paragraph" w:styleId="Listanumerowana3">
    <w:name w:val="List Number 3"/>
    <w:basedOn w:val="Normalny"/>
    <w:uiPriority w:val="98"/>
    <w:semiHidden/>
    <w:rsid w:val="00384BCF"/>
    <w:pPr>
      <w:numPr>
        <w:numId w:val="12"/>
      </w:numPr>
      <w:contextualSpacing/>
    </w:pPr>
  </w:style>
  <w:style w:type="paragraph" w:styleId="Listanumerowana4">
    <w:name w:val="List Number 4"/>
    <w:basedOn w:val="Normalny"/>
    <w:uiPriority w:val="98"/>
    <w:semiHidden/>
    <w:rsid w:val="00384BCF"/>
    <w:pPr>
      <w:numPr>
        <w:numId w:val="13"/>
      </w:numPr>
      <w:contextualSpacing/>
    </w:pPr>
  </w:style>
  <w:style w:type="paragraph" w:styleId="Listanumerowana5">
    <w:name w:val="List Number 5"/>
    <w:basedOn w:val="Normalny"/>
    <w:uiPriority w:val="98"/>
    <w:semiHidden/>
    <w:rsid w:val="00384BCF"/>
    <w:pPr>
      <w:numPr>
        <w:numId w:val="14"/>
      </w:numPr>
      <w:contextualSpacing/>
    </w:pPr>
  </w:style>
  <w:style w:type="paragraph" w:styleId="Tekstmakra">
    <w:name w:val="macro"/>
    <w:link w:val="TekstmakraZnak"/>
    <w:uiPriority w:val="98"/>
    <w:semiHidden/>
    <w:rsid w:val="00384BC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84BCF"/>
    <w:rPr>
      <w:rFonts w:ascii="Consolas" w:eastAsiaTheme="minorEastAsia" w:hAnsi="Consolas" w:cs="Consolas"/>
      <w:sz w:val="20"/>
      <w:szCs w:val="20"/>
    </w:rPr>
  </w:style>
  <w:style w:type="table" w:styleId="redniasiatka1">
    <w:name w:val="Medium Grid 1"/>
    <w:basedOn w:val="Standardowy"/>
    <w:uiPriority w:val="67"/>
    <w:semiHidden/>
    <w:rsid w:val="00384BC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84BC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84BC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84BC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84BC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84BC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84BC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84BC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84BC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84BC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84BC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84BCF"/>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84BC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84BC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84BC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84BC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84BC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84BC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84BC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84BC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84BC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84BC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84BC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84BC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84BC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84BCF"/>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384BCF"/>
    <w:rPr>
      <w:rFonts w:ascii="Times New Roman" w:hAnsi="Times New Roman" w:cs="Times New Roman"/>
    </w:rPr>
  </w:style>
  <w:style w:type="paragraph" w:styleId="Wcicienormalne">
    <w:name w:val="Normal Indent"/>
    <w:basedOn w:val="Normalny"/>
    <w:uiPriority w:val="98"/>
    <w:semiHidden/>
    <w:rsid w:val="00384BCF"/>
    <w:pPr>
      <w:ind w:left="720"/>
    </w:pPr>
  </w:style>
  <w:style w:type="paragraph" w:styleId="Nagweknotatki">
    <w:name w:val="Note Heading"/>
    <w:basedOn w:val="Normalny"/>
    <w:next w:val="Normalny"/>
    <w:link w:val="NagweknotatkiZnak"/>
    <w:uiPriority w:val="98"/>
    <w:semiHidden/>
    <w:rsid w:val="00384BCF"/>
  </w:style>
  <w:style w:type="character" w:customStyle="1" w:styleId="NagweknotatkiZnak">
    <w:name w:val="Nagłówek notatki Znak"/>
    <w:basedOn w:val="Domylnaczcionkaakapitu"/>
    <w:link w:val="Nagweknotatki"/>
    <w:uiPriority w:val="98"/>
    <w:semiHidden/>
    <w:rsid w:val="00384BCF"/>
    <w:rPr>
      <w:sz w:val="24"/>
      <w:szCs w:val="24"/>
      <w:lang w:val="fr-FR"/>
    </w:rPr>
  </w:style>
  <w:style w:type="character" w:styleId="Tekstzastpczy">
    <w:name w:val="Placeholder Text"/>
    <w:basedOn w:val="Domylnaczcionkaakapitu"/>
    <w:uiPriority w:val="98"/>
    <w:semiHidden/>
    <w:rsid w:val="00384BCF"/>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84BCF"/>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84BCF"/>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384BCF"/>
  </w:style>
  <w:style w:type="character" w:customStyle="1" w:styleId="ZwrotgrzecznociowyZnak">
    <w:name w:val="Zwrot grzecznościowy Znak"/>
    <w:basedOn w:val="Domylnaczcionkaakapitu"/>
    <w:link w:val="Zwrotgrzecznociowy"/>
    <w:uiPriority w:val="98"/>
    <w:semiHidden/>
    <w:rsid w:val="00384BCF"/>
    <w:rPr>
      <w:sz w:val="24"/>
      <w:szCs w:val="24"/>
      <w:lang w:val="fr-FR"/>
    </w:rPr>
  </w:style>
  <w:style w:type="paragraph" w:styleId="Podpis">
    <w:name w:val="Signature"/>
    <w:basedOn w:val="Normalny"/>
    <w:link w:val="PodpisZnak"/>
    <w:uiPriority w:val="98"/>
    <w:semiHidden/>
    <w:rsid w:val="00384BCF"/>
    <w:pPr>
      <w:ind w:left="4252"/>
    </w:pPr>
  </w:style>
  <w:style w:type="character" w:customStyle="1" w:styleId="PodpisZnak">
    <w:name w:val="Podpis Znak"/>
    <w:basedOn w:val="Domylnaczcionkaakapitu"/>
    <w:link w:val="Podpis"/>
    <w:uiPriority w:val="98"/>
    <w:semiHidden/>
    <w:rsid w:val="00384BCF"/>
    <w:rPr>
      <w:sz w:val="24"/>
      <w:szCs w:val="24"/>
      <w:lang w:val="fr-FR"/>
    </w:rPr>
  </w:style>
  <w:style w:type="table" w:styleId="Tabela-Efekty3D1">
    <w:name w:val="Table 3D effects 1"/>
    <w:basedOn w:val="Standardowy"/>
    <w:uiPriority w:val="99"/>
    <w:semiHidden/>
    <w:unhideWhenUsed/>
    <w:rsid w:val="00384BC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84BC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84BC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84BC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84BC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84BC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84BC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84BC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84BC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84BC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84BC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84BC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84BC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84BC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84BC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84BC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84BC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84BC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84BC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84BC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84BC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84BC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84BC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84BC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84BC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84BC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84BC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84BC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84BC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84BC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84BC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84BC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84BC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84BCF"/>
    <w:pPr>
      <w:ind w:left="240" w:hanging="240"/>
    </w:pPr>
  </w:style>
  <w:style w:type="paragraph" w:styleId="Spisilustracji">
    <w:name w:val="table of figures"/>
    <w:basedOn w:val="Normalny"/>
    <w:next w:val="Normalny"/>
    <w:uiPriority w:val="98"/>
    <w:semiHidden/>
    <w:rsid w:val="00384BCF"/>
  </w:style>
  <w:style w:type="table" w:styleId="Tabela-Profesjonalny">
    <w:name w:val="Table Professional"/>
    <w:basedOn w:val="Standardowy"/>
    <w:uiPriority w:val="99"/>
    <w:semiHidden/>
    <w:unhideWhenUsed/>
    <w:rsid w:val="00384BC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84BC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84BC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84BC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84BC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84BC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84BC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84BC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84BC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84BC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84BC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84BC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84BCF"/>
    <w:pPr>
      <w:spacing w:after="100"/>
      <w:ind w:left="1680"/>
    </w:pPr>
  </w:style>
  <w:style w:type="paragraph" w:styleId="Spistreci9">
    <w:name w:val="toc 9"/>
    <w:basedOn w:val="Normalny"/>
    <w:next w:val="Normalny"/>
    <w:autoRedefine/>
    <w:uiPriority w:val="98"/>
    <w:semiHidden/>
    <w:rsid w:val="00384BCF"/>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ECHRFooterLine">
    <w:name w:val="ECHR_Footer_Line"/>
    <w:aliases w:val="_Footer_Line"/>
    <w:basedOn w:val="Normalny"/>
    <w:next w:val="Normalny"/>
    <w:uiPriority w:val="29"/>
    <w:semiHidden/>
    <w:rsid w:val="00384BC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84BCF"/>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384BCF"/>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84BCF"/>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84BCF"/>
    <w:pPr>
      <w:numPr>
        <w:numId w:val="16"/>
      </w:numPr>
      <w:spacing w:before="60" w:after="60"/>
    </w:pPr>
  </w:style>
  <w:style w:type="paragraph" w:customStyle="1" w:styleId="ECHRBullet2">
    <w:name w:val="ECHR_Bullet_2"/>
    <w:aliases w:val="_Bul_2"/>
    <w:basedOn w:val="ECHRBullet1"/>
    <w:uiPriority w:val="23"/>
    <w:semiHidden/>
    <w:rsid w:val="00384BCF"/>
    <w:pPr>
      <w:numPr>
        <w:ilvl w:val="1"/>
      </w:numPr>
    </w:pPr>
  </w:style>
  <w:style w:type="paragraph" w:customStyle="1" w:styleId="ECHRBullet3">
    <w:name w:val="ECHR_Bullet_3"/>
    <w:aliases w:val="_Bul_3"/>
    <w:basedOn w:val="ECHRBullet2"/>
    <w:uiPriority w:val="23"/>
    <w:semiHidden/>
    <w:rsid w:val="00384BCF"/>
    <w:pPr>
      <w:numPr>
        <w:ilvl w:val="2"/>
      </w:numPr>
    </w:pPr>
  </w:style>
  <w:style w:type="paragraph" w:customStyle="1" w:styleId="ECHRBullet4">
    <w:name w:val="ECHR_Bullet_4"/>
    <w:aliases w:val="_Bul_4"/>
    <w:basedOn w:val="ECHRBullet3"/>
    <w:uiPriority w:val="23"/>
    <w:semiHidden/>
    <w:rsid w:val="00384BCF"/>
    <w:pPr>
      <w:numPr>
        <w:ilvl w:val="3"/>
      </w:numPr>
    </w:pPr>
  </w:style>
  <w:style w:type="paragraph" w:customStyle="1" w:styleId="ECHRConfidential">
    <w:name w:val="ECHR_Confidential"/>
    <w:aliases w:val="_Confidential"/>
    <w:basedOn w:val="Normalny"/>
    <w:next w:val="Normalny"/>
    <w:uiPriority w:val="42"/>
    <w:semiHidden/>
    <w:qFormat/>
    <w:rsid w:val="00384BCF"/>
    <w:pPr>
      <w:jc w:val="right"/>
    </w:pPr>
    <w:rPr>
      <w:color w:val="C00000"/>
      <w:sz w:val="20"/>
    </w:rPr>
  </w:style>
  <w:style w:type="paragraph" w:customStyle="1" w:styleId="ECHRDecisionBody">
    <w:name w:val="ECHR_Decision_Body"/>
    <w:aliases w:val="_Decision_Body"/>
    <w:basedOn w:val="NormalJustified"/>
    <w:uiPriority w:val="54"/>
    <w:semiHidden/>
    <w:rsid w:val="00384BCF"/>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384BCF"/>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84BCF"/>
    <w:rPr>
      <w:rFonts w:ascii="Arial" w:hAnsi="Arial"/>
      <w:i/>
      <w:color w:val="002856"/>
      <w:sz w:val="32"/>
      <w:szCs w:val="24"/>
      <w:lang w:val="fr-FR"/>
    </w:rPr>
  </w:style>
  <w:style w:type="paragraph" w:customStyle="1" w:styleId="ECHRFooterLineLandscape">
    <w:name w:val="ECHR_Footer_Line_Landscape"/>
    <w:aliases w:val="_Footer_Line_Landscape"/>
    <w:basedOn w:val="Normalny"/>
    <w:uiPriority w:val="29"/>
    <w:semiHidden/>
    <w:rsid w:val="00384BCF"/>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384BCF"/>
    <w:pPr>
      <w:jc w:val="right"/>
    </w:pPr>
    <w:rPr>
      <w:sz w:val="20"/>
    </w:rPr>
  </w:style>
  <w:style w:type="paragraph" w:customStyle="1" w:styleId="ECHRHeaderRefIt">
    <w:name w:val="ECHR_Header_Ref_It"/>
    <w:aliases w:val="_Ref_Ital"/>
    <w:basedOn w:val="Normalny"/>
    <w:next w:val="ECHRHeaderDate"/>
    <w:uiPriority w:val="43"/>
    <w:qFormat/>
    <w:rsid w:val="00384BCF"/>
    <w:pPr>
      <w:jc w:val="right"/>
    </w:pPr>
    <w:rPr>
      <w:i/>
      <w:sz w:val="20"/>
    </w:rPr>
  </w:style>
  <w:style w:type="paragraph" w:customStyle="1" w:styleId="ECHRHeading9">
    <w:name w:val="ECHR_Heading_9"/>
    <w:aliases w:val="_Head_9"/>
    <w:basedOn w:val="Nagwek9"/>
    <w:uiPriority w:val="17"/>
    <w:semiHidden/>
    <w:rsid w:val="00384BCF"/>
    <w:pPr>
      <w:keepNext/>
      <w:keepLines/>
      <w:numPr>
        <w:ilvl w:val="8"/>
        <w:numId w:val="15"/>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384BCF"/>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84BCF"/>
    <w:pPr>
      <w:numPr>
        <w:numId w:val="18"/>
      </w:numPr>
      <w:spacing w:before="60" w:after="60"/>
    </w:pPr>
  </w:style>
  <w:style w:type="paragraph" w:customStyle="1" w:styleId="ECHRNumberedList2">
    <w:name w:val="ECHR_Numbered_List_2"/>
    <w:aliases w:val="_Num_2"/>
    <w:basedOn w:val="ECHRNumberedList1"/>
    <w:uiPriority w:val="23"/>
    <w:semiHidden/>
    <w:rsid w:val="00384BCF"/>
    <w:pPr>
      <w:numPr>
        <w:ilvl w:val="1"/>
      </w:numPr>
    </w:pPr>
  </w:style>
  <w:style w:type="paragraph" w:customStyle="1" w:styleId="ECHRNumberedList3">
    <w:name w:val="ECHR_Numbered_List_3"/>
    <w:aliases w:val="_Num_3"/>
    <w:basedOn w:val="ECHRNumberedList2"/>
    <w:uiPriority w:val="23"/>
    <w:semiHidden/>
    <w:rsid w:val="00384BCF"/>
    <w:pPr>
      <w:numPr>
        <w:ilvl w:val="2"/>
      </w:numPr>
    </w:pPr>
  </w:style>
  <w:style w:type="paragraph" w:customStyle="1" w:styleId="ECHRParaHanging">
    <w:name w:val="ECHR_Para_Hanging"/>
    <w:aliases w:val="_Hanging"/>
    <w:basedOn w:val="NormalJustified"/>
    <w:uiPriority w:val="8"/>
    <w:semiHidden/>
    <w:qFormat/>
    <w:rsid w:val="00384BCF"/>
    <w:pPr>
      <w:ind w:left="567" w:hanging="567"/>
    </w:pPr>
  </w:style>
  <w:style w:type="paragraph" w:customStyle="1" w:styleId="ECHRParaIndent">
    <w:name w:val="ECHR_Para_Indent"/>
    <w:aliases w:val="_Indent"/>
    <w:basedOn w:val="NormalJustified"/>
    <w:uiPriority w:val="7"/>
    <w:semiHidden/>
    <w:qFormat/>
    <w:rsid w:val="00384BCF"/>
    <w:pPr>
      <w:spacing w:before="120" w:after="120"/>
      <w:ind w:left="567"/>
    </w:pPr>
  </w:style>
  <w:style w:type="character" w:customStyle="1" w:styleId="ECHRRed">
    <w:name w:val="ECHR_Red"/>
    <w:aliases w:val="_Red"/>
    <w:basedOn w:val="Domylnaczcionkaakapitu"/>
    <w:uiPriority w:val="15"/>
    <w:semiHidden/>
    <w:qFormat/>
    <w:rsid w:val="00384BCF"/>
    <w:rPr>
      <w:color w:val="C00000" w:themeColor="accent2"/>
    </w:rPr>
  </w:style>
  <w:style w:type="paragraph" w:customStyle="1" w:styleId="DecList">
    <w:name w:val="Dec_List"/>
    <w:aliases w:val="_List"/>
    <w:basedOn w:val="JuList"/>
    <w:uiPriority w:val="22"/>
    <w:rsid w:val="00384BCF"/>
    <w:pPr>
      <w:numPr>
        <w:numId w:val="0"/>
      </w:numPr>
      <w:ind w:left="284"/>
    </w:pPr>
  </w:style>
  <w:style w:type="table" w:customStyle="1" w:styleId="ECHRTable2">
    <w:name w:val="ECHR_Table_2"/>
    <w:basedOn w:val="Standardowy"/>
    <w:uiPriority w:val="99"/>
    <w:rsid w:val="00384BC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84BC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384BCF"/>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84BCF"/>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84BCF"/>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384BCF"/>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384BCF"/>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384BCF"/>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384BCF"/>
    <w:pPr>
      <w:outlineLvl w:val="0"/>
    </w:pPr>
  </w:style>
  <w:style w:type="paragraph" w:customStyle="1" w:styleId="ECHRTitleTOC1">
    <w:name w:val="ECHR_Title_TOC_1"/>
    <w:aliases w:val="_Title_L_TOC"/>
    <w:basedOn w:val="ECHRTitle1"/>
    <w:next w:val="Normalny"/>
    <w:uiPriority w:val="27"/>
    <w:semiHidden/>
    <w:qFormat/>
    <w:rsid w:val="00384BCF"/>
    <w:pPr>
      <w:outlineLvl w:val="0"/>
    </w:pPr>
  </w:style>
  <w:style w:type="paragraph" w:customStyle="1" w:styleId="ECHRPlaceholder">
    <w:name w:val="ECHR_Placeholder"/>
    <w:aliases w:val="_Placeholder"/>
    <w:basedOn w:val="JuSigned"/>
    <w:uiPriority w:val="31"/>
    <w:rsid w:val="00384BCF"/>
    <w:rPr>
      <w:color w:val="FFFFFF"/>
    </w:rPr>
  </w:style>
  <w:style w:type="paragraph" w:customStyle="1" w:styleId="ECHRSpacer">
    <w:name w:val="ECHR_Spacer"/>
    <w:aliases w:val="_Spacer"/>
    <w:basedOn w:val="Normalny"/>
    <w:uiPriority w:val="45"/>
    <w:semiHidden/>
    <w:rsid w:val="00384BCF"/>
    <w:rPr>
      <w:sz w:val="4"/>
    </w:rPr>
  </w:style>
  <w:style w:type="table" w:customStyle="1" w:styleId="ECHRTableGrey">
    <w:name w:val="ECHR_Table_Grey"/>
    <w:basedOn w:val="Standardowy"/>
    <w:uiPriority w:val="99"/>
    <w:rsid w:val="00384BCF"/>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227BCF"/>
    <w:rPr>
      <w:sz w:val="24"/>
      <w:szCs w:val="24"/>
      <w:lang w:val="fr-FR"/>
    </w:rPr>
  </w:style>
  <w:style w:type="character" w:customStyle="1" w:styleId="JuNames0">
    <w:name w:val="Ju_Names"/>
    <w:rsid w:val="00227BCF"/>
    <w:rPr>
      <w:smallCaps/>
    </w:rPr>
  </w:style>
  <w:style w:type="paragraph" w:customStyle="1" w:styleId="JuList4">
    <w:name w:val="Ju_List_4"/>
    <w:aliases w:val="N_Bul_4"/>
    <w:basedOn w:val="JuListi"/>
    <w:uiPriority w:val="19"/>
    <w:rsid w:val="00227BCF"/>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227BC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227BC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227BC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227BCF"/>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227BC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227BC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227BC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227BC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227BC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227BC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227BCF"/>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227BC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227BC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227BC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227BC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227BC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227BC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227BC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227BC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227BC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227BC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227BC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227BC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227BC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227BC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227BC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227BC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227BC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227BC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227BC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227BC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227BC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227BC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227BC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227BC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227BC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227BC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227BC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227BC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227BC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227BC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227BC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227BC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227BCF"/>
    <w:rPr>
      <w:color w:val="2B579A"/>
      <w:shd w:val="clear" w:color="auto" w:fill="E1DFDD"/>
    </w:rPr>
  </w:style>
  <w:style w:type="table" w:styleId="Tabelalisty1jasna">
    <w:name w:val="List Table 1 Light"/>
    <w:basedOn w:val="Standardowy"/>
    <w:uiPriority w:val="46"/>
    <w:semiHidden/>
    <w:rsid w:val="00227BC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227BC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227BC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227BCF"/>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227BC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227BC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227BC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227BC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227BC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227BC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227BCF"/>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227BC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227BC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227BC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227BC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227BC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227BC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227BCF"/>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227BC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227BC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227BC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227BC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227BC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227BC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227BC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227BC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227BC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227BC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227BCF"/>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227BCF"/>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227BCF"/>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227BCF"/>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227BCF"/>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227BCF"/>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227BCF"/>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227BC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227BC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227BC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227BCF"/>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227BC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227BC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227BC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227BC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227BC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227BC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227BCF"/>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227BC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227BC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227BC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227BCF"/>
    <w:rPr>
      <w:color w:val="2B579A"/>
      <w:shd w:val="clear" w:color="auto" w:fill="E1DFDD"/>
    </w:rPr>
  </w:style>
  <w:style w:type="table" w:styleId="Zwykatabela1">
    <w:name w:val="Plain Table 1"/>
    <w:basedOn w:val="Standardowy"/>
    <w:uiPriority w:val="41"/>
    <w:semiHidden/>
    <w:rsid w:val="00227BCF"/>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227BC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227BC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227BC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227BC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227BCF"/>
    <w:rPr>
      <w:u w:val="dotted"/>
    </w:rPr>
  </w:style>
  <w:style w:type="character" w:customStyle="1" w:styleId="Inteligentnylink1">
    <w:name w:val="Inteligentny link1"/>
    <w:basedOn w:val="Domylnaczcionkaakapitu"/>
    <w:uiPriority w:val="99"/>
    <w:semiHidden/>
    <w:unhideWhenUsed/>
    <w:rsid w:val="00227BCF"/>
    <w:rPr>
      <w:color w:val="0000FF"/>
      <w:u w:val="single"/>
      <w:shd w:val="clear" w:color="auto" w:fill="F3F2F1"/>
    </w:rPr>
  </w:style>
  <w:style w:type="table" w:styleId="Siatkatabelijasna">
    <w:name w:val="Grid Table Light"/>
    <w:basedOn w:val="Standardowy"/>
    <w:uiPriority w:val="40"/>
    <w:semiHidden/>
    <w:rsid w:val="00227BCF"/>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Poprawka">
    <w:name w:val="Revision"/>
    <w:hidden/>
    <w:uiPriority w:val="99"/>
    <w:semiHidden/>
    <w:rsid w:val="00227BCF"/>
    <w:rPr>
      <w:sz w:val="24"/>
      <w:szCs w:val="24"/>
      <w:lang w:val="fr-FR"/>
    </w:rPr>
  </w:style>
  <w:style w:type="paragraph" w:customStyle="1" w:styleId="DummyStyle">
    <w:name w:val="Dummy_Style"/>
    <w:aliases w:val="_Dummy"/>
    <w:basedOn w:val="Normalny"/>
    <w:semiHidden/>
    <w:qFormat/>
    <w:rsid w:val="00384BCF"/>
    <w:rPr>
      <w:color w:val="00B050"/>
      <w:sz w:val="22"/>
    </w:rPr>
  </w:style>
  <w:style w:type="character" w:customStyle="1" w:styleId="pointer">
    <w:name w:val="pointer"/>
    <w:basedOn w:val="Domylnaczcionkaakapitu"/>
    <w:rsid w:val="00492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816C0F-2717-44D6-8476-CEA482836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2843</Words>
  <Characters>17059</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19863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2023-04-05T10:50:00Z</dcterms:created>
  <dcterms:modified xsi:type="dcterms:W3CDTF">2023-04-07T11:35:00Z</dcterms:modified>
  <cp:category/>
</cp:coreProperties>
</file>