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070" w:rsidP="00384BCF" w:rsidRDefault="007A4070" w14:paraId="31A4CE76" w14:textId="0383322D">
      <w:pPr>
        <w:jc w:val="center"/>
      </w:pPr>
    </w:p>
    <w:p w:rsidR="00384BCF" w:rsidP="00384BCF" w:rsidRDefault="00384BCF" w14:paraId="5B289527" w14:textId="05163CAE">
      <w:pPr>
        <w:jc w:val="center"/>
      </w:pPr>
    </w:p>
    <w:p w:rsidRPr="00384BCF" w:rsidR="00384BCF" w:rsidP="00384BCF" w:rsidRDefault="00384BCF" w14:paraId="41228B32" w14:textId="77777777">
      <w:pPr>
        <w:jc w:val="center"/>
      </w:pPr>
    </w:p>
    <w:p w:rsidRPr="00384BCF" w:rsidR="007A4070" w:rsidP="00384BCF" w:rsidRDefault="00227BCF" w14:paraId="1A915438" w14:textId="43B6F805">
      <w:pPr>
        <w:pStyle w:val="DecHCase"/>
      </w:pPr>
      <w:r w:rsidRPr="00384BCF">
        <w:t>PREMIÈRE SECTION</w:t>
      </w:r>
    </w:p>
    <w:p w:rsidRPr="00384BCF" w:rsidR="007A4070" w:rsidP="00384BCF" w:rsidRDefault="007A4070" w14:paraId="5458A988" w14:textId="3D001B05">
      <w:pPr>
        <w:pStyle w:val="JuTitle"/>
      </w:pPr>
      <w:r w:rsidRPr="00384BCF">
        <w:t xml:space="preserve">AFFAIRE </w:t>
      </w:r>
      <w:r w:rsidRPr="00384BCF" w:rsidR="00227BCF">
        <w:t>R.M. ET AUTRES c. POLOGNE</w:t>
      </w:r>
    </w:p>
    <w:p w:rsidRPr="00384BCF" w:rsidR="007A4070" w:rsidP="00384BCF" w:rsidRDefault="007A4070" w14:paraId="2A74A0C0" w14:textId="0EAF5F08">
      <w:pPr>
        <w:pStyle w:val="ECHRCoverTitle4"/>
      </w:pPr>
      <w:r w:rsidRPr="00384BCF">
        <w:t>(</w:t>
      </w:r>
      <w:r w:rsidRPr="00384BCF" w:rsidR="00227BCF">
        <w:rPr>
          <w:noProof/>
        </w:rPr>
        <w:t>Requête n</w:t>
      </w:r>
      <w:r w:rsidRPr="00384BCF" w:rsidR="00227BCF">
        <w:rPr>
          <w:noProof/>
          <w:vertAlign w:val="superscript"/>
        </w:rPr>
        <w:t>o</w:t>
      </w:r>
      <w:r w:rsidRPr="00384BCF">
        <w:t xml:space="preserve"> </w:t>
      </w:r>
      <w:r w:rsidRPr="00384BCF" w:rsidR="00227BCF">
        <w:t>11247/18</w:t>
      </w:r>
      <w:r w:rsidRPr="00384BCF">
        <w:t>)</w:t>
      </w:r>
    </w:p>
    <w:p w:rsidRPr="00384BCF" w:rsidR="007A4070" w:rsidP="00384BCF" w:rsidRDefault="007A4070" w14:paraId="5747ABCF" w14:textId="77777777">
      <w:pPr>
        <w:pStyle w:val="DecHCase"/>
      </w:pPr>
    </w:p>
    <w:p w:rsidRPr="00384BCF" w:rsidR="007A4070" w:rsidP="00384BCF" w:rsidRDefault="007A4070" w14:paraId="7396F7AB" w14:textId="77777777">
      <w:pPr>
        <w:pStyle w:val="DecHCase"/>
      </w:pPr>
    </w:p>
    <w:p w:rsidRPr="00384BCF" w:rsidR="007A4070" w:rsidP="00384BCF" w:rsidRDefault="007A4070" w14:paraId="01A8424D" w14:textId="77777777">
      <w:pPr>
        <w:pStyle w:val="DecHCase"/>
      </w:pPr>
    </w:p>
    <w:p w:rsidRPr="00384BCF" w:rsidR="007A4070" w:rsidP="00384BCF" w:rsidRDefault="007A4070" w14:paraId="2F043C18" w14:textId="77777777">
      <w:pPr>
        <w:pStyle w:val="DecHCase"/>
      </w:pPr>
    </w:p>
    <w:p w:rsidRPr="00384BCF" w:rsidR="007A4070" w:rsidP="00384BCF" w:rsidRDefault="007A4070" w14:paraId="5082406E" w14:textId="77777777">
      <w:pPr>
        <w:pStyle w:val="DecHCase"/>
      </w:pPr>
    </w:p>
    <w:p w:rsidRPr="00384BCF" w:rsidR="007A4070" w:rsidP="00384BCF" w:rsidRDefault="007A4070" w14:paraId="2FEEADE4" w14:textId="77777777">
      <w:pPr>
        <w:pStyle w:val="DecHCase"/>
      </w:pPr>
    </w:p>
    <w:p w:rsidRPr="00384BCF" w:rsidR="00384BCF" w:rsidP="00384BCF" w:rsidRDefault="007A4070" w14:paraId="4DBEBF7C" w14:textId="77777777">
      <w:pPr>
        <w:pStyle w:val="DecHCase"/>
      </w:pPr>
      <w:r w:rsidRPr="00384BCF">
        <w:t>ARRÊT</w:t>
      </w:r>
      <w:r w:rsidRPr="00384BCF">
        <w:br/>
      </w:r>
    </w:p>
    <w:p w:rsidRPr="00384BCF" w:rsidR="00384BCF" w:rsidP="00384BCF" w:rsidRDefault="00384BCF" w14:paraId="29C4DF60" w14:textId="77777777">
      <w:pPr>
        <w:pStyle w:val="DecHCase"/>
      </w:pPr>
    </w:p>
    <w:p w:rsidRPr="00384BCF" w:rsidR="00384BCF" w:rsidP="00384BCF" w:rsidRDefault="00384BCF" w14:paraId="00BA2BDD" w14:textId="77777777">
      <w:pPr>
        <w:pStyle w:val="DecHCase"/>
      </w:pPr>
    </w:p>
    <w:p w:rsidRPr="00384BCF" w:rsidR="007A4070" w:rsidP="00384BCF" w:rsidRDefault="007A4070" w14:paraId="7291D19A" w14:textId="0131636E">
      <w:pPr>
        <w:pStyle w:val="DecHCase"/>
      </w:pPr>
    </w:p>
    <w:p w:rsidRPr="00384BCF" w:rsidR="007A4070" w:rsidP="00384BCF" w:rsidRDefault="007A4070" w14:paraId="5F22EF9D" w14:textId="77777777">
      <w:pPr>
        <w:pStyle w:val="DecHCase"/>
      </w:pPr>
      <w:r w:rsidRPr="00384BCF">
        <w:t>STRASBOURG</w:t>
      </w:r>
    </w:p>
    <w:p w:rsidRPr="00384BCF" w:rsidR="007A4070" w:rsidP="00384BCF" w:rsidRDefault="00227BCF" w14:paraId="5A4F3ED0" w14:textId="7F232612">
      <w:pPr>
        <w:pStyle w:val="DecHCase"/>
      </w:pPr>
      <w:r w:rsidRPr="00384BCF">
        <w:rPr>
          <w:noProof/>
        </w:rPr>
        <w:t>9 février 2023</w:t>
      </w:r>
    </w:p>
    <w:p w:rsidRPr="00384BCF" w:rsidR="00516B59" w:rsidP="00384BCF" w:rsidRDefault="007A4070" w14:paraId="2F990BC9" w14:textId="036D2F4B">
      <w:pPr>
        <w:rPr>
          <w:rFonts w:cstheme="minorHAnsi"/>
          <w:i/>
          <w:sz w:val="22"/>
        </w:rPr>
      </w:pPr>
      <w:r w:rsidRPr="00384BCF">
        <w:rPr>
          <w:rFonts w:cstheme="minorHAnsi"/>
          <w:i/>
          <w:sz w:val="22"/>
        </w:rPr>
        <w:t>Cet arrêt</w:t>
      </w:r>
      <w:r w:rsidRPr="00384BCF" w:rsidR="00227BCF">
        <w:rPr>
          <w:rFonts w:cstheme="minorHAnsi"/>
          <w:i/>
          <w:sz w:val="22"/>
        </w:rPr>
        <w:t xml:space="preserve"> </w:t>
      </w:r>
      <w:r w:rsidRPr="00384BCF" w:rsidR="00227BCF">
        <w:rPr>
          <w:rFonts w:cstheme="minorHAnsi"/>
          <w:i/>
          <w:noProof/>
          <w:sz w:val="22"/>
        </w:rPr>
        <w:t>est définitif</w:t>
      </w:r>
      <w:r w:rsidRPr="00384BCF">
        <w:rPr>
          <w:rFonts w:cstheme="minorHAnsi"/>
          <w:i/>
          <w:sz w:val="22"/>
        </w:rPr>
        <w:t>. Il peut subir des retouches de fo</w:t>
      </w:r>
      <w:r w:rsidRPr="00384BCF" w:rsidR="00516B59">
        <w:rPr>
          <w:rFonts w:cstheme="minorHAnsi"/>
          <w:i/>
          <w:sz w:val="22"/>
        </w:rPr>
        <w:t>rme.</w:t>
      </w:r>
    </w:p>
    <w:p w:rsidRPr="00384BCF" w:rsidR="00516B59" w:rsidP="00384BCF" w:rsidRDefault="00516B59" w14:paraId="1D65FC95" w14:textId="77777777">
      <w:pPr>
        <w:ind w:left="720"/>
        <w:rPr>
          <w:rFonts w:ascii="Times New Roman" w:hAnsi="Times New Roman" w:cs="Times New Roman"/>
          <w:sz w:val="22"/>
        </w:rPr>
        <w:sectPr w:rsidRPr="00384BCF" w:rsidR="00516B59" w:rsidSect="0090260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84BCF" w:rsidR="004344E6" w:rsidP="00384BCF" w:rsidRDefault="004344E6" w14:paraId="6C979C72" w14:textId="40B09449">
      <w:pPr>
        <w:pStyle w:val="JuCase"/>
      </w:pPr>
      <w:r w:rsidRPr="00384BCF">
        <w:t>En l</w:t>
      </w:r>
      <w:r w:rsidRPr="00384BCF" w:rsidR="00384BCF">
        <w:t>’</w:t>
      </w:r>
      <w:r w:rsidRPr="00384BCF">
        <w:t xml:space="preserve">affaire </w:t>
      </w:r>
      <w:r w:rsidRPr="00384BCF" w:rsidR="00227BCF">
        <w:t xml:space="preserve">R.M. et </w:t>
      </w:r>
      <w:r w:rsidR="00520539">
        <w:t>a</w:t>
      </w:r>
      <w:r w:rsidRPr="00384BCF" w:rsidR="00227BCF">
        <w:t>utres c. Pologne</w:t>
      </w:r>
      <w:r w:rsidRPr="00384BCF">
        <w:t>,</w:t>
      </w:r>
    </w:p>
    <w:p w:rsidRPr="00384BCF" w:rsidR="004344E6" w:rsidP="00384BCF" w:rsidRDefault="004344E6" w14:paraId="0F59A3B9" w14:textId="21450BC1">
      <w:pPr>
        <w:pStyle w:val="JuPara"/>
      </w:pPr>
      <w:r w:rsidRPr="00384BCF">
        <w:t>La Cour européenne des droits de l</w:t>
      </w:r>
      <w:r w:rsidRPr="00384BCF" w:rsidR="00384BCF">
        <w:t>’</w:t>
      </w:r>
      <w:r w:rsidRPr="00384BCF">
        <w:t>homme (</w:t>
      </w:r>
      <w:r w:rsidRPr="00384BCF" w:rsidR="00227BCF">
        <w:t>première section</w:t>
      </w:r>
      <w:r w:rsidRPr="00384BCF">
        <w:t xml:space="preserve">), siégeant en </w:t>
      </w:r>
      <w:r w:rsidRPr="00384BCF" w:rsidR="00227BCF">
        <w:rPr>
          <w:noProof/>
          <w:color w:val="000000"/>
        </w:rPr>
        <w:t>un</w:t>
      </w:r>
      <w:r w:rsidRPr="00384BCF" w:rsidR="00227BCF">
        <w:rPr>
          <w:noProof/>
        </w:rPr>
        <w:t xml:space="preserve"> comité</w:t>
      </w:r>
      <w:r w:rsidRPr="00384BCF" w:rsidR="0049589D">
        <w:rPr>
          <w:noProof/>
        </w:rPr>
        <w:t xml:space="preserve"> </w:t>
      </w:r>
      <w:r w:rsidRPr="00384BCF" w:rsidR="00227BCF">
        <w:rPr>
          <w:noProof/>
        </w:rPr>
        <w:t>composé</w:t>
      </w:r>
      <w:r w:rsidRPr="00384BCF">
        <w:t xml:space="preserve"> de :</w:t>
      </w:r>
    </w:p>
    <w:p w:rsidRPr="00384BCF" w:rsidR="004344E6" w:rsidP="00384BCF" w:rsidRDefault="0075238D" w14:paraId="7CEAAFAB" w14:textId="5C733DE4">
      <w:pPr>
        <w:pStyle w:val="JuJudges"/>
      </w:pPr>
      <w:r w:rsidRPr="00384BCF">
        <w:tab/>
        <w:t>Lətif Hüseynov</w:t>
      </w:r>
      <w:r w:rsidRPr="00384BCF">
        <w:rPr>
          <w:i/>
        </w:rPr>
        <w:t>, président</w:t>
      </w:r>
      <w:r w:rsidRPr="00384BCF">
        <w:t>,</w:t>
      </w:r>
      <w:r w:rsidRPr="00384BCF">
        <w:br/>
      </w:r>
      <w:r w:rsidRPr="00384BCF">
        <w:tab/>
        <w:t>Krzysztof Wojtyczek,</w:t>
      </w:r>
      <w:r w:rsidRPr="00384BCF">
        <w:br/>
      </w:r>
      <w:r w:rsidRPr="00384BCF">
        <w:tab/>
        <w:t>Erik Wennerström</w:t>
      </w:r>
      <w:r w:rsidRPr="00384BCF">
        <w:rPr>
          <w:i/>
        </w:rPr>
        <w:t>, juges</w:t>
      </w:r>
      <w:r w:rsidRPr="00384BCF">
        <w:t>,</w:t>
      </w:r>
      <w:r w:rsidRPr="00384BCF" w:rsidR="004344E6">
        <w:br/>
        <w:t xml:space="preserve">et de </w:t>
      </w:r>
      <w:r w:rsidRPr="00384BCF" w:rsidR="00227BCF">
        <w:rPr>
          <w:noProof/>
        </w:rPr>
        <w:t>Liv Tigerstedt</w:t>
      </w:r>
      <w:r w:rsidRPr="00384BCF" w:rsidR="004344E6">
        <w:t xml:space="preserve">, </w:t>
      </w:r>
      <w:r w:rsidRPr="00384BCF" w:rsidR="00227BCF">
        <w:rPr>
          <w:i/>
          <w:noProof/>
        </w:rPr>
        <w:t>greffière adjointe</w:t>
      </w:r>
      <w:r w:rsidRPr="00384BCF" w:rsidR="00227BCF">
        <w:rPr>
          <w:iCs/>
          <w:noProof/>
        </w:rPr>
        <w:t xml:space="preserve"> </w:t>
      </w:r>
      <w:r w:rsidRPr="00384BCF" w:rsidR="00227BCF">
        <w:rPr>
          <w:i/>
          <w:iCs/>
          <w:noProof/>
        </w:rPr>
        <w:t>d</w:t>
      </w:r>
      <w:r w:rsidRPr="00384BCF" w:rsidR="00227BCF">
        <w:rPr>
          <w:i/>
          <w:noProof/>
        </w:rPr>
        <w:t>e section</w:t>
      </w:r>
      <w:r w:rsidRPr="00384BCF" w:rsidR="004344E6">
        <w:t>,</w:t>
      </w:r>
    </w:p>
    <w:p w:rsidRPr="00384BCF" w:rsidR="00227BCF" w:rsidP="00384BCF" w:rsidRDefault="00227BCF" w14:paraId="71D1010F" w14:textId="77777777">
      <w:pPr>
        <w:pStyle w:val="JuPara"/>
      </w:pPr>
      <w:r w:rsidRPr="00384BCF">
        <w:t>Vu :</w:t>
      </w:r>
    </w:p>
    <w:p w:rsidRPr="00384BCF" w:rsidR="00227BCF" w:rsidP="00384BCF" w:rsidRDefault="00227BCF" w14:paraId="1B7A72EF" w14:textId="39ACC26A">
      <w:pPr>
        <w:pStyle w:val="JuPara"/>
      </w:pPr>
      <w:r w:rsidRPr="00384BCF">
        <w:t>la requête (n</w:t>
      </w:r>
      <w:r w:rsidRPr="00384BCF">
        <w:rPr>
          <w:vertAlign w:val="superscript"/>
        </w:rPr>
        <w:t>o</w:t>
      </w:r>
      <w:r w:rsidRPr="00384BCF">
        <w:t> 11247/18) dirigée contre la République de Pologne et dont quatre ressortissants russes (la liste des requérants et les précisions pertinentes figurent dans le tableau joint en annexe) (« les requérants »), ont saisi la Cour le 26 février 2018 en vertu de l</w:t>
      </w:r>
      <w:r w:rsidRPr="00384BCF" w:rsidR="00384BCF">
        <w:t>’</w:t>
      </w:r>
      <w:r w:rsidRPr="00384BCF">
        <w:t>article 34 de la Convention de sauvegarde des droits de l</w:t>
      </w:r>
      <w:r w:rsidRPr="00384BCF" w:rsidR="00384BCF">
        <w:t>’</w:t>
      </w:r>
      <w:r w:rsidRPr="00384BCF">
        <w:t>homme et des libertés fondamentales (« la Convention »),</w:t>
      </w:r>
    </w:p>
    <w:p w:rsidRPr="00384BCF" w:rsidR="00227BCF" w:rsidP="00384BCF" w:rsidRDefault="00227BCF" w14:paraId="43980634" w14:textId="47AD4465">
      <w:pPr>
        <w:pStyle w:val="JuPara"/>
      </w:pPr>
      <w:r w:rsidRPr="00384BCF">
        <w:t>la décision de porter à la connaissance du gouvernement polonais (« le Gouvernement »), représenté par son agent, M. J. Sobczak, du ministère des Affaires étrangères, les griefs concernant les articles 3, 5</w:t>
      </w:r>
      <w:r w:rsidRPr="00384BCF" w:rsidR="00FE4262">
        <w:t xml:space="preserve"> </w:t>
      </w:r>
      <w:r w:rsidRPr="00384BCF">
        <w:t>§§ 1 f) et 4, et l</w:t>
      </w:r>
      <w:r w:rsidRPr="00384BCF" w:rsidR="00384BCF">
        <w:t>’</w:t>
      </w:r>
      <w:r w:rsidRPr="00384BCF">
        <w:t>article 8 de la Convention et de déclarer irrecevable la requête pour le surplus,</w:t>
      </w:r>
    </w:p>
    <w:p w:rsidRPr="00384BCF" w:rsidR="00227BCF" w:rsidP="00384BCF" w:rsidRDefault="00227BCF" w14:paraId="3A32C864" w14:textId="02653664">
      <w:pPr>
        <w:pStyle w:val="JuPara"/>
      </w:pPr>
      <w:r w:rsidRPr="00384BCF">
        <w:t>la décision par laquelle la Cour a rejeté l</w:t>
      </w:r>
      <w:r w:rsidRPr="00384BCF" w:rsidR="00384BCF">
        <w:t>’</w:t>
      </w:r>
      <w:r w:rsidRPr="00384BCF">
        <w:t>opposition du Gouvernement à l</w:t>
      </w:r>
      <w:r w:rsidRPr="00384BCF" w:rsidR="00384BCF">
        <w:t>’</w:t>
      </w:r>
      <w:r w:rsidRPr="00384BCF">
        <w:t>examen de la requête par un comité,</w:t>
      </w:r>
    </w:p>
    <w:p w:rsidRPr="00384BCF" w:rsidR="00227BCF" w:rsidP="00384BCF" w:rsidRDefault="00227BCF" w14:paraId="493E7374" w14:textId="72E03CA6">
      <w:pPr>
        <w:pStyle w:val="JuPara"/>
      </w:pPr>
      <w:r w:rsidRPr="00384BCF">
        <w:t>la décision de ne pas dévoiler l</w:t>
      </w:r>
      <w:r w:rsidRPr="00384BCF" w:rsidR="00384BCF">
        <w:t>’</w:t>
      </w:r>
      <w:r w:rsidRPr="00384BCF">
        <w:t>identité des requérants,</w:t>
      </w:r>
    </w:p>
    <w:p w:rsidRPr="00384BCF" w:rsidR="00227BCF" w:rsidP="00384BCF" w:rsidRDefault="00227BCF" w14:paraId="7BDFFBC9" w14:textId="77777777">
      <w:pPr>
        <w:pStyle w:val="JuPara"/>
      </w:pPr>
      <w:r w:rsidRPr="00384BCF">
        <w:t>les observations des parties,</w:t>
      </w:r>
    </w:p>
    <w:p w:rsidRPr="00384BCF" w:rsidR="00227BCF" w:rsidP="00384BCF" w:rsidRDefault="00227BCF" w14:paraId="5ACB3545" w14:textId="77777777">
      <w:pPr>
        <w:pStyle w:val="JuPara"/>
      </w:pPr>
      <w:r w:rsidRPr="00384BCF">
        <w:t>les observations présentées par le Comité Helsinki Hongrie (« le tiers intervenant ») dont le président de la section avait autorisé la tierce intervention,</w:t>
      </w:r>
    </w:p>
    <w:p w:rsidRPr="00384BCF" w:rsidR="004344E6" w:rsidP="00384BCF" w:rsidRDefault="004344E6" w14:paraId="40C77D98" w14:textId="2A645CAD">
      <w:pPr>
        <w:pStyle w:val="JuPara"/>
      </w:pPr>
      <w:r w:rsidRPr="00384BCF">
        <w:t xml:space="preserve">Après en avoir délibéré en chambre du conseil le </w:t>
      </w:r>
      <w:r w:rsidRPr="00384BCF" w:rsidR="00227BCF">
        <w:t>17 janvier 2023</w:t>
      </w:r>
      <w:r w:rsidRPr="00384BCF">
        <w:t>,</w:t>
      </w:r>
    </w:p>
    <w:p w:rsidRPr="00384BCF" w:rsidR="00876F03" w:rsidP="00384BCF" w:rsidRDefault="004344E6" w14:paraId="402A0EC7" w14:textId="168CAADC">
      <w:pPr>
        <w:pStyle w:val="JuPara"/>
      </w:pPr>
      <w:r w:rsidRPr="00384BCF">
        <w:t>Rend l</w:t>
      </w:r>
      <w:r w:rsidRPr="00384BCF" w:rsidR="00384BCF">
        <w:t>’</w:t>
      </w:r>
      <w:r w:rsidRPr="00384BCF">
        <w:t>arrêt que voici</w:t>
      </w:r>
      <w:r w:rsidRPr="00384BCF" w:rsidR="00876F03">
        <w:t>, adopté à cette date :</w:t>
      </w:r>
    </w:p>
    <w:p w:rsidRPr="00384BCF" w:rsidR="00227BCF" w:rsidP="00384BCF" w:rsidRDefault="00227BCF" w14:paraId="2885CAFA" w14:textId="27D77EE8">
      <w:pPr>
        <w:pStyle w:val="JuHHead"/>
      </w:pPr>
      <w:r w:rsidRPr="00384BCF">
        <w:t>OBJET DE L</w:t>
      </w:r>
      <w:r w:rsidRPr="00384BCF" w:rsidR="00384BCF">
        <w:t>’</w:t>
      </w:r>
      <w:r w:rsidRPr="00384BCF">
        <w:t>AFFAIRE</w:t>
      </w:r>
    </w:p>
    <w:p w:rsidRPr="00384BCF" w:rsidR="00227BCF" w:rsidP="00384BCF" w:rsidRDefault="00D86348" w14:paraId="6FCD4723" w14:textId="735FC7E4">
      <w:pPr>
        <w:pStyle w:val="JuPara"/>
      </w:pPr>
      <w:r>
        <w:rPr>
          <w:noProof/>
        </w:rPr>
        <w:fldChar w:fldCharType="begin"/>
      </w:r>
      <w:r>
        <w:rPr>
          <w:noProof/>
        </w:rPr>
        <w:instrText xml:space="preserve"> SEQ lev</w:instrText>
      </w:r>
      <w:r>
        <w:rPr>
          <w:noProof/>
        </w:rPr>
        <w:instrText xml:space="preserve">el0 \*arabic \* MERGEFORMAT </w:instrText>
      </w:r>
      <w:r>
        <w:rPr>
          <w:noProof/>
        </w:rPr>
        <w:fldChar w:fldCharType="separate"/>
      </w:r>
      <w:r w:rsidRPr="00384BCF" w:rsidR="00384BCF">
        <w:rPr>
          <w:noProof/>
        </w:rPr>
        <w:t>1</w:t>
      </w:r>
      <w:r>
        <w:rPr>
          <w:noProof/>
        </w:rPr>
        <w:fldChar w:fldCharType="end"/>
      </w:r>
      <w:r w:rsidRPr="00384BCF" w:rsidR="00227BCF">
        <w:t>.  L</w:t>
      </w:r>
      <w:r w:rsidRPr="00384BCF" w:rsidR="00384BCF">
        <w:t>’</w:t>
      </w:r>
      <w:r w:rsidRPr="00384BCF" w:rsidR="00227BCF">
        <w:t>affaire concerne le placement et le maintien de la première requérante et de ses trois enfants mineurs pendant une période d</w:t>
      </w:r>
      <w:r w:rsidRPr="00384BCF" w:rsidR="00384BCF">
        <w:t>’</w:t>
      </w:r>
      <w:r w:rsidRPr="00384BCF" w:rsidR="00227BCF">
        <w:t>une durée d</w:t>
      </w:r>
      <w:r w:rsidRPr="00384BCF" w:rsidR="00384BCF">
        <w:t>’</w:t>
      </w:r>
      <w:r w:rsidRPr="00384BCF" w:rsidR="00227BCF">
        <w:t>environ sept mois dans un centre fermé pour étrangers dans l</w:t>
      </w:r>
      <w:r w:rsidRPr="00384BCF" w:rsidR="00384BCF">
        <w:t>’</w:t>
      </w:r>
      <w:r w:rsidRPr="00384BCF" w:rsidR="00227BCF">
        <w:t>attente de leur expulsion vers la Russie.</w:t>
      </w:r>
    </w:p>
    <w:p w:rsidRPr="00384BCF" w:rsidR="00227BCF" w:rsidP="00384BCF" w:rsidRDefault="00D86348" w14:paraId="705DBF00" w14:textId="429BAA7E">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w:t>
      </w:r>
      <w:r>
        <w:rPr>
          <w:noProof/>
        </w:rPr>
        <w:fldChar w:fldCharType="end"/>
      </w:r>
      <w:r w:rsidRPr="00384BCF" w:rsidR="00227BCF">
        <w:t>.  Le 5 septembre 2017, les requérants furent remis aux autorités polonaises par leurs homologues allemands conformément à la procédure prévue par le règlement dit « Dublin III » (Règlement (CE) n</w:t>
      </w:r>
      <w:r w:rsidRPr="00384BCF" w:rsidR="00227BCF">
        <w:rPr>
          <w:vertAlign w:val="superscript"/>
        </w:rPr>
        <w:t>o</w:t>
      </w:r>
      <w:r w:rsidRPr="00384BCF" w:rsidR="00227BCF">
        <w:t xml:space="preserve"> 604/2013 du Parlement européen et du Conseil du 26 juin 2013). Le même jour, les autorités engagèrent à leur encontre une procédure tendant à leur départ de Pologne.</w:t>
      </w:r>
    </w:p>
    <w:p w:rsidRPr="00384BCF" w:rsidR="00227BCF" w:rsidP="00384BCF" w:rsidRDefault="00D86348" w14:paraId="4C21026F" w14:textId="3D528974">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3</w:t>
      </w:r>
      <w:r>
        <w:rPr>
          <w:noProof/>
        </w:rPr>
        <w:fldChar w:fldCharType="end"/>
      </w:r>
      <w:r w:rsidRPr="00384BCF" w:rsidR="00227BCF">
        <w:t>.  Le 6 septembre 2017, le tribunal de district de S.</w:t>
      </w:r>
      <w:r w:rsidRPr="00384BCF" w:rsidR="00227BCF">
        <w:rPr>
          <w:b/>
          <w:bCs/>
        </w:rPr>
        <w:t xml:space="preserve"> </w:t>
      </w:r>
      <w:r w:rsidRPr="00384BCF" w:rsidR="00227BCF">
        <w:t>ordonna la rétention des requérants dans le centre fermé pour étrangers de Kętrzyn. Le 23 octobre 2017, le commandant en chef de la police aux frontières de S. enjoignit aux requérants de quitter le territoire polonais. Le 26 janvier 2018, le chef de l</w:t>
      </w:r>
      <w:r w:rsidRPr="00384BCF" w:rsidR="00384BCF">
        <w:t>’</w:t>
      </w:r>
      <w:r w:rsidRPr="00384BCF" w:rsidR="00227BCF">
        <w:t>Office des étrangers confirma cette décision. Entretemps, le 19</w:t>
      </w:r>
      <w:r w:rsidRPr="00384BCF" w:rsidR="0076687F">
        <w:t> </w:t>
      </w:r>
      <w:r w:rsidRPr="00384BCF" w:rsidR="00227BCF">
        <w:t>octobre 2017, le tribunal régional de S. avait rejeté le recours introduit par les requérants contre la décision de placement dans le centre de rétention.</w:t>
      </w:r>
    </w:p>
    <w:p w:rsidRPr="00384BCF" w:rsidR="00227BCF" w:rsidP="00384BCF" w:rsidRDefault="00D86348" w14:paraId="798CC44B" w14:textId="01F06F4A">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4</w:t>
      </w:r>
      <w:r>
        <w:rPr>
          <w:noProof/>
        </w:rPr>
        <w:fldChar w:fldCharType="end"/>
      </w:r>
      <w:r w:rsidRPr="00384BCF" w:rsidR="00227BCF">
        <w:t>.  Le 27 octobre 2017 et le 28 février 2018, le tribunal de district de S. prolongea le séjour des requérants dans le centre fermé. Les recours introduits par les intéressés contre les décisions de prolongation de séjour dans le centre fermé furent rejetés ainsi que la demande de mise en liberté formée par eux. Dans les décisions y afférentes, les tribunaux nationaux concluaient, entre autres, à la compatibilité entre, d</w:t>
      </w:r>
      <w:r w:rsidRPr="00384BCF" w:rsidR="00384BCF">
        <w:t>’</w:t>
      </w:r>
      <w:r w:rsidRPr="00384BCF" w:rsidR="00227BCF">
        <w:t>un côté, l</w:t>
      </w:r>
      <w:r w:rsidRPr="00384BCF" w:rsidR="00384BCF">
        <w:t>’</w:t>
      </w:r>
      <w:r w:rsidRPr="00384BCF" w:rsidR="00227BCF">
        <w:t>état psychosomatique du deuxième requérant et, de l</w:t>
      </w:r>
      <w:r w:rsidRPr="00384BCF" w:rsidR="00384BCF">
        <w:t>’</w:t>
      </w:r>
      <w:r w:rsidRPr="00384BCF" w:rsidR="00227BCF">
        <w:t>autre, la prise en charge médicale et psychologique de celui-ci dans le centre fermé.</w:t>
      </w:r>
    </w:p>
    <w:p w:rsidRPr="00384BCF" w:rsidR="00227BCF" w:rsidP="00384BCF" w:rsidRDefault="00D86348" w14:paraId="254AEDE8" w14:textId="67E0B0B3">
      <w:pPr>
        <w:pStyle w:val="JuPara"/>
        <w:rPr>
          <w:rStyle w:val="CommentReference"/>
        </w:rPr>
      </w:pPr>
      <w:r>
        <w:rPr>
          <w:noProof/>
        </w:rPr>
        <w:fldChar w:fldCharType="begin"/>
      </w:r>
      <w:r>
        <w:rPr>
          <w:noProof/>
        </w:rPr>
        <w:instrText xml:space="preserve"> SEQ level0 \*arabic \* MERGEFORMAT </w:instrText>
      </w:r>
      <w:r>
        <w:rPr>
          <w:noProof/>
        </w:rPr>
        <w:fldChar w:fldCharType="separate"/>
      </w:r>
      <w:r w:rsidRPr="00384BCF" w:rsidR="00384BCF">
        <w:rPr>
          <w:noProof/>
        </w:rPr>
        <w:t>5</w:t>
      </w:r>
      <w:r>
        <w:rPr>
          <w:noProof/>
        </w:rPr>
        <w:fldChar w:fldCharType="end"/>
      </w:r>
      <w:r w:rsidRPr="00384BCF" w:rsidR="00227BCF">
        <w:t>.  Le 17 avril 2018, le commandant en chef compétent de la police aux frontières ordonna la libération des requérants du centre fermé. Le 25</w:t>
      </w:r>
      <w:r w:rsidRPr="00384BCF" w:rsidR="009F128A">
        <w:t> </w:t>
      </w:r>
      <w:r w:rsidRPr="00384BCF" w:rsidR="00227BCF">
        <w:t>octobre 2018, le tribunal administratif annula la décision du 26 janvier 2018 prise par le chef de l</w:t>
      </w:r>
      <w:r w:rsidRPr="00384BCF" w:rsidR="00384BCF">
        <w:t>’</w:t>
      </w:r>
      <w:r w:rsidRPr="00384BCF" w:rsidR="00227BCF">
        <w:t>Office des étrangers et renvoya le dossier à ce dernier pour réexamen. En février 2021, le chef de l</w:t>
      </w:r>
      <w:r w:rsidRPr="00384BCF" w:rsidR="00384BCF">
        <w:t>’</w:t>
      </w:r>
      <w:r w:rsidRPr="00384BCF" w:rsidR="00227BCF">
        <w:t>Office des étrangers accorda aux requérants un permis de séjour.</w:t>
      </w:r>
    </w:p>
    <w:p w:rsidRPr="00384BCF" w:rsidR="00227BCF" w:rsidP="00384BCF" w:rsidRDefault="00227BCF" w14:paraId="7623AE83" w14:textId="22FA42F4">
      <w:pPr>
        <w:pStyle w:val="JuPara"/>
        <w:rPr>
          <w:noProof/>
        </w:rPr>
      </w:pPr>
      <w:r w:rsidRPr="00384BCF">
        <w:rPr>
          <w:noProof/>
        </w:rPr>
        <w:fldChar w:fldCharType="begin"/>
      </w:r>
      <w:r w:rsidRPr="00384BCF">
        <w:rPr>
          <w:noProof/>
        </w:rPr>
        <w:instrText xml:space="preserve"> SEQ level0 \*arabic \* MERGEFORMAT </w:instrText>
      </w:r>
      <w:r w:rsidRPr="00384BCF">
        <w:rPr>
          <w:noProof/>
        </w:rPr>
        <w:fldChar w:fldCharType="separate"/>
      </w:r>
      <w:r w:rsidRPr="00384BCF" w:rsidR="00384BCF">
        <w:rPr>
          <w:noProof/>
        </w:rPr>
        <w:t>6</w:t>
      </w:r>
      <w:r w:rsidRPr="00384BCF">
        <w:rPr>
          <w:noProof/>
        </w:rPr>
        <w:fldChar w:fldCharType="end"/>
      </w:r>
      <w:r w:rsidRPr="00384BCF">
        <w:rPr>
          <w:noProof/>
        </w:rPr>
        <w:t>.  La décision de placement en rétention fut prise à l</w:t>
      </w:r>
      <w:r w:rsidRPr="00384BCF" w:rsidR="00384BCF">
        <w:rPr>
          <w:noProof/>
        </w:rPr>
        <w:t>’</w:t>
      </w:r>
      <w:r w:rsidRPr="00384BCF">
        <w:rPr>
          <w:noProof/>
        </w:rPr>
        <w:t>encontre des requérants sur demandes successives de la police aux frontières sans que ces demandes leur fussent communiquées. Un membre du personnel du centre de rétention informa oralement la requérante de deux des demandes en question.</w:t>
      </w:r>
    </w:p>
    <w:p w:rsidRPr="00384BCF" w:rsidR="00227BCF" w:rsidP="00384BCF" w:rsidRDefault="00D86348" w14:paraId="37D5CA65" w14:textId="16E5A3D7">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7</w:t>
      </w:r>
      <w:r>
        <w:rPr>
          <w:noProof/>
        </w:rPr>
        <w:fldChar w:fldCharType="end"/>
      </w:r>
      <w:r w:rsidRPr="00384BCF" w:rsidR="00227BCF">
        <w:t>.  Le centre pour étrangers dans lequel les requérants ont été retenus est habilité à recevoir des familles avec de jeunes enfants. Les conditions matérielles d</w:t>
      </w:r>
      <w:r w:rsidRPr="00384BCF" w:rsidR="00384BCF">
        <w:t>’</w:t>
      </w:r>
      <w:r w:rsidRPr="00384BCF" w:rsidR="00227BCF">
        <w:t>accueil dans le centre en question ont été présentées dans l</w:t>
      </w:r>
      <w:r w:rsidRPr="00384BCF" w:rsidR="00384BCF">
        <w:t>’</w:t>
      </w:r>
      <w:r w:rsidRPr="00384BCF" w:rsidR="00227BCF">
        <w:t xml:space="preserve">arrêt </w:t>
      </w:r>
      <w:r w:rsidRPr="00384BCF" w:rsidR="00227BCF">
        <w:rPr>
          <w:i/>
          <w:iCs/>
        </w:rPr>
        <w:t>Bistieva c. Pologne</w:t>
      </w:r>
      <w:r w:rsidRPr="00384BCF" w:rsidR="00227BCF">
        <w:t xml:space="preserve"> (n</w:t>
      </w:r>
      <w:r w:rsidRPr="00384BCF" w:rsidR="00227BCF">
        <w:rPr>
          <w:vertAlign w:val="superscript"/>
        </w:rPr>
        <w:t>o</w:t>
      </w:r>
      <w:r w:rsidRPr="00384BCF" w:rsidR="00227BCF">
        <w:t xml:space="preserve"> 75157/14, </w:t>
      </w:r>
      <w:r w:rsidRPr="00384BCF" w:rsidR="00227BCF">
        <w:rPr>
          <w:rFonts w:cstheme="minorHAnsi"/>
        </w:rPr>
        <w:t>§</w:t>
      </w:r>
      <w:r w:rsidRPr="00384BCF" w:rsidR="00227BCF">
        <w:rPr>
          <w:rFonts w:asciiTheme="minorBidi" w:hAnsiTheme="minorBidi"/>
        </w:rPr>
        <w:t>§</w:t>
      </w:r>
      <w:r w:rsidRPr="00384BCF" w:rsidR="00227BCF">
        <w:t xml:space="preserve"> 11-16 et 84, 10 avril 2018). Les enfants requérants ont participé aux activités sportives et de loisir proposées par le centre de rétention et le deuxième requérant a suivi des cours d</w:t>
      </w:r>
      <w:r w:rsidRPr="00384BCF" w:rsidR="00384BCF">
        <w:t>’</w:t>
      </w:r>
      <w:r w:rsidRPr="00384BCF" w:rsidR="00227BCF">
        <w:t>un niveau équivalant à celui des cours dispensés à l</w:t>
      </w:r>
      <w:r w:rsidRPr="00384BCF" w:rsidR="00384BCF">
        <w:t>’</w:t>
      </w:r>
      <w:r w:rsidRPr="00384BCF" w:rsidR="00227BCF">
        <w:t>école primaire.</w:t>
      </w:r>
    </w:p>
    <w:p w:rsidRPr="00384BCF" w:rsidR="00227BCF" w:rsidP="00384BCF" w:rsidRDefault="00D86348" w14:paraId="7E3B7E61" w14:textId="282B566C">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8</w:t>
      </w:r>
      <w:r>
        <w:rPr>
          <w:noProof/>
        </w:rPr>
        <w:fldChar w:fldCharType="end"/>
      </w:r>
      <w:r w:rsidRPr="00384BCF" w:rsidR="00227BCF">
        <w:t>.  Les intéressés se plaignent que la rétention des enfants requérants a été contraire à l</w:t>
      </w:r>
      <w:r w:rsidRPr="00384BCF" w:rsidR="00384BCF">
        <w:t>’</w:t>
      </w:r>
      <w:r w:rsidRPr="00384BCF" w:rsidR="00227BCF">
        <w:t>article 3 de la Convention, eu égard à sa durée, au jeune âge des enfants requérants, à la présence de certains facteurs considérés par eux comme anxiogènes (tels que la surveillance par un personnel en uniforme, des restrictions à la liberté de circulation et l</w:t>
      </w:r>
      <w:r w:rsidRPr="00384BCF" w:rsidR="00384BCF">
        <w:t>’</w:t>
      </w:r>
      <w:r w:rsidRPr="00384BCF" w:rsidR="00227BCF">
        <w:t>exposition au bruit occasionné par des travaux de rénovation alors en cours dans le centre de rétention) et aux symptômes psychosomatiques dont souffrait le deuxième requérant. Citant l</w:t>
      </w:r>
      <w:r w:rsidRPr="00384BCF" w:rsidR="00384BCF">
        <w:t>’</w:t>
      </w:r>
      <w:r w:rsidRPr="00384BCF" w:rsidR="00227BCF">
        <w:t>article 5 §§ 1 f) et 4 de la Convention, ils allèguent que : a) la rétention des enfants requérants a été arbitraire et non nécessaire et qu</w:t>
      </w:r>
      <w:r w:rsidRPr="00384BCF" w:rsidR="00384BCF">
        <w:t>’</w:t>
      </w:r>
      <w:r w:rsidRPr="00384BCF" w:rsidR="00227BCF">
        <w:t>il en est allé de même pour celle de la première requérante postérieurement au 4 octobre 2017 ; b) les demandes successives de les placer et de les maintenir en centre de rétention formulées par la police aux frontières ne leur ont pas été communiquées. Enfin, les requérants allèguent que leur placement et leur maintien en centre de rétention ont été contraires à l</w:t>
      </w:r>
      <w:r w:rsidRPr="00384BCF" w:rsidR="00384BCF">
        <w:t>’</w:t>
      </w:r>
      <w:r w:rsidRPr="00384BCF" w:rsidR="00227BCF">
        <w:t>article 8 de la Convention.</w:t>
      </w:r>
    </w:p>
    <w:p w:rsidRPr="00384BCF" w:rsidR="00227BCF" w:rsidP="00384BCF" w:rsidRDefault="00227BCF" w14:paraId="732E0B49" w14:textId="76A193A2">
      <w:pPr>
        <w:pStyle w:val="JuHHead"/>
      </w:pPr>
      <w:r w:rsidRPr="00384BCF">
        <w:t>L</w:t>
      </w:r>
      <w:r w:rsidRPr="00384BCF" w:rsidR="00384BCF">
        <w:t>’</w:t>
      </w:r>
      <w:r w:rsidRPr="00384BCF">
        <w:t>APPRÉCIATION DE LA COUR</w:t>
      </w:r>
    </w:p>
    <w:p w:rsidRPr="00384BCF" w:rsidR="00227BCF" w:rsidP="00384BCF" w:rsidRDefault="00227BCF" w14:paraId="4873E42F" w14:textId="17F22A04">
      <w:pPr>
        <w:pStyle w:val="JuHIRoman"/>
      </w:pPr>
      <w:r w:rsidRPr="00384BCF">
        <w:t>SUR LA RADIATION DU RôLE DE LA PARTIE DE LA REQU</w:t>
      </w:r>
      <w:r w:rsidRPr="00384BCF">
        <w:rPr>
          <w:rFonts w:cstheme="majorHAnsi"/>
        </w:rPr>
        <w:t>Ȇ</w:t>
      </w:r>
      <w:r w:rsidRPr="00384BCF">
        <w:t>TE CONCERNANT LE GRIEF fondé sur L</w:t>
      </w:r>
      <w:r w:rsidRPr="00384BCF" w:rsidR="00384BCF">
        <w:t>’</w:t>
      </w:r>
      <w:r w:rsidRPr="00384BCF">
        <w:t>ARTICLE 8 DE LA CONVENTION</w:t>
      </w:r>
    </w:p>
    <w:p w:rsidRPr="00384BCF" w:rsidR="00227BCF" w:rsidP="00384BCF" w:rsidRDefault="00D86348" w14:paraId="2105B1DF" w14:textId="5995EA34">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9</w:t>
      </w:r>
      <w:r>
        <w:rPr>
          <w:noProof/>
        </w:rPr>
        <w:fldChar w:fldCharType="end"/>
      </w:r>
      <w:r w:rsidRPr="00384BCF" w:rsidR="00227BCF">
        <w:t>.  Le Gouvernement a adressé à la Cour une lettre du 25</w:t>
      </w:r>
      <w:r w:rsidRPr="00384BCF" w:rsidR="0070547A">
        <w:t> </w:t>
      </w:r>
      <w:r w:rsidRPr="00384BCF" w:rsidR="00227BCF">
        <w:t>septembre 2019 contenant une proposition de résolution des questions soulevées par la partie de la requête concernant l</w:t>
      </w:r>
      <w:r w:rsidRPr="00384BCF" w:rsidR="00384BCF">
        <w:t>’</w:t>
      </w:r>
      <w:r w:rsidRPr="00384BCF" w:rsidR="00227BCF">
        <w:t>article 8 de la Convention et l</w:t>
      </w:r>
      <w:r w:rsidRPr="00384BCF" w:rsidR="00384BCF">
        <w:t>’</w:t>
      </w:r>
      <w:r w:rsidRPr="00384BCF" w:rsidR="00227BCF">
        <w:t>a prié de rayer du rôle celle-ci en vertu de l</w:t>
      </w:r>
      <w:r w:rsidRPr="00384BCF" w:rsidR="00384BCF">
        <w:t>’</w:t>
      </w:r>
      <w:r w:rsidRPr="00384BCF" w:rsidR="00227BCF">
        <w:t>article 37 § 1 c) de la Convention. Reconnaissant la violation des droits des requérants découlant de l</w:t>
      </w:r>
      <w:r w:rsidRPr="00384BCF" w:rsidR="00384BCF">
        <w:t>’</w:t>
      </w:r>
      <w:r w:rsidRPr="00384BCF" w:rsidR="00227BCF">
        <w:t>article 8 de la Convention, le Gouvernement s</w:t>
      </w:r>
      <w:r w:rsidRPr="00384BCF" w:rsidR="00384BCF">
        <w:t>’</w:t>
      </w:r>
      <w:r w:rsidRPr="00384BCF" w:rsidR="00227BCF">
        <w:t>est engagé à leur verser conjointement la somme de 10</w:t>
      </w:r>
      <w:r w:rsidRPr="00384BCF" w:rsidR="00502B09">
        <w:t> </w:t>
      </w:r>
      <w:r w:rsidRPr="00384BCF" w:rsidR="00227BCF">
        <w:t>000 euros (EUR). Il a déclaré que ladite somme, appelée à couvrir tout préjudice matériel et moral ainsi que les frais et dépens, sera exempte de toute taxe éventuellement applicable et sera versée dans les trois mois suivant la date de la notification de la décision de la Cour. À défaut de règlement dans ledit délai, le Gouvernement s</w:t>
      </w:r>
      <w:r w:rsidRPr="00384BCF" w:rsidR="00384BCF">
        <w:t>’</w:t>
      </w:r>
      <w:r w:rsidRPr="00384BCF" w:rsidR="00227BCF">
        <w:t>est engagé à verser, à compter de l</w:t>
      </w:r>
      <w:r w:rsidRPr="00384BCF" w:rsidR="00384BCF">
        <w:t>’</w:t>
      </w:r>
      <w:r w:rsidRPr="00384BCF" w:rsidR="00227BCF">
        <w:t>expiration de celui-ci et jusqu</w:t>
      </w:r>
      <w:r w:rsidRPr="00384BCF" w:rsidR="00384BCF">
        <w:t>’</w:t>
      </w:r>
      <w:r w:rsidRPr="00384BCF" w:rsidR="00227BCF">
        <w:t>au règlement effectif de la somme en question, un intérêt simple à un taux égal à celui de la facilité de prêt marginal de la Banque centrale européenne, augmenté de trois points de pourcentage.</w:t>
      </w:r>
    </w:p>
    <w:p w:rsidRPr="00384BCF" w:rsidR="00227BCF" w:rsidP="00384BCF" w:rsidRDefault="00D86348" w14:paraId="728586D5" w14:textId="1D9C586B">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10</w:t>
      </w:r>
      <w:r>
        <w:rPr>
          <w:noProof/>
        </w:rPr>
        <w:fldChar w:fldCharType="end"/>
      </w:r>
      <w:r w:rsidRPr="00384BCF" w:rsidR="00227BCF">
        <w:t>.  Les requérants ont informé la Cour qu</w:t>
      </w:r>
      <w:r w:rsidRPr="00384BCF" w:rsidR="00384BCF">
        <w:t>’</w:t>
      </w:r>
      <w:r w:rsidRPr="00384BCF" w:rsidR="00227BCF">
        <w:t>ils acceptaient les termes de la déclaration du Gouvernement.</w:t>
      </w:r>
    </w:p>
    <w:p w:rsidRPr="00384BCF" w:rsidR="00227BCF" w:rsidP="00384BCF" w:rsidRDefault="00D86348" w14:paraId="07929CE2" w14:textId="7EE74090">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11</w:t>
      </w:r>
      <w:r>
        <w:rPr>
          <w:noProof/>
        </w:rPr>
        <w:fldChar w:fldCharType="end"/>
      </w:r>
      <w:r w:rsidRPr="00384BCF" w:rsidR="00227BCF">
        <w:t>.  La Cour estime que, compte tenu de l</w:t>
      </w:r>
      <w:r w:rsidRPr="00384BCF" w:rsidR="00384BCF">
        <w:t>’</w:t>
      </w:r>
      <w:r w:rsidRPr="00384BCF" w:rsidR="00227BCF">
        <w:t>approbation expresse par les requérants des termes de la déclaration formulée par le Gouvernement, il convient de considérer qu</w:t>
      </w:r>
      <w:r w:rsidRPr="00384BCF" w:rsidR="00384BCF">
        <w:t>’</w:t>
      </w:r>
      <w:r w:rsidRPr="00384BCF" w:rsidR="00227BCF">
        <w:t>un règlement amiable est intervenu entre les parties. Elle prend acte de ce règlement amiable pour ce qui concerne le grief susvisé et estime que celui-ci s</w:t>
      </w:r>
      <w:r w:rsidRPr="00384BCF" w:rsidR="00384BCF">
        <w:t>’</w:t>
      </w:r>
      <w:r w:rsidRPr="00384BCF" w:rsidR="00227BCF">
        <w:t>inspire du respect des droits de l</w:t>
      </w:r>
      <w:r w:rsidRPr="00384BCF" w:rsidR="00384BCF">
        <w:t>’</w:t>
      </w:r>
      <w:r w:rsidRPr="00384BCF" w:rsidR="00227BCF">
        <w:t>homme tels que les reconnaissent la Convention et ses Protocoles. La Cour n</w:t>
      </w:r>
      <w:r w:rsidRPr="00384BCF" w:rsidR="00384BCF">
        <w:t>’</w:t>
      </w:r>
      <w:r w:rsidRPr="00384BCF" w:rsidR="00227BCF">
        <w:t>aperçoit par ailleurs aucun motif justifiant de poursuivre l</w:t>
      </w:r>
      <w:r w:rsidRPr="00384BCF" w:rsidR="00384BCF">
        <w:t>’</w:t>
      </w:r>
      <w:r w:rsidRPr="00384BCF" w:rsidR="00227BCF">
        <w:t>examen de cette partie de la requête.</w:t>
      </w:r>
    </w:p>
    <w:p w:rsidRPr="00384BCF" w:rsidR="00227BCF" w:rsidP="00384BCF" w:rsidRDefault="00D86348" w14:paraId="1E993530" w14:textId="6EC8A493">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12</w:t>
      </w:r>
      <w:r>
        <w:rPr>
          <w:noProof/>
        </w:rPr>
        <w:fldChar w:fldCharType="end"/>
      </w:r>
      <w:r w:rsidRPr="00384BCF" w:rsidR="00227BCF">
        <w:t>.  En conséquence, il convient de la rayer du rôle</w:t>
      </w:r>
      <w:r w:rsidRPr="00384BCF" w:rsidR="00227BCF">
        <w:rPr>
          <w:rFonts w:ascii="Arial" w:hAnsi="Arial" w:cs="Arial"/>
          <w:color w:val="000000"/>
        </w:rPr>
        <w:t xml:space="preserve"> </w:t>
      </w:r>
      <w:r w:rsidRPr="00384BCF" w:rsidR="00227BCF">
        <w:t>en vertu de l</w:t>
      </w:r>
      <w:r w:rsidRPr="00384BCF" w:rsidR="00384BCF">
        <w:t>’</w:t>
      </w:r>
      <w:r w:rsidRPr="00384BCF" w:rsidR="00227BCF">
        <w:t>article</w:t>
      </w:r>
      <w:r w:rsidRPr="00384BCF" w:rsidR="00061065">
        <w:t> </w:t>
      </w:r>
      <w:r w:rsidRPr="00384BCF" w:rsidR="00227BCF">
        <w:t>39 de la Convention pour autant qu</w:t>
      </w:r>
      <w:r w:rsidRPr="00384BCF" w:rsidR="00384BCF">
        <w:t>’</w:t>
      </w:r>
      <w:r w:rsidRPr="00384BCF" w:rsidR="00227BCF">
        <w:t>elle porte sur le grief susvisé.</w:t>
      </w:r>
    </w:p>
    <w:p w:rsidRPr="00384BCF" w:rsidR="00227BCF" w:rsidP="00384BCF" w:rsidRDefault="00227BCF" w14:paraId="769A36EB" w14:textId="2153A8C4">
      <w:pPr>
        <w:pStyle w:val="JuHIRoman"/>
      </w:pPr>
      <w:r w:rsidRPr="00384BCF">
        <w:t>SUR LA VIOLATION ALLEGU</w:t>
      </w:r>
      <w:r w:rsidRPr="00384BCF">
        <w:rPr>
          <w:rFonts w:cstheme="minorHAnsi"/>
        </w:rPr>
        <w:t>É</w:t>
      </w:r>
      <w:r w:rsidRPr="00384BCF">
        <w:t>E DE L</w:t>
      </w:r>
      <w:r w:rsidRPr="00384BCF" w:rsidR="00384BCF">
        <w:t>’</w:t>
      </w:r>
      <w:r w:rsidRPr="00384BCF">
        <w:t>ARTICLE 3 DE LA CONVENTION</w:t>
      </w:r>
    </w:p>
    <w:p w:rsidRPr="00384BCF" w:rsidR="00227BCF" w:rsidP="00384BCF" w:rsidRDefault="00227BCF" w14:paraId="1539D653" w14:textId="27F1E924">
      <w:pPr>
        <w:pStyle w:val="JuPara"/>
      </w:pPr>
      <w:r w:rsidRPr="00384BCF">
        <w:rPr>
          <w:rStyle w:val="JuParaChar"/>
        </w:rPr>
        <w:fldChar w:fldCharType="begin"/>
      </w:r>
      <w:r w:rsidRPr="00384BCF">
        <w:rPr>
          <w:rStyle w:val="JuParaChar"/>
        </w:rPr>
        <w:instrText xml:space="preserve"> SEQ level0 \*arabic \* MERGEFORMAT </w:instrText>
      </w:r>
      <w:r w:rsidRPr="00384BCF">
        <w:rPr>
          <w:rStyle w:val="JuParaChar"/>
        </w:rPr>
        <w:fldChar w:fldCharType="separate"/>
      </w:r>
      <w:r w:rsidRPr="00384BCF" w:rsidR="00384BCF">
        <w:rPr>
          <w:rStyle w:val="JuParaChar"/>
          <w:noProof/>
        </w:rPr>
        <w:t>13</w:t>
      </w:r>
      <w:r w:rsidRPr="00384BCF">
        <w:rPr>
          <w:rStyle w:val="JuParaChar"/>
        </w:rPr>
        <w:fldChar w:fldCharType="end"/>
      </w:r>
      <w:r w:rsidRPr="00384BCF">
        <w:rPr>
          <w:rStyle w:val="JuParaChar"/>
        </w:rPr>
        <w:t>.  Le Gouvernement soutient que les voies de recours internes n</w:t>
      </w:r>
      <w:r w:rsidRPr="00384BCF" w:rsidR="00384BCF">
        <w:rPr>
          <w:rStyle w:val="JuParaChar"/>
        </w:rPr>
        <w:t>’</w:t>
      </w:r>
      <w:r w:rsidRPr="00384BCF">
        <w:rPr>
          <w:rStyle w:val="JuParaChar"/>
        </w:rPr>
        <w:t>ont pas été épuisées, les requérants n</w:t>
      </w:r>
      <w:r w:rsidRPr="00384BCF" w:rsidR="00384BCF">
        <w:rPr>
          <w:rStyle w:val="JuParaChar"/>
        </w:rPr>
        <w:t>’</w:t>
      </w:r>
      <w:r w:rsidRPr="00384BCF">
        <w:rPr>
          <w:rStyle w:val="JuParaChar"/>
        </w:rPr>
        <w:t>ayant pas introduit d</w:t>
      </w:r>
      <w:r w:rsidRPr="00384BCF" w:rsidR="00384BCF">
        <w:rPr>
          <w:rStyle w:val="JuParaChar"/>
        </w:rPr>
        <w:t>’</w:t>
      </w:r>
      <w:r w:rsidRPr="00384BCF">
        <w:rPr>
          <w:rStyle w:val="JuParaChar"/>
        </w:rPr>
        <w:t>action indemnitaire conformément aux articles 23 et 24 du code civil. Il considère qu</w:t>
      </w:r>
      <w:r w:rsidRPr="00384BCF" w:rsidR="00384BCF">
        <w:rPr>
          <w:rStyle w:val="JuParaChar"/>
        </w:rPr>
        <w:t>’</w:t>
      </w:r>
      <w:r w:rsidRPr="00384BCF">
        <w:rPr>
          <w:rStyle w:val="JuParaChar"/>
        </w:rPr>
        <w:t>aucune violation de l</w:t>
      </w:r>
      <w:r w:rsidRPr="00384BCF" w:rsidR="00384BCF">
        <w:rPr>
          <w:rStyle w:val="JuParaChar"/>
        </w:rPr>
        <w:t>’</w:t>
      </w:r>
      <w:r w:rsidRPr="00384BCF">
        <w:rPr>
          <w:rStyle w:val="JuParaChar"/>
        </w:rPr>
        <w:t>article 3 de la Convention n</w:t>
      </w:r>
      <w:r w:rsidRPr="00384BCF" w:rsidR="00384BCF">
        <w:rPr>
          <w:rStyle w:val="JuParaChar"/>
        </w:rPr>
        <w:t>’</w:t>
      </w:r>
      <w:r w:rsidRPr="00384BCF">
        <w:rPr>
          <w:rStyle w:val="JuParaChar"/>
        </w:rPr>
        <w:t>est à relever dès lors que le suivi médical et psychologique dans le centre de rétention du deuxième requérant a été adéquat et que l</w:t>
      </w:r>
      <w:r w:rsidRPr="00384BCF" w:rsidR="00384BCF">
        <w:rPr>
          <w:rStyle w:val="JuParaChar"/>
        </w:rPr>
        <w:t>’</w:t>
      </w:r>
      <w:r w:rsidRPr="00384BCF">
        <w:rPr>
          <w:rStyle w:val="JuParaChar"/>
        </w:rPr>
        <w:t>intéressé a été remis en liberté sans délai suivant la réception par les autorités compétentes des conclusions médicales en ce sens. Il soutient que les symptômes psychosomatiques détériorant l</w:t>
      </w:r>
      <w:r w:rsidRPr="00384BCF" w:rsidR="00384BCF">
        <w:rPr>
          <w:rStyle w:val="JuParaChar"/>
        </w:rPr>
        <w:t>’</w:t>
      </w:r>
      <w:r w:rsidRPr="00384BCF">
        <w:rPr>
          <w:rStyle w:val="JuParaChar"/>
        </w:rPr>
        <w:t xml:space="preserve">état du deuxième requérant survenus au cours de son séjour au centre de rétention </w:t>
      </w:r>
      <w:r w:rsidRPr="00384BCF">
        <w:t>auraient été en lien avec les tentatives des parents de l</w:t>
      </w:r>
      <w:r w:rsidRPr="00384BCF" w:rsidR="00384BCF">
        <w:t>’</w:t>
      </w:r>
      <w:r w:rsidRPr="00384BCF">
        <w:t>intéressé de quitter le centre en question.</w:t>
      </w:r>
    </w:p>
    <w:p w:rsidRPr="00384BCF" w:rsidR="00227BCF" w:rsidP="00384BCF" w:rsidRDefault="00D86348" w14:paraId="66DFF8DB" w14:textId="1A317BE9">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14</w:t>
      </w:r>
      <w:r>
        <w:rPr>
          <w:noProof/>
        </w:rPr>
        <w:fldChar w:fldCharType="end"/>
      </w:r>
      <w:r w:rsidRPr="00384BCF" w:rsidR="00227BCF">
        <w:t>.  Les requérants soutiennent, d</w:t>
      </w:r>
      <w:r w:rsidRPr="00384BCF" w:rsidR="00384BCF">
        <w:t>’</w:t>
      </w:r>
      <w:r w:rsidRPr="00384BCF" w:rsidR="00227BCF">
        <w:t>une part, que le recours suggéré par le Gouvernement aurait été inefficace et, d</w:t>
      </w:r>
      <w:r w:rsidRPr="00384BCF" w:rsidR="00384BCF">
        <w:t>’</w:t>
      </w:r>
      <w:r w:rsidRPr="00384BCF" w:rsidR="00227BCF">
        <w:t>autre part, qu</w:t>
      </w:r>
      <w:r w:rsidRPr="00384BCF" w:rsidR="00384BCF">
        <w:t>’</w:t>
      </w:r>
      <w:r w:rsidRPr="00384BCF" w:rsidR="00227BCF">
        <w:t>il y a eu en l</w:t>
      </w:r>
      <w:r w:rsidRPr="00384BCF" w:rsidR="00384BCF">
        <w:t>’</w:t>
      </w:r>
      <w:r w:rsidRPr="00384BCF" w:rsidR="00227BCF">
        <w:t>espèce violation de l</w:t>
      </w:r>
      <w:r w:rsidRPr="00384BCF" w:rsidR="00384BCF">
        <w:t>’</w:t>
      </w:r>
      <w:r w:rsidRPr="00384BCF" w:rsidR="00227BCF">
        <w:t>article 3 de la Convention à l</w:t>
      </w:r>
      <w:r w:rsidRPr="00384BCF" w:rsidR="00384BCF">
        <w:t>’</w:t>
      </w:r>
      <w:r w:rsidRPr="00384BCF" w:rsidR="00227BCF">
        <w:t>égard des enfants requérants.</w:t>
      </w:r>
    </w:p>
    <w:p w:rsidRPr="00384BCF" w:rsidR="00227BCF" w:rsidP="00384BCF" w:rsidRDefault="00D86348" w14:paraId="395AC712" w14:textId="6040824B">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15</w:t>
      </w:r>
      <w:r>
        <w:rPr>
          <w:noProof/>
        </w:rPr>
        <w:fldChar w:fldCharType="end"/>
      </w:r>
      <w:r w:rsidRPr="00384BCF" w:rsidR="00227BCF">
        <w:t>.  La Cour n</w:t>
      </w:r>
      <w:r w:rsidRPr="00384BCF" w:rsidR="00384BCF">
        <w:t>’</w:t>
      </w:r>
      <w:r w:rsidRPr="00384BCF" w:rsidR="00227BCF">
        <w:t>estime pas nécessaire de statuer sur l</w:t>
      </w:r>
      <w:r w:rsidRPr="00384BCF" w:rsidR="00384BCF">
        <w:t>’</w:t>
      </w:r>
      <w:r w:rsidRPr="00384BCF" w:rsidR="00227BCF">
        <w:t>exception soulevée par le Gouvernement, compte tenu du fait que le grief est en tout état de cause irrecevable pour les motifs exposés ci-après.</w:t>
      </w:r>
    </w:p>
    <w:p w:rsidRPr="00384BCF" w:rsidR="00227BCF" w:rsidP="00384BCF" w:rsidRDefault="00D86348" w14:paraId="11B27BF2" w14:textId="55927682">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16</w:t>
      </w:r>
      <w:r>
        <w:rPr>
          <w:noProof/>
        </w:rPr>
        <w:fldChar w:fldCharType="end"/>
      </w:r>
      <w:r w:rsidRPr="00384BCF" w:rsidR="00227BCF">
        <w:t>.  Les principes applicables au traitement des personnes placées en rétention en matière d</w:t>
      </w:r>
      <w:r w:rsidRPr="00384BCF" w:rsidR="00384BCF">
        <w:t>’</w:t>
      </w:r>
      <w:r w:rsidRPr="00384BCF" w:rsidR="00227BCF">
        <w:t>immigration ont été exposés en détail dans l</w:t>
      </w:r>
      <w:r w:rsidRPr="00384BCF" w:rsidR="00384BCF">
        <w:t>’</w:t>
      </w:r>
      <w:r w:rsidRPr="00384BCF" w:rsidR="00227BCF">
        <w:t xml:space="preserve">affaire </w:t>
      </w:r>
      <w:r w:rsidRPr="00384BCF" w:rsidR="00227BCF">
        <w:rPr>
          <w:i/>
          <w:iCs/>
        </w:rPr>
        <w:t>Khlaifia et autres c. Italie</w:t>
      </w:r>
      <w:r w:rsidRPr="00384BCF" w:rsidR="00227BCF">
        <w:t xml:space="preserve"> ([GC], n</w:t>
      </w:r>
      <w:r w:rsidRPr="00384BCF" w:rsidR="00227BCF">
        <w:rPr>
          <w:vertAlign w:val="superscript"/>
        </w:rPr>
        <w:t>o</w:t>
      </w:r>
      <w:r w:rsidRPr="00384BCF" w:rsidR="00227BCF">
        <w:t xml:space="preserve"> 16483/12, §§ 158-167, CEDH 2016) et ceux concernant la rétention des mineurs ont été exposés dans l</w:t>
      </w:r>
      <w:r w:rsidRPr="00384BCF" w:rsidR="00384BCF">
        <w:t>’</w:t>
      </w:r>
      <w:r w:rsidRPr="00384BCF" w:rsidR="00227BCF">
        <w:t xml:space="preserve">affaire </w:t>
      </w:r>
      <w:r w:rsidRPr="00384BCF" w:rsidR="00227BCF">
        <w:rPr>
          <w:i/>
          <w:iCs/>
        </w:rPr>
        <w:t>R.R. et autres c. Hongrie</w:t>
      </w:r>
      <w:r w:rsidRPr="00384BCF" w:rsidR="00227BCF">
        <w:t xml:space="preserve"> (n</w:t>
      </w:r>
      <w:r w:rsidRPr="00384BCF" w:rsidR="00227BCF">
        <w:rPr>
          <w:vertAlign w:val="superscript"/>
        </w:rPr>
        <w:t>o</w:t>
      </w:r>
      <w:r w:rsidRPr="00384BCF" w:rsidR="00227BCF">
        <w:t xml:space="preserve"> 36037/17, § 49, 2 mars 2021).</w:t>
      </w:r>
    </w:p>
    <w:p w:rsidRPr="00384BCF" w:rsidR="00227BCF" w:rsidP="00384BCF" w:rsidRDefault="00D86348" w14:paraId="42EE8A9A" w14:textId="1BB8CCBA">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17</w:t>
      </w:r>
      <w:r>
        <w:rPr>
          <w:noProof/>
        </w:rPr>
        <w:fldChar w:fldCharType="end"/>
      </w:r>
      <w:r w:rsidRPr="00384BCF" w:rsidR="00227BCF">
        <w:t>.  La Cour note que les intéressés en l</w:t>
      </w:r>
      <w:r w:rsidRPr="00384BCF" w:rsidR="00384BCF">
        <w:t>’</w:t>
      </w:r>
      <w:r w:rsidRPr="00384BCF" w:rsidR="00227BCF">
        <w:t>espèce non seulement ne se plaignent pas de leurs conditions matérielles d</w:t>
      </w:r>
      <w:r w:rsidRPr="00384BCF" w:rsidR="00384BCF">
        <w:t>’</w:t>
      </w:r>
      <w:r w:rsidRPr="00384BCF" w:rsidR="00227BCF">
        <w:t>accueil dans le centre fermé mais encore déclarent que leurs conditions étaient adaptées à l</w:t>
      </w:r>
      <w:r w:rsidRPr="00384BCF" w:rsidR="00384BCF">
        <w:t>’</w:t>
      </w:r>
      <w:r w:rsidRPr="00384BCF" w:rsidR="00227BCF">
        <w:t>accueil des familles. Les conditions de vie dans le centre fermé de Kętrzyn ont du reste fait l</w:t>
      </w:r>
      <w:r w:rsidRPr="00384BCF" w:rsidR="00384BCF">
        <w:t>’</w:t>
      </w:r>
      <w:r w:rsidRPr="00384BCF" w:rsidR="00227BCF">
        <w:t>objet d</w:t>
      </w:r>
      <w:r w:rsidRPr="00384BCF" w:rsidR="00384BCF">
        <w:t>’</w:t>
      </w:r>
      <w:r w:rsidRPr="00384BCF" w:rsidR="00227BCF">
        <w:t>une évaluation positive de la part de l</w:t>
      </w:r>
      <w:r w:rsidRPr="00384BCF" w:rsidR="00384BCF">
        <w:t>’</w:t>
      </w:r>
      <w:r w:rsidRPr="00384BCF" w:rsidR="00227BCF">
        <w:t xml:space="preserve">une des principales organisations non gouvernementales polonaises (voir, </w:t>
      </w:r>
      <w:r w:rsidRPr="00384BCF" w:rsidR="00227BCF">
        <w:rPr>
          <w:i/>
          <w:iCs/>
        </w:rPr>
        <w:t>Bistieva</w:t>
      </w:r>
      <w:r w:rsidRPr="00384BCF" w:rsidR="00227BCF">
        <w:t>,</w:t>
      </w:r>
      <w:r w:rsidRPr="00384BCF" w:rsidR="00227BCF">
        <w:rPr>
          <w:i/>
          <w:iCs/>
        </w:rPr>
        <w:t xml:space="preserve"> </w:t>
      </w:r>
      <w:r w:rsidRPr="00384BCF" w:rsidR="00227BCF">
        <w:t>précité, § 84). Le grief, pour autant qu</w:t>
      </w:r>
      <w:r w:rsidRPr="00384BCF" w:rsidR="00384BCF">
        <w:t>’</w:t>
      </w:r>
      <w:r w:rsidRPr="00384BCF" w:rsidR="00227BCF">
        <w:t>il concerne l</w:t>
      </w:r>
      <w:r w:rsidRPr="00384BCF" w:rsidR="00384BCF">
        <w:t>’</w:t>
      </w:r>
      <w:r w:rsidRPr="00384BCF" w:rsidR="00227BCF">
        <w:t>âge des enfants requérants, la durée de rétention en centre fermé et les facteurs supplémentaires auxquels il est fait référence au paragraphe 8 ci-dessus – lesquels facteurs sont inhérents au séjour dans les structures semblables au centre de rétention –, se confond avec celui que le Gouvernement a reconnu comme violation de l</w:t>
      </w:r>
      <w:r w:rsidRPr="00384BCF" w:rsidR="00384BCF">
        <w:t>’</w:t>
      </w:r>
      <w:r w:rsidRPr="00384BCF" w:rsidR="00227BCF">
        <w:t>article 8 de la Convention et qui a fait l</w:t>
      </w:r>
      <w:r w:rsidRPr="00384BCF" w:rsidR="00384BCF">
        <w:t>’</w:t>
      </w:r>
      <w:r w:rsidRPr="00384BCF" w:rsidR="00227BCF">
        <w:t>objet de règlement amiable entre les parties (paragraphes 9-11 ci-dessus). Par conséquent, il n</w:t>
      </w:r>
      <w:r w:rsidRPr="00384BCF" w:rsidR="00384BCF">
        <w:t>’</w:t>
      </w:r>
      <w:r w:rsidRPr="00384BCF" w:rsidR="00227BCF">
        <w:t>y a pas lieu d</w:t>
      </w:r>
      <w:r w:rsidRPr="00384BCF" w:rsidR="00384BCF">
        <w:t>’</w:t>
      </w:r>
      <w:r w:rsidRPr="00384BCF" w:rsidR="00227BCF">
        <w:t>examiner ces griefs en plus sous le terrain de l</w:t>
      </w:r>
      <w:r w:rsidRPr="00384BCF" w:rsidR="00384BCF">
        <w:t>’</w:t>
      </w:r>
      <w:r w:rsidRPr="00384BCF" w:rsidR="00227BCF">
        <w:t>article 3. Les allégations des requérants à propos du bruit occasionné par les travaux de rénovation du centre de rétention n</w:t>
      </w:r>
      <w:r w:rsidRPr="00384BCF" w:rsidR="00384BCF">
        <w:t>’</w:t>
      </w:r>
      <w:r w:rsidRPr="00384BCF" w:rsidR="00227BCF">
        <w:t>ont pas été étayées par les intéressés.</w:t>
      </w:r>
    </w:p>
    <w:p w:rsidRPr="00384BCF" w:rsidR="00227BCF" w:rsidP="00384BCF" w:rsidRDefault="00520539" w14:paraId="54481687" w14:textId="4BEE9FE0">
      <w:pPr>
        <w:pStyle w:val="JuPara"/>
      </w:pPr>
      <w:fldSimple w:instr=" SEQ level0 \*arabic \* MERGEFORMAT ">
        <w:r w:rsidRPr="00384BCF" w:rsidR="00384BCF">
          <w:rPr>
            <w:noProof/>
          </w:rPr>
          <w:t>18</w:t>
        </w:r>
      </w:fldSimple>
      <w:r w:rsidRPr="00384BCF" w:rsidR="00227BCF">
        <w:t>.  La compatibilité de l</w:t>
      </w:r>
      <w:r w:rsidRPr="00384BCF" w:rsidR="00384BCF">
        <w:t>’</w:t>
      </w:r>
      <w:r w:rsidRPr="00384BCF" w:rsidR="00227BCF">
        <w:t>état de santé du deuxième requérant avec le maintien de celui-ci dans un centre fermé a fait l</w:t>
      </w:r>
      <w:r w:rsidRPr="00384BCF" w:rsidR="00384BCF">
        <w:t>’</w:t>
      </w:r>
      <w:r w:rsidRPr="00384BCF" w:rsidR="00227BCF">
        <w:t>objet à des intervalles réguliers d</w:t>
      </w:r>
      <w:r w:rsidRPr="00384BCF" w:rsidR="00384BCF">
        <w:t>’</w:t>
      </w:r>
      <w:r w:rsidRPr="00384BCF" w:rsidR="00227BCF">
        <w:t>un examen par les juridictions nationales, lesquelles avaient statué en considération des éléments du dossier médical de l</w:t>
      </w:r>
      <w:r w:rsidRPr="00384BCF" w:rsidR="00384BCF">
        <w:t>’</w:t>
      </w:r>
      <w:r w:rsidRPr="00384BCF" w:rsidR="00227BCF">
        <w:t>intéressé. Ainsi qu</w:t>
      </w:r>
      <w:r w:rsidRPr="00384BCF" w:rsidR="00384BCF">
        <w:t>’</w:t>
      </w:r>
      <w:r w:rsidRPr="00384BCF" w:rsidR="00227BCF">
        <w:t>il se dégage des motifs des juridictions impliquées, la situation du deuxième requérant au cours des quatre premiers mois de son séjour au centre de rétention n</w:t>
      </w:r>
      <w:r w:rsidRPr="00384BCF" w:rsidR="00384BCF">
        <w:t>’</w:t>
      </w:r>
      <w:r w:rsidRPr="00384BCF" w:rsidR="00227BCF">
        <w:t>a soulevé aux yeux des autorités compétentes aucune préoccupation particulière à l</w:t>
      </w:r>
      <w:r w:rsidRPr="00384BCF" w:rsidR="00384BCF">
        <w:t>’</w:t>
      </w:r>
      <w:r w:rsidRPr="00384BCF" w:rsidR="00227BCF">
        <w:t>exception de quelques symptômes d</w:t>
      </w:r>
      <w:r w:rsidRPr="00384BCF" w:rsidR="00384BCF">
        <w:t>’</w:t>
      </w:r>
      <w:r w:rsidRPr="00384BCF" w:rsidR="00227BCF">
        <w:t>énurésie nocturne dont l</w:t>
      </w:r>
      <w:r w:rsidRPr="00384BCF" w:rsidR="00384BCF">
        <w:t>’</w:t>
      </w:r>
      <w:r w:rsidRPr="00384BCF" w:rsidR="00227BCF">
        <w:t>intéressé avait souffert, pour lesquels celui-ci avait été suivi par un psychologue extérieur au centre fermé. À l</w:t>
      </w:r>
      <w:r w:rsidRPr="00384BCF" w:rsidR="00384BCF">
        <w:t>’</w:t>
      </w:r>
      <w:r w:rsidRPr="00384BCF" w:rsidR="00227BCF">
        <w:t>époque considérée l</w:t>
      </w:r>
      <w:r w:rsidRPr="00384BCF" w:rsidR="00384BCF">
        <w:t>’</w:t>
      </w:r>
      <w:r w:rsidRPr="00384BCF" w:rsidR="00227BCF">
        <w:t>intéressé a participé aux activités éducatives et de loisir proposées par le centre de rétention et n</w:t>
      </w:r>
      <w:r w:rsidRPr="00384BCF" w:rsidR="00384BCF">
        <w:t>’</w:t>
      </w:r>
      <w:r w:rsidRPr="00384BCF" w:rsidR="00227BCF">
        <w:t>a manifesté aucun problème particulier d</w:t>
      </w:r>
      <w:r w:rsidRPr="00384BCF" w:rsidR="00384BCF">
        <w:t>’</w:t>
      </w:r>
      <w:r w:rsidRPr="00384BCF" w:rsidR="00227BCF">
        <w:t>insertion scolaire ou sociale. L</w:t>
      </w:r>
      <w:r w:rsidRPr="00384BCF" w:rsidR="00384BCF">
        <w:t>’</w:t>
      </w:r>
      <w:r w:rsidRPr="00384BCF" w:rsidR="00227BCF">
        <w:t>état psychosomatique du deuxième requérant s</w:t>
      </w:r>
      <w:r w:rsidRPr="00384BCF" w:rsidR="00384BCF">
        <w:t>’</w:t>
      </w:r>
      <w:r w:rsidRPr="00384BCF" w:rsidR="00227BCF">
        <w:t>est ultérieurement détérioré pour des raisons qui n</w:t>
      </w:r>
      <w:r w:rsidRPr="00384BCF" w:rsidR="00384BCF">
        <w:t>’</w:t>
      </w:r>
      <w:r w:rsidRPr="00384BCF" w:rsidR="00227BCF">
        <w:t xml:space="preserve">avaient pas pu </w:t>
      </w:r>
      <w:r w:rsidRPr="00384BCF" w:rsidR="00227BCF">
        <w:rPr>
          <w:rFonts w:cstheme="minorHAnsi"/>
        </w:rPr>
        <w:t>ê</w:t>
      </w:r>
      <w:r w:rsidRPr="00384BCF" w:rsidR="00227BCF">
        <w:t>tre entièrement élucidées. Cette détérioration de l</w:t>
      </w:r>
      <w:r w:rsidRPr="00384BCF" w:rsidR="00384BCF">
        <w:t>’</w:t>
      </w:r>
      <w:r w:rsidRPr="00384BCF" w:rsidR="00227BCF">
        <w:t>état psychosomatique de l</w:t>
      </w:r>
      <w:r w:rsidRPr="00384BCF" w:rsidR="00384BCF">
        <w:t>’</w:t>
      </w:r>
      <w:r w:rsidRPr="00384BCF" w:rsidR="00227BCF">
        <w:t>intéressé s</w:t>
      </w:r>
      <w:r w:rsidRPr="00384BCF" w:rsidR="00384BCF">
        <w:t>’</w:t>
      </w:r>
      <w:r w:rsidRPr="00384BCF" w:rsidR="00227BCF">
        <w:t>est produite peu de temps après un échec de la demande d</w:t>
      </w:r>
      <w:r w:rsidRPr="00384BCF" w:rsidR="00384BCF">
        <w:t>’</w:t>
      </w:r>
      <w:r w:rsidRPr="00384BCF" w:rsidR="00227BCF">
        <w:t>asile de la part du conjoint de la première requérante et du père de ses enfants, et s</w:t>
      </w:r>
      <w:r w:rsidRPr="00384BCF" w:rsidR="00384BCF">
        <w:t>’</w:t>
      </w:r>
      <w:r w:rsidRPr="00384BCF" w:rsidR="00227BCF">
        <w:t>est manifestée par un état apathique et un manque d</w:t>
      </w:r>
      <w:r w:rsidRPr="00384BCF" w:rsidR="00384BCF">
        <w:t>’</w:t>
      </w:r>
      <w:r w:rsidRPr="00384BCF" w:rsidR="00227BCF">
        <w:t>intérêt pour les interactions sociales de celui-ci. Les autorités compétentes ne sont pas restées inactives face à cette situation mais ont, en application des consignes médicales pertinentes, décidé de poursuivre le suivi et la psychothérapie du deuxième requérant et de lui administrer un traitement médicamenteux. En l</w:t>
      </w:r>
      <w:r w:rsidRPr="00384BCF" w:rsidR="00384BCF">
        <w:t>’</w:t>
      </w:r>
      <w:r w:rsidRPr="00384BCF" w:rsidR="00227BCF">
        <w:t>absence d</w:t>
      </w:r>
      <w:r w:rsidRPr="00384BCF" w:rsidR="00384BCF">
        <w:t>’</w:t>
      </w:r>
      <w:r w:rsidRPr="00384BCF" w:rsidR="00227BCF">
        <w:t>amélioration escomptée de l</w:t>
      </w:r>
      <w:r w:rsidRPr="00384BCF" w:rsidR="00384BCF">
        <w:t>’</w:t>
      </w:r>
      <w:r w:rsidRPr="00384BCF" w:rsidR="00227BCF">
        <w:t>état de santé de l</w:t>
      </w:r>
      <w:r w:rsidRPr="00384BCF" w:rsidR="00384BCF">
        <w:t>’</w:t>
      </w:r>
      <w:r w:rsidRPr="00384BCF" w:rsidR="00227BCF">
        <w:t>intéressé et à la suite de signalements par les professionnels impliqués</w:t>
      </w:r>
      <w:r w:rsidRPr="00384BCF" w:rsidDel="00085A81" w:rsidR="00227BCF">
        <w:t xml:space="preserve"> </w:t>
      </w:r>
      <w:r w:rsidRPr="00384BCF" w:rsidR="00227BCF">
        <w:t>d</w:t>
      </w:r>
      <w:r w:rsidRPr="00384BCF" w:rsidR="00384BCF">
        <w:t>’</w:t>
      </w:r>
      <w:r w:rsidRPr="00384BCF" w:rsidR="00227BCF">
        <w:t>un défaut allégué d</w:t>
      </w:r>
      <w:r w:rsidRPr="00384BCF" w:rsidR="00384BCF">
        <w:t>’</w:t>
      </w:r>
      <w:r w:rsidRPr="00384BCF" w:rsidR="00227BCF">
        <w:t>implication des parents de celui-ci dans son suivi, le deuxième requérant a été libéré du centre de rétention quelques jours ayant suivi la réception par les autorités compétentes des conclusions médicales en ce sens. La prise en charge médicale et le suivi psychologique dans le centre fermé du deuxième requérant ont fait l</w:t>
      </w:r>
      <w:r w:rsidRPr="00384BCF" w:rsidR="00384BCF">
        <w:t>’</w:t>
      </w:r>
      <w:r w:rsidRPr="00384BCF" w:rsidR="00227BCF">
        <w:t>objet d</w:t>
      </w:r>
      <w:r w:rsidRPr="00384BCF" w:rsidR="00384BCF">
        <w:t>’</w:t>
      </w:r>
      <w:r w:rsidRPr="00384BCF" w:rsidR="00227BCF">
        <w:t>une évaluation positive de la part des juridictions nationales, lesquelles avaient relevé, entre autres, que l</w:t>
      </w:r>
      <w:r w:rsidRPr="00384BCF" w:rsidR="00384BCF">
        <w:t>’</w:t>
      </w:r>
      <w:r w:rsidRPr="00384BCF" w:rsidR="00227BCF">
        <w:t>intéressé s</w:t>
      </w:r>
      <w:r w:rsidRPr="00384BCF" w:rsidR="00384BCF">
        <w:t>’</w:t>
      </w:r>
      <w:r w:rsidRPr="00384BCF" w:rsidR="00227BCF">
        <w:t>était entretenu à plusieurs occasions avec les psychologues et le pédopsychiatre et avait bénéficié des soins exigés par son état de santé.</w:t>
      </w:r>
    </w:p>
    <w:p w:rsidRPr="00384BCF" w:rsidR="00227BCF" w:rsidP="00384BCF" w:rsidRDefault="00D86348" w14:paraId="6C95180D" w14:textId="1A37BB64">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19</w:t>
      </w:r>
      <w:r>
        <w:rPr>
          <w:noProof/>
        </w:rPr>
        <w:fldChar w:fldCharType="end"/>
      </w:r>
      <w:r w:rsidRPr="00384BCF" w:rsidR="00227BCF">
        <w:t>.  La Cour statuant en considération de l</w:t>
      </w:r>
      <w:r w:rsidRPr="00384BCF" w:rsidR="00384BCF">
        <w:t>’</w:t>
      </w:r>
      <w:r w:rsidRPr="00384BCF" w:rsidR="00227BCF">
        <w:t>ensemble des éléments en sa possession et des circonstances particulières de la présente affaire estime que le maintien dans le centre fermé du deuxième requérant, qui a été accompagné de sa famille durant la période de rétention et dont l</w:t>
      </w:r>
      <w:r w:rsidRPr="00384BCF" w:rsidR="00384BCF">
        <w:t>’</w:t>
      </w:r>
      <w:r w:rsidRPr="00384BCF" w:rsidR="00227BCF">
        <w:t>état de santé a été étroitement suivi par les professionnels de santé qualifiés, n</w:t>
      </w:r>
      <w:r w:rsidRPr="00384BCF" w:rsidR="00384BCF">
        <w:t>’</w:t>
      </w:r>
      <w:r w:rsidRPr="00384BCF" w:rsidR="00227BCF">
        <w:t>a pas été contraire à l</w:t>
      </w:r>
      <w:r w:rsidRPr="00384BCF" w:rsidR="00384BCF">
        <w:t>’</w:t>
      </w:r>
      <w:r w:rsidRPr="00384BCF" w:rsidR="00227BCF">
        <w:t>article 3 de la Convention. Par conséquent, la Cour constate que ce grief est manifestement mal fondé et le rejette en application de l</w:t>
      </w:r>
      <w:r w:rsidRPr="00384BCF" w:rsidR="00384BCF">
        <w:t>’</w:t>
      </w:r>
      <w:r w:rsidRPr="00384BCF" w:rsidR="00227BCF">
        <w:t>article</w:t>
      </w:r>
      <w:r w:rsidRPr="00384BCF" w:rsidR="008B360D">
        <w:t> </w:t>
      </w:r>
      <w:r w:rsidRPr="00384BCF" w:rsidR="00227BCF">
        <w:t>35 §§</w:t>
      </w:r>
      <w:r w:rsidRPr="00384BCF" w:rsidR="008B360D">
        <w:t> </w:t>
      </w:r>
      <w:r w:rsidRPr="00384BCF" w:rsidR="00227BCF">
        <w:t>3 a) et 4 de la Convention.</w:t>
      </w:r>
    </w:p>
    <w:p w:rsidRPr="00384BCF" w:rsidR="00227BCF" w:rsidP="00384BCF" w:rsidRDefault="00227BCF" w14:paraId="2EC890DA" w14:textId="4F333FF3">
      <w:pPr>
        <w:pStyle w:val="JuHIRoman"/>
      </w:pPr>
      <w:r w:rsidRPr="00384BCF">
        <w:t>SUR LA VIOLATION ALLÉGUÉE DE L</w:t>
      </w:r>
      <w:r w:rsidRPr="00384BCF" w:rsidR="00384BCF">
        <w:t>’</w:t>
      </w:r>
      <w:r w:rsidRPr="00384BCF">
        <w:t>ARTICLE 5 §§ 1 f) Et 4 de la convention</w:t>
      </w:r>
    </w:p>
    <w:p w:rsidRPr="00384BCF" w:rsidR="00227BCF" w:rsidP="00384BCF" w:rsidRDefault="00D86348" w14:paraId="5F69C4D9" w14:textId="252486F0">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20</w:t>
      </w:r>
      <w:r>
        <w:rPr>
          <w:noProof/>
        </w:rPr>
        <w:fldChar w:fldCharType="end"/>
      </w:r>
      <w:r w:rsidRPr="00384BCF" w:rsidR="00227BCF">
        <w:t>.  Les requérants ont formulé les griefs fondés sur l</w:t>
      </w:r>
      <w:r w:rsidRPr="00384BCF" w:rsidR="00384BCF">
        <w:t>’</w:t>
      </w:r>
      <w:r w:rsidRPr="00384BCF" w:rsidR="00227BCF">
        <w:t>article 5 §§ 1 f) et 4 de la Convention (voir paragraphe 8 ci-dessus) qui soulèvent aussi des questions sur le terrain de celle</w:t>
      </w:r>
      <w:r w:rsidRPr="00384BCF" w:rsidR="00227BCF">
        <w:noBreakHyphen/>
        <w:t>ci, selon la jurisprudence bien établie de la Cour.</w:t>
      </w:r>
    </w:p>
    <w:p w:rsidRPr="00384BCF" w:rsidR="00227BCF" w:rsidP="00384BCF" w:rsidRDefault="00D86348" w14:paraId="5A548917" w14:textId="6519E95D">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21</w:t>
      </w:r>
      <w:r>
        <w:rPr>
          <w:noProof/>
        </w:rPr>
        <w:fldChar w:fldCharType="end"/>
      </w:r>
      <w:r w:rsidRPr="00384BCF" w:rsidR="00227BCF">
        <w:t>.  Le Gouvernement plaide que les requérants n</w:t>
      </w:r>
      <w:r w:rsidRPr="00384BCF" w:rsidR="00384BCF">
        <w:t>’</w:t>
      </w:r>
      <w:r w:rsidRPr="00384BCF" w:rsidR="00227BCF">
        <w:t>ont pas épuisé les voies de recours internes car ils n</w:t>
      </w:r>
      <w:r w:rsidRPr="00384BCF" w:rsidR="00384BCF">
        <w:t>’</w:t>
      </w:r>
      <w:r w:rsidRPr="00384BCF" w:rsidR="00227BCF">
        <w:t>avaient pas introduit d</w:t>
      </w:r>
      <w:r w:rsidRPr="00384BCF" w:rsidR="00384BCF">
        <w:t>’</w:t>
      </w:r>
      <w:r w:rsidRPr="00384BCF" w:rsidR="00227BCF">
        <w:t>action indemnitaire conformément à l</w:t>
      </w:r>
      <w:r w:rsidRPr="00384BCF" w:rsidR="00384BCF">
        <w:t>’</w:t>
      </w:r>
      <w:r w:rsidRPr="00384BCF" w:rsidR="00227BCF">
        <w:t>article 407 de la loi sur les étrangers.</w:t>
      </w:r>
    </w:p>
    <w:p w:rsidRPr="00384BCF" w:rsidR="00227BCF" w:rsidP="00384BCF" w:rsidRDefault="00D86348" w14:paraId="75821D8E" w14:textId="1AA2D8B2">
      <w:pPr>
        <w:pStyle w:val="JuPara"/>
        <w:ind w:right="-13"/>
      </w:pPr>
      <w:r>
        <w:rPr>
          <w:noProof/>
        </w:rPr>
        <w:fldChar w:fldCharType="begin"/>
      </w:r>
      <w:r>
        <w:rPr>
          <w:noProof/>
        </w:rPr>
        <w:instrText xml:space="preserve"> SEQ level0 \*arabic \* MERGEFORMAT </w:instrText>
      </w:r>
      <w:r>
        <w:rPr>
          <w:noProof/>
        </w:rPr>
        <w:fldChar w:fldCharType="separate"/>
      </w:r>
      <w:r w:rsidRPr="00384BCF" w:rsidR="00384BCF">
        <w:rPr>
          <w:noProof/>
        </w:rPr>
        <w:t>22</w:t>
      </w:r>
      <w:r>
        <w:rPr>
          <w:noProof/>
        </w:rPr>
        <w:fldChar w:fldCharType="end"/>
      </w:r>
      <w:r w:rsidRPr="00384BCF" w:rsidR="00227BCF">
        <w:t>.  Pour autant qu</w:t>
      </w:r>
      <w:r w:rsidRPr="00384BCF" w:rsidR="00384BCF">
        <w:t>’</w:t>
      </w:r>
      <w:r w:rsidRPr="00384BCF" w:rsidR="00227BCF">
        <w:t>il est question de grief de méconnaissance de l</w:t>
      </w:r>
      <w:r w:rsidRPr="00384BCF" w:rsidR="00384BCF">
        <w:t>’</w:t>
      </w:r>
      <w:r w:rsidRPr="00384BCF" w:rsidR="00227BCF">
        <w:t>article</w:t>
      </w:r>
      <w:r w:rsidRPr="00384BCF" w:rsidR="00180EBE">
        <w:t> </w:t>
      </w:r>
      <w:r w:rsidRPr="00384BCF" w:rsidR="00227BCF">
        <w:t>5 §§</w:t>
      </w:r>
      <w:r w:rsidRPr="00384BCF" w:rsidR="00180EBE">
        <w:t> </w:t>
      </w:r>
      <w:r w:rsidRPr="00384BCF" w:rsidR="00227BCF">
        <w:t>1 f) de la Convention à l</w:t>
      </w:r>
      <w:r w:rsidRPr="00384BCF" w:rsidR="00384BCF">
        <w:t>’</w:t>
      </w:r>
      <w:r w:rsidRPr="00384BCF" w:rsidR="00227BCF">
        <w:t>égard de la première requérante, la Cour n</w:t>
      </w:r>
      <w:r w:rsidRPr="00384BCF" w:rsidR="00384BCF">
        <w:t>’</w:t>
      </w:r>
      <w:r w:rsidRPr="00384BCF" w:rsidR="00227BCF">
        <w:t>estime pas nécessaire de statuer sur l</w:t>
      </w:r>
      <w:r w:rsidRPr="00384BCF" w:rsidR="00384BCF">
        <w:t>’</w:t>
      </w:r>
      <w:r w:rsidRPr="00384BCF" w:rsidR="00227BCF">
        <w:t>exception soulevée par le Gouvernement, compte tenu du fait que ce grief est en tout état de cause irrecevable pour le motif exposé ci-après. Elle rappelle que l</w:t>
      </w:r>
      <w:r w:rsidRPr="00384BCF" w:rsidR="00384BCF">
        <w:t>’</w:t>
      </w:r>
      <w:r w:rsidRPr="00384BCF" w:rsidR="00227BCF">
        <w:t>article 5 § 1 f) de la Convention n</w:t>
      </w:r>
      <w:r w:rsidRPr="00384BCF" w:rsidR="00384BCF">
        <w:t>’</w:t>
      </w:r>
      <w:r w:rsidRPr="00384BCF" w:rsidR="00227BCF">
        <w:t>exige pas que la détention d</w:t>
      </w:r>
      <w:r w:rsidRPr="00384BCF" w:rsidR="00384BCF">
        <w:t>’</w:t>
      </w:r>
      <w:r w:rsidRPr="00384BCF" w:rsidR="00227BCF">
        <w:t>une personne contre laquelle une procédure d</w:t>
      </w:r>
      <w:r w:rsidRPr="00384BCF" w:rsidR="00384BCF">
        <w:t>’</w:t>
      </w:r>
      <w:r w:rsidRPr="00384BCF" w:rsidR="00227BCF">
        <w:t xml:space="preserve">expulsion est en cours soit considérée comme raisonnablement nécessaire (voir, </w:t>
      </w:r>
      <w:r w:rsidRPr="00384BCF" w:rsidR="00227BCF">
        <w:rPr>
          <w:i/>
          <w:iCs/>
        </w:rPr>
        <w:t>mutatis mutandis, Popov c. France</w:t>
      </w:r>
      <w:r w:rsidRPr="00384BCF" w:rsidR="00227BCF">
        <w:t>, n</w:t>
      </w:r>
      <w:r w:rsidRPr="00384BCF" w:rsidR="00227BCF">
        <w:rPr>
          <w:vertAlign w:val="superscript"/>
        </w:rPr>
        <w:t>os</w:t>
      </w:r>
      <w:r w:rsidRPr="00384BCF" w:rsidR="00227BCF">
        <w:t xml:space="preserve"> 39472/07 et 39474/07, §</w:t>
      </w:r>
      <w:r w:rsidRPr="00384BCF" w:rsidR="00D61CB7">
        <w:t> </w:t>
      </w:r>
      <w:r w:rsidRPr="00384BCF" w:rsidR="00227BCF">
        <w:t>120, 19</w:t>
      </w:r>
      <w:r w:rsidRPr="00384BCF" w:rsidR="008B360D">
        <w:t> </w:t>
      </w:r>
      <w:r w:rsidRPr="00384BCF" w:rsidR="00227BCF">
        <w:t>avril 2012). Partant, la Cour juge que ce grief est manifestement mal fondé et le rejette en application de l</w:t>
      </w:r>
      <w:r w:rsidRPr="00384BCF" w:rsidR="00384BCF">
        <w:t>’</w:t>
      </w:r>
      <w:r w:rsidRPr="00384BCF" w:rsidR="00227BCF">
        <w:t>article 35 §§ 3 a) et 4 de la Convention.</w:t>
      </w:r>
    </w:p>
    <w:p w:rsidRPr="00384BCF" w:rsidR="00227BCF" w:rsidP="00384BCF" w:rsidRDefault="00D86348" w14:paraId="1BB4C10E" w14:textId="2655DDB3">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23</w:t>
      </w:r>
      <w:r>
        <w:rPr>
          <w:noProof/>
        </w:rPr>
        <w:fldChar w:fldCharType="end"/>
      </w:r>
      <w:r w:rsidRPr="00384BCF" w:rsidR="00227BCF">
        <w:t>.  Pour autant qu</w:t>
      </w:r>
      <w:r w:rsidRPr="00384BCF" w:rsidR="00384BCF">
        <w:t>’</w:t>
      </w:r>
      <w:r w:rsidRPr="00384BCF" w:rsidR="00227BCF">
        <w:t>il est question du même grief concernant les enfants requérants et de celui de méconnaissance de l</w:t>
      </w:r>
      <w:r w:rsidRPr="00384BCF" w:rsidR="00384BCF">
        <w:t>’</w:t>
      </w:r>
      <w:r w:rsidRPr="00384BCF" w:rsidR="00227BCF">
        <w:t>article 5 § 4 pour tous les requérants, la Cour rappelle qu</w:t>
      </w:r>
      <w:r w:rsidRPr="00384BCF" w:rsidR="00384BCF">
        <w:t>’</w:t>
      </w:r>
      <w:r w:rsidRPr="00384BCF" w:rsidR="00227BCF">
        <w:t>elle a déjà rejeté une telle exception (</w:t>
      </w:r>
      <w:r w:rsidRPr="00384BCF" w:rsidR="00227BCF">
        <w:rPr>
          <w:i/>
          <w:iCs/>
        </w:rPr>
        <w:t>Bilalova et autres c. Pologne</w:t>
      </w:r>
      <w:r w:rsidRPr="00384BCF" w:rsidR="00227BCF">
        <w:t>,</w:t>
      </w:r>
      <w:r w:rsidRPr="00384BCF" w:rsidR="00227BCF">
        <w:rPr>
          <w:i/>
          <w:iCs/>
        </w:rPr>
        <w:t xml:space="preserve"> </w:t>
      </w:r>
      <w:r w:rsidRPr="00384BCF" w:rsidR="00227BCF">
        <w:t>n</w:t>
      </w:r>
      <w:r w:rsidRPr="00384BCF" w:rsidR="00227BCF">
        <w:rPr>
          <w:vertAlign w:val="superscript"/>
        </w:rPr>
        <w:t>o</w:t>
      </w:r>
      <w:r w:rsidRPr="00384BCF" w:rsidR="00227BCF">
        <w:t xml:space="preserve"> 23685/14,</w:t>
      </w:r>
      <w:r w:rsidRPr="00384BCF" w:rsidR="00227BCF">
        <w:rPr>
          <w:i/>
          <w:iCs/>
        </w:rPr>
        <w:t xml:space="preserve"> </w:t>
      </w:r>
      <w:r w:rsidRPr="00384BCF" w:rsidR="00227BCF">
        <w:t>§ 64, 26 mars 2020). Par ailleurs, le grief de méconnaissance de l</w:t>
      </w:r>
      <w:r w:rsidRPr="00384BCF" w:rsidR="00384BCF">
        <w:t>’</w:t>
      </w:r>
      <w:r w:rsidRPr="00384BCF" w:rsidR="00227BCF">
        <w:t>article 5 § 4 de la Convention a été soulevé par les requérants devant les tribunaux internes. L</w:t>
      </w:r>
      <w:r w:rsidRPr="00384BCF" w:rsidR="00384BCF">
        <w:t>’</w:t>
      </w:r>
      <w:r w:rsidRPr="00384BCF" w:rsidR="00227BCF">
        <w:t>exception du Gouvernement pour autant qu</w:t>
      </w:r>
      <w:r w:rsidRPr="00384BCF" w:rsidR="00384BCF">
        <w:t>’</w:t>
      </w:r>
      <w:r w:rsidRPr="00384BCF" w:rsidR="00227BCF">
        <w:t>elle concerne les griefs susvisés est par conséquent rejetée.</w:t>
      </w:r>
    </w:p>
    <w:p w:rsidRPr="00384BCF" w:rsidR="00227BCF" w:rsidP="00384BCF" w:rsidRDefault="00D86348" w14:paraId="005F024B" w14:textId="3A96AFA2">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24</w:t>
      </w:r>
      <w:r>
        <w:rPr>
          <w:noProof/>
        </w:rPr>
        <w:fldChar w:fldCharType="end"/>
      </w:r>
      <w:r w:rsidRPr="00384BCF" w:rsidR="00227BCF">
        <w:t>.  Constatant que ces griefs ne sont pas manifestement mal fondés ni irrecevables pour un autre motif visé à l</w:t>
      </w:r>
      <w:r w:rsidRPr="00384BCF" w:rsidR="00384BCF">
        <w:t>’</w:t>
      </w:r>
      <w:r w:rsidRPr="00384BCF" w:rsidR="00227BCF">
        <w:t>article 35 de la Convention, la Cour les déclare recevables.</w:t>
      </w:r>
    </w:p>
    <w:p w:rsidRPr="00384BCF" w:rsidR="00227BCF" w:rsidP="00384BCF" w:rsidRDefault="00D86348" w14:paraId="57E7A04E" w14:textId="137EE894">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25</w:t>
      </w:r>
      <w:r>
        <w:rPr>
          <w:noProof/>
        </w:rPr>
        <w:fldChar w:fldCharType="end"/>
      </w:r>
      <w:r w:rsidRPr="00384BCF" w:rsidR="00227BCF">
        <w:t>.  Les enfants requérants soutiennent que leur rétention dans le centre fermé a été contraire à l</w:t>
      </w:r>
      <w:r w:rsidRPr="00384BCF" w:rsidR="00384BCF">
        <w:t>’</w:t>
      </w:r>
      <w:r w:rsidRPr="00384BCF" w:rsidR="00227BCF">
        <w:t>article 5 § 1 f) de la Convention. De plus, tous les requérants se plaignent que l</w:t>
      </w:r>
      <w:r w:rsidRPr="00384BCF" w:rsidR="00384BCF">
        <w:t>’</w:t>
      </w:r>
      <w:r w:rsidRPr="00384BCF" w:rsidR="00227BCF">
        <w:t>impossibilité de commenter les demandes susvisées au paragraphe 6 de la police aux frontières a nui à l</w:t>
      </w:r>
      <w:r w:rsidRPr="00384BCF" w:rsidR="00384BCF">
        <w:t>’</w:t>
      </w:r>
      <w:r w:rsidRPr="00384BCF" w:rsidR="00227BCF">
        <w:t>équité de la procédure afférente à leur placement et leur maintien dans le centre de rétention.</w:t>
      </w:r>
    </w:p>
    <w:p w:rsidRPr="00384BCF" w:rsidR="00227BCF" w:rsidP="00384BCF" w:rsidRDefault="00D86348" w14:paraId="6BFDBEDB" w14:textId="7D2B5716">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26</w:t>
      </w:r>
      <w:r>
        <w:rPr>
          <w:noProof/>
        </w:rPr>
        <w:fldChar w:fldCharType="end"/>
      </w:r>
      <w:r w:rsidRPr="00384BCF" w:rsidR="00227BCF">
        <w:t>.  Sans se prononcer sur le grief fondé sur l</w:t>
      </w:r>
      <w:r w:rsidRPr="00384BCF" w:rsidR="00384BCF">
        <w:t>’</w:t>
      </w:r>
      <w:r w:rsidRPr="00384BCF" w:rsidR="00227BCF">
        <w:t>article 5 § 1 f) de la Convention, le Gouvernement indique que la législation nationale n</w:t>
      </w:r>
      <w:r w:rsidRPr="00384BCF" w:rsidR="00384BCF">
        <w:t>’</w:t>
      </w:r>
      <w:r w:rsidRPr="00384BCF" w:rsidR="00227BCF">
        <w:t>exige pas qu</w:t>
      </w:r>
      <w:r w:rsidRPr="00384BCF" w:rsidR="00384BCF">
        <w:t>’</w:t>
      </w:r>
      <w:r w:rsidRPr="00384BCF" w:rsidR="00227BCF">
        <w:t>une demande de placement et/ou de maintien en centre fermé d</w:t>
      </w:r>
      <w:r w:rsidRPr="00384BCF" w:rsidR="00384BCF">
        <w:t>’</w:t>
      </w:r>
      <w:r w:rsidRPr="00384BCF" w:rsidR="00227BCF">
        <w:t>un étranger en instance d</w:t>
      </w:r>
      <w:r w:rsidRPr="00384BCF" w:rsidR="00384BCF">
        <w:t>’</w:t>
      </w:r>
      <w:r w:rsidRPr="00384BCF" w:rsidR="00227BCF">
        <w:t>expulsion soit communiquée à l</w:t>
      </w:r>
      <w:r w:rsidRPr="00384BCF" w:rsidR="00384BCF">
        <w:t>’</w:t>
      </w:r>
      <w:r w:rsidRPr="00384BCF" w:rsidR="00227BCF">
        <w:t>intéressé.</w:t>
      </w:r>
    </w:p>
    <w:p w:rsidRPr="00384BCF" w:rsidR="00227BCF" w:rsidP="00384BCF" w:rsidRDefault="00D86348" w14:paraId="008FBCB7" w14:textId="4E5C3E12">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27</w:t>
      </w:r>
      <w:r>
        <w:rPr>
          <w:noProof/>
        </w:rPr>
        <w:fldChar w:fldCharType="end"/>
      </w:r>
      <w:r w:rsidRPr="00384BCF" w:rsidR="00227BCF">
        <w:t>.  Le tiers intervenant indique que le principe de l</w:t>
      </w:r>
      <w:r w:rsidRPr="00384BCF" w:rsidR="00384BCF">
        <w:t>’</w:t>
      </w:r>
      <w:r w:rsidRPr="00384BCF" w:rsidR="00227BCF">
        <w:t>intérêt supérieur de l</w:t>
      </w:r>
      <w:r w:rsidRPr="00384BCF" w:rsidR="00384BCF">
        <w:t>’</w:t>
      </w:r>
      <w:r w:rsidRPr="00384BCF" w:rsidR="00227BCF">
        <w:t>enfant commande qu</w:t>
      </w:r>
      <w:r w:rsidRPr="00384BCF" w:rsidR="00384BCF">
        <w:t>’</w:t>
      </w:r>
      <w:r w:rsidRPr="00384BCF" w:rsidR="00227BCF">
        <w:t>il soit renoncé à la détention des mineurs dans le contexte migratoire.</w:t>
      </w:r>
    </w:p>
    <w:p w:rsidRPr="00384BCF" w:rsidR="00227BCF" w:rsidP="00384BCF" w:rsidRDefault="00D86348" w14:paraId="6B7E3249" w14:textId="2AE7F188">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28</w:t>
      </w:r>
      <w:r>
        <w:rPr>
          <w:noProof/>
        </w:rPr>
        <w:fldChar w:fldCharType="end"/>
      </w:r>
      <w:r w:rsidRPr="00384BCF" w:rsidR="00227BCF">
        <w:t>.  La Cour observe que, bien que les conditions matérielles d</w:t>
      </w:r>
      <w:r w:rsidRPr="00384BCF" w:rsidR="00384BCF">
        <w:t>’</w:t>
      </w:r>
      <w:r w:rsidRPr="00384BCF" w:rsidR="00227BCF">
        <w:t>accueil dans le centre de rétention des enfants requérants aient été correctes, cette structure constituait, à n</w:t>
      </w:r>
      <w:r w:rsidRPr="00384BCF" w:rsidR="00384BCF">
        <w:t>’</w:t>
      </w:r>
      <w:r w:rsidRPr="00384BCF" w:rsidR="00227BCF">
        <w:t>en pas douter un lieu d</w:t>
      </w:r>
      <w:r w:rsidRPr="00384BCF" w:rsidR="00384BCF">
        <w:t>’</w:t>
      </w:r>
      <w:r w:rsidRPr="00384BCF" w:rsidR="00227BCF">
        <w:t>enferment. Elle estime ne pas disposer des éléments suffisants pour se convaincre que les autorités nationales ont effectivement recherché si la détention des enfants requérants pendant une période d</w:t>
      </w:r>
      <w:r w:rsidRPr="00384BCF" w:rsidR="00384BCF">
        <w:t>’</w:t>
      </w:r>
      <w:r w:rsidRPr="00384BCF" w:rsidR="00227BCF">
        <w:t>une durée d</w:t>
      </w:r>
      <w:r w:rsidRPr="00384BCF" w:rsidR="00384BCF">
        <w:t>’</w:t>
      </w:r>
      <w:r w:rsidRPr="00384BCF" w:rsidR="00227BCF">
        <w:t>environ sept mois était une solution de dernier ressort à laquelle aucune mesure alternative ne pouvait se substituer ni qu</w:t>
      </w:r>
      <w:r w:rsidRPr="00384BCF" w:rsidR="00384BCF">
        <w:t>’</w:t>
      </w:r>
      <w:r w:rsidRPr="00384BCF" w:rsidR="00227BCF">
        <w:t>elles ont mis en œuvre les diligences nécessaires pour limiter au strict minimum la durée de l</w:t>
      </w:r>
      <w:r w:rsidRPr="00384BCF" w:rsidR="00384BCF">
        <w:t>’</w:t>
      </w:r>
      <w:r w:rsidRPr="00384BCF" w:rsidR="00227BCF">
        <w:t>enferment des enfants requérants.</w:t>
      </w:r>
    </w:p>
    <w:p w:rsidRPr="00384BCF" w:rsidR="00227BCF" w:rsidP="00384BCF" w:rsidRDefault="00D86348" w14:paraId="5D74943B" w14:textId="421194CE">
      <w:pPr>
        <w:pStyle w:val="JuPara"/>
      </w:pPr>
      <w:r>
        <w:rPr>
          <w:noProof/>
        </w:rPr>
        <w:fldChar w:fldCharType="begin"/>
      </w:r>
      <w:r>
        <w:rPr>
          <w:noProof/>
        </w:rPr>
        <w:instrText xml:space="preserve"> SEQ </w:instrText>
      </w:r>
      <w:r>
        <w:rPr>
          <w:noProof/>
        </w:rPr>
        <w:instrText xml:space="preserve">level0 \*arabic \* MERGEFORMAT </w:instrText>
      </w:r>
      <w:r>
        <w:rPr>
          <w:noProof/>
        </w:rPr>
        <w:fldChar w:fldCharType="separate"/>
      </w:r>
      <w:r w:rsidRPr="00384BCF" w:rsidR="00384BCF">
        <w:rPr>
          <w:noProof/>
        </w:rPr>
        <w:t>29</w:t>
      </w:r>
      <w:r>
        <w:rPr>
          <w:noProof/>
        </w:rPr>
        <w:fldChar w:fldCharType="end"/>
      </w:r>
      <w:r w:rsidRPr="00384BCF" w:rsidR="00227BCF">
        <w:t>.  La Cour observe qu</w:t>
      </w:r>
      <w:r w:rsidRPr="00384BCF" w:rsidR="00384BCF">
        <w:t>’</w:t>
      </w:r>
      <w:r w:rsidRPr="00384BCF" w:rsidR="00227BCF">
        <w:t>aucune des demandes successives de placer et de maintenir en centre de rétention les requérants formulées par la police aux frontières n</w:t>
      </w:r>
      <w:r w:rsidRPr="00384BCF" w:rsidR="00384BCF">
        <w:t>’</w:t>
      </w:r>
      <w:r w:rsidRPr="00384BCF" w:rsidR="00227BCF">
        <w:t>a été communiquée aux intéressés. Même si un membre du personnel du centre de rétention a informé la requérante de deux des demandes en question, la Cour n</w:t>
      </w:r>
      <w:r w:rsidRPr="00384BCF" w:rsidR="00384BCF">
        <w:t>’</w:t>
      </w:r>
      <w:r w:rsidRPr="00384BCF" w:rsidR="00227BCF">
        <w:t>est pas convaincue que les informations communiquées à l</w:t>
      </w:r>
      <w:r w:rsidRPr="00384BCF" w:rsidR="00384BCF">
        <w:t>’</w:t>
      </w:r>
      <w:r w:rsidRPr="00384BCF" w:rsidR="00227BCF">
        <w:t>intéressée aient explicité la base légale et les raisons juridiques et factuelles de la privation de liberté des requérants de sorte que ceux-ci eussent une juste possibilité de contester devant le tribunal la légalité de la mesure en question.</w:t>
      </w:r>
    </w:p>
    <w:p w:rsidRPr="00384BCF" w:rsidR="00227BCF" w:rsidP="00384BCF" w:rsidRDefault="00D86348" w14:paraId="6935907E" w14:textId="5F4B0BD5">
      <w:pPr>
        <w:pStyle w:val="JuPara"/>
      </w:pPr>
      <w:r>
        <w:rPr>
          <w:noProof/>
        </w:rPr>
        <w:fldChar w:fldCharType="begin"/>
      </w:r>
      <w:r>
        <w:rPr>
          <w:noProof/>
        </w:rPr>
        <w:instrText xml:space="preserve"> SEQ level0 \*arabic \* MERGEFORMAT </w:instrText>
      </w:r>
      <w:r>
        <w:rPr>
          <w:noProof/>
        </w:rPr>
        <w:fldChar w:fldCharType="separate"/>
      </w:r>
      <w:r w:rsidRPr="00384BCF" w:rsidR="00384BCF">
        <w:rPr>
          <w:noProof/>
        </w:rPr>
        <w:t>30</w:t>
      </w:r>
      <w:r>
        <w:rPr>
          <w:noProof/>
        </w:rPr>
        <w:fldChar w:fldCharType="end"/>
      </w:r>
      <w:r w:rsidRPr="00384BCF" w:rsidR="00227BCF">
        <w:t>.  Après examen de l</w:t>
      </w:r>
      <w:r w:rsidRPr="00384BCF" w:rsidR="00384BCF">
        <w:t>’</w:t>
      </w:r>
      <w:r w:rsidRPr="00384BCF" w:rsidR="00227BCF">
        <w:t>ensemble des éléments en sa possession, la Cour conclut que les griefs susvisés font appara</w:t>
      </w:r>
      <w:r w:rsidRPr="00384BCF" w:rsidR="00227BCF">
        <w:rPr>
          <w:rFonts w:cstheme="minorHAnsi"/>
        </w:rPr>
        <w:t>î</w:t>
      </w:r>
      <w:r w:rsidRPr="00384BCF" w:rsidR="00227BCF">
        <w:t>tre une violation de l</w:t>
      </w:r>
      <w:r w:rsidRPr="00384BCF" w:rsidR="00384BCF">
        <w:t>’</w:t>
      </w:r>
      <w:r w:rsidRPr="00384BCF" w:rsidR="00227BCF">
        <w:t>article 5 § 1 f) dans le chef des enfants requérants et celle de l</w:t>
      </w:r>
      <w:r w:rsidRPr="00384BCF" w:rsidR="00384BCF">
        <w:t>’</w:t>
      </w:r>
      <w:r w:rsidRPr="00384BCF" w:rsidR="00227BCF">
        <w:t>article 5 § 4 de la Convention dans le chef de l</w:t>
      </w:r>
      <w:r w:rsidRPr="00384BCF" w:rsidR="00384BCF">
        <w:t>’</w:t>
      </w:r>
      <w:r w:rsidRPr="00384BCF" w:rsidR="00227BCF">
        <w:t xml:space="preserve">ensemble des requérants, respectivement, eu égard à ses constats dans les arrêts </w:t>
      </w:r>
      <w:r w:rsidRPr="00384BCF" w:rsidR="00227BCF">
        <w:rPr>
          <w:i/>
          <w:iCs/>
        </w:rPr>
        <w:t>Bilalova et autres</w:t>
      </w:r>
      <w:r w:rsidRPr="00384BCF" w:rsidR="00227BCF">
        <w:t xml:space="preserve"> (précité, §§ 77-82) et </w:t>
      </w:r>
      <w:r w:rsidRPr="00384BCF" w:rsidR="00227BCF">
        <w:rPr>
          <w:i/>
          <w:iCs/>
        </w:rPr>
        <w:t>Osv</w:t>
      </w:r>
      <w:r w:rsidRPr="00384BCF" w:rsidR="00227BCF">
        <w:rPr>
          <w:rFonts w:cstheme="minorHAnsi"/>
          <w:i/>
          <w:iCs/>
        </w:rPr>
        <w:t>á</w:t>
      </w:r>
      <w:r w:rsidRPr="00384BCF" w:rsidR="00227BCF">
        <w:rPr>
          <w:i/>
          <w:iCs/>
        </w:rPr>
        <w:t>th c. Hongrie</w:t>
      </w:r>
      <w:r w:rsidRPr="00384BCF" w:rsidR="00227BCF">
        <w:t xml:space="preserve"> (n</w:t>
      </w:r>
      <w:r w:rsidRPr="00384BCF" w:rsidR="00227BCF">
        <w:rPr>
          <w:vertAlign w:val="superscript"/>
        </w:rPr>
        <w:t>o</w:t>
      </w:r>
      <w:r w:rsidRPr="00384BCF" w:rsidR="00227BCF">
        <w:t xml:space="preserve"> 20723/02, § 18, 5 juillet 2005).</w:t>
      </w:r>
    </w:p>
    <w:p w:rsidRPr="00384BCF" w:rsidR="00227BCF" w:rsidP="00384BCF" w:rsidRDefault="00227BCF" w14:paraId="46F51248" w14:textId="4C589E85">
      <w:pPr>
        <w:pStyle w:val="JuHHead"/>
      </w:pPr>
      <w:r w:rsidRPr="00384BCF">
        <w:rPr>
          <w:caps w:val="0"/>
        </w:rPr>
        <w:t>SUR L</w:t>
      </w:r>
      <w:r w:rsidRPr="00384BCF" w:rsidR="00384BCF">
        <w:rPr>
          <w:caps w:val="0"/>
        </w:rPr>
        <w:t>’</w:t>
      </w:r>
      <w:r w:rsidRPr="00384BCF">
        <w:rPr>
          <w:caps w:val="0"/>
        </w:rPr>
        <w:t>APPLICATION DE L</w:t>
      </w:r>
      <w:r w:rsidRPr="00384BCF" w:rsidR="00384BCF">
        <w:rPr>
          <w:caps w:val="0"/>
        </w:rPr>
        <w:t>’</w:t>
      </w:r>
      <w:r w:rsidRPr="00384BCF">
        <w:rPr>
          <w:caps w:val="0"/>
        </w:rPr>
        <w:t>ARTICLE 41 DE LA CONVENTION</w:t>
      </w:r>
    </w:p>
    <w:p w:rsidRPr="00384BCF" w:rsidR="00227BCF" w:rsidP="00384BCF" w:rsidRDefault="00227BCF" w14:paraId="42CB2C32" w14:textId="64C4A734">
      <w:pPr>
        <w:pStyle w:val="JuPara"/>
      </w:pPr>
      <w:r w:rsidRPr="00384BCF">
        <w:fldChar w:fldCharType="begin"/>
      </w:r>
      <w:r w:rsidRPr="00384BCF">
        <w:instrText xml:space="preserve"> SEQ level0 \*arabic </w:instrText>
      </w:r>
      <w:r w:rsidRPr="00384BCF">
        <w:fldChar w:fldCharType="separate"/>
      </w:r>
      <w:r w:rsidRPr="00384BCF" w:rsidR="00384BCF">
        <w:rPr>
          <w:noProof/>
        </w:rPr>
        <w:t>31</w:t>
      </w:r>
      <w:r w:rsidRPr="00384BCF">
        <w:fldChar w:fldCharType="end"/>
      </w:r>
      <w:r w:rsidRPr="00384BCF">
        <w:t>.  Les requérants demandent 14 000 euros (EUR) pour dommage moral qu</w:t>
      </w:r>
      <w:r w:rsidRPr="00384BCF" w:rsidR="00384BCF">
        <w:t>’</w:t>
      </w:r>
      <w:r w:rsidRPr="00384BCF">
        <w:t>ils estiment avoir subi à raison de la violation de l</w:t>
      </w:r>
      <w:r w:rsidRPr="00384BCF" w:rsidR="00384BCF">
        <w:t>’</w:t>
      </w:r>
      <w:r w:rsidRPr="00384BCF">
        <w:t>article 5 §§ 1 et 4 de la Convention. Ils demandent en outre 360 EUR et 3 480 EUR pour les frais qu</w:t>
      </w:r>
      <w:r w:rsidRPr="00384BCF" w:rsidR="00384BCF">
        <w:t>’</w:t>
      </w:r>
      <w:r w:rsidRPr="00384BCF">
        <w:t>ils disent avoir engagés dans la procédure interne et celle devant la Cour, respectivement.</w:t>
      </w:r>
    </w:p>
    <w:p w:rsidRPr="00384BCF" w:rsidR="00227BCF" w:rsidP="00384BCF" w:rsidRDefault="00227BCF" w14:paraId="076B646B" w14:textId="4EE41FFB">
      <w:pPr>
        <w:pStyle w:val="JuPara"/>
      </w:pPr>
      <w:r w:rsidRPr="00384BCF">
        <w:fldChar w:fldCharType="begin"/>
      </w:r>
      <w:r w:rsidRPr="00384BCF">
        <w:instrText xml:space="preserve"> SEQ level0 \*arabic </w:instrText>
      </w:r>
      <w:r w:rsidRPr="00384BCF">
        <w:fldChar w:fldCharType="separate"/>
      </w:r>
      <w:r w:rsidRPr="00384BCF" w:rsidR="00384BCF">
        <w:rPr>
          <w:noProof/>
        </w:rPr>
        <w:t>32</w:t>
      </w:r>
      <w:r w:rsidRPr="00384BCF">
        <w:fldChar w:fldCharType="end"/>
      </w:r>
      <w:r w:rsidRPr="00384BCF">
        <w:t>.  Le Gouvernement conteste ces prétentions.</w:t>
      </w:r>
    </w:p>
    <w:p w:rsidRPr="00384BCF" w:rsidR="00227BCF" w:rsidP="00384BCF" w:rsidRDefault="00227BCF" w14:paraId="3DF7FFB7" w14:textId="6981814B">
      <w:pPr>
        <w:pStyle w:val="JuPara"/>
      </w:pPr>
      <w:r w:rsidRPr="00384BCF">
        <w:fldChar w:fldCharType="begin"/>
      </w:r>
      <w:r w:rsidRPr="00384BCF">
        <w:instrText xml:space="preserve"> SEQ level0 \*arabic </w:instrText>
      </w:r>
      <w:r w:rsidRPr="00384BCF">
        <w:fldChar w:fldCharType="separate"/>
      </w:r>
      <w:r w:rsidRPr="00384BCF" w:rsidR="00384BCF">
        <w:rPr>
          <w:noProof/>
        </w:rPr>
        <w:t>33</w:t>
      </w:r>
      <w:r w:rsidRPr="00384BCF">
        <w:fldChar w:fldCharType="end"/>
      </w:r>
      <w:r w:rsidRPr="00384BCF">
        <w:t>.  Prenant en compte le montant proposé par le Gouvernement dans sa déclaration unilatérale et eu égard aux éléments en sa possession, la Cour octroie aux requérants conjointement 10 000 EUR pour dommage moral et 850</w:t>
      </w:r>
      <w:r w:rsidRPr="00384BCF" w:rsidR="008B360D">
        <w:t> </w:t>
      </w:r>
      <w:r w:rsidRPr="00384BCF">
        <w:t>EUR pour les frais exposés dans la procédure menée devant elle, plus tout montant pouvant être dû à titre d</w:t>
      </w:r>
      <w:r w:rsidRPr="00384BCF" w:rsidR="00384BCF">
        <w:t>’</w:t>
      </w:r>
      <w:r w:rsidRPr="00384BCF">
        <w:t>impôt sur ces sommes.</w:t>
      </w:r>
    </w:p>
    <w:p w:rsidRPr="00384BCF" w:rsidR="00227BCF" w:rsidP="00384BCF" w:rsidRDefault="00227BCF" w14:paraId="6E19D4B6" w14:textId="399B70DA">
      <w:pPr>
        <w:pStyle w:val="JuHHead"/>
      </w:pPr>
      <w:r w:rsidRPr="00384BCF">
        <w:t>PAR CES MOTIFS, LA COUR, À L</w:t>
      </w:r>
      <w:r w:rsidRPr="00384BCF" w:rsidR="00384BCF">
        <w:t>’</w:t>
      </w:r>
      <w:r w:rsidRPr="00384BCF">
        <w:t>UNANIMITÉ,</w:t>
      </w:r>
    </w:p>
    <w:p w:rsidRPr="00384BCF" w:rsidR="00227BCF" w:rsidP="00384BCF" w:rsidRDefault="00227BCF" w14:paraId="70024406" w14:textId="2949CD37">
      <w:pPr>
        <w:pStyle w:val="JuList"/>
      </w:pPr>
      <w:r w:rsidRPr="00384BCF">
        <w:rPr>
          <w:i/>
          <w:iCs/>
        </w:rPr>
        <w:t>Décide</w:t>
      </w:r>
      <w:r w:rsidRPr="00384BCF">
        <w:t xml:space="preserve"> de rayer la requête du rôle en vertu de l</w:t>
      </w:r>
      <w:r w:rsidRPr="00384BCF" w:rsidR="00384BCF">
        <w:t>’</w:t>
      </w:r>
      <w:r w:rsidRPr="00384BCF">
        <w:t>article 39 de la Convention pour autant qu</w:t>
      </w:r>
      <w:r w:rsidRPr="00384BCF" w:rsidR="00384BCF">
        <w:t>’</w:t>
      </w:r>
      <w:r w:rsidRPr="00384BCF">
        <w:t>elle concerne le grief fondé sur l</w:t>
      </w:r>
      <w:r w:rsidRPr="00384BCF" w:rsidR="00384BCF">
        <w:t>’</w:t>
      </w:r>
      <w:r w:rsidRPr="00384BCF">
        <w:t>article 8 de la Convention ;</w:t>
      </w:r>
    </w:p>
    <w:p w:rsidRPr="00384BCF" w:rsidR="00227BCF" w:rsidP="00384BCF" w:rsidRDefault="00227BCF" w14:paraId="21F88867" w14:textId="53D727D9">
      <w:pPr>
        <w:pStyle w:val="JuList"/>
      </w:pPr>
      <w:r w:rsidRPr="00384BCF">
        <w:rPr>
          <w:i/>
        </w:rPr>
        <w:t>Déclare</w:t>
      </w:r>
      <w:r w:rsidRPr="00384BCF">
        <w:t xml:space="preserve"> recevables les griefs fondés sur l</w:t>
      </w:r>
      <w:r w:rsidRPr="00384BCF" w:rsidR="00384BCF">
        <w:t>’</w:t>
      </w:r>
      <w:r w:rsidRPr="00384BCF">
        <w:t>article 5 §§ 1 f) et 4 de la Convention pour autant que ces griefs concernent les enfants requérants et l</w:t>
      </w:r>
      <w:r w:rsidRPr="00384BCF" w:rsidR="00384BCF">
        <w:t>’</w:t>
      </w:r>
      <w:r w:rsidRPr="00384BCF">
        <w:t>ensemble des requérants, respectivement, et le surplus de la requête irrecevable ;</w:t>
      </w:r>
    </w:p>
    <w:p w:rsidRPr="00384BCF" w:rsidR="00227BCF" w:rsidP="00384BCF" w:rsidRDefault="00227BCF" w14:paraId="56959263" w14:textId="0ECE0D77">
      <w:pPr>
        <w:pStyle w:val="JuList"/>
      </w:pPr>
      <w:r w:rsidRPr="00384BCF">
        <w:rPr>
          <w:i/>
        </w:rPr>
        <w:t>Dit</w:t>
      </w:r>
      <w:r w:rsidRPr="00384BCF">
        <w:t xml:space="preserve"> qu</w:t>
      </w:r>
      <w:r w:rsidRPr="00384BCF" w:rsidR="00384BCF">
        <w:t>’</w:t>
      </w:r>
      <w:r w:rsidRPr="00384BCF">
        <w:t>il y a eu violation de l</w:t>
      </w:r>
      <w:r w:rsidRPr="00384BCF" w:rsidR="00384BCF">
        <w:t>’</w:t>
      </w:r>
      <w:r w:rsidRPr="00384BCF">
        <w:t>article 5 § 1 f) de la Convention dans le chef des enfants requérants ;</w:t>
      </w:r>
    </w:p>
    <w:p w:rsidRPr="00384BCF" w:rsidR="00227BCF" w:rsidP="00384BCF" w:rsidRDefault="00227BCF" w14:paraId="431DB7EE" w14:textId="78F78448">
      <w:pPr>
        <w:pStyle w:val="JuList"/>
      </w:pPr>
      <w:r w:rsidRPr="00384BCF">
        <w:rPr>
          <w:i/>
          <w:iCs/>
        </w:rPr>
        <w:t>Dit</w:t>
      </w:r>
      <w:r w:rsidRPr="00384BCF">
        <w:t xml:space="preserve"> qu</w:t>
      </w:r>
      <w:r w:rsidRPr="00384BCF" w:rsidR="00384BCF">
        <w:t>’</w:t>
      </w:r>
      <w:r w:rsidRPr="00384BCF">
        <w:t>il y a eu violation de l</w:t>
      </w:r>
      <w:r w:rsidRPr="00384BCF" w:rsidR="00384BCF">
        <w:t>’</w:t>
      </w:r>
      <w:r w:rsidRPr="00384BCF">
        <w:t>article 5 § 4 de la Convention dans le chef de l</w:t>
      </w:r>
      <w:r w:rsidRPr="00384BCF" w:rsidR="00384BCF">
        <w:t>’</w:t>
      </w:r>
      <w:r w:rsidRPr="00384BCF">
        <w:t>ensemble des requérants ;</w:t>
      </w:r>
    </w:p>
    <w:p w:rsidRPr="00384BCF" w:rsidR="00227BCF" w:rsidP="00384BCF" w:rsidRDefault="00227BCF" w14:paraId="662608BD" w14:textId="77777777">
      <w:pPr>
        <w:pStyle w:val="JuList"/>
        <w:keepNext/>
        <w:keepLines/>
      </w:pPr>
      <w:r w:rsidRPr="00384BCF">
        <w:rPr>
          <w:i/>
          <w:iCs/>
        </w:rPr>
        <w:t>Dit</w:t>
      </w:r>
      <w:r w:rsidRPr="00384BCF">
        <w:t>,</w:t>
      </w:r>
    </w:p>
    <w:p w:rsidRPr="00384BCF" w:rsidR="00BA67DB" w:rsidP="00384BCF" w:rsidRDefault="00227BCF" w14:paraId="79B2B8F2" w14:textId="22178B01">
      <w:pPr>
        <w:pStyle w:val="JuLista"/>
        <w:keepNext/>
        <w:keepLines/>
      </w:pPr>
      <w:r w:rsidRPr="00384BCF">
        <w:t>que l</w:t>
      </w:r>
      <w:r w:rsidRPr="00384BCF" w:rsidR="00384BCF">
        <w:t>’</w:t>
      </w:r>
      <w:r w:rsidRPr="00384BCF">
        <w:t>État défendeur doit verser conjointement aux requérants, dans un délai de trois mois, les sommes suivantes à convertir dans la monnaie de l</w:t>
      </w:r>
      <w:r w:rsidRPr="00384BCF" w:rsidR="00384BCF">
        <w:t>’</w:t>
      </w:r>
      <w:r w:rsidRPr="00384BCF">
        <w:t>État défendeur au taux applicable à la date du règlement</w:t>
      </w:r>
      <w:r w:rsidRPr="00384BCF" w:rsidR="00976482">
        <w:t> :</w:t>
      </w:r>
    </w:p>
    <w:p w:rsidRPr="00384BCF" w:rsidR="00227BCF" w:rsidP="00384BCF" w:rsidRDefault="00227BCF" w14:paraId="5940F78E" w14:textId="3481C6C0">
      <w:pPr>
        <w:pStyle w:val="JuListi"/>
        <w:numPr>
          <w:ilvl w:val="2"/>
          <w:numId w:val="1"/>
        </w:numPr>
      </w:pPr>
      <w:r w:rsidRPr="00384BCF">
        <w:t>10 000 EUR (dix mille euros), plus tout montant pouvant être dû à titre d</w:t>
      </w:r>
      <w:r w:rsidRPr="00384BCF" w:rsidR="00384BCF">
        <w:t>’</w:t>
      </w:r>
      <w:r w:rsidRPr="00384BCF">
        <w:t>impôt sur cette somme, pour dommage moral ;</w:t>
      </w:r>
    </w:p>
    <w:p w:rsidRPr="00384BCF" w:rsidR="00227BCF" w:rsidP="00384BCF" w:rsidRDefault="00227BCF" w14:paraId="2C65D9A7" w14:textId="67484A0C">
      <w:pPr>
        <w:pStyle w:val="JuListi"/>
        <w:numPr>
          <w:ilvl w:val="2"/>
          <w:numId w:val="1"/>
        </w:numPr>
      </w:pPr>
      <w:r w:rsidRPr="00384BCF">
        <w:t>850 EUR (huit cent cinquante euros), plus tout montant pouvant être dû par les requérants à titre d</w:t>
      </w:r>
      <w:r w:rsidRPr="00384BCF" w:rsidR="00384BCF">
        <w:t>’</w:t>
      </w:r>
      <w:r w:rsidRPr="00384BCF">
        <w:t>impôt sur cette somme, pour frais et dépens ;</w:t>
      </w:r>
    </w:p>
    <w:p w:rsidRPr="00384BCF" w:rsidR="00501056" w:rsidP="00384BCF" w:rsidRDefault="00227BCF" w14:paraId="32832A74" w14:textId="239AF90F">
      <w:pPr>
        <w:pStyle w:val="JuLista"/>
        <w:numPr>
          <w:ilvl w:val="1"/>
          <w:numId w:val="1"/>
        </w:numPr>
      </w:pPr>
      <w:r w:rsidRPr="00384BCF">
        <w:t>qu</w:t>
      </w:r>
      <w:r w:rsidRPr="00384BCF" w:rsidR="00384BCF">
        <w:t>’</w:t>
      </w:r>
      <w:r w:rsidRPr="00384BCF">
        <w:t>à compter de l</w:t>
      </w:r>
      <w:r w:rsidRPr="00384BCF" w:rsidR="00384BCF">
        <w:t>’</w:t>
      </w:r>
      <w:r w:rsidRPr="00384BCF">
        <w:t>expiration dudit délai et jusqu</w:t>
      </w:r>
      <w:r w:rsidRPr="00384BCF" w:rsidR="00384BCF">
        <w:t>’</w:t>
      </w:r>
      <w:r w:rsidRPr="00384BCF">
        <w:t>au versement, ces montants seront à majorer d</w:t>
      </w:r>
      <w:r w:rsidRPr="00384BCF" w:rsidR="00384BCF">
        <w:t>’</w:t>
      </w:r>
      <w:r w:rsidRPr="00384BCF">
        <w:t>un intérêt simple à un taux égal à celui de la facilité de prêt marginal de la Banque centrale européenne applicable pendant cette période, augmenté de trois points de pourcentage ;</w:t>
      </w:r>
    </w:p>
    <w:p w:rsidRPr="00384BCF" w:rsidR="00501056" w:rsidP="00384BCF" w:rsidRDefault="00501056" w14:paraId="343FE983" w14:textId="290871DC">
      <w:pPr>
        <w:pStyle w:val="JuList"/>
      </w:pPr>
      <w:r w:rsidRPr="00384BCF">
        <w:rPr>
          <w:i/>
          <w:iCs/>
        </w:rPr>
        <w:t>Rejette</w:t>
      </w:r>
      <w:r w:rsidRPr="00384BCF">
        <w:t xml:space="preserve"> la demande de satisfaction équitable pour le surplus.</w:t>
      </w:r>
    </w:p>
    <w:p w:rsidRPr="00384BCF" w:rsidR="00893F30" w:rsidP="00384BCF" w:rsidRDefault="00893F30" w14:paraId="182F1A3B" w14:textId="4E65B140">
      <w:pPr>
        <w:pStyle w:val="JuParaLast"/>
      </w:pPr>
      <w:r w:rsidRPr="00384BCF">
        <w:t xml:space="preserve">Fait en français, puis communiqué par écrit le </w:t>
      </w:r>
      <w:r w:rsidRPr="00384BCF" w:rsidR="00227BCF">
        <w:t>9 février 2023</w:t>
      </w:r>
      <w:r w:rsidRPr="00384BCF">
        <w:t>, en application de l</w:t>
      </w:r>
      <w:r w:rsidRPr="00384BCF" w:rsidR="00384BCF">
        <w:t>’</w:t>
      </w:r>
      <w:r w:rsidRPr="00384BCF">
        <w:t>article 77 §§ 2 et 3 du règlement.</w:t>
      </w:r>
    </w:p>
    <w:p w:rsidRPr="00384BCF" w:rsidR="00F94531" w:rsidP="00384BCF" w:rsidRDefault="00510D77" w14:paraId="620DFE08" w14:textId="661F7677">
      <w:pPr>
        <w:pStyle w:val="JuSigned"/>
        <w:keepNext/>
        <w:keepLines/>
        <w:rPr>
          <w:color w:val="F8F8F8" w:themeColor="background2"/>
        </w:rPr>
      </w:pPr>
      <w:r w:rsidRPr="00384BCF">
        <w:rPr>
          <w:color w:val="F8F8F8" w:themeColor="background2"/>
        </w:rPr>
        <w:tab/>
      </w:r>
    </w:p>
    <w:p w:rsidRPr="00384BCF" w:rsidR="00876F03" w:rsidP="00384BCF" w:rsidRDefault="003E5DFE" w14:paraId="4DD76660" w14:textId="2CBC1B1D">
      <w:pPr>
        <w:pStyle w:val="JuSigned"/>
        <w:tabs>
          <w:tab w:val="clear" w:pos="1418"/>
          <w:tab w:val="center" w:pos="1560"/>
        </w:tabs>
      </w:pPr>
      <w:r w:rsidRPr="00384BCF">
        <w:rPr>
          <w:noProof/>
        </w:rPr>
        <w:tab/>
      </w:r>
      <w:r w:rsidRPr="00384BCF" w:rsidR="00227BCF">
        <w:rPr>
          <w:noProof/>
        </w:rPr>
        <w:t>Liv Tigerstedt</w:t>
      </w:r>
      <w:r w:rsidRPr="00384BCF" w:rsidR="004344E6">
        <w:tab/>
      </w:r>
      <w:r w:rsidRPr="00384BCF" w:rsidR="00227BCF">
        <w:rPr>
          <w:noProof/>
        </w:rPr>
        <w:t xml:space="preserve">Lətif Hüseynov </w:t>
      </w:r>
      <w:r w:rsidRPr="00384BCF" w:rsidR="004344E6">
        <w:br/>
      </w:r>
      <w:r w:rsidRPr="00384BCF" w:rsidR="004344E6">
        <w:tab/>
      </w:r>
      <w:r w:rsidRPr="00384BCF" w:rsidR="00227BCF">
        <w:rPr>
          <w:noProof/>
        </w:rPr>
        <w:t>Greffière adjointe</w:t>
      </w:r>
      <w:r w:rsidRPr="00384BCF" w:rsidR="004344E6">
        <w:tab/>
      </w:r>
      <w:r w:rsidRPr="00384BCF" w:rsidR="00227BCF">
        <w:rPr>
          <w:noProof/>
        </w:rPr>
        <w:t>Président</w:t>
      </w:r>
    </w:p>
    <w:p w:rsidRPr="00384BCF" w:rsidR="00227BCF" w:rsidP="00384BCF" w:rsidRDefault="00227BCF" w14:paraId="681FEEA1" w14:textId="0C9782CC">
      <w:pPr>
        <w:pStyle w:val="DecHTitle"/>
        <w:rPr>
          <w:rFonts w:ascii="Times New Roman" w:hAnsi="Times New Roman" w:cs="Times New Roman"/>
        </w:rPr>
      </w:pPr>
    </w:p>
    <w:p w:rsidRPr="00384BCF" w:rsidR="008007FC" w:rsidP="00384BCF" w:rsidRDefault="008007FC" w14:paraId="2B8192D8" w14:textId="24EB2DEE">
      <w:pPr>
        <w:pStyle w:val="JuPara"/>
      </w:pPr>
    </w:p>
    <w:p w:rsidRPr="00384BCF" w:rsidR="008007FC" w:rsidP="00384BCF" w:rsidRDefault="008007FC" w14:paraId="6D4DC58C" w14:textId="5BA06DA4">
      <w:pPr>
        <w:pStyle w:val="JuPara"/>
      </w:pPr>
    </w:p>
    <w:p w:rsidRPr="00384BCF" w:rsidR="008007FC" w:rsidP="00384BCF" w:rsidRDefault="008007FC" w14:paraId="349B0811" w14:textId="3A9145B3">
      <w:r w:rsidRPr="00384BCF">
        <w:br w:type="page"/>
      </w:r>
    </w:p>
    <w:p w:rsidRPr="00384BCF" w:rsidR="008007FC" w:rsidP="00384BCF" w:rsidRDefault="008007FC" w14:paraId="722BAF7A" w14:textId="7C8B56BC">
      <w:pPr>
        <w:pStyle w:val="JuPara"/>
      </w:pPr>
    </w:p>
    <w:p w:rsidRPr="00384BCF" w:rsidR="008007FC" w:rsidP="00384BCF" w:rsidRDefault="008007FC" w14:paraId="088B5EAA" w14:textId="18C739F5">
      <w:pPr>
        <w:pStyle w:val="JuPara"/>
        <w:jc w:val="center"/>
      </w:pPr>
      <w:r w:rsidRPr="00384BCF">
        <w:rPr>
          <w:rFonts w:ascii="Times New Roman" w:hAnsi="Times New Roman" w:eastAsia="Times New Roman" w:cs="Times New Roman"/>
        </w:rPr>
        <w:t>ANNEXE</w:t>
      </w:r>
    </w:p>
    <w:p w:rsidRPr="00384BCF" w:rsidR="008007FC" w:rsidP="00384BCF" w:rsidRDefault="008007FC" w14:paraId="5EF93085" w14:textId="77777777">
      <w:pPr>
        <w:pStyle w:val="JuPara"/>
      </w:pPr>
    </w:p>
    <w:tbl>
      <w:tblPr>
        <w:tblStyle w:val="ECHRListTable"/>
        <w:tblW w:w="5000" w:type="pct"/>
        <w:tblLook w:val="0420" w:firstRow="1" w:lastRow="0" w:firstColumn="0" w:lastColumn="0" w:noHBand="0" w:noVBand="1"/>
      </w:tblPr>
      <w:tblGrid>
        <w:gridCol w:w="470"/>
        <w:gridCol w:w="2044"/>
        <w:gridCol w:w="1190"/>
        <w:gridCol w:w="1639"/>
        <w:gridCol w:w="2005"/>
      </w:tblGrid>
      <w:tr w:rsidRPr="00384BCF" w:rsidR="00227BCF" w:rsidTr="002544E7" w14:paraId="77D7F64C" w14:textId="77777777">
        <w:trPr>
          <w:cnfStyle w:val="100000000000" w:firstRow="1" w:lastRow="0" w:firstColumn="0" w:lastColumn="0" w:oddVBand="0" w:evenVBand="0" w:oddHBand="0" w:evenHBand="0" w:firstRowFirstColumn="0" w:firstRowLastColumn="0" w:lastRowFirstColumn="0" w:lastRowLastColumn="0"/>
        </w:trPr>
        <w:tc>
          <w:tcPr>
            <w:tcW w:w="320" w:type="pct"/>
          </w:tcPr>
          <w:p w:rsidRPr="00384BCF" w:rsidR="00227BCF" w:rsidP="00384BCF" w:rsidRDefault="00227BCF" w14:paraId="2C1287EE" w14:textId="77777777">
            <w:pPr>
              <w:rPr>
                <w:rFonts w:eastAsia="Times New Roman"/>
              </w:rPr>
            </w:pPr>
            <w:r w:rsidRPr="00384BCF">
              <w:rPr>
                <w:rFonts w:eastAsia="Times New Roman"/>
              </w:rPr>
              <w:t>N</w:t>
            </w:r>
            <w:r w:rsidRPr="00384BCF">
              <w:rPr>
                <w:rFonts w:eastAsia="Times New Roman"/>
                <w:vertAlign w:val="superscript"/>
              </w:rPr>
              <w:t>o</w:t>
            </w:r>
          </w:p>
        </w:tc>
        <w:tc>
          <w:tcPr>
            <w:tcW w:w="1398" w:type="pct"/>
          </w:tcPr>
          <w:p w:rsidRPr="00384BCF" w:rsidR="00227BCF" w:rsidP="00384BCF" w:rsidRDefault="00227BCF" w14:paraId="5DF58F73" w14:textId="77777777">
            <w:pPr>
              <w:rPr>
                <w:rFonts w:eastAsia="Times New Roman"/>
              </w:rPr>
            </w:pPr>
            <w:r w:rsidRPr="00384BCF">
              <w:rPr>
                <w:rFonts w:eastAsia="Times New Roman"/>
              </w:rPr>
              <w:t>Prénom NOM</w:t>
            </w:r>
          </w:p>
        </w:tc>
        <w:tc>
          <w:tcPr>
            <w:tcW w:w="786" w:type="pct"/>
          </w:tcPr>
          <w:p w:rsidRPr="00384BCF" w:rsidR="00227BCF" w:rsidP="00384BCF" w:rsidRDefault="00227BCF" w14:paraId="308D0E63" w14:textId="77777777">
            <w:pPr>
              <w:rPr>
                <w:rFonts w:eastAsia="Times New Roman"/>
              </w:rPr>
            </w:pPr>
            <w:r w:rsidRPr="00384BCF">
              <w:rPr>
                <w:rFonts w:eastAsia="Times New Roman"/>
              </w:rPr>
              <w:t>Année de naissance</w:t>
            </w:r>
          </w:p>
        </w:tc>
        <w:tc>
          <w:tcPr>
            <w:tcW w:w="1123" w:type="pct"/>
          </w:tcPr>
          <w:p w:rsidRPr="00384BCF" w:rsidR="00227BCF" w:rsidP="00384BCF" w:rsidRDefault="00227BCF" w14:paraId="2E6DBD1D" w14:textId="77777777">
            <w:pPr>
              <w:rPr>
                <w:rFonts w:eastAsia="Times New Roman"/>
              </w:rPr>
            </w:pPr>
            <w:r w:rsidRPr="00384BCF">
              <w:rPr>
                <w:rFonts w:eastAsia="Times New Roman"/>
              </w:rPr>
              <w:t>Nationalité</w:t>
            </w:r>
          </w:p>
        </w:tc>
        <w:tc>
          <w:tcPr>
            <w:tcW w:w="1372" w:type="pct"/>
          </w:tcPr>
          <w:p w:rsidRPr="00384BCF" w:rsidR="00227BCF" w:rsidP="00384BCF" w:rsidRDefault="00227BCF" w14:paraId="42FCD082" w14:textId="77777777">
            <w:pPr>
              <w:rPr>
                <w:rFonts w:eastAsia="Times New Roman"/>
              </w:rPr>
            </w:pPr>
            <w:r w:rsidRPr="00384BCF">
              <w:rPr>
                <w:rFonts w:eastAsia="Times New Roman"/>
              </w:rPr>
              <w:t>Lieu de résidence</w:t>
            </w:r>
          </w:p>
        </w:tc>
      </w:tr>
      <w:tr w:rsidRPr="00384BCF" w:rsidR="00227BCF" w:rsidTr="002544E7" w14:paraId="6C7FDA6E" w14:textId="77777777">
        <w:tc>
          <w:tcPr>
            <w:tcW w:w="320" w:type="pct"/>
          </w:tcPr>
          <w:p w:rsidRPr="00384BCF" w:rsidR="00227BCF" w:rsidP="00384BCF" w:rsidRDefault="00227BCF" w14:paraId="3310B11B" w14:textId="77777777">
            <w:pPr>
              <w:rPr>
                <w:rFonts w:eastAsia="Times New Roman"/>
              </w:rPr>
            </w:pPr>
            <w:r w:rsidRPr="00384BCF">
              <w:rPr>
                <w:rFonts w:eastAsia="Times New Roman"/>
              </w:rPr>
              <w:t>1.</w:t>
            </w:r>
          </w:p>
        </w:tc>
        <w:tc>
          <w:tcPr>
            <w:tcW w:w="1398" w:type="pct"/>
          </w:tcPr>
          <w:p w:rsidRPr="00384BCF" w:rsidR="00227BCF" w:rsidP="00384BCF" w:rsidRDefault="00227BCF" w14:paraId="22671713" w14:textId="77777777">
            <w:pPr>
              <w:rPr>
                <w:rFonts w:eastAsia="Times New Roman"/>
              </w:rPr>
            </w:pPr>
            <w:r w:rsidRPr="00384BCF">
              <w:rPr>
                <w:rFonts w:eastAsia="Times New Roman"/>
              </w:rPr>
              <w:t>R. M.</w:t>
            </w:r>
          </w:p>
        </w:tc>
        <w:tc>
          <w:tcPr>
            <w:tcW w:w="786" w:type="pct"/>
          </w:tcPr>
          <w:p w:rsidRPr="00384BCF" w:rsidR="00227BCF" w:rsidP="00384BCF" w:rsidRDefault="00227BCF" w14:paraId="67ED0B91" w14:textId="77777777">
            <w:pPr>
              <w:rPr>
                <w:rFonts w:eastAsia="Times New Roman"/>
              </w:rPr>
            </w:pPr>
            <w:r w:rsidRPr="00384BCF">
              <w:rPr>
                <w:rFonts w:eastAsia="Times New Roman"/>
              </w:rPr>
              <w:t>1987</w:t>
            </w:r>
          </w:p>
        </w:tc>
        <w:tc>
          <w:tcPr>
            <w:tcW w:w="1123" w:type="pct"/>
          </w:tcPr>
          <w:p w:rsidRPr="00384BCF" w:rsidR="00227BCF" w:rsidP="00384BCF" w:rsidRDefault="00227BCF" w14:paraId="0BE1A773" w14:textId="77777777">
            <w:pPr>
              <w:rPr>
                <w:rFonts w:eastAsia="Times New Roman"/>
              </w:rPr>
            </w:pPr>
            <w:r w:rsidRPr="00384BCF">
              <w:rPr>
                <w:rFonts w:eastAsia="Times New Roman"/>
              </w:rPr>
              <w:t>russe</w:t>
            </w:r>
          </w:p>
        </w:tc>
        <w:tc>
          <w:tcPr>
            <w:tcW w:w="1372" w:type="pct"/>
          </w:tcPr>
          <w:p w:rsidRPr="00384BCF" w:rsidR="00227BCF" w:rsidP="00384BCF" w:rsidRDefault="00227BCF" w14:paraId="6AE19E39" w14:textId="77777777">
            <w:pPr>
              <w:rPr>
                <w:rFonts w:eastAsia="Times New Roman"/>
              </w:rPr>
            </w:pPr>
            <w:r w:rsidRPr="00384BCF">
              <w:rPr>
                <w:rFonts w:eastAsia="Times New Roman"/>
              </w:rPr>
              <w:t>Kętrzyn</w:t>
            </w:r>
          </w:p>
        </w:tc>
      </w:tr>
      <w:tr w:rsidRPr="00384BCF" w:rsidR="00227BCF" w:rsidTr="002544E7" w14:paraId="2323DAE2" w14:textId="77777777">
        <w:tc>
          <w:tcPr>
            <w:tcW w:w="320" w:type="pct"/>
          </w:tcPr>
          <w:p w:rsidRPr="00384BCF" w:rsidR="00227BCF" w:rsidP="00384BCF" w:rsidRDefault="00227BCF" w14:paraId="7FEB932F" w14:textId="77777777">
            <w:pPr>
              <w:rPr>
                <w:rFonts w:eastAsia="Times New Roman"/>
              </w:rPr>
            </w:pPr>
            <w:r w:rsidRPr="00384BCF">
              <w:t>2.</w:t>
            </w:r>
          </w:p>
        </w:tc>
        <w:tc>
          <w:tcPr>
            <w:tcW w:w="1398" w:type="pct"/>
          </w:tcPr>
          <w:p w:rsidRPr="00384BCF" w:rsidR="00227BCF" w:rsidP="00384BCF" w:rsidRDefault="00227BCF" w14:paraId="0B7A8191" w14:textId="77777777">
            <w:pPr>
              <w:rPr>
                <w:rFonts w:eastAsia="Times New Roman"/>
              </w:rPr>
            </w:pPr>
            <w:r w:rsidRPr="00384BCF">
              <w:t>M. T.</w:t>
            </w:r>
          </w:p>
        </w:tc>
        <w:tc>
          <w:tcPr>
            <w:tcW w:w="786" w:type="pct"/>
          </w:tcPr>
          <w:p w:rsidRPr="00384BCF" w:rsidR="00227BCF" w:rsidP="00384BCF" w:rsidRDefault="00227BCF" w14:paraId="75C94528" w14:textId="77777777">
            <w:pPr>
              <w:rPr>
                <w:rFonts w:eastAsia="Times New Roman"/>
              </w:rPr>
            </w:pPr>
            <w:r w:rsidRPr="00384BCF">
              <w:t>2006</w:t>
            </w:r>
          </w:p>
        </w:tc>
        <w:tc>
          <w:tcPr>
            <w:tcW w:w="1123" w:type="pct"/>
          </w:tcPr>
          <w:p w:rsidRPr="00384BCF" w:rsidR="00227BCF" w:rsidP="00384BCF" w:rsidRDefault="00227BCF" w14:paraId="456EF330" w14:textId="77777777">
            <w:pPr>
              <w:rPr>
                <w:rFonts w:eastAsia="Times New Roman"/>
              </w:rPr>
            </w:pPr>
            <w:r w:rsidRPr="00384BCF">
              <w:t>russe</w:t>
            </w:r>
          </w:p>
        </w:tc>
        <w:tc>
          <w:tcPr>
            <w:tcW w:w="1372" w:type="pct"/>
          </w:tcPr>
          <w:p w:rsidRPr="00384BCF" w:rsidR="00227BCF" w:rsidP="00384BCF" w:rsidRDefault="00227BCF" w14:paraId="4C744264" w14:textId="77777777">
            <w:pPr>
              <w:rPr>
                <w:rFonts w:eastAsia="Times New Roman"/>
              </w:rPr>
            </w:pPr>
            <w:r w:rsidRPr="00384BCF">
              <w:t>Kętrzyn</w:t>
            </w:r>
          </w:p>
        </w:tc>
      </w:tr>
      <w:tr w:rsidRPr="00384BCF" w:rsidR="00227BCF" w:rsidTr="002544E7" w14:paraId="5E696246" w14:textId="77777777">
        <w:tc>
          <w:tcPr>
            <w:tcW w:w="320" w:type="pct"/>
          </w:tcPr>
          <w:p w:rsidRPr="00384BCF" w:rsidR="00227BCF" w:rsidP="00384BCF" w:rsidRDefault="00227BCF" w14:paraId="3190E0CD" w14:textId="77777777">
            <w:pPr>
              <w:rPr>
                <w:rFonts w:eastAsia="Times New Roman"/>
              </w:rPr>
            </w:pPr>
            <w:r w:rsidRPr="00384BCF">
              <w:rPr>
                <w:rFonts w:eastAsia="Times New Roman"/>
              </w:rPr>
              <w:t>3.</w:t>
            </w:r>
          </w:p>
        </w:tc>
        <w:tc>
          <w:tcPr>
            <w:tcW w:w="1398" w:type="pct"/>
          </w:tcPr>
          <w:p w:rsidRPr="00384BCF" w:rsidR="00227BCF" w:rsidP="00384BCF" w:rsidRDefault="00227BCF" w14:paraId="1E0CE401" w14:textId="77777777">
            <w:pPr>
              <w:rPr>
                <w:rFonts w:eastAsia="Times New Roman"/>
              </w:rPr>
            </w:pPr>
            <w:r w:rsidRPr="00384BCF">
              <w:rPr>
                <w:rFonts w:eastAsia="Times New Roman"/>
              </w:rPr>
              <w:t>D. T.</w:t>
            </w:r>
          </w:p>
        </w:tc>
        <w:tc>
          <w:tcPr>
            <w:tcW w:w="786" w:type="pct"/>
          </w:tcPr>
          <w:p w:rsidRPr="00384BCF" w:rsidR="00227BCF" w:rsidP="00384BCF" w:rsidRDefault="00227BCF" w14:paraId="6F93B16F" w14:textId="77777777">
            <w:pPr>
              <w:rPr>
                <w:rFonts w:eastAsia="Times New Roman"/>
              </w:rPr>
            </w:pPr>
            <w:r w:rsidRPr="00384BCF">
              <w:rPr>
                <w:rFonts w:eastAsia="Times New Roman"/>
              </w:rPr>
              <w:t>2014</w:t>
            </w:r>
          </w:p>
        </w:tc>
        <w:tc>
          <w:tcPr>
            <w:tcW w:w="1123" w:type="pct"/>
          </w:tcPr>
          <w:p w:rsidRPr="00384BCF" w:rsidR="00227BCF" w:rsidP="00384BCF" w:rsidRDefault="00227BCF" w14:paraId="100ADC93" w14:textId="77777777">
            <w:pPr>
              <w:rPr>
                <w:rFonts w:eastAsia="Times New Roman"/>
              </w:rPr>
            </w:pPr>
            <w:r w:rsidRPr="00384BCF">
              <w:rPr>
                <w:rFonts w:eastAsia="Times New Roman"/>
              </w:rPr>
              <w:t>russe</w:t>
            </w:r>
          </w:p>
        </w:tc>
        <w:tc>
          <w:tcPr>
            <w:tcW w:w="1372" w:type="pct"/>
          </w:tcPr>
          <w:p w:rsidRPr="00384BCF" w:rsidR="00227BCF" w:rsidP="00384BCF" w:rsidRDefault="00227BCF" w14:paraId="0BBCA096" w14:textId="77777777">
            <w:pPr>
              <w:rPr>
                <w:rFonts w:eastAsia="Times New Roman"/>
              </w:rPr>
            </w:pPr>
            <w:r w:rsidRPr="00384BCF">
              <w:rPr>
                <w:rFonts w:eastAsia="Times New Roman"/>
              </w:rPr>
              <w:t>Kętrzyn</w:t>
            </w:r>
          </w:p>
        </w:tc>
      </w:tr>
      <w:tr w:rsidRPr="00384BCF" w:rsidR="00227BCF" w:rsidTr="002544E7" w14:paraId="4E8AF936" w14:textId="77777777">
        <w:tc>
          <w:tcPr>
            <w:tcW w:w="320" w:type="pct"/>
          </w:tcPr>
          <w:p w:rsidRPr="00384BCF" w:rsidR="00227BCF" w:rsidP="00384BCF" w:rsidRDefault="00227BCF" w14:paraId="0BEBF1B9" w14:textId="77777777">
            <w:pPr>
              <w:rPr>
                <w:rFonts w:eastAsia="Times New Roman"/>
              </w:rPr>
            </w:pPr>
            <w:r w:rsidRPr="00384BCF">
              <w:rPr>
                <w:rFonts w:eastAsia="Times New Roman"/>
              </w:rPr>
              <w:t>4.</w:t>
            </w:r>
          </w:p>
        </w:tc>
        <w:tc>
          <w:tcPr>
            <w:tcW w:w="1398" w:type="pct"/>
          </w:tcPr>
          <w:p w:rsidRPr="00384BCF" w:rsidR="00227BCF" w:rsidP="00384BCF" w:rsidRDefault="00227BCF" w14:paraId="75A4F4F6" w14:textId="77777777">
            <w:pPr>
              <w:rPr>
                <w:rFonts w:eastAsia="Times New Roman"/>
              </w:rPr>
            </w:pPr>
            <w:r w:rsidRPr="00384BCF">
              <w:rPr>
                <w:rFonts w:eastAsia="Times New Roman"/>
              </w:rPr>
              <w:t>I. T.</w:t>
            </w:r>
          </w:p>
        </w:tc>
        <w:tc>
          <w:tcPr>
            <w:tcW w:w="786" w:type="pct"/>
          </w:tcPr>
          <w:p w:rsidRPr="00384BCF" w:rsidR="00227BCF" w:rsidP="00384BCF" w:rsidRDefault="00227BCF" w14:paraId="54566865" w14:textId="77777777">
            <w:pPr>
              <w:rPr>
                <w:rFonts w:eastAsia="Times New Roman"/>
              </w:rPr>
            </w:pPr>
            <w:r w:rsidRPr="00384BCF">
              <w:rPr>
                <w:rFonts w:eastAsia="Times New Roman"/>
              </w:rPr>
              <w:t>2014</w:t>
            </w:r>
          </w:p>
        </w:tc>
        <w:tc>
          <w:tcPr>
            <w:tcW w:w="1123" w:type="pct"/>
          </w:tcPr>
          <w:p w:rsidRPr="00384BCF" w:rsidR="00227BCF" w:rsidP="00384BCF" w:rsidRDefault="00227BCF" w14:paraId="11EFBB3E" w14:textId="77777777">
            <w:pPr>
              <w:rPr>
                <w:rFonts w:eastAsia="Times New Roman"/>
              </w:rPr>
            </w:pPr>
            <w:r w:rsidRPr="00384BCF">
              <w:rPr>
                <w:rFonts w:eastAsia="Times New Roman"/>
              </w:rPr>
              <w:t>russe</w:t>
            </w:r>
          </w:p>
        </w:tc>
        <w:tc>
          <w:tcPr>
            <w:tcW w:w="1372" w:type="pct"/>
          </w:tcPr>
          <w:p w:rsidRPr="00384BCF" w:rsidR="00227BCF" w:rsidP="00384BCF" w:rsidRDefault="00227BCF" w14:paraId="34EEF71E" w14:textId="77777777">
            <w:pPr>
              <w:rPr>
                <w:rFonts w:eastAsia="Times New Roman"/>
              </w:rPr>
            </w:pPr>
            <w:r w:rsidRPr="00384BCF">
              <w:rPr>
                <w:rFonts w:eastAsia="Times New Roman"/>
              </w:rPr>
              <w:t>Kętrzyn</w:t>
            </w:r>
          </w:p>
        </w:tc>
      </w:tr>
    </w:tbl>
    <w:p w:rsidRPr="00384BCF" w:rsidR="00876F03" w:rsidP="00384BCF" w:rsidRDefault="00876F03" w14:paraId="77ADE1EC" w14:textId="4487791D"/>
    <w:sectPr w:rsidRPr="00384BCF" w:rsidR="00876F03">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432EF" w14:textId="77777777" w:rsidR="00227BCF" w:rsidRPr="00227BCF" w:rsidRDefault="00227BCF" w:rsidP="00516B59">
      <w:r w:rsidRPr="00227BCF">
        <w:separator/>
      </w:r>
    </w:p>
  </w:endnote>
  <w:endnote w:type="continuationSeparator" w:id="0">
    <w:p w14:paraId="781818AB" w14:textId="77777777" w:rsidR="00227BCF" w:rsidRPr="00227BCF" w:rsidRDefault="00227BCF" w:rsidP="00516B59">
      <w:r w:rsidRPr="00227BC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798D2" w14:textId="7D5A065A" w:rsidR="00954AD6" w:rsidRPr="00227BCF" w:rsidRDefault="00227BCF"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64362" w14:textId="7F467223" w:rsidR="00227BCF" w:rsidRPr="00150BFA" w:rsidRDefault="00227BCF" w:rsidP="0020718E">
    <w:pPr>
      <w:jc w:val="center"/>
    </w:pPr>
    <w:r>
      <w:rPr>
        <w:noProof/>
        <w:lang w:val="en-US" w:eastAsia="ja-JP"/>
      </w:rPr>
      <w:drawing>
        <wp:inline distT="0" distB="0" distL="0" distR="0" wp14:anchorId="5B67153A" wp14:editId="1CA642F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6CF1822" w14:textId="3164B37C" w:rsidR="00F22D5C" w:rsidRPr="00227BCF" w:rsidRDefault="00D86348"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4D8C4" w14:textId="2A00FE51" w:rsidR="00227BCF" w:rsidRPr="00150BFA" w:rsidRDefault="00227BCF" w:rsidP="0020718E">
    <w:pPr>
      <w:jc w:val="center"/>
    </w:pPr>
    <w:r>
      <w:rPr>
        <w:noProof/>
        <w:lang w:val="en-US" w:eastAsia="ja-JP"/>
      </w:rPr>
      <w:drawing>
        <wp:inline distT="0" distB="0" distL="0" distR="0" wp14:anchorId="0AF4D51D" wp14:editId="6DA06584">
          <wp:extent cx="771525" cy="619125"/>
          <wp:effectExtent l="0" t="0" r="9525" b="9525"/>
          <wp:docPr id="79" name="Picture 7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7214A8" w14:textId="3D636AB2" w:rsidR="00902601" w:rsidRPr="00227BCF" w:rsidRDefault="00902601"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92F9C" w14:textId="6C33A23C" w:rsidR="00F22D5C" w:rsidRPr="00D01935" w:rsidRDefault="00227BCF" w:rsidP="00662882">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A1D8F" w14:textId="77777777" w:rsidR="00227BCF" w:rsidRPr="00227BCF" w:rsidRDefault="00227BCF" w:rsidP="00516B59">
      <w:r w:rsidRPr="00227BCF">
        <w:separator/>
      </w:r>
    </w:p>
  </w:footnote>
  <w:footnote w:type="continuationSeparator" w:id="0">
    <w:p w14:paraId="345A4382" w14:textId="77777777" w:rsidR="00227BCF" w:rsidRPr="00227BCF" w:rsidRDefault="00227BCF" w:rsidP="00516B59">
      <w:r w:rsidRPr="00227BC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3DB84" w14:textId="77777777" w:rsidR="00227BCF" w:rsidRDefault="00227B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28EB9" w14:textId="6D4232AA" w:rsidR="00227BCF" w:rsidRPr="00A45145" w:rsidRDefault="00227BCF" w:rsidP="00A45145">
    <w:pPr>
      <w:jc w:val="center"/>
    </w:pPr>
    <w:r>
      <w:rPr>
        <w:noProof/>
        <w:lang w:val="en-US" w:eastAsia="ja-JP"/>
      </w:rPr>
      <w:drawing>
        <wp:inline distT="0" distB="0" distL="0" distR="0" wp14:anchorId="61CC8825" wp14:editId="7E8FECAC">
          <wp:extent cx="2962275" cy="1219200"/>
          <wp:effectExtent l="0" t="0" r="9525" b="0"/>
          <wp:docPr id="81" name="Picture 8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6DEA1E8" w14:textId="72777EA3" w:rsidR="00F22D5C" w:rsidRPr="00227BCF" w:rsidRDefault="00D86348" w:rsidP="009840A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3B7EE" w14:textId="5065C86E" w:rsidR="00227BCF" w:rsidRPr="00A45145" w:rsidRDefault="00227BCF" w:rsidP="00A45145">
    <w:pPr>
      <w:jc w:val="center"/>
    </w:pPr>
    <w:r>
      <w:rPr>
        <w:noProof/>
        <w:lang w:val="en-US" w:eastAsia="ja-JP"/>
      </w:rPr>
      <w:drawing>
        <wp:inline distT="0" distB="0" distL="0" distR="0" wp14:anchorId="26BA071C" wp14:editId="49AF9630">
          <wp:extent cx="2962275" cy="1219200"/>
          <wp:effectExtent l="0" t="0" r="9525" b="0"/>
          <wp:docPr id="71" name="Picture 7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10E592D" w14:textId="7021812F" w:rsidR="00902601" w:rsidRPr="00227BCF" w:rsidRDefault="00902601" w:rsidP="00902601">
    <w:pPr>
      <w:jc w:val="center"/>
      <w:rPr>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70AAD" w14:textId="4C4F368B" w:rsidR="00F22D5C" w:rsidRPr="00C30C22" w:rsidRDefault="00A21624" w:rsidP="00A21624">
    <w:pPr>
      <w:pStyle w:val="JuHeader"/>
    </w:pPr>
    <w:r w:rsidRPr="00C30C22">
      <w:t>ARRÊT</w:t>
    </w:r>
    <w:r w:rsidR="00256F45" w:rsidRPr="00C30C22">
      <w:t xml:space="preserve"> </w:t>
    </w:r>
    <w:r w:rsidR="00227BCF" w:rsidRPr="00C30C22">
      <w:t>R.M. ET AUTRES c. POLOGNE</w:t>
    </w:r>
    <w:r w:rsidR="00227BCF" w:rsidRPr="00C30C22">
      <w:rPr>
        <w:noProof/>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BF587" w14:textId="59F5A0CA" w:rsidR="00F22D5C" w:rsidRPr="00662882" w:rsidRDefault="00256F45" w:rsidP="00662882">
    <w:pPr>
      <w:pStyle w:val="JuHeader"/>
    </w:pPr>
    <w:r w:rsidRPr="00C30C22">
      <w:t>ARRÊT</w:t>
    </w:r>
    <w:r w:rsidR="00162967" w:rsidRPr="00C30C22">
      <w:t xml:space="preserve"> </w:t>
    </w:r>
    <w:r w:rsidR="00227BCF" w:rsidRPr="00C30C22">
      <w:t>R.M. ET AUTRES c. POLOGNE</w:t>
    </w:r>
    <w:r w:rsidR="007971FF" w:rsidRPr="00C30C22">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13"/>
  </w:num>
  <w:num w:numId="3">
    <w:abstractNumId w:val="11"/>
  </w:num>
  <w:num w:numId="4">
    <w:abstractNumId w:val="10"/>
  </w:num>
  <w:num w:numId="5">
    <w:abstractNumId w:val="16"/>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9"/>
  </w:num>
  <w:num w:numId="16">
    <w:abstractNumId w:val="14"/>
  </w:num>
  <w:num w:numId="17">
    <w:abstractNumId w:val="12"/>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1"/>
    <w:docVar w:name="DocVarPREMATURE" w:val="0"/>
    <w:docVar w:name="EMM" w:val="0"/>
    <w:docVar w:name="ETRANSMISSION" w:val="PAR VOIE ÈLECTRONIQUE UNIQUEMENT"/>
    <w:docVar w:name="L4_1Annex" w:val="0"/>
    <w:docVar w:name="L4_1Anonymity" w:val="1"/>
    <w:docVar w:name="L4_1AppNatList" w:val="russe"/>
    <w:docVar w:name="NBEMMDOC" w:val="0"/>
    <w:docVar w:name="P3" w:val="P3"/>
    <w:docVar w:name="Plural" w:val="0"/>
    <w:docVar w:name="SignForeName" w:val="0"/>
    <w:docVar w:name="SndCaseNumber" w:val="Error!Nodocumentvariablesupplied."/>
  </w:docVars>
  <w:rsids>
    <w:rsidRoot w:val="00227BCF"/>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065"/>
    <w:rsid w:val="00061B05"/>
    <w:rsid w:val="000632D5"/>
    <w:rsid w:val="000644EE"/>
    <w:rsid w:val="000675A9"/>
    <w:rsid w:val="00080ECE"/>
    <w:rsid w:val="00086E4E"/>
    <w:rsid w:val="0009057B"/>
    <w:rsid w:val="000925AD"/>
    <w:rsid w:val="000A20EB"/>
    <w:rsid w:val="000A24EB"/>
    <w:rsid w:val="000A7A31"/>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582F"/>
    <w:rsid w:val="00166530"/>
    <w:rsid w:val="00180EBE"/>
    <w:rsid w:val="00181508"/>
    <w:rsid w:val="001832BD"/>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27BCF"/>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50BE"/>
    <w:rsid w:val="00384BCF"/>
    <w:rsid w:val="00387B9D"/>
    <w:rsid w:val="0039364F"/>
    <w:rsid w:val="00396686"/>
    <w:rsid w:val="0039778E"/>
    <w:rsid w:val="003A37B8"/>
    <w:rsid w:val="003B4941"/>
    <w:rsid w:val="003B6A2E"/>
    <w:rsid w:val="003C5714"/>
    <w:rsid w:val="003C6B9F"/>
    <w:rsid w:val="003C6E2A"/>
    <w:rsid w:val="003D0299"/>
    <w:rsid w:val="003D32BE"/>
    <w:rsid w:val="003E3FE3"/>
    <w:rsid w:val="003E5DFE"/>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589D"/>
    <w:rsid w:val="00496197"/>
    <w:rsid w:val="00496BFB"/>
    <w:rsid w:val="004A15C7"/>
    <w:rsid w:val="004B013B"/>
    <w:rsid w:val="004B112B"/>
    <w:rsid w:val="004C01E4"/>
    <w:rsid w:val="004C086C"/>
    <w:rsid w:val="004C14C4"/>
    <w:rsid w:val="004C1A3F"/>
    <w:rsid w:val="004C1F56"/>
    <w:rsid w:val="004C27BC"/>
    <w:rsid w:val="004D15F3"/>
    <w:rsid w:val="004D5311"/>
    <w:rsid w:val="004D5DCC"/>
    <w:rsid w:val="004E22F1"/>
    <w:rsid w:val="004F10AF"/>
    <w:rsid w:val="004F11A4"/>
    <w:rsid w:val="004F2389"/>
    <w:rsid w:val="004F304D"/>
    <w:rsid w:val="004F61BE"/>
    <w:rsid w:val="004F66B1"/>
    <w:rsid w:val="00501056"/>
    <w:rsid w:val="00502B09"/>
    <w:rsid w:val="00510D77"/>
    <w:rsid w:val="00511C07"/>
    <w:rsid w:val="00516B59"/>
    <w:rsid w:val="005173A6"/>
    <w:rsid w:val="00520539"/>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3D35"/>
    <w:rsid w:val="006F48CA"/>
    <w:rsid w:val="006F64DD"/>
    <w:rsid w:val="0070547A"/>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5238D"/>
    <w:rsid w:val="007531EE"/>
    <w:rsid w:val="007612E2"/>
    <w:rsid w:val="00764D4E"/>
    <w:rsid w:val="00765A1F"/>
    <w:rsid w:val="0076687F"/>
    <w:rsid w:val="007720D6"/>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07FC"/>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360D"/>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6482"/>
    <w:rsid w:val="00977227"/>
    <w:rsid w:val="0098228B"/>
    <w:rsid w:val="009828DA"/>
    <w:rsid w:val="00985BAB"/>
    <w:rsid w:val="009B1B5F"/>
    <w:rsid w:val="009B6673"/>
    <w:rsid w:val="009C191B"/>
    <w:rsid w:val="009C2BD6"/>
    <w:rsid w:val="009D2F52"/>
    <w:rsid w:val="009E16D2"/>
    <w:rsid w:val="009E1F32"/>
    <w:rsid w:val="009E776C"/>
    <w:rsid w:val="009F128A"/>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67DB"/>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0C22"/>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1CB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35B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48E4"/>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04E5"/>
    <w:rsid w:val="00FC18F2"/>
    <w:rsid w:val="00FC39E5"/>
    <w:rsid w:val="00FC3A78"/>
    <w:rsid w:val="00FD1005"/>
    <w:rsid w:val="00FD61AA"/>
    <w:rsid w:val="00FD6C75"/>
    <w:rsid w:val="00FD7649"/>
    <w:rsid w:val="00FE4262"/>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1765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84BCF"/>
    <w:rPr>
      <w:sz w:val="24"/>
      <w:szCs w:val="24"/>
      <w:lang w:val="fr-FR"/>
    </w:rPr>
  </w:style>
  <w:style w:type="paragraph" w:styleId="Heading1">
    <w:name w:val="heading 1"/>
    <w:basedOn w:val="Normal"/>
    <w:next w:val="Normal"/>
    <w:link w:val="Heading1Char"/>
    <w:uiPriority w:val="98"/>
    <w:semiHidden/>
    <w:rsid w:val="00384BC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84BC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84BC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84BC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84BC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84BC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84BC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84BC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84BC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84BCF"/>
    <w:rPr>
      <w:rFonts w:ascii="Tahoma" w:hAnsi="Tahoma" w:cs="Tahoma"/>
      <w:sz w:val="16"/>
      <w:szCs w:val="16"/>
    </w:rPr>
  </w:style>
  <w:style w:type="character" w:customStyle="1" w:styleId="BalloonTextChar">
    <w:name w:val="Balloon Text Char"/>
    <w:basedOn w:val="DefaultParagraphFont"/>
    <w:link w:val="BalloonText"/>
    <w:uiPriority w:val="98"/>
    <w:semiHidden/>
    <w:rsid w:val="00384BCF"/>
    <w:rPr>
      <w:rFonts w:ascii="Tahoma" w:hAnsi="Tahoma" w:cs="Tahoma"/>
      <w:sz w:val="16"/>
      <w:szCs w:val="16"/>
      <w:lang w:val="fr-FR"/>
    </w:rPr>
  </w:style>
  <w:style w:type="character" w:styleId="BookTitle">
    <w:name w:val="Book Title"/>
    <w:uiPriority w:val="98"/>
    <w:semiHidden/>
    <w:qFormat/>
    <w:rsid w:val="00384BCF"/>
    <w:rPr>
      <w:i/>
      <w:iCs/>
      <w:smallCaps/>
      <w:spacing w:val="5"/>
    </w:rPr>
  </w:style>
  <w:style w:type="paragraph" w:customStyle="1" w:styleId="JuHeader">
    <w:name w:val="Ju_Header"/>
    <w:aliases w:val="_Header"/>
    <w:basedOn w:val="Header"/>
    <w:uiPriority w:val="29"/>
    <w:qFormat/>
    <w:rsid w:val="00384BCF"/>
    <w:pPr>
      <w:tabs>
        <w:tab w:val="clear" w:pos="4536"/>
        <w:tab w:val="clear" w:pos="9072"/>
      </w:tabs>
      <w:jc w:val="center"/>
    </w:pPr>
    <w:rPr>
      <w:sz w:val="18"/>
    </w:rPr>
  </w:style>
  <w:style w:type="character" w:styleId="Strong">
    <w:name w:val="Strong"/>
    <w:uiPriority w:val="98"/>
    <w:semiHidden/>
    <w:qFormat/>
    <w:rsid w:val="00384BCF"/>
    <w:rPr>
      <w:b/>
      <w:bCs/>
    </w:rPr>
  </w:style>
  <w:style w:type="paragraph" w:styleId="NoSpacing">
    <w:name w:val="No Spacing"/>
    <w:basedOn w:val="Normal"/>
    <w:link w:val="NoSpacingChar"/>
    <w:uiPriority w:val="98"/>
    <w:semiHidden/>
    <w:qFormat/>
    <w:rsid w:val="00384BCF"/>
  </w:style>
  <w:style w:type="character" w:customStyle="1" w:styleId="NoSpacingChar">
    <w:name w:val="No Spacing Char"/>
    <w:basedOn w:val="DefaultParagraphFont"/>
    <w:link w:val="NoSpacing"/>
    <w:uiPriority w:val="98"/>
    <w:semiHidden/>
    <w:rsid w:val="00384BCF"/>
    <w:rPr>
      <w:sz w:val="24"/>
      <w:szCs w:val="24"/>
      <w:lang w:val="fr-FR"/>
    </w:rPr>
  </w:style>
  <w:style w:type="paragraph" w:customStyle="1" w:styleId="JuQuot">
    <w:name w:val="Ju_Quot"/>
    <w:aliases w:val="_Quote"/>
    <w:basedOn w:val="NormalJustified"/>
    <w:uiPriority w:val="20"/>
    <w:qFormat/>
    <w:rsid w:val="00384BCF"/>
    <w:pPr>
      <w:spacing w:before="120" w:after="120"/>
      <w:ind w:left="425" w:firstLine="142"/>
    </w:pPr>
    <w:rPr>
      <w:sz w:val="20"/>
    </w:rPr>
  </w:style>
  <w:style w:type="paragraph" w:customStyle="1" w:styleId="JuList">
    <w:name w:val="Ju_List"/>
    <w:aliases w:val="_List_1"/>
    <w:basedOn w:val="NormalJustified"/>
    <w:uiPriority w:val="23"/>
    <w:qFormat/>
    <w:rsid w:val="00384BCF"/>
    <w:pPr>
      <w:numPr>
        <w:numId w:val="17"/>
      </w:numPr>
      <w:spacing w:before="280" w:after="60"/>
    </w:pPr>
  </w:style>
  <w:style w:type="paragraph" w:customStyle="1" w:styleId="JuLista">
    <w:name w:val="Ju_List_a"/>
    <w:aliases w:val="_List_2"/>
    <w:basedOn w:val="NormalJustified"/>
    <w:uiPriority w:val="23"/>
    <w:rsid w:val="00384BCF"/>
    <w:pPr>
      <w:numPr>
        <w:ilvl w:val="1"/>
        <w:numId w:val="17"/>
      </w:numPr>
    </w:pPr>
  </w:style>
  <w:style w:type="paragraph" w:customStyle="1" w:styleId="JuListi">
    <w:name w:val="Ju_List_i"/>
    <w:aliases w:val="_List_3"/>
    <w:basedOn w:val="NormalJustified"/>
    <w:uiPriority w:val="23"/>
    <w:rsid w:val="00384BCF"/>
    <w:pPr>
      <w:numPr>
        <w:ilvl w:val="2"/>
        <w:numId w:val="17"/>
      </w:numPr>
    </w:pPr>
  </w:style>
  <w:style w:type="paragraph" w:customStyle="1" w:styleId="DecHTitle">
    <w:name w:val="Dec_H_Title"/>
    <w:aliases w:val="_Title_1"/>
    <w:basedOn w:val="JuPara"/>
    <w:next w:val="JuPara"/>
    <w:uiPriority w:val="38"/>
    <w:qFormat/>
    <w:rsid w:val="00384BCF"/>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384BCF"/>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384BCF"/>
    <w:pPr>
      <w:keepNext/>
      <w:keepLines/>
      <w:tabs>
        <w:tab w:val="right" w:pos="7938"/>
      </w:tabs>
      <w:ind w:firstLine="0"/>
      <w:jc w:val="center"/>
    </w:pPr>
    <w:rPr>
      <w:i/>
    </w:rPr>
  </w:style>
  <w:style w:type="numbering" w:customStyle="1" w:styleId="ECHRA1StyleBulletedSquare">
    <w:name w:val="ECHR_A1_Style_Bulleted_Square"/>
    <w:basedOn w:val="NoList"/>
    <w:rsid w:val="00384BCF"/>
    <w:pPr>
      <w:numPr>
        <w:numId w:val="16"/>
      </w:numPr>
    </w:pPr>
  </w:style>
  <w:style w:type="paragraph" w:customStyle="1" w:styleId="JuHHead">
    <w:name w:val="Ju_H_Head"/>
    <w:aliases w:val="_Head_1"/>
    <w:basedOn w:val="Heading1"/>
    <w:next w:val="JuPara"/>
    <w:uiPriority w:val="17"/>
    <w:qFormat/>
    <w:rsid w:val="00384BCF"/>
    <w:pPr>
      <w:keepNext/>
      <w:keepLines/>
      <w:numPr>
        <w:numId w:val="15"/>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384BCF"/>
    <w:pPr>
      <w:numPr>
        <w:numId w:val="1"/>
      </w:numPr>
    </w:pPr>
  </w:style>
  <w:style w:type="paragraph" w:customStyle="1" w:styleId="JuSigned">
    <w:name w:val="Ju_Signed"/>
    <w:aliases w:val="_Signature"/>
    <w:basedOn w:val="Normal"/>
    <w:next w:val="JuPara"/>
    <w:uiPriority w:val="31"/>
    <w:qFormat/>
    <w:rsid w:val="00384BCF"/>
    <w:pPr>
      <w:tabs>
        <w:tab w:val="center" w:pos="1418"/>
        <w:tab w:val="center" w:pos="5954"/>
      </w:tabs>
      <w:spacing w:before="720"/>
    </w:pPr>
  </w:style>
  <w:style w:type="paragraph" w:styleId="Title">
    <w:name w:val="Title"/>
    <w:basedOn w:val="Normal"/>
    <w:next w:val="Normal"/>
    <w:link w:val="TitleChar"/>
    <w:uiPriority w:val="98"/>
    <w:semiHidden/>
    <w:qFormat/>
    <w:rsid w:val="00384BC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84BCF"/>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384BCF"/>
    <w:pPr>
      <w:numPr>
        <w:numId w:val="18"/>
      </w:numPr>
    </w:pPr>
  </w:style>
  <w:style w:type="table" w:customStyle="1" w:styleId="ECHRTable2019">
    <w:name w:val="ECHR_Table_2019"/>
    <w:basedOn w:val="TableNormal"/>
    <w:uiPriority w:val="99"/>
    <w:rsid w:val="00384BC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384BCF"/>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384BCF"/>
    <w:pPr>
      <w:tabs>
        <w:tab w:val="center" w:pos="6407"/>
      </w:tabs>
      <w:spacing w:before="720"/>
      <w:jc w:val="right"/>
    </w:pPr>
  </w:style>
  <w:style w:type="paragraph" w:customStyle="1" w:styleId="JuHIRoman">
    <w:name w:val="Ju_H_I_Roman"/>
    <w:aliases w:val="_Head_2"/>
    <w:basedOn w:val="Heading2"/>
    <w:next w:val="JuPara"/>
    <w:uiPriority w:val="17"/>
    <w:qFormat/>
    <w:rsid w:val="00384BCF"/>
    <w:pPr>
      <w:keepNext/>
      <w:keepLines/>
      <w:numPr>
        <w:ilvl w:val="1"/>
        <w:numId w:val="15"/>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84BCF"/>
    <w:pPr>
      <w:keepNext/>
      <w:keepLines/>
      <w:numPr>
        <w:ilvl w:val="2"/>
        <w:numId w:val="15"/>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84BCF"/>
    <w:pPr>
      <w:keepNext/>
      <w:keepLines/>
      <w:numPr>
        <w:ilvl w:val="3"/>
        <w:numId w:val="15"/>
      </w:numPr>
      <w:spacing w:before="100" w:beforeAutospacing="1" w:after="120"/>
      <w:jc w:val="both"/>
    </w:pPr>
    <w:rPr>
      <w:b w:val="0"/>
      <w:color w:val="auto"/>
      <w:sz w:val="24"/>
    </w:rPr>
  </w:style>
  <w:style w:type="paragraph" w:styleId="Header">
    <w:name w:val="header"/>
    <w:basedOn w:val="Normal"/>
    <w:link w:val="HeaderChar"/>
    <w:uiPriority w:val="98"/>
    <w:semiHidden/>
    <w:rsid w:val="00384BCF"/>
    <w:pPr>
      <w:tabs>
        <w:tab w:val="center" w:pos="4536"/>
        <w:tab w:val="right" w:pos="9072"/>
      </w:tabs>
    </w:pPr>
  </w:style>
  <w:style w:type="character" w:customStyle="1" w:styleId="HeaderChar">
    <w:name w:val="Header Char"/>
    <w:basedOn w:val="DefaultParagraphFont"/>
    <w:link w:val="Header"/>
    <w:uiPriority w:val="98"/>
    <w:semiHidden/>
    <w:rsid w:val="00384BCF"/>
    <w:rPr>
      <w:sz w:val="24"/>
      <w:szCs w:val="24"/>
      <w:lang w:val="fr-FR"/>
    </w:rPr>
  </w:style>
  <w:style w:type="character" w:customStyle="1" w:styleId="Heading1Char">
    <w:name w:val="Heading 1 Char"/>
    <w:basedOn w:val="DefaultParagraphFont"/>
    <w:link w:val="Heading1"/>
    <w:uiPriority w:val="98"/>
    <w:semiHidden/>
    <w:rsid w:val="00384BCF"/>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384BCF"/>
    <w:pPr>
      <w:keepNext/>
      <w:keepLines/>
      <w:numPr>
        <w:ilvl w:val="4"/>
        <w:numId w:val="15"/>
      </w:numPr>
      <w:spacing w:before="100" w:beforeAutospacing="1" w:after="120"/>
      <w:jc w:val="both"/>
    </w:pPr>
    <w:rPr>
      <w:color w:val="auto"/>
      <w:sz w:val="20"/>
    </w:rPr>
  </w:style>
  <w:style w:type="paragraph" w:customStyle="1" w:styleId="JuHi">
    <w:name w:val="Ju_H_i"/>
    <w:aliases w:val="_Head_6"/>
    <w:basedOn w:val="Heading6"/>
    <w:next w:val="JuPara"/>
    <w:uiPriority w:val="17"/>
    <w:rsid w:val="00384BCF"/>
    <w:pPr>
      <w:keepNext/>
      <w:keepLines/>
      <w:numPr>
        <w:ilvl w:val="5"/>
        <w:numId w:val="15"/>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84BCF"/>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384BCF"/>
    <w:pPr>
      <w:keepNext/>
      <w:keepLines/>
      <w:numPr>
        <w:ilvl w:val="6"/>
        <w:numId w:val="15"/>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84BCF"/>
    <w:pPr>
      <w:keepNext/>
      <w:keepLines/>
      <w:numPr>
        <w:ilvl w:val="7"/>
        <w:numId w:val="15"/>
      </w:numPr>
      <w:spacing w:before="100" w:beforeAutospacing="1" w:after="120"/>
      <w:jc w:val="both"/>
    </w:pPr>
    <w:rPr>
      <w:i/>
    </w:rPr>
  </w:style>
  <w:style w:type="character" w:customStyle="1" w:styleId="Heading3Char">
    <w:name w:val="Heading 3 Char"/>
    <w:basedOn w:val="DefaultParagraphFont"/>
    <w:link w:val="Heading3"/>
    <w:uiPriority w:val="98"/>
    <w:semiHidden/>
    <w:rsid w:val="00384BCF"/>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384BCF"/>
    <w:pPr>
      <w:keepNext/>
      <w:keepLines/>
      <w:spacing w:before="240" w:after="240"/>
      <w:ind w:firstLine="284"/>
    </w:pPr>
  </w:style>
  <w:style w:type="paragraph" w:customStyle="1" w:styleId="JuJudges">
    <w:name w:val="Ju_Judges"/>
    <w:aliases w:val="_Judges"/>
    <w:basedOn w:val="Normal"/>
    <w:uiPriority w:val="32"/>
    <w:qFormat/>
    <w:rsid w:val="00384BCF"/>
    <w:pPr>
      <w:tabs>
        <w:tab w:val="left" w:pos="567"/>
        <w:tab w:val="left" w:pos="1134"/>
      </w:tabs>
    </w:pPr>
  </w:style>
  <w:style w:type="character" w:customStyle="1" w:styleId="Heading4Char">
    <w:name w:val="Heading 4 Char"/>
    <w:basedOn w:val="DefaultParagraphFont"/>
    <w:link w:val="Heading4"/>
    <w:uiPriority w:val="98"/>
    <w:semiHidden/>
    <w:rsid w:val="00384BCF"/>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384BCF"/>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384BCF"/>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384BCF"/>
    <w:rPr>
      <w:caps w:val="0"/>
      <w:smallCaps/>
    </w:rPr>
  </w:style>
  <w:style w:type="paragraph" w:customStyle="1" w:styleId="NormalJustified">
    <w:name w:val="Normal_Justified"/>
    <w:basedOn w:val="Normal"/>
    <w:semiHidden/>
    <w:rsid w:val="00384BCF"/>
    <w:pPr>
      <w:jc w:val="both"/>
    </w:pPr>
  </w:style>
  <w:style w:type="character" w:styleId="SubtleEmphasis">
    <w:name w:val="Subtle Emphasis"/>
    <w:uiPriority w:val="98"/>
    <w:semiHidden/>
    <w:qFormat/>
    <w:rsid w:val="00384BCF"/>
    <w:rPr>
      <w:i/>
      <w:iCs/>
    </w:rPr>
  </w:style>
  <w:style w:type="table" w:customStyle="1" w:styleId="ECHRTable">
    <w:name w:val="ECHR_Table"/>
    <w:basedOn w:val="TableNormal"/>
    <w:rsid w:val="00384BC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84BC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84BCF"/>
    <w:rPr>
      <w:b/>
      <w:bCs/>
      <w:i/>
      <w:iCs/>
      <w:spacing w:val="10"/>
      <w:bdr w:val="none" w:sz="0" w:space="0" w:color="auto"/>
      <w:shd w:val="clear" w:color="auto" w:fill="auto"/>
    </w:rPr>
  </w:style>
  <w:style w:type="paragraph" w:styleId="Footer0">
    <w:name w:val="footer"/>
    <w:basedOn w:val="Normal"/>
    <w:link w:val="FooterChar"/>
    <w:uiPriority w:val="98"/>
    <w:semiHidden/>
    <w:rsid w:val="00384BCF"/>
    <w:pPr>
      <w:tabs>
        <w:tab w:val="center" w:pos="3686"/>
        <w:tab w:val="right" w:pos="7371"/>
      </w:tabs>
    </w:pPr>
  </w:style>
  <w:style w:type="character" w:customStyle="1" w:styleId="FooterChar">
    <w:name w:val="Footer Char"/>
    <w:basedOn w:val="DefaultParagraphFont"/>
    <w:link w:val="Footer0"/>
    <w:uiPriority w:val="98"/>
    <w:semiHidden/>
    <w:rsid w:val="00384BCF"/>
    <w:rPr>
      <w:sz w:val="24"/>
      <w:szCs w:val="24"/>
      <w:lang w:val="fr-FR"/>
    </w:rPr>
  </w:style>
  <w:style w:type="character" w:styleId="FootnoteReference">
    <w:name w:val="footnote reference"/>
    <w:basedOn w:val="DefaultParagraphFont"/>
    <w:uiPriority w:val="98"/>
    <w:semiHidden/>
    <w:rsid w:val="00384BCF"/>
    <w:rPr>
      <w:vertAlign w:val="superscript"/>
    </w:rPr>
  </w:style>
  <w:style w:type="paragraph" w:styleId="FootnoteText">
    <w:name w:val="footnote text"/>
    <w:basedOn w:val="NormalJustified"/>
    <w:link w:val="FootnoteTextChar"/>
    <w:uiPriority w:val="98"/>
    <w:semiHidden/>
    <w:rsid w:val="00384BCF"/>
    <w:rPr>
      <w:sz w:val="20"/>
      <w:szCs w:val="20"/>
    </w:rPr>
  </w:style>
  <w:style w:type="character" w:customStyle="1" w:styleId="FootnoteTextChar">
    <w:name w:val="Footnote Text Char"/>
    <w:basedOn w:val="DefaultParagraphFont"/>
    <w:link w:val="FootnoteText"/>
    <w:uiPriority w:val="98"/>
    <w:semiHidden/>
    <w:rsid w:val="00384BCF"/>
    <w:rPr>
      <w:sz w:val="20"/>
      <w:szCs w:val="20"/>
      <w:lang w:val="fr-FR"/>
    </w:rPr>
  </w:style>
  <w:style w:type="character" w:customStyle="1" w:styleId="Heading6Char">
    <w:name w:val="Heading 6 Char"/>
    <w:basedOn w:val="DefaultParagraphFont"/>
    <w:link w:val="Heading6"/>
    <w:uiPriority w:val="98"/>
    <w:semiHidden/>
    <w:rsid w:val="00384BCF"/>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384BCF"/>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384BCF"/>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384BCF"/>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384BCF"/>
    <w:rPr>
      <w:color w:val="0072BC" w:themeColor="hyperlink"/>
      <w:u w:val="single"/>
    </w:rPr>
  </w:style>
  <w:style w:type="character" w:styleId="IntenseEmphasis">
    <w:name w:val="Intense Emphasis"/>
    <w:uiPriority w:val="98"/>
    <w:semiHidden/>
    <w:qFormat/>
    <w:rsid w:val="00384BCF"/>
    <w:rPr>
      <w:b/>
      <w:bCs/>
    </w:rPr>
  </w:style>
  <w:style w:type="paragraph" w:styleId="IntenseQuote">
    <w:name w:val="Intense Quote"/>
    <w:basedOn w:val="Normal"/>
    <w:next w:val="Normal"/>
    <w:link w:val="IntenseQuoteChar"/>
    <w:uiPriority w:val="98"/>
    <w:semiHidden/>
    <w:qFormat/>
    <w:rsid w:val="00384BC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84BCF"/>
    <w:rPr>
      <w:b/>
      <w:bCs/>
      <w:i/>
      <w:iCs/>
      <w:sz w:val="24"/>
      <w:szCs w:val="24"/>
      <w:lang w:val="fr-FR" w:bidi="en-US"/>
    </w:rPr>
  </w:style>
  <w:style w:type="character" w:styleId="IntenseReference">
    <w:name w:val="Intense Reference"/>
    <w:uiPriority w:val="98"/>
    <w:semiHidden/>
    <w:qFormat/>
    <w:rsid w:val="00384BCF"/>
    <w:rPr>
      <w:smallCaps/>
      <w:spacing w:val="5"/>
      <w:u w:val="single"/>
    </w:rPr>
  </w:style>
  <w:style w:type="paragraph" w:styleId="ListParagraph">
    <w:name w:val="List Paragraph"/>
    <w:basedOn w:val="Normal"/>
    <w:uiPriority w:val="98"/>
    <w:semiHidden/>
    <w:qFormat/>
    <w:rsid w:val="00384BCF"/>
    <w:pPr>
      <w:ind w:left="720"/>
      <w:contextualSpacing/>
    </w:pPr>
  </w:style>
  <w:style w:type="table" w:customStyle="1" w:styleId="LtrTableAddress">
    <w:name w:val="Ltr_Table_Address"/>
    <w:aliases w:val="ECHR_Ltr_Table_Address"/>
    <w:basedOn w:val="TableNormal"/>
    <w:uiPriority w:val="99"/>
    <w:rsid w:val="00384BCF"/>
    <w:rPr>
      <w:sz w:val="24"/>
      <w:szCs w:val="24"/>
    </w:rPr>
    <w:tblPr>
      <w:tblInd w:w="5103" w:type="dxa"/>
    </w:tblPr>
  </w:style>
  <w:style w:type="paragraph" w:styleId="Quote">
    <w:name w:val="Quote"/>
    <w:basedOn w:val="Normal"/>
    <w:next w:val="Normal"/>
    <w:link w:val="QuoteChar"/>
    <w:uiPriority w:val="98"/>
    <w:semiHidden/>
    <w:qFormat/>
    <w:rsid w:val="00384BCF"/>
    <w:pPr>
      <w:spacing w:before="200"/>
      <w:ind w:left="360" w:right="360"/>
    </w:pPr>
    <w:rPr>
      <w:i/>
      <w:iCs/>
      <w:lang w:bidi="en-US"/>
    </w:rPr>
  </w:style>
  <w:style w:type="character" w:customStyle="1" w:styleId="QuoteChar">
    <w:name w:val="Quote Char"/>
    <w:basedOn w:val="DefaultParagraphFont"/>
    <w:link w:val="Quote"/>
    <w:uiPriority w:val="98"/>
    <w:semiHidden/>
    <w:rsid w:val="00384BCF"/>
    <w:rPr>
      <w:i/>
      <w:iCs/>
      <w:sz w:val="24"/>
      <w:szCs w:val="24"/>
      <w:lang w:val="fr-FR" w:bidi="en-US"/>
    </w:rPr>
  </w:style>
  <w:style w:type="character" w:styleId="SubtleReference">
    <w:name w:val="Subtle Reference"/>
    <w:uiPriority w:val="98"/>
    <w:semiHidden/>
    <w:qFormat/>
    <w:rsid w:val="00384BCF"/>
    <w:rPr>
      <w:smallCaps/>
    </w:rPr>
  </w:style>
  <w:style w:type="table" w:styleId="TableGrid">
    <w:name w:val="Table Grid"/>
    <w:basedOn w:val="TableNormal"/>
    <w:uiPriority w:val="59"/>
    <w:semiHidden/>
    <w:rsid w:val="00384BC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84BC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84BC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84BC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84BCF"/>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84BC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84BC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84BC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84BC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84BC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84BC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84BC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84BC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84BC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84BC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84BCF"/>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384BCF"/>
    <w:pPr>
      <w:numPr>
        <w:numId w:val="2"/>
      </w:numPr>
    </w:pPr>
  </w:style>
  <w:style w:type="paragraph" w:customStyle="1" w:styleId="JuPara">
    <w:name w:val="Ju_Para"/>
    <w:aliases w:val="_Para"/>
    <w:basedOn w:val="NormalJustified"/>
    <w:link w:val="JuParaChar"/>
    <w:uiPriority w:val="4"/>
    <w:qFormat/>
    <w:rsid w:val="00384BCF"/>
    <w:pPr>
      <w:ind w:firstLine="284"/>
    </w:pPr>
  </w:style>
  <w:style w:type="numbering" w:styleId="1ai">
    <w:name w:val="Outline List 1"/>
    <w:basedOn w:val="NoList"/>
    <w:uiPriority w:val="99"/>
    <w:semiHidden/>
    <w:unhideWhenUsed/>
    <w:rsid w:val="00384BCF"/>
    <w:pPr>
      <w:numPr>
        <w:numId w:val="3"/>
      </w:numPr>
    </w:pPr>
  </w:style>
  <w:style w:type="table" w:customStyle="1" w:styleId="ECHRTableSimpleBox">
    <w:name w:val="ECHR_Table_Simple_Box"/>
    <w:basedOn w:val="TableNormal"/>
    <w:uiPriority w:val="99"/>
    <w:rsid w:val="00384BC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84BC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84BCF"/>
    <w:pPr>
      <w:numPr>
        <w:numId w:val="4"/>
      </w:numPr>
    </w:pPr>
  </w:style>
  <w:style w:type="table" w:customStyle="1" w:styleId="ECHRTableForInternalUse">
    <w:name w:val="ECHR_Table_For_Internal_Use"/>
    <w:basedOn w:val="TableNormal"/>
    <w:uiPriority w:val="99"/>
    <w:rsid w:val="00384BC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84BC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84BCF"/>
  </w:style>
  <w:style w:type="paragraph" w:styleId="BlockText">
    <w:name w:val="Block Text"/>
    <w:basedOn w:val="Normal"/>
    <w:uiPriority w:val="98"/>
    <w:semiHidden/>
    <w:rsid w:val="00384BC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84BC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84BCF"/>
    <w:pPr>
      <w:spacing w:after="120"/>
    </w:pPr>
  </w:style>
  <w:style w:type="character" w:customStyle="1" w:styleId="BodyTextChar">
    <w:name w:val="Body Text Char"/>
    <w:basedOn w:val="DefaultParagraphFont"/>
    <w:link w:val="BodyText"/>
    <w:uiPriority w:val="98"/>
    <w:semiHidden/>
    <w:rsid w:val="00384BCF"/>
    <w:rPr>
      <w:sz w:val="24"/>
      <w:szCs w:val="24"/>
      <w:lang w:val="fr-FR"/>
    </w:rPr>
  </w:style>
  <w:style w:type="table" w:customStyle="1" w:styleId="ECHRTableOddBanded">
    <w:name w:val="ECHR_Table_Odd_Banded"/>
    <w:basedOn w:val="TableNormal"/>
    <w:uiPriority w:val="99"/>
    <w:rsid w:val="00384BC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84BCF"/>
    <w:pPr>
      <w:spacing w:after="120" w:line="480" w:lineRule="auto"/>
    </w:pPr>
  </w:style>
  <w:style w:type="table" w:customStyle="1" w:styleId="ECHRHeaderTableReduced">
    <w:name w:val="ECHR_Header_Table_Reduced"/>
    <w:basedOn w:val="TableNormal"/>
    <w:uiPriority w:val="99"/>
    <w:rsid w:val="00384BC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84BCF"/>
    <w:pPr>
      <w:ind w:firstLine="284"/>
    </w:pPr>
    <w:rPr>
      <w:b/>
    </w:rPr>
  </w:style>
  <w:style w:type="character" w:styleId="PageNumber">
    <w:name w:val="page number"/>
    <w:uiPriority w:val="98"/>
    <w:semiHidden/>
    <w:rsid w:val="00384BCF"/>
    <w:rPr>
      <w:sz w:val="18"/>
    </w:rPr>
  </w:style>
  <w:style w:type="paragraph" w:styleId="ListBullet2">
    <w:name w:val="List Bullet 2"/>
    <w:basedOn w:val="Normal"/>
    <w:uiPriority w:val="98"/>
    <w:semiHidden/>
    <w:rsid w:val="00384BCF"/>
    <w:pPr>
      <w:numPr>
        <w:numId w:val="6"/>
      </w:numPr>
      <w:contextualSpacing/>
    </w:pPr>
  </w:style>
  <w:style w:type="character" w:customStyle="1" w:styleId="BodyText2Char">
    <w:name w:val="Body Text 2 Char"/>
    <w:basedOn w:val="DefaultParagraphFont"/>
    <w:link w:val="BodyText2"/>
    <w:uiPriority w:val="98"/>
    <w:semiHidden/>
    <w:rsid w:val="00384BCF"/>
    <w:rPr>
      <w:sz w:val="24"/>
      <w:szCs w:val="24"/>
      <w:lang w:val="fr-FR"/>
    </w:rPr>
  </w:style>
  <w:style w:type="paragraph" w:styleId="BodyText3">
    <w:name w:val="Body Text 3"/>
    <w:basedOn w:val="Normal"/>
    <w:link w:val="BodyText3Char"/>
    <w:uiPriority w:val="98"/>
    <w:semiHidden/>
    <w:rsid w:val="00384BCF"/>
    <w:pPr>
      <w:spacing w:after="120"/>
    </w:pPr>
    <w:rPr>
      <w:sz w:val="16"/>
      <w:szCs w:val="16"/>
    </w:rPr>
  </w:style>
  <w:style w:type="character" w:customStyle="1" w:styleId="BodyText3Char">
    <w:name w:val="Body Text 3 Char"/>
    <w:basedOn w:val="DefaultParagraphFont"/>
    <w:link w:val="BodyText3"/>
    <w:uiPriority w:val="98"/>
    <w:semiHidden/>
    <w:rsid w:val="00384BCF"/>
    <w:rPr>
      <w:sz w:val="16"/>
      <w:szCs w:val="16"/>
      <w:lang w:val="fr-FR"/>
    </w:rPr>
  </w:style>
  <w:style w:type="paragraph" w:styleId="BodyTextFirstIndent">
    <w:name w:val="Body Text First Indent"/>
    <w:basedOn w:val="BodyText"/>
    <w:link w:val="BodyTextFirstIndentChar"/>
    <w:uiPriority w:val="98"/>
    <w:semiHidden/>
    <w:rsid w:val="00384BCF"/>
    <w:pPr>
      <w:spacing w:after="0"/>
      <w:ind w:firstLine="360"/>
    </w:pPr>
  </w:style>
  <w:style w:type="character" w:customStyle="1" w:styleId="BodyTextFirstIndentChar">
    <w:name w:val="Body Text First Indent Char"/>
    <w:basedOn w:val="BodyTextChar"/>
    <w:link w:val="BodyTextFirstIndent"/>
    <w:uiPriority w:val="98"/>
    <w:semiHidden/>
    <w:rsid w:val="00384BCF"/>
    <w:rPr>
      <w:sz w:val="24"/>
      <w:szCs w:val="24"/>
      <w:lang w:val="fr-FR"/>
    </w:rPr>
  </w:style>
  <w:style w:type="paragraph" w:styleId="BodyTextIndent">
    <w:name w:val="Body Text Indent"/>
    <w:basedOn w:val="Normal"/>
    <w:link w:val="BodyTextIndentChar"/>
    <w:uiPriority w:val="98"/>
    <w:semiHidden/>
    <w:rsid w:val="00384BCF"/>
    <w:pPr>
      <w:spacing w:after="120"/>
      <w:ind w:left="283"/>
    </w:pPr>
  </w:style>
  <w:style w:type="character" w:customStyle="1" w:styleId="BodyTextIndentChar">
    <w:name w:val="Body Text Indent Char"/>
    <w:basedOn w:val="DefaultParagraphFont"/>
    <w:link w:val="BodyTextIndent"/>
    <w:uiPriority w:val="98"/>
    <w:semiHidden/>
    <w:rsid w:val="00384BCF"/>
    <w:rPr>
      <w:sz w:val="24"/>
      <w:szCs w:val="24"/>
      <w:lang w:val="fr-FR"/>
    </w:rPr>
  </w:style>
  <w:style w:type="paragraph" w:styleId="BodyTextFirstIndent2">
    <w:name w:val="Body Text First Indent 2"/>
    <w:basedOn w:val="BodyTextIndent"/>
    <w:link w:val="BodyTextFirstIndent2Char"/>
    <w:uiPriority w:val="98"/>
    <w:semiHidden/>
    <w:rsid w:val="00384BCF"/>
    <w:pPr>
      <w:spacing w:after="0"/>
      <w:ind w:left="360" w:firstLine="360"/>
    </w:pPr>
  </w:style>
  <w:style w:type="character" w:customStyle="1" w:styleId="BodyTextFirstIndent2Char">
    <w:name w:val="Body Text First Indent 2 Char"/>
    <w:basedOn w:val="BodyTextIndentChar"/>
    <w:link w:val="BodyTextFirstIndent2"/>
    <w:uiPriority w:val="98"/>
    <w:semiHidden/>
    <w:rsid w:val="00384BCF"/>
    <w:rPr>
      <w:sz w:val="24"/>
      <w:szCs w:val="24"/>
      <w:lang w:val="fr-FR"/>
    </w:rPr>
  </w:style>
  <w:style w:type="paragraph" w:styleId="BodyTextIndent2">
    <w:name w:val="Body Text Indent 2"/>
    <w:basedOn w:val="Normal"/>
    <w:link w:val="BodyTextIndent2Char"/>
    <w:uiPriority w:val="98"/>
    <w:semiHidden/>
    <w:rsid w:val="00384BCF"/>
    <w:pPr>
      <w:spacing w:after="120" w:line="480" w:lineRule="auto"/>
      <w:ind w:left="283"/>
    </w:pPr>
  </w:style>
  <w:style w:type="character" w:customStyle="1" w:styleId="BodyTextIndent2Char">
    <w:name w:val="Body Text Indent 2 Char"/>
    <w:basedOn w:val="DefaultParagraphFont"/>
    <w:link w:val="BodyTextIndent2"/>
    <w:uiPriority w:val="98"/>
    <w:semiHidden/>
    <w:rsid w:val="00384BCF"/>
    <w:rPr>
      <w:sz w:val="24"/>
      <w:szCs w:val="24"/>
      <w:lang w:val="fr-FR"/>
    </w:rPr>
  </w:style>
  <w:style w:type="paragraph" w:styleId="BodyTextIndent3">
    <w:name w:val="Body Text Indent 3"/>
    <w:basedOn w:val="Normal"/>
    <w:link w:val="BodyTextIndent3Char"/>
    <w:uiPriority w:val="98"/>
    <w:semiHidden/>
    <w:rsid w:val="00384BC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84BCF"/>
    <w:rPr>
      <w:sz w:val="16"/>
      <w:szCs w:val="16"/>
      <w:lang w:val="fr-FR"/>
    </w:rPr>
  </w:style>
  <w:style w:type="paragraph" w:styleId="Caption">
    <w:name w:val="caption"/>
    <w:basedOn w:val="Normal"/>
    <w:next w:val="Normal"/>
    <w:uiPriority w:val="98"/>
    <w:semiHidden/>
    <w:qFormat/>
    <w:rsid w:val="00384BCF"/>
    <w:pPr>
      <w:spacing w:after="200"/>
    </w:pPr>
    <w:rPr>
      <w:b/>
      <w:bCs/>
      <w:color w:val="0072BC" w:themeColor="accent1"/>
      <w:sz w:val="18"/>
      <w:szCs w:val="18"/>
    </w:rPr>
  </w:style>
  <w:style w:type="paragraph" w:styleId="Closing">
    <w:name w:val="Closing"/>
    <w:basedOn w:val="Normal"/>
    <w:link w:val="ClosingChar"/>
    <w:uiPriority w:val="98"/>
    <w:semiHidden/>
    <w:rsid w:val="00384BCF"/>
    <w:pPr>
      <w:ind w:left="4252"/>
    </w:pPr>
  </w:style>
  <w:style w:type="character" w:customStyle="1" w:styleId="ClosingChar">
    <w:name w:val="Closing Char"/>
    <w:basedOn w:val="DefaultParagraphFont"/>
    <w:link w:val="Closing"/>
    <w:uiPriority w:val="98"/>
    <w:semiHidden/>
    <w:rsid w:val="00384BCF"/>
    <w:rPr>
      <w:sz w:val="24"/>
      <w:szCs w:val="24"/>
      <w:lang w:val="fr-FR"/>
    </w:rPr>
  </w:style>
  <w:style w:type="table" w:styleId="ColorfulGrid">
    <w:name w:val="Colorful Grid"/>
    <w:basedOn w:val="TableNormal"/>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84BC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84BC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84BC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84BC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84BC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84BC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84BC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84BC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84BC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84BC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84BC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84BC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84BC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84BC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84BCF"/>
    <w:rPr>
      <w:sz w:val="16"/>
      <w:szCs w:val="16"/>
    </w:rPr>
  </w:style>
  <w:style w:type="paragraph" w:styleId="CommentText">
    <w:name w:val="annotation text"/>
    <w:basedOn w:val="Normal"/>
    <w:link w:val="CommentTextChar"/>
    <w:uiPriority w:val="98"/>
    <w:semiHidden/>
    <w:rsid w:val="00384BCF"/>
    <w:rPr>
      <w:sz w:val="20"/>
      <w:szCs w:val="20"/>
    </w:rPr>
  </w:style>
  <w:style w:type="character" w:customStyle="1" w:styleId="CommentTextChar">
    <w:name w:val="Comment Text Char"/>
    <w:basedOn w:val="DefaultParagraphFont"/>
    <w:link w:val="CommentText"/>
    <w:uiPriority w:val="98"/>
    <w:semiHidden/>
    <w:rsid w:val="00384BCF"/>
    <w:rPr>
      <w:sz w:val="20"/>
      <w:szCs w:val="20"/>
      <w:lang w:val="fr-FR"/>
    </w:rPr>
  </w:style>
  <w:style w:type="paragraph" w:styleId="CommentSubject">
    <w:name w:val="annotation subject"/>
    <w:basedOn w:val="CommentText"/>
    <w:next w:val="CommentText"/>
    <w:link w:val="CommentSubjectChar"/>
    <w:uiPriority w:val="98"/>
    <w:semiHidden/>
    <w:rsid w:val="00384BCF"/>
    <w:rPr>
      <w:b/>
      <w:bCs/>
    </w:rPr>
  </w:style>
  <w:style w:type="character" w:customStyle="1" w:styleId="CommentSubjectChar">
    <w:name w:val="Comment Subject Char"/>
    <w:basedOn w:val="CommentTextChar"/>
    <w:link w:val="CommentSubject"/>
    <w:uiPriority w:val="98"/>
    <w:semiHidden/>
    <w:rsid w:val="00384BCF"/>
    <w:rPr>
      <w:b/>
      <w:bCs/>
      <w:sz w:val="20"/>
      <w:szCs w:val="20"/>
      <w:lang w:val="fr-FR"/>
    </w:rPr>
  </w:style>
  <w:style w:type="table" w:styleId="DarkList">
    <w:name w:val="Dark List"/>
    <w:basedOn w:val="TableNormal"/>
    <w:uiPriority w:val="70"/>
    <w:semiHidden/>
    <w:rsid w:val="00384BC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84BC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84BC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84BC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84BC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84BC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84BC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84BCF"/>
  </w:style>
  <w:style w:type="character" w:customStyle="1" w:styleId="DateChar">
    <w:name w:val="Date Char"/>
    <w:basedOn w:val="DefaultParagraphFont"/>
    <w:link w:val="Date"/>
    <w:uiPriority w:val="98"/>
    <w:semiHidden/>
    <w:rsid w:val="00384BCF"/>
    <w:rPr>
      <w:sz w:val="24"/>
      <w:szCs w:val="24"/>
      <w:lang w:val="fr-FR"/>
    </w:rPr>
  </w:style>
  <w:style w:type="paragraph" w:styleId="DocumentMap">
    <w:name w:val="Document Map"/>
    <w:basedOn w:val="Normal"/>
    <w:link w:val="DocumentMapChar"/>
    <w:uiPriority w:val="98"/>
    <w:semiHidden/>
    <w:rsid w:val="00384BCF"/>
    <w:rPr>
      <w:rFonts w:ascii="Tahoma" w:hAnsi="Tahoma" w:cs="Tahoma"/>
      <w:sz w:val="16"/>
      <w:szCs w:val="16"/>
    </w:rPr>
  </w:style>
  <w:style w:type="character" w:customStyle="1" w:styleId="DocumentMapChar">
    <w:name w:val="Document Map Char"/>
    <w:basedOn w:val="DefaultParagraphFont"/>
    <w:link w:val="DocumentMap"/>
    <w:uiPriority w:val="98"/>
    <w:semiHidden/>
    <w:rsid w:val="00384BCF"/>
    <w:rPr>
      <w:rFonts w:ascii="Tahoma" w:hAnsi="Tahoma" w:cs="Tahoma"/>
      <w:sz w:val="16"/>
      <w:szCs w:val="16"/>
      <w:lang w:val="fr-FR"/>
    </w:rPr>
  </w:style>
  <w:style w:type="paragraph" w:styleId="E-mailSignature">
    <w:name w:val="E-mail Signature"/>
    <w:basedOn w:val="Normal"/>
    <w:link w:val="E-mailSignatureChar"/>
    <w:uiPriority w:val="98"/>
    <w:semiHidden/>
    <w:rsid w:val="00384BCF"/>
  </w:style>
  <w:style w:type="character" w:customStyle="1" w:styleId="E-mailSignatureChar">
    <w:name w:val="E-mail Signature Char"/>
    <w:basedOn w:val="DefaultParagraphFont"/>
    <w:link w:val="E-mailSignature"/>
    <w:uiPriority w:val="98"/>
    <w:semiHidden/>
    <w:rsid w:val="00384BCF"/>
    <w:rPr>
      <w:sz w:val="24"/>
      <w:szCs w:val="24"/>
      <w:lang w:val="fr-FR"/>
    </w:rPr>
  </w:style>
  <w:style w:type="character" w:styleId="EndnoteReference">
    <w:name w:val="endnote reference"/>
    <w:basedOn w:val="DefaultParagraphFont"/>
    <w:uiPriority w:val="98"/>
    <w:semiHidden/>
    <w:rsid w:val="00384BCF"/>
    <w:rPr>
      <w:vertAlign w:val="superscript"/>
    </w:rPr>
  </w:style>
  <w:style w:type="paragraph" w:styleId="EndnoteText">
    <w:name w:val="endnote text"/>
    <w:basedOn w:val="Normal"/>
    <w:link w:val="EndnoteTextChar"/>
    <w:uiPriority w:val="98"/>
    <w:semiHidden/>
    <w:rsid w:val="00384BCF"/>
    <w:rPr>
      <w:sz w:val="20"/>
      <w:szCs w:val="20"/>
    </w:rPr>
  </w:style>
  <w:style w:type="character" w:customStyle="1" w:styleId="EndnoteTextChar">
    <w:name w:val="Endnote Text Char"/>
    <w:basedOn w:val="DefaultParagraphFont"/>
    <w:link w:val="EndnoteText"/>
    <w:uiPriority w:val="98"/>
    <w:semiHidden/>
    <w:rsid w:val="00384BCF"/>
    <w:rPr>
      <w:sz w:val="20"/>
      <w:szCs w:val="20"/>
      <w:lang w:val="fr-FR"/>
    </w:rPr>
  </w:style>
  <w:style w:type="paragraph" w:styleId="EnvelopeAddress">
    <w:name w:val="envelope address"/>
    <w:basedOn w:val="Normal"/>
    <w:uiPriority w:val="98"/>
    <w:semiHidden/>
    <w:rsid w:val="00384BC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84BC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84BCF"/>
    <w:rPr>
      <w:color w:val="7030A0" w:themeColor="followedHyperlink"/>
      <w:u w:val="single"/>
    </w:rPr>
  </w:style>
  <w:style w:type="character" w:styleId="HTMLAcronym">
    <w:name w:val="HTML Acronym"/>
    <w:basedOn w:val="DefaultParagraphFont"/>
    <w:uiPriority w:val="98"/>
    <w:semiHidden/>
    <w:rsid w:val="00384BCF"/>
  </w:style>
  <w:style w:type="paragraph" w:styleId="HTMLAddress">
    <w:name w:val="HTML Address"/>
    <w:basedOn w:val="Normal"/>
    <w:link w:val="HTMLAddressChar"/>
    <w:uiPriority w:val="98"/>
    <w:semiHidden/>
    <w:rsid w:val="00384BCF"/>
    <w:rPr>
      <w:i/>
      <w:iCs/>
    </w:rPr>
  </w:style>
  <w:style w:type="character" w:customStyle="1" w:styleId="HTMLAddressChar">
    <w:name w:val="HTML Address Char"/>
    <w:basedOn w:val="DefaultParagraphFont"/>
    <w:link w:val="HTMLAddress"/>
    <w:uiPriority w:val="98"/>
    <w:semiHidden/>
    <w:rsid w:val="00384BCF"/>
    <w:rPr>
      <w:i/>
      <w:iCs/>
      <w:sz w:val="24"/>
      <w:szCs w:val="24"/>
      <w:lang w:val="fr-FR"/>
    </w:rPr>
  </w:style>
  <w:style w:type="character" w:styleId="HTMLCite">
    <w:name w:val="HTML Cite"/>
    <w:basedOn w:val="DefaultParagraphFont"/>
    <w:uiPriority w:val="98"/>
    <w:semiHidden/>
    <w:rsid w:val="00384BCF"/>
    <w:rPr>
      <w:i/>
      <w:iCs/>
    </w:rPr>
  </w:style>
  <w:style w:type="character" w:styleId="HTMLCode">
    <w:name w:val="HTML Code"/>
    <w:basedOn w:val="DefaultParagraphFont"/>
    <w:uiPriority w:val="98"/>
    <w:semiHidden/>
    <w:rsid w:val="00384BCF"/>
    <w:rPr>
      <w:rFonts w:ascii="Consolas" w:hAnsi="Consolas" w:cs="Consolas"/>
      <w:sz w:val="20"/>
      <w:szCs w:val="20"/>
    </w:rPr>
  </w:style>
  <w:style w:type="character" w:styleId="HTMLDefinition">
    <w:name w:val="HTML Definition"/>
    <w:basedOn w:val="DefaultParagraphFont"/>
    <w:uiPriority w:val="98"/>
    <w:semiHidden/>
    <w:rsid w:val="00384BCF"/>
    <w:rPr>
      <w:i/>
      <w:iCs/>
    </w:rPr>
  </w:style>
  <w:style w:type="character" w:styleId="HTMLKeyboard">
    <w:name w:val="HTML Keyboard"/>
    <w:basedOn w:val="DefaultParagraphFont"/>
    <w:uiPriority w:val="98"/>
    <w:semiHidden/>
    <w:rsid w:val="00384BCF"/>
    <w:rPr>
      <w:rFonts w:ascii="Consolas" w:hAnsi="Consolas" w:cs="Consolas"/>
      <w:sz w:val="20"/>
      <w:szCs w:val="20"/>
    </w:rPr>
  </w:style>
  <w:style w:type="paragraph" w:styleId="HTMLPreformatted">
    <w:name w:val="HTML Preformatted"/>
    <w:basedOn w:val="Normal"/>
    <w:link w:val="HTMLPreformattedChar"/>
    <w:uiPriority w:val="98"/>
    <w:semiHidden/>
    <w:rsid w:val="00384BC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84BCF"/>
    <w:rPr>
      <w:rFonts w:ascii="Consolas" w:hAnsi="Consolas" w:cs="Consolas"/>
      <w:sz w:val="20"/>
      <w:szCs w:val="20"/>
      <w:lang w:val="fr-FR"/>
    </w:rPr>
  </w:style>
  <w:style w:type="character" w:styleId="HTMLSample">
    <w:name w:val="HTML Sample"/>
    <w:basedOn w:val="DefaultParagraphFont"/>
    <w:uiPriority w:val="98"/>
    <w:semiHidden/>
    <w:rsid w:val="00384BCF"/>
    <w:rPr>
      <w:rFonts w:ascii="Consolas" w:hAnsi="Consolas" w:cs="Consolas"/>
      <w:sz w:val="24"/>
      <w:szCs w:val="24"/>
    </w:rPr>
  </w:style>
  <w:style w:type="character" w:styleId="HTMLTypewriter">
    <w:name w:val="HTML Typewriter"/>
    <w:basedOn w:val="DefaultParagraphFont"/>
    <w:uiPriority w:val="98"/>
    <w:semiHidden/>
    <w:rsid w:val="00384BCF"/>
    <w:rPr>
      <w:rFonts w:ascii="Consolas" w:hAnsi="Consolas" w:cs="Consolas"/>
      <w:sz w:val="20"/>
      <w:szCs w:val="20"/>
    </w:rPr>
  </w:style>
  <w:style w:type="character" w:styleId="HTMLVariable">
    <w:name w:val="HTML Variable"/>
    <w:basedOn w:val="DefaultParagraphFont"/>
    <w:uiPriority w:val="98"/>
    <w:semiHidden/>
    <w:rsid w:val="00384BCF"/>
    <w:rPr>
      <w:i/>
      <w:iCs/>
    </w:rPr>
  </w:style>
  <w:style w:type="paragraph" w:styleId="Index1">
    <w:name w:val="index 1"/>
    <w:basedOn w:val="Normal"/>
    <w:next w:val="Normal"/>
    <w:autoRedefine/>
    <w:uiPriority w:val="98"/>
    <w:semiHidden/>
    <w:rsid w:val="00384BCF"/>
    <w:pPr>
      <w:ind w:left="240" w:hanging="240"/>
    </w:pPr>
  </w:style>
  <w:style w:type="paragraph" w:styleId="Index2">
    <w:name w:val="index 2"/>
    <w:basedOn w:val="Normal"/>
    <w:next w:val="Normal"/>
    <w:autoRedefine/>
    <w:uiPriority w:val="98"/>
    <w:semiHidden/>
    <w:rsid w:val="00384BCF"/>
    <w:pPr>
      <w:ind w:left="480" w:hanging="240"/>
    </w:pPr>
  </w:style>
  <w:style w:type="paragraph" w:styleId="Index3">
    <w:name w:val="index 3"/>
    <w:basedOn w:val="Normal"/>
    <w:next w:val="Normal"/>
    <w:autoRedefine/>
    <w:uiPriority w:val="98"/>
    <w:semiHidden/>
    <w:rsid w:val="00384BCF"/>
    <w:pPr>
      <w:ind w:left="720" w:hanging="240"/>
    </w:pPr>
  </w:style>
  <w:style w:type="paragraph" w:styleId="Index4">
    <w:name w:val="index 4"/>
    <w:basedOn w:val="Normal"/>
    <w:next w:val="Normal"/>
    <w:autoRedefine/>
    <w:uiPriority w:val="98"/>
    <w:semiHidden/>
    <w:rsid w:val="00384BCF"/>
    <w:pPr>
      <w:ind w:left="960" w:hanging="240"/>
    </w:pPr>
  </w:style>
  <w:style w:type="paragraph" w:styleId="Index5">
    <w:name w:val="index 5"/>
    <w:basedOn w:val="Normal"/>
    <w:next w:val="Normal"/>
    <w:autoRedefine/>
    <w:uiPriority w:val="98"/>
    <w:semiHidden/>
    <w:rsid w:val="00384BCF"/>
    <w:pPr>
      <w:ind w:left="1200" w:hanging="240"/>
    </w:pPr>
  </w:style>
  <w:style w:type="paragraph" w:styleId="Index6">
    <w:name w:val="index 6"/>
    <w:basedOn w:val="Normal"/>
    <w:next w:val="Normal"/>
    <w:autoRedefine/>
    <w:uiPriority w:val="98"/>
    <w:semiHidden/>
    <w:rsid w:val="00384BCF"/>
    <w:pPr>
      <w:ind w:left="1440" w:hanging="240"/>
    </w:pPr>
  </w:style>
  <w:style w:type="paragraph" w:styleId="Index7">
    <w:name w:val="index 7"/>
    <w:basedOn w:val="Normal"/>
    <w:next w:val="Normal"/>
    <w:autoRedefine/>
    <w:uiPriority w:val="98"/>
    <w:semiHidden/>
    <w:rsid w:val="00384BCF"/>
    <w:pPr>
      <w:ind w:left="1680" w:hanging="240"/>
    </w:pPr>
  </w:style>
  <w:style w:type="paragraph" w:styleId="Index8">
    <w:name w:val="index 8"/>
    <w:basedOn w:val="Normal"/>
    <w:next w:val="Normal"/>
    <w:autoRedefine/>
    <w:uiPriority w:val="98"/>
    <w:semiHidden/>
    <w:rsid w:val="00384BCF"/>
    <w:pPr>
      <w:ind w:left="1920" w:hanging="240"/>
    </w:pPr>
  </w:style>
  <w:style w:type="paragraph" w:styleId="Index9">
    <w:name w:val="index 9"/>
    <w:basedOn w:val="Normal"/>
    <w:next w:val="Normal"/>
    <w:autoRedefine/>
    <w:uiPriority w:val="98"/>
    <w:semiHidden/>
    <w:rsid w:val="00384BCF"/>
    <w:pPr>
      <w:ind w:left="2160" w:hanging="240"/>
    </w:pPr>
  </w:style>
  <w:style w:type="paragraph" w:styleId="IndexHeading">
    <w:name w:val="index heading"/>
    <w:basedOn w:val="Normal"/>
    <w:next w:val="Index1"/>
    <w:uiPriority w:val="98"/>
    <w:semiHidden/>
    <w:rsid w:val="00384BCF"/>
    <w:rPr>
      <w:rFonts w:asciiTheme="majorHAnsi" w:eastAsiaTheme="majorEastAsia" w:hAnsiTheme="majorHAnsi" w:cstheme="majorBidi"/>
      <w:b/>
      <w:bCs/>
    </w:rPr>
  </w:style>
  <w:style w:type="table" w:styleId="LightGrid">
    <w:name w:val="Light Grid"/>
    <w:basedOn w:val="TableNormal"/>
    <w:uiPriority w:val="62"/>
    <w:semiHidden/>
    <w:rsid w:val="00384BC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84BC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84BC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84BC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84BC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84BC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84BC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84BC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84BC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84BC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84BC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84BC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84BC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84BC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84BC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84BC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84BC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84BC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84BC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84BC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84BC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84BCF"/>
  </w:style>
  <w:style w:type="paragraph" w:styleId="List">
    <w:name w:val="List"/>
    <w:basedOn w:val="Normal"/>
    <w:uiPriority w:val="98"/>
    <w:semiHidden/>
    <w:rsid w:val="00384BCF"/>
    <w:pPr>
      <w:ind w:left="283" w:hanging="283"/>
      <w:contextualSpacing/>
    </w:pPr>
  </w:style>
  <w:style w:type="paragraph" w:styleId="List2">
    <w:name w:val="List 2"/>
    <w:basedOn w:val="Normal"/>
    <w:uiPriority w:val="98"/>
    <w:semiHidden/>
    <w:rsid w:val="00384BCF"/>
    <w:pPr>
      <w:ind w:left="566" w:hanging="283"/>
      <w:contextualSpacing/>
    </w:pPr>
  </w:style>
  <w:style w:type="paragraph" w:styleId="List3">
    <w:name w:val="List 3"/>
    <w:basedOn w:val="Normal"/>
    <w:uiPriority w:val="98"/>
    <w:semiHidden/>
    <w:rsid w:val="00384BCF"/>
    <w:pPr>
      <w:ind w:left="849" w:hanging="283"/>
      <w:contextualSpacing/>
    </w:pPr>
  </w:style>
  <w:style w:type="paragraph" w:styleId="List4">
    <w:name w:val="List 4"/>
    <w:basedOn w:val="Normal"/>
    <w:uiPriority w:val="98"/>
    <w:semiHidden/>
    <w:rsid w:val="00384BCF"/>
    <w:pPr>
      <w:ind w:left="1132" w:hanging="283"/>
      <w:contextualSpacing/>
    </w:pPr>
  </w:style>
  <w:style w:type="paragraph" w:styleId="List5">
    <w:name w:val="List 5"/>
    <w:basedOn w:val="Normal"/>
    <w:uiPriority w:val="98"/>
    <w:semiHidden/>
    <w:rsid w:val="00384BCF"/>
    <w:pPr>
      <w:ind w:left="1415" w:hanging="283"/>
      <w:contextualSpacing/>
    </w:pPr>
  </w:style>
  <w:style w:type="paragraph" w:styleId="ListBullet">
    <w:name w:val="List Bullet"/>
    <w:basedOn w:val="Normal"/>
    <w:uiPriority w:val="98"/>
    <w:semiHidden/>
    <w:rsid w:val="00384BCF"/>
    <w:pPr>
      <w:numPr>
        <w:numId w:val="5"/>
      </w:numPr>
    </w:pPr>
  </w:style>
  <w:style w:type="paragraph" w:styleId="ListBullet3">
    <w:name w:val="List Bullet 3"/>
    <w:basedOn w:val="Normal"/>
    <w:uiPriority w:val="98"/>
    <w:semiHidden/>
    <w:rsid w:val="00384BCF"/>
    <w:pPr>
      <w:numPr>
        <w:numId w:val="7"/>
      </w:numPr>
      <w:contextualSpacing/>
    </w:pPr>
  </w:style>
  <w:style w:type="paragraph" w:styleId="ListBullet4">
    <w:name w:val="List Bullet 4"/>
    <w:basedOn w:val="Normal"/>
    <w:uiPriority w:val="98"/>
    <w:semiHidden/>
    <w:rsid w:val="00384BCF"/>
    <w:pPr>
      <w:numPr>
        <w:numId w:val="8"/>
      </w:numPr>
      <w:contextualSpacing/>
    </w:pPr>
  </w:style>
  <w:style w:type="paragraph" w:styleId="ListBullet5">
    <w:name w:val="List Bullet 5"/>
    <w:basedOn w:val="Normal"/>
    <w:uiPriority w:val="98"/>
    <w:semiHidden/>
    <w:rsid w:val="00384BCF"/>
    <w:pPr>
      <w:numPr>
        <w:numId w:val="9"/>
      </w:numPr>
      <w:contextualSpacing/>
    </w:pPr>
  </w:style>
  <w:style w:type="paragraph" w:styleId="ListContinue">
    <w:name w:val="List Continue"/>
    <w:basedOn w:val="Normal"/>
    <w:uiPriority w:val="98"/>
    <w:semiHidden/>
    <w:rsid w:val="00384BCF"/>
    <w:pPr>
      <w:spacing w:after="120"/>
      <w:ind w:left="283"/>
      <w:contextualSpacing/>
    </w:pPr>
  </w:style>
  <w:style w:type="paragraph" w:styleId="ListContinue2">
    <w:name w:val="List Continue 2"/>
    <w:basedOn w:val="Normal"/>
    <w:uiPriority w:val="98"/>
    <w:semiHidden/>
    <w:rsid w:val="00384BCF"/>
    <w:pPr>
      <w:spacing w:after="120"/>
      <w:ind w:left="566"/>
      <w:contextualSpacing/>
    </w:pPr>
  </w:style>
  <w:style w:type="paragraph" w:styleId="ListContinue3">
    <w:name w:val="List Continue 3"/>
    <w:basedOn w:val="Normal"/>
    <w:uiPriority w:val="98"/>
    <w:semiHidden/>
    <w:rsid w:val="00384BCF"/>
    <w:pPr>
      <w:spacing w:after="120"/>
      <w:ind w:left="849"/>
      <w:contextualSpacing/>
    </w:pPr>
  </w:style>
  <w:style w:type="paragraph" w:styleId="ListContinue4">
    <w:name w:val="List Continue 4"/>
    <w:basedOn w:val="Normal"/>
    <w:uiPriority w:val="98"/>
    <w:semiHidden/>
    <w:rsid w:val="00384BCF"/>
    <w:pPr>
      <w:spacing w:after="120"/>
      <w:ind w:left="1132"/>
      <w:contextualSpacing/>
    </w:pPr>
  </w:style>
  <w:style w:type="paragraph" w:styleId="ListContinue5">
    <w:name w:val="List Continue 5"/>
    <w:basedOn w:val="Normal"/>
    <w:uiPriority w:val="98"/>
    <w:semiHidden/>
    <w:rsid w:val="00384BCF"/>
    <w:pPr>
      <w:spacing w:after="120"/>
      <w:ind w:left="1415"/>
      <w:contextualSpacing/>
    </w:pPr>
  </w:style>
  <w:style w:type="paragraph" w:styleId="ListNumber">
    <w:name w:val="List Number"/>
    <w:basedOn w:val="Normal"/>
    <w:uiPriority w:val="98"/>
    <w:semiHidden/>
    <w:rsid w:val="00384BCF"/>
    <w:pPr>
      <w:numPr>
        <w:numId w:val="10"/>
      </w:numPr>
      <w:contextualSpacing/>
    </w:pPr>
  </w:style>
  <w:style w:type="paragraph" w:styleId="ListNumber2">
    <w:name w:val="List Number 2"/>
    <w:basedOn w:val="Normal"/>
    <w:uiPriority w:val="98"/>
    <w:semiHidden/>
    <w:rsid w:val="00384BCF"/>
    <w:pPr>
      <w:numPr>
        <w:numId w:val="11"/>
      </w:numPr>
      <w:contextualSpacing/>
    </w:pPr>
  </w:style>
  <w:style w:type="paragraph" w:styleId="ListNumber3">
    <w:name w:val="List Number 3"/>
    <w:basedOn w:val="Normal"/>
    <w:uiPriority w:val="98"/>
    <w:semiHidden/>
    <w:rsid w:val="00384BCF"/>
    <w:pPr>
      <w:numPr>
        <w:numId w:val="12"/>
      </w:numPr>
      <w:contextualSpacing/>
    </w:pPr>
  </w:style>
  <w:style w:type="paragraph" w:styleId="ListNumber4">
    <w:name w:val="List Number 4"/>
    <w:basedOn w:val="Normal"/>
    <w:uiPriority w:val="98"/>
    <w:semiHidden/>
    <w:rsid w:val="00384BCF"/>
    <w:pPr>
      <w:numPr>
        <w:numId w:val="13"/>
      </w:numPr>
      <w:contextualSpacing/>
    </w:pPr>
  </w:style>
  <w:style w:type="paragraph" w:styleId="ListNumber5">
    <w:name w:val="List Number 5"/>
    <w:basedOn w:val="Normal"/>
    <w:uiPriority w:val="98"/>
    <w:semiHidden/>
    <w:rsid w:val="00384BCF"/>
    <w:pPr>
      <w:numPr>
        <w:numId w:val="14"/>
      </w:numPr>
      <w:contextualSpacing/>
    </w:pPr>
  </w:style>
  <w:style w:type="paragraph" w:styleId="MacroText">
    <w:name w:val="macro"/>
    <w:link w:val="MacroTextChar"/>
    <w:uiPriority w:val="98"/>
    <w:semiHidden/>
    <w:rsid w:val="00384BC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84BCF"/>
    <w:rPr>
      <w:rFonts w:ascii="Consolas" w:eastAsiaTheme="minorEastAsia" w:hAnsi="Consolas" w:cs="Consolas"/>
      <w:sz w:val="20"/>
      <w:szCs w:val="20"/>
    </w:rPr>
  </w:style>
  <w:style w:type="table" w:styleId="MediumGrid1">
    <w:name w:val="Medium Grid 1"/>
    <w:basedOn w:val="TableNormal"/>
    <w:uiPriority w:val="67"/>
    <w:semiHidden/>
    <w:rsid w:val="00384BC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84BC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84BC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84BC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84BC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84BC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84BC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84BC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84BC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84BC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84BC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84BC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84BC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84BC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84BC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84BC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84BC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84BC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84BC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84BC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84BC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84BC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84BCF"/>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384BCF"/>
    <w:rPr>
      <w:rFonts w:ascii="Times New Roman" w:hAnsi="Times New Roman" w:cs="Times New Roman"/>
    </w:rPr>
  </w:style>
  <w:style w:type="paragraph" w:styleId="NormalIndent">
    <w:name w:val="Normal Indent"/>
    <w:basedOn w:val="Normal"/>
    <w:uiPriority w:val="98"/>
    <w:semiHidden/>
    <w:rsid w:val="00384BCF"/>
    <w:pPr>
      <w:ind w:left="720"/>
    </w:pPr>
  </w:style>
  <w:style w:type="paragraph" w:styleId="NoteHeading">
    <w:name w:val="Note Heading"/>
    <w:basedOn w:val="Normal"/>
    <w:next w:val="Normal"/>
    <w:link w:val="NoteHeadingChar"/>
    <w:uiPriority w:val="98"/>
    <w:semiHidden/>
    <w:rsid w:val="00384BCF"/>
  </w:style>
  <w:style w:type="character" w:customStyle="1" w:styleId="NoteHeadingChar">
    <w:name w:val="Note Heading Char"/>
    <w:basedOn w:val="DefaultParagraphFont"/>
    <w:link w:val="NoteHeading"/>
    <w:uiPriority w:val="98"/>
    <w:semiHidden/>
    <w:rsid w:val="00384BCF"/>
    <w:rPr>
      <w:sz w:val="24"/>
      <w:szCs w:val="24"/>
      <w:lang w:val="fr-FR"/>
    </w:rPr>
  </w:style>
  <w:style w:type="character" w:styleId="PlaceholderText">
    <w:name w:val="Placeholder Text"/>
    <w:basedOn w:val="DefaultParagraphFont"/>
    <w:uiPriority w:val="98"/>
    <w:semiHidden/>
    <w:rsid w:val="00384BC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84BCF"/>
    <w:rPr>
      <w:rFonts w:ascii="Consolas" w:hAnsi="Consolas" w:cs="Consolas"/>
      <w:sz w:val="21"/>
      <w:szCs w:val="21"/>
    </w:rPr>
  </w:style>
  <w:style w:type="character" w:customStyle="1" w:styleId="PlainTextChar">
    <w:name w:val="Plain Text Char"/>
    <w:basedOn w:val="DefaultParagraphFont"/>
    <w:link w:val="PlainText"/>
    <w:uiPriority w:val="98"/>
    <w:semiHidden/>
    <w:rsid w:val="00384BCF"/>
    <w:rPr>
      <w:rFonts w:ascii="Consolas" w:hAnsi="Consolas" w:cs="Consolas"/>
      <w:sz w:val="21"/>
      <w:szCs w:val="21"/>
      <w:lang w:val="fr-FR"/>
    </w:rPr>
  </w:style>
  <w:style w:type="paragraph" w:styleId="Salutation">
    <w:name w:val="Salutation"/>
    <w:basedOn w:val="Normal"/>
    <w:next w:val="Normal"/>
    <w:link w:val="SalutationChar"/>
    <w:uiPriority w:val="98"/>
    <w:semiHidden/>
    <w:rsid w:val="00384BCF"/>
  </w:style>
  <w:style w:type="character" w:customStyle="1" w:styleId="SalutationChar">
    <w:name w:val="Salutation Char"/>
    <w:basedOn w:val="DefaultParagraphFont"/>
    <w:link w:val="Salutation"/>
    <w:uiPriority w:val="98"/>
    <w:semiHidden/>
    <w:rsid w:val="00384BCF"/>
    <w:rPr>
      <w:sz w:val="24"/>
      <w:szCs w:val="24"/>
      <w:lang w:val="fr-FR"/>
    </w:rPr>
  </w:style>
  <w:style w:type="paragraph" w:styleId="Signature">
    <w:name w:val="Signature"/>
    <w:basedOn w:val="Normal"/>
    <w:link w:val="SignatureChar"/>
    <w:uiPriority w:val="98"/>
    <w:semiHidden/>
    <w:rsid w:val="00384BCF"/>
    <w:pPr>
      <w:ind w:left="4252"/>
    </w:pPr>
  </w:style>
  <w:style w:type="character" w:customStyle="1" w:styleId="SignatureChar">
    <w:name w:val="Signature Char"/>
    <w:basedOn w:val="DefaultParagraphFont"/>
    <w:link w:val="Signature"/>
    <w:uiPriority w:val="98"/>
    <w:semiHidden/>
    <w:rsid w:val="00384BCF"/>
    <w:rPr>
      <w:sz w:val="24"/>
      <w:szCs w:val="24"/>
      <w:lang w:val="fr-FR"/>
    </w:rPr>
  </w:style>
  <w:style w:type="table" w:styleId="Table3Deffects1">
    <w:name w:val="Table 3D effects 1"/>
    <w:basedOn w:val="TableNormal"/>
    <w:uiPriority w:val="99"/>
    <w:semiHidden/>
    <w:unhideWhenUsed/>
    <w:rsid w:val="00384BC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84BC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84BC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84BC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84BC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84BC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84BC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84BC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84BC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84BC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84BC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84BC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84BC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84BC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84BC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84BC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84BC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84BC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84BC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84BC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84BC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84BC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84BC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84BC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84BC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84BC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84BC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84BC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84BC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84BC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84BCF"/>
    <w:pPr>
      <w:ind w:left="240" w:hanging="240"/>
    </w:pPr>
  </w:style>
  <w:style w:type="paragraph" w:styleId="TableofFigures">
    <w:name w:val="table of figures"/>
    <w:basedOn w:val="Normal"/>
    <w:next w:val="Normal"/>
    <w:uiPriority w:val="98"/>
    <w:semiHidden/>
    <w:rsid w:val="00384BCF"/>
  </w:style>
  <w:style w:type="table" w:styleId="TableProfessional">
    <w:name w:val="Table Professional"/>
    <w:basedOn w:val="TableNormal"/>
    <w:uiPriority w:val="99"/>
    <w:semiHidden/>
    <w:unhideWhenUsed/>
    <w:rsid w:val="00384BC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84BC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84BC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84BC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84BC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84BC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84BC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84BC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84BC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84BC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84BC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84BCF"/>
    <w:pPr>
      <w:spacing w:after="100"/>
      <w:ind w:left="1680"/>
    </w:pPr>
  </w:style>
  <w:style w:type="paragraph" w:styleId="TOC9">
    <w:name w:val="toc 9"/>
    <w:basedOn w:val="Normal"/>
    <w:next w:val="Normal"/>
    <w:autoRedefine/>
    <w:uiPriority w:val="98"/>
    <w:semiHidden/>
    <w:rsid w:val="00384BCF"/>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384BC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84BC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84BC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84BC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84BCF"/>
    <w:pPr>
      <w:numPr>
        <w:numId w:val="16"/>
      </w:numPr>
      <w:spacing w:before="60" w:after="60"/>
    </w:pPr>
  </w:style>
  <w:style w:type="paragraph" w:customStyle="1" w:styleId="ECHRBullet2">
    <w:name w:val="ECHR_Bullet_2"/>
    <w:aliases w:val="_Bul_2"/>
    <w:basedOn w:val="ECHRBullet1"/>
    <w:uiPriority w:val="23"/>
    <w:semiHidden/>
    <w:rsid w:val="00384BCF"/>
    <w:pPr>
      <w:numPr>
        <w:ilvl w:val="1"/>
      </w:numPr>
    </w:pPr>
  </w:style>
  <w:style w:type="paragraph" w:customStyle="1" w:styleId="ECHRBullet3">
    <w:name w:val="ECHR_Bullet_3"/>
    <w:aliases w:val="_Bul_3"/>
    <w:basedOn w:val="ECHRBullet2"/>
    <w:uiPriority w:val="23"/>
    <w:semiHidden/>
    <w:rsid w:val="00384BCF"/>
    <w:pPr>
      <w:numPr>
        <w:ilvl w:val="2"/>
      </w:numPr>
    </w:pPr>
  </w:style>
  <w:style w:type="paragraph" w:customStyle="1" w:styleId="ECHRBullet4">
    <w:name w:val="ECHR_Bullet_4"/>
    <w:aliases w:val="_Bul_4"/>
    <w:basedOn w:val="ECHRBullet3"/>
    <w:uiPriority w:val="23"/>
    <w:semiHidden/>
    <w:rsid w:val="00384BCF"/>
    <w:pPr>
      <w:numPr>
        <w:ilvl w:val="3"/>
      </w:numPr>
    </w:pPr>
  </w:style>
  <w:style w:type="paragraph" w:customStyle="1" w:styleId="ECHRConfidential">
    <w:name w:val="ECHR_Confidential"/>
    <w:aliases w:val="_Confidential"/>
    <w:basedOn w:val="Normal"/>
    <w:next w:val="Normal"/>
    <w:uiPriority w:val="42"/>
    <w:semiHidden/>
    <w:qFormat/>
    <w:rsid w:val="00384BCF"/>
    <w:pPr>
      <w:jc w:val="right"/>
    </w:pPr>
    <w:rPr>
      <w:color w:val="C00000"/>
      <w:sz w:val="20"/>
    </w:rPr>
  </w:style>
  <w:style w:type="paragraph" w:customStyle="1" w:styleId="ECHRDecisionBody">
    <w:name w:val="ECHR_Decision_Body"/>
    <w:aliases w:val="_Decision_Body"/>
    <w:basedOn w:val="NormalJustified"/>
    <w:uiPriority w:val="54"/>
    <w:semiHidden/>
    <w:rsid w:val="00384BC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84BC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84BCF"/>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384BC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84BCF"/>
    <w:pPr>
      <w:jc w:val="right"/>
    </w:pPr>
    <w:rPr>
      <w:sz w:val="20"/>
    </w:rPr>
  </w:style>
  <w:style w:type="paragraph" w:customStyle="1" w:styleId="ECHRHeaderRefIt">
    <w:name w:val="ECHR_Header_Ref_It"/>
    <w:aliases w:val="_Ref_Ital"/>
    <w:basedOn w:val="Normal"/>
    <w:next w:val="ECHRHeaderDate"/>
    <w:uiPriority w:val="43"/>
    <w:qFormat/>
    <w:rsid w:val="00384BCF"/>
    <w:pPr>
      <w:jc w:val="right"/>
    </w:pPr>
    <w:rPr>
      <w:i/>
      <w:sz w:val="20"/>
    </w:rPr>
  </w:style>
  <w:style w:type="paragraph" w:customStyle="1" w:styleId="ECHRHeading9">
    <w:name w:val="ECHR_Heading_9"/>
    <w:aliases w:val="_Head_9"/>
    <w:basedOn w:val="Heading9"/>
    <w:uiPriority w:val="17"/>
    <w:semiHidden/>
    <w:rsid w:val="00384BCF"/>
    <w:pPr>
      <w:keepNext/>
      <w:keepLines/>
      <w:numPr>
        <w:ilvl w:val="8"/>
        <w:numId w:val="15"/>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84BC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84BCF"/>
    <w:pPr>
      <w:numPr>
        <w:numId w:val="18"/>
      </w:numPr>
      <w:spacing w:before="60" w:after="60"/>
    </w:pPr>
  </w:style>
  <w:style w:type="paragraph" w:customStyle="1" w:styleId="ECHRNumberedList2">
    <w:name w:val="ECHR_Numbered_List_2"/>
    <w:aliases w:val="_Num_2"/>
    <w:basedOn w:val="ECHRNumberedList1"/>
    <w:uiPriority w:val="23"/>
    <w:semiHidden/>
    <w:rsid w:val="00384BCF"/>
    <w:pPr>
      <w:numPr>
        <w:ilvl w:val="1"/>
      </w:numPr>
    </w:pPr>
  </w:style>
  <w:style w:type="paragraph" w:customStyle="1" w:styleId="ECHRNumberedList3">
    <w:name w:val="ECHR_Numbered_List_3"/>
    <w:aliases w:val="_Num_3"/>
    <w:basedOn w:val="ECHRNumberedList2"/>
    <w:uiPriority w:val="23"/>
    <w:semiHidden/>
    <w:rsid w:val="00384BCF"/>
    <w:pPr>
      <w:numPr>
        <w:ilvl w:val="2"/>
      </w:numPr>
    </w:pPr>
  </w:style>
  <w:style w:type="paragraph" w:customStyle="1" w:styleId="ECHRParaHanging">
    <w:name w:val="ECHR_Para_Hanging"/>
    <w:aliases w:val="_Hanging"/>
    <w:basedOn w:val="NormalJustified"/>
    <w:uiPriority w:val="8"/>
    <w:semiHidden/>
    <w:qFormat/>
    <w:rsid w:val="00384BCF"/>
    <w:pPr>
      <w:ind w:left="567" w:hanging="567"/>
    </w:pPr>
  </w:style>
  <w:style w:type="paragraph" w:customStyle="1" w:styleId="ECHRParaIndent">
    <w:name w:val="ECHR_Para_Indent"/>
    <w:aliases w:val="_Indent"/>
    <w:basedOn w:val="NormalJustified"/>
    <w:uiPriority w:val="7"/>
    <w:semiHidden/>
    <w:qFormat/>
    <w:rsid w:val="00384BCF"/>
    <w:pPr>
      <w:spacing w:before="120" w:after="120"/>
      <w:ind w:left="567"/>
    </w:pPr>
  </w:style>
  <w:style w:type="character" w:customStyle="1" w:styleId="ECHRRed">
    <w:name w:val="ECHR_Red"/>
    <w:aliases w:val="_Red"/>
    <w:basedOn w:val="DefaultParagraphFont"/>
    <w:uiPriority w:val="15"/>
    <w:semiHidden/>
    <w:qFormat/>
    <w:rsid w:val="00384BCF"/>
    <w:rPr>
      <w:color w:val="C00000" w:themeColor="accent2"/>
    </w:rPr>
  </w:style>
  <w:style w:type="paragraph" w:customStyle="1" w:styleId="DecList">
    <w:name w:val="Dec_List"/>
    <w:aliases w:val="_List"/>
    <w:basedOn w:val="JuList"/>
    <w:uiPriority w:val="22"/>
    <w:rsid w:val="00384BCF"/>
    <w:pPr>
      <w:numPr>
        <w:numId w:val="0"/>
      </w:numPr>
      <w:ind w:left="284"/>
    </w:pPr>
  </w:style>
  <w:style w:type="table" w:customStyle="1" w:styleId="ECHRTable2">
    <w:name w:val="ECHR_Table_2"/>
    <w:basedOn w:val="TableNormal"/>
    <w:uiPriority w:val="99"/>
    <w:rsid w:val="00384BC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84BC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84BC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84BC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84BC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84BC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84BC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84BC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84BCF"/>
    <w:pPr>
      <w:outlineLvl w:val="0"/>
    </w:pPr>
  </w:style>
  <w:style w:type="paragraph" w:customStyle="1" w:styleId="ECHRTitleTOC1">
    <w:name w:val="ECHR_Title_TOC_1"/>
    <w:aliases w:val="_Title_L_TOC"/>
    <w:basedOn w:val="ECHRTitle1"/>
    <w:next w:val="Normal"/>
    <w:uiPriority w:val="27"/>
    <w:semiHidden/>
    <w:qFormat/>
    <w:rsid w:val="00384BCF"/>
    <w:pPr>
      <w:outlineLvl w:val="0"/>
    </w:pPr>
  </w:style>
  <w:style w:type="paragraph" w:customStyle="1" w:styleId="ECHRPlaceholder">
    <w:name w:val="ECHR_Placeholder"/>
    <w:aliases w:val="_Placeholder"/>
    <w:basedOn w:val="JuSigned"/>
    <w:uiPriority w:val="31"/>
    <w:rsid w:val="00384BCF"/>
    <w:rPr>
      <w:color w:val="FFFFFF"/>
    </w:rPr>
  </w:style>
  <w:style w:type="paragraph" w:customStyle="1" w:styleId="ECHRSpacer">
    <w:name w:val="ECHR_Spacer"/>
    <w:aliases w:val="_Spacer"/>
    <w:basedOn w:val="Normal"/>
    <w:uiPriority w:val="45"/>
    <w:semiHidden/>
    <w:rsid w:val="00384BCF"/>
    <w:rPr>
      <w:sz w:val="4"/>
    </w:rPr>
  </w:style>
  <w:style w:type="table" w:customStyle="1" w:styleId="ECHRTableGrey">
    <w:name w:val="ECHR_Table_Grey"/>
    <w:basedOn w:val="TableNormal"/>
    <w:uiPriority w:val="99"/>
    <w:rsid w:val="00384BCF"/>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227BCF"/>
    <w:rPr>
      <w:sz w:val="24"/>
      <w:szCs w:val="24"/>
      <w:lang w:val="fr-FR"/>
    </w:rPr>
  </w:style>
  <w:style w:type="character" w:customStyle="1" w:styleId="JuNames0">
    <w:name w:val="Ju_Names"/>
    <w:rsid w:val="00227BCF"/>
    <w:rPr>
      <w:smallCaps/>
    </w:rPr>
  </w:style>
  <w:style w:type="paragraph" w:customStyle="1" w:styleId="JuList4">
    <w:name w:val="Ju_List_4"/>
    <w:aliases w:val="N_Bul_4"/>
    <w:basedOn w:val="JuListi"/>
    <w:uiPriority w:val="19"/>
    <w:rsid w:val="00227BCF"/>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227BC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227BC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27BC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27BC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27BC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27BC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27BC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27BC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27BC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27BC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27BC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27BC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27BC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27BC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27B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27B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27B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27BC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27B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27B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27B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27B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27B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27B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27BC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27B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27B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27B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27BC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27BC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27BC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27BC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27BC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27BC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27BC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27BC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27BC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27BC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27BC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27BC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27BC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27BC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27BCF"/>
    <w:rPr>
      <w:color w:val="2B579A"/>
      <w:shd w:val="clear" w:color="auto" w:fill="E1DFDD"/>
    </w:rPr>
  </w:style>
  <w:style w:type="table" w:styleId="ListTable1Light">
    <w:name w:val="List Table 1 Light"/>
    <w:basedOn w:val="TableNormal"/>
    <w:uiPriority w:val="46"/>
    <w:semiHidden/>
    <w:rsid w:val="00227BC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27BC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27BC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27BC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27BC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27BC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27BC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27BC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27BC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27BC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27BC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27BC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27BC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27BC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27BC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27BC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27BC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27BC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27BC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27BC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27BC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27B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27B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27B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27BC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27B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27B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27B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27BC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27BC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27BC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27BC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27BC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27BC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27BC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27BC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27BC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27BC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27BC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27BC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27BC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27BC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27BC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27BC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27BC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27BC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27BC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27BC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27BC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27BCF"/>
    <w:rPr>
      <w:color w:val="2B579A"/>
      <w:shd w:val="clear" w:color="auto" w:fill="E1DFDD"/>
    </w:rPr>
  </w:style>
  <w:style w:type="table" w:styleId="PlainTable1">
    <w:name w:val="Plain Table 1"/>
    <w:basedOn w:val="TableNormal"/>
    <w:uiPriority w:val="41"/>
    <w:semiHidden/>
    <w:rsid w:val="00227BC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27BC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27BC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27BC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27BC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27BCF"/>
    <w:rPr>
      <w:u w:val="dotted"/>
    </w:rPr>
  </w:style>
  <w:style w:type="character" w:customStyle="1" w:styleId="SmartLink">
    <w:name w:val="Smart Link"/>
    <w:basedOn w:val="DefaultParagraphFont"/>
    <w:uiPriority w:val="99"/>
    <w:semiHidden/>
    <w:unhideWhenUsed/>
    <w:rsid w:val="00227BCF"/>
    <w:rPr>
      <w:color w:val="0000FF"/>
      <w:u w:val="single"/>
      <w:shd w:val="clear" w:color="auto" w:fill="F3F2F1"/>
    </w:rPr>
  </w:style>
  <w:style w:type="table" w:styleId="TableGridLight">
    <w:name w:val="Grid Table Light"/>
    <w:basedOn w:val="TableNormal"/>
    <w:uiPriority w:val="40"/>
    <w:semiHidden/>
    <w:rsid w:val="00227BC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227BCF"/>
    <w:rPr>
      <w:sz w:val="24"/>
      <w:szCs w:val="24"/>
      <w:lang w:val="fr-FR"/>
    </w:rPr>
  </w:style>
  <w:style w:type="paragraph" w:customStyle="1" w:styleId="DummyStyle">
    <w:name w:val="Dummy_Style"/>
    <w:aliases w:val="_Dummy"/>
    <w:basedOn w:val="Normal"/>
    <w:semiHidden/>
    <w:qFormat/>
    <w:rsid w:val="00384BCF"/>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816C0F-2717-44D6-8476-CEA482836729}">
  <ds:schemaRefs>
    <ds:schemaRef ds:uri="http://schemas.openxmlformats.org/officeDocument/2006/bibliography"/>
  </ds:schemaRefs>
</ds:datastoreItem>
</file>

<file path=customXml/itemProps2.xml><?xml version="1.0" encoding="utf-8"?>
<ds:datastoreItem xmlns:ds="http://schemas.openxmlformats.org/officeDocument/2006/customXml" ds:itemID="{CBA0DF49-9139-43F5-AD93-F4DB6AA20494}"/>
</file>

<file path=customXml/itemProps3.xml><?xml version="1.0" encoding="utf-8"?>
<ds:datastoreItem xmlns:ds="http://schemas.openxmlformats.org/officeDocument/2006/customXml" ds:itemID="{029CFA34-5CF5-4FAF-8AB5-3CA41EEA00B2}"/>
</file>

<file path=customXml/itemProps4.xml><?xml version="1.0" encoding="utf-8"?>
<ds:datastoreItem xmlns:ds="http://schemas.openxmlformats.org/officeDocument/2006/customXml" ds:itemID="{9D33F296-8FAD-4ECF-AF76-B4FBC377FB12}"/>
</file>

<file path=docProps/app.xml><?xml version="1.0" encoding="utf-8"?>
<Properties xmlns="http://schemas.openxmlformats.org/officeDocument/2006/extended-properties" xmlns:vt="http://schemas.openxmlformats.org/officeDocument/2006/docPropsVTypes">
  <Template>Normal.dotm</Template>
  <TotalTime>0</TotalTime>
  <Pages>1</Pages>
  <Words>3247</Words>
  <Characters>18509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lastModifiedBy/>
  <cp:revision>1</cp:revision>
  <dcterms:created xsi:type="dcterms:W3CDTF">2023-02-09T16:35:00Z</dcterms:created>
  <dcterms:modified xsi:type="dcterms:W3CDTF">2023-02-09T16:35:00Z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11247/18</vt:lpwstr>
  </property>
  <property fmtid="{D5CDD505-2E9C-101B-9397-08002B2CF9AE}" pid="4" name="CASEID">
    <vt:lpwstr>1369278</vt:lpwstr>
  </property>
  <property fmtid="{D5CDD505-2E9C-101B-9397-08002B2CF9AE}" pid="5" name="ContentTypeId">
    <vt:lpwstr>0x010100558EB02BDB9E204AB350EDD385B68E10</vt:lpwstr>
  </property>
</Properties>
</file>