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0FE1D7" w14:textId="77777777" w:rsidR="00AB0EBA" w:rsidRDefault="00AB0EBA">
      <w:pPr>
        <w:jc w:val="center"/>
      </w:pPr>
    </w:p>
    <w:p w14:paraId="2457D5C1" w14:textId="77777777" w:rsidR="00AB0EBA" w:rsidRDefault="00AB0EBA">
      <w:pPr>
        <w:jc w:val="center"/>
      </w:pPr>
    </w:p>
    <w:p w14:paraId="58B023CE" w14:textId="77777777" w:rsidR="00AB0EBA" w:rsidRDefault="00724544">
      <w:pPr>
        <w:pStyle w:val="DecHCase"/>
      </w:pPr>
      <w:r>
        <w:t>SEKCJA PIERWSZA</w:t>
      </w:r>
    </w:p>
    <w:p w14:paraId="785A75BE" w14:textId="77777777" w:rsidR="00AB0EBA" w:rsidRDefault="00724544">
      <w:pPr>
        <w:pStyle w:val="JuTitle"/>
      </w:pPr>
      <w:bookmarkStart w:id="0" w:name="To"/>
      <w:r>
        <w:rPr>
          <w:color w:val="000000" w:themeColor="text1"/>
        </w:rPr>
        <w:t xml:space="preserve">SPRAWA </w:t>
      </w:r>
      <w:bookmarkEnd w:id="0"/>
      <w:r>
        <w:t>KASZUBSKI przeciwko POLSCE</w:t>
      </w:r>
    </w:p>
    <w:p w14:paraId="4163E70B" w14:textId="77777777" w:rsidR="00AB0EBA" w:rsidRDefault="00724544">
      <w:pPr>
        <w:pStyle w:val="ECHRCoverTitle4"/>
      </w:pPr>
      <w:r>
        <w:t>(Skarga nr 15466/19)</w:t>
      </w:r>
    </w:p>
    <w:p w14:paraId="30A375ED" w14:textId="77777777" w:rsidR="00AB0EBA" w:rsidRDefault="00AB0EBA">
      <w:pPr>
        <w:pStyle w:val="DecHCase"/>
      </w:pPr>
    </w:p>
    <w:p w14:paraId="09EFD247" w14:textId="77777777" w:rsidR="00AB0EBA" w:rsidRDefault="00AB0EBA">
      <w:pPr>
        <w:pStyle w:val="DecHCase"/>
      </w:pPr>
    </w:p>
    <w:p w14:paraId="5062A4B7" w14:textId="77777777" w:rsidR="00AB0EBA" w:rsidRDefault="00AB0EBA">
      <w:pPr>
        <w:pStyle w:val="DecHCase"/>
      </w:pPr>
    </w:p>
    <w:p w14:paraId="7355DFC9" w14:textId="77777777" w:rsidR="00AB0EBA" w:rsidRDefault="00AB0EBA">
      <w:pPr>
        <w:pStyle w:val="DecHCase"/>
      </w:pPr>
    </w:p>
    <w:p w14:paraId="40772405" w14:textId="77777777" w:rsidR="00AB0EBA" w:rsidRDefault="00AB0EBA">
      <w:pPr>
        <w:pStyle w:val="DecHCase"/>
      </w:pPr>
    </w:p>
    <w:p w14:paraId="35ADB35A" w14:textId="77777777" w:rsidR="00AB0EBA" w:rsidRDefault="00AB0EBA">
      <w:pPr>
        <w:pStyle w:val="DecHCase"/>
        <w:rPr>
          <w:lang w:val="sr-Latn-RS"/>
        </w:rPr>
      </w:pPr>
    </w:p>
    <w:p w14:paraId="63C64DDF" w14:textId="77777777" w:rsidR="00AB0EBA" w:rsidRDefault="00724544">
      <w:pPr>
        <w:pStyle w:val="DecHCase"/>
      </w:pPr>
      <w:r>
        <w:t>WYROK</w:t>
      </w:r>
    </w:p>
    <w:p w14:paraId="49A65D78" w14:textId="77777777" w:rsidR="00AB0EBA" w:rsidRDefault="00AB0EBA">
      <w:pPr>
        <w:jc w:val="center"/>
        <w:rPr>
          <w:i/>
        </w:rPr>
      </w:pPr>
    </w:p>
    <w:p w14:paraId="0E5CAF4C" w14:textId="77777777" w:rsidR="00AB0EBA" w:rsidRDefault="00724544">
      <w:pPr>
        <w:pStyle w:val="DecHCase"/>
      </w:pPr>
      <w:r>
        <w:t>STRASBURG</w:t>
      </w:r>
    </w:p>
    <w:p w14:paraId="14BD9CE7" w14:textId="77777777" w:rsidR="00AB0EBA" w:rsidRDefault="00724544">
      <w:pPr>
        <w:pStyle w:val="DecHCase"/>
      </w:pPr>
      <w:r>
        <w:t>10 listopada 2022 r.</w:t>
      </w:r>
    </w:p>
    <w:p w14:paraId="4938F66D" w14:textId="77777777" w:rsidR="00AB0EBA" w:rsidRDefault="00AB0EBA">
      <w:pPr>
        <w:jc w:val="center"/>
      </w:pPr>
    </w:p>
    <w:p w14:paraId="29528964" w14:textId="77777777" w:rsidR="00AB0EBA" w:rsidRDefault="00724544">
      <w:pPr>
        <w:rPr>
          <w:sz w:val="22"/>
          <w:szCs w:val="22"/>
        </w:rPr>
      </w:pPr>
      <w:r>
        <w:rPr>
          <w:i/>
          <w:sz w:val="22"/>
          <w:szCs w:val="22"/>
        </w:rPr>
        <w:t>Wyrok ten jest ostateczny, lecz może podlegać korekcie wydawniczej.</w:t>
      </w:r>
    </w:p>
    <w:p w14:paraId="5E6D9A57" w14:textId="77777777" w:rsidR="00AB0EBA" w:rsidRDefault="00AB0EBA">
      <w:pPr>
        <w:pStyle w:val="JuCase"/>
        <w:sectPr w:rsidR="00AB0EBA">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14:paraId="2DC6F3B8" w14:textId="69C4618D" w:rsidR="00AB0EBA" w:rsidRDefault="00724544">
      <w:pPr>
        <w:pStyle w:val="JuCase"/>
        <w:rPr>
          <w:bCs/>
        </w:rPr>
      </w:pPr>
      <w:r>
        <w:lastRenderedPageBreak/>
        <w:t>W sprawie Kaszubski przeciwko Polsce</w:t>
      </w:r>
      <w:r w:rsidR="00C43639">
        <w:t>,</w:t>
      </w:r>
    </w:p>
    <w:p w14:paraId="448093D7" w14:textId="77777777" w:rsidR="00AB0EBA" w:rsidRDefault="00724544">
      <w:pPr>
        <w:pStyle w:val="JuPara"/>
      </w:pPr>
      <w:r>
        <w:t>Europejski Trybunał Praw Człowieka (sekcja pierwsza), zasiadając jako komitet w składzie:</w:t>
      </w:r>
    </w:p>
    <w:p w14:paraId="13B46936" w14:textId="59EA4DAD" w:rsidR="00AB0EBA" w:rsidRDefault="00724544">
      <w:pPr>
        <w:pStyle w:val="JuJudges"/>
      </w:pPr>
      <w:r>
        <w:tab/>
        <w:t>Erik Wennerström</w:t>
      </w:r>
      <w:r>
        <w:rPr>
          <w:i/>
        </w:rPr>
        <w:t xml:space="preserve">, </w:t>
      </w:r>
      <w:r w:rsidR="003B3E1C">
        <w:rPr>
          <w:i/>
        </w:rPr>
        <w:t>P</w:t>
      </w:r>
      <w:r>
        <w:rPr>
          <w:i/>
        </w:rPr>
        <w:t>rzewodniczący</w:t>
      </w:r>
      <w:r>
        <w:t>,</w:t>
      </w:r>
      <w:r>
        <w:br/>
      </w:r>
      <w:r>
        <w:tab/>
        <w:t>Krzysztof Wojtyczek,</w:t>
      </w:r>
      <w:r>
        <w:br/>
      </w:r>
      <w:r>
        <w:tab/>
        <w:t>Lorraine Schembri Orland</w:t>
      </w:r>
      <w:r>
        <w:rPr>
          <w:i/>
        </w:rPr>
        <w:t xml:space="preserve">, </w:t>
      </w:r>
      <w:r w:rsidR="003B3E1C">
        <w:rPr>
          <w:i/>
        </w:rPr>
        <w:t>S</w:t>
      </w:r>
      <w:r>
        <w:rPr>
          <w:i/>
        </w:rPr>
        <w:t>ędziowie</w:t>
      </w:r>
      <w:r>
        <w:t>,</w:t>
      </w:r>
      <w:r>
        <w:br/>
        <w:t xml:space="preserve">oraz Viktoriya Maradudina, </w:t>
      </w:r>
      <w:r>
        <w:rPr>
          <w:i/>
        </w:rPr>
        <w:t>p.o.</w:t>
      </w:r>
      <w:r>
        <w:t xml:space="preserve"> </w:t>
      </w:r>
      <w:r w:rsidR="003B3E1C">
        <w:rPr>
          <w:i/>
        </w:rPr>
        <w:t>Z</w:t>
      </w:r>
      <w:r>
        <w:rPr>
          <w:i/>
        </w:rPr>
        <w:t>astępcy kanclerza sekcji,</w:t>
      </w:r>
    </w:p>
    <w:p w14:paraId="0B3508BF" w14:textId="429A34C8" w:rsidR="00AB0EBA" w:rsidRDefault="00724544">
      <w:pPr>
        <w:pStyle w:val="JuPara"/>
      </w:pPr>
      <w:r>
        <w:t>obradując na posiedzeniu niejawnym w</w:t>
      </w:r>
      <w:r w:rsidR="00EA3702">
        <w:t xml:space="preserve"> </w:t>
      </w:r>
      <w:r>
        <w:t>dniu 20</w:t>
      </w:r>
      <w:r w:rsidR="00EA3702">
        <w:t xml:space="preserve"> </w:t>
      </w:r>
      <w:r>
        <w:t>października 2022</w:t>
      </w:r>
      <w:r w:rsidR="00EA3702">
        <w:t xml:space="preserve"> </w:t>
      </w:r>
      <w:r>
        <w:t>r.,</w:t>
      </w:r>
    </w:p>
    <w:p w14:paraId="0C9D4FD9" w14:textId="30FEEAFD" w:rsidR="00AB0EBA" w:rsidRDefault="00724544">
      <w:pPr>
        <w:pStyle w:val="JuPara"/>
      </w:pPr>
      <w:r>
        <w:t>wydaje następujący wyrok, który został przyjęty w</w:t>
      </w:r>
      <w:r w:rsidR="00EA3702">
        <w:t xml:space="preserve"> </w:t>
      </w:r>
      <w:r>
        <w:t>tym dniu:</w:t>
      </w:r>
    </w:p>
    <w:p w14:paraId="0A0CDDC0" w14:textId="77777777" w:rsidR="00AB0EBA" w:rsidRDefault="00724544">
      <w:pPr>
        <w:pStyle w:val="JuHHead"/>
      </w:pPr>
      <w:bookmarkStart w:id="1" w:name="ITMARKStartJudgment"/>
      <w:bookmarkEnd w:id="1"/>
      <w:r>
        <w:t>POSTĘPOWANIE</w:t>
      </w:r>
    </w:p>
    <w:p w14:paraId="2AA3BEC8" w14:textId="70DB509B" w:rsidR="00AB0EBA" w:rsidRDefault="006339C1">
      <w:pPr>
        <w:pStyle w:val="JuPara"/>
      </w:pPr>
      <w:r>
        <w:fldChar w:fldCharType="begin"/>
      </w:r>
      <w:r>
        <w:instrText xml:space="preserve"> SEQ level0 \*arabic </w:instrText>
      </w:r>
      <w:r>
        <w:fldChar w:fldCharType="separate"/>
      </w:r>
      <w:r w:rsidR="00724544">
        <w:rPr>
          <w:noProof/>
        </w:rPr>
        <w:t>1</w:t>
      </w:r>
      <w:r>
        <w:rPr>
          <w:noProof/>
        </w:rPr>
        <w:fldChar w:fldCharType="end"/>
      </w:r>
      <w:r w:rsidR="00724544">
        <w:t>.  Sprawa wywodzi się ze skargi wniesionej do Trybunału w</w:t>
      </w:r>
      <w:r w:rsidR="00EA3702">
        <w:t xml:space="preserve"> </w:t>
      </w:r>
      <w:r w:rsidR="00724544">
        <w:t>dniu 14</w:t>
      </w:r>
      <w:r w:rsidR="00EA3702">
        <w:t xml:space="preserve"> </w:t>
      </w:r>
      <w:r w:rsidR="00724544">
        <w:t>marca 2019</w:t>
      </w:r>
      <w:r w:rsidR="00EA3702">
        <w:t xml:space="preserve"> </w:t>
      </w:r>
      <w:r w:rsidR="00724544">
        <w:t>r. przeciwko Polsce na podstawie art.</w:t>
      </w:r>
      <w:r w:rsidR="00EA3702">
        <w:t xml:space="preserve"> </w:t>
      </w:r>
      <w:r w:rsidR="00724544">
        <w:t>34 Konwencji o</w:t>
      </w:r>
      <w:r w:rsidR="00EA3702">
        <w:t xml:space="preserve"> </w:t>
      </w:r>
      <w:r w:rsidR="00724544">
        <w:t>ochronie praw człowieka i</w:t>
      </w:r>
      <w:r w:rsidR="00EA3702">
        <w:t xml:space="preserve"> </w:t>
      </w:r>
      <w:r w:rsidR="00724544">
        <w:t>podstawowych wolności („Konwencji”).</w:t>
      </w:r>
    </w:p>
    <w:p w14:paraId="66DAC2B0" w14:textId="4E8896BF" w:rsidR="00AB0EBA" w:rsidRDefault="006339C1">
      <w:pPr>
        <w:pStyle w:val="JuPara"/>
      </w:pPr>
      <w:r>
        <w:fldChar w:fldCharType="begin"/>
      </w:r>
      <w:r>
        <w:instrText xml:space="preserve"> SEQ level0 \*arabic </w:instrText>
      </w:r>
      <w:r>
        <w:fldChar w:fldCharType="separate"/>
      </w:r>
      <w:r w:rsidR="00724544">
        <w:rPr>
          <w:noProof/>
        </w:rPr>
        <w:t>2</w:t>
      </w:r>
      <w:r>
        <w:rPr>
          <w:noProof/>
        </w:rPr>
        <w:fldChar w:fldCharType="end"/>
      </w:r>
      <w:r w:rsidR="00724544">
        <w:t>.  Skarżący był reprezentowany przez p.</w:t>
      </w:r>
      <w:r w:rsidR="006D33EC">
        <w:t xml:space="preserve"> </w:t>
      </w:r>
      <w:r w:rsidR="00724544">
        <w:t>M.</w:t>
      </w:r>
      <w:r w:rsidR="006D33EC">
        <w:t xml:space="preserve"> </w:t>
      </w:r>
      <w:r w:rsidR="00724544">
        <w:t>Bartosiaka, adwokata praktykującego w</w:t>
      </w:r>
      <w:r w:rsidR="006D33EC">
        <w:t xml:space="preserve"> </w:t>
      </w:r>
      <w:r w:rsidR="00724544">
        <w:t>Warszawie.</w:t>
      </w:r>
    </w:p>
    <w:p w14:paraId="716BD771" w14:textId="77777777" w:rsidR="00AB0EBA" w:rsidRDefault="00724544">
      <w:pPr>
        <w:pStyle w:val="JuPara"/>
      </w:pPr>
      <w:r>
        <w:rPr>
          <w:rFonts w:cs="Times New Roman"/>
        </w:rPr>
        <w:fldChar w:fldCharType="begin"/>
      </w:r>
      <w:r>
        <w:rPr>
          <w:rFonts w:cs="Times New Roman"/>
        </w:rPr>
        <w:instrText xml:space="preserve"> SEQ level0 \*arabic </w:instrText>
      </w:r>
      <w:r>
        <w:rPr>
          <w:rFonts w:cs="Times New Roman"/>
        </w:rPr>
        <w:fldChar w:fldCharType="separate"/>
      </w:r>
      <w:r>
        <w:rPr>
          <w:rFonts w:cs="Times New Roman"/>
          <w:noProof/>
        </w:rPr>
        <w:t>3</w:t>
      </w:r>
      <w:r>
        <w:rPr>
          <w:rFonts w:cs="Times New Roman"/>
        </w:rPr>
        <w:fldChar w:fldCharType="end"/>
      </w:r>
      <w:r>
        <w:t>.  Skarga została zakomunikowana rządowi polskiemu („Rządowi”).</w:t>
      </w:r>
    </w:p>
    <w:p w14:paraId="5134ED68" w14:textId="77777777" w:rsidR="00AB0EBA" w:rsidRDefault="00724544">
      <w:pPr>
        <w:pStyle w:val="JuHHead"/>
      </w:pPr>
      <w:r>
        <w:t>STAN FAKTYCZNY</w:t>
      </w:r>
    </w:p>
    <w:p w14:paraId="76848339" w14:textId="12DDD475" w:rsidR="00AB0EBA" w:rsidRDefault="006339C1">
      <w:pPr>
        <w:pStyle w:val="JuPara"/>
      </w:pPr>
      <w:r>
        <w:fldChar w:fldCharType="begin"/>
      </w:r>
      <w:r>
        <w:instrText xml:space="preserve"> SEQ level0 \*arabic </w:instrText>
      </w:r>
      <w:r>
        <w:fldChar w:fldCharType="separate"/>
      </w:r>
      <w:r w:rsidR="00724544">
        <w:rPr>
          <w:noProof/>
        </w:rPr>
        <w:t>4</w:t>
      </w:r>
      <w:r>
        <w:rPr>
          <w:noProof/>
        </w:rPr>
        <w:fldChar w:fldCharType="end"/>
      </w:r>
      <w:r w:rsidR="00724544">
        <w:t>.  Szczegółowe informacje i</w:t>
      </w:r>
      <w:r w:rsidR="006D33EC">
        <w:t xml:space="preserve"> </w:t>
      </w:r>
      <w:r w:rsidR="00724544">
        <w:t>informacje istotne dla skargi zawarto w</w:t>
      </w:r>
      <w:r w:rsidR="006D33EC">
        <w:t xml:space="preserve"> </w:t>
      </w:r>
      <w:r w:rsidR="00724544">
        <w:t>załączonej tabeli.</w:t>
      </w:r>
    </w:p>
    <w:p w14:paraId="54AB16BE" w14:textId="32466160" w:rsidR="00AB0EBA" w:rsidRDefault="006339C1">
      <w:pPr>
        <w:pStyle w:val="JuPara"/>
        <w:rPr>
          <w:bCs/>
        </w:rPr>
      </w:pPr>
      <w:r>
        <w:fldChar w:fldCharType="begin"/>
      </w:r>
      <w:r>
        <w:instrText xml:space="preserve"> SEQ level0 \*arabic </w:instrText>
      </w:r>
      <w:r>
        <w:fldChar w:fldCharType="separate"/>
      </w:r>
      <w:r w:rsidR="00724544">
        <w:rPr>
          <w:noProof/>
        </w:rPr>
        <w:t>5</w:t>
      </w:r>
      <w:r>
        <w:rPr>
          <w:noProof/>
        </w:rPr>
        <w:fldChar w:fldCharType="end"/>
      </w:r>
      <w:r w:rsidR="00724544">
        <w:t>.  </w:t>
      </w:r>
      <w:r w:rsidR="00C43639" w:rsidRPr="00C43639">
        <w:t>Skarżący skarżył się na zbyt długi okres stosowania wobec niego tymczasowego aresztowania</w:t>
      </w:r>
      <w:r w:rsidR="00724544">
        <w:rPr>
          <w:bCs/>
          <w:color w:val="000000"/>
        </w:rPr>
        <w:t>.</w:t>
      </w:r>
      <w:r w:rsidR="00724544">
        <w:t xml:space="preserve"> W</w:t>
      </w:r>
      <w:r w:rsidR="006D33EC">
        <w:t xml:space="preserve"> </w:t>
      </w:r>
      <w:r w:rsidR="00724544">
        <w:t>skardze znalazły się również inne zarzuty wnoszone na podstawie Konwencji.</w:t>
      </w:r>
    </w:p>
    <w:p w14:paraId="42946CBC" w14:textId="77777777" w:rsidR="00AB0EBA" w:rsidRDefault="00724544">
      <w:pPr>
        <w:pStyle w:val="JuHHead"/>
      </w:pPr>
      <w:r>
        <w:t>PRAWO</w:t>
      </w:r>
    </w:p>
    <w:p w14:paraId="531C4FD9" w14:textId="73FA279A" w:rsidR="00AB0EBA" w:rsidRDefault="00724544">
      <w:pPr>
        <w:pStyle w:val="JuHIRoman"/>
        <w:rPr>
          <w:rFonts w:eastAsia="PMingLiU"/>
        </w:rPr>
      </w:pPr>
      <w:r>
        <w:t>ZARZUCANE NARUSZENIE ART.</w:t>
      </w:r>
      <w:r w:rsidR="006D33EC">
        <w:t xml:space="preserve"> </w:t>
      </w:r>
      <w:r>
        <w:t>5 UST.</w:t>
      </w:r>
      <w:r w:rsidR="006D33EC">
        <w:t xml:space="preserve"> </w:t>
      </w:r>
      <w:r>
        <w:t>3 KONWENCJI</w:t>
      </w:r>
    </w:p>
    <w:p w14:paraId="003012B9" w14:textId="56EABCEC" w:rsidR="00AB0EBA" w:rsidRDefault="006339C1">
      <w:pPr>
        <w:pStyle w:val="JuPara"/>
      </w:pPr>
      <w:r>
        <w:fldChar w:fldCharType="begin"/>
      </w:r>
      <w:r>
        <w:instrText xml:space="preserve"> SEQ level0 \*arabic </w:instrText>
      </w:r>
      <w:r>
        <w:fldChar w:fldCharType="separate"/>
      </w:r>
      <w:r w:rsidR="00724544">
        <w:rPr>
          <w:noProof/>
        </w:rPr>
        <w:t>6</w:t>
      </w:r>
      <w:r>
        <w:rPr>
          <w:noProof/>
        </w:rPr>
        <w:fldChar w:fldCharType="end"/>
      </w:r>
      <w:r w:rsidR="00724544">
        <w:t>.  Zasadniczo skarżący zarzucił w</w:t>
      </w:r>
      <w:r w:rsidR="006D33EC">
        <w:t xml:space="preserve"> </w:t>
      </w:r>
      <w:r w:rsidR="00724544">
        <w:t>skardze, że jego tymczasowe aresztowanie było nieracjonalnie długie. Powołał się na art.</w:t>
      </w:r>
      <w:r w:rsidR="006D33EC">
        <w:t xml:space="preserve"> </w:t>
      </w:r>
      <w:r w:rsidR="00724544">
        <w:t>5 ust.</w:t>
      </w:r>
      <w:r w:rsidR="006D33EC">
        <w:t xml:space="preserve"> </w:t>
      </w:r>
      <w:r w:rsidR="00724544">
        <w:t>3 Konwencji, który ma następujące brzmienie:</w:t>
      </w:r>
    </w:p>
    <w:p w14:paraId="4F4B0358" w14:textId="3AAF0ACD" w:rsidR="00AB0EBA" w:rsidRDefault="00724544">
      <w:pPr>
        <w:pStyle w:val="JuQuot"/>
      </w:pPr>
      <w:r>
        <w:t>„Każdy zatrzymany lub aresztowany zgodnie z</w:t>
      </w:r>
      <w:r w:rsidR="006D33EC">
        <w:t xml:space="preserve"> </w:t>
      </w:r>
      <w:r>
        <w:t>postanowieniami ustępu</w:t>
      </w:r>
      <w:r w:rsidR="006D33EC">
        <w:t xml:space="preserve"> </w:t>
      </w:r>
      <w:r>
        <w:t>1 lit.</w:t>
      </w:r>
      <w:r w:rsidR="006D33EC">
        <w:t xml:space="preserve"> </w:t>
      </w:r>
      <w:r>
        <w:t>c</w:t>
      </w:r>
      <w:r w:rsidR="006D33EC">
        <w:t>)</w:t>
      </w:r>
      <w:r>
        <w:t xml:space="preserve"> niniejszego artykułu [...] ma prawo być sądzony w rozsądnym terminie albo zwolniony na czas postępowania. Zwolnienie może zostać uzależnione od udzielenia gwarancji zapewniających stawienie się na rozprawę”.</w:t>
      </w:r>
    </w:p>
    <w:p w14:paraId="0BCC3365" w14:textId="51CCEECA" w:rsidR="00AB0EBA" w:rsidRDefault="006339C1">
      <w:pPr>
        <w:pStyle w:val="JuPara"/>
      </w:pPr>
      <w:r>
        <w:fldChar w:fldCharType="begin"/>
      </w:r>
      <w:r>
        <w:instrText xml:space="preserve"> SEQ level0 \*arabic </w:instrText>
      </w:r>
      <w:r>
        <w:fldChar w:fldCharType="separate"/>
      </w:r>
      <w:r w:rsidR="00724544">
        <w:rPr>
          <w:noProof/>
        </w:rPr>
        <w:t>7</w:t>
      </w:r>
      <w:r>
        <w:rPr>
          <w:noProof/>
        </w:rPr>
        <w:fldChar w:fldCharType="end"/>
      </w:r>
      <w:r w:rsidR="00724544">
        <w:t xml:space="preserve">.  Trybunał zauważa, że zasady ogólne dotyczące prawa do </w:t>
      </w:r>
      <w:r w:rsidR="00C43639">
        <w:t>procesu</w:t>
      </w:r>
      <w:r w:rsidR="00724544">
        <w:t xml:space="preserve"> w rozsądnym terminie albo zwolnienia na czas postępowania, zagwarantowane w</w:t>
      </w:r>
      <w:r w:rsidR="006D33EC">
        <w:t xml:space="preserve"> </w:t>
      </w:r>
      <w:r w:rsidR="00724544">
        <w:t>art.</w:t>
      </w:r>
      <w:r w:rsidR="006D33EC">
        <w:t xml:space="preserve"> </w:t>
      </w:r>
      <w:r w:rsidR="00724544">
        <w:t>5 ust.</w:t>
      </w:r>
      <w:r w:rsidR="006D33EC">
        <w:t xml:space="preserve"> </w:t>
      </w:r>
      <w:r w:rsidR="00724544">
        <w:t>3 Konwencji, zostały określone w</w:t>
      </w:r>
      <w:r w:rsidR="006D33EC">
        <w:t xml:space="preserve"> </w:t>
      </w:r>
      <w:r w:rsidR="00724544">
        <w:t>szeregu wcześniejszych wyroków (zob.</w:t>
      </w:r>
      <w:r w:rsidR="006D33EC">
        <w:t xml:space="preserve"> </w:t>
      </w:r>
      <w:r w:rsidR="00724544">
        <w:t xml:space="preserve">między innymi </w:t>
      </w:r>
      <w:r w:rsidR="00724544">
        <w:rPr>
          <w:i/>
        </w:rPr>
        <w:t>Kudła przeciwko Polsce</w:t>
      </w:r>
      <w:r w:rsidR="00724544">
        <w:t xml:space="preserve"> [WI], skarga nr</w:t>
      </w:r>
      <w:r w:rsidR="006D33EC">
        <w:t xml:space="preserve"> </w:t>
      </w:r>
      <w:r w:rsidR="00724544">
        <w:t xml:space="preserve">30210/96, </w:t>
      </w:r>
      <w:r w:rsidR="00EA3702">
        <w:t>§</w:t>
      </w:r>
      <w:r w:rsidR="006D33EC">
        <w:t xml:space="preserve"> </w:t>
      </w:r>
      <w:r w:rsidR="00724544">
        <w:t>110., ETPC</w:t>
      </w:r>
      <w:r w:rsidR="006D33EC">
        <w:t xml:space="preserve"> </w:t>
      </w:r>
      <w:r w:rsidR="00724544">
        <w:t>2000</w:t>
      </w:r>
      <w:r w:rsidR="00724544">
        <w:noBreakHyphen/>
        <w:t xml:space="preserve">XI; oraz </w:t>
      </w:r>
      <w:r w:rsidR="00724544">
        <w:rPr>
          <w:i/>
        </w:rPr>
        <w:t xml:space="preserve">McKay przeciwko </w:t>
      </w:r>
      <w:r w:rsidR="00724544">
        <w:rPr>
          <w:i/>
        </w:rPr>
        <w:lastRenderedPageBreak/>
        <w:t>Zjednoczonemu Królestwu</w:t>
      </w:r>
      <w:r w:rsidR="00724544">
        <w:t xml:space="preserve"> [WI], skarga nr</w:t>
      </w:r>
      <w:r w:rsidR="006D33EC">
        <w:t xml:space="preserve"> </w:t>
      </w:r>
      <w:r w:rsidR="00724544">
        <w:t xml:space="preserve">543/03, </w:t>
      </w:r>
      <w:r w:rsidR="00EA3702">
        <w:t>§§</w:t>
      </w:r>
      <w:r w:rsidR="006D33EC">
        <w:t xml:space="preserve"> </w:t>
      </w:r>
      <w:r w:rsidR="00724544">
        <w:t>41–44, ETPC</w:t>
      </w:r>
      <w:r w:rsidR="006D33EC">
        <w:t xml:space="preserve"> </w:t>
      </w:r>
      <w:r w:rsidR="00724544">
        <w:t>2006</w:t>
      </w:r>
      <w:r w:rsidR="00724544">
        <w:noBreakHyphen/>
        <w:t>X, z</w:t>
      </w:r>
      <w:r w:rsidR="006D33EC">
        <w:t xml:space="preserve"> </w:t>
      </w:r>
      <w:r w:rsidR="00724544">
        <w:t>przytoczonymi odesłaniami).</w:t>
      </w:r>
    </w:p>
    <w:p w14:paraId="33DC652F" w14:textId="7B2118E8" w:rsidR="00AB0EBA" w:rsidRDefault="006339C1">
      <w:pPr>
        <w:pStyle w:val="JuPara"/>
      </w:pPr>
      <w:r>
        <w:fldChar w:fldCharType="begin"/>
      </w:r>
      <w:r>
        <w:instrText xml:space="preserve"> SEQ level0 \*arabic </w:instrText>
      </w:r>
      <w:r>
        <w:fldChar w:fldCharType="separate"/>
      </w:r>
      <w:r w:rsidR="00724544">
        <w:rPr>
          <w:noProof/>
        </w:rPr>
        <w:t>8</w:t>
      </w:r>
      <w:r>
        <w:rPr>
          <w:noProof/>
        </w:rPr>
        <w:fldChar w:fldCharType="end"/>
      </w:r>
      <w:r w:rsidR="00724544">
        <w:t>.  W</w:t>
      </w:r>
      <w:r w:rsidR="006D33EC">
        <w:t xml:space="preserve"> </w:t>
      </w:r>
      <w:r w:rsidR="00724544">
        <w:t xml:space="preserve">sprawach wiodących </w:t>
      </w:r>
      <w:r w:rsidR="00724544">
        <w:rPr>
          <w:i/>
        </w:rPr>
        <w:t xml:space="preserve">Kauczor przeciwko Polsce, </w:t>
      </w:r>
      <w:r w:rsidR="00724544">
        <w:t>skarga nr</w:t>
      </w:r>
      <w:r w:rsidR="00EA3702">
        <w:t xml:space="preserve"> </w:t>
      </w:r>
      <w:r w:rsidR="00724544">
        <w:t>45219/06, wyrok z</w:t>
      </w:r>
      <w:r w:rsidR="00EA3702">
        <w:t xml:space="preserve"> </w:t>
      </w:r>
      <w:r w:rsidR="00724544">
        <w:t>dnia 3</w:t>
      </w:r>
      <w:r w:rsidR="00EA3702">
        <w:t xml:space="preserve"> </w:t>
      </w:r>
      <w:r w:rsidR="00724544">
        <w:t>lutego 2009</w:t>
      </w:r>
      <w:r w:rsidR="00EA3702">
        <w:t xml:space="preserve"> </w:t>
      </w:r>
      <w:r w:rsidR="00724544">
        <w:t xml:space="preserve">r., oraz </w:t>
      </w:r>
      <w:r w:rsidR="00724544">
        <w:rPr>
          <w:i/>
        </w:rPr>
        <w:t xml:space="preserve">Celejewski przeciwko Polsce, </w:t>
      </w:r>
      <w:r w:rsidR="00724544">
        <w:t>skarga nr</w:t>
      </w:r>
      <w:r w:rsidR="00EA3702">
        <w:t xml:space="preserve"> </w:t>
      </w:r>
      <w:r w:rsidR="00724544">
        <w:t>17584/04, wyrok z</w:t>
      </w:r>
      <w:r w:rsidR="00EA3702">
        <w:t xml:space="preserve"> </w:t>
      </w:r>
      <w:r w:rsidR="00724544">
        <w:t>dnia 4</w:t>
      </w:r>
      <w:r w:rsidR="00EA3702">
        <w:t xml:space="preserve"> </w:t>
      </w:r>
      <w:r w:rsidR="00724544">
        <w:t>maja 2006</w:t>
      </w:r>
      <w:r w:rsidR="00EA3702">
        <w:t xml:space="preserve"> </w:t>
      </w:r>
      <w:r w:rsidR="00724544">
        <w:t>r.</w:t>
      </w:r>
      <w:r w:rsidR="00C43639">
        <w:t>,</w:t>
      </w:r>
      <w:r w:rsidR="00724544">
        <w:t xml:space="preserve"> Trybunał orzekał już naruszenie w</w:t>
      </w:r>
      <w:r w:rsidR="00EA3702">
        <w:t xml:space="preserve"> </w:t>
      </w:r>
      <w:r w:rsidR="00724544">
        <w:t>odniesieniu do podobnych zagadnień jak występujące w</w:t>
      </w:r>
      <w:r w:rsidR="00EA3702">
        <w:t xml:space="preserve"> </w:t>
      </w:r>
      <w:r w:rsidR="00724544">
        <w:t>niniejszej sprawie.</w:t>
      </w:r>
    </w:p>
    <w:p w14:paraId="29229E75" w14:textId="6BFFFDFD" w:rsidR="00AB0EBA" w:rsidRDefault="006339C1">
      <w:pPr>
        <w:pStyle w:val="JuPara"/>
      </w:pPr>
      <w:r>
        <w:fldChar w:fldCharType="begin"/>
      </w:r>
      <w:r>
        <w:instrText xml:space="preserve"> SEQ level0 \*arabic </w:instrText>
      </w:r>
      <w:r>
        <w:fldChar w:fldCharType="separate"/>
      </w:r>
      <w:r w:rsidR="00724544">
        <w:rPr>
          <w:noProof/>
        </w:rPr>
        <w:t>9</w:t>
      </w:r>
      <w:r>
        <w:rPr>
          <w:noProof/>
        </w:rPr>
        <w:fldChar w:fldCharType="end"/>
      </w:r>
      <w:r w:rsidR="00724544">
        <w:t>.  </w:t>
      </w:r>
      <w:r w:rsidR="003B3E1C">
        <w:t>Po zapoznaniu</w:t>
      </w:r>
      <w:r w:rsidR="00724544">
        <w:t xml:space="preserve"> się z</w:t>
      </w:r>
      <w:r w:rsidR="00EA3702">
        <w:t xml:space="preserve"> </w:t>
      </w:r>
      <w:r w:rsidR="00724544">
        <w:t>przedłożonym mu materiałem, Trybunał nie stwierdził istnienia żadnych okoliczności faktycznych ani argumentów, które skłoniłyby go do odmiennego wniosku w</w:t>
      </w:r>
      <w:r w:rsidR="00EA3702">
        <w:t xml:space="preserve"> </w:t>
      </w:r>
      <w:r w:rsidR="00724544">
        <w:t>przedmiocie dopuszczalności i</w:t>
      </w:r>
      <w:r w:rsidR="00EA3702">
        <w:t xml:space="preserve"> </w:t>
      </w:r>
      <w:r w:rsidR="00724544">
        <w:t>istoty tych zarzutów. Mając na uwadze własne orzecznictwo w</w:t>
      </w:r>
      <w:r w:rsidR="00EA3702">
        <w:t xml:space="preserve"> </w:t>
      </w:r>
      <w:r w:rsidR="00724544">
        <w:t>tej kwestii, Trybunał uznaje, że w</w:t>
      </w:r>
      <w:r w:rsidR="00EA3702">
        <w:t xml:space="preserve"> </w:t>
      </w:r>
      <w:r w:rsidR="00724544">
        <w:t>niniejszej sprawie długość tymczasowego aresztowania zastosowanego wobec skarżącego była nadmierna.</w:t>
      </w:r>
    </w:p>
    <w:p w14:paraId="3025B4F0" w14:textId="5991CDF8" w:rsidR="00AB0EBA" w:rsidRDefault="006339C1">
      <w:pPr>
        <w:pStyle w:val="JuPara"/>
      </w:pPr>
      <w:r>
        <w:fldChar w:fldCharType="begin"/>
      </w:r>
      <w:r>
        <w:instrText xml:space="preserve"> SEQ level0 \*arabic </w:instrText>
      </w:r>
      <w:r>
        <w:fldChar w:fldCharType="separate"/>
      </w:r>
      <w:r w:rsidR="00724544">
        <w:rPr>
          <w:noProof/>
        </w:rPr>
        <w:t>10</w:t>
      </w:r>
      <w:r>
        <w:rPr>
          <w:noProof/>
        </w:rPr>
        <w:fldChar w:fldCharType="end"/>
      </w:r>
      <w:r w:rsidR="00724544">
        <w:t>.  Zarzuty są zatem dopuszczalne i</w:t>
      </w:r>
      <w:r w:rsidR="00EA3702">
        <w:t xml:space="preserve"> </w:t>
      </w:r>
      <w:r w:rsidR="00724544">
        <w:t>wskazują na naruszenie art.</w:t>
      </w:r>
      <w:r w:rsidR="00EA3702">
        <w:t xml:space="preserve"> </w:t>
      </w:r>
      <w:r w:rsidR="00724544">
        <w:t>5 ust.</w:t>
      </w:r>
      <w:r w:rsidR="00EA3702">
        <w:t xml:space="preserve"> </w:t>
      </w:r>
      <w:r w:rsidR="00724544">
        <w:t>3 Konwencji.</w:t>
      </w:r>
    </w:p>
    <w:p w14:paraId="319B2B23" w14:textId="77777777" w:rsidR="00AB0EBA" w:rsidRDefault="00724544">
      <w:pPr>
        <w:pStyle w:val="JuHIRoman"/>
        <w:rPr>
          <w:rFonts w:eastAsia="PMingLiU"/>
        </w:rPr>
      </w:pPr>
      <w:r>
        <w:t>POZOSTAŁE ZARZUCANE NARUSZENIA W ŚWIETLE UTRWALONEGO ORZECZNICTWA</w:t>
      </w:r>
    </w:p>
    <w:p w14:paraId="28D2B04A" w14:textId="4A58E17E" w:rsidR="00AB0EBA" w:rsidRDefault="006339C1">
      <w:pPr>
        <w:pStyle w:val="JuPara"/>
        <w:rPr>
          <w:snapToGrid w:val="0"/>
        </w:rPr>
      </w:pPr>
      <w:r>
        <w:fldChar w:fldCharType="begin"/>
      </w:r>
      <w:r>
        <w:instrText xml:space="preserve"> SEQ level0 \*arabic </w:instrText>
      </w:r>
      <w:r>
        <w:fldChar w:fldCharType="separate"/>
      </w:r>
      <w:r w:rsidR="00724544">
        <w:rPr>
          <w:noProof/>
        </w:rPr>
        <w:t>11</w:t>
      </w:r>
      <w:r>
        <w:rPr>
          <w:noProof/>
        </w:rPr>
        <w:fldChar w:fldCharType="end"/>
      </w:r>
      <w:r w:rsidR="00724544">
        <w:t>.  Skarżący zawarł w</w:t>
      </w:r>
      <w:r w:rsidR="006D33EC">
        <w:t xml:space="preserve"> </w:t>
      </w:r>
      <w:r w:rsidR="00724544">
        <w:t>skardze inne zarzuty, które również dotyczyły zagadnień objętych Konwencją w</w:t>
      </w:r>
      <w:r w:rsidR="006D33EC">
        <w:t xml:space="preserve"> </w:t>
      </w:r>
      <w:r w:rsidR="00724544">
        <w:t>świetle istotnego utrwalonego orzecznictwa Trybunału (zob.</w:t>
      </w:r>
      <w:r w:rsidR="006D33EC">
        <w:t xml:space="preserve"> </w:t>
      </w:r>
      <w:r w:rsidR="00724544">
        <w:t>załączona tabela). Skargi nie są w</w:t>
      </w:r>
      <w:r w:rsidR="006D33EC">
        <w:t xml:space="preserve"> </w:t>
      </w:r>
      <w:r w:rsidR="00724544">
        <w:t>sposób oczywisty nieuzasadnione w</w:t>
      </w:r>
      <w:r w:rsidR="006D33EC">
        <w:t xml:space="preserve"> </w:t>
      </w:r>
      <w:r w:rsidR="00724544">
        <w:t>rozumieniu art.</w:t>
      </w:r>
      <w:r w:rsidR="006D33EC">
        <w:t xml:space="preserve"> </w:t>
      </w:r>
      <w:r w:rsidR="00724544">
        <w:t>35 ust.</w:t>
      </w:r>
      <w:r w:rsidR="006D33EC">
        <w:t xml:space="preserve"> </w:t>
      </w:r>
      <w:r w:rsidR="00724544">
        <w:t>3 lit.</w:t>
      </w:r>
      <w:r w:rsidR="006D33EC">
        <w:t xml:space="preserve"> </w:t>
      </w:r>
      <w:r w:rsidR="00724544">
        <w:t>a Konwencji ani niedopuszczalne z uwagi na inne przesłanki. Z</w:t>
      </w:r>
      <w:r w:rsidR="006D33EC">
        <w:t xml:space="preserve"> </w:t>
      </w:r>
      <w:r w:rsidR="00724544">
        <w:t>tego względu muszą być uznane za dopuszczalne. Zapoznawszy się z</w:t>
      </w:r>
      <w:r w:rsidR="006D33EC">
        <w:t xml:space="preserve"> </w:t>
      </w:r>
      <w:r w:rsidR="00724544">
        <w:t>całością przedłożonego mu materiału, Trybunał uznaje, że wskazuje on również na naruszenia Konwencji w</w:t>
      </w:r>
      <w:r w:rsidR="006D33EC">
        <w:t xml:space="preserve"> </w:t>
      </w:r>
      <w:r w:rsidR="00724544">
        <w:t>świetle jego rozstrzygnięć zawartych w</w:t>
      </w:r>
      <w:r w:rsidR="006D33EC">
        <w:t xml:space="preserve"> </w:t>
      </w:r>
      <w:r w:rsidR="00724544">
        <w:t xml:space="preserve">wyrokach </w:t>
      </w:r>
      <w:r w:rsidR="00724544">
        <w:rPr>
          <w:i/>
          <w:iCs/>
        </w:rPr>
        <w:t>Baranowski przeciwko</w:t>
      </w:r>
      <w:r w:rsidR="006D33EC">
        <w:rPr>
          <w:i/>
          <w:iCs/>
        </w:rPr>
        <w:t xml:space="preserve"> </w:t>
      </w:r>
      <w:r w:rsidR="00724544">
        <w:rPr>
          <w:i/>
          <w:iCs/>
        </w:rPr>
        <w:t>Polsce</w:t>
      </w:r>
      <w:r w:rsidR="00724544">
        <w:t>, skarga nr</w:t>
      </w:r>
      <w:r w:rsidR="006D33EC">
        <w:t xml:space="preserve"> </w:t>
      </w:r>
      <w:r w:rsidR="00724544">
        <w:t xml:space="preserve">28358/95, </w:t>
      </w:r>
      <w:r w:rsidR="00EA3702">
        <w:t>§§</w:t>
      </w:r>
      <w:r w:rsidR="006D33EC">
        <w:t xml:space="preserve"> </w:t>
      </w:r>
      <w:r w:rsidR="00724544">
        <w:t>68–77, ETPC 2000</w:t>
      </w:r>
      <w:r w:rsidR="00724544">
        <w:noBreakHyphen/>
        <w:t xml:space="preserve">III, </w:t>
      </w:r>
      <w:r w:rsidR="00724544">
        <w:rPr>
          <w:i/>
          <w:iCs/>
        </w:rPr>
        <w:t>Shcherbina przeciwko Rosji</w:t>
      </w:r>
      <w:r w:rsidR="00724544">
        <w:t>, skarga nr</w:t>
      </w:r>
      <w:r w:rsidR="006D33EC">
        <w:t xml:space="preserve"> </w:t>
      </w:r>
      <w:r w:rsidR="00724544">
        <w:t xml:space="preserve">41970/11, </w:t>
      </w:r>
      <w:r w:rsidR="00EA3702">
        <w:t>§§</w:t>
      </w:r>
      <w:r w:rsidR="006D33EC">
        <w:t xml:space="preserve"> </w:t>
      </w:r>
      <w:r w:rsidR="00724544">
        <w:t>62–65, 26</w:t>
      </w:r>
      <w:r w:rsidR="006D33EC">
        <w:t xml:space="preserve"> </w:t>
      </w:r>
      <w:r w:rsidR="00724544">
        <w:t>czerwca 2014</w:t>
      </w:r>
      <w:r w:rsidR="006D33EC">
        <w:t xml:space="preserve"> </w:t>
      </w:r>
      <w:r w:rsidR="00724544">
        <w:t>r., a</w:t>
      </w:r>
      <w:r w:rsidR="006D33EC">
        <w:t xml:space="preserve"> </w:t>
      </w:r>
      <w:r w:rsidR="00724544">
        <w:t xml:space="preserve">także </w:t>
      </w:r>
      <w:r w:rsidR="00724544">
        <w:rPr>
          <w:i/>
          <w:iCs/>
        </w:rPr>
        <w:t>Khodorkovskiy przeciwko Rosji</w:t>
      </w:r>
      <w:r w:rsidR="00724544">
        <w:t>, skarga nr</w:t>
      </w:r>
      <w:r w:rsidR="006D33EC">
        <w:t xml:space="preserve"> </w:t>
      </w:r>
      <w:r w:rsidR="00724544">
        <w:t xml:space="preserve">5829/04, </w:t>
      </w:r>
      <w:r w:rsidR="00EA3702">
        <w:t>§§</w:t>
      </w:r>
      <w:r w:rsidR="006D33EC">
        <w:t xml:space="preserve"> </w:t>
      </w:r>
      <w:r w:rsidR="00724544">
        <w:t>243–48, 31</w:t>
      </w:r>
      <w:r w:rsidR="006D33EC">
        <w:t xml:space="preserve"> </w:t>
      </w:r>
      <w:r w:rsidR="00724544">
        <w:t>maja 2011</w:t>
      </w:r>
      <w:r w:rsidR="006D33EC">
        <w:t xml:space="preserve"> </w:t>
      </w:r>
      <w:r w:rsidR="00724544">
        <w:t>r</w:t>
      </w:r>
      <w:r w:rsidR="00724544">
        <w:rPr>
          <w:snapToGrid w:val="0"/>
        </w:rPr>
        <w:t>.</w:t>
      </w:r>
    </w:p>
    <w:p w14:paraId="35C1C0CE" w14:textId="0AC59484" w:rsidR="00AB0EBA" w:rsidRDefault="00724544">
      <w:pPr>
        <w:pStyle w:val="JuHIRoman"/>
      </w:pPr>
      <w:r>
        <w:t>ZASTOSOWANIE ART.</w:t>
      </w:r>
      <w:r w:rsidR="006D33EC">
        <w:t xml:space="preserve"> </w:t>
      </w:r>
      <w:r>
        <w:t>41 KONWENCJI</w:t>
      </w:r>
    </w:p>
    <w:p w14:paraId="650E61F8" w14:textId="0AD88AE0" w:rsidR="00AB0EBA" w:rsidRDefault="006339C1">
      <w:pPr>
        <w:pStyle w:val="JuPara"/>
      </w:pPr>
      <w:r>
        <w:fldChar w:fldCharType="begin"/>
      </w:r>
      <w:r>
        <w:instrText xml:space="preserve"> SEQ level0 \*arabic </w:instrText>
      </w:r>
      <w:r>
        <w:fldChar w:fldCharType="separate"/>
      </w:r>
      <w:r w:rsidR="00724544">
        <w:rPr>
          <w:noProof/>
        </w:rPr>
        <w:t>12</w:t>
      </w:r>
      <w:r>
        <w:rPr>
          <w:noProof/>
        </w:rPr>
        <w:fldChar w:fldCharType="end"/>
      </w:r>
      <w:r w:rsidR="00724544">
        <w:t>.  Artykuł</w:t>
      </w:r>
      <w:r w:rsidR="006D33EC">
        <w:t xml:space="preserve"> </w:t>
      </w:r>
      <w:r w:rsidR="00724544">
        <w:t>41 Konwencji stanowi:</w:t>
      </w:r>
    </w:p>
    <w:p w14:paraId="73D15DB4" w14:textId="2ECCE3F5" w:rsidR="00AB0EBA" w:rsidRDefault="00724544">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w:t>
      </w:r>
      <w:r w:rsidR="006D33EC">
        <w:t xml:space="preserve"> </w:t>
      </w:r>
      <w:r>
        <w:t>przyznaniu słusznego zadośćuczynienia pokrzywdzonej stronie”.</w:t>
      </w:r>
    </w:p>
    <w:p w14:paraId="4204B0D6" w14:textId="48374034" w:rsidR="00AB0EBA" w:rsidRDefault="006339C1">
      <w:pPr>
        <w:pStyle w:val="JuPara"/>
      </w:pPr>
      <w:r>
        <w:fldChar w:fldCharType="begin"/>
      </w:r>
      <w:r>
        <w:instrText xml:space="preserve"> SEQ level0 \*arabic </w:instrText>
      </w:r>
      <w:r>
        <w:fldChar w:fldCharType="separate"/>
      </w:r>
      <w:r w:rsidR="00724544">
        <w:rPr>
          <w:noProof/>
        </w:rPr>
        <w:t>13</w:t>
      </w:r>
      <w:r>
        <w:rPr>
          <w:noProof/>
        </w:rPr>
        <w:fldChar w:fldCharType="end"/>
      </w:r>
      <w:r w:rsidR="00724544">
        <w:t>.  W świetle posiadanych dokumentów i</w:t>
      </w:r>
      <w:r w:rsidR="00EA3702">
        <w:t xml:space="preserve"> </w:t>
      </w:r>
      <w:r w:rsidR="00724544">
        <w:t>orzecznictwa (zob.</w:t>
      </w:r>
      <w:r w:rsidR="00EA3702">
        <w:t xml:space="preserve"> </w:t>
      </w:r>
      <w:r w:rsidR="00724544">
        <w:t>w</w:t>
      </w:r>
      <w:r w:rsidR="00EA3702">
        <w:t xml:space="preserve"> </w:t>
      </w:r>
      <w:r w:rsidR="00724544">
        <w:t xml:space="preserve">szczególności </w:t>
      </w:r>
      <w:r w:rsidR="00724544">
        <w:rPr>
          <w:i/>
        </w:rPr>
        <w:t>Kauczor</w:t>
      </w:r>
      <w:r w:rsidR="00724544">
        <w:t xml:space="preserve">, </w:t>
      </w:r>
      <w:r w:rsidR="00EA3702">
        <w:t>cytowany powyżej</w:t>
      </w:r>
      <w:r w:rsidR="00724544">
        <w:t>) Trybunał uznaje za słuszne przyznanie kwot określonych w</w:t>
      </w:r>
      <w:r w:rsidR="00EA3702">
        <w:t xml:space="preserve"> </w:t>
      </w:r>
      <w:r w:rsidR="00724544">
        <w:t>załączonej tabeli i</w:t>
      </w:r>
      <w:r w:rsidR="00EA3702">
        <w:t xml:space="preserve"> </w:t>
      </w:r>
      <w:r w:rsidR="00724544">
        <w:t>oddala pozostałą część roszczenia dotyczącą słusznego zadośćuczynienia.</w:t>
      </w:r>
    </w:p>
    <w:p w14:paraId="4900D1B1" w14:textId="1747A93A" w:rsidR="00AB0EBA" w:rsidRDefault="006339C1">
      <w:pPr>
        <w:pStyle w:val="JuPara"/>
      </w:pPr>
      <w:r>
        <w:lastRenderedPageBreak/>
        <w:fldChar w:fldCharType="begin"/>
      </w:r>
      <w:r>
        <w:instrText xml:space="preserve"> SEQ level0 \*arabic </w:instrText>
      </w:r>
      <w:r>
        <w:fldChar w:fldCharType="separate"/>
      </w:r>
      <w:r w:rsidR="00724544">
        <w:rPr>
          <w:noProof/>
        </w:rPr>
        <w:t>14</w:t>
      </w:r>
      <w:r>
        <w:rPr>
          <w:noProof/>
        </w:rPr>
        <w:fldChar w:fldCharType="end"/>
      </w:r>
      <w:r w:rsidR="00724544">
        <w:t>.  Trybunał nadto za słuszne uznaje wyznaczenie wysokości odsetek za</w:t>
      </w:r>
      <w:r w:rsidR="00EA3702">
        <w:t xml:space="preserve"> </w:t>
      </w:r>
      <w:r w:rsidR="00724544">
        <w:t>zwłokę według stopy równej marginalnej stopie procentowej Europejskiego Banku Centralnego powiększonej o</w:t>
      </w:r>
      <w:r w:rsidR="00EA3702">
        <w:t xml:space="preserve"> </w:t>
      </w:r>
      <w:r w:rsidR="00724544">
        <w:t>trzy punkty procentowe.</w:t>
      </w:r>
    </w:p>
    <w:p w14:paraId="3F7945DF" w14:textId="77777777" w:rsidR="00AB0EBA" w:rsidRDefault="00724544">
      <w:pPr>
        <w:pStyle w:val="JuHHead"/>
      </w:pPr>
      <w:r>
        <w:t>Z TYCH PRZYCZYN TRYBUNAŁ JEDNOGŁOŚNIE</w:t>
      </w:r>
    </w:p>
    <w:p w14:paraId="2A7A5C4C" w14:textId="67F26D0F" w:rsidR="00AB0EBA" w:rsidRDefault="00EA3702">
      <w:pPr>
        <w:pStyle w:val="JuList"/>
        <w:keepNext/>
        <w:keepLines/>
      </w:pPr>
      <w:r>
        <w:rPr>
          <w:i/>
        </w:rPr>
        <w:t>U</w:t>
      </w:r>
      <w:r w:rsidR="00724544">
        <w:rPr>
          <w:i/>
        </w:rPr>
        <w:t xml:space="preserve">znaje </w:t>
      </w:r>
      <w:r w:rsidR="00724544">
        <w:t>skargę za dopuszczalną;</w:t>
      </w:r>
    </w:p>
    <w:p w14:paraId="333392BF" w14:textId="70DF0013" w:rsidR="00AB0EBA" w:rsidRDefault="00EA3702">
      <w:pPr>
        <w:pStyle w:val="JuList"/>
        <w:keepNext/>
        <w:keepLines/>
      </w:pPr>
      <w:r>
        <w:rPr>
          <w:i/>
        </w:rPr>
        <w:t>O</w:t>
      </w:r>
      <w:r w:rsidR="00724544">
        <w:rPr>
          <w:i/>
        </w:rPr>
        <w:t>rzeka</w:t>
      </w:r>
      <w:r w:rsidR="00724544">
        <w:t xml:space="preserve">, że skarga </w:t>
      </w:r>
      <w:r w:rsidR="006D33EC">
        <w:t>wskazuje na</w:t>
      </w:r>
      <w:r w:rsidR="00724544">
        <w:t xml:space="preserve"> naruszenie art.</w:t>
      </w:r>
      <w:r>
        <w:t xml:space="preserve"> </w:t>
      </w:r>
      <w:r w:rsidR="00724544">
        <w:t>5 ust.</w:t>
      </w:r>
      <w:r>
        <w:t xml:space="preserve"> </w:t>
      </w:r>
      <w:r w:rsidR="00724544">
        <w:t xml:space="preserve">3 Konwencji ze względu na </w:t>
      </w:r>
      <w:r w:rsidR="006D33EC">
        <w:t>nadmierny czas trwania</w:t>
      </w:r>
      <w:r w:rsidR="00724544">
        <w:t xml:space="preserve"> tymczasowego aresztowania;</w:t>
      </w:r>
    </w:p>
    <w:p w14:paraId="5C9179A2" w14:textId="4B78C159" w:rsidR="00AB0EBA" w:rsidRDefault="00EA3702">
      <w:pPr>
        <w:pStyle w:val="JuList"/>
      </w:pPr>
      <w:r>
        <w:rPr>
          <w:i/>
        </w:rPr>
        <w:t>O</w:t>
      </w:r>
      <w:r w:rsidR="00724544">
        <w:rPr>
          <w:i/>
        </w:rPr>
        <w:t>rzeka,</w:t>
      </w:r>
      <w:r w:rsidR="00724544">
        <w:t>, że doszło do naruszenia Konwencji w</w:t>
      </w:r>
      <w:r>
        <w:t xml:space="preserve"> </w:t>
      </w:r>
      <w:r w:rsidR="00724544">
        <w:t>związku z</w:t>
      </w:r>
      <w:r>
        <w:t xml:space="preserve"> </w:t>
      </w:r>
      <w:r w:rsidR="00724544">
        <w:t>pozostałymi zarzutami zawartymi w</w:t>
      </w:r>
      <w:r>
        <w:t xml:space="preserve"> </w:t>
      </w:r>
      <w:r w:rsidR="00724544">
        <w:t>skardze z</w:t>
      </w:r>
      <w:r>
        <w:t xml:space="preserve"> </w:t>
      </w:r>
      <w:r w:rsidR="00724544">
        <w:t>powołaniem na utrwalone orzecznictwo Trybunału (zob.</w:t>
      </w:r>
      <w:r>
        <w:t xml:space="preserve"> </w:t>
      </w:r>
      <w:r w:rsidR="00724544">
        <w:t>załączona tabela);</w:t>
      </w:r>
    </w:p>
    <w:p w14:paraId="53F42A4C" w14:textId="3C3D3717" w:rsidR="00AB0EBA" w:rsidRDefault="00EA3702">
      <w:pPr>
        <w:pStyle w:val="JuList"/>
      </w:pPr>
      <w:r>
        <w:rPr>
          <w:i/>
        </w:rPr>
        <w:t>O</w:t>
      </w:r>
      <w:r w:rsidR="00724544">
        <w:rPr>
          <w:i/>
        </w:rPr>
        <w:t>rzeka</w:t>
      </w:r>
    </w:p>
    <w:p w14:paraId="59077568" w14:textId="09739157" w:rsidR="00AB0EBA" w:rsidRDefault="00724544">
      <w:pPr>
        <w:pStyle w:val="JuLista"/>
      </w:pPr>
      <w:r>
        <w:t>że pozwane państwo winno, w</w:t>
      </w:r>
      <w:r w:rsidR="00EA3702">
        <w:t xml:space="preserve"> </w:t>
      </w:r>
      <w:r>
        <w:t>terminie trzech miesięcy, uiścić na rzecz skarżącego kwoty określone w</w:t>
      </w:r>
      <w:r w:rsidR="00EA3702">
        <w:t xml:space="preserve"> </w:t>
      </w:r>
      <w:r>
        <w:t>załączonej tabeli, przeliczone na walutę pozwanego państwa według kursu obowiązującego w</w:t>
      </w:r>
      <w:r w:rsidR="006D33EC">
        <w:t xml:space="preserve"> </w:t>
      </w:r>
      <w:r>
        <w:t>dniu płatności;</w:t>
      </w:r>
    </w:p>
    <w:p w14:paraId="0E3001C8" w14:textId="2B606B86" w:rsidR="00AB0EBA" w:rsidRDefault="00724544">
      <w:pPr>
        <w:pStyle w:val="JuLista"/>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w:t>
      </w:r>
      <w:r w:rsidR="00EA3702">
        <w:t xml:space="preserve"> </w:t>
      </w:r>
      <w:r>
        <w:t>tym okresie, powiększonej o</w:t>
      </w:r>
      <w:r w:rsidR="00EA3702">
        <w:t xml:space="preserve"> </w:t>
      </w:r>
      <w:r>
        <w:t>trzy punkty procentowe;</w:t>
      </w:r>
    </w:p>
    <w:p w14:paraId="62C117D1" w14:textId="4F48C31F" w:rsidR="00AB0EBA" w:rsidRDefault="00EA3702">
      <w:pPr>
        <w:pStyle w:val="JuList"/>
      </w:pPr>
      <w:r>
        <w:rPr>
          <w:i/>
        </w:rPr>
        <w:t>O</w:t>
      </w:r>
      <w:r w:rsidR="00724544">
        <w:rPr>
          <w:i/>
        </w:rPr>
        <w:t xml:space="preserve">ddala </w:t>
      </w:r>
      <w:r w:rsidR="00724544">
        <w:t>pozostałą część roszczenia skarżącego o</w:t>
      </w:r>
      <w:r>
        <w:t xml:space="preserve"> </w:t>
      </w:r>
      <w:r w:rsidR="00724544">
        <w:t>słuszne zadośćuczynienie.</w:t>
      </w:r>
    </w:p>
    <w:p w14:paraId="24BB95AD" w14:textId="30BD6AC3" w:rsidR="00AB0EBA" w:rsidRDefault="00724544">
      <w:pPr>
        <w:pStyle w:val="JuParaLast"/>
      </w:pPr>
      <w:r>
        <w:t>Sporządzono w</w:t>
      </w:r>
      <w:r w:rsidR="00EA3702">
        <w:t xml:space="preserve"> </w:t>
      </w:r>
      <w:r>
        <w:t>języku angielskim i</w:t>
      </w:r>
      <w:r w:rsidR="00EA3702">
        <w:t xml:space="preserve"> </w:t>
      </w:r>
      <w:r>
        <w:t>obwieszczono pisemnie w</w:t>
      </w:r>
      <w:r w:rsidR="00EA3702">
        <w:t xml:space="preserve"> </w:t>
      </w:r>
      <w:r>
        <w:t>dniu 10</w:t>
      </w:r>
      <w:r w:rsidR="00EA3702">
        <w:t xml:space="preserve"> </w:t>
      </w:r>
      <w:r>
        <w:t>listopada 2022</w:t>
      </w:r>
      <w:r w:rsidR="006D33EC">
        <w:t xml:space="preserve"> </w:t>
      </w:r>
      <w:r>
        <w:t>r. zgodnie z</w:t>
      </w:r>
      <w:r w:rsidR="00EA3702">
        <w:t xml:space="preserve"> </w:t>
      </w:r>
      <w:r>
        <w:t>Regułą</w:t>
      </w:r>
      <w:r w:rsidR="00EA3702">
        <w:t xml:space="preserve"> </w:t>
      </w:r>
      <w:r>
        <w:t>77 §</w:t>
      </w:r>
      <w:r w:rsidR="00EA3702">
        <w:t xml:space="preserve"> </w:t>
      </w:r>
      <w:r>
        <w:t>2 i</w:t>
      </w:r>
      <w:r w:rsidR="00EA3702">
        <w:t xml:space="preserve"> </w:t>
      </w:r>
      <w:r>
        <w:t>3 Regulaminu Trybunału.</w:t>
      </w:r>
    </w:p>
    <w:p w14:paraId="4B69E524" w14:textId="77777777" w:rsidR="00AB0EBA" w:rsidRDefault="00724544">
      <w:pPr>
        <w:pStyle w:val="ECHRPlaceholder"/>
        <w:rPr>
          <w:szCs w:val="22"/>
        </w:rPr>
      </w:pPr>
      <w:r>
        <w:tab/>
      </w:r>
    </w:p>
    <w:p w14:paraId="38886102" w14:textId="77777777" w:rsidR="00AB0EBA" w:rsidRDefault="00724544">
      <w:pPr>
        <w:pStyle w:val="JuSigned"/>
        <w:rPr>
          <w:rFonts w:eastAsia="PMingLiU"/>
        </w:rPr>
      </w:pPr>
      <w:r>
        <w:tab/>
        <w:t>Viktoriya Maradudina</w:t>
      </w:r>
      <w:r>
        <w:tab/>
        <w:t>Erik Wennerström</w:t>
      </w:r>
    </w:p>
    <w:p w14:paraId="62FE55C7" w14:textId="77777777" w:rsidR="00AB0EBA" w:rsidRDefault="00724544">
      <w:pPr>
        <w:pStyle w:val="JuSigned"/>
        <w:contextualSpacing/>
        <w:rPr>
          <w:rFonts w:eastAsia="PMingLiU"/>
        </w:rPr>
      </w:pPr>
      <w:r>
        <w:tab/>
        <w:t>p.o. Z-cy kanclerza</w:t>
      </w:r>
      <w:r>
        <w:tab/>
        <w:t>Przewodniczący</w:t>
      </w:r>
    </w:p>
    <w:p w14:paraId="522D9B25" w14:textId="77777777" w:rsidR="00AB0EBA" w:rsidRDefault="00AB0EBA">
      <w:pPr>
        <w:pStyle w:val="JuSigned"/>
        <w:tabs>
          <w:tab w:val="left" w:pos="5115"/>
        </w:tabs>
        <w:contextualSpacing/>
        <w:rPr>
          <w:rFonts w:eastAsia="PMingLiU"/>
        </w:rPr>
      </w:pPr>
    </w:p>
    <w:p w14:paraId="3AA5AAD7" w14:textId="77777777" w:rsidR="00AB0EBA" w:rsidRDefault="00AB0EBA">
      <w:pPr>
        <w:pStyle w:val="JuParaLast"/>
        <w:sectPr w:rsidR="00AB0EBA">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0097D021" w14:textId="77777777" w:rsidR="00AB0EBA" w:rsidRDefault="00724544">
      <w:pPr>
        <w:pStyle w:val="DecHTitle"/>
      </w:pPr>
      <w:r>
        <w:lastRenderedPageBreak/>
        <w:t>ZAŁĄCZNIK</w:t>
      </w:r>
    </w:p>
    <w:p w14:paraId="5B18232E" w14:textId="77777777" w:rsidR="00AB0EBA" w:rsidRDefault="00724544">
      <w:pPr>
        <w:pStyle w:val="DecHCase"/>
        <w:contextualSpacing/>
        <w:rPr>
          <w:b/>
          <w:i/>
          <w:color w:val="3E3E3E" w:themeColor="background2" w:themeShade="40"/>
        </w:rPr>
      </w:pPr>
      <w:r>
        <w:rPr>
          <w:color w:val="3E3E3E" w:themeColor="background2" w:themeShade="40"/>
        </w:rPr>
        <w:t>Skarga zawierająca zarzuty na podstawie art. 5 ust. 3 Konwencji</w:t>
      </w:r>
    </w:p>
    <w:p w14:paraId="480A8775" w14:textId="77777777" w:rsidR="00AB0EBA" w:rsidRDefault="00724544">
      <w:pPr>
        <w:pStyle w:val="DecHCase"/>
        <w:contextualSpacing/>
        <w:rPr>
          <w:b/>
          <w:i/>
        </w:rPr>
      </w:pPr>
      <w:r>
        <w:rPr>
          <w:color w:val="3E3E3E" w:themeColor="background2" w:themeShade="40"/>
        </w:rPr>
        <w:t>(przewlekłość tymczasowego aresztowania)</w:t>
      </w:r>
    </w:p>
    <w:tbl>
      <w:tblPr>
        <w:tblStyle w:val="ECHRListTable"/>
        <w:tblW w:w="15262" w:type="dxa"/>
        <w:jc w:val="center"/>
        <w:tblLayout w:type="fixed"/>
        <w:tblLook w:val="0420" w:firstRow="1" w:lastRow="0" w:firstColumn="0" w:lastColumn="0" w:noHBand="0" w:noVBand="1"/>
      </w:tblPr>
      <w:tblGrid>
        <w:gridCol w:w="1134"/>
        <w:gridCol w:w="1418"/>
        <w:gridCol w:w="1417"/>
        <w:gridCol w:w="1276"/>
        <w:gridCol w:w="2220"/>
        <w:gridCol w:w="1418"/>
        <w:gridCol w:w="1984"/>
        <w:gridCol w:w="2127"/>
        <w:gridCol w:w="1275"/>
        <w:gridCol w:w="993"/>
      </w:tblGrid>
      <w:tr w:rsidR="00AB0EBA" w14:paraId="2714650D" w14:textId="77777777" w:rsidTr="00AB0EBA">
        <w:trPr>
          <w:cnfStyle w:val="100000000000" w:firstRow="1" w:lastRow="0" w:firstColumn="0" w:lastColumn="0" w:oddVBand="0" w:evenVBand="0" w:oddHBand="0" w:evenHBand="0" w:firstRowFirstColumn="0" w:firstRowLastColumn="0" w:lastRowFirstColumn="0" w:lastRowLastColumn="0"/>
          <w:jc w:val="center"/>
        </w:trPr>
        <w:tc>
          <w:tcPr>
            <w:tcW w:w="1134" w:type="dxa"/>
          </w:tcPr>
          <w:p w14:paraId="56FB8073" w14:textId="77777777" w:rsidR="00AB0EBA" w:rsidRDefault="00724544">
            <w:pPr>
              <w:jc w:val="center"/>
              <w:rPr>
                <w:sz w:val="16"/>
              </w:rPr>
            </w:pPr>
            <w:bookmarkStart w:id="2" w:name="WECLListStart"/>
            <w:bookmarkEnd w:id="2"/>
            <w:r>
              <w:rPr>
                <w:sz w:val="16"/>
              </w:rPr>
              <w:t>Numer skargi</w:t>
            </w:r>
          </w:p>
          <w:p w14:paraId="097B99AB" w14:textId="77777777" w:rsidR="00AB0EBA" w:rsidRDefault="00724544">
            <w:pPr>
              <w:jc w:val="center"/>
              <w:rPr>
                <w:sz w:val="16"/>
              </w:rPr>
            </w:pPr>
            <w:r>
              <w:rPr>
                <w:sz w:val="16"/>
              </w:rPr>
              <w:t>Data wpływu</w:t>
            </w:r>
          </w:p>
        </w:tc>
        <w:tc>
          <w:tcPr>
            <w:tcW w:w="1418" w:type="dxa"/>
          </w:tcPr>
          <w:p w14:paraId="65C2D916" w14:textId="77777777" w:rsidR="00AB0EBA" w:rsidRDefault="00724544">
            <w:pPr>
              <w:jc w:val="center"/>
              <w:rPr>
                <w:sz w:val="16"/>
              </w:rPr>
            </w:pPr>
            <w:r>
              <w:rPr>
                <w:sz w:val="16"/>
              </w:rPr>
              <w:t>Imię i nazwisko skarżącego</w:t>
            </w:r>
          </w:p>
          <w:p w14:paraId="7F0F0205" w14:textId="77777777" w:rsidR="00AB0EBA" w:rsidRDefault="00724544">
            <w:pPr>
              <w:jc w:val="center"/>
              <w:rPr>
                <w:sz w:val="16"/>
              </w:rPr>
            </w:pPr>
            <w:r>
              <w:rPr>
                <w:sz w:val="16"/>
              </w:rPr>
              <w:t>Rok urodzenia</w:t>
            </w:r>
          </w:p>
        </w:tc>
        <w:tc>
          <w:tcPr>
            <w:tcW w:w="1417" w:type="dxa"/>
          </w:tcPr>
          <w:p w14:paraId="7DCD82A2" w14:textId="77777777" w:rsidR="00AB0EBA" w:rsidRDefault="00724544">
            <w:pPr>
              <w:jc w:val="center"/>
              <w:rPr>
                <w:sz w:val="16"/>
              </w:rPr>
            </w:pPr>
            <w:r>
              <w:rPr>
                <w:sz w:val="16"/>
              </w:rPr>
              <w:t>Imię i nazwisko oraz miejsce praktyki pełnomocnika</w:t>
            </w:r>
          </w:p>
        </w:tc>
        <w:tc>
          <w:tcPr>
            <w:tcW w:w="1276" w:type="dxa"/>
          </w:tcPr>
          <w:p w14:paraId="501974C4" w14:textId="77777777" w:rsidR="00AB0EBA" w:rsidRDefault="00724544">
            <w:pPr>
              <w:jc w:val="center"/>
              <w:rPr>
                <w:sz w:val="16"/>
              </w:rPr>
            </w:pPr>
            <w:r>
              <w:rPr>
                <w:sz w:val="16"/>
              </w:rPr>
              <w:t>Okres tymczasowego aresztowania</w:t>
            </w:r>
          </w:p>
        </w:tc>
        <w:tc>
          <w:tcPr>
            <w:tcW w:w="2220" w:type="dxa"/>
          </w:tcPr>
          <w:p w14:paraId="7BA15D0A" w14:textId="77777777" w:rsidR="00AB0EBA" w:rsidRDefault="00724544">
            <w:pPr>
              <w:jc w:val="center"/>
              <w:rPr>
                <w:sz w:val="16"/>
              </w:rPr>
            </w:pPr>
            <w:r>
              <w:rPr>
                <w:sz w:val="16"/>
              </w:rPr>
              <w:t>Sąd, który wydał postanowienie w przedmiocie tymczasowego aresztowania / rozpatrywał zażalenie</w:t>
            </w:r>
          </w:p>
        </w:tc>
        <w:tc>
          <w:tcPr>
            <w:tcW w:w="1418" w:type="dxa"/>
          </w:tcPr>
          <w:p w14:paraId="787B40AA" w14:textId="77777777" w:rsidR="00AB0EBA" w:rsidRDefault="00724544">
            <w:pPr>
              <w:jc w:val="center"/>
              <w:rPr>
                <w:sz w:val="16"/>
              </w:rPr>
            </w:pPr>
            <w:r>
              <w:rPr>
                <w:sz w:val="16"/>
              </w:rPr>
              <w:t>Długość tymczasowego aresztowania</w:t>
            </w:r>
          </w:p>
        </w:tc>
        <w:tc>
          <w:tcPr>
            <w:tcW w:w="1984" w:type="dxa"/>
          </w:tcPr>
          <w:p w14:paraId="2B6CB9A9" w14:textId="77777777" w:rsidR="00AB0EBA" w:rsidRDefault="00724544">
            <w:pPr>
              <w:jc w:val="center"/>
              <w:rPr>
                <w:sz w:val="16"/>
              </w:rPr>
            </w:pPr>
            <w:r>
              <w:rPr>
                <w:sz w:val="16"/>
              </w:rPr>
              <w:t>Konkretne uchybienia</w:t>
            </w:r>
          </w:p>
        </w:tc>
        <w:tc>
          <w:tcPr>
            <w:tcW w:w="2127" w:type="dxa"/>
          </w:tcPr>
          <w:p w14:paraId="051B64A3" w14:textId="77777777" w:rsidR="00AB0EBA" w:rsidRDefault="00724544">
            <w:pPr>
              <w:jc w:val="center"/>
              <w:rPr>
                <w:sz w:val="16"/>
              </w:rPr>
            </w:pPr>
            <w:r>
              <w:rPr>
                <w:sz w:val="16"/>
              </w:rPr>
              <w:t>Pozostałe zarzuty zawarte w skardze z powołaniem na utrwalone orzecznictwo</w:t>
            </w:r>
          </w:p>
        </w:tc>
        <w:tc>
          <w:tcPr>
            <w:tcW w:w="1275" w:type="dxa"/>
          </w:tcPr>
          <w:p w14:paraId="06F06556" w14:textId="77777777" w:rsidR="00AB0EBA" w:rsidRDefault="00724544">
            <w:pPr>
              <w:jc w:val="center"/>
              <w:rPr>
                <w:sz w:val="16"/>
              </w:rPr>
            </w:pPr>
            <w:r>
              <w:rPr>
                <w:sz w:val="16"/>
              </w:rPr>
              <w:t>Kwota przyznana z tytułu szkody majątkowej lub niemajątkowej</w:t>
            </w:r>
          </w:p>
          <w:p w14:paraId="4F6C367C" w14:textId="77777777" w:rsidR="00AB0EBA" w:rsidRDefault="00724544">
            <w:pPr>
              <w:jc w:val="center"/>
              <w:rPr>
                <w:sz w:val="16"/>
              </w:rPr>
            </w:pPr>
            <w:r>
              <w:rPr>
                <w:sz w:val="16"/>
              </w:rPr>
              <w:t>(w EUR)</w:t>
            </w:r>
            <w:r>
              <w:rPr>
                <w:rStyle w:val="Odwoanieprzypisudolnego"/>
                <w:sz w:val="16"/>
              </w:rPr>
              <w:footnoteReference w:id="1"/>
            </w:r>
          </w:p>
        </w:tc>
        <w:tc>
          <w:tcPr>
            <w:tcW w:w="993" w:type="dxa"/>
          </w:tcPr>
          <w:p w14:paraId="05730D44" w14:textId="77777777" w:rsidR="00AB0EBA" w:rsidRDefault="00724544">
            <w:pPr>
              <w:jc w:val="center"/>
              <w:rPr>
                <w:b w:val="0"/>
                <w:sz w:val="16"/>
              </w:rPr>
            </w:pPr>
            <w:r>
              <w:rPr>
                <w:sz w:val="16"/>
              </w:rPr>
              <w:t>Kwota przyznana z tytułu kosztów i </w:t>
            </w:r>
          </w:p>
          <w:p w14:paraId="29D0917E" w14:textId="77777777" w:rsidR="00AB0EBA" w:rsidRDefault="00724544">
            <w:pPr>
              <w:jc w:val="center"/>
              <w:rPr>
                <w:sz w:val="16"/>
              </w:rPr>
            </w:pPr>
            <w:r>
              <w:rPr>
                <w:sz w:val="16"/>
              </w:rPr>
              <w:t>wydatków przypada-jąca na skargę</w:t>
            </w:r>
          </w:p>
          <w:p w14:paraId="416A538F" w14:textId="77777777" w:rsidR="00AB0EBA" w:rsidRDefault="00724544">
            <w:pPr>
              <w:jc w:val="center"/>
              <w:rPr>
                <w:sz w:val="16"/>
              </w:rPr>
            </w:pPr>
            <w:r>
              <w:rPr>
                <w:sz w:val="16"/>
              </w:rPr>
              <w:t>(w EUR)</w:t>
            </w:r>
            <w:r>
              <w:rPr>
                <w:rStyle w:val="Odwoanieprzypisudolnego"/>
                <w:sz w:val="16"/>
              </w:rPr>
              <w:footnoteReference w:id="2"/>
            </w:r>
          </w:p>
        </w:tc>
      </w:tr>
      <w:tr w:rsidR="00AB0EBA" w14:paraId="54E84E3E" w14:textId="77777777" w:rsidTr="00AB0EBA">
        <w:trPr>
          <w:trHeight w:val="3032"/>
          <w:jc w:val="center"/>
        </w:trPr>
        <w:tc>
          <w:tcPr>
            <w:tcW w:w="1134" w:type="dxa"/>
          </w:tcPr>
          <w:p w14:paraId="54755DDE" w14:textId="77777777" w:rsidR="00AB0EBA" w:rsidRDefault="00724544">
            <w:pPr>
              <w:jc w:val="center"/>
              <w:rPr>
                <w:sz w:val="16"/>
              </w:rPr>
            </w:pPr>
            <w:r>
              <w:rPr>
                <w:sz w:val="16"/>
              </w:rPr>
              <w:t>15466/19</w:t>
            </w:r>
          </w:p>
          <w:p w14:paraId="359EE5B1" w14:textId="77777777" w:rsidR="00AB0EBA" w:rsidRDefault="00724544">
            <w:pPr>
              <w:jc w:val="center"/>
              <w:rPr>
                <w:sz w:val="16"/>
              </w:rPr>
            </w:pPr>
            <w:r>
              <w:rPr>
                <w:sz w:val="16"/>
              </w:rPr>
              <w:t>14.03.2019 r.</w:t>
            </w:r>
          </w:p>
        </w:tc>
        <w:tc>
          <w:tcPr>
            <w:tcW w:w="1418" w:type="dxa"/>
          </w:tcPr>
          <w:p w14:paraId="2BDE7B30" w14:textId="77777777" w:rsidR="00AB0EBA" w:rsidRDefault="00724544">
            <w:pPr>
              <w:jc w:val="center"/>
              <w:rPr>
                <w:sz w:val="16"/>
              </w:rPr>
            </w:pPr>
            <w:r>
              <w:rPr>
                <w:b/>
                <w:sz w:val="16"/>
              </w:rPr>
              <w:t>Piotr KASZUBSKI</w:t>
            </w:r>
          </w:p>
          <w:p w14:paraId="1128A9A5" w14:textId="77777777" w:rsidR="00AB0EBA" w:rsidRDefault="00724544">
            <w:pPr>
              <w:jc w:val="center"/>
              <w:rPr>
                <w:sz w:val="16"/>
              </w:rPr>
            </w:pPr>
            <w:r>
              <w:rPr>
                <w:sz w:val="16"/>
              </w:rPr>
              <w:t xml:space="preserve">1992 </w:t>
            </w:r>
          </w:p>
        </w:tc>
        <w:tc>
          <w:tcPr>
            <w:tcW w:w="1417" w:type="dxa"/>
          </w:tcPr>
          <w:p w14:paraId="6000E42C" w14:textId="77777777" w:rsidR="00AB0EBA" w:rsidRDefault="00724544">
            <w:pPr>
              <w:jc w:val="center"/>
              <w:rPr>
                <w:sz w:val="16"/>
              </w:rPr>
            </w:pPr>
            <w:r>
              <w:rPr>
                <w:sz w:val="16"/>
              </w:rPr>
              <w:t>Bartosiak Mariusz</w:t>
            </w:r>
          </w:p>
          <w:p w14:paraId="1D3E65E5" w14:textId="77777777" w:rsidR="00AB0EBA" w:rsidRDefault="00724544">
            <w:pPr>
              <w:jc w:val="center"/>
              <w:rPr>
                <w:sz w:val="16"/>
              </w:rPr>
            </w:pPr>
            <w:r>
              <w:rPr>
                <w:sz w:val="16"/>
              </w:rPr>
              <w:t>Warszawa</w:t>
            </w:r>
          </w:p>
        </w:tc>
        <w:tc>
          <w:tcPr>
            <w:tcW w:w="1276" w:type="dxa"/>
          </w:tcPr>
          <w:p w14:paraId="7DD7C9F8" w14:textId="77777777" w:rsidR="00AB0EBA" w:rsidRDefault="00724544">
            <w:pPr>
              <w:jc w:val="center"/>
              <w:rPr>
                <w:sz w:val="16"/>
              </w:rPr>
            </w:pPr>
            <w:r>
              <w:rPr>
                <w:sz w:val="16"/>
              </w:rPr>
              <w:t>od 10.03.2017 r.</w:t>
            </w:r>
          </w:p>
          <w:p w14:paraId="5A6C2FBF" w14:textId="77777777" w:rsidR="00AB0EBA" w:rsidRDefault="00724544">
            <w:pPr>
              <w:jc w:val="center"/>
              <w:rPr>
                <w:sz w:val="16"/>
              </w:rPr>
            </w:pPr>
            <w:r>
              <w:rPr>
                <w:sz w:val="16"/>
              </w:rPr>
              <w:t>do</w:t>
            </w:r>
          </w:p>
          <w:p w14:paraId="03708796" w14:textId="77777777" w:rsidR="00AB0EBA" w:rsidRDefault="00724544">
            <w:pPr>
              <w:jc w:val="center"/>
              <w:rPr>
                <w:sz w:val="16"/>
              </w:rPr>
            </w:pPr>
            <w:r>
              <w:rPr>
                <w:sz w:val="16"/>
              </w:rPr>
              <w:t>02.10.2019 r.</w:t>
            </w:r>
          </w:p>
        </w:tc>
        <w:tc>
          <w:tcPr>
            <w:tcW w:w="2220" w:type="dxa"/>
          </w:tcPr>
          <w:p w14:paraId="0F0E26C3" w14:textId="77777777" w:rsidR="00AB0EBA" w:rsidRDefault="00724544">
            <w:pPr>
              <w:jc w:val="center"/>
              <w:rPr>
                <w:sz w:val="16"/>
              </w:rPr>
            </w:pPr>
            <w:r>
              <w:rPr>
                <w:sz w:val="16"/>
              </w:rPr>
              <w:t>Sąd Rejonowy dla Warszawy-Mokotowa, 18.03.2017, sprawa nr XIV, Kp 772/17 (postanowienie o utrzymaniu w mocy postanowienia o zastosowaniu tymczasowego aresztowania wydane przez Sąd Okręgowy w Warszawie, 07.08.2018, sprawa nr X Kz 819/15), Sąd Apelacyjny w Warszawie, 02.10.2019, sprawa nr II AKz 1084/19 (postanowienie o uchyleniu tymczasowego aresztowania)</w:t>
            </w:r>
          </w:p>
        </w:tc>
        <w:tc>
          <w:tcPr>
            <w:tcW w:w="1418" w:type="dxa"/>
          </w:tcPr>
          <w:p w14:paraId="2CF1D331" w14:textId="77777777" w:rsidR="00AB0EBA" w:rsidRDefault="00724544">
            <w:pPr>
              <w:jc w:val="center"/>
              <w:rPr>
                <w:sz w:val="16"/>
              </w:rPr>
            </w:pPr>
            <w:r>
              <w:rPr>
                <w:sz w:val="16"/>
              </w:rPr>
              <w:t>2 lata 6 miesięcy i 23 dni</w:t>
            </w:r>
          </w:p>
          <w:p w14:paraId="543FDC29" w14:textId="77777777" w:rsidR="00AB0EBA" w:rsidRDefault="00AB0EBA">
            <w:pPr>
              <w:jc w:val="center"/>
              <w:rPr>
                <w:sz w:val="16"/>
              </w:rPr>
            </w:pPr>
          </w:p>
        </w:tc>
        <w:tc>
          <w:tcPr>
            <w:tcW w:w="1984" w:type="dxa"/>
          </w:tcPr>
          <w:p w14:paraId="30EDF72C" w14:textId="77777777" w:rsidR="00AB0EBA" w:rsidRDefault="00724544">
            <w:pPr>
              <w:jc w:val="center"/>
              <w:rPr>
                <w:sz w:val="16"/>
              </w:rPr>
            </w:pPr>
            <w:r>
              <w:rPr>
                <w:sz w:val="16"/>
              </w:rPr>
              <w:t>kruchość argumentów i powtarzalność uzasadnienia przedstawianego przez sądy w miarę postępu sprawy;</w:t>
            </w:r>
          </w:p>
          <w:p w14:paraId="34302A80" w14:textId="77777777" w:rsidR="00AB0EBA" w:rsidRDefault="00724544">
            <w:pPr>
              <w:jc w:val="center"/>
              <w:rPr>
                <w:sz w:val="16"/>
              </w:rPr>
            </w:pPr>
            <w:r>
              <w:rPr>
                <w:sz w:val="16"/>
              </w:rPr>
              <w:t>oświadczenie prokuratora wygłoszone podczas rozprawy sądowej w dniu 22 stycznia 2018 r. poważnie podważa wnioski sądów krajowych co do konieczności stosowania tymczasowego aresztowania wobec skarżącego</w:t>
            </w:r>
          </w:p>
        </w:tc>
        <w:tc>
          <w:tcPr>
            <w:tcW w:w="2127" w:type="dxa"/>
          </w:tcPr>
          <w:p w14:paraId="36DB5056" w14:textId="77777777" w:rsidR="00AB0EBA" w:rsidRDefault="00724544">
            <w:pPr>
              <w:jc w:val="center"/>
              <w:rPr>
                <w:sz w:val="16"/>
              </w:rPr>
            </w:pPr>
            <w:r>
              <w:rPr>
                <w:sz w:val="16"/>
              </w:rPr>
              <w:t>Artykuł 5 ust. 4 – uchybienia w postępowaniu w przedmiocie kontroli zgodności z prawem tymczasowego aresztowania –</w:t>
            </w:r>
          </w:p>
          <w:p w14:paraId="16A5B2EF" w14:textId="77777777" w:rsidR="00AB0EBA" w:rsidRDefault="00724544">
            <w:pPr>
              <w:jc w:val="center"/>
              <w:rPr>
                <w:sz w:val="16"/>
              </w:rPr>
            </w:pPr>
            <w:r>
              <w:rPr>
                <w:sz w:val="16"/>
                <w:szCs w:val="16"/>
              </w:rPr>
              <w:t>Odwołania od postanowień Sądu Apelacyjnego w Warszawie o przedłużeniu tymczasowego aresztowania z dn. 30.08.2018 r., 28.11.2018 r., 25.02.2019 r., 31.05.2019 r., 27.08.2019 r. były rozpatrywane w terminie trwającym między 29 a 50 dni.</w:t>
            </w:r>
          </w:p>
        </w:tc>
        <w:tc>
          <w:tcPr>
            <w:tcW w:w="1275" w:type="dxa"/>
          </w:tcPr>
          <w:p w14:paraId="6DCE3D6F" w14:textId="77777777" w:rsidR="00AB0EBA" w:rsidRDefault="00724544">
            <w:pPr>
              <w:jc w:val="center"/>
              <w:rPr>
                <w:sz w:val="16"/>
              </w:rPr>
            </w:pPr>
            <w:r>
              <w:rPr>
                <w:sz w:val="16"/>
              </w:rPr>
              <w:t>4 600</w:t>
            </w:r>
          </w:p>
        </w:tc>
        <w:tc>
          <w:tcPr>
            <w:tcW w:w="993" w:type="dxa"/>
          </w:tcPr>
          <w:p w14:paraId="1C17B786" w14:textId="77777777" w:rsidR="00AB0EBA" w:rsidRDefault="00724544">
            <w:pPr>
              <w:jc w:val="center"/>
              <w:rPr>
                <w:sz w:val="16"/>
              </w:rPr>
            </w:pPr>
            <w:r>
              <w:rPr>
                <w:sz w:val="16"/>
              </w:rPr>
              <w:t>2 677</w:t>
            </w:r>
          </w:p>
        </w:tc>
      </w:tr>
    </w:tbl>
    <w:p w14:paraId="6F0E940F" w14:textId="77777777" w:rsidR="00AB0EBA" w:rsidRDefault="00AB0EBA">
      <w:pPr>
        <w:rPr>
          <w:sz w:val="2"/>
          <w:szCs w:val="2"/>
        </w:rPr>
      </w:pPr>
    </w:p>
    <w:sectPr w:rsidR="00AB0EBA">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FF47F" w14:textId="77777777" w:rsidR="006339C1" w:rsidRDefault="006339C1">
      <w:r>
        <w:separator/>
      </w:r>
    </w:p>
  </w:endnote>
  <w:endnote w:type="continuationSeparator" w:id="0">
    <w:p w14:paraId="3A616386" w14:textId="77777777" w:rsidR="006339C1" w:rsidRDefault="00633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CFFF0" w14:textId="77777777" w:rsidR="00AB0EBA" w:rsidRDefault="00724544">
    <w:pPr>
      <w:pStyle w:val="JuHeader"/>
    </w:pPr>
    <w:r>
      <w:fldChar w:fldCharType="begin"/>
    </w:r>
    <w:r>
      <w:instrText xml:space="preserve"> PAGE </w:instrText>
    </w:r>
    <w:r>
      <w:fldChar w:fldCharType="separate"/>
    </w:r>
    <w: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27124" w14:textId="77777777" w:rsidR="00AB0EBA" w:rsidRDefault="00724544">
    <w:pPr>
      <w:pStyle w:val="JuHeader"/>
    </w:pPr>
    <w:r>
      <w:fldChar w:fldCharType="begin"/>
    </w:r>
    <w:r>
      <w:instrText xml:space="preserve"> PAGE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17186" w14:textId="77777777" w:rsidR="00AB0EBA" w:rsidRDefault="00724544">
    <w:pPr>
      <w:jc w:val="center"/>
    </w:pPr>
    <w:r>
      <w:rPr>
        <w:noProof/>
      </w:rPr>
      <w:drawing>
        <wp:inline distT="0" distB="0" distL="0" distR="0" wp14:anchorId="210906AD" wp14:editId="7251EF1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7CDC33" w14:textId="77777777" w:rsidR="00AB0EBA" w:rsidRDefault="00AB0EBA">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036EE9" w14:textId="77777777" w:rsidR="006339C1" w:rsidRDefault="006339C1">
      <w:r>
        <w:separator/>
      </w:r>
    </w:p>
  </w:footnote>
  <w:footnote w:type="continuationSeparator" w:id="0">
    <w:p w14:paraId="7CD49DA2" w14:textId="77777777" w:rsidR="006339C1" w:rsidRDefault="006339C1">
      <w:r>
        <w:continuationSeparator/>
      </w:r>
    </w:p>
  </w:footnote>
  <w:footnote w:id="1">
    <w:p w14:paraId="4C4D3F4F" w14:textId="77777777" w:rsidR="00AB0EBA" w:rsidRDefault="00724544">
      <w:pPr>
        <w:pStyle w:val="Tekstprzypisudolnego"/>
      </w:pPr>
      <w:r>
        <w:rPr>
          <w:rStyle w:val="Odwoanieprzypisudolnego"/>
        </w:rPr>
        <w:footnoteRef/>
      </w:r>
      <w:r>
        <w:rPr>
          <w:rStyle w:val="Odwoanieprzypisudolnego"/>
        </w:rPr>
        <w:t xml:space="preserve"> </w:t>
      </w:r>
      <w:r>
        <w:t>Plus wszelkie podatki należne od skarżącego.</w:t>
      </w:r>
    </w:p>
  </w:footnote>
  <w:footnote w:id="2">
    <w:p w14:paraId="4A829556" w14:textId="77777777" w:rsidR="00AB0EBA" w:rsidRDefault="00724544">
      <w:pPr>
        <w:pStyle w:val="Tekstprzypisudolnego"/>
      </w:pPr>
      <w:r>
        <w:rPr>
          <w:rStyle w:val="Odwoanieprzypisudolnego"/>
        </w:rPr>
        <w:footnoteRef/>
      </w:r>
      <w:r>
        <w:rPr>
          <w:rStyle w:val="Odwoanieprzypisudolnego"/>
        </w:rPr>
        <w:t xml:space="preserve"> </w:t>
      </w:r>
      <w:r>
        <w:t>Plus wszelkie podatki należne od skarżącego.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5C772" w14:textId="77777777" w:rsidR="00AB0EBA" w:rsidRDefault="00724544">
    <w:pPr>
      <w:jc w:val="center"/>
    </w:pPr>
    <w:r>
      <w:rPr>
        <w:noProof/>
      </w:rPr>
      <w:drawing>
        <wp:inline distT="0" distB="0" distL="0" distR="0" wp14:anchorId="6EC9165C" wp14:editId="336BAE2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0812BDE" w14:textId="77777777" w:rsidR="00AB0EBA" w:rsidRDefault="00AB0EBA">
    <w:pPr>
      <w:jc w:val="center"/>
      <w:rPr>
        <w:sz w:val="4"/>
        <w:szCs w:val="4"/>
      </w:rPr>
    </w:pPr>
  </w:p>
  <w:p w14:paraId="667CBA1D" w14:textId="77777777" w:rsidR="00AB0EBA" w:rsidRDefault="00AB0E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25293" w14:textId="77777777" w:rsidR="00AB0EBA" w:rsidRDefault="00724544">
    <w:pPr>
      <w:jc w:val="center"/>
    </w:pPr>
    <w:r>
      <w:rPr>
        <w:noProof/>
      </w:rPr>
      <w:drawing>
        <wp:inline distT="0" distB="0" distL="0" distR="0" wp14:anchorId="4504C2D8" wp14:editId="62B3A68B">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266C5FD" w14:textId="77777777" w:rsidR="00AB0EBA" w:rsidRDefault="00AB0EBA">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95301" w14:textId="77777777" w:rsidR="00AB0EBA" w:rsidRDefault="00724544">
    <w:pPr>
      <w:pStyle w:val="JuHeader"/>
    </w:pPr>
    <w:r>
      <w:t>WYROK KASZUBSKI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0810B" w14:textId="77777777" w:rsidR="00AB0EBA" w:rsidRDefault="00724544">
    <w:pPr>
      <w:pStyle w:val="JuHeader"/>
    </w:pPr>
    <w:r>
      <w:t>WYROK KASZUBSKI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AE7AB" w14:textId="77777777" w:rsidR="00AB0EBA" w:rsidRDefault="00724544">
    <w:pPr>
      <w:pStyle w:val="JuHeader"/>
    </w:pPr>
    <w:r>
      <w:t>WYROK KASZUBSKI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AF3B9" w14:textId="77777777" w:rsidR="00AB0EBA" w:rsidRDefault="00724544">
    <w:pPr>
      <w:pStyle w:val="JuHeader"/>
    </w:pPr>
    <w:r>
      <w:t>WYROK KASZUBSKI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apunktowana"/>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AB0EBA"/>
    <w:rsid w:val="003B3E1C"/>
    <w:rsid w:val="006339C1"/>
    <w:rsid w:val="006D33EC"/>
    <w:rsid w:val="00724544"/>
    <w:rsid w:val="00AB0EBA"/>
    <w:rsid w:val="00C43639"/>
    <w:rsid w:val="00E2064B"/>
    <w:rsid w:val="00EA37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FE3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Pr>
      <w:sz w:val="24"/>
      <w:szCs w:val="24"/>
    </w:rPr>
  </w:style>
  <w:style w:type="paragraph" w:styleId="Nagwek1">
    <w:name w:val="heading 1"/>
    <w:basedOn w:val="Normalny"/>
    <w:next w:val="Normalny"/>
    <w:link w:val="Nagwek1Znak"/>
    <w:uiPriority w:val="98"/>
    <w:semiHidden/>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Pr>
      <w:rFonts w:ascii="Tahoma" w:hAnsi="Tahoma" w:cs="Tahoma"/>
      <w:sz w:val="16"/>
      <w:szCs w:val="16"/>
    </w:rPr>
  </w:style>
  <w:style w:type="character" w:customStyle="1" w:styleId="TekstdymkaZnak">
    <w:name w:val="Tekst dymka Znak"/>
    <w:basedOn w:val="Domylnaczcionkaakapitu"/>
    <w:link w:val="Tekstdymka"/>
    <w:uiPriority w:val="98"/>
    <w:semiHidden/>
    <w:rPr>
      <w:rFonts w:ascii="Tahoma" w:hAnsi="Tahoma" w:cs="Tahoma"/>
      <w:sz w:val="16"/>
      <w:szCs w:val="16"/>
      <w:lang w:val="pl-PL"/>
    </w:rPr>
  </w:style>
  <w:style w:type="character" w:styleId="Tytuksiki">
    <w:name w:val="Book Title"/>
    <w:uiPriority w:val="98"/>
    <w:semiHidden/>
    <w:qFormat/>
    <w:rPr>
      <w:i/>
      <w:iCs/>
      <w:smallCaps/>
      <w:spacing w:val="5"/>
    </w:rPr>
  </w:style>
  <w:style w:type="paragraph" w:customStyle="1" w:styleId="JuHeader">
    <w:name w:val="Ju_Header"/>
    <w:aliases w:val="_Header"/>
    <w:basedOn w:val="Nagwek"/>
    <w:uiPriority w:val="29"/>
    <w:qFormat/>
    <w:pPr>
      <w:tabs>
        <w:tab w:val="clear" w:pos="4536"/>
        <w:tab w:val="clear" w:pos="9072"/>
      </w:tabs>
      <w:jc w:val="center"/>
    </w:pPr>
    <w:rPr>
      <w:sz w:val="18"/>
    </w:rPr>
  </w:style>
  <w:style w:type="paragraph" w:customStyle="1" w:styleId="DummyStyle">
    <w:name w:val="Dummy_Style"/>
    <w:aliases w:val="_Dummy"/>
    <w:basedOn w:val="Normalny"/>
    <w:semiHidden/>
    <w:qFormat/>
    <w:rPr>
      <w:color w:val="00B050"/>
      <w:sz w:val="22"/>
    </w:rPr>
  </w:style>
  <w:style w:type="character" w:styleId="Pogrubienie">
    <w:name w:val="Strong"/>
    <w:uiPriority w:val="98"/>
    <w:semiHidden/>
    <w:qFormat/>
    <w:rPr>
      <w:b/>
      <w:bCs/>
    </w:rPr>
  </w:style>
  <w:style w:type="paragraph" w:styleId="Bezodstpw">
    <w:name w:val="No Spacing"/>
    <w:basedOn w:val="Normalny"/>
    <w:link w:val="BezodstpwZnak"/>
    <w:uiPriority w:val="98"/>
    <w:semiHidden/>
    <w:qFormat/>
  </w:style>
  <w:style w:type="character" w:customStyle="1" w:styleId="BezodstpwZnak">
    <w:name w:val="Bez odstępów Znak"/>
    <w:basedOn w:val="Domylnaczcionkaakapitu"/>
    <w:link w:val="Bezodstpw"/>
    <w:uiPriority w:val="98"/>
    <w:semiHidden/>
    <w:rPr>
      <w:sz w:val="24"/>
      <w:szCs w:val="24"/>
      <w:lang w:val="pl-PL"/>
    </w:rPr>
  </w:style>
  <w:style w:type="paragraph" w:customStyle="1" w:styleId="JuQuot">
    <w:name w:val="Ju_Quot"/>
    <w:aliases w:val="_Quote"/>
    <w:basedOn w:val="NormalJustified"/>
    <w:uiPriority w:val="20"/>
    <w:qFormat/>
    <w:pPr>
      <w:spacing w:before="120" w:after="120"/>
      <w:ind w:left="425" w:firstLine="142"/>
    </w:pPr>
    <w:rPr>
      <w:sz w:val="20"/>
    </w:rPr>
  </w:style>
  <w:style w:type="paragraph" w:customStyle="1" w:styleId="JuList">
    <w:name w:val="Ju_List"/>
    <w:aliases w:val="_List_1"/>
    <w:basedOn w:val="NormalJustified"/>
    <w:uiPriority w:val="23"/>
    <w:qFormat/>
    <w:pPr>
      <w:numPr>
        <w:numId w:val="20"/>
      </w:numPr>
      <w:spacing w:before="280" w:after="60"/>
    </w:pPr>
  </w:style>
  <w:style w:type="paragraph" w:customStyle="1" w:styleId="JuListi">
    <w:name w:val="Ju_List_i"/>
    <w:aliases w:val="_List_3"/>
    <w:basedOn w:val="NormalJustified"/>
    <w:uiPriority w:val="23"/>
    <w:pPr>
      <w:numPr>
        <w:ilvl w:val="2"/>
        <w:numId w:val="20"/>
      </w:numPr>
    </w:pPr>
  </w:style>
  <w:style w:type="paragraph" w:customStyle="1" w:styleId="JuTitle">
    <w:name w:val="Ju_Title"/>
    <w:aliases w:val="_Title_2"/>
    <w:basedOn w:val="Normalny"/>
    <w:next w:val="JuPara"/>
    <w:uiPriority w:val="38"/>
    <w:qFormat/>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pPr>
      <w:keepNext/>
      <w:spacing w:before="100" w:beforeAutospacing="1" w:after="120"/>
      <w:contextualSpacing/>
      <w:jc w:val="center"/>
    </w:pPr>
    <w:rPr>
      <w:b/>
      <w:sz w:val="20"/>
    </w:rPr>
  </w:style>
  <w:style w:type="numbering" w:customStyle="1" w:styleId="ECHRA1StyleBulletedSquare">
    <w:name w:val="ECHR_A1_Style_Bulleted_Square"/>
    <w:basedOn w:val="Bezlisty"/>
    <w:pPr>
      <w:numPr>
        <w:numId w:val="14"/>
      </w:numPr>
    </w:pPr>
  </w:style>
  <w:style w:type="numbering" w:customStyle="1" w:styleId="ECHRA1StyleList">
    <w:name w:val="ECHR_A1_Style_List"/>
    <w:basedOn w:val="Bezlisty"/>
    <w:uiPriority w:val="99"/>
    <w:pPr>
      <w:numPr>
        <w:numId w:val="15"/>
      </w:numPr>
    </w:pPr>
  </w:style>
  <w:style w:type="paragraph" w:customStyle="1" w:styleId="JuHHead">
    <w:name w:val="Ju_H_Head"/>
    <w:aliases w:val="_Head_1"/>
    <w:basedOn w:val="Nagwek1"/>
    <w:next w:val="JuPara"/>
    <w:uiPriority w:val="17"/>
    <w:qFormat/>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Bezlisty"/>
    <w:pPr>
      <w:numPr>
        <w:numId w:val="16"/>
      </w:numPr>
    </w:pPr>
  </w:style>
  <w:style w:type="table" w:customStyle="1" w:styleId="ECHRTable2019">
    <w:name w:val="ECHR_Table_2019"/>
    <w:basedOn w:val="Standardowy"/>
    <w:uiPriority w:val="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ytu">
    <w:name w:val="Title"/>
    <w:basedOn w:val="Normalny"/>
    <w:next w:val="Normalny"/>
    <w:link w:val="TytuZnak"/>
    <w:uiPriority w:val="98"/>
    <w:semiHidden/>
    <w:qFormat/>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Pr>
      <w:sz w:val="8"/>
    </w:rPr>
  </w:style>
  <w:style w:type="paragraph" w:customStyle="1" w:styleId="JuCourt">
    <w:name w:val="Ju_Court"/>
    <w:aliases w:val="_Court_Names"/>
    <w:basedOn w:val="Normalny"/>
    <w:next w:val="Normalny"/>
    <w:uiPriority w:val="32"/>
    <w:qFormat/>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pPr>
      <w:tabs>
        <w:tab w:val="center" w:pos="6407"/>
      </w:tabs>
      <w:spacing w:before="720"/>
      <w:jc w:val="right"/>
    </w:pPr>
  </w:style>
  <w:style w:type="character" w:customStyle="1" w:styleId="JuITMark">
    <w:name w:val="Ju_ITMark"/>
    <w:aliases w:val="_ITMark"/>
    <w:basedOn w:val="Domylnaczcionkaakapitu"/>
    <w:uiPriority w:val="54"/>
    <w:semiHidden/>
    <w:qFormat/>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agwek2"/>
    <w:next w:val="JuPara"/>
    <w:uiPriority w:val="17"/>
    <w:qFormat/>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Nagwek5"/>
    <w:next w:val="JuPara"/>
    <w:uiPriority w:val="17"/>
    <w:pPr>
      <w:keepNext/>
      <w:keepLines/>
      <w:numPr>
        <w:ilvl w:val="4"/>
        <w:numId w:val="19"/>
      </w:numPr>
      <w:spacing w:before="100" w:beforeAutospacing="1" w:after="120"/>
      <w:jc w:val="both"/>
    </w:pPr>
    <w:rPr>
      <w:color w:val="auto"/>
      <w:sz w:val="20"/>
    </w:rPr>
  </w:style>
  <w:style w:type="paragraph" w:styleId="Nagwek">
    <w:name w:val="header"/>
    <w:basedOn w:val="Normalny"/>
    <w:link w:val="NagwekZnak"/>
    <w:uiPriority w:val="98"/>
    <w:semiHidden/>
    <w:pPr>
      <w:tabs>
        <w:tab w:val="center" w:pos="4536"/>
        <w:tab w:val="right" w:pos="9072"/>
      </w:tabs>
    </w:pPr>
  </w:style>
  <w:style w:type="character" w:customStyle="1" w:styleId="NagwekZnak">
    <w:name w:val="Nagłówek Znak"/>
    <w:basedOn w:val="Domylnaczcionkaakapitu"/>
    <w:link w:val="Nagwek"/>
    <w:uiPriority w:val="98"/>
    <w:semiHidden/>
    <w:rPr>
      <w:sz w:val="24"/>
      <w:szCs w:val="24"/>
      <w:lang w:val="pl-PL"/>
    </w:rPr>
  </w:style>
  <w:style w:type="character" w:customStyle="1" w:styleId="Nagwek1Znak">
    <w:name w:val="Nagłówek 1 Znak"/>
    <w:basedOn w:val="Domylnaczcionkaakapitu"/>
    <w:link w:val="Nagwek1"/>
    <w:uiPriority w:val="98"/>
    <w:semiHidden/>
    <w:rPr>
      <w:rFonts w:asciiTheme="majorHAnsi" w:eastAsiaTheme="majorEastAsia" w:hAnsiTheme="majorHAnsi" w:cstheme="majorBidi"/>
      <w:b/>
      <w:bCs/>
      <w:color w:val="333333"/>
      <w:sz w:val="28"/>
      <w:szCs w:val="28"/>
      <w:lang w:val="pl-PL"/>
    </w:rPr>
  </w:style>
  <w:style w:type="paragraph" w:customStyle="1" w:styleId="JuHi">
    <w:name w:val="Ju_H_i"/>
    <w:aliases w:val="_Head_6"/>
    <w:basedOn w:val="Nagwek6"/>
    <w:next w:val="JuPara"/>
    <w:uiPriority w:val="17"/>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pPr>
      <w:keepNext/>
      <w:keepLines/>
      <w:numPr>
        <w:ilvl w:val="6"/>
        <w:numId w:val="19"/>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Pr>
      <w:rFonts w:asciiTheme="majorHAnsi" w:eastAsiaTheme="majorEastAsia" w:hAnsiTheme="majorHAnsi" w:cstheme="majorBidi"/>
      <w:b/>
      <w:bCs/>
      <w:color w:val="4D4D4D"/>
      <w:sz w:val="26"/>
      <w:szCs w:val="26"/>
      <w:lang w:val="pl-PL"/>
    </w:rPr>
  </w:style>
  <w:style w:type="paragraph" w:customStyle="1" w:styleId="JuH">
    <w:name w:val="Ju_H_–"/>
    <w:aliases w:val="_Head_8"/>
    <w:basedOn w:val="Nagwek8"/>
    <w:next w:val="JuPara"/>
    <w:uiPriority w:val="17"/>
    <w:pPr>
      <w:keepNext/>
      <w:keepLines/>
      <w:numPr>
        <w:ilvl w:val="7"/>
        <w:numId w:val="19"/>
      </w:numPr>
      <w:spacing w:before="100" w:beforeAutospacing="1" w:after="120"/>
      <w:jc w:val="both"/>
    </w:pPr>
    <w:rPr>
      <w:i/>
    </w:rPr>
  </w:style>
  <w:style w:type="character" w:customStyle="1" w:styleId="JUNAMES">
    <w:name w:val="JU_NAMES"/>
    <w:aliases w:val="_Ju_Names"/>
    <w:uiPriority w:val="33"/>
    <w:qFormat/>
    <w:rPr>
      <w:caps w:val="0"/>
      <w:smallCaps/>
    </w:rPr>
  </w:style>
  <w:style w:type="character" w:customStyle="1" w:styleId="Nagwek3Znak">
    <w:name w:val="Nagłówek 3 Znak"/>
    <w:basedOn w:val="Domylnaczcionkaakapitu"/>
    <w:link w:val="Nagwek3"/>
    <w:uiPriority w:val="98"/>
    <w:semiHidden/>
    <w:rPr>
      <w:rFonts w:asciiTheme="majorHAnsi" w:eastAsiaTheme="majorEastAsia" w:hAnsiTheme="majorHAnsi" w:cstheme="majorBidi"/>
      <w:b/>
      <w:bCs/>
      <w:color w:val="5F5F5F"/>
      <w:lang w:val="pl-PL"/>
    </w:rPr>
  </w:style>
  <w:style w:type="paragraph" w:customStyle="1" w:styleId="JuLista">
    <w:name w:val="Ju_List_a"/>
    <w:aliases w:val="_List_2"/>
    <w:basedOn w:val="NormalJustified"/>
    <w:uiPriority w:val="23"/>
    <w:pPr>
      <w:numPr>
        <w:ilvl w:val="1"/>
        <w:numId w:val="20"/>
      </w:numPr>
    </w:pPr>
  </w:style>
  <w:style w:type="paragraph" w:customStyle="1" w:styleId="NormalJustified">
    <w:name w:val="Normal_Justified"/>
    <w:basedOn w:val="Normalny"/>
    <w:semiHidden/>
    <w:pPr>
      <w:jc w:val="both"/>
    </w:pPr>
  </w:style>
  <w:style w:type="character" w:customStyle="1" w:styleId="Nagwek4Znak">
    <w:name w:val="Nagłówek 4 Znak"/>
    <w:basedOn w:val="Domylnaczcionkaakapitu"/>
    <w:link w:val="Nagwek4"/>
    <w:uiPriority w:val="98"/>
    <w:semiHidden/>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Pr>
      <w:rFonts w:asciiTheme="majorHAnsi" w:eastAsiaTheme="majorEastAsia" w:hAnsiTheme="majorHAnsi" w:cstheme="majorBidi"/>
      <w:b/>
      <w:bCs/>
      <w:color w:val="808080"/>
      <w:lang w:val="pl-PL"/>
    </w:rPr>
  </w:style>
  <w:style w:type="character" w:styleId="Wyrnieniedelikatne">
    <w:name w:val="Subtle Emphasis"/>
    <w:uiPriority w:val="98"/>
    <w:semiHidden/>
    <w:qFormat/>
    <w:rPr>
      <w:i/>
      <w:iCs/>
    </w:rPr>
  </w:style>
  <w:style w:type="table" w:customStyle="1" w:styleId="ECHRTable">
    <w:name w:val="ECHR_Table"/>
    <w:basedOn w:val="Standardowy"/>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8"/>
    <w:semiHidden/>
    <w:qFormat/>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Pr>
      <w:rFonts w:asciiTheme="majorHAnsi" w:eastAsiaTheme="majorEastAsia" w:hAnsiTheme="majorHAnsi" w:cstheme="majorBidi"/>
      <w:i/>
      <w:iCs/>
      <w:spacing w:val="13"/>
      <w:sz w:val="24"/>
      <w:szCs w:val="24"/>
      <w:lang w:val="pl-PL" w:bidi="en-US"/>
    </w:rPr>
  </w:style>
  <w:style w:type="paragraph" w:customStyle="1" w:styleId="DecHCase">
    <w:name w:val="Dec_H_Case"/>
    <w:aliases w:val="_Title_3"/>
    <w:basedOn w:val="JuPara"/>
    <w:next w:val="JuPara"/>
    <w:uiPriority w:val="38"/>
    <w:qFormat/>
    <w:pPr>
      <w:keepNext/>
      <w:keepLines/>
      <w:spacing w:after="280"/>
      <w:ind w:firstLine="0"/>
      <w:jc w:val="center"/>
    </w:pPr>
    <w:rPr>
      <w:rFonts w:asciiTheme="majorHAnsi" w:hAnsiTheme="majorHAnsi"/>
    </w:rPr>
  </w:style>
  <w:style w:type="character" w:styleId="Uwydatnienie">
    <w:name w:val="Emphasis"/>
    <w:uiPriority w:val="98"/>
    <w:semiHidden/>
    <w:qFormat/>
    <w:rPr>
      <w:b/>
      <w:bCs/>
      <w:i/>
      <w:iCs/>
      <w:spacing w:val="10"/>
      <w:bdr w:val="none" w:sz="0" w:space="0" w:color="auto"/>
      <w:shd w:val="clear" w:color="auto" w:fill="auto"/>
    </w:rPr>
  </w:style>
  <w:style w:type="paragraph" w:styleId="Stopka">
    <w:name w:val="footer"/>
    <w:basedOn w:val="Normalny"/>
    <w:link w:val="StopkaZnak"/>
    <w:uiPriority w:val="98"/>
    <w:semiHidden/>
    <w:pPr>
      <w:tabs>
        <w:tab w:val="center" w:pos="3686"/>
        <w:tab w:val="right" w:pos="7371"/>
      </w:tabs>
    </w:pPr>
  </w:style>
  <w:style w:type="character" w:customStyle="1" w:styleId="StopkaZnak">
    <w:name w:val="Stopka Znak"/>
    <w:basedOn w:val="Domylnaczcionkaakapitu"/>
    <w:link w:val="Stopka"/>
    <w:uiPriority w:val="98"/>
    <w:semiHidden/>
    <w:rPr>
      <w:sz w:val="24"/>
      <w:szCs w:val="24"/>
      <w:lang w:val="pl-PL"/>
    </w:rPr>
  </w:style>
  <w:style w:type="character" w:styleId="Odwoanieprzypisudolnego">
    <w:name w:val="footnote reference"/>
    <w:basedOn w:val="Domylnaczcionkaakapitu"/>
    <w:uiPriority w:val="98"/>
    <w:semiHidden/>
    <w:rPr>
      <w:vertAlign w:val="superscript"/>
    </w:rPr>
  </w:style>
  <w:style w:type="paragraph" w:styleId="Tekstprzypisudolnego">
    <w:name w:val="footnote text"/>
    <w:basedOn w:val="NormalJustified"/>
    <w:link w:val="TekstprzypisudolnegoZnak"/>
    <w:uiPriority w:val="98"/>
    <w:semiHidden/>
    <w:rPr>
      <w:sz w:val="20"/>
      <w:szCs w:val="20"/>
    </w:rPr>
  </w:style>
  <w:style w:type="character" w:customStyle="1" w:styleId="TekstprzypisudolnegoZnak">
    <w:name w:val="Tekst przypisu dolnego Znak"/>
    <w:basedOn w:val="Domylnaczcionkaakapitu"/>
    <w:link w:val="Tekstprzypisudolnego"/>
    <w:uiPriority w:val="98"/>
    <w:semiHidden/>
    <w:rPr>
      <w:sz w:val="20"/>
      <w:szCs w:val="20"/>
      <w:lang w:val="pl-PL"/>
    </w:rPr>
  </w:style>
  <w:style w:type="character" w:customStyle="1" w:styleId="Nagwek6Znak">
    <w:name w:val="Nagłówek 6 Znak"/>
    <w:basedOn w:val="Domylnaczcionkaakapitu"/>
    <w:link w:val="Nagwek6"/>
    <w:uiPriority w:val="98"/>
    <w:semiHidden/>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Pr>
      <w:rFonts w:asciiTheme="majorHAnsi" w:eastAsiaTheme="majorEastAsia" w:hAnsiTheme="majorHAnsi" w:cstheme="majorBidi"/>
      <w:i/>
      <w:iCs/>
      <w:spacing w:val="5"/>
      <w:sz w:val="20"/>
      <w:szCs w:val="20"/>
      <w:lang w:val="pl-PL" w:bidi="en-US"/>
    </w:rPr>
  </w:style>
  <w:style w:type="character" w:styleId="Wyrnienieintensywne">
    <w:name w:val="Intense Emphasis"/>
    <w:uiPriority w:val="98"/>
    <w:semiHidden/>
    <w:qFormat/>
    <w:rPr>
      <w:b/>
      <w:bCs/>
    </w:rPr>
  </w:style>
  <w:style w:type="paragraph" w:styleId="Cytatintensywny">
    <w:name w:val="Intense Quote"/>
    <w:basedOn w:val="Normalny"/>
    <w:next w:val="Normalny"/>
    <w:link w:val="CytatintensywnyZnak"/>
    <w:uiPriority w:val="98"/>
    <w:semiHidden/>
    <w:qFormat/>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Pr>
      <w:b/>
      <w:bCs/>
      <w:i/>
      <w:iCs/>
      <w:sz w:val="24"/>
      <w:szCs w:val="24"/>
      <w:lang w:val="pl-PL" w:bidi="en-US"/>
    </w:rPr>
  </w:style>
  <w:style w:type="character" w:styleId="Odwoanieintensywne">
    <w:name w:val="Intense Reference"/>
    <w:uiPriority w:val="98"/>
    <w:semiHidden/>
    <w:qFormat/>
    <w:rPr>
      <w:smallCaps/>
      <w:spacing w:val="5"/>
      <w:u w:val="single"/>
    </w:rPr>
  </w:style>
  <w:style w:type="paragraph" w:styleId="Akapitzlist">
    <w:name w:val="List Paragraph"/>
    <w:basedOn w:val="Normalny"/>
    <w:uiPriority w:val="98"/>
    <w:semiHidden/>
    <w:qFormat/>
    <w:pPr>
      <w:ind w:left="720"/>
      <w:contextualSpacing/>
    </w:pPr>
  </w:style>
  <w:style w:type="table" w:customStyle="1" w:styleId="LtrTableAddress">
    <w:name w:val="Ltr_Table_Address"/>
    <w:aliases w:val="ECHR_Ltr_Table_Address"/>
    <w:basedOn w:val="Standardowy"/>
    <w:uiPriority w:val="99"/>
    <w:rPr>
      <w:sz w:val="24"/>
      <w:szCs w:val="24"/>
    </w:rPr>
    <w:tblPr>
      <w:tblInd w:w="5103" w:type="dxa"/>
    </w:tblPr>
  </w:style>
  <w:style w:type="paragraph" w:styleId="Cytat">
    <w:name w:val="Quote"/>
    <w:basedOn w:val="Normalny"/>
    <w:next w:val="Normalny"/>
    <w:link w:val="CytatZnak"/>
    <w:uiPriority w:val="98"/>
    <w:semiHidden/>
    <w:qFormat/>
    <w:pPr>
      <w:spacing w:before="200"/>
      <w:ind w:left="360" w:right="360"/>
    </w:pPr>
    <w:rPr>
      <w:i/>
      <w:iCs/>
      <w:lang w:bidi="en-US"/>
    </w:rPr>
  </w:style>
  <w:style w:type="character" w:customStyle="1" w:styleId="CytatZnak">
    <w:name w:val="Cytat Znak"/>
    <w:basedOn w:val="Domylnaczcionkaakapitu"/>
    <w:link w:val="Cytat"/>
    <w:uiPriority w:val="98"/>
    <w:semiHidden/>
    <w:rPr>
      <w:i/>
      <w:iCs/>
      <w:sz w:val="24"/>
      <w:szCs w:val="24"/>
      <w:lang w:val="pl-PL" w:bidi="en-US"/>
    </w:rPr>
  </w:style>
  <w:style w:type="character" w:styleId="Odwoaniedelikatne">
    <w:name w:val="Subtle Reference"/>
    <w:uiPriority w:val="98"/>
    <w:semiHidden/>
    <w:qFormat/>
    <w:rPr>
      <w:smallCaps/>
    </w:rPr>
  </w:style>
  <w:style w:type="table" w:styleId="Tabela-Siatka">
    <w:name w:val="Table Grid"/>
    <w:basedOn w:val="Standardowy"/>
    <w:uiPriority w:val="59"/>
    <w:semiHidden/>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Bezlisty"/>
    <w:uiPriority w:val="99"/>
    <w:semiHidden/>
    <w:unhideWhenUsed/>
    <w:pPr>
      <w:numPr>
        <w:numId w:val="1"/>
      </w:numPr>
    </w:pPr>
  </w:style>
  <w:style w:type="numbering" w:styleId="1ai">
    <w:name w:val="Outline List 1"/>
    <w:basedOn w:val="Bezlisty"/>
    <w:uiPriority w:val="99"/>
    <w:semiHidden/>
    <w:unhideWhenUsed/>
    <w:pPr>
      <w:numPr>
        <w:numId w:val="2"/>
      </w:numPr>
    </w:pPr>
  </w:style>
  <w:style w:type="paragraph" w:styleId="Bibliografia">
    <w:name w:val="Bibliography"/>
    <w:basedOn w:val="Normalny"/>
    <w:next w:val="Normalny"/>
    <w:uiPriority w:val="98"/>
    <w:semiHidden/>
  </w:style>
  <w:style w:type="paragraph" w:customStyle="1" w:styleId="JuPara">
    <w:name w:val="Ju_Para"/>
    <w:aliases w:val="_Para"/>
    <w:basedOn w:val="NormalJustified"/>
    <w:link w:val="JuParaChar"/>
    <w:uiPriority w:val="4"/>
    <w:qFormat/>
    <w:pPr>
      <w:ind w:firstLine="284"/>
    </w:pPr>
  </w:style>
  <w:style w:type="paragraph" w:styleId="Tekstblokowy">
    <w:name w:val="Block Text"/>
    <w:basedOn w:val="Normalny"/>
    <w:uiPriority w:val="98"/>
    <w:semiHidden/>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Standardowy"/>
    <w:uiPriority w:val="9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Tekstpodstawowy">
    <w:name w:val="Body Text"/>
    <w:basedOn w:val="Normalny"/>
    <w:link w:val="TekstpodstawowyZnak"/>
    <w:uiPriority w:val="98"/>
    <w:semiHidden/>
    <w:pPr>
      <w:spacing w:after="120"/>
    </w:pPr>
  </w:style>
  <w:style w:type="table" w:customStyle="1" w:styleId="ECHRTableForInternalUse">
    <w:name w:val="ECHR_Table_For_Internal_Use"/>
    <w:basedOn w:val="Standardowy"/>
    <w:uiPriority w:val="9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Pr>
      <w:sz w:val="24"/>
      <w:szCs w:val="24"/>
      <w:lang w:val="pl-PL"/>
    </w:rPr>
  </w:style>
  <w:style w:type="paragraph" w:styleId="Tekstpodstawowy2">
    <w:name w:val="Body Text 2"/>
    <w:basedOn w:val="Normalny"/>
    <w:link w:val="Tekstpodstawowy2Znak"/>
    <w:uiPriority w:val="98"/>
    <w:semiHidden/>
    <w:pPr>
      <w:spacing w:after="120" w:line="480" w:lineRule="auto"/>
    </w:pPr>
  </w:style>
  <w:style w:type="table" w:customStyle="1" w:styleId="ECHRHeaderTable">
    <w:name w:val="ECHR_Header_Table"/>
    <w:basedOn w:val="Standardowy"/>
    <w:uiPriority w:val="9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Pr>
      <w:sz w:val="24"/>
      <w:szCs w:val="24"/>
      <w:lang w:val="pl-PL"/>
    </w:rPr>
  </w:style>
  <w:style w:type="paragraph" w:styleId="Tekstpodstawowy3">
    <w:name w:val="Body Text 3"/>
    <w:basedOn w:val="Normalny"/>
    <w:link w:val="Tekstpodstawowy3Znak"/>
    <w:uiPriority w:val="98"/>
    <w:semiHidden/>
    <w:pPr>
      <w:spacing w:after="120"/>
    </w:pPr>
    <w:rPr>
      <w:sz w:val="16"/>
      <w:szCs w:val="16"/>
    </w:rPr>
  </w:style>
  <w:style w:type="table" w:customStyle="1" w:styleId="ECHRTableOddBanded">
    <w:name w:val="ECHR_Table_Odd_Banded"/>
    <w:basedOn w:val="Standardowy"/>
    <w:uiPriority w:val="9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pPr>
      <w:tabs>
        <w:tab w:val="left" w:pos="567"/>
        <w:tab w:val="left" w:pos="1134"/>
      </w:tabs>
    </w:pPr>
  </w:style>
  <w:style w:type="table" w:customStyle="1" w:styleId="ECHRHeaderTableReduced">
    <w:name w:val="ECHR_Header_Table_Reduced"/>
    <w:basedOn w:val="Standardowy"/>
    <w:uiPriority w:val="9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Pr>
      <w:sz w:val="16"/>
      <w:szCs w:val="16"/>
      <w:lang w:val="pl-PL"/>
    </w:rPr>
  </w:style>
  <w:style w:type="paragraph" w:styleId="Tekstpodstawowyzwciciem">
    <w:name w:val="Body Text First Indent"/>
    <w:basedOn w:val="Tekstpodstawowy"/>
    <w:link w:val="TekstpodstawowyzwciciemZnak"/>
    <w:uiPriority w:val="98"/>
    <w:semiHidden/>
    <w:pPr>
      <w:spacing w:after="0"/>
      <w:ind w:firstLine="360"/>
    </w:pPr>
  </w:style>
  <w:style w:type="character" w:customStyle="1" w:styleId="TekstpodstawowyzwciciemZnak">
    <w:name w:val="Tekst podstawowy z wcięciem Znak"/>
    <w:basedOn w:val="TekstpodstawowyZnak"/>
    <w:link w:val="Tekstpodstawowyzwciciem"/>
    <w:uiPriority w:val="98"/>
    <w:semiHidden/>
    <w:rPr>
      <w:sz w:val="24"/>
      <w:szCs w:val="24"/>
      <w:lang w:val="pl-PL"/>
    </w:rPr>
  </w:style>
  <w:style w:type="character" w:styleId="Tekstzastpczy">
    <w:name w:val="Placeholder Text"/>
    <w:basedOn w:val="Domylnaczcionkaakapitu"/>
    <w:uiPriority w:val="98"/>
    <w:semiHidden/>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pPr>
      <w:tabs>
        <w:tab w:val="center" w:pos="1418"/>
        <w:tab w:val="center" w:pos="5954"/>
      </w:tabs>
      <w:spacing w:before="720"/>
    </w:pPr>
  </w:style>
  <w:style w:type="character" w:styleId="Numerstrony">
    <w:name w:val="page number"/>
    <w:uiPriority w:val="98"/>
    <w:semiHidden/>
    <w:rPr>
      <w:sz w:val="18"/>
    </w:rPr>
  </w:style>
  <w:style w:type="character" w:styleId="Odwoaniedokomentarza">
    <w:name w:val="annotation reference"/>
    <w:basedOn w:val="Domylnaczcionkaakapitu"/>
    <w:uiPriority w:val="98"/>
    <w:semiHidden/>
    <w:rPr>
      <w:sz w:val="16"/>
      <w:szCs w:val="16"/>
    </w:rPr>
  </w:style>
  <w:style w:type="paragraph" w:styleId="Tekstkomentarza">
    <w:name w:val="annotation text"/>
    <w:basedOn w:val="Normalny"/>
    <w:link w:val="TekstkomentarzaZnak"/>
    <w:uiPriority w:val="98"/>
    <w:semiHidden/>
    <w:rPr>
      <w:sz w:val="20"/>
      <w:szCs w:val="20"/>
    </w:rPr>
  </w:style>
  <w:style w:type="character" w:customStyle="1" w:styleId="TekstkomentarzaZnak">
    <w:name w:val="Tekst komentarza Znak"/>
    <w:basedOn w:val="Domylnaczcionkaakapitu"/>
    <w:link w:val="Tekstkomentarza"/>
    <w:uiPriority w:val="98"/>
    <w:semiHidden/>
    <w:rPr>
      <w:sz w:val="20"/>
      <w:szCs w:val="20"/>
      <w:lang w:val="pl-PL"/>
    </w:rPr>
  </w:style>
  <w:style w:type="paragraph" w:customStyle="1" w:styleId="DecHTitle">
    <w:name w:val="Dec_H_Title"/>
    <w:aliases w:val="_Title_1"/>
    <w:basedOn w:val="JuPara"/>
    <w:next w:val="JuPara"/>
    <w:uiPriority w:val="38"/>
    <w:qFormat/>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pPr>
      <w:keepNext/>
      <w:keepLines/>
      <w:spacing w:before="240" w:after="240"/>
      <w:ind w:firstLine="284"/>
    </w:pPr>
  </w:style>
  <w:style w:type="numbering" w:styleId="Artykusekcja">
    <w:name w:val="Outline List 3"/>
    <w:basedOn w:val="Bezlisty"/>
    <w:uiPriority w:val="99"/>
    <w:semiHidden/>
    <w:unhideWhenUsed/>
    <w:pPr>
      <w:numPr>
        <w:numId w:val="3"/>
      </w:numPr>
    </w:pPr>
  </w:style>
  <w:style w:type="paragraph" w:styleId="Listapunktowana">
    <w:name w:val="List Bullet"/>
    <w:basedOn w:val="Normalny"/>
    <w:uiPriority w:val="98"/>
    <w:semiHidden/>
    <w:pPr>
      <w:numPr>
        <w:numId w:val="4"/>
      </w:numPr>
    </w:pPr>
  </w:style>
  <w:style w:type="character" w:customStyle="1" w:styleId="JuParaChar">
    <w:name w:val="Ju_Para Char"/>
    <w:aliases w:val="_Para Char"/>
    <w:basedOn w:val="Domylnaczcionkaakapitu"/>
    <w:link w:val="JuPara"/>
    <w:uiPriority w:val="4"/>
    <w:rPr>
      <w:sz w:val="24"/>
      <w:szCs w:val="24"/>
      <w:lang w:val="pl-PL"/>
    </w:rPr>
  </w:style>
  <w:style w:type="paragraph" w:customStyle="1" w:styleId="JuCase">
    <w:name w:val="Ju_Case"/>
    <w:aliases w:val="_Case_Name"/>
    <w:basedOn w:val="NormalJustified"/>
    <w:next w:val="JuPara"/>
    <w:uiPriority w:val="32"/>
    <w:pPr>
      <w:ind w:firstLine="284"/>
    </w:pPr>
    <w:rPr>
      <w:b/>
    </w:rPr>
  </w:style>
  <w:style w:type="paragraph" w:styleId="Tekstpodstawowywcity">
    <w:name w:val="Body Text Indent"/>
    <w:basedOn w:val="Normalny"/>
    <w:link w:val="TekstpodstawowywcityZnak"/>
    <w:uiPriority w:val="98"/>
    <w:semiHidden/>
    <w:pPr>
      <w:spacing w:after="120"/>
      <w:ind w:left="283"/>
    </w:pPr>
  </w:style>
  <w:style w:type="character" w:customStyle="1" w:styleId="TekstpodstawowywcityZnak">
    <w:name w:val="Tekst podstawowy wcięty Znak"/>
    <w:basedOn w:val="Domylnaczcionkaakapitu"/>
    <w:link w:val="Tekstpodstawowywcity"/>
    <w:uiPriority w:val="98"/>
    <w:semiHidden/>
    <w:rPr>
      <w:sz w:val="24"/>
      <w:szCs w:val="24"/>
      <w:lang w:val="pl-PL"/>
    </w:rPr>
  </w:style>
  <w:style w:type="paragraph" w:styleId="Tekstpodstawowyzwciciem2">
    <w:name w:val="Body Text First Indent 2"/>
    <w:basedOn w:val="Tekstpodstawowywcity"/>
    <w:link w:val="Tekstpodstawowyzwciciem2Znak"/>
    <w:uiPriority w:val="98"/>
    <w:semiHidden/>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Pr>
      <w:sz w:val="24"/>
      <w:szCs w:val="24"/>
      <w:lang w:val="pl-PL"/>
    </w:rPr>
  </w:style>
  <w:style w:type="paragraph" w:styleId="Tekstpodstawowywcity2">
    <w:name w:val="Body Text Indent 2"/>
    <w:basedOn w:val="Normalny"/>
    <w:link w:val="Tekstpodstawowywcity2Znak"/>
    <w:uiPriority w:val="98"/>
    <w:semiHidden/>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Pr>
      <w:sz w:val="24"/>
      <w:szCs w:val="24"/>
      <w:lang w:val="pl-PL"/>
    </w:rPr>
  </w:style>
  <w:style w:type="paragraph" w:styleId="Tekstpodstawowywcity3">
    <w:name w:val="Body Text Indent 3"/>
    <w:basedOn w:val="Normalny"/>
    <w:link w:val="Tekstpodstawowywcity3Znak"/>
    <w:uiPriority w:val="98"/>
    <w:semiHidden/>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Pr>
      <w:sz w:val="16"/>
      <w:szCs w:val="16"/>
      <w:lang w:val="pl-PL"/>
    </w:rPr>
  </w:style>
  <w:style w:type="paragraph" w:styleId="Legenda">
    <w:name w:val="caption"/>
    <w:basedOn w:val="Normalny"/>
    <w:next w:val="Normalny"/>
    <w:uiPriority w:val="98"/>
    <w:semiHidden/>
    <w:qFormat/>
    <w:pPr>
      <w:spacing w:after="200"/>
    </w:pPr>
    <w:rPr>
      <w:b/>
      <w:bCs/>
      <w:color w:val="0072BC" w:themeColor="accent1"/>
      <w:sz w:val="18"/>
      <w:szCs w:val="18"/>
    </w:rPr>
  </w:style>
  <w:style w:type="paragraph" w:styleId="Zwrotpoegnalny">
    <w:name w:val="Closing"/>
    <w:basedOn w:val="Normalny"/>
    <w:link w:val="ZwrotpoegnalnyZnak"/>
    <w:uiPriority w:val="98"/>
    <w:semiHidden/>
    <w:pPr>
      <w:ind w:left="4252"/>
    </w:pPr>
  </w:style>
  <w:style w:type="character" w:customStyle="1" w:styleId="ZwrotpoegnalnyZnak">
    <w:name w:val="Zwrot pożegnalny Znak"/>
    <w:basedOn w:val="Domylnaczcionkaakapitu"/>
    <w:link w:val="Zwrotpoegnalny"/>
    <w:uiPriority w:val="98"/>
    <w:semiHidden/>
    <w:rPr>
      <w:sz w:val="24"/>
      <w:szCs w:val="24"/>
      <w:lang w:val="pl-PL"/>
    </w:rPr>
  </w:style>
  <w:style w:type="table" w:styleId="Kolorowasiatka">
    <w:name w:val="Colorful Grid"/>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Pr>
      <w:b/>
      <w:bCs/>
    </w:rPr>
  </w:style>
  <w:style w:type="character" w:customStyle="1" w:styleId="TematkomentarzaZnak">
    <w:name w:val="Temat komentarza Znak"/>
    <w:basedOn w:val="TekstkomentarzaZnak"/>
    <w:link w:val="Tematkomentarza"/>
    <w:uiPriority w:val="98"/>
    <w:semiHidden/>
    <w:rPr>
      <w:b/>
      <w:bCs/>
      <w:sz w:val="20"/>
      <w:szCs w:val="20"/>
      <w:lang w:val="pl-PL"/>
    </w:rPr>
  </w:style>
  <w:style w:type="table" w:styleId="Ciemnalista">
    <w:name w:val="Dark List"/>
    <w:basedOn w:val="Standardowy"/>
    <w:uiPriority w:val="70"/>
    <w:semiHidden/>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style>
  <w:style w:type="character" w:customStyle="1" w:styleId="DataZnak">
    <w:name w:val="Data Znak"/>
    <w:basedOn w:val="Domylnaczcionkaakapitu"/>
    <w:link w:val="Data"/>
    <w:uiPriority w:val="98"/>
    <w:semiHidden/>
    <w:rPr>
      <w:sz w:val="24"/>
      <w:szCs w:val="24"/>
      <w:lang w:val="pl-PL"/>
    </w:rPr>
  </w:style>
  <w:style w:type="paragraph" w:styleId="Mapadokumentu">
    <w:name w:val="Document Map"/>
    <w:basedOn w:val="Normalny"/>
    <w:link w:val="MapadokumentuZnak"/>
    <w:uiPriority w:val="98"/>
    <w:semiHidden/>
    <w:rPr>
      <w:rFonts w:ascii="Tahoma" w:hAnsi="Tahoma" w:cs="Tahoma"/>
      <w:sz w:val="16"/>
      <w:szCs w:val="16"/>
    </w:rPr>
  </w:style>
  <w:style w:type="character" w:customStyle="1" w:styleId="MapadokumentuZnak">
    <w:name w:val="Mapa dokumentu Znak"/>
    <w:basedOn w:val="Domylnaczcionkaakapitu"/>
    <w:link w:val="Mapadokumentu"/>
    <w:uiPriority w:val="98"/>
    <w:semiHidden/>
    <w:rPr>
      <w:rFonts w:ascii="Tahoma" w:hAnsi="Tahoma" w:cs="Tahoma"/>
      <w:sz w:val="16"/>
      <w:szCs w:val="16"/>
      <w:lang w:val="pl-PL"/>
    </w:rPr>
  </w:style>
  <w:style w:type="paragraph" w:styleId="Podpise-mail">
    <w:name w:val="E-mail Signature"/>
    <w:basedOn w:val="Normalny"/>
    <w:link w:val="Podpise-mailZnak"/>
    <w:uiPriority w:val="98"/>
    <w:semiHidden/>
  </w:style>
  <w:style w:type="character" w:customStyle="1" w:styleId="Podpise-mailZnak">
    <w:name w:val="Podpis e-mail Znak"/>
    <w:basedOn w:val="Domylnaczcionkaakapitu"/>
    <w:link w:val="Podpise-mail"/>
    <w:uiPriority w:val="98"/>
    <w:semiHidden/>
    <w:rPr>
      <w:sz w:val="24"/>
      <w:szCs w:val="24"/>
      <w:lang w:val="pl-PL"/>
    </w:rPr>
  </w:style>
  <w:style w:type="character" w:styleId="Odwoanieprzypisukocowego">
    <w:name w:val="endnote reference"/>
    <w:basedOn w:val="Domylnaczcionkaakapitu"/>
    <w:uiPriority w:val="98"/>
    <w:semiHidden/>
    <w:rPr>
      <w:vertAlign w:val="superscript"/>
    </w:rPr>
  </w:style>
  <w:style w:type="paragraph" w:styleId="Tekstprzypisukocowego">
    <w:name w:val="endnote text"/>
    <w:basedOn w:val="Normalny"/>
    <w:link w:val="TekstprzypisukocowegoZnak"/>
    <w:uiPriority w:val="98"/>
    <w:semiHidden/>
    <w:rPr>
      <w:sz w:val="20"/>
      <w:szCs w:val="20"/>
    </w:rPr>
  </w:style>
  <w:style w:type="character" w:customStyle="1" w:styleId="TekstprzypisukocowegoZnak">
    <w:name w:val="Tekst przypisu końcowego Znak"/>
    <w:basedOn w:val="Domylnaczcionkaakapitu"/>
    <w:link w:val="Tekstprzypisukocowego"/>
    <w:uiPriority w:val="98"/>
    <w:semiHidden/>
    <w:rPr>
      <w:sz w:val="20"/>
      <w:szCs w:val="20"/>
      <w:lang w:val="pl-PL"/>
    </w:rPr>
  </w:style>
  <w:style w:type="paragraph" w:styleId="Adresnakopercie">
    <w:name w:val="envelope address"/>
    <w:basedOn w:val="Normalny"/>
    <w:uiPriority w:val="98"/>
    <w:semiHidden/>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Pr>
      <w:color w:val="7030A0" w:themeColor="followedHyperlink"/>
      <w:u w:val="single"/>
    </w:rPr>
  </w:style>
  <w:style w:type="character" w:styleId="HTML-akronim">
    <w:name w:val="HTML Acronym"/>
    <w:basedOn w:val="Domylnaczcionkaakapitu"/>
    <w:uiPriority w:val="98"/>
    <w:semiHidden/>
  </w:style>
  <w:style w:type="paragraph" w:styleId="HTML-adres">
    <w:name w:val="HTML Address"/>
    <w:basedOn w:val="Normalny"/>
    <w:link w:val="HTML-adresZnak"/>
    <w:uiPriority w:val="98"/>
    <w:semiHidden/>
    <w:rPr>
      <w:i/>
      <w:iCs/>
    </w:rPr>
  </w:style>
  <w:style w:type="character" w:customStyle="1" w:styleId="HTML-adresZnak">
    <w:name w:val="HTML - adres Znak"/>
    <w:basedOn w:val="Domylnaczcionkaakapitu"/>
    <w:link w:val="HTML-adres"/>
    <w:uiPriority w:val="98"/>
    <w:semiHidden/>
    <w:rPr>
      <w:i/>
      <w:iCs/>
      <w:sz w:val="24"/>
      <w:szCs w:val="24"/>
      <w:lang w:val="pl-PL"/>
    </w:rPr>
  </w:style>
  <w:style w:type="character" w:styleId="HTML-cytat">
    <w:name w:val="HTML Cite"/>
    <w:basedOn w:val="Domylnaczcionkaakapitu"/>
    <w:uiPriority w:val="98"/>
    <w:semiHidden/>
    <w:rPr>
      <w:i/>
      <w:iCs/>
    </w:rPr>
  </w:style>
  <w:style w:type="character" w:styleId="HTML-kod">
    <w:name w:val="HTML Code"/>
    <w:basedOn w:val="Domylnaczcionkaakapitu"/>
    <w:uiPriority w:val="98"/>
    <w:semiHidden/>
    <w:rPr>
      <w:rFonts w:ascii="Consolas" w:hAnsi="Consolas" w:cs="Consolas"/>
      <w:sz w:val="20"/>
      <w:szCs w:val="20"/>
    </w:rPr>
  </w:style>
  <w:style w:type="character" w:styleId="HTML-definicja">
    <w:name w:val="HTML Definition"/>
    <w:basedOn w:val="Domylnaczcionkaakapitu"/>
    <w:uiPriority w:val="98"/>
    <w:semiHidden/>
    <w:rPr>
      <w:i/>
      <w:iCs/>
    </w:rPr>
  </w:style>
  <w:style w:type="character" w:styleId="HTML-klawiatura">
    <w:name w:val="HTML Keyboard"/>
    <w:basedOn w:val="Domylnaczcionkaakapitu"/>
    <w:uiPriority w:val="98"/>
    <w:semiHidden/>
    <w:rPr>
      <w:rFonts w:ascii="Consolas" w:hAnsi="Consolas" w:cs="Consolas"/>
      <w:sz w:val="20"/>
      <w:szCs w:val="20"/>
    </w:rPr>
  </w:style>
  <w:style w:type="paragraph" w:styleId="HTML-wstpniesformatowany">
    <w:name w:val="HTML Preformatted"/>
    <w:basedOn w:val="Normalny"/>
    <w:link w:val="HTML-wstpniesformatowanyZnak"/>
    <w:uiPriority w:val="98"/>
    <w:semiHidden/>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Pr>
      <w:rFonts w:ascii="Consolas" w:hAnsi="Consolas" w:cs="Consolas"/>
      <w:sz w:val="20"/>
      <w:szCs w:val="20"/>
      <w:lang w:val="pl-PL"/>
    </w:rPr>
  </w:style>
  <w:style w:type="character" w:styleId="HTML-przykad">
    <w:name w:val="HTML Sample"/>
    <w:basedOn w:val="Domylnaczcionkaakapitu"/>
    <w:uiPriority w:val="98"/>
    <w:semiHidden/>
    <w:rPr>
      <w:rFonts w:ascii="Consolas" w:hAnsi="Consolas" w:cs="Consolas"/>
      <w:sz w:val="24"/>
      <w:szCs w:val="24"/>
    </w:rPr>
  </w:style>
  <w:style w:type="character" w:styleId="HTML-staaszeroko">
    <w:name w:val="HTML Typewriter"/>
    <w:basedOn w:val="Domylnaczcionkaakapitu"/>
    <w:uiPriority w:val="98"/>
    <w:semiHidden/>
    <w:rPr>
      <w:rFonts w:ascii="Consolas" w:hAnsi="Consolas" w:cs="Consolas"/>
      <w:sz w:val="20"/>
      <w:szCs w:val="20"/>
    </w:rPr>
  </w:style>
  <w:style w:type="character" w:styleId="HTML-zmienna">
    <w:name w:val="HTML Variable"/>
    <w:basedOn w:val="Domylnaczcionkaakapitu"/>
    <w:uiPriority w:val="98"/>
    <w:semiHidden/>
    <w:rPr>
      <w:i/>
      <w:iCs/>
    </w:rPr>
  </w:style>
  <w:style w:type="paragraph" w:styleId="Indeks1">
    <w:name w:val="index 1"/>
    <w:basedOn w:val="Normalny"/>
    <w:next w:val="Normalny"/>
    <w:autoRedefine/>
    <w:uiPriority w:val="98"/>
    <w:semiHidden/>
    <w:pPr>
      <w:ind w:left="240" w:hanging="240"/>
    </w:pPr>
  </w:style>
  <w:style w:type="paragraph" w:styleId="Indeks2">
    <w:name w:val="index 2"/>
    <w:basedOn w:val="Normalny"/>
    <w:next w:val="Normalny"/>
    <w:autoRedefine/>
    <w:uiPriority w:val="98"/>
    <w:semiHidden/>
    <w:pPr>
      <w:ind w:left="480" w:hanging="240"/>
    </w:pPr>
  </w:style>
  <w:style w:type="paragraph" w:styleId="Indeks3">
    <w:name w:val="index 3"/>
    <w:basedOn w:val="Normalny"/>
    <w:next w:val="Normalny"/>
    <w:autoRedefine/>
    <w:uiPriority w:val="98"/>
    <w:semiHidden/>
    <w:pPr>
      <w:ind w:left="720" w:hanging="240"/>
    </w:pPr>
  </w:style>
  <w:style w:type="paragraph" w:styleId="Indeks4">
    <w:name w:val="index 4"/>
    <w:basedOn w:val="Normalny"/>
    <w:next w:val="Normalny"/>
    <w:autoRedefine/>
    <w:uiPriority w:val="98"/>
    <w:semiHidden/>
    <w:pPr>
      <w:ind w:left="960" w:hanging="240"/>
    </w:pPr>
  </w:style>
  <w:style w:type="paragraph" w:styleId="Indeks5">
    <w:name w:val="index 5"/>
    <w:basedOn w:val="Normalny"/>
    <w:next w:val="Normalny"/>
    <w:autoRedefine/>
    <w:uiPriority w:val="98"/>
    <w:semiHidden/>
    <w:pPr>
      <w:ind w:left="1200" w:hanging="240"/>
    </w:pPr>
  </w:style>
  <w:style w:type="paragraph" w:styleId="Indeks6">
    <w:name w:val="index 6"/>
    <w:basedOn w:val="Normalny"/>
    <w:next w:val="Normalny"/>
    <w:autoRedefine/>
    <w:uiPriority w:val="98"/>
    <w:semiHidden/>
    <w:pPr>
      <w:ind w:left="1440" w:hanging="240"/>
    </w:pPr>
  </w:style>
  <w:style w:type="paragraph" w:styleId="Indeks7">
    <w:name w:val="index 7"/>
    <w:basedOn w:val="Normalny"/>
    <w:next w:val="Normalny"/>
    <w:autoRedefine/>
    <w:uiPriority w:val="98"/>
    <w:semiHidden/>
    <w:pPr>
      <w:ind w:left="1680" w:hanging="240"/>
    </w:pPr>
  </w:style>
  <w:style w:type="paragraph" w:styleId="Indeks8">
    <w:name w:val="index 8"/>
    <w:basedOn w:val="Normalny"/>
    <w:next w:val="Normalny"/>
    <w:autoRedefine/>
    <w:uiPriority w:val="98"/>
    <w:semiHidden/>
    <w:pPr>
      <w:ind w:left="1920" w:hanging="240"/>
    </w:pPr>
  </w:style>
  <w:style w:type="paragraph" w:styleId="Indeks9">
    <w:name w:val="index 9"/>
    <w:basedOn w:val="Normalny"/>
    <w:next w:val="Normalny"/>
    <w:autoRedefine/>
    <w:uiPriority w:val="98"/>
    <w:semiHidden/>
    <w:pPr>
      <w:ind w:left="2160" w:hanging="240"/>
    </w:pPr>
  </w:style>
  <w:style w:type="paragraph" w:styleId="Nagwekindeksu">
    <w:name w:val="index heading"/>
    <w:basedOn w:val="Normalny"/>
    <w:next w:val="Indeks1"/>
    <w:uiPriority w:val="98"/>
    <w:semiHidden/>
    <w:rPr>
      <w:rFonts w:asciiTheme="majorHAnsi" w:eastAsiaTheme="majorEastAsia" w:hAnsiTheme="majorHAnsi" w:cstheme="majorBidi"/>
      <w:b/>
      <w:bCs/>
    </w:rPr>
  </w:style>
  <w:style w:type="table" w:styleId="Jasnasiatka">
    <w:name w:val="Light Grid"/>
    <w:basedOn w:val="Standardowy"/>
    <w:uiPriority w:val="62"/>
    <w:semiHidden/>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style>
  <w:style w:type="paragraph" w:styleId="Lista">
    <w:name w:val="List"/>
    <w:basedOn w:val="Normalny"/>
    <w:uiPriority w:val="98"/>
    <w:semiHidden/>
    <w:pPr>
      <w:ind w:left="283" w:hanging="283"/>
      <w:contextualSpacing/>
    </w:pPr>
  </w:style>
  <w:style w:type="paragraph" w:styleId="Lista2">
    <w:name w:val="List 2"/>
    <w:basedOn w:val="Normalny"/>
    <w:uiPriority w:val="98"/>
    <w:semiHidden/>
    <w:pPr>
      <w:ind w:left="566" w:hanging="283"/>
      <w:contextualSpacing/>
    </w:pPr>
  </w:style>
  <w:style w:type="paragraph" w:styleId="Lista3">
    <w:name w:val="List 3"/>
    <w:basedOn w:val="Normalny"/>
    <w:uiPriority w:val="98"/>
    <w:semiHidden/>
    <w:pPr>
      <w:ind w:left="849" w:hanging="283"/>
      <w:contextualSpacing/>
    </w:pPr>
  </w:style>
  <w:style w:type="paragraph" w:styleId="Lista4">
    <w:name w:val="List 4"/>
    <w:basedOn w:val="Normalny"/>
    <w:uiPriority w:val="98"/>
    <w:semiHidden/>
    <w:pPr>
      <w:ind w:left="1132" w:hanging="283"/>
      <w:contextualSpacing/>
    </w:pPr>
  </w:style>
  <w:style w:type="paragraph" w:styleId="Lista5">
    <w:name w:val="List 5"/>
    <w:basedOn w:val="Normalny"/>
    <w:uiPriority w:val="98"/>
    <w:semiHidden/>
    <w:pPr>
      <w:ind w:left="1415" w:hanging="283"/>
      <w:contextualSpacing/>
    </w:pPr>
  </w:style>
  <w:style w:type="paragraph" w:styleId="Listapunktowana2">
    <w:name w:val="List Bullet 2"/>
    <w:basedOn w:val="Normalny"/>
    <w:uiPriority w:val="98"/>
    <w:semiHidden/>
    <w:pPr>
      <w:numPr>
        <w:numId w:val="5"/>
      </w:numPr>
      <w:contextualSpacing/>
    </w:pPr>
  </w:style>
  <w:style w:type="paragraph" w:styleId="Listapunktowana3">
    <w:name w:val="List Bullet 3"/>
    <w:basedOn w:val="Normalny"/>
    <w:uiPriority w:val="98"/>
    <w:semiHidden/>
    <w:pPr>
      <w:numPr>
        <w:numId w:val="6"/>
      </w:numPr>
      <w:contextualSpacing/>
    </w:pPr>
  </w:style>
  <w:style w:type="paragraph" w:styleId="Listapunktowana4">
    <w:name w:val="List Bullet 4"/>
    <w:basedOn w:val="Normalny"/>
    <w:uiPriority w:val="98"/>
    <w:semiHidden/>
    <w:pPr>
      <w:numPr>
        <w:numId w:val="7"/>
      </w:numPr>
      <w:contextualSpacing/>
    </w:pPr>
  </w:style>
  <w:style w:type="paragraph" w:styleId="Listapunktowana5">
    <w:name w:val="List Bullet 5"/>
    <w:basedOn w:val="Normalny"/>
    <w:uiPriority w:val="98"/>
    <w:semiHidden/>
    <w:pPr>
      <w:numPr>
        <w:numId w:val="8"/>
      </w:numPr>
      <w:contextualSpacing/>
    </w:pPr>
  </w:style>
  <w:style w:type="paragraph" w:styleId="Lista-kontynuacja">
    <w:name w:val="List Continue"/>
    <w:basedOn w:val="Normalny"/>
    <w:uiPriority w:val="98"/>
    <w:semiHidden/>
    <w:pPr>
      <w:spacing w:after="120"/>
      <w:ind w:left="283"/>
      <w:contextualSpacing/>
    </w:pPr>
  </w:style>
  <w:style w:type="paragraph" w:styleId="Lista-kontynuacja2">
    <w:name w:val="List Continue 2"/>
    <w:basedOn w:val="Normalny"/>
    <w:uiPriority w:val="98"/>
    <w:semiHidden/>
    <w:pPr>
      <w:spacing w:after="120"/>
      <w:ind w:left="566"/>
      <w:contextualSpacing/>
    </w:pPr>
  </w:style>
  <w:style w:type="paragraph" w:styleId="Lista-kontynuacja3">
    <w:name w:val="List Continue 3"/>
    <w:basedOn w:val="Normalny"/>
    <w:uiPriority w:val="98"/>
    <w:semiHidden/>
    <w:pPr>
      <w:spacing w:after="120"/>
      <w:ind w:left="849"/>
      <w:contextualSpacing/>
    </w:pPr>
  </w:style>
  <w:style w:type="paragraph" w:styleId="Lista-kontynuacja4">
    <w:name w:val="List Continue 4"/>
    <w:basedOn w:val="Normalny"/>
    <w:uiPriority w:val="98"/>
    <w:semiHidden/>
    <w:pPr>
      <w:spacing w:after="120"/>
      <w:ind w:left="1132"/>
      <w:contextualSpacing/>
    </w:pPr>
  </w:style>
  <w:style w:type="paragraph" w:styleId="Lista-kontynuacja5">
    <w:name w:val="List Continue 5"/>
    <w:basedOn w:val="Normalny"/>
    <w:uiPriority w:val="98"/>
    <w:semiHidden/>
    <w:pPr>
      <w:spacing w:after="120"/>
      <w:ind w:left="1415"/>
      <w:contextualSpacing/>
    </w:pPr>
  </w:style>
  <w:style w:type="paragraph" w:styleId="Listanumerowana">
    <w:name w:val="List Number"/>
    <w:basedOn w:val="Normalny"/>
    <w:uiPriority w:val="98"/>
    <w:semiHidden/>
    <w:pPr>
      <w:numPr>
        <w:numId w:val="9"/>
      </w:numPr>
      <w:contextualSpacing/>
    </w:pPr>
  </w:style>
  <w:style w:type="paragraph" w:styleId="Listanumerowana2">
    <w:name w:val="List Number 2"/>
    <w:basedOn w:val="Normalny"/>
    <w:uiPriority w:val="98"/>
    <w:semiHidden/>
    <w:pPr>
      <w:numPr>
        <w:numId w:val="10"/>
      </w:numPr>
      <w:contextualSpacing/>
    </w:pPr>
  </w:style>
  <w:style w:type="paragraph" w:styleId="Listanumerowana3">
    <w:name w:val="List Number 3"/>
    <w:basedOn w:val="Normalny"/>
    <w:uiPriority w:val="98"/>
    <w:semiHidden/>
    <w:pPr>
      <w:numPr>
        <w:numId w:val="11"/>
      </w:numPr>
      <w:contextualSpacing/>
    </w:pPr>
  </w:style>
  <w:style w:type="paragraph" w:styleId="Listanumerowana4">
    <w:name w:val="List Number 4"/>
    <w:basedOn w:val="Normalny"/>
    <w:uiPriority w:val="98"/>
    <w:semiHidden/>
    <w:pPr>
      <w:numPr>
        <w:numId w:val="12"/>
      </w:numPr>
      <w:contextualSpacing/>
    </w:pPr>
  </w:style>
  <w:style w:type="paragraph" w:styleId="Listanumerowana5">
    <w:name w:val="List Number 5"/>
    <w:basedOn w:val="Normalny"/>
    <w:uiPriority w:val="98"/>
    <w:semiHidden/>
    <w:pPr>
      <w:numPr>
        <w:numId w:val="13"/>
      </w:numPr>
      <w:contextualSpacing/>
    </w:pPr>
  </w:style>
  <w:style w:type="paragraph" w:styleId="Tekstmakra">
    <w:name w:val="macro"/>
    <w:link w:val="TekstmakraZnak"/>
    <w:uiPriority w:val="98"/>
    <w:semiHidden/>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Pr>
      <w:rFonts w:ascii="Consolas" w:eastAsiaTheme="minorEastAsia" w:hAnsi="Consolas" w:cs="Consolas"/>
      <w:sz w:val="20"/>
      <w:szCs w:val="20"/>
    </w:rPr>
  </w:style>
  <w:style w:type="table" w:styleId="redniasiatka1">
    <w:name w:val="Medium Grid 1"/>
    <w:basedOn w:val="Standardowy"/>
    <w:uiPriority w:val="67"/>
    <w:semiHidden/>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Pr>
      <w:rFonts w:ascii="Times New Roman" w:hAnsi="Times New Roman" w:cs="Times New Roman"/>
    </w:rPr>
  </w:style>
  <w:style w:type="paragraph" w:styleId="Wcicienormalne">
    <w:name w:val="Normal Indent"/>
    <w:basedOn w:val="Normalny"/>
    <w:uiPriority w:val="98"/>
    <w:semiHidden/>
    <w:pPr>
      <w:ind w:left="720"/>
    </w:pPr>
  </w:style>
  <w:style w:type="paragraph" w:customStyle="1" w:styleId="ECHRHeaderLandscape">
    <w:name w:val="ECHR_Header_Landscape"/>
    <w:aliases w:val="_Header_Landscape"/>
    <w:basedOn w:val="JuHeader"/>
    <w:uiPriority w:val="29"/>
    <w:semiHidden/>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Pr>
      <w:sz w:val="24"/>
      <w:szCs w:val="24"/>
      <w:lang w:val="pl-PL"/>
    </w:rPr>
  </w:style>
  <w:style w:type="paragraph" w:styleId="Zwykytekst">
    <w:name w:val="Plain Text"/>
    <w:basedOn w:val="Normalny"/>
    <w:link w:val="ZwykytekstZnak"/>
    <w:uiPriority w:val="98"/>
    <w:semiHidden/>
    <w:rPr>
      <w:rFonts w:ascii="Consolas" w:hAnsi="Consolas" w:cs="Consolas"/>
      <w:sz w:val="21"/>
      <w:szCs w:val="21"/>
    </w:rPr>
  </w:style>
  <w:style w:type="character" w:customStyle="1" w:styleId="ZwykytekstZnak">
    <w:name w:val="Zwykły tekst Znak"/>
    <w:basedOn w:val="Domylnaczcionkaakapitu"/>
    <w:link w:val="Zwykytekst"/>
    <w:uiPriority w:val="98"/>
    <w:semiHidden/>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style>
  <w:style w:type="character" w:customStyle="1" w:styleId="ZwrotgrzecznociowyZnak">
    <w:name w:val="Zwrot grzecznościowy Znak"/>
    <w:basedOn w:val="Domylnaczcionkaakapitu"/>
    <w:link w:val="Zwrotgrzecznociowy"/>
    <w:uiPriority w:val="98"/>
    <w:semiHidden/>
    <w:rPr>
      <w:sz w:val="24"/>
      <w:szCs w:val="24"/>
      <w:lang w:val="pl-PL"/>
    </w:rPr>
  </w:style>
  <w:style w:type="paragraph" w:styleId="Podpis">
    <w:name w:val="Signature"/>
    <w:basedOn w:val="Normalny"/>
    <w:link w:val="PodpisZnak"/>
    <w:uiPriority w:val="98"/>
    <w:semiHidden/>
    <w:pPr>
      <w:ind w:left="4252"/>
    </w:pPr>
  </w:style>
  <w:style w:type="character" w:customStyle="1" w:styleId="PodpisZnak">
    <w:name w:val="Podpis Znak"/>
    <w:basedOn w:val="Domylnaczcionkaakapitu"/>
    <w:link w:val="Podpis"/>
    <w:uiPriority w:val="98"/>
    <w:semiHidden/>
    <w:rPr>
      <w:sz w:val="24"/>
      <w:szCs w:val="24"/>
      <w:lang w:val="pl-PL"/>
    </w:rPr>
  </w:style>
  <w:style w:type="table" w:styleId="Tabela-Efekty3D1">
    <w:name w:val="Table 3D effects 1"/>
    <w:basedOn w:val="Standardowy"/>
    <w:uiPriority w:val="99"/>
    <w:semiHidden/>
    <w:unhideWhenUse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pPr>
      <w:ind w:left="240" w:hanging="240"/>
    </w:pPr>
  </w:style>
  <w:style w:type="paragraph" w:styleId="Spisilustracji">
    <w:name w:val="table of figures"/>
    <w:basedOn w:val="Normalny"/>
    <w:next w:val="Normalny"/>
    <w:uiPriority w:val="98"/>
    <w:semiHidden/>
  </w:style>
  <w:style w:type="table" w:styleId="Tabela-Profesjonalny">
    <w:name w:val="Table Professional"/>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pPr>
      <w:spacing w:after="100"/>
      <w:ind w:left="1680"/>
    </w:pPr>
  </w:style>
  <w:style w:type="paragraph" w:styleId="Spistreci9">
    <w:name w:val="toc 9"/>
    <w:basedOn w:val="Normalny"/>
    <w:next w:val="Normalny"/>
    <w:autoRedefine/>
    <w:uiPriority w:val="98"/>
    <w:semiHidden/>
    <w:pPr>
      <w:spacing w:after="100"/>
      <w:ind w:left="1920"/>
    </w:pPr>
  </w:style>
  <w:style w:type="paragraph" w:customStyle="1" w:styleId="ECHRFooter">
    <w:name w:val="ECHR_Footer"/>
    <w:aliases w:val="Footer_ECHR"/>
    <w:basedOn w:val="Stopka"/>
    <w:uiPriority w:val="57"/>
    <w:semiHidden/>
    <w:rPr>
      <w:sz w:val="8"/>
    </w:rPr>
  </w:style>
  <w:style w:type="paragraph" w:customStyle="1" w:styleId="ECHRFooterLine">
    <w:name w:val="ECHR_Footer_Line"/>
    <w:aliases w:val="_Footer_Line"/>
    <w:basedOn w:val="Normalny"/>
    <w:next w:val="Normalny"/>
    <w:uiPriority w:val="30"/>
    <w:semiHidden/>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Pr>
      <w:color w:val="0072BC" w:themeColor="hyperlink"/>
      <w:u w:val="single"/>
    </w:rPr>
  </w:style>
  <w:style w:type="paragraph" w:styleId="Nagweknotatki">
    <w:name w:val="Note Heading"/>
    <w:basedOn w:val="Normalny"/>
    <w:next w:val="Normalny"/>
    <w:link w:val="NagweknotatkiZnak"/>
    <w:uiPriority w:val="98"/>
    <w:semiHidden/>
  </w:style>
  <w:style w:type="paragraph" w:customStyle="1" w:styleId="DecList">
    <w:name w:val="Dec_List"/>
    <w:aliases w:val="_List"/>
    <w:basedOn w:val="JuList"/>
    <w:uiPriority w:val="22"/>
    <w:pPr>
      <w:numPr>
        <w:numId w:val="0"/>
      </w:numPr>
      <w:ind w:left="284"/>
    </w:pPr>
  </w:style>
  <w:style w:type="paragraph" w:customStyle="1" w:styleId="ECHRPlaceholder">
    <w:name w:val="ECHR_Placeholder"/>
    <w:aliases w:val="_Placeholder"/>
    <w:basedOn w:val="JuSigned"/>
    <w:uiPriority w:val="31"/>
    <w:rPr>
      <w:color w:val="FFFFFF"/>
    </w:rPr>
  </w:style>
  <w:style w:type="paragraph" w:customStyle="1" w:styleId="ECHRBullet1">
    <w:name w:val="ECHR_Bullet_1"/>
    <w:aliases w:val="_Bul_1"/>
    <w:basedOn w:val="NormalJustified"/>
    <w:uiPriority w:val="23"/>
    <w:semiHidden/>
    <w:qFormat/>
    <w:pPr>
      <w:numPr>
        <w:numId w:val="17"/>
      </w:numPr>
      <w:spacing w:before="60" w:after="60"/>
    </w:pPr>
  </w:style>
  <w:style w:type="paragraph" w:customStyle="1" w:styleId="ECHRBullet2">
    <w:name w:val="ECHR_Bullet_2"/>
    <w:aliases w:val="_Bul_2"/>
    <w:basedOn w:val="ECHRBullet1"/>
    <w:uiPriority w:val="23"/>
    <w:semiHidden/>
    <w:pPr>
      <w:numPr>
        <w:ilvl w:val="1"/>
      </w:numPr>
    </w:pPr>
  </w:style>
  <w:style w:type="paragraph" w:customStyle="1" w:styleId="ECHRBullet3">
    <w:name w:val="ECHR_Bullet_3"/>
    <w:aliases w:val="_Bul_3"/>
    <w:basedOn w:val="ECHRBullet2"/>
    <w:uiPriority w:val="23"/>
    <w:semiHidden/>
    <w:pPr>
      <w:numPr>
        <w:ilvl w:val="2"/>
      </w:numPr>
    </w:pPr>
  </w:style>
  <w:style w:type="paragraph" w:customStyle="1" w:styleId="ECHRBullet4">
    <w:name w:val="ECHR_Bullet_4"/>
    <w:aliases w:val="_Bul_4"/>
    <w:basedOn w:val="ECHRBullet3"/>
    <w:uiPriority w:val="23"/>
    <w:semiHidden/>
    <w:pPr>
      <w:numPr>
        <w:ilvl w:val="3"/>
      </w:numPr>
    </w:pPr>
  </w:style>
  <w:style w:type="paragraph" w:customStyle="1" w:styleId="ECHRConfidential">
    <w:name w:val="ECHR_Confidential"/>
    <w:aliases w:val="_Confidential"/>
    <w:basedOn w:val="Normalny"/>
    <w:next w:val="Normalny"/>
    <w:uiPriority w:val="42"/>
    <w:semiHidden/>
    <w:qFormat/>
    <w:pPr>
      <w:jc w:val="right"/>
    </w:pPr>
    <w:rPr>
      <w:color w:val="C00000"/>
      <w:sz w:val="20"/>
    </w:rPr>
  </w:style>
  <w:style w:type="paragraph" w:customStyle="1" w:styleId="ECHRDecisionBody">
    <w:name w:val="ECHR_Decision_Body"/>
    <w:aliases w:val="_Decision_Body"/>
    <w:basedOn w:val="NormalJustified"/>
    <w:uiPriority w:val="54"/>
    <w:semiHidden/>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pPr>
      <w:jc w:val="right"/>
    </w:pPr>
    <w:rPr>
      <w:sz w:val="20"/>
    </w:rPr>
  </w:style>
  <w:style w:type="paragraph" w:customStyle="1" w:styleId="ECHRHeaderRefIt">
    <w:name w:val="ECHR_Header_Ref_It"/>
    <w:aliases w:val="_Ref_Ital"/>
    <w:basedOn w:val="Normalny"/>
    <w:next w:val="ECHRHeaderDate"/>
    <w:uiPriority w:val="43"/>
    <w:semiHidden/>
    <w:qFormat/>
    <w:pPr>
      <w:jc w:val="right"/>
    </w:pPr>
    <w:rPr>
      <w:i/>
      <w:sz w:val="20"/>
    </w:rPr>
  </w:style>
  <w:style w:type="paragraph" w:customStyle="1" w:styleId="ECHRHeading9">
    <w:name w:val="ECHR_Heading_9"/>
    <w:aliases w:val="_Head_9"/>
    <w:basedOn w:val="Nagwek9"/>
    <w:uiPriority w:val="17"/>
    <w:semiHidden/>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pPr>
      <w:numPr>
        <w:numId w:val="18"/>
      </w:numPr>
      <w:spacing w:before="60" w:after="60"/>
    </w:pPr>
  </w:style>
  <w:style w:type="paragraph" w:customStyle="1" w:styleId="ECHRNumberedList2">
    <w:name w:val="ECHR_Numbered_List_2"/>
    <w:aliases w:val="_Num_2"/>
    <w:basedOn w:val="ECHRNumberedList1"/>
    <w:uiPriority w:val="23"/>
    <w:semiHidden/>
    <w:pPr>
      <w:numPr>
        <w:ilvl w:val="1"/>
      </w:numPr>
    </w:pPr>
  </w:style>
  <w:style w:type="paragraph" w:customStyle="1" w:styleId="ECHRNumberedList3">
    <w:name w:val="ECHR_Numbered_List_3"/>
    <w:aliases w:val="_Num_3"/>
    <w:basedOn w:val="ECHRNumberedList2"/>
    <w:uiPriority w:val="23"/>
    <w:semiHidden/>
    <w:pPr>
      <w:numPr>
        <w:ilvl w:val="2"/>
      </w:numPr>
    </w:pPr>
  </w:style>
  <w:style w:type="paragraph" w:customStyle="1" w:styleId="ECHRParaHanging">
    <w:name w:val="ECHR_Para_Hanging"/>
    <w:aliases w:val="_Hanging"/>
    <w:basedOn w:val="NormalJustified"/>
    <w:uiPriority w:val="8"/>
    <w:semiHidden/>
    <w:qFormat/>
    <w:pPr>
      <w:ind w:left="567" w:hanging="567"/>
    </w:pPr>
  </w:style>
  <w:style w:type="paragraph" w:customStyle="1" w:styleId="ECHRParaIndent">
    <w:name w:val="ECHR_Para_Indent"/>
    <w:aliases w:val="_Indent"/>
    <w:basedOn w:val="NormalJustified"/>
    <w:uiPriority w:val="7"/>
    <w:semiHidden/>
    <w:qFormat/>
    <w:pPr>
      <w:spacing w:before="120" w:after="120"/>
      <w:ind w:left="284"/>
    </w:pPr>
  </w:style>
  <w:style w:type="character" w:customStyle="1" w:styleId="ECHRRed">
    <w:name w:val="ECHR_Red"/>
    <w:aliases w:val="_Red"/>
    <w:basedOn w:val="Domylnaczcionkaakapitu"/>
    <w:uiPriority w:val="15"/>
    <w:semiHidden/>
    <w:qFormat/>
    <w:rPr>
      <w:color w:val="C00000" w:themeColor="accent2"/>
    </w:rPr>
  </w:style>
  <w:style w:type="paragraph" w:customStyle="1" w:styleId="ECHRSpacer">
    <w:name w:val="ECHR_Spacer"/>
    <w:aliases w:val="_Spacer"/>
    <w:basedOn w:val="Normalny"/>
    <w:uiPriority w:val="45"/>
    <w:semiHidden/>
    <w:rPr>
      <w:sz w:val="4"/>
    </w:rPr>
  </w:style>
  <w:style w:type="table" w:customStyle="1" w:styleId="ECHRTable2">
    <w:name w:val="ECHR_Table_2"/>
    <w:basedOn w:val="Standardowy"/>
    <w:uiPriority w:val="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pPr>
      <w:outlineLvl w:val="0"/>
    </w:pPr>
  </w:style>
  <w:style w:type="paragraph" w:customStyle="1" w:styleId="ECHRTitleTOC1">
    <w:name w:val="ECHR_Title_TOC_1"/>
    <w:aliases w:val="_Title_L_TOC"/>
    <w:basedOn w:val="ECHRTitle1"/>
    <w:next w:val="Normalny"/>
    <w:uiPriority w:val="27"/>
    <w:semiHidden/>
    <w:qFormat/>
    <w:pPr>
      <w:outlineLvl w:val="0"/>
    </w:pPr>
  </w:style>
  <w:style w:type="table" w:customStyle="1" w:styleId="ECHRTableGrey">
    <w:name w:val="ECHR_Table_Grey"/>
    <w:basedOn w:val="Standardowy"/>
    <w:uiPriority w:val="9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Pr>
      <w:color w:val="605E5C"/>
      <w:shd w:val="clear" w:color="auto" w:fill="E1DFDD"/>
    </w:rPr>
  </w:style>
  <w:style w:type="table" w:styleId="Tabelasiatki1jasna">
    <w:name w:val="Grid Table 1 Light"/>
    <w:basedOn w:val="Standardowy"/>
    <w:uiPriority w:val="46"/>
    <w:semiHidden/>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Pr>
      <w:color w:val="2B579A"/>
      <w:shd w:val="clear" w:color="auto" w:fill="E1DFDD"/>
    </w:rPr>
  </w:style>
  <w:style w:type="table" w:styleId="Tabelalisty1jasna">
    <w:name w:val="List Table 1 Light"/>
    <w:basedOn w:val="Standardowy"/>
    <w:uiPriority w:val="46"/>
    <w:semiHidden/>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Pr>
      <w:color w:val="2B579A"/>
      <w:shd w:val="clear" w:color="auto" w:fill="E1DFDD"/>
    </w:rPr>
  </w:style>
  <w:style w:type="table" w:styleId="Zwykatabela1">
    <w:name w:val="Plain Table 1"/>
    <w:basedOn w:val="Standardowy"/>
    <w:uiPriority w:val="41"/>
    <w:semiHidden/>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Pr>
      <w:u w:val="dotted"/>
    </w:rPr>
  </w:style>
  <w:style w:type="character" w:customStyle="1" w:styleId="Inteligentnylink1">
    <w:name w:val="Inteligentny link1"/>
    <w:basedOn w:val="Domylnaczcionkaakapitu"/>
    <w:uiPriority w:val="99"/>
    <w:semiHidden/>
    <w:unhideWhenUsed/>
    <w:rPr>
      <w:color w:val="0000FF"/>
      <w:u w:val="single"/>
      <w:shd w:val="clear" w:color="auto" w:fill="F3F2F1"/>
    </w:rPr>
  </w:style>
  <w:style w:type="table" w:styleId="Siatkatabelijasna">
    <w:name w:val="Grid Table Light"/>
    <w:basedOn w:val="Standardowy"/>
    <w:uiPriority w:val="40"/>
    <w:semiHidden/>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6C864-89B2-4D73-B530-223F1A506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1137</Words>
  <Characters>6822</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2022-11-24T14:15:00Z</dcterms:created>
  <dcterms:modified xsi:type="dcterms:W3CDTF">2022-11-24T14:58:00Z</dcterms:modified>
  <cp:category/>
</cp:coreProperties>
</file>