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927D9" w:rsidR="0098410D" w:rsidP="009927D9" w:rsidRDefault="0098410D" w14:paraId="631D596D" w14:textId="77777777">
      <w:pPr>
        <w:jc w:val="center"/>
      </w:pPr>
    </w:p>
    <w:p w:rsidRPr="009927D9" w:rsidR="0098410D" w:rsidP="009927D9" w:rsidRDefault="00F13958" w14:paraId="77FC875B" w14:textId="24047128">
      <w:pPr>
        <w:pStyle w:val="DecHTitle"/>
      </w:pPr>
      <w:r w:rsidRPr="009927D9">
        <w:t>FIRST SECTION</w:t>
      </w:r>
    </w:p>
    <w:p w:rsidRPr="009927D9" w:rsidR="008E6217" w:rsidP="004D5954" w:rsidRDefault="008E6217" w14:paraId="2DE1A951" w14:textId="17A8C4D2">
      <w:pPr>
        <w:pStyle w:val="JuTitle"/>
        <w:spacing w:before="960"/>
      </w:pPr>
      <w:bookmarkStart w:name="To" w:id="0"/>
      <w:r w:rsidRPr="009927D9">
        <w:rPr>
          <w:color w:val="000000" w:themeColor="text1"/>
        </w:rPr>
        <w:t xml:space="preserve">CASE OF </w:t>
      </w:r>
      <w:bookmarkEnd w:id="0"/>
      <w:r w:rsidRPr="009927D9" w:rsidR="00F13958">
        <w:t>Y v. POLAND</w:t>
      </w:r>
    </w:p>
    <w:p w:rsidRPr="009927D9" w:rsidR="00D74888" w:rsidP="009927D9" w:rsidRDefault="008E6217" w14:paraId="45295A9F" w14:textId="2CA2199E">
      <w:pPr>
        <w:pStyle w:val="ECHRCoverTitle4"/>
      </w:pPr>
      <w:r w:rsidRPr="009927D9">
        <w:t>(</w:t>
      </w:r>
      <w:r w:rsidRPr="009927D9" w:rsidR="00F13958">
        <w:t>Application no.</w:t>
      </w:r>
      <w:r w:rsidRPr="009927D9">
        <w:t xml:space="preserve"> </w:t>
      </w:r>
      <w:r w:rsidRPr="009927D9" w:rsidR="00F13958">
        <w:t>74131/14</w:t>
      </w:r>
      <w:r w:rsidRPr="009927D9">
        <w:t>)</w:t>
      </w:r>
    </w:p>
    <w:p w:rsidRPr="009927D9" w:rsidR="0098410D" w:rsidP="009927D9" w:rsidRDefault="0098410D" w14:paraId="5E866991" w14:textId="77DCCEC7">
      <w:pPr>
        <w:pStyle w:val="DecHCase"/>
      </w:pPr>
    </w:p>
    <w:p w:rsidRPr="009927D9" w:rsidR="0098410D" w:rsidP="004D5954" w:rsidRDefault="0098410D" w14:paraId="64111493" w14:textId="77777777">
      <w:pPr>
        <w:pStyle w:val="DecHCase"/>
        <w:spacing w:after="120"/>
      </w:pPr>
    </w:p>
    <w:p w:rsidRPr="009927D9" w:rsidR="002751DD" w:rsidP="009927D9" w:rsidRDefault="0098410D" w14:paraId="1A135BB7" w14:textId="4989BF2D">
      <w:pPr>
        <w:pStyle w:val="DecHCase"/>
      </w:pPr>
      <w:r w:rsidRPr="009927D9">
        <w:t>JUDGMENT</w:t>
      </w:r>
      <w:r w:rsidRPr="009927D9" w:rsidR="00AC4CD4">
        <w:br/>
      </w:r>
    </w:p>
    <w:p w:rsidRPr="004D5954" w:rsidR="009927D9" w:rsidP="009927D9" w:rsidRDefault="009927D9" w14:paraId="654C3635" w14:textId="0EE1F1D5">
      <w:pPr>
        <w:pBdr>
          <w:top w:val="single" w:color="auto" w:sz="4" w:space="1"/>
          <w:left w:val="single" w:color="auto" w:sz="4" w:space="4"/>
          <w:bottom w:val="single" w:color="auto" w:sz="4" w:space="1"/>
          <w:right w:val="single" w:color="auto" w:sz="4" w:space="4"/>
        </w:pBdr>
        <w:jc w:val="both"/>
        <w:rPr>
          <w:sz w:val="22"/>
          <w:szCs w:val="22"/>
        </w:rPr>
      </w:pPr>
      <w:r w:rsidRPr="004D5954">
        <w:rPr>
          <w:sz w:val="22"/>
          <w:szCs w:val="22"/>
        </w:rPr>
        <w:t xml:space="preserve">Art 8 </w:t>
      </w:r>
      <w:r w:rsidRPr="004D5954">
        <w:rPr>
          <w:sz w:val="22"/>
          <w:szCs w:val="22"/>
          <w:lang w:val="uk-UA"/>
        </w:rPr>
        <w:t>•</w:t>
      </w:r>
      <w:r w:rsidRPr="004D5954">
        <w:rPr>
          <w:sz w:val="22"/>
          <w:szCs w:val="22"/>
        </w:rPr>
        <w:t xml:space="preserve"> Private and family life </w:t>
      </w:r>
      <w:r w:rsidRPr="004D5954">
        <w:rPr>
          <w:sz w:val="22"/>
          <w:szCs w:val="22"/>
          <w:lang w:val="uk-UA"/>
        </w:rPr>
        <w:t>•</w:t>
      </w:r>
      <w:r w:rsidRPr="004D5954">
        <w:rPr>
          <w:sz w:val="22"/>
          <w:szCs w:val="22"/>
        </w:rPr>
        <w:t xml:space="preserve"> Positive obligations </w:t>
      </w:r>
      <w:r w:rsidRPr="004D5954">
        <w:rPr>
          <w:sz w:val="22"/>
          <w:szCs w:val="22"/>
          <w:lang w:val="uk-UA"/>
        </w:rPr>
        <w:t>•</w:t>
      </w:r>
      <w:r w:rsidRPr="004D5954">
        <w:rPr>
          <w:sz w:val="22"/>
          <w:szCs w:val="22"/>
        </w:rPr>
        <w:t xml:space="preserve"> Transgender person unable to obtain a full birth certificate without gender reassignment reference, while its short extract and new ID documents indicate only reassigned gender </w:t>
      </w:r>
      <w:r w:rsidRPr="004D5954">
        <w:rPr>
          <w:sz w:val="22"/>
          <w:szCs w:val="22"/>
          <w:lang w:val="uk-UA"/>
        </w:rPr>
        <w:t>•</w:t>
      </w:r>
      <w:r w:rsidRPr="004D5954">
        <w:rPr>
          <w:sz w:val="22"/>
          <w:szCs w:val="22"/>
        </w:rPr>
        <w:t xml:space="preserve"> Applicant’s failure to demonstrate any ensuing sufficiently serious negative consequences or difficulties </w:t>
      </w:r>
      <w:r w:rsidRPr="004D5954">
        <w:rPr>
          <w:sz w:val="22"/>
          <w:szCs w:val="22"/>
          <w:lang w:val="uk-UA"/>
        </w:rPr>
        <w:t>•</w:t>
      </w:r>
      <w:r w:rsidRPr="004D5954">
        <w:rPr>
          <w:sz w:val="22"/>
          <w:szCs w:val="22"/>
        </w:rPr>
        <w:t xml:space="preserve"> Rare need for use of full copy of birth certificate </w:t>
      </w:r>
      <w:r w:rsidRPr="004D5954">
        <w:rPr>
          <w:sz w:val="22"/>
          <w:szCs w:val="22"/>
          <w:lang w:val="uk-UA"/>
        </w:rPr>
        <w:t>•</w:t>
      </w:r>
      <w:r w:rsidRPr="004D5954">
        <w:rPr>
          <w:sz w:val="22"/>
          <w:szCs w:val="22"/>
        </w:rPr>
        <w:t xml:space="preserve"> Potential risk of adverse consequences not capable of rendering current domestic system deficient </w:t>
      </w:r>
      <w:r w:rsidRPr="004D5954">
        <w:rPr>
          <w:sz w:val="22"/>
          <w:szCs w:val="22"/>
          <w:lang w:val="uk-UA"/>
        </w:rPr>
        <w:t>•</w:t>
      </w:r>
      <w:r w:rsidRPr="004D5954">
        <w:rPr>
          <w:sz w:val="22"/>
          <w:szCs w:val="22"/>
        </w:rPr>
        <w:t xml:space="preserve"> Fair balance struck between different interests at stake </w:t>
      </w:r>
      <w:r w:rsidRPr="004D5954">
        <w:rPr>
          <w:sz w:val="22"/>
          <w:szCs w:val="22"/>
          <w:lang w:val="uk-UA"/>
        </w:rPr>
        <w:t>•</w:t>
      </w:r>
      <w:r w:rsidRPr="004D5954">
        <w:rPr>
          <w:sz w:val="22"/>
          <w:szCs w:val="22"/>
        </w:rPr>
        <w:t xml:space="preserve"> Margin of appreciation not overstepped</w:t>
      </w:r>
    </w:p>
    <w:p w:rsidRPr="004D5954" w:rsidR="009927D9" w:rsidP="009927D9" w:rsidRDefault="009927D9" w14:paraId="44780800" w14:textId="37C88CFC">
      <w:pPr>
        <w:pStyle w:val="JuPara"/>
        <w:pBdr>
          <w:top w:val="single" w:color="auto" w:sz="4" w:space="1"/>
          <w:left w:val="single" w:color="auto" w:sz="4" w:space="4"/>
          <w:bottom w:val="single" w:color="auto" w:sz="4" w:space="1"/>
          <w:right w:val="single" w:color="auto" w:sz="4" w:space="4"/>
        </w:pBdr>
        <w:ind w:firstLine="0"/>
        <w:rPr>
          <w:sz w:val="22"/>
          <w:szCs w:val="22"/>
        </w:rPr>
      </w:pPr>
      <w:r w:rsidRPr="004D5954">
        <w:rPr>
          <w:sz w:val="22"/>
          <w:szCs w:val="22"/>
        </w:rPr>
        <w:t xml:space="preserve">Art 14 (+ Art 8) </w:t>
      </w:r>
      <w:r w:rsidRPr="004D5954">
        <w:rPr>
          <w:sz w:val="22"/>
          <w:szCs w:val="22"/>
          <w:lang w:val="uk-UA"/>
        </w:rPr>
        <w:t>•</w:t>
      </w:r>
      <w:r w:rsidRPr="004D5954">
        <w:rPr>
          <w:sz w:val="22"/>
          <w:szCs w:val="22"/>
        </w:rPr>
        <w:t xml:space="preserve"> Discrimination </w:t>
      </w:r>
      <w:r w:rsidRPr="004D5954">
        <w:rPr>
          <w:sz w:val="22"/>
          <w:szCs w:val="22"/>
          <w:lang w:val="uk-UA"/>
        </w:rPr>
        <w:t>•</w:t>
      </w:r>
      <w:r w:rsidRPr="004D5954">
        <w:rPr>
          <w:sz w:val="22"/>
          <w:szCs w:val="22"/>
        </w:rPr>
        <w:t xml:space="preserve"> Applicant not in analogous situation with adopted children who were issued a new birth certificate in the event of full adoption</w:t>
      </w:r>
    </w:p>
    <w:p w:rsidRPr="009927D9" w:rsidR="009927D9" w:rsidP="004D5954" w:rsidRDefault="009927D9" w14:paraId="2E53F0DE" w14:textId="77777777">
      <w:pPr>
        <w:pStyle w:val="JuPara"/>
        <w:spacing w:after="120"/>
      </w:pPr>
    </w:p>
    <w:p w:rsidRPr="009927D9" w:rsidR="0098410D" w:rsidP="009927D9" w:rsidRDefault="0098410D" w14:paraId="3FC45122" w14:textId="715662A6">
      <w:pPr>
        <w:pStyle w:val="DecHCase"/>
      </w:pPr>
      <w:r w:rsidRPr="009927D9">
        <w:t>STRASBOURG</w:t>
      </w:r>
    </w:p>
    <w:p w:rsidRPr="009927D9" w:rsidR="0098410D" w:rsidP="009927D9" w:rsidRDefault="00F13958" w14:paraId="696952E6" w14:textId="5FD324CD">
      <w:pPr>
        <w:pStyle w:val="DecHCase"/>
      </w:pPr>
      <w:r w:rsidRPr="009927D9">
        <w:rPr>
          <w:rFonts w:ascii="Times New Roman" w:hAnsi="Times New Roman" w:cs="Times New Roman"/>
        </w:rPr>
        <w:t>17 February 2022</w:t>
      </w:r>
    </w:p>
    <w:p w:rsidRPr="009927D9" w:rsidR="00AC4CD4" w:rsidP="009927D9" w:rsidRDefault="00AC4CD4" w14:paraId="089E41B0" w14:textId="77777777">
      <w:pPr>
        <w:pStyle w:val="JuPara"/>
      </w:pPr>
    </w:p>
    <w:p w:rsidRPr="00DE6F01" w:rsidR="00DE6F01" w:rsidP="00DE6F01" w:rsidRDefault="00DE6F01" w14:paraId="2AAA666C" w14:textId="77777777">
      <w:pPr>
        <w:autoSpaceDE w:val="0"/>
        <w:autoSpaceDN w:val="0"/>
        <w:adjustRightInd w:val="0"/>
        <w:ind w:firstLine="284"/>
        <w:jc w:val="center"/>
        <w:rPr>
          <w:rFonts w:ascii="Times New Roman" w:hAnsi="Times New Roman" w:cs="Times New Roman"/>
          <w:b/>
          <w:bCs/>
          <w:color w:val="FF0000"/>
          <w:sz w:val="28"/>
          <w:szCs w:val="28"/>
          <w:u w:val="single"/>
          <w:lang w:val="fr-FR"/>
        </w:rPr>
      </w:pPr>
      <w:r w:rsidRPr="00DE6F01">
        <w:rPr>
          <w:rFonts w:ascii="Times New Roman" w:hAnsi="Times New Roman" w:cs="Times New Roman"/>
          <w:b/>
          <w:bCs/>
          <w:color w:val="FF0000"/>
          <w:sz w:val="28"/>
          <w:szCs w:val="28"/>
          <w:u w:val="single"/>
          <w:lang w:val="fr-FR"/>
        </w:rPr>
        <w:t>FINAL</w:t>
      </w:r>
    </w:p>
    <w:p w:rsidRPr="00DE6F01" w:rsidR="00DE6F01" w:rsidP="00DE6F01" w:rsidRDefault="00DE6F01" w14:paraId="66280B4F" w14:textId="77777777">
      <w:pPr>
        <w:autoSpaceDE w:val="0"/>
        <w:autoSpaceDN w:val="0"/>
        <w:adjustRightInd w:val="0"/>
        <w:ind w:firstLine="284"/>
        <w:jc w:val="center"/>
        <w:rPr>
          <w:rFonts w:ascii="Times New Roman" w:hAnsi="Times New Roman" w:cs="Times New Roman"/>
          <w:b/>
          <w:bCs/>
          <w:color w:val="FF0000"/>
          <w:sz w:val="28"/>
          <w:szCs w:val="28"/>
          <w:u w:val="single"/>
          <w:lang w:val="fr-FR"/>
        </w:rPr>
      </w:pPr>
    </w:p>
    <w:p w:rsidRPr="00DE6F01" w:rsidR="00DE6F01" w:rsidP="00DE6F01" w:rsidRDefault="00DE6F01" w14:paraId="2946B9E1" w14:textId="270CF117">
      <w:pPr>
        <w:autoSpaceDE w:val="0"/>
        <w:autoSpaceDN w:val="0"/>
        <w:adjustRightInd w:val="0"/>
        <w:ind w:firstLine="284"/>
        <w:jc w:val="center"/>
        <w:rPr>
          <w:rFonts w:ascii="Times New Roman" w:hAnsi="Times New Roman" w:cs="Times New Roman"/>
          <w:color w:val="FF0000"/>
          <w:sz w:val="28"/>
          <w:szCs w:val="28"/>
          <w:lang w:val="fr-FR"/>
        </w:rPr>
      </w:pPr>
      <w:r w:rsidRPr="00DE6F01">
        <w:rPr>
          <w:rFonts w:ascii="Times New Roman" w:hAnsi="Times New Roman" w:cs="Times New Roman"/>
          <w:color w:val="FF0000"/>
          <w:sz w:val="28"/>
          <w:szCs w:val="28"/>
          <w:lang w:val="fr-FR"/>
        </w:rPr>
        <w:t>1</w:t>
      </w:r>
      <w:r>
        <w:rPr>
          <w:rFonts w:ascii="Times New Roman" w:hAnsi="Times New Roman" w:cs="Times New Roman"/>
          <w:color w:val="FF0000"/>
          <w:sz w:val="28"/>
          <w:szCs w:val="28"/>
          <w:lang w:val="fr-FR"/>
        </w:rPr>
        <w:t>7</w:t>
      </w:r>
      <w:r w:rsidRPr="00DE6F01">
        <w:rPr>
          <w:rFonts w:ascii="Times New Roman" w:hAnsi="Times New Roman" w:cs="Times New Roman"/>
          <w:color w:val="FF0000"/>
          <w:sz w:val="28"/>
          <w:szCs w:val="28"/>
          <w:lang w:val="fr-FR"/>
        </w:rPr>
        <w:t>/0</w:t>
      </w:r>
      <w:r>
        <w:rPr>
          <w:rFonts w:ascii="Times New Roman" w:hAnsi="Times New Roman" w:cs="Times New Roman"/>
          <w:color w:val="FF0000"/>
          <w:sz w:val="28"/>
          <w:szCs w:val="28"/>
          <w:lang w:val="fr-FR"/>
        </w:rPr>
        <w:t>5</w:t>
      </w:r>
      <w:r w:rsidRPr="00DE6F01">
        <w:rPr>
          <w:rFonts w:ascii="Times New Roman" w:hAnsi="Times New Roman" w:cs="Times New Roman"/>
          <w:color w:val="FF0000"/>
          <w:sz w:val="28"/>
          <w:szCs w:val="28"/>
          <w:lang w:val="fr-FR"/>
        </w:rPr>
        <w:t>/2022</w:t>
      </w:r>
    </w:p>
    <w:p w:rsidRPr="00DE6F01" w:rsidR="00DE6F01" w:rsidP="00DE6F01" w:rsidRDefault="00DE6F01" w14:paraId="1955C0F6" w14:textId="77777777">
      <w:pPr>
        <w:autoSpaceDE w:val="0"/>
        <w:autoSpaceDN w:val="0"/>
        <w:adjustRightInd w:val="0"/>
        <w:ind w:firstLine="284"/>
        <w:jc w:val="center"/>
        <w:rPr>
          <w:rFonts w:ascii="Times New Roman" w:hAnsi="Times New Roman" w:cs="Times New Roman"/>
          <w:color w:val="FF0000"/>
          <w:sz w:val="28"/>
          <w:szCs w:val="28"/>
          <w:lang w:val="fr-FR"/>
        </w:rPr>
      </w:pPr>
    </w:p>
    <w:p w:rsidRPr="00DE6F01" w:rsidR="002422B6" w:rsidP="00DE6F01" w:rsidRDefault="00DE6F01" w14:paraId="3A4AA147" w14:textId="4DC8AFCC">
      <w:pPr>
        <w:jc w:val="both"/>
        <w:rPr>
          <w:i/>
          <w:sz w:val="22"/>
        </w:rPr>
      </w:pPr>
      <w:r w:rsidRPr="00DE6F01">
        <w:rPr>
          <w:rFonts w:ascii="Times New Roman" w:hAnsi="Times New Roman" w:cs="Times New Roman"/>
          <w:i/>
          <w:iCs/>
          <w:color w:val="000000"/>
          <w:sz w:val="22"/>
          <w:szCs w:val="22"/>
        </w:rPr>
        <w:t>This judgment has become final under Article 44 § 2 of the Convention. It may be subject to editorial revision.</w:t>
      </w:r>
    </w:p>
    <w:p w:rsidRPr="009927D9" w:rsidR="0098410D" w:rsidP="009927D9" w:rsidRDefault="0098410D" w14:paraId="5C19FE4D" w14:textId="77777777">
      <w:pPr>
        <w:sectPr w:rsidRPr="009927D9"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927D9" w:rsidR="0098410D" w:rsidP="009927D9" w:rsidRDefault="0098410D" w14:paraId="6C3DC42F" w14:textId="01053588">
      <w:pPr>
        <w:pStyle w:val="JuCase"/>
      </w:pPr>
      <w:r w:rsidRPr="009927D9">
        <w:t xml:space="preserve">In the case of </w:t>
      </w:r>
      <w:r w:rsidRPr="009927D9" w:rsidR="00F13958">
        <w:t>Y v. Poland</w:t>
      </w:r>
      <w:r w:rsidRPr="009927D9">
        <w:t>,</w:t>
      </w:r>
    </w:p>
    <w:p w:rsidRPr="009927D9" w:rsidR="009F4C8F" w:rsidP="009927D9" w:rsidRDefault="009F4C8F" w14:paraId="189C34B7" w14:textId="544ED08D">
      <w:pPr>
        <w:pStyle w:val="JuPara"/>
      </w:pPr>
      <w:r w:rsidRPr="009927D9">
        <w:t>The European Court of Human Rights (</w:t>
      </w:r>
      <w:r w:rsidRPr="009927D9" w:rsidR="00F13958">
        <w:t>First Section</w:t>
      </w:r>
      <w:r w:rsidRPr="009927D9">
        <w:t xml:space="preserve">), sitting as a </w:t>
      </w:r>
      <w:r w:rsidRPr="009927D9" w:rsidR="00F13958">
        <w:t>Chamber</w:t>
      </w:r>
      <w:r w:rsidRPr="009927D9">
        <w:t xml:space="preserve"> composed of:</w:t>
      </w:r>
    </w:p>
    <w:p w:rsidRPr="009927D9" w:rsidR="009F4C8F" w:rsidP="009927D9" w:rsidRDefault="00A3663E" w14:paraId="3B9F0ADA" w14:textId="7D2FFB46">
      <w:pPr>
        <w:pStyle w:val="JuJudges"/>
      </w:pPr>
      <w:r w:rsidRPr="009927D9">
        <w:tab/>
        <w:t xml:space="preserve">Marko </w:t>
      </w:r>
      <w:proofErr w:type="spellStart"/>
      <w:r w:rsidRPr="009927D9">
        <w:t>Bošnjak</w:t>
      </w:r>
      <w:proofErr w:type="spellEnd"/>
      <w:r w:rsidRPr="009927D9">
        <w:t>,</w:t>
      </w:r>
      <w:r w:rsidRPr="009927D9">
        <w:rPr>
          <w:i/>
        </w:rPr>
        <w:t xml:space="preserve"> President,</w:t>
      </w:r>
      <w:r w:rsidRPr="009927D9">
        <w:rPr>
          <w:i/>
        </w:rPr>
        <w:br/>
      </w:r>
      <w:r w:rsidRPr="009927D9">
        <w:tab/>
      </w:r>
      <w:proofErr w:type="spellStart"/>
      <w:r w:rsidRPr="009927D9">
        <w:t>Péter</w:t>
      </w:r>
      <w:proofErr w:type="spellEnd"/>
      <w:r w:rsidRPr="009927D9">
        <w:t xml:space="preserve"> </w:t>
      </w:r>
      <w:proofErr w:type="spellStart"/>
      <w:r w:rsidRPr="009927D9">
        <w:t>Paczolay</w:t>
      </w:r>
      <w:proofErr w:type="spellEnd"/>
      <w:r w:rsidRPr="009927D9">
        <w:t>,</w:t>
      </w:r>
      <w:r w:rsidRPr="009927D9">
        <w:rPr>
          <w:i/>
        </w:rPr>
        <w:br/>
      </w:r>
      <w:r w:rsidRPr="009927D9">
        <w:tab/>
        <w:t>Krzysztof Wojtyczek,</w:t>
      </w:r>
      <w:r w:rsidRPr="009927D9">
        <w:rPr>
          <w:i/>
        </w:rPr>
        <w:br/>
      </w:r>
      <w:r w:rsidRPr="009927D9">
        <w:tab/>
        <w:t xml:space="preserve">Erik </w:t>
      </w:r>
      <w:proofErr w:type="spellStart"/>
      <w:r w:rsidRPr="009927D9">
        <w:t>Wennerström</w:t>
      </w:r>
      <w:proofErr w:type="spellEnd"/>
      <w:r w:rsidRPr="009927D9">
        <w:t>,</w:t>
      </w:r>
      <w:r w:rsidRPr="009927D9">
        <w:rPr>
          <w:i/>
        </w:rPr>
        <w:br/>
      </w:r>
      <w:r w:rsidRPr="009927D9">
        <w:tab/>
        <w:t>Raffaele Sabato,</w:t>
      </w:r>
      <w:r w:rsidRPr="009927D9">
        <w:rPr>
          <w:i/>
        </w:rPr>
        <w:br/>
      </w:r>
      <w:r w:rsidRPr="009927D9">
        <w:tab/>
        <w:t>Lorraine Schembri Orland,</w:t>
      </w:r>
      <w:r w:rsidRPr="009927D9">
        <w:rPr>
          <w:i/>
        </w:rPr>
        <w:br/>
      </w:r>
      <w:r w:rsidRPr="009927D9">
        <w:tab/>
        <w:t xml:space="preserve">Davor </w:t>
      </w:r>
      <w:proofErr w:type="spellStart"/>
      <w:r w:rsidRPr="009927D9">
        <w:t>Derenčinović</w:t>
      </w:r>
      <w:proofErr w:type="spellEnd"/>
      <w:r w:rsidRPr="009927D9">
        <w:t>,</w:t>
      </w:r>
      <w:r w:rsidRPr="009927D9">
        <w:rPr>
          <w:i/>
        </w:rPr>
        <w:t xml:space="preserve"> </w:t>
      </w:r>
      <w:proofErr w:type="gramStart"/>
      <w:r w:rsidRPr="009927D9">
        <w:rPr>
          <w:i/>
        </w:rPr>
        <w:t>judges,,</w:t>
      </w:r>
      <w:proofErr w:type="gramEnd"/>
      <w:r w:rsidRPr="009927D9" w:rsidR="009F4C8F">
        <w:br/>
        <w:t xml:space="preserve">and </w:t>
      </w:r>
      <w:r w:rsidRPr="009927D9">
        <w:t>Liv Tigerstedt</w:t>
      </w:r>
      <w:r w:rsidRPr="009927D9" w:rsidR="009F4C8F">
        <w:t xml:space="preserve">, </w:t>
      </w:r>
      <w:r w:rsidRPr="009927D9">
        <w:rPr>
          <w:i/>
          <w:iCs/>
        </w:rPr>
        <w:t>Deputy</w:t>
      </w:r>
      <w:r w:rsidRPr="009927D9">
        <w:t xml:space="preserve"> </w:t>
      </w:r>
      <w:r w:rsidRPr="009927D9" w:rsidR="00F13958">
        <w:rPr>
          <w:i/>
        </w:rPr>
        <w:t xml:space="preserve">Section </w:t>
      </w:r>
      <w:r w:rsidRPr="009927D9" w:rsidR="00F13958">
        <w:rPr>
          <w:i/>
          <w:iCs/>
        </w:rPr>
        <w:t>Registrar</w:t>
      </w:r>
      <w:r w:rsidRPr="009927D9" w:rsidR="009F4C8F">
        <w:rPr>
          <w:i/>
        </w:rPr>
        <w:t>,</w:t>
      </w:r>
    </w:p>
    <w:p w:rsidRPr="009927D9" w:rsidR="00F13958" w:rsidP="009927D9" w:rsidRDefault="00F13958" w14:paraId="5F7013C7" w14:textId="77777777">
      <w:pPr>
        <w:pStyle w:val="JuPara"/>
      </w:pPr>
      <w:r w:rsidRPr="009927D9">
        <w:t>Having regard to:</w:t>
      </w:r>
    </w:p>
    <w:p w:rsidRPr="009927D9" w:rsidR="00F13958" w:rsidP="009927D9" w:rsidRDefault="00F13958" w14:paraId="69B3972D" w14:textId="77777777">
      <w:pPr>
        <w:pStyle w:val="JuPara"/>
      </w:pPr>
      <w:r w:rsidRPr="009927D9">
        <w:t xml:space="preserve">the application (no. 74131/14) against the Republic of Poland lodged with the Court under Article 34 of the Convention for the Protection of Human Rights and Fundamental Freedoms (“the Convention”) by a Polish national, Mr Y (“the applicant”), on 18 November </w:t>
      </w:r>
      <w:proofErr w:type="gramStart"/>
      <w:r w:rsidRPr="009927D9">
        <w:t>2014;</w:t>
      </w:r>
      <w:proofErr w:type="gramEnd"/>
    </w:p>
    <w:p w:rsidRPr="009927D9" w:rsidR="00F13958" w:rsidP="009927D9" w:rsidRDefault="00F13958" w14:paraId="29BB8A0B" w14:textId="77777777">
      <w:pPr>
        <w:pStyle w:val="JuPara"/>
      </w:pPr>
      <w:r w:rsidRPr="009927D9">
        <w:t>the decision to give notice of the application to the Polish Government (“the Government”</w:t>
      </w:r>
      <w:proofErr w:type="gramStart"/>
      <w:r w:rsidRPr="009927D9">
        <w:t>);</w:t>
      </w:r>
      <w:proofErr w:type="gramEnd"/>
    </w:p>
    <w:p w:rsidRPr="009927D9" w:rsidR="00F13958" w:rsidP="009927D9" w:rsidRDefault="00F13958" w14:paraId="1AAB82AB" w14:textId="65C2F265">
      <w:pPr>
        <w:pStyle w:val="JuPara"/>
      </w:pPr>
      <w:r w:rsidRPr="009927D9">
        <w:t>the decision not to have the applicant</w:t>
      </w:r>
      <w:r w:rsidRPr="009927D9" w:rsidR="009927D9">
        <w:t>’</w:t>
      </w:r>
      <w:r w:rsidRPr="009927D9">
        <w:t xml:space="preserve">s name </w:t>
      </w:r>
      <w:proofErr w:type="gramStart"/>
      <w:r w:rsidRPr="009927D9">
        <w:t>disclosed;</w:t>
      </w:r>
      <w:proofErr w:type="gramEnd"/>
    </w:p>
    <w:p w:rsidRPr="009927D9" w:rsidR="00F13958" w:rsidP="009927D9" w:rsidRDefault="00F13958" w14:paraId="40C09637" w14:textId="77777777">
      <w:pPr>
        <w:pStyle w:val="JuPara"/>
      </w:pPr>
      <w:r w:rsidRPr="009927D9">
        <w:t xml:space="preserve">the observations submitted by the respondent Government and the observations in reply submitted by the </w:t>
      </w:r>
      <w:proofErr w:type="gramStart"/>
      <w:r w:rsidRPr="009927D9">
        <w:t>applicant;</w:t>
      </w:r>
      <w:proofErr w:type="gramEnd"/>
    </w:p>
    <w:p w:rsidRPr="009927D9" w:rsidR="00F13958" w:rsidP="009927D9" w:rsidRDefault="00F13958" w14:paraId="374F8962" w14:textId="77777777">
      <w:pPr>
        <w:pStyle w:val="JuPara"/>
      </w:pPr>
      <w:r w:rsidRPr="009927D9">
        <w:t xml:space="preserve">the comments submitted by the European Centre for Law and Justice and the Helsinki Foundation for Human Rights, who were granted leave to intervene by the President of the </w:t>
      </w:r>
      <w:proofErr w:type="gramStart"/>
      <w:r w:rsidRPr="009927D9">
        <w:t>Section;</w:t>
      </w:r>
      <w:proofErr w:type="gramEnd"/>
    </w:p>
    <w:p w:rsidRPr="009927D9" w:rsidR="009F4C8F" w:rsidP="009927D9" w:rsidRDefault="009F4C8F" w14:paraId="0156406F" w14:textId="6C5BF27E">
      <w:pPr>
        <w:pStyle w:val="JuPara"/>
      </w:pPr>
      <w:r w:rsidRPr="009927D9">
        <w:t xml:space="preserve">Having deliberated in private on </w:t>
      </w:r>
      <w:r w:rsidRPr="009927D9" w:rsidR="00F13958">
        <w:t>25 January 2025</w:t>
      </w:r>
      <w:r w:rsidRPr="009927D9">
        <w:t>,</w:t>
      </w:r>
    </w:p>
    <w:p w:rsidRPr="009927D9" w:rsidR="009F4C8F" w:rsidP="009927D9" w:rsidRDefault="009F4C8F" w14:paraId="64F28EE8" w14:textId="77777777">
      <w:pPr>
        <w:pStyle w:val="JuPara"/>
      </w:pPr>
      <w:r w:rsidRPr="009927D9">
        <w:t>Delivers the following judgment, which was adopted on that date:</w:t>
      </w:r>
    </w:p>
    <w:p w:rsidRPr="009927D9" w:rsidR="00F13958" w:rsidP="009927D9" w:rsidRDefault="00F13958" w14:paraId="4861370B" w14:textId="77777777">
      <w:pPr>
        <w:pStyle w:val="JuHHead"/>
      </w:pPr>
      <w:r w:rsidRPr="009927D9">
        <w:t>INTRODUCTION</w:t>
      </w:r>
    </w:p>
    <w:p w:rsidRPr="009927D9" w:rsidR="00F13958" w:rsidP="009927D9" w:rsidRDefault="00F13958" w14:paraId="5489815A" w14:textId="561AF624">
      <w:pPr>
        <w:pStyle w:val="JuPara"/>
      </w:pPr>
      <w:r w:rsidRPr="009927D9">
        <w:fldChar w:fldCharType="begin"/>
      </w:r>
      <w:r w:rsidRPr="009927D9">
        <w:instrText xml:space="preserve"> SEQ level0 \*arabic </w:instrText>
      </w:r>
      <w:r w:rsidRPr="009927D9">
        <w:fldChar w:fldCharType="separate"/>
      </w:r>
      <w:r w:rsidRPr="009927D9" w:rsidR="009927D9">
        <w:rPr>
          <w:noProof/>
        </w:rPr>
        <w:t>1</w:t>
      </w:r>
      <w:r w:rsidRPr="009927D9">
        <w:fldChar w:fldCharType="end"/>
      </w:r>
      <w:r w:rsidRPr="009927D9">
        <w:t xml:space="preserve">.  The case concerns a female to male transsexual who obtained legal gender recognition. In his application </w:t>
      </w:r>
      <w:r w:rsidRPr="009927D9" w:rsidR="00904166">
        <w:t>t</w:t>
      </w:r>
      <w:r w:rsidRPr="009927D9">
        <w:t>he</w:t>
      </w:r>
      <w:r w:rsidRPr="009927D9" w:rsidR="00904166">
        <w:t xml:space="preserve"> applicant</w:t>
      </w:r>
      <w:r w:rsidRPr="009927D9">
        <w:t xml:space="preserve"> complained of a breach of his right to privacy </w:t>
      </w:r>
      <w:proofErr w:type="gramStart"/>
      <w:r w:rsidRPr="009927D9">
        <w:t>on account of the fact that</w:t>
      </w:r>
      <w:proofErr w:type="gramEnd"/>
      <w:r w:rsidRPr="009927D9">
        <w:t xml:space="preserve"> his full birth certificate still indicated his sex assigned at birth.</w:t>
      </w:r>
    </w:p>
    <w:p w:rsidRPr="009927D9" w:rsidR="00F13958" w:rsidP="009927D9" w:rsidRDefault="00F13958" w14:paraId="3A344A2A" w14:textId="77777777">
      <w:pPr>
        <w:pStyle w:val="JuHHead"/>
      </w:pPr>
      <w:r w:rsidRPr="009927D9">
        <w:t>THE FACTS</w:t>
      </w:r>
    </w:p>
    <w:p w:rsidRPr="009927D9" w:rsidR="00F13958" w:rsidP="009927D9" w:rsidRDefault="00F13958" w14:paraId="030DF964" w14:textId="765C54D5">
      <w:pPr>
        <w:pStyle w:val="JuPara"/>
      </w:pPr>
      <w:r w:rsidRPr="009927D9">
        <w:fldChar w:fldCharType="begin"/>
      </w:r>
      <w:r w:rsidRPr="009927D9">
        <w:instrText xml:space="preserve"> SEQ level0 \*arabic </w:instrText>
      </w:r>
      <w:r w:rsidRPr="009927D9">
        <w:fldChar w:fldCharType="separate"/>
      </w:r>
      <w:r w:rsidRPr="009927D9" w:rsidR="009927D9">
        <w:rPr>
          <w:noProof/>
        </w:rPr>
        <w:t>2</w:t>
      </w:r>
      <w:r w:rsidRPr="009927D9">
        <w:fldChar w:fldCharType="end"/>
      </w:r>
      <w:r w:rsidRPr="009927D9">
        <w:t xml:space="preserve">.  The applicant was born in 1969 and lives in the Paris region of France. He was represented by Ms A. </w:t>
      </w:r>
      <w:proofErr w:type="spellStart"/>
      <w:r w:rsidRPr="009927D9">
        <w:t>Stach</w:t>
      </w:r>
      <w:proofErr w:type="spellEnd"/>
      <w:r w:rsidRPr="009927D9">
        <w:t>, a lawyer practising in Szczecin.</w:t>
      </w:r>
    </w:p>
    <w:p w:rsidRPr="009927D9" w:rsidR="00F13958" w:rsidP="009927D9" w:rsidRDefault="00F13958" w14:paraId="4A25136C" w14:textId="5F4D0C65">
      <w:pPr>
        <w:pStyle w:val="JuPara"/>
      </w:pPr>
      <w:r w:rsidRPr="009927D9">
        <w:fldChar w:fldCharType="begin"/>
      </w:r>
      <w:r w:rsidRPr="009927D9">
        <w:instrText xml:space="preserve"> SEQ level0 \*arabic </w:instrText>
      </w:r>
      <w:r w:rsidRPr="009927D9">
        <w:fldChar w:fldCharType="separate"/>
      </w:r>
      <w:r w:rsidRPr="009927D9" w:rsidR="009927D9">
        <w:rPr>
          <w:noProof/>
        </w:rPr>
        <w:t>3</w:t>
      </w:r>
      <w:r w:rsidRPr="009927D9">
        <w:fldChar w:fldCharType="end"/>
      </w:r>
      <w:r w:rsidRPr="009927D9">
        <w:t xml:space="preserve">.  The Government were represented by their Agent, Mr J. </w:t>
      </w:r>
      <w:proofErr w:type="spellStart"/>
      <w:r w:rsidRPr="009927D9">
        <w:t>Sobczak</w:t>
      </w:r>
      <w:proofErr w:type="spellEnd"/>
      <w:r w:rsidRPr="009927D9">
        <w:t xml:space="preserve"> of the Ministry of Foreign Affairs.</w:t>
      </w:r>
    </w:p>
    <w:p w:rsidRPr="009927D9" w:rsidR="00F13958" w:rsidP="009927D9" w:rsidRDefault="00F13958" w14:paraId="0B66E284" w14:textId="6C501379">
      <w:pPr>
        <w:pStyle w:val="JuPara"/>
      </w:pPr>
      <w:r w:rsidRPr="009927D9">
        <w:fldChar w:fldCharType="begin"/>
      </w:r>
      <w:r w:rsidRPr="009927D9">
        <w:instrText xml:space="preserve"> SEQ level0 \*arabic </w:instrText>
      </w:r>
      <w:r w:rsidRPr="009927D9">
        <w:fldChar w:fldCharType="separate"/>
      </w:r>
      <w:r w:rsidRPr="009927D9" w:rsidR="009927D9">
        <w:rPr>
          <w:noProof/>
        </w:rPr>
        <w:t>4</w:t>
      </w:r>
      <w:r w:rsidRPr="009927D9">
        <w:fldChar w:fldCharType="end"/>
      </w:r>
      <w:r w:rsidRPr="009927D9">
        <w:t>.  The facts of the case, as submitted by the parties, may be summarised as follows.</w:t>
      </w:r>
    </w:p>
    <w:p w:rsidRPr="009927D9" w:rsidR="00F13958" w:rsidP="009927D9" w:rsidRDefault="00F13958" w14:paraId="050CA8FD" w14:textId="77777777">
      <w:pPr>
        <w:pStyle w:val="JuHIRoman"/>
      </w:pPr>
      <w:r w:rsidRPr="009927D9">
        <w:t>Background to the case</w:t>
      </w:r>
    </w:p>
    <w:bookmarkStart w:name="Gender_reassignement" w:id="1"/>
    <w:p w:rsidRPr="009927D9" w:rsidR="00F13958" w:rsidP="009927D9" w:rsidRDefault="00F13958" w14:paraId="51BBACE1" w14:textId="1EF2DE33">
      <w:pPr>
        <w:pStyle w:val="JuPara"/>
      </w:pPr>
      <w:r w:rsidRPr="009927D9">
        <w:fldChar w:fldCharType="begin"/>
      </w:r>
      <w:r w:rsidRPr="009927D9">
        <w:instrText xml:space="preserve"> SEQ level0 \*arabic </w:instrText>
      </w:r>
      <w:r w:rsidRPr="009927D9">
        <w:fldChar w:fldCharType="separate"/>
      </w:r>
      <w:r w:rsidRPr="009927D9" w:rsidR="009927D9">
        <w:rPr>
          <w:noProof/>
        </w:rPr>
        <w:t>5</w:t>
      </w:r>
      <w:r w:rsidRPr="009927D9">
        <w:fldChar w:fldCharType="end"/>
      </w:r>
      <w:bookmarkEnd w:id="1"/>
      <w:r w:rsidRPr="009927D9">
        <w:t>.  At birth the applicant was registered as female. He later underwent gender reassignment.</w:t>
      </w:r>
    </w:p>
    <w:bookmarkStart w:name="Decision_6041992" w:id="2"/>
    <w:p w:rsidRPr="009927D9" w:rsidR="00F13958" w:rsidP="009927D9" w:rsidRDefault="00F13958" w14:paraId="27E40BB5" w14:textId="7ED20587">
      <w:pPr>
        <w:pStyle w:val="JuPara"/>
      </w:pPr>
      <w:r w:rsidRPr="009927D9">
        <w:fldChar w:fldCharType="begin"/>
      </w:r>
      <w:r w:rsidRPr="009927D9">
        <w:instrText xml:space="preserve"> SEQ level0 \*arabic </w:instrText>
      </w:r>
      <w:r w:rsidRPr="009927D9">
        <w:fldChar w:fldCharType="separate"/>
      </w:r>
      <w:r w:rsidRPr="009927D9" w:rsidR="009927D9">
        <w:rPr>
          <w:noProof/>
        </w:rPr>
        <w:t>6</w:t>
      </w:r>
      <w:r w:rsidRPr="009927D9">
        <w:fldChar w:fldCharType="end"/>
      </w:r>
      <w:bookmarkEnd w:id="2"/>
      <w:r w:rsidRPr="009927D9">
        <w:t xml:space="preserve">.  On 6 April 1992 the Warsaw District Court gave a decision ordering that an annotation be made </w:t>
      </w:r>
      <w:bookmarkStart w:name="_Hlk76464488" w:id="3"/>
      <w:r w:rsidRPr="009927D9">
        <w:t>to the applicant</w:t>
      </w:r>
      <w:r w:rsidRPr="009927D9" w:rsidR="009927D9">
        <w:t>’</w:t>
      </w:r>
      <w:r w:rsidRPr="009927D9">
        <w:t>s birth certificate to indicate that his sex had changed from female to male and name had changed from X to Y. The relevant annotation was duly made.</w:t>
      </w:r>
    </w:p>
    <w:bookmarkStart w:name="Applicant_marries_K" w:id="4"/>
    <w:bookmarkEnd w:id="3"/>
    <w:p w:rsidRPr="009927D9" w:rsidR="00F13958" w:rsidP="009927D9" w:rsidRDefault="00F13958" w14:paraId="72A1DBAB" w14:textId="25558CA4">
      <w:pPr>
        <w:pStyle w:val="JuPara"/>
      </w:pPr>
      <w:r w:rsidRPr="009927D9">
        <w:fldChar w:fldCharType="begin"/>
      </w:r>
      <w:r w:rsidRPr="009927D9">
        <w:instrText xml:space="preserve"> SEQ level0 \*arabic </w:instrText>
      </w:r>
      <w:r w:rsidRPr="009927D9">
        <w:fldChar w:fldCharType="separate"/>
      </w:r>
      <w:r w:rsidRPr="009927D9" w:rsidR="009927D9">
        <w:rPr>
          <w:noProof/>
        </w:rPr>
        <w:t>7</w:t>
      </w:r>
      <w:r w:rsidRPr="009927D9">
        <w:fldChar w:fldCharType="end"/>
      </w:r>
      <w:bookmarkEnd w:id="4"/>
      <w:r w:rsidRPr="009927D9">
        <w:t>.  On 28 December 1993 the applicant married K. in a civil ceremony.</w:t>
      </w:r>
    </w:p>
    <w:bookmarkStart w:name="Daughter_is_born" w:id="5"/>
    <w:p w:rsidRPr="009927D9" w:rsidR="00F13958" w:rsidP="009927D9" w:rsidRDefault="00F13958" w14:paraId="467522CF" w14:textId="4095A6D5">
      <w:pPr>
        <w:pStyle w:val="JuPara"/>
      </w:pPr>
      <w:r w:rsidRPr="009927D9">
        <w:fldChar w:fldCharType="begin"/>
      </w:r>
      <w:r w:rsidRPr="009927D9">
        <w:instrText xml:space="preserve"> SEQ level0 \*arabic </w:instrText>
      </w:r>
      <w:r w:rsidRPr="009927D9">
        <w:fldChar w:fldCharType="separate"/>
      </w:r>
      <w:r w:rsidRPr="009927D9" w:rsidR="009927D9">
        <w:rPr>
          <w:noProof/>
        </w:rPr>
        <w:t>8</w:t>
      </w:r>
      <w:r w:rsidRPr="009927D9">
        <w:fldChar w:fldCharType="end"/>
      </w:r>
      <w:bookmarkEnd w:id="5"/>
      <w:r w:rsidRPr="009927D9">
        <w:t>.  On 18 August 2001 their daughter A. was born in France. Her French birth certificate indicates the applicant as her father and K. as her mother.</w:t>
      </w:r>
    </w:p>
    <w:p w:rsidRPr="009927D9" w:rsidR="00F13958" w:rsidP="009927D9" w:rsidRDefault="00F13958" w14:paraId="16C54A6D" w14:textId="77777777">
      <w:pPr>
        <w:pStyle w:val="JuHIRoman"/>
      </w:pPr>
      <w:r w:rsidRPr="009927D9">
        <w:t>Administrative proceedingS for removal of THE annotation from the birth certificate</w:t>
      </w:r>
    </w:p>
    <w:p w:rsidRPr="009927D9" w:rsidR="00F13958" w:rsidP="009927D9" w:rsidRDefault="00F13958" w14:paraId="29C4E84D" w14:textId="6D3E5AFB">
      <w:pPr>
        <w:pStyle w:val="JuPara"/>
      </w:pPr>
      <w:r w:rsidRPr="009927D9">
        <w:fldChar w:fldCharType="begin"/>
      </w:r>
      <w:r w:rsidRPr="009927D9">
        <w:instrText xml:space="preserve"> SEQ level0 \*arabic </w:instrText>
      </w:r>
      <w:r w:rsidRPr="009927D9">
        <w:fldChar w:fldCharType="separate"/>
      </w:r>
      <w:r w:rsidRPr="009927D9" w:rsidR="009927D9">
        <w:rPr>
          <w:noProof/>
        </w:rPr>
        <w:t>9</w:t>
      </w:r>
      <w:r w:rsidRPr="009927D9">
        <w:fldChar w:fldCharType="end"/>
      </w:r>
      <w:r w:rsidRPr="009927D9">
        <w:t>.  On 22 August 2005 the applicant</w:t>
      </w:r>
      <w:r w:rsidRPr="009927D9" w:rsidR="009927D9">
        <w:t>’</w:t>
      </w:r>
      <w:r w:rsidRPr="009927D9">
        <w:t xml:space="preserve">s lawyer asked the </w:t>
      </w:r>
      <w:proofErr w:type="spellStart"/>
      <w:r w:rsidRPr="009927D9">
        <w:t>Prudnik</w:t>
      </w:r>
      <w:proofErr w:type="spellEnd"/>
      <w:r w:rsidRPr="009927D9">
        <w:t xml:space="preserve"> Civil Registry Office (</w:t>
      </w:r>
      <w:proofErr w:type="spellStart"/>
      <w:r w:rsidRPr="009927D9">
        <w:rPr>
          <w:i/>
        </w:rPr>
        <w:t>Urz</w:t>
      </w:r>
      <w:r w:rsidRPr="009927D9">
        <w:rPr>
          <w:rFonts w:cstheme="minorHAnsi"/>
          <w:i/>
        </w:rPr>
        <w:t>ą</w:t>
      </w:r>
      <w:r w:rsidRPr="009927D9">
        <w:rPr>
          <w:i/>
        </w:rPr>
        <w:t>d</w:t>
      </w:r>
      <w:proofErr w:type="spellEnd"/>
      <w:r w:rsidRPr="009927D9">
        <w:rPr>
          <w:i/>
        </w:rPr>
        <w:t xml:space="preserve"> </w:t>
      </w:r>
      <w:proofErr w:type="spellStart"/>
      <w:r w:rsidRPr="009927D9">
        <w:rPr>
          <w:i/>
        </w:rPr>
        <w:t>Stanu</w:t>
      </w:r>
      <w:proofErr w:type="spellEnd"/>
      <w:r w:rsidRPr="009927D9">
        <w:rPr>
          <w:i/>
        </w:rPr>
        <w:t xml:space="preserve"> </w:t>
      </w:r>
      <w:proofErr w:type="spellStart"/>
      <w:r w:rsidRPr="009927D9">
        <w:rPr>
          <w:i/>
        </w:rPr>
        <w:t>Cywilnego</w:t>
      </w:r>
      <w:proofErr w:type="spellEnd"/>
      <w:r w:rsidRPr="009927D9">
        <w:t>) to remove the reference to the Warsaw District Court</w:t>
      </w:r>
      <w:r w:rsidRPr="009927D9" w:rsidR="009927D9">
        <w:t>’</w:t>
      </w:r>
      <w:r w:rsidRPr="009927D9">
        <w:t>s decision of 6 April 1992 from the birth certificate.</w:t>
      </w:r>
    </w:p>
    <w:p w:rsidRPr="009927D9" w:rsidR="00F13958" w:rsidP="009927D9" w:rsidRDefault="00F13958" w14:paraId="0210AE5D" w14:textId="71AF77AE">
      <w:pPr>
        <w:pStyle w:val="JuPara"/>
      </w:pPr>
      <w:r w:rsidRPr="009927D9">
        <w:fldChar w:fldCharType="begin"/>
      </w:r>
      <w:r w:rsidRPr="009927D9">
        <w:instrText xml:space="preserve"> SEQ level0 \*arabic </w:instrText>
      </w:r>
      <w:r w:rsidRPr="009927D9">
        <w:fldChar w:fldCharType="separate"/>
      </w:r>
      <w:r w:rsidRPr="009927D9" w:rsidR="009927D9">
        <w:rPr>
          <w:noProof/>
        </w:rPr>
        <w:t>10</w:t>
      </w:r>
      <w:r w:rsidRPr="009927D9">
        <w:fldChar w:fldCharType="end"/>
      </w:r>
      <w:r w:rsidRPr="009927D9">
        <w:t xml:space="preserve">.  On 22 September 2005 the head of the </w:t>
      </w:r>
      <w:proofErr w:type="spellStart"/>
      <w:r w:rsidRPr="009927D9">
        <w:t>Prudnik</w:t>
      </w:r>
      <w:proofErr w:type="spellEnd"/>
      <w:r w:rsidRPr="009927D9">
        <w:t xml:space="preserve"> Registry Office (</w:t>
      </w:r>
      <w:proofErr w:type="spellStart"/>
      <w:r w:rsidRPr="009927D9">
        <w:rPr>
          <w:i/>
        </w:rPr>
        <w:t>Kierownik</w:t>
      </w:r>
      <w:proofErr w:type="spellEnd"/>
      <w:r w:rsidRPr="009927D9">
        <w:rPr>
          <w:i/>
        </w:rPr>
        <w:t xml:space="preserve"> </w:t>
      </w:r>
      <w:proofErr w:type="spellStart"/>
      <w:r w:rsidRPr="009927D9">
        <w:rPr>
          <w:i/>
        </w:rPr>
        <w:t>Urz</w:t>
      </w:r>
      <w:r w:rsidRPr="009927D9">
        <w:rPr>
          <w:rFonts w:cstheme="minorHAnsi"/>
          <w:i/>
        </w:rPr>
        <w:t>ę</w:t>
      </w:r>
      <w:r w:rsidRPr="009927D9">
        <w:rPr>
          <w:i/>
        </w:rPr>
        <w:t>du</w:t>
      </w:r>
      <w:proofErr w:type="spellEnd"/>
      <w:r w:rsidRPr="009927D9">
        <w:rPr>
          <w:i/>
        </w:rPr>
        <w:t xml:space="preserve"> </w:t>
      </w:r>
      <w:proofErr w:type="spellStart"/>
      <w:r w:rsidRPr="009927D9">
        <w:rPr>
          <w:i/>
        </w:rPr>
        <w:t>Stanu</w:t>
      </w:r>
      <w:proofErr w:type="spellEnd"/>
      <w:r w:rsidRPr="009927D9">
        <w:rPr>
          <w:i/>
        </w:rPr>
        <w:t xml:space="preserve"> </w:t>
      </w:r>
      <w:proofErr w:type="spellStart"/>
      <w:r w:rsidRPr="009927D9">
        <w:rPr>
          <w:i/>
        </w:rPr>
        <w:t>Cywilnego</w:t>
      </w:r>
      <w:proofErr w:type="spellEnd"/>
      <w:r w:rsidRPr="009927D9">
        <w:t>) refused the applicant</w:t>
      </w:r>
      <w:r w:rsidRPr="009927D9" w:rsidR="009927D9">
        <w:t>’</w:t>
      </w:r>
      <w:r w:rsidRPr="009927D9">
        <w:t>s request on the grounds that, under section 21 of the Civil Status Records Act (</w:t>
      </w:r>
      <w:proofErr w:type="spellStart"/>
      <w:r w:rsidRPr="009927D9">
        <w:rPr>
          <w:i/>
        </w:rPr>
        <w:t>prawo</w:t>
      </w:r>
      <w:proofErr w:type="spellEnd"/>
      <w:r w:rsidRPr="009927D9">
        <w:rPr>
          <w:i/>
        </w:rPr>
        <w:t xml:space="preserve"> o </w:t>
      </w:r>
      <w:proofErr w:type="spellStart"/>
      <w:r w:rsidRPr="009927D9">
        <w:rPr>
          <w:i/>
        </w:rPr>
        <w:t>aktach</w:t>
      </w:r>
      <w:proofErr w:type="spellEnd"/>
      <w:r w:rsidRPr="009927D9">
        <w:rPr>
          <w:i/>
        </w:rPr>
        <w:t xml:space="preserve"> </w:t>
      </w:r>
      <w:proofErr w:type="spellStart"/>
      <w:r w:rsidRPr="009927D9">
        <w:rPr>
          <w:i/>
        </w:rPr>
        <w:t>stanu</w:t>
      </w:r>
      <w:proofErr w:type="spellEnd"/>
      <w:r w:rsidRPr="009927D9">
        <w:rPr>
          <w:i/>
        </w:rPr>
        <w:t xml:space="preserve"> </w:t>
      </w:r>
      <w:proofErr w:type="spellStart"/>
      <w:r w:rsidRPr="009927D9">
        <w:rPr>
          <w:i/>
        </w:rPr>
        <w:t>cywilnego</w:t>
      </w:r>
      <w:proofErr w:type="spellEnd"/>
      <w:r w:rsidRPr="009927D9">
        <w:t xml:space="preserve"> – “the 1986 Act”), any events occurring after a birth certificate had been drawn up had to be included in that certificate in the form of a “marginal annotation” (</w:t>
      </w:r>
      <w:proofErr w:type="spellStart"/>
      <w:r w:rsidRPr="009927D9">
        <w:rPr>
          <w:i/>
        </w:rPr>
        <w:t>wzmianka</w:t>
      </w:r>
      <w:proofErr w:type="spellEnd"/>
      <w:r w:rsidRPr="009927D9">
        <w:rPr>
          <w:i/>
        </w:rPr>
        <w:t xml:space="preserve"> </w:t>
      </w:r>
      <w:proofErr w:type="spellStart"/>
      <w:r w:rsidRPr="009927D9">
        <w:rPr>
          <w:i/>
        </w:rPr>
        <w:t>marginesowa</w:t>
      </w:r>
      <w:proofErr w:type="spellEnd"/>
      <w:r w:rsidRPr="009927D9">
        <w:t>).</w:t>
      </w:r>
    </w:p>
    <w:p w:rsidRPr="009927D9" w:rsidR="00F13958" w:rsidP="009927D9" w:rsidRDefault="00F13958" w14:paraId="54FDD7D6" w14:textId="57565D27">
      <w:pPr>
        <w:pStyle w:val="JuPara"/>
      </w:pPr>
      <w:r w:rsidRPr="009927D9">
        <w:fldChar w:fldCharType="begin"/>
      </w:r>
      <w:r w:rsidRPr="009927D9">
        <w:instrText xml:space="preserve"> SEQ level0 \*arabic </w:instrText>
      </w:r>
      <w:r w:rsidRPr="009927D9">
        <w:fldChar w:fldCharType="separate"/>
      </w:r>
      <w:r w:rsidRPr="009927D9" w:rsidR="009927D9">
        <w:rPr>
          <w:noProof/>
        </w:rPr>
        <w:t>11</w:t>
      </w:r>
      <w:r w:rsidRPr="009927D9">
        <w:fldChar w:fldCharType="end"/>
      </w:r>
      <w:r w:rsidRPr="009927D9">
        <w:t>.  On 8 November 2005 the Opole Governor declared that decision null and void on formal grounds. The Governor</w:t>
      </w:r>
      <w:r w:rsidRPr="009927D9" w:rsidR="009927D9">
        <w:t>’</w:t>
      </w:r>
      <w:r w:rsidRPr="009927D9">
        <w:t>s decision was subsequently overturned by the Minister of the Interior on 21 August 2006.</w:t>
      </w:r>
    </w:p>
    <w:p w:rsidRPr="009927D9" w:rsidR="00F13958" w:rsidP="009927D9" w:rsidRDefault="00DE6F01" w14:paraId="294E1379" w14:textId="4B509C4C">
      <w:pPr>
        <w:pStyle w:val="JuPara"/>
      </w:pPr>
      <w:fldSimple w:instr=" SEQ level0 \*arabic \* MERGEFORMAT ">
        <w:r w:rsidRPr="009927D9" w:rsidR="009927D9">
          <w:rPr>
            <w:noProof/>
          </w:rPr>
          <w:t>12</w:t>
        </w:r>
      </w:fldSimple>
      <w:r w:rsidRPr="009927D9" w:rsidR="00F13958">
        <w:t>.  On 29 September 2006 the Opole Governor gave a decision on the merits and upheld the decision of 22 September 2005, refusing to remove the annotation about the change of gender and first name. The Governor observed that only annotations not provided for by law or in breach of personal rights could be removed.</w:t>
      </w:r>
    </w:p>
    <w:p w:rsidRPr="009927D9" w:rsidR="00F13958" w:rsidP="009927D9" w:rsidRDefault="00F13958" w14:paraId="334DD490" w14:textId="730327A2">
      <w:pPr>
        <w:pStyle w:val="JuPara"/>
      </w:pPr>
      <w:r w:rsidRPr="009927D9">
        <w:fldChar w:fldCharType="begin"/>
      </w:r>
      <w:r w:rsidRPr="009927D9">
        <w:instrText xml:space="preserve"> SEQ level0 \*arabic </w:instrText>
      </w:r>
      <w:r w:rsidRPr="009927D9">
        <w:fldChar w:fldCharType="separate"/>
      </w:r>
      <w:r w:rsidRPr="009927D9" w:rsidR="009927D9">
        <w:rPr>
          <w:noProof/>
        </w:rPr>
        <w:t>13</w:t>
      </w:r>
      <w:r w:rsidRPr="009927D9">
        <w:fldChar w:fldCharType="end"/>
      </w:r>
      <w:r w:rsidRPr="009927D9">
        <w:t>.  On 26 February 2007 the Opole Regional Administrative Court dismissed an appeal by the applicant, referring to the reasons given by the Governor. It held that a marginal annotation about the applicant</w:t>
      </w:r>
      <w:r w:rsidRPr="009927D9" w:rsidR="009927D9">
        <w:t>’</w:t>
      </w:r>
      <w:r w:rsidRPr="009927D9">
        <w:t xml:space="preserve">s gender of origin and change of name could not </w:t>
      </w:r>
      <w:proofErr w:type="gramStart"/>
      <w:r w:rsidRPr="009927D9">
        <w:t>be considered to be</w:t>
      </w:r>
      <w:proofErr w:type="gramEnd"/>
      <w:r w:rsidRPr="009927D9">
        <w:t xml:space="preserve"> in breach of his personal rights.</w:t>
      </w:r>
    </w:p>
    <w:bookmarkStart w:name="SAC_16072008" w:id="6"/>
    <w:p w:rsidRPr="009927D9" w:rsidR="00F13958" w:rsidP="009927D9" w:rsidRDefault="00F13958" w14:paraId="4BE0565A" w14:textId="383AADEC">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14</w:t>
      </w:r>
      <w:r w:rsidRPr="009927D9">
        <w:fldChar w:fldCharType="end"/>
      </w:r>
      <w:bookmarkEnd w:id="6"/>
      <w:r w:rsidRPr="009927D9">
        <w:t>.  On 16 July 2008 the Supreme Administrative Court dismissed the applicant</w:t>
      </w:r>
      <w:r w:rsidRPr="009927D9" w:rsidR="009927D9">
        <w:t>’</w:t>
      </w:r>
      <w:r w:rsidRPr="009927D9">
        <w:t>s cassation appeal.</w:t>
      </w:r>
    </w:p>
    <w:p w:rsidRPr="009927D9" w:rsidR="00F13958" w:rsidP="009927D9" w:rsidRDefault="00F13958" w14:paraId="785DA3D1" w14:textId="77777777">
      <w:pPr>
        <w:pStyle w:val="JuHIRoman"/>
      </w:pPr>
      <w:r w:rsidRPr="009927D9">
        <w:t>Proceedings for a new birth certificate</w:t>
      </w:r>
    </w:p>
    <w:bookmarkStart w:name="SC_28052014" w:id="7"/>
    <w:bookmarkStart w:name="Proceedings_for_birthcertificate" w:id="8"/>
    <w:p w:rsidRPr="009927D9" w:rsidR="00F13958" w:rsidP="009927D9" w:rsidRDefault="00F13958" w14:paraId="3B62830F" w14:textId="25E82DD2">
      <w:pPr>
        <w:pStyle w:val="JuPara"/>
      </w:pPr>
      <w:r w:rsidRPr="009927D9">
        <w:fldChar w:fldCharType="begin"/>
      </w:r>
      <w:r w:rsidRPr="009927D9">
        <w:instrText xml:space="preserve"> SEQ level0 \*arabic </w:instrText>
      </w:r>
      <w:r w:rsidRPr="009927D9">
        <w:fldChar w:fldCharType="separate"/>
      </w:r>
      <w:r w:rsidRPr="009927D9" w:rsidR="009927D9">
        <w:rPr>
          <w:noProof/>
        </w:rPr>
        <w:t>15</w:t>
      </w:r>
      <w:r w:rsidRPr="009927D9">
        <w:fldChar w:fldCharType="end"/>
      </w:r>
      <w:bookmarkEnd w:id="7"/>
      <w:bookmarkEnd w:id="8"/>
      <w:r w:rsidRPr="009927D9">
        <w:t xml:space="preserve">.  On 5 September 2011 the applicant lodged a request with the Warsaw District Court to be issued a new birth certificate. He relied on sections 48 and 49 of the 1986 Act relating to the drawing up of new birth certificates following adoption (see paragraph </w:t>
      </w:r>
      <w:r w:rsidRPr="009927D9" w:rsidR="00A3663E">
        <w:t>28</w:t>
      </w:r>
      <w:r w:rsidRPr="009927D9">
        <w:t xml:space="preserve"> below).</w:t>
      </w:r>
    </w:p>
    <w:p w:rsidRPr="009927D9" w:rsidR="00F13958" w:rsidP="009927D9" w:rsidRDefault="00F13958" w14:paraId="4D4AB349" w14:textId="2EAA086E">
      <w:pPr>
        <w:pStyle w:val="JuPara"/>
      </w:pPr>
      <w:r w:rsidRPr="009927D9">
        <w:fldChar w:fldCharType="begin"/>
      </w:r>
      <w:r w:rsidRPr="009927D9">
        <w:instrText xml:space="preserve"> SEQ level0 \*arabic </w:instrText>
      </w:r>
      <w:r w:rsidRPr="009927D9">
        <w:fldChar w:fldCharType="separate"/>
      </w:r>
      <w:r w:rsidRPr="009927D9" w:rsidR="009927D9">
        <w:rPr>
          <w:noProof/>
        </w:rPr>
        <w:t>16</w:t>
      </w:r>
      <w:r w:rsidRPr="009927D9">
        <w:fldChar w:fldCharType="end"/>
      </w:r>
      <w:r w:rsidRPr="009927D9">
        <w:t>.  On 20 October 2011 the court dismissed the applicant</w:t>
      </w:r>
      <w:r w:rsidRPr="009927D9" w:rsidR="009927D9">
        <w:t>’</w:t>
      </w:r>
      <w:r w:rsidRPr="009927D9">
        <w:t>s request. The court held that, pursuant to sections 48 and 49 of the 1986 Act, a new birth certificate could only be drawn up in the event of adoption of a child. In addition, it noted that the civil courts had jurisdiction to invalidate, correct and recognise the contents of a civil status document. Since the present case did not concern any of those situations, the request had to be dismissed.</w:t>
      </w:r>
    </w:p>
    <w:p w:rsidRPr="009927D9" w:rsidR="00F13958" w:rsidP="009927D9" w:rsidRDefault="00F13958" w14:paraId="45CCD362" w14:textId="0FB90962">
      <w:pPr>
        <w:pStyle w:val="JuPara"/>
      </w:pPr>
      <w:r w:rsidRPr="009927D9">
        <w:fldChar w:fldCharType="begin"/>
      </w:r>
      <w:r w:rsidRPr="009927D9">
        <w:instrText xml:space="preserve"> SEQ level0 \*arabic </w:instrText>
      </w:r>
      <w:r w:rsidRPr="009927D9">
        <w:fldChar w:fldCharType="separate"/>
      </w:r>
      <w:r w:rsidRPr="009927D9" w:rsidR="009927D9">
        <w:rPr>
          <w:noProof/>
        </w:rPr>
        <w:t>17</w:t>
      </w:r>
      <w:r w:rsidRPr="009927D9">
        <w:fldChar w:fldCharType="end"/>
      </w:r>
      <w:r w:rsidRPr="009927D9">
        <w:t>.  The applicant appealed. He referred to the sensitive situation of transgender people, submitting that the authorities should have applied sections 48 and 49 of the 1986 Act by analogy.</w:t>
      </w:r>
    </w:p>
    <w:p w:rsidRPr="009927D9" w:rsidR="00F13958" w:rsidP="009927D9" w:rsidRDefault="00F13958" w14:paraId="5DD6249A" w14:textId="45B84715">
      <w:pPr>
        <w:pStyle w:val="JuPara"/>
      </w:pPr>
      <w:r w:rsidRPr="009927D9">
        <w:fldChar w:fldCharType="begin"/>
      </w:r>
      <w:r w:rsidRPr="009927D9">
        <w:instrText xml:space="preserve"> SEQ level0 \*arabic </w:instrText>
      </w:r>
      <w:r w:rsidRPr="009927D9">
        <w:fldChar w:fldCharType="separate"/>
      </w:r>
      <w:r w:rsidRPr="009927D9" w:rsidR="009927D9">
        <w:rPr>
          <w:noProof/>
        </w:rPr>
        <w:t>18</w:t>
      </w:r>
      <w:r w:rsidRPr="009927D9">
        <w:fldChar w:fldCharType="end"/>
      </w:r>
      <w:r w:rsidRPr="009927D9">
        <w:t>.  On 12 February 2013 the Warsaw Regional Court dismissed his appeal. The court upheld the reasoning of the District Court. With reference to the applicant</w:t>
      </w:r>
      <w:r w:rsidRPr="009927D9" w:rsidR="009927D9">
        <w:t>’</w:t>
      </w:r>
      <w:r w:rsidRPr="009927D9">
        <w:t>s submissions that the first-instance court should have applied sections 48 and 49 of the 1986 Act by analogy and drawn up a new birth certificate, the Regional Court held that the provisions concerning civil status could not be applied by analogy. Sections 48 and 49 of the 1986 Act listed very specific situations in which a new birth certificate could be issued. A full birth certificate reflected the situation at the time of a person</w:t>
      </w:r>
      <w:r w:rsidRPr="009927D9" w:rsidR="009927D9">
        <w:t>’</w:t>
      </w:r>
      <w:r w:rsidRPr="009927D9">
        <w:t>s birth. A subsequent change of gender could not be a reason to invalidate that birth certificate and draw up a new one. The court further noted that the applicant</w:t>
      </w:r>
      <w:r w:rsidRPr="009927D9" w:rsidR="009927D9">
        <w:t>’</w:t>
      </w:r>
      <w:r w:rsidRPr="009927D9">
        <w:t>s birth certificate had been amended to reflect his gender reassignment.</w:t>
      </w:r>
    </w:p>
    <w:p w:rsidRPr="009927D9" w:rsidR="00F13958" w:rsidP="009927D9" w:rsidRDefault="00F13958" w14:paraId="7B470527" w14:textId="11DF0B03">
      <w:pPr>
        <w:pStyle w:val="JuPara"/>
      </w:pPr>
      <w:r w:rsidRPr="009927D9">
        <w:fldChar w:fldCharType="begin"/>
      </w:r>
      <w:r w:rsidRPr="009927D9">
        <w:instrText xml:space="preserve"> SEQ level0 \*arabic </w:instrText>
      </w:r>
      <w:r w:rsidRPr="009927D9">
        <w:fldChar w:fldCharType="separate"/>
      </w:r>
      <w:r w:rsidRPr="009927D9" w:rsidR="009927D9">
        <w:rPr>
          <w:noProof/>
        </w:rPr>
        <w:t>19</w:t>
      </w:r>
      <w:r w:rsidRPr="009927D9">
        <w:fldChar w:fldCharType="end"/>
      </w:r>
      <w:r w:rsidRPr="009927D9">
        <w:t>.  The applicant lodged a cassation appeal, relying</w:t>
      </w:r>
      <w:proofErr w:type="gramStart"/>
      <w:r w:rsidRPr="009927D9">
        <w:t>, in particular, on</w:t>
      </w:r>
      <w:proofErr w:type="gramEnd"/>
      <w:r w:rsidRPr="009927D9">
        <w:t xml:space="preserve"> the provisions of the Polish Constitution (Articles 32 and 47), Articles 8 and 14 of the Convention and the Court</w:t>
      </w:r>
      <w:r w:rsidRPr="009927D9" w:rsidR="009927D9">
        <w:t>’</w:t>
      </w:r>
      <w:r w:rsidRPr="009927D9">
        <w:t>s case-law.</w:t>
      </w:r>
    </w:p>
    <w:p w:rsidRPr="009927D9" w:rsidR="00F13958" w:rsidP="009927D9" w:rsidRDefault="00F13958" w14:paraId="6E9DA7DF" w14:textId="6250B019">
      <w:pPr>
        <w:pStyle w:val="JuPara"/>
      </w:pPr>
      <w:r w:rsidRPr="009927D9">
        <w:fldChar w:fldCharType="begin"/>
      </w:r>
      <w:r w:rsidRPr="009927D9">
        <w:instrText xml:space="preserve"> SEQ level0 \*arabic </w:instrText>
      </w:r>
      <w:r w:rsidRPr="009927D9">
        <w:fldChar w:fldCharType="separate"/>
      </w:r>
      <w:r w:rsidRPr="009927D9" w:rsidR="009927D9">
        <w:rPr>
          <w:noProof/>
        </w:rPr>
        <w:t>20</w:t>
      </w:r>
      <w:r w:rsidRPr="009927D9">
        <w:fldChar w:fldCharType="end"/>
      </w:r>
      <w:r w:rsidRPr="009927D9">
        <w:t>.  On 28 May 2014 the Supreme Court dismissed his cassation appeal. The court considered, referring to the 1986 Act, that following gender reassignment it was not possible to draw up a new birth certificate. Any changes had to be indicated as an annotation on the existing birth certificate. The Supreme Court also noted that Parliament had been working on a bill on gender recognition.</w:t>
      </w:r>
    </w:p>
    <w:p w:rsidRPr="009927D9" w:rsidR="00F13958" w:rsidP="009927D9" w:rsidRDefault="00F13958" w14:paraId="313DF5D9" w14:textId="77777777">
      <w:pPr>
        <w:pStyle w:val="JuHIRoman"/>
      </w:pPr>
      <w:r w:rsidRPr="009927D9">
        <w:t>Proceedings concerning foster care</w:t>
      </w:r>
    </w:p>
    <w:bookmarkStart w:name="Niece" w:id="9"/>
    <w:p w:rsidRPr="009927D9" w:rsidR="00F13958" w:rsidP="009927D9" w:rsidRDefault="00F13958" w14:paraId="310D4599" w14:textId="1D304AC1">
      <w:pPr>
        <w:pStyle w:val="JuPara"/>
      </w:pPr>
      <w:r w:rsidRPr="009927D9">
        <w:fldChar w:fldCharType="begin"/>
      </w:r>
      <w:r w:rsidRPr="009927D9">
        <w:instrText xml:space="preserve"> SEQ level0 \*arabic </w:instrText>
      </w:r>
      <w:r w:rsidRPr="009927D9">
        <w:fldChar w:fldCharType="separate"/>
      </w:r>
      <w:r w:rsidRPr="009927D9" w:rsidR="009927D9">
        <w:rPr>
          <w:noProof/>
        </w:rPr>
        <w:t>21</w:t>
      </w:r>
      <w:r w:rsidRPr="009927D9">
        <w:fldChar w:fldCharType="end"/>
      </w:r>
      <w:bookmarkEnd w:id="9"/>
      <w:r w:rsidRPr="009927D9">
        <w:t>.  On 23 March 2010 a district court in the Paris region granted custody of K.</w:t>
      </w:r>
      <w:r w:rsidRPr="009927D9" w:rsidR="009927D9">
        <w:t>’</w:t>
      </w:r>
      <w:r w:rsidRPr="009927D9">
        <w:t xml:space="preserve">s </w:t>
      </w:r>
      <w:proofErr w:type="gramStart"/>
      <w:r w:rsidRPr="009927D9">
        <w:t>three year old</w:t>
      </w:r>
      <w:proofErr w:type="gramEnd"/>
      <w:r w:rsidRPr="009927D9">
        <w:t xml:space="preserve"> niece - A.L. to the applicant</w:t>
      </w:r>
      <w:r w:rsidRPr="009927D9" w:rsidR="009927D9">
        <w:t>’</w:t>
      </w:r>
      <w:r w:rsidRPr="009927D9">
        <w:t>s wife. The applicant submitted that A.L. lived with him and his family.</w:t>
      </w:r>
    </w:p>
    <w:p w:rsidRPr="009927D9" w:rsidR="00F13958" w:rsidP="009927D9" w:rsidRDefault="00F13958" w14:paraId="6533C829" w14:textId="77777777">
      <w:pPr>
        <w:pStyle w:val="JuHHead"/>
      </w:pPr>
      <w:r w:rsidRPr="009927D9">
        <w:t>RELEVANT LEGAL FRAMEWORK AND PRACTICE</w:t>
      </w:r>
    </w:p>
    <w:p w:rsidRPr="009927D9" w:rsidR="00F13958" w:rsidP="009927D9" w:rsidRDefault="00F13958" w14:paraId="534B4E99" w14:textId="77777777">
      <w:pPr>
        <w:pStyle w:val="JuHIRoman"/>
      </w:pPr>
      <w:r w:rsidRPr="009927D9">
        <w:t>Domestic law and practice</w:t>
      </w:r>
    </w:p>
    <w:p w:rsidRPr="009927D9" w:rsidR="00F13958" w:rsidP="009927D9" w:rsidRDefault="00F13958" w14:paraId="2D357366" w14:textId="5C0552EE">
      <w:pPr>
        <w:pStyle w:val="JuHA"/>
      </w:pPr>
      <w:r w:rsidRPr="009927D9">
        <w:t>Constitutional provisions</w:t>
      </w:r>
    </w:p>
    <w:bookmarkStart w:name="Polish_Constitution" w:id="10"/>
    <w:p w:rsidRPr="009927D9" w:rsidR="00F13958" w:rsidP="009927D9" w:rsidRDefault="00F13958" w14:paraId="7698D9B5" w14:textId="1AA1B8CC">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22</w:t>
      </w:r>
      <w:r w:rsidRPr="009927D9">
        <w:fldChar w:fldCharType="end"/>
      </w:r>
      <w:bookmarkEnd w:id="10"/>
      <w:r w:rsidRPr="009927D9">
        <w:t>.  The Constitution of the Republic of Poland of 1997 contains the following provisions relating to non-discrimination, equality of men and women and the right to privacy.</w:t>
      </w:r>
    </w:p>
    <w:p w:rsidRPr="009927D9" w:rsidR="00F13958" w:rsidP="009927D9" w:rsidRDefault="00F13958" w14:paraId="60E4E3CC" w14:textId="77777777">
      <w:pPr>
        <w:pStyle w:val="JuHArticle"/>
      </w:pPr>
      <w:r w:rsidRPr="009927D9">
        <w:t>Article 32</w:t>
      </w:r>
    </w:p>
    <w:p w:rsidRPr="009927D9" w:rsidR="00F13958" w:rsidP="009927D9" w:rsidRDefault="00F13958" w14:paraId="4803EA71" w14:textId="77777777">
      <w:pPr>
        <w:pStyle w:val="JuQuot"/>
      </w:pPr>
      <w:r w:rsidRPr="009927D9">
        <w:t>“1.  All persons shall be equal before the law. All persons shall have the right to equal treatment by public authorities.</w:t>
      </w:r>
    </w:p>
    <w:p w:rsidRPr="009927D9" w:rsidR="00F13958" w:rsidP="009927D9" w:rsidRDefault="00F13958" w14:paraId="5945C904" w14:textId="77777777">
      <w:pPr>
        <w:pStyle w:val="JuQuot"/>
      </w:pPr>
      <w:r w:rsidRPr="009927D9">
        <w:t>2.  No one shall be discriminated against in political, social or economic life for any reason whatsoever.”</w:t>
      </w:r>
    </w:p>
    <w:p w:rsidRPr="009927D9" w:rsidR="00F13958" w:rsidP="009927D9" w:rsidRDefault="00F13958" w14:paraId="653D81BB" w14:textId="77777777">
      <w:pPr>
        <w:pStyle w:val="JuHArticle"/>
      </w:pPr>
      <w:r w:rsidRPr="009927D9">
        <w:t>Article 33</w:t>
      </w:r>
    </w:p>
    <w:p w:rsidRPr="009927D9" w:rsidR="00F13958" w:rsidP="009927D9" w:rsidRDefault="00F13958" w14:paraId="03A6D6A0" w14:textId="77777777">
      <w:pPr>
        <w:pStyle w:val="JuQuot"/>
      </w:pPr>
      <w:r w:rsidRPr="009927D9">
        <w:t xml:space="preserve">“1.  Men and women shall have equal rights in family, political, </w:t>
      </w:r>
      <w:proofErr w:type="gramStart"/>
      <w:r w:rsidRPr="009927D9">
        <w:t>social</w:t>
      </w:r>
      <w:proofErr w:type="gramEnd"/>
      <w:r w:rsidRPr="009927D9">
        <w:t xml:space="preserve"> and economic life in the Republic of Poland.</w:t>
      </w:r>
    </w:p>
    <w:p w:rsidRPr="009927D9" w:rsidR="00F13958" w:rsidP="009927D9" w:rsidRDefault="00F13958" w14:paraId="32847CFC" w14:textId="77777777">
      <w:pPr>
        <w:pStyle w:val="JuQuot"/>
      </w:pPr>
      <w:r w:rsidRPr="009927D9">
        <w:t>...”</w:t>
      </w:r>
    </w:p>
    <w:p w:rsidRPr="009927D9" w:rsidR="00F13958" w:rsidP="009927D9" w:rsidRDefault="00F13958" w14:paraId="1FBBA69E" w14:textId="77777777">
      <w:pPr>
        <w:pStyle w:val="JuHArticle"/>
      </w:pPr>
      <w:r w:rsidRPr="009927D9">
        <w:t>Article 47</w:t>
      </w:r>
    </w:p>
    <w:p w:rsidRPr="009927D9" w:rsidR="00F13958" w:rsidP="009927D9" w:rsidRDefault="00F13958" w14:paraId="7CF3B16B" w14:textId="77777777">
      <w:pPr>
        <w:pStyle w:val="JuQuot"/>
      </w:pPr>
      <w:r w:rsidRPr="009927D9">
        <w:t>“Everyone shall have the right to legal protection of his [her] private and family life, of his [her] honour and good reputation and to make decisions about his [her] private life.”</w:t>
      </w:r>
    </w:p>
    <w:p w:rsidRPr="009927D9" w:rsidR="00F13958" w:rsidP="009927D9" w:rsidRDefault="00F13958" w14:paraId="2BEA54A7" w14:textId="77777777">
      <w:pPr>
        <w:pStyle w:val="JuHA"/>
      </w:pPr>
      <w:r w:rsidRPr="009927D9">
        <w:t>The Code of Civil Procedure</w:t>
      </w:r>
    </w:p>
    <w:bookmarkStart w:name="KPC_189" w:id="11"/>
    <w:p w:rsidRPr="009927D9" w:rsidR="00F13958" w:rsidP="009927D9" w:rsidRDefault="00F13958" w14:paraId="57BE4B08" w14:textId="1275B2D5">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23</w:t>
      </w:r>
      <w:r w:rsidRPr="009927D9">
        <w:fldChar w:fldCharType="end"/>
      </w:r>
      <w:bookmarkEnd w:id="11"/>
      <w:r w:rsidRPr="009927D9">
        <w:t>.  Article 189 of the Code of Civil Procedure (“CCP”) provides as follows:</w:t>
      </w:r>
    </w:p>
    <w:p w:rsidRPr="009927D9" w:rsidR="00F13958" w:rsidP="009927D9" w:rsidRDefault="00F13958" w14:paraId="3A514CDF" w14:textId="77777777">
      <w:pPr>
        <w:pStyle w:val="JuQuot"/>
      </w:pPr>
      <w:r w:rsidRPr="009927D9">
        <w:t>“A plaintiff may request the court to establish the existence or non-existence of a legal relationship or right, if he or she has a legal interest therein.”</w:t>
      </w:r>
    </w:p>
    <w:p w:rsidRPr="009927D9" w:rsidR="00F13958" w:rsidP="009927D9" w:rsidRDefault="00F13958" w14:paraId="5BFECE1E" w14:textId="77777777">
      <w:pPr>
        <w:pStyle w:val="JuHA"/>
      </w:pPr>
      <w:r w:rsidRPr="009927D9">
        <w:t>The Law on Civil Status Records</w:t>
      </w:r>
    </w:p>
    <w:p w:rsidRPr="009927D9" w:rsidR="00F13958" w:rsidP="009927D9" w:rsidRDefault="00F13958" w14:paraId="59363D33" w14:textId="77777777">
      <w:pPr>
        <w:pStyle w:val="JuH1"/>
      </w:pPr>
      <w:r w:rsidRPr="009927D9">
        <w:t>General provisions</w:t>
      </w:r>
    </w:p>
    <w:p w:rsidRPr="009927D9" w:rsidR="00F13958" w:rsidP="009927D9" w:rsidRDefault="00DE6F01" w14:paraId="10D6A160" w14:textId="607069F4">
      <w:pPr>
        <w:pStyle w:val="JuPara"/>
      </w:pPr>
      <w:fldSimple w:instr=" SEQ level0 \*arabic \* MERGEFORMAT ">
        <w:r w:rsidRPr="009927D9" w:rsidR="009927D9">
          <w:rPr>
            <w:noProof/>
          </w:rPr>
          <w:t>24</w:t>
        </w:r>
      </w:fldSimple>
      <w:r w:rsidRPr="009927D9" w:rsidR="00F13958">
        <w:t>.  The procedure for making entries in the Polish civil status register, as in force at the material time, was laid down in the Act on Civil Status Records (</w:t>
      </w:r>
      <w:proofErr w:type="spellStart"/>
      <w:r w:rsidRPr="009927D9" w:rsidR="00F13958">
        <w:rPr>
          <w:i/>
          <w:iCs/>
        </w:rPr>
        <w:t>Prawo</w:t>
      </w:r>
      <w:proofErr w:type="spellEnd"/>
      <w:r w:rsidRPr="009927D9" w:rsidR="00F13958">
        <w:rPr>
          <w:i/>
          <w:iCs/>
        </w:rPr>
        <w:t xml:space="preserve"> o </w:t>
      </w:r>
      <w:proofErr w:type="spellStart"/>
      <w:r w:rsidRPr="009927D9" w:rsidR="00F13958">
        <w:rPr>
          <w:i/>
          <w:iCs/>
        </w:rPr>
        <w:t>aktach</w:t>
      </w:r>
      <w:proofErr w:type="spellEnd"/>
      <w:r w:rsidRPr="009927D9" w:rsidR="00F13958">
        <w:rPr>
          <w:i/>
          <w:iCs/>
        </w:rPr>
        <w:t xml:space="preserve"> </w:t>
      </w:r>
      <w:proofErr w:type="spellStart"/>
      <w:r w:rsidRPr="009927D9" w:rsidR="00F13958">
        <w:rPr>
          <w:i/>
          <w:iCs/>
        </w:rPr>
        <w:t>stanu</w:t>
      </w:r>
      <w:proofErr w:type="spellEnd"/>
      <w:r w:rsidRPr="009927D9" w:rsidR="00F13958">
        <w:rPr>
          <w:i/>
          <w:iCs/>
        </w:rPr>
        <w:t xml:space="preserve"> </w:t>
      </w:r>
      <w:proofErr w:type="spellStart"/>
      <w:r w:rsidRPr="009927D9" w:rsidR="00F13958">
        <w:rPr>
          <w:i/>
          <w:iCs/>
        </w:rPr>
        <w:t>cywilnego</w:t>
      </w:r>
      <w:proofErr w:type="spellEnd"/>
      <w:r w:rsidRPr="009927D9" w:rsidR="00F13958">
        <w:t>) of 29 September 1986 (“the 1986 Act”).</w:t>
      </w:r>
    </w:p>
    <w:p w:rsidRPr="009927D9" w:rsidR="00F13958" w:rsidP="009927D9" w:rsidRDefault="00F13958" w14:paraId="14F99D2B" w14:textId="77777777">
      <w:pPr>
        <w:pStyle w:val="JuHArticle"/>
        <w:rPr>
          <w:rFonts w:eastAsia="Times New Roman"/>
          <w:lang w:eastAsia="fr-FR"/>
        </w:rPr>
      </w:pPr>
      <w:r w:rsidRPr="009927D9">
        <w:rPr>
          <w:rFonts w:eastAsia="Times New Roman"/>
          <w:lang w:eastAsia="fr-FR"/>
        </w:rPr>
        <w:t>Section 21</w:t>
      </w:r>
    </w:p>
    <w:p w:rsidRPr="009927D9" w:rsidR="00F13958" w:rsidP="009927D9" w:rsidRDefault="00F13958" w14:paraId="470F446D" w14:textId="77777777">
      <w:pPr>
        <w:pStyle w:val="JuQuot"/>
      </w:pPr>
      <w:r w:rsidRPr="009927D9">
        <w:t>“(1</w:t>
      </w:r>
      <w:proofErr w:type="gramStart"/>
      <w:r w:rsidRPr="009927D9">
        <w:t>)  If</w:t>
      </w:r>
      <w:proofErr w:type="gramEnd"/>
      <w:r w:rsidRPr="009927D9">
        <w:t>, after the drawing up of a civil status record, events occur affecting its content or validity, the changes resulting therefrom shall be entered in the record in the form of an additional annotation.</w:t>
      </w:r>
    </w:p>
    <w:p w:rsidRPr="009927D9" w:rsidR="00F13958" w:rsidP="009927D9" w:rsidRDefault="00F13958" w14:paraId="2FC0E037" w14:textId="77777777">
      <w:pPr>
        <w:pStyle w:val="JuQuot"/>
      </w:pPr>
      <w:r w:rsidRPr="009927D9">
        <w:t>(2)  The basis for entering the information referred to in subsection 1 are final judicial decisions, final [administrative] decisions, extracts of civil status records and other documents having an impact on the content or validity of the record.</w:t>
      </w:r>
    </w:p>
    <w:p w:rsidRPr="009927D9" w:rsidR="00F13958" w:rsidP="009927D9" w:rsidRDefault="00F13958" w14:paraId="156676EC" w14:textId="77777777">
      <w:pPr>
        <w:pStyle w:val="JuQuot"/>
      </w:pPr>
      <w:r w:rsidRPr="009927D9">
        <w:t>3)  Below the text of the civil status record shall be footnotes containing information on other civil status records relating to the same person.”</w:t>
      </w:r>
    </w:p>
    <w:p w:rsidRPr="009927D9" w:rsidR="00F13958" w:rsidP="009927D9" w:rsidRDefault="00F13958" w14:paraId="16ED0684" w14:textId="77777777">
      <w:pPr>
        <w:pStyle w:val="JuH1"/>
      </w:pPr>
      <w:r w:rsidRPr="009927D9">
        <w:t>Birth certificates</w:t>
      </w:r>
    </w:p>
    <w:bookmarkStart w:name="LAw1986_copies_birthcertificates" w:id="12"/>
    <w:p w:rsidRPr="009927D9" w:rsidR="00F13958" w:rsidP="009927D9" w:rsidRDefault="00F13958" w14:paraId="1E1FB412" w14:textId="4AB3B3AD">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25</w:t>
      </w:r>
      <w:r w:rsidRPr="009927D9">
        <w:fldChar w:fldCharType="end"/>
      </w:r>
      <w:bookmarkEnd w:id="12"/>
      <w:r w:rsidRPr="009927D9">
        <w:t>.  The relevant provisions relating to the drawing up, issuing of copies and amendment of birth certificates read as follows:</w:t>
      </w:r>
    </w:p>
    <w:p w:rsidRPr="009927D9" w:rsidR="00F13958" w:rsidP="009927D9" w:rsidRDefault="00F13958" w14:paraId="414BE045" w14:textId="77777777">
      <w:pPr>
        <w:pStyle w:val="JuHArticle"/>
      </w:pPr>
      <w:r w:rsidRPr="009927D9">
        <w:t>Section 40</w:t>
      </w:r>
    </w:p>
    <w:p w:rsidRPr="009927D9" w:rsidR="00F13958" w:rsidP="009927D9" w:rsidRDefault="00F13958" w14:paraId="16E786B8" w14:textId="6E628FC9">
      <w:pPr>
        <w:pStyle w:val="JuQuot"/>
      </w:pPr>
      <w:r w:rsidRPr="009927D9">
        <w:t>“(1</w:t>
      </w:r>
      <w:proofErr w:type="gramStart"/>
      <w:r w:rsidRPr="009927D9">
        <w:t>)  A</w:t>
      </w:r>
      <w:proofErr w:type="gramEnd"/>
      <w:r w:rsidRPr="009927D9">
        <w:t xml:space="preserve"> birth certificate is drawn up on the basis of a written notification of the child</w:t>
      </w:r>
      <w:r w:rsidRPr="009927D9" w:rsidR="009927D9">
        <w:t>’</w:t>
      </w:r>
      <w:r w:rsidRPr="009927D9">
        <w:t>s birth issued by a doctor, midwife or healthcare facility;</w:t>
      </w:r>
    </w:p>
    <w:p w:rsidRPr="009927D9" w:rsidR="00F13958" w:rsidP="009927D9" w:rsidRDefault="00F13958" w14:paraId="4B27F78B" w14:textId="77777777">
      <w:pPr>
        <w:pStyle w:val="JuQuot"/>
      </w:pPr>
      <w:r w:rsidRPr="009927D9">
        <w:t>(2)  The birth certificate shall include:</w:t>
      </w:r>
    </w:p>
    <w:p w:rsidRPr="009927D9" w:rsidR="00F13958" w:rsidP="009927D9" w:rsidRDefault="00F13958" w14:paraId="575059E6" w14:textId="77777777">
      <w:pPr>
        <w:pStyle w:val="JuQuot"/>
      </w:pPr>
      <w:r w:rsidRPr="009927D9">
        <w:t xml:space="preserve">1) the surname, forename(s) and sex of the </w:t>
      </w:r>
      <w:proofErr w:type="gramStart"/>
      <w:r w:rsidRPr="009927D9">
        <w:t>child;</w:t>
      </w:r>
      <w:proofErr w:type="gramEnd"/>
    </w:p>
    <w:p w:rsidRPr="009927D9" w:rsidR="00F13958" w:rsidP="009927D9" w:rsidRDefault="00F13958" w14:paraId="4095B48E" w14:textId="77777777">
      <w:pPr>
        <w:pStyle w:val="JuQuot"/>
      </w:pPr>
      <w:r w:rsidRPr="009927D9">
        <w:t>...”</w:t>
      </w:r>
    </w:p>
    <w:p w:rsidRPr="009927D9" w:rsidR="00F13958" w:rsidP="009927D9" w:rsidRDefault="00F13958" w14:paraId="4A3C89EC" w14:textId="77777777">
      <w:pPr>
        <w:pStyle w:val="JuHArticle"/>
      </w:pPr>
      <w:r w:rsidRPr="009927D9">
        <w:t>Section 79</w:t>
      </w:r>
    </w:p>
    <w:p w:rsidRPr="009927D9" w:rsidR="00F13958" w:rsidP="009927D9" w:rsidRDefault="00F13958" w14:paraId="0F83F083" w14:textId="77777777">
      <w:pPr>
        <w:pStyle w:val="JuQuot"/>
      </w:pPr>
      <w:r w:rsidRPr="009927D9">
        <w:t>“Civil status records may be used to issue:</w:t>
      </w:r>
    </w:p>
    <w:p w:rsidRPr="009927D9" w:rsidR="00F13958" w:rsidP="009927D9" w:rsidRDefault="00F13958" w14:paraId="53AE99E5" w14:textId="77777777">
      <w:pPr>
        <w:pStyle w:val="JuQuot"/>
      </w:pPr>
      <w:r w:rsidRPr="009927D9">
        <w:t xml:space="preserve">1)  full and short extracts of civil status </w:t>
      </w:r>
      <w:proofErr w:type="gramStart"/>
      <w:r w:rsidRPr="009927D9">
        <w:t>records;</w:t>
      </w:r>
      <w:proofErr w:type="gramEnd"/>
    </w:p>
    <w:p w:rsidRPr="009927D9" w:rsidR="00F13958" w:rsidP="009927D9" w:rsidRDefault="00F13958" w14:paraId="6C52CAE5" w14:textId="77777777">
      <w:pPr>
        <w:pStyle w:val="JuQuot"/>
      </w:pPr>
      <w:r w:rsidRPr="009927D9">
        <w:t>... ”</w:t>
      </w:r>
    </w:p>
    <w:p w:rsidRPr="009927D9" w:rsidR="00F13958" w:rsidP="009927D9" w:rsidRDefault="00F13958" w14:paraId="3F3E91D4" w14:textId="77777777">
      <w:pPr>
        <w:pStyle w:val="JuHArticle"/>
      </w:pPr>
      <w:r w:rsidRPr="009927D9">
        <w:t>Section 80</w:t>
      </w:r>
    </w:p>
    <w:p w:rsidRPr="009927D9" w:rsidR="00F13958" w:rsidP="009927D9" w:rsidRDefault="00F13958" w14:paraId="5E6D3560" w14:textId="77777777">
      <w:pPr>
        <w:pStyle w:val="JuQuot"/>
      </w:pPr>
      <w:r w:rsidRPr="009927D9">
        <w:t>“A full copy reproduces verbatim the content of the civil status record, including all additional annotations (</w:t>
      </w:r>
      <w:proofErr w:type="spellStart"/>
      <w:r w:rsidRPr="009927D9">
        <w:rPr>
          <w:i/>
          <w:iCs/>
        </w:rPr>
        <w:t>wzmianki</w:t>
      </w:r>
      <w:proofErr w:type="spellEnd"/>
      <w:r w:rsidRPr="009927D9">
        <w:rPr>
          <w:i/>
          <w:iCs/>
        </w:rPr>
        <w:t xml:space="preserve"> </w:t>
      </w:r>
      <w:proofErr w:type="spellStart"/>
      <w:r w:rsidRPr="009927D9">
        <w:rPr>
          <w:i/>
          <w:iCs/>
        </w:rPr>
        <w:t>dodatkowe</w:t>
      </w:r>
      <w:proofErr w:type="spellEnd"/>
      <w:r w:rsidRPr="009927D9">
        <w:t>); the content of footnotes (</w:t>
      </w:r>
      <w:proofErr w:type="spellStart"/>
      <w:r w:rsidRPr="009927D9">
        <w:rPr>
          <w:i/>
          <w:iCs/>
        </w:rPr>
        <w:t>przypiski</w:t>
      </w:r>
      <w:proofErr w:type="spellEnd"/>
      <w:r w:rsidRPr="009927D9">
        <w:t>) shall be given only at the request of the person concerned.”</w:t>
      </w:r>
    </w:p>
    <w:p w:rsidRPr="009927D9" w:rsidR="00F13958" w:rsidP="009927D9" w:rsidRDefault="00F13958" w14:paraId="1EA58908" w14:textId="77777777">
      <w:pPr>
        <w:pStyle w:val="JuHArticle"/>
      </w:pPr>
      <w:r w:rsidRPr="009927D9">
        <w:t>Section 81</w:t>
      </w:r>
    </w:p>
    <w:p w:rsidRPr="009927D9" w:rsidR="00F13958" w:rsidP="009927D9" w:rsidRDefault="00F13958" w14:paraId="4F86B3A0" w14:textId="77777777">
      <w:pPr>
        <w:pStyle w:val="JuQuot"/>
      </w:pPr>
      <w:r w:rsidRPr="009927D9">
        <w:t>“A short extract of a civil status record states its content, taking into account the additional annotations and omitting any deleted words, paragraphs and sentences.”</w:t>
      </w:r>
    </w:p>
    <w:p w:rsidRPr="009927D9" w:rsidR="00F13958" w:rsidP="009927D9" w:rsidRDefault="00F13958" w14:paraId="7DA5D20B" w14:textId="77777777">
      <w:pPr>
        <w:pStyle w:val="JuHArticle"/>
      </w:pPr>
      <w:r w:rsidRPr="009927D9">
        <w:t>Section 82</w:t>
      </w:r>
    </w:p>
    <w:p w:rsidRPr="009927D9" w:rsidR="00F13958" w:rsidP="009927D9" w:rsidRDefault="00F13958" w14:paraId="5D77F6CA" w14:textId="77777777">
      <w:pPr>
        <w:pStyle w:val="JuQuot"/>
      </w:pPr>
      <w:r w:rsidRPr="009927D9">
        <w:rPr>
          <w:rFonts w:ascii="Times New Roman" w:hAnsi="Times New Roman" w:cs="Times New Roman"/>
        </w:rPr>
        <w:t>“</w:t>
      </w:r>
      <w:r w:rsidRPr="009927D9">
        <w:t>A short extract [of a civil status record] shall include the following information:</w:t>
      </w:r>
    </w:p>
    <w:p w:rsidRPr="009927D9" w:rsidR="00F13958" w:rsidP="009927D9" w:rsidRDefault="00F13958" w14:paraId="5E439AE4" w14:textId="7BBA1B37">
      <w:pPr>
        <w:pStyle w:val="JuQuot"/>
        <w:rPr>
          <w:rFonts w:ascii="Times New Roman" w:hAnsi="Times New Roman" w:cs="Times New Roman"/>
        </w:rPr>
      </w:pPr>
      <w:r w:rsidRPr="009927D9">
        <w:rPr>
          <w:rFonts w:ascii="Times New Roman" w:hAnsi="Times New Roman" w:cs="Times New Roman"/>
        </w:rPr>
        <w:t>1)  a copy of the birth certificate - the surname and forename(s), place and date of birth and the forenames and surnames of the child</w:t>
      </w:r>
      <w:r w:rsidRPr="009927D9" w:rsidR="009927D9">
        <w:rPr>
          <w:rFonts w:ascii="Times New Roman" w:hAnsi="Times New Roman" w:cs="Times New Roman"/>
        </w:rPr>
        <w:t>’</w:t>
      </w:r>
      <w:r w:rsidRPr="009927D9">
        <w:rPr>
          <w:rFonts w:ascii="Times New Roman" w:hAnsi="Times New Roman" w:cs="Times New Roman"/>
        </w:rPr>
        <w:t xml:space="preserve">s </w:t>
      </w:r>
      <w:proofErr w:type="gramStart"/>
      <w:r w:rsidRPr="009927D9">
        <w:rPr>
          <w:rFonts w:ascii="Times New Roman" w:hAnsi="Times New Roman" w:cs="Times New Roman"/>
        </w:rPr>
        <w:t>parents;</w:t>
      </w:r>
      <w:proofErr w:type="gramEnd"/>
    </w:p>
    <w:p w:rsidRPr="009927D9" w:rsidR="00F13958" w:rsidP="009927D9" w:rsidRDefault="00F13958" w14:paraId="629A122A" w14:textId="77777777">
      <w:pPr>
        <w:pStyle w:val="JuQuot"/>
      </w:pPr>
      <w:r w:rsidRPr="009927D9">
        <w:t>...”</w:t>
      </w:r>
    </w:p>
    <w:p w:rsidRPr="009927D9" w:rsidR="00F13958" w:rsidP="009927D9" w:rsidRDefault="00F13958" w14:paraId="4BB7C054" w14:textId="77777777">
      <w:pPr>
        <w:pStyle w:val="JuQuot"/>
        <w:jc w:val="center"/>
        <w:rPr>
          <w:b/>
          <w:bCs/>
        </w:rPr>
      </w:pPr>
      <w:r w:rsidRPr="009927D9">
        <w:rPr>
          <w:b/>
          <w:bCs/>
        </w:rPr>
        <w:t>Section 83</w:t>
      </w:r>
    </w:p>
    <w:p w:rsidRPr="009927D9" w:rsidR="00F13958" w:rsidP="009927D9" w:rsidRDefault="00F13958" w14:paraId="635A4602" w14:textId="77777777">
      <w:pPr>
        <w:pStyle w:val="JuQuot"/>
        <w:rPr>
          <w:rFonts w:ascii="Times New Roman" w:hAnsi="Times New Roman" w:cs="Times New Roman"/>
        </w:rPr>
      </w:pPr>
      <w:r w:rsidRPr="009927D9">
        <w:rPr>
          <w:rFonts w:ascii="Times New Roman" w:hAnsi="Times New Roman" w:cs="Times New Roman"/>
        </w:rPr>
        <w:t xml:space="preserve">“1.  Copies of civil status records and the certificates referred to in section 79 shall be issued at the request of a court or another State authority, the person whose civil status has been established in the record, his or her ascendant, descendant, sibling, </w:t>
      </w:r>
      <w:proofErr w:type="gramStart"/>
      <w:r w:rsidRPr="009927D9">
        <w:rPr>
          <w:rFonts w:ascii="Times New Roman" w:hAnsi="Times New Roman" w:cs="Times New Roman"/>
        </w:rPr>
        <w:t>spouse</w:t>
      </w:r>
      <w:proofErr w:type="gramEnd"/>
      <w:r w:rsidRPr="009927D9">
        <w:rPr>
          <w:rFonts w:ascii="Times New Roman" w:hAnsi="Times New Roman" w:cs="Times New Roman"/>
        </w:rPr>
        <w:t xml:space="preserve"> or legal representative.</w:t>
      </w:r>
    </w:p>
    <w:p w:rsidRPr="009927D9" w:rsidR="00F13958" w:rsidP="009927D9" w:rsidRDefault="00F13958" w14:paraId="193C9F5C" w14:textId="77777777">
      <w:pPr>
        <w:pStyle w:val="JuQuot"/>
        <w:rPr>
          <w:rFonts w:ascii="Times New Roman" w:hAnsi="Times New Roman" w:cs="Times New Roman"/>
        </w:rPr>
      </w:pPr>
      <w:r w:rsidRPr="009927D9">
        <w:rPr>
          <w:rFonts w:ascii="Times New Roman" w:hAnsi="Times New Roman" w:cs="Times New Roman"/>
        </w:rPr>
        <w:t xml:space="preserve">2.  Copies of civil status records and certificates confirming entries in civil status </w:t>
      </w:r>
      <w:proofErr w:type="gramStart"/>
      <w:r w:rsidRPr="009927D9">
        <w:rPr>
          <w:rFonts w:ascii="Times New Roman" w:hAnsi="Times New Roman" w:cs="Times New Roman"/>
        </w:rPr>
        <w:t>records</w:t>
      </w:r>
      <w:proofErr w:type="gramEnd"/>
      <w:r w:rsidRPr="009927D9">
        <w:rPr>
          <w:rFonts w:ascii="Times New Roman" w:hAnsi="Times New Roman" w:cs="Times New Roman"/>
        </w:rPr>
        <w:t xml:space="preserve"> or the lack thereof may also be issued at the request of persons other than those specified in subsection 1 who demonstrate a legal interest therein, and at the request of a social organisation, if justified by the statutory aims of that organisation and if in the public interest. A certificate of loss or destruction of a civil status record may also be issued at the request of other interested persons.”</w:t>
      </w:r>
    </w:p>
    <w:bookmarkStart w:name="Everyday_situations" w:id="13"/>
    <w:p w:rsidRPr="009927D9" w:rsidR="00F13958" w:rsidP="009927D9" w:rsidRDefault="00F13958" w14:paraId="45BA3DBA" w14:textId="0597AF03">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26</w:t>
      </w:r>
      <w:r w:rsidRPr="009927D9">
        <w:fldChar w:fldCharType="end"/>
      </w:r>
      <w:bookmarkEnd w:id="13"/>
      <w:r w:rsidRPr="009927D9">
        <w:t xml:space="preserve">.  In </w:t>
      </w:r>
      <w:proofErr w:type="gramStart"/>
      <w:r w:rsidRPr="009927D9">
        <w:t>the majority of</w:t>
      </w:r>
      <w:proofErr w:type="gramEnd"/>
      <w:r w:rsidRPr="009927D9">
        <w:t xml:space="preserve"> official situations, only a short extract of the birth certificate is required (for example when concluding a civil marriage, obtaining a death certificate or applying for an identity document or passport). A full copy of the birth certificate is required, for example, in the adoption process, when applying for another nationality or to change a name or surname, in complex inheritance cases or in criminal proceedings if the court has doubts as to previous convictions.</w:t>
      </w:r>
    </w:p>
    <w:bookmarkStart w:name="Everyday_situations2" w:id="14"/>
    <w:p w:rsidRPr="009927D9" w:rsidR="00F13958" w:rsidP="009927D9" w:rsidRDefault="00F13958" w14:paraId="14DECFFB" w14:textId="4C72DAD6">
      <w:pPr>
        <w:pStyle w:val="JuPara"/>
        <w:rPr>
          <w:b/>
          <w:bCs/>
        </w:rPr>
      </w:pPr>
      <w:r w:rsidRPr="009927D9">
        <w:fldChar w:fldCharType="begin"/>
      </w:r>
      <w:r w:rsidRPr="009927D9">
        <w:instrText xml:space="preserve"> SEQ level0 \*arabic \* MERGEFORMAT </w:instrText>
      </w:r>
      <w:r w:rsidRPr="009927D9">
        <w:fldChar w:fldCharType="separate"/>
      </w:r>
      <w:r w:rsidRPr="009927D9" w:rsidR="009927D9">
        <w:rPr>
          <w:noProof/>
        </w:rPr>
        <w:t>27</w:t>
      </w:r>
      <w:r w:rsidRPr="009927D9">
        <w:fldChar w:fldCharType="end"/>
      </w:r>
      <w:bookmarkEnd w:id="14"/>
      <w:r w:rsidRPr="009927D9">
        <w:t>.  After the annotation is made to the birth certificate, the person concerned may apply for a new personal registration number (PESEL) and new identity documents.</w:t>
      </w:r>
    </w:p>
    <w:p w:rsidRPr="009927D9" w:rsidR="00F13958" w:rsidP="009927D9" w:rsidRDefault="00F13958" w14:paraId="42DD87A1" w14:textId="77777777">
      <w:pPr>
        <w:pStyle w:val="JuH1"/>
      </w:pPr>
      <w:r w:rsidRPr="009927D9">
        <w:t>Adoption and civil status records</w:t>
      </w:r>
    </w:p>
    <w:bookmarkStart w:name="Section48_49_adoption" w:id="15"/>
    <w:p w:rsidRPr="009927D9" w:rsidR="00F13958" w:rsidP="009927D9" w:rsidRDefault="00F13958" w14:paraId="47A91536" w14:textId="57F46F24">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28</w:t>
      </w:r>
      <w:r w:rsidRPr="009927D9">
        <w:fldChar w:fldCharType="end"/>
      </w:r>
      <w:bookmarkEnd w:id="15"/>
      <w:r w:rsidRPr="009927D9">
        <w:t>.  The relevant provisions relating to the issuing of new birth certificates in the event of adoption read as follows:</w:t>
      </w:r>
    </w:p>
    <w:p w:rsidRPr="009927D9" w:rsidR="00F13958" w:rsidP="009927D9" w:rsidRDefault="00F13958" w14:paraId="3C9F9DC5" w14:textId="77777777">
      <w:pPr>
        <w:pStyle w:val="JuHArticle"/>
      </w:pPr>
      <w:r w:rsidRPr="009927D9">
        <w:t>Section 48</w:t>
      </w:r>
    </w:p>
    <w:p w:rsidRPr="009927D9" w:rsidR="00F13958" w:rsidP="009927D9" w:rsidRDefault="00F13958" w14:paraId="527470A6" w14:textId="77777777">
      <w:pPr>
        <w:pStyle w:val="JuQuot"/>
      </w:pPr>
      <w:r w:rsidRPr="009927D9">
        <w:t>“1   In the event of a decision on adoption to which the parents of the child have consented before a guardianship court without naming the adopter [</w:t>
      </w:r>
      <w:proofErr w:type="spellStart"/>
      <w:r w:rsidRPr="009927D9">
        <w:rPr>
          <w:i/>
          <w:iCs/>
        </w:rPr>
        <w:t>adoptio</w:t>
      </w:r>
      <w:proofErr w:type="spellEnd"/>
      <w:r w:rsidRPr="009927D9">
        <w:rPr>
          <w:i/>
          <w:iCs/>
        </w:rPr>
        <w:t xml:space="preserve"> </w:t>
      </w:r>
      <w:proofErr w:type="spellStart"/>
      <w:r w:rsidRPr="009927D9">
        <w:rPr>
          <w:i/>
          <w:iCs/>
        </w:rPr>
        <w:t>plenissima</w:t>
      </w:r>
      <w:proofErr w:type="spellEnd"/>
      <w:r w:rsidRPr="009927D9">
        <w:t>], a new birth certificate shall be drawn up for the adoptee; in this certificate the adopters shall be entered as parents.</w:t>
      </w:r>
    </w:p>
    <w:p w:rsidRPr="009927D9" w:rsidR="00F13958" w:rsidP="009927D9" w:rsidRDefault="00F13958" w14:paraId="5812613A" w14:textId="77777777">
      <w:pPr>
        <w:pStyle w:val="JuQuot"/>
      </w:pPr>
      <w:r w:rsidRPr="009927D9">
        <w:t>...</w:t>
      </w:r>
    </w:p>
    <w:p w:rsidRPr="009927D9" w:rsidR="00F13958" w:rsidP="009927D9" w:rsidRDefault="00F13958" w14:paraId="5428CE81" w14:textId="77777777">
      <w:pPr>
        <w:pStyle w:val="JuQuot"/>
      </w:pPr>
      <w:r w:rsidRPr="009927D9">
        <w:t>3.</w:t>
      </w:r>
      <w:bookmarkStart w:name="_Hlk84327611" w:id="16"/>
      <w:r w:rsidRPr="009927D9">
        <w:t>  Upon the drawing up of a new birth certificate, an additional annotation shall be recorded in the existing birth certificate of the adopte</w:t>
      </w:r>
      <w:bookmarkEnd w:id="16"/>
      <w:r w:rsidRPr="009927D9">
        <w:t>e; the existing birth certificate of the adoptee shall not be disclosed and no copies of it shall be issued, unless requested by the court in connection with a case in which it deems it necessary.</w:t>
      </w:r>
    </w:p>
    <w:p w:rsidRPr="009927D9" w:rsidR="00F13958" w:rsidP="009927D9" w:rsidRDefault="00F13958" w14:paraId="3C86FBF0" w14:textId="77777777">
      <w:pPr>
        <w:pStyle w:val="JuQuot"/>
      </w:pPr>
      <w:r w:rsidRPr="009927D9">
        <w:t>4.  Once the adoptee has reached the age of majority, he or she may request access to the part of the civil status record relating to the existing birth record.”</w:t>
      </w:r>
    </w:p>
    <w:p w:rsidRPr="009927D9" w:rsidR="00F13958" w:rsidP="009927D9" w:rsidRDefault="00F13958" w14:paraId="217BEE32" w14:textId="77777777">
      <w:pPr>
        <w:pStyle w:val="JuHArticle"/>
      </w:pPr>
      <w:r w:rsidRPr="009927D9">
        <w:t>Section 49</w:t>
      </w:r>
    </w:p>
    <w:p w:rsidRPr="009927D9" w:rsidR="00F13958" w:rsidP="009927D9" w:rsidRDefault="00F13958" w14:paraId="2A6DBCFF" w14:textId="77777777">
      <w:pPr>
        <w:pStyle w:val="JuQuot"/>
      </w:pPr>
      <w:r w:rsidRPr="009927D9">
        <w:t>“1.  In the event of a decision on adoption in the manner specified in Article 121 of the Family and Custody Code [</w:t>
      </w:r>
      <w:proofErr w:type="spellStart"/>
      <w:r w:rsidRPr="009927D9">
        <w:rPr>
          <w:i/>
          <w:iCs/>
        </w:rPr>
        <w:t>adoptio</w:t>
      </w:r>
      <w:proofErr w:type="spellEnd"/>
      <w:r w:rsidRPr="009927D9">
        <w:rPr>
          <w:i/>
          <w:iCs/>
        </w:rPr>
        <w:t xml:space="preserve"> plena</w:t>
      </w:r>
      <w:r w:rsidRPr="009927D9">
        <w:t>], a new birth certificate may be drawn up for the adoptee, in which the adopters shall be entered as parents, if the guardianship court has so decided. The provisions of [section] 47(2) to (5) shall apply accordingly.</w:t>
      </w:r>
    </w:p>
    <w:p w:rsidRPr="009927D9" w:rsidR="00F13958" w:rsidP="009927D9" w:rsidRDefault="00F13958" w14:paraId="4EF84B64" w14:textId="77777777">
      <w:pPr>
        <w:pStyle w:val="JuQuot"/>
      </w:pPr>
      <w:r w:rsidRPr="009927D9">
        <w:t>1a.  The guardianship court shall rule on the drawing up of a new birth certificate at the request of the adopter, with the consent of the adoptee [if he or she] has reached the age of thirteen, or at the request of the adoptee with the consent of the adopter. The provisions of Article 118 § 2 and 3 of the Family and Custody Code shall apply accordingly.</w:t>
      </w:r>
    </w:p>
    <w:p w:rsidRPr="009927D9" w:rsidR="00F13958" w:rsidP="009927D9" w:rsidRDefault="00F13958" w14:paraId="2671237B" w14:textId="77777777">
      <w:pPr>
        <w:pStyle w:val="JuQuot"/>
      </w:pPr>
      <w:r w:rsidRPr="009927D9">
        <w:t xml:space="preserve">2.  Upon the drawing up of a new birth certificate, an additional annotation shall be recorded in the existing birth certificate of the adoptee; the existing birth certificate of the adoptee shall not be disclosed and no copies of it shall be issued, unless requested by the court in connection with establishing the origin of the adoptee, </w:t>
      </w:r>
      <w:proofErr w:type="gramStart"/>
      <w:r w:rsidRPr="009927D9">
        <w:t>recognition</w:t>
      </w:r>
      <w:proofErr w:type="gramEnd"/>
      <w:r w:rsidRPr="009927D9">
        <w:t xml:space="preserve"> or termination of the adoption relationship, or in connection with other matters in which the court deems it necessary.</w:t>
      </w:r>
    </w:p>
    <w:p w:rsidRPr="009927D9" w:rsidR="00F13958" w:rsidP="009927D9" w:rsidRDefault="00F13958" w14:paraId="5D6AEB97" w14:textId="77777777">
      <w:pPr>
        <w:pStyle w:val="JuQuot"/>
      </w:pPr>
      <w:r w:rsidRPr="009927D9">
        <w:t>2a.  Once the adoptee has reached the age of majority, he or she may request access to the part of the civil status record relating to the existing birth record.</w:t>
      </w:r>
    </w:p>
    <w:p w:rsidRPr="009927D9" w:rsidR="00F13958" w:rsidP="009927D9" w:rsidRDefault="00F13958" w14:paraId="69DCEBC0" w14:textId="07F6B91A">
      <w:pPr>
        <w:pStyle w:val="JuQuot"/>
      </w:pPr>
      <w:r w:rsidRPr="009927D9">
        <w:t>3.  In the event of termination of the adoption relationship, the adoptee</w:t>
      </w:r>
      <w:r w:rsidRPr="009927D9" w:rsidR="009927D9">
        <w:t>’</w:t>
      </w:r>
      <w:r w:rsidRPr="009927D9">
        <w:t>s new birth certificate shall be invalidated by the court in non-contentious proceedings; the additional reference to the drawing up of the new birth certificate entered in the adoptee</w:t>
      </w:r>
      <w:r w:rsidRPr="009927D9" w:rsidR="009927D9">
        <w:t>’</w:t>
      </w:r>
      <w:r w:rsidRPr="009927D9">
        <w:t>s existing birth certificate shall also be invalidated.”</w:t>
      </w:r>
    </w:p>
    <w:p w:rsidRPr="009927D9" w:rsidR="00F13958" w:rsidP="009927D9" w:rsidRDefault="00F13958" w14:paraId="5B4D142B" w14:textId="77777777">
      <w:pPr>
        <w:pStyle w:val="JuH1"/>
      </w:pPr>
      <w:r w:rsidRPr="009927D9">
        <w:t>The 2014 Act</w:t>
      </w:r>
    </w:p>
    <w:p w:rsidRPr="009927D9" w:rsidR="00F13958" w:rsidP="009927D9" w:rsidRDefault="00DE6F01" w14:paraId="370B9348" w14:textId="0E7BDBE7">
      <w:pPr>
        <w:pStyle w:val="JuPara"/>
      </w:pPr>
      <w:fldSimple w:instr=" SEQ level0 \*arabic \* MERGEFORMAT ">
        <w:r w:rsidRPr="009927D9" w:rsidR="009927D9">
          <w:rPr>
            <w:noProof/>
          </w:rPr>
          <w:t>29</w:t>
        </w:r>
      </w:fldSimple>
      <w:r w:rsidRPr="009927D9" w:rsidR="00F13958">
        <w:t>.  On 1 March 2015 the new Act on Civil Status Records of 28 November 2014 (“the 2014 Act”) entered into force. It contains similar provisions as regards the issuing of copies and amendment of birth certificates (sections 44(1) to (3), 45(1) and 48(1)) and the drawing up of new birth certificates in the event of adoption (sections 71 and 73).</w:t>
      </w:r>
    </w:p>
    <w:p w:rsidRPr="009927D9" w:rsidR="00F13958" w:rsidP="009927D9" w:rsidRDefault="00F13958" w14:paraId="521E0CF1" w14:textId="539B1959">
      <w:pPr>
        <w:pStyle w:val="JuHA"/>
      </w:pPr>
      <w:r w:rsidRPr="009927D9">
        <w:t>Supreme Court</w:t>
      </w:r>
      <w:r w:rsidRPr="009927D9" w:rsidR="009927D9">
        <w:t>’</w:t>
      </w:r>
      <w:r w:rsidRPr="009927D9">
        <w:t>s case-law</w:t>
      </w:r>
    </w:p>
    <w:p w:rsidRPr="009927D9" w:rsidR="00F13958" w:rsidP="009927D9" w:rsidRDefault="00F13958" w14:paraId="65E366F2" w14:textId="77777777">
      <w:pPr>
        <w:pStyle w:val="JuH1"/>
      </w:pPr>
      <w:r w:rsidRPr="009927D9">
        <w:t>Decision of 22 March 1991</w:t>
      </w:r>
    </w:p>
    <w:bookmarkStart w:name="SC_22031991" w:id="17"/>
    <w:p w:rsidRPr="009927D9" w:rsidR="00F13958" w:rsidP="009927D9" w:rsidRDefault="00F13958" w14:paraId="5FF1333F" w14:textId="4682BA22">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30</w:t>
      </w:r>
      <w:r w:rsidRPr="009927D9">
        <w:fldChar w:fldCharType="end"/>
      </w:r>
      <w:bookmarkEnd w:id="17"/>
      <w:r w:rsidRPr="009927D9">
        <w:t>.  The Supreme Court</w:t>
      </w:r>
      <w:r w:rsidRPr="009927D9" w:rsidR="009927D9">
        <w:t>’</w:t>
      </w:r>
      <w:r w:rsidRPr="009927D9">
        <w:t>s decision (</w:t>
      </w:r>
      <w:proofErr w:type="spellStart"/>
      <w:r w:rsidRPr="009927D9">
        <w:rPr>
          <w:i/>
          <w:iCs/>
        </w:rPr>
        <w:t>postanowienie</w:t>
      </w:r>
      <w:proofErr w:type="spellEnd"/>
      <w:r w:rsidRPr="009927D9">
        <w:t>) of 22 March 1991, given in case no. III CRN 28/91, includes guidelines on the procedures for the legal recognition of persons who have undergone gender reassignment surgery. The Supreme Court found that recognition of gender reassignment (made by means of a declaratory judgment) did not have retroactive effect and, as such, could not lead to rectification (</w:t>
      </w:r>
      <w:proofErr w:type="spellStart"/>
      <w:r w:rsidRPr="009927D9">
        <w:rPr>
          <w:i/>
          <w:iCs/>
        </w:rPr>
        <w:t>sprostowanie</w:t>
      </w:r>
      <w:proofErr w:type="spellEnd"/>
      <w:r w:rsidRPr="009927D9">
        <w:t>) of a person</w:t>
      </w:r>
      <w:r w:rsidRPr="009927D9" w:rsidR="009927D9">
        <w:t>’</w:t>
      </w:r>
      <w:r w:rsidRPr="009927D9">
        <w:t>s civil status record. However, a final judgment recognising sex reassignment could serve as a basis for making an additional entry (</w:t>
      </w:r>
      <w:proofErr w:type="spellStart"/>
      <w:r w:rsidRPr="009927D9">
        <w:rPr>
          <w:i/>
          <w:iCs/>
        </w:rPr>
        <w:t>wpis</w:t>
      </w:r>
      <w:proofErr w:type="spellEnd"/>
      <w:r w:rsidRPr="009927D9">
        <w:rPr>
          <w:i/>
          <w:iCs/>
        </w:rPr>
        <w:t xml:space="preserve"> </w:t>
      </w:r>
      <w:proofErr w:type="spellStart"/>
      <w:r w:rsidRPr="009927D9">
        <w:rPr>
          <w:i/>
          <w:iCs/>
        </w:rPr>
        <w:t>dodatkowy</w:t>
      </w:r>
      <w:proofErr w:type="spellEnd"/>
      <w:r w:rsidRPr="009927D9">
        <w:t>) in the civil status register.</w:t>
      </w:r>
    </w:p>
    <w:p w:rsidRPr="009927D9" w:rsidR="00F13958" w:rsidP="009927D9" w:rsidRDefault="00F13958" w14:paraId="4347CFDA" w14:textId="77777777">
      <w:pPr>
        <w:pStyle w:val="JuH1"/>
      </w:pPr>
      <w:r w:rsidRPr="009927D9">
        <w:t>Resolution of 22 September 1995</w:t>
      </w:r>
    </w:p>
    <w:bookmarkStart w:name="SC_22091995" w:id="18"/>
    <w:p w:rsidRPr="009927D9" w:rsidR="00F13958" w:rsidP="009927D9" w:rsidRDefault="00F13958" w14:paraId="34FDC17A" w14:textId="340CC1C2">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31</w:t>
      </w:r>
      <w:r w:rsidRPr="009927D9">
        <w:fldChar w:fldCharType="end"/>
      </w:r>
      <w:bookmarkEnd w:id="18"/>
      <w:r w:rsidRPr="009927D9">
        <w:t>.  On 22 September 1995 the Supreme Court issued a resolution (III</w:t>
      </w:r>
      <w:r w:rsidRPr="009927D9" w:rsidR="00A3663E">
        <w:t> </w:t>
      </w:r>
      <w:r w:rsidRPr="009927D9">
        <w:t>CZP</w:t>
      </w:r>
      <w:r w:rsidRPr="009927D9" w:rsidR="00A3663E">
        <w:t> </w:t>
      </w:r>
      <w:r w:rsidRPr="009927D9">
        <w:t>118/95) confirming that it was possible to lodge a claim under Article 189 of the CCP to recognise the sexual identity of a transgender person. In such cases, the parents of the person requesting gender reassignment should be defendants. If the parents were dead or their whereabouts unknown, the court should appoint a guardian.</w:t>
      </w:r>
    </w:p>
    <w:p w:rsidRPr="009927D9" w:rsidR="00F13958" w:rsidP="009927D9" w:rsidRDefault="00DE6F01" w14:paraId="05F432A6" w14:textId="3E89EAD9">
      <w:pPr>
        <w:pStyle w:val="JuPara"/>
      </w:pPr>
      <w:fldSimple w:instr=" SEQ level0 \*arabic \* MERGEFORMAT ">
        <w:r w:rsidRPr="009927D9" w:rsidR="009927D9">
          <w:rPr>
            <w:noProof/>
          </w:rPr>
          <w:t>32</w:t>
        </w:r>
      </w:fldSimple>
      <w:r w:rsidRPr="009927D9" w:rsidR="00F13958">
        <w:t xml:space="preserve">.  This reasoning was subsequently confirmed in </w:t>
      </w:r>
      <w:proofErr w:type="gramStart"/>
      <w:r w:rsidRPr="009927D9" w:rsidR="00F13958">
        <w:t>a number of</w:t>
      </w:r>
      <w:proofErr w:type="gramEnd"/>
      <w:r w:rsidRPr="009927D9" w:rsidR="00F13958">
        <w:t xml:space="preserve"> the Supreme Court</w:t>
      </w:r>
      <w:r w:rsidRPr="009927D9" w:rsidR="009927D9">
        <w:t>’</w:t>
      </w:r>
      <w:r w:rsidRPr="009927D9" w:rsidR="00F13958">
        <w:t>s judgments.</w:t>
      </w:r>
    </w:p>
    <w:p w:rsidRPr="009927D9" w:rsidR="00F13958" w:rsidP="009927D9" w:rsidRDefault="00F13958" w14:paraId="0447CF2B" w14:textId="77777777">
      <w:pPr>
        <w:pStyle w:val="JuHA"/>
      </w:pPr>
      <w:r w:rsidRPr="009927D9">
        <w:t>Legislative initiatives</w:t>
      </w:r>
    </w:p>
    <w:bookmarkStart w:name="Bill_on_gender_2015" w:id="19"/>
    <w:p w:rsidRPr="009927D9" w:rsidR="00F13958" w:rsidP="009927D9" w:rsidRDefault="00F13958" w14:paraId="51E35553" w14:textId="3C8E1874">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33</w:t>
      </w:r>
      <w:r w:rsidRPr="009927D9">
        <w:fldChar w:fldCharType="end"/>
      </w:r>
      <w:bookmarkEnd w:id="19"/>
      <w:r w:rsidRPr="009927D9">
        <w:t>.  On 23 July 2015 Parliament passed the Gender Recognition Bill (</w:t>
      </w:r>
      <w:proofErr w:type="spellStart"/>
      <w:r w:rsidRPr="009927D9">
        <w:rPr>
          <w:i/>
          <w:iCs/>
        </w:rPr>
        <w:t>Ustawa</w:t>
      </w:r>
      <w:proofErr w:type="spellEnd"/>
      <w:r w:rsidRPr="009927D9">
        <w:rPr>
          <w:i/>
          <w:iCs/>
        </w:rPr>
        <w:t xml:space="preserve"> o </w:t>
      </w:r>
      <w:proofErr w:type="spellStart"/>
      <w:r w:rsidRPr="009927D9">
        <w:rPr>
          <w:i/>
          <w:iCs/>
        </w:rPr>
        <w:t>uzgodnieniu</w:t>
      </w:r>
      <w:proofErr w:type="spellEnd"/>
      <w:r w:rsidRPr="009927D9">
        <w:rPr>
          <w:i/>
          <w:iCs/>
        </w:rPr>
        <w:t xml:space="preserve"> </w:t>
      </w:r>
      <w:proofErr w:type="spellStart"/>
      <w:r w:rsidRPr="009927D9">
        <w:rPr>
          <w:i/>
          <w:iCs/>
        </w:rPr>
        <w:t>płci</w:t>
      </w:r>
      <w:proofErr w:type="spellEnd"/>
      <w:r w:rsidRPr="009927D9">
        <w:t>). However, in October 2015 it was vetoed by the President. It had been designed to facilitate the process of gender recognition.</w:t>
      </w:r>
    </w:p>
    <w:p w:rsidRPr="009927D9" w:rsidR="00F13958" w:rsidP="009927D9" w:rsidRDefault="00F13958" w14:paraId="194D2D8B" w14:textId="77777777">
      <w:pPr>
        <w:pStyle w:val="JuHIRoman"/>
      </w:pPr>
      <w:r w:rsidRPr="009927D9">
        <w:t xml:space="preserve"> International material</w:t>
      </w:r>
    </w:p>
    <w:p w:rsidRPr="009927D9" w:rsidR="00F13958" w:rsidP="009927D9" w:rsidRDefault="00F13958" w14:paraId="40D8DF8C" w14:textId="77777777">
      <w:pPr>
        <w:pStyle w:val="JuHA"/>
      </w:pPr>
      <w:r w:rsidRPr="009927D9">
        <w:t>Commissioner for Human Rights of the Council of Europe</w:t>
      </w:r>
    </w:p>
    <w:p w:rsidRPr="009927D9" w:rsidR="00F13958" w:rsidP="009927D9" w:rsidRDefault="00DE6F01" w14:paraId="7A5087E4" w14:textId="75D6A075">
      <w:pPr>
        <w:pStyle w:val="JuPara"/>
      </w:pPr>
      <w:fldSimple w:instr=" SEQ level0 \*arabic \* MERGEFORMAT ">
        <w:r w:rsidRPr="009927D9" w:rsidR="009927D9">
          <w:rPr>
            <w:noProof/>
          </w:rPr>
          <w:t>34</w:t>
        </w:r>
      </w:fldSimple>
      <w:r w:rsidRPr="009927D9" w:rsidR="00F13958">
        <w:t>. </w:t>
      </w:r>
      <w:r w:rsidRPr="009927D9" w:rsidR="000576EA">
        <w:t> </w:t>
      </w:r>
      <w:r w:rsidRPr="009927D9" w:rsidR="00F13958">
        <w:t>On 31 August 2010 the Commissioner for Human Rights of the Council of Europe published a Human Rights Comment entitled “Forced divorce and sterilisation – a reality for many transgender persons”, in which he stated</w:t>
      </w:r>
      <w:proofErr w:type="gramStart"/>
      <w:r w:rsidRPr="009927D9" w:rsidR="00F13958">
        <w:t>, in particular, as</w:t>
      </w:r>
      <w:proofErr w:type="gramEnd"/>
      <w:r w:rsidRPr="009927D9" w:rsidR="00F13958">
        <w:t xml:space="preserve"> follows:</w:t>
      </w:r>
    </w:p>
    <w:p w:rsidRPr="009927D9" w:rsidR="00F13958" w:rsidP="009927D9" w:rsidRDefault="00F13958" w14:paraId="2FF3940A" w14:textId="77777777">
      <w:pPr>
        <w:pStyle w:val="JuQuot"/>
      </w:pPr>
      <w:r w:rsidRPr="009927D9">
        <w:t>“All countries need to develop expeditious and transparent procedures for changing the name and gender of a transgender person on official documents, in accordance with the case-law of the European Court of Human Rights.</w:t>
      </w:r>
    </w:p>
    <w:p w:rsidRPr="009927D9" w:rsidR="00F13958" w:rsidP="009927D9" w:rsidRDefault="00F13958" w14:paraId="64BD349C" w14:textId="3A8EE1EA">
      <w:pPr>
        <w:pStyle w:val="JuQuot"/>
      </w:pPr>
      <w:r w:rsidRPr="009927D9">
        <w:t xml:space="preserve">In 2002, in </w:t>
      </w:r>
      <w:r w:rsidRPr="009927D9">
        <w:rPr>
          <w:i/>
          <w:iCs/>
        </w:rPr>
        <w:t>Goodwin v UK</w:t>
      </w:r>
      <w:r w:rsidRPr="009927D9">
        <w:t>, the Strasbourg Court</w:t>
      </w:r>
      <w:r w:rsidRPr="009927D9" w:rsidR="009927D9">
        <w:t>’</w:t>
      </w:r>
      <w:r w:rsidRPr="009927D9">
        <w:t>s Grand Chamber stressed that in the twenty first century the rights of transgender persons should be effectively protected by states. They should have the same right to personal development and to physical and moral security enjoyed by others in society. ...”</w:t>
      </w:r>
    </w:p>
    <w:p w:rsidRPr="009927D9" w:rsidR="00F13958" w:rsidP="009927D9" w:rsidRDefault="00F13958" w14:paraId="49982CF9" w14:textId="77777777">
      <w:pPr>
        <w:pStyle w:val="JuHA"/>
      </w:pPr>
      <w:r w:rsidRPr="009927D9">
        <w:t>Committee of Ministers of the Council of Europe</w:t>
      </w:r>
    </w:p>
    <w:bookmarkStart w:name="Reccomendation2010_CM" w:id="20"/>
    <w:p w:rsidRPr="009927D9" w:rsidR="00F13958" w:rsidP="009927D9" w:rsidRDefault="00F13958" w14:paraId="6E02204D" w14:textId="729ADDA0">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35</w:t>
      </w:r>
      <w:r w:rsidRPr="009927D9">
        <w:fldChar w:fldCharType="end"/>
      </w:r>
      <w:bookmarkEnd w:id="20"/>
      <w:r w:rsidRPr="009927D9">
        <w:t>.  On 31 March 2010 the Committee of Ministers of the Council of Europe adopted Recommendation CM/</w:t>
      </w:r>
      <w:proofErr w:type="gramStart"/>
      <w:r w:rsidRPr="009927D9">
        <w:t>Rec(</w:t>
      </w:r>
      <w:proofErr w:type="gramEnd"/>
      <w:r w:rsidRPr="009927D9">
        <w:t>2010)5 on measures to combat discrimination on grounds of sexual orientation or gender identity. Paragraph 21 states that:</w:t>
      </w:r>
    </w:p>
    <w:p w:rsidRPr="009927D9" w:rsidR="00F13958" w:rsidP="009927D9" w:rsidRDefault="00F13958" w14:paraId="629E0DA0" w14:textId="6ACE61D5">
      <w:pPr>
        <w:pStyle w:val="JuQuot"/>
      </w:pPr>
      <w:r w:rsidRPr="009927D9">
        <w:t>“[m]ember [S]</w:t>
      </w:r>
      <w:proofErr w:type="spellStart"/>
      <w:r w:rsidRPr="009927D9">
        <w:t>tates</w:t>
      </w:r>
      <w:proofErr w:type="spellEnd"/>
      <w:r w:rsidRPr="009927D9">
        <w:t xml:space="preserve"> should take appropriate measures to guarantee the full legal recognition of a person</w:t>
      </w:r>
      <w:r w:rsidRPr="009927D9" w:rsidR="009927D9">
        <w:t>’</w:t>
      </w:r>
      <w:r w:rsidRPr="009927D9">
        <w:t>s gender reassignment in all areas of life, in particular by making possible the change of name and gender in official documents in a quick, transparent and accessible way; member [S]</w:t>
      </w:r>
      <w:proofErr w:type="spellStart"/>
      <w:r w:rsidRPr="009927D9">
        <w:t>tates</w:t>
      </w:r>
      <w:proofErr w:type="spellEnd"/>
      <w:r w:rsidRPr="009927D9">
        <w:t xml:space="preserve"> should also ensure, where appropriate, the corresponding recognition and changes by non-state actors with respect to key documents, such as educational or work certificates.”</w:t>
      </w:r>
    </w:p>
    <w:p w:rsidRPr="009927D9" w:rsidR="00F13958" w:rsidP="009927D9" w:rsidRDefault="00F13958" w14:paraId="647DA371" w14:textId="77777777">
      <w:pPr>
        <w:pStyle w:val="JuHA"/>
      </w:pPr>
      <w:r w:rsidRPr="009927D9">
        <w:t>Parliamentary Assembly of the Council of Europe</w:t>
      </w:r>
    </w:p>
    <w:bookmarkStart w:name="PAce_2015" w:id="21"/>
    <w:p w:rsidRPr="009927D9" w:rsidR="00F13958" w:rsidP="009927D9" w:rsidRDefault="00F13958" w14:paraId="42F40A9B" w14:textId="3EDB6C36">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36</w:t>
      </w:r>
      <w:r w:rsidRPr="009927D9">
        <w:fldChar w:fldCharType="end"/>
      </w:r>
      <w:bookmarkEnd w:id="21"/>
      <w:r w:rsidRPr="009927D9">
        <w:t>.  On 22 April 2015 the Parliamentary Assembly of the Council of Europe (PACE) adopted Resolution 2048 (2015) entitled “Discrimination against transgender people in Europe”. The member States were called upon</w:t>
      </w:r>
      <w:proofErr w:type="gramStart"/>
      <w:r w:rsidRPr="009927D9">
        <w:t>, in particular, to</w:t>
      </w:r>
      <w:proofErr w:type="gramEnd"/>
      <w:r w:rsidRPr="009927D9">
        <w:t>:</w:t>
      </w:r>
    </w:p>
    <w:p w:rsidRPr="009927D9" w:rsidR="00F13958" w:rsidP="009927D9" w:rsidRDefault="00F13958" w14:paraId="2747AD02" w14:textId="77777777">
      <w:pPr>
        <w:pStyle w:val="JuQuot"/>
      </w:pPr>
      <w:r w:rsidRPr="009927D9">
        <w:t>“</w:t>
      </w:r>
      <w:proofErr w:type="gramStart"/>
      <w:r w:rsidRPr="009927D9">
        <w:t>6.2.1  develop</w:t>
      </w:r>
      <w:proofErr w:type="gramEnd"/>
      <w:r w:rsidRPr="009927D9">
        <w:t xml:space="preserve"> quick, transparent and accessible procedures, based on self</w:t>
      </w:r>
      <w:r w:rsidRPr="009927D9">
        <w:noBreakHyphen/>
        <w:t>determination, for changing the name and registered sex of transgender people on birth certificates, identity cards, passports, educational certificates and other similar documents; make these procedures available for all people who seek to use them, irrespective of age, medical status, financial situation or police record;”</w:t>
      </w:r>
    </w:p>
    <w:p w:rsidRPr="009927D9" w:rsidR="00F13958" w:rsidP="009927D9" w:rsidRDefault="00F13958" w14:paraId="03C4F142" w14:textId="77777777">
      <w:pPr>
        <w:pStyle w:val="JuHHead"/>
      </w:pPr>
      <w:r w:rsidRPr="009927D9">
        <w:t>THE LAW</w:t>
      </w:r>
    </w:p>
    <w:p w:rsidRPr="009927D9" w:rsidR="00F13958" w:rsidP="009927D9" w:rsidRDefault="00F13958" w14:paraId="3568280D" w14:textId="77777777">
      <w:pPr>
        <w:pStyle w:val="JuHIRoman"/>
      </w:pPr>
      <w:r w:rsidRPr="009927D9">
        <w:t>Preliminary objections</w:t>
      </w:r>
    </w:p>
    <w:p w:rsidRPr="009927D9" w:rsidR="00F13958" w:rsidP="009927D9" w:rsidRDefault="00DE6F01" w14:paraId="77D5419A" w14:textId="4847A3BA">
      <w:pPr>
        <w:pStyle w:val="JuPara"/>
      </w:pPr>
      <w:fldSimple w:instr=" SEQ level0 \*arabic \* MERGEFORMAT ">
        <w:r w:rsidRPr="009927D9" w:rsidR="009927D9">
          <w:rPr>
            <w:noProof/>
          </w:rPr>
          <w:t>37</w:t>
        </w:r>
      </w:fldSimple>
      <w:r w:rsidRPr="009927D9" w:rsidR="00F13958">
        <w:t xml:space="preserve">.  The Government made several preliminary objections. They argued that the application was incompatible </w:t>
      </w:r>
      <w:proofErr w:type="spellStart"/>
      <w:r w:rsidRPr="009927D9" w:rsidR="00F13958">
        <w:rPr>
          <w:i/>
          <w:iCs/>
        </w:rPr>
        <w:t>ratione</w:t>
      </w:r>
      <w:proofErr w:type="spellEnd"/>
      <w:r w:rsidRPr="009927D9" w:rsidR="00F13958">
        <w:rPr>
          <w:i/>
          <w:iCs/>
        </w:rPr>
        <w:t xml:space="preserve"> personae</w:t>
      </w:r>
      <w:r w:rsidRPr="009927D9" w:rsidR="00F13958">
        <w:t xml:space="preserve">, </w:t>
      </w:r>
      <w:proofErr w:type="spellStart"/>
      <w:r w:rsidRPr="009927D9" w:rsidR="00F13958">
        <w:rPr>
          <w:i/>
          <w:iCs/>
        </w:rPr>
        <w:t>ratione</w:t>
      </w:r>
      <w:proofErr w:type="spellEnd"/>
      <w:r w:rsidRPr="009927D9" w:rsidR="00F13958">
        <w:rPr>
          <w:i/>
          <w:iCs/>
        </w:rPr>
        <w:t xml:space="preserve"> loci</w:t>
      </w:r>
      <w:r w:rsidRPr="009927D9" w:rsidR="00F13958">
        <w:t xml:space="preserve"> and </w:t>
      </w:r>
      <w:proofErr w:type="spellStart"/>
      <w:r w:rsidRPr="009927D9" w:rsidR="00F13958">
        <w:rPr>
          <w:i/>
          <w:iCs/>
        </w:rPr>
        <w:t>temporis</w:t>
      </w:r>
      <w:proofErr w:type="spellEnd"/>
      <w:r w:rsidRPr="009927D9" w:rsidR="00F13958">
        <w:t xml:space="preserve"> with the provisions of the Convention. They further submitted that the applicant had not complied with the six-month rule laid down in Article 35 § 1 or with the rule of exhaustion of domestic remedies. Lastly, they stressed that the applicant had not suffered a significant disadvantage.</w:t>
      </w:r>
    </w:p>
    <w:p w:rsidRPr="009927D9" w:rsidR="00F13958" w:rsidP="009927D9" w:rsidRDefault="00F13958" w14:paraId="4B42AAB4" w14:textId="77777777">
      <w:pPr>
        <w:pStyle w:val="JuHA"/>
      </w:pPr>
      <w:r w:rsidRPr="009927D9">
        <w:t>Victim status</w:t>
      </w:r>
    </w:p>
    <w:p w:rsidRPr="009927D9" w:rsidR="00F13958" w:rsidP="009927D9" w:rsidRDefault="00F13958" w14:paraId="579B9BAC" w14:textId="77777777">
      <w:pPr>
        <w:pStyle w:val="JuH1"/>
      </w:pPr>
      <w:r w:rsidRPr="009927D9">
        <w:t>The parties</w:t>
      </w:r>
    </w:p>
    <w:p w:rsidRPr="009927D9" w:rsidR="00F13958" w:rsidP="009927D9" w:rsidRDefault="00DE6F01" w14:paraId="07AFFEFD" w14:textId="6548C14C">
      <w:pPr>
        <w:pStyle w:val="JuPara"/>
      </w:pPr>
      <w:fldSimple w:instr=" SEQ level0 \*arabic \* MERGEFORMAT ">
        <w:r w:rsidRPr="009927D9" w:rsidR="009927D9">
          <w:rPr>
            <w:noProof/>
          </w:rPr>
          <w:t>38</w:t>
        </w:r>
      </w:fldSimple>
      <w:r w:rsidRPr="009927D9" w:rsidR="00F13958">
        <w:t xml:space="preserve">.  The Government argued that the applicant could not be considered a “victim” for the purposes of Article 34 of the Convention. They referred to the fact that the short extract of his birth certificate and his identity documents indicated his new name and reassigned sex. Moreover, the applicant had not demonstrated that he had </w:t>
      </w:r>
      <w:proofErr w:type="gramStart"/>
      <w:r w:rsidRPr="009927D9" w:rsidR="00F13958">
        <w:t>actually applied</w:t>
      </w:r>
      <w:proofErr w:type="gramEnd"/>
      <w:r w:rsidRPr="009927D9" w:rsidR="00F13958">
        <w:t xml:space="preserve"> for French citizenship or for adoption, or that the disclosure of his full birth certificate had led to a breach of his right to respect for his private life.</w:t>
      </w:r>
    </w:p>
    <w:p w:rsidRPr="009927D9" w:rsidR="00F13958" w:rsidP="009927D9" w:rsidRDefault="00DE6F01" w14:paraId="05D5D9CD" w14:textId="305E1A64">
      <w:pPr>
        <w:pStyle w:val="JuPara"/>
      </w:pPr>
      <w:fldSimple w:instr=" SEQ level0 \*arabic \* MERGEFORMAT ">
        <w:r w:rsidRPr="009927D9" w:rsidR="009927D9">
          <w:rPr>
            <w:noProof/>
          </w:rPr>
          <w:t>39</w:t>
        </w:r>
      </w:fldSimple>
      <w:r w:rsidRPr="009927D9" w:rsidR="00F13958">
        <w:t>.  The applicant did not submit any comments on this objection.</w:t>
      </w:r>
    </w:p>
    <w:p w:rsidRPr="009927D9" w:rsidR="00F13958" w:rsidP="009927D9" w:rsidRDefault="00F13958" w14:paraId="78112F30" w14:textId="3D17B839">
      <w:pPr>
        <w:pStyle w:val="JuH1"/>
      </w:pPr>
      <w:r w:rsidRPr="009927D9">
        <w:t>The Court</w:t>
      </w:r>
      <w:r w:rsidRPr="009927D9" w:rsidR="009927D9">
        <w:t>’</w:t>
      </w:r>
      <w:r w:rsidRPr="009927D9">
        <w:t>s assessment</w:t>
      </w:r>
    </w:p>
    <w:p w:rsidRPr="009927D9" w:rsidR="00F13958" w:rsidP="009927D9" w:rsidRDefault="00DE6F01" w14:paraId="464C3A99" w14:textId="5FDAC82E">
      <w:pPr>
        <w:pStyle w:val="JuPara"/>
      </w:pPr>
      <w:fldSimple w:instr=" SEQ level0 \*arabic \* MERGEFORMAT ">
        <w:r w:rsidRPr="009927D9" w:rsidR="009927D9">
          <w:rPr>
            <w:noProof/>
          </w:rPr>
          <w:t>40</w:t>
        </w:r>
      </w:fldSimple>
      <w:r w:rsidRPr="009927D9" w:rsidR="00F13958">
        <w:t xml:space="preserve">.  The Court observes that the issue of </w:t>
      </w:r>
      <w:proofErr w:type="gramStart"/>
      <w:r w:rsidRPr="009927D9" w:rsidR="00F13958">
        <w:t>whether or not</w:t>
      </w:r>
      <w:proofErr w:type="gramEnd"/>
      <w:r w:rsidRPr="009927D9" w:rsidR="00F13958">
        <w:t xml:space="preserve"> the applicant</w:t>
      </w:r>
      <w:r w:rsidRPr="009927D9" w:rsidR="009927D9">
        <w:t>’</w:t>
      </w:r>
      <w:r w:rsidRPr="009927D9" w:rsidR="00F13958">
        <w:t>s private life was affected by the fact that his full birth certificate includes reference to the sex assigned at birth is inseparably linked to its assessment of whether the requirements of Article 8 of the Convention have been satisfied in the particular circumstances of the case.</w:t>
      </w:r>
    </w:p>
    <w:bookmarkStart w:name="Ratione_personae_joinedtomerits" w:id="22"/>
    <w:p w:rsidRPr="009927D9" w:rsidR="00F13958" w:rsidP="009927D9" w:rsidRDefault="00F13958" w14:paraId="7570EAA7" w14:textId="5FDCE1CC">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41</w:t>
      </w:r>
      <w:r w:rsidRPr="009927D9">
        <w:fldChar w:fldCharType="end"/>
      </w:r>
      <w:bookmarkEnd w:id="22"/>
      <w:r w:rsidRPr="009927D9">
        <w:t>.  It accordingly joins the Government</w:t>
      </w:r>
      <w:r w:rsidRPr="009927D9" w:rsidR="009927D9">
        <w:t>’</w:t>
      </w:r>
      <w:r w:rsidRPr="009927D9">
        <w:t xml:space="preserve">s objection of incompatibility </w:t>
      </w:r>
      <w:proofErr w:type="spellStart"/>
      <w:r w:rsidRPr="009927D9">
        <w:rPr>
          <w:i/>
          <w:iCs/>
        </w:rPr>
        <w:t>ratione</w:t>
      </w:r>
      <w:proofErr w:type="spellEnd"/>
      <w:r w:rsidRPr="009927D9">
        <w:rPr>
          <w:i/>
          <w:iCs/>
        </w:rPr>
        <w:t xml:space="preserve"> personae</w:t>
      </w:r>
      <w:r w:rsidRPr="009927D9">
        <w:t xml:space="preserve"> to the merits of the case.</w:t>
      </w:r>
    </w:p>
    <w:p w:rsidRPr="009927D9" w:rsidR="00F13958" w:rsidP="009927D9" w:rsidRDefault="00F13958" w14:paraId="07E6F82A" w14:textId="77777777">
      <w:pPr>
        <w:pStyle w:val="JuHA"/>
      </w:pPr>
      <w:r w:rsidRPr="009927D9">
        <w:t>Lack of jurisdiction</w:t>
      </w:r>
    </w:p>
    <w:p w:rsidRPr="009927D9" w:rsidR="00F13958" w:rsidP="009927D9" w:rsidRDefault="00F13958" w14:paraId="42CB2186" w14:textId="77777777">
      <w:pPr>
        <w:pStyle w:val="JuH1"/>
      </w:pPr>
      <w:r w:rsidRPr="009927D9">
        <w:t>The parties</w:t>
      </w:r>
    </w:p>
    <w:p w:rsidRPr="009927D9" w:rsidR="00F13958" w:rsidP="009927D9" w:rsidRDefault="00DE6F01" w14:paraId="05D1E95A" w14:textId="7C9E0457">
      <w:pPr>
        <w:pStyle w:val="JuPara"/>
      </w:pPr>
      <w:fldSimple w:instr=" SEQ level0 \*arabic \* MERGEFORMAT ">
        <w:r w:rsidRPr="009927D9" w:rsidR="009927D9">
          <w:rPr>
            <w:noProof/>
          </w:rPr>
          <w:t>42</w:t>
        </w:r>
      </w:fldSimple>
      <w:r w:rsidRPr="009927D9" w:rsidR="00F13958">
        <w:t xml:space="preserve">.  The Government submitted that the application was incompatible </w:t>
      </w:r>
      <w:proofErr w:type="spellStart"/>
      <w:r w:rsidRPr="009927D9" w:rsidR="00F13958">
        <w:rPr>
          <w:i/>
          <w:iCs/>
        </w:rPr>
        <w:t>ratione</w:t>
      </w:r>
      <w:proofErr w:type="spellEnd"/>
      <w:r w:rsidRPr="009927D9" w:rsidR="00F13958">
        <w:rPr>
          <w:i/>
          <w:iCs/>
        </w:rPr>
        <w:t xml:space="preserve"> personae</w:t>
      </w:r>
      <w:r w:rsidRPr="009927D9" w:rsidR="00F13958">
        <w:t xml:space="preserve"> and </w:t>
      </w:r>
      <w:proofErr w:type="spellStart"/>
      <w:r w:rsidRPr="009927D9" w:rsidR="00F13958">
        <w:rPr>
          <w:i/>
          <w:iCs/>
        </w:rPr>
        <w:t>ratione</w:t>
      </w:r>
      <w:proofErr w:type="spellEnd"/>
      <w:r w:rsidRPr="009927D9" w:rsidR="00F13958">
        <w:rPr>
          <w:i/>
          <w:iCs/>
        </w:rPr>
        <w:t xml:space="preserve"> loci </w:t>
      </w:r>
      <w:r w:rsidRPr="009927D9" w:rsidR="00F13958">
        <w:t>with the provisions of the Convention. In the circumstances of the present case, Poland could not be held responsible for the acts of the French authorities if the applicant were to apply for adoption in France or for French citizenship. The case related to prospective future events to be carried out in France and was therefore outside Polish jurisdiction.</w:t>
      </w:r>
    </w:p>
    <w:p w:rsidRPr="009927D9" w:rsidR="00F13958" w:rsidP="009927D9" w:rsidRDefault="00DE6F01" w14:paraId="60F1C2BD" w14:textId="7E8FA6C5">
      <w:pPr>
        <w:pStyle w:val="JuPara"/>
      </w:pPr>
      <w:fldSimple w:instr=" SEQ level0 \*arabic \* MERGEFORMAT ">
        <w:r w:rsidRPr="009927D9" w:rsidR="009927D9">
          <w:rPr>
            <w:noProof/>
          </w:rPr>
          <w:t>43</w:t>
        </w:r>
      </w:fldSimple>
      <w:r w:rsidRPr="009927D9" w:rsidR="00F13958">
        <w:t>.  The applicant did not comment on this objection.</w:t>
      </w:r>
    </w:p>
    <w:p w:rsidRPr="009927D9" w:rsidR="00F13958" w:rsidP="009927D9" w:rsidRDefault="00F13958" w14:paraId="35C8AA79" w14:textId="25A432F0">
      <w:pPr>
        <w:pStyle w:val="JuH1"/>
      </w:pPr>
      <w:r w:rsidRPr="009927D9">
        <w:t>The Court</w:t>
      </w:r>
      <w:r w:rsidRPr="009927D9" w:rsidR="009927D9">
        <w:t>’</w:t>
      </w:r>
      <w:r w:rsidRPr="009927D9">
        <w:t>s assessment</w:t>
      </w:r>
    </w:p>
    <w:p w:rsidRPr="009927D9" w:rsidR="00F13958" w:rsidP="009927D9" w:rsidRDefault="00DE6F01" w14:paraId="6E40A751" w14:textId="4B7A9D32">
      <w:pPr>
        <w:pStyle w:val="JuPara"/>
      </w:pPr>
      <w:fldSimple w:instr=" SEQ level0 \*arabic \* MERGEFORMAT ">
        <w:r w:rsidRPr="009927D9" w:rsidR="009927D9">
          <w:rPr>
            <w:noProof/>
          </w:rPr>
          <w:t>44</w:t>
        </w:r>
      </w:fldSimple>
      <w:r w:rsidRPr="009927D9" w:rsidR="00F13958">
        <w:t>.  The Court observes that the applicant is a Polish national who complained that the Polish authorities had failed to comply with their duty to guarantee to him full legal recognition of his sexual identity. He referred to administrative and judicial proceedings conducted in Poland and complained about the content of his Polish civil status documents. In the light of the above, the Court considers that the Government</w:t>
      </w:r>
      <w:r w:rsidRPr="009927D9" w:rsidR="009927D9">
        <w:t>’</w:t>
      </w:r>
      <w:r w:rsidRPr="009927D9" w:rsidR="00F13958">
        <w:t xml:space="preserve">s objection of incompatibility </w:t>
      </w:r>
      <w:proofErr w:type="spellStart"/>
      <w:r w:rsidRPr="009927D9" w:rsidR="00F13958">
        <w:rPr>
          <w:i/>
          <w:iCs/>
        </w:rPr>
        <w:t>ratione</w:t>
      </w:r>
      <w:proofErr w:type="spellEnd"/>
      <w:r w:rsidRPr="009927D9" w:rsidR="00F13958">
        <w:rPr>
          <w:i/>
          <w:iCs/>
        </w:rPr>
        <w:t xml:space="preserve"> loci</w:t>
      </w:r>
      <w:r w:rsidRPr="009927D9" w:rsidR="00F13958">
        <w:t xml:space="preserve"> and </w:t>
      </w:r>
      <w:proofErr w:type="spellStart"/>
      <w:r w:rsidRPr="009927D9" w:rsidR="00F13958">
        <w:rPr>
          <w:i/>
          <w:iCs/>
        </w:rPr>
        <w:t>ratione</w:t>
      </w:r>
      <w:proofErr w:type="spellEnd"/>
      <w:r w:rsidRPr="009927D9" w:rsidR="00F13958">
        <w:rPr>
          <w:i/>
          <w:iCs/>
        </w:rPr>
        <w:t xml:space="preserve"> personae</w:t>
      </w:r>
      <w:r w:rsidRPr="009927D9" w:rsidR="00F13958">
        <w:t xml:space="preserve"> must be dismissed.</w:t>
      </w:r>
    </w:p>
    <w:p w:rsidRPr="009927D9" w:rsidR="00F13958" w:rsidP="009927D9" w:rsidRDefault="00F13958" w14:paraId="415FB394" w14:textId="77777777">
      <w:pPr>
        <w:pStyle w:val="JuHA"/>
      </w:pPr>
      <w:proofErr w:type="spellStart"/>
      <w:r w:rsidRPr="009927D9">
        <w:t>Ratione</w:t>
      </w:r>
      <w:proofErr w:type="spellEnd"/>
      <w:r w:rsidRPr="009927D9">
        <w:t xml:space="preserve"> </w:t>
      </w:r>
      <w:proofErr w:type="spellStart"/>
      <w:r w:rsidRPr="009927D9">
        <w:t>temporis</w:t>
      </w:r>
      <w:proofErr w:type="spellEnd"/>
    </w:p>
    <w:p w:rsidRPr="009927D9" w:rsidR="00F13958" w:rsidP="009927D9" w:rsidRDefault="00F13958" w14:paraId="0F791700" w14:textId="77777777">
      <w:pPr>
        <w:pStyle w:val="JuH1"/>
      </w:pPr>
      <w:r w:rsidRPr="009927D9">
        <w:t>The parties</w:t>
      </w:r>
    </w:p>
    <w:p w:rsidRPr="009927D9" w:rsidR="00F13958" w:rsidP="009927D9" w:rsidRDefault="00DE6F01" w14:paraId="3374137F" w14:textId="61C65F82">
      <w:pPr>
        <w:pStyle w:val="JuPara"/>
      </w:pPr>
      <w:fldSimple w:instr=" SEQ level0 \*arabic \* MERGEFORMAT ">
        <w:r w:rsidRPr="009927D9" w:rsidR="009927D9">
          <w:rPr>
            <w:noProof/>
          </w:rPr>
          <w:t>45</w:t>
        </w:r>
      </w:fldSimple>
      <w:r w:rsidRPr="009927D9" w:rsidR="00F13958">
        <w:t xml:space="preserve">.  The Government submitted that the application was incompatible </w:t>
      </w:r>
      <w:proofErr w:type="spellStart"/>
      <w:r w:rsidRPr="009927D9" w:rsidR="00F13958">
        <w:rPr>
          <w:i/>
          <w:iCs/>
        </w:rPr>
        <w:t>ratione</w:t>
      </w:r>
      <w:proofErr w:type="spellEnd"/>
      <w:r w:rsidRPr="009927D9" w:rsidR="00F13958">
        <w:rPr>
          <w:i/>
          <w:iCs/>
        </w:rPr>
        <w:t xml:space="preserve"> </w:t>
      </w:r>
      <w:proofErr w:type="spellStart"/>
      <w:r w:rsidRPr="009927D9" w:rsidR="00F13958">
        <w:rPr>
          <w:i/>
          <w:iCs/>
        </w:rPr>
        <w:t>temporis</w:t>
      </w:r>
      <w:proofErr w:type="spellEnd"/>
      <w:r w:rsidRPr="009927D9" w:rsidR="00F13958">
        <w:t xml:space="preserve"> with the provisions of the Convention. They referred to the fact that on 6 April 1992 the Warsaw District Court had issued a decision ordering that the applicant</w:t>
      </w:r>
      <w:r w:rsidRPr="009927D9" w:rsidR="009927D9">
        <w:t>’</w:t>
      </w:r>
      <w:r w:rsidRPr="009927D9" w:rsidR="00F13958">
        <w:t>s birth records be amended to indicate that the sex assigned at birth had changed from female to male and his name had changed from X to Y. That ruling had become final before the entry into force of the Convention in respect of Poland.</w:t>
      </w:r>
    </w:p>
    <w:p w:rsidRPr="009927D9" w:rsidR="00F13958" w:rsidP="009927D9" w:rsidRDefault="00DE6F01" w14:paraId="071CC755" w14:textId="649C19A5">
      <w:pPr>
        <w:pStyle w:val="JuPara"/>
      </w:pPr>
      <w:fldSimple w:instr=" SEQ level0 \*arabic \* MERGEFORMAT ">
        <w:r w:rsidRPr="009927D9" w:rsidR="009927D9">
          <w:rPr>
            <w:noProof/>
          </w:rPr>
          <w:t>46</w:t>
        </w:r>
      </w:fldSimple>
      <w:r w:rsidRPr="009927D9" w:rsidR="00F13958">
        <w:t>.  The applicant did not submit any comments.</w:t>
      </w:r>
    </w:p>
    <w:p w:rsidRPr="009927D9" w:rsidR="00F13958" w:rsidP="009927D9" w:rsidRDefault="00F13958" w14:paraId="7617B356" w14:textId="60468832">
      <w:pPr>
        <w:pStyle w:val="JuH1"/>
      </w:pPr>
      <w:r w:rsidRPr="009927D9">
        <w:t>The Court</w:t>
      </w:r>
      <w:r w:rsidRPr="009927D9" w:rsidR="009927D9">
        <w:t>’</w:t>
      </w:r>
      <w:r w:rsidRPr="009927D9">
        <w:t>s assessment</w:t>
      </w:r>
    </w:p>
    <w:p w:rsidRPr="009927D9" w:rsidR="00F13958" w:rsidP="009927D9" w:rsidRDefault="00DE6F01" w14:paraId="0647D192" w14:textId="34E17787">
      <w:pPr>
        <w:pStyle w:val="JuPara"/>
      </w:pPr>
      <w:fldSimple w:instr=" SEQ level0 \*arabic \* MERGEFORMAT ">
        <w:r w:rsidRPr="009927D9" w:rsidR="009927D9">
          <w:rPr>
            <w:noProof/>
          </w:rPr>
          <w:t>47</w:t>
        </w:r>
      </w:fldSimple>
      <w:r w:rsidRPr="009927D9" w:rsidR="00F13958">
        <w:t>.  The Court considers that the factual grounds for the applicant</w:t>
      </w:r>
      <w:r w:rsidRPr="009927D9" w:rsidR="009927D9">
        <w:t>’</w:t>
      </w:r>
      <w:r w:rsidRPr="009927D9" w:rsidR="00F13958">
        <w:t>s application to the Court are the domestic courts</w:t>
      </w:r>
      <w:r w:rsidRPr="009927D9" w:rsidR="009927D9">
        <w:t>’</w:t>
      </w:r>
      <w:r w:rsidRPr="009927D9" w:rsidR="00F13958">
        <w:t xml:space="preserve"> decisions issued between 2011 and 2014 dismissing his application for a new birth certificate. Consequently, and in so far as the applicant</w:t>
      </w:r>
      <w:r w:rsidRPr="009927D9" w:rsidR="009927D9">
        <w:t>’</w:t>
      </w:r>
      <w:r w:rsidRPr="009927D9" w:rsidR="00F13958">
        <w:t>s complaints are directed against those decisions, the Court has temporal jurisdiction to entertain the application.</w:t>
      </w:r>
    </w:p>
    <w:p w:rsidRPr="009927D9" w:rsidR="00F13958" w:rsidP="009927D9" w:rsidRDefault="00DE6F01" w14:paraId="0C3F941A" w14:textId="20D03100">
      <w:pPr>
        <w:pStyle w:val="JuPara"/>
      </w:pPr>
      <w:fldSimple w:instr=" SEQ level0 \*arabic \* MERGEFORMAT ">
        <w:r w:rsidRPr="009927D9" w:rsidR="009927D9">
          <w:rPr>
            <w:noProof/>
          </w:rPr>
          <w:t>48</w:t>
        </w:r>
      </w:fldSimple>
      <w:r w:rsidRPr="009927D9" w:rsidR="00F13958">
        <w:t>.  The Government</w:t>
      </w:r>
      <w:r w:rsidRPr="009927D9" w:rsidR="009927D9">
        <w:t>’</w:t>
      </w:r>
      <w:r w:rsidRPr="009927D9" w:rsidR="00F13958">
        <w:t xml:space="preserve">s objection of incompatibility </w:t>
      </w:r>
      <w:proofErr w:type="spellStart"/>
      <w:r w:rsidRPr="009927D9" w:rsidR="00F13958">
        <w:rPr>
          <w:i/>
          <w:iCs/>
        </w:rPr>
        <w:t>ratione</w:t>
      </w:r>
      <w:proofErr w:type="spellEnd"/>
      <w:r w:rsidRPr="009927D9" w:rsidR="00F13958">
        <w:rPr>
          <w:i/>
          <w:iCs/>
        </w:rPr>
        <w:t xml:space="preserve"> </w:t>
      </w:r>
      <w:proofErr w:type="spellStart"/>
      <w:r w:rsidRPr="009927D9" w:rsidR="00F13958">
        <w:rPr>
          <w:i/>
          <w:iCs/>
        </w:rPr>
        <w:t>temporis</w:t>
      </w:r>
      <w:proofErr w:type="spellEnd"/>
      <w:r w:rsidRPr="009927D9" w:rsidR="00F13958">
        <w:t xml:space="preserve"> must accordingly be rejected.</w:t>
      </w:r>
    </w:p>
    <w:p w:rsidRPr="009927D9" w:rsidR="00F13958" w:rsidP="009927D9" w:rsidRDefault="00F13958" w14:paraId="7E21568C" w14:textId="77777777">
      <w:pPr>
        <w:pStyle w:val="JuHA"/>
      </w:pPr>
      <w:r w:rsidRPr="009927D9">
        <w:t>Non-exhaustion of domestic remedies</w:t>
      </w:r>
    </w:p>
    <w:p w:rsidRPr="009927D9" w:rsidR="00F13958" w:rsidP="009927D9" w:rsidRDefault="00F13958" w14:paraId="60024666" w14:textId="77777777">
      <w:pPr>
        <w:pStyle w:val="JuH1"/>
      </w:pPr>
      <w:r w:rsidRPr="009927D9">
        <w:t>The parties</w:t>
      </w:r>
    </w:p>
    <w:p w:rsidRPr="009927D9" w:rsidR="00F13958" w:rsidP="009927D9" w:rsidRDefault="00DE6F01" w14:paraId="5253958A" w14:textId="77D2752F">
      <w:pPr>
        <w:pStyle w:val="JuPara"/>
      </w:pPr>
      <w:fldSimple w:instr=" SEQ level0 \*arabic \* MERGEFORMAT ">
        <w:r w:rsidRPr="009927D9" w:rsidR="009927D9">
          <w:rPr>
            <w:noProof/>
          </w:rPr>
          <w:t>49</w:t>
        </w:r>
      </w:fldSimple>
      <w:r w:rsidRPr="009927D9" w:rsidR="00F13958">
        <w:t xml:space="preserve">.  The Government argued that the applicant had failed to exhaust the available domestic remedies. </w:t>
      </w:r>
      <w:proofErr w:type="gramStart"/>
      <w:r w:rsidRPr="009927D9" w:rsidR="00F13958">
        <w:t>In particular, they</w:t>
      </w:r>
      <w:proofErr w:type="gramEnd"/>
      <w:r w:rsidRPr="009927D9" w:rsidR="00F13958">
        <w:t xml:space="preserve"> pointed out that he should have lodged a constitutional complaint with the Constitutional Court challenging the compatibility of sections 48 and 49 read in conjunction with section 40(2)(1) of the 1986 Act as to their compatibility with Articles 32 §§ 1 and 2 (prohibition of discrimination), Article 33 § 1 (equality of men and women) and Article 47 (protection of private life) of the Polish Constitution (see paragraphs</w:t>
      </w:r>
      <w:r w:rsidRPr="009927D9" w:rsidR="0062019D">
        <w:t xml:space="preserve"> 22, 25 and 28</w:t>
      </w:r>
      <w:r w:rsidRPr="009927D9" w:rsidR="00F13958">
        <w:t xml:space="preserve"> above).</w:t>
      </w:r>
    </w:p>
    <w:p w:rsidRPr="009927D9" w:rsidR="00F13958" w:rsidP="009927D9" w:rsidRDefault="00DE6F01" w14:paraId="6B9CAAD8" w14:textId="29278248">
      <w:pPr>
        <w:pStyle w:val="JuPara"/>
      </w:pPr>
      <w:fldSimple w:instr=" SEQ level0 \*arabic \* MERGEFORMAT ">
        <w:r w:rsidRPr="009927D9" w:rsidR="009927D9">
          <w:rPr>
            <w:noProof/>
          </w:rPr>
          <w:t>50</w:t>
        </w:r>
      </w:fldSimple>
      <w:r w:rsidRPr="009927D9" w:rsidR="00F13958">
        <w:t>.  The applicant did not comment on this objection.</w:t>
      </w:r>
    </w:p>
    <w:p w:rsidRPr="009927D9" w:rsidR="00F13958" w:rsidP="009927D9" w:rsidRDefault="00F13958" w14:paraId="745306E5" w14:textId="5C91E4B5">
      <w:pPr>
        <w:pStyle w:val="JuH1"/>
      </w:pPr>
      <w:r w:rsidRPr="009927D9">
        <w:t>The Court</w:t>
      </w:r>
      <w:r w:rsidRPr="009927D9" w:rsidR="009927D9">
        <w:t>’</w:t>
      </w:r>
      <w:r w:rsidRPr="009927D9">
        <w:t>s assessment</w:t>
      </w:r>
    </w:p>
    <w:p w:rsidRPr="009927D9" w:rsidR="00F13958" w:rsidP="009927D9" w:rsidRDefault="00DE6F01" w14:paraId="303C64B8" w14:textId="73C27E72">
      <w:pPr>
        <w:pStyle w:val="JuPara"/>
      </w:pPr>
      <w:fldSimple w:instr=" SEQ level0 \*arabic \* MERGEFORMAT ">
        <w:r w:rsidRPr="009927D9" w:rsidR="009927D9">
          <w:rPr>
            <w:noProof/>
          </w:rPr>
          <w:t>51</w:t>
        </w:r>
      </w:fldSimple>
      <w:r w:rsidRPr="009927D9" w:rsidR="00F13958">
        <w:t xml:space="preserve">.  The Court reiterates that it has already held that a constitutional complaint in Poland is an effective remedy for the purposes of Article 35 § 1 of the Convention only in a situation in which the alleged violation of constitutional rights and freedoms has resulted from the application of a legal provision which can reasonably be questioned as unconstitutional. Furthermore, such a provision </w:t>
      </w:r>
      <w:proofErr w:type="gramStart"/>
      <w:r w:rsidRPr="009927D9" w:rsidR="00F13958">
        <w:t>has to</w:t>
      </w:r>
      <w:proofErr w:type="gramEnd"/>
      <w:r w:rsidRPr="009927D9" w:rsidR="00F13958">
        <w:t xml:space="preserve"> constitute the direct legal basis for the individual decision in respect of which the violation is alleged. Thus, the constitutional complaint procedure cannot serve as an effective remedy if the alleged violation has resulted only from the erroneous application or interpretation of a statutory provision which, in its content, is not unconstitutional (see, most recently, </w:t>
      </w:r>
      <w:r w:rsidRPr="009927D9" w:rsidR="00F13958">
        <w:rPr>
          <w:i/>
          <w:iCs/>
        </w:rPr>
        <w:t xml:space="preserve">Xero </w:t>
      </w:r>
      <w:proofErr w:type="spellStart"/>
      <w:r w:rsidRPr="009927D9" w:rsidR="00F13958">
        <w:rPr>
          <w:i/>
          <w:iCs/>
        </w:rPr>
        <w:t>Flor</w:t>
      </w:r>
      <w:proofErr w:type="spellEnd"/>
      <w:r w:rsidRPr="009927D9" w:rsidR="00F13958">
        <w:rPr>
          <w:i/>
          <w:iCs/>
        </w:rPr>
        <w:t xml:space="preserve"> w </w:t>
      </w:r>
      <w:proofErr w:type="spellStart"/>
      <w:r w:rsidRPr="009927D9" w:rsidR="00F13958">
        <w:rPr>
          <w:i/>
          <w:iCs/>
        </w:rPr>
        <w:t>Polsce</w:t>
      </w:r>
      <w:proofErr w:type="spellEnd"/>
      <w:r w:rsidRPr="009927D9" w:rsidR="00F13958">
        <w:rPr>
          <w:i/>
          <w:iCs/>
        </w:rPr>
        <w:t xml:space="preserve"> sp. z </w:t>
      </w:r>
      <w:proofErr w:type="spellStart"/>
      <w:r w:rsidRPr="009927D9" w:rsidR="00F13958">
        <w:rPr>
          <w:i/>
          <w:iCs/>
        </w:rPr>
        <w:t>o.o</w:t>
      </w:r>
      <w:proofErr w:type="spellEnd"/>
      <w:r w:rsidRPr="009927D9" w:rsidR="00F13958">
        <w:rPr>
          <w:i/>
          <w:iCs/>
        </w:rPr>
        <w:t>. v. Poland</w:t>
      </w:r>
      <w:r w:rsidRPr="009927D9" w:rsidR="00F13958">
        <w:t>, no. 4907/18, § 198, 7 May 2021).</w:t>
      </w:r>
    </w:p>
    <w:p w:rsidRPr="009927D9" w:rsidR="00F13958" w:rsidP="009927D9" w:rsidRDefault="00DE6F01" w14:paraId="17F0C57B" w14:textId="0F28CBE3">
      <w:pPr>
        <w:pStyle w:val="JuPara"/>
      </w:pPr>
      <w:fldSimple w:instr=" SEQ level0 \*arabic \* MERGEFORMAT ">
        <w:r w:rsidRPr="009927D9" w:rsidR="009927D9">
          <w:rPr>
            <w:noProof/>
          </w:rPr>
          <w:t>52</w:t>
        </w:r>
      </w:fldSimple>
      <w:r w:rsidRPr="009927D9" w:rsidR="00F13958">
        <w:t xml:space="preserve">.  In the present case, the alleged violation originated in the decisions of the domestic courts refusing to apply </w:t>
      </w:r>
      <w:r w:rsidRPr="009927D9" w:rsidR="00F13958">
        <w:rPr>
          <w:i/>
          <w:iCs/>
        </w:rPr>
        <w:t>mutatis mutandis</w:t>
      </w:r>
      <w:r w:rsidRPr="009927D9" w:rsidR="00F13958">
        <w:t xml:space="preserve"> sections 48 and 49 of the 1986 Act to the applicant</w:t>
      </w:r>
      <w:r w:rsidRPr="009927D9" w:rsidR="009927D9">
        <w:t>’</w:t>
      </w:r>
      <w:r w:rsidRPr="009927D9" w:rsidR="00F13958">
        <w:t xml:space="preserve">s situation. The Court points to the established case-law of the Constitutional Court, which provides </w:t>
      </w:r>
      <w:proofErr w:type="gramStart"/>
      <w:r w:rsidRPr="009927D9" w:rsidR="00F13958">
        <w:t>that constitutional complaints</w:t>
      </w:r>
      <w:proofErr w:type="gramEnd"/>
      <w:r w:rsidRPr="009927D9" w:rsidR="00F13958">
        <w:t xml:space="preserve"> based solely on an allegedly erroneous interpretation of a legal provision are excluded from its jurisdiction unless an applicant contests a provision as understood in well-established and long-standing case law of the courts; as a result, such a complaint cannot be deemed an effective remedy within the meaning of Article 35 § 1 of the Convention. The domestic courts refused to interpret the domestic provisions as requested by the applicant. Therefore, a constitutional complaint cannot be regarded as an effective remedy in the applicant</w:t>
      </w:r>
      <w:r w:rsidRPr="009927D9" w:rsidR="009927D9">
        <w:t>’</w:t>
      </w:r>
      <w:r w:rsidRPr="009927D9" w:rsidR="00F13958">
        <w:t xml:space="preserve">s case (see, for example, </w:t>
      </w:r>
      <w:proofErr w:type="spellStart"/>
      <w:r w:rsidRPr="009927D9" w:rsidR="00F13958">
        <w:rPr>
          <w:i/>
          <w:iCs/>
        </w:rPr>
        <w:t>Palusiński</w:t>
      </w:r>
      <w:proofErr w:type="spellEnd"/>
      <w:r w:rsidRPr="009927D9" w:rsidR="00F13958">
        <w:rPr>
          <w:i/>
          <w:iCs/>
        </w:rPr>
        <w:t xml:space="preserve"> v.</w:t>
      </w:r>
      <w:r w:rsidRPr="009927D9" w:rsidR="0062019D">
        <w:rPr>
          <w:i/>
          <w:iCs/>
        </w:rPr>
        <w:t> </w:t>
      </w:r>
      <w:r w:rsidRPr="009927D9" w:rsidR="00F13958">
        <w:rPr>
          <w:i/>
          <w:iCs/>
        </w:rPr>
        <w:t>Poland</w:t>
      </w:r>
      <w:r w:rsidRPr="009927D9" w:rsidR="00F13958">
        <w:t xml:space="preserve"> (dec.), no.</w:t>
      </w:r>
      <w:r w:rsidRPr="009927D9" w:rsidR="007C7A80">
        <w:t> </w:t>
      </w:r>
      <w:r w:rsidRPr="009927D9" w:rsidR="00F13958">
        <w:t xml:space="preserve">62414/00, 3 October 2006, and </w:t>
      </w:r>
      <w:proofErr w:type="spellStart"/>
      <w:r w:rsidRPr="009927D9" w:rsidR="00F13958">
        <w:rPr>
          <w:i/>
          <w:iCs/>
        </w:rPr>
        <w:t>Długołęcki</w:t>
      </w:r>
      <w:proofErr w:type="spellEnd"/>
      <w:r w:rsidRPr="009927D9" w:rsidR="00F13958">
        <w:rPr>
          <w:i/>
          <w:iCs/>
        </w:rPr>
        <w:t xml:space="preserve"> v. Poland</w:t>
      </w:r>
      <w:r w:rsidRPr="009927D9" w:rsidR="00F13958">
        <w:t>, no. 23806/03, §</w:t>
      </w:r>
      <w:r w:rsidRPr="009927D9" w:rsidR="0062019D">
        <w:t> </w:t>
      </w:r>
      <w:r w:rsidRPr="009927D9" w:rsidR="00F13958">
        <w:t>25, 24 February 2009).</w:t>
      </w:r>
    </w:p>
    <w:p w:rsidRPr="009927D9" w:rsidR="00F13958" w:rsidP="009927D9" w:rsidRDefault="00DE6F01" w14:paraId="0AD4C2F9" w14:textId="65F1996F">
      <w:pPr>
        <w:pStyle w:val="JuPara"/>
      </w:pPr>
      <w:fldSimple w:instr=" SEQ level0 \*arabic \* MERGEFORMAT ">
        <w:r w:rsidRPr="009927D9" w:rsidR="009927D9">
          <w:rPr>
            <w:noProof/>
          </w:rPr>
          <w:t>53</w:t>
        </w:r>
      </w:fldSimple>
      <w:r w:rsidRPr="009927D9" w:rsidR="00F13958">
        <w:t>.  For these reasons, the Government</w:t>
      </w:r>
      <w:r w:rsidRPr="009927D9" w:rsidR="009927D9">
        <w:t>’</w:t>
      </w:r>
      <w:r w:rsidRPr="009927D9" w:rsidR="00F13958">
        <w:t>s objection of non</w:t>
      </w:r>
      <w:r w:rsidRPr="009927D9" w:rsidR="0062019D">
        <w:noBreakHyphen/>
      </w:r>
      <w:r w:rsidRPr="009927D9" w:rsidR="00F13958">
        <w:t>exhaustion of domestic remedies must be dismissed.</w:t>
      </w:r>
    </w:p>
    <w:p w:rsidRPr="009927D9" w:rsidR="00F13958" w:rsidP="009927D9" w:rsidRDefault="00F13958" w14:paraId="1F488248" w14:textId="77777777">
      <w:pPr>
        <w:pStyle w:val="JuHA"/>
      </w:pPr>
      <w:r w:rsidRPr="009927D9">
        <w:t>Six-month time-limit</w:t>
      </w:r>
    </w:p>
    <w:p w:rsidRPr="009927D9" w:rsidR="00F13958" w:rsidP="009927D9" w:rsidRDefault="00F13958" w14:paraId="3BBAC3FF" w14:textId="77777777">
      <w:pPr>
        <w:pStyle w:val="JuH1"/>
      </w:pPr>
      <w:r w:rsidRPr="009927D9">
        <w:t>The parties</w:t>
      </w:r>
    </w:p>
    <w:p w:rsidRPr="009927D9" w:rsidR="00F13958" w:rsidP="009927D9" w:rsidRDefault="00DE6F01" w14:paraId="06FDDE30" w14:textId="29D09ED0">
      <w:pPr>
        <w:pStyle w:val="JuPara"/>
      </w:pPr>
      <w:fldSimple w:instr=" SEQ level0 \*arabic \* MERGEFORMAT ">
        <w:r w:rsidRPr="009927D9" w:rsidR="009927D9">
          <w:rPr>
            <w:noProof/>
          </w:rPr>
          <w:t>54</w:t>
        </w:r>
      </w:fldSimple>
      <w:r w:rsidRPr="009927D9" w:rsidR="00F13958">
        <w:t>.  The Government also submitted that the applicant had failed to comply with the six-month time-limit. They argued that his application to the Court had been lodged on 18 November 2014, even though the question relating to the annotation on the birth certificate had already been resolved by the Supreme Administrative Court on 16 July 2008.</w:t>
      </w:r>
    </w:p>
    <w:p w:rsidRPr="009927D9" w:rsidR="00F13958" w:rsidP="009927D9" w:rsidRDefault="00DE6F01" w14:paraId="54419507" w14:textId="311482D3">
      <w:pPr>
        <w:pStyle w:val="JuPara"/>
      </w:pPr>
      <w:fldSimple w:instr=" SEQ level0 \*arabic \* MERGEFORMAT ">
        <w:r w:rsidRPr="009927D9" w:rsidR="009927D9">
          <w:rPr>
            <w:noProof/>
          </w:rPr>
          <w:t>55</w:t>
        </w:r>
      </w:fldSimple>
      <w:r w:rsidRPr="009927D9" w:rsidR="00F13958">
        <w:t>.  The applicant did not submit any comments.</w:t>
      </w:r>
    </w:p>
    <w:p w:rsidRPr="009927D9" w:rsidR="00F13958" w:rsidP="009927D9" w:rsidRDefault="00F13958" w14:paraId="72FF1338" w14:textId="6804C554">
      <w:pPr>
        <w:pStyle w:val="JuH1"/>
      </w:pPr>
      <w:r w:rsidRPr="009927D9">
        <w:t>The Court</w:t>
      </w:r>
      <w:r w:rsidRPr="009927D9" w:rsidR="009927D9">
        <w:t>’</w:t>
      </w:r>
      <w:r w:rsidRPr="009927D9">
        <w:t>s assessment</w:t>
      </w:r>
    </w:p>
    <w:p w:rsidRPr="009927D9" w:rsidR="00F13958" w:rsidP="009927D9" w:rsidRDefault="00DE6F01" w14:paraId="3E9137D7" w14:textId="5C6BF0AE">
      <w:pPr>
        <w:pStyle w:val="JuPara"/>
      </w:pPr>
      <w:fldSimple w:instr=" SEQ level0 \*arabic \* MERGEFORMAT ">
        <w:r w:rsidRPr="009927D9" w:rsidR="009927D9">
          <w:rPr>
            <w:noProof/>
          </w:rPr>
          <w:t>56</w:t>
        </w:r>
      </w:fldSimple>
      <w:r w:rsidRPr="009927D9" w:rsidR="00F13958">
        <w:t>.  The Court cannot accept the Government</w:t>
      </w:r>
      <w:r w:rsidRPr="009927D9" w:rsidR="009927D9">
        <w:t>’</w:t>
      </w:r>
      <w:r w:rsidRPr="009927D9" w:rsidR="00F13958">
        <w:t>s arguments. It is clear from the applicant</w:t>
      </w:r>
      <w:r w:rsidRPr="009927D9" w:rsidR="009927D9">
        <w:t>’</w:t>
      </w:r>
      <w:r w:rsidRPr="009927D9" w:rsidR="00F13958">
        <w:t>s submissions that his complaint concerns an ongoing breach of his right to private and family life. Following unsuccessful proceedings before the administrative courts relating to the removal of the annotation from the birth certificate, the applicant instituted another set of proceedings, this time before the civil courts, to be issued with a new one (see paragraph</w:t>
      </w:r>
      <w:r w:rsidRPr="009927D9" w:rsidR="00A3663E">
        <w:t> 15</w:t>
      </w:r>
      <w:r w:rsidRPr="009927D9" w:rsidR="00F13958">
        <w:t xml:space="preserve"> above). The proceedings were terminated on 28 May 2014, that is, less than six months before his application was lodged with the Court. In the circumstances of the present case, there is no indication that those proceedings had no prospects of success or could not have afforded him redress.</w:t>
      </w:r>
    </w:p>
    <w:p w:rsidRPr="009927D9" w:rsidR="00F13958" w:rsidP="009927D9" w:rsidRDefault="00DE6F01" w14:paraId="64180D8B" w14:textId="132A6C8C">
      <w:pPr>
        <w:pStyle w:val="JuPara"/>
      </w:pPr>
      <w:fldSimple w:instr=" SEQ level0 \*arabic \* MERGEFORMAT ">
        <w:r w:rsidRPr="009927D9" w:rsidR="009927D9">
          <w:rPr>
            <w:noProof/>
          </w:rPr>
          <w:t>57</w:t>
        </w:r>
      </w:fldSimple>
      <w:r w:rsidRPr="009927D9" w:rsidR="00F13958">
        <w:t>.  Accordingly, the Court rejects the Government</w:t>
      </w:r>
      <w:r w:rsidRPr="009927D9" w:rsidR="009927D9">
        <w:t>’</w:t>
      </w:r>
      <w:r w:rsidRPr="009927D9" w:rsidR="00F13958">
        <w:t>s objection as to failure to comply with the six-month rule.</w:t>
      </w:r>
    </w:p>
    <w:p w:rsidRPr="009927D9" w:rsidR="00F13958" w:rsidP="009927D9" w:rsidRDefault="00F13958" w14:paraId="09CC708E" w14:textId="77777777">
      <w:pPr>
        <w:pStyle w:val="JuHA"/>
      </w:pPr>
      <w:r w:rsidRPr="009927D9">
        <w:t>Non-significant disadvantage</w:t>
      </w:r>
    </w:p>
    <w:p w:rsidRPr="009927D9" w:rsidR="00F13958" w:rsidP="009927D9" w:rsidRDefault="00F13958" w14:paraId="0306B003" w14:textId="77777777">
      <w:pPr>
        <w:pStyle w:val="JuH1"/>
      </w:pPr>
      <w:r w:rsidRPr="009927D9">
        <w:t>The parties</w:t>
      </w:r>
    </w:p>
    <w:p w:rsidRPr="009927D9" w:rsidR="00F13958" w:rsidP="009927D9" w:rsidRDefault="00DE6F01" w14:paraId="329B0DF3" w14:textId="6C3F885B">
      <w:pPr>
        <w:pStyle w:val="JuPara"/>
      </w:pPr>
      <w:fldSimple w:instr=" SEQ level0 \*arabic \* MERGEFORMAT ">
        <w:r w:rsidRPr="009927D9" w:rsidR="009927D9">
          <w:rPr>
            <w:noProof/>
          </w:rPr>
          <w:t>58</w:t>
        </w:r>
      </w:fldSimple>
      <w:r w:rsidRPr="009927D9" w:rsidR="00F13958">
        <w:t>.  Lastly, the Government argued that the applicant had not suffered a significant disadvantage within the meaning of Article 35 § 3 (b) of the Convention. They stressed that the applicant</w:t>
      </w:r>
      <w:r w:rsidRPr="009927D9" w:rsidR="009927D9">
        <w:t>’</w:t>
      </w:r>
      <w:r w:rsidRPr="009927D9" w:rsidR="00F13958">
        <w:t xml:space="preserve">s sex assigned at birth was visible only in the full birth certificate, which was not public and was only accessible in exceptional situations to a limited number of people. The applicant had failed to demonstrate that he had </w:t>
      </w:r>
      <w:proofErr w:type="gramStart"/>
      <w:r w:rsidRPr="009927D9" w:rsidR="00F13958">
        <w:t>actually been</w:t>
      </w:r>
      <w:proofErr w:type="gramEnd"/>
      <w:r w:rsidRPr="009927D9" w:rsidR="00F13958">
        <w:t xml:space="preserve"> adversely affected by that situation. Moreover, his complaints had been thoroughly examined at national level in administrative and judicial proceedings.</w:t>
      </w:r>
    </w:p>
    <w:p w:rsidRPr="009927D9" w:rsidR="00F13958" w:rsidP="009927D9" w:rsidRDefault="00DE6F01" w14:paraId="0172F93A" w14:textId="4151C85A">
      <w:pPr>
        <w:pStyle w:val="JuPara"/>
      </w:pPr>
      <w:fldSimple w:instr=" SEQ level0 \*arabic \* MERGEFORMAT ">
        <w:r w:rsidRPr="009927D9" w:rsidR="009927D9">
          <w:rPr>
            <w:noProof/>
          </w:rPr>
          <w:t>59</w:t>
        </w:r>
      </w:fldSimple>
      <w:r w:rsidRPr="009927D9" w:rsidR="00F13958">
        <w:t>.  The applicant did not comment on the Government</w:t>
      </w:r>
      <w:r w:rsidRPr="009927D9" w:rsidR="009927D9">
        <w:t>’</w:t>
      </w:r>
      <w:r w:rsidRPr="009927D9" w:rsidR="00F13958">
        <w:t>s objection.</w:t>
      </w:r>
    </w:p>
    <w:p w:rsidRPr="009927D9" w:rsidR="00F13958" w:rsidP="009927D9" w:rsidRDefault="00F13958" w14:paraId="32CFD74D" w14:textId="3CFE8ED5">
      <w:pPr>
        <w:pStyle w:val="JuH1"/>
      </w:pPr>
      <w:r w:rsidRPr="009927D9">
        <w:t>The Court</w:t>
      </w:r>
      <w:r w:rsidRPr="009927D9" w:rsidR="009927D9">
        <w:t>’</w:t>
      </w:r>
      <w:r w:rsidRPr="009927D9">
        <w:t>s assessment</w:t>
      </w:r>
    </w:p>
    <w:bookmarkStart w:name="significantdisadvantage_joinedtomerits" w:id="23"/>
    <w:p w:rsidRPr="009927D9" w:rsidR="00F13958" w:rsidP="009927D9" w:rsidRDefault="00F13958" w14:paraId="6A836569" w14:textId="62FCD404">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60</w:t>
      </w:r>
      <w:r w:rsidRPr="009927D9">
        <w:fldChar w:fldCharType="end"/>
      </w:r>
      <w:bookmarkEnd w:id="23"/>
      <w:r w:rsidRPr="009927D9">
        <w:t>.  The Court observes that the question of whether the applicant has suffered a “significant disadvantage” in the instant case is closely linked to the complaint about the alleged breach of his privacy and the authorities</w:t>
      </w:r>
      <w:r w:rsidRPr="009927D9" w:rsidR="009927D9">
        <w:t>’</w:t>
      </w:r>
      <w:r w:rsidRPr="009927D9">
        <w:t xml:space="preserve"> duty to guarantee full legal recognition of his sexual identity. It therefore considers that this </w:t>
      </w:r>
      <w:proofErr w:type="gramStart"/>
      <w:r w:rsidRPr="009927D9">
        <w:t>particular objection</w:t>
      </w:r>
      <w:proofErr w:type="gramEnd"/>
      <w:r w:rsidRPr="009927D9">
        <w:t xml:space="preserve"> raised by the Government should be joined to the merits of the case.</w:t>
      </w:r>
    </w:p>
    <w:p w:rsidRPr="009927D9" w:rsidR="00F13958" w:rsidP="009927D9" w:rsidRDefault="00F13958" w14:paraId="4DD65A94" w14:textId="77777777">
      <w:pPr>
        <w:pStyle w:val="JuHIRoman"/>
      </w:pPr>
      <w:r w:rsidRPr="009927D9">
        <w:t>ALLEGED VIOLATION OF ARTICLE 8 OF THE CONVENTION</w:t>
      </w:r>
    </w:p>
    <w:p w:rsidRPr="009927D9" w:rsidR="00F13958" w:rsidP="009927D9" w:rsidRDefault="00F13958" w14:paraId="335DB170" w14:textId="7287A8C0">
      <w:pPr>
        <w:pStyle w:val="JuPara"/>
      </w:pPr>
      <w:r w:rsidRPr="009927D9">
        <w:fldChar w:fldCharType="begin"/>
      </w:r>
      <w:r w:rsidRPr="009927D9">
        <w:instrText xml:space="preserve"> SEQ level0 \*arabic </w:instrText>
      </w:r>
      <w:r w:rsidRPr="009927D9">
        <w:fldChar w:fldCharType="separate"/>
      </w:r>
      <w:r w:rsidRPr="009927D9" w:rsidR="009927D9">
        <w:rPr>
          <w:noProof/>
        </w:rPr>
        <w:t>61</w:t>
      </w:r>
      <w:r w:rsidRPr="009927D9">
        <w:fldChar w:fldCharType="end"/>
      </w:r>
      <w:r w:rsidRPr="009927D9">
        <w:t xml:space="preserve">.  The applicant alleged a breach of his private and family life </w:t>
      </w:r>
      <w:proofErr w:type="gramStart"/>
      <w:r w:rsidRPr="009927D9">
        <w:t>on account of the fact that</w:t>
      </w:r>
      <w:proofErr w:type="gramEnd"/>
      <w:r w:rsidRPr="009927D9">
        <w:t xml:space="preserve"> his full birth certificate included reference to the sex assigned at birth. He relied on Article 8 of the Convention, the relevant parts of which read as follows:</w:t>
      </w:r>
    </w:p>
    <w:p w:rsidRPr="009927D9" w:rsidR="00F13958" w:rsidP="009927D9" w:rsidRDefault="00F13958" w14:paraId="2C6CEF14" w14:textId="77777777">
      <w:pPr>
        <w:pStyle w:val="JuQuot"/>
      </w:pPr>
      <w:r w:rsidRPr="009927D9">
        <w:t>“1.  Everyone has the right to respect for his private ... life.</w:t>
      </w:r>
    </w:p>
    <w:p w:rsidRPr="009927D9" w:rsidR="00F13958" w:rsidP="009927D9" w:rsidRDefault="00F13958" w14:paraId="6A1CA07D" w14:textId="77777777">
      <w:pPr>
        <w:pStyle w:val="JuQuot"/>
      </w:pPr>
      <w:r w:rsidRPr="009927D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9927D9" w:rsidR="00F13958" w:rsidP="009927D9" w:rsidRDefault="00F13958" w14:paraId="6745CD86" w14:textId="77777777">
      <w:pPr>
        <w:pStyle w:val="JuHA"/>
      </w:pPr>
      <w:r w:rsidRPr="009927D9">
        <w:t>Admissibility</w:t>
      </w:r>
    </w:p>
    <w:p w:rsidRPr="009927D9" w:rsidR="00F13958" w:rsidP="009927D9" w:rsidRDefault="00DE6F01" w14:paraId="7BEA8004" w14:textId="7B64293A">
      <w:pPr>
        <w:pStyle w:val="JuPara"/>
      </w:pPr>
      <w:fldSimple w:instr=" SEQ level0 \*arabic \* MERGEFORMAT ">
        <w:r w:rsidRPr="009927D9" w:rsidR="009927D9">
          <w:rPr>
            <w:noProof/>
          </w:rPr>
          <w:t>62</w:t>
        </w:r>
      </w:fldSimple>
      <w:r w:rsidRPr="009927D9" w:rsidR="00F13958">
        <w:t>.  The Court notes that this complaint is neither manifestly ill</w:t>
      </w:r>
      <w:r w:rsidRPr="009927D9" w:rsidR="00F13958">
        <w:noBreakHyphen/>
        <w:t>founded nor inadmissible on any other grounds listed in Article 35 of the Convention. It must therefore be declared admissible.</w:t>
      </w:r>
    </w:p>
    <w:p w:rsidRPr="009927D9" w:rsidR="00F13958" w:rsidP="009927D9" w:rsidRDefault="00F13958" w14:paraId="6E3E20B2" w14:textId="77777777">
      <w:pPr>
        <w:pStyle w:val="JuHA"/>
      </w:pPr>
      <w:r w:rsidRPr="009927D9">
        <w:t>Merits</w:t>
      </w:r>
    </w:p>
    <w:p w:rsidRPr="009927D9" w:rsidR="00F13958" w:rsidP="009927D9" w:rsidRDefault="00F13958" w14:paraId="6079479F" w14:textId="77777777">
      <w:pPr>
        <w:pStyle w:val="JuH1"/>
      </w:pPr>
      <w:r w:rsidRPr="009927D9">
        <w:t>The applicant</w:t>
      </w:r>
    </w:p>
    <w:p w:rsidRPr="009927D9" w:rsidR="00F13958" w:rsidP="009927D9" w:rsidRDefault="00DE6F01" w14:paraId="27BD7B73" w14:textId="54893120">
      <w:pPr>
        <w:pStyle w:val="JuPara"/>
      </w:pPr>
      <w:fldSimple w:instr=" SEQ level0 \*arabic \* MERGEFORMAT ">
        <w:r w:rsidRPr="009927D9" w:rsidR="009927D9">
          <w:rPr>
            <w:noProof/>
          </w:rPr>
          <w:t>63</w:t>
        </w:r>
      </w:fldSimple>
      <w:r w:rsidRPr="009927D9" w:rsidR="00F13958">
        <w:t>.  The applicant submitted that his inability to fully amend his civil status records had affected his private life. He maintained that he was afraid that disclosure of the information relating to his sex assigned at birth would have an impact on his family and private life. In his view, this situation amounted to mental suffering.</w:t>
      </w:r>
    </w:p>
    <w:p w:rsidRPr="009927D9" w:rsidR="00F13958" w:rsidP="009927D9" w:rsidRDefault="00DE6F01" w14:paraId="2B35B8B4" w14:textId="7DA86C2B">
      <w:pPr>
        <w:pStyle w:val="JuPara"/>
      </w:pPr>
      <w:fldSimple w:instr=" SEQ level0 \*arabic \* MERGEFORMAT ">
        <w:r w:rsidRPr="009927D9" w:rsidR="009927D9">
          <w:rPr>
            <w:noProof/>
          </w:rPr>
          <w:t>64</w:t>
        </w:r>
      </w:fldSimple>
      <w:r w:rsidRPr="009927D9" w:rsidR="00F13958">
        <w:t>.  In the application form the applicant argued that he wished to institute proceedings for acquisition of French nationality and for adoption of his wife</w:t>
      </w:r>
      <w:r w:rsidRPr="009927D9" w:rsidR="009927D9">
        <w:t>’</w:t>
      </w:r>
      <w:r w:rsidRPr="009927D9" w:rsidR="00F13958">
        <w:t>s niece (see paragraph</w:t>
      </w:r>
      <w:r w:rsidRPr="009927D9" w:rsidR="00A3663E">
        <w:t xml:space="preserve"> 21</w:t>
      </w:r>
      <w:r w:rsidRPr="009927D9" w:rsidR="00F13958">
        <w:t xml:space="preserve"> above). However, for the purpose of these proceedings he would have to provide a full copy of his birth certificate which indicated the sex assigned at birth. Thus, he could not institute such proceedings out of fear that he would be exposed to the hostile reaction of society and might suffer humiliating experiences.</w:t>
      </w:r>
    </w:p>
    <w:p w:rsidRPr="009927D9" w:rsidR="00F13958" w:rsidP="009927D9" w:rsidRDefault="00F13958" w14:paraId="46FBA7A2" w14:textId="77777777">
      <w:pPr>
        <w:pStyle w:val="JuH1"/>
      </w:pPr>
      <w:r w:rsidRPr="009927D9">
        <w:t>The Government</w:t>
      </w:r>
    </w:p>
    <w:p w:rsidRPr="009927D9" w:rsidR="00F13958" w:rsidP="009927D9" w:rsidRDefault="00DE6F01" w14:paraId="3F5ACE50" w14:textId="4C2F5718">
      <w:pPr>
        <w:pStyle w:val="JuPara"/>
      </w:pPr>
      <w:fldSimple w:instr=" SEQ level0 \*arabic \* MERGEFORMAT ">
        <w:r w:rsidRPr="009927D9" w:rsidR="009927D9">
          <w:rPr>
            <w:noProof/>
          </w:rPr>
          <w:t>65</w:t>
        </w:r>
      </w:fldSimple>
      <w:r w:rsidRPr="009927D9" w:rsidR="00F13958">
        <w:t xml:space="preserve">.  The Government submitted that Polish law and the courts had implemented appropriate measures to have gender reassignment legally recognised and the relevant data changed in birth records (by an appropriate annotation). Consequently, the respondent State had fulfilled its positive obligation to ensure a real, </w:t>
      </w:r>
      <w:proofErr w:type="gramStart"/>
      <w:r w:rsidRPr="009927D9" w:rsidR="00F13958">
        <w:t>effective</w:t>
      </w:r>
      <w:proofErr w:type="gramEnd"/>
      <w:r w:rsidRPr="009927D9" w:rsidR="00F13958">
        <w:t xml:space="preserve"> and available procedure for altering civil status records.</w:t>
      </w:r>
    </w:p>
    <w:bookmarkStart w:name="Everyday_situations_government" w:id="24"/>
    <w:p w:rsidRPr="009927D9" w:rsidR="00F13958" w:rsidP="009927D9" w:rsidRDefault="00F13958" w14:paraId="19A9B273" w14:textId="6A9936C6">
      <w:pPr>
        <w:pStyle w:val="JuPara"/>
      </w:pPr>
      <w:r w:rsidRPr="009927D9">
        <w:fldChar w:fldCharType="begin"/>
      </w:r>
      <w:r w:rsidRPr="009927D9">
        <w:instrText xml:space="preserve"> SEQ level0 \*arabic \* MERGEFORMAT </w:instrText>
      </w:r>
      <w:r w:rsidRPr="009927D9">
        <w:fldChar w:fldCharType="separate"/>
      </w:r>
      <w:r w:rsidRPr="009927D9" w:rsidR="009927D9">
        <w:rPr>
          <w:noProof/>
        </w:rPr>
        <w:t>66</w:t>
      </w:r>
      <w:r w:rsidRPr="009927D9">
        <w:fldChar w:fldCharType="end"/>
      </w:r>
      <w:bookmarkEnd w:id="24"/>
      <w:r w:rsidRPr="009927D9">
        <w:t>.  The Government further stressed that the change of data in birth certificates had full effect under private and public law. The short extract of the birth certificate indicated the applicant</w:t>
      </w:r>
      <w:r w:rsidRPr="009927D9" w:rsidR="009927D9">
        <w:t>’</w:t>
      </w:r>
      <w:r w:rsidRPr="009927D9">
        <w:t xml:space="preserve">s new name and reassigned gender. In most official situations, only an extract of the birth certificate was required (for example when concluding a civil marriage, obtaining a death </w:t>
      </w:r>
      <w:proofErr w:type="gramStart"/>
      <w:r w:rsidRPr="009927D9">
        <w:t>certificate</w:t>
      </w:r>
      <w:proofErr w:type="gramEnd"/>
      <w:r w:rsidRPr="009927D9">
        <w:t xml:space="preserve"> or applying for an identity document, passport or PESEL).</w:t>
      </w:r>
    </w:p>
    <w:p w:rsidRPr="009927D9" w:rsidR="00F13958" w:rsidP="009927D9" w:rsidRDefault="00DE6F01" w14:paraId="1E2FA206" w14:textId="668BFFCF">
      <w:pPr>
        <w:pStyle w:val="JuPara"/>
      </w:pPr>
      <w:fldSimple w:instr=" SEQ level0 \*arabic \* MERGEFORMAT ">
        <w:r w:rsidRPr="009927D9" w:rsidR="009927D9">
          <w:rPr>
            <w:noProof/>
          </w:rPr>
          <w:t>67</w:t>
        </w:r>
      </w:fldSimple>
      <w:r w:rsidRPr="009927D9" w:rsidR="00F13958">
        <w:t>.  In the Government</w:t>
      </w:r>
      <w:r w:rsidRPr="009927D9" w:rsidR="009927D9">
        <w:t>’</w:t>
      </w:r>
      <w:r w:rsidRPr="009927D9" w:rsidR="00F13958">
        <w:t>s view, the obligation to entirely remove all records relating to the gender assigned at birth could not be considered a positive obligation under Article 8 of the Convention. Moreover, there was no such obligation under any international documents binding Poland or the Recommendation of the Committee of Ministers CM/</w:t>
      </w:r>
      <w:proofErr w:type="gramStart"/>
      <w:r w:rsidRPr="009927D9" w:rsidR="00F13958">
        <w:t>Rec(</w:t>
      </w:r>
      <w:proofErr w:type="gramEnd"/>
      <w:r w:rsidRPr="009927D9" w:rsidR="00F13958">
        <w:t>2010)5 on measures to combat discrimination on grounds of sexual orientation or gender identity (see paragraph</w:t>
      </w:r>
      <w:r w:rsidRPr="009927D9" w:rsidR="00A3663E">
        <w:t xml:space="preserve"> 35</w:t>
      </w:r>
      <w:r w:rsidRPr="009927D9" w:rsidR="00F13958">
        <w:t xml:space="preserve"> above).</w:t>
      </w:r>
    </w:p>
    <w:p w:rsidRPr="009927D9" w:rsidR="00F13958" w:rsidP="009927D9" w:rsidRDefault="00DE6F01" w14:paraId="24677528" w14:textId="2A0CB943">
      <w:pPr>
        <w:pStyle w:val="JuPara"/>
      </w:pPr>
      <w:fldSimple w:instr=" SEQ level0 \*arabic \* MERGEFORMAT ">
        <w:r w:rsidRPr="009927D9" w:rsidR="009927D9">
          <w:rPr>
            <w:noProof/>
          </w:rPr>
          <w:t>68</w:t>
        </w:r>
      </w:fldSimple>
      <w:r w:rsidRPr="009927D9" w:rsidR="00F13958">
        <w:t>.  The Government also submitted that most European countries applied the procedure of adding marginal annotations to birth certificates indicating the change of gender and possibly the change of first name. Such a practice existed, for example, in Belgium, Luxembourg and France. However, in this sensitive area there was no European consensus and therefore the margin of appreciation granted to the domestic authorities should have been wide.</w:t>
      </w:r>
    </w:p>
    <w:p w:rsidRPr="009927D9" w:rsidR="00F13958" w:rsidP="009927D9" w:rsidRDefault="00DE6F01" w14:paraId="3006431E" w14:textId="18BBB329">
      <w:pPr>
        <w:pStyle w:val="JuPara"/>
      </w:pPr>
      <w:fldSimple w:instr=" SEQ level0 \*arabic \* MERGEFORMAT ">
        <w:r w:rsidRPr="009927D9" w:rsidR="009927D9">
          <w:rPr>
            <w:noProof/>
          </w:rPr>
          <w:t>69</w:t>
        </w:r>
      </w:fldSimple>
      <w:r w:rsidRPr="009927D9" w:rsidR="00F13958">
        <w:t>.  Lastly, they argued that keeping a reference to the gender assigned at birth in the full birth certificate was important for the person concerned. Having this annotation meant that it was possible, when necessary, to prove certain facts predating the gender reassignment, particularly in relation to education, kinship, inheritance, acquisition of property and so forth.</w:t>
      </w:r>
    </w:p>
    <w:p w:rsidRPr="009927D9" w:rsidR="00F13958" w:rsidP="009927D9" w:rsidRDefault="00F13958" w14:paraId="7B49A997" w14:textId="77777777">
      <w:pPr>
        <w:pStyle w:val="JuH1"/>
      </w:pPr>
      <w:r w:rsidRPr="009927D9">
        <w:t>The third-party interveners</w:t>
      </w:r>
    </w:p>
    <w:p w:rsidRPr="009927D9" w:rsidR="00F13958" w:rsidP="009927D9" w:rsidRDefault="00F13958" w14:paraId="53FC01F0" w14:textId="77777777">
      <w:pPr>
        <w:pStyle w:val="JuHa0"/>
      </w:pPr>
      <w:r w:rsidRPr="009927D9">
        <w:t>Helsinki Foundation for Human Rights</w:t>
      </w:r>
    </w:p>
    <w:p w:rsidRPr="009927D9" w:rsidR="00F13958" w:rsidP="009927D9" w:rsidRDefault="00DE6F01" w14:paraId="05E3263D" w14:textId="291A91CC">
      <w:pPr>
        <w:pStyle w:val="JuPara"/>
      </w:pPr>
      <w:fldSimple w:instr=" SEQ level0 \*arabic \* MERGEFORMAT ">
        <w:r w:rsidRPr="009927D9" w:rsidR="009927D9">
          <w:rPr>
            <w:noProof/>
          </w:rPr>
          <w:t>70</w:t>
        </w:r>
      </w:fldSimple>
      <w:r w:rsidRPr="009927D9" w:rsidR="00F13958">
        <w:t>.  The Helsinki Foundation for Human Rights (“HFHR”) submitted that there were no statutory regulations explicitly setting out the gender recognition procedure for a transgender person in Poland. The possibility of correcting the designation of a person</w:t>
      </w:r>
      <w:r w:rsidRPr="009927D9" w:rsidR="009927D9">
        <w:t>’</w:t>
      </w:r>
      <w:r w:rsidRPr="009927D9" w:rsidR="00F13958">
        <w:t>s gender was acknowledged through judicial interpretation. The domestic courts accepted that the modification of a person</w:t>
      </w:r>
      <w:r w:rsidRPr="009927D9" w:rsidR="009927D9">
        <w:t>’</w:t>
      </w:r>
      <w:r w:rsidRPr="009927D9" w:rsidR="00F13958">
        <w:t>s gender could be recognised in civil proceedings through a declaratory action under Article 189 of the Code of Civil Procedure. HFHR referred to the procedure established by the Supreme Court in its decision of 22 March 1991 (case no. III CRN 28/91) (see paragraph</w:t>
      </w:r>
      <w:r w:rsidRPr="009927D9" w:rsidR="00A3663E">
        <w:t xml:space="preserve"> 30</w:t>
      </w:r>
      <w:r w:rsidRPr="009927D9" w:rsidR="00F13958">
        <w:t xml:space="preserve"> above).</w:t>
      </w:r>
    </w:p>
    <w:p w:rsidRPr="009927D9" w:rsidR="00F13958" w:rsidP="009927D9" w:rsidRDefault="00DE6F01" w14:paraId="763EA1A9" w14:textId="356CDE15">
      <w:pPr>
        <w:pStyle w:val="JuPara"/>
      </w:pPr>
      <w:fldSimple w:instr=" SEQ level0 \*arabic \* MERGEFORMAT ">
        <w:r w:rsidRPr="009927D9" w:rsidR="009927D9">
          <w:rPr>
            <w:noProof/>
          </w:rPr>
          <w:t>71</w:t>
        </w:r>
      </w:fldSimple>
      <w:r w:rsidRPr="009927D9" w:rsidR="00F13958">
        <w:t>.  HFHR further noted that the proposed bill vetoed in 2015 (see paragraph </w:t>
      </w:r>
      <w:r w:rsidRPr="009927D9" w:rsidR="00A3663E">
        <w:t>33</w:t>
      </w:r>
      <w:r w:rsidRPr="009927D9" w:rsidR="00F13958">
        <w:t xml:space="preserve"> above) had included a provision stating that a court ruling granting a gender recognition request was a basis for drawing up a new birth certificate for the person concerned. It had also provided that a full copy of the birth certificate would be issued only at the request of a court, the person concerned or his or her biological or adopted children if that had been necessary to confirm family ties.</w:t>
      </w:r>
    </w:p>
    <w:p w:rsidRPr="009927D9" w:rsidR="00F13958" w:rsidP="009927D9" w:rsidRDefault="00F13958" w14:paraId="5BCCD6BD" w14:textId="77777777">
      <w:pPr>
        <w:pStyle w:val="JuHa0"/>
      </w:pPr>
      <w:r w:rsidRPr="009927D9">
        <w:t>European Centre for Law and Justice</w:t>
      </w:r>
    </w:p>
    <w:p w:rsidRPr="009927D9" w:rsidR="00F13958" w:rsidP="009927D9" w:rsidRDefault="00DE6F01" w14:paraId="5C5704B9" w14:textId="21DD627D">
      <w:pPr>
        <w:pStyle w:val="JuPara"/>
      </w:pPr>
      <w:fldSimple w:instr=" SEQ level0 \*arabic \* MERGEFORMAT ">
        <w:r w:rsidRPr="009927D9" w:rsidR="009927D9">
          <w:rPr>
            <w:noProof/>
          </w:rPr>
          <w:t>72</w:t>
        </w:r>
      </w:fldSimple>
      <w:r w:rsidRPr="009927D9" w:rsidR="00F13958">
        <w:t>.  The European Centre for Law and Justice (“ECLJ”) submitted that a birth certificate, which attested a person</w:t>
      </w:r>
      <w:r w:rsidRPr="009927D9" w:rsidR="009927D9">
        <w:t>’</w:t>
      </w:r>
      <w:r w:rsidRPr="009927D9" w:rsidR="00F13958">
        <w:t>s birth, contained objective characteristics about that person, including his or her filiation, and served as a reference for his or her entire life. This dual function was reflected in the two types of Polish civil status documents. A short extract of the birth certificate contained relevant and up to date information and thus constituted proof and a means of identifying the person. A full copy of the birth certificate was a copy of the original document drawn up at the time of birth, which included annotations made during the person</w:t>
      </w:r>
      <w:r w:rsidRPr="009927D9" w:rsidR="009927D9">
        <w:t>’</w:t>
      </w:r>
      <w:r w:rsidRPr="009927D9" w:rsidR="00F13958">
        <w:t xml:space="preserve">s life. The practice of making annotations to an original birth certificate was in force in other European countries. Even member States which had modified the conditions and procedures relating to gender reassignment had kept the practice of making annotations to the original birth certificate (for example, France, </w:t>
      </w:r>
      <w:proofErr w:type="gramStart"/>
      <w:r w:rsidRPr="009927D9" w:rsidR="00F13958">
        <w:t>Belgium</w:t>
      </w:r>
      <w:proofErr w:type="gramEnd"/>
      <w:r w:rsidRPr="009927D9" w:rsidR="00F13958">
        <w:t xml:space="preserve"> and Luxembourg).</w:t>
      </w:r>
    </w:p>
    <w:p w:rsidRPr="009927D9" w:rsidR="00F13958" w:rsidP="009927D9" w:rsidRDefault="00F13958" w14:paraId="115D14E9" w14:textId="4741D0D1">
      <w:pPr>
        <w:pStyle w:val="JuH1"/>
      </w:pPr>
      <w:r w:rsidRPr="009927D9">
        <w:t>The Court</w:t>
      </w:r>
      <w:r w:rsidRPr="009927D9" w:rsidR="009927D9">
        <w:t>’</w:t>
      </w:r>
      <w:r w:rsidRPr="009927D9">
        <w:t>s assessment</w:t>
      </w:r>
    </w:p>
    <w:p w:rsidRPr="009927D9" w:rsidR="00F13958" w:rsidP="009927D9" w:rsidRDefault="00F13958" w14:paraId="3AF7F11B" w14:textId="77777777">
      <w:pPr>
        <w:pStyle w:val="JuHa0"/>
      </w:pPr>
      <w:r w:rsidRPr="009927D9">
        <w:t>Preliminary remarks</w:t>
      </w:r>
    </w:p>
    <w:p w:rsidRPr="009927D9" w:rsidR="00F13958" w:rsidP="009927D9" w:rsidRDefault="00DE6F01" w14:paraId="54E97711" w14:textId="416404EB">
      <w:pPr>
        <w:pStyle w:val="JuPara"/>
      </w:pPr>
      <w:fldSimple w:instr=" SEQ level0 \*arabic \* MERGEFORMAT ">
        <w:r w:rsidRPr="009927D9" w:rsidR="009927D9">
          <w:rPr>
            <w:noProof/>
          </w:rPr>
          <w:t>73</w:t>
        </w:r>
      </w:fldSimple>
      <w:r w:rsidRPr="009927D9" w:rsidR="00F13958">
        <w:t>.  The Court has previously held that while the essential object of Article 8 is to protect individuals against arbitrary interference by public authorities, it may also impose on a State certain positive obligations to ensure effective respect for the rights protected by Article 8. This Article imposes on States a positive obligation to secure to their citizens the right to effective respect for their physical and psychological integrity. This obligation may involve the adoption of specific measures, including the provision of an effective and accessible means of protecting the right to respect for private life. Such measures may include both the provision of a regulatory framework of adjudicatory and enforcement machinery protecting individuals</w:t>
      </w:r>
      <w:r w:rsidRPr="009927D9" w:rsidR="009927D9">
        <w:t>’</w:t>
      </w:r>
      <w:r w:rsidRPr="009927D9" w:rsidR="00F13958">
        <w:t xml:space="preserve"> rights and the implementation, where appropriate, of these measures in different contexts (see </w:t>
      </w:r>
      <w:proofErr w:type="spellStart"/>
      <w:r w:rsidRPr="009927D9" w:rsidR="00F13958">
        <w:rPr>
          <w:i/>
          <w:iCs/>
        </w:rPr>
        <w:t>Hämäläinen</w:t>
      </w:r>
      <w:proofErr w:type="spellEnd"/>
      <w:r w:rsidRPr="009927D9" w:rsidR="00F13958">
        <w:rPr>
          <w:i/>
          <w:iCs/>
        </w:rPr>
        <w:t xml:space="preserve"> v.</w:t>
      </w:r>
      <w:r w:rsidRPr="009927D9" w:rsidR="00A3663E">
        <w:rPr>
          <w:i/>
          <w:iCs/>
        </w:rPr>
        <w:t> </w:t>
      </w:r>
      <w:r w:rsidRPr="009927D9" w:rsidR="00F13958">
        <w:rPr>
          <w:i/>
          <w:iCs/>
        </w:rPr>
        <w:t xml:space="preserve">Finland </w:t>
      </w:r>
      <w:r w:rsidRPr="009927D9" w:rsidR="00F13958">
        <w:t>[GC], no. 37359/09, §§ 62 and 63, ECHR 2014).</w:t>
      </w:r>
    </w:p>
    <w:p w:rsidRPr="009927D9" w:rsidR="00F13958" w:rsidP="009927D9" w:rsidRDefault="00DE6F01" w14:paraId="1B89B459" w14:textId="6F75881B">
      <w:pPr>
        <w:pStyle w:val="JuPara"/>
      </w:pPr>
      <w:fldSimple w:instr=" SEQ level0 \*arabic \* MERGEFORMAT ">
        <w:r w:rsidRPr="009927D9" w:rsidR="009927D9">
          <w:rPr>
            <w:noProof/>
          </w:rPr>
          <w:t>74</w:t>
        </w:r>
      </w:fldSimple>
      <w:r w:rsidRPr="009927D9" w:rsidR="00F13958">
        <w:t xml:space="preserve">.  In the present case, the Court notes that the applicant did not specifically complain about the lack of a regulatory framework for legal gender recognition in Poland (compare, for example, </w:t>
      </w:r>
      <w:r w:rsidRPr="009927D9" w:rsidR="00F13958">
        <w:rPr>
          <w:i/>
          <w:iCs/>
        </w:rPr>
        <w:t>X v. the former Yugoslav Republic of Macedonia</w:t>
      </w:r>
      <w:r w:rsidRPr="009927D9" w:rsidR="00F13958">
        <w:rPr>
          <w:lang w:eastAsia="en-GB"/>
        </w:rPr>
        <w:t xml:space="preserve">, no. </w:t>
      </w:r>
      <w:r w:rsidRPr="009927D9" w:rsidR="00F13958">
        <w:t>29683/16</w:t>
      </w:r>
      <w:r w:rsidRPr="009927D9" w:rsidR="00F13958">
        <w:rPr>
          <w:lang w:eastAsia="en-GB"/>
        </w:rPr>
        <w:t xml:space="preserve">, </w:t>
      </w:r>
      <w:r w:rsidRPr="009927D9" w:rsidR="00F13958">
        <w:t>17 January 2019</w:t>
      </w:r>
      <w:r w:rsidRPr="009927D9" w:rsidR="0090791F">
        <w:t>,</w:t>
      </w:r>
      <w:r w:rsidRPr="009927D9" w:rsidR="00F13958">
        <w:t xml:space="preserve"> and </w:t>
      </w:r>
      <w:r w:rsidRPr="009927D9" w:rsidR="00F13958">
        <w:rPr>
          <w:i/>
        </w:rPr>
        <w:t>Y.T. v. Bulgaria</w:t>
      </w:r>
      <w:r w:rsidRPr="009927D9" w:rsidR="00F13958">
        <w:t>, no.</w:t>
      </w:r>
      <w:bookmarkStart w:name="File0" w:id="25"/>
      <w:r w:rsidRPr="009927D9" w:rsidR="00F13958">
        <w:t> 41701/16</w:t>
      </w:r>
      <w:bookmarkEnd w:id="25"/>
      <w:r w:rsidRPr="009927D9" w:rsidR="00F13958">
        <w:t>, 9 July 2020). Rather, the crux of the case is the alleged breach of the applicant</w:t>
      </w:r>
      <w:r w:rsidRPr="009927D9" w:rsidR="009927D9">
        <w:t>’</w:t>
      </w:r>
      <w:r w:rsidRPr="009927D9" w:rsidR="00F13958">
        <w:t>s privacy rights given that the information about his gender reassignment is included in his full birth certificate. Consequently, the question to be determined is whether respect for the applicant</w:t>
      </w:r>
      <w:r w:rsidRPr="009927D9" w:rsidR="009927D9">
        <w:t>’</w:t>
      </w:r>
      <w:r w:rsidRPr="009927D9" w:rsidR="00F13958">
        <w:t>s private life and/or family life entails a positive obligation on the respondent State to provide an effective and accessible procedure allowing the applicant to obtain a birth certificate without any reference to the gender assigned at birth.</w:t>
      </w:r>
    </w:p>
    <w:p w:rsidRPr="009927D9" w:rsidR="00F13958" w:rsidP="009927D9" w:rsidRDefault="00F13958" w14:paraId="0CD886C3" w14:textId="3494986E">
      <w:pPr>
        <w:pStyle w:val="JuHa0"/>
      </w:pPr>
      <w:r w:rsidRPr="009927D9">
        <w:t>Compliance with the State</w:t>
      </w:r>
      <w:r w:rsidRPr="009927D9" w:rsidR="009927D9">
        <w:t>’</w:t>
      </w:r>
      <w:r w:rsidRPr="009927D9">
        <w:t>s positive obligations</w:t>
      </w:r>
    </w:p>
    <w:p w:rsidRPr="009927D9" w:rsidR="00F13958" w:rsidP="009927D9" w:rsidRDefault="00DE6F01" w14:paraId="69B6A4CE" w14:textId="329CF6EF">
      <w:pPr>
        <w:pStyle w:val="JuPara"/>
      </w:pPr>
      <w:fldSimple w:instr=" SEQ level0 \*arabic \* MERGEFORMAT ">
        <w:r w:rsidRPr="009927D9" w:rsidR="009927D9">
          <w:rPr>
            <w:noProof/>
          </w:rPr>
          <w:t>75</w:t>
        </w:r>
      </w:fldSimple>
      <w:r w:rsidRPr="009927D9" w:rsidR="00F13958">
        <w:t>.  The relevant Convention principles are summarised in the Court</w:t>
      </w:r>
      <w:r w:rsidRPr="009927D9" w:rsidR="009927D9">
        <w:t>’</w:t>
      </w:r>
      <w:r w:rsidRPr="009927D9" w:rsidR="00F13958">
        <w:t xml:space="preserve">s judgment in the case of </w:t>
      </w:r>
      <w:proofErr w:type="spellStart"/>
      <w:r w:rsidRPr="009927D9" w:rsidR="00F13958">
        <w:rPr>
          <w:i/>
          <w:iCs/>
        </w:rPr>
        <w:t>Hämäläinen</w:t>
      </w:r>
      <w:proofErr w:type="spellEnd"/>
      <w:r w:rsidRPr="009927D9" w:rsidR="00F13958">
        <w:t xml:space="preserve"> (cited above, §§ 65-68).</w:t>
      </w:r>
    </w:p>
    <w:p w:rsidRPr="009927D9" w:rsidR="00F13958" w:rsidP="009927D9" w:rsidRDefault="00DE6F01" w14:paraId="1EDD54FF" w14:textId="5A9B3994">
      <w:pPr>
        <w:pStyle w:val="JuPara"/>
      </w:pPr>
      <w:fldSimple w:instr=" SEQ level0 \*arabic \* MERGEFORMAT ">
        <w:r w:rsidRPr="009927D9" w:rsidR="009927D9">
          <w:rPr>
            <w:noProof/>
          </w:rPr>
          <w:t>76</w:t>
        </w:r>
      </w:fldSimple>
      <w:r w:rsidRPr="009927D9" w:rsidR="00F13958">
        <w:t xml:space="preserve">.  The Court reiterates </w:t>
      </w:r>
      <w:proofErr w:type="gramStart"/>
      <w:r w:rsidRPr="009927D9" w:rsidR="00F13958">
        <w:t>in particular that</w:t>
      </w:r>
      <w:proofErr w:type="gramEnd"/>
      <w:r w:rsidRPr="009927D9" w:rsidR="00F13958">
        <w:t xml:space="preserve"> in implementing their positive obligation under Article 8 the States enjoy a certain margin of appreciation. </w:t>
      </w:r>
      <w:proofErr w:type="gramStart"/>
      <w:r w:rsidRPr="009927D9" w:rsidR="00F13958">
        <w:t>A number of</w:t>
      </w:r>
      <w:proofErr w:type="gramEnd"/>
      <w:r w:rsidRPr="009927D9" w:rsidR="00F13958">
        <w:t xml:space="preserve"> factors must be taken into account when determining the breadth of that margin. In the context of “private life” the Court has considered that where a particularly important facet of an individual</w:t>
      </w:r>
      <w:r w:rsidRPr="009927D9" w:rsidR="009927D9">
        <w:t>’</w:t>
      </w:r>
      <w:r w:rsidRPr="009927D9" w:rsidR="00F13958">
        <w:t xml:space="preserve">s existence or identity is at stake the margin allowed to the State will be restricted (see, for example, </w:t>
      </w:r>
      <w:r w:rsidRPr="009927D9" w:rsidR="00F13958">
        <w:rPr>
          <w:i/>
          <w:iCs/>
        </w:rPr>
        <w:t xml:space="preserve">Christine Goodwin </w:t>
      </w:r>
      <w:r w:rsidRPr="009927D9" w:rsidR="00F13958">
        <w:rPr>
          <w:i/>
        </w:rPr>
        <w:t>v. the United Kingdom</w:t>
      </w:r>
      <w:r w:rsidRPr="009927D9" w:rsidR="00F13958">
        <w:t xml:space="preserve"> [GC], no. 28957/95, §</w:t>
      </w:r>
      <w:r w:rsidRPr="009927D9" w:rsidR="00A3663E">
        <w:t> </w:t>
      </w:r>
      <w:r w:rsidRPr="009927D9" w:rsidR="00F13958">
        <w:t>90 ECHR 2002</w:t>
      </w:r>
      <w:r w:rsidRPr="009927D9" w:rsidR="00F13958">
        <w:noBreakHyphen/>
        <w:t>VI</w:t>
      </w:r>
      <w:r w:rsidRPr="009927D9" w:rsidR="0090791F">
        <w:t>,</w:t>
      </w:r>
      <w:r w:rsidRPr="009927D9" w:rsidR="00F13958">
        <w:t xml:space="preserve"> and </w:t>
      </w:r>
      <w:proofErr w:type="spellStart"/>
      <w:r w:rsidRPr="009927D9" w:rsidR="00F13958">
        <w:rPr>
          <w:i/>
          <w:iCs/>
        </w:rPr>
        <w:t>Hämäläinen</w:t>
      </w:r>
      <w:proofErr w:type="spellEnd"/>
      <w:r w:rsidRPr="009927D9" w:rsidR="00F13958">
        <w:rPr>
          <w:i/>
          <w:iCs/>
        </w:rPr>
        <w:t>,</w:t>
      </w:r>
      <w:r w:rsidRPr="009927D9" w:rsidR="00F13958">
        <w:t xml:space="preserve"> cited above, § </w:t>
      </w:r>
      <w:proofErr w:type="gramStart"/>
      <w:r w:rsidRPr="009927D9" w:rsidR="00F13958">
        <w:t>67 )</w:t>
      </w:r>
      <w:proofErr w:type="gramEnd"/>
      <w:r w:rsidRPr="009927D9" w:rsidR="00F13958">
        <w:t>.</w:t>
      </w:r>
    </w:p>
    <w:p w:rsidRPr="009927D9" w:rsidR="00F13958" w:rsidP="009927D9" w:rsidRDefault="00DE6F01" w14:paraId="2C126C2A" w14:textId="5960F75D">
      <w:pPr>
        <w:pStyle w:val="JuPara"/>
      </w:pPr>
      <w:fldSimple w:instr=" SEQ level0 \*arabic \* MERGEFORMAT ">
        <w:r w:rsidRPr="009927D9" w:rsidR="009927D9">
          <w:rPr>
            <w:noProof/>
          </w:rPr>
          <w:t>77</w:t>
        </w:r>
      </w:fldSimple>
      <w:r w:rsidRPr="009927D9" w:rsidR="00F13958">
        <w:t xml:space="preserve">.  Turning to the facts of the present case the Court notes that the applicant was registered at birth as female. He underwent gender reassignment, lodged a claim with the domestic courts and had his name and gender changed in the official documents. The relevant annotation was made </w:t>
      </w:r>
      <w:bookmarkStart w:name="_Hlk82014339" w:id="26"/>
      <w:r w:rsidRPr="009927D9" w:rsidR="00F13958">
        <w:t xml:space="preserve">to the civil status </w:t>
      </w:r>
      <w:proofErr w:type="gramStart"/>
      <w:r w:rsidRPr="009927D9" w:rsidR="00F13958">
        <w:t>register</w:t>
      </w:r>
      <w:proofErr w:type="gramEnd"/>
      <w:r w:rsidRPr="009927D9" w:rsidR="00F13958">
        <w:t xml:space="preserve"> and he was subsequently issued with new identity documents</w:t>
      </w:r>
      <w:bookmarkEnd w:id="26"/>
      <w:r w:rsidRPr="009927D9" w:rsidR="00F13958">
        <w:t xml:space="preserve"> (see paragraphs</w:t>
      </w:r>
      <w:r w:rsidRPr="009927D9" w:rsidR="00A3663E">
        <w:t xml:space="preserve"> 5</w:t>
      </w:r>
      <w:r w:rsidRPr="009927D9" w:rsidR="00F13958">
        <w:t xml:space="preserve"> and </w:t>
      </w:r>
      <w:r w:rsidRPr="009927D9" w:rsidR="00A3663E">
        <w:t>6</w:t>
      </w:r>
      <w:r w:rsidRPr="009927D9" w:rsidR="00F13958">
        <w:t xml:space="preserve"> above).</w:t>
      </w:r>
    </w:p>
    <w:p w:rsidRPr="009927D9" w:rsidR="00F13958" w:rsidP="009927D9" w:rsidRDefault="00DE6F01" w14:paraId="74231E40" w14:textId="49A7B8FD">
      <w:pPr>
        <w:pStyle w:val="JuPara"/>
      </w:pPr>
      <w:fldSimple w:instr=" SEQ level0 \*arabic \* MERGEFORMAT ">
        <w:r w:rsidRPr="009927D9" w:rsidR="009927D9">
          <w:rPr>
            <w:noProof/>
          </w:rPr>
          <w:t>78</w:t>
        </w:r>
      </w:fldSimple>
      <w:r w:rsidRPr="009927D9" w:rsidR="00F13958">
        <w:t>.  The Court further observes that the applicant later lawfully married K. and continues to live in society as a male person (see paragraphs</w:t>
      </w:r>
      <w:r w:rsidRPr="009927D9" w:rsidR="00A3663E">
        <w:t xml:space="preserve"> 7 and</w:t>
      </w:r>
      <w:r w:rsidRPr="009927D9" w:rsidR="0062019D">
        <w:t> </w:t>
      </w:r>
      <w:r w:rsidRPr="009927D9" w:rsidR="00A3663E">
        <w:t>8</w:t>
      </w:r>
      <w:r w:rsidRPr="009927D9" w:rsidR="00F13958">
        <w:t xml:space="preserve"> above). While the applicant</w:t>
      </w:r>
      <w:r w:rsidRPr="009927D9" w:rsidR="009927D9">
        <w:t>’</w:t>
      </w:r>
      <w:r w:rsidRPr="009927D9" w:rsidR="00F13958">
        <w:t xml:space="preserve">s full birth certificate includes a marginal annotation about the gender reassignment, the short extract of the birth certificate indicates only his new name and reassigned gender. In nearly all everyday situations the applicant </w:t>
      </w:r>
      <w:proofErr w:type="gramStart"/>
      <w:r w:rsidRPr="009927D9" w:rsidR="00F13958">
        <w:t>is able to</w:t>
      </w:r>
      <w:proofErr w:type="gramEnd"/>
      <w:r w:rsidRPr="009927D9" w:rsidR="00F13958">
        <w:t xml:space="preserve"> establish his identity by means of identification documents or the short extract of the birth certificate (see paragraphs</w:t>
      </w:r>
      <w:r w:rsidRPr="009927D9" w:rsidR="00A3663E">
        <w:t xml:space="preserve"> 26</w:t>
      </w:r>
      <w:r w:rsidRPr="009927D9" w:rsidR="00F13958">
        <w:t xml:space="preserve">, </w:t>
      </w:r>
      <w:r w:rsidRPr="009927D9" w:rsidR="00A3663E">
        <w:t xml:space="preserve">27 </w:t>
      </w:r>
      <w:r w:rsidRPr="009927D9" w:rsidR="00F13958">
        <w:t>and</w:t>
      </w:r>
      <w:r w:rsidRPr="009927D9" w:rsidR="00A3663E">
        <w:t xml:space="preserve"> 66</w:t>
      </w:r>
      <w:r w:rsidRPr="009927D9" w:rsidR="00F13958">
        <w:t xml:space="preserve"> above). The Court acknowledges the applicant</w:t>
      </w:r>
      <w:r w:rsidRPr="009927D9" w:rsidR="009927D9">
        <w:t>’</w:t>
      </w:r>
      <w:r w:rsidRPr="009927D9" w:rsidR="00F13958">
        <w:t>s feelings that the marginal annotation to his birth certificate is demeaning and causes him mental suffering (see paragraph 6</w:t>
      </w:r>
      <w:r w:rsidRPr="009927D9" w:rsidR="0090791F">
        <w:t>3</w:t>
      </w:r>
      <w:r w:rsidRPr="009927D9" w:rsidR="00F13958">
        <w:t xml:space="preserve"> above and compare </w:t>
      </w:r>
      <w:r w:rsidRPr="009927D9" w:rsidR="00F13958">
        <w:rPr>
          <w:i/>
          <w:iCs/>
        </w:rPr>
        <w:t>Christine Goodwin</w:t>
      </w:r>
      <w:r w:rsidRPr="009927D9" w:rsidR="00F13958">
        <w:t>, cited above</w:t>
      </w:r>
      <w:r w:rsidRPr="009927D9" w:rsidR="0090791F">
        <w:t>,</w:t>
      </w:r>
      <w:r w:rsidRPr="009927D9" w:rsidR="00F13958">
        <w:t xml:space="preserve"> § 77). However, it does not appear that in his daily life the applicant is required to reveal these intimate details of his private life and that the inconveniences complained of are sufficiently serious.</w:t>
      </w:r>
    </w:p>
    <w:p w:rsidRPr="009927D9" w:rsidR="00F13958" w:rsidP="009927D9" w:rsidRDefault="00DE6F01" w14:paraId="1114A97D" w14:textId="221A3666">
      <w:pPr>
        <w:pStyle w:val="JuPara"/>
      </w:pPr>
      <w:fldSimple w:instr=" SEQ level0 \*arabic \* MERGEFORMAT ">
        <w:r w:rsidRPr="009927D9" w:rsidR="009927D9">
          <w:rPr>
            <w:noProof/>
          </w:rPr>
          <w:t>79</w:t>
        </w:r>
      </w:fldSimple>
      <w:r w:rsidRPr="009927D9" w:rsidR="00F13958">
        <w:t>.  Furthermore, as is apparent from domestic law and as submitted by the parties, full birth records are not publicly accessible. Only a limited number of persons and entities may access the register of births and obtain full copies of birth certificates (see paragraph</w:t>
      </w:r>
      <w:r w:rsidRPr="009927D9" w:rsidR="00A3663E">
        <w:t xml:space="preserve"> 25</w:t>
      </w:r>
      <w:r w:rsidRPr="009927D9" w:rsidR="00F13958">
        <w:t xml:space="preserve"> above). In addition, the applicant himself would seldom be required to provide a full copy of the birth certificate (in relation to proceedings for adoption, application for citizenship elsewhere, possibly in the context of criminal proceedings; see paragraph </w:t>
      </w:r>
      <w:r w:rsidRPr="009927D9" w:rsidR="00A3663E">
        <w:t>26</w:t>
      </w:r>
      <w:r w:rsidRPr="009927D9" w:rsidR="00F13958">
        <w:t xml:space="preserve"> above). In this connection, the Court is mindful of the </w:t>
      </w:r>
      <w:bookmarkStart w:name="_Hlk82014571" w:id="27"/>
      <w:r w:rsidRPr="009927D9" w:rsidR="00F13958">
        <w:t>historical nature of the birth record system</w:t>
      </w:r>
      <w:bookmarkEnd w:id="27"/>
      <w:r w:rsidRPr="009927D9" w:rsidR="00F13958">
        <w:t xml:space="preserve"> and that, in view of the public interest, reference to the gender assigned at birth, might, in certain situations, be necessary to prove certain facts predating the sex reassignment, even though this could cause the person concerned to experience some distress.</w:t>
      </w:r>
    </w:p>
    <w:p w:rsidRPr="009927D9" w:rsidR="00F13958" w:rsidP="009927D9" w:rsidRDefault="00DE6F01" w14:paraId="4AFCE252" w14:textId="7C9E01E0">
      <w:pPr>
        <w:pStyle w:val="JuPara"/>
      </w:pPr>
      <w:fldSimple w:instr=" SEQ level0 \*arabic \* MERGEFORMAT ">
        <w:r w:rsidRPr="009927D9" w:rsidR="009927D9">
          <w:rPr>
            <w:noProof/>
          </w:rPr>
          <w:t>80</w:t>
        </w:r>
      </w:fldSimple>
      <w:r w:rsidRPr="009927D9" w:rsidR="00F13958">
        <w:t xml:space="preserve">.  Notwithstanding all the above considerations, the Court finds that </w:t>
      </w:r>
      <w:bookmarkStart w:name="_Hlk82014400" w:id="28"/>
      <w:r w:rsidRPr="009927D9" w:rsidR="00F13958">
        <w:t>the applicant did not demonstrate that he had suffered any sufficiently serious negative consequences or difficulties resulting from the fact that the sex assigned at birth is still visible in the form of an annotation on his full birth certificate</w:t>
      </w:r>
      <w:bookmarkEnd w:id="28"/>
      <w:r w:rsidRPr="009927D9" w:rsidR="00F13958">
        <w:t>. He failed to provide any details that he had been affected by that situation and to what extent.</w:t>
      </w:r>
    </w:p>
    <w:p w:rsidRPr="009927D9" w:rsidR="00F13958" w:rsidP="009927D9" w:rsidRDefault="00DE6F01" w14:paraId="6377FFC7" w14:textId="73CF1508">
      <w:pPr>
        <w:pStyle w:val="JuPara"/>
      </w:pPr>
      <w:fldSimple w:instr=" SEQ level0 \*arabic \* MERGEFORMAT ">
        <w:r w:rsidRPr="009927D9" w:rsidR="009927D9">
          <w:rPr>
            <w:noProof/>
          </w:rPr>
          <w:t>81</w:t>
        </w:r>
      </w:fldSimple>
      <w:r w:rsidRPr="009927D9" w:rsidR="00F13958">
        <w:t xml:space="preserve">.  The Court cannot rule out the possibility that the applicant might potentially face some inconvenience </w:t>
      </w:r>
      <w:proofErr w:type="gramStart"/>
      <w:r w:rsidRPr="009927D9" w:rsidR="00F13958">
        <w:t>on account of the fact that</w:t>
      </w:r>
      <w:proofErr w:type="gramEnd"/>
      <w:r w:rsidRPr="009927D9" w:rsidR="00F13958">
        <w:t xml:space="preserve"> his full birth records contain a reference to the gender assigned to him at birth. Even so, such a potential risk of adverse consequences is not capable of rendering </w:t>
      </w:r>
      <w:bookmarkStart w:name="_Hlk82014621" w:id="29"/>
      <w:r w:rsidRPr="009927D9" w:rsidR="00F13958">
        <w:t>the current Polish system deficient from the point of view of the State</w:t>
      </w:r>
      <w:r w:rsidRPr="009927D9" w:rsidR="009927D9">
        <w:t>’</w:t>
      </w:r>
      <w:r w:rsidRPr="009927D9" w:rsidR="00F13958">
        <w:t>s positive obligation</w:t>
      </w:r>
      <w:bookmarkEnd w:id="29"/>
      <w:r w:rsidRPr="009927D9" w:rsidR="00F13958">
        <w:t>.</w:t>
      </w:r>
    </w:p>
    <w:p w:rsidRPr="009927D9" w:rsidR="00F13958" w:rsidP="009927D9" w:rsidRDefault="00DE6F01" w14:paraId="0D9C664A" w14:textId="36CB0BB3">
      <w:pPr>
        <w:pStyle w:val="JuPara"/>
      </w:pPr>
      <w:fldSimple w:instr=" SEQ level0 \*arabic \* MERGEFORMAT ">
        <w:r w:rsidRPr="009927D9" w:rsidR="009927D9">
          <w:rPr>
            <w:noProof/>
          </w:rPr>
          <w:t>82</w:t>
        </w:r>
      </w:fldSimple>
      <w:r w:rsidRPr="009927D9" w:rsidR="00F13958">
        <w:t xml:space="preserve">.  In conclusion, given the </w:t>
      </w:r>
      <w:proofErr w:type="gramStart"/>
      <w:r w:rsidRPr="009927D9" w:rsidR="00F13958">
        <w:t>particular circumstances</w:t>
      </w:r>
      <w:proofErr w:type="gramEnd"/>
      <w:r w:rsidRPr="009927D9" w:rsidR="00F13958">
        <w:t xml:space="preserve"> of the present case, the Court accepts that the Polish authorities struck a fair balance between the different interests at stake, while remaining within the wide margin of appreciation available to them.</w:t>
      </w:r>
    </w:p>
    <w:p w:rsidRPr="009927D9" w:rsidR="00F13958" w:rsidP="009927D9" w:rsidRDefault="00F13958" w14:paraId="440CD510" w14:textId="17B12F88">
      <w:pPr>
        <w:pStyle w:val="JuPara"/>
      </w:pPr>
      <w:r w:rsidRPr="009927D9">
        <w:fldChar w:fldCharType="begin"/>
      </w:r>
      <w:r w:rsidRPr="009927D9">
        <w:instrText xml:space="preserve"> SEQ level0 \*arabic </w:instrText>
      </w:r>
      <w:r w:rsidRPr="009927D9">
        <w:fldChar w:fldCharType="separate"/>
      </w:r>
      <w:r w:rsidRPr="009927D9" w:rsidR="009927D9">
        <w:rPr>
          <w:noProof/>
        </w:rPr>
        <w:t>83</w:t>
      </w:r>
      <w:r w:rsidRPr="009927D9">
        <w:fldChar w:fldCharType="end"/>
      </w:r>
      <w:r w:rsidRPr="009927D9">
        <w:t>.  There has accordingly been no violation of Article 8 of the Convention.</w:t>
      </w:r>
    </w:p>
    <w:p w:rsidRPr="009927D9" w:rsidR="00F13958" w:rsidP="009927D9" w:rsidRDefault="00DE6F01" w14:paraId="3B5698C9" w14:textId="5F054905">
      <w:pPr>
        <w:pStyle w:val="JuPara"/>
      </w:pPr>
      <w:fldSimple w:instr=" SEQ level0 \*arabic \* MERGEFORMAT ">
        <w:r w:rsidRPr="009927D9" w:rsidR="009927D9">
          <w:rPr>
            <w:noProof/>
          </w:rPr>
          <w:t>84</w:t>
        </w:r>
      </w:fldSimple>
      <w:r w:rsidRPr="009927D9" w:rsidR="00F13958">
        <w:t>.  In view of this conclusion, the Court considers it unnecessary to rule on the Government</w:t>
      </w:r>
      <w:r w:rsidRPr="009927D9" w:rsidR="009927D9">
        <w:t>’</w:t>
      </w:r>
      <w:r w:rsidRPr="009927D9" w:rsidR="00F13958">
        <w:t xml:space="preserve">s preliminary objections relating to the question of victim status and significant disadvantage (see, </w:t>
      </w:r>
      <w:r w:rsidRPr="009927D9" w:rsidR="00F13958">
        <w:rPr>
          <w:i/>
          <w:iCs/>
        </w:rPr>
        <w:t>mutatis mutandis</w:t>
      </w:r>
      <w:r w:rsidRPr="009927D9" w:rsidR="00F13958">
        <w:t xml:space="preserve">, </w:t>
      </w:r>
      <w:r w:rsidRPr="009927D9" w:rsidR="00F13958">
        <w:rPr>
          <w:i/>
        </w:rPr>
        <w:t>Kurt v. Austria</w:t>
      </w:r>
      <w:r w:rsidRPr="009927D9" w:rsidR="00F13958">
        <w:t xml:space="preserve"> [GC], no. 62903/15, § 213, 15 June 2021 and paragraphs 4</w:t>
      </w:r>
      <w:r w:rsidRPr="009927D9" w:rsidR="00484867">
        <w:t>1</w:t>
      </w:r>
      <w:r w:rsidRPr="009927D9" w:rsidR="00F13958">
        <w:t xml:space="preserve"> and </w:t>
      </w:r>
      <w:r w:rsidRPr="009927D9" w:rsidR="00484867">
        <w:t>60</w:t>
      </w:r>
      <w:r w:rsidRPr="009927D9" w:rsidR="00F13958">
        <w:t xml:space="preserve"> above).</w:t>
      </w:r>
    </w:p>
    <w:p w:rsidRPr="009927D9" w:rsidR="00F13958" w:rsidP="009927D9" w:rsidRDefault="00F13958" w14:paraId="043025EC" w14:textId="77777777">
      <w:pPr>
        <w:pStyle w:val="JuHIRoman"/>
      </w:pPr>
      <w:r w:rsidRPr="009927D9">
        <w:t>ALLEGED VIOLATION OF ARTICLE 14 OF THE CONVENTION</w:t>
      </w:r>
    </w:p>
    <w:p w:rsidRPr="009927D9" w:rsidR="00F13958" w:rsidP="009927D9" w:rsidRDefault="00F13958" w14:paraId="462B8C7A" w14:textId="00E60190">
      <w:pPr>
        <w:pStyle w:val="JuPara"/>
      </w:pPr>
      <w:r w:rsidRPr="009927D9">
        <w:fldChar w:fldCharType="begin"/>
      </w:r>
      <w:r w:rsidRPr="009927D9">
        <w:instrText xml:space="preserve"> SEQ level0 \*arabic </w:instrText>
      </w:r>
      <w:r w:rsidRPr="009927D9">
        <w:fldChar w:fldCharType="separate"/>
      </w:r>
      <w:r w:rsidRPr="009927D9" w:rsidR="009927D9">
        <w:rPr>
          <w:noProof/>
        </w:rPr>
        <w:t>85</w:t>
      </w:r>
      <w:r w:rsidRPr="009927D9">
        <w:fldChar w:fldCharType="end"/>
      </w:r>
      <w:r w:rsidRPr="009927D9">
        <w:t>.  The applicant complained that he had been discriminated against, contrary to Article 14 of the Convention. He compared his situation to that of adopted children where a new birth certificate was issued. Article 14 of the Convention reads as follows:</w:t>
      </w:r>
    </w:p>
    <w:p w:rsidRPr="009927D9" w:rsidR="00F13958" w:rsidP="009927D9" w:rsidRDefault="00F13958" w14:paraId="0FB8F193" w14:textId="77777777">
      <w:pPr>
        <w:pStyle w:val="JuQuot"/>
      </w:pPr>
      <w:r w:rsidRPr="009927D9">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9927D9" w:rsidR="00F13958" w:rsidP="009927D9" w:rsidRDefault="00F13958" w14:paraId="4518524B" w14:textId="77777777">
      <w:pPr>
        <w:pStyle w:val="JuHA"/>
        <w:numPr>
          <w:ilvl w:val="2"/>
          <w:numId w:val="2"/>
        </w:numPr>
        <w:ind w:left="1224" w:hanging="504"/>
      </w:pPr>
      <w:r w:rsidRPr="009927D9">
        <w:t>Admissibility</w:t>
      </w:r>
    </w:p>
    <w:p w:rsidRPr="009927D9" w:rsidR="00F13958" w:rsidP="009927D9" w:rsidRDefault="00F13958" w14:paraId="5119E26F" w14:textId="16258D77">
      <w:pPr>
        <w:pStyle w:val="JuPara"/>
      </w:pPr>
      <w:r w:rsidRPr="009927D9">
        <w:fldChar w:fldCharType="begin"/>
      </w:r>
      <w:r w:rsidRPr="009927D9">
        <w:instrText xml:space="preserve"> SEQ level0 \*arabic </w:instrText>
      </w:r>
      <w:r w:rsidRPr="009927D9">
        <w:fldChar w:fldCharType="separate"/>
      </w:r>
      <w:r w:rsidRPr="009927D9" w:rsidR="009927D9">
        <w:rPr>
          <w:noProof/>
        </w:rPr>
        <w:t>86</w:t>
      </w:r>
      <w:r w:rsidRPr="009927D9">
        <w:fldChar w:fldCharType="end"/>
      </w:r>
      <w:r w:rsidRPr="009927D9">
        <w:t>.  The Court notes that this complaint is neither manifestly ill</w:t>
      </w:r>
      <w:r w:rsidRPr="009927D9">
        <w:noBreakHyphen/>
        <w:t>founded nor inadmissible on any other grounds listed in Article 35 of the Convention. It must therefore be declared admissible.</w:t>
      </w:r>
    </w:p>
    <w:p w:rsidRPr="009927D9" w:rsidR="00F13958" w:rsidP="009927D9" w:rsidRDefault="00F13958" w14:paraId="69109855" w14:textId="77777777">
      <w:pPr>
        <w:pStyle w:val="JuHA"/>
        <w:numPr>
          <w:ilvl w:val="2"/>
          <w:numId w:val="2"/>
        </w:numPr>
        <w:ind w:left="1224" w:hanging="504"/>
      </w:pPr>
      <w:r w:rsidRPr="009927D9">
        <w:t>Merits</w:t>
      </w:r>
    </w:p>
    <w:p w:rsidRPr="009927D9" w:rsidR="00F13958" w:rsidP="009927D9" w:rsidRDefault="00DE6F01" w14:paraId="3CB0F72E" w14:textId="6D0022E4">
      <w:pPr>
        <w:pStyle w:val="JuPara"/>
      </w:pPr>
      <w:fldSimple w:instr=" SEQ level0 \*arabic \* MERGEFORMAT ">
        <w:r w:rsidRPr="009927D9" w:rsidR="009927D9">
          <w:rPr>
            <w:noProof/>
          </w:rPr>
          <w:t>87</w:t>
        </w:r>
      </w:fldSimple>
      <w:r w:rsidRPr="009927D9" w:rsidR="00F13958">
        <w:t>.  It is undisputed in the present case that the applicant</w:t>
      </w:r>
      <w:r w:rsidRPr="009927D9" w:rsidR="009927D9">
        <w:t>’</w:t>
      </w:r>
      <w:r w:rsidRPr="009927D9" w:rsidR="00F13958">
        <w:t>s situation falls within the notion of “private life” and “family life” within the meaning of Article 8 of the Convention. Consequently, Article 14 of the Convention, taken in conjunction with Article 8, is applicable.</w:t>
      </w:r>
    </w:p>
    <w:p w:rsidRPr="009927D9" w:rsidR="00F13958" w:rsidP="009927D9" w:rsidRDefault="00DE6F01" w14:paraId="6C0774AD" w14:textId="04D077CD">
      <w:pPr>
        <w:pStyle w:val="JuPara"/>
      </w:pPr>
      <w:fldSimple w:instr=" SEQ level0 \*arabic \* MERGEFORMAT ">
        <w:r w:rsidRPr="009927D9" w:rsidR="009927D9">
          <w:rPr>
            <w:noProof/>
          </w:rPr>
          <w:t>88</w:t>
        </w:r>
      </w:fldSimple>
      <w:r w:rsidRPr="009927D9" w:rsidR="00F13958">
        <w:t>.  The Court further observes that the applicant</w:t>
      </w:r>
      <w:r w:rsidRPr="009927D9" w:rsidR="009927D9">
        <w:t>’</w:t>
      </w:r>
      <w:r w:rsidRPr="009927D9" w:rsidR="00F13958">
        <w:t>s complaint under Article 14 of the Convention concerns his inability to obtain a new birth certificate without any information about the gender reassignment. The applicant compared his situation to that of adopted children, who are issued a new birth certificate in the event of full adoption (see paragraph</w:t>
      </w:r>
      <w:r w:rsidRPr="009927D9" w:rsidR="00A3663E">
        <w:t xml:space="preserve"> 28</w:t>
      </w:r>
      <w:r w:rsidRPr="009927D9" w:rsidR="00F13958">
        <w:t xml:space="preserve"> above). For the Court, these situations are not sufficiently </w:t>
      </w:r>
      <w:proofErr w:type="gramStart"/>
      <w:r w:rsidRPr="009927D9" w:rsidR="00F13958">
        <w:t>similar to</w:t>
      </w:r>
      <w:proofErr w:type="gramEnd"/>
      <w:r w:rsidRPr="009927D9" w:rsidR="00F13958">
        <w:t xml:space="preserve"> be compared to each other. The applicant cannot therefore claim to be in the same situation as the other category of persons relied on (compare </w:t>
      </w:r>
      <w:proofErr w:type="spellStart"/>
      <w:r w:rsidRPr="009927D9" w:rsidR="00F13958">
        <w:rPr>
          <w:i/>
          <w:iCs/>
        </w:rPr>
        <w:t>Hämäläinen</w:t>
      </w:r>
      <w:proofErr w:type="spellEnd"/>
      <w:r w:rsidRPr="009927D9" w:rsidR="00F13958">
        <w:t>, cited above, §§ 107-13).</w:t>
      </w:r>
    </w:p>
    <w:p w:rsidRPr="009927D9" w:rsidR="00F13958" w:rsidP="009927D9" w:rsidRDefault="00F13958" w14:paraId="7514104C" w14:textId="75AE4A3F">
      <w:pPr>
        <w:pStyle w:val="JuPara"/>
      </w:pPr>
      <w:r w:rsidRPr="009927D9">
        <w:fldChar w:fldCharType="begin"/>
      </w:r>
      <w:r w:rsidRPr="009927D9">
        <w:instrText xml:space="preserve"> SEQ level0 \*arabic </w:instrText>
      </w:r>
      <w:r w:rsidRPr="009927D9">
        <w:fldChar w:fldCharType="separate"/>
      </w:r>
      <w:r w:rsidRPr="009927D9" w:rsidR="009927D9">
        <w:rPr>
          <w:noProof/>
        </w:rPr>
        <w:t>89</w:t>
      </w:r>
      <w:r w:rsidRPr="009927D9">
        <w:fldChar w:fldCharType="end"/>
      </w:r>
      <w:r w:rsidRPr="009927D9">
        <w:t>.  There has accordingly been no violation of Article 14 of the Convention.</w:t>
      </w:r>
    </w:p>
    <w:p w:rsidRPr="009927D9" w:rsidR="00F13958" w:rsidP="009927D9" w:rsidRDefault="00F13958" w14:paraId="3E22461F" w14:textId="621A7C16">
      <w:pPr>
        <w:pStyle w:val="JuHHead"/>
        <w:numPr>
          <w:ilvl w:val="0"/>
          <w:numId w:val="3"/>
        </w:numPr>
        <w:ind w:left="360" w:hanging="360"/>
      </w:pPr>
      <w:r w:rsidRPr="009927D9">
        <w:t>FOR THESE REASONS, THE COURT, UNANIMOUSLY,</w:t>
      </w:r>
    </w:p>
    <w:p w:rsidRPr="009927D9" w:rsidR="00F13958" w:rsidP="009927D9" w:rsidRDefault="00F13958" w14:paraId="43E8E096" w14:textId="61ACC91D">
      <w:pPr>
        <w:pStyle w:val="JuList"/>
        <w:numPr>
          <w:ilvl w:val="0"/>
          <w:numId w:val="1"/>
        </w:numPr>
      </w:pPr>
      <w:r w:rsidRPr="009927D9">
        <w:rPr>
          <w:i/>
          <w:iCs/>
        </w:rPr>
        <w:t>Joins to the merits</w:t>
      </w:r>
      <w:r w:rsidRPr="009927D9">
        <w:t xml:space="preserve"> the Government</w:t>
      </w:r>
      <w:r w:rsidRPr="009927D9" w:rsidR="009927D9">
        <w:t>’</w:t>
      </w:r>
      <w:r w:rsidRPr="009927D9">
        <w:t xml:space="preserve">s preliminary objections concerning lack of victim status and lack of significant disadvantage and </w:t>
      </w:r>
      <w:r w:rsidRPr="009927D9" w:rsidR="00DA1C45">
        <w:t xml:space="preserve">decides that it is unnecessary to rule on </w:t>
      </w:r>
      <w:proofErr w:type="gramStart"/>
      <w:r w:rsidRPr="009927D9" w:rsidR="00DA1C45">
        <w:t>them</w:t>
      </w:r>
      <w:r w:rsidRPr="009927D9">
        <w:t>;</w:t>
      </w:r>
      <w:proofErr w:type="gramEnd"/>
    </w:p>
    <w:p w:rsidRPr="009927D9" w:rsidR="00F13958" w:rsidP="009927D9" w:rsidRDefault="00F13958" w14:paraId="57FCC5B7" w14:textId="71BDB688">
      <w:pPr>
        <w:pStyle w:val="JuList"/>
        <w:numPr>
          <w:ilvl w:val="0"/>
          <w:numId w:val="1"/>
        </w:numPr>
      </w:pPr>
      <w:r w:rsidRPr="009927D9">
        <w:rPr>
          <w:i/>
        </w:rPr>
        <w:t>Declares</w:t>
      </w:r>
      <w:r w:rsidRPr="009927D9" w:rsidR="0062019D">
        <w:rPr>
          <w:i/>
        </w:rPr>
        <w:t xml:space="preserve"> </w:t>
      </w:r>
      <w:r w:rsidRPr="009927D9">
        <w:t xml:space="preserve">the application </w:t>
      </w:r>
      <w:proofErr w:type="gramStart"/>
      <w:r w:rsidRPr="009927D9">
        <w:t>admissible;</w:t>
      </w:r>
      <w:proofErr w:type="gramEnd"/>
    </w:p>
    <w:p w:rsidRPr="009927D9" w:rsidR="0062019D" w:rsidP="009927D9" w:rsidRDefault="00F13958" w14:paraId="0E7EC24A" w14:textId="77777777">
      <w:pPr>
        <w:pStyle w:val="JuList"/>
        <w:numPr>
          <w:ilvl w:val="0"/>
          <w:numId w:val="1"/>
        </w:numPr>
      </w:pPr>
      <w:r w:rsidRPr="009927D9">
        <w:rPr>
          <w:i/>
        </w:rPr>
        <w:t>Holds</w:t>
      </w:r>
      <w:r w:rsidRPr="009927D9">
        <w:t xml:space="preserve"> that there has been no violation of Article 8 of the </w:t>
      </w:r>
      <w:proofErr w:type="gramStart"/>
      <w:r w:rsidRPr="009927D9">
        <w:t>Convention;</w:t>
      </w:r>
      <w:proofErr w:type="gramEnd"/>
    </w:p>
    <w:p w:rsidRPr="009927D9" w:rsidR="004D0EC7" w:rsidP="009927D9" w:rsidRDefault="00F13958" w14:paraId="209BDB40" w14:textId="2FF04CAD">
      <w:pPr>
        <w:pStyle w:val="JuList"/>
        <w:numPr>
          <w:ilvl w:val="0"/>
          <w:numId w:val="1"/>
        </w:numPr>
      </w:pPr>
      <w:r w:rsidRPr="009927D9">
        <w:rPr>
          <w:i/>
        </w:rPr>
        <w:t>Holds</w:t>
      </w:r>
      <w:r w:rsidRPr="009927D9" w:rsidR="0062019D">
        <w:rPr>
          <w:i/>
        </w:rPr>
        <w:t xml:space="preserve"> </w:t>
      </w:r>
      <w:r w:rsidRPr="009927D9">
        <w:t>that there has been no violation of Article 14 of the Convention</w:t>
      </w:r>
      <w:r w:rsidRPr="009927D9" w:rsidR="0062019D">
        <w:t>.</w:t>
      </w:r>
    </w:p>
    <w:p w:rsidRPr="009927D9" w:rsidR="008E3A08" w:rsidP="009927D9" w:rsidRDefault="007E2C8C" w14:paraId="1636D84E" w14:textId="33057EA5">
      <w:pPr>
        <w:pStyle w:val="JuParaLast"/>
      </w:pPr>
      <w:r w:rsidRPr="009927D9">
        <w:t xml:space="preserve">Done in English, and notified in writing on </w:t>
      </w:r>
      <w:r w:rsidRPr="009927D9" w:rsidR="00F13958">
        <w:rPr>
          <w:rFonts w:ascii="Times New Roman" w:hAnsi="Times New Roman" w:cs="Times New Roman"/>
        </w:rPr>
        <w:t>17 February 2022</w:t>
      </w:r>
      <w:r w:rsidRPr="009927D9">
        <w:t>, pursuant to Rule 77 §§ 2 and 3 of the Rules of Court.</w:t>
      </w:r>
    </w:p>
    <w:p w:rsidRPr="009927D9" w:rsidR="008B092C" w:rsidP="009927D9" w:rsidRDefault="00281B7C" w14:paraId="5114E8B3" w14:textId="7E172E08">
      <w:pPr>
        <w:pStyle w:val="ECHRPlaceholder"/>
        <w:rPr>
          <w:szCs w:val="22"/>
        </w:rPr>
      </w:pPr>
      <w:r w:rsidRPr="009927D9">
        <w:tab/>
      </w:r>
    </w:p>
    <w:p w:rsidRPr="009927D9" w:rsidR="001C055B" w:rsidP="009927D9" w:rsidRDefault="002E7764" w14:paraId="2A2FF5FE" w14:textId="4B7FD915">
      <w:pPr>
        <w:pStyle w:val="JuSigned"/>
        <w:rPr>
          <w:lang w:val="it-IT"/>
        </w:rPr>
      </w:pPr>
      <w:r w:rsidRPr="009927D9">
        <w:tab/>
      </w:r>
      <w:r w:rsidRPr="009927D9" w:rsidR="0062019D">
        <w:rPr>
          <w:lang w:val="it-IT"/>
        </w:rPr>
        <w:t>Liv Tigerstedt</w:t>
      </w:r>
      <w:r w:rsidRPr="009927D9" w:rsidR="005879A2">
        <w:rPr>
          <w:lang w:val="it-IT"/>
        </w:rPr>
        <w:t xml:space="preserve"> </w:t>
      </w:r>
      <w:r w:rsidRPr="009927D9" w:rsidR="009F4C8F">
        <w:rPr>
          <w:lang w:val="it-IT"/>
        </w:rPr>
        <w:tab/>
      </w:r>
      <w:proofErr w:type="spellStart"/>
      <w:r w:rsidRPr="009927D9" w:rsidR="00F13958">
        <w:rPr>
          <w:lang w:val="it-IT"/>
        </w:rPr>
        <w:t>Marko</w:t>
      </w:r>
      <w:proofErr w:type="spellEnd"/>
      <w:r w:rsidRPr="009927D9" w:rsidR="00F13958">
        <w:rPr>
          <w:lang w:val="it-IT"/>
        </w:rPr>
        <w:t xml:space="preserve"> </w:t>
      </w:r>
      <w:proofErr w:type="spellStart"/>
      <w:r w:rsidRPr="009927D9" w:rsidR="00F13958">
        <w:rPr>
          <w:lang w:val="it-IT"/>
        </w:rPr>
        <w:t>Bošnjak</w:t>
      </w:r>
      <w:proofErr w:type="spellEnd"/>
      <w:r w:rsidRPr="009927D9" w:rsidR="009F4C8F">
        <w:rPr>
          <w:lang w:val="it-IT"/>
        </w:rPr>
        <w:br/>
      </w:r>
      <w:r w:rsidRPr="009927D9" w:rsidR="009F4C8F">
        <w:rPr>
          <w:lang w:val="it-IT"/>
        </w:rPr>
        <w:tab/>
      </w:r>
      <w:proofErr w:type="spellStart"/>
      <w:r w:rsidRPr="009927D9" w:rsidR="0062019D">
        <w:rPr>
          <w:lang w:val="it-IT"/>
        </w:rPr>
        <w:t>Deputy</w:t>
      </w:r>
      <w:proofErr w:type="spellEnd"/>
      <w:r w:rsidRPr="009927D9" w:rsidR="0062019D">
        <w:rPr>
          <w:lang w:val="it-IT"/>
        </w:rPr>
        <w:t xml:space="preserve"> </w:t>
      </w:r>
      <w:r w:rsidRPr="009927D9" w:rsidR="00F13958">
        <w:rPr>
          <w:iCs/>
          <w:lang w:val="it-IT"/>
        </w:rPr>
        <w:t>Registrar</w:t>
      </w:r>
      <w:r w:rsidRPr="009927D9" w:rsidR="009F4C8F">
        <w:rPr>
          <w:lang w:val="it-IT"/>
        </w:rPr>
        <w:tab/>
      </w:r>
      <w:proofErr w:type="spellStart"/>
      <w:r w:rsidRPr="009927D9" w:rsidR="009F4C8F">
        <w:rPr>
          <w:lang w:val="it-IT"/>
        </w:rPr>
        <w:t>President</w:t>
      </w:r>
      <w:proofErr w:type="spellEnd"/>
    </w:p>
    <w:p w:rsidRPr="009927D9" w:rsidR="00675AF2" w:rsidP="009927D9" w:rsidRDefault="00675AF2" w14:paraId="0CFCD862" w14:textId="77777777">
      <w:pPr>
        <w:pStyle w:val="JuPara"/>
        <w:rPr>
          <w:lang w:val="it-IT"/>
        </w:rPr>
      </w:pPr>
    </w:p>
    <w:p w:rsidRPr="009927D9" w:rsidR="00182EBA" w:rsidP="009927D9" w:rsidRDefault="00182EBA" w14:paraId="2E769A20" w14:textId="418C700F"/>
    <w:sectPr w:rsidRPr="009927D9"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38D0F" w14:textId="77777777" w:rsidR="00A3663E" w:rsidRPr="00E67565" w:rsidRDefault="00A3663E" w:rsidP="0098410D">
      <w:r w:rsidRPr="00E67565">
        <w:separator/>
      </w:r>
    </w:p>
  </w:endnote>
  <w:endnote w:type="continuationSeparator" w:id="0">
    <w:p w14:paraId="0E0CE96C" w14:textId="77777777" w:rsidR="00A3663E" w:rsidRPr="00E67565" w:rsidRDefault="00A3663E"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DA474" w14:textId="77777777" w:rsidR="00A3663E" w:rsidRDefault="00A3663E">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5F4D5" w14:textId="0B921793" w:rsidR="00A3663E" w:rsidRPr="00150BFA" w:rsidRDefault="00A3663E" w:rsidP="00A3663E">
    <w:pPr>
      <w:jc w:val="center"/>
    </w:pPr>
    <w:r>
      <w:rPr>
        <w:noProof/>
        <w:lang w:val="en-US" w:eastAsia="ja-JP"/>
      </w:rPr>
      <w:drawing>
        <wp:inline distT="0" distB="0" distL="0" distR="0" wp14:anchorId="61F2DED3" wp14:editId="3D5B22C3">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5BB698A" w14:textId="6C517212" w:rsidR="00A3663E" w:rsidRPr="00E67565" w:rsidRDefault="00A3663E" w:rsidP="00A3663E">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96089" w14:textId="6CF9BA40" w:rsidR="00A3663E" w:rsidRPr="00150BFA" w:rsidRDefault="00A3663E" w:rsidP="00A3663E">
    <w:pPr>
      <w:jc w:val="center"/>
    </w:pPr>
    <w:r>
      <w:rPr>
        <w:noProof/>
        <w:lang w:val="en-US" w:eastAsia="ja-JP"/>
      </w:rPr>
      <w:drawing>
        <wp:inline distT="0" distB="0" distL="0" distR="0" wp14:anchorId="080FD688" wp14:editId="62A5E7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5093A7" w14:textId="11AE7636" w:rsidR="00A3663E" w:rsidRPr="00E67565" w:rsidRDefault="00A3663E"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8AA9A" w14:textId="490F934B" w:rsidR="00A3663E" w:rsidRDefault="00A3663E"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8F07F" w14:textId="73D95214" w:rsidR="00A3663E" w:rsidRPr="000B7195" w:rsidRDefault="00A3663E"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1CD73" w14:textId="77777777" w:rsidR="00A3663E" w:rsidRPr="00E67565" w:rsidRDefault="00A3663E" w:rsidP="0098410D">
      <w:r w:rsidRPr="00E67565">
        <w:separator/>
      </w:r>
    </w:p>
  </w:footnote>
  <w:footnote w:type="continuationSeparator" w:id="0">
    <w:p w14:paraId="0122311F" w14:textId="77777777" w:rsidR="00A3663E" w:rsidRPr="00E67565" w:rsidRDefault="00A3663E"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755F1" w14:textId="77777777" w:rsidR="00A3663E" w:rsidRDefault="00A366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D078D" w14:textId="6F01D34B" w:rsidR="00A3663E" w:rsidRPr="00A45145" w:rsidRDefault="00A3663E" w:rsidP="00A3663E">
    <w:pPr>
      <w:jc w:val="center"/>
    </w:pPr>
    <w:r>
      <w:rPr>
        <w:noProof/>
        <w:lang w:val="en-US" w:eastAsia="ja-JP"/>
      </w:rPr>
      <w:drawing>
        <wp:inline distT="0" distB="0" distL="0" distR="0" wp14:anchorId="0A7F0698" wp14:editId="462CBB6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80A9AD" w14:textId="3D1F2601" w:rsidR="00A3663E" w:rsidRPr="00E67565" w:rsidRDefault="00A3663E" w:rsidP="00A3663E">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6EDFA" w14:textId="48914512" w:rsidR="00A3663E" w:rsidRPr="00A45145" w:rsidRDefault="00A3663E" w:rsidP="00A3663E">
    <w:pPr>
      <w:jc w:val="center"/>
    </w:pPr>
    <w:r>
      <w:rPr>
        <w:noProof/>
        <w:lang w:val="en-US" w:eastAsia="ja-JP"/>
      </w:rPr>
      <w:drawing>
        <wp:inline distT="0" distB="0" distL="0" distR="0" wp14:anchorId="2F0BE033" wp14:editId="75A4CC61">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498C1BE" w14:textId="4E41ACDC" w:rsidR="00A3663E" w:rsidRPr="00E67565" w:rsidRDefault="00A3663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A3CD9" w14:textId="3BFABB04" w:rsidR="00A3663E" w:rsidRPr="004D0EC7" w:rsidRDefault="00A3663E" w:rsidP="004D0EC7">
    <w:pPr>
      <w:pStyle w:val="JuHeader"/>
    </w:pPr>
    <w:r>
      <w:t>Y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476C8" w14:textId="09EA0B86" w:rsidR="00A3663E" w:rsidRPr="00882CD5" w:rsidRDefault="00A3663E" w:rsidP="007D3701">
    <w:pPr>
      <w:pStyle w:val="JuHeader"/>
    </w:pPr>
    <w:r>
      <w:t>Y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3"/>
  </w:num>
  <w:num w:numId="2">
    <w:abstractNumId w:val="17"/>
  </w:num>
  <w:num w:numId="3">
    <w:abstractNumId w:val="19"/>
  </w:num>
  <w:num w:numId="4">
    <w:abstractNumId w:val="14"/>
  </w:num>
  <w:num w:numId="5">
    <w:abstractNumId w:val="12"/>
  </w:num>
  <w:num w:numId="6">
    <w:abstractNumId w:val="11"/>
  </w:num>
  <w:num w:numId="7">
    <w:abstractNumId w:val="15"/>
  </w:num>
  <w:num w:numId="8">
    <w:abstractNumId w:val="13"/>
  </w:num>
  <w:num w:numId="9">
    <w:abstractNumId w:val="16"/>
  </w:num>
  <w:num w:numId="10">
    <w:abstractNumId w:val="15"/>
  </w:num>
  <w:num w:numId="11">
    <w:abstractNumId w:val="16"/>
  </w:num>
  <w:num w:numId="12">
    <w:abstractNumId w:val="10"/>
  </w:num>
  <w:num w:numId="13">
    <w:abstractNumId w:val="9"/>
  </w:num>
  <w:num w:numId="14">
    <w:abstractNumId w:val="18"/>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F13958"/>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76EA"/>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51DD"/>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7D8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4867"/>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954"/>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19D"/>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C7A80"/>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4166"/>
    <w:rsid w:val="0090506B"/>
    <w:rsid w:val="009050C9"/>
    <w:rsid w:val="009066FC"/>
    <w:rsid w:val="0090791F"/>
    <w:rsid w:val="009140A3"/>
    <w:rsid w:val="009144A2"/>
    <w:rsid w:val="0091510C"/>
    <w:rsid w:val="009259AC"/>
    <w:rsid w:val="00926F38"/>
    <w:rsid w:val="00927BEB"/>
    <w:rsid w:val="00932BC2"/>
    <w:rsid w:val="009333DC"/>
    <w:rsid w:val="00934301"/>
    <w:rsid w:val="00936CD1"/>
    <w:rsid w:val="00937649"/>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27D9"/>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63E"/>
    <w:rsid w:val="00A36819"/>
    <w:rsid w:val="00A36989"/>
    <w:rsid w:val="00A41D86"/>
    <w:rsid w:val="00A43628"/>
    <w:rsid w:val="00A51D0F"/>
    <w:rsid w:val="00A54192"/>
    <w:rsid w:val="00A5656B"/>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20B"/>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1C45"/>
    <w:rsid w:val="00DA4A31"/>
    <w:rsid w:val="00DA7B04"/>
    <w:rsid w:val="00DB36C2"/>
    <w:rsid w:val="00DC169B"/>
    <w:rsid w:val="00DC2AB9"/>
    <w:rsid w:val="00DC63F0"/>
    <w:rsid w:val="00DD37EA"/>
    <w:rsid w:val="00DD6EE5"/>
    <w:rsid w:val="00DE386C"/>
    <w:rsid w:val="00DE4D35"/>
    <w:rsid w:val="00DE6F01"/>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958"/>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3690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32BC2"/>
    <w:rPr>
      <w:sz w:val="24"/>
      <w:szCs w:val="24"/>
      <w:lang w:val="en-GB"/>
    </w:rPr>
  </w:style>
  <w:style w:type="paragraph" w:styleId="Heading1">
    <w:name w:val="heading 1"/>
    <w:basedOn w:val="Normal"/>
    <w:next w:val="Normal"/>
    <w:link w:val="Heading1Char"/>
    <w:uiPriority w:val="98"/>
    <w:semiHidden/>
    <w:rsid w:val="00932BC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32BC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32BC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32BC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32BC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32BC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32BC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32BC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32BC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32BC2"/>
    <w:rPr>
      <w:rFonts w:ascii="Tahoma" w:hAnsi="Tahoma" w:cs="Tahoma"/>
      <w:sz w:val="16"/>
      <w:szCs w:val="16"/>
    </w:rPr>
  </w:style>
  <w:style w:type="character" w:customStyle="1" w:styleId="BalloonTextChar">
    <w:name w:val="Balloon Text Char"/>
    <w:basedOn w:val="DefaultParagraphFont"/>
    <w:link w:val="BalloonText"/>
    <w:uiPriority w:val="98"/>
    <w:semiHidden/>
    <w:rsid w:val="00932BC2"/>
    <w:rPr>
      <w:rFonts w:ascii="Tahoma" w:hAnsi="Tahoma" w:cs="Tahoma"/>
      <w:sz w:val="16"/>
      <w:szCs w:val="16"/>
      <w:lang w:val="en-GB"/>
    </w:rPr>
  </w:style>
  <w:style w:type="character" w:styleId="BookTitle">
    <w:name w:val="Book Title"/>
    <w:uiPriority w:val="98"/>
    <w:semiHidden/>
    <w:qFormat/>
    <w:rsid w:val="00932BC2"/>
    <w:rPr>
      <w:i/>
      <w:iCs/>
      <w:smallCaps/>
      <w:spacing w:val="5"/>
    </w:rPr>
  </w:style>
  <w:style w:type="paragraph" w:customStyle="1" w:styleId="JuHeader">
    <w:name w:val="Ju_Header"/>
    <w:aliases w:val="_Header"/>
    <w:basedOn w:val="Header"/>
    <w:uiPriority w:val="29"/>
    <w:qFormat/>
    <w:rsid w:val="00932BC2"/>
    <w:pPr>
      <w:tabs>
        <w:tab w:val="clear" w:pos="4536"/>
        <w:tab w:val="clear" w:pos="9072"/>
      </w:tabs>
      <w:jc w:val="center"/>
    </w:pPr>
    <w:rPr>
      <w:sz w:val="18"/>
    </w:rPr>
  </w:style>
  <w:style w:type="paragraph" w:customStyle="1" w:styleId="NormalJustified">
    <w:name w:val="Normal_Justified"/>
    <w:basedOn w:val="Normal"/>
    <w:semiHidden/>
    <w:rsid w:val="00932BC2"/>
    <w:pPr>
      <w:jc w:val="both"/>
    </w:pPr>
  </w:style>
  <w:style w:type="character" w:styleId="Strong">
    <w:name w:val="Strong"/>
    <w:uiPriority w:val="98"/>
    <w:semiHidden/>
    <w:qFormat/>
    <w:rsid w:val="00932BC2"/>
    <w:rPr>
      <w:b/>
      <w:bCs/>
    </w:rPr>
  </w:style>
  <w:style w:type="paragraph" w:styleId="NoSpacing">
    <w:name w:val="No Spacing"/>
    <w:basedOn w:val="Normal"/>
    <w:link w:val="NoSpacingChar"/>
    <w:uiPriority w:val="98"/>
    <w:semiHidden/>
    <w:qFormat/>
    <w:rsid w:val="00932BC2"/>
  </w:style>
  <w:style w:type="character" w:customStyle="1" w:styleId="NoSpacingChar">
    <w:name w:val="No Spacing Char"/>
    <w:basedOn w:val="DefaultParagraphFont"/>
    <w:link w:val="NoSpacing"/>
    <w:uiPriority w:val="98"/>
    <w:semiHidden/>
    <w:rsid w:val="00932BC2"/>
    <w:rPr>
      <w:sz w:val="24"/>
      <w:szCs w:val="24"/>
      <w:lang w:val="en-GB"/>
    </w:rPr>
  </w:style>
  <w:style w:type="paragraph" w:customStyle="1" w:styleId="JuQuot">
    <w:name w:val="Ju_Quot"/>
    <w:aliases w:val="_Quote"/>
    <w:basedOn w:val="NormalJustified"/>
    <w:uiPriority w:val="20"/>
    <w:qFormat/>
    <w:rsid w:val="00932BC2"/>
    <w:pPr>
      <w:spacing w:before="120" w:after="120"/>
      <w:ind w:left="425" w:firstLine="142"/>
    </w:pPr>
    <w:rPr>
      <w:sz w:val="20"/>
    </w:rPr>
  </w:style>
  <w:style w:type="paragraph" w:customStyle="1" w:styleId="DummyStyle">
    <w:name w:val="Dummy_Style"/>
    <w:aliases w:val="_Dummy"/>
    <w:basedOn w:val="Normal"/>
    <w:semiHidden/>
    <w:qFormat/>
    <w:rsid w:val="00932BC2"/>
    <w:rPr>
      <w:color w:val="00B050"/>
      <w:sz w:val="22"/>
    </w:rPr>
  </w:style>
  <w:style w:type="paragraph" w:customStyle="1" w:styleId="JuList">
    <w:name w:val="Ju_List"/>
    <w:aliases w:val="_List_1"/>
    <w:basedOn w:val="NormalJustified"/>
    <w:uiPriority w:val="23"/>
    <w:qFormat/>
    <w:rsid w:val="00932BC2"/>
    <w:pPr>
      <w:numPr>
        <w:numId w:val="13"/>
      </w:numPr>
      <w:spacing w:before="280" w:after="60"/>
    </w:pPr>
  </w:style>
  <w:style w:type="paragraph" w:customStyle="1" w:styleId="JuLista">
    <w:name w:val="Ju_List_a"/>
    <w:aliases w:val="_List_2"/>
    <w:basedOn w:val="NormalJustified"/>
    <w:uiPriority w:val="23"/>
    <w:rsid w:val="00932BC2"/>
    <w:pPr>
      <w:numPr>
        <w:ilvl w:val="1"/>
        <w:numId w:val="13"/>
      </w:numPr>
    </w:pPr>
  </w:style>
  <w:style w:type="paragraph" w:customStyle="1" w:styleId="JuListi">
    <w:name w:val="Ju_List_i"/>
    <w:aliases w:val="_List_3"/>
    <w:basedOn w:val="NormalJustified"/>
    <w:uiPriority w:val="23"/>
    <w:rsid w:val="00932BC2"/>
    <w:pPr>
      <w:numPr>
        <w:ilvl w:val="2"/>
        <w:numId w:val="13"/>
      </w:numPr>
    </w:pPr>
  </w:style>
  <w:style w:type="paragraph" w:customStyle="1" w:styleId="JuHArticle">
    <w:name w:val="Ju_H_Article"/>
    <w:aliases w:val="_Title_Quote"/>
    <w:basedOn w:val="Normal"/>
    <w:next w:val="JuQuot"/>
    <w:uiPriority w:val="19"/>
    <w:qFormat/>
    <w:rsid w:val="00932BC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32BC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32BC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32BC2"/>
    <w:pPr>
      <w:keepNext/>
      <w:keepLines/>
      <w:numPr>
        <w:numId w:val="1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32BC2"/>
    <w:pPr>
      <w:numPr>
        <w:numId w:val="7"/>
      </w:numPr>
    </w:pPr>
  </w:style>
  <w:style w:type="paragraph" w:customStyle="1" w:styleId="JuSigned">
    <w:name w:val="Ju_Signed"/>
    <w:aliases w:val="_Signature"/>
    <w:basedOn w:val="Normal"/>
    <w:next w:val="JuPara"/>
    <w:uiPriority w:val="31"/>
    <w:qFormat/>
    <w:rsid w:val="00932BC2"/>
    <w:pPr>
      <w:tabs>
        <w:tab w:val="center" w:pos="1418"/>
        <w:tab w:val="center" w:pos="5954"/>
      </w:tabs>
      <w:spacing w:before="720"/>
    </w:pPr>
  </w:style>
  <w:style w:type="paragraph" w:styleId="Title">
    <w:name w:val="Title"/>
    <w:basedOn w:val="Normal"/>
    <w:next w:val="Normal"/>
    <w:link w:val="TitleChar"/>
    <w:uiPriority w:val="98"/>
    <w:semiHidden/>
    <w:qFormat/>
    <w:rsid w:val="00932BC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32BC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32BC2"/>
    <w:pPr>
      <w:numPr>
        <w:numId w:val="1"/>
      </w:numPr>
    </w:pPr>
  </w:style>
  <w:style w:type="numbering" w:customStyle="1" w:styleId="ECHRA1StyleNumberedList">
    <w:name w:val="ECHR_A1_Style_Numbered_List"/>
    <w:basedOn w:val="NoList"/>
    <w:rsid w:val="00932BC2"/>
    <w:pPr>
      <w:numPr>
        <w:numId w:val="9"/>
      </w:numPr>
    </w:pPr>
  </w:style>
  <w:style w:type="table" w:customStyle="1" w:styleId="ECHRTable2019">
    <w:name w:val="ECHR_Table_2019"/>
    <w:basedOn w:val="TableNormal"/>
    <w:uiPriority w:val="99"/>
    <w:rsid w:val="00932BC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932BC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32BC2"/>
    <w:pPr>
      <w:keepNext/>
      <w:keepLines/>
      <w:numPr>
        <w:ilvl w:val="1"/>
        <w:numId w:val="1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32BC2"/>
    <w:pPr>
      <w:keepNext/>
      <w:keepLines/>
      <w:numPr>
        <w:ilvl w:val="2"/>
        <w:numId w:val="1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32BC2"/>
    <w:pPr>
      <w:keepNext/>
      <w:keepLines/>
      <w:numPr>
        <w:ilvl w:val="3"/>
        <w:numId w:val="12"/>
      </w:numPr>
      <w:spacing w:before="100" w:beforeAutospacing="1" w:after="120"/>
      <w:jc w:val="both"/>
    </w:pPr>
    <w:rPr>
      <w:b w:val="0"/>
      <w:color w:val="auto"/>
      <w:sz w:val="24"/>
    </w:rPr>
  </w:style>
  <w:style w:type="paragraph" w:styleId="Header">
    <w:name w:val="header"/>
    <w:basedOn w:val="Normal"/>
    <w:link w:val="HeaderChar"/>
    <w:uiPriority w:val="98"/>
    <w:semiHidden/>
    <w:rsid w:val="00932BC2"/>
    <w:pPr>
      <w:tabs>
        <w:tab w:val="center" w:pos="4536"/>
        <w:tab w:val="right" w:pos="9072"/>
      </w:tabs>
    </w:pPr>
  </w:style>
  <w:style w:type="character" w:customStyle="1" w:styleId="HeaderChar">
    <w:name w:val="Header Char"/>
    <w:basedOn w:val="DefaultParagraphFont"/>
    <w:link w:val="Header"/>
    <w:uiPriority w:val="98"/>
    <w:semiHidden/>
    <w:rsid w:val="00932BC2"/>
    <w:rPr>
      <w:sz w:val="24"/>
      <w:szCs w:val="24"/>
      <w:lang w:val="en-GB"/>
    </w:rPr>
  </w:style>
  <w:style w:type="character" w:customStyle="1" w:styleId="Heading1Char">
    <w:name w:val="Heading 1 Char"/>
    <w:basedOn w:val="DefaultParagraphFont"/>
    <w:link w:val="Heading1"/>
    <w:uiPriority w:val="98"/>
    <w:semiHidden/>
    <w:rsid w:val="00932BC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32BC2"/>
    <w:pPr>
      <w:keepNext/>
      <w:keepLines/>
      <w:numPr>
        <w:ilvl w:val="4"/>
        <w:numId w:val="12"/>
      </w:numPr>
      <w:spacing w:before="100" w:beforeAutospacing="1" w:after="120"/>
      <w:jc w:val="both"/>
    </w:pPr>
    <w:rPr>
      <w:color w:val="auto"/>
      <w:sz w:val="20"/>
    </w:rPr>
  </w:style>
  <w:style w:type="paragraph" w:customStyle="1" w:styleId="JuHi">
    <w:name w:val="Ju_H_i"/>
    <w:aliases w:val="_Head_6"/>
    <w:basedOn w:val="Heading6"/>
    <w:next w:val="JuPara"/>
    <w:uiPriority w:val="17"/>
    <w:rsid w:val="00932BC2"/>
    <w:pPr>
      <w:keepNext/>
      <w:keepLines/>
      <w:numPr>
        <w:ilvl w:val="5"/>
        <w:numId w:val="1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32BC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32BC2"/>
    <w:pPr>
      <w:keepNext/>
      <w:keepLines/>
      <w:numPr>
        <w:ilvl w:val="6"/>
        <w:numId w:val="1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32BC2"/>
    <w:pPr>
      <w:keepNext/>
      <w:keepLines/>
      <w:numPr>
        <w:ilvl w:val="7"/>
        <w:numId w:val="12"/>
      </w:numPr>
      <w:spacing w:before="100" w:beforeAutospacing="1" w:after="120"/>
      <w:jc w:val="both"/>
    </w:pPr>
    <w:rPr>
      <w:i/>
    </w:rPr>
  </w:style>
  <w:style w:type="character" w:customStyle="1" w:styleId="Heading3Char">
    <w:name w:val="Heading 3 Char"/>
    <w:basedOn w:val="DefaultParagraphFont"/>
    <w:link w:val="Heading3"/>
    <w:uiPriority w:val="98"/>
    <w:semiHidden/>
    <w:rsid w:val="00932BC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32BC2"/>
    <w:pPr>
      <w:keepNext/>
      <w:keepLines/>
      <w:spacing w:before="240" w:after="240"/>
      <w:ind w:firstLine="284"/>
    </w:pPr>
  </w:style>
  <w:style w:type="paragraph" w:customStyle="1" w:styleId="JuJudges">
    <w:name w:val="Ju_Judges"/>
    <w:aliases w:val="_Judges"/>
    <w:basedOn w:val="Normal"/>
    <w:uiPriority w:val="32"/>
    <w:qFormat/>
    <w:rsid w:val="00932BC2"/>
    <w:pPr>
      <w:tabs>
        <w:tab w:val="left" w:pos="567"/>
        <w:tab w:val="left" w:pos="1134"/>
      </w:tabs>
    </w:pPr>
  </w:style>
  <w:style w:type="character" w:customStyle="1" w:styleId="Heading4Char">
    <w:name w:val="Heading 4 Char"/>
    <w:basedOn w:val="DefaultParagraphFont"/>
    <w:link w:val="Heading4"/>
    <w:uiPriority w:val="98"/>
    <w:semiHidden/>
    <w:rsid w:val="00932BC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32BC2"/>
    <w:pPr>
      <w:tabs>
        <w:tab w:val="center" w:pos="6407"/>
      </w:tabs>
      <w:spacing w:before="720"/>
      <w:jc w:val="right"/>
    </w:pPr>
  </w:style>
  <w:style w:type="character" w:customStyle="1" w:styleId="Heading5Char">
    <w:name w:val="Heading 5 Char"/>
    <w:basedOn w:val="DefaultParagraphFont"/>
    <w:link w:val="Heading5"/>
    <w:uiPriority w:val="98"/>
    <w:semiHidden/>
    <w:rsid w:val="00932BC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32BC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32BC2"/>
    <w:rPr>
      <w:caps w:val="0"/>
      <w:smallCaps/>
    </w:rPr>
  </w:style>
  <w:style w:type="character" w:styleId="SubtleEmphasis">
    <w:name w:val="Subtle Emphasis"/>
    <w:uiPriority w:val="98"/>
    <w:semiHidden/>
    <w:qFormat/>
    <w:rsid w:val="00932BC2"/>
    <w:rPr>
      <w:i/>
      <w:iCs/>
    </w:rPr>
  </w:style>
  <w:style w:type="table" w:customStyle="1" w:styleId="ECHRTable">
    <w:name w:val="ECHR_Table"/>
    <w:basedOn w:val="TableNormal"/>
    <w:rsid w:val="00932BC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32BC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32BC2"/>
    <w:rPr>
      <w:b/>
      <w:bCs/>
      <w:i/>
      <w:iCs/>
      <w:spacing w:val="10"/>
      <w:bdr w:val="none" w:sz="0" w:space="0" w:color="auto"/>
      <w:shd w:val="clear" w:color="auto" w:fill="auto"/>
    </w:rPr>
  </w:style>
  <w:style w:type="paragraph" w:styleId="Footer0">
    <w:name w:val="footer"/>
    <w:basedOn w:val="Normal"/>
    <w:link w:val="FooterChar"/>
    <w:uiPriority w:val="98"/>
    <w:semiHidden/>
    <w:rsid w:val="00932BC2"/>
    <w:pPr>
      <w:tabs>
        <w:tab w:val="center" w:pos="3686"/>
        <w:tab w:val="right" w:pos="7371"/>
      </w:tabs>
    </w:pPr>
  </w:style>
  <w:style w:type="character" w:customStyle="1" w:styleId="FooterChar">
    <w:name w:val="Footer Char"/>
    <w:basedOn w:val="DefaultParagraphFont"/>
    <w:link w:val="Footer0"/>
    <w:uiPriority w:val="98"/>
    <w:semiHidden/>
    <w:rsid w:val="00932BC2"/>
    <w:rPr>
      <w:sz w:val="24"/>
      <w:szCs w:val="24"/>
      <w:lang w:val="en-GB"/>
    </w:rPr>
  </w:style>
  <w:style w:type="character" w:styleId="FootnoteReference">
    <w:name w:val="footnote reference"/>
    <w:basedOn w:val="DefaultParagraphFont"/>
    <w:uiPriority w:val="98"/>
    <w:semiHidden/>
    <w:rsid w:val="00932BC2"/>
    <w:rPr>
      <w:vertAlign w:val="superscript"/>
    </w:rPr>
  </w:style>
  <w:style w:type="paragraph" w:styleId="FootnoteText">
    <w:name w:val="footnote text"/>
    <w:basedOn w:val="NormalJustified"/>
    <w:link w:val="FootnoteTextChar"/>
    <w:uiPriority w:val="98"/>
    <w:semiHidden/>
    <w:rsid w:val="00932BC2"/>
    <w:rPr>
      <w:sz w:val="20"/>
      <w:szCs w:val="20"/>
    </w:rPr>
  </w:style>
  <w:style w:type="character" w:customStyle="1" w:styleId="FootnoteTextChar">
    <w:name w:val="Footnote Text Char"/>
    <w:basedOn w:val="DefaultParagraphFont"/>
    <w:link w:val="FootnoteText"/>
    <w:uiPriority w:val="98"/>
    <w:semiHidden/>
    <w:rsid w:val="00932BC2"/>
    <w:rPr>
      <w:sz w:val="20"/>
      <w:szCs w:val="20"/>
      <w:lang w:val="en-GB"/>
    </w:rPr>
  </w:style>
  <w:style w:type="character" w:customStyle="1" w:styleId="Heading6Char">
    <w:name w:val="Heading 6 Char"/>
    <w:basedOn w:val="DefaultParagraphFont"/>
    <w:link w:val="Heading6"/>
    <w:uiPriority w:val="98"/>
    <w:semiHidden/>
    <w:rsid w:val="00932BC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32BC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32BC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32BC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32BC2"/>
    <w:rPr>
      <w:color w:val="0072BC" w:themeColor="hyperlink"/>
      <w:u w:val="single"/>
    </w:rPr>
  </w:style>
  <w:style w:type="character" w:styleId="IntenseEmphasis">
    <w:name w:val="Intense Emphasis"/>
    <w:uiPriority w:val="98"/>
    <w:semiHidden/>
    <w:qFormat/>
    <w:rsid w:val="00932BC2"/>
    <w:rPr>
      <w:b/>
      <w:bCs/>
    </w:rPr>
  </w:style>
  <w:style w:type="paragraph" w:styleId="IntenseQuote">
    <w:name w:val="Intense Quote"/>
    <w:basedOn w:val="Normal"/>
    <w:next w:val="Normal"/>
    <w:link w:val="IntenseQuoteChar"/>
    <w:uiPriority w:val="98"/>
    <w:semiHidden/>
    <w:qFormat/>
    <w:rsid w:val="00932BC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32BC2"/>
    <w:rPr>
      <w:b/>
      <w:bCs/>
      <w:i/>
      <w:iCs/>
      <w:sz w:val="24"/>
      <w:szCs w:val="24"/>
      <w:lang w:val="en-GB" w:bidi="en-US"/>
    </w:rPr>
  </w:style>
  <w:style w:type="character" w:styleId="IntenseReference">
    <w:name w:val="Intense Reference"/>
    <w:uiPriority w:val="98"/>
    <w:semiHidden/>
    <w:qFormat/>
    <w:rsid w:val="00932BC2"/>
    <w:rPr>
      <w:smallCaps/>
      <w:spacing w:val="5"/>
      <w:u w:val="single"/>
    </w:rPr>
  </w:style>
  <w:style w:type="paragraph" w:styleId="ListParagraph">
    <w:name w:val="List Paragraph"/>
    <w:basedOn w:val="Normal"/>
    <w:uiPriority w:val="98"/>
    <w:semiHidden/>
    <w:qFormat/>
    <w:rsid w:val="00932BC2"/>
    <w:pPr>
      <w:ind w:left="720"/>
      <w:contextualSpacing/>
    </w:pPr>
  </w:style>
  <w:style w:type="table" w:customStyle="1" w:styleId="LtrTableAddress">
    <w:name w:val="Ltr_Table_Address"/>
    <w:aliases w:val="ECHR_Ltr_Table_Address"/>
    <w:basedOn w:val="TableNormal"/>
    <w:uiPriority w:val="99"/>
    <w:rsid w:val="00932BC2"/>
    <w:rPr>
      <w:sz w:val="24"/>
      <w:szCs w:val="24"/>
    </w:rPr>
    <w:tblPr>
      <w:tblInd w:w="5103" w:type="dxa"/>
    </w:tblPr>
  </w:style>
  <w:style w:type="paragraph" w:styleId="Quote">
    <w:name w:val="Quote"/>
    <w:basedOn w:val="Normal"/>
    <w:next w:val="Normal"/>
    <w:link w:val="QuoteChar"/>
    <w:uiPriority w:val="98"/>
    <w:semiHidden/>
    <w:qFormat/>
    <w:rsid w:val="00932BC2"/>
    <w:pPr>
      <w:spacing w:before="200"/>
      <w:ind w:left="360" w:right="360"/>
    </w:pPr>
    <w:rPr>
      <w:i/>
      <w:iCs/>
      <w:lang w:bidi="en-US"/>
    </w:rPr>
  </w:style>
  <w:style w:type="character" w:customStyle="1" w:styleId="QuoteChar">
    <w:name w:val="Quote Char"/>
    <w:basedOn w:val="DefaultParagraphFont"/>
    <w:link w:val="Quote"/>
    <w:uiPriority w:val="98"/>
    <w:semiHidden/>
    <w:rsid w:val="00932BC2"/>
    <w:rPr>
      <w:i/>
      <w:iCs/>
      <w:sz w:val="24"/>
      <w:szCs w:val="24"/>
      <w:lang w:val="en-GB" w:bidi="en-US"/>
    </w:rPr>
  </w:style>
  <w:style w:type="character" w:styleId="SubtleReference">
    <w:name w:val="Subtle Reference"/>
    <w:uiPriority w:val="98"/>
    <w:semiHidden/>
    <w:qFormat/>
    <w:rsid w:val="00932BC2"/>
    <w:rPr>
      <w:smallCaps/>
    </w:rPr>
  </w:style>
  <w:style w:type="table" w:styleId="TableGrid">
    <w:name w:val="Table Grid"/>
    <w:basedOn w:val="TableNormal"/>
    <w:uiPriority w:val="59"/>
    <w:semiHidden/>
    <w:rsid w:val="00932BC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32BC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32BC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32BC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32BC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32BC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32BC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32BC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32BC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32BC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32BC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32BC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32BC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32BC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32BC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32BC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32BC2"/>
    <w:pPr>
      <w:numPr>
        <w:numId w:val="4"/>
      </w:numPr>
    </w:pPr>
  </w:style>
  <w:style w:type="paragraph" w:customStyle="1" w:styleId="JuPara">
    <w:name w:val="Ju_Para"/>
    <w:aliases w:val="_Para"/>
    <w:basedOn w:val="NormalJustified"/>
    <w:link w:val="JuParaChar"/>
    <w:uiPriority w:val="4"/>
    <w:qFormat/>
    <w:rsid w:val="00932BC2"/>
    <w:pPr>
      <w:ind w:firstLine="284"/>
    </w:pPr>
  </w:style>
  <w:style w:type="numbering" w:styleId="1ai">
    <w:name w:val="Outline List 1"/>
    <w:basedOn w:val="NoList"/>
    <w:uiPriority w:val="99"/>
    <w:semiHidden/>
    <w:unhideWhenUsed/>
    <w:rsid w:val="00932BC2"/>
    <w:pPr>
      <w:numPr>
        <w:numId w:val="5"/>
      </w:numPr>
    </w:pPr>
  </w:style>
  <w:style w:type="table" w:customStyle="1" w:styleId="ECHRTableSimpleBox">
    <w:name w:val="ECHR_Table_Simple_Box"/>
    <w:basedOn w:val="TableNormal"/>
    <w:uiPriority w:val="99"/>
    <w:rsid w:val="00932BC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32BC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32BC2"/>
    <w:pPr>
      <w:numPr>
        <w:numId w:val="6"/>
      </w:numPr>
    </w:pPr>
  </w:style>
  <w:style w:type="table" w:customStyle="1" w:styleId="ECHRTableForInternalUse">
    <w:name w:val="ECHR_Table_For_Internal_Use"/>
    <w:basedOn w:val="TableNormal"/>
    <w:uiPriority w:val="99"/>
    <w:rsid w:val="00932BC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32BC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32BC2"/>
  </w:style>
  <w:style w:type="paragraph" w:styleId="BlockText">
    <w:name w:val="Block Text"/>
    <w:basedOn w:val="Normal"/>
    <w:uiPriority w:val="98"/>
    <w:semiHidden/>
    <w:rsid w:val="00932BC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32BC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32BC2"/>
    <w:pPr>
      <w:spacing w:after="120"/>
    </w:pPr>
  </w:style>
  <w:style w:type="character" w:customStyle="1" w:styleId="BodyTextChar">
    <w:name w:val="Body Text Char"/>
    <w:basedOn w:val="DefaultParagraphFont"/>
    <w:link w:val="BodyText"/>
    <w:uiPriority w:val="98"/>
    <w:semiHidden/>
    <w:rsid w:val="00932BC2"/>
    <w:rPr>
      <w:sz w:val="24"/>
      <w:szCs w:val="24"/>
      <w:lang w:val="en-GB"/>
    </w:rPr>
  </w:style>
  <w:style w:type="table" w:customStyle="1" w:styleId="ECHRTableOddBanded">
    <w:name w:val="ECHR_Table_Odd_Banded"/>
    <w:basedOn w:val="TableNormal"/>
    <w:uiPriority w:val="99"/>
    <w:rsid w:val="00932BC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32BC2"/>
    <w:pPr>
      <w:spacing w:after="120" w:line="480" w:lineRule="auto"/>
    </w:pPr>
  </w:style>
  <w:style w:type="table" w:customStyle="1" w:styleId="ECHRHeaderTableReduced">
    <w:name w:val="ECHR_Header_Table_Reduced"/>
    <w:basedOn w:val="TableNormal"/>
    <w:uiPriority w:val="99"/>
    <w:rsid w:val="00932BC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32BC2"/>
    <w:pPr>
      <w:ind w:firstLine="284"/>
    </w:pPr>
    <w:rPr>
      <w:b/>
    </w:rPr>
  </w:style>
  <w:style w:type="character" w:styleId="PageNumber">
    <w:name w:val="page number"/>
    <w:uiPriority w:val="98"/>
    <w:semiHidden/>
    <w:rsid w:val="00932BC2"/>
    <w:rPr>
      <w:sz w:val="18"/>
    </w:rPr>
  </w:style>
  <w:style w:type="paragraph" w:styleId="ListBullet">
    <w:name w:val="List Bullet"/>
    <w:basedOn w:val="Normal"/>
    <w:uiPriority w:val="98"/>
    <w:semiHidden/>
    <w:rsid w:val="00932BC2"/>
    <w:pPr>
      <w:numPr>
        <w:numId w:val="14"/>
      </w:numPr>
    </w:pPr>
  </w:style>
  <w:style w:type="paragraph" w:styleId="ListBullet3">
    <w:name w:val="List Bullet 3"/>
    <w:basedOn w:val="Normal"/>
    <w:uiPriority w:val="98"/>
    <w:semiHidden/>
    <w:rsid w:val="00932BC2"/>
    <w:pPr>
      <w:numPr>
        <w:numId w:val="16"/>
      </w:numPr>
      <w:contextualSpacing/>
    </w:pPr>
  </w:style>
  <w:style w:type="character" w:customStyle="1" w:styleId="BodyText2Char">
    <w:name w:val="Body Text 2 Char"/>
    <w:basedOn w:val="DefaultParagraphFont"/>
    <w:link w:val="BodyText2"/>
    <w:uiPriority w:val="98"/>
    <w:semiHidden/>
    <w:rsid w:val="00932BC2"/>
    <w:rPr>
      <w:sz w:val="24"/>
      <w:szCs w:val="24"/>
      <w:lang w:val="en-GB"/>
    </w:rPr>
  </w:style>
  <w:style w:type="paragraph" w:styleId="BodyText3">
    <w:name w:val="Body Text 3"/>
    <w:basedOn w:val="Normal"/>
    <w:link w:val="BodyText3Char"/>
    <w:uiPriority w:val="98"/>
    <w:semiHidden/>
    <w:rsid w:val="00932BC2"/>
    <w:pPr>
      <w:spacing w:after="120"/>
    </w:pPr>
    <w:rPr>
      <w:sz w:val="16"/>
      <w:szCs w:val="16"/>
    </w:rPr>
  </w:style>
  <w:style w:type="character" w:customStyle="1" w:styleId="BodyText3Char">
    <w:name w:val="Body Text 3 Char"/>
    <w:basedOn w:val="DefaultParagraphFont"/>
    <w:link w:val="BodyText3"/>
    <w:uiPriority w:val="98"/>
    <w:semiHidden/>
    <w:rsid w:val="00932BC2"/>
    <w:rPr>
      <w:sz w:val="16"/>
      <w:szCs w:val="16"/>
      <w:lang w:val="en-GB"/>
    </w:rPr>
  </w:style>
  <w:style w:type="paragraph" w:styleId="BodyTextFirstIndent">
    <w:name w:val="Body Text First Indent"/>
    <w:basedOn w:val="BodyText"/>
    <w:link w:val="BodyTextFirstIndentChar"/>
    <w:uiPriority w:val="98"/>
    <w:semiHidden/>
    <w:rsid w:val="00932BC2"/>
    <w:pPr>
      <w:spacing w:after="0"/>
      <w:ind w:firstLine="360"/>
    </w:pPr>
  </w:style>
  <w:style w:type="character" w:customStyle="1" w:styleId="BodyTextFirstIndentChar">
    <w:name w:val="Body Text First Indent Char"/>
    <w:basedOn w:val="BodyTextChar"/>
    <w:link w:val="BodyTextFirstIndent"/>
    <w:uiPriority w:val="98"/>
    <w:semiHidden/>
    <w:rsid w:val="00932BC2"/>
    <w:rPr>
      <w:sz w:val="24"/>
      <w:szCs w:val="24"/>
      <w:lang w:val="en-GB"/>
    </w:rPr>
  </w:style>
  <w:style w:type="paragraph" w:styleId="BodyTextIndent">
    <w:name w:val="Body Text Indent"/>
    <w:basedOn w:val="Normal"/>
    <w:link w:val="BodyTextIndentChar"/>
    <w:uiPriority w:val="98"/>
    <w:semiHidden/>
    <w:rsid w:val="00932BC2"/>
    <w:pPr>
      <w:spacing w:after="120"/>
      <w:ind w:left="283"/>
    </w:pPr>
  </w:style>
  <w:style w:type="character" w:customStyle="1" w:styleId="BodyTextIndentChar">
    <w:name w:val="Body Text Indent Char"/>
    <w:basedOn w:val="DefaultParagraphFont"/>
    <w:link w:val="BodyTextIndent"/>
    <w:uiPriority w:val="98"/>
    <w:semiHidden/>
    <w:rsid w:val="00932BC2"/>
    <w:rPr>
      <w:sz w:val="24"/>
      <w:szCs w:val="24"/>
      <w:lang w:val="en-GB"/>
    </w:rPr>
  </w:style>
  <w:style w:type="paragraph" w:styleId="BodyTextFirstIndent2">
    <w:name w:val="Body Text First Indent 2"/>
    <w:basedOn w:val="BodyTextIndent"/>
    <w:link w:val="BodyTextFirstIndent2Char"/>
    <w:uiPriority w:val="98"/>
    <w:semiHidden/>
    <w:rsid w:val="00932BC2"/>
    <w:pPr>
      <w:spacing w:after="0"/>
      <w:ind w:left="360" w:firstLine="360"/>
    </w:pPr>
  </w:style>
  <w:style w:type="character" w:customStyle="1" w:styleId="BodyTextFirstIndent2Char">
    <w:name w:val="Body Text First Indent 2 Char"/>
    <w:basedOn w:val="BodyTextIndentChar"/>
    <w:link w:val="BodyTextFirstIndent2"/>
    <w:uiPriority w:val="98"/>
    <w:semiHidden/>
    <w:rsid w:val="00932BC2"/>
    <w:rPr>
      <w:sz w:val="24"/>
      <w:szCs w:val="24"/>
      <w:lang w:val="en-GB"/>
    </w:rPr>
  </w:style>
  <w:style w:type="paragraph" w:styleId="BodyTextIndent2">
    <w:name w:val="Body Text Indent 2"/>
    <w:basedOn w:val="Normal"/>
    <w:link w:val="BodyTextIndent2Char"/>
    <w:uiPriority w:val="98"/>
    <w:semiHidden/>
    <w:rsid w:val="00932BC2"/>
    <w:pPr>
      <w:spacing w:after="120" w:line="480" w:lineRule="auto"/>
      <w:ind w:left="283"/>
    </w:pPr>
  </w:style>
  <w:style w:type="character" w:customStyle="1" w:styleId="BodyTextIndent2Char">
    <w:name w:val="Body Text Indent 2 Char"/>
    <w:basedOn w:val="DefaultParagraphFont"/>
    <w:link w:val="BodyTextIndent2"/>
    <w:uiPriority w:val="98"/>
    <w:semiHidden/>
    <w:rsid w:val="00932BC2"/>
    <w:rPr>
      <w:sz w:val="24"/>
      <w:szCs w:val="24"/>
      <w:lang w:val="en-GB"/>
    </w:rPr>
  </w:style>
  <w:style w:type="paragraph" w:styleId="BodyTextIndent3">
    <w:name w:val="Body Text Indent 3"/>
    <w:basedOn w:val="Normal"/>
    <w:link w:val="BodyTextIndent3Char"/>
    <w:uiPriority w:val="98"/>
    <w:semiHidden/>
    <w:rsid w:val="00932BC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32BC2"/>
    <w:rPr>
      <w:sz w:val="16"/>
      <w:szCs w:val="16"/>
      <w:lang w:val="en-GB"/>
    </w:rPr>
  </w:style>
  <w:style w:type="paragraph" w:styleId="Caption">
    <w:name w:val="caption"/>
    <w:basedOn w:val="Normal"/>
    <w:next w:val="Normal"/>
    <w:uiPriority w:val="98"/>
    <w:semiHidden/>
    <w:qFormat/>
    <w:rsid w:val="00932BC2"/>
    <w:pPr>
      <w:spacing w:after="200"/>
    </w:pPr>
    <w:rPr>
      <w:b/>
      <w:bCs/>
      <w:color w:val="0072BC" w:themeColor="accent1"/>
      <w:sz w:val="18"/>
      <w:szCs w:val="18"/>
    </w:rPr>
  </w:style>
  <w:style w:type="paragraph" w:styleId="Closing">
    <w:name w:val="Closing"/>
    <w:basedOn w:val="Normal"/>
    <w:link w:val="ClosingChar"/>
    <w:uiPriority w:val="98"/>
    <w:semiHidden/>
    <w:rsid w:val="00932BC2"/>
    <w:pPr>
      <w:ind w:left="4252"/>
    </w:pPr>
  </w:style>
  <w:style w:type="character" w:customStyle="1" w:styleId="ClosingChar">
    <w:name w:val="Closing Char"/>
    <w:basedOn w:val="DefaultParagraphFont"/>
    <w:link w:val="Closing"/>
    <w:uiPriority w:val="98"/>
    <w:semiHidden/>
    <w:rsid w:val="00932BC2"/>
    <w:rPr>
      <w:sz w:val="24"/>
      <w:szCs w:val="24"/>
      <w:lang w:val="en-GB"/>
    </w:rPr>
  </w:style>
  <w:style w:type="table" w:styleId="ColorfulGrid">
    <w:name w:val="Colorful Grid"/>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32BC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32BC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32BC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32BC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32BC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32BC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32BC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32BC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32BC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32BC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32BC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32BC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32BC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32BC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32BC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32BC2"/>
    <w:rPr>
      <w:sz w:val="16"/>
      <w:szCs w:val="16"/>
    </w:rPr>
  </w:style>
  <w:style w:type="paragraph" w:styleId="CommentText">
    <w:name w:val="annotation text"/>
    <w:basedOn w:val="Normal"/>
    <w:link w:val="CommentTextChar"/>
    <w:uiPriority w:val="98"/>
    <w:semiHidden/>
    <w:rsid w:val="00932BC2"/>
    <w:rPr>
      <w:sz w:val="20"/>
      <w:szCs w:val="20"/>
    </w:rPr>
  </w:style>
  <w:style w:type="character" w:customStyle="1" w:styleId="CommentTextChar">
    <w:name w:val="Comment Text Char"/>
    <w:basedOn w:val="DefaultParagraphFont"/>
    <w:link w:val="CommentText"/>
    <w:uiPriority w:val="98"/>
    <w:semiHidden/>
    <w:rsid w:val="00932BC2"/>
    <w:rPr>
      <w:sz w:val="20"/>
      <w:szCs w:val="20"/>
      <w:lang w:val="en-GB"/>
    </w:rPr>
  </w:style>
  <w:style w:type="paragraph" w:styleId="CommentSubject">
    <w:name w:val="annotation subject"/>
    <w:basedOn w:val="CommentText"/>
    <w:next w:val="CommentText"/>
    <w:link w:val="CommentSubjectChar"/>
    <w:uiPriority w:val="98"/>
    <w:semiHidden/>
    <w:rsid w:val="00932BC2"/>
    <w:rPr>
      <w:b/>
      <w:bCs/>
    </w:rPr>
  </w:style>
  <w:style w:type="character" w:customStyle="1" w:styleId="CommentSubjectChar">
    <w:name w:val="Comment Subject Char"/>
    <w:basedOn w:val="CommentTextChar"/>
    <w:link w:val="CommentSubject"/>
    <w:uiPriority w:val="98"/>
    <w:semiHidden/>
    <w:rsid w:val="00932BC2"/>
    <w:rPr>
      <w:b/>
      <w:bCs/>
      <w:sz w:val="20"/>
      <w:szCs w:val="20"/>
      <w:lang w:val="en-GB"/>
    </w:rPr>
  </w:style>
  <w:style w:type="table" w:styleId="DarkList">
    <w:name w:val="Dark List"/>
    <w:basedOn w:val="TableNormal"/>
    <w:uiPriority w:val="70"/>
    <w:semiHidden/>
    <w:rsid w:val="00932BC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32BC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32BC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32BC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32BC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32BC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32BC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32BC2"/>
  </w:style>
  <w:style w:type="character" w:customStyle="1" w:styleId="DateChar">
    <w:name w:val="Date Char"/>
    <w:basedOn w:val="DefaultParagraphFont"/>
    <w:link w:val="Date"/>
    <w:uiPriority w:val="98"/>
    <w:semiHidden/>
    <w:rsid w:val="00932BC2"/>
    <w:rPr>
      <w:sz w:val="24"/>
      <w:szCs w:val="24"/>
      <w:lang w:val="en-GB"/>
    </w:rPr>
  </w:style>
  <w:style w:type="paragraph" w:styleId="DocumentMap">
    <w:name w:val="Document Map"/>
    <w:basedOn w:val="Normal"/>
    <w:link w:val="DocumentMapChar"/>
    <w:uiPriority w:val="98"/>
    <w:semiHidden/>
    <w:rsid w:val="00932BC2"/>
    <w:rPr>
      <w:rFonts w:ascii="Tahoma" w:hAnsi="Tahoma" w:cs="Tahoma"/>
      <w:sz w:val="16"/>
      <w:szCs w:val="16"/>
    </w:rPr>
  </w:style>
  <w:style w:type="character" w:customStyle="1" w:styleId="DocumentMapChar">
    <w:name w:val="Document Map Char"/>
    <w:basedOn w:val="DefaultParagraphFont"/>
    <w:link w:val="DocumentMap"/>
    <w:uiPriority w:val="98"/>
    <w:semiHidden/>
    <w:rsid w:val="00932BC2"/>
    <w:rPr>
      <w:rFonts w:ascii="Tahoma" w:hAnsi="Tahoma" w:cs="Tahoma"/>
      <w:sz w:val="16"/>
      <w:szCs w:val="16"/>
      <w:lang w:val="en-GB"/>
    </w:rPr>
  </w:style>
  <w:style w:type="paragraph" w:styleId="E-mailSignature">
    <w:name w:val="E-mail Signature"/>
    <w:basedOn w:val="Normal"/>
    <w:link w:val="E-mailSignatureChar"/>
    <w:uiPriority w:val="98"/>
    <w:semiHidden/>
    <w:rsid w:val="00932BC2"/>
  </w:style>
  <w:style w:type="character" w:customStyle="1" w:styleId="E-mailSignatureChar">
    <w:name w:val="E-mail Signature Char"/>
    <w:basedOn w:val="DefaultParagraphFont"/>
    <w:link w:val="E-mailSignature"/>
    <w:uiPriority w:val="98"/>
    <w:semiHidden/>
    <w:rsid w:val="00932BC2"/>
    <w:rPr>
      <w:sz w:val="24"/>
      <w:szCs w:val="24"/>
      <w:lang w:val="en-GB"/>
    </w:rPr>
  </w:style>
  <w:style w:type="character" w:styleId="EndnoteReference">
    <w:name w:val="endnote reference"/>
    <w:basedOn w:val="DefaultParagraphFont"/>
    <w:uiPriority w:val="98"/>
    <w:semiHidden/>
    <w:rsid w:val="00932BC2"/>
    <w:rPr>
      <w:vertAlign w:val="superscript"/>
    </w:rPr>
  </w:style>
  <w:style w:type="paragraph" w:styleId="EndnoteText">
    <w:name w:val="endnote text"/>
    <w:basedOn w:val="Normal"/>
    <w:link w:val="EndnoteTextChar"/>
    <w:uiPriority w:val="98"/>
    <w:semiHidden/>
    <w:rsid w:val="00932BC2"/>
    <w:rPr>
      <w:sz w:val="20"/>
      <w:szCs w:val="20"/>
    </w:rPr>
  </w:style>
  <w:style w:type="character" w:customStyle="1" w:styleId="EndnoteTextChar">
    <w:name w:val="Endnote Text Char"/>
    <w:basedOn w:val="DefaultParagraphFont"/>
    <w:link w:val="EndnoteText"/>
    <w:uiPriority w:val="98"/>
    <w:semiHidden/>
    <w:rsid w:val="00932BC2"/>
    <w:rPr>
      <w:sz w:val="20"/>
      <w:szCs w:val="20"/>
      <w:lang w:val="en-GB"/>
    </w:rPr>
  </w:style>
  <w:style w:type="paragraph" w:styleId="EnvelopeAddress">
    <w:name w:val="envelope address"/>
    <w:basedOn w:val="Normal"/>
    <w:uiPriority w:val="98"/>
    <w:semiHidden/>
    <w:rsid w:val="00932BC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32BC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32BC2"/>
    <w:rPr>
      <w:color w:val="7030A0" w:themeColor="followedHyperlink"/>
      <w:u w:val="single"/>
    </w:rPr>
  </w:style>
  <w:style w:type="character" w:styleId="HTMLAcronym">
    <w:name w:val="HTML Acronym"/>
    <w:basedOn w:val="DefaultParagraphFont"/>
    <w:uiPriority w:val="98"/>
    <w:semiHidden/>
    <w:rsid w:val="00932BC2"/>
  </w:style>
  <w:style w:type="paragraph" w:styleId="HTMLAddress">
    <w:name w:val="HTML Address"/>
    <w:basedOn w:val="Normal"/>
    <w:link w:val="HTMLAddressChar"/>
    <w:uiPriority w:val="98"/>
    <w:semiHidden/>
    <w:rsid w:val="00932BC2"/>
    <w:rPr>
      <w:i/>
      <w:iCs/>
    </w:rPr>
  </w:style>
  <w:style w:type="character" w:customStyle="1" w:styleId="HTMLAddressChar">
    <w:name w:val="HTML Address Char"/>
    <w:basedOn w:val="DefaultParagraphFont"/>
    <w:link w:val="HTMLAddress"/>
    <w:uiPriority w:val="98"/>
    <w:semiHidden/>
    <w:rsid w:val="00932BC2"/>
    <w:rPr>
      <w:i/>
      <w:iCs/>
      <w:sz w:val="24"/>
      <w:szCs w:val="24"/>
      <w:lang w:val="en-GB"/>
    </w:rPr>
  </w:style>
  <w:style w:type="character" w:styleId="HTMLCite">
    <w:name w:val="HTML Cite"/>
    <w:basedOn w:val="DefaultParagraphFont"/>
    <w:uiPriority w:val="98"/>
    <w:semiHidden/>
    <w:rsid w:val="00932BC2"/>
    <w:rPr>
      <w:i/>
      <w:iCs/>
    </w:rPr>
  </w:style>
  <w:style w:type="character" w:styleId="HTMLCode">
    <w:name w:val="HTML Code"/>
    <w:basedOn w:val="DefaultParagraphFont"/>
    <w:uiPriority w:val="98"/>
    <w:semiHidden/>
    <w:rsid w:val="00932BC2"/>
    <w:rPr>
      <w:rFonts w:ascii="Consolas" w:hAnsi="Consolas" w:cs="Consolas"/>
      <w:sz w:val="20"/>
      <w:szCs w:val="20"/>
    </w:rPr>
  </w:style>
  <w:style w:type="character" w:styleId="HTMLDefinition">
    <w:name w:val="HTML Definition"/>
    <w:basedOn w:val="DefaultParagraphFont"/>
    <w:uiPriority w:val="98"/>
    <w:semiHidden/>
    <w:rsid w:val="00932BC2"/>
    <w:rPr>
      <w:i/>
      <w:iCs/>
    </w:rPr>
  </w:style>
  <w:style w:type="character" w:styleId="HTMLKeyboard">
    <w:name w:val="HTML Keyboard"/>
    <w:basedOn w:val="DefaultParagraphFont"/>
    <w:uiPriority w:val="98"/>
    <w:semiHidden/>
    <w:rsid w:val="00932BC2"/>
    <w:rPr>
      <w:rFonts w:ascii="Consolas" w:hAnsi="Consolas" w:cs="Consolas"/>
      <w:sz w:val="20"/>
      <w:szCs w:val="20"/>
    </w:rPr>
  </w:style>
  <w:style w:type="paragraph" w:styleId="HTMLPreformatted">
    <w:name w:val="HTML Preformatted"/>
    <w:basedOn w:val="Normal"/>
    <w:link w:val="HTMLPreformattedChar"/>
    <w:uiPriority w:val="98"/>
    <w:semiHidden/>
    <w:rsid w:val="00932BC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32BC2"/>
    <w:rPr>
      <w:rFonts w:ascii="Consolas" w:hAnsi="Consolas" w:cs="Consolas"/>
      <w:sz w:val="20"/>
      <w:szCs w:val="20"/>
      <w:lang w:val="en-GB"/>
    </w:rPr>
  </w:style>
  <w:style w:type="character" w:styleId="HTMLSample">
    <w:name w:val="HTML Sample"/>
    <w:basedOn w:val="DefaultParagraphFont"/>
    <w:uiPriority w:val="98"/>
    <w:semiHidden/>
    <w:rsid w:val="00932BC2"/>
    <w:rPr>
      <w:rFonts w:ascii="Consolas" w:hAnsi="Consolas" w:cs="Consolas"/>
      <w:sz w:val="24"/>
      <w:szCs w:val="24"/>
    </w:rPr>
  </w:style>
  <w:style w:type="character" w:styleId="HTMLTypewriter">
    <w:name w:val="HTML Typewriter"/>
    <w:basedOn w:val="DefaultParagraphFont"/>
    <w:uiPriority w:val="98"/>
    <w:semiHidden/>
    <w:rsid w:val="00932BC2"/>
    <w:rPr>
      <w:rFonts w:ascii="Consolas" w:hAnsi="Consolas" w:cs="Consolas"/>
      <w:sz w:val="20"/>
      <w:szCs w:val="20"/>
    </w:rPr>
  </w:style>
  <w:style w:type="character" w:styleId="HTMLVariable">
    <w:name w:val="HTML Variable"/>
    <w:basedOn w:val="DefaultParagraphFont"/>
    <w:uiPriority w:val="98"/>
    <w:semiHidden/>
    <w:rsid w:val="00932BC2"/>
    <w:rPr>
      <w:i/>
      <w:iCs/>
    </w:rPr>
  </w:style>
  <w:style w:type="paragraph" w:styleId="Index1">
    <w:name w:val="index 1"/>
    <w:basedOn w:val="Normal"/>
    <w:next w:val="Normal"/>
    <w:autoRedefine/>
    <w:uiPriority w:val="98"/>
    <w:semiHidden/>
    <w:rsid w:val="00932BC2"/>
    <w:pPr>
      <w:ind w:left="240" w:hanging="240"/>
    </w:pPr>
  </w:style>
  <w:style w:type="paragraph" w:styleId="Index2">
    <w:name w:val="index 2"/>
    <w:basedOn w:val="Normal"/>
    <w:next w:val="Normal"/>
    <w:autoRedefine/>
    <w:uiPriority w:val="98"/>
    <w:semiHidden/>
    <w:rsid w:val="00932BC2"/>
    <w:pPr>
      <w:ind w:left="480" w:hanging="240"/>
    </w:pPr>
  </w:style>
  <w:style w:type="paragraph" w:styleId="Index3">
    <w:name w:val="index 3"/>
    <w:basedOn w:val="Normal"/>
    <w:next w:val="Normal"/>
    <w:autoRedefine/>
    <w:uiPriority w:val="98"/>
    <w:semiHidden/>
    <w:rsid w:val="00932BC2"/>
    <w:pPr>
      <w:ind w:left="720" w:hanging="240"/>
    </w:pPr>
  </w:style>
  <w:style w:type="paragraph" w:styleId="Index4">
    <w:name w:val="index 4"/>
    <w:basedOn w:val="Normal"/>
    <w:next w:val="Normal"/>
    <w:autoRedefine/>
    <w:uiPriority w:val="98"/>
    <w:semiHidden/>
    <w:rsid w:val="00932BC2"/>
    <w:pPr>
      <w:ind w:left="960" w:hanging="240"/>
    </w:pPr>
  </w:style>
  <w:style w:type="paragraph" w:styleId="Index5">
    <w:name w:val="index 5"/>
    <w:basedOn w:val="Normal"/>
    <w:next w:val="Normal"/>
    <w:autoRedefine/>
    <w:uiPriority w:val="98"/>
    <w:semiHidden/>
    <w:rsid w:val="00932BC2"/>
    <w:pPr>
      <w:ind w:left="1200" w:hanging="240"/>
    </w:pPr>
  </w:style>
  <w:style w:type="paragraph" w:styleId="Index6">
    <w:name w:val="index 6"/>
    <w:basedOn w:val="Normal"/>
    <w:next w:val="Normal"/>
    <w:autoRedefine/>
    <w:uiPriority w:val="98"/>
    <w:semiHidden/>
    <w:rsid w:val="00932BC2"/>
    <w:pPr>
      <w:ind w:left="1440" w:hanging="240"/>
    </w:pPr>
  </w:style>
  <w:style w:type="paragraph" w:styleId="Index7">
    <w:name w:val="index 7"/>
    <w:basedOn w:val="Normal"/>
    <w:next w:val="Normal"/>
    <w:autoRedefine/>
    <w:uiPriority w:val="98"/>
    <w:semiHidden/>
    <w:rsid w:val="00932BC2"/>
    <w:pPr>
      <w:ind w:left="1680" w:hanging="240"/>
    </w:pPr>
  </w:style>
  <w:style w:type="paragraph" w:styleId="Index8">
    <w:name w:val="index 8"/>
    <w:basedOn w:val="Normal"/>
    <w:next w:val="Normal"/>
    <w:autoRedefine/>
    <w:uiPriority w:val="98"/>
    <w:semiHidden/>
    <w:rsid w:val="00932BC2"/>
    <w:pPr>
      <w:ind w:left="1920" w:hanging="240"/>
    </w:pPr>
  </w:style>
  <w:style w:type="paragraph" w:styleId="Index9">
    <w:name w:val="index 9"/>
    <w:basedOn w:val="Normal"/>
    <w:next w:val="Normal"/>
    <w:autoRedefine/>
    <w:uiPriority w:val="98"/>
    <w:semiHidden/>
    <w:rsid w:val="00932BC2"/>
    <w:pPr>
      <w:ind w:left="2160" w:hanging="240"/>
    </w:pPr>
  </w:style>
  <w:style w:type="paragraph" w:styleId="IndexHeading">
    <w:name w:val="index heading"/>
    <w:basedOn w:val="Normal"/>
    <w:next w:val="Index1"/>
    <w:uiPriority w:val="98"/>
    <w:semiHidden/>
    <w:rsid w:val="00932BC2"/>
    <w:rPr>
      <w:rFonts w:asciiTheme="majorHAnsi" w:eastAsiaTheme="majorEastAsia" w:hAnsiTheme="majorHAnsi" w:cstheme="majorBidi"/>
      <w:b/>
      <w:bCs/>
    </w:rPr>
  </w:style>
  <w:style w:type="table" w:styleId="LightGrid">
    <w:name w:val="Light Grid"/>
    <w:basedOn w:val="TableNormal"/>
    <w:uiPriority w:val="62"/>
    <w:semiHidden/>
    <w:rsid w:val="00932BC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32BC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32BC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32BC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32BC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32BC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32BC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32BC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32BC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32BC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32BC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32BC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32BC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32BC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32BC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32BC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32BC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32BC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32BC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32BC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32BC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32BC2"/>
  </w:style>
  <w:style w:type="paragraph" w:styleId="List">
    <w:name w:val="List"/>
    <w:basedOn w:val="Normal"/>
    <w:uiPriority w:val="98"/>
    <w:semiHidden/>
    <w:rsid w:val="00932BC2"/>
    <w:pPr>
      <w:ind w:left="283" w:hanging="283"/>
      <w:contextualSpacing/>
    </w:pPr>
  </w:style>
  <w:style w:type="paragraph" w:styleId="List2">
    <w:name w:val="List 2"/>
    <w:basedOn w:val="Normal"/>
    <w:uiPriority w:val="98"/>
    <w:semiHidden/>
    <w:rsid w:val="00932BC2"/>
    <w:pPr>
      <w:ind w:left="566" w:hanging="283"/>
      <w:contextualSpacing/>
    </w:pPr>
  </w:style>
  <w:style w:type="paragraph" w:styleId="List3">
    <w:name w:val="List 3"/>
    <w:basedOn w:val="Normal"/>
    <w:uiPriority w:val="98"/>
    <w:semiHidden/>
    <w:rsid w:val="00932BC2"/>
    <w:pPr>
      <w:ind w:left="849" w:hanging="283"/>
      <w:contextualSpacing/>
    </w:pPr>
  </w:style>
  <w:style w:type="paragraph" w:styleId="List4">
    <w:name w:val="List 4"/>
    <w:basedOn w:val="Normal"/>
    <w:uiPriority w:val="98"/>
    <w:semiHidden/>
    <w:rsid w:val="00932BC2"/>
    <w:pPr>
      <w:ind w:left="1132" w:hanging="283"/>
      <w:contextualSpacing/>
    </w:pPr>
  </w:style>
  <w:style w:type="paragraph" w:styleId="List5">
    <w:name w:val="List 5"/>
    <w:basedOn w:val="Normal"/>
    <w:uiPriority w:val="98"/>
    <w:semiHidden/>
    <w:rsid w:val="00932BC2"/>
    <w:pPr>
      <w:ind w:left="1415" w:hanging="283"/>
      <w:contextualSpacing/>
    </w:pPr>
  </w:style>
  <w:style w:type="paragraph" w:styleId="ListBullet2">
    <w:name w:val="List Bullet 2"/>
    <w:basedOn w:val="Normal"/>
    <w:uiPriority w:val="98"/>
    <w:semiHidden/>
    <w:rsid w:val="00932BC2"/>
    <w:pPr>
      <w:numPr>
        <w:numId w:val="15"/>
      </w:numPr>
      <w:contextualSpacing/>
    </w:pPr>
  </w:style>
  <w:style w:type="paragraph" w:styleId="ListBullet4">
    <w:name w:val="List Bullet 4"/>
    <w:basedOn w:val="Normal"/>
    <w:uiPriority w:val="98"/>
    <w:semiHidden/>
    <w:rsid w:val="00932BC2"/>
    <w:pPr>
      <w:numPr>
        <w:numId w:val="17"/>
      </w:numPr>
      <w:contextualSpacing/>
    </w:pPr>
  </w:style>
  <w:style w:type="paragraph" w:styleId="ListBullet5">
    <w:name w:val="List Bullet 5"/>
    <w:basedOn w:val="Normal"/>
    <w:uiPriority w:val="98"/>
    <w:semiHidden/>
    <w:rsid w:val="00932BC2"/>
    <w:pPr>
      <w:numPr>
        <w:numId w:val="18"/>
      </w:numPr>
      <w:contextualSpacing/>
    </w:pPr>
  </w:style>
  <w:style w:type="paragraph" w:styleId="ListContinue">
    <w:name w:val="List Continue"/>
    <w:basedOn w:val="Normal"/>
    <w:uiPriority w:val="98"/>
    <w:semiHidden/>
    <w:rsid w:val="00932BC2"/>
    <w:pPr>
      <w:spacing w:after="120"/>
      <w:ind w:left="283"/>
      <w:contextualSpacing/>
    </w:pPr>
  </w:style>
  <w:style w:type="paragraph" w:styleId="ListContinue2">
    <w:name w:val="List Continue 2"/>
    <w:basedOn w:val="Normal"/>
    <w:uiPriority w:val="98"/>
    <w:semiHidden/>
    <w:rsid w:val="00932BC2"/>
    <w:pPr>
      <w:spacing w:after="120"/>
      <w:ind w:left="566"/>
      <w:contextualSpacing/>
    </w:pPr>
  </w:style>
  <w:style w:type="paragraph" w:styleId="ListContinue3">
    <w:name w:val="List Continue 3"/>
    <w:basedOn w:val="Normal"/>
    <w:uiPriority w:val="98"/>
    <w:semiHidden/>
    <w:rsid w:val="00932BC2"/>
    <w:pPr>
      <w:spacing w:after="120"/>
      <w:ind w:left="849"/>
      <w:contextualSpacing/>
    </w:pPr>
  </w:style>
  <w:style w:type="paragraph" w:styleId="ListContinue4">
    <w:name w:val="List Continue 4"/>
    <w:basedOn w:val="Normal"/>
    <w:uiPriority w:val="98"/>
    <w:semiHidden/>
    <w:rsid w:val="00932BC2"/>
    <w:pPr>
      <w:spacing w:after="120"/>
      <w:ind w:left="1132"/>
      <w:contextualSpacing/>
    </w:pPr>
  </w:style>
  <w:style w:type="paragraph" w:styleId="ListContinue5">
    <w:name w:val="List Continue 5"/>
    <w:basedOn w:val="Normal"/>
    <w:uiPriority w:val="98"/>
    <w:semiHidden/>
    <w:rsid w:val="00932BC2"/>
    <w:pPr>
      <w:spacing w:after="120"/>
      <w:ind w:left="1415"/>
      <w:contextualSpacing/>
    </w:pPr>
  </w:style>
  <w:style w:type="paragraph" w:styleId="ListNumber">
    <w:name w:val="List Number"/>
    <w:basedOn w:val="Normal"/>
    <w:uiPriority w:val="98"/>
    <w:semiHidden/>
    <w:rsid w:val="00932BC2"/>
    <w:pPr>
      <w:numPr>
        <w:numId w:val="19"/>
      </w:numPr>
      <w:contextualSpacing/>
    </w:pPr>
  </w:style>
  <w:style w:type="paragraph" w:styleId="ListNumber2">
    <w:name w:val="List Number 2"/>
    <w:basedOn w:val="Normal"/>
    <w:uiPriority w:val="98"/>
    <w:semiHidden/>
    <w:rsid w:val="00932BC2"/>
    <w:pPr>
      <w:numPr>
        <w:numId w:val="20"/>
      </w:numPr>
      <w:contextualSpacing/>
    </w:pPr>
  </w:style>
  <w:style w:type="paragraph" w:styleId="ListNumber3">
    <w:name w:val="List Number 3"/>
    <w:basedOn w:val="Normal"/>
    <w:uiPriority w:val="98"/>
    <w:semiHidden/>
    <w:rsid w:val="00932BC2"/>
    <w:pPr>
      <w:numPr>
        <w:numId w:val="21"/>
      </w:numPr>
      <w:contextualSpacing/>
    </w:pPr>
  </w:style>
  <w:style w:type="paragraph" w:styleId="ListNumber4">
    <w:name w:val="List Number 4"/>
    <w:basedOn w:val="Normal"/>
    <w:uiPriority w:val="98"/>
    <w:semiHidden/>
    <w:rsid w:val="00932BC2"/>
    <w:pPr>
      <w:numPr>
        <w:numId w:val="22"/>
      </w:numPr>
      <w:contextualSpacing/>
    </w:pPr>
  </w:style>
  <w:style w:type="paragraph" w:styleId="ListNumber5">
    <w:name w:val="List Number 5"/>
    <w:basedOn w:val="Normal"/>
    <w:uiPriority w:val="98"/>
    <w:semiHidden/>
    <w:rsid w:val="00932BC2"/>
    <w:pPr>
      <w:numPr>
        <w:numId w:val="23"/>
      </w:numPr>
      <w:contextualSpacing/>
    </w:pPr>
  </w:style>
  <w:style w:type="paragraph" w:styleId="MacroText">
    <w:name w:val="macro"/>
    <w:link w:val="MacroTextChar"/>
    <w:uiPriority w:val="98"/>
    <w:semiHidden/>
    <w:rsid w:val="00932BC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32BC2"/>
    <w:rPr>
      <w:rFonts w:ascii="Consolas" w:eastAsiaTheme="minorEastAsia" w:hAnsi="Consolas" w:cs="Consolas"/>
      <w:sz w:val="20"/>
      <w:szCs w:val="20"/>
    </w:rPr>
  </w:style>
  <w:style w:type="table" w:styleId="MediumGrid1">
    <w:name w:val="Medium Grid 1"/>
    <w:basedOn w:val="TableNormal"/>
    <w:uiPriority w:val="67"/>
    <w:semiHidden/>
    <w:rsid w:val="00932BC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32BC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32BC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32BC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32BC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32BC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32BC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32BC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32BC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32BC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32BC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32BC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32BC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32BC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32BC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32BC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32BC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32BC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32BC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32BC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32BC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32BC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32BC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32B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32BC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32BC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32BC2"/>
    <w:rPr>
      <w:rFonts w:ascii="Times New Roman" w:hAnsi="Times New Roman" w:cs="Times New Roman"/>
    </w:rPr>
  </w:style>
  <w:style w:type="paragraph" w:styleId="NormalIndent">
    <w:name w:val="Normal Indent"/>
    <w:basedOn w:val="Normal"/>
    <w:uiPriority w:val="98"/>
    <w:semiHidden/>
    <w:rsid w:val="00932BC2"/>
    <w:pPr>
      <w:ind w:left="720"/>
    </w:pPr>
  </w:style>
  <w:style w:type="paragraph" w:styleId="NoteHeading">
    <w:name w:val="Note Heading"/>
    <w:basedOn w:val="Normal"/>
    <w:next w:val="Normal"/>
    <w:link w:val="NoteHeadingChar"/>
    <w:uiPriority w:val="98"/>
    <w:semiHidden/>
    <w:rsid w:val="00932BC2"/>
  </w:style>
  <w:style w:type="character" w:customStyle="1" w:styleId="NoteHeadingChar">
    <w:name w:val="Note Heading Char"/>
    <w:basedOn w:val="DefaultParagraphFont"/>
    <w:link w:val="NoteHeading"/>
    <w:uiPriority w:val="98"/>
    <w:semiHidden/>
    <w:rsid w:val="00932BC2"/>
    <w:rPr>
      <w:sz w:val="24"/>
      <w:szCs w:val="24"/>
      <w:lang w:val="en-GB"/>
    </w:rPr>
  </w:style>
  <w:style w:type="character" w:styleId="PlaceholderText">
    <w:name w:val="Placeholder Text"/>
    <w:basedOn w:val="DefaultParagraphFont"/>
    <w:uiPriority w:val="98"/>
    <w:semiHidden/>
    <w:rsid w:val="00932BC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32BC2"/>
    <w:rPr>
      <w:rFonts w:ascii="Consolas" w:hAnsi="Consolas" w:cs="Consolas"/>
      <w:sz w:val="21"/>
      <w:szCs w:val="21"/>
    </w:rPr>
  </w:style>
  <w:style w:type="character" w:customStyle="1" w:styleId="PlainTextChar">
    <w:name w:val="Plain Text Char"/>
    <w:basedOn w:val="DefaultParagraphFont"/>
    <w:link w:val="PlainText"/>
    <w:uiPriority w:val="98"/>
    <w:semiHidden/>
    <w:rsid w:val="00932BC2"/>
    <w:rPr>
      <w:rFonts w:ascii="Consolas" w:hAnsi="Consolas" w:cs="Consolas"/>
      <w:sz w:val="21"/>
      <w:szCs w:val="21"/>
      <w:lang w:val="en-GB"/>
    </w:rPr>
  </w:style>
  <w:style w:type="paragraph" w:styleId="Salutation">
    <w:name w:val="Salutation"/>
    <w:basedOn w:val="Normal"/>
    <w:next w:val="Normal"/>
    <w:link w:val="SalutationChar"/>
    <w:uiPriority w:val="98"/>
    <w:semiHidden/>
    <w:rsid w:val="00932BC2"/>
  </w:style>
  <w:style w:type="character" w:customStyle="1" w:styleId="SalutationChar">
    <w:name w:val="Salutation Char"/>
    <w:basedOn w:val="DefaultParagraphFont"/>
    <w:link w:val="Salutation"/>
    <w:uiPriority w:val="98"/>
    <w:semiHidden/>
    <w:rsid w:val="00932BC2"/>
    <w:rPr>
      <w:sz w:val="24"/>
      <w:szCs w:val="24"/>
      <w:lang w:val="en-GB"/>
    </w:rPr>
  </w:style>
  <w:style w:type="paragraph" w:styleId="Signature">
    <w:name w:val="Signature"/>
    <w:basedOn w:val="Normal"/>
    <w:link w:val="SignatureChar"/>
    <w:uiPriority w:val="98"/>
    <w:semiHidden/>
    <w:rsid w:val="00932BC2"/>
    <w:pPr>
      <w:ind w:left="4252"/>
    </w:pPr>
  </w:style>
  <w:style w:type="character" w:customStyle="1" w:styleId="SignatureChar">
    <w:name w:val="Signature Char"/>
    <w:basedOn w:val="DefaultParagraphFont"/>
    <w:link w:val="Signature"/>
    <w:uiPriority w:val="98"/>
    <w:semiHidden/>
    <w:rsid w:val="00932BC2"/>
    <w:rPr>
      <w:sz w:val="24"/>
      <w:szCs w:val="24"/>
      <w:lang w:val="en-GB"/>
    </w:rPr>
  </w:style>
  <w:style w:type="table" w:styleId="Table3Deffects1">
    <w:name w:val="Table 3D effects 1"/>
    <w:basedOn w:val="TableNormal"/>
    <w:uiPriority w:val="99"/>
    <w:semiHidden/>
    <w:unhideWhenUsed/>
    <w:rsid w:val="00932BC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2BC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2BC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2BC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2BC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2BC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2BC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2BC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2BC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2BC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2BC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2BC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2BC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2BC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2BC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2BC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2BC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2BC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2BC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2BC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2BC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2BC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2BC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2BC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2BC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2BC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2BC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2BC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2BC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2BC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2BC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2BC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2BC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32BC2"/>
    <w:pPr>
      <w:ind w:left="240" w:hanging="240"/>
    </w:pPr>
  </w:style>
  <w:style w:type="paragraph" w:styleId="TableofFigures">
    <w:name w:val="table of figures"/>
    <w:basedOn w:val="Normal"/>
    <w:next w:val="Normal"/>
    <w:uiPriority w:val="98"/>
    <w:semiHidden/>
    <w:rsid w:val="00932BC2"/>
  </w:style>
  <w:style w:type="table" w:styleId="TableProfessional">
    <w:name w:val="Table Professional"/>
    <w:basedOn w:val="TableNormal"/>
    <w:uiPriority w:val="99"/>
    <w:semiHidden/>
    <w:unhideWhenUsed/>
    <w:rsid w:val="00932BC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2BC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2BC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2BC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2BC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2BC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2BC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2BC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2BC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2BC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32BC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32BC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32BC2"/>
    <w:pPr>
      <w:spacing w:after="100"/>
      <w:ind w:left="1680"/>
    </w:pPr>
  </w:style>
  <w:style w:type="paragraph" w:styleId="TOC9">
    <w:name w:val="toc 9"/>
    <w:basedOn w:val="Normal"/>
    <w:next w:val="Normal"/>
    <w:autoRedefine/>
    <w:uiPriority w:val="98"/>
    <w:semiHidden/>
    <w:rsid w:val="00932BC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932BC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32BC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32BC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32BC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32BC2"/>
    <w:pPr>
      <w:numPr>
        <w:numId w:val="10"/>
      </w:numPr>
      <w:spacing w:before="60" w:after="60"/>
    </w:pPr>
  </w:style>
  <w:style w:type="paragraph" w:customStyle="1" w:styleId="ECHRBullet2">
    <w:name w:val="ECHR_Bullet_2"/>
    <w:aliases w:val="_Bul_2"/>
    <w:basedOn w:val="ECHRBullet1"/>
    <w:uiPriority w:val="23"/>
    <w:semiHidden/>
    <w:rsid w:val="00932BC2"/>
    <w:pPr>
      <w:numPr>
        <w:ilvl w:val="1"/>
      </w:numPr>
    </w:pPr>
  </w:style>
  <w:style w:type="paragraph" w:customStyle="1" w:styleId="ECHRBullet3">
    <w:name w:val="ECHR_Bullet_3"/>
    <w:aliases w:val="_Bul_3"/>
    <w:basedOn w:val="ECHRBullet2"/>
    <w:uiPriority w:val="23"/>
    <w:semiHidden/>
    <w:rsid w:val="00932BC2"/>
    <w:pPr>
      <w:numPr>
        <w:ilvl w:val="2"/>
      </w:numPr>
    </w:pPr>
  </w:style>
  <w:style w:type="paragraph" w:customStyle="1" w:styleId="ECHRBullet4">
    <w:name w:val="ECHR_Bullet_4"/>
    <w:aliases w:val="_Bul_4"/>
    <w:basedOn w:val="ECHRBullet3"/>
    <w:uiPriority w:val="23"/>
    <w:semiHidden/>
    <w:rsid w:val="00932BC2"/>
    <w:pPr>
      <w:numPr>
        <w:ilvl w:val="3"/>
      </w:numPr>
    </w:pPr>
  </w:style>
  <w:style w:type="paragraph" w:customStyle="1" w:styleId="ECHRConfidential">
    <w:name w:val="ECHR_Confidential"/>
    <w:aliases w:val="_Confidential"/>
    <w:basedOn w:val="Normal"/>
    <w:next w:val="Normal"/>
    <w:uiPriority w:val="42"/>
    <w:semiHidden/>
    <w:qFormat/>
    <w:rsid w:val="00932BC2"/>
    <w:pPr>
      <w:jc w:val="right"/>
    </w:pPr>
    <w:rPr>
      <w:color w:val="C00000"/>
      <w:sz w:val="20"/>
    </w:rPr>
  </w:style>
  <w:style w:type="paragraph" w:customStyle="1" w:styleId="ECHRDecisionBody">
    <w:name w:val="ECHR_Decision_Body"/>
    <w:aliases w:val="_Decision_Body"/>
    <w:basedOn w:val="NormalJustified"/>
    <w:uiPriority w:val="54"/>
    <w:semiHidden/>
    <w:rsid w:val="00932BC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32BC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32BC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32BC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32BC2"/>
    <w:pPr>
      <w:jc w:val="right"/>
    </w:pPr>
    <w:rPr>
      <w:sz w:val="20"/>
    </w:rPr>
  </w:style>
  <w:style w:type="paragraph" w:customStyle="1" w:styleId="ECHRHeaderRefIt">
    <w:name w:val="ECHR_Header_Ref_It"/>
    <w:aliases w:val="_Ref_Ital"/>
    <w:basedOn w:val="Normal"/>
    <w:next w:val="ECHRHeaderDate"/>
    <w:uiPriority w:val="43"/>
    <w:qFormat/>
    <w:rsid w:val="00932BC2"/>
    <w:pPr>
      <w:jc w:val="right"/>
    </w:pPr>
    <w:rPr>
      <w:i/>
      <w:sz w:val="20"/>
    </w:rPr>
  </w:style>
  <w:style w:type="paragraph" w:customStyle="1" w:styleId="ECHRHeading9">
    <w:name w:val="ECHR_Heading_9"/>
    <w:aliases w:val="_Head_9"/>
    <w:basedOn w:val="Heading9"/>
    <w:uiPriority w:val="17"/>
    <w:semiHidden/>
    <w:rsid w:val="00932BC2"/>
    <w:pPr>
      <w:keepNext/>
      <w:keepLines/>
      <w:numPr>
        <w:ilvl w:val="8"/>
        <w:numId w:val="1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32BC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32BC2"/>
    <w:pPr>
      <w:numPr>
        <w:numId w:val="11"/>
      </w:numPr>
      <w:spacing w:before="60" w:after="60"/>
    </w:pPr>
  </w:style>
  <w:style w:type="paragraph" w:customStyle="1" w:styleId="ECHRNumberedList2">
    <w:name w:val="ECHR_Numbered_List_2"/>
    <w:aliases w:val="_Num_2"/>
    <w:basedOn w:val="ECHRNumberedList1"/>
    <w:uiPriority w:val="23"/>
    <w:semiHidden/>
    <w:rsid w:val="00932BC2"/>
    <w:pPr>
      <w:numPr>
        <w:ilvl w:val="1"/>
      </w:numPr>
    </w:pPr>
  </w:style>
  <w:style w:type="paragraph" w:customStyle="1" w:styleId="ECHRNumberedList3">
    <w:name w:val="ECHR_Numbered_List_3"/>
    <w:aliases w:val="_Num_3"/>
    <w:basedOn w:val="ECHRNumberedList2"/>
    <w:uiPriority w:val="23"/>
    <w:semiHidden/>
    <w:rsid w:val="00932BC2"/>
    <w:pPr>
      <w:numPr>
        <w:ilvl w:val="2"/>
      </w:numPr>
    </w:pPr>
  </w:style>
  <w:style w:type="paragraph" w:customStyle="1" w:styleId="ECHRParaHanging">
    <w:name w:val="ECHR_Para_Hanging"/>
    <w:aliases w:val="_Hanging"/>
    <w:basedOn w:val="NormalJustified"/>
    <w:uiPriority w:val="8"/>
    <w:semiHidden/>
    <w:qFormat/>
    <w:rsid w:val="00932BC2"/>
    <w:pPr>
      <w:ind w:left="567" w:hanging="567"/>
    </w:pPr>
  </w:style>
  <w:style w:type="paragraph" w:customStyle="1" w:styleId="ECHRParaIndent">
    <w:name w:val="ECHR_Para_Indent"/>
    <w:aliases w:val="_Indent"/>
    <w:basedOn w:val="NormalJustified"/>
    <w:uiPriority w:val="7"/>
    <w:semiHidden/>
    <w:qFormat/>
    <w:rsid w:val="00932BC2"/>
    <w:pPr>
      <w:spacing w:before="120" w:after="120"/>
      <w:ind w:left="284"/>
    </w:pPr>
  </w:style>
  <w:style w:type="character" w:customStyle="1" w:styleId="ECHRRed">
    <w:name w:val="ECHR_Red"/>
    <w:aliases w:val="_Red"/>
    <w:basedOn w:val="DefaultParagraphFont"/>
    <w:uiPriority w:val="15"/>
    <w:semiHidden/>
    <w:qFormat/>
    <w:rsid w:val="00932BC2"/>
    <w:rPr>
      <w:color w:val="C00000" w:themeColor="accent2"/>
    </w:rPr>
  </w:style>
  <w:style w:type="paragraph" w:customStyle="1" w:styleId="DecList">
    <w:name w:val="Dec_List"/>
    <w:aliases w:val="_List"/>
    <w:basedOn w:val="JuList"/>
    <w:uiPriority w:val="22"/>
    <w:rsid w:val="00932BC2"/>
    <w:pPr>
      <w:numPr>
        <w:numId w:val="0"/>
      </w:numPr>
      <w:ind w:left="284"/>
    </w:pPr>
  </w:style>
  <w:style w:type="table" w:customStyle="1" w:styleId="ECHRTable2">
    <w:name w:val="ECHR_Table_2"/>
    <w:basedOn w:val="TableNormal"/>
    <w:uiPriority w:val="99"/>
    <w:rsid w:val="00932BC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32BC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32BC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32BC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32BC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32BC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32BC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32BC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32BC2"/>
    <w:pPr>
      <w:outlineLvl w:val="0"/>
    </w:pPr>
  </w:style>
  <w:style w:type="paragraph" w:customStyle="1" w:styleId="ECHRTitleTOC1">
    <w:name w:val="ECHR_Title_TOC_1"/>
    <w:aliases w:val="_Title_L_TOC"/>
    <w:basedOn w:val="ECHRTitle1"/>
    <w:next w:val="Normal"/>
    <w:uiPriority w:val="27"/>
    <w:semiHidden/>
    <w:qFormat/>
    <w:rsid w:val="00932BC2"/>
    <w:pPr>
      <w:outlineLvl w:val="0"/>
    </w:pPr>
  </w:style>
  <w:style w:type="paragraph" w:customStyle="1" w:styleId="ECHRPlaceholder">
    <w:name w:val="ECHR_Placeholder"/>
    <w:aliases w:val="_Placeholder"/>
    <w:basedOn w:val="JuSigned"/>
    <w:uiPriority w:val="31"/>
    <w:rsid w:val="00932BC2"/>
    <w:rPr>
      <w:color w:val="FFFFFF"/>
    </w:rPr>
  </w:style>
  <w:style w:type="paragraph" w:customStyle="1" w:styleId="ECHRSpacer">
    <w:name w:val="ECHR_Spacer"/>
    <w:aliases w:val="_Spacer"/>
    <w:basedOn w:val="Normal"/>
    <w:uiPriority w:val="45"/>
    <w:semiHidden/>
    <w:rsid w:val="00932BC2"/>
    <w:rPr>
      <w:sz w:val="4"/>
    </w:rPr>
  </w:style>
  <w:style w:type="table" w:customStyle="1" w:styleId="ECHRTableGrey">
    <w:name w:val="ECHR_Table_Grey"/>
    <w:basedOn w:val="TableNormal"/>
    <w:uiPriority w:val="99"/>
    <w:rsid w:val="00932BC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32BC2"/>
    <w:rPr>
      <w:color w:val="605E5C"/>
      <w:shd w:val="clear" w:color="auto" w:fill="E1DFDD"/>
    </w:rPr>
  </w:style>
  <w:style w:type="character" w:customStyle="1" w:styleId="JuParaChar">
    <w:name w:val="Ju_Para Char"/>
    <w:aliases w:val="_Para Char"/>
    <w:link w:val="JuPara"/>
    <w:uiPriority w:val="4"/>
    <w:rsid w:val="00F13958"/>
    <w:rPr>
      <w:sz w:val="24"/>
      <w:szCs w:val="24"/>
      <w:lang w:val="en-GB"/>
    </w:rPr>
  </w:style>
  <w:style w:type="table" w:styleId="GridTable1Light">
    <w:name w:val="Grid Table 1 Light"/>
    <w:basedOn w:val="TableNormal"/>
    <w:uiPriority w:val="46"/>
    <w:semiHidden/>
    <w:rsid w:val="00F1395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F13958"/>
    <w:rPr>
      <w:smallCaps/>
    </w:rPr>
  </w:style>
  <w:style w:type="paragraph" w:customStyle="1" w:styleId="JuList4">
    <w:name w:val="Ju_List_4"/>
    <w:aliases w:val="N_Bul_4"/>
    <w:basedOn w:val="JuListi"/>
    <w:uiPriority w:val="19"/>
    <w:rsid w:val="00F13958"/>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F1395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1395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1395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1395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1395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1395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1395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1395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1395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1395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1395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1395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1395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139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139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139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139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139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139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139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139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139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139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139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139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139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139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139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139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1395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1395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1395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1395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1395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1395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139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1395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1395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1395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1395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1395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1395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13958"/>
    <w:rPr>
      <w:color w:val="2B579A"/>
      <w:shd w:val="clear" w:color="auto" w:fill="E1DFDD"/>
    </w:rPr>
  </w:style>
  <w:style w:type="table" w:styleId="ListTable1Light">
    <w:name w:val="List Table 1 Light"/>
    <w:basedOn w:val="TableNormal"/>
    <w:uiPriority w:val="46"/>
    <w:semiHidden/>
    <w:rsid w:val="00F1395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1395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1395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1395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1395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1395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1395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1395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1395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1395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1395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1395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1395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1395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1395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1395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1395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1395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1395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1395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1395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139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139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139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139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139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139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139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1395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1395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1395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1395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1395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1395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1395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1395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1395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1395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1395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1395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1395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1395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1395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1395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1395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1395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1395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1395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1395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13958"/>
    <w:rPr>
      <w:color w:val="2B579A"/>
      <w:shd w:val="clear" w:color="auto" w:fill="E1DFDD"/>
    </w:rPr>
  </w:style>
  <w:style w:type="table" w:styleId="PlainTable1">
    <w:name w:val="Plain Table 1"/>
    <w:basedOn w:val="TableNormal"/>
    <w:uiPriority w:val="41"/>
    <w:semiHidden/>
    <w:rsid w:val="00F1395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1395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1395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1395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1395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13958"/>
    <w:rPr>
      <w:u w:val="dotted"/>
    </w:rPr>
  </w:style>
  <w:style w:type="character" w:customStyle="1" w:styleId="SmartLink">
    <w:name w:val="Smart Link"/>
    <w:basedOn w:val="DefaultParagraphFont"/>
    <w:uiPriority w:val="99"/>
    <w:semiHidden/>
    <w:unhideWhenUsed/>
    <w:rsid w:val="00F13958"/>
    <w:rPr>
      <w:color w:val="0000FF"/>
      <w:u w:val="single"/>
      <w:shd w:val="clear" w:color="auto" w:fill="F3F2F1"/>
    </w:rPr>
  </w:style>
  <w:style w:type="table" w:styleId="TableGridLight">
    <w:name w:val="Grid Table Light"/>
    <w:basedOn w:val="TableNormal"/>
    <w:uiPriority w:val="40"/>
    <w:semiHidden/>
    <w:rsid w:val="00F1395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F13958"/>
    <w:rPr>
      <w:sz w:val="24"/>
      <w:szCs w:val="24"/>
      <w:lang w:val="en-GB"/>
    </w:rPr>
  </w:style>
  <w:style w:type="paragraph" w:customStyle="1" w:styleId="jupara0">
    <w:name w:val="jupara"/>
    <w:basedOn w:val="Normal"/>
    <w:rsid w:val="004D5954"/>
    <w:pPr>
      <w:ind w:firstLine="284"/>
      <w:jc w:val="both"/>
    </w:pPr>
    <w:rPr>
      <w:rFonts w:ascii="Times New Roman" w:eastAsia="Times New Roman" w:hAnsi="Times New Roman" w:cs="Times New Roman"/>
      <w:lang w:eastAsia="en-GB"/>
    </w:rPr>
  </w:style>
  <w:style w:type="paragraph" w:customStyle="1" w:styleId="jucase0">
    <w:name w:val="jucase"/>
    <w:basedOn w:val="Normal"/>
    <w:rsid w:val="004D595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E6E722-865F-4D2A-9F00-911D0910B155}">
  <ds:schemaRefs>
    <ds:schemaRef ds:uri="http://schemas.openxmlformats.org/officeDocument/2006/bibliography"/>
  </ds:schemaRefs>
</ds:datastoreItem>
</file>

<file path=customXml/itemProps2.xml><?xml version="1.0" encoding="utf-8"?>
<ds:datastoreItem xmlns:ds="http://schemas.openxmlformats.org/officeDocument/2006/customXml" ds:itemID="{119ECC0B-734B-4488-A0CE-EF2EC9C3B838}"/>
</file>

<file path=customXml/itemProps3.xml><?xml version="1.0" encoding="utf-8"?>
<ds:datastoreItem xmlns:ds="http://schemas.openxmlformats.org/officeDocument/2006/customXml" ds:itemID="{E941F814-E91E-4DA4-81E5-D7C4DD4B859C}"/>
</file>

<file path=customXml/itemProps4.xml><?xml version="1.0" encoding="utf-8"?>
<ds:datastoreItem xmlns:ds="http://schemas.openxmlformats.org/officeDocument/2006/customXml" ds:itemID="{924B49C6-D07D-4380-944C-2E1B5C8F06CE}"/>
</file>

<file path=docProps/app.xml><?xml version="1.0" encoding="utf-8"?>
<Properties xmlns="http://schemas.openxmlformats.org/officeDocument/2006/extended-properties" xmlns:vt="http://schemas.openxmlformats.org/officeDocument/2006/docPropsVTypes">
  <Template>Normal.dotm</Template>
  <TotalTime>0</TotalTime>
  <Pages>1</Pages>
  <Words>6841</Words>
  <Characters>39000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2022-07-07T14:41:00Z</dcterms:created>
  <dcterms:modified xsi:type="dcterms:W3CDTF">2022-07-07T14:41:00Z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74131/14</vt:lpwstr>
  </property>
  <property fmtid="{D5CDD505-2E9C-101B-9397-08002B2CF9AE}" pid="4" name="CASEID">
    <vt:lpwstr>1085809</vt:lpwstr>
  </property>
  <property fmtid="{D5CDD505-2E9C-101B-9397-08002B2CF9AE}" pid="5" name="ContentTypeId">
    <vt:lpwstr>0x010100558EB02BDB9E204AB350EDD385B68E10</vt:lpwstr>
  </property>
</Properties>
</file>