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DCEDDE" w14:textId="77777777" w:rsidR="0098410D" w:rsidRPr="00A34A82" w:rsidRDefault="0098410D" w:rsidP="00A34A82">
      <w:pPr>
        <w:jc w:val="center"/>
      </w:pPr>
    </w:p>
    <w:p w14:paraId="399E43ED" w14:textId="77777777" w:rsidR="0098410D" w:rsidRPr="00A34A82" w:rsidRDefault="005652E0" w:rsidP="00F5746C">
      <w:pPr>
        <w:pStyle w:val="DecHCase"/>
        <w:keepNext w:val="0"/>
        <w:keepLines w:val="0"/>
        <w:spacing w:after="120"/>
      </w:pPr>
      <w:r>
        <w:t>SEKCJA TRZECIA</w:t>
      </w:r>
    </w:p>
    <w:p w14:paraId="07A0B29E" w14:textId="77777777" w:rsidR="008E6217" w:rsidRPr="00A34A82" w:rsidRDefault="008E6217" w:rsidP="00F5746C">
      <w:pPr>
        <w:pStyle w:val="JuTitle"/>
        <w:keepNext w:val="0"/>
        <w:keepLines w:val="0"/>
        <w:spacing w:before="1080" w:after="120"/>
      </w:pPr>
      <w:bookmarkStart w:id="0" w:name="To"/>
      <w:r>
        <w:rPr>
          <w:color w:val="000000" w:themeColor="text1"/>
        </w:rPr>
        <w:t xml:space="preserve">SPRAWA </w:t>
      </w:r>
      <w:bookmarkEnd w:id="0"/>
      <w:r>
        <w:t>DANILOV PRZECIWKO ROSJI</w:t>
      </w:r>
    </w:p>
    <w:p w14:paraId="3AF110DE" w14:textId="77777777" w:rsidR="00D74888" w:rsidRPr="00A34A82" w:rsidRDefault="008E6217" w:rsidP="00A34A82">
      <w:pPr>
        <w:pStyle w:val="ECHRCoverTitle4"/>
        <w:keepNext w:val="0"/>
        <w:keepLines w:val="0"/>
      </w:pPr>
      <w:r>
        <w:t>(Skarga nr 88/05)</w:t>
      </w:r>
    </w:p>
    <w:p w14:paraId="053E8E01" w14:textId="77777777" w:rsidR="0098410D" w:rsidRPr="00A34A82" w:rsidRDefault="0098410D" w:rsidP="00EB7242">
      <w:pPr>
        <w:pStyle w:val="DecHCase"/>
        <w:keepNext w:val="0"/>
        <w:keepLines w:val="0"/>
        <w:spacing w:after="120"/>
      </w:pPr>
    </w:p>
    <w:p w14:paraId="4BDA8232" w14:textId="77777777" w:rsidR="0098410D" w:rsidRPr="00A34A82" w:rsidRDefault="0098410D" w:rsidP="00EB7242">
      <w:pPr>
        <w:pStyle w:val="DecHCase"/>
        <w:keepNext w:val="0"/>
        <w:keepLines w:val="0"/>
        <w:spacing w:after="120"/>
      </w:pPr>
      <w:r>
        <w:t>WYROK</w:t>
      </w:r>
      <w:r>
        <w:br/>
      </w:r>
    </w:p>
    <w:p w14:paraId="18C19D18" w14:textId="26FF38B4" w:rsidR="00833AB4" w:rsidRPr="00A34A82" w:rsidRDefault="00833AB4" w:rsidP="00A34A82">
      <w:pPr>
        <w:pBdr>
          <w:top w:val="single" w:sz="4" w:space="1" w:color="auto"/>
          <w:left w:val="single" w:sz="4" w:space="4" w:color="auto"/>
          <w:bottom w:val="single" w:sz="4" w:space="1" w:color="auto"/>
          <w:right w:val="single" w:sz="4" w:space="4" w:color="auto"/>
        </w:pBdr>
        <w:jc w:val="both"/>
        <w:rPr>
          <w:sz w:val="20"/>
          <w:szCs w:val="20"/>
        </w:rPr>
      </w:pPr>
      <w:r>
        <w:rPr>
          <w:sz w:val="20"/>
        </w:rPr>
        <w:t>Artykuł 6 ust. 1 (</w:t>
      </w:r>
      <w:r w:rsidR="00E831FC">
        <w:rPr>
          <w:sz w:val="20"/>
        </w:rPr>
        <w:t>aspekt karny</w:t>
      </w:r>
      <w:r>
        <w:rPr>
          <w:sz w:val="20"/>
        </w:rPr>
        <w:t xml:space="preserve">) • Bezstronny sąd • </w:t>
      </w:r>
      <w:r w:rsidR="00E831FC">
        <w:rPr>
          <w:sz w:val="20"/>
        </w:rPr>
        <w:t xml:space="preserve">Udział </w:t>
      </w:r>
      <w:r>
        <w:rPr>
          <w:sz w:val="20"/>
        </w:rPr>
        <w:t xml:space="preserve">w procesie </w:t>
      </w:r>
      <w:r w:rsidR="00447042">
        <w:rPr>
          <w:sz w:val="20"/>
        </w:rPr>
        <w:t>przysięgłych</w:t>
      </w:r>
      <w:r w:rsidR="00E831FC">
        <w:rPr>
          <w:sz w:val="20"/>
        </w:rPr>
        <w:t xml:space="preserve"> </w:t>
      </w:r>
      <w:r>
        <w:rPr>
          <w:sz w:val="20"/>
        </w:rPr>
        <w:t xml:space="preserve">z poświadczeniem bezpieczeństwa wydanym przez organ prowadzący postępowanie przygotowawcze </w:t>
      </w:r>
      <w:r w:rsidR="00E831FC">
        <w:rPr>
          <w:sz w:val="20"/>
        </w:rPr>
        <w:t xml:space="preserve">przeciwko skarżącemu </w:t>
      </w:r>
      <w:r>
        <w:rPr>
          <w:sz w:val="20"/>
        </w:rPr>
        <w:t xml:space="preserve">w związku z ujawnieniem przez </w:t>
      </w:r>
      <w:r w:rsidR="00E831FC">
        <w:rPr>
          <w:sz w:val="20"/>
        </w:rPr>
        <w:t xml:space="preserve">niego </w:t>
      </w:r>
      <w:r>
        <w:rPr>
          <w:sz w:val="20"/>
        </w:rPr>
        <w:t xml:space="preserve">tajemnic państwowych jako wystarczająca podstawa wątpliwości co do bezstronności sądu• Oddalenie przez sędziego sprzeciwu skarżącego wobec </w:t>
      </w:r>
      <w:r w:rsidR="00E831FC">
        <w:rPr>
          <w:sz w:val="20"/>
        </w:rPr>
        <w:t xml:space="preserve">zastrzeżeń co do </w:t>
      </w:r>
      <w:r w:rsidR="00447042">
        <w:rPr>
          <w:sz w:val="20"/>
        </w:rPr>
        <w:t>przysięgłych</w:t>
      </w:r>
      <w:r>
        <w:rPr>
          <w:sz w:val="20"/>
        </w:rPr>
        <w:t xml:space="preserve"> w konkretnej sprawie </w:t>
      </w:r>
      <w:r w:rsidR="00E831FC">
        <w:rPr>
          <w:sz w:val="20"/>
        </w:rPr>
        <w:t xml:space="preserve">z powodów czysto formalnych </w:t>
      </w:r>
      <w:r>
        <w:rPr>
          <w:sz w:val="20"/>
        </w:rPr>
        <w:t>• Brak gwarancji proceduralnych umożliwiających wyeliminowanie wątpliwości co do obiektywnej bezstronności</w:t>
      </w:r>
    </w:p>
    <w:p w14:paraId="56B46EE5" w14:textId="1E6AE215" w:rsidR="00934164" w:rsidRPr="00A34A82" w:rsidRDefault="00833AB4" w:rsidP="00A34A82">
      <w:pPr>
        <w:pBdr>
          <w:top w:val="single" w:sz="4" w:space="1" w:color="auto"/>
          <w:left w:val="single" w:sz="4" w:space="4" w:color="auto"/>
          <w:bottom w:val="single" w:sz="4" w:space="1" w:color="auto"/>
          <w:right w:val="single" w:sz="4" w:space="4" w:color="auto"/>
        </w:pBdr>
        <w:jc w:val="both"/>
        <w:rPr>
          <w:sz w:val="20"/>
          <w:szCs w:val="20"/>
        </w:rPr>
      </w:pPr>
      <w:r>
        <w:rPr>
          <w:sz w:val="20"/>
        </w:rPr>
        <w:t>Artykuł 6 ust. 1 (</w:t>
      </w:r>
      <w:r w:rsidR="00E831FC">
        <w:rPr>
          <w:sz w:val="20"/>
        </w:rPr>
        <w:t>aspekt karny</w:t>
      </w:r>
      <w:r>
        <w:rPr>
          <w:sz w:val="20"/>
        </w:rPr>
        <w:t xml:space="preserve">) i art. 6 ust. 3 lit. d)• </w:t>
      </w:r>
      <w:r w:rsidR="0018240A">
        <w:rPr>
          <w:sz w:val="20"/>
        </w:rPr>
        <w:t xml:space="preserve">Rzetelne </w:t>
      </w:r>
      <w:r>
        <w:rPr>
          <w:sz w:val="20"/>
        </w:rPr>
        <w:t xml:space="preserve">rozpatrzenie sprawy• Przesłuchanie świadków • Brak </w:t>
      </w:r>
      <w:r w:rsidR="00E831FC">
        <w:rPr>
          <w:sz w:val="20"/>
        </w:rPr>
        <w:t xml:space="preserve">dogłębnego rozważenia </w:t>
      </w:r>
      <w:r>
        <w:rPr>
          <w:sz w:val="20"/>
        </w:rPr>
        <w:t>przez sąd krajowy wniosku o </w:t>
      </w:r>
      <w:r w:rsidR="0018240A">
        <w:rPr>
          <w:sz w:val="20"/>
        </w:rPr>
        <w:t>wezwanie</w:t>
      </w:r>
      <w:r w:rsidR="00E831FC">
        <w:rPr>
          <w:sz w:val="20"/>
        </w:rPr>
        <w:t xml:space="preserve"> </w:t>
      </w:r>
      <w:r>
        <w:rPr>
          <w:sz w:val="20"/>
        </w:rPr>
        <w:t xml:space="preserve">biegłych pomimo kluczowego znaczenia </w:t>
      </w:r>
      <w:r w:rsidR="00E831FC">
        <w:rPr>
          <w:sz w:val="20"/>
        </w:rPr>
        <w:t>tego dowodu</w:t>
      </w:r>
      <w:r>
        <w:rPr>
          <w:sz w:val="20"/>
        </w:rPr>
        <w:t xml:space="preserve"> • Brak możliwości </w:t>
      </w:r>
      <w:r w:rsidR="0018240A">
        <w:rPr>
          <w:sz w:val="20"/>
        </w:rPr>
        <w:t>przesłuchania</w:t>
      </w:r>
      <w:r>
        <w:rPr>
          <w:sz w:val="20"/>
        </w:rPr>
        <w:t xml:space="preserve"> biegły</w:t>
      </w:r>
      <w:r w:rsidR="0018240A">
        <w:rPr>
          <w:sz w:val="20"/>
        </w:rPr>
        <w:t>ch</w:t>
      </w:r>
      <w:r>
        <w:rPr>
          <w:sz w:val="20"/>
        </w:rPr>
        <w:t xml:space="preserve"> przez skarżącego w innym trybie i uzasadnione obawy </w:t>
      </w:r>
      <w:r w:rsidR="0018240A">
        <w:rPr>
          <w:sz w:val="20"/>
        </w:rPr>
        <w:t>co do</w:t>
      </w:r>
      <w:r>
        <w:rPr>
          <w:sz w:val="20"/>
        </w:rPr>
        <w:t xml:space="preserve"> ich wiarygodności i wniosków • Konieczność oceny kwestii stawiennictwa biegłych podczas procesu przede wszystkim w kontekście gwarancji prawa do </w:t>
      </w:r>
      <w:r w:rsidR="0018240A">
        <w:rPr>
          <w:sz w:val="20"/>
        </w:rPr>
        <w:t xml:space="preserve">rzetelnego </w:t>
      </w:r>
      <w:r>
        <w:rPr>
          <w:sz w:val="20"/>
        </w:rPr>
        <w:t>rozpatrzenia sprawy i odpowiedniego zastosowania art. 6 ust. 3 lit. d)</w:t>
      </w:r>
    </w:p>
    <w:p w14:paraId="630F247A" w14:textId="77777777" w:rsidR="00833AB4" w:rsidRPr="00A34A82" w:rsidRDefault="00833AB4" w:rsidP="00EB7242">
      <w:pPr>
        <w:pStyle w:val="DecHCase"/>
        <w:keepNext w:val="0"/>
        <w:keepLines w:val="0"/>
        <w:pBdr>
          <w:top w:val="single" w:sz="4" w:space="1" w:color="auto"/>
          <w:left w:val="single" w:sz="4" w:space="4" w:color="auto"/>
          <w:bottom w:val="single" w:sz="4" w:space="1" w:color="auto"/>
          <w:right w:val="single" w:sz="4" w:space="4" w:color="auto"/>
        </w:pBdr>
        <w:spacing w:after="0"/>
        <w:jc w:val="both"/>
        <w:rPr>
          <w:sz w:val="20"/>
          <w:szCs w:val="20"/>
        </w:rPr>
      </w:pPr>
      <w:r>
        <w:rPr>
          <w:sz w:val="20"/>
        </w:rPr>
        <w:t>Artykuł 38 • Obowiązek zapewnienia wszystkich koniecznych udogodnień • Odmowa przedłożenia przez państwo materiałów zażądanych przez Trybunał</w:t>
      </w:r>
    </w:p>
    <w:p w14:paraId="56F73BA1" w14:textId="77777777" w:rsidR="00833AB4" w:rsidRPr="00A34A82" w:rsidRDefault="00833AB4" w:rsidP="00EB7242">
      <w:pPr>
        <w:pStyle w:val="DecHCase"/>
        <w:keepNext w:val="0"/>
        <w:keepLines w:val="0"/>
        <w:spacing w:after="120"/>
      </w:pPr>
    </w:p>
    <w:p w14:paraId="65B76B20" w14:textId="77777777" w:rsidR="0098410D" w:rsidRPr="00A34A82" w:rsidRDefault="0098410D" w:rsidP="00A34A82">
      <w:pPr>
        <w:pStyle w:val="DecHCase"/>
        <w:keepNext w:val="0"/>
        <w:keepLines w:val="0"/>
      </w:pPr>
      <w:r>
        <w:t>STRASBURG</w:t>
      </w:r>
    </w:p>
    <w:p w14:paraId="48958A15" w14:textId="77777777" w:rsidR="0098410D" w:rsidRPr="00A34A82" w:rsidRDefault="005652E0" w:rsidP="00EB7242">
      <w:pPr>
        <w:pStyle w:val="DecHCase"/>
        <w:keepNext w:val="0"/>
        <w:keepLines w:val="0"/>
        <w:spacing w:after="240"/>
      </w:pPr>
      <w:r>
        <w:rPr>
          <w:rFonts w:ascii="Times New Roman" w:hAnsi="Times New Roman"/>
        </w:rPr>
        <w:t>1 grudnia 2020 r.</w:t>
      </w:r>
    </w:p>
    <w:p w14:paraId="2BDF3134" w14:textId="77777777" w:rsidR="00AC4CD4" w:rsidRPr="00A34A82" w:rsidRDefault="00AC4CD4" w:rsidP="00A34A82">
      <w:pPr>
        <w:pStyle w:val="JuPara"/>
      </w:pPr>
    </w:p>
    <w:p w14:paraId="2C6F6F1C" w14:textId="056FFB80" w:rsidR="00EB7242" w:rsidRDefault="00EB7242" w:rsidP="00EB7242">
      <w:pPr>
        <w:pStyle w:val="jucase0"/>
        <w:ind w:firstLine="0"/>
        <w:jc w:val="center"/>
        <w:rPr>
          <w:color w:val="FF0000"/>
          <w:sz w:val="28"/>
          <w:szCs w:val="28"/>
          <w:u w:val="single"/>
        </w:rPr>
      </w:pPr>
      <w:bookmarkStart w:id="1" w:name="_Hlk59706592"/>
      <w:bookmarkStart w:id="2" w:name="_Hlk59704667"/>
      <w:r>
        <w:rPr>
          <w:color w:val="FF0000"/>
          <w:sz w:val="28"/>
          <w:u w:val="single"/>
        </w:rPr>
        <w:t>OSTATECZNY</w:t>
      </w:r>
    </w:p>
    <w:p w14:paraId="4A064922" w14:textId="77777777" w:rsidR="00EB7242" w:rsidRPr="00D04090" w:rsidRDefault="00EB7242" w:rsidP="00EB7242">
      <w:pPr>
        <w:pStyle w:val="jucase0"/>
        <w:ind w:firstLine="0"/>
        <w:jc w:val="center"/>
        <w:rPr>
          <w:b w:val="0"/>
          <w:bCs w:val="0"/>
          <w:color w:val="FF0000"/>
          <w:u w:val="single"/>
        </w:rPr>
      </w:pPr>
    </w:p>
    <w:p w14:paraId="6E306D86" w14:textId="6828AFD3" w:rsidR="00EB7242" w:rsidRDefault="00EB7242" w:rsidP="00EB7242">
      <w:pPr>
        <w:pStyle w:val="jucase0"/>
        <w:ind w:firstLine="0"/>
        <w:jc w:val="center"/>
        <w:rPr>
          <w:b w:val="0"/>
          <w:color w:val="FF0000"/>
          <w:sz w:val="28"/>
        </w:rPr>
      </w:pPr>
      <w:r>
        <w:rPr>
          <w:b w:val="0"/>
          <w:color w:val="FF0000"/>
          <w:sz w:val="28"/>
        </w:rPr>
        <w:t>01</w:t>
      </w:r>
      <w:r w:rsidR="0018240A">
        <w:rPr>
          <w:b w:val="0"/>
          <w:color w:val="FF0000"/>
          <w:sz w:val="28"/>
        </w:rPr>
        <w:t>/</w:t>
      </w:r>
      <w:r>
        <w:rPr>
          <w:b w:val="0"/>
          <w:color w:val="FF0000"/>
          <w:sz w:val="28"/>
        </w:rPr>
        <w:t>03</w:t>
      </w:r>
      <w:r w:rsidR="0018240A">
        <w:rPr>
          <w:b w:val="0"/>
          <w:color w:val="FF0000"/>
          <w:sz w:val="28"/>
        </w:rPr>
        <w:t>/</w:t>
      </w:r>
      <w:r>
        <w:rPr>
          <w:b w:val="0"/>
          <w:color w:val="FF0000"/>
          <w:sz w:val="28"/>
        </w:rPr>
        <w:t>2021 r.</w:t>
      </w:r>
    </w:p>
    <w:p w14:paraId="2DB388AC" w14:textId="77777777" w:rsidR="0018240A" w:rsidRPr="00E974D6" w:rsidRDefault="0018240A" w:rsidP="00EB7242">
      <w:pPr>
        <w:pStyle w:val="jucase0"/>
        <w:ind w:firstLine="0"/>
        <w:jc w:val="center"/>
        <w:rPr>
          <w:b w:val="0"/>
          <w:color w:val="FF0000"/>
          <w:sz w:val="28"/>
          <w:szCs w:val="28"/>
        </w:rPr>
      </w:pPr>
    </w:p>
    <w:p w14:paraId="72F4F386" w14:textId="77777777" w:rsidR="002422B6" w:rsidRPr="00A34A82" w:rsidRDefault="00EB7242" w:rsidP="00EB7242">
      <w:pPr>
        <w:jc w:val="both"/>
        <w:rPr>
          <w:i/>
          <w:sz w:val="22"/>
        </w:rPr>
      </w:pPr>
      <w:r>
        <w:rPr>
          <w:i/>
          <w:sz w:val="22"/>
        </w:rPr>
        <w:t>Wyrok stał się ostateczny zgodnie z warunkami określonymi w art. 44 ust. 2 Konwencji. Wyrok może podlegać korekcie wydawniczej.</w:t>
      </w:r>
      <w:bookmarkEnd w:id="1"/>
      <w:bookmarkEnd w:id="2"/>
    </w:p>
    <w:p w14:paraId="3A2F4D46" w14:textId="77777777" w:rsidR="0098410D" w:rsidRPr="00A34A82" w:rsidRDefault="0098410D" w:rsidP="00A34A82">
      <w:pPr>
        <w:sectPr w:rsidR="0098410D" w:rsidRPr="00A34A82"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3B437FE" w14:textId="77777777" w:rsidR="0098410D" w:rsidRPr="00A34A82" w:rsidRDefault="0098410D" w:rsidP="00A34A82">
      <w:pPr>
        <w:pStyle w:val="JuCase"/>
      </w:pPr>
      <w:r>
        <w:lastRenderedPageBreak/>
        <w:t xml:space="preserve">W sprawie </w:t>
      </w:r>
      <w:proofErr w:type="spellStart"/>
      <w:r>
        <w:t>Danilov</w:t>
      </w:r>
      <w:proofErr w:type="spellEnd"/>
      <w:r>
        <w:t xml:space="preserve"> przeciwko Rosji,</w:t>
      </w:r>
    </w:p>
    <w:p w14:paraId="73D4E2A3" w14:textId="77777777" w:rsidR="009F4C8F" w:rsidRPr="00A34A82" w:rsidRDefault="009F4C8F" w:rsidP="00A34A82">
      <w:pPr>
        <w:pStyle w:val="JuPara"/>
      </w:pPr>
      <w:r>
        <w:t>Europejski Trybunał Praw Człowieka (Sekcja Trzecia), zasiadając jako Izba w składzie:</w:t>
      </w:r>
    </w:p>
    <w:p w14:paraId="49077F79" w14:textId="3741FB19" w:rsidR="009F4C8F" w:rsidRPr="00A34A82" w:rsidRDefault="000740B6" w:rsidP="00A34A82">
      <w:pPr>
        <w:pStyle w:val="JuJudges"/>
      </w:pPr>
      <w:r>
        <w:tab/>
        <w:t xml:space="preserve">Paul </w:t>
      </w:r>
      <w:proofErr w:type="spellStart"/>
      <w:r>
        <w:t>Lemmens</w:t>
      </w:r>
      <w:proofErr w:type="spellEnd"/>
      <w:r>
        <w:t>,</w:t>
      </w:r>
      <w:r>
        <w:rPr>
          <w:i/>
        </w:rPr>
        <w:t xml:space="preserve"> </w:t>
      </w:r>
      <w:r w:rsidR="004B481F">
        <w:rPr>
          <w:i/>
        </w:rPr>
        <w:t>P</w:t>
      </w:r>
      <w:r>
        <w:rPr>
          <w:i/>
        </w:rPr>
        <w:t>rzewodniczący,</w:t>
      </w:r>
      <w:r>
        <w:rPr>
          <w:i/>
        </w:rPr>
        <w:br/>
      </w:r>
      <w:r>
        <w:tab/>
        <w:t xml:space="preserve">Georgios A. </w:t>
      </w:r>
      <w:proofErr w:type="spellStart"/>
      <w:r>
        <w:t>Serghides</w:t>
      </w:r>
      <w:proofErr w:type="spellEnd"/>
      <w:r>
        <w:t>,</w:t>
      </w:r>
      <w:r>
        <w:rPr>
          <w:i/>
        </w:rPr>
        <w:br/>
      </w:r>
      <w:r>
        <w:tab/>
        <w:t>Helen Keller,</w:t>
      </w:r>
      <w:r>
        <w:rPr>
          <w:i/>
        </w:rPr>
        <w:br/>
      </w:r>
      <w:r>
        <w:tab/>
      </w:r>
      <w:proofErr w:type="spellStart"/>
      <w:r>
        <w:t>Dmitry</w:t>
      </w:r>
      <w:proofErr w:type="spellEnd"/>
      <w:r>
        <w:t xml:space="preserve"> </w:t>
      </w:r>
      <w:proofErr w:type="spellStart"/>
      <w:r>
        <w:t>Dedov</w:t>
      </w:r>
      <w:proofErr w:type="spellEnd"/>
      <w:r>
        <w:t>,</w:t>
      </w:r>
      <w:r>
        <w:rPr>
          <w:i/>
        </w:rPr>
        <w:br/>
      </w:r>
      <w:r>
        <w:tab/>
      </w:r>
      <w:proofErr w:type="spellStart"/>
      <w:r>
        <w:t>Darian</w:t>
      </w:r>
      <w:proofErr w:type="spellEnd"/>
      <w:r>
        <w:t xml:space="preserve"> Pavli,</w:t>
      </w:r>
      <w:r>
        <w:rPr>
          <w:i/>
        </w:rPr>
        <w:br/>
      </w:r>
      <w:r>
        <w:tab/>
      </w:r>
      <w:proofErr w:type="spellStart"/>
      <w:r>
        <w:t>Anja</w:t>
      </w:r>
      <w:proofErr w:type="spellEnd"/>
      <w:r>
        <w:t xml:space="preserve"> </w:t>
      </w:r>
      <w:proofErr w:type="spellStart"/>
      <w:r>
        <w:t>Seibert-Fohr</w:t>
      </w:r>
      <w:proofErr w:type="spellEnd"/>
      <w:r>
        <w:t>,</w:t>
      </w:r>
      <w:r>
        <w:rPr>
          <w:i/>
        </w:rPr>
        <w:br/>
      </w:r>
      <w:r>
        <w:tab/>
      </w:r>
      <w:proofErr w:type="spellStart"/>
      <w:r>
        <w:t>Peeter</w:t>
      </w:r>
      <w:proofErr w:type="spellEnd"/>
      <w:r>
        <w:t xml:space="preserve"> </w:t>
      </w:r>
      <w:proofErr w:type="spellStart"/>
      <w:r>
        <w:t>Roosma</w:t>
      </w:r>
      <w:proofErr w:type="spellEnd"/>
      <w:r>
        <w:t>,</w:t>
      </w:r>
      <w:r>
        <w:rPr>
          <w:i/>
        </w:rPr>
        <w:t xml:space="preserve"> sędziowie,</w:t>
      </w:r>
      <w:r>
        <w:br/>
        <w:t xml:space="preserve">oraz Milan </w:t>
      </w:r>
      <w:proofErr w:type="spellStart"/>
      <w:r>
        <w:t>Blaško</w:t>
      </w:r>
      <w:proofErr w:type="spellEnd"/>
      <w:r>
        <w:t>,</w:t>
      </w:r>
      <w:r w:rsidR="004B481F">
        <w:t xml:space="preserve"> </w:t>
      </w:r>
      <w:r w:rsidR="004B481F" w:rsidRPr="00F5746C">
        <w:rPr>
          <w:i/>
          <w:iCs/>
        </w:rPr>
        <w:t>K</w:t>
      </w:r>
      <w:r>
        <w:rPr>
          <w:i/>
        </w:rPr>
        <w:t xml:space="preserve">anclerz </w:t>
      </w:r>
      <w:r w:rsidR="004B481F">
        <w:rPr>
          <w:i/>
        </w:rPr>
        <w:t>S</w:t>
      </w:r>
      <w:r>
        <w:rPr>
          <w:i/>
        </w:rPr>
        <w:t>ekcji,</w:t>
      </w:r>
    </w:p>
    <w:p w14:paraId="3FB23354" w14:textId="77777777" w:rsidR="009F4C8F" w:rsidRPr="00A34A82" w:rsidRDefault="009F4C8F" w:rsidP="00A34A82">
      <w:pPr>
        <w:pStyle w:val="JuPara"/>
      </w:pPr>
      <w:bookmarkStart w:id="3" w:name="ITMARKHavingStart"/>
      <w:bookmarkEnd w:id="3"/>
      <w:r>
        <w:t>obradując na posiedzeniu niejawnym w dniu 10 listopada 2020 r.,</w:t>
      </w:r>
    </w:p>
    <w:p w14:paraId="3267E659" w14:textId="794AB4F6" w:rsidR="009F4C8F" w:rsidRPr="00A34A82" w:rsidRDefault="009F4C8F" w:rsidP="00A34A82">
      <w:pPr>
        <w:pStyle w:val="JuPara"/>
      </w:pPr>
      <w:r>
        <w:t xml:space="preserve">wydaje następujący wyrok, który </w:t>
      </w:r>
      <w:r w:rsidR="004B481F">
        <w:t xml:space="preserve">został </w:t>
      </w:r>
      <w:r>
        <w:t>w tym dniu przyjęty:</w:t>
      </w:r>
    </w:p>
    <w:p w14:paraId="56FCAD16" w14:textId="77777777" w:rsidR="005652E0" w:rsidRPr="00A34A82" w:rsidRDefault="005652E0" w:rsidP="00A34A82">
      <w:pPr>
        <w:pStyle w:val="JuHHead"/>
        <w:numPr>
          <w:ilvl w:val="0"/>
          <w:numId w:val="1"/>
        </w:numPr>
        <w:jc w:val="left"/>
      </w:pPr>
      <w:r>
        <w:t>POSTĘPOWANIE</w:t>
      </w:r>
    </w:p>
    <w:p w14:paraId="36890D25" w14:textId="420D3B20" w:rsidR="005652E0" w:rsidRPr="00A34A82" w:rsidRDefault="0085731C" w:rsidP="00A34A82">
      <w:pPr>
        <w:pStyle w:val="JuPara"/>
      </w:pPr>
      <w:fldSimple w:instr=" SEQ level0 \*arabic ">
        <w:r w:rsidR="00A34A82" w:rsidRPr="00A34A82">
          <w:t>1</w:t>
        </w:r>
      </w:fldSimple>
      <w:r w:rsidR="005652E0">
        <w:t xml:space="preserve">.  Sprawa wywodzi się ze skargi (nr 88/05) przeciwko Federacji Rosyjskiej, wniesionej do Trybunału na podstawie art. 34 Konwencji o ochronie praw człowieka i podstawowych wolności („Konwencji”) przez obywatela rosyjskiego, p. Valentina </w:t>
      </w:r>
      <w:proofErr w:type="spellStart"/>
      <w:r w:rsidR="005652E0">
        <w:t>Vladimirovicha</w:t>
      </w:r>
      <w:proofErr w:type="spellEnd"/>
      <w:r w:rsidR="005652E0">
        <w:t xml:space="preserve"> </w:t>
      </w:r>
      <w:proofErr w:type="spellStart"/>
      <w:r w:rsidR="005652E0">
        <w:t>Danilova</w:t>
      </w:r>
      <w:proofErr w:type="spellEnd"/>
      <w:r w:rsidR="005652E0">
        <w:t xml:space="preserve"> („skarżąc</w:t>
      </w:r>
      <w:r w:rsidR="004B481F">
        <w:t>y</w:t>
      </w:r>
      <w:r w:rsidR="005652E0">
        <w:t>”), w dniu 11 grudnia 2004 r.</w:t>
      </w:r>
    </w:p>
    <w:p w14:paraId="42CA0A5A" w14:textId="5AD23DE0" w:rsidR="005652E0" w:rsidRPr="00A34A82" w:rsidRDefault="0085731C" w:rsidP="00A34A82">
      <w:pPr>
        <w:pStyle w:val="JuPara"/>
      </w:pPr>
      <w:fldSimple w:instr=" SEQ level0 \*arabic ">
        <w:r w:rsidR="00A34A82" w:rsidRPr="00A34A82">
          <w:t>2</w:t>
        </w:r>
      </w:fldSimple>
      <w:r w:rsidR="005652E0">
        <w:t xml:space="preserve">.  Skarżącego, któremu </w:t>
      </w:r>
      <w:r w:rsidR="004B481F">
        <w:t xml:space="preserve">przyznano </w:t>
      </w:r>
      <w:r w:rsidR="005652E0">
        <w:t>bezpłatn</w:t>
      </w:r>
      <w:r w:rsidR="004B481F">
        <w:t>ą</w:t>
      </w:r>
      <w:r w:rsidR="005652E0">
        <w:t xml:space="preserve"> pomoc prawn</w:t>
      </w:r>
      <w:r w:rsidR="004B481F">
        <w:t>ą</w:t>
      </w:r>
      <w:r w:rsidR="005652E0">
        <w:t xml:space="preserve">, reprezentowały </w:t>
      </w:r>
      <w:r w:rsidR="004B481F">
        <w:t xml:space="preserve">P. </w:t>
      </w:r>
      <w:proofErr w:type="spellStart"/>
      <w:r w:rsidR="005652E0">
        <w:t>Karinna</w:t>
      </w:r>
      <w:proofErr w:type="spellEnd"/>
      <w:r w:rsidR="005652E0">
        <w:t xml:space="preserve"> </w:t>
      </w:r>
      <w:proofErr w:type="spellStart"/>
      <w:r w:rsidR="005652E0">
        <w:t>Moskalenko</w:t>
      </w:r>
      <w:proofErr w:type="spellEnd"/>
      <w:r w:rsidR="005652E0">
        <w:t xml:space="preserve"> i </w:t>
      </w:r>
      <w:r w:rsidR="004B481F">
        <w:t xml:space="preserve">P. </w:t>
      </w:r>
      <w:r w:rsidR="005652E0">
        <w:t xml:space="preserve">Anna </w:t>
      </w:r>
      <w:proofErr w:type="spellStart"/>
      <w:r w:rsidR="005652E0">
        <w:t>Stavitskaya</w:t>
      </w:r>
      <w:proofErr w:type="spellEnd"/>
      <w:r w:rsidR="005652E0">
        <w:t xml:space="preserve">, prawniczki z Centrum Pomocy Ochrony Międzynarodowej z siedzibą w Moskwie. Rząd rosyjski („Rząd”) </w:t>
      </w:r>
      <w:r w:rsidR="004B481F">
        <w:t xml:space="preserve">reprezentowany był </w:t>
      </w:r>
      <w:r w:rsidR="005652E0">
        <w:t>początkowo przez </w:t>
      </w:r>
      <w:r w:rsidR="004B481F">
        <w:t xml:space="preserve">P. </w:t>
      </w:r>
      <w:r w:rsidR="005652E0">
        <w:t>P. </w:t>
      </w:r>
      <w:proofErr w:type="spellStart"/>
      <w:r w:rsidR="005652E0">
        <w:t>Lapteva</w:t>
      </w:r>
      <w:proofErr w:type="spellEnd"/>
      <w:r w:rsidR="005652E0">
        <w:t xml:space="preserve">, </w:t>
      </w:r>
      <w:r w:rsidR="004B481F">
        <w:t xml:space="preserve">P. </w:t>
      </w:r>
      <w:r w:rsidR="005652E0">
        <w:t>V. </w:t>
      </w:r>
      <w:proofErr w:type="spellStart"/>
      <w:r w:rsidR="005652E0">
        <w:t>Milinchuk</w:t>
      </w:r>
      <w:proofErr w:type="spellEnd"/>
      <w:r w:rsidR="005652E0">
        <w:t xml:space="preserve"> i </w:t>
      </w:r>
      <w:r w:rsidR="004B481F">
        <w:t xml:space="preserve">P. </w:t>
      </w:r>
      <w:r w:rsidR="005652E0">
        <w:t>G. </w:t>
      </w:r>
      <w:proofErr w:type="spellStart"/>
      <w:r w:rsidR="005652E0">
        <w:t>Matyushkina</w:t>
      </w:r>
      <w:proofErr w:type="spellEnd"/>
      <w:r w:rsidR="005652E0">
        <w:t>, był</w:t>
      </w:r>
      <w:r w:rsidR="004B481F">
        <w:t>ych</w:t>
      </w:r>
      <w:r w:rsidR="005652E0">
        <w:t xml:space="preserve"> przedstawiciel</w:t>
      </w:r>
      <w:r w:rsidR="004B481F">
        <w:t>i</w:t>
      </w:r>
      <w:r w:rsidR="005652E0">
        <w:t xml:space="preserve"> Federacji Rosyjskiej </w:t>
      </w:r>
      <w:r w:rsidR="004B481F">
        <w:t>przed </w:t>
      </w:r>
      <w:r w:rsidR="005652E0">
        <w:t>Europejskim Trybuna</w:t>
      </w:r>
      <w:r w:rsidR="004B481F">
        <w:t>łem</w:t>
      </w:r>
      <w:r w:rsidR="005652E0">
        <w:t xml:space="preserve"> Praw Człowieka, a następnie przez ich następcę, </w:t>
      </w:r>
      <w:r w:rsidR="004B481F">
        <w:t xml:space="preserve">P. </w:t>
      </w:r>
      <w:r w:rsidR="005652E0">
        <w:t xml:space="preserve">M. </w:t>
      </w:r>
      <w:proofErr w:type="spellStart"/>
      <w:r w:rsidR="005652E0">
        <w:t>Galperina</w:t>
      </w:r>
      <w:proofErr w:type="spellEnd"/>
      <w:r w:rsidR="005652E0">
        <w:t>.</w:t>
      </w:r>
    </w:p>
    <w:p w14:paraId="5BFBE43A" w14:textId="2451FED6" w:rsidR="005652E0" w:rsidRPr="00A34A82" w:rsidRDefault="0085731C" w:rsidP="00A34A82">
      <w:pPr>
        <w:pStyle w:val="JuPara"/>
      </w:pPr>
      <w:fldSimple w:instr=" SEQ level0 \*arabic ">
        <w:r w:rsidR="00A34A82" w:rsidRPr="00A34A82">
          <w:t>3</w:t>
        </w:r>
      </w:fldSimple>
      <w:r w:rsidR="005652E0">
        <w:t>.  Skarżący zarzucał, że w wyniku nierzetelnego procesu przeprowadzonego przez stronniczy sąd, został skazany na podstawie niemożliwych do przewidzenia przepisów krajow</w:t>
      </w:r>
      <w:r w:rsidR="006D5FE9">
        <w:t>ych</w:t>
      </w:r>
      <w:r w:rsidR="005652E0">
        <w:t xml:space="preserve"> za uprzednie ujawnienie danych, które pochodziły z ogólnodostępnych źródeł. Powołał się na art. 6, 7 i 10 Konwencji.</w:t>
      </w:r>
    </w:p>
    <w:p w14:paraId="696F747D" w14:textId="78AA2849" w:rsidR="005652E0" w:rsidRPr="00A34A82" w:rsidRDefault="0085731C" w:rsidP="00A34A82">
      <w:pPr>
        <w:pStyle w:val="JuPara"/>
      </w:pPr>
      <w:fldSimple w:instr=" SEQ level0 \*arabic ">
        <w:r w:rsidR="00A34A82" w:rsidRPr="00A34A82">
          <w:t>4</w:t>
        </w:r>
      </w:fldSimple>
      <w:r w:rsidR="005652E0">
        <w:t>.  Decyzją z  14 kwietnia 2015 r. Trybunał uznał skargę za częściowo dopuszczalną.</w:t>
      </w:r>
    </w:p>
    <w:p w14:paraId="73D4BD11" w14:textId="37203192" w:rsidR="005652E0" w:rsidRPr="00A34A82" w:rsidRDefault="0085731C" w:rsidP="00A34A82">
      <w:pPr>
        <w:pStyle w:val="JuPara"/>
      </w:pPr>
      <w:fldSimple w:instr=" SEQ level0 \*arabic ">
        <w:r w:rsidR="00A34A82" w:rsidRPr="00A34A82">
          <w:t>5</w:t>
        </w:r>
      </w:fldSimple>
      <w:r w:rsidR="005652E0">
        <w:t xml:space="preserve">.  Strony przedłożyły swoje </w:t>
      </w:r>
      <w:r w:rsidR="006D5FE9">
        <w:t>stanowiska</w:t>
      </w:r>
      <w:r w:rsidR="005652E0">
        <w:t xml:space="preserve">. Rząd przedłożył następnie kolejne uwagi na piśmie, czego nie zrobił już skarżący (Reguła 59 § 1). Izba po przeprowadzeniu konsultacji ze stronami podjęła decyzję, że nie jest konieczne przeprowadzenie rozprawy co do </w:t>
      </w:r>
      <w:r w:rsidR="006D5FE9">
        <w:t>meritum</w:t>
      </w:r>
      <w:r w:rsidR="005652E0">
        <w:t xml:space="preserve"> (Reguła 59 § 3 </w:t>
      </w:r>
      <w:r w:rsidR="005652E0">
        <w:rPr>
          <w:i/>
        </w:rPr>
        <w:t>in fine</w:t>
      </w:r>
      <w:r w:rsidR="005652E0">
        <w:t>).</w:t>
      </w:r>
    </w:p>
    <w:p w14:paraId="43663754" w14:textId="77777777" w:rsidR="005652E0" w:rsidRPr="00A34A82" w:rsidRDefault="005652E0" w:rsidP="00A34A82">
      <w:pPr>
        <w:pStyle w:val="JuHHead"/>
        <w:numPr>
          <w:ilvl w:val="0"/>
          <w:numId w:val="1"/>
        </w:numPr>
        <w:jc w:val="left"/>
      </w:pPr>
      <w:r>
        <w:lastRenderedPageBreak/>
        <w:t>WPROWADZENIE</w:t>
      </w:r>
    </w:p>
    <w:p w14:paraId="4365589F" w14:textId="2A588B62" w:rsidR="005652E0" w:rsidRPr="00A34A82" w:rsidRDefault="0085731C" w:rsidP="00A34A82">
      <w:pPr>
        <w:pStyle w:val="JuPara"/>
      </w:pPr>
      <w:fldSimple w:instr=" SEQ level0 \*arabic ">
        <w:r w:rsidR="00A34A82" w:rsidRPr="00A34A82">
          <w:t>6</w:t>
        </w:r>
      </w:fldSimple>
      <w:r w:rsidR="005652E0">
        <w:t xml:space="preserve">.  Niniejsza sprawa dotyczy skazania skarżącego w postępowaniu karnym za zdradę stanu </w:t>
      </w:r>
      <w:r w:rsidR="006D5FE9">
        <w:t>w postaci</w:t>
      </w:r>
      <w:r w:rsidR="005652E0">
        <w:t xml:space="preserve"> ujawnieni</w:t>
      </w:r>
      <w:r w:rsidR="006D5FE9">
        <w:t>a</w:t>
      </w:r>
      <w:r w:rsidR="005652E0">
        <w:t xml:space="preserve"> informacji </w:t>
      </w:r>
      <w:r w:rsidR="006D5FE9">
        <w:t xml:space="preserve">stanowiących tajemnicę </w:t>
      </w:r>
      <w:r w:rsidR="005652E0">
        <w:t>państwow</w:t>
      </w:r>
      <w:r w:rsidR="006D5FE9">
        <w:t>ą</w:t>
      </w:r>
      <w:r w:rsidR="005652E0">
        <w:t xml:space="preserve"> związanych z badaniami kosmosu.</w:t>
      </w:r>
    </w:p>
    <w:p w14:paraId="2205B410" w14:textId="77777777" w:rsidR="005652E0" w:rsidRPr="00A34A82" w:rsidRDefault="005652E0" w:rsidP="00A34A82">
      <w:pPr>
        <w:pStyle w:val="JuHHead"/>
        <w:numPr>
          <w:ilvl w:val="0"/>
          <w:numId w:val="1"/>
        </w:numPr>
        <w:jc w:val="left"/>
      </w:pPr>
      <w:r>
        <w:t>FAKTY</w:t>
      </w:r>
    </w:p>
    <w:p w14:paraId="4FD99DA8" w14:textId="21E7FCFB" w:rsidR="005652E0" w:rsidRPr="00A34A82" w:rsidRDefault="0085731C" w:rsidP="00A34A82">
      <w:pPr>
        <w:pStyle w:val="JuPara"/>
      </w:pPr>
      <w:fldSimple w:instr=" SEQ level0 \*arabic ">
        <w:r w:rsidR="00A34A82" w:rsidRPr="00A34A82">
          <w:t>7</w:t>
        </w:r>
      </w:fldSimple>
      <w:r w:rsidR="005652E0">
        <w:t>.  Skarżący urodził się w 1948 r.</w:t>
      </w:r>
      <w:r w:rsidR="006D5FE9">
        <w:t xml:space="preserve"> i mieszka</w:t>
      </w:r>
      <w:r w:rsidR="005652E0">
        <w:t xml:space="preserve"> w Nowosybirsku, w obwodzie nowosybirskim.</w:t>
      </w:r>
    </w:p>
    <w:p w14:paraId="6A8219AF" w14:textId="5BE0DC82" w:rsidR="005652E0" w:rsidRPr="00A34A82" w:rsidRDefault="0085731C" w:rsidP="00A34A82">
      <w:pPr>
        <w:pStyle w:val="JuPara"/>
      </w:pPr>
      <w:fldSimple w:instr=" SEQ level0 \*arabic ">
        <w:r w:rsidR="00A34A82" w:rsidRPr="00A34A82">
          <w:t>8</w:t>
        </w:r>
      </w:fldSimple>
      <w:r w:rsidR="005652E0">
        <w:t xml:space="preserve">.  Skarżący jest </w:t>
      </w:r>
      <w:r w:rsidR="006D5FE9">
        <w:t xml:space="preserve">słynnym </w:t>
      </w:r>
      <w:r w:rsidR="005652E0">
        <w:t>fizykiem, prowadzącym badania w dziedzinie wpływu aktywności słońca na satelity.</w:t>
      </w:r>
    </w:p>
    <w:p w14:paraId="1C203EBF" w14:textId="0ED4BECA" w:rsidR="005652E0" w:rsidRPr="00A34A82" w:rsidRDefault="0085731C" w:rsidP="00A34A82">
      <w:pPr>
        <w:pStyle w:val="JuPara"/>
      </w:pPr>
      <w:fldSimple w:instr=" SEQ level0 \*arabic ">
        <w:r w:rsidR="00A34A82" w:rsidRPr="00A34A82">
          <w:t>9</w:t>
        </w:r>
      </w:fldSimple>
      <w:r w:rsidR="005652E0">
        <w:t xml:space="preserve">.  W czasie istotnym dla sprawy skarżący był zatrudniony jako </w:t>
      </w:r>
      <w:r w:rsidR="005652E0">
        <w:rPr>
          <w:color w:val="000000" w:themeColor="text1"/>
        </w:rPr>
        <w:t xml:space="preserve">kierownik Centrum </w:t>
      </w:r>
      <w:proofErr w:type="spellStart"/>
      <w:r w:rsidR="005652E0">
        <w:rPr>
          <w:color w:val="000000" w:themeColor="text1"/>
        </w:rPr>
        <w:t>Termofizyki</w:t>
      </w:r>
      <w:proofErr w:type="spellEnd"/>
      <w:r w:rsidR="005652E0">
        <w:rPr>
          <w:color w:val="000000" w:themeColor="text1"/>
        </w:rPr>
        <w:t xml:space="preserve"> na Państwowym Uniwersytecie Technicznym w Krasnojarsku</w:t>
      </w:r>
      <w:r w:rsidR="005652E0">
        <w:t xml:space="preserve"> (</w:t>
      </w:r>
      <w:r w:rsidR="006D5FE9">
        <w:t xml:space="preserve">„Uniwersytet”, </w:t>
      </w:r>
      <w:proofErr w:type="spellStart"/>
      <w:r w:rsidR="005652E0">
        <w:rPr>
          <w:i/>
        </w:rPr>
        <w:t>Теплофизический</w:t>
      </w:r>
      <w:proofErr w:type="spellEnd"/>
      <w:r w:rsidR="005652E0">
        <w:rPr>
          <w:i/>
        </w:rPr>
        <w:t xml:space="preserve"> </w:t>
      </w:r>
      <w:proofErr w:type="spellStart"/>
      <w:r w:rsidR="005652E0">
        <w:rPr>
          <w:i/>
        </w:rPr>
        <w:t>центр</w:t>
      </w:r>
      <w:proofErr w:type="spellEnd"/>
      <w:r w:rsidR="005652E0">
        <w:rPr>
          <w:i/>
        </w:rPr>
        <w:t xml:space="preserve"> </w:t>
      </w:r>
      <w:proofErr w:type="spellStart"/>
      <w:r w:rsidR="005652E0">
        <w:rPr>
          <w:i/>
        </w:rPr>
        <w:t>Красноярского</w:t>
      </w:r>
      <w:proofErr w:type="spellEnd"/>
      <w:r w:rsidR="005652E0">
        <w:rPr>
          <w:i/>
        </w:rPr>
        <w:t xml:space="preserve"> </w:t>
      </w:r>
      <w:proofErr w:type="spellStart"/>
      <w:r w:rsidR="005652E0">
        <w:rPr>
          <w:i/>
        </w:rPr>
        <w:t>государственного</w:t>
      </w:r>
      <w:proofErr w:type="spellEnd"/>
      <w:r w:rsidR="005652E0">
        <w:rPr>
          <w:i/>
        </w:rPr>
        <w:t xml:space="preserve"> </w:t>
      </w:r>
      <w:proofErr w:type="spellStart"/>
      <w:r w:rsidR="005652E0">
        <w:rPr>
          <w:i/>
        </w:rPr>
        <w:t>технического</w:t>
      </w:r>
      <w:proofErr w:type="spellEnd"/>
      <w:r w:rsidR="005652E0">
        <w:rPr>
          <w:i/>
        </w:rPr>
        <w:t xml:space="preserve"> </w:t>
      </w:r>
      <w:proofErr w:type="spellStart"/>
      <w:r w:rsidR="005652E0">
        <w:rPr>
          <w:i/>
        </w:rPr>
        <w:t>университета</w:t>
      </w:r>
      <w:proofErr w:type="spellEnd"/>
      <w:r w:rsidR="005652E0">
        <w:t>;).</w:t>
      </w:r>
    </w:p>
    <w:p w14:paraId="1C13D5A5" w14:textId="77777777" w:rsidR="005652E0" w:rsidRPr="00A34A82" w:rsidRDefault="005652E0" w:rsidP="00A34A82">
      <w:pPr>
        <w:pStyle w:val="JuHIRoman"/>
        <w:numPr>
          <w:ilvl w:val="1"/>
          <w:numId w:val="1"/>
        </w:numPr>
        <w:jc w:val="left"/>
      </w:pPr>
      <w:r>
        <w:t>Kontekst sprawy</w:t>
      </w:r>
    </w:p>
    <w:p w14:paraId="3FF7CD85" w14:textId="31B56471" w:rsidR="005652E0" w:rsidRPr="00A34A82" w:rsidRDefault="0085731C" w:rsidP="00A34A82">
      <w:pPr>
        <w:pStyle w:val="JuPara"/>
      </w:pPr>
      <w:fldSimple w:instr=" SEQ level0 \*arabic ">
        <w:r w:rsidR="00A34A82" w:rsidRPr="00A34A82">
          <w:t>10</w:t>
        </w:r>
      </w:fldSimple>
      <w:r w:rsidR="005652E0">
        <w:t xml:space="preserve">.  W listopadzie 1998 r. skarżący prowadził korespondencję z dwoma obywatelami chińskimi, którzy występowali w imieniu Instytutu Fizyki Chińskiej Akademii Technologii Kosmicznej w Lanzhou. Skarżącego zaproszono </w:t>
      </w:r>
      <w:r w:rsidR="00A624C7">
        <w:t xml:space="preserve">do </w:t>
      </w:r>
      <w:r w:rsidR="005652E0">
        <w:t xml:space="preserve">stworzenia laboratoryjnego </w:t>
      </w:r>
      <w:r w:rsidR="00A624C7">
        <w:t>układu doświadczalnego do</w:t>
      </w:r>
      <w:r w:rsidR="005652E0">
        <w:t xml:space="preserve"> symulowania przestrzeni kosmicznej („symulatora kosmosu”)</w:t>
      </w:r>
      <w:r w:rsidR="00A624C7">
        <w:t xml:space="preserve"> - </w:t>
      </w:r>
      <w:r w:rsidR="005652E0">
        <w:t>urządzenia do wykorzystania w dziedzinie badań kosmicznych. Po otrzymaniu projektu umowy od chińskich współpracowników skarżący dokonał szeregu modyfikacji we wstępnej specyfikacji urządzenia i odesłał umowę współpracownikom. Skarżący podpisał umowę 11 marca 1999 r. w mieście Lanzhou w Chinach.</w:t>
      </w:r>
    </w:p>
    <w:p w14:paraId="20943219" w14:textId="77777777" w:rsidR="005652E0" w:rsidRPr="00A34A82" w:rsidRDefault="0085731C" w:rsidP="00A34A82">
      <w:pPr>
        <w:pStyle w:val="JuPara"/>
      </w:pPr>
      <w:fldSimple w:instr=" SEQ level0 \*arabic ">
        <w:r w:rsidR="00A34A82" w:rsidRPr="00A34A82">
          <w:t>11</w:t>
        </w:r>
      </w:fldSimple>
      <w:r w:rsidR="005652E0">
        <w:t>.  Pod koniec 1999 r. skarżący kontynuował partnerską współpracę z obywatelami chińskimi. Korespondencja między nimi dotyczyła systemu symulującego przestrzeń kosmiczną „</w:t>
      </w:r>
      <w:proofErr w:type="spellStart"/>
      <w:r w:rsidR="005652E0">
        <w:t>Aquagen</w:t>
      </w:r>
      <w:proofErr w:type="spellEnd"/>
      <w:r w:rsidR="005652E0">
        <w:t>” zainstalowanego w laboratorium kosmofizyki należącym do Uniwersytetu.</w:t>
      </w:r>
    </w:p>
    <w:p w14:paraId="7052A732" w14:textId="6DAB571C" w:rsidR="005652E0" w:rsidRPr="00A34A82" w:rsidRDefault="005652E0" w:rsidP="00A34A82">
      <w:pPr>
        <w:pStyle w:val="JuHIRoman"/>
        <w:numPr>
          <w:ilvl w:val="1"/>
          <w:numId w:val="1"/>
        </w:numPr>
        <w:jc w:val="left"/>
      </w:pPr>
      <w:r>
        <w:t>Postępowanie karne przeciwko skarżącemu</w:t>
      </w:r>
    </w:p>
    <w:p w14:paraId="2DE51942" w14:textId="77777777" w:rsidR="005652E0" w:rsidRPr="00A34A82" w:rsidRDefault="005652E0" w:rsidP="00A34A82">
      <w:pPr>
        <w:pStyle w:val="JuHA"/>
        <w:numPr>
          <w:ilvl w:val="2"/>
          <w:numId w:val="1"/>
        </w:numPr>
        <w:jc w:val="left"/>
      </w:pPr>
      <w:r>
        <w:t>Pierwsze postępowanie</w:t>
      </w:r>
    </w:p>
    <w:p w14:paraId="4906C8A0" w14:textId="77777777" w:rsidR="005652E0" w:rsidRPr="00A34A82" w:rsidRDefault="005652E0" w:rsidP="00A34A82">
      <w:pPr>
        <w:pStyle w:val="JuH1"/>
        <w:numPr>
          <w:ilvl w:val="3"/>
          <w:numId w:val="1"/>
        </w:numPr>
        <w:jc w:val="left"/>
      </w:pPr>
      <w:r>
        <w:t>Postępowanie przygotowawcze</w:t>
      </w:r>
    </w:p>
    <w:bookmarkStart w:id="4" w:name="seven"/>
    <w:p w14:paraId="244B7F30" w14:textId="73579024"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12</w:t>
      </w:r>
      <w:r w:rsidRPr="00A34A82">
        <w:fldChar w:fldCharType="end"/>
      </w:r>
      <w:r>
        <w:t>.  </w:t>
      </w:r>
      <w:bookmarkEnd w:id="4"/>
      <w:r>
        <w:t xml:space="preserve">Dnia 18 maja 2000 r. śledczy z Federalnej Służby Bezpieczeństwa („FSB”, </w:t>
      </w:r>
      <w:proofErr w:type="spellStart"/>
      <w:r>
        <w:rPr>
          <w:i/>
        </w:rPr>
        <w:t>Федеральная</w:t>
      </w:r>
      <w:proofErr w:type="spellEnd"/>
      <w:r>
        <w:rPr>
          <w:i/>
        </w:rPr>
        <w:t xml:space="preserve"> </w:t>
      </w:r>
      <w:proofErr w:type="spellStart"/>
      <w:r>
        <w:rPr>
          <w:i/>
        </w:rPr>
        <w:t>служба</w:t>
      </w:r>
      <w:proofErr w:type="spellEnd"/>
      <w:r>
        <w:rPr>
          <w:i/>
        </w:rPr>
        <w:t xml:space="preserve"> </w:t>
      </w:r>
      <w:proofErr w:type="spellStart"/>
      <w:r>
        <w:rPr>
          <w:i/>
        </w:rPr>
        <w:t>безопасности</w:t>
      </w:r>
      <w:proofErr w:type="spellEnd"/>
      <w:r>
        <w:rPr>
          <w:i/>
        </w:rPr>
        <w:t xml:space="preserve"> РФ</w:t>
      </w:r>
      <w:r>
        <w:t>) wszczął postępowanie w związku z podejrzeniem ujawni</w:t>
      </w:r>
      <w:r w:rsidR="00A624C7">
        <w:t>e</w:t>
      </w:r>
      <w:r>
        <w:t xml:space="preserve">nia tajemnic państwowych przez osobę z poświadczeniem bezpieczeństwa. Organy najpierw przesłuchały skarżącego, a następnie postawiły mu zarzuty. Po dokonaniu szeregu zmian </w:t>
      </w:r>
      <w:r>
        <w:lastRenderedPageBreak/>
        <w:t xml:space="preserve">w treści zarzutów skarżącemu ostatecznie postawiono zarzut zdrady stanu </w:t>
      </w:r>
      <w:r w:rsidR="00A624C7">
        <w:t>w postaci</w:t>
      </w:r>
      <w:r>
        <w:t xml:space="preserve"> ujawnieni</w:t>
      </w:r>
      <w:r w:rsidR="00A624C7">
        <w:t>a</w:t>
      </w:r>
      <w:r>
        <w:t xml:space="preserve"> tajemnicy państwowej oraz zarzut oszustwa wobec pracodawcy, w tym przypadku Uniwersytetu.</w:t>
      </w:r>
    </w:p>
    <w:p w14:paraId="7F5B1ED6" w14:textId="77777777" w:rsidR="005652E0" w:rsidRPr="00A34A82" w:rsidRDefault="0085731C" w:rsidP="00A34A82">
      <w:pPr>
        <w:pStyle w:val="JuPara"/>
      </w:pPr>
      <w:fldSimple w:instr=" SEQ level0 \*arabic ">
        <w:r w:rsidR="00A34A82" w:rsidRPr="00A34A82">
          <w:t>13</w:t>
        </w:r>
      </w:fldSimple>
      <w:r w:rsidR="005652E0">
        <w:t>.  W dniach 1–2 sierpnia 2000 r. i 24 października 2000 r. śledczy zwrócił się o cztery opinie biegłych, aby ustalić, czy dane ujawnione przez skarżącego stanowiły tajemnicę państwową.</w:t>
      </w:r>
    </w:p>
    <w:bookmarkStart w:id="5" w:name="first_four_expert_reports"/>
    <w:p w14:paraId="65BB061B" w14:textId="2429E3EE"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14</w:t>
      </w:r>
      <w:r w:rsidRPr="00A34A82">
        <w:fldChar w:fldCharType="end"/>
      </w:r>
      <w:bookmarkEnd w:id="5"/>
      <w:r>
        <w:t xml:space="preserve">.  Wygląda na to, że we wszystkich czterech opiniach biegłych, o sygn. 50/2000-73 DSP z  4 sierpnia 2000 r., B-7/10 DSP z 7 sierpnia 2000 r., 50/2009-93 z 27 października 2000 r. </w:t>
      </w:r>
      <w:r w:rsidR="001B5403">
        <w:t>i </w:t>
      </w:r>
      <w:r>
        <w:t xml:space="preserve">37-51-107 DSP z 1 listopada 2000 r., stwierdzono, że ujawnione dane należy uznać za „tajemnicę państwową” w rozumieniu rosyjskiej ustawy, w tym pkt 5.2.9 „Szczegółowego wykazu informacji </w:t>
      </w:r>
      <w:r w:rsidR="001B5403">
        <w:t xml:space="preserve">niejawnych </w:t>
      </w:r>
      <w:r>
        <w:t>w ramach systemu prowadzonego przez Ministerstwo Kształcenia Ogólnego i Zawodowego Rosji”, zatwierdzonego przez ministerstwo 16 kwietnia 1998 r. („Szczegółow</w:t>
      </w:r>
      <w:r w:rsidR="001B5403">
        <w:t>y</w:t>
      </w:r>
      <w:r>
        <w:t xml:space="preserve"> wykaz z 1998 r.”).</w:t>
      </w:r>
    </w:p>
    <w:p w14:paraId="52E61824" w14:textId="77777777" w:rsidR="005652E0" w:rsidRPr="00A34A82" w:rsidRDefault="005652E0" w:rsidP="00A34A82">
      <w:pPr>
        <w:pStyle w:val="JuH1"/>
        <w:numPr>
          <w:ilvl w:val="3"/>
          <w:numId w:val="1"/>
        </w:numPr>
        <w:jc w:val="left"/>
      </w:pPr>
      <w:r>
        <w:t>Orzeczenia sądów</w:t>
      </w:r>
    </w:p>
    <w:bookmarkStart w:id="6" w:name="scientific_alt_opinions_2002"/>
    <w:p w14:paraId="60391137" w14:textId="77777777"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15</w:t>
      </w:r>
      <w:r w:rsidRPr="00A34A82">
        <w:fldChar w:fldCharType="end"/>
      </w:r>
      <w:bookmarkEnd w:id="6"/>
      <w:r>
        <w:t>.  Dnia 24 stycznia 2002 r. skarżący wniósł do sądu pierwszej instancji o włączenie do materiału dowodowego dokumentów sporządzonych przez szereg rosyjskich naukowców, którzy popierali jego stanowisko, w myśl którego ujawnione przez niego dane nie zawierały żadnych tajemnic państwowych.</w:t>
      </w:r>
    </w:p>
    <w:p w14:paraId="085659A7" w14:textId="77777777" w:rsidR="005652E0" w:rsidRPr="00A34A82" w:rsidRDefault="0085731C" w:rsidP="00A34A82">
      <w:pPr>
        <w:pStyle w:val="JuPara"/>
      </w:pPr>
      <w:fldSimple w:instr=" SEQ level0 \*arabic ">
        <w:r w:rsidR="00A34A82" w:rsidRPr="00A34A82">
          <w:t>16</w:t>
        </w:r>
      </w:fldSimple>
      <w:r w:rsidR="005652E0">
        <w:t>.  W świetle tego dowodu prokurator wniósł o zwrot sprawy celem dalszego prowadzenia śledztwa.</w:t>
      </w:r>
    </w:p>
    <w:bookmarkStart w:id="7" w:name="court_dec_6Feb2002"/>
    <w:p w14:paraId="73BA1A01" w14:textId="25A83361"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17</w:t>
      </w:r>
      <w:r w:rsidRPr="00A34A82">
        <w:fldChar w:fldCharType="end"/>
      </w:r>
      <w:bookmarkEnd w:id="7"/>
      <w:r>
        <w:t xml:space="preserve">.  Dnia 6 lutego 2002 r. Sąd Okręgowy w Krasnojarsku („Sąd Okręgowy”) przychylił się do </w:t>
      </w:r>
      <w:r w:rsidR="001B5403">
        <w:t xml:space="preserve">tego </w:t>
      </w:r>
      <w:r>
        <w:t xml:space="preserve">wniosku. Orzeczenie sądu z 6 lutego 2002 r. </w:t>
      </w:r>
      <w:r w:rsidR="001B5403">
        <w:t>było niejawne</w:t>
      </w:r>
      <w:r>
        <w:t xml:space="preserve">. Zdaniem skarżącego sąd stwierdził szereg uchybień w akcie oskarżenia, </w:t>
      </w:r>
      <w:r w:rsidR="001B5403">
        <w:t>w tym związanych</w:t>
      </w:r>
      <w:r>
        <w:t xml:space="preserve"> z wykorzystaniem </w:t>
      </w:r>
      <w:r w:rsidR="001B5403">
        <w:t>konkluzji</w:t>
      </w:r>
      <w:r>
        <w:t xml:space="preserve"> biegłych. Sąd odnotował też, że </w:t>
      </w:r>
      <w:r w:rsidR="001B5403">
        <w:t>powinno zostać</w:t>
      </w:r>
      <w:r>
        <w:t xml:space="preserve"> przeprowadz</w:t>
      </w:r>
      <w:r w:rsidR="001B5403">
        <w:t>one</w:t>
      </w:r>
      <w:r>
        <w:t xml:space="preserve"> </w:t>
      </w:r>
      <w:r w:rsidR="001B5403">
        <w:t xml:space="preserve">przez biegłych </w:t>
      </w:r>
      <w:r>
        <w:t>dodatkowe badani</w:t>
      </w:r>
      <w:r w:rsidR="001B5403">
        <w:t>e</w:t>
      </w:r>
      <w:r>
        <w:t xml:space="preserve">, które uwzględniałoby opinie naukowców przedstawione przez </w:t>
      </w:r>
      <w:r w:rsidR="001B5403">
        <w:t>obronę</w:t>
      </w:r>
      <w:r>
        <w:t>.</w:t>
      </w:r>
    </w:p>
    <w:p w14:paraId="45849D5C" w14:textId="4E5AEABC" w:rsidR="005652E0" w:rsidRPr="00A34A82" w:rsidRDefault="0085731C" w:rsidP="00A34A82">
      <w:pPr>
        <w:pStyle w:val="JuPara"/>
      </w:pPr>
      <w:fldSimple w:instr=" SEQ level0 \*arabic ">
        <w:r w:rsidR="00A34A82" w:rsidRPr="00A34A82">
          <w:t>18</w:t>
        </w:r>
      </w:fldSimple>
      <w:r w:rsidR="005652E0">
        <w:t xml:space="preserve">.  Dnia 24 kwietnia 2002 r. Sąd Najwyższy Rosji („Sąd Najwyższy”) oddalił </w:t>
      </w:r>
      <w:r w:rsidR="001B5403">
        <w:t>odwołanie</w:t>
      </w:r>
      <w:r w:rsidR="005652E0">
        <w:t xml:space="preserve"> skarżącego i podtrzymał orzeczenie z 6 lutego 2002 r.</w:t>
      </w:r>
    </w:p>
    <w:p w14:paraId="0B95BC26" w14:textId="77777777" w:rsidR="005652E0" w:rsidRPr="00A34A82" w:rsidRDefault="005652E0" w:rsidP="00A34A82">
      <w:pPr>
        <w:pStyle w:val="JuHA"/>
        <w:numPr>
          <w:ilvl w:val="2"/>
          <w:numId w:val="1"/>
        </w:numPr>
        <w:jc w:val="left"/>
      </w:pPr>
      <w:r>
        <w:t>Drugie postępowanie</w:t>
      </w:r>
    </w:p>
    <w:p w14:paraId="0A5FBC99" w14:textId="77777777" w:rsidR="005652E0" w:rsidRPr="00A34A82" w:rsidRDefault="005652E0" w:rsidP="00A34A82">
      <w:pPr>
        <w:pStyle w:val="JuH1"/>
        <w:numPr>
          <w:ilvl w:val="3"/>
          <w:numId w:val="1"/>
        </w:numPr>
        <w:jc w:val="left"/>
      </w:pPr>
      <w:r>
        <w:t>Postępowanie przygotowawcze</w:t>
      </w:r>
    </w:p>
    <w:p w14:paraId="15D2F54E" w14:textId="10EBFEB3" w:rsidR="005652E0" w:rsidRPr="00A34A82" w:rsidRDefault="0085731C" w:rsidP="00A34A82">
      <w:pPr>
        <w:pStyle w:val="JuPara"/>
      </w:pPr>
      <w:fldSimple w:instr=" SEQ level0 \*arabic ">
        <w:r w:rsidR="00A34A82" w:rsidRPr="00A34A82">
          <w:t>19</w:t>
        </w:r>
      </w:fldSimple>
      <w:r w:rsidR="005652E0">
        <w:t xml:space="preserve">.  W trakcie prowadzonego na nowo postępowania przygotowawczego śledczy </w:t>
      </w:r>
      <w:r w:rsidR="001B5403">
        <w:t xml:space="preserve">zarządził </w:t>
      </w:r>
      <w:r w:rsidR="005652E0">
        <w:t>sporządzenie czterech dodatkowych opinii biegłych.</w:t>
      </w:r>
    </w:p>
    <w:bookmarkStart w:id="8" w:name="second_four_expert_reports"/>
    <w:p w14:paraId="59195BE5" w14:textId="4896C8AE" w:rsidR="005652E0" w:rsidRPr="00A34A82" w:rsidRDefault="005652E0" w:rsidP="00A34A82">
      <w:pPr>
        <w:pStyle w:val="JuPara"/>
        <w:rPr>
          <w:bCs/>
        </w:rPr>
      </w:pPr>
      <w:r w:rsidRPr="00A34A82">
        <w:fldChar w:fldCharType="begin"/>
      </w:r>
      <w:r w:rsidRPr="00A34A82">
        <w:instrText xml:space="preserve"> SEQ level0 \*arabic </w:instrText>
      </w:r>
      <w:r w:rsidRPr="00A34A82">
        <w:fldChar w:fldCharType="separate"/>
      </w:r>
      <w:r w:rsidR="00A34A82" w:rsidRPr="00A34A82">
        <w:t>20</w:t>
      </w:r>
      <w:r w:rsidRPr="00A34A82">
        <w:fldChar w:fldCharType="end"/>
      </w:r>
      <w:bookmarkEnd w:id="8"/>
      <w:r>
        <w:t xml:space="preserve">.  Cztery dodatkowe opinie biegłych </w:t>
      </w:r>
      <w:r w:rsidR="001B5403">
        <w:t>datowane</w:t>
      </w:r>
      <w:r>
        <w:t xml:space="preserve"> 6–7 i 10 czerwca (dwie opinie) oraz 10</w:t>
      </w:r>
      <w:r>
        <w:noBreakHyphen/>
        <w:t>11 września 2002 r. wskazywały, że informacje dotyczące symulatora przestrzeni kosmicznej i systemu symulacji przestrzeni kosmicznej „</w:t>
      </w:r>
      <w:proofErr w:type="spellStart"/>
      <w:r>
        <w:t>Aquagen</w:t>
      </w:r>
      <w:proofErr w:type="spellEnd"/>
      <w:r>
        <w:t>” należy uznawać za „tajemnicę państwową”.</w:t>
      </w:r>
    </w:p>
    <w:p w14:paraId="3CE740A0" w14:textId="4A6E42BC" w:rsidR="005652E0" w:rsidRPr="00A34A82" w:rsidRDefault="0085731C" w:rsidP="00A34A82">
      <w:pPr>
        <w:pStyle w:val="JuPara"/>
      </w:pPr>
      <w:fldSimple w:instr=" SEQ level0 \*arabic ">
        <w:r w:rsidR="00A34A82" w:rsidRPr="00A34A82">
          <w:t>21</w:t>
        </w:r>
      </w:fldSimple>
      <w:r w:rsidR="005652E0">
        <w:t>.  Postanowieniem z  24 lipca 2002 r. dokonano zmiany zarzutów. Skarżącego oskarżono dodatkowo o ujawnienie obywatelom chińskim opisu systemu symulacji przestrzeni kosmicznej „</w:t>
      </w:r>
      <w:proofErr w:type="spellStart"/>
      <w:r w:rsidR="005652E0">
        <w:t>Aquagen</w:t>
      </w:r>
      <w:proofErr w:type="spellEnd"/>
      <w:r w:rsidR="005652E0">
        <w:t>”.</w:t>
      </w:r>
    </w:p>
    <w:p w14:paraId="0EA70B33" w14:textId="77777777" w:rsidR="005652E0" w:rsidRPr="00A34A82" w:rsidRDefault="005652E0" w:rsidP="00A34A82">
      <w:pPr>
        <w:pStyle w:val="JuH1"/>
        <w:numPr>
          <w:ilvl w:val="3"/>
          <w:numId w:val="1"/>
        </w:numPr>
        <w:jc w:val="left"/>
      </w:pPr>
      <w:r>
        <w:t>Orzeczenia sądów</w:t>
      </w:r>
    </w:p>
    <w:bookmarkStart w:id="9" w:name="court_dec_3Dec2002"/>
    <w:p w14:paraId="39656B89" w14:textId="4E989FF8"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22</w:t>
      </w:r>
      <w:r w:rsidRPr="00A34A82">
        <w:fldChar w:fldCharType="end"/>
      </w:r>
      <w:bookmarkEnd w:id="9"/>
      <w:r>
        <w:t>.  Dnia 3 grudnia 2002 r.</w:t>
      </w:r>
      <w:r w:rsidR="005548D4">
        <w:t>,</w:t>
      </w:r>
      <w:r>
        <w:t xml:space="preserve"> po uzyskaniu akt sprawy od prokuratora</w:t>
      </w:r>
      <w:r w:rsidR="005548D4">
        <w:t>,</w:t>
      </w:r>
      <w:r>
        <w:t xml:space="preserve"> Sąd Okręgowy odmówił jej rozpoznania i zwrócił sprawę organom śledczym </w:t>
      </w:r>
      <w:r w:rsidR="005548D4">
        <w:t>do</w:t>
      </w:r>
      <w:r>
        <w:t xml:space="preserve"> dalszego prowadzenia postępowania przygotowawczego. Sąd uznał, że postępowanie przygotowawcze było przeprowadzone w sposób wadliwy. W szczególności w akcie oskarżenia nie zawarto dokładnego wykazu informacji </w:t>
      </w:r>
      <w:r w:rsidR="005548D4">
        <w:t xml:space="preserve">niejawnych </w:t>
      </w:r>
      <w:r>
        <w:t xml:space="preserve">ujawnionych przez skarżącego, interpretacji wniosków biegłych ani odniesień do </w:t>
      </w:r>
      <w:r w:rsidR="005548D4">
        <w:t xml:space="preserve">mających zastosowanie </w:t>
      </w:r>
      <w:r>
        <w:t>przepisów.</w:t>
      </w:r>
    </w:p>
    <w:p w14:paraId="02DB2F9B" w14:textId="5C3239AB" w:rsidR="005652E0" w:rsidRPr="00A34A82" w:rsidRDefault="0085731C" w:rsidP="00A34A82">
      <w:pPr>
        <w:pStyle w:val="JuPara"/>
      </w:pPr>
      <w:fldSimple w:instr=" SEQ level0 \*arabic ">
        <w:r w:rsidR="00A34A82" w:rsidRPr="00A34A82">
          <w:t>23</w:t>
        </w:r>
      </w:fldSimple>
      <w:r w:rsidR="005652E0">
        <w:t>.  Dnia 5 lutego 2003 r. Sąd Najwyższy</w:t>
      </w:r>
      <w:r w:rsidR="005548D4">
        <w:t>, w składzie, któremu przewodniczył</w:t>
      </w:r>
      <w:r w:rsidR="005652E0">
        <w:t xml:space="preserve"> sędzi</w:t>
      </w:r>
      <w:r w:rsidR="005548D4">
        <w:t>a</w:t>
      </w:r>
      <w:r w:rsidR="005652E0">
        <w:t xml:space="preserve"> K.</w:t>
      </w:r>
      <w:r w:rsidR="005548D4">
        <w:t>, utrzymał w mocy powyższe orzeczenie</w:t>
      </w:r>
      <w:r w:rsidR="005652E0">
        <w:t>.</w:t>
      </w:r>
    </w:p>
    <w:p w14:paraId="2DBDEFB4" w14:textId="77777777" w:rsidR="005652E0" w:rsidRPr="00A34A82" w:rsidRDefault="005652E0" w:rsidP="00A34A82">
      <w:pPr>
        <w:pStyle w:val="JuHA"/>
        <w:numPr>
          <w:ilvl w:val="2"/>
          <w:numId w:val="1"/>
        </w:numPr>
        <w:jc w:val="left"/>
      </w:pPr>
      <w:r>
        <w:t>Trzecie postępowanie</w:t>
      </w:r>
    </w:p>
    <w:p w14:paraId="6AA18E2D" w14:textId="77777777" w:rsidR="005652E0" w:rsidRPr="00A34A82" w:rsidRDefault="005652E0" w:rsidP="00A34A82">
      <w:pPr>
        <w:pStyle w:val="JuH1"/>
        <w:numPr>
          <w:ilvl w:val="3"/>
          <w:numId w:val="1"/>
        </w:numPr>
        <w:jc w:val="left"/>
      </w:pPr>
      <w:r>
        <w:t>Postępowanie przygotowawcze</w:t>
      </w:r>
    </w:p>
    <w:bookmarkStart w:id="10" w:name="thirty"/>
    <w:p w14:paraId="52D8579F" w14:textId="47316A71"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24</w:t>
      </w:r>
      <w:r w:rsidRPr="00A34A82">
        <w:fldChar w:fldCharType="end"/>
      </w:r>
      <w:r>
        <w:t>.  </w:t>
      </w:r>
      <w:bookmarkEnd w:id="10"/>
      <w:r w:rsidR="009546EC">
        <w:t>Zarzuty postawione skarżącemu zostały zmienione</w:t>
      </w:r>
      <w:r>
        <w:t xml:space="preserve">, a sprawa w nieokreślonej dacie została skierowana ponownie do </w:t>
      </w:r>
      <w:r w:rsidR="009546EC">
        <w:t>s</w:t>
      </w:r>
      <w:r>
        <w:t xml:space="preserve">ądu </w:t>
      </w:r>
      <w:r w:rsidR="009546EC">
        <w:t>o</w:t>
      </w:r>
      <w:r>
        <w:t>kręgowego w celu rozpoznania</w:t>
      </w:r>
      <w:r w:rsidR="009546EC">
        <w:t xml:space="preserve"> co do meritum</w:t>
      </w:r>
      <w:r>
        <w:t xml:space="preserve">. Wygląda na to, że zarzuty przeciwko skarżącemu sformułowano na podstawie </w:t>
      </w:r>
      <w:r w:rsidR="009546EC">
        <w:t xml:space="preserve">opinii </w:t>
      </w:r>
      <w:r>
        <w:t>ośmiu biegłych zawartych w aktach, które to opinie prokurator uzyskał już wcześniej (zob. </w:t>
      </w:r>
      <w:r w:rsidRPr="00A34A82">
        <w:fldChar w:fldCharType="begin"/>
      </w:r>
      <w:r w:rsidRPr="00A34A82">
        <w:instrText xml:space="preserve"> REF first_four_expert_reports \h  \* MERGEFORMAT </w:instrText>
      </w:r>
      <w:r w:rsidRPr="00A34A82">
        <w:fldChar w:fldCharType="separate"/>
      </w:r>
      <w:r w:rsidR="00A34A82" w:rsidRPr="00A34A82">
        <w:t>14</w:t>
      </w:r>
      <w:r w:rsidRPr="00A34A82">
        <w:fldChar w:fldCharType="end"/>
      </w:r>
      <w:r>
        <w:t xml:space="preserve"> i </w:t>
      </w:r>
      <w:r w:rsidRPr="00A34A82">
        <w:fldChar w:fldCharType="begin"/>
      </w:r>
      <w:r w:rsidRPr="00A34A82">
        <w:instrText xml:space="preserve"> REF second_four_expert_reports \h  \* MERGEFORMAT </w:instrText>
      </w:r>
      <w:r w:rsidRPr="00A34A82">
        <w:fldChar w:fldCharType="separate"/>
      </w:r>
      <w:r w:rsidR="00A34A82" w:rsidRPr="00A34A82">
        <w:t>20</w:t>
      </w:r>
      <w:r w:rsidRPr="00A34A82">
        <w:fldChar w:fldCharType="end"/>
      </w:r>
      <w:r>
        <w:t xml:space="preserve"> powyżej).</w:t>
      </w:r>
    </w:p>
    <w:p w14:paraId="50A65197" w14:textId="77777777" w:rsidR="005652E0" w:rsidRPr="00A34A82" w:rsidRDefault="005652E0" w:rsidP="00A34A82">
      <w:pPr>
        <w:pStyle w:val="JuH1"/>
        <w:numPr>
          <w:ilvl w:val="3"/>
          <w:numId w:val="1"/>
        </w:numPr>
        <w:jc w:val="left"/>
      </w:pPr>
      <w:r>
        <w:t>Wyrok sądu pierwszej instancji</w:t>
      </w:r>
    </w:p>
    <w:bookmarkStart w:id="11" w:name="court_dec_16May2003"/>
    <w:p w14:paraId="1794FE1A" w14:textId="6B896B51"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25</w:t>
      </w:r>
      <w:r w:rsidRPr="00A34A82">
        <w:fldChar w:fldCharType="end"/>
      </w:r>
      <w:bookmarkEnd w:id="11"/>
      <w:r>
        <w:t xml:space="preserve">.  Dnia 16 maja 2003 r. </w:t>
      </w:r>
      <w:r w:rsidR="009546EC">
        <w:t>s</w:t>
      </w:r>
      <w:r>
        <w:t xml:space="preserve">ąd </w:t>
      </w:r>
      <w:r w:rsidR="009546EC">
        <w:t>o</w:t>
      </w:r>
      <w:r>
        <w:t xml:space="preserve">kręgowy przeprowadził rozprawę wstępną w sprawie skarżącego. Orzeczeniem z tego dnia stwierdził, że śledczy naruszył szereg przepisów </w:t>
      </w:r>
      <w:r w:rsidR="009546EC">
        <w:t>dotyczących procedury</w:t>
      </w:r>
      <w:r>
        <w:t xml:space="preserve"> krajow</w:t>
      </w:r>
      <w:r w:rsidR="009546EC">
        <w:t>ej</w:t>
      </w:r>
      <w:r>
        <w:t xml:space="preserve"> i ponownie zwrócił sprawę prokuratorowi w celu dalszego prowadzenia postępowania przygotowawczego, powołując się w dużej mierze na te same </w:t>
      </w:r>
      <w:r w:rsidR="009546EC">
        <w:t xml:space="preserve">powody, </w:t>
      </w:r>
      <w:r>
        <w:t>co w orzeczeniu z  3 grudnia 2002 r. (zob. par. </w:t>
      </w:r>
      <w:r w:rsidRPr="00A34A82">
        <w:fldChar w:fldCharType="begin"/>
      </w:r>
      <w:r w:rsidRPr="00A34A82">
        <w:instrText xml:space="preserve"> REF court_dec_3Dec2002 \h  \* MERGEFORMAT </w:instrText>
      </w:r>
      <w:r w:rsidRPr="00A34A82">
        <w:fldChar w:fldCharType="separate"/>
      </w:r>
      <w:r w:rsidR="00A34A82" w:rsidRPr="00A34A82">
        <w:t>22</w:t>
      </w:r>
      <w:r w:rsidRPr="00A34A82">
        <w:fldChar w:fldCharType="end"/>
      </w:r>
      <w:r>
        <w:t xml:space="preserve"> powyżej).</w:t>
      </w:r>
    </w:p>
    <w:p w14:paraId="49E4E2AB" w14:textId="61F8BEBA" w:rsidR="005652E0" w:rsidRPr="00A34A82" w:rsidRDefault="0085731C" w:rsidP="00A34A82">
      <w:pPr>
        <w:pStyle w:val="JuPara"/>
      </w:pPr>
      <w:fldSimple w:instr=" SEQ level0 \*arabic ">
        <w:r w:rsidR="00A34A82" w:rsidRPr="00A34A82">
          <w:t>26</w:t>
        </w:r>
      </w:fldSimple>
      <w:r w:rsidR="005652E0">
        <w:t xml:space="preserve">.  Prokurator odwołał się od </w:t>
      </w:r>
      <w:r w:rsidR="009546EC">
        <w:t xml:space="preserve">orzeczenia </w:t>
      </w:r>
      <w:r w:rsidR="005652E0">
        <w:t>z </w:t>
      </w:r>
      <w:r w:rsidR="009546EC" w:rsidDel="009546EC">
        <w:t xml:space="preserve"> </w:t>
      </w:r>
      <w:r w:rsidR="005652E0">
        <w:t>16 maja 2003 r.</w:t>
      </w:r>
    </w:p>
    <w:bookmarkStart w:id="12" w:name="court_dec_23July2003"/>
    <w:bookmarkStart w:id="13" w:name="thirtythree"/>
    <w:p w14:paraId="6CD88EF0" w14:textId="430D4078"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27</w:t>
      </w:r>
      <w:r w:rsidRPr="00A34A82">
        <w:fldChar w:fldCharType="end"/>
      </w:r>
      <w:bookmarkEnd w:id="12"/>
      <w:bookmarkEnd w:id="13"/>
      <w:r>
        <w:t xml:space="preserve">23 lipca 2003 r. Sąd Najwyższy, w składzie obejmującym sędzię K., przychylił się do </w:t>
      </w:r>
      <w:r w:rsidR="009546EC">
        <w:t>odwołania</w:t>
      </w:r>
      <w:r>
        <w:t xml:space="preserve"> prokuratora i przekazał sprawę do </w:t>
      </w:r>
      <w:r w:rsidR="009546EC">
        <w:t>s</w:t>
      </w:r>
      <w:r>
        <w:t xml:space="preserve">ądu </w:t>
      </w:r>
      <w:r w:rsidR="009546EC">
        <w:t>o</w:t>
      </w:r>
      <w:r>
        <w:t xml:space="preserve">kręgowego w celu jej rozpoznania co do istoty. Sąd Najwyższy uznał, że zarzuty wobec skarżącego były wystarczająco precyzyjne. Orzekł też, że uchybienia stwierdzone przez </w:t>
      </w:r>
      <w:r w:rsidR="009546EC">
        <w:t>s</w:t>
      </w:r>
      <w:r>
        <w:t xml:space="preserve">ąd </w:t>
      </w:r>
      <w:r w:rsidR="009546EC">
        <w:t>o</w:t>
      </w:r>
      <w:r>
        <w:t>kręgowy</w:t>
      </w:r>
      <w:r w:rsidR="009546EC">
        <w:t xml:space="preserve"> nie były wystarczające by uzasadniać</w:t>
      </w:r>
      <w:r>
        <w:t xml:space="preserve"> </w:t>
      </w:r>
      <w:r w:rsidR="009546EC">
        <w:t>zwrot</w:t>
      </w:r>
      <w:r>
        <w:t xml:space="preserve"> sprawy prokuratorowi </w:t>
      </w:r>
      <w:r w:rsidR="009546EC">
        <w:t>do</w:t>
      </w:r>
      <w:r>
        <w:t xml:space="preserve"> dalszego postępowania przygotowawczego.</w:t>
      </w:r>
    </w:p>
    <w:bookmarkStart w:id="14" w:name="thirtyfour"/>
    <w:p w14:paraId="4AF07EB4" w14:textId="6B20EF49"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28</w:t>
      </w:r>
      <w:r w:rsidRPr="00A34A82">
        <w:fldChar w:fldCharType="end"/>
      </w:r>
      <w:r>
        <w:t>.  </w:t>
      </w:r>
      <w:bookmarkEnd w:id="14"/>
      <w:r>
        <w:t xml:space="preserve">Dnia 3 września 2003 r. </w:t>
      </w:r>
      <w:r w:rsidR="009546EC">
        <w:t>s</w:t>
      </w:r>
      <w:r>
        <w:t xml:space="preserve">ąd </w:t>
      </w:r>
      <w:r w:rsidR="009546EC">
        <w:t>o</w:t>
      </w:r>
      <w:r>
        <w:t xml:space="preserve">kręgowy </w:t>
      </w:r>
      <w:r w:rsidR="009546EC">
        <w:t>zdecydował</w:t>
      </w:r>
      <w:r>
        <w:t xml:space="preserve"> o prowadzeniu sprawy z udziałem </w:t>
      </w:r>
      <w:r w:rsidR="00447042">
        <w:t>ławy przysięgłych</w:t>
      </w:r>
      <w:r>
        <w:t xml:space="preserve">. Wygląda na to, że 3 grudnia 2003 r. </w:t>
      </w:r>
      <w:r w:rsidR="009546EC">
        <w:t>s</w:t>
      </w:r>
      <w:r>
        <w:t xml:space="preserve">ąd </w:t>
      </w:r>
      <w:r w:rsidR="009546EC">
        <w:t>o</w:t>
      </w:r>
      <w:r>
        <w:t xml:space="preserve">kręgowy wyłączył z materiału dowodowego jako niedopuszczalne wiele </w:t>
      </w:r>
      <w:r>
        <w:lastRenderedPageBreak/>
        <w:t xml:space="preserve">dokumentów przedłożonych przez obronę, w tym opinie rosyjskich naukowców (zob. par. </w:t>
      </w:r>
      <w:r w:rsidRPr="00A34A82">
        <w:fldChar w:fldCharType="begin"/>
      </w:r>
      <w:r w:rsidRPr="00A34A82">
        <w:instrText xml:space="preserve"> REF scientific_alt_opinions_2002 \h  \* MERGEFORMAT </w:instrText>
      </w:r>
      <w:r w:rsidRPr="00A34A82">
        <w:fldChar w:fldCharType="separate"/>
      </w:r>
      <w:r w:rsidR="00A34A82" w:rsidRPr="00A34A82">
        <w:t>15</w:t>
      </w:r>
      <w:r w:rsidRPr="00A34A82">
        <w:fldChar w:fldCharType="end"/>
      </w:r>
      <w:r>
        <w:t xml:space="preserve"> powyżej).</w:t>
      </w:r>
    </w:p>
    <w:p w14:paraId="0739A06D" w14:textId="7C33E3E1" w:rsidR="005652E0" w:rsidRPr="00A34A82" w:rsidRDefault="0085731C" w:rsidP="00A34A82">
      <w:pPr>
        <w:pStyle w:val="JuPara"/>
      </w:pPr>
      <w:fldSimple w:instr=" SEQ level0 \*arabic ">
        <w:r w:rsidR="00A34A82" w:rsidRPr="00A34A82">
          <w:t>29</w:t>
        </w:r>
      </w:fldSimple>
      <w:r w:rsidR="005652E0">
        <w:t>.  </w:t>
      </w:r>
      <w:r w:rsidR="009546EC">
        <w:t xml:space="preserve">Wyrokiem z </w:t>
      </w:r>
      <w:r w:rsidR="005652E0">
        <w:t xml:space="preserve">29 grudnia 2003 r. ława przysięgłych </w:t>
      </w:r>
      <w:r w:rsidR="009546EC">
        <w:t xml:space="preserve">uniewinniła </w:t>
      </w:r>
      <w:r w:rsidR="005652E0">
        <w:t xml:space="preserve">skarżącego, a 30 grudnia 2003 r. </w:t>
      </w:r>
      <w:r w:rsidR="009546EC">
        <w:t>s</w:t>
      </w:r>
      <w:r w:rsidR="005652E0">
        <w:t xml:space="preserve">ąd </w:t>
      </w:r>
      <w:r w:rsidR="009546EC">
        <w:t>o</w:t>
      </w:r>
      <w:r w:rsidR="005652E0">
        <w:t xml:space="preserve">kręgowy wydał wyrok </w:t>
      </w:r>
      <w:r w:rsidR="00447042">
        <w:t xml:space="preserve">oczyszczający </w:t>
      </w:r>
      <w:r w:rsidR="005652E0">
        <w:t xml:space="preserve">go </w:t>
      </w:r>
      <w:r w:rsidR="00447042">
        <w:t>z</w:t>
      </w:r>
      <w:r w:rsidR="005652E0">
        <w:t xml:space="preserve"> wszystkich zarzutów.</w:t>
      </w:r>
    </w:p>
    <w:p w14:paraId="48CC31B1" w14:textId="77777777" w:rsidR="005652E0" w:rsidRPr="00A34A82" w:rsidRDefault="005652E0" w:rsidP="00A34A82">
      <w:pPr>
        <w:pStyle w:val="JuH1"/>
        <w:numPr>
          <w:ilvl w:val="3"/>
          <w:numId w:val="1"/>
        </w:numPr>
        <w:jc w:val="left"/>
      </w:pPr>
      <w:r>
        <w:t>Apelacja</w:t>
      </w:r>
    </w:p>
    <w:p w14:paraId="5C9B20B3" w14:textId="6DBA1683" w:rsidR="005652E0" w:rsidRPr="00A34A82" w:rsidRDefault="0085731C" w:rsidP="00A34A82">
      <w:pPr>
        <w:pStyle w:val="JuPara"/>
      </w:pPr>
      <w:fldSimple w:instr=" SEQ level0 \*arabic ">
        <w:r w:rsidR="00A34A82" w:rsidRPr="00A34A82">
          <w:t>30</w:t>
        </w:r>
      </w:fldSimple>
      <w:r w:rsidR="005652E0">
        <w:t xml:space="preserve">.  W nieokreślonej dacie prokurator złożył </w:t>
      </w:r>
      <w:r w:rsidR="00447042">
        <w:t>apelację</w:t>
      </w:r>
      <w:r w:rsidR="005652E0">
        <w:t xml:space="preserve"> od wyroku uniewinniającego.</w:t>
      </w:r>
    </w:p>
    <w:bookmarkStart w:id="15" w:name="court_dec_9June2004_acquittal_quashed"/>
    <w:bookmarkStart w:id="16" w:name="thirtyseven"/>
    <w:p w14:paraId="46426538" w14:textId="3ED25CB0"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31</w:t>
      </w:r>
      <w:r w:rsidRPr="00A34A82">
        <w:fldChar w:fldCharType="end"/>
      </w:r>
      <w:bookmarkEnd w:id="15"/>
      <w:r>
        <w:t>.  </w:t>
      </w:r>
      <w:bookmarkEnd w:id="16"/>
      <w:r>
        <w:t>Dnia 9 czerwca 2004 r. Sąd Najwyższy</w:t>
      </w:r>
      <w:r w:rsidR="00447042">
        <w:t xml:space="preserve"> w składzie, któremu przewodniczyła</w:t>
      </w:r>
      <w:r>
        <w:t xml:space="preserve"> sędzi</w:t>
      </w:r>
      <w:r w:rsidR="00447042">
        <w:t>a</w:t>
      </w:r>
      <w:r>
        <w:t xml:space="preserve"> K. </w:t>
      </w:r>
      <w:r w:rsidR="00447042">
        <w:t xml:space="preserve">uwzględnił </w:t>
      </w:r>
      <w:r>
        <w:t>argumenty prokuratora i uchylił wydany wyrok, powołując się na różne nieprawidłowości proceduralne, w tym błędy w procedurze liczenia i oddawania głosów przez ławę przysięgłych. Sprawa została w związku z tym skierowana do ponownego rozpoznania.</w:t>
      </w:r>
    </w:p>
    <w:p w14:paraId="7C31E849" w14:textId="77777777" w:rsidR="005652E0" w:rsidRPr="00A34A82" w:rsidRDefault="005652E0" w:rsidP="00A34A82">
      <w:pPr>
        <w:pStyle w:val="JuHA"/>
        <w:numPr>
          <w:ilvl w:val="2"/>
          <w:numId w:val="1"/>
        </w:numPr>
        <w:jc w:val="left"/>
      </w:pPr>
      <w:r>
        <w:t>Czwarte postępowanie</w:t>
      </w:r>
    </w:p>
    <w:p w14:paraId="21A93BA5" w14:textId="77777777" w:rsidR="005652E0" w:rsidRPr="00A34A82" w:rsidRDefault="005652E0" w:rsidP="00A34A82">
      <w:pPr>
        <w:pStyle w:val="JuH1"/>
        <w:numPr>
          <w:ilvl w:val="3"/>
          <w:numId w:val="1"/>
        </w:numPr>
        <w:jc w:val="left"/>
      </w:pPr>
      <w:r>
        <w:t>Wyrok sądu pierwszej instancji</w:t>
      </w:r>
    </w:p>
    <w:p w14:paraId="7461FDFB" w14:textId="77777777" w:rsidR="005652E0" w:rsidRPr="00A34A82" w:rsidRDefault="005652E0" w:rsidP="00A34A82">
      <w:pPr>
        <w:pStyle w:val="JuHa0"/>
        <w:numPr>
          <w:ilvl w:val="4"/>
          <w:numId w:val="1"/>
        </w:numPr>
        <w:jc w:val="left"/>
      </w:pPr>
      <w:r>
        <w:t>Wybór ławy przysięgłych</w:t>
      </w:r>
    </w:p>
    <w:p w14:paraId="6E598C9A" w14:textId="0D981042" w:rsidR="005652E0" w:rsidRPr="00A34A82" w:rsidRDefault="0085731C" w:rsidP="00A34A82">
      <w:pPr>
        <w:pStyle w:val="JuPara"/>
      </w:pPr>
      <w:fldSimple w:instr=" SEQ level0 \*arabic ">
        <w:r w:rsidR="00A34A82" w:rsidRPr="00A34A82">
          <w:t>32</w:t>
        </w:r>
      </w:fldSimple>
      <w:r w:rsidR="005652E0">
        <w:t xml:space="preserve">.  Dnia 12 lipca 2004 r. </w:t>
      </w:r>
      <w:r w:rsidR="00447042">
        <w:t>s</w:t>
      </w:r>
      <w:r w:rsidR="005652E0">
        <w:t xml:space="preserve">ąd </w:t>
      </w:r>
      <w:r w:rsidR="00447042">
        <w:t>o</w:t>
      </w:r>
      <w:r w:rsidR="005652E0">
        <w:t>kręgowy rozpoczął procedurę wyboru ławy przysięgłych.</w:t>
      </w:r>
    </w:p>
    <w:p w14:paraId="7C73EB0D" w14:textId="2AF4D5B4" w:rsidR="005652E0" w:rsidRPr="00A34A82" w:rsidRDefault="0085731C" w:rsidP="00A34A82">
      <w:pPr>
        <w:pStyle w:val="JuPara"/>
      </w:pPr>
      <w:fldSimple w:instr=" SEQ level0 \*arabic ">
        <w:r w:rsidR="00A34A82" w:rsidRPr="00A34A82">
          <w:t>33</w:t>
        </w:r>
      </w:fldSimple>
      <w:r w:rsidR="005652E0">
        <w:t xml:space="preserve">.  Zdaniem skarżącego kilku przysięgłych nie ujawniło istotnych informacji, które mogłyby dyskwalifikować ich </w:t>
      </w:r>
      <w:r w:rsidR="00B41068">
        <w:t>od </w:t>
      </w:r>
      <w:r w:rsidR="005652E0">
        <w:t>udziału w procesie.</w:t>
      </w:r>
    </w:p>
    <w:p w14:paraId="060D3C59" w14:textId="3C6A873C" w:rsidR="005652E0" w:rsidRPr="00A34A82" w:rsidRDefault="0085731C" w:rsidP="00A34A82">
      <w:pPr>
        <w:pStyle w:val="JuPara"/>
      </w:pPr>
      <w:fldSimple w:instr=" SEQ level0 \*arabic ">
        <w:r w:rsidR="00A34A82" w:rsidRPr="00A34A82">
          <w:t>34</w:t>
        </w:r>
      </w:fldSimple>
      <w:r w:rsidR="005652E0">
        <w:t xml:space="preserve">.  W nieokreślonej dacie obrona bez powodzenia </w:t>
      </w:r>
      <w:r w:rsidR="00447042">
        <w:t>zakwestionowała</w:t>
      </w:r>
      <w:r w:rsidR="005652E0">
        <w:t xml:space="preserve"> udział jedenastu przysięgłych. </w:t>
      </w:r>
      <w:r w:rsidR="00447042">
        <w:t>Siedmiu z nich zostało zakwestionowanych</w:t>
      </w:r>
      <w:r w:rsidR="005652E0">
        <w:t xml:space="preserve"> ze względu na fakt posiadania przez nich poświadczenia bezpieczeństwa.</w:t>
      </w:r>
    </w:p>
    <w:bookmarkStart w:id="17" w:name="Reg_Court_re_jurors"/>
    <w:p w14:paraId="44D0E817" w14:textId="7EE2D229"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35</w:t>
      </w:r>
      <w:r w:rsidRPr="00A34A82">
        <w:fldChar w:fldCharType="end"/>
      </w:r>
      <w:bookmarkEnd w:id="17"/>
      <w:r>
        <w:t>.  Sąd nie uwzględnił wniosku o wyłączenie siedmiu przysięgłych posiadających poświadczenie bezpieczeństwa, ponieważ przepisy krajowe nie zabraniają takim osobom udziału w postępowaniu karnym. Czterech z siedmiu wspomnianych przysięgłych posiadających poświadczenie bezpieczeństwa zostało wybranych na członków ławy przysięgłych w procesie skarżącego.</w:t>
      </w:r>
    </w:p>
    <w:p w14:paraId="1D649851" w14:textId="77777777" w:rsidR="005652E0" w:rsidRPr="00A34A82" w:rsidRDefault="005652E0" w:rsidP="00A34A82">
      <w:pPr>
        <w:pStyle w:val="JuHa0"/>
        <w:numPr>
          <w:ilvl w:val="4"/>
          <w:numId w:val="1"/>
        </w:numPr>
        <w:jc w:val="left"/>
      </w:pPr>
      <w:r>
        <w:t>Rozpoznanie sprawy co do istoty</w:t>
      </w:r>
    </w:p>
    <w:p w14:paraId="37342CB9" w14:textId="7AA30F23" w:rsidR="005652E0" w:rsidRPr="00A34A82" w:rsidRDefault="0085731C" w:rsidP="00A34A82">
      <w:pPr>
        <w:pStyle w:val="JuPara"/>
      </w:pPr>
      <w:fldSimple w:instr=" SEQ level0 \*arabic ">
        <w:r w:rsidR="00A34A82" w:rsidRPr="00A34A82">
          <w:t>36</w:t>
        </w:r>
      </w:fldSimple>
      <w:r w:rsidR="005652E0">
        <w:t xml:space="preserve">.  Zdaniem skarżącego w trakcie procesu nie zaprzeczał on, że przekazał informacje będące przedmiotem sprawy obywatelom chińskim; jedynym </w:t>
      </w:r>
      <w:r w:rsidR="00B41068">
        <w:t xml:space="preserve">spornym </w:t>
      </w:r>
      <w:r w:rsidR="005652E0">
        <w:t>punktem był</w:t>
      </w:r>
      <w:r w:rsidR="00B41068">
        <w:t xml:space="preserve"> niejawny charakter</w:t>
      </w:r>
      <w:r w:rsidR="005652E0">
        <w:t xml:space="preserve"> </w:t>
      </w:r>
      <w:r w:rsidR="00B41068">
        <w:t xml:space="preserve">ujawnionych </w:t>
      </w:r>
      <w:r w:rsidR="005652E0">
        <w:t>informacji. Przewodniczący składu sędziowskiego uznał kwestię tego, czy dane informacje stanowią tajemnicę państwową za kwestię prawną, i wyłączył ją z zakresu sprawy będącej przedmiotem oceny ław</w:t>
      </w:r>
      <w:r w:rsidR="00B41068">
        <w:t>y</w:t>
      </w:r>
      <w:r w:rsidR="005652E0">
        <w:t xml:space="preserve"> przysięgłych.</w:t>
      </w:r>
    </w:p>
    <w:bookmarkStart w:id="18" w:name="App_motion_re_experts"/>
    <w:p w14:paraId="67A4921E" w14:textId="3235C171"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37</w:t>
      </w:r>
      <w:r w:rsidRPr="00A34A82">
        <w:fldChar w:fldCharType="end"/>
      </w:r>
      <w:bookmarkEnd w:id="18"/>
      <w:r>
        <w:t>.  Dnia 25 października 2004 r. skarżący wniósł o </w:t>
      </w:r>
      <w:r w:rsidR="00B41068" w:rsidDel="00B41068">
        <w:t xml:space="preserve"> </w:t>
      </w:r>
      <w:r>
        <w:t>przesłuchani</w:t>
      </w:r>
      <w:r w:rsidR="00B41068">
        <w:t>e</w:t>
      </w:r>
      <w:r>
        <w:t xml:space="preserve"> dziesięciu biegłych oskarżenia, którzy sporządz</w:t>
      </w:r>
      <w:r w:rsidR="00B41068">
        <w:t>i</w:t>
      </w:r>
      <w:r>
        <w:t>li opinie w </w:t>
      </w:r>
      <w:r w:rsidR="00B41068">
        <w:t xml:space="preserve">postępowaniu </w:t>
      </w:r>
      <w:r w:rsidR="00B41068">
        <w:lastRenderedPageBreak/>
        <w:t xml:space="preserve">karnym </w:t>
      </w:r>
      <w:r>
        <w:t>przeciwko niemu, a także siedemnastu innych ekspertów, którzy mieliby zeznawać na jego korzyść. We wniosku stwierdzono:</w:t>
      </w:r>
    </w:p>
    <w:p w14:paraId="2F866BBB" w14:textId="77777777" w:rsidR="005652E0" w:rsidRPr="00A34A82" w:rsidRDefault="005652E0" w:rsidP="00A34A82">
      <w:pPr>
        <w:pStyle w:val="JuQuot"/>
      </w:pPr>
      <w:r>
        <w:t>„[…] W trakcie procesu oskarżenie przedstawiło kilka opinii biegłych.</w:t>
      </w:r>
    </w:p>
    <w:p w14:paraId="52DFAED0" w14:textId="534AE54A" w:rsidR="005652E0" w:rsidRPr="00A34A82" w:rsidRDefault="005652E0" w:rsidP="00A34A82">
      <w:pPr>
        <w:pStyle w:val="JuQuot"/>
      </w:pPr>
      <w:r>
        <w:t xml:space="preserve">W celu zapewnienia wykonania prawa przewidzianego art. 6 ust. 3 lit. d) Konwencji wnoszę o przesłuchanie [biegłych], którzy brali udział w sporządzeniu </w:t>
      </w:r>
      <w:r w:rsidR="00B41068">
        <w:t>opinii</w:t>
      </w:r>
      <w:r>
        <w:t>.</w:t>
      </w:r>
    </w:p>
    <w:p w14:paraId="6A423F25" w14:textId="77777777" w:rsidR="005652E0" w:rsidRPr="00A34A82" w:rsidRDefault="005652E0" w:rsidP="00A34A82">
      <w:pPr>
        <w:pStyle w:val="JuQuot"/>
      </w:pPr>
      <w:r>
        <w:t>Wnoszę również o przesłuchanie następujących ekspertów obrony: [wykaz ekspertów]”.</w:t>
      </w:r>
    </w:p>
    <w:p w14:paraId="0A7D69A1" w14:textId="0E4511C4" w:rsidR="005652E0" w:rsidRPr="00A34A82" w:rsidRDefault="0085731C" w:rsidP="00A34A82">
      <w:pPr>
        <w:pStyle w:val="JuPara"/>
      </w:pPr>
      <w:fldSimple w:instr=" SEQ level0 \*arabic ">
        <w:r w:rsidR="00A34A82" w:rsidRPr="00A34A82">
          <w:t>38</w:t>
        </w:r>
      </w:fldSimple>
      <w:r w:rsidR="005652E0">
        <w:t xml:space="preserve">.  Prokurator </w:t>
      </w:r>
      <w:r w:rsidR="00B41068">
        <w:t>podniósł</w:t>
      </w:r>
      <w:r w:rsidR="005652E0">
        <w:t xml:space="preserve">, że skarżący nie uzasadnił swojego wniosku, </w:t>
      </w:r>
      <w:r w:rsidR="00B41068">
        <w:t xml:space="preserve">a </w:t>
      </w:r>
      <w:r w:rsidR="005652E0">
        <w:t>jedynie powołał się na Konwencję.</w:t>
      </w:r>
    </w:p>
    <w:bookmarkStart w:id="19" w:name="RegCourt_re_experts"/>
    <w:p w14:paraId="0849EA48" w14:textId="1C74DEC2"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39</w:t>
      </w:r>
      <w:r w:rsidRPr="00A34A82">
        <w:fldChar w:fldCharType="end"/>
      </w:r>
      <w:bookmarkEnd w:id="19"/>
      <w:r>
        <w:t xml:space="preserve">.  Zapoznawszy się ze stanowiskami stron, sąd oddalił wniosek skarżącego o przesłuchanie dziesięciu biegłych oskarżenia i wezwanie siedemnastu ekspertów obrony. Zdaniem skarżącego </w:t>
      </w:r>
      <w:r w:rsidR="00CA5CFE">
        <w:t>uzasadnienie sądu było następujące</w:t>
      </w:r>
      <w:r>
        <w:t>:</w:t>
      </w:r>
    </w:p>
    <w:p w14:paraId="16AD86C1" w14:textId="3E35314D" w:rsidR="005652E0" w:rsidRPr="00A34A82" w:rsidRDefault="005652E0" w:rsidP="00A34A82">
      <w:pPr>
        <w:pStyle w:val="JuQuot"/>
      </w:pPr>
      <w:r>
        <w:t xml:space="preserve">„Wniosek obrony z  25 października 2004 r. </w:t>
      </w:r>
      <w:r w:rsidR="00CA5CFE">
        <w:t>o</w:t>
      </w:r>
      <w:r>
        <w:t xml:space="preserve"> wezwani</w:t>
      </w:r>
      <w:r w:rsidR="00CA5CFE">
        <w:t>e</w:t>
      </w:r>
      <w:r>
        <w:t xml:space="preserve"> i przysłuchani</w:t>
      </w:r>
      <w:r w:rsidR="00CA5CFE">
        <w:t>e</w:t>
      </w:r>
      <w:r>
        <w:t xml:space="preserve"> biegłych i specjalistów należy oddalić ze względu na brak podstaw prawnych i brak </w:t>
      </w:r>
      <w:r w:rsidR="00CA5CFE">
        <w:t xml:space="preserve">takiej </w:t>
      </w:r>
      <w:r>
        <w:t>konieczności.</w:t>
      </w:r>
    </w:p>
    <w:p w14:paraId="1A174F3D" w14:textId="1BEE3D6F" w:rsidR="005652E0" w:rsidRPr="00A34A82" w:rsidRDefault="005652E0" w:rsidP="00A34A82">
      <w:pPr>
        <w:pStyle w:val="JuQuot"/>
      </w:pPr>
      <w:r>
        <w:t xml:space="preserve">Zgodnie z art. 282 </w:t>
      </w:r>
      <w:r w:rsidR="00CA5CFE">
        <w:t>K</w:t>
      </w:r>
      <w:r>
        <w:t xml:space="preserve">odeksu postępowania karnego sąd ma prawo przesłuchać biegłych w celu doprecyzowania i uzupełnienia sporządzonej opinii. </w:t>
      </w:r>
      <w:r w:rsidR="00CA5CFE">
        <w:t>Ani z</w:t>
      </w:r>
      <w:r w:rsidR="006A728B">
        <w:t> </w:t>
      </w:r>
      <w:r>
        <w:t>treści wniosku skarżącego ani z akt sprawy nie wynika, aby konieczne było</w:t>
      </w:r>
      <w:r w:rsidR="00CA5CFE">
        <w:t xml:space="preserve"> jakiekolwiek</w:t>
      </w:r>
      <w:r>
        <w:t xml:space="preserve"> doprecyzowanie informacji lub przedstawienie dodatkowych informacji. </w:t>
      </w:r>
      <w:r w:rsidR="00CA5CFE">
        <w:t xml:space="preserve">Wniosek nie zawiera także </w:t>
      </w:r>
      <w:r>
        <w:t>podstawy prawne</w:t>
      </w:r>
      <w:r w:rsidR="00CA5CFE">
        <w:t>j</w:t>
      </w:r>
      <w:r>
        <w:t xml:space="preserve"> wezwania wskazanych osób w charakterze specjalistów. Takie podstawy nie wynikają również z akt sprawy”.</w:t>
      </w:r>
    </w:p>
    <w:p w14:paraId="0B47A8B0" w14:textId="77777777" w:rsidR="005652E0" w:rsidRPr="00A34A82" w:rsidRDefault="0085731C" w:rsidP="00A34A82">
      <w:pPr>
        <w:pStyle w:val="JuPara"/>
      </w:pPr>
      <w:fldSimple w:instr=" SEQ level0 \*arabic ">
        <w:r w:rsidR="00A34A82" w:rsidRPr="00A34A82">
          <w:t>40</w:t>
        </w:r>
      </w:fldSimple>
      <w:r w:rsidR="005652E0">
        <w:t>.  Dnia 5 listopada 2004 r. ława przysięgłych jednogłośnie uznała skarżącego za winnego zarzucanych mu czynów.</w:t>
      </w:r>
    </w:p>
    <w:bookmarkStart w:id="20" w:name="fiftynine"/>
    <w:p w14:paraId="571F0D07" w14:textId="33FC1789"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41</w:t>
      </w:r>
      <w:r w:rsidRPr="00A34A82">
        <w:fldChar w:fldCharType="end"/>
      </w:r>
      <w:r>
        <w:t>.  </w:t>
      </w:r>
      <w:bookmarkEnd w:id="20"/>
      <w:r>
        <w:t xml:space="preserve">Dnia 24 listopada 2004 r. </w:t>
      </w:r>
      <w:r w:rsidR="00CA5CFE">
        <w:t>s</w:t>
      </w:r>
      <w:r>
        <w:t xml:space="preserve">ąd </w:t>
      </w:r>
      <w:r w:rsidR="00CA5CFE">
        <w:t>o</w:t>
      </w:r>
      <w:r>
        <w:t>kręgowy skazał skarżącego za dopuszczenie się zdrady stanu poprzez ujawnienie obywatelom chińskim informacji o symulatorze przestrzeni kosmicznej oraz systemie symulacji przestrzeni kosmicznej „</w:t>
      </w:r>
      <w:proofErr w:type="spellStart"/>
      <w:r>
        <w:t>Aquagen</w:t>
      </w:r>
      <w:proofErr w:type="spellEnd"/>
      <w:r>
        <w:t>”, stanowiących tajemnicę państwową, tj. czyn z art. 275 </w:t>
      </w:r>
      <w:r w:rsidR="00CA5CFE">
        <w:t>K</w:t>
      </w:r>
      <w:r>
        <w:t>odeksu karnego (zob. par. </w:t>
      </w:r>
      <w:r w:rsidRPr="00A34A82">
        <w:fldChar w:fldCharType="begin"/>
      </w:r>
      <w:r w:rsidRPr="00A34A82">
        <w:instrText xml:space="preserve"> REF treason_A275CC \h  \* MERGEFORMAT </w:instrText>
      </w:r>
      <w:r w:rsidRPr="00A34A82">
        <w:fldChar w:fldCharType="separate"/>
      </w:r>
      <w:r w:rsidR="00A34A82" w:rsidRPr="00A34A82">
        <w:t>58</w:t>
      </w:r>
      <w:r w:rsidRPr="00A34A82">
        <w:fldChar w:fldCharType="end"/>
      </w:r>
      <w:r>
        <w:t xml:space="preserve"> poniżej); skarżący został skazany również za oszustwo wobec byłego pracodawcy, Uniwersytetu, tj. czyn z art. 159 § 3 </w:t>
      </w:r>
      <w:r w:rsidR="00CA5CFE">
        <w:t>K</w:t>
      </w:r>
      <w:r>
        <w:t>odeksu karnego (zob. par. </w:t>
      </w:r>
      <w:r w:rsidRPr="00A34A82">
        <w:fldChar w:fldCharType="begin"/>
      </w:r>
      <w:r w:rsidRPr="00A34A82">
        <w:instrText xml:space="preserve"> REF fraud_A159CC \h  \* MERGEFORMAT </w:instrText>
      </w:r>
      <w:r w:rsidRPr="00A34A82">
        <w:fldChar w:fldCharType="separate"/>
      </w:r>
      <w:r w:rsidR="00A34A82" w:rsidRPr="00A34A82">
        <w:t>59</w:t>
      </w:r>
      <w:r w:rsidRPr="00A34A82">
        <w:fldChar w:fldCharType="end"/>
      </w:r>
      <w:r>
        <w:t xml:space="preserve"> poniżej). Skarżącemu wymierzono karę czternastu lat pozbawienia wolności.</w:t>
      </w:r>
    </w:p>
    <w:p w14:paraId="5D439C02" w14:textId="6E7F7F63" w:rsidR="005652E0" w:rsidRPr="00A34A82" w:rsidRDefault="0085731C" w:rsidP="00A34A82">
      <w:pPr>
        <w:pStyle w:val="JuPara"/>
      </w:pPr>
      <w:fldSimple w:instr=" SEQ level0 \*arabic ">
        <w:r w:rsidR="00A34A82" w:rsidRPr="00A34A82">
          <w:t>42</w:t>
        </w:r>
      </w:fldSimple>
      <w:r w:rsidR="005652E0">
        <w:t xml:space="preserve">.  Strony nie </w:t>
      </w:r>
      <w:r w:rsidR="00CA5CFE">
        <w:t xml:space="preserve">przedłożyły </w:t>
      </w:r>
      <w:r w:rsidR="005652E0">
        <w:t xml:space="preserve">odpisu wyroku z  24 listopada 2004 r. z uwagi na </w:t>
      </w:r>
      <w:r w:rsidR="00CA5CFE">
        <w:t>jego niejawny status</w:t>
      </w:r>
      <w:r w:rsidR="005652E0">
        <w:t>. Wygląda na to, że wyrok wydano w oparciu o opini</w:t>
      </w:r>
      <w:r w:rsidR="00CA5CFE">
        <w:t>e</w:t>
      </w:r>
      <w:r w:rsidR="005652E0">
        <w:t xml:space="preserve"> </w:t>
      </w:r>
      <w:r w:rsidR="00CA5CFE">
        <w:t xml:space="preserve">ośmiu </w:t>
      </w:r>
      <w:r w:rsidR="005652E0">
        <w:t>biegłych</w:t>
      </w:r>
      <w:r w:rsidR="00CA5CFE">
        <w:t>,</w:t>
      </w:r>
      <w:r w:rsidR="005652E0">
        <w:t xml:space="preserve"> sporządzon</w:t>
      </w:r>
      <w:r w:rsidR="00CA5CFE">
        <w:t>e</w:t>
      </w:r>
      <w:r w:rsidR="005652E0">
        <w:t xml:space="preserve"> w trakcie postępowania przygotowawczego.</w:t>
      </w:r>
    </w:p>
    <w:bookmarkStart w:id="21" w:name="scientific_alt_opinions_2004"/>
    <w:p w14:paraId="05C4EA19" w14:textId="27F4532A"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43</w:t>
      </w:r>
      <w:r w:rsidRPr="00A34A82">
        <w:fldChar w:fldCharType="end"/>
      </w:r>
      <w:bookmarkEnd w:id="21"/>
      <w:r>
        <w:t>.  Dnia 25 listopada 2004 r. odbyło się seminarium fizyków specjalizujących się w elektryzacji mechanizmów kosmicznych na orbicie. Czołowi naukowcy, w tym dr V. Ginzburg, astrofizyk i laureat nagrody Nobla, oraz dr S. </w:t>
      </w:r>
      <w:proofErr w:type="spellStart"/>
      <w:r>
        <w:t>Kapitsa</w:t>
      </w:r>
      <w:proofErr w:type="spellEnd"/>
      <w:r>
        <w:t xml:space="preserve">, fizyk, omawiali wstępne specyfikacje opracowane przez skarżącego. Naukowcy uznali, że specyfikacje te nie </w:t>
      </w:r>
      <w:r w:rsidR="00CA5CFE">
        <w:t>zawierały żadnych</w:t>
      </w:r>
      <w:r>
        <w:t xml:space="preserve"> tajemnic państwowych. Wszystkie dane zawarte we wstępnych specyfikacjach opublikowano dawno temu i były one znane specjalistom wszystkich państw zajmujących się badaniami kosmicznymi. W trakcie </w:t>
      </w:r>
      <w:r>
        <w:lastRenderedPageBreak/>
        <w:t xml:space="preserve">seminarium naukowcy zauważyli również, że opinie biegłych dotyczące wstępnych specyfikacji opracowanych przez skarżącego zostały sporządzone przez osoby nieposiadające wiedzy fachowej w istotnej dziedzinie. Przykładowo naukowcy zauważyli, że te same osoby przygotowywały opinie zarówno w sprawie skarżącego, która dotyczyła elektryzacji mechanizmów kosmicznych, jak również </w:t>
      </w:r>
      <w:r w:rsidR="00D46D86">
        <w:t xml:space="preserve">w </w:t>
      </w:r>
      <w:r>
        <w:t>podobnej spraw</w:t>
      </w:r>
      <w:r w:rsidR="00D46D86">
        <w:t>ie,</w:t>
      </w:r>
      <w:r>
        <w:t xml:space="preserve"> dotyczącej ruchu obiektu w kawernie gazowej w wodzie. Naukowcy uznali, że biegli, którzy nie posiadali kompetencji, dokonali błędnych ustaleń, które stały się następnie podstawą skazania skarżącego.</w:t>
      </w:r>
    </w:p>
    <w:bookmarkStart w:id="22" w:name="App_appeal_against_conviction"/>
    <w:p w14:paraId="6E556DBD" w14:textId="5D52F1D2"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44</w:t>
      </w:r>
      <w:r w:rsidRPr="00A34A82">
        <w:fldChar w:fldCharType="end"/>
      </w:r>
      <w:bookmarkEnd w:id="22"/>
      <w:r>
        <w:t xml:space="preserve">.  Skarżący wniósł </w:t>
      </w:r>
      <w:r w:rsidR="00D46D86">
        <w:t>apelacją</w:t>
      </w:r>
      <w:r>
        <w:t xml:space="preserve"> od wyroku </w:t>
      </w:r>
      <w:r w:rsidR="00D46D86">
        <w:t xml:space="preserve">z </w:t>
      </w:r>
      <w:r>
        <w:t>24 listopada 2004 r. Zarzuc</w:t>
      </w:r>
      <w:r w:rsidR="00D46D86">
        <w:t>i</w:t>
      </w:r>
      <w:r>
        <w:t>ł, że skazano go jedynie w oparciu o ustalenie biegłych, iż dane zawarte we wstępnych specyfikacjach stanowiły tajemnicę państwową. Skarżący kwestionował opinie biegłych i zawarte w nich wnioski z wielu powodów. Zarzuc</w:t>
      </w:r>
      <w:r w:rsidR="00D46D86">
        <w:t>i</w:t>
      </w:r>
      <w:r>
        <w:t>ł, że badania biegłych zostały przeprowadzone na zlecenie organu śledczego na etapie postępowania przygotowawczego. Skarżący twierdził, że nie był informowany o </w:t>
      </w:r>
      <w:r w:rsidR="00D46D86">
        <w:t xml:space="preserve">zleceniu </w:t>
      </w:r>
      <w:r>
        <w:t xml:space="preserve">opinii, a zatem w szczególności nie miał możliwości sprzeciwienia się wyborowi biegłych, zasugerowania innych biegłych, </w:t>
      </w:r>
      <w:r w:rsidR="00D46D86">
        <w:t>zadania</w:t>
      </w:r>
      <w:r>
        <w:t xml:space="preserve"> biegły</w:t>
      </w:r>
      <w:r w:rsidR="00D46D86">
        <w:t>m</w:t>
      </w:r>
      <w:r>
        <w:t xml:space="preserve"> dodatkowych pytań, wzięcia udziału w badaniach biegłych ani złożenia wyjaśnień.</w:t>
      </w:r>
    </w:p>
    <w:bookmarkStart w:id="23" w:name="App_appeal_re_experts_Start"/>
    <w:p w14:paraId="5E5FCF63" w14:textId="77777777"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45</w:t>
      </w:r>
      <w:r w:rsidRPr="00A34A82">
        <w:fldChar w:fldCharType="end"/>
      </w:r>
      <w:bookmarkEnd w:id="23"/>
      <w:r>
        <w:t>.  Co więcej, skarżący twierdził, że biegli nie dysponowali odpowiednią ani wystarczającą wiedzą fachową z istotnego dla sprawy działu fizyki.</w:t>
      </w:r>
    </w:p>
    <w:p w14:paraId="1CA4002E" w14:textId="335562F1" w:rsidR="005652E0" w:rsidRPr="00A34A82" w:rsidRDefault="0085731C" w:rsidP="00A34A82">
      <w:pPr>
        <w:pStyle w:val="JuPara"/>
      </w:pPr>
      <w:fldSimple w:instr=" SEQ level0 \*arabic ">
        <w:r w:rsidR="00A34A82" w:rsidRPr="00A34A82">
          <w:t>46</w:t>
        </w:r>
      </w:fldSimple>
      <w:r w:rsidR="005652E0">
        <w:t xml:space="preserve">.  W szczególności zauważył, że opinia 50/2000-73DS z  4 sierpnia 2000 r. została sporządzona przez czterech ekspertów Bałtyckiego Państwowego Uniwersytetu Technicznego („BPUT”) – S., </w:t>
      </w:r>
      <w:proofErr w:type="spellStart"/>
      <w:r w:rsidR="005652E0">
        <w:t>S</w:t>
      </w:r>
      <w:r w:rsidR="00D46D86">
        <w:t>ch</w:t>
      </w:r>
      <w:proofErr w:type="spellEnd"/>
      <w:r w:rsidR="005652E0">
        <w:t>., B i </w:t>
      </w:r>
      <w:proofErr w:type="spellStart"/>
      <w:r w:rsidR="005652E0">
        <w:t>I</w:t>
      </w:r>
      <w:proofErr w:type="spellEnd"/>
      <w:r w:rsidR="005652E0">
        <w:t xml:space="preserve">. Jedyne informacje na ich temat </w:t>
      </w:r>
      <w:r w:rsidR="00D46D86">
        <w:t xml:space="preserve">były </w:t>
      </w:r>
      <w:r w:rsidR="005652E0">
        <w:t xml:space="preserve">następujące: S. pracował dla działu bezpieczeństwa uniwersytetu i ukończył szkołę artyleryjską; </w:t>
      </w:r>
      <w:proofErr w:type="spellStart"/>
      <w:r w:rsidR="005652E0">
        <w:t>Sch</w:t>
      </w:r>
      <w:proofErr w:type="spellEnd"/>
      <w:r w:rsidR="005652E0">
        <w:t>. pracował dla katedry urządzeń startowych; B. miał „doświadczenie w dziedzinie termoregulacji obiektów kosmicznych”, natomiast I. pracował w służbach bezpieczeństwa uniwersytetu.</w:t>
      </w:r>
    </w:p>
    <w:p w14:paraId="5AA797D0" w14:textId="3BDDD430" w:rsidR="005652E0" w:rsidRPr="00A34A82" w:rsidRDefault="0085731C" w:rsidP="00A34A82">
      <w:pPr>
        <w:pStyle w:val="JuPara"/>
      </w:pPr>
      <w:fldSimple w:instr=" SEQ level0 \*arabic ">
        <w:r w:rsidR="00A34A82" w:rsidRPr="00A34A82">
          <w:t>47</w:t>
        </w:r>
      </w:fldSimple>
      <w:r w:rsidR="005652E0">
        <w:t xml:space="preserve">.  Opinię B-7/10DSP z 7 sierpnia 2000 r. sporządziło dwóch pracowników Moskiewskiego Państwowego Uniwersytetu Technicznego („MPUT”) – </w:t>
      </w:r>
      <w:proofErr w:type="spellStart"/>
      <w:r w:rsidR="005652E0">
        <w:t>Sych</w:t>
      </w:r>
      <w:proofErr w:type="spellEnd"/>
      <w:r w:rsidR="005652E0">
        <w:t>. i P., posiadających dokumenty tożsamości wskazujące</w:t>
      </w:r>
      <w:r w:rsidR="00D46D86">
        <w:t xml:space="preserve">, że </w:t>
      </w:r>
      <w:r w:rsidR="005652E0">
        <w:t xml:space="preserve">byli również ekspertami FSB. Ich dziedzina specjalizacji została określona jako „technologie rakietowe i kosmiczne”. Skarżący zauważył również, że ci dwaj biegli uczestniczyli też w wydawaniu opinii biegłych w podobnej sprawie o „szpiegostwo” prowadzonej przeciwko innemu </w:t>
      </w:r>
      <w:r w:rsidR="00D46D86">
        <w:t>naukowcowi</w:t>
      </w:r>
      <w:r w:rsidR="005652E0">
        <w:t>, przy czym tamta sprawa dotyczyła innego działu fizyki.</w:t>
      </w:r>
    </w:p>
    <w:p w14:paraId="6A77DBC1" w14:textId="0A795D19" w:rsidR="005652E0" w:rsidRPr="00A34A82" w:rsidRDefault="0085731C" w:rsidP="00A34A82">
      <w:pPr>
        <w:pStyle w:val="JuPara"/>
      </w:pPr>
      <w:fldSimple w:instr=" SEQ level0 \*arabic ">
        <w:r w:rsidR="00A34A82" w:rsidRPr="00A34A82">
          <w:t>48</w:t>
        </w:r>
      </w:fldSimple>
      <w:r w:rsidR="005652E0">
        <w:t xml:space="preserve">.  Opinię 37-51-107DSP z  1 listopada 2000 r. wydaną przez Ministerstwo Edukacji, MPUT oraz Moskiewski Instytut Lotniczy (Państwowy Uniwersytet Techniczny) („MIL”) sporządzili </w:t>
      </w:r>
      <w:proofErr w:type="spellStart"/>
      <w:r w:rsidR="005652E0">
        <w:t>S</w:t>
      </w:r>
      <w:r w:rsidR="00D46D86">
        <w:t>h</w:t>
      </w:r>
      <w:proofErr w:type="spellEnd"/>
      <w:r w:rsidR="005652E0">
        <w:t xml:space="preserve">., U. i A. </w:t>
      </w:r>
      <w:proofErr w:type="spellStart"/>
      <w:r w:rsidR="005652E0">
        <w:t>S</w:t>
      </w:r>
      <w:r w:rsidR="00D46D86">
        <w:t>h</w:t>
      </w:r>
      <w:proofErr w:type="spellEnd"/>
      <w:r w:rsidR="005652E0">
        <w:t>. ukończył szkołę dla strażników granicznych, U. był „głównym specjalistą departamentu specjalnego” Minist</w:t>
      </w:r>
      <w:r w:rsidR="000C0CE8">
        <w:t>erstwa</w:t>
      </w:r>
      <w:r w:rsidR="005652E0">
        <w:t xml:space="preserve"> Edukacji, a </w:t>
      </w:r>
      <w:proofErr w:type="spellStart"/>
      <w:r w:rsidR="005652E0">
        <w:t>A</w:t>
      </w:r>
      <w:proofErr w:type="spellEnd"/>
      <w:r w:rsidR="005652E0">
        <w:t>. (z MIL) specjalizował się w sprawach „radiowo-technicznych”.</w:t>
      </w:r>
    </w:p>
    <w:bookmarkStart w:id="24" w:name="App_appeal_re_experts_End"/>
    <w:p w14:paraId="1336691C" w14:textId="0940A0D5" w:rsidR="005652E0" w:rsidRPr="00A34A82" w:rsidRDefault="005652E0" w:rsidP="00A34A82">
      <w:pPr>
        <w:pStyle w:val="JuPara"/>
      </w:pPr>
      <w:r w:rsidRPr="00A34A82">
        <w:lastRenderedPageBreak/>
        <w:fldChar w:fldCharType="begin"/>
      </w:r>
      <w:r w:rsidRPr="00A34A82">
        <w:instrText xml:space="preserve"> SEQ level0 \*arabic </w:instrText>
      </w:r>
      <w:r w:rsidRPr="00A34A82">
        <w:fldChar w:fldCharType="separate"/>
      </w:r>
      <w:r w:rsidR="00A34A82" w:rsidRPr="00A34A82">
        <w:t>49</w:t>
      </w:r>
      <w:r w:rsidRPr="00A34A82">
        <w:fldChar w:fldCharType="end"/>
      </w:r>
      <w:bookmarkEnd w:id="24"/>
      <w:r>
        <w:t xml:space="preserve">.  Pozostałe opinie biegłych zostały sporządzone przez </w:t>
      </w:r>
      <w:r w:rsidR="003E233F">
        <w:t xml:space="preserve">te same </w:t>
      </w:r>
      <w:r>
        <w:t>osoby wymienione powyżej</w:t>
      </w:r>
      <w:r w:rsidR="003E233F">
        <w:t>,</w:t>
      </w:r>
      <w:r>
        <w:t xml:space="preserve"> pracujące w odmiennych konfiguracjach. Nie udostępniono żadnych dodatkowych informacji o obszarach specjalizacji biegłych, ich doświadczeniu, publikacjach naukowych ani innych publikacjach.</w:t>
      </w:r>
    </w:p>
    <w:p w14:paraId="296B2387" w14:textId="3A1ACF7C" w:rsidR="005652E0" w:rsidRPr="00A34A82" w:rsidRDefault="0085731C" w:rsidP="00A34A82">
      <w:pPr>
        <w:pStyle w:val="JuPara"/>
      </w:pPr>
      <w:fldSimple w:instr=" SEQ level0 \*arabic ">
        <w:r w:rsidR="00A34A82" w:rsidRPr="00A34A82">
          <w:t>50</w:t>
        </w:r>
      </w:fldSimple>
      <w:r w:rsidR="005652E0">
        <w:t>.  Skarżący zarzuc</w:t>
      </w:r>
      <w:r w:rsidR="003E233F">
        <w:t>i</w:t>
      </w:r>
      <w:r w:rsidR="005652E0">
        <w:t xml:space="preserve">ł, że pomimo złożonego przez niego wniosku </w:t>
      </w:r>
      <w:r w:rsidR="003E233F">
        <w:t>s</w:t>
      </w:r>
      <w:r w:rsidR="005652E0">
        <w:t xml:space="preserve">ąd </w:t>
      </w:r>
      <w:r w:rsidR="003E233F">
        <w:t>o</w:t>
      </w:r>
      <w:r w:rsidR="005652E0">
        <w:t>kręgowy odmówił przesłuchania dziesięciu biegłych oskarżenia i wezwania ekspertów obrony. Odmowa ta skutecznie pozbawiła go możliwości zakwestionowania wniosków sformułowanych w opiniach biegłych.</w:t>
      </w:r>
    </w:p>
    <w:p w14:paraId="0E3EA90B" w14:textId="77777777" w:rsidR="005652E0" w:rsidRPr="00A34A82" w:rsidRDefault="0085731C" w:rsidP="00A34A82">
      <w:pPr>
        <w:pStyle w:val="JuPara"/>
      </w:pPr>
      <w:fldSimple w:instr=" SEQ level0 \*arabic ">
        <w:r w:rsidR="00A34A82" w:rsidRPr="00A34A82">
          <w:t>51</w:t>
        </w:r>
      </w:fldSimple>
      <w:r w:rsidR="005652E0">
        <w:t>.  Skarżący załączył do apelacji protokół seminarium naukowego z dnia 25 listopada 2004 r. (zob. par. </w:t>
      </w:r>
      <w:r w:rsidR="005652E0" w:rsidRPr="00A34A82">
        <w:fldChar w:fldCharType="begin"/>
      </w:r>
      <w:r w:rsidR="005652E0" w:rsidRPr="00A34A82">
        <w:instrText xml:space="preserve"> REF scientific_alt_opinions_2004 \h  \* MERGEFORMAT </w:instrText>
      </w:r>
      <w:r w:rsidR="005652E0" w:rsidRPr="00A34A82">
        <w:fldChar w:fldCharType="separate"/>
      </w:r>
      <w:r w:rsidR="00A34A82" w:rsidRPr="00A34A82">
        <w:t>43</w:t>
      </w:r>
      <w:r w:rsidR="005652E0" w:rsidRPr="00A34A82">
        <w:fldChar w:fldCharType="end"/>
      </w:r>
      <w:r w:rsidR="005652E0">
        <w:t xml:space="preserve"> powyżej).</w:t>
      </w:r>
    </w:p>
    <w:p w14:paraId="14E7CAEA" w14:textId="708A2B34" w:rsidR="005652E0" w:rsidRPr="00A34A82" w:rsidRDefault="0085731C" w:rsidP="00A34A82">
      <w:pPr>
        <w:pStyle w:val="JuPara"/>
      </w:pPr>
      <w:fldSimple w:instr=" SEQ level0 \*arabic ">
        <w:r w:rsidR="00A34A82" w:rsidRPr="00A34A82">
          <w:t>52</w:t>
        </w:r>
      </w:fldSimple>
      <w:r w:rsidR="005652E0">
        <w:t>.  Skarżący utrzymywał również, że ława przysięgłych w jego sprawie nie została wybrana zgodnie z obowiązującymi przepisami. Ponadto twierdził, że ława przysięgłych nie była niezależna i bezstronna. W</w:t>
      </w:r>
      <w:r w:rsidR="006A728B">
        <w:t> </w:t>
      </w:r>
      <w:r w:rsidR="005652E0">
        <w:t xml:space="preserve">szczególności niektórzy </w:t>
      </w:r>
      <w:r w:rsidR="003E233F">
        <w:t>przysięgli</w:t>
      </w:r>
      <w:r w:rsidR="005652E0">
        <w:t xml:space="preserve"> ukrywali pewne informacje na swój temat świadczące o ich braku niezależności od FSB. Co więcej, w procesie nie powinni uczestniczyć </w:t>
      </w:r>
      <w:r w:rsidR="003E233F">
        <w:t>przysięgli</w:t>
      </w:r>
      <w:r w:rsidR="005652E0">
        <w:t xml:space="preserve"> posiadający poświadczenie bezpieczeństwa, ponieważ również takich osób nie można uznać za niezależne od FSB. Skarżący zarzuc</w:t>
      </w:r>
      <w:r w:rsidR="003E233F">
        <w:t>i</w:t>
      </w:r>
      <w:r w:rsidR="005652E0">
        <w:t>ł także, że z zakresu ocen</w:t>
      </w:r>
      <w:r w:rsidR="003E233F">
        <w:t>y</w:t>
      </w:r>
      <w:r w:rsidR="005652E0">
        <w:t xml:space="preserve"> ławy przysięgłych wyłączono </w:t>
      </w:r>
      <w:r w:rsidR="003E233F">
        <w:t xml:space="preserve">tylko </w:t>
      </w:r>
      <w:r w:rsidR="005652E0">
        <w:t xml:space="preserve">jedyną </w:t>
      </w:r>
      <w:r w:rsidR="003E233F">
        <w:t xml:space="preserve">sporną </w:t>
      </w:r>
      <w:r w:rsidR="005652E0">
        <w:t xml:space="preserve">kwestię w sprawie, a mianowicie to, czy ujawnione informacje stanowiły tajemnicę państwową, jako że kwestię tę uznano za </w:t>
      </w:r>
      <w:r w:rsidR="003E233F">
        <w:t>zarezerwowaną dla</w:t>
      </w:r>
      <w:r w:rsidR="005652E0">
        <w:t xml:space="preserve"> biegłych i </w:t>
      </w:r>
      <w:r w:rsidR="003E233F">
        <w:t xml:space="preserve">sędziego </w:t>
      </w:r>
      <w:r w:rsidR="005652E0">
        <w:t>przewodniczącego.</w:t>
      </w:r>
    </w:p>
    <w:p w14:paraId="1B60242A" w14:textId="7FA86658" w:rsidR="005652E0" w:rsidRPr="00A34A82" w:rsidRDefault="003E233F" w:rsidP="00A34A82">
      <w:pPr>
        <w:pStyle w:val="JuH1"/>
        <w:numPr>
          <w:ilvl w:val="3"/>
          <w:numId w:val="1"/>
        </w:numPr>
        <w:jc w:val="left"/>
      </w:pPr>
      <w:r>
        <w:t>Postępowanie odwoławcze</w:t>
      </w:r>
    </w:p>
    <w:bookmarkStart w:id="25" w:name="sixtytwo"/>
    <w:p w14:paraId="525818BA" w14:textId="7D8DC320"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53</w:t>
      </w:r>
      <w:r w:rsidRPr="00A34A82">
        <w:fldChar w:fldCharType="end"/>
      </w:r>
      <w:r>
        <w:t>.  </w:t>
      </w:r>
      <w:bookmarkEnd w:id="25"/>
      <w:r>
        <w:t xml:space="preserve">Dnia </w:t>
      </w:r>
      <w:bookmarkStart w:id="26" w:name="OLE_LINK4"/>
      <w:r>
        <w:t xml:space="preserve">29 czerwca 2005 r. </w:t>
      </w:r>
      <w:bookmarkEnd w:id="26"/>
      <w:r>
        <w:t xml:space="preserve">przed Sądem Najwyższym, </w:t>
      </w:r>
      <w:r w:rsidR="003E233F">
        <w:t>w składzie, któremu przewodniczyła sędzia</w:t>
      </w:r>
      <w:r>
        <w:t xml:space="preserve"> K., odbyła się rozprawa apelacyjna.</w:t>
      </w:r>
    </w:p>
    <w:bookmarkStart w:id="27" w:name="sixtythree"/>
    <w:p w14:paraId="18B97DA0" w14:textId="42BD2D3C"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54</w:t>
      </w:r>
      <w:r w:rsidRPr="00A34A82">
        <w:fldChar w:fldCharType="end"/>
      </w:r>
      <w:r>
        <w:t>.  </w:t>
      </w:r>
      <w:bookmarkEnd w:id="27"/>
      <w:r>
        <w:t xml:space="preserve">Obrona sprzeciwiała się udziałowi sędzi K. w postępowaniu apelacyjnym na tej podstawie, że wcześniej orzekała ona w sprawie skarżącego: 23 lipca 2003 r., gdy Sąd Najwyższy uwzględnił odwołanie prokuratora od </w:t>
      </w:r>
      <w:r w:rsidR="003E233F">
        <w:t>decyzji o zwrocie</w:t>
      </w:r>
      <w:r>
        <w:t xml:space="preserve"> sprawy prokuratorowi w celu dalszego prowadzenia postępowania przygotowawczego (zob. par. </w:t>
      </w:r>
      <w:r w:rsidRPr="00A34A82">
        <w:fldChar w:fldCharType="begin"/>
      </w:r>
      <w:r w:rsidRPr="00A34A82">
        <w:instrText xml:space="preserve"> REF court_dec_23July2003 \h  \* MERGEFORMAT </w:instrText>
      </w:r>
      <w:r w:rsidRPr="00A34A82">
        <w:fldChar w:fldCharType="separate"/>
      </w:r>
      <w:r w:rsidR="00A34A82" w:rsidRPr="00A34A82">
        <w:t>27</w:t>
      </w:r>
      <w:r w:rsidRPr="00A34A82">
        <w:fldChar w:fldCharType="end"/>
      </w:r>
      <w:r>
        <w:t xml:space="preserve"> powyżej) oraz 9 czerwca 2004 r., gdy </w:t>
      </w:r>
      <w:r w:rsidR="003E233F">
        <w:t>sąd</w:t>
      </w:r>
      <w:r>
        <w:t xml:space="preserve"> uchylił wyrok uniewinniający skarżącego i skierował sprawę do ponownego rozpoznania (zob. par. </w:t>
      </w:r>
      <w:r w:rsidRPr="00A34A82">
        <w:fldChar w:fldCharType="begin"/>
      </w:r>
      <w:r w:rsidRPr="00A34A82">
        <w:instrText xml:space="preserve"> REF court_dec_9June2004_acquittal_quashed \h  \* MERGEFORMAT </w:instrText>
      </w:r>
      <w:r w:rsidRPr="00A34A82">
        <w:fldChar w:fldCharType="separate"/>
      </w:r>
      <w:r w:rsidR="00A34A82" w:rsidRPr="00A34A82">
        <w:t>31</w:t>
      </w:r>
      <w:r w:rsidRPr="00A34A82">
        <w:fldChar w:fldCharType="end"/>
      </w:r>
      <w:r>
        <w:t xml:space="preserve"> powyżej).</w:t>
      </w:r>
    </w:p>
    <w:p w14:paraId="1F1525BD" w14:textId="53D6ADDA" w:rsidR="005652E0" w:rsidRPr="00A34A82" w:rsidRDefault="0085731C" w:rsidP="00A34A82">
      <w:pPr>
        <w:pStyle w:val="JuPara"/>
      </w:pPr>
      <w:fldSimple w:instr=" SEQ level0 \*arabic ">
        <w:r w:rsidR="00A34A82" w:rsidRPr="00A34A82">
          <w:t>55</w:t>
        </w:r>
      </w:fldSimple>
      <w:r w:rsidR="005652E0">
        <w:t xml:space="preserve">.  Sąd Najwyższy oddalił ten sprzeciw. Sąd Najwyższy orzekł, że w toku rozpoznawania sprawy skarżącego sędzia K. nie złożyła żadnych oświadczeń ujawniających osobisty interes </w:t>
      </w:r>
      <w:r w:rsidR="00E620ED">
        <w:t>co do</w:t>
      </w:r>
      <w:r w:rsidR="005652E0">
        <w:t> </w:t>
      </w:r>
      <w:r w:rsidR="00E620ED">
        <w:t xml:space="preserve">wyniku </w:t>
      </w:r>
      <w:r w:rsidR="005652E0">
        <w:t>postępowania. Sąd Najwyższy uznał, że nie istnieją żadne inne okoliczności, które uniemożliwiałyby jej udział w postępowaniu.</w:t>
      </w:r>
    </w:p>
    <w:bookmarkStart w:id="28" w:name="Supreme_Court_re_jury_and_experts"/>
    <w:p w14:paraId="0955897F" w14:textId="1EC3C023"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56</w:t>
      </w:r>
      <w:r w:rsidRPr="00A34A82">
        <w:fldChar w:fldCharType="end"/>
      </w:r>
      <w:bookmarkEnd w:id="28"/>
      <w:r>
        <w:t xml:space="preserve">.  Co </w:t>
      </w:r>
      <w:r w:rsidR="00E620ED">
        <w:t>do</w:t>
      </w:r>
      <w:r>
        <w:t xml:space="preserve"> zarzucanej stronniczości </w:t>
      </w:r>
      <w:r w:rsidR="00E620ED">
        <w:t>niektórych</w:t>
      </w:r>
      <w:r>
        <w:t xml:space="preserve"> przysięgłych, Sąd Najwyższy orzekł, że poświadczenie bezpieczeństwa samo w sobie nie wskazuje na brak bezstronności, a także, że nie ma dowodów pozwalających uznać, iż </w:t>
      </w:r>
      <w:r w:rsidR="00E620ED">
        <w:t>przysięgli</w:t>
      </w:r>
      <w:r>
        <w:t xml:space="preserve"> zataili </w:t>
      </w:r>
      <w:r w:rsidR="00E620ED">
        <w:t xml:space="preserve">jakiekolwiek </w:t>
      </w:r>
      <w:r>
        <w:t xml:space="preserve">istotne informacje, które mogłyby podać w wątpliwość ich bezstronność. Sąd Najwyższy orzekł również, że </w:t>
      </w:r>
      <w:r>
        <w:lastRenderedPageBreak/>
        <w:t xml:space="preserve">nieuwzględnienie wniosku o wezwanie biegłych oskarżenia przez </w:t>
      </w:r>
      <w:r w:rsidR="00E620ED">
        <w:t>s</w:t>
      </w:r>
      <w:r>
        <w:t xml:space="preserve">ąd </w:t>
      </w:r>
      <w:r w:rsidR="00E620ED">
        <w:t>o</w:t>
      </w:r>
      <w:r>
        <w:t xml:space="preserve">kręgowy było uzasadnione z uwagi na charakter postępowania </w:t>
      </w:r>
      <w:r w:rsidR="00E620ED">
        <w:t>przed</w:t>
      </w:r>
      <w:r>
        <w:t xml:space="preserve"> ław</w:t>
      </w:r>
      <w:r w:rsidR="00E620ED">
        <w:t>ą</w:t>
      </w:r>
      <w:r>
        <w:t xml:space="preserve"> przysięgłych. Istotna część orzeczenia w tej kwestii brzmi:</w:t>
      </w:r>
    </w:p>
    <w:p w14:paraId="31888BB4" w14:textId="56AEB962" w:rsidR="005652E0" w:rsidRPr="00A34A82" w:rsidRDefault="005652E0" w:rsidP="00A34A82">
      <w:pPr>
        <w:pStyle w:val="JuQuot"/>
      </w:pPr>
      <w:r>
        <w:t xml:space="preserve">„Sądu nie przekonują argumenty obrony dotyczące zarzucanych uchybień </w:t>
      </w:r>
      <w:r w:rsidR="00E620ED">
        <w:t>przy </w:t>
      </w:r>
      <w:r>
        <w:t>formowaniu ławy przysięgłych.</w:t>
      </w:r>
    </w:p>
    <w:p w14:paraId="5E644591" w14:textId="77777777" w:rsidR="005652E0" w:rsidRPr="00A34A82" w:rsidRDefault="005652E0" w:rsidP="00A34A82">
      <w:pPr>
        <w:pStyle w:val="JuQuot"/>
      </w:pPr>
      <w:r>
        <w:t>[…]</w:t>
      </w:r>
    </w:p>
    <w:p w14:paraId="47CDA8F6" w14:textId="208357DA" w:rsidR="005652E0" w:rsidRPr="00A34A82" w:rsidRDefault="005652E0" w:rsidP="00A34A82">
      <w:pPr>
        <w:pStyle w:val="JuQuot"/>
      </w:pPr>
      <w:r>
        <w:t>[…] strony zadawały pytania [potencjalnym przysięgły</w:t>
      </w:r>
      <w:r w:rsidR="00E620ED">
        <w:t>m</w:t>
      </w:r>
      <w:r>
        <w:t>] w celu ustalenia indywidualnych okoliczności, które mogłyby uniemożliwiać ich udział w postępowaniu.</w:t>
      </w:r>
    </w:p>
    <w:p w14:paraId="37D7C4AD" w14:textId="77777777" w:rsidR="005652E0" w:rsidRPr="00A34A82" w:rsidRDefault="005652E0" w:rsidP="00A34A82">
      <w:pPr>
        <w:pStyle w:val="JuQuot"/>
      </w:pPr>
      <w:r>
        <w:t>[…]</w:t>
      </w:r>
    </w:p>
    <w:p w14:paraId="6BA0FC7C" w14:textId="77777777" w:rsidR="005652E0" w:rsidRPr="00A34A82" w:rsidRDefault="005652E0" w:rsidP="00A34A82">
      <w:pPr>
        <w:pStyle w:val="JuQuot"/>
      </w:pPr>
      <w:r>
        <w:t>Nic nie wskazuje, aby dobór członków ławy przysięgłych nie był losowy.</w:t>
      </w:r>
    </w:p>
    <w:p w14:paraId="1A030082" w14:textId="77777777" w:rsidR="005652E0" w:rsidRPr="00A34A82" w:rsidRDefault="005652E0" w:rsidP="00A34A82">
      <w:pPr>
        <w:pStyle w:val="JuQuot"/>
      </w:pPr>
      <w:r>
        <w:t>[…]</w:t>
      </w:r>
    </w:p>
    <w:p w14:paraId="00373E97" w14:textId="69CE1205" w:rsidR="005652E0" w:rsidRPr="00A34A82" w:rsidRDefault="005652E0" w:rsidP="00A34A82">
      <w:pPr>
        <w:pStyle w:val="JuQuot"/>
      </w:pPr>
      <w:r>
        <w:t>Co się tyczy zarzutu obrony, że członkowie ławy przysięgłych byli stronniczy, ponieważ posiadali poświadczenie bezpieczeństwa, taki argument nie ma podstawy prawnej. Procedura udzielania dostępu do tajemnic państwowych, określona ustawą o tajemnicach państwowych, nie czyni osoby z poświadczeniem bezpieczeństwa zależn</w:t>
      </w:r>
      <w:r w:rsidR="00E620ED">
        <w:t>ą</w:t>
      </w:r>
      <w:r>
        <w:t xml:space="preserve"> od Federalnej Służby Bezpieczeństwa.</w:t>
      </w:r>
    </w:p>
    <w:p w14:paraId="6268E5A5" w14:textId="63801C50" w:rsidR="005652E0" w:rsidRPr="00A34A82" w:rsidRDefault="005652E0" w:rsidP="00A34A82">
      <w:pPr>
        <w:pStyle w:val="JuQuot"/>
      </w:pPr>
      <w:r>
        <w:t>Powyższy [argument] nie znajduje również [potwierdzenia] w orzecznictwie rosyjskiego Trybunału Konstytucyjnego, a konkretnie wyroku 8-П z  27 marca 1996 r., na który powołała się obrona. Trybunał Konstytucyjny stoi na stanowisku, że orzeczenie to odnosi się do braku możliwości wyłączenia ze sprawy adwokata z powodu braku poświadczenia bezpieczeństwa. Wynika to z faktu, że organy FSB, które przeprowadzają procedurę weryfikacji [do celów uzyskania poświadczenia bezpieczeństwa] faktycznie przesądzają o decyzjach w sprawie dostępu do tajemnic państwowych. Z tego względu (</w:t>
      </w:r>
      <w:r w:rsidR="00E620ED">
        <w:t>tj.</w:t>
      </w:r>
      <w:r>
        <w:t xml:space="preserve"> procedur</w:t>
      </w:r>
      <w:r w:rsidR="00E620ED">
        <w:t>y</w:t>
      </w:r>
      <w:r>
        <w:t xml:space="preserve"> uzyskania poświadczenia bezpieczeństwa) adwokat obiektywnie staje się zależny od organów ścigania w postępowaniu karnym. Ani w </w:t>
      </w:r>
      <w:r w:rsidR="00E620ED">
        <w:t>K</w:t>
      </w:r>
      <w:r>
        <w:t>odeksie postępowania karnego, ani w art. 80 ustawy federalnej o sądownictwie i RFSRR (Rosyjskiej Federacyjnej Socjalistycznej Republiki Radzieckiej), która miała zastosowanie w czasie istotnym dla sprawy, nie ma zakazu uczestnictwa w postępowaniu w charakterze przysięgł</w:t>
      </w:r>
      <w:r w:rsidR="00E620ED">
        <w:t>ego</w:t>
      </w:r>
      <w:r>
        <w:t xml:space="preserve"> ze względu na posiadanie poświadczenia bezpieczeństwa. Zakazu takiego nie przewiduje również ustawa federalna o sędziach niezawodowych w Federacji Rosyjskiej.</w:t>
      </w:r>
    </w:p>
    <w:p w14:paraId="6D3ECD06" w14:textId="77777777" w:rsidR="005652E0" w:rsidRPr="00A34A82" w:rsidRDefault="005652E0" w:rsidP="00A34A82">
      <w:pPr>
        <w:pStyle w:val="JuQuot"/>
      </w:pPr>
      <w:r>
        <w:t>Wnioski dotyczące zakwestionowania składu ławy przysięgłych zostały należycie rozpoznane przez sąd prowadzący postępowanie.</w:t>
      </w:r>
    </w:p>
    <w:p w14:paraId="1D4C3E7E" w14:textId="77777777" w:rsidR="005652E0" w:rsidRPr="00A34A82" w:rsidRDefault="005652E0" w:rsidP="00A34A82">
      <w:pPr>
        <w:pStyle w:val="JuQuot"/>
      </w:pPr>
      <w:r>
        <w:t>[…]</w:t>
      </w:r>
    </w:p>
    <w:p w14:paraId="11061D0D" w14:textId="084F96B4" w:rsidR="005652E0" w:rsidRPr="00A34A82" w:rsidRDefault="005652E0" w:rsidP="00A34A82">
      <w:pPr>
        <w:pStyle w:val="JuQuot"/>
      </w:pPr>
      <w:r>
        <w:t>[…] aby zachodziło [przestępstwo] ujawnienia tajemnicy państwowej, o którym mowa w art. 275 </w:t>
      </w:r>
      <w:r w:rsidR="00E94B3B">
        <w:t>K</w:t>
      </w:r>
      <w:r>
        <w:t xml:space="preserve">odeksu karnego, muszą zostać wypełnione obowiązkowo dwa znamiona czynu: przekazanie informacji </w:t>
      </w:r>
      <w:r w:rsidR="00E94B3B">
        <w:t>ze sfery</w:t>
      </w:r>
      <w:r>
        <w:t xml:space="preserve"> aktywności państwa […],</w:t>
      </w:r>
      <w:r w:rsidR="00E94B3B">
        <w:t xml:space="preserve"> co</w:t>
      </w:r>
      <w:r>
        <w:t xml:space="preserve"> stanowi okolicznoś</w:t>
      </w:r>
      <w:r w:rsidR="00E94B3B">
        <w:t>ć</w:t>
      </w:r>
      <w:r>
        <w:t xml:space="preserve"> faktyczn</w:t>
      </w:r>
      <w:r w:rsidR="00E94B3B">
        <w:t>ą</w:t>
      </w:r>
      <w:r>
        <w:t xml:space="preserve"> czynu oraz wskazanie, że informacje te są chronione przez państwo, ponieważ ich ujawnienie może szkodzić rosyjskiemu bezpieczeństwu. Okoliczności te mają charakter prawny, ponieważ ich stwierdzenie wymaga specjalistycznej wiedzy w konkretnej dziedzinie </w:t>
      </w:r>
      <w:r w:rsidR="00E94B3B">
        <w:t xml:space="preserve">aktywności </w:t>
      </w:r>
      <w:r>
        <w:t xml:space="preserve">państwa związanej z bezpieczeństwem [państwa] </w:t>
      </w:r>
      <w:r w:rsidR="00E94B3B">
        <w:t>należącej do</w:t>
      </w:r>
      <w:r>
        <w:t xml:space="preserve"> kompetencji odpowiedniej agencji i urzędników państwowych, zgodnie z ustawą o tajemnicach państwowych.</w:t>
      </w:r>
    </w:p>
    <w:p w14:paraId="329534D2" w14:textId="77777777" w:rsidR="005652E0" w:rsidRPr="00A34A82" w:rsidRDefault="005652E0" w:rsidP="00A34A82">
      <w:pPr>
        <w:pStyle w:val="JuQuot"/>
      </w:pPr>
      <w:r>
        <w:t xml:space="preserve">Z tego względu [czynności] zaklasyfikowania konkretnej informacji jako tajemnicy państwowej i nadania jej statusu informacji niejawnej dokonują kierownicy organów </w:t>
      </w:r>
      <w:r>
        <w:lastRenderedPageBreak/>
        <w:t>państwowych zgodnie z [oficjalnym] wykazem urzędników państwowych dysponujących takimi uprawnieniami, który to wykaz zatwierdza prezydent Federacji Rosyjskiej. […]</w:t>
      </w:r>
    </w:p>
    <w:p w14:paraId="21181F81" w14:textId="4D2036F1" w:rsidR="005652E0" w:rsidRPr="00A34A82" w:rsidRDefault="005652E0" w:rsidP="00A34A82">
      <w:pPr>
        <w:pStyle w:val="JuQuot"/>
      </w:pPr>
      <w:r>
        <w:t>Zgodnie z art. 6 ust. 4 ustawy [o tajemnic</w:t>
      </w:r>
      <w:r w:rsidR="00E94B3B">
        <w:t>ach</w:t>
      </w:r>
      <w:r>
        <w:t xml:space="preserve"> państwow</w:t>
      </w:r>
      <w:r w:rsidR="00E94B3B">
        <w:t>ych</w:t>
      </w:r>
      <w:r>
        <w:t>] zaklasyfikowani</w:t>
      </w:r>
      <w:r w:rsidR="00E94B3B">
        <w:t>e</w:t>
      </w:r>
      <w:r>
        <w:t xml:space="preserve"> informacji jako tajemnicy państwowej i nadani</w:t>
      </w:r>
      <w:r w:rsidR="00E94B3B">
        <w:t>e</w:t>
      </w:r>
      <w:r>
        <w:t xml:space="preserve"> jej statusu informacji niejawnej </w:t>
      </w:r>
      <w:r w:rsidR="00E94B3B">
        <w:t xml:space="preserve">następuje na podstawie </w:t>
      </w:r>
      <w:r>
        <w:t>eksperck</w:t>
      </w:r>
      <w:r w:rsidR="00E94B3B">
        <w:t>iej</w:t>
      </w:r>
      <w:r>
        <w:t xml:space="preserve"> ocen</w:t>
      </w:r>
      <w:r w:rsidR="00E94B3B">
        <w:t>y</w:t>
      </w:r>
      <w:r>
        <w:t xml:space="preserve"> zasadności zaklasyfikowania określonej informacji jako niejawnej i znaczenia oraz konsekwencji takiego działania z uwzględnieniem równowagi </w:t>
      </w:r>
      <w:r w:rsidR="00E94B3B">
        <w:t xml:space="preserve">pomiędzy żywotnymi </w:t>
      </w:r>
      <w:r>
        <w:t>interes</w:t>
      </w:r>
      <w:r w:rsidR="00E94B3B">
        <w:t>ami</w:t>
      </w:r>
      <w:r>
        <w:t xml:space="preserve"> państwa, społeczeństwa i obywateli.</w:t>
      </w:r>
    </w:p>
    <w:p w14:paraId="357D48B8" w14:textId="043530AD" w:rsidR="005652E0" w:rsidRPr="00A34A82" w:rsidRDefault="005652E0" w:rsidP="00A34A82">
      <w:pPr>
        <w:pStyle w:val="JuQuot"/>
      </w:pPr>
      <w:r>
        <w:t>Z tego względu kwestia uznania za tajemnicę państwową informacji, któr</w:t>
      </w:r>
      <w:r w:rsidR="00E94B3B">
        <w:t>ych ujawnienie zarzucane jest</w:t>
      </w:r>
      <w:r>
        <w:t xml:space="preserve"> oskarżon</w:t>
      </w:r>
      <w:r w:rsidR="00E94B3B">
        <w:t>emu</w:t>
      </w:r>
      <w:r>
        <w:t>, była kwestią prawną, dlatego też […] nie mogła stanowić przedmiotu oceny ław</w:t>
      </w:r>
      <w:r w:rsidR="00E94B3B">
        <w:t>y</w:t>
      </w:r>
      <w:r>
        <w:t xml:space="preserve"> przysięgłych.</w:t>
      </w:r>
    </w:p>
    <w:p w14:paraId="225B7ECE" w14:textId="77777777" w:rsidR="005652E0" w:rsidRPr="00A34A82" w:rsidRDefault="005652E0" w:rsidP="00A34A82">
      <w:pPr>
        <w:pStyle w:val="JuQuot"/>
      </w:pPr>
      <w:r>
        <w:t>[…]</w:t>
      </w:r>
    </w:p>
    <w:p w14:paraId="2B1C7503" w14:textId="2DC87CB8" w:rsidR="005652E0" w:rsidRPr="00A34A82" w:rsidRDefault="005652E0" w:rsidP="00A34A82">
      <w:pPr>
        <w:pStyle w:val="JuQuot"/>
      </w:pPr>
      <w:r>
        <w:t xml:space="preserve">Jak wskazywały akta sprawy, sąd </w:t>
      </w:r>
      <w:r w:rsidR="00E86AF4">
        <w:t>rozpoznający sprawę</w:t>
      </w:r>
      <w:r>
        <w:t xml:space="preserve"> analizował jedynie dopuszczalne dowody. </w:t>
      </w:r>
      <w:r w:rsidR="00E86AF4">
        <w:t>Zarzut</w:t>
      </w:r>
      <w:r>
        <w:t xml:space="preserve">, że analizowano niedopuszczalne opinie biegłych nie znajduje potwierdzenia w aktach sprawy, z których wynika, że o sporządzenie opinii biegłych organy ścigania zwróciły się do osób o wysokim poziomie wykształcenia i specjalizacji, dysponujących specjalistyczną wiedzą na temat </w:t>
      </w:r>
      <w:r w:rsidR="00E86AF4">
        <w:t>kwestii badanych</w:t>
      </w:r>
      <w:r>
        <w:t xml:space="preserve"> w tej sprawie karnej, które prowadziły badania naukowe, w tym badania na tematy związane z zarzutami postawionymi skarżącemu, i posiadały bogate doświadczenie zawodowe w ty</w:t>
      </w:r>
      <w:r w:rsidR="00E86AF4">
        <w:t>ch obszarach</w:t>
      </w:r>
      <w:r>
        <w:t>. […] skarżący i </w:t>
      </w:r>
      <w:r w:rsidR="00E86AF4">
        <w:t xml:space="preserve">jego obrońcy </w:t>
      </w:r>
      <w:r>
        <w:t>zostali zaznajomieni z tymi informacjami.</w:t>
      </w:r>
    </w:p>
    <w:p w14:paraId="7DC1B533" w14:textId="3F6E29B2" w:rsidR="005652E0" w:rsidRPr="00A34A82" w:rsidRDefault="005652E0" w:rsidP="00A34A82">
      <w:pPr>
        <w:pStyle w:val="JuQuot"/>
      </w:pPr>
      <w:r>
        <w:t xml:space="preserve">Procedura powołania biegłych i przeprowadzenia </w:t>
      </w:r>
      <w:r w:rsidR="00E86AF4">
        <w:t xml:space="preserve">przez nich </w:t>
      </w:r>
      <w:r>
        <w:t>badań w </w:t>
      </w:r>
      <w:r w:rsidR="00E86AF4">
        <w:t xml:space="preserve">niniejszej </w:t>
      </w:r>
      <w:r>
        <w:t xml:space="preserve">sprawie karnej odbywała się zgodnie z rozdziałem 27 </w:t>
      </w:r>
      <w:r w:rsidR="00E86AF4">
        <w:t>K</w:t>
      </w:r>
      <w:r>
        <w:t>odeksu postępowania karnego. Ustalenia biegłych dotyczyły technicznych cech urządzeń ujawnionych przez skarżącego oraz kwestii tego, czy informacje te stanowiły tajemnicę państwową. Biegli musieli [sformułować wniosk</w:t>
      </w:r>
      <w:r w:rsidR="00E86AF4">
        <w:t>i</w:t>
      </w:r>
      <w:r>
        <w:t>] co do drugiej z wymienionych kwestii, ponieważ zgodnie z art. 6 ust. 4 ustawy o tajemnic</w:t>
      </w:r>
      <w:r w:rsidR="00E86AF4">
        <w:t>ach</w:t>
      </w:r>
      <w:r>
        <w:t xml:space="preserve"> państwow</w:t>
      </w:r>
      <w:r w:rsidR="00E86AF4">
        <w:t>ych uzasadnienie zakwalifikowaniu informacji jako tajemnicy państwowej</w:t>
      </w:r>
      <w:r>
        <w:t xml:space="preserve"> </w:t>
      </w:r>
      <w:r w:rsidR="00E86AF4">
        <w:t>musi być oparte na opinii biegłych</w:t>
      </w:r>
      <w:r>
        <w:t>.</w:t>
      </w:r>
    </w:p>
    <w:p w14:paraId="0B515FD0" w14:textId="28385EDA" w:rsidR="005652E0" w:rsidRPr="00A34A82" w:rsidRDefault="00E86AF4" w:rsidP="00A34A82">
      <w:pPr>
        <w:pStyle w:val="JuQuot"/>
      </w:pPr>
      <w:r>
        <w:t>Werdykt ł</w:t>
      </w:r>
      <w:r w:rsidR="005652E0">
        <w:t>aw</w:t>
      </w:r>
      <w:r>
        <w:t>y</w:t>
      </w:r>
      <w:r w:rsidR="005652E0">
        <w:t xml:space="preserve"> przysięgłych </w:t>
      </w:r>
      <w:r>
        <w:t>oparty była na dogłębnym zbadaniu o</w:t>
      </w:r>
      <w:r w:rsidR="005652E0">
        <w:t>koliczności sprawy i dokument</w:t>
      </w:r>
      <w:r w:rsidR="00296580">
        <w:t>ów z akt sprawy</w:t>
      </w:r>
      <w:r w:rsidR="005652E0">
        <w:t xml:space="preserve">. Sąd nie może przyjąć argumentu obrony, że oddalenie wniosku o wezwanie i przesłuchanie […] biegłych […] było arbitralne […]. Z akt sprawy wynika, że sąd </w:t>
      </w:r>
      <w:r w:rsidR="00296580">
        <w:t>rozpoznający sprawę przeanalizował</w:t>
      </w:r>
      <w:r w:rsidR="005652E0">
        <w:t> opini</w:t>
      </w:r>
      <w:r w:rsidR="00296580">
        <w:t>e</w:t>
      </w:r>
      <w:r w:rsidR="005652E0">
        <w:t xml:space="preserve"> biegłych. Przesłuchanie biegłych było niezgodne z charakterem postępowania </w:t>
      </w:r>
      <w:r w:rsidR="00296580">
        <w:t>przed</w:t>
      </w:r>
      <w:r w:rsidR="005652E0">
        <w:t xml:space="preserve"> ław</w:t>
      </w:r>
      <w:r w:rsidR="00296580">
        <w:t>ą</w:t>
      </w:r>
      <w:r w:rsidR="005652E0">
        <w:t xml:space="preserve"> przysięgłych […].</w:t>
      </w:r>
    </w:p>
    <w:p w14:paraId="4BD572D2" w14:textId="090F2FCB" w:rsidR="005652E0" w:rsidRPr="00A34A82" w:rsidRDefault="005652E0" w:rsidP="00A34A82">
      <w:pPr>
        <w:pStyle w:val="JuQuot"/>
      </w:pPr>
      <w:r>
        <w:t xml:space="preserve">Protokół seminarium Międzynarodowego Instytutu Technicznego z 25 listopada 2004 r., które odbyło się po wydaniu wyroku w niniejszej sprawie, nie stanowi dowodu, ponieważ nie spełnia wymogów art. 74 i 86 </w:t>
      </w:r>
      <w:r w:rsidR="00296580">
        <w:t>K</w:t>
      </w:r>
      <w:r>
        <w:t xml:space="preserve">odeksu postępowania karnego, w którym </w:t>
      </w:r>
      <w:r w:rsidR="00296580">
        <w:t xml:space="preserve">zdefiniowano </w:t>
      </w:r>
      <w:r>
        <w:t>pojęcie gromadzenia dowodów i [odpowiedni] tryb.</w:t>
      </w:r>
    </w:p>
    <w:p w14:paraId="56A2CE56" w14:textId="77777777" w:rsidR="005652E0" w:rsidRPr="00A34A82" w:rsidRDefault="005652E0" w:rsidP="00A34A82">
      <w:pPr>
        <w:pStyle w:val="JuQuot"/>
      </w:pPr>
      <w:r>
        <w:t>[…]”</w:t>
      </w:r>
    </w:p>
    <w:p w14:paraId="3ED2903C" w14:textId="4482802C" w:rsidR="005652E0" w:rsidRPr="00A34A82" w:rsidRDefault="0085731C" w:rsidP="00A34A82">
      <w:pPr>
        <w:pStyle w:val="JuPara"/>
      </w:pPr>
      <w:fldSimple w:instr=" SEQ level0 \*arabic ">
        <w:r w:rsidR="00A34A82" w:rsidRPr="00A34A82">
          <w:t>57</w:t>
        </w:r>
      </w:fldSimple>
      <w:r w:rsidR="005652E0">
        <w:t xml:space="preserve">.  Tego samego dnia Sąd Najwyższy </w:t>
      </w:r>
      <w:r w:rsidR="00296580">
        <w:t xml:space="preserve">utrzymał </w:t>
      </w:r>
      <w:r w:rsidR="005652E0">
        <w:t xml:space="preserve">w większości </w:t>
      </w:r>
      <w:r w:rsidR="00296580">
        <w:t xml:space="preserve">w mocy </w:t>
      </w:r>
      <w:r w:rsidR="005652E0">
        <w:t>wyrok z 24 listopada 2004 r., zmniejszając wymiar kary do trzynastu lat pozbawienia wolności.</w:t>
      </w:r>
    </w:p>
    <w:p w14:paraId="2EF42337" w14:textId="77777777" w:rsidR="005652E0" w:rsidRPr="00A34A82" w:rsidRDefault="005652E0" w:rsidP="00A34A82">
      <w:pPr>
        <w:pStyle w:val="JuHHead"/>
        <w:numPr>
          <w:ilvl w:val="0"/>
          <w:numId w:val="1"/>
        </w:numPr>
        <w:jc w:val="left"/>
      </w:pPr>
      <w:r>
        <w:lastRenderedPageBreak/>
        <w:t>WŁAŚCIWE PRAWO KRAJOWE I PRAKTYKA ORAZ PRZEPISY MIĘDZYNARODOWE</w:t>
      </w:r>
    </w:p>
    <w:p w14:paraId="66F7D184" w14:textId="77777777" w:rsidR="005652E0" w:rsidRPr="00A34A82" w:rsidRDefault="005652E0" w:rsidP="00A34A82">
      <w:pPr>
        <w:pStyle w:val="JuHIRoman"/>
      </w:pPr>
      <w:r>
        <w:t>Czyny zabronione występujące w sprawie</w:t>
      </w:r>
    </w:p>
    <w:p w14:paraId="4C2D9B4E" w14:textId="77777777" w:rsidR="005652E0" w:rsidRPr="00A34A82" w:rsidRDefault="005652E0" w:rsidP="00A34A82">
      <w:pPr>
        <w:pStyle w:val="JuHA"/>
        <w:numPr>
          <w:ilvl w:val="2"/>
          <w:numId w:val="1"/>
        </w:numPr>
        <w:jc w:val="left"/>
      </w:pPr>
      <w:r>
        <w:t>Kodeks karny Federacji Rosyjskiej</w:t>
      </w:r>
    </w:p>
    <w:bookmarkStart w:id="29" w:name="treason_A275CC"/>
    <w:p w14:paraId="0CABDDD3" w14:textId="7601C871"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58</w:t>
      </w:r>
      <w:r w:rsidRPr="00A34A82">
        <w:fldChar w:fldCharType="end"/>
      </w:r>
      <w:bookmarkEnd w:id="29"/>
      <w:r>
        <w:t>.  W art. 275 </w:t>
      </w:r>
      <w:r w:rsidR="00296580">
        <w:t>K</w:t>
      </w:r>
      <w:r>
        <w:t xml:space="preserve">odeksu karnego zdradę stanu definiuje się jako szpiegostwo, ujawnienie tajemnic państwowych lub innego rodzaju pomoc udzieloną </w:t>
      </w:r>
      <w:r w:rsidR="00296580">
        <w:t xml:space="preserve">państwu </w:t>
      </w:r>
      <w:r>
        <w:t>obcemu, zagranicznej organizacji lub jej przedstawicielom na potrzeby […] działań wywrotowych podważających bezpieczeństwo zewnętrzne Federacji Rosyjskiej, popełnione przez obywatela Federacji Rosyjskiej, a czyn ten zagrożony jest karą pozbawienia wolności na okres od dwunastu do dwudziestu lat, z możliwością ukarania grzywną.</w:t>
      </w:r>
    </w:p>
    <w:bookmarkStart w:id="30" w:name="fraud_A159CC"/>
    <w:p w14:paraId="38699D01" w14:textId="17CBDB5C"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59</w:t>
      </w:r>
      <w:r w:rsidRPr="00A34A82">
        <w:fldChar w:fldCharType="end"/>
      </w:r>
      <w:bookmarkEnd w:id="30"/>
      <w:r>
        <w:t xml:space="preserve">.  Zgodnie z art. 159 § 3 </w:t>
      </w:r>
      <w:r w:rsidR="00296580">
        <w:t>K</w:t>
      </w:r>
      <w:r>
        <w:t xml:space="preserve">odeksu karnego oszustwo popełnione w związku ze stanowiskiem </w:t>
      </w:r>
      <w:r w:rsidR="00296580">
        <w:t xml:space="preserve">publicznym </w:t>
      </w:r>
      <w:r>
        <w:t>podlega karze pozbawienia wolności na okres od dwóch do sześciu lat.</w:t>
      </w:r>
    </w:p>
    <w:p w14:paraId="46B8EF6D" w14:textId="77777777" w:rsidR="005652E0" w:rsidRPr="00A34A82" w:rsidRDefault="005652E0" w:rsidP="00A34A82">
      <w:pPr>
        <w:pStyle w:val="JuHA"/>
        <w:numPr>
          <w:ilvl w:val="2"/>
          <w:numId w:val="1"/>
        </w:numPr>
        <w:jc w:val="left"/>
      </w:pPr>
      <w:r>
        <w:t>Ustawa o tajemnicach państwowych</w:t>
      </w:r>
    </w:p>
    <w:p w14:paraId="3FC60E0D" w14:textId="781023CF" w:rsidR="005652E0" w:rsidRPr="00A34A82" w:rsidRDefault="0085731C" w:rsidP="00A34A82">
      <w:pPr>
        <w:pStyle w:val="JuPara"/>
      </w:pPr>
      <w:fldSimple w:instr=" SEQ level0 \*arabic ">
        <w:r w:rsidR="00A34A82" w:rsidRPr="00A34A82">
          <w:t>60</w:t>
        </w:r>
      </w:fldSimple>
      <w:r w:rsidR="005652E0">
        <w:t>.  Przepisy regulujące formalne klasyfikowanie informacji jako niejawnych są zawarte w ustawie nr 5485-1 z dnia 21 lipca 1993 r. o tajemnicach państwowych (</w:t>
      </w:r>
      <w:proofErr w:type="spellStart"/>
      <w:r w:rsidR="005652E0">
        <w:rPr>
          <w:i/>
        </w:rPr>
        <w:t>Закон</w:t>
      </w:r>
      <w:proofErr w:type="spellEnd"/>
      <w:r w:rsidR="005652E0">
        <w:rPr>
          <w:i/>
        </w:rPr>
        <w:t xml:space="preserve"> о </w:t>
      </w:r>
      <w:proofErr w:type="spellStart"/>
      <w:r w:rsidR="005652E0">
        <w:rPr>
          <w:i/>
        </w:rPr>
        <w:t>государственной</w:t>
      </w:r>
      <w:proofErr w:type="spellEnd"/>
      <w:r w:rsidR="005652E0">
        <w:rPr>
          <w:i/>
        </w:rPr>
        <w:t xml:space="preserve"> </w:t>
      </w:r>
      <w:proofErr w:type="spellStart"/>
      <w:r w:rsidR="005652E0">
        <w:rPr>
          <w:i/>
        </w:rPr>
        <w:t>тайне</w:t>
      </w:r>
      <w:proofErr w:type="spellEnd"/>
      <w:r w:rsidR="005652E0">
        <w:t xml:space="preserve">). W ustawie określono rodzaj informacji wojskowych chronionych jako tajemnica państwowa pod warunkiem wskazania jej w wykazie zatwierdzanym przez prezydenta i należycie </w:t>
      </w:r>
      <w:r w:rsidR="00296580">
        <w:t>o</w:t>
      </w:r>
      <w:r w:rsidR="005652E0">
        <w:t>publikowanym (art. 5 i 9).</w:t>
      </w:r>
    </w:p>
    <w:bookmarkStart w:id="31" w:name="OSA_A6par4_expert_determine_State_secret"/>
    <w:p w14:paraId="2C15E051" w14:textId="18007F3D"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61</w:t>
      </w:r>
      <w:r w:rsidRPr="00A34A82">
        <w:fldChar w:fldCharType="end"/>
      </w:r>
      <w:bookmarkEnd w:id="31"/>
      <w:r>
        <w:t xml:space="preserve">.  O zaklasyfikowaniu informacji jako tajemnicy państwowej i nadaniu jej statusu informacji niejawnej decyduje </w:t>
      </w:r>
      <w:r w:rsidR="00296580">
        <w:t xml:space="preserve">opinia biegłych </w:t>
      </w:r>
      <w:r w:rsidR="005B04DE">
        <w:t xml:space="preserve">zarówno co do </w:t>
      </w:r>
      <w:r>
        <w:t xml:space="preserve">zasadności </w:t>
      </w:r>
      <w:r w:rsidR="005B04DE">
        <w:t xml:space="preserve">utajnienia </w:t>
      </w:r>
      <w:r>
        <w:t>określonej informacji</w:t>
      </w:r>
      <w:r w:rsidR="005B04DE">
        <w:t>, jak</w:t>
      </w:r>
      <w:r>
        <w:t xml:space="preserve"> i </w:t>
      </w:r>
      <w:r w:rsidR="005B04DE">
        <w:t>potencjalnych skutków ekonomicznych i innych</w:t>
      </w:r>
      <w:r>
        <w:t xml:space="preserve"> konsekwencji takie</w:t>
      </w:r>
      <w:r w:rsidR="005B04DE">
        <w:t>j decyzji,</w:t>
      </w:r>
      <w:r>
        <w:t xml:space="preserve"> z uwzględnieniem równowagi </w:t>
      </w:r>
      <w:r w:rsidR="005B04DE">
        <w:t xml:space="preserve">pomiędzy żywotnymi </w:t>
      </w:r>
      <w:r>
        <w:t>interes</w:t>
      </w:r>
      <w:r w:rsidR="005B04DE">
        <w:t>ami</w:t>
      </w:r>
      <w:r>
        <w:t xml:space="preserve"> państwa, społeczeństwa i obywateli (art. 6 ust. 4 ustawy o tajemnicach państwowych).</w:t>
      </w:r>
    </w:p>
    <w:p w14:paraId="5E4B43DD" w14:textId="661E1708" w:rsidR="005652E0" w:rsidRPr="00A34A82" w:rsidRDefault="0085731C" w:rsidP="00A34A82">
      <w:pPr>
        <w:pStyle w:val="JuPara"/>
      </w:pPr>
      <w:fldSimple w:instr=" SEQ level0 \*arabic ">
        <w:r w:rsidR="00A34A82" w:rsidRPr="00A34A82">
          <w:t>62</w:t>
        </w:r>
      </w:fldSimple>
      <w:r w:rsidR="005652E0">
        <w:t>.  Artykuł 5 dekretu prezydenckiego nr 1203 z 30 listopada 1995 r. zawiera szczegółowy wykaz informacji, które muszą być uznawane za tajemnicę państwową.</w:t>
      </w:r>
    </w:p>
    <w:p w14:paraId="08775738" w14:textId="77777777" w:rsidR="005652E0" w:rsidRPr="00A34A82" w:rsidRDefault="005652E0" w:rsidP="00A34A82">
      <w:pPr>
        <w:pStyle w:val="JuHIRoman"/>
      </w:pPr>
      <w:r>
        <w:t>Postępowanie z udziałem ławy przysięgłych</w:t>
      </w:r>
    </w:p>
    <w:p w14:paraId="6559C254" w14:textId="0BE4C117" w:rsidR="005652E0" w:rsidRPr="00A34A82" w:rsidRDefault="0085731C" w:rsidP="00A34A82">
      <w:pPr>
        <w:pStyle w:val="JuPara"/>
      </w:pPr>
      <w:fldSimple w:instr=" SEQ level0 \*arabic ">
        <w:r w:rsidR="00A34A82" w:rsidRPr="00A34A82">
          <w:t>63</w:t>
        </w:r>
      </w:fldSimple>
      <w:r w:rsidR="005652E0">
        <w:t xml:space="preserve">.  Istotne przepisy prawa rosyjskiego podsumowano w wyroku </w:t>
      </w:r>
      <w:proofErr w:type="spellStart"/>
      <w:r w:rsidR="005652E0">
        <w:rPr>
          <w:i/>
        </w:rPr>
        <w:t>Danilov</w:t>
      </w:r>
      <w:proofErr w:type="spellEnd"/>
      <w:r w:rsidR="005652E0">
        <w:rPr>
          <w:i/>
        </w:rPr>
        <w:t xml:space="preserve"> przeciwko Rosji</w:t>
      </w:r>
      <w:r w:rsidR="005652E0">
        <w:t xml:space="preserve"> (</w:t>
      </w:r>
      <w:proofErr w:type="spellStart"/>
      <w:r w:rsidR="005652E0">
        <w:t>dec</w:t>
      </w:r>
      <w:proofErr w:type="spellEnd"/>
      <w:r w:rsidR="005652E0">
        <w:t>.), nr 88/05, §§ 81–90, 14 kwietnia 2015 r.</w:t>
      </w:r>
    </w:p>
    <w:bookmarkStart w:id="32" w:name="people_excl_jury_service_Start"/>
    <w:p w14:paraId="3F80F931" w14:textId="11590A3D"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64</w:t>
      </w:r>
      <w:r w:rsidRPr="00A34A82">
        <w:fldChar w:fldCharType="end"/>
      </w:r>
      <w:bookmarkEnd w:id="32"/>
      <w:r>
        <w:t>.  Zgodnie z przepisami obowiązującymi w czasie istotnym dla sprawy (ustaw</w:t>
      </w:r>
      <w:r w:rsidR="005B04DE">
        <w:t>a</w:t>
      </w:r>
      <w:r>
        <w:t xml:space="preserve"> federaln</w:t>
      </w:r>
      <w:r w:rsidR="005B04DE">
        <w:t>a</w:t>
      </w:r>
      <w:r>
        <w:t xml:space="preserve"> z 8 lipca1981 r. o sądownictwie RFSRR (Rosyjskiej Federacyjnej Socjalistycznej Republiki Radzieckiej) ze zmianami z 12 lipca </w:t>
      </w:r>
      <w:r>
        <w:lastRenderedPageBreak/>
        <w:t>2003 r. (art. 80)</w:t>
      </w:r>
      <w:r w:rsidR="005B04DE">
        <w:t xml:space="preserve"> i</w:t>
      </w:r>
      <w:r>
        <w:t xml:space="preserve"> ustaw</w:t>
      </w:r>
      <w:r w:rsidR="005B04DE">
        <w:t>a</w:t>
      </w:r>
      <w:r>
        <w:t xml:space="preserve"> federaln</w:t>
      </w:r>
      <w:r w:rsidR="005B04DE">
        <w:t>a</w:t>
      </w:r>
      <w:r>
        <w:t xml:space="preserve"> nr 113-ФЗ z 20 sierpnia 2004 r. o sędziach niezawodowych w federalnych sądach powszechnych Federacji Rosyjskiej (art. 3) w wykazie potencjalnych członków ławy przysięgłych nie mogą figurować następujące osoby: osoby nieujęte w ostatnim spisie wyborców</w:t>
      </w:r>
      <w:r w:rsidR="005B04DE">
        <w:t>,</w:t>
      </w:r>
      <w:r>
        <w:t xml:space="preserve"> osoby poniżej 25 roku życia</w:t>
      </w:r>
      <w:r w:rsidR="005B04DE">
        <w:t>,</w:t>
      </w:r>
      <w:r>
        <w:t xml:space="preserve"> osoby w przeszłości karane</w:t>
      </w:r>
      <w:r w:rsidR="005B04DE">
        <w:t>,</w:t>
      </w:r>
      <w:r>
        <w:t xml:space="preserve"> osoby całkowicie lub częściowo niezdolne do czynności prawnych</w:t>
      </w:r>
      <w:r w:rsidR="005B04DE">
        <w:t>,</w:t>
      </w:r>
      <w:r>
        <w:t xml:space="preserve"> osoby z udokumentowaną historią uzależnienia lub zaburzeń umysłowych</w:t>
      </w:r>
      <w:r w:rsidR="005B04DE">
        <w:t>,</w:t>
      </w:r>
      <w:r>
        <w:t xml:space="preserve"> osoby podejrzane lub oskarżone o popełnienie przestępstwa</w:t>
      </w:r>
      <w:r w:rsidR="005B04DE">
        <w:t>,</w:t>
      </w:r>
      <w:r>
        <w:t xml:space="preserve"> osoby nierozumiejące języka postępowania</w:t>
      </w:r>
      <w:r w:rsidR="005B04DE">
        <w:t>, oraz</w:t>
      </w:r>
      <w:r>
        <w:t xml:space="preserve"> osoby z niepełnosprawnością fizyczną lub umysłową uniemożliwiającą im pełne uczestnictwo w postępowaniu.</w:t>
      </w:r>
    </w:p>
    <w:bookmarkStart w:id="33" w:name="people_excl_jury_service_End"/>
    <w:p w14:paraId="51E49D20" w14:textId="4752B360"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65</w:t>
      </w:r>
      <w:r w:rsidRPr="00A34A82">
        <w:fldChar w:fldCharType="end"/>
      </w:r>
      <w:bookmarkEnd w:id="33"/>
      <w:r>
        <w:t xml:space="preserve">.  Z obowiązku zasiadania w ławie przysięgłych mogą na własny wniosek być zwolnione również następujące osoby (ustawa federalna z 8 lipca 1981 r. o sądownictwie RFSRR ze zmianami z 12 lipca 2003 r. (art. 80), ustawa federalna nr 113-ФЗ z 20 sierpnia 2004 r. o sędziach niezawodowych w federalnych sądach powszechnych Federacji Rosyjskiej (art. 7) i art. 326 </w:t>
      </w:r>
      <w:r w:rsidR="005B04DE">
        <w:t>K</w:t>
      </w:r>
      <w:r>
        <w:t>odeksu postępowania karnego (k</w:t>
      </w:r>
      <w:r w:rsidR="005B04DE">
        <w:t>.</w:t>
      </w:r>
      <w:r>
        <w:t>p</w:t>
      </w:r>
      <w:r w:rsidR="005B04DE">
        <w:t>.</w:t>
      </w:r>
      <w:r>
        <w:t>k</w:t>
      </w:r>
      <w:r w:rsidR="005B04DE">
        <w:t>.</w:t>
      </w:r>
      <w:r>
        <w:t>)): osoby nieznające języka lokalnego</w:t>
      </w:r>
      <w:r w:rsidR="00F620E8">
        <w:t>,</w:t>
      </w:r>
      <w:r>
        <w:t xml:space="preserve"> osoby o określonym stopniu niepełnosprawności fizycznej lub psychicznej</w:t>
      </w:r>
      <w:r w:rsidR="00F620E8">
        <w:t>,</w:t>
      </w:r>
      <w:r>
        <w:t xml:space="preserve"> osoby powyżej 60 roku życia</w:t>
      </w:r>
      <w:r w:rsidR="00F620E8">
        <w:t>,</w:t>
      </w:r>
      <w:r>
        <w:t xml:space="preserve"> kierownicy i zastępcy kierowników organów ustawodawczych i wykonawczych</w:t>
      </w:r>
      <w:r w:rsidR="00F620E8">
        <w:t>,</w:t>
      </w:r>
      <w:r>
        <w:t xml:space="preserve"> wojskowi</w:t>
      </w:r>
      <w:r w:rsidR="00F620E8">
        <w:t>,</w:t>
      </w:r>
      <w:r>
        <w:t xml:space="preserve"> sędziowie</w:t>
      </w:r>
      <w:r w:rsidR="00F620E8">
        <w:t>,</w:t>
      </w:r>
      <w:r>
        <w:t xml:space="preserve"> prokuratorzy</w:t>
      </w:r>
      <w:r w:rsidR="00F620E8">
        <w:t>,</w:t>
      </w:r>
      <w:r>
        <w:t xml:space="preserve"> śledczy</w:t>
      </w:r>
      <w:r w:rsidR="00F620E8">
        <w:t>,</w:t>
      </w:r>
      <w:r>
        <w:t xml:space="preserve"> adwokaci</w:t>
      </w:r>
      <w:r w:rsidR="00F620E8">
        <w:t>,</w:t>
      </w:r>
      <w:r>
        <w:t xml:space="preserve"> notariusze</w:t>
      </w:r>
      <w:r w:rsidR="00F620E8">
        <w:t>,</w:t>
      </w:r>
      <w:r>
        <w:t xml:space="preserve"> funkcjonariusze policji</w:t>
      </w:r>
      <w:r w:rsidR="00F620E8">
        <w:t>,</w:t>
      </w:r>
      <w:r>
        <w:t xml:space="preserve"> funkcjonariusze straży pożarnej</w:t>
      </w:r>
      <w:r w:rsidR="00F620E8">
        <w:t>,</w:t>
      </w:r>
      <w:r>
        <w:t xml:space="preserve"> funkcjonariusze służby bezpieczeństwa</w:t>
      </w:r>
      <w:r w:rsidR="00F620E8">
        <w:t>,</w:t>
      </w:r>
      <w:r>
        <w:t xml:space="preserve"> kapłani i inne osoby przekonane, że nie mogą zasiadać w ławie przysięgłych ze względu na swoje przekonania religijne</w:t>
      </w:r>
      <w:r w:rsidR="00F620E8">
        <w:t>,</w:t>
      </w:r>
      <w:r>
        <w:t xml:space="preserve"> kobiety z dziećmi poniżej trzeciego roku życia</w:t>
      </w:r>
      <w:r w:rsidR="00F620E8">
        <w:t>,</w:t>
      </w:r>
      <w:r>
        <w:t xml:space="preserve"> osoby, których absencja w pracy mogłaby wpłynąć negatywnie na interes publiczny lub interes państwa, takie jak lekarze, nauczyciele, piloci i inni oraz </w:t>
      </w:r>
      <w:r w:rsidR="00F620E8">
        <w:t xml:space="preserve">inne </w:t>
      </w:r>
      <w:r>
        <w:t>osoby powołujące się na ważny powód.</w:t>
      </w:r>
    </w:p>
    <w:p w14:paraId="4A6CA3AD" w14:textId="20339293" w:rsidR="005652E0" w:rsidRPr="00A34A82" w:rsidRDefault="0085731C" w:rsidP="00A34A82">
      <w:pPr>
        <w:pStyle w:val="JuPara"/>
      </w:pPr>
      <w:fldSimple w:instr=" SEQ level0 \*arabic ">
        <w:r w:rsidR="00A34A82" w:rsidRPr="00A34A82">
          <w:t>66</w:t>
        </w:r>
      </w:fldSimple>
      <w:r w:rsidR="005652E0">
        <w:t xml:space="preserve">.  W czasie istotnym dla sprawy strony mogły składać nieograniczoną liczbę wniosków dotyczących wyłączenia przysięgłych z uzasadnionego powodu oraz dwa wnioski bezwzględne (bez konieczności uzasadnienia) wobec potencjalnych członków ławy przysięgłych. Wnioski </w:t>
      </w:r>
      <w:r w:rsidR="00F620E8">
        <w:t xml:space="preserve">rozpoznawał </w:t>
      </w:r>
      <w:r w:rsidR="005652E0">
        <w:t>sędzia przewodniczący składowi orzekającemu. Po usunięciu nazwisk potencjalnych przysięgłych, których dotyczyły uwzględnione wnioski o wyłączenie, sekretarz lub asystent sędziego sporządza</w:t>
      </w:r>
      <w:r w:rsidR="00F620E8">
        <w:t>ł</w:t>
      </w:r>
      <w:r w:rsidR="005652E0">
        <w:t xml:space="preserve"> wykaz pozostałych potencjalnych przysięgłych, których nazwiska widni</w:t>
      </w:r>
      <w:r w:rsidR="00F620E8">
        <w:t>ały</w:t>
      </w:r>
      <w:r w:rsidR="005652E0">
        <w:t xml:space="preserve"> w wykazie w takiej samej kolejności jak w </w:t>
      </w:r>
      <w:r w:rsidR="00F620E8">
        <w:t xml:space="preserve">wykazie </w:t>
      </w:r>
      <w:r w:rsidR="005652E0">
        <w:t>pierwotnym. Dwunastu potencjalnych członków ławy przysięgłych, których nazwiska pojawi</w:t>
      </w:r>
      <w:r w:rsidR="00F620E8">
        <w:t>ły</w:t>
      </w:r>
      <w:r w:rsidR="005652E0">
        <w:t xml:space="preserve"> się jako pierwsze w wykazie, wchodzi</w:t>
      </w:r>
      <w:r w:rsidR="00F620E8">
        <w:t>ło</w:t>
      </w:r>
      <w:r w:rsidR="005652E0">
        <w:t xml:space="preserve"> w skład ławy, a dwie kolejne osoby z wykazu </w:t>
      </w:r>
      <w:r w:rsidR="00F620E8">
        <w:t xml:space="preserve">były </w:t>
      </w:r>
      <w:r w:rsidR="005652E0">
        <w:t>wyznacz</w:t>
      </w:r>
      <w:r w:rsidR="00F620E8">
        <w:t>a</w:t>
      </w:r>
      <w:r w:rsidR="005652E0">
        <w:t xml:space="preserve">ne na zastępstwo. Zanim </w:t>
      </w:r>
      <w:r w:rsidR="00F620E8">
        <w:t>ława została zaprzysiężona</w:t>
      </w:r>
      <w:r w:rsidR="005652E0">
        <w:t>, strony mog</w:t>
      </w:r>
      <w:r w:rsidR="00F620E8">
        <w:t>ły</w:t>
      </w:r>
      <w:r w:rsidR="005652E0">
        <w:t xml:space="preserve"> zakwestionować cały skład, jeżeli </w:t>
      </w:r>
      <w:r w:rsidR="00F620E8">
        <w:t>uargumentowały</w:t>
      </w:r>
      <w:r w:rsidR="005652E0">
        <w:t xml:space="preserve">, że w świetle specyfiki danej sprawy karnej, nie będzie on w stanie wydać obiektywnego werdyktu. Przewodniczący </w:t>
      </w:r>
      <w:r w:rsidR="00F620E8">
        <w:t xml:space="preserve">musiał rozpoznać </w:t>
      </w:r>
      <w:r w:rsidR="005652E0">
        <w:t>taki wniosek w odniesieniu do wybranego składu ławy przysięgłych (art. 326–330 k</w:t>
      </w:r>
      <w:r w:rsidR="00F620E8">
        <w:t>.</w:t>
      </w:r>
      <w:r w:rsidR="005652E0">
        <w:t>p</w:t>
      </w:r>
      <w:r w:rsidR="00F620E8">
        <w:t>.</w:t>
      </w:r>
      <w:r w:rsidR="005652E0">
        <w:t>k</w:t>
      </w:r>
      <w:r w:rsidR="00F620E8">
        <w:t>.</w:t>
      </w:r>
      <w:r w:rsidR="005652E0">
        <w:t>).</w:t>
      </w:r>
    </w:p>
    <w:p w14:paraId="44CFEF86" w14:textId="77777777" w:rsidR="005652E0" w:rsidRPr="00A34A82" w:rsidRDefault="005652E0" w:rsidP="00A34A82">
      <w:pPr>
        <w:pStyle w:val="JuHIRoman"/>
      </w:pPr>
      <w:r>
        <w:lastRenderedPageBreak/>
        <w:t>Poświadczenie bezpieczeństwa</w:t>
      </w:r>
    </w:p>
    <w:p w14:paraId="7824D30C" w14:textId="77777777" w:rsidR="005652E0" w:rsidRPr="00A34A82" w:rsidRDefault="0085731C" w:rsidP="00A34A82">
      <w:pPr>
        <w:pStyle w:val="JuPara"/>
      </w:pPr>
      <w:fldSimple w:instr=" SEQ level0 \*arabic ">
        <w:r w:rsidR="00A34A82" w:rsidRPr="00A34A82">
          <w:t>67</w:t>
        </w:r>
      </w:fldSimple>
      <w:r w:rsidR="005652E0">
        <w:t>.  Zgodnie z ustawą o tajemnicach państwowych (art. 21) poświadczenie bezpieczeństwa jest wydawane na dobrowolny wniosek. Może zostać wydane funkcjonariuszom państwowym i innym obywatelom.</w:t>
      </w:r>
    </w:p>
    <w:bookmarkStart w:id="34" w:name="nonexaust_list_people_securityclearance"/>
    <w:p w14:paraId="37C17EBA" w14:textId="31B2B23E"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68</w:t>
      </w:r>
      <w:r w:rsidRPr="00A34A82">
        <w:fldChar w:fldCharType="end"/>
      </w:r>
      <w:bookmarkEnd w:id="34"/>
      <w:r>
        <w:t>.  Rosyjskie przepisy obowiązujące w czasie istotnym dla sprawy nie zawiera</w:t>
      </w:r>
      <w:r w:rsidR="00445B10">
        <w:t>ły</w:t>
      </w:r>
      <w:r>
        <w:t xml:space="preserve"> wyczerpującego wykazu osób, które mog</w:t>
      </w:r>
      <w:r w:rsidR="00445B10">
        <w:t>ły</w:t>
      </w:r>
      <w:r>
        <w:t xml:space="preserve"> uzyskać poświadczenie bezpieczeństwa. Ustawa o tajemnicach państwowych oraz </w:t>
      </w:r>
      <w:r w:rsidR="00445B10">
        <w:t>R</w:t>
      </w:r>
      <w:r>
        <w:t xml:space="preserve">egulamin poświadczenia bezpieczeństwa zatwierdzony przez rząd rosyjski 28 października 1995 r. wskazuje, że może być ono udzielane między innymi: </w:t>
      </w:r>
      <w:r w:rsidR="00445B10">
        <w:t xml:space="preserve">oficerom </w:t>
      </w:r>
      <w:r>
        <w:t xml:space="preserve">wojskowym, członkom </w:t>
      </w:r>
      <w:r w:rsidR="00445B10">
        <w:t>personelu</w:t>
      </w:r>
      <w:r>
        <w:t>, ambasadorom, sędziom, prawnikom, posłom Dumy, urzędnikom wysokiego szczebla, pracownikom przedsiębiorstw prywatnych i państwowych pracujących z informacjami niejawnymi, studentom i innym obywatelom.</w:t>
      </w:r>
    </w:p>
    <w:bookmarkStart w:id="35" w:name="security_clearance_FSB_procedure"/>
    <w:p w14:paraId="152779B8" w14:textId="7DA142B1"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69</w:t>
      </w:r>
      <w:r w:rsidRPr="00A34A82">
        <w:fldChar w:fldCharType="end"/>
      </w:r>
      <w:bookmarkEnd w:id="35"/>
      <w:r>
        <w:t>.  Poświadczenie bezpieczeństwa przyznaje się po przeprowadzeniu przez właściwe organy weryfikacji danej osoby (art. 21 i 22 ustawy o tajemnicach państwowych). Zgodnie z ustawą federalną o </w:t>
      </w:r>
      <w:r w:rsidR="00C50D41">
        <w:t>F</w:t>
      </w:r>
      <w:r>
        <w:t xml:space="preserve">ederalnej </w:t>
      </w:r>
      <w:r w:rsidR="00C50D41">
        <w:t>S</w:t>
      </w:r>
      <w:r>
        <w:t xml:space="preserve">łużbie </w:t>
      </w:r>
      <w:r w:rsidR="00C50D41">
        <w:t>B</w:t>
      </w:r>
      <w:r>
        <w:t>ezpieczeństwa (art. 12 lit. k) jej agencje mają obowiązek zapewnić poufność tajemnic państwowych w organach państwowych, formacjach wojskowych, przedsiębiorstwach, zakładach i organizacjach (niezależnie od tego, czy są one publiczne czy prywatne) oraz wdrażać środki związane z dostępem obywateli do tajemnic państwowych zgodnie z ustanowioną procedurą.</w:t>
      </w:r>
    </w:p>
    <w:bookmarkStart w:id="36" w:name="ConstCourt_dec_security_clearance"/>
    <w:p w14:paraId="26753AA6" w14:textId="2E886AA0"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70</w:t>
      </w:r>
      <w:r w:rsidRPr="00A34A82">
        <w:fldChar w:fldCharType="end"/>
      </w:r>
      <w:bookmarkEnd w:id="36"/>
      <w:r>
        <w:t>.  W orzeczeniu 8-П z 27 marca 1996 r. (par. 5) Trybunał Konstytucyjny Federacji Rosyjskiej orzekł, co następuje:</w:t>
      </w:r>
    </w:p>
    <w:p w14:paraId="7A57AB9F" w14:textId="426F4C60" w:rsidR="005652E0" w:rsidRPr="00A34A82" w:rsidRDefault="005652E0" w:rsidP="00A34A82">
      <w:pPr>
        <w:pStyle w:val="JuQuot"/>
      </w:pPr>
      <w:r>
        <w:t xml:space="preserve">„Prawo karne procesowe przyznaje agencjom FSB prawo do prowadzenia śledztw w większości spraw karnych dotyczących </w:t>
      </w:r>
      <w:r w:rsidR="00C50D41">
        <w:t xml:space="preserve">materiałów </w:t>
      </w:r>
      <w:r>
        <w:t>stanowiących tajemnicę państwową. Zgodnie z art. 21 i 22 ustawy o tajemnicach państwowych te same agencje przeprowadzają procedurę weryfikacji w odniesieniu do osób ubiegających się o poświadczenie bezpieczeństwa, a zatem decydują o uwzględnieniu wniosku o wydanie poświadczenia bezpieczeństwa. W takich okolicznościach adwokat obiektywnie staje się uzależniony od agencji występujących w charakterze organów ścigania, co sprawia, że obrona i oskarżenie znajdują się na nierównej pozycji”.</w:t>
      </w:r>
    </w:p>
    <w:p w14:paraId="105FF13E" w14:textId="77777777" w:rsidR="005652E0" w:rsidRPr="00A34A82" w:rsidRDefault="005652E0" w:rsidP="00A34A82">
      <w:pPr>
        <w:pStyle w:val="JuHIRoman"/>
      </w:pPr>
      <w:r>
        <w:t>Opinie biegłych uzyskane w toku postępowania przygotowawczego</w:t>
      </w:r>
    </w:p>
    <w:bookmarkStart w:id="37" w:name="CCrP_on_expert_exams_requests"/>
    <w:p w14:paraId="4BB6A260" w14:textId="04CA74CE"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71</w:t>
      </w:r>
      <w:r w:rsidRPr="00A34A82">
        <w:fldChar w:fldCharType="end"/>
      </w:r>
      <w:bookmarkEnd w:id="37"/>
      <w:r>
        <w:t>.  W rozdziale 27 </w:t>
      </w:r>
      <w:r w:rsidR="00C50D41">
        <w:t>K</w:t>
      </w:r>
      <w:r>
        <w:t xml:space="preserve">odeksu postępowania karnego uregulowano tryb pozyskiwania opinii biegłych na etapie postępowania przygotowawczego (a więc przed procesem). Artykuł 195 § 2 stanowi, że „sądowe badanie biegłego” (do wykorzystania w sądzie) musi zostać przeprowadzone przez „biegłego państwowego lub innych ekspertów dysponujących specjalistyczną wiedzą”. Artykuł 193 § 3 Konwencji stanowi, że śledczy musi zawiadomić oskarżonego o decyzji o zleceniu sporządzenia opinii przez biegłych. Zgodnie z art. 198 oskarżony ma prawo zakwestionować wybór </w:t>
      </w:r>
      <w:r>
        <w:lastRenderedPageBreak/>
        <w:t>biegłego, wnieść o powierzenie przeprowadzenia badania innej instytucji, zwrócić się do śledczego o skierowanie do biegłego dodatkowych pytań oraz – za zgodą śledczego – uczestniczyć w badaniu prowadzonym przez biegłego i przekazywać swoje uwagi.</w:t>
      </w:r>
    </w:p>
    <w:bookmarkStart w:id="38" w:name="CCrP_on_questioning_experts_b4_court"/>
    <w:p w14:paraId="38802853" w14:textId="3AC42F1F"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72</w:t>
      </w:r>
      <w:r w:rsidRPr="00A34A82">
        <w:fldChar w:fldCharType="end"/>
      </w:r>
      <w:bookmarkEnd w:id="38"/>
      <w:r>
        <w:t xml:space="preserve">.  Zgodnie z art. 282 </w:t>
      </w:r>
      <w:r w:rsidR="005321FA">
        <w:t>K</w:t>
      </w:r>
      <w:r>
        <w:t>odeksu postępowania karnego sąd</w:t>
      </w:r>
      <w:r w:rsidR="005321FA">
        <w:t>,</w:t>
      </w:r>
      <w:r>
        <w:t xml:space="preserve"> z urzędu lub na wniosek stron</w:t>
      </w:r>
      <w:r w:rsidR="005321FA">
        <w:t>,</w:t>
      </w:r>
      <w:r>
        <w:t xml:space="preserve"> może przesłuchać biegłych, którzy sporządzili opinie na etapie </w:t>
      </w:r>
      <w:proofErr w:type="spellStart"/>
      <w:r>
        <w:t>przedprocesowym</w:t>
      </w:r>
      <w:proofErr w:type="spellEnd"/>
      <w:r>
        <w:t xml:space="preserve">, </w:t>
      </w:r>
      <w:r w:rsidR="005321FA">
        <w:t>w celu</w:t>
      </w:r>
      <w:r>
        <w:t xml:space="preserve"> doprecyzowania lub uzupełnienia opinii.</w:t>
      </w:r>
    </w:p>
    <w:p w14:paraId="2797BDC3" w14:textId="77777777" w:rsidR="005652E0" w:rsidRPr="00A34A82" w:rsidRDefault="005652E0" w:rsidP="00A34A82">
      <w:pPr>
        <w:pStyle w:val="JuHHead"/>
        <w:numPr>
          <w:ilvl w:val="0"/>
          <w:numId w:val="1"/>
        </w:numPr>
        <w:jc w:val="left"/>
      </w:pPr>
      <w:r>
        <w:t>PRAWO</w:t>
      </w:r>
    </w:p>
    <w:p w14:paraId="0357B1DE" w14:textId="77777777" w:rsidR="005652E0" w:rsidRPr="00A34A82" w:rsidRDefault="005652E0" w:rsidP="00A34A82">
      <w:pPr>
        <w:pStyle w:val="JuHIRoman"/>
      </w:pPr>
      <w:r>
        <w:t>ZGODNOŚĆ Z ART. 38 KONWENCJI</w:t>
      </w:r>
    </w:p>
    <w:p w14:paraId="564F44D3" w14:textId="757CB96D" w:rsidR="005652E0" w:rsidRPr="00A34A82" w:rsidRDefault="0085731C" w:rsidP="00A34A82">
      <w:pPr>
        <w:pStyle w:val="JuPara"/>
      </w:pPr>
      <w:fldSimple w:instr=" SEQ level0 \*arabic ">
        <w:r w:rsidR="00A34A82" w:rsidRPr="00A34A82">
          <w:t>73</w:t>
        </w:r>
      </w:fldSimple>
      <w:r w:rsidR="005652E0">
        <w:t>.  Kwestią wstępną, która wymaga przeanalizowania przez Trybunał, zanim rozpatrzy on zarzuty skarżącego co do ich istoty, jest ustalenie, czy rząd wywiązał się z </w:t>
      </w:r>
      <w:r w:rsidR="009B3583">
        <w:t xml:space="preserve">proceduralnego </w:t>
      </w:r>
      <w:r w:rsidR="005652E0">
        <w:t xml:space="preserve">obowiązku </w:t>
      </w:r>
      <w:r w:rsidR="009B3583">
        <w:t>z</w:t>
      </w:r>
      <w:r w:rsidR="005652E0">
        <w:t xml:space="preserve"> art. 38 Konwencji przedłożeni</w:t>
      </w:r>
      <w:r w:rsidR="009B3583">
        <w:t>a</w:t>
      </w:r>
      <w:r w:rsidR="005652E0">
        <w:t xml:space="preserve"> Trybunałowi żądanego materiału dowodowego. Artykuł 38 stanowi:</w:t>
      </w:r>
    </w:p>
    <w:p w14:paraId="3A102ED1" w14:textId="77777777" w:rsidR="005652E0" w:rsidRPr="00A34A82" w:rsidRDefault="005652E0" w:rsidP="00A34A82">
      <w:pPr>
        <w:pStyle w:val="JuQuot"/>
      </w:pPr>
      <w:r>
        <w:t>„Trybunał rozpatruje sprawę z udziałem przedstawicieli stron i, jeśli zachodzi potrzeba, podejmuje dochodzenie, a zainteresowane Wysokie Układające się Strony udzielą dla jego skutecznego przeprowadzenia wszelkich niezbędnych ułatwień”.</w:t>
      </w:r>
    </w:p>
    <w:p w14:paraId="19E0CB70" w14:textId="50D21D19" w:rsidR="005652E0" w:rsidRPr="00A34A82" w:rsidRDefault="0085731C" w:rsidP="00A34A82">
      <w:pPr>
        <w:pStyle w:val="JuPara"/>
      </w:pPr>
      <w:fldSimple w:instr=" SEQ level0 \*arabic ">
        <w:r w:rsidR="00A34A82" w:rsidRPr="00A34A82">
          <w:t>74</w:t>
        </w:r>
      </w:fldSimple>
      <w:r w:rsidR="005652E0">
        <w:t xml:space="preserve">.  Dnia 2 lutego 2007 r. Trybunał zakomunikował </w:t>
      </w:r>
      <w:r w:rsidR="009B3583">
        <w:t xml:space="preserve">niniejszą </w:t>
      </w:r>
      <w:r w:rsidR="005652E0">
        <w:t>skargę i skierował do stron szereg pytań. Zwrócił się również do rządu o odpisy wszystkich istotnych dokumentów sprawy. W odpowiedzi Rząd odmówił przekazania dokumentów z akt sprawy karnej, ponieważ stanowiły one tajemnicę państwowa.</w:t>
      </w:r>
    </w:p>
    <w:p w14:paraId="5FE9546A" w14:textId="6B69D5B5" w:rsidR="005652E0" w:rsidRPr="00A34A82" w:rsidRDefault="0085731C" w:rsidP="00A34A82">
      <w:pPr>
        <w:pStyle w:val="JuPara"/>
      </w:pPr>
      <w:fldSimple w:instr=" SEQ level0 \*arabic ">
        <w:r w:rsidR="00A34A82" w:rsidRPr="00A34A82">
          <w:t>75</w:t>
        </w:r>
      </w:fldSimple>
      <w:r w:rsidR="005652E0">
        <w:t xml:space="preserve">.  Dnia 14 kwietnia 2015 r. Trybunał uznał </w:t>
      </w:r>
      <w:r w:rsidR="009B3583">
        <w:t xml:space="preserve">niniejszą </w:t>
      </w:r>
      <w:r w:rsidR="005652E0">
        <w:t xml:space="preserve">skargę za częściowo dopuszczalną. Dnia 7 maja 2015 r. Trybunał zwrócił się do stron o przekazanie dodatkowych informacji i argumentów prawnych dotyczących zestawu pytań. Trybunał zwrócił się do Rządu o przedłożenie następujących dokumentów: </w:t>
      </w:r>
      <w:r w:rsidR="009B3583">
        <w:t xml:space="preserve">kopii </w:t>
      </w:r>
      <w:r w:rsidR="005652E0">
        <w:t>wyroku z 24 listopada 2004 r.</w:t>
      </w:r>
      <w:r w:rsidR="001A2E11">
        <w:t xml:space="preserve"> </w:t>
      </w:r>
      <w:r w:rsidR="005652E0">
        <w:t>wydanego przez Sąd Okręgowy w Krasnojarsku jako sąd</w:t>
      </w:r>
      <w:r w:rsidR="009B3583">
        <w:t>u</w:t>
      </w:r>
      <w:r w:rsidR="005652E0">
        <w:t xml:space="preserve"> pierwszej instancji w sprawie karnej skarżącego</w:t>
      </w:r>
      <w:r w:rsidR="009B3583">
        <w:t>,</w:t>
      </w:r>
      <w:r w:rsidR="005652E0">
        <w:t xml:space="preserve"> protokołów rozprawy</w:t>
      </w:r>
      <w:r w:rsidR="009B3583">
        <w:t xml:space="preserve">, </w:t>
      </w:r>
      <w:r w:rsidR="005652E0">
        <w:t xml:space="preserve">istotnych opinii biegłych określających poziom poufności informacji ujawnionych przez skarżącego oraz szczegółowego wykazu z 1998 r. Trybunał </w:t>
      </w:r>
      <w:r w:rsidR="009B3583">
        <w:t>wskazał</w:t>
      </w:r>
      <w:r w:rsidR="005652E0">
        <w:t xml:space="preserve">, że dokumenty mogą </w:t>
      </w:r>
      <w:r w:rsidR="009B3583">
        <w:t>być ocenzurowane</w:t>
      </w:r>
      <w:r w:rsidR="005652E0">
        <w:t xml:space="preserve"> w celu wyeliminowania obaw Rządu co do poufności.</w:t>
      </w:r>
    </w:p>
    <w:p w14:paraId="1558405A" w14:textId="56387711" w:rsidR="005652E0" w:rsidRPr="00A34A82" w:rsidRDefault="0085731C" w:rsidP="00A34A82">
      <w:pPr>
        <w:pStyle w:val="JuPara"/>
      </w:pPr>
      <w:fldSimple w:instr=" SEQ level0 \*arabic ">
        <w:r w:rsidR="00A34A82" w:rsidRPr="00A34A82">
          <w:t>76</w:t>
        </w:r>
      </w:fldSimple>
      <w:r w:rsidR="005652E0">
        <w:t xml:space="preserve">.  W </w:t>
      </w:r>
      <w:r w:rsidR="009B3583">
        <w:t xml:space="preserve">swoich </w:t>
      </w:r>
      <w:r w:rsidR="005652E0">
        <w:t>uwagach dodatkowych z 28 lipca 2015 r. Rząd odmówił przekazania żądanych dokumentów. Ponownie argumentował, że dokumenty zawarte w aktach sprawy karnej stanowią tajemnicę państwową, w związku z czym zgodnie z prawem rosyjskim nie mogą zostać przekazane Trybunałowi.</w:t>
      </w:r>
    </w:p>
    <w:p w14:paraId="75A96800" w14:textId="5ADDF2CF" w:rsidR="005652E0" w:rsidRPr="00A34A82" w:rsidRDefault="0085731C" w:rsidP="00A34A82">
      <w:pPr>
        <w:pStyle w:val="JuPara"/>
      </w:pPr>
      <w:fldSimple w:instr=" SEQ level0 \*arabic ">
        <w:r w:rsidR="00A34A82" w:rsidRPr="00A34A82">
          <w:t>77</w:t>
        </w:r>
      </w:fldSimple>
      <w:r w:rsidR="005652E0">
        <w:t>.  Trybunał przeanalizuje t</w:t>
      </w:r>
      <w:r w:rsidR="009B3583">
        <w:t>ą</w:t>
      </w:r>
      <w:r w:rsidR="005652E0">
        <w:t xml:space="preserve"> kwestię w świetle ogólnych zasad dotyczących zgodności z art. 38 Konwencji, które to zasady podsumowano w wyroku </w:t>
      </w:r>
      <w:r w:rsidR="005652E0">
        <w:rPr>
          <w:i/>
        </w:rPr>
        <w:t>Janowiec i </w:t>
      </w:r>
      <w:r w:rsidR="00411E70">
        <w:rPr>
          <w:i/>
        </w:rPr>
        <w:t>I</w:t>
      </w:r>
      <w:r w:rsidR="005652E0">
        <w:rPr>
          <w:i/>
        </w:rPr>
        <w:t>n. przeciwko Rosji</w:t>
      </w:r>
      <w:r w:rsidR="005652E0">
        <w:t xml:space="preserve"> ([WI], skargi nr 55508/07 i 29520/09</w:t>
      </w:r>
      <w:r w:rsidR="005652E0">
        <w:rPr>
          <w:snapToGrid w:val="0"/>
        </w:rPr>
        <w:t xml:space="preserve">, </w:t>
      </w:r>
      <w:r w:rsidR="005652E0">
        <w:t>§§ 202-06 oraz 208</w:t>
      </w:r>
      <w:r w:rsidR="005652E0">
        <w:rPr>
          <w:snapToGrid w:val="0"/>
        </w:rPr>
        <w:t xml:space="preserve">, </w:t>
      </w:r>
      <w:r w:rsidR="005652E0">
        <w:t xml:space="preserve">ETPC 2013). W wyroku tym Trybunał </w:t>
      </w:r>
      <w:r w:rsidR="005652E0">
        <w:lastRenderedPageBreak/>
        <w:t>powtórzył, że art. 38 Konwencji wymaga, aby pozwane państwo przedłożyło w całości żądany materiał, jeżeli zażąda tego Trybunał i </w:t>
      </w:r>
      <w:r w:rsidR="00411E70">
        <w:t xml:space="preserve">wyjaśniło </w:t>
      </w:r>
      <w:r w:rsidR="005652E0">
        <w:t>brak</w:t>
      </w:r>
      <w:r w:rsidR="00411E70">
        <w:t xml:space="preserve"> jakichkolwiek</w:t>
      </w:r>
      <w:r w:rsidR="005652E0">
        <w:t xml:space="preserve"> element</w:t>
      </w:r>
      <w:r w:rsidR="00411E70">
        <w:t>ów</w:t>
      </w:r>
      <w:r w:rsidR="005652E0">
        <w:t>.</w:t>
      </w:r>
    </w:p>
    <w:p w14:paraId="7F07C7C0" w14:textId="2C76C0E4" w:rsidR="005652E0" w:rsidRPr="00A34A82" w:rsidRDefault="0085731C" w:rsidP="00A34A82">
      <w:pPr>
        <w:pStyle w:val="JuPara"/>
      </w:pPr>
      <w:fldSimple w:instr=" SEQ level0 \*arabic ">
        <w:r w:rsidR="00A34A82" w:rsidRPr="00A34A82">
          <w:t>78</w:t>
        </w:r>
      </w:fldSimple>
      <w:r w:rsidR="005652E0">
        <w:t xml:space="preserve">.  Trybunał uznał już w przeszłości za </w:t>
      </w:r>
      <w:r w:rsidR="00411E70">
        <w:t xml:space="preserve">niesatysfakcjonujące </w:t>
      </w:r>
      <w:r w:rsidR="005652E0">
        <w:t>wyjaśnie</w:t>
      </w:r>
      <w:r w:rsidR="00411E70">
        <w:t>nia</w:t>
      </w:r>
      <w:r w:rsidR="005652E0">
        <w:t xml:space="preserve"> pozwanego Rządu, że prawo krajowe nie przewiduje procedury przekazywania informacji stanowiących tajemnicę państwową organizacji międzynarodowej (zob. </w:t>
      </w:r>
      <w:proofErr w:type="spellStart"/>
      <w:r w:rsidR="005652E0">
        <w:rPr>
          <w:i/>
        </w:rPr>
        <w:t>Nolan</w:t>
      </w:r>
      <w:proofErr w:type="spellEnd"/>
      <w:r w:rsidR="005652E0">
        <w:rPr>
          <w:i/>
        </w:rPr>
        <w:t xml:space="preserve"> i K. przeciwko Rosji</w:t>
      </w:r>
      <w:r w:rsidR="005652E0">
        <w:t xml:space="preserve">, skarga nr 2512/04, § 56, 12 lutego 2009 r.). Trybunał zauważył, że w razie uzasadnionych obaw dotyczących bezpieczeństwa narodowego, Rząd powinien był </w:t>
      </w:r>
      <w:r w:rsidR="00411E70">
        <w:t xml:space="preserve">usunąć </w:t>
      </w:r>
      <w:r w:rsidR="005652E0">
        <w:t>wrażliwe fragmenty lub dostarczyć streszczenie istotnych okoliczności faktycznych (ibid.).</w:t>
      </w:r>
    </w:p>
    <w:p w14:paraId="68870569" w14:textId="5D0BB96D" w:rsidR="005652E0" w:rsidRPr="00A34A82" w:rsidRDefault="0085731C" w:rsidP="00A34A82">
      <w:pPr>
        <w:pStyle w:val="JuPara"/>
      </w:pPr>
      <w:fldSimple w:instr=" SEQ level0 \*arabic ">
        <w:r w:rsidR="00A34A82" w:rsidRPr="00A34A82">
          <w:t>79</w:t>
        </w:r>
      </w:fldSimple>
      <w:r w:rsidR="005652E0">
        <w:t>.  W niniejszej sprawie Trybunał dwukrotnie zwracał się do rządu o przekazanie istotnych dokumentów (zob.</w:t>
      </w:r>
      <w:r w:rsidR="00411E70">
        <w:t xml:space="preserve">, </w:t>
      </w:r>
      <w:r w:rsidR="00411E70" w:rsidRPr="00F5746C">
        <w:rPr>
          <w:i/>
          <w:iCs/>
        </w:rPr>
        <w:t>a contrario</w:t>
      </w:r>
      <w:r w:rsidR="00411E70">
        <w:t xml:space="preserve">, </w:t>
      </w:r>
      <w:r w:rsidR="005652E0">
        <w:t xml:space="preserve">wyrok </w:t>
      </w:r>
      <w:proofErr w:type="spellStart"/>
      <w:r w:rsidR="005652E0">
        <w:rPr>
          <w:i/>
        </w:rPr>
        <w:t>Yam</w:t>
      </w:r>
      <w:proofErr w:type="spellEnd"/>
      <w:r w:rsidR="005652E0">
        <w:rPr>
          <w:i/>
        </w:rPr>
        <w:t xml:space="preserve"> przeciwko Zjednoczonemu Królestwu</w:t>
      </w:r>
      <w:r w:rsidR="005652E0">
        <w:t xml:space="preserve">, skarga nr 31295/11, § 81, 16 stycznia 2020 r.). Za drugim razem wprost wskazał Rządowi, że ten mógłby dokonać wykreśleń w dokumentach, aby wyeliminować obawy co do poufności. Rząd mimo to odmówił przedstawienia żądanego materiału zarówno w formie oryginalnej, jak i zawierającej wykreślenia. Trybunał zauważył również, że odmowa Rządu nie podlegała żadnemu </w:t>
      </w:r>
      <w:r w:rsidR="00411E70">
        <w:t xml:space="preserve">kontradyktoryjnemu </w:t>
      </w:r>
      <w:r w:rsidR="005652E0">
        <w:t xml:space="preserve">postępowaniu przed niezależnym organem krajowym właściwym do kontroli </w:t>
      </w:r>
      <w:r w:rsidR="00411E70">
        <w:t xml:space="preserve">uzasadnienia </w:t>
      </w:r>
      <w:r w:rsidR="005652E0">
        <w:t>decyzji o odmowie i istotnego materiału dowodowego (zob. </w:t>
      </w:r>
      <w:r w:rsidR="004361B8">
        <w:t>ibid.</w:t>
      </w:r>
      <w:r w:rsidR="005652E0">
        <w:t>, § 82).</w:t>
      </w:r>
    </w:p>
    <w:p w14:paraId="1EE7864E" w14:textId="25D5791E" w:rsidR="005652E0" w:rsidRPr="00A34A82" w:rsidRDefault="0085731C" w:rsidP="00A34A82">
      <w:pPr>
        <w:pStyle w:val="JuPara"/>
      </w:pPr>
      <w:fldSimple w:instr=" SEQ level0 \*arabic ">
        <w:r w:rsidR="00A34A82" w:rsidRPr="00A34A82">
          <w:t>80</w:t>
        </w:r>
      </w:fldSimple>
      <w:r w:rsidR="005652E0">
        <w:t>.  W związku z powyższym Trybunał uważa, że pozwane państwo nie wywiązało się ze swoich obowiązków z art. 38 Konwencji ze względu na odmowę dostarczenia żądanych dokumentów.</w:t>
      </w:r>
    </w:p>
    <w:p w14:paraId="33182D29" w14:textId="190142A3" w:rsidR="005652E0" w:rsidRPr="00A34A82" w:rsidRDefault="001A643F" w:rsidP="00A34A82">
      <w:pPr>
        <w:pStyle w:val="JuHIRoman"/>
      </w:pPr>
      <w:r>
        <w:t xml:space="preserve">ZARZUT </w:t>
      </w:r>
      <w:r w:rsidR="005652E0">
        <w:t>NARUSZENI</w:t>
      </w:r>
      <w:r>
        <w:t>A</w:t>
      </w:r>
      <w:r w:rsidR="005652E0">
        <w:t xml:space="preserve"> ART. 6 KONWENCJI</w:t>
      </w:r>
    </w:p>
    <w:p w14:paraId="41895B08" w14:textId="18BB5294" w:rsidR="005652E0" w:rsidRPr="00A34A82" w:rsidRDefault="0085731C" w:rsidP="00A34A82">
      <w:pPr>
        <w:pStyle w:val="JuPara"/>
      </w:pPr>
      <w:fldSimple w:instr=" SEQ level0 \*arabic ">
        <w:r w:rsidR="00A34A82" w:rsidRPr="00A34A82">
          <w:t>81</w:t>
        </w:r>
      </w:fldSimple>
      <w:r w:rsidR="005652E0">
        <w:t>.  Skarżący zarzuc</w:t>
      </w:r>
      <w:r w:rsidR="00411E70">
        <w:t>i</w:t>
      </w:r>
      <w:r w:rsidR="005652E0">
        <w:t xml:space="preserve">ł, że sąd w jego sprawie karnej nie był niezależny ani bezstronny, ponieważ: (1) czterech z dwunastu przysięgłych </w:t>
      </w:r>
      <w:r w:rsidR="00411E70">
        <w:t xml:space="preserve">w jego sprawie </w:t>
      </w:r>
      <w:r w:rsidR="005652E0">
        <w:t>posiadało poświadczenie bezpieczeństwa; (2) niektórzy przysięg</w:t>
      </w:r>
      <w:r w:rsidR="00411E70">
        <w:t>li</w:t>
      </w:r>
      <w:r w:rsidR="005652E0">
        <w:t xml:space="preserve"> zataili pewne informacje, które mogły podawać w wątpliwość ich bezstronność oraz (3) sędzia, któr</w:t>
      </w:r>
      <w:r w:rsidR="00411E70">
        <w:t>a</w:t>
      </w:r>
      <w:r w:rsidR="005652E0">
        <w:t xml:space="preserve"> przewodniczyła rozprawie apelacyjnej, miała wobec niego osobiste uprzedzenia.</w:t>
      </w:r>
    </w:p>
    <w:p w14:paraId="4D761347" w14:textId="0C40531C" w:rsidR="005652E0" w:rsidRPr="00A34A82" w:rsidRDefault="0085731C" w:rsidP="00A34A82">
      <w:pPr>
        <w:pStyle w:val="JuPara"/>
      </w:pPr>
      <w:fldSimple w:instr=" SEQ level0 \*arabic ">
        <w:r w:rsidR="00A34A82" w:rsidRPr="00A34A82">
          <w:t>82</w:t>
        </w:r>
      </w:fldSimple>
      <w:r w:rsidR="005652E0">
        <w:t>.  Skarżący zarzuc</w:t>
      </w:r>
      <w:r w:rsidR="00411E70">
        <w:t>ił</w:t>
      </w:r>
      <w:r w:rsidR="005652E0">
        <w:t xml:space="preserve"> również, że nie rozpatrzono sprawiedliwie jego sprawy. W szczególności odmówiono mu możliwości: (1) przesłuchania dziesięciu biegłych oskarżenia oraz (2) przesłuchania siedemnastu ekspertów wskazanych przez obronę.</w:t>
      </w:r>
    </w:p>
    <w:p w14:paraId="45CE6EAC" w14:textId="794322AA" w:rsidR="005652E0" w:rsidRPr="00A34A82" w:rsidRDefault="0085731C" w:rsidP="00A34A82">
      <w:pPr>
        <w:pStyle w:val="JuPara"/>
      </w:pPr>
      <w:fldSimple w:instr=" SEQ level0 \*arabic ">
        <w:r w:rsidR="00A34A82" w:rsidRPr="00A34A82">
          <w:t>83</w:t>
        </w:r>
      </w:fldSimple>
      <w:r w:rsidR="005652E0">
        <w:t xml:space="preserve">.  Skarżący powołał się na art. 6 Konwencji, który w istotnym zakresie </w:t>
      </w:r>
      <w:r w:rsidR="003D294D">
        <w:t>stanowi</w:t>
      </w:r>
      <w:r w:rsidR="005652E0">
        <w:t>:</w:t>
      </w:r>
    </w:p>
    <w:p w14:paraId="1B789B32" w14:textId="77777777" w:rsidR="005652E0" w:rsidRPr="00A34A82" w:rsidRDefault="005652E0" w:rsidP="00A34A82">
      <w:pPr>
        <w:pStyle w:val="JuQuot"/>
      </w:pPr>
      <w:r>
        <w:t>„1.  Każdy ma prawo do sprawiedliwego [...] rozpatrzenia [...] przy rozstrzyganiu [...] w wytoczonej przeciwko niemu sprawie karnej [...] przez niezawisły i bezstronny sąd ustanowiony ustawą.</w:t>
      </w:r>
    </w:p>
    <w:p w14:paraId="7CE6976A" w14:textId="77777777" w:rsidR="005652E0" w:rsidRPr="00A34A82" w:rsidRDefault="005652E0" w:rsidP="00A34A82">
      <w:pPr>
        <w:pStyle w:val="JuQuot"/>
      </w:pPr>
      <w:r>
        <w:t>[…]</w:t>
      </w:r>
    </w:p>
    <w:p w14:paraId="354BBDF0" w14:textId="77777777" w:rsidR="005652E0" w:rsidRPr="00A34A82" w:rsidRDefault="005652E0" w:rsidP="00A34A82">
      <w:pPr>
        <w:pStyle w:val="JuQuot"/>
      </w:pPr>
      <w:r>
        <w:lastRenderedPageBreak/>
        <w:t>3.  Każdy oskarżony o popełnienie czynu zagrożonego karą ma co najmniej prawo do:</w:t>
      </w:r>
    </w:p>
    <w:p w14:paraId="35C2608D" w14:textId="77777777" w:rsidR="005652E0" w:rsidRPr="00A34A82" w:rsidRDefault="005652E0" w:rsidP="00A34A82">
      <w:pPr>
        <w:pStyle w:val="JuQuot"/>
      </w:pPr>
      <w:r>
        <w:t>[…]</w:t>
      </w:r>
    </w:p>
    <w:p w14:paraId="7CFEDC2F" w14:textId="77777777" w:rsidR="005652E0" w:rsidRPr="00A34A82" w:rsidRDefault="005652E0" w:rsidP="00A34A82">
      <w:pPr>
        <w:pStyle w:val="JuQuot"/>
      </w:pPr>
      <w:r>
        <w:t>d) przesłuchania lub spowodowania przesłuchania świadków oskarżenia oraz żądania obecności i przesłuchania świadków obrony na takich samych warunkach jak świadków oskarżenia [...]”.</w:t>
      </w:r>
    </w:p>
    <w:p w14:paraId="5851E48B" w14:textId="52F40A79" w:rsidR="005652E0" w:rsidRPr="00A34A82" w:rsidRDefault="005652E0" w:rsidP="00A34A82">
      <w:pPr>
        <w:pStyle w:val="JuHA"/>
        <w:numPr>
          <w:ilvl w:val="0"/>
          <w:numId w:val="0"/>
        </w:numPr>
        <w:ind w:left="584" w:hanging="352"/>
      </w:pPr>
      <w:r>
        <w:t>A.</w:t>
      </w:r>
      <w:r>
        <w:tab/>
        <w:t>Bezstronność przysięgłych z poświadczeniem bezpieczeństwa</w:t>
      </w:r>
    </w:p>
    <w:p w14:paraId="58B990DF" w14:textId="77777777" w:rsidR="005652E0" w:rsidRPr="00A34A82" w:rsidRDefault="005652E0" w:rsidP="00A34A82">
      <w:pPr>
        <w:pStyle w:val="JuH1"/>
        <w:numPr>
          <w:ilvl w:val="3"/>
          <w:numId w:val="1"/>
        </w:numPr>
        <w:jc w:val="left"/>
      </w:pPr>
      <w:r>
        <w:t>Stanowiska stron</w:t>
      </w:r>
    </w:p>
    <w:p w14:paraId="61F795D3" w14:textId="77777777" w:rsidR="005652E0" w:rsidRPr="00A34A82" w:rsidRDefault="005652E0" w:rsidP="00A34A82">
      <w:pPr>
        <w:pStyle w:val="JuHa0"/>
        <w:numPr>
          <w:ilvl w:val="4"/>
          <w:numId w:val="1"/>
        </w:numPr>
        <w:jc w:val="left"/>
      </w:pPr>
      <w:r>
        <w:t>Skarżący</w:t>
      </w:r>
    </w:p>
    <w:p w14:paraId="723B9F2F" w14:textId="3BA9FB9B" w:rsidR="005652E0" w:rsidRPr="00A34A82" w:rsidRDefault="0085731C" w:rsidP="00A34A82">
      <w:pPr>
        <w:pStyle w:val="JuPara"/>
      </w:pPr>
      <w:fldSimple w:instr=" SEQ level0 \*arabic ">
        <w:r w:rsidR="00A34A82" w:rsidRPr="00A34A82">
          <w:t>84</w:t>
        </w:r>
      </w:fldSimple>
      <w:r w:rsidR="005652E0">
        <w:t xml:space="preserve">. Skarżący </w:t>
      </w:r>
      <w:r w:rsidR="0009470E">
        <w:t>podniósł</w:t>
      </w:r>
      <w:r w:rsidR="005652E0">
        <w:t>, że przysięg</w:t>
      </w:r>
      <w:r w:rsidR="0009470E">
        <w:t>li</w:t>
      </w:r>
      <w:r w:rsidR="005652E0">
        <w:t xml:space="preserve"> z poświadczeniem bezpieczeństwa mieli dostęp do tajemnic państwowych</w:t>
      </w:r>
      <w:r w:rsidR="0009470E">
        <w:t xml:space="preserve"> i </w:t>
      </w:r>
      <w:r w:rsidR="005652E0">
        <w:t xml:space="preserve">nie mogli </w:t>
      </w:r>
      <w:r w:rsidR="0009470E">
        <w:t>być</w:t>
      </w:r>
      <w:r w:rsidR="005652E0">
        <w:t xml:space="preserve"> bezstronn</w:t>
      </w:r>
      <w:r w:rsidR="0009470E">
        <w:t xml:space="preserve">i w </w:t>
      </w:r>
      <w:r w:rsidR="005652E0">
        <w:t xml:space="preserve"> jego sprawie, która dotyczyła zarzucanego ujawnienia tajemnicy państwowej. Skarżący twierdził, że brak ogólnego zakazu </w:t>
      </w:r>
      <w:r w:rsidR="0009470E">
        <w:t>bycia przysięgłymi przez osoby</w:t>
      </w:r>
      <w:r w:rsidR="005652E0">
        <w:t xml:space="preserve"> z poświadczeniem bezpieczeństwa nie oznacza, że osoby te nie powinny </w:t>
      </w:r>
      <w:r w:rsidR="0009470E">
        <w:t>być</w:t>
      </w:r>
      <w:r w:rsidR="005652E0">
        <w:t xml:space="preserve"> wyłączone ze składu ławy przysięgłych w jego konkretnej sprawie. Tak jak osoby, które padły ofiarą brutalnych przestępstw, nie mogą być uznawane za bezstronnych przysięgłych w sprawach </w:t>
      </w:r>
      <w:r w:rsidR="0009470E">
        <w:t>dotyczących</w:t>
      </w:r>
      <w:r w:rsidR="005652E0">
        <w:t> przemoc</w:t>
      </w:r>
      <w:r w:rsidR="0009470E">
        <w:t>y</w:t>
      </w:r>
      <w:r w:rsidR="005652E0">
        <w:t>, osoby z poświadczeniem bezpieczeństwa nie mogły być bezstronne w sprawie takiej jak niniejsza.</w:t>
      </w:r>
    </w:p>
    <w:p w14:paraId="7456BE9D" w14:textId="1DF5DA4F" w:rsidR="005652E0" w:rsidRPr="00A34A82" w:rsidRDefault="0085731C" w:rsidP="00A34A82">
      <w:pPr>
        <w:pStyle w:val="JuPara"/>
      </w:pPr>
      <w:fldSimple w:instr=" SEQ level0 \*arabic ">
        <w:r w:rsidR="00A34A82" w:rsidRPr="00A34A82">
          <w:t>85</w:t>
        </w:r>
      </w:fldSimple>
      <w:r w:rsidR="005652E0">
        <w:t>.  Skarżący zauważył również, że śledztwo w jego sprawie było prowadzone przez FSB. Osoby z poświadczeniem bezpieczeństwa obowiązkowo podlegały procedurze weryfikacji przez FSB (art. 21 i 22 ustawy o tajemnicach państwowych), co może zatem wskazywać, że nie były niezależne od FSB. Skarżący powołał się na orzeczenie Trybunału Konstytucyjnego Federacji Rosyjskiej 8-П z 27 marca 1996 r. (zob. par. </w:t>
      </w:r>
      <w:r w:rsidR="005652E0" w:rsidRPr="00A34A82">
        <w:fldChar w:fldCharType="begin"/>
      </w:r>
      <w:r w:rsidR="005652E0" w:rsidRPr="00A34A82">
        <w:instrText xml:space="preserve"> REF ConstCourt_dec_security_clearance \h  \* MERGEFORMAT </w:instrText>
      </w:r>
      <w:r w:rsidR="005652E0" w:rsidRPr="00A34A82">
        <w:fldChar w:fldCharType="separate"/>
      </w:r>
      <w:r w:rsidR="00A34A82" w:rsidRPr="00A34A82">
        <w:t>70</w:t>
      </w:r>
      <w:r w:rsidR="005652E0" w:rsidRPr="00A34A82">
        <w:fldChar w:fldCharType="end"/>
      </w:r>
      <w:r w:rsidR="005652E0">
        <w:t xml:space="preserve"> powyżej), w którym uznano wymóg </w:t>
      </w:r>
      <w:r w:rsidR="0009470E">
        <w:t>złożenia przez pełnomocnika oskarżonego wniosku o</w:t>
      </w:r>
      <w:r w:rsidR="005652E0">
        <w:t xml:space="preserve"> poświadczeni</w:t>
      </w:r>
      <w:r w:rsidR="0009470E">
        <w:t>e</w:t>
      </w:r>
      <w:r w:rsidR="005652E0">
        <w:t xml:space="preserve"> bezpieczeństwa za niezgodny z konstytucją, ponieważ oznaczałoby to konieczność objęcia pełnomocnika procedurą weryfikacji przez FSB, a zatem w pewnym stopniu czyniłoby to oskarżonego zależnym od FSB. Ten sam tok rozumowania powinien znaleźć zastosowanie tym bardziej w przypadku członków ławy przysięgłych, ponieważ sędzia powinien być wolny od nienależytych nacisków i </w:t>
      </w:r>
      <w:r w:rsidR="0009470E">
        <w:t>podlegać wyłącznie</w:t>
      </w:r>
      <w:r w:rsidR="005652E0">
        <w:t xml:space="preserve"> praw</w:t>
      </w:r>
      <w:r w:rsidR="005E5B91">
        <w:t>u</w:t>
      </w:r>
      <w:r w:rsidR="005652E0">
        <w:t>. Z tego względu przewodniczący składu sędziowskiego w sprawie skarżącego powinien był uwzględnić wniosek o odsunięcie od sprawy członków ławy przysięgłych posiadających poświadczenie bezpieczeństwa. Skarżący zauważył wreszcie, że nadzór FSB nie kończy się z chwilą wydania danej osobie poświadczenia bezpieczeństwa, ponieważ FSB w celu zapewnienia poufności tajemnic państwowych monitoruje osoby z poświadczeniem bezpieczeństwa.</w:t>
      </w:r>
    </w:p>
    <w:p w14:paraId="3EDB86A5" w14:textId="675F5A3B" w:rsidR="005652E0" w:rsidRPr="00A34A82" w:rsidRDefault="0085731C" w:rsidP="00A34A82">
      <w:pPr>
        <w:pStyle w:val="JuPara"/>
      </w:pPr>
      <w:fldSimple w:instr=" SEQ level0 \*arabic ">
        <w:r w:rsidR="00A34A82" w:rsidRPr="00A34A82">
          <w:t>86</w:t>
        </w:r>
      </w:fldSimple>
      <w:r w:rsidR="005652E0">
        <w:t xml:space="preserve">.  Skarżący podnosił, że </w:t>
      </w:r>
      <w:r w:rsidR="005E5B91">
        <w:t>nie</w:t>
      </w:r>
      <w:r w:rsidR="005652E0">
        <w:t xml:space="preserve">prawdopodobne jest, by przy faktycznie losowym doborze w składzie ławy przysięgłych </w:t>
      </w:r>
      <w:r w:rsidR="005E5B91">
        <w:t>wylosowano</w:t>
      </w:r>
      <w:r w:rsidR="005652E0">
        <w:t xml:space="preserve"> tak wiele osób </w:t>
      </w:r>
      <w:r w:rsidR="005652E0">
        <w:lastRenderedPageBreak/>
        <w:t xml:space="preserve">posiadających poświadczenie bezpieczeństwa. Uważał, że Rząd nie poparł dowodami </w:t>
      </w:r>
      <w:r w:rsidR="005E5B91">
        <w:t xml:space="preserve">swojego </w:t>
      </w:r>
      <w:r w:rsidR="005652E0">
        <w:t>twierdzenia</w:t>
      </w:r>
      <w:r w:rsidR="005E5B91">
        <w:t>, że dobór dokonany został losowo</w:t>
      </w:r>
      <w:r w:rsidR="005652E0">
        <w:t>.</w:t>
      </w:r>
    </w:p>
    <w:p w14:paraId="06C93A4B" w14:textId="45BF8BD7" w:rsidR="005652E0" w:rsidRPr="00A34A82" w:rsidRDefault="0085731C" w:rsidP="00A34A82">
      <w:pPr>
        <w:pStyle w:val="JuPara"/>
      </w:pPr>
      <w:fldSimple w:instr=" SEQ level0 \*arabic ">
        <w:r w:rsidR="00A34A82" w:rsidRPr="00A34A82">
          <w:t>87</w:t>
        </w:r>
      </w:fldSimple>
      <w:r w:rsidR="005652E0">
        <w:t xml:space="preserve">.  Co </w:t>
      </w:r>
      <w:r w:rsidR="005E5B91">
        <w:t>do</w:t>
      </w:r>
      <w:r w:rsidR="005652E0">
        <w:t xml:space="preserve"> konkretnych przysięgłych, którzy zataili informacje na swój temat, skarżący podn</w:t>
      </w:r>
      <w:r w:rsidR="005E5B91">
        <w:t>iósł</w:t>
      </w:r>
      <w:r w:rsidR="005652E0">
        <w:t xml:space="preserve">, że Rząd temu nie zaprzeczył, a powtórzył jedynie, że w materiale zawartym w aktach sprawy nie ma takich informacji, a dokładnie na to </w:t>
      </w:r>
      <w:r w:rsidR="005E5B91">
        <w:t xml:space="preserve">zwracał </w:t>
      </w:r>
      <w:r w:rsidR="005652E0">
        <w:t>uwagę skarżący.</w:t>
      </w:r>
    </w:p>
    <w:p w14:paraId="70CDF442" w14:textId="77777777" w:rsidR="005652E0" w:rsidRPr="00A34A82" w:rsidRDefault="005652E0" w:rsidP="00A34A82">
      <w:pPr>
        <w:pStyle w:val="JuHa0"/>
        <w:numPr>
          <w:ilvl w:val="4"/>
          <w:numId w:val="1"/>
        </w:numPr>
        <w:jc w:val="left"/>
      </w:pPr>
      <w:r>
        <w:t>Rząd</w:t>
      </w:r>
    </w:p>
    <w:p w14:paraId="28207DD7" w14:textId="0B789857" w:rsidR="005652E0" w:rsidRPr="00A34A82" w:rsidRDefault="0085731C" w:rsidP="00A34A82">
      <w:pPr>
        <w:pStyle w:val="JuPara"/>
      </w:pPr>
      <w:fldSimple w:instr=" SEQ level0 \*arabic ">
        <w:r w:rsidR="00A34A82" w:rsidRPr="00A34A82">
          <w:t>88</w:t>
        </w:r>
      </w:fldSimple>
      <w:r w:rsidR="005652E0">
        <w:t xml:space="preserve">.  Rząd stanął na stanowisku, że skarżący wniósł o wyłączenie jedenastu potencjalnych przysięgłych, w przypadku siedmiu </w:t>
      </w:r>
      <w:r w:rsidR="005E5B91">
        <w:t xml:space="preserve">z nich </w:t>
      </w:r>
      <w:r w:rsidR="005652E0">
        <w:t>powołując się na ich poświadczenie bezpieczeństwa. Sędzia oddalił wnioski skarżącego w tym względzie, ponieważ fakt, iż potencjalni członkowie ławy przysięgłych mieli dostęp do tajemnic państwowych nie świadczył o ich stronniczości ani osobistym interesie w </w:t>
      </w:r>
      <w:r w:rsidR="005E5B91">
        <w:t xml:space="preserve">rezultacie </w:t>
      </w:r>
      <w:r w:rsidR="005652E0">
        <w:t>sprawy.</w:t>
      </w:r>
    </w:p>
    <w:bookmarkStart w:id="39" w:name="Govt_re_security_clear_jurors"/>
    <w:p w14:paraId="0188704F" w14:textId="6977F79C"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89</w:t>
      </w:r>
      <w:r w:rsidRPr="00A34A82">
        <w:fldChar w:fldCharType="end"/>
      </w:r>
      <w:bookmarkEnd w:id="39"/>
      <w:r>
        <w:t xml:space="preserve">.  Rząd </w:t>
      </w:r>
      <w:r w:rsidR="005E5B91">
        <w:t>przytoczył</w:t>
      </w:r>
      <w:r>
        <w:t xml:space="preserve"> dodatkowo obowiązujące przepisy prawa rosyjskiego dotyczące podstaw obowiązkowego lub możliwego </w:t>
      </w:r>
      <w:r w:rsidR="005E5B91">
        <w:t xml:space="preserve">wyłączenia </w:t>
      </w:r>
      <w:r>
        <w:t>członka ławy przysięgłych (zob. par. </w:t>
      </w:r>
      <w:r w:rsidRPr="00A34A82">
        <w:fldChar w:fldCharType="begin"/>
      </w:r>
      <w:r w:rsidRPr="00A34A82">
        <w:instrText xml:space="preserve"> REF people_excl_jury_service_Start \h  \* MERGEFORMAT </w:instrText>
      </w:r>
      <w:r w:rsidRPr="00A34A82">
        <w:fldChar w:fldCharType="separate"/>
      </w:r>
      <w:r w:rsidR="00A34A82" w:rsidRPr="00A34A82">
        <w:t>64</w:t>
      </w:r>
      <w:r w:rsidRPr="00A34A82">
        <w:fldChar w:fldCharType="end"/>
      </w:r>
      <w:r>
        <w:t>-</w:t>
      </w:r>
      <w:r w:rsidRPr="00A34A82">
        <w:fldChar w:fldCharType="begin"/>
      </w:r>
      <w:r w:rsidRPr="00A34A82">
        <w:instrText xml:space="preserve"> REF people_excl_jury_service_End \h  \* MERGEFORMAT </w:instrText>
      </w:r>
      <w:r w:rsidRPr="00A34A82">
        <w:fldChar w:fldCharType="separate"/>
      </w:r>
      <w:r w:rsidR="00A34A82" w:rsidRPr="00A34A82">
        <w:t>65</w:t>
      </w:r>
      <w:r w:rsidRPr="00A34A82">
        <w:fldChar w:fldCharType="end"/>
      </w:r>
      <w:r>
        <w:t xml:space="preserve"> powyżej) i wskazał, że żadna z nich nie obejmowała posiadania poświadczenia bezpieczeństwa.</w:t>
      </w:r>
    </w:p>
    <w:p w14:paraId="6A4939F3" w14:textId="0209CD69" w:rsidR="005652E0" w:rsidRPr="00A34A82" w:rsidRDefault="0085731C" w:rsidP="00A34A82">
      <w:pPr>
        <w:pStyle w:val="JuPara"/>
      </w:pPr>
      <w:fldSimple w:instr=" SEQ level0 \*arabic ">
        <w:r w:rsidR="00A34A82" w:rsidRPr="00A34A82">
          <w:t>90</w:t>
        </w:r>
      </w:fldSimple>
      <w:r w:rsidR="005652E0">
        <w:t xml:space="preserve">.  Rząd stwierdził, że rosyjskie ustawodawstwo określające podstawy wyłączania członków ławy przysięgłych nie mogą być interpretowane w sposób rozszerzający, </w:t>
      </w:r>
      <w:r w:rsidR="005E5B91">
        <w:t>także biorąc</w:t>
      </w:r>
      <w:r w:rsidR="005652E0">
        <w:t xml:space="preserve"> pod uwagę zasady pewności prawa i przewidywalności.</w:t>
      </w:r>
    </w:p>
    <w:p w14:paraId="16410269" w14:textId="77AFF9E8" w:rsidR="005652E0" w:rsidRPr="00A34A82" w:rsidRDefault="0085731C" w:rsidP="00A34A82">
      <w:pPr>
        <w:pStyle w:val="JuPara"/>
      </w:pPr>
      <w:fldSimple w:instr=" SEQ level0 \*arabic ">
        <w:r w:rsidR="00A34A82" w:rsidRPr="00A34A82">
          <w:t>91</w:t>
        </w:r>
      </w:fldSimple>
      <w:r w:rsidR="005652E0">
        <w:t>.  Co się tyczy stwierdzenia, że niektórzy członkowie ławy przysięgłych mieli ukrywać konkretne informacje na swój temat w procesie selekcji, Rząd podn</w:t>
      </w:r>
      <w:r w:rsidR="005E5B91">
        <w:t>iósł</w:t>
      </w:r>
      <w:r w:rsidR="005652E0">
        <w:t>, że akt</w:t>
      </w:r>
      <w:r w:rsidR="005E5B91">
        <w:t>a</w:t>
      </w:r>
      <w:r w:rsidR="005652E0">
        <w:t xml:space="preserve"> sprawy nie zawiera</w:t>
      </w:r>
      <w:r w:rsidR="005E5B91">
        <w:t>ją</w:t>
      </w:r>
      <w:r w:rsidR="005652E0">
        <w:t xml:space="preserve"> dowodu w postaci dokumentów potwierdzającego zarzuty w tym względzie.</w:t>
      </w:r>
    </w:p>
    <w:p w14:paraId="570640FF" w14:textId="71C61687" w:rsidR="005652E0" w:rsidRPr="00A34A82" w:rsidRDefault="0085731C" w:rsidP="00A34A82">
      <w:pPr>
        <w:pStyle w:val="JuPara"/>
      </w:pPr>
      <w:fldSimple w:instr=" SEQ level0 \*arabic ">
        <w:r w:rsidR="00A34A82" w:rsidRPr="00A34A82">
          <w:t>92</w:t>
        </w:r>
      </w:fldSimple>
      <w:r w:rsidR="005652E0">
        <w:t xml:space="preserve">.  Rząd </w:t>
      </w:r>
      <w:r w:rsidR="005E5B91">
        <w:t>twierdził</w:t>
      </w:r>
      <w:r w:rsidR="005652E0">
        <w:t>, że dobór przysięgłych był losowy. Fakt, iż czterech członków ławy przysięgłych w tym procesie posiadało poświadczenie bezpieczeństwa nie daje podstaw, by kwestionować bezstronność większości ławy przysięgłych.</w:t>
      </w:r>
    </w:p>
    <w:p w14:paraId="25F86216" w14:textId="11DE465C" w:rsidR="005652E0" w:rsidRPr="00A34A82" w:rsidRDefault="0085731C" w:rsidP="00A34A82">
      <w:pPr>
        <w:pStyle w:val="JuPara"/>
      </w:pPr>
      <w:fldSimple w:instr=" SEQ level0 \*arabic ">
        <w:r w:rsidR="00A34A82" w:rsidRPr="00A34A82">
          <w:t>93</w:t>
        </w:r>
      </w:fldSimple>
      <w:r w:rsidR="005652E0">
        <w:t>.  Rząd wskazał, że orzeczenie Trybunału Konstytucyjnego nr 8-П z 27 marca 1996 r. zakazywało wyłączenia adwokatów nieposiadających poświadczenia bezpieczeństwa ze spraw dotyczących tajemnic państwowych, ponieważ w celu uzyskania poświadczenia bezpieczeństwa musieliby oni przejść procedurę weryfikacji przez FSB, a więc służbę jednocześnie odpowiedzialną za prowadzenie śledztwa w takich sprawach. Sytuacja adwokatów była zatem odmienna od sytuacji przysięgłych. Co więcej, czterech wspomnianych członków ławy przysięgłych uzyskało poświadczenie bezpieczeństwa przed rozpoczęciem procesu.</w:t>
      </w:r>
    </w:p>
    <w:p w14:paraId="44D7AB9A" w14:textId="77777777" w:rsidR="005652E0" w:rsidRPr="00A34A82" w:rsidRDefault="005652E0" w:rsidP="00A34A82">
      <w:pPr>
        <w:pStyle w:val="JuH1"/>
        <w:numPr>
          <w:ilvl w:val="3"/>
          <w:numId w:val="1"/>
        </w:numPr>
        <w:jc w:val="left"/>
      </w:pPr>
      <w:r>
        <w:lastRenderedPageBreak/>
        <w:t>Ocena Trybunału</w:t>
      </w:r>
    </w:p>
    <w:p w14:paraId="20DF02F9" w14:textId="3BCB5DDA" w:rsidR="005652E0" w:rsidRPr="00A34A82" w:rsidRDefault="001410DD" w:rsidP="00A34A82">
      <w:pPr>
        <w:pStyle w:val="JuHa0"/>
        <w:numPr>
          <w:ilvl w:val="4"/>
          <w:numId w:val="1"/>
        </w:numPr>
        <w:jc w:val="left"/>
      </w:pPr>
      <w:r>
        <w:t>Zasady o</w:t>
      </w:r>
      <w:r w:rsidR="005652E0">
        <w:t xml:space="preserve">gólne </w:t>
      </w:r>
    </w:p>
    <w:p w14:paraId="2681BDA3" w14:textId="28AA7956" w:rsidR="005652E0" w:rsidRPr="00A34A82" w:rsidRDefault="0085731C" w:rsidP="00A34A82">
      <w:pPr>
        <w:pStyle w:val="JuPara"/>
      </w:pPr>
      <w:fldSimple w:instr=" SEQ level0 \*arabic ">
        <w:r w:rsidR="00A34A82" w:rsidRPr="00A34A82">
          <w:t>94</w:t>
        </w:r>
      </w:fldSimple>
      <w:r w:rsidR="005652E0">
        <w:t>.  Trybunał przeanalizuje t</w:t>
      </w:r>
      <w:r w:rsidR="001410DD">
        <w:t>ą</w:t>
      </w:r>
      <w:r w:rsidR="005652E0">
        <w:t xml:space="preserve"> kwestie w świetle istotnych zasad ogólnych podsumowanych w wyroku </w:t>
      </w:r>
      <w:proofErr w:type="spellStart"/>
      <w:r w:rsidR="005652E0">
        <w:rPr>
          <w:i/>
        </w:rPr>
        <w:t>Kyprianou</w:t>
      </w:r>
      <w:proofErr w:type="spellEnd"/>
      <w:r w:rsidR="005652E0">
        <w:rPr>
          <w:i/>
        </w:rPr>
        <w:t xml:space="preserve"> przeciwko Cyprowi</w:t>
      </w:r>
      <w:r w:rsidR="005652E0">
        <w:t xml:space="preserve"> ([WI], skarga nr 73797/01, §§ 118-121, ETPC 2005</w:t>
      </w:r>
      <w:r w:rsidR="005652E0">
        <w:noBreakHyphen/>
        <w:t>XIII i </w:t>
      </w:r>
      <w:proofErr w:type="spellStart"/>
      <w:r w:rsidR="005652E0">
        <w:rPr>
          <w:i/>
        </w:rPr>
        <w:t>Micallef</w:t>
      </w:r>
      <w:proofErr w:type="spellEnd"/>
      <w:r w:rsidR="005652E0">
        <w:rPr>
          <w:i/>
        </w:rPr>
        <w:t xml:space="preserve"> przeciwko Malta</w:t>
      </w:r>
      <w:r w:rsidR="005652E0">
        <w:t xml:space="preserve"> [WI], skarga nr 17056/06, §§ 93–99, ETPC 2009).</w:t>
      </w:r>
    </w:p>
    <w:p w14:paraId="5A54CC03" w14:textId="29834A49" w:rsidR="005652E0" w:rsidRPr="00A34A82" w:rsidRDefault="005652E0" w:rsidP="00A34A82">
      <w:pPr>
        <w:pStyle w:val="JuPara"/>
      </w:pPr>
      <w:r w:rsidRPr="00A34A82">
        <w:rPr>
          <w:rFonts w:ascii="Times New Roman" w:eastAsia="Calibri" w:hAnsi="Times New Roman" w:cs="Times New Roman"/>
        </w:rPr>
        <w:fldChar w:fldCharType="begin"/>
      </w:r>
      <w:r w:rsidRPr="00A34A82">
        <w:rPr>
          <w:rFonts w:ascii="Times New Roman" w:eastAsia="Calibri" w:hAnsi="Times New Roman" w:cs="Times New Roman"/>
        </w:rPr>
        <w:instrText xml:space="preserve"> SEQ level0 \*arabic </w:instrText>
      </w:r>
      <w:r w:rsidRPr="00A34A82">
        <w:rPr>
          <w:rFonts w:ascii="Times New Roman" w:eastAsia="Calibri" w:hAnsi="Times New Roman" w:cs="Times New Roman"/>
        </w:rPr>
        <w:fldChar w:fldCharType="separate"/>
      </w:r>
      <w:r w:rsidR="00A34A82" w:rsidRPr="00A34A82">
        <w:rPr>
          <w:rFonts w:ascii="Times New Roman" w:eastAsia="Calibri" w:hAnsi="Times New Roman" w:cs="Times New Roman"/>
        </w:rPr>
        <w:t>95</w:t>
      </w:r>
      <w:r w:rsidRPr="00A34A82">
        <w:rPr>
          <w:rFonts w:ascii="Times New Roman" w:eastAsia="Calibri" w:hAnsi="Times New Roman" w:cs="Times New Roman"/>
        </w:rPr>
        <w:fldChar w:fldCharType="end"/>
      </w:r>
      <w:r>
        <w:rPr>
          <w:rFonts w:ascii="Times New Roman" w:hAnsi="Times New Roman"/>
        </w:rPr>
        <w:t>.  Trybunał powtarza również, że</w:t>
      </w:r>
      <w:r>
        <w:t xml:space="preserve"> nawet sprawiane wrażenia mogą mieć pewne znaczenie, </w:t>
      </w:r>
      <w:r w:rsidR="001410DD">
        <w:t>jako że</w:t>
      </w:r>
      <w:r>
        <w:t xml:space="preserve"> „sprawiedliwość należy nie tylko czynić, ale również sprawiać, by jej czynienie zostało dostrzeżone” (zob. </w:t>
      </w:r>
      <w:r>
        <w:rPr>
          <w:i/>
        </w:rPr>
        <w:t xml:space="preserve">De </w:t>
      </w:r>
      <w:proofErr w:type="spellStart"/>
      <w:r>
        <w:rPr>
          <w:i/>
        </w:rPr>
        <w:t>Cubber</w:t>
      </w:r>
      <w:proofErr w:type="spellEnd"/>
      <w:r>
        <w:rPr>
          <w:i/>
        </w:rPr>
        <w:t xml:space="preserve"> przeciwko Belgii</w:t>
      </w:r>
      <w:r>
        <w:t xml:space="preserve">, 26 października 1984 r., § 26, seria A nr 86). Oznacza to, że </w:t>
      </w:r>
      <w:r w:rsidR="001410DD">
        <w:t>decydując</w:t>
      </w:r>
      <w:r>
        <w:t xml:space="preserve">, czy w danej sprawie istnieje uprawniony powód, by obawiać się </w:t>
      </w:r>
      <w:r w:rsidR="001410DD">
        <w:t xml:space="preserve">braku </w:t>
      </w:r>
      <w:r>
        <w:t>bezstronnoś</w:t>
      </w:r>
      <w:r w:rsidR="001410DD">
        <w:t>ci</w:t>
      </w:r>
      <w:r>
        <w:t xml:space="preserve"> konkretnego sędziego lub członka ławy przysięgłych, punkt widzenia </w:t>
      </w:r>
      <w:r w:rsidR="001410DD">
        <w:t>oskarżonego</w:t>
      </w:r>
      <w:r>
        <w:t xml:space="preserve"> jest ważny, ale nie decydujący. Decydując</w:t>
      </w:r>
      <w:r w:rsidR="001410DD">
        <w:t>e</w:t>
      </w:r>
      <w:r>
        <w:t xml:space="preserve"> jest, czy taką obawę da się obiektywnie uzasadnić (zob. </w:t>
      </w:r>
      <w:proofErr w:type="spellStart"/>
      <w:r>
        <w:rPr>
          <w:i/>
        </w:rPr>
        <w:t>Huseyn</w:t>
      </w:r>
      <w:proofErr w:type="spellEnd"/>
      <w:r>
        <w:rPr>
          <w:i/>
        </w:rPr>
        <w:t xml:space="preserve"> i </w:t>
      </w:r>
      <w:r w:rsidR="001410DD">
        <w:rPr>
          <w:i/>
        </w:rPr>
        <w:t>I</w:t>
      </w:r>
      <w:r>
        <w:rPr>
          <w:i/>
        </w:rPr>
        <w:t>nni przeciwko Azerbejdżanowi</w:t>
      </w:r>
      <w:r>
        <w:t>, skargi nr 35485/05 i 3 inne, § 161, 26 lipca 2011 r.).</w:t>
      </w:r>
    </w:p>
    <w:p w14:paraId="022378F8" w14:textId="348F2CD2" w:rsidR="005652E0" w:rsidRPr="00A34A82" w:rsidRDefault="0085731C" w:rsidP="00A34A82">
      <w:pPr>
        <w:pStyle w:val="JuPara"/>
      </w:pPr>
      <w:fldSimple w:instr=" SEQ level0 \*arabic ">
        <w:r w:rsidR="00A34A82" w:rsidRPr="00A34A82">
          <w:t>96</w:t>
        </w:r>
      </w:fldSimple>
      <w:r w:rsidR="005652E0">
        <w:t xml:space="preserve">.  Wreszcie Trybunał przypomina, że to do krajowych organów sądowych należy zweryfikowanie, czy </w:t>
      </w:r>
      <w:r w:rsidR="001410DD">
        <w:t xml:space="preserve">- </w:t>
      </w:r>
      <w:r w:rsidR="005652E0">
        <w:t xml:space="preserve">zgodnie z wymogami art. 6 ust. 1 Konwencji </w:t>
      </w:r>
      <w:r w:rsidR="001410DD">
        <w:t xml:space="preserve">- </w:t>
      </w:r>
      <w:r w:rsidR="005652E0">
        <w:t xml:space="preserve">sąd </w:t>
      </w:r>
      <w:r w:rsidR="001410DD">
        <w:t>rozpoznający sprawę</w:t>
      </w:r>
      <w:r w:rsidR="005652E0">
        <w:t xml:space="preserve"> był „bezstronnym sądem” w rozumieniu tego </w:t>
      </w:r>
      <w:r w:rsidR="001410DD">
        <w:t>artykułu</w:t>
      </w:r>
      <w:r w:rsidR="005652E0">
        <w:t>, w sytuacji gdy jest to przedmiotem sporu ze względu na okoliczności, które nie jawią się na pierwszy rzut oka jako w sposób oczywisty pozbawione zasadności. Przy dokonywaniu takiej weryfikacji mają one obowiązek wykorzystać wszystkie środki, jakimi dysponują, by wyeliminować wątpliwości co do rzeczywistości i charakteru zarzutów skarżącego (zob. </w:t>
      </w:r>
      <w:proofErr w:type="spellStart"/>
      <w:r w:rsidR="005652E0">
        <w:rPr>
          <w:i/>
        </w:rPr>
        <w:t>Farhi</w:t>
      </w:r>
      <w:proofErr w:type="spellEnd"/>
      <w:r w:rsidR="005652E0">
        <w:rPr>
          <w:i/>
        </w:rPr>
        <w:t xml:space="preserve"> przeciwko Francji</w:t>
      </w:r>
      <w:r w:rsidR="005652E0">
        <w:t>, skarga nr 17070/05, §§ 25 i 28, 16 stycznia 2007 r.).</w:t>
      </w:r>
    </w:p>
    <w:p w14:paraId="25E46875" w14:textId="77777777" w:rsidR="005652E0" w:rsidRPr="00A34A82" w:rsidRDefault="005652E0" w:rsidP="00A34A82">
      <w:pPr>
        <w:pStyle w:val="JuHa0"/>
        <w:numPr>
          <w:ilvl w:val="4"/>
          <w:numId w:val="1"/>
        </w:numPr>
        <w:jc w:val="left"/>
      </w:pPr>
      <w:r>
        <w:t>Zastosowanie zasad ogólnych w okolicznościach faktycznych niniejszej sprawy</w:t>
      </w:r>
    </w:p>
    <w:p w14:paraId="46882A58" w14:textId="3601B3D1" w:rsidR="005652E0" w:rsidRPr="00A34A82" w:rsidRDefault="0085731C" w:rsidP="00A34A82">
      <w:pPr>
        <w:pStyle w:val="JuPara"/>
      </w:pPr>
      <w:fldSimple w:instr=" SEQ level0 \*arabic ">
        <w:r w:rsidR="00A34A82" w:rsidRPr="00A34A82">
          <w:t>97</w:t>
        </w:r>
      </w:fldSimple>
      <w:r w:rsidR="005652E0">
        <w:t>.  Przechodząc do niniejszej sprawy, Trybunał zauważa, że zarzuty skarżącego w stosunku do przysięgłych z poświadczeniem bezpieczeństwa nie zawierają zarzutów dotyczących faktycznej subiektywnej stronniczości, a zatem podlegają zbadaniu z zastosowaniem obiektywnego kryterium bezstronności.</w:t>
      </w:r>
    </w:p>
    <w:bookmarkStart w:id="40" w:name="_Hlk56066327"/>
    <w:p w14:paraId="70CD5AA4" w14:textId="77777777"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98</w:t>
      </w:r>
      <w:r w:rsidRPr="00A34A82">
        <w:fldChar w:fldCharType="end"/>
      </w:r>
      <w:r>
        <w:t>.  Trybunał zauważa ponadto, że skarżący i Rząd nie zgadzają się w ocenie prawdopodobieństwa tego, że losowy dobór może prowadzić do sytuacji, w której czterech z dwunastu (jedna trzecia) wybranych członków ławy przysięgłych posiada poświadczenie bezpieczeństwa. Chociaż wydaje się, że rosyjska ustawa (zob. par. </w:t>
      </w:r>
      <w:r w:rsidRPr="00A34A82">
        <w:fldChar w:fldCharType="begin"/>
      </w:r>
      <w:r w:rsidRPr="00A34A82">
        <w:instrText xml:space="preserve"> REF nonexaust_list_people_securityclearance \h  \* MERGEFORMAT </w:instrText>
      </w:r>
      <w:r w:rsidRPr="00A34A82">
        <w:fldChar w:fldCharType="separate"/>
      </w:r>
      <w:r w:rsidR="00A34A82" w:rsidRPr="00A34A82">
        <w:t>68</w:t>
      </w:r>
      <w:r w:rsidRPr="00A34A82">
        <w:fldChar w:fldCharType="end"/>
      </w:r>
      <w:r>
        <w:t xml:space="preserve"> powyżej) przewiduje możliwość wydania poświadczenia bezpieczeństwa licznym kategoriom osób, Trybunał uważa za wątpliwe, aby poświadczenie bezpieczeństwa, a więc dostęp do tajemnic państwowych, posiadała tak znaczna część rosyjskiego społeczeństwa, jeżeli ławę przysięgłych uznawać za reprezentatywne odbicie sytuacji w tym zakresie.</w:t>
      </w:r>
    </w:p>
    <w:p w14:paraId="111B3C45" w14:textId="45362A6D" w:rsidR="005652E0" w:rsidRPr="00A34A82" w:rsidRDefault="0085731C" w:rsidP="00A34A82">
      <w:pPr>
        <w:pStyle w:val="JuPara"/>
      </w:pPr>
      <w:fldSimple w:instr=" SEQ level0 \*arabic ">
        <w:r w:rsidR="00A34A82" w:rsidRPr="00A34A82">
          <w:t>99</w:t>
        </w:r>
      </w:fldSimple>
      <w:r w:rsidR="005652E0">
        <w:t xml:space="preserve">.  Trybunał zauważa ponadto, że obawy skarżącego co do </w:t>
      </w:r>
      <w:r w:rsidR="00AE16E0">
        <w:t>bycia sadzonym przez</w:t>
      </w:r>
      <w:r w:rsidR="005652E0">
        <w:t xml:space="preserve"> członków ławy przysięgłych posiadających poświadczenie bezpieczeństwa nie </w:t>
      </w:r>
      <w:r w:rsidR="00AE16E0">
        <w:t>odnoszą się do braku generalnego ustawowego zakazu</w:t>
      </w:r>
      <w:r w:rsidR="005652E0">
        <w:t xml:space="preserve"> </w:t>
      </w:r>
      <w:r w:rsidR="00AE16E0">
        <w:t xml:space="preserve">działania </w:t>
      </w:r>
      <w:r w:rsidR="005652E0">
        <w:t>takich osób w charakterze przysięgłych, a</w:t>
      </w:r>
      <w:r w:rsidR="00AE16E0">
        <w:t>le</w:t>
      </w:r>
      <w:r w:rsidR="005652E0">
        <w:t xml:space="preserve"> raczej </w:t>
      </w:r>
      <w:r w:rsidR="00AE16E0">
        <w:t>do faktu</w:t>
      </w:r>
      <w:r w:rsidR="005652E0">
        <w:t xml:space="preserve"> zasiadania </w:t>
      </w:r>
      <w:r w:rsidR="00AE16E0">
        <w:t xml:space="preserve">przez nich </w:t>
      </w:r>
      <w:r w:rsidR="005652E0">
        <w:t>w ławie przysięgłych w konkretnej sprawie prowadzonej przeciwko skarżącemu (zob. </w:t>
      </w:r>
      <w:proofErr w:type="spellStart"/>
      <w:r w:rsidR="005652E0">
        <w:rPr>
          <w:i/>
        </w:rPr>
        <w:t>Hanif</w:t>
      </w:r>
      <w:proofErr w:type="spellEnd"/>
      <w:r w:rsidR="005652E0">
        <w:rPr>
          <w:i/>
        </w:rPr>
        <w:t xml:space="preserve"> i Khan przeciwko Zjednoczonemu Królestwu</w:t>
      </w:r>
      <w:r w:rsidR="005652E0">
        <w:t xml:space="preserve">, skargi nr 52999/08 i 61779/08, § 145, 20 grudnia 2011 r.). Ponieważ skarżącego oskarżono o zdradę </w:t>
      </w:r>
      <w:r w:rsidR="00AE16E0">
        <w:t xml:space="preserve">w postaci </w:t>
      </w:r>
      <w:r w:rsidR="005652E0">
        <w:t>ujawnieni</w:t>
      </w:r>
      <w:r w:rsidR="00AE16E0">
        <w:t>a</w:t>
      </w:r>
      <w:r w:rsidR="005652E0">
        <w:t xml:space="preserve"> tajemnicy państwowej, śledztwo przeciwko niemu było prowadzone przez FSB. Jak wynika z prawa rosyjskiego (zob. par. </w:t>
      </w:r>
      <w:r w:rsidR="005652E0" w:rsidRPr="00A34A82">
        <w:fldChar w:fldCharType="begin"/>
      </w:r>
      <w:r w:rsidR="005652E0" w:rsidRPr="00A34A82">
        <w:instrText xml:space="preserve"> REF security_clearance_FSB_procedure \h  \* MERGEFORMAT </w:instrText>
      </w:r>
      <w:r w:rsidR="005652E0" w:rsidRPr="00A34A82">
        <w:fldChar w:fldCharType="separate"/>
      </w:r>
      <w:r w:rsidR="00A34A82" w:rsidRPr="00A34A82">
        <w:t>69</w:t>
      </w:r>
      <w:r w:rsidR="005652E0" w:rsidRPr="00A34A82">
        <w:fldChar w:fldCharType="end"/>
      </w:r>
      <w:r w:rsidR="005652E0">
        <w:t xml:space="preserve"> powyżej), orzeczenia rosyjskiego Trybunału Konstytucyjnego (zob. </w:t>
      </w:r>
      <w:r w:rsidR="005652E0" w:rsidRPr="00A34A82">
        <w:fldChar w:fldCharType="begin"/>
      </w:r>
      <w:r w:rsidR="005652E0" w:rsidRPr="00A34A82">
        <w:instrText xml:space="preserve"> REF ConstCourt_dec_security_clearance \h  \* MERGEFORMAT </w:instrText>
      </w:r>
      <w:r w:rsidR="005652E0" w:rsidRPr="00A34A82">
        <w:fldChar w:fldCharType="separate"/>
      </w:r>
      <w:r w:rsidR="00A34A82" w:rsidRPr="00A34A82">
        <w:t>70</w:t>
      </w:r>
      <w:r w:rsidR="005652E0" w:rsidRPr="00A34A82">
        <w:fldChar w:fldCharType="end"/>
      </w:r>
      <w:r w:rsidR="005652E0">
        <w:t xml:space="preserve"> powyżej) i stanowisk stron, osoby z poświadczeniem bezpieczeństwa, które jest konieczne do wykonywania pracy na określonych stanowiskach, muszą przejść specjalną procedurę weryfikacji </w:t>
      </w:r>
      <w:r w:rsidR="00AE16E0">
        <w:t>prze</w:t>
      </w:r>
      <w:r w:rsidR="005652E0">
        <w:t>prowadz</w:t>
      </w:r>
      <w:r w:rsidR="00AE16E0">
        <w:t>a</w:t>
      </w:r>
      <w:r w:rsidR="005652E0">
        <w:t xml:space="preserve">ną przez FSB. Co więcej, z rosyjskiego prawa (ibid.) wynika również, o czym świadczy sprawa skarżącego, że FSB </w:t>
      </w:r>
      <w:r w:rsidR="00AE16E0">
        <w:t xml:space="preserve">kontynuuje monitorowanie osób </w:t>
      </w:r>
      <w:r w:rsidR="005652E0">
        <w:t xml:space="preserve">z poświadczeniem bezpieczeństwa i przestrzeganie przez nie zakazu ujawniania tajemnic państwowych. Trybunał uważa, że posiadanie poświadczenia bezpieczeństwa nie </w:t>
      </w:r>
      <w:r w:rsidR="00AE16E0">
        <w:t xml:space="preserve">oznacza </w:t>
      </w:r>
      <w:r w:rsidR="005652E0">
        <w:t>automatycznie brak</w:t>
      </w:r>
      <w:r w:rsidR="00AE16E0">
        <w:t>u</w:t>
      </w:r>
      <w:r w:rsidR="005652E0">
        <w:t xml:space="preserve"> bezstronności. Biorąc jednak pod uwagę, że FSB postawiła skarżącemu zarzut zdrady </w:t>
      </w:r>
      <w:r w:rsidR="00AE16E0">
        <w:t>poprzez ujawnienie</w:t>
      </w:r>
      <w:r w:rsidR="005652E0">
        <w:t xml:space="preserve"> tajemnicy państwowej, jego obawa, że członkowie ławy przysięgłych posiadający poświadczenie bezpieczeństwa mogą pozostawać przynajmniej w pewnym stopniu pod wpływem stronniczych rozważań, </w:t>
      </w:r>
      <w:r w:rsidR="00AE16E0">
        <w:t xml:space="preserve">wydaje </w:t>
      </w:r>
      <w:r w:rsidR="005652E0">
        <w:t xml:space="preserve">się </w:t>
      </w:r>
      <w:r w:rsidR="00AE16E0">
        <w:t xml:space="preserve">na tyle </w:t>
      </w:r>
      <w:r w:rsidR="005652E0">
        <w:t xml:space="preserve">poważna, aby uzasadnione było gruntowne </w:t>
      </w:r>
      <w:r w:rsidR="00AE16E0">
        <w:t xml:space="preserve">zbadanie </w:t>
      </w:r>
      <w:r w:rsidR="005652E0">
        <w:t>tej kwestii przez przewodniczącego składu orzekającego.</w:t>
      </w:r>
    </w:p>
    <w:p w14:paraId="5CE3CBC0" w14:textId="159832BC" w:rsidR="005652E0" w:rsidRPr="00A34A82" w:rsidRDefault="0085731C" w:rsidP="00A34A82">
      <w:pPr>
        <w:pStyle w:val="JuPara"/>
      </w:pPr>
      <w:fldSimple w:instr=" SEQ level0 \*arabic ">
        <w:r w:rsidR="00A34A82" w:rsidRPr="00A34A82">
          <w:t>100</w:t>
        </w:r>
      </w:fldSimple>
      <w:r w:rsidR="005652E0">
        <w:t xml:space="preserve">.  Ponieważ wątpliwości skarżącego co do bezstronności przysięgłych posiadających poświadczenie bezpieczeństwa były </w:t>
      </w:r>
      <w:r w:rsidR="00AE16E0">
        <w:t xml:space="preserve">na tyle </w:t>
      </w:r>
      <w:r w:rsidR="005652E0">
        <w:t xml:space="preserve">poważne, aby uzasadnione było gruntowne </w:t>
      </w:r>
      <w:r w:rsidR="00AE16E0">
        <w:t xml:space="preserve">zbadanie </w:t>
      </w:r>
      <w:r w:rsidR="005652E0">
        <w:t xml:space="preserve">tej kwestii, Trybunał przejdzie do zweryfikowania, w jaki sposób sędzia przewodniczący odniósł się do obaw skarżącego. Trybunał zauważa, że </w:t>
      </w:r>
      <w:r w:rsidR="00AE16E0">
        <w:t>s</w:t>
      </w:r>
      <w:r w:rsidR="005652E0">
        <w:t xml:space="preserve">formułowane przez skarżącego zarzuty w tym względzie zostały oddalone </w:t>
      </w:r>
      <w:r w:rsidR="00AE16E0">
        <w:t>z następujących powodów</w:t>
      </w:r>
      <w:r w:rsidR="005652E0">
        <w:t xml:space="preserve">. Ponieważ posiadanie poświadczenia bezpieczeństwa nie jest jedną z podstaw, które </w:t>
      </w:r>
      <w:r w:rsidR="00B51E20">
        <w:t xml:space="preserve">generalnie </w:t>
      </w:r>
      <w:r w:rsidR="005652E0">
        <w:t>dyskwalifikuj</w:t>
      </w:r>
      <w:r w:rsidR="00B51E20">
        <w:t>ą kogoś z ławy</w:t>
      </w:r>
      <w:r w:rsidR="005652E0">
        <w:t xml:space="preserve"> przysięgłych w świetle rosyjskiego prawa (zob. par. </w:t>
      </w:r>
      <w:r w:rsidR="005652E0" w:rsidRPr="00A34A82">
        <w:fldChar w:fldCharType="begin"/>
      </w:r>
      <w:r w:rsidR="005652E0" w:rsidRPr="00A34A82">
        <w:instrText xml:space="preserve"> REF people_excl_jury_service_Start \h  \* MERGEFORMAT </w:instrText>
      </w:r>
      <w:r w:rsidR="005652E0" w:rsidRPr="00A34A82">
        <w:fldChar w:fldCharType="separate"/>
      </w:r>
      <w:r w:rsidR="00A34A82" w:rsidRPr="00A34A82">
        <w:t>64</w:t>
      </w:r>
      <w:r w:rsidR="005652E0" w:rsidRPr="00A34A82">
        <w:fldChar w:fldCharType="end"/>
      </w:r>
      <w:r w:rsidR="005652E0">
        <w:t>-</w:t>
      </w:r>
      <w:r w:rsidR="005652E0" w:rsidRPr="00A34A82">
        <w:fldChar w:fldCharType="begin"/>
      </w:r>
      <w:r w:rsidR="005652E0" w:rsidRPr="00A34A82">
        <w:instrText xml:space="preserve"> REF people_excl_jury_service_End \h  \* MERGEFORMAT </w:instrText>
      </w:r>
      <w:r w:rsidR="005652E0" w:rsidRPr="00A34A82">
        <w:fldChar w:fldCharType="separate"/>
      </w:r>
      <w:r w:rsidR="00A34A82" w:rsidRPr="00A34A82">
        <w:t>65</w:t>
      </w:r>
      <w:r w:rsidR="005652E0" w:rsidRPr="00A34A82">
        <w:fldChar w:fldCharType="end"/>
      </w:r>
      <w:r w:rsidR="005652E0">
        <w:t xml:space="preserve"> powyżej), sędzia uznał, że fakt, iż niektórzy członkowie ławy przysięgłych posiadają poświadczenie bezpieczeństwa nie </w:t>
      </w:r>
      <w:r w:rsidR="00B51E20">
        <w:t xml:space="preserve">mógł </w:t>
      </w:r>
      <w:r w:rsidR="005652E0">
        <w:t>wpływać na ich bezstronność (zob. par. </w:t>
      </w:r>
      <w:r w:rsidR="005652E0" w:rsidRPr="00A34A82">
        <w:fldChar w:fldCharType="begin"/>
      </w:r>
      <w:r w:rsidR="005652E0" w:rsidRPr="00A34A82">
        <w:instrText xml:space="preserve"> REF Reg_Court_re_jurors \h  \* MERGEFORMAT </w:instrText>
      </w:r>
      <w:r w:rsidR="005652E0" w:rsidRPr="00A34A82">
        <w:fldChar w:fldCharType="separate"/>
      </w:r>
      <w:r w:rsidR="00A34A82" w:rsidRPr="00A34A82">
        <w:t>35</w:t>
      </w:r>
      <w:r w:rsidR="005652E0" w:rsidRPr="00A34A82">
        <w:fldChar w:fldCharType="end"/>
      </w:r>
      <w:r w:rsidR="005652E0">
        <w:t xml:space="preserve">, </w:t>
      </w:r>
      <w:r w:rsidR="005652E0" w:rsidRPr="00A34A82">
        <w:fldChar w:fldCharType="begin"/>
      </w:r>
      <w:r w:rsidR="005652E0" w:rsidRPr="00A34A82">
        <w:instrText xml:space="preserve"> REF Supreme_Court_re_jury_and_experts \h  \* MERGEFORMAT </w:instrText>
      </w:r>
      <w:r w:rsidR="005652E0" w:rsidRPr="00A34A82">
        <w:fldChar w:fldCharType="separate"/>
      </w:r>
      <w:r w:rsidR="00A34A82" w:rsidRPr="00A34A82">
        <w:t>56</w:t>
      </w:r>
      <w:r w:rsidR="005652E0" w:rsidRPr="00A34A82">
        <w:fldChar w:fldCharType="end"/>
      </w:r>
      <w:r w:rsidR="005652E0">
        <w:t xml:space="preserve"> i </w:t>
      </w:r>
      <w:r w:rsidR="005652E0" w:rsidRPr="00A34A82">
        <w:fldChar w:fldCharType="begin"/>
      </w:r>
      <w:r w:rsidR="005652E0" w:rsidRPr="00A34A82">
        <w:instrText xml:space="preserve"> REF Govt_re_security_clear_jurors \h  \* MERGEFORMAT </w:instrText>
      </w:r>
      <w:r w:rsidR="005652E0" w:rsidRPr="00A34A82">
        <w:fldChar w:fldCharType="separate"/>
      </w:r>
      <w:r w:rsidR="00A34A82" w:rsidRPr="00A34A82">
        <w:t>89</w:t>
      </w:r>
      <w:r w:rsidR="005652E0" w:rsidRPr="00A34A82">
        <w:fldChar w:fldCharType="end"/>
      </w:r>
      <w:r w:rsidR="005652E0">
        <w:t xml:space="preserve"> powyżej). W rezultacie Trybunał uważa, że zastrzeżenia skarżącego wobec przysięgłych z poświadczeniem bezpieczeństwa uczestniczących w jego konkretnej sprawie, dotyczącej zarzucanego ujawnienia tajemnicy państwowej, zostały oddalone z powołaniem się na zasady ogólne, bez </w:t>
      </w:r>
      <w:r w:rsidR="00B51E20">
        <w:t xml:space="preserve">rozważenia </w:t>
      </w:r>
      <w:r w:rsidR="005652E0">
        <w:t>charakteru i przedmiotu procesu, i ze względów czysto formalnych</w:t>
      </w:r>
      <w:r w:rsidR="00B51E20">
        <w:t>:</w:t>
      </w:r>
      <w:r w:rsidR="005652E0">
        <w:t xml:space="preserve"> decyzję uzasadniono tym, że obowiązujące przepisy nie przewidują, aby poświadczenia bezpieczeństwa stanowiło podstawę dyskwalifikacji </w:t>
      </w:r>
      <w:r w:rsidR="00B51E20">
        <w:t>kogokolwiek z ławy</w:t>
      </w:r>
      <w:r w:rsidR="005652E0">
        <w:t xml:space="preserve"> przysięgłych. Sądy krajowe nie podjęły zatem </w:t>
      </w:r>
      <w:r w:rsidR="005652E0">
        <w:lastRenderedPageBreak/>
        <w:t xml:space="preserve">wystarczających działań, aby zweryfikować, czy sąd prowadzący postępowanie został ustanowiony jako bezstronny sąd w rozumieniu art. 6 Konwencji i nie zaproponowały wystarczających gwarancji, które pozwoliłyby wyeliminować wątpliwości w tym względzie (zob. z kolei </w:t>
      </w:r>
      <w:r w:rsidR="005652E0">
        <w:rPr>
          <w:i/>
        </w:rPr>
        <w:t>Gregory przeciwko Zjednoczonemu Królestwu</w:t>
      </w:r>
      <w:r w:rsidR="005652E0">
        <w:t xml:space="preserve">, 25 lutego 1997 r., §§ 48–49, </w:t>
      </w:r>
      <w:r w:rsidR="005652E0">
        <w:rPr>
          <w:i/>
        </w:rPr>
        <w:t>Zbiór wyroków i decyzji</w:t>
      </w:r>
      <w:r w:rsidR="005652E0">
        <w:t xml:space="preserve"> 1997</w:t>
      </w:r>
      <w:r w:rsidR="005652E0">
        <w:noBreakHyphen/>
        <w:t>I).</w:t>
      </w:r>
    </w:p>
    <w:bookmarkStart w:id="41" w:name="Court_concl_re_jury_Start"/>
    <w:bookmarkEnd w:id="40"/>
    <w:p w14:paraId="2A0C76CB" w14:textId="63162249"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101</w:t>
      </w:r>
      <w:r w:rsidRPr="00A34A82">
        <w:fldChar w:fldCharType="end"/>
      </w:r>
      <w:bookmarkEnd w:id="41"/>
      <w:r>
        <w:t xml:space="preserve">.  W świetle powyższego Trybunał uważa, że wątpliwości skarżącego </w:t>
      </w:r>
      <w:r w:rsidR="00B51E20">
        <w:t xml:space="preserve">co do </w:t>
      </w:r>
      <w:r>
        <w:t xml:space="preserve">bezstronności sądu </w:t>
      </w:r>
      <w:r w:rsidR="00B51E20">
        <w:t>rozpoznającego jego sprawę</w:t>
      </w:r>
      <w:r>
        <w:t xml:space="preserve"> karn</w:t>
      </w:r>
      <w:r w:rsidR="00B51E20">
        <w:t>ą</w:t>
      </w:r>
      <w:r>
        <w:t xml:space="preserve"> można uznać za obiektywnie uzasadnione</w:t>
      </w:r>
      <w:r w:rsidR="00B51E20">
        <w:t>,</w:t>
      </w:r>
      <w:r>
        <w:t xml:space="preserve"> z uwagi na udział </w:t>
      </w:r>
      <w:r w:rsidR="00B51E20">
        <w:t>w niej</w:t>
      </w:r>
      <w:r>
        <w:t xml:space="preserve"> przysięgłych z poświadczeniem bezpieczeństwa, oraz że nie zostały one wyeliminowane gwarancjami proceduralnymi.</w:t>
      </w:r>
    </w:p>
    <w:bookmarkStart w:id="42" w:name="Court_concl_re_jury_End"/>
    <w:p w14:paraId="3B360EC1" w14:textId="632E2BA0"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102</w:t>
      </w:r>
      <w:r w:rsidRPr="00A34A82">
        <w:fldChar w:fldCharType="end"/>
      </w:r>
      <w:bookmarkEnd w:id="42"/>
      <w:r>
        <w:t>.  W związku z tym nastąpiło naruszenie art. 6 ust. 1 Konwencji ze względu na brak bezstronności sądu ocenianej w świetle kryterium obiektywnego.</w:t>
      </w:r>
    </w:p>
    <w:p w14:paraId="23E0E71E" w14:textId="7B392480" w:rsidR="005652E0" w:rsidRPr="00A34A82" w:rsidRDefault="0085731C" w:rsidP="00A34A82">
      <w:pPr>
        <w:pStyle w:val="JuPara"/>
      </w:pPr>
      <w:fldSimple w:instr=" SEQ level0 \*arabic ">
        <w:r w:rsidR="00A34A82" w:rsidRPr="00A34A82">
          <w:t>103</w:t>
        </w:r>
      </w:fldSimple>
      <w:r w:rsidR="005652E0">
        <w:t xml:space="preserve">.  Z uwagi na powyższe Trybunał nie uznaje za konieczne, by </w:t>
      </w:r>
      <w:r w:rsidR="00B51E20">
        <w:t xml:space="preserve">badać </w:t>
      </w:r>
      <w:r w:rsidR="005652E0">
        <w:t xml:space="preserve">odrębnie inne obawy skarżącego dotyczące bezstronności </w:t>
      </w:r>
      <w:r w:rsidR="00B51E20">
        <w:t>innych</w:t>
      </w:r>
      <w:r w:rsidR="005652E0">
        <w:t xml:space="preserve"> przysięgłych i sędzi K. (zob. </w:t>
      </w:r>
      <w:proofErr w:type="spellStart"/>
      <w:r w:rsidR="005652E0">
        <w:rPr>
          <w:i/>
        </w:rPr>
        <w:t>Sutyagin</w:t>
      </w:r>
      <w:proofErr w:type="spellEnd"/>
      <w:r w:rsidR="005652E0">
        <w:rPr>
          <w:i/>
        </w:rPr>
        <w:t xml:space="preserve"> przeciwko Rosji</w:t>
      </w:r>
      <w:r w:rsidR="005652E0">
        <w:t>, skarga nr 30024/02, § 194, 3 maja 2011 r.).</w:t>
      </w:r>
    </w:p>
    <w:p w14:paraId="060F3E0C" w14:textId="77777777" w:rsidR="005652E0" w:rsidRPr="00A34A82" w:rsidRDefault="005652E0" w:rsidP="00A34A82">
      <w:pPr>
        <w:pStyle w:val="JuHA"/>
        <w:numPr>
          <w:ilvl w:val="2"/>
          <w:numId w:val="1"/>
        </w:numPr>
        <w:jc w:val="left"/>
      </w:pPr>
      <w:r>
        <w:t>Przesłuchanie biegłych oskarżenia</w:t>
      </w:r>
    </w:p>
    <w:p w14:paraId="11CC052A" w14:textId="77777777" w:rsidR="005652E0" w:rsidRPr="00A34A82" w:rsidRDefault="005652E0" w:rsidP="00A34A82">
      <w:pPr>
        <w:pStyle w:val="JuH1"/>
        <w:numPr>
          <w:ilvl w:val="3"/>
          <w:numId w:val="1"/>
        </w:numPr>
        <w:jc w:val="left"/>
      </w:pPr>
      <w:r>
        <w:t>Stanowiska stron</w:t>
      </w:r>
    </w:p>
    <w:p w14:paraId="5AEED594" w14:textId="77777777" w:rsidR="005652E0" w:rsidRPr="00A34A82" w:rsidRDefault="005652E0" w:rsidP="00A34A82">
      <w:pPr>
        <w:pStyle w:val="JuHa0"/>
        <w:numPr>
          <w:ilvl w:val="4"/>
          <w:numId w:val="1"/>
        </w:numPr>
        <w:jc w:val="left"/>
      </w:pPr>
      <w:r>
        <w:t>Skarżący</w:t>
      </w:r>
    </w:p>
    <w:p w14:paraId="178466E2" w14:textId="25701183" w:rsidR="005652E0" w:rsidRPr="00A34A82" w:rsidRDefault="0085731C" w:rsidP="00A34A82">
      <w:pPr>
        <w:pStyle w:val="JuPara"/>
      </w:pPr>
      <w:fldSimple w:instr=" SEQ level0 \*arabic ">
        <w:r w:rsidR="00A34A82" w:rsidRPr="00A34A82">
          <w:t>104</w:t>
        </w:r>
      </w:fldSimple>
      <w:r w:rsidR="005652E0">
        <w:t>.  Skarżący podn</w:t>
      </w:r>
      <w:r w:rsidR="00B51E20">
        <w:t>iósł</w:t>
      </w:r>
      <w:r w:rsidR="005652E0">
        <w:t xml:space="preserve">, że </w:t>
      </w:r>
      <w:r w:rsidR="00B51E20">
        <w:t>2</w:t>
      </w:r>
      <w:r w:rsidR="005652E0">
        <w:t xml:space="preserve">5 października 2004 r. wniósł o przesłuchanie dziesięciu biegłych oskarżenia. </w:t>
      </w:r>
      <w:r w:rsidR="00B51E20">
        <w:t>Biegli ci sporządzili</w:t>
      </w:r>
      <w:r w:rsidR="005652E0">
        <w:t xml:space="preserve"> opinie zawierające między innymi wniosek, że ujawnione przez niego informacje stanowiły tajemnicę państwową. Skarżący zauważył, że badania przeprowadzone przez biegłych odbyły się na etapie postępowania przygotowawczego i na zlecenie śledczego, w związku z czym byli to biegli oskarżenia. Ponieważ sąd nie uwzględnił tego wniosku, skarżący nie miał możliwości przesłuchania tych biegłych. Skarżący liczył</w:t>
      </w:r>
      <w:r w:rsidR="00204122">
        <w:t>, że poprzez ich przesłuchanie będzie mógł</w:t>
      </w:r>
      <w:r w:rsidR="005652E0">
        <w:t xml:space="preserve"> zakwestionować ich kompetencje i wnioski.</w:t>
      </w:r>
    </w:p>
    <w:p w14:paraId="4D6BB6F4" w14:textId="154F5CD2" w:rsidR="005652E0" w:rsidRPr="00A34A82" w:rsidRDefault="0085731C" w:rsidP="00A34A82">
      <w:pPr>
        <w:pStyle w:val="JuPara"/>
      </w:pPr>
      <w:fldSimple w:instr=" SEQ level0 \*arabic ">
        <w:r w:rsidR="00A34A82" w:rsidRPr="00A34A82">
          <w:t>105</w:t>
        </w:r>
      </w:fldSimple>
      <w:r w:rsidR="005652E0">
        <w:t>.  W kontekście tego samego wniosku skarżący dążył do wezwania i przesłuchania siedemnastu ekspertów</w:t>
      </w:r>
      <w:r w:rsidR="00204122">
        <w:t xml:space="preserve"> obrony</w:t>
      </w:r>
      <w:r w:rsidR="005652E0">
        <w:t xml:space="preserve">, będących specjalizującymi się w różnych działach fizyki pracownikami szeregu instytucji akademickich. Zeznania tych specjalistów były </w:t>
      </w:r>
      <w:r w:rsidR="00204122">
        <w:t xml:space="preserve">istotne </w:t>
      </w:r>
      <w:r w:rsidR="005652E0">
        <w:t>dla skarżącego, by wykazać między innymi, że opracowane przez niego wstępne specyfikacje nie zawierały tajemnicy państwowej i były od dawna dostępne w ogólnodostępnych źródłach.</w:t>
      </w:r>
    </w:p>
    <w:p w14:paraId="38569A17" w14:textId="7C42C5BD" w:rsidR="005652E0" w:rsidRPr="00A34A82" w:rsidRDefault="0085731C" w:rsidP="00A34A82">
      <w:pPr>
        <w:pStyle w:val="JuPara"/>
      </w:pPr>
      <w:fldSimple w:instr=" SEQ level0 \*arabic ">
        <w:r w:rsidR="00A34A82" w:rsidRPr="00A34A82">
          <w:t>106</w:t>
        </w:r>
      </w:fldSimple>
      <w:r w:rsidR="005652E0">
        <w:t>.  Niemniej jednak pomimo wniosków skarżącego sąd krajowy odmówił zapewnienia mu możliwości przesłuchania biegłych oskarżenia i wezwania specjalistów obrony. W rezultacie nie mógł on skutecznie zakwestionować jed</w:t>
      </w:r>
      <w:r w:rsidR="00204122">
        <w:t>y</w:t>
      </w:r>
      <w:r w:rsidR="005652E0">
        <w:t xml:space="preserve">nej kwestii będącej przedmiotem sporu, a stanowiącej </w:t>
      </w:r>
      <w:r w:rsidR="005652E0">
        <w:lastRenderedPageBreak/>
        <w:t>podstawę skazania go za zdradę, a więc kwestii tego, czy ujawniona informacja stanowiła tajemnicę państwową.</w:t>
      </w:r>
    </w:p>
    <w:p w14:paraId="6D6229F6" w14:textId="77777777" w:rsidR="005652E0" w:rsidRPr="00A34A82" w:rsidRDefault="005652E0" w:rsidP="00A34A82">
      <w:pPr>
        <w:pStyle w:val="JuHa0"/>
        <w:numPr>
          <w:ilvl w:val="4"/>
          <w:numId w:val="1"/>
        </w:numPr>
        <w:jc w:val="left"/>
      </w:pPr>
      <w:r>
        <w:t>Rząd</w:t>
      </w:r>
    </w:p>
    <w:p w14:paraId="69F0B8C0" w14:textId="1D68BD08" w:rsidR="005652E0" w:rsidRPr="00A34A82" w:rsidRDefault="0085731C" w:rsidP="00A34A82">
      <w:pPr>
        <w:pStyle w:val="JuPara"/>
      </w:pPr>
      <w:fldSimple w:instr=" SEQ level0 \*arabic ">
        <w:r w:rsidR="00A34A82" w:rsidRPr="00A34A82">
          <w:t>107</w:t>
        </w:r>
      </w:fldSimple>
      <w:r w:rsidR="005652E0">
        <w:t xml:space="preserve">.  Rząd podnosił, że 25 października 2004 r. skarżący zwrócił się o przesłuchanie dziesięciu </w:t>
      </w:r>
      <w:r w:rsidR="00204122">
        <w:t>osób</w:t>
      </w:r>
      <w:r w:rsidR="005652E0">
        <w:t>, któr</w:t>
      </w:r>
      <w:r w:rsidR="00204122">
        <w:t>e</w:t>
      </w:r>
      <w:r w:rsidR="005652E0">
        <w:t xml:space="preserve"> opracowa</w:t>
      </w:r>
      <w:r w:rsidR="00204122">
        <w:t>ły</w:t>
      </w:r>
      <w:r w:rsidR="005652E0">
        <w:t xml:space="preserve"> opinie w jego sprawie, a także siedemnastu </w:t>
      </w:r>
      <w:r w:rsidR="00204122">
        <w:t xml:space="preserve">innych osób jako ekspertów </w:t>
      </w:r>
      <w:r w:rsidR="005652E0">
        <w:t xml:space="preserve">obrony. Wniosek </w:t>
      </w:r>
      <w:r w:rsidR="00204122">
        <w:t xml:space="preserve">ten </w:t>
      </w:r>
      <w:r w:rsidR="005652E0">
        <w:t>oddalono, powołując się na art. 282 k</w:t>
      </w:r>
      <w:r w:rsidR="009B3583">
        <w:t>.</w:t>
      </w:r>
      <w:r w:rsidR="005652E0">
        <w:t>p</w:t>
      </w:r>
      <w:r w:rsidR="009B3583">
        <w:t>.</w:t>
      </w:r>
      <w:r w:rsidR="005652E0">
        <w:t>k</w:t>
      </w:r>
      <w:r w:rsidR="009B3583">
        <w:t>.</w:t>
      </w:r>
      <w:r w:rsidR="005652E0">
        <w:t>, który stanowi, że sąd może przesłuchać biegłego, aby uzyskać wyjaśnienie lub dodatkowe informacje dotyczące opinii biegłego (zob.</w:t>
      </w:r>
      <w:r w:rsidR="00204122" w:rsidRPr="00204122">
        <w:t xml:space="preserve"> </w:t>
      </w:r>
      <w:r w:rsidR="00204122">
        <w:t>§</w:t>
      </w:r>
      <w:r w:rsidR="005652E0">
        <w:t> </w:t>
      </w:r>
      <w:r w:rsidR="005652E0" w:rsidRPr="00A34A82">
        <w:fldChar w:fldCharType="begin"/>
      </w:r>
      <w:r w:rsidR="005652E0" w:rsidRPr="00A34A82">
        <w:instrText xml:space="preserve"> REF CCrP_on_questioning_experts_b4_court \h  \* MERGEFORMAT </w:instrText>
      </w:r>
      <w:r w:rsidR="005652E0" w:rsidRPr="00A34A82">
        <w:fldChar w:fldCharType="separate"/>
      </w:r>
      <w:r w:rsidR="00A34A82" w:rsidRPr="00A34A82">
        <w:t>72</w:t>
      </w:r>
      <w:r w:rsidR="005652E0" w:rsidRPr="00A34A82">
        <w:fldChar w:fldCharType="end"/>
      </w:r>
      <w:r w:rsidR="005652E0">
        <w:t xml:space="preserve"> powyżej). W niniejszej sprawie w świetle treści wniosku obrony i akt sprawy nie zachodziła konieczność uzyskania </w:t>
      </w:r>
      <w:r w:rsidR="00204122">
        <w:t xml:space="preserve">jakiegokolwiek </w:t>
      </w:r>
      <w:r w:rsidR="005652E0">
        <w:t>wyjaśnienia ani dodatkowych informacji. Z tego względu nie było podstaw, aby wzywać biegłych wskazanych we wniosku skarżącego.</w:t>
      </w:r>
    </w:p>
    <w:p w14:paraId="52EC9DA7" w14:textId="77777777" w:rsidR="005652E0" w:rsidRPr="00A34A82" w:rsidRDefault="005652E0" w:rsidP="00A34A82">
      <w:pPr>
        <w:pStyle w:val="JuH1"/>
        <w:numPr>
          <w:ilvl w:val="3"/>
          <w:numId w:val="1"/>
        </w:numPr>
        <w:jc w:val="left"/>
      </w:pPr>
      <w:r>
        <w:t>Ocena Trybunału</w:t>
      </w:r>
    </w:p>
    <w:p w14:paraId="5A68EBD4" w14:textId="6CAFB8AB" w:rsidR="005652E0" w:rsidRPr="00A34A82" w:rsidRDefault="00204122" w:rsidP="00A34A82">
      <w:pPr>
        <w:pStyle w:val="JuHa0"/>
        <w:numPr>
          <w:ilvl w:val="4"/>
          <w:numId w:val="1"/>
        </w:numPr>
        <w:jc w:val="left"/>
      </w:pPr>
      <w:r>
        <w:t>Zasady o</w:t>
      </w:r>
      <w:r w:rsidR="005652E0">
        <w:t xml:space="preserve">gólne </w:t>
      </w:r>
    </w:p>
    <w:p w14:paraId="062C0DE5" w14:textId="35081108" w:rsidR="005652E0" w:rsidRPr="00A34A82" w:rsidRDefault="0085731C" w:rsidP="00A34A82">
      <w:pPr>
        <w:pStyle w:val="JuPara"/>
      </w:pPr>
      <w:fldSimple w:instr=" SEQ level0 \*arabic ">
        <w:r w:rsidR="00A34A82" w:rsidRPr="00A34A82">
          <w:t>108</w:t>
        </w:r>
      </w:fldSimple>
      <w:r w:rsidR="005652E0">
        <w:t xml:space="preserve">.  Trybunał przypomina, że co do zasady art. 6 ust. 1 i 3 lit. d) Konwencji wymaga, aby oskarżony miał adekwatną i właściwą możliwość zakwestionowania zeznań </w:t>
      </w:r>
      <w:r w:rsidR="00204122">
        <w:t xml:space="preserve">i przesłuchania </w:t>
      </w:r>
      <w:r w:rsidR="005652E0">
        <w:t>świadków zeznających przeciwko niemu, albo wówczas gdy składają zeznania, albo na późniejszym etapie (zob. </w:t>
      </w:r>
      <w:r w:rsidR="005652E0">
        <w:rPr>
          <w:i/>
        </w:rPr>
        <w:t>Al</w:t>
      </w:r>
      <w:r w:rsidR="005652E0">
        <w:rPr>
          <w:i/>
        </w:rPr>
        <w:noBreakHyphen/>
      </w:r>
      <w:proofErr w:type="spellStart"/>
      <w:r w:rsidR="005652E0">
        <w:rPr>
          <w:i/>
        </w:rPr>
        <w:t>Khawaja</w:t>
      </w:r>
      <w:proofErr w:type="spellEnd"/>
      <w:r w:rsidR="005652E0">
        <w:rPr>
          <w:i/>
        </w:rPr>
        <w:t xml:space="preserve"> i </w:t>
      </w:r>
      <w:proofErr w:type="spellStart"/>
      <w:r w:rsidR="005652E0">
        <w:rPr>
          <w:i/>
        </w:rPr>
        <w:t>Tahery</w:t>
      </w:r>
      <w:proofErr w:type="spellEnd"/>
      <w:r w:rsidR="005652E0">
        <w:rPr>
          <w:i/>
        </w:rPr>
        <w:t xml:space="preserve"> przeciwko Zjednoczonemu Królestwu</w:t>
      </w:r>
      <w:r w:rsidR="005652E0">
        <w:t xml:space="preserve"> [WI], skargi nr 26766/05 i 22228/06, </w:t>
      </w:r>
      <w:bookmarkStart w:id="43" w:name="_Hlk113020933"/>
      <w:r w:rsidR="005652E0">
        <w:t>§</w:t>
      </w:r>
      <w:bookmarkEnd w:id="43"/>
      <w:r w:rsidR="005652E0">
        <w:t xml:space="preserve"> 118, ETPC 2011, </w:t>
      </w:r>
      <w:proofErr w:type="spellStart"/>
      <w:r w:rsidR="005652E0">
        <w:rPr>
          <w:i/>
        </w:rPr>
        <w:t>Schatschaschwili</w:t>
      </w:r>
      <w:proofErr w:type="spellEnd"/>
      <w:r w:rsidR="005652E0">
        <w:rPr>
          <w:i/>
        </w:rPr>
        <w:t xml:space="preserve"> przeciwko Niemcom</w:t>
      </w:r>
      <w:r w:rsidR="005652E0">
        <w:t xml:space="preserve"> [WI], skarga nr 9154/10, § 105, ETPC 2015 i </w:t>
      </w:r>
      <w:proofErr w:type="spellStart"/>
      <w:r w:rsidR="005652E0">
        <w:rPr>
          <w:i/>
        </w:rPr>
        <w:t>Khodorkovskiy</w:t>
      </w:r>
      <w:proofErr w:type="spellEnd"/>
      <w:r w:rsidR="005652E0">
        <w:rPr>
          <w:i/>
        </w:rPr>
        <w:t xml:space="preserve"> i </w:t>
      </w:r>
      <w:proofErr w:type="spellStart"/>
      <w:r w:rsidR="005652E0">
        <w:rPr>
          <w:i/>
        </w:rPr>
        <w:t>Lebedev</w:t>
      </w:r>
      <w:proofErr w:type="spellEnd"/>
      <w:r w:rsidR="005652E0">
        <w:rPr>
          <w:i/>
        </w:rPr>
        <w:t xml:space="preserve"> przeciwko Rosji (skarga nr 2)</w:t>
      </w:r>
      <w:r w:rsidR="005652E0">
        <w:t>, skargi nr 42757/07 i 51111/07, § 475, 14 stycznia 2020 r.).</w:t>
      </w:r>
    </w:p>
    <w:p w14:paraId="631DB08E" w14:textId="6E194B86" w:rsidR="005652E0" w:rsidRPr="00A34A82" w:rsidRDefault="0085731C" w:rsidP="00A34A82">
      <w:pPr>
        <w:pStyle w:val="JuPara"/>
      </w:pPr>
      <w:fldSimple w:instr=" SEQ level0 \*arabic ">
        <w:r w:rsidR="00A34A82" w:rsidRPr="00A34A82">
          <w:t>109</w:t>
        </w:r>
      </w:fldSimple>
      <w:r w:rsidR="005652E0">
        <w:t>.  Trybunał przypomina również, że termin „świadkowie” z art. 6 ust. 3 lit. d) Konwencji ma znaczenie autonomiczne i obejmuje również biegłych. Rolę biegłego można jednak odróżnić od roli naocznego świadka, który musi przedstawić sądowi osobiste wspomnienie konkretnego zdarzenia. Analizując, czy konieczne było osobiste stawiennictwo biegłego na rozprawie, Trybunał będzie kierował się zatem przede wszystkim zasadami zawartymi pojęciu „sprawiedliwego rozpatrzenia sprawy” z art. 6 ust. 1 Konwencji, a w szczególności gwarancj</w:t>
      </w:r>
      <w:r w:rsidR="00204122">
        <w:t>ą</w:t>
      </w:r>
      <w:r w:rsidR="005652E0">
        <w:t xml:space="preserve"> „postępowania kontradyktoryjnego” oraz „równości stron”. </w:t>
      </w:r>
      <w:r w:rsidR="008666E6">
        <w:t>Oznacza to</w:t>
      </w:r>
      <w:r w:rsidR="005652E0">
        <w:t xml:space="preserve">, </w:t>
      </w:r>
      <w:r w:rsidR="008666E6">
        <w:t xml:space="preserve">że </w:t>
      </w:r>
      <w:r w:rsidR="005652E0">
        <w:t xml:space="preserve">niektóre rozwiązania stosowane przez Trybunał w odniesieniu do osobistego przesłuchiwania „świadków” w rozumieniu art. 6 ust. 3 lit. d) bez wątpienia mają </w:t>
      </w:r>
      <w:r w:rsidR="008666E6">
        <w:t xml:space="preserve">odpowiednie zastosowanie </w:t>
      </w:r>
      <w:r w:rsidR="005652E0">
        <w:t>w kontekście przesłuchiwania biegłych</w:t>
      </w:r>
      <w:r w:rsidR="008666E6">
        <w:t xml:space="preserve">, </w:t>
      </w:r>
      <w:r w:rsidR="005652E0">
        <w:t xml:space="preserve"> przy należytym uwzględnieni</w:t>
      </w:r>
      <w:r w:rsidR="008666E6">
        <w:t>u</w:t>
      </w:r>
      <w:r w:rsidR="005652E0">
        <w:t xml:space="preserve"> różnicy w ich statusie i roli (zob. </w:t>
      </w:r>
      <w:proofErr w:type="spellStart"/>
      <w:r w:rsidR="005652E0">
        <w:rPr>
          <w:i/>
        </w:rPr>
        <w:t>Avagyan</w:t>
      </w:r>
      <w:proofErr w:type="spellEnd"/>
      <w:r w:rsidR="005652E0">
        <w:rPr>
          <w:i/>
        </w:rPr>
        <w:t xml:space="preserve"> przeciwko Armenii</w:t>
      </w:r>
      <w:r w:rsidR="005652E0">
        <w:t xml:space="preserve">, skarga nr 1837/10, § 40, 22 listopada 2018 r., </w:t>
      </w:r>
      <w:proofErr w:type="spellStart"/>
      <w:r w:rsidR="005652E0">
        <w:rPr>
          <w:i/>
        </w:rPr>
        <w:t>Khodorkovskiy</w:t>
      </w:r>
      <w:proofErr w:type="spellEnd"/>
      <w:r w:rsidR="005652E0">
        <w:rPr>
          <w:i/>
        </w:rPr>
        <w:t xml:space="preserve"> i </w:t>
      </w:r>
      <w:proofErr w:type="spellStart"/>
      <w:r w:rsidR="005652E0">
        <w:rPr>
          <w:i/>
        </w:rPr>
        <w:t>Lebedev</w:t>
      </w:r>
      <w:proofErr w:type="spellEnd"/>
      <w:r w:rsidR="005652E0">
        <w:rPr>
          <w:i/>
        </w:rPr>
        <w:t xml:space="preserve"> przeciwko Rosji (nr 2)</w:t>
      </w:r>
      <w:r w:rsidR="005652E0">
        <w:t xml:space="preserve">, </w:t>
      </w:r>
      <w:r w:rsidR="009B3583" w:rsidRPr="00F5746C">
        <w:t>cyt. pow.,</w:t>
      </w:r>
      <w:r w:rsidR="009B3583">
        <w:rPr>
          <w:i/>
          <w:iCs/>
        </w:rPr>
        <w:t xml:space="preserve"> </w:t>
      </w:r>
      <w:r w:rsidR="005652E0">
        <w:t>§ 476).</w:t>
      </w:r>
    </w:p>
    <w:p w14:paraId="050B116E" w14:textId="3F710D24" w:rsidR="005652E0" w:rsidRPr="00A34A82" w:rsidRDefault="0085731C" w:rsidP="00A34A82">
      <w:pPr>
        <w:pStyle w:val="JuPara"/>
      </w:pPr>
      <w:fldSimple w:instr=" SEQ level0 \*arabic ">
        <w:r w:rsidR="00A34A82" w:rsidRPr="00A34A82">
          <w:t>110</w:t>
        </w:r>
      </w:fldSimple>
      <w:r w:rsidR="005652E0">
        <w:t xml:space="preserve">.  Co do zasady, to do sądów krajowych należy ocena </w:t>
      </w:r>
      <w:r w:rsidR="008666E6">
        <w:t xml:space="preserve">przeprowadzonych przed nimi </w:t>
      </w:r>
      <w:r w:rsidR="005652E0">
        <w:t xml:space="preserve">dowodów, jak również znaczenia dowodu, </w:t>
      </w:r>
      <w:r w:rsidR="005652E0">
        <w:lastRenderedPageBreak/>
        <w:t xml:space="preserve">których przeprowadzenia domagają się oskarżeni. Artykuł 6 ust. 3 lit. d) pozostawia im, co do zasady, ocenę, czy </w:t>
      </w:r>
      <w:proofErr w:type="spellStart"/>
      <w:r w:rsidR="008666E6">
        <w:t>włąściwe</w:t>
      </w:r>
      <w:proofErr w:type="spellEnd"/>
      <w:r w:rsidR="008666E6">
        <w:t xml:space="preserve"> </w:t>
      </w:r>
      <w:r w:rsidR="005652E0">
        <w:t>jest wezwanie świadków przed sąd (zob. </w:t>
      </w:r>
      <w:r w:rsidR="005652E0">
        <w:rPr>
          <w:i/>
        </w:rPr>
        <w:t>Vidal przeciwko Belgii, 22 kwietnia 1992 r., § 33, Seria A nr 235</w:t>
      </w:r>
      <w:r w:rsidR="005652E0">
        <w:rPr>
          <w:i/>
        </w:rPr>
        <w:noBreakHyphen/>
        <w:t>B</w:t>
      </w:r>
      <w:r w:rsidR="008666E6">
        <w:t>,</w:t>
      </w:r>
      <w:r w:rsidR="005652E0">
        <w:t xml:space="preserve"> </w:t>
      </w:r>
      <w:proofErr w:type="spellStart"/>
      <w:r w:rsidR="005652E0">
        <w:rPr>
          <w:i/>
        </w:rPr>
        <w:t>Avagyan</w:t>
      </w:r>
      <w:proofErr w:type="spellEnd"/>
      <w:r w:rsidR="005652E0">
        <w:t xml:space="preserve">, </w:t>
      </w:r>
      <w:r w:rsidR="009B3583" w:rsidRPr="00F5746C">
        <w:t>cyt. pow.,</w:t>
      </w:r>
      <w:r w:rsidR="009B3583">
        <w:rPr>
          <w:i/>
          <w:iCs/>
        </w:rPr>
        <w:t xml:space="preserve"> </w:t>
      </w:r>
      <w:r w:rsidR="005652E0">
        <w:t xml:space="preserve">§ 41; </w:t>
      </w:r>
      <w:proofErr w:type="spellStart"/>
      <w:r w:rsidR="005652E0">
        <w:rPr>
          <w:i/>
        </w:rPr>
        <w:t>Khodorkovskiy</w:t>
      </w:r>
      <w:proofErr w:type="spellEnd"/>
      <w:r w:rsidR="005652E0">
        <w:rPr>
          <w:i/>
        </w:rPr>
        <w:t xml:space="preserve"> i </w:t>
      </w:r>
      <w:proofErr w:type="spellStart"/>
      <w:r w:rsidR="005652E0">
        <w:rPr>
          <w:i/>
        </w:rPr>
        <w:t>Lebedev</w:t>
      </w:r>
      <w:proofErr w:type="spellEnd"/>
      <w:r w:rsidR="005652E0">
        <w:rPr>
          <w:i/>
        </w:rPr>
        <w:t xml:space="preserve"> (nr 2)</w:t>
      </w:r>
      <w:r w:rsidR="005652E0">
        <w:t xml:space="preserve">, </w:t>
      </w:r>
      <w:r w:rsidR="009B3583" w:rsidRPr="00F5746C">
        <w:t>cyt. pow.,</w:t>
      </w:r>
      <w:r w:rsidR="005652E0">
        <w:t xml:space="preserve"> § 478).</w:t>
      </w:r>
    </w:p>
    <w:p w14:paraId="14A85446" w14:textId="114D6A5E" w:rsidR="005652E0" w:rsidRPr="00A34A82" w:rsidRDefault="0085731C" w:rsidP="00A34A82">
      <w:pPr>
        <w:pStyle w:val="JuPara"/>
      </w:pPr>
      <w:fldSimple w:instr=" SEQ level0 \*arabic ">
        <w:r w:rsidR="00A34A82" w:rsidRPr="00A34A82">
          <w:t>111</w:t>
        </w:r>
      </w:fldSimple>
      <w:r w:rsidR="005652E0">
        <w:t xml:space="preserve">.  Jednym z wymogów </w:t>
      </w:r>
      <w:r w:rsidR="008666E6">
        <w:t xml:space="preserve">rzetelnego procesu </w:t>
      </w:r>
      <w:r w:rsidR="005652E0">
        <w:t>jest możliwość skonfrontowania się oskarżonego ze świadkami w obecności sędziego, który musi ostatecznie rozstrzygnąć sprawę, ponieważ obserwacje sędziego dotyczące zachowania i wiarygodności określonego świadka mogą mieć konsekwencje dla oskarżonego (zob. </w:t>
      </w:r>
      <w:proofErr w:type="spellStart"/>
      <w:r w:rsidR="005652E0">
        <w:rPr>
          <w:i/>
        </w:rPr>
        <w:t>Matytsina</w:t>
      </w:r>
      <w:proofErr w:type="spellEnd"/>
      <w:r w:rsidR="005652E0">
        <w:rPr>
          <w:i/>
        </w:rPr>
        <w:t xml:space="preserve"> przeciwko Rosji</w:t>
      </w:r>
      <w:r w:rsidR="005652E0">
        <w:rPr>
          <w:snapToGrid w:val="0"/>
        </w:rPr>
        <w:t>, skarga nr</w:t>
      </w:r>
      <w:r w:rsidR="005652E0">
        <w:t xml:space="preserve"> 58428/10, § 153, 27 marca 2014 r., z przytoczonymi źródłami</w:t>
      </w:r>
      <w:r w:rsidR="008666E6">
        <w:t>,</w:t>
      </w:r>
      <w:r w:rsidR="005652E0">
        <w:t xml:space="preserve"> </w:t>
      </w:r>
      <w:proofErr w:type="spellStart"/>
      <w:r w:rsidR="005652E0">
        <w:rPr>
          <w:i/>
        </w:rPr>
        <w:t>Avagyan</w:t>
      </w:r>
      <w:proofErr w:type="spellEnd"/>
      <w:r w:rsidR="005652E0">
        <w:t xml:space="preserve">, </w:t>
      </w:r>
      <w:r w:rsidR="009B3583" w:rsidRPr="00F5746C">
        <w:t>cyt. pow.,</w:t>
      </w:r>
      <w:r w:rsidR="005652E0">
        <w:t xml:space="preserve"> § 43 oraz </w:t>
      </w:r>
      <w:proofErr w:type="spellStart"/>
      <w:r w:rsidR="005652E0">
        <w:rPr>
          <w:i/>
        </w:rPr>
        <w:t>Khodorkovskiy</w:t>
      </w:r>
      <w:proofErr w:type="spellEnd"/>
      <w:r w:rsidR="005652E0">
        <w:rPr>
          <w:i/>
        </w:rPr>
        <w:t xml:space="preserve"> i </w:t>
      </w:r>
      <w:proofErr w:type="spellStart"/>
      <w:r w:rsidR="005652E0">
        <w:rPr>
          <w:i/>
        </w:rPr>
        <w:t>Lebedev</w:t>
      </w:r>
      <w:proofErr w:type="spellEnd"/>
      <w:r w:rsidR="005652E0">
        <w:rPr>
          <w:i/>
        </w:rPr>
        <w:t xml:space="preserve"> (nr 2)</w:t>
      </w:r>
      <w:r w:rsidR="005652E0">
        <w:t xml:space="preserve">, </w:t>
      </w:r>
      <w:r w:rsidR="009B3583" w:rsidRPr="00F5746C">
        <w:t>cyt. pow.,</w:t>
      </w:r>
      <w:r w:rsidR="005652E0">
        <w:t xml:space="preserve"> § 482). To samo dotyczy biegłych (zob. </w:t>
      </w:r>
      <w:proofErr w:type="spellStart"/>
      <w:r w:rsidR="005652E0">
        <w:rPr>
          <w:i/>
        </w:rPr>
        <w:t>Gregačević</w:t>
      </w:r>
      <w:proofErr w:type="spellEnd"/>
      <w:r w:rsidR="005652E0">
        <w:rPr>
          <w:i/>
        </w:rPr>
        <w:t xml:space="preserve"> przeciwko Chorwacji</w:t>
      </w:r>
      <w:r w:rsidR="005652E0">
        <w:t xml:space="preserve">, skarga nr 58331/09, § 67, 10 lipca 2012 r., </w:t>
      </w:r>
      <w:proofErr w:type="spellStart"/>
      <w:r w:rsidR="005652E0">
        <w:rPr>
          <w:i/>
        </w:rPr>
        <w:t>Constantinides</w:t>
      </w:r>
      <w:proofErr w:type="spellEnd"/>
      <w:r w:rsidR="005652E0">
        <w:rPr>
          <w:i/>
        </w:rPr>
        <w:t xml:space="preserve"> przeciwko Grecji</w:t>
      </w:r>
      <w:r w:rsidR="005652E0">
        <w:t>, skarga nr 76438/12, § 39, 6 października 2016 r.</w:t>
      </w:r>
      <w:r w:rsidR="005652E0">
        <w:rPr>
          <w:i/>
        </w:rPr>
        <w:t> </w:t>
      </w:r>
      <w:r w:rsidR="005652E0">
        <w:t xml:space="preserve">): obrona musi mieć prawo do przeanalizowania i zakwestionowania nie tylko samej opinii biegłego, ale również prawo do zakwestionowania </w:t>
      </w:r>
      <w:r w:rsidR="008666E6">
        <w:t xml:space="preserve">wiarygodności </w:t>
      </w:r>
      <w:r w:rsidR="005652E0">
        <w:t xml:space="preserve">osób, które ją sporządziły, w drodze bezpośredniego przesłuchania (zob. między innymi, </w:t>
      </w:r>
      <w:proofErr w:type="spellStart"/>
      <w:r w:rsidR="005652E0">
        <w:rPr>
          <w:i/>
        </w:rPr>
        <w:t>Brandstetter</w:t>
      </w:r>
      <w:proofErr w:type="spellEnd"/>
      <w:r w:rsidR="005652E0">
        <w:rPr>
          <w:i/>
        </w:rPr>
        <w:t xml:space="preserve"> przeciwko Austrii</w:t>
      </w:r>
      <w:r w:rsidR="005652E0">
        <w:t>, 28 sierpnia 1991 r., § 42, Seria A nr 211</w:t>
      </w:r>
      <w:r w:rsidR="008666E6">
        <w:t>,</w:t>
      </w:r>
      <w:r w:rsidR="005652E0">
        <w:t> </w:t>
      </w:r>
      <w:proofErr w:type="spellStart"/>
      <w:r w:rsidR="005652E0">
        <w:rPr>
          <w:i/>
        </w:rPr>
        <w:t>Matytsina</w:t>
      </w:r>
      <w:proofErr w:type="spellEnd"/>
      <w:r w:rsidR="005652E0">
        <w:t xml:space="preserve">, </w:t>
      </w:r>
      <w:r w:rsidR="008666E6">
        <w:t>cyt. pow.</w:t>
      </w:r>
      <w:r w:rsidR="005652E0" w:rsidRPr="008666E6">
        <w:t>,</w:t>
      </w:r>
      <w:r w:rsidR="005652E0">
        <w:t xml:space="preserve"> § 177</w:t>
      </w:r>
      <w:r w:rsidR="008666E6">
        <w:t>,</w:t>
      </w:r>
      <w:r w:rsidR="005652E0">
        <w:t xml:space="preserve"> </w:t>
      </w:r>
      <w:proofErr w:type="spellStart"/>
      <w:r w:rsidR="005652E0">
        <w:rPr>
          <w:i/>
        </w:rPr>
        <w:t>Avagyan</w:t>
      </w:r>
      <w:proofErr w:type="spellEnd"/>
      <w:r w:rsidR="005652E0">
        <w:t xml:space="preserve">, </w:t>
      </w:r>
      <w:r w:rsidR="008666E6">
        <w:t>cyt. pow.</w:t>
      </w:r>
      <w:r w:rsidR="005652E0" w:rsidRPr="008666E6">
        <w:t>,</w:t>
      </w:r>
      <w:r w:rsidR="005652E0">
        <w:t xml:space="preserve"> § 43 oraz </w:t>
      </w:r>
      <w:proofErr w:type="spellStart"/>
      <w:r w:rsidR="005652E0">
        <w:rPr>
          <w:i/>
        </w:rPr>
        <w:t>Khodorkovskiy</w:t>
      </w:r>
      <w:proofErr w:type="spellEnd"/>
      <w:r w:rsidR="005652E0">
        <w:rPr>
          <w:i/>
        </w:rPr>
        <w:t xml:space="preserve"> i </w:t>
      </w:r>
      <w:proofErr w:type="spellStart"/>
      <w:r w:rsidR="005652E0">
        <w:rPr>
          <w:i/>
        </w:rPr>
        <w:t>Lebedev</w:t>
      </w:r>
      <w:proofErr w:type="spellEnd"/>
      <w:r w:rsidR="005652E0">
        <w:rPr>
          <w:i/>
        </w:rPr>
        <w:t xml:space="preserve"> (skarga nr 2)</w:t>
      </w:r>
      <w:r w:rsidR="005652E0">
        <w:t>,</w:t>
      </w:r>
      <w:r w:rsidR="008666E6">
        <w:t xml:space="preserve"> cyt. pow.,</w:t>
      </w:r>
      <w:r w:rsidR="005652E0">
        <w:t xml:space="preserve"> § 482).</w:t>
      </w:r>
    </w:p>
    <w:p w14:paraId="18B5B475" w14:textId="61F65789" w:rsidR="005652E0" w:rsidRPr="00A34A82" w:rsidRDefault="005652E0" w:rsidP="00A34A82">
      <w:pPr>
        <w:pStyle w:val="JuHa0"/>
        <w:numPr>
          <w:ilvl w:val="4"/>
          <w:numId w:val="1"/>
        </w:numPr>
        <w:jc w:val="left"/>
      </w:pPr>
      <w:r>
        <w:t xml:space="preserve">Zastosowanie </w:t>
      </w:r>
      <w:r w:rsidR="008666E6">
        <w:t xml:space="preserve">powyższych </w:t>
      </w:r>
      <w:r>
        <w:t>zasad w niniejszej sprawie</w:t>
      </w:r>
    </w:p>
    <w:p w14:paraId="0DD8BABC" w14:textId="1374319E" w:rsidR="005652E0" w:rsidRPr="00A34A82" w:rsidRDefault="0085731C" w:rsidP="00A34A82">
      <w:pPr>
        <w:pStyle w:val="JuPara"/>
      </w:pPr>
      <w:fldSimple w:instr=" SEQ level0 \*arabic ">
        <w:r w:rsidR="00A34A82" w:rsidRPr="00A34A82">
          <w:t>112</w:t>
        </w:r>
      </w:fldSimple>
      <w:r w:rsidR="005652E0">
        <w:t>.  W niniejszej sprawie skarżący złożył wniosek o przesłuchanie przed sądem dziesięciu biegłych, którzy sporządzili opinie w jego sprawie i ustalili między innymi, że dokonał on ujawnienia informacji stanowiącej tajemnicę państwową. Jego wniosek nie był szczegółowy i powoływano się w nim jedynie na prawa wynikające z art. 6 ust. 3 lit. d) Konwencji (zob. par. </w:t>
      </w:r>
      <w:r w:rsidR="005652E0" w:rsidRPr="00A34A82">
        <w:fldChar w:fldCharType="begin"/>
      </w:r>
      <w:r w:rsidR="005652E0" w:rsidRPr="00A34A82">
        <w:instrText xml:space="preserve"> REF App_motion_re_experts \h  \* MERGEFORMAT </w:instrText>
      </w:r>
      <w:r w:rsidR="005652E0" w:rsidRPr="00A34A82">
        <w:fldChar w:fldCharType="separate"/>
      </w:r>
      <w:r w:rsidR="00A34A82" w:rsidRPr="00A34A82">
        <w:t>37</w:t>
      </w:r>
      <w:r w:rsidR="005652E0" w:rsidRPr="00A34A82">
        <w:fldChar w:fldCharType="end"/>
      </w:r>
      <w:r w:rsidR="005652E0">
        <w:t xml:space="preserve"> powyżej). Sąd </w:t>
      </w:r>
      <w:r w:rsidR="009D2AFB">
        <w:t>rozpoznający sprawę</w:t>
      </w:r>
      <w:r w:rsidR="005652E0">
        <w:t xml:space="preserve"> orzekł, że nie ma konieczności przesłuchiwania biegłych podczas rozprawy, ponieważ ich opinie były jasne</w:t>
      </w:r>
      <w:r w:rsidR="009D2AFB">
        <w:t xml:space="preserve"> i</w:t>
      </w:r>
      <w:r w:rsidR="005652E0">
        <w:t xml:space="preserve"> sąd nie potrzebował żadnych wyjaśnień ani dodatkowych informacji </w:t>
      </w:r>
      <w:r w:rsidR="009D2AFB">
        <w:t xml:space="preserve">od nich </w:t>
      </w:r>
      <w:r w:rsidR="005652E0">
        <w:t>(zob. par. </w:t>
      </w:r>
      <w:r w:rsidR="005652E0" w:rsidRPr="00A34A82">
        <w:fldChar w:fldCharType="begin"/>
      </w:r>
      <w:r w:rsidR="005652E0" w:rsidRPr="00A34A82">
        <w:instrText xml:space="preserve"> REF RegCourt_re_experts \h  \* MERGEFORMAT </w:instrText>
      </w:r>
      <w:r w:rsidR="005652E0" w:rsidRPr="00A34A82">
        <w:fldChar w:fldCharType="separate"/>
      </w:r>
      <w:r w:rsidR="00A34A82" w:rsidRPr="00A34A82">
        <w:t>39</w:t>
      </w:r>
      <w:r w:rsidR="005652E0" w:rsidRPr="00A34A82">
        <w:fldChar w:fldCharType="end"/>
      </w:r>
      <w:r w:rsidR="005652E0">
        <w:t xml:space="preserve"> powyżej). W </w:t>
      </w:r>
      <w:r w:rsidR="009D2AFB">
        <w:t>swoim odwołaniu</w:t>
      </w:r>
      <w:r w:rsidR="005652E0">
        <w:t xml:space="preserve"> skarżący twierdził, że konieczne jest przesłuchanie biegłych oskarżenia przed sądem, aby wykazać, że posiadali oni niewielką wiedzę lub nie posiadali żadnej wiedzy z istotnych dla sprawy działów fizyki (zob. par. </w:t>
      </w:r>
      <w:r w:rsidR="005652E0" w:rsidRPr="00A34A82">
        <w:fldChar w:fldCharType="begin"/>
      </w:r>
      <w:r w:rsidR="005652E0" w:rsidRPr="00A34A82">
        <w:instrText xml:space="preserve"> REF App_appeal_re_experts_Start \h  \* MERGEFORMAT </w:instrText>
      </w:r>
      <w:r w:rsidR="005652E0" w:rsidRPr="00A34A82">
        <w:fldChar w:fldCharType="separate"/>
      </w:r>
      <w:r w:rsidR="00A34A82" w:rsidRPr="00A34A82">
        <w:t>45</w:t>
      </w:r>
      <w:r w:rsidR="005652E0" w:rsidRPr="00A34A82">
        <w:fldChar w:fldCharType="end"/>
      </w:r>
      <w:r w:rsidR="005652E0">
        <w:t>–</w:t>
      </w:r>
      <w:r w:rsidR="005652E0" w:rsidRPr="00A34A82">
        <w:fldChar w:fldCharType="begin"/>
      </w:r>
      <w:r w:rsidR="005652E0" w:rsidRPr="00A34A82">
        <w:instrText xml:space="preserve"> REF App_appeal_re_experts_End \h  \* MERGEFORMAT </w:instrText>
      </w:r>
      <w:r w:rsidR="005652E0" w:rsidRPr="00A34A82">
        <w:fldChar w:fldCharType="separate"/>
      </w:r>
      <w:r w:rsidR="00A34A82" w:rsidRPr="00A34A82">
        <w:t>49</w:t>
      </w:r>
      <w:r w:rsidR="005652E0" w:rsidRPr="00A34A82">
        <w:fldChar w:fldCharType="end"/>
      </w:r>
      <w:r w:rsidR="005652E0">
        <w:t xml:space="preserve"> powyżej), a następnie </w:t>
      </w:r>
      <w:r w:rsidR="009D2AFB">
        <w:t xml:space="preserve">podważyć </w:t>
      </w:r>
      <w:r w:rsidR="005652E0">
        <w:t xml:space="preserve">ich wnioski, szczególnie dotyczące kwestii tego, czy informacje stanowiły tajemnicę państwową. Sąd </w:t>
      </w:r>
      <w:r w:rsidR="009D2AFB">
        <w:t xml:space="preserve">odwoławczy </w:t>
      </w:r>
      <w:r w:rsidR="005652E0">
        <w:t xml:space="preserve">oddalił ten argument, stwierdzając ogólnie, że biegli dysponowali odpowiednią wiedzą i powołując się na </w:t>
      </w:r>
      <w:r w:rsidR="00594DCD">
        <w:t>potrzebę uzyskania</w:t>
      </w:r>
      <w:r w:rsidR="005652E0">
        <w:t xml:space="preserve"> oceny eksperckiej </w:t>
      </w:r>
      <w:r w:rsidR="00594DCD">
        <w:t>przy</w:t>
      </w:r>
      <w:r w:rsidR="005652E0">
        <w:t> ustalaniu, czy informacje stanowiły tajemnicę państwową (zob. par. </w:t>
      </w:r>
      <w:r w:rsidR="005652E0" w:rsidRPr="00A34A82">
        <w:fldChar w:fldCharType="begin"/>
      </w:r>
      <w:r w:rsidR="005652E0" w:rsidRPr="00A34A82">
        <w:instrText xml:space="preserve"> REF Supreme_Court_re_jury_and_experts \h  \* MERGEFORMAT </w:instrText>
      </w:r>
      <w:r w:rsidR="005652E0" w:rsidRPr="00A34A82">
        <w:fldChar w:fldCharType="separate"/>
      </w:r>
      <w:r w:rsidR="00A34A82" w:rsidRPr="00A34A82">
        <w:t>56</w:t>
      </w:r>
      <w:r w:rsidR="005652E0" w:rsidRPr="00A34A82">
        <w:fldChar w:fldCharType="end"/>
      </w:r>
      <w:r w:rsidR="005652E0">
        <w:t xml:space="preserve"> powyżej). Trybunał uważa zatem, że skarżący jasno w</w:t>
      </w:r>
      <w:r w:rsidR="00594DCD">
        <w:t>y</w:t>
      </w:r>
      <w:r w:rsidR="005652E0">
        <w:t xml:space="preserve">kazał sądom krajowym, że oczekuje przesłuchania biegłych przed sądem w celu </w:t>
      </w:r>
      <w:r w:rsidR="00594DCD">
        <w:t xml:space="preserve">podważenia </w:t>
      </w:r>
      <w:r w:rsidR="005652E0">
        <w:t xml:space="preserve">ich wiarygodności i sformułowanych przez nich wniosków (zob. odpowiednio </w:t>
      </w:r>
      <w:r w:rsidR="005652E0">
        <w:rPr>
          <w:i/>
        </w:rPr>
        <w:t xml:space="preserve">Hanu przeciwko </w:t>
      </w:r>
      <w:r w:rsidR="005652E0">
        <w:rPr>
          <w:i/>
        </w:rPr>
        <w:lastRenderedPageBreak/>
        <w:t>Rumunii</w:t>
      </w:r>
      <w:r w:rsidR="005652E0">
        <w:t>, skarga nr 10890/04, § 40, 4 czerwca 2013 r. i </w:t>
      </w:r>
      <w:proofErr w:type="spellStart"/>
      <w:r w:rsidR="005652E0">
        <w:rPr>
          <w:i/>
        </w:rPr>
        <w:t>Avagyan</w:t>
      </w:r>
      <w:proofErr w:type="spellEnd"/>
      <w:r w:rsidR="005652E0">
        <w:rPr>
          <w:i/>
        </w:rPr>
        <w:t xml:space="preserve"> przeciwko Armenii</w:t>
      </w:r>
      <w:r w:rsidR="005652E0">
        <w:t xml:space="preserve">, </w:t>
      </w:r>
      <w:r w:rsidR="009B3583" w:rsidRPr="00F5746C">
        <w:t>cyt. pow.,</w:t>
      </w:r>
      <w:r w:rsidR="005652E0">
        <w:t xml:space="preserve"> § 44).</w:t>
      </w:r>
    </w:p>
    <w:p w14:paraId="4E8063AF" w14:textId="7BEFD1D4" w:rsidR="005652E0" w:rsidRPr="00A34A82" w:rsidRDefault="0085731C" w:rsidP="00A34A82">
      <w:pPr>
        <w:pStyle w:val="JuPara"/>
      </w:pPr>
      <w:fldSimple w:instr=" SEQ level0 \*arabic ">
        <w:r w:rsidR="00A34A82" w:rsidRPr="00A34A82">
          <w:t>113</w:t>
        </w:r>
      </w:fldSimple>
      <w:r w:rsidR="005652E0">
        <w:t xml:space="preserve">.  Co więcej, w niniejszej sprawie </w:t>
      </w:r>
      <w:r w:rsidR="00594DCD">
        <w:t xml:space="preserve">osiem opinii zostało przygotowanych przez </w:t>
      </w:r>
      <w:r w:rsidR="005652E0">
        <w:t>dziesięciu biegłych na wniosek prokuratora w trakcie postępowania przygotowawczego, zostały one wykorzystane przez prokuratora do sporządzenia aktu oskarżenia, a następnie oparł się na nich sąd wydając wyrok.</w:t>
      </w:r>
    </w:p>
    <w:p w14:paraId="2E7D22EB" w14:textId="2E71F6E5" w:rsidR="005652E0" w:rsidRPr="00A34A82" w:rsidRDefault="0085731C" w:rsidP="00A34A82">
      <w:pPr>
        <w:pStyle w:val="JuPara"/>
      </w:pPr>
      <w:fldSimple w:instr=" SEQ level0 \*arabic ">
        <w:r w:rsidR="00A34A82" w:rsidRPr="00A34A82">
          <w:t>114</w:t>
        </w:r>
      </w:fldSimple>
      <w:r w:rsidR="005652E0">
        <w:t xml:space="preserve">.  Opinie biegłych dotyczyły nie tylko kwestii technicznych, ale również tego, czy informacje, których dotyczyła sprawa, stanowiły tajemnicę państwową (zob. par. </w:t>
      </w:r>
      <w:r w:rsidR="005652E0" w:rsidRPr="00A34A82">
        <w:fldChar w:fldCharType="begin"/>
      </w:r>
      <w:r w:rsidR="005652E0" w:rsidRPr="00A34A82">
        <w:instrText xml:space="preserve"> REF Supreme_Court_re_jury_and_experts \h  \* MERGEFORMAT </w:instrText>
      </w:r>
      <w:r w:rsidR="005652E0" w:rsidRPr="00A34A82">
        <w:fldChar w:fldCharType="separate"/>
      </w:r>
      <w:r w:rsidR="00A34A82" w:rsidRPr="00A34A82">
        <w:t>56</w:t>
      </w:r>
      <w:r w:rsidR="005652E0" w:rsidRPr="00A34A82">
        <w:fldChar w:fldCharType="end"/>
      </w:r>
      <w:r w:rsidR="005652E0">
        <w:t xml:space="preserve"> powyżej). Sąd </w:t>
      </w:r>
      <w:r w:rsidR="00594DCD">
        <w:t xml:space="preserve">odwoławczy </w:t>
      </w:r>
      <w:r w:rsidR="005652E0">
        <w:t xml:space="preserve">zauważył, że charakter </w:t>
      </w:r>
      <w:r w:rsidR="00594DCD">
        <w:t xml:space="preserve">tych </w:t>
      </w:r>
      <w:r w:rsidR="005652E0">
        <w:t xml:space="preserve">informacji (to, czy stanowią tajemnicę państwową) to jedno z dwóch podstawowych znamion przestępstwa zdrady popełnionej poprzez ujawnienie tajemnicy państwowej, o którą oskarżono skarżącego. Co więcej, sąd </w:t>
      </w:r>
      <w:r w:rsidR="00594DCD">
        <w:t xml:space="preserve">odwoławczy </w:t>
      </w:r>
      <w:r w:rsidR="005652E0">
        <w:t xml:space="preserve">uznał, że kwestia ta była kwestią prawną, a zatem nie stanowiła zagadnienia podlegającego rozstrzygnięciu przez ławę przysięgłych. </w:t>
      </w:r>
      <w:r w:rsidR="00594DCD">
        <w:t xml:space="preserve">W końcu, </w:t>
      </w:r>
      <w:r w:rsidR="005652E0">
        <w:t>zgodnie z rosyjskim prawem</w:t>
      </w:r>
      <w:r w:rsidR="00594DCD">
        <w:t>,</w:t>
      </w:r>
      <w:r w:rsidR="005652E0">
        <w:t xml:space="preserve"> to eksperci decydują o zaklasyfikowaniu informacji jako tajemnicy państwowej (zob. par. </w:t>
      </w:r>
      <w:r w:rsidR="005652E0" w:rsidRPr="00A34A82">
        <w:fldChar w:fldCharType="begin"/>
      </w:r>
      <w:r w:rsidR="005652E0" w:rsidRPr="00A34A82">
        <w:instrText xml:space="preserve"> REF Supreme_Court_re_jury_and_experts \h  \* MERGEFORMAT </w:instrText>
      </w:r>
      <w:r w:rsidR="005652E0" w:rsidRPr="00A34A82">
        <w:fldChar w:fldCharType="separate"/>
      </w:r>
      <w:r w:rsidR="00A34A82" w:rsidRPr="00A34A82">
        <w:t>56</w:t>
      </w:r>
      <w:r w:rsidR="005652E0" w:rsidRPr="00A34A82">
        <w:fldChar w:fldCharType="end"/>
      </w:r>
      <w:r w:rsidR="005652E0">
        <w:t xml:space="preserve"> i </w:t>
      </w:r>
      <w:r w:rsidR="005652E0" w:rsidRPr="00A34A82">
        <w:fldChar w:fldCharType="begin"/>
      </w:r>
      <w:r w:rsidR="005652E0" w:rsidRPr="00A34A82">
        <w:instrText xml:space="preserve"> REF OSA_A6par4_expert_determine_State_secret \h </w:instrText>
      </w:r>
      <w:r w:rsidR="005652E0" w:rsidRPr="00A34A82">
        <w:fldChar w:fldCharType="separate"/>
      </w:r>
      <w:r w:rsidR="00A34A82" w:rsidRPr="00A34A82">
        <w:t>61</w:t>
      </w:r>
      <w:r w:rsidR="005652E0" w:rsidRPr="00A34A82">
        <w:fldChar w:fldCharType="end"/>
      </w:r>
      <w:r w:rsidR="005652E0">
        <w:t xml:space="preserve"> powyżej). Z tego względu </w:t>
      </w:r>
      <w:r w:rsidR="00594DCD">
        <w:t xml:space="preserve">przedmiotowe </w:t>
      </w:r>
      <w:r w:rsidR="005652E0">
        <w:t xml:space="preserve">opinie biegłych miały </w:t>
      </w:r>
      <w:r w:rsidR="00594DCD">
        <w:t xml:space="preserve">kluczowe </w:t>
      </w:r>
      <w:r w:rsidR="005652E0">
        <w:t>znaczenie dla sprawy, w której skarżącego uznano za winnego zdrady stanu poprzez ujawnienie tajemnicy państwowej.</w:t>
      </w:r>
    </w:p>
    <w:p w14:paraId="11B14BE5" w14:textId="1F884B22" w:rsidR="005652E0" w:rsidRPr="00A34A82" w:rsidRDefault="0085731C" w:rsidP="00A34A82">
      <w:pPr>
        <w:pStyle w:val="JuPara"/>
      </w:pPr>
      <w:fldSimple w:instr=" SEQ level0 \*arabic ">
        <w:r w:rsidR="00A34A82" w:rsidRPr="00A34A82">
          <w:t>115</w:t>
        </w:r>
      </w:fldSimple>
      <w:r w:rsidR="005652E0">
        <w:t>.  Trybunał zauważa ponadto, że opinie biegłych sporządzono na wniosek śledczego na etapie postępowania przygotowawczego. Chociaż można odnieść wrażenie, że skarżącego zawiadomiono o zleceniu biegłym sporządzenia opinii i miał on możliwość zapoznania się z nimi, nic nie wskazuje na to, by skarżący miał możliwość skierowania do biegłych dodatkowych pytań, zasugerowania wyboru innych biegłych lub wzięcia udziału w badaniach biegłych oraz przekazania im swoich uwag, co gwarantują mu obowiązujące przepisy (zob. </w:t>
      </w:r>
      <w:r w:rsidR="005652E0" w:rsidRPr="00A34A82">
        <w:fldChar w:fldCharType="begin"/>
      </w:r>
      <w:r w:rsidR="005652E0" w:rsidRPr="00A34A82">
        <w:instrText xml:space="preserve"> REF CCrP_on_expert_exams_requests \h  \* MERGEFORMAT </w:instrText>
      </w:r>
      <w:r w:rsidR="005652E0" w:rsidRPr="00A34A82">
        <w:fldChar w:fldCharType="separate"/>
      </w:r>
      <w:r w:rsidR="00A34A82" w:rsidRPr="00A34A82">
        <w:t>71</w:t>
      </w:r>
      <w:r w:rsidR="005652E0" w:rsidRPr="00A34A82">
        <w:fldChar w:fldCharType="end"/>
      </w:r>
      <w:r w:rsidR="005652E0">
        <w:t xml:space="preserve"> powyżej). Nic nie wskazuje również, aby skarżący miał inne możliwości konfrontacji z biegłymi i </w:t>
      </w:r>
      <w:r w:rsidR="00594DCD">
        <w:t xml:space="preserve">podważenia </w:t>
      </w:r>
      <w:r w:rsidR="005652E0">
        <w:t xml:space="preserve">ich wiarygodności i wniosków na etapie postępowania przygotowawczego (zob. z kolei </w:t>
      </w:r>
      <w:proofErr w:type="spellStart"/>
      <w:r w:rsidR="005652E0">
        <w:rPr>
          <w:i/>
        </w:rPr>
        <w:t>Kashlev</w:t>
      </w:r>
      <w:proofErr w:type="spellEnd"/>
      <w:r w:rsidR="005652E0">
        <w:rPr>
          <w:i/>
        </w:rPr>
        <w:t xml:space="preserve"> przeciwko Estonii</w:t>
      </w:r>
      <w:r w:rsidR="005652E0">
        <w:t>, skarga nr 22574/08, § 47, 26 kwietnia 2016).</w:t>
      </w:r>
    </w:p>
    <w:p w14:paraId="59B93E59" w14:textId="3BDC3207" w:rsidR="005652E0" w:rsidRPr="00A34A82" w:rsidRDefault="0085731C" w:rsidP="00A34A82">
      <w:pPr>
        <w:pStyle w:val="JuPara"/>
      </w:pPr>
      <w:fldSimple w:instr=" SEQ level0 \*arabic ">
        <w:r w:rsidR="00A34A82" w:rsidRPr="00A34A82">
          <w:t>116</w:t>
        </w:r>
      </w:fldSimple>
      <w:r w:rsidR="005652E0">
        <w:t xml:space="preserve">.  W takich okolicznościach sąd </w:t>
      </w:r>
      <w:r w:rsidR="00594DCD">
        <w:t>rozpoznający sprawę</w:t>
      </w:r>
      <w:r w:rsidR="005652E0">
        <w:t xml:space="preserve"> miał obowiązek uważnie przeanalizować wniosek obrony o przesłuchanie biegłych podczas rozprawy. Zamiast tego przewodniczący uznał, że nie zachodzi konieczność osobistego przesłuchania </w:t>
      </w:r>
      <w:r w:rsidR="00594DCD">
        <w:t>biegłych</w:t>
      </w:r>
      <w:r w:rsidR="005652E0">
        <w:t xml:space="preserve">, ponieważ ich </w:t>
      </w:r>
      <w:r w:rsidR="00594DCD">
        <w:t xml:space="preserve">pisemne </w:t>
      </w:r>
      <w:r w:rsidR="005652E0">
        <w:t xml:space="preserve">opinie </w:t>
      </w:r>
      <w:r w:rsidR="00594DCD">
        <w:t xml:space="preserve">były </w:t>
      </w:r>
      <w:r w:rsidR="005652E0">
        <w:t xml:space="preserve">jasne, </w:t>
      </w:r>
      <w:r w:rsidR="00594DCD">
        <w:t>nie wymagały</w:t>
      </w:r>
      <w:r w:rsidR="005652E0">
        <w:t xml:space="preserve"> wyjaśnień ani dodatkowych informacji. Trybunał zauważa, że nawet jeżeli w opiniach nie było poważnych niespójności, przesłuchanie biegłych mogłoby ujawnić ewentualne konflikty interesów, niewystarczalność materiałów </w:t>
      </w:r>
      <w:r w:rsidR="00594DCD">
        <w:t xml:space="preserve">w </w:t>
      </w:r>
      <w:r w:rsidR="005652E0">
        <w:t>ich dyspozycji lub wady metod badania (zob. </w:t>
      </w:r>
      <w:proofErr w:type="spellStart"/>
      <w:r w:rsidR="005652E0">
        <w:rPr>
          <w:i/>
        </w:rPr>
        <w:t>Khodorkovskiy</w:t>
      </w:r>
      <w:proofErr w:type="spellEnd"/>
      <w:r w:rsidR="005652E0">
        <w:rPr>
          <w:i/>
        </w:rPr>
        <w:t xml:space="preserve"> i </w:t>
      </w:r>
      <w:proofErr w:type="spellStart"/>
      <w:r w:rsidR="005652E0">
        <w:rPr>
          <w:i/>
        </w:rPr>
        <w:t>Lebedev</w:t>
      </w:r>
      <w:proofErr w:type="spellEnd"/>
      <w:r w:rsidR="005652E0">
        <w:t xml:space="preserve"> </w:t>
      </w:r>
      <w:r w:rsidR="005652E0">
        <w:rPr>
          <w:i/>
        </w:rPr>
        <w:t>przeciwko Rosji</w:t>
      </w:r>
      <w:r w:rsidR="005652E0">
        <w:t>, skarga nr 11082/06 i 13772/05, § 714, 25 lipca 2013).</w:t>
      </w:r>
    </w:p>
    <w:p w14:paraId="3299B1FA" w14:textId="0977FCD4" w:rsidR="005652E0" w:rsidRPr="00A34A82" w:rsidRDefault="0085731C" w:rsidP="00A34A82">
      <w:pPr>
        <w:pStyle w:val="JuPara"/>
      </w:pPr>
      <w:fldSimple w:instr=" SEQ level0 \*arabic ">
        <w:r w:rsidR="00A34A82" w:rsidRPr="00A34A82">
          <w:t>117</w:t>
        </w:r>
      </w:fldSimple>
      <w:r w:rsidR="005652E0">
        <w:t xml:space="preserve">.  Można odnieść wrażenie, że obawy skarżącego o wiarygodność biegłych i ich wniosków nie są nieuzasadnione. Sąd </w:t>
      </w:r>
      <w:r w:rsidR="00594DCD">
        <w:t>o</w:t>
      </w:r>
      <w:r w:rsidR="005652E0">
        <w:t xml:space="preserve">kręgowy trzykrotnie </w:t>
      </w:r>
      <w:r w:rsidR="005652E0">
        <w:lastRenderedPageBreak/>
        <w:t xml:space="preserve">zwracał sprawę prokuratorowi w celu dalszego prowadzenia postępowania przygotowawczego lub dokonania korekty ze względu na powtarzające się problemy z opiniami biegłych i ich wykorzystaniem w akcie oskarżenia (zob. par. </w:t>
      </w:r>
      <w:r w:rsidR="005652E0" w:rsidRPr="00A34A82">
        <w:fldChar w:fldCharType="begin"/>
      </w:r>
      <w:r w:rsidR="005652E0" w:rsidRPr="00A34A82">
        <w:instrText xml:space="preserve"> REF court_dec_6Feb2002 \h  \* MERGEFORMAT </w:instrText>
      </w:r>
      <w:r w:rsidR="005652E0" w:rsidRPr="00A34A82">
        <w:fldChar w:fldCharType="separate"/>
      </w:r>
      <w:r w:rsidR="00A34A82" w:rsidRPr="00A34A82">
        <w:t>17</w:t>
      </w:r>
      <w:r w:rsidR="005652E0" w:rsidRPr="00A34A82">
        <w:fldChar w:fldCharType="end"/>
      </w:r>
      <w:r w:rsidR="005652E0">
        <w:t xml:space="preserve">, </w:t>
      </w:r>
      <w:r w:rsidR="005652E0" w:rsidRPr="00A34A82">
        <w:fldChar w:fldCharType="begin"/>
      </w:r>
      <w:r w:rsidR="005652E0" w:rsidRPr="00A34A82">
        <w:instrText xml:space="preserve"> REF court_dec_3Dec2002 \h  \* MERGEFORMAT </w:instrText>
      </w:r>
      <w:r w:rsidR="005652E0" w:rsidRPr="00A34A82">
        <w:fldChar w:fldCharType="separate"/>
      </w:r>
      <w:r w:rsidR="00A34A82" w:rsidRPr="00A34A82">
        <w:t>22</w:t>
      </w:r>
      <w:r w:rsidR="005652E0" w:rsidRPr="00A34A82">
        <w:fldChar w:fldCharType="end"/>
      </w:r>
      <w:r w:rsidR="005652E0">
        <w:t xml:space="preserve"> i </w:t>
      </w:r>
      <w:r w:rsidR="005652E0" w:rsidRPr="00A34A82">
        <w:fldChar w:fldCharType="begin"/>
      </w:r>
      <w:r w:rsidR="005652E0" w:rsidRPr="00A34A82">
        <w:instrText xml:space="preserve"> REF court_dec_16May2003 \h  \* MERGEFORMAT </w:instrText>
      </w:r>
      <w:r w:rsidR="005652E0" w:rsidRPr="00A34A82">
        <w:fldChar w:fldCharType="separate"/>
      </w:r>
      <w:r w:rsidR="00A34A82" w:rsidRPr="00A34A82">
        <w:t>25</w:t>
      </w:r>
      <w:r w:rsidR="005652E0" w:rsidRPr="00A34A82">
        <w:fldChar w:fldCharType="end"/>
      </w:r>
      <w:r w:rsidR="005652E0">
        <w:t xml:space="preserve">). Co więcej, jak wynika ze stanowiska skarżącego, czemu nie zaprzeczył Rząd, biegli nie mieli odpowiedniej lub wystarczającej wiedzy fachowej w istotnych działach fizyki (zob. par.  </w:t>
      </w:r>
      <w:r w:rsidR="005652E0" w:rsidRPr="00A34A82">
        <w:fldChar w:fldCharType="begin"/>
      </w:r>
      <w:r w:rsidR="005652E0" w:rsidRPr="00A34A82">
        <w:instrText xml:space="preserve"> REF App_appeal_re_experts_Start \h  \* MERGEFORMAT </w:instrText>
      </w:r>
      <w:r w:rsidR="005652E0" w:rsidRPr="00A34A82">
        <w:fldChar w:fldCharType="separate"/>
      </w:r>
      <w:r w:rsidR="00A34A82" w:rsidRPr="00A34A82">
        <w:t>45</w:t>
      </w:r>
      <w:r w:rsidR="005652E0" w:rsidRPr="00A34A82">
        <w:fldChar w:fldCharType="end"/>
      </w:r>
      <w:r w:rsidR="005652E0">
        <w:t>-</w:t>
      </w:r>
      <w:r w:rsidR="005652E0" w:rsidRPr="00A34A82">
        <w:fldChar w:fldCharType="begin"/>
      </w:r>
      <w:r w:rsidR="005652E0" w:rsidRPr="00A34A82">
        <w:instrText xml:space="preserve"> REF App_appeal_re_experts_End \h  \* MERGEFORMAT </w:instrText>
      </w:r>
      <w:r w:rsidR="005652E0" w:rsidRPr="00A34A82">
        <w:fldChar w:fldCharType="separate"/>
      </w:r>
      <w:r w:rsidR="00A34A82" w:rsidRPr="00A34A82">
        <w:t>49</w:t>
      </w:r>
      <w:r w:rsidR="005652E0" w:rsidRPr="00A34A82">
        <w:fldChar w:fldCharType="end"/>
      </w:r>
      <w:r w:rsidR="005652E0">
        <w:t xml:space="preserve"> powyżej). Wreszcie skarżący kilkakrotnie próbował zwrócić uwagę sądów krajowych na alternatywne opinie czołowych naukowców podzielających jego stanowisko, że ujawnione informacje nie zawierały</w:t>
      </w:r>
      <w:r w:rsidR="006270F1">
        <w:t xml:space="preserve"> żadnych</w:t>
      </w:r>
      <w:r w:rsidR="005652E0">
        <w:t xml:space="preserve"> tajemnic państwowych (zob. par. </w:t>
      </w:r>
      <w:r w:rsidR="005652E0" w:rsidRPr="00A34A82">
        <w:fldChar w:fldCharType="begin"/>
      </w:r>
      <w:r w:rsidR="005652E0" w:rsidRPr="00A34A82">
        <w:instrText xml:space="preserve"> REF scientific_alt_opinions_2002 \h  \* MERGEFORMAT </w:instrText>
      </w:r>
      <w:r w:rsidR="005652E0" w:rsidRPr="00A34A82">
        <w:fldChar w:fldCharType="separate"/>
      </w:r>
      <w:r w:rsidR="00A34A82" w:rsidRPr="00A34A82">
        <w:t>15</w:t>
      </w:r>
      <w:r w:rsidR="005652E0" w:rsidRPr="00A34A82">
        <w:fldChar w:fldCharType="end"/>
      </w:r>
      <w:r w:rsidR="005652E0">
        <w:t xml:space="preserve"> i </w:t>
      </w:r>
      <w:r w:rsidR="005652E0" w:rsidRPr="00A34A82">
        <w:fldChar w:fldCharType="begin"/>
      </w:r>
      <w:r w:rsidR="005652E0" w:rsidRPr="00A34A82">
        <w:instrText xml:space="preserve"> REF App_appeal_against_conviction \h  \* MERGEFORMAT </w:instrText>
      </w:r>
      <w:r w:rsidR="005652E0" w:rsidRPr="00A34A82">
        <w:fldChar w:fldCharType="separate"/>
      </w:r>
      <w:r w:rsidR="00A34A82" w:rsidRPr="00A34A82">
        <w:t>44</w:t>
      </w:r>
      <w:r w:rsidR="005652E0" w:rsidRPr="00A34A82">
        <w:fldChar w:fldCharType="end"/>
      </w:r>
      <w:r w:rsidR="005652E0">
        <w:t xml:space="preserve"> powyżej). Pomijając kwestię dopuszczalności tych alternatywnych opinii, rzeczą naturalną jest, że skarżący m</w:t>
      </w:r>
      <w:r w:rsidR="006270F1">
        <w:t>i</w:t>
      </w:r>
      <w:r w:rsidR="005652E0">
        <w:t>a</w:t>
      </w:r>
      <w:r w:rsidR="006270F1">
        <w:t>ł</w:t>
      </w:r>
      <w:r w:rsidR="005652E0">
        <w:t xml:space="preserve"> wątpliwości co do wniosków sformułowanych przez biegłych oskarżenia i dąży</w:t>
      </w:r>
      <w:r w:rsidR="006270F1">
        <w:t>ł</w:t>
      </w:r>
      <w:r w:rsidR="005652E0">
        <w:t xml:space="preserve"> do możliwości ich przesłuchania.</w:t>
      </w:r>
    </w:p>
    <w:p w14:paraId="4D4D8EE6" w14:textId="0E4A5898" w:rsidR="005652E0" w:rsidRPr="00A34A82" w:rsidRDefault="0085731C" w:rsidP="00A34A82">
      <w:pPr>
        <w:pStyle w:val="JuPara"/>
      </w:pPr>
      <w:fldSimple w:instr=" SEQ level0 \*arabic ">
        <w:r w:rsidR="00A34A82" w:rsidRPr="00A34A82">
          <w:t>118</w:t>
        </w:r>
      </w:fldSimple>
      <w:r w:rsidR="005652E0">
        <w:t xml:space="preserve">.  Trybunał nie dostrzega również </w:t>
      </w:r>
      <w:r w:rsidR="006270F1">
        <w:t>zasadnego powodu, dlaczego uniemożliwiono przesłuchanie</w:t>
      </w:r>
      <w:r w:rsidR="005652E0">
        <w:t xml:space="preserve"> biegłych przed sędzią, chociażby na posiedzeniu niejawnym, co dawałoby skarżącemu oskarżonemu o ujawnienie tajemnicy państwowej</w:t>
      </w:r>
      <w:r w:rsidR="006270F1">
        <w:t>,</w:t>
      </w:r>
      <w:r w:rsidR="005652E0">
        <w:t xml:space="preserve"> możliwość ich przesłuchania, a </w:t>
      </w:r>
      <w:r w:rsidR="006270F1">
        <w:t xml:space="preserve">ani </w:t>
      </w:r>
      <w:r w:rsidR="005652E0">
        <w:t>sądy krajowe ani Rząd nie wskazały takiej podstawy.</w:t>
      </w:r>
    </w:p>
    <w:bookmarkStart w:id="44" w:name="Court_concl_re_experts_Start"/>
    <w:p w14:paraId="336FE78B" w14:textId="69BB8FD3"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119</w:t>
      </w:r>
      <w:r w:rsidRPr="00A34A82">
        <w:fldChar w:fldCharType="end"/>
      </w:r>
      <w:bookmarkEnd w:id="44"/>
      <w:r>
        <w:t>.  Podsumowując, skarżącego skazano za zdradę poprzez ujawnienie tajemnicy państwowej w oparciu o opinie biegłych, którzy nie zostali przesłuchani przez obronę ani podczas procesu (zob. </w:t>
      </w:r>
      <w:proofErr w:type="spellStart"/>
      <w:r>
        <w:rPr>
          <w:i/>
        </w:rPr>
        <w:t>Avagyan</w:t>
      </w:r>
      <w:proofErr w:type="spellEnd"/>
      <w:r>
        <w:rPr>
          <w:i/>
        </w:rPr>
        <w:t xml:space="preserve"> przeciwko Armenii</w:t>
      </w:r>
      <w:r>
        <w:t xml:space="preserve">, </w:t>
      </w:r>
      <w:r w:rsidR="005D0464" w:rsidRPr="00F5746C">
        <w:t>cyt. pow.,</w:t>
      </w:r>
      <w:r>
        <w:t xml:space="preserve"> § 46 oraz </w:t>
      </w:r>
      <w:proofErr w:type="spellStart"/>
      <w:r>
        <w:rPr>
          <w:i/>
        </w:rPr>
        <w:t>Khodorkovskiy</w:t>
      </w:r>
      <w:proofErr w:type="spellEnd"/>
      <w:r>
        <w:rPr>
          <w:i/>
        </w:rPr>
        <w:t xml:space="preserve"> i </w:t>
      </w:r>
      <w:proofErr w:type="spellStart"/>
      <w:r>
        <w:rPr>
          <w:i/>
        </w:rPr>
        <w:t>Lebedev</w:t>
      </w:r>
      <w:proofErr w:type="spellEnd"/>
      <w:r>
        <w:rPr>
          <w:i/>
        </w:rPr>
        <w:t xml:space="preserve"> (nr 2)</w:t>
      </w:r>
      <w:r>
        <w:t xml:space="preserve">, </w:t>
      </w:r>
      <w:r w:rsidR="009B3583" w:rsidRPr="00F5746C">
        <w:t>cyt. pow.,</w:t>
      </w:r>
      <w:r w:rsidR="009B3583">
        <w:rPr>
          <w:i/>
          <w:iCs/>
        </w:rPr>
        <w:t xml:space="preserve"> </w:t>
      </w:r>
      <w:r>
        <w:t>§ 484), ani na etapie postępowania przygotowawczego.</w:t>
      </w:r>
    </w:p>
    <w:bookmarkStart w:id="45" w:name="Court_concl_re_experts_End"/>
    <w:p w14:paraId="67129F1A" w14:textId="5B8984BE" w:rsidR="005652E0" w:rsidRPr="00A34A82" w:rsidRDefault="005652E0" w:rsidP="00A34A82">
      <w:pPr>
        <w:pStyle w:val="JuPara"/>
      </w:pPr>
      <w:r w:rsidRPr="00A34A82">
        <w:fldChar w:fldCharType="begin"/>
      </w:r>
      <w:r w:rsidRPr="00A34A82">
        <w:instrText xml:space="preserve"> SEQ level0 \*arabic </w:instrText>
      </w:r>
      <w:r w:rsidRPr="00A34A82">
        <w:fldChar w:fldCharType="separate"/>
      </w:r>
      <w:r w:rsidR="00A34A82" w:rsidRPr="00A34A82">
        <w:t>120</w:t>
      </w:r>
      <w:r w:rsidRPr="00A34A82">
        <w:fldChar w:fldCharType="end"/>
      </w:r>
      <w:bookmarkEnd w:id="45"/>
      <w:r>
        <w:t>.  Na tej podstawie Trybunał uznaje, że nieuwzględnienie wniosku skarżącego o przesłuchanie biegłych oskarżenia, których opinie zostały następnie wykorzystane przeciwko niemu, mogło w istotny sposób wpływać na jego prawo do sprawiedliwego rozpatrzenia spraw</w:t>
      </w:r>
      <w:r w:rsidR="006270F1">
        <w:t>y</w:t>
      </w:r>
      <w:r>
        <w:t>, w szczególności w świetle gwarancji „</w:t>
      </w:r>
      <w:r w:rsidR="006270F1">
        <w:t xml:space="preserve">kontradyktoryjności </w:t>
      </w:r>
      <w:r>
        <w:t>postępowania” i „równości stron”. W związku z powyższym doszło do naruszenia art. 6 ust. 1 i 3 lit. d) Konwencji.</w:t>
      </w:r>
    </w:p>
    <w:p w14:paraId="506E9FF5" w14:textId="5E4045FD" w:rsidR="005652E0" w:rsidRPr="00A34A82" w:rsidRDefault="0085731C" w:rsidP="00A34A82">
      <w:pPr>
        <w:pStyle w:val="JuPara"/>
      </w:pPr>
      <w:fldSimple w:instr=" SEQ level0 \*arabic ">
        <w:r w:rsidR="00A34A82" w:rsidRPr="00A34A82">
          <w:t>121</w:t>
        </w:r>
      </w:fldSimple>
      <w:r w:rsidR="005652E0">
        <w:t xml:space="preserve">.  Z uwagi na powyższe ustalenia Trybunał uważa za zbędne odrębne badanie pozostałych zarzutów skarżącego związanych z brakiem możliwości </w:t>
      </w:r>
      <w:r w:rsidR="006270F1">
        <w:t xml:space="preserve">podważenia </w:t>
      </w:r>
      <w:r w:rsidR="005652E0">
        <w:t>wniosków sformułowanych przez biegłych oskarżenia poprzez przesłuchanie ekspertów wskazanych przez obronę (zob. </w:t>
      </w:r>
      <w:proofErr w:type="spellStart"/>
      <w:r w:rsidR="005652E0">
        <w:rPr>
          <w:i/>
        </w:rPr>
        <w:t>Sutyagin</w:t>
      </w:r>
      <w:proofErr w:type="spellEnd"/>
      <w:r w:rsidR="005652E0" w:rsidRPr="006270F1">
        <w:t>,</w:t>
      </w:r>
      <w:r w:rsidR="005652E0" w:rsidRPr="00F5746C">
        <w:t xml:space="preserve"> </w:t>
      </w:r>
      <w:r w:rsidR="005D0464" w:rsidRPr="00F5746C">
        <w:t>cyt. pow.</w:t>
      </w:r>
      <w:r w:rsidR="005652E0" w:rsidRPr="006270F1">
        <w:t>,</w:t>
      </w:r>
      <w:r w:rsidR="005652E0">
        <w:t xml:space="preserve"> § 201).</w:t>
      </w:r>
    </w:p>
    <w:p w14:paraId="3EFB48FB" w14:textId="78A2457D" w:rsidR="005652E0" w:rsidRPr="00A34A82" w:rsidRDefault="001A643F" w:rsidP="00A34A82">
      <w:pPr>
        <w:pStyle w:val="JuHIRoman"/>
        <w:numPr>
          <w:ilvl w:val="1"/>
          <w:numId w:val="1"/>
        </w:numPr>
        <w:jc w:val="left"/>
      </w:pPr>
      <w:r>
        <w:t xml:space="preserve">ZARZUT </w:t>
      </w:r>
      <w:r w:rsidR="005652E0">
        <w:t>NARUSZENI</w:t>
      </w:r>
      <w:r>
        <w:t>A</w:t>
      </w:r>
      <w:r w:rsidR="005652E0">
        <w:t xml:space="preserve"> ART. 7 I ART. 10 KONWENCJI</w:t>
      </w:r>
    </w:p>
    <w:p w14:paraId="492B89E5" w14:textId="2EF03CD4" w:rsidR="005652E0" w:rsidRPr="00A34A82" w:rsidRDefault="0085731C" w:rsidP="00A34A82">
      <w:pPr>
        <w:pStyle w:val="JuPara"/>
      </w:pPr>
      <w:fldSimple w:instr=" SEQ level0 \*arabic ">
        <w:r w:rsidR="00A34A82" w:rsidRPr="00A34A82">
          <w:t>122</w:t>
        </w:r>
      </w:fldSimple>
      <w:r w:rsidR="005652E0">
        <w:t>.  Skarżący zarzuc</w:t>
      </w:r>
      <w:r w:rsidR="005D0464">
        <w:t>i</w:t>
      </w:r>
      <w:r w:rsidR="005652E0">
        <w:t xml:space="preserve">ł, że został skazany za działania, które nie wypełniały znamion przestępstwa zdrady </w:t>
      </w:r>
      <w:r w:rsidR="005D0464">
        <w:t>w postaci ujawnienia</w:t>
      </w:r>
      <w:r w:rsidR="005652E0">
        <w:t xml:space="preserve"> tajemnic</w:t>
      </w:r>
      <w:r w:rsidR="005D0464">
        <w:t>y</w:t>
      </w:r>
      <w:r w:rsidR="005652E0">
        <w:t xml:space="preserve"> państwow</w:t>
      </w:r>
      <w:r w:rsidR="005D0464">
        <w:t>ej</w:t>
      </w:r>
      <w:r w:rsidR="005652E0">
        <w:t>, ponieważ ujawnione przez niego informacje były ogólnodostępne, a zatem nie stanowiły informacji niejawnej.</w:t>
      </w:r>
    </w:p>
    <w:p w14:paraId="2655DF53" w14:textId="1CD10156" w:rsidR="005652E0" w:rsidRPr="00A34A82" w:rsidRDefault="0085731C" w:rsidP="00A34A82">
      <w:pPr>
        <w:pStyle w:val="JuPara"/>
      </w:pPr>
      <w:fldSimple w:instr=" SEQ level0 \*arabic ">
        <w:r w:rsidR="00A34A82" w:rsidRPr="00A34A82">
          <w:t>123</w:t>
        </w:r>
      </w:fldSimple>
      <w:r w:rsidR="005652E0">
        <w:t xml:space="preserve">.  Rząd </w:t>
      </w:r>
      <w:r w:rsidR="005D0464">
        <w:t>podniósł</w:t>
      </w:r>
      <w:r w:rsidR="005652E0">
        <w:t>, że w</w:t>
      </w:r>
      <w:r w:rsidR="005D0464">
        <w:t>e</w:t>
      </w:r>
      <w:r w:rsidR="005652E0">
        <w:t> </w:t>
      </w:r>
      <w:r w:rsidR="005D0464">
        <w:t xml:space="preserve">właściwym </w:t>
      </w:r>
      <w:r w:rsidR="005652E0">
        <w:t xml:space="preserve">wyroku sądu stwierdzono, że informacje ujawnione </w:t>
      </w:r>
      <w:r w:rsidR="005D0464">
        <w:t xml:space="preserve">przez skarżącego </w:t>
      </w:r>
      <w:r w:rsidR="005652E0">
        <w:t>obywatel</w:t>
      </w:r>
      <w:r w:rsidR="005D0464">
        <w:t>om</w:t>
      </w:r>
      <w:r w:rsidR="005652E0">
        <w:t xml:space="preserve"> chiński</w:t>
      </w:r>
      <w:r w:rsidR="005D0464">
        <w:t>m zgodnie z</w:t>
      </w:r>
      <w:r w:rsidR="005652E0">
        <w:t xml:space="preserve"> </w:t>
      </w:r>
      <w:r w:rsidR="005652E0">
        <w:lastRenderedPageBreak/>
        <w:t>obowiązujący</w:t>
      </w:r>
      <w:r w:rsidR="005D0464">
        <w:t>mi</w:t>
      </w:r>
      <w:r w:rsidR="005652E0">
        <w:t xml:space="preserve"> przepis</w:t>
      </w:r>
      <w:r w:rsidR="005D0464">
        <w:t>ami</w:t>
      </w:r>
      <w:r w:rsidR="005652E0">
        <w:t xml:space="preserve"> stanowiły tajemnicę państwową. Sąd przeanalizował ogólnodostępne publikacje, na które powołał się skarżący, i uznał, że nie zawierają one takiej samej ilości informacji jak informacje, które skarżący ujawnił, ani ich treść nie jest taka sama.</w:t>
      </w:r>
    </w:p>
    <w:p w14:paraId="4765316B" w14:textId="57B2C14F" w:rsidR="005652E0" w:rsidRPr="00A34A82" w:rsidRDefault="0085731C" w:rsidP="00A34A82">
      <w:pPr>
        <w:pStyle w:val="JuPara"/>
      </w:pPr>
      <w:fldSimple w:instr=" SEQ level0 \*arabic ">
        <w:r w:rsidR="00A34A82" w:rsidRPr="00A34A82">
          <w:t>124</w:t>
        </w:r>
      </w:fldSimple>
      <w:r w:rsidR="005652E0">
        <w:t xml:space="preserve">.  Trybunał zauważa, że zagadnieniem kluczowym dla zarzutów podniesionych przez skarżącego na gruncie art. 7 i 10 Konwencji jest to, czy ujawnione informacje stanowiły tajemnicę państwową. Ponieważ stwierdzono naruszenie art. 6 ust. 1 i 3 lit. d) Konwencji polegające na odmówieniu skarżącemu prawa do zakwestionowania wniosków biegłych </w:t>
      </w:r>
      <w:r w:rsidR="005D0464">
        <w:t xml:space="preserve">o niejawnym </w:t>
      </w:r>
      <w:r w:rsidR="005652E0">
        <w:t>charakter</w:t>
      </w:r>
      <w:r w:rsidR="005D0464">
        <w:t>ze</w:t>
      </w:r>
      <w:r w:rsidR="005652E0">
        <w:t xml:space="preserve"> ujawnionych przez niego informacji (zob. </w:t>
      </w:r>
      <w:r w:rsidR="005652E0" w:rsidRPr="00A34A82">
        <w:fldChar w:fldCharType="begin"/>
      </w:r>
      <w:r w:rsidR="005652E0" w:rsidRPr="00A34A82">
        <w:instrText xml:space="preserve"> REF Court_concl_re_experts_Start \h </w:instrText>
      </w:r>
      <w:r w:rsidR="005652E0" w:rsidRPr="00A34A82">
        <w:fldChar w:fldCharType="separate"/>
      </w:r>
      <w:r w:rsidR="00A34A82" w:rsidRPr="00A34A82">
        <w:t>119</w:t>
      </w:r>
      <w:r w:rsidR="005652E0" w:rsidRPr="00A34A82">
        <w:fldChar w:fldCharType="end"/>
      </w:r>
      <w:r w:rsidR="005652E0">
        <w:noBreakHyphen/>
      </w:r>
      <w:r w:rsidR="005652E0" w:rsidRPr="00A34A82">
        <w:fldChar w:fldCharType="begin"/>
      </w:r>
      <w:r w:rsidR="005652E0" w:rsidRPr="00A34A82">
        <w:instrText xml:space="preserve"> REF Court_concl_re_experts_End \h  \* MERGEFORMAT </w:instrText>
      </w:r>
      <w:r w:rsidR="005652E0" w:rsidRPr="00A34A82">
        <w:fldChar w:fldCharType="separate"/>
      </w:r>
      <w:r w:rsidR="00A34A82" w:rsidRPr="00A34A82">
        <w:t>120</w:t>
      </w:r>
      <w:r w:rsidR="005652E0" w:rsidRPr="00A34A82">
        <w:fldChar w:fldCharType="end"/>
      </w:r>
      <w:r w:rsidR="005652E0">
        <w:t xml:space="preserve"> powyżej), Trybunał nie uważa</w:t>
      </w:r>
      <w:r w:rsidR="005D0464">
        <w:t xml:space="preserve"> za</w:t>
      </w:r>
      <w:r w:rsidR="005652E0">
        <w:t xml:space="preserve"> konieczne odrębne</w:t>
      </w:r>
      <w:r w:rsidR="005D0464">
        <w:t>go</w:t>
      </w:r>
      <w:r w:rsidR="005652E0">
        <w:t xml:space="preserve"> badani</w:t>
      </w:r>
      <w:r w:rsidR="005D0464">
        <w:t>a</w:t>
      </w:r>
      <w:r w:rsidR="005652E0">
        <w:t xml:space="preserve"> istoty zarzutów skarżącego podnoszonych na gruncie art. 7 i 10 Konwencji (zob. </w:t>
      </w:r>
      <w:proofErr w:type="spellStart"/>
      <w:r w:rsidR="005652E0">
        <w:rPr>
          <w:i/>
        </w:rPr>
        <w:t>Sutyagin</w:t>
      </w:r>
      <w:proofErr w:type="spellEnd"/>
      <w:r w:rsidR="005652E0">
        <w:t xml:space="preserve">, </w:t>
      </w:r>
      <w:r w:rsidR="005D0464" w:rsidRPr="00F5746C">
        <w:t>cyt. pow.</w:t>
      </w:r>
      <w:r w:rsidR="005652E0" w:rsidRPr="003D294D">
        <w:t>,</w:t>
      </w:r>
      <w:r w:rsidR="005652E0">
        <w:t xml:space="preserve"> §§ 206–07).</w:t>
      </w:r>
    </w:p>
    <w:p w14:paraId="1025AD8A" w14:textId="77777777" w:rsidR="005652E0" w:rsidRPr="00A34A82" w:rsidRDefault="005652E0" w:rsidP="00A34A82">
      <w:pPr>
        <w:pStyle w:val="JuHIRoman"/>
        <w:numPr>
          <w:ilvl w:val="1"/>
          <w:numId w:val="1"/>
        </w:numPr>
        <w:jc w:val="left"/>
      </w:pPr>
      <w:r>
        <w:t>ZASTOSOWANIE ART. 41 KONWENCJI</w:t>
      </w:r>
    </w:p>
    <w:p w14:paraId="107F4E8B" w14:textId="77777777" w:rsidR="005652E0" w:rsidRPr="00A34A82" w:rsidRDefault="0085731C" w:rsidP="00A34A82">
      <w:pPr>
        <w:pStyle w:val="JuPara"/>
      </w:pPr>
      <w:fldSimple w:instr=" SEQ level0 \*arabic ">
        <w:r w:rsidR="00A34A82" w:rsidRPr="00A34A82">
          <w:t>125</w:t>
        </w:r>
      </w:fldSimple>
      <w:r w:rsidR="005652E0">
        <w:t>.  Artykuł 41 Konwencji stanowi:</w:t>
      </w:r>
    </w:p>
    <w:p w14:paraId="7EF4E1F1" w14:textId="77777777" w:rsidR="005652E0" w:rsidRPr="00A34A82" w:rsidRDefault="005652E0" w:rsidP="00A34A82">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138CC447" w14:textId="77777777" w:rsidR="005652E0" w:rsidRPr="00A34A82" w:rsidRDefault="005652E0" w:rsidP="00A34A82">
      <w:pPr>
        <w:pStyle w:val="JuHA"/>
        <w:numPr>
          <w:ilvl w:val="2"/>
          <w:numId w:val="1"/>
        </w:numPr>
        <w:jc w:val="left"/>
      </w:pPr>
      <w:r>
        <w:t>Szkoda</w:t>
      </w:r>
    </w:p>
    <w:p w14:paraId="1A5296A9" w14:textId="347A94DD" w:rsidR="005652E0" w:rsidRPr="00A34A82" w:rsidRDefault="0085731C" w:rsidP="00A34A82">
      <w:pPr>
        <w:pStyle w:val="JuPara"/>
      </w:pPr>
      <w:fldSimple w:instr=" SEQ level0 \*arabic ">
        <w:r w:rsidR="00A34A82" w:rsidRPr="00A34A82">
          <w:t>126</w:t>
        </w:r>
      </w:fldSimple>
      <w:r w:rsidR="005652E0">
        <w:t xml:space="preserve">.  Skarżący </w:t>
      </w:r>
      <w:r w:rsidR="00AA0903">
        <w:t>podniósł</w:t>
      </w:r>
      <w:r w:rsidR="005652E0">
        <w:t xml:space="preserve">, że choć pierwotnie został uniewinniony, </w:t>
      </w:r>
      <w:r w:rsidR="00AA0903">
        <w:t xml:space="preserve">ostatecznie </w:t>
      </w:r>
      <w:r w:rsidR="005652E0">
        <w:t>został skazany przez stronniczą ławę przysięgłych</w:t>
      </w:r>
      <w:r w:rsidR="00AA0903">
        <w:t xml:space="preserve">, przy </w:t>
      </w:r>
      <w:r w:rsidR="005652E0">
        <w:t xml:space="preserve">braku </w:t>
      </w:r>
      <w:r w:rsidR="00AA0903">
        <w:t xml:space="preserve">jakiegokolwiek </w:t>
      </w:r>
      <w:r w:rsidR="005652E0">
        <w:t>dowodu świadcząc</w:t>
      </w:r>
      <w:r w:rsidR="00AA0903">
        <w:t>ego</w:t>
      </w:r>
      <w:r w:rsidR="005652E0">
        <w:t xml:space="preserve"> o jego winie, a na podstawie tego bezprawnego skazania był pozbawiony wolności łącznie przez dziewięć lat i osiem miesięcy. Skarżący domagał się kwoty 200 000 euro (EUR) tytułem zadośćuczynienia za szkodę niemajątkową.</w:t>
      </w:r>
    </w:p>
    <w:p w14:paraId="6D6A9414" w14:textId="60076ECB" w:rsidR="005652E0" w:rsidRPr="00A34A82" w:rsidRDefault="0085731C" w:rsidP="00A34A82">
      <w:pPr>
        <w:pStyle w:val="JuPara"/>
      </w:pPr>
      <w:fldSimple w:instr=" SEQ level0 \*arabic ">
        <w:r w:rsidR="00A34A82" w:rsidRPr="00A34A82">
          <w:t>127</w:t>
        </w:r>
      </w:fldSimple>
      <w:r w:rsidR="005652E0">
        <w:t xml:space="preserve">.  Rząd stwierdził, że roszczenie skarżącego należy oddalić, ponieważ </w:t>
      </w:r>
      <w:r w:rsidR="00AA0903">
        <w:t xml:space="preserve">gdyby </w:t>
      </w:r>
      <w:r w:rsidR="005652E0">
        <w:t xml:space="preserve">jego skazanie zostało uznane za </w:t>
      </w:r>
      <w:r w:rsidR="00AA0903">
        <w:t xml:space="preserve">stanowiące </w:t>
      </w:r>
      <w:r w:rsidR="005652E0">
        <w:t xml:space="preserve">naruszenie Konwencji, </w:t>
      </w:r>
      <w:r w:rsidR="00AA0903">
        <w:t>mógłby</w:t>
      </w:r>
      <w:r w:rsidR="005652E0">
        <w:t xml:space="preserve"> ubiegać się na szczeblu krajowym o wznowienie postępowania karnego i odszkodowanie.</w:t>
      </w:r>
    </w:p>
    <w:p w14:paraId="2CBFB66F" w14:textId="18325A75" w:rsidR="005652E0" w:rsidRPr="00A34A82" w:rsidRDefault="0085731C" w:rsidP="00A34A82">
      <w:pPr>
        <w:pStyle w:val="JuPara"/>
      </w:pPr>
      <w:fldSimple w:instr=" SEQ level0 \*arabic ">
        <w:r w:rsidR="00A34A82" w:rsidRPr="00A34A82">
          <w:t>128</w:t>
        </w:r>
      </w:fldSimple>
      <w:r w:rsidR="005652E0">
        <w:t>.  Trybunał stwierdził, że w odniesieniu do skarżącego doszło do dwóch naruszeń art. 6 Konwencji. Zważywszy</w:t>
      </w:r>
      <w:r w:rsidR="00AA0903">
        <w:t xml:space="preserve"> na to</w:t>
      </w:r>
      <w:r w:rsidR="005652E0">
        <w:t>, że wskutek skazania z naruszeniem art. 6 Konwencji skarżący był pozbawiony wolności przez niemal dziesięć lat, Trybunał uznaje, że jego cierpienie i frustracja nie mogą zostać zrekompensowane samym stwierdzeniem naruszenia, czy też możliwością wznowienia postępowania karnego. Trybunał, dokonując oceny w oparciu o zasadę słuszności, przyznaje skarżącemu kwotę 21 100 EUR tytułem zadośćuczynienia za szkodę niemajątkową.</w:t>
      </w:r>
    </w:p>
    <w:p w14:paraId="51C67AD8" w14:textId="77777777" w:rsidR="005652E0" w:rsidRPr="00A34A82" w:rsidRDefault="005652E0" w:rsidP="00A34A82">
      <w:pPr>
        <w:pStyle w:val="JuHA"/>
        <w:numPr>
          <w:ilvl w:val="2"/>
          <w:numId w:val="1"/>
        </w:numPr>
        <w:jc w:val="left"/>
      </w:pPr>
      <w:r>
        <w:lastRenderedPageBreak/>
        <w:t>Koszty i wydatki</w:t>
      </w:r>
    </w:p>
    <w:p w14:paraId="466384FD" w14:textId="5EC505E1" w:rsidR="005652E0" w:rsidRPr="00A34A82" w:rsidRDefault="0085731C" w:rsidP="00A34A82">
      <w:pPr>
        <w:pStyle w:val="JuPara"/>
      </w:pPr>
      <w:fldSimple w:instr=" SEQ level0 \*arabic ">
        <w:r w:rsidR="00A34A82" w:rsidRPr="00A34A82">
          <w:t>129</w:t>
        </w:r>
      </w:fldSimple>
      <w:r w:rsidR="005652E0">
        <w:t xml:space="preserve">.  Skarżący </w:t>
      </w:r>
      <w:r w:rsidR="00DA3E3D">
        <w:t>podniósł</w:t>
      </w:r>
      <w:r w:rsidR="005652E0">
        <w:t>, że każda z dwóch pełnomocniczek reprezentujących go przed Trybunałem poświęciła dwadzieścia cztery godziny na przygotowanie pism do Trybunału. Ponieważ ich stawka godzinowa wynosi</w:t>
      </w:r>
      <w:r w:rsidR="00DA3E3D">
        <w:t>ła</w:t>
      </w:r>
      <w:r w:rsidR="005652E0">
        <w:t xml:space="preserve"> 150 EUR, skarżący zwrócił się do Trybunału o przyznanie 3 600 EUR każdej z pełnomocniczek, co łącznie daje kwotę 7 200 EUR.</w:t>
      </w:r>
    </w:p>
    <w:p w14:paraId="72F1B38D" w14:textId="77777777" w:rsidR="005652E0" w:rsidRPr="00A34A82" w:rsidRDefault="0085731C" w:rsidP="00A34A82">
      <w:pPr>
        <w:pStyle w:val="JuPara"/>
      </w:pPr>
      <w:fldSimple w:instr=" SEQ level0 \*arabic ">
        <w:r w:rsidR="00A34A82" w:rsidRPr="00A34A82">
          <w:t>130</w:t>
        </w:r>
      </w:fldSimple>
      <w:r w:rsidR="005652E0">
        <w:t>.  Rząd stwierdził, że roszczenie skarżącego należy odrzucić, ponieważ nie zapłacił on swoim pełnomocniczkom powyższych kwot.</w:t>
      </w:r>
    </w:p>
    <w:p w14:paraId="3D8219AA" w14:textId="7665E336" w:rsidR="005652E0" w:rsidRPr="00A34A82" w:rsidRDefault="0085731C" w:rsidP="00A34A82">
      <w:pPr>
        <w:pStyle w:val="JuPara"/>
      </w:pPr>
      <w:fldSimple w:instr=" SEQ level0 \*arabic ">
        <w:r w:rsidR="00A34A82" w:rsidRPr="00A34A82">
          <w:t>131</w:t>
        </w:r>
      </w:fldSimple>
      <w:r w:rsidR="005652E0">
        <w:t xml:space="preserve">.  Trybunał zauważa, że skarżący </w:t>
      </w:r>
      <w:r w:rsidR="00DA3E3D">
        <w:t>otrzymał</w:t>
      </w:r>
      <w:r w:rsidR="005652E0">
        <w:t xml:space="preserve"> bezpłatną pomoc prawną. </w:t>
      </w:r>
      <w:r w:rsidR="00AA0903">
        <w:t>Jego r</w:t>
      </w:r>
      <w:r w:rsidR="005652E0">
        <w:t xml:space="preserve">oszczenie </w:t>
      </w:r>
      <w:r w:rsidR="00AA0903">
        <w:t xml:space="preserve">z </w:t>
      </w:r>
      <w:r w:rsidR="005652E0">
        <w:t>tytuł</w:t>
      </w:r>
      <w:r w:rsidR="00AA0903">
        <w:t>u</w:t>
      </w:r>
      <w:r w:rsidR="005652E0">
        <w:t xml:space="preserve"> kosztów i wydatków nie zostało poparte kopią </w:t>
      </w:r>
      <w:r w:rsidR="00AA0903">
        <w:t>bezspornie</w:t>
      </w:r>
      <w:r w:rsidR="005652E0">
        <w:t xml:space="preserve"> wykonalnej umowy o świadczenie usług prawnych zawartej z </w:t>
      </w:r>
      <w:r w:rsidR="00AA0903">
        <w:t xml:space="preserve">jego </w:t>
      </w:r>
      <w:r w:rsidR="005652E0">
        <w:t>pełnomocniczkami ani kopiami rachunków potwierdzających płatność. Z tego względu Trybunał oddala roszczenie z tytułu kosztów i wydatków.</w:t>
      </w:r>
    </w:p>
    <w:p w14:paraId="431F68E6" w14:textId="77777777" w:rsidR="005652E0" w:rsidRPr="00A34A82" w:rsidRDefault="005652E0" w:rsidP="00A34A82">
      <w:pPr>
        <w:pStyle w:val="JuHA"/>
        <w:numPr>
          <w:ilvl w:val="2"/>
          <w:numId w:val="1"/>
        </w:numPr>
        <w:jc w:val="left"/>
      </w:pPr>
      <w:r>
        <w:t>Odsetki za zwłokę</w:t>
      </w:r>
    </w:p>
    <w:p w14:paraId="270806BD" w14:textId="77777777" w:rsidR="005652E0" w:rsidRPr="00A34A82" w:rsidRDefault="0085731C" w:rsidP="00A34A82">
      <w:pPr>
        <w:pStyle w:val="JuPara"/>
      </w:pPr>
      <w:fldSimple w:instr=" SEQ level0 \*arabic ">
        <w:r w:rsidR="00A34A82" w:rsidRPr="00A34A82">
          <w:t>132</w:t>
        </w:r>
      </w:fldSimple>
      <w:r w:rsidR="005652E0">
        <w:t>.  Trybunał za słuszne uznaje wyznaczenie wysokości odsetek za zwłokę na podstawie marginalnej stopy procentowej Europejskiego Banku Centralnego powiększonej o trzy punkty procentowe.</w:t>
      </w:r>
    </w:p>
    <w:p w14:paraId="79F74990" w14:textId="77777777" w:rsidR="005652E0" w:rsidRPr="00A34A82" w:rsidRDefault="005652E0" w:rsidP="00A34A82">
      <w:pPr>
        <w:pStyle w:val="JuHHead"/>
        <w:numPr>
          <w:ilvl w:val="0"/>
          <w:numId w:val="1"/>
        </w:numPr>
        <w:jc w:val="left"/>
      </w:pPr>
      <w:r>
        <w:t>Z TYCH PRZYCZYN TRYBUNAŁ JEDNOGŁOŚNIE</w:t>
      </w:r>
    </w:p>
    <w:p w14:paraId="1ECE0F67" w14:textId="77777777" w:rsidR="005652E0" w:rsidRPr="00A34A82" w:rsidRDefault="005652E0" w:rsidP="00A34A82">
      <w:pPr>
        <w:pStyle w:val="JuList"/>
      </w:pPr>
      <w:r>
        <w:rPr>
          <w:i/>
        </w:rPr>
        <w:t>orzeka</w:t>
      </w:r>
      <w:r>
        <w:t>, że pozwane państwo nie wywiązało się ze swoich obowiązków wynikających z art. 38 Konwencji;</w:t>
      </w:r>
    </w:p>
    <w:p w14:paraId="6231A015" w14:textId="542A4FFB" w:rsidR="005652E0" w:rsidRPr="00A34A82" w:rsidRDefault="005652E0" w:rsidP="00A34A82">
      <w:pPr>
        <w:pStyle w:val="JuList"/>
      </w:pPr>
      <w:r>
        <w:rPr>
          <w:i/>
        </w:rPr>
        <w:t>orzeka,</w:t>
      </w:r>
      <w:r>
        <w:t xml:space="preserve"> że doszło do naruszenia art. 6 ust. 1 Konwencji w odniesieniu do prawa skarżącego do rozpatrzenia jego sprawy przez bezstronny sąd;</w:t>
      </w:r>
    </w:p>
    <w:p w14:paraId="24D73247" w14:textId="764B28AC" w:rsidR="005652E0" w:rsidRPr="00A34A82" w:rsidRDefault="005652E0" w:rsidP="00A34A82">
      <w:pPr>
        <w:pStyle w:val="JuList"/>
      </w:pPr>
      <w:r>
        <w:rPr>
          <w:i/>
        </w:rPr>
        <w:t>orzeka,</w:t>
      </w:r>
      <w:r>
        <w:t xml:space="preserve"> że doszło do naruszenia art. 6 ust. 1 i 3 lit. d) Konwencji w odniesieniu do prawa skarżącego do przesłuchania biegłych oskarżenia;</w:t>
      </w:r>
    </w:p>
    <w:p w14:paraId="6EB08FCD" w14:textId="77777777" w:rsidR="005652E0" w:rsidRPr="00A34A82" w:rsidRDefault="005652E0" w:rsidP="00A34A82">
      <w:pPr>
        <w:pStyle w:val="JuList"/>
      </w:pPr>
      <w:r>
        <w:rPr>
          <w:i/>
        </w:rPr>
        <w:t>orzeka</w:t>
      </w:r>
      <w:r>
        <w:t>, że nie zachodzi konieczność rozpatrywania skargi na podstawie art. 7 i 10 Konwencji;</w:t>
      </w:r>
    </w:p>
    <w:p w14:paraId="0689ACA7" w14:textId="3C643C2E" w:rsidR="005652E0" w:rsidRPr="00A34A82" w:rsidRDefault="005652E0" w:rsidP="00A34A82">
      <w:pPr>
        <w:pStyle w:val="JuList"/>
      </w:pPr>
      <w:r>
        <w:rPr>
          <w:i/>
        </w:rPr>
        <w:t>orzeka</w:t>
      </w:r>
      <w:r w:rsidR="006A19BB">
        <w:rPr>
          <w:i/>
        </w:rPr>
        <w:t>,</w:t>
      </w:r>
    </w:p>
    <w:p w14:paraId="6AB13BD6" w14:textId="3DCA909E" w:rsidR="005652E0" w:rsidRPr="00A34A82" w:rsidRDefault="005652E0" w:rsidP="00A34A82">
      <w:pPr>
        <w:pStyle w:val="JuLista"/>
      </w:pPr>
      <w:r>
        <w:t xml:space="preserve">że pozwane państwo winno, w terminie trzech miesięcy od daty, w której niniejszy wyrok stanie się ostateczny zgodnie z art. 44 ust. 2 Konwencji, uiścić na rzecz skarżącego kwotę 21 100 EUR (dwadzieścia jeden tysięcy euro) zadośćuczynienia z tytułu szkody niemajątkowej, </w:t>
      </w:r>
      <w:r>
        <w:rPr>
          <w:color w:val="000000"/>
        </w:rPr>
        <w:t>przeliczoną na walutę pozwanego państw</w:t>
      </w:r>
      <w:r w:rsidR="00DA3E3D">
        <w:rPr>
          <w:color w:val="000000"/>
        </w:rPr>
        <w:t>a</w:t>
      </w:r>
      <w:r>
        <w:t xml:space="preserve"> według </w:t>
      </w:r>
      <w:r>
        <w:lastRenderedPageBreak/>
        <w:t>kursu obowiązującego w dniu płatności, powiększoną o wszelkie należne podatki;</w:t>
      </w:r>
    </w:p>
    <w:p w14:paraId="2C517149" w14:textId="77777777" w:rsidR="005652E0" w:rsidRPr="00A34A82" w:rsidRDefault="005652E0" w:rsidP="00A34A82">
      <w:pPr>
        <w:pStyle w:val="JuLista"/>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4B73D09D" w14:textId="07B7828C" w:rsidR="004D0EC7" w:rsidRPr="00A34A82" w:rsidRDefault="005652E0" w:rsidP="00A34A82">
      <w:pPr>
        <w:pStyle w:val="JuList"/>
      </w:pPr>
      <w:r>
        <w:rPr>
          <w:i/>
        </w:rPr>
        <w:t xml:space="preserve">oddala </w:t>
      </w:r>
      <w:r>
        <w:t>roszczeni</w:t>
      </w:r>
      <w:r w:rsidR="00DA3E3D">
        <w:t>e</w:t>
      </w:r>
      <w:r>
        <w:t xml:space="preserve"> skarżącego </w:t>
      </w:r>
      <w:r w:rsidR="00DA3E3D">
        <w:t xml:space="preserve">o </w:t>
      </w:r>
      <w:r>
        <w:t>słuszne zadośćuczynieni</w:t>
      </w:r>
      <w:r w:rsidR="00DA3E3D">
        <w:t>e w pozostałej części</w:t>
      </w:r>
      <w:r>
        <w:t>.</w:t>
      </w:r>
    </w:p>
    <w:p w14:paraId="351701BC" w14:textId="77777777" w:rsidR="008E3A08" w:rsidRPr="00A34A82" w:rsidRDefault="007E2C8C" w:rsidP="00A34A82">
      <w:pPr>
        <w:pStyle w:val="JuParaLast"/>
      </w:pPr>
      <w:r>
        <w:t xml:space="preserve">Sporządzono w języku angielskim i obwieszczono pisemnie </w:t>
      </w:r>
      <w:r>
        <w:rPr>
          <w:rFonts w:ascii="Times New Roman" w:hAnsi="Times New Roman"/>
        </w:rPr>
        <w:t>1 grudnia 2020 r</w:t>
      </w:r>
      <w:r>
        <w:t>., zgodnie z Regułą 77 §§ 2 i 3 Regulaminu Trybunału.</w:t>
      </w:r>
    </w:p>
    <w:p w14:paraId="4EAA55F3" w14:textId="77777777" w:rsidR="001C055B" w:rsidRPr="00A34A82" w:rsidRDefault="00DF3195" w:rsidP="00A34A82">
      <w:pPr>
        <w:pStyle w:val="JuSigned"/>
      </w:pPr>
      <w:r>
        <w:tab/>
        <w:t xml:space="preserve">Milan </w:t>
      </w:r>
      <w:proofErr w:type="spellStart"/>
      <w:r>
        <w:t>Blaško</w:t>
      </w:r>
      <w:proofErr w:type="spellEnd"/>
      <w:r>
        <w:t xml:space="preserve"> </w:t>
      </w:r>
      <w:r>
        <w:tab/>
        <w:t xml:space="preserve">Paul </w:t>
      </w:r>
      <w:proofErr w:type="spellStart"/>
      <w:r>
        <w:t>Lemmens</w:t>
      </w:r>
      <w:proofErr w:type="spellEnd"/>
      <w:r>
        <w:br/>
      </w:r>
      <w:r>
        <w:tab/>
        <w:t>Kanclerz</w:t>
      </w:r>
      <w:r>
        <w:tab/>
        <w:t>Przewodniczący</w:t>
      </w:r>
    </w:p>
    <w:sectPr w:rsidR="001C055B" w:rsidRPr="00A34A82"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A4E633" w14:textId="77777777" w:rsidR="00F5746C" w:rsidRPr="009E7A6F" w:rsidRDefault="00F5746C" w:rsidP="0098410D">
      <w:r w:rsidRPr="009E7A6F">
        <w:separator/>
      </w:r>
    </w:p>
  </w:endnote>
  <w:endnote w:type="continuationSeparator" w:id="0">
    <w:p w14:paraId="49CBE9B2" w14:textId="77777777" w:rsidR="00F5746C" w:rsidRPr="009E7A6F" w:rsidRDefault="00F5746C"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9F4C67" w14:textId="77777777" w:rsidR="00F5746C" w:rsidRPr="00150BFA" w:rsidRDefault="00F5746C" w:rsidP="00833AB4">
    <w:pPr>
      <w:jc w:val="center"/>
    </w:pPr>
    <w:r>
      <w:rPr>
        <w:noProof/>
      </w:rPr>
      <w:drawing>
        <wp:inline distT="0" distB="0" distL="0" distR="0" wp14:anchorId="106BB204" wp14:editId="0E98F822">
          <wp:extent cx="771525" cy="619125"/>
          <wp:effectExtent l="0" t="0" r="9525" b="9525"/>
          <wp:docPr id="32" name="Picture 3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842B501" w14:textId="77777777" w:rsidR="00F5746C" w:rsidRPr="009E7A6F" w:rsidRDefault="00F5746C" w:rsidP="00833AB4">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425B5C" w14:textId="77777777" w:rsidR="00F5746C" w:rsidRPr="00150BFA" w:rsidRDefault="00F5746C" w:rsidP="00833AB4">
    <w:pPr>
      <w:jc w:val="center"/>
    </w:pPr>
    <w:r>
      <w:rPr>
        <w:noProof/>
      </w:rPr>
      <w:drawing>
        <wp:inline distT="0" distB="0" distL="0" distR="0" wp14:anchorId="0303017F" wp14:editId="255D1EE9">
          <wp:extent cx="771525" cy="619125"/>
          <wp:effectExtent l="0" t="0" r="9525" b="9525"/>
          <wp:docPr id="30" name="Picture 3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7B7A839" w14:textId="77777777" w:rsidR="00F5746C" w:rsidRPr="009E7A6F" w:rsidRDefault="00F5746C"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C4C17" w14:textId="77777777" w:rsidR="00F5746C" w:rsidRDefault="00F5746C"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8</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51FA8" w14:textId="77777777" w:rsidR="00F5746C" w:rsidRPr="000B7195" w:rsidRDefault="00F5746C" w:rsidP="007D3701">
    <w:pPr>
      <w:pStyle w:val="JuHeader"/>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596672" w14:textId="77777777" w:rsidR="00F5746C" w:rsidRPr="009E7A6F" w:rsidRDefault="00F5746C" w:rsidP="0098410D">
      <w:r w:rsidRPr="009E7A6F">
        <w:separator/>
      </w:r>
    </w:p>
  </w:footnote>
  <w:footnote w:type="continuationSeparator" w:id="0">
    <w:p w14:paraId="3B15021D" w14:textId="77777777" w:rsidR="00F5746C" w:rsidRPr="009E7A6F" w:rsidRDefault="00F5746C" w:rsidP="0098410D">
      <w:r w:rsidRPr="009E7A6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E6B13F" w14:textId="77777777" w:rsidR="00F5746C" w:rsidRPr="00A45145" w:rsidRDefault="00F5746C" w:rsidP="00833AB4">
    <w:pPr>
      <w:jc w:val="center"/>
    </w:pPr>
    <w:r>
      <w:rPr>
        <w:noProof/>
      </w:rPr>
      <w:drawing>
        <wp:inline distT="0" distB="0" distL="0" distR="0" wp14:anchorId="4CBA4F85" wp14:editId="228982C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62AA909" w14:textId="77777777" w:rsidR="00F5746C" w:rsidRPr="009E7A6F" w:rsidRDefault="00F5746C" w:rsidP="00833AB4">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7E61B" w14:textId="77777777" w:rsidR="00F5746C" w:rsidRPr="00A45145" w:rsidRDefault="00F5746C" w:rsidP="00833AB4">
    <w:pPr>
      <w:jc w:val="center"/>
    </w:pPr>
    <w:r>
      <w:rPr>
        <w:noProof/>
      </w:rPr>
      <w:drawing>
        <wp:inline distT="0" distB="0" distL="0" distR="0" wp14:anchorId="1D73D811" wp14:editId="0034C1FF">
          <wp:extent cx="2962275" cy="1219200"/>
          <wp:effectExtent l="0" t="0" r="9525" b="0"/>
          <wp:docPr id="27" name="Picture 2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403834F" w14:textId="77777777" w:rsidR="00F5746C" w:rsidRPr="009E7A6F" w:rsidRDefault="00F5746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CC8D22" w14:textId="77777777" w:rsidR="00F5746C" w:rsidRPr="004D0EC7" w:rsidRDefault="00F5746C" w:rsidP="004D0EC7">
    <w:pPr>
      <w:pStyle w:val="JuHeader"/>
    </w:pPr>
    <w:r>
      <w:t>WYROK W SPRAWIE DANILOV PRZECIWKO ROSJI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510F4" w14:textId="77777777" w:rsidR="00F5746C" w:rsidRPr="00882CD5" w:rsidRDefault="00F5746C" w:rsidP="007D3701">
    <w:pPr>
      <w:pStyle w:val="JuHeader"/>
    </w:pPr>
    <w:r>
      <w:t>WYROK W SPRAWIE DANILOV PRZECIWKO ROSJI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5652E0"/>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30BB"/>
    <w:rsid w:val="000740B6"/>
    <w:rsid w:val="0007780A"/>
    <w:rsid w:val="00085457"/>
    <w:rsid w:val="000925AD"/>
    <w:rsid w:val="0009470E"/>
    <w:rsid w:val="00096FE1"/>
    <w:rsid w:val="00097A62"/>
    <w:rsid w:val="000A24EB"/>
    <w:rsid w:val="000B686A"/>
    <w:rsid w:val="000B6923"/>
    <w:rsid w:val="000B7195"/>
    <w:rsid w:val="000C0CE8"/>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0DD"/>
    <w:rsid w:val="00141650"/>
    <w:rsid w:val="001561B6"/>
    <w:rsid w:val="00162A12"/>
    <w:rsid w:val="00162FDE"/>
    <w:rsid w:val="00166530"/>
    <w:rsid w:val="00170027"/>
    <w:rsid w:val="0018240A"/>
    <w:rsid w:val="001832BD"/>
    <w:rsid w:val="001943B5"/>
    <w:rsid w:val="00195134"/>
    <w:rsid w:val="001A145B"/>
    <w:rsid w:val="001A2E11"/>
    <w:rsid w:val="001A3E09"/>
    <w:rsid w:val="001A643F"/>
    <w:rsid w:val="001A674C"/>
    <w:rsid w:val="001B3B24"/>
    <w:rsid w:val="001B5403"/>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4122"/>
    <w:rsid w:val="002052BC"/>
    <w:rsid w:val="00205F9F"/>
    <w:rsid w:val="00210338"/>
    <w:rsid w:val="002115FC"/>
    <w:rsid w:val="0021423C"/>
    <w:rsid w:val="00230D00"/>
    <w:rsid w:val="0023156B"/>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210F"/>
    <w:rsid w:val="0026540E"/>
    <w:rsid w:val="00275123"/>
    <w:rsid w:val="00282240"/>
    <w:rsid w:val="00287AD5"/>
    <w:rsid w:val="002934D0"/>
    <w:rsid w:val="00293676"/>
    <w:rsid w:val="00293BD9"/>
    <w:rsid w:val="002948AD"/>
    <w:rsid w:val="00296580"/>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A0E94"/>
    <w:rsid w:val="003B22E4"/>
    <w:rsid w:val="003B4941"/>
    <w:rsid w:val="003C5714"/>
    <w:rsid w:val="003C6B9F"/>
    <w:rsid w:val="003C6E2A"/>
    <w:rsid w:val="003D0299"/>
    <w:rsid w:val="003D294D"/>
    <w:rsid w:val="003D7307"/>
    <w:rsid w:val="003E233F"/>
    <w:rsid w:val="003E6D80"/>
    <w:rsid w:val="003F05FA"/>
    <w:rsid w:val="003F244A"/>
    <w:rsid w:val="003F2517"/>
    <w:rsid w:val="003F30B8"/>
    <w:rsid w:val="003F4C45"/>
    <w:rsid w:val="003F5F7B"/>
    <w:rsid w:val="003F7D64"/>
    <w:rsid w:val="0040433A"/>
    <w:rsid w:val="00411E70"/>
    <w:rsid w:val="00414300"/>
    <w:rsid w:val="00414F27"/>
    <w:rsid w:val="00420703"/>
    <w:rsid w:val="00425C67"/>
    <w:rsid w:val="00427E7A"/>
    <w:rsid w:val="004355AC"/>
    <w:rsid w:val="004361B8"/>
    <w:rsid w:val="00436C49"/>
    <w:rsid w:val="00443D98"/>
    <w:rsid w:val="00445366"/>
    <w:rsid w:val="00445B10"/>
    <w:rsid w:val="00447042"/>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B481F"/>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21FA"/>
    <w:rsid w:val="0053315C"/>
    <w:rsid w:val="00537476"/>
    <w:rsid w:val="005442EE"/>
    <w:rsid w:val="00545DA6"/>
    <w:rsid w:val="00547353"/>
    <w:rsid w:val="005474E7"/>
    <w:rsid w:val="005512A3"/>
    <w:rsid w:val="005548D4"/>
    <w:rsid w:val="005578CE"/>
    <w:rsid w:val="00562781"/>
    <w:rsid w:val="00562B6C"/>
    <w:rsid w:val="005652E0"/>
    <w:rsid w:val="0057271C"/>
    <w:rsid w:val="00572845"/>
    <w:rsid w:val="005879A2"/>
    <w:rsid w:val="00592772"/>
    <w:rsid w:val="00594DCD"/>
    <w:rsid w:val="0059574A"/>
    <w:rsid w:val="005A1B9B"/>
    <w:rsid w:val="005A2E79"/>
    <w:rsid w:val="005A6751"/>
    <w:rsid w:val="005B04DE"/>
    <w:rsid w:val="005B092E"/>
    <w:rsid w:val="005B152C"/>
    <w:rsid w:val="005B1EE0"/>
    <w:rsid w:val="005B2B24"/>
    <w:rsid w:val="005B4425"/>
    <w:rsid w:val="005B4B94"/>
    <w:rsid w:val="005C3EE8"/>
    <w:rsid w:val="005D0464"/>
    <w:rsid w:val="005D2F2A"/>
    <w:rsid w:val="005D34F9"/>
    <w:rsid w:val="005D4190"/>
    <w:rsid w:val="005D67A3"/>
    <w:rsid w:val="005E2988"/>
    <w:rsid w:val="005E3085"/>
    <w:rsid w:val="005E5B91"/>
    <w:rsid w:val="005F0EB3"/>
    <w:rsid w:val="005F51E1"/>
    <w:rsid w:val="00611C80"/>
    <w:rsid w:val="00620692"/>
    <w:rsid w:val="006242CA"/>
    <w:rsid w:val="006270F1"/>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19BB"/>
    <w:rsid w:val="006A36F4"/>
    <w:rsid w:val="006A406F"/>
    <w:rsid w:val="006A5D3A"/>
    <w:rsid w:val="006A728B"/>
    <w:rsid w:val="006C23D4"/>
    <w:rsid w:val="006C7BB0"/>
    <w:rsid w:val="006D3237"/>
    <w:rsid w:val="006D5FE9"/>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77E67"/>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3AB4"/>
    <w:rsid w:val="00834220"/>
    <w:rsid w:val="00845723"/>
    <w:rsid w:val="008519E7"/>
    <w:rsid w:val="00851EF9"/>
    <w:rsid w:val="0085731C"/>
    <w:rsid w:val="008577FD"/>
    <w:rsid w:val="00860B03"/>
    <w:rsid w:val="0086497A"/>
    <w:rsid w:val="008666E6"/>
    <w:rsid w:val="00867066"/>
    <w:rsid w:val="008713A1"/>
    <w:rsid w:val="00872584"/>
    <w:rsid w:val="008754AB"/>
    <w:rsid w:val="0088060C"/>
    <w:rsid w:val="00882CD5"/>
    <w:rsid w:val="00883151"/>
    <w:rsid w:val="00893576"/>
    <w:rsid w:val="00893E73"/>
    <w:rsid w:val="008B02DC"/>
    <w:rsid w:val="008B092C"/>
    <w:rsid w:val="008B57CE"/>
    <w:rsid w:val="008C136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164"/>
    <w:rsid w:val="00934301"/>
    <w:rsid w:val="00936CD1"/>
    <w:rsid w:val="00941747"/>
    <w:rsid w:val="00941EFB"/>
    <w:rsid w:val="00947AFB"/>
    <w:rsid w:val="00951AA3"/>
    <w:rsid w:val="00951D7D"/>
    <w:rsid w:val="009546EC"/>
    <w:rsid w:val="00956D0C"/>
    <w:rsid w:val="009630C7"/>
    <w:rsid w:val="00972B55"/>
    <w:rsid w:val="009743B7"/>
    <w:rsid w:val="0098228B"/>
    <w:rsid w:val="009828DA"/>
    <w:rsid w:val="00983E7A"/>
    <w:rsid w:val="0098410D"/>
    <w:rsid w:val="00985BAB"/>
    <w:rsid w:val="00986B3C"/>
    <w:rsid w:val="009A115C"/>
    <w:rsid w:val="009B1606"/>
    <w:rsid w:val="009B1B5F"/>
    <w:rsid w:val="009B3583"/>
    <w:rsid w:val="009B6673"/>
    <w:rsid w:val="009C191B"/>
    <w:rsid w:val="009C2BD6"/>
    <w:rsid w:val="009D1AA2"/>
    <w:rsid w:val="009D2AFB"/>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A82"/>
    <w:rsid w:val="00A34DD6"/>
    <w:rsid w:val="00A35683"/>
    <w:rsid w:val="00A36819"/>
    <w:rsid w:val="00A36989"/>
    <w:rsid w:val="00A43628"/>
    <w:rsid w:val="00A51D0F"/>
    <w:rsid w:val="00A54192"/>
    <w:rsid w:val="00A57147"/>
    <w:rsid w:val="00A6035E"/>
    <w:rsid w:val="00A6144C"/>
    <w:rsid w:val="00A624C7"/>
    <w:rsid w:val="00A66617"/>
    <w:rsid w:val="00A671F8"/>
    <w:rsid w:val="00A673A4"/>
    <w:rsid w:val="00A724AE"/>
    <w:rsid w:val="00A73329"/>
    <w:rsid w:val="00A75B42"/>
    <w:rsid w:val="00A82359"/>
    <w:rsid w:val="00A8447B"/>
    <w:rsid w:val="00A863BF"/>
    <w:rsid w:val="00A865D2"/>
    <w:rsid w:val="00A90BCD"/>
    <w:rsid w:val="00A94C20"/>
    <w:rsid w:val="00AA0903"/>
    <w:rsid w:val="00AA1B09"/>
    <w:rsid w:val="00AA227F"/>
    <w:rsid w:val="00AA3BC7"/>
    <w:rsid w:val="00AA754A"/>
    <w:rsid w:val="00AB099E"/>
    <w:rsid w:val="00AB4328"/>
    <w:rsid w:val="00AC4CD4"/>
    <w:rsid w:val="00AE0A2E"/>
    <w:rsid w:val="00AE16E0"/>
    <w:rsid w:val="00AE354C"/>
    <w:rsid w:val="00AF4B07"/>
    <w:rsid w:val="00AF6186"/>
    <w:rsid w:val="00AF7A3A"/>
    <w:rsid w:val="00B02587"/>
    <w:rsid w:val="00B160DB"/>
    <w:rsid w:val="00B20836"/>
    <w:rsid w:val="00B235BB"/>
    <w:rsid w:val="00B27A44"/>
    <w:rsid w:val="00B30BBF"/>
    <w:rsid w:val="00B33C03"/>
    <w:rsid w:val="00B36F16"/>
    <w:rsid w:val="00B41068"/>
    <w:rsid w:val="00B4421F"/>
    <w:rsid w:val="00B44E56"/>
    <w:rsid w:val="00B45917"/>
    <w:rsid w:val="00B46543"/>
    <w:rsid w:val="00B47D33"/>
    <w:rsid w:val="00B51E20"/>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77F7"/>
    <w:rsid w:val="00C509A6"/>
    <w:rsid w:val="00C50D41"/>
    <w:rsid w:val="00C53F4A"/>
    <w:rsid w:val="00C54125"/>
    <w:rsid w:val="00C55B54"/>
    <w:rsid w:val="00C6098E"/>
    <w:rsid w:val="00C6152C"/>
    <w:rsid w:val="00C74810"/>
    <w:rsid w:val="00C90D68"/>
    <w:rsid w:val="00C939FE"/>
    <w:rsid w:val="00CA4BDA"/>
    <w:rsid w:val="00CA5CFE"/>
    <w:rsid w:val="00CB13E3"/>
    <w:rsid w:val="00CB1F66"/>
    <w:rsid w:val="00CB232C"/>
    <w:rsid w:val="00CB2951"/>
    <w:rsid w:val="00CB4277"/>
    <w:rsid w:val="00CC5067"/>
    <w:rsid w:val="00CD11D3"/>
    <w:rsid w:val="00CD282B"/>
    <w:rsid w:val="00CD447B"/>
    <w:rsid w:val="00CD4C35"/>
    <w:rsid w:val="00CD7369"/>
    <w:rsid w:val="00CE0B0E"/>
    <w:rsid w:val="00CE3831"/>
    <w:rsid w:val="00CF2397"/>
    <w:rsid w:val="00CF40E1"/>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46D86"/>
    <w:rsid w:val="00D50A0A"/>
    <w:rsid w:val="00D53548"/>
    <w:rsid w:val="00D566BD"/>
    <w:rsid w:val="00D57A4D"/>
    <w:rsid w:val="00D60AA7"/>
    <w:rsid w:val="00D63B82"/>
    <w:rsid w:val="00D6435F"/>
    <w:rsid w:val="00D66471"/>
    <w:rsid w:val="00D70641"/>
    <w:rsid w:val="00D74888"/>
    <w:rsid w:val="00D75E28"/>
    <w:rsid w:val="00D772C2"/>
    <w:rsid w:val="00D8008E"/>
    <w:rsid w:val="00D82C45"/>
    <w:rsid w:val="00D908A8"/>
    <w:rsid w:val="00D977B6"/>
    <w:rsid w:val="00DA1223"/>
    <w:rsid w:val="00DA3E3D"/>
    <w:rsid w:val="00DA4A31"/>
    <w:rsid w:val="00DA7B04"/>
    <w:rsid w:val="00DB36C2"/>
    <w:rsid w:val="00DC169B"/>
    <w:rsid w:val="00DC2AB9"/>
    <w:rsid w:val="00DC63F0"/>
    <w:rsid w:val="00DD37EA"/>
    <w:rsid w:val="00DD6EE5"/>
    <w:rsid w:val="00DE386C"/>
    <w:rsid w:val="00DE4D35"/>
    <w:rsid w:val="00DF098B"/>
    <w:rsid w:val="00DF11C4"/>
    <w:rsid w:val="00DF210C"/>
    <w:rsid w:val="00DF3195"/>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20ED"/>
    <w:rsid w:val="00E63EC7"/>
    <w:rsid w:val="00E64915"/>
    <w:rsid w:val="00E64D3A"/>
    <w:rsid w:val="00E661D4"/>
    <w:rsid w:val="00E70091"/>
    <w:rsid w:val="00E70D2E"/>
    <w:rsid w:val="00E720F5"/>
    <w:rsid w:val="00E76D47"/>
    <w:rsid w:val="00E827BC"/>
    <w:rsid w:val="00E831FC"/>
    <w:rsid w:val="00E849F7"/>
    <w:rsid w:val="00E86AF4"/>
    <w:rsid w:val="00E90302"/>
    <w:rsid w:val="00E91D05"/>
    <w:rsid w:val="00E94B3B"/>
    <w:rsid w:val="00E95C1E"/>
    <w:rsid w:val="00E97396"/>
    <w:rsid w:val="00EA185E"/>
    <w:rsid w:val="00EA592A"/>
    <w:rsid w:val="00EB14E4"/>
    <w:rsid w:val="00EB32A5"/>
    <w:rsid w:val="00EB34ED"/>
    <w:rsid w:val="00EB447C"/>
    <w:rsid w:val="00EB7242"/>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5746C"/>
    <w:rsid w:val="00F60B85"/>
    <w:rsid w:val="00F620E8"/>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67DF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934164"/>
    <w:rPr>
      <w:sz w:val="24"/>
      <w:szCs w:val="24"/>
    </w:rPr>
  </w:style>
  <w:style w:type="paragraph" w:styleId="Nagwek1">
    <w:name w:val="heading 1"/>
    <w:basedOn w:val="Normalny"/>
    <w:next w:val="Normalny"/>
    <w:link w:val="Nagwek1Znak"/>
    <w:uiPriority w:val="98"/>
    <w:semiHidden/>
    <w:rsid w:val="0093416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93416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934164"/>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934164"/>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934164"/>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93416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934164"/>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93416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93416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934164"/>
    <w:rPr>
      <w:rFonts w:ascii="Tahoma" w:hAnsi="Tahoma" w:cs="Tahoma"/>
      <w:sz w:val="16"/>
      <w:szCs w:val="16"/>
    </w:rPr>
  </w:style>
  <w:style w:type="character" w:customStyle="1" w:styleId="TekstdymkaZnak">
    <w:name w:val="Tekst dymka Znak"/>
    <w:basedOn w:val="Domylnaczcionkaakapitu"/>
    <w:link w:val="Tekstdymka"/>
    <w:uiPriority w:val="98"/>
    <w:semiHidden/>
    <w:rsid w:val="00934164"/>
    <w:rPr>
      <w:rFonts w:ascii="Tahoma" w:hAnsi="Tahoma" w:cs="Tahoma"/>
      <w:sz w:val="16"/>
      <w:szCs w:val="16"/>
      <w:lang w:val="pl-PL"/>
    </w:rPr>
  </w:style>
  <w:style w:type="character" w:styleId="Tytuksiki">
    <w:name w:val="Book Title"/>
    <w:uiPriority w:val="98"/>
    <w:semiHidden/>
    <w:qFormat/>
    <w:rsid w:val="00934164"/>
    <w:rPr>
      <w:i/>
      <w:iCs/>
      <w:smallCaps/>
      <w:spacing w:val="5"/>
    </w:rPr>
  </w:style>
  <w:style w:type="paragraph" w:customStyle="1" w:styleId="JuHeader">
    <w:name w:val="Ju_Header"/>
    <w:aliases w:val="_Header"/>
    <w:basedOn w:val="Nagwek"/>
    <w:uiPriority w:val="29"/>
    <w:qFormat/>
    <w:rsid w:val="00934164"/>
    <w:pPr>
      <w:tabs>
        <w:tab w:val="clear" w:pos="4536"/>
        <w:tab w:val="clear" w:pos="9072"/>
      </w:tabs>
      <w:jc w:val="center"/>
    </w:pPr>
    <w:rPr>
      <w:sz w:val="18"/>
    </w:rPr>
  </w:style>
  <w:style w:type="paragraph" w:customStyle="1" w:styleId="NormalJustified">
    <w:name w:val="Normal_Justified"/>
    <w:basedOn w:val="Normalny"/>
    <w:semiHidden/>
    <w:rsid w:val="00934164"/>
    <w:pPr>
      <w:jc w:val="both"/>
    </w:pPr>
  </w:style>
  <w:style w:type="character" w:styleId="Pogrubienie">
    <w:name w:val="Strong"/>
    <w:uiPriority w:val="98"/>
    <w:semiHidden/>
    <w:qFormat/>
    <w:rsid w:val="00934164"/>
    <w:rPr>
      <w:b/>
      <w:bCs/>
    </w:rPr>
  </w:style>
  <w:style w:type="paragraph" w:styleId="Bezodstpw">
    <w:name w:val="No Spacing"/>
    <w:basedOn w:val="Normalny"/>
    <w:link w:val="BezodstpwZnak"/>
    <w:uiPriority w:val="98"/>
    <w:semiHidden/>
    <w:qFormat/>
    <w:rsid w:val="00934164"/>
  </w:style>
  <w:style w:type="character" w:customStyle="1" w:styleId="BezodstpwZnak">
    <w:name w:val="Bez odstępów Znak"/>
    <w:basedOn w:val="Domylnaczcionkaakapitu"/>
    <w:link w:val="Bezodstpw"/>
    <w:uiPriority w:val="98"/>
    <w:semiHidden/>
    <w:rsid w:val="00934164"/>
    <w:rPr>
      <w:sz w:val="24"/>
      <w:szCs w:val="24"/>
      <w:lang w:val="pl-PL"/>
    </w:rPr>
  </w:style>
  <w:style w:type="paragraph" w:customStyle="1" w:styleId="JuQuot">
    <w:name w:val="Ju_Quot"/>
    <w:aliases w:val="_Quote"/>
    <w:basedOn w:val="NormalJustified"/>
    <w:uiPriority w:val="20"/>
    <w:qFormat/>
    <w:rsid w:val="00934164"/>
    <w:pPr>
      <w:spacing w:before="120" w:after="120"/>
      <w:ind w:left="425" w:firstLine="142"/>
    </w:pPr>
    <w:rPr>
      <w:sz w:val="20"/>
    </w:rPr>
  </w:style>
  <w:style w:type="paragraph" w:customStyle="1" w:styleId="DummyStyle">
    <w:name w:val="Dummy_Style"/>
    <w:aliases w:val="_Dummy"/>
    <w:basedOn w:val="Normalny"/>
    <w:semiHidden/>
    <w:qFormat/>
    <w:rsid w:val="00934164"/>
    <w:rPr>
      <w:color w:val="00B050"/>
      <w:sz w:val="22"/>
    </w:rPr>
  </w:style>
  <w:style w:type="paragraph" w:customStyle="1" w:styleId="JuList">
    <w:name w:val="Ju_List"/>
    <w:aliases w:val="_List_1"/>
    <w:basedOn w:val="NormalJustified"/>
    <w:uiPriority w:val="23"/>
    <w:qFormat/>
    <w:rsid w:val="00934164"/>
    <w:pPr>
      <w:numPr>
        <w:numId w:val="7"/>
      </w:numPr>
      <w:spacing w:before="280" w:after="60"/>
    </w:pPr>
  </w:style>
  <w:style w:type="paragraph" w:customStyle="1" w:styleId="JuLista">
    <w:name w:val="Ju_List_a"/>
    <w:aliases w:val="_List_2"/>
    <w:basedOn w:val="NormalJustified"/>
    <w:uiPriority w:val="23"/>
    <w:rsid w:val="00934164"/>
    <w:pPr>
      <w:numPr>
        <w:ilvl w:val="1"/>
        <w:numId w:val="7"/>
      </w:numPr>
    </w:pPr>
  </w:style>
  <w:style w:type="paragraph" w:customStyle="1" w:styleId="JuListi">
    <w:name w:val="Ju_List_i"/>
    <w:aliases w:val="_List_3"/>
    <w:basedOn w:val="NormalJustified"/>
    <w:uiPriority w:val="23"/>
    <w:rsid w:val="00934164"/>
    <w:pPr>
      <w:numPr>
        <w:ilvl w:val="2"/>
        <w:numId w:val="7"/>
      </w:numPr>
    </w:pPr>
  </w:style>
  <w:style w:type="paragraph" w:customStyle="1" w:styleId="JuHArticle">
    <w:name w:val="Ju_H_Article"/>
    <w:aliases w:val="_Title_Quote"/>
    <w:basedOn w:val="Normalny"/>
    <w:next w:val="JuQuot"/>
    <w:uiPriority w:val="19"/>
    <w:qFormat/>
    <w:rsid w:val="0093416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93416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934164"/>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934164"/>
    <w:pPr>
      <w:keepNext/>
      <w:keepLines/>
      <w:numPr>
        <w:numId w:val="2"/>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934164"/>
    <w:pPr>
      <w:numPr>
        <w:numId w:val="6"/>
      </w:numPr>
    </w:pPr>
  </w:style>
  <w:style w:type="paragraph" w:customStyle="1" w:styleId="JuSigned">
    <w:name w:val="Ju_Signed"/>
    <w:aliases w:val="_Signature"/>
    <w:basedOn w:val="Normalny"/>
    <w:next w:val="JuPara"/>
    <w:uiPriority w:val="31"/>
    <w:qFormat/>
    <w:rsid w:val="00934164"/>
    <w:pPr>
      <w:tabs>
        <w:tab w:val="center" w:pos="851"/>
        <w:tab w:val="center" w:pos="6407"/>
      </w:tabs>
      <w:spacing w:before="720"/>
    </w:pPr>
  </w:style>
  <w:style w:type="paragraph" w:styleId="Tytu">
    <w:name w:val="Title"/>
    <w:basedOn w:val="Normalny"/>
    <w:next w:val="Normalny"/>
    <w:link w:val="TytuZnak"/>
    <w:uiPriority w:val="98"/>
    <w:semiHidden/>
    <w:qFormat/>
    <w:rsid w:val="009341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934164"/>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934164"/>
    <w:pPr>
      <w:numPr>
        <w:numId w:val="7"/>
      </w:numPr>
    </w:pPr>
  </w:style>
  <w:style w:type="numbering" w:customStyle="1" w:styleId="ECHRA1StyleNumberedList">
    <w:name w:val="ECHR_A1_Style_Numbered_List"/>
    <w:basedOn w:val="Bezlisty"/>
    <w:rsid w:val="00934164"/>
    <w:pPr>
      <w:numPr>
        <w:numId w:val="8"/>
      </w:numPr>
    </w:pPr>
  </w:style>
  <w:style w:type="table" w:customStyle="1" w:styleId="ECHRTable2019">
    <w:name w:val="ECHR_Table_2019"/>
    <w:basedOn w:val="Standardowy"/>
    <w:uiPriority w:val="99"/>
    <w:rsid w:val="0093416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934164"/>
    <w:rPr>
      <w:sz w:val="8"/>
    </w:rPr>
  </w:style>
  <w:style w:type="paragraph" w:customStyle="1" w:styleId="JuCourt">
    <w:name w:val="Ju_Court"/>
    <w:aliases w:val="_Court_Names"/>
    <w:basedOn w:val="Normalny"/>
    <w:next w:val="Normalny"/>
    <w:uiPriority w:val="32"/>
    <w:qFormat/>
    <w:rsid w:val="0093416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934164"/>
    <w:pPr>
      <w:keepNext/>
      <w:keepLines/>
      <w:numPr>
        <w:ilvl w:val="1"/>
        <w:numId w:val="2"/>
      </w:numPr>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934164"/>
    <w:pPr>
      <w:keepNext/>
      <w:keepLines/>
      <w:numPr>
        <w:ilvl w:val="2"/>
        <w:numId w:val="2"/>
      </w:numPr>
      <w:spacing w:before="100" w:beforeAutospacing="1" w:after="240" w:line="240" w:lineRule="auto"/>
      <w:jc w:val="both"/>
    </w:pPr>
    <w:rPr>
      <w:color w:val="auto"/>
    </w:rPr>
  </w:style>
  <w:style w:type="paragraph" w:customStyle="1" w:styleId="JuH1">
    <w:name w:val="Ju_H_1."/>
    <w:aliases w:val="_Head_4"/>
    <w:basedOn w:val="Nagwek4"/>
    <w:next w:val="JuPara"/>
    <w:uiPriority w:val="17"/>
    <w:rsid w:val="00934164"/>
    <w:pPr>
      <w:keepNext/>
      <w:keepLines/>
      <w:numPr>
        <w:ilvl w:val="3"/>
        <w:numId w:val="2"/>
      </w:numPr>
      <w:spacing w:before="100" w:beforeAutospacing="1" w:after="120"/>
      <w:jc w:val="both"/>
    </w:pPr>
    <w:rPr>
      <w:b w:val="0"/>
      <w:color w:val="auto"/>
    </w:rPr>
  </w:style>
  <w:style w:type="paragraph" w:styleId="Nagwek">
    <w:name w:val="header"/>
    <w:basedOn w:val="Normalny"/>
    <w:link w:val="NagwekZnak"/>
    <w:uiPriority w:val="98"/>
    <w:semiHidden/>
    <w:rsid w:val="00934164"/>
    <w:pPr>
      <w:tabs>
        <w:tab w:val="center" w:pos="4536"/>
        <w:tab w:val="right" w:pos="9072"/>
      </w:tabs>
    </w:pPr>
  </w:style>
  <w:style w:type="character" w:customStyle="1" w:styleId="NagwekZnak">
    <w:name w:val="Nagłówek Znak"/>
    <w:basedOn w:val="Domylnaczcionkaakapitu"/>
    <w:link w:val="Nagwek"/>
    <w:uiPriority w:val="98"/>
    <w:semiHidden/>
    <w:rsid w:val="00934164"/>
    <w:rPr>
      <w:sz w:val="24"/>
      <w:szCs w:val="24"/>
      <w:lang w:val="pl-PL"/>
    </w:rPr>
  </w:style>
  <w:style w:type="character" w:customStyle="1" w:styleId="Nagwek1Znak">
    <w:name w:val="Nagłówek 1 Znak"/>
    <w:basedOn w:val="Domylnaczcionkaakapitu"/>
    <w:link w:val="Nagwek1"/>
    <w:uiPriority w:val="98"/>
    <w:semiHidden/>
    <w:rsid w:val="00934164"/>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934164"/>
    <w:pPr>
      <w:keepNext/>
      <w:keepLines/>
      <w:numPr>
        <w:ilvl w:val="4"/>
        <w:numId w:val="2"/>
      </w:numPr>
      <w:spacing w:before="100" w:beforeAutospacing="1" w:after="120"/>
      <w:jc w:val="both"/>
    </w:pPr>
    <w:rPr>
      <w:color w:val="auto"/>
      <w:sz w:val="20"/>
    </w:rPr>
  </w:style>
  <w:style w:type="paragraph" w:customStyle="1" w:styleId="JuHi">
    <w:name w:val="Ju_H_i"/>
    <w:aliases w:val="_Head_6"/>
    <w:basedOn w:val="Nagwek6"/>
    <w:next w:val="JuPara"/>
    <w:uiPriority w:val="17"/>
    <w:rsid w:val="00934164"/>
    <w:pPr>
      <w:keepNext/>
      <w:keepLines/>
      <w:numPr>
        <w:ilvl w:val="5"/>
        <w:numId w:val="2"/>
      </w:numPr>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934164"/>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934164"/>
    <w:pPr>
      <w:keepNext/>
      <w:keepLines/>
      <w:numPr>
        <w:ilvl w:val="6"/>
        <w:numId w:val="2"/>
      </w:numPr>
      <w:spacing w:before="100" w:beforeAutospacing="1" w:after="120"/>
      <w:jc w:val="both"/>
    </w:pPr>
    <w:rPr>
      <w:i w:val="0"/>
      <w:sz w:val="20"/>
    </w:rPr>
  </w:style>
  <w:style w:type="paragraph" w:customStyle="1" w:styleId="JuH">
    <w:name w:val="Ju_H_–"/>
    <w:aliases w:val="_Head_8"/>
    <w:basedOn w:val="Nagwek8"/>
    <w:next w:val="JuPara"/>
    <w:uiPriority w:val="17"/>
    <w:rsid w:val="00934164"/>
    <w:pPr>
      <w:keepNext/>
      <w:keepLines/>
      <w:numPr>
        <w:ilvl w:val="7"/>
        <w:numId w:val="2"/>
      </w:numPr>
      <w:spacing w:before="100" w:beforeAutospacing="1" w:after="120"/>
      <w:jc w:val="both"/>
    </w:pPr>
    <w:rPr>
      <w:i/>
    </w:rPr>
  </w:style>
  <w:style w:type="character" w:customStyle="1" w:styleId="Nagwek3Znak">
    <w:name w:val="Nagłówek 3 Znak"/>
    <w:basedOn w:val="Domylnaczcionkaakapitu"/>
    <w:link w:val="Nagwek3"/>
    <w:uiPriority w:val="98"/>
    <w:semiHidden/>
    <w:rsid w:val="00934164"/>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934164"/>
    <w:pPr>
      <w:keepNext/>
      <w:keepLines/>
      <w:spacing w:before="240" w:after="240"/>
      <w:ind w:firstLine="284"/>
    </w:pPr>
  </w:style>
  <w:style w:type="paragraph" w:customStyle="1" w:styleId="JuJudges">
    <w:name w:val="Ju_Judges"/>
    <w:aliases w:val="_Judges"/>
    <w:basedOn w:val="Normalny"/>
    <w:uiPriority w:val="32"/>
    <w:qFormat/>
    <w:rsid w:val="00934164"/>
    <w:pPr>
      <w:tabs>
        <w:tab w:val="left" w:pos="567"/>
        <w:tab w:val="left" w:pos="1134"/>
      </w:tabs>
    </w:pPr>
  </w:style>
  <w:style w:type="character" w:customStyle="1" w:styleId="Nagwek4Znak">
    <w:name w:val="Nagłówek 4 Znak"/>
    <w:basedOn w:val="Domylnaczcionkaakapitu"/>
    <w:link w:val="Nagwek4"/>
    <w:uiPriority w:val="98"/>
    <w:semiHidden/>
    <w:rsid w:val="00934164"/>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1"/>
    <w:qFormat/>
    <w:rsid w:val="00934164"/>
    <w:pPr>
      <w:tabs>
        <w:tab w:val="center" w:pos="6407"/>
      </w:tabs>
      <w:spacing w:before="720"/>
      <w:jc w:val="right"/>
    </w:pPr>
  </w:style>
  <w:style w:type="character" w:customStyle="1" w:styleId="Nagwek5Znak">
    <w:name w:val="Nagłówek 5 Znak"/>
    <w:basedOn w:val="Domylnaczcionkaakapitu"/>
    <w:link w:val="Nagwek5"/>
    <w:uiPriority w:val="98"/>
    <w:semiHidden/>
    <w:rsid w:val="00934164"/>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43"/>
    <w:qFormat/>
    <w:rsid w:val="0093416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934164"/>
    <w:rPr>
      <w:caps w:val="0"/>
      <w:smallCaps/>
    </w:rPr>
  </w:style>
  <w:style w:type="character" w:styleId="Wyrnieniedelikatne">
    <w:name w:val="Subtle Emphasis"/>
    <w:uiPriority w:val="98"/>
    <w:semiHidden/>
    <w:qFormat/>
    <w:rsid w:val="00934164"/>
    <w:rPr>
      <w:i/>
      <w:iCs/>
    </w:rPr>
  </w:style>
  <w:style w:type="table" w:customStyle="1" w:styleId="ECHRTable">
    <w:name w:val="ECHR_Table"/>
    <w:basedOn w:val="Standardowy"/>
    <w:rsid w:val="00934164"/>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934164"/>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934164"/>
    <w:rPr>
      <w:b/>
      <w:bCs/>
      <w:i/>
      <w:iCs/>
      <w:spacing w:val="10"/>
      <w:bdr w:val="none" w:sz="0" w:space="0" w:color="auto"/>
      <w:shd w:val="clear" w:color="auto" w:fill="auto"/>
    </w:rPr>
  </w:style>
  <w:style w:type="paragraph" w:styleId="Stopka">
    <w:name w:val="footer"/>
    <w:basedOn w:val="Normalny"/>
    <w:link w:val="StopkaZnak"/>
    <w:uiPriority w:val="98"/>
    <w:semiHidden/>
    <w:rsid w:val="00934164"/>
    <w:pPr>
      <w:tabs>
        <w:tab w:val="center" w:pos="3686"/>
        <w:tab w:val="right" w:pos="7371"/>
      </w:tabs>
    </w:pPr>
  </w:style>
  <w:style w:type="character" w:customStyle="1" w:styleId="StopkaZnak">
    <w:name w:val="Stopka Znak"/>
    <w:basedOn w:val="Domylnaczcionkaakapitu"/>
    <w:link w:val="Stopka"/>
    <w:uiPriority w:val="98"/>
    <w:semiHidden/>
    <w:rsid w:val="00934164"/>
    <w:rPr>
      <w:sz w:val="24"/>
      <w:szCs w:val="24"/>
      <w:lang w:val="pl-PL"/>
    </w:rPr>
  </w:style>
  <w:style w:type="character" w:styleId="Odwoanieprzypisudolnego">
    <w:name w:val="footnote reference"/>
    <w:basedOn w:val="Domylnaczcionkaakapitu"/>
    <w:uiPriority w:val="98"/>
    <w:semiHidden/>
    <w:rsid w:val="00934164"/>
    <w:rPr>
      <w:vertAlign w:val="superscript"/>
    </w:rPr>
  </w:style>
  <w:style w:type="paragraph" w:styleId="Tekstprzypisudolnego">
    <w:name w:val="footnote text"/>
    <w:basedOn w:val="Normalny"/>
    <w:link w:val="TekstprzypisudolnegoZnak"/>
    <w:uiPriority w:val="98"/>
    <w:semiHidden/>
    <w:rsid w:val="00934164"/>
    <w:rPr>
      <w:sz w:val="20"/>
      <w:szCs w:val="20"/>
    </w:rPr>
  </w:style>
  <w:style w:type="character" w:customStyle="1" w:styleId="TekstprzypisudolnegoZnak">
    <w:name w:val="Tekst przypisu dolnego Znak"/>
    <w:basedOn w:val="Domylnaczcionkaakapitu"/>
    <w:link w:val="Tekstprzypisudolnego"/>
    <w:uiPriority w:val="98"/>
    <w:semiHidden/>
    <w:rsid w:val="00934164"/>
    <w:rPr>
      <w:sz w:val="20"/>
      <w:szCs w:val="20"/>
      <w:lang w:val="pl-PL"/>
    </w:rPr>
  </w:style>
  <w:style w:type="character" w:customStyle="1" w:styleId="Nagwek6Znak">
    <w:name w:val="Nagłówek 6 Znak"/>
    <w:basedOn w:val="Domylnaczcionkaakapitu"/>
    <w:link w:val="Nagwek6"/>
    <w:uiPriority w:val="98"/>
    <w:semiHidden/>
    <w:rsid w:val="00934164"/>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934164"/>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934164"/>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934164"/>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934164"/>
    <w:rPr>
      <w:color w:val="0072BC" w:themeColor="hyperlink"/>
      <w:u w:val="single"/>
    </w:rPr>
  </w:style>
  <w:style w:type="character" w:styleId="Wyrnienieintensywne">
    <w:name w:val="Intense Emphasis"/>
    <w:uiPriority w:val="98"/>
    <w:semiHidden/>
    <w:qFormat/>
    <w:rsid w:val="00934164"/>
    <w:rPr>
      <w:b/>
      <w:bCs/>
    </w:rPr>
  </w:style>
  <w:style w:type="paragraph" w:styleId="Cytatintensywny">
    <w:name w:val="Intense Quote"/>
    <w:basedOn w:val="Normalny"/>
    <w:next w:val="Normalny"/>
    <w:link w:val="CytatintensywnyZnak"/>
    <w:uiPriority w:val="98"/>
    <w:semiHidden/>
    <w:qFormat/>
    <w:rsid w:val="0093416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934164"/>
    <w:rPr>
      <w:b/>
      <w:bCs/>
      <w:i/>
      <w:iCs/>
      <w:sz w:val="24"/>
      <w:szCs w:val="24"/>
      <w:lang w:val="pl-PL" w:bidi="en-US"/>
    </w:rPr>
  </w:style>
  <w:style w:type="character" w:styleId="Odwoanieintensywne">
    <w:name w:val="Intense Reference"/>
    <w:uiPriority w:val="98"/>
    <w:semiHidden/>
    <w:qFormat/>
    <w:rsid w:val="00934164"/>
    <w:rPr>
      <w:smallCaps/>
      <w:spacing w:val="5"/>
      <w:u w:val="single"/>
    </w:rPr>
  </w:style>
  <w:style w:type="paragraph" w:styleId="Akapitzlist">
    <w:name w:val="List Paragraph"/>
    <w:basedOn w:val="Normalny"/>
    <w:uiPriority w:val="98"/>
    <w:semiHidden/>
    <w:qFormat/>
    <w:rsid w:val="00934164"/>
    <w:pPr>
      <w:ind w:left="720"/>
      <w:contextualSpacing/>
    </w:pPr>
  </w:style>
  <w:style w:type="table" w:customStyle="1" w:styleId="LtrTableAddress">
    <w:name w:val="Ltr_Table_Address"/>
    <w:aliases w:val="ECHR_Ltr_Table_Address"/>
    <w:basedOn w:val="Standardowy"/>
    <w:uiPriority w:val="99"/>
    <w:rsid w:val="00934164"/>
    <w:rPr>
      <w:sz w:val="24"/>
      <w:szCs w:val="24"/>
    </w:rPr>
    <w:tblPr>
      <w:tblInd w:w="5103" w:type="dxa"/>
    </w:tblPr>
  </w:style>
  <w:style w:type="paragraph" w:styleId="Cytat">
    <w:name w:val="Quote"/>
    <w:basedOn w:val="Normalny"/>
    <w:next w:val="Normalny"/>
    <w:link w:val="CytatZnak"/>
    <w:uiPriority w:val="98"/>
    <w:semiHidden/>
    <w:qFormat/>
    <w:rsid w:val="00934164"/>
    <w:pPr>
      <w:spacing w:before="200"/>
      <w:ind w:left="360" w:right="360"/>
    </w:pPr>
    <w:rPr>
      <w:i/>
      <w:iCs/>
      <w:lang w:bidi="en-US"/>
    </w:rPr>
  </w:style>
  <w:style w:type="character" w:customStyle="1" w:styleId="CytatZnak">
    <w:name w:val="Cytat Znak"/>
    <w:basedOn w:val="Domylnaczcionkaakapitu"/>
    <w:link w:val="Cytat"/>
    <w:uiPriority w:val="98"/>
    <w:semiHidden/>
    <w:rsid w:val="00934164"/>
    <w:rPr>
      <w:i/>
      <w:iCs/>
      <w:sz w:val="24"/>
      <w:szCs w:val="24"/>
      <w:lang w:val="pl-PL" w:bidi="en-US"/>
    </w:rPr>
  </w:style>
  <w:style w:type="character" w:styleId="Odwoaniedelikatne">
    <w:name w:val="Subtle Reference"/>
    <w:uiPriority w:val="98"/>
    <w:semiHidden/>
    <w:qFormat/>
    <w:rsid w:val="00934164"/>
    <w:rPr>
      <w:smallCaps/>
    </w:rPr>
  </w:style>
  <w:style w:type="table" w:styleId="Tabela-Siatka">
    <w:name w:val="Table Grid"/>
    <w:basedOn w:val="Standardowy"/>
    <w:uiPriority w:val="59"/>
    <w:semiHidden/>
    <w:rsid w:val="0093416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93416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93416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93416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93416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934164"/>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93416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934164"/>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934164"/>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93416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3416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93416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93416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93416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934164"/>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934164"/>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934164"/>
    <w:pPr>
      <w:numPr>
        <w:numId w:val="3"/>
      </w:numPr>
    </w:pPr>
  </w:style>
  <w:style w:type="paragraph" w:customStyle="1" w:styleId="JuPara">
    <w:name w:val="Ju_Para"/>
    <w:aliases w:val="_Para"/>
    <w:basedOn w:val="NormalJustified"/>
    <w:link w:val="JuParaChar"/>
    <w:uiPriority w:val="4"/>
    <w:qFormat/>
    <w:rsid w:val="00934164"/>
    <w:pPr>
      <w:ind w:firstLine="284"/>
    </w:pPr>
  </w:style>
  <w:style w:type="numbering" w:styleId="1ai">
    <w:name w:val="Outline List 1"/>
    <w:basedOn w:val="Bezlisty"/>
    <w:uiPriority w:val="99"/>
    <w:semiHidden/>
    <w:unhideWhenUsed/>
    <w:rsid w:val="00934164"/>
    <w:pPr>
      <w:numPr>
        <w:numId w:val="4"/>
      </w:numPr>
    </w:pPr>
  </w:style>
  <w:style w:type="table" w:customStyle="1" w:styleId="ECHRTableSimpleBox">
    <w:name w:val="ECHR_Table_Simple_Box"/>
    <w:basedOn w:val="Standardowy"/>
    <w:uiPriority w:val="99"/>
    <w:rsid w:val="0093416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93416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34164"/>
    <w:pPr>
      <w:numPr>
        <w:numId w:val="5"/>
      </w:numPr>
    </w:pPr>
  </w:style>
  <w:style w:type="table" w:customStyle="1" w:styleId="ECHRTableForInternalUse">
    <w:name w:val="ECHR_Table_For_Internal_Use"/>
    <w:basedOn w:val="Standardowy"/>
    <w:uiPriority w:val="99"/>
    <w:rsid w:val="0093416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3416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934164"/>
  </w:style>
  <w:style w:type="paragraph" w:styleId="Tekstblokowy">
    <w:name w:val="Block Text"/>
    <w:basedOn w:val="Normalny"/>
    <w:uiPriority w:val="98"/>
    <w:semiHidden/>
    <w:rsid w:val="0093416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93416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934164"/>
    <w:pPr>
      <w:spacing w:after="120"/>
    </w:pPr>
  </w:style>
  <w:style w:type="character" w:customStyle="1" w:styleId="TekstpodstawowyZnak">
    <w:name w:val="Tekst podstawowy Znak"/>
    <w:basedOn w:val="Domylnaczcionkaakapitu"/>
    <w:link w:val="Tekstpodstawowy"/>
    <w:uiPriority w:val="98"/>
    <w:semiHidden/>
    <w:rsid w:val="00934164"/>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934164"/>
    <w:pPr>
      <w:spacing w:after="120" w:line="480" w:lineRule="auto"/>
    </w:pPr>
  </w:style>
  <w:style w:type="table" w:customStyle="1" w:styleId="ECHRHeaderTableReduced">
    <w:name w:val="ECHR_Header_Table_Reduced"/>
    <w:basedOn w:val="Standardowy"/>
    <w:uiPriority w:val="99"/>
    <w:rsid w:val="0093416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934164"/>
    <w:pPr>
      <w:ind w:firstLine="284"/>
    </w:pPr>
    <w:rPr>
      <w:b/>
    </w:rPr>
  </w:style>
  <w:style w:type="character" w:styleId="Numerstrony">
    <w:name w:val="page number"/>
    <w:uiPriority w:val="98"/>
    <w:semiHidden/>
    <w:rsid w:val="00934164"/>
    <w:rPr>
      <w:sz w:val="18"/>
    </w:rPr>
  </w:style>
  <w:style w:type="paragraph" w:styleId="Listapunktowana">
    <w:name w:val="List Bullet"/>
    <w:basedOn w:val="Normalny"/>
    <w:uiPriority w:val="98"/>
    <w:semiHidden/>
    <w:rsid w:val="00934164"/>
    <w:pPr>
      <w:numPr>
        <w:numId w:val="9"/>
      </w:numPr>
    </w:pPr>
  </w:style>
  <w:style w:type="paragraph" w:styleId="Listapunktowana3">
    <w:name w:val="List Bullet 3"/>
    <w:basedOn w:val="Normalny"/>
    <w:uiPriority w:val="98"/>
    <w:semiHidden/>
    <w:rsid w:val="00934164"/>
    <w:pPr>
      <w:numPr>
        <w:numId w:val="11"/>
      </w:numPr>
      <w:contextualSpacing/>
    </w:pPr>
  </w:style>
  <w:style w:type="character" w:customStyle="1" w:styleId="Tekstpodstawowy2Znak">
    <w:name w:val="Tekst podstawowy 2 Znak"/>
    <w:basedOn w:val="Domylnaczcionkaakapitu"/>
    <w:link w:val="Tekstpodstawowy2"/>
    <w:uiPriority w:val="98"/>
    <w:semiHidden/>
    <w:rsid w:val="00934164"/>
    <w:rPr>
      <w:sz w:val="24"/>
      <w:szCs w:val="24"/>
      <w:lang w:val="pl-PL"/>
    </w:rPr>
  </w:style>
  <w:style w:type="paragraph" w:styleId="Tekstpodstawowy3">
    <w:name w:val="Body Text 3"/>
    <w:basedOn w:val="Normalny"/>
    <w:link w:val="Tekstpodstawowy3Znak"/>
    <w:uiPriority w:val="98"/>
    <w:semiHidden/>
    <w:rsid w:val="00934164"/>
    <w:pPr>
      <w:spacing w:after="120"/>
    </w:pPr>
    <w:rPr>
      <w:sz w:val="16"/>
      <w:szCs w:val="16"/>
    </w:rPr>
  </w:style>
  <w:style w:type="character" w:customStyle="1" w:styleId="Tekstpodstawowy3Znak">
    <w:name w:val="Tekst podstawowy 3 Znak"/>
    <w:basedOn w:val="Domylnaczcionkaakapitu"/>
    <w:link w:val="Tekstpodstawowy3"/>
    <w:uiPriority w:val="98"/>
    <w:semiHidden/>
    <w:rsid w:val="00934164"/>
    <w:rPr>
      <w:sz w:val="16"/>
      <w:szCs w:val="16"/>
      <w:lang w:val="pl-PL"/>
    </w:rPr>
  </w:style>
  <w:style w:type="paragraph" w:styleId="Tekstpodstawowyzwciciem">
    <w:name w:val="Body Text First Indent"/>
    <w:basedOn w:val="Tekstpodstawowy"/>
    <w:link w:val="TekstpodstawowyzwciciemZnak"/>
    <w:uiPriority w:val="98"/>
    <w:semiHidden/>
    <w:rsid w:val="00934164"/>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934164"/>
    <w:rPr>
      <w:sz w:val="24"/>
      <w:szCs w:val="24"/>
      <w:lang w:val="pl-PL"/>
    </w:rPr>
  </w:style>
  <w:style w:type="paragraph" w:styleId="Tekstpodstawowywcity">
    <w:name w:val="Body Text Indent"/>
    <w:basedOn w:val="Normalny"/>
    <w:link w:val="TekstpodstawowywcityZnak"/>
    <w:uiPriority w:val="98"/>
    <w:semiHidden/>
    <w:rsid w:val="00934164"/>
    <w:pPr>
      <w:spacing w:after="120"/>
      <w:ind w:left="283"/>
    </w:pPr>
  </w:style>
  <w:style w:type="character" w:customStyle="1" w:styleId="TekstpodstawowywcityZnak">
    <w:name w:val="Tekst podstawowy wcięty Znak"/>
    <w:basedOn w:val="Domylnaczcionkaakapitu"/>
    <w:link w:val="Tekstpodstawowywcity"/>
    <w:uiPriority w:val="98"/>
    <w:semiHidden/>
    <w:rsid w:val="00934164"/>
    <w:rPr>
      <w:sz w:val="24"/>
      <w:szCs w:val="24"/>
      <w:lang w:val="pl-PL"/>
    </w:rPr>
  </w:style>
  <w:style w:type="paragraph" w:styleId="Tekstpodstawowyzwciciem2">
    <w:name w:val="Body Text First Indent 2"/>
    <w:basedOn w:val="Tekstpodstawowywcity"/>
    <w:link w:val="Tekstpodstawowyzwciciem2Znak"/>
    <w:uiPriority w:val="98"/>
    <w:semiHidden/>
    <w:rsid w:val="00934164"/>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934164"/>
    <w:rPr>
      <w:sz w:val="24"/>
      <w:szCs w:val="24"/>
      <w:lang w:val="pl-PL"/>
    </w:rPr>
  </w:style>
  <w:style w:type="paragraph" w:styleId="Tekstpodstawowywcity2">
    <w:name w:val="Body Text Indent 2"/>
    <w:basedOn w:val="Normalny"/>
    <w:link w:val="Tekstpodstawowywcity2Znak"/>
    <w:uiPriority w:val="98"/>
    <w:semiHidden/>
    <w:rsid w:val="00934164"/>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934164"/>
    <w:rPr>
      <w:sz w:val="24"/>
      <w:szCs w:val="24"/>
      <w:lang w:val="pl-PL"/>
    </w:rPr>
  </w:style>
  <w:style w:type="paragraph" w:styleId="Tekstpodstawowywcity3">
    <w:name w:val="Body Text Indent 3"/>
    <w:basedOn w:val="Normalny"/>
    <w:link w:val="Tekstpodstawowywcity3Znak"/>
    <w:uiPriority w:val="98"/>
    <w:semiHidden/>
    <w:rsid w:val="0093416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934164"/>
    <w:rPr>
      <w:sz w:val="16"/>
      <w:szCs w:val="16"/>
      <w:lang w:val="pl-PL"/>
    </w:rPr>
  </w:style>
  <w:style w:type="paragraph" w:styleId="Legenda">
    <w:name w:val="caption"/>
    <w:basedOn w:val="Normalny"/>
    <w:next w:val="Normalny"/>
    <w:uiPriority w:val="98"/>
    <w:semiHidden/>
    <w:qFormat/>
    <w:rsid w:val="00934164"/>
    <w:pPr>
      <w:spacing w:after="200"/>
    </w:pPr>
    <w:rPr>
      <w:b/>
      <w:bCs/>
      <w:color w:val="0072BC" w:themeColor="accent1"/>
      <w:sz w:val="18"/>
      <w:szCs w:val="18"/>
    </w:rPr>
  </w:style>
  <w:style w:type="paragraph" w:styleId="Zwrotpoegnalny">
    <w:name w:val="Closing"/>
    <w:basedOn w:val="Normalny"/>
    <w:link w:val="ZwrotpoegnalnyZnak"/>
    <w:uiPriority w:val="98"/>
    <w:semiHidden/>
    <w:rsid w:val="00934164"/>
    <w:pPr>
      <w:ind w:left="4252"/>
    </w:pPr>
  </w:style>
  <w:style w:type="character" w:customStyle="1" w:styleId="ZwrotpoegnalnyZnak">
    <w:name w:val="Zwrot pożegnalny Znak"/>
    <w:basedOn w:val="Domylnaczcionkaakapitu"/>
    <w:link w:val="Zwrotpoegnalny"/>
    <w:uiPriority w:val="98"/>
    <w:semiHidden/>
    <w:rsid w:val="00934164"/>
    <w:rPr>
      <w:sz w:val="24"/>
      <w:szCs w:val="24"/>
      <w:lang w:val="pl-PL"/>
    </w:rPr>
  </w:style>
  <w:style w:type="table" w:styleId="Kolorowasiatka">
    <w:name w:val="Colorful Grid"/>
    <w:basedOn w:val="Standardowy"/>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3416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3416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3416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3416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3416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3416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3416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3416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3416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3416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3416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3416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3416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3416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3416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934164"/>
    <w:rPr>
      <w:sz w:val="16"/>
      <w:szCs w:val="16"/>
    </w:rPr>
  </w:style>
  <w:style w:type="paragraph" w:styleId="Tekstkomentarza">
    <w:name w:val="annotation text"/>
    <w:basedOn w:val="Normalny"/>
    <w:link w:val="TekstkomentarzaZnak"/>
    <w:uiPriority w:val="98"/>
    <w:semiHidden/>
    <w:rsid w:val="00934164"/>
    <w:rPr>
      <w:sz w:val="20"/>
      <w:szCs w:val="20"/>
    </w:rPr>
  </w:style>
  <w:style w:type="character" w:customStyle="1" w:styleId="TekstkomentarzaZnak">
    <w:name w:val="Tekst komentarza Znak"/>
    <w:basedOn w:val="Domylnaczcionkaakapitu"/>
    <w:link w:val="Tekstkomentarza"/>
    <w:uiPriority w:val="98"/>
    <w:semiHidden/>
    <w:rsid w:val="00934164"/>
    <w:rPr>
      <w:sz w:val="20"/>
      <w:szCs w:val="20"/>
      <w:lang w:val="pl-PL"/>
    </w:rPr>
  </w:style>
  <w:style w:type="paragraph" w:styleId="Tematkomentarza">
    <w:name w:val="annotation subject"/>
    <w:basedOn w:val="Tekstkomentarza"/>
    <w:next w:val="Tekstkomentarza"/>
    <w:link w:val="TematkomentarzaZnak"/>
    <w:uiPriority w:val="98"/>
    <w:semiHidden/>
    <w:rsid w:val="00934164"/>
    <w:rPr>
      <w:b/>
      <w:bCs/>
    </w:rPr>
  </w:style>
  <w:style w:type="character" w:customStyle="1" w:styleId="TematkomentarzaZnak">
    <w:name w:val="Temat komentarza Znak"/>
    <w:basedOn w:val="TekstkomentarzaZnak"/>
    <w:link w:val="Tematkomentarza"/>
    <w:uiPriority w:val="98"/>
    <w:semiHidden/>
    <w:rsid w:val="00934164"/>
    <w:rPr>
      <w:b/>
      <w:bCs/>
      <w:sz w:val="20"/>
      <w:szCs w:val="20"/>
      <w:lang w:val="pl-PL"/>
    </w:rPr>
  </w:style>
  <w:style w:type="table" w:styleId="Ciemnalista">
    <w:name w:val="Dark List"/>
    <w:basedOn w:val="Standardowy"/>
    <w:uiPriority w:val="70"/>
    <w:semiHidden/>
    <w:rsid w:val="0093416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3416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3416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3416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3416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3416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3416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934164"/>
  </w:style>
  <w:style w:type="character" w:customStyle="1" w:styleId="DataZnak">
    <w:name w:val="Data Znak"/>
    <w:basedOn w:val="Domylnaczcionkaakapitu"/>
    <w:link w:val="Data"/>
    <w:uiPriority w:val="98"/>
    <w:semiHidden/>
    <w:rsid w:val="00934164"/>
    <w:rPr>
      <w:sz w:val="24"/>
      <w:szCs w:val="24"/>
      <w:lang w:val="pl-PL"/>
    </w:rPr>
  </w:style>
  <w:style w:type="paragraph" w:styleId="Mapadokumentu">
    <w:name w:val="Document Map"/>
    <w:basedOn w:val="Normalny"/>
    <w:link w:val="MapadokumentuZnak"/>
    <w:uiPriority w:val="98"/>
    <w:semiHidden/>
    <w:rsid w:val="00934164"/>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934164"/>
    <w:rPr>
      <w:rFonts w:ascii="Tahoma" w:hAnsi="Tahoma" w:cs="Tahoma"/>
      <w:sz w:val="16"/>
      <w:szCs w:val="16"/>
      <w:lang w:val="pl-PL"/>
    </w:rPr>
  </w:style>
  <w:style w:type="paragraph" w:styleId="Podpise-mail">
    <w:name w:val="E-mail Signature"/>
    <w:basedOn w:val="Normalny"/>
    <w:link w:val="Podpise-mailZnak"/>
    <w:uiPriority w:val="98"/>
    <w:semiHidden/>
    <w:rsid w:val="00934164"/>
  </w:style>
  <w:style w:type="character" w:customStyle="1" w:styleId="Podpise-mailZnak">
    <w:name w:val="Podpis e-mail Znak"/>
    <w:basedOn w:val="Domylnaczcionkaakapitu"/>
    <w:link w:val="Podpise-mail"/>
    <w:uiPriority w:val="98"/>
    <w:semiHidden/>
    <w:rsid w:val="00934164"/>
    <w:rPr>
      <w:sz w:val="24"/>
      <w:szCs w:val="24"/>
      <w:lang w:val="pl-PL"/>
    </w:rPr>
  </w:style>
  <w:style w:type="character" w:styleId="Odwoanieprzypisukocowego">
    <w:name w:val="endnote reference"/>
    <w:basedOn w:val="Domylnaczcionkaakapitu"/>
    <w:uiPriority w:val="98"/>
    <w:semiHidden/>
    <w:rsid w:val="00934164"/>
    <w:rPr>
      <w:vertAlign w:val="superscript"/>
    </w:rPr>
  </w:style>
  <w:style w:type="paragraph" w:styleId="Tekstprzypisukocowego">
    <w:name w:val="endnote text"/>
    <w:basedOn w:val="Normalny"/>
    <w:link w:val="TekstprzypisukocowegoZnak"/>
    <w:uiPriority w:val="98"/>
    <w:semiHidden/>
    <w:rsid w:val="00934164"/>
    <w:rPr>
      <w:sz w:val="20"/>
      <w:szCs w:val="20"/>
    </w:rPr>
  </w:style>
  <w:style w:type="character" w:customStyle="1" w:styleId="TekstprzypisukocowegoZnak">
    <w:name w:val="Tekst przypisu końcowego Znak"/>
    <w:basedOn w:val="Domylnaczcionkaakapitu"/>
    <w:link w:val="Tekstprzypisukocowego"/>
    <w:uiPriority w:val="98"/>
    <w:semiHidden/>
    <w:rsid w:val="00934164"/>
    <w:rPr>
      <w:sz w:val="20"/>
      <w:szCs w:val="20"/>
      <w:lang w:val="pl-PL"/>
    </w:rPr>
  </w:style>
  <w:style w:type="paragraph" w:styleId="Adresnakopercie">
    <w:name w:val="envelope address"/>
    <w:basedOn w:val="Normalny"/>
    <w:uiPriority w:val="98"/>
    <w:semiHidden/>
    <w:rsid w:val="00934164"/>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934164"/>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934164"/>
    <w:rPr>
      <w:color w:val="7030A0" w:themeColor="followedHyperlink"/>
      <w:u w:val="single"/>
    </w:rPr>
  </w:style>
  <w:style w:type="character" w:styleId="HTML-akronim">
    <w:name w:val="HTML Acronym"/>
    <w:basedOn w:val="Domylnaczcionkaakapitu"/>
    <w:uiPriority w:val="98"/>
    <w:semiHidden/>
    <w:rsid w:val="00934164"/>
  </w:style>
  <w:style w:type="paragraph" w:styleId="HTML-adres">
    <w:name w:val="HTML Address"/>
    <w:basedOn w:val="Normalny"/>
    <w:link w:val="HTML-adresZnak"/>
    <w:uiPriority w:val="98"/>
    <w:semiHidden/>
    <w:rsid w:val="00934164"/>
    <w:rPr>
      <w:i/>
      <w:iCs/>
    </w:rPr>
  </w:style>
  <w:style w:type="character" w:customStyle="1" w:styleId="HTML-adresZnak">
    <w:name w:val="HTML - adres Znak"/>
    <w:basedOn w:val="Domylnaczcionkaakapitu"/>
    <w:link w:val="HTML-adres"/>
    <w:uiPriority w:val="98"/>
    <w:semiHidden/>
    <w:rsid w:val="00934164"/>
    <w:rPr>
      <w:i/>
      <w:iCs/>
      <w:sz w:val="24"/>
      <w:szCs w:val="24"/>
      <w:lang w:val="pl-PL"/>
    </w:rPr>
  </w:style>
  <w:style w:type="character" w:styleId="HTML-cytat">
    <w:name w:val="HTML Cite"/>
    <w:basedOn w:val="Domylnaczcionkaakapitu"/>
    <w:uiPriority w:val="98"/>
    <w:semiHidden/>
    <w:rsid w:val="00934164"/>
    <w:rPr>
      <w:i/>
      <w:iCs/>
    </w:rPr>
  </w:style>
  <w:style w:type="character" w:styleId="HTML-kod">
    <w:name w:val="HTML Code"/>
    <w:basedOn w:val="Domylnaczcionkaakapitu"/>
    <w:uiPriority w:val="98"/>
    <w:semiHidden/>
    <w:rsid w:val="00934164"/>
    <w:rPr>
      <w:rFonts w:ascii="Consolas" w:hAnsi="Consolas" w:cs="Consolas"/>
      <w:sz w:val="20"/>
      <w:szCs w:val="20"/>
    </w:rPr>
  </w:style>
  <w:style w:type="character" w:styleId="HTML-definicja">
    <w:name w:val="HTML Definition"/>
    <w:basedOn w:val="Domylnaczcionkaakapitu"/>
    <w:uiPriority w:val="98"/>
    <w:semiHidden/>
    <w:rsid w:val="00934164"/>
    <w:rPr>
      <w:i/>
      <w:iCs/>
    </w:rPr>
  </w:style>
  <w:style w:type="character" w:styleId="HTML-klawiatura">
    <w:name w:val="HTML Keyboard"/>
    <w:basedOn w:val="Domylnaczcionkaakapitu"/>
    <w:uiPriority w:val="98"/>
    <w:semiHidden/>
    <w:rsid w:val="00934164"/>
    <w:rPr>
      <w:rFonts w:ascii="Consolas" w:hAnsi="Consolas" w:cs="Consolas"/>
      <w:sz w:val="20"/>
      <w:szCs w:val="20"/>
    </w:rPr>
  </w:style>
  <w:style w:type="paragraph" w:styleId="HTML-wstpniesformatowany">
    <w:name w:val="HTML Preformatted"/>
    <w:basedOn w:val="Normalny"/>
    <w:link w:val="HTML-wstpniesformatowanyZnak"/>
    <w:uiPriority w:val="98"/>
    <w:semiHidden/>
    <w:rsid w:val="0093416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934164"/>
    <w:rPr>
      <w:rFonts w:ascii="Consolas" w:hAnsi="Consolas" w:cs="Consolas"/>
      <w:sz w:val="20"/>
      <w:szCs w:val="20"/>
      <w:lang w:val="pl-PL"/>
    </w:rPr>
  </w:style>
  <w:style w:type="character" w:styleId="HTML-przykad">
    <w:name w:val="HTML Sample"/>
    <w:basedOn w:val="Domylnaczcionkaakapitu"/>
    <w:uiPriority w:val="98"/>
    <w:semiHidden/>
    <w:rsid w:val="00934164"/>
    <w:rPr>
      <w:rFonts w:ascii="Consolas" w:hAnsi="Consolas" w:cs="Consolas"/>
      <w:sz w:val="24"/>
      <w:szCs w:val="24"/>
    </w:rPr>
  </w:style>
  <w:style w:type="character" w:styleId="HTML-staaszeroko">
    <w:name w:val="HTML Typewriter"/>
    <w:basedOn w:val="Domylnaczcionkaakapitu"/>
    <w:uiPriority w:val="98"/>
    <w:semiHidden/>
    <w:rsid w:val="00934164"/>
    <w:rPr>
      <w:rFonts w:ascii="Consolas" w:hAnsi="Consolas" w:cs="Consolas"/>
      <w:sz w:val="20"/>
      <w:szCs w:val="20"/>
    </w:rPr>
  </w:style>
  <w:style w:type="character" w:styleId="HTML-zmienna">
    <w:name w:val="HTML Variable"/>
    <w:basedOn w:val="Domylnaczcionkaakapitu"/>
    <w:uiPriority w:val="98"/>
    <w:semiHidden/>
    <w:rsid w:val="00934164"/>
    <w:rPr>
      <w:i/>
      <w:iCs/>
    </w:rPr>
  </w:style>
  <w:style w:type="paragraph" w:styleId="Indeks1">
    <w:name w:val="index 1"/>
    <w:basedOn w:val="Normalny"/>
    <w:next w:val="Normalny"/>
    <w:autoRedefine/>
    <w:uiPriority w:val="98"/>
    <w:semiHidden/>
    <w:rsid w:val="00934164"/>
    <w:pPr>
      <w:ind w:left="240" w:hanging="240"/>
    </w:pPr>
  </w:style>
  <w:style w:type="paragraph" w:styleId="Indeks2">
    <w:name w:val="index 2"/>
    <w:basedOn w:val="Normalny"/>
    <w:next w:val="Normalny"/>
    <w:autoRedefine/>
    <w:uiPriority w:val="98"/>
    <w:semiHidden/>
    <w:rsid w:val="00934164"/>
    <w:pPr>
      <w:ind w:left="480" w:hanging="240"/>
    </w:pPr>
  </w:style>
  <w:style w:type="paragraph" w:styleId="Indeks3">
    <w:name w:val="index 3"/>
    <w:basedOn w:val="Normalny"/>
    <w:next w:val="Normalny"/>
    <w:autoRedefine/>
    <w:uiPriority w:val="98"/>
    <w:semiHidden/>
    <w:rsid w:val="00934164"/>
    <w:pPr>
      <w:ind w:left="720" w:hanging="240"/>
    </w:pPr>
  </w:style>
  <w:style w:type="paragraph" w:styleId="Indeks4">
    <w:name w:val="index 4"/>
    <w:basedOn w:val="Normalny"/>
    <w:next w:val="Normalny"/>
    <w:autoRedefine/>
    <w:uiPriority w:val="98"/>
    <w:semiHidden/>
    <w:rsid w:val="00934164"/>
    <w:pPr>
      <w:ind w:left="960" w:hanging="240"/>
    </w:pPr>
  </w:style>
  <w:style w:type="paragraph" w:styleId="Indeks5">
    <w:name w:val="index 5"/>
    <w:basedOn w:val="Normalny"/>
    <w:next w:val="Normalny"/>
    <w:autoRedefine/>
    <w:uiPriority w:val="98"/>
    <w:semiHidden/>
    <w:rsid w:val="00934164"/>
    <w:pPr>
      <w:ind w:left="1200" w:hanging="240"/>
    </w:pPr>
  </w:style>
  <w:style w:type="paragraph" w:styleId="Indeks6">
    <w:name w:val="index 6"/>
    <w:basedOn w:val="Normalny"/>
    <w:next w:val="Normalny"/>
    <w:autoRedefine/>
    <w:uiPriority w:val="98"/>
    <w:semiHidden/>
    <w:rsid w:val="00934164"/>
    <w:pPr>
      <w:ind w:left="1440" w:hanging="240"/>
    </w:pPr>
  </w:style>
  <w:style w:type="paragraph" w:styleId="Indeks7">
    <w:name w:val="index 7"/>
    <w:basedOn w:val="Normalny"/>
    <w:next w:val="Normalny"/>
    <w:autoRedefine/>
    <w:uiPriority w:val="98"/>
    <w:semiHidden/>
    <w:rsid w:val="00934164"/>
    <w:pPr>
      <w:ind w:left="1680" w:hanging="240"/>
    </w:pPr>
  </w:style>
  <w:style w:type="paragraph" w:styleId="Indeks8">
    <w:name w:val="index 8"/>
    <w:basedOn w:val="Normalny"/>
    <w:next w:val="Normalny"/>
    <w:autoRedefine/>
    <w:uiPriority w:val="98"/>
    <w:semiHidden/>
    <w:rsid w:val="00934164"/>
    <w:pPr>
      <w:ind w:left="1920" w:hanging="240"/>
    </w:pPr>
  </w:style>
  <w:style w:type="paragraph" w:styleId="Indeks9">
    <w:name w:val="index 9"/>
    <w:basedOn w:val="Normalny"/>
    <w:next w:val="Normalny"/>
    <w:autoRedefine/>
    <w:uiPriority w:val="98"/>
    <w:semiHidden/>
    <w:rsid w:val="00934164"/>
    <w:pPr>
      <w:ind w:left="2160" w:hanging="240"/>
    </w:pPr>
  </w:style>
  <w:style w:type="paragraph" w:styleId="Nagwekindeksu">
    <w:name w:val="index heading"/>
    <w:basedOn w:val="Normalny"/>
    <w:next w:val="Indeks1"/>
    <w:uiPriority w:val="98"/>
    <w:semiHidden/>
    <w:rsid w:val="00934164"/>
    <w:rPr>
      <w:rFonts w:asciiTheme="majorHAnsi" w:eastAsiaTheme="majorEastAsia" w:hAnsiTheme="majorHAnsi" w:cstheme="majorBidi"/>
      <w:b/>
      <w:bCs/>
    </w:rPr>
  </w:style>
  <w:style w:type="table" w:styleId="Jasnasiatka">
    <w:name w:val="Light Grid"/>
    <w:basedOn w:val="Standardowy"/>
    <w:uiPriority w:val="62"/>
    <w:semiHidden/>
    <w:rsid w:val="0093416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3416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3416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3416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3416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3416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3416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3416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3416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3416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3416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3416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3416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3416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3416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3416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3416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3416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3416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3416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3416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934164"/>
  </w:style>
  <w:style w:type="paragraph" w:styleId="Lista">
    <w:name w:val="List"/>
    <w:basedOn w:val="Normalny"/>
    <w:uiPriority w:val="98"/>
    <w:semiHidden/>
    <w:rsid w:val="00934164"/>
    <w:pPr>
      <w:ind w:left="283" w:hanging="283"/>
      <w:contextualSpacing/>
    </w:pPr>
  </w:style>
  <w:style w:type="paragraph" w:styleId="Lista2">
    <w:name w:val="List 2"/>
    <w:basedOn w:val="Normalny"/>
    <w:uiPriority w:val="98"/>
    <w:semiHidden/>
    <w:rsid w:val="00934164"/>
    <w:pPr>
      <w:ind w:left="566" w:hanging="283"/>
      <w:contextualSpacing/>
    </w:pPr>
  </w:style>
  <w:style w:type="paragraph" w:styleId="Lista3">
    <w:name w:val="List 3"/>
    <w:basedOn w:val="Normalny"/>
    <w:uiPriority w:val="98"/>
    <w:semiHidden/>
    <w:rsid w:val="00934164"/>
    <w:pPr>
      <w:ind w:left="849" w:hanging="283"/>
      <w:contextualSpacing/>
    </w:pPr>
  </w:style>
  <w:style w:type="paragraph" w:styleId="Lista4">
    <w:name w:val="List 4"/>
    <w:basedOn w:val="Normalny"/>
    <w:uiPriority w:val="98"/>
    <w:semiHidden/>
    <w:rsid w:val="00934164"/>
    <w:pPr>
      <w:ind w:left="1132" w:hanging="283"/>
      <w:contextualSpacing/>
    </w:pPr>
  </w:style>
  <w:style w:type="paragraph" w:styleId="Lista5">
    <w:name w:val="List 5"/>
    <w:basedOn w:val="Normalny"/>
    <w:uiPriority w:val="98"/>
    <w:semiHidden/>
    <w:rsid w:val="00934164"/>
    <w:pPr>
      <w:ind w:left="1415" w:hanging="283"/>
      <w:contextualSpacing/>
    </w:pPr>
  </w:style>
  <w:style w:type="paragraph" w:styleId="Listapunktowana2">
    <w:name w:val="List Bullet 2"/>
    <w:basedOn w:val="Normalny"/>
    <w:uiPriority w:val="98"/>
    <w:semiHidden/>
    <w:rsid w:val="00934164"/>
    <w:pPr>
      <w:numPr>
        <w:numId w:val="10"/>
      </w:numPr>
      <w:contextualSpacing/>
    </w:pPr>
  </w:style>
  <w:style w:type="paragraph" w:styleId="Listapunktowana4">
    <w:name w:val="List Bullet 4"/>
    <w:basedOn w:val="Normalny"/>
    <w:uiPriority w:val="98"/>
    <w:semiHidden/>
    <w:rsid w:val="00934164"/>
    <w:pPr>
      <w:numPr>
        <w:numId w:val="12"/>
      </w:numPr>
      <w:contextualSpacing/>
    </w:pPr>
  </w:style>
  <w:style w:type="paragraph" w:styleId="Listapunktowana5">
    <w:name w:val="List Bullet 5"/>
    <w:basedOn w:val="Normalny"/>
    <w:uiPriority w:val="98"/>
    <w:semiHidden/>
    <w:rsid w:val="00934164"/>
    <w:pPr>
      <w:numPr>
        <w:numId w:val="13"/>
      </w:numPr>
      <w:contextualSpacing/>
    </w:pPr>
  </w:style>
  <w:style w:type="paragraph" w:styleId="Lista-kontynuacja">
    <w:name w:val="List Continue"/>
    <w:basedOn w:val="Normalny"/>
    <w:uiPriority w:val="98"/>
    <w:semiHidden/>
    <w:rsid w:val="00934164"/>
    <w:pPr>
      <w:spacing w:after="120"/>
      <w:ind w:left="283"/>
      <w:contextualSpacing/>
    </w:pPr>
  </w:style>
  <w:style w:type="paragraph" w:styleId="Lista-kontynuacja2">
    <w:name w:val="List Continue 2"/>
    <w:basedOn w:val="Normalny"/>
    <w:uiPriority w:val="98"/>
    <w:semiHidden/>
    <w:rsid w:val="00934164"/>
    <w:pPr>
      <w:spacing w:after="120"/>
      <w:ind w:left="566"/>
      <w:contextualSpacing/>
    </w:pPr>
  </w:style>
  <w:style w:type="paragraph" w:styleId="Lista-kontynuacja3">
    <w:name w:val="List Continue 3"/>
    <w:basedOn w:val="Normalny"/>
    <w:uiPriority w:val="98"/>
    <w:semiHidden/>
    <w:rsid w:val="00934164"/>
    <w:pPr>
      <w:spacing w:after="120"/>
      <w:ind w:left="849"/>
      <w:contextualSpacing/>
    </w:pPr>
  </w:style>
  <w:style w:type="paragraph" w:styleId="Lista-kontynuacja4">
    <w:name w:val="List Continue 4"/>
    <w:basedOn w:val="Normalny"/>
    <w:uiPriority w:val="98"/>
    <w:semiHidden/>
    <w:rsid w:val="00934164"/>
    <w:pPr>
      <w:spacing w:after="120"/>
      <w:ind w:left="1132"/>
      <w:contextualSpacing/>
    </w:pPr>
  </w:style>
  <w:style w:type="paragraph" w:styleId="Lista-kontynuacja5">
    <w:name w:val="List Continue 5"/>
    <w:basedOn w:val="Normalny"/>
    <w:uiPriority w:val="98"/>
    <w:semiHidden/>
    <w:rsid w:val="00934164"/>
    <w:pPr>
      <w:spacing w:after="120"/>
      <w:ind w:left="1415"/>
      <w:contextualSpacing/>
    </w:pPr>
  </w:style>
  <w:style w:type="paragraph" w:styleId="Listanumerowana">
    <w:name w:val="List Number"/>
    <w:basedOn w:val="Normalny"/>
    <w:uiPriority w:val="98"/>
    <w:semiHidden/>
    <w:rsid w:val="00934164"/>
    <w:pPr>
      <w:numPr>
        <w:numId w:val="14"/>
      </w:numPr>
      <w:contextualSpacing/>
    </w:pPr>
  </w:style>
  <w:style w:type="paragraph" w:styleId="Listanumerowana2">
    <w:name w:val="List Number 2"/>
    <w:basedOn w:val="Normalny"/>
    <w:uiPriority w:val="98"/>
    <w:semiHidden/>
    <w:rsid w:val="00934164"/>
    <w:pPr>
      <w:numPr>
        <w:numId w:val="15"/>
      </w:numPr>
      <w:contextualSpacing/>
    </w:pPr>
  </w:style>
  <w:style w:type="paragraph" w:styleId="Listanumerowana3">
    <w:name w:val="List Number 3"/>
    <w:basedOn w:val="Normalny"/>
    <w:uiPriority w:val="98"/>
    <w:semiHidden/>
    <w:rsid w:val="00934164"/>
    <w:pPr>
      <w:numPr>
        <w:numId w:val="16"/>
      </w:numPr>
      <w:contextualSpacing/>
    </w:pPr>
  </w:style>
  <w:style w:type="paragraph" w:styleId="Listanumerowana4">
    <w:name w:val="List Number 4"/>
    <w:basedOn w:val="Normalny"/>
    <w:uiPriority w:val="98"/>
    <w:semiHidden/>
    <w:rsid w:val="00934164"/>
    <w:pPr>
      <w:numPr>
        <w:numId w:val="17"/>
      </w:numPr>
      <w:contextualSpacing/>
    </w:pPr>
  </w:style>
  <w:style w:type="paragraph" w:styleId="Listanumerowana5">
    <w:name w:val="List Number 5"/>
    <w:basedOn w:val="Normalny"/>
    <w:uiPriority w:val="98"/>
    <w:semiHidden/>
    <w:rsid w:val="00934164"/>
    <w:pPr>
      <w:numPr>
        <w:numId w:val="18"/>
      </w:numPr>
      <w:contextualSpacing/>
    </w:pPr>
  </w:style>
  <w:style w:type="paragraph" w:styleId="Tekstmakra">
    <w:name w:val="macro"/>
    <w:link w:val="TekstmakraZnak"/>
    <w:uiPriority w:val="98"/>
    <w:semiHidden/>
    <w:rsid w:val="0093416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934164"/>
    <w:rPr>
      <w:rFonts w:ascii="Consolas" w:eastAsiaTheme="minorEastAsia" w:hAnsi="Consolas" w:cs="Consolas"/>
      <w:sz w:val="20"/>
      <w:szCs w:val="20"/>
    </w:rPr>
  </w:style>
  <w:style w:type="table" w:styleId="redniasiatka1">
    <w:name w:val="Medium Grid 1"/>
    <w:basedOn w:val="Standardowy"/>
    <w:uiPriority w:val="67"/>
    <w:semiHidden/>
    <w:rsid w:val="0093416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3416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3416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3416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3416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3416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3416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3416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3416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3416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3416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3416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3416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3416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3416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3416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3416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3416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3416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3416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3416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3416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3416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3416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93416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934164"/>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934164"/>
    <w:rPr>
      <w:rFonts w:ascii="Times New Roman" w:hAnsi="Times New Roman" w:cs="Times New Roman"/>
    </w:rPr>
  </w:style>
  <w:style w:type="paragraph" w:styleId="Wcicienormalne">
    <w:name w:val="Normal Indent"/>
    <w:basedOn w:val="Normalny"/>
    <w:uiPriority w:val="98"/>
    <w:semiHidden/>
    <w:rsid w:val="00934164"/>
    <w:pPr>
      <w:ind w:left="720"/>
    </w:pPr>
  </w:style>
  <w:style w:type="paragraph" w:styleId="Nagweknotatki">
    <w:name w:val="Note Heading"/>
    <w:basedOn w:val="Normalny"/>
    <w:next w:val="Normalny"/>
    <w:link w:val="NagweknotatkiZnak"/>
    <w:uiPriority w:val="98"/>
    <w:semiHidden/>
    <w:rsid w:val="00934164"/>
  </w:style>
  <w:style w:type="character" w:customStyle="1" w:styleId="NagweknotatkiZnak">
    <w:name w:val="Nagłówek notatki Znak"/>
    <w:basedOn w:val="Domylnaczcionkaakapitu"/>
    <w:link w:val="Nagweknotatki"/>
    <w:uiPriority w:val="98"/>
    <w:semiHidden/>
    <w:rsid w:val="00934164"/>
    <w:rPr>
      <w:sz w:val="24"/>
      <w:szCs w:val="24"/>
      <w:lang w:val="pl-PL"/>
    </w:rPr>
  </w:style>
  <w:style w:type="character" w:styleId="Tekstzastpczy">
    <w:name w:val="Placeholder Text"/>
    <w:basedOn w:val="Domylnaczcionkaakapitu"/>
    <w:uiPriority w:val="98"/>
    <w:semiHidden/>
    <w:rsid w:val="00934164"/>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934164"/>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934164"/>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934164"/>
  </w:style>
  <w:style w:type="character" w:customStyle="1" w:styleId="ZwrotgrzecznociowyZnak">
    <w:name w:val="Zwrot grzecznościowy Znak"/>
    <w:basedOn w:val="Domylnaczcionkaakapitu"/>
    <w:link w:val="Zwrotgrzecznociowy"/>
    <w:uiPriority w:val="98"/>
    <w:semiHidden/>
    <w:rsid w:val="00934164"/>
    <w:rPr>
      <w:sz w:val="24"/>
      <w:szCs w:val="24"/>
      <w:lang w:val="pl-PL"/>
    </w:rPr>
  </w:style>
  <w:style w:type="paragraph" w:styleId="Podpis">
    <w:name w:val="Signature"/>
    <w:basedOn w:val="Normalny"/>
    <w:link w:val="PodpisZnak"/>
    <w:uiPriority w:val="98"/>
    <w:semiHidden/>
    <w:rsid w:val="00934164"/>
    <w:pPr>
      <w:ind w:left="4252"/>
    </w:pPr>
  </w:style>
  <w:style w:type="character" w:customStyle="1" w:styleId="PodpisZnak">
    <w:name w:val="Podpis Znak"/>
    <w:basedOn w:val="Domylnaczcionkaakapitu"/>
    <w:link w:val="Podpis"/>
    <w:uiPriority w:val="98"/>
    <w:semiHidden/>
    <w:rsid w:val="00934164"/>
    <w:rPr>
      <w:sz w:val="24"/>
      <w:szCs w:val="24"/>
      <w:lang w:val="pl-PL"/>
    </w:rPr>
  </w:style>
  <w:style w:type="table" w:styleId="Tabela-Efekty3D1">
    <w:name w:val="Table 3D effects 1"/>
    <w:basedOn w:val="Standardowy"/>
    <w:uiPriority w:val="99"/>
    <w:semiHidden/>
    <w:unhideWhenUsed/>
    <w:rsid w:val="0093416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3416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3416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3416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3416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3416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3416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3416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3416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3416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3416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3416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3416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3416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3416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3416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3416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3416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3416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3416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3416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3416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3416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3416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3416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3416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3416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3416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3416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3416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3416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3416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3416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934164"/>
    <w:pPr>
      <w:ind w:left="240" w:hanging="240"/>
    </w:pPr>
  </w:style>
  <w:style w:type="paragraph" w:styleId="Spisilustracji">
    <w:name w:val="table of figures"/>
    <w:basedOn w:val="Normalny"/>
    <w:next w:val="Normalny"/>
    <w:uiPriority w:val="98"/>
    <w:semiHidden/>
    <w:rsid w:val="00934164"/>
  </w:style>
  <w:style w:type="table" w:styleId="Tabela-Profesjonalny">
    <w:name w:val="Table Professional"/>
    <w:basedOn w:val="Standardowy"/>
    <w:uiPriority w:val="99"/>
    <w:semiHidden/>
    <w:unhideWhenUsed/>
    <w:rsid w:val="0093416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3416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3416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3416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3416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3416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3416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3416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3416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3416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93416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93416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934164"/>
    <w:pPr>
      <w:spacing w:after="100"/>
      <w:ind w:left="1680"/>
    </w:pPr>
  </w:style>
  <w:style w:type="paragraph" w:styleId="Spistreci9">
    <w:name w:val="toc 9"/>
    <w:basedOn w:val="Normalny"/>
    <w:next w:val="Normalny"/>
    <w:autoRedefine/>
    <w:uiPriority w:val="98"/>
    <w:semiHidden/>
    <w:rsid w:val="00934164"/>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93416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934164"/>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934164"/>
    <w:pPr>
      <w:keepNext/>
      <w:keepLines/>
      <w:spacing w:before="1320" w:after="280"/>
      <w:contextualSpacing/>
      <w:jc w:val="center"/>
    </w:pPr>
    <w:rPr>
      <w:b/>
    </w:rPr>
  </w:style>
  <w:style w:type="paragraph" w:customStyle="1" w:styleId="DecList">
    <w:name w:val="Dec_List"/>
    <w:aliases w:val="_List"/>
    <w:basedOn w:val="JuList"/>
    <w:uiPriority w:val="22"/>
    <w:rsid w:val="00934164"/>
    <w:pPr>
      <w:numPr>
        <w:numId w:val="0"/>
      </w:numPr>
      <w:ind w:left="284"/>
    </w:pPr>
  </w:style>
  <w:style w:type="paragraph" w:customStyle="1" w:styleId="ECHRBullet1">
    <w:name w:val="ECHR_Bullet_1"/>
    <w:aliases w:val="_Bul_1"/>
    <w:basedOn w:val="NormalJustified"/>
    <w:uiPriority w:val="23"/>
    <w:semiHidden/>
    <w:qFormat/>
    <w:rsid w:val="00934164"/>
    <w:pPr>
      <w:numPr>
        <w:numId w:val="6"/>
      </w:numPr>
      <w:spacing w:before="60" w:after="60"/>
    </w:pPr>
  </w:style>
  <w:style w:type="paragraph" w:customStyle="1" w:styleId="ECHRBullet2">
    <w:name w:val="ECHR_Bullet_2"/>
    <w:aliases w:val="_Bul_2"/>
    <w:basedOn w:val="ECHRBullet1"/>
    <w:uiPriority w:val="23"/>
    <w:semiHidden/>
    <w:rsid w:val="00934164"/>
    <w:pPr>
      <w:numPr>
        <w:ilvl w:val="1"/>
      </w:numPr>
    </w:pPr>
  </w:style>
  <w:style w:type="paragraph" w:customStyle="1" w:styleId="ECHRBullet3">
    <w:name w:val="ECHR_Bullet_3"/>
    <w:aliases w:val="_Bul_3"/>
    <w:basedOn w:val="ECHRBullet2"/>
    <w:uiPriority w:val="23"/>
    <w:semiHidden/>
    <w:rsid w:val="00934164"/>
    <w:pPr>
      <w:numPr>
        <w:ilvl w:val="2"/>
      </w:numPr>
    </w:pPr>
  </w:style>
  <w:style w:type="paragraph" w:customStyle="1" w:styleId="ECHRBullet4">
    <w:name w:val="ECHR_Bullet_4"/>
    <w:aliases w:val="_Bul_4"/>
    <w:basedOn w:val="ECHRBullet3"/>
    <w:uiPriority w:val="23"/>
    <w:semiHidden/>
    <w:rsid w:val="00934164"/>
    <w:pPr>
      <w:numPr>
        <w:ilvl w:val="3"/>
      </w:numPr>
    </w:pPr>
  </w:style>
  <w:style w:type="paragraph" w:customStyle="1" w:styleId="ECHRConfidential">
    <w:name w:val="ECHR_Confidential"/>
    <w:aliases w:val="_Confidential"/>
    <w:basedOn w:val="Normalny"/>
    <w:next w:val="Normalny"/>
    <w:uiPriority w:val="42"/>
    <w:semiHidden/>
    <w:qFormat/>
    <w:rsid w:val="00934164"/>
    <w:pPr>
      <w:jc w:val="right"/>
    </w:pPr>
    <w:rPr>
      <w:color w:val="C00000"/>
      <w:sz w:val="20"/>
    </w:rPr>
  </w:style>
  <w:style w:type="paragraph" w:customStyle="1" w:styleId="ECHRDecisionBody">
    <w:name w:val="ECHR_Decision_Body"/>
    <w:aliases w:val="_Decision_Body"/>
    <w:basedOn w:val="NormalJustified"/>
    <w:uiPriority w:val="54"/>
    <w:semiHidden/>
    <w:rsid w:val="00934164"/>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934164"/>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934164"/>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93416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934164"/>
    <w:pPr>
      <w:jc w:val="right"/>
    </w:pPr>
    <w:rPr>
      <w:sz w:val="20"/>
    </w:rPr>
  </w:style>
  <w:style w:type="paragraph" w:customStyle="1" w:styleId="ECHRHeaderRefIt">
    <w:name w:val="ECHR_Header_Ref_It"/>
    <w:aliases w:val="_Ref_Ital"/>
    <w:basedOn w:val="Normalny"/>
    <w:next w:val="ECHRHeaderDate"/>
    <w:uiPriority w:val="43"/>
    <w:semiHidden/>
    <w:qFormat/>
    <w:rsid w:val="00934164"/>
    <w:pPr>
      <w:jc w:val="right"/>
    </w:pPr>
    <w:rPr>
      <w:i/>
      <w:sz w:val="20"/>
    </w:rPr>
  </w:style>
  <w:style w:type="paragraph" w:customStyle="1" w:styleId="ECHRHeading9">
    <w:name w:val="ECHR_Heading_9"/>
    <w:aliases w:val="_Head_9"/>
    <w:basedOn w:val="Nagwek9"/>
    <w:uiPriority w:val="17"/>
    <w:semiHidden/>
    <w:rsid w:val="00934164"/>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93416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934164"/>
    <w:pPr>
      <w:numPr>
        <w:numId w:val="8"/>
      </w:numPr>
      <w:spacing w:before="60" w:after="60"/>
    </w:pPr>
  </w:style>
  <w:style w:type="paragraph" w:customStyle="1" w:styleId="ECHRNumberedList2">
    <w:name w:val="ECHR_Numbered_List_2"/>
    <w:aliases w:val="_Num_2"/>
    <w:basedOn w:val="ECHRNumberedList1"/>
    <w:uiPriority w:val="23"/>
    <w:semiHidden/>
    <w:rsid w:val="00934164"/>
    <w:pPr>
      <w:numPr>
        <w:ilvl w:val="1"/>
      </w:numPr>
    </w:pPr>
  </w:style>
  <w:style w:type="paragraph" w:customStyle="1" w:styleId="ECHRNumberedList3">
    <w:name w:val="ECHR_Numbered_List_3"/>
    <w:aliases w:val="_Num_3"/>
    <w:basedOn w:val="ECHRNumberedList2"/>
    <w:uiPriority w:val="23"/>
    <w:semiHidden/>
    <w:rsid w:val="00934164"/>
    <w:pPr>
      <w:numPr>
        <w:ilvl w:val="2"/>
      </w:numPr>
    </w:pPr>
  </w:style>
  <w:style w:type="paragraph" w:customStyle="1" w:styleId="ECHRParaHanging">
    <w:name w:val="ECHR_Para_Hanging"/>
    <w:aliases w:val="_Hanging"/>
    <w:basedOn w:val="Normalny"/>
    <w:uiPriority w:val="8"/>
    <w:semiHidden/>
    <w:qFormat/>
    <w:rsid w:val="00934164"/>
    <w:pPr>
      <w:ind w:left="567" w:hanging="567"/>
      <w:jc w:val="both"/>
    </w:pPr>
  </w:style>
  <w:style w:type="paragraph" w:customStyle="1" w:styleId="ECHRParaIndent">
    <w:name w:val="ECHR_Para_Indent"/>
    <w:aliases w:val="_Indent"/>
    <w:basedOn w:val="Normalny"/>
    <w:uiPriority w:val="7"/>
    <w:semiHidden/>
    <w:qFormat/>
    <w:rsid w:val="00934164"/>
    <w:pPr>
      <w:spacing w:before="120" w:after="120"/>
      <w:ind w:left="284"/>
      <w:jc w:val="both"/>
    </w:pPr>
  </w:style>
  <w:style w:type="character" w:customStyle="1" w:styleId="ECHRRed">
    <w:name w:val="ECHR_Red"/>
    <w:aliases w:val="_Red"/>
    <w:basedOn w:val="Domylnaczcionkaakapitu"/>
    <w:uiPriority w:val="15"/>
    <w:semiHidden/>
    <w:qFormat/>
    <w:rsid w:val="00934164"/>
    <w:rPr>
      <w:color w:val="C00000" w:themeColor="accent2"/>
    </w:rPr>
  </w:style>
  <w:style w:type="paragraph" w:customStyle="1" w:styleId="ECHRSpacer">
    <w:name w:val="ECHR_Spacer"/>
    <w:aliases w:val="_Spacer"/>
    <w:basedOn w:val="Normalny"/>
    <w:uiPriority w:val="45"/>
    <w:semiHidden/>
    <w:rsid w:val="00934164"/>
    <w:rPr>
      <w:sz w:val="4"/>
    </w:rPr>
  </w:style>
  <w:style w:type="table" w:customStyle="1" w:styleId="ECHRTable2">
    <w:name w:val="ECHR_Table_2"/>
    <w:basedOn w:val="Standardowy"/>
    <w:uiPriority w:val="99"/>
    <w:rsid w:val="0093416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93416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93416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93416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93416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93416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93416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93416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934164"/>
    <w:pPr>
      <w:outlineLvl w:val="0"/>
    </w:pPr>
  </w:style>
  <w:style w:type="paragraph" w:customStyle="1" w:styleId="ECHRTitleTOC1">
    <w:name w:val="ECHR_Title_TOC_1"/>
    <w:aliases w:val="_Title_L_TOC"/>
    <w:basedOn w:val="ECHRTitle1"/>
    <w:next w:val="Normalny"/>
    <w:uiPriority w:val="27"/>
    <w:semiHidden/>
    <w:qFormat/>
    <w:rsid w:val="00934164"/>
    <w:pPr>
      <w:outlineLvl w:val="0"/>
    </w:pPr>
  </w:style>
  <w:style w:type="paragraph" w:styleId="Poprawka">
    <w:name w:val="Revision"/>
    <w:hidden/>
    <w:uiPriority w:val="99"/>
    <w:semiHidden/>
    <w:rsid w:val="005652E0"/>
    <w:rPr>
      <w:rFonts w:eastAsiaTheme="minorEastAsia"/>
      <w:sz w:val="24"/>
    </w:rPr>
  </w:style>
  <w:style w:type="paragraph" w:customStyle="1" w:styleId="JuHeaderLandscape">
    <w:name w:val="Ju_Header_Landscape"/>
    <w:aliases w:val="_Header_Landscape"/>
    <w:basedOn w:val="JuHeader"/>
    <w:uiPriority w:val="30"/>
    <w:qFormat/>
    <w:rsid w:val="005652E0"/>
    <w:pPr>
      <w:tabs>
        <w:tab w:val="center" w:pos="6146"/>
        <w:tab w:val="right" w:pos="12293"/>
      </w:tabs>
    </w:pPr>
  </w:style>
  <w:style w:type="character" w:customStyle="1" w:styleId="JuParaChar">
    <w:name w:val="Ju_Para Char"/>
    <w:aliases w:val="_Para Char"/>
    <w:link w:val="JuPara"/>
    <w:uiPriority w:val="4"/>
    <w:rsid w:val="005652E0"/>
    <w:rPr>
      <w:sz w:val="24"/>
      <w:szCs w:val="24"/>
      <w:lang w:val="pl-PL"/>
    </w:rPr>
  </w:style>
  <w:style w:type="paragraph" w:customStyle="1" w:styleId="jupara0">
    <w:name w:val="jupara"/>
    <w:basedOn w:val="Normalny"/>
    <w:rsid w:val="00EB7242"/>
    <w:pPr>
      <w:ind w:firstLine="284"/>
      <w:jc w:val="both"/>
    </w:pPr>
    <w:rPr>
      <w:rFonts w:ascii="Times New Roman" w:eastAsia="Times New Roman" w:hAnsi="Times New Roman" w:cs="Times New Roman"/>
      <w:lang w:eastAsia="en-GB"/>
    </w:rPr>
  </w:style>
  <w:style w:type="paragraph" w:customStyle="1" w:styleId="jucase0">
    <w:name w:val="jucase"/>
    <w:basedOn w:val="Normalny"/>
    <w:rsid w:val="00EB7242"/>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4B27A5-811F-4F22-BA81-A68CD5C99C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4ED11AC-5A00-4564-95FE-653C7C632D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642029-6CA4-49BB-ACDA-D4E5566E10E4}">
  <ds:schemaRefs>
    <ds:schemaRef ds:uri="http://schemas.openxmlformats.org/officeDocument/2006/bibliography"/>
  </ds:schemaRefs>
</ds:datastoreItem>
</file>

<file path=customXml/itemProps4.xml><?xml version="1.0" encoding="utf-8"?>
<ds:datastoreItem xmlns:ds="http://schemas.openxmlformats.org/officeDocument/2006/customXml" ds:itemID="{4AA0111F-C0B7-4BAA-858B-EBC1704A4A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10471</Words>
  <Characters>62830</Characters>
  <Application>Microsoft Office Word</Application>
  <DocSecurity>0</DocSecurity>
  <Lines>523</Lines>
  <Paragraphs>146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73155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2022-08-09T06:46:00Z</dcterms:created>
  <dcterms:modified xsi:type="dcterms:W3CDTF">2022-09-05T07:07:00Z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88/05</vt:lpwstr>
  </property>
  <property fmtid="{D5CDD505-2E9C-101B-9397-08002B2CF9AE}" pid="4" name="CASEID">
    <vt:lpwstr>330301</vt:lpwstr>
  </property>
  <property fmtid="{D5CDD505-2E9C-101B-9397-08002B2CF9AE}" pid="5" name="ContentTypeId">
    <vt:lpwstr>0x010100558EB02BDB9E204AB350EDD385B68E10</vt:lpwstr>
  </property>
</Properties>
</file>