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6EBE8" w14:textId="77777777" w:rsidR="003C74EC" w:rsidRPr="009C15B1" w:rsidRDefault="003C74EC" w:rsidP="009C15B1">
      <w:pPr>
        <w:jc w:val="center"/>
        <w:rPr>
          <w:rFonts w:ascii="Times New Roman" w:hAnsi="Times New Roman" w:cs="Times New Roman"/>
        </w:rPr>
      </w:pPr>
    </w:p>
    <w:p w14:paraId="7544F40D" w14:textId="77777777" w:rsidR="0098410D" w:rsidRPr="009C15B1" w:rsidRDefault="0098410D" w:rsidP="009C15B1">
      <w:pPr>
        <w:jc w:val="center"/>
      </w:pPr>
    </w:p>
    <w:p w14:paraId="71538F94" w14:textId="77777777" w:rsidR="0098410D" w:rsidRPr="009C15B1" w:rsidRDefault="00D37470" w:rsidP="009C15B1">
      <w:pPr>
        <w:pStyle w:val="DecHCase"/>
      </w:pPr>
      <w:r>
        <w:t>SEKCJA PIĄTA</w:t>
      </w:r>
    </w:p>
    <w:p w14:paraId="2DB82085" w14:textId="77777777" w:rsidR="008E6217" w:rsidRPr="009C15B1" w:rsidRDefault="008E6217" w:rsidP="009C15B1">
      <w:pPr>
        <w:pStyle w:val="JuTitle"/>
      </w:pPr>
      <w:bookmarkStart w:id="0" w:name="To"/>
      <w:r>
        <w:rPr>
          <w:color w:val="000000" w:themeColor="text1"/>
        </w:rPr>
        <w:t xml:space="preserve">SPRAWA </w:t>
      </w:r>
      <w:bookmarkEnd w:id="0"/>
      <w:r>
        <w:t>PENDOV przeciwko BUŁGARII</w:t>
      </w:r>
    </w:p>
    <w:p w14:paraId="0BC45C9F" w14:textId="77777777" w:rsidR="00D74888" w:rsidRPr="009C15B1" w:rsidRDefault="008E6217" w:rsidP="009C15B1">
      <w:pPr>
        <w:pStyle w:val="ECHRCoverTitle4"/>
      </w:pPr>
      <w:r>
        <w:t>(Skarga nr 44229/11)</w:t>
      </w:r>
    </w:p>
    <w:p w14:paraId="0721EC20" w14:textId="77777777" w:rsidR="0098410D" w:rsidRPr="009C15B1" w:rsidRDefault="0098410D" w:rsidP="009C15B1">
      <w:pPr>
        <w:pStyle w:val="DecHCase"/>
      </w:pPr>
    </w:p>
    <w:p w14:paraId="3B6C291E" w14:textId="77777777" w:rsidR="0098410D" w:rsidRPr="009C15B1" w:rsidRDefault="0098410D" w:rsidP="009C15B1">
      <w:pPr>
        <w:pStyle w:val="DecHCase"/>
      </w:pPr>
    </w:p>
    <w:p w14:paraId="3F724528" w14:textId="77777777" w:rsidR="003C74EC" w:rsidRPr="009C15B1" w:rsidRDefault="0098410D" w:rsidP="009C15B1">
      <w:pPr>
        <w:pStyle w:val="DecHCase"/>
      </w:pPr>
      <w:r>
        <w:t>WYROK</w:t>
      </w:r>
      <w:r>
        <w:br/>
      </w:r>
    </w:p>
    <w:p w14:paraId="1DD3E088" w14:textId="1E8A473D" w:rsidR="003C74EC" w:rsidRPr="005667B5" w:rsidRDefault="003C74EC" w:rsidP="008353C1">
      <w:pPr>
        <w:pStyle w:val="JuPara"/>
        <w:pBdr>
          <w:top w:val="single" w:sz="4" w:space="1" w:color="auto"/>
          <w:left w:val="single" w:sz="4" w:space="4" w:color="auto"/>
          <w:bottom w:val="single" w:sz="4" w:space="1" w:color="auto"/>
          <w:right w:val="single" w:sz="4" w:space="4" w:color="auto"/>
        </w:pBdr>
        <w:ind w:firstLine="0"/>
      </w:pPr>
      <w:r w:rsidRPr="005667B5">
        <w:t xml:space="preserve">Artykuł 1 </w:t>
      </w:r>
      <w:r w:rsidR="003C6885" w:rsidRPr="005667B5">
        <w:t xml:space="preserve">Protokołu </w:t>
      </w:r>
      <w:r w:rsidRPr="005667B5">
        <w:t xml:space="preserve">nr 1 • </w:t>
      </w:r>
      <w:r w:rsidR="00594B72" w:rsidRPr="005667B5">
        <w:t>Uregulowanie sposobu korzystania z własności</w:t>
      </w:r>
      <w:r w:rsidRPr="005667B5">
        <w:t xml:space="preserve"> • </w:t>
      </w:r>
      <w:r w:rsidR="005667B5" w:rsidRPr="00AC1E51">
        <w:t>Niepotrzebnie</w:t>
      </w:r>
      <w:r w:rsidRPr="005667B5">
        <w:t xml:space="preserve"> przedłużone zatrzymanie serwera komputerowego skarżącego w ramach postępowania karnego przeciwko osobom trzecim • Niezbadanie serwera przez władze i nieskopiowanie istotnych informacji • Znaczenie serwera dla działalności zawodowej skarżącego</w:t>
      </w:r>
    </w:p>
    <w:p w14:paraId="64598271" w14:textId="4A61D0C2" w:rsidR="003C74EC" w:rsidRPr="009C15B1" w:rsidRDefault="003C74EC" w:rsidP="008353C1">
      <w:pPr>
        <w:pStyle w:val="JuPara"/>
        <w:pBdr>
          <w:top w:val="single" w:sz="4" w:space="1" w:color="auto"/>
          <w:left w:val="single" w:sz="4" w:space="4" w:color="auto"/>
          <w:bottom w:val="single" w:sz="4" w:space="1" w:color="auto"/>
          <w:right w:val="single" w:sz="4" w:space="4" w:color="auto"/>
        </w:pBdr>
        <w:ind w:firstLine="0"/>
      </w:pPr>
      <w:r w:rsidRPr="005667B5">
        <w:t xml:space="preserve">Artykuł 10 • Wolność wyrażania opinii </w:t>
      </w:r>
      <w:r w:rsidR="007D17B9" w:rsidRPr="005667B5">
        <w:t xml:space="preserve">• </w:t>
      </w:r>
      <w:r w:rsidRPr="005667B5">
        <w:t>Ograniczona funkcjonalność strony internetowej skarżącego poświęconej kulturze z powodu niepotrzebnie przedłużonego zatrzymania</w:t>
      </w:r>
      <w:r>
        <w:t xml:space="preserve"> serwera komputerowego</w:t>
      </w:r>
    </w:p>
    <w:p w14:paraId="58EE1C5D" w14:textId="77777777" w:rsidR="0098410D" w:rsidRPr="009C15B1" w:rsidRDefault="0098410D" w:rsidP="009C15B1">
      <w:pPr>
        <w:pStyle w:val="DecHCase"/>
      </w:pPr>
    </w:p>
    <w:p w14:paraId="41C30A88" w14:textId="77777777" w:rsidR="0098410D" w:rsidRPr="009C15B1" w:rsidRDefault="0098410D" w:rsidP="009C15B1">
      <w:pPr>
        <w:pStyle w:val="DecHCase"/>
      </w:pPr>
      <w:r>
        <w:t>STRASBURG</w:t>
      </w:r>
    </w:p>
    <w:p w14:paraId="7277C8B6" w14:textId="77777777" w:rsidR="0098410D" w:rsidRPr="009C15B1" w:rsidRDefault="00D37470" w:rsidP="00F8458E">
      <w:pPr>
        <w:pStyle w:val="DecHCase"/>
        <w:spacing w:after="360"/>
      </w:pPr>
      <w:r>
        <w:rPr>
          <w:rFonts w:ascii="Times New Roman" w:hAnsi="Times New Roman"/>
        </w:rPr>
        <w:t>26 marca 2020 r.</w:t>
      </w:r>
    </w:p>
    <w:p w14:paraId="785BEEFE" w14:textId="39DBB166" w:rsidR="00F8458E" w:rsidRDefault="00F8458E" w:rsidP="00F8458E">
      <w:pPr>
        <w:pStyle w:val="jucase0"/>
        <w:ind w:firstLine="0"/>
        <w:jc w:val="center"/>
        <w:rPr>
          <w:color w:val="FF0000"/>
          <w:sz w:val="28"/>
          <w:szCs w:val="28"/>
          <w:u w:val="single"/>
        </w:rPr>
      </w:pPr>
      <w:r>
        <w:rPr>
          <w:color w:val="FF0000"/>
          <w:sz w:val="28"/>
          <w:szCs w:val="28"/>
          <w:u w:val="single"/>
        </w:rPr>
        <w:t>OSTATECZNY</w:t>
      </w:r>
    </w:p>
    <w:p w14:paraId="79EC704B" w14:textId="77777777" w:rsidR="00F8458E" w:rsidRPr="00F8458E" w:rsidRDefault="00F8458E" w:rsidP="00F8458E">
      <w:pPr>
        <w:pStyle w:val="jucase0"/>
        <w:ind w:firstLine="0"/>
        <w:jc w:val="center"/>
        <w:rPr>
          <w:color w:val="FF0000"/>
          <w:u w:val="single"/>
        </w:rPr>
      </w:pPr>
    </w:p>
    <w:p w14:paraId="7E9CEE58" w14:textId="77777777" w:rsidR="00F8458E" w:rsidRPr="00E974D6" w:rsidRDefault="00F8458E" w:rsidP="00F8458E">
      <w:pPr>
        <w:pStyle w:val="jucase0"/>
        <w:ind w:firstLine="0"/>
        <w:jc w:val="center"/>
        <w:rPr>
          <w:b w:val="0"/>
          <w:color w:val="FF0000"/>
          <w:sz w:val="28"/>
          <w:szCs w:val="28"/>
        </w:rPr>
      </w:pPr>
      <w:r>
        <w:rPr>
          <w:b w:val="0"/>
          <w:color w:val="FF0000"/>
          <w:sz w:val="28"/>
          <w:szCs w:val="28"/>
        </w:rPr>
        <w:t>12.10.2020 r.</w:t>
      </w:r>
    </w:p>
    <w:p w14:paraId="6570A4F8" w14:textId="77777777" w:rsidR="00F8458E" w:rsidRPr="00261F46" w:rsidRDefault="00F8458E" w:rsidP="00F8458E">
      <w:pPr>
        <w:pStyle w:val="jupara0"/>
        <w:ind w:firstLine="0"/>
        <w:jc w:val="center"/>
      </w:pPr>
    </w:p>
    <w:p w14:paraId="2D75B9CD" w14:textId="604B1563" w:rsidR="002422B6" w:rsidRPr="009C15B1" w:rsidRDefault="00F8458E" w:rsidP="00F8458E">
      <w:pPr>
        <w:rPr>
          <w:i/>
          <w:sz w:val="22"/>
        </w:rPr>
      </w:pPr>
      <w:r>
        <w:rPr>
          <w:i/>
          <w:iCs/>
          <w:sz w:val="22"/>
          <w:szCs w:val="22"/>
        </w:rPr>
        <w:t xml:space="preserve">Wyrok </w:t>
      </w:r>
      <w:r w:rsidR="00D246CF">
        <w:rPr>
          <w:i/>
          <w:iCs/>
          <w:sz w:val="22"/>
          <w:szCs w:val="22"/>
        </w:rPr>
        <w:t xml:space="preserve">ten </w:t>
      </w:r>
      <w:r>
        <w:rPr>
          <w:i/>
          <w:iCs/>
          <w:sz w:val="22"/>
          <w:szCs w:val="22"/>
        </w:rPr>
        <w:t>stał się ostateczny zgodnie z warunkami określonymi w art. 44 ust. 2 Konwencji. Może podlegać korekcie wydawniczej.</w:t>
      </w:r>
    </w:p>
    <w:p w14:paraId="1865C30B" w14:textId="77777777" w:rsidR="0098410D" w:rsidRPr="009C15B1" w:rsidRDefault="0098410D" w:rsidP="009C15B1">
      <w:pPr>
        <w:sectPr w:rsidR="0098410D" w:rsidRPr="009C15B1" w:rsidSect="00D66471">
          <w:headerReference w:type="default" r:id="rId8"/>
          <w:footerReference w:type="default" r:id="rId9"/>
          <w:head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2F8411C" w14:textId="77777777" w:rsidR="0098410D" w:rsidRPr="009C15B1" w:rsidRDefault="0098410D" w:rsidP="009C15B1">
      <w:pPr>
        <w:pStyle w:val="JuCase"/>
      </w:pPr>
      <w:r>
        <w:lastRenderedPageBreak/>
        <w:t>W sprawie Pendov przeciwko Bułgarii</w:t>
      </w:r>
    </w:p>
    <w:p w14:paraId="58E686EB" w14:textId="1262522F" w:rsidR="009F4C8F" w:rsidRPr="009C15B1" w:rsidRDefault="009F4C8F" w:rsidP="009C15B1">
      <w:pPr>
        <w:pStyle w:val="JuPara"/>
      </w:pPr>
      <w:r>
        <w:t>Europejski Trybunał Praw Człowieka (</w:t>
      </w:r>
      <w:r w:rsidR="003A2562">
        <w:t>S</w:t>
      </w:r>
      <w:r w:rsidR="00FD35FA">
        <w:t xml:space="preserve">ekcja </w:t>
      </w:r>
      <w:r w:rsidR="003A2562">
        <w:t>P</w:t>
      </w:r>
      <w:r w:rsidR="00FD35FA">
        <w:t>iąta</w:t>
      </w:r>
      <w:r>
        <w:t>), zasiadając jako Izba w składzie:</w:t>
      </w:r>
    </w:p>
    <w:p w14:paraId="1ED2C49B" w14:textId="489978BB" w:rsidR="009F4C8F" w:rsidRPr="009C15B1" w:rsidRDefault="00CA514D" w:rsidP="009C15B1">
      <w:pPr>
        <w:pStyle w:val="JuJudges"/>
      </w:pPr>
      <w:r>
        <w:tab/>
        <w:t>Síofra O’Leary,</w:t>
      </w:r>
      <w:r>
        <w:rPr>
          <w:i/>
        </w:rPr>
        <w:t xml:space="preserve"> Przewodnicząca,</w:t>
      </w:r>
      <w:r>
        <w:rPr>
          <w:i/>
        </w:rPr>
        <w:br/>
      </w:r>
      <w:r>
        <w:tab/>
        <w:t>Gabriele Kucsko-Stadlmayer,</w:t>
      </w:r>
      <w:r>
        <w:rPr>
          <w:i/>
        </w:rPr>
        <w:br/>
      </w:r>
      <w:r>
        <w:tab/>
        <w:t>André Potocki,</w:t>
      </w:r>
      <w:r>
        <w:rPr>
          <w:i/>
        </w:rPr>
        <w:br/>
      </w:r>
      <w:r>
        <w:tab/>
        <w:t>Yonko Grozev,</w:t>
      </w:r>
      <w:r>
        <w:rPr>
          <w:i/>
        </w:rPr>
        <w:br/>
      </w:r>
      <w:r>
        <w:tab/>
        <w:t>Mārtiņš Mits,</w:t>
      </w:r>
      <w:r>
        <w:rPr>
          <w:i/>
        </w:rPr>
        <w:br/>
      </w:r>
      <w:r>
        <w:tab/>
        <w:t>Lәtif Hüseynov,</w:t>
      </w:r>
      <w:r>
        <w:rPr>
          <w:i/>
        </w:rPr>
        <w:br/>
      </w:r>
      <w:r>
        <w:tab/>
        <w:t>Lado Chanturia,</w:t>
      </w:r>
      <w:r>
        <w:rPr>
          <w:i/>
        </w:rPr>
        <w:t xml:space="preserve"> </w:t>
      </w:r>
      <w:r w:rsidR="00FD35FA">
        <w:rPr>
          <w:i/>
        </w:rPr>
        <w:t>Sędziowie</w:t>
      </w:r>
      <w:r>
        <w:rPr>
          <w:i/>
        </w:rPr>
        <w:t>,</w:t>
      </w:r>
      <w:r>
        <w:br/>
        <w:t xml:space="preserve">oraz Claudia Westerdiek, </w:t>
      </w:r>
      <w:r>
        <w:rPr>
          <w:i/>
          <w:iCs/>
        </w:rPr>
        <w:t>Kanclerz Sekcji</w:t>
      </w:r>
      <w:r>
        <w:rPr>
          <w:i/>
        </w:rPr>
        <w:t>,</w:t>
      </w:r>
    </w:p>
    <w:p w14:paraId="16CD42FB" w14:textId="77777777" w:rsidR="00D37470" w:rsidRPr="009C15B1" w:rsidRDefault="00D37470" w:rsidP="009C15B1">
      <w:pPr>
        <w:pStyle w:val="JuPara"/>
      </w:pPr>
      <w:bookmarkStart w:id="1" w:name="ITMARKHavingStart"/>
      <w:bookmarkEnd w:id="1"/>
      <w:r>
        <w:t>mając na uwadze:</w:t>
      </w:r>
    </w:p>
    <w:p w14:paraId="5B8F5466" w14:textId="659F3A36" w:rsidR="00D37470" w:rsidRPr="009C15B1" w:rsidRDefault="00D37470" w:rsidP="009C15B1">
      <w:pPr>
        <w:pStyle w:val="JuPara"/>
      </w:pPr>
      <w:r>
        <w:t>skargę przeciwko Republice Bułgarii wniesioną do Trybunału w dniu 1</w:t>
      </w:r>
      <w:r w:rsidR="00CA3829">
        <w:t> </w:t>
      </w:r>
      <w:r>
        <w:t>lipca 2011 r. na podstawie art. 34 Konwencji o ochronie praw człowieka i podstawowych wolności („Konwencja”) przez obywatela bułgarskiego p.</w:t>
      </w:r>
      <w:r w:rsidR="00CA3829">
        <w:t> </w:t>
      </w:r>
      <w:r>
        <w:t>Lazara Milkova Pendova („skarżący”);</w:t>
      </w:r>
    </w:p>
    <w:p w14:paraId="24A5B642" w14:textId="42B96677" w:rsidR="00D37470" w:rsidRPr="009C15B1" w:rsidRDefault="00D37470" w:rsidP="009C15B1">
      <w:pPr>
        <w:pStyle w:val="JuPara"/>
      </w:pPr>
      <w:r>
        <w:t xml:space="preserve">decyzję o zakomunikowaniu rządowi bułgarskiemu („Rząd”) spraw dotyczących przeszukania i zajęcia mienia skarżącego, zajęcia jego </w:t>
      </w:r>
      <w:r w:rsidR="003C6885">
        <w:t>korespondencji</w:t>
      </w:r>
      <w:r>
        <w:t xml:space="preserve"> i innych materiałów osobistych oraz zamknięcia jego strony internetowej</w:t>
      </w:r>
      <w:r w:rsidR="0001508E">
        <w:t>, a także</w:t>
      </w:r>
      <w:r>
        <w:t xml:space="preserve"> o uznaniu za niedopuszczalną pozostałej części skargi;</w:t>
      </w:r>
    </w:p>
    <w:p w14:paraId="044DB65B" w14:textId="77777777" w:rsidR="00D37470" w:rsidRPr="009C15B1" w:rsidRDefault="00D37470" w:rsidP="009C15B1">
      <w:pPr>
        <w:pStyle w:val="JuPara"/>
      </w:pPr>
      <w:r>
        <w:t>uwagi stron;</w:t>
      </w:r>
    </w:p>
    <w:p w14:paraId="34597343" w14:textId="77777777" w:rsidR="009F4C8F" w:rsidRPr="009C15B1" w:rsidRDefault="009F4C8F" w:rsidP="009C15B1">
      <w:pPr>
        <w:pStyle w:val="JuPara"/>
      </w:pPr>
      <w:r>
        <w:t>obradując na posiedzeniu niejawnym w dniu 3 marca 2020 r.,</w:t>
      </w:r>
    </w:p>
    <w:p w14:paraId="66A79FA3" w14:textId="77777777" w:rsidR="009F4C8F" w:rsidRPr="009C15B1" w:rsidRDefault="009F4C8F" w:rsidP="009C15B1">
      <w:pPr>
        <w:pStyle w:val="JuPara"/>
      </w:pPr>
      <w:r>
        <w:t>wydaje następujący wyrok, który został przyjęty w tym dniu:</w:t>
      </w:r>
    </w:p>
    <w:p w14:paraId="47A4294C" w14:textId="77777777" w:rsidR="00D37470" w:rsidRPr="009C15B1" w:rsidRDefault="00D37470" w:rsidP="009C15B1">
      <w:pPr>
        <w:pStyle w:val="JuHHead"/>
        <w:numPr>
          <w:ilvl w:val="0"/>
          <w:numId w:val="0"/>
        </w:numPr>
      </w:pPr>
      <w:r>
        <w:t>WPROWADZENIE</w:t>
      </w:r>
    </w:p>
    <w:p w14:paraId="7FD136D3" w14:textId="734CE373" w:rsidR="00D37470" w:rsidRPr="009C15B1" w:rsidRDefault="00D37470" w:rsidP="009C15B1">
      <w:pPr>
        <w:pStyle w:val="JuPara"/>
      </w:pPr>
      <w:r>
        <w:t xml:space="preserve">Skarżący zarzucił, powołując się na </w:t>
      </w:r>
      <w:r w:rsidR="006A4BCF">
        <w:t>art.</w:t>
      </w:r>
      <w:r>
        <w:t xml:space="preserve"> 6, 7, 8 i 10 Konwencji oraz </w:t>
      </w:r>
      <w:r w:rsidR="004C7721">
        <w:t>art.</w:t>
      </w:r>
      <w:r>
        <w:t xml:space="preserve"> 1 </w:t>
      </w:r>
      <w:r w:rsidR="003C6885">
        <w:t xml:space="preserve">Protokołu </w:t>
      </w:r>
      <w:r>
        <w:t xml:space="preserve">nr 1, </w:t>
      </w:r>
      <w:r w:rsidR="006A4BCF">
        <w:t xml:space="preserve">że organy ścigania zajęły i zatrzymały serwer komputerowy będący </w:t>
      </w:r>
      <w:r>
        <w:t>jego własnością w ramach postępowania karnego przeciwko osobom trzecim. Zatrzymanie serwera i zawartych na nim informacji doprowadziło również do ograniczenia</w:t>
      </w:r>
      <w:r w:rsidR="006A4BCF">
        <w:t xml:space="preserve"> przez znaczący okres</w:t>
      </w:r>
      <w:r>
        <w:t xml:space="preserve"> funkcjonalności </w:t>
      </w:r>
      <w:r w:rsidR="00B8184A">
        <w:t xml:space="preserve">prowadzonej przez skarżącego </w:t>
      </w:r>
      <w:r>
        <w:t xml:space="preserve">strony internetowej, </w:t>
      </w:r>
      <w:r w:rsidR="006A4BCF">
        <w:t xml:space="preserve">która </w:t>
      </w:r>
      <w:r w:rsidR="00B8184A">
        <w:t xml:space="preserve">była </w:t>
      </w:r>
      <w:r w:rsidR="006A4BCF">
        <w:t xml:space="preserve">hostowana na </w:t>
      </w:r>
      <w:r w:rsidR="00B8184A">
        <w:t xml:space="preserve">tym </w:t>
      </w:r>
      <w:r w:rsidR="006A4BCF">
        <w:t>serwerze.</w:t>
      </w:r>
    </w:p>
    <w:p w14:paraId="18314446" w14:textId="77777777" w:rsidR="00D37470" w:rsidRPr="009C15B1" w:rsidRDefault="00D37470" w:rsidP="009C15B1">
      <w:pPr>
        <w:pStyle w:val="JuHHead"/>
      </w:pPr>
      <w:r>
        <w:t>FAKTY</w:t>
      </w:r>
    </w:p>
    <w:p w14:paraId="35150294" w14:textId="67BE9CB0" w:rsidR="00D37470" w:rsidRPr="009C15B1" w:rsidRDefault="003A2562" w:rsidP="009C15B1">
      <w:pPr>
        <w:pStyle w:val="JuPara"/>
      </w:pPr>
      <w:r>
        <w:fldChar w:fldCharType="begin"/>
      </w:r>
      <w:r>
        <w:instrText xml:space="preserve"> SEQ level0 \*arabic </w:instrText>
      </w:r>
      <w:r>
        <w:fldChar w:fldCharType="separate"/>
      </w:r>
      <w:r w:rsidR="001D28C9">
        <w:rPr>
          <w:noProof/>
        </w:rPr>
        <w:t>1</w:t>
      </w:r>
      <w:r>
        <w:rPr>
          <w:noProof/>
        </w:rPr>
        <w:fldChar w:fldCharType="end"/>
      </w:r>
      <w:r w:rsidR="00D37470">
        <w:t xml:space="preserve">.  Skarżący urodził się w 1986 r. i mieszka w Płowdiwie. </w:t>
      </w:r>
      <w:r w:rsidR="00305D0E">
        <w:t xml:space="preserve">Reprezentowali go p. </w:t>
      </w:r>
      <w:r w:rsidR="00305D0E" w:rsidRPr="009C15B1">
        <w:t>M. Ekimdzhiev</w:t>
      </w:r>
      <w:r w:rsidR="00305D0E" w:rsidDel="00305D0E">
        <w:t xml:space="preserve"> </w:t>
      </w:r>
      <w:r w:rsidR="00305D0E">
        <w:t xml:space="preserve">i p. </w:t>
      </w:r>
      <w:r w:rsidR="00305D0E" w:rsidRPr="009C15B1">
        <w:t>K. Boncheva</w:t>
      </w:r>
      <w:r w:rsidR="00305D0E">
        <w:t>, adwokaci praktykujący</w:t>
      </w:r>
      <w:r w:rsidR="00305D0E" w:rsidDel="00305D0E">
        <w:t xml:space="preserve"> </w:t>
      </w:r>
      <w:r w:rsidR="00D37470">
        <w:t>w Płowdiwie.</w:t>
      </w:r>
    </w:p>
    <w:p w14:paraId="0210B6BF" w14:textId="20ED0EC1" w:rsidR="00D37470" w:rsidRPr="009C15B1" w:rsidRDefault="003A2562" w:rsidP="009C15B1">
      <w:pPr>
        <w:pStyle w:val="JuPara"/>
      </w:pPr>
      <w:r>
        <w:fldChar w:fldCharType="begin"/>
      </w:r>
      <w:r>
        <w:instrText xml:space="preserve"> SEQ level0 \*arabic </w:instrText>
      </w:r>
      <w:r>
        <w:fldChar w:fldCharType="separate"/>
      </w:r>
      <w:r w:rsidR="001D28C9">
        <w:rPr>
          <w:noProof/>
        </w:rPr>
        <w:t>2</w:t>
      </w:r>
      <w:r>
        <w:rPr>
          <w:noProof/>
        </w:rPr>
        <w:fldChar w:fldCharType="end"/>
      </w:r>
      <w:r w:rsidR="00D37470">
        <w:t>.  Rząd bułgarski („Rząd”) reprezentowany był przez swojego pełnomocnika, p. I. Stanchevę-Chinovą z Ministerstwa Sprawiedliwości.</w:t>
      </w:r>
    </w:p>
    <w:p w14:paraId="563F5BBB" w14:textId="306E54AE" w:rsidR="00D37470" w:rsidRPr="009C15B1" w:rsidRDefault="003A2562" w:rsidP="009C15B1">
      <w:pPr>
        <w:pStyle w:val="JuPara"/>
      </w:pPr>
      <w:r>
        <w:fldChar w:fldCharType="begin"/>
      </w:r>
      <w:r>
        <w:instrText xml:space="preserve"> SEQ level0 \*arabic </w:instrText>
      </w:r>
      <w:r>
        <w:fldChar w:fldCharType="separate"/>
      </w:r>
      <w:r w:rsidR="001D28C9">
        <w:rPr>
          <w:noProof/>
        </w:rPr>
        <w:t>3</w:t>
      </w:r>
      <w:r>
        <w:rPr>
          <w:noProof/>
        </w:rPr>
        <w:fldChar w:fldCharType="end"/>
      </w:r>
      <w:r w:rsidR="00D37470">
        <w:t>.  W 2010 r.</w:t>
      </w:r>
      <w:r w:rsidR="00A145A1">
        <w:t xml:space="preserve"> jedno z wydawnictw</w:t>
      </w:r>
      <w:r w:rsidR="00D37470">
        <w:t xml:space="preserve"> z</w:t>
      </w:r>
      <w:r w:rsidR="00A145A1">
        <w:t xml:space="preserve">awiadomiło policję, że </w:t>
      </w:r>
      <w:r w:rsidR="00D37470">
        <w:t xml:space="preserve">wydana przez nie książka została udostępniona w Internecie z naruszeniem praw autorskich </w:t>
      </w:r>
      <w:r w:rsidR="00A145A1">
        <w:t xml:space="preserve">– </w:t>
      </w:r>
      <w:r w:rsidR="00D37470">
        <w:t xml:space="preserve">co rzekomo </w:t>
      </w:r>
      <w:r w:rsidR="00AD4D66">
        <w:t>stanowiło</w:t>
      </w:r>
      <w:r w:rsidR="00D37470">
        <w:t xml:space="preserve"> </w:t>
      </w:r>
      <w:r w:rsidR="00A145A1">
        <w:t>czyn zabroniony na podstawie art</w:t>
      </w:r>
      <w:r w:rsidR="00D37470">
        <w:t xml:space="preserve">. 172a </w:t>
      </w:r>
      <w:r w:rsidR="00AD4D66">
        <w:t>K</w:t>
      </w:r>
      <w:r w:rsidR="00D37470">
        <w:t xml:space="preserve">odeksu karnego (zob. paragraf 18 poniżej). W toku następującego </w:t>
      </w:r>
      <w:r w:rsidR="00340462">
        <w:t xml:space="preserve">potem </w:t>
      </w:r>
      <w:r w:rsidR="00D37470">
        <w:t xml:space="preserve">dochodzenia wykazano, że strona, na której umieszczono książkę, była </w:t>
      </w:r>
      <w:r w:rsidR="00D37470">
        <w:lastRenderedPageBreak/>
        <w:t>częściowo hostowana na serwerze należącym do skarżącego. Ustalono również</w:t>
      </w:r>
      <w:r w:rsidR="005141A0">
        <w:t xml:space="preserve">, w jakim lokalu </w:t>
      </w:r>
      <w:r w:rsidR="00D37470">
        <w:t>przechowywan</w:t>
      </w:r>
      <w:r w:rsidR="005141A0">
        <w:t xml:space="preserve">o </w:t>
      </w:r>
      <w:r w:rsidR="00D37470">
        <w:t>przedmiotowy serwer.</w:t>
      </w:r>
    </w:p>
    <w:p w14:paraId="57AF046E" w14:textId="2E1D6EAC" w:rsidR="00D37470" w:rsidRPr="009C15B1" w:rsidRDefault="003A2562" w:rsidP="009C15B1">
      <w:pPr>
        <w:pStyle w:val="JuPara"/>
      </w:pPr>
      <w:r>
        <w:fldChar w:fldCharType="begin"/>
      </w:r>
      <w:r>
        <w:instrText xml:space="preserve"> SEQ level0 \*arabic </w:instrText>
      </w:r>
      <w:r>
        <w:fldChar w:fldCharType="separate"/>
      </w:r>
      <w:r w:rsidR="001D28C9">
        <w:rPr>
          <w:noProof/>
        </w:rPr>
        <w:t>4</w:t>
      </w:r>
      <w:r>
        <w:rPr>
          <w:noProof/>
        </w:rPr>
        <w:fldChar w:fldCharType="end"/>
      </w:r>
      <w:r w:rsidR="00D37470">
        <w:t xml:space="preserve">.  W tym czasie na serwerze znajdowało się również kilka innych stron internetowych, w tym jedna poświęcona japońskiej kulturze anime, </w:t>
      </w:r>
      <w:r w:rsidR="00261C50">
        <w:t>a</w:t>
      </w:r>
      <w:r w:rsidR="00AC1E51">
        <w:t> </w:t>
      </w:r>
      <w:r w:rsidR="00D37470">
        <w:t>właścicielem i administratorem</w:t>
      </w:r>
      <w:r w:rsidR="00280D80">
        <w:t xml:space="preserve"> </w:t>
      </w:r>
      <w:r w:rsidR="00261C50">
        <w:t xml:space="preserve">tej strony </w:t>
      </w:r>
      <w:r w:rsidR="00280D80">
        <w:t>był</w:t>
      </w:r>
      <w:r w:rsidR="00D37470">
        <w:t xml:space="preserve"> skarżący.</w:t>
      </w:r>
    </w:p>
    <w:p w14:paraId="7049C53A" w14:textId="51D21328" w:rsidR="00D37470" w:rsidRPr="009C15B1" w:rsidRDefault="003A2562" w:rsidP="009C15B1">
      <w:pPr>
        <w:pStyle w:val="JuPara"/>
      </w:pPr>
      <w:r>
        <w:fldChar w:fldCharType="begin"/>
      </w:r>
      <w:r>
        <w:instrText xml:space="preserve"> SEQ level0 \*arabic </w:instrText>
      </w:r>
      <w:r>
        <w:fldChar w:fldCharType="separate"/>
      </w:r>
      <w:r w:rsidR="001D28C9">
        <w:rPr>
          <w:noProof/>
        </w:rPr>
        <w:t>5</w:t>
      </w:r>
      <w:r>
        <w:rPr>
          <w:noProof/>
        </w:rPr>
        <w:fldChar w:fldCharType="end"/>
      </w:r>
      <w:r w:rsidR="00D37470">
        <w:t xml:space="preserve">.  Na wniosek policji w dniu 18 czerwca 2010 r. sędzia </w:t>
      </w:r>
      <w:r w:rsidR="00254888">
        <w:t>S</w:t>
      </w:r>
      <w:r w:rsidR="00D37470">
        <w:t xml:space="preserve">ądu </w:t>
      </w:r>
      <w:r w:rsidR="00254888">
        <w:t>R</w:t>
      </w:r>
      <w:r w:rsidR="00D37470">
        <w:t>ejonowego w Sofii wydała nakaz przeszukania lokalu, w którym przechowywan</w:t>
      </w:r>
      <w:r w:rsidR="00280D80">
        <w:t>o</w:t>
      </w:r>
      <w:r w:rsidR="00D37470">
        <w:t xml:space="preserve"> serwer skarżącego. Uznała, że istniały wystarczające podstawy</w:t>
      </w:r>
      <w:r w:rsidR="00280D80">
        <w:t xml:space="preserve"> do tego</w:t>
      </w:r>
      <w:r w:rsidR="00D37470">
        <w:t>, by</w:t>
      </w:r>
      <w:r w:rsidR="00280D80">
        <w:t> </w:t>
      </w:r>
      <w:r w:rsidR="00D37470">
        <w:t>sądzić, że takie przeszukanie przyniesie istotne dla dochodzenia</w:t>
      </w:r>
      <w:r w:rsidR="008A2D59" w:rsidRPr="008A2D59">
        <w:t xml:space="preserve"> </w:t>
      </w:r>
      <w:r w:rsidR="008A2D59">
        <w:t>dowody</w:t>
      </w:r>
      <w:r w:rsidR="00D37470">
        <w:t>.</w:t>
      </w:r>
    </w:p>
    <w:p w14:paraId="59203708" w14:textId="4299330D" w:rsidR="00D37470" w:rsidRPr="009C15B1" w:rsidRDefault="003A2562" w:rsidP="009C15B1">
      <w:pPr>
        <w:pStyle w:val="JuPara"/>
      </w:pPr>
      <w:r>
        <w:fldChar w:fldCharType="begin"/>
      </w:r>
      <w:r>
        <w:instrText xml:space="preserve"> SEQ level0 \*arabic </w:instrText>
      </w:r>
      <w:r>
        <w:fldChar w:fldCharType="separate"/>
      </w:r>
      <w:r w:rsidR="001D28C9">
        <w:rPr>
          <w:noProof/>
        </w:rPr>
        <w:t>6</w:t>
      </w:r>
      <w:r>
        <w:rPr>
          <w:noProof/>
        </w:rPr>
        <w:fldChar w:fldCharType="end"/>
      </w:r>
      <w:r w:rsidR="00D37470">
        <w:t>.  Przeszukania doko</w:t>
      </w:r>
      <w:r w:rsidR="007171E8">
        <w:t>nała policja w Sofii</w:t>
      </w:r>
      <w:r w:rsidR="00D37470">
        <w:t xml:space="preserve"> w dniu 21 czerwca 2010 r. Funkcjonariusze zajęli i usunęli serwer skarżącego z lokalu. Skarżący nie był obecny </w:t>
      </w:r>
      <w:r w:rsidR="007171E8">
        <w:t>na miejscu</w:t>
      </w:r>
      <w:r w:rsidR="00D37470">
        <w:t>, a osoba, która była obecna i zasadniczo korzystała z</w:t>
      </w:r>
      <w:r w:rsidR="007171E8">
        <w:t> </w:t>
      </w:r>
      <w:r w:rsidR="00D37470">
        <w:t xml:space="preserve">lokalu, wyjaśniła, że na serwerze </w:t>
      </w:r>
      <w:r w:rsidR="002220D0">
        <w:t>skarżącego</w:t>
      </w:r>
      <w:r w:rsidR="00D37470">
        <w:t xml:space="preserve"> </w:t>
      </w:r>
      <w:r w:rsidR="007171E8">
        <w:t xml:space="preserve">hostowana </w:t>
      </w:r>
      <w:r w:rsidR="00BA3FCF">
        <w:t>jest</w:t>
      </w:r>
      <w:r w:rsidR="007171E8">
        <w:t xml:space="preserve"> </w:t>
      </w:r>
      <w:r w:rsidR="00D37470">
        <w:t xml:space="preserve">głównie jego strona </w:t>
      </w:r>
      <w:r w:rsidR="00A65175">
        <w:t>o</w:t>
      </w:r>
      <w:r w:rsidR="00D37470">
        <w:t xml:space="preserve"> anime.</w:t>
      </w:r>
    </w:p>
    <w:p w14:paraId="43EC1C93" w14:textId="0A4851FE" w:rsidR="00D37470" w:rsidRPr="009C15B1" w:rsidRDefault="003A2562" w:rsidP="009C15B1">
      <w:pPr>
        <w:pStyle w:val="JuPara"/>
      </w:pPr>
      <w:r>
        <w:fldChar w:fldCharType="begin"/>
      </w:r>
      <w:r>
        <w:instrText xml:space="preserve"> SEQ level0 \*arabic </w:instrText>
      </w:r>
      <w:r>
        <w:fldChar w:fldCharType="separate"/>
      </w:r>
      <w:r w:rsidR="001D28C9">
        <w:rPr>
          <w:noProof/>
        </w:rPr>
        <w:t>7</w:t>
      </w:r>
      <w:r>
        <w:rPr>
          <w:noProof/>
        </w:rPr>
        <w:fldChar w:fldCharType="end"/>
      </w:r>
      <w:r w:rsidR="00D37470">
        <w:t>.  Skarżącemu nie przekazano kopii wydanego w sprawie nakazu przeszukania ani protokołu przeszukania i zajęcia. W dniu 23 czerwca 2010</w:t>
      </w:r>
      <w:r w:rsidR="00E206DD">
        <w:t> </w:t>
      </w:r>
      <w:r w:rsidR="00D37470">
        <w:t>r. skarżący został przesłuchany przez policję.</w:t>
      </w:r>
    </w:p>
    <w:p w14:paraId="5411181B" w14:textId="168DEF5F" w:rsidR="00D37470" w:rsidRPr="009C15B1" w:rsidRDefault="003A2562" w:rsidP="009C15B1">
      <w:pPr>
        <w:pStyle w:val="JuPara"/>
      </w:pPr>
      <w:r>
        <w:fldChar w:fldCharType="begin"/>
      </w:r>
      <w:r>
        <w:instrText xml:space="preserve"> SEQ level0 \*arab</w:instrText>
      </w:r>
      <w:r>
        <w:instrText xml:space="preserve">ic </w:instrText>
      </w:r>
      <w:r>
        <w:fldChar w:fldCharType="separate"/>
      </w:r>
      <w:r w:rsidR="001D28C9">
        <w:rPr>
          <w:noProof/>
        </w:rPr>
        <w:t>8</w:t>
      </w:r>
      <w:r>
        <w:rPr>
          <w:noProof/>
        </w:rPr>
        <w:fldChar w:fldCharType="end"/>
      </w:r>
      <w:r w:rsidR="00D37470">
        <w:t>.  W dniu 23 lipca 2010 r. skarżący złożył w prokuraturze rejonowej w</w:t>
      </w:r>
      <w:r w:rsidR="007171E8">
        <w:t> </w:t>
      </w:r>
      <w:r w:rsidR="00D37470">
        <w:t xml:space="preserve">Sofii wniosek o zwrot serwera na podstawie art. 111 </w:t>
      </w:r>
      <w:r w:rsidR="00C23A86">
        <w:t>K</w:t>
      </w:r>
      <w:r w:rsidR="00D37470">
        <w:t xml:space="preserve">odeksu postępowania karnego (zob. paragraf 20 poniżej). Wskazał, że informacje niezbędne na potrzeby dochodzenia w sprawie karnej dotyczącej osób trzecich można skopiować, a serwer zwrócić, i wyjaśnił, że na serwerze hostowane są także inne strony internetowe, w tym jego własna. </w:t>
      </w:r>
      <w:r w:rsidR="00C23A86">
        <w:t>Z powodu zajęcia s</w:t>
      </w:r>
      <w:r w:rsidR="00D37470">
        <w:t>trona ta</w:t>
      </w:r>
      <w:r w:rsidR="002D3CDE">
        <w:t> </w:t>
      </w:r>
      <w:r w:rsidR="00D37470">
        <w:t xml:space="preserve">przestała działać, a niektórych oferowanych </w:t>
      </w:r>
      <w:r w:rsidR="00C23A86">
        <w:t xml:space="preserve">tam </w:t>
      </w:r>
      <w:r w:rsidR="00D37470">
        <w:t xml:space="preserve">usług, takich jak usługa czatu, nie można było przywrócić bez danych zawartych na serwerze. Skarżący uznał, że zamknięcie strony </w:t>
      </w:r>
      <w:r w:rsidR="002D3CDE">
        <w:t>„</w:t>
      </w:r>
      <w:r w:rsidR="00D37470">
        <w:t>skompromitowało</w:t>
      </w:r>
      <w:r w:rsidR="002D3CDE">
        <w:t>”</w:t>
      </w:r>
      <w:r w:rsidR="00D37470">
        <w:t xml:space="preserve"> go</w:t>
      </w:r>
      <w:r w:rsidR="002D3CDE">
        <w:t> </w:t>
      </w:r>
      <w:r w:rsidR="00D37470">
        <w:t>w oczach użytkowników i współpracowników. Wskazał również, że</w:t>
      </w:r>
      <w:r w:rsidR="002D3CDE">
        <w:t> </w:t>
      </w:r>
      <w:r w:rsidR="00B93929">
        <w:t xml:space="preserve">włożył w stronę </w:t>
      </w:r>
      <w:r w:rsidR="00C23A86">
        <w:t>dużo własnego wysiłku</w:t>
      </w:r>
      <w:r w:rsidR="00D37470">
        <w:t xml:space="preserve"> i środków finansowych. Stwierdził, że wcześniej stronę odwiedzało od 500 do 600 użytkowników dziennie.</w:t>
      </w:r>
    </w:p>
    <w:p w14:paraId="2ED6A272" w14:textId="08A8AA2F" w:rsidR="00D37470" w:rsidRPr="009C15B1" w:rsidRDefault="003A2562" w:rsidP="009C15B1">
      <w:pPr>
        <w:pStyle w:val="JuPara"/>
      </w:pPr>
      <w:r>
        <w:fldChar w:fldCharType="begin"/>
      </w:r>
      <w:r>
        <w:instrText xml:space="preserve"> SEQ level0 \*arabic </w:instrText>
      </w:r>
      <w:r>
        <w:fldChar w:fldCharType="separate"/>
      </w:r>
      <w:r w:rsidR="001D28C9">
        <w:rPr>
          <w:noProof/>
        </w:rPr>
        <w:t>9</w:t>
      </w:r>
      <w:r>
        <w:rPr>
          <w:noProof/>
        </w:rPr>
        <w:fldChar w:fldCharType="end"/>
      </w:r>
      <w:r w:rsidR="00D37470">
        <w:t xml:space="preserve">.  W dniu 10 sierpnia 2010 r. skarżący złożył w prokuraturze rejonowej w Sofii kolejny wniosek o zwrot </w:t>
      </w:r>
      <w:r w:rsidR="002D3CDE">
        <w:t xml:space="preserve">własności, w którym dodał, że </w:t>
      </w:r>
      <w:r w:rsidR="00D37470">
        <w:t xml:space="preserve">na serwerze przechowywana </w:t>
      </w:r>
      <w:r w:rsidR="005C45DE">
        <w:t>jest</w:t>
      </w:r>
      <w:r w:rsidR="00D37470">
        <w:t xml:space="preserve"> </w:t>
      </w:r>
      <w:r w:rsidR="00942D56">
        <w:t xml:space="preserve">osobista </w:t>
      </w:r>
      <w:r w:rsidR="00D37470">
        <w:t xml:space="preserve">korespondencja użytkowników jego strony internetowej i że zajęcie </w:t>
      </w:r>
      <w:r w:rsidR="00942D56">
        <w:t>tej korespondencji</w:t>
      </w:r>
      <w:r w:rsidR="00D37470">
        <w:t xml:space="preserve"> nie powinno było być dozwolone. Na serwerze znajdowały się </w:t>
      </w:r>
      <w:r w:rsidR="002D3CDE">
        <w:t>także</w:t>
      </w:r>
      <w:r w:rsidR="00D37470">
        <w:t xml:space="preserve"> „przedmioty prawa autorskiego”. Skarżący stwierdził, że w wyniku niedostępności jego strony doznał „znacznej szkody”, w tym o</w:t>
      </w:r>
      <w:r w:rsidR="002D3CDE">
        <w:t> </w:t>
      </w:r>
      <w:r w:rsidR="00D37470">
        <w:t>charakterze finansowym. Uznał za niesprawiedliwy fakt, że musiał ponieść tak „surowe konsekwencje</w:t>
      </w:r>
      <w:r w:rsidR="00201AC1">
        <w:t>”</w:t>
      </w:r>
      <w:r w:rsidR="00D37470">
        <w:t xml:space="preserve">, zważywszy że w odniesieniu do jego własnej strony </w:t>
      </w:r>
      <w:r w:rsidR="00201AC1">
        <w:t xml:space="preserve">internetowej </w:t>
      </w:r>
      <w:r w:rsidR="00D37470">
        <w:t>nie stawiano zarzutów.</w:t>
      </w:r>
    </w:p>
    <w:p w14:paraId="7B22B2B2" w14:textId="5E24C469" w:rsidR="00D37470" w:rsidRPr="009C15B1" w:rsidRDefault="003A2562" w:rsidP="009C15B1">
      <w:pPr>
        <w:pStyle w:val="JuPara"/>
      </w:pPr>
      <w:r>
        <w:fldChar w:fldCharType="begin"/>
      </w:r>
      <w:r>
        <w:instrText xml:space="preserve"> SEQ level0 \*arabic </w:instrText>
      </w:r>
      <w:r>
        <w:fldChar w:fldCharType="separate"/>
      </w:r>
      <w:r w:rsidR="001D28C9">
        <w:rPr>
          <w:noProof/>
        </w:rPr>
        <w:t>10</w:t>
      </w:r>
      <w:r>
        <w:rPr>
          <w:noProof/>
        </w:rPr>
        <w:fldChar w:fldCharType="end"/>
      </w:r>
      <w:r w:rsidR="00D37470">
        <w:t>.  W dniu 16 października 2010 r. skarżący zwrócił się z pismem do</w:t>
      </w:r>
      <w:r w:rsidR="00201AC1">
        <w:t> </w:t>
      </w:r>
      <w:r w:rsidR="00D37470">
        <w:t xml:space="preserve">Prokuratury Generalnej. </w:t>
      </w:r>
      <w:r w:rsidR="00CA2AE1">
        <w:t>Złożył skargę na zajęcie</w:t>
      </w:r>
      <w:r w:rsidR="00201AC1">
        <w:t xml:space="preserve"> serwera</w:t>
      </w:r>
      <w:r w:rsidR="00CA2AE1">
        <w:t>, które uznał za</w:t>
      </w:r>
      <w:r w:rsidR="00201AC1">
        <w:t xml:space="preserve"> </w:t>
      </w:r>
      <w:r w:rsidR="00D37470">
        <w:t xml:space="preserve"> bezprawne</w:t>
      </w:r>
      <w:r w:rsidR="00201AC1">
        <w:t>,</w:t>
      </w:r>
      <w:r w:rsidR="00D37470">
        <w:t xml:space="preserve"> i</w:t>
      </w:r>
      <w:r w:rsidR="00201AC1">
        <w:t> </w:t>
      </w:r>
      <w:r w:rsidR="00D37470">
        <w:t xml:space="preserve">wskazał, że serwer nie został mu zwrócony, mimo że nie był badany przez biegłych (patrz poniżej). </w:t>
      </w:r>
      <w:r w:rsidR="00201AC1">
        <w:t>Skarżący</w:t>
      </w:r>
      <w:r w:rsidR="00CA2AE1">
        <w:t xml:space="preserve"> ponownie wskazał</w:t>
      </w:r>
      <w:r w:rsidR="00D37470">
        <w:t xml:space="preserve">, że na serwerze hostowane </w:t>
      </w:r>
      <w:r w:rsidR="00134544">
        <w:t>są</w:t>
      </w:r>
      <w:r w:rsidR="00D37470">
        <w:t xml:space="preserve"> inne strony</w:t>
      </w:r>
      <w:r w:rsidR="00201AC1">
        <w:t xml:space="preserve"> internetowe</w:t>
      </w:r>
      <w:r w:rsidR="00D37470">
        <w:t xml:space="preserve">, </w:t>
      </w:r>
      <w:r w:rsidR="00CA2AE1">
        <w:t>w tym</w:t>
      </w:r>
      <w:r w:rsidR="00D37470">
        <w:t xml:space="preserve"> jego własna, a także </w:t>
      </w:r>
      <w:r w:rsidR="00CA2AE1">
        <w:t>przechowywana</w:t>
      </w:r>
      <w:r w:rsidR="00134544">
        <w:t xml:space="preserve"> jest</w:t>
      </w:r>
      <w:r w:rsidR="00CA2AE1">
        <w:t xml:space="preserve"> </w:t>
      </w:r>
      <w:r w:rsidR="00D37470">
        <w:t xml:space="preserve">korespondencja użytkowników </w:t>
      </w:r>
      <w:r w:rsidR="00201AC1">
        <w:t>jego</w:t>
      </w:r>
      <w:r w:rsidR="00D37470">
        <w:t xml:space="preserve"> strony. Stwierdził, </w:t>
      </w:r>
      <w:r w:rsidR="00D37470">
        <w:lastRenderedPageBreak/>
        <w:t xml:space="preserve">że poniósł znaczne straty, </w:t>
      </w:r>
      <w:r w:rsidR="00902160">
        <w:t>także</w:t>
      </w:r>
      <w:r w:rsidR="00D37470">
        <w:t xml:space="preserve"> w</w:t>
      </w:r>
      <w:r w:rsidR="00201AC1">
        <w:t> </w:t>
      </w:r>
      <w:r w:rsidR="00D37470">
        <w:t xml:space="preserve">wyniku zatrzymania oprogramowania, które opracowywał. W dniu 27 października 2010 r. stwierdził dodatkowo, że na serwerze znajdują się „przedmioty praw autorskich” </w:t>
      </w:r>
      <w:r w:rsidR="00201AC1">
        <w:t>należące do niego</w:t>
      </w:r>
      <w:r w:rsidR="00D37470">
        <w:t xml:space="preserve"> i</w:t>
      </w:r>
      <w:r w:rsidR="005C45DE">
        <w:t> </w:t>
      </w:r>
      <w:r w:rsidR="00D37470">
        <w:t>innych osób. W kolejnym piśmie</w:t>
      </w:r>
      <w:r w:rsidR="005C45DE">
        <w:t>,</w:t>
      </w:r>
      <w:r w:rsidR="00D37470">
        <w:t xml:space="preserve"> z dnia 18 stycznia 2011 r</w:t>
      </w:r>
      <w:r w:rsidR="00201AC1">
        <w:t>.</w:t>
      </w:r>
      <w:r w:rsidR="00D37470">
        <w:t>, skierowanym do Prokuratury Generalnej, skarżący wskazał, bez dalszych wyjaśnień, że władze w swoich działaniach naruszyły jego prawo do życia prywatnego i</w:t>
      </w:r>
      <w:r w:rsidR="00AC1E51">
        <w:t> </w:t>
      </w:r>
      <w:r w:rsidR="00D37470">
        <w:t>korespondencji zagwarantowane w art. 8 Konwencji.</w:t>
      </w:r>
    </w:p>
    <w:p w14:paraId="7D2E5B35" w14:textId="61336C11" w:rsidR="00D37470" w:rsidRPr="009C15B1" w:rsidRDefault="003A2562" w:rsidP="009C15B1">
      <w:pPr>
        <w:pStyle w:val="JuPara"/>
      </w:pPr>
      <w:r>
        <w:fldChar w:fldCharType="begin"/>
      </w:r>
      <w:r>
        <w:instrText xml:space="preserve"> SEQ </w:instrText>
      </w:r>
      <w:r>
        <w:instrText xml:space="preserve">level0 \*arabic </w:instrText>
      </w:r>
      <w:r>
        <w:fldChar w:fldCharType="separate"/>
      </w:r>
      <w:r w:rsidR="001D28C9">
        <w:rPr>
          <w:noProof/>
        </w:rPr>
        <w:t>11</w:t>
      </w:r>
      <w:r>
        <w:rPr>
          <w:noProof/>
        </w:rPr>
        <w:fldChar w:fldCharType="end"/>
      </w:r>
      <w:r w:rsidR="00D37470">
        <w:t>.  Tymczasem w dniu 29 czerwca 2010 r. śledcza z policji zlecił</w:t>
      </w:r>
      <w:r w:rsidR="00201AC1">
        <w:t>a</w:t>
      </w:r>
      <w:r w:rsidR="00D37470">
        <w:t xml:space="preserve"> sporządzenie sprawozdania biegłego, tak aby ustalić, czy na serwerze skarżącego znajdowała się strona będąca przedmiotem </w:t>
      </w:r>
      <w:r w:rsidR="00201AC1">
        <w:t>dochodzeni</w:t>
      </w:r>
      <w:r w:rsidR="00D37470">
        <w:t>a. Stwierdziła, że w przypadku znalezienia istotnych informacji, biegły winien skopiować je na nośnik pamięci.</w:t>
      </w:r>
    </w:p>
    <w:p w14:paraId="766E0CE4" w14:textId="7FA34A70" w:rsidR="00D37470" w:rsidRPr="009C15B1" w:rsidRDefault="003A2562" w:rsidP="009C15B1">
      <w:pPr>
        <w:pStyle w:val="JuPara"/>
      </w:pPr>
      <w:r>
        <w:fldChar w:fldCharType="begin"/>
      </w:r>
      <w:r>
        <w:instrText xml:space="preserve"> SEQ level0 \*arabic </w:instrText>
      </w:r>
      <w:r>
        <w:fldChar w:fldCharType="separate"/>
      </w:r>
      <w:r w:rsidR="001D28C9">
        <w:rPr>
          <w:noProof/>
        </w:rPr>
        <w:t>12</w:t>
      </w:r>
      <w:r>
        <w:rPr>
          <w:noProof/>
        </w:rPr>
        <w:fldChar w:fldCharType="end"/>
      </w:r>
      <w:r w:rsidR="00D37470">
        <w:t xml:space="preserve">.  Ponieważ jednak okazało się, że postępowanie karne w odniesieniu do tych samych </w:t>
      </w:r>
      <w:r w:rsidR="00201AC1">
        <w:t xml:space="preserve">faktów wszczęły już </w:t>
      </w:r>
      <w:r w:rsidR="00D37470">
        <w:t>organy ścigania w innym mieście, Trojan, badanie biegłego nie zostało przeprowadzone i w dniu 6 sierpnia 2010 r. postępowanie w Sofii zostało umorzone. W postanowieniu o</w:t>
      </w:r>
      <w:r w:rsidR="00201AC1">
        <w:t> </w:t>
      </w:r>
      <w:r w:rsidR="00D37470">
        <w:t xml:space="preserve">umorzeniu stwierdzono, że prokuratura rejonowa w Trojan miała zostać poinformowana o tym, że istotne dla sprawy </w:t>
      </w:r>
      <w:r w:rsidR="006F34EA">
        <w:t xml:space="preserve">dowody rzeczowe </w:t>
      </w:r>
      <w:r w:rsidR="00D37470">
        <w:t>są przechowywane w Sofii.</w:t>
      </w:r>
    </w:p>
    <w:p w14:paraId="76F184C8" w14:textId="5ADB4655" w:rsidR="00D37470" w:rsidRPr="009C15B1" w:rsidRDefault="003A2562" w:rsidP="009C15B1">
      <w:pPr>
        <w:pStyle w:val="JuPara"/>
      </w:pPr>
      <w:r>
        <w:fldChar w:fldCharType="begin"/>
      </w:r>
      <w:r>
        <w:instrText xml:space="preserve"> SEQ level0 \*arabic </w:instrText>
      </w:r>
      <w:r>
        <w:fldChar w:fldCharType="separate"/>
      </w:r>
      <w:r w:rsidR="001D28C9">
        <w:rPr>
          <w:noProof/>
        </w:rPr>
        <w:t>13</w:t>
      </w:r>
      <w:r>
        <w:rPr>
          <w:noProof/>
        </w:rPr>
        <w:fldChar w:fldCharType="end"/>
      </w:r>
      <w:r w:rsidR="00D37470">
        <w:t>.  Po tym</w:t>
      </w:r>
      <w:r w:rsidR="0032142F">
        <w:t>,</w:t>
      </w:r>
      <w:r w:rsidR="00D37470">
        <w:t xml:space="preserve"> jak skarżący </w:t>
      </w:r>
      <w:r w:rsidR="004917F2">
        <w:t>zwrócił się</w:t>
      </w:r>
      <w:r w:rsidR="00D37470">
        <w:t xml:space="preserve"> do Prokuratury Generalnej w</w:t>
      </w:r>
      <w:r w:rsidR="00AC0534">
        <w:t> </w:t>
      </w:r>
      <w:r w:rsidR="00D37470">
        <w:t>październiku 2010 r</w:t>
      </w:r>
      <w:r w:rsidR="00E22AB5">
        <w:t>.</w:t>
      </w:r>
      <w:r w:rsidR="00D37470">
        <w:t xml:space="preserve"> (</w:t>
      </w:r>
      <w:r w:rsidR="006C2653">
        <w:t>zob.</w:t>
      </w:r>
      <w:r w:rsidR="00D37470">
        <w:t xml:space="preserve"> paragraf 10 powyżej), organ ten złożył zapytania. W dniu 2 listopada 2010 r. prokuratura rejonowa w Sofii poinformowała Prokuraturę Generalną o umorzeniu postępowania, które zostało wszczęte w Sofii, oraz o przekazaniu dowodów rzeczowych do</w:t>
      </w:r>
      <w:r w:rsidR="00E22AB5">
        <w:t> </w:t>
      </w:r>
      <w:r w:rsidR="00D37470">
        <w:t>dyspozycji prokuratury rejonowej w Trojan. Prokuratura w Trojan w</w:t>
      </w:r>
      <w:r w:rsidR="00E22AB5">
        <w:t> </w:t>
      </w:r>
      <w:r w:rsidR="00D37470">
        <w:t>piśmie z dnia 14 stycznia 2011 r. stwierdziła, że nie posiada informacji na</w:t>
      </w:r>
      <w:r w:rsidR="00E22AB5">
        <w:t> </w:t>
      </w:r>
      <w:r w:rsidR="00D37470">
        <w:t>temat miejsca przechowywania przedmiotowych dowodów.</w:t>
      </w:r>
    </w:p>
    <w:p w14:paraId="2A7FD389" w14:textId="63ABE7DD" w:rsidR="00D37470" w:rsidRPr="009C15B1" w:rsidRDefault="003A2562" w:rsidP="009C15B1">
      <w:pPr>
        <w:pStyle w:val="JuPara"/>
      </w:pPr>
      <w:r>
        <w:fldChar w:fldCharType="begin"/>
      </w:r>
      <w:r>
        <w:instrText xml:space="preserve"> SEQ level0 \*arabic </w:instrText>
      </w:r>
      <w:r>
        <w:fldChar w:fldCharType="separate"/>
      </w:r>
      <w:r w:rsidR="001D28C9">
        <w:rPr>
          <w:noProof/>
        </w:rPr>
        <w:t>14</w:t>
      </w:r>
      <w:r>
        <w:rPr>
          <w:noProof/>
        </w:rPr>
        <w:fldChar w:fldCharType="end"/>
      </w:r>
      <w:r w:rsidR="00D37470">
        <w:t xml:space="preserve">.  W piśmie z dnia 10 stycznia 2011 r. Prokuratura Generalna zwróciła się do obu </w:t>
      </w:r>
      <w:r w:rsidR="00E22AB5">
        <w:t>organów</w:t>
      </w:r>
      <w:r w:rsidR="00D37470">
        <w:t xml:space="preserve"> rejonowych o ustalenie miejsca przechowywania dowodów rzeczowych i, jeśli nie są one niezbędne dla </w:t>
      </w:r>
      <w:r w:rsidR="005141A0">
        <w:t>dochodzeni</w:t>
      </w:r>
      <w:r w:rsidR="00D37470">
        <w:t>a, o ich wydanie.</w:t>
      </w:r>
    </w:p>
    <w:p w14:paraId="04E2F162" w14:textId="300D60FB" w:rsidR="00D37470" w:rsidRPr="009C15B1" w:rsidRDefault="003A2562" w:rsidP="009C15B1">
      <w:pPr>
        <w:pStyle w:val="JuPara"/>
      </w:pPr>
      <w:r>
        <w:fldChar w:fldCharType="begin"/>
      </w:r>
      <w:r>
        <w:instrText xml:space="preserve"> SEQ level0 \*arabic </w:instrText>
      </w:r>
      <w:r>
        <w:fldChar w:fldCharType="separate"/>
      </w:r>
      <w:r w:rsidR="001D28C9">
        <w:rPr>
          <w:noProof/>
        </w:rPr>
        <w:t>15</w:t>
      </w:r>
      <w:r>
        <w:rPr>
          <w:noProof/>
        </w:rPr>
        <w:fldChar w:fldCharType="end"/>
      </w:r>
      <w:r w:rsidR="00D37470">
        <w:t xml:space="preserve">.  Materiał dowodowy wydano w wyniku postanowienia prokuratury </w:t>
      </w:r>
      <w:r w:rsidR="004C6BEA">
        <w:t>rejonowej</w:t>
      </w:r>
      <w:r w:rsidR="00D37470">
        <w:t xml:space="preserve"> w Sofii z dnia 2 lutego 2011 r.</w:t>
      </w:r>
    </w:p>
    <w:p w14:paraId="11530270" w14:textId="312BB85B" w:rsidR="00D37470" w:rsidRPr="009C15B1" w:rsidRDefault="003A2562" w:rsidP="009C15B1">
      <w:pPr>
        <w:pStyle w:val="JuPara"/>
      </w:pPr>
      <w:r>
        <w:fldChar w:fldCharType="begin"/>
      </w:r>
      <w:r>
        <w:instrText xml:space="preserve"> SEQ level0 \*arabic </w:instrText>
      </w:r>
      <w:r>
        <w:fldChar w:fldCharType="separate"/>
      </w:r>
      <w:r w:rsidR="001D28C9">
        <w:rPr>
          <w:noProof/>
        </w:rPr>
        <w:t>16</w:t>
      </w:r>
      <w:r>
        <w:rPr>
          <w:noProof/>
        </w:rPr>
        <w:fldChar w:fldCharType="end"/>
      </w:r>
      <w:r w:rsidR="00D37470">
        <w:t xml:space="preserve">.  Serwer </w:t>
      </w:r>
      <w:r w:rsidR="001D28C9">
        <w:t xml:space="preserve">zwrócono </w:t>
      </w:r>
      <w:r w:rsidR="00D37470">
        <w:t>skarżącemu w dniu 8 lutego 2011</w:t>
      </w:r>
      <w:r w:rsidR="001D28C9">
        <w:t> </w:t>
      </w:r>
      <w:r w:rsidR="00D37470">
        <w:t>r.</w:t>
      </w:r>
    </w:p>
    <w:p w14:paraId="38914141" w14:textId="0D30C3EB" w:rsidR="00D37470" w:rsidRPr="009C15B1" w:rsidRDefault="003A2562" w:rsidP="009C15B1">
      <w:pPr>
        <w:pStyle w:val="JuPara"/>
      </w:pPr>
      <w:r>
        <w:fldChar w:fldCharType="begin"/>
      </w:r>
      <w:r>
        <w:instrText xml:space="preserve"> SEQ level0 \*arabic </w:instrText>
      </w:r>
      <w:r>
        <w:fldChar w:fldCharType="separate"/>
      </w:r>
      <w:r w:rsidR="001D28C9">
        <w:rPr>
          <w:noProof/>
        </w:rPr>
        <w:t>17</w:t>
      </w:r>
      <w:r>
        <w:rPr>
          <w:noProof/>
        </w:rPr>
        <w:fldChar w:fldCharType="end"/>
      </w:r>
      <w:r w:rsidR="00D37470">
        <w:t>.  </w:t>
      </w:r>
      <w:r w:rsidR="00E22AB5">
        <w:t>S</w:t>
      </w:r>
      <w:r w:rsidR="00D37470">
        <w:t>trona internetowa</w:t>
      </w:r>
      <w:r w:rsidR="00E22AB5">
        <w:t xml:space="preserve"> skarżącego</w:t>
      </w:r>
      <w:r w:rsidR="00D37470">
        <w:t xml:space="preserve">, która </w:t>
      </w:r>
      <w:r w:rsidR="00E22AB5">
        <w:t>wówczas</w:t>
      </w:r>
      <w:r w:rsidR="00D37470">
        <w:t xml:space="preserve"> funkcjonowała od</w:t>
      </w:r>
      <w:r w:rsidR="00E22AB5">
        <w:t> </w:t>
      </w:r>
      <w:r w:rsidR="00D37470">
        <w:t xml:space="preserve">ponad czterech lat, przestała działać po zajęciu jego serwera w dniu 21 czerwca 2010 r. W dniu 23 czerwca 2010 r., korzystając z innego serwera, skarżącemu udało się umieścić na stronie oświadczenie wzywające organy ścigania do naprawienia popełnionego przez nie </w:t>
      </w:r>
      <w:r w:rsidR="00E22AB5">
        <w:t>„</w:t>
      </w:r>
      <w:r w:rsidR="00D37470">
        <w:t>błędu</w:t>
      </w:r>
      <w:r w:rsidR="00E22AB5">
        <w:t>”</w:t>
      </w:r>
      <w:r w:rsidR="00D37470">
        <w:t>. W dniu 27 lipca 2010 r.</w:t>
      </w:r>
      <w:r w:rsidR="00E22AB5">
        <w:t xml:space="preserve"> skarżący</w:t>
      </w:r>
      <w:r w:rsidR="00D37470">
        <w:t>, ponownie korzystając z innego serwera, który określił jako serwer o „bardzo ograniczon</w:t>
      </w:r>
      <w:r w:rsidR="00E22AB5">
        <w:t>ej</w:t>
      </w:r>
      <w:r w:rsidR="00D37470">
        <w:t xml:space="preserve"> pojemności</w:t>
      </w:r>
      <w:r w:rsidR="00E22AB5">
        <w:t>”</w:t>
      </w:r>
      <w:r w:rsidR="00D37470">
        <w:t xml:space="preserve">, uruchomił wersję „minimalną” strony, głównie w celu wyjaśnienia zdarzeń </w:t>
      </w:r>
      <w:r w:rsidR="002220D0">
        <w:t xml:space="preserve">jej </w:t>
      </w:r>
      <w:r w:rsidR="00D37470">
        <w:t>użytkownikom. Wersja ta została stworzona na podstawie „części starych archiwów” i</w:t>
      </w:r>
      <w:r w:rsidR="002220D0">
        <w:t> </w:t>
      </w:r>
      <w:r w:rsidR="00D37470">
        <w:t>według skarżącego charakteryzowała się „mocno ograniczoną i skrajnie niewystarczającą</w:t>
      </w:r>
      <w:r w:rsidR="002220D0">
        <w:t>”</w:t>
      </w:r>
      <w:r w:rsidR="00D37470">
        <w:t xml:space="preserve"> funkcjonalnością</w:t>
      </w:r>
      <w:r w:rsidR="00A445DA">
        <w:t>:</w:t>
      </w:r>
      <w:r w:rsidR="00D37470">
        <w:t xml:space="preserve"> w szczególności forum, usługa czatu </w:t>
      </w:r>
      <w:r w:rsidR="00D37470">
        <w:lastRenderedPageBreak/>
        <w:t>i</w:t>
      </w:r>
      <w:r w:rsidR="002220D0">
        <w:t> </w:t>
      </w:r>
      <w:r w:rsidR="00D37470">
        <w:t xml:space="preserve">usługa hostingu zdjęć były całkowicie niedostępne. Pełną funkcjonalność strony przywrócono </w:t>
      </w:r>
      <w:r w:rsidR="00201AC1">
        <w:t>dopiero</w:t>
      </w:r>
      <w:r w:rsidR="00D37470">
        <w:t xml:space="preserve"> po zwróceniu serwera </w:t>
      </w:r>
      <w:r w:rsidR="002220D0">
        <w:t>skarżącemu</w:t>
      </w:r>
      <w:r w:rsidR="00D37470">
        <w:t xml:space="preserve">. Jego zdaniem jednak, strona </w:t>
      </w:r>
      <w:r w:rsidR="00A445DA">
        <w:t xml:space="preserve">już </w:t>
      </w:r>
      <w:r w:rsidR="00D37470">
        <w:t>nigdy nie osiągnęła dawnego poziomu popularności. Obecnie strona jest aktywna, ale „rzadko odwiedzana”. Po tymczasowej niedostępności usługa czatu nie jest już używana.</w:t>
      </w:r>
    </w:p>
    <w:p w14:paraId="378127CA" w14:textId="77777777" w:rsidR="00D37470" w:rsidRPr="009C15B1" w:rsidRDefault="00D37470" w:rsidP="009C15B1">
      <w:pPr>
        <w:pStyle w:val="JuHHead"/>
      </w:pPr>
      <w:r>
        <w:t>WŁAŚCIWE RAMY PRAWNE I PRAKTYKA</w:t>
      </w:r>
    </w:p>
    <w:p w14:paraId="70E04DAA" w14:textId="22D8CBBD" w:rsidR="00D37470" w:rsidRPr="009C15B1" w:rsidRDefault="00D37470" w:rsidP="009C15B1">
      <w:pPr>
        <w:pStyle w:val="JuHA"/>
      </w:pPr>
      <w:r>
        <w:t xml:space="preserve">Kodeks karny i </w:t>
      </w:r>
      <w:r w:rsidR="00861339">
        <w:t>K</w:t>
      </w:r>
      <w:r>
        <w:t>odeks postępowania karnego</w:t>
      </w:r>
    </w:p>
    <w:p w14:paraId="6810786E" w14:textId="720CE26E" w:rsidR="00D37470" w:rsidRPr="009C15B1" w:rsidRDefault="003A2562" w:rsidP="009C15B1">
      <w:pPr>
        <w:pStyle w:val="JuPara"/>
      </w:pPr>
      <w:r>
        <w:fldChar w:fldCharType="begin"/>
      </w:r>
      <w:r>
        <w:instrText xml:space="preserve"> SEQ level0 \*arabic </w:instrText>
      </w:r>
      <w:r>
        <w:fldChar w:fldCharType="separate"/>
      </w:r>
      <w:r w:rsidR="001D28C9">
        <w:rPr>
          <w:noProof/>
        </w:rPr>
        <w:t>18</w:t>
      </w:r>
      <w:r>
        <w:rPr>
          <w:noProof/>
        </w:rPr>
        <w:fldChar w:fldCharType="end"/>
      </w:r>
      <w:r w:rsidR="00D37470">
        <w:t xml:space="preserve">.  Zgodnie z art. 172a </w:t>
      </w:r>
      <w:r w:rsidR="00861339">
        <w:t>K</w:t>
      </w:r>
      <w:r w:rsidR="00D37470">
        <w:t xml:space="preserve">odeksu karnego nieuprawnione </w:t>
      </w:r>
      <w:r w:rsidR="00BC0E7A">
        <w:t xml:space="preserve">powielanie </w:t>
      </w:r>
      <w:r w:rsidR="00D37470">
        <w:t>i</w:t>
      </w:r>
      <w:r w:rsidR="00BC0E7A">
        <w:t> </w:t>
      </w:r>
      <w:r w:rsidR="00D37470">
        <w:t>rozpowszechnianie przedmiotu prawa autorskiego zagrożone jest karą do</w:t>
      </w:r>
      <w:r w:rsidR="002220D0">
        <w:t> </w:t>
      </w:r>
      <w:r w:rsidR="00D37470">
        <w:t xml:space="preserve">pięciu lat pozbawienia wolności i </w:t>
      </w:r>
      <w:r w:rsidR="002220D0">
        <w:t>karą grzywny</w:t>
      </w:r>
      <w:r w:rsidR="00D37470">
        <w:t>.</w:t>
      </w:r>
    </w:p>
    <w:p w14:paraId="5AE8EF99" w14:textId="010EE7AF" w:rsidR="00D37470" w:rsidRPr="009C15B1" w:rsidRDefault="003A2562" w:rsidP="009C15B1">
      <w:pPr>
        <w:pStyle w:val="JuPara"/>
      </w:pPr>
      <w:r>
        <w:fldChar w:fldCharType="begin"/>
      </w:r>
      <w:r>
        <w:instrText xml:space="preserve"> SEQ level0 \*arabic </w:instrText>
      </w:r>
      <w:r>
        <w:fldChar w:fldCharType="separate"/>
      </w:r>
      <w:r w:rsidR="001D28C9">
        <w:rPr>
          <w:noProof/>
        </w:rPr>
        <w:t>19</w:t>
      </w:r>
      <w:r>
        <w:rPr>
          <w:noProof/>
        </w:rPr>
        <w:fldChar w:fldCharType="end"/>
      </w:r>
      <w:r w:rsidR="00D37470">
        <w:t xml:space="preserve">.  Odpowiednie przepisy </w:t>
      </w:r>
      <w:r w:rsidR="0076755F">
        <w:t>K</w:t>
      </w:r>
      <w:r w:rsidR="00D37470">
        <w:t>odeksu postępowania karnego dotyczące przeszuk</w:t>
      </w:r>
      <w:r w:rsidR="002220D0">
        <w:t>a</w:t>
      </w:r>
      <w:r w:rsidR="00D37470">
        <w:t xml:space="preserve">nia i zajęcia w kontekście postępowania karnego </w:t>
      </w:r>
      <w:r w:rsidR="0076755F">
        <w:t xml:space="preserve">podsumowano </w:t>
      </w:r>
      <w:r w:rsidR="00D37470">
        <w:t xml:space="preserve">w sprawie </w:t>
      </w:r>
      <w:r w:rsidR="00D37470">
        <w:rPr>
          <w:i/>
        </w:rPr>
        <w:t>Posevini przeciwko Bułgarii</w:t>
      </w:r>
      <w:r w:rsidR="00D37470">
        <w:t xml:space="preserve"> (</w:t>
      </w:r>
      <w:r w:rsidR="002220D0">
        <w:t xml:space="preserve">skarga </w:t>
      </w:r>
      <w:r w:rsidR="00D37470">
        <w:t>nr 63638/14, §§ 25-31, 19 stycznia 2017 r.).</w:t>
      </w:r>
    </w:p>
    <w:p w14:paraId="353CA00B" w14:textId="33DACC83" w:rsidR="00D37470" w:rsidRPr="009C15B1" w:rsidRDefault="003A2562" w:rsidP="009C15B1">
      <w:pPr>
        <w:pStyle w:val="JuPara"/>
      </w:pPr>
      <w:r>
        <w:fldChar w:fldCharType="begin"/>
      </w:r>
      <w:r>
        <w:instrText xml:space="preserve"> SEQ level0 \*arabic </w:instrText>
      </w:r>
      <w:r>
        <w:fldChar w:fldCharType="separate"/>
      </w:r>
      <w:r w:rsidR="001D28C9">
        <w:rPr>
          <w:noProof/>
        </w:rPr>
        <w:t>20</w:t>
      </w:r>
      <w:r>
        <w:rPr>
          <w:noProof/>
        </w:rPr>
        <w:fldChar w:fldCharType="end"/>
      </w:r>
      <w:r w:rsidR="00D37470">
        <w:t xml:space="preserve">.  Ponadto art. 111 </w:t>
      </w:r>
      <w:r w:rsidR="00D246CF">
        <w:t>K</w:t>
      </w:r>
      <w:r w:rsidR="00D37470">
        <w:t>odeksu postępowania karnego stanowi, że dowody rzeczowe należy przechowywać do czasu zakończenia postępowania karnego. Mogą być wydane wcześniej osobom upoważnionym, jeżeli nie utrudni to ustalenia stanu faktycznego.</w:t>
      </w:r>
    </w:p>
    <w:p w14:paraId="71D48934" w14:textId="593C1C9C" w:rsidR="00D37470" w:rsidRPr="009C15B1" w:rsidRDefault="00D37470" w:rsidP="009C15B1">
      <w:pPr>
        <w:pStyle w:val="JuHA"/>
      </w:pPr>
      <w:r>
        <w:t xml:space="preserve">Odpowiedzialność policji i </w:t>
      </w:r>
      <w:r w:rsidR="002220D0">
        <w:t>organów prokuratury</w:t>
      </w:r>
      <w:r>
        <w:t xml:space="preserve"> za</w:t>
      </w:r>
      <w:r w:rsidR="002220D0">
        <w:t> </w:t>
      </w:r>
      <w:r>
        <w:t>nieuzasadnione zatrzymanie dowodów</w:t>
      </w:r>
    </w:p>
    <w:p w14:paraId="01A08D79" w14:textId="6BE4904F" w:rsidR="00D37470" w:rsidRPr="009C15B1" w:rsidRDefault="003A2562" w:rsidP="009C15B1">
      <w:pPr>
        <w:pStyle w:val="JuPara"/>
      </w:pPr>
      <w:r>
        <w:fldChar w:fldCharType="begin"/>
      </w:r>
      <w:r>
        <w:instrText xml:space="preserve"> SEQ level0 \*arabic </w:instrText>
      </w:r>
      <w:r>
        <w:fldChar w:fldCharType="separate"/>
      </w:r>
      <w:r w:rsidR="001D28C9">
        <w:rPr>
          <w:noProof/>
        </w:rPr>
        <w:t>21</w:t>
      </w:r>
      <w:r>
        <w:rPr>
          <w:noProof/>
        </w:rPr>
        <w:fldChar w:fldCharType="end"/>
      </w:r>
      <w:r w:rsidR="00D37470">
        <w:t xml:space="preserve">.  W grudniu 2011 r. Najwyższy Sąd Kasacyjny uwzględnił roszczenie </w:t>
      </w:r>
      <w:r w:rsidR="005E440F">
        <w:t>z tytułu deliktu</w:t>
      </w:r>
      <w:r w:rsidR="005667B5">
        <w:t xml:space="preserve"> </w:t>
      </w:r>
      <w:r w:rsidR="00D37470">
        <w:t>w związku z nadmiernie długim przetrzymywaniem samochodu</w:t>
      </w:r>
      <w:r w:rsidR="0087316E">
        <w:t>, który zajęto</w:t>
      </w:r>
      <w:r w:rsidR="00D37470">
        <w:t xml:space="preserve"> w sprawie karnej. Uznał, że zatrzymywanie zajętych przedmiotów po upływie terminów na zakończenie </w:t>
      </w:r>
      <w:r w:rsidR="005141A0">
        <w:t>dochodzenia</w:t>
      </w:r>
      <w:r w:rsidR="00D37470">
        <w:t xml:space="preserve"> w sprawie karnej jest zbędne i rodzi odpowiedzialność policji </w:t>
      </w:r>
      <w:r w:rsidR="0087316E">
        <w:t xml:space="preserve">oraz </w:t>
      </w:r>
      <w:r w:rsidR="00D37470">
        <w:t xml:space="preserve">organów </w:t>
      </w:r>
      <w:r w:rsidR="0087316E">
        <w:t>prokuratury</w:t>
      </w:r>
      <w:r w:rsidR="00D37470">
        <w:t xml:space="preserve"> (</w:t>
      </w:r>
      <w:r w:rsidR="00D37470">
        <w:rPr>
          <w:i/>
        </w:rPr>
        <w:t>Решение № 465 от 20.12.2011 г. по гр. д. № 1794/2010 г., ВКС, IV</w:t>
      </w:r>
      <w:r w:rsidR="0087316E">
        <w:rPr>
          <w:i/>
        </w:rPr>
        <w:t> </w:t>
      </w:r>
      <w:r w:rsidR="00D37470">
        <w:rPr>
          <w:i/>
        </w:rPr>
        <w:t>г.</w:t>
      </w:r>
      <w:r w:rsidR="0087316E">
        <w:rPr>
          <w:i/>
        </w:rPr>
        <w:t> </w:t>
      </w:r>
      <w:r w:rsidR="00D37470">
        <w:rPr>
          <w:i/>
        </w:rPr>
        <w:t>о.</w:t>
      </w:r>
      <w:r w:rsidR="00D37470">
        <w:t>).</w:t>
      </w:r>
    </w:p>
    <w:p w14:paraId="07601EEC" w14:textId="06C598E5" w:rsidR="00D37470" w:rsidRPr="009C15B1" w:rsidRDefault="003A2562" w:rsidP="009C15B1">
      <w:pPr>
        <w:pStyle w:val="JuPara"/>
      </w:pPr>
      <w:r>
        <w:fldChar w:fldCharType="begin"/>
      </w:r>
      <w:r>
        <w:instrText xml:space="preserve"> SEQ level0 \*arabic </w:instrText>
      </w:r>
      <w:r>
        <w:fldChar w:fldCharType="separate"/>
      </w:r>
      <w:r w:rsidR="001D28C9">
        <w:rPr>
          <w:noProof/>
        </w:rPr>
        <w:t>22</w:t>
      </w:r>
      <w:r>
        <w:rPr>
          <w:noProof/>
        </w:rPr>
        <w:fldChar w:fldCharType="end"/>
      </w:r>
      <w:r w:rsidR="00D37470">
        <w:t xml:space="preserve">.  Podobne roszczenie uwzględniono w wyroku </w:t>
      </w:r>
      <w:r w:rsidR="005E440F">
        <w:t>S</w:t>
      </w:r>
      <w:r w:rsidR="00D37470">
        <w:t xml:space="preserve">ądu </w:t>
      </w:r>
      <w:r w:rsidR="005E440F">
        <w:t>A</w:t>
      </w:r>
      <w:r w:rsidR="0087316E">
        <w:t>pelacyjnego</w:t>
      </w:r>
      <w:r w:rsidR="00D37470">
        <w:t xml:space="preserve"> w</w:t>
      </w:r>
      <w:r w:rsidR="0087316E">
        <w:t> </w:t>
      </w:r>
      <w:r w:rsidR="00D37470">
        <w:t>Sofii z sierpnia 2011 r. (który uprawomocnił się w maju 2012 r.). Sąd krajowy uznał, że zatrzymanie na okres dwóch lat kilku komputerów</w:t>
      </w:r>
      <w:r w:rsidR="0087316E">
        <w:t>, które zajęto</w:t>
      </w:r>
      <w:r w:rsidR="00D37470">
        <w:t xml:space="preserve"> w charakterze </w:t>
      </w:r>
      <w:r w:rsidR="0087316E">
        <w:t>materiałów dowodowych,</w:t>
      </w:r>
      <w:r w:rsidR="00D37470">
        <w:t xml:space="preserve"> stanowiło nieproporcjonalną ingerencję w prawo własności powoda </w:t>
      </w:r>
      <w:r w:rsidR="00D37470">
        <w:rPr>
          <w:i/>
        </w:rPr>
        <w:t>(Решение № 1478 от 12.08.2011 г. по гр. д. № 1330/2011 г., ВКС, IV г. о.</w:t>
      </w:r>
      <w:r w:rsidR="00D37470">
        <w:t>).</w:t>
      </w:r>
    </w:p>
    <w:p w14:paraId="0D8EED8D" w14:textId="460EB9C9" w:rsidR="00D37470" w:rsidRPr="009C15B1" w:rsidRDefault="003A2562" w:rsidP="009C15B1">
      <w:pPr>
        <w:pStyle w:val="JuPara"/>
      </w:pPr>
      <w:r>
        <w:fldChar w:fldCharType="begin"/>
      </w:r>
      <w:r>
        <w:instrText xml:space="preserve"> SEQ level0 \*arabic </w:instrText>
      </w:r>
      <w:r>
        <w:fldChar w:fldCharType="separate"/>
      </w:r>
      <w:r w:rsidR="001D28C9">
        <w:rPr>
          <w:noProof/>
        </w:rPr>
        <w:t>23</w:t>
      </w:r>
      <w:r>
        <w:rPr>
          <w:noProof/>
        </w:rPr>
        <w:fldChar w:fldCharType="end"/>
      </w:r>
      <w:r w:rsidR="00D37470">
        <w:t xml:space="preserve">.  W kolejnych sprawach sądy cywilne rozpatrywały inne podobne roszczenia (zob. </w:t>
      </w:r>
      <w:r w:rsidR="00D37470">
        <w:rPr>
          <w:i/>
        </w:rPr>
        <w:t>Решение № 425 от 07.03.2013 г. по в. гр. д. № 4636/2012 г., САС</w:t>
      </w:r>
      <w:r w:rsidR="00D37470">
        <w:t xml:space="preserve">; </w:t>
      </w:r>
      <w:r w:rsidR="00D37470">
        <w:rPr>
          <w:i/>
        </w:rPr>
        <w:t>Решение № 8620 от 28.11.2016 г. по в. гр. д. № 7650/2016 г., СГС</w:t>
      </w:r>
      <w:r w:rsidR="00D37470">
        <w:t xml:space="preserve">; </w:t>
      </w:r>
      <w:r w:rsidR="00D37470">
        <w:rPr>
          <w:i/>
        </w:rPr>
        <w:t>Решение № 4525 от 22.06.2017 г. по гр. д. № 1890/2015 г., СГС; Решение № 419 от 14.12.2017 г. по в. гр. д. № 1435/2017 г., ОС-Стара Загора</w:t>
      </w:r>
      <w:r w:rsidR="00D37470">
        <w:t xml:space="preserve">; </w:t>
      </w:r>
      <w:r w:rsidR="00D37470">
        <w:rPr>
          <w:i/>
        </w:rPr>
        <w:t>Решение № 852 от 15.04.2019 г. по гр. д. № 6637/2018 г., РС</w:t>
      </w:r>
      <w:r w:rsidR="00D37470">
        <w:rPr>
          <w:i/>
        </w:rPr>
        <w:noBreakHyphen/>
        <w:t>Бургас</w:t>
      </w:r>
      <w:r w:rsidR="00D37470">
        <w:t>).</w:t>
      </w:r>
    </w:p>
    <w:p w14:paraId="3F3BE079" w14:textId="77777777" w:rsidR="00D37470" w:rsidRPr="009C15B1" w:rsidRDefault="00D37470" w:rsidP="009C15B1">
      <w:pPr>
        <w:pStyle w:val="JuHHead"/>
      </w:pPr>
      <w:r>
        <w:lastRenderedPageBreak/>
        <w:t>PRAWO</w:t>
      </w:r>
    </w:p>
    <w:p w14:paraId="771F6486" w14:textId="703D0A2E" w:rsidR="00D37470" w:rsidRPr="009C15B1" w:rsidRDefault="00D37470" w:rsidP="009C15B1">
      <w:pPr>
        <w:pStyle w:val="JuHIRoman"/>
      </w:pPr>
      <w:r>
        <w:t>ZARZUCANE NARUSZENIE ART. 1 Protokołu nr 1</w:t>
      </w:r>
      <w:r w:rsidR="0087316E">
        <w:t xml:space="preserve"> ORAZ</w:t>
      </w:r>
      <w:r>
        <w:t xml:space="preserve"> art. 8 i 10 Konwencji</w:t>
      </w:r>
    </w:p>
    <w:p w14:paraId="0A6053AE" w14:textId="0FDCD9BE" w:rsidR="00D37470" w:rsidRPr="009C15B1" w:rsidRDefault="003A2562" w:rsidP="009C15B1">
      <w:pPr>
        <w:pStyle w:val="JuPara"/>
      </w:pPr>
      <w:r>
        <w:fldChar w:fldCharType="begin"/>
      </w:r>
      <w:r>
        <w:instrText xml:space="preserve"> SEQ level0 \*arabic </w:instrText>
      </w:r>
      <w:r>
        <w:fldChar w:fldCharType="separate"/>
      </w:r>
      <w:r w:rsidR="001D28C9">
        <w:rPr>
          <w:noProof/>
        </w:rPr>
        <w:t>24</w:t>
      </w:r>
      <w:r>
        <w:rPr>
          <w:noProof/>
        </w:rPr>
        <w:fldChar w:fldCharType="end"/>
      </w:r>
      <w:r w:rsidR="00D37470">
        <w:t>.  Skarżący, powołując się na art. 6 i art. 7 Konwencji oraz art.</w:t>
      </w:r>
      <w:r w:rsidR="0087316E">
        <w:t> </w:t>
      </w:r>
      <w:r w:rsidR="00D37470">
        <w:t xml:space="preserve">1 </w:t>
      </w:r>
      <w:r w:rsidR="003C6885">
        <w:t xml:space="preserve">Protokołu </w:t>
      </w:r>
      <w:r w:rsidR="00D37470">
        <w:t xml:space="preserve">nr 1, </w:t>
      </w:r>
      <w:r w:rsidR="004D09BD">
        <w:t>złożył</w:t>
      </w:r>
      <w:r w:rsidR="00444756">
        <w:t xml:space="preserve"> skargę </w:t>
      </w:r>
      <w:r w:rsidR="005E440F">
        <w:t xml:space="preserve">na </w:t>
      </w:r>
      <w:r w:rsidR="00D37470">
        <w:t xml:space="preserve">zajęcie i zatrzymanie jego serwera przez organy ścigania. Na podstawie art. 8 Konwencji </w:t>
      </w:r>
      <w:r w:rsidR="004D09BD">
        <w:t>złożył</w:t>
      </w:r>
      <w:r w:rsidR="005A1C87">
        <w:t xml:space="preserve"> </w:t>
      </w:r>
      <w:r w:rsidR="00444756">
        <w:t>ł</w:t>
      </w:r>
      <w:r w:rsidR="00D37470">
        <w:t xml:space="preserve"> ponadto </w:t>
      </w:r>
      <w:r w:rsidR="00444756">
        <w:t xml:space="preserve">skargę na </w:t>
      </w:r>
      <w:r w:rsidR="00D37470">
        <w:t>zajęcie i</w:t>
      </w:r>
      <w:r w:rsidR="0087316E">
        <w:t> </w:t>
      </w:r>
      <w:r w:rsidR="00D37470">
        <w:t xml:space="preserve">zatrzymanie jego korespondencji </w:t>
      </w:r>
      <w:r w:rsidR="0087316E">
        <w:t>i</w:t>
      </w:r>
      <w:r w:rsidR="00D37470">
        <w:t xml:space="preserve"> innych materiałów osobistych znajdujących się na serwerze, zaś na podstawie art. 10 wystosował </w:t>
      </w:r>
      <w:r w:rsidR="00444756">
        <w:t>skargę</w:t>
      </w:r>
      <w:r w:rsidR="00D37470">
        <w:t xml:space="preserve"> w</w:t>
      </w:r>
      <w:r w:rsidR="0087316E">
        <w:t> </w:t>
      </w:r>
      <w:r w:rsidR="00D37470">
        <w:t>związku ze skutkami</w:t>
      </w:r>
      <w:r w:rsidR="0087316E">
        <w:t xml:space="preserve">, jakie </w:t>
      </w:r>
      <w:r w:rsidR="00D37470">
        <w:t>zajęci</w:t>
      </w:r>
      <w:r w:rsidR="0087316E">
        <w:t>e</w:t>
      </w:r>
      <w:r w:rsidR="00D37470">
        <w:t xml:space="preserve"> i</w:t>
      </w:r>
      <w:r w:rsidR="00EF5AFE">
        <w:t> </w:t>
      </w:r>
      <w:r w:rsidR="00D37470">
        <w:t>zatrzymani</w:t>
      </w:r>
      <w:r w:rsidR="0087316E">
        <w:t>e miało</w:t>
      </w:r>
      <w:r w:rsidR="00D37470">
        <w:t xml:space="preserve"> dla działania jego strony internetowej.</w:t>
      </w:r>
    </w:p>
    <w:p w14:paraId="2C76FC60" w14:textId="7D3E1CE9" w:rsidR="00D37470" w:rsidRPr="009C15B1" w:rsidRDefault="003A2562" w:rsidP="009C15B1">
      <w:pPr>
        <w:pStyle w:val="JuPara"/>
      </w:pPr>
      <w:r>
        <w:fldChar w:fldCharType="begin"/>
      </w:r>
      <w:r>
        <w:instrText xml:space="preserve"> SEQ level0</w:instrText>
      </w:r>
      <w:r>
        <w:instrText xml:space="preserve"> \*arabic </w:instrText>
      </w:r>
      <w:r>
        <w:fldChar w:fldCharType="separate"/>
      </w:r>
      <w:r w:rsidR="001D28C9">
        <w:rPr>
          <w:noProof/>
        </w:rPr>
        <w:t>25</w:t>
      </w:r>
      <w:r>
        <w:rPr>
          <w:noProof/>
        </w:rPr>
        <w:fldChar w:fldCharType="end"/>
      </w:r>
      <w:r w:rsidR="00D37470">
        <w:t xml:space="preserve">.  Trybunał jest zdania, że </w:t>
      </w:r>
      <w:r w:rsidR="00347A39">
        <w:t xml:space="preserve">powyższe skargi podlegają </w:t>
      </w:r>
      <w:r w:rsidR="00D37470">
        <w:t xml:space="preserve">rozpatrzeniu na podstawie art. 1 </w:t>
      </w:r>
      <w:r w:rsidR="003C6885">
        <w:t xml:space="preserve">Protokołu </w:t>
      </w:r>
      <w:r w:rsidR="00D37470">
        <w:t>nr 1 do Konwencji oraz art. 8 i</w:t>
      </w:r>
      <w:r w:rsidR="00347A39">
        <w:t> </w:t>
      </w:r>
      <w:r w:rsidR="00D37470">
        <w:t>10 Konwencji. Przepisy te</w:t>
      </w:r>
      <w:r w:rsidR="0087316E">
        <w:t> </w:t>
      </w:r>
      <w:r w:rsidR="00D37470">
        <w:t>mają następujące brzmienie:</w:t>
      </w:r>
    </w:p>
    <w:p w14:paraId="6BBCB142" w14:textId="4234216C" w:rsidR="00D37470" w:rsidRPr="009C15B1" w:rsidRDefault="00D37470" w:rsidP="009C15B1">
      <w:pPr>
        <w:pStyle w:val="JuHArticle"/>
      </w:pPr>
      <w:r>
        <w:t xml:space="preserve">Artykuł 1 </w:t>
      </w:r>
      <w:r w:rsidR="003C6885">
        <w:t xml:space="preserve">Protokołu </w:t>
      </w:r>
      <w:r>
        <w:t>nr 1</w:t>
      </w:r>
    </w:p>
    <w:p w14:paraId="40E92EA2" w14:textId="77777777" w:rsidR="00D37470" w:rsidRPr="009C15B1" w:rsidRDefault="00D37470" w:rsidP="009C15B1">
      <w:pPr>
        <w:pStyle w:val="JuQuot"/>
      </w:pPr>
      <w:r>
        <w:t>„Każda osoba fizyczna i prawna ma prawo do poszanowania swego mienia. Nikt nie może być pozbawiony swojej własności, chyba że w interesie publicznym i na warunkach przewidzianych przez ustawę oraz zgodnie z ogólnymi zasadami prawa międzynarodowego.</w:t>
      </w:r>
    </w:p>
    <w:p w14:paraId="4CAEC7DB" w14:textId="52E80E28" w:rsidR="00D37470" w:rsidRPr="009C15B1" w:rsidRDefault="00D37470" w:rsidP="009C15B1">
      <w:pPr>
        <w:pStyle w:val="JuQuot"/>
      </w:pPr>
      <w: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r w:rsidR="000A59BE">
        <w:t>”</w:t>
      </w:r>
    </w:p>
    <w:p w14:paraId="6835EF94" w14:textId="77777777" w:rsidR="00D37470" w:rsidRPr="009C15B1" w:rsidRDefault="00D37470" w:rsidP="009C15B1">
      <w:pPr>
        <w:pStyle w:val="JuHArticle"/>
      </w:pPr>
      <w:r>
        <w:t>Artykuł 8</w:t>
      </w:r>
    </w:p>
    <w:p w14:paraId="7834E47E" w14:textId="77777777" w:rsidR="00D37470" w:rsidRPr="009C15B1" w:rsidRDefault="00D37470" w:rsidP="009C15B1">
      <w:pPr>
        <w:pStyle w:val="JuQuot"/>
      </w:pPr>
      <w:r>
        <w:t>“1.  Każdy ma prawo do poszanowania swojego życia prywatnego i rodzinnego, swojego mieszkania i swojej korespondencji.</w:t>
      </w:r>
    </w:p>
    <w:p w14:paraId="202EACE9" w14:textId="180D0347" w:rsidR="00D37470" w:rsidRPr="009C15B1" w:rsidRDefault="00D37470" w:rsidP="009C15B1">
      <w:pPr>
        <w:pStyle w:val="JuQuot"/>
      </w:pPr>
      <w:r>
        <w:t>2.  Niedopuszczalna jest ingerencja władzy publicznej w korzystanie z tego prawa z</w:t>
      </w:r>
      <w:r w:rsidR="0087316E">
        <w:t> </w:t>
      </w:r>
      <w:r>
        <w:t>wyjątkiem przypadków przewidzianych przez ustawę i koniecznych w</w:t>
      </w:r>
      <w:r w:rsidR="0087316E">
        <w:t> </w:t>
      </w:r>
      <w:r>
        <w:t>demokratycznym społeczeństwie z uwagi na bezpieczeństwo państwowe, bezpieczeństwo publiczne lub dobrobyt gospodarczy kraju, ochronę porządku i</w:t>
      </w:r>
      <w:r w:rsidR="0087316E">
        <w:t> </w:t>
      </w:r>
      <w:r>
        <w:t>zapobieganie przestępstwom, ochronę zdrowia i moralności lub ochronę praw i</w:t>
      </w:r>
      <w:r w:rsidR="0087316E">
        <w:t> </w:t>
      </w:r>
      <w:r>
        <w:t>wolności innych osób.”</w:t>
      </w:r>
    </w:p>
    <w:p w14:paraId="39AC394B" w14:textId="77777777" w:rsidR="00D37470" w:rsidRPr="009C15B1" w:rsidRDefault="00D37470" w:rsidP="009C15B1">
      <w:pPr>
        <w:pStyle w:val="JuHArticle"/>
      </w:pPr>
      <w:r>
        <w:t>Artykuł 10</w:t>
      </w:r>
    </w:p>
    <w:p w14:paraId="1F1EB323" w14:textId="77777777" w:rsidR="00D37470" w:rsidRPr="009C15B1" w:rsidRDefault="00D37470" w:rsidP="009C15B1">
      <w:pPr>
        <w:pStyle w:val="JuQuot"/>
      </w:pPr>
      <w: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77CB04BA" w14:textId="2B73E395" w:rsidR="00D37470" w:rsidRPr="009C15B1" w:rsidRDefault="00D37470" w:rsidP="009C15B1">
      <w:pPr>
        <w:pStyle w:val="JuQuot"/>
      </w:pPr>
      <w:r>
        <w:t xml:space="preserve">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w:t>
      </w:r>
      <w:r>
        <w:lastRenderedPageBreak/>
        <w:t>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0045094D">
        <w:t>.</w:t>
      </w:r>
      <w:r>
        <w:t>”</w:t>
      </w:r>
    </w:p>
    <w:p w14:paraId="42814A8E" w14:textId="77777777" w:rsidR="00D37470" w:rsidRPr="009C15B1" w:rsidRDefault="00D37470" w:rsidP="009C15B1">
      <w:pPr>
        <w:pStyle w:val="JuHA"/>
      </w:pPr>
      <w:r>
        <w:t>Argumenty stron</w:t>
      </w:r>
    </w:p>
    <w:p w14:paraId="75161481" w14:textId="77777777" w:rsidR="00D37470" w:rsidRPr="009C15B1" w:rsidRDefault="00D37470" w:rsidP="009C15B1">
      <w:pPr>
        <w:pStyle w:val="JuH1"/>
      </w:pPr>
      <w:r>
        <w:t>Rząd</w:t>
      </w:r>
    </w:p>
    <w:p w14:paraId="6B1DA0C8" w14:textId="29261C52" w:rsidR="00D37470" w:rsidRPr="009C15B1" w:rsidRDefault="003A2562" w:rsidP="009C15B1">
      <w:pPr>
        <w:pStyle w:val="JuPara"/>
      </w:pPr>
      <w:r>
        <w:fldChar w:fldCharType="begin"/>
      </w:r>
      <w:r>
        <w:instrText xml:space="preserve"> SEQ level0 \*arabic </w:instrText>
      </w:r>
      <w:r>
        <w:fldChar w:fldCharType="separate"/>
      </w:r>
      <w:r w:rsidR="001D28C9">
        <w:rPr>
          <w:noProof/>
        </w:rPr>
        <w:t>26</w:t>
      </w:r>
      <w:r>
        <w:rPr>
          <w:noProof/>
        </w:rPr>
        <w:fldChar w:fldCharType="end"/>
      </w:r>
      <w:r w:rsidR="00D37470">
        <w:t xml:space="preserve">.  Rząd stwierdził, że skarżący nie wyczerpał dostępnych krajowych środków odwoławczych. Podniósł, że po umorzeniu postępowania karnego w Sofii mógł </w:t>
      </w:r>
      <w:r w:rsidR="0047411E">
        <w:t xml:space="preserve">on </w:t>
      </w:r>
      <w:r w:rsidR="00D37470">
        <w:t xml:space="preserve">wystąpić do </w:t>
      </w:r>
      <w:r w:rsidR="0047411E">
        <w:t>organu prokuratury</w:t>
      </w:r>
      <w:r w:rsidR="00D37470">
        <w:t xml:space="preserve"> w Trojan o wydanie dowodów rzeczowych na podstawie art. 111 </w:t>
      </w:r>
      <w:r w:rsidR="0054147D">
        <w:t>K</w:t>
      </w:r>
      <w:r w:rsidR="00D37470">
        <w:t>odeksu postępowania karnego. Dodatkowo skarżący miał możliwość wniesienia po</w:t>
      </w:r>
      <w:r w:rsidR="00F375BC">
        <w:t>wództwa</w:t>
      </w:r>
      <w:r w:rsidR="00D37470">
        <w:t xml:space="preserve"> deliktowego przeciwko organom ścigania w związku z rzekomo nieuzasadnionym zatrzymaniem jego mienia. Na </w:t>
      </w:r>
      <w:r w:rsidR="0047411E">
        <w:t>potwierdzenie</w:t>
      </w:r>
      <w:r w:rsidR="00D37470">
        <w:t xml:space="preserve"> tego Rząd przedstawił wyroki sądów, o których mowa w paragrafach 21-22 powyżej. Na koniec Rząd stwierdził, że skarżący nigdy nie </w:t>
      </w:r>
      <w:r w:rsidR="00DB57BA">
        <w:t>złożył</w:t>
      </w:r>
      <w:r w:rsidR="00C608B8">
        <w:t xml:space="preserve"> do władz krajowych</w:t>
      </w:r>
      <w:r w:rsidR="00DB57BA">
        <w:t xml:space="preserve"> </w:t>
      </w:r>
      <w:r w:rsidR="0054147D">
        <w:t>skargi</w:t>
      </w:r>
      <w:r w:rsidR="00D37470">
        <w:t xml:space="preserve"> na podstawie art. 8 Konwencji.</w:t>
      </w:r>
    </w:p>
    <w:p w14:paraId="6AAE05AD" w14:textId="4CCEAB7F" w:rsidR="00D37470" w:rsidRPr="009C15B1" w:rsidRDefault="003A2562" w:rsidP="009C15B1">
      <w:pPr>
        <w:pStyle w:val="JuPara"/>
      </w:pPr>
      <w:r>
        <w:fldChar w:fldCharType="begin"/>
      </w:r>
      <w:r>
        <w:instrText xml:space="preserve"> SEQ level0 \*arabic </w:instrText>
      </w:r>
      <w:r>
        <w:fldChar w:fldCharType="separate"/>
      </w:r>
      <w:r w:rsidR="001D28C9">
        <w:rPr>
          <w:noProof/>
        </w:rPr>
        <w:t>27</w:t>
      </w:r>
      <w:r>
        <w:rPr>
          <w:noProof/>
        </w:rPr>
        <w:fldChar w:fldCharType="end"/>
      </w:r>
      <w:r w:rsidR="00D37470">
        <w:t xml:space="preserve">.  Rząd wskazał, że </w:t>
      </w:r>
      <w:r w:rsidR="0047411E">
        <w:t xml:space="preserve">organy ścigania przetrzymywały </w:t>
      </w:r>
      <w:r w:rsidR="00D37470">
        <w:t>serwer skarżącego jedynie przez kilka miesięcy, a jego wydanie opóźniło się w</w:t>
      </w:r>
      <w:r w:rsidR="0047411E">
        <w:t> </w:t>
      </w:r>
      <w:r w:rsidR="00D37470">
        <w:t xml:space="preserve">wyniku „nieodpowiednich działań” skarżącego. Ponadto serwer nie został poddany żadnym badaniom i został zwrócony </w:t>
      </w:r>
      <w:r w:rsidR="002220D0">
        <w:t xml:space="preserve">skarżącemu </w:t>
      </w:r>
      <w:r w:rsidR="00D37470">
        <w:t>w dobrym stanie.</w:t>
      </w:r>
    </w:p>
    <w:p w14:paraId="311CA2C7" w14:textId="26A67D90" w:rsidR="00D37470" w:rsidRPr="009C15B1" w:rsidRDefault="003A2562" w:rsidP="009C15B1">
      <w:pPr>
        <w:pStyle w:val="JuPara"/>
      </w:pPr>
      <w:r>
        <w:fldChar w:fldCharType="begin"/>
      </w:r>
      <w:r>
        <w:instrText xml:space="preserve"> SEQ level0 \*arabic </w:instrText>
      </w:r>
      <w:r>
        <w:fldChar w:fldCharType="separate"/>
      </w:r>
      <w:r w:rsidR="001D28C9">
        <w:rPr>
          <w:noProof/>
        </w:rPr>
        <w:t>28</w:t>
      </w:r>
      <w:r>
        <w:rPr>
          <w:noProof/>
        </w:rPr>
        <w:fldChar w:fldCharType="end"/>
      </w:r>
      <w:r w:rsidR="00D37470">
        <w:t>.  W odniesieniu do zarzutu na podstawie art. 10 Konwencji Rząd wskazał, że władze nie zamierzały zamknąć strony internetowej skarżącego. Ponadto czasowa niedostępność strony nie stanowiła nieproporcjonalnej ingerencji w prawo skarżącego do wolności słowa. Rząd utrzymywał, że</w:t>
      </w:r>
      <w:r w:rsidR="00A812DD">
        <w:t> </w:t>
      </w:r>
      <w:r w:rsidR="00D37470">
        <w:t>strona była niedostępna bardzo krótko, ponieważ 23 czerwca 2010 r., dwa dni po zajęciu serwera, skarżący aktywował wersję strony, którą Rząd uznał za „kopię zapasową”. Kwestia tego, czy ta wersja była w pełni funkcjonalna, zależała od staranności i profesjonalizmu skarżącego, gdyż to</w:t>
      </w:r>
      <w:r w:rsidR="00A812DD">
        <w:t> </w:t>
      </w:r>
      <w:r w:rsidR="00D37470">
        <w:t xml:space="preserve">w jego interesie </w:t>
      </w:r>
      <w:r w:rsidR="00A812DD">
        <w:t>leżało</w:t>
      </w:r>
      <w:r w:rsidR="00D37470">
        <w:t xml:space="preserve"> utrzymywanie kopii zapasowej, co jest standardową praktyką. </w:t>
      </w:r>
      <w:r w:rsidR="005E3712">
        <w:t>Dodatkowo, co</w:t>
      </w:r>
      <w:r w:rsidR="00D37470">
        <w:t xml:space="preserve"> istotne</w:t>
      </w:r>
      <w:r w:rsidR="005E3712">
        <w:t>,</w:t>
      </w:r>
      <w:r w:rsidR="00D37470">
        <w:t xml:space="preserve"> strona internetowa nie stanowiła środka uczestnictwa w ważnej debacie publicznej, a skarżący nie był dziennikarzem, sygnalistą </w:t>
      </w:r>
      <w:r w:rsidR="00486EB9">
        <w:t xml:space="preserve">(ang. </w:t>
      </w:r>
      <w:r w:rsidR="00486EB9" w:rsidRPr="00952DF9">
        <w:rPr>
          <w:i/>
          <w:iCs/>
        </w:rPr>
        <w:t>whistleblower</w:t>
      </w:r>
      <w:r w:rsidR="00486EB9">
        <w:t xml:space="preserve">) </w:t>
      </w:r>
      <w:r w:rsidR="00D37470">
        <w:t>lub inną osobą, która wymaga zwiększonej ochrony. Wreszcie na skarżącego nie nałożono żadnych sankcji administracyjnych, karnych lub</w:t>
      </w:r>
      <w:r w:rsidR="00E774FC">
        <w:t xml:space="preserve"> sankcji</w:t>
      </w:r>
      <w:r w:rsidR="00D37470">
        <w:t xml:space="preserve"> innego rodzaju, a on sam nie został pociągnięty do odpowiedzialności za treść swojej strony internetowej.</w:t>
      </w:r>
    </w:p>
    <w:p w14:paraId="329D7978" w14:textId="77777777" w:rsidR="00D37470" w:rsidRPr="009C15B1" w:rsidRDefault="00D37470" w:rsidP="009C15B1">
      <w:pPr>
        <w:pStyle w:val="JuH1"/>
      </w:pPr>
      <w:r>
        <w:t>Skarżący</w:t>
      </w:r>
    </w:p>
    <w:p w14:paraId="5E49CDE1" w14:textId="3BF41C9B" w:rsidR="00D37470" w:rsidRPr="009C15B1" w:rsidRDefault="003A2562" w:rsidP="009C15B1">
      <w:pPr>
        <w:pStyle w:val="JuPara"/>
      </w:pPr>
      <w:r>
        <w:fldChar w:fldCharType="begin"/>
      </w:r>
      <w:r>
        <w:instrText xml:space="preserve"> SEQ level0 \*arabic </w:instrText>
      </w:r>
      <w:r>
        <w:fldChar w:fldCharType="separate"/>
      </w:r>
      <w:r w:rsidR="001D28C9">
        <w:rPr>
          <w:noProof/>
        </w:rPr>
        <w:t>29</w:t>
      </w:r>
      <w:r>
        <w:rPr>
          <w:noProof/>
        </w:rPr>
        <w:fldChar w:fldCharType="end"/>
      </w:r>
      <w:r w:rsidR="00D37470">
        <w:t>.  Skarżący wskazał, że wystąpił o wydanie swojego serwera na</w:t>
      </w:r>
      <w:r w:rsidR="00E774FC">
        <w:t> </w:t>
      </w:r>
      <w:r w:rsidR="00D37470">
        <w:t xml:space="preserve">podstawie art. 111 </w:t>
      </w:r>
      <w:r w:rsidR="00C608B8">
        <w:t>K</w:t>
      </w:r>
      <w:r w:rsidR="00D37470">
        <w:t>odeksu postępowania karnego, ale prokuratura w</w:t>
      </w:r>
      <w:r w:rsidR="00E774FC">
        <w:t> </w:t>
      </w:r>
      <w:r w:rsidR="00D37470">
        <w:t xml:space="preserve">Sofii nie </w:t>
      </w:r>
      <w:r w:rsidR="00E774FC">
        <w:t>wydała</w:t>
      </w:r>
      <w:r w:rsidR="00D37470">
        <w:t xml:space="preserve"> postanowienia w tej</w:t>
      </w:r>
      <w:r w:rsidR="00E774FC">
        <w:t xml:space="preserve"> kwestii</w:t>
      </w:r>
      <w:r w:rsidR="00D37470">
        <w:t>. W związku z tym składanie dalszych wniosków</w:t>
      </w:r>
      <w:r w:rsidR="00E774FC">
        <w:t>,</w:t>
      </w:r>
      <w:r w:rsidR="00D37470">
        <w:t xml:space="preserve"> opierając się na tym przepisie</w:t>
      </w:r>
      <w:r w:rsidR="00E774FC">
        <w:t>,</w:t>
      </w:r>
      <w:r w:rsidR="00D37470">
        <w:t xml:space="preserve"> było bezużyteczne. Zamiast tego złożył skargę do Prokuratury Generalnej</w:t>
      </w:r>
      <w:r w:rsidR="00E774FC">
        <w:t xml:space="preserve">, dzięki czemu wydano </w:t>
      </w:r>
      <w:r w:rsidR="00E774FC">
        <w:lastRenderedPageBreak/>
        <w:t>mu jego mienie</w:t>
      </w:r>
      <w:r w:rsidR="00D37470">
        <w:t>. Skarżący zakwestionował również argument Rządu, że mógł wnieść powództwo deliktowe przeciwko organom ścigania. Podkreślił, że w toku istotnych wydarzeń ten środek zaradczy nie był dla niego dostępny. Na koniec skarżący zakwestionował argument Rządu, że</w:t>
      </w:r>
      <w:r w:rsidR="00E774FC">
        <w:t> </w:t>
      </w:r>
      <w:r w:rsidR="00D37470">
        <w:t xml:space="preserve">nie </w:t>
      </w:r>
      <w:r w:rsidR="00C608B8">
        <w:t>wniósł do władz krajowych</w:t>
      </w:r>
      <w:r w:rsidR="00D37470">
        <w:t xml:space="preserve"> </w:t>
      </w:r>
      <w:r w:rsidR="00C608B8">
        <w:t>skargi</w:t>
      </w:r>
      <w:r w:rsidR="00D37470">
        <w:t xml:space="preserve"> na podstawie art. 8 Konwencji.</w:t>
      </w:r>
    </w:p>
    <w:p w14:paraId="506C100C" w14:textId="1EFA2BEB" w:rsidR="00D37470" w:rsidRPr="009C15B1" w:rsidRDefault="003A2562" w:rsidP="009C15B1">
      <w:pPr>
        <w:pStyle w:val="JuPara"/>
      </w:pPr>
      <w:r>
        <w:fldChar w:fldCharType="begin"/>
      </w:r>
      <w:r>
        <w:instrText xml:space="preserve"> SEQ level0 \*</w:instrText>
      </w:r>
      <w:r>
        <w:instrText xml:space="preserve">arabic </w:instrText>
      </w:r>
      <w:r>
        <w:fldChar w:fldCharType="separate"/>
      </w:r>
      <w:r w:rsidR="001D28C9">
        <w:rPr>
          <w:noProof/>
        </w:rPr>
        <w:t>30</w:t>
      </w:r>
      <w:r>
        <w:rPr>
          <w:noProof/>
        </w:rPr>
        <w:fldChar w:fldCharType="end"/>
      </w:r>
      <w:r w:rsidR="00D37470">
        <w:t xml:space="preserve">.  Skarżący wskazał, że nie wykazano, </w:t>
      </w:r>
      <w:r w:rsidR="00E774FC">
        <w:t>aby</w:t>
      </w:r>
      <w:r w:rsidR="00D37470">
        <w:t xml:space="preserve"> jego serwer, który </w:t>
      </w:r>
      <w:r w:rsidR="00E774FC">
        <w:t xml:space="preserve">organy ścigania zajęły </w:t>
      </w:r>
      <w:r w:rsidR="00D37470">
        <w:t xml:space="preserve">w ramach </w:t>
      </w:r>
      <w:r w:rsidR="005141A0">
        <w:t>dochodzenia</w:t>
      </w:r>
      <w:r w:rsidR="00D37470">
        <w:t xml:space="preserve"> w sprawie karnej, był niezbędny dla </w:t>
      </w:r>
      <w:r w:rsidR="00E774FC">
        <w:t xml:space="preserve">tego </w:t>
      </w:r>
      <w:r w:rsidR="005141A0">
        <w:t>dochodzenia</w:t>
      </w:r>
      <w:r w:rsidR="00D37470">
        <w:t>. Serwer nie został zbadany przez biegłego ani wykorzystany w innym celu. Ponadto możliwe było skopiowanie wszelkich istotnych informacji na nim zawartych.</w:t>
      </w:r>
    </w:p>
    <w:p w14:paraId="5CB077FF" w14:textId="4491B1F7" w:rsidR="00D37470" w:rsidRPr="009C15B1" w:rsidRDefault="003A2562" w:rsidP="009C15B1">
      <w:pPr>
        <w:pStyle w:val="JuPara"/>
      </w:pPr>
      <w:r>
        <w:fldChar w:fldCharType="begin"/>
      </w:r>
      <w:r>
        <w:instrText xml:space="preserve"> SEQ level0 \*arabic </w:instrText>
      </w:r>
      <w:r>
        <w:fldChar w:fldCharType="separate"/>
      </w:r>
      <w:r w:rsidR="001D28C9">
        <w:rPr>
          <w:noProof/>
        </w:rPr>
        <w:t>31</w:t>
      </w:r>
      <w:r>
        <w:rPr>
          <w:noProof/>
        </w:rPr>
        <w:fldChar w:fldCharType="end"/>
      </w:r>
      <w:r w:rsidR="00D37470">
        <w:t xml:space="preserve">.  W odniesieniu do art. 10 Konwencji skarżący stwierdził, że czasowa niedostępność jego strony internetowej w wyniku zajęcia serwera nie służyła </w:t>
      </w:r>
      <w:r w:rsidR="00582328">
        <w:t>osiągnięciu</w:t>
      </w:r>
      <w:r w:rsidR="00E774FC">
        <w:t xml:space="preserve"> </w:t>
      </w:r>
      <w:r w:rsidR="00D37470">
        <w:t>żadne</w:t>
      </w:r>
      <w:r w:rsidR="00E774FC">
        <w:t xml:space="preserve">go </w:t>
      </w:r>
      <w:r w:rsidR="00D37470">
        <w:t>z uzasadnionych celów wymienionych w ust. 2 tego artykułu. Strona internetowa stanowiła wyraz jego zainteresowania sztuką i nie służyła żadnemu „niemoralnemu lub antyspołecznemu” celowi. Ingerencja w prawa skarżącego wynikające z</w:t>
      </w:r>
      <w:r w:rsidR="00582328">
        <w:t> </w:t>
      </w:r>
      <w:r w:rsidR="00D37470">
        <w:t>art.</w:t>
      </w:r>
      <w:r w:rsidR="00582328">
        <w:t> </w:t>
      </w:r>
      <w:r w:rsidR="00D37470">
        <w:t>10 była niepotrzebnym i</w:t>
      </w:r>
      <w:r w:rsidR="00E774FC">
        <w:t> </w:t>
      </w:r>
      <w:r w:rsidR="00D37470">
        <w:t xml:space="preserve">nieuzasadnionym skutkiem ubocznym zajęcia jego serwera. Wreszcie skarżący stwierdził, że nie był zobowiązany do </w:t>
      </w:r>
      <w:r w:rsidR="00582328">
        <w:t>przedsięwzięcia</w:t>
      </w:r>
      <w:r w:rsidR="00D37470">
        <w:t xml:space="preserve"> środków ostrożności w celu zapobieżenia ewentualnemu naruszeniu jego własności cyfrowej poprzez utrzymywanie pełnej kopii zapasowej swojej strony.</w:t>
      </w:r>
    </w:p>
    <w:p w14:paraId="78F85118" w14:textId="77777777" w:rsidR="00D37470" w:rsidRPr="009C15B1" w:rsidRDefault="00D37470" w:rsidP="009C15B1">
      <w:pPr>
        <w:pStyle w:val="JuHA"/>
      </w:pPr>
      <w:r>
        <w:t>Ocena Trybunału</w:t>
      </w:r>
    </w:p>
    <w:p w14:paraId="694BEF4A" w14:textId="77777777" w:rsidR="00D37470" w:rsidRPr="009C15B1" w:rsidRDefault="00D37470" w:rsidP="009C15B1">
      <w:pPr>
        <w:pStyle w:val="JuH1"/>
      </w:pPr>
      <w:r>
        <w:t>Dopuszczalność</w:t>
      </w:r>
    </w:p>
    <w:p w14:paraId="2127E78A" w14:textId="24651957" w:rsidR="00D37470" w:rsidRPr="009C15B1" w:rsidRDefault="009215F5" w:rsidP="009C15B1">
      <w:pPr>
        <w:pStyle w:val="JuHa0"/>
      </w:pPr>
      <w:r>
        <w:t>Skargi</w:t>
      </w:r>
      <w:r w:rsidR="00D37470">
        <w:t xml:space="preserve"> dotyczące przeszukania i zajęcia</w:t>
      </w:r>
    </w:p>
    <w:p w14:paraId="12EA6410" w14:textId="79E06E21" w:rsidR="00D37470" w:rsidRPr="009C15B1" w:rsidRDefault="003A2562" w:rsidP="009C15B1">
      <w:pPr>
        <w:pStyle w:val="JuPara"/>
      </w:pPr>
      <w:r>
        <w:fldChar w:fldCharType="begin"/>
      </w:r>
      <w:r>
        <w:instrText xml:space="preserve"> SEQ level0 \*arabic </w:instrText>
      </w:r>
      <w:r>
        <w:fldChar w:fldCharType="separate"/>
      </w:r>
      <w:r w:rsidR="001D28C9">
        <w:rPr>
          <w:noProof/>
        </w:rPr>
        <w:t>32</w:t>
      </w:r>
      <w:r>
        <w:rPr>
          <w:noProof/>
        </w:rPr>
        <w:fldChar w:fldCharType="end"/>
      </w:r>
      <w:r w:rsidR="00D37470">
        <w:t xml:space="preserve">.  W zakresie, w jakim skarżący zarzucił rzekomą bezprawność samego przeszukania i zajęcia (zob. paragraf 24 powyżej), Trybunał zauważa, że był to akt jednorazowy (zob. </w:t>
      </w:r>
      <w:r w:rsidR="00D37470">
        <w:rPr>
          <w:i/>
        </w:rPr>
        <w:t>Delev przeciwko Bułgarii</w:t>
      </w:r>
      <w:r w:rsidR="00D37470">
        <w:t xml:space="preserve"> (dec.), skarga nr 1116/03, 19 listopada 2013 r., § 34 z dalszymi odniesieniami). Wobec braku skutecznego środka odwoławczego na podstawie prawa bułgarskiego w odniesieniu do przeszukania i zajęcia, jak ustalił Trybunał (zob. </w:t>
      </w:r>
      <w:r w:rsidR="00D37470">
        <w:rPr>
          <w:i/>
        </w:rPr>
        <w:t>Posevini</w:t>
      </w:r>
      <w:r w:rsidR="00D37470">
        <w:t xml:space="preserve">, cyt. powyżej, §§ 84-86), </w:t>
      </w:r>
      <w:r w:rsidR="00C34B74">
        <w:t xml:space="preserve">bieg </w:t>
      </w:r>
      <w:r w:rsidR="00D37470">
        <w:t>termin</w:t>
      </w:r>
      <w:r w:rsidR="00C34B74">
        <w:t>u</w:t>
      </w:r>
      <w:r w:rsidR="00D37470">
        <w:t xml:space="preserve"> sześciu</w:t>
      </w:r>
      <w:r w:rsidR="00C34B74">
        <w:t xml:space="preserve"> </w:t>
      </w:r>
      <w:r w:rsidR="00D37470">
        <w:t>miesięcy na</w:t>
      </w:r>
      <w:r w:rsidR="00C34B74">
        <w:t> </w:t>
      </w:r>
      <w:r w:rsidR="00D37470">
        <w:t xml:space="preserve">podstawie </w:t>
      </w:r>
      <w:r w:rsidR="00FA6A4A">
        <w:t>art.</w:t>
      </w:r>
      <w:r w:rsidR="00D37470">
        <w:t xml:space="preserve"> 35 </w:t>
      </w:r>
      <w:r w:rsidR="00C34B74">
        <w:t>ust.</w:t>
      </w:r>
      <w:r w:rsidR="00D37470">
        <w:t xml:space="preserve"> 1 Konwencji </w:t>
      </w:r>
      <w:r w:rsidR="00C34B74">
        <w:t>rozpoczął się zatem</w:t>
      </w:r>
      <w:r w:rsidR="00D37470">
        <w:t xml:space="preserve"> w dniu, w</w:t>
      </w:r>
      <w:r w:rsidR="00C34B74">
        <w:t> </w:t>
      </w:r>
      <w:r w:rsidR="00D37470">
        <w:t xml:space="preserve">którym doszło do przeszukania i zajęcia, czyli </w:t>
      </w:r>
      <w:r w:rsidR="00FA6A4A">
        <w:t>w dniu</w:t>
      </w:r>
      <w:r w:rsidR="00D37470">
        <w:t xml:space="preserve"> 21 czerwca 2010 r</w:t>
      </w:r>
      <w:r w:rsidR="00C34B74">
        <w:t>.</w:t>
      </w:r>
      <w:r w:rsidR="00D37470">
        <w:t xml:space="preserve"> (zob. paragraf 6 powyżej). Skarg</w:t>
      </w:r>
      <w:r w:rsidR="00C34B74">
        <w:t>a</w:t>
      </w:r>
      <w:r w:rsidR="00D37470">
        <w:t xml:space="preserve"> została złożona w dniu 1 lipca 2011 r., więc w</w:t>
      </w:r>
      <w:r w:rsidR="00AC1E51">
        <w:t> </w:t>
      </w:r>
      <w:r w:rsidR="00D37470">
        <w:t xml:space="preserve">tej części została wniesiona po terminie. </w:t>
      </w:r>
      <w:r w:rsidR="00C27BC8">
        <w:t>Z</w:t>
      </w:r>
      <w:r w:rsidR="00D37470">
        <w:t>godnie z art. 35 ust. 1 i 4 Konwencji</w:t>
      </w:r>
      <w:r w:rsidR="00C27BC8">
        <w:t xml:space="preserve"> należy ją zatem odrzucić</w:t>
      </w:r>
      <w:r w:rsidR="00D37470">
        <w:t>.</w:t>
      </w:r>
    </w:p>
    <w:p w14:paraId="450D85DD" w14:textId="36194FC7" w:rsidR="00D37470" w:rsidRPr="009C15B1" w:rsidRDefault="002629D7" w:rsidP="009C15B1">
      <w:pPr>
        <w:pStyle w:val="JuHa0"/>
      </w:pPr>
      <w:r>
        <w:t>Skarga</w:t>
      </w:r>
      <w:r w:rsidR="00D37470">
        <w:t xml:space="preserve"> na podstawie art. 8 Konwencji</w:t>
      </w:r>
    </w:p>
    <w:p w14:paraId="32D55723" w14:textId="4D802CFA" w:rsidR="00D37470" w:rsidRPr="009C15B1" w:rsidRDefault="003A2562" w:rsidP="009C15B1">
      <w:pPr>
        <w:pStyle w:val="JuPara"/>
      </w:pPr>
      <w:r>
        <w:fldChar w:fldCharType="begin"/>
      </w:r>
      <w:r>
        <w:instrText xml:space="preserve"> SEQ level0 \*arabic </w:instrText>
      </w:r>
      <w:r>
        <w:fldChar w:fldCharType="separate"/>
      </w:r>
      <w:r w:rsidR="001D28C9">
        <w:rPr>
          <w:noProof/>
        </w:rPr>
        <w:t>33</w:t>
      </w:r>
      <w:r>
        <w:rPr>
          <w:noProof/>
        </w:rPr>
        <w:fldChar w:fldCharType="end"/>
      </w:r>
      <w:r w:rsidR="00D37470">
        <w:t xml:space="preserve">.  Rząd stwierdził, że skarżący nie </w:t>
      </w:r>
      <w:r w:rsidR="0049342D">
        <w:t xml:space="preserve">złożył skargi </w:t>
      </w:r>
      <w:r w:rsidR="00D37470">
        <w:t>na podstawie art. 8 Konwencji</w:t>
      </w:r>
      <w:r w:rsidR="0049342D">
        <w:t xml:space="preserve"> na szczeblu krajowym</w:t>
      </w:r>
      <w:r w:rsidR="00D37470">
        <w:t xml:space="preserve"> (zob. paragraf 26 powyżej </w:t>
      </w:r>
      <w:r w:rsidR="00D37470">
        <w:rPr>
          <w:i/>
        </w:rPr>
        <w:t>in fine</w:t>
      </w:r>
      <w:r w:rsidR="00D37470">
        <w:t>).</w:t>
      </w:r>
    </w:p>
    <w:p w14:paraId="3D7CAA1D" w14:textId="041664E8" w:rsidR="00D37470" w:rsidRPr="009C15B1" w:rsidRDefault="003A2562" w:rsidP="009C15B1">
      <w:pPr>
        <w:pStyle w:val="JuPara"/>
        <w:rPr>
          <w:b/>
        </w:rPr>
      </w:pPr>
      <w:r>
        <w:fldChar w:fldCharType="begin"/>
      </w:r>
      <w:r>
        <w:instrText xml:space="preserve"> SEQ level0 \*arabic </w:instrText>
      </w:r>
      <w:r>
        <w:fldChar w:fldCharType="separate"/>
      </w:r>
      <w:r w:rsidR="001D28C9">
        <w:rPr>
          <w:noProof/>
        </w:rPr>
        <w:t>34</w:t>
      </w:r>
      <w:r>
        <w:rPr>
          <w:noProof/>
        </w:rPr>
        <w:fldChar w:fldCharType="end"/>
      </w:r>
      <w:r w:rsidR="00D37470">
        <w:t xml:space="preserve">.  Trybunał podziela ten argument. Zauważa, że skarżący, w pismach przesyłanych organom ścigania po zajęciu serwera, </w:t>
      </w:r>
      <w:r w:rsidR="00AC701F">
        <w:t xml:space="preserve">skarżył się </w:t>
      </w:r>
      <w:r w:rsidR="00D37470">
        <w:t xml:space="preserve">wyłącznie </w:t>
      </w:r>
      <w:r w:rsidR="00AC701F">
        <w:t xml:space="preserve">na </w:t>
      </w:r>
      <w:r w:rsidR="00D37470">
        <w:t xml:space="preserve">zatrzymanie </w:t>
      </w:r>
      <w:r w:rsidR="00AC701F">
        <w:t xml:space="preserve">przechowywanej na serwerze </w:t>
      </w:r>
      <w:r w:rsidR="00D37470">
        <w:t xml:space="preserve">korespondencji użytkowników </w:t>
      </w:r>
      <w:r w:rsidR="00D37470">
        <w:lastRenderedPageBreak/>
        <w:t xml:space="preserve">jego strony oraz nieokreślonych </w:t>
      </w:r>
      <w:r w:rsidR="00C34B74">
        <w:t>„</w:t>
      </w:r>
      <w:r w:rsidR="00D37470">
        <w:t>przedmiotów prawa autorskiego</w:t>
      </w:r>
      <w:r w:rsidR="00C34B74">
        <w:t>”</w:t>
      </w:r>
      <w:r w:rsidR="00D37470">
        <w:t xml:space="preserve"> (zob. paragrafy 9-10 powyżej). Wprawdzie w jednym przypadku powołał się na art. 8 Konwencji (zob. paragraf 10 powyżej </w:t>
      </w:r>
      <w:r w:rsidR="00D37470">
        <w:rPr>
          <w:i/>
        </w:rPr>
        <w:t>in</w:t>
      </w:r>
      <w:r w:rsidR="00C34B74">
        <w:rPr>
          <w:i/>
        </w:rPr>
        <w:t> </w:t>
      </w:r>
      <w:r w:rsidR="00D37470">
        <w:rPr>
          <w:i/>
        </w:rPr>
        <w:t>fine</w:t>
      </w:r>
      <w:r w:rsidR="00D37470">
        <w:t xml:space="preserve">), ale uczynił to w sposób ogólny i nie wyjaśnił, na czym polegała ingerencja w jego prawa na podstawie tego przepisu. W związku z tym Trybunał nie może stwierdzić, że skarżący </w:t>
      </w:r>
      <w:r w:rsidR="00092930">
        <w:t xml:space="preserve">w wyraźny sposób </w:t>
      </w:r>
      <w:r w:rsidR="00D37470">
        <w:t>podniósł na szczeblu krajowym kwestię swojego prawa do życia prywatnego i korespondencji, tak aby umożliwić władzom naprawę domniemanego naruszenia tych praw. Skarżący bardziej szczegółowo od</w:t>
      </w:r>
      <w:r w:rsidR="00C34B74">
        <w:t>niósł</w:t>
      </w:r>
      <w:r w:rsidR="00D37470">
        <w:t xml:space="preserve"> się do oprogramowania, które opracowywał (zob. paragraf 10 powyżej), lecz ten aspekt skargi </w:t>
      </w:r>
      <w:r w:rsidR="00190404">
        <w:t xml:space="preserve">jest w większym stopniu uregulowany w </w:t>
      </w:r>
      <w:r w:rsidR="00D37470">
        <w:t xml:space="preserve">art. 1 </w:t>
      </w:r>
      <w:r w:rsidR="003C6885">
        <w:t xml:space="preserve">Protokołu </w:t>
      </w:r>
      <w:r w:rsidR="00D37470">
        <w:t>nr 1 i</w:t>
      </w:r>
      <w:r w:rsidR="00190404">
        <w:t> </w:t>
      </w:r>
      <w:r w:rsidR="00D37470">
        <w:t>zostanie omówiony w</w:t>
      </w:r>
      <w:r w:rsidR="00C34B74">
        <w:t> </w:t>
      </w:r>
      <w:r w:rsidR="00D37470">
        <w:t>analizie pod tym nagłówkiem (zob. paragraf 46 poniżej).</w:t>
      </w:r>
    </w:p>
    <w:p w14:paraId="7296F08D" w14:textId="6A29C310" w:rsidR="00D37470" w:rsidRPr="009C15B1" w:rsidRDefault="003A2562" w:rsidP="009C15B1">
      <w:pPr>
        <w:pStyle w:val="JuPara"/>
      </w:pPr>
      <w:r>
        <w:fldChar w:fldCharType="begin"/>
      </w:r>
      <w:r>
        <w:instrText xml:space="preserve"> SEQ level0 \*arabi</w:instrText>
      </w:r>
      <w:r>
        <w:instrText xml:space="preserve">c </w:instrText>
      </w:r>
      <w:r>
        <w:fldChar w:fldCharType="separate"/>
      </w:r>
      <w:r w:rsidR="001D28C9">
        <w:rPr>
          <w:noProof/>
        </w:rPr>
        <w:t>35</w:t>
      </w:r>
      <w:r>
        <w:rPr>
          <w:noProof/>
        </w:rPr>
        <w:fldChar w:fldCharType="end"/>
      </w:r>
      <w:r w:rsidR="00D37470">
        <w:t xml:space="preserve">.  Wobec tego </w:t>
      </w:r>
      <w:r w:rsidR="00DB5398">
        <w:t xml:space="preserve">skargę </w:t>
      </w:r>
      <w:r w:rsidR="00D37470">
        <w:t xml:space="preserve">na podstawie art. 8 </w:t>
      </w:r>
      <w:r w:rsidR="00DB5398">
        <w:t xml:space="preserve">należy odrzucić </w:t>
      </w:r>
      <w:r w:rsidR="00D37470">
        <w:t>na</w:t>
      </w:r>
      <w:r w:rsidR="00C34B74">
        <w:t> </w:t>
      </w:r>
      <w:r w:rsidR="00D37470">
        <w:t>podstawie art. 35 ust. 1 i 4 Konwencji z powodu niewyczerpania środków odwoławczych przewidzianych prawem wewnętrznym.</w:t>
      </w:r>
    </w:p>
    <w:p w14:paraId="23973F25" w14:textId="2CF7E72F" w:rsidR="00D37470" w:rsidRPr="009C15B1" w:rsidRDefault="00D37470" w:rsidP="009C15B1">
      <w:pPr>
        <w:pStyle w:val="JuHa0"/>
      </w:pPr>
      <w:r>
        <w:t xml:space="preserve">Pozostałe </w:t>
      </w:r>
      <w:r w:rsidR="00EC0C3F">
        <w:t>skargi</w:t>
      </w:r>
    </w:p>
    <w:p w14:paraId="7C5E33E6" w14:textId="0E778377" w:rsidR="00D37470" w:rsidRPr="009C15B1" w:rsidRDefault="003A2562" w:rsidP="009C15B1">
      <w:pPr>
        <w:pStyle w:val="JuPara"/>
      </w:pPr>
      <w:r>
        <w:fldChar w:fldCharType="begin"/>
      </w:r>
      <w:r>
        <w:instrText xml:space="preserve"> SEQ level0 \*arabic </w:instrText>
      </w:r>
      <w:r>
        <w:fldChar w:fldCharType="separate"/>
      </w:r>
      <w:r w:rsidR="001D28C9">
        <w:rPr>
          <w:noProof/>
        </w:rPr>
        <w:t>36</w:t>
      </w:r>
      <w:r>
        <w:rPr>
          <w:noProof/>
        </w:rPr>
        <w:fldChar w:fldCharType="end"/>
      </w:r>
      <w:r w:rsidR="00D37470">
        <w:t xml:space="preserve">.  W odniesieniu do pozostałych </w:t>
      </w:r>
      <w:r w:rsidR="00EC0C3F">
        <w:t>skarg</w:t>
      </w:r>
      <w:r w:rsidR="00D37470">
        <w:t xml:space="preserve">, na podstawie art. 1 </w:t>
      </w:r>
      <w:r w:rsidR="003C6885">
        <w:t xml:space="preserve">Protokołu </w:t>
      </w:r>
      <w:r w:rsidR="00D37470">
        <w:t xml:space="preserve">nr 1 oraz art. 10 Konwencji, </w:t>
      </w:r>
      <w:r w:rsidR="00D376A6">
        <w:t xml:space="preserve">w związku z zatrzymaniem </w:t>
      </w:r>
      <w:r w:rsidR="00C34B74">
        <w:t xml:space="preserve">zajętego </w:t>
      </w:r>
      <w:r w:rsidR="00D37470">
        <w:t>mienia skarżącego, Trybunał musi zbadać dalsze zastrzeżenia zgłoszone przez Rząd, dotyczące niewyczerpania przez skarżącego krajowych środków odwoławczych (zob. paragraf 26 powyżej).</w:t>
      </w:r>
    </w:p>
    <w:p w14:paraId="44F9E701" w14:textId="25CD1F47" w:rsidR="00D37470" w:rsidRPr="009C15B1" w:rsidRDefault="003A2562" w:rsidP="009C15B1">
      <w:pPr>
        <w:pStyle w:val="JuPara"/>
      </w:pPr>
      <w:r>
        <w:fldChar w:fldCharType="begin"/>
      </w:r>
      <w:r>
        <w:instrText xml:space="preserve"> SEQ level0 \*arabic </w:instrText>
      </w:r>
      <w:r>
        <w:fldChar w:fldCharType="separate"/>
      </w:r>
      <w:r w:rsidR="001D28C9">
        <w:rPr>
          <w:noProof/>
        </w:rPr>
        <w:t>37</w:t>
      </w:r>
      <w:r>
        <w:rPr>
          <w:noProof/>
        </w:rPr>
        <w:fldChar w:fldCharType="end"/>
      </w:r>
      <w:r w:rsidR="00D37470">
        <w:t xml:space="preserve">.  Po pierwsze Rząd podniósł argument, że po umorzeniu postępowania karnego w Sofii skarżący powinien był ubiegać się o zwrot serwera od organów ścigania w Trojan, do czego, co do zasady, miał prawo na podstawie art. 111 </w:t>
      </w:r>
      <w:r w:rsidR="00CA62AD">
        <w:t>K</w:t>
      </w:r>
      <w:r w:rsidR="00D37470">
        <w:t xml:space="preserve">odeksu postępowania karnego. Rząd nie wykazał jednak, aby organy w Trojan kiedykolwiek otrzymały dowody rzeczowe zajęte w Sofii i że w związku z tym mogły postanowić o ich wydaniu. W styczniu 2011 r. prokuratura rejonowa w Trojan oświadczyła, że nie wie, gdzie są przechowywane dowody (zob. paragraf 13 powyżej); dowody ostatecznie wydała prokuratura rejonowa w Sofii (zob. paragraf 15 powyżej). W związku z tym Trybunał nie uważa, </w:t>
      </w:r>
      <w:r w:rsidR="00F375BC">
        <w:t>aby</w:t>
      </w:r>
      <w:r w:rsidR="00D37470">
        <w:t xml:space="preserve"> wniosek w trybie art.</w:t>
      </w:r>
      <w:r w:rsidR="00F375BC">
        <w:t> </w:t>
      </w:r>
      <w:r w:rsidR="00D37470">
        <w:t xml:space="preserve">111 </w:t>
      </w:r>
      <w:r w:rsidR="00CA62AD">
        <w:t>K</w:t>
      </w:r>
      <w:r w:rsidR="00D37470">
        <w:t>odeksu postępowania karnego skierowany do organów ścigania w</w:t>
      </w:r>
      <w:r w:rsidR="00F375BC">
        <w:t> </w:t>
      </w:r>
      <w:r w:rsidR="00D37470">
        <w:t>Trojan mógł doprowadzić do szybkiego zwrotu serwera skarżącego. Nie można zatem stwierdzić, że skarżący nie wyczerpał krajowego środka odwoławczego, który mógłby być skuteczny w tych okolicznościach.</w:t>
      </w:r>
    </w:p>
    <w:p w14:paraId="421FF34B" w14:textId="6DE6B4BE" w:rsidR="00D37470" w:rsidRPr="009C15B1" w:rsidRDefault="003A2562" w:rsidP="009C15B1">
      <w:pPr>
        <w:pStyle w:val="JuPara"/>
      </w:pPr>
      <w:r>
        <w:fldChar w:fldCharType="begin"/>
      </w:r>
      <w:r>
        <w:instrText xml:space="preserve"> SEQ level0 \*arabic</w:instrText>
      </w:r>
      <w:r>
        <w:instrText xml:space="preserve"> </w:instrText>
      </w:r>
      <w:r>
        <w:fldChar w:fldCharType="separate"/>
      </w:r>
      <w:r w:rsidR="001D28C9">
        <w:rPr>
          <w:noProof/>
        </w:rPr>
        <w:t>38</w:t>
      </w:r>
      <w:r>
        <w:rPr>
          <w:noProof/>
        </w:rPr>
        <w:fldChar w:fldCharType="end"/>
      </w:r>
      <w:r w:rsidR="00D37470">
        <w:t xml:space="preserve">.  W odniesieniu do argumentu, że skarżący powinien był wnieść powództwo deliktowe przeciwko organom ścigania w celu uzyskania odszkodowania za rzekomo długotrwałe przetrzymywanie jego mienia, Rząd powołał się na dwa wyroki sądów krajowych, w których podobne powództwa zostały dopuszczone (zob. paragrafy 21, 22 i 26 powyżej). Pierwszy z nich </w:t>
      </w:r>
      <w:r w:rsidR="008B7449">
        <w:t>wydał</w:t>
      </w:r>
      <w:r w:rsidR="00D37470">
        <w:t xml:space="preserve"> Najwyższy Sąd Kasacyjny w grudniu 2011 r., a</w:t>
      </w:r>
      <w:r w:rsidR="008B7449">
        <w:t> </w:t>
      </w:r>
      <w:r w:rsidR="00D37470">
        <w:t xml:space="preserve">drugi </w:t>
      </w:r>
      <w:r w:rsidR="008B7449">
        <w:t xml:space="preserve">– </w:t>
      </w:r>
      <w:r w:rsidR="00D37470">
        <w:t>Sąd Apelacyjny w Sofii w sierpniu 2011 r.</w:t>
      </w:r>
      <w:r w:rsidR="008B7449">
        <w:t xml:space="preserve">, po czym wyrok </w:t>
      </w:r>
      <w:r w:rsidR="00D37470">
        <w:t xml:space="preserve">uprawomocnił się w </w:t>
      </w:r>
      <w:r w:rsidR="00D37470">
        <w:lastRenderedPageBreak/>
        <w:t>maju 2012 r. W ich następstwie sądy krajowe badały inne podobne powództwa (zob. p</w:t>
      </w:r>
      <w:r w:rsidR="008B7449">
        <w:t>aragraf</w:t>
      </w:r>
      <w:r w:rsidR="00D37470">
        <w:t xml:space="preserve"> 23 powyżej).</w:t>
      </w:r>
    </w:p>
    <w:p w14:paraId="5EC56D98" w14:textId="1B5952D3" w:rsidR="00D37470" w:rsidRPr="009C15B1" w:rsidRDefault="003A2562" w:rsidP="009C15B1">
      <w:pPr>
        <w:pStyle w:val="JuPara"/>
        <w:rPr>
          <w:i/>
        </w:rPr>
      </w:pPr>
      <w:r>
        <w:fldChar w:fldCharType="begin"/>
      </w:r>
      <w:r>
        <w:instrText xml:space="preserve"> SEQ level0 \*arabic </w:instrText>
      </w:r>
      <w:r>
        <w:fldChar w:fldCharType="separate"/>
      </w:r>
      <w:r w:rsidR="001D28C9">
        <w:rPr>
          <w:noProof/>
        </w:rPr>
        <w:t>39</w:t>
      </w:r>
      <w:r>
        <w:rPr>
          <w:noProof/>
        </w:rPr>
        <w:fldChar w:fldCharType="end"/>
      </w:r>
      <w:r w:rsidR="00D37470">
        <w:t>.  Zgodnie z orzecznictwem Trybunału ocena, czy krajowe środki odwoławcze zostały wyczerpane, jest zwykle przeprowadzana w</w:t>
      </w:r>
      <w:r w:rsidR="008B7449">
        <w:t> </w:t>
      </w:r>
      <w:r w:rsidR="00D37470">
        <w:t xml:space="preserve">odniesieniu do daty złożenia skargi do Trybunału (zob. m.in. </w:t>
      </w:r>
      <w:r w:rsidR="00D37470">
        <w:rPr>
          <w:i/>
        </w:rPr>
        <w:t>Baumann przeciwko Francji</w:t>
      </w:r>
      <w:r w:rsidR="00D37470">
        <w:t xml:space="preserve">, skarga nr 33592/96, § 47, ETPC 2001-V, oraz </w:t>
      </w:r>
      <w:r w:rsidR="00D37470">
        <w:rPr>
          <w:i/>
          <w:iCs/>
        </w:rPr>
        <w:t>O'Sullivan McCarthy Mussel Development Ltd przeciwko Irlandii</w:t>
      </w:r>
      <w:r w:rsidR="00D37470">
        <w:t>, skarga nr</w:t>
      </w:r>
      <w:r w:rsidR="008B7449">
        <w:rPr>
          <w:snapToGrid w:val="0"/>
        </w:rPr>
        <w:t> </w:t>
      </w:r>
      <w:r w:rsidR="00D37470">
        <w:t xml:space="preserve">44460/16, § 136, 7 czerwca 2018 r.). O ile Trybunał odstępował uprzednio od tej zasady (zob. np. </w:t>
      </w:r>
      <w:r w:rsidR="00D37470">
        <w:rPr>
          <w:i/>
        </w:rPr>
        <w:t xml:space="preserve">Demopoulos i Inni przeciwko Turcji </w:t>
      </w:r>
      <w:r w:rsidR="00D37470">
        <w:rPr>
          <w:snapToGrid w:val="0"/>
        </w:rPr>
        <w:t>(dec.) [WI], skarga nr 46113/99 i 7 innych</w:t>
      </w:r>
      <w:r w:rsidR="00D37470">
        <w:t xml:space="preserve">, § 87-88, ETPC 2010, oraz </w:t>
      </w:r>
      <w:r w:rsidR="00D37470">
        <w:rPr>
          <w:i/>
        </w:rPr>
        <w:t>Balakchiev i</w:t>
      </w:r>
      <w:r w:rsidR="008B7449">
        <w:rPr>
          <w:i/>
        </w:rPr>
        <w:t> </w:t>
      </w:r>
      <w:r w:rsidR="00D37470">
        <w:rPr>
          <w:i/>
        </w:rPr>
        <w:t>Inni przeciwko Bułgarii</w:t>
      </w:r>
      <w:r w:rsidR="00D37470">
        <w:t xml:space="preserve"> (dec.), § 83, nr 65187/10, 18 czerwca 2013 r.), nie widzi uzasadnienia dla takiego postępowania w </w:t>
      </w:r>
      <w:r w:rsidR="009D4B4C">
        <w:t>rozpatrywanej</w:t>
      </w:r>
      <w:r w:rsidR="00D37470">
        <w:t xml:space="preserve"> sprawie. Mimo że mniej więcej od połowy 2012 r. powództwo deliktowe przeciwko organom ścigania z tytułu nieuzasadnionego zatrzymania dowodów rzeczowych wydaje </w:t>
      </w:r>
      <w:r w:rsidR="001021B4">
        <w:t>się</w:t>
      </w:r>
      <w:r w:rsidR="00D37470">
        <w:t xml:space="preserve"> dostępnym i co do zasady skutecznym środkiem odwoławczym, </w:t>
      </w:r>
      <w:r w:rsidR="009D4B4C">
        <w:t>przedmiotową skargę złożono</w:t>
      </w:r>
      <w:r w:rsidR="00D37470">
        <w:t xml:space="preserve"> w dniu 1 lipca 2011 r. Oznacza to, że rozpatrywanych zarzutów nie można odrzucić z powodu niewyczerpania krajowych środków odwoławczych.</w:t>
      </w:r>
    </w:p>
    <w:p w14:paraId="570A48E4" w14:textId="4CCB3228" w:rsidR="00D37470" w:rsidRPr="009C15B1" w:rsidRDefault="003A2562" w:rsidP="009C15B1">
      <w:pPr>
        <w:pStyle w:val="JuPara"/>
      </w:pPr>
      <w:r>
        <w:fldChar w:fldCharType="begin"/>
      </w:r>
      <w:r>
        <w:instrText xml:space="preserve"> SEQ level0 \*arabic </w:instrText>
      </w:r>
      <w:r>
        <w:fldChar w:fldCharType="separate"/>
      </w:r>
      <w:r w:rsidR="001D28C9">
        <w:rPr>
          <w:noProof/>
        </w:rPr>
        <w:t>40</w:t>
      </w:r>
      <w:r>
        <w:rPr>
          <w:noProof/>
        </w:rPr>
        <w:fldChar w:fldCharType="end"/>
      </w:r>
      <w:r w:rsidR="00D37470">
        <w:t>.  </w:t>
      </w:r>
      <w:r w:rsidR="00DD7C19">
        <w:t xml:space="preserve">W związku z powyższym </w:t>
      </w:r>
      <w:r w:rsidR="00D37470">
        <w:t>Trybunał odrzuca powyższe zastrzeżenia zgłoszone przez Rząd.</w:t>
      </w:r>
    </w:p>
    <w:p w14:paraId="409B4984" w14:textId="5B8E9BA3" w:rsidR="00D37470" w:rsidRPr="009C15B1" w:rsidRDefault="003A2562" w:rsidP="009C15B1">
      <w:pPr>
        <w:pStyle w:val="JuPara"/>
      </w:pPr>
      <w:r>
        <w:fldChar w:fldCharType="begin"/>
      </w:r>
      <w:r>
        <w:instrText xml:space="preserve"> SEQ lev</w:instrText>
      </w:r>
      <w:r>
        <w:instrText xml:space="preserve">el0 \*arabic </w:instrText>
      </w:r>
      <w:r>
        <w:fldChar w:fldCharType="separate"/>
      </w:r>
      <w:r w:rsidR="001D28C9">
        <w:rPr>
          <w:noProof/>
        </w:rPr>
        <w:t>41</w:t>
      </w:r>
      <w:r>
        <w:rPr>
          <w:noProof/>
        </w:rPr>
        <w:fldChar w:fldCharType="end"/>
      </w:r>
      <w:r w:rsidR="00D37470">
        <w:t xml:space="preserve">.  Wreszcie Trybunał zauważa, że rozpatrywane </w:t>
      </w:r>
      <w:r w:rsidR="00B60F24">
        <w:t>skargi</w:t>
      </w:r>
      <w:r w:rsidR="00D37470">
        <w:t xml:space="preserve"> nie są w</w:t>
      </w:r>
      <w:r w:rsidR="008B7449">
        <w:t> </w:t>
      </w:r>
      <w:r w:rsidR="00D37470">
        <w:t xml:space="preserve">sposób oczywisty nieuzasadnione w rozumieniu art. 35 ust. 3 lit. a) Konwencji ani nie </w:t>
      </w:r>
      <w:r w:rsidR="008B7449">
        <w:t>są</w:t>
      </w:r>
      <w:r w:rsidR="00D37470">
        <w:t xml:space="preserve"> niedopuszczalne na </w:t>
      </w:r>
      <w:r w:rsidR="00B60F24">
        <w:t>wszelkiej</w:t>
      </w:r>
      <w:r w:rsidR="00EF372C">
        <w:t xml:space="preserve"> </w:t>
      </w:r>
      <w:r w:rsidR="00D37470">
        <w:t>innej podstawie określonej w art. 35. Należy je zatem uznać za dopuszczalne.</w:t>
      </w:r>
    </w:p>
    <w:p w14:paraId="20601C01" w14:textId="77777777" w:rsidR="00D37470" w:rsidRPr="009C15B1" w:rsidRDefault="00D37470" w:rsidP="009C15B1">
      <w:pPr>
        <w:pStyle w:val="JuH1"/>
      </w:pPr>
      <w:r>
        <w:t>Przedmiot skargi</w:t>
      </w:r>
    </w:p>
    <w:p w14:paraId="221F1E0B" w14:textId="06A19469" w:rsidR="00D37470" w:rsidRPr="009C15B1" w:rsidRDefault="00D37470" w:rsidP="009C15B1">
      <w:pPr>
        <w:pStyle w:val="JuHa0"/>
      </w:pPr>
      <w:r>
        <w:t xml:space="preserve">Artykuł 1 </w:t>
      </w:r>
      <w:r w:rsidR="003C6885">
        <w:t xml:space="preserve">Protokołu </w:t>
      </w:r>
      <w:r>
        <w:t>nr 1</w:t>
      </w:r>
    </w:p>
    <w:p w14:paraId="1ED05102" w14:textId="1B9C3C4E" w:rsidR="00D37470" w:rsidRPr="009C15B1" w:rsidRDefault="003A2562" w:rsidP="009C15B1">
      <w:pPr>
        <w:pStyle w:val="JuPara"/>
      </w:pPr>
      <w:r>
        <w:fldChar w:fldCharType="begin"/>
      </w:r>
      <w:r>
        <w:instrText xml:space="preserve"> SEQ level0 \*arabic </w:instrText>
      </w:r>
      <w:r>
        <w:fldChar w:fldCharType="separate"/>
      </w:r>
      <w:r w:rsidR="001D28C9">
        <w:rPr>
          <w:noProof/>
        </w:rPr>
        <w:t>42</w:t>
      </w:r>
      <w:r>
        <w:rPr>
          <w:noProof/>
        </w:rPr>
        <w:fldChar w:fldCharType="end"/>
      </w:r>
      <w:r w:rsidR="00D37470">
        <w:t>.  </w:t>
      </w:r>
      <w:r w:rsidR="00A65F01">
        <w:t>Art.</w:t>
      </w:r>
      <w:r w:rsidR="00D37470">
        <w:t xml:space="preserve"> 1 </w:t>
      </w:r>
      <w:r w:rsidR="003C6885">
        <w:t xml:space="preserve">Protokołu </w:t>
      </w:r>
      <w:r w:rsidR="00D37470">
        <w:t xml:space="preserve">nr 1 nie zakazuje zatrzymywania dowodów rzeczowych w ramach toczącego się </w:t>
      </w:r>
      <w:r w:rsidR="005141A0">
        <w:t>dochodzenia</w:t>
      </w:r>
      <w:r w:rsidR="00D37470">
        <w:t xml:space="preserve"> w sprawie karnej. Mimo </w:t>
      </w:r>
      <w:r w:rsidR="005667B5">
        <w:t>to</w:t>
      </w:r>
      <w:r w:rsidR="00D37470">
        <w:t xml:space="preserve"> środek</w:t>
      </w:r>
      <w:r w:rsidR="005667B5">
        <w:t xml:space="preserve"> ten</w:t>
      </w:r>
      <w:r w:rsidR="00D37470">
        <w:t xml:space="preserve">, </w:t>
      </w:r>
      <w:r w:rsidR="005667B5">
        <w:t>jako że</w:t>
      </w:r>
      <w:r w:rsidR="00D37470">
        <w:t xml:space="preserve"> dotyczy </w:t>
      </w:r>
      <w:r w:rsidR="008B7449">
        <w:t>uregulowania sposobu korzystania z własności</w:t>
      </w:r>
      <w:r w:rsidR="00D37470">
        <w:t xml:space="preserve"> (zob. </w:t>
      </w:r>
      <w:r w:rsidR="00D37470">
        <w:rPr>
          <w:i/>
        </w:rPr>
        <w:t>Raimondo przeciwko Włochom</w:t>
      </w:r>
      <w:r w:rsidR="00D37470">
        <w:t>, 22 lutego 1994 r., § 29, Seria A nr 281</w:t>
      </w:r>
      <w:r w:rsidR="00D37470">
        <w:noBreakHyphen/>
        <w:t xml:space="preserve">A), musi spełniać wymogi art. 1 </w:t>
      </w:r>
      <w:r w:rsidR="003C6885">
        <w:t xml:space="preserve">Protokołu </w:t>
      </w:r>
      <w:r w:rsidR="00D37470">
        <w:t>nr</w:t>
      </w:r>
      <w:r w:rsidR="005667B5">
        <w:t> </w:t>
      </w:r>
      <w:r w:rsidR="00D37470">
        <w:t>1. Musi więc być przewidziany ustawą i</w:t>
      </w:r>
      <w:r w:rsidR="005667B5">
        <w:t xml:space="preserve"> służyć uzasadnionemu celowi</w:t>
      </w:r>
      <w:r w:rsidR="00D37470">
        <w:t xml:space="preserve">. W swoich działaniach władze muszą również zachować sprawiedliwą równowagę między interesem ogółu a prawem jednostki do własności (zob. np. </w:t>
      </w:r>
      <w:r w:rsidR="00D37470">
        <w:rPr>
          <w:i/>
        </w:rPr>
        <w:t>Borzhonov przeciwko Rosji</w:t>
      </w:r>
      <w:r w:rsidR="00D37470">
        <w:t>, skarga nr 18274/04, 22 stycznia 2009 r., §§ 57-59 z dalszymi odniesieniami).</w:t>
      </w:r>
    </w:p>
    <w:p w14:paraId="38C0785E" w14:textId="6147D32D" w:rsidR="00D37470" w:rsidRPr="009C15B1" w:rsidRDefault="003A2562" w:rsidP="009C15B1">
      <w:pPr>
        <w:pStyle w:val="JuPara"/>
      </w:pPr>
      <w:r>
        <w:fldChar w:fldCharType="begin"/>
      </w:r>
      <w:r>
        <w:instrText xml:space="preserve"> SEQ level0 \*arabic </w:instrText>
      </w:r>
      <w:r>
        <w:fldChar w:fldCharType="separate"/>
      </w:r>
      <w:r w:rsidR="001D28C9">
        <w:rPr>
          <w:noProof/>
        </w:rPr>
        <w:t>43</w:t>
      </w:r>
      <w:r>
        <w:rPr>
          <w:noProof/>
        </w:rPr>
        <w:fldChar w:fldCharType="end"/>
      </w:r>
      <w:r w:rsidR="00D37470">
        <w:t>.  W przedmiotowej sprawie</w:t>
      </w:r>
      <w:r w:rsidR="00D44ADA">
        <w:t xml:space="preserve"> organy ścigania zajęły</w:t>
      </w:r>
      <w:r w:rsidR="00D37470">
        <w:t xml:space="preserve"> serwer skarżącego na mocy art. 111 </w:t>
      </w:r>
      <w:r w:rsidR="005F6E9E">
        <w:t>K</w:t>
      </w:r>
      <w:r w:rsidR="00D37470">
        <w:t>odeksu postępowania karnego (zob. paragraf 20 powyżej). Zatrzymanie miało więc podstawę w prawie krajowym. Ponieważ ustalono, że na serwerze częściowo hostowano stronę internetową, w</w:t>
      </w:r>
      <w:r w:rsidR="00D44ADA">
        <w:t> </w:t>
      </w:r>
      <w:r w:rsidR="00D37470">
        <w:t>odniesieniu do której istniało podejrzenie naruszenia praw autorskich, co</w:t>
      </w:r>
      <w:r w:rsidR="00D44ADA">
        <w:t> </w:t>
      </w:r>
      <w:r w:rsidR="00D37470">
        <w:t xml:space="preserve">stanowi czyn zabroniony na podstawie </w:t>
      </w:r>
      <w:r w:rsidR="00D621DF">
        <w:t>K</w:t>
      </w:r>
      <w:r w:rsidR="00D37470">
        <w:t>odeksu karnego (zob. paragraf 18 powyżej),</w:t>
      </w:r>
      <w:r w:rsidR="00D44ADA">
        <w:t xml:space="preserve"> </w:t>
      </w:r>
      <w:r w:rsidR="00D37470">
        <w:lastRenderedPageBreak/>
        <w:t xml:space="preserve">Trybunał uznał dodatkowo, że zatrzymanie służyło </w:t>
      </w:r>
      <w:r w:rsidR="00D621DF">
        <w:t>osiągnięciu</w:t>
      </w:r>
      <w:r w:rsidR="00D37470">
        <w:t xml:space="preserve"> uzasadnionych celów zapobiegania zakłócaniu porządku lub </w:t>
      </w:r>
      <w:r w:rsidR="00D40A7E">
        <w:t>przestępstwu</w:t>
      </w:r>
      <w:r w:rsidR="00D37470">
        <w:t xml:space="preserve"> oraz ochrony praw innych osób.</w:t>
      </w:r>
    </w:p>
    <w:p w14:paraId="4AD6824B" w14:textId="0A7F967C" w:rsidR="00D37470" w:rsidRPr="009C15B1" w:rsidRDefault="003A2562" w:rsidP="009C15B1">
      <w:pPr>
        <w:pStyle w:val="JuPara"/>
      </w:pPr>
      <w:r>
        <w:fldChar w:fldCharType="begin"/>
      </w:r>
      <w:r>
        <w:instrText xml:space="preserve"> SEQ level0 \*arabic </w:instrText>
      </w:r>
      <w:r>
        <w:fldChar w:fldCharType="separate"/>
      </w:r>
      <w:r w:rsidR="001D28C9">
        <w:rPr>
          <w:noProof/>
        </w:rPr>
        <w:t>44</w:t>
      </w:r>
      <w:r>
        <w:rPr>
          <w:noProof/>
        </w:rPr>
        <w:fldChar w:fldCharType="end"/>
      </w:r>
      <w:r w:rsidR="00D37470">
        <w:t xml:space="preserve">.  Istotne jest zatem pytanie, czy środek był proporcjonalny. Analizując </w:t>
      </w:r>
      <w:r w:rsidR="00D44ADA">
        <w:t>to zagadnienie</w:t>
      </w:r>
      <w:r w:rsidR="00D37470">
        <w:t xml:space="preserve">, Trybunał weźmie pod uwagę czas, przez jaki zatrzymano własność skarżącego, konieczność zatrzymania, konsekwencje dla skarżącego, a także zachowanie odpowiednich władz (zob. </w:t>
      </w:r>
      <w:r w:rsidR="00D37470">
        <w:rPr>
          <w:i/>
        </w:rPr>
        <w:t>Petyo Petkov przeciwko Bułgarii</w:t>
      </w:r>
      <w:r w:rsidR="00D37470">
        <w:t>, skarga nr 32130/03,</w:t>
      </w:r>
      <w:r w:rsidR="00D44ADA">
        <w:t xml:space="preserve"> </w:t>
      </w:r>
      <w:r w:rsidR="00D37470">
        <w:rPr>
          <w:snapToGrid w:val="0"/>
        </w:rPr>
        <w:t>§ 105, 7 stycznia 2010 r.)</w:t>
      </w:r>
      <w:r w:rsidR="00D37470">
        <w:t>.</w:t>
      </w:r>
    </w:p>
    <w:p w14:paraId="2251506A" w14:textId="421009BF" w:rsidR="00D37470" w:rsidRPr="009C15B1" w:rsidRDefault="003A2562" w:rsidP="009C15B1">
      <w:pPr>
        <w:pStyle w:val="JuPara"/>
      </w:pPr>
      <w:r>
        <w:fldChar w:fldCharType="begin"/>
      </w:r>
      <w:r>
        <w:instrText xml:space="preserve"> SEQ level0 \*arabic </w:instrText>
      </w:r>
      <w:r>
        <w:fldChar w:fldCharType="separate"/>
      </w:r>
      <w:r w:rsidR="001D28C9">
        <w:rPr>
          <w:noProof/>
        </w:rPr>
        <w:t>45</w:t>
      </w:r>
      <w:r>
        <w:rPr>
          <w:noProof/>
        </w:rPr>
        <w:fldChar w:fldCharType="end"/>
      </w:r>
      <w:r w:rsidR="00D37470">
        <w:t>.  Serwer skarżącego zajęto w dniu 21 czerwca 2010 r. i zatrzymano do</w:t>
      </w:r>
      <w:r w:rsidR="00D44ADA">
        <w:t> </w:t>
      </w:r>
      <w:r w:rsidR="00D37470">
        <w:t xml:space="preserve">dnia 8 lutego 2011 r., czyli przez około siedem i pół miesiąca. </w:t>
      </w:r>
      <w:r w:rsidR="00090A64">
        <w:t>Czynności te wykonano</w:t>
      </w:r>
      <w:r w:rsidR="00EF58A4">
        <w:t xml:space="preserve"> </w:t>
      </w:r>
      <w:r w:rsidR="00D37470">
        <w:t xml:space="preserve">w ramach </w:t>
      </w:r>
      <w:r w:rsidR="005141A0">
        <w:t xml:space="preserve">dochodzenia </w:t>
      </w:r>
      <w:r w:rsidR="00D37470">
        <w:t>w sprawie karnej przeciwko osobom trzecim, a</w:t>
      </w:r>
      <w:r w:rsidR="00EF70C9">
        <w:t> </w:t>
      </w:r>
      <w:r w:rsidR="00D37470">
        <w:t xml:space="preserve">nie przeciwko skarżącemu. W okresie, o którym mowa, serwer nie został w żaden sposób wykorzystany na potrzeby </w:t>
      </w:r>
      <w:r w:rsidR="005141A0">
        <w:t>dochodzenia</w:t>
      </w:r>
      <w:r w:rsidR="00EF58A4">
        <w:t>:</w:t>
      </w:r>
      <w:r w:rsidR="00D37470">
        <w:t xml:space="preserve"> nie został poddany </w:t>
      </w:r>
      <w:r w:rsidR="00EF58A4">
        <w:t>żadnemu</w:t>
      </w:r>
      <w:r w:rsidR="00D37470">
        <w:t xml:space="preserve"> badaniu przeprowadzonemu przez biegłego lub inną osobę (zob. p</w:t>
      </w:r>
      <w:r w:rsidR="008B7449">
        <w:t xml:space="preserve">aragraf </w:t>
      </w:r>
      <w:r w:rsidR="00D37470">
        <w:t>12 powyżej), a był jedynie przechowywany do</w:t>
      </w:r>
      <w:r w:rsidR="00EF70C9">
        <w:t> </w:t>
      </w:r>
      <w:r w:rsidR="00D37470">
        <w:t xml:space="preserve">czasu wydania </w:t>
      </w:r>
      <w:r w:rsidR="009B5D74">
        <w:t xml:space="preserve">go </w:t>
      </w:r>
      <w:r w:rsidR="00D37470">
        <w:t>skarżącemu. Ponadto nie wykazano, aby nie można było po prostu skopiować wszelkich informacji, które mogły być istotne dla</w:t>
      </w:r>
      <w:r w:rsidR="005141A0">
        <w:t xml:space="preserve"> dochodzenia</w:t>
      </w:r>
      <w:r w:rsidR="00D37470">
        <w:t>; w rzeczywistości w</w:t>
      </w:r>
      <w:r w:rsidR="009B5D74">
        <w:t> </w:t>
      </w:r>
      <w:r w:rsidR="00D37470">
        <w:t xml:space="preserve">postanowieniu z dnia 29 czerwca 2010 r. o zleceniu badania biegłego śledcza prowadząca sprawę nakazała sporządzenie takiej kopii (zob. </w:t>
      </w:r>
      <w:r w:rsidR="008B7449">
        <w:t>paragraf</w:t>
      </w:r>
      <w:r w:rsidR="00D37470">
        <w:t xml:space="preserve"> 11 powyżej).</w:t>
      </w:r>
    </w:p>
    <w:p w14:paraId="2486ABD4" w14:textId="7C52B934" w:rsidR="00D37470" w:rsidRPr="009C15B1" w:rsidRDefault="003A2562" w:rsidP="009C15B1">
      <w:pPr>
        <w:pStyle w:val="JuPara"/>
      </w:pPr>
      <w:r>
        <w:fldChar w:fldCharType="begin"/>
      </w:r>
      <w:r>
        <w:instrText xml:space="preserve"> SEQ level0 \*arabic </w:instrText>
      </w:r>
      <w:r>
        <w:fldChar w:fldCharType="separate"/>
      </w:r>
      <w:r w:rsidR="001D28C9">
        <w:rPr>
          <w:noProof/>
        </w:rPr>
        <w:t>46</w:t>
      </w:r>
      <w:r>
        <w:rPr>
          <w:noProof/>
        </w:rPr>
        <w:fldChar w:fldCharType="end"/>
      </w:r>
      <w:r w:rsidR="00D37470">
        <w:t>.  Wydaje się, że serwer był wykorzystywany przez skarżącego do</w:t>
      </w:r>
      <w:r w:rsidR="00EF70C9">
        <w:t> </w:t>
      </w:r>
      <w:r w:rsidR="00D37470">
        <w:t xml:space="preserve">działalności zawodowej </w:t>
      </w:r>
      <w:r w:rsidR="00EF70C9">
        <w:t xml:space="preserve">– </w:t>
      </w:r>
      <w:r w:rsidR="00D37470">
        <w:t>znajdowało się na nim kilka stron internetowych, w tym jego własna</w:t>
      </w:r>
      <w:r w:rsidR="00EF70C9">
        <w:t>, oraz jego praca</w:t>
      </w:r>
      <w:r w:rsidR="00D37470">
        <w:t xml:space="preserve"> (oprogramowanie, nad którym pracował </w:t>
      </w:r>
      <w:r w:rsidR="00EF70C9">
        <w:t xml:space="preserve">– </w:t>
      </w:r>
      <w:r w:rsidR="00D37470">
        <w:t xml:space="preserve">zob. </w:t>
      </w:r>
      <w:r w:rsidR="008B7449">
        <w:t>paragraf</w:t>
      </w:r>
      <w:r w:rsidR="00D37470">
        <w:t xml:space="preserve"> 10 powyżej). Już na </w:t>
      </w:r>
      <w:r w:rsidR="00F771A2">
        <w:t>szczeblu</w:t>
      </w:r>
      <w:r w:rsidR="00D37470">
        <w:t xml:space="preserve"> krajowym stwierdził, że w wyniku zatrzymania serwera wyrządzono mu „znaczną szkodę” (zob. </w:t>
      </w:r>
      <w:r w:rsidR="008B7449">
        <w:t>paragraf</w:t>
      </w:r>
      <w:r w:rsidR="00D37470">
        <w:t xml:space="preserve"> 9 powyżej).</w:t>
      </w:r>
    </w:p>
    <w:p w14:paraId="5D7ABC21" w14:textId="4F9D762C" w:rsidR="00D37470" w:rsidRPr="009C15B1" w:rsidRDefault="003A2562" w:rsidP="009C15B1">
      <w:pPr>
        <w:pStyle w:val="JuPara"/>
      </w:pPr>
      <w:r>
        <w:fldChar w:fldCharType="begin"/>
      </w:r>
      <w:r>
        <w:instrText xml:space="preserve"> SEQ level0 \*arabic </w:instrText>
      </w:r>
      <w:r>
        <w:fldChar w:fldCharType="separate"/>
      </w:r>
      <w:r w:rsidR="001D28C9">
        <w:rPr>
          <w:noProof/>
        </w:rPr>
        <w:t>47</w:t>
      </w:r>
      <w:r>
        <w:rPr>
          <w:noProof/>
        </w:rPr>
        <w:fldChar w:fldCharType="end"/>
      </w:r>
      <w:r w:rsidR="00D37470">
        <w:t xml:space="preserve">.  W okresie zatrzymania skarżący </w:t>
      </w:r>
      <w:r w:rsidR="00EF70C9">
        <w:t xml:space="preserve">stale </w:t>
      </w:r>
      <w:r w:rsidR="00D37470">
        <w:t xml:space="preserve">podejmował </w:t>
      </w:r>
      <w:r w:rsidR="00EF70C9">
        <w:t>wysiłek</w:t>
      </w:r>
      <w:r w:rsidR="00D37470">
        <w:t xml:space="preserve"> w</w:t>
      </w:r>
      <w:r w:rsidR="00EF70C9">
        <w:t> </w:t>
      </w:r>
      <w:r w:rsidR="00D37470">
        <w:t>dążeniu do wydania swojej własności</w:t>
      </w:r>
      <w:r w:rsidR="00B73D05">
        <w:t>:</w:t>
      </w:r>
      <w:r w:rsidR="00D37470">
        <w:t xml:space="preserve"> składał wnioski w trybie art. 111 </w:t>
      </w:r>
      <w:r w:rsidR="00B73D05">
        <w:t>K</w:t>
      </w:r>
      <w:r w:rsidR="00D37470">
        <w:t>odeksu postępowania karnego, zwracał się do Prokuratury Generalnej, składał wyjaśnienia (zob. paragrafy 8-10 powyżej). Podczas gdy Rząd uznał niektóre z jego działań za „nieodpowiednie” (</w:t>
      </w:r>
      <w:r w:rsidR="00160E18">
        <w:t>zob.</w:t>
      </w:r>
      <w:r w:rsidR="00D37470">
        <w:t xml:space="preserve"> paragraf 27 powyżej), Trybunał nie zgadza się z tym stanowiskiem. Odnotował już, że</w:t>
      </w:r>
      <w:r w:rsidR="008B3AC1">
        <w:t> </w:t>
      </w:r>
      <w:r w:rsidR="00D37470">
        <w:t>po</w:t>
      </w:r>
      <w:r w:rsidR="008B3AC1">
        <w:t> </w:t>
      </w:r>
      <w:r w:rsidR="00D37470">
        <w:t xml:space="preserve">umorzeniu postępowania karnego w Sofii bezcelowe byłoby ponowne skorzystanie ze środka odwoławczego na podstawie art. 111 </w:t>
      </w:r>
      <w:r w:rsidR="00160E18">
        <w:t>K</w:t>
      </w:r>
      <w:r w:rsidR="00D37470">
        <w:t>odeksu postępowania karnego (zob. paragraf 37 powyżej). W tych okolicznościach skierowanie pisma przez skarżącego do Prokuratury Generalnej wydaje się działaniem właściwym, bowiem to właśnie zapytania złożone przez ten organ w następstwie wniosków skarżącego skłoniły prokuraturę rejonową w</w:t>
      </w:r>
      <w:r w:rsidR="008B3AC1">
        <w:t> </w:t>
      </w:r>
      <w:r w:rsidR="00D37470">
        <w:t>Sofii do zareagowania na sytuację i p</w:t>
      </w:r>
      <w:r w:rsidR="008B3AC1">
        <w:t>ostanowienia</w:t>
      </w:r>
      <w:r w:rsidR="00D37470">
        <w:t xml:space="preserve"> o wydaniu dowodów (zob. paragrafy 13-15 powyżej).</w:t>
      </w:r>
    </w:p>
    <w:p w14:paraId="48902F34" w14:textId="2DD87C46" w:rsidR="00D37470" w:rsidRPr="009C15B1" w:rsidRDefault="003A2562" w:rsidP="009C15B1">
      <w:pPr>
        <w:pStyle w:val="JuPara"/>
      </w:pPr>
      <w:r>
        <w:fldChar w:fldCharType="begin"/>
      </w:r>
      <w:r>
        <w:instrText xml:space="preserve"> SEQ level0 \*arabic </w:instrText>
      </w:r>
      <w:r>
        <w:fldChar w:fldCharType="separate"/>
      </w:r>
      <w:r w:rsidR="001D28C9">
        <w:rPr>
          <w:noProof/>
        </w:rPr>
        <w:t>48</w:t>
      </w:r>
      <w:r>
        <w:rPr>
          <w:noProof/>
        </w:rPr>
        <w:fldChar w:fldCharType="end"/>
      </w:r>
      <w:r w:rsidR="00D37470">
        <w:t>.  Jeśli chodzi o postępowanie właściwych organów, Trybunał zauważa, że badanie biegłego zostało początkowo zlecone przez śledczą z</w:t>
      </w:r>
      <w:r w:rsidR="008B3AC1">
        <w:t> </w:t>
      </w:r>
      <w:r w:rsidR="00D37470">
        <w:t xml:space="preserve">policji wkrótce po zajęciu serwera skarżącego (zob. paragraf 11 powyżej). Chociaż takie badanie nie zostało nigdy przeprowadzone, prokuratura rejonowa w </w:t>
      </w:r>
      <w:r w:rsidR="00D37470">
        <w:lastRenderedPageBreak/>
        <w:t>Sofii działała bezzwłocznie, również przy umorzeniu prowadzonego przez siebie postępowania, gdy stało się jasne, że</w:t>
      </w:r>
      <w:r w:rsidR="00035E2F">
        <w:t xml:space="preserve"> </w:t>
      </w:r>
      <w:r w:rsidR="00D37470">
        <w:t>postępowanie dotyczące tych samych faktów toczy się w Trojan (</w:t>
      </w:r>
      <w:r w:rsidR="00160E18">
        <w:t>zob.</w:t>
      </w:r>
      <w:r w:rsidR="00D37470">
        <w:t xml:space="preserve"> paragraf 12 powyżej).</w:t>
      </w:r>
    </w:p>
    <w:p w14:paraId="5E6FC956" w14:textId="409978E2" w:rsidR="00D37470" w:rsidRPr="009C15B1" w:rsidRDefault="003A2562" w:rsidP="009C15B1">
      <w:pPr>
        <w:pStyle w:val="JuPara"/>
      </w:pPr>
      <w:r>
        <w:fldChar w:fldCharType="begin"/>
      </w:r>
      <w:r>
        <w:instrText xml:space="preserve"> SEQ level0 \*arabic </w:instrText>
      </w:r>
      <w:r>
        <w:fldChar w:fldCharType="separate"/>
      </w:r>
      <w:r w:rsidR="001D28C9">
        <w:rPr>
          <w:noProof/>
        </w:rPr>
        <w:t>49</w:t>
      </w:r>
      <w:r>
        <w:rPr>
          <w:noProof/>
        </w:rPr>
        <w:fldChar w:fldCharType="end"/>
      </w:r>
      <w:r w:rsidR="00D37470">
        <w:t xml:space="preserve">.  Mimo że w postanowieniu o umorzeniu stwierdzono, że dowody rzeczowe w Sofii zostaną przekazane do dyspozycji prokuratury rejonowej w Trojan (zob. paragraf 12 powyżej), ani ten urząd ani prokuratura w Sofii nie podjęły jednak żadnych dalszych działań, mających na celu zbadanie lub wydanie dowodów, aż do interwencji Prokuratury Generalnej, wywołanej wnioskami skarżącego. Jak zauważono powyżej, materiał dowodowy </w:t>
      </w:r>
      <w:r w:rsidR="008B3AC1">
        <w:t xml:space="preserve">– </w:t>
      </w:r>
      <w:r w:rsidR="00D37470">
        <w:t>w</w:t>
      </w:r>
      <w:r w:rsidR="008B3AC1">
        <w:t> </w:t>
      </w:r>
      <w:r w:rsidR="00D37470">
        <w:t xml:space="preserve">tym serwer skarżącego </w:t>
      </w:r>
      <w:r w:rsidR="008B3AC1">
        <w:t>– z</w:t>
      </w:r>
      <w:r w:rsidR="00D37470">
        <w:t>ostał jedynie zatrzymany, przy czym prokuratura rejonowa w Trojan nie wiedziała nawet, gdzie jest przechowywany (zob. paragraf 13 powyżej).</w:t>
      </w:r>
    </w:p>
    <w:p w14:paraId="018BD438" w14:textId="2380F904" w:rsidR="00D37470" w:rsidRPr="009C15B1" w:rsidRDefault="003A2562" w:rsidP="009C15B1">
      <w:pPr>
        <w:pStyle w:val="JuPara"/>
      </w:pPr>
      <w:r>
        <w:fldChar w:fldCharType="begin"/>
      </w:r>
      <w:r>
        <w:instrText xml:space="preserve"> SEQ level0 \*arabic </w:instrText>
      </w:r>
      <w:r>
        <w:fldChar w:fldCharType="separate"/>
      </w:r>
      <w:r w:rsidR="001D28C9">
        <w:rPr>
          <w:noProof/>
        </w:rPr>
        <w:t>50</w:t>
      </w:r>
      <w:r>
        <w:rPr>
          <w:noProof/>
        </w:rPr>
        <w:fldChar w:fldCharType="end"/>
      </w:r>
      <w:r w:rsidR="00D37470">
        <w:t xml:space="preserve">.  Z powyższych względów </w:t>
      </w:r>
      <w:r w:rsidR="008B3AC1">
        <w:t xml:space="preserve">– </w:t>
      </w:r>
      <w:r w:rsidR="00D37470">
        <w:t xml:space="preserve">faktu, że serwer skarżącego nigdy nie został zbadany na potrzeby </w:t>
      </w:r>
      <w:r w:rsidR="005141A0">
        <w:t>dochodzeni</w:t>
      </w:r>
      <w:r w:rsidR="00D37470">
        <w:t xml:space="preserve">a w sprawie karnej niedotyczącej skarżącego, lecz osób trzecich, możliwości skopiowania niezbędnych informacji, znaczenia serwera dla działalności zawodowej skarżącego, jak </w:t>
      </w:r>
      <w:r w:rsidR="008B3AC1">
        <w:t>też</w:t>
      </w:r>
      <w:r w:rsidR="00D37470">
        <w:t xml:space="preserve"> częściowej bezczynności prokuratury </w:t>
      </w:r>
      <w:r w:rsidR="00FE1C73">
        <w:t>rejonowej</w:t>
      </w:r>
      <w:r w:rsidR="00D37470">
        <w:t xml:space="preserve"> w Sofii </w:t>
      </w:r>
      <w:r w:rsidR="008B3AC1">
        <w:t xml:space="preserve">– </w:t>
      </w:r>
      <w:r w:rsidR="00D37470">
        <w:t>zatrzymanie serwera skarżącego w okresie od 21 czerwca 2010</w:t>
      </w:r>
      <w:r w:rsidR="00194F00">
        <w:t> </w:t>
      </w:r>
      <w:r w:rsidR="00D37470">
        <w:t>r. do 8 lutego 2011</w:t>
      </w:r>
      <w:r w:rsidR="00194F00">
        <w:t> </w:t>
      </w:r>
      <w:r w:rsidR="00D37470">
        <w:t xml:space="preserve">r. było nieproporcjonalne. Władze krajowe nie zachowały zatem wymaganej sprawiedliwej równowagi między uzasadnionym celem </w:t>
      </w:r>
      <w:r w:rsidR="00194F00">
        <w:t>służącym</w:t>
      </w:r>
      <w:r w:rsidR="008B3AC1">
        <w:t> </w:t>
      </w:r>
      <w:r w:rsidR="00D37470">
        <w:t xml:space="preserve">sprawie a prawami skarżącego, naruszając art. 1 </w:t>
      </w:r>
      <w:r w:rsidR="003C6885">
        <w:t xml:space="preserve">Protokołu </w:t>
      </w:r>
      <w:r w:rsidR="00D37470">
        <w:t>nr 1.</w:t>
      </w:r>
    </w:p>
    <w:p w14:paraId="6C591200" w14:textId="08420E61" w:rsidR="00D37470" w:rsidRPr="009C15B1" w:rsidRDefault="003A2562" w:rsidP="009C15B1">
      <w:pPr>
        <w:pStyle w:val="JuPara"/>
      </w:pPr>
      <w:r>
        <w:fldChar w:fldCharType="begin"/>
      </w:r>
      <w:r>
        <w:instrText xml:space="preserve"> SEQ level0 \*arabic </w:instrText>
      </w:r>
      <w:r>
        <w:fldChar w:fldCharType="separate"/>
      </w:r>
      <w:r w:rsidR="001D28C9">
        <w:rPr>
          <w:noProof/>
        </w:rPr>
        <w:t>51</w:t>
      </w:r>
      <w:r>
        <w:rPr>
          <w:noProof/>
        </w:rPr>
        <w:fldChar w:fldCharType="end"/>
      </w:r>
      <w:r w:rsidR="00D37470">
        <w:t>.  W związku z powyższym doszło</w:t>
      </w:r>
      <w:r w:rsidR="008B3AC1">
        <w:t xml:space="preserve"> do</w:t>
      </w:r>
      <w:r w:rsidR="00D37470">
        <w:t xml:space="preserve"> naruszenia tego przepisu.</w:t>
      </w:r>
    </w:p>
    <w:p w14:paraId="301489E8" w14:textId="77777777" w:rsidR="00D37470" w:rsidRPr="009C15B1" w:rsidRDefault="00D37470" w:rsidP="009C15B1">
      <w:pPr>
        <w:pStyle w:val="JuHa0"/>
      </w:pPr>
      <w:r>
        <w:t>Artykuł 10 Konwencji</w:t>
      </w:r>
    </w:p>
    <w:p w14:paraId="1EFB4AB2" w14:textId="52BE912F" w:rsidR="00D37470" w:rsidRPr="009C15B1" w:rsidRDefault="006D40E5" w:rsidP="009C15B1">
      <w:pPr>
        <w:pStyle w:val="JuHi"/>
      </w:pPr>
      <w:r>
        <w:t>C</w:t>
      </w:r>
      <w:r w:rsidR="00D37470">
        <w:t>harakter ingerencji w prawa skarżącego</w:t>
      </w:r>
    </w:p>
    <w:p w14:paraId="296D5818" w14:textId="2DCCD8D6" w:rsidR="00D37470" w:rsidRPr="009C15B1" w:rsidRDefault="003A2562" w:rsidP="009C15B1">
      <w:pPr>
        <w:pStyle w:val="JuPara"/>
        <w:rPr>
          <w:snapToGrid w:val="0"/>
        </w:rPr>
      </w:pPr>
      <w:r>
        <w:fldChar w:fldCharType="begin"/>
      </w:r>
      <w:r>
        <w:instrText xml:space="preserve"> SEQ level0 \*arabic </w:instrText>
      </w:r>
      <w:r>
        <w:fldChar w:fldCharType="separate"/>
      </w:r>
      <w:r w:rsidR="001D28C9">
        <w:rPr>
          <w:noProof/>
        </w:rPr>
        <w:t>52</w:t>
      </w:r>
      <w:r>
        <w:rPr>
          <w:noProof/>
        </w:rPr>
        <w:fldChar w:fldCharType="end"/>
      </w:r>
      <w:r w:rsidR="00D37470">
        <w:t xml:space="preserve">.  Trybunał orzekł, że </w:t>
      </w:r>
      <w:r w:rsidR="006D40E5">
        <w:t>„</w:t>
      </w:r>
      <w:r w:rsidR="00D37470">
        <w:t>[w] świetle swojej dostępności oraz zdolności przechowywania i przekazywania ogromnych ilości informacji, Internet odgrywa ważną rolę w zwiększaniu dostępu społeczeństwa do wiadomości i</w:t>
      </w:r>
      <w:r w:rsidR="006D40E5">
        <w:t> </w:t>
      </w:r>
      <w:r w:rsidR="00D37470">
        <w:t xml:space="preserve">ułatwianiu rozpowszechniania informacji </w:t>
      </w:r>
      <w:r w:rsidR="006D40E5">
        <w:t>ogółem”</w:t>
      </w:r>
      <w:r w:rsidR="00D37470">
        <w:t xml:space="preserve"> (zob. </w:t>
      </w:r>
      <w:r w:rsidR="00D37470">
        <w:rPr>
          <w:i/>
        </w:rPr>
        <w:t>Times Newspapers Ltd przeciwko Zjednoczonemu Królestwu (nr 1 i 2)</w:t>
      </w:r>
      <w:r w:rsidR="00D37470">
        <w:t>, skargi nr</w:t>
      </w:r>
      <w:r w:rsidR="006D40E5">
        <w:t> </w:t>
      </w:r>
      <w:r w:rsidR="00D37470">
        <w:t>3002/03 i 23676/03, § 27, ETPC 2009</w:t>
      </w:r>
      <w:r w:rsidR="00E0198E">
        <w:t>,</w:t>
      </w:r>
      <w:r w:rsidR="006D40E5">
        <w:t xml:space="preserve"> i </w:t>
      </w:r>
      <w:r w:rsidR="00D37470">
        <w:rPr>
          <w:i/>
        </w:rPr>
        <w:t xml:space="preserve">Ahmet Yıldırım </w:t>
      </w:r>
      <w:r w:rsidR="00D37470" w:rsidRPr="006D40E5">
        <w:rPr>
          <w:i/>
          <w:iCs/>
        </w:rPr>
        <w:t>przeciwko Turcji</w:t>
      </w:r>
      <w:r w:rsidR="00D37470">
        <w:t>, skarga nr 3111/10, § 48, ETPC 2012</w:t>
      </w:r>
      <w:r w:rsidR="00D37470">
        <w:rPr>
          <w:snapToGrid w:val="0"/>
        </w:rPr>
        <w:t>).</w:t>
      </w:r>
    </w:p>
    <w:p w14:paraId="62D96ADB" w14:textId="411DB1CA" w:rsidR="00D37470" w:rsidRPr="009C15B1" w:rsidRDefault="00D37470" w:rsidP="009C15B1">
      <w:pPr>
        <w:pStyle w:val="JuPara"/>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53</w:t>
      </w:r>
      <w:r w:rsidRPr="009C15B1">
        <w:rPr>
          <w:snapToGrid w:val="0"/>
        </w:rPr>
        <w:fldChar w:fldCharType="end"/>
      </w:r>
      <w:r>
        <w:rPr>
          <w:snapToGrid w:val="0"/>
        </w:rPr>
        <w:t xml:space="preserve">.  Trybunał uznał również, że </w:t>
      </w:r>
      <w:r>
        <w:t>art. 10 gwarantuje wolność wyraż</w:t>
      </w:r>
      <w:r w:rsidR="006D40E5">
        <w:t>an</w:t>
      </w:r>
      <w:r>
        <w:t>ia opinii „każdemu”</w:t>
      </w:r>
      <w:r w:rsidR="00E0198E">
        <w:t xml:space="preserve">, bez </w:t>
      </w:r>
      <w:r>
        <w:t>rozróżnienia w zależności od</w:t>
      </w:r>
      <w:r w:rsidR="006D40E5">
        <w:t> </w:t>
      </w:r>
      <w:r>
        <w:t xml:space="preserve">charakteru zamierzonego celu. Ponadto artykuł </w:t>
      </w:r>
      <w:r w:rsidR="006D40E5">
        <w:t xml:space="preserve">ten </w:t>
      </w:r>
      <w:r>
        <w:t xml:space="preserve">ma zastosowanie nie tylko do treści informacji, </w:t>
      </w:r>
      <w:r w:rsidR="00E0198E">
        <w:t>lecz</w:t>
      </w:r>
      <w:r>
        <w:t xml:space="preserve"> także do środków rozpowszechniania, ponieważ wszelkie nałożone na nie ograniczenia </w:t>
      </w:r>
      <w:r w:rsidR="00E0198E">
        <w:t>nieodzownie wiążą się z ingerencją</w:t>
      </w:r>
      <w:r w:rsidR="00873261">
        <w:t xml:space="preserve"> </w:t>
      </w:r>
      <w:r>
        <w:t xml:space="preserve">w prawo do otrzymywania i przekazywania informacji (zob. </w:t>
      </w:r>
      <w:r>
        <w:rPr>
          <w:i/>
        </w:rPr>
        <w:t>Ahmet Yıldırım</w:t>
      </w:r>
      <w:r>
        <w:t>, cyt. powyżej, § 50 z dalszymi odniesieniami).</w:t>
      </w:r>
    </w:p>
    <w:p w14:paraId="49E5411A" w14:textId="73FA663A"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54</w:t>
      </w:r>
      <w:r w:rsidRPr="009C15B1">
        <w:rPr>
          <w:snapToGrid w:val="0"/>
        </w:rPr>
        <w:fldChar w:fldCharType="end"/>
      </w:r>
      <w:r>
        <w:rPr>
          <w:snapToGrid w:val="0"/>
        </w:rPr>
        <w:t>.  Przechodząc do rozpatrywanej sprawy, Trybunał zauważył, że strona internetowa skarżącego poświęcona japońskiej kulturze anime stanowiła środek korzystania przez niego z wolności wyrażania opinii.</w:t>
      </w:r>
    </w:p>
    <w:p w14:paraId="7AFF71B6" w14:textId="2A02CB28" w:rsidR="00D37470" w:rsidRPr="009C15B1" w:rsidRDefault="00D37470" w:rsidP="009C15B1">
      <w:pPr>
        <w:pStyle w:val="JuPara"/>
        <w:rPr>
          <w:snapToGrid w:val="0"/>
        </w:rPr>
      </w:pPr>
      <w:r w:rsidRPr="009C15B1">
        <w:rPr>
          <w:snapToGrid w:val="0"/>
        </w:rPr>
        <w:lastRenderedPageBreak/>
        <w:fldChar w:fldCharType="begin"/>
      </w:r>
      <w:r w:rsidRPr="009C15B1">
        <w:rPr>
          <w:snapToGrid w:val="0"/>
        </w:rPr>
        <w:instrText xml:space="preserve"> SEQ level0 \*arabic </w:instrText>
      </w:r>
      <w:r w:rsidRPr="009C15B1">
        <w:rPr>
          <w:snapToGrid w:val="0"/>
        </w:rPr>
        <w:fldChar w:fldCharType="separate"/>
      </w:r>
      <w:r w:rsidR="001D28C9">
        <w:rPr>
          <w:noProof/>
          <w:snapToGrid w:val="0"/>
        </w:rPr>
        <w:t>55</w:t>
      </w:r>
      <w:r w:rsidRPr="009C15B1">
        <w:rPr>
          <w:snapToGrid w:val="0"/>
        </w:rPr>
        <w:fldChar w:fldCharType="end"/>
      </w:r>
      <w:r>
        <w:rPr>
          <w:snapToGrid w:val="0"/>
        </w:rPr>
        <w:t xml:space="preserve">.  Po zajęciu </w:t>
      </w:r>
      <w:r w:rsidR="00873261">
        <w:rPr>
          <w:snapToGrid w:val="0"/>
        </w:rPr>
        <w:t xml:space="preserve">przez władze </w:t>
      </w:r>
      <w:r w:rsidR="00994535">
        <w:rPr>
          <w:snapToGrid w:val="0"/>
        </w:rPr>
        <w:t xml:space="preserve">w dniu 21 czerwca 2010 r. </w:t>
      </w:r>
      <w:r>
        <w:rPr>
          <w:snapToGrid w:val="0"/>
        </w:rPr>
        <w:t>serwera skarżącego i przechowywanych na nim informacji strona internetowa</w:t>
      </w:r>
      <w:r w:rsidR="009C5756">
        <w:rPr>
          <w:snapToGrid w:val="0"/>
        </w:rPr>
        <w:t>,</w:t>
      </w:r>
      <w:r>
        <w:rPr>
          <w:snapToGrid w:val="0"/>
        </w:rPr>
        <w:t xml:space="preserve"> hostowana </w:t>
      </w:r>
      <w:r w:rsidR="00994535">
        <w:rPr>
          <w:snapToGrid w:val="0"/>
        </w:rPr>
        <w:t xml:space="preserve">na </w:t>
      </w:r>
      <w:r>
        <w:rPr>
          <w:snapToGrid w:val="0"/>
        </w:rPr>
        <w:t>tym serwerze, była przez pewien czas niedostępna. Rząd stwierdził, że zaledwie dwa dni po zajęciu serwera skarżący aktywował wersję</w:t>
      </w:r>
      <w:r w:rsidR="009C5756">
        <w:rPr>
          <w:snapToGrid w:val="0"/>
        </w:rPr>
        <w:t xml:space="preserve">, którą Rząd określił jako </w:t>
      </w:r>
      <w:r>
        <w:rPr>
          <w:snapToGrid w:val="0"/>
        </w:rPr>
        <w:t>„</w:t>
      </w:r>
      <w:r w:rsidR="00DD1C61">
        <w:rPr>
          <w:snapToGrid w:val="0"/>
        </w:rPr>
        <w:t>kopię</w:t>
      </w:r>
      <w:r>
        <w:rPr>
          <w:snapToGrid w:val="0"/>
        </w:rPr>
        <w:t xml:space="preserve"> </w:t>
      </w:r>
      <w:r w:rsidR="00DD1C61">
        <w:rPr>
          <w:snapToGrid w:val="0"/>
        </w:rPr>
        <w:t>zapasową</w:t>
      </w:r>
      <w:r>
        <w:rPr>
          <w:snapToGrid w:val="0"/>
        </w:rPr>
        <w:t>” (zob. paragraf 28 powyżej). Z informacji dostępnych Trybunałowi wynika jednak, że</w:t>
      </w:r>
      <w:r w:rsidR="009C5756">
        <w:rPr>
          <w:snapToGrid w:val="0"/>
        </w:rPr>
        <w:t> </w:t>
      </w:r>
      <w:r>
        <w:rPr>
          <w:snapToGrid w:val="0"/>
        </w:rPr>
        <w:t xml:space="preserve">skarżący opublikował jedynie oświadczenie wzywające organy ścigania do wydania jego serwera (zob. paragraf 17 powyżej). </w:t>
      </w:r>
      <w:r w:rsidR="00DD1C61">
        <w:rPr>
          <w:snapToGrid w:val="0"/>
        </w:rPr>
        <w:t>Zdaniem skarżącego o</w:t>
      </w:r>
      <w:r>
        <w:rPr>
          <w:snapToGrid w:val="0"/>
        </w:rPr>
        <w:t>koło miesiąc później , w dniu 27 lipca 2010 r.</w:t>
      </w:r>
      <w:r w:rsidR="00DD1C61">
        <w:rPr>
          <w:snapToGrid w:val="0"/>
        </w:rPr>
        <w:t>,</w:t>
      </w:r>
      <w:r>
        <w:rPr>
          <w:snapToGrid w:val="0"/>
        </w:rPr>
        <w:t xml:space="preserve"> uruchomił </w:t>
      </w:r>
      <w:r w:rsidR="00DD1C61">
        <w:rPr>
          <w:snapToGrid w:val="0"/>
        </w:rPr>
        <w:t xml:space="preserve">on </w:t>
      </w:r>
      <w:r>
        <w:rPr>
          <w:snapToGrid w:val="0"/>
        </w:rPr>
        <w:t>„minimalną” wersję strony, w której w szczególności forum, czat i usługa hostingu zdjęć pozostawały całkowicie niedostępne (ibid.).</w:t>
      </w:r>
    </w:p>
    <w:p w14:paraId="34BA4935" w14:textId="5881A6A0"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56</w:t>
      </w:r>
      <w:r w:rsidRPr="009C15B1">
        <w:rPr>
          <w:snapToGrid w:val="0"/>
        </w:rPr>
        <w:fldChar w:fldCharType="end"/>
      </w:r>
      <w:r>
        <w:rPr>
          <w:snapToGrid w:val="0"/>
        </w:rPr>
        <w:t xml:space="preserve">.  Trybunał odnotowuje, że skarżący nie przedstawił dowodów dotyczących części strony internetowej, </w:t>
      </w:r>
      <w:r w:rsidR="00AC0C41">
        <w:rPr>
          <w:snapToGrid w:val="0"/>
        </w:rPr>
        <w:t>które</w:t>
      </w:r>
      <w:r>
        <w:rPr>
          <w:snapToGrid w:val="0"/>
        </w:rPr>
        <w:t xml:space="preserve"> udało mu się przywrócić. Jego stwierdzenie, że po</w:t>
      </w:r>
      <w:r w:rsidR="009C5756">
        <w:rPr>
          <w:snapToGrid w:val="0"/>
        </w:rPr>
        <w:t xml:space="preserve"> dniu</w:t>
      </w:r>
      <w:r>
        <w:rPr>
          <w:snapToGrid w:val="0"/>
        </w:rPr>
        <w:t xml:space="preserve"> 21 czerwca 2010 r. mógł ponownie uruchomić jedynie znacznie ograniczoną wersję strony, znajduje jednak potwierdzenie w skargach, które złożył </w:t>
      </w:r>
      <w:r w:rsidR="00AC0C41">
        <w:rPr>
          <w:snapToGrid w:val="0"/>
        </w:rPr>
        <w:t xml:space="preserve">do organów krajowych </w:t>
      </w:r>
      <w:r>
        <w:rPr>
          <w:snapToGrid w:val="0"/>
        </w:rPr>
        <w:t>(zob. p</w:t>
      </w:r>
      <w:r w:rsidR="009C5756">
        <w:rPr>
          <w:snapToGrid w:val="0"/>
        </w:rPr>
        <w:t>aragrafy</w:t>
      </w:r>
      <w:r>
        <w:rPr>
          <w:snapToGrid w:val="0"/>
        </w:rPr>
        <w:t xml:space="preserve"> 8-9 powyżej). Chociaż fakt, że nie </w:t>
      </w:r>
      <w:r w:rsidR="009C5756">
        <w:rPr>
          <w:snapToGrid w:val="0"/>
        </w:rPr>
        <w:t xml:space="preserve">podał szczegółów dotyczących </w:t>
      </w:r>
      <w:r>
        <w:rPr>
          <w:snapToGrid w:val="0"/>
        </w:rPr>
        <w:t>zmniejszonej funkcjonalności jego strony internetowej, mógłby</w:t>
      </w:r>
      <w:r w:rsidR="00C25E3F">
        <w:rPr>
          <w:snapToGrid w:val="0"/>
        </w:rPr>
        <w:t>,</w:t>
      </w:r>
      <w:r>
        <w:rPr>
          <w:snapToGrid w:val="0"/>
        </w:rPr>
        <w:t xml:space="preserve"> </w:t>
      </w:r>
      <w:r w:rsidR="00C25E3F">
        <w:rPr>
          <w:snapToGrid w:val="0"/>
        </w:rPr>
        <w:t xml:space="preserve">co do zasady, </w:t>
      </w:r>
      <w:r>
        <w:rPr>
          <w:snapToGrid w:val="0"/>
        </w:rPr>
        <w:t xml:space="preserve">zostać uwzględniony przy ocenie poniesionej szkody (zob. paragraf 73 poniżej), Trybunał jest przekonany, na potrzeby analizy </w:t>
      </w:r>
      <w:r w:rsidR="009C5756">
        <w:rPr>
          <w:snapToGrid w:val="0"/>
        </w:rPr>
        <w:t>w kwestii</w:t>
      </w:r>
      <w:r>
        <w:rPr>
          <w:snapToGrid w:val="0"/>
        </w:rPr>
        <w:t xml:space="preserve"> </w:t>
      </w:r>
      <w:r w:rsidR="009C5756">
        <w:rPr>
          <w:snapToGrid w:val="0"/>
        </w:rPr>
        <w:t>za</w:t>
      </w:r>
      <w:r>
        <w:rPr>
          <w:snapToGrid w:val="0"/>
        </w:rPr>
        <w:t>istnienia ingerencji w prawa skarżącego wynikające z art. 10, że zatrzymanie serwera nadal utrudniało skarżącemu korzystanie z wolności wyrażania opinii, do czasu zwrotu</w:t>
      </w:r>
      <w:r w:rsidR="009C5756">
        <w:rPr>
          <w:snapToGrid w:val="0"/>
        </w:rPr>
        <w:t>.</w:t>
      </w:r>
    </w:p>
    <w:p w14:paraId="699733EB" w14:textId="25399568"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57</w:t>
      </w:r>
      <w:r w:rsidRPr="009C15B1">
        <w:rPr>
          <w:snapToGrid w:val="0"/>
        </w:rPr>
        <w:fldChar w:fldCharType="end"/>
      </w:r>
      <w:r>
        <w:rPr>
          <w:snapToGrid w:val="0"/>
        </w:rPr>
        <w:t>.  Ingerencja w wolność wyrażania opinii skarżącego wynikała z</w:t>
      </w:r>
      <w:r w:rsidR="009C5756">
        <w:rPr>
          <w:snapToGrid w:val="0"/>
        </w:rPr>
        <w:t> </w:t>
      </w:r>
      <w:r>
        <w:rPr>
          <w:snapToGrid w:val="0"/>
        </w:rPr>
        <w:t xml:space="preserve">zatrzymania zarówno jego sprzętu komputerowego </w:t>
      </w:r>
      <w:r w:rsidR="009C5756">
        <w:rPr>
          <w:snapToGrid w:val="0"/>
        </w:rPr>
        <w:t>–</w:t>
      </w:r>
      <w:r>
        <w:rPr>
          <w:snapToGrid w:val="0"/>
        </w:rPr>
        <w:t xml:space="preserve"> serwera </w:t>
      </w:r>
      <w:r w:rsidR="009C5756">
        <w:rPr>
          <w:snapToGrid w:val="0"/>
        </w:rPr>
        <w:t>–</w:t>
      </w:r>
      <w:r>
        <w:rPr>
          <w:snapToGrid w:val="0"/>
        </w:rPr>
        <w:t xml:space="preserve"> jak i</w:t>
      </w:r>
      <w:r w:rsidR="009C5756">
        <w:rPr>
          <w:snapToGrid w:val="0"/>
        </w:rPr>
        <w:t> </w:t>
      </w:r>
      <w:r>
        <w:rPr>
          <w:snapToGrid w:val="0"/>
        </w:rPr>
        <w:t xml:space="preserve">przechowywanych na nim danych. Nawet zakładając, że odzyskanie </w:t>
      </w:r>
      <w:r w:rsidR="009C5756">
        <w:rPr>
          <w:snapToGrid w:val="0"/>
        </w:rPr>
        <w:t>ich</w:t>
      </w:r>
      <w:r>
        <w:rPr>
          <w:snapToGrid w:val="0"/>
        </w:rPr>
        <w:t xml:space="preserve"> pozwoliłoby na pełne odtworzenie strony internetowej, Trybunał nie widzi, na jakiej podstawie skarżący miałby być zobowiązany </w:t>
      </w:r>
      <w:r w:rsidR="009C5756">
        <w:rPr>
          <w:snapToGrid w:val="0"/>
        </w:rPr>
        <w:t xml:space="preserve">stale przechowywać pełną kopię zapasową </w:t>
      </w:r>
      <w:r>
        <w:rPr>
          <w:snapToGrid w:val="0"/>
        </w:rPr>
        <w:t>danych znajdujących się na serwerze.</w:t>
      </w:r>
    </w:p>
    <w:p w14:paraId="68AFAB04" w14:textId="7DBF5817"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58</w:t>
      </w:r>
      <w:r w:rsidRPr="009C15B1">
        <w:rPr>
          <w:snapToGrid w:val="0"/>
        </w:rPr>
        <w:fldChar w:fldCharType="end"/>
      </w:r>
      <w:r>
        <w:rPr>
          <w:snapToGrid w:val="0"/>
        </w:rPr>
        <w:t>.  Wreszcie Trybunał przypomina, że ograniczona funkcjonalność strony internetowej skarżącego w okresie od czerwca 2010 r. do lutego 2011</w:t>
      </w:r>
      <w:r w:rsidR="00F077DD">
        <w:rPr>
          <w:snapToGrid w:val="0"/>
        </w:rPr>
        <w:t> </w:t>
      </w:r>
      <w:r>
        <w:rPr>
          <w:snapToGrid w:val="0"/>
        </w:rPr>
        <w:t>r. wynikała z działań organów ścigania, które zatrzymały serwer</w:t>
      </w:r>
      <w:r w:rsidR="009C5756">
        <w:rPr>
          <w:snapToGrid w:val="0"/>
        </w:rPr>
        <w:t xml:space="preserve"> hostujący tę stronę n</w:t>
      </w:r>
      <w:r>
        <w:rPr>
          <w:snapToGrid w:val="0"/>
        </w:rPr>
        <w:t xml:space="preserve">a dłuższy czas. Chociaż środki te nie były skierowane przeciwko przedmiotowej stronie internetowej, która nie była przedmiotem żadnego </w:t>
      </w:r>
      <w:r w:rsidR="005141A0">
        <w:rPr>
          <w:snapToGrid w:val="0"/>
        </w:rPr>
        <w:t>dochodzeni</w:t>
      </w:r>
      <w:r>
        <w:rPr>
          <w:snapToGrid w:val="0"/>
        </w:rPr>
        <w:t xml:space="preserve">a, ani nie sformułowano zarzutów, iż w jej ramach dopuszczono się naruszenia prawa, </w:t>
      </w:r>
      <w:r w:rsidR="00F077DD">
        <w:rPr>
          <w:snapToGrid w:val="0"/>
        </w:rPr>
        <w:t>działania</w:t>
      </w:r>
      <w:r>
        <w:rPr>
          <w:snapToGrid w:val="0"/>
        </w:rPr>
        <w:t xml:space="preserve"> podjęte przez organy doprowadziły do</w:t>
      </w:r>
      <w:r w:rsidR="00064155">
        <w:rPr>
          <w:snapToGrid w:val="0"/>
        </w:rPr>
        <w:t> </w:t>
      </w:r>
      <w:r>
        <w:rPr>
          <w:snapToGrid w:val="0"/>
        </w:rPr>
        <w:t>rzeczywistych ograniczeń omówionych powyżej.</w:t>
      </w:r>
    </w:p>
    <w:p w14:paraId="3640A0D4" w14:textId="0698201F"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59</w:t>
      </w:r>
      <w:r w:rsidRPr="009C15B1">
        <w:rPr>
          <w:snapToGrid w:val="0"/>
        </w:rPr>
        <w:fldChar w:fldCharType="end"/>
      </w:r>
      <w:r>
        <w:rPr>
          <w:snapToGrid w:val="0"/>
        </w:rPr>
        <w:t xml:space="preserve">.  Trybunał stwierdza zatem, że w sprawie doszło do ingerencji władzy publicznej w prawo skarżącego do wolności wyrażania opinii (zob. </w:t>
      </w:r>
      <w:r>
        <w:rPr>
          <w:i/>
          <w:snapToGrid w:val="0"/>
        </w:rPr>
        <w:t>mutatis mutandis</w:t>
      </w:r>
      <w:r>
        <w:rPr>
          <w:snapToGrid w:val="0"/>
        </w:rPr>
        <w:t xml:space="preserve">, </w:t>
      </w:r>
      <w:r>
        <w:rPr>
          <w:i/>
          <w:snapToGrid w:val="0"/>
        </w:rPr>
        <w:t>Ahmet Yıldırım</w:t>
      </w:r>
      <w:r>
        <w:rPr>
          <w:snapToGrid w:val="0"/>
        </w:rPr>
        <w:t xml:space="preserve">, cyt. powyżej, § 55). Polegała ona na zatrzymaniu przez organy ścigania serwera skarżącego i zawartych na nim informacji, </w:t>
      </w:r>
      <w:r w:rsidR="00064155">
        <w:rPr>
          <w:snapToGrid w:val="0"/>
        </w:rPr>
        <w:t xml:space="preserve">w wyniku </w:t>
      </w:r>
      <w:r w:rsidR="00E93466">
        <w:rPr>
          <w:snapToGrid w:val="0"/>
        </w:rPr>
        <w:t>czego</w:t>
      </w:r>
      <w:r w:rsidR="00064155">
        <w:rPr>
          <w:snapToGrid w:val="0"/>
        </w:rPr>
        <w:t xml:space="preserve"> strona internetowa skarżącego z początku nie była dostępna, po czym </w:t>
      </w:r>
      <w:r w:rsidR="00E93466">
        <w:rPr>
          <w:snapToGrid w:val="0"/>
        </w:rPr>
        <w:t xml:space="preserve">przez kilka miesięcy </w:t>
      </w:r>
      <w:r w:rsidR="00064155">
        <w:rPr>
          <w:snapToGrid w:val="0"/>
        </w:rPr>
        <w:t>działała ze znacząco ograniczonymi funkcjonalnościami.</w:t>
      </w:r>
    </w:p>
    <w:p w14:paraId="6866BFD4" w14:textId="77777777" w:rsidR="00D37470" w:rsidRPr="009C15B1" w:rsidRDefault="00D37470" w:rsidP="009C15B1">
      <w:pPr>
        <w:pStyle w:val="JuHi"/>
      </w:pPr>
      <w:r>
        <w:rPr>
          <w:snapToGrid w:val="0"/>
        </w:rPr>
        <w:lastRenderedPageBreak/>
        <w:t>Kwestia uzasadnienia ingerencji</w:t>
      </w:r>
    </w:p>
    <w:p w14:paraId="48DA078D" w14:textId="0FF9E5A7"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60</w:t>
      </w:r>
      <w:r w:rsidRPr="009C15B1">
        <w:rPr>
          <w:snapToGrid w:val="0"/>
        </w:rPr>
        <w:fldChar w:fldCharType="end"/>
      </w:r>
      <w:r>
        <w:rPr>
          <w:snapToGrid w:val="0"/>
        </w:rPr>
        <w:t xml:space="preserve">.  Powyższa ingerencja stanowi naruszenie art. 10, chyba że </w:t>
      </w:r>
      <w:r w:rsidR="006F1EBF">
        <w:rPr>
          <w:snapToGrid w:val="0"/>
        </w:rPr>
        <w:t>była</w:t>
      </w:r>
      <w:r>
        <w:rPr>
          <w:snapToGrid w:val="0"/>
        </w:rPr>
        <w:t xml:space="preserve"> „przewidzian</w:t>
      </w:r>
      <w:r w:rsidR="006F1EBF">
        <w:rPr>
          <w:snapToGrid w:val="0"/>
        </w:rPr>
        <w:t>[</w:t>
      </w:r>
      <w:r>
        <w:rPr>
          <w:snapToGrid w:val="0"/>
        </w:rPr>
        <w:t>a</w:t>
      </w:r>
      <w:r w:rsidR="006F1EBF">
        <w:rPr>
          <w:snapToGrid w:val="0"/>
        </w:rPr>
        <w:t>]</w:t>
      </w:r>
      <w:r>
        <w:rPr>
          <w:snapToGrid w:val="0"/>
        </w:rPr>
        <w:t xml:space="preserve"> przez ustawę”, </w:t>
      </w:r>
      <w:r w:rsidR="006F1EBF">
        <w:rPr>
          <w:snapToGrid w:val="0"/>
        </w:rPr>
        <w:t>miała</w:t>
      </w:r>
      <w:r>
        <w:rPr>
          <w:snapToGrid w:val="0"/>
        </w:rPr>
        <w:t xml:space="preserve"> co najmniej jeden </w:t>
      </w:r>
      <w:r w:rsidR="006F1EBF">
        <w:rPr>
          <w:snapToGrid w:val="0"/>
        </w:rPr>
        <w:t>z uzasadnionych celów</w:t>
      </w:r>
      <w:r>
        <w:rPr>
          <w:snapToGrid w:val="0"/>
        </w:rPr>
        <w:t>, o</w:t>
      </w:r>
      <w:r w:rsidR="001F4366">
        <w:rPr>
          <w:snapToGrid w:val="0"/>
        </w:rPr>
        <w:t> </w:t>
      </w:r>
      <w:r w:rsidR="006F1EBF">
        <w:rPr>
          <w:snapToGrid w:val="0"/>
        </w:rPr>
        <w:t>których</w:t>
      </w:r>
      <w:r>
        <w:rPr>
          <w:snapToGrid w:val="0"/>
        </w:rPr>
        <w:t xml:space="preserve"> mowa w art. 10 ust. 2, oraz </w:t>
      </w:r>
      <w:r w:rsidR="006F1EBF">
        <w:rPr>
          <w:snapToGrid w:val="0"/>
        </w:rPr>
        <w:t>była</w:t>
      </w:r>
      <w:r>
        <w:rPr>
          <w:snapToGrid w:val="0"/>
        </w:rPr>
        <w:t xml:space="preserve"> „niezbędn</w:t>
      </w:r>
      <w:r w:rsidR="006F1EBF">
        <w:rPr>
          <w:snapToGrid w:val="0"/>
        </w:rPr>
        <w:t>[</w:t>
      </w:r>
      <w:r>
        <w:rPr>
          <w:snapToGrid w:val="0"/>
        </w:rPr>
        <w:t>a</w:t>
      </w:r>
      <w:r w:rsidR="006F1EBF">
        <w:rPr>
          <w:snapToGrid w:val="0"/>
        </w:rPr>
        <w:t>]</w:t>
      </w:r>
      <w:r>
        <w:rPr>
          <w:snapToGrid w:val="0"/>
        </w:rPr>
        <w:t xml:space="preserve"> w</w:t>
      </w:r>
      <w:r w:rsidR="00AC1E51">
        <w:rPr>
          <w:snapToGrid w:val="0"/>
        </w:rPr>
        <w:t> </w:t>
      </w:r>
      <w:r>
        <w:rPr>
          <w:snapToGrid w:val="0"/>
        </w:rPr>
        <w:t>społeczeństwie demokratycznym” do osiągnięcia takich celów.</w:t>
      </w:r>
    </w:p>
    <w:p w14:paraId="6F607666" w14:textId="4683C748"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61</w:t>
      </w:r>
      <w:r w:rsidRPr="009C15B1">
        <w:rPr>
          <w:snapToGrid w:val="0"/>
        </w:rPr>
        <w:fldChar w:fldCharType="end"/>
      </w:r>
      <w:r>
        <w:rPr>
          <w:snapToGrid w:val="0"/>
        </w:rPr>
        <w:t xml:space="preserve">.  W odniesieniu do pierwszego i drugiego z tych wymogów, mianowicie, że ingerencja musiała być </w:t>
      </w:r>
      <w:r w:rsidR="001F4366">
        <w:rPr>
          <w:snapToGrid w:val="0"/>
        </w:rPr>
        <w:t>„</w:t>
      </w:r>
      <w:r>
        <w:rPr>
          <w:snapToGrid w:val="0"/>
        </w:rPr>
        <w:t>przewidzian</w:t>
      </w:r>
      <w:r w:rsidR="00D40A7E">
        <w:rPr>
          <w:snapToGrid w:val="0"/>
        </w:rPr>
        <w:t>[</w:t>
      </w:r>
      <w:r>
        <w:rPr>
          <w:snapToGrid w:val="0"/>
        </w:rPr>
        <w:t>a</w:t>
      </w:r>
      <w:r w:rsidR="00D40A7E">
        <w:rPr>
          <w:snapToGrid w:val="0"/>
        </w:rPr>
        <w:t>]</w:t>
      </w:r>
      <w:r>
        <w:rPr>
          <w:snapToGrid w:val="0"/>
        </w:rPr>
        <w:t xml:space="preserve"> przez ustawę</w:t>
      </w:r>
      <w:r w:rsidR="001F4366">
        <w:rPr>
          <w:snapToGrid w:val="0"/>
        </w:rPr>
        <w:t>”</w:t>
      </w:r>
      <w:r>
        <w:rPr>
          <w:snapToGrid w:val="0"/>
        </w:rPr>
        <w:t xml:space="preserve"> i</w:t>
      </w:r>
      <w:r w:rsidR="001F4366">
        <w:rPr>
          <w:snapToGrid w:val="0"/>
        </w:rPr>
        <w:t> </w:t>
      </w:r>
      <w:r>
        <w:rPr>
          <w:snapToGrid w:val="0"/>
        </w:rPr>
        <w:t xml:space="preserve">służyć realizacji uzasadnionego celu, Trybunał odwołuje się do swojej analizy </w:t>
      </w:r>
      <w:r w:rsidR="001F4366">
        <w:rPr>
          <w:snapToGrid w:val="0"/>
        </w:rPr>
        <w:t>dotyczącej art</w:t>
      </w:r>
      <w:r>
        <w:rPr>
          <w:snapToGrid w:val="0"/>
        </w:rPr>
        <w:t xml:space="preserve">. 1 </w:t>
      </w:r>
      <w:r w:rsidR="003C6885">
        <w:rPr>
          <w:snapToGrid w:val="0"/>
        </w:rPr>
        <w:t xml:space="preserve">Protokołu </w:t>
      </w:r>
      <w:r>
        <w:rPr>
          <w:snapToGrid w:val="0"/>
        </w:rPr>
        <w:t xml:space="preserve">nr 1, </w:t>
      </w:r>
      <w:r w:rsidR="00D40A7E">
        <w:rPr>
          <w:snapToGrid w:val="0"/>
        </w:rPr>
        <w:t>z której wynika</w:t>
      </w:r>
      <w:r>
        <w:rPr>
          <w:snapToGrid w:val="0"/>
        </w:rPr>
        <w:t xml:space="preserve">, że zatrzymanie serwera skarżącego, zajętego jako </w:t>
      </w:r>
      <w:r w:rsidR="001F4366">
        <w:rPr>
          <w:snapToGrid w:val="0"/>
        </w:rPr>
        <w:t>materiał dowodowy</w:t>
      </w:r>
      <w:r>
        <w:rPr>
          <w:snapToGrid w:val="0"/>
        </w:rPr>
        <w:t xml:space="preserve"> w postępowaniu karnym, miało ważną podstawę prawną w art. 111 </w:t>
      </w:r>
      <w:r w:rsidR="00D40A7E">
        <w:rPr>
          <w:snapToGrid w:val="0"/>
        </w:rPr>
        <w:t>K</w:t>
      </w:r>
      <w:r>
        <w:rPr>
          <w:snapToGrid w:val="0"/>
        </w:rPr>
        <w:t xml:space="preserve">odeksu postępowania karnego oraz służyło uzasadnionym celom zapobiegania zakłócaniu porządku i </w:t>
      </w:r>
      <w:r w:rsidR="00D40A7E">
        <w:rPr>
          <w:snapToGrid w:val="0"/>
        </w:rPr>
        <w:t xml:space="preserve">przestępstwu </w:t>
      </w:r>
      <w:r>
        <w:rPr>
          <w:snapToGrid w:val="0"/>
        </w:rPr>
        <w:t xml:space="preserve">oraz ochronie praw innych osób (zob. paragraf 43 powyżej). Ponieważ ingerencja w prawa skarżącego na podstawie art. 10 Konwencji wynikała z tych samych faktów </w:t>
      </w:r>
      <w:r w:rsidR="001F4366">
        <w:rPr>
          <w:snapToGrid w:val="0"/>
        </w:rPr>
        <w:t xml:space="preserve">– </w:t>
      </w:r>
      <w:r>
        <w:rPr>
          <w:snapToGrid w:val="0"/>
        </w:rPr>
        <w:t xml:space="preserve">zatrzymania jego serwera przez organy ścigania </w:t>
      </w:r>
      <w:r w:rsidR="001F4366">
        <w:rPr>
          <w:snapToGrid w:val="0"/>
        </w:rPr>
        <w:t xml:space="preserve">– </w:t>
      </w:r>
      <w:r>
        <w:rPr>
          <w:snapToGrid w:val="0"/>
        </w:rPr>
        <w:t xml:space="preserve">ingerencja ta </w:t>
      </w:r>
      <w:r w:rsidR="001F4366">
        <w:rPr>
          <w:snapToGrid w:val="0"/>
        </w:rPr>
        <w:t xml:space="preserve">także </w:t>
      </w:r>
      <w:r>
        <w:rPr>
          <w:snapToGrid w:val="0"/>
        </w:rPr>
        <w:t>była „przewidziana przez ustawę” i służyła realizacji uzasadnionych celów w interesie ogółu. Dodatkowo należy zauważyć, że skarżący nie kwestionował, że strona internetowa</w:t>
      </w:r>
      <w:r w:rsidR="00DE6378">
        <w:rPr>
          <w:snapToGrid w:val="0"/>
        </w:rPr>
        <w:t>,</w:t>
      </w:r>
      <w:r>
        <w:rPr>
          <w:snapToGrid w:val="0"/>
        </w:rPr>
        <w:t xml:space="preserve"> w stosunku do której istniało podejrzenie naruszenia praw autorskich</w:t>
      </w:r>
      <w:r w:rsidR="001F4366">
        <w:rPr>
          <w:snapToGrid w:val="0"/>
        </w:rPr>
        <w:t>,</w:t>
      </w:r>
      <w:r>
        <w:rPr>
          <w:snapToGrid w:val="0"/>
        </w:rPr>
        <w:t xml:space="preserve"> była częściowo hostowana na jego serwerze.</w:t>
      </w:r>
    </w:p>
    <w:p w14:paraId="62AB2083" w14:textId="64C3FCBC"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62</w:t>
      </w:r>
      <w:r w:rsidRPr="009C15B1">
        <w:rPr>
          <w:snapToGrid w:val="0"/>
        </w:rPr>
        <w:fldChar w:fldCharType="end"/>
      </w:r>
      <w:r>
        <w:rPr>
          <w:snapToGrid w:val="0"/>
        </w:rPr>
        <w:t>.  Istotną kwestią jest zatem to, czy ingerencja była proporcjonalna do</w:t>
      </w:r>
      <w:r w:rsidR="001F4366">
        <w:rPr>
          <w:snapToGrid w:val="0"/>
        </w:rPr>
        <w:t> </w:t>
      </w:r>
      <w:r>
        <w:rPr>
          <w:snapToGrid w:val="0"/>
        </w:rPr>
        <w:t>określonych powyżej uzasadnionych celów.</w:t>
      </w:r>
    </w:p>
    <w:p w14:paraId="5A0B2C5D" w14:textId="4880EAA6"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63</w:t>
      </w:r>
      <w:r w:rsidRPr="009C15B1">
        <w:rPr>
          <w:snapToGrid w:val="0"/>
        </w:rPr>
        <w:fldChar w:fldCharType="end"/>
      </w:r>
      <w:r>
        <w:rPr>
          <w:snapToGrid w:val="0"/>
        </w:rPr>
        <w:t>.  Badając to zagadnienie, Trybunał ponownie sięg</w:t>
      </w:r>
      <w:r w:rsidR="001F4366">
        <w:rPr>
          <w:snapToGrid w:val="0"/>
        </w:rPr>
        <w:t>a</w:t>
      </w:r>
      <w:r>
        <w:rPr>
          <w:snapToGrid w:val="0"/>
        </w:rPr>
        <w:t xml:space="preserve"> do swojej analizy dotyczącej art. 1 Protokołu nr 1. Stwierdził on w tej części, że ingerencja władz publicznych w prawa skarżącego, a konkretnie przedłużone zatrzymanie jego serwera jako materiału dowodowego w postępowaniu karnym przeciwko osobom trzecim, nie </w:t>
      </w:r>
      <w:r w:rsidR="008D3B1B">
        <w:rPr>
          <w:snapToGrid w:val="0"/>
        </w:rPr>
        <w:t>była konieczna</w:t>
      </w:r>
      <w:r>
        <w:rPr>
          <w:snapToGrid w:val="0"/>
        </w:rPr>
        <w:t xml:space="preserve">, ponieważ serwera nigdy nie zbadano na potrzeby </w:t>
      </w:r>
      <w:r w:rsidR="005141A0">
        <w:rPr>
          <w:snapToGrid w:val="0"/>
        </w:rPr>
        <w:t>dochodzeni</w:t>
      </w:r>
      <w:r>
        <w:rPr>
          <w:snapToGrid w:val="0"/>
        </w:rPr>
        <w:t>a. Ponadto istniała możliwość skopiowania odpowiednich informacji i zwrotu serwera, a organy ścigania nie działały z należytą starannością, pomimo wielokrotnych skarg ze strony skarżącego (zob. paragrafy 45-50 powyżej).</w:t>
      </w:r>
    </w:p>
    <w:p w14:paraId="79B1BF67" w14:textId="1ACED4AC" w:rsidR="00D37470" w:rsidRPr="009C15B1" w:rsidRDefault="00D37470" w:rsidP="009C15B1">
      <w:pPr>
        <w:pStyle w:val="JuPara"/>
        <w:rPr>
          <w:snapToGrid w:val="0"/>
        </w:rPr>
      </w:pPr>
      <w:r w:rsidRPr="009C15B1">
        <w:rPr>
          <w:snapToGrid w:val="0"/>
        </w:rPr>
        <w:fldChar w:fldCharType="begin"/>
      </w:r>
      <w:r w:rsidRPr="009C15B1">
        <w:rPr>
          <w:snapToGrid w:val="0"/>
        </w:rPr>
        <w:instrText xml:space="preserve"> SEQ level0 \*arabic </w:instrText>
      </w:r>
      <w:r w:rsidRPr="009C15B1">
        <w:rPr>
          <w:snapToGrid w:val="0"/>
        </w:rPr>
        <w:fldChar w:fldCharType="separate"/>
      </w:r>
      <w:r w:rsidR="001D28C9">
        <w:rPr>
          <w:noProof/>
          <w:snapToGrid w:val="0"/>
        </w:rPr>
        <w:t>64</w:t>
      </w:r>
      <w:r w:rsidRPr="009C15B1">
        <w:rPr>
          <w:snapToGrid w:val="0"/>
        </w:rPr>
        <w:fldChar w:fldCharType="end"/>
      </w:r>
      <w:r>
        <w:rPr>
          <w:snapToGrid w:val="0"/>
        </w:rPr>
        <w:t xml:space="preserve">.  W odniesieniu do przedmiotowej analizy Trybunał ponownie zauważa, że serwer skarżącego, zatrzymany przez organy ścigania w Sofii </w:t>
      </w:r>
      <w:r w:rsidR="001B3CC7">
        <w:rPr>
          <w:snapToGrid w:val="0"/>
        </w:rPr>
        <w:t>na</w:t>
      </w:r>
      <w:r>
        <w:rPr>
          <w:snapToGrid w:val="0"/>
        </w:rPr>
        <w:t xml:space="preserve"> siedem i pół miesiąca, nigdy nie został wykorzystany na potrzeby </w:t>
      </w:r>
      <w:r w:rsidR="005141A0">
        <w:rPr>
          <w:snapToGrid w:val="0"/>
        </w:rPr>
        <w:t>dochodzeni</w:t>
      </w:r>
      <w:r>
        <w:rPr>
          <w:snapToGrid w:val="0"/>
        </w:rPr>
        <w:t>a w sprawie karnej, niedotyczącej skarżącego lub jego strony internetowej, a jedynie był przechowywany do czasu, gdy zwrócono go</w:t>
      </w:r>
      <w:r w:rsidR="001F4366">
        <w:rPr>
          <w:snapToGrid w:val="0"/>
        </w:rPr>
        <w:t> </w:t>
      </w:r>
      <w:r>
        <w:rPr>
          <w:snapToGrid w:val="0"/>
        </w:rPr>
        <w:t xml:space="preserve">skarżącemu. Istotne jest również to, że podczas gdy skarżący wielokrotnie stwierdzał, że na serwerze hostowana </w:t>
      </w:r>
      <w:r w:rsidR="007E2C67">
        <w:rPr>
          <w:snapToGrid w:val="0"/>
        </w:rPr>
        <w:t>jest</w:t>
      </w:r>
      <w:r>
        <w:rPr>
          <w:snapToGrid w:val="0"/>
        </w:rPr>
        <w:t xml:space="preserve"> </w:t>
      </w:r>
      <w:r w:rsidR="007E2C67">
        <w:rPr>
          <w:snapToGrid w:val="0"/>
        </w:rPr>
        <w:t>także</w:t>
      </w:r>
      <w:r>
        <w:rPr>
          <w:snapToGrid w:val="0"/>
        </w:rPr>
        <w:t xml:space="preserve"> jego własna strona internetowa, że wiele funkcjonalności tej strony przestało działać i</w:t>
      </w:r>
      <w:r w:rsidR="00AC1E51">
        <w:rPr>
          <w:snapToGrid w:val="0"/>
        </w:rPr>
        <w:t> </w:t>
      </w:r>
      <w:r>
        <w:rPr>
          <w:snapToGrid w:val="0"/>
        </w:rPr>
        <w:t xml:space="preserve">nie można ich przywrócić oraz że strona </w:t>
      </w:r>
      <w:r w:rsidR="007E2C67">
        <w:rPr>
          <w:snapToGrid w:val="0"/>
        </w:rPr>
        <w:t>jest</w:t>
      </w:r>
      <w:r>
        <w:rPr>
          <w:snapToGrid w:val="0"/>
        </w:rPr>
        <w:t xml:space="preserve"> stosunkowo popularna i jej niedostępność </w:t>
      </w:r>
      <w:r w:rsidR="007E2C67">
        <w:rPr>
          <w:snapToGrid w:val="0"/>
        </w:rPr>
        <w:t>powoduje</w:t>
      </w:r>
      <w:r>
        <w:rPr>
          <w:snapToGrid w:val="0"/>
        </w:rPr>
        <w:t xml:space="preserve"> u niego szkody finansowe (zob.</w:t>
      </w:r>
      <w:r w:rsidR="001F4366">
        <w:rPr>
          <w:snapToGrid w:val="0"/>
        </w:rPr>
        <w:t> </w:t>
      </w:r>
      <w:r>
        <w:rPr>
          <w:snapToGrid w:val="0"/>
        </w:rPr>
        <w:t>paragrafy 8-10 powyżej), organy ścigania pozostawały bezczynne przez długi okres</w:t>
      </w:r>
      <w:r w:rsidR="001F4366">
        <w:rPr>
          <w:snapToGrid w:val="0"/>
        </w:rPr>
        <w:t xml:space="preserve">. </w:t>
      </w:r>
      <w:r>
        <w:rPr>
          <w:snapToGrid w:val="0"/>
        </w:rPr>
        <w:t>W szczególności prokuratura rejonow</w:t>
      </w:r>
      <w:r w:rsidR="001F4366">
        <w:rPr>
          <w:snapToGrid w:val="0"/>
        </w:rPr>
        <w:t>a w</w:t>
      </w:r>
      <w:r>
        <w:rPr>
          <w:snapToGrid w:val="0"/>
        </w:rPr>
        <w:t xml:space="preserve"> Sofii, </w:t>
      </w:r>
      <w:r w:rsidR="001F4366">
        <w:rPr>
          <w:snapToGrid w:val="0"/>
        </w:rPr>
        <w:t xml:space="preserve">w której </w:t>
      </w:r>
      <w:r>
        <w:rPr>
          <w:snapToGrid w:val="0"/>
        </w:rPr>
        <w:t>serwer był przechowywany, oceniła konieczność zatrzymania serwera i</w:t>
      </w:r>
      <w:r w:rsidR="001F4366">
        <w:rPr>
          <w:snapToGrid w:val="0"/>
        </w:rPr>
        <w:t> </w:t>
      </w:r>
      <w:r>
        <w:rPr>
          <w:snapToGrid w:val="0"/>
        </w:rPr>
        <w:t>postanowiła o</w:t>
      </w:r>
      <w:r w:rsidR="00AC1E51">
        <w:rPr>
          <w:snapToGrid w:val="0"/>
        </w:rPr>
        <w:t> </w:t>
      </w:r>
      <w:r>
        <w:rPr>
          <w:snapToGrid w:val="0"/>
        </w:rPr>
        <w:t xml:space="preserve">jego wydaniu dopiero po </w:t>
      </w:r>
      <w:r>
        <w:rPr>
          <w:snapToGrid w:val="0"/>
        </w:rPr>
        <w:lastRenderedPageBreak/>
        <w:t>otrzymaniu polecenia od</w:t>
      </w:r>
      <w:r w:rsidR="001F4366">
        <w:rPr>
          <w:snapToGrid w:val="0"/>
        </w:rPr>
        <w:t> </w:t>
      </w:r>
      <w:r>
        <w:rPr>
          <w:snapToGrid w:val="0"/>
        </w:rPr>
        <w:t>Prokuratury Generalnej (zob. paragrafy 14-15 i 49 powyżej).</w:t>
      </w:r>
    </w:p>
    <w:p w14:paraId="3308C788" w14:textId="43660A78" w:rsidR="00D37470" w:rsidRPr="009C15B1" w:rsidRDefault="003A2562" w:rsidP="009C15B1">
      <w:pPr>
        <w:pStyle w:val="JuPara"/>
        <w:rPr>
          <w:bCs/>
        </w:rPr>
      </w:pPr>
      <w:r>
        <w:fldChar w:fldCharType="begin"/>
      </w:r>
      <w:r>
        <w:instrText xml:space="preserve"> SEQ level0 \*arabic</w:instrText>
      </w:r>
      <w:r>
        <w:instrText xml:space="preserve"> </w:instrText>
      </w:r>
      <w:r>
        <w:fldChar w:fldCharType="separate"/>
      </w:r>
      <w:r w:rsidR="001D28C9">
        <w:rPr>
          <w:noProof/>
        </w:rPr>
        <w:t>65</w:t>
      </w:r>
      <w:r>
        <w:rPr>
          <w:noProof/>
        </w:rPr>
        <w:fldChar w:fldCharType="end"/>
      </w:r>
      <w:r w:rsidR="00D37470">
        <w:t xml:space="preserve">.  Rząd podkreślił, że na skarżącego nie nałożono żadnych sankcji karnych, administracyjnych lub </w:t>
      </w:r>
      <w:r w:rsidR="00D2135D">
        <w:t xml:space="preserve">sankcji </w:t>
      </w:r>
      <w:r w:rsidR="00D37470">
        <w:t>innego rodzaju, a on sam nie został pociągnięty do odpowiedzialności za treść swojej strony internetowej (zob. paragraf 28 powyżej). Trybunał zauważa, że chociaż skarżący najwyraźniej hostował na swoim serwerze stronę internetową, co do której istniało podejrzenie, że publikuje się na niej treści naruszające prawa autorskie, to</w:t>
      </w:r>
      <w:r w:rsidR="00D2135D">
        <w:t> </w:t>
      </w:r>
      <w:r w:rsidR="00D37470">
        <w:t xml:space="preserve">władze krajowe </w:t>
      </w:r>
      <w:r w:rsidR="00E75BCB">
        <w:t>ani razu</w:t>
      </w:r>
      <w:r w:rsidR="00D37470">
        <w:t xml:space="preserve"> nie zasugerowały, że ponosi on</w:t>
      </w:r>
      <w:r w:rsidR="00D2135D">
        <w:t> </w:t>
      </w:r>
      <w:r w:rsidR="00D37470">
        <w:t>jakąkolwiek odpowiedzialność za rzekome naruszenia praw autorskich. Ponieważ ingerencja w wolność wyrażania opinii skarżącego była wynikiem działań podjętych przez władze przy gromadzeniu materiału dowodowego przeciwko osobom trzecim, Trybunał nie widzi, jak fakt, że</w:t>
      </w:r>
      <w:r w:rsidR="00D2135D">
        <w:t> </w:t>
      </w:r>
      <w:r w:rsidR="00D37470">
        <w:t>nie nałożono na skarżącego żadnych sankcji, mógłby mieć znaczenie dla analizy proporcjonalności.</w:t>
      </w:r>
    </w:p>
    <w:p w14:paraId="72DB82A5" w14:textId="19ADF0AC" w:rsidR="00D37470" w:rsidRPr="009C15B1" w:rsidRDefault="003A2562" w:rsidP="009C15B1">
      <w:pPr>
        <w:pStyle w:val="JuPara"/>
      </w:pPr>
      <w:r>
        <w:fldChar w:fldCharType="begin"/>
      </w:r>
      <w:r>
        <w:instrText xml:space="preserve"> SEQ level0 \*arabic </w:instrText>
      </w:r>
      <w:r>
        <w:fldChar w:fldCharType="separate"/>
      </w:r>
      <w:r w:rsidR="001D28C9">
        <w:rPr>
          <w:noProof/>
        </w:rPr>
        <w:t>66</w:t>
      </w:r>
      <w:r>
        <w:rPr>
          <w:noProof/>
        </w:rPr>
        <w:fldChar w:fldCharType="end"/>
      </w:r>
      <w:r w:rsidR="00D37470">
        <w:t>.  Rząd wskazał również, że skarżący nie był dziennikarzem, sygnalistą lub inną osobą, która wymaga zwiększonej ochrony (zob. paragraf 28 powyżej). Prawdą jest, że wyrażanie przez skarżącego opinii miało charakter artystyczny</w:t>
      </w:r>
      <w:r w:rsidR="00E75BCB">
        <w:t>, w związku z czym</w:t>
      </w:r>
      <w:r w:rsidR="00D37470">
        <w:t xml:space="preserve"> nie przysługiwał </w:t>
      </w:r>
      <w:r w:rsidR="00E75BCB">
        <w:t xml:space="preserve">mu </w:t>
      </w:r>
      <w:r w:rsidR="00D37470">
        <w:t xml:space="preserve">wysoki poziom ochrony przypisywany wypowiedziom politycznym (zob. </w:t>
      </w:r>
      <w:r w:rsidR="00D37470">
        <w:rPr>
          <w:i/>
        </w:rPr>
        <w:t>Castells</w:t>
      </w:r>
      <w:r w:rsidR="00D37470">
        <w:t xml:space="preserve"> </w:t>
      </w:r>
      <w:r w:rsidR="00D37470">
        <w:rPr>
          <w:i/>
        </w:rPr>
        <w:t>przeciwko</w:t>
      </w:r>
      <w:r w:rsidR="00D37470">
        <w:t xml:space="preserve"> </w:t>
      </w:r>
      <w:r w:rsidR="00D37470">
        <w:rPr>
          <w:i/>
        </w:rPr>
        <w:t>Hiszpanii</w:t>
      </w:r>
      <w:r w:rsidR="00D37470">
        <w:t>, 23 kwietnia 1992 r., §</w:t>
      </w:r>
      <w:r w:rsidR="00E75BCB">
        <w:t> </w:t>
      </w:r>
      <w:r w:rsidR="00D37470">
        <w:t xml:space="preserve">42, Seria A nr 236, oraz </w:t>
      </w:r>
      <w:r w:rsidR="00D37470">
        <w:rPr>
          <w:i/>
        </w:rPr>
        <w:t>Ceylan przeciwko Turcji</w:t>
      </w:r>
      <w:r w:rsidR="00D37470">
        <w:t xml:space="preserve"> [WI], skarga nr 23556/94, §</w:t>
      </w:r>
      <w:r w:rsidR="00E75BCB">
        <w:t> </w:t>
      </w:r>
      <w:r w:rsidR="00D37470">
        <w:t>34, ETPC 1999</w:t>
      </w:r>
      <w:r w:rsidR="00D37470">
        <w:noBreakHyphen/>
        <w:t xml:space="preserve">IV). Niemniej w </w:t>
      </w:r>
      <w:r w:rsidR="00E75BCB">
        <w:t xml:space="preserve">omówionych powyżej </w:t>
      </w:r>
      <w:r w:rsidR="00D37470">
        <w:t xml:space="preserve">okolicznościach </w:t>
      </w:r>
      <w:r w:rsidR="00E75BCB">
        <w:t>rozpatrywanej</w:t>
      </w:r>
      <w:r w:rsidR="00D37470">
        <w:t xml:space="preserve"> sprawy</w:t>
      </w:r>
      <w:r w:rsidR="00E75BCB">
        <w:t xml:space="preserve"> </w:t>
      </w:r>
      <w:r w:rsidR="00D37470">
        <w:t>czynnik ten</w:t>
      </w:r>
      <w:r w:rsidR="00D2135D">
        <w:t xml:space="preserve"> nie</w:t>
      </w:r>
      <w:r w:rsidR="00D37470">
        <w:t xml:space="preserve"> jest wystarczający, aby przechylić szalę na korzyść Rządu. Trybunał jeszcze raz podkreśla, że zatrzymanie serwera skarżącego w</w:t>
      </w:r>
      <w:r w:rsidR="00D2135D">
        <w:t> </w:t>
      </w:r>
      <w:r w:rsidR="00D37470">
        <w:t xml:space="preserve">postępowaniu karnym okazało się zbędne dla </w:t>
      </w:r>
      <w:r w:rsidR="005141A0">
        <w:t>celów dochodzenia</w:t>
      </w:r>
      <w:r w:rsidR="00D37470">
        <w:t xml:space="preserve"> oraz że</w:t>
      </w:r>
      <w:r w:rsidR="00D2135D">
        <w:t> </w:t>
      </w:r>
      <w:r w:rsidR="00D37470">
        <w:t xml:space="preserve">przez pewien </w:t>
      </w:r>
      <w:r w:rsidR="00D2135D">
        <w:t>cza</w:t>
      </w:r>
      <w:r w:rsidR="00D37470">
        <w:t>s organy ścigania nie podjęły żadnych starań, aby zaradzić skutkom swoich działań dla wolności wyrażania opinii skarżącego, mimo że były o</w:t>
      </w:r>
      <w:r w:rsidR="00AC1E51">
        <w:t> </w:t>
      </w:r>
      <w:r w:rsidR="00D37470">
        <w:t>nich wielokrotnie informowane.</w:t>
      </w:r>
    </w:p>
    <w:p w14:paraId="6A2FF6C4" w14:textId="74A2ABAC" w:rsidR="00D37470" w:rsidRPr="009C15B1" w:rsidRDefault="003A2562" w:rsidP="009C15B1">
      <w:pPr>
        <w:pStyle w:val="JuPara"/>
      </w:pPr>
      <w:r>
        <w:fldChar w:fldCharType="begin"/>
      </w:r>
      <w:r>
        <w:instrText xml:space="preserve"> SEQ level0 \*arabic </w:instrText>
      </w:r>
      <w:r>
        <w:fldChar w:fldCharType="separate"/>
      </w:r>
      <w:r w:rsidR="001D28C9">
        <w:rPr>
          <w:noProof/>
        </w:rPr>
        <w:t>67</w:t>
      </w:r>
      <w:r>
        <w:rPr>
          <w:noProof/>
        </w:rPr>
        <w:fldChar w:fldCharType="end"/>
      </w:r>
      <w:r w:rsidR="00D37470">
        <w:t xml:space="preserve">.  W związku z </w:t>
      </w:r>
      <w:r w:rsidR="00455EA8">
        <w:t>tym</w:t>
      </w:r>
      <w:r w:rsidR="00D37470">
        <w:t xml:space="preserve"> </w:t>
      </w:r>
      <w:r w:rsidR="00312AB7">
        <w:t xml:space="preserve">określona powyżej </w:t>
      </w:r>
      <w:r w:rsidR="00D37470">
        <w:t>ingerencja w</w:t>
      </w:r>
      <w:r w:rsidR="00455EA8">
        <w:t> </w:t>
      </w:r>
      <w:r w:rsidR="00D2135D">
        <w:t>wolność wyrażania opinii</w:t>
      </w:r>
      <w:r w:rsidR="00D37470">
        <w:t xml:space="preserve"> skarżącego nie była środkiem proporcjonalnym do</w:t>
      </w:r>
      <w:r w:rsidR="00D2135D">
        <w:t> </w:t>
      </w:r>
      <w:r w:rsidR="00312AB7">
        <w:t>zasadnych</w:t>
      </w:r>
      <w:r w:rsidR="00D37470">
        <w:t xml:space="preserve"> celów, którym służyła. Nie była więc „niezbędna w</w:t>
      </w:r>
      <w:r w:rsidR="00D2135D">
        <w:t> </w:t>
      </w:r>
      <w:r w:rsidR="00D37470">
        <w:t>społeczeństwie demokratycznym</w:t>
      </w:r>
      <w:r w:rsidR="00312AB7">
        <w:t>”</w:t>
      </w:r>
      <w:r w:rsidR="00D37470">
        <w:t xml:space="preserve">, czego wymaga </w:t>
      </w:r>
      <w:r w:rsidR="00BD0733">
        <w:t xml:space="preserve">się w </w:t>
      </w:r>
      <w:r w:rsidR="00D37470">
        <w:t>art. 10 Konwencji.</w:t>
      </w:r>
    </w:p>
    <w:p w14:paraId="4D1A9CBC" w14:textId="5244E2A9" w:rsidR="00D37470" w:rsidRPr="009C15B1" w:rsidRDefault="003A2562" w:rsidP="009C15B1">
      <w:pPr>
        <w:pStyle w:val="JuPara"/>
      </w:pPr>
      <w:r>
        <w:fldChar w:fldCharType="begin"/>
      </w:r>
      <w:r>
        <w:instrText xml:space="preserve"> SEQ level0 \*arabic </w:instrText>
      </w:r>
      <w:r>
        <w:fldChar w:fldCharType="separate"/>
      </w:r>
      <w:r w:rsidR="001D28C9">
        <w:rPr>
          <w:noProof/>
        </w:rPr>
        <w:t>68</w:t>
      </w:r>
      <w:r>
        <w:rPr>
          <w:noProof/>
        </w:rPr>
        <w:fldChar w:fldCharType="end"/>
      </w:r>
      <w:r w:rsidR="00D37470">
        <w:t>.  W związku z powyższym doszło do naruszenia tego przepisu.</w:t>
      </w:r>
    </w:p>
    <w:p w14:paraId="10FBC8D8" w14:textId="77777777" w:rsidR="00D37470" w:rsidRPr="009C15B1" w:rsidRDefault="00D37470" w:rsidP="009C15B1">
      <w:pPr>
        <w:pStyle w:val="JuHIRoman"/>
      </w:pPr>
      <w:r>
        <w:t>ZASTOSOWANIE ART. 41 KONWENCJI</w:t>
      </w:r>
    </w:p>
    <w:p w14:paraId="2654B334" w14:textId="42824CC5" w:rsidR="00D37470" w:rsidRPr="009C15B1" w:rsidRDefault="003A2562" w:rsidP="009C15B1">
      <w:pPr>
        <w:pStyle w:val="JuPara"/>
      </w:pPr>
      <w:r>
        <w:fldChar w:fldCharType="begin"/>
      </w:r>
      <w:r>
        <w:instrText xml:space="preserve"> SEQ level0 \*arabic </w:instrText>
      </w:r>
      <w:r>
        <w:fldChar w:fldCharType="separate"/>
      </w:r>
      <w:r w:rsidR="001D28C9">
        <w:rPr>
          <w:noProof/>
        </w:rPr>
        <w:t>69</w:t>
      </w:r>
      <w:r>
        <w:rPr>
          <w:noProof/>
        </w:rPr>
        <w:fldChar w:fldCharType="end"/>
      </w:r>
      <w:r w:rsidR="00D37470">
        <w:t>.  Art. 41 Konwencji stanowi:</w:t>
      </w:r>
    </w:p>
    <w:p w14:paraId="1A6B963A" w14:textId="1FA0D534" w:rsidR="00D37470" w:rsidRPr="009C15B1" w:rsidRDefault="00D37470" w:rsidP="009C15B1">
      <w:pPr>
        <w:pStyle w:val="JuQuot"/>
        <w:keepNext/>
        <w:keepLines/>
      </w:pPr>
      <w:r>
        <w:lastRenderedPageBreak/>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r w:rsidR="00571443">
        <w:t>.</w:t>
      </w:r>
      <w:r>
        <w:t>”</w:t>
      </w:r>
    </w:p>
    <w:p w14:paraId="2C6EFBB9" w14:textId="77777777" w:rsidR="00D37470" w:rsidRPr="009C15B1" w:rsidRDefault="00D37470" w:rsidP="009C15B1">
      <w:pPr>
        <w:pStyle w:val="JuHA"/>
      </w:pPr>
      <w:r>
        <w:t>Szkoda</w:t>
      </w:r>
    </w:p>
    <w:p w14:paraId="38BBBB14" w14:textId="7E8BB3FC" w:rsidR="00D37470" w:rsidRPr="009C15B1" w:rsidRDefault="003A2562" w:rsidP="009C15B1">
      <w:pPr>
        <w:pStyle w:val="JuPara"/>
      </w:pPr>
      <w:r>
        <w:fldChar w:fldCharType="begin"/>
      </w:r>
      <w:r>
        <w:instrText xml:space="preserve"> SEQ level0 \*arabic </w:instrText>
      </w:r>
      <w:r>
        <w:fldChar w:fldCharType="separate"/>
      </w:r>
      <w:r w:rsidR="001D28C9">
        <w:rPr>
          <w:noProof/>
        </w:rPr>
        <w:t>70</w:t>
      </w:r>
      <w:r>
        <w:rPr>
          <w:noProof/>
        </w:rPr>
        <w:fldChar w:fldCharType="end"/>
      </w:r>
      <w:r w:rsidR="00D37470">
        <w:t xml:space="preserve">.  Skarżący zażądał kwoty 7.000 lewów bułgarskich (BGN), czyli równowartości około 3.580 euro (EUR), wraz z odsetkami, z tytułu szkody majątkowej, jako odszkodowania za „zniszczone zasoby internetowe” oraz uniemożliwienie korzystania przez niego z serwera w czasie, gdy </w:t>
      </w:r>
      <w:r w:rsidR="001468F1">
        <w:t>zatrzymany był przez</w:t>
      </w:r>
      <w:r w:rsidR="00D37470">
        <w:t xml:space="preserve"> organy ścigania. </w:t>
      </w:r>
      <w:r w:rsidR="00855A8E">
        <w:t>W celu</w:t>
      </w:r>
      <w:r w:rsidR="00D37470">
        <w:t xml:space="preserve"> uzasadnienia roszczenia skarżący złożył oświadczenie o liczbie użytkowników odwiedzających jego stronę przed zajęciem </w:t>
      </w:r>
      <w:r w:rsidR="001468F1">
        <w:t>ser</w:t>
      </w:r>
      <w:r w:rsidR="00D37470">
        <w:t>wera. Ponadto zażądał 15.000 EUR tytułem zadośćuczynienia za szkodę niemajątkową.</w:t>
      </w:r>
    </w:p>
    <w:p w14:paraId="1504C410" w14:textId="61FBD32C" w:rsidR="00D37470" w:rsidRPr="009C15B1" w:rsidRDefault="003A2562" w:rsidP="009C15B1">
      <w:pPr>
        <w:pStyle w:val="JuPara"/>
      </w:pPr>
      <w:r>
        <w:fldChar w:fldCharType="begin"/>
      </w:r>
      <w:r>
        <w:instrText xml:space="preserve"> SEQ level0 \*arabic </w:instrText>
      </w:r>
      <w:r>
        <w:fldChar w:fldCharType="separate"/>
      </w:r>
      <w:r w:rsidR="001D28C9">
        <w:rPr>
          <w:noProof/>
        </w:rPr>
        <w:t>71</w:t>
      </w:r>
      <w:r>
        <w:rPr>
          <w:noProof/>
        </w:rPr>
        <w:fldChar w:fldCharType="end"/>
      </w:r>
      <w:r w:rsidR="00D37470">
        <w:t>.  Rząd zakwestionował te roszczenia. Roszczenie dotyczące szkody majątkowej uznał za „arbitralne” i „nieudowodnione”.</w:t>
      </w:r>
    </w:p>
    <w:p w14:paraId="72E24C76" w14:textId="48D5446C" w:rsidR="00D37470" w:rsidRPr="009C15B1" w:rsidRDefault="003A2562" w:rsidP="009C15B1">
      <w:pPr>
        <w:pStyle w:val="JuPara"/>
      </w:pPr>
      <w:r>
        <w:fldChar w:fldCharType="begin"/>
      </w:r>
      <w:r>
        <w:instrText xml:space="preserve"> SEQ level0 \*arabic </w:instrText>
      </w:r>
      <w:r>
        <w:fldChar w:fldCharType="separate"/>
      </w:r>
      <w:r w:rsidR="001D28C9">
        <w:rPr>
          <w:noProof/>
        </w:rPr>
        <w:t>72</w:t>
      </w:r>
      <w:r>
        <w:rPr>
          <w:noProof/>
        </w:rPr>
        <w:fldChar w:fldCharType="end"/>
      </w:r>
      <w:r w:rsidR="00D37470" w:rsidRPr="00103472">
        <w:t>.  Zgodnie</w:t>
      </w:r>
      <w:r w:rsidR="00D37470">
        <w:t xml:space="preserve"> z Regułą 60 § 2 Regulaminu Trybunału każde roszczenie na</w:t>
      </w:r>
      <w:r w:rsidR="001468F1">
        <w:t> </w:t>
      </w:r>
      <w:r w:rsidR="00D37470">
        <w:t xml:space="preserve">podstawie art. 41 Konwencji należy zgłosić wraz z istotnymi dokumentami na ich potwierdzenie. Skarżący nie przedłożył jednak żadnych dokumentów, w których mogłoby znajdować się potwierdzenie rzekomo poniesionej przez niego szkody majątkowej. W szczególności oświadczenie o liczbie osób odwiedzających jego stronę internetową nie jest wystarczające do ustalenia takiej szkody. W związku z tym Trybunał odrzuca to roszczenie (zob. między innymi </w:t>
      </w:r>
      <w:r w:rsidR="00D37470">
        <w:rPr>
          <w:i/>
        </w:rPr>
        <w:t>Couderc i Hachette Filipacchi Associés</w:t>
      </w:r>
      <w:r w:rsidR="00D37470">
        <w:t xml:space="preserve"> </w:t>
      </w:r>
      <w:r w:rsidR="00D37470">
        <w:rPr>
          <w:i/>
        </w:rPr>
        <w:t>przeciwko Francji</w:t>
      </w:r>
      <w:r w:rsidR="00D37470">
        <w:t xml:space="preserve"> [WI], skarga nr 40454/07, § 157, ETPC 2015 (fragmenty)).</w:t>
      </w:r>
    </w:p>
    <w:p w14:paraId="6E9C42FA" w14:textId="4DA596CC" w:rsidR="00D37470" w:rsidRPr="009C15B1" w:rsidRDefault="003A2562" w:rsidP="009C15B1">
      <w:pPr>
        <w:pStyle w:val="JuPara"/>
      </w:pPr>
      <w:r>
        <w:fldChar w:fldCharType="begin"/>
      </w:r>
      <w:r>
        <w:instrText xml:space="preserve"> SEQ level0 \*arabic </w:instrText>
      </w:r>
      <w:r>
        <w:fldChar w:fldCharType="separate"/>
      </w:r>
      <w:r w:rsidR="001D28C9">
        <w:rPr>
          <w:noProof/>
        </w:rPr>
        <w:t>73</w:t>
      </w:r>
      <w:r>
        <w:rPr>
          <w:noProof/>
        </w:rPr>
        <w:fldChar w:fldCharType="end"/>
      </w:r>
      <w:r w:rsidR="00D37470">
        <w:t>.  W zakresie szkody niemajątkowej Trybunał, mając na uwadze okoliczności sprawy, w szczególności charakter ingerencji w prawa skarżącego na podstawie art. 10 Konwencji, oraz orzekając w oparciu o</w:t>
      </w:r>
      <w:r w:rsidR="001468F1">
        <w:t> </w:t>
      </w:r>
      <w:r w:rsidR="00D37470">
        <w:t>zasadę słuszności, przyznaje skarżącemu 5.200 EUR.</w:t>
      </w:r>
    </w:p>
    <w:p w14:paraId="7BC25140" w14:textId="77777777" w:rsidR="00D37470" w:rsidRPr="009C15B1" w:rsidRDefault="00D37470" w:rsidP="009C15B1">
      <w:pPr>
        <w:pStyle w:val="JuHA"/>
      </w:pPr>
      <w:r>
        <w:t>Koszty i wydatki</w:t>
      </w:r>
    </w:p>
    <w:p w14:paraId="68B3FBC2" w14:textId="24ABA146" w:rsidR="00D37470" w:rsidRPr="009C15B1" w:rsidRDefault="003A2562" w:rsidP="009C15B1">
      <w:pPr>
        <w:pStyle w:val="JuPara"/>
      </w:pPr>
      <w:r>
        <w:fldChar w:fldCharType="begin"/>
      </w:r>
      <w:r>
        <w:instrText xml:space="preserve"> SEQ level0 \*arabic </w:instrText>
      </w:r>
      <w:r>
        <w:fldChar w:fldCharType="separate"/>
      </w:r>
      <w:r w:rsidR="001D28C9">
        <w:rPr>
          <w:noProof/>
        </w:rPr>
        <w:t>74</w:t>
      </w:r>
      <w:r>
        <w:rPr>
          <w:noProof/>
        </w:rPr>
        <w:fldChar w:fldCharType="end"/>
      </w:r>
      <w:r w:rsidR="00D37470">
        <w:t>.  Skarżący zażądał także kwotę 3.140,42 EUR tytułem kosztów i</w:t>
      </w:r>
      <w:r w:rsidR="001468F1">
        <w:t> </w:t>
      </w:r>
      <w:r w:rsidR="00D37470">
        <w:t>wydatków poniesionych na zastępstwo procesowe przed Trybunałem oraz na tłumaczenia. Na potwierdzenie tego roszczenia przedstawił umowę o</w:t>
      </w:r>
      <w:r w:rsidR="001468F1">
        <w:t> </w:t>
      </w:r>
      <w:r w:rsidR="00D37470">
        <w:t>zastępstwo procesowe, fakturę, z której wynika, że zapłacił swoim przedstawicielom 1.200 EUR, kartę czasu pracy oraz umowę o tłumaczenie. Skarżący wniósł, aby wszelkie kwoty przyznane z tego tytułu, poza zapłaconą przez niego kwotą 1.200 EUR, zostały przekazane bezpośredniego jego przedstawicielom prawnym, panu Ekimdzhievowi i</w:t>
      </w:r>
      <w:r w:rsidR="001468F1">
        <w:t> </w:t>
      </w:r>
      <w:r w:rsidR="00D37470">
        <w:t>pani Bonchevej.</w:t>
      </w:r>
    </w:p>
    <w:p w14:paraId="5BCE36E3" w14:textId="09F37BF5" w:rsidR="00D37470" w:rsidRPr="009C15B1" w:rsidRDefault="003A2562" w:rsidP="009C15B1">
      <w:pPr>
        <w:pStyle w:val="JuPara"/>
      </w:pPr>
      <w:r>
        <w:fldChar w:fldCharType="begin"/>
      </w:r>
      <w:r>
        <w:instrText xml:space="preserve"> SEQ level0 \*arabic </w:instrText>
      </w:r>
      <w:r>
        <w:fldChar w:fldCharType="separate"/>
      </w:r>
      <w:r w:rsidR="001D28C9">
        <w:rPr>
          <w:noProof/>
        </w:rPr>
        <w:t>75</w:t>
      </w:r>
      <w:r>
        <w:rPr>
          <w:noProof/>
        </w:rPr>
        <w:fldChar w:fldCharType="end"/>
      </w:r>
      <w:r w:rsidR="00D37470">
        <w:t>.  Rząd zakwestionował roszczenie i uznał je za nadmierne.</w:t>
      </w:r>
    </w:p>
    <w:p w14:paraId="111C9482" w14:textId="614F4A0F" w:rsidR="00D37470" w:rsidRPr="009C15B1" w:rsidRDefault="003A2562" w:rsidP="009C15B1">
      <w:pPr>
        <w:pStyle w:val="JuPara"/>
      </w:pPr>
      <w:r>
        <w:fldChar w:fldCharType="begin"/>
      </w:r>
      <w:r>
        <w:instrText xml:space="preserve"> SEQ level0 \*arabic </w:instrText>
      </w:r>
      <w:r>
        <w:fldChar w:fldCharType="separate"/>
      </w:r>
      <w:r w:rsidR="001D28C9">
        <w:rPr>
          <w:noProof/>
        </w:rPr>
        <w:t>76</w:t>
      </w:r>
      <w:r>
        <w:rPr>
          <w:noProof/>
        </w:rPr>
        <w:fldChar w:fldCharType="end"/>
      </w:r>
      <w:r w:rsidR="00D37470">
        <w:t>.  Zgodnie z orzecznictwem Trybunału skarżący jest uprawniony do</w:t>
      </w:r>
      <w:r w:rsidR="001468F1">
        <w:t> </w:t>
      </w:r>
      <w:r w:rsidR="00D37470">
        <w:t xml:space="preserve">zwrotu kosztów i wydatków tylko w zakresie, w jakim zostało wykazane, </w:t>
      </w:r>
      <w:r w:rsidR="00D37470">
        <w:lastRenderedPageBreak/>
        <w:t>że zostały one rzeczywiście i w sposób konieczny poniesione oraz są w rozsądnych granicach kwotowych. W niniejszej sprawie, biorąc pod uwagę okoliczności, a w szczególności fakt, że część skargi została uznana za niedopuszczalną, Trybunał uważa za zasadne zasądzenie kwoty 1.800 EUR</w:t>
      </w:r>
      <w:r w:rsidR="001468F1">
        <w:t>,</w:t>
      </w:r>
      <w:r w:rsidR="00D37470">
        <w:t xml:space="preserve"> obejmującej koszty ze wszystkich tytułów. Zgodnie z</w:t>
      </w:r>
      <w:r w:rsidR="001468F1">
        <w:t> </w:t>
      </w:r>
      <w:r w:rsidR="00D37470">
        <w:t>wnioskiem skarżącego 1.200 EUR ma zostać wypłacone na jego rzecz, a</w:t>
      </w:r>
      <w:r w:rsidR="001468F1">
        <w:t> </w:t>
      </w:r>
      <w:r w:rsidR="00D37470">
        <w:t>pozostała część bezpośrednio jego przedstawicielom prawnym.</w:t>
      </w:r>
    </w:p>
    <w:p w14:paraId="107A043D" w14:textId="77777777" w:rsidR="00D37470" w:rsidRPr="009C15B1" w:rsidRDefault="00D37470" w:rsidP="009C15B1">
      <w:pPr>
        <w:pStyle w:val="JuHA"/>
      </w:pPr>
      <w:r>
        <w:t>Odsetki za zwłokę</w:t>
      </w:r>
    </w:p>
    <w:p w14:paraId="340156CD" w14:textId="69A1D3C0" w:rsidR="00D37470" w:rsidRPr="009C15B1" w:rsidRDefault="003A2562" w:rsidP="009C15B1">
      <w:pPr>
        <w:pStyle w:val="JuPara"/>
      </w:pPr>
      <w:r>
        <w:fldChar w:fldCharType="begin"/>
      </w:r>
      <w:r>
        <w:instrText xml:space="preserve"> SEQ level0 \*arabic </w:instrText>
      </w:r>
      <w:r>
        <w:fldChar w:fldCharType="separate"/>
      </w:r>
      <w:r w:rsidR="001D28C9">
        <w:rPr>
          <w:noProof/>
        </w:rPr>
        <w:t>77</w:t>
      </w:r>
      <w:r>
        <w:rPr>
          <w:noProof/>
        </w:rPr>
        <w:fldChar w:fldCharType="end"/>
      </w:r>
      <w:r w:rsidR="00D37470">
        <w:t>.  Trybunał za słuszne uznaje wyznaczenie wysokości odsetek za zwłokę na podstawie marginalnej stopy procentowej Europejskiego Banku Centralnego powiększonej o trzy punkty procentowe.</w:t>
      </w:r>
    </w:p>
    <w:p w14:paraId="326BCA9E" w14:textId="77777777" w:rsidR="00D37470" w:rsidRPr="009C15B1" w:rsidRDefault="00D37470" w:rsidP="009C15B1">
      <w:pPr>
        <w:pStyle w:val="JuHHead"/>
      </w:pPr>
      <w:r>
        <w:t>Z TYCH PRZYCZYN TRYBUNAŁ JEDNOGŁOŚNIE</w:t>
      </w:r>
    </w:p>
    <w:p w14:paraId="6C48E890" w14:textId="2B2E78DB" w:rsidR="00D37470" w:rsidRPr="009C15B1" w:rsidRDefault="006B72BD" w:rsidP="009C15B1">
      <w:pPr>
        <w:pStyle w:val="JuList"/>
        <w:numPr>
          <w:ilvl w:val="0"/>
          <w:numId w:val="22"/>
        </w:numPr>
      </w:pPr>
      <w:r>
        <w:rPr>
          <w:i/>
        </w:rPr>
        <w:t>stwierdza, że</w:t>
      </w:r>
      <w:r w:rsidR="00D37470">
        <w:t xml:space="preserve"> zarzuty na podstawie art. 1 </w:t>
      </w:r>
      <w:r w:rsidR="003C6885">
        <w:t xml:space="preserve">Protokołu </w:t>
      </w:r>
      <w:r w:rsidR="00D37470">
        <w:t xml:space="preserve">nr 1 i art. 10 Konwencji dotyczące zatrzymania </w:t>
      </w:r>
      <w:r w:rsidR="001021B4">
        <w:t>mienia</w:t>
      </w:r>
      <w:r w:rsidR="00D37470">
        <w:t xml:space="preserve"> skarżącego </w:t>
      </w:r>
      <w:r>
        <w:t>są</w:t>
      </w:r>
      <w:r w:rsidR="00D37470">
        <w:t xml:space="preserve"> dopuszczalne, a</w:t>
      </w:r>
      <w:r w:rsidR="006D40E5">
        <w:t> </w:t>
      </w:r>
      <w:r w:rsidR="00D37470">
        <w:t>pozostał</w:t>
      </w:r>
      <w:r w:rsidR="00A24B67">
        <w:t>a</w:t>
      </w:r>
      <w:r w:rsidR="00D37470">
        <w:t xml:space="preserve"> część skargi </w:t>
      </w:r>
      <w:r>
        <w:sym w:font="Symbol" w:char="F02D"/>
      </w:r>
      <w:r w:rsidR="00D37470">
        <w:t xml:space="preserve"> niedopuszczaln</w:t>
      </w:r>
      <w:r>
        <w:t>a</w:t>
      </w:r>
      <w:r w:rsidR="00D37470">
        <w:t>;</w:t>
      </w:r>
    </w:p>
    <w:p w14:paraId="440EBBFF" w14:textId="30DF46B2" w:rsidR="00D37470" w:rsidRPr="009C15B1" w:rsidRDefault="006B72BD" w:rsidP="009C15B1">
      <w:pPr>
        <w:pStyle w:val="JuList"/>
        <w:numPr>
          <w:ilvl w:val="0"/>
          <w:numId w:val="22"/>
        </w:numPr>
      </w:pPr>
      <w:r>
        <w:rPr>
          <w:i/>
          <w:iCs/>
        </w:rPr>
        <w:t>uznaje</w:t>
      </w:r>
      <w:r w:rsidR="00D37470">
        <w:t xml:space="preserve">, że doszło do naruszenia art. 1 </w:t>
      </w:r>
      <w:r w:rsidR="003C6885">
        <w:t xml:space="preserve">Protokołu </w:t>
      </w:r>
      <w:r w:rsidR="00D37470">
        <w:t>nr 1;</w:t>
      </w:r>
    </w:p>
    <w:p w14:paraId="044EFDD5" w14:textId="00A7EC0A" w:rsidR="00D37470" w:rsidRPr="009C15B1" w:rsidRDefault="006B72BD" w:rsidP="009C15B1">
      <w:pPr>
        <w:pStyle w:val="JuList"/>
        <w:numPr>
          <w:ilvl w:val="0"/>
          <w:numId w:val="22"/>
        </w:numPr>
      </w:pPr>
      <w:r>
        <w:rPr>
          <w:i/>
        </w:rPr>
        <w:t>uznaje</w:t>
      </w:r>
      <w:r w:rsidR="00D37470">
        <w:rPr>
          <w:i/>
        </w:rPr>
        <w:t xml:space="preserve">, </w:t>
      </w:r>
      <w:r w:rsidR="00D37470">
        <w:t>że doszło do naruszenia art. 10 Konwencji;</w:t>
      </w:r>
    </w:p>
    <w:p w14:paraId="656C7FD6" w14:textId="4516F926" w:rsidR="00D37470" w:rsidRPr="009C15B1" w:rsidRDefault="006B72BD" w:rsidP="009C15B1">
      <w:pPr>
        <w:pStyle w:val="JuList"/>
        <w:numPr>
          <w:ilvl w:val="0"/>
          <w:numId w:val="22"/>
        </w:numPr>
      </w:pPr>
      <w:r>
        <w:rPr>
          <w:i/>
        </w:rPr>
        <w:t>uznaje</w:t>
      </w:r>
      <w:r w:rsidR="00D37470">
        <w:t>,</w:t>
      </w:r>
    </w:p>
    <w:p w14:paraId="0E711C12" w14:textId="77777777" w:rsidR="00D37470" w:rsidRPr="009C15B1" w:rsidRDefault="00D37470" w:rsidP="009C15B1">
      <w:pPr>
        <w:pStyle w:val="JuLista"/>
        <w:numPr>
          <w:ilvl w:val="1"/>
          <w:numId w:val="22"/>
        </w:numPr>
      </w:pPr>
      <w:r>
        <w:t>że pozwane państwo winno, w terminie trzech miesięcy od daty, w której niniejszy wyrok stanie się ostateczny zgodnie z art. 44 ust. 2 Konwencji, uiścić na rzecz skarżącego następujące kwoty, przeliczone na lewy bułgarskie według kursu obowiązującego w dniu płatności:</w:t>
      </w:r>
    </w:p>
    <w:p w14:paraId="244EA486" w14:textId="77777777" w:rsidR="00D37470" w:rsidRPr="009C15B1" w:rsidRDefault="00D37470" w:rsidP="009C15B1">
      <w:pPr>
        <w:pStyle w:val="JuListi"/>
        <w:numPr>
          <w:ilvl w:val="2"/>
          <w:numId w:val="22"/>
        </w:numPr>
      </w:pPr>
      <w:r>
        <w:t>5.200 EUR (pięć tysięcy dwieście euro) plus wszelkie należne podatki, tytułem zadośćuczynienia za szkodę niemajątkową;</w:t>
      </w:r>
    </w:p>
    <w:p w14:paraId="780A752E" w14:textId="511CBCF6" w:rsidR="00D37470" w:rsidRPr="009C15B1" w:rsidRDefault="00D37470" w:rsidP="009C15B1">
      <w:pPr>
        <w:pStyle w:val="JuListi"/>
        <w:numPr>
          <w:ilvl w:val="2"/>
          <w:numId w:val="22"/>
        </w:numPr>
      </w:pPr>
      <w:r>
        <w:t xml:space="preserve">1.800 EUR (jeden tysiąc osiemset euro), plus wszelkie podatki, którymi może zostać obciążony skarżący, z czego 1.200 EUR (jeden tysiąc dwieście euro) </w:t>
      </w:r>
      <w:r w:rsidR="00C90C08">
        <w:t xml:space="preserve">winno </w:t>
      </w:r>
      <w:r>
        <w:t>wypłacić skarżącemu, a</w:t>
      </w:r>
      <w:r w:rsidR="00AC1E51">
        <w:t> </w:t>
      </w:r>
      <w:r>
        <w:t>resztę bezpośrednio jego przedstawicielom prawnym;</w:t>
      </w:r>
    </w:p>
    <w:p w14:paraId="443E5102" w14:textId="65659497" w:rsidR="00D37470" w:rsidRPr="009C15B1" w:rsidRDefault="00D37470" w:rsidP="009C15B1">
      <w:pPr>
        <w:pStyle w:val="JuLista"/>
        <w:numPr>
          <w:ilvl w:val="1"/>
          <w:numId w:val="22"/>
        </w:numPr>
      </w:pPr>
      <w:r>
        <w:t>że od upływu wyżej wskazanego terminu trzech miesięcy aż</w:t>
      </w:r>
      <w:r w:rsidR="001021B4">
        <w:t> </w:t>
      </w:r>
      <w:r>
        <w:t>do</w:t>
      </w:r>
      <w:r w:rsidR="001021B4">
        <w:t> </w:t>
      </w:r>
      <w:r>
        <w:t>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5B697C3" w14:textId="77777777" w:rsidR="004D0EC7" w:rsidRPr="009C15B1" w:rsidRDefault="00D37470" w:rsidP="009C15B1">
      <w:pPr>
        <w:pStyle w:val="JuList"/>
        <w:keepNext/>
        <w:numPr>
          <w:ilvl w:val="0"/>
          <w:numId w:val="22"/>
        </w:numPr>
        <w:rPr>
          <w:i/>
        </w:rPr>
      </w:pPr>
      <w:r>
        <w:rPr>
          <w:i/>
        </w:rPr>
        <w:lastRenderedPageBreak/>
        <w:t>oddala</w:t>
      </w:r>
      <w:r>
        <w:t xml:space="preserve"> pozostałą część roszczenia skarżącego o słuszne zadośćuczynienie.</w:t>
      </w:r>
    </w:p>
    <w:p w14:paraId="68E8EC1A" w14:textId="77777777" w:rsidR="008E3A08" w:rsidRPr="009C15B1" w:rsidRDefault="007E2C8C" w:rsidP="009C15B1">
      <w:pPr>
        <w:pStyle w:val="JuParaLast"/>
      </w:pPr>
      <w:r>
        <w:t xml:space="preserve">Sporządzono w języku angielskim i obwieszczono pisemnie dnia </w:t>
      </w:r>
      <w:r>
        <w:rPr>
          <w:rFonts w:ascii="Times New Roman" w:hAnsi="Times New Roman"/>
        </w:rPr>
        <w:t>26 marca 2020 r.</w:t>
      </w:r>
      <w:r>
        <w:t>, zgodnie z Regułą 77 §§ 2 i 3 Regulaminu Trybunału.</w:t>
      </w:r>
    </w:p>
    <w:p w14:paraId="4AB6A099" w14:textId="77777777" w:rsidR="001C055B" w:rsidRPr="009C15B1" w:rsidRDefault="00D37470" w:rsidP="009C15B1">
      <w:pPr>
        <w:pStyle w:val="JuSigned"/>
        <w:keepNext/>
      </w:pPr>
      <w:r>
        <w:t xml:space="preserve">Claudia Westerdiek </w:t>
      </w:r>
      <w:r>
        <w:tab/>
        <w:t>Síofra O’Leary</w:t>
      </w:r>
      <w:r>
        <w:br/>
      </w:r>
      <w:r>
        <w:tab/>
        <w:t>Kanclerz</w:t>
      </w:r>
      <w:r>
        <w:tab/>
        <w:t>Przewodnicząca</w:t>
      </w:r>
    </w:p>
    <w:p w14:paraId="5B3BF0C9" w14:textId="77777777" w:rsidR="002A613A" w:rsidRPr="009C15B1" w:rsidRDefault="002A613A" w:rsidP="009C15B1">
      <w:pPr>
        <w:keepNext/>
      </w:pPr>
    </w:p>
    <w:sectPr w:rsidR="002A613A" w:rsidRPr="009C15B1"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81996" w14:textId="77777777" w:rsidR="003C5C71" w:rsidRPr="00FD1F7F" w:rsidRDefault="003C5C71" w:rsidP="0098410D">
      <w:r w:rsidRPr="00FD1F7F">
        <w:separator/>
      </w:r>
    </w:p>
  </w:endnote>
  <w:endnote w:type="continuationSeparator" w:id="0">
    <w:p w14:paraId="1C403835" w14:textId="77777777" w:rsidR="003C5C71" w:rsidRPr="00FD1F7F" w:rsidRDefault="003C5C71" w:rsidP="0098410D">
      <w:r w:rsidRPr="00FD1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35B1A" w14:textId="77777777" w:rsidR="00CA514D" w:rsidRPr="00150BFA" w:rsidRDefault="00CA514D" w:rsidP="00CA514D">
    <w:pPr>
      <w:jc w:val="center"/>
    </w:pPr>
    <w:r>
      <w:rPr>
        <w:noProof/>
      </w:rPr>
      <w:drawing>
        <wp:inline distT="0" distB="0" distL="0" distR="0" wp14:anchorId="2B53DB7F" wp14:editId="4B1850E8">
          <wp:extent cx="771525" cy="619125"/>
          <wp:effectExtent l="0" t="0" r="9525" b="9525"/>
          <wp:docPr id="70" name="Picture 7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7CAB6E8" w14:textId="77777777" w:rsidR="00CA514D" w:rsidRPr="00FD1F7F" w:rsidRDefault="00CA514D" w:rsidP="00CA514D">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231FE" w14:textId="77777777" w:rsidR="00CA514D" w:rsidRDefault="00CA514D" w:rsidP="009A115C">
    <w:pPr>
      <w:pStyle w:val="JuHeader"/>
    </w:pPr>
    <w:r>
      <w:rPr>
        <w:rStyle w:val="Numerstrony"/>
      </w:rPr>
      <w:fldChar w:fldCharType="begin"/>
    </w:r>
    <w:r>
      <w:rPr>
        <w:rStyle w:val="Numerstrony"/>
      </w:rPr>
      <w:instrText xml:space="preserve"> PAGE </w:instrText>
    </w:r>
    <w:r>
      <w:rPr>
        <w:rStyle w:val="Numerstrony"/>
      </w:rPr>
      <w:fldChar w:fldCharType="separate"/>
    </w:r>
    <w:r w:rsidR="00F8458E">
      <w:rPr>
        <w:rStyle w:val="Numerstrony"/>
      </w:rPr>
      <w:t>16</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E63EB" w14:textId="77777777" w:rsidR="00CA514D" w:rsidRPr="000B7195" w:rsidRDefault="00CA514D" w:rsidP="007D3701">
    <w:pPr>
      <w:pStyle w:val="JuHeader"/>
    </w:pPr>
    <w:r>
      <w:fldChar w:fldCharType="begin"/>
    </w:r>
    <w:r>
      <w:instrText xml:space="preserve"> PAGE </w:instrText>
    </w:r>
    <w:r>
      <w:fldChar w:fldCharType="separate"/>
    </w:r>
    <w:r w:rsidR="00F8458E">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7F9DEC" w14:textId="77777777" w:rsidR="003C5C71" w:rsidRPr="00FD1F7F" w:rsidRDefault="003C5C71" w:rsidP="0098410D">
      <w:r w:rsidRPr="00FD1F7F">
        <w:separator/>
      </w:r>
    </w:p>
  </w:footnote>
  <w:footnote w:type="continuationSeparator" w:id="0">
    <w:p w14:paraId="0EE47E87" w14:textId="77777777" w:rsidR="003C5C71" w:rsidRPr="00FD1F7F" w:rsidRDefault="003C5C71" w:rsidP="0098410D">
      <w:r w:rsidRPr="00FD1F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D4BD6" w14:textId="77777777" w:rsidR="00CA514D" w:rsidRPr="00A45145" w:rsidRDefault="00CA514D" w:rsidP="00CA514D">
    <w:pPr>
      <w:jc w:val="center"/>
    </w:pPr>
    <w:r>
      <w:rPr>
        <w:noProof/>
      </w:rPr>
      <w:drawing>
        <wp:inline distT="0" distB="0" distL="0" distR="0" wp14:anchorId="58A2E210" wp14:editId="7BC763F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5132FE6" w14:textId="77777777" w:rsidR="00CA514D" w:rsidRPr="00FD1F7F" w:rsidRDefault="00CA514D" w:rsidP="00CA514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25B4D" w14:textId="77777777" w:rsidR="00CA514D" w:rsidRPr="00A45145" w:rsidRDefault="00CA514D" w:rsidP="00CA514D">
    <w:pPr>
      <w:jc w:val="center"/>
    </w:pPr>
    <w:r>
      <w:rPr>
        <w:noProof/>
      </w:rPr>
      <w:drawing>
        <wp:inline distT="0" distB="0" distL="0" distR="0" wp14:anchorId="7EE4AFD7" wp14:editId="263AC9F6">
          <wp:extent cx="2962275" cy="1219200"/>
          <wp:effectExtent l="0" t="0" r="9525" b="0"/>
          <wp:docPr id="68" name="Picture 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758BC4" w14:textId="77777777" w:rsidR="00CA514D" w:rsidRPr="00FD1F7F" w:rsidRDefault="00CA514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6FFC7" w14:textId="7A1CAEB1" w:rsidR="00CA514D" w:rsidRPr="004D0EC7" w:rsidRDefault="00CA514D" w:rsidP="004D0EC7">
    <w:pPr>
      <w:pStyle w:val="JuHeader"/>
    </w:pPr>
    <w:r>
      <w:t xml:space="preserve">WYROK </w:t>
    </w:r>
    <w:r w:rsidR="007D17B9">
      <w:t>W SPRAWIE</w:t>
    </w:r>
    <w:r>
      <w:t xml:space="preserve"> PENDOV </w:t>
    </w:r>
    <w:r w:rsidR="007D17B9">
      <w:t>PRZECIWKO</w:t>
    </w:r>
    <w:r>
      <w:t xml:space="preserve"> BUŁGARII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0E063" w14:textId="340461ED" w:rsidR="00CA514D" w:rsidRPr="00882CD5" w:rsidRDefault="00CA514D" w:rsidP="007D3701">
    <w:pPr>
      <w:pStyle w:val="JuHeader"/>
    </w:pPr>
    <w:r>
      <w:t xml:space="preserve">WYROK </w:t>
    </w:r>
    <w:r w:rsidR="007D17B9">
      <w:t>W SPRAWIE</w:t>
    </w:r>
    <w:r>
      <w:t xml:space="preserve"> PENDOV </w:t>
    </w:r>
    <w:r w:rsidR="007D17B9">
      <w:t xml:space="preserve">PRZECIWKO </w:t>
    </w:r>
    <w:r>
      <w:t>BUŁGARII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9A1E0AAA"/>
    <w:lvl w:ilvl="0">
      <w:start w:val="1"/>
      <w:numFmt w:val="decimal"/>
      <w:lvlText w:val="%1."/>
      <w:lvlJc w:val="left"/>
      <w:pPr>
        <w:tabs>
          <w:tab w:val="num" w:pos="340"/>
        </w:tabs>
        <w:ind w:left="340" w:hanging="340"/>
      </w:pPr>
      <w:rPr>
        <w:rFonts w:hint="default"/>
        <w:i w:val="0"/>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D37470"/>
    <w:rsid w:val="000041F8"/>
    <w:rsid w:val="000042A8"/>
    <w:rsid w:val="00004308"/>
    <w:rsid w:val="00005BF0"/>
    <w:rsid w:val="00007154"/>
    <w:rsid w:val="000103AE"/>
    <w:rsid w:val="00011D69"/>
    <w:rsid w:val="00012AD3"/>
    <w:rsid w:val="0001508E"/>
    <w:rsid w:val="00015C2D"/>
    <w:rsid w:val="00015F00"/>
    <w:rsid w:val="00022C1D"/>
    <w:rsid w:val="0002751F"/>
    <w:rsid w:val="00031428"/>
    <w:rsid w:val="00034987"/>
    <w:rsid w:val="00035E2F"/>
    <w:rsid w:val="00041560"/>
    <w:rsid w:val="00045F13"/>
    <w:rsid w:val="0005299A"/>
    <w:rsid w:val="00054E45"/>
    <w:rsid w:val="000602DF"/>
    <w:rsid w:val="00061B05"/>
    <w:rsid w:val="000632D5"/>
    <w:rsid w:val="00064155"/>
    <w:rsid w:val="000644EE"/>
    <w:rsid w:val="0007780A"/>
    <w:rsid w:val="00085457"/>
    <w:rsid w:val="00090A64"/>
    <w:rsid w:val="000925AD"/>
    <w:rsid w:val="00092930"/>
    <w:rsid w:val="00096FE1"/>
    <w:rsid w:val="00097A62"/>
    <w:rsid w:val="000A24EB"/>
    <w:rsid w:val="000A44FD"/>
    <w:rsid w:val="000A59BE"/>
    <w:rsid w:val="000B33AC"/>
    <w:rsid w:val="000B686A"/>
    <w:rsid w:val="000B6923"/>
    <w:rsid w:val="000B7195"/>
    <w:rsid w:val="000C5F3C"/>
    <w:rsid w:val="000C6DCC"/>
    <w:rsid w:val="000D47AA"/>
    <w:rsid w:val="000D721F"/>
    <w:rsid w:val="000D73CB"/>
    <w:rsid w:val="000E069B"/>
    <w:rsid w:val="000E0E82"/>
    <w:rsid w:val="000E1DC5"/>
    <w:rsid w:val="000E223F"/>
    <w:rsid w:val="000E46B8"/>
    <w:rsid w:val="000E7D45"/>
    <w:rsid w:val="000F7851"/>
    <w:rsid w:val="00101505"/>
    <w:rsid w:val="001021B4"/>
    <w:rsid w:val="00103472"/>
    <w:rsid w:val="00104E23"/>
    <w:rsid w:val="00110DA8"/>
    <w:rsid w:val="00111B0C"/>
    <w:rsid w:val="00120D6C"/>
    <w:rsid w:val="00121275"/>
    <w:rsid w:val="001257EC"/>
    <w:rsid w:val="00133D33"/>
    <w:rsid w:val="00134544"/>
    <w:rsid w:val="00134B6A"/>
    <w:rsid w:val="00134D64"/>
    <w:rsid w:val="00135A30"/>
    <w:rsid w:val="0013612C"/>
    <w:rsid w:val="00137FF6"/>
    <w:rsid w:val="00141650"/>
    <w:rsid w:val="001468F1"/>
    <w:rsid w:val="0015298A"/>
    <w:rsid w:val="001561B6"/>
    <w:rsid w:val="0015797F"/>
    <w:rsid w:val="00160E18"/>
    <w:rsid w:val="00162A12"/>
    <w:rsid w:val="00166530"/>
    <w:rsid w:val="00170027"/>
    <w:rsid w:val="00175722"/>
    <w:rsid w:val="001832BD"/>
    <w:rsid w:val="00190404"/>
    <w:rsid w:val="001943B5"/>
    <w:rsid w:val="00194F00"/>
    <w:rsid w:val="00195134"/>
    <w:rsid w:val="001A145B"/>
    <w:rsid w:val="001A3E09"/>
    <w:rsid w:val="001A674C"/>
    <w:rsid w:val="001B3B24"/>
    <w:rsid w:val="001B3CC7"/>
    <w:rsid w:val="001C055B"/>
    <w:rsid w:val="001C0F98"/>
    <w:rsid w:val="001C2A42"/>
    <w:rsid w:val="001C5C9A"/>
    <w:rsid w:val="001D28C9"/>
    <w:rsid w:val="001D63ED"/>
    <w:rsid w:val="001D7348"/>
    <w:rsid w:val="001E035B"/>
    <w:rsid w:val="001E0961"/>
    <w:rsid w:val="001E3EAE"/>
    <w:rsid w:val="001E6857"/>
    <w:rsid w:val="001E6F32"/>
    <w:rsid w:val="001F2145"/>
    <w:rsid w:val="001F4366"/>
    <w:rsid w:val="001F6262"/>
    <w:rsid w:val="001F67B0"/>
    <w:rsid w:val="001F7B3D"/>
    <w:rsid w:val="00201AC1"/>
    <w:rsid w:val="00202752"/>
    <w:rsid w:val="0020335A"/>
    <w:rsid w:val="002052BC"/>
    <w:rsid w:val="00205F9F"/>
    <w:rsid w:val="00206926"/>
    <w:rsid w:val="00210338"/>
    <w:rsid w:val="002115FC"/>
    <w:rsid w:val="0021423C"/>
    <w:rsid w:val="00216925"/>
    <w:rsid w:val="002209E6"/>
    <w:rsid w:val="002220D0"/>
    <w:rsid w:val="00230D00"/>
    <w:rsid w:val="00231DF7"/>
    <w:rsid w:val="00231FD1"/>
    <w:rsid w:val="002339E0"/>
    <w:rsid w:val="00233CF8"/>
    <w:rsid w:val="0023575D"/>
    <w:rsid w:val="00237148"/>
    <w:rsid w:val="0024222D"/>
    <w:rsid w:val="002422B6"/>
    <w:rsid w:val="00244B0E"/>
    <w:rsid w:val="00244F6C"/>
    <w:rsid w:val="00246B89"/>
    <w:rsid w:val="00250982"/>
    <w:rsid w:val="00252C4E"/>
    <w:rsid w:val="002532C5"/>
    <w:rsid w:val="00254888"/>
    <w:rsid w:val="00254DF2"/>
    <w:rsid w:val="0025525A"/>
    <w:rsid w:val="00260C03"/>
    <w:rsid w:val="00261C50"/>
    <w:rsid w:val="002629D7"/>
    <w:rsid w:val="0026540E"/>
    <w:rsid w:val="00275123"/>
    <w:rsid w:val="00280D80"/>
    <w:rsid w:val="00282240"/>
    <w:rsid w:val="0028701E"/>
    <w:rsid w:val="00287AD5"/>
    <w:rsid w:val="002934D0"/>
    <w:rsid w:val="00293676"/>
    <w:rsid w:val="00293890"/>
    <w:rsid w:val="00293BD9"/>
    <w:rsid w:val="002948AD"/>
    <w:rsid w:val="00297AC6"/>
    <w:rsid w:val="002A01CC"/>
    <w:rsid w:val="002A613A"/>
    <w:rsid w:val="002A61B1"/>
    <w:rsid w:val="002A663C"/>
    <w:rsid w:val="002B444B"/>
    <w:rsid w:val="002B5887"/>
    <w:rsid w:val="002B699E"/>
    <w:rsid w:val="002C0E27"/>
    <w:rsid w:val="002C3040"/>
    <w:rsid w:val="002C4433"/>
    <w:rsid w:val="002C7826"/>
    <w:rsid w:val="002D022D"/>
    <w:rsid w:val="002D24BB"/>
    <w:rsid w:val="002D2FA7"/>
    <w:rsid w:val="002D3CDE"/>
    <w:rsid w:val="002D47BA"/>
    <w:rsid w:val="002D77B9"/>
    <w:rsid w:val="002E46DA"/>
    <w:rsid w:val="002F2AF7"/>
    <w:rsid w:val="002F69C4"/>
    <w:rsid w:val="002F7D9E"/>
    <w:rsid w:val="002F7E1C"/>
    <w:rsid w:val="00301A75"/>
    <w:rsid w:val="00302F70"/>
    <w:rsid w:val="0030336F"/>
    <w:rsid w:val="0030375E"/>
    <w:rsid w:val="00305D0E"/>
    <w:rsid w:val="00312A30"/>
    <w:rsid w:val="00312AB7"/>
    <w:rsid w:val="00313B0A"/>
    <w:rsid w:val="003201D8"/>
    <w:rsid w:val="00320F72"/>
    <w:rsid w:val="0032142F"/>
    <w:rsid w:val="0032463E"/>
    <w:rsid w:val="00326224"/>
    <w:rsid w:val="00337EE4"/>
    <w:rsid w:val="00340462"/>
    <w:rsid w:val="00340FFD"/>
    <w:rsid w:val="00344C1A"/>
    <w:rsid w:val="00345C41"/>
    <w:rsid w:val="00347A39"/>
    <w:rsid w:val="003506B1"/>
    <w:rsid w:val="00355877"/>
    <w:rsid w:val="00356AC7"/>
    <w:rsid w:val="003609FA"/>
    <w:rsid w:val="003710C8"/>
    <w:rsid w:val="003750BE"/>
    <w:rsid w:val="00385A36"/>
    <w:rsid w:val="00385F3D"/>
    <w:rsid w:val="00387B9D"/>
    <w:rsid w:val="00387C70"/>
    <w:rsid w:val="00390294"/>
    <w:rsid w:val="00392C18"/>
    <w:rsid w:val="0039364F"/>
    <w:rsid w:val="00396686"/>
    <w:rsid w:val="0039778E"/>
    <w:rsid w:val="003A2562"/>
    <w:rsid w:val="003B4941"/>
    <w:rsid w:val="003C5714"/>
    <w:rsid w:val="003C5C71"/>
    <w:rsid w:val="003C6885"/>
    <w:rsid w:val="003C6B9F"/>
    <w:rsid w:val="003C6E2A"/>
    <w:rsid w:val="003C74EC"/>
    <w:rsid w:val="003D0299"/>
    <w:rsid w:val="003E6D80"/>
    <w:rsid w:val="003E72A6"/>
    <w:rsid w:val="003F05FA"/>
    <w:rsid w:val="003F244A"/>
    <w:rsid w:val="003F2517"/>
    <w:rsid w:val="003F30B8"/>
    <w:rsid w:val="003F4C45"/>
    <w:rsid w:val="003F5F7B"/>
    <w:rsid w:val="003F7D64"/>
    <w:rsid w:val="0040433A"/>
    <w:rsid w:val="00414300"/>
    <w:rsid w:val="00414F27"/>
    <w:rsid w:val="00417C14"/>
    <w:rsid w:val="00420703"/>
    <w:rsid w:val="00425C67"/>
    <w:rsid w:val="00427E7A"/>
    <w:rsid w:val="004355AC"/>
    <w:rsid w:val="00436C49"/>
    <w:rsid w:val="00442064"/>
    <w:rsid w:val="00443D98"/>
    <w:rsid w:val="00444756"/>
    <w:rsid w:val="00445366"/>
    <w:rsid w:val="00447F5B"/>
    <w:rsid w:val="0045094D"/>
    <w:rsid w:val="00455EA8"/>
    <w:rsid w:val="00461DB0"/>
    <w:rsid w:val="00463926"/>
    <w:rsid w:val="00464C9A"/>
    <w:rsid w:val="0047411E"/>
    <w:rsid w:val="00474F3D"/>
    <w:rsid w:val="00477E3A"/>
    <w:rsid w:val="00483E5F"/>
    <w:rsid w:val="00485FF9"/>
    <w:rsid w:val="00486EB9"/>
    <w:rsid w:val="004907F0"/>
    <w:rsid w:val="0049140B"/>
    <w:rsid w:val="004917F2"/>
    <w:rsid w:val="004923A5"/>
    <w:rsid w:val="0049310E"/>
    <w:rsid w:val="0049342D"/>
    <w:rsid w:val="004950E2"/>
    <w:rsid w:val="00496BFB"/>
    <w:rsid w:val="004A15C7"/>
    <w:rsid w:val="004A3201"/>
    <w:rsid w:val="004B013B"/>
    <w:rsid w:val="004B112B"/>
    <w:rsid w:val="004B444E"/>
    <w:rsid w:val="004C01E4"/>
    <w:rsid w:val="004C086C"/>
    <w:rsid w:val="004C1F56"/>
    <w:rsid w:val="004C27BC"/>
    <w:rsid w:val="004C6621"/>
    <w:rsid w:val="004C6BEA"/>
    <w:rsid w:val="004C7721"/>
    <w:rsid w:val="004D09BD"/>
    <w:rsid w:val="004D0EC7"/>
    <w:rsid w:val="004D15F3"/>
    <w:rsid w:val="004D3B3D"/>
    <w:rsid w:val="004D4EF1"/>
    <w:rsid w:val="004D5311"/>
    <w:rsid w:val="004D5DCC"/>
    <w:rsid w:val="004D7E45"/>
    <w:rsid w:val="004F0925"/>
    <w:rsid w:val="004F10AF"/>
    <w:rsid w:val="004F11A4"/>
    <w:rsid w:val="004F2389"/>
    <w:rsid w:val="004F304D"/>
    <w:rsid w:val="004F4290"/>
    <w:rsid w:val="004F61BE"/>
    <w:rsid w:val="004F66B1"/>
    <w:rsid w:val="00511C07"/>
    <w:rsid w:val="005125CB"/>
    <w:rsid w:val="00512EC4"/>
    <w:rsid w:val="005141A0"/>
    <w:rsid w:val="0051725A"/>
    <w:rsid w:val="005173A6"/>
    <w:rsid w:val="00520354"/>
    <w:rsid w:val="00520BAA"/>
    <w:rsid w:val="005217D8"/>
    <w:rsid w:val="005241CB"/>
    <w:rsid w:val="00525208"/>
    <w:rsid w:val="005257A5"/>
    <w:rsid w:val="005264C0"/>
    <w:rsid w:val="00526A8A"/>
    <w:rsid w:val="00530FE6"/>
    <w:rsid w:val="00531DF2"/>
    <w:rsid w:val="0053315C"/>
    <w:rsid w:val="00537476"/>
    <w:rsid w:val="005374B6"/>
    <w:rsid w:val="0054147D"/>
    <w:rsid w:val="005442EE"/>
    <w:rsid w:val="00545DA6"/>
    <w:rsid w:val="00547353"/>
    <w:rsid w:val="005474E7"/>
    <w:rsid w:val="005512A3"/>
    <w:rsid w:val="005578CE"/>
    <w:rsid w:val="00562781"/>
    <w:rsid w:val="00562B6C"/>
    <w:rsid w:val="005667B5"/>
    <w:rsid w:val="00571443"/>
    <w:rsid w:val="0057271C"/>
    <w:rsid w:val="00572845"/>
    <w:rsid w:val="00582328"/>
    <w:rsid w:val="005879A2"/>
    <w:rsid w:val="005905F0"/>
    <w:rsid w:val="00590D9E"/>
    <w:rsid w:val="00592772"/>
    <w:rsid w:val="00594B72"/>
    <w:rsid w:val="0059574A"/>
    <w:rsid w:val="005A1B9B"/>
    <w:rsid w:val="005A1C87"/>
    <w:rsid w:val="005A2E79"/>
    <w:rsid w:val="005A6751"/>
    <w:rsid w:val="005B092E"/>
    <w:rsid w:val="005B152C"/>
    <w:rsid w:val="005B1EE0"/>
    <w:rsid w:val="005B2B24"/>
    <w:rsid w:val="005B4425"/>
    <w:rsid w:val="005B4B94"/>
    <w:rsid w:val="005C272A"/>
    <w:rsid w:val="005C3EE8"/>
    <w:rsid w:val="005C45DE"/>
    <w:rsid w:val="005D2F2A"/>
    <w:rsid w:val="005D34F9"/>
    <w:rsid w:val="005D4190"/>
    <w:rsid w:val="005D67A3"/>
    <w:rsid w:val="005E2988"/>
    <w:rsid w:val="005E3085"/>
    <w:rsid w:val="005E3712"/>
    <w:rsid w:val="005E440F"/>
    <w:rsid w:val="005F1815"/>
    <w:rsid w:val="005F51E1"/>
    <w:rsid w:val="005F6E9E"/>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67704"/>
    <w:rsid w:val="006716F2"/>
    <w:rsid w:val="00682BF2"/>
    <w:rsid w:val="00682C84"/>
    <w:rsid w:val="0068573E"/>
    <w:rsid w:val="006859CE"/>
    <w:rsid w:val="00686F72"/>
    <w:rsid w:val="00691270"/>
    <w:rsid w:val="00694BA8"/>
    <w:rsid w:val="006A037C"/>
    <w:rsid w:val="006A36F4"/>
    <w:rsid w:val="006A406F"/>
    <w:rsid w:val="006A4BCF"/>
    <w:rsid w:val="006A5D3A"/>
    <w:rsid w:val="006B72BD"/>
    <w:rsid w:val="006C23D4"/>
    <w:rsid w:val="006C2653"/>
    <w:rsid w:val="006C7BB0"/>
    <w:rsid w:val="006D3237"/>
    <w:rsid w:val="006D40E5"/>
    <w:rsid w:val="006E2E37"/>
    <w:rsid w:val="006E3CF1"/>
    <w:rsid w:val="006E68A3"/>
    <w:rsid w:val="006E7E80"/>
    <w:rsid w:val="006F1C2D"/>
    <w:rsid w:val="006F1EBF"/>
    <w:rsid w:val="006F34EA"/>
    <w:rsid w:val="006F48CA"/>
    <w:rsid w:val="006F64DD"/>
    <w:rsid w:val="006F712D"/>
    <w:rsid w:val="007033CB"/>
    <w:rsid w:val="00715127"/>
    <w:rsid w:val="00715E8E"/>
    <w:rsid w:val="007171E8"/>
    <w:rsid w:val="00720892"/>
    <w:rsid w:val="00723580"/>
    <w:rsid w:val="00723755"/>
    <w:rsid w:val="00726135"/>
    <w:rsid w:val="0073136C"/>
    <w:rsid w:val="00731F0F"/>
    <w:rsid w:val="00733250"/>
    <w:rsid w:val="00741404"/>
    <w:rsid w:val="007449E5"/>
    <w:rsid w:val="0074750E"/>
    <w:rsid w:val="00747FF0"/>
    <w:rsid w:val="0075566E"/>
    <w:rsid w:val="00763602"/>
    <w:rsid w:val="00764D4E"/>
    <w:rsid w:val="00765A1F"/>
    <w:rsid w:val="0076755F"/>
    <w:rsid w:val="00775B6D"/>
    <w:rsid w:val="00776D68"/>
    <w:rsid w:val="00782222"/>
    <w:rsid w:val="0078323E"/>
    <w:rsid w:val="007850EE"/>
    <w:rsid w:val="00785B95"/>
    <w:rsid w:val="00790E96"/>
    <w:rsid w:val="00793366"/>
    <w:rsid w:val="007A716F"/>
    <w:rsid w:val="007B270A"/>
    <w:rsid w:val="007B4182"/>
    <w:rsid w:val="007C0695"/>
    <w:rsid w:val="007C419A"/>
    <w:rsid w:val="007C4CC8"/>
    <w:rsid w:val="007C5426"/>
    <w:rsid w:val="007C5798"/>
    <w:rsid w:val="007D17B9"/>
    <w:rsid w:val="007D1ECD"/>
    <w:rsid w:val="007D3701"/>
    <w:rsid w:val="007D4832"/>
    <w:rsid w:val="007E21B2"/>
    <w:rsid w:val="007E2C4E"/>
    <w:rsid w:val="007E2C67"/>
    <w:rsid w:val="007E2C8C"/>
    <w:rsid w:val="007E51BA"/>
    <w:rsid w:val="007E73D7"/>
    <w:rsid w:val="007F1905"/>
    <w:rsid w:val="007F27E4"/>
    <w:rsid w:val="007F3437"/>
    <w:rsid w:val="007F656B"/>
    <w:rsid w:val="00802C64"/>
    <w:rsid w:val="00805E52"/>
    <w:rsid w:val="008061D0"/>
    <w:rsid w:val="00806F0F"/>
    <w:rsid w:val="00810B38"/>
    <w:rsid w:val="008204C7"/>
    <w:rsid w:val="00820992"/>
    <w:rsid w:val="00823602"/>
    <w:rsid w:val="008255F5"/>
    <w:rsid w:val="00825824"/>
    <w:rsid w:val="0083014E"/>
    <w:rsid w:val="0083214A"/>
    <w:rsid w:val="00834220"/>
    <w:rsid w:val="008353C1"/>
    <w:rsid w:val="0083634E"/>
    <w:rsid w:val="008443DE"/>
    <w:rsid w:val="00845723"/>
    <w:rsid w:val="008519E7"/>
    <w:rsid w:val="00851EF9"/>
    <w:rsid w:val="00855A8E"/>
    <w:rsid w:val="008577FD"/>
    <w:rsid w:val="00860B03"/>
    <w:rsid w:val="00861339"/>
    <w:rsid w:val="0086497A"/>
    <w:rsid w:val="00867066"/>
    <w:rsid w:val="008713A1"/>
    <w:rsid w:val="00872584"/>
    <w:rsid w:val="00872D3F"/>
    <w:rsid w:val="0087316E"/>
    <w:rsid w:val="00873261"/>
    <w:rsid w:val="008754AB"/>
    <w:rsid w:val="0088060C"/>
    <w:rsid w:val="00882CD5"/>
    <w:rsid w:val="00883151"/>
    <w:rsid w:val="00893576"/>
    <w:rsid w:val="00893E73"/>
    <w:rsid w:val="008A2D59"/>
    <w:rsid w:val="008B02DC"/>
    <w:rsid w:val="008B3AC1"/>
    <w:rsid w:val="008B57CE"/>
    <w:rsid w:val="008B7449"/>
    <w:rsid w:val="008C26DE"/>
    <w:rsid w:val="008D2225"/>
    <w:rsid w:val="008D3B1B"/>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160"/>
    <w:rsid w:val="0090506B"/>
    <w:rsid w:val="009050C9"/>
    <w:rsid w:val="009066FC"/>
    <w:rsid w:val="009140A3"/>
    <w:rsid w:val="009144A2"/>
    <w:rsid w:val="0091510C"/>
    <w:rsid w:val="009212A4"/>
    <w:rsid w:val="009215F5"/>
    <w:rsid w:val="009259AC"/>
    <w:rsid w:val="00926F38"/>
    <w:rsid w:val="00927BEB"/>
    <w:rsid w:val="009333DC"/>
    <w:rsid w:val="00934301"/>
    <w:rsid w:val="00934DFF"/>
    <w:rsid w:val="00936CD1"/>
    <w:rsid w:val="00941747"/>
    <w:rsid w:val="00941EFB"/>
    <w:rsid w:val="00942D56"/>
    <w:rsid w:val="00943C34"/>
    <w:rsid w:val="009454C4"/>
    <w:rsid w:val="00947AFB"/>
    <w:rsid w:val="00951AA3"/>
    <w:rsid w:val="00951D7D"/>
    <w:rsid w:val="00952DF9"/>
    <w:rsid w:val="00956D0C"/>
    <w:rsid w:val="009630C7"/>
    <w:rsid w:val="00972B55"/>
    <w:rsid w:val="00973BE5"/>
    <w:rsid w:val="009743B7"/>
    <w:rsid w:val="0098228B"/>
    <w:rsid w:val="009828DA"/>
    <w:rsid w:val="0098410D"/>
    <w:rsid w:val="00985BAB"/>
    <w:rsid w:val="00986B3C"/>
    <w:rsid w:val="00994535"/>
    <w:rsid w:val="00994828"/>
    <w:rsid w:val="009A115C"/>
    <w:rsid w:val="009B1606"/>
    <w:rsid w:val="009B1B5F"/>
    <w:rsid w:val="009B5D74"/>
    <w:rsid w:val="009B6673"/>
    <w:rsid w:val="009C15B1"/>
    <w:rsid w:val="009C191B"/>
    <w:rsid w:val="009C2BD6"/>
    <w:rsid w:val="009C5756"/>
    <w:rsid w:val="009D4B4C"/>
    <w:rsid w:val="009E1F32"/>
    <w:rsid w:val="009E2CC2"/>
    <w:rsid w:val="009E776C"/>
    <w:rsid w:val="009F4C8F"/>
    <w:rsid w:val="00A05588"/>
    <w:rsid w:val="00A145A1"/>
    <w:rsid w:val="00A15601"/>
    <w:rsid w:val="00A1726E"/>
    <w:rsid w:val="00A204CF"/>
    <w:rsid w:val="00A21D2B"/>
    <w:rsid w:val="00A22745"/>
    <w:rsid w:val="00A23D49"/>
    <w:rsid w:val="00A24B67"/>
    <w:rsid w:val="00A27004"/>
    <w:rsid w:val="00A276A5"/>
    <w:rsid w:val="00A308CE"/>
    <w:rsid w:val="00A30C29"/>
    <w:rsid w:val="00A34DD6"/>
    <w:rsid w:val="00A35050"/>
    <w:rsid w:val="00A35683"/>
    <w:rsid w:val="00A36819"/>
    <w:rsid w:val="00A36989"/>
    <w:rsid w:val="00A43628"/>
    <w:rsid w:val="00A445DA"/>
    <w:rsid w:val="00A473CC"/>
    <w:rsid w:val="00A51D0F"/>
    <w:rsid w:val="00A54192"/>
    <w:rsid w:val="00A57147"/>
    <w:rsid w:val="00A6035E"/>
    <w:rsid w:val="00A6144C"/>
    <w:rsid w:val="00A65175"/>
    <w:rsid w:val="00A65F01"/>
    <w:rsid w:val="00A66617"/>
    <w:rsid w:val="00A671F8"/>
    <w:rsid w:val="00A673A4"/>
    <w:rsid w:val="00A72116"/>
    <w:rsid w:val="00A724AE"/>
    <w:rsid w:val="00A73329"/>
    <w:rsid w:val="00A812DD"/>
    <w:rsid w:val="00A82359"/>
    <w:rsid w:val="00A8240D"/>
    <w:rsid w:val="00A865D2"/>
    <w:rsid w:val="00A90BCD"/>
    <w:rsid w:val="00A94C20"/>
    <w:rsid w:val="00AA1B09"/>
    <w:rsid w:val="00AA227F"/>
    <w:rsid w:val="00AA3BC7"/>
    <w:rsid w:val="00AA583C"/>
    <w:rsid w:val="00AA754A"/>
    <w:rsid w:val="00AB099E"/>
    <w:rsid w:val="00AB1890"/>
    <w:rsid w:val="00AB4328"/>
    <w:rsid w:val="00AC0534"/>
    <w:rsid w:val="00AC0C41"/>
    <w:rsid w:val="00AC1E51"/>
    <w:rsid w:val="00AC4CD4"/>
    <w:rsid w:val="00AC701F"/>
    <w:rsid w:val="00AD4D66"/>
    <w:rsid w:val="00AE0696"/>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0F24"/>
    <w:rsid w:val="00B701ED"/>
    <w:rsid w:val="00B73D05"/>
    <w:rsid w:val="00B748F7"/>
    <w:rsid w:val="00B8086C"/>
    <w:rsid w:val="00B8184A"/>
    <w:rsid w:val="00B81C58"/>
    <w:rsid w:val="00B861B4"/>
    <w:rsid w:val="00B86DFE"/>
    <w:rsid w:val="00B90990"/>
    <w:rsid w:val="00B922FF"/>
    <w:rsid w:val="00B9281E"/>
    <w:rsid w:val="00B93925"/>
    <w:rsid w:val="00B93929"/>
    <w:rsid w:val="00B95187"/>
    <w:rsid w:val="00BA2D55"/>
    <w:rsid w:val="00BA3FCF"/>
    <w:rsid w:val="00BA71B1"/>
    <w:rsid w:val="00BB0637"/>
    <w:rsid w:val="00BB345F"/>
    <w:rsid w:val="00BB68EA"/>
    <w:rsid w:val="00BC0B99"/>
    <w:rsid w:val="00BC0E7A"/>
    <w:rsid w:val="00BC1C27"/>
    <w:rsid w:val="00BC6BBF"/>
    <w:rsid w:val="00BD0733"/>
    <w:rsid w:val="00BD1572"/>
    <w:rsid w:val="00BD2211"/>
    <w:rsid w:val="00BE14E3"/>
    <w:rsid w:val="00BE3774"/>
    <w:rsid w:val="00BE41E5"/>
    <w:rsid w:val="00BF118F"/>
    <w:rsid w:val="00BF4109"/>
    <w:rsid w:val="00BF4CC3"/>
    <w:rsid w:val="00C054C7"/>
    <w:rsid w:val="00C057B5"/>
    <w:rsid w:val="00C115C3"/>
    <w:rsid w:val="00C15547"/>
    <w:rsid w:val="00C1672D"/>
    <w:rsid w:val="00C22687"/>
    <w:rsid w:val="00C23A86"/>
    <w:rsid w:val="00C246D8"/>
    <w:rsid w:val="00C25E3F"/>
    <w:rsid w:val="00C26A92"/>
    <w:rsid w:val="00C26B1C"/>
    <w:rsid w:val="00C27BC8"/>
    <w:rsid w:val="00C32E4D"/>
    <w:rsid w:val="00C333A0"/>
    <w:rsid w:val="00C34B74"/>
    <w:rsid w:val="00C36A81"/>
    <w:rsid w:val="00C36C1E"/>
    <w:rsid w:val="00C41974"/>
    <w:rsid w:val="00C44A2C"/>
    <w:rsid w:val="00C477F7"/>
    <w:rsid w:val="00C509A6"/>
    <w:rsid w:val="00C53F4A"/>
    <w:rsid w:val="00C54125"/>
    <w:rsid w:val="00C542F6"/>
    <w:rsid w:val="00C55B54"/>
    <w:rsid w:val="00C608B8"/>
    <w:rsid w:val="00C6098E"/>
    <w:rsid w:val="00C6152C"/>
    <w:rsid w:val="00C74810"/>
    <w:rsid w:val="00C90C08"/>
    <w:rsid w:val="00C90D68"/>
    <w:rsid w:val="00C939FE"/>
    <w:rsid w:val="00CA2AE1"/>
    <w:rsid w:val="00CA3829"/>
    <w:rsid w:val="00CA4BDA"/>
    <w:rsid w:val="00CA514D"/>
    <w:rsid w:val="00CA62AD"/>
    <w:rsid w:val="00CB13E3"/>
    <w:rsid w:val="00CB1F66"/>
    <w:rsid w:val="00CB232C"/>
    <w:rsid w:val="00CB2951"/>
    <w:rsid w:val="00CB4277"/>
    <w:rsid w:val="00CC5067"/>
    <w:rsid w:val="00CD11D3"/>
    <w:rsid w:val="00CD282B"/>
    <w:rsid w:val="00CD4C35"/>
    <w:rsid w:val="00CD4FF7"/>
    <w:rsid w:val="00CD7369"/>
    <w:rsid w:val="00CE0B0E"/>
    <w:rsid w:val="00CE3831"/>
    <w:rsid w:val="00CF2397"/>
    <w:rsid w:val="00D00ABB"/>
    <w:rsid w:val="00D02EEC"/>
    <w:rsid w:val="00D03551"/>
    <w:rsid w:val="00D06A63"/>
    <w:rsid w:val="00D07E0E"/>
    <w:rsid w:val="00D10CD6"/>
    <w:rsid w:val="00D11478"/>
    <w:rsid w:val="00D15ED0"/>
    <w:rsid w:val="00D164BF"/>
    <w:rsid w:val="00D2135D"/>
    <w:rsid w:val="00D21B3E"/>
    <w:rsid w:val="00D21FED"/>
    <w:rsid w:val="00D23048"/>
    <w:rsid w:val="00D24251"/>
    <w:rsid w:val="00D246CF"/>
    <w:rsid w:val="00D26E72"/>
    <w:rsid w:val="00D343E2"/>
    <w:rsid w:val="00D361A2"/>
    <w:rsid w:val="00D37470"/>
    <w:rsid w:val="00D376A6"/>
    <w:rsid w:val="00D40A7E"/>
    <w:rsid w:val="00D44ADA"/>
    <w:rsid w:val="00D44C2E"/>
    <w:rsid w:val="00D45414"/>
    <w:rsid w:val="00D50A0A"/>
    <w:rsid w:val="00D53548"/>
    <w:rsid w:val="00D566BD"/>
    <w:rsid w:val="00D57A4D"/>
    <w:rsid w:val="00D60AA7"/>
    <w:rsid w:val="00D621DF"/>
    <w:rsid w:val="00D6435F"/>
    <w:rsid w:val="00D66471"/>
    <w:rsid w:val="00D70641"/>
    <w:rsid w:val="00D74888"/>
    <w:rsid w:val="00D75E28"/>
    <w:rsid w:val="00D772C2"/>
    <w:rsid w:val="00D8008E"/>
    <w:rsid w:val="00D809E8"/>
    <w:rsid w:val="00D82C45"/>
    <w:rsid w:val="00D908A8"/>
    <w:rsid w:val="00D977B6"/>
    <w:rsid w:val="00DA1223"/>
    <w:rsid w:val="00DA4A31"/>
    <w:rsid w:val="00DA7B04"/>
    <w:rsid w:val="00DB2807"/>
    <w:rsid w:val="00DB36C2"/>
    <w:rsid w:val="00DB5398"/>
    <w:rsid w:val="00DB57BA"/>
    <w:rsid w:val="00DC169B"/>
    <w:rsid w:val="00DC2AB9"/>
    <w:rsid w:val="00DC63F0"/>
    <w:rsid w:val="00DD1C61"/>
    <w:rsid w:val="00DD37EA"/>
    <w:rsid w:val="00DD6CC4"/>
    <w:rsid w:val="00DD6EE5"/>
    <w:rsid w:val="00DD7C19"/>
    <w:rsid w:val="00DE386C"/>
    <w:rsid w:val="00DE4D35"/>
    <w:rsid w:val="00DE6378"/>
    <w:rsid w:val="00DF098B"/>
    <w:rsid w:val="00DF11C4"/>
    <w:rsid w:val="00DF210C"/>
    <w:rsid w:val="00DF2E30"/>
    <w:rsid w:val="00DF4B6A"/>
    <w:rsid w:val="00E004C0"/>
    <w:rsid w:val="00E0198E"/>
    <w:rsid w:val="00E02C09"/>
    <w:rsid w:val="00E032AF"/>
    <w:rsid w:val="00E04D59"/>
    <w:rsid w:val="00E07DA1"/>
    <w:rsid w:val="00E123CB"/>
    <w:rsid w:val="00E13B09"/>
    <w:rsid w:val="00E14A04"/>
    <w:rsid w:val="00E206DD"/>
    <w:rsid w:val="00E20E13"/>
    <w:rsid w:val="00E21DBC"/>
    <w:rsid w:val="00E22AB5"/>
    <w:rsid w:val="00E275D7"/>
    <w:rsid w:val="00E27DBE"/>
    <w:rsid w:val="00E32AB1"/>
    <w:rsid w:val="00E36C71"/>
    <w:rsid w:val="00E40404"/>
    <w:rsid w:val="00E4126A"/>
    <w:rsid w:val="00E41702"/>
    <w:rsid w:val="00E42A06"/>
    <w:rsid w:val="00E459C6"/>
    <w:rsid w:val="00E47589"/>
    <w:rsid w:val="00E47BE4"/>
    <w:rsid w:val="00E63EC7"/>
    <w:rsid w:val="00E64915"/>
    <w:rsid w:val="00E64D3A"/>
    <w:rsid w:val="00E661D4"/>
    <w:rsid w:val="00E70091"/>
    <w:rsid w:val="00E70D2E"/>
    <w:rsid w:val="00E720F5"/>
    <w:rsid w:val="00E75BCB"/>
    <w:rsid w:val="00E76D47"/>
    <w:rsid w:val="00E774FC"/>
    <w:rsid w:val="00E827BC"/>
    <w:rsid w:val="00E835CC"/>
    <w:rsid w:val="00E849F7"/>
    <w:rsid w:val="00E90302"/>
    <w:rsid w:val="00E91D05"/>
    <w:rsid w:val="00E93466"/>
    <w:rsid w:val="00E95C1E"/>
    <w:rsid w:val="00E97396"/>
    <w:rsid w:val="00EA185E"/>
    <w:rsid w:val="00EA592A"/>
    <w:rsid w:val="00EB14E4"/>
    <w:rsid w:val="00EB32A5"/>
    <w:rsid w:val="00EB34ED"/>
    <w:rsid w:val="00EB447C"/>
    <w:rsid w:val="00EB7011"/>
    <w:rsid w:val="00EB7BE0"/>
    <w:rsid w:val="00EC0C3F"/>
    <w:rsid w:val="00EC315E"/>
    <w:rsid w:val="00ED077C"/>
    <w:rsid w:val="00ED10A9"/>
    <w:rsid w:val="00ED1190"/>
    <w:rsid w:val="00ED247D"/>
    <w:rsid w:val="00ED34AC"/>
    <w:rsid w:val="00ED6544"/>
    <w:rsid w:val="00EE0277"/>
    <w:rsid w:val="00EE2899"/>
    <w:rsid w:val="00EE3E00"/>
    <w:rsid w:val="00EE5DD2"/>
    <w:rsid w:val="00EF372C"/>
    <w:rsid w:val="00EF3DB4"/>
    <w:rsid w:val="00EF58A4"/>
    <w:rsid w:val="00EF5AFE"/>
    <w:rsid w:val="00EF70C9"/>
    <w:rsid w:val="00F00A79"/>
    <w:rsid w:val="00F00D13"/>
    <w:rsid w:val="00F00E86"/>
    <w:rsid w:val="00F04F45"/>
    <w:rsid w:val="00F077DD"/>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7296"/>
    <w:rsid w:val="00F375BC"/>
    <w:rsid w:val="00F56A6F"/>
    <w:rsid w:val="00F5709C"/>
    <w:rsid w:val="00F60B85"/>
    <w:rsid w:val="00F64EF1"/>
    <w:rsid w:val="00F7349B"/>
    <w:rsid w:val="00F771A2"/>
    <w:rsid w:val="00F8458E"/>
    <w:rsid w:val="00F8765F"/>
    <w:rsid w:val="00F87797"/>
    <w:rsid w:val="00F90767"/>
    <w:rsid w:val="00F9263C"/>
    <w:rsid w:val="00F955D2"/>
    <w:rsid w:val="00FA1637"/>
    <w:rsid w:val="00FA685B"/>
    <w:rsid w:val="00FA6A4A"/>
    <w:rsid w:val="00FB0C01"/>
    <w:rsid w:val="00FB5934"/>
    <w:rsid w:val="00FC18F2"/>
    <w:rsid w:val="00FC2A17"/>
    <w:rsid w:val="00FC3588"/>
    <w:rsid w:val="00FC38CF"/>
    <w:rsid w:val="00FC39E5"/>
    <w:rsid w:val="00FC3A78"/>
    <w:rsid w:val="00FD1005"/>
    <w:rsid w:val="00FD1F7F"/>
    <w:rsid w:val="00FD35FA"/>
    <w:rsid w:val="00FD6C75"/>
    <w:rsid w:val="00FD7972"/>
    <w:rsid w:val="00FE0401"/>
    <w:rsid w:val="00FE1C73"/>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17E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7D3701"/>
    <w:rPr>
      <w:sz w:val="24"/>
      <w:szCs w:val="24"/>
    </w:rPr>
  </w:style>
  <w:style w:type="paragraph" w:styleId="Nagwek1">
    <w:name w:val="heading 1"/>
    <w:basedOn w:val="Normalny"/>
    <w:next w:val="Normalny"/>
    <w:link w:val="Nagwek1Znak"/>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3701"/>
    <w:rPr>
      <w:rFonts w:ascii="Tahoma" w:hAnsi="Tahoma" w:cs="Tahoma"/>
      <w:sz w:val="16"/>
      <w:szCs w:val="16"/>
    </w:rPr>
  </w:style>
  <w:style w:type="character" w:customStyle="1" w:styleId="TekstdymkaZnak">
    <w:name w:val="Tekst dymka Znak"/>
    <w:basedOn w:val="Domylnaczcionkaakapitu"/>
    <w:link w:val="Tekstdymka"/>
    <w:uiPriority w:val="99"/>
    <w:semiHidden/>
    <w:rsid w:val="007D3701"/>
    <w:rPr>
      <w:rFonts w:ascii="Tahoma" w:hAnsi="Tahoma" w:cs="Tahoma"/>
      <w:sz w:val="16"/>
      <w:szCs w:val="16"/>
      <w:lang w:val="pl-PL"/>
    </w:rPr>
  </w:style>
  <w:style w:type="character" w:styleId="Tytuksiki">
    <w:name w:val="Book Title"/>
    <w:uiPriority w:val="99"/>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9"/>
    <w:semiHidden/>
    <w:qFormat/>
    <w:rsid w:val="007D3701"/>
    <w:rPr>
      <w:b/>
      <w:bCs/>
    </w:rPr>
  </w:style>
  <w:style w:type="paragraph" w:styleId="Bezodstpw">
    <w:name w:val="No Spacing"/>
    <w:basedOn w:val="Normalny"/>
    <w:link w:val="BezodstpwZnak"/>
    <w:semiHidden/>
    <w:qFormat/>
    <w:rsid w:val="007D3701"/>
  </w:style>
  <w:style w:type="character" w:customStyle="1" w:styleId="BezodstpwZnak">
    <w:name w:val="Bez odstępów Znak"/>
    <w:basedOn w:val="Domylnaczcionkaakapitu"/>
    <w:link w:val="Bezodstpw"/>
    <w:semiHidden/>
    <w:rsid w:val="007D3701"/>
    <w:rPr>
      <w:sz w:val="24"/>
      <w:szCs w:val="24"/>
      <w:lang w:val="pl-PL"/>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0"/>
    <w:qFormat/>
    <w:rsid w:val="007D3701"/>
    <w:pPr>
      <w:tabs>
        <w:tab w:val="center" w:pos="851"/>
        <w:tab w:val="center" w:pos="6407"/>
      </w:tabs>
      <w:spacing w:before="720"/>
    </w:pPr>
  </w:style>
  <w:style w:type="paragraph" w:styleId="Tytu">
    <w:name w:val="Title"/>
    <w:basedOn w:val="Normalny"/>
    <w:next w:val="Normalny"/>
    <w:link w:val="TytuZnak"/>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3701"/>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9"/>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57"/>
    <w:semiHidden/>
    <w:rsid w:val="007D3701"/>
    <w:pPr>
      <w:tabs>
        <w:tab w:val="center" w:pos="4536"/>
        <w:tab w:val="right" w:pos="9072"/>
      </w:tabs>
    </w:pPr>
  </w:style>
  <w:style w:type="character" w:customStyle="1" w:styleId="NagwekZnak">
    <w:name w:val="Nagłówek Znak"/>
    <w:basedOn w:val="Domylnaczcionkaakapitu"/>
    <w:link w:val="Nagwek"/>
    <w:uiPriority w:val="57"/>
    <w:semiHidden/>
    <w:rsid w:val="007D3701"/>
    <w:rPr>
      <w:sz w:val="24"/>
      <w:szCs w:val="24"/>
      <w:lang w:val="pl-PL"/>
    </w:rPr>
  </w:style>
  <w:style w:type="character" w:customStyle="1" w:styleId="Nagwek1Znak">
    <w:name w:val="Nagłówek 1 Znak"/>
    <w:basedOn w:val="Domylnaczcionkaakapitu"/>
    <w:link w:val="Nagwek1"/>
    <w:uiPriority w:val="99"/>
    <w:semiHidden/>
    <w:rsid w:val="007D3701"/>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7D3701"/>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7D3701"/>
    <w:rPr>
      <w:rFonts w:asciiTheme="majorHAnsi" w:eastAsiaTheme="majorEastAsia" w:hAnsiTheme="majorHAnsi" w:cstheme="majorBidi"/>
      <w:b/>
      <w:bCs/>
      <w:color w:val="5F5F5F"/>
      <w:sz w:val="24"/>
      <w:szCs w:val="24"/>
      <w:lang w:val="pl-PL"/>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ny"/>
    <w:uiPriority w:val="31"/>
    <w:qFormat/>
    <w:rsid w:val="007D3701"/>
    <w:pPr>
      <w:tabs>
        <w:tab w:val="left" w:pos="567"/>
        <w:tab w:val="left" w:pos="1134"/>
      </w:tabs>
    </w:pPr>
  </w:style>
  <w:style w:type="character" w:customStyle="1" w:styleId="Nagwek4Znak">
    <w:name w:val="Nagłówek 4 Znak"/>
    <w:basedOn w:val="Domylnaczcionkaakapitu"/>
    <w:link w:val="Nagwek4"/>
    <w:uiPriority w:val="99"/>
    <w:semiHidden/>
    <w:rsid w:val="007D3701"/>
    <w:rPr>
      <w:rFonts w:asciiTheme="majorHAnsi" w:eastAsiaTheme="majorEastAsia" w:hAnsiTheme="majorHAnsi" w:cstheme="majorBidi"/>
      <w:b/>
      <w:bCs/>
      <w:i/>
      <w:iCs/>
      <w:color w:val="777777"/>
      <w:sz w:val="24"/>
      <w:szCs w:val="24"/>
      <w:lang w:val="pl-PL"/>
    </w:rPr>
  </w:style>
  <w:style w:type="paragraph" w:customStyle="1" w:styleId="JuInitialled">
    <w:name w:val="Ju_Initialled"/>
    <w:aliases w:val="_Right"/>
    <w:basedOn w:val="Normalny"/>
    <w:uiPriority w:val="30"/>
    <w:qFormat/>
    <w:rsid w:val="007D3701"/>
    <w:pPr>
      <w:tabs>
        <w:tab w:val="center" w:pos="6407"/>
      </w:tabs>
      <w:spacing w:before="720"/>
      <w:jc w:val="right"/>
    </w:pPr>
  </w:style>
  <w:style w:type="character" w:customStyle="1" w:styleId="Nagwek5Znak">
    <w:name w:val="Nagłówek 5 Znak"/>
    <w:basedOn w:val="Domylnaczcionkaakapitu"/>
    <w:link w:val="Nagwek5"/>
    <w:uiPriority w:val="99"/>
    <w:semiHidden/>
    <w:rsid w:val="007D3701"/>
    <w:rPr>
      <w:rFonts w:asciiTheme="majorHAnsi" w:eastAsiaTheme="majorEastAsia" w:hAnsiTheme="majorHAnsi" w:cstheme="majorBidi"/>
      <w:b/>
      <w:bCs/>
      <w:color w:val="808080"/>
      <w:sz w:val="24"/>
      <w:szCs w:val="24"/>
      <w:lang w:val="pl-PL"/>
    </w:rPr>
  </w:style>
  <w:style w:type="character" w:customStyle="1" w:styleId="JuITMark">
    <w:name w:val="Ju_ITMark"/>
    <w:aliases w:val="_ITMark"/>
    <w:basedOn w:val="Domylnaczcionkaakapitu"/>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Wyrnieniedelikatne">
    <w:name w:val="Subtle Emphasis"/>
    <w:uiPriority w:val="99"/>
    <w:semiHidden/>
    <w:qFormat/>
    <w:rsid w:val="007D3701"/>
    <w:rPr>
      <w:i/>
      <w:iCs/>
    </w:rPr>
  </w:style>
  <w:style w:type="table" w:customStyle="1" w:styleId="ECHRTable">
    <w:name w:val="ECHR_Table"/>
    <w:basedOn w:val="Standardowy"/>
    <w:rsid w:val="007D3701"/>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7D3701"/>
    <w:rPr>
      <w:b/>
      <w:bCs/>
      <w:i/>
      <w:iCs/>
      <w:spacing w:val="10"/>
      <w:bdr w:val="none" w:sz="0" w:space="0" w:color="auto"/>
      <w:shd w:val="clear" w:color="auto" w:fill="auto"/>
    </w:rPr>
  </w:style>
  <w:style w:type="paragraph" w:styleId="Stopka">
    <w:name w:val="footer"/>
    <w:basedOn w:val="Normalny"/>
    <w:link w:val="StopkaZnak"/>
    <w:uiPriority w:val="57"/>
    <w:semiHidden/>
    <w:rsid w:val="007D3701"/>
    <w:pPr>
      <w:tabs>
        <w:tab w:val="center" w:pos="3686"/>
        <w:tab w:val="right" w:pos="7371"/>
      </w:tabs>
    </w:pPr>
  </w:style>
  <w:style w:type="character" w:customStyle="1" w:styleId="StopkaZnak">
    <w:name w:val="Stopka Znak"/>
    <w:basedOn w:val="Domylnaczcionkaakapitu"/>
    <w:link w:val="Stopka"/>
    <w:uiPriority w:val="57"/>
    <w:semiHidden/>
    <w:rsid w:val="007D3701"/>
    <w:rPr>
      <w:sz w:val="24"/>
      <w:szCs w:val="24"/>
      <w:lang w:val="pl-PL"/>
    </w:rPr>
  </w:style>
  <w:style w:type="character" w:styleId="Odwoanieprzypisudolnego">
    <w:name w:val="footnote reference"/>
    <w:basedOn w:val="Domylnaczcionkaakapitu"/>
    <w:uiPriority w:val="99"/>
    <w:semiHidden/>
    <w:rsid w:val="007D3701"/>
    <w:rPr>
      <w:vertAlign w:val="superscript"/>
    </w:rPr>
  </w:style>
  <w:style w:type="paragraph" w:styleId="Tekstprzypisudolnego">
    <w:name w:val="footnote text"/>
    <w:basedOn w:val="Normalny"/>
    <w:link w:val="TekstprzypisudolnegoZnak"/>
    <w:uiPriority w:val="99"/>
    <w:semiHidden/>
    <w:rsid w:val="007D3701"/>
    <w:rPr>
      <w:sz w:val="20"/>
      <w:szCs w:val="20"/>
    </w:rPr>
  </w:style>
  <w:style w:type="character" w:customStyle="1" w:styleId="TekstprzypisudolnegoZnak">
    <w:name w:val="Tekst przypisu dolnego Znak"/>
    <w:basedOn w:val="Domylnaczcionkaakapitu"/>
    <w:link w:val="Tekstprzypisudolnego"/>
    <w:uiPriority w:val="99"/>
    <w:semiHidden/>
    <w:rsid w:val="007D3701"/>
    <w:rPr>
      <w:sz w:val="20"/>
      <w:szCs w:val="20"/>
      <w:lang w:val="pl-PL"/>
    </w:rPr>
  </w:style>
  <w:style w:type="character" w:customStyle="1" w:styleId="Nagwek6Znak">
    <w:name w:val="Nagłówek 6 Znak"/>
    <w:basedOn w:val="Domylnaczcionkaakapitu"/>
    <w:link w:val="Nagwek6"/>
    <w:uiPriority w:val="99"/>
    <w:semiHidden/>
    <w:rsid w:val="007D3701"/>
    <w:rPr>
      <w:rFonts w:asciiTheme="majorHAnsi" w:eastAsiaTheme="majorEastAsia" w:hAnsiTheme="majorHAnsi" w:cstheme="majorBidi"/>
      <w:b/>
      <w:bCs/>
      <w:i/>
      <w:iCs/>
      <w:color w:val="7F7F7F" w:themeColor="text1" w:themeTint="80"/>
      <w:sz w:val="24"/>
      <w:szCs w:val="24"/>
      <w:lang w:val="pl-PL" w:bidi="en-US"/>
    </w:rPr>
  </w:style>
  <w:style w:type="character" w:customStyle="1" w:styleId="Nagwek7Znak">
    <w:name w:val="Nagłówek 7 Znak"/>
    <w:basedOn w:val="Domylnaczcionkaakapitu"/>
    <w:link w:val="Nagwek7"/>
    <w:uiPriority w:val="99"/>
    <w:semiHidden/>
    <w:rsid w:val="007D3701"/>
    <w:rPr>
      <w:rFonts w:asciiTheme="majorHAnsi" w:eastAsiaTheme="majorEastAsia" w:hAnsiTheme="majorHAnsi" w:cstheme="majorBidi"/>
      <w:i/>
      <w:iCs/>
      <w:sz w:val="24"/>
      <w:szCs w:val="24"/>
      <w:lang w:val="pl-PL" w:bidi="en-US"/>
    </w:rPr>
  </w:style>
  <w:style w:type="character" w:customStyle="1" w:styleId="Nagwek8Znak">
    <w:name w:val="Nagłówek 8 Znak"/>
    <w:basedOn w:val="Domylnaczcionkaakapitu"/>
    <w:link w:val="Nagwek8"/>
    <w:uiPriority w:val="99"/>
    <w:semiHidden/>
    <w:rsid w:val="007D3701"/>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7D3701"/>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7D3701"/>
    <w:rPr>
      <w:color w:val="0072BC" w:themeColor="hyperlink"/>
      <w:u w:val="single"/>
    </w:rPr>
  </w:style>
  <w:style w:type="character" w:styleId="Wyrnienieintensywne">
    <w:name w:val="Intense Emphasis"/>
    <w:uiPriority w:val="99"/>
    <w:semiHidden/>
    <w:qFormat/>
    <w:rsid w:val="007D3701"/>
    <w:rPr>
      <w:b/>
      <w:bCs/>
    </w:rPr>
  </w:style>
  <w:style w:type="paragraph" w:styleId="Cytatintensywny">
    <w:name w:val="Intense Quote"/>
    <w:basedOn w:val="Normalny"/>
    <w:next w:val="Normalny"/>
    <w:link w:val="CytatintensywnyZnak"/>
    <w:uiPriority w:val="99"/>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7D3701"/>
    <w:rPr>
      <w:b/>
      <w:bCs/>
      <w:i/>
      <w:iCs/>
      <w:sz w:val="24"/>
      <w:szCs w:val="24"/>
      <w:lang w:val="pl-PL" w:bidi="en-US"/>
    </w:rPr>
  </w:style>
  <w:style w:type="character" w:styleId="Odwoanieintensywne">
    <w:name w:val="Intense Reference"/>
    <w:uiPriority w:val="99"/>
    <w:semiHidden/>
    <w:qFormat/>
    <w:rsid w:val="007D3701"/>
    <w:rPr>
      <w:smallCaps/>
      <w:spacing w:val="5"/>
      <w:u w:val="single"/>
    </w:rPr>
  </w:style>
  <w:style w:type="paragraph" w:styleId="Akapitzlist">
    <w:name w:val="List Paragraph"/>
    <w:basedOn w:val="Normalny"/>
    <w:uiPriority w:val="99"/>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9"/>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9"/>
    <w:semiHidden/>
    <w:rsid w:val="007D3701"/>
    <w:rPr>
      <w:i/>
      <w:iCs/>
      <w:sz w:val="24"/>
      <w:szCs w:val="24"/>
      <w:lang w:val="pl-PL" w:bidi="en-US"/>
    </w:rPr>
  </w:style>
  <w:style w:type="character" w:styleId="Odwoaniedelikatne">
    <w:name w:val="Subtle Reference"/>
    <w:uiPriority w:val="99"/>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semiHidden/>
    <w:rsid w:val="007D3701"/>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7D3701"/>
  </w:style>
  <w:style w:type="paragraph" w:styleId="Tekstblokowy">
    <w:name w:val="Block Text"/>
    <w:basedOn w:val="Normalny"/>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7D3701"/>
    <w:pPr>
      <w:spacing w:after="120"/>
    </w:pPr>
  </w:style>
  <w:style w:type="character" w:customStyle="1" w:styleId="TekstpodstawowyZnak">
    <w:name w:val="Tekst podstawowy Znak"/>
    <w:basedOn w:val="Domylnaczcionkaakapitu"/>
    <w:link w:val="Tekstpodstawowy"/>
    <w:uiPriority w:val="99"/>
    <w:semiHidden/>
    <w:rsid w:val="007D3701"/>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1"/>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9"/>
    <w:semiHidden/>
    <w:rsid w:val="007D3701"/>
    <w:pPr>
      <w:numPr>
        <w:numId w:val="12"/>
      </w:numPr>
    </w:pPr>
  </w:style>
  <w:style w:type="paragraph" w:styleId="Listapunktowana3">
    <w:name w:val="List Bullet 3"/>
    <w:basedOn w:val="Normalny"/>
    <w:uiPriority w:val="99"/>
    <w:semiHidden/>
    <w:rsid w:val="007D3701"/>
    <w:pPr>
      <w:numPr>
        <w:numId w:val="14"/>
      </w:numPr>
      <w:contextualSpacing/>
    </w:pPr>
  </w:style>
  <w:style w:type="character" w:customStyle="1" w:styleId="Tekstpodstawowy2Znak">
    <w:name w:val="Tekst podstawowy 2 Znak"/>
    <w:basedOn w:val="Domylnaczcionkaakapitu"/>
    <w:link w:val="Tekstpodstawowy2"/>
    <w:uiPriority w:val="99"/>
    <w:semiHidden/>
    <w:rsid w:val="007D3701"/>
    <w:rPr>
      <w:sz w:val="24"/>
      <w:szCs w:val="24"/>
      <w:lang w:val="pl-PL"/>
    </w:rPr>
  </w:style>
  <w:style w:type="paragraph" w:styleId="Tekstpodstawowy3">
    <w:name w:val="Body Text 3"/>
    <w:basedOn w:val="Normalny"/>
    <w:link w:val="Tekstpodstawowy3Znak"/>
    <w:uiPriority w:val="99"/>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9"/>
    <w:semiHidden/>
    <w:rsid w:val="007D3701"/>
    <w:rPr>
      <w:sz w:val="16"/>
      <w:szCs w:val="16"/>
      <w:lang w:val="pl-PL"/>
    </w:rPr>
  </w:style>
  <w:style w:type="paragraph" w:styleId="Tekstpodstawowyzwciciem">
    <w:name w:val="Body Text First Indent"/>
    <w:basedOn w:val="Tekstpodstawowy"/>
    <w:link w:val="TekstpodstawowyzwciciemZnak"/>
    <w:uiPriority w:val="99"/>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D3701"/>
    <w:rPr>
      <w:sz w:val="24"/>
      <w:szCs w:val="24"/>
      <w:lang w:val="pl-PL"/>
    </w:rPr>
  </w:style>
  <w:style w:type="paragraph" w:styleId="Tekstpodstawowywcity">
    <w:name w:val="Body Text Indent"/>
    <w:basedOn w:val="Normalny"/>
    <w:link w:val="TekstpodstawowywcityZnak"/>
    <w:uiPriority w:val="99"/>
    <w:semiHidden/>
    <w:rsid w:val="007D3701"/>
    <w:pPr>
      <w:spacing w:after="120"/>
      <w:ind w:left="283"/>
    </w:pPr>
  </w:style>
  <w:style w:type="character" w:customStyle="1" w:styleId="TekstpodstawowywcityZnak">
    <w:name w:val="Tekst podstawowy wcięty Znak"/>
    <w:basedOn w:val="Domylnaczcionkaakapitu"/>
    <w:link w:val="Tekstpodstawowywcity"/>
    <w:uiPriority w:val="99"/>
    <w:semiHidden/>
    <w:rsid w:val="007D3701"/>
    <w:rPr>
      <w:sz w:val="24"/>
      <w:szCs w:val="24"/>
      <w:lang w:val="pl-PL"/>
    </w:rPr>
  </w:style>
  <w:style w:type="paragraph" w:styleId="Tekstpodstawowyzwciciem2">
    <w:name w:val="Body Text First Indent 2"/>
    <w:basedOn w:val="Tekstpodstawowywcity"/>
    <w:link w:val="Tekstpodstawowyzwciciem2Znak"/>
    <w:uiPriority w:val="99"/>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D3701"/>
    <w:rPr>
      <w:sz w:val="24"/>
      <w:szCs w:val="24"/>
      <w:lang w:val="pl-PL"/>
    </w:rPr>
  </w:style>
  <w:style w:type="paragraph" w:styleId="Tekstpodstawowywcity2">
    <w:name w:val="Body Text Indent 2"/>
    <w:basedOn w:val="Normalny"/>
    <w:link w:val="Tekstpodstawowywcity2Znak"/>
    <w:uiPriority w:val="99"/>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D3701"/>
    <w:rPr>
      <w:sz w:val="24"/>
      <w:szCs w:val="24"/>
      <w:lang w:val="pl-PL"/>
    </w:rPr>
  </w:style>
  <w:style w:type="paragraph" w:styleId="Tekstpodstawowywcity3">
    <w:name w:val="Body Text Indent 3"/>
    <w:basedOn w:val="Normalny"/>
    <w:link w:val="Tekstpodstawowywcity3Znak"/>
    <w:uiPriority w:val="99"/>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D3701"/>
    <w:rPr>
      <w:sz w:val="16"/>
      <w:szCs w:val="16"/>
      <w:lang w:val="pl-PL"/>
    </w:rPr>
  </w:style>
  <w:style w:type="paragraph" w:styleId="Legenda">
    <w:name w:val="caption"/>
    <w:basedOn w:val="Normalny"/>
    <w:next w:val="Normalny"/>
    <w:uiPriority w:val="99"/>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9"/>
    <w:semiHidden/>
    <w:rsid w:val="007D3701"/>
    <w:pPr>
      <w:ind w:left="4252"/>
    </w:pPr>
  </w:style>
  <w:style w:type="character" w:customStyle="1" w:styleId="ZwrotpoegnalnyZnak">
    <w:name w:val="Zwrot pożegnalny Znak"/>
    <w:basedOn w:val="Domylnaczcionkaakapitu"/>
    <w:link w:val="Zwrotpoegnalny"/>
    <w:uiPriority w:val="99"/>
    <w:semiHidden/>
    <w:rsid w:val="007D3701"/>
    <w:rPr>
      <w:sz w:val="24"/>
      <w:szCs w:val="24"/>
      <w:lang w:val="pl-PL"/>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7D3701"/>
    <w:rPr>
      <w:sz w:val="16"/>
      <w:szCs w:val="16"/>
    </w:rPr>
  </w:style>
  <w:style w:type="paragraph" w:styleId="Tekstkomentarza">
    <w:name w:val="annotation text"/>
    <w:basedOn w:val="Normalny"/>
    <w:link w:val="TekstkomentarzaZnak"/>
    <w:uiPriority w:val="99"/>
    <w:semiHidden/>
    <w:rsid w:val="007D3701"/>
    <w:rPr>
      <w:sz w:val="20"/>
      <w:szCs w:val="20"/>
    </w:rPr>
  </w:style>
  <w:style w:type="character" w:customStyle="1" w:styleId="TekstkomentarzaZnak">
    <w:name w:val="Tekst komentarza Znak"/>
    <w:basedOn w:val="Domylnaczcionkaakapitu"/>
    <w:link w:val="Tekstkomentarza"/>
    <w:uiPriority w:val="99"/>
    <w:semiHidden/>
    <w:rsid w:val="007D3701"/>
    <w:rPr>
      <w:sz w:val="20"/>
      <w:szCs w:val="20"/>
      <w:lang w:val="pl-PL"/>
    </w:rPr>
  </w:style>
  <w:style w:type="paragraph" w:styleId="Tematkomentarza">
    <w:name w:val="annotation subject"/>
    <w:basedOn w:val="Tekstkomentarza"/>
    <w:next w:val="Tekstkomentarza"/>
    <w:link w:val="TematkomentarzaZnak"/>
    <w:uiPriority w:val="99"/>
    <w:semiHidden/>
    <w:rsid w:val="007D3701"/>
    <w:rPr>
      <w:b/>
      <w:bCs/>
    </w:rPr>
  </w:style>
  <w:style w:type="character" w:customStyle="1" w:styleId="TematkomentarzaZnak">
    <w:name w:val="Temat komentarza Znak"/>
    <w:basedOn w:val="TekstkomentarzaZnak"/>
    <w:link w:val="Tematkomentarza"/>
    <w:uiPriority w:val="99"/>
    <w:semiHidden/>
    <w:rsid w:val="007D3701"/>
    <w:rPr>
      <w:b/>
      <w:bCs/>
      <w:sz w:val="20"/>
      <w:szCs w:val="20"/>
      <w:lang w:val="pl-PL"/>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7D3701"/>
  </w:style>
  <w:style w:type="character" w:customStyle="1" w:styleId="DataZnak">
    <w:name w:val="Data Znak"/>
    <w:basedOn w:val="Domylnaczcionkaakapitu"/>
    <w:link w:val="Data"/>
    <w:uiPriority w:val="99"/>
    <w:semiHidden/>
    <w:rsid w:val="007D3701"/>
    <w:rPr>
      <w:sz w:val="24"/>
      <w:szCs w:val="24"/>
      <w:lang w:val="pl-PL"/>
    </w:rPr>
  </w:style>
  <w:style w:type="paragraph" w:styleId="Mapadokumentu">
    <w:name w:val="Document Map"/>
    <w:basedOn w:val="Normalny"/>
    <w:link w:val="MapadokumentuZnak"/>
    <w:uiPriority w:val="99"/>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7D3701"/>
    <w:rPr>
      <w:rFonts w:ascii="Tahoma" w:hAnsi="Tahoma" w:cs="Tahoma"/>
      <w:sz w:val="16"/>
      <w:szCs w:val="16"/>
      <w:lang w:val="pl-PL"/>
    </w:rPr>
  </w:style>
  <w:style w:type="paragraph" w:styleId="Podpise-mail">
    <w:name w:val="E-mail Signature"/>
    <w:basedOn w:val="Normalny"/>
    <w:link w:val="Podpise-mailZnak"/>
    <w:uiPriority w:val="99"/>
    <w:semiHidden/>
    <w:rsid w:val="007D3701"/>
  </w:style>
  <w:style w:type="character" w:customStyle="1" w:styleId="Podpise-mailZnak">
    <w:name w:val="Podpis e-mail Znak"/>
    <w:basedOn w:val="Domylnaczcionkaakapitu"/>
    <w:link w:val="Podpise-mail"/>
    <w:uiPriority w:val="99"/>
    <w:semiHidden/>
    <w:rsid w:val="007D3701"/>
    <w:rPr>
      <w:sz w:val="24"/>
      <w:szCs w:val="24"/>
      <w:lang w:val="pl-PL"/>
    </w:rPr>
  </w:style>
  <w:style w:type="character" w:styleId="Odwoanieprzypisukocowego">
    <w:name w:val="endnote reference"/>
    <w:basedOn w:val="Domylnaczcionkaakapitu"/>
    <w:uiPriority w:val="99"/>
    <w:semiHidden/>
    <w:rsid w:val="007D3701"/>
    <w:rPr>
      <w:vertAlign w:val="superscript"/>
    </w:rPr>
  </w:style>
  <w:style w:type="paragraph" w:styleId="Tekstprzypisukocowego">
    <w:name w:val="endnote text"/>
    <w:basedOn w:val="Normalny"/>
    <w:link w:val="TekstprzypisukocowegoZnak"/>
    <w:uiPriority w:val="99"/>
    <w:semiHidden/>
    <w:rsid w:val="007D3701"/>
    <w:rPr>
      <w:sz w:val="20"/>
      <w:szCs w:val="20"/>
    </w:rPr>
  </w:style>
  <w:style w:type="character" w:customStyle="1" w:styleId="TekstprzypisukocowegoZnak">
    <w:name w:val="Tekst przypisu końcowego Znak"/>
    <w:basedOn w:val="Domylnaczcionkaakapitu"/>
    <w:link w:val="Tekstprzypisukocowego"/>
    <w:uiPriority w:val="99"/>
    <w:semiHidden/>
    <w:rsid w:val="007D3701"/>
    <w:rPr>
      <w:sz w:val="20"/>
      <w:szCs w:val="20"/>
      <w:lang w:val="pl-PL"/>
    </w:rPr>
  </w:style>
  <w:style w:type="paragraph" w:styleId="Adresnakopercie">
    <w:name w:val="envelope address"/>
    <w:basedOn w:val="Normalny"/>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7D3701"/>
    <w:rPr>
      <w:color w:val="7030A0" w:themeColor="followedHyperlink"/>
      <w:u w:val="single"/>
    </w:rPr>
  </w:style>
  <w:style w:type="character" w:styleId="HTML-akronim">
    <w:name w:val="HTML Acronym"/>
    <w:basedOn w:val="Domylnaczcionkaakapitu"/>
    <w:uiPriority w:val="99"/>
    <w:semiHidden/>
    <w:rsid w:val="007D3701"/>
  </w:style>
  <w:style w:type="paragraph" w:styleId="HTML-adres">
    <w:name w:val="HTML Address"/>
    <w:basedOn w:val="Normalny"/>
    <w:link w:val="HTML-adresZnak"/>
    <w:uiPriority w:val="99"/>
    <w:semiHidden/>
    <w:rsid w:val="007D3701"/>
    <w:rPr>
      <w:i/>
      <w:iCs/>
    </w:rPr>
  </w:style>
  <w:style w:type="character" w:customStyle="1" w:styleId="HTML-adresZnak">
    <w:name w:val="HTML - adres Znak"/>
    <w:basedOn w:val="Domylnaczcionkaakapitu"/>
    <w:link w:val="HTML-adres"/>
    <w:uiPriority w:val="99"/>
    <w:semiHidden/>
    <w:rsid w:val="007D3701"/>
    <w:rPr>
      <w:i/>
      <w:iCs/>
      <w:sz w:val="24"/>
      <w:szCs w:val="24"/>
      <w:lang w:val="pl-PL"/>
    </w:rPr>
  </w:style>
  <w:style w:type="character" w:styleId="HTML-cytat">
    <w:name w:val="HTML Cite"/>
    <w:basedOn w:val="Domylnaczcionkaakapitu"/>
    <w:uiPriority w:val="99"/>
    <w:semiHidden/>
    <w:rsid w:val="007D3701"/>
    <w:rPr>
      <w:i/>
      <w:iCs/>
    </w:rPr>
  </w:style>
  <w:style w:type="character" w:styleId="HTML-kod">
    <w:name w:val="HTML Code"/>
    <w:basedOn w:val="Domylnaczcionkaakapitu"/>
    <w:uiPriority w:val="99"/>
    <w:semiHidden/>
    <w:rsid w:val="007D3701"/>
    <w:rPr>
      <w:rFonts w:ascii="Consolas" w:hAnsi="Consolas" w:cs="Consolas"/>
      <w:sz w:val="20"/>
      <w:szCs w:val="20"/>
    </w:rPr>
  </w:style>
  <w:style w:type="character" w:styleId="HTML-definicja">
    <w:name w:val="HTML Definition"/>
    <w:basedOn w:val="Domylnaczcionkaakapitu"/>
    <w:uiPriority w:val="99"/>
    <w:semiHidden/>
    <w:rsid w:val="007D3701"/>
    <w:rPr>
      <w:i/>
      <w:iCs/>
    </w:rPr>
  </w:style>
  <w:style w:type="character" w:styleId="HTML-klawiatura">
    <w:name w:val="HTML Keyboard"/>
    <w:basedOn w:val="Domylnaczcionkaakapitu"/>
    <w:uiPriority w:val="99"/>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9"/>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7D3701"/>
    <w:rPr>
      <w:rFonts w:ascii="Consolas" w:hAnsi="Consolas" w:cs="Consolas"/>
      <w:sz w:val="20"/>
      <w:szCs w:val="20"/>
      <w:lang w:val="pl-PL"/>
    </w:rPr>
  </w:style>
  <w:style w:type="character" w:styleId="HTML-przykad">
    <w:name w:val="HTML Sample"/>
    <w:basedOn w:val="Domylnaczcionkaakapitu"/>
    <w:uiPriority w:val="99"/>
    <w:semiHidden/>
    <w:rsid w:val="007D3701"/>
    <w:rPr>
      <w:rFonts w:ascii="Consolas" w:hAnsi="Consolas" w:cs="Consolas"/>
      <w:sz w:val="24"/>
      <w:szCs w:val="24"/>
    </w:rPr>
  </w:style>
  <w:style w:type="character" w:styleId="HTML-staaszeroko">
    <w:name w:val="HTML Typewriter"/>
    <w:basedOn w:val="Domylnaczcionkaakapitu"/>
    <w:uiPriority w:val="99"/>
    <w:semiHidden/>
    <w:rsid w:val="007D3701"/>
    <w:rPr>
      <w:rFonts w:ascii="Consolas" w:hAnsi="Consolas" w:cs="Consolas"/>
      <w:sz w:val="20"/>
      <w:szCs w:val="20"/>
    </w:rPr>
  </w:style>
  <w:style w:type="character" w:styleId="HTML-zmienna">
    <w:name w:val="HTML Variable"/>
    <w:basedOn w:val="Domylnaczcionkaakapitu"/>
    <w:uiPriority w:val="99"/>
    <w:semiHidden/>
    <w:rsid w:val="007D3701"/>
    <w:rPr>
      <w:i/>
      <w:iCs/>
    </w:rPr>
  </w:style>
  <w:style w:type="paragraph" w:styleId="Indeks1">
    <w:name w:val="index 1"/>
    <w:basedOn w:val="Normalny"/>
    <w:next w:val="Normalny"/>
    <w:autoRedefine/>
    <w:uiPriority w:val="99"/>
    <w:semiHidden/>
    <w:rsid w:val="007D3701"/>
    <w:pPr>
      <w:ind w:left="240" w:hanging="240"/>
    </w:pPr>
  </w:style>
  <w:style w:type="paragraph" w:styleId="Indeks2">
    <w:name w:val="index 2"/>
    <w:basedOn w:val="Normalny"/>
    <w:next w:val="Normalny"/>
    <w:autoRedefine/>
    <w:uiPriority w:val="99"/>
    <w:semiHidden/>
    <w:rsid w:val="007D3701"/>
    <w:pPr>
      <w:ind w:left="480" w:hanging="240"/>
    </w:pPr>
  </w:style>
  <w:style w:type="paragraph" w:styleId="Indeks3">
    <w:name w:val="index 3"/>
    <w:basedOn w:val="Normalny"/>
    <w:next w:val="Normalny"/>
    <w:autoRedefine/>
    <w:uiPriority w:val="99"/>
    <w:semiHidden/>
    <w:rsid w:val="007D3701"/>
    <w:pPr>
      <w:ind w:left="720" w:hanging="240"/>
    </w:pPr>
  </w:style>
  <w:style w:type="paragraph" w:styleId="Indeks4">
    <w:name w:val="index 4"/>
    <w:basedOn w:val="Normalny"/>
    <w:next w:val="Normalny"/>
    <w:autoRedefine/>
    <w:uiPriority w:val="99"/>
    <w:semiHidden/>
    <w:rsid w:val="007D3701"/>
    <w:pPr>
      <w:ind w:left="960" w:hanging="240"/>
    </w:pPr>
  </w:style>
  <w:style w:type="paragraph" w:styleId="Indeks5">
    <w:name w:val="index 5"/>
    <w:basedOn w:val="Normalny"/>
    <w:next w:val="Normalny"/>
    <w:autoRedefine/>
    <w:uiPriority w:val="99"/>
    <w:semiHidden/>
    <w:rsid w:val="007D3701"/>
    <w:pPr>
      <w:ind w:left="1200" w:hanging="240"/>
    </w:pPr>
  </w:style>
  <w:style w:type="paragraph" w:styleId="Indeks6">
    <w:name w:val="index 6"/>
    <w:basedOn w:val="Normalny"/>
    <w:next w:val="Normalny"/>
    <w:autoRedefine/>
    <w:uiPriority w:val="99"/>
    <w:semiHidden/>
    <w:rsid w:val="007D3701"/>
    <w:pPr>
      <w:ind w:left="1440" w:hanging="240"/>
    </w:pPr>
  </w:style>
  <w:style w:type="paragraph" w:styleId="Indeks7">
    <w:name w:val="index 7"/>
    <w:basedOn w:val="Normalny"/>
    <w:next w:val="Normalny"/>
    <w:autoRedefine/>
    <w:uiPriority w:val="99"/>
    <w:semiHidden/>
    <w:rsid w:val="007D3701"/>
    <w:pPr>
      <w:ind w:left="1680" w:hanging="240"/>
    </w:pPr>
  </w:style>
  <w:style w:type="paragraph" w:styleId="Indeks8">
    <w:name w:val="index 8"/>
    <w:basedOn w:val="Normalny"/>
    <w:next w:val="Normalny"/>
    <w:autoRedefine/>
    <w:uiPriority w:val="99"/>
    <w:semiHidden/>
    <w:rsid w:val="007D3701"/>
    <w:pPr>
      <w:ind w:left="1920" w:hanging="240"/>
    </w:pPr>
  </w:style>
  <w:style w:type="paragraph" w:styleId="Indeks9">
    <w:name w:val="index 9"/>
    <w:basedOn w:val="Normalny"/>
    <w:next w:val="Normalny"/>
    <w:autoRedefine/>
    <w:uiPriority w:val="99"/>
    <w:semiHidden/>
    <w:rsid w:val="007D3701"/>
    <w:pPr>
      <w:ind w:left="2160" w:hanging="240"/>
    </w:pPr>
  </w:style>
  <w:style w:type="paragraph" w:styleId="Nagwekindeksu">
    <w:name w:val="index heading"/>
    <w:basedOn w:val="Normalny"/>
    <w:next w:val="Indeks1"/>
    <w:uiPriority w:val="99"/>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7D3701"/>
  </w:style>
  <w:style w:type="paragraph" w:styleId="Lista">
    <w:name w:val="List"/>
    <w:basedOn w:val="Normalny"/>
    <w:uiPriority w:val="99"/>
    <w:semiHidden/>
    <w:rsid w:val="007D3701"/>
    <w:pPr>
      <w:ind w:left="283" w:hanging="283"/>
      <w:contextualSpacing/>
    </w:pPr>
  </w:style>
  <w:style w:type="paragraph" w:styleId="Lista2">
    <w:name w:val="List 2"/>
    <w:basedOn w:val="Normalny"/>
    <w:uiPriority w:val="99"/>
    <w:semiHidden/>
    <w:rsid w:val="007D3701"/>
    <w:pPr>
      <w:ind w:left="566" w:hanging="283"/>
      <w:contextualSpacing/>
    </w:pPr>
  </w:style>
  <w:style w:type="paragraph" w:styleId="Lista3">
    <w:name w:val="List 3"/>
    <w:basedOn w:val="Normalny"/>
    <w:uiPriority w:val="99"/>
    <w:semiHidden/>
    <w:rsid w:val="007D3701"/>
    <w:pPr>
      <w:ind w:left="849" w:hanging="283"/>
      <w:contextualSpacing/>
    </w:pPr>
  </w:style>
  <w:style w:type="paragraph" w:styleId="Lista4">
    <w:name w:val="List 4"/>
    <w:basedOn w:val="Normalny"/>
    <w:uiPriority w:val="99"/>
    <w:semiHidden/>
    <w:rsid w:val="007D3701"/>
    <w:pPr>
      <w:ind w:left="1132" w:hanging="283"/>
      <w:contextualSpacing/>
    </w:pPr>
  </w:style>
  <w:style w:type="paragraph" w:styleId="Lista5">
    <w:name w:val="List 5"/>
    <w:basedOn w:val="Normalny"/>
    <w:uiPriority w:val="99"/>
    <w:semiHidden/>
    <w:rsid w:val="007D3701"/>
    <w:pPr>
      <w:ind w:left="1415" w:hanging="283"/>
      <w:contextualSpacing/>
    </w:pPr>
  </w:style>
  <w:style w:type="paragraph" w:styleId="Listapunktowana2">
    <w:name w:val="List Bullet 2"/>
    <w:basedOn w:val="Normalny"/>
    <w:uiPriority w:val="99"/>
    <w:semiHidden/>
    <w:rsid w:val="007D3701"/>
    <w:pPr>
      <w:numPr>
        <w:numId w:val="13"/>
      </w:numPr>
      <w:contextualSpacing/>
    </w:pPr>
  </w:style>
  <w:style w:type="paragraph" w:styleId="Listapunktowana4">
    <w:name w:val="List Bullet 4"/>
    <w:basedOn w:val="Normalny"/>
    <w:uiPriority w:val="99"/>
    <w:semiHidden/>
    <w:rsid w:val="007D3701"/>
    <w:pPr>
      <w:numPr>
        <w:numId w:val="15"/>
      </w:numPr>
      <w:contextualSpacing/>
    </w:pPr>
  </w:style>
  <w:style w:type="paragraph" w:styleId="Listapunktowana5">
    <w:name w:val="List Bullet 5"/>
    <w:basedOn w:val="Normalny"/>
    <w:uiPriority w:val="99"/>
    <w:semiHidden/>
    <w:rsid w:val="007D3701"/>
    <w:pPr>
      <w:numPr>
        <w:numId w:val="16"/>
      </w:numPr>
      <w:contextualSpacing/>
    </w:pPr>
  </w:style>
  <w:style w:type="paragraph" w:styleId="Lista-kontynuacja">
    <w:name w:val="List Continue"/>
    <w:basedOn w:val="Normalny"/>
    <w:uiPriority w:val="99"/>
    <w:semiHidden/>
    <w:rsid w:val="007D3701"/>
    <w:pPr>
      <w:spacing w:after="120"/>
      <w:ind w:left="283"/>
      <w:contextualSpacing/>
    </w:pPr>
  </w:style>
  <w:style w:type="paragraph" w:styleId="Lista-kontynuacja2">
    <w:name w:val="List Continue 2"/>
    <w:basedOn w:val="Normalny"/>
    <w:uiPriority w:val="99"/>
    <w:semiHidden/>
    <w:rsid w:val="007D3701"/>
    <w:pPr>
      <w:spacing w:after="120"/>
      <w:ind w:left="566"/>
      <w:contextualSpacing/>
    </w:pPr>
  </w:style>
  <w:style w:type="paragraph" w:styleId="Lista-kontynuacja3">
    <w:name w:val="List Continue 3"/>
    <w:basedOn w:val="Normalny"/>
    <w:uiPriority w:val="99"/>
    <w:semiHidden/>
    <w:rsid w:val="007D3701"/>
    <w:pPr>
      <w:spacing w:after="120"/>
      <w:ind w:left="849"/>
      <w:contextualSpacing/>
    </w:pPr>
  </w:style>
  <w:style w:type="paragraph" w:styleId="Lista-kontynuacja4">
    <w:name w:val="List Continue 4"/>
    <w:basedOn w:val="Normalny"/>
    <w:uiPriority w:val="99"/>
    <w:semiHidden/>
    <w:rsid w:val="007D3701"/>
    <w:pPr>
      <w:spacing w:after="120"/>
      <w:ind w:left="1132"/>
      <w:contextualSpacing/>
    </w:pPr>
  </w:style>
  <w:style w:type="paragraph" w:styleId="Lista-kontynuacja5">
    <w:name w:val="List Continue 5"/>
    <w:basedOn w:val="Normalny"/>
    <w:uiPriority w:val="99"/>
    <w:semiHidden/>
    <w:rsid w:val="007D3701"/>
    <w:pPr>
      <w:spacing w:after="120"/>
      <w:ind w:left="1415"/>
      <w:contextualSpacing/>
    </w:pPr>
  </w:style>
  <w:style w:type="paragraph" w:styleId="Listanumerowana">
    <w:name w:val="List Number"/>
    <w:basedOn w:val="Normalny"/>
    <w:uiPriority w:val="99"/>
    <w:semiHidden/>
    <w:rsid w:val="007D3701"/>
    <w:pPr>
      <w:numPr>
        <w:numId w:val="17"/>
      </w:numPr>
      <w:contextualSpacing/>
    </w:pPr>
  </w:style>
  <w:style w:type="paragraph" w:styleId="Listanumerowana2">
    <w:name w:val="List Number 2"/>
    <w:basedOn w:val="Normalny"/>
    <w:uiPriority w:val="99"/>
    <w:semiHidden/>
    <w:rsid w:val="007D3701"/>
    <w:pPr>
      <w:numPr>
        <w:numId w:val="18"/>
      </w:numPr>
      <w:contextualSpacing/>
    </w:pPr>
  </w:style>
  <w:style w:type="paragraph" w:styleId="Listanumerowana3">
    <w:name w:val="List Number 3"/>
    <w:basedOn w:val="Normalny"/>
    <w:uiPriority w:val="99"/>
    <w:semiHidden/>
    <w:rsid w:val="007D3701"/>
    <w:pPr>
      <w:numPr>
        <w:numId w:val="19"/>
      </w:numPr>
      <w:contextualSpacing/>
    </w:pPr>
  </w:style>
  <w:style w:type="paragraph" w:styleId="Listanumerowana4">
    <w:name w:val="List Number 4"/>
    <w:basedOn w:val="Normalny"/>
    <w:uiPriority w:val="99"/>
    <w:semiHidden/>
    <w:rsid w:val="007D3701"/>
    <w:pPr>
      <w:numPr>
        <w:numId w:val="20"/>
      </w:numPr>
      <w:contextualSpacing/>
    </w:pPr>
  </w:style>
  <w:style w:type="paragraph" w:styleId="Listanumerowana5">
    <w:name w:val="List Number 5"/>
    <w:basedOn w:val="Normalny"/>
    <w:uiPriority w:val="99"/>
    <w:semiHidden/>
    <w:rsid w:val="007D3701"/>
    <w:pPr>
      <w:numPr>
        <w:numId w:val="21"/>
      </w:numPr>
      <w:contextualSpacing/>
    </w:pPr>
  </w:style>
  <w:style w:type="paragraph" w:styleId="Tekstmakra">
    <w:name w:val="macro"/>
    <w:link w:val="TekstmakraZnak"/>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7D3701"/>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7D3701"/>
    <w:rPr>
      <w:rFonts w:ascii="Times New Roman" w:hAnsi="Times New Roman" w:cs="Times New Roman"/>
    </w:rPr>
  </w:style>
  <w:style w:type="paragraph" w:styleId="Wcicienormalne">
    <w:name w:val="Normal Indent"/>
    <w:basedOn w:val="Normalny"/>
    <w:uiPriority w:val="99"/>
    <w:semiHidden/>
    <w:rsid w:val="007D3701"/>
    <w:pPr>
      <w:ind w:left="720"/>
    </w:pPr>
  </w:style>
  <w:style w:type="paragraph" w:styleId="Nagweknotatki">
    <w:name w:val="Note Heading"/>
    <w:basedOn w:val="Normalny"/>
    <w:next w:val="Normalny"/>
    <w:link w:val="NagweknotatkiZnak"/>
    <w:uiPriority w:val="99"/>
    <w:semiHidden/>
    <w:rsid w:val="007D3701"/>
  </w:style>
  <w:style w:type="character" w:customStyle="1" w:styleId="NagweknotatkiZnak">
    <w:name w:val="Nagłówek notatki Znak"/>
    <w:basedOn w:val="Domylnaczcionkaakapitu"/>
    <w:link w:val="Nagweknotatki"/>
    <w:uiPriority w:val="99"/>
    <w:semiHidden/>
    <w:rsid w:val="007D3701"/>
    <w:rPr>
      <w:sz w:val="24"/>
      <w:szCs w:val="24"/>
      <w:lang w:val="pl-PL"/>
    </w:rPr>
  </w:style>
  <w:style w:type="character" w:styleId="Tekstzastpczy">
    <w:name w:val="Placeholder Text"/>
    <w:basedOn w:val="Domylnaczcionkaakapitu"/>
    <w:uiPriority w:val="99"/>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7D3701"/>
    <w:rPr>
      <w:rFonts w:ascii="Consolas" w:hAnsi="Consolas" w:cs="Consolas"/>
      <w:sz w:val="21"/>
      <w:szCs w:val="21"/>
      <w:lang w:val="pl-PL"/>
    </w:rPr>
  </w:style>
  <w:style w:type="paragraph" w:styleId="Zwrotgrzecznociowy">
    <w:name w:val="Salutation"/>
    <w:basedOn w:val="Normalny"/>
    <w:next w:val="Normalny"/>
    <w:link w:val="ZwrotgrzecznociowyZnak"/>
    <w:uiPriority w:val="99"/>
    <w:semiHidden/>
    <w:rsid w:val="007D3701"/>
  </w:style>
  <w:style w:type="character" w:customStyle="1" w:styleId="ZwrotgrzecznociowyZnak">
    <w:name w:val="Zwrot grzecznościowy Znak"/>
    <w:basedOn w:val="Domylnaczcionkaakapitu"/>
    <w:link w:val="Zwrotgrzecznociowy"/>
    <w:uiPriority w:val="99"/>
    <w:semiHidden/>
    <w:rsid w:val="007D3701"/>
    <w:rPr>
      <w:sz w:val="24"/>
      <w:szCs w:val="24"/>
      <w:lang w:val="pl-PL"/>
    </w:rPr>
  </w:style>
  <w:style w:type="paragraph" w:styleId="Podpis">
    <w:name w:val="Signature"/>
    <w:basedOn w:val="Normalny"/>
    <w:link w:val="PodpisZnak"/>
    <w:uiPriority w:val="99"/>
    <w:semiHidden/>
    <w:rsid w:val="007D3701"/>
    <w:pPr>
      <w:ind w:left="4252"/>
    </w:pPr>
  </w:style>
  <w:style w:type="character" w:customStyle="1" w:styleId="PodpisZnak">
    <w:name w:val="Podpis Znak"/>
    <w:basedOn w:val="Domylnaczcionkaakapitu"/>
    <w:link w:val="Podpis"/>
    <w:uiPriority w:val="99"/>
    <w:semiHidden/>
    <w:rsid w:val="007D3701"/>
    <w:rPr>
      <w:sz w:val="24"/>
      <w:szCs w:val="24"/>
      <w:lang w:val="pl-PL"/>
    </w:rPr>
  </w:style>
  <w:style w:type="table" w:styleId="Tabela-Efekty3D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D3701"/>
    <w:pPr>
      <w:ind w:left="240" w:hanging="240"/>
    </w:pPr>
  </w:style>
  <w:style w:type="paragraph" w:styleId="Spisilustracji">
    <w:name w:val="table of figures"/>
    <w:basedOn w:val="Normalny"/>
    <w:next w:val="Normalny"/>
    <w:uiPriority w:val="99"/>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7D3701"/>
    <w:pPr>
      <w:spacing w:after="100"/>
      <w:ind w:left="1680"/>
    </w:pPr>
  </w:style>
  <w:style w:type="paragraph" w:styleId="Spistreci9">
    <w:name w:val="toc 9"/>
    <w:basedOn w:val="Normalny"/>
    <w:next w:val="Normalny"/>
    <w:autoRedefine/>
    <w:uiPriority w:val="99"/>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pl-PL"/>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Ref_Ital"/>
    <w:basedOn w:val="Normalny"/>
    <w:next w:val="ECHRHeaderDate"/>
    <w:uiPriority w:val="38"/>
    <w:qFormat/>
    <w:rsid w:val="007D3701"/>
    <w:pPr>
      <w:jc w:val="right"/>
    </w:pPr>
    <w:rPr>
      <w:i/>
      <w:sz w:val="20"/>
    </w:rPr>
  </w:style>
  <w:style w:type="paragraph" w:customStyle="1" w:styleId="ECHRHeading9">
    <w:name w:val="ECHR_Heading_9"/>
    <w:aliases w:val="_Head_9"/>
    <w:basedOn w:val="Nagwek9"/>
    <w:next w:val="Normalny"/>
    <w:uiPriority w:val="19"/>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_Para Char"/>
    <w:link w:val="JuPara"/>
    <w:uiPriority w:val="8"/>
    <w:rsid w:val="00D37470"/>
    <w:rPr>
      <w:sz w:val="24"/>
      <w:szCs w:val="24"/>
      <w:lang w:val="pl-PL"/>
    </w:rPr>
  </w:style>
  <w:style w:type="paragraph" w:customStyle="1" w:styleId="JuHeaderLandscape">
    <w:name w:val="Ju_Header_Landscape"/>
    <w:aliases w:val="_Header_Landscape"/>
    <w:basedOn w:val="JuHeader"/>
    <w:uiPriority w:val="30"/>
    <w:qFormat/>
    <w:rsid w:val="00D37470"/>
    <w:pPr>
      <w:tabs>
        <w:tab w:val="center" w:pos="6146"/>
        <w:tab w:val="right" w:pos="12293"/>
      </w:tabs>
      <w:jc w:val="left"/>
    </w:pPr>
    <w:rPr>
      <w:szCs w:val="22"/>
    </w:rPr>
  </w:style>
  <w:style w:type="character" w:customStyle="1" w:styleId="JuNames0">
    <w:name w:val="Ju_Names"/>
    <w:rsid w:val="00D37470"/>
    <w:rPr>
      <w:smallCaps/>
    </w:rPr>
  </w:style>
  <w:style w:type="paragraph" w:customStyle="1" w:styleId="JuList4">
    <w:name w:val="Ju_List_4"/>
    <w:aliases w:val="N_Bul_4"/>
    <w:basedOn w:val="JuListi"/>
    <w:uiPriority w:val="19"/>
    <w:rsid w:val="00D37470"/>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styleId="Poprawka">
    <w:name w:val="Revision"/>
    <w:hidden/>
    <w:uiPriority w:val="99"/>
    <w:semiHidden/>
    <w:rsid w:val="00D37470"/>
    <w:rPr>
      <w:rFonts w:eastAsiaTheme="minorEastAsia"/>
      <w:sz w:val="24"/>
    </w:rPr>
  </w:style>
  <w:style w:type="paragraph" w:customStyle="1" w:styleId="jupara0">
    <w:name w:val="jupara"/>
    <w:basedOn w:val="Normalny"/>
    <w:rsid w:val="00F8458E"/>
    <w:pPr>
      <w:ind w:firstLine="284"/>
      <w:jc w:val="both"/>
    </w:pPr>
    <w:rPr>
      <w:rFonts w:ascii="Times New Roman" w:eastAsia="Times New Roman" w:hAnsi="Times New Roman" w:cs="Times New Roman"/>
      <w:lang w:eastAsia="en-GB"/>
    </w:rPr>
  </w:style>
  <w:style w:type="paragraph" w:customStyle="1" w:styleId="jucase0">
    <w:name w:val="jucase"/>
    <w:basedOn w:val="Normalny"/>
    <w:rsid w:val="00F8458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C32FA-B803-4DB9-AE88-7E9FFF967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6378</Words>
  <Characters>38268</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44557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2022-08-18T09:27:00Z</dcterms:created>
  <dcterms:modified xsi:type="dcterms:W3CDTF">2022-08-19T15:07:00Z</dcterms:modified>
  <cp:category/>
</cp:coreProperties>
</file>