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footer3.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docProps/custom.xml" ContentType="application/vnd.openxmlformats-officedocument.custom-properti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12A65" w:rsidP="00112A65" w:rsidRDefault="00112A65">
      <w:pPr>
        <w:jc w:val="center"/>
      </w:pPr>
      <w:bookmarkStart w:name="_GoBack" w:id="0"/>
      <w:bookmarkEnd w:id="0"/>
    </w:p>
    <w:p w:rsidRPr="00E85000" w:rsidR="00112A65" w:rsidP="00112A65" w:rsidRDefault="00112A65">
      <w:pPr>
        <w:jc w:val="center"/>
      </w:pPr>
    </w:p>
    <w:p w:rsidRPr="00E85000" w:rsidR="00112A65" w:rsidP="00112A65" w:rsidRDefault="00112A65">
      <w:pPr>
        <w:tabs>
          <w:tab w:val="left" w:pos="5529"/>
        </w:tabs>
        <w:jc w:val="center"/>
        <w:rPr>
          <w:lang w:val="fr-FR"/>
        </w:rPr>
      </w:pPr>
      <w:r w:rsidRPr="00E85000">
        <w:rPr>
          <w:lang w:val="fr-FR"/>
        </w:rPr>
        <w:t>QUATRIÈME SECTION</w:t>
      </w:r>
    </w:p>
    <w:p w:rsidRPr="00E85000" w:rsidR="00112A65" w:rsidP="00112A65" w:rsidRDefault="00112A65">
      <w:pPr>
        <w:jc w:val="center"/>
        <w:rPr>
          <w:lang w:val="fr-FR"/>
        </w:rPr>
      </w:pPr>
    </w:p>
    <w:p w:rsidRPr="00E85000" w:rsidR="00112A65" w:rsidP="00112A65" w:rsidRDefault="00112A65">
      <w:pPr>
        <w:jc w:val="center"/>
        <w:rPr>
          <w:lang w:val="fr-FR"/>
        </w:rPr>
      </w:pPr>
    </w:p>
    <w:p w:rsidRPr="00E85000" w:rsidR="00112A65" w:rsidP="00112A65" w:rsidRDefault="00112A65">
      <w:pPr>
        <w:jc w:val="center"/>
        <w:rPr>
          <w:lang w:val="fr-FR"/>
        </w:rPr>
      </w:pPr>
    </w:p>
    <w:p w:rsidRPr="00E85000" w:rsidR="00112A65" w:rsidP="00112A65" w:rsidRDefault="00112A65">
      <w:pPr>
        <w:jc w:val="center"/>
        <w:rPr>
          <w:lang w:val="fr-FR"/>
        </w:rPr>
      </w:pPr>
    </w:p>
    <w:p w:rsidRPr="00E85000" w:rsidR="00112A65" w:rsidP="00112A65" w:rsidRDefault="00112A65">
      <w:pPr>
        <w:jc w:val="center"/>
        <w:outlineLvl w:val="0"/>
        <w:rPr>
          <w:b/>
          <w:lang w:val="fr-FR"/>
        </w:rPr>
      </w:pPr>
      <w:r w:rsidRPr="00E85000">
        <w:rPr>
          <w:b/>
          <w:lang w:val="fr-FR"/>
        </w:rPr>
        <w:t>AFFAIRE BUTURUGĂ c. ROUMANIE</w:t>
      </w:r>
    </w:p>
    <w:p w:rsidRPr="00E85000" w:rsidR="00112A65" w:rsidP="00112A65" w:rsidRDefault="00112A65">
      <w:pPr>
        <w:jc w:val="center"/>
        <w:rPr>
          <w:lang w:val="fr-FR"/>
        </w:rPr>
      </w:pPr>
    </w:p>
    <w:p w:rsidRPr="00E85000" w:rsidR="00112A65" w:rsidP="00112A65" w:rsidRDefault="00112A65">
      <w:pPr>
        <w:jc w:val="center"/>
        <w:rPr>
          <w:i/>
          <w:lang w:val="fr-FR"/>
        </w:rPr>
      </w:pPr>
      <w:r w:rsidRPr="00E85000">
        <w:rPr>
          <w:i/>
          <w:lang w:val="fr-FR"/>
        </w:rPr>
        <w:t>(Requête n</w:t>
      </w:r>
      <w:r w:rsidRPr="00E85000">
        <w:rPr>
          <w:i/>
          <w:vertAlign w:val="superscript"/>
          <w:lang w:val="fr-FR"/>
        </w:rPr>
        <w:t>o</w:t>
      </w:r>
      <w:r w:rsidRPr="00E85000">
        <w:rPr>
          <w:i/>
          <w:lang w:val="fr-FR"/>
        </w:rPr>
        <w:t xml:space="preserve"> 56867/15)</w:t>
      </w:r>
    </w:p>
    <w:p w:rsidR="00112A65" w:rsidP="00112A65" w:rsidRDefault="00112A65">
      <w:pPr>
        <w:jc w:val="center"/>
        <w:rPr>
          <w:lang w:val="fr-FR"/>
        </w:rPr>
      </w:pPr>
    </w:p>
    <w:p w:rsidRPr="00E85000" w:rsidR="00112A65" w:rsidP="00112A65" w:rsidRDefault="00112A65">
      <w:pPr>
        <w:jc w:val="center"/>
        <w:rPr>
          <w:lang w:val="fr-FR"/>
        </w:rPr>
      </w:pPr>
    </w:p>
    <w:p w:rsidRPr="00E85000" w:rsidR="00112A65" w:rsidP="00112A65" w:rsidRDefault="00112A65">
      <w:pPr>
        <w:jc w:val="center"/>
        <w:rPr>
          <w:lang w:val="fr-FR"/>
        </w:rPr>
      </w:pPr>
    </w:p>
    <w:p w:rsidRPr="00E85000" w:rsidR="00112A65" w:rsidP="00112A65" w:rsidRDefault="00112A65">
      <w:pPr>
        <w:jc w:val="center"/>
        <w:rPr>
          <w:lang w:val="fr-FR"/>
        </w:rPr>
      </w:pPr>
    </w:p>
    <w:p w:rsidRPr="00E85000" w:rsidR="00112A65" w:rsidP="00112A65" w:rsidRDefault="00112A65">
      <w:pPr>
        <w:jc w:val="center"/>
        <w:outlineLvl w:val="0"/>
        <w:rPr>
          <w:lang w:val="fr-FR"/>
        </w:rPr>
      </w:pPr>
      <w:r w:rsidRPr="00E85000">
        <w:rPr>
          <w:lang w:val="fr-FR"/>
        </w:rPr>
        <w:t>ARRÊT</w:t>
      </w:r>
    </w:p>
    <w:p w:rsidRPr="00E85000" w:rsidR="00112A65" w:rsidP="00112A65" w:rsidRDefault="00112A65">
      <w:pPr>
        <w:jc w:val="center"/>
        <w:rPr>
          <w:i/>
          <w:lang w:val="fr-FR"/>
        </w:rPr>
      </w:pPr>
    </w:p>
    <w:p w:rsidRPr="00E85000" w:rsidR="00112A65" w:rsidP="00112A65" w:rsidRDefault="00112A65">
      <w:pPr>
        <w:jc w:val="center"/>
        <w:rPr>
          <w:lang w:val="fr-FR"/>
        </w:rPr>
      </w:pPr>
    </w:p>
    <w:p w:rsidRPr="00E85000" w:rsidR="00112A65" w:rsidP="00112A65" w:rsidRDefault="00112A65">
      <w:pPr>
        <w:pBdr>
          <w:top w:val="single" w:color="auto" w:sz="4" w:space="1"/>
          <w:left w:val="single" w:color="auto" w:sz="4" w:space="4"/>
          <w:bottom w:val="single" w:color="auto" w:sz="4" w:space="1"/>
          <w:right w:val="single" w:color="auto" w:sz="4" w:space="4"/>
        </w:pBdr>
        <w:rPr>
          <w:lang w:val="fr-FR"/>
        </w:rPr>
      </w:pPr>
      <w:r w:rsidRPr="00CA006C">
        <w:rPr>
          <w:lang w:val="fr-FR"/>
        </w:rPr>
        <w:t xml:space="preserve">Art 3 et Art 8• Obligations positives • Respect de la correspondance • Cyberviolence en tant que forme de violence domestique • Manquement des </w:t>
      </w:r>
      <w:proofErr w:type="gramStart"/>
      <w:r w:rsidRPr="00CA006C">
        <w:rPr>
          <w:lang w:val="fr-FR"/>
        </w:rPr>
        <w:t>autorités</w:t>
      </w:r>
      <w:proofErr w:type="gramEnd"/>
      <w:r w:rsidRPr="00CA006C">
        <w:rPr>
          <w:lang w:val="fr-FR"/>
        </w:rPr>
        <w:t xml:space="preserve"> à aborder l</w:t>
      </w:r>
      <w:r w:rsidR="0068586D">
        <w:rPr>
          <w:lang w:val="fr-FR"/>
        </w:rPr>
        <w:t>’</w:t>
      </w:r>
      <w:r w:rsidRPr="00CA006C">
        <w:rPr>
          <w:lang w:val="fr-FR"/>
        </w:rPr>
        <w:t>enquête pénale sous l</w:t>
      </w:r>
      <w:r w:rsidR="0068586D">
        <w:rPr>
          <w:lang w:val="fr-FR"/>
        </w:rPr>
        <w:t>’</w:t>
      </w:r>
      <w:r w:rsidRPr="00CA006C">
        <w:rPr>
          <w:lang w:val="fr-FR"/>
        </w:rPr>
        <w:t>angle de la violence conjugale • Absence d</w:t>
      </w:r>
      <w:r w:rsidR="0068586D">
        <w:rPr>
          <w:lang w:val="fr-FR"/>
        </w:rPr>
        <w:t>’</w:t>
      </w:r>
      <w:r w:rsidRPr="00CA006C">
        <w:rPr>
          <w:lang w:val="fr-FR"/>
        </w:rPr>
        <w:t>examen sur le fond de la plainte pour cyberviolence étroitement liée à la plainte pour violences conjugales • Nécessité d</w:t>
      </w:r>
      <w:r w:rsidR="0068586D">
        <w:rPr>
          <w:lang w:val="fr-FR"/>
        </w:rPr>
        <w:t>’</w:t>
      </w:r>
      <w:r w:rsidRPr="00CA006C">
        <w:rPr>
          <w:lang w:val="fr-FR"/>
        </w:rPr>
        <w:t>appréhender de manière globale le phénomène de violence conjugale dans toutes ses formes</w:t>
      </w:r>
    </w:p>
    <w:p w:rsidRPr="00E85000" w:rsidR="00112A65" w:rsidP="00112A65" w:rsidRDefault="00112A65">
      <w:pPr>
        <w:jc w:val="center"/>
        <w:rPr>
          <w:lang w:val="fr-FR"/>
        </w:rPr>
      </w:pPr>
    </w:p>
    <w:p w:rsidRPr="00E85000" w:rsidR="00112A65" w:rsidP="00112A65" w:rsidRDefault="00112A65">
      <w:pPr>
        <w:jc w:val="center"/>
        <w:rPr>
          <w:lang w:val="fr-FR"/>
        </w:rPr>
      </w:pPr>
    </w:p>
    <w:p w:rsidRPr="00E85000" w:rsidR="00112A65" w:rsidP="00112A65" w:rsidRDefault="00112A65">
      <w:pPr>
        <w:jc w:val="center"/>
        <w:outlineLvl w:val="0"/>
        <w:rPr>
          <w:lang w:val="fr-FR"/>
        </w:rPr>
      </w:pPr>
      <w:r w:rsidRPr="00E85000">
        <w:rPr>
          <w:lang w:val="fr-FR"/>
        </w:rPr>
        <w:t>STRASBOURG</w:t>
      </w:r>
    </w:p>
    <w:p w:rsidRPr="00E85000" w:rsidR="00112A65" w:rsidP="00112A65" w:rsidRDefault="00112A65">
      <w:pPr>
        <w:jc w:val="center"/>
        <w:rPr>
          <w:lang w:val="fr-FR"/>
        </w:rPr>
      </w:pPr>
    </w:p>
    <w:p w:rsidRPr="00E85000" w:rsidR="00112A65" w:rsidP="00112A65" w:rsidRDefault="00112A65">
      <w:pPr>
        <w:jc w:val="center"/>
        <w:rPr>
          <w:lang w:val="fr-FR"/>
        </w:rPr>
      </w:pPr>
      <w:r w:rsidRPr="00E85000">
        <w:rPr>
          <w:szCs w:val="24"/>
          <w:lang w:val="fr-FR"/>
        </w:rPr>
        <w:t>11 février 2020</w:t>
      </w:r>
    </w:p>
    <w:p w:rsidRPr="00E85000" w:rsidR="00112A65" w:rsidP="00112A65" w:rsidRDefault="00112A65">
      <w:pPr>
        <w:jc w:val="center"/>
        <w:rPr>
          <w:lang w:val="fr-FR"/>
        </w:rPr>
      </w:pPr>
    </w:p>
    <w:p w:rsidRPr="00E85000" w:rsidR="00112A65" w:rsidP="00112A65" w:rsidRDefault="00112A65">
      <w:pPr>
        <w:jc w:val="center"/>
        <w:rPr>
          <w:lang w:val="fr-FR"/>
        </w:rPr>
      </w:pPr>
    </w:p>
    <w:p w:rsidRPr="00E85000" w:rsidR="00112A65" w:rsidP="00112A65" w:rsidRDefault="00112A65">
      <w:pPr>
        <w:jc w:val="center"/>
        <w:rPr>
          <w:lang w:val="fr-FR"/>
        </w:rPr>
      </w:pPr>
    </w:p>
    <w:p w:rsidR="00112A65" w:rsidP="00112A65" w:rsidRDefault="00112A65">
      <w:pPr>
        <w:pStyle w:val="jucase0"/>
        <w:ind w:firstLine="0"/>
        <w:jc w:val="center"/>
        <w:rPr>
          <w:color w:val="FF0000"/>
          <w:sz w:val="28"/>
          <w:szCs w:val="28"/>
          <w:u w:val="single"/>
          <w:lang w:val="fr-FR"/>
        </w:rPr>
      </w:pPr>
      <w:r>
        <w:rPr>
          <w:color w:val="FF0000"/>
          <w:sz w:val="28"/>
          <w:szCs w:val="28"/>
          <w:u w:val="single"/>
          <w:lang w:val="fr-FR"/>
        </w:rPr>
        <w:t>DÉFINITIF</w:t>
      </w:r>
    </w:p>
    <w:p w:rsidR="00112A65" w:rsidP="00112A65" w:rsidRDefault="00112A65">
      <w:pPr>
        <w:pStyle w:val="jupara"/>
        <w:ind w:firstLine="0"/>
        <w:jc w:val="center"/>
        <w:rPr>
          <w:color w:val="FF0000"/>
          <w:sz w:val="28"/>
          <w:szCs w:val="28"/>
          <w:lang w:val="fr-FR"/>
        </w:rPr>
      </w:pPr>
    </w:p>
    <w:p w:rsidR="00112A65" w:rsidP="00112A65" w:rsidRDefault="00112A65">
      <w:pPr>
        <w:pStyle w:val="jupara"/>
        <w:ind w:firstLine="0"/>
        <w:jc w:val="center"/>
        <w:rPr>
          <w:color w:val="FF0000"/>
          <w:sz w:val="28"/>
          <w:szCs w:val="28"/>
          <w:lang w:val="fr-FR"/>
        </w:rPr>
      </w:pPr>
      <w:r>
        <w:rPr>
          <w:color w:val="FF0000"/>
          <w:sz w:val="28"/>
          <w:szCs w:val="28"/>
          <w:lang w:val="fr-FR"/>
        </w:rPr>
        <w:t>11/06/2020</w:t>
      </w:r>
    </w:p>
    <w:p w:rsidR="00112A65" w:rsidP="00112A65" w:rsidRDefault="00112A65">
      <w:pPr>
        <w:jc w:val="center"/>
        <w:rPr>
          <w:u w:val="single"/>
          <w:lang w:val="fr-FR"/>
        </w:rPr>
      </w:pPr>
    </w:p>
    <w:p w:rsidRPr="00B21A24" w:rsidR="00112A65" w:rsidP="00112A65" w:rsidRDefault="00112A65">
      <w:pPr>
        <w:jc w:val="center"/>
        <w:rPr>
          <w:u w:val="single"/>
          <w:lang w:val="fr-FR"/>
        </w:rPr>
      </w:pPr>
    </w:p>
    <w:p w:rsidR="00112A65" w:rsidP="00112A65" w:rsidRDefault="00112A65">
      <w:pPr>
        <w:jc w:val="center"/>
        <w:rPr>
          <w:lang w:val="fr-FR"/>
        </w:rPr>
      </w:pPr>
      <w:r w:rsidRPr="00CA006C">
        <w:rPr>
          <w:i/>
          <w:iCs/>
          <w:sz w:val="22"/>
          <w:lang w:val="fr-FR"/>
        </w:rPr>
        <w:t>Cet arrêt est devenu définitif en vertu de l</w:t>
      </w:r>
      <w:r w:rsidR="0068586D">
        <w:rPr>
          <w:i/>
          <w:iCs/>
          <w:sz w:val="22"/>
          <w:lang w:val="fr-FR"/>
        </w:rPr>
        <w:t>’</w:t>
      </w:r>
      <w:r w:rsidRPr="00CA006C">
        <w:rPr>
          <w:i/>
          <w:iCs/>
          <w:sz w:val="22"/>
          <w:lang w:val="fr-FR"/>
        </w:rPr>
        <w:t xml:space="preserve">article 44 § 2 de la Convention. </w:t>
      </w:r>
      <w:r w:rsidRPr="00E23176">
        <w:rPr>
          <w:i/>
          <w:iCs/>
          <w:sz w:val="22"/>
          <w:lang w:val="fr-FR"/>
        </w:rPr>
        <w:t>Il peut subir des retouches de forme.</w:t>
      </w:r>
    </w:p>
    <w:p w:rsidRPr="00E85000" w:rsidR="00112A65" w:rsidP="00112A65" w:rsidRDefault="00112A65">
      <w:pPr>
        <w:jc w:val="center"/>
        <w:rPr>
          <w:lang w:val="fr-FR"/>
        </w:rPr>
        <w:sectPr w:rsidRPr="00E85000" w:rsidR="00112A65">
          <w:headerReference w:type="default" r:id="rId8"/>
          <w:footerReference w:type="default" r:id="rId9"/>
          <w:headerReference w:type="first" r:id="rId10"/>
          <w:footnotePr>
            <w:numRestart w:val="eachSect"/>
          </w:footnotePr>
          <w:pgSz w:w="11906" w:h="16838" w:code="9"/>
          <w:pgMar w:top="2274" w:right="2274" w:bottom="2274" w:left="2274" w:header="1701" w:footer="720" w:gutter="0"/>
          <w:pgNumType w:start="1"/>
          <w:cols w:space="720"/>
          <w:noEndnote/>
        </w:sectPr>
      </w:pPr>
    </w:p>
    <w:p w:rsidRPr="00E85000" w:rsidR="00112A65" w:rsidP="00112A65" w:rsidRDefault="00112A65">
      <w:pPr>
        <w:pStyle w:val="JuCase"/>
        <w:rPr>
          <w:lang w:val="fr-FR"/>
        </w:rPr>
      </w:pPr>
      <w:r w:rsidRPr="00E85000">
        <w:rPr>
          <w:lang w:val="fr-FR"/>
        </w:rPr>
        <w:t>En l</w:t>
      </w:r>
      <w:r w:rsidR="0068586D">
        <w:rPr>
          <w:lang w:val="fr-FR"/>
        </w:rPr>
        <w:t>’</w:t>
      </w:r>
      <w:r w:rsidRPr="00E85000">
        <w:rPr>
          <w:lang w:val="fr-FR"/>
        </w:rPr>
        <w:t xml:space="preserve">affaire </w:t>
      </w:r>
      <w:proofErr w:type="spellStart"/>
      <w:r w:rsidRPr="00E85000">
        <w:rPr>
          <w:lang w:val="fr-FR"/>
        </w:rPr>
        <w:t>Buturugă</w:t>
      </w:r>
      <w:proofErr w:type="spellEnd"/>
      <w:r w:rsidRPr="00E85000">
        <w:rPr>
          <w:lang w:val="fr-FR"/>
        </w:rPr>
        <w:t xml:space="preserve"> c. Roumanie,</w:t>
      </w:r>
    </w:p>
    <w:p w:rsidRPr="00E85000" w:rsidR="00112A65" w:rsidP="00112A65" w:rsidRDefault="00112A65">
      <w:pPr>
        <w:pStyle w:val="ECHRPara"/>
        <w:rPr>
          <w:lang w:val="fr-FR"/>
        </w:rPr>
      </w:pPr>
      <w:r w:rsidRPr="00E85000">
        <w:rPr>
          <w:lang w:val="fr-FR"/>
        </w:rPr>
        <w:t>La Cour européenne des droits de l</w:t>
      </w:r>
      <w:r w:rsidR="0068586D">
        <w:rPr>
          <w:lang w:val="fr-FR"/>
        </w:rPr>
        <w:t>’</w:t>
      </w:r>
      <w:r w:rsidRPr="00E85000">
        <w:rPr>
          <w:lang w:val="fr-FR"/>
        </w:rPr>
        <w:t xml:space="preserve">homme (quatrième section), siégeant en </w:t>
      </w:r>
      <w:r w:rsidRPr="00E85000">
        <w:rPr>
          <w:color w:val="000000"/>
          <w:lang w:val="fr-FR"/>
        </w:rPr>
        <w:t>une</w:t>
      </w:r>
      <w:r w:rsidRPr="00E85000">
        <w:rPr>
          <w:lang w:val="fr-FR"/>
        </w:rPr>
        <w:t xml:space="preserve"> Chambre composée de :</w:t>
      </w:r>
    </w:p>
    <w:p w:rsidRPr="00E85000" w:rsidR="00112A65" w:rsidP="00112A65" w:rsidRDefault="00112A65">
      <w:pPr>
        <w:pStyle w:val="ECHRDecisionBody"/>
        <w:rPr>
          <w:lang w:val="fr-FR"/>
        </w:rPr>
      </w:pPr>
      <w:r w:rsidRPr="00E85000">
        <w:rPr>
          <w:lang w:val="fr-FR"/>
        </w:rPr>
        <w:tab/>
        <w:t xml:space="preserve">Jon </w:t>
      </w:r>
      <w:proofErr w:type="spellStart"/>
      <w:r w:rsidRPr="00E85000">
        <w:rPr>
          <w:lang w:val="fr-FR"/>
        </w:rPr>
        <w:t>Fridrik</w:t>
      </w:r>
      <w:proofErr w:type="spellEnd"/>
      <w:r w:rsidRPr="00E85000">
        <w:rPr>
          <w:lang w:val="fr-FR"/>
        </w:rPr>
        <w:t xml:space="preserve"> </w:t>
      </w:r>
      <w:proofErr w:type="spellStart"/>
      <w:r w:rsidRPr="00E85000">
        <w:rPr>
          <w:lang w:val="fr-FR"/>
        </w:rPr>
        <w:t>Kjølbro</w:t>
      </w:r>
      <w:proofErr w:type="spellEnd"/>
      <w:r w:rsidRPr="00E85000">
        <w:rPr>
          <w:lang w:val="fr-FR"/>
        </w:rPr>
        <w:t>,</w:t>
      </w:r>
      <w:r w:rsidRPr="00E85000">
        <w:rPr>
          <w:i/>
          <w:lang w:val="fr-FR"/>
        </w:rPr>
        <w:t xml:space="preserve"> président,</w:t>
      </w:r>
      <w:r w:rsidRPr="00E85000">
        <w:rPr>
          <w:i/>
          <w:lang w:val="fr-FR"/>
        </w:rPr>
        <w:br/>
      </w:r>
      <w:r w:rsidRPr="00E85000">
        <w:rPr>
          <w:lang w:val="fr-FR"/>
        </w:rPr>
        <w:tab/>
        <w:t xml:space="preserve">Faris </w:t>
      </w:r>
      <w:proofErr w:type="spellStart"/>
      <w:r w:rsidRPr="00E85000">
        <w:rPr>
          <w:lang w:val="fr-FR"/>
        </w:rPr>
        <w:t>Vehabović</w:t>
      </w:r>
      <w:proofErr w:type="spellEnd"/>
      <w:r w:rsidRPr="00E85000">
        <w:rPr>
          <w:lang w:val="fr-FR"/>
        </w:rPr>
        <w:t>,</w:t>
      </w:r>
      <w:r w:rsidRPr="00E85000">
        <w:rPr>
          <w:i/>
          <w:lang w:val="fr-FR"/>
        </w:rPr>
        <w:br/>
      </w:r>
      <w:r w:rsidRPr="00E85000">
        <w:rPr>
          <w:lang w:val="fr-FR"/>
        </w:rPr>
        <w:tab/>
        <w:t xml:space="preserve">Iulia </w:t>
      </w:r>
      <w:proofErr w:type="spellStart"/>
      <w:r w:rsidRPr="00E85000">
        <w:rPr>
          <w:lang w:val="fr-FR"/>
        </w:rPr>
        <w:t>Antoanella</w:t>
      </w:r>
      <w:proofErr w:type="spellEnd"/>
      <w:r w:rsidRPr="00E85000">
        <w:rPr>
          <w:lang w:val="fr-FR"/>
        </w:rPr>
        <w:t xml:space="preserve"> Motoc,</w:t>
      </w:r>
      <w:r w:rsidRPr="00E85000">
        <w:rPr>
          <w:i/>
          <w:lang w:val="fr-FR"/>
        </w:rPr>
        <w:br/>
      </w:r>
      <w:r w:rsidRPr="00E85000">
        <w:rPr>
          <w:lang w:val="fr-FR"/>
        </w:rPr>
        <w:tab/>
        <w:t xml:space="preserve">Branko </w:t>
      </w:r>
      <w:proofErr w:type="spellStart"/>
      <w:r w:rsidRPr="00E85000">
        <w:rPr>
          <w:lang w:val="fr-FR"/>
        </w:rPr>
        <w:t>Lubarda</w:t>
      </w:r>
      <w:proofErr w:type="spellEnd"/>
      <w:r w:rsidRPr="00E85000">
        <w:rPr>
          <w:lang w:val="fr-FR"/>
        </w:rPr>
        <w:t>,</w:t>
      </w:r>
      <w:r w:rsidRPr="00E85000">
        <w:rPr>
          <w:i/>
          <w:lang w:val="fr-FR"/>
        </w:rPr>
        <w:br/>
      </w:r>
      <w:r w:rsidRPr="00E85000">
        <w:rPr>
          <w:lang w:val="fr-FR"/>
        </w:rPr>
        <w:tab/>
        <w:t>Carlo Ranzoni,</w:t>
      </w:r>
      <w:r w:rsidRPr="00E85000">
        <w:rPr>
          <w:i/>
          <w:lang w:val="fr-FR"/>
        </w:rPr>
        <w:br/>
      </w:r>
      <w:r w:rsidRPr="00E85000">
        <w:rPr>
          <w:lang w:val="fr-FR"/>
        </w:rPr>
        <w:tab/>
        <w:t xml:space="preserve">Georges </w:t>
      </w:r>
      <w:proofErr w:type="spellStart"/>
      <w:r w:rsidRPr="00E85000">
        <w:rPr>
          <w:lang w:val="fr-FR"/>
        </w:rPr>
        <w:t>Ravarani</w:t>
      </w:r>
      <w:proofErr w:type="spellEnd"/>
      <w:r w:rsidRPr="00E85000">
        <w:rPr>
          <w:lang w:val="fr-FR"/>
        </w:rPr>
        <w:t>,</w:t>
      </w:r>
      <w:r w:rsidRPr="00E85000">
        <w:rPr>
          <w:i/>
          <w:lang w:val="fr-FR"/>
        </w:rPr>
        <w:br/>
      </w:r>
      <w:r w:rsidRPr="00E85000">
        <w:rPr>
          <w:lang w:val="fr-FR"/>
        </w:rPr>
        <w:tab/>
        <w:t>Jolien Schukking,</w:t>
      </w:r>
      <w:r w:rsidRPr="00E85000">
        <w:rPr>
          <w:i/>
          <w:lang w:val="fr-FR"/>
        </w:rPr>
        <w:t xml:space="preserve"> juges,</w:t>
      </w:r>
      <w:r w:rsidRPr="00E85000">
        <w:rPr>
          <w:lang w:val="fr-FR"/>
        </w:rPr>
        <w:br/>
        <w:t xml:space="preserve">et de Andrea Tamietti, </w:t>
      </w:r>
      <w:proofErr w:type="spellStart"/>
      <w:r w:rsidRPr="00E85000">
        <w:rPr>
          <w:i/>
          <w:lang w:val="fr-FR"/>
        </w:rPr>
        <w:t>grefier</w:t>
      </w:r>
      <w:proofErr w:type="spellEnd"/>
      <w:r w:rsidRPr="00E85000">
        <w:rPr>
          <w:i/>
          <w:iCs/>
          <w:lang w:val="fr-FR"/>
        </w:rPr>
        <w:t xml:space="preserve"> adjoint d</w:t>
      </w:r>
      <w:r w:rsidRPr="00E85000">
        <w:rPr>
          <w:i/>
          <w:lang w:val="fr-FR"/>
        </w:rPr>
        <w:t>e section</w:t>
      </w:r>
      <w:r w:rsidRPr="00E85000">
        <w:rPr>
          <w:lang w:val="fr-FR"/>
        </w:rPr>
        <w:t>,</w:t>
      </w:r>
    </w:p>
    <w:p w:rsidRPr="00E85000" w:rsidR="00112A65" w:rsidP="00112A65" w:rsidRDefault="00112A65">
      <w:pPr>
        <w:pStyle w:val="ECHRPara"/>
        <w:rPr>
          <w:lang w:val="fr-FR"/>
        </w:rPr>
      </w:pPr>
      <w:bookmarkStart w:name="ITMARKHavingStart" w:id="1"/>
      <w:bookmarkEnd w:id="1"/>
      <w:r w:rsidRPr="00E85000">
        <w:rPr>
          <w:lang w:val="fr-FR"/>
        </w:rPr>
        <w:t xml:space="preserve">Après en avoir délibéré en chambre du conseil le 19 novembre 2019 et le </w:t>
      </w:r>
      <w:r w:rsidRPr="00E85000">
        <w:rPr>
          <w:szCs w:val="24"/>
          <w:lang w:val="fr-FR"/>
        </w:rPr>
        <w:t>14 janvier 2020</w:t>
      </w:r>
      <w:r w:rsidRPr="00E85000">
        <w:rPr>
          <w:lang w:val="fr-FR"/>
        </w:rPr>
        <w:t>,</w:t>
      </w:r>
    </w:p>
    <w:p w:rsidRPr="00E85000" w:rsidR="00112A65" w:rsidP="00112A65" w:rsidRDefault="00112A65">
      <w:pPr>
        <w:pStyle w:val="ECHRPara"/>
        <w:rPr>
          <w:lang w:val="fr-FR"/>
        </w:rPr>
      </w:pPr>
      <w:r w:rsidRPr="00E85000">
        <w:rPr>
          <w:lang w:val="fr-FR"/>
        </w:rPr>
        <w:t>Rend l</w:t>
      </w:r>
      <w:r w:rsidR="0068586D">
        <w:rPr>
          <w:lang w:val="fr-FR"/>
        </w:rPr>
        <w:t>’</w:t>
      </w:r>
      <w:r w:rsidRPr="00E85000">
        <w:rPr>
          <w:lang w:val="fr-FR"/>
        </w:rPr>
        <w:t>arrêt que voici, adopté à cette dernière date :</w:t>
      </w:r>
    </w:p>
    <w:p w:rsidRPr="00E85000" w:rsidR="00112A65" w:rsidP="00112A65" w:rsidRDefault="00112A65">
      <w:pPr>
        <w:pStyle w:val="ECHRTitle1"/>
        <w:rPr>
          <w:lang w:val="fr-FR"/>
        </w:rPr>
      </w:pPr>
      <w:r w:rsidRPr="00E85000">
        <w:rPr>
          <w:lang w:val="fr-FR"/>
        </w:rPr>
        <w:t>PROCÉDURE</w:t>
      </w:r>
    </w:p>
    <w:p w:rsidRPr="00E85000" w:rsidR="00112A65" w:rsidP="00112A65" w:rsidRDefault="00112A65">
      <w:pPr>
        <w:pStyle w:val="ECHRPara"/>
        <w:rPr>
          <w:lang w:val="fr-FR"/>
        </w:rPr>
      </w:pPr>
      <w:r w:rsidRPr="00E85000">
        <w:rPr>
          <w:lang w:val="fr-FR"/>
        </w:rPr>
        <w:fldChar w:fldCharType="begin"/>
      </w:r>
      <w:r w:rsidRPr="00E85000">
        <w:rPr>
          <w:lang w:val="fr-FR"/>
        </w:rPr>
        <w:instrText xml:space="preserve"> SEQ level0 \*arabic </w:instrText>
      </w:r>
      <w:r w:rsidRPr="00E85000">
        <w:rPr>
          <w:lang w:val="fr-FR"/>
        </w:rPr>
        <w:fldChar w:fldCharType="separate"/>
      </w:r>
      <w:r w:rsidRPr="00E85000">
        <w:rPr>
          <w:noProof/>
          <w:lang w:val="fr-FR"/>
        </w:rPr>
        <w:t>1</w:t>
      </w:r>
      <w:r w:rsidRPr="00E85000">
        <w:rPr>
          <w:lang w:val="fr-FR"/>
        </w:rPr>
        <w:fldChar w:fldCharType="end"/>
      </w:r>
      <w:r w:rsidRPr="00E85000">
        <w:rPr>
          <w:lang w:val="fr-FR"/>
        </w:rPr>
        <w:t>.  À l</w:t>
      </w:r>
      <w:r w:rsidR="0068586D">
        <w:rPr>
          <w:lang w:val="fr-FR"/>
        </w:rPr>
        <w:t>’</w:t>
      </w:r>
      <w:r w:rsidRPr="00E85000">
        <w:rPr>
          <w:lang w:val="fr-FR"/>
        </w:rPr>
        <w:t>origine de l</w:t>
      </w:r>
      <w:r w:rsidR="0068586D">
        <w:rPr>
          <w:lang w:val="fr-FR"/>
        </w:rPr>
        <w:t>’</w:t>
      </w:r>
      <w:r w:rsidRPr="00E85000">
        <w:rPr>
          <w:lang w:val="fr-FR"/>
        </w:rPr>
        <w:t>affaire se trouve une requête (n</w:t>
      </w:r>
      <w:r w:rsidRPr="00E85000">
        <w:rPr>
          <w:vertAlign w:val="superscript"/>
          <w:lang w:val="fr-FR"/>
        </w:rPr>
        <w:t>o</w:t>
      </w:r>
      <w:r w:rsidRPr="00E85000">
        <w:rPr>
          <w:lang w:val="fr-FR"/>
        </w:rPr>
        <w:t xml:space="preserve"> 56867/15) dirigée contre la Roumanie et dont une ressortissante de cet État, M</w:t>
      </w:r>
      <w:r w:rsidRPr="00E85000">
        <w:rPr>
          <w:vertAlign w:val="superscript"/>
          <w:lang w:val="fr-FR"/>
        </w:rPr>
        <w:t>me</w:t>
      </w:r>
      <w:r w:rsidRPr="00E85000">
        <w:rPr>
          <w:lang w:val="fr-FR"/>
        </w:rPr>
        <w:t xml:space="preserve"> Gina-Aurelia </w:t>
      </w:r>
      <w:proofErr w:type="spellStart"/>
      <w:r w:rsidRPr="00E85000">
        <w:rPr>
          <w:lang w:val="fr-FR"/>
        </w:rPr>
        <w:t>Buturugă</w:t>
      </w:r>
      <w:proofErr w:type="spellEnd"/>
      <w:r w:rsidRPr="00E85000">
        <w:rPr>
          <w:lang w:val="fr-FR"/>
        </w:rPr>
        <w:t xml:space="preserve"> (« la requérante »), a saisi la Cour le 11 novembre 2015 en vertu de l</w:t>
      </w:r>
      <w:r w:rsidR="0068586D">
        <w:rPr>
          <w:lang w:val="fr-FR"/>
        </w:rPr>
        <w:t>’</w:t>
      </w:r>
      <w:r w:rsidRPr="00E85000">
        <w:rPr>
          <w:lang w:val="fr-FR"/>
        </w:rPr>
        <w:t>article 34 de la Convention de sauvegarde des droits de l</w:t>
      </w:r>
      <w:r w:rsidR="0068586D">
        <w:rPr>
          <w:lang w:val="fr-FR"/>
        </w:rPr>
        <w:t>’</w:t>
      </w:r>
      <w:r w:rsidRPr="00E85000">
        <w:rPr>
          <w:lang w:val="fr-FR"/>
        </w:rPr>
        <w:t>homme et des libertés fondamentales (« la Convention »).</w:t>
      </w:r>
    </w:p>
    <w:p w:rsidRPr="00E85000" w:rsidR="00112A65" w:rsidP="00112A65" w:rsidRDefault="00112A65">
      <w:pPr>
        <w:pStyle w:val="ECHRPara"/>
        <w:rPr>
          <w:lang w:val="fr-FR"/>
        </w:rPr>
      </w:pPr>
      <w:r w:rsidRPr="00E85000">
        <w:rPr>
          <w:lang w:val="fr-FR"/>
        </w:rPr>
        <w:fldChar w:fldCharType="begin"/>
      </w:r>
      <w:r w:rsidRPr="00E85000">
        <w:rPr>
          <w:lang w:val="fr-FR"/>
        </w:rPr>
        <w:instrText xml:space="preserve"> SEQ level0 \*arabic </w:instrText>
      </w:r>
      <w:r w:rsidRPr="00E85000">
        <w:rPr>
          <w:lang w:val="fr-FR"/>
        </w:rPr>
        <w:fldChar w:fldCharType="separate"/>
      </w:r>
      <w:r w:rsidRPr="00E85000">
        <w:rPr>
          <w:noProof/>
          <w:lang w:val="fr-FR"/>
        </w:rPr>
        <w:t>2</w:t>
      </w:r>
      <w:r w:rsidRPr="00E85000">
        <w:rPr>
          <w:lang w:val="fr-FR"/>
        </w:rPr>
        <w:fldChar w:fldCharType="end"/>
      </w:r>
      <w:r w:rsidRPr="00E85000">
        <w:rPr>
          <w:lang w:val="fr-FR"/>
        </w:rPr>
        <w:t>.  La requérante a été représentée par M</w:t>
      </w:r>
      <w:r w:rsidRPr="00E85000">
        <w:rPr>
          <w:vertAlign w:val="superscript"/>
          <w:lang w:val="fr-FR"/>
        </w:rPr>
        <w:t>e</w:t>
      </w:r>
      <w:r w:rsidRPr="00E85000">
        <w:rPr>
          <w:lang w:val="fr-FR"/>
        </w:rPr>
        <w:t xml:space="preserve"> L. </w:t>
      </w:r>
      <w:proofErr w:type="spellStart"/>
      <w:r w:rsidRPr="00E85000">
        <w:rPr>
          <w:lang w:val="fr-FR"/>
        </w:rPr>
        <w:t>Cojocaru</w:t>
      </w:r>
      <w:proofErr w:type="spellEnd"/>
      <w:r w:rsidRPr="00E85000">
        <w:rPr>
          <w:lang w:val="fr-FR"/>
        </w:rPr>
        <w:t>, avocate à Tulcea. Le gouvernement roumain (« le Gouvernement ») a été représenté par son agente, M</w:t>
      </w:r>
      <w:r w:rsidRPr="00E85000">
        <w:rPr>
          <w:vertAlign w:val="superscript"/>
          <w:lang w:val="fr-FR"/>
        </w:rPr>
        <w:t>me</w:t>
      </w:r>
      <w:r w:rsidRPr="00E85000">
        <w:rPr>
          <w:lang w:val="fr-FR"/>
        </w:rPr>
        <w:t xml:space="preserve"> C. </w:t>
      </w:r>
      <w:proofErr w:type="spellStart"/>
      <w:r w:rsidRPr="00E85000">
        <w:rPr>
          <w:lang w:val="fr-FR"/>
        </w:rPr>
        <w:t>Brumar</w:t>
      </w:r>
      <w:proofErr w:type="spellEnd"/>
      <w:r w:rsidRPr="00E85000">
        <w:rPr>
          <w:lang w:val="fr-FR"/>
        </w:rPr>
        <w:t>, du ministère des Affaires étrangères.</w:t>
      </w:r>
    </w:p>
    <w:p w:rsidRPr="00E85000" w:rsidR="00112A65" w:rsidP="00112A65" w:rsidRDefault="00112A65">
      <w:pPr>
        <w:pStyle w:val="ECHRPara"/>
        <w:rPr>
          <w:lang w:val="fr-FR"/>
        </w:rPr>
      </w:pPr>
      <w:r w:rsidRPr="00E85000">
        <w:rPr>
          <w:lang w:val="fr-FR"/>
        </w:rPr>
        <w:fldChar w:fldCharType="begin"/>
      </w:r>
      <w:r w:rsidRPr="00E85000">
        <w:rPr>
          <w:lang w:val="fr-FR"/>
        </w:rPr>
        <w:instrText xml:space="preserve"> SEQ level0 \*arabic </w:instrText>
      </w:r>
      <w:r w:rsidRPr="00E85000">
        <w:rPr>
          <w:lang w:val="fr-FR"/>
        </w:rPr>
        <w:fldChar w:fldCharType="separate"/>
      </w:r>
      <w:r w:rsidRPr="00E85000">
        <w:rPr>
          <w:noProof/>
          <w:lang w:val="fr-FR"/>
        </w:rPr>
        <w:t>3</w:t>
      </w:r>
      <w:r w:rsidRPr="00E85000">
        <w:rPr>
          <w:lang w:val="fr-FR"/>
        </w:rPr>
        <w:fldChar w:fldCharType="end"/>
      </w:r>
      <w:r w:rsidRPr="00E85000">
        <w:rPr>
          <w:lang w:val="fr-FR"/>
        </w:rPr>
        <w:t>.  La requérante alléguait avoir été victime de violence domestique et critiquait l</w:t>
      </w:r>
      <w:r w:rsidR="0068586D">
        <w:rPr>
          <w:lang w:val="fr-FR"/>
        </w:rPr>
        <w:t>’</w:t>
      </w:r>
      <w:r w:rsidRPr="00E85000">
        <w:rPr>
          <w:lang w:val="fr-FR"/>
        </w:rPr>
        <w:t>absence d</w:t>
      </w:r>
      <w:r w:rsidR="0068586D">
        <w:rPr>
          <w:lang w:val="fr-FR"/>
        </w:rPr>
        <w:t>’</w:t>
      </w:r>
      <w:r w:rsidRPr="00E85000">
        <w:rPr>
          <w:lang w:val="fr-FR"/>
        </w:rPr>
        <w:t>action de la part des autorités de l</w:t>
      </w:r>
      <w:r w:rsidR="0068586D">
        <w:rPr>
          <w:lang w:val="fr-FR"/>
        </w:rPr>
        <w:t>’</w:t>
      </w:r>
      <w:r w:rsidRPr="00E85000">
        <w:rPr>
          <w:lang w:val="fr-FR"/>
        </w:rPr>
        <w:t>État.</w:t>
      </w:r>
    </w:p>
    <w:p w:rsidRPr="00E85000" w:rsidR="00112A65" w:rsidP="00112A65" w:rsidRDefault="00112A65">
      <w:pPr>
        <w:pStyle w:val="ECHRPara"/>
        <w:rPr>
          <w:szCs w:val="24"/>
          <w:lang w:val="fr-FR" w:eastAsia="en-GB"/>
        </w:rPr>
      </w:pPr>
      <w:r w:rsidRPr="00E85000">
        <w:rPr>
          <w:lang w:val="fr-FR"/>
        </w:rPr>
        <w:fldChar w:fldCharType="begin"/>
      </w:r>
      <w:r w:rsidRPr="00E85000">
        <w:rPr>
          <w:lang w:val="fr-FR"/>
        </w:rPr>
        <w:instrText xml:space="preserve"> SEQ level0 \*arabic </w:instrText>
      </w:r>
      <w:r w:rsidRPr="00E85000">
        <w:rPr>
          <w:lang w:val="fr-FR"/>
        </w:rPr>
        <w:fldChar w:fldCharType="separate"/>
      </w:r>
      <w:r w:rsidRPr="00E85000">
        <w:rPr>
          <w:noProof/>
          <w:lang w:val="fr-FR"/>
        </w:rPr>
        <w:t>4</w:t>
      </w:r>
      <w:r w:rsidRPr="00E85000">
        <w:rPr>
          <w:lang w:val="fr-FR"/>
        </w:rPr>
        <w:fldChar w:fldCharType="end"/>
      </w:r>
      <w:r w:rsidRPr="00E85000">
        <w:rPr>
          <w:lang w:val="fr-FR"/>
        </w:rPr>
        <w:t xml:space="preserve">.  Le </w:t>
      </w:r>
      <w:r w:rsidRPr="00E85000">
        <w:rPr>
          <w:szCs w:val="24"/>
          <w:lang w:val="fr-FR"/>
        </w:rPr>
        <w:t>29 mars 2017</w:t>
      </w:r>
      <w:r w:rsidRPr="00E85000">
        <w:rPr>
          <w:lang w:val="fr-FR"/>
        </w:rPr>
        <w:t>, la requête a été communiquée au Gouvernement.</w:t>
      </w:r>
    </w:p>
    <w:p w:rsidRPr="00E85000" w:rsidR="00112A65" w:rsidP="00112A65" w:rsidRDefault="00112A65">
      <w:pPr>
        <w:pStyle w:val="ECHRTitle1"/>
        <w:tabs>
          <w:tab w:val="left" w:pos="5387"/>
        </w:tabs>
        <w:rPr>
          <w:lang w:val="fr-FR"/>
        </w:rPr>
      </w:pPr>
      <w:r w:rsidRPr="00E85000">
        <w:rPr>
          <w:lang w:val="fr-FR"/>
        </w:rPr>
        <w:t>EN FAIT</w:t>
      </w:r>
    </w:p>
    <w:p w:rsidRPr="00E85000" w:rsidR="00112A65" w:rsidP="00112A65" w:rsidRDefault="00112A65">
      <w:pPr>
        <w:pStyle w:val="ECHRHeading1"/>
        <w:rPr>
          <w:lang w:val="fr-FR"/>
        </w:rPr>
      </w:pPr>
      <w:r w:rsidRPr="00E85000">
        <w:rPr>
          <w:lang w:val="fr-FR"/>
        </w:rPr>
        <w:t>I.  LES CIRCONSTANCES DE L</w:t>
      </w:r>
      <w:r w:rsidR="0068586D">
        <w:rPr>
          <w:lang w:val="fr-FR"/>
        </w:rPr>
        <w:t>’</w:t>
      </w:r>
      <w:r w:rsidRPr="00E85000">
        <w:rPr>
          <w:lang w:val="fr-FR"/>
        </w:rPr>
        <w:t>ESPÈCE</w:t>
      </w:r>
    </w:p>
    <w:p w:rsidRPr="00E85000" w:rsidR="00112A65" w:rsidP="00112A65" w:rsidRDefault="00112A65">
      <w:pPr>
        <w:pStyle w:val="ECHRPara"/>
        <w:rPr>
          <w:lang w:val="fr-FR"/>
        </w:rPr>
      </w:pPr>
      <w:r w:rsidRPr="00E85000">
        <w:rPr>
          <w:lang w:val="fr-FR"/>
        </w:rPr>
        <w:fldChar w:fldCharType="begin"/>
      </w:r>
      <w:r w:rsidRPr="00E85000">
        <w:rPr>
          <w:lang w:val="fr-FR"/>
        </w:rPr>
        <w:instrText xml:space="preserve"> SEQ level0 \*arabic </w:instrText>
      </w:r>
      <w:r w:rsidRPr="00E85000">
        <w:rPr>
          <w:lang w:val="fr-FR"/>
        </w:rPr>
        <w:fldChar w:fldCharType="separate"/>
      </w:r>
      <w:r w:rsidRPr="00E85000">
        <w:rPr>
          <w:noProof/>
          <w:lang w:val="fr-FR"/>
        </w:rPr>
        <w:t>5</w:t>
      </w:r>
      <w:r w:rsidRPr="00E85000">
        <w:rPr>
          <w:lang w:val="fr-FR"/>
        </w:rPr>
        <w:fldChar w:fldCharType="end"/>
      </w:r>
      <w:r w:rsidRPr="00E85000">
        <w:rPr>
          <w:lang w:val="fr-FR"/>
        </w:rPr>
        <w:t>.  La requérante est née en 1970 et réside à Tulcea.</w:t>
      </w:r>
    </w:p>
    <w:p w:rsidRPr="00E85000" w:rsidR="00112A65" w:rsidP="00112A65" w:rsidRDefault="00112A65">
      <w:pPr>
        <w:pStyle w:val="ECHRPara"/>
        <w:rPr>
          <w:lang w:val="fr-FR"/>
        </w:rPr>
      </w:pPr>
      <w:r w:rsidRPr="00E85000">
        <w:rPr>
          <w:lang w:val="fr-FR"/>
        </w:rPr>
        <w:fldChar w:fldCharType="begin"/>
      </w:r>
      <w:r w:rsidRPr="00E85000">
        <w:rPr>
          <w:lang w:val="fr-FR"/>
        </w:rPr>
        <w:instrText xml:space="preserve"> SEQ level0 \*arabic </w:instrText>
      </w:r>
      <w:r w:rsidRPr="00E85000">
        <w:rPr>
          <w:lang w:val="fr-FR"/>
        </w:rPr>
        <w:fldChar w:fldCharType="separate"/>
      </w:r>
      <w:r w:rsidRPr="00E85000">
        <w:rPr>
          <w:noProof/>
          <w:lang w:val="fr-FR"/>
        </w:rPr>
        <w:t>6</w:t>
      </w:r>
      <w:r w:rsidRPr="00E85000">
        <w:rPr>
          <w:lang w:val="fr-FR"/>
        </w:rPr>
        <w:fldChar w:fldCharType="end"/>
      </w:r>
      <w:r w:rsidRPr="00E85000">
        <w:rPr>
          <w:lang w:val="fr-FR"/>
        </w:rPr>
        <w:t>.  Elle se plaint d</w:t>
      </w:r>
      <w:r w:rsidR="0068586D">
        <w:rPr>
          <w:lang w:val="fr-FR"/>
        </w:rPr>
        <w:t>’</w:t>
      </w:r>
      <w:r w:rsidRPr="00E85000">
        <w:rPr>
          <w:lang w:val="fr-FR"/>
        </w:rPr>
        <w:t>avoir été victime de violence</w:t>
      </w:r>
      <w:r>
        <w:rPr>
          <w:lang w:val="fr-FR"/>
        </w:rPr>
        <w:t>s</w:t>
      </w:r>
      <w:r w:rsidRPr="00E85000">
        <w:rPr>
          <w:lang w:val="fr-FR"/>
        </w:rPr>
        <w:t xml:space="preserve"> domestique</w:t>
      </w:r>
      <w:r>
        <w:rPr>
          <w:lang w:val="fr-FR"/>
        </w:rPr>
        <w:t>s</w:t>
      </w:r>
      <w:r w:rsidRPr="00E85000">
        <w:rPr>
          <w:lang w:val="fr-FR"/>
        </w:rPr>
        <w:t>. Elle dit avoir subi, pendant son mariage avec M.V., des violences physiques et des menaces de mort répétées qui se seraient aggravées en novembre 2013. Elle précise que ce fut pendant cette période que son ex</w:t>
      </w:r>
      <w:r w:rsidRPr="00E85000">
        <w:rPr>
          <w:lang w:val="fr-FR"/>
        </w:rPr>
        <w:noBreakHyphen/>
        <w:t xml:space="preserve">mari et </w:t>
      </w:r>
      <w:proofErr w:type="gramStart"/>
      <w:r w:rsidRPr="00E85000">
        <w:rPr>
          <w:lang w:val="fr-FR"/>
        </w:rPr>
        <w:t>elle discutaient</w:t>
      </w:r>
      <w:proofErr w:type="gramEnd"/>
      <w:r w:rsidRPr="00E85000">
        <w:rPr>
          <w:lang w:val="fr-FR"/>
        </w:rPr>
        <w:t xml:space="preserve"> de l</w:t>
      </w:r>
      <w:r w:rsidR="0068586D">
        <w:rPr>
          <w:lang w:val="fr-FR"/>
        </w:rPr>
        <w:t>’</w:t>
      </w:r>
      <w:r w:rsidRPr="00E85000">
        <w:rPr>
          <w:lang w:val="fr-FR"/>
        </w:rPr>
        <w:t>éventualité d</w:t>
      </w:r>
      <w:r w:rsidR="0068586D">
        <w:rPr>
          <w:lang w:val="fr-FR"/>
        </w:rPr>
        <w:t>’</w:t>
      </w:r>
      <w:r w:rsidRPr="00E85000">
        <w:rPr>
          <w:lang w:val="fr-FR"/>
        </w:rPr>
        <w:t>un divorce et que celui-ci a finalement été prononcé le 30 janvier 2014.</w:t>
      </w:r>
    </w:p>
    <w:p w:rsidRPr="00E85000" w:rsidR="00112A65" w:rsidP="00112A65" w:rsidRDefault="00112A65">
      <w:pPr>
        <w:pStyle w:val="ECHRHeading2"/>
        <w:rPr>
          <w:lang w:val="fr-FR"/>
        </w:rPr>
      </w:pPr>
      <w:r w:rsidRPr="00E85000">
        <w:rPr>
          <w:lang w:val="fr-FR"/>
        </w:rPr>
        <w:t>A.  La plainte pénale relative aux incidents des 17 et 22 décembre 2013</w:t>
      </w:r>
    </w:p>
    <w:bookmarkStart w:name="para_7" w:id="2"/>
    <w:p w:rsidRPr="00E85000" w:rsidR="00112A65" w:rsidP="00112A65" w:rsidRDefault="00112A65">
      <w:pPr>
        <w:pStyle w:val="ECHRPara"/>
        <w:rPr>
          <w:lang w:val="fr-FR"/>
        </w:rPr>
      </w:pPr>
      <w:r w:rsidRPr="00E85000">
        <w:rPr>
          <w:lang w:val="fr-FR"/>
        </w:rPr>
        <w:fldChar w:fldCharType="begin"/>
      </w:r>
      <w:r w:rsidRPr="00E85000">
        <w:rPr>
          <w:lang w:val="fr-FR"/>
        </w:rPr>
        <w:instrText xml:space="preserve"> SEQ level0 \*arabic </w:instrText>
      </w:r>
      <w:r w:rsidRPr="00E85000">
        <w:rPr>
          <w:lang w:val="fr-FR"/>
        </w:rPr>
        <w:fldChar w:fldCharType="separate"/>
      </w:r>
      <w:r w:rsidRPr="00E85000">
        <w:rPr>
          <w:noProof/>
          <w:lang w:val="fr-FR"/>
        </w:rPr>
        <w:t>7</w:t>
      </w:r>
      <w:r w:rsidRPr="00E85000">
        <w:rPr>
          <w:lang w:val="fr-FR"/>
        </w:rPr>
        <w:fldChar w:fldCharType="end"/>
      </w:r>
      <w:bookmarkEnd w:id="2"/>
      <w:r w:rsidRPr="00E85000">
        <w:rPr>
          <w:lang w:val="fr-FR"/>
        </w:rPr>
        <w:t>.  La requérante allègue que, le 17 décembre 2013, elle a été menacée de mort par M.V. : celui-ci aurait menacé de la jeter par le balcon afin de faire croire à un suicide. L</w:t>
      </w:r>
      <w:r w:rsidR="0068586D">
        <w:rPr>
          <w:lang w:val="fr-FR"/>
        </w:rPr>
        <w:t>’</w:t>
      </w:r>
      <w:r w:rsidRPr="00E85000">
        <w:rPr>
          <w:lang w:val="fr-FR"/>
        </w:rPr>
        <w:t>intéressée soutient en outre que, le 22 décembre 2013, M.V. l</w:t>
      </w:r>
      <w:r w:rsidR="0068586D">
        <w:rPr>
          <w:lang w:val="fr-FR"/>
        </w:rPr>
        <w:t>’</w:t>
      </w:r>
      <w:r w:rsidRPr="00E85000">
        <w:rPr>
          <w:lang w:val="fr-FR"/>
        </w:rPr>
        <w:t>a frappée à la tête et a menacé de la tuer avec une hache, et qu</w:t>
      </w:r>
      <w:r w:rsidR="0068586D">
        <w:rPr>
          <w:lang w:val="fr-FR"/>
        </w:rPr>
        <w:t>’</w:t>
      </w:r>
      <w:r w:rsidRPr="00E85000">
        <w:rPr>
          <w:lang w:val="fr-FR"/>
        </w:rPr>
        <w:t>elle s</w:t>
      </w:r>
      <w:r w:rsidR="0068586D">
        <w:rPr>
          <w:lang w:val="fr-FR"/>
        </w:rPr>
        <w:t>’</w:t>
      </w:r>
      <w:r w:rsidRPr="00E85000">
        <w:rPr>
          <w:lang w:val="fr-FR"/>
        </w:rPr>
        <w:t>est alors réfugiée dans une pièce de leur appartement et a appelé à l</w:t>
      </w:r>
      <w:r w:rsidR="0068586D">
        <w:rPr>
          <w:lang w:val="fr-FR"/>
        </w:rPr>
        <w:t>’</w:t>
      </w:r>
      <w:r w:rsidRPr="00E85000">
        <w:rPr>
          <w:lang w:val="fr-FR"/>
        </w:rPr>
        <w:t>aide.</w:t>
      </w:r>
    </w:p>
    <w:bookmarkStart w:name="certif_ML" w:id="3"/>
    <w:p w:rsidRPr="00E85000" w:rsidR="00112A65" w:rsidP="00112A65" w:rsidRDefault="00112A65">
      <w:pPr>
        <w:pStyle w:val="ECHRPara"/>
        <w:rPr>
          <w:lang w:val="fr-FR"/>
        </w:rPr>
      </w:pPr>
      <w:r w:rsidRPr="00E85000">
        <w:rPr>
          <w:lang w:val="fr-FR"/>
        </w:rPr>
        <w:fldChar w:fldCharType="begin"/>
      </w:r>
      <w:r w:rsidRPr="00E85000">
        <w:rPr>
          <w:lang w:val="fr-FR"/>
        </w:rPr>
        <w:instrText xml:space="preserve"> SEQ level0 \*arabic </w:instrText>
      </w:r>
      <w:r w:rsidRPr="00E85000">
        <w:rPr>
          <w:lang w:val="fr-FR"/>
        </w:rPr>
        <w:fldChar w:fldCharType="separate"/>
      </w:r>
      <w:r w:rsidRPr="00E85000">
        <w:rPr>
          <w:noProof/>
          <w:lang w:val="fr-FR"/>
        </w:rPr>
        <w:t>8</w:t>
      </w:r>
      <w:r w:rsidRPr="00E85000">
        <w:rPr>
          <w:lang w:val="fr-FR"/>
        </w:rPr>
        <w:fldChar w:fldCharType="end"/>
      </w:r>
      <w:bookmarkEnd w:id="3"/>
      <w:r w:rsidRPr="00E85000">
        <w:rPr>
          <w:lang w:val="fr-FR"/>
        </w:rPr>
        <w:t>.  Le 23 décembre 2013, la requérante obtint un certificat médicolégal attestant qu</w:t>
      </w:r>
      <w:r w:rsidR="0068586D">
        <w:rPr>
          <w:lang w:val="fr-FR"/>
        </w:rPr>
        <w:t>’</w:t>
      </w:r>
      <w:r w:rsidRPr="00E85000">
        <w:rPr>
          <w:lang w:val="fr-FR"/>
        </w:rPr>
        <w:t>elle avait besoin de trois à quatre jours de soins médicaux en raison des lésions qu</w:t>
      </w:r>
      <w:r w:rsidR="0068586D">
        <w:rPr>
          <w:lang w:val="fr-FR"/>
        </w:rPr>
        <w:t>’</w:t>
      </w:r>
      <w:r w:rsidRPr="00E85000">
        <w:rPr>
          <w:lang w:val="fr-FR"/>
        </w:rPr>
        <w:t>elle présentait et que ces lésions pouvaient dater du 22 décembre 2013.</w:t>
      </w:r>
    </w:p>
    <w:bookmarkStart w:name="plainte_pénale_violences" w:id="4"/>
    <w:p w:rsidRPr="00E85000" w:rsidR="00112A65" w:rsidP="00112A65" w:rsidRDefault="00112A65">
      <w:pPr>
        <w:pStyle w:val="ECHRPara"/>
        <w:rPr>
          <w:lang w:val="fr-FR"/>
        </w:rPr>
      </w:pPr>
      <w:r w:rsidRPr="00E85000">
        <w:rPr>
          <w:lang w:val="fr-FR"/>
        </w:rPr>
        <w:fldChar w:fldCharType="begin"/>
      </w:r>
      <w:r w:rsidRPr="00E85000">
        <w:rPr>
          <w:lang w:val="fr-FR"/>
        </w:rPr>
        <w:instrText xml:space="preserve"> SEQ level0 \*arabic </w:instrText>
      </w:r>
      <w:r w:rsidRPr="00E85000">
        <w:rPr>
          <w:lang w:val="fr-FR"/>
        </w:rPr>
        <w:fldChar w:fldCharType="separate"/>
      </w:r>
      <w:r w:rsidRPr="00E85000">
        <w:rPr>
          <w:noProof/>
          <w:lang w:val="fr-FR"/>
        </w:rPr>
        <w:t>9</w:t>
      </w:r>
      <w:r w:rsidRPr="00E85000">
        <w:rPr>
          <w:lang w:val="fr-FR"/>
        </w:rPr>
        <w:fldChar w:fldCharType="end"/>
      </w:r>
      <w:bookmarkEnd w:id="4"/>
      <w:r w:rsidRPr="00E85000">
        <w:rPr>
          <w:lang w:val="fr-FR"/>
        </w:rPr>
        <w:t>.  Toujours le 23 décembre 2013, elle déposa plainte contre M.V. devant le parquet près le tribunal de première instance de Tulcea (« le parquet »). Le 6 janvier 2014, elle déposa une nouvelle plainte contre M.V. et réitéra ses allégations quant aux violences et menaces qu</w:t>
      </w:r>
      <w:r w:rsidR="0068586D">
        <w:rPr>
          <w:lang w:val="fr-FR"/>
        </w:rPr>
        <w:t>’</w:t>
      </w:r>
      <w:r w:rsidRPr="00E85000">
        <w:rPr>
          <w:lang w:val="fr-FR"/>
        </w:rPr>
        <w:t>elle disait avoir subies. La requérante allègue que les autorités ont essayé de la persuader de retirer sa plainte au motif que ses lésions auraient été légères.</w:t>
      </w:r>
    </w:p>
    <w:p w:rsidRPr="00E85000" w:rsidR="00112A65" w:rsidP="00112A65" w:rsidRDefault="00112A65">
      <w:pPr>
        <w:pStyle w:val="ECHRPara"/>
        <w:rPr>
          <w:lang w:val="fr-FR"/>
        </w:rPr>
      </w:pPr>
      <w:r w:rsidRPr="00E85000">
        <w:rPr>
          <w:lang w:val="fr-FR"/>
        </w:rPr>
        <w:fldChar w:fldCharType="begin"/>
      </w:r>
      <w:r w:rsidRPr="00E85000">
        <w:rPr>
          <w:lang w:val="fr-FR"/>
        </w:rPr>
        <w:instrText xml:space="preserve"> SEQ level0 \*arabic </w:instrText>
      </w:r>
      <w:r w:rsidRPr="00E85000">
        <w:rPr>
          <w:lang w:val="fr-FR"/>
        </w:rPr>
        <w:fldChar w:fldCharType="separate"/>
      </w:r>
      <w:r w:rsidRPr="00E85000">
        <w:rPr>
          <w:noProof/>
          <w:lang w:val="fr-FR"/>
        </w:rPr>
        <w:t>10</w:t>
      </w:r>
      <w:r w:rsidRPr="00E85000">
        <w:rPr>
          <w:lang w:val="fr-FR"/>
        </w:rPr>
        <w:fldChar w:fldCharType="end"/>
      </w:r>
      <w:r w:rsidRPr="00E85000">
        <w:rPr>
          <w:lang w:val="fr-FR"/>
        </w:rPr>
        <w:t>.  À une date non précisée, la requérante se constitua partie civile et demanda la réparation des préjudices matériel et moral qu</w:t>
      </w:r>
      <w:r w:rsidR="0068586D">
        <w:rPr>
          <w:lang w:val="fr-FR"/>
        </w:rPr>
        <w:t>’</w:t>
      </w:r>
      <w:r w:rsidRPr="00E85000">
        <w:rPr>
          <w:lang w:val="fr-FR"/>
        </w:rPr>
        <w:t>elle estimait avoir subis.</w:t>
      </w:r>
    </w:p>
    <w:bookmarkStart w:name="plainte_pénale_violtcorresp_mars14" w:id="5"/>
    <w:p w:rsidRPr="00E85000" w:rsidR="00112A65" w:rsidP="00112A65" w:rsidRDefault="00112A65">
      <w:pPr>
        <w:pStyle w:val="ECHRPara"/>
        <w:rPr>
          <w:lang w:val="fr-FR"/>
        </w:rPr>
      </w:pPr>
      <w:r w:rsidRPr="00E85000">
        <w:rPr>
          <w:lang w:val="fr-FR"/>
        </w:rPr>
        <w:fldChar w:fldCharType="begin"/>
      </w:r>
      <w:r w:rsidRPr="00E85000">
        <w:rPr>
          <w:lang w:val="fr-FR"/>
        </w:rPr>
        <w:instrText xml:space="preserve"> SEQ level0 \*arabic </w:instrText>
      </w:r>
      <w:r w:rsidRPr="00E85000">
        <w:rPr>
          <w:lang w:val="fr-FR"/>
        </w:rPr>
        <w:fldChar w:fldCharType="separate"/>
      </w:r>
      <w:r w:rsidRPr="00E85000">
        <w:rPr>
          <w:noProof/>
          <w:lang w:val="fr-FR"/>
        </w:rPr>
        <w:t>11</w:t>
      </w:r>
      <w:r w:rsidRPr="00E85000">
        <w:rPr>
          <w:lang w:val="fr-FR"/>
        </w:rPr>
        <w:fldChar w:fldCharType="end"/>
      </w:r>
      <w:bookmarkEnd w:id="5"/>
      <w:r w:rsidRPr="00E85000">
        <w:rPr>
          <w:lang w:val="fr-FR"/>
        </w:rPr>
        <w:t>.  Le 18 mars 2014, elle demanda, comme élément de preuve dans le cadre de la procédure pénale, une perquisition électronique de l</w:t>
      </w:r>
      <w:r w:rsidR="0068586D">
        <w:rPr>
          <w:lang w:val="fr-FR"/>
        </w:rPr>
        <w:t>’</w:t>
      </w:r>
      <w:r w:rsidRPr="00E85000">
        <w:rPr>
          <w:lang w:val="fr-FR"/>
        </w:rPr>
        <w:t>ordinateur de la famille, alléguant que M.V. avait abusivement consulté ses comptes électroniques, dont son compte Facebook, et qu</w:t>
      </w:r>
      <w:r w:rsidR="0068586D">
        <w:rPr>
          <w:lang w:val="fr-FR"/>
        </w:rPr>
        <w:t>’</w:t>
      </w:r>
      <w:r w:rsidRPr="00E85000">
        <w:rPr>
          <w:lang w:val="fr-FR"/>
        </w:rPr>
        <w:t>il avait fait des copies de ses conversations privées, de ses documents et de ses photos. Par une ordonnance du 2 juin 2014, la police de Tulcea rejeta la demande de la requérante au motif que les éléments susceptibles d</w:t>
      </w:r>
      <w:r w:rsidR="0068586D">
        <w:rPr>
          <w:lang w:val="fr-FR"/>
        </w:rPr>
        <w:t>’</w:t>
      </w:r>
      <w:r w:rsidRPr="00E85000">
        <w:rPr>
          <w:lang w:val="fr-FR"/>
        </w:rPr>
        <w:t>être ainsi recueillis étaient sans rapport avec les infractions de menaces et de violences reprochées à M.V.</w:t>
      </w:r>
    </w:p>
    <w:p w:rsidRPr="00E85000" w:rsidR="00112A65" w:rsidP="00112A65" w:rsidRDefault="00112A65">
      <w:pPr>
        <w:pStyle w:val="ECHRPara"/>
        <w:rPr>
          <w:lang w:val="fr-FR"/>
        </w:rPr>
      </w:pPr>
      <w:r w:rsidRPr="00E85000">
        <w:rPr>
          <w:lang w:val="fr-FR"/>
        </w:rPr>
        <w:fldChar w:fldCharType="begin"/>
      </w:r>
      <w:r w:rsidRPr="00E85000">
        <w:rPr>
          <w:lang w:val="fr-FR"/>
        </w:rPr>
        <w:instrText xml:space="preserve"> SEQ level0 \*arabic </w:instrText>
      </w:r>
      <w:r w:rsidRPr="00E85000">
        <w:rPr>
          <w:lang w:val="fr-FR"/>
        </w:rPr>
        <w:fldChar w:fldCharType="separate"/>
      </w:r>
      <w:r w:rsidRPr="00E85000">
        <w:rPr>
          <w:noProof/>
          <w:lang w:val="fr-FR"/>
        </w:rPr>
        <w:t>12</w:t>
      </w:r>
      <w:r w:rsidRPr="00E85000">
        <w:rPr>
          <w:lang w:val="fr-FR"/>
        </w:rPr>
        <w:fldChar w:fldCharType="end"/>
      </w:r>
      <w:r w:rsidRPr="00E85000">
        <w:rPr>
          <w:lang w:val="fr-FR"/>
        </w:rPr>
        <w:t>.  Le 2 juillet 2014, la requérante versa au dossier du parquet une copie du jugement du 13 mars 2014 du tribunal de première instance de Tulcea (« tribunal de première instance ») qui avait délivré une ordonnance de protection en sa faveur (paragraphe 23 ci-dessous).</w:t>
      </w:r>
    </w:p>
    <w:bookmarkStart w:name="plainte_pénale_violtcorresp_sept14" w:id="6"/>
    <w:p w:rsidRPr="00E85000" w:rsidR="00112A65" w:rsidP="00112A65" w:rsidRDefault="00112A65">
      <w:pPr>
        <w:pStyle w:val="ECHRPara"/>
        <w:rPr>
          <w:lang w:val="fr-FR"/>
        </w:rPr>
      </w:pPr>
      <w:r w:rsidRPr="00E85000">
        <w:rPr>
          <w:lang w:val="fr-FR"/>
        </w:rPr>
        <w:fldChar w:fldCharType="begin"/>
      </w:r>
      <w:r w:rsidRPr="00E85000">
        <w:rPr>
          <w:lang w:val="fr-FR"/>
        </w:rPr>
        <w:instrText xml:space="preserve"> SEQ level0 \*arabic </w:instrText>
      </w:r>
      <w:r w:rsidRPr="00E85000">
        <w:rPr>
          <w:lang w:val="fr-FR"/>
        </w:rPr>
        <w:fldChar w:fldCharType="separate"/>
      </w:r>
      <w:r w:rsidRPr="00E85000">
        <w:rPr>
          <w:noProof/>
          <w:lang w:val="fr-FR"/>
        </w:rPr>
        <w:t>13</w:t>
      </w:r>
      <w:r w:rsidRPr="00E85000">
        <w:rPr>
          <w:lang w:val="fr-FR"/>
        </w:rPr>
        <w:fldChar w:fldCharType="end"/>
      </w:r>
      <w:bookmarkEnd w:id="6"/>
      <w:r w:rsidRPr="00E85000">
        <w:rPr>
          <w:lang w:val="fr-FR"/>
        </w:rPr>
        <w:t>.  Le 11 septembre 2014, la requérante déposa une nouvelle plainte pénale contre M.V. pour violation du secret de la correspondance.</w:t>
      </w:r>
    </w:p>
    <w:bookmarkStart w:name="témoins" w:id="7"/>
    <w:p w:rsidRPr="00E85000" w:rsidR="00112A65" w:rsidP="00112A65" w:rsidRDefault="00112A65">
      <w:pPr>
        <w:pStyle w:val="ECHRPara"/>
        <w:rPr>
          <w:lang w:val="fr-FR"/>
        </w:rPr>
      </w:pPr>
      <w:r w:rsidRPr="00E85000">
        <w:rPr>
          <w:lang w:val="fr-FR"/>
        </w:rPr>
        <w:fldChar w:fldCharType="begin"/>
      </w:r>
      <w:r w:rsidRPr="00E85000">
        <w:rPr>
          <w:lang w:val="fr-FR"/>
        </w:rPr>
        <w:instrText xml:space="preserve"> SEQ level0 \*arabic </w:instrText>
      </w:r>
      <w:r w:rsidRPr="00E85000">
        <w:rPr>
          <w:lang w:val="fr-FR"/>
        </w:rPr>
        <w:fldChar w:fldCharType="separate"/>
      </w:r>
      <w:r w:rsidRPr="00E85000">
        <w:rPr>
          <w:noProof/>
          <w:lang w:val="fr-FR"/>
        </w:rPr>
        <w:t>14</w:t>
      </w:r>
      <w:r w:rsidRPr="00E85000">
        <w:rPr>
          <w:lang w:val="fr-FR"/>
        </w:rPr>
        <w:fldChar w:fldCharType="end"/>
      </w:r>
      <w:bookmarkEnd w:id="7"/>
      <w:r w:rsidRPr="00E85000">
        <w:rPr>
          <w:lang w:val="fr-FR"/>
        </w:rPr>
        <w:t>.  La police entendit la requérante, ainsi que sa fille, sa mère et sa belle-sœur en tant que témoins. Ces dernières indiquèrent que leur parente leur avait parlé des violences subies par elle.</w:t>
      </w:r>
    </w:p>
    <w:bookmarkStart w:name="temoins2" w:id="8"/>
    <w:p w:rsidRPr="00E85000" w:rsidR="00112A65" w:rsidP="00112A65" w:rsidRDefault="00112A65">
      <w:pPr>
        <w:pStyle w:val="ECHRPara"/>
        <w:rPr>
          <w:lang w:val="fr-FR"/>
        </w:rPr>
      </w:pPr>
      <w:r w:rsidRPr="00E85000">
        <w:rPr>
          <w:lang w:val="fr-FR"/>
        </w:rPr>
        <w:fldChar w:fldCharType="begin"/>
      </w:r>
      <w:r w:rsidRPr="00E85000">
        <w:rPr>
          <w:lang w:val="fr-FR"/>
        </w:rPr>
        <w:instrText xml:space="preserve"> SEQ level0 \*arabic </w:instrText>
      </w:r>
      <w:r w:rsidRPr="00E85000">
        <w:rPr>
          <w:lang w:val="fr-FR"/>
        </w:rPr>
        <w:fldChar w:fldCharType="separate"/>
      </w:r>
      <w:r w:rsidRPr="00E85000">
        <w:rPr>
          <w:noProof/>
          <w:lang w:val="fr-FR"/>
        </w:rPr>
        <w:t>15</w:t>
      </w:r>
      <w:r w:rsidRPr="00E85000">
        <w:rPr>
          <w:lang w:val="fr-FR"/>
        </w:rPr>
        <w:fldChar w:fldCharType="end"/>
      </w:r>
      <w:bookmarkEnd w:id="8"/>
      <w:r w:rsidRPr="00E85000">
        <w:rPr>
          <w:lang w:val="fr-FR"/>
        </w:rPr>
        <w:t>.  D</w:t>
      </w:r>
      <w:r w:rsidR="0068586D">
        <w:rPr>
          <w:lang w:val="fr-FR"/>
        </w:rPr>
        <w:t>’</w:t>
      </w:r>
      <w:r w:rsidRPr="00E85000">
        <w:rPr>
          <w:lang w:val="fr-FR"/>
        </w:rPr>
        <w:t>après la requérante, sa mère a déclaré l</w:t>
      </w:r>
      <w:r w:rsidR="0068586D">
        <w:rPr>
          <w:lang w:val="fr-FR"/>
        </w:rPr>
        <w:t>’</w:t>
      </w:r>
      <w:r w:rsidRPr="00E85000">
        <w:rPr>
          <w:lang w:val="fr-FR"/>
        </w:rPr>
        <w:t>avoir hébergée après son départ du domicile conjugal, qui aurait été dicté par la peur, et avoir vu les marques de violence et les excoriations qui auraient été provoquées par son ex-époux. Cependant, toujours selon l</w:t>
      </w:r>
      <w:r w:rsidR="0068586D">
        <w:rPr>
          <w:lang w:val="fr-FR"/>
        </w:rPr>
        <w:t>’</w:t>
      </w:r>
      <w:r w:rsidRPr="00E85000">
        <w:rPr>
          <w:lang w:val="fr-FR"/>
        </w:rPr>
        <w:t>intéressée, les policiers n</w:t>
      </w:r>
      <w:r w:rsidR="0068586D">
        <w:rPr>
          <w:lang w:val="fr-FR"/>
        </w:rPr>
        <w:t>’</w:t>
      </w:r>
      <w:r w:rsidRPr="00E85000">
        <w:rPr>
          <w:lang w:val="fr-FR"/>
        </w:rPr>
        <w:t>ont pas consigné la déclaration de sa mère dans son intégralité au motif qu</w:t>
      </w:r>
      <w:r w:rsidR="0068586D">
        <w:rPr>
          <w:lang w:val="fr-FR"/>
        </w:rPr>
        <w:t>’</w:t>
      </w:r>
      <w:r w:rsidRPr="00E85000">
        <w:rPr>
          <w:lang w:val="fr-FR"/>
        </w:rPr>
        <w:t>elle n</w:t>
      </w:r>
      <w:r w:rsidR="0068586D">
        <w:rPr>
          <w:lang w:val="fr-FR"/>
        </w:rPr>
        <w:t>’</w:t>
      </w:r>
      <w:r w:rsidRPr="00E85000">
        <w:rPr>
          <w:lang w:val="fr-FR"/>
        </w:rPr>
        <w:t>aurait pas été pertinente. En outre, également d</w:t>
      </w:r>
      <w:r w:rsidR="0068586D">
        <w:rPr>
          <w:lang w:val="fr-FR"/>
        </w:rPr>
        <w:t>’</w:t>
      </w:r>
      <w:r w:rsidRPr="00E85000">
        <w:rPr>
          <w:lang w:val="fr-FR"/>
        </w:rPr>
        <w:t>après la requérante, les témoins ont été entendus de manière irrégulière, sans avoir prêté serment, et leurs déclarations ont été consignées de manière incomplète. Le Gouvernement conteste les allégations de la requérante, s</w:t>
      </w:r>
      <w:r w:rsidR="0068586D">
        <w:rPr>
          <w:lang w:val="fr-FR"/>
        </w:rPr>
        <w:t>’</w:t>
      </w:r>
      <w:r w:rsidRPr="00E85000">
        <w:rPr>
          <w:lang w:val="fr-FR"/>
        </w:rPr>
        <w:t>appuyant sur les procès-verbaux d</w:t>
      </w:r>
      <w:r w:rsidR="0068586D">
        <w:rPr>
          <w:lang w:val="fr-FR"/>
        </w:rPr>
        <w:t>’</w:t>
      </w:r>
      <w:r w:rsidRPr="00E85000">
        <w:rPr>
          <w:lang w:val="fr-FR"/>
        </w:rPr>
        <w:t>audition des témoins qui comportent les signatures de ceux-ci.</w:t>
      </w:r>
    </w:p>
    <w:p w:rsidRPr="00E85000" w:rsidR="00112A65" w:rsidP="00112A65" w:rsidRDefault="00112A65">
      <w:pPr>
        <w:pStyle w:val="ECHRPara"/>
        <w:rPr>
          <w:lang w:val="fr-FR"/>
        </w:rPr>
      </w:pPr>
      <w:r w:rsidRPr="00E85000">
        <w:rPr>
          <w:lang w:val="fr-FR"/>
        </w:rPr>
        <w:fldChar w:fldCharType="begin"/>
      </w:r>
      <w:r w:rsidRPr="00E85000">
        <w:rPr>
          <w:lang w:val="fr-FR"/>
        </w:rPr>
        <w:instrText xml:space="preserve"> SEQ level0 \*arabic </w:instrText>
      </w:r>
      <w:r w:rsidRPr="00E85000">
        <w:rPr>
          <w:lang w:val="fr-FR"/>
        </w:rPr>
        <w:fldChar w:fldCharType="separate"/>
      </w:r>
      <w:r w:rsidRPr="00E85000">
        <w:rPr>
          <w:noProof/>
          <w:lang w:val="fr-FR"/>
        </w:rPr>
        <w:t>16</w:t>
      </w:r>
      <w:r w:rsidRPr="00E85000">
        <w:rPr>
          <w:lang w:val="fr-FR"/>
        </w:rPr>
        <w:fldChar w:fldCharType="end"/>
      </w:r>
      <w:r w:rsidRPr="00E85000">
        <w:rPr>
          <w:lang w:val="fr-FR"/>
        </w:rPr>
        <w:t>.  Le 25 novembre 2014, la police procéda à l</w:t>
      </w:r>
      <w:r w:rsidR="0068586D">
        <w:rPr>
          <w:lang w:val="fr-FR"/>
        </w:rPr>
        <w:t>’</w:t>
      </w:r>
      <w:r w:rsidRPr="00E85000">
        <w:rPr>
          <w:lang w:val="fr-FR"/>
        </w:rPr>
        <w:t>interrogation de M.V. en qualité de suspect.</w:t>
      </w:r>
    </w:p>
    <w:bookmarkStart w:name="ordonanta_parchet_17_02_15" w:id="9"/>
    <w:p w:rsidRPr="00E85000" w:rsidR="00112A65" w:rsidP="00112A65" w:rsidRDefault="00112A65">
      <w:pPr>
        <w:pStyle w:val="ECHRPara"/>
        <w:rPr>
          <w:lang w:val="fr-FR"/>
        </w:rPr>
      </w:pPr>
      <w:r w:rsidRPr="00E85000">
        <w:rPr>
          <w:lang w:val="fr-FR"/>
        </w:rPr>
        <w:fldChar w:fldCharType="begin"/>
      </w:r>
      <w:r w:rsidRPr="00E85000">
        <w:rPr>
          <w:lang w:val="fr-FR"/>
        </w:rPr>
        <w:instrText xml:space="preserve"> SEQ level0 \*arabic </w:instrText>
      </w:r>
      <w:r w:rsidRPr="00E85000">
        <w:rPr>
          <w:lang w:val="fr-FR"/>
        </w:rPr>
        <w:fldChar w:fldCharType="separate"/>
      </w:r>
      <w:r w:rsidRPr="00E85000">
        <w:rPr>
          <w:noProof/>
          <w:lang w:val="fr-FR"/>
        </w:rPr>
        <w:t>17</w:t>
      </w:r>
      <w:r w:rsidRPr="00E85000">
        <w:rPr>
          <w:lang w:val="fr-FR"/>
        </w:rPr>
        <w:fldChar w:fldCharType="end"/>
      </w:r>
      <w:bookmarkEnd w:id="9"/>
      <w:r w:rsidRPr="00E85000">
        <w:rPr>
          <w:lang w:val="fr-FR"/>
        </w:rPr>
        <w:t>.  Par une décision du 17 février 2015, le parquet classa l</w:t>
      </w:r>
      <w:r w:rsidR="0068586D">
        <w:rPr>
          <w:lang w:val="fr-FR"/>
        </w:rPr>
        <w:t>’</w:t>
      </w:r>
      <w:r w:rsidRPr="00E85000">
        <w:rPr>
          <w:lang w:val="fr-FR"/>
        </w:rPr>
        <w:t>affaire. L</w:t>
      </w:r>
      <w:r w:rsidR="0068586D">
        <w:rPr>
          <w:lang w:val="fr-FR"/>
        </w:rPr>
        <w:t>’</w:t>
      </w:r>
      <w:r w:rsidRPr="00E85000">
        <w:rPr>
          <w:lang w:val="fr-FR"/>
        </w:rPr>
        <w:t>ordonnance de classement était fondée sur les articles 193 §§ 1 et 2, 206 § 1 et 302 § 2 du nouveau code pénal réprimant les coups et les autres violences, la menace et la violation du secret de la correspondance respectivement (paragraphe 32 ci-dessous). Dans cette ordonnance, le parquet indiqua que, le 17 décembre 2013, la requérante avait bien été menacée de mort par son ex-époux, mais il estimait que le comportement de ce dernier n</w:t>
      </w:r>
      <w:r w:rsidR="0068586D">
        <w:rPr>
          <w:lang w:val="fr-FR"/>
        </w:rPr>
        <w:t>’</w:t>
      </w:r>
      <w:r w:rsidRPr="00E85000">
        <w:rPr>
          <w:lang w:val="fr-FR"/>
        </w:rPr>
        <w:t>était pas suffisamment grave pour être qualifié d</w:t>
      </w:r>
      <w:r w:rsidR="0068586D">
        <w:rPr>
          <w:lang w:val="fr-FR"/>
        </w:rPr>
        <w:t>’</w:t>
      </w:r>
      <w:r w:rsidRPr="00E85000">
        <w:rPr>
          <w:lang w:val="fr-FR"/>
        </w:rPr>
        <w:t>infraction. Par conséquent, il décida d</w:t>
      </w:r>
      <w:r w:rsidR="0068586D">
        <w:rPr>
          <w:lang w:val="fr-FR"/>
        </w:rPr>
        <w:t>’</w:t>
      </w:r>
      <w:r w:rsidRPr="00E85000">
        <w:rPr>
          <w:lang w:val="fr-FR"/>
        </w:rPr>
        <w:t>infliger une amende administrative de 1 000 lei roumains (RON – environ 250 euros (EUR)) à M.V. En outre, le parquet considéra qu</w:t>
      </w:r>
      <w:r w:rsidR="0068586D">
        <w:rPr>
          <w:lang w:val="fr-FR"/>
        </w:rPr>
        <w:t>’</w:t>
      </w:r>
      <w:r w:rsidRPr="00E85000">
        <w:rPr>
          <w:lang w:val="fr-FR"/>
        </w:rPr>
        <w:t>il n</w:t>
      </w:r>
      <w:r w:rsidR="0068586D">
        <w:rPr>
          <w:lang w:val="fr-FR"/>
        </w:rPr>
        <w:t>’</w:t>
      </w:r>
      <w:r w:rsidRPr="00E85000">
        <w:rPr>
          <w:lang w:val="fr-FR"/>
        </w:rPr>
        <w:t>y avait pas d</w:t>
      </w:r>
      <w:r w:rsidR="0068586D">
        <w:rPr>
          <w:lang w:val="fr-FR"/>
        </w:rPr>
        <w:t>’</w:t>
      </w:r>
      <w:r w:rsidRPr="00E85000">
        <w:rPr>
          <w:lang w:val="fr-FR"/>
        </w:rPr>
        <w:t>éléments prouvant les faits de violence qui auraient été commis le 22 décembre 2013. Ainsi, selon le parquet, le certificat médicolégal délivré le jour suivant (paragraphe 8 ci-dessus) prouvait que la requérante avait subi des violences, mais il n</w:t>
      </w:r>
      <w:r w:rsidR="0068586D">
        <w:rPr>
          <w:lang w:val="fr-FR"/>
        </w:rPr>
        <w:t>’</w:t>
      </w:r>
      <w:r w:rsidRPr="00E85000">
        <w:rPr>
          <w:lang w:val="fr-FR"/>
        </w:rPr>
        <w:t>établissait pas avec certitude que M.V. en était l</w:t>
      </w:r>
      <w:r w:rsidR="0068586D">
        <w:rPr>
          <w:lang w:val="fr-FR"/>
        </w:rPr>
        <w:t>’</w:t>
      </w:r>
      <w:r w:rsidRPr="00E85000">
        <w:rPr>
          <w:lang w:val="fr-FR"/>
        </w:rPr>
        <w:t>auteur. S</w:t>
      </w:r>
      <w:r w:rsidR="0068586D">
        <w:rPr>
          <w:lang w:val="fr-FR"/>
        </w:rPr>
        <w:t>’</w:t>
      </w:r>
      <w:r w:rsidRPr="00E85000">
        <w:rPr>
          <w:lang w:val="fr-FR"/>
        </w:rPr>
        <w:t>agissant de la plainte relative à la violation du secret de la correspondance, le parquet la rejeta pour tardiveté.</w:t>
      </w:r>
    </w:p>
    <w:p w:rsidRPr="00E85000" w:rsidR="00112A65" w:rsidP="00112A65" w:rsidRDefault="00112A65">
      <w:pPr>
        <w:pStyle w:val="ECHRPara"/>
        <w:rPr>
          <w:lang w:val="fr-FR"/>
        </w:rPr>
      </w:pPr>
      <w:r w:rsidRPr="00E85000">
        <w:rPr>
          <w:lang w:val="fr-FR"/>
        </w:rPr>
        <w:fldChar w:fldCharType="begin"/>
      </w:r>
      <w:r w:rsidRPr="00E85000">
        <w:rPr>
          <w:lang w:val="fr-FR"/>
        </w:rPr>
        <w:instrText xml:space="preserve"> SEQ level0 \*arabic </w:instrText>
      </w:r>
      <w:r w:rsidRPr="00E85000">
        <w:rPr>
          <w:lang w:val="fr-FR"/>
        </w:rPr>
        <w:fldChar w:fldCharType="separate"/>
      </w:r>
      <w:r w:rsidRPr="00E85000">
        <w:rPr>
          <w:noProof/>
          <w:lang w:val="fr-FR"/>
        </w:rPr>
        <w:t>18</w:t>
      </w:r>
      <w:r w:rsidRPr="00E85000">
        <w:rPr>
          <w:lang w:val="fr-FR"/>
        </w:rPr>
        <w:fldChar w:fldCharType="end"/>
      </w:r>
      <w:r w:rsidRPr="00E85000">
        <w:rPr>
          <w:lang w:val="fr-FR"/>
        </w:rPr>
        <w:t>.  La requérante contesta l</w:t>
      </w:r>
      <w:r w:rsidR="0068586D">
        <w:rPr>
          <w:lang w:val="fr-FR"/>
        </w:rPr>
        <w:t>’</w:t>
      </w:r>
      <w:r w:rsidRPr="00E85000">
        <w:rPr>
          <w:lang w:val="fr-FR"/>
        </w:rPr>
        <w:t>ordonnance du 17 février 2015 devant le parquet. Par une ordonnance du 9 mars 2015, le procureur en chef du parquet rejeta sa contestation.</w:t>
      </w:r>
    </w:p>
    <w:p w:rsidRPr="00E85000" w:rsidR="00112A65" w:rsidP="00112A65" w:rsidRDefault="00112A65">
      <w:pPr>
        <w:pStyle w:val="ECHRPara"/>
        <w:rPr>
          <w:lang w:val="fr-FR"/>
        </w:rPr>
      </w:pPr>
      <w:r w:rsidRPr="00E85000">
        <w:rPr>
          <w:lang w:val="fr-FR"/>
        </w:rPr>
        <w:fldChar w:fldCharType="begin"/>
      </w:r>
      <w:r w:rsidRPr="00E85000">
        <w:rPr>
          <w:lang w:val="fr-FR"/>
        </w:rPr>
        <w:instrText xml:space="preserve"> SEQ level0 \*arabic </w:instrText>
      </w:r>
      <w:r w:rsidRPr="00E85000">
        <w:rPr>
          <w:lang w:val="fr-FR"/>
        </w:rPr>
        <w:fldChar w:fldCharType="separate"/>
      </w:r>
      <w:r w:rsidRPr="00E85000">
        <w:rPr>
          <w:noProof/>
          <w:lang w:val="fr-FR"/>
        </w:rPr>
        <w:t>19</w:t>
      </w:r>
      <w:r w:rsidRPr="00E85000">
        <w:rPr>
          <w:lang w:val="fr-FR"/>
        </w:rPr>
        <w:fldChar w:fldCharType="end"/>
      </w:r>
      <w:r w:rsidRPr="00E85000">
        <w:rPr>
          <w:lang w:val="fr-FR"/>
        </w:rPr>
        <w:t>.  La requérante contesta ensuite les ordonnances du parquet devant le tribunal de première instance, se plaignant notamment d</w:t>
      </w:r>
      <w:r w:rsidR="0068586D">
        <w:rPr>
          <w:lang w:val="fr-FR"/>
        </w:rPr>
        <w:t>’</w:t>
      </w:r>
      <w:r w:rsidRPr="00E85000">
        <w:rPr>
          <w:lang w:val="fr-FR"/>
        </w:rPr>
        <w:t>une insuffisance des éléments de preuve recueillis. Elle soutenait également que l</w:t>
      </w:r>
      <w:r w:rsidR="0068586D">
        <w:rPr>
          <w:lang w:val="fr-FR"/>
        </w:rPr>
        <w:t>’</w:t>
      </w:r>
      <w:r w:rsidRPr="00E85000">
        <w:rPr>
          <w:lang w:val="fr-FR"/>
        </w:rPr>
        <w:t>infraction de violation du secret de la correspondance devait faire l</w:t>
      </w:r>
      <w:r w:rsidR="0068586D">
        <w:rPr>
          <w:lang w:val="fr-FR"/>
        </w:rPr>
        <w:t>’</w:t>
      </w:r>
      <w:r w:rsidRPr="00E85000">
        <w:rPr>
          <w:lang w:val="fr-FR"/>
        </w:rPr>
        <w:t>objet d</w:t>
      </w:r>
      <w:r w:rsidR="0068586D">
        <w:rPr>
          <w:lang w:val="fr-FR"/>
        </w:rPr>
        <w:t>’</w:t>
      </w:r>
      <w:r w:rsidRPr="00E85000">
        <w:rPr>
          <w:lang w:val="fr-FR"/>
        </w:rPr>
        <w:t>un examen d</w:t>
      </w:r>
      <w:r w:rsidR="0068586D">
        <w:rPr>
          <w:lang w:val="fr-FR"/>
        </w:rPr>
        <w:t>’</w:t>
      </w:r>
      <w:r w:rsidRPr="00E85000">
        <w:rPr>
          <w:lang w:val="fr-FR"/>
        </w:rPr>
        <w:t>office, même en l</w:t>
      </w:r>
      <w:r w:rsidR="0068586D">
        <w:rPr>
          <w:lang w:val="fr-FR"/>
        </w:rPr>
        <w:t>’</w:t>
      </w:r>
      <w:r w:rsidRPr="00E85000">
        <w:rPr>
          <w:lang w:val="fr-FR"/>
        </w:rPr>
        <w:t>absence d</w:t>
      </w:r>
      <w:r w:rsidR="0068586D">
        <w:rPr>
          <w:lang w:val="fr-FR"/>
        </w:rPr>
        <w:t>’</w:t>
      </w:r>
      <w:r w:rsidRPr="00E85000">
        <w:rPr>
          <w:lang w:val="fr-FR"/>
        </w:rPr>
        <w:t>une plainte formelle de la partie lésée.</w:t>
      </w:r>
    </w:p>
    <w:p w:rsidRPr="00E85000" w:rsidR="00112A65" w:rsidP="00112A65" w:rsidRDefault="00112A65">
      <w:pPr>
        <w:pStyle w:val="ECHRPara"/>
        <w:rPr>
          <w:lang w:val="fr-FR"/>
        </w:rPr>
      </w:pPr>
      <w:r w:rsidRPr="00E85000">
        <w:rPr>
          <w:lang w:val="fr-FR"/>
        </w:rPr>
        <w:fldChar w:fldCharType="begin"/>
      </w:r>
      <w:r w:rsidRPr="00E85000">
        <w:rPr>
          <w:lang w:val="fr-FR"/>
        </w:rPr>
        <w:instrText xml:space="preserve"> SEQ level0 \*arabic </w:instrText>
      </w:r>
      <w:r w:rsidRPr="00E85000">
        <w:rPr>
          <w:lang w:val="fr-FR"/>
        </w:rPr>
        <w:fldChar w:fldCharType="separate"/>
      </w:r>
      <w:r w:rsidRPr="00E85000">
        <w:rPr>
          <w:noProof/>
          <w:lang w:val="fr-FR"/>
        </w:rPr>
        <w:t>20</w:t>
      </w:r>
      <w:r w:rsidRPr="00E85000">
        <w:rPr>
          <w:lang w:val="fr-FR"/>
        </w:rPr>
        <w:fldChar w:fldCharType="end"/>
      </w:r>
      <w:r w:rsidRPr="00E85000">
        <w:rPr>
          <w:lang w:val="fr-FR"/>
        </w:rPr>
        <w:t>.  La requérante allègue avoir demandé à consulter le dossier du parquet et s</w:t>
      </w:r>
      <w:r w:rsidR="0068586D">
        <w:rPr>
          <w:lang w:val="fr-FR"/>
        </w:rPr>
        <w:t>’</w:t>
      </w:r>
      <w:r w:rsidRPr="00E85000">
        <w:rPr>
          <w:lang w:val="fr-FR"/>
        </w:rPr>
        <w:t>être, à cette occasion, rendu compte de l</w:t>
      </w:r>
      <w:r w:rsidR="0068586D">
        <w:rPr>
          <w:lang w:val="fr-FR"/>
        </w:rPr>
        <w:t>’</w:t>
      </w:r>
      <w:r w:rsidRPr="00E85000">
        <w:rPr>
          <w:lang w:val="fr-FR"/>
        </w:rPr>
        <w:t>absence de certains éléments de preuve, notamment des demandes adressées par elle au parquet et de plusieurs procès-verbaux de la police. Le Gouvernement conteste ces allégations, se référant au dossier du parquet, dont il a envoyé copie à la Cour. Ce dossier comporte les copies des plaintes pénales formées par la requérante les 23 décembre 2013 et 6 janvier et 11 septembre 2014 (paragraphes 9 et 13 ci-dessus). Le dossier comporte également les copies des déclarations que la requérante a faites à la police et des déclarations de M.V. et des témoins (la fille, la belle-sœur et la mère de la requérante). Ces déclarations sont signées par leurs auteurs respectifs. Le dossier comporte aussi un certain nombre de demandes adressées aux autorités de l</w:t>
      </w:r>
      <w:r w:rsidR="0068586D">
        <w:rPr>
          <w:lang w:val="fr-FR"/>
        </w:rPr>
        <w:t>’</w:t>
      </w:r>
      <w:r w:rsidRPr="00E85000">
        <w:rPr>
          <w:lang w:val="fr-FR"/>
        </w:rPr>
        <w:t>enquête par la requérante ainsi que de procès-verbaux dressés au cours de la procédure par la police.</w:t>
      </w:r>
    </w:p>
    <w:bookmarkStart w:name="déc_defintive_enquête" w:id="10"/>
    <w:p w:rsidRPr="00E85000" w:rsidR="00112A65" w:rsidP="00112A65" w:rsidRDefault="00112A65">
      <w:pPr>
        <w:pStyle w:val="ECHRPara"/>
        <w:rPr>
          <w:lang w:val="fr-FR"/>
        </w:rPr>
      </w:pPr>
      <w:r w:rsidRPr="00E85000">
        <w:rPr>
          <w:lang w:val="fr-FR"/>
        </w:rPr>
        <w:fldChar w:fldCharType="begin"/>
      </w:r>
      <w:r w:rsidRPr="00E85000">
        <w:rPr>
          <w:lang w:val="fr-FR"/>
        </w:rPr>
        <w:instrText xml:space="preserve"> SEQ level0 \*arabic </w:instrText>
      </w:r>
      <w:r w:rsidRPr="00E85000">
        <w:rPr>
          <w:lang w:val="fr-FR"/>
        </w:rPr>
        <w:fldChar w:fldCharType="separate"/>
      </w:r>
      <w:r w:rsidRPr="00E85000">
        <w:rPr>
          <w:noProof/>
          <w:lang w:val="fr-FR"/>
        </w:rPr>
        <w:t>21</w:t>
      </w:r>
      <w:r w:rsidRPr="00E85000">
        <w:rPr>
          <w:lang w:val="fr-FR"/>
        </w:rPr>
        <w:fldChar w:fldCharType="end"/>
      </w:r>
      <w:bookmarkEnd w:id="10"/>
      <w:r w:rsidRPr="00E85000">
        <w:rPr>
          <w:lang w:val="fr-FR"/>
        </w:rPr>
        <w:t>.  Par une décision définitive du 25 mai 2015, le tribunal de première instance rejeta la contestation de la requérante. Le tribunal confirma les conclusions du parquet selon lesquelles les menaces subies par la requérante de la part de M.V. ne présentaient pas le degré de péril social nécessaire pour être qualifiées d</w:t>
      </w:r>
      <w:r w:rsidR="0068586D">
        <w:rPr>
          <w:lang w:val="fr-FR"/>
        </w:rPr>
        <w:t>’</w:t>
      </w:r>
      <w:r w:rsidRPr="00E85000">
        <w:rPr>
          <w:lang w:val="fr-FR"/>
        </w:rPr>
        <w:t>infractions et qu</w:t>
      </w:r>
      <w:r w:rsidR="0068586D">
        <w:rPr>
          <w:lang w:val="fr-FR"/>
        </w:rPr>
        <w:t>’</w:t>
      </w:r>
      <w:r w:rsidRPr="00E85000">
        <w:rPr>
          <w:lang w:val="fr-FR"/>
        </w:rPr>
        <w:t>il n</w:t>
      </w:r>
      <w:r w:rsidR="0068586D">
        <w:rPr>
          <w:lang w:val="fr-FR"/>
        </w:rPr>
        <w:t>’</w:t>
      </w:r>
      <w:r w:rsidRPr="00E85000">
        <w:rPr>
          <w:lang w:val="fr-FR"/>
        </w:rPr>
        <w:t>y avait pas de preuve directe que les lésions que l</w:t>
      </w:r>
      <w:r w:rsidR="0068586D">
        <w:rPr>
          <w:lang w:val="fr-FR"/>
        </w:rPr>
        <w:t>’</w:t>
      </w:r>
      <w:r w:rsidRPr="00E85000">
        <w:rPr>
          <w:lang w:val="fr-FR"/>
        </w:rPr>
        <w:t>intéressée avait subies avaient été causées par M.V. S</w:t>
      </w:r>
      <w:r w:rsidR="0068586D">
        <w:rPr>
          <w:lang w:val="fr-FR"/>
        </w:rPr>
        <w:t>’</w:t>
      </w:r>
      <w:r w:rsidRPr="00E85000">
        <w:rPr>
          <w:lang w:val="fr-FR"/>
        </w:rPr>
        <w:t>agissant de la plainte de la requérante relative à la violation alléguée du secret de la correspondance, le tribunal jugea qu</w:t>
      </w:r>
      <w:r w:rsidR="0068586D">
        <w:rPr>
          <w:lang w:val="fr-FR"/>
        </w:rPr>
        <w:t>’</w:t>
      </w:r>
      <w:r w:rsidRPr="00E85000">
        <w:rPr>
          <w:lang w:val="fr-FR"/>
        </w:rPr>
        <w:t>elle était sans rapport avec l</w:t>
      </w:r>
      <w:r w:rsidR="0068586D">
        <w:rPr>
          <w:lang w:val="fr-FR"/>
        </w:rPr>
        <w:t>’</w:t>
      </w:r>
      <w:r w:rsidRPr="00E85000">
        <w:rPr>
          <w:lang w:val="fr-FR"/>
        </w:rPr>
        <w:t>objet de l</w:t>
      </w:r>
      <w:r w:rsidR="0068586D">
        <w:rPr>
          <w:lang w:val="fr-FR"/>
        </w:rPr>
        <w:t>’</w:t>
      </w:r>
      <w:r w:rsidRPr="00E85000">
        <w:rPr>
          <w:lang w:val="fr-FR"/>
        </w:rPr>
        <w:t>affaire et que les données publiées sur les réseaux de socialisation étaient publiques. Le tribunal rejeta en outre les arguments de la requérante quant aux irrégularités commises lors de la consignation des déclarations des témoins (paragraphe 15 ci-dessus).</w:t>
      </w:r>
    </w:p>
    <w:p w:rsidRPr="00E85000" w:rsidR="00112A65" w:rsidP="00112A65" w:rsidRDefault="00112A65">
      <w:pPr>
        <w:pStyle w:val="ECHRHeading2"/>
        <w:rPr>
          <w:lang w:val="fr-FR"/>
        </w:rPr>
      </w:pPr>
      <w:r w:rsidRPr="00E85000">
        <w:rPr>
          <w:lang w:val="fr-FR"/>
        </w:rPr>
        <w:t>B.  La demande relative à l</w:t>
      </w:r>
      <w:r w:rsidR="0068586D">
        <w:rPr>
          <w:lang w:val="fr-FR"/>
        </w:rPr>
        <w:t>’</w:t>
      </w:r>
      <w:r w:rsidRPr="00E85000">
        <w:rPr>
          <w:lang w:val="fr-FR"/>
        </w:rPr>
        <w:t>obtention d</w:t>
      </w:r>
      <w:r w:rsidR="0068586D">
        <w:rPr>
          <w:lang w:val="fr-FR"/>
        </w:rPr>
        <w:t>’</w:t>
      </w:r>
      <w:r w:rsidRPr="00E85000">
        <w:rPr>
          <w:lang w:val="fr-FR"/>
        </w:rPr>
        <w:t>une ordonnance de protection</w:t>
      </w:r>
    </w:p>
    <w:bookmarkStart w:name="cerere_ordin_protectie" w:id="11"/>
    <w:p w:rsidRPr="00E85000" w:rsidR="00112A65" w:rsidP="00112A65" w:rsidRDefault="00112A65">
      <w:pPr>
        <w:pStyle w:val="ECHRPara"/>
        <w:rPr>
          <w:lang w:val="fr-FR"/>
        </w:rPr>
      </w:pPr>
      <w:r w:rsidRPr="00E85000">
        <w:rPr>
          <w:lang w:val="fr-FR"/>
        </w:rPr>
        <w:fldChar w:fldCharType="begin"/>
      </w:r>
      <w:r w:rsidRPr="00E85000">
        <w:rPr>
          <w:lang w:val="fr-FR"/>
        </w:rPr>
        <w:instrText xml:space="preserve"> SEQ level0 \*arabic </w:instrText>
      </w:r>
      <w:r w:rsidRPr="00E85000">
        <w:rPr>
          <w:lang w:val="fr-FR"/>
        </w:rPr>
        <w:fldChar w:fldCharType="separate"/>
      </w:r>
      <w:r w:rsidRPr="00E85000">
        <w:rPr>
          <w:noProof/>
          <w:lang w:val="fr-FR"/>
        </w:rPr>
        <w:t>22</w:t>
      </w:r>
      <w:r w:rsidRPr="00E85000">
        <w:rPr>
          <w:lang w:val="fr-FR"/>
        </w:rPr>
        <w:fldChar w:fldCharType="end"/>
      </w:r>
      <w:bookmarkEnd w:id="11"/>
      <w:r w:rsidRPr="00E85000">
        <w:rPr>
          <w:lang w:val="fr-FR"/>
        </w:rPr>
        <w:t>.  À une date non précisée, la requérante demanda au tribunal de première instance la délivrance d</w:t>
      </w:r>
      <w:r w:rsidR="0068586D">
        <w:rPr>
          <w:lang w:val="fr-FR"/>
        </w:rPr>
        <w:t>’</w:t>
      </w:r>
      <w:r w:rsidRPr="00E85000">
        <w:rPr>
          <w:lang w:val="fr-FR"/>
        </w:rPr>
        <w:t>une ordonnance de protection (</w:t>
      </w:r>
      <w:proofErr w:type="spellStart"/>
      <w:r w:rsidRPr="00E85000">
        <w:rPr>
          <w:i/>
          <w:lang w:val="fr-FR"/>
        </w:rPr>
        <w:t>ordin</w:t>
      </w:r>
      <w:proofErr w:type="spellEnd"/>
      <w:r w:rsidRPr="00E85000">
        <w:rPr>
          <w:i/>
          <w:lang w:val="fr-FR"/>
        </w:rPr>
        <w:t xml:space="preserve"> de </w:t>
      </w:r>
      <w:proofErr w:type="spellStart"/>
      <w:r w:rsidRPr="00E85000">
        <w:rPr>
          <w:i/>
          <w:lang w:val="fr-FR"/>
        </w:rPr>
        <w:t>protecţie</w:t>
      </w:r>
      <w:proofErr w:type="spellEnd"/>
      <w:r w:rsidRPr="00E85000">
        <w:rPr>
          <w:lang w:val="fr-FR"/>
        </w:rPr>
        <w:t>) contre M.V., sur le fondement de la loi n</w:t>
      </w:r>
      <w:r w:rsidRPr="00E85000">
        <w:rPr>
          <w:vertAlign w:val="superscript"/>
          <w:lang w:val="fr-FR"/>
        </w:rPr>
        <w:t>o</w:t>
      </w:r>
      <w:r w:rsidRPr="00E85000">
        <w:rPr>
          <w:lang w:val="fr-FR"/>
        </w:rPr>
        <w:t xml:space="preserve"> 217/2003 sur la prévention et la lutte contre la violence domestique (« la loi n</w:t>
      </w:r>
      <w:r w:rsidRPr="00E85000">
        <w:rPr>
          <w:vertAlign w:val="superscript"/>
          <w:lang w:val="fr-FR"/>
        </w:rPr>
        <w:t>o</w:t>
      </w:r>
      <w:r w:rsidRPr="00E85000">
        <w:rPr>
          <w:lang w:val="fr-FR"/>
        </w:rPr>
        <w:t> 217/2003 » ; paragraphe 33 ci-dessous).</w:t>
      </w:r>
    </w:p>
    <w:bookmarkStart w:name="ordin_protectie" w:id="12"/>
    <w:p w:rsidRPr="00E85000" w:rsidR="00112A65" w:rsidP="00112A65" w:rsidRDefault="00112A65">
      <w:pPr>
        <w:pStyle w:val="ECHRPara"/>
        <w:rPr>
          <w:lang w:val="fr-FR"/>
        </w:rPr>
      </w:pPr>
      <w:r w:rsidRPr="00E85000">
        <w:rPr>
          <w:lang w:val="fr-FR"/>
        </w:rPr>
        <w:fldChar w:fldCharType="begin"/>
      </w:r>
      <w:r w:rsidRPr="00E85000">
        <w:rPr>
          <w:lang w:val="fr-FR"/>
        </w:rPr>
        <w:instrText xml:space="preserve"> SEQ level0 \*arabic </w:instrText>
      </w:r>
      <w:r w:rsidRPr="00E85000">
        <w:rPr>
          <w:lang w:val="fr-FR"/>
        </w:rPr>
        <w:fldChar w:fldCharType="separate"/>
      </w:r>
      <w:r w:rsidRPr="00E85000">
        <w:rPr>
          <w:noProof/>
          <w:lang w:val="fr-FR"/>
        </w:rPr>
        <w:t>23</w:t>
      </w:r>
      <w:r w:rsidRPr="00E85000">
        <w:rPr>
          <w:lang w:val="fr-FR"/>
        </w:rPr>
        <w:fldChar w:fldCharType="end"/>
      </w:r>
      <w:bookmarkEnd w:id="12"/>
      <w:r w:rsidRPr="00E85000">
        <w:rPr>
          <w:lang w:val="fr-FR"/>
        </w:rPr>
        <w:t>.  Par un jugement exécutoire en date du 13 mars 2014, le tribunal de première instance, se fondant sur la déclaration de la mère de la requérante, entendue en qualité de témoin, et sur le certificat médicolégal du 23 décembre 2013 (paragraphe 8 ci-dessus), jugea que M.V. avait agressé et menacé son ex-épouse. Il accueillit en conséquence la demande de la requérante, et il délivra une ordonnance de protection valable pour une durée de six mois et rédigée en ces termes :</w:t>
      </w:r>
    </w:p>
    <w:p w:rsidRPr="00E85000" w:rsidR="00112A65" w:rsidP="00112A65" w:rsidRDefault="00112A65">
      <w:pPr>
        <w:pStyle w:val="ECHRParaQuote"/>
        <w:rPr>
          <w:lang w:val="fr-FR"/>
        </w:rPr>
      </w:pPr>
      <w:r w:rsidRPr="00E85000">
        <w:rPr>
          <w:lang w:val="fr-FR"/>
        </w:rPr>
        <w:t>« Pendant la durée de l</w:t>
      </w:r>
      <w:r w:rsidR="0068586D">
        <w:rPr>
          <w:lang w:val="fr-FR"/>
        </w:rPr>
        <w:t>’</w:t>
      </w:r>
      <w:r w:rsidRPr="00E85000">
        <w:rPr>
          <w:lang w:val="fr-FR"/>
        </w:rPr>
        <w:t>ordonnance de protection, [le tribunal] établit les mesures suivantes à la charge de la partie défenderesse :</w:t>
      </w:r>
    </w:p>
    <w:p w:rsidRPr="00E85000" w:rsidR="00112A65" w:rsidP="00112A65" w:rsidRDefault="00112A65">
      <w:pPr>
        <w:pStyle w:val="ECHRParaQuote"/>
        <w:rPr>
          <w:lang w:val="fr-FR"/>
        </w:rPr>
      </w:pPr>
      <w:r w:rsidRPr="00E85000">
        <w:rPr>
          <w:lang w:val="fr-FR"/>
        </w:rPr>
        <w:t>- l</w:t>
      </w:r>
      <w:r w:rsidR="0068586D">
        <w:rPr>
          <w:lang w:val="fr-FR"/>
        </w:rPr>
        <w:t>’</w:t>
      </w:r>
      <w:r w:rsidRPr="00E85000">
        <w:rPr>
          <w:lang w:val="fr-FR"/>
        </w:rPr>
        <w:t>expulsion de l</w:t>
      </w:r>
      <w:r w:rsidR="0068586D">
        <w:rPr>
          <w:lang w:val="fr-FR"/>
        </w:rPr>
        <w:t>’</w:t>
      </w:r>
      <w:r w:rsidRPr="00E85000">
        <w:rPr>
          <w:lang w:val="fr-FR"/>
        </w:rPr>
        <w:t>immeuble sis à Tulcea (...) ;</w:t>
      </w:r>
    </w:p>
    <w:p w:rsidRPr="00E85000" w:rsidR="00112A65" w:rsidP="00112A65" w:rsidRDefault="00112A65">
      <w:pPr>
        <w:pStyle w:val="ECHRParaQuote"/>
        <w:rPr>
          <w:lang w:val="fr-FR"/>
        </w:rPr>
      </w:pPr>
      <w:r w:rsidRPr="00E85000">
        <w:rPr>
          <w:lang w:val="fr-FR"/>
        </w:rPr>
        <w:t>- l</w:t>
      </w:r>
      <w:r w:rsidR="0068586D">
        <w:rPr>
          <w:lang w:val="fr-FR"/>
        </w:rPr>
        <w:t>’</w:t>
      </w:r>
      <w:r w:rsidRPr="00E85000">
        <w:rPr>
          <w:lang w:val="fr-FR"/>
        </w:rPr>
        <w:t>obligation de garder une distance minimale de 200 mètres par rapport à la partie demanderesse ;</w:t>
      </w:r>
    </w:p>
    <w:p w:rsidRPr="00E85000" w:rsidR="00112A65" w:rsidP="00112A65" w:rsidRDefault="00112A65">
      <w:pPr>
        <w:pStyle w:val="ECHRParaQuote"/>
        <w:rPr>
          <w:lang w:val="fr-FR"/>
        </w:rPr>
      </w:pPr>
      <w:r w:rsidRPr="00E85000">
        <w:rPr>
          <w:lang w:val="fr-FR"/>
        </w:rPr>
        <w:t>- l</w:t>
      </w:r>
      <w:r w:rsidR="0068586D">
        <w:rPr>
          <w:lang w:val="fr-FR"/>
        </w:rPr>
        <w:t>’</w:t>
      </w:r>
      <w:r w:rsidRPr="00E85000">
        <w:rPr>
          <w:lang w:val="fr-FR"/>
        </w:rPr>
        <w:t>interdiction de se déplacer à l</w:t>
      </w:r>
      <w:r w:rsidR="0068586D">
        <w:rPr>
          <w:lang w:val="fr-FR"/>
        </w:rPr>
        <w:t>’</w:t>
      </w:r>
      <w:r w:rsidRPr="00E85000">
        <w:rPr>
          <w:lang w:val="fr-FR"/>
        </w:rPr>
        <w:t>adresse des parents de la partie demanderesse à Tulcea (...) ;</w:t>
      </w:r>
    </w:p>
    <w:p w:rsidRPr="00E85000" w:rsidR="00112A65" w:rsidP="00112A65" w:rsidRDefault="00112A65">
      <w:pPr>
        <w:pStyle w:val="ECHRParaQuote"/>
        <w:rPr>
          <w:lang w:val="fr-FR"/>
        </w:rPr>
      </w:pPr>
      <w:r w:rsidRPr="00E85000">
        <w:rPr>
          <w:lang w:val="fr-FR"/>
        </w:rPr>
        <w:t>- l</w:t>
      </w:r>
      <w:r w:rsidR="0068586D">
        <w:rPr>
          <w:lang w:val="fr-FR"/>
        </w:rPr>
        <w:t>’</w:t>
      </w:r>
      <w:r w:rsidRPr="00E85000">
        <w:rPr>
          <w:lang w:val="fr-FR"/>
        </w:rPr>
        <w:t>interdiction d</w:t>
      </w:r>
      <w:r w:rsidR="0068586D">
        <w:rPr>
          <w:lang w:val="fr-FR"/>
        </w:rPr>
        <w:t>’</w:t>
      </w:r>
      <w:r w:rsidRPr="00E85000">
        <w:rPr>
          <w:lang w:val="fr-FR"/>
        </w:rPr>
        <w:t>établir tout contact par téléphone, par correspondance ou de toute autre manière avec la partie demanderesse. »</w:t>
      </w:r>
    </w:p>
    <w:p w:rsidRPr="00E85000" w:rsidR="00112A65" w:rsidP="00112A65" w:rsidRDefault="00112A65">
      <w:pPr>
        <w:pStyle w:val="ECHRPara"/>
        <w:rPr>
          <w:lang w:val="fr-FR"/>
        </w:rPr>
      </w:pPr>
      <w:r w:rsidRPr="00E85000">
        <w:rPr>
          <w:lang w:val="fr-FR"/>
        </w:rPr>
        <w:fldChar w:fldCharType="begin"/>
      </w:r>
      <w:r w:rsidRPr="00E85000">
        <w:rPr>
          <w:lang w:val="fr-FR"/>
        </w:rPr>
        <w:instrText xml:space="preserve"> SEQ level0 \*arabic </w:instrText>
      </w:r>
      <w:r w:rsidRPr="00E85000">
        <w:rPr>
          <w:lang w:val="fr-FR"/>
        </w:rPr>
        <w:fldChar w:fldCharType="separate"/>
      </w:r>
      <w:r w:rsidRPr="00E85000">
        <w:rPr>
          <w:noProof/>
          <w:lang w:val="fr-FR"/>
        </w:rPr>
        <w:t>24</w:t>
      </w:r>
      <w:r w:rsidRPr="00E85000">
        <w:rPr>
          <w:lang w:val="fr-FR"/>
        </w:rPr>
        <w:fldChar w:fldCharType="end"/>
      </w:r>
      <w:r w:rsidRPr="00E85000">
        <w:rPr>
          <w:lang w:val="fr-FR"/>
        </w:rPr>
        <w:t>.  Le 17 mars 2014, la police informa M.V. de l</w:t>
      </w:r>
      <w:r w:rsidR="0068586D">
        <w:rPr>
          <w:lang w:val="fr-FR"/>
        </w:rPr>
        <w:t>’</w:t>
      </w:r>
      <w:r w:rsidRPr="00E85000">
        <w:rPr>
          <w:lang w:val="fr-FR"/>
        </w:rPr>
        <w:t>ordonnance de protection prise à son encontre. Le Gouvernement a envoyé les copies de deux procès-verbaux rédigés par la police de Tulcea à cette fin, qui comportent également la signature de la requérante.</w:t>
      </w:r>
    </w:p>
    <w:p w:rsidRPr="00E85000" w:rsidR="00112A65" w:rsidP="00112A65" w:rsidRDefault="00112A65">
      <w:pPr>
        <w:pStyle w:val="ECHRPara"/>
        <w:rPr>
          <w:lang w:val="fr-FR"/>
        </w:rPr>
      </w:pPr>
      <w:r w:rsidRPr="00E85000">
        <w:rPr>
          <w:lang w:val="fr-FR"/>
        </w:rPr>
        <w:fldChar w:fldCharType="begin"/>
      </w:r>
      <w:r w:rsidRPr="00E85000">
        <w:rPr>
          <w:lang w:val="fr-FR"/>
        </w:rPr>
        <w:instrText xml:space="preserve"> SEQ level0 \*arabic </w:instrText>
      </w:r>
      <w:r w:rsidRPr="00E85000">
        <w:rPr>
          <w:lang w:val="fr-FR"/>
        </w:rPr>
        <w:fldChar w:fldCharType="separate"/>
      </w:r>
      <w:r w:rsidRPr="00E85000">
        <w:rPr>
          <w:noProof/>
          <w:lang w:val="fr-FR"/>
        </w:rPr>
        <w:t>25</w:t>
      </w:r>
      <w:r w:rsidRPr="00E85000">
        <w:rPr>
          <w:lang w:val="fr-FR"/>
        </w:rPr>
        <w:fldChar w:fldCharType="end"/>
      </w:r>
      <w:r w:rsidRPr="00E85000">
        <w:rPr>
          <w:lang w:val="fr-FR"/>
        </w:rPr>
        <w:t>.  Entre-temps, M.V. avait interjeté appel du jugement susmentionné. Par un arrêt du 18 septembre 2014, le tribunal départemental de Tulcea le débouta et confirma les faits établis par le tribunal de première instance.</w:t>
      </w:r>
    </w:p>
    <w:bookmarkStart w:name="par26" w:id="13"/>
    <w:p w:rsidRPr="00E85000" w:rsidR="00112A65" w:rsidP="00112A65" w:rsidRDefault="00112A65">
      <w:pPr>
        <w:pStyle w:val="ECHRPara"/>
        <w:rPr>
          <w:lang w:val="fr-FR"/>
        </w:rPr>
      </w:pPr>
      <w:r w:rsidRPr="00E85000">
        <w:rPr>
          <w:lang w:val="fr-FR"/>
        </w:rPr>
        <w:fldChar w:fldCharType="begin"/>
      </w:r>
      <w:r w:rsidRPr="00E85000">
        <w:rPr>
          <w:lang w:val="fr-FR"/>
        </w:rPr>
        <w:instrText xml:space="preserve"> SEQ level0 \*arabic </w:instrText>
      </w:r>
      <w:r w:rsidRPr="00E85000">
        <w:rPr>
          <w:lang w:val="fr-FR"/>
        </w:rPr>
        <w:fldChar w:fldCharType="separate"/>
      </w:r>
      <w:r w:rsidRPr="00E85000">
        <w:rPr>
          <w:noProof/>
          <w:lang w:val="fr-FR"/>
        </w:rPr>
        <w:t>26</w:t>
      </w:r>
      <w:r w:rsidRPr="00E85000">
        <w:rPr>
          <w:lang w:val="fr-FR"/>
        </w:rPr>
        <w:fldChar w:fldCharType="end"/>
      </w:r>
      <w:bookmarkEnd w:id="13"/>
      <w:r w:rsidRPr="00E85000">
        <w:rPr>
          <w:lang w:val="fr-FR"/>
        </w:rPr>
        <w:t>.  La requérante allègue que la police a mis en application l</w:t>
      </w:r>
      <w:r w:rsidR="0068586D">
        <w:rPr>
          <w:lang w:val="fr-FR"/>
        </w:rPr>
        <w:t>’</w:t>
      </w:r>
      <w:r w:rsidRPr="00E85000">
        <w:rPr>
          <w:lang w:val="fr-FR"/>
        </w:rPr>
        <w:t>ordonnance de protection avec retard et que M.V. ne l</w:t>
      </w:r>
      <w:r w:rsidR="0068586D">
        <w:rPr>
          <w:lang w:val="fr-FR"/>
        </w:rPr>
        <w:t>’</w:t>
      </w:r>
      <w:r w:rsidRPr="00E85000">
        <w:rPr>
          <w:lang w:val="fr-FR"/>
        </w:rPr>
        <w:t>a pas respectée. À cet égard, elle précise que ce dernier s</w:t>
      </w:r>
      <w:r w:rsidR="0068586D">
        <w:rPr>
          <w:lang w:val="fr-FR"/>
        </w:rPr>
        <w:t>’</w:t>
      </w:r>
      <w:r w:rsidRPr="00E85000">
        <w:rPr>
          <w:lang w:val="fr-FR"/>
        </w:rPr>
        <w:t>est rendu à proximité de l</w:t>
      </w:r>
      <w:r w:rsidR="0068586D">
        <w:rPr>
          <w:lang w:val="fr-FR"/>
        </w:rPr>
        <w:t>’</w:t>
      </w:r>
      <w:r w:rsidRPr="00E85000">
        <w:rPr>
          <w:lang w:val="fr-FR"/>
        </w:rPr>
        <w:t>immeuble d</w:t>
      </w:r>
      <w:r w:rsidR="0068586D">
        <w:rPr>
          <w:lang w:val="fr-FR"/>
        </w:rPr>
        <w:t>’</w:t>
      </w:r>
      <w:r w:rsidRPr="00E85000">
        <w:rPr>
          <w:lang w:val="fr-FR"/>
        </w:rPr>
        <w:t>habitation de ses parents et qu</w:t>
      </w:r>
      <w:r w:rsidR="0068586D">
        <w:rPr>
          <w:lang w:val="fr-FR"/>
        </w:rPr>
        <w:t>’</w:t>
      </w:r>
      <w:r w:rsidRPr="00E85000">
        <w:rPr>
          <w:lang w:val="fr-FR"/>
        </w:rPr>
        <w:t>elle a reçu des menaces de sa part par l</w:t>
      </w:r>
      <w:r w:rsidR="0068586D">
        <w:rPr>
          <w:lang w:val="fr-FR"/>
        </w:rPr>
        <w:t>’</w:t>
      </w:r>
      <w:r w:rsidRPr="00E85000">
        <w:rPr>
          <w:lang w:val="fr-FR"/>
        </w:rPr>
        <w:t>intermédiaire d</w:t>
      </w:r>
      <w:r w:rsidR="0068586D">
        <w:rPr>
          <w:lang w:val="fr-FR"/>
        </w:rPr>
        <w:t>’</w:t>
      </w:r>
      <w:r w:rsidRPr="00E85000">
        <w:rPr>
          <w:lang w:val="fr-FR"/>
        </w:rPr>
        <w:t>un membre de sa famille. Elle ajoute que son ex-époux a pris contact avec elle par l</w:t>
      </w:r>
      <w:r w:rsidR="0068586D">
        <w:rPr>
          <w:lang w:val="fr-FR"/>
        </w:rPr>
        <w:t>’</w:t>
      </w:r>
      <w:r w:rsidRPr="00E85000">
        <w:rPr>
          <w:lang w:val="fr-FR"/>
        </w:rPr>
        <w:t>intermédiaire d</w:t>
      </w:r>
      <w:r w:rsidR="0068586D">
        <w:rPr>
          <w:lang w:val="fr-FR"/>
        </w:rPr>
        <w:t>’</w:t>
      </w:r>
      <w:r w:rsidRPr="00E85000">
        <w:rPr>
          <w:lang w:val="fr-FR"/>
        </w:rPr>
        <w:t>un médiateur, afin de la convaincre de retirer ses plaintes pénales en échange d</w:t>
      </w:r>
      <w:r w:rsidR="0068586D">
        <w:rPr>
          <w:lang w:val="fr-FR"/>
        </w:rPr>
        <w:t>’</w:t>
      </w:r>
      <w:r w:rsidRPr="00E85000">
        <w:rPr>
          <w:lang w:val="fr-FR"/>
        </w:rPr>
        <w:t>un partage plus favorable des biens communs, tout en la menaçant de déposer une plainte pénale contre elle pour diffamation. Elle soutient aussi que M.V. est rentré en contact avec sa mère et sa fille, et qu</w:t>
      </w:r>
      <w:r w:rsidR="0068586D">
        <w:rPr>
          <w:lang w:val="fr-FR"/>
        </w:rPr>
        <w:t>’</w:t>
      </w:r>
      <w:r w:rsidRPr="00E85000">
        <w:rPr>
          <w:lang w:val="fr-FR"/>
        </w:rPr>
        <w:t>elle en a informé la police à plusieurs reprises, en vain.</w:t>
      </w:r>
    </w:p>
    <w:bookmarkStart w:name="par27" w:id="14"/>
    <w:p w:rsidRPr="00E85000" w:rsidR="00112A65" w:rsidP="00112A65" w:rsidRDefault="00112A65">
      <w:pPr>
        <w:pStyle w:val="ECHRPara"/>
        <w:rPr>
          <w:lang w:val="fr-FR"/>
        </w:rPr>
      </w:pPr>
      <w:r w:rsidRPr="00E85000">
        <w:rPr>
          <w:lang w:val="fr-FR"/>
        </w:rPr>
        <w:fldChar w:fldCharType="begin"/>
      </w:r>
      <w:r w:rsidRPr="00E85000">
        <w:rPr>
          <w:lang w:val="fr-FR"/>
        </w:rPr>
        <w:instrText xml:space="preserve"> SEQ level0 \*arabic </w:instrText>
      </w:r>
      <w:r w:rsidRPr="00E85000">
        <w:rPr>
          <w:lang w:val="fr-FR"/>
        </w:rPr>
        <w:fldChar w:fldCharType="separate"/>
      </w:r>
      <w:r w:rsidRPr="00E85000">
        <w:rPr>
          <w:noProof/>
          <w:lang w:val="fr-FR"/>
        </w:rPr>
        <w:t>27</w:t>
      </w:r>
      <w:r w:rsidRPr="00E85000">
        <w:rPr>
          <w:lang w:val="fr-FR"/>
        </w:rPr>
        <w:fldChar w:fldCharType="end"/>
      </w:r>
      <w:bookmarkEnd w:id="14"/>
      <w:r w:rsidRPr="00E85000">
        <w:rPr>
          <w:lang w:val="fr-FR"/>
        </w:rPr>
        <w:t>.  Le Gouvernement fait valoir qu</w:t>
      </w:r>
      <w:r w:rsidR="0068586D">
        <w:rPr>
          <w:lang w:val="fr-FR"/>
        </w:rPr>
        <w:t>’</w:t>
      </w:r>
      <w:r w:rsidRPr="00E85000">
        <w:rPr>
          <w:lang w:val="fr-FR"/>
        </w:rPr>
        <w:t>il n</w:t>
      </w:r>
      <w:r w:rsidR="0068586D">
        <w:rPr>
          <w:lang w:val="fr-FR"/>
        </w:rPr>
        <w:t>’</w:t>
      </w:r>
      <w:r w:rsidRPr="00E85000">
        <w:rPr>
          <w:lang w:val="fr-FR"/>
        </w:rPr>
        <w:t>a identifié dans le dossier des autorités internes aucune demande de protection faite par la requérante pendant la période de mise en application de l</w:t>
      </w:r>
      <w:r w:rsidR="0068586D">
        <w:rPr>
          <w:lang w:val="fr-FR"/>
        </w:rPr>
        <w:t>’</w:t>
      </w:r>
      <w:r w:rsidRPr="00E85000">
        <w:rPr>
          <w:lang w:val="fr-FR"/>
        </w:rPr>
        <w:t>ordonnance de protection, c</w:t>
      </w:r>
      <w:r w:rsidR="0068586D">
        <w:rPr>
          <w:lang w:val="fr-FR"/>
        </w:rPr>
        <w:t>’</w:t>
      </w:r>
      <w:r w:rsidRPr="00E85000">
        <w:rPr>
          <w:lang w:val="fr-FR"/>
        </w:rPr>
        <w:t>est-à-dire jusqu</w:t>
      </w:r>
      <w:r w:rsidR="0068586D">
        <w:rPr>
          <w:lang w:val="fr-FR"/>
        </w:rPr>
        <w:t>’</w:t>
      </w:r>
      <w:r w:rsidRPr="00E85000">
        <w:rPr>
          <w:lang w:val="fr-FR"/>
        </w:rPr>
        <w:t>au 13 septembre 2014 (paragraphe 23 ci-dessus) et que la requérante n</w:t>
      </w:r>
      <w:r w:rsidR="0068586D">
        <w:rPr>
          <w:lang w:val="fr-FR"/>
        </w:rPr>
        <w:t>’</w:t>
      </w:r>
      <w:r w:rsidRPr="00E85000">
        <w:rPr>
          <w:lang w:val="fr-FR"/>
        </w:rPr>
        <w:t>a pas demandé le renouvellement de l</w:t>
      </w:r>
      <w:r w:rsidR="0068586D">
        <w:rPr>
          <w:lang w:val="fr-FR"/>
        </w:rPr>
        <w:t>’</w:t>
      </w:r>
      <w:r w:rsidRPr="00E85000">
        <w:rPr>
          <w:lang w:val="fr-FR"/>
        </w:rPr>
        <w:t>ordonnance après le 13 septembre 2014.</w:t>
      </w:r>
    </w:p>
    <w:p w:rsidRPr="00E85000" w:rsidR="00112A65" w:rsidP="00112A65" w:rsidRDefault="00112A65">
      <w:pPr>
        <w:pStyle w:val="ECHRHeading2"/>
        <w:rPr>
          <w:lang w:val="fr-FR"/>
        </w:rPr>
      </w:pPr>
      <w:r w:rsidRPr="00E85000">
        <w:rPr>
          <w:lang w:val="fr-FR"/>
        </w:rPr>
        <w:t>C.  L</w:t>
      </w:r>
      <w:r w:rsidR="0068586D">
        <w:rPr>
          <w:lang w:val="fr-FR"/>
        </w:rPr>
        <w:t>’</w:t>
      </w:r>
      <w:r w:rsidRPr="00E85000">
        <w:rPr>
          <w:lang w:val="fr-FR"/>
        </w:rPr>
        <w:t>incident survenu le 29 octobre 2015</w:t>
      </w:r>
    </w:p>
    <w:bookmarkStart w:name="incident_oct2015" w:id="15"/>
    <w:p w:rsidRPr="00E85000" w:rsidR="00112A65" w:rsidP="00112A65" w:rsidRDefault="00112A65">
      <w:pPr>
        <w:pStyle w:val="ECHRPara"/>
        <w:rPr>
          <w:lang w:val="fr-FR"/>
        </w:rPr>
      </w:pPr>
      <w:r w:rsidRPr="00E85000">
        <w:rPr>
          <w:lang w:val="fr-FR"/>
        </w:rPr>
        <w:fldChar w:fldCharType="begin"/>
      </w:r>
      <w:r w:rsidRPr="00E85000">
        <w:rPr>
          <w:lang w:val="fr-FR"/>
        </w:rPr>
        <w:instrText xml:space="preserve"> SEQ level0 \*arabic </w:instrText>
      </w:r>
      <w:r w:rsidRPr="00E85000">
        <w:rPr>
          <w:lang w:val="fr-FR"/>
        </w:rPr>
        <w:fldChar w:fldCharType="separate"/>
      </w:r>
      <w:r w:rsidRPr="00E85000">
        <w:rPr>
          <w:noProof/>
          <w:lang w:val="fr-FR"/>
        </w:rPr>
        <w:t>28</w:t>
      </w:r>
      <w:r w:rsidRPr="00E85000">
        <w:rPr>
          <w:lang w:val="fr-FR"/>
        </w:rPr>
        <w:fldChar w:fldCharType="end"/>
      </w:r>
      <w:bookmarkEnd w:id="15"/>
      <w:r w:rsidRPr="00E85000">
        <w:rPr>
          <w:lang w:val="fr-FR"/>
        </w:rPr>
        <w:t>.  La requérante se réfère également à un incident survenu le 29 octobre 2015, au cours duquel M.V. l</w:t>
      </w:r>
      <w:r w:rsidR="0068586D">
        <w:rPr>
          <w:lang w:val="fr-FR"/>
        </w:rPr>
        <w:t>’</w:t>
      </w:r>
      <w:r w:rsidRPr="00E85000">
        <w:rPr>
          <w:lang w:val="fr-FR"/>
        </w:rPr>
        <w:t>aurait poursuivie dans la rue. Elle indique avoir saisi la police de Tulcea le 3 novembre 2015 pour demander les enregistrements des caméras de surveillance installées à proximité des lieux publics où elle disait avoir été poursuivie par M.V.</w:t>
      </w:r>
    </w:p>
    <w:bookmarkStart w:name="incident_oct2015_enquête_pendante" w:id="16"/>
    <w:p w:rsidRPr="00E85000" w:rsidR="00112A65" w:rsidP="00112A65" w:rsidRDefault="00112A65">
      <w:pPr>
        <w:pStyle w:val="ECHRPara"/>
        <w:rPr>
          <w:lang w:val="fr-FR"/>
        </w:rPr>
      </w:pPr>
      <w:r w:rsidRPr="00E85000">
        <w:rPr>
          <w:lang w:val="fr-FR"/>
        </w:rPr>
        <w:fldChar w:fldCharType="begin"/>
      </w:r>
      <w:r w:rsidRPr="00E85000">
        <w:rPr>
          <w:lang w:val="fr-FR"/>
        </w:rPr>
        <w:instrText xml:space="preserve"> SEQ level0 \*arabic </w:instrText>
      </w:r>
      <w:r w:rsidRPr="00E85000">
        <w:rPr>
          <w:lang w:val="fr-FR"/>
        </w:rPr>
        <w:fldChar w:fldCharType="separate"/>
      </w:r>
      <w:r w:rsidRPr="00E85000">
        <w:rPr>
          <w:noProof/>
          <w:lang w:val="fr-FR"/>
        </w:rPr>
        <w:t>29</w:t>
      </w:r>
      <w:r w:rsidRPr="00E85000">
        <w:rPr>
          <w:lang w:val="fr-FR"/>
        </w:rPr>
        <w:fldChar w:fldCharType="end"/>
      </w:r>
      <w:bookmarkEnd w:id="16"/>
      <w:r w:rsidRPr="00E85000">
        <w:rPr>
          <w:lang w:val="fr-FR"/>
        </w:rPr>
        <w:t>.  Le Gouvernement indique qu</w:t>
      </w:r>
      <w:r w:rsidR="0068586D">
        <w:rPr>
          <w:lang w:val="fr-FR"/>
        </w:rPr>
        <w:t>’</w:t>
      </w:r>
      <w:r w:rsidRPr="00E85000">
        <w:rPr>
          <w:lang w:val="fr-FR"/>
        </w:rPr>
        <w:t>une procédure pénale pour harcèlement était pendante devant le parquet au moment de l</w:t>
      </w:r>
      <w:r w:rsidR="0068586D">
        <w:rPr>
          <w:lang w:val="fr-FR"/>
        </w:rPr>
        <w:t>’</w:t>
      </w:r>
      <w:r w:rsidRPr="00E85000">
        <w:rPr>
          <w:lang w:val="fr-FR"/>
        </w:rPr>
        <w:t>échange des observations en la présente affaire (27 juillet 2017). Dans le cadre de cette procédure, la police entendit la requérante et son ex-mari et obtint les enregistrements des caméras de surveillance placées à proximité du lieu indiqué par la requérante. Le témoin qui accompagnait la requérante lors de l</w:t>
      </w:r>
      <w:r w:rsidR="0068586D">
        <w:rPr>
          <w:lang w:val="fr-FR"/>
        </w:rPr>
        <w:t>’</w:t>
      </w:r>
      <w:r w:rsidRPr="00E85000">
        <w:rPr>
          <w:lang w:val="fr-FR"/>
        </w:rPr>
        <w:t>incident ne put être entendu car il était entre-temps parti à l</w:t>
      </w:r>
      <w:r w:rsidR="0068586D">
        <w:rPr>
          <w:lang w:val="fr-FR"/>
        </w:rPr>
        <w:t>’</w:t>
      </w:r>
      <w:r w:rsidRPr="00E85000">
        <w:rPr>
          <w:lang w:val="fr-FR"/>
        </w:rPr>
        <w:t>étranger.</w:t>
      </w:r>
    </w:p>
    <w:p w:rsidRPr="00E85000" w:rsidR="00112A65" w:rsidP="00112A65" w:rsidRDefault="00112A65">
      <w:pPr>
        <w:pStyle w:val="ECHRPara"/>
        <w:rPr>
          <w:lang w:val="fr-FR"/>
        </w:rPr>
      </w:pPr>
      <w:r w:rsidRPr="00E85000">
        <w:rPr>
          <w:lang w:val="fr-FR"/>
        </w:rPr>
        <w:fldChar w:fldCharType="begin"/>
      </w:r>
      <w:r w:rsidRPr="00E85000">
        <w:rPr>
          <w:lang w:val="fr-FR"/>
        </w:rPr>
        <w:instrText xml:space="preserve"> SEQ level0 \*arabic </w:instrText>
      </w:r>
      <w:r w:rsidRPr="00E85000">
        <w:rPr>
          <w:lang w:val="fr-FR"/>
        </w:rPr>
        <w:fldChar w:fldCharType="separate"/>
      </w:r>
      <w:r w:rsidRPr="00E85000">
        <w:rPr>
          <w:noProof/>
          <w:lang w:val="fr-FR"/>
        </w:rPr>
        <w:t>30</w:t>
      </w:r>
      <w:r w:rsidRPr="00E85000">
        <w:rPr>
          <w:lang w:val="fr-FR"/>
        </w:rPr>
        <w:fldChar w:fldCharType="end"/>
      </w:r>
      <w:r w:rsidRPr="00E85000">
        <w:rPr>
          <w:lang w:val="fr-FR"/>
        </w:rPr>
        <w:t>.  Les parties n</w:t>
      </w:r>
      <w:r w:rsidR="0068586D">
        <w:rPr>
          <w:lang w:val="fr-FR"/>
        </w:rPr>
        <w:t>’</w:t>
      </w:r>
      <w:r w:rsidRPr="00E85000">
        <w:rPr>
          <w:lang w:val="fr-FR"/>
        </w:rPr>
        <w:t>ont pas informé la Cour de l</w:t>
      </w:r>
      <w:r w:rsidR="0068586D">
        <w:rPr>
          <w:lang w:val="fr-FR"/>
        </w:rPr>
        <w:t>’</w:t>
      </w:r>
      <w:r w:rsidRPr="00E85000">
        <w:rPr>
          <w:lang w:val="fr-FR"/>
        </w:rPr>
        <w:t>issue de cette procédure.</w:t>
      </w:r>
    </w:p>
    <w:p w:rsidRPr="00E85000" w:rsidR="00112A65" w:rsidP="00112A65" w:rsidRDefault="00112A65">
      <w:pPr>
        <w:pStyle w:val="ECHRHeading1"/>
        <w:rPr>
          <w:lang w:val="fr-FR"/>
        </w:rPr>
      </w:pPr>
      <w:r w:rsidRPr="00E85000">
        <w:rPr>
          <w:lang w:val="fr-FR"/>
        </w:rPr>
        <w:t>II.  LE DROIT INTERNE ET INTERNATIONAL PERTINENT</w:t>
      </w:r>
    </w:p>
    <w:p w:rsidRPr="00E85000" w:rsidR="00112A65" w:rsidP="00112A65" w:rsidRDefault="00112A65">
      <w:pPr>
        <w:pStyle w:val="ECHRHeading2"/>
        <w:rPr>
          <w:lang w:val="fr-FR"/>
        </w:rPr>
      </w:pPr>
      <w:r w:rsidRPr="00E85000">
        <w:rPr>
          <w:lang w:val="fr-FR"/>
        </w:rPr>
        <w:t>A.  Le droit interne</w:t>
      </w:r>
    </w:p>
    <w:bookmarkStart w:name="cod_penal_anter" w:id="17"/>
    <w:p w:rsidRPr="00E85000" w:rsidR="00112A65" w:rsidP="00112A65" w:rsidRDefault="00112A65">
      <w:pPr>
        <w:pStyle w:val="ECHRPara"/>
        <w:rPr>
          <w:lang w:val="fr-FR"/>
        </w:rPr>
      </w:pPr>
      <w:r w:rsidRPr="00E85000">
        <w:rPr>
          <w:lang w:val="fr-FR"/>
        </w:rPr>
        <w:fldChar w:fldCharType="begin"/>
      </w:r>
      <w:r w:rsidRPr="00E85000">
        <w:rPr>
          <w:lang w:val="fr-FR"/>
        </w:rPr>
        <w:instrText xml:space="preserve"> SEQ level0 \*arabic </w:instrText>
      </w:r>
      <w:r w:rsidRPr="00E85000">
        <w:rPr>
          <w:lang w:val="fr-FR"/>
        </w:rPr>
        <w:fldChar w:fldCharType="separate"/>
      </w:r>
      <w:r w:rsidRPr="00E85000">
        <w:rPr>
          <w:noProof/>
          <w:lang w:val="fr-FR"/>
        </w:rPr>
        <w:t>31</w:t>
      </w:r>
      <w:r w:rsidRPr="00E85000">
        <w:rPr>
          <w:lang w:val="fr-FR"/>
        </w:rPr>
        <w:fldChar w:fldCharType="end"/>
      </w:r>
      <w:bookmarkEnd w:id="17"/>
      <w:r w:rsidRPr="00E85000">
        <w:rPr>
          <w:lang w:val="fr-FR"/>
        </w:rPr>
        <w:t>.  Les dispositions pertinentes en l</w:t>
      </w:r>
      <w:r w:rsidR="0068586D">
        <w:rPr>
          <w:lang w:val="fr-FR"/>
        </w:rPr>
        <w:t>’</w:t>
      </w:r>
      <w:r w:rsidRPr="00E85000">
        <w:rPr>
          <w:lang w:val="fr-FR"/>
        </w:rPr>
        <w:t>espèce de l</w:t>
      </w:r>
      <w:r w:rsidR="0068586D">
        <w:rPr>
          <w:lang w:val="fr-FR"/>
        </w:rPr>
        <w:t>’</w:t>
      </w:r>
      <w:r w:rsidRPr="00E85000">
        <w:rPr>
          <w:lang w:val="fr-FR"/>
        </w:rPr>
        <w:t>ancien code pénal roumain, notamment celles relatives aux infractions de coups et autres violences et de menaces, sont décrites dans l</w:t>
      </w:r>
      <w:r w:rsidR="0068586D">
        <w:rPr>
          <w:lang w:val="fr-FR"/>
        </w:rPr>
        <w:t>’</w:t>
      </w:r>
      <w:r w:rsidRPr="00E85000">
        <w:rPr>
          <w:lang w:val="fr-FR"/>
        </w:rPr>
        <w:t xml:space="preserve">arrêt </w:t>
      </w:r>
      <w:r w:rsidRPr="00E85000">
        <w:rPr>
          <w:i/>
          <w:lang w:val="fr-FR"/>
        </w:rPr>
        <w:t>E.M. c. Roumanie</w:t>
      </w:r>
      <w:r w:rsidRPr="00E85000">
        <w:rPr>
          <w:lang w:val="fr-FR"/>
        </w:rPr>
        <w:t xml:space="preserve"> (n</w:t>
      </w:r>
      <w:r w:rsidRPr="00E85000">
        <w:rPr>
          <w:vertAlign w:val="superscript"/>
          <w:lang w:val="fr-FR"/>
        </w:rPr>
        <w:t>o</w:t>
      </w:r>
      <w:r w:rsidRPr="00E85000">
        <w:rPr>
          <w:lang w:val="fr-FR"/>
        </w:rPr>
        <w:t> 43994/05, § 41, 30 octobre 2012). L</w:t>
      </w:r>
      <w:r w:rsidR="0068586D">
        <w:rPr>
          <w:lang w:val="fr-FR"/>
        </w:rPr>
        <w:t>’</w:t>
      </w:r>
      <w:r w:rsidRPr="00E85000">
        <w:rPr>
          <w:lang w:val="fr-FR"/>
        </w:rPr>
        <w:t>ancien code pénal comportait en outre la disposition suivante :</w:t>
      </w:r>
    </w:p>
    <w:p w:rsidRPr="00E85000" w:rsidR="00112A65" w:rsidP="00112A65" w:rsidRDefault="00112A65">
      <w:pPr>
        <w:pStyle w:val="ECHRTitleCentre3"/>
        <w:rPr>
          <w:lang w:val="fr-FR"/>
        </w:rPr>
      </w:pPr>
      <w:r w:rsidRPr="00E85000">
        <w:rPr>
          <w:lang w:val="fr-FR"/>
        </w:rPr>
        <w:t>Article 195 – la violation du secret de la correspondance</w:t>
      </w:r>
    </w:p>
    <w:p w:rsidRPr="00E85000" w:rsidR="00112A65" w:rsidP="00112A65" w:rsidRDefault="00112A65">
      <w:pPr>
        <w:pStyle w:val="ECHRParaQuote"/>
        <w:rPr>
          <w:lang w:val="fr-FR"/>
        </w:rPr>
      </w:pPr>
      <w:r w:rsidRPr="00E85000">
        <w:rPr>
          <w:lang w:val="fr-FR"/>
        </w:rPr>
        <w:t>« 1. Quiconque, de manière illicite, ouvre la correspondance d</w:t>
      </w:r>
      <w:r w:rsidR="0068586D">
        <w:rPr>
          <w:lang w:val="fr-FR"/>
        </w:rPr>
        <w:t>’</w:t>
      </w:r>
      <w:r w:rsidRPr="00E85000">
        <w:rPr>
          <w:lang w:val="fr-FR"/>
        </w:rPr>
        <w:t>un tiers ou intercepte les conversations ou les communications téléphoniques d</w:t>
      </w:r>
      <w:r w:rsidR="0068586D">
        <w:rPr>
          <w:lang w:val="fr-FR"/>
        </w:rPr>
        <w:t>’</w:t>
      </w:r>
      <w:r w:rsidRPr="00E85000">
        <w:rPr>
          <w:lang w:val="fr-FR"/>
        </w:rPr>
        <w:t>un tiers, ses communications télégraphiques ou celles réalisées par tout autre moyen de transmission à longue distance est passible d</w:t>
      </w:r>
      <w:r w:rsidR="0068586D">
        <w:rPr>
          <w:lang w:val="fr-FR"/>
        </w:rPr>
        <w:t>’</w:t>
      </w:r>
      <w:r w:rsidRPr="00E85000">
        <w:rPr>
          <w:lang w:val="fr-FR"/>
        </w:rPr>
        <w:t>une peine d</w:t>
      </w:r>
      <w:r w:rsidR="0068586D">
        <w:rPr>
          <w:lang w:val="fr-FR"/>
        </w:rPr>
        <w:t>’</w:t>
      </w:r>
      <w:r w:rsidRPr="00E85000">
        <w:rPr>
          <w:lang w:val="fr-FR"/>
        </w:rPr>
        <w:t>emprisonnement allant de six mois à trois ans.</w:t>
      </w:r>
    </w:p>
    <w:p w:rsidRPr="00E85000" w:rsidR="00112A65" w:rsidP="00112A65" w:rsidRDefault="00112A65">
      <w:pPr>
        <w:pStyle w:val="ECHRParaQuote"/>
        <w:rPr>
          <w:lang w:val="fr-FR"/>
        </w:rPr>
      </w:pPr>
      <w:r w:rsidRPr="00E85000">
        <w:rPr>
          <w:lang w:val="fr-FR"/>
        </w:rPr>
        <w:t>(...)</w:t>
      </w:r>
    </w:p>
    <w:p w:rsidRPr="00E85000" w:rsidR="00112A65" w:rsidP="00112A65" w:rsidRDefault="00112A65">
      <w:pPr>
        <w:pStyle w:val="ECHRParaQuote"/>
        <w:rPr>
          <w:lang w:val="fr-FR"/>
        </w:rPr>
      </w:pPr>
      <w:r w:rsidRPr="00E85000">
        <w:rPr>
          <w:lang w:val="fr-FR"/>
        </w:rPr>
        <w:t>3. L</w:t>
      </w:r>
      <w:r w:rsidR="0068586D">
        <w:rPr>
          <w:lang w:val="fr-FR"/>
        </w:rPr>
        <w:t>’</w:t>
      </w:r>
      <w:r w:rsidRPr="00E85000">
        <w:rPr>
          <w:lang w:val="fr-FR"/>
        </w:rPr>
        <w:t>action pénale est déclenchée par la plainte préalable de la partie lésée. »</w:t>
      </w:r>
    </w:p>
    <w:bookmarkStart w:name="NCP" w:id="18"/>
    <w:p w:rsidRPr="00E85000" w:rsidR="00112A65" w:rsidP="00112A65" w:rsidRDefault="00112A65">
      <w:pPr>
        <w:pStyle w:val="ECHRPara"/>
        <w:rPr>
          <w:lang w:val="fr-FR"/>
        </w:rPr>
      </w:pPr>
      <w:r w:rsidRPr="00E85000">
        <w:rPr>
          <w:lang w:val="fr-FR"/>
        </w:rPr>
        <w:fldChar w:fldCharType="begin"/>
      </w:r>
      <w:r w:rsidRPr="00E85000">
        <w:rPr>
          <w:lang w:val="fr-FR"/>
        </w:rPr>
        <w:instrText xml:space="preserve"> SEQ level0 \*arabic </w:instrText>
      </w:r>
      <w:r w:rsidRPr="00E85000">
        <w:rPr>
          <w:lang w:val="fr-FR"/>
        </w:rPr>
        <w:fldChar w:fldCharType="separate"/>
      </w:r>
      <w:r w:rsidRPr="00E85000">
        <w:rPr>
          <w:noProof/>
          <w:lang w:val="fr-FR"/>
        </w:rPr>
        <w:t>32</w:t>
      </w:r>
      <w:r w:rsidRPr="00E85000">
        <w:rPr>
          <w:lang w:val="fr-FR"/>
        </w:rPr>
        <w:fldChar w:fldCharType="end"/>
      </w:r>
      <w:bookmarkEnd w:id="18"/>
      <w:r w:rsidRPr="00E85000">
        <w:rPr>
          <w:lang w:val="fr-FR"/>
        </w:rPr>
        <w:t>.  Les dispositions pertinentes en l</w:t>
      </w:r>
      <w:r w:rsidR="0068586D">
        <w:rPr>
          <w:lang w:val="fr-FR"/>
        </w:rPr>
        <w:t>’</w:t>
      </w:r>
      <w:r w:rsidRPr="00E85000">
        <w:rPr>
          <w:lang w:val="fr-FR"/>
        </w:rPr>
        <w:t>espèce du nouveau code pénal, en vigueur depuis le 1</w:t>
      </w:r>
      <w:r w:rsidRPr="00E85000">
        <w:rPr>
          <w:vertAlign w:val="superscript"/>
          <w:lang w:val="fr-FR"/>
        </w:rPr>
        <w:t>er</w:t>
      </w:r>
      <w:r w:rsidRPr="00E85000">
        <w:rPr>
          <w:lang w:val="fr-FR"/>
        </w:rPr>
        <w:t xml:space="preserve"> février 2014, sont ainsi libellées :</w:t>
      </w:r>
    </w:p>
    <w:p w:rsidRPr="00E85000" w:rsidR="00112A65" w:rsidP="00112A65" w:rsidRDefault="00112A65">
      <w:pPr>
        <w:pStyle w:val="ECHRTitleCentre3"/>
        <w:rPr>
          <w:lang w:val="fr-FR"/>
        </w:rPr>
      </w:pPr>
      <w:r w:rsidRPr="00E85000">
        <w:rPr>
          <w:lang w:val="fr-FR"/>
        </w:rPr>
        <w:t>Article 193 – les coups et autres violences</w:t>
      </w:r>
    </w:p>
    <w:p w:rsidRPr="00E85000" w:rsidR="00112A65" w:rsidP="00112A65" w:rsidRDefault="00112A65">
      <w:pPr>
        <w:pStyle w:val="ECHRParaQuote"/>
        <w:rPr>
          <w:lang w:val="fr-FR"/>
        </w:rPr>
      </w:pPr>
      <w:r w:rsidRPr="00E85000">
        <w:rPr>
          <w:lang w:val="fr-FR"/>
        </w:rPr>
        <w:t>« 1. Les coups ou autres actes de violence causant des souffrances physiques sont passibles d</w:t>
      </w:r>
      <w:r w:rsidR="0068586D">
        <w:rPr>
          <w:lang w:val="fr-FR"/>
        </w:rPr>
        <w:t>’</w:t>
      </w:r>
      <w:r w:rsidRPr="00E85000">
        <w:rPr>
          <w:lang w:val="fr-FR"/>
        </w:rPr>
        <w:t>une peine d</w:t>
      </w:r>
      <w:r w:rsidR="0068586D">
        <w:rPr>
          <w:lang w:val="fr-FR"/>
        </w:rPr>
        <w:t>’</w:t>
      </w:r>
      <w:r w:rsidRPr="00E85000">
        <w:rPr>
          <w:lang w:val="fr-FR"/>
        </w:rPr>
        <w:t>emprisonnement comprise entre trois mois et deux ans ou d</w:t>
      </w:r>
      <w:r w:rsidR="0068586D">
        <w:rPr>
          <w:lang w:val="fr-FR"/>
        </w:rPr>
        <w:t>’</w:t>
      </w:r>
      <w:r w:rsidRPr="00E85000">
        <w:rPr>
          <w:lang w:val="fr-FR"/>
        </w:rPr>
        <w:t>une amende.</w:t>
      </w:r>
    </w:p>
    <w:p w:rsidRPr="00E85000" w:rsidR="00112A65" w:rsidP="00112A65" w:rsidRDefault="00112A65">
      <w:pPr>
        <w:pStyle w:val="ECHRParaQuote"/>
        <w:rPr>
          <w:lang w:val="fr-FR"/>
        </w:rPr>
      </w:pPr>
      <w:r w:rsidRPr="00E85000">
        <w:rPr>
          <w:lang w:val="fr-FR"/>
        </w:rPr>
        <w:t>2. Le fait de causer des lésions traumatiques ou d</w:t>
      </w:r>
      <w:r w:rsidR="0068586D">
        <w:rPr>
          <w:lang w:val="fr-FR"/>
        </w:rPr>
        <w:t>’</w:t>
      </w:r>
      <w:r w:rsidRPr="00E85000">
        <w:rPr>
          <w:lang w:val="fr-FR"/>
        </w:rPr>
        <w:t>affecter la santé d</w:t>
      </w:r>
      <w:r w:rsidR="0068586D">
        <w:rPr>
          <w:lang w:val="fr-FR"/>
        </w:rPr>
        <w:t>’</w:t>
      </w:r>
      <w:r w:rsidRPr="00E85000">
        <w:rPr>
          <w:lang w:val="fr-FR"/>
        </w:rPr>
        <w:t>une personne, [lorsqu</w:t>
      </w:r>
      <w:r w:rsidR="0068586D">
        <w:rPr>
          <w:lang w:val="fr-FR"/>
        </w:rPr>
        <w:t>’</w:t>
      </w:r>
      <w:r w:rsidRPr="00E85000">
        <w:rPr>
          <w:lang w:val="fr-FR"/>
        </w:rPr>
        <w:t>il entraîne un état dont la gravité nécessite] quatre-vingt-dix jours de soins médicaux au maximum, est passible d</w:t>
      </w:r>
      <w:r w:rsidR="0068586D">
        <w:rPr>
          <w:lang w:val="fr-FR"/>
        </w:rPr>
        <w:t>’</w:t>
      </w:r>
      <w:r w:rsidRPr="00E85000">
        <w:rPr>
          <w:lang w:val="fr-FR"/>
        </w:rPr>
        <w:t>une peine d</w:t>
      </w:r>
      <w:r w:rsidR="0068586D">
        <w:rPr>
          <w:lang w:val="fr-FR"/>
        </w:rPr>
        <w:t>’</w:t>
      </w:r>
      <w:r w:rsidRPr="00E85000">
        <w:rPr>
          <w:lang w:val="fr-FR"/>
        </w:rPr>
        <w:t>emprisonnement comprise entre six mois et cinq ans ou d</w:t>
      </w:r>
      <w:r w:rsidR="0068586D">
        <w:rPr>
          <w:lang w:val="fr-FR"/>
        </w:rPr>
        <w:t>’</w:t>
      </w:r>
      <w:r w:rsidRPr="00E85000">
        <w:rPr>
          <w:lang w:val="fr-FR"/>
        </w:rPr>
        <w:t>une amende.</w:t>
      </w:r>
    </w:p>
    <w:p w:rsidRPr="00E85000" w:rsidR="00112A65" w:rsidP="00112A65" w:rsidRDefault="00112A65">
      <w:pPr>
        <w:pStyle w:val="ECHRParaQuote"/>
        <w:rPr>
          <w:lang w:val="fr-FR"/>
        </w:rPr>
      </w:pPr>
      <w:r w:rsidRPr="00E85000">
        <w:rPr>
          <w:lang w:val="fr-FR"/>
        </w:rPr>
        <w:t>3. L</w:t>
      </w:r>
      <w:r w:rsidR="0068586D">
        <w:rPr>
          <w:lang w:val="fr-FR"/>
        </w:rPr>
        <w:t>’</w:t>
      </w:r>
      <w:r w:rsidRPr="00E85000">
        <w:rPr>
          <w:lang w:val="fr-FR"/>
        </w:rPr>
        <w:t>action pénale est déclenchée par la plainte préalable de la partie lésée. »</w:t>
      </w:r>
    </w:p>
    <w:p w:rsidRPr="00E85000" w:rsidR="00112A65" w:rsidP="00112A65" w:rsidRDefault="00112A65">
      <w:pPr>
        <w:pStyle w:val="ECHRTitleCentre3"/>
        <w:rPr>
          <w:lang w:val="fr-FR"/>
        </w:rPr>
      </w:pPr>
      <w:r w:rsidRPr="00E85000">
        <w:rPr>
          <w:lang w:val="fr-FR"/>
        </w:rPr>
        <w:t>Article 199 – la violence en famille</w:t>
      </w:r>
    </w:p>
    <w:p w:rsidRPr="00E85000" w:rsidR="00112A65" w:rsidP="00112A65" w:rsidRDefault="00112A65">
      <w:pPr>
        <w:pStyle w:val="ECHRParaQuote"/>
        <w:rPr>
          <w:lang w:val="fr-FR"/>
        </w:rPr>
      </w:pPr>
      <w:r w:rsidRPr="00E85000">
        <w:rPr>
          <w:lang w:val="fr-FR"/>
        </w:rPr>
        <w:t>« 1. Si les faits visés aux articles 188 [le meurtre], 189 [le meurtre qualifié] et 193</w:t>
      </w:r>
      <w:r w:rsidRPr="00E85000">
        <w:rPr>
          <w:lang w:val="fr-FR"/>
        </w:rPr>
        <w:noBreakHyphen/>
        <w:t>195 [les coups et autres violences, les lésions corporelles et les coups et blessures ayant causé la mort] sont commis à l</w:t>
      </w:r>
      <w:r w:rsidR="0068586D">
        <w:rPr>
          <w:lang w:val="fr-FR"/>
        </w:rPr>
        <w:t>’</w:t>
      </w:r>
      <w:r w:rsidRPr="00E85000">
        <w:rPr>
          <w:lang w:val="fr-FR"/>
        </w:rPr>
        <w:t>encontre d</w:t>
      </w:r>
      <w:r w:rsidR="0068586D">
        <w:rPr>
          <w:lang w:val="fr-FR"/>
        </w:rPr>
        <w:t>’</w:t>
      </w:r>
      <w:r w:rsidRPr="00E85000">
        <w:rPr>
          <w:lang w:val="fr-FR"/>
        </w:rPr>
        <w:t>un membre de la famille, [la limite] maximale spéciale de la peine prévue par la loi est majorée d</w:t>
      </w:r>
      <w:r w:rsidR="0068586D">
        <w:rPr>
          <w:lang w:val="fr-FR"/>
        </w:rPr>
        <w:t>’</w:t>
      </w:r>
      <w:r w:rsidRPr="00E85000">
        <w:rPr>
          <w:lang w:val="fr-FR"/>
        </w:rPr>
        <w:t>un quart.</w:t>
      </w:r>
    </w:p>
    <w:p w:rsidRPr="00E85000" w:rsidR="00112A65" w:rsidP="00112A65" w:rsidRDefault="00112A65">
      <w:pPr>
        <w:pStyle w:val="ECHRParaQuote"/>
        <w:rPr>
          <w:lang w:val="fr-FR"/>
        </w:rPr>
      </w:pPr>
      <w:r w:rsidRPr="00E85000">
        <w:rPr>
          <w:lang w:val="fr-FR"/>
        </w:rPr>
        <w:t>2. Dans le cas des infractions prévues aux articles 193 et 196 [les lésions corporelles résultant d</w:t>
      </w:r>
      <w:r w:rsidR="0068586D">
        <w:rPr>
          <w:lang w:val="fr-FR"/>
        </w:rPr>
        <w:t>’</w:t>
      </w:r>
      <w:r w:rsidRPr="00E85000">
        <w:rPr>
          <w:lang w:val="fr-FR"/>
        </w:rPr>
        <w:t>une négligence], l</w:t>
      </w:r>
      <w:r w:rsidR="0068586D">
        <w:rPr>
          <w:lang w:val="fr-FR"/>
        </w:rPr>
        <w:t>’</w:t>
      </w:r>
      <w:r w:rsidRPr="00E85000">
        <w:rPr>
          <w:lang w:val="fr-FR"/>
        </w:rPr>
        <w:t>action pénale peut être déclenchée d</w:t>
      </w:r>
      <w:r w:rsidR="0068586D">
        <w:rPr>
          <w:lang w:val="fr-FR"/>
        </w:rPr>
        <w:t>’</w:t>
      </w:r>
      <w:r w:rsidRPr="00E85000">
        <w:rPr>
          <w:lang w:val="fr-FR"/>
        </w:rPr>
        <w:t>office. La conciliation des parties exclut la responsabilité pénale. »</w:t>
      </w:r>
    </w:p>
    <w:p w:rsidRPr="00E85000" w:rsidR="00112A65" w:rsidP="00112A65" w:rsidRDefault="00112A65">
      <w:pPr>
        <w:pStyle w:val="ECHRTitleCentre3"/>
        <w:rPr>
          <w:lang w:val="fr-FR"/>
        </w:rPr>
      </w:pPr>
      <w:r w:rsidRPr="00E85000">
        <w:rPr>
          <w:lang w:val="fr-FR"/>
        </w:rPr>
        <w:t>Article 206 – la menace</w:t>
      </w:r>
    </w:p>
    <w:p w:rsidRPr="00E85000" w:rsidR="00112A65" w:rsidP="00112A65" w:rsidRDefault="00112A65">
      <w:pPr>
        <w:pStyle w:val="ECHRParaQuote"/>
        <w:rPr>
          <w:lang w:val="fr-FR"/>
        </w:rPr>
      </w:pPr>
      <w:r w:rsidRPr="00E85000">
        <w:rPr>
          <w:lang w:val="fr-FR"/>
        </w:rPr>
        <w:t>« 1. Le fait de menacer une personne de l</w:t>
      </w:r>
      <w:r w:rsidR="0068586D">
        <w:rPr>
          <w:lang w:val="fr-FR"/>
        </w:rPr>
        <w:t>’</w:t>
      </w:r>
      <w:r w:rsidRPr="00E85000">
        <w:rPr>
          <w:lang w:val="fr-FR"/>
        </w:rPr>
        <w:t>accomplissement d</w:t>
      </w:r>
      <w:r w:rsidR="0068586D">
        <w:rPr>
          <w:lang w:val="fr-FR"/>
        </w:rPr>
        <w:t>’</w:t>
      </w:r>
      <w:r w:rsidRPr="00E85000">
        <w:rPr>
          <w:lang w:val="fr-FR"/>
        </w:rPr>
        <w:t>une infraction ou d</w:t>
      </w:r>
      <w:r w:rsidR="0068586D">
        <w:rPr>
          <w:lang w:val="fr-FR"/>
        </w:rPr>
        <w:t>’</w:t>
      </w:r>
      <w:r w:rsidRPr="00E85000">
        <w:rPr>
          <w:lang w:val="fr-FR"/>
        </w:rPr>
        <w:t>un fait préjudiciable à son encontre ou contre une autre personne, s</w:t>
      </w:r>
      <w:r w:rsidR="0068586D">
        <w:rPr>
          <w:lang w:val="fr-FR"/>
        </w:rPr>
        <w:t>’</w:t>
      </w:r>
      <w:r w:rsidRPr="00E85000">
        <w:rPr>
          <w:lang w:val="fr-FR"/>
        </w:rPr>
        <w:t>il est de nature à inquiéter [la personne menacée], est passible d</w:t>
      </w:r>
      <w:r w:rsidR="0068586D">
        <w:rPr>
          <w:lang w:val="fr-FR"/>
        </w:rPr>
        <w:t>’</w:t>
      </w:r>
      <w:r w:rsidRPr="00E85000">
        <w:rPr>
          <w:lang w:val="fr-FR"/>
        </w:rPr>
        <w:t>une peine d</w:t>
      </w:r>
      <w:r w:rsidR="0068586D">
        <w:rPr>
          <w:lang w:val="fr-FR"/>
        </w:rPr>
        <w:t>’</w:t>
      </w:r>
      <w:r w:rsidRPr="00E85000">
        <w:rPr>
          <w:lang w:val="fr-FR"/>
        </w:rPr>
        <w:t>emprisonnement comprise entre trois mois et un an ou d</w:t>
      </w:r>
      <w:r w:rsidR="0068586D">
        <w:rPr>
          <w:lang w:val="fr-FR"/>
        </w:rPr>
        <w:t>’</w:t>
      </w:r>
      <w:r w:rsidRPr="00E85000">
        <w:rPr>
          <w:lang w:val="fr-FR"/>
        </w:rPr>
        <w:t>une amende, sans que la peine appliquée puisse dépasser la sanction prévue par la loi pour l</w:t>
      </w:r>
      <w:r w:rsidR="0068586D">
        <w:rPr>
          <w:lang w:val="fr-FR"/>
        </w:rPr>
        <w:t>’</w:t>
      </w:r>
      <w:r w:rsidRPr="00E85000">
        <w:rPr>
          <w:lang w:val="fr-FR"/>
        </w:rPr>
        <w:t>infraction faisant l</w:t>
      </w:r>
      <w:r w:rsidR="0068586D">
        <w:rPr>
          <w:lang w:val="fr-FR"/>
        </w:rPr>
        <w:t>’</w:t>
      </w:r>
      <w:r w:rsidRPr="00E85000">
        <w:rPr>
          <w:lang w:val="fr-FR"/>
        </w:rPr>
        <w:t>objet de la menace. »</w:t>
      </w:r>
    </w:p>
    <w:p w:rsidRPr="00E85000" w:rsidR="00112A65" w:rsidP="00112A65" w:rsidRDefault="00112A65">
      <w:pPr>
        <w:pStyle w:val="ECHRTitleCentre3"/>
        <w:rPr>
          <w:lang w:val="fr-FR"/>
        </w:rPr>
      </w:pPr>
      <w:r w:rsidRPr="00E85000">
        <w:rPr>
          <w:lang w:val="fr-FR"/>
        </w:rPr>
        <w:t>Article 302 – la violation du secret de la correspondance</w:t>
      </w:r>
    </w:p>
    <w:p w:rsidRPr="00E85000" w:rsidR="00112A65" w:rsidP="00112A65" w:rsidRDefault="00112A65">
      <w:pPr>
        <w:pStyle w:val="ECHRParaQuote"/>
        <w:rPr>
          <w:lang w:val="fr-FR"/>
        </w:rPr>
      </w:pPr>
      <w:r w:rsidRPr="00E85000">
        <w:rPr>
          <w:lang w:val="fr-FR"/>
        </w:rPr>
        <w:t>« 1. L</w:t>
      </w:r>
      <w:r w:rsidR="0068586D">
        <w:rPr>
          <w:lang w:val="fr-FR"/>
        </w:rPr>
        <w:t>’</w:t>
      </w:r>
      <w:r w:rsidRPr="00E85000">
        <w:rPr>
          <w:lang w:val="fr-FR"/>
        </w:rPr>
        <w:t>ouverture, la soustraction, la destruction ou la rétention sans droit de la correspondance adressée à autrui ainsi que la divulgation sans droit du contenu d</w:t>
      </w:r>
      <w:r w:rsidR="0068586D">
        <w:rPr>
          <w:lang w:val="fr-FR"/>
        </w:rPr>
        <w:t>’</w:t>
      </w:r>
      <w:r w:rsidRPr="00E85000">
        <w:rPr>
          <w:lang w:val="fr-FR"/>
        </w:rPr>
        <w:t>une telle correspondance, même si celle-ci a été envoyée ouverte ou a été ouverte par erreur, sont passibles d</w:t>
      </w:r>
      <w:r w:rsidR="0068586D">
        <w:rPr>
          <w:lang w:val="fr-FR"/>
        </w:rPr>
        <w:t>’</w:t>
      </w:r>
      <w:r w:rsidRPr="00E85000">
        <w:rPr>
          <w:lang w:val="fr-FR"/>
        </w:rPr>
        <w:t>une peine d</w:t>
      </w:r>
      <w:r w:rsidR="0068586D">
        <w:rPr>
          <w:lang w:val="fr-FR"/>
        </w:rPr>
        <w:t>’</w:t>
      </w:r>
      <w:r w:rsidRPr="00E85000">
        <w:rPr>
          <w:lang w:val="fr-FR"/>
        </w:rPr>
        <w:t>emprisonnement comprise entre trois mois et un an ou d</w:t>
      </w:r>
      <w:r w:rsidR="0068586D">
        <w:rPr>
          <w:lang w:val="fr-FR"/>
        </w:rPr>
        <w:t>’</w:t>
      </w:r>
      <w:r w:rsidRPr="00E85000">
        <w:rPr>
          <w:lang w:val="fr-FR"/>
        </w:rPr>
        <w:t>une amende.</w:t>
      </w:r>
    </w:p>
    <w:p w:rsidRPr="00E85000" w:rsidR="00112A65" w:rsidP="00112A65" w:rsidRDefault="00112A65">
      <w:pPr>
        <w:pStyle w:val="ECHRParaQuote"/>
        <w:rPr>
          <w:lang w:val="fr-FR"/>
        </w:rPr>
      </w:pPr>
      <w:r w:rsidRPr="00E85000">
        <w:rPr>
          <w:lang w:val="fr-FR"/>
        </w:rPr>
        <w:t>2. L</w:t>
      </w:r>
      <w:r w:rsidR="0068586D">
        <w:rPr>
          <w:lang w:val="fr-FR"/>
        </w:rPr>
        <w:t>’</w:t>
      </w:r>
      <w:r w:rsidRPr="00E85000">
        <w:rPr>
          <w:lang w:val="fr-FR"/>
        </w:rPr>
        <w:t>interception sans droit d</w:t>
      </w:r>
      <w:r w:rsidR="0068586D">
        <w:rPr>
          <w:lang w:val="fr-FR"/>
        </w:rPr>
        <w:t>’</w:t>
      </w:r>
      <w:r w:rsidRPr="00E85000">
        <w:rPr>
          <w:lang w:val="fr-FR"/>
        </w:rPr>
        <w:t>une conversation ou d</w:t>
      </w:r>
      <w:r w:rsidR="0068586D">
        <w:rPr>
          <w:lang w:val="fr-FR"/>
        </w:rPr>
        <w:t>’</w:t>
      </w:r>
      <w:r w:rsidRPr="00E85000">
        <w:rPr>
          <w:lang w:val="fr-FR"/>
        </w:rPr>
        <w:t>une communication effectuée par téléphone ou par tout moyen électronique de communication est passible d</w:t>
      </w:r>
      <w:r w:rsidR="0068586D">
        <w:rPr>
          <w:lang w:val="fr-FR"/>
        </w:rPr>
        <w:t>’</w:t>
      </w:r>
      <w:r w:rsidRPr="00E85000">
        <w:rPr>
          <w:lang w:val="fr-FR"/>
        </w:rPr>
        <w:t>une peine d</w:t>
      </w:r>
      <w:r w:rsidR="0068586D">
        <w:rPr>
          <w:lang w:val="fr-FR"/>
        </w:rPr>
        <w:t>’</w:t>
      </w:r>
      <w:r w:rsidRPr="00E85000">
        <w:rPr>
          <w:lang w:val="fr-FR"/>
        </w:rPr>
        <w:t>emprisonnement comprise entre six mois et trois ans ou d</w:t>
      </w:r>
      <w:r w:rsidR="0068586D">
        <w:rPr>
          <w:lang w:val="fr-FR"/>
        </w:rPr>
        <w:t>’</w:t>
      </w:r>
      <w:r w:rsidRPr="00E85000">
        <w:rPr>
          <w:lang w:val="fr-FR"/>
        </w:rPr>
        <w:t>une amende.</w:t>
      </w:r>
    </w:p>
    <w:p w:rsidRPr="00E85000" w:rsidR="00112A65" w:rsidP="00112A65" w:rsidRDefault="00112A65">
      <w:pPr>
        <w:pStyle w:val="ECHRParaQuote"/>
        <w:rPr>
          <w:lang w:val="fr-FR"/>
        </w:rPr>
      </w:pPr>
      <w:r w:rsidRPr="00E85000">
        <w:rPr>
          <w:lang w:val="fr-FR"/>
        </w:rPr>
        <w:t>(...)</w:t>
      </w:r>
    </w:p>
    <w:p w:rsidRPr="00E85000" w:rsidR="00112A65" w:rsidP="00112A65" w:rsidRDefault="00112A65">
      <w:pPr>
        <w:pStyle w:val="ECHRParaQuote"/>
        <w:rPr>
          <w:lang w:val="fr-FR"/>
        </w:rPr>
      </w:pPr>
      <w:r w:rsidRPr="00E85000">
        <w:rPr>
          <w:lang w:val="fr-FR"/>
        </w:rPr>
        <w:t>7. Pour les faits visés au premier paragraphe, l</w:t>
      </w:r>
      <w:r w:rsidR="0068586D">
        <w:rPr>
          <w:lang w:val="fr-FR"/>
        </w:rPr>
        <w:t>’</w:t>
      </w:r>
      <w:r w:rsidRPr="00E85000">
        <w:rPr>
          <w:lang w:val="fr-FR"/>
        </w:rPr>
        <w:t>action pénale est déclenchée par la plainte préalable de la partie lésée. »</w:t>
      </w:r>
    </w:p>
    <w:p w:rsidRPr="00E85000" w:rsidR="00112A65" w:rsidP="00112A65" w:rsidRDefault="00112A65">
      <w:pPr>
        <w:pStyle w:val="ECHRTitleCentre3"/>
        <w:rPr>
          <w:lang w:val="fr-FR"/>
        </w:rPr>
      </w:pPr>
      <w:r w:rsidRPr="00E85000">
        <w:rPr>
          <w:lang w:val="fr-FR"/>
        </w:rPr>
        <w:t>Article 360 – l</w:t>
      </w:r>
      <w:r w:rsidR="0068586D">
        <w:rPr>
          <w:lang w:val="fr-FR"/>
        </w:rPr>
        <w:t>’</w:t>
      </w:r>
      <w:r w:rsidRPr="00E85000">
        <w:rPr>
          <w:lang w:val="fr-FR"/>
        </w:rPr>
        <w:t>accès illégal à un système informatique</w:t>
      </w:r>
    </w:p>
    <w:p w:rsidRPr="00E85000" w:rsidR="00112A65" w:rsidP="00112A65" w:rsidRDefault="00112A65">
      <w:pPr>
        <w:pStyle w:val="ECHRParaQuote"/>
        <w:rPr>
          <w:lang w:val="fr-FR"/>
        </w:rPr>
      </w:pPr>
      <w:r w:rsidRPr="00E85000">
        <w:rPr>
          <w:lang w:val="fr-FR"/>
        </w:rPr>
        <w:t>« 1. L</w:t>
      </w:r>
      <w:r w:rsidR="0068586D">
        <w:rPr>
          <w:lang w:val="fr-FR"/>
        </w:rPr>
        <w:t>’</w:t>
      </w:r>
      <w:r w:rsidRPr="00E85000">
        <w:rPr>
          <w:lang w:val="fr-FR"/>
        </w:rPr>
        <w:t>accès sans droit à un système informatique est passible d</w:t>
      </w:r>
      <w:r w:rsidR="0068586D">
        <w:rPr>
          <w:lang w:val="fr-FR"/>
        </w:rPr>
        <w:t>’</w:t>
      </w:r>
      <w:r w:rsidRPr="00E85000">
        <w:rPr>
          <w:lang w:val="fr-FR"/>
        </w:rPr>
        <w:t>une peine d</w:t>
      </w:r>
      <w:r w:rsidR="0068586D">
        <w:rPr>
          <w:lang w:val="fr-FR"/>
        </w:rPr>
        <w:t>’</w:t>
      </w:r>
      <w:r w:rsidRPr="00E85000">
        <w:rPr>
          <w:lang w:val="fr-FR"/>
        </w:rPr>
        <w:t>emprisonnement comprise entre trois mois et trois ans ou d</w:t>
      </w:r>
      <w:r w:rsidR="0068586D">
        <w:rPr>
          <w:lang w:val="fr-FR"/>
        </w:rPr>
        <w:t>’</w:t>
      </w:r>
      <w:r w:rsidRPr="00E85000">
        <w:rPr>
          <w:lang w:val="fr-FR"/>
        </w:rPr>
        <w:t>une amende.</w:t>
      </w:r>
    </w:p>
    <w:p w:rsidRPr="00E85000" w:rsidR="00112A65" w:rsidP="00112A65" w:rsidRDefault="00112A65">
      <w:pPr>
        <w:pStyle w:val="ECHRParaQuote"/>
        <w:rPr>
          <w:lang w:val="fr-FR"/>
        </w:rPr>
      </w:pPr>
      <w:r w:rsidRPr="00E85000">
        <w:rPr>
          <w:lang w:val="fr-FR"/>
        </w:rPr>
        <w:t>2. Les faits visés au premier paragraphe qui ont été commis en vue d</w:t>
      </w:r>
      <w:r w:rsidR="0068586D">
        <w:rPr>
          <w:lang w:val="fr-FR"/>
        </w:rPr>
        <w:t>’</w:t>
      </w:r>
      <w:r w:rsidRPr="00E85000">
        <w:rPr>
          <w:lang w:val="fr-FR"/>
        </w:rPr>
        <w:t>obtenir des données informatiques sont passibles d</w:t>
      </w:r>
      <w:r w:rsidR="0068586D">
        <w:rPr>
          <w:lang w:val="fr-FR"/>
        </w:rPr>
        <w:t>’</w:t>
      </w:r>
      <w:r w:rsidRPr="00E85000">
        <w:rPr>
          <w:lang w:val="fr-FR"/>
        </w:rPr>
        <w:t>une peine d</w:t>
      </w:r>
      <w:r w:rsidR="0068586D">
        <w:rPr>
          <w:lang w:val="fr-FR"/>
        </w:rPr>
        <w:t>’</w:t>
      </w:r>
      <w:r w:rsidRPr="00E85000">
        <w:rPr>
          <w:lang w:val="fr-FR"/>
        </w:rPr>
        <w:t>emprisonnement comprise entre six mois et cinq ans.</w:t>
      </w:r>
    </w:p>
    <w:p w:rsidRPr="00E85000" w:rsidR="00112A65" w:rsidP="00112A65" w:rsidRDefault="00112A65">
      <w:pPr>
        <w:pStyle w:val="ECHRParaQuote"/>
        <w:rPr>
          <w:lang w:val="fr-FR"/>
        </w:rPr>
      </w:pPr>
      <w:r w:rsidRPr="00E85000">
        <w:rPr>
          <w:lang w:val="fr-FR"/>
        </w:rPr>
        <w:t>(...) »</w:t>
      </w:r>
    </w:p>
    <w:bookmarkStart w:name="lg217" w:id="19"/>
    <w:p w:rsidRPr="00E85000" w:rsidR="00112A65" w:rsidP="00112A65" w:rsidRDefault="00112A65">
      <w:pPr>
        <w:pStyle w:val="ECHRPara"/>
        <w:rPr>
          <w:lang w:val="fr-FR"/>
        </w:rPr>
      </w:pPr>
      <w:r w:rsidRPr="00E85000">
        <w:rPr>
          <w:lang w:val="fr-FR"/>
        </w:rPr>
        <w:fldChar w:fldCharType="begin"/>
      </w:r>
      <w:r w:rsidRPr="00E85000">
        <w:rPr>
          <w:lang w:val="fr-FR"/>
        </w:rPr>
        <w:instrText xml:space="preserve"> SEQ level0 \*arabic </w:instrText>
      </w:r>
      <w:r w:rsidRPr="00E85000">
        <w:rPr>
          <w:lang w:val="fr-FR"/>
        </w:rPr>
        <w:fldChar w:fldCharType="separate"/>
      </w:r>
      <w:r w:rsidRPr="00E85000">
        <w:rPr>
          <w:noProof/>
          <w:lang w:val="fr-FR"/>
        </w:rPr>
        <w:t>33</w:t>
      </w:r>
      <w:r w:rsidRPr="00E85000">
        <w:rPr>
          <w:lang w:val="fr-FR"/>
        </w:rPr>
        <w:fldChar w:fldCharType="end"/>
      </w:r>
      <w:bookmarkEnd w:id="19"/>
      <w:r w:rsidRPr="00E85000">
        <w:rPr>
          <w:lang w:val="fr-FR"/>
        </w:rPr>
        <w:t>.  Les dispositions pertinentes en l</w:t>
      </w:r>
      <w:r w:rsidR="0068586D">
        <w:rPr>
          <w:lang w:val="fr-FR"/>
        </w:rPr>
        <w:t>’</w:t>
      </w:r>
      <w:r w:rsidRPr="00E85000">
        <w:rPr>
          <w:lang w:val="fr-FR"/>
        </w:rPr>
        <w:t>espèce de la loi n</w:t>
      </w:r>
      <w:r w:rsidRPr="00E85000">
        <w:rPr>
          <w:vertAlign w:val="superscript"/>
          <w:lang w:val="fr-FR"/>
        </w:rPr>
        <w:t>o</w:t>
      </w:r>
      <w:r w:rsidRPr="00E85000">
        <w:rPr>
          <w:lang w:val="fr-FR"/>
        </w:rPr>
        <w:t> 217/2003 (paragraphe 22 ci-dessus) sont résumées dans l</w:t>
      </w:r>
      <w:r w:rsidR="0068586D">
        <w:rPr>
          <w:lang w:val="fr-FR"/>
        </w:rPr>
        <w:t>’</w:t>
      </w:r>
      <w:r w:rsidRPr="00E85000">
        <w:rPr>
          <w:lang w:val="fr-FR"/>
        </w:rPr>
        <w:t xml:space="preserve">arrêt </w:t>
      </w:r>
      <w:r w:rsidRPr="00E85000">
        <w:rPr>
          <w:i/>
          <w:lang w:val="fr-FR"/>
        </w:rPr>
        <w:t>E.M. c. Roumanie</w:t>
      </w:r>
      <w:r w:rsidRPr="00E85000">
        <w:rPr>
          <w:lang w:val="fr-FR"/>
        </w:rPr>
        <w:t xml:space="preserve"> (précité, §§ 43-45). En particulier, la loi n</w:t>
      </w:r>
      <w:r w:rsidRPr="00E85000">
        <w:rPr>
          <w:vertAlign w:val="superscript"/>
          <w:lang w:val="fr-FR"/>
        </w:rPr>
        <w:t>o</w:t>
      </w:r>
      <w:r w:rsidRPr="00E85000">
        <w:rPr>
          <w:lang w:val="fr-FR"/>
        </w:rPr>
        <w:t xml:space="preserve"> 217/2003 définit ainsi les formes dans lesquelles se manifeste la violence domestique :</w:t>
      </w:r>
    </w:p>
    <w:p w:rsidRPr="00E85000" w:rsidR="00112A65" w:rsidP="00112A65" w:rsidRDefault="00112A65">
      <w:pPr>
        <w:pStyle w:val="ECHRTitleCentre3"/>
        <w:rPr>
          <w:lang w:val="fr-FR"/>
        </w:rPr>
      </w:pPr>
      <w:r w:rsidRPr="00E85000">
        <w:rPr>
          <w:lang w:val="fr-FR"/>
        </w:rPr>
        <w:t>Article 4</w:t>
      </w:r>
    </w:p>
    <w:p w:rsidRPr="00E85000" w:rsidR="00112A65" w:rsidP="00112A65" w:rsidRDefault="00112A65">
      <w:pPr>
        <w:pStyle w:val="ECHRParaQuote"/>
        <w:rPr>
          <w:lang w:val="fr-FR"/>
        </w:rPr>
      </w:pPr>
      <w:r w:rsidRPr="00E85000">
        <w:rPr>
          <w:lang w:val="fr-FR"/>
        </w:rPr>
        <w:t>« La violence en famille se manifeste sous les formes suivantes :</w:t>
      </w:r>
    </w:p>
    <w:p w:rsidRPr="00E85000" w:rsidR="00112A65" w:rsidP="00112A65" w:rsidRDefault="00112A65">
      <w:pPr>
        <w:pStyle w:val="ECHRParaQuote"/>
        <w:rPr>
          <w:lang w:val="fr-FR"/>
        </w:rPr>
      </w:pPr>
      <w:r w:rsidRPr="00E85000">
        <w:rPr>
          <w:lang w:val="fr-FR"/>
        </w:rPr>
        <w:t>a) la violence verbale – (...) ;</w:t>
      </w:r>
    </w:p>
    <w:p w:rsidRPr="00E85000" w:rsidR="00112A65" w:rsidP="00112A65" w:rsidRDefault="00112A65">
      <w:pPr>
        <w:pStyle w:val="ECHRParaQuote"/>
        <w:rPr>
          <w:lang w:val="fr-FR"/>
        </w:rPr>
      </w:pPr>
      <w:r w:rsidRPr="00E85000">
        <w:rPr>
          <w:lang w:val="fr-FR"/>
        </w:rPr>
        <w:t>b) la violence psychologique – l</w:t>
      </w:r>
      <w:r w:rsidR="0068586D">
        <w:rPr>
          <w:lang w:val="fr-FR"/>
        </w:rPr>
        <w:t>’</w:t>
      </w:r>
      <w:r w:rsidRPr="00E85000">
        <w:rPr>
          <w:lang w:val="fr-FR"/>
        </w:rPr>
        <w:t>imposition de la volonté ou du contrôle personnel (...), le contrôle de la vie privée (...), la surveillance du domicile, du lieu de travail ou d</w:t>
      </w:r>
      <w:r w:rsidR="0068586D">
        <w:rPr>
          <w:lang w:val="fr-FR"/>
        </w:rPr>
        <w:t>’</w:t>
      </w:r>
      <w:r w:rsidRPr="00E85000">
        <w:rPr>
          <w:lang w:val="fr-FR"/>
        </w:rPr>
        <w:t>autres lieux fréquentés par la victime (...) ;</w:t>
      </w:r>
    </w:p>
    <w:p w:rsidRPr="00E85000" w:rsidR="00112A65" w:rsidP="00112A65" w:rsidRDefault="00112A65">
      <w:pPr>
        <w:pStyle w:val="ECHRParaQuote"/>
        <w:rPr>
          <w:lang w:val="fr-FR"/>
        </w:rPr>
      </w:pPr>
      <w:r w:rsidRPr="00E85000">
        <w:rPr>
          <w:lang w:val="fr-FR"/>
        </w:rPr>
        <w:t>c) la violence physique – (...) ;</w:t>
      </w:r>
    </w:p>
    <w:p w:rsidRPr="00E85000" w:rsidR="00112A65" w:rsidP="00112A65" w:rsidRDefault="00112A65">
      <w:pPr>
        <w:pStyle w:val="ECHRParaQuote"/>
        <w:rPr>
          <w:lang w:val="fr-FR"/>
        </w:rPr>
      </w:pPr>
      <w:r w:rsidRPr="00E85000">
        <w:rPr>
          <w:lang w:val="fr-FR"/>
        </w:rPr>
        <w:t>d) la violence sexuelle – (...) ;</w:t>
      </w:r>
    </w:p>
    <w:p w:rsidRPr="00E85000" w:rsidR="00112A65" w:rsidP="00112A65" w:rsidRDefault="00112A65">
      <w:pPr>
        <w:pStyle w:val="ECHRParaQuote"/>
        <w:rPr>
          <w:lang w:val="fr-FR"/>
        </w:rPr>
      </w:pPr>
      <w:r w:rsidRPr="00E85000">
        <w:rPr>
          <w:lang w:val="fr-FR"/>
        </w:rPr>
        <w:t>e) la violence économique – (...) ;</w:t>
      </w:r>
    </w:p>
    <w:p w:rsidRPr="00E85000" w:rsidR="00112A65" w:rsidP="00112A65" w:rsidRDefault="00112A65">
      <w:pPr>
        <w:pStyle w:val="ECHRParaQuote"/>
        <w:rPr>
          <w:lang w:val="fr-FR"/>
        </w:rPr>
      </w:pPr>
      <w:r w:rsidRPr="00E85000">
        <w:rPr>
          <w:lang w:val="fr-FR"/>
        </w:rPr>
        <w:t>f) la violence sociale – (...) ;</w:t>
      </w:r>
    </w:p>
    <w:p w:rsidRPr="00E85000" w:rsidR="00112A65" w:rsidP="00112A65" w:rsidRDefault="00112A65">
      <w:pPr>
        <w:pStyle w:val="ECHRParaQuote"/>
        <w:rPr>
          <w:lang w:val="fr-FR"/>
        </w:rPr>
      </w:pPr>
      <w:r w:rsidRPr="00E85000">
        <w:rPr>
          <w:lang w:val="fr-FR"/>
        </w:rPr>
        <w:t>g) la violence spirituelle – (...) »</w:t>
      </w:r>
    </w:p>
    <w:p w:rsidRPr="00E85000" w:rsidR="00112A65" w:rsidP="00112A65" w:rsidRDefault="00112A65">
      <w:pPr>
        <w:pStyle w:val="ECHRHeading2"/>
        <w:rPr>
          <w:lang w:val="fr-FR"/>
        </w:rPr>
      </w:pPr>
      <w:r w:rsidRPr="00E85000">
        <w:rPr>
          <w:lang w:val="fr-FR"/>
        </w:rPr>
        <w:t>B.  Le droit international</w:t>
      </w:r>
    </w:p>
    <w:bookmarkStart w:name="par34" w:id="20"/>
    <w:p w:rsidRPr="00E85000" w:rsidR="00112A65" w:rsidP="00112A65" w:rsidRDefault="00112A65">
      <w:pPr>
        <w:pStyle w:val="ECHRPara"/>
        <w:rPr>
          <w:lang w:val="fr-FR"/>
        </w:rPr>
      </w:pPr>
      <w:r w:rsidRPr="00E85000">
        <w:rPr>
          <w:lang w:val="fr-FR"/>
        </w:rPr>
        <w:fldChar w:fldCharType="begin"/>
      </w:r>
      <w:r w:rsidRPr="00E85000">
        <w:rPr>
          <w:lang w:val="fr-FR"/>
        </w:rPr>
        <w:instrText xml:space="preserve"> SEQ level0 \*arabic </w:instrText>
      </w:r>
      <w:r w:rsidRPr="00E85000">
        <w:rPr>
          <w:lang w:val="fr-FR"/>
        </w:rPr>
        <w:fldChar w:fldCharType="separate"/>
      </w:r>
      <w:r w:rsidRPr="00E85000">
        <w:rPr>
          <w:noProof/>
          <w:lang w:val="fr-FR"/>
        </w:rPr>
        <w:t>34</w:t>
      </w:r>
      <w:r w:rsidRPr="00E85000">
        <w:rPr>
          <w:lang w:val="fr-FR"/>
        </w:rPr>
        <w:fldChar w:fldCharType="end"/>
      </w:r>
      <w:bookmarkEnd w:id="20"/>
      <w:r w:rsidRPr="00E85000">
        <w:rPr>
          <w:lang w:val="fr-FR"/>
        </w:rPr>
        <w:t>.  Le droit international pertinent en la matière est exposé en partie dans l</w:t>
      </w:r>
      <w:r w:rsidR="0068586D">
        <w:rPr>
          <w:lang w:val="fr-FR"/>
        </w:rPr>
        <w:t>’</w:t>
      </w:r>
      <w:r w:rsidRPr="00E85000">
        <w:rPr>
          <w:lang w:val="fr-FR"/>
        </w:rPr>
        <w:t xml:space="preserve">affaire </w:t>
      </w:r>
      <w:proofErr w:type="spellStart"/>
      <w:r w:rsidRPr="00E85000">
        <w:rPr>
          <w:i/>
          <w:lang w:val="fr-FR"/>
        </w:rPr>
        <w:t>Opuz</w:t>
      </w:r>
      <w:proofErr w:type="spellEnd"/>
      <w:r w:rsidRPr="00E85000">
        <w:rPr>
          <w:i/>
          <w:lang w:val="fr-FR"/>
        </w:rPr>
        <w:t xml:space="preserve"> c. Turquie</w:t>
      </w:r>
      <w:r w:rsidRPr="00E85000">
        <w:rPr>
          <w:lang w:val="fr-FR"/>
        </w:rPr>
        <w:t xml:space="preserve"> (n</w:t>
      </w:r>
      <w:r w:rsidRPr="00E85000">
        <w:rPr>
          <w:vertAlign w:val="superscript"/>
          <w:lang w:val="fr-FR"/>
        </w:rPr>
        <w:t>o</w:t>
      </w:r>
      <w:r w:rsidRPr="00E85000">
        <w:rPr>
          <w:lang w:val="fr-FR"/>
        </w:rPr>
        <w:t xml:space="preserve"> 33401/02, §§ 72-82, CEDH 2009).</w:t>
      </w:r>
    </w:p>
    <w:p w:rsidRPr="00E85000" w:rsidR="00112A65" w:rsidP="00112A65" w:rsidRDefault="00112A65">
      <w:pPr>
        <w:pStyle w:val="ECHRHeading3"/>
        <w:rPr>
          <w:lang w:val="fr-FR"/>
        </w:rPr>
      </w:pPr>
      <w:r w:rsidRPr="00E85000">
        <w:rPr>
          <w:lang w:val="fr-FR"/>
        </w:rPr>
        <w:t>1. Le système des Nations Unies</w:t>
      </w:r>
    </w:p>
    <w:p w:rsidRPr="00E85000" w:rsidR="00112A65" w:rsidP="00112A65" w:rsidRDefault="00112A65">
      <w:pPr>
        <w:pStyle w:val="ECHRPara"/>
        <w:rPr>
          <w:bCs/>
          <w:lang w:val="fr-FR"/>
        </w:rPr>
      </w:pPr>
      <w:r w:rsidRPr="00E85000">
        <w:rPr>
          <w:lang w:val="fr-FR"/>
        </w:rPr>
        <w:fldChar w:fldCharType="begin"/>
      </w:r>
      <w:r w:rsidRPr="00E85000">
        <w:rPr>
          <w:lang w:val="fr-FR"/>
        </w:rPr>
        <w:instrText xml:space="preserve"> SEQ level0 \*arabic </w:instrText>
      </w:r>
      <w:r w:rsidRPr="00E85000">
        <w:rPr>
          <w:lang w:val="fr-FR"/>
        </w:rPr>
        <w:fldChar w:fldCharType="separate"/>
      </w:r>
      <w:r w:rsidRPr="00E85000">
        <w:rPr>
          <w:noProof/>
          <w:lang w:val="fr-FR"/>
        </w:rPr>
        <w:t>35</w:t>
      </w:r>
      <w:r w:rsidRPr="00E85000">
        <w:rPr>
          <w:lang w:val="fr-FR"/>
        </w:rPr>
        <w:fldChar w:fldCharType="end"/>
      </w:r>
      <w:r w:rsidRPr="00E85000">
        <w:rPr>
          <w:lang w:val="fr-FR"/>
        </w:rPr>
        <w:t xml:space="preserve">.  Dans ses observations finales concernant le rapport valant </w:t>
      </w:r>
      <w:proofErr w:type="gramStart"/>
      <w:r w:rsidRPr="00E85000">
        <w:rPr>
          <w:lang w:val="fr-FR"/>
        </w:rPr>
        <w:t>septième et huitième rapports périodiques</w:t>
      </w:r>
      <w:proofErr w:type="gramEnd"/>
      <w:r w:rsidRPr="00E85000">
        <w:rPr>
          <w:lang w:val="fr-FR"/>
        </w:rPr>
        <w:t xml:space="preserve"> de la Roumanie</w:t>
      </w:r>
      <w:r w:rsidRPr="00E85000">
        <w:rPr>
          <w:vertAlign w:val="superscript"/>
          <w:lang w:val="fr-FR"/>
        </w:rPr>
        <w:footnoteReference w:id="1"/>
      </w:r>
      <w:r w:rsidRPr="00E85000">
        <w:rPr>
          <w:lang w:val="fr-FR"/>
        </w:rPr>
        <w:t xml:space="preserve">, examinées le 6 juillet 2017, le </w:t>
      </w:r>
      <w:r w:rsidRPr="00E85000">
        <w:rPr>
          <w:bCs/>
          <w:lang w:val="fr-FR"/>
        </w:rPr>
        <w:t>Comité des Nations Unies pour l</w:t>
      </w:r>
      <w:r w:rsidR="0068586D">
        <w:rPr>
          <w:bCs/>
          <w:lang w:val="fr-FR"/>
        </w:rPr>
        <w:t>’</w:t>
      </w:r>
      <w:r w:rsidRPr="00E85000">
        <w:rPr>
          <w:bCs/>
          <w:lang w:val="fr-FR"/>
        </w:rPr>
        <w:t>élimination de la discrimination à l</w:t>
      </w:r>
      <w:r w:rsidR="0068586D">
        <w:rPr>
          <w:bCs/>
          <w:lang w:val="fr-FR"/>
        </w:rPr>
        <w:t>’</w:t>
      </w:r>
      <w:r w:rsidRPr="00E85000">
        <w:rPr>
          <w:bCs/>
          <w:lang w:val="fr-FR"/>
        </w:rPr>
        <w:t>égard des femmes a fait état de ses préoccupations quant à un sous</w:t>
      </w:r>
      <w:r w:rsidRPr="00E85000">
        <w:rPr>
          <w:bCs/>
          <w:lang w:val="fr-FR"/>
        </w:rPr>
        <w:noBreakHyphen/>
        <w:t>signalement aux autorités d</w:t>
      </w:r>
      <w:r w:rsidR="0068586D">
        <w:rPr>
          <w:bCs/>
          <w:lang w:val="fr-FR"/>
        </w:rPr>
        <w:t>’</w:t>
      </w:r>
      <w:r w:rsidRPr="00E85000">
        <w:rPr>
          <w:bCs/>
          <w:lang w:val="fr-FR"/>
        </w:rPr>
        <w:t>enquête des cas de violence sexiste contre les femmes et les filles, notamment des violences psychologiques et économiques, du harcèlement sexuel et du viol conjugal. Le Comité des Nations Unies a ainsi recommandé, entre autres, aux autorités roumaines de veiller à ce que tous les cas signalés de violence sexiste à l</w:t>
      </w:r>
      <w:r w:rsidR="0068586D">
        <w:rPr>
          <w:bCs/>
          <w:lang w:val="fr-FR"/>
        </w:rPr>
        <w:t>’</w:t>
      </w:r>
      <w:r w:rsidRPr="00E85000">
        <w:rPr>
          <w:bCs/>
          <w:lang w:val="fr-FR"/>
        </w:rPr>
        <w:t>égard des femmes et des filles fassent l</w:t>
      </w:r>
      <w:r w:rsidR="0068586D">
        <w:rPr>
          <w:bCs/>
          <w:lang w:val="fr-FR"/>
        </w:rPr>
        <w:t>’</w:t>
      </w:r>
      <w:r w:rsidRPr="00E85000">
        <w:rPr>
          <w:bCs/>
          <w:lang w:val="fr-FR"/>
        </w:rPr>
        <w:t>objet d</w:t>
      </w:r>
      <w:r w:rsidR="0068586D">
        <w:rPr>
          <w:bCs/>
          <w:lang w:val="fr-FR"/>
        </w:rPr>
        <w:t>’</w:t>
      </w:r>
      <w:r w:rsidRPr="00E85000">
        <w:rPr>
          <w:bCs/>
          <w:lang w:val="fr-FR"/>
        </w:rPr>
        <w:t>enquêtes en bonne et due forme, que les auteurs de ces violences soient poursuivis et que les peines infligées soient proportionnelles à la gravité du crime.</w:t>
      </w:r>
    </w:p>
    <w:bookmarkStart w:name="def_cyberV_UNbroadbandcomm" w:id="21"/>
    <w:p w:rsidRPr="00E85000" w:rsidR="00112A65" w:rsidP="00112A65" w:rsidRDefault="00112A65">
      <w:pPr>
        <w:pStyle w:val="ECHRPara"/>
        <w:rPr>
          <w:lang w:val="fr-FR"/>
        </w:rPr>
      </w:pPr>
      <w:r w:rsidRPr="00E85000">
        <w:rPr>
          <w:bCs/>
          <w:lang w:val="fr-FR"/>
        </w:rPr>
        <w:fldChar w:fldCharType="begin"/>
      </w:r>
      <w:r w:rsidRPr="00E85000">
        <w:rPr>
          <w:bCs/>
          <w:lang w:val="fr-FR"/>
        </w:rPr>
        <w:instrText xml:space="preserve"> SEQ level0 \*arabic </w:instrText>
      </w:r>
      <w:r w:rsidRPr="00E85000">
        <w:rPr>
          <w:bCs/>
          <w:lang w:val="fr-FR"/>
        </w:rPr>
        <w:fldChar w:fldCharType="separate"/>
      </w:r>
      <w:r w:rsidRPr="00E85000">
        <w:rPr>
          <w:bCs/>
          <w:noProof/>
          <w:lang w:val="fr-FR"/>
        </w:rPr>
        <w:t>36</w:t>
      </w:r>
      <w:r w:rsidRPr="00E85000">
        <w:rPr>
          <w:bCs/>
          <w:lang w:val="fr-FR"/>
        </w:rPr>
        <w:fldChar w:fldCharType="end"/>
      </w:r>
      <w:bookmarkEnd w:id="21"/>
      <w:r w:rsidRPr="00E85000">
        <w:rPr>
          <w:bCs/>
          <w:lang w:val="fr-FR"/>
        </w:rPr>
        <w:t>.  </w:t>
      </w:r>
      <w:r w:rsidRPr="00E85000">
        <w:rPr>
          <w:lang w:val="fr-FR"/>
        </w:rPr>
        <w:t>Selon un rapport</w:t>
      </w:r>
      <w:r w:rsidRPr="00E85000">
        <w:rPr>
          <w:vertAlign w:val="superscript"/>
          <w:lang w:val="fr-FR"/>
        </w:rPr>
        <w:footnoteReference w:id="2"/>
      </w:r>
      <w:r w:rsidRPr="00E85000">
        <w:rPr>
          <w:lang w:val="fr-FR"/>
        </w:rPr>
        <w:t xml:space="preserve"> sur la cyberviolence à l</w:t>
      </w:r>
      <w:r w:rsidR="0068586D">
        <w:rPr>
          <w:lang w:val="fr-FR"/>
        </w:rPr>
        <w:t>’</w:t>
      </w:r>
      <w:r w:rsidRPr="00E85000">
        <w:rPr>
          <w:lang w:val="fr-FR"/>
        </w:rPr>
        <w:t>encontre des femmes et des filles rendu en 2015 par une commission spécialisée des Nations Unies (</w:t>
      </w:r>
      <w:r w:rsidRPr="00E85000">
        <w:rPr>
          <w:i/>
          <w:lang w:val="fr-FR"/>
        </w:rPr>
        <w:t xml:space="preserve">The UN Broadband Commission for digital </w:t>
      </w:r>
      <w:proofErr w:type="spellStart"/>
      <w:r w:rsidRPr="00E85000">
        <w:rPr>
          <w:i/>
          <w:lang w:val="fr-FR"/>
        </w:rPr>
        <w:t>development</w:t>
      </w:r>
      <w:proofErr w:type="spellEnd"/>
      <w:r w:rsidRPr="00E85000">
        <w:rPr>
          <w:i/>
          <w:lang w:val="fr-FR"/>
        </w:rPr>
        <w:t xml:space="preserve"> </w:t>
      </w:r>
      <w:proofErr w:type="spellStart"/>
      <w:r w:rsidRPr="00E85000">
        <w:rPr>
          <w:i/>
          <w:lang w:val="fr-FR"/>
        </w:rPr>
        <w:t>working</w:t>
      </w:r>
      <w:proofErr w:type="spellEnd"/>
      <w:r w:rsidRPr="00E85000">
        <w:rPr>
          <w:i/>
          <w:lang w:val="fr-FR"/>
        </w:rPr>
        <w:t xml:space="preserve"> group on </w:t>
      </w:r>
      <w:proofErr w:type="spellStart"/>
      <w:r w:rsidRPr="00E85000">
        <w:rPr>
          <w:i/>
          <w:lang w:val="fr-FR"/>
        </w:rPr>
        <w:t>broadband</w:t>
      </w:r>
      <w:proofErr w:type="spellEnd"/>
      <w:r w:rsidRPr="00E85000">
        <w:rPr>
          <w:i/>
          <w:lang w:val="fr-FR"/>
        </w:rPr>
        <w:t xml:space="preserve"> and </w:t>
      </w:r>
      <w:proofErr w:type="spellStart"/>
      <w:r w:rsidRPr="00E85000">
        <w:rPr>
          <w:i/>
          <w:lang w:val="fr-FR"/>
        </w:rPr>
        <w:t>gender</w:t>
      </w:r>
      <w:proofErr w:type="spellEnd"/>
      <w:r w:rsidRPr="00E85000">
        <w:rPr>
          <w:lang w:val="fr-FR"/>
        </w:rPr>
        <w:t>), la cyberviolence à l</w:t>
      </w:r>
      <w:r w:rsidR="0068586D">
        <w:rPr>
          <w:lang w:val="fr-FR"/>
        </w:rPr>
        <w:t>’</w:t>
      </w:r>
      <w:r w:rsidRPr="00E85000">
        <w:rPr>
          <w:lang w:val="fr-FR"/>
        </w:rPr>
        <w:t>encontre des femmes et des filles doit être approchée à la lumière de la définition que donnent les Nations Unies de la violence à l</w:t>
      </w:r>
      <w:r w:rsidR="0068586D">
        <w:rPr>
          <w:lang w:val="fr-FR"/>
        </w:rPr>
        <w:t>’</w:t>
      </w:r>
      <w:r w:rsidRPr="00E85000">
        <w:rPr>
          <w:lang w:val="fr-FR"/>
        </w:rPr>
        <w:t>encontre des femmes et des filles. Selon ce rapport, la cyberviolence présente ainsi les spécificités suivantes [traduction du greffe] :</w:t>
      </w:r>
    </w:p>
    <w:p w:rsidRPr="00E85000" w:rsidR="00112A65" w:rsidP="00112A65" w:rsidRDefault="00112A65">
      <w:pPr>
        <w:pStyle w:val="ECHRParaQuote"/>
        <w:ind w:left="567"/>
        <w:rPr>
          <w:lang w:val="fr-FR"/>
        </w:rPr>
      </w:pPr>
      <w:r w:rsidRPr="00E85000">
        <w:rPr>
          <w:lang w:val="fr-FR"/>
        </w:rPr>
        <w:t>« Le terme « cyber » est utilisé pour comprendre les différentes manières dont Internet exacerbe, amplifie ou diffuse l</w:t>
      </w:r>
      <w:r w:rsidR="0068586D">
        <w:rPr>
          <w:lang w:val="fr-FR"/>
        </w:rPr>
        <w:t>’</w:t>
      </w:r>
      <w:r w:rsidRPr="00E85000">
        <w:rPr>
          <w:lang w:val="fr-FR"/>
        </w:rPr>
        <w:t>abus. Le spectre complet des comportements va du harcèlement en ligne au désir d</w:t>
      </w:r>
      <w:r w:rsidR="0068586D">
        <w:rPr>
          <w:lang w:val="fr-FR"/>
        </w:rPr>
        <w:t>’</w:t>
      </w:r>
      <w:r w:rsidRPr="00E85000">
        <w:rPr>
          <w:lang w:val="fr-FR"/>
        </w:rPr>
        <w:t>infliger des blessures physiques, y compris [la commission] d</w:t>
      </w:r>
      <w:r w:rsidR="0068586D">
        <w:rPr>
          <w:lang w:val="fr-FR"/>
        </w:rPr>
        <w:t>’</w:t>
      </w:r>
      <w:r w:rsidRPr="00E85000">
        <w:rPr>
          <w:lang w:val="fr-FR"/>
        </w:rPr>
        <w:t>agressions sexuelles, de meurtres et [d</w:t>
      </w:r>
      <w:r w:rsidR="0068586D">
        <w:rPr>
          <w:lang w:val="fr-FR"/>
        </w:rPr>
        <w:t>’</w:t>
      </w:r>
      <w:r w:rsidRPr="00E85000">
        <w:rPr>
          <w:lang w:val="fr-FR"/>
        </w:rPr>
        <w:t>incitations au] suicide. La cyberviolence revêt différentes formes et les types de comportements observés dans le cadre de celle-ci depuis son apparition ont connu une rapide évolution – et, en l</w:t>
      </w:r>
      <w:r w:rsidR="0068586D">
        <w:rPr>
          <w:lang w:val="fr-FR"/>
        </w:rPr>
        <w:t>’</w:t>
      </w:r>
      <w:r w:rsidRPr="00E85000">
        <w:rPr>
          <w:lang w:val="fr-FR"/>
        </w:rPr>
        <w:t>absence de contrôle, ils continueront à évoluer – tout comme les plateformes et les outils numériques et virtuels se sont propagés. »</w:t>
      </w:r>
    </w:p>
    <w:p w:rsidRPr="00E85000" w:rsidR="00112A65" w:rsidP="00112A65" w:rsidRDefault="00112A65">
      <w:pPr>
        <w:pStyle w:val="ECHRPara"/>
        <w:rPr>
          <w:lang w:val="fr-FR"/>
        </w:rPr>
      </w:pPr>
      <w:r w:rsidRPr="00E85000">
        <w:rPr>
          <w:lang w:val="fr-FR"/>
        </w:rPr>
        <w:t>Ce rapport dresse un inventaire des formes que peut prendre la cyberviolence contre les femmes et identifie six catégories : l</w:t>
      </w:r>
      <w:r w:rsidR="0068586D">
        <w:rPr>
          <w:lang w:val="fr-FR"/>
        </w:rPr>
        <w:t>’</w:t>
      </w:r>
      <w:r w:rsidRPr="00E85000">
        <w:rPr>
          <w:lang w:val="fr-FR"/>
        </w:rPr>
        <w:t>intrusion (</w:t>
      </w:r>
      <w:r w:rsidRPr="00E85000">
        <w:rPr>
          <w:i/>
          <w:lang w:val="fr-FR"/>
        </w:rPr>
        <w:t>hacking</w:t>
      </w:r>
      <w:r w:rsidRPr="00E85000">
        <w:rPr>
          <w:lang w:val="fr-FR"/>
        </w:rPr>
        <w:t>), l</w:t>
      </w:r>
      <w:r w:rsidR="0068586D">
        <w:rPr>
          <w:lang w:val="fr-FR"/>
        </w:rPr>
        <w:t>’</w:t>
      </w:r>
      <w:r w:rsidRPr="00E85000">
        <w:rPr>
          <w:lang w:val="fr-FR"/>
        </w:rPr>
        <w:t>imitation (</w:t>
      </w:r>
      <w:proofErr w:type="spellStart"/>
      <w:r w:rsidRPr="00E85000">
        <w:rPr>
          <w:i/>
          <w:lang w:val="fr-FR"/>
        </w:rPr>
        <w:t>impersonation</w:t>
      </w:r>
      <w:proofErr w:type="spellEnd"/>
      <w:r w:rsidRPr="00E85000">
        <w:rPr>
          <w:lang w:val="fr-FR"/>
        </w:rPr>
        <w:t>), la surveillance (</w:t>
      </w:r>
      <w:proofErr w:type="spellStart"/>
      <w:r w:rsidRPr="00E85000">
        <w:rPr>
          <w:i/>
          <w:lang w:val="fr-FR"/>
        </w:rPr>
        <w:t>tracking</w:t>
      </w:r>
      <w:proofErr w:type="spellEnd"/>
      <w:r w:rsidRPr="00E85000">
        <w:rPr>
          <w:lang w:val="fr-FR"/>
        </w:rPr>
        <w:t>), le harcèlement/le spamming, le recrutement et la distribution malveillante. Il définit l</w:t>
      </w:r>
      <w:r w:rsidR="0068586D">
        <w:rPr>
          <w:lang w:val="fr-FR"/>
        </w:rPr>
        <w:t>’</w:t>
      </w:r>
      <w:r w:rsidRPr="00E85000">
        <w:rPr>
          <w:lang w:val="fr-FR"/>
        </w:rPr>
        <w:t>intrusion comme l</w:t>
      </w:r>
      <w:r w:rsidR="0068586D">
        <w:rPr>
          <w:lang w:val="fr-FR"/>
        </w:rPr>
        <w:t>’</w:t>
      </w:r>
      <w:r w:rsidRPr="00E85000">
        <w:rPr>
          <w:lang w:val="fr-FR"/>
        </w:rPr>
        <w:t>utilisation de la technologie en vue d</w:t>
      </w:r>
      <w:r w:rsidR="0068586D">
        <w:rPr>
          <w:lang w:val="fr-FR"/>
        </w:rPr>
        <w:t>’</w:t>
      </w:r>
      <w:r w:rsidRPr="00E85000">
        <w:rPr>
          <w:lang w:val="fr-FR"/>
        </w:rPr>
        <w:t>obtenir un accès illégal ou non-autorisé aux systèmes ou ressources afin d</w:t>
      </w:r>
      <w:r w:rsidR="0068586D">
        <w:rPr>
          <w:lang w:val="fr-FR"/>
        </w:rPr>
        <w:t>’</w:t>
      </w:r>
      <w:r w:rsidRPr="00E85000">
        <w:rPr>
          <w:lang w:val="fr-FR"/>
        </w:rPr>
        <w:t>obtenir des informations personnelles, de les modifier ou d</w:t>
      </w:r>
      <w:r w:rsidR="0068586D">
        <w:rPr>
          <w:lang w:val="fr-FR"/>
        </w:rPr>
        <w:t>’</w:t>
      </w:r>
      <w:r w:rsidRPr="00E85000">
        <w:rPr>
          <w:lang w:val="fr-FR"/>
        </w:rPr>
        <w:t>insulter la victime, et prend par exemple la forme de violation des mots de passe et de contrôle des fonctionnalités de l</w:t>
      </w:r>
      <w:r w:rsidR="0068586D">
        <w:rPr>
          <w:lang w:val="fr-FR"/>
        </w:rPr>
        <w:t>’</w:t>
      </w:r>
      <w:r w:rsidRPr="00E85000">
        <w:rPr>
          <w:lang w:val="fr-FR"/>
        </w:rPr>
        <w:t>ordinateur. La surveillance suppose l</w:t>
      </w:r>
      <w:r w:rsidR="0068586D">
        <w:rPr>
          <w:lang w:val="fr-FR"/>
        </w:rPr>
        <w:t>’</w:t>
      </w:r>
      <w:r w:rsidRPr="00E85000">
        <w:rPr>
          <w:lang w:val="fr-FR"/>
        </w:rPr>
        <w:t>utilisation de la technologie pour surveiller les activités et les comportements de la victime, en temps réel ou chronologiquement (au moyen, par exemple, de la surveillance GPS ou de la surveillance des touches afin de recréer les activités de la victime sur l</w:t>
      </w:r>
      <w:r w:rsidR="0068586D">
        <w:rPr>
          <w:lang w:val="fr-FR"/>
        </w:rPr>
        <w:t>’</w:t>
      </w:r>
      <w:r w:rsidRPr="00E85000">
        <w:rPr>
          <w:lang w:val="fr-FR"/>
        </w:rPr>
        <w:t>ordinateur).</w:t>
      </w:r>
    </w:p>
    <w:p w:rsidRPr="00E85000" w:rsidR="00112A65" w:rsidP="00112A65" w:rsidRDefault="00112A65">
      <w:pPr>
        <w:pStyle w:val="ECHRHeading3"/>
        <w:rPr>
          <w:lang w:val="fr-FR"/>
        </w:rPr>
      </w:pPr>
      <w:r w:rsidRPr="00E85000">
        <w:rPr>
          <w:lang w:val="fr-FR"/>
        </w:rPr>
        <w:t>2. Le système du Conseil de l</w:t>
      </w:r>
      <w:r w:rsidR="0068586D">
        <w:rPr>
          <w:lang w:val="fr-FR"/>
        </w:rPr>
        <w:t>’</w:t>
      </w:r>
      <w:r w:rsidRPr="00E85000">
        <w:rPr>
          <w:lang w:val="fr-FR"/>
        </w:rPr>
        <w:t>Europe</w:t>
      </w:r>
    </w:p>
    <w:p w:rsidRPr="00E85000" w:rsidR="00112A65" w:rsidP="00112A65" w:rsidRDefault="00112A65">
      <w:pPr>
        <w:pStyle w:val="ECHRPara"/>
        <w:rPr>
          <w:lang w:val="fr-FR"/>
        </w:rPr>
      </w:pPr>
      <w:r w:rsidRPr="00E85000">
        <w:rPr>
          <w:lang w:val="fr-FR"/>
        </w:rPr>
        <w:fldChar w:fldCharType="begin"/>
      </w:r>
      <w:r w:rsidRPr="00E85000">
        <w:rPr>
          <w:lang w:val="fr-FR"/>
        </w:rPr>
        <w:instrText xml:space="preserve"> SEQ level0 \*arabic </w:instrText>
      </w:r>
      <w:r w:rsidRPr="00E85000">
        <w:rPr>
          <w:lang w:val="fr-FR"/>
        </w:rPr>
        <w:fldChar w:fldCharType="separate"/>
      </w:r>
      <w:r w:rsidRPr="00E85000">
        <w:rPr>
          <w:noProof/>
          <w:lang w:val="fr-FR"/>
        </w:rPr>
        <w:t>37</w:t>
      </w:r>
      <w:r w:rsidRPr="00E85000">
        <w:rPr>
          <w:lang w:val="fr-FR"/>
        </w:rPr>
        <w:fldChar w:fldCharType="end"/>
      </w:r>
      <w:r w:rsidRPr="00E85000">
        <w:rPr>
          <w:lang w:val="fr-FR"/>
        </w:rPr>
        <w:t>.  Les dispositions de la Convention sur la prévention et la lutte contre la violence à l</w:t>
      </w:r>
      <w:r w:rsidR="0068586D">
        <w:rPr>
          <w:lang w:val="fr-FR"/>
        </w:rPr>
        <w:t>’</w:t>
      </w:r>
      <w:r w:rsidRPr="00E85000">
        <w:rPr>
          <w:lang w:val="fr-FR"/>
        </w:rPr>
        <w:t>égard des femmes et la violence domestique (« la Convention d</w:t>
      </w:r>
      <w:r w:rsidR="0068586D">
        <w:rPr>
          <w:lang w:val="fr-FR"/>
        </w:rPr>
        <w:t>’</w:t>
      </w:r>
      <w:r w:rsidRPr="00E85000">
        <w:rPr>
          <w:lang w:val="fr-FR"/>
        </w:rPr>
        <w:t>Istanbul ») sont décrites dans l</w:t>
      </w:r>
      <w:r w:rsidR="0068586D">
        <w:rPr>
          <w:lang w:val="fr-FR"/>
        </w:rPr>
        <w:t>’</w:t>
      </w:r>
      <w:r w:rsidRPr="00E85000">
        <w:rPr>
          <w:lang w:val="fr-FR"/>
        </w:rPr>
        <w:t xml:space="preserve">affaire </w:t>
      </w:r>
      <w:r w:rsidRPr="00E85000">
        <w:rPr>
          <w:i/>
          <w:lang w:val="fr-FR"/>
        </w:rPr>
        <w:t>M.G.</w:t>
      </w:r>
      <w:r w:rsidRPr="00E85000">
        <w:rPr>
          <w:lang w:val="fr-FR"/>
        </w:rPr>
        <w:t xml:space="preserve"> </w:t>
      </w:r>
      <w:r w:rsidRPr="00E85000">
        <w:rPr>
          <w:i/>
          <w:lang w:val="fr-FR"/>
        </w:rPr>
        <w:t>c. Turquie</w:t>
      </w:r>
      <w:r w:rsidRPr="00E85000">
        <w:rPr>
          <w:lang w:val="fr-FR"/>
        </w:rPr>
        <w:t xml:space="preserve"> (n</w:t>
      </w:r>
      <w:r w:rsidRPr="00E85000">
        <w:rPr>
          <w:vertAlign w:val="superscript"/>
          <w:lang w:val="fr-FR"/>
        </w:rPr>
        <w:t>o</w:t>
      </w:r>
      <w:r w:rsidRPr="00E85000">
        <w:rPr>
          <w:lang w:val="fr-FR"/>
        </w:rPr>
        <w:t xml:space="preserve"> 646/10, § 54, 22 mars 2016). Cette dernière convention est entrée en vigueur à l</w:t>
      </w:r>
      <w:r w:rsidR="0068586D">
        <w:rPr>
          <w:lang w:val="fr-FR"/>
        </w:rPr>
        <w:t>’</w:t>
      </w:r>
      <w:r w:rsidRPr="00E85000">
        <w:rPr>
          <w:lang w:val="fr-FR"/>
        </w:rPr>
        <w:t>égard de la Roumanie le 1</w:t>
      </w:r>
      <w:r w:rsidRPr="00E85000">
        <w:rPr>
          <w:vertAlign w:val="superscript"/>
          <w:lang w:val="fr-FR"/>
        </w:rPr>
        <w:t>er</w:t>
      </w:r>
      <w:r w:rsidRPr="00E85000">
        <w:rPr>
          <w:lang w:val="fr-FR"/>
        </w:rPr>
        <w:t xml:space="preserve"> septembre 2016.</w:t>
      </w:r>
    </w:p>
    <w:bookmarkStart w:name="Convention_Istanbul" w:id="22"/>
    <w:p w:rsidRPr="00E85000" w:rsidR="00112A65" w:rsidP="00112A65" w:rsidRDefault="00112A65">
      <w:pPr>
        <w:pStyle w:val="ECHRPara"/>
        <w:rPr>
          <w:lang w:val="fr-FR"/>
        </w:rPr>
      </w:pPr>
      <w:r w:rsidRPr="00E85000">
        <w:rPr>
          <w:lang w:val="fr-FR"/>
        </w:rPr>
        <w:fldChar w:fldCharType="begin"/>
      </w:r>
      <w:r w:rsidRPr="00E85000">
        <w:rPr>
          <w:lang w:val="fr-FR"/>
        </w:rPr>
        <w:instrText xml:space="preserve"> SEQ level0 \*arabic </w:instrText>
      </w:r>
      <w:r w:rsidRPr="00E85000">
        <w:rPr>
          <w:lang w:val="fr-FR"/>
        </w:rPr>
        <w:fldChar w:fldCharType="separate"/>
      </w:r>
      <w:r w:rsidRPr="00E85000">
        <w:rPr>
          <w:noProof/>
          <w:lang w:val="fr-FR"/>
        </w:rPr>
        <w:t>38</w:t>
      </w:r>
      <w:r w:rsidRPr="00E85000">
        <w:rPr>
          <w:lang w:val="fr-FR"/>
        </w:rPr>
        <w:fldChar w:fldCharType="end"/>
      </w:r>
      <w:bookmarkEnd w:id="22"/>
      <w:r w:rsidRPr="00E85000">
        <w:rPr>
          <w:lang w:val="fr-FR"/>
        </w:rPr>
        <w:t>.  La Convention d</w:t>
      </w:r>
      <w:r w:rsidR="0068586D">
        <w:rPr>
          <w:lang w:val="fr-FR"/>
        </w:rPr>
        <w:t>’</w:t>
      </w:r>
      <w:r w:rsidRPr="00E85000">
        <w:rPr>
          <w:lang w:val="fr-FR"/>
        </w:rPr>
        <w:t>Istanbul comporte notamment les dispositions suivantes :</w:t>
      </w:r>
    </w:p>
    <w:p w:rsidRPr="00E85000" w:rsidR="00112A65" w:rsidP="00112A65" w:rsidRDefault="00112A65">
      <w:pPr>
        <w:pStyle w:val="ECHRTitleCentre3"/>
        <w:rPr>
          <w:lang w:val="fr-FR"/>
        </w:rPr>
      </w:pPr>
      <w:r w:rsidRPr="00E85000">
        <w:rPr>
          <w:lang w:val="fr-FR"/>
        </w:rPr>
        <w:t>Article 3 – Définitions</w:t>
      </w:r>
    </w:p>
    <w:p w:rsidRPr="00E85000" w:rsidR="00112A65" w:rsidP="00112A65" w:rsidRDefault="00112A65">
      <w:pPr>
        <w:pStyle w:val="ECHRParaQuote"/>
        <w:rPr>
          <w:lang w:val="fr-FR"/>
        </w:rPr>
      </w:pPr>
      <w:r w:rsidRPr="00E85000">
        <w:rPr>
          <w:lang w:val="fr-FR"/>
        </w:rPr>
        <w:t>« Aux fins de la présente Convention :</w:t>
      </w:r>
    </w:p>
    <w:p w:rsidRPr="00E85000" w:rsidR="00112A65" w:rsidP="00112A65" w:rsidRDefault="00112A65">
      <w:pPr>
        <w:pStyle w:val="ECHRParaQuote"/>
        <w:rPr>
          <w:lang w:val="fr-FR"/>
        </w:rPr>
      </w:pPr>
      <w:r w:rsidRPr="00E85000">
        <w:rPr>
          <w:lang w:val="fr-FR"/>
        </w:rPr>
        <w:t>a) le terme « violence à l</w:t>
      </w:r>
      <w:r w:rsidR="0068586D">
        <w:rPr>
          <w:lang w:val="fr-FR"/>
        </w:rPr>
        <w:t>’</w:t>
      </w:r>
      <w:r w:rsidRPr="00E85000">
        <w:rPr>
          <w:lang w:val="fr-FR"/>
        </w:rPr>
        <w:t>égard des femmes » doit être compris comme une violation des droits de l</w:t>
      </w:r>
      <w:r w:rsidR="0068586D">
        <w:rPr>
          <w:lang w:val="fr-FR"/>
        </w:rPr>
        <w:t>’</w:t>
      </w:r>
      <w:r w:rsidRPr="00E85000">
        <w:rPr>
          <w:lang w:val="fr-FR"/>
        </w:rPr>
        <w:t>homme et une forme de discrimination à l</w:t>
      </w:r>
      <w:r w:rsidR="0068586D">
        <w:rPr>
          <w:lang w:val="fr-FR"/>
        </w:rPr>
        <w:t>’</w:t>
      </w:r>
      <w:r w:rsidRPr="00E85000">
        <w:rPr>
          <w:lang w:val="fr-FR"/>
        </w:rPr>
        <w:t>égard des femmes, et désigne tous les actes de violence fondés sur le genre qui entraînent, ou sont susceptibles d</w:t>
      </w:r>
      <w:r w:rsidR="0068586D">
        <w:rPr>
          <w:lang w:val="fr-FR"/>
        </w:rPr>
        <w:t>’</w:t>
      </w:r>
      <w:r w:rsidRPr="00E85000">
        <w:rPr>
          <w:lang w:val="fr-FR"/>
        </w:rPr>
        <w:t>entraîner pour les femmes, des dommages ou souffrances de nature physique, sexuelle, psychologique ou économique, y compris la menace de se livrer à de tels actes, la contrainte ou la privation arbitraire de liberté, que ce soit dans la vie publique ou privée ;</w:t>
      </w:r>
    </w:p>
    <w:p w:rsidRPr="00E85000" w:rsidR="00112A65" w:rsidP="00112A65" w:rsidRDefault="00112A65">
      <w:pPr>
        <w:pStyle w:val="ECHRParaQuote"/>
        <w:rPr>
          <w:lang w:val="fr-FR"/>
        </w:rPr>
      </w:pPr>
      <w:r w:rsidRPr="00E85000">
        <w:rPr>
          <w:lang w:val="fr-FR"/>
        </w:rPr>
        <w:t>b) le terme « violence domestique » désigne tous les actes de violence physique, sexuelle, psychologique ou économique qui surviennent au sein de la famille ou du foyer ou entre des anciens ou actuels conjoints ou partenaires, indépendamment du fait que l</w:t>
      </w:r>
      <w:r w:rsidR="0068586D">
        <w:rPr>
          <w:lang w:val="fr-FR"/>
        </w:rPr>
        <w:t>’</w:t>
      </w:r>
      <w:r w:rsidRPr="00E85000">
        <w:rPr>
          <w:lang w:val="fr-FR"/>
        </w:rPr>
        <w:t>auteur de l</w:t>
      </w:r>
      <w:r w:rsidR="0068586D">
        <w:rPr>
          <w:lang w:val="fr-FR"/>
        </w:rPr>
        <w:t>’</w:t>
      </w:r>
      <w:r w:rsidRPr="00E85000">
        <w:rPr>
          <w:lang w:val="fr-FR"/>
        </w:rPr>
        <w:t>infraction partage ou a partagé le même domicile que la victime ;</w:t>
      </w:r>
    </w:p>
    <w:p w:rsidRPr="00E85000" w:rsidR="00112A65" w:rsidP="00112A65" w:rsidRDefault="00112A65">
      <w:pPr>
        <w:pStyle w:val="ECHRParaQuote"/>
        <w:rPr>
          <w:lang w:val="fr-FR"/>
        </w:rPr>
      </w:pPr>
      <w:r w:rsidRPr="00E85000">
        <w:rPr>
          <w:lang w:val="fr-FR"/>
        </w:rPr>
        <w:t>(...) »</w:t>
      </w:r>
    </w:p>
    <w:p w:rsidRPr="00E85000" w:rsidR="00112A65" w:rsidP="00112A65" w:rsidRDefault="00112A65">
      <w:pPr>
        <w:pStyle w:val="ECHRPara"/>
        <w:rPr>
          <w:lang w:val="fr-FR"/>
        </w:rPr>
      </w:pPr>
      <w:r w:rsidRPr="00E85000">
        <w:rPr>
          <w:lang w:val="fr-FR"/>
        </w:rPr>
        <w:fldChar w:fldCharType="begin"/>
      </w:r>
      <w:r w:rsidRPr="00E85000">
        <w:rPr>
          <w:lang w:val="fr-FR"/>
        </w:rPr>
        <w:instrText xml:space="preserve"> SEQ level0 \*arabic </w:instrText>
      </w:r>
      <w:r w:rsidRPr="00E85000">
        <w:rPr>
          <w:lang w:val="fr-FR"/>
        </w:rPr>
        <w:fldChar w:fldCharType="separate"/>
      </w:r>
      <w:r w:rsidRPr="00E85000">
        <w:rPr>
          <w:noProof/>
          <w:lang w:val="fr-FR"/>
        </w:rPr>
        <w:t>39</w:t>
      </w:r>
      <w:r w:rsidRPr="00E85000">
        <w:rPr>
          <w:lang w:val="fr-FR"/>
        </w:rPr>
        <w:fldChar w:fldCharType="end"/>
      </w:r>
      <w:r w:rsidRPr="00E85000">
        <w:rPr>
          <w:lang w:val="fr-FR"/>
        </w:rPr>
        <w:t>.  Elle comporte également, au chapitre V, des dispositions de droit matériel et définit plusieurs types de violence domestique, dont la violence psychologique, le harcèlement, la violence physique ou sexuelle (articles 33-36). Les articles 33 et 34, pertinents en l</w:t>
      </w:r>
      <w:r w:rsidR="0068586D">
        <w:rPr>
          <w:lang w:val="fr-FR"/>
        </w:rPr>
        <w:t>’</w:t>
      </w:r>
      <w:r w:rsidRPr="00E85000">
        <w:rPr>
          <w:lang w:val="fr-FR"/>
        </w:rPr>
        <w:t>espèce, sont ainsi rédigés :</w:t>
      </w:r>
    </w:p>
    <w:p w:rsidRPr="00E85000" w:rsidR="00112A65" w:rsidP="00112A65" w:rsidRDefault="00112A65">
      <w:pPr>
        <w:pStyle w:val="ECHRTitleCentre3"/>
        <w:rPr>
          <w:lang w:val="fr-FR"/>
        </w:rPr>
      </w:pPr>
      <w:r w:rsidRPr="00E85000">
        <w:rPr>
          <w:lang w:val="fr-FR"/>
        </w:rPr>
        <w:t>Article 33 – Violence psychologique</w:t>
      </w:r>
    </w:p>
    <w:p w:rsidRPr="00E85000" w:rsidR="00112A65" w:rsidP="00112A65" w:rsidRDefault="00112A65">
      <w:pPr>
        <w:pStyle w:val="ECHRParaQuote"/>
        <w:rPr>
          <w:lang w:val="fr-FR"/>
        </w:rPr>
      </w:pPr>
      <w:r w:rsidRPr="00E85000">
        <w:rPr>
          <w:lang w:val="fr-FR"/>
        </w:rPr>
        <w:t>« Les Parties prennent les mesures législatives ou autres nécessaires pour ériger en infraction pénale le fait, lorsqu</w:t>
      </w:r>
      <w:r w:rsidR="0068586D">
        <w:rPr>
          <w:lang w:val="fr-FR"/>
        </w:rPr>
        <w:t>’</w:t>
      </w:r>
      <w:r w:rsidRPr="00E85000">
        <w:rPr>
          <w:lang w:val="fr-FR"/>
        </w:rPr>
        <w:t>il est commis intentionnellement, de porter gravement atteinte à l</w:t>
      </w:r>
      <w:r w:rsidR="0068586D">
        <w:rPr>
          <w:lang w:val="fr-FR"/>
        </w:rPr>
        <w:t>’</w:t>
      </w:r>
      <w:r w:rsidRPr="00E85000">
        <w:rPr>
          <w:lang w:val="fr-FR"/>
        </w:rPr>
        <w:t>intégrité psychologique d</w:t>
      </w:r>
      <w:r w:rsidR="0068586D">
        <w:rPr>
          <w:lang w:val="fr-FR"/>
        </w:rPr>
        <w:t>’</w:t>
      </w:r>
      <w:r w:rsidRPr="00E85000">
        <w:rPr>
          <w:lang w:val="fr-FR"/>
        </w:rPr>
        <w:t>une personne par la contrainte ou les menaces. »</w:t>
      </w:r>
    </w:p>
    <w:p w:rsidRPr="00E85000" w:rsidR="00112A65" w:rsidP="00112A65" w:rsidRDefault="00112A65">
      <w:pPr>
        <w:pStyle w:val="ECHRTitleCentre3"/>
        <w:rPr>
          <w:lang w:val="fr-FR"/>
        </w:rPr>
      </w:pPr>
      <w:r w:rsidRPr="00E85000">
        <w:rPr>
          <w:lang w:val="fr-FR"/>
        </w:rPr>
        <w:t>Article 34 – Harcèlement</w:t>
      </w:r>
    </w:p>
    <w:p w:rsidRPr="00E85000" w:rsidR="00112A65" w:rsidP="00112A65" w:rsidRDefault="00112A65">
      <w:pPr>
        <w:pStyle w:val="ECHRParaQuote"/>
        <w:rPr>
          <w:lang w:val="fr-FR"/>
        </w:rPr>
      </w:pPr>
      <w:r w:rsidRPr="00E85000">
        <w:rPr>
          <w:lang w:val="fr-FR"/>
        </w:rPr>
        <w:t>« Les Parties prennent les mesures législatives ou autres nécessaires pour ériger en infraction pénale le fait, lorsqu</w:t>
      </w:r>
      <w:r w:rsidR="0068586D">
        <w:rPr>
          <w:lang w:val="fr-FR"/>
        </w:rPr>
        <w:t>’</w:t>
      </w:r>
      <w:r w:rsidRPr="00E85000">
        <w:rPr>
          <w:lang w:val="fr-FR"/>
        </w:rPr>
        <w:t>il est commis intentionnellement, d</w:t>
      </w:r>
      <w:r w:rsidR="0068586D">
        <w:rPr>
          <w:lang w:val="fr-FR"/>
        </w:rPr>
        <w:t>’</w:t>
      </w:r>
      <w:r w:rsidRPr="00E85000">
        <w:rPr>
          <w:lang w:val="fr-FR"/>
        </w:rPr>
        <w:t>adopter, à plusieurs reprises, un comportement menaçant dirigé envers une autre personne, conduisant celle-ci à craindre pour sa sécurité. »</w:t>
      </w:r>
    </w:p>
    <w:bookmarkStart w:name="def_cyberV_CoE" w:id="23"/>
    <w:p w:rsidRPr="00E85000" w:rsidR="00112A65" w:rsidP="00112A65" w:rsidRDefault="00112A65">
      <w:pPr>
        <w:pStyle w:val="ECHRPara"/>
        <w:rPr>
          <w:lang w:val="fr-FR"/>
        </w:rPr>
      </w:pPr>
      <w:r w:rsidRPr="00E85000">
        <w:rPr>
          <w:lang w:val="fr-FR"/>
        </w:rPr>
        <w:fldChar w:fldCharType="begin"/>
      </w:r>
      <w:r w:rsidRPr="00E85000">
        <w:rPr>
          <w:lang w:val="fr-FR"/>
        </w:rPr>
        <w:instrText xml:space="preserve"> SEQ level0 \*arabic </w:instrText>
      </w:r>
      <w:r w:rsidRPr="00E85000">
        <w:rPr>
          <w:lang w:val="fr-FR"/>
        </w:rPr>
        <w:fldChar w:fldCharType="separate"/>
      </w:r>
      <w:r w:rsidRPr="00E85000">
        <w:rPr>
          <w:noProof/>
          <w:lang w:val="fr-FR"/>
        </w:rPr>
        <w:t>40</w:t>
      </w:r>
      <w:r w:rsidRPr="00E85000">
        <w:rPr>
          <w:lang w:val="fr-FR"/>
        </w:rPr>
        <w:fldChar w:fldCharType="end"/>
      </w:r>
      <w:bookmarkEnd w:id="23"/>
      <w:r w:rsidRPr="00E85000">
        <w:rPr>
          <w:lang w:val="fr-FR"/>
        </w:rPr>
        <w:t>.  Le Groupe de travail du Conseil de l</w:t>
      </w:r>
      <w:r w:rsidR="0068586D">
        <w:rPr>
          <w:lang w:val="fr-FR"/>
        </w:rPr>
        <w:t>’</w:t>
      </w:r>
      <w:r w:rsidRPr="00E85000">
        <w:rPr>
          <w:lang w:val="fr-FR"/>
        </w:rPr>
        <w:t>Europe sur le harcèlement en ligne et les autres formes de violences en ligne, notamment contre les femmes et les enfants, a proposé, dans une étude réalisée en 2018</w:t>
      </w:r>
      <w:r w:rsidRPr="00E85000">
        <w:rPr>
          <w:vertAlign w:val="superscript"/>
          <w:lang w:val="fr-FR"/>
        </w:rPr>
        <w:footnoteReference w:id="3"/>
      </w:r>
      <w:r w:rsidRPr="00E85000">
        <w:rPr>
          <w:lang w:val="fr-FR"/>
        </w:rPr>
        <w:t xml:space="preserve"> (</w:t>
      </w:r>
      <w:r w:rsidRPr="00E85000">
        <w:rPr>
          <w:i/>
          <w:lang w:val="fr-FR"/>
        </w:rPr>
        <w:t xml:space="preserve">Mapping </w:t>
      </w:r>
      <w:proofErr w:type="spellStart"/>
      <w:r w:rsidRPr="00E85000">
        <w:rPr>
          <w:i/>
          <w:lang w:val="fr-FR"/>
        </w:rPr>
        <w:t>study</w:t>
      </w:r>
      <w:proofErr w:type="spellEnd"/>
      <w:r w:rsidRPr="00E85000">
        <w:rPr>
          <w:i/>
          <w:lang w:val="fr-FR"/>
        </w:rPr>
        <w:t xml:space="preserve"> on cyber violence</w:t>
      </w:r>
      <w:r w:rsidRPr="00E85000">
        <w:rPr>
          <w:lang w:val="fr-FR"/>
        </w:rPr>
        <w:t>), la définition suivante [traduction du greffe] :</w:t>
      </w:r>
    </w:p>
    <w:p w:rsidRPr="00E85000" w:rsidR="00112A65" w:rsidP="00112A65" w:rsidRDefault="00112A65">
      <w:pPr>
        <w:pStyle w:val="ECHRParaQuote"/>
        <w:ind w:left="567"/>
        <w:rPr>
          <w:lang w:val="fr-FR"/>
        </w:rPr>
      </w:pPr>
      <w:r w:rsidRPr="00E85000">
        <w:rPr>
          <w:lang w:val="fr-FR"/>
        </w:rPr>
        <w:t>« La cyberviolence est l</w:t>
      </w:r>
      <w:r w:rsidR="0068586D">
        <w:rPr>
          <w:lang w:val="fr-FR"/>
        </w:rPr>
        <w:t>’</w:t>
      </w:r>
      <w:r w:rsidRPr="00E85000">
        <w:rPr>
          <w:lang w:val="fr-FR"/>
        </w:rPr>
        <w:t>utilisation des systèmes informatiques afin de causer des violences, de les faciliter ou d</w:t>
      </w:r>
      <w:r w:rsidR="0068586D">
        <w:rPr>
          <w:lang w:val="fr-FR"/>
        </w:rPr>
        <w:t>’</w:t>
      </w:r>
      <w:r w:rsidRPr="00E85000">
        <w:rPr>
          <w:lang w:val="fr-FR"/>
        </w:rPr>
        <w:t xml:space="preserve">en menacer des individus, qui provoque ou est susceptible de provoquer un préjudice ou </w:t>
      </w:r>
      <w:proofErr w:type="gramStart"/>
      <w:r w:rsidRPr="00E85000">
        <w:rPr>
          <w:lang w:val="fr-FR"/>
        </w:rPr>
        <w:t>une souffrance physiques</w:t>
      </w:r>
      <w:proofErr w:type="gramEnd"/>
      <w:r w:rsidRPr="00E85000">
        <w:rPr>
          <w:lang w:val="fr-FR"/>
        </w:rPr>
        <w:t>, sexuels, psychologiques ou économiques et peut inclure l</w:t>
      </w:r>
      <w:r w:rsidR="0068586D">
        <w:rPr>
          <w:lang w:val="fr-FR"/>
        </w:rPr>
        <w:t>’</w:t>
      </w:r>
      <w:r w:rsidRPr="00E85000">
        <w:rPr>
          <w:lang w:val="fr-FR"/>
        </w:rPr>
        <w:t>exploitation des circonstances, des caractéristiques ou des vulnérabilités individuelles. »</w:t>
      </w:r>
    </w:p>
    <w:p w:rsidRPr="00E85000" w:rsidR="00112A65" w:rsidP="00112A65" w:rsidRDefault="00112A65">
      <w:pPr>
        <w:pStyle w:val="ECHRPara"/>
        <w:rPr>
          <w:lang w:val="fr-FR"/>
        </w:rPr>
      </w:pPr>
      <w:r w:rsidRPr="00E85000">
        <w:rPr>
          <w:lang w:val="fr-FR"/>
        </w:rPr>
        <w:t>Cette étude précise que certaines formes de cybercrimes telles que l</w:t>
      </w:r>
      <w:r w:rsidR="0068586D">
        <w:rPr>
          <w:lang w:val="fr-FR"/>
        </w:rPr>
        <w:t>’</w:t>
      </w:r>
      <w:r w:rsidRPr="00E85000">
        <w:rPr>
          <w:lang w:val="fr-FR"/>
        </w:rPr>
        <w:t>accès illégal aux données personnelles intimes ou la destruction de données peuvent aussi être considérées comme des actes de cyberviolence. Elle dresse également un inventaire des actions relevant de la cyberviolence contre les femmes : violations informatiques de la vie privée (</w:t>
      </w:r>
      <w:r w:rsidRPr="00E85000">
        <w:rPr>
          <w:i/>
          <w:lang w:val="fr-FR"/>
        </w:rPr>
        <w:t>ICT-</w:t>
      </w:r>
      <w:proofErr w:type="spellStart"/>
      <w:r w:rsidRPr="00E85000">
        <w:rPr>
          <w:i/>
          <w:lang w:val="fr-FR"/>
        </w:rPr>
        <w:t>related</w:t>
      </w:r>
      <w:proofErr w:type="spellEnd"/>
      <w:r w:rsidRPr="00E85000">
        <w:rPr>
          <w:i/>
          <w:lang w:val="fr-FR"/>
        </w:rPr>
        <w:t xml:space="preserve"> violations of </w:t>
      </w:r>
      <w:proofErr w:type="spellStart"/>
      <w:r w:rsidRPr="00E85000">
        <w:rPr>
          <w:i/>
          <w:lang w:val="fr-FR"/>
        </w:rPr>
        <w:t>privacy</w:t>
      </w:r>
      <w:proofErr w:type="spellEnd"/>
      <w:r w:rsidRPr="00E85000">
        <w:rPr>
          <w:lang w:val="fr-FR"/>
        </w:rPr>
        <w:t>), crimes informatiques de haine (</w:t>
      </w:r>
      <w:r w:rsidRPr="00E85000">
        <w:rPr>
          <w:i/>
          <w:lang w:val="fr-FR"/>
        </w:rPr>
        <w:t>ICT-</w:t>
      </w:r>
      <w:proofErr w:type="spellStart"/>
      <w:r w:rsidRPr="00E85000">
        <w:rPr>
          <w:i/>
          <w:lang w:val="fr-FR"/>
        </w:rPr>
        <w:t>related</w:t>
      </w:r>
      <w:proofErr w:type="spellEnd"/>
      <w:r w:rsidRPr="00E85000">
        <w:rPr>
          <w:i/>
          <w:lang w:val="fr-FR"/>
        </w:rPr>
        <w:t xml:space="preserve"> </w:t>
      </w:r>
      <w:proofErr w:type="spellStart"/>
      <w:r w:rsidRPr="00E85000">
        <w:rPr>
          <w:i/>
          <w:lang w:val="fr-FR"/>
        </w:rPr>
        <w:t>hate</w:t>
      </w:r>
      <w:proofErr w:type="spellEnd"/>
      <w:r w:rsidRPr="00E85000">
        <w:rPr>
          <w:i/>
          <w:lang w:val="fr-FR"/>
        </w:rPr>
        <w:t xml:space="preserve"> crimes</w:t>
      </w:r>
      <w:r w:rsidRPr="00E85000">
        <w:rPr>
          <w:lang w:val="fr-FR"/>
        </w:rPr>
        <w:t>)</w:t>
      </w:r>
      <w:r w:rsidRPr="00E85000">
        <w:rPr>
          <w:i/>
          <w:lang w:val="fr-FR"/>
        </w:rPr>
        <w:t xml:space="preserve">, </w:t>
      </w:r>
      <w:r w:rsidRPr="00E85000">
        <w:rPr>
          <w:lang w:val="fr-FR"/>
        </w:rPr>
        <w:t>cyberharcèlement, menaces informatiques directes de violence physique, crimes informatiques (</w:t>
      </w:r>
      <w:r w:rsidRPr="00E85000">
        <w:rPr>
          <w:i/>
          <w:lang w:val="fr-FR"/>
        </w:rPr>
        <w:t>cybercrime</w:t>
      </w:r>
      <w:r w:rsidRPr="00E85000">
        <w:rPr>
          <w:lang w:val="fr-FR"/>
        </w:rPr>
        <w:t>) et exploitation sexuelle et abus sexuel contre les enfants en ligne. Les violations informatiques de la vie privée comprennent les intrusions dans l</w:t>
      </w:r>
      <w:r w:rsidR="0068586D">
        <w:rPr>
          <w:lang w:val="fr-FR"/>
        </w:rPr>
        <w:t>’</w:t>
      </w:r>
      <w:r w:rsidRPr="00E85000">
        <w:rPr>
          <w:lang w:val="fr-FR"/>
        </w:rPr>
        <w:t>ordinateur et la prise, le partage et la manipulation des données et des images, y compris des données intimes. La cybersurveillance (</w:t>
      </w:r>
      <w:proofErr w:type="spellStart"/>
      <w:r w:rsidRPr="00E85000">
        <w:rPr>
          <w:i/>
          <w:lang w:val="fr-FR"/>
        </w:rPr>
        <w:t>cyberstalking</w:t>
      </w:r>
      <w:proofErr w:type="spellEnd"/>
      <w:r w:rsidRPr="00E85000">
        <w:rPr>
          <w:lang w:val="fr-FR"/>
        </w:rPr>
        <w:t>) est une surveillance en ligne. Elle comprend une série de comportements répétés et intrusifs, tels que la traque, le harcèlement et les menaces, et génèrent de la peur chez la victime. L</w:t>
      </w:r>
      <w:r w:rsidR="0068586D">
        <w:rPr>
          <w:lang w:val="fr-FR"/>
        </w:rPr>
        <w:t>’</w:t>
      </w:r>
      <w:r w:rsidRPr="00E85000">
        <w:rPr>
          <w:lang w:val="fr-FR"/>
        </w:rPr>
        <w:t>étude renvoie également à des recherches selon lesquelles la cybersurveillance par des partenaires intimes survient souvent dans le contexte de la violence conjugale et représente une forme de contrôle coercitif.</w:t>
      </w:r>
    </w:p>
    <w:p w:rsidRPr="00E85000" w:rsidR="00112A65" w:rsidP="00112A65" w:rsidRDefault="00112A65">
      <w:pPr>
        <w:pStyle w:val="ECHRHeading2"/>
        <w:rPr>
          <w:lang w:val="fr-FR"/>
        </w:rPr>
      </w:pPr>
      <w:r w:rsidRPr="00E85000">
        <w:rPr>
          <w:lang w:val="fr-FR"/>
        </w:rPr>
        <w:t>C. Les données disponibles dans l</w:t>
      </w:r>
      <w:r w:rsidR="0068586D">
        <w:rPr>
          <w:lang w:val="fr-FR"/>
        </w:rPr>
        <w:t>’</w:t>
      </w:r>
      <w:r w:rsidRPr="00E85000">
        <w:rPr>
          <w:lang w:val="fr-FR"/>
        </w:rPr>
        <w:t>Union européenne</w:t>
      </w:r>
    </w:p>
    <w:p w:rsidRPr="00E85000" w:rsidR="00112A65" w:rsidP="00112A65" w:rsidRDefault="00112A65">
      <w:pPr>
        <w:pStyle w:val="ECHRPara"/>
        <w:rPr>
          <w:szCs w:val="24"/>
          <w:lang w:val="fr-FR"/>
        </w:rPr>
      </w:pPr>
      <w:r w:rsidRPr="00E85000">
        <w:rPr>
          <w:lang w:val="fr-FR"/>
        </w:rPr>
        <w:fldChar w:fldCharType="begin"/>
      </w:r>
      <w:r w:rsidRPr="00E85000">
        <w:rPr>
          <w:lang w:val="fr-FR"/>
        </w:rPr>
        <w:instrText xml:space="preserve"> SEQ level0 \*arabic </w:instrText>
      </w:r>
      <w:r w:rsidRPr="00E85000">
        <w:rPr>
          <w:lang w:val="fr-FR"/>
        </w:rPr>
        <w:fldChar w:fldCharType="separate"/>
      </w:r>
      <w:r w:rsidRPr="00E85000">
        <w:rPr>
          <w:noProof/>
          <w:lang w:val="fr-FR"/>
        </w:rPr>
        <w:t>41</w:t>
      </w:r>
      <w:r w:rsidRPr="00E85000">
        <w:rPr>
          <w:lang w:val="fr-FR"/>
        </w:rPr>
        <w:fldChar w:fldCharType="end"/>
      </w:r>
      <w:r w:rsidRPr="00E85000">
        <w:rPr>
          <w:lang w:val="fr-FR"/>
        </w:rPr>
        <w:t>.  Une enquête européenne menée entre mars et septembre 2012 par l</w:t>
      </w:r>
      <w:r w:rsidR="0068586D">
        <w:rPr>
          <w:lang w:val="fr-FR"/>
        </w:rPr>
        <w:t>’</w:t>
      </w:r>
      <w:r w:rsidRPr="00E85000">
        <w:rPr>
          <w:lang w:val="fr-FR"/>
        </w:rPr>
        <w:t>Agence des droits fondamentaux de l</w:t>
      </w:r>
      <w:r w:rsidR="0068586D">
        <w:rPr>
          <w:lang w:val="fr-FR"/>
        </w:rPr>
        <w:t>’</w:t>
      </w:r>
      <w:r w:rsidRPr="00E85000">
        <w:rPr>
          <w:lang w:val="fr-FR"/>
        </w:rPr>
        <w:t>Union européenne a indiqué que 30 % des femmes roumaines ont déclaré avoir été victimes de violences physiques et/ou sexuelles de la part d</w:t>
      </w:r>
      <w:r w:rsidR="0068586D">
        <w:rPr>
          <w:lang w:val="fr-FR"/>
        </w:rPr>
        <w:t>’</w:t>
      </w:r>
      <w:r w:rsidRPr="00E85000">
        <w:rPr>
          <w:lang w:val="fr-FR"/>
        </w:rPr>
        <w:t>un partenaire ou d</w:t>
      </w:r>
      <w:r w:rsidR="0068586D">
        <w:rPr>
          <w:lang w:val="fr-FR"/>
        </w:rPr>
        <w:t>’</w:t>
      </w:r>
      <w:r w:rsidRPr="00E85000">
        <w:rPr>
          <w:lang w:val="fr-FR"/>
        </w:rPr>
        <w:t>un tiers et 39 % des femmes roumaines ont déclaré avoir subi une forme de violence psychologique de la part d</w:t>
      </w:r>
      <w:r w:rsidR="0068586D">
        <w:rPr>
          <w:lang w:val="fr-FR"/>
        </w:rPr>
        <w:t>’</w:t>
      </w:r>
      <w:r w:rsidRPr="00E85000">
        <w:rPr>
          <w:lang w:val="fr-FR"/>
        </w:rPr>
        <w:t>un partenaire. Selon les conclusions du rapport publié en mars 2014, dans l</w:t>
      </w:r>
      <w:r w:rsidR="0068586D">
        <w:rPr>
          <w:lang w:val="fr-FR"/>
        </w:rPr>
        <w:t>’</w:t>
      </w:r>
      <w:r w:rsidRPr="00E85000">
        <w:rPr>
          <w:lang w:val="fr-FR"/>
        </w:rPr>
        <w:t>Union européenne, la violence à l</w:t>
      </w:r>
      <w:r w:rsidR="0068586D">
        <w:rPr>
          <w:lang w:val="fr-FR"/>
        </w:rPr>
        <w:t>’</w:t>
      </w:r>
      <w:r w:rsidRPr="00E85000">
        <w:rPr>
          <w:lang w:val="fr-FR"/>
        </w:rPr>
        <w:t>égard des femmes est principalement l</w:t>
      </w:r>
      <w:r w:rsidR="0068586D">
        <w:rPr>
          <w:lang w:val="fr-FR"/>
        </w:rPr>
        <w:t>’</w:t>
      </w:r>
      <w:r w:rsidRPr="00E85000">
        <w:rPr>
          <w:lang w:val="fr-FR"/>
        </w:rPr>
        <w:t>action d</w:t>
      </w:r>
      <w:r w:rsidR="0068586D">
        <w:rPr>
          <w:lang w:val="fr-FR"/>
        </w:rPr>
        <w:t>’</w:t>
      </w:r>
      <w:r w:rsidRPr="00E85000">
        <w:rPr>
          <w:lang w:val="fr-FR"/>
        </w:rPr>
        <w:t>un partenaire actuel ou ancien, 22 % des femmes ayant signalé avoir été victimes de violences physiques ou sexuelles au sein de leur couple. En outre, 33 % des femmes ont signalé de telles violences de la part d</w:t>
      </w:r>
      <w:r w:rsidR="0068586D">
        <w:rPr>
          <w:lang w:val="fr-FR"/>
        </w:rPr>
        <w:t>’</w:t>
      </w:r>
      <w:r w:rsidRPr="00E85000">
        <w:rPr>
          <w:lang w:val="fr-FR"/>
        </w:rPr>
        <w:t>un partenaire de vie ou d</w:t>
      </w:r>
      <w:r w:rsidR="0068586D">
        <w:rPr>
          <w:lang w:val="fr-FR"/>
        </w:rPr>
        <w:t>’</w:t>
      </w:r>
      <w:r w:rsidRPr="00E85000">
        <w:rPr>
          <w:lang w:val="fr-FR"/>
        </w:rPr>
        <w:t>un tiers</w:t>
      </w:r>
      <w:r w:rsidRPr="00E85000">
        <w:rPr>
          <w:vertAlign w:val="superscript"/>
          <w:lang w:val="fr-FR"/>
        </w:rPr>
        <w:footnoteReference w:id="4"/>
      </w:r>
      <w:r w:rsidRPr="00E85000">
        <w:rPr>
          <w:lang w:val="fr-FR"/>
        </w:rPr>
        <w:t>.</w:t>
      </w:r>
      <w:r w:rsidRPr="00E85000">
        <w:rPr>
          <w:szCs w:val="24"/>
          <w:lang w:val="fr-FR"/>
        </w:rPr>
        <w:t xml:space="preserve"> Selon, le même rapport, 5% des femmes âgées de plus de 15 ans ont déjà été victimes de cyberharcèlement</w:t>
      </w:r>
      <w:r w:rsidRPr="00E85000">
        <w:rPr>
          <w:szCs w:val="24"/>
          <w:vertAlign w:val="superscript"/>
          <w:lang w:val="fr-FR"/>
        </w:rPr>
        <w:footnoteReference w:id="5"/>
      </w:r>
      <w:r w:rsidRPr="00E85000">
        <w:rPr>
          <w:szCs w:val="24"/>
          <w:lang w:val="fr-FR"/>
        </w:rPr>
        <w:t>.</w:t>
      </w:r>
    </w:p>
    <w:bookmarkStart w:name="def_cyberV_IEHF" w:id="24"/>
    <w:p w:rsidRPr="00E85000" w:rsidR="00112A65" w:rsidP="00112A65" w:rsidRDefault="00112A65">
      <w:pPr>
        <w:pStyle w:val="ECHRPara"/>
        <w:rPr>
          <w:lang w:val="fr-FR"/>
        </w:rPr>
      </w:pPr>
      <w:r w:rsidRPr="00E85000">
        <w:rPr>
          <w:szCs w:val="24"/>
          <w:lang w:val="fr-FR"/>
        </w:rPr>
        <w:fldChar w:fldCharType="begin"/>
      </w:r>
      <w:r w:rsidRPr="00E85000">
        <w:rPr>
          <w:szCs w:val="24"/>
          <w:lang w:val="fr-FR"/>
        </w:rPr>
        <w:instrText xml:space="preserve"> SEQ level0 \*arabic </w:instrText>
      </w:r>
      <w:r w:rsidRPr="00E85000">
        <w:rPr>
          <w:szCs w:val="24"/>
          <w:lang w:val="fr-FR"/>
        </w:rPr>
        <w:fldChar w:fldCharType="separate"/>
      </w:r>
      <w:r w:rsidRPr="00E85000">
        <w:rPr>
          <w:noProof/>
          <w:szCs w:val="24"/>
          <w:lang w:val="fr-FR"/>
        </w:rPr>
        <w:t>42</w:t>
      </w:r>
      <w:r w:rsidRPr="00E85000">
        <w:rPr>
          <w:szCs w:val="24"/>
          <w:lang w:val="fr-FR"/>
        </w:rPr>
        <w:fldChar w:fldCharType="end"/>
      </w:r>
      <w:bookmarkEnd w:id="24"/>
      <w:r w:rsidRPr="00E85000">
        <w:rPr>
          <w:szCs w:val="24"/>
          <w:lang w:val="fr-FR"/>
        </w:rPr>
        <w:t>.  </w:t>
      </w:r>
      <w:r w:rsidRPr="00E85000">
        <w:rPr>
          <w:bCs/>
          <w:lang w:val="fr-FR"/>
        </w:rPr>
        <w:t>L</w:t>
      </w:r>
      <w:r w:rsidR="0068586D">
        <w:rPr>
          <w:bCs/>
          <w:lang w:val="fr-FR"/>
        </w:rPr>
        <w:t>’</w:t>
      </w:r>
      <w:r w:rsidRPr="00E85000">
        <w:rPr>
          <w:bCs/>
          <w:lang w:val="fr-FR"/>
        </w:rPr>
        <w:t>Institut européen pour l</w:t>
      </w:r>
      <w:r w:rsidR="0068586D">
        <w:rPr>
          <w:bCs/>
          <w:lang w:val="fr-FR"/>
        </w:rPr>
        <w:t>’</w:t>
      </w:r>
      <w:r w:rsidRPr="00E85000">
        <w:rPr>
          <w:bCs/>
          <w:lang w:val="fr-FR"/>
        </w:rPr>
        <w:t>égalité entre les hommes et les femmes a rendu en 2017 un rapport sur la cyberviolence à l</w:t>
      </w:r>
      <w:r w:rsidR="0068586D">
        <w:rPr>
          <w:bCs/>
          <w:lang w:val="fr-FR"/>
        </w:rPr>
        <w:t>’</w:t>
      </w:r>
      <w:r w:rsidRPr="00E85000">
        <w:rPr>
          <w:bCs/>
          <w:lang w:val="fr-FR"/>
        </w:rPr>
        <w:t>encontre des femmes et des filles</w:t>
      </w:r>
      <w:r w:rsidRPr="00E85000">
        <w:rPr>
          <w:bCs/>
          <w:vertAlign w:val="superscript"/>
          <w:lang w:val="fr-FR"/>
        </w:rPr>
        <w:footnoteReference w:id="6"/>
      </w:r>
      <w:r w:rsidRPr="00E85000">
        <w:rPr>
          <w:bCs/>
          <w:lang w:val="fr-FR"/>
        </w:rPr>
        <w:t>. D</w:t>
      </w:r>
      <w:r w:rsidR="0068586D">
        <w:rPr>
          <w:bCs/>
          <w:lang w:val="fr-FR"/>
        </w:rPr>
        <w:t>’</w:t>
      </w:r>
      <w:r w:rsidRPr="00E85000">
        <w:rPr>
          <w:bCs/>
          <w:lang w:val="fr-FR"/>
        </w:rPr>
        <w:t>après ce rapport, même si les données statistiques font encore défaut, les études existantes laissent toutefois supposer que les femmes sont davantage ciblées par certaines formes de cyberviolence que les hommes. Le rapport cite des experts selon lesquels il serait plus adapté de considérer la cyberviolence comme un prolongement de la violence hors ligne. D</w:t>
      </w:r>
      <w:r w:rsidR="0068586D">
        <w:rPr>
          <w:bCs/>
          <w:lang w:val="fr-FR"/>
        </w:rPr>
        <w:t>’</w:t>
      </w:r>
      <w:r w:rsidRPr="00E85000">
        <w:rPr>
          <w:bCs/>
          <w:lang w:val="fr-FR"/>
        </w:rPr>
        <w:t>après ce rapport, la police pratique souvent une distinction erronée entre la cyberviolence à l</w:t>
      </w:r>
      <w:r w:rsidR="0068586D">
        <w:rPr>
          <w:bCs/>
          <w:lang w:val="fr-FR"/>
        </w:rPr>
        <w:t>’</w:t>
      </w:r>
      <w:r w:rsidRPr="00E85000">
        <w:rPr>
          <w:bCs/>
          <w:lang w:val="fr-FR"/>
        </w:rPr>
        <w:t xml:space="preserve">encontre des femmes et </w:t>
      </w:r>
      <w:proofErr w:type="gramStart"/>
      <w:r w:rsidRPr="00E85000">
        <w:rPr>
          <w:bCs/>
          <w:lang w:val="fr-FR"/>
        </w:rPr>
        <w:t>des filles commise</w:t>
      </w:r>
      <w:proofErr w:type="gramEnd"/>
      <w:r w:rsidRPr="00E85000">
        <w:rPr>
          <w:bCs/>
          <w:lang w:val="fr-FR"/>
        </w:rPr>
        <w:t xml:space="preserve"> en ligne et celle commise hors ligne, considérant les pratiques que subissent les victimes davantage comme des « incidents » que comme des comportements systématiques qui perdurent.  </w:t>
      </w:r>
      <w:r w:rsidRPr="00E85000">
        <w:rPr>
          <w:lang w:val="fr-FR"/>
        </w:rPr>
        <w:t>Le rapport comprend en outre les passages suivants :</w:t>
      </w:r>
    </w:p>
    <w:p w:rsidRPr="00E85000" w:rsidR="00112A65" w:rsidP="00112A65" w:rsidRDefault="00112A65">
      <w:pPr>
        <w:pStyle w:val="ECHRParaQuote"/>
        <w:rPr>
          <w:lang w:val="fr-FR"/>
        </w:rPr>
      </w:pPr>
      <w:r w:rsidRPr="00E85000">
        <w:rPr>
          <w:lang w:val="fr-FR"/>
        </w:rPr>
        <w:t>« La cyberviolence à l</w:t>
      </w:r>
      <w:r w:rsidR="0068586D">
        <w:rPr>
          <w:lang w:val="fr-FR"/>
        </w:rPr>
        <w:t>’</w:t>
      </w:r>
      <w:r w:rsidRPr="00E85000">
        <w:rPr>
          <w:lang w:val="fr-FR"/>
        </w:rPr>
        <w:t xml:space="preserve">encontre des femmes et des filles se présente sous différentes formes, entre </w:t>
      </w:r>
      <w:proofErr w:type="gramStart"/>
      <w:r w:rsidRPr="00E85000">
        <w:rPr>
          <w:lang w:val="fr-FR"/>
        </w:rPr>
        <w:t>autres:</w:t>
      </w:r>
      <w:proofErr w:type="gramEnd"/>
      <w:r w:rsidRPr="00E85000">
        <w:rPr>
          <w:lang w:val="fr-FR"/>
        </w:rPr>
        <w:t xml:space="preserve"> traque furtive en ligne, porno</w:t>
      </w:r>
      <w:r w:rsidRPr="00E85000">
        <w:rPr>
          <w:lang w:val="fr-FR"/>
        </w:rPr>
        <w:softHyphen/>
        <w:t xml:space="preserve">graphie contre leur gré (ou « vengeance pornographique »), insultes et harcèlement fondés sur le genre, honte faite aux femmes et aux filles </w:t>
      </w:r>
      <w:r w:rsidRPr="00E85000">
        <w:rPr>
          <w:iCs/>
          <w:lang w:val="fr-FR"/>
        </w:rPr>
        <w:t>(</w:t>
      </w:r>
      <w:proofErr w:type="spellStart"/>
      <w:r w:rsidRPr="00E85000">
        <w:rPr>
          <w:i/>
          <w:iCs/>
          <w:lang w:val="fr-FR"/>
        </w:rPr>
        <w:t>slut</w:t>
      </w:r>
      <w:proofErr w:type="spellEnd"/>
      <w:r w:rsidRPr="00E85000">
        <w:rPr>
          <w:i/>
          <w:iCs/>
          <w:lang w:val="fr-FR"/>
        </w:rPr>
        <w:t xml:space="preserve"> </w:t>
      </w:r>
      <w:proofErr w:type="spellStart"/>
      <w:r w:rsidRPr="00E85000">
        <w:rPr>
          <w:i/>
          <w:iCs/>
          <w:lang w:val="fr-FR"/>
        </w:rPr>
        <w:t>shaming</w:t>
      </w:r>
      <w:proofErr w:type="spellEnd"/>
      <w:r w:rsidRPr="00E85000">
        <w:rPr>
          <w:iCs/>
          <w:lang w:val="fr-FR"/>
        </w:rPr>
        <w:t xml:space="preserve">), </w:t>
      </w:r>
      <w:r w:rsidRPr="00E85000">
        <w:rPr>
          <w:lang w:val="fr-FR"/>
        </w:rPr>
        <w:t>pornographie non sollicitée, « </w:t>
      </w:r>
      <w:r w:rsidRPr="00E85000">
        <w:rPr>
          <w:i/>
          <w:lang w:val="fr-FR"/>
        </w:rPr>
        <w:t>sextorsion</w:t>
      </w:r>
      <w:r w:rsidRPr="00E85000">
        <w:rPr>
          <w:lang w:val="fr-FR"/>
        </w:rPr>
        <w:t> », menaces de viol et de mort, divulgation d</w:t>
      </w:r>
      <w:r w:rsidR="0068586D">
        <w:rPr>
          <w:lang w:val="fr-FR"/>
        </w:rPr>
        <w:t>’</w:t>
      </w:r>
      <w:r w:rsidRPr="00E85000">
        <w:rPr>
          <w:lang w:val="fr-FR"/>
        </w:rPr>
        <w:t xml:space="preserve">informations personnelles </w:t>
      </w:r>
      <w:r w:rsidRPr="00E85000">
        <w:rPr>
          <w:iCs/>
          <w:lang w:val="fr-FR"/>
        </w:rPr>
        <w:t>(</w:t>
      </w:r>
      <w:r w:rsidRPr="00E85000">
        <w:rPr>
          <w:i/>
          <w:iCs/>
          <w:lang w:val="fr-FR"/>
        </w:rPr>
        <w:t>doxing</w:t>
      </w:r>
      <w:r w:rsidRPr="00E85000">
        <w:rPr>
          <w:iCs/>
          <w:lang w:val="fr-FR"/>
        </w:rPr>
        <w:t xml:space="preserve">) </w:t>
      </w:r>
      <w:r w:rsidRPr="00E85000">
        <w:rPr>
          <w:lang w:val="fr-FR"/>
        </w:rPr>
        <w:t>et trafic facilité par des moyens électroniques.</w:t>
      </w:r>
    </w:p>
    <w:p w:rsidRPr="00E85000" w:rsidR="00112A65" w:rsidP="00112A65" w:rsidRDefault="00112A65">
      <w:pPr>
        <w:pStyle w:val="ECHRParaQuote"/>
        <w:rPr>
          <w:lang w:val="fr-FR"/>
        </w:rPr>
      </w:pPr>
      <w:r w:rsidRPr="00E85000">
        <w:rPr>
          <w:lang w:val="fr-FR"/>
        </w:rPr>
        <w:t>(...)</w:t>
      </w:r>
    </w:p>
    <w:p w:rsidRPr="00E85000" w:rsidR="00112A65" w:rsidP="00112A65" w:rsidRDefault="00112A65">
      <w:pPr>
        <w:pStyle w:val="ECHRParaQuote"/>
        <w:rPr>
          <w:lang w:val="fr-FR"/>
        </w:rPr>
      </w:pPr>
      <w:r w:rsidRPr="00E85000">
        <w:rPr>
          <w:lang w:val="fr-FR"/>
        </w:rPr>
        <w:t>La traque furtive en ligne est une traque exercée au moyen de courriers électroniques, de messages texte (ou en ligne) ou de l</w:t>
      </w:r>
      <w:r w:rsidR="0068586D">
        <w:rPr>
          <w:lang w:val="fr-FR"/>
        </w:rPr>
        <w:t>’</w:t>
      </w:r>
      <w:r w:rsidRPr="00E85000">
        <w:rPr>
          <w:lang w:val="fr-FR"/>
        </w:rPr>
        <w:t>Internet. Elle se compose d</w:t>
      </w:r>
      <w:r w:rsidR="0068586D">
        <w:rPr>
          <w:lang w:val="fr-FR"/>
        </w:rPr>
        <w:t>’</w:t>
      </w:r>
      <w:r w:rsidRPr="00E85000">
        <w:rPr>
          <w:lang w:val="fr-FR"/>
        </w:rPr>
        <w:t>incidents répétés qui peuvent être individuellement inoffensifs ou non, mais qui, accumulés, peuvent générer chez la victime un sentiment d</w:t>
      </w:r>
      <w:r w:rsidR="0068586D">
        <w:rPr>
          <w:lang w:val="fr-FR"/>
        </w:rPr>
        <w:t>’</w:t>
      </w:r>
      <w:r w:rsidRPr="00E85000">
        <w:rPr>
          <w:lang w:val="fr-FR"/>
        </w:rPr>
        <w:t>insécurité, lui causer une certaine détresse, l</w:t>
      </w:r>
      <w:r w:rsidR="0068586D">
        <w:rPr>
          <w:lang w:val="fr-FR"/>
        </w:rPr>
        <w:t>’</w:t>
      </w:r>
      <w:r w:rsidRPr="00E85000">
        <w:rPr>
          <w:lang w:val="fr-FR"/>
        </w:rPr>
        <w:t>effrayer ou l</w:t>
      </w:r>
      <w:r w:rsidR="0068586D">
        <w:rPr>
          <w:lang w:val="fr-FR"/>
        </w:rPr>
        <w:t>’</w:t>
      </w:r>
      <w:r w:rsidRPr="00E85000">
        <w:rPr>
          <w:lang w:val="fr-FR"/>
        </w:rPr>
        <w:t>alarmer.</w:t>
      </w:r>
    </w:p>
    <w:p w:rsidRPr="00E85000" w:rsidR="00112A65" w:rsidP="00112A65" w:rsidRDefault="00112A65">
      <w:pPr>
        <w:pStyle w:val="ECHRParaQuote"/>
        <w:rPr>
          <w:lang w:val="fr-FR"/>
        </w:rPr>
      </w:pPr>
      <w:r w:rsidRPr="00E85000">
        <w:rPr>
          <w:lang w:val="fr-FR"/>
        </w:rPr>
        <w:t>Comme pour la violence entre partenaires intimes perpétrée hors ligne, la cyberviolence à l</w:t>
      </w:r>
      <w:r w:rsidR="0068586D">
        <w:rPr>
          <w:lang w:val="fr-FR"/>
        </w:rPr>
        <w:t>’</w:t>
      </w:r>
      <w:r w:rsidRPr="00E85000">
        <w:rPr>
          <w:lang w:val="fr-FR"/>
        </w:rPr>
        <w:t>encontre des femmes peut se manifester sous différentes formes : sexuelle, psychologique et, de plus en plus, économique, les informations diffusées en ligne compromettant l</w:t>
      </w:r>
      <w:r w:rsidR="0068586D">
        <w:rPr>
          <w:lang w:val="fr-FR"/>
        </w:rPr>
        <w:t>’</w:t>
      </w:r>
      <w:r w:rsidRPr="00E85000">
        <w:rPr>
          <w:lang w:val="fr-FR"/>
        </w:rPr>
        <w:t>emploi en cours de la victime ou l</w:t>
      </w:r>
      <w:r w:rsidR="0068586D">
        <w:rPr>
          <w:lang w:val="fr-FR"/>
        </w:rPr>
        <w:t>’</w:t>
      </w:r>
      <w:r w:rsidRPr="00E85000">
        <w:rPr>
          <w:lang w:val="fr-FR"/>
        </w:rPr>
        <w:t>efficacité de ses recherches d</w:t>
      </w:r>
      <w:r w:rsidR="0068586D">
        <w:rPr>
          <w:lang w:val="fr-FR"/>
        </w:rPr>
        <w:t>’</w:t>
      </w:r>
      <w:r w:rsidRPr="00E85000">
        <w:rPr>
          <w:lang w:val="fr-FR"/>
        </w:rPr>
        <w:t>emploi futures. Il convient également de ne pas sous-estimer les effets psychiques potentiels de cette violence perpétrée dans le cyberespace (...) ».</w:t>
      </w:r>
    </w:p>
    <w:p w:rsidRPr="00E85000" w:rsidR="00112A65" w:rsidP="00112A65" w:rsidRDefault="00112A65">
      <w:pPr>
        <w:pStyle w:val="ECHRTitle1"/>
        <w:rPr>
          <w:lang w:val="fr-FR"/>
        </w:rPr>
      </w:pPr>
      <w:r w:rsidRPr="00E85000">
        <w:rPr>
          <w:lang w:val="fr-FR"/>
        </w:rPr>
        <w:t>EN DROIT</w:t>
      </w:r>
    </w:p>
    <w:p w:rsidRPr="00E85000" w:rsidR="00112A65" w:rsidP="00112A65" w:rsidRDefault="00112A65">
      <w:pPr>
        <w:pStyle w:val="ECHRHeading1"/>
        <w:rPr>
          <w:lang w:val="fr-FR"/>
        </w:rPr>
      </w:pPr>
      <w:r w:rsidRPr="00E85000">
        <w:rPr>
          <w:lang w:val="fr-FR"/>
        </w:rPr>
        <w:t>I.  SUR LA VIOLATION ALLÉGUÉE DES ARTICLES 3 ET 8 DE LA CONVENTION</w:t>
      </w:r>
    </w:p>
    <w:bookmarkStart w:name="par_38" w:id="25"/>
    <w:p w:rsidRPr="00E85000" w:rsidR="00112A65" w:rsidP="00112A65" w:rsidRDefault="00112A65">
      <w:pPr>
        <w:pStyle w:val="ECHRPara"/>
        <w:rPr>
          <w:lang w:val="fr-FR"/>
        </w:rPr>
      </w:pPr>
      <w:r w:rsidRPr="00E85000">
        <w:rPr>
          <w:lang w:val="fr-FR"/>
        </w:rPr>
        <w:fldChar w:fldCharType="begin"/>
      </w:r>
      <w:r w:rsidRPr="00E85000">
        <w:rPr>
          <w:lang w:val="fr-FR"/>
        </w:rPr>
        <w:instrText xml:space="preserve"> SEQ level0 \*arabic </w:instrText>
      </w:r>
      <w:r w:rsidRPr="00E85000">
        <w:rPr>
          <w:lang w:val="fr-FR"/>
        </w:rPr>
        <w:fldChar w:fldCharType="separate"/>
      </w:r>
      <w:r w:rsidRPr="00E85000">
        <w:rPr>
          <w:noProof/>
          <w:lang w:val="fr-FR"/>
        </w:rPr>
        <w:t>43</w:t>
      </w:r>
      <w:r w:rsidRPr="00E85000">
        <w:rPr>
          <w:lang w:val="fr-FR"/>
        </w:rPr>
        <w:fldChar w:fldCharType="end"/>
      </w:r>
      <w:bookmarkEnd w:id="25"/>
      <w:r w:rsidRPr="00E85000">
        <w:rPr>
          <w:lang w:val="fr-FR"/>
        </w:rPr>
        <w:t>.  La requérante dénonce un manque d</w:t>
      </w:r>
      <w:r w:rsidR="0068586D">
        <w:rPr>
          <w:lang w:val="fr-FR"/>
        </w:rPr>
        <w:t>’</w:t>
      </w:r>
      <w:r w:rsidRPr="00E85000">
        <w:rPr>
          <w:lang w:val="fr-FR"/>
        </w:rPr>
        <w:t>effectivité de l</w:t>
      </w:r>
      <w:r w:rsidR="0068586D">
        <w:rPr>
          <w:lang w:val="fr-FR"/>
        </w:rPr>
        <w:t>’</w:t>
      </w:r>
      <w:r w:rsidRPr="00E85000">
        <w:rPr>
          <w:lang w:val="fr-FR"/>
        </w:rPr>
        <w:t>enquête pénale concernant les faits de violence conjugale dont elle dit avoir été l</w:t>
      </w:r>
      <w:r w:rsidR="0068586D">
        <w:rPr>
          <w:lang w:val="fr-FR"/>
        </w:rPr>
        <w:t>’</w:t>
      </w:r>
      <w:r w:rsidRPr="00E85000">
        <w:rPr>
          <w:lang w:val="fr-FR"/>
        </w:rPr>
        <w:t>objet. Elle se plaint que sa sécurité personnelle n</w:t>
      </w:r>
      <w:r w:rsidR="0068586D">
        <w:rPr>
          <w:lang w:val="fr-FR"/>
        </w:rPr>
        <w:t>’</w:t>
      </w:r>
      <w:r w:rsidRPr="00E85000">
        <w:rPr>
          <w:lang w:val="fr-FR"/>
        </w:rPr>
        <w:t>ait pas été assurée de manière adéquate. Elle critique également le refus des autorités d</w:t>
      </w:r>
      <w:r w:rsidR="0068586D">
        <w:rPr>
          <w:lang w:val="fr-FR"/>
        </w:rPr>
        <w:t>’</w:t>
      </w:r>
      <w:r w:rsidRPr="00E85000">
        <w:rPr>
          <w:lang w:val="fr-FR"/>
        </w:rPr>
        <w:t>examiner sa plainte relative à la violation de sa correspondance par son ex-époux. Elle invoque les articles 5, 6 et 8 de la Convention.</w:t>
      </w:r>
    </w:p>
    <w:p w:rsidRPr="00E85000" w:rsidR="00112A65" w:rsidP="00112A65" w:rsidRDefault="00112A65">
      <w:pPr>
        <w:pStyle w:val="ECHRPara"/>
        <w:rPr>
          <w:lang w:val="fr-FR"/>
        </w:rPr>
      </w:pPr>
      <w:r w:rsidRPr="00E85000">
        <w:rPr>
          <w:lang w:val="fr-FR"/>
        </w:rPr>
        <w:fldChar w:fldCharType="begin"/>
      </w:r>
      <w:r w:rsidRPr="00E85000">
        <w:rPr>
          <w:lang w:val="fr-FR"/>
        </w:rPr>
        <w:instrText xml:space="preserve"> SEQ level0 \*arabic </w:instrText>
      </w:r>
      <w:r w:rsidRPr="00E85000">
        <w:rPr>
          <w:lang w:val="fr-FR"/>
        </w:rPr>
        <w:fldChar w:fldCharType="separate"/>
      </w:r>
      <w:r w:rsidRPr="00E85000">
        <w:rPr>
          <w:noProof/>
          <w:lang w:val="fr-FR"/>
        </w:rPr>
        <w:t>44</w:t>
      </w:r>
      <w:r w:rsidRPr="00E85000">
        <w:rPr>
          <w:lang w:val="fr-FR"/>
        </w:rPr>
        <w:fldChar w:fldCharType="end"/>
      </w:r>
      <w:r w:rsidRPr="00E85000">
        <w:rPr>
          <w:lang w:val="fr-FR"/>
        </w:rPr>
        <w:t xml:space="preserve">.  La Cour rappelle que, en vertu du principe </w:t>
      </w:r>
      <w:r w:rsidRPr="00E85000">
        <w:rPr>
          <w:i/>
          <w:lang w:val="fr-FR"/>
        </w:rPr>
        <w:t xml:space="preserve">jura </w:t>
      </w:r>
      <w:proofErr w:type="spellStart"/>
      <w:r w:rsidRPr="00E85000">
        <w:rPr>
          <w:i/>
          <w:lang w:val="fr-FR"/>
        </w:rPr>
        <w:t>novit</w:t>
      </w:r>
      <w:proofErr w:type="spellEnd"/>
      <w:r w:rsidRPr="00E85000">
        <w:rPr>
          <w:i/>
          <w:lang w:val="fr-FR"/>
        </w:rPr>
        <w:t xml:space="preserve"> </w:t>
      </w:r>
      <w:proofErr w:type="spellStart"/>
      <w:r w:rsidRPr="00E85000">
        <w:rPr>
          <w:i/>
          <w:lang w:val="fr-FR"/>
        </w:rPr>
        <w:t>curia</w:t>
      </w:r>
      <w:proofErr w:type="spellEnd"/>
      <w:r w:rsidRPr="00E85000">
        <w:rPr>
          <w:lang w:val="fr-FR"/>
        </w:rPr>
        <w:t>, elle est maîtresse de la qualification juridique des faits de la cause ; elle n</w:t>
      </w:r>
      <w:r w:rsidR="0068586D">
        <w:rPr>
          <w:lang w:val="fr-FR"/>
        </w:rPr>
        <w:t>’</w:t>
      </w:r>
      <w:r w:rsidRPr="00E85000">
        <w:rPr>
          <w:lang w:val="fr-FR"/>
        </w:rPr>
        <w:t>est pas tenue par les moyens de droit avancés par le requérant en vertu de la Convention et de ses Protocoles et elle peut décider de la qualification juridique à donner aux faits d</w:t>
      </w:r>
      <w:r w:rsidR="0068586D">
        <w:rPr>
          <w:lang w:val="fr-FR"/>
        </w:rPr>
        <w:t>’</w:t>
      </w:r>
      <w:r w:rsidRPr="00E85000">
        <w:rPr>
          <w:lang w:val="fr-FR"/>
        </w:rPr>
        <w:t>un grief en examinant celui-ci sur le terrain d</w:t>
      </w:r>
      <w:r w:rsidR="0068586D">
        <w:rPr>
          <w:lang w:val="fr-FR"/>
        </w:rPr>
        <w:t>’</w:t>
      </w:r>
      <w:r w:rsidRPr="00E85000">
        <w:rPr>
          <w:lang w:val="fr-FR"/>
        </w:rPr>
        <w:t>articles ou de dispositions de la Convention autres que ceux invoqués par le requérant (</w:t>
      </w:r>
      <w:proofErr w:type="spellStart"/>
      <w:r w:rsidRPr="00E85000">
        <w:rPr>
          <w:i/>
          <w:lang w:val="fr-FR"/>
        </w:rPr>
        <w:t>Radomilja</w:t>
      </w:r>
      <w:proofErr w:type="spellEnd"/>
      <w:r w:rsidRPr="00E85000">
        <w:rPr>
          <w:i/>
          <w:lang w:val="fr-FR"/>
        </w:rPr>
        <w:t xml:space="preserve"> et autres c. Croatie</w:t>
      </w:r>
      <w:r w:rsidRPr="00E85000">
        <w:rPr>
          <w:lang w:val="fr-FR"/>
        </w:rPr>
        <w:t xml:space="preserve"> [GC], n</w:t>
      </w:r>
      <w:r w:rsidRPr="00E85000">
        <w:rPr>
          <w:vertAlign w:val="superscript"/>
          <w:lang w:val="fr-FR"/>
        </w:rPr>
        <w:t>o</w:t>
      </w:r>
      <w:r w:rsidRPr="00E85000">
        <w:rPr>
          <w:lang w:val="fr-FR"/>
        </w:rPr>
        <w:t xml:space="preserve"> 37685/10, §§ 114 et 126, 20 mars 2018). En l</w:t>
      </w:r>
      <w:r w:rsidR="0068586D">
        <w:rPr>
          <w:lang w:val="fr-FR"/>
        </w:rPr>
        <w:t>’</w:t>
      </w:r>
      <w:r w:rsidRPr="00E85000">
        <w:rPr>
          <w:lang w:val="fr-FR"/>
        </w:rPr>
        <w:t>espèce, eu égard aux circonstances dénoncées par la requérante et à la formulation de ses griefs, la Cour examinera ces derniers sous l</w:t>
      </w:r>
      <w:r w:rsidR="0068586D">
        <w:rPr>
          <w:lang w:val="fr-FR"/>
        </w:rPr>
        <w:t>’</w:t>
      </w:r>
      <w:r w:rsidRPr="00E85000">
        <w:rPr>
          <w:lang w:val="fr-FR"/>
        </w:rPr>
        <w:t xml:space="preserve">angle des articles 3 et 8 de la Convention (voir, pour une approche similaire, </w:t>
      </w:r>
      <w:r w:rsidRPr="00E85000">
        <w:rPr>
          <w:i/>
          <w:lang w:val="fr-FR"/>
        </w:rPr>
        <w:t>E.S. et autres c. Slovaquie</w:t>
      </w:r>
      <w:r w:rsidRPr="00E85000">
        <w:rPr>
          <w:lang w:val="fr-FR"/>
        </w:rPr>
        <w:t>, n</w:t>
      </w:r>
      <w:r w:rsidRPr="00E85000">
        <w:rPr>
          <w:vertAlign w:val="superscript"/>
          <w:lang w:val="fr-FR"/>
        </w:rPr>
        <w:t>o</w:t>
      </w:r>
      <w:r w:rsidRPr="00E85000">
        <w:rPr>
          <w:lang w:val="fr-FR"/>
        </w:rPr>
        <w:t xml:space="preserve"> 8227/04, §§ 25-44, 15 septembre 2009). Ces dispositions sont ainsi libellées :</w:t>
      </w:r>
    </w:p>
    <w:p w:rsidRPr="00E85000" w:rsidR="00112A65" w:rsidP="00112A65" w:rsidRDefault="00112A65">
      <w:pPr>
        <w:pStyle w:val="ECHRParaQuote"/>
        <w:ind w:firstLine="0"/>
        <w:jc w:val="center"/>
        <w:rPr>
          <w:b/>
          <w:lang w:val="fr-FR"/>
        </w:rPr>
      </w:pPr>
      <w:r w:rsidRPr="00E85000">
        <w:rPr>
          <w:b/>
          <w:lang w:val="fr-FR"/>
        </w:rPr>
        <w:t>Article 3</w:t>
      </w:r>
    </w:p>
    <w:p w:rsidRPr="00E85000" w:rsidR="00112A65" w:rsidP="00112A65" w:rsidRDefault="00112A65">
      <w:pPr>
        <w:pStyle w:val="ECHRParaQuote"/>
        <w:rPr>
          <w:lang w:val="fr-FR"/>
        </w:rPr>
      </w:pPr>
      <w:r w:rsidRPr="00E85000">
        <w:rPr>
          <w:lang w:val="fr-FR"/>
        </w:rPr>
        <w:t>« Nul ne peut être soumis à la torture ni à des peines ou traitements inhumains ou dégradants. »</w:t>
      </w:r>
    </w:p>
    <w:p w:rsidRPr="00E85000" w:rsidR="00112A65" w:rsidP="00112A65" w:rsidRDefault="00112A65">
      <w:pPr>
        <w:pStyle w:val="ECHRParaQuote"/>
        <w:ind w:firstLine="0"/>
        <w:jc w:val="center"/>
        <w:rPr>
          <w:b/>
          <w:lang w:val="fr-FR"/>
        </w:rPr>
      </w:pPr>
      <w:r w:rsidRPr="00E85000">
        <w:rPr>
          <w:b/>
          <w:lang w:val="fr-FR"/>
        </w:rPr>
        <w:t>Article 8</w:t>
      </w:r>
    </w:p>
    <w:p w:rsidRPr="00E85000" w:rsidR="00112A65" w:rsidP="00112A65" w:rsidRDefault="00112A65">
      <w:pPr>
        <w:pStyle w:val="ECHRParaQuote"/>
        <w:rPr>
          <w:lang w:val="fr-FR"/>
        </w:rPr>
      </w:pPr>
      <w:r w:rsidRPr="00E85000">
        <w:rPr>
          <w:lang w:val="fr-FR"/>
        </w:rPr>
        <w:t>« 1.  Toute personne a droit au respect de sa vie privée et familiale, de son domicile et de sa correspondance.</w:t>
      </w:r>
    </w:p>
    <w:p w:rsidRPr="00E85000" w:rsidR="00112A65" w:rsidP="00112A65" w:rsidRDefault="00112A65">
      <w:pPr>
        <w:pStyle w:val="ECHRParaQuote"/>
        <w:rPr>
          <w:lang w:val="fr-FR"/>
        </w:rPr>
      </w:pPr>
      <w:r w:rsidRPr="00E85000">
        <w:rPr>
          <w:lang w:val="fr-FR"/>
        </w:rPr>
        <w:t>2.  Il ne peut y avoir ingérence d</w:t>
      </w:r>
      <w:r w:rsidR="0068586D">
        <w:rPr>
          <w:lang w:val="fr-FR"/>
        </w:rPr>
        <w:t>’</w:t>
      </w:r>
      <w:r w:rsidRPr="00E85000">
        <w:rPr>
          <w:lang w:val="fr-FR"/>
        </w:rPr>
        <w:t>une autorité publique dans l</w:t>
      </w:r>
      <w:r w:rsidR="0068586D">
        <w:rPr>
          <w:lang w:val="fr-FR"/>
        </w:rPr>
        <w:t>’</w:t>
      </w:r>
      <w:r w:rsidRPr="00E85000">
        <w:rPr>
          <w:lang w:val="fr-FR"/>
        </w:rPr>
        <w:t>exercice de ce droit que pour autant que cette ingérence est prévue par la loi et qu</w:t>
      </w:r>
      <w:r w:rsidR="0068586D">
        <w:rPr>
          <w:lang w:val="fr-FR"/>
        </w:rPr>
        <w:t>’</w:t>
      </w:r>
      <w:r w:rsidRPr="00E85000">
        <w:rPr>
          <w:lang w:val="fr-FR"/>
        </w:rPr>
        <w:t>elle constitue une mesure qui, dans une société démocratique, est nécessaire à la sécurité nationale, à la sûreté publique, au bien</w:t>
      </w:r>
      <w:r w:rsidRPr="00E85000">
        <w:rPr>
          <w:lang w:val="fr-FR"/>
        </w:rPr>
        <w:noBreakHyphen/>
        <w:t>être économique du pays, à la défense de l</w:t>
      </w:r>
      <w:r w:rsidR="0068586D">
        <w:rPr>
          <w:lang w:val="fr-FR"/>
        </w:rPr>
        <w:t>’</w:t>
      </w:r>
      <w:r w:rsidRPr="00E85000">
        <w:rPr>
          <w:lang w:val="fr-FR"/>
        </w:rPr>
        <w:t>ordre et à la prévention des infractions pénales, à la protection de la santé ou de la morale, ou à la protection des droits et libertés d</w:t>
      </w:r>
      <w:r w:rsidR="0068586D">
        <w:rPr>
          <w:lang w:val="fr-FR"/>
        </w:rPr>
        <w:t>’</w:t>
      </w:r>
      <w:r w:rsidRPr="00E85000">
        <w:rPr>
          <w:lang w:val="fr-FR"/>
        </w:rPr>
        <w:t>autrui. »</w:t>
      </w:r>
    </w:p>
    <w:p w:rsidRPr="00E85000" w:rsidR="00112A65" w:rsidP="00112A65" w:rsidRDefault="00112A65">
      <w:pPr>
        <w:pStyle w:val="ECHRHeading2"/>
        <w:rPr>
          <w:lang w:val="fr-FR"/>
        </w:rPr>
      </w:pPr>
      <w:r w:rsidRPr="00E85000">
        <w:rPr>
          <w:lang w:val="fr-FR"/>
        </w:rPr>
        <w:t>A.  Sur la recevabilité</w:t>
      </w:r>
    </w:p>
    <w:p w:rsidRPr="00E85000" w:rsidR="00112A65" w:rsidP="00112A65" w:rsidRDefault="00112A65">
      <w:pPr>
        <w:pStyle w:val="ECHRPara"/>
        <w:rPr>
          <w:lang w:val="fr-FR"/>
        </w:rPr>
      </w:pPr>
      <w:r w:rsidRPr="00E85000">
        <w:rPr>
          <w:lang w:val="fr-FR"/>
        </w:rPr>
        <w:fldChar w:fldCharType="begin"/>
      </w:r>
      <w:r w:rsidRPr="00E85000">
        <w:rPr>
          <w:lang w:val="fr-FR"/>
        </w:rPr>
        <w:instrText xml:space="preserve"> SEQ level0 \*arabic </w:instrText>
      </w:r>
      <w:r w:rsidRPr="00E85000">
        <w:rPr>
          <w:lang w:val="fr-FR"/>
        </w:rPr>
        <w:fldChar w:fldCharType="separate"/>
      </w:r>
      <w:r w:rsidRPr="00E85000">
        <w:rPr>
          <w:noProof/>
          <w:lang w:val="fr-FR"/>
        </w:rPr>
        <w:t>45</w:t>
      </w:r>
      <w:r w:rsidRPr="00E85000">
        <w:rPr>
          <w:lang w:val="fr-FR"/>
        </w:rPr>
        <w:fldChar w:fldCharType="end"/>
      </w:r>
      <w:r w:rsidRPr="00E85000">
        <w:rPr>
          <w:lang w:val="fr-FR"/>
        </w:rPr>
        <w:t>.  Le Gouvernement soulève plusieurs exceptions d</w:t>
      </w:r>
      <w:r w:rsidR="0068586D">
        <w:rPr>
          <w:lang w:val="fr-FR"/>
        </w:rPr>
        <w:t>’</w:t>
      </w:r>
      <w:r w:rsidRPr="00E85000">
        <w:rPr>
          <w:lang w:val="fr-FR"/>
        </w:rPr>
        <w:t>irrecevabilité, dont la requérante conteste la pertinence.</w:t>
      </w:r>
    </w:p>
    <w:p w:rsidRPr="00E85000" w:rsidR="00112A65" w:rsidP="00112A65" w:rsidRDefault="00112A65">
      <w:pPr>
        <w:pStyle w:val="ECHRHeading3"/>
        <w:rPr>
          <w:lang w:val="fr-FR"/>
        </w:rPr>
      </w:pPr>
      <w:r w:rsidRPr="00E85000">
        <w:rPr>
          <w:lang w:val="fr-FR"/>
        </w:rPr>
        <w:t>1. Sur la mise en application de l</w:t>
      </w:r>
      <w:r w:rsidR="0068586D">
        <w:rPr>
          <w:lang w:val="fr-FR"/>
        </w:rPr>
        <w:t>’</w:t>
      </w:r>
      <w:r w:rsidRPr="00E85000">
        <w:rPr>
          <w:lang w:val="fr-FR"/>
        </w:rPr>
        <w:t>ordonnance de protection</w:t>
      </w:r>
    </w:p>
    <w:p w:rsidRPr="00E85000" w:rsidR="00112A65" w:rsidP="00112A65" w:rsidRDefault="00112A65">
      <w:pPr>
        <w:pStyle w:val="ECHRPara"/>
        <w:rPr>
          <w:lang w:val="fr-FR"/>
        </w:rPr>
      </w:pPr>
      <w:r w:rsidRPr="00E85000">
        <w:rPr>
          <w:lang w:val="fr-FR"/>
        </w:rPr>
        <w:fldChar w:fldCharType="begin"/>
      </w:r>
      <w:r w:rsidRPr="00E85000">
        <w:rPr>
          <w:lang w:val="fr-FR"/>
        </w:rPr>
        <w:instrText xml:space="preserve"> SEQ level0 \*arabic </w:instrText>
      </w:r>
      <w:r w:rsidRPr="00E85000">
        <w:rPr>
          <w:lang w:val="fr-FR"/>
        </w:rPr>
        <w:fldChar w:fldCharType="separate"/>
      </w:r>
      <w:r w:rsidRPr="00E85000">
        <w:rPr>
          <w:noProof/>
          <w:lang w:val="fr-FR"/>
        </w:rPr>
        <w:t>46</w:t>
      </w:r>
      <w:r w:rsidRPr="00E85000">
        <w:rPr>
          <w:lang w:val="fr-FR"/>
        </w:rPr>
        <w:fldChar w:fldCharType="end"/>
      </w:r>
      <w:r w:rsidRPr="00E85000">
        <w:rPr>
          <w:lang w:val="fr-FR"/>
        </w:rPr>
        <w:t>.  Le Gouvernement fait valoir, d</w:t>
      </w:r>
      <w:r w:rsidR="0068586D">
        <w:rPr>
          <w:lang w:val="fr-FR"/>
        </w:rPr>
        <w:t>’</w:t>
      </w:r>
      <w:r w:rsidRPr="00E85000">
        <w:rPr>
          <w:lang w:val="fr-FR"/>
        </w:rPr>
        <w:t>une part, que la requérante n</w:t>
      </w:r>
      <w:r w:rsidR="0068586D">
        <w:rPr>
          <w:lang w:val="fr-FR"/>
        </w:rPr>
        <w:t>’</w:t>
      </w:r>
      <w:r w:rsidRPr="00E85000">
        <w:rPr>
          <w:lang w:val="fr-FR"/>
        </w:rPr>
        <w:t>a pas épuisé les voies de recours internes parce qu</w:t>
      </w:r>
      <w:r w:rsidR="0068586D">
        <w:rPr>
          <w:lang w:val="fr-FR"/>
        </w:rPr>
        <w:t>’</w:t>
      </w:r>
      <w:r w:rsidRPr="00E85000">
        <w:rPr>
          <w:lang w:val="fr-FR"/>
        </w:rPr>
        <w:t>elle n</w:t>
      </w:r>
      <w:r w:rsidR="0068586D">
        <w:rPr>
          <w:lang w:val="fr-FR"/>
        </w:rPr>
        <w:t>’</w:t>
      </w:r>
      <w:r w:rsidRPr="00E85000">
        <w:rPr>
          <w:lang w:val="fr-FR"/>
        </w:rPr>
        <w:t>a pas saisi les autorités pour se plaindre d</w:t>
      </w:r>
      <w:r w:rsidR="0068586D">
        <w:rPr>
          <w:lang w:val="fr-FR"/>
        </w:rPr>
        <w:t>’</w:t>
      </w:r>
      <w:r w:rsidRPr="00E85000">
        <w:rPr>
          <w:lang w:val="fr-FR"/>
        </w:rPr>
        <w:t>un incident ayant eu lieu pendant la période de validité de l</w:t>
      </w:r>
      <w:r w:rsidR="0068586D">
        <w:rPr>
          <w:lang w:val="fr-FR"/>
        </w:rPr>
        <w:t>’</w:t>
      </w:r>
      <w:r w:rsidRPr="00E85000">
        <w:rPr>
          <w:lang w:val="fr-FR"/>
        </w:rPr>
        <w:t>ordonnance de protection délivrée par les tribunaux internes (paragraphes 23 et 27 ci-dessus) et, d</w:t>
      </w:r>
      <w:r w:rsidR="0068586D">
        <w:rPr>
          <w:lang w:val="fr-FR"/>
        </w:rPr>
        <w:t>’</w:t>
      </w:r>
      <w:r w:rsidRPr="00E85000">
        <w:rPr>
          <w:lang w:val="fr-FR"/>
        </w:rPr>
        <w:t>autre part, que son grief est tardif parce qu</w:t>
      </w:r>
      <w:r w:rsidR="0068586D">
        <w:rPr>
          <w:lang w:val="fr-FR"/>
        </w:rPr>
        <w:t>’</w:t>
      </w:r>
      <w:r w:rsidRPr="00E85000">
        <w:rPr>
          <w:lang w:val="fr-FR"/>
        </w:rPr>
        <w:t>il a été, selon lui, présenté à la Cour plus de six mois après la date à laquelle l</w:t>
      </w:r>
      <w:r w:rsidR="0068586D">
        <w:rPr>
          <w:lang w:val="fr-FR"/>
        </w:rPr>
        <w:t>’</w:t>
      </w:r>
      <w:r w:rsidRPr="00E85000">
        <w:rPr>
          <w:lang w:val="fr-FR"/>
        </w:rPr>
        <w:t>ordonnance a pris fin, c</w:t>
      </w:r>
      <w:r w:rsidR="0068586D">
        <w:rPr>
          <w:lang w:val="fr-FR"/>
        </w:rPr>
        <w:t>’</w:t>
      </w:r>
      <w:r w:rsidRPr="00E85000">
        <w:rPr>
          <w:lang w:val="fr-FR"/>
        </w:rPr>
        <w:t>est-à-dire le 13 septembre 2014.</w:t>
      </w:r>
    </w:p>
    <w:p w:rsidRPr="00E85000" w:rsidR="00112A65" w:rsidP="00112A65" w:rsidRDefault="00112A65">
      <w:pPr>
        <w:pStyle w:val="ECHRPara"/>
        <w:rPr>
          <w:lang w:val="fr-FR"/>
        </w:rPr>
      </w:pPr>
      <w:r w:rsidRPr="00E85000">
        <w:rPr>
          <w:lang w:val="fr-FR"/>
        </w:rPr>
        <w:fldChar w:fldCharType="begin"/>
      </w:r>
      <w:r w:rsidRPr="00E85000">
        <w:rPr>
          <w:lang w:val="fr-FR"/>
        </w:rPr>
        <w:instrText xml:space="preserve"> SEQ level0 \*arabic </w:instrText>
      </w:r>
      <w:r w:rsidRPr="00E85000">
        <w:rPr>
          <w:lang w:val="fr-FR"/>
        </w:rPr>
        <w:fldChar w:fldCharType="separate"/>
      </w:r>
      <w:r w:rsidRPr="00E85000">
        <w:rPr>
          <w:noProof/>
          <w:lang w:val="fr-FR"/>
        </w:rPr>
        <w:t>47</w:t>
      </w:r>
      <w:r w:rsidRPr="00E85000">
        <w:rPr>
          <w:lang w:val="fr-FR"/>
        </w:rPr>
        <w:fldChar w:fldCharType="end"/>
      </w:r>
      <w:r w:rsidRPr="00E85000">
        <w:rPr>
          <w:lang w:val="fr-FR"/>
        </w:rPr>
        <w:t>.  La requérante estime que le délai de six mois en l</w:t>
      </w:r>
      <w:r w:rsidR="0068586D">
        <w:rPr>
          <w:lang w:val="fr-FR"/>
        </w:rPr>
        <w:t>’</w:t>
      </w:r>
      <w:r w:rsidRPr="00E85000">
        <w:rPr>
          <w:lang w:val="fr-FR"/>
        </w:rPr>
        <w:t>espèce a commencé à courir le 25 mai 2015, date de la décision définitive du tribunal de première instance (paragraphe 21 ci</w:t>
      </w:r>
      <w:r w:rsidRPr="00E85000">
        <w:rPr>
          <w:lang w:val="fr-FR"/>
        </w:rPr>
        <w:noBreakHyphen/>
        <w:t>dessus).</w:t>
      </w:r>
    </w:p>
    <w:bookmarkStart w:name="Gouv_excp_non_épuismnt3" w:id="26"/>
    <w:p w:rsidRPr="00E85000" w:rsidR="00112A65" w:rsidP="00112A65" w:rsidRDefault="00112A65">
      <w:pPr>
        <w:pStyle w:val="ECHRPara"/>
        <w:rPr>
          <w:i/>
          <w:lang w:val="fr-FR"/>
        </w:rPr>
      </w:pPr>
      <w:r w:rsidRPr="00E85000">
        <w:rPr>
          <w:lang w:val="fr-FR"/>
        </w:rPr>
        <w:fldChar w:fldCharType="begin"/>
      </w:r>
      <w:r w:rsidRPr="00E85000">
        <w:rPr>
          <w:lang w:val="fr-FR"/>
        </w:rPr>
        <w:instrText xml:space="preserve"> SEQ level0 \*arabic </w:instrText>
      </w:r>
      <w:r w:rsidRPr="00E85000">
        <w:rPr>
          <w:lang w:val="fr-FR"/>
        </w:rPr>
        <w:fldChar w:fldCharType="separate"/>
      </w:r>
      <w:r w:rsidRPr="00E85000">
        <w:rPr>
          <w:noProof/>
          <w:lang w:val="fr-FR"/>
        </w:rPr>
        <w:t>48</w:t>
      </w:r>
      <w:r w:rsidRPr="00E85000">
        <w:rPr>
          <w:lang w:val="fr-FR"/>
        </w:rPr>
        <w:fldChar w:fldCharType="end"/>
      </w:r>
      <w:bookmarkEnd w:id="26"/>
      <w:r w:rsidRPr="00E85000">
        <w:rPr>
          <w:lang w:val="fr-FR"/>
        </w:rPr>
        <w:t>.  La Cour estime que les exceptions soulevées par le Gouvernement sont plutôt des arguments de fond en ce qu</w:t>
      </w:r>
      <w:r w:rsidR="0068586D">
        <w:rPr>
          <w:lang w:val="fr-FR"/>
        </w:rPr>
        <w:t>’</w:t>
      </w:r>
      <w:r w:rsidRPr="00E85000">
        <w:rPr>
          <w:lang w:val="fr-FR"/>
        </w:rPr>
        <w:t>elles ont trait à l</w:t>
      </w:r>
      <w:r w:rsidR="0068586D">
        <w:rPr>
          <w:lang w:val="fr-FR"/>
        </w:rPr>
        <w:t>’</w:t>
      </w:r>
      <w:r w:rsidRPr="00E85000">
        <w:rPr>
          <w:lang w:val="fr-FR"/>
        </w:rPr>
        <w:t xml:space="preserve">effectivité des mécanismes de protection des victimes de la violence conjugale mis en place par la législation interne. Elle note que la requérante a épuisé les voies de recours </w:t>
      </w:r>
      <w:r w:rsidRPr="00E85000">
        <w:rPr>
          <w:rFonts w:cstheme="minorHAnsi"/>
          <w:lang w:val="fr-FR"/>
        </w:rPr>
        <w:t>à</w:t>
      </w:r>
      <w:r w:rsidRPr="00E85000">
        <w:rPr>
          <w:lang w:val="fr-FR"/>
        </w:rPr>
        <w:t xml:space="preserve"> sa disposition, puisqu</w:t>
      </w:r>
      <w:r w:rsidR="0068586D">
        <w:rPr>
          <w:lang w:val="fr-FR"/>
        </w:rPr>
        <w:t>’</w:t>
      </w:r>
      <w:r w:rsidRPr="00E85000">
        <w:rPr>
          <w:lang w:val="fr-FR"/>
        </w:rPr>
        <w:t>elle a déposé des plaintes pénales contre son ex-époux (paragraphe 9 ci-dessus) et a aussi utilisé les dispositions de la loi n</w:t>
      </w:r>
      <w:r w:rsidRPr="00E85000">
        <w:rPr>
          <w:vertAlign w:val="superscript"/>
          <w:lang w:val="fr-FR"/>
        </w:rPr>
        <w:t>o</w:t>
      </w:r>
      <w:r w:rsidRPr="00E85000">
        <w:rPr>
          <w:lang w:val="fr-FR"/>
        </w:rPr>
        <w:t xml:space="preserve"> 217/2003 pour se voir délivrer une ordonnance de protection </w:t>
      </w:r>
      <w:r w:rsidRPr="00E85000">
        <w:rPr>
          <w:rFonts w:cstheme="minorHAnsi"/>
          <w:lang w:val="fr-FR"/>
        </w:rPr>
        <w:t>à</w:t>
      </w:r>
      <w:r w:rsidRPr="00E85000">
        <w:rPr>
          <w:lang w:val="fr-FR"/>
        </w:rPr>
        <w:t xml:space="preserve"> l</w:t>
      </w:r>
      <w:r w:rsidR="0068586D">
        <w:rPr>
          <w:lang w:val="fr-FR"/>
        </w:rPr>
        <w:t>’</w:t>
      </w:r>
      <w:r w:rsidRPr="00E85000">
        <w:rPr>
          <w:lang w:val="fr-FR"/>
        </w:rPr>
        <w:t>encontre de son ex-époux (paragraphe 22 ci</w:t>
      </w:r>
      <w:r w:rsidRPr="00E85000">
        <w:rPr>
          <w:lang w:val="fr-FR"/>
        </w:rPr>
        <w:noBreakHyphen/>
        <w:t xml:space="preserve">dessus). La question de savoir si la protection offerte </w:t>
      </w:r>
      <w:r w:rsidRPr="00E85000">
        <w:rPr>
          <w:rFonts w:cstheme="minorHAnsi"/>
          <w:lang w:val="fr-FR"/>
        </w:rPr>
        <w:t>à</w:t>
      </w:r>
      <w:r w:rsidRPr="00E85000">
        <w:rPr>
          <w:lang w:val="fr-FR"/>
        </w:rPr>
        <w:t xml:space="preserve"> la requérante par cette ordonnance a été efficace ou non est un argument de fond que la Cour examinera plus loin (paragraphe 71 ci-dessous). De plus, la Cour estime qu</w:t>
      </w:r>
      <w:r w:rsidR="0068586D">
        <w:rPr>
          <w:lang w:val="fr-FR"/>
        </w:rPr>
        <w:t>’</w:t>
      </w:r>
      <w:r w:rsidRPr="00E85000">
        <w:rPr>
          <w:lang w:val="fr-FR"/>
        </w:rPr>
        <w:t>il convient en l</w:t>
      </w:r>
      <w:r w:rsidR="0068586D">
        <w:rPr>
          <w:lang w:val="fr-FR"/>
        </w:rPr>
        <w:t>’</w:t>
      </w:r>
      <w:r w:rsidRPr="00E85000">
        <w:rPr>
          <w:lang w:val="fr-FR"/>
        </w:rPr>
        <w:t>espèce d</w:t>
      </w:r>
      <w:r w:rsidR="0068586D">
        <w:rPr>
          <w:lang w:val="fr-FR"/>
        </w:rPr>
        <w:t>’</w:t>
      </w:r>
      <w:r w:rsidRPr="00E85000">
        <w:rPr>
          <w:lang w:val="fr-FR"/>
        </w:rPr>
        <w:t xml:space="preserve">envisager globalement toutes les voies de recours dont la requérante disposait (voir, </w:t>
      </w:r>
      <w:r w:rsidRPr="00E85000">
        <w:rPr>
          <w:i/>
          <w:lang w:val="fr-FR"/>
        </w:rPr>
        <w:t>mutatis mutandis</w:t>
      </w:r>
      <w:r w:rsidRPr="00E85000">
        <w:rPr>
          <w:lang w:val="fr-FR"/>
        </w:rPr>
        <w:t xml:space="preserve">, </w:t>
      </w:r>
      <w:proofErr w:type="spellStart"/>
      <w:r w:rsidRPr="00E85000">
        <w:rPr>
          <w:i/>
          <w:lang w:val="fr-FR"/>
        </w:rPr>
        <w:t>Kalucza</w:t>
      </w:r>
      <w:proofErr w:type="spellEnd"/>
      <w:r w:rsidRPr="00E85000">
        <w:rPr>
          <w:i/>
          <w:lang w:val="fr-FR"/>
        </w:rPr>
        <w:t xml:space="preserve"> c. Hongrie</w:t>
      </w:r>
      <w:r w:rsidRPr="00E85000">
        <w:rPr>
          <w:lang w:val="fr-FR"/>
        </w:rPr>
        <w:t>, n</w:t>
      </w:r>
      <w:r w:rsidRPr="00E85000">
        <w:rPr>
          <w:vertAlign w:val="superscript"/>
          <w:lang w:val="fr-FR"/>
        </w:rPr>
        <w:t>o</w:t>
      </w:r>
      <w:r w:rsidRPr="00E85000">
        <w:rPr>
          <w:lang w:val="fr-FR"/>
        </w:rPr>
        <w:t> 57693/10, §§ 49</w:t>
      </w:r>
      <w:r w:rsidRPr="00E85000">
        <w:rPr>
          <w:lang w:val="fr-FR"/>
        </w:rPr>
        <w:noBreakHyphen/>
        <w:t>50, 24 avril 2012) et qu</w:t>
      </w:r>
      <w:r w:rsidR="0068586D">
        <w:rPr>
          <w:lang w:val="fr-FR"/>
        </w:rPr>
        <w:t>’</w:t>
      </w:r>
      <w:r w:rsidRPr="00E85000">
        <w:rPr>
          <w:lang w:val="fr-FR"/>
        </w:rPr>
        <w:t>il serait formaliste de scinder le grief et de calculer en l</w:t>
      </w:r>
      <w:r w:rsidR="0068586D">
        <w:rPr>
          <w:lang w:val="fr-FR"/>
        </w:rPr>
        <w:t>’</w:t>
      </w:r>
      <w:r w:rsidRPr="00E85000">
        <w:rPr>
          <w:lang w:val="fr-FR"/>
        </w:rPr>
        <w:t>espèce le délai de six mois à compter du 13 septembre 2014, date à laquelle l</w:t>
      </w:r>
      <w:r w:rsidR="0068586D">
        <w:rPr>
          <w:lang w:val="fr-FR"/>
        </w:rPr>
        <w:t>’</w:t>
      </w:r>
      <w:r w:rsidRPr="00E85000">
        <w:rPr>
          <w:lang w:val="fr-FR"/>
        </w:rPr>
        <w:t>ordonnance de protection a pris fin, alors que le grief de la requérante vise également l</w:t>
      </w:r>
      <w:r w:rsidR="0068586D">
        <w:rPr>
          <w:lang w:val="fr-FR"/>
        </w:rPr>
        <w:t>’</w:t>
      </w:r>
      <w:r w:rsidRPr="00E85000">
        <w:rPr>
          <w:lang w:val="fr-FR"/>
        </w:rPr>
        <w:t>enquête pénale pour menaces et coups et violences qui s</w:t>
      </w:r>
      <w:r w:rsidR="0068586D">
        <w:rPr>
          <w:lang w:val="fr-FR"/>
        </w:rPr>
        <w:t>’</w:t>
      </w:r>
      <w:r w:rsidRPr="00E85000">
        <w:rPr>
          <w:lang w:val="fr-FR"/>
        </w:rPr>
        <w:t>est finalisée par la décision du 25 mai 2015 du tribunal de première instance (paragraphe 21 ci</w:t>
      </w:r>
      <w:r w:rsidRPr="00E85000">
        <w:rPr>
          <w:lang w:val="fr-FR"/>
        </w:rPr>
        <w:noBreakHyphen/>
        <w:t>dessus ; pour un examen global de tous les recours à la disposition de la requérante victime de violence</w:t>
      </w:r>
      <w:r>
        <w:rPr>
          <w:lang w:val="fr-FR"/>
        </w:rPr>
        <w:t>s</w:t>
      </w:r>
      <w:r w:rsidRPr="00E85000">
        <w:rPr>
          <w:lang w:val="fr-FR"/>
        </w:rPr>
        <w:t xml:space="preserve"> domestique</w:t>
      </w:r>
      <w:r>
        <w:rPr>
          <w:lang w:val="fr-FR"/>
        </w:rPr>
        <w:t>s</w:t>
      </w:r>
      <w:r w:rsidRPr="00E85000">
        <w:rPr>
          <w:lang w:val="fr-FR"/>
        </w:rPr>
        <w:t xml:space="preserve">, voir </w:t>
      </w:r>
      <w:proofErr w:type="spellStart"/>
      <w:r w:rsidRPr="00E85000">
        <w:rPr>
          <w:i/>
          <w:iCs/>
          <w:lang w:val="fr-FR"/>
        </w:rPr>
        <w:t>Bălşan</w:t>
      </w:r>
      <w:proofErr w:type="spellEnd"/>
      <w:r w:rsidRPr="00E85000">
        <w:rPr>
          <w:i/>
          <w:iCs/>
          <w:lang w:val="fr-FR"/>
        </w:rPr>
        <w:t xml:space="preserve"> c. Roumanie</w:t>
      </w:r>
      <w:r w:rsidRPr="00E85000">
        <w:rPr>
          <w:lang w:val="fr-FR"/>
        </w:rPr>
        <w:t>, n</w:t>
      </w:r>
      <w:r w:rsidRPr="00E85000">
        <w:rPr>
          <w:vertAlign w:val="superscript"/>
          <w:lang w:val="fr-FR"/>
        </w:rPr>
        <w:t>o</w:t>
      </w:r>
      <w:r w:rsidRPr="00E85000">
        <w:rPr>
          <w:lang w:val="fr-FR"/>
        </w:rPr>
        <w:t xml:space="preserve"> 49645/09, </w:t>
      </w:r>
      <w:r w:rsidRPr="00E85000">
        <w:rPr>
          <w:iCs/>
          <w:lang w:val="fr-FR"/>
        </w:rPr>
        <w:t>§§ 64</w:t>
      </w:r>
      <w:r w:rsidRPr="00E85000">
        <w:rPr>
          <w:iCs/>
          <w:lang w:val="fr-FR"/>
        </w:rPr>
        <w:noBreakHyphen/>
        <w:t>69,</w:t>
      </w:r>
      <w:r w:rsidRPr="00E85000">
        <w:rPr>
          <w:lang w:val="fr-FR"/>
        </w:rPr>
        <w:t xml:space="preserve"> 23 mai 2017). La Cour rejette donc les exceptions du Gouvernement.</w:t>
      </w:r>
    </w:p>
    <w:p w:rsidRPr="00E85000" w:rsidR="00112A65" w:rsidP="00112A65" w:rsidRDefault="00112A65">
      <w:pPr>
        <w:pStyle w:val="ECHRHeading3"/>
        <w:rPr>
          <w:lang w:val="fr-FR"/>
        </w:rPr>
      </w:pPr>
      <w:r w:rsidRPr="00E85000">
        <w:rPr>
          <w:lang w:val="fr-FR"/>
        </w:rPr>
        <w:t>2. Sur la plainte relative à la violation du secret de la correspondance</w:t>
      </w:r>
    </w:p>
    <w:bookmarkStart w:name="excp8" w:id="27"/>
    <w:p w:rsidRPr="00E85000" w:rsidR="00112A65" w:rsidP="00112A65" w:rsidRDefault="00112A65">
      <w:pPr>
        <w:pStyle w:val="ECHRPara"/>
        <w:rPr>
          <w:lang w:val="fr-FR"/>
        </w:rPr>
      </w:pPr>
      <w:r w:rsidRPr="00E85000">
        <w:rPr>
          <w:lang w:val="fr-FR"/>
        </w:rPr>
        <w:fldChar w:fldCharType="begin"/>
      </w:r>
      <w:r w:rsidRPr="00E85000">
        <w:rPr>
          <w:lang w:val="fr-FR"/>
        </w:rPr>
        <w:instrText xml:space="preserve"> SEQ level0 \*arabic </w:instrText>
      </w:r>
      <w:r w:rsidRPr="00E85000">
        <w:rPr>
          <w:lang w:val="fr-FR"/>
        </w:rPr>
        <w:fldChar w:fldCharType="separate"/>
      </w:r>
      <w:r w:rsidRPr="00E85000">
        <w:rPr>
          <w:noProof/>
          <w:lang w:val="fr-FR"/>
        </w:rPr>
        <w:t>49</w:t>
      </w:r>
      <w:r w:rsidRPr="00E85000">
        <w:rPr>
          <w:lang w:val="fr-FR"/>
        </w:rPr>
        <w:fldChar w:fldCharType="end"/>
      </w:r>
      <w:bookmarkEnd w:id="27"/>
      <w:r w:rsidRPr="00E85000">
        <w:rPr>
          <w:lang w:val="fr-FR"/>
        </w:rPr>
        <w:t>.  Le Gouvernement excipe du non-épuisement des voies de recours internes quant au grief tiré de la violation du secret de la correspondance de la requérante. Il allègue à cet égard que l</w:t>
      </w:r>
      <w:r w:rsidR="0068586D">
        <w:rPr>
          <w:lang w:val="fr-FR"/>
        </w:rPr>
        <w:t>’</w:t>
      </w:r>
      <w:r w:rsidRPr="00E85000">
        <w:rPr>
          <w:lang w:val="fr-FR"/>
        </w:rPr>
        <w:t>intéressée n</w:t>
      </w:r>
      <w:r w:rsidR="0068586D">
        <w:rPr>
          <w:lang w:val="fr-FR"/>
        </w:rPr>
        <w:t>’</w:t>
      </w:r>
      <w:r w:rsidRPr="00E85000">
        <w:rPr>
          <w:lang w:val="fr-FR"/>
        </w:rPr>
        <w:t>a pas formé d</w:t>
      </w:r>
      <w:r w:rsidR="0068586D">
        <w:rPr>
          <w:lang w:val="fr-FR"/>
        </w:rPr>
        <w:t>’</w:t>
      </w:r>
      <w:r w:rsidRPr="00E85000">
        <w:rPr>
          <w:lang w:val="fr-FR"/>
        </w:rPr>
        <w:t>action en responsabilité civile délictuelle contre son ex-époux, action qui était selon lui plus adéquate eu égard au fait que l</w:t>
      </w:r>
      <w:r w:rsidR="0068586D">
        <w:rPr>
          <w:lang w:val="fr-FR"/>
        </w:rPr>
        <w:t>’</w:t>
      </w:r>
      <w:r w:rsidRPr="00E85000">
        <w:rPr>
          <w:lang w:val="fr-FR"/>
        </w:rPr>
        <w:t>intéressée se plaignait d</w:t>
      </w:r>
      <w:r w:rsidR="0068586D">
        <w:rPr>
          <w:lang w:val="fr-FR"/>
        </w:rPr>
        <w:t>’</w:t>
      </w:r>
      <w:r w:rsidRPr="00E85000">
        <w:rPr>
          <w:lang w:val="fr-FR"/>
        </w:rPr>
        <w:t>une violation de sa correspondance par un particulier.</w:t>
      </w:r>
    </w:p>
    <w:p w:rsidRPr="00E85000" w:rsidR="00112A65" w:rsidP="00112A65" w:rsidRDefault="00112A65">
      <w:pPr>
        <w:pStyle w:val="ECHRPara"/>
        <w:rPr>
          <w:lang w:val="fr-FR"/>
        </w:rPr>
      </w:pPr>
      <w:r w:rsidRPr="00E85000">
        <w:rPr>
          <w:lang w:val="fr-FR"/>
        </w:rPr>
        <w:fldChar w:fldCharType="begin"/>
      </w:r>
      <w:r w:rsidRPr="00E85000">
        <w:rPr>
          <w:lang w:val="fr-FR"/>
        </w:rPr>
        <w:instrText xml:space="preserve"> SEQ level0 \*arabic </w:instrText>
      </w:r>
      <w:r w:rsidRPr="00E85000">
        <w:rPr>
          <w:lang w:val="fr-FR"/>
        </w:rPr>
        <w:fldChar w:fldCharType="separate"/>
      </w:r>
      <w:r w:rsidRPr="00E85000">
        <w:rPr>
          <w:noProof/>
          <w:lang w:val="fr-FR"/>
        </w:rPr>
        <w:t>50</w:t>
      </w:r>
      <w:r w:rsidRPr="00E85000">
        <w:rPr>
          <w:lang w:val="fr-FR"/>
        </w:rPr>
        <w:fldChar w:fldCharType="end"/>
      </w:r>
      <w:r w:rsidRPr="00E85000">
        <w:rPr>
          <w:lang w:val="fr-FR"/>
        </w:rPr>
        <w:t>.  La requérante estime qu</w:t>
      </w:r>
      <w:r w:rsidR="0068586D">
        <w:rPr>
          <w:lang w:val="fr-FR"/>
        </w:rPr>
        <w:t>’</w:t>
      </w:r>
      <w:r w:rsidRPr="00E85000">
        <w:rPr>
          <w:lang w:val="fr-FR"/>
        </w:rPr>
        <w:t>elle a épuisé les voies de recours à sa disposition.</w:t>
      </w:r>
    </w:p>
    <w:bookmarkStart w:name="excp_jointe_fond" w:id="28"/>
    <w:p w:rsidRPr="00E85000" w:rsidR="00112A65" w:rsidP="00112A65" w:rsidRDefault="00112A65">
      <w:pPr>
        <w:pStyle w:val="ECHRPara"/>
        <w:rPr>
          <w:lang w:val="fr-FR"/>
        </w:rPr>
      </w:pPr>
      <w:r w:rsidRPr="00E85000">
        <w:fldChar w:fldCharType="begin"/>
      </w:r>
      <w:r w:rsidRPr="00E85000">
        <w:rPr>
          <w:lang w:val="fr-FR"/>
        </w:rPr>
        <w:instrText xml:space="preserve"> SEQ level0 \*arabic </w:instrText>
      </w:r>
      <w:r w:rsidRPr="00E85000">
        <w:fldChar w:fldCharType="separate"/>
      </w:r>
      <w:r w:rsidRPr="00E85000">
        <w:rPr>
          <w:noProof/>
          <w:lang w:val="fr-FR"/>
        </w:rPr>
        <w:t>51</w:t>
      </w:r>
      <w:r w:rsidRPr="00E85000">
        <w:rPr>
          <w:lang w:val="fr-FR"/>
        </w:rPr>
        <w:fldChar w:fldCharType="end"/>
      </w:r>
      <w:bookmarkEnd w:id="28"/>
      <w:r w:rsidRPr="00E85000">
        <w:rPr>
          <w:lang w:val="fr-FR"/>
        </w:rPr>
        <w:t>.  La Cour considère que cette exception est étroitement liée à la substance du grief de la requérante et décide par conséquent de la joindre au fond (paragraphe 73 ci-dessous).</w:t>
      </w:r>
    </w:p>
    <w:p w:rsidRPr="00E85000" w:rsidR="00112A65" w:rsidP="00112A65" w:rsidRDefault="00112A65">
      <w:pPr>
        <w:pStyle w:val="ECHRHeading3"/>
        <w:rPr>
          <w:lang w:val="fr-FR"/>
        </w:rPr>
      </w:pPr>
      <w:r w:rsidRPr="00E85000">
        <w:rPr>
          <w:lang w:val="fr-FR"/>
        </w:rPr>
        <w:t>3. Autres motifs d</w:t>
      </w:r>
      <w:r w:rsidR="0068586D">
        <w:rPr>
          <w:lang w:val="fr-FR"/>
        </w:rPr>
        <w:t>’</w:t>
      </w:r>
      <w:r w:rsidRPr="00E85000">
        <w:rPr>
          <w:lang w:val="fr-FR"/>
        </w:rPr>
        <w:t>irrecevabilité</w:t>
      </w:r>
    </w:p>
    <w:p w:rsidRPr="00E85000" w:rsidR="00112A65" w:rsidP="00112A65" w:rsidRDefault="00112A65">
      <w:pPr>
        <w:pStyle w:val="ECHRPara"/>
        <w:rPr>
          <w:lang w:val="fr-FR"/>
        </w:rPr>
      </w:pPr>
      <w:r w:rsidRPr="00E85000">
        <w:rPr>
          <w:lang w:val="fr-FR"/>
        </w:rPr>
        <w:fldChar w:fldCharType="begin"/>
      </w:r>
      <w:r w:rsidRPr="00E85000">
        <w:rPr>
          <w:lang w:val="fr-FR"/>
        </w:rPr>
        <w:instrText xml:space="preserve"> SEQ level0 \*arabic </w:instrText>
      </w:r>
      <w:r w:rsidRPr="00E85000">
        <w:rPr>
          <w:lang w:val="fr-FR"/>
        </w:rPr>
        <w:fldChar w:fldCharType="separate"/>
      </w:r>
      <w:r w:rsidRPr="00E85000">
        <w:rPr>
          <w:noProof/>
          <w:lang w:val="fr-FR"/>
        </w:rPr>
        <w:t>52</w:t>
      </w:r>
      <w:r w:rsidRPr="00E85000">
        <w:rPr>
          <w:lang w:val="fr-FR"/>
        </w:rPr>
        <w:fldChar w:fldCharType="end"/>
      </w:r>
      <w:r w:rsidRPr="00E85000">
        <w:rPr>
          <w:lang w:val="fr-FR"/>
        </w:rPr>
        <w:t>.  Constatant que ces griefs ne sont pas manifestement mal fondés au sens de l</w:t>
      </w:r>
      <w:r w:rsidR="0068586D">
        <w:rPr>
          <w:lang w:val="fr-FR"/>
        </w:rPr>
        <w:t>’</w:t>
      </w:r>
      <w:r w:rsidRPr="00E85000">
        <w:rPr>
          <w:lang w:val="fr-FR"/>
        </w:rPr>
        <w:t>article 35 § 3 a) de la Convention et qu</w:t>
      </w:r>
      <w:r w:rsidR="0068586D">
        <w:rPr>
          <w:lang w:val="fr-FR"/>
        </w:rPr>
        <w:t>’</w:t>
      </w:r>
      <w:r w:rsidRPr="00E85000">
        <w:rPr>
          <w:lang w:val="fr-FR"/>
        </w:rPr>
        <w:t>ils ne se heurtent par ailleurs à aucun autre motif d</w:t>
      </w:r>
      <w:r w:rsidR="0068586D">
        <w:rPr>
          <w:lang w:val="fr-FR"/>
        </w:rPr>
        <w:t>’</w:t>
      </w:r>
      <w:r w:rsidRPr="00E85000">
        <w:rPr>
          <w:lang w:val="fr-FR"/>
        </w:rPr>
        <w:t>irrecevabilité, la Cour les déclare recevables.</w:t>
      </w:r>
    </w:p>
    <w:p w:rsidRPr="00E85000" w:rsidR="00112A65" w:rsidP="00112A65" w:rsidRDefault="00112A65">
      <w:pPr>
        <w:pStyle w:val="ECHRHeading2"/>
        <w:rPr>
          <w:lang w:val="fr-FR"/>
        </w:rPr>
      </w:pPr>
      <w:r w:rsidRPr="00E85000">
        <w:rPr>
          <w:lang w:val="fr-FR"/>
        </w:rPr>
        <w:t>B.  Sur le fond</w:t>
      </w:r>
    </w:p>
    <w:p w:rsidRPr="00E85000" w:rsidR="00112A65" w:rsidP="00112A65" w:rsidRDefault="00112A65">
      <w:pPr>
        <w:pStyle w:val="ECHRHeading3"/>
        <w:rPr>
          <w:lang w:val="fr-FR"/>
        </w:rPr>
      </w:pPr>
      <w:r w:rsidRPr="00E85000">
        <w:rPr>
          <w:lang w:val="fr-FR"/>
        </w:rPr>
        <w:t>1.  Thèses des parties</w:t>
      </w:r>
    </w:p>
    <w:p w:rsidRPr="00E85000" w:rsidR="00112A65" w:rsidP="00112A65" w:rsidRDefault="00112A65">
      <w:pPr>
        <w:pStyle w:val="ECHRHeading4"/>
        <w:rPr>
          <w:lang w:val="fr-FR"/>
        </w:rPr>
      </w:pPr>
      <w:r w:rsidRPr="00E85000">
        <w:rPr>
          <w:lang w:val="fr-FR"/>
        </w:rPr>
        <w:t>a)  La requérante</w:t>
      </w:r>
    </w:p>
    <w:p w:rsidRPr="00E85000" w:rsidR="00112A65" w:rsidP="00112A65" w:rsidRDefault="00112A65">
      <w:pPr>
        <w:pStyle w:val="ECHRPara"/>
        <w:rPr>
          <w:lang w:val="fr-FR"/>
        </w:rPr>
      </w:pPr>
      <w:r w:rsidRPr="00E85000">
        <w:rPr>
          <w:lang w:val="fr-FR"/>
        </w:rPr>
        <w:fldChar w:fldCharType="begin"/>
      </w:r>
      <w:r w:rsidRPr="00E85000">
        <w:rPr>
          <w:lang w:val="fr-FR"/>
        </w:rPr>
        <w:instrText xml:space="preserve"> SEQ level0 \*arabic </w:instrText>
      </w:r>
      <w:r w:rsidRPr="00E85000">
        <w:rPr>
          <w:lang w:val="fr-FR"/>
        </w:rPr>
        <w:fldChar w:fldCharType="separate"/>
      </w:r>
      <w:r w:rsidRPr="00E85000">
        <w:rPr>
          <w:noProof/>
          <w:lang w:val="fr-FR"/>
        </w:rPr>
        <w:t>53</w:t>
      </w:r>
      <w:r w:rsidRPr="00E85000">
        <w:rPr>
          <w:lang w:val="fr-FR"/>
        </w:rPr>
        <w:fldChar w:fldCharType="end"/>
      </w:r>
      <w:r w:rsidRPr="00E85000">
        <w:rPr>
          <w:lang w:val="fr-FR"/>
        </w:rPr>
        <w:t>.  La requérante estime que l</w:t>
      </w:r>
      <w:r w:rsidR="0068586D">
        <w:rPr>
          <w:lang w:val="fr-FR"/>
        </w:rPr>
        <w:t>’</w:t>
      </w:r>
      <w:r w:rsidRPr="00E85000">
        <w:rPr>
          <w:lang w:val="fr-FR"/>
        </w:rPr>
        <w:t>État roumain n</w:t>
      </w:r>
      <w:r w:rsidR="0068586D">
        <w:rPr>
          <w:lang w:val="fr-FR"/>
        </w:rPr>
        <w:t>’</w:t>
      </w:r>
      <w:r w:rsidRPr="00E85000">
        <w:rPr>
          <w:lang w:val="fr-FR"/>
        </w:rPr>
        <w:t>a pas respecté ses obligations positives. Elle soutient que les autorités n</w:t>
      </w:r>
      <w:r w:rsidR="0068586D">
        <w:rPr>
          <w:lang w:val="fr-FR"/>
        </w:rPr>
        <w:t>’</w:t>
      </w:r>
      <w:r w:rsidRPr="00E85000">
        <w:rPr>
          <w:lang w:val="fr-FR"/>
        </w:rPr>
        <w:t>ont pas abordé l</w:t>
      </w:r>
      <w:r w:rsidR="0068586D">
        <w:rPr>
          <w:lang w:val="fr-FR"/>
        </w:rPr>
        <w:t>’</w:t>
      </w:r>
      <w:r w:rsidRPr="00E85000">
        <w:rPr>
          <w:lang w:val="fr-FR"/>
        </w:rPr>
        <w:t>affaire comme une affaire de violence conjugale mais comme une simple affaire de violences entre particuliers et qu</w:t>
      </w:r>
      <w:r w:rsidR="0068586D">
        <w:rPr>
          <w:lang w:val="fr-FR"/>
        </w:rPr>
        <w:t>’</w:t>
      </w:r>
      <w:r w:rsidRPr="00E85000">
        <w:rPr>
          <w:lang w:val="fr-FR"/>
        </w:rPr>
        <w:t>elles n</w:t>
      </w:r>
      <w:r w:rsidR="0068586D">
        <w:rPr>
          <w:lang w:val="fr-FR"/>
        </w:rPr>
        <w:t>’</w:t>
      </w:r>
      <w:r w:rsidRPr="00E85000">
        <w:rPr>
          <w:lang w:val="fr-FR"/>
        </w:rPr>
        <w:t>ont pas mené l</w:t>
      </w:r>
      <w:r w:rsidR="0068586D">
        <w:rPr>
          <w:lang w:val="fr-FR"/>
        </w:rPr>
        <w:t>’</w:t>
      </w:r>
      <w:r w:rsidRPr="00E85000">
        <w:rPr>
          <w:lang w:val="fr-FR"/>
        </w:rPr>
        <w:t>enquête avec la diligence requise par ce genre d</w:t>
      </w:r>
      <w:r w:rsidR="0068586D">
        <w:rPr>
          <w:lang w:val="fr-FR"/>
        </w:rPr>
        <w:t>’</w:t>
      </w:r>
      <w:r w:rsidRPr="00E85000">
        <w:rPr>
          <w:lang w:val="fr-FR"/>
        </w:rPr>
        <w:t>infractions, qui ont été commises dans un lieu privé et sont difficiles à prouver. Elle ajoute que les autorités sont restées passives : elles n</w:t>
      </w:r>
      <w:r w:rsidR="0068586D">
        <w:rPr>
          <w:lang w:val="fr-FR"/>
        </w:rPr>
        <w:t>’</w:t>
      </w:r>
      <w:r w:rsidRPr="00E85000">
        <w:rPr>
          <w:lang w:val="fr-FR"/>
        </w:rPr>
        <w:t>ont pas entendu les voisins, n</w:t>
      </w:r>
      <w:r w:rsidR="0068586D">
        <w:rPr>
          <w:lang w:val="fr-FR"/>
        </w:rPr>
        <w:t>’</w:t>
      </w:r>
      <w:r w:rsidRPr="00E85000">
        <w:rPr>
          <w:lang w:val="fr-FR"/>
        </w:rPr>
        <w:t>ont pas surveillé les communications et n</w:t>
      </w:r>
      <w:r w:rsidR="0068586D">
        <w:rPr>
          <w:lang w:val="fr-FR"/>
        </w:rPr>
        <w:t>’</w:t>
      </w:r>
      <w:r w:rsidRPr="00E85000">
        <w:rPr>
          <w:lang w:val="fr-FR"/>
        </w:rPr>
        <w:t>ont pas fait appel à des mesures spécifiques d</w:t>
      </w:r>
      <w:r w:rsidR="0068586D">
        <w:rPr>
          <w:lang w:val="fr-FR"/>
        </w:rPr>
        <w:t>’</w:t>
      </w:r>
      <w:r w:rsidRPr="00E85000">
        <w:rPr>
          <w:lang w:val="fr-FR"/>
        </w:rPr>
        <w:t>enquête.</w:t>
      </w:r>
    </w:p>
    <w:p w:rsidRPr="00E85000" w:rsidR="00112A65" w:rsidP="00112A65" w:rsidRDefault="00112A65">
      <w:pPr>
        <w:pStyle w:val="ECHRPara"/>
        <w:rPr>
          <w:lang w:val="fr-FR"/>
        </w:rPr>
      </w:pPr>
      <w:r w:rsidRPr="00E85000">
        <w:rPr>
          <w:lang w:val="fr-FR"/>
        </w:rPr>
        <w:fldChar w:fldCharType="begin"/>
      </w:r>
      <w:r w:rsidRPr="00E85000">
        <w:rPr>
          <w:lang w:val="fr-FR"/>
        </w:rPr>
        <w:instrText xml:space="preserve"> SEQ level0 \*arabic </w:instrText>
      </w:r>
      <w:r w:rsidRPr="00E85000">
        <w:rPr>
          <w:lang w:val="fr-FR"/>
        </w:rPr>
        <w:fldChar w:fldCharType="separate"/>
      </w:r>
      <w:r w:rsidRPr="00E85000">
        <w:rPr>
          <w:noProof/>
          <w:lang w:val="fr-FR"/>
        </w:rPr>
        <w:t>54</w:t>
      </w:r>
      <w:r w:rsidRPr="00E85000">
        <w:rPr>
          <w:lang w:val="fr-FR"/>
        </w:rPr>
        <w:fldChar w:fldCharType="end"/>
      </w:r>
      <w:r w:rsidRPr="00E85000">
        <w:rPr>
          <w:lang w:val="fr-FR"/>
        </w:rPr>
        <w:t>.  Elle soutient que l</w:t>
      </w:r>
      <w:r w:rsidR="0068586D">
        <w:rPr>
          <w:lang w:val="fr-FR"/>
        </w:rPr>
        <w:t>’</w:t>
      </w:r>
      <w:r w:rsidRPr="00E85000">
        <w:rPr>
          <w:lang w:val="fr-FR"/>
        </w:rPr>
        <w:t>ordonnance de protection a été mise en application par la police avec du retard et de manière incomplète. Selon elle, la police n</w:t>
      </w:r>
      <w:r w:rsidR="0068586D">
        <w:rPr>
          <w:lang w:val="fr-FR"/>
        </w:rPr>
        <w:t>’</w:t>
      </w:r>
      <w:r w:rsidRPr="00E85000">
        <w:rPr>
          <w:lang w:val="fr-FR"/>
        </w:rPr>
        <w:t>a pas immédiatement communiqué à son ex-époux le contenu de l</w:t>
      </w:r>
      <w:r w:rsidR="0068586D">
        <w:rPr>
          <w:lang w:val="fr-FR"/>
        </w:rPr>
        <w:t>’</w:t>
      </w:r>
      <w:r w:rsidRPr="00E85000">
        <w:rPr>
          <w:lang w:val="fr-FR"/>
        </w:rPr>
        <w:t>ordonnance et, pendant la période de validité de celle-ci, les autorités ont ignoré le comportement abusif de son ex-époux, qui aurait essayé de l</w:t>
      </w:r>
      <w:r w:rsidR="0068586D">
        <w:rPr>
          <w:lang w:val="fr-FR"/>
        </w:rPr>
        <w:t>’</w:t>
      </w:r>
      <w:r w:rsidRPr="00E85000">
        <w:rPr>
          <w:lang w:val="fr-FR"/>
        </w:rPr>
        <w:t>intimider pendant la procédure de partage des biens en ne se présentant pas aux audiences devant les tribunaux et en recourant à des médiateurs qui l</w:t>
      </w:r>
      <w:r w:rsidR="0068586D">
        <w:rPr>
          <w:lang w:val="fr-FR"/>
        </w:rPr>
        <w:t>’</w:t>
      </w:r>
      <w:r w:rsidRPr="00E85000">
        <w:rPr>
          <w:lang w:val="fr-FR"/>
        </w:rPr>
        <w:t>auraient harcelée (paragraphe 26 ci-dessus).</w:t>
      </w:r>
    </w:p>
    <w:bookmarkStart w:name="obsR_3et8" w:id="29"/>
    <w:p w:rsidRPr="00E85000" w:rsidR="00112A65" w:rsidP="00112A65" w:rsidRDefault="00112A65">
      <w:pPr>
        <w:pStyle w:val="ECHRPara"/>
        <w:rPr>
          <w:lang w:val="fr-FR"/>
        </w:rPr>
      </w:pPr>
      <w:r w:rsidRPr="00E85000">
        <w:rPr>
          <w:lang w:val="fr-FR"/>
        </w:rPr>
        <w:fldChar w:fldCharType="begin"/>
      </w:r>
      <w:r w:rsidRPr="00E85000">
        <w:rPr>
          <w:lang w:val="fr-FR"/>
        </w:rPr>
        <w:instrText xml:space="preserve"> SEQ level0 \*arabic </w:instrText>
      </w:r>
      <w:r w:rsidRPr="00E85000">
        <w:rPr>
          <w:lang w:val="fr-FR"/>
        </w:rPr>
        <w:fldChar w:fldCharType="separate"/>
      </w:r>
      <w:r w:rsidRPr="00E85000">
        <w:rPr>
          <w:noProof/>
          <w:lang w:val="fr-FR"/>
        </w:rPr>
        <w:t>55</w:t>
      </w:r>
      <w:r w:rsidRPr="00E85000">
        <w:rPr>
          <w:lang w:val="fr-FR"/>
        </w:rPr>
        <w:fldChar w:fldCharType="end"/>
      </w:r>
      <w:bookmarkEnd w:id="29"/>
      <w:r w:rsidRPr="00E85000">
        <w:rPr>
          <w:lang w:val="fr-FR"/>
        </w:rPr>
        <w:t>.  Elle soutient que les faits de violation du secret de la correspondance reprochés à son ex-époux ont un caractère pénal et qu</w:t>
      </w:r>
      <w:r w:rsidR="0068586D">
        <w:rPr>
          <w:lang w:val="fr-FR"/>
        </w:rPr>
        <w:t>’</w:t>
      </w:r>
      <w:r w:rsidRPr="00E85000">
        <w:rPr>
          <w:lang w:val="fr-FR"/>
        </w:rPr>
        <w:t>ils ont un lien direct avec les actes de violence, les menaces, et l</w:t>
      </w:r>
      <w:r w:rsidR="0068586D">
        <w:rPr>
          <w:lang w:val="fr-FR"/>
        </w:rPr>
        <w:t>’</w:t>
      </w:r>
      <w:r w:rsidRPr="00E85000">
        <w:rPr>
          <w:lang w:val="fr-FR"/>
        </w:rPr>
        <w:t>intimidation dont elle dit avoir fait l</w:t>
      </w:r>
      <w:r w:rsidR="0068586D">
        <w:rPr>
          <w:lang w:val="fr-FR"/>
        </w:rPr>
        <w:t>’</w:t>
      </w:r>
      <w:r w:rsidRPr="00E85000">
        <w:rPr>
          <w:lang w:val="fr-FR"/>
        </w:rPr>
        <w:t>objet. Elle estime que les autorités étaient tenues d</w:t>
      </w:r>
      <w:r w:rsidR="0068586D">
        <w:rPr>
          <w:lang w:val="fr-FR"/>
        </w:rPr>
        <w:t>’</w:t>
      </w:r>
      <w:r w:rsidRPr="00E85000">
        <w:rPr>
          <w:lang w:val="fr-FR"/>
        </w:rPr>
        <w:t>examiner ces faits d</w:t>
      </w:r>
      <w:r w:rsidR="0068586D">
        <w:rPr>
          <w:lang w:val="fr-FR"/>
        </w:rPr>
        <w:t>’</w:t>
      </w:r>
      <w:r w:rsidRPr="00E85000">
        <w:rPr>
          <w:lang w:val="fr-FR"/>
        </w:rPr>
        <w:t>office, sans plainte préalable de sa part, et que dès lors elle n</w:t>
      </w:r>
      <w:r w:rsidR="0068586D">
        <w:rPr>
          <w:lang w:val="fr-FR"/>
        </w:rPr>
        <w:t>’</w:t>
      </w:r>
      <w:r w:rsidRPr="00E85000">
        <w:rPr>
          <w:lang w:val="fr-FR"/>
        </w:rPr>
        <w:t>était pas tenue de déposer plainte dans le délai prescrit par la loi.</w:t>
      </w:r>
    </w:p>
    <w:p w:rsidRPr="00E85000" w:rsidR="00112A65" w:rsidP="00112A65" w:rsidRDefault="00112A65">
      <w:pPr>
        <w:pStyle w:val="ECHRPara"/>
        <w:rPr>
          <w:lang w:val="fr-FR"/>
        </w:rPr>
      </w:pPr>
      <w:r w:rsidRPr="00E85000">
        <w:rPr>
          <w:lang w:val="fr-FR"/>
        </w:rPr>
        <w:fldChar w:fldCharType="begin"/>
      </w:r>
      <w:r w:rsidRPr="00E85000">
        <w:rPr>
          <w:lang w:val="fr-FR"/>
        </w:rPr>
        <w:instrText xml:space="preserve"> SEQ level0 \*arabic </w:instrText>
      </w:r>
      <w:r w:rsidRPr="00E85000">
        <w:rPr>
          <w:lang w:val="fr-FR"/>
        </w:rPr>
        <w:fldChar w:fldCharType="separate"/>
      </w:r>
      <w:r w:rsidRPr="00E85000">
        <w:rPr>
          <w:noProof/>
          <w:lang w:val="fr-FR"/>
        </w:rPr>
        <w:t>56</w:t>
      </w:r>
      <w:r w:rsidRPr="00E85000">
        <w:rPr>
          <w:lang w:val="fr-FR"/>
        </w:rPr>
        <w:fldChar w:fldCharType="end"/>
      </w:r>
      <w:r w:rsidRPr="00E85000">
        <w:rPr>
          <w:lang w:val="fr-FR"/>
        </w:rPr>
        <w:t>.  La requérante estime que l</w:t>
      </w:r>
      <w:r w:rsidR="0068586D">
        <w:rPr>
          <w:lang w:val="fr-FR"/>
        </w:rPr>
        <w:t>’</w:t>
      </w:r>
      <w:r w:rsidRPr="00E85000">
        <w:rPr>
          <w:lang w:val="fr-FR"/>
        </w:rPr>
        <w:t>attitude des autorités a encouragé son ex</w:t>
      </w:r>
      <w:r w:rsidRPr="00E85000">
        <w:rPr>
          <w:lang w:val="fr-FR"/>
        </w:rPr>
        <w:noBreakHyphen/>
        <w:t>époux à continuer à se comporter librement puisqu</w:t>
      </w:r>
      <w:r w:rsidR="0068586D">
        <w:rPr>
          <w:lang w:val="fr-FR"/>
        </w:rPr>
        <w:t>’</w:t>
      </w:r>
      <w:r w:rsidRPr="00E85000">
        <w:rPr>
          <w:lang w:val="fr-FR"/>
        </w:rPr>
        <w:t>il était, selon elle, conscient de la clémence des institutions de l</w:t>
      </w:r>
      <w:r w:rsidR="0068586D">
        <w:rPr>
          <w:lang w:val="fr-FR"/>
        </w:rPr>
        <w:t>’</w:t>
      </w:r>
      <w:r w:rsidRPr="00E85000">
        <w:rPr>
          <w:lang w:val="fr-FR"/>
        </w:rPr>
        <w:t>État.</w:t>
      </w:r>
    </w:p>
    <w:p w:rsidRPr="00E85000" w:rsidR="00112A65" w:rsidP="00112A65" w:rsidRDefault="00112A65">
      <w:pPr>
        <w:pStyle w:val="ECHRHeading4"/>
        <w:rPr>
          <w:lang w:val="fr-FR"/>
        </w:rPr>
      </w:pPr>
      <w:r w:rsidRPr="00E85000">
        <w:rPr>
          <w:lang w:val="fr-FR"/>
        </w:rPr>
        <w:t>b)  Le Gouvernement</w:t>
      </w:r>
    </w:p>
    <w:bookmarkStart w:name="obs_Gouv3" w:id="30"/>
    <w:p w:rsidRPr="00E85000" w:rsidR="00112A65" w:rsidP="00112A65" w:rsidRDefault="00112A65">
      <w:pPr>
        <w:pStyle w:val="ECHRPara"/>
        <w:rPr>
          <w:i/>
          <w:lang w:val="fr-FR"/>
        </w:rPr>
      </w:pPr>
      <w:r w:rsidRPr="00E85000">
        <w:rPr>
          <w:lang w:val="fr-FR"/>
        </w:rPr>
        <w:fldChar w:fldCharType="begin"/>
      </w:r>
      <w:r w:rsidRPr="00E85000">
        <w:rPr>
          <w:lang w:val="fr-FR"/>
        </w:rPr>
        <w:instrText xml:space="preserve"> SEQ level0 \*arabic </w:instrText>
      </w:r>
      <w:r w:rsidRPr="00E85000">
        <w:rPr>
          <w:lang w:val="fr-FR"/>
        </w:rPr>
        <w:fldChar w:fldCharType="separate"/>
      </w:r>
      <w:r w:rsidRPr="00E85000">
        <w:rPr>
          <w:noProof/>
          <w:lang w:val="fr-FR"/>
        </w:rPr>
        <w:t>57</w:t>
      </w:r>
      <w:r w:rsidRPr="00E85000">
        <w:rPr>
          <w:lang w:val="fr-FR"/>
        </w:rPr>
        <w:fldChar w:fldCharType="end"/>
      </w:r>
      <w:bookmarkEnd w:id="30"/>
      <w:r w:rsidRPr="00E85000">
        <w:rPr>
          <w:lang w:val="fr-FR"/>
        </w:rPr>
        <w:t>.  Le Gouvernement considère que l</w:t>
      </w:r>
      <w:r w:rsidR="0068586D">
        <w:rPr>
          <w:lang w:val="fr-FR"/>
        </w:rPr>
        <w:t>’</w:t>
      </w:r>
      <w:r w:rsidRPr="00E85000">
        <w:rPr>
          <w:lang w:val="fr-FR"/>
        </w:rPr>
        <w:t>enquête pénale menée en l</w:t>
      </w:r>
      <w:r w:rsidR="0068586D">
        <w:rPr>
          <w:lang w:val="fr-FR"/>
        </w:rPr>
        <w:t>’</w:t>
      </w:r>
      <w:r w:rsidRPr="00E85000">
        <w:rPr>
          <w:lang w:val="fr-FR"/>
        </w:rPr>
        <w:t>espèce a été effective. Il indique que le cadre réglementaire était adéquat et qu</w:t>
      </w:r>
      <w:r w:rsidR="0068586D">
        <w:rPr>
          <w:lang w:val="fr-FR"/>
        </w:rPr>
        <w:t>’</w:t>
      </w:r>
      <w:r w:rsidRPr="00E85000">
        <w:rPr>
          <w:lang w:val="fr-FR"/>
        </w:rPr>
        <w:t>il l</w:t>
      </w:r>
      <w:r w:rsidR="0068586D">
        <w:rPr>
          <w:lang w:val="fr-FR"/>
        </w:rPr>
        <w:t>’</w:t>
      </w:r>
      <w:r w:rsidRPr="00E85000">
        <w:rPr>
          <w:lang w:val="fr-FR"/>
        </w:rPr>
        <w:t>est toujours depuis l</w:t>
      </w:r>
      <w:r w:rsidR="0068586D">
        <w:rPr>
          <w:lang w:val="fr-FR"/>
        </w:rPr>
        <w:t>’</w:t>
      </w:r>
      <w:r w:rsidRPr="00E85000">
        <w:rPr>
          <w:lang w:val="fr-FR"/>
        </w:rPr>
        <w:t>entrée en vigueur du nouveau code pénal. Il estime que la requérante a dénoncé un incident relatif à des violences physiques survenu le 22 décembre 2013 et deux incidents relatifs à des violences verbales survenus les 17 et 22 décembre 2013. Il expose que la requérante a bénéficié des mesures de protection fondées sur la loi n</w:t>
      </w:r>
      <w:r w:rsidRPr="00E85000">
        <w:rPr>
          <w:vertAlign w:val="superscript"/>
          <w:lang w:val="fr-FR"/>
        </w:rPr>
        <w:t>o</w:t>
      </w:r>
      <w:r w:rsidRPr="00E85000">
        <w:rPr>
          <w:lang w:val="fr-FR"/>
        </w:rPr>
        <w:t xml:space="preserve"> 217/2013, mais allègue que le niveau de preuves requis pour prononcer de telles mesures n</w:t>
      </w:r>
      <w:r w:rsidR="0068586D">
        <w:rPr>
          <w:lang w:val="fr-FR"/>
        </w:rPr>
        <w:t>’</w:t>
      </w:r>
      <w:r w:rsidRPr="00E85000">
        <w:rPr>
          <w:lang w:val="fr-FR"/>
        </w:rPr>
        <w:t>est pas le même que celui requis pour prononcer une condamnation pénale. Il indique que, lors de l</w:t>
      </w:r>
      <w:r w:rsidR="0068586D">
        <w:rPr>
          <w:lang w:val="fr-FR"/>
        </w:rPr>
        <w:t>’</w:t>
      </w:r>
      <w:r w:rsidRPr="00E85000">
        <w:rPr>
          <w:lang w:val="fr-FR"/>
        </w:rPr>
        <w:t>enquête pénale, tous les témoins qui pouvaient connaître les détails de l</w:t>
      </w:r>
      <w:r w:rsidR="0068586D">
        <w:rPr>
          <w:lang w:val="fr-FR"/>
        </w:rPr>
        <w:t>’</w:t>
      </w:r>
      <w:r w:rsidRPr="00E85000">
        <w:rPr>
          <w:lang w:val="fr-FR"/>
        </w:rPr>
        <w:t>affaire ont été entendus. Il ajoute que les preuves ont été dûment examinées, qu</w:t>
      </w:r>
      <w:r w:rsidR="0068586D">
        <w:rPr>
          <w:lang w:val="fr-FR"/>
        </w:rPr>
        <w:t>’</w:t>
      </w:r>
      <w:r w:rsidRPr="00E85000">
        <w:rPr>
          <w:lang w:val="fr-FR"/>
        </w:rPr>
        <w:t>il n</w:t>
      </w:r>
      <w:r w:rsidR="0068586D">
        <w:rPr>
          <w:lang w:val="fr-FR"/>
        </w:rPr>
        <w:t>’</w:t>
      </w:r>
      <w:r w:rsidRPr="00E85000">
        <w:rPr>
          <w:lang w:val="fr-FR"/>
        </w:rPr>
        <w:t>y a pas eu de preuve directe de l</w:t>
      </w:r>
      <w:r w:rsidR="0068586D">
        <w:rPr>
          <w:lang w:val="fr-FR"/>
        </w:rPr>
        <w:t>’</w:t>
      </w:r>
      <w:r w:rsidRPr="00E85000">
        <w:rPr>
          <w:lang w:val="fr-FR"/>
        </w:rPr>
        <w:t>agression de la requérante et que celle-ci n</w:t>
      </w:r>
      <w:r w:rsidR="0068586D">
        <w:rPr>
          <w:lang w:val="fr-FR"/>
        </w:rPr>
        <w:t>’</w:t>
      </w:r>
      <w:r w:rsidRPr="00E85000">
        <w:rPr>
          <w:lang w:val="fr-FR"/>
        </w:rPr>
        <w:t>a pas saisi les autorités immédiatement après les incidents dénoncés, mais quelques jours après. Selon le Gouvernement, l</w:t>
      </w:r>
      <w:r w:rsidR="0068586D">
        <w:rPr>
          <w:lang w:val="fr-FR"/>
        </w:rPr>
        <w:t>’</w:t>
      </w:r>
      <w:r w:rsidRPr="00E85000">
        <w:rPr>
          <w:lang w:val="fr-FR"/>
        </w:rPr>
        <w:t xml:space="preserve">affaire se distingue des affaires </w:t>
      </w:r>
      <w:r w:rsidRPr="00E85000">
        <w:rPr>
          <w:i/>
          <w:lang w:val="fr-FR"/>
        </w:rPr>
        <w:t>E.M. c. Roumanie</w:t>
      </w:r>
      <w:r w:rsidRPr="00E85000">
        <w:rPr>
          <w:lang w:val="fr-FR"/>
        </w:rPr>
        <w:t xml:space="preserve"> (n</w:t>
      </w:r>
      <w:r w:rsidRPr="00E85000">
        <w:rPr>
          <w:vertAlign w:val="superscript"/>
          <w:lang w:val="fr-FR"/>
        </w:rPr>
        <w:t>o</w:t>
      </w:r>
      <w:r w:rsidRPr="00E85000">
        <w:rPr>
          <w:lang w:val="fr-FR"/>
        </w:rPr>
        <w:t> 43994/05</w:t>
      </w:r>
      <w:r w:rsidRPr="00E85000">
        <w:rPr>
          <w:snapToGrid w:val="0"/>
          <w:lang w:val="fr-FR"/>
        </w:rPr>
        <w:t>, 30 </w:t>
      </w:r>
      <w:r w:rsidRPr="00E85000">
        <w:rPr>
          <w:lang w:val="fr-FR"/>
        </w:rPr>
        <w:t>octobre</w:t>
      </w:r>
      <w:r w:rsidRPr="00E85000">
        <w:rPr>
          <w:snapToGrid w:val="0"/>
          <w:lang w:val="fr-FR"/>
        </w:rPr>
        <w:t xml:space="preserve"> 2012) et </w:t>
      </w:r>
      <w:proofErr w:type="spellStart"/>
      <w:r w:rsidRPr="00E85000">
        <w:rPr>
          <w:i/>
          <w:iCs/>
          <w:lang w:val="fr-FR"/>
        </w:rPr>
        <w:t>Bălşan</w:t>
      </w:r>
      <w:proofErr w:type="spellEnd"/>
      <w:r w:rsidRPr="00E85000">
        <w:rPr>
          <w:iCs/>
          <w:lang w:val="fr-FR"/>
        </w:rPr>
        <w:t xml:space="preserve"> (précitée)</w:t>
      </w:r>
      <w:r w:rsidRPr="00E85000">
        <w:rPr>
          <w:lang w:val="fr-FR"/>
        </w:rPr>
        <w:t xml:space="preserve"> par l</w:t>
      </w:r>
      <w:r w:rsidR="0068586D">
        <w:rPr>
          <w:lang w:val="fr-FR"/>
        </w:rPr>
        <w:t>’</w:t>
      </w:r>
      <w:r w:rsidRPr="00E85000">
        <w:rPr>
          <w:lang w:val="fr-FR"/>
        </w:rPr>
        <w:t>absence de preuves directes et par le caractère ponctuel de la violence physique.</w:t>
      </w:r>
    </w:p>
    <w:p w:rsidRPr="00E85000" w:rsidR="00112A65" w:rsidP="00112A65" w:rsidRDefault="00112A65">
      <w:pPr>
        <w:pStyle w:val="ECHRPara"/>
        <w:rPr>
          <w:lang w:val="fr-FR"/>
        </w:rPr>
      </w:pPr>
      <w:r w:rsidRPr="00E85000">
        <w:rPr>
          <w:lang w:val="fr-FR"/>
        </w:rPr>
        <w:fldChar w:fldCharType="begin"/>
      </w:r>
      <w:r w:rsidRPr="00E85000">
        <w:rPr>
          <w:lang w:val="fr-FR"/>
        </w:rPr>
        <w:instrText xml:space="preserve"> SEQ level0 \*arabic </w:instrText>
      </w:r>
      <w:r w:rsidRPr="00E85000">
        <w:rPr>
          <w:lang w:val="fr-FR"/>
        </w:rPr>
        <w:fldChar w:fldCharType="separate"/>
      </w:r>
      <w:r w:rsidRPr="00E85000">
        <w:rPr>
          <w:noProof/>
          <w:lang w:val="fr-FR"/>
        </w:rPr>
        <w:t>58</w:t>
      </w:r>
      <w:r w:rsidRPr="00E85000">
        <w:rPr>
          <w:lang w:val="fr-FR"/>
        </w:rPr>
        <w:fldChar w:fldCharType="end"/>
      </w:r>
      <w:r w:rsidRPr="00E85000">
        <w:rPr>
          <w:lang w:val="fr-FR"/>
        </w:rPr>
        <w:t>.  S</w:t>
      </w:r>
      <w:r w:rsidR="0068586D">
        <w:rPr>
          <w:lang w:val="fr-FR"/>
        </w:rPr>
        <w:t>’</w:t>
      </w:r>
      <w:r w:rsidRPr="00E85000">
        <w:rPr>
          <w:lang w:val="fr-FR"/>
        </w:rPr>
        <w:t>agissant de l</w:t>
      </w:r>
      <w:r w:rsidR="0068586D">
        <w:rPr>
          <w:lang w:val="fr-FR"/>
        </w:rPr>
        <w:t>’</w:t>
      </w:r>
      <w:r w:rsidRPr="00E85000">
        <w:rPr>
          <w:lang w:val="fr-FR"/>
        </w:rPr>
        <w:t>effectivité des mesures de protection, le Gouvernement rappelle que l</w:t>
      </w:r>
      <w:r w:rsidR="0068586D">
        <w:rPr>
          <w:lang w:val="fr-FR"/>
        </w:rPr>
        <w:t>’</w:t>
      </w:r>
      <w:r w:rsidRPr="00E85000">
        <w:rPr>
          <w:lang w:val="fr-FR"/>
        </w:rPr>
        <w:t>ordonnance de protection délivrée par les tribunaux couvrait la période du 13 mars au 13 septembre 2014 (paragraphe 23 ci-dessus). Il estime que les autorités ont agi avec célérité en octroyant à la requérante une mesure de protection pendant six mois, une période suffisante à ses yeux pour régler les problèmes entre les époux. Il indique que les autorités de police ont eu un retard de trois jours pour mettre en application l</w:t>
      </w:r>
      <w:r w:rsidR="0068586D">
        <w:rPr>
          <w:lang w:val="fr-FR"/>
        </w:rPr>
        <w:t>’</w:t>
      </w:r>
      <w:r w:rsidRPr="00E85000">
        <w:rPr>
          <w:lang w:val="fr-FR"/>
        </w:rPr>
        <w:t>ordonnance de protection, en raison de l</w:t>
      </w:r>
      <w:r w:rsidR="0068586D">
        <w:rPr>
          <w:lang w:val="fr-FR"/>
        </w:rPr>
        <w:t>’</w:t>
      </w:r>
      <w:r w:rsidRPr="00E85000">
        <w:rPr>
          <w:lang w:val="fr-FR"/>
        </w:rPr>
        <w:t>absence de l</w:t>
      </w:r>
      <w:r w:rsidR="0068586D">
        <w:rPr>
          <w:lang w:val="fr-FR"/>
        </w:rPr>
        <w:t>’</w:t>
      </w:r>
      <w:r w:rsidRPr="00E85000">
        <w:rPr>
          <w:lang w:val="fr-FR"/>
        </w:rPr>
        <w:t>ex</w:t>
      </w:r>
      <w:r w:rsidRPr="00E85000">
        <w:rPr>
          <w:lang w:val="fr-FR"/>
        </w:rPr>
        <w:noBreakHyphen/>
        <w:t>époux de son domicile, mais que ce retard n</w:t>
      </w:r>
      <w:r w:rsidR="0068586D">
        <w:rPr>
          <w:lang w:val="fr-FR"/>
        </w:rPr>
        <w:t>’</w:t>
      </w:r>
      <w:r w:rsidRPr="00E85000">
        <w:rPr>
          <w:lang w:val="fr-FR"/>
        </w:rPr>
        <w:t>a causé aucun préjudice à la requérante. Le Gouvernement ajoute que celle-ci n</w:t>
      </w:r>
      <w:r w:rsidR="0068586D">
        <w:rPr>
          <w:lang w:val="fr-FR"/>
        </w:rPr>
        <w:t>’</w:t>
      </w:r>
      <w:r w:rsidRPr="00E85000">
        <w:rPr>
          <w:lang w:val="fr-FR"/>
        </w:rPr>
        <w:t>a porté à la connaissance des autorités aucun incident étant survenu pendant la période couverte par l</w:t>
      </w:r>
      <w:r w:rsidR="0068586D">
        <w:rPr>
          <w:lang w:val="fr-FR"/>
        </w:rPr>
        <w:t>’</w:t>
      </w:r>
      <w:r w:rsidRPr="00E85000">
        <w:rPr>
          <w:lang w:val="fr-FR"/>
        </w:rPr>
        <w:t>ordonnance de protection (paragraphe 27 ci-dessus), que l</w:t>
      </w:r>
      <w:r w:rsidR="0068586D">
        <w:rPr>
          <w:lang w:val="fr-FR"/>
        </w:rPr>
        <w:t>’</w:t>
      </w:r>
      <w:r w:rsidRPr="00E85000">
        <w:rPr>
          <w:lang w:val="fr-FR"/>
        </w:rPr>
        <w:t>incident signalé par l</w:t>
      </w:r>
      <w:r w:rsidR="0068586D">
        <w:rPr>
          <w:lang w:val="fr-FR"/>
        </w:rPr>
        <w:t>’</w:t>
      </w:r>
      <w:r w:rsidRPr="00E85000">
        <w:rPr>
          <w:lang w:val="fr-FR"/>
        </w:rPr>
        <w:t>intéressée a eu lieu le 29 octobre 2015 (paragraphe 28 ci-dessus), soit en dehors de cette période, et qu</w:t>
      </w:r>
      <w:r w:rsidR="0068586D">
        <w:rPr>
          <w:lang w:val="fr-FR"/>
        </w:rPr>
        <w:t>’</w:t>
      </w:r>
      <w:r w:rsidRPr="00E85000">
        <w:rPr>
          <w:lang w:val="fr-FR"/>
        </w:rPr>
        <w:t>il a été dûment examiné.</w:t>
      </w:r>
    </w:p>
    <w:bookmarkStart w:name="Gouv_obs8" w:id="31"/>
    <w:p w:rsidRPr="00E85000" w:rsidR="00112A65" w:rsidP="00112A65" w:rsidRDefault="00112A65">
      <w:pPr>
        <w:pStyle w:val="ECHRPara"/>
        <w:rPr>
          <w:lang w:val="fr-FR"/>
        </w:rPr>
      </w:pPr>
      <w:r w:rsidRPr="00E85000">
        <w:rPr>
          <w:lang w:val="fr-FR"/>
        </w:rPr>
        <w:fldChar w:fldCharType="begin"/>
      </w:r>
      <w:r w:rsidRPr="00E85000">
        <w:rPr>
          <w:lang w:val="fr-FR"/>
        </w:rPr>
        <w:instrText xml:space="preserve"> SEQ level0 \*arabic </w:instrText>
      </w:r>
      <w:r w:rsidRPr="00E85000">
        <w:rPr>
          <w:lang w:val="fr-FR"/>
        </w:rPr>
        <w:fldChar w:fldCharType="separate"/>
      </w:r>
      <w:r w:rsidRPr="00E85000">
        <w:rPr>
          <w:noProof/>
          <w:lang w:val="fr-FR"/>
        </w:rPr>
        <w:t>59</w:t>
      </w:r>
      <w:r w:rsidRPr="00E85000">
        <w:rPr>
          <w:lang w:val="fr-FR"/>
        </w:rPr>
        <w:fldChar w:fldCharType="end"/>
      </w:r>
      <w:bookmarkEnd w:id="31"/>
      <w:r w:rsidRPr="00E85000">
        <w:rPr>
          <w:lang w:val="fr-FR"/>
        </w:rPr>
        <w:t>.  Enfin, le Gouvernement indique que l</w:t>
      </w:r>
      <w:r w:rsidR="0068586D">
        <w:rPr>
          <w:lang w:val="fr-FR"/>
        </w:rPr>
        <w:t>’</w:t>
      </w:r>
      <w:r w:rsidRPr="00E85000">
        <w:rPr>
          <w:lang w:val="fr-FR"/>
        </w:rPr>
        <w:t>État roumain a respecté ses obligations positives en réglementant l</w:t>
      </w:r>
      <w:r w:rsidR="0068586D">
        <w:rPr>
          <w:lang w:val="fr-FR"/>
        </w:rPr>
        <w:t>’</w:t>
      </w:r>
      <w:r w:rsidRPr="00E85000">
        <w:rPr>
          <w:lang w:val="fr-FR"/>
        </w:rPr>
        <w:t>infraction de violation du secret de la correspondance. Il explique le choix du législateur de conditionner le déclenchement de l</w:t>
      </w:r>
      <w:r w:rsidR="0068586D">
        <w:rPr>
          <w:lang w:val="fr-FR"/>
        </w:rPr>
        <w:t>’</w:t>
      </w:r>
      <w:r w:rsidRPr="00E85000">
        <w:rPr>
          <w:lang w:val="fr-FR"/>
        </w:rPr>
        <w:t>action pénale à la plainte préalable de la partie lésée par le souci de ménager aux victimes le droit de décider ou non de rendre publics, dans le cadre de procédures judiciaires,</w:t>
      </w:r>
      <w:r w:rsidRPr="00E85000" w:rsidDel="002938C9">
        <w:rPr>
          <w:lang w:val="fr-FR"/>
        </w:rPr>
        <w:t xml:space="preserve"> </w:t>
      </w:r>
      <w:r w:rsidRPr="00E85000">
        <w:rPr>
          <w:lang w:val="fr-FR"/>
        </w:rPr>
        <w:t>des aspects tenant à leur vie privée. Il expose que le délai de trois mois pour former une plainte préalable est adéquat et suffisant et que les conditions formelles exigées pour cette plainte ne sont pas excessives. Il indique que, en l</w:t>
      </w:r>
      <w:r w:rsidR="0068586D">
        <w:rPr>
          <w:lang w:val="fr-FR"/>
        </w:rPr>
        <w:t>’</w:t>
      </w:r>
      <w:r w:rsidRPr="00E85000">
        <w:rPr>
          <w:lang w:val="fr-FR"/>
        </w:rPr>
        <w:t>espèce, la requérante a formé sa plainte en dehors du délai de trois mois et que, de plus, elle ne s</w:t>
      </w:r>
      <w:r w:rsidR="0068586D">
        <w:rPr>
          <w:lang w:val="fr-FR"/>
        </w:rPr>
        <w:t>’</w:t>
      </w:r>
      <w:r w:rsidRPr="00E85000">
        <w:rPr>
          <w:lang w:val="fr-FR"/>
        </w:rPr>
        <w:t>est pas prévalue de la possibilité de saisir les tribunaux d</w:t>
      </w:r>
      <w:r w:rsidR="0068586D">
        <w:rPr>
          <w:lang w:val="fr-FR"/>
        </w:rPr>
        <w:t>’</w:t>
      </w:r>
      <w:r w:rsidRPr="00E85000">
        <w:rPr>
          <w:lang w:val="fr-FR"/>
        </w:rPr>
        <w:t>une action civile à l</w:t>
      </w:r>
      <w:r w:rsidR="0068586D">
        <w:rPr>
          <w:lang w:val="fr-FR"/>
        </w:rPr>
        <w:t>’</w:t>
      </w:r>
      <w:r w:rsidRPr="00E85000">
        <w:rPr>
          <w:lang w:val="fr-FR"/>
        </w:rPr>
        <w:t>encontre de son ex-époux (paragraphe 49 ci-dessus).</w:t>
      </w:r>
    </w:p>
    <w:p w:rsidRPr="00E85000" w:rsidR="00112A65" w:rsidP="00112A65" w:rsidRDefault="00112A65">
      <w:pPr>
        <w:pStyle w:val="ECHRHeading3"/>
        <w:rPr>
          <w:lang w:val="fr-FR"/>
        </w:rPr>
      </w:pPr>
      <w:r w:rsidRPr="00E85000">
        <w:rPr>
          <w:lang w:val="fr-FR"/>
        </w:rPr>
        <w:t>2.  Appréciation de la Cour</w:t>
      </w:r>
    </w:p>
    <w:p w:rsidRPr="00E85000" w:rsidR="00112A65" w:rsidP="00112A65" w:rsidRDefault="00112A65">
      <w:pPr>
        <w:pStyle w:val="ECHRHeading4"/>
        <w:rPr>
          <w:lang w:val="fr-FR"/>
        </w:rPr>
      </w:pPr>
      <w:r w:rsidRPr="00E85000">
        <w:rPr>
          <w:lang w:val="fr-FR"/>
        </w:rPr>
        <w:t>a)  Principes généraux</w:t>
      </w:r>
    </w:p>
    <w:p w:rsidRPr="00E85000" w:rsidR="00112A65" w:rsidP="00112A65" w:rsidRDefault="00112A65">
      <w:pPr>
        <w:pStyle w:val="ECHRPara"/>
        <w:rPr>
          <w:lang w:val="fr-FR"/>
        </w:rPr>
      </w:pPr>
      <w:r w:rsidRPr="00E85000">
        <w:rPr>
          <w:lang w:val="fr-FR"/>
        </w:rPr>
        <w:fldChar w:fldCharType="begin"/>
      </w:r>
      <w:r w:rsidRPr="00E85000">
        <w:rPr>
          <w:lang w:val="fr-FR"/>
        </w:rPr>
        <w:instrText xml:space="preserve"> SEQ level0 \*arabic </w:instrText>
      </w:r>
      <w:r w:rsidRPr="00E85000">
        <w:rPr>
          <w:lang w:val="fr-FR"/>
        </w:rPr>
        <w:fldChar w:fldCharType="separate"/>
      </w:r>
      <w:r w:rsidRPr="00E85000">
        <w:rPr>
          <w:noProof/>
          <w:lang w:val="fr-FR"/>
        </w:rPr>
        <w:t>60</w:t>
      </w:r>
      <w:r w:rsidRPr="00E85000">
        <w:rPr>
          <w:lang w:val="fr-FR"/>
        </w:rPr>
        <w:fldChar w:fldCharType="end"/>
      </w:r>
      <w:r w:rsidRPr="00E85000">
        <w:rPr>
          <w:lang w:val="fr-FR"/>
        </w:rPr>
        <w:t>.  La Cour rappelle que, combinée avec l</w:t>
      </w:r>
      <w:r w:rsidR="0068586D">
        <w:rPr>
          <w:lang w:val="fr-FR"/>
        </w:rPr>
        <w:t>’</w:t>
      </w:r>
      <w:r w:rsidRPr="00E85000">
        <w:rPr>
          <w:lang w:val="fr-FR"/>
        </w:rPr>
        <w:t>article 3 de la Convention, l</w:t>
      </w:r>
      <w:r w:rsidR="0068586D">
        <w:rPr>
          <w:lang w:val="fr-FR"/>
        </w:rPr>
        <w:t>’</w:t>
      </w:r>
      <w:r w:rsidRPr="00E85000">
        <w:rPr>
          <w:lang w:val="fr-FR"/>
        </w:rPr>
        <w:t>obligation que l</w:t>
      </w:r>
      <w:r w:rsidR="0068586D">
        <w:rPr>
          <w:lang w:val="fr-FR"/>
        </w:rPr>
        <w:t>’</w:t>
      </w:r>
      <w:r w:rsidRPr="00E85000">
        <w:rPr>
          <w:lang w:val="fr-FR"/>
        </w:rPr>
        <w:t>article 1 de la Convention impose aux Hautes Parties contractantes de garantir à toute personne relevant de leur juridiction les droits et libertés consacrés par la Convention leur commande de prendre des mesures propres à empêcher que lesdites personnes ne soient soumises à des tortures, à des traitements ou à des châtiments inhumains ou dégradants, même administrés par des particuliers. Les enfants et autres personnes vulnérables en particulier, dont font partie les victimes de violences domestiques, ont droit à la protection de l</w:t>
      </w:r>
      <w:r w:rsidR="0068586D">
        <w:rPr>
          <w:lang w:val="fr-FR"/>
        </w:rPr>
        <w:t>’</w:t>
      </w:r>
      <w:r w:rsidRPr="00E85000">
        <w:rPr>
          <w:lang w:val="fr-FR"/>
        </w:rPr>
        <w:t>État, sous la forme d</w:t>
      </w:r>
      <w:r w:rsidR="0068586D">
        <w:rPr>
          <w:lang w:val="fr-FR"/>
        </w:rPr>
        <w:t>’</w:t>
      </w:r>
      <w:r w:rsidRPr="00E85000">
        <w:rPr>
          <w:lang w:val="fr-FR"/>
        </w:rPr>
        <w:t>une prévention efficace, les mettant à l</w:t>
      </w:r>
      <w:r w:rsidR="0068586D">
        <w:rPr>
          <w:lang w:val="fr-FR"/>
        </w:rPr>
        <w:t>’</w:t>
      </w:r>
      <w:r w:rsidRPr="00E85000">
        <w:rPr>
          <w:lang w:val="fr-FR"/>
        </w:rPr>
        <w:t>abri de formes aussi graves d</w:t>
      </w:r>
      <w:r w:rsidR="0068586D">
        <w:rPr>
          <w:lang w:val="fr-FR"/>
        </w:rPr>
        <w:t>’</w:t>
      </w:r>
      <w:r w:rsidRPr="00E85000">
        <w:rPr>
          <w:lang w:val="fr-FR"/>
        </w:rPr>
        <w:t>atteinte à l</w:t>
      </w:r>
      <w:r w:rsidR="0068586D">
        <w:rPr>
          <w:lang w:val="fr-FR"/>
        </w:rPr>
        <w:t>’</w:t>
      </w:r>
      <w:r w:rsidRPr="00E85000">
        <w:rPr>
          <w:lang w:val="fr-FR"/>
        </w:rPr>
        <w:t>intégrité de la personne (</w:t>
      </w:r>
      <w:proofErr w:type="spellStart"/>
      <w:r w:rsidRPr="00E85000">
        <w:rPr>
          <w:i/>
          <w:lang w:val="fr-FR"/>
        </w:rPr>
        <w:t>Opuz</w:t>
      </w:r>
      <w:proofErr w:type="spellEnd"/>
      <w:r w:rsidRPr="00E85000">
        <w:rPr>
          <w:i/>
          <w:lang w:val="fr-FR"/>
        </w:rPr>
        <w:t xml:space="preserve"> c. Turquie</w:t>
      </w:r>
      <w:r w:rsidRPr="00E85000">
        <w:rPr>
          <w:lang w:val="fr-FR"/>
        </w:rPr>
        <w:t>, n</w:t>
      </w:r>
      <w:r w:rsidRPr="00E85000">
        <w:rPr>
          <w:vertAlign w:val="superscript"/>
          <w:lang w:val="fr-FR"/>
        </w:rPr>
        <w:t>o</w:t>
      </w:r>
      <w:r w:rsidRPr="00E85000">
        <w:rPr>
          <w:lang w:val="fr-FR"/>
        </w:rPr>
        <w:t xml:space="preserve"> 33401/02, § 159, CEDH 2009, et </w:t>
      </w:r>
      <w:proofErr w:type="spellStart"/>
      <w:r w:rsidRPr="00E85000">
        <w:rPr>
          <w:i/>
          <w:lang w:val="fr-FR"/>
        </w:rPr>
        <w:t>Bălşan</w:t>
      </w:r>
      <w:proofErr w:type="spellEnd"/>
      <w:r w:rsidRPr="00E85000">
        <w:rPr>
          <w:lang w:val="fr-FR"/>
        </w:rPr>
        <w:t>, précité, § 57). Ces obligations positives, qui se chevauchent souvent, consistent en : a) l</w:t>
      </w:r>
      <w:r w:rsidR="0068586D">
        <w:rPr>
          <w:lang w:val="fr-FR"/>
        </w:rPr>
        <w:t>’</w:t>
      </w:r>
      <w:r w:rsidRPr="00E85000">
        <w:rPr>
          <w:lang w:val="fr-FR"/>
        </w:rPr>
        <w:t>obligation de prendre des mesures raisonnables dans le but de prévenir les mauvais traitements dont les autorités avaient ou auraient dû avoir connaissance, et b) l</w:t>
      </w:r>
      <w:r w:rsidR="0068586D">
        <w:rPr>
          <w:lang w:val="fr-FR"/>
        </w:rPr>
        <w:t>’</w:t>
      </w:r>
      <w:r w:rsidRPr="00E85000">
        <w:rPr>
          <w:lang w:val="fr-FR"/>
        </w:rPr>
        <w:t>obligation procédurale de mener une enquête effective lorsqu</w:t>
      </w:r>
      <w:r w:rsidR="0068586D">
        <w:rPr>
          <w:lang w:val="fr-FR"/>
        </w:rPr>
        <w:t>’</w:t>
      </w:r>
      <w:r w:rsidRPr="00E85000">
        <w:rPr>
          <w:lang w:val="fr-FR"/>
        </w:rPr>
        <w:t>un individu fait valoir un grief défendable d</w:t>
      </w:r>
      <w:r w:rsidR="0068586D">
        <w:rPr>
          <w:lang w:val="fr-FR"/>
        </w:rPr>
        <w:t>’</w:t>
      </w:r>
      <w:r w:rsidRPr="00E85000">
        <w:rPr>
          <w:lang w:val="fr-FR"/>
        </w:rPr>
        <w:t>avoir subi des mauvais traitements (</w:t>
      </w:r>
      <w:proofErr w:type="spellStart"/>
      <w:r w:rsidRPr="00E85000">
        <w:rPr>
          <w:i/>
          <w:lang w:val="fr-FR"/>
        </w:rPr>
        <w:t>Bălşan</w:t>
      </w:r>
      <w:proofErr w:type="spellEnd"/>
      <w:r w:rsidRPr="00E85000">
        <w:rPr>
          <w:lang w:val="fr-FR"/>
        </w:rPr>
        <w:t>, précité, § 57).</w:t>
      </w:r>
    </w:p>
    <w:p w:rsidRPr="00E85000" w:rsidR="00112A65" w:rsidP="00112A65" w:rsidRDefault="00112A65">
      <w:pPr>
        <w:pStyle w:val="ECHRPara"/>
        <w:rPr>
          <w:snapToGrid w:val="0"/>
          <w:lang w:val="fr-FR"/>
        </w:rPr>
      </w:pPr>
      <w:r w:rsidRPr="00E85000">
        <w:rPr>
          <w:lang w:val="fr-FR"/>
        </w:rPr>
        <w:fldChar w:fldCharType="begin"/>
      </w:r>
      <w:r w:rsidRPr="00E85000">
        <w:rPr>
          <w:lang w:val="fr-FR"/>
        </w:rPr>
        <w:instrText xml:space="preserve"> SEQ level0 \*arabic </w:instrText>
      </w:r>
      <w:r w:rsidRPr="00E85000">
        <w:rPr>
          <w:lang w:val="fr-FR"/>
        </w:rPr>
        <w:fldChar w:fldCharType="separate"/>
      </w:r>
      <w:r w:rsidRPr="00E85000">
        <w:rPr>
          <w:noProof/>
          <w:lang w:val="fr-FR"/>
        </w:rPr>
        <w:t>61</w:t>
      </w:r>
      <w:r w:rsidRPr="00E85000">
        <w:rPr>
          <w:lang w:val="fr-FR"/>
        </w:rPr>
        <w:fldChar w:fldCharType="end"/>
      </w:r>
      <w:r w:rsidRPr="00E85000">
        <w:rPr>
          <w:lang w:val="fr-FR"/>
        </w:rPr>
        <w:t>.  Pour que l</w:t>
      </w:r>
      <w:r w:rsidR="0068586D">
        <w:rPr>
          <w:lang w:val="fr-FR"/>
        </w:rPr>
        <w:t>’</w:t>
      </w:r>
      <w:r w:rsidRPr="00E85000">
        <w:rPr>
          <w:lang w:val="fr-FR"/>
        </w:rPr>
        <w:t>on puisse parler d</w:t>
      </w:r>
      <w:r w:rsidR="0068586D">
        <w:rPr>
          <w:lang w:val="fr-FR"/>
        </w:rPr>
        <w:t>’</w:t>
      </w:r>
      <w:r w:rsidRPr="00E85000">
        <w:rPr>
          <w:lang w:val="fr-FR"/>
        </w:rPr>
        <w:t>une obligation positive, il doit être établi que les autorités avaient ou auraient dû avoir connaissance à l</w:t>
      </w:r>
      <w:r w:rsidR="0068586D">
        <w:rPr>
          <w:lang w:val="fr-FR"/>
        </w:rPr>
        <w:t>’</w:t>
      </w:r>
      <w:r w:rsidRPr="00E85000">
        <w:rPr>
          <w:lang w:val="fr-FR"/>
        </w:rPr>
        <w:t>époque de l</w:t>
      </w:r>
      <w:r w:rsidR="0068586D">
        <w:rPr>
          <w:lang w:val="fr-FR"/>
        </w:rPr>
        <w:t>’</w:t>
      </w:r>
      <w:r w:rsidRPr="00E85000">
        <w:rPr>
          <w:lang w:val="fr-FR"/>
        </w:rPr>
        <w:t>existence d</w:t>
      </w:r>
      <w:r w:rsidR="0068586D">
        <w:rPr>
          <w:lang w:val="fr-FR"/>
        </w:rPr>
        <w:t>’</w:t>
      </w:r>
      <w:r w:rsidRPr="00E85000">
        <w:rPr>
          <w:lang w:val="fr-FR"/>
        </w:rPr>
        <w:t>un risque réel et immédiat pour un individu identifié de subir des mauvais traitements du fait des actes criminels d</w:t>
      </w:r>
      <w:r w:rsidR="0068586D">
        <w:rPr>
          <w:lang w:val="fr-FR"/>
        </w:rPr>
        <w:t>’</w:t>
      </w:r>
      <w:r w:rsidRPr="00E85000">
        <w:rPr>
          <w:lang w:val="fr-FR"/>
        </w:rPr>
        <w:t>un tiers et qu</w:t>
      </w:r>
      <w:r w:rsidR="0068586D">
        <w:rPr>
          <w:lang w:val="fr-FR"/>
        </w:rPr>
        <w:t>’</w:t>
      </w:r>
      <w:r w:rsidRPr="00E85000">
        <w:rPr>
          <w:lang w:val="fr-FR"/>
        </w:rPr>
        <w:t>elles sont restées en défaut de prendre, dans le cadre de leurs pouvoirs, des mesures qui auraient raisonnablement pu être réputées de nature à éviter ce risque (</w:t>
      </w:r>
      <w:proofErr w:type="spellStart"/>
      <w:r w:rsidRPr="00E85000">
        <w:rPr>
          <w:i/>
          <w:lang w:val="fr-FR"/>
        </w:rPr>
        <w:t>Đorđević</w:t>
      </w:r>
      <w:proofErr w:type="spellEnd"/>
      <w:r w:rsidRPr="00E85000">
        <w:rPr>
          <w:i/>
          <w:lang w:val="fr-FR"/>
        </w:rPr>
        <w:t xml:space="preserve"> c. Croatie</w:t>
      </w:r>
      <w:r w:rsidRPr="00E85000">
        <w:rPr>
          <w:lang w:val="fr-FR"/>
        </w:rPr>
        <w:t>, n</w:t>
      </w:r>
      <w:r w:rsidRPr="00E85000">
        <w:rPr>
          <w:vertAlign w:val="superscript"/>
          <w:lang w:val="fr-FR"/>
        </w:rPr>
        <w:t>o</w:t>
      </w:r>
      <w:r w:rsidRPr="00E85000">
        <w:rPr>
          <w:lang w:val="fr-FR"/>
        </w:rPr>
        <w:t xml:space="preserve"> 41526/10, § 139, </w:t>
      </w:r>
      <w:r w:rsidRPr="00E85000">
        <w:rPr>
          <w:snapToGrid w:val="0"/>
          <w:lang w:val="fr-FR"/>
        </w:rPr>
        <w:t>CEDH 2012). De plus, la Cour a jugé que les États ont une obligation positive d</w:t>
      </w:r>
      <w:r w:rsidR="0068586D">
        <w:rPr>
          <w:snapToGrid w:val="0"/>
          <w:lang w:val="fr-FR"/>
        </w:rPr>
        <w:t>’</w:t>
      </w:r>
      <w:r w:rsidRPr="00E85000">
        <w:rPr>
          <w:snapToGrid w:val="0"/>
          <w:lang w:val="fr-FR"/>
        </w:rPr>
        <w:t>établir et d</w:t>
      </w:r>
      <w:r w:rsidR="0068586D">
        <w:rPr>
          <w:snapToGrid w:val="0"/>
          <w:lang w:val="fr-FR"/>
        </w:rPr>
        <w:t>’</w:t>
      </w:r>
      <w:r w:rsidRPr="00E85000">
        <w:rPr>
          <w:snapToGrid w:val="0"/>
          <w:lang w:val="fr-FR"/>
        </w:rPr>
        <w:t>appliquer effectivement un système de répression de toute forme de violence conjugale et d</w:t>
      </w:r>
      <w:r w:rsidR="0068586D">
        <w:rPr>
          <w:snapToGrid w:val="0"/>
          <w:lang w:val="fr-FR"/>
        </w:rPr>
        <w:t>’</w:t>
      </w:r>
      <w:r w:rsidRPr="00E85000">
        <w:rPr>
          <w:snapToGrid w:val="0"/>
          <w:lang w:val="fr-FR"/>
        </w:rPr>
        <w:t>offrir des garanties procédurales suffisantes aux victimes (</w:t>
      </w:r>
      <w:proofErr w:type="spellStart"/>
      <w:r w:rsidRPr="00E85000">
        <w:rPr>
          <w:i/>
          <w:snapToGrid w:val="0"/>
          <w:lang w:val="fr-FR"/>
        </w:rPr>
        <w:t>Opuz</w:t>
      </w:r>
      <w:proofErr w:type="spellEnd"/>
      <w:r w:rsidRPr="00E85000">
        <w:rPr>
          <w:snapToGrid w:val="0"/>
          <w:lang w:val="fr-FR"/>
        </w:rPr>
        <w:t xml:space="preserve">, précité, § 145, et </w:t>
      </w:r>
      <w:proofErr w:type="spellStart"/>
      <w:r w:rsidRPr="00E85000">
        <w:rPr>
          <w:i/>
          <w:snapToGrid w:val="0"/>
          <w:lang w:val="fr-FR"/>
        </w:rPr>
        <w:t>Bălşan</w:t>
      </w:r>
      <w:proofErr w:type="spellEnd"/>
      <w:r w:rsidRPr="00E85000">
        <w:rPr>
          <w:snapToGrid w:val="0"/>
          <w:lang w:val="fr-FR"/>
        </w:rPr>
        <w:t xml:space="preserve">, précité, § 57 </w:t>
      </w:r>
      <w:r w:rsidRPr="00E85000">
        <w:rPr>
          <w:i/>
          <w:snapToGrid w:val="0"/>
          <w:lang w:val="fr-FR"/>
        </w:rPr>
        <w:t>in fine</w:t>
      </w:r>
      <w:r w:rsidRPr="00E85000">
        <w:rPr>
          <w:snapToGrid w:val="0"/>
          <w:lang w:val="fr-FR"/>
        </w:rPr>
        <w:t>).</w:t>
      </w:r>
    </w:p>
    <w:p w:rsidRPr="00E85000" w:rsidR="00112A65" w:rsidP="00112A65" w:rsidRDefault="00112A65">
      <w:pPr>
        <w:pStyle w:val="ECHRPara"/>
        <w:rPr>
          <w:snapToGrid w:val="0"/>
          <w:lang w:val="fr-FR"/>
        </w:rPr>
      </w:pPr>
      <w:r w:rsidRPr="00E85000">
        <w:rPr>
          <w:snapToGrid w:val="0"/>
          <w:lang w:val="fr-FR"/>
        </w:rPr>
        <w:fldChar w:fldCharType="begin"/>
      </w:r>
      <w:r w:rsidRPr="00E85000">
        <w:rPr>
          <w:snapToGrid w:val="0"/>
          <w:lang w:val="fr-FR"/>
        </w:rPr>
        <w:instrText xml:space="preserve"> SEQ level0 \*arabic </w:instrText>
      </w:r>
      <w:r w:rsidRPr="00E85000">
        <w:rPr>
          <w:snapToGrid w:val="0"/>
          <w:lang w:val="fr-FR"/>
        </w:rPr>
        <w:fldChar w:fldCharType="separate"/>
      </w:r>
      <w:r w:rsidRPr="00E85000">
        <w:rPr>
          <w:noProof/>
          <w:snapToGrid w:val="0"/>
          <w:lang w:val="fr-FR"/>
        </w:rPr>
        <w:t>62</w:t>
      </w:r>
      <w:r w:rsidRPr="00E85000">
        <w:rPr>
          <w:snapToGrid w:val="0"/>
          <w:lang w:val="fr-FR"/>
        </w:rPr>
        <w:fldChar w:fldCharType="end"/>
      </w:r>
      <w:r w:rsidRPr="00E85000">
        <w:rPr>
          <w:snapToGrid w:val="0"/>
          <w:lang w:val="fr-FR"/>
        </w:rPr>
        <w:t>.  Elle rappelle également que, si l</w:t>
      </w:r>
      <w:r w:rsidR="0068586D">
        <w:rPr>
          <w:snapToGrid w:val="0"/>
          <w:lang w:val="fr-FR"/>
        </w:rPr>
        <w:t>’</w:t>
      </w:r>
      <w:r w:rsidRPr="00E85000">
        <w:rPr>
          <w:snapToGrid w:val="0"/>
          <w:lang w:val="fr-FR"/>
        </w:rPr>
        <w:t>article 8 de la Convention a essentiellement pour objet de prémunir l</w:t>
      </w:r>
      <w:r w:rsidR="0068586D">
        <w:rPr>
          <w:snapToGrid w:val="0"/>
          <w:lang w:val="fr-FR"/>
        </w:rPr>
        <w:t>’</w:t>
      </w:r>
      <w:r w:rsidRPr="00E85000">
        <w:rPr>
          <w:snapToGrid w:val="0"/>
          <w:lang w:val="fr-FR"/>
        </w:rPr>
        <w:t>individu contre des ingérences arbitraires des pouvoirs publics, il peut également imposer à l</w:t>
      </w:r>
      <w:r w:rsidR="0068586D">
        <w:rPr>
          <w:snapToGrid w:val="0"/>
          <w:lang w:val="fr-FR"/>
        </w:rPr>
        <w:t>’</w:t>
      </w:r>
      <w:r w:rsidRPr="00E85000">
        <w:rPr>
          <w:snapToGrid w:val="0"/>
          <w:lang w:val="fr-FR"/>
        </w:rPr>
        <w:t>État des obligations positives inhérentes à un respect effectif des droits qu</w:t>
      </w:r>
      <w:r w:rsidR="0068586D">
        <w:rPr>
          <w:snapToGrid w:val="0"/>
          <w:lang w:val="fr-FR"/>
        </w:rPr>
        <w:t>’</w:t>
      </w:r>
      <w:r w:rsidRPr="00E85000">
        <w:rPr>
          <w:snapToGrid w:val="0"/>
          <w:lang w:val="fr-FR"/>
        </w:rPr>
        <w:t>il garantit (</w:t>
      </w:r>
      <w:proofErr w:type="spellStart"/>
      <w:r w:rsidRPr="00E85000">
        <w:rPr>
          <w:i/>
          <w:snapToGrid w:val="0"/>
          <w:lang w:val="fr-FR"/>
        </w:rPr>
        <w:t>Bărbulescu</w:t>
      </w:r>
      <w:proofErr w:type="spellEnd"/>
      <w:r w:rsidRPr="00E85000">
        <w:rPr>
          <w:i/>
          <w:snapToGrid w:val="0"/>
          <w:lang w:val="fr-FR"/>
        </w:rPr>
        <w:t xml:space="preserve"> c. Roumanie</w:t>
      </w:r>
      <w:r w:rsidRPr="00E85000">
        <w:rPr>
          <w:snapToGrid w:val="0"/>
          <w:lang w:val="fr-FR"/>
        </w:rPr>
        <w:t xml:space="preserve"> [GC], n</w:t>
      </w:r>
      <w:r w:rsidRPr="00E85000">
        <w:rPr>
          <w:snapToGrid w:val="0"/>
          <w:vertAlign w:val="superscript"/>
          <w:lang w:val="fr-FR"/>
        </w:rPr>
        <w:t>o</w:t>
      </w:r>
      <w:r w:rsidRPr="00E85000">
        <w:rPr>
          <w:snapToGrid w:val="0"/>
          <w:lang w:val="fr-FR"/>
        </w:rPr>
        <w:t xml:space="preserve"> 61496/08, § 108 </w:t>
      </w:r>
      <w:r w:rsidRPr="00E85000">
        <w:rPr>
          <w:i/>
          <w:snapToGrid w:val="0"/>
          <w:lang w:val="fr-FR"/>
        </w:rPr>
        <w:t>in fine</w:t>
      </w:r>
      <w:r w:rsidRPr="00E85000">
        <w:rPr>
          <w:snapToGrid w:val="0"/>
          <w:lang w:val="fr-FR"/>
        </w:rPr>
        <w:t>, 5 septembre 2017 (extraits)). Le choix des mesures propres à garantir l</w:t>
      </w:r>
      <w:r w:rsidR="0068586D">
        <w:rPr>
          <w:snapToGrid w:val="0"/>
          <w:lang w:val="fr-FR"/>
        </w:rPr>
        <w:t>’</w:t>
      </w:r>
      <w:r w:rsidRPr="00E85000">
        <w:rPr>
          <w:snapToGrid w:val="0"/>
          <w:lang w:val="fr-FR"/>
        </w:rPr>
        <w:t>observation de l</w:t>
      </w:r>
      <w:r w:rsidR="0068586D">
        <w:rPr>
          <w:snapToGrid w:val="0"/>
          <w:lang w:val="fr-FR"/>
        </w:rPr>
        <w:t>’</w:t>
      </w:r>
      <w:r w:rsidRPr="00E85000">
        <w:rPr>
          <w:snapToGrid w:val="0"/>
          <w:lang w:val="fr-FR"/>
        </w:rPr>
        <w:t>article 8 de la Convention dans les rapports interindividuels relève en principe de la marge d</w:t>
      </w:r>
      <w:r w:rsidR="0068586D">
        <w:rPr>
          <w:snapToGrid w:val="0"/>
          <w:lang w:val="fr-FR"/>
        </w:rPr>
        <w:t>’</w:t>
      </w:r>
      <w:r w:rsidRPr="00E85000">
        <w:rPr>
          <w:snapToGrid w:val="0"/>
          <w:lang w:val="fr-FR"/>
        </w:rPr>
        <w:t>appréciation des États contractants. Il existe en effet différentes manières d</w:t>
      </w:r>
      <w:r w:rsidR="0068586D">
        <w:rPr>
          <w:snapToGrid w:val="0"/>
          <w:lang w:val="fr-FR"/>
        </w:rPr>
        <w:t>’</w:t>
      </w:r>
      <w:r w:rsidRPr="00E85000">
        <w:rPr>
          <w:snapToGrid w:val="0"/>
          <w:lang w:val="fr-FR"/>
        </w:rPr>
        <w:t>assurer le respect de la vie privée, et la nature de l</w:t>
      </w:r>
      <w:r w:rsidR="0068586D">
        <w:rPr>
          <w:snapToGrid w:val="0"/>
          <w:lang w:val="fr-FR"/>
        </w:rPr>
        <w:t>’</w:t>
      </w:r>
      <w:r w:rsidRPr="00E85000">
        <w:rPr>
          <w:snapToGrid w:val="0"/>
          <w:lang w:val="fr-FR"/>
        </w:rPr>
        <w:t>obligation de l</w:t>
      </w:r>
      <w:r w:rsidR="0068586D">
        <w:rPr>
          <w:snapToGrid w:val="0"/>
          <w:lang w:val="fr-FR"/>
        </w:rPr>
        <w:t>’</w:t>
      </w:r>
      <w:r w:rsidRPr="00E85000">
        <w:rPr>
          <w:snapToGrid w:val="0"/>
          <w:lang w:val="fr-FR"/>
        </w:rPr>
        <w:t>État dépend de l</w:t>
      </w:r>
      <w:r w:rsidR="0068586D">
        <w:rPr>
          <w:snapToGrid w:val="0"/>
          <w:lang w:val="fr-FR"/>
        </w:rPr>
        <w:t>’</w:t>
      </w:r>
      <w:r w:rsidRPr="00E85000">
        <w:rPr>
          <w:snapToGrid w:val="0"/>
          <w:lang w:val="fr-FR"/>
        </w:rPr>
        <w:t>aspect de la vie privée qui se trouve en cause (</w:t>
      </w:r>
      <w:proofErr w:type="spellStart"/>
      <w:r w:rsidRPr="00E85000">
        <w:rPr>
          <w:i/>
          <w:snapToGrid w:val="0"/>
          <w:lang w:val="fr-FR"/>
        </w:rPr>
        <w:t>Söderman</w:t>
      </w:r>
      <w:proofErr w:type="spellEnd"/>
      <w:r w:rsidRPr="00E85000">
        <w:rPr>
          <w:i/>
          <w:snapToGrid w:val="0"/>
          <w:lang w:val="fr-FR"/>
        </w:rPr>
        <w:t xml:space="preserve"> c. Suède</w:t>
      </w:r>
      <w:r w:rsidRPr="00E85000">
        <w:rPr>
          <w:snapToGrid w:val="0"/>
          <w:lang w:val="fr-FR"/>
        </w:rPr>
        <w:t xml:space="preserve"> [GC], n</w:t>
      </w:r>
      <w:r w:rsidRPr="00E85000">
        <w:rPr>
          <w:snapToGrid w:val="0"/>
          <w:vertAlign w:val="superscript"/>
          <w:lang w:val="fr-FR"/>
        </w:rPr>
        <w:t>o</w:t>
      </w:r>
      <w:r w:rsidRPr="00E85000">
        <w:rPr>
          <w:snapToGrid w:val="0"/>
          <w:lang w:val="fr-FR"/>
        </w:rPr>
        <w:t xml:space="preserve"> 5786/08, § 79, CEDH 2013, avec les références citées).</w:t>
      </w:r>
    </w:p>
    <w:p w:rsidRPr="00E85000" w:rsidR="00112A65" w:rsidP="00112A65" w:rsidRDefault="00112A65">
      <w:pPr>
        <w:pStyle w:val="ECHRHeading4"/>
        <w:rPr>
          <w:lang w:val="fr-FR"/>
        </w:rPr>
      </w:pPr>
      <w:r w:rsidRPr="00E85000">
        <w:rPr>
          <w:lang w:val="fr-FR"/>
        </w:rPr>
        <w:t>b)  Application des principes généraux au cas d</w:t>
      </w:r>
      <w:r w:rsidR="0068586D">
        <w:rPr>
          <w:lang w:val="fr-FR"/>
        </w:rPr>
        <w:t>’</w:t>
      </w:r>
      <w:r w:rsidRPr="00E85000">
        <w:rPr>
          <w:lang w:val="fr-FR"/>
        </w:rPr>
        <w:t>espèce</w:t>
      </w:r>
    </w:p>
    <w:bookmarkStart w:name="para_51" w:id="32"/>
    <w:p w:rsidRPr="00E85000" w:rsidR="00112A65" w:rsidP="00112A65" w:rsidRDefault="00112A65">
      <w:pPr>
        <w:pStyle w:val="ECHRPara"/>
        <w:rPr>
          <w:lang w:val="fr-FR"/>
        </w:rPr>
      </w:pPr>
      <w:r w:rsidRPr="00E85000">
        <w:rPr>
          <w:lang w:val="fr-FR"/>
        </w:rPr>
        <w:fldChar w:fldCharType="begin"/>
      </w:r>
      <w:r w:rsidRPr="00E85000">
        <w:rPr>
          <w:lang w:val="fr-FR"/>
        </w:rPr>
        <w:instrText xml:space="preserve"> SEQ level0 \*arabic </w:instrText>
      </w:r>
      <w:r w:rsidRPr="00E85000">
        <w:rPr>
          <w:lang w:val="fr-FR"/>
        </w:rPr>
        <w:fldChar w:fldCharType="separate"/>
      </w:r>
      <w:r w:rsidRPr="00E85000">
        <w:rPr>
          <w:noProof/>
          <w:lang w:val="fr-FR"/>
        </w:rPr>
        <w:t>63</w:t>
      </w:r>
      <w:r w:rsidRPr="00E85000">
        <w:rPr>
          <w:lang w:val="fr-FR"/>
        </w:rPr>
        <w:fldChar w:fldCharType="end"/>
      </w:r>
      <w:bookmarkEnd w:id="32"/>
      <w:r w:rsidRPr="00E85000">
        <w:rPr>
          <w:lang w:val="fr-FR"/>
        </w:rPr>
        <w:t>.  Se tournant vers les faits de l</w:t>
      </w:r>
      <w:r w:rsidR="0068586D">
        <w:rPr>
          <w:lang w:val="fr-FR"/>
        </w:rPr>
        <w:t>’</w:t>
      </w:r>
      <w:r w:rsidRPr="00E85000">
        <w:rPr>
          <w:lang w:val="fr-FR"/>
        </w:rPr>
        <w:t>espèce, la Cour note que le Gouvernement ne conteste pas expressément l</w:t>
      </w:r>
      <w:r w:rsidR="0068586D">
        <w:rPr>
          <w:lang w:val="fr-FR"/>
        </w:rPr>
        <w:t>’</w:t>
      </w:r>
      <w:r w:rsidRPr="00E85000">
        <w:rPr>
          <w:lang w:val="fr-FR"/>
        </w:rPr>
        <w:t>applicabilité de l</w:t>
      </w:r>
      <w:r w:rsidR="0068586D">
        <w:rPr>
          <w:lang w:val="fr-FR"/>
        </w:rPr>
        <w:t>’</w:t>
      </w:r>
      <w:r w:rsidRPr="00E85000">
        <w:rPr>
          <w:lang w:val="fr-FR"/>
        </w:rPr>
        <w:t>article 3 de la Convention (paragraphe 57 ci</w:t>
      </w:r>
      <w:r w:rsidRPr="00E85000">
        <w:rPr>
          <w:lang w:val="fr-FR"/>
        </w:rPr>
        <w:noBreakHyphen/>
        <w:t xml:space="preserve">dessus). Elle </w:t>
      </w:r>
      <w:r>
        <w:rPr>
          <w:lang w:val="fr-FR"/>
        </w:rPr>
        <w:t>relève</w:t>
      </w:r>
      <w:r w:rsidRPr="00E85000">
        <w:rPr>
          <w:lang w:val="fr-FR"/>
        </w:rPr>
        <w:t xml:space="preserve"> qu</w:t>
      </w:r>
      <w:r w:rsidR="0068586D">
        <w:rPr>
          <w:lang w:val="fr-FR"/>
        </w:rPr>
        <w:t>’</w:t>
      </w:r>
      <w:r w:rsidRPr="00E85000">
        <w:rPr>
          <w:lang w:val="fr-FR"/>
        </w:rPr>
        <w:t>il n</w:t>
      </w:r>
      <w:r w:rsidR="0068586D">
        <w:rPr>
          <w:lang w:val="fr-FR"/>
        </w:rPr>
        <w:t>’</w:t>
      </w:r>
      <w:r w:rsidRPr="00E85000">
        <w:rPr>
          <w:lang w:val="fr-FR"/>
        </w:rPr>
        <w:t>est pas contesté non plus par le Gouvernement que le droit de la requérante au respect de sa vie privée et de sa correspondance, tel que garanti par l</w:t>
      </w:r>
      <w:r w:rsidR="0068586D">
        <w:rPr>
          <w:lang w:val="fr-FR"/>
        </w:rPr>
        <w:t>’</w:t>
      </w:r>
      <w:r w:rsidRPr="00E85000">
        <w:rPr>
          <w:lang w:val="fr-FR"/>
        </w:rPr>
        <w:t>article 8 de la Convention, entre en jeu. À cet égard, les arguments du Gouvernement visent plutôt à soutenir que les autorités nationales ont respecté leurs obligations positives au titre de la Convention, en mettant à la disposition de la requérante des recours aptes à faire examiner ses griefs et à lui accorder une réparation le cas échéant (paragraphes 49 et 59 ci-dessus).</w:t>
      </w:r>
    </w:p>
    <w:p w:rsidRPr="00E85000" w:rsidR="00112A65" w:rsidP="00112A65" w:rsidRDefault="00112A65">
      <w:pPr>
        <w:pStyle w:val="ECHRPara"/>
        <w:rPr>
          <w:lang w:val="fr-FR"/>
        </w:rPr>
      </w:pPr>
      <w:r w:rsidRPr="00E85000">
        <w:rPr>
          <w:lang w:val="fr-FR"/>
        </w:rPr>
        <w:fldChar w:fldCharType="begin"/>
      </w:r>
      <w:r w:rsidRPr="00E85000">
        <w:rPr>
          <w:lang w:val="fr-FR"/>
        </w:rPr>
        <w:instrText xml:space="preserve"> SEQ level0 \*arabic </w:instrText>
      </w:r>
      <w:r w:rsidRPr="00E85000">
        <w:rPr>
          <w:lang w:val="fr-FR"/>
        </w:rPr>
        <w:fldChar w:fldCharType="separate"/>
      </w:r>
      <w:r w:rsidRPr="00E85000">
        <w:rPr>
          <w:noProof/>
          <w:lang w:val="fr-FR"/>
        </w:rPr>
        <w:t>64</w:t>
      </w:r>
      <w:r w:rsidRPr="00E85000">
        <w:rPr>
          <w:lang w:val="fr-FR"/>
        </w:rPr>
        <w:fldChar w:fldCharType="end"/>
      </w:r>
      <w:r w:rsidRPr="00E85000">
        <w:rPr>
          <w:lang w:val="fr-FR"/>
        </w:rPr>
        <w:t>.  La Cour note ensuite que la requérante dénonce plusieurs défaillances du système de protection des victimes de la violence conjugale, qu</w:t>
      </w:r>
      <w:r w:rsidR="0068586D">
        <w:rPr>
          <w:lang w:val="fr-FR"/>
        </w:rPr>
        <w:t>’</w:t>
      </w:r>
      <w:r w:rsidRPr="00E85000">
        <w:rPr>
          <w:lang w:val="fr-FR"/>
        </w:rPr>
        <w:t>elle examinera ci-dessous.</w:t>
      </w:r>
    </w:p>
    <w:p w:rsidRPr="00E85000" w:rsidR="00112A65" w:rsidP="00112A65" w:rsidRDefault="00112A65">
      <w:pPr>
        <w:pStyle w:val="ECHRHeading5"/>
        <w:rPr>
          <w:lang w:val="fr-FR"/>
        </w:rPr>
      </w:pPr>
      <w:r w:rsidRPr="00E85000">
        <w:rPr>
          <w:lang w:val="fr-FR"/>
        </w:rPr>
        <w:t>i. Sur l</w:t>
      </w:r>
      <w:r w:rsidR="0068586D">
        <w:rPr>
          <w:lang w:val="fr-FR"/>
        </w:rPr>
        <w:t>’</w:t>
      </w:r>
      <w:r w:rsidRPr="00E85000">
        <w:rPr>
          <w:lang w:val="fr-FR"/>
        </w:rPr>
        <w:t>enquête relative aux mauvais traitements</w:t>
      </w:r>
    </w:p>
    <w:bookmarkStart w:name="para_60" w:id="33"/>
    <w:p w:rsidRPr="00E85000" w:rsidR="00112A65" w:rsidP="00112A65" w:rsidRDefault="00112A65">
      <w:pPr>
        <w:pStyle w:val="ECHRPara"/>
        <w:rPr>
          <w:i/>
          <w:lang w:val="fr-FR"/>
        </w:rPr>
      </w:pPr>
      <w:r w:rsidRPr="00E85000">
        <w:rPr>
          <w:lang w:val="fr-FR"/>
        </w:rPr>
        <w:fldChar w:fldCharType="begin"/>
      </w:r>
      <w:r w:rsidRPr="00E85000">
        <w:rPr>
          <w:lang w:val="fr-FR"/>
        </w:rPr>
        <w:instrText xml:space="preserve"> SEQ level0 \*arabic </w:instrText>
      </w:r>
      <w:r w:rsidRPr="00E85000">
        <w:rPr>
          <w:lang w:val="fr-FR"/>
        </w:rPr>
        <w:fldChar w:fldCharType="separate"/>
      </w:r>
      <w:r w:rsidRPr="00E85000">
        <w:rPr>
          <w:noProof/>
          <w:lang w:val="fr-FR"/>
        </w:rPr>
        <w:t>65</w:t>
      </w:r>
      <w:r w:rsidRPr="00E85000">
        <w:rPr>
          <w:lang w:val="fr-FR"/>
        </w:rPr>
        <w:fldChar w:fldCharType="end"/>
      </w:r>
      <w:bookmarkEnd w:id="33"/>
      <w:r w:rsidRPr="00E85000">
        <w:rPr>
          <w:lang w:val="fr-FR"/>
        </w:rPr>
        <w:t>.  Comme elle l</w:t>
      </w:r>
      <w:r w:rsidR="0068586D">
        <w:rPr>
          <w:lang w:val="fr-FR"/>
        </w:rPr>
        <w:t>’</w:t>
      </w:r>
      <w:r w:rsidRPr="00E85000">
        <w:rPr>
          <w:lang w:val="fr-FR"/>
        </w:rPr>
        <w:t>a déjà constaté dans l</w:t>
      </w:r>
      <w:r w:rsidR="0068586D">
        <w:rPr>
          <w:lang w:val="fr-FR"/>
        </w:rPr>
        <w:t>’</w:t>
      </w:r>
      <w:r w:rsidRPr="00E85000">
        <w:rPr>
          <w:lang w:val="fr-FR"/>
        </w:rPr>
        <w:t xml:space="preserve">arrêt </w:t>
      </w:r>
      <w:proofErr w:type="spellStart"/>
      <w:r w:rsidRPr="00E85000">
        <w:rPr>
          <w:i/>
          <w:lang w:val="fr-FR"/>
        </w:rPr>
        <w:t>Bălşan</w:t>
      </w:r>
      <w:proofErr w:type="spellEnd"/>
      <w:r w:rsidRPr="00E85000">
        <w:rPr>
          <w:lang w:val="fr-FR"/>
        </w:rPr>
        <w:t xml:space="preserve"> (précité, § 63), la Cour note que, en l</w:t>
      </w:r>
      <w:r w:rsidR="0068586D">
        <w:rPr>
          <w:lang w:val="fr-FR"/>
        </w:rPr>
        <w:t>’</w:t>
      </w:r>
      <w:r w:rsidRPr="00E85000">
        <w:rPr>
          <w:lang w:val="fr-FR"/>
        </w:rPr>
        <w:t>espèce, la requérante avait à sa disposition un cadre réglementaire, fondé notamment sur les dispositions du code pénal réprimant de manière plus sévère les violences conjugales (paragraphe 32 ci-dessus) et sur celles de la loi n</w:t>
      </w:r>
      <w:r w:rsidRPr="00E85000">
        <w:rPr>
          <w:vertAlign w:val="superscript"/>
          <w:lang w:val="fr-FR"/>
        </w:rPr>
        <w:t>o</w:t>
      </w:r>
      <w:r w:rsidRPr="00E85000">
        <w:rPr>
          <w:lang w:val="fr-FR"/>
        </w:rPr>
        <w:t> 217/2003 (paragraphe 33 ci-dessus), pour se plaindre de la violence dont elle disait être victime et pour demander la protection des autorités. La Cour recherchera ensuite si les règles et pratiques litigieuses – en particulier le respect par les autorités nationales des règles procédurales pertinentes et la manière dont les mécanismes de droit pénal ont été mis en œuvre en l</w:t>
      </w:r>
      <w:r w:rsidR="0068586D">
        <w:rPr>
          <w:lang w:val="fr-FR"/>
        </w:rPr>
        <w:t>’</w:t>
      </w:r>
      <w:r w:rsidRPr="00E85000">
        <w:rPr>
          <w:lang w:val="fr-FR"/>
        </w:rPr>
        <w:t>espèce – ont été défaillantes au point d</w:t>
      </w:r>
      <w:r w:rsidR="0068586D">
        <w:rPr>
          <w:lang w:val="fr-FR"/>
        </w:rPr>
        <w:t>’</w:t>
      </w:r>
      <w:r w:rsidRPr="00E85000">
        <w:rPr>
          <w:lang w:val="fr-FR"/>
        </w:rPr>
        <w:t>emporter violation des obligations positives s</w:t>
      </w:r>
      <w:r w:rsidR="0068586D">
        <w:rPr>
          <w:lang w:val="fr-FR"/>
        </w:rPr>
        <w:t>’</w:t>
      </w:r>
      <w:r w:rsidRPr="00E85000">
        <w:rPr>
          <w:lang w:val="fr-FR"/>
        </w:rPr>
        <w:t>imposant à l</w:t>
      </w:r>
      <w:r w:rsidR="0068586D">
        <w:rPr>
          <w:lang w:val="fr-FR"/>
        </w:rPr>
        <w:t>’</w:t>
      </w:r>
      <w:r w:rsidRPr="00E85000">
        <w:rPr>
          <w:lang w:val="fr-FR"/>
        </w:rPr>
        <w:t>État défendeur en vertu de la Convention (</w:t>
      </w:r>
      <w:proofErr w:type="spellStart"/>
      <w:r w:rsidRPr="00E85000">
        <w:rPr>
          <w:i/>
          <w:lang w:val="fr-FR"/>
        </w:rPr>
        <w:t>Valiulienė</w:t>
      </w:r>
      <w:proofErr w:type="spellEnd"/>
      <w:r w:rsidRPr="00E85000">
        <w:rPr>
          <w:i/>
          <w:lang w:val="fr-FR"/>
        </w:rPr>
        <w:t xml:space="preserve"> c. Lituanie</w:t>
      </w:r>
      <w:r w:rsidRPr="00E85000">
        <w:rPr>
          <w:lang w:val="fr-FR"/>
        </w:rPr>
        <w:t>, n</w:t>
      </w:r>
      <w:r w:rsidRPr="00E85000">
        <w:rPr>
          <w:vertAlign w:val="superscript"/>
          <w:lang w:val="fr-FR"/>
        </w:rPr>
        <w:t>o</w:t>
      </w:r>
      <w:r w:rsidRPr="00E85000">
        <w:rPr>
          <w:lang w:val="fr-FR"/>
        </w:rPr>
        <w:t xml:space="preserve"> 33234/07</w:t>
      </w:r>
      <w:r w:rsidRPr="00E85000">
        <w:rPr>
          <w:snapToGrid w:val="0"/>
          <w:lang w:val="fr-FR"/>
        </w:rPr>
        <w:t>, § 79, 26 </w:t>
      </w:r>
      <w:r w:rsidRPr="00E85000">
        <w:rPr>
          <w:lang w:val="fr-FR"/>
        </w:rPr>
        <w:t>mars</w:t>
      </w:r>
      <w:r w:rsidRPr="00E85000">
        <w:rPr>
          <w:snapToGrid w:val="0"/>
          <w:lang w:val="fr-FR"/>
        </w:rPr>
        <w:t xml:space="preserve"> 2013).</w:t>
      </w:r>
    </w:p>
    <w:bookmarkStart w:name="para_52" w:id="34"/>
    <w:p w:rsidRPr="00E85000" w:rsidR="00112A65" w:rsidP="00112A65" w:rsidRDefault="00112A65">
      <w:pPr>
        <w:pStyle w:val="ECHRPara"/>
        <w:rPr>
          <w:lang w:val="fr-FR"/>
        </w:rPr>
      </w:pPr>
      <w:r w:rsidRPr="00E85000">
        <w:rPr>
          <w:lang w:val="fr-FR"/>
        </w:rPr>
        <w:fldChar w:fldCharType="begin"/>
      </w:r>
      <w:r w:rsidRPr="00E85000">
        <w:rPr>
          <w:lang w:val="fr-FR"/>
        </w:rPr>
        <w:instrText xml:space="preserve"> SEQ level0 \*arabic </w:instrText>
      </w:r>
      <w:r w:rsidRPr="00E85000">
        <w:rPr>
          <w:lang w:val="fr-FR"/>
        </w:rPr>
        <w:fldChar w:fldCharType="separate"/>
      </w:r>
      <w:r w:rsidRPr="00E85000">
        <w:rPr>
          <w:noProof/>
          <w:lang w:val="fr-FR"/>
        </w:rPr>
        <w:t>66</w:t>
      </w:r>
      <w:r w:rsidRPr="00E85000">
        <w:rPr>
          <w:lang w:val="fr-FR"/>
        </w:rPr>
        <w:fldChar w:fldCharType="end"/>
      </w:r>
      <w:bookmarkEnd w:id="34"/>
      <w:r w:rsidRPr="00E85000">
        <w:rPr>
          <w:lang w:val="fr-FR"/>
        </w:rPr>
        <w:t>.  La Cour note que la requérante a saisi les autorités, les 23 décembre 2013 et 6 janvier 2014, pour dénoncer le comportement violent de son ex</w:t>
      </w:r>
      <w:r w:rsidRPr="00E85000">
        <w:rPr>
          <w:lang w:val="fr-FR"/>
        </w:rPr>
        <w:noBreakHyphen/>
        <w:t>époux (paragraphe 9 ci-dessus). S</w:t>
      </w:r>
      <w:r w:rsidR="0068586D">
        <w:rPr>
          <w:lang w:val="fr-FR"/>
        </w:rPr>
        <w:t>’</w:t>
      </w:r>
      <w:r w:rsidRPr="00E85000">
        <w:rPr>
          <w:lang w:val="fr-FR"/>
        </w:rPr>
        <w:t xml:space="preserve">appuyant sur un certificat médicolégal (paragraphe 8 ci-dessus), </w:t>
      </w:r>
      <w:r>
        <w:rPr>
          <w:lang w:val="fr-FR"/>
        </w:rPr>
        <w:t>l</w:t>
      </w:r>
      <w:r w:rsidR="0068586D">
        <w:rPr>
          <w:lang w:val="fr-FR"/>
        </w:rPr>
        <w:t>’</w:t>
      </w:r>
      <w:r>
        <w:rPr>
          <w:lang w:val="fr-FR"/>
        </w:rPr>
        <w:t>intéressée</w:t>
      </w:r>
      <w:r w:rsidRPr="00E85000">
        <w:rPr>
          <w:lang w:val="fr-FR"/>
        </w:rPr>
        <w:t xml:space="preserve"> faisait notamment état de menaces et des violences que lui aurait infligées son ex-époux. Toutefois, la Cour constate que les autorités n</w:t>
      </w:r>
      <w:r w:rsidR="0068586D">
        <w:rPr>
          <w:lang w:val="fr-FR"/>
        </w:rPr>
        <w:t>’</w:t>
      </w:r>
      <w:r w:rsidRPr="00E85000">
        <w:rPr>
          <w:lang w:val="fr-FR"/>
        </w:rPr>
        <w:t>ont pas abordé les faits en la présente affaire du point de vue de la violence conjugale. Ainsi, la Cour note que la décision du parquet du 17 février 2015 de classer l</w:t>
      </w:r>
      <w:r w:rsidR="0068586D">
        <w:rPr>
          <w:lang w:val="fr-FR"/>
        </w:rPr>
        <w:t>’</w:t>
      </w:r>
      <w:r w:rsidRPr="00E85000">
        <w:rPr>
          <w:lang w:val="fr-FR"/>
        </w:rPr>
        <w:t>affaire était fondée sur les articles du nouveau code pénal qui répriment les violences entre particuliers et non pas sur les dispositions du code qui répriment plus sévèrement la violence conjugale (paragraphe 17 ci-dessus ; pour les dispositions du nouveau code pénal, paragraphe 32 ci-dessus). La Cour note ensuite que le tribunal de première instance, dans sa décision du 25 mai 2015, n</w:t>
      </w:r>
      <w:r w:rsidR="0068586D">
        <w:rPr>
          <w:lang w:val="fr-FR"/>
        </w:rPr>
        <w:t>’</w:t>
      </w:r>
      <w:r w:rsidRPr="00E85000">
        <w:rPr>
          <w:lang w:val="fr-FR"/>
        </w:rPr>
        <w:t>a pas donné une autre qualification juridique aux faits retenus à la charge de l</w:t>
      </w:r>
      <w:r w:rsidR="0068586D">
        <w:rPr>
          <w:lang w:val="fr-FR"/>
        </w:rPr>
        <w:t>’</w:t>
      </w:r>
      <w:r w:rsidRPr="00E85000">
        <w:rPr>
          <w:lang w:val="fr-FR"/>
        </w:rPr>
        <w:t>ex</w:t>
      </w:r>
      <w:r w:rsidRPr="00E85000">
        <w:rPr>
          <w:lang w:val="fr-FR"/>
        </w:rPr>
        <w:noBreakHyphen/>
        <w:t>époux (paragraphe 21 ci-dessus).</w:t>
      </w:r>
    </w:p>
    <w:bookmarkStart w:name="para_53" w:id="35"/>
    <w:p w:rsidRPr="00E85000" w:rsidR="00112A65" w:rsidP="00112A65" w:rsidRDefault="00112A65">
      <w:pPr>
        <w:pStyle w:val="ECHRPara"/>
        <w:rPr>
          <w:lang w:val="fr-FR"/>
        </w:rPr>
      </w:pPr>
      <w:r w:rsidRPr="00E85000">
        <w:rPr>
          <w:lang w:val="fr-FR"/>
        </w:rPr>
        <w:fldChar w:fldCharType="begin"/>
      </w:r>
      <w:r w:rsidRPr="00E85000">
        <w:rPr>
          <w:lang w:val="fr-FR"/>
        </w:rPr>
        <w:instrText xml:space="preserve"> SEQ level0 \*arabic </w:instrText>
      </w:r>
      <w:r w:rsidRPr="00E85000">
        <w:rPr>
          <w:lang w:val="fr-FR"/>
        </w:rPr>
        <w:fldChar w:fldCharType="separate"/>
      </w:r>
      <w:r w:rsidRPr="00E85000">
        <w:rPr>
          <w:noProof/>
          <w:lang w:val="fr-FR"/>
        </w:rPr>
        <w:t>67</w:t>
      </w:r>
      <w:r w:rsidRPr="00E85000">
        <w:rPr>
          <w:lang w:val="fr-FR"/>
        </w:rPr>
        <w:fldChar w:fldCharType="end"/>
      </w:r>
      <w:bookmarkEnd w:id="35"/>
      <w:r w:rsidRPr="00E85000">
        <w:rPr>
          <w:lang w:val="fr-FR"/>
        </w:rPr>
        <w:t>.  La Cour insiste sur la diligence particulière que requiert le traitement des plaintes pour violences domestiques et estime que les spécificités des faits de violence domestique telles que reconnues dans la Convention d</w:t>
      </w:r>
      <w:r w:rsidR="0068586D">
        <w:rPr>
          <w:lang w:val="fr-FR"/>
        </w:rPr>
        <w:t>’</w:t>
      </w:r>
      <w:r w:rsidRPr="00E85000">
        <w:rPr>
          <w:lang w:val="fr-FR"/>
        </w:rPr>
        <w:t>Istanbul (paragraphe 38 ci-dessus) doivent être prises en compte dans le cadre des procédures internes (</w:t>
      </w:r>
      <w:r w:rsidRPr="00E85000">
        <w:rPr>
          <w:i/>
          <w:lang w:val="fr-FR"/>
        </w:rPr>
        <w:t>M.G. c. Turquie</w:t>
      </w:r>
      <w:r w:rsidRPr="00E85000">
        <w:rPr>
          <w:lang w:val="fr-FR"/>
        </w:rPr>
        <w:t>, précité, § 93). En l</w:t>
      </w:r>
      <w:r w:rsidR="0068586D">
        <w:rPr>
          <w:lang w:val="fr-FR"/>
        </w:rPr>
        <w:t>’</w:t>
      </w:r>
      <w:r w:rsidRPr="00E85000">
        <w:rPr>
          <w:lang w:val="fr-FR"/>
        </w:rPr>
        <w:t>espèce, elle constate que l</w:t>
      </w:r>
      <w:r w:rsidR="0068586D">
        <w:rPr>
          <w:lang w:val="fr-FR"/>
        </w:rPr>
        <w:t>’</w:t>
      </w:r>
      <w:r w:rsidRPr="00E85000">
        <w:rPr>
          <w:lang w:val="fr-FR"/>
        </w:rPr>
        <w:t>enquête interne menée par les autorités nationales n</w:t>
      </w:r>
      <w:r w:rsidR="0068586D">
        <w:rPr>
          <w:lang w:val="fr-FR"/>
        </w:rPr>
        <w:t>’</w:t>
      </w:r>
      <w:r w:rsidRPr="00E85000">
        <w:rPr>
          <w:lang w:val="fr-FR"/>
        </w:rPr>
        <w:t>a pas pris en compte ces spécificités.</w:t>
      </w:r>
    </w:p>
    <w:p w:rsidRPr="00E85000" w:rsidR="00112A65" w:rsidP="00112A65" w:rsidRDefault="00112A65">
      <w:pPr>
        <w:pStyle w:val="ECHRPara"/>
        <w:rPr>
          <w:lang w:val="fr-FR"/>
        </w:rPr>
      </w:pPr>
      <w:r w:rsidRPr="00E85000">
        <w:rPr>
          <w:lang w:val="fr-FR"/>
        </w:rPr>
        <w:fldChar w:fldCharType="begin"/>
      </w:r>
      <w:r w:rsidRPr="00E85000">
        <w:rPr>
          <w:lang w:val="fr-FR"/>
        </w:rPr>
        <w:instrText xml:space="preserve"> SEQ level0 \*arabic </w:instrText>
      </w:r>
      <w:r w:rsidRPr="00E85000">
        <w:rPr>
          <w:lang w:val="fr-FR"/>
        </w:rPr>
        <w:fldChar w:fldCharType="separate"/>
      </w:r>
      <w:r w:rsidRPr="00E85000">
        <w:rPr>
          <w:noProof/>
          <w:lang w:val="fr-FR"/>
        </w:rPr>
        <w:t>68</w:t>
      </w:r>
      <w:r w:rsidRPr="00E85000">
        <w:rPr>
          <w:lang w:val="fr-FR"/>
        </w:rPr>
        <w:fldChar w:fldCharType="end"/>
      </w:r>
      <w:r w:rsidRPr="00E85000">
        <w:rPr>
          <w:lang w:val="fr-FR"/>
        </w:rPr>
        <w:t>.  Qui plus est, la Cour estime que les conclusions auxquelles est arrivé le tribunal de première instance sont sujettes à caution. Ainsi, elle note que le tribunal a conclu que les menaces subies par la requérante n</w:t>
      </w:r>
      <w:r w:rsidR="0068586D">
        <w:rPr>
          <w:lang w:val="fr-FR"/>
        </w:rPr>
        <w:t>’</w:t>
      </w:r>
      <w:r w:rsidRPr="00E85000">
        <w:rPr>
          <w:lang w:val="fr-FR"/>
        </w:rPr>
        <w:t>étaient pas suffisamment graves pour être qualifiées d</w:t>
      </w:r>
      <w:r w:rsidR="0068586D">
        <w:rPr>
          <w:lang w:val="fr-FR"/>
        </w:rPr>
        <w:t>’</w:t>
      </w:r>
      <w:r w:rsidRPr="00E85000">
        <w:rPr>
          <w:lang w:val="fr-FR"/>
        </w:rPr>
        <w:t>infractions et qu</w:t>
      </w:r>
      <w:r w:rsidR="0068586D">
        <w:rPr>
          <w:lang w:val="fr-FR"/>
        </w:rPr>
        <w:t>’</w:t>
      </w:r>
      <w:r w:rsidRPr="00E85000">
        <w:rPr>
          <w:lang w:val="fr-FR"/>
        </w:rPr>
        <w:t>il n</w:t>
      </w:r>
      <w:r w:rsidR="0068586D">
        <w:rPr>
          <w:lang w:val="fr-FR"/>
        </w:rPr>
        <w:t>’</w:t>
      </w:r>
      <w:r w:rsidRPr="00E85000">
        <w:rPr>
          <w:lang w:val="fr-FR"/>
        </w:rPr>
        <w:t>y avait pas de preuve directe que les lésions de l</w:t>
      </w:r>
      <w:r w:rsidR="0068586D">
        <w:rPr>
          <w:lang w:val="fr-FR"/>
        </w:rPr>
        <w:t>’</w:t>
      </w:r>
      <w:r w:rsidRPr="00E85000">
        <w:rPr>
          <w:lang w:val="fr-FR"/>
        </w:rPr>
        <w:t>intéressée avaient été causées par son ex-époux (paragraphe 21 ci-dessus). La Cour n</w:t>
      </w:r>
      <w:r w:rsidR="0068586D">
        <w:rPr>
          <w:lang w:val="fr-FR"/>
        </w:rPr>
        <w:t>’</w:t>
      </w:r>
      <w:r w:rsidRPr="00E85000">
        <w:rPr>
          <w:lang w:val="fr-FR"/>
        </w:rPr>
        <w:t>est pas convaincue que de telles conclusions aient l</w:t>
      </w:r>
      <w:r w:rsidR="0068586D">
        <w:rPr>
          <w:lang w:val="fr-FR"/>
        </w:rPr>
        <w:t>’</w:t>
      </w:r>
      <w:r w:rsidRPr="00E85000">
        <w:rPr>
          <w:lang w:val="fr-FR"/>
        </w:rPr>
        <w:t>effet dissuasif apte à enrayer un phénomène aussi grave que la violence conjugale. De plus, elle note que si aucune autorité interne n</w:t>
      </w:r>
      <w:r w:rsidR="0068586D">
        <w:rPr>
          <w:lang w:val="fr-FR"/>
        </w:rPr>
        <w:t>’</w:t>
      </w:r>
      <w:r w:rsidRPr="00E85000">
        <w:rPr>
          <w:lang w:val="fr-FR"/>
        </w:rPr>
        <w:t>a contesté la réalité et la gravité des lésions subies par la requérante, aucun élément d</w:t>
      </w:r>
      <w:r w:rsidR="0068586D">
        <w:rPr>
          <w:lang w:val="fr-FR"/>
        </w:rPr>
        <w:t>’</w:t>
      </w:r>
      <w:r w:rsidRPr="00E85000">
        <w:rPr>
          <w:lang w:val="fr-FR"/>
        </w:rPr>
        <w:t>enquête n</w:t>
      </w:r>
      <w:r w:rsidR="0068586D">
        <w:rPr>
          <w:lang w:val="fr-FR"/>
        </w:rPr>
        <w:t>’</w:t>
      </w:r>
      <w:r w:rsidRPr="00E85000">
        <w:rPr>
          <w:lang w:val="fr-FR"/>
        </w:rPr>
        <w:t>a permis d</w:t>
      </w:r>
      <w:r w:rsidR="0068586D">
        <w:rPr>
          <w:lang w:val="fr-FR"/>
        </w:rPr>
        <w:t>’</w:t>
      </w:r>
      <w:r w:rsidRPr="00E85000">
        <w:rPr>
          <w:lang w:val="fr-FR"/>
        </w:rPr>
        <w:t>identifier la personne responsable. Ainsi, elle observe que les autorités de l</w:t>
      </w:r>
      <w:r w:rsidR="0068586D">
        <w:rPr>
          <w:lang w:val="fr-FR"/>
        </w:rPr>
        <w:t>’</w:t>
      </w:r>
      <w:r w:rsidRPr="00E85000">
        <w:rPr>
          <w:lang w:val="fr-FR"/>
        </w:rPr>
        <w:t>enquête se sont limitées à entendre comme témoins les proches de la requérante (sa mère, sa fille et sa belle</w:t>
      </w:r>
      <w:r w:rsidRPr="00E85000">
        <w:rPr>
          <w:lang w:val="fr-FR"/>
        </w:rPr>
        <w:noBreakHyphen/>
        <w:t>sœur ; paragraphe 14 ci</w:t>
      </w:r>
      <w:r w:rsidRPr="00E85000">
        <w:rPr>
          <w:lang w:val="fr-FR"/>
        </w:rPr>
        <w:noBreakHyphen/>
        <w:t>dessus), mais qu</w:t>
      </w:r>
      <w:r w:rsidR="0068586D">
        <w:rPr>
          <w:lang w:val="fr-FR"/>
        </w:rPr>
        <w:t>’</w:t>
      </w:r>
      <w:r w:rsidRPr="00E85000">
        <w:rPr>
          <w:lang w:val="fr-FR"/>
        </w:rPr>
        <w:t>aucun autre élément de preuve n</w:t>
      </w:r>
      <w:r w:rsidR="0068586D">
        <w:rPr>
          <w:lang w:val="fr-FR"/>
        </w:rPr>
        <w:t>’</w:t>
      </w:r>
      <w:r w:rsidRPr="00E85000">
        <w:rPr>
          <w:lang w:val="fr-FR"/>
        </w:rPr>
        <w:t>a été recueilli afin d</w:t>
      </w:r>
      <w:r w:rsidR="0068586D">
        <w:rPr>
          <w:lang w:val="fr-FR"/>
        </w:rPr>
        <w:t>’</w:t>
      </w:r>
      <w:r w:rsidRPr="00E85000">
        <w:rPr>
          <w:lang w:val="fr-FR"/>
        </w:rPr>
        <w:t>identifier l</w:t>
      </w:r>
      <w:r w:rsidR="0068586D">
        <w:rPr>
          <w:lang w:val="fr-FR"/>
        </w:rPr>
        <w:t>’</w:t>
      </w:r>
      <w:r w:rsidRPr="00E85000">
        <w:rPr>
          <w:lang w:val="fr-FR"/>
        </w:rPr>
        <w:t>origine des lésions qu</w:t>
      </w:r>
      <w:r w:rsidR="0068586D">
        <w:rPr>
          <w:lang w:val="fr-FR"/>
        </w:rPr>
        <w:t>’</w:t>
      </w:r>
      <w:r w:rsidRPr="00E85000">
        <w:rPr>
          <w:lang w:val="fr-FR"/>
        </w:rPr>
        <w:t>a subies la requérante et, le cas échéant, les personnes responsables. Dans une affaire comme la présente</w:t>
      </w:r>
      <w:r>
        <w:rPr>
          <w:lang w:val="fr-FR"/>
        </w:rPr>
        <w:t xml:space="preserve"> espèce</w:t>
      </w:r>
      <w:r w:rsidRPr="00E85000">
        <w:rPr>
          <w:lang w:val="fr-FR"/>
        </w:rPr>
        <w:t>, qui concerne des actes allégués de violence familiale, il revenait aux autorités d</w:t>
      </w:r>
      <w:r w:rsidR="0068586D">
        <w:rPr>
          <w:lang w:val="fr-FR"/>
        </w:rPr>
        <w:t>’</w:t>
      </w:r>
      <w:r w:rsidRPr="00E85000">
        <w:rPr>
          <w:lang w:val="fr-FR"/>
        </w:rPr>
        <w:t>enquête de prendre les mesures nécessaires pour éclaircir les circonstances de la cause ; de telles mesures auraient pu inclure par exemple l</w:t>
      </w:r>
      <w:r w:rsidR="0068586D">
        <w:rPr>
          <w:lang w:val="fr-FR"/>
        </w:rPr>
        <w:t>’</w:t>
      </w:r>
      <w:r w:rsidRPr="00E85000">
        <w:rPr>
          <w:lang w:val="fr-FR"/>
        </w:rPr>
        <w:t xml:space="preserve">audition de témoins supplémentaires, comme des voisins, ou la confrontation des témoins et parties (voir, </w:t>
      </w:r>
      <w:r w:rsidRPr="00E85000">
        <w:rPr>
          <w:i/>
          <w:lang w:val="fr-FR"/>
        </w:rPr>
        <w:t>mutatis mutandis</w:t>
      </w:r>
      <w:r w:rsidRPr="00E85000">
        <w:rPr>
          <w:lang w:val="fr-FR"/>
        </w:rPr>
        <w:t xml:space="preserve">, </w:t>
      </w:r>
      <w:r w:rsidRPr="00E85000">
        <w:rPr>
          <w:i/>
          <w:lang w:val="fr-FR"/>
        </w:rPr>
        <w:t>E.M. c. Roumanie</w:t>
      </w:r>
      <w:r w:rsidRPr="00E85000">
        <w:rPr>
          <w:lang w:val="fr-FR"/>
        </w:rPr>
        <w:t>, précité, §§ 66 et 68).</w:t>
      </w:r>
    </w:p>
    <w:p w:rsidRPr="00E85000" w:rsidR="00112A65" w:rsidP="00112A65" w:rsidRDefault="00112A65">
      <w:pPr>
        <w:pStyle w:val="ECHRPara"/>
        <w:rPr>
          <w:lang w:val="fr-FR"/>
        </w:rPr>
      </w:pPr>
      <w:r w:rsidRPr="00E85000">
        <w:rPr>
          <w:lang w:val="fr-FR"/>
        </w:rPr>
        <w:fldChar w:fldCharType="begin"/>
      </w:r>
      <w:r w:rsidRPr="00E85000">
        <w:rPr>
          <w:lang w:val="fr-FR"/>
        </w:rPr>
        <w:instrText xml:space="preserve"> SEQ level0 \*arabic </w:instrText>
      </w:r>
      <w:r w:rsidRPr="00E85000">
        <w:rPr>
          <w:lang w:val="fr-FR"/>
        </w:rPr>
        <w:fldChar w:fldCharType="separate"/>
      </w:r>
      <w:r w:rsidRPr="00E85000">
        <w:rPr>
          <w:noProof/>
          <w:lang w:val="fr-FR"/>
        </w:rPr>
        <w:t>69</w:t>
      </w:r>
      <w:r w:rsidRPr="00E85000">
        <w:rPr>
          <w:lang w:val="fr-FR"/>
        </w:rPr>
        <w:fldChar w:fldCharType="end"/>
      </w:r>
      <w:r w:rsidRPr="00E85000">
        <w:rPr>
          <w:lang w:val="fr-FR"/>
        </w:rPr>
        <w:t>.  La Cour note ensuite que le Gouvernement expose que l</w:t>
      </w:r>
      <w:r w:rsidR="0068586D">
        <w:rPr>
          <w:lang w:val="fr-FR"/>
        </w:rPr>
        <w:t>’</w:t>
      </w:r>
      <w:r w:rsidRPr="00E85000">
        <w:rPr>
          <w:lang w:val="fr-FR"/>
        </w:rPr>
        <w:t>effectivité de l</w:t>
      </w:r>
      <w:r w:rsidR="0068586D">
        <w:rPr>
          <w:lang w:val="fr-FR"/>
        </w:rPr>
        <w:t>’</w:t>
      </w:r>
      <w:r w:rsidRPr="00E85000">
        <w:rPr>
          <w:lang w:val="fr-FR"/>
        </w:rPr>
        <w:t>enquête a été compromise en raison du fait que la requérante n</w:t>
      </w:r>
      <w:r w:rsidR="0068586D">
        <w:rPr>
          <w:lang w:val="fr-FR"/>
        </w:rPr>
        <w:t>’</w:t>
      </w:r>
      <w:r w:rsidRPr="00E85000">
        <w:rPr>
          <w:lang w:val="fr-FR"/>
        </w:rPr>
        <w:t>a saisi les autorités que plusieurs jours après les incidents dénoncés, et que la violence physique qu</w:t>
      </w:r>
      <w:r w:rsidR="0068586D">
        <w:rPr>
          <w:lang w:val="fr-FR"/>
        </w:rPr>
        <w:t>’</w:t>
      </w:r>
      <w:r w:rsidRPr="00E85000">
        <w:rPr>
          <w:lang w:val="fr-FR"/>
        </w:rPr>
        <w:t>elle aurait subie a eu un caractère ponctuel (paragraphe 57 ci</w:t>
      </w:r>
      <w:r w:rsidRPr="00E85000">
        <w:rPr>
          <w:lang w:val="fr-FR"/>
        </w:rPr>
        <w:noBreakHyphen/>
        <w:t>dessus). Toutefois, la Cour n</w:t>
      </w:r>
      <w:r w:rsidR="0068586D">
        <w:rPr>
          <w:lang w:val="fr-FR"/>
        </w:rPr>
        <w:t>’</w:t>
      </w:r>
      <w:r w:rsidRPr="00E85000">
        <w:rPr>
          <w:lang w:val="fr-FR"/>
        </w:rPr>
        <w:t>y voit pas d</w:t>
      </w:r>
      <w:r w:rsidR="0068586D">
        <w:rPr>
          <w:lang w:val="fr-FR"/>
        </w:rPr>
        <w:t>’</w:t>
      </w:r>
      <w:r w:rsidRPr="00E85000">
        <w:rPr>
          <w:lang w:val="fr-FR"/>
        </w:rPr>
        <w:t>arguments décisifs. En effet, elle note que la requérante a saisi les autorités dans les délais légaux et qu</w:t>
      </w:r>
      <w:r w:rsidR="0068586D">
        <w:rPr>
          <w:lang w:val="fr-FR"/>
        </w:rPr>
        <w:t>’</w:t>
      </w:r>
      <w:r w:rsidRPr="00E85000">
        <w:rPr>
          <w:lang w:val="fr-FR"/>
        </w:rPr>
        <w:t>à aucun moment les autorités de l</w:t>
      </w:r>
      <w:r w:rsidR="0068586D">
        <w:rPr>
          <w:lang w:val="fr-FR"/>
        </w:rPr>
        <w:t>’</w:t>
      </w:r>
      <w:r w:rsidRPr="00E85000">
        <w:rPr>
          <w:lang w:val="fr-FR"/>
        </w:rPr>
        <w:t>enquête ne lui ont indiqué que sa plainte pour menaces et violences était tardive. Les incidents dénoncés par la requérante auraient eu lieu les 17 et 22 décembre 2013 (paragraphe 7 ci-dessus), alors que la première plainte fut présentée par elle le 23 décembre 2013 (paragraphe 9 ci-dessus) ; on ne saurait estimer qu</w:t>
      </w:r>
      <w:r w:rsidR="0068586D">
        <w:rPr>
          <w:lang w:val="fr-FR"/>
        </w:rPr>
        <w:t>’</w:t>
      </w:r>
      <w:r w:rsidRPr="00E85000">
        <w:rPr>
          <w:lang w:val="fr-FR"/>
        </w:rPr>
        <w:t>un délai excessif s</w:t>
      </w:r>
      <w:r w:rsidR="0068586D">
        <w:rPr>
          <w:lang w:val="fr-FR"/>
        </w:rPr>
        <w:t>’</w:t>
      </w:r>
      <w:r w:rsidRPr="00E85000">
        <w:rPr>
          <w:lang w:val="fr-FR"/>
        </w:rPr>
        <w:t>est écoulé entre les faits et la saisine des autorités. Dès lors, dans les circonstances de la présente espèce, le comportement de la requérante ne démontre pas un défaut de diligence de sa part, d</w:t>
      </w:r>
      <w:r w:rsidR="0068586D">
        <w:rPr>
          <w:lang w:val="fr-FR"/>
        </w:rPr>
        <w:t>’</w:t>
      </w:r>
      <w:r w:rsidRPr="00E85000">
        <w:rPr>
          <w:lang w:val="fr-FR"/>
        </w:rPr>
        <w:t>autant plus que l</w:t>
      </w:r>
      <w:r w:rsidR="0068586D">
        <w:rPr>
          <w:lang w:val="fr-FR"/>
        </w:rPr>
        <w:t>’</w:t>
      </w:r>
      <w:r w:rsidRPr="00E85000">
        <w:rPr>
          <w:lang w:val="fr-FR"/>
        </w:rPr>
        <w:t>impact psychologique est un aspect important à prendre en considération dans des affaires de violence domestique (</w:t>
      </w:r>
      <w:proofErr w:type="spellStart"/>
      <w:r w:rsidRPr="00E85000">
        <w:rPr>
          <w:i/>
          <w:lang w:val="fr-FR"/>
        </w:rPr>
        <w:t>Valiulienė</w:t>
      </w:r>
      <w:proofErr w:type="spellEnd"/>
      <w:r w:rsidRPr="00E85000">
        <w:rPr>
          <w:lang w:val="fr-FR"/>
        </w:rPr>
        <w:t>, précité, § 69). Qui plus est, le Gouvernement n</w:t>
      </w:r>
      <w:r w:rsidR="0068586D">
        <w:rPr>
          <w:lang w:val="fr-FR"/>
        </w:rPr>
        <w:t>’</w:t>
      </w:r>
      <w:r w:rsidRPr="00E85000">
        <w:rPr>
          <w:lang w:val="fr-FR"/>
        </w:rPr>
        <w:t>a pas établi devant la Cour que le délai dans le dépôt des plaintes a eu des conséquences directes sur l</w:t>
      </w:r>
      <w:r w:rsidR="0068586D">
        <w:rPr>
          <w:lang w:val="fr-FR"/>
        </w:rPr>
        <w:t>’</w:t>
      </w:r>
      <w:r w:rsidRPr="00E85000">
        <w:rPr>
          <w:lang w:val="fr-FR"/>
        </w:rPr>
        <w:t>enquête, rendant, par exemple, impossible l</w:t>
      </w:r>
      <w:r w:rsidR="0068586D">
        <w:rPr>
          <w:lang w:val="fr-FR"/>
        </w:rPr>
        <w:t>’</w:t>
      </w:r>
      <w:r w:rsidRPr="00E85000">
        <w:rPr>
          <w:lang w:val="fr-FR"/>
        </w:rPr>
        <w:t>examen de certains éléments matériels de preuve ou l</w:t>
      </w:r>
      <w:r w:rsidR="0068586D">
        <w:rPr>
          <w:lang w:val="fr-FR"/>
        </w:rPr>
        <w:t>’</w:t>
      </w:r>
      <w:r w:rsidRPr="00E85000">
        <w:rPr>
          <w:lang w:val="fr-FR"/>
        </w:rPr>
        <w:t>audition de certains témoins.</w:t>
      </w:r>
    </w:p>
    <w:p w:rsidRPr="00E85000" w:rsidR="00112A65" w:rsidP="00112A65" w:rsidRDefault="00112A65">
      <w:pPr>
        <w:pStyle w:val="ECHRPara"/>
        <w:rPr>
          <w:lang w:val="fr-FR"/>
        </w:rPr>
      </w:pPr>
      <w:r w:rsidRPr="00E85000">
        <w:rPr>
          <w:lang w:val="fr-FR"/>
        </w:rPr>
        <w:fldChar w:fldCharType="begin"/>
      </w:r>
      <w:r w:rsidRPr="00E85000">
        <w:rPr>
          <w:lang w:val="fr-FR"/>
        </w:rPr>
        <w:instrText xml:space="preserve"> SEQ level0 \*arabic </w:instrText>
      </w:r>
      <w:r w:rsidRPr="00E85000">
        <w:rPr>
          <w:lang w:val="fr-FR"/>
        </w:rPr>
        <w:fldChar w:fldCharType="separate"/>
      </w:r>
      <w:r w:rsidRPr="00E85000">
        <w:rPr>
          <w:noProof/>
          <w:lang w:val="fr-FR"/>
        </w:rPr>
        <w:t>70</w:t>
      </w:r>
      <w:r w:rsidRPr="00E85000">
        <w:rPr>
          <w:lang w:val="fr-FR"/>
        </w:rPr>
        <w:fldChar w:fldCharType="end"/>
      </w:r>
      <w:r w:rsidRPr="00E85000">
        <w:rPr>
          <w:lang w:val="fr-FR"/>
        </w:rPr>
        <w:t>.  La Cour ne saurait non plus donner un poids décisif au fait que la requérante n</w:t>
      </w:r>
      <w:r w:rsidR="0068586D">
        <w:rPr>
          <w:lang w:val="fr-FR"/>
        </w:rPr>
        <w:t>’</w:t>
      </w:r>
      <w:r w:rsidRPr="00E85000">
        <w:rPr>
          <w:lang w:val="fr-FR"/>
        </w:rPr>
        <w:t>a dénoncé aux autorités qu</w:t>
      </w:r>
      <w:r w:rsidR="0068586D">
        <w:rPr>
          <w:lang w:val="fr-FR"/>
        </w:rPr>
        <w:t>’</w:t>
      </w:r>
      <w:r w:rsidRPr="00E85000">
        <w:rPr>
          <w:lang w:val="fr-FR"/>
        </w:rPr>
        <w:t>un seul incident impliquant la violence physique. Elle note que la requérante a obtenu un certificat médicolégal attestant qu</w:t>
      </w:r>
      <w:r w:rsidR="0068586D">
        <w:rPr>
          <w:lang w:val="fr-FR"/>
        </w:rPr>
        <w:t>’</w:t>
      </w:r>
      <w:r w:rsidRPr="00E85000">
        <w:rPr>
          <w:lang w:val="fr-FR"/>
        </w:rPr>
        <w:t>elle avait besoin de trois à quatre jours de soins médicaux en raison des lésions qu</w:t>
      </w:r>
      <w:r w:rsidR="0068586D">
        <w:rPr>
          <w:lang w:val="fr-FR"/>
        </w:rPr>
        <w:t>’</w:t>
      </w:r>
      <w:r w:rsidRPr="00E85000">
        <w:rPr>
          <w:lang w:val="fr-FR"/>
        </w:rPr>
        <w:t>elle présentait (paragraphe 8 ci-dessus) et que le Gouvernement n</w:t>
      </w:r>
      <w:r w:rsidR="0068586D">
        <w:rPr>
          <w:lang w:val="fr-FR"/>
        </w:rPr>
        <w:t>’</w:t>
      </w:r>
      <w:r w:rsidRPr="00E85000">
        <w:rPr>
          <w:lang w:val="fr-FR"/>
        </w:rPr>
        <w:t>a pas contesté la gravité des lésions (paragraphe 57 ci-dessus). La Cour note ensuite qu</w:t>
      </w:r>
      <w:r w:rsidR="0068586D">
        <w:rPr>
          <w:lang w:val="fr-FR"/>
        </w:rPr>
        <w:t>’</w:t>
      </w:r>
      <w:r w:rsidRPr="00E85000">
        <w:rPr>
          <w:lang w:val="fr-FR"/>
        </w:rPr>
        <w:t>aucun élément n</w:t>
      </w:r>
      <w:r w:rsidR="0068586D">
        <w:rPr>
          <w:lang w:val="fr-FR"/>
        </w:rPr>
        <w:t>’</w:t>
      </w:r>
      <w:r w:rsidRPr="00E85000">
        <w:rPr>
          <w:lang w:val="fr-FR"/>
        </w:rPr>
        <w:t>a été présenté ni devant les autorités nationales ni devant elle pour envisager la présente affaire sous un autre angle que celui de la violence conjugale et le caractère ponctuel de l</w:t>
      </w:r>
      <w:r w:rsidR="0068586D">
        <w:rPr>
          <w:lang w:val="fr-FR"/>
        </w:rPr>
        <w:t>’</w:t>
      </w:r>
      <w:r w:rsidRPr="00E85000">
        <w:rPr>
          <w:lang w:val="fr-FR"/>
        </w:rPr>
        <w:t>incident dénoncé ne saurait mener à une autre conclusion.</w:t>
      </w:r>
    </w:p>
    <w:bookmarkStart w:name="excp_non_épuismnt3" w:id="36"/>
    <w:bookmarkStart w:name="para_57" w:id="37"/>
    <w:p w:rsidRPr="00E85000" w:rsidR="00112A65" w:rsidP="00112A65" w:rsidRDefault="00112A65">
      <w:pPr>
        <w:pStyle w:val="ECHRPara"/>
        <w:rPr>
          <w:lang w:val="fr-FR"/>
        </w:rPr>
      </w:pPr>
      <w:r w:rsidRPr="00E85000">
        <w:rPr>
          <w:lang w:val="fr-FR"/>
        </w:rPr>
        <w:fldChar w:fldCharType="begin"/>
      </w:r>
      <w:r w:rsidRPr="00E85000">
        <w:rPr>
          <w:lang w:val="fr-FR"/>
        </w:rPr>
        <w:instrText xml:space="preserve"> SEQ level0 \*arabic </w:instrText>
      </w:r>
      <w:r w:rsidRPr="00E85000">
        <w:rPr>
          <w:lang w:val="fr-FR"/>
        </w:rPr>
        <w:fldChar w:fldCharType="separate"/>
      </w:r>
      <w:r w:rsidRPr="00E85000">
        <w:rPr>
          <w:noProof/>
          <w:lang w:val="fr-FR"/>
        </w:rPr>
        <w:t>71</w:t>
      </w:r>
      <w:r w:rsidRPr="00E85000">
        <w:rPr>
          <w:lang w:val="fr-FR"/>
        </w:rPr>
        <w:fldChar w:fldCharType="end"/>
      </w:r>
      <w:bookmarkEnd w:id="36"/>
      <w:bookmarkEnd w:id="37"/>
      <w:r w:rsidRPr="00E85000">
        <w:rPr>
          <w:lang w:val="fr-FR"/>
        </w:rPr>
        <w:t>.  Il est vrai que la requérante a utilisé avec succès les dispositions de la loi n</w:t>
      </w:r>
      <w:r w:rsidRPr="00E85000">
        <w:rPr>
          <w:vertAlign w:val="superscript"/>
          <w:lang w:val="fr-FR"/>
        </w:rPr>
        <w:t>o</w:t>
      </w:r>
      <w:r w:rsidRPr="00E85000">
        <w:rPr>
          <w:lang w:val="fr-FR"/>
        </w:rPr>
        <w:t xml:space="preserve"> 217/2003 et que, le 13 mars 2014, le tribunal de première instance a délivré une ordonnance de protection en sa faveur pour une durée de six mois (paragraphe 23 ci-dessus). </w:t>
      </w:r>
      <w:r>
        <w:rPr>
          <w:lang w:val="fr-FR"/>
        </w:rPr>
        <w:t>L</w:t>
      </w:r>
      <w:r w:rsidRPr="00E85000">
        <w:rPr>
          <w:lang w:val="fr-FR"/>
        </w:rPr>
        <w:t>a Cour relève également que la requérante soutient que son ex-époux n</w:t>
      </w:r>
      <w:r w:rsidR="0068586D">
        <w:rPr>
          <w:lang w:val="fr-FR"/>
        </w:rPr>
        <w:t>’</w:t>
      </w:r>
      <w:r w:rsidRPr="00E85000">
        <w:rPr>
          <w:lang w:val="fr-FR"/>
        </w:rPr>
        <w:t>a pas respecté les dispositions de l</w:t>
      </w:r>
      <w:r w:rsidR="0068586D">
        <w:rPr>
          <w:lang w:val="fr-FR"/>
        </w:rPr>
        <w:t>’</w:t>
      </w:r>
      <w:r w:rsidRPr="00E85000">
        <w:rPr>
          <w:lang w:val="fr-FR"/>
        </w:rPr>
        <w:t xml:space="preserve">ordonnance de protection (paragraphe 26 ci-dessus). Toutefois, </w:t>
      </w:r>
      <w:r>
        <w:rPr>
          <w:lang w:val="fr-FR"/>
        </w:rPr>
        <w:t xml:space="preserve">elle </w:t>
      </w:r>
      <w:r w:rsidRPr="00E85000">
        <w:rPr>
          <w:lang w:val="fr-FR"/>
        </w:rPr>
        <w:t>observe que les allégations selon lesquelles l</w:t>
      </w:r>
      <w:r w:rsidR="0068586D">
        <w:rPr>
          <w:lang w:val="fr-FR"/>
        </w:rPr>
        <w:t>’</w:t>
      </w:r>
      <w:r w:rsidRPr="00E85000">
        <w:rPr>
          <w:lang w:val="fr-FR"/>
        </w:rPr>
        <w:t xml:space="preserve">intéressée a saisi la police à cet égard ne sont pas étayées par les éléments de preuve versés au dossier par les parties (paragraphes 26-27 ci-dessus). </w:t>
      </w:r>
      <w:r>
        <w:rPr>
          <w:lang w:val="fr-FR"/>
        </w:rPr>
        <w:t>Elle</w:t>
      </w:r>
      <w:r w:rsidRPr="00E85000">
        <w:rPr>
          <w:lang w:val="fr-FR"/>
        </w:rPr>
        <w:t xml:space="preserve"> note néanmoins que l</w:t>
      </w:r>
      <w:r w:rsidR="0068586D">
        <w:rPr>
          <w:lang w:val="fr-FR"/>
        </w:rPr>
        <w:t>’</w:t>
      </w:r>
      <w:r w:rsidRPr="00E85000">
        <w:rPr>
          <w:lang w:val="fr-FR"/>
        </w:rPr>
        <w:t>ordonnance de protection a été rendue pour une période ultérieure aux incidents des 17 et 22 décembre 2013 dénoncés par la requérante et que les effets de cette ordonnance ont été sans conséquence sur l</w:t>
      </w:r>
      <w:r w:rsidR="0068586D">
        <w:rPr>
          <w:lang w:val="fr-FR"/>
        </w:rPr>
        <w:t>’</w:t>
      </w:r>
      <w:r w:rsidRPr="00E85000">
        <w:rPr>
          <w:lang w:val="fr-FR"/>
        </w:rPr>
        <w:t>effectivité de l</w:t>
      </w:r>
      <w:r w:rsidR="0068586D">
        <w:rPr>
          <w:lang w:val="fr-FR"/>
        </w:rPr>
        <w:t>’</w:t>
      </w:r>
      <w:r w:rsidRPr="00E85000">
        <w:rPr>
          <w:lang w:val="fr-FR"/>
        </w:rPr>
        <w:t>enquête pénale menée en l</w:t>
      </w:r>
      <w:r w:rsidR="0068586D">
        <w:rPr>
          <w:lang w:val="fr-FR"/>
        </w:rPr>
        <w:t>’</w:t>
      </w:r>
      <w:r w:rsidRPr="00E85000">
        <w:rPr>
          <w:lang w:val="fr-FR"/>
        </w:rPr>
        <w:t>espèce.</w:t>
      </w:r>
    </w:p>
    <w:p w:rsidRPr="00E85000" w:rsidR="00112A65" w:rsidP="00112A65" w:rsidRDefault="00112A65">
      <w:pPr>
        <w:pStyle w:val="ECHRPara"/>
        <w:rPr>
          <w:lang w:val="fr-FR"/>
        </w:rPr>
      </w:pPr>
      <w:r w:rsidRPr="00E85000">
        <w:rPr>
          <w:lang w:val="fr-FR"/>
        </w:rPr>
        <w:fldChar w:fldCharType="begin"/>
      </w:r>
      <w:r w:rsidRPr="00E85000">
        <w:rPr>
          <w:lang w:val="fr-FR"/>
        </w:rPr>
        <w:instrText xml:space="preserve"> SEQ level0 \*arabic </w:instrText>
      </w:r>
      <w:r w:rsidRPr="00E85000">
        <w:rPr>
          <w:lang w:val="fr-FR"/>
        </w:rPr>
        <w:fldChar w:fldCharType="separate"/>
      </w:r>
      <w:r w:rsidRPr="00E85000">
        <w:rPr>
          <w:noProof/>
          <w:lang w:val="fr-FR"/>
        </w:rPr>
        <w:t>72</w:t>
      </w:r>
      <w:r w:rsidRPr="00E85000">
        <w:rPr>
          <w:lang w:val="fr-FR"/>
        </w:rPr>
        <w:fldChar w:fldCharType="end"/>
      </w:r>
      <w:r w:rsidRPr="00E85000">
        <w:rPr>
          <w:lang w:val="fr-FR"/>
        </w:rPr>
        <w:t>.  Dès lors, la Cour estime que, même si le cadre juridique mis en place par l</w:t>
      </w:r>
      <w:r w:rsidR="0068586D">
        <w:rPr>
          <w:lang w:val="fr-FR"/>
        </w:rPr>
        <w:t>’</w:t>
      </w:r>
      <w:r w:rsidRPr="00E85000">
        <w:rPr>
          <w:lang w:val="fr-FR"/>
        </w:rPr>
        <w:t>État défendeur a offert une forme de protection à la requérante (paragraphe 65 ci-dessus), celle-ci est intervenue après les faits violents dénoncés et n</w:t>
      </w:r>
      <w:r w:rsidR="0068586D">
        <w:rPr>
          <w:lang w:val="fr-FR"/>
        </w:rPr>
        <w:t>’</w:t>
      </w:r>
      <w:r w:rsidRPr="00E85000">
        <w:rPr>
          <w:lang w:val="fr-FR"/>
        </w:rPr>
        <w:t>a pas pu remédier aux carences de l</w:t>
      </w:r>
      <w:r w:rsidR="0068586D">
        <w:rPr>
          <w:lang w:val="fr-FR"/>
        </w:rPr>
        <w:t>’</w:t>
      </w:r>
      <w:r w:rsidRPr="00E85000">
        <w:rPr>
          <w:lang w:val="fr-FR"/>
        </w:rPr>
        <w:t>enquête.</w:t>
      </w:r>
    </w:p>
    <w:p w:rsidRPr="00E85000" w:rsidR="00112A65" w:rsidP="00112A65" w:rsidRDefault="00112A65">
      <w:pPr>
        <w:pStyle w:val="ECHRHeading5"/>
        <w:rPr>
          <w:lang w:val="fr-FR"/>
        </w:rPr>
      </w:pPr>
      <w:r w:rsidRPr="00E85000">
        <w:rPr>
          <w:lang w:val="fr-FR"/>
        </w:rPr>
        <w:t>ii. Sur l</w:t>
      </w:r>
      <w:r w:rsidR="0068586D">
        <w:rPr>
          <w:lang w:val="fr-FR"/>
        </w:rPr>
        <w:t>’</w:t>
      </w:r>
      <w:r w:rsidRPr="00E85000">
        <w:rPr>
          <w:lang w:val="fr-FR"/>
        </w:rPr>
        <w:t>enquête relative à la violation du secret de la correspondance</w:t>
      </w:r>
    </w:p>
    <w:bookmarkStart w:name="par73" w:id="38"/>
    <w:p w:rsidRPr="00E85000" w:rsidR="00112A65" w:rsidP="00112A65" w:rsidRDefault="00112A65">
      <w:pPr>
        <w:pStyle w:val="ECHRPara"/>
        <w:rPr>
          <w:lang w:val="fr-FR"/>
        </w:rPr>
      </w:pPr>
      <w:r w:rsidRPr="00E85000">
        <w:rPr>
          <w:lang w:val="fr-FR"/>
        </w:rPr>
        <w:fldChar w:fldCharType="begin"/>
      </w:r>
      <w:r w:rsidRPr="00E85000">
        <w:rPr>
          <w:lang w:val="fr-FR"/>
        </w:rPr>
        <w:instrText xml:space="preserve"> SEQ level0 \*arabic </w:instrText>
      </w:r>
      <w:r w:rsidRPr="00E85000">
        <w:rPr>
          <w:lang w:val="fr-FR"/>
        </w:rPr>
        <w:fldChar w:fldCharType="separate"/>
      </w:r>
      <w:r w:rsidRPr="00E85000">
        <w:rPr>
          <w:noProof/>
          <w:lang w:val="fr-FR"/>
        </w:rPr>
        <w:t>73</w:t>
      </w:r>
      <w:r w:rsidRPr="00E85000">
        <w:rPr>
          <w:lang w:val="fr-FR"/>
        </w:rPr>
        <w:fldChar w:fldCharType="end"/>
      </w:r>
      <w:bookmarkEnd w:id="38"/>
      <w:r w:rsidRPr="00E85000">
        <w:rPr>
          <w:lang w:val="fr-FR"/>
        </w:rPr>
        <w:t>.  La Cour observe que le code pénal roumain réprime expressément l</w:t>
      </w:r>
      <w:r w:rsidR="0068586D">
        <w:rPr>
          <w:lang w:val="fr-FR"/>
        </w:rPr>
        <w:t>’</w:t>
      </w:r>
      <w:r w:rsidRPr="00E85000">
        <w:rPr>
          <w:lang w:val="fr-FR"/>
        </w:rPr>
        <w:t>infraction de violation du secret de la correspondance (pour les deux versions du code successivement en vigueur, paragraphes 31</w:t>
      </w:r>
      <w:r>
        <w:rPr>
          <w:lang w:val="fr-FR"/>
        </w:rPr>
        <w:t>-</w:t>
      </w:r>
      <w:r w:rsidRPr="00E85000">
        <w:rPr>
          <w:lang w:val="fr-FR"/>
        </w:rPr>
        <w:t>32 ci-dessus). Elle observe également que la requérante a saisi les autorités nationales dans le cadre de la procédure pénale pour violences et menaces pour se plaindre que son ex-époux aurait eu accès sans droit à ses communications électroniques et en aurait fait des copies (paragraphes 11 et 14 ci-dessus). Les autorités chargées de l</w:t>
      </w:r>
      <w:r w:rsidR="0068586D">
        <w:rPr>
          <w:lang w:val="fr-FR"/>
        </w:rPr>
        <w:t>’</w:t>
      </w:r>
      <w:r w:rsidRPr="00E85000">
        <w:rPr>
          <w:lang w:val="fr-FR"/>
        </w:rPr>
        <w:t>enquête pénale n</w:t>
      </w:r>
      <w:r w:rsidR="0068586D">
        <w:rPr>
          <w:lang w:val="fr-FR"/>
        </w:rPr>
        <w:t>’</w:t>
      </w:r>
      <w:r w:rsidRPr="00E85000">
        <w:rPr>
          <w:lang w:val="fr-FR"/>
        </w:rPr>
        <w:t>ont à aucun moment indiqué à la requérante que les faits qu</w:t>
      </w:r>
      <w:r w:rsidR="0068586D">
        <w:rPr>
          <w:lang w:val="fr-FR"/>
        </w:rPr>
        <w:t>’</w:t>
      </w:r>
      <w:r w:rsidRPr="00E85000">
        <w:rPr>
          <w:lang w:val="fr-FR"/>
        </w:rPr>
        <w:t>elle reprochait à son ex</w:t>
      </w:r>
      <w:r w:rsidRPr="00E85000">
        <w:rPr>
          <w:lang w:val="fr-FR"/>
        </w:rPr>
        <w:noBreakHyphen/>
        <w:t>époux n</w:t>
      </w:r>
      <w:r w:rsidR="0068586D">
        <w:rPr>
          <w:lang w:val="fr-FR"/>
        </w:rPr>
        <w:t>’</w:t>
      </w:r>
      <w:r w:rsidRPr="00E85000">
        <w:rPr>
          <w:lang w:val="fr-FR"/>
        </w:rPr>
        <w:t>étaient pas de nature pénale et le Gouvernement n</w:t>
      </w:r>
      <w:r w:rsidR="0068586D">
        <w:rPr>
          <w:lang w:val="fr-FR"/>
        </w:rPr>
        <w:t>’</w:t>
      </w:r>
      <w:r w:rsidRPr="00E85000">
        <w:rPr>
          <w:lang w:val="fr-FR"/>
        </w:rPr>
        <w:t>a pas soutenu non plus devant la Cour que la voie pénale était inadéquate en l</w:t>
      </w:r>
      <w:r w:rsidR="0068586D">
        <w:rPr>
          <w:lang w:val="fr-FR"/>
        </w:rPr>
        <w:t>’</w:t>
      </w:r>
      <w:r w:rsidRPr="00E85000">
        <w:rPr>
          <w:lang w:val="fr-FR"/>
        </w:rPr>
        <w:t>espèce. L</w:t>
      </w:r>
      <w:r w:rsidR="0068586D">
        <w:rPr>
          <w:lang w:val="fr-FR"/>
        </w:rPr>
        <w:t>’</w:t>
      </w:r>
      <w:r w:rsidRPr="00E85000">
        <w:rPr>
          <w:lang w:val="fr-FR"/>
        </w:rPr>
        <w:t>argument du Gouvernement consiste plutôt à dire que la requérante n</w:t>
      </w:r>
      <w:r w:rsidR="0068586D">
        <w:rPr>
          <w:lang w:val="fr-FR"/>
        </w:rPr>
        <w:t>’</w:t>
      </w:r>
      <w:r w:rsidRPr="00E85000">
        <w:rPr>
          <w:lang w:val="fr-FR"/>
        </w:rPr>
        <w:t>a pas choisi la voie la plus opportune dans les circonstances et qu</w:t>
      </w:r>
      <w:r w:rsidR="0068586D">
        <w:rPr>
          <w:lang w:val="fr-FR"/>
        </w:rPr>
        <w:t>’</w:t>
      </w:r>
      <w:r w:rsidRPr="00E85000">
        <w:rPr>
          <w:lang w:val="fr-FR"/>
        </w:rPr>
        <w:t>elle aurait dû former une action civile en responsabilité délictuelle puisque les faits en cause visaient un particulier (paragraphe 49 ci-dessus). Or la Cour estime que la requérante s</w:t>
      </w:r>
      <w:r w:rsidR="0068586D">
        <w:rPr>
          <w:lang w:val="fr-FR"/>
        </w:rPr>
        <w:t>’</w:t>
      </w:r>
      <w:r w:rsidRPr="00E85000">
        <w:rPr>
          <w:lang w:val="fr-FR"/>
        </w:rPr>
        <w:t>est prévalue d</w:t>
      </w:r>
      <w:r w:rsidR="0068586D">
        <w:rPr>
          <w:lang w:val="fr-FR"/>
        </w:rPr>
        <w:t>’</w:t>
      </w:r>
      <w:r w:rsidRPr="00E85000">
        <w:rPr>
          <w:lang w:val="fr-FR"/>
        </w:rPr>
        <w:t>une voie de recours que le droit interne mettait à sa disposition et qu</w:t>
      </w:r>
      <w:r w:rsidR="0068586D">
        <w:rPr>
          <w:lang w:val="fr-FR"/>
        </w:rPr>
        <w:t>’</w:t>
      </w:r>
      <w:r w:rsidRPr="00E85000">
        <w:rPr>
          <w:lang w:val="fr-FR"/>
        </w:rPr>
        <w:t>elle a ainsi épuisé les voies de recours disponibles. L</w:t>
      </w:r>
      <w:r w:rsidR="0068586D">
        <w:rPr>
          <w:lang w:val="fr-FR"/>
        </w:rPr>
        <w:t>’</w:t>
      </w:r>
      <w:r w:rsidRPr="00E85000">
        <w:rPr>
          <w:lang w:val="fr-FR"/>
        </w:rPr>
        <w:t>existence d</w:t>
      </w:r>
      <w:r w:rsidR="0068586D">
        <w:rPr>
          <w:lang w:val="fr-FR"/>
        </w:rPr>
        <w:t>’</w:t>
      </w:r>
      <w:r w:rsidRPr="00E85000">
        <w:rPr>
          <w:lang w:val="fr-FR"/>
        </w:rPr>
        <w:t xml:space="preserve">une voie de recours alternative ne saurait mener à une autre conclusion (voir, </w:t>
      </w:r>
      <w:r w:rsidRPr="00E85000">
        <w:rPr>
          <w:i/>
          <w:lang w:val="fr-FR"/>
        </w:rPr>
        <w:t>mutatis mutandis</w:t>
      </w:r>
      <w:r w:rsidRPr="00E85000">
        <w:rPr>
          <w:lang w:val="fr-FR"/>
        </w:rPr>
        <w:t xml:space="preserve">, </w:t>
      </w:r>
      <w:proofErr w:type="spellStart"/>
      <w:r w:rsidRPr="00E85000">
        <w:rPr>
          <w:i/>
          <w:lang w:val="fr-FR"/>
        </w:rPr>
        <w:t>Aquilina</w:t>
      </w:r>
      <w:proofErr w:type="spellEnd"/>
      <w:r w:rsidRPr="00E85000">
        <w:rPr>
          <w:i/>
          <w:lang w:val="fr-FR"/>
        </w:rPr>
        <w:t xml:space="preserve"> c. Malte</w:t>
      </w:r>
      <w:r w:rsidRPr="00E85000">
        <w:rPr>
          <w:lang w:val="fr-FR"/>
        </w:rPr>
        <w:t xml:space="preserve"> [GC], n</w:t>
      </w:r>
      <w:r w:rsidRPr="00E85000">
        <w:rPr>
          <w:vertAlign w:val="superscript"/>
          <w:lang w:val="fr-FR"/>
        </w:rPr>
        <w:t>o</w:t>
      </w:r>
      <w:r>
        <w:rPr>
          <w:lang w:val="fr-FR"/>
        </w:rPr>
        <w:t> 25642/94, § </w:t>
      </w:r>
      <w:r w:rsidRPr="00E85000">
        <w:rPr>
          <w:lang w:val="fr-FR"/>
        </w:rPr>
        <w:t xml:space="preserve">39 </w:t>
      </w:r>
      <w:r w:rsidRPr="00E85000">
        <w:rPr>
          <w:i/>
          <w:lang w:val="fr-FR"/>
        </w:rPr>
        <w:t>in fine</w:t>
      </w:r>
      <w:r w:rsidRPr="00E85000">
        <w:rPr>
          <w:lang w:val="fr-FR"/>
        </w:rPr>
        <w:t>, CEDH 1999</w:t>
      </w:r>
      <w:r w:rsidRPr="00E85000">
        <w:rPr>
          <w:lang w:val="fr-FR"/>
        </w:rPr>
        <w:noBreakHyphen/>
        <w:t xml:space="preserve">III, et </w:t>
      </w:r>
      <w:r w:rsidRPr="00E85000">
        <w:rPr>
          <w:i/>
          <w:iCs/>
          <w:lang w:val="fr-FR"/>
        </w:rPr>
        <w:t>M.K. c. Grèce</w:t>
      </w:r>
      <w:r w:rsidRPr="00E85000">
        <w:rPr>
          <w:lang w:val="fr-FR" w:eastAsia="en-GB"/>
        </w:rPr>
        <w:t>, n</w:t>
      </w:r>
      <w:r w:rsidRPr="00E85000">
        <w:rPr>
          <w:vertAlign w:val="superscript"/>
          <w:lang w:val="fr-FR" w:eastAsia="en-GB"/>
        </w:rPr>
        <w:t>o</w:t>
      </w:r>
      <w:r w:rsidRPr="00E85000">
        <w:rPr>
          <w:lang w:val="fr-FR" w:eastAsia="en-GB"/>
        </w:rPr>
        <w:t> </w:t>
      </w:r>
      <w:r w:rsidRPr="00E85000">
        <w:rPr>
          <w:lang w:val="fr-FR"/>
        </w:rPr>
        <w:t>51312/16</w:t>
      </w:r>
      <w:r w:rsidRPr="00E85000">
        <w:rPr>
          <w:lang w:val="fr-FR" w:eastAsia="en-GB"/>
        </w:rPr>
        <w:t xml:space="preserve">, </w:t>
      </w:r>
      <w:r w:rsidRPr="00E85000">
        <w:rPr>
          <w:lang w:val="fr-FR"/>
        </w:rPr>
        <w:t xml:space="preserve">§ 55 </w:t>
      </w:r>
      <w:r w:rsidRPr="00E85000">
        <w:rPr>
          <w:i/>
          <w:lang w:val="fr-FR"/>
        </w:rPr>
        <w:t>in fine</w:t>
      </w:r>
      <w:r w:rsidRPr="00E85000">
        <w:rPr>
          <w:lang w:val="fr-FR"/>
        </w:rPr>
        <w:t>, 1</w:t>
      </w:r>
      <w:r w:rsidRPr="00E85000">
        <w:rPr>
          <w:vertAlign w:val="superscript"/>
          <w:lang w:val="fr-FR"/>
        </w:rPr>
        <w:t>er</w:t>
      </w:r>
      <w:r>
        <w:rPr>
          <w:lang w:val="fr-FR"/>
        </w:rPr>
        <w:t> </w:t>
      </w:r>
      <w:r w:rsidRPr="00E85000">
        <w:rPr>
          <w:lang w:val="fr-FR"/>
        </w:rPr>
        <w:t>février 2018). Il s</w:t>
      </w:r>
      <w:r w:rsidR="0068586D">
        <w:rPr>
          <w:lang w:val="fr-FR"/>
        </w:rPr>
        <w:t>’</w:t>
      </w:r>
      <w:r w:rsidRPr="00E85000">
        <w:rPr>
          <w:lang w:val="fr-FR"/>
        </w:rPr>
        <w:t>ensuit que l</w:t>
      </w:r>
      <w:r w:rsidR="0068586D">
        <w:rPr>
          <w:lang w:val="fr-FR"/>
        </w:rPr>
        <w:t>’</w:t>
      </w:r>
      <w:r w:rsidRPr="00E85000">
        <w:rPr>
          <w:lang w:val="fr-FR"/>
        </w:rPr>
        <w:t>exception préliminaire soulevée par le Gouvernement (paragraphe 49 ci-dessus)</w:t>
      </w:r>
      <w:r>
        <w:rPr>
          <w:lang w:val="fr-FR"/>
        </w:rPr>
        <w:t>,</w:t>
      </w:r>
      <w:r w:rsidRPr="00E85000">
        <w:rPr>
          <w:lang w:val="fr-FR"/>
        </w:rPr>
        <w:t xml:space="preserve"> qui avait été jointe au fond (paragraphe 51 ci-dessus), doit être rejetée.</w:t>
      </w:r>
    </w:p>
    <w:bookmarkStart w:name="Harcelement_électronique" w:id="39"/>
    <w:p w:rsidRPr="00E85000" w:rsidR="00112A65" w:rsidP="00112A65" w:rsidRDefault="00112A65">
      <w:pPr>
        <w:pStyle w:val="ECHRPara"/>
        <w:rPr>
          <w:i/>
          <w:lang w:val="fr-FR"/>
        </w:rPr>
      </w:pPr>
      <w:r w:rsidRPr="00E85000">
        <w:rPr>
          <w:lang w:val="fr-FR"/>
        </w:rPr>
        <w:fldChar w:fldCharType="begin"/>
      </w:r>
      <w:r w:rsidRPr="00E85000">
        <w:rPr>
          <w:lang w:val="fr-FR"/>
        </w:rPr>
        <w:instrText xml:space="preserve"> SEQ level0 \*arabic </w:instrText>
      </w:r>
      <w:r w:rsidRPr="00E85000">
        <w:rPr>
          <w:lang w:val="fr-FR"/>
        </w:rPr>
        <w:fldChar w:fldCharType="separate"/>
      </w:r>
      <w:r w:rsidRPr="00E85000">
        <w:rPr>
          <w:noProof/>
          <w:lang w:val="fr-FR"/>
        </w:rPr>
        <w:t>74</w:t>
      </w:r>
      <w:r w:rsidRPr="00E85000">
        <w:rPr>
          <w:lang w:val="fr-FR"/>
        </w:rPr>
        <w:fldChar w:fldCharType="end"/>
      </w:r>
      <w:bookmarkEnd w:id="39"/>
      <w:r w:rsidRPr="00E85000">
        <w:rPr>
          <w:lang w:val="fr-FR"/>
        </w:rPr>
        <w:t>.  La Cour note ensuite que la requérante soutient qu</w:t>
      </w:r>
      <w:r w:rsidR="0068586D">
        <w:rPr>
          <w:lang w:val="fr-FR"/>
        </w:rPr>
        <w:t>’</w:t>
      </w:r>
      <w:r w:rsidRPr="00E85000">
        <w:rPr>
          <w:lang w:val="fr-FR"/>
        </w:rPr>
        <w:t>elle avait saisi les autorités qui examinaient déjà sa plainte pénale pour violences et menaces puisque, à son avis, il y avait un lien direct entre la violation de sa correspondance par son ex-époux et les actes de violence, les menaces et l</w:t>
      </w:r>
      <w:r w:rsidR="0068586D">
        <w:rPr>
          <w:lang w:val="fr-FR"/>
        </w:rPr>
        <w:t>’</w:t>
      </w:r>
      <w:r w:rsidRPr="00E85000">
        <w:rPr>
          <w:lang w:val="fr-FR"/>
        </w:rPr>
        <w:t>intimidation qu</w:t>
      </w:r>
      <w:r w:rsidR="0068586D">
        <w:rPr>
          <w:lang w:val="fr-FR"/>
        </w:rPr>
        <w:t>’</w:t>
      </w:r>
      <w:r w:rsidRPr="00E85000">
        <w:rPr>
          <w:lang w:val="fr-FR"/>
        </w:rPr>
        <w:t>elle disait avoir subis (paragraphe 55 ci-dessus). La Cour note que, tant en droit interne qu</w:t>
      </w:r>
      <w:r w:rsidR="0068586D">
        <w:rPr>
          <w:lang w:val="fr-FR"/>
        </w:rPr>
        <w:t>’</w:t>
      </w:r>
      <w:r w:rsidRPr="00E85000">
        <w:rPr>
          <w:lang w:val="fr-FR"/>
        </w:rPr>
        <w:t>en droit international, le phénomène de la violence domestique n</w:t>
      </w:r>
      <w:r w:rsidR="0068586D">
        <w:rPr>
          <w:lang w:val="fr-FR"/>
        </w:rPr>
        <w:t>’</w:t>
      </w:r>
      <w:r w:rsidRPr="00E85000">
        <w:rPr>
          <w:lang w:val="fr-FR"/>
        </w:rPr>
        <w:t>est pas perçu comme étant limité aux seuls faits de violence physique mais qu</w:t>
      </w:r>
      <w:r w:rsidR="0068586D">
        <w:rPr>
          <w:lang w:val="fr-FR"/>
        </w:rPr>
        <w:t>’</w:t>
      </w:r>
      <w:r w:rsidRPr="00E85000">
        <w:rPr>
          <w:lang w:val="fr-FR"/>
        </w:rPr>
        <w:t>il inclut, entre autres, la violence psychologique ou le harcèlement (paragraphes 33 et 34-42 ci</w:t>
      </w:r>
      <w:r w:rsidRPr="00E85000">
        <w:rPr>
          <w:lang w:val="fr-FR"/>
        </w:rPr>
        <w:noBreakHyphen/>
        <w:t xml:space="preserve">dessus ; voir, </w:t>
      </w:r>
      <w:r w:rsidRPr="00E85000">
        <w:rPr>
          <w:i/>
          <w:lang w:val="fr-FR"/>
        </w:rPr>
        <w:t>mutatis mutandis</w:t>
      </w:r>
      <w:r w:rsidRPr="00E85000">
        <w:rPr>
          <w:lang w:val="fr-FR"/>
        </w:rPr>
        <w:t xml:space="preserve">, </w:t>
      </w:r>
      <w:r w:rsidRPr="00E85000">
        <w:rPr>
          <w:i/>
          <w:lang w:val="fr-FR"/>
        </w:rPr>
        <w:t>T.M. et C.M.</w:t>
      </w:r>
      <w:r w:rsidRPr="00E85000">
        <w:rPr>
          <w:lang w:val="fr-FR"/>
        </w:rPr>
        <w:t xml:space="preserve"> </w:t>
      </w:r>
      <w:r w:rsidRPr="00E85000">
        <w:rPr>
          <w:i/>
          <w:lang w:val="fr-FR"/>
        </w:rPr>
        <w:t>c. République de Moldova</w:t>
      </w:r>
      <w:r w:rsidRPr="00E85000">
        <w:rPr>
          <w:snapToGrid w:val="0"/>
          <w:lang w:val="fr-FR"/>
        </w:rPr>
        <w:t>, n</w:t>
      </w:r>
      <w:r w:rsidRPr="00E85000">
        <w:rPr>
          <w:snapToGrid w:val="0"/>
          <w:vertAlign w:val="superscript"/>
          <w:lang w:val="fr-FR"/>
        </w:rPr>
        <w:t>o</w:t>
      </w:r>
      <w:r w:rsidRPr="00E85000">
        <w:rPr>
          <w:snapToGrid w:val="0"/>
          <w:lang w:val="fr-FR"/>
        </w:rPr>
        <w:t> </w:t>
      </w:r>
      <w:r w:rsidRPr="00E85000">
        <w:rPr>
          <w:lang w:val="fr-FR"/>
        </w:rPr>
        <w:t>26608/11</w:t>
      </w:r>
      <w:r w:rsidRPr="00E85000">
        <w:rPr>
          <w:snapToGrid w:val="0"/>
          <w:lang w:val="fr-FR"/>
        </w:rPr>
        <w:t xml:space="preserve">, § 47, 28 </w:t>
      </w:r>
      <w:r w:rsidRPr="00E85000">
        <w:rPr>
          <w:lang w:val="fr-FR"/>
        </w:rPr>
        <w:t>janvier</w:t>
      </w:r>
      <w:r w:rsidRPr="00E85000">
        <w:rPr>
          <w:snapToGrid w:val="0"/>
          <w:lang w:val="fr-FR"/>
        </w:rPr>
        <w:t xml:space="preserve"> 2014</w:t>
      </w:r>
      <w:r w:rsidRPr="00E85000">
        <w:rPr>
          <w:lang w:val="fr-FR"/>
        </w:rPr>
        <w:t>). De plus, la cyberviolence est actuellement reconnue comme un aspect de la violence à l</w:t>
      </w:r>
      <w:r w:rsidR="0068586D">
        <w:rPr>
          <w:lang w:val="fr-FR"/>
        </w:rPr>
        <w:t>’</w:t>
      </w:r>
      <w:r w:rsidRPr="00E85000">
        <w:rPr>
          <w:lang w:val="fr-FR"/>
        </w:rPr>
        <w:t>encontre des femmes et des filles et peut se présenter sous diverses formes dont les violations informatiques de la vie privée, l</w:t>
      </w:r>
      <w:r w:rsidR="0068586D">
        <w:rPr>
          <w:lang w:val="fr-FR"/>
        </w:rPr>
        <w:t>’</w:t>
      </w:r>
      <w:r w:rsidRPr="00E85000">
        <w:rPr>
          <w:lang w:val="fr-FR"/>
        </w:rPr>
        <w:t>intrusion dans l</w:t>
      </w:r>
      <w:r w:rsidR="0068586D">
        <w:rPr>
          <w:lang w:val="fr-FR"/>
        </w:rPr>
        <w:t>’</w:t>
      </w:r>
      <w:r w:rsidRPr="00E85000">
        <w:rPr>
          <w:lang w:val="fr-FR"/>
        </w:rPr>
        <w:t>ordinateur de la victime et la prise, le partage et la manipulation des données et des images, y compris des données intimes (paragraphes 36, 40 et 42 ci-dessus). Dans le contexte de la violence domestique, la cybersurveillance est souvent le fait des partenaires intimes (paragraphe 40 ci-dessus). La Cour accepte donc l</w:t>
      </w:r>
      <w:r w:rsidR="0068586D">
        <w:rPr>
          <w:lang w:val="fr-FR"/>
        </w:rPr>
        <w:t>’</w:t>
      </w:r>
      <w:r w:rsidRPr="00E85000">
        <w:rPr>
          <w:lang w:val="fr-FR"/>
        </w:rPr>
        <w:t>argument de la requérante selon lequel des actes tels que surveiller, accéder à ou sauvegarder sans droit la correspondance du conjoint peuvent être pris en compte lorsque les autorités nationales enquêtent sur des faits de violence domestique.</w:t>
      </w:r>
    </w:p>
    <w:p w:rsidRPr="00E85000" w:rsidR="00112A65" w:rsidP="00112A65" w:rsidRDefault="00112A65">
      <w:pPr>
        <w:pStyle w:val="ECHRPara"/>
        <w:rPr>
          <w:lang w:val="fr-FR"/>
        </w:rPr>
      </w:pPr>
      <w:r w:rsidRPr="00E85000">
        <w:rPr>
          <w:lang w:val="fr-FR"/>
        </w:rPr>
        <w:fldChar w:fldCharType="begin"/>
      </w:r>
      <w:r w:rsidRPr="00E85000">
        <w:rPr>
          <w:lang w:val="fr-FR"/>
        </w:rPr>
        <w:instrText xml:space="preserve"> SEQ level0 \*arabic </w:instrText>
      </w:r>
      <w:r w:rsidRPr="00E85000">
        <w:rPr>
          <w:lang w:val="fr-FR"/>
        </w:rPr>
        <w:fldChar w:fldCharType="separate"/>
      </w:r>
      <w:r w:rsidRPr="00E85000">
        <w:rPr>
          <w:noProof/>
          <w:lang w:val="fr-FR"/>
        </w:rPr>
        <w:t>75</w:t>
      </w:r>
      <w:r w:rsidRPr="00E85000">
        <w:rPr>
          <w:lang w:val="fr-FR"/>
        </w:rPr>
        <w:fldChar w:fldCharType="end"/>
      </w:r>
      <w:r w:rsidRPr="00E85000">
        <w:rPr>
          <w:lang w:val="fr-FR"/>
        </w:rPr>
        <w:t>.  Or, en l</w:t>
      </w:r>
      <w:r w:rsidR="0068586D">
        <w:rPr>
          <w:lang w:val="fr-FR"/>
        </w:rPr>
        <w:t>’</w:t>
      </w:r>
      <w:r w:rsidRPr="00E85000">
        <w:rPr>
          <w:lang w:val="fr-FR"/>
        </w:rPr>
        <w:t>espèce, la Cour note que la plainte pénale déposée par la requérante pour violation du secret de la correspondance n</w:t>
      </w:r>
      <w:r w:rsidR="0068586D">
        <w:rPr>
          <w:lang w:val="fr-FR"/>
        </w:rPr>
        <w:t>’</w:t>
      </w:r>
      <w:r w:rsidRPr="00E85000">
        <w:rPr>
          <w:lang w:val="fr-FR"/>
        </w:rPr>
        <w:t>a pas été examinée sur le fond par les autorités internes. Ainsi, elle constate que la demande de perquisition électronique de l</w:t>
      </w:r>
      <w:r w:rsidR="0068586D">
        <w:rPr>
          <w:lang w:val="fr-FR"/>
        </w:rPr>
        <w:t>’</w:t>
      </w:r>
      <w:r w:rsidRPr="00E85000">
        <w:rPr>
          <w:lang w:val="fr-FR"/>
        </w:rPr>
        <w:t>ordinateur de la famille formée par la requérante le 18 mars 2014 a été rejetée par la police de Tulcea au motif que les éléments susceptibles d</w:t>
      </w:r>
      <w:r w:rsidR="0068586D">
        <w:rPr>
          <w:lang w:val="fr-FR"/>
        </w:rPr>
        <w:t>’</w:t>
      </w:r>
      <w:r w:rsidRPr="00E85000">
        <w:rPr>
          <w:lang w:val="fr-FR"/>
        </w:rPr>
        <w:t>être recueillis de cette façon étaient sans rapport avec les infractions de menaces et de violences reprochées à M.V. (paragraphe 11 ci</w:t>
      </w:r>
      <w:r w:rsidRPr="00E85000">
        <w:rPr>
          <w:lang w:val="fr-FR"/>
        </w:rPr>
        <w:noBreakHyphen/>
        <w:t>dessus). La Cour relève ensuite que la plainte pénale déposée le 11 septembre 2014 pour violation du secret de la correspondance a été rejetée par l</w:t>
      </w:r>
      <w:r w:rsidR="0068586D">
        <w:rPr>
          <w:lang w:val="fr-FR"/>
        </w:rPr>
        <w:t>’</w:t>
      </w:r>
      <w:r w:rsidRPr="00E85000">
        <w:rPr>
          <w:lang w:val="fr-FR"/>
        </w:rPr>
        <w:t>ordonnance du parquet du 17 février 2015 pour tardiveté (paragraphes 13 et 17 ci</w:t>
      </w:r>
      <w:r w:rsidRPr="00E85000">
        <w:rPr>
          <w:lang w:val="fr-FR"/>
        </w:rPr>
        <w:noBreakHyphen/>
        <w:t>dessus). La Cour estime qu</w:t>
      </w:r>
      <w:r w:rsidR="0068586D">
        <w:rPr>
          <w:lang w:val="fr-FR"/>
        </w:rPr>
        <w:t>’</w:t>
      </w:r>
      <w:r w:rsidRPr="00E85000">
        <w:rPr>
          <w:lang w:val="fr-FR"/>
        </w:rPr>
        <w:t>en procédant ainsi les autorités de l</w:t>
      </w:r>
      <w:r w:rsidR="0068586D">
        <w:rPr>
          <w:lang w:val="fr-FR"/>
        </w:rPr>
        <w:t>’</w:t>
      </w:r>
      <w:r w:rsidRPr="00E85000">
        <w:rPr>
          <w:lang w:val="fr-FR"/>
        </w:rPr>
        <w:t>enquête ont fait preuve d</w:t>
      </w:r>
      <w:r w:rsidR="0068586D">
        <w:rPr>
          <w:lang w:val="fr-FR"/>
        </w:rPr>
        <w:t>’</w:t>
      </w:r>
      <w:r w:rsidRPr="00E85000">
        <w:rPr>
          <w:lang w:val="fr-FR"/>
        </w:rPr>
        <w:t>un formalisme excessif, d</w:t>
      </w:r>
      <w:r w:rsidR="0068586D">
        <w:rPr>
          <w:lang w:val="fr-FR"/>
        </w:rPr>
        <w:t>’</w:t>
      </w:r>
      <w:r w:rsidRPr="00E85000">
        <w:rPr>
          <w:lang w:val="fr-FR"/>
        </w:rPr>
        <w:t>autant plus que, selon les arguments de la requérante (paragraphe 55 ci-dessus), non contredits par le Gouvernement, le nouveau code pénal, entré en vigueur le 1</w:t>
      </w:r>
      <w:r w:rsidRPr="00E85000">
        <w:rPr>
          <w:vertAlign w:val="superscript"/>
          <w:lang w:val="fr-FR"/>
        </w:rPr>
        <w:t>er</w:t>
      </w:r>
      <w:r w:rsidRPr="00E85000">
        <w:rPr>
          <w:lang w:val="fr-FR"/>
        </w:rPr>
        <w:t xml:space="preserve"> février 2014, et donc avant la première demande de la requérante visant à obtenir une perquisition informatique de l</w:t>
      </w:r>
      <w:r w:rsidR="0068586D">
        <w:rPr>
          <w:lang w:val="fr-FR"/>
        </w:rPr>
        <w:t>’</w:t>
      </w:r>
      <w:r w:rsidRPr="00E85000">
        <w:rPr>
          <w:lang w:val="fr-FR"/>
        </w:rPr>
        <w:t>ordinateur de la famille, permettait la saisine d</w:t>
      </w:r>
      <w:r w:rsidR="0068586D">
        <w:rPr>
          <w:lang w:val="fr-FR"/>
        </w:rPr>
        <w:t>’</w:t>
      </w:r>
      <w:r w:rsidRPr="00E85000">
        <w:rPr>
          <w:lang w:val="fr-FR"/>
        </w:rPr>
        <w:t>office des autorités d</w:t>
      </w:r>
      <w:r w:rsidR="0068586D">
        <w:rPr>
          <w:lang w:val="fr-FR"/>
        </w:rPr>
        <w:t>’</w:t>
      </w:r>
      <w:r w:rsidRPr="00E85000">
        <w:rPr>
          <w:lang w:val="fr-FR"/>
        </w:rPr>
        <w:t>enquête dans le cas d</w:t>
      </w:r>
      <w:r w:rsidR="0068586D">
        <w:rPr>
          <w:lang w:val="fr-FR"/>
        </w:rPr>
        <w:t>’</w:t>
      </w:r>
      <w:r w:rsidRPr="00E85000">
        <w:rPr>
          <w:lang w:val="fr-FR"/>
        </w:rPr>
        <w:t>interception sans droit d</w:t>
      </w:r>
      <w:r w:rsidR="0068586D">
        <w:rPr>
          <w:lang w:val="fr-FR"/>
        </w:rPr>
        <w:t>’</w:t>
      </w:r>
      <w:r w:rsidRPr="00E85000">
        <w:rPr>
          <w:lang w:val="fr-FR"/>
        </w:rPr>
        <w:t>une conversation effectuée par tout moyen électronique de communication, la condition d</w:t>
      </w:r>
      <w:r w:rsidR="0068586D">
        <w:rPr>
          <w:lang w:val="fr-FR"/>
        </w:rPr>
        <w:t>’</w:t>
      </w:r>
      <w:r w:rsidRPr="00E85000">
        <w:rPr>
          <w:lang w:val="fr-FR"/>
        </w:rPr>
        <w:t>une plainte préalable étant prévue seulement pour l</w:t>
      </w:r>
      <w:r w:rsidR="0068586D">
        <w:rPr>
          <w:lang w:val="fr-FR"/>
        </w:rPr>
        <w:t>’</w:t>
      </w:r>
      <w:r w:rsidRPr="00E85000">
        <w:rPr>
          <w:lang w:val="fr-FR"/>
        </w:rPr>
        <w:t>ouverture, la soustraction, la destruction ou la rétention sans droit de la correspondance adressée à autrui (voir l</w:t>
      </w:r>
      <w:r w:rsidR="0068586D">
        <w:rPr>
          <w:lang w:val="fr-FR"/>
        </w:rPr>
        <w:t>’</w:t>
      </w:r>
      <w:r w:rsidRPr="00E85000">
        <w:rPr>
          <w:lang w:val="fr-FR"/>
        </w:rPr>
        <w:t>article 302 du nouveau code pénal, cité au paragraphe 32 ci-dessus).</w:t>
      </w:r>
    </w:p>
    <w:p w:rsidRPr="00E85000" w:rsidR="00112A65" w:rsidP="00112A65" w:rsidRDefault="00112A65">
      <w:pPr>
        <w:pStyle w:val="ECHRPara"/>
        <w:rPr>
          <w:lang w:val="fr-FR"/>
        </w:rPr>
      </w:pPr>
      <w:r w:rsidRPr="00E85000">
        <w:rPr>
          <w:lang w:val="fr-FR"/>
        </w:rPr>
        <w:fldChar w:fldCharType="begin"/>
      </w:r>
      <w:r w:rsidRPr="00E85000">
        <w:rPr>
          <w:lang w:val="fr-FR"/>
        </w:rPr>
        <w:instrText xml:space="preserve"> SEQ level0 \*arabic </w:instrText>
      </w:r>
      <w:r w:rsidRPr="00E85000">
        <w:rPr>
          <w:lang w:val="fr-FR"/>
        </w:rPr>
        <w:fldChar w:fldCharType="separate"/>
      </w:r>
      <w:r w:rsidRPr="00E85000">
        <w:rPr>
          <w:noProof/>
          <w:lang w:val="fr-FR"/>
        </w:rPr>
        <w:t>76</w:t>
      </w:r>
      <w:r w:rsidRPr="00E85000">
        <w:rPr>
          <w:lang w:val="fr-FR"/>
        </w:rPr>
        <w:fldChar w:fldCharType="end"/>
      </w:r>
      <w:r w:rsidRPr="00E85000">
        <w:rPr>
          <w:lang w:val="fr-FR"/>
        </w:rPr>
        <w:t>.  Quant à la décision définitive du 25 mai 2015 du tribunal de première instance selon laquelle la plainte de la requérante relative à la violation alléguée du secret de la correspondance était sans rapport avec l</w:t>
      </w:r>
      <w:r w:rsidR="0068586D">
        <w:rPr>
          <w:lang w:val="fr-FR"/>
        </w:rPr>
        <w:t>’</w:t>
      </w:r>
      <w:r w:rsidRPr="00E85000">
        <w:rPr>
          <w:lang w:val="fr-FR"/>
        </w:rPr>
        <w:t>objet de l</w:t>
      </w:r>
      <w:r w:rsidR="0068586D">
        <w:rPr>
          <w:lang w:val="fr-FR"/>
        </w:rPr>
        <w:t>’</w:t>
      </w:r>
      <w:r w:rsidRPr="00E85000">
        <w:rPr>
          <w:lang w:val="fr-FR"/>
        </w:rPr>
        <w:t>affaire et les données publiées sur les réseaux sociaux étaient publiques (paragraphe 21 ci-dessus), la Cour estime que ses conclusions sont sujettes à caution. Elle rappelle avoir déjà accepté que des actes tels que surveiller, accéder à ou sauvegarder sans droit la correspondance du conjoint peuvent être pris en compte lorsque les autorités nationales enquêtent sur des faits de violence domestique (paragraphe 74 ci</w:t>
      </w:r>
      <w:r w:rsidRPr="00E85000">
        <w:rPr>
          <w:lang w:val="fr-FR"/>
        </w:rPr>
        <w:noBreakHyphen/>
        <w:t>dessus). Elle estime que de telles allégations de violation de la correspondance appellent de la part des autorités un examen sur le fond afin de pouvoir appréhender de manière globale le phénomène de violence conjugale dans toutes ses formes.</w:t>
      </w:r>
    </w:p>
    <w:p w:rsidRPr="00E85000" w:rsidR="00112A65" w:rsidP="00112A65" w:rsidRDefault="00112A65">
      <w:pPr>
        <w:pStyle w:val="ECHRPara"/>
        <w:rPr>
          <w:lang w:val="fr-FR"/>
        </w:rPr>
      </w:pPr>
      <w:r w:rsidRPr="00E85000">
        <w:rPr>
          <w:lang w:val="fr-FR"/>
        </w:rPr>
        <w:fldChar w:fldCharType="begin"/>
      </w:r>
      <w:r w:rsidRPr="00E85000">
        <w:rPr>
          <w:lang w:val="fr-FR"/>
        </w:rPr>
        <w:instrText xml:space="preserve"> SEQ level0 \*arabic </w:instrText>
      </w:r>
      <w:r w:rsidRPr="00E85000">
        <w:rPr>
          <w:lang w:val="fr-FR"/>
        </w:rPr>
        <w:fldChar w:fldCharType="separate"/>
      </w:r>
      <w:r w:rsidRPr="00E85000">
        <w:rPr>
          <w:noProof/>
          <w:lang w:val="fr-FR"/>
        </w:rPr>
        <w:t>77</w:t>
      </w:r>
      <w:r w:rsidRPr="00E85000">
        <w:rPr>
          <w:lang w:val="fr-FR"/>
        </w:rPr>
        <w:fldChar w:fldCharType="end"/>
      </w:r>
      <w:r w:rsidRPr="00E85000">
        <w:rPr>
          <w:lang w:val="fr-FR"/>
        </w:rPr>
        <w:t>.  En outre, la Cour note que la requérante a allégué que son ex-époux avait abusivement consulté ses comptes électroniques, dont son compte Facebook, et qu</w:t>
      </w:r>
      <w:r w:rsidR="0068586D">
        <w:rPr>
          <w:lang w:val="fr-FR"/>
        </w:rPr>
        <w:t>’</w:t>
      </w:r>
      <w:r w:rsidRPr="00E85000">
        <w:rPr>
          <w:lang w:val="fr-FR"/>
        </w:rPr>
        <w:t>il avait fait des copies de ses conversations privées, de ses documents et de ses photos (paragraphes 11 et 13 ci-dessus). Elle en déduit que la requérante faisait référence à un ensemble de données et de documents électroniques qui n</w:t>
      </w:r>
      <w:r w:rsidR="0068586D">
        <w:rPr>
          <w:lang w:val="fr-FR"/>
        </w:rPr>
        <w:t>’</w:t>
      </w:r>
      <w:r w:rsidRPr="00E85000">
        <w:rPr>
          <w:lang w:val="fr-FR"/>
        </w:rPr>
        <w:t>étaient pas limités aux données qu</w:t>
      </w:r>
      <w:r w:rsidR="0068586D">
        <w:rPr>
          <w:lang w:val="fr-FR"/>
        </w:rPr>
        <w:t>’</w:t>
      </w:r>
      <w:r w:rsidRPr="00E85000">
        <w:rPr>
          <w:lang w:val="fr-FR"/>
        </w:rPr>
        <w:t>elle aurait publiées sur les réseaux sociaux. La Cour estime que la conclusion du tribunal de première instance selon laquelle les données en cause étaient publiques est problématique dans la mesure où les autorités nationales n</w:t>
      </w:r>
      <w:r w:rsidR="0068586D">
        <w:rPr>
          <w:lang w:val="fr-FR"/>
        </w:rPr>
        <w:t>’</w:t>
      </w:r>
      <w:r w:rsidRPr="00E85000">
        <w:rPr>
          <w:lang w:val="fr-FR"/>
        </w:rPr>
        <w:t>ont pas procédé à un examen sur le fond des allégations de la requérante pour pouvoir ainsi qualifier la nature des données et des communications visées.</w:t>
      </w:r>
    </w:p>
    <w:bookmarkStart w:name="conclusion_correspondance" w:id="40"/>
    <w:p w:rsidRPr="00E85000" w:rsidR="00112A65" w:rsidP="00112A65" w:rsidRDefault="00112A65">
      <w:pPr>
        <w:pStyle w:val="ECHRPara"/>
        <w:rPr>
          <w:lang w:val="fr-FR"/>
        </w:rPr>
      </w:pPr>
      <w:r w:rsidRPr="00E85000">
        <w:rPr>
          <w:lang w:val="fr-FR"/>
        </w:rPr>
        <w:fldChar w:fldCharType="begin"/>
      </w:r>
      <w:r w:rsidRPr="00E85000">
        <w:rPr>
          <w:lang w:val="fr-FR"/>
        </w:rPr>
        <w:instrText xml:space="preserve"> SEQ level0 \*arabic </w:instrText>
      </w:r>
      <w:r w:rsidRPr="00E85000">
        <w:rPr>
          <w:lang w:val="fr-FR"/>
        </w:rPr>
        <w:fldChar w:fldCharType="separate"/>
      </w:r>
      <w:r w:rsidRPr="00E85000">
        <w:rPr>
          <w:noProof/>
          <w:lang w:val="fr-FR"/>
        </w:rPr>
        <w:t>78</w:t>
      </w:r>
      <w:r w:rsidRPr="00E85000">
        <w:rPr>
          <w:lang w:val="fr-FR"/>
        </w:rPr>
        <w:fldChar w:fldCharType="end"/>
      </w:r>
      <w:bookmarkEnd w:id="40"/>
      <w:r w:rsidRPr="00E85000">
        <w:rPr>
          <w:lang w:val="fr-FR"/>
        </w:rPr>
        <w:t>.  La Cour conclut donc que les allégations de la requérante selon lesquelles son ex-époux avait abusivement intercepté, consulté et sauvegardé ses communications électroniques n</w:t>
      </w:r>
      <w:r w:rsidR="0068586D">
        <w:rPr>
          <w:lang w:val="fr-FR"/>
        </w:rPr>
        <w:t>’</w:t>
      </w:r>
      <w:r w:rsidRPr="00E85000">
        <w:rPr>
          <w:lang w:val="fr-FR"/>
        </w:rPr>
        <w:t>ont pas été examinées sur le fond par les autorités nationales. Celles-ci n</w:t>
      </w:r>
      <w:r w:rsidR="0068586D">
        <w:rPr>
          <w:lang w:val="fr-FR"/>
        </w:rPr>
        <w:t>’</w:t>
      </w:r>
      <w:r w:rsidRPr="00E85000">
        <w:rPr>
          <w:lang w:val="fr-FR"/>
        </w:rPr>
        <w:t>ont pas procédé à des actes de procédure afin de recueillir des preuves permettant d</w:t>
      </w:r>
      <w:r w:rsidR="0068586D">
        <w:rPr>
          <w:lang w:val="fr-FR"/>
        </w:rPr>
        <w:t>’</w:t>
      </w:r>
      <w:r w:rsidRPr="00E85000">
        <w:rPr>
          <w:lang w:val="fr-FR"/>
        </w:rPr>
        <w:t>établir la réalité des faits ou leur qualification juridique. La Cour estime que les autorités ont fait preuve d</w:t>
      </w:r>
      <w:r w:rsidR="0068586D">
        <w:rPr>
          <w:lang w:val="fr-FR"/>
        </w:rPr>
        <w:t>’</w:t>
      </w:r>
      <w:r w:rsidRPr="00E85000">
        <w:rPr>
          <w:lang w:val="fr-FR"/>
        </w:rPr>
        <w:t>un formalisme excessif en écartant tout rapport avec les faits de violence conjugale que la requérante avait déjà portés à leur attention et qu</w:t>
      </w:r>
      <w:r w:rsidR="0068586D">
        <w:rPr>
          <w:lang w:val="fr-FR"/>
        </w:rPr>
        <w:t>’</w:t>
      </w:r>
      <w:r w:rsidRPr="00E85000">
        <w:rPr>
          <w:lang w:val="fr-FR"/>
        </w:rPr>
        <w:t>elles ont ainsi failli à prendre en considération les diverses formes que peut prendre la violence conjugale.</w:t>
      </w:r>
    </w:p>
    <w:p w:rsidRPr="00E85000" w:rsidR="00112A65" w:rsidP="00112A65" w:rsidRDefault="00112A65">
      <w:pPr>
        <w:pStyle w:val="ECHRHeading5"/>
        <w:rPr>
          <w:lang w:val="fr-FR"/>
        </w:rPr>
      </w:pPr>
      <w:r w:rsidRPr="00E85000">
        <w:rPr>
          <w:lang w:val="fr-FR"/>
        </w:rPr>
        <w:t>iii. Conclusion</w:t>
      </w:r>
    </w:p>
    <w:bookmarkStart w:name="conclusion" w:id="41"/>
    <w:p w:rsidRPr="00E85000" w:rsidR="00112A65" w:rsidP="00112A65" w:rsidRDefault="00112A65">
      <w:pPr>
        <w:pStyle w:val="ECHRPara"/>
        <w:rPr>
          <w:lang w:val="fr-FR"/>
        </w:rPr>
      </w:pPr>
      <w:r w:rsidRPr="00E85000">
        <w:rPr>
          <w:lang w:val="fr-FR"/>
        </w:rPr>
        <w:fldChar w:fldCharType="begin"/>
      </w:r>
      <w:r w:rsidRPr="00E85000">
        <w:rPr>
          <w:lang w:val="fr-FR"/>
        </w:rPr>
        <w:instrText xml:space="preserve"> SEQ level0 \*arabic </w:instrText>
      </w:r>
      <w:r w:rsidRPr="00E85000">
        <w:rPr>
          <w:lang w:val="fr-FR"/>
        </w:rPr>
        <w:fldChar w:fldCharType="separate"/>
      </w:r>
      <w:r w:rsidRPr="00E85000">
        <w:rPr>
          <w:noProof/>
          <w:lang w:val="fr-FR"/>
        </w:rPr>
        <w:t>79</w:t>
      </w:r>
      <w:r w:rsidRPr="00E85000">
        <w:rPr>
          <w:lang w:val="fr-FR"/>
        </w:rPr>
        <w:fldChar w:fldCharType="end"/>
      </w:r>
      <w:bookmarkEnd w:id="41"/>
      <w:r w:rsidRPr="00E85000">
        <w:rPr>
          <w:lang w:val="fr-FR"/>
        </w:rPr>
        <w:t>.  La Cour conclut que les autorités nationales n</w:t>
      </w:r>
      <w:r w:rsidR="0068586D">
        <w:rPr>
          <w:lang w:val="fr-FR"/>
        </w:rPr>
        <w:t>’</w:t>
      </w:r>
      <w:r w:rsidRPr="00E85000">
        <w:rPr>
          <w:lang w:val="fr-FR"/>
        </w:rPr>
        <w:t>ont pas abordé l</w:t>
      </w:r>
      <w:r w:rsidR="0068586D">
        <w:rPr>
          <w:lang w:val="fr-FR"/>
        </w:rPr>
        <w:t>’</w:t>
      </w:r>
      <w:r w:rsidRPr="00E85000">
        <w:rPr>
          <w:lang w:val="fr-FR"/>
        </w:rPr>
        <w:t>enquête pénale comme soulevant le problème spécifique de la violence conjugale (paragraphes 66-67 et 78 ci-dessus) et que, en procédant ainsi, ont failli de donner une réponse adaptée à la gravité des faits dénoncés par la requérante. L</w:t>
      </w:r>
      <w:r w:rsidR="0068586D">
        <w:rPr>
          <w:lang w:val="fr-FR"/>
        </w:rPr>
        <w:t>’</w:t>
      </w:r>
      <w:r w:rsidRPr="00E85000">
        <w:rPr>
          <w:lang w:val="fr-FR"/>
        </w:rPr>
        <w:t>enquête sur les actes de violence a été défaillante et aucun examen sur le fond de la plainte pour violation du secret de la correspondance, qui est, de l</w:t>
      </w:r>
      <w:r w:rsidR="0068586D">
        <w:rPr>
          <w:lang w:val="fr-FR"/>
        </w:rPr>
        <w:t>’</w:t>
      </w:r>
      <w:r w:rsidRPr="00E85000">
        <w:rPr>
          <w:lang w:val="fr-FR"/>
        </w:rPr>
        <w:t>avis de la Cour, étroitement liée à la plainte pour violences, n</w:t>
      </w:r>
      <w:r w:rsidR="0068586D">
        <w:rPr>
          <w:lang w:val="fr-FR"/>
        </w:rPr>
        <w:t>’</w:t>
      </w:r>
      <w:r w:rsidRPr="00E85000">
        <w:rPr>
          <w:lang w:val="fr-FR"/>
        </w:rPr>
        <w:t>a été effectué. Il y a dès lors eu manquement aux obligations positives au regard des articles 3 et 8 de la Convention et violation de ces dispositions.</w:t>
      </w:r>
    </w:p>
    <w:p w:rsidRPr="00E85000" w:rsidR="00112A65" w:rsidP="00112A65" w:rsidRDefault="00112A65">
      <w:pPr>
        <w:pStyle w:val="ECHRHeading1"/>
        <w:rPr>
          <w:lang w:val="fr-FR"/>
        </w:rPr>
      </w:pPr>
      <w:r w:rsidRPr="000A3E6C">
        <w:rPr>
          <w:lang w:val="fr-FR"/>
        </w:rPr>
        <w:t>III.  </w:t>
      </w:r>
      <w:r w:rsidRPr="00E85000">
        <w:rPr>
          <w:lang w:val="fr-FR"/>
        </w:rPr>
        <w:t>SUR L</w:t>
      </w:r>
      <w:r w:rsidR="0068586D">
        <w:rPr>
          <w:lang w:val="fr-FR"/>
        </w:rPr>
        <w:t>’</w:t>
      </w:r>
      <w:r w:rsidRPr="00E85000">
        <w:rPr>
          <w:lang w:val="fr-FR"/>
        </w:rPr>
        <w:t>APPLICATION DE L</w:t>
      </w:r>
      <w:r w:rsidR="0068586D">
        <w:rPr>
          <w:lang w:val="fr-FR"/>
        </w:rPr>
        <w:t>’</w:t>
      </w:r>
      <w:r w:rsidRPr="00E85000">
        <w:rPr>
          <w:lang w:val="fr-FR"/>
        </w:rPr>
        <w:t>ARTICLE 41 DE LA CONVENTION</w:t>
      </w:r>
    </w:p>
    <w:p w:rsidRPr="00E85000" w:rsidR="00112A65" w:rsidP="00112A65" w:rsidRDefault="00112A65">
      <w:pPr>
        <w:pStyle w:val="ECHRPara"/>
        <w:rPr>
          <w:lang w:val="fr-FR"/>
        </w:rPr>
      </w:pPr>
      <w:r w:rsidRPr="00E85000">
        <w:rPr>
          <w:lang w:val="fr-FR"/>
        </w:rPr>
        <w:fldChar w:fldCharType="begin"/>
      </w:r>
      <w:r w:rsidRPr="00E85000">
        <w:rPr>
          <w:lang w:val="fr-FR"/>
        </w:rPr>
        <w:instrText xml:space="preserve"> SEQ level0 \*arabic </w:instrText>
      </w:r>
      <w:r w:rsidRPr="00E85000">
        <w:rPr>
          <w:lang w:val="fr-FR"/>
        </w:rPr>
        <w:fldChar w:fldCharType="separate"/>
      </w:r>
      <w:r w:rsidRPr="00E85000">
        <w:rPr>
          <w:noProof/>
          <w:lang w:val="fr-FR"/>
        </w:rPr>
        <w:t>80</w:t>
      </w:r>
      <w:r w:rsidRPr="00E85000">
        <w:rPr>
          <w:lang w:val="fr-FR"/>
        </w:rPr>
        <w:fldChar w:fldCharType="end"/>
      </w:r>
      <w:r w:rsidRPr="00E85000">
        <w:rPr>
          <w:lang w:val="fr-FR"/>
        </w:rPr>
        <w:t>.  Aux termes de l</w:t>
      </w:r>
      <w:r w:rsidR="0068586D">
        <w:rPr>
          <w:lang w:val="fr-FR"/>
        </w:rPr>
        <w:t>’</w:t>
      </w:r>
      <w:r w:rsidRPr="00E85000">
        <w:rPr>
          <w:lang w:val="fr-FR"/>
        </w:rPr>
        <w:t>article 41 de la Convention,</w:t>
      </w:r>
    </w:p>
    <w:p w:rsidRPr="00E85000" w:rsidR="00112A65" w:rsidP="00112A65" w:rsidRDefault="00112A65">
      <w:pPr>
        <w:pStyle w:val="ECHRParaQuote"/>
        <w:keepNext/>
        <w:keepLines/>
        <w:rPr>
          <w:lang w:val="fr-FR"/>
        </w:rPr>
      </w:pPr>
      <w:r w:rsidRPr="00E85000">
        <w:rPr>
          <w:lang w:val="fr-FR"/>
        </w:rPr>
        <w:t>« Si la Cour déclare qu</w:t>
      </w:r>
      <w:r w:rsidR="0068586D">
        <w:rPr>
          <w:lang w:val="fr-FR"/>
        </w:rPr>
        <w:t>’</w:t>
      </w:r>
      <w:r w:rsidRPr="00E85000">
        <w:rPr>
          <w:lang w:val="fr-FR"/>
        </w:rPr>
        <w:t>il y a eu violation de la Convention ou de ses Protocoles, et si le droit interne de la Haute Partie contractante ne permet d</w:t>
      </w:r>
      <w:r w:rsidR="0068586D">
        <w:rPr>
          <w:lang w:val="fr-FR"/>
        </w:rPr>
        <w:t>’</w:t>
      </w:r>
      <w:r w:rsidRPr="00E85000">
        <w:rPr>
          <w:lang w:val="fr-FR"/>
        </w:rPr>
        <w:t>effacer qu</w:t>
      </w:r>
      <w:r w:rsidR="0068586D">
        <w:rPr>
          <w:lang w:val="fr-FR"/>
        </w:rPr>
        <w:t>’</w:t>
      </w:r>
      <w:r w:rsidRPr="00E85000">
        <w:rPr>
          <w:lang w:val="fr-FR"/>
        </w:rPr>
        <w:t>imparfaitement les conséquences de cette violation, la Cour accorde à la partie lésée, s</w:t>
      </w:r>
      <w:r w:rsidR="0068586D">
        <w:rPr>
          <w:lang w:val="fr-FR"/>
        </w:rPr>
        <w:t>’</w:t>
      </w:r>
      <w:r w:rsidRPr="00E85000">
        <w:rPr>
          <w:lang w:val="fr-FR"/>
        </w:rPr>
        <w:t>il y a lieu, une satisfaction équitable. »</w:t>
      </w:r>
    </w:p>
    <w:p w:rsidRPr="00E85000" w:rsidR="00112A65" w:rsidP="00112A65" w:rsidRDefault="00112A65">
      <w:pPr>
        <w:pStyle w:val="ECHRHeading2"/>
        <w:rPr>
          <w:lang w:val="fr-FR"/>
        </w:rPr>
      </w:pPr>
      <w:r w:rsidRPr="00E85000">
        <w:rPr>
          <w:lang w:val="fr-FR"/>
        </w:rPr>
        <w:t>A.  Dommage</w:t>
      </w:r>
    </w:p>
    <w:p w:rsidRPr="00E85000" w:rsidR="00112A65" w:rsidP="00112A65" w:rsidRDefault="00112A65">
      <w:pPr>
        <w:pStyle w:val="ECHRPara"/>
        <w:rPr>
          <w:lang w:val="fr-FR"/>
        </w:rPr>
      </w:pPr>
      <w:r w:rsidRPr="00E85000">
        <w:rPr>
          <w:lang w:val="fr-FR"/>
        </w:rPr>
        <w:fldChar w:fldCharType="begin"/>
      </w:r>
      <w:r w:rsidRPr="00E85000">
        <w:rPr>
          <w:lang w:val="fr-FR"/>
        </w:rPr>
        <w:instrText xml:space="preserve"> SEQ level0 \*arabic </w:instrText>
      </w:r>
      <w:r w:rsidRPr="00E85000">
        <w:rPr>
          <w:lang w:val="fr-FR"/>
        </w:rPr>
        <w:fldChar w:fldCharType="separate"/>
      </w:r>
      <w:r w:rsidRPr="00E85000">
        <w:rPr>
          <w:noProof/>
          <w:lang w:val="fr-FR"/>
        </w:rPr>
        <w:t>81</w:t>
      </w:r>
      <w:r w:rsidRPr="00E85000">
        <w:rPr>
          <w:lang w:val="fr-FR"/>
        </w:rPr>
        <w:fldChar w:fldCharType="end"/>
      </w:r>
      <w:r w:rsidRPr="00E85000">
        <w:rPr>
          <w:lang w:val="fr-FR"/>
        </w:rPr>
        <w:t>.  La requérante réclame 30 358 RON, soit environ 6 645 EUR, au titre du préjudice matériel qu</w:t>
      </w:r>
      <w:r w:rsidR="0068586D">
        <w:rPr>
          <w:lang w:val="fr-FR"/>
        </w:rPr>
        <w:t>’</w:t>
      </w:r>
      <w:r w:rsidRPr="00E85000">
        <w:rPr>
          <w:lang w:val="fr-FR"/>
        </w:rPr>
        <w:t>elle estime avoir subi en raison de la perte de son salaire après novembre 2014 et des frais des consultations médicales dont elle a bénéficié en 2017. Elle réclame également 12 000 EUR au titre du préjudice moral qu</w:t>
      </w:r>
      <w:r w:rsidR="0068586D">
        <w:rPr>
          <w:lang w:val="fr-FR"/>
        </w:rPr>
        <w:t>’</w:t>
      </w:r>
      <w:r w:rsidRPr="00E85000">
        <w:rPr>
          <w:lang w:val="fr-FR"/>
        </w:rPr>
        <w:t>elle estime avoir subi en raison des souffrances physiques et morales causées par la violence conjugale.</w:t>
      </w:r>
    </w:p>
    <w:p w:rsidRPr="00E85000" w:rsidR="00112A65" w:rsidP="00112A65" w:rsidRDefault="00112A65">
      <w:pPr>
        <w:pStyle w:val="ECHRPara"/>
        <w:rPr>
          <w:lang w:val="fr-FR"/>
        </w:rPr>
      </w:pPr>
      <w:r w:rsidRPr="00E85000">
        <w:rPr>
          <w:lang w:val="fr-FR"/>
        </w:rPr>
        <w:fldChar w:fldCharType="begin"/>
      </w:r>
      <w:r w:rsidRPr="00E85000">
        <w:rPr>
          <w:lang w:val="fr-FR"/>
        </w:rPr>
        <w:instrText xml:space="preserve"> SEQ level0 \*arabic </w:instrText>
      </w:r>
      <w:r w:rsidRPr="00E85000">
        <w:rPr>
          <w:lang w:val="fr-FR"/>
        </w:rPr>
        <w:fldChar w:fldCharType="separate"/>
      </w:r>
      <w:r w:rsidRPr="00E85000">
        <w:rPr>
          <w:noProof/>
          <w:lang w:val="fr-FR"/>
        </w:rPr>
        <w:t>82</w:t>
      </w:r>
      <w:r w:rsidRPr="00E85000">
        <w:rPr>
          <w:lang w:val="fr-FR"/>
        </w:rPr>
        <w:fldChar w:fldCharType="end"/>
      </w:r>
      <w:r w:rsidRPr="00E85000">
        <w:rPr>
          <w:lang w:val="fr-FR"/>
        </w:rPr>
        <w:t>.  Le Gouvernement s</w:t>
      </w:r>
      <w:r w:rsidR="0068586D">
        <w:rPr>
          <w:lang w:val="fr-FR"/>
        </w:rPr>
        <w:t>’</w:t>
      </w:r>
      <w:r w:rsidRPr="00E85000">
        <w:rPr>
          <w:lang w:val="fr-FR"/>
        </w:rPr>
        <w:t>oppose à l</w:t>
      </w:r>
      <w:r w:rsidR="0068586D">
        <w:rPr>
          <w:lang w:val="fr-FR"/>
        </w:rPr>
        <w:t>’</w:t>
      </w:r>
      <w:r w:rsidRPr="00E85000">
        <w:rPr>
          <w:lang w:val="fr-FR"/>
        </w:rPr>
        <w:t>octroi de la somme réclamée au titre du préjudice matériel, arguant de l</w:t>
      </w:r>
      <w:r w:rsidR="0068586D">
        <w:rPr>
          <w:lang w:val="fr-FR"/>
        </w:rPr>
        <w:t>’</w:t>
      </w:r>
      <w:r w:rsidRPr="00E85000">
        <w:rPr>
          <w:lang w:val="fr-FR"/>
        </w:rPr>
        <w:t>absence d</w:t>
      </w:r>
      <w:r w:rsidR="0068586D">
        <w:rPr>
          <w:lang w:val="fr-FR"/>
        </w:rPr>
        <w:t>’</w:t>
      </w:r>
      <w:r w:rsidRPr="00E85000">
        <w:rPr>
          <w:lang w:val="fr-FR"/>
        </w:rPr>
        <w:t>un lien de causalité avec l</w:t>
      </w:r>
      <w:r w:rsidR="0068586D">
        <w:rPr>
          <w:lang w:val="fr-FR"/>
        </w:rPr>
        <w:t>’</w:t>
      </w:r>
      <w:r w:rsidRPr="00E85000">
        <w:rPr>
          <w:lang w:val="fr-FR"/>
        </w:rPr>
        <w:t>objet de la requête. Quant à la somme demandée au titre du préjudice moral, il estime qu</w:t>
      </w:r>
      <w:r w:rsidR="0068586D">
        <w:rPr>
          <w:lang w:val="fr-FR"/>
        </w:rPr>
        <w:t>’</w:t>
      </w:r>
      <w:r w:rsidRPr="00E85000">
        <w:rPr>
          <w:lang w:val="fr-FR"/>
        </w:rPr>
        <w:t>elle est exorbitante et injustifiée.</w:t>
      </w:r>
    </w:p>
    <w:p w:rsidRPr="00E85000" w:rsidR="00112A65" w:rsidP="00112A65" w:rsidRDefault="00112A65">
      <w:pPr>
        <w:pStyle w:val="ECHRPara"/>
        <w:rPr>
          <w:b/>
          <w:lang w:val="fr-FR"/>
        </w:rPr>
      </w:pPr>
      <w:r w:rsidRPr="00E85000">
        <w:rPr>
          <w:lang w:val="fr-FR"/>
        </w:rPr>
        <w:fldChar w:fldCharType="begin"/>
      </w:r>
      <w:r w:rsidRPr="00E85000">
        <w:rPr>
          <w:lang w:val="fr-FR"/>
        </w:rPr>
        <w:instrText xml:space="preserve"> SEQ level0 \*arabic </w:instrText>
      </w:r>
      <w:r w:rsidRPr="00E85000">
        <w:rPr>
          <w:lang w:val="fr-FR"/>
        </w:rPr>
        <w:fldChar w:fldCharType="separate"/>
      </w:r>
      <w:r w:rsidRPr="00E85000">
        <w:rPr>
          <w:noProof/>
          <w:lang w:val="fr-FR"/>
        </w:rPr>
        <w:t>83</w:t>
      </w:r>
      <w:r w:rsidRPr="00E85000">
        <w:rPr>
          <w:lang w:val="fr-FR"/>
        </w:rPr>
        <w:fldChar w:fldCharType="end"/>
      </w:r>
      <w:r w:rsidRPr="00E85000">
        <w:rPr>
          <w:lang w:val="fr-FR"/>
        </w:rPr>
        <w:t>.  La Cour n</w:t>
      </w:r>
      <w:r w:rsidR="0068586D">
        <w:rPr>
          <w:lang w:val="fr-FR"/>
        </w:rPr>
        <w:t>’</w:t>
      </w:r>
      <w:r w:rsidRPr="00E85000">
        <w:rPr>
          <w:lang w:val="fr-FR"/>
        </w:rPr>
        <w:t>aperçoit pas de lien de causalité entre la violation constatée et le dommage matériel allégué et rejette cette demande. En revanche, elle considère qu</w:t>
      </w:r>
      <w:r w:rsidR="0068586D">
        <w:rPr>
          <w:lang w:val="fr-FR"/>
        </w:rPr>
        <w:t>’</w:t>
      </w:r>
      <w:r w:rsidRPr="00E85000">
        <w:rPr>
          <w:lang w:val="fr-FR"/>
        </w:rPr>
        <w:t>il y a lieu d</w:t>
      </w:r>
      <w:r w:rsidR="0068586D">
        <w:rPr>
          <w:lang w:val="fr-FR"/>
        </w:rPr>
        <w:t>’</w:t>
      </w:r>
      <w:r w:rsidRPr="00E85000">
        <w:rPr>
          <w:lang w:val="fr-FR"/>
        </w:rPr>
        <w:t>octroyer à la requérante 10 000 EUR au titre du préjudice moral.</w:t>
      </w:r>
    </w:p>
    <w:p w:rsidRPr="00E85000" w:rsidR="00112A65" w:rsidP="00112A65" w:rsidRDefault="00112A65">
      <w:pPr>
        <w:pStyle w:val="ECHRHeading2"/>
        <w:rPr>
          <w:lang w:val="fr-FR"/>
        </w:rPr>
      </w:pPr>
      <w:r w:rsidRPr="00E85000">
        <w:rPr>
          <w:lang w:val="fr-FR"/>
        </w:rPr>
        <w:t>B.  Frais et dépens</w:t>
      </w:r>
    </w:p>
    <w:p w:rsidRPr="00E85000" w:rsidR="00112A65" w:rsidP="00112A65" w:rsidRDefault="00112A65">
      <w:pPr>
        <w:pStyle w:val="ECHRPara"/>
        <w:rPr>
          <w:lang w:val="fr-FR"/>
        </w:rPr>
      </w:pPr>
      <w:r w:rsidRPr="00E85000">
        <w:rPr>
          <w:lang w:val="fr-FR"/>
        </w:rPr>
        <w:fldChar w:fldCharType="begin"/>
      </w:r>
      <w:r w:rsidRPr="00E85000">
        <w:rPr>
          <w:lang w:val="fr-FR"/>
        </w:rPr>
        <w:instrText xml:space="preserve"> SEQ level0 \*arabic </w:instrText>
      </w:r>
      <w:r w:rsidRPr="00E85000">
        <w:rPr>
          <w:lang w:val="fr-FR"/>
        </w:rPr>
        <w:fldChar w:fldCharType="separate"/>
      </w:r>
      <w:r w:rsidRPr="00E85000">
        <w:rPr>
          <w:noProof/>
          <w:lang w:val="fr-FR"/>
        </w:rPr>
        <w:t>84</w:t>
      </w:r>
      <w:r w:rsidRPr="00E85000">
        <w:rPr>
          <w:lang w:val="fr-FR"/>
        </w:rPr>
        <w:fldChar w:fldCharType="end"/>
      </w:r>
      <w:r w:rsidRPr="00E85000">
        <w:rPr>
          <w:lang w:val="fr-FR"/>
        </w:rPr>
        <w:t>.  La requérante demande également 2 136,85 RON, soit environ 467 EUR, pour les frais et dépens qu</w:t>
      </w:r>
      <w:r w:rsidR="0068586D">
        <w:rPr>
          <w:lang w:val="fr-FR"/>
        </w:rPr>
        <w:t>’</w:t>
      </w:r>
      <w:r w:rsidRPr="00E85000">
        <w:rPr>
          <w:lang w:val="fr-FR"/>
        </w:rPr>
        <w:t>elle dit avoir engagés devant les juridictions internes et devant la Cour. Elle présente certains documents justificatifs relatifs notamment aux honoraires de l</w:t>
      </w:r>
      <w:r w:rsidR="0068586D">
        <w:rPr>
          <w:lang w:val="fr-FR"/>
        </w:rPr>
        <w:t>’</w:t>
      </w:r>
      <w:r w:rsidRPr="00E85000">
        <w:rPr>
          <w:lang w:val="fr-FR"/>
        </w:rPr>
        <w:t>avocate l</w:t>
      </w:r>
      <w:r w:rsidR="0068586D">
        <w:rPr>
          <w:lang w:val="fr-FR"/>
        </w:rPr>
        <w:t>’</w:t>
      </w:r>
      <w:r w:rsidRPr="00E85000">
        <w:rPr>
          <w:lang w:val="fr-FR"/>
        </w:rPr>
        <w:t>ayant représentée devant la Cour, aux frais de poste et de traduction des documents et aux examens médicaux subis les 23 et 24 décembre 2013.</w:t>
      </w:r>
    </w:p>
    <w:p w:rsidRPr="00E85000" w:rsidR="00112A65" w:rsidP="00112A65" w:rsidRDefault="00112A65">
      <w:pPr>
        <w:pStyle w:val="ECHRPara"/>
        <w:rPr>
          <w:lang w:val="fr-FR"/>
        </w:rPr>
      </w:pPr>
      <w:r w:rsidRPr="00E85000">
        <w:rPr>
          <w:lang w:val="fr-FR"/>
        </w:rPr>
        <w:fldChar w:fldCharType="begin"/>
      </w:r>
      <w:r w:rsidRPr="00E85000">
        <w:rPr>
          <w:lang w:val="fr-FR"/>
        </w:rPr>
        <w:instrText xml:space="preserve"> SEQ level0 \*arabic </w:instrText>
      </w:r>
      <w:r w:rsidRPr="00E85000">
        <w:rPr>
          <w:lang w:val="fr-FR"/>
        </w:rPr>
        <w:fldChar w:fldCharType="separate"/>
      </w:r>
      <w:r w:rsidRPr="00E85000">
        <w:rPr>
          <w:noProof/>
          <w:lang w:val="fr-FR"/>
        </w:rPr>
        <w:t>85</w:t>
      </w:r>
      <w:r w:rsidRPr="00E85000">
        <w:rPr>
          <w:lang w:val="fr-FR"/>
        </w:rPr>
        <w:fldChar w:fldCharType="end"/>
      </w:r>
      <w:r w:rsidRPr="00E85000">
        <w:rPr>
          <w:lang w:val="fr-FR"/>
        </w:rPr>
        <w:t>.  Le Gouvernement invite la Cour à accorder à la requérante une somme qui corresponde aux dépenses réelles, prouvées, raisonnables et nécessaires encourues dans le cadre de la procédure.</w:t>
      </w:r>
    </w:p>
    <w:p w:rsidRPr="00E85000" w:rsidR="00112A65" w:rsidP="00112A65" w:rsidRDefault="00112A65">
      <w:pPr>
        <w:pStyle w:val="ECHRPara"/>
        <w:rPr>
          <w:lang w:val="fr-FR"/>
        </w:rPr>
      </w:pPr>
      <w:r w:rsidRPr="00E85000">
        <w:rPr>
          <w:lang w:val="fr-FR"/>
        </w:rPr>
        <w:fldChar w:fldCharType="begin"/>
      </w:r>
      <w:r w:rsidRPr="00E85000">
        <w:rPr>
          <w:lang w:val="fr-FR"/>
        </w:rPr>
        <w:instrText xml:space="preserve"> SEQ level0 \*arabic </w:instrText>
      </w:r>
      <w:r w:rsidRPr="00E85000">
        <w:rPr>
          <w:lang w:val="fr-FR"/>
        </w:rPr>
        <w:fldChar w:fldCharType="separate"/>
      </w:r>
      <w:r w:rsidRPr="00E85000">
        <w:rPr>
          <w:noProof/>
          <w:lang w:val="fr-FR"/>
        </w:rPr>
        <w:t>86</w:t>
      </w:r>
      <w:r w:rsidRPr="00E85000">
        <w:rPr>
          <w:lang w:val="fr-FR"/>
        </w:rPr>
        <w:fldChar w:fldCharType="end"/>
      </w:r>
      <w:r w:rsidRPr="00E85000">
        <w:rPr>
          <w:lang w:val="fr-FR"/>
        </w:rPr>
        <w:t>.  Selon la jurisprudence de la Cour, un requérant ne peut obtenir le remboursement de ses frais et dépens que dans la mesure où se trouvent établis leur réalité, leur nécessité et le caractère raisonnable de leur taux. En l</w:t>
      </w:r>
      <w:r w:rsidR="0068586D">
        <w:rPr>
          <w:lang w:val="fr-FR"/>
        </w:rPr>
        <w:t>’</w:t>
      </w:r>
      <w:r w:rsidRPr="00E85000">
        <w:rPr>
          <w:lang w:val="fr-FR"/>
        </w:rPr>
        <w:t>espèce, compte tenu des documents dont elle dispose et de sa jurisprudence, la Cour estime raisonnable la somme de 457 EUR tous frais confondus et l</w:t>
      </w:r>
      <w:r w:rsidR="0068586D">
        <w:rPr>
          <w:lang w:val="fr-FR"/>
        </w:rPr>
        <w:t>’</w:t>
      </w:r>
      <w:r w:rsidRPr="00E85000">
        <w:rPr>
          <w:lang w:val="fr-FR"/>
        </w:rPr>
        <w:t>accorde à la requérante.</w:t>
      </w:r>
    </w:p>
    <w:p w:rsidRPr="00E85000" w:rsidR="00112A65" w:rsidP="00112A65" w:rsidRDefault="00112A65">
      <w:pPr>
        <w:pStyle w:val="ECHRHeading2"/>
        <w:rPr>
          <w:lang w:val="fr-FR"/>
        </w:rPr>
      </w:pPr>
      <w:r w:rsidRPr="00E85000">
        <w:rPr>
          <w:lang w:val="fr-FR"/>
        </w:rPr>
        <w:t>C.  Intérêts moratoires</w:t>
      </w:r>
    </w:p>
    <w:p w:rsidRPr="00E85000" w:rsidR="00112A65" w:rsidP="00112A65" w:rsidRDefault="00112A65">
      <w:pPr>
        <w:pStyle w:val="ECHRPara"/>
        <w:rPr>
          <w:i/>
          <w:lang w:val="fr-FR"/>
        </w:rPr>
      </w:pPr>
      <w:r w:rsidRPr="00E85000">
        <w:rPr>
          <w:lang w:val="fr-FR"/>
        </w:rPr>
        <w:fldChar w:fldCharType="begin"/>
      </w:r>
      <w:r w:rsidRPr="00E85000">
        <w:rPr>
          <w:lang w:val="fr-FR"/>
        </w:rPr>
        <w:instrText xml:space="preserve"> SEQ level0 \*arabic </w:instrText>
      </w:r>
      <w:r w:rsidRPr="00E85000">
        <w:rPr>
          <w:lang w:val="fr-FR"/>
        </w:rPr>
        <w:fldChar w:fldCharType="separate"/>
      </w:r>
      <w:r w:rsidRPr="00E85000">
        <w:rPr>
          <w:noProof/>
          <w:lang w:val="fr-FR"/>
        </w:rPr>
        <w:t>87</w:t>
      </w:r>
      <w:r w:rsidRPr="00E85000">
        <w:rPr>
          <w:lang w:val="fr-FR"/>
        </w:rPr>
        <w:fldChar w:fldCharType="end"/>
      </w:r>
      <w:r w:rsidRPr="00E85000">
        <w:rPr>
          <w:lang w:val="fr-FR"/>
        </w:rPr>
        <w:t>.  La Cour juge approprié de calquer le taux des intérêts moratoires sur le taux d</w:t>
      </w:r>
      <w:r w:rsidR="0068586D">
        <w:rPr>
          <w:lang w:val="fr-FR"/>
        </w:rPr>
        <w:t>’</w:t>
      </w:r>
      <w:r w:rsidRPr="00E85000">
        <w:rPr>
          <w:lang w:val="fr-FR"/>
        </w:rPr>
        <w:t>intérêt de la facilité de prêt marginal de la Banque centrale européenne majoré de trois points de pourcentage.</w:t>
      </w:r>
    </w:p>
    <w:p w:rsidRPr="00E85000" w:rsidR="00112A65" w:rsidP="00112A65" w:rsidRDefault="00112A65">
      <w:pPr>
        <w:pStyle w:val="ECHRTitle1"/>
        <w:rPr>
          <w:lang w:val="fr-FR"/>
        </w:rPr>
      </w:pPr>
      <w:r w:rsidRPr="00E85000">
        <w:rPr>
          <w:lang w:val="fr-FR"/>
        </w:rPr>
        <w:t>PAR CES MOTIFS, LA COUR, À L</w:t>
      </w:r>
      <w:r w:rsidR="0068586D">
        <w:rPr>
          <w:lang w:val="fr-FR"/>
        </w:rPr>
        <w:t>’</w:t>
      </w:r>
      <w:r w:rsidRPr="00E85000">
        <w:rPr>
          <w:lang w:val="fr-FR"/>
        </w:rPr>
        <w:t>UNANIMITÉ,</w:t>
      </w:r>
    </w:p>
    <w:p w:rsidRPr="00E85000" w:rsidR="00112A65" w:rsidP="00112A65" w:rsidRDefault="00112A65">
      <w:pPr>
        <w:pStyle w:val="JuList"/>
        <w:rPr>
          <w:i/>
          <w:lang w:val="fr-FR"/>
        </w:rPr>
      </w:pPr>
      <w:r w:rsidRPr="00E85000">
        <w:rPr>
          <w:lang w:val="fr-FR"/>
        </w:rPr>
        <w:t>1.  </w:t>
      </w:r>
      <w:r w:rsidRPr="00E85000">
        <w:rPr>
          <w:i/>
          <w:lang w:val="fr-FR"/>
        </w:rPr>
        <w:t>Joint au fond</w:t>
      </w:r>
      <w:r w:rsidRPr="00E85000">
        <w:rPr>
          <w:lang w:val="fr-FR"/>
        </w:rPr>
        <w:t xml:space="preserve"> l</w:t>
      </w:r>
      <w:r w:rsidR="0068586D">
        <w:rPr>
          <w:lang w:val="fr-FR"/>
        </w:rPr>
        <w:t>’</w:t>
      </w:r>
      <w:r w:rsidRPr="00E85000">
        <w:rPr>
          <w:lang w:val="fr-FR"/>
        </w:rPr>
        <w:t>exception de non-épuisement soulevée par le Gouvernement sur le terrain de l</w:t>
      </w:r>
      <w:r w:rsidR="0068586D">
        <w:rPr>
          <w:lang w:val="fr-FR"/>
        </w:rPr>
        <w:t>’</w:t>
      </w:r>
      <w:r w:rsidRPr="00E85000">
        <w:rPr>
          <w:lang w:val="fr-FR"/>
        </w:rPr>
        <w:t xml:space="preserve">article 8 de la Convention et la </w:t>
      </w:r>
      <w:r w:rsidRPr="00E85000">
        <w:rPr>
          <w:i/>
          <w:lang w:val="fr-FR"/>
        </w:rPr>
        <w:t>rejette </w:t>
      </w:r>
      <w:r w:rsidRPr="00E85000">
        <w:rPr>
          <w:lang w:val="fr-FR"/>
        </w:rPr>
        <w:t>;</w:t>
      </w:r>
    </w:p>
    <w:p w:rsidRPr="00E85000" w:rsidR="00112A65" w:rsidP="00112A65" w:rsidRDefault="00112A65">
      <w:pPr>
        <w:pStyle w:val="JuList"/>
        <w:rPr>
          <w:lang w:val="fr-FR"/>
        </w:rPr>
      </w:pPr>
    </w:p>
    <w:p w:rsidRPr="00E85000" w:rsidR="00112A65" w:rsidP="00112A65" w:rsidRDefault="00112A65">
      <w:pPr>
        <w:pStyle w:val="JuList"/>
        <w:rPr>
          <w:lang w:val="fr-FR"/>
        </w:rPr>
      </w:pPr>
      <w:r w:rsidRPr="00E85000">
        <w:rPr>
          <w:lang w:val="fr-FR"/>
        </w:rPr>
        <w:t>2</w:t>
      </w:r>
      <w:r w:rsidRPr="00E85000">
        <w:rPr>
          <w:i/>
          <w:lang w:val="fr-FR"/>
        </w:rPr>
        <w:t>.  Déclare</w:t>
      </w:r>
      <w:r w:rsidRPr="00E85000">
        <w:rPr>
          <w:lang w:val="fr-FR"/>
        </w:rPr>
        <w:t xml:space="preserve"> la requête recevable ;</w:t>
      </w:r>
    </w:p>
    <w:p w:rsidRPr="00E85000" w:rsidR="00112A65" w:rsidP="00112A65" w:rsidRDefault="00112A65">
      <w:pPr>
        <w:pStyle w:val="JuList"/>
        <w:rPr>
          <w:lang w:val="fr-FR"/>
        </w:rPr>
      </w:pPr>
    </w:p>
    <w:p w:rsidRPr="00E85000" w:rsidR="00112A65" w:rsidP="00112A65" w:rsidRDefault="00112A65">
      <w:pPr>
        <w:pStyle w:val="JuList"/>
        <w:rPr>
          <w:b/>
          <w:lang w:val="fr-FR"/>
        </w:rPr>
      </w:pPr>
      <w:r w:rsidRPr="00E85000">
        <w:rPr>
          <w:lang w:val="fr-FR"/>
        </w:rPr>
        <w:t>3.  </w:t>
      </w:r>
      <w:r w:rsidRPr="00E85000">
        <w:rPr>
          <w:i/>
          <w:lang w:val="fr-FR"/>
        </w:rPr>
        <w:t>Dit</w:t>
      </w:r>
      <w:r w:rsidRPr="00E85000">
        <w:rPr>
          <w:lang w:val="fr-FR"/>
        </w:rPr>
        <w:t xml:space="preserve"> qu</w:t>
      </w:r>
      <w:r w:rsidR="0068586D">
        <w:rPr>
          <w:lang w:val="fr-FR"/>
        </w:rPr>
        <w:t>’</w:t>
      </w:r>
      <w:r w:rsidRPr="00E85000">
        <w:rPr>
          <w:lang w:val="fr-FR"/>
        </w:rPr>
        <w:t xml:space="preserve">il y a eu violation des articles 3 et 8 de la Convention </w:t>
      </w:r>
      <w:r>
        <w:rPr>
          <w:lang w:val="fr-FR"/>
        </w:rPr>
        <w:t>à</w:t>
      </w:r>
      <w:r w:rsidRPr="00E85000">
        <w:rPr>
          <w:lang w:val="fr-FR"/>
        </w:rPr>
        <w:t xml:space="preserve"> raison du manquement aux obligations positives découlant de ces articles ;</w:t>
      </w:r>
    </w:p>
    <w:p w:rsidRPr="00E85000" w:rsidR="00112A65" w:rsidP="00112A65" w:rsidRDefault="00112A65">
      <w:pPr>
        <w:pStyle w:val="JuList"/>
        <w:rPr>
          <w:lang w:val="fr-FR"/>
        </w:rPr>
      </w:pPr>
    </w:p>
    <w:p w:rsidRPr="00E85000" w:rsidR="00112A65" w:rsidP="00112A65" w:rsidRDefault="00112A65">
      <w:pPr>
        <w:pStyle w:val="JuList"/>
        <w:rPr>
          <w:lang w:val="fr-FR"/>
        </w:rPr>
      </w:pPr>
      <w:r w:rsidRPr="00E85000">
        <w:rPr>
          <w:lang w:val="fr-FR"/>
        </w:rPr>
        <w:t>4.  </w:t>
      </w:r>
      <w:r w:rsidRPr="00E85000">
        <w:rPr>
          <w:i/>
          <w:lang w:val="fr-FR"/>
        </w:rPr>
        <w:t>Dit</w:t>
      </w:r>
    </w:p>
    <w:p w:rsidRPr="00E85000" w:rsidR="00112A65" w:rsidP="00112A65" w:rsidRDefault="00112A65">
      <w:pPr>
        <w:pStyle w:val="JuLista"/>
        <w:rPr>
          <w:lang w:val="fr-FR"/>
        </w:rPr>
      </w:pPr>
      <w:r w:rsidRPr="00E85000">
        <w:rPr>
          <w:lang w:val="fr-FR"/>
        </w:rPr>
        <w:t>a)  que l</w:t>
      </w:r>
      <w:r w:rsidR="0068586D">
        <w:rPr>
          <w:lang w:val="fr-FR"/>
        </w:rPr>
        <w:t>’</w:t>
      </w:r>
      <w:r w:rsidRPr="00E85000">
        <w:rPr>
          <w:lang w:val="fr-FR"/>
        </w:rPr>
        <w:t>État défendeur doit verser à la requérante, dans les trois mois à compter du jour où l</w:t>
      </w:r>
      <w:r w:rsidR="0068586D">
        <w:rPr>
          <w:lang w:val="fr-FR"/>
        </w:rPr>
        <w:t>’</w:t>
      </w:r>
      <w:r w:rsidRPr="00E85000">
        <w:rPr>
          <w:lang w:val="fr-FR"/>
        </w:rPr>
        <w:t>arrêt sera devenu définitif conformément à l</w:t>
      </w:r>
      <w:r w:rsidR="0068586D">
        <w:rPr>
          <w:lang w:val="fr-FR"/>
        </w:rPr>
        <w:t>’</w:t>
      </w:r>
      <w:r w:rsidRPr="00E85000">
        <w:rPr>
          <w:lang w:val="fr-FR"/>
        </w:rPr>
        <w:t>article 44 § 2 de la Convention, les sommes suivantes, à convertir dans la monnaie de l</w:t>
      </w:r>
      <w:r w:rsidR="0068586D">
        <w:rPr>
          <w:lang w:val="fr-FR"/>
        </w:rPr>
        <w:t>’</w:t>
      </w:r>
      <w:r w:rsidRPr="00E85000">
        <w:rPr>
          <w:lang w:val="fr-FR"/>
        </w:rPr>
        <w:t>État défendeur, au taux applicable à la date du règlement :</w:t>
      </w:r>
    </w:p>
    <w:p w:rsidRPr="00E85000" w:rsidR="00112A65" w:rsidP="00112A65" w:rsidRDefault="00112A65">
      <w:pPr>
        <w:pStyle w:val="JuListi"/>
        <w:rPr>
          <w:lang w:val="fr-FR" w:eastAsia="en-GB"/>
        </w:rPr>
      </w:pPr>
      <w:r w:rsidRPr="00E85000">
        <w:rPr>
          <w:lang w:val="fr-FR" w:eastAsia="en-GB"/>
        </w:rPr>
        <w:t>i.  10 000 EUR (dix mille euros)</w:t>
      </w:r>
      <w:r w:rsidRPr="00E85000">
        <w:rPr>
          <w:lang w:val="fr-FR"/>
        </w:rPr>
        <w:t xml:space="preserve"> </w:t>
      </w:r>
      <w:r w:rsidRPr="00E85000">
        <w:rPr>
          <w:lang w:val="fr-FR" w:eastAsia="en-GB"/>
        </w:rPr>
        <w:t>plus tout montant pouvant être dû à titre d</w:t>
      </w:r>
      <w:r w:rsidR="0068586D">
        <w:rPr>
          <w:lang w:val="fr-FR" w:eastAsia="en-GB"/>
        </w:rPr>
        <w:t>’</w:t>
      </w:r>
      <w:r w:rsidRPr="00E85000">
        <w:rPr>
          <w:lang w:val="fr-FR" w:eastAsia="en-GB"/>
        </w:rPr>
        <w:t>impôt, pour dommage moral ;</w:t>
      </w:r>
    </w:p>
    <w:p w:rsidRPr="00E85000" w:rsidR="00112A65" w:rsidP="00112A65" w:rsidRDefault="00112A65">
      <w:pPr>
        <w:pStyle w:val="JuListi"/>
        <w:rPr>
          <w:lang w:val="fr-FR" w:eastAsia="en-GB"/>
        </w:rPr>
      </w:pPr>
      <w:r w:rsidRPr="00E85000">
        <w:rPr>
          <w:lang w:val="fr-FR" w:eastAsia="en-GB"/>
        </w:rPr>
        <w:t xml:space="preserve">ii.  457 EUR (quatre cent cinquante-sept euros), plus tout montant pouvant être dû par </w:t>
      </w:r>
      <w:r w:rsidRPr="00E85000">
        <w:rPr>
          <w:lang w:val="fr-FR"/>
        </w:rPr>
        <w:t>la requérante</w:t>
      </w:r>
      <w:r w:rsidRPr="00E85000">
        <w:rPr>
          <w:lang w:val="fr-FR" w:eastAsia="en-GB"/>
        </w:rPr>
        <w:t xml:space="preserve"> à titre d</w:t>
      </w:r>
      <w:r w:rsidR="0068586D">
        <w:rPr>
          <w:lang w:val="fr-FR" w:eastAsia="en-GB"/>
        </w:rPr>
        <w:t>’</w:t>
      </w:r>
      <w:r w:rsidRPr="00E85000">
        <w:rPr>
          <w:lang w:val="fr-FR" w:eastAsia="en-GB"/>
        </w:rPr>
        <w:t>impôt, pour frais et dépens ;</w:t>
      </w:r>
    </w:p>
    <w:p w:rsidRPr="00E85000" w:rsidR="00112A65" w:rsidP="00112A65" w:rsidRDefault="00112A65">
      <w:pPr>
        <w:pStyle w:val="JuLista"/>
        <w:rPr>
          <w:lang w:val="fr-FR"/>
        </w:rPr>
      </w:pPr>
      <w:r w:rsidRPr="00E85000">
        <w:rPr>
          <w:lang w:val="fr-FR"/>
        </w:rPr>
        <w:t>b)  qu</w:t>
      </w:r>
      <w:r w:rsidR="0068586D">
        <w:rPr>
          <w:lang w:val="fr-FR"/>
        </w:rPr>
        <w:t>’</w:t>
      </w:r>
      <w:r w:rsidRPr="00E85000">
        <w:rPr>
          <w:lang w:val="fr-FR"/>
        </w:rPr>
        <w:t>à compter de l</w:t>
      </w:r>
      <w:r w:rsidR="0068586D">
        <w:rPr>
          <w:lang w:val="fr-FR"/>
        </w:rPr>
        <w:t>’</w:t>
      </w:r>
      <w:r w:rsidRPr="00E85000">
        <w:rPr>
          <w:lang w:val="fr-FR"/>
        </w:rPr>
        <w:t>expiration dudit délai et jusqu</w:t>
      </w:r>
      <w:r w:rsidR="0068586D">
        <w:rPr>
          <w:lang w:val="fr-FR"/>
        </w:rPr>
        <w:t>’</w:t>
      </w:r>
      <w:r w:rsidRPr="00E85000">
        <w:rPr>
          <w:lang w:val="fr-FR"/>
        </w:rPr>
        <w:t>au versement, ces montants seront à majorer d</w:t>
      </w:r>
      <w:r w:rsidR="0068586D">
        <w:rPr>
          <w:lang w:val="fr-FR"/>
        </w:rPr>
        <w:t>’</w:t>
      </w:r>
      <w:r w:rsidRPr="00E85000">
        <w:rPr>
          <w:lang w:val="fr-FR"/>
        </w:rPr>
        <w:t>un intérêt simple à un taux égal à celui de la facilité de prêt marginal de la Banque centrale européenne applicable pendant cette période, augmenté de trois points de pourcentage ;</w:t>
      </w:r>
    </w:p>
    <w:p w:rsidRPr="00E85000" w:rsidR="00112A65" w:rsidP="00112A65" w:rsidRDefault="00112A65">
      <w:pPr>
        <w:pStyle w:val="JuLista"/>
        <w:rPr>
          <w:lang w:val="fr-FR"/>
        </w:rPr>
      </w:pPr>
    </w:p>
    <w:p w:rsidRPr="00E85000" w:rsidR="00112A65" w:rsidP="00112A65" w:rsidRDefault="00112A65">
      <w:pPr>
        <w:pStyle w:val="JuList"/>
        <w:rPr>
          <w:lang w:val="fr-FR"/>
        </w:rPr>
      </w:pPr>
      <w:r w:rsidRPr="00E85000">
        <w:rPr>
          <w:lang w:val="fr-FR"/>
        </w:rPr>
        <w:t>5.  </w:t>
      </w:r>
      <w:r w:rsidRPr="00E85000">
        <w:rPr>
          <w:i/>
          <w:lang w:val="fr-FR"/>
        </w:rPr>
        <w:t>Rejette</w:t>
      </w:r>
      <w:r w:rsidRPr="00E85000">
        <w:rPr>
          <w:lang w:val="fr-FR"/>
        </w:rPr>
        <w:t xml:space="preserve"> la demande de satisfaction équitable pour le surplus.</w:t>
      </w:r>
    </w:p>
    <w:p w:rsidRPr="00E85000" w:rsidR="00112A65" w:rsidP="00112A65" w:rsidRDefault="00112A65">
      <w:pPr>
        <w:pStyle w:val="JuParaLast"/>
        <w:keepNext w:val="0"/>
        <w:keepLines w:val="0"/>
        <w:rPr>
          <w:lang w:val="fr-FR"/>
        </w:rPr>
      </w:pPr>
      <w:r w:rsidRPr="00E85000">
        <w:rPr>
          <w:lang w:val="fr-FR"/>
        </w:rPr>
        <w:t xml:space="preserve">Fait en français, puis communiqué par écrit le </w:t>
      </w:r>
      <w:r w:rsidRPr="00E85000">
        <w:rPr>
          <w:rFonts w:ascii="Times New Roman" w:hAnsi="Times New Roman" w:cs="Times New Roman"/>
          <w:lang w:val="fr-FR"/>
        </w:rPr>
        <w:t>11 février 2020</w:t>
      </w:r>
      <w:r w:rsidRPr="00E85000">
        <w:rPr>
          <w:lang w:val="fr-FR"/>
        </w:rPr>
        <w:t>, en application de l</w:t>
      </w:r>
      <w:r w:rsidR="0068586D">
        <w:rPr>
          <w:lang w:val="fr-FR"/>
        </w:rPr>
        <w:t>’</w:t>
      </w:r>
      <w:r w:rsidRPr="00E85000">
        <w:rPr>
          <w:lang w:val="fr-FR"/>
        </w:rPr>
        <w:t>article 77 §§ 2 et 3 du règlement de la Cour.</w:t>
      </w:r>
    </w:p>
    <w:p w:rsidRPr="00E85000" w:rsidR="00112A65" w:rsidP="00112A65" w:rsidRDefault="00112A65">
      <w:pPr>
        <w:pStyle w:val="JuSigned"/>
        <w:rPr>
          <w:lang w:val="fr-FR"/>
        </w:rPr>
      </w:pPr>
      <w:r w:rsidRPr="00E85000">
        <w:rPr>
          <w:lang w:val="fr-FR"/>
        </w:rPr>
        <w:tab/>
        <w:t>Andrea Tamietti</w:t>
      </w:r>
      <w:r w:rsidRPr="00E85000">
        <w:rPr>
          <w:lang w:val="fr-FR"/>
        </w:rPr>
        <w:tab/>
      </w:r>
      <w:r w:rsidRPr="00E85000">
        <w:rPr>
          <w:szCs w:val="24"/>
          <w:lang w:val="fr-FR"/>
        </w:rPr>
        <w:t xml:space="preserve">Jon </w:t>
      </w:r>
      <w:proofErr w:type="spellStart"/>
      <w:r w:rsidRPr="00E85000">
        <w:rPr>
          <w:szCs w:val="24"/>
          <w:lang w:val="fr-FR"/>
        </w:rPr>
        <w:t>Fridrik</w:t>
      </w:r>
      <w:proofErr w:type="spellEnd"/>
      <w:r w:rsidRPr="00E85000">
        <w:rPr>
          <w:szCs w:val="24"/>
          <w:lang w:val="fr-FR"/>
        </w:rPr>
        <w:t xml:space="preserve"> </w:t>
      </w:r>
      <w:proofErr w:type="spellStart"/>
      <w:r w:rsidRPr="00E85000">
        <w:rPr>
          <w:szCs w:val="24"/>
          <w:lang w:val="fr-FR"/>
        </w:rPr>
        <w:t>Kjølbro</w:t>
      </w:r>
      <w:proofErr w:type="spellEnd"/>
      <w:r w:rsidRPr="00E85000">
        <w:rPr>
          <w:lang w:val="fr-FR"/>
        </w:rPr>
        <w:br/>
      </w:r>
      <w:r w:rsidRPr="00E85000">
        <w:rPr>
          <w:lang w:val="fr-FR"/>
        </w:rPr>
        <w:tab/>
        <w:t>Greffier adjoint</w:t>
      </w:r>
      <w:r w:rsidRPr="00E85000">
        <w:rPr>
          <w:lang w:val="fr-FR"/>
        </w:rPr>
        <w:tab/>
        <w:t>Président</w:t>
      </w:r>
    </w:p>
    <w:p w:rsidRPr="00E85000" w:rsidR="00112A65" w:rsidP="00112A65" w:rsidRDefault="00112A65">
      <w:pPr>
        <w:pStyle w:val="JuParaLast"/>
        <w:rPr>
          <w:lang w:val="fr-FR"/>
        </w:rPr>
      </w:pPr>
    </w:p>
    <w:p w:rsidRPr="00112A65" w:rsidR="00084267" w:rsidP="00112A65" w:rsidRDefault="00084267">
      <w:pPr>
        <w:rPr>
          <w:lang w:val="fr-FR"/>
        </w:rPr>
      </w:pPr>
    </w:p>
    <w:sectPr w:rsidRPr="00112A65" w:rsidR="00084267" w:rsidSect="00AA37C3">
      <w:headerReference w:type="even" r:id="rId11"/>
      <w:headerReference w:type="default" r:id="rId12"/>
      <w:footerReference w:type="even" r:id="rId13"/>
      <w:footerReference w:type="default" r:id="rId14"/>
      <w:footnotePr>
        <w:numRestart w:val="eachSect"/>
      </w:footnotePr>
      <w:pgSz w:w="11906" w:h="16838" w:code="9"/>
      <w:pgMar w:top="2274" w:right="2274" w:bottom="2274" w:left="2274" w:header="1701" w:footer="720" w:gutter="0"/>
      <w:pgNumType w:start="1"/>
      <w:cols w:space="720"/>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84267" w:rsidRPr="00DB40B4" w:rsidRDefault="00084267">
      <w:r w:rsidRPr="00DB40B4">
        <w:separator/>
      </w:r>
    </w:p>
  </w:endnote>
  <w:endnote w:type="continuationSeparator" w:id="0">
    <w:p w:rsidR="00084267" w:rsidRPr="00DB40B4" w:rsidRDefault="00084267">
      <w:r w:rsidRPr="00DB40B4">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Consolas">
    <w:panose1 w:val="020B0609020204030204"/>
    <w:charset w:val="00"/>
    <w:family w:val="modern"/>
    <w:pitch w:val="fixed"/>
    <w:sig w:usb0="E10002FF" w:usb1="4000F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12A65" w:rsidRPr="00150BFA" w:rsidRDefault="00112A65" w:rsidP="00AA37C3">
    <w:pPr>
      <w:jc w:val="center"/>
    </w:pPr>
    <w:r>
      <w:rPr>
        <w:noProof/>
        <w:lang w:val="en-US" w:eastAsia="ja-JP"/>
      </w:rPr>
      <w:drawing>
        <wp:inline distT="0" distB="0" distL="0" distR="0" wp14:anchorId="6D2DC4BB" wp14:editId="0FE13A70">
          <wp:extent cx="771525" cy="619125"/>
          <wp:effectExtent l="0" t="0" r="9525" b="9525"/>
          <wp:docPr id="48" name="Picture 48" descr="R:\1_Graphics&amp;Web\Court_Graphic_Charter\2013\ECHR_Stationery\Documents_and_Letters\Cover_Pages_And_Docs\White_600_dpi\ECHR_CoverpageCS61_ECHR_Coverpage_Footer_COE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1_Graphics&amp;Web\Court_Graphic_Charter\2013\ECHR_Stationery\Documents_and_Letters\Cover_Pages_And_Docs\White_600_dpi\ECHR_CoverpageCS61_ECHR_Coverpage_Footer_COE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1525" cy="619125"/>
                  </a:xfrm>
                  <a:prstGeom prst="rect">
                    <a:avLst/>
                  </a:prstGeom>
                  <a:noFill/>
                  <a:ln>
                    <a:noFill/>
                  </a:ln>
                </pic:spPr>
              </pic:pic>
            </a:graphicData>
          </a:graphic>
        </wp:inline>
      </w:drawing>
    </w:r>
  </w:p>
  <w:p w:rsidR="00112A65" w:rsidRPr="00DB40B4" w:rsidRDefault="00112A65" w:rsidP="00AA37C3">
    <w:pPr>
      <w:pStyle w:val="Footer"/>
      <w:jc w:val="center"/>
      <w:rPr>
        <w:sz w:val="4"/>
        <w:szCs w:val="4"/>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84267" w:rsidRDefault="00084267">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84267" w:rsidRPr="000B7195" w:rsidRDefault="00084267" w:rsidP="00AA37C3">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84267" w:rsidRPr="00DB40B4" w:rsidRDefault="00084267" w:rsidP="00AA37C3">
      <w:r w:rsidRPr="00DB40B4">
        <w:separator/>
      </w:r>
    </w:p>
  </w:footnote>
  <w:footnote w:type="continuationSeparator" w:id="0">
    <w:p w:rsidR="00084267" w:rsidRPr="00DB40B4" w:rsidRDefault="00084267" w:rsidP="00AA37C3">
      <w:r w:rsidRPr="00DB40B4">
        <w:continuationSeparator/>
      </w:r>
    </w:p>
  </w:footnote>
  <w:footnote w:id="1">
    <w:p w:rsidR="00112A65" w:rsidRPr="008A29FA" w:rsidRDefault="00112A65" w:rsidP="00112A65">
      <w:pPr>
        <w:pStyle w:val="FootnoteText"/>
        <w:rPr>
          <w:lang w:val="fr-FR"/>
        </w:rPr>
      </w:pPr>
      <w:r>
        <w:rPr>
          <w:rStyle w:val="FootnoteReference"/>
        </w:rPr>
        <w:footnoteRef/>
      </w:r>
      <w:r w:rsidRPr="008A29FA">
        <w:rPr>
          <w:lang w:val="fr-FR"/>
        </w:rPr>
        <w:t xml:space="preserve"> </w:t>
      </w:r>
      <w:hyperlink r:id="rId1" w:history="1">
        <w:r w:rsidRPr="008A29FA">
          <w:rPr>
            <w:rStyle w:val="Hyperlink"/>
            <w:lang w:val="fr-FR"/>
          </w:rPr>
          <w:t>https://www.ohchr.org/EN/Countries/ENACARegion/Pages/ROIndex.aspx</w:t>
        </w:r>
      </w:hyperlink>
      <w:r w:rsidRPr="008A29FA">
        <w:rPr>
          <w:lang w:val="fr-FR"/>
        </w:rPr>
        <w:t xml:space="preserve"> </w:t>
      </w:r>
    </w:p>
  </w:footnote>
  <w:footnote w:id="2">
    <w:p w:rsidR="00112A65" w:rsidRPr="00437A16" w:rsidRDefault="00112A65" w:rsidP="00112A65">
      <w:pPr>
        <w:pStyle w:val="FootnoteText"/>
        <w:rPr>
          <w:lang w:val="fr-FR"/>
        </w:rPr>
      </w:pPr>
      <w:r>
        <w:rPr>
          <w:rStyle w:val="FootnoteReference"/>
        </w:rPr>
        <w:footnoteRef/>
      </w:r>
      <w:r w:rsidRPr="0018486D">
        <w:rPr>
          <w:lang w:val="fr-FR"/>
        </w:rPr>
        <w:t xml:space="preserve"> </w:t>
      </w:r>
      <w:hyperlink r:id="rId2" w:history="1">
        <w:r w:rsidRPr="00437A16">
          <w:rPr>
            <w:rStyle w:val="Hyperlink"/>
            <w:lang w:val="fr-FR"/>
          </w:rPr>
          <w:t>https://en.unesco.org/sites/default/files/genderreport2015final.pdf</w:t>
        </w:r>
      </w:hyperlink>
    </w:p>
  </w:footnote>
  <w:footnote w:id="3">
    <w:p w:rsidR="00112A65" w:rsidRPr="00CA09A1" w:rsidRDefault="00112A65" w:rsidP="00112A65">
      <w:pPr>
        <w:pStyle w:val="FootnoteText"/>
        <w:rPr>
          <w:lang w:val="fr-FR"/>
        </w:rPr>
      </w:pPr>
      <w:r>
        <w:rPr>
          <w:rStyle w:val="FootnoteReference"/>
        </w:rPr>
        <w:footnoteRef/>
      </w:r>
      <w:r w:rsidRPr="00CA09A1">
        <w:rPr>
          <w:lang w:val="fr-FR"/>
        </w:rPr>
        <w:t xml:space="preserve"> </w:t>
      </w:r>
      <w:hyperlink r:id="rId3" w:history="1">
        <w:r w:rsidRPr="00CA09A1">
          <w:rPr>
            <w:rStyle w:val="Hyperlink"/>
            <w:lang w:val="fr-FR"/>
          </w:rPr>
          <w:t>https://rm.coe.int/t-cy-2017-10-cbg-study-provisional/16808c4914</w:t>
        </w:r>
      </w:hyperlink>
      <w:r w:rsidRPr="00CA09A1">
        <w:rPr>
          <w:lang w:val="fr-FR"/>
        </w:rPr>
        <w:t xml:space="preserve"> </w:t>
      </w:r>
    </w:p>
  </w:footnote>
  <w:footnote w:id="4">
    <w:p w:rsidR="00112A65" w:rsidRPr="00B00932" w:rsidRDefault="00112A65" w:rsidP="00112A65">
      <w:pPr>
        <w:pStyle w:val="FootnoteText"/>
        <w:rPr>
          <w:lang w:val="fr-FR"/>
        </w:rPr>
      </w:pPr>
      <w:r>
        <w:rPr>
          <w:rStyle w:val="FootnoteReference"/>
        </w:rPr>
        <w:footnoteRef/>
      </w:r>
      <w:r w:rsidRPr="00B00932">
        <w:rPr>
          <w:lang w:val="fr-FR"/>
        </w:rPr>
        <w:t xml:space="preserve"> </w:t>
      </w:r>
      <w:hyperlink r:id="rId4" w:history="1">
        <w:r w:rsidRPr="00B00932">
          <w:rPr>
            <w:rStyle w:val="Hyperlink"/>
            <w:lang w:val="fr-FR"/>
          </w:rPr>
          <w:t>https://fra.europa.eu/sites/default/files/fra_uploads/fra-2014-vaw-survey-main-results-apr14_en.pdf</w:t>
        </w:r>
      </w:hyperlink>
      <w:r>
        <w:rPr>
          <w:lang w:val="fr-FR"/>
        </w:rPr>
        <w:t xml:space="preserve"> (voir pages 28, 29 et 74).</w:t>
      </w:r>
    </w:p>
  </w:footnote>
  <w:footnote w:id="5">
    <w:p w:rsidR="00112A65" w:rsidRPr="000A3E6C" w:rsidRDefault="00112A65" w:rsidP="00112A65">
      <w:pPr>
        <w:pStyle w:val="FootnoteText"/>
        <w:rPr>
          <w:lang w:val="pt-PT"/>
        </w:rPr>
      </w:pPr>
      <w:r>
        <w:rPr>
          <w:rStyle w:val="FootnoteReference"/>
        </w:rPr>
        <w:footnoteRef/>
      </w:r>
      <w:r w:rsidRPr="000A3E6C">
        <w:rPr>
          <w:lang w:val="pt-PT"/>
        </w:rPr>
        <w:t xml:space="preserve"> Ibidem, p. 87</w:t>
      </w:r>
    </w:p>
  </w:footnote>
  <w:footnote w:id="6">
    <w:p w:rsidR="00112A65" w:rsidRPr="000A3E6C" w:rsidRDefault="00112A65" w:rsidP="00112A65">
      <w:pPr>
        <w:pStyle w:val="FootnoteText"/>
        <w:rPr>
          <w:lang w:val="pt-PT"/>
        </w:rPr>
      </w:pPr>
      <w:r>
        <w:rPr>
          <w:rStyle w:val="FootnoteReference"/>
        </w:rPr>
        <w:footnoteRef/>
      </w:r>
      <w:r w:rsidRPr="000A3E6C">
        <w:rPr>
          <w:lang w:val="pt-PT"/>
        </w:rPr>
        <w:t xml:space="preserve"> </w:t>
      </w:r>
      <w:hyperlink r:id="rId5" w:history="1">
        <w:r w:rsidRPr="000A3E6C">
          <w:rPr>
            <w:rStyle w:val="Hyperlink"/>
            <w:lang w:val="pt-PT"/>
          </w:rPr>
          <w:t>https://eige.europa.eu/publications/cyber-violence-against-women-and-girls</w:t>
        </w:r>
      </w:hyperlink>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12A65" w:rsidRPr="00A45145" w:rsidRDefault="00112A65" w:rsidP="00AA37C3">
    <w:pPr>
      <w:jc w:val="center"/>
    </w:pPr>
    <w:r>
      <w:rPr>
        <w:noProof/>
        <w:lang w:val="en-US" w:eastAsia="ja-JP"/>
      </w:rPr>
      <w:drawing>
        <wp:inline distT="0" distB="0" distL="0" distR="0" wp14:anchorId="1ED7136C" wp14:editId="3C10D7A6">
          <wp:extent cx="2962275" cy="1219200"/>
          <wp:effectExtent l="0" t="0" r="9525" b="0"/>
          <wp:docPr id="1" name="Picture 1"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962275" cy="1219200"/>
                  </a:xfrm>
                  <a:prstGeom prst="rect">
                    <a:avLst/>
                  </a:prstGeom>
                  <a:noFill/>
                  <a:ln>
                    <a:noFill/>
                  </a:ln>
                </pic:spPr>
              </pic:pic>
            </a:graphicData>
          </a:graphic>
        </wp:inline>
      </w:drawing>
    </w:r>
  </w:p>
  <w:p w:rsidR="00112A65" w:rsidRPr="00DB40B4" w:rsidRDefault="00112A65" w:rsidP="00AA37C3">
    <w:pPr>
      <w:jc w:val="center"/>
      <w:rPr>
        <w:sz w:val="4"/>
        <w:szCs w:val="4"/>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12A65" w:rsidRPr="00A45145" w:rsidRDefault="00112A65" w:rsidP="00AA37C3">
    <w:pPr>
      <w:jc w:val="center"/>
    </w:pPr>
    <w:r>
      <w:rPr>
        <w:noProof/>
        <w:lang w:val="en-US" w:eastAsia="ja-JP"/>
      </w:rPr>
      <w:drawing>
        <wp:inline distT="0" distB="0" distL="0" distR="0" wp14:anchorId="4E8BA1F2" wp14:editId="5DD090C9">
          <wp:extent cx="2962275" cy="1219200"/>
          <wp:effectExtent l="0" t="0" r="9525" b="0"/>
          <wp:docPr id="46" name="Picture 46"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962275" cy="1219200"/>
                  </a:xfrm>
                  <a:prstGeom prst="rect">
                    <a:avLst/>
                  </a:prstGeom>
                  <a:noFill/>
                  <a:ln>
                    <a:noFill/>
                  </a:ln>
                </pic:spPr>
              </pic:pic>
            </a:graphicData>
          </a:graphic>
        </wp:inline>
      </w:drawing>
    </w:r>
  </w:p>
  <w:p w:rsidR="00112A65" w:rsidRPr="00DB40B4" w:rsidRDefault="00112A65"/>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84267" w:rsidRPr="004D0EC7" w:rsidRDefault="00084267" w:rsidP="00AA37C3">
    <w:pPr>
      <w:pStyle w:val="ECHRHeader"/>
    </w:pPr>
    <w:r>
      <w:rPr>
        <w:rStyle w:val="PageNumber"/>
      </w:rPr>
      <w:fldChar w:fldCharType="begin"/>
    </w:r>
    <w:r>
      <w:rPr>
        <w:rStyle w:val="PageNumber"/>
      </w:rPr>
      <w:instrText xml:space="preserve"> PAGE </w:instrText>
    </w:r>
    <w:r>
      <w:rPr>
        <w:rStyle w:val="PageNumber"/>
      </w:rPr>
      <w:fldChar w:fldCharType="separate"/>
    </w:r>
    <w:r w:rsidR="00E23176">
      <w:rPr>
        <w:rStyle w:val="PageNumber"/>
        <w:noProof/>
      </w:rPr>
      <w:t>24</w:t>
    </w:r>
    <w:r>
      <w:rPr>
        <w:rStyle w:val="PageNumber"/>
      </w:rPr>
      <w:fldChar w:fldCharType="end"/>
    </w:r>
    <w:r w:rsidRPr="00C25A3E">
      <w:tab/>
      <w:t xml:space="preserve">ARRÊT </w:t>
    </w:r>
    <w:r w:rsidR="006175C9">
      <w:t>BUTURUGĂ c</w:t>
    </w:r>
    <w:r>
      <w:t>. ROUMANIE</w:t>
    </w:r>
    <w:r w:rsidRPr="00C25A3E">
      <w:t xml:space="preserve"> </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84267" w:rsidRPr="00882CD5" w:rsidRDefault="00084267" w:rsidP="00AA37C3">
    <w:pPr>
      <w:pStyle w:val="ECHRHeader"/>
    </w:pPr>
    <w:r>
      <w:tab/>
    </w:r>
    <w:r w:rsidRPr="00A7574A">
      <w:t xml:space="preserve">ARRÊT </w:t>
    </w:r>
    <w:r w:rsidR="006175C9">
      <w:t>BUTURUGĂ c</w:t>
    </w:r>
    <w:r>
      <w:t>. ROUMANIE</w:t>
    </w:r>
    <w:r w:rsidRPr="00A7574A">
      <w:t xml:space="preserve"> </w:t>
    </w:r>
    <w:r w:rsidRPr="007100AD">
      <w:tab/>
    </w:r>
    <w:r>
      <w:rPr>
        <w:rStyle w:val="PageNumber"/>
      </w:rPr>
      <w:fldChar w:fldCharType="begin"/>
    </w:r>
    <w:r>
      <w:rPr>
        <w:rStyle w:val="PageNumber"/>
      </w:rPr>
      <w:instrText xml:space="preserve"> PAGE </w:instrText>
    </w:r>
    <w:r>
      <w:rPr>
        <w:rStyle w:val="PageNumber"/>
      </w:rPr>
      <w:fldChar w:fldCharType="separate"/>
    </w:r>
    <w:r w:rsidR="00E23176">
      <w:rPr>
        <w:rStyle w:val="PageNumber"/>
        <w:noProof/>
      </w:rPr>
      <w:t>1</w:t>
    </w:r>
    <w:r>
      <w:rPr>
        <w:rStyle w:val="PageNumber"/>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C"/>
    <w:multiLevelType w:val="singleLevel"/>
    <w:tmpl w:val="D6701916"/>
    <w:lvl w:ilvl="0">
      <w:start w:val="1"/>
      <w:numFmt w:val="decimal"/>
      <w:pStyle w:val="ListNumber5"/>
      <w:lvlText w:val="%1."/>
      <w:lvlJc w:val="left"/>
      <w:pPr>
        <w:tabs>
          <w:tab w:val="num" w:pos="1492"/>
        </w:tabs>
        <w:ind w:left="1492" w:hanging="360"/>
      </w:pPr>
    </w:lvl>
  </w:abstractNum>
  <w:abstractNum w:abstractNumId="1" w15:restartNumberingAfterBreak="0">
    <w:nsid w:val="FFFFFF7D"/>
    <w:multiLevelType w:val="singleLevel"/>
    <w:tmpl w:val="23283F32"/>
    <w:lvl w:ilvl="0">
      <w:start w:val="1"/>
      <w:numFmt w:val="decimal"/>
      <w:pStyle w:val="ListNumber4"/>
      <w:lvlText w:val="%1."/>
      <w:lvlJc w:val="left"/>
      <w:pPr>
        <w:tabs>
          <w:tab w:val="num" w:pos="1209"/>
        </w:tabs>
        <w:ind w:left="1209" w:hanging="360"/>
      </w:pPr>
    </w:lvl>
  </w:abstractNum>
  <w:abstractNum w:abstractNumId="2" w15:restartNumberingAfterBreak="0">
    <w:nsid w:val="FFFFFF7E"/>
    <w:multiLevelType w:val="singleLevel"/>
    <w:tmpl w:val="2F369A7C"/>
    <w:lvl w:ilvl="0">
      <w:start w:val="1"/>
      <w:numFmt w:val="decimal"/>
      <w:pStyle w:val="ListNumber3"/>
      <w:lvlText w:val="%1."/>
      <w:lvlJc w:val="left"/>
      <w:pPr>
        <w:tabs>
          <w:tab w:val="num" w:pos="926"/>
        </w:tabs>
        <w:ind w:left="926" w:hanging="360"/>
      </w:pPr>
    </w:lvl>
  </w:abstractNum>
  <w:abstractNum w:abstractNumId="3" w15:restartNumberingAfterBreak="0">
    <w:nsid w:val="FFFFFF7F"/>
    <w:multiLevelType w:val="singleLevel"/>
    <w:tmpl w:val="3346880A"/>
    <w:lvl w:ilvl="0">
      <w:start w:val="1"/>
      <w:numFmt w:val="decimal"/>
      <w:pStyle w:val="ListNumber2"/>
      <w:lvlText w:val="%1."/>
      <w:lvlJc w:val="left"/>
      <w:pPr>
        <w:tabs>
          <w:tab w:val="num" w:pos="643"/>
        </w:tabs>
        <w:ind w:left="643" w:hanging="360"/>
      </w:pPr>
    </w:lvl>
  </w:abstractNum>
  <w:abstractNum w:abstractNumId="4" w15:restartNumberingAfterBreak="0">
    <w:nsid w:val="FFFFFF80"/>
    <w:multiLevelType w:val="singleLevel"/>
    <w:tmpl w:val="552A83EC"/>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85AC83C"/>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87486FE2"/>
    <w:lvl w:ilvl="0">
      <w:start w:val="1"/>
      <w:numFmt w:val="bullet"/>
      <w:pStyle w:val="ListBullet3"/>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4A528BA6"/>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366C20B0"/>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03AEA0B8"/>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C641157"/>
    <w:multiLevelType w:val="multilevel"/>
    <w:tmpl w:val="9B34AC6C"/>
    <w:lvl w:ilvl="0">
      <w:start w:val="1"/>
      <w:numFmt w:val="decimal"/>
      <w:lvlText w:val="%1."/>
      <w:lvlJc w:val="left"/>
      <w:pPr>
        <w:tabs>
          <w:tab w:val="num" w:pos="964"/>
        </w:tabs>
        <w:ind w:left="964" w:hanging="397"/>
      </w:pPr>
      <w:rPr>
        <w:rFonts w:hint="default"/>
      </w:rPr>
    </w:lvl>
    <w:lvl w:ilvl="1">
      <w:start w:val="1"/>
      <w:numFmt w:val="lowerLetter"/>
      <w:lvlText w:val="%2."/>
      <w:lvlJc w:val="left"/>
      <w:pPr>
        <w:tabs>
          <w:tab w:val="num" w:pos="1361"/>
        </w:tabs>
        <w:ind w:left="1361" w:hanging="397"/>
      </w:pPr>
      <w:rPr>
        <w:rFonts w:hint="default"/>
      </w:rPr>
    </w:lvl>
    <w:lvl w:ilvl="2">
      <w:start w:val="1"/>
      <w:numFmt w:val="lowerRoman"/>
      <w:lvlText w:val="%3."/>
      <w:lvlJc w:val="left"/>
      <w:pPr>
        <w:tabs>
          <w:tab w:val="num" w:pos="1758"/>
        </w:tabs>
        <w:ind w:left="1758" w:hanging="397"/>
      </w:pPr>
      <w:rPr>
        <w:rFonts w:hint="default"/>
      </w:rPr>
    </w:lvl>
    <w:lvl w:ilvl="3">
      <w:start w:val="1"/>
      <w:numFmt w:val="decimal"/>
      <w:lvlText w:val="(%4)"/>
      <w:lvlJc w:val="left"/>
      <w:pPr>
        <w:tabs>
          <w:tab w:val="num" w:pos="1703"/>
        </w:tabs>
        <w:ind w:left="1703" w:hanging="284"/>
      </w:pPr>
      <w:rPr>
        <w:rFonts w:hint="default"/>
      </w:rPr>
    </w:lvl>
    <w:lvl w:ilvl="4">
      <w:start w:val="1"/>
      <w:numFmt w:val="lowerLetter"/>
      <w:lvlText w:val="(%5)"/>
      <w:lvlJc w:val="left"/>
      <w:pPr>
        <w:tabs>
          <w:tab w:val="num" w:pos="1987"/>
        </w:tabs>
        <w:ind w:left="1987" w:hanging="284"/>
      </w:pPr>
      <w:rPr>
        <w:rFonts w:hint="default"/>
      </w:rPr>
    </w:lvl>
    <w:lvl w:ilvl="5">
      <w:start w:val="1"/>
      <w:numFmt w:val="lowerRoman"/>
      <w:lvlText w:val="(%6)"/>
      <w:lvlJc w:val="left"/>
      <w:pPr>
        <w:tabs>
          <w:tab w:val="num" w:pos="2271"/>
        </w:tabs>
        <w:ind w:left="2271" w:hanging="284"/>
      </w:pPr>
      <w:rPr>
        <w:rFonts w:hint="default"/>
      </w:rPr>
    </w:lvl>
    <w:lvl w:ilvl="6">
      <w:start w:val="1"/>
      <w:numFmt w:val="decimal"/>
      <w:lvlText w:val="%7."/>
      <w:lvlJc w:val="left"/>
      <w:pPr>
        <w:tabs>
          <w:tab w:val="num" w:pos="2555"/>
        </w:tabs>
        <w:ind w:left="2555" w:hanging="284"/>
      </w:pPr>
      <w:rPr>
        <w:rFonts w:hint="default"/>
      </w:rPr>
    </w:lvl>
    <w:lvl w:ilvl="7">
      <w:start w:val="1"/>
      <w:numFmt w:val="lowerLetter"/>
      <w:lvlText w:val="%8."/>
      <w:lvlJc w:val="left"/>
      <w:pPr>
        <w:tabs>
          <w:tab w:val="num" w:pos="2839"/>
        </w:tabs>
        <w:ind w:left="2839" w:hanging="284"/>
      </w:pPr>
      <w:rPr>
        <w:rFonts w:hint="default"/>
      </w:rPr>
    </w:lvl>
    <w:lvl w:ilvl="8">
      <w:start w:val="1"/>
      <w:numFmt w:val="lowerRoman"/>
      <w:lvlText w:val="%9."/>
      <w:lvlJc w:val="left"/>
      <w:pPr>
        <w:tabs>
          <w:tab w:val="num" w:pos="3123"/>
        </w:tabs>
        <w:ind w:left="3123" w:hanging="284"/>
      </w:pPr>
      <w:rPr>
        <w:rFonts w:hint="default"/>
      </w:rPr>
    </w:lvl>
  </w:abstractNum>
  <w:abstractNum w:abstractNumId="11" w15:restartNumberingAfterBreak="0">
    <w:nsid w:val="1AA96CEA"/>
    <w:multiLevelType w:val="multilevel"/>
    <w:tmpl w:val="040C0023"/>
    <w:styleLink w:val="ArticleSection"/>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2" w15:restartNumberingAfterBreak="0">
    <w:nsid w:val="1D27094A"/>
    <w:multiLevelType w:val="multilevel"/>
    <w:tmpl w:val="040C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15:restartNumberingAfterBreak="0">
    <w:nsid w:val="388D47DE"/>
    <w:multiLevelType w:val="multilevel"/>
    <w:tmpl w:val="8012C870"/>
    <w:lvl w:ilvl="0">
      <w:start w:val="1"/>
      <w:numFmt w:val="decimal"/>
      <w:lvlText w:val="%1."/>
      <w:lvlJc w:val="left"/>
      <w:pPr>
        <w:ind w:left="992" w:hanging="425"/>
      </w:pPr>
      <w:rPr>
        <w:rFonts w:hint="default"/>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4" w15:restartNumberingAfterBreak="0">
    <w:nsid w:val="40B939E1"/>
    <w:multiLevelType w:val="multilevel"/>
    <w:tmpl w:val="040C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67FD1241"/>
    <w:multiLevelType w:val="hybridMultilevel"/>
    <w:tmpl w:val="F6D86CC2"/>
    <w:lvl w:ilvl="0" w:tplc="CF628FBA">
      <w:start w:val="1"/>
      <w:numFmt w:val="bullet"/>
      <w:pStyle w:val="ListBullet"/>
      <w:lvlText w:val=""/>
      <w:lvlJc w:val="left"/>
      <w:pPr>
        <w:tabs>
          <w:tab w:val="num" w:pos="851"/>
        </w:tabs>
        <w:ind w:left="568" w:firstLine="0"/>
      </w:pPr>
      <w:rPr>
        <w:rFonts w:ascii="Wingdings" w:hAnsi="Wingdings" w:hint="default"/>
        <w:color w:val="808080"/>
        <w:sz w:val="16"/>
      </w:rPr>
    </w:lvl>
    <w:lvl w:ilvl="1" w:tplc="51080B70" w:tentative="1">
      <w:start w:val="1"/>
      <w:numFmt w:val="bullet"/>
      <w:lvlText w:val="o"/>
      <w:lvlJc w:val="left"/>
      <w:pPr>
        <w:tabs>
          <w:tab w:val="num" w:pos="1724"/>
        </w:tabs>
        <w:ind w:left="1724" w:hanging="360"/>
      </w:pPr>
      <w:rPr>
        <w:rFonts w:ascii="Courier New" w:hAnsi="Courier New" w:cs="Courier New" w:hint="default"/>
      </w:rPr>
    </w:lvl>
    <w:lvl w:ilvl="2" w:tplc="06CAC2AC" w:tentative="1">
      <w:start w:val="1"/>
      <w:numFmt w:val="bullet"/>
      <w:lvlText w:val=""/>
      <w:lvlJc w:val="left"/>
      <w:pPr>
        <w:tabs>
          <w:tab w:val="num" w:pos="2444"/>
        </w:tabs>
        <w:ind w:left="2444" w:hanging="360"/>
      </w:pPr>
      <w:rPr>
        <w:rFonts w:ascii="Wingdings" w:hAnsi="Wingdings" w:hint="default"/>
      </w:rPr>
    </w:lvl>
    <w:lvl w:ilvl="3" w:tplc="DC3210E6" w:tentative="1">
      <w:start w:val="1"/>
      <w:numFmt w:val="bullet"/>
      <w:lvlText w:val=""/>
      <w:lvlJc w:val="left"/>
      <w:pPr>
        <w:tabs>
          <w:tab w:val="num" w:pos="3164"/>
        </w:tabs>
        <w:ind w:left="3164" w:hanging="360"/>
      </w:pPr>
      <w:rPr>
        <w:rFonts w:ascii="Symbol" w:hAnsi="Symbol" w:hint="default"/>
      </w:rPr>
    </w:lvl>
    <w:lvl w:ilvl="4" w:tplc="89DAFF9C" w:tentative="1">
      <w:start w:val="1"/>
      <w:numFmt w:val="bullet"/>
      <w:lvlText w:val="o"/>
      <w:lvlJc w:val="left"/>
      <w:pPr>
        <w:tabs>
          <w:tab w:val="num" w:pos="3884"/>
        </w:tabs>
        <w:ind w:left="3884" w:hanging="360"/>
      </w:pPr>
      <w:rPr>
        <w:rFonts w:ascii="Courier New" w:hAnsi="Courier New" w:cs="Courier New" w:hint="default"/>
      </w:rPr>
    </w:lvl>
    <w:lvl w:ilvl="5" w:tplc="9F6A44EE" w:tentative="1">
      <w:start w:val="1"/>
      <w:numFmt w:val="bullet"/>
      <w:lvlText w:val=""/>
      <w:lvlJc w:val="left"/>
      <w:pPr>
        <w:tabs>
          <w:tab w:val="num" w:pos="4604"/>
        </w:tabs>
        <w:ind w:left="4604" w:hanging="360"/>
      </w:pPr>
      <w:rPr>
        <w:rFonts w:ascii="Wingdings" w:hAnsi="Wingdings" w:hint="default"/>
      </w:rPr>
    </w:lvl>
    <w:lvl w:ilvl="6" w:tplc="D188EBF2" w:tentative="1">
      <w:start w:val="1"/>
      <w:numFmt w:val="bullet"/>
      <w:lvlText w:val=""/>
      <w:lvlJc w:val="left"/>
      <w:pPr>
        <w:tabs>
          <w:tab w:val="num" w:pos="5324"/>
        </w:tabs>
        <w:ind w:left="5324" w:hanging="360"/>
      </w:pPr>
      <w:rPr>
        <w:rFonts w:ascii="Symbol" w:hAnsi="Symbol" w:hint="default"/>
      </w:rPr>
    </w:lvl>
    <w:lvl w:ilvl="7" w:tplc="4B963160" w:tentative="1">
      <w:start w:val="1"/>
      <w:numFmt w:val="bullet"/>
      <w:lvlText w:val="o"/>
      <w:lvlJc w:val="left"/>
      <w:pPr>
        <w:tabs>
          <w:tab w:val="num" w:pos="6044"/>
        </w:tabs>
        <w:ind w:left="6044" w:hanging="360"/>
      </w:pPr>
      <w:rPr>
        <w:rFonts w:ascii="Courier New" w:hAnsi="Courier New" w:cs="Courier New" w:hint="default"/>
      </w:rPr>
    </w:lvl>
    <w:lvl w:ilvl="8" w:tplc="B580A780" w:tentative="1">
      <w:start w:val="1"/>
      <w:numFmt w:val="bullet"/>
      <w:lvlText w:val=""/>
      <w:lvlJc w:val="left"/>
      <w:pPr>
        <w:tabs>
          <w:tab w:val="num" w:pos="6764"/>
        </w:tabs>
        <w:ind w:left="6764" w:hanging="360"/>
      </w:pPr>
      <w:rPr>
        <w:rFonts w:ascii="Wingdings" w:hAnsi="Wingdings" w:hint="default"/>
      </w:rPr>
    </w:lvl>
  </w:abstractNum>
  <w:abstractNum w:abstractNumId="16" w15:restartNumberingAfterBreak="0">
    <w:nsid w:val="76903243"/>
    <w:multiLevelType w:val="multilevel"/>
    <w:tmpl w:val="E884A926"/>
    <w:lvl w:ilvl="0">
      <w:start w:val="1"/>
      <w:numFmt w:val="decimal"/>
      <w:pStyle w:val="JuAppQuestion"/>
      <w:lvlText w:val="%1."/>
      <w:lvlJc w:val="left"/>
      <w:pPr>
        <w:tabs>
          <w:tab w:val="num" w:pos="720"/>
        </w:tabs>
        <w:ind w:left="720"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7" w15:restartNumberingAfterBreak="0">
    <w:nsid w:val="7C970851"/>
    <w:multiLevelType w:val="multilevel"/>
    <w:tmpl w:val="F842BC8C"/>
    <w:lvl w:ilvl="0">
      <w:start w:val="1"/>
      <w:numFmt w:val="bullet"/>
      <w:lvlText w:val=""/>
      <w:lvlJc w:val="left"/>
      <w:pPr>
        <w:tabs>
          <w:tab w:val="num" w:pos="851"/>
        </w:tabs>
        <w:ind w:left="851" w:hanging="284"/>
      </w:pPr>
      <w:rPr>
        <w:rFonts w:ascii="Wingdings" w:hAnsi="Wingdings" w:hint="default"/>
        <w:color w:val="0072BC" w:themeColor="background1"/>
      </w:rPr>
    </w:lvl>
    <w:lvl w:ilvl="1">
      <w:start w:val="1"/>
      <w:numFmt w:val="bullet"/>
      <w:lvlText w:val=""/>
      <w:lvlJc w:val="left"/>
      <w:pPr>
        <w:tabs>
          <w:tab w:val="num" w:pos="1134"/>
        </w:tabs>
        <w:ind w:left="1135" w:hanging="284"/>
      </w:pPr>
      <w:rPr>
        <w:rFonts w:ascii="Wingdings" w:hAnsi="Wingdings" w:hint="default"/>
        <w:color w:val="0072BC" w:themeColor="background1"/>
      </w:rPr>
    </w:lvl>
    <w:lvl w:ilvl="2">
      <w:start w:val="1"/>
      <w:numFmt w:val="bullet"/>
      <w:lvlText w:val=""/>
      <w:lvlJc w:val="left"/>
      <w:pPr>
        <w:tabs>
          <w:tab w:val="num" w:pos="1418"/>
        </w:tabs>
        <w:ind w:left="1419" w:hanging="284"/>
      </w:pPr>
      <w:rPr>
        <w:rFonts w:ascii="Wingdings" w:hAnsi="Wingdings" w:hint="default"/>
        <w:color w:val="7F7F7F" w:themeColor="text1" w:themeTint="80"/>
      </w:rPr>
    </w:lvl>
    <w:lvl w:ilvl="3">
      <w:start w:val="1"/>
      <w:numFmt w:val="bullet"/>
      <w:lvlText w:val=""/>
      <w:lvlJc w:val="left"/>
      <w:pPr>
        <w:tabs>
          <w:tab w:val="num" w:pos="1701"/>
        </w:tabs>
        <w:ind w:left="1703" w:hanging="284"/>
      </w:pPr>
      <w:rPr>
        <w:rFonts w:ascii="Wingdings" w:hAnsi="Wingdings" w:hint="default"/>
        <w:color w:val="7F7F7F" w:themeColor="text1" w:themeTint="80"/>
      </w:rPr>
    </w:lvl>
    <w:lvl w:ilvl="4">
      <w:start w:val="1"/>
      <w:numFmt w:val="bullet"/>
      <w:lvlText w:val=""/>
      <w:lvlJc w:val="left"/>
      <w:pPr>
        <w:tabs>
          <w:tab w:val="num" w:pos="1760"/>
        </w:tabs>
        <w:ind w:left="1987" w:hanging="284"/>
      </w:pPr>
      <w:rPr>
        <w:rFonts w:ascii="Wingdings" w:hAnsi="Wingdings" w:hint="default"/>
        <w:color w:val="0072BC" w:themeColor="background1"/>
      </w:rPr>
    </w:lvl>
    <w:lvl w:ilvl="5">
      <w:start w:val="1"/>
      <w:numFmt w:val="bullet"/>
      <w:lvlText w:val=""/>
      <w:lvlJc w:val="left"/>
      <w:pPr>
        <w:tabs>
          <w:tab w:val="num" w:pos="2044"/>
        </w:tabs>
        <w:ind w:left="2271" w:hanging="284"/>
      </w:pPr>
      <w:rPr>
        <w:rFonts w:ascii="Wingdings" w:hAnsi="Wingdings" w:hint="default"/>
        <w:color w:val="5F5F5F" w:themeColor="accent5"/>
      </w:rPr>
    </w:lvl>
    <w:lvl w:ilvl="6">
      <w:start w:val="1"/>
      <w:numFmt w:val="bullet"/>
      <w:lvlText w:val=""/>
      <w:lvlJc w:val="left"/>
      <w:pPr>
        <w:tabs>
          <w:tab w:val="num" w:pos="2328"/>
        </w:tabs>
        <w:ind w:left="2555" w:hanging="284"/>
      </w:pPr>
      <w:rPr>
        <w:rFonts w:ascii="Symbol" w:hAnsi="Symbol" w:hint="default"/>
      </w:rPr>
    </w:lvl>
    <w:lvl w:ilvl="7">
      <w:start w:val="1"/>
      <w:numFmt w:val="bullet"/>
      <w:lvlText w:val="o"/>
      <w:lvlJc w:val="left"/>
      <w:pPr>
        <w:tabs>
          <w:tab w:val="num" w:pos="2612"/>
        </w:tabs>
        <w:ind w:left="2839" w:hanging="284"/>
      </w:pPr>
      <w:rPr>
        <w:rFonts w:ascii="Courier New" w:hAnsi="Courier New" w:hint="default"/>
      </w:rPr>
    </w:lvl>
    <w:lvl w:ilvl="8">
      <w:start w:val="1"/>
      <w:numFmt w:val="bullet"/>
      <w:lvlText w:val=""/>
      <w:lvlJc w:val="left"/>
      <w:pPr>
        <w:tabs>
          <w:tab w:val="num" w:pos="2896"/>
        </w:tabs>
        <w:ind w:left="3123" w:hanging="284"/>
      </w:pPr>
      <w:rPr>
        <w:rFonts w:ascii="Wingdings" w:hAnsi="Wingdings" w:hint="default"/>
      </w:rPr>
    </w:lvl>
  </w:abstractNum>
  <w:num w:numId="1">
    <w:abstractNumId w:val="13"/>
  </w:num>
  <w:num w:numId="2">
    <w:abstractNumId w:val="17"/>
  </w:num>
  <w:num w:numId="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7"/>
  </w:num>
  <w:num w:numId="5">
    <w:abstractNumId w:val="10"/>
  </w:num>
  <w:num w:numId="6">
    <w:abstractNumId w:val="17"/>
  </w:num>
  <w:num w:numId="7">
    <w:abstractNumId w:val="10"/>
  </w:num>
  <w:num w:numId="8">
    <w:abstractNumId w:val="6"/>
  </w:num>
  <w:num w:numId="9">
    <w:abstractNumId w:val="15"/>
  </w:num>
  <w:num w:numId="10">
    <w:abstractNumId w:val="14"/>
  </w:num>
  <w:num w:numId="11">
    <w:abstractNumId w:val="12"/>
  </w:num>
  <w:num w:numId="12">
    <w:abstractNumId w:val="11"/>
  </w:num>
  <w:num w:numId="13">
    <w:abstractNumId w:val="7"/>
  </w:num>
  <w:num w:numId="14">
    <w:abstractNumId w:val="5"/>
  </w:num>
  <w:num w:numId="15">
    <w:abstractNumId w:val="4"/>
  </w:num>
  <w:num w:numId="16">
    <w:abstractNumId w:val="8"/>
  </w:num>
  <w:num w:numId="17">
    <w:abstractNumId w:val="3"/>
  </w:num>
  <w:num w:numId="18">
    <w:abstractNumId w:val="2"/>
  </w:num>
  <w:num w:numId="19">
    <w:abstractNumId w:val="1"/>
  </w:num>
  <w:num w:numId="20">
    <w:abstractNumId w:val="0"/>
  </w:num>
  <w:num w:numId="21">
    <w:abstractNumId w:val="16"/>
  </w:num>
  <w:num w:numId="22">
    <w:abstractNumId w:val="9"/>
  </w:num>
  <w:num w:numId="23">
    <w:abstractNumId w:val="16"/>
  </w:num>
  <w:num w:numId="24">
    <w:abstractNumId w:val="16"/>
  </w:num>
  <w:num w:numId="25">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removePersonalInformation/>
  <w:proofState w:spelling="clean" w:grammar="clean"/>
  <w:stylePaneFormatFilter w:val="D004" w:allStyles="0" w:customStyles="0" w:latentStyles="1" w:stylesInUse="0" w:headingStyles="0" w:numberingStyles="0" w:tableStyles="0" w:directFormattingOnRuns="0" w:directFormattingOnParagraphs="0" w:directFormattingOnNumbering="0" w:directFormattingOnTables="0" w:clearFormatting="1" w:top3HeadingStyles="0" w:visibleStyles="1" w:alternateStyleNames="1"/>
  <w:defaultTabStop w:val="720"/>
  <w:hyphenationZone w:val="425"/>
  <w:evenAndOddHeaders/>
  <w:drawingGridHorizontalSpacing w:val="110"/>
  <w:displayHorizontalDrawingGridEvery w:val="2"/>
  <w:displayVerticalDrawingGridEvery w:val="2"/>
  <w:characterSpacingControl w:val="doNotCompress"/>
  <w:hdrShapeDefaults>
    <o:shapedefaults v:ext="edit" spidmax="28673"/>
  </w:hdrShapeDefaults>
  <w:footnotePr>
    <w:numRestart w:val="eachSect"/>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ApplicationsApp" w:val="1"/>
    <w:docVar w:name="EMM" w:val="0"/>
    <w:docVar w:name="NBEMMDOC" w:val="0"/>
  </w:docVars>
  <w:rsids>
    <w:rsidRoot w:val="009213B4"/>
    <w:rsid w:val="00034517"/>
    <w:rsid w:val="00071885"/>
    <w:rsid w:val="0008171F"/>
    <w:rsid w:val="00084267"/>
    <w:rsid w:val="00112A65"/>
    <w:rsid w:val="00150EAC"/>
    <w:rsid w:val="00156729"/>
    <w:rsid w:val="001612B7"/>
    <w:rsid w:val="001A6B0C"/>
    <w:rsid w:val="0025752A"/>
    <w:rsid w:val="002E0BB9"/>
    <w:rsid w:val="00334BFD"/>
    <w:rsid w:val="00403FA4"/>
    <w:rsid w:val="00475200"/>
    <w:rsid w:val="00547158"/>
    <w:rsid w:val="0055090B"/>
    <w:rsid w:val="005B64AE"/>
    <w:rsid w:val="006175C9"/>
    <w:rsid w:val="006419FE"/>
    <w:rsid w:val="0068586D"/>
    <w:rsid w:val="006D3D52"/>
    <w:rsid w:val="007046E8"/>
    <w:rsid w:val="007100FE"/>
    <w:rsid w:val="00792883"/>
    <w:rsid w:val="00880D6F"/>
    <w:rsid w:val="008B56FF"/>
    <w:rsid w:val="008C1387"/>
    <w:rsid w:val="009058EF"/>
    <w:rsid w:val="0091001E"/>
    <w:rsid w:val="009213B4"/>
    <w:rsid w:val="009763C4"/>
    <w:rsid w:val="009D2DC3"/>
    <w:rsid w:val="009D60A6"/>
    <w:rsid w:val="00A126FE"/>
    <w:rsid w:val="00A44E6A"/>
    <w:rsid w:val="00AA37C3"/>
    <w:rsid w:val="00AB603C"/>
    <w:rsid w:val="00AE414A"/>
    <w:rsid w:val="00B6407A"/>
    <w:rsid w:val="00CA006C"/>
    <w:rsid w:val="00CE67FC"/>
    <w:rsid w:val="00D61679"/>
    <w:rsid w:val="00DB40B4"/>
    <w:rsid w:val="00E23176"/>
    <w:rsid w:val="00E51316"/>
    <w:rsid w:val="00E85000"/>
    <w:rsid w:val="00EA084B"/>
    <w:rsid w:val="00FB150A"/>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8673"/>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0" w:defUnhideWhenUsed="0" w:defQFormat="0" w:count="371">
    <w:lsdException w:name="Normal" w:uiPriority="0"/>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57" w:unhideWhenUsed="1"/>
    <w:lsdException w:name="footer" w:semiHidden="1" w:uiPriority="57" w:unhideWhenUsed="1"/>
    <w:lsdException w:name="index heading" w:semiHidden="1" w:unhideWhenUsed="1"/>
    <w:lsdException w:name="caption" w:semiHidden="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lsdException w:name="toa heading" w:semiHidden="1" w:unhideWhenUsed="1"/>
    <w:lsdException w:name="List" w:semiHidden="1" w:unhideWhenUsed="1"/>
    <w:lsdException w:name="List Bullet" w:semiHidden="1"/>
    <w:lsdException w:name="List Number" w:semiHidden="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lsdException w:name="List Continue 4" w:semiHidden="1"/>
    <w:lsdException w:name="List Continue 5" w:semiHidden="1"/>
    <w:lsdException w:name="Message Header" w:semiHidden="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qFormat="1"/>
    <w:lsdException w:name="Quote" w:qFormat="1"/>
    <w:lsdException w:name="Intense Quote"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qFormat="1"/>
    <w:lsdException w:name="Intense Emphasis" w:qFormat="1"/>
    <w:lsdException w:name="Subtle Reference" w:qFormat="1"/>
    <w:lsdException w:name="Intense Reference" w:qFormat="1"/>
    <w:lsdException w:name="Book Title" w:qFormat="1"/>
    <w:lsdException w:name="Bibliography" w:semiHidden="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emiHidden/>
    <w:rsid w:val="006D3D52"/>
    <w:pPr>
      <w:jc w:val="both"/>
    </w:pPr>
    <w:rPr>
      <w:rFonts w:eastAsiaTheme="minorEastAsia"/>
      <w:sz w:val="24"/>
      <w:lang w:val="en-GB"/>
    </w:rPr>
  </w:style>
  <w:style w:type="paragraph" w:styleId="Heading1">
    <w:name w:val="heading 1"/>
    <w:basedOn w:val="Normal"/>
    <w:next w:val="Normal"/>
    <w:link w:val="Heading1Char"/>
    <w:uiPriority w:val="99"/>
    <w:semiHidden/>
    <w:rsid w:val="006D3D52"/>
    <w:pPr>
      <w:spacing w:before="480"/>
      <w:contextualSpacing/>
      <w:outlineLvl w:val="0"/>
    </w:pPr>
    <w:rPr>
      <w:rFonts w:asciiTheme="majorHAnsi" w:eastAsiaTheme="majorEastAsia" w:hAnsiTheme="majorHAnsi" w:cstheme="majorBidi"/>
      <w:b/>
      <w:bCs/>
      <w:color w:val="333333"/>
      <w:sz w:val="28"/>
      <w:szCs w:val="28"/>
    </w:rPr>
  </w:style>
  <w:style w:type="paragraph" w:styleId="Heading2">
    <w:name w:val="heading 2"/>
    <w:basedOn w:val="Normal"/>
    <w:next w:val="Normal"/>
    <w:link w:val="Heading2Char"/>
    <w:uiPriority w:val="99"/>
    <w:semiHidden/>
    <w:rsid w:val="006D3D52"/>
    <w:pPr>
      <w:spacing w:before="200"/>
      <w:outlineLvl w:val="1"/>
    </w:pPr>
    <w:rPr>
      <w:rFonts w:asciiTheme="majorHAnsi" w:eastAsiaTheme="majorEastAsia" w:hAnsiTheme="majorHAnsi" w:cstheme="majorBidi"/>
      <w:b/>
      <w:bCs/>
      <w:color w:val="4D4D4D"/>
      <w:sz w:val="26"/>
      <w:szCs w:val="26"/>
    </w:rPr>
  </w:style>
  <w:style w:type="paragraph" w:styleId="Heading3">
    <w:name w:val="heading 3"/>
    <w:basedOn w:val="Normal"/>
    <w:next w:val="Normal"/>
    <w:link w:val="Heading3Char"/>
    <w:uiPriority w:val="99"/>
    <w:semiHidden/>
    <w:rsid w:val="006D3D52"/>
    <w:pPr>
      <w:spacing w:before="200" w:line="271" w:lineRule="auto"/>
      <w:outlineLvl w:val="2"/>
    </w:pPr>
    <w:rPr>
      <w:rFonts w:asciiTheme="majorHAnsi" w:eastAsiaTheme="majorEastAsia" w:hAnsiTheme="majorHAnsi" w:cstheme="majorBidi"/>
      <w:b/>
      <w:bCs/>
      <w:color w:val="5F5F5F"/>
    </w:rPr>
  </w:style>
  <w:style w:type="paragraph" w:styleId="Heading4">
    <w:name w:val="heading 4"/>
    <w:basedOn w:val="Normal"/>
    <w:next w:val="Normal"/>
    <w:link w:val="Heading4Char"/>
    <w:uiPriority w:val="99"/>
    <w:semiHidden/>
    <w:rsid w:val="006D3D52"/>
    <w:pPr>
      <w:spacing w:before="200"/>
      <w:outlineLvl w:val="3"/>
    </w:pPr>
    <w:rPr>
      <w:rFonts w:asciiTheme="majorHAnsi" w:eastAsiaTheme="majorEastAsia" w:hAnsiTheme="majorHAnsi" w:cstheme="majorBidi"/>
      <w:b/>
      <w:bCs/>
      <w:i/>
      <w:iCs/>
      <w:color w:val="777777"/>
    </w:rPr>
  </w:style>
  <w:style w:type="paragraph" w:styleId="Heading5">
    <w:name w:val="heading 5"/>
    <w:basedOn w:val="Normal"/>
    <w:next w:val="Normal"/>
    <w:link w:val="Heading5Char"/>
    <w:uiPriority w:val="99"/>
    <w:semiHidden/>
    <w:qFormat/>
    <w:rsid w:val="00084267"/>
    <w:pPr>
      <w:spacing w:before="200"/>
      <w:outlineLvl w:val="4"/>
    </w:pPr>
    <w:rPr>
      <w:rFonts w:asciiTheme="majorHAnsi" w:eastAsiaTheme="majorEastAsia" w:hAnsiTheme="majorHAnsi" w:cstheme="majorBidi"/>
      <w:b/>
      <w:bCs/>
      <w:color w:val="808080"/>
      <w:sz w:val="22"/>
      <w:lang w:val="en-US"/>
    </w:rPr>
  </w:style>
  <w:style w:type="paragraph" w:styleId="Heading6">
    <w:name w:val="heading 6"/>
    <w:basedOn w:val="Normal"/>
    <w:next w:val="Normal"/>
    <w:link w:val="Heading6Char"/>
    <w:uiPriority w:val="99"/>
    <w:semiHidden/>
    <w:rsid w:val="006D3D52"/>
    <w:pPr>
      <w:spacing w:line="271" w:lineRule="auto"/>
      <w:outlineLvl w:val="5"/>
    </w:pPr>
    <w:rPr>
      <w:rFonts w:asciiTheme="majorHAnsi" w:eastAsiaTheme="majorEastAsia" w:hAnsiTheme="majorHAnsi" w:cstheme="majorBidi"/>
      <w:b/>
      <w:bCs/>
      <w:i/>
      <w:iCs/>
      <w:color w:val="7F7F7F" w:themeColor="text1" w:themeTint="80"/>
      <w:lang w:bidi="en-US"/>
    </w:rPr>
  </w:style>
  <w:style w:type="paragraph" w:styleId="Heading7">
    <w:name w:val="heading 7"/>
    <w:basedOn w:val="Normal"/>
    <w:next w:val="Normal"/>
    <w:link w:val="Heading7Char"/>
    <w:uiPriority w:val="99"/>
    <w:semiHidden/>
    <w:qFormat/>
    <w:rsid w:val="00084267"/>
    <w:pPr>
      <w:outlineLvl w:val="6"/>
    </w:pPr>
    <w:rPr>
      <w:rFonts w:asciiTheme="majorHAnsi" w:eastAsiaTheme="majorEastAsia" w:hAnsiTheme="majorHAnsi" w:cstheme="majorBidi"/>
      <w:i/>
      <w:iCs/>
      <w:sz w:val="22"/>
      <w:lang w:val="en-US" w:bidi="en-US"/>
    </w:rPr>
  </w:style>
  <w:style w:type="paragraph" w:styleId="Heading8">
    <w:name w:val="heading 8"/>
    <w:basedOn w:val="Normal"/>
    <w:next w:val="Normal"/>
    <w:link w:val="Heading8Char"/>
    <w:uiPriority w:val="99"/>
    <w:semiHidden/>
    <w:qFormat/>
    <w:rsid w:val="00084267"/>
    <w:pPr>
      <w:outlineLvl w:val="7"/>
    </w:pPr>
    <w:rPr>
      <w:rFonts w:asciiTheme="majorHAnsi" w:eastAsiaTheme="majorEastAsia" w:hAnsiTheme="majorHAnsi" w:cstheme="majorBidi"/>
      <w:sz w:val="20"/>
      <w:szCs w:val="20"/>
      <w:lang w:val="en-US" w:bidi="en-US"/>
    </w:rPr>
  </w:style>
  <w:style w:type="paragraph" w:styleId="Heading9">
    <w:name w:val="heading 9"/>
    <w:basedOn w:val="Normal"/>
    <w:next w:val="Normal"/>
    <w:link w:val="Heading9Char"/>
    <w:uiPriority w:val="99"/>
    <w:semiHidden/>
    <w:qFormat/>
    <w:rsid w:val="00084267"/>
    <w:pPr>
      <w:outlineLvl w:val="8"/>
    </w:pPr>
    <w:rPr>
      <w:rFonts w:asciiTheme="majorHAnsi" w:eastAsiaTheme="majorEastAsia" w:hAnsiTheme="majorHAnsi" w:cstheme="majorBidi"/>
      <w:i/>
      <w:iCs/>
      <w:spacing w:val="5"/>
      <w:sz w:val="20"/>
      <w:szCs w:val="20"/>
      <w:lang w:val="en-US" w:bidi="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rsid w:val="006D3D52"/>
    <w:rPr>
      <w:rFonts w:ascii="Tahoma" w:hAnsi="Tahoma" w:cs="Tahoma"/>
      <w:sz w:val="16"/>
      <w:szCs w:val="16"/>
    </w:rPr>
  </w:style>
  <w:style w:type="character" w:customStyle="1" w:styleId="BalloonTextChar">
    <w:name w:val="Balloon Text Char"/>
    <w:basedOn w:val="DefaultParagraphFont"/>
    <w:link w:val="BalloonText"/>
    <w:uiPriority w:val="99"/>
    <w:semiHidden/>
    <w:rsid w:val="006D3D52"/>
    <w:rPr>
      <w:rFonts w:ascii="Tahoma" w:eastAsiaTheme="minorEastAsia" w:hAnsi="Tahoma" w:cs="Tahoma"/>
      <w:sz w:val="16"/>
      <w:szCs w:val="16"/>
      <w:lang w:val="en-GB"/>
    </w:rPr>
  </w:style>
  <w:style w:type="character" w:styleId="BookTitle">
    <w:name w:val="Book Title"/>
    <w:uiPriority w:val="99"/>
    <w:semiHidden/>
    <w:qFormat/>
    <w:rsid w:val="00084267"/>
    <w:rPr>
      <w:i/>
      <w:iCs/>
      <w:smallCaps/>
      <w:spacing w:val="5"/>
    </w:rPr>
  </w:style>
  <w:style w:type="paragraph" w:customStyle="1" w:styleId="ECHRHeader">
    <w:name w:val="ECHR_Header"/>
    <w:aliases w:val="Ju_Header"/>
    <w:basedOn w:val="Header"/>
    <w:uiPriority w:val="4"/>
    <w:qFormat/>
    <w:rsid w:val="00084267"/>
    <w:pPr>
      <w:tabs>
        <w:tab w:val="clear" w:pos="4536"/>
        <w:tab w:val="clear" w:pos="9072"/>
        <w:tab w:val="center" w:pos="3686"/>
        <w:tab w:val="right" w:pos="7371"/>
      </w:tabs>
      <w:jc w:val="left"/>
    </w:pPr>
    <w:rPr>
      <w:sz w:val="18"/>
    </w:rPr>
  </w:style>
  <w:style w:type="paragraph" w:customStyle="1" w:styleId="OpiPara">
    <w:name w:val="Opi_Para"/>
    <w:basedOn w:val="ECHRPara"/>
    <w:uiPriority w:val="46"/>
    <w:qFormat/>
    <w:rsid w:val="00084267"/>
  </w:style>
  <w:style w:type="character" w:styleId="Strong">
    <w:name w:val="Strong"/>
    <w:uiPriority w:val="99"/>
    <w:semiHidden/>
    <w:qFormat/>
    <w:rsid w:val="00084267"/>
    <w:rPr>
      <w:b/>
      <w:bCs/>
    </w:rPr>
  </w:style>
  <w:style w:type="paragraph" w:styleId="NoSpacing">
    <w:name w:val="No Spacing"/>
    <w:basedOn w:val="Normal"/>
    <w:link w:val="NoSpacingChar"/>
    <w:semiHidden/>
    <w:qFormat/>
    <w:rsid w:val="00084267"/>
    <w:rPr>
      <w:sz w:val="22"/>
      <w:lang w:val="en-US"/>
    </w:rPr>
  </w:style>
  <w:style w:type="character" w:customStyle="1" w:styleId="NoSpacingChar">
    <w:name w:val="No Spacing Char"/>
    <w:basedOn w:val="DefaultParagraphFont"/>
    <w:link w:val="NoSpacing"/>
    <w:semiHidden/>
    <w:rsid w:val="00084267"/>
    <w:rPr>
      <w:rFonts w:eastAsiaTheme="minorEastAsia"/>
    </w:rPr>
  </w:style>
  <w:style w:type="paragraph" w:customStyle="1" w:styleId="ECHRParaQuote">
    <w:name w:val="ECHR_Para_Quote"/>
    <w:aliases w:val="Ju_Quot"/>
    <w:basedOn w:val="Normal"/>
    <w:uiPriority w:val="14"/>
    <w:qFormat/>
    <w:rsid w:val="00084267"/>
    <w:pPr>
      <w:spacing w:before="120" w:after="120"/>
      <w:ind w:left="425" w:firstLine="142"/>
    </w:pPr>
    <w:rPr>
      <w:sz w:val="20"/>
    </w:rPr>
  </w:style>
  <w:style w:type="paragraph" w:customStyle="1" w:styleId="JuParaSub">
    <w:name w:val="Ju_Para_Sub"/>
    <w:basedOn w:val="ECHRPara"/>
    <w:uiPriority w:val="13"/>
    <w:qFormat/>
    <w:rsid w:val="00084267"/>
    <w:pPr>
      <w:ind w:left="284"/>
    </w:pPr>
  </w:style>
  <w:style w:type="paragraph" w:customStyle="1" w:styleId="OpiParaSub">
    <w:name w:val="Opi_Para_Sub"/>
    <w:basedOn w:val="JuParaSub"/>
    <w:uiPriority w:val="47"/>
    <w:qFormat/>
    <w:rsid w:val="00084267"/>
  </w:style>
  <w:style w:type="paragraph" w:customStyle="1" w:styleId="OpiQuot">
    <w:name w:val="Opi_Quot"/>
    <w:basedOn w:val="ECHRParaQuote"/>
    <w:uiPriority w:val="48"/>
    <w:qFormat/>
    <w:rsid w:val="00084267"/>
  </w:style>
  <w:style w:type="paragraph" w:customStyle="1" w:styleId="OpiQuotSub">
    <w:name w:val="Opi_Quot_Sub"/>
    <w:basedOn w:val="JuQuotSub"/>
    <w:uiPriority w:val="49"/>
    <w:qFormat/>
    <w:rsid w:val="00084267"/>
  </w:style>
  <w:style w:type="paragraph" w:customStyle="1" w:styleId="ECHRTitleCentre3">
    <w:name w:val="ECHR_Title_Centre_3"/>
    <w:aliases w:val="Ju_H_Article"/>
    <w:basedOn w:val="Normal"/>
    <w:next w:val="ECHRParaQuote"/>
    <w:uiPriority w:val="27"/>
    <w:qFormat/>
    <w:rsid w:val="00084267"/>
    <w:pPr>
      <w:keepNext/>
      <w:keepLines/>
      <w:spacing w:before="240" w:after="120"/>
      <w:jc w:val="center"/>
      <w:outlineLvl w:val="3"/>
    </w:pPr>
    <w:rPr>
      <w:rFonts w:asciiTheme="majorHAnsi" w:hAnsiTheme="majorHAnsi"/>
      <w:b/>
      <w:sz w:val="20"/>
      <w:lang w:bidi="en-US"/>
    </w:rPr>
  </w:style>
  <w:style w:type="paragraph" w:customStyle="1" w:styleId="ECHRTitleCentre1">
    <w:name w:val="ECHR_Title_Centre_1"/>
    <w:aliases w:val="Opi_H_Head"/>
    <w:basedOn w:val="Normal"/>
    <w:next w:val="OpiPara"/>
    <w:uiPriority w:val="39"/>
    <w:qFormat/>
    <w:rsid w:val="00084267"/>
    <w:pPr>
      <w:keepNext/>
      <w:keepLines/>
      <w:spacing w:after="240"/>
      <w:jc w:val="center"/>
      <w:outlineLvl w:val="0"/>
    </w:pPr>
    <w:rPr>
      <w:rFonts w:asciiTheme="majorHAnsi" w:hAnsiTheme="majorHAnsi"/>
      <w:sz w:val="28"/>
    </w:rPr>
  </w:style>
  <w:style w:type="paragraph" w:customStyle="1" w:styleId="JuQuotSub">
    <w:name w:val="Ju_Quot_Sub"/>
    <w:basedOn w:val="ECHRParaQuote"/>
    <w:uiPriority w:val="15"/>
    <w:qFormat/>
    <w:rsid w:val="00084267"/>
    <w:pPr>
      <w:ind w:left="567"/>
    </w:pPr>
  </w:style>
  <w:style w:type="paragraph" w:customStyle="1" w:styleId="ECHRTitle1">
    <w:name w:val="ECHR_Title_1"/>
    <w:aliases w:val="Ju_H_Head"/>
    <w:basedOn w:val="Normal"/>
    <w:next w:val="ECHRPara"/>
    <w:uiPriority w:val="18"/>
    <w:qFormat/>
    <w:rsid w:val="00084267"/>
    <w:pPr>
      <w:keepNext/>
      <w:keepLines/>
      <w:spacing w:before="720" w:after="240"/>
      <w:outlineLvl w:val="0"/>
    </w:pPr>
    <w:rPr>
      <w:rFonts w:asciiTheme="majorHAnsi" w:hAnsiTheme="majorHAnsi"/>
      <w:sz w:val="28"/>
    </w:rPr>
  </w:style>
  <w:style w:type="paragraph" w:customStyle="1" w:styleId="JuInitialled">
    <w:name w:val="Ju_Initialled"/>
    <w:basedOn w:val="Normal"/>
    <w:uiPriority w:val="31"/>
    <w:qFormat/>
    <w:rsid w:val="00084267"/>
    <w:pPr>
      <w:tabs>
        <w:tab w:val="center" w:pos="6407"/>
      </w:tabs>
      <w:spacing w:before="720"/>
      <w:jc w:val="right"/>
    </w:pPr>
  </w:style>
  <w:style w:type="paragraph" w:customStyle="1" w:styleId="JuSigned">
    <w:name w:val="Ju_Signed"/>
    <w:basedOn w:val="Normal"/>
    <w:next w:val="JuParaLast"/>
    <w:uiPriority w:val="32"/>
    <w:qFormat/>
    <w:rsid w:val="00084267"/>
    <w:pPr>
      <w:tabs>
        <w:tab w:val="center" w:pos="851"/>
        <w:tab w:val="center" w:pos="6407"/>
      </w:tabs>
      <w:spacing w:before="720"/>
      <w:jc w:val="left"/>
    </w:pPr>
  </w:style>
  <w:style w:type="paragraph" w:styleId="Title">
    <w:name w:val="Title"/>
    <w:basedOn w:val="Normal"/>
    <w:next w:val="Normal"/>
    <w:link w:val="TitleChar"/>
    <w:uiPriority w:val="99"/>
    <w:semiHidden/>
    <w:qFormat/>
    <w:rsid w:val="00084267"/>
    <w:pPr>
      <w:pBdr>
        <w:bottom w:val="single" w:sz="4" w:space="1" w:color="auto"/>
      </w:pBdr>
      <w:contextualSpacing/>
    </w:pPr>
    <w:rPr>
      <w:rFonts w:asciiTheme="majorHAnsi" w:eastAsiaTheme="majorEastAsia" w:hAnsiTheme="majorHAnsi" w:cstheme="majorBidi"/>
      <w:spacing w:val="5"/>
      <w:sz w:val="52"/>
      <w:szCs w:val="52"/>
      <w:lang w:val="en-US" w:bidi="en-US"/>
    </w:rPr>
  </w:style>
  <w:style w:type="character" w:customStyle="1" w:styleId="TitleChar">
    <w:name w:val="Title Char"/>
    <w:basedOn w:val="DefaultParagraphFont"/>
    <w:link w:val="Title"/>
    <w:uiPriority w:val="99"/>
    <w:semiHidden/>
    <w:rsid w:val="00084267"/>
    <w:rPr>
      <w:rFonts w:asciiTheme="majorHAnsi" w:eastAsiaTheme="majorEastAsia" w:hAnsiTheme="majorHAnsi" w:cstheme="majorBidi"/>
      <w:spacing w:val="5"/>
      <w:sz w:val="52"/>
      <w:szCs w:val="52"/>
      <w:lang w:bidi="en-US"/>
    </w:rPr>
  </w:style>
  <w:style w:type="paragraph" w:customStyle="1" w:styleId="OpiHA">
    <w:name w:val="Opi_H_A"/>
    <w:basedOn w:val="ECHRHeading1"/>
    <w:next w:val="OpiPara"/>
    <w:uiPriority w:val="41"/>
    <w:qFormat/>
    <w:rsid w:val="00084267"/>
    <w:pPr>
      <w:tabs>
        <w:tab w:val="clear" w:pos="357"/>
      </w:tabs>
      <w:outlineLvl w:val="1"/>
    </w:pPr>
    <w:rPr>
      <w:b/>
    </w:rPr>
  </w:style>
  <w:style w:type="character" w:customStyle="1" w:styleId="JUNAMES">
    <w:name w:val="JU_NAMES"/>
    <w:uiPriority w:val="17"/>
    <w:qFormat/>
    <w:rsid w:val="00084267"/>
    <w:rPr>
      <w:caps w:val="0"/>
      <w:smallCaps/>
    </w:rPr>
  </w:style>
  <w:style w:type="character" w:customStyle="1" w:styleId="JuITMark">
    <w:name w:val="Ju_ITMark"/>
    <w:basedOn w:val="DefaultParagraphFont"/>
    <w:uiPriority w:val="38"/>
    <w:qFormat/>
    <w:rsid w:val="00084267"/>
    <w:rPr>
      <w:vanish w:val="0"/>
      <w:color w:val="auto"/>
      <w:sz w:val="14"/>
      <w:bdr w:val="none" w:sz="0" w:space="0" w:color="auto"/>
      <w:shd w:val="clear" w:color="auto" w:fill="BEE5FF" w:themeFill="background1" w:themeFillTint="33"/>
    </w:rPr>
  </w:style>
  <w:style w:type="paragraph" w:customStyle="1" w:styleId="OpiTranslation">
    <w:name w:val="Opi_Translation"/>
    <w:basedOn w:val="Normal"/>
    <w:next w:val="OpiPara"/>
    <w:uiPriority w:val="40"/>
    <w:qFormat/>
    <w:rsid w:val="00084267"/>
    <w:pPr>
      <w:jc w:val="center"/>
      <w:outlineLvl w:val="0"/>
    </w:pPr>
    <w:rPr>
      <w:i/>
    </w:rPr>
  </w:style>
  <w:style w:type="paragraph" w:customStyle="1" w:styleId="JuCourt">
    <w:name w:val="Ju_Court"/>
    <w:basedOn w:val="Normal"/>
    <w:next w:val="Normal"/>
    <w:uiPriority w:val="16"/>
    <w:qFormat/>
    <w:rsid w:val="00084267"/>
    <w:pPr>
      <w:tabs>
        <w:tab w:val="left" w:pos="907"/>
        <w:tab w:val="left" w:pos="1701"/>
        <w:tab w:val="right" w:pos="7371"/>
      </w:tabs>
      <w:spacing w:before="240"/>
      <w:ind w:left="397" w:hanging="397"/>
      <w:jc w:val="left"/>
    </w:pPr>
    <w:rPr>
      <w:lang w:bidi="en-US"/>
    </w:rPr>
  </w:style>
  <w:style w:type="paragraph" w:customStyle="1" w:styleId="ECHRHeading1">
    <w:name w:val="ECHR_Heading_1"/>
    <w:aliases w:val="Ju_H_I_Roman"/>
    <w:basedOn w:val="Heading1"/>
    <w:next w:val="ECHRPara"/>
    <w:uiPriority w:val="19"/>
    <w:qFormat/>
    <w:rsid w:val="00084267"/>
    <w:pPr>
      <w:keepNext/>
      <w:keepLines/>
      <w:tabs>
        <w:tab w:val="left" w:pos="357"/>
      </w:tabs>
      <w:spacing w:before="360" w:after="240"/>
      <w:ind w:left="357" w:hanging="357"/>
      <w:contextualSpacing w:val="0"/>
    </w:pPr>
    <w:rPr>
      <w:b w:val="0"/>
      <w:color w:val="auto"/>
      <w:sz w:val="24"/>
    </w:rPr>
  </w:style>
  <w:style w:type="paragraph" w:customStyle="1" w:styleId="ECHRHeading2">
    <w:name w:val="ECHR_Heading_2"/>
    <w:aliases w:val="Ju_H_A"/>
    <w:basedOn w:val="Heading2"/>
    <w:next w:val="ECHRPara"/>
    <w:uiPriority w:val="20"/>
    <w:qFormat/>
    <w:rsid w:val="00084267"/>
    <w:pPr>
      <w:keepNext/>
      <w:keepLines/>
      <w:tabs>
        <w:tab w:val="left" w:pos="584"/>
      </w:tabs>
      <w:spacing w:before="360" w:after="240"/>
      <w:ind w:left="584" w:hanging="352"/>
    </w:pPr>
    <w:rPr>
      <w:color w:val="auto"/>
      <w:sz w:val="24"/>
    </w:rPr>
  </w:style>
  <w:style w:type="paragraph" w:customStyle="1" w:styleId="ECHRHeading3">
    <w:name w:val="ECHR_Heading_3"/>
    <w:aliases w:val="Ju_H_1."/>
    <w:basedOn w:val="Heading3"/>
    <w:next w:val="ECHRPara"/>
    <w:uiPriority w:val="21"/>
    <w:qFormat/>
    <w:rsid w:val="00084267"/>
    <w:pPr>
      <w:keepNext/>
      <w:keepLines/>
      <w:tabs>
        <w:tab w:val="left" w:pos="731"/>
      </w:tabs>
      <w:spacing w:before="240" w:after="120" w:line="240" w:lineRule="auto"/>
      <w:ind w:left="732" w:hanging="301"/>
    </w:pPr>
    <w:rPr>
      <w:b w:val="0"/>
      <w:i/>
      <w:color w:val="auto"/>
    </w:rPr>
  </w:style>
  <w:style w:type="paragraph" w:styleId="Header">
    <w:name w:val="header"/>
    <w:basedOn w:val="Normal"/>
    <w:link w:val="HeaderChar"/>
    <w:uiPriority w:val="57"/>
    <w:semiHidden/>
    <w:rsid w:val="006D3D52"/>
    <w:pPr>
      <w:tabs>
        <w:tab w:val="center" w:pos="4536"/>
        <w:tab w:val="right" w:pos="9072"/>
      </w:tabs>
    </w:pPr>
    <w:rPr>
      <w:rFonts w:eastAsiaTheme="minorHAnsi"/>
    </w:rPr>
  </w:style>
  <w:style w:type="character" w:customStyle="1" w:styleId="HeaderChar">
    <w:name w:val="Header Char"/>
    <w:basedOn w:val="DefaultParagraphFont"/>
    <w:link w:val="Header"/>
    <w:uiPriority w:val="57"/>
    <w:semiHidden/>
    <w:rsid w:val="006D3D52"/>
    <w:rPr>
      <w:sz w:val="24"/>
      <w:lang w:val="en-GB"/>
    </w:rPr>
  </w:style>
  <w:style w:type="character" w:customStyle="1" w:styleId="Heading1Char">
    <w:name w:val="Heading 1 Char"/>
    <w:basedOn w:val="DefaultParagraphFont"/>
    <w:link w:val="Heading1"/>
    <w:uiPriority w:val="99"/>
    <w:semiHidden/>
    <w:rsid w:val="006D3D52"/>
    <w:rPr>
      <w:rFonts w:asciiTheme="majorHAnsi" w:eastAsiaTheme="majorEastAsia" w:hAnsiTheme="majorHAnsi" w:cstheme="majorBidi"/>
      <w:b/>
      <w:bCs/>
      <w:color w:val="333333"/>
      <w:sz w:val="28"/>
      <w:szCs w:val="28"/>
      <w:lang w:val="en-GB"/>
    </w:rPr>
  </w:style>
  <w:style w:type="paragraph" w:customStyle="1" w:styleId="ECHRHeading4">
    <w:name w:val="ECHR_Heading_4"/>
    <w:aliases w:val="Ju_H_a"/>
    <w:basedOn w:val="Heading4"/>
    <w:next w:val="ECHRPara"/>
    <w:uiPriority w:val="22"/>
    <w:qFormat/>
    <w:rsid w:val="00084267"/>
    <w:pPr>
      <w:keepNext/>
      <w:keepLines/>
      <w:tabs>
        <w:tab w:val="left" w:pos="975"/>
      </w:tabs>
      <w:spacing w:before="240" w:after="120"/>
      <w:ind w:left="975" w:hanging="340"/>
    </w:pPr>
    <w:rPr>
      <w:i w:val="0"/>
      <w:color w:val="auto"/>
      <w:sz w:val="20"/>
    </w:rPr>
  </w:style>
  <w:style w:type="paragraph" w:customStyle="1" w:styleId="ECHRHeading5">
    <w:name w:val="ECHR_Heading_5"/>
    <w:aliases w:val="Ju_H_i"/>
    <w:basedOn w:val="Heading5"/>
    <w:next w:val="ECHRPara"/>
    <w:uiPriority w:val="23"/>
    <w:qFormat/>
    <w:rsid w:val="00084267"/>
    <w:pPr>
      <w:keepNext/>
      <w:keepLines/>
      <w:tabs>
        <w:tab w:val="left" w:pos="1191"/>
      </w:tabs>
      <w:spacing w:before="240" w:after="120"/>
      <w:ind w:left="1190" w:hanging="357"/>
    </w:pPr>
    <w:rPr>
      <w:b w:val="0"/>
      <w:i/>
      <w:color w:val="auto"/>
      <w:sz w:val="20"/>
      <w:lang w:val="en-GB"/>
    </w:rPr>
  </w:style>
  <w:style w:type="character" w:customStyle="1" w:styleId="Heading2Char">
    <w:name w:val="Heading 2 Char"/>
    <w:basedOn w:val="DefaultParagraphFont"/>
    <w:link w:val="Heading2"/>
    <w:uiPriority w:val="99"/>
    <w:semiHidden/>
    <w:rsid w:val="006D3D52"/>
    <w:rPr>
      <w:rFonts w:asciiTheme="majorHAnsi" w:eastAsiaTheme="majorEastAsia" w:hAnsiTheme="majorHAnsi" w:cstheme="majorBidi"/>
      <w:b/>
      <w:bCs/>
      <w:color w:val="4D4D4D"/>
      <w:sz w:val="26"/>
      <w:szCs w:val="26"/>
      <w:lang w:val="en-GB"/>
    </w:rPr>
  </w:style>
  <w:style w:type="paragraph" w:customStyle="1" w:styleId="ECHRHeading6">
    <w:name w:val="ECHR_Heading_6"/>
    <w:aliases w:val="Ju_H_alpha"/>
    <w:basedOn w:val="Heading6"/>
    <w:next w:val="ECHRPara"/>
    <w:uiPriority w:val="24"/>
    <w:qFormat/>
    <w:rsid w:val="00084267"/>
    <w:pPr>
      <w:keepNext/>
      <w:keepLines/>
      <w:tabs>
        <w:tab w:val="left" w:pos="1372"/>
      </w:tabs>
      <w:spacing w:before="240" w:after="120" w:line="240" w:lineRule="auto"/>
      <w:ind w:left="1373" w:hanging="335"/>
    </w:pPr>
    <w:rPr>
      <w:b w:val="0"/>
      <w:i w:val="0"/>
      <w:color w:val="auto"/>
      <w:sz w:val="20"/>
    </w:rPr>
  </w:style>
  <w:style w:type="paragraph" w:customStyle="1" w:styleId="ECHRHeading7">
    <w:name w:val="ECHR_Heading_7"/>
    <w:aliases w:val="Ju_H_–"/>
    <w:basedOn w:val="Heading7"/>
    <w:next w:val="ECHRPara"/>
    <w:uiPriority w:val="25"/>
    <w:qFormat/>
    <w:rsid w:val="00084267"/>
    <w:pPr>
      <w:keepNext/>
      <w:keepLines/>
      <w:spacing w:before="240" w:after="120"/>
      <w:ind w:left="1236"/>
    </w:pPr>
    <w:rPr>
      <w:sz w:val="20"/>
      <w:lang w:val="en-GB"/>
    </w:rPr>
  </w:style>
  <w:style w:type="character" w:customStyle="1" w:styleId="Heading3Char">
    <w:name w:val="Heading 3 Char"/>
    <w:basedOn w:val="DefaultParagraphFont"/>
    <w:link w:val="Heading3"/>
    <w:uiPriority w:val="99"/>
    <w:semiHidden/>
    <w:rsid w:val="006D3D52"/>
    <w:rPr>
      <w:rFonts w:asciiTheme="majorHAnsi" w:eastAsiaTheme="majorEastAsia" w:hAnsiTheme="majorHAnsi" w:cstheme="majorBidi"/>
      <w:b/>
      <w:bCs/>
      <w:color w:val="5F5F5F"/>
      <w:sz w:val="24"/>
      <w:lang w:val="en-GB"/>
    </w:rPr>
  </w:style>
  <w:style w:type="paragraph" w:customStyle="1" w:styleId="JuParaLast">
    <w:name w:val="Ju_Para_Last"/>
    <w:basedOn w:val="Normal"/>
    <w:next w:val="ECHRPara"/>
    <w:uiPriority w:val="30"/>
    <w:qFormat/>
    <w:rsid w:val="00084267"/>
    <w:pPr>
      <w:keepNext/>
      <w:keepLines/>
      <w:spacing w:before="240"/>
      <w:ind w:firstLine="284"/>
    </w:pPr>
  </w:style>
  <w:style w:type="paragraph" w:customStyle="1" w:styleId="ECHRDecisionBody">
    <w:name w:val="ECHR_Decision_Body"/>
    <w:aliases w:val="Ju_Judges"/>
    <w:basedOn w:val="Normal"/>
    <w:uiPriority w:val="11"/>
    <w:qFormat/>
    <w:rsid w:val="00084267"/>
    <w:pPr>
      <w:tabs>
        <w:tab w:val="left" w:pos="567"/>
        <w:tab w:val="left" w:pos="1134"/>
      </w:tabs>
      <w:jc w:val="left"/>
    </w:pPr>
  </w:style>
  <w:style w:type="character" w:customStyle="1" w:styleId="Heading4Char">
    <w:name w:val="Heading 4 Char"/>
    <w:basedOn w:val="DefaultParagraphFont"/>
    <w:link w:val="Heading4"/>
    <w:uiPriority w:val="99"/>
    <w:semiHidden/>
    <w:rsid w:val="006D3D52"/>
    <w:rPr>
      <w:rFonts w:asciiTheme="majorHAnsi" w:eastAsiaTheme="majorEastAsia" w:hAnsiTheme="majorHAnsi" w:cstheme="majorBidi"/>
      <w:b/>
      <w:bCs/>
      <w:i/>
      <w:iCs/>
      <w:color w:val="777777"/>
      <w:sz w:val="24"/>
      <w:lang w:val="en-GB"/>
    </w:rPr>
  </w:style>
  <w:style w:type="paragraph" w:customStyle="1" w:styleId="JuList">
    <w:name w:val="Ju_List"/>
    <w:basedOn w:val="Normal"/>
    <w:uiPriority w:val="28"/>
    <w:qFormat/>
    <w:rsid w:val="00084267"/>
    <w:pPr>
      <w:ind w:left="340" w:hanging="340"/>
    </w:pPr>
  </w:style>
  <w:style w:type="character" w:customStyle="1" w:styleId="Heading5Char">
    <w:name w:val="Heading 5 Char"/>
    <w:basedOn w:val="DefaultParagraphFont"/>
    <w:link w:val="Heading5"/>
    <w:uiPriority w:val="99"/>
    <w:semiHidden/>
    <w:rsid w:val="00084267"/>
    <w:rPr>
      <w:rFonts w:asciiTheme="majorHAnsi" w:eastAsiaTheme="majorEastAsia" w:hAnsiTheme="majorHAnsi" w:cstheme="majorBidi"/>
      <w:b/>
      <w:bCs/>
      <w:color w:val="808080"/>
    </w:rPr>
  </w:style>
  <w:style w:type="paragraph" w:customStyle="1" w:styleId="JuLista">
    <w:name w:val="Ju_List_a"/>
    <w:basedOn w:val="JuList"/>
    <w:uiPriority w:val="28"/>
    <w:qFormat/>
    <w:rsid w:val="00084267"/>
    <w:pPr>
      <w:ind w:left="346" w:firstLine="0"/>
    </w:pPr>
  </w:style>
  <w:style w:type="paragraph" w:customStyle="1" w:styleId="JuListi">
    <w:name w:val="Ju_List_i"/>
    <w:basedOn w:val="Normal"/>
    <w:next w:val="JuLista"/>
    <w:uiPriority w:val="28"/>
    <w:qFormat/>
    <w:rsid w:val="00084267"/>
    <w:pPr>
      <w:ind w:left="794"/>
    </w:pPr>
  </w:style>
  <w:style w:type="character" w:styleId="SubtleEmphasis">
    <w:name w:val="Subtle Emphasis"/>
    <w:uiPriority w:val="99"/>
    <w:semiHidden/>
    <w:qFormat/>
    <w:rsid w:val="00084267"/>
    <w:rPr>
      <w:i/>
      <w:iCs/>
    </w:rPr>
  </w:style>
  <w:style w:type="paragraph" w:customStyle="1" w:styleId="OpiH1">
    <w:name w:val="Opi_H_1"/>
    <w:basedOn w:val="ECHRHeading2"/>
    <w:uiPriority w:val="42"/>
    <w:qFormat/>
    <w:rsid w:val="00084267"/>
    <w:pPr>
      <w:ind w:left="635" w:hanging="357"/>
      <w:outlineLvl w:val="2"/>
    </w:pPr>
  </w:style>
  <w:style w:type="table" w:customStyle="1" w:styleId="ECHRTable">
    <w:name w:val="ECHR_Table"/>
    <w:basedOn w:val="TableNormal"/>
    <w:rsid w:val="00860B03"/>
    <w:rPr>
      <w:rFonts w:eastAsia="Times New Roman" w:cs="Times New Roman"/>
      <w:sz w:val="20"/>
      <w:szCs w:val="20"/>
      <w:lang w:val="en-GB"/>
    </w:rPr>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tblStylePr w:type="firstCol">
      <w:rPr>
        <w:b/>
      </w:rPr>
    </w:tblStylePr>
    <w:tblStylePr w:type="band2Vert">
      <w:tblPr/>
      <w:tcPr>
        <w:tcBorders>
          <w:top w:val="nil"/>
          <w:left w:val="nil"/>
          <w:bottom w:val="nil"/>
          <w:right w:val="nil"/>
          <w:insideH w:val="nil"/>
          <w:insideV w:val="nil"/>
          <w:tl2br w:val="nil"/>
          <w:tr2bl w:val="nil"/>
        </w:tcBorders>
        <w:shd w:val="clear" w:color="auto" w:fill="DFDFDF" w:themeFill="background2" w:themeFillShade="E6"/>
      </w:tcPr>
    </w:tblStylePr>
    <w:tblStylePr w:type="band2Horz">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style>
  <w:style w:type="table" w:customStyle="1" w:styleId="ECHRTableBoxHeader">
    <w:name w:val="ECHR_Table_Box_Header"/>
    <w:basedOn w:val="TableNormal"/>
    <w:rsid w:val="004C086C"/>
    <w:rPr>
      <w:rFonts w:ascii="Verdana" w:eastAsia="Times New Roman" w:hAnsi="Verdana" w:cs="Times New Roman"/>
      <w:sz w:val="20"/>
      <w:szCs w:val="20"/>
      <w:lang w:val="en-GB"/>
    </w:rPr>
    <w:tblPr>
      <w:tblCellMar>
        <w:top w:w="57" w:type="dxa"/>
        <w:left w:w="57" w:type="dxa"/>
        <w:bottom w:w="57" w:type="dxa"/>
        <w:right w:w="57" w:type="dxa"/>
      </w:tblCellMar>
    </w:tblPr>
    <w:tcPr>
      <w:shd w:val="clear" w:color="auto" w:fill="F8F8F8" w:themeFill="background2"/>
    </w:tcPr>
    <w:tblStylePr w:type="firstCol">
      <w:rPr>
        <w:b/>
        <w:color w:val="5F5F5F" w:themeColor="accent3"/>
      </w:rPr>
    </w:tblStylePr>
  </w:style>
  <w:style w:type="paragraph" w:customStyle="1" w:styleId="OpiHa0">
    <w:name w:val="Opi_H_a"/>
    <w:basedOn w:val="ECHRHeading3"/>
    <w:uiPriority w:val="43"/>
    <w:qFormat/>
    <w:rsid w:val="00084267"/>
    <w:pPr>
      <w:ind w:left="833" w:hanging="357"/>
      <w:outlineLvl w:val="3"/>
    </w:pPr>
    <w:rPr>
      <w:b/>
      <w:i w:val="0"/>
      <w:sz w:val="20"/>
    </w:rPr>
  </w:style>
  <w:style w:type="paragraph" w:customStyle="1" w:styleId="OpiHi">
    <w:name w:val="Opi_H_i"/>
    <w:basedOn w:val="ECHRHeading4"/>
    <w:uiPriority w:val="44"/>
    <w:qFormat/>
    <w:rsid w:val="00084267"/>
    <w:pPr>
      <w:ind w:left="1037" w:hanging="357"/>
      <w:outlineLvl w:val="4"/>
    </w:pPr>
    <w:rPr>
      <w:b w:val="0"/>
      <w:i/>
    </w:rPr>
  </w:style>
  <w:style w:type="paragraph" w:customStyle="1" w:styleId="DummyStyle">
    <w:name w:val="Dummy_Style"/>
    <w:basedOn w:val="Normal"/>
    <w:semiHidden/>
    <w:qFormat/>
    <w:rsid w:val="00084267"/>
    <w:rPr>
      <w:color w:val="00B050"/>
    </w:rPr>
  </w:style>
  <w:style w:type="character" w:styleId="Emphasis">
    <w:name w:val="Emphasis"/>
    <w:uiPriority w:val="99"/>
    <w:semiHidden/>
    <w:qFormat/>
    <w:rsid w:val="00084267"/>
    <w:rPr>
      <w:b/>
      <w:bCs/>
      <w:i/>
      <w:iCs/>
      <w:spacing w:val="10"/>
      <w:bdr w:val="none" w:sz="0" w:space="0" w:color="auto"/>
      <w:shd w:val="clear" w:color="auto" w:fill="auto"/>
    </w:rPr>
  </w:style>
  <w:style w:type="paragraph" w:styleId="Footer">
    <w:name w:val="footer"/>
    <w:basedOn w:val="Normal"/>
    <w:link w:val="FooterChar"/>
    <w:uiPriority w:val="57"/>
    <w:semiHidden/>
    <w:rsid w:val="006D3D52"/>
    <w:pPr>
      <w:tabs>
        <w:tab w:val="center" w:pos="4536"/>
        <w:tab w:val="right" w:pos="9696"/>
      </w:tabs>
      <w:ind w:left="-680" w:right="-680"/>
    </w:pPr>
    <w:rPr>
      <w:rFonts w:eastAsiaTheme="minorHAnsi"/>
    </w:rPr>
  </w:style>
  <w:style w:type="character" w:customStyle="1" w:styleId="FooterChar">
    <w:name w:val="Footer Char"/>
    <w:basedOn w:val="DefaultParagraphFont"/>
    <w:link w:val="Footer"/>
    <w:uiPriority w:val="57"/>
    <w:semiHidden/>
    <w:rsid w:val="006D3D52"/>
    <w:rPr>
      <w:sz w:val="24"/>
      <w:lang w:val="en-GB"/>
    </w:rPr>
  </w:style>
  <w:style w:type="character" w:styleId="FootnoteReference">
    <w:name w:val="footnote reference"/>
    <w:basedOn w:val="DefaultParagraphFont"/>
    <w:uiPriority w:val="99"/>
    <w:semiHidden/>
    <w:rsid w:val="006D3D52"/>
    <w:rPr>
      <w:vertAlign w:val="superscript"/>
    </w:rPr>
  </w:style>
  <w:style w:type="paragraph" w:styleId="FootnoteText">
    <w:name w:val="footnote text"/>
    <w:basedOn w:val="Normal"/>
    <w:link w:val="FootnoteTextChar"/>
    <w:uiPriority w:val="99"/>
    <w:semiHidden/>
    <w:rsid w:val="006D3D52"/>
    <w:rPr>
      <w:sz w:val="20"/>
      <w:szCs w:val="20"/>
    </w:rPr>
  </w:style>
  <w:style w:type="character" w:customStyle="1" w:styleId="FootnoteTextChar">
    <w:name w:val="Footnote Text Char"/>
    <w:basedOn w:val="DefaultParagraphFont"/>
    <w:link w:val="FootnoteText"/>
    <w:uiPriority w:val="99"/>
    <w:semiHidden/>
    <w:rsid w:val="006D3D52"/>
    <w:rPr>
      <w:rFonts w:eastAsiaTheme="minorEastAsia"/>
      <w:sz w:val="20"/>
      <w:szCs w:val="20"/>
      <w:lang w:val="en-GB"/>
    </w:rPr>
  </w:style>
  <w:style w:type="character" w:customStyle="1" w:styleId="Heading6Char">
    <w:name w:val="Heading 6 Char"/>
    <w:basedOn w:val="DefaultParagraphFont"/>
    <w:link w:val="Heading6"/>
    <w:uiPriority w:val="99"/>
    <w:semiHidden/>
    <w:rsid w:val="006D3D52"/>
    <w:rPr>
      <w:rFonts w:asciiTheme="majorHAnsi" w:eastAsiaTheme="majorEastAsia" w:hAnsiTheme="majorHAnsi" w:cstheme="majorBidi"/>
      <w:b/>
      <w:bCs/>
      <w:i/>
      <w:iCs/>
      <w:color w:val="7F7F7F" w:themeColor="text1" w:themeTint="80"/>
      <w:sz w:val="24"/>
      <w:lang w:val="en-GB" w:bidi="en-US"/>
    </w:rPr>
  </w:style>
  <w:style w:type="character" w:customStyle="1" w:styleId="Heading7Char">
    <w:name w:val="Heading 7 Char"/>
    <w:basedOn w:val="DefaultParagraphFont"/>
    <w:link w:val="Heading7"/>
    <w:uiPriority w:val="99"/>
    <w:semiHidden/>
    <w:rsid w:val="00084267"/>
    <w:rPr>
      <w:rFonts w:asciiTheme="majorHAnsi" w:eastAsiaTheme="majorEastAsia" w:hAnsiTheme="majorHAnsi" w:cstheme="majorBidi"/>
      <w:i/>
      <w:iCs/>
      <w:lang w:bidi="en-US"/>
    </w:rPr>
  </w:style>
  <w:style w:type="character" w:customStyle="1" w:styleId="Heading8Char">
    <w:name w:val="Heading 8 Char"/>
    <w:basedOn w:val="DefaultParagraphFont"/>
    <w:link w:val="Heading8"/>
    <w:uiPriority w:val="99"/>
    <w:semiHidden/>
    <w:rsid w:val="00084267"/>
    <w:rPr>
      <w:rFonts w:asciiTheme="majorHAnsi" w:eastAsiaTheme="majorEastAsia" w:hAnsiTheme="majorHAnsi" w:cstheme="majorBidi"/>
      <w:sz w:val="20"/>
      <w:szCs w:val="20"/>
      <w:lang w:bidi="en-US"/>
    </w:rPr>
  </w:style>
  <w:style w:type="character" w:customStyle="1" w:styleId="Heading9Char">
    <w:name w:val="Heading 9 Char"/>
    <w:basedOn w:val="DefaultParagraphFont"/>
    <w:link w:val="Heading9"/>
    <w:uiPriority w:val="99"/>
    <w:semiHidden/>
    <w:rsid w:val="00084267"/>
    <w:rPr>
      <w:rFonts w:asciiTheme="majorHAnsi" w:eastAsiaTheme="majorEastAsia" w:hAnsiTheme="majorHAnsi" w:cstheme="majorBidi"/>
      <w:i/>
      <w:iCs/>
      <w:spacing w:val="5"/>
      <w:sz w:val="20"/>
      <w:szCs w:val="20"/>
      <w:lang w:bidi="en-US"/>
    </w:rPr>
  </w:style>
  <w:style w:type="character" w:styleId="Hyperlink">
    <w:name w:val="Hyperlink"/>
    <w:basedOn w:val="DefaultParagraphFont"/>
    <w:uiPriority w:val="99"/>
    <w:semiHidden/>
    <w:rsid w:val="006D3D52"/>
    <w:rPr>
      <w:color w:val="0072BC" w:themeColor="hyperlink"/>
      <w:u w:val="single"/>
    </w:rPr>
  </w:style>
  <w:style w:type="character" w:styleId="IntenseEmphasis">
    <w:name w:val="Intense Emphasis"/>
    <w:uiPriority w:val="99"/>
    <w:semiHidden/>
    <w:qFormat/>
    <w:rsid w:val="00084267"/>
    <w:rPr>
      <w:b/>
      <w:bCs/>
    </w:rPr>
  </w:style>
  <w:style w:type="paragraph" w:styleId="IntenseQuote">
    <w:name w:val="Intense Quote"/>
    <w:basedOn w:val="Normal"/>
    <w:next w:val="Normal"/>
    <w:link w:val="IntenseQuoteChar"/>
    <w:uiPriority w:val="99"/>
    <w:semiHidden/>
    <w:qFormat/>
    <w:rsid w:val="00084267"/>
    <w:pPr>
      <w:pBdr>
        <w:bottom w:val="single" w:sz="4" w:space="1" w:color="auto"/>
      </w:pBdr>
      <w:spacing w:before="200" w:after="280"/>
      <w:ind w:left="1008" w:right="1152"/>
    </w:pPr>
    <w:rPr>
      <w:b/>
      <w:bCs/>
      <w:i/>
      <w:iCs/>
      <w:sz w:val="22"/>
      <w:lang w:val="en-US" w:bidi="en-US"/>
    </w:rPr>
  </w:style>
  <w:style w:type="character" w:customStyle="1" w:styleId="IntenseQuoteChar">
    <w:name w:val="Intense Quote Char"/>
    <w:basedOn w:val="DefaultParagraphFont"/>
    <w:link w:val="IntenseQuote"/>
    <w:uiPriority w:val="99"/>
    <w:semiHidden/>
    <w:rsid w:val="00084267"/>
    <w:rPr>
      <w:rFonts w:eastAsiaTheme="minorEastAsia"/>
      <w:b/>
      <w:bCs/>
      <w:i/>
      <w:iCs/>
      <w:lang w:bidi="en-US"/>
    </w:rPr>
  </w:style>
  <w:style w:type="character" w:styleId="IntenseReference">
    <w:name w:val="Intense Reference"/>
    <w:uiPriority w:val="99"/>
    <w:semiHidden/>
    <w:qFormat/>
    <w:rsid w:val="00084267"/>
    <w:rPr>
      <w:smallCaps/>
      <w:spacing w:val="5"/>
      <w:u w:val="single"/>
    </w:rPr>
  </w:style>
  <w:style w:type="paragraph" w:styleId="ListParagraph">
    <w:name w:val="List Paragraph"/>
    <w:basedOn w:val="Normal"/>
    <w:uiPriority w:val="99"/>
    <w:semiHidden/>
    <w:qFormat/>
    <w:rsid w:val="00084267"/>
    <w:pPr>
      <w:ind w:left="720"/>
      <w:contextualSpacing/>
    </w:pPr>
  </w:style>
  <w:style w:type="table" w:customStyle="1" w:styleId="LtrTableAddress">
    <w:name w:val="Ltr_Table_Address"/>
    <w:basedOn w:val="TableNormal"/>
    <w:uiPriority w:val="99"/>
    <w:rsid w:val="001E6F32"/>
    <w:tblPr>
      <w:tblInd w:w="5103" w:type="dxa"/>
    </w:tblPr>
  </w:style>
  <w:style w:type="paragraph" w:styleId="Quote">
    <w:name w:val="Quote"/>
    <w:basedOn w:val="Normal"/>
    <w:next w:val="Normal"/>
    <w:link w:val="QuoteChar"/>
    <w:uiPriority w:val="99"/>
    <w:semiHidden/>
    <w:qFormat/>
    <w:rsid w:val="00084267"/>
    <w:pPr>
      <w:spacing w:before="200"/>
      <w:ind w:left="360" w:right="360"/>
    </w:pPr>
    <w:rPr>
      <w:i/>
      <w:iCs/>
      <w:sz w:val="22"/>
      <w:lang w:val="en-US" w:bidi="en-US"/>
    </w:rPr>
  </w:style>
  <w:style w:type="character" w:customStyle="1" w:styleId="QuoteChar">
    <w:name w:val="Quote Char"/>
    <w:basedOn w:val="DefaultParagraphFont"/>
    <w:link w:val="Quote"/>
    <w:uiPriority w:val="99"/>
    <w:semiHidden/>
    <w:rsid w:val="00084267"/>
    <w:rPr>
      <w:rFonts w:eastAsiaTheme="minorEastAsia"/>
      <w:i/>
      <w:iCs/>
      <w:lang w:bidi="en-US"/>
    </w:rPr>
  </w:style>
  <w:style w:type="character" w:styleId="SubtleReference">
    <w:name w:val="Subtle Reference"/>
    <w:uiPriority w:val="99"/>
    <w:semiHidden/>
    <w:qFormat/>
    <w:rsid w:val="00084267"/>
    <w:rPr>
      <w:smallCaps/>
    </w:rPr>
  </w:style>
  <w:style w:type="table" w:styleId="TableGrid">
    <w:name w:val="Table Grid"/>
    <w:basedOn w:val="TableNormal"/>
    <w:uiPriority w:val="59"/>
    <w:semiHidden/>
    <w:rsid w:val="006D3D52"/>
    <w:rPr>
      <w:rFonts w:eastAsiaTheme="minorEastAs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1">
    <w:name w:val="toc 1"/>
    <w:basedOn w:val="Normal"/>
    <w:next w:val="Normal"/>
    <w:autoRedefine/>
    <w:uiPriority w:val="99"/>
    <w:semiHidden/>
    <w:rsid w:val="006D3D52"/>
    <w:pPr>
      <w:keepNext/>
      <w:tabs>
        <w:tab w:val="right" w:leader="dot" w:pos="7371"/>
      </w:tabs>
      <w:spacing w:before="160" w:after="60" w:line="240" w:lineRule="exact"/>
      <w:ind w:left="340" w:right="567" w:hanging="340"/>
    </w:pPr>
    <w:rPr>
      <w:b/>
      <w:sz w:val="22"/>
    </w:rPr>
  </w:style>
  <w:style w:type="paragraph" w:styleId="TOC2">
    <w:name w:val="toc 2"/>
    <w:basedOn w:val="Normal"/>
    <w:next w:val="Normal"/>
    <w:autoRedefine/>
    <w:uiPriority w:val="99"/>
    <w:semiHidden/>
    <w:rsid w:val="006D3D52"/>
    <w:pPr>
      <w:keepNext/>
      <w:tabs>
        <w:tab w:val="right" w:leader="dot" w:pos="7371"/>
      </w:tabs>
      <w:spacing w:after="60" w:line="240" w:lineRule="exact"/>
      <w:ind w:left="680" w:right="567" w:hanging="340"/>
    </w:pPr>
    <w:rPr>
      <w:sz w:val="22"/>
    </w:rPr>
  </w:style>
  <w:style w:type="paragraph" w:styleId="TOC3">
    <w:name w:val="toc 3"/>
    <w:basedOn w:val="Normal"/>
    <w:next w:val="Normal"/>
    <w:autoRedefine/>
    <w:uiPriority w:val="99"/>
    <w:semiHidden/>
    <w:rsid w:val="006D3D52"/>
    <w:pPr>
      <w:keepNext/>
      <w:tabs>
        <w:tab w:val="right" w:leader="dot" w:pos="7371"/>
      </w:tabs>
      <w:spacing w:after="60" w:line="240" w:lineRule="exact"/>
      <w:ind w:left="1020" w:right="567" w:hanging="340"/>
    </w:pPr>
    <w:rPr>
      <w:sz w:val="20"/>
    </w:rPr>
  </w:style>
  <w:style w:type="paragraph" w:styleId="TOC4">
    <w:name w:val="toc 4"/>
    <w:basedOn w:val="Normal"/>
    <w:next w:val="Normal"/>
    <w:autoRedefine/>
    <w:uiPriority w:val="99"/>
    <w:semiHidden/>
    <w:rsid w:val="006D3D52"/>
    <w:pPr>
      <w:tabs>
        <w:tab w:val="right" w:leader="dot" w:pos="7371"/>
      </w:tabs>
      <w:spacing w:after="60" w:line="240" w:lineRule="exact"/>
      <w:ind w:left="1361" w:right="567" w:hanging="340"/>
    </w:pPr>
    <w:rPr>
      <w:sz w:val="20"/>
    </w:rPr>
  </w:style>
  <w:style w:type="paragraph" w:styleId="TOC5">
    <w:name w:val="toc 5"/>
    <w:basedOn w:val="Normal"/>
    <w:next w:val="Normal"/>
    <w:autoRedefine/>
    <w:uiPriority w:val="99"/>
    <w:semiHidden/>
    <w:rsid w:val="006D3D52"/>
    <w:pPr>
      <w:tabs>
        <w:tab w:val="right" w:leader="dot" w:pos="7371"/>
      </w:tabs>
      <w:spacing w:after="60" w:line="240" w:lineRule="exact"/>
      <w:ind w:left="1701" w:right="567" w:hanging="340"/>
    </w:pPr>
    <w:rPr>
      <w:sz w:val="20"/>
    </w:rPr>
  </w:style>
  <w:style w:type="paragraph" w:styleId="TOCHeading">
    <w:name w:val="TOC Heading"/>
    <w:basedOn w:val="Normal"/>
    <w:next w:val="Normal"/>
    <w:uiPriority w:val="99"/>
    <w:semiHidden/>
    <w:qFormat/>
    <w:rsid w:val="00084267"/>
    <w:pPr>
      <w:keepNext/>
      <w:keepLines/>
      <w:spacing w:before="240"/>
      <w:contextualSpacing/>
      <w:jc w:val="center"/>
    </w:pPr>
    <w:rPr>
      <w:rFonts w:asciiTheme="majorHAnsi" w:eastAsiaTheme="minorHAnsi" w:hAnsiTheme="majorHAnsi"/>
      <w:b/>
      <w:color w:val="474747" w:themeColor="accent3" w:themeShade="BF"/>
      <w:sz w:val="28"/>
    </w:rPr>
  </w:style>
  <w:style w:type="table" w:customStyle="1" w:styleId="UGTable">
    <w:name w:val="UG_Table"/>
    <w:basedOn w:val="TableNormal"/>
    <w:uiPriority w:val="99"/>
    <w:rsid w:val="00572845"/>
    <w:rPr>
      <w:rFonts w:eastAsiaTheme="minorEastAsia"/>
      <w:sz w:val="20"/>
      <w:lang w:val="en-GB" w:eastAsia="en-GB"/>
    </w:rPr>
    <w:tblPr>
      <w:tblInd w:w="-964" w:type="dxa"/>
      <w:tblCellMar>
        <w:left w:w="57" w:type="dxa"/>
        <w:bottom w:w="57" w:type="dxa"/>
        <w:right w:w="113" w:type="dxa"/>
      </w:tblCellMar>
    </w:tblPr>
    <w:tblStylePr w:type="swCell">
      <w:tblPr/>
      <w:tcPr>
        <w:tcBorders>
          <w:top w:val="nil"/>
          <w:left w:val="nil"/>
          <w:bottom w:val="nil"/>
          <w:right w:val="nil"/>
          <w:insideH w:val="nil"/>
          <w:insideV w:val="nil"/>
          <w:tl2br w:val="nil"/>
          <w:tr2bl w:val="nil"/>
        </w:tcBorders>
        <w:shd w:val="clear" w:color="auto" w:fill="EAEAEA"/>
      </w:tcPr>
    </w:tblStylePr>
  </w:style>
  <w:style w:type="table" w:customStyle="1" w:styleId="UGTableWhiteBox">
    <w:name w:val="UG_Table_White_Box"/>
    <w:basedOn w:val="TableNormal"/>
    <w:uiPriority w:val="99"/>
    <w:rsid w:val="003609FA"/>
    <w:rPr>
      <w:rFonts w:eastAsiaTheme="minorEastAsia"/>
      <w:lang w:val="en-GB" w:eastAsia="en-GB"/>
    </w:rPr>
    <w:tblPr>
      <w:tblInd w:w="113" w:type="dxa"/>
      <w:tblBorders>
        <w:top w:val="single" w:sz="4" w:space="0" w:color="B9B9B9" w:themeColor="background2" w:themeShade="BF"/>
        <w:left w:val="single" w:sz="4" w:space="0" w:color="B9B9B9" w:themeColor="background2" w:themeShade="BF"/>
        <w:bottom w:val="single" w:sz="4" w:space="0" w:color="B9B9B9" w:themeColor="background2" w:themeShade="BF"/>
        <w:right w:val="single" w:sz="4" w:space="0" w:color="B9B9B9" w:themeColor="background2" w:themeShade="BF"/>
      </w:tblBorders>
      <w:tblCellMar>
        <w:top w:w="113" w:type="dxa"/>
        <w:left w:w="113" w:type="dxa"/>
        <w:bottom w:w="113" w:type="dxa"/>
        <w:right w:w="113" w:type="dxa"/>
      </w:tblCellMar>
    </w:tblPr>
    <w:tcPr>
      <w:shd w:val="clear" w:color="auto" w:fill="FFFFFF"/>
    </w:tcPr>
  </w:style>
  <w:style w:type="table" w:customStyle="1" w:styleId="PCFTableStyle">
    <w:name w:val="PCF_Table_Style"/>
    <w:basedOn w:val="TableNormal"/>
    <w:uiPriority w:val="99"/>
    <w:rsid w:val="00810B38"/>
    <w:rPr>
      <w:color w:val="000000" w:themeColor="text1"/>
      <w:sz w:val="18"/>
    </w:rPr>
    <w:tblPr>
      <w:tblBorders>
        <w:top w:val="single" w:sz="8" w:space="0" w:color="9F9F9F" w:themeColor="accent3" w:themeTint="99"/>
        <w:left w:val="single" w:sz="8" w:space="0" w:color="9F9F9F" w:themeColor="accent3" w:themeTint="99"/>
        <w:bottom w:val="single" w:sz="8" w:space="0" w:color="9F9F9F" w:themeColor="accent3" w:themeTint="99"/>
        <w:right w:val="single" w:sz="8" w:space="0" w:color="9F9F9F" w:themeColor="accent3" w:themeTint="99"/>
        <w:insideH w:val="single" w:sz="8" w:space="0" w:color="9F9F9F" w:themeColor="accent3" w:themeTint="99"/>
        <w:insideV w:val="single" w:sz="8" w:space="0" w:color="9F9F9F" w:themeColor="accent3" w:themeTint="99"/>
      </w:tblBorders>
    </w:tblPr>
    <w:tblStylePr w:type="firstRow">
      <w:pPr>
        <w:wordWrap/>
        <w:spacing w:beforeLines="0" w:before="120" w:beforeAutospacing="0" w:afterLines="0" w:after="120" w:afterAutospacing="0" w:line="240" w:lineRule="auto"/>
        <w:contextualSpacing/>
        <w:jc w:val="center"/>
      </w:pPr>
      <w:rPr>
        <w:b/>
        <w:i w:val="0"/>
        <w:color w:val="FFFFFF"/>
        <w:sz w:val="20"/>
      </w:rPr>
      <w:tblPr/>
      <w:tcPr>
        <w:tcBorders>
          <w:top w:val="nil"/>
          <w:left w:val="nil"/>
          <w:bottom w:val="nil"/>
          <w:right w:val="nil"/>
          <w:insideH w:val="nil"/>
          <w:insideV w:val="nil"/>
          <w:tl2br w:val="nil"/>
          <w:tr2bl w:val="nil"/>
        </w:tcBorders>
        <w:shd w:val="clear" w:color="auto" w:fill="0072BC" w:themeFill="accent1"/>
        <w:vAlign w:val="center"/>
      </w:tcPr>
    </w:tblStylePr>
    <w:tblStylePr w:type="firstCol">
      <w:pPr>
        <w:jc w:val="left"/>
      </w:pPr>
      <w:tblPr/>
      <w:tcPr>
        <w:vAlign w:val="center"/>
      </w:tcPr>
    </w:tblStylePr>
  </w:style>
  <w:style w:type="table" w:customStyle="1" w:styleId="ECHRTableFax">
    <w:name w:val="ECHR_Table_Fax"/>
    <w:basedOn w:val="TableNormal"/>
    <w:uiPriority w:val="99"/>
    <w:rsid w:val="00893576"/>
    <w:rPr>
      <w:color w:val="000000" w:themeColor="text1"/>
    </w:rPr>
    <w:tblPr>
      <w:tblInd w:w="-680" w:type="dxa"/>
      <w:tblBorders>
        <w:insideH w:val="single" w:sz="4" w:space="0" w:color="C6C6C6" w:themeColor="text2"/>
        <w:insideV w:val="single" w:sz="4" w:space="0" w:color="C6C6C6" w:themeColor="text2"/>
      </w:tblBorders>
      <w:tblCellMar>
        <w:top w:w="142" w:type="dxa"/>
        <w:bottom w:w="142" w:type="dxa"/>
      </w:tblCellMar>
    </w:tblPr>
    <w:trPr>
      <w:cantSplit/>
    </w:trPr>
  </w:style>
  <w:style w:type="table" w:customStyle="1" w:styleId="ECHRTableMemo">
    <w:name w:val="ECHR_Table_Memo"/>
    <w:basedOn w:val="TableNormal"/>
    <w:uiPriority w:val="99"/>
    <w:rsid w:val="00210338"/>
    <w:tblPr>
      <w:jc w:val="center"/>
      <w:tblCellMar>
        <w:top w:w="113" w:type="dxa"/>
        <w:left w:w="0" w:type="dxa"/>
        <w:bottom w:w="113" w:type="dxa"/>
        <w:right w:w="0" w:type="dxa"/>
      </w:tblCellMar>
    </w:tblPr>
    <w:trPr>
      <w:jc w:val="center"/>
    </w:trPr>
    <w:tblStylePr w:type="lastRow">
      <w:tblPr/>
      <w:tcPr>
        <w:tcBorders>
          <w:top w:val="nil"/>
          <w:left w:val="nil"/>
          <w:bottom w:val="single" w:sz="4" w:space="0" w:color="949494" w:themeColor="text2" w:themeShade="BF"/>
          <w:right w:val="nil"/>
          <w:insideH w:val="nil"/>
          <w:insideV w:val="nil"/>
          <w:tl2br w:val="nil"/>
          <w:tr2bl w:val="nil"/>
        </w:tcBorders>
      </w:tcPr>
    </w:tblStylePr>
  </w:style>
  <w:style w:type="table" w:customStyle="1" w:styleId="ECHRDNTable">
    <w:name w:val="ECHR_DN_Table"/>
    <w:aliases w:val="DN_Table"/>
    <w:basedOn w:val="TableNormal"/>
    <w:uiPriority w:val="99"/>
    <w:rsid w:val="0090506B"/>
    <w:tblPr>
      <w:jc w:val="center"/>
      <w:tblBorders>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57" w:type="dxa"/>
        <w:bottom w:w="57" w:type="dxa"/>
      </w:tblCellMar>
    </w:tblPr>
    <w:trPr>
      <w:jc w:val="center"/>
    </w:trPr>
    <w:tcPr>
      <w:vAlign w:val="center"/>
    </w:tcPr>
    <w:tblStylePr w:type="firstRow">
      <w:pPr>
        <w:wordWrap/>
        <w:spacing w:beforeLines="0"/>
        <w:ind w:leftChars="0" w:left="0"/>
      </w:pPr>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nil"/>
          <w:right w:val="single" w:sz="4" w:space="0" w:color="949494" w:themeColor="text2" w:themeShade="BF"/>
          <w:insideH w:val="nil"/>
          <w:insideV w:val="nil"/>
          <w:tl2br w:val="nil"/>
          <w:tr2bl w:val="nil"/>
        </w:tcBorders>
        <w:shd w:val="clear" w:color="auto" w:fill="DFDFDF" w:themeFill="background2" w:themeFillShade="E6"/>
      </w:tcPr>
    </w:tblStylePr>
  </w:style>
  <w:style w:type="paragraph" w:styleId="TOAHeading">
    <w:name w:val="toa heading"/>
    <w:basedOn w:val="Normal"/>
    <w:next w:val="Normal"/>
    <w:uiPriority w:val="99"/>
    <w:semiHidden/>
    <w:rsid w:val="006D3D52"/>
    <w:pPr>
      <w:keepNext/>
      <w:keepLines/>
      <w:spacing w:before="240"/>
      <w:contextualSpacing/>
      <w:jc w:val="center"/>
    </w:pPr>
    <w:rPr>
      <w:rFonts w:asciiTheme="majorHAnsi" w:eastAsiaTheme="majorEastAsia" w:hAnsiTheme="majorHAnsi" w:cstheme="majorBidi"/>
      <w:b/>
      <w:bCs/>
      <w:color w:val="474747" w:themeColor="accent3" w:themeShade="BF"/>
      <w:sz w:val="28"/>
      <w:szCs w:val="24"/>
    </w:rPr>
  </w:style>
  <w:style w:type="paragraph" w:styleId="Subtitle">
    <w:name w:val="Subtitle"/>
    <w:basedOn w:val="Normal"/>
    <w:next w:val="Normal"/>
    <w:link w:val="SubtitleChar"/>
    <w:uiPriority w:val="99"/>
    <w:semiHidden/>
    <w:qFormat/>
    <w:rsid w:val="00084267"/>
    <w:pPr>
      <w:spacing w:after="600"/>
    </w:pPr>
    <w:rPr>
      <w:rFonts w:asciiTheme="majorHAnsi" w:eastAsiaTheme="majorEastAsia" w:hAnsiTheme="majorHAnsi" w:cstheme="majorBidi"/>
      <w:i/>
      <w:iCs/>
      <w:spacing w:val="13"/>
      <w:szCs w:val="24"/>
      <w:lang w:val="en-US" w:bidi="en-US"/>
    </w:rPr>
  </w:style>
  <w:style w:type="character" w:customStyle="1" w:styleId="SubtitleChar">
    <w:name w:val="Subtitle Char"/>
    <w:basedOn w:val="DefaultParagraphFont"/>
    <w:link w:val="Subtitle"/>
    <w:uiPriority w:val="99"/>
    <w:semiHidden/>
    <w:rsid w:val="00084267"/>
    <w:rPr>
      <w:rFonts w:asciiTheme="majorHAnsi" w:eastAsiaTheme="majorEastAsia" w:hAnsiTheme="majorHAnsi" w:cstheme="majorBidi"/>
      <w:i/>
      <w:iCs/>
      <w:spacing w:val="13"/>
      <w:sz w:val="24"/>
      <w:szCs w:val="24"/>
      <w:lang w:bidi="en-US"/>
    </w:rPr>
  </w:style>
  <w:style w:type="numbering" w:styleId="111111">
    <w:name w:val="Outline List 2"/>
    <w:basedOn w:val="NoList"/>
    <w:uiPriority w:val="99"/>
    <w:semiHidden/>
    <w:unhideWhenUsed/>
    <w:rsid w:val="0098410D"/>
    <w:pPr>
      <w:numPr>
        <w:numId w:val="10"/>
      </w:numPr>
    </w:pPr>
  </w:style>
  <w:style w:type="paragraph" w:customStyle="1" w:styleId="ECHRPara">
    <w:name w:val="ECHR_Para"/>
    <w:aliases w:val="Ju_Para"/>
    <w:basedOn w:val="Normal"/>
    <w:link w:val="JuParaCar"/>
    <w:uiPriority w:val="12"/>
    <w:qFormat/>
    <w:rsid w:val="00084267"/>
    <w:pPr>
      <w:ind w:firstLine="284"/>
    </w:pPr>
  </w:style>
  <w:style w:type="numbering" w:styleId="1ai">
    <w:name w:val="Outline List 1"/>
    <w:basedOn w:val="NoList"/>
    <w:uiPriority w:val="99"/>
    <w:semiHidden/>
    <w:unhideWhenUsed/>
    <w:rsid w:val="0098410D"/>
    <w:pPr>
      <w:numPr>
        <w:numId w:val="11"/>
      </w:numPr>
    </w:pPr>
  </w:style>
  <w:style w:type="table" w:customStyle="1" w:styleId="ECHRTableSimpleBox">
    <w:name w:val="ECHR_Table_Simple_Box"/>
    <w:basedOn w:val="TableNormal"/>
    <w:uiPriority w:val="99"/>
    <w:rsid w:val="00AE354C"/>
    <w:tblPr>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tblBorders>
      <w:tblCellMar>
        <w:top w:w="113" w:type="dxa"/>
        <w:bottom w:w="113" w:type="dxa"/>
      </w:tblCellMar>
    </w:tblPr>
  </w:style>
  <w:style w:type="table" w:customStyle="1" w:styleId="ECHRTableNoLines">
    <w:name w:val="ECHR_Table_No_Lines"/>
    <w:basedOn w:val="TableNormal"/>
    <w:uiPriority w:val="99"/>
    <w:rsid w:val="00F218EF"/>
    <w:tblPr>
      <w:tblCellMar>
        <w:top w:w="85" w:type="dxa"/>
        <w:left w:w="142" w:type="dxa"/>
        <w:bottom w:w="28" w:type="dxa"/>
        <w:right w:w="142" w:type="dxa"/>
      </w:tblCellMar>
    </w:tblPr>
    <w:tblStylePr w:type="firstRow">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nil"/>
          <w:tl2br w:val="nil"/>
          <w:tr2bl w:val="nil"/>
        </w:tcBorders>
        <w:shd w:val="clear" w:color="auto" w:fill="DFDFDF" w:themeFill="background2" w:themeFillShade="E6"/>
      </w:tcPr>
    </w:tblStylePr>
    <w:tblStylePr w:type="firstCol">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tcPr>
    </w:tblStylePr>
  </w:style>
  <w:style w:type="numbering" w:styleId="ArticleSection">
    <w:name w:val="Outline List 3"/>
    <w:basedOn w:val="NoList"/>
    <w:uiPriority w:val="99"/>
    <w:semiHidden/>
    <w:unhideWhenUsed/>
    <w:rsid w:val="0098410D"/>
    <w:pPr>
      <w:numPr>
        <w:numId w:val="12"/>
      </w:numPr>
    </w:pPr>
  </w:style>
  <w:style w:type="table" w:customStyle="1" w:styleId="ECHRTableForInternalUse">
    <w:name w:val="ECHR_Table_For_Internal_Use"/>
    <w:basedOn w:val="TableNormal"/>
    <w:uiPriority w:val="99"/>
    <w:rsid w:val="005474E7"/>
    <w:rPr>
      <w:color w:val="636363" w:themeColor="text2" w:themeShade="80"/>
      <w:sz w:val="18"/>
    </w:rPr>
    <w:tblPr>
      <w:tblStyleColBandSize w:val="1"/>
      <w:jc w:val="right"/>
      <w:tblCellMar>
        <w:top w:w="113" w:type="dxa"/>
        <w:bottom w:w="28" w:type="dxa"/>
      </w:tblCellMar>
    </w:tblPr>
    <w:trPr>
      <w:jc w:val="right"/>
    </w:trPr>
    <w:tblStylePr w:type="firstRow">
      <w:rPr>
        <w:b/>
      </w:rPr>
    </w:tblStylePr>
    <w:tblStylePr w:type="lastCol">
      <w:pPr>
        <w:jc w:val="right"/>
      </w:p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tblStylePr w:type="band1Vert">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style>
  <w:style w:type="table" w:customStyle="1" w:styleId="ECHRListTable">
    <w:name w:val="ECHR_List_Table"/>
    <w:basedOn w:val="TableNormal"/>
    <w:uiPriority w:val="99"/>
    <w:rsid w:val="006D3D52"/>
    <w:tblPr>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b/>
        <w:color w:val="474747" w:themeColor="accent3" w:themeShade="BF"/>
      </w:rPr>
      <w:tblPr/>
      <w:trPr>
        <w:tblHeader/>
      </w:tr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shd w:val="clear" w:color="auto" w:fill="DFDFDF" w:themeFill="background2" w:themeFillShade="E6"/>
      </w:tcPr>
    </w:tblStylePr>
  </w:style>
  <w:style w:type="paragraph" w:styleId="Bibliography">
    <w:name w:val="Bibliography"/>
    <w:basedOn w:val="Normal"/>
    <w:next w:val="Normal"/>
    <w:uiPriority w:val="99"/>
    <w:semiHidden/>
    <w:rsid w:val="0098410D"/>
  </w:style>
  <w:style w:type="paragraph" w:styleId="BlockText">
    <w:name w:val="Block Text"/>
    <w:basedOn w:val="Normal"/>
    <w:uiPriority w:val="99"/>
    <w:semiHidden/>
    <w:rsid w:val="0098410D"/>
    <w:pPr>
      <w:pBdr>
        <w:top w:val="single" w:sz="2" w:space="10" w:color="0072BC" w:themeColor="accent1" w:shadow="1" w:frame="1"/>
        <w:left w:val="single" w:sz="2" w:space="10" w:color="0072BC" w:themeColor="accent1" w:shadow="1" w:frame="1"/>
        <w:bottom w:val="single" w:sz="2" w:space="10" w:color="0072BC" w:themeColor="accent1" w:shadow="1" w:frame="1"/>
        <w:right w:val="single" w:sz="2" w:space="10" w:color="0072BC" w:themeColor="accent1" w:shadow="1" w:frame="1"/>
      </w:pBdr>
      <w:ind w:left="1152" w:right="1152"/>
    </w:pPr>
    <w:rPr>
      <w:i/>
      <w:iCs/>
      <w:color w:val="0072BC" w:themeColor="accent1"/>
    </w:rPr>
  </w:style>
  <w:style w:type="table" w:customStyle="1" w:styleId="ECHRHeaderTable">
    <w:name w:val="ECHR_Header_Table"/>
    <w:basedOn w:val="TableNormal"/>
    <w:uiPriority w:val="99"/>
    <w:rsid w:val="00661971"/>
    <w:tblPr>
      <w:tblInd w:w="-680" w:type="dxa"/>
      <w:tblBorders>
        <w:bottom w:val="single" w:sz="6" w:space="0" w:color="949494" w:themeColor="text2" w:themeShade="BF"/>
      </w:tblBorders>
      <w:tblCellMar>
        <w:left w:w="0" w:type="dxa"/>
        <w:bottom w:w="28" w:type="dxa"/>
        <w:right w:w="0" w:type="dxa"/>
      </w:tblCellMar>
    </w:tblPr>
    <w:tcPr>
      <w:vAlign w:val="bottom"/>
    </w:tcPr>
    <w:tblStylePr w:type="lastCol">
      <w:pPr>
        <w:wordWrap/>
        <w:jc w:val="both"/>
      </w:pPr>
    </w:tblStylePr>
  </w:style>
  <w:style w:type="paragraph" w:styleId="BodyText">
    <w:name w:val="Body Text"/>
    <w:basedOn w:val="Normal"/>
    <w:link w:val="BodyTextChar"/>
    <w:uiPriority w:val="99"/>
    <w:semiHidden/>
    <w:rsid w:val="0098410D"/>
    <w:pPr>
      <w:spacing w:after="120"/>
    </w:pPr>
  </w:style>
  <w:style w:type="character" w:customStyle="1" w:styleId="BodyTextChar">
    <w:name w:val="Body Text Char"/>
    <w:basedOn w:val="DefaultParagraphFont"/>
    <w:link w:val="BodyText"/>
    <w:uiPriority w:val="99"/>
    <w:semiHidden/>
    <w:rsid w:val="0098410D"/>
    <w:rPr>
      <w:rFonts w:eastAsiaTheme="minorEastAsia"/>
      <w:sz w:val="24"/>
    </w:rPr>
  </w:style>
  <w:style w:type="table" w:customStyle="1" w:styleId="ECHRTableOddBanded">
    <w:name w:val="ECHR_Table_Odd_Banded"/>
    <w:basedOn w:val="TableNormal"/>
    <w:uiPriority w:val="99"/>
    <w:rsid w:val="00860B03"/>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single" w:sz="4" w:space="0" w:color="949494" w:themeColor="text2" w:themeShade="BF"/>
          <w:tl2br w:val="nil"/>
          <w:tr2bl w:val="nil"/>
        </w:tcBorders>
        <w:shd w:val="clear" w:color="auto" w:fill="DFDFDF" w:themeFill="background2" w:themeFillShade="E6"/>
      </w:tcPr>
    </w:tblStylePr>
    <w:tblStylePr w:type="band1Vert">
      <w:tblPr/>
      <w:tcPr>
        <w:tcBorders>
          <w:top w:val="nil"/>
          <w:left w:val="nil"/>
          <w:bottom w:val="nil"/>
          <w:right w:val="nil"/>
          <w:insideH w:val="nil"/>
          <w:insideV w:val="nil"/>
          <w:tl2br w:val="nil"/>
          <w:tr2bl w:val="nil"/>
        </w:tcBorders>
        <w:shd w:val="clear" w:color="auto" w:fill="DFDFDF" w:themeFill="background2" w:themeFillShade="E6"/>
      </w:tcPr>
    </w:tblStylePr>
    <w:tblStylePr w:type="band1Horz">
      <w:rPr>
        <w:b/>
      </w:rPr>
      <w:tblPr/>
      <w:tcPr>
        <w:shd w:val="clear" w:color="auto" w:fill="DFDFDF" w:themeFill="background2" w:themeFillShade="E6"/>
      </w:tcPr>
    </w:tblStylePr>
  </w:style>
  <w:style w:type="paragraph" w:styleId="BodyText2">
    <w:name w:val="Body Text 2"/>
    <w:basedOn w:val="Normal"/>
    <w:link w:val="BodyText2Char"/>
    <w:uiPriority w:val="99"/>
    <w:semiHidden/>
    <w:rsid w:val="0098410D"/>
    <w:pPr>
      <w:spacing w:after="120" w:line="480" w:lineRule="auto"/>
    </w:pPr>
  </w:style>
  <w:style w:type="table" w:customStyle="1" w:styleId="ECHRHeaderTableReduced">
    <w:name w:val="ECHR_Header_Table_Reduced"/>
    <w:basedOn w:val="TableNormal"/>
    <w:uiPriority w:val="99"/>
    <w:rsid w:val="00B52BE0"/>
    <w:tblPr>
      <w:tblInd w:w="-680" w:type="dxa"/>
      <w:tblCellMar>
        <w:left w:w="0" w:type="dxa"/>
        <w:right w:w="0" w:type="dxa"/>
      </w:tblCellMar>
    </w:tblPr>
    <w:tcPr>
      <w:vAlign w:val="bottom"/>
    </w:tcPr>
    <w:tblStylePr w:type="firstRow">
      <w:tblPr/>
      <w:tcPr>
        <w:tcBorders>
          <w:top w:val="nil"/>
          <w:left w:val="nil"/>
          <w:bottom w:val="single" w:sz="6" w:space="0" w:color="949494" w:themeColor="text2" w:themeShade="BF"/>
          <w:right w:val="nil"/>
          <w:insideH w:val="nil"/>
          <w:insideV w:val="nil"/>
          <w:tl2br w:val="nil"/>
          <w:tr2bl w:val="nil"/>
        </w:tcBorders>
      </w:tcPr>
    </w:tblStylePr>
    <w:tblStylePr w:type="lastRow">
      <w:pPr>
        <w:jc w:val="right"/>
      </w:pPr>
      <w:tblPr/>
      <w:tcPr>
        <w:tcBorders>
          <w:top w:val="single" w:sz="6" w:space="0" w:color="949494" w:themeColor="text2" w:themeShade="BF"/>
          <w:left w:val="nil"/>
          <w:bottom w:val="nil"/>
          <w:right w:val="nil"/>
          <w:insideH w:val="nil"/>
          <w:insideV w:val="nil"/>
          <w:tl2br w:val="nil"/>
          <w:tr2bl w:val="nil"/>
        </w:tcBorders>
      </w:tcPr>
    </w:tblStylePr>
  </w:style>
  <w:style w:type="paragraph" w:customStyle="1" w:styleId="JuCase">
    <w:name w:val="Ju_Case"/>
    <w:basedOn w:val="Normal"/>
    <w:next w:val="ECHRPara"/>
    <w:uiPriority w:val="10"/>
    <w:rsid w:val="006D3D52"/>
    <w:pPr>
      <w:ind w:firstLine="284"/>
    </w:pPr>
    <w:rPr>
      <w:b/>
    </w:rPr>
  </w:style>
  <w:style w:type="character" w:styleId="PageNumber">
    <w:name w:val="page number"/>
    <w:uiPriority w:val="99"/>
    <w:semiHidden/>
    <w:rsid w:val="0098410D"/>
    <w:rPr>
      <w:sz w:val="18"/>
    </w:rPr>
  </w:style>
  <w:style w:type="paragraph" w:styleId="ListBullet">
    <w:name w:val="List Bullet"/>
    <w:basedOn w:val="Normal"/>
    <w:uiPriority w:val="99"/>
    <w:semiHidden/>
    <w:rsid w:val="0098410D"/>
    <w:pPr>
      <w:numPr>
        <w:numId w:val="9"/>
      </w:numPr>
    </w:pPr>
  </w:style>
  <w:style w:type="paragraph" w:styleId="ListBullet3">
    <w:name w:val="List Bullet 3"/>
    <w:basedOn w:val="Normal"/>
    <w:uiPriority w:val="99"/>
    <w:semiHidden/>
    <w:rsid w:val="0098410D"/>
    <w:pPr>
      <w:numPr>
        <w:numId w:val="8"/>
      </w:numPr>
      <w:contextualSpacing/>
    </w:pPr>
  </w:style>
  <w:style w:type="character" w:customStyle="1" w:styleId="BodyText2Char">
    <w:name w:val="Body Text 2 Char"/>
    <w:basedOn w:val="DefaultParagraphFont"/>
    <w:link w:val="BodyText2"/>
    <w:uiPriority w:val="99"/>
    <w:semiHidden/>
    <w:rsid w:val="0098410D"/>
    <w:rPr>
      <w:rFonts w:eastAsiaTheme="minorEastAsia"/>
      <w:sz w:val="24"/>
    </w:rPr>
  </w:style>
  <w:style w:type="paragraph" w:styleId="BodyText3">
    <w:name w:val="Body Text 3"/>
    <w:basedOn w:val="Normal"/>
    <w:link w:val="BodyText3Char"/>
    <w:uiPriority w:val="99"/>
    <w:semiHidden/>
    <w:rsid w:val="0098410D"/>
    <w:pPr>
      <w:spacing w:after="120"/>
    </w:pPr>
    <w:rPr>
      <w:sz w:val="16"/>
      <w:szCs w:val="16"/>
    </w:rPr>
  </w:style>
  <w:style w:type="character" w:customStyle="1" w:styleId="BodyText3Char">
    <w:name w:val="Body Text 3 Char"/>
    <w:basedOn w:val="DefaultParagraphFont"/>
    <w:link w:val="BodyText3"/>
    <w:uiPriority w:val="99"/>
    <w:semiHidden/>
    <w:rsid w:val="0098410D"/>
    <w:rPr>
      <w:rFonts w:eastAsiaTheme="minorEastAsia"/>
      <w:sz w:val="16"/>
      <w:szCs w:val="16"/>
    </w:rPr>
  </w:style>
  <w:style w:type="paragraph" w:styleId="BodyTextFirstIndent">
    <w:name w:val="Body Text First Indent"/>
    <w:basedOn w:val="BodyText"/>
    <w:link w:val="BodyTextFirstIndentChar"/>
    <w:uiPriority w:val="99"/>
    <w:semiHidden/>
    <w:rsid w:val="0098410D"/>
    <w:pPr>
      <w:spacing w:after="0"/>
      <w:ind w:firstLine="360"/>
    </w:pPr>
  </w:style>
  <w:style w:type="character" w:customStyle="1" w:styleId="BodyTextFirstIndentChar">
    <w:name w:val="Body Text First Indent Char"/>
    <w:basedOn w:val="BodyTextChar"/>
    <w:link w:val="BodyTextFirstIndent"/>
    <w:uiPriority w:val="99"/>
    <w:semiHidden/>
    <w:rsid w:val="0098410D"/>
    <w:rPr>
      <w:rFonts w:eastAsiaTheme="minorEastAsia"/>
      <w:sz w:val="24"/>
    </w:rPr>
  </w:style>
  <w:style w:type="paragraph" w:styleId="BodyTextIndent">
    <w:name w:val="Body Text Indent"/>
    <w:basedOn w:val="Normal"/>
    <w:link w:val="BodyTextIndentChar"/>
    <w:uiPriority w:val="99"/>
    <w:semiHidden/>
    <w:rsid w:val="0098410D"/>
    <w:pPr>
      <w:spacing w:after="120"/>
      <w:ind w:left="283"/>
    </w:pPr>
  </w:style>
  <w:style w:type="character" w:customStyle="1" w:styleId="BodyTextIndentChar">
    <w:name w:val="Body Text Indent Char"/>
    <w:basedOn w:val="DefaultParagraphFont"/>
    <w:link w:val="BodyTextIndent"/>
    <w:uiPriority w:val="99"/>
    <w:semiHidden/>
    <w:rsid w:val="0098410D"/>
    <w:rPr>
      <w:rFonts w:eastAsiaTheme="minorEastAsia"/>
      <w:sz w:val="24"/>
    </w:rPr>
  </w:style>
  <w:style w:type="paragraph" w:styleId="BodyTextFirstIndent2">
    <w:name w:val="Body Text First Indent 2"/>
    <w:basedOn w:val="BodyTextIndent"/>
    <w:link w:val="BodyTextFirstIndent2Char"/>
    <w:uiPriority w:val="99"/>
    <w:semiHidden/>
    <w:rsid w:val="0098410D"/>
    <w:pPr>
      <w:spacing w:after="0"/>
      <w:ind w:left="360" w:firstLine="360"/>
    </w:pPr>
  </w:style>
  <w:style w:type="character" w:customStyle="1" w:styleId="BodyTextFirstIndent2Char">
    <w:name w:val="Body Text First Indent 2 Char"/>
    <w:basedOn w:val="BodyTextIndentChar"/>
    <w:link w:val="BodyTextFirstIndent2"/>
    <w:uiPriority w:val="99"/>
    <w:semiHidden/>
    <w:rsid w:val="0098410D"/>
    <w:rPr>
      <w:rFonts w:eastAsiaTheme="minorEastAsia"/>
      <w:sz w:val="24"/>
    </w:rPr>
  </w:style>
  <w:style w:type="paragraph" w:styleId="BodyTextIndent2">
    <w:name w:val="Body Text Indent 2"/>
    <w:basedOn w:val="Normal"/>
    <w:link w:val="BodyTextIndent2Char"/>
    <w:uiPriority w:val="99"/>
    <w:semiHidden/>
    <w:rsid w:val="0098410D"/>
    <w:pPr>
      <w:spacing w:after="120" w:line="480" w:lineRule="auto"/>
      <w:ind w:left="283"/>
    </w:pPr>
  </w:style>
  <w:style w:type="character" w:customStyle="1" w:styleId="BodyTextIndent2Char">
    <w:name w:val="Body Text Indent 2 Char"/>
    <w:basedOn w:val="DefaultParagraphFont"/>
    <w:link w:val="BodyTextIndent2"/>
    <w:uiPriority w:val="99"/>
    <w:semiHidden/>
    <w:rsid w:val="0098410D"/>
    <w:rPr>
      <w:rFonts w:eastAsiaTheme="minorEastAsia"/>
      <w:sz w:val="24"/>
    </w:rPr>
  </w:style>
  <w:style w:type="paragraph" w:styleId="BodyTextIndent3">
    <w:name w:val="Body Text Indent 3"/>
    <w:basedOn w:val="Normal"/>
    <w:link w:val="BodyTextIndent3Char"/>
    <w:uiPriority w:val="99"/>
    <w:semiHidden/>
    <w:rsid w:val="0098410D"/>
    <w:pPr>
      <w:spacing w:after="120"/>
      <w:ind w:left="283"/>
    </w:pPr>
    <w:rPr>
      <w:sz w:val="16"/>
      <w:szCs w:val="16"/>
    </w:rPr>
  </w:style>
  <w:style w:type="character" w:customStyle="1" w:styleId="BodyTextIndent3Char">
    <w:name w:val="Body Text Indent 3 Char"/>
    <w:basedOn w:val="DefaultParagraphFont"/>
    <w:link w:val="BodyTextIndent3"/>
    <w:uiPriority w:val="99"/>
    <w:semiHidden/>
    <w:rsid w:val="0098410D"/>
    <w:rPr>
      <w:rFonts w:eastAsiaTheme="minorEastAsia"/>
      <w:sz w:val="16"/>
      <w:szCs w:val="16"/>
    </w:rPr>
  </w:style>
  <w:style w:type="paragraph" w:styleId="Caption">
    <w:name w:val="caption"/>
    <w:basedOn w:val="Normal"/>
    <w:next w:val="Normal"/>
    <w:uiPriority w:val="99"/>
    <w:semiHidden/>
    <w:qFormat/>
    <w:rsid w:val="0098410D"/>
    <w:pPr>
      <w:spacing w:after="200"/>
    </w:pPr>
    <w:rPr>
      <w:b/>
      <w:bCs/>
      <w:color w:val="0072BC" w:themeColor="accent1"/>
      <w:sz w:val="18"/>
      <w:szCs w:val="18"/>
    </w:rPr>
  </w:style>
  <w:style w:type="paragraph" w:styleId="Closing">
    <w:name w:val="Closing"/>
    <w:basedOn w:val="Normal"/>
    <w:link w:val="ClosingChar"/>
    <w:uiPriority w:val="99"/>
    <w:semiHidden/>
    <w:rsid w:val="0098410D"/>
    <w:pPr>
      <w:ind w:left="4252"/>
    </w:pPr>
  </w:style>
  <w:style w:type="character" w:customStyle="1" w:styleId="ClosingChar">
    <w:name w:val="Closing Char"/>
    <w:basedOn w:val="DefaultParagraphFont"/>
    <w:link w:val="Closing"/>
    <w:uiPriority w:val="99"/>
    <w:semiHidden/>
    <w:rsid w:val="0098410D"/>
    <w:rPr>
      <w:rFonts w:eastAsiaTheme="minorEastAsia"/>
      <w:sz w:val="24"/>
    </w:rPr>
  </w:style>
  <w:style w:type="table" w:styleId="ColorfulGrid">
    <w:name w:val="Colorful Grid"/>
    <w:basedOn w:val="TableNormal"/>
    <w:uiPriority w:val="99"/>
    <w:semiHidden/>
    <w:rsid w:val="0098410D"/>
    <w:rPr>
      <w:color w:val="000000" w:themeColor="text1"/>
    </w:rPr>
    <w:tblPr>
      <w:tblStyleRowBandSize w:val="1"/>
      <w:tblStyleColBandSize w:val="1"/>
      <w:tblBorders>
        <w:insideH w:val="single" w:sz="4" w:space="0" w:color="0072BC"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0072BC" w:themeColor="background1"/>
      </w:rPr>
      <w:tblPr/>
      <w:tcPr>
        <w:shd w:val="clear" w:color="auto" w:fill="000000" w:themeFill="text1" w:themeFillShade="BF"/>
      </w:tcPr>
    </w:tblStylePr>
    <w:tblStylePr w:type="lastCol">
      <w:rPr>
        <w:color w:val="0072BC"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99"/>
    <w:semiHidden/>
    <w:rsid w:val="0098410D"/>
    <w:rPr>
      <w:color w:val="000000" w:themeColor="text1"/>
    </w:rPr>
    <w:tblPr>
      <w:tblStyleRowBandSize w:val="1"/>
      <w:tblStyleColBandSize w:val="1"/>
      <w:tblBorders>
        <w:insideH w:val="single" w:sz="4" w:space="0" w:color="0072BC" w:themeColor="background1"/>
      </w:tblBorders>
    </w:tblPr>
    <w:tcPr>
      <w:shd w:val="clear" w:color="auto" w:fill="BEE5FF" w:themeFill="accent1" w:themeFillTint="33"/>
    </w:tcPr>
    <w:tblStylePr w:type="firstRow">
      <w:rPr>
        <w:b/>
        <w:bCs/>
      </w:rPr>
      <w:tblPr/>
      <w:tcPr>
        <w:shd w:val="clear" w:color="auto" w:fill="7ECBFF" w:themeFill="accent1" w:themeFillTint="66"/>
      </w:tcPr>
    </w:tblStylePr>
    <w:tblStylePr w:type="lastRow">
      <w:rPr>
        <w:b/>
        <w:bCs/>
        <w:color w:val="000000" w:themeColor="text1"/>
      </w:rPr>
      <w:tblPr/>
      <w:tcPr>
        <w:shd w:val="clear" w:color="auto" w:fill="7ECBFF" w:themeFill="accent1" w:themeFillTint="66"/>
      </w:tcPr>
    </w:tblStylePr>
    <w:tblStylePr w:type="firstCol">
      <w:rPr>
        <w:color w:val="0072BC" w:themeColor="background1"/>
      </w:rPr>
      <w:tblPr/>
      <w:tcPr>
        <w:shd w:val="clear" w:color="auto" w:fill="00548C" w:themeFill="accent1" w:themeFillShade="BF"/>
      </w:tcPr>
    </w:tblStylePr>
    <w:tblStylePr w:type="lastCol">
      <w:rPr>
        <w:color w:val="0072BC" w:themeColor="background1"/>
      </w:rPr>
      <w:tblPr/>
      <w:tcPr>
        <w:shd w:val="clear" w:color="auto" w:fill="00548C" w:themeFill="accent1" w:themeFillShade="BF"/>
      </w:tc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ColorfulGrid-Accent2">
    <w:name w:val="Colorful Grid Accent 2"/>
    <w:basedOn w:val="TableNormal"/>
    <w:uiPriority w:val="99"/>
    <w:semiHidden/>
    <w:rsid w:val="0098410D"/>
    <w:rPr>
      <w:color w:val="000000" w:themeColor="text1"/>
    </w:rPr>
    <w:tblPr>
      <w:tblStyleRowBandSize w:val="1"/>
      <w:tblStyleColBandSize w:val="1"/>
      <w:tblBorders>
        <w:insideH w:val="single" w:sz="4" w:space="0" w:color="0072BC" w:themeColor="background1"/>
      </w:tblBorders>
    </w:tblPr>
    <w:tcPr>
      <w:shd w:val="clear" w:color="auto" w:fill="FFBFBF" w:themeFill="accent2" w:themeFillTint="33"/>
    </w:tcPr>
    <w:tblStylePr w:type="firstRow">
      <w:rPr>
        <w:b/>
        <w:bCs/>
      </w:rPr>
      <w:tblPr/>
      <w:tcPr>
        <w:shd w:val="clear" w:color="auto" w:fill="FF7F7F" w:themeFill="accent2" w:themeFillTint="66"/>
      </w:tcPr>
    </w:tblStylePr>
    <w:tblStylePr w:type="lastRow">
      <w:rPr>
        <w:b/>
        <w:bCs/>
        <w:color w:val="000000" w:themeColor="text1"/>
      </w:rPr>
      <w:tblPr/>
      <w:tcPr>
        <w:shd w:val="clear" w:color="auto" w:fill="FF7F7F" w:themeFill="accent2" w:themeFillTint="66"/>
      </w:tcPr>
    </w:tblStylePr>
    <w:tblStylePr w:type="firstCol">
      <w:rPr>
        <w:color w:val="0072BC" w:themeColor="background1"/>
      </w:rPr>
      <w:tblPr/>
      <w:tcPr>
        <w:shd w:val="clear" w:color="auto" w:fill="8F0000" w:themeFill="accent2" w:themeFillShade="BF"/>
      </w:tcPr>
    </w:tblStylePr>
    <w:tblStylePr w:type="lastCol">
      <w:rPr>
        <w:color w:val="0072BC" w:themeColor="background1"/>
      </w:rPr>
      <w:tblPr/>
      <w:tcPr>
        <w:shd w:val="clear" w:color="auto" w:fill="8F0000" w:themeFill="accent2" w:themeFillShade="BF"/>
      </w:tc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ColorfulGrid-Accent3">
    <w:name w:val="Colorful Grid Accent 3"/>
    <w:basedOn w:val="TableNormal"/>
    <w:uiPriority w:val="99"/>
    <w:semiHidden/>
    <w:rsid w:val="0098410D"/>
    <w:rPr>
      <w:color w:val="000000" w:themeColor="text1"/>
    </w:rPr>
    <w:tblPr>
      <w:tblStyleRowBandSize w:val="1"/>
      <w:tblStyleColBandSize w:val="1"/>
      <w:tblBorders>
        <w:insideH w:val="single" w:sz="4" w:space="0" w:color="0072BC" w:themeColor="background1"/>
      </w:tblBorders>
    </w:tblPr>
    <w:tcPr>
      <w:shd w:val="clear" w:color="auto" w:fill="DFDFDF" w:themeFill="accent3" w:themeFillTint="33"/>
    </w:tcPr>
    <w:tblStylePr w:type="firstRow">
      <w:rPr>
        <w:b/>
        <w:bCs/>
      </w:rPr>
      <w:tblPr/>
      <w:tcPr>
        <w:shd w:val="clear" w:color="auto" w:fill="BFBFBF" w:themeFill="accent3" w:themeFillTint="66"/>
      </w:tcPr>
    </w:tblStylePr>
    <w:tblStylePr w:type="lastRow">
      <w:rPr>
        <w:b/>
        <w:bCs/>
        <w:color w:val="000000" w:themeColor="text1"/>
      </w:rPr>
      <w:tblPr/>
      <w:tcPr>
        <w:shd w:val="clear" w:color="auto" w:fill="BFBFBF" w:themeFill="accent3" w:themeFillTint="66"/>
      </w:tcPr>
    </w:tblStylePr>
    <w:tblStylePr w:type="firstCol">
      <w:rPr>
        <w:color w:val="0072BC" w:themeColor="background1"/>
      </w:rPr>
      <w:tblPr/>
      <w:tcPr>
        <w:shd w:val="clear" w:color="auto" w:fill="474747" w:themeFill="accent3" w:themeFillShade="BF"/>
      </w:tcPr>
    </w:tblStylePr>
    <w:tblStylePr w:type="lastCol">
      <w:rPr>
        <w:color w:val="0072BC" w:themeColor="background1"/>
      </w:rPr>
      <w:tblPr/>
      <w:tcPr>
        <w:shd w:val="clear" w:color="auto" w:fill="474747" w:themeFill="accent3" w:themeFillShade="BF"/>
      </w:tc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ColorfulGrid-Accent4">
    <w:name w:val="Colorful Grid Accent 4"/>
    <w:basedOn w:val="TableNormal"/>
    <w:uiPriority w:val="99"/>
    <w:semiHidden/>
    <w:rsid w:val="0098410D"/>
    <w:rPr>
      <w:color w:val="000000" w:themeColor="text1"/>
    </w:rPr>
    <w:tblPr>
      <w:tblStyleRowBandSize w:val="1"/>
      <w:tblStyleColBandSize w:val="1"/>
      <w:tblBorders>
        <w:insideH w:val="single" w:sz="4" w:space="0" w:color="0072BC" w:themeColor="background1"/>
      </w:tblBorders>
    </w:tblPr>
    <w:tcPr>
      <w:shd w:val="clear" w:color="auto" w:fill="EAEAEA" w:themeFill="accent4" w:themeFillTint="33"/>
    </w:tcPr>
    <w:tblStylePr w:type="firstRow">
      <w:rPr>
        <w:b/>
        <w:bCs/>
      </w:rPr>
      <w:tblPr/>
      <w:tcPr>
        <w:shd w:val="clear" w:color="auto" w:fill="D5D5D5" w:themeFill="accent4" w:themeFillTint="66"/>
      </w:tcPr>
    </w:tblStylePr>
    <w:tblStylePr w:type="lastRow">
      <w:rPr>
        <w:b/>
        <w:bCs/>
        <w:color w:val="000000" w:themeColor="text1"/>
      </w:rPr>
      <w:tblPr/>
      <w:tcPr>
        <w:shd w:val="clear" w:color="auto" w:fill="D5D5D5" w:themeFill="accent4" w:themeFillTint="66"/>
      </w:tcPr>
    </w:tblStylePr>
    <w:tblStylePr w:type="firstCol">
      <w:rPr>
        <w:color w:val="0072BC" w:themeColor="background1"/>
      </w:rPr>
      <w:tblPr/>
      <w:tcPr>
        <w:shd w:val="clear" w:color="auto" w:fill="707070" w:themeFill="accent4" w:themeFillShade="BF"/>
      </w:tcPr>
    </w:tblStylePr>
    <w:tblStylePr w:type="lastCol">
      <w:rPr>
        <w:color w:val="0072BC" w:themeColor="background1"/>
      </w:rPr>
      <w:tblPr/>
      <w:tcPr>
        <w:shd w:val="clear" w:color="auto" w:fill="707070" w:themeFill="accent4" w:themeFillShade="BF"/>
      </w:tc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ColorfulGrid-Accent5">
    <w:name w:val="Colorful Grid Accent 5"/>
    <w:basedOn w:val="TableNormal"/>
    <w:uiPriority w:val="99"/>
    <w:semiHidden/>
    <w:rsid w:val="0098410D"/>
    <w:rPr>
      <w:color w:val="000000" w:themeColor="text1"/>
    </w:rPr>
    <w:tblPr>
      <w:tblStyleRowBandSize w:val="1"/>
      <w:tblStyleColBandSize w:val="1"/>
      <w:tblBorders>
        <w:insideH w:val="single" w:sz="4" w:space="0" w:color="0072BC" w:themeColor="background1"/>
      </w:tblBorders>
    </w:tblPr>
    <w:tcPr>
      <w:shd w:val="clear" w:color="auto" w:fill="DFDFDF" w:themeFill="accent5" w:themeFillTint="33"/>
    </w:tcPr>
    <w:tblStylePr w:type="firstRow">
      <w:rPr>
        <w:b/>
        <w:bCs/>
      </w:rPr>
      <w:tblPr/>
      <w:tcPr>
        <w:shd w:val="clear" w:color="auto" w:fill="BFBFBF" w:themeFill="accent5" w:themeFillTint="66"/>
      </w:tcPr>
    </w:tblStylePr>
    <w:tblStylePr w:type="lastRow">
      <w:rPr>
        <w:b/>
        <w:bCs/>
        <w:color w:val="000000" w:themeColor="text1"/>
      </w:rPr>
      <w:tblPr/>
      <w:tcPr>
        <w:shd w:val="clear" w:color="auto" w:fill="BFBFBF" w:themeFill="accent5" w:themeFillTint="66"/>
      </w:tcPr>
    </w:tblStylePr>
    <w:tblStylePr w:type="firstCol">
      <w:rPr>
        <w:color w:val="0072BC" w:themeColor="background1"/>
      </w:rPr>
      <w:tblPr/>
      <w:tcPr>
        <w:shd w:val="clear" w:color="auto" w:fill="474747" w:themeFill="accent5" w:themeFillShade="BF"/>
      </w:tcPr>
    </w:tblStylePr>
    <w:tblStylePr w:type="lastCol">
      <w:rPr>
        <w:color w:val="0072BC" w:themeColor="background1"/>
      </w:rPr>
      <w:tblPr/>
      <w:tcPr>
        <w:shd w:val="clear" w:color="auto" w:fill="474747" w:themeFill="accent5" w:themeFillShade="BF"/>
      </w:tc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ColorfulGrid-Accent6">
    <w:name w:val="Colorful Grid Accent 6"/>
    <w:basedOn w:val="TableNormal"/>
    <w:uiPriority w:val="99"/>
    <w:semiHidden/>
    <w:rsid w:val="0098410D"/>
    <w:rPr>
      <w:color w:val="000000" w:themeColor="text1"/>
    </w:rPr>
    <w:tblPr>
      <w:tblStyleRowBandSize w:val="1"/>
      <w:tblStyleColBandSize w:val="1"/>
      <w:tblBorders>
        <w:insideH w:val="single" w:sz="4" w:space="0" w:color="0072BC" w:themeColor="background1"/>
      </w:tblBorders>
    </w:tblPr>
    <w:tcPr>
      <w:shd w:val="clear" w:color="auto" w:fill="DBDBDB" w:themeFill="accent6" w:themeFillTint="33"/>
    </w:tcPr>
    <w:tblStylePr w:type="firstRow">
      <w:rPr>
        <w:b/>
        <w:bCs/>
      </w:rPr>
      <w:tblPr/>
      <w:tcPr>
        <w:shd w:val="clear" w:color="auto" w:fill="B7B7B7" w:themeFill="accent6" w:themeFillTint="66"/>
      </w:tcPr>
    </w:tblStylePr>
    <w:tblStylePr w:type="lastRow">
      <w:rPr>
        <w:b/>
        <w:bCs/>
        <w:color w:val="000000" w:themeColor="text1"/>
      </w:rPr>
      <w:tblPr/>
      <w:tcPr>
        <w:shd w:val="clear" w:color="auto" w:fill="B7B7B7" w:themeFill="accent6" w:themeFillTint="66"/>
      </w:tcPr>
    </w:tblStylePr>
    <w:tblStylePr w:type="firstCol">
      <w:rPr>
        <w:color w:val="0072BC" w:themeColor="background1"/>
      </w:rPr>
      <w:tblPr/>
      <w:tcPr>
        <w:shd w:val="clear" w:color="auto" w:fill="393939" w:themeFill="accent6" w:themeFillShade="BF"/>
      </w:tcPr>
    </w:tblStylePr>
    <w:tblStylePr w:type="lastCol">
      <w:rPr>
        <w:color w:val="0072BC" w:themeColor="background1"/>
      </w:rPr>
      <w:tblPr/>
      <w:tcPr>
        <w:shd w:val="clear" w:color="auto" w:fill="393939" w:themeFill="accent6" w:themeFillShade="BF"/>
      </w:tc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ColorfulList">
    <w:name w:val="Colorful List"/>
    <w:basedOn w:val="TableNormal"/>
    <w:uiPriority w:val="99"/>
    <w:semiHidden/>
    <w:rsid w:val="0098410D"/>
    <w:rPr>
      <w:color w:val="000000" w:themeColor="text1"/>
    </w:rPr>
    <w:tblPr>
      <w:tblStyleRowBandSize w:val="1"/>
      <w:tblStyleColBandSize w:val="1"/>
    </w:tblPr>
    <w:tcPr>
      <w:shd w:val="clear" w:color="auto" w:fill="E6E6E6" w:themeFill="tex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99"/>
    <w:semiHidden/>
    <w:rsid w:val="0098410D"/>
    <w:rPr>
      <w:color w:val="000000" w:themeColor="text1"/>
    </w:rPr>
    <w:tblPr>
      <w:tblStyleRowBandSize w:val="1"/>
      <w:tblStyleColBandSize w:val="1"/>
    </w:tblPr>
    <w:tcPr>
      <w:shd w:val="clear" w:color="auto" w:fill="DFF2FF" w:themeFill="accen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hemeFill="accent1" w:themeFillTint="3F"/>
      </w:tcPr>
    </w:tblStylePr>
    <w:tblStylePr w:type="band1Horz">
      <w:tblPr/>
      <w:tcPr>
        <w:shd w:val="clear" w:color="auto" w:fill="BEE5FF" w:themeFill="accent1" w:themeFillTint="33"/>
      </w:tcPr>
    </w:tblStylePr>
  </w:style>
  <w:style w:type="table" w:styleId="ColorfulList-Accent2">
    <w:name w:val="Colorful List Accent 2"/>
    <w:basedOn w:val="TableNormal"/>
    <w:uiPriority w:val="99"/>
    <w:semiHidden/>
    <w:rsid w:val="0098410D"/>
    <w:rPr>
      <w:color w:val="000000" w:themeColor="text1"/>
    </w:rPr>
    <w:tblPr>
      <w:tblStyleRowBandSize w:val="1"/>
      <w:tblStyleColBandSize w:val="1"/>
    </w:tblPr>
    <w:tcPr>
      <w:shd w:val="clear" w:color="auto" w:fill="FFDFDF" w:themeFill="accent2"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hemeFill="accent2" w:themeFillTint="3F"/>
      </w:tcPr>
    </w:tblStylePr>
    <w:tblStylePr w:type="band1Horz">
      <w:tblPr/>
      <w:tcPr>
        <w:shd w:val="clear" w:color="auto" w:fill="FFBFBF" w:themeFill="accent2" w:themeFillTint="33"/>
      </w:tcPr>
    </w:tblStylePr>
  </w:style>
  <w:style w:type="table" w:styleId="ColorfulList-Accent3">
    <w:name w:val="Colorful List Accent 3"/>
    <w:basedOn w:val="TableNormal"/>
    <w:uiPriority w:val="99"/>
    <w:semiHidden/>
    <w:rsid w:val="0098410D"/>
    <w:rPr>
      <w:color w:val="000000" w:themeColor="text1"/>
    </w:rPr>
    <w:tblPr>
      <w:tblStyleRowBandSize w:val="1"/>
      <w:tblStyleColBandSize w:val="1"/>
    </w:tblPr>
    <w:tcPr>
      <w:shd w:val="clear" w:color="auto" w:fill="EFEFEF" w:themeFill="accent3" w:themeFillTint="19"/>
    </w:tcPr>
    <w:tblStylePr w:type="firstRow">
      <w:rPr>
        <w:b/>
        <w:bCs/>
        <w:color w:val="0072BC" w:themeColor="background1"/>
      </w:rPr>
      <w:tblPr/>
      <w:tcPr>
        <w:tcBorders>
          <w:bottom w:val="single" w:sz="12" w:space="0" w:color="0072BC" w:themeColor="background1"/>
        </w:tcBorders>
        <w:shd w:val="clear" w:color="auto" w:fill="787878" w:themeFill="accent4" w:themeFillShade="CC"/>
      </w:tcPr>
    </w:tblStylePr>
    <w:tblStylePr w:type="lastRow">
      <w:rPr>
        <w:b/>
        <w:bCs/>
        <w:color w:val="787878" w:themeColor="accent4"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3" w:themeFillTint="3F"/>
      </w:tcPr>
    </w:tblStylePr>
    <w:tblStylePr w:type="band1Horz">
      <w:tblPr/>
      <w:tcPr>
        <w:shd w:val="clear" w:color="auto" w:fill="DFDFDF" w:themeFill="accent3" w:themeFillTint="33"/>
      </w:tcPr>
    </w:tblStylePr>
  </w:style>
  <w:style w:type="table" w:styleId="ColorfulList-Accent4">
    <w:name w:val="Colorful List Accent 4"/>
    <w:basedOn w:val="TableNormal"/>
    <w:uiPriority w:val="99"/>
    <w:semiHidden/>
    <w:rsid w:val="0098410D"/>
    <w:rPr>
      <w:color w:val="000000" w:themeColor="text1"/>
    </w:rPr>
    <w:tblPr>
      <w:tblStyleRowBandSize w:val="1"/>
      <w:tblStyleColBandSize w:val="1"/>
    </w:tblPr>
    <w:tcPr>
      <w:shd w:val="clear" w:color="auto" w:fill="F4F4F4" w:themeFill="accent4" w:themeFillTint="19"/>
    </w:tcPr>
    <w:tblStylePr w:type="firstRow">
      <w:rPr>
        <w:b/>
        <w:bCs/>
        <w:color w:val="0072BC" w:themeColor="background1"/>
      </w:rPr>
      <w:tblPr/>
      <w:tcPr>
        <w:tcBorders>
          <w:bottom w:val="single" w:sz="12" w:space="0" w:color="0072BC" w:themeColor="background1"/>
        </w:tcBorders>
        <w:shd w:val="clear" w:color="auto" w:fill="4C4C4C" w:themeFill="accent3" w:themeFillShade="CC"/>
      </w:tcPr>
    </w:tblStylePr>
    <w:tblStylePr w:type="lastRow">
      <w:rPr>
        <w:b/>
        <w:bCs/>
        <w:color w:val="4C4C4C" w:themeColor="accent3"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hemeFill="accent4" w:themeFillTint="3F"/>
      </w:tcPr>
    </w:tblStylePr>
    <w:tblStylePr w:type="band1Horz">
      <w:tblPr/>
      <w:tcPr>
        <w:shd w:val="clear" w:color="auto" w:fill="EAEAEA" w:themeFill="accent4" w:themeFillTint="33"/>
      </w:tcPr>
    </w:tblStylePr>
  </w:style>
  <w:style w:type="table" w:styleId="ColorfulList-Accent5">
    <w:name w:val="Colorful List Accent 5"/>
    <w:basedOn w:val="TableNormal"/>
    <w:uiPriority w:val="99"/>
    <w:semiHidden/>
    <w:rsid w:val="0098410D"/>
    <w:rPr>
      <w:color w:val="000000" w:themeColor="text1"/>
    </w:rPr>
    <w:tblPr>
      <w:tblStyleRowBandSize w:val="1"/>
      <w:tblStyleColBandSize w:val="1"/>
    </w:tblPr>
    <w:tcPr>
      <w:shd w:val="clear" w:color="auto" w:fill="EFEFEF" w:themeFill="accent5" w:themeFillTint="19"/>
    </w:tcPr>
    <w:tblStylePr w:type="firstRow">
      <w:rPr>
        <w:b/>
        <w:bCs/>
        <w:color w:val="0072BC" w:themeColor="background1"/>
      </w:rPr>
      <w:tblPr/>
      <w:tcPr>
        <w:tcBorders>
          <w:bottom w:val="single" w:sz="12" w:space="0" w:color="0072BC" w:themeColor="background1"/>
        </w:tcBorders>
        <w:shd w:val="clear" w:color="auto" w:fill="3D3D3D" w:themeFill="accent6" w:themeFillShade="CC"/>
      </w:tcPr>
    </w:tblStylePr>
    <w:tblStylePr w:type="lastRow">
      <w:rPr>
        <w:b/>
        <w:bCs/>
        <w:color w:val="3D3D3D" w:themeColor="accent6"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5" w:themeFillTint="3F"/>
      </w:tcPr>
    </w:tblStylePr>
    <w:tblStylePr w:type="band1Horz">
      <w:tblPr/>
      <w:tcPr>
        <w:shd w:val="clear" w:color="auto" w:fill="DFDFDF" w:themeFill="accent5" w:themeFillTint="33"/>
      </w:tcPr>
    </w:tblStylePr>
  </w:style>
  <w:style w:type="table" w:styleId="ColorfulList-Accent6">
    <w:name w:val="Colorful List Accent 6"/>
    <w:basedOn w:val="TableNormal"/>
    <w:uiPriority w:val="99"/>
    <w:semiHidden/>
    <w:rsid w:val="0098410D"/>
    <w:rPr>
      <w:color w:val="000000" w:themeColor="text1"/>
    </w:rPr>
    <w:tblPr>
      <w:tblStyleRowBandSize w:val="1"/>
      <w:tblStyleColBandSize w:val="1"/>
    </w:tblPr>
    <w:tcPr>
      <w:shd w:val="clear" w:color="auto" w:fill="EDEDED" w:themeFill="accent6" w:themeFillTint="19"/>
    </w:tcPr>
    <w:tblStylePr w:type="firstRow">
      <w:rPr>
        <w:b/>
        <w:bCs/>
        <w:color w:val="0072BC" w:themeColor="background1"/>
      </w:rPr>
      <w:tblPr/>
      <w:tcPr>
        <w:tcBorders>
          <w:bottom w:val="single" w:sz="12" w:space="0" w:color="0072BC" w:themeColor="background1"/>
        </w:tcBorders>
        <w:shd w:val="clear" w:color="auto" w:fill="4C4C4C" w:themeFill="accent5" w:themeFillShade="CC"/>
      </w:tcPr>
    </w:tblStylePr>
    <w:tblStylePr w:type="lastRow">
      <w:rPr>
        <w:b/>
        <w:bCs/>
        <w:color w:val="4C4C4C" w:themeColor="accent5"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hemeFill="accent6" w:themeFillTint="3F"/>
      </w:tcPr>
    </w:tblStylePr>
    <w:tblStylePr w:type="band1Horz">
      <w:tblPr/>
      <w:tcPr>
        <w:shd w:val="clear" w:color="auto" w:fill="DBDBDB" w:themeFill="accent6" w:themeFillTint="33"/>
      </w:tcPr>
    </w:tblStylePr>
  </w:style>
  <w:style w:type="table" w:styleId="ColorfulShading">
    <w:name w:val="Colorful Shading"/>
    <w:basedOn w:val="TableNormal"/>
    <w:uiPriority w:val="99"/>
    <w:semiHidden/>
    <w:rsid w:val="0098410D"/>
    <w:rPr>
      <w:color w:val="000000" w:themeColor="text1"/>
    </w:rPr>
    <w:tblPr>
      <w:tblStyleRowBandSize w:val="1"/>
      <w:tblStyleColBandSize w:val="1"/>
      <w:tblBorders>
        <w:top w:val="single" w:sz="24" w:space="0" w:color="C00000" w:themeColor="accent2"/>
        <w:left w:val="single" w:sz="4" w:space="0" w:color="000000" w:themeColor="text1"/>
        <w:bottom w:val="single" w:sz="4" w:space="0" w:color="000000" w:themeColor="text1"/>
        <w:right w:val="single" w:sz="4" w:space="0" w:color="000000" w:themeColor="text1"/>
        <w:insideH w:val="single" w:sz="4" w:space="0" w:color="0072BC" w:themeColor="background1"/>
        <w:insideV w:val="single" w:sz="4" w:space="0" w:color="0072BC" w:themeColor="background1"/>
      </w:tblBorders>
    </w:tblPr>
    <w:tcPr>
      <w:shd w:val="clear" w:color="auto" w:fill="E6E6E6" w:themeFill="tex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0000" w:themeFill="text1" w:themeFillShade="99"/>
      </w:tcPr>
    </w:tblStylePr>
    <w:tblStylePr w:type="firstCol">
      <w:rPr>
        <w:color w:val="0072BC"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0072BC"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99"/>
    <w:semiHidden/>
    <w:rsid w:val="0098410D"/>
    <w:rPr>
      <w:color w:val="000000" w:themeColor="text1"/>
    </w:rPr>
    <w:tblPr>
      <w:tblStyleRowBandSize w:val="1"/>
      <w:tblStyleColBandSize w:val="1"/>
      <w:tblBorders>
        <w:top w:val="single" w:sz="24" w:space="0" w:color="C00000" w:themeColor="accent2"/>
        <w:left w:val="single" w:sz="4" w:space="0" w:color="0072BC" w:themeColor="accent1"/>
        <w:bottom w:val="single" w:sz="4" w:space="0" w:color="0072BC" w:themeColor="accent1"/>
        <w:right w:val="single" w:sz="4" w:space="0" w:color="0072BC" w:themeColor="accent1"/>
        <w:insideH w:val="single" w:sz="4" w:space="0" w:color="0072BC" w:themeColor="background1"/>
        <w:insideV w:val="single" w:sz="4" w:space="0" w:color="0072BC" w:themeColor="background1"/>
      </w:tblBorders>
    </w:tblPr>
    <w:tcPr>
      <w:shd w:val="clear" w:color="auto" w:fill="DFF2FF" w:themeFill="accen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4470" w:themeFill="accent1" w:themeFillShade="99"/>
      </w:tcPr>
    </w:tblStylePr>
    <w:tblStylePr w:type="firstCol">
      <w:rPr>
        <w:color w:val="0072BC" w:themeColor="background1"/>
      </w:rPr>
      <w:tblPr/>
      <w:tcPr>
        <w:tcBorders>
          <w:top w:val="nil"/>
          <w:left w:val="nil"/>
          <w:bottom w:val="nil"/>
          <w:right w:val="nil"/>
          <w:insideH w:val="single" w:sz="4" w:space="0" w:color="004470" w:themeColor="accent1" w:themeShade="99"/>
          <w:insideV w:val="nil"/>
        </w:tcBorders>
        <w:shd w:val="clear" w:color="auto" w:fill="004470" w:themeFill="accent1" w:themeFillShade="99"/>
      </w:tcPr>
    </w:tblStylePr>
    <w:tblStylePr w:type="lastCol">
      <w:rPr>
        <w:color w:val="0072BC" w:themeColor="background1"/>
      </w:rPr>
      <w:tblPr/>
      <w:tcPr>
        <w:tcBorders>
          <w:top w:val="nil"/>
          <w:left w:val="nil"/>
          <w:bottom w:val="nil"/>
          <w:right w:val="nil"/>
          <w:insideH w:val="nil"/>
          <w:insideV w:val="nil"/>
        </w:tcBorders>
        <w:shd w:val="clear" w:color="auto" w:fill="004470" w:themeFill="accent1" w:themeFillShade="99"/>
      </w:tcPr>
    </w:tblStylePr>
    <w:tblStylePr w:type="band1Vert">
      <w:tblPr/>
      <w:tcPr>
        <w:shd w:val="clear" w:color="auto" w:fill="7ECBFF" w:themeFill="accent1" w:themeFillTint="66"/>
      </w:tcPr>
    </w:tblStylePr>
    <w:tblStylePr w:type="band1Horz">
      <w:tblPr/>
      <w:tcPr>
        <w:shd w:val="clear" w:color="auto" w:fill="5EBFFF"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99"/>
    <w:semiHidden/>
    <w:rsid w:val="0098410D"/>
    <w:rPr>
      <w:color w:val="000000" w:themeColor="text1"/>
    </w:rPr>
    <w:tblPr>
      <w:tblStyleRowBandSize w:val="1"/>
      <w:tblStyleColBandSize w:val="1"/>
      <w:tblBorders>
        <w:top w:val="single" w:sz="24" w:space="0" w:color="C00000" w:themeColor="accent2"/>
        <w:left w:val="single" w:sz="4" w:space="0" w:color="C00000" w:themeColor="accent2"/>
        <w:bottom w:val="single" w:sz="4" w:space="0" w:color="C00000" w:themeColor="accent2"/>
        <w:right w:val="single" w:sz="4" w:space="0" w:color="C00000" w:themeColor="accent2"/>
        <w:insideH w:val="single" w:sz="4" w:space="0" w:color="0072BC" w:themeColor="background1"/>
        <w:insideV w:val="single" w:sz="4" w:space="0" w:color="0072BC" w:themeColor="background1"/>
      </w:tblBorders>
    </w:tblPr>
    <w:tcPr>
      <w:shd w:val="clear" w:color="auto" w:fill="FFDFDF" w:themeFill="accent2"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730000" w:themeFill="accent2" w:themeFillShade="99"/>
      </w:tcPr>
    </w:tblStylePr>
    <w:tblStylePr w:type="firstCol">
      <w:rPr>
        <w:color w:val="0072BC" w:themeColor="background1"/>
      </w:rPr>
      <w:tblPr/>
      <w:tcPr>
        <w:tcBorders>
          <w:top w:val="nil"/>
          <w:left w:val="nil"/>
          <w:bottom w:val="nil"/>
          <w:right w:val="nil"/>
          <w:insideH w:val="single" w:sz="4" w:space="0" w:color="730000" w:themeColor="accent2" w:themeShade="99"/>
          <w:insideV w:val="nil"/>
        </w:tcBorders>
        <w:shd w:val="clear" w:color="auto" w:fill="730000" w:themeFill="accent2" w:themeFillShade="99"/>
      </w:tcPr>
    </w:tblStylePr>
    <w:tblStylePr w:type="lastCol">
      <w:rPr>
        <w:color w:val="0072BC" w:themeColor="background1"/>
      </w:rPr>
      <w:tblPr/>
      <w:tcPr>
        <w:tcBorders>
          <w:top w:val="nil"/>
          <w:left w:val="nil"/>
          <w:bottom w:val="nil"/>
          <w:right w:val="nil"/>
          <w:insideH w:val="nil"/>
          <w:insideV w:val="nil"/>
        </w:tcBorders>
        <w:shd w:val="clear" w:color="auto" w:fill="730000" w:themeFill="accent2" w:themeFillShade="99"/>
      </w:tcPr>
    </w:tblStylePr>
    <w:tblStylePr w:type="band1Vert">
      <w:tblPr/>
      <w:tcPr>
        <w:shd w:val="clear" w:color="auto" w:fill="FF7F7F" w:themeFill="accent2" w:themeFillTint="66"/>
      </w:tcPr>
    </w:tblStylePr>
    <w:tblStylePr w:type="band1Horz">
      <w:tblPr/>
      <w:tcPr>
        <w:shd w:val="clear" w:color="auto" w:fill="FF6060"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99"/>
    <w:semiHidden/>
    <w:rsid w:val="0098410D"/>
    <w:rPr>
      <w:color w:val="000000" w:themeColor="text1"/>
    </w:rPr>
    <w:tblPr>
      <w:tblStyleRowBandSize w:val="1"/>
      <w:tblStyleColBandSize w:val="1"/>
      <w:tblBorders>
        <w:top w:val="single" w:sz="24" w:space="0" w:color="969696" w:themeColor="accent4"/>
        <w:left w:val="single" w:sz="4" w:space="0" w:color="5F5F5F" w:themeColor="accent3"/>
        <w:bottom w:val="single" w:sz="4" w:space="0" w:color="5F5F5F" w:themeColor="accent3"/>
        <w:right w:val="single" w:sz="4" w:space="0" w:color="5F5F5F" w:themeColor="accent3"/>
        <w:insideH w:val="single" w:sz="4" w:space="0" w:color="0072BC" w:themeColor="background1"/>
        <w:insideV w:val="single" w:sz="4" w:space="0" w:color="0072BC" w:themeColor="background1"/>
      </w:tblBorders>
    </w:tblPr>
    <w:tcPr>
      <w:shd w:val="clear" w:color="auto" w:fill="EFEFEF" w:themeFill="accent3" w:themeFillTint="19"/>
    </w:tcPr>
    <w:tblStylePr w:type="firstRow">
      <w:rPr>
        <w:b/>
        <w:bCs/>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3" w:themeFillShade="99"/>
      </w:tcPr>
    </w:tblStylePr>
    <w:tblStylePr w:type="firstCol">
      <w:rPr>
        <w:color w:val="0072BC" w:themeColor="background1"/>
      </w:rPr>
      <w:tblPr/>
      <w:tcPr>
        <w:tcBorders>
          <w:top w:val="nil"/>
          <w:left w:val="nil"/>
          <w:bottom w:val="nil"/>
          <w:right w:val="nil"/>
          <w:insideH w:val="single" w:sz="4" w:space="0" w:color="393939" w:themeColor="accent3" w:themeShade="99"/>
          <w:insideV w:val="nil"/>
        </w:tcBorders>
        <w:shd w:val="clear" w:color="auto" w:fill="393939" w:themeFill="accent3"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3" w:themeFillShade="99"/>
      </w:tcPr>
    </w:tblStylePr>
    <w:tblStylePr w:type="band1Vert">
      <w:tblPr/>
      <w:tcPr>
        <w:shd w:val="clear" w:color="auto" w:fill="BFBFBF" w:themeFill="accent3" w:themeFillTint="66"/>
      </w:tcPr>
    </w:tblStylePr>
    <w:tblStylePr w:type="band1Horz">
      <w:tblPr/>
      <w:tcPr>
        <w:shd w:val="clear" w:color="auto" w:fill="AFAFAF" w:themeFill="accent3" w:themeFillTint="7F"/>
      </w:tcPr>
    </w:tblStylePr>
  </w:style>
  <w:style w:type="table" w:styleId="ColorfulShading-Accent4">
    <w:name w:val="Colorful Shading Accent 4"/>
    <w:basedOn w:val="TableNormal"/>
    <w:uiPriority w:val="99"/>
    <w:semiHidden/>
    <w:rsid w:val="0098410D"/>
    <w:rPr>
      <w:color w:val="000000" w:themeColor="text1"/>
    </w:rPr>
    <w:tblPr>
      <w:tblStyleRowBandSize w:val="1"/>
      <w:tblStyleColBandSize w:val="1"/>
      <w:tblBorders>
        <w:top w:val="single" w:sz="24" w:space="0" w:color="5F5F5F" w:themeColor="accent3"/>
        <w:left w:val="single" w:sz="4" w:space="0" w:color="969696" w:themeColor="accent4"/>
        <w:bottom w:val="single" w:sz="4" w:space="0" w:color="969696" w:themeColor="accent4"/>
        <w:right w:val="single" w:sz="4" w:space="0" w:color="969696" w:themeColor="accent4"/>
        <w:insideH w:val="single" w:sz="4" w:space="0" w:color="0072BC" w:themeColor="background1"/>
        <w:insideV w:val="single" w:sz="4" w:space="0" w:color="0072BC" w:themeColor="background1"/>
      </w:tblBorders>
    </w:tblPr>
    <w:tcPr>
      <w:shd w:val="clear" w:color="auto" w:fill="F4F4F4" w:themeFill="accent4" w:themeFillTint="19"/>
    </w:tcPr>
    <w:tblStylePr w:type="firstRow">
      <w:rPr>
        <w:b/>
        <w:bCs/>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5A5A5A" w:themeFill="accent4" w:themeFillShade="99"/>
      </w:tcPr>
    </w:tblStylePr>
    <w:tblStylePr w:type="firstCol">
      <w:rPr>
        <w:color w:val="0072BC" w:themeColor="background1"/>
      </w:rPr>
      <w:tblPr/>
      <w:tcPr>
        <w:tcBorders>
          <w:top w:val="nil"/>
          <w:left w:val="nil"/>
          <w:bottom w:val="nil"/>
          <w:right w:val="nil"/>
          <w:insideH w:val="single" w:sz="4" w:space="0" w:color="5A5A5A" w:themeColor="accent4" w:themeShade="99"/>
          <w:insideV w:val="nil"/>
        </w:tcBorders>
        <w:shd w:val="clear" w:color="auto" w:fill="5A5A5A" w:themeFill="accent4" w:themeFillShade="99"/>
      </w:tcPr>
    </w:tblStylePr>
    <w:tblStylePr w:type="lastCol">
      <w:rPr>
        <w:color w:val="0072BC" w:themeColor="background1"/>
      </w:rPr>
      <w:tblPr/>
      <w:tcPr>
        <w:tcBorders>
          <w:top w:val="nil"/>
          <w:left w:val="nil"/>
          <w:bottom w:val="nil"/>
          <w:right w:val="nil"/>
          <w:insideH w:val="nil"/>
          <w:insideV w:val="nil"/>
        </w:tcBorders>
        <w:shd w:val="clear" w:color="auto" w:fill="5A5A5A" w:themeFill="accent4" w:themeFillShade="99"/>
      </w:tcPr>
    </w:tblStylePr>
    <w:tblStylePr w:type="band1Vert">
      <w:tblPr/>
      <w:tcPr>
        <w:shd w:val="clear" w:color="auto" w:fill="D5D5D5" w:themeFill="accent4" w:themeFillTint="66"/>
      </w:tcPr>
    </w:tblStylePr>
    <w:tblStylePr w:type="band1Horz">
      <w:tblPr/>
      <w:tcPr>
        <w:shd w:val="clear" w:color="auto" w:fill="CACACA"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99"/>
    <w:semiHidden/>
    <w:rsid w:val="0098410D"/>
    <w:rPr>
      <w:color w:val="000000" w:themeColor="text1"/>
    </w:rPr>
    <w:tblPr>
      <w:tblStyleRowBandSize w:val="1"/>
      <w:tblStyleColBandSize w:val="1"/>
      <w:tblBorders>
        <w:top w:val="single" w:sz="24" w:space="0" w:color="4D4D4D" w:themeColor="accent6"/>
        <w:left w:val="single" w:sz="4" w:space="0" w:color="5F5F5F" w:themeColor="accent5"/>
        <w:bottom w:val="single" w:sz="4" w:space="0" w:color="5F5F5F" w:themeColor="accent5"/>
        <w:right w:val="single" w:sz="4" w:space="0" w:color="5F5F5F" w:themeColor="accent5"/>
        <w:insideH w:val="single" w:sz="4" w:space="0" w:color="0072BC" w:themeColor="background1"/>
        <w:insideV w:val="single" w:sz="4" w:space="0" w:color="0072BC" w:themeColor="background1"/>
      </w:tblBorders>
    </w:tblPr>
    <w:tcPr>
      <w:shd w:val="clear" w:color="auto" w:fill="EFEFEF" w:themeFill="accent5" w:themeFillTint="19"/>
    </w:tcPr>
    <w:tblStylePr w:type="firstRow">
      <w:rPr>
        <w:b/>
        <w:bCs/>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5" w:themeFillShade="99"/>
      </w:tcPr>
    </w:tblStylePr>
    <w:tblStylePr w:type="firstCol">
      <w:rPr>
        <w:color w:val="0072BC" w:themeColor="background1"/>
      </w:rPr>
      <w:tblPr/>
      <w:tcPr>
        <w:tcBorders>
          <w:top w:val="nil"/>
          <w:left w:val="nil"/>
          <w:bottom w:val="nil"/>
          <w:right w:val="nil"/>
          <w:insideH w:val="single" w:sz="4" w:space="0" w:color="393939" w:themeColor="accent5" w:themeShade="99"/>
          <w:insideV w:val="nil"/>
        </w:tcBorders>
        <w:shd w:val="clear" w:color="auto" w:fill="393939" w:themeFill="accent5"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5" w:themeFillShade="99"/>
      </w:tcPr>
    </w:tblStylePr>
    <w:tblStylePr w:type="band1Vert">
      <w:tblPr/>
      <w:tcPr>
        <w:shd w:val="clear" w:color="auto" w:fill="BFBFBF" w:themeFill="accent5" w:themeFillTint="66"/>
      </w:tcPr>
    </w:tblStylePr>
    <w:tblStylePr w:type="band1Horz">
      <w:tblPr/>
      <w:tcPr>
        <w:shd w:val="clear" w:color="auto" w:fill="AFAFAF"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99"/>
    <w:semiHidden/>
    <w:rsid w:val="0098410D"/>
    <w:rPr>
      <w:color w:val="000000" w:themeColor="text1"/>
    </w:rPr>
    <w:tblPr>
      <w:tblStyleRowBandSize w:val="1"/>
      <w:tblStyleColBandSize w:val="1"/>
      <w:tblBorders>
        <w:top w:val="single" w:sz="24" w:space="0" w:color="5F5F5F" w:themeColor="accent5"/>
        <w:left w:val="single" w:sz="4" w:space="0" w:color="4D4D4D" w:themeColor="accent6"/>
        <w:bottom w:val="single" w:sz="4" w:space="0" w:color="4D4D4D" w:themeColor="accent6"/>
        <w:right w:val="single" w:sz="4" w:space="0" w:color="4D4D4D" w:themeColor="accent6"/>
        <w:insideH w:val="single" w:sz="4" w:space="0" w:color="0072BC" w:themeColor="background1"/>
        <w:insideV w:val="single" w:sz="4" w:space="0" w:color="0072BC" w:themeColor="background1"/>
      </w:tblBorders>
    </w:tblPr>
    <w:tcPr>
      <w:shd w:val="clear" w:color="auto" w:fill="EDEDED" w:themeFill="accent6" w:themeFillTint="19"/>
    </w:tcPr>
    <w:tblStylePr w:type="firstRow">
      <w:rPr>
        <w:b/>
        <w:bCs/>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2E2E2E" w:themeFill="accent6" w:themeFillShade="99"/>
      </w:tcPr>
    </w:tblStylePr>
    <w:tblStylePr w:type="firstCol">
      <w:rPr>
        <w:color w:val="0072BC" w:themeColor="background1"/>
      </w:rPr>
      <w:tblPr/>
      <w:tcPr>
        <w:tcBorders>
          <w:top w:val="nil"/>
          <w:left w:val="nil"/>
          <w:bottom w:val="nil"/>
          <w:right w:val="nil"/>
          <w:insideH w:val="single" w:sz="4" w:space="0" w:color="2E2E2E" w:themeColor="accent6" w:themeShade="99"/>
          <w:insideV w:val="nil"/>
        </w:tcBorders>
        <w:shd w:val="clear" w:color="auto" w:fill="2E2E2E" w:themeFill="accent6" w:themeFillShade="99"/>
      </w:tcPr>
    </w:tblStylePr>
    <w:tblStylePr w:type="lastCol">
      <w:rPr>
        <w:color w:val="0072BC" w:themeColor="background1"/>
      </w:rPr>
      <w:tblPr/>
      <w:tcPr>
        <w:tcBorders>
          <w:top w:val="nil"/>
          <w:left w:val="nil"/>
          <w:bottom w:val="nil"/>
          <w:right w:val="nil"/>
          <w:insideH w:val="nil"/>
          <w:insideV w:val="nil"/>
        </w:tcBorders>
        <w:shd w:val="clear" w:color="auto" w:fill="2E2E2E" w:themeFill="accent6" w:themeFillShade="99"/>
      </w:tcPr>
    </w:tblStylePr>
    <w:tblStylePr w:type="band1Vert">
      <w:tblPr/>
      <w:tcPr>
        <w:shd w:val="clear" w:color="auto" w:fill="B7B7B7" w:themeFill="accent6" w:themeFillTint="66"/>
      </w:tcPr>
    </w:tblStylePr>
    <w:tblStylePr w:type="band1Horz">
      <w:tblPr/>
      <w:tcPr>
        <w:shd w:val="clear" w:color="auto" w:fill="A6A6A6" w:themeFill="accent6" w:themeFillTint="7F"/>
      </w:tcPr>
    </w:tblStylePr>
    <w:tblStylePr w:type="neCell">
      <w:rPr>
        <w:color w:val="000000" w:themeColor="text1"/>
      </w:rPr>
    </w:tblStylePr>
    <w:tblStylePr w:type="nwCell">
      <w:rPr>
        <w:color w:val="000000" w:themeColor="text1"/>
      </w:rPr>
    </w:tblStylePr>
  </w:style>
  <w:style w:type="character" w:styleId="CommentReference">
    <w:name w:val="annotation reference"/>
    <w:basedOn w:val="DefaultParagraphFont"/>
    <w:uiPriority w:val="99"/>
    <w:semiHidden/>
    <w:rsid w:val="0098410D"/>
    <w:rPr>
      <w:sz w:val="16"/>
      <w:szCs w:val="16"/>
    </w:rPr>
  </w:style>
  <w:style w:type="paragraph" w:styleId="CommentText">
    <w:name w:val="annotation text"/>
    <w:basedOn w:val="Normal"/>
    <w:link w:val="CommentTextChar"/>
    <w:uiPriority w:val="99"/>
    <w:semiHidden/>
    <w:rsid w:val="0098410D"/>
    <w:rPr>
      <w:sz w:val="20"/>
      <w:szCs w:val="20"/>
    </w:rPr>
  </w:style>
  <w:style w:type="character" w:customStyle="1" w:styleId="CommentTextChar">
    <w:name w:val="Comment Text Char"/>
    <w:basedOn w:val="DefaultParagraphFont"/>
    <w:link w:val="CommentText"/>
    <w:uiPriority w:val="99"/>
    <w:semiHidden/>
    <w:rsid w:val="0098410D"/>
    <w:rPr>
      <w:rFonts w:eastAsiaTheme="minorEastAsia"/>
      <w:sz w:val="20"/>
      <w:szCs w:val="20"/>
    </w:rPr>
  </w:style>
  <w:style w:type="paragraph" w:styleId="CommentSubject">
    <w:name w:val="annotation subject"/>
    <w:basedOn w:val="CommentText"/>
    <w:next w:val="CommentText"/>
    <w:link w:val="CommentSubjectChar"/>
    <w:uiPriority w:val="99"/>
    <w:semiHidden/>
    <w:rsid w:val="0098410D"/>
    <w:rPr>
      <w:b/>
      <w:bCs/>
    </w:rPr>
  </w:style>
  <w:style w:type="character" w:customStyle="1" w:styleId="CommentSubjectChar">
    <w:name w:val="Comment Subject Char"/>
    <w:basedOn w:val="CommentTextChar"/>
    <w:link w:val="CommentSubject"/>
    <w:uiPriority w:val="99"/>
    <w:semiHidden/>
    <w:rsid w:val="0098410D"/>
    <w:rPr>
      <w:rFonts w:eastAsiaTheme="minorEastAsia"/>
      <w:b/>
      <w:bCs/>
      <w:sz w:val="20"/>
      <w:szCs w:val="20"/>
    </w:rPr>
  </w:style>
  <w:style w:type="table" w:styleId="DarkList">
    <w:name w:val="Dark List"/>
    <w:basedOn w:val="TableNormal"/>
    <w:uiPriority w:val="99"/>
    <w:semiHidden/>
    <w:rsid w:val="0098410D"/>
    <w:rPr>
      <w:color w:val="0072BC"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0072BC" w:themeColor="background1"/>
          <w:insideH w:val="nil"/>
          <w:insideV w:val="nil"/>
        </w:tcBorders>
        <w:shd w:val="clear" w:color="auto" w:fill="000000" w:themeFill="text1" w:themeFillShade="BF"/>
      </w:tcPr>
    </w:tblStylePr>
    <w:tblStylePr w:type="lastCol">
      <w:tblPr/>
      <w:tcPr>
        <w:tcBorders>
          <w:top w:val="nil"/>
          <w:left w:val="single" w:sz="18" w:space="0" w:color="0072BC"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99"/>
    <w:semiHidden/>
    <w:rsid w:val="0098410D"/>
    <w:rPr>
      <w:color w:val="0072BC" w:themeColor="background1"/>
    </w:rPr>
    <w:tblPr>
      <w:tblStyleRowBandSize w:val="1"/>
      <w:tblStyleColBandSize w:val="1"/>
    </w:tblPr>
    <w:tcPr>
      <w:shd w:val="clear" w:color="auto" w:fill="0072BC" w:themeFill="accen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385D" w:themeFill="accent1" w:themeFillShade="7F"/>
      </w:tcPr>
    </w:tblStylePr>
    <w:tblStylePr w:type="firstCol">
      <w:tblPr/>
      <w:tcPr>
        <w:tcBorders>
          <w:top w:val="nil"/>
          <w:left w:val="nil"/>
          <w:bottom w:val="nil"/>
          <w:right w:val="single" w:sz="18" w:space="0" w:color="0072BC" w:themeColor="background1"/>
          <w:insideH w:val="nil"/>
          <w:insideV w:val="nil"/>
        </w:tcBorders>
        <w:shd w:val="clear" w:color="auto" w:fill="00548C" w:themeFill="accent1" w:themeFillShade="BF"/>
      </w:tcPr>
    </w:tblStylePr>
    <w:tblStylePr w:type="lastCol">
      <w:tblPr/>
      <w:tcPr>
        <w:tcBorders>
          <w:top w:val="nil"/>
          <w:left w:val="single" w:sz="18" w:space="0" w:color="0072BC" w:themeColor="background1"/>
          <w:bottom w:val="nil"/>
          <w:right w:val="nil"/>
          <w:insideH w:val="nil"/>
          <w:insideV w:val="nil"/>
        </w:tcBorders>
        <w:shd w:val="clear" w:color="auto" w:fill="00548C" w:themeFill="accent1" w:themeFillShade="BF"/>
      </w:tcPr>
    </w:tblStylePr>
    <w:tblStylePr w:type="band1Vert">
      <w:tblPr/>
      <w:tcPr>
        <w:tcBorders>
          <w:top w:val="nil"/>
          <w:left w:val="nil"/>
          <w:bottom w:val="nil"/>
          <w:right w:val="nil"/>
          <w:insideH w:val="nil"/>
          <w:insideV w:val="nil"/>
        </w:tcBorders>
        <w:shd w:val="clear" w:color="auto" w:fill="00548C" w:themeFill="accent1" w:themeFillShade="BF"/>
      </w:tcPr>
    </w:tblStylePr>
    <w:tblStylePr w:type="band1Horz">
      <w:tblPr/>
      <w:tcPr>
        <w:tcBorders>
          <w:top w:val="nil"/>
          <w:left w:val="nil"/>
          <w:bottom w:val="nil"/>
          <w:right w:val="nil"/>
          <w:insideH w:val="nil"/>
          <w:insideV w:val="nil"/>
        </w:tcBorders>
        <w:shd w:val="clear" w:color="auto" w:fill="00548C" w:themeFill="accent1" w:themeFillShade="BF"/>
      </w:tcPr>
    </w:tblStylePr>
  </w:style>
  <w:style w:type="table" w:styleId="DarkList-Accent2">
    <w:name w:val="Dark List Accent 2"/>
    <w:basedOn w:val="TableNormal"/>
    <w:uiPriority w:val="99"/>
    <w:semiHidden/>
    <w:rsid w:val="0098410D"/>
    <w:rPr>
      <w:color w:val="0072BC" w:themeColor="background1"/>
    </w:rPr>
    <w:tblPr>
      <w:tblStyleRowBandSize w:val="1"/>
      <w:tblStyleColBandSize w:val="1"/>
    </w:tblPr>
    <w:tcPr>
      <w:shd w:val="clear" w:color="auto" w:fill="C00000" w:themeFill="accent2"/>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5F0000" w:themeFill="accent2" w:themeFillShade="7F"/>
      </w:tcPr>
    </w:tblStylePr>
    <w:tblStylePr w:type="firstCol">
      <w:tblPr/>
      <w:tcPr>
        <w:tcBorders>
          <w:top w:val="nil"/>
          <w:left w:val="nil"/>
          <w:bottom w:val="nil"/>
          <w:right w:val="single" w:sz="18" w:space="0" w:color="0072BC" w:themeColor="background1"/>
          <w:insideH w:val="nil"/>
          <w:insideV w:val="nil"/>
        </w:tcBorders>
        <w:shd w:val="clear" w:color="auto" w:fill="8F0000" w:themeFill="accent2" w:themeFillShade="BF"/>
      </w:tcPr>
    </w:tblStylePr>
    <w:tblStylePr w:type="lastCol">
      <w:tblPr/>
      <w:tcPr>
        <w:tcBorders>
          <w:top w:val="nil"/>
          <w:left w:val="single" w:sz="18" w:space="0" w:color="0072BC" w:themeColor="background1"/>
          <w:bottom w:val="nil"/>
          <w:right w:val="nil"/>
          <w:insideH w:val="nil"/>
          <w:insideV w:val="nil"/>
        </w:tcBorders>
        <w:shd w:val="clear" w:color="auto" w:fill="8F0000" w:themeFill="accent2" w:themeFillShade="BF"/>
      </w:tcPr>
    </w:tblStylePr>
    <w:tblStylePr w:type="band1Vert">
      <w:tblPr/>
      <w:tcPr>
        <w:tcBorders>
          <w:top w:val="nil"/>
          <w:left w:val="nil"/>
          <w:bottom w:val="nil"/>
          <w:right w:val="nil"/>
          <w:insideH w:val="nil"/>
          <w:insideV w:val="nil"/>
        </w:tcBorders>
        <w:shd w:val="clear" w:color="auto" w:fill="8F0000" w:themeFill="accent2" w:themeFillShade="BF"/>
      </w:tcPr>
    </w:tblStylePr>
    <w:tblStylePr w:type="band1Horz">
      <w:tblPr/>
      <w:tcPr>
        <w:tcBorders>
          <w:top w:val="nil"/>
          <w:left w:val="nil"/>
          <w:bottom w:val="nil"/>
          <w:right w:val="nil"/>
          <w:insideH w:val="nil"/>
          <w:insideV w:val="nil"/>
        </w:tcBorders>
        <w:shd w:val="clear" w:color="auto" w:fill="8F0000" w:themeFill="accent2" w:themeFillShade="BF"/>
      </w:tcPr>
    </w:tblStylePr>
  </w:style>
  <w:style w:type="table" w:styleId="DarkList-Accent3">
    <w:name w:val="Dark List Accent 3"/>
    <w:basedOn w:val="TableNormal"/>
    <w:uiPriority w:val="99"/>
    <w:semiHidden/>
    <w:rsid w:val="0098410D"/>
    <w:rPr>
      <w:color w:val="0072BC" w:themeColor="background1"/>
    </w:rPr>
    <w:tblPr>
      <w:tblStyleRowBandSize w:val="1"/>
      <w:tblStyleColBandSize w:val="1"/>
    </w:tblPr>
    <w:tcPr>
      <w:shd w:val="clear" w:color="auto" w:fill="5F5F5F" w:themeFill="accent3"/>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3"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3"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3" w:themeFillShade="BF"/>
      </w:tcPr>
    </w:tblStylePr>
    <w:tblStylePr w:type="band1Vert">
      <w:tblPr/>
      <w:tcPr>
        <w:tcBorders>
          <w:top w:val="nil"/>
          <w:left w:val="nil"/>
          <w:bottom w:val="nil"/>
          <w:right w:val="nil"/>
          <w:insideH w:val="nil"/>
          <w:insideV w:val="nil"/>
        </w:tcBorders>
        <w:shd w:val="clear" w:color="auto" w:fill="474747" w:themeFill="accent3" w:themeFillShade="BF"/>
      </w:tcPr>
    </w:tblStylePr>
    <w:tblStylePr w:type="band1Horz">
      <w:tblPr/>
      <w:tcPr>
        <w:tcBorders>
          <w:top w:val="nil"/>
          <w:left w:val="nil"/>
          <w:bottom w:val="nil"/>
          <w:right w:val="nil"/>
          <w:insideH w:val="nil"/>
          <w:insideV w:val="nil"/>
        </w:tcBorders>
        <w:shd w:val="clear" w:color="auto" w:fill="474747" w:themeFill="accent3" w:themeFillShade="BF"/>
      </w:tcPr>
    </w:tblStylePr>
  </w:style>
  <w:style w:type="table" w:styleId="DarkList-Accent4">
    <w:name w:val="Dark List Accent 4"/>
    <w:basedOn w:val="TableNormal"/>
    <w:uiPriority w:val="99"/>
    <w:semiHidden/>
    <w:rsid w:val="0098410D"/>
    <w:rPr>
      <w:color w:val="0072BC" w:themeColor="background1"/>
    </w:rPr>
    <w:tblPr>
      <w:tblStyleRowBandSize w:val="1"/>
      <w:tblStyleColBandSize w:val="1"/>
    </w:tblPr>
    <w:tcPr>
      <w:shd w:val="clear" w:color="auto" w:fill="969696" w:themeFill="accent4"/>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4A4A4A" w:themeFill="accent4" w:themeFillShade="7F"/>
      </w:tcPr>
    </w:tblStylePr>
    <w:tblStylePr w:type="firstCol">
      <w:tblPr/>
      <w:tcPr>
        <w:tcBorders>
          <w:top w:val="nil"/>
          <w:left w:val="nil"/>
          <w:bottom w:val="nil"/>
          <w:right w:val="single" w:sz="18" w:space="0" w:color="0072BC" w:themeColor="background1"/>
          <w:insideH w:val="nil"/>
          <w:insideV w:val="nil"/>
        </w:tcBorders>
        <w:shd w:val="clear" w:color="auto" w:fill="707070" w:themeFill="accent4" w:themeFillShade="BF"/>
      </w:tcPr>
    </w:tblStylePr>
    <w:tblStylePr w:type="lastCol">
      <w:tblPr/>
      <w:tcPr>
        <w:tcBorders>
          <w:top w:val="nil"/>
          <w:left w:val="single" w:sz="18" w:space="0" w:color="0072BC" w:themeColor="background1"/>
          <w:bottom w:val="nil"/>
          <w:right w:val="nil"/>
          <w:insideH w:val="nil"/>
          <w:insideV w:val="nil"/>
        </w:tcBorders>
        <w:shd w:val="clear" w:color="auto" w:fill="707070" w:themeFill="accent4" w:themeFillShade="BF"/>
      </w:tcPr>
    </w:tblStylePr>
    <w:tblStylePr w:type="band1Vert">
      <w:tblPr/>
      <w:tcPr>
        <w:tcBorders>
          <w:top w:val="nil"/>
          <w:left w:val="nil"/>
          <w:bottom w:val="nil"/>
          <w:right w:val="nil"/>
          <w:insideH w:val="nil"/>
          <w:insideV w:val="nil"/>
        </w:tcBorders>
        <w:shd w:val="clear" w:color="auto" w:fill="707070" w:themeFill="accent4" w:themeFillShade="BF"/>
      </w:tcPr>
    </w:tblStylePr>
    <w:tblStylePr w:type="band1Horz">
      <w:tblPr/>
      <w:tcPr>
        <w:tcBorders>
          <w:top w:val="nil"/>
          <w:left w:val="nil"/>
          <w:bottom w:val="nil"/>
          <w:right w:val="nil"/>
          <w:insideH w:val="nil"/>
          <w:insideV w:val="nil"/>
        </w:tcBorders>
        <w:shd w:val="clear" w:color="auto" w:fill="707070" w:themeFill="accent4" w:themeFillShade="BF"/>
      </w:tcPr>
    </w:tblStylePr>
  </w:style>
  <w:style w:type="table" w:styleId="DarkList-Accent5">
    <w:name w:val="Dark List Accent 5"/>
    <w:basedOn w:val="TableNormal"/>
    <w:uiPriority w:val="99"/>
    <w:semiHidden/>
    <w:rsid w:val="0098410D"/>
    <w:rPr>
      <w:color w:val="0072BC" w:themeColor="background1"/>
    </w:rPr>
    <w:tblPr>
      <w:tblStyleRowBandSize w:val="1"/>
      <w:tblStyleColBandSize w:val="1"/>
    </w:tblPr>
    <w:tcPr>
      <w:shd w:val="clear" w:color="auto" w:fill="5F5F5F" w:themeFill="accent5"/>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5"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5"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5" w:themeFillShade="BF"/>
      </w:tcPr>
    </w:tblStylePr>
    <w:tblStylePr w:type="band1Vert">
      <w:tblPr/>
      <w:tcPr>
        <w:tcBorders>
          <w:top w:val="nil"/>
          <w:left w:val="nil"/>
          <w:bottom w:val="nil"/>
          <w:right w:val="nil"/>
          <w:insideH w:val="nil"/>
          <w:insideV w:val="nil"/>
        </w:tcBorders>
        <w:shd w:val="clear" w:color="auto" w:fill="474747" w:themeFill="accent5" w:themeFillShade="BF"/>
      </w:tcPr>
    </w:tblStylePr>
    <w:tblStylePr w:type="band1Horz">
      <w:tblPr/>
      <w:tcPr>
        <w:tcBorders>
          <w:top w:val="nil"/>
          <w:left w:val="nil"/>
          <w:bottom w:val="nil"/>
          <w:right w:val="nil"/>
          <w:insideH w:val="nil"/>
          <w:insideV w:val="nil"/>
        </w:tcBorders>
        <w:shd w:val="clear" w:color="auto" w:fill="474747" w:themeFill="accent5" w:themeFillShade="BF"/>
      </w:tcPr>
    </w:tblStylePr>
  </w:style>
  <w:style w:type="table" w:styleId="DarkList-Accent6">
    <w:name w:val="Dark List Accent 6"/>
    <w:basedOn w:val="TableNormal"/>
    <w:uiPriority w:val="99"/>
    <w:semiHidden/>
    <w:rsid w:val="0098410D"/>
    <w:rPr>
      <w:color w:val="0072BC" w:themeColor="background1"/>
    </w:rPr>
    <w:tblPr>
      <w:tblStyleRowBandSize w:val="1"/>
      <w:tblStyleColBandSize w:val="1"/>
    </w:tblPr>
    <w:tcPr>
      <w:shd w:val="clear" w:color="auto" w:fill="4D4D4D" w:themeFill="accent6"/>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62626" w:themeFill="accent6" w:themeFillShade="7F"/>
      </w:tcPr>
    </w:tblStylePr>
    <w:tblStylePr w:type="firstCol">
      <w:tblPr/>
      <w:tcPr>
        <w:tcBorders>
          <w:top w:val="nil"/>
          <w:left w:val="nil"/>
          <w:bottom w:val="nil"/>
          <w:right w:val="single" w:sz="18" w:space="0" w:color="0072BC" w:themeColor="background1"/>
          <w:insideH w:val="nil"/>
          <w:insideV w:val="nil"/>
        </w:tcBorders>
        <w:shd w:val="clear" w:color="auto" w:fill="393939" w:themeFill="accent6" w:themeFillShade="BF"/>
      </w:tcPr>
    </w:tblStylePr>
    <w:tblStylePr w:type="lastCol">
      <w:tblPr/>
      <w:tcPr>
        <w:tcBorders>
          <w:top w:val="nil"/>
          <w:left w:val="single" w:sz="18" w:space="0" w:color="0072BC" w:themeColor="background1"/>
          <w:bottom w:val="nil"/>
          <w:right w:val="nil"/>
          <w:insideH w:val="nil"/>
          <w:insideV w:val="nil"/>
        </w:tcBorders>
        <w:shd w:val="clear" w:color="auto" w:fill="393939" w:themeFill="accent6" w:themeFillShade="BF"/>
      </w:tcPr>
    </w:tblStylePr>
    <w:tblStylePr w:type="band1Vert">
      <w:tblPr/>
      <w:tcPr>
        <w:tcBorders>
          <w:top w:val="nil"/>
          <w:left w:val="nil"/>
          <w:bottom w:val="nil"/>
          <w:right w:val="nil"/>
          <w:insideH w:val="nil"/>
          <w:insideV w:val="nil"/>
        </w:tcBorders>
        <w:shd w:val="clear" w:color="auto" w:fill="393939" w:themeFill="accent6" w:themeFillShade="BF"/>
      </w:tcPr>
    </w:tblStylePr>
    <w:tblStylePr w:type="band1Horz">
      <w:tblPr/>
      <w:tcPr>
        <w:tcBorders>
          <w:top w:val="nil"/>
          <w:left w:val="nil"/>
          <w:bottom w:val="nil"/>
          <w:right w:val="nil"/>
          <w:insideH w:val="nil"/>
          <w:insideV w:val="nil"/>
        </w:tcBorders>
        <w:shd w:val="clear" w:color="auto" w:fill="393939" w:themeFill="accent6" w:themeFillShade="BF"/>
      </w:tcPr>
    </w:tblStylePr>
  </w:style>
  <w:style w:type="paragraph" w:styleId="Date">
    <w:name w:val="Date"/>
    <w:basedOn w:val="Normal"/>
    <w:next w:val="Normal"/>
    <w:link w:val="DateChar"/>
    <w:uiPriority w:val="99"/>
    <w:semiHidden/>
    <w:rsid w:val="0098410D"/>
  </w:style>
  <w:style w:type="character" w:customStyle="1" w:styleId="DateChar">
    <w:name w:val="Date Char"/>
    <w:basedOn w:val="DefaultParagraphFont"/>
    <w:link w:val="Date"/>
    <w:uiPriority w:val="99"/>
    <w:semiHidden/>
    <w:rsid w:val="0098410D"/>
    <w:rPr>
      <w:rFonts w:eastAsiaTheme="minorEastAsia"/>
      <w:sz w:val="24"/>
    </w:rPr>
  </w:style>
  <w:style w:type="paragraph" w:styleId="DocumentMap">
    <w:name w:val="Document Map"/>
    <w:basedOn w:val="Normal"/>
    <w:link w:val="DocumentMapChar"/>
    <w:uiPriority w:val="99"/>
    <w:semiHidden/>
    <w:rsid w:val="0098410D"/>
    <w:rPr>
      <w:rFonts w:ascii="Tahoma" w:hAnsi="Tahoma" w:cs="Tahoma"/>
      <w:sz w:val="16"/>
      <w:szCs w:val="16"/>
    </w:rPr>
  </w:style>
  <w:style w:type="character" w:customStyle="1" w:styleId="DocumentMapChar">
    <w:name w:val="Document Map Char"/>
    <w:basedOn w:val="DefaultParagraphFont"/>
    <w:link w:val="DocumentMap"/>
    <w:uiPriority w:val="99"/>
    <w:semiHidden/>
    <w:rsid w:val="0098410D"/>
    <w:rPr>
      <w:rFonts w:ascii="Tahoma" w:eastAsiaTheme="minorEastAsia" w:hAnsi="Tahoma" w:cs="Tahoma"/>
      <w:sz w:val="16"/>
      <w:szCs w:val="16"/>
    </w:rPr>
  </w:style>
  <w:style w:type="paragraph" w:styleId="E-mailSignature">
    <w:name w:val="E-mail Signature"/>
    <w:basedOn w:val="Normal"/>
    <w:link w:val="E-mailSignatureChar"/>
    <w:uiPriority w:val="99"/>
    <w:semiHidden/>
    <w:rsid w:val="0098410D"/>
  </w:style>
  <w:style w:type="character" w:customStyle="1" w:styleId="E-mailSignatureChar">
    <w:name w:val="E-mail Signature Char"/>
    <w:basedOn w:val="DefaultParagraphFont"/>
    <w:link w:val="E-mailSignature"/>
    <w:uiPriority w:val="99"/>
    <w:semiHidden/>
    <w:rsid w:val="0098410D"/>
    <w:rPr>
      <w:rFonts w:eastAsiaTheme="minorEastAsia"/>
      <w:sz w:val="24"/>
    </w:rPr>
  </w:style>
  <w:style w:type="character" w:styleId="EndnoteReference">
    <w:name w:val="endnote reference"/>
    <w:basedOn w:val="DefaultParagraphFont"/>
    <w:uiPriority w:val="99"/>
    <w:semiHidden/>
    <w:rsid w:val="006D3D52"/>
    <w:rPr>
      <w:vertAlign w:val="superscript"/>
    </w:rPr>
  </w:style>
  <w:style w:type="paragraph" w:styleId="EndnoteText">
    <w:name w:val="endnote text"/>
    <w:basedOn w:val="Normal"/>
    <w:link w:val="EndnoteTextChar"/>
    <w:uiPriority w:val="99"/>
    <w:semiHidden/>
    <w:rsid w:val="006D3D52"/>
    <w:rPr>
      <w:sz w:val="20"/>
      <w:szCs w:val="20"/>
    </w:rPr>
  </w:style>
  <w:style w:type="character" w:customStyle="1" w:styleId="EndnoteTextChar">
    <w:name w:val="Endnote Text Char"/>
    <w:basedOn w:val="DefaultParagraphFont"/>
    <w:link w:val="EndnoteText"/>
    <w:uiPriority w:val="99"/>
    <w:semiHidden/>
    <w:rsid w:val="006D3D52"/>
    <w:rPr>
      <w:rFonts w:eastAsiaTheme="minorEastAsia"/>
      <w:sz w:val="20"/>
      <w:szCs w:val="20"/>
      <w:lang w:val="en-GB"/>
    </w:rPr>
  </w:style>
  <w:style w:type="paragraph" w:styleId="EnvelopeAddress">
    <w:name w:val="envelope address"/>
    <w:basedOn w:val="Normal"/>
    <w:uiPriority w:val="99"/>
    <w:semiHidden/>
    <w:rsid w:val="0098410D"/>
    <w:pPr>
      <w:framePr w:w="7938" w:h="1985" w:hRule="exact" w:hSpace="141" w:wrap="auto" w:hAnchor="page" w:xAlign="center" w:yAlign="bottom"/>
      <w:ind w:left="2835"/>
    </w:pPr>
    <w:rPr>
      <w:rFonts w:asciiTheme="majorHAnsi" w:eastAsiaTheme="majorEastAsia" w:hAnsiTheme="majorHAnsi" w:cstheme="majorBidi"/>
      <w:szCs w:val="24"/>
    </w:rPr>
  </w:style>
  <w:style w:type="paragraph" w:styleId="EnvelopeReturn">
    <w:name w:val="envelope return"/>
    <w:basedOn w:val="Normal"/>
    <w:uiPriority w:val="99"/>
    <w:semiHidden/>
    <w:rsid w:val="0098410D"/>
    <w:rPr>
      <w:rFonts w:asciiTheme="majorHAnsi" w:eastAsiaTheme="majorEastAsia" w:hAnsiTheme="majorHAnsi" w:cstheme="majorBidi"/>
      <w:sz w:val="20"/>
      <w:szCs w:val="20"/>
    </w:rPr>
  </w:style>
  <w:style w:type="character" w:styleId="FollowedHyperlink">
    <w:name w:val="FollowedHyperlink"/>
    <w:basedOn w:val="DefaultParagraphFont"/>
    <w:uiPriority w:val="99"/>
    <w:semiHidden/>
    <w:rsid w:val="0098410D"/>
    <w:rPr>
      <w:color w:val="7030A0" w:themeColor="followedHyperlink"/>
      <w:u w:val="single"/>
    </w:rPr>
  </w:style>
  <w:style w:type="character" w:styleId="HTMLAcronym">
    <w:name w:val="HTML Acronym"/>
    <w:basedOn w:val="DefaultParagraphFont"/>
    <w:uiPriority w:val="99"/>
    <w:semiHidden/>
    <w:rsid w:val="0098410D"/>
  </w:style>
  <w:style w:type="paragraph" w:styleId="HTMLAddress">
    <w:name w:val="HTML Address"/>
    <w:basedOn w:val="Normal"/>
    <w:link w:val="HTMLAddressChar"/>
    <w:uiPriority w:val="99"/>
    <w:semiHidden/>
    <w:rsid w:val="0098410D"/>
    <w:rPr>
      <w:i/>
      <w:iCs/>
    </w:rPr>
  </w:style>
  <w:style w:type="character" w:customStyle="1" w:styleId="HTMLAddressChar">
    <w:name w:val="HTML Address Char"/>
    <w:basedOn w:val="DefaultParagraphFont"/>
    <w:link w:val="HTMLAddress"/>
    <w:uiPriority w:val="99"/>
    <w:semiHidden/>
    <w:rsid w:val="0098410D"/>
    <w:rPr>
      <w:rFonts w:eastAsiaTheme="minorEastAsia"/>
      <w:i/>
      <w:iCs/>
      <w:sz w:val="24"/>
    </w:rPr>
  </w:style>
  <w:style w:type="character" w:styleId="HTMLCite">
    <w:name w:val="HTML Cite"/>
    <w:basedOn w:val="DefaultParagraphFont"/>
    <w:uiPriority w:val="99"/>
    <w:semiHidden/>
    <w:rsid w:val="0098410D"/>
    <w:rPr>
      <w:i/>
      <w:iCs/>
    </w:rPr>
  </w:style>
  <w:style w:type="character" w:styleId="HTMLCode">
    <w:name w:val="HTML Code"/>
    <w:basedOn w:val="DefaultParagraphFont"/>
    <w:uiPriority w:val="99"/>
    <w:semiHidden/>
    <w:rsid w:val="0098410D"/>
    <w:rPr>
      <w:rFonts w:ascii="Consolas" w:hAnsi="Consolas" w:cs="Consolas"/>
      <w:sz w:val="20"/>
      <w:szCs w:val="20"/>
    </w:rPr>
  </w:style>
  <w:style w:type="character" w:styleId="HTMLDefinition">
    <w:name w:val="HTML Definition"/>
    <w:basedOn w:val="DefaultParagraphFont"/>
    <w:uiPriority w:val="99"/>
    <w:semiHidden/>
    <w:rsid w:val="0098410D"/>
    <w:rPr>
      <w:i/>
      <w:iCs/>
    </w:rPr>
  </w:style>
  <w:style w:type="character" w:styleId="HTMLKeyboard">
    <w:name w:val="HTML Keyboard"/>
    <w:basedOn w:val="DefaultParagraphFont"/>
    <w:uiPriority w:val="99"/>
    <w:semiHidden/>
    <w:rsid w:val="0098410D"/>
    <w:rPr>
      <w:rFonts w:ascii="Consolas" w:hAnsi="Consolas" w:cs="Consolas"/>
      <w:sz w:val="20"/>
      <w:szCs w:val="20"/>
    </w:rPr>
  </w:style>
  <w:style w:type="paragraph" w:styleId="HTMLPreformatted">
    <w:name w:val="HTML Preformatted"/>
    <w:basedOn w:val="Normal"/>
    <w:link w:val="HTMLPreformattedChar"/>
    <w:uiPriority w:val="99"/>
    <w:semiHidden/>
    <w:rsid w:val="0098410D"/>
    <w:rPr>
      <w:rFonts w:ascii="Consolas" w:hAnsi="Consolas" w:cs="Consolas"/>
      <w:sz w:val="20"/>
      <w:szCs w:val="20"/>
    </w:rPr>
  </w:style>
  <w:style w:type="character" w:customStyle="1" w:styleId="HTMLPreformattedChar">
    <w:name w:val="HTML Preformatted Char"/>
    <w:basedOn w:val="DefaultParagraphFont"/>
    <w:link w:val="HTMLPreformatted"/>
    <w:uiPriority w:val="99"/>
    <w:semiHidden/>
    <w:rsid w:val="0098410D"/>
    <w:rPr>
      <w:rFonts w:ascii="Consolas" w:eastAsiaTheme="minorEastAsia" w:hAnsi="Consolas" w:cs="Consolas"/>
      <w:sz w:val="20"/>
      <w:szCs w:val="20"/>
    </w:rPr>
  </w:style>
  <w:style w:type="character" w:styleId="HTMLSample">
    <w:name w:val="HTML Sample"/>
    <w:basedOn w:val="DefaultParagraphFont"/>
    <w:uiPriority w:val="99"/>
    <w:semiHidden/>
    <w:rsid w:val="0098410D"/>
    <w:rPr>
      <w:rFonts w:ascii="Consolas" w:hAnsi="Consolas" w:cs="Consolas"/>
      <w:sz w:val="24"/>
      <w:szCs w:val="24"/>
    </w:rPr>
  </w:style>
  <w:style w:type="character" w:styleId="HTMLTypewriter">
    <w:name w:val="HTML Typewriter"/>
    <w:basedOn w:val="DefaultParagraphFont"/>
    <w:uiPriority w:val="99"/>
    <w:semiHidden/>
    <w:rsid w:val="0098410D"/>
    <w:rPr>
      <w:rFonts w:ascii="Consolas" w:hAnsi="Consolas" w:cs="Consolas"/>
      <w:sz w:val="20"/>
      <w:szCs w:val="20"/>
    </w:rPr>
  </w:style>
  <w:style w:type="character" w:styleId="HTMLVariable">
    <w:name w:val="HTML Variable"/>
    <w:basedOn w:val="DefaultParagraphFont"/>
    <w:uiPriority w:val="99"/>
    <w:semiHidden/>
    <w:rsid w:val="0098410D"/>
    <w:rPr>
      <w:i/>
      <w:iCs/>
    </w:rPr>
  </w:style>
  <w:style w:type="paragraph" w:styleId="Index1">
    <w:name w:val="index 1"/>
    <w:basedOn w:val="Normal"/>
    <w:next w:val="Normal"/>
    <w:autoRedefine/>
    <w:uiPriority w:val="99"/>
    <w:semiHidden/>
    <w:rsid w:val="0098410D"/>
    <w:pPr>
      <w:ind w:left="240" w:hanging="240"/>
    </w:pPr>
  </w:style>
  <w:style w:type="paragraph" w:styleId="Index2">
    <w:name w:val="index 2"/>
    <w:basedOn w:val="Normal"/>
    <w:next w:val="Normal"/>
    <w:autoRedefine/>
    <w:uiPriority w:val="99"/>
    <w:semiHidden/>
    <w:rsid w:val="0098410D"/>
    <w:pPr>
      <w:ind w:left="480" w:hanging="240"/>
    </w:pPr>
  </w:style>
  <w:style w:type="paragraph" w:styleId="Index3">
    <w:name w:val="index 3"/>
    <w:basedOn w:val="Normal"/>
    <w:next w:val="Normal"/>
    <w:autoRedefine/>
    <w:uiPriority w:val="99"/>
    <w:semiHidden/>
    <w:rsid w:val="0098410D"/>
    <w:pPr>
      <w:ind w:left="720" w:hanging="240"/>
    </w:pPr>
  </w:style>
  <w:style w:type="paragraph" w:styleId="Index4">
    <w:name w:val="index 4"/>
    <w:basedOn w:val="Normal"/>
    <w:next w:val="Normal"/>
    <w:autoRedefine/>
    <w:uiPriority w:val="99"/>
    <w:semiHidden/>
    <w:rsid w:val="0098410D"/>
    <w:pPr>
      <w:ind w:left="960" w:hanging="240"/>
    </w:pPr>
  </w:style>
  <w:style w:type="paragraph" w:styleId="Index5">
    <w:name w:val="index 5"/>
    <w:basedOn w:val="Normal"/>
    <w:next w:val="Normal"/>
    <w:autoRedefine/>
    <w:uiPriority w:val="99"/>
    <w:semiHidden/>
    <w:rsid w:val="0098410D"/>
    <w:pPr>
      <w:ind w:left="1200" w:hanging="240"/>
    </w:pPr>
  </w:style>
  <w:style w:type="paragraph" w:styleId="Index6">
    <w:name w:val="index 6"/>
    <w:basedOn w:val="Normal"/>
    <w:next w:val="Normal"/>
    <w:autoRedefine/>
    <w:uiPriority w:val="99"/>
    <w:semiHidden/>
    <w:rsid w:val="0098410D"/>
    <w:pPr>
      <w:ind w:left="1440" w:hanging="240"/>
    </w:pPr>
  </w:style>
  <w:style w:type="paragraph" w:styleId="Index7">
    <w:name w:val="index 7"/>
    <w:basedOn w:val="Normal"/>
    <w:next w:val="Normal"/>
    <w:autoRedefine/>
    <w:uiPriority w:val="99"/>
    <w:semiHidden/>
    <w:rsid w:val="0098410D"/>
    <w:pPr>
      <w:ind w:left="1680" w:hanging="240"/>
    </w:pPr>
  </w:style>
  <w:style w:type="paragraph" w:styleId="Index8">
    <w:name w:val="index 8"/>
    <w:basedOn w:val="Normal"/>
    <w:next w:val="Normal"/>
    <w:autoRedefine/>
    <w:uiPriority w:val="99"/>
    <w:semiHidden/>
    <w:rsid w:val="0098410D"/>
    <w:pPr>
      <w:ind w:left="1920" w:hanging="240"/>
    </w:pPr>
  </w:style>
  <w:style w:type="paragraph" w:styleId="Index9">
    <w:name w:val="index 9"/>
    <w:basedOn w:val="Normal"/>
    <w:next w:val="Normal"/>
    <w:autoRedefine/>
    <w:uiPriority w:val="99"/>
    <w:semiHidden/>
    <w:rsid w:val="0098410D"/>
    <w:pPr>
      <w:ind w:left="2160" w:hanging="240"/>
    </w:pPr>
  </w:style>
  <w:style w:type="paragraph" w:styleId="IndexHeading">
    <w:name w:val="index heading"/>
    <w:basedOn w:val="Normal"/>
    <w:next w:val="Index1"/>
    <w:uiPriority w:val="99"/>
    <w:semiHidden/>
    <w:rsid w:val="0098410D"/>
    <w:rPr>
      <w:rFonts w:asciiTheme="majorHAnsi" w:eastAsiaTheme="majorEastAsia" w:hAnsiTheme="majorHAnsi" w:cstheme="majorBidi"/>
      <w:b/>
      <w:bCs/>
    </w:rPr>
  </w:style>
  <w:style w:type="table" w:styleId="LightGrid">
    <w:name w:val="Light Grid"/>
    <w:basedOn w:val="TableNormal"/>
    <w:uiPriority w:val="99"/>
    <w:semiHidden/>
    <w:rsid w:val="0098410D"/>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99"/>
    <w:semiHidden/>
    <w:rsid w:val="0098410D"/>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18" w:space="0" w:color="0072BC" w:themeColor="accent1"/>
          <w:right w:val="single" w:sz="8" w:space="0" w:color="0072BC" w:themeColor="accent1"/>
          <w:insideH w:val="nil"/>
          <w:insideV w:val="single" w:sz="8" w:space="0" w:color="0072BC"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insideH w:val="nil"/>
          <w:insideV w:val="single" w:sz="8" w:space="0" w:color="0072BC"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shd w:val="clear" w:color="auto" w:fill="AFDFFF" w:themeFill="accent1" w:themeFillTint="3F"/>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shd w:val="clear" w:color="auto" w:fill="AFDFFF" w:themeFill="accent1" w:themeFillTint="3F"/>
      </w:tcPr>
    </w:tblStylePr>
    <w:tblStylePr w:type="band2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tcPr>
    </w:tblStylePr>
  </w:style>
  <w:style w:type="table" w:styleId="LightGrid-Accent2">
    <w:name w:val="Light Grid Accent 2"/>
    <w:basedOn w:val="TableNormal"/>
    <w:uiPriority w:val="99"/>
    <w:semiHidden/>
    <w:rsid w:val="0098410D"/>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18" w:space="0" w:color="C00000" w:themeColor="accent2"/>
          <w:right w:val="single" w:sz="8" w:space="0" w:color="C00000" w:themeColor="accent2"/>
          <w:insideH w:val="nil"/>
          <w:insideV w:val="single" w:sz="8" w:space="0" w:color="C00000"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insideH w:val="nil"/>
          <w:insideV w:val="single" w:sz="8" w:space="0" w:color="C00000"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shd w:val="clear" w:color="auto" w:fill="FFB0B0" w:themeFill="accent2" w:themeFillTint="3F"/>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shd w:val="clear" w:color="auto" w:fill="FFB0B0" w:themeFill="accent2" w:themeFillTint="3F"/>
      </w:tcPr>
    </w:tblStylePr>
    <w:tblStylePr w:type="band2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tcPr>
    </w:tblStylePr>
  </w:style>
  <w:style w:type="table" w:styleId="LightGrid-Accent3">
    <w:name w:val="Light Grid Accent 3"/>
    <w:basedOn w:val="TableNormal"/>
    <w:uiPriority w:val="99"/>
    <w:semiHidden/>
    <w:rsid w:val="0098410D"/>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18" w:space="0" w:color="5F5F5F" w:themeColor="accent3"/>
          <w:right w:val="single" w:sz="8" w:space="0" w:color="5F5F5F" w:themeColor="accent3"/>
          <w:insideH w:val="nil"/>
          <w:insideV w:val="single" w:sz="8" w:space="0" w:color="5F5F5F"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insideH w:val="nil"/>
          <w:insideV w:val="single" w:sz="8" w:space="0" w:color="5F5F5F"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shd w:val="clear" w:color="auto" w:fill="D7D7D7" w:themeFill="accent3" w:themeFillTint="3F"/>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shd w:val="clear" w:color="auto" w:fill="D7D7D7" w:themeFill="accent3" w:themeFillTint="3F"/>
      </w:tcPr>
    </w:tblStylePr>
    <w:tblStylePr w:type="band2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tcPr>
    </w:tblStylePr>
  </w:style>
  <w:style w:type="table" w:styleId="LightGrid-Accent4">
    <w:name w:val="Light Grid Accent 4"/>
    <w:basedOn w:val="TableNormal"/>
    <w:uiPriority w:val="99"/>
    <w:semiHidden/>
    <w:rsid w:val="0098410D"/>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18" w:space="0" w:color="969696" w:themeColor="accent4"/>
          <w:right w:val="single" w:sz="8" w:space="0" w:color="969696" w:themeColor="accent4"/>
          <w:insideH w:val="nil"/>
          <w:insideV w:val="single" w:sz="8" w:space="0" w:color="969696"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insideH w:val="nil"/>
          <w:insideV w:val="single" w:sz="8" w:space="0" w:color="969696"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shd w:val="clear" w:color="auto" w:fill="E5E5E5" w:themeFill="accent4" w:themeFillTint="3F"/>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shd w:val="clear" w:color="auto" w:fill="E5E5E5" w:themeFill="accent4" w:themeFillTint="3F"/>
      </w:tcPr>
    </w:tblStylePr>
    <w:tblStylePr w:type="band2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tcPr>
    </w:tblStylePr>
  </w:style>
  <w:style w:type="table" w:styleId="LightGrid-Accent5">
    <w:name w:val="Light Grid Accent 5"/>
    <w:basedOn w:val="TableNormal"/>
    <w:uiPriority w:val="99"/>
    <w:semiHidden/>
    <w:rsid w:val="0098410D"/>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18" w:space="0" w:color="5F5F5F" w:themeColor="accent5"/>
          <w:right w:val="single" w:sz="8" w:space="0" w:color="5F5F5F" w:themeColor="accent5"/>
          <w:insideH w:val="nil"/>
          <w:insideV w:val="single" w:sz="8" w:space="0" w:color="5F5F5F"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insideH w:val="nil"/>
          <w:insideV w:val="single" w:sz="8" w:space="0" w:color="5F5F5F"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shd w:val="clear" w:color="auto" w:fill="D7D7D7" w:themeFill="accent5" w:themeFillTint="3F"/>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shd w:val="clear" w:color="auto" w:fill="D7D7D7" w:themeFill="accent5" w:themeFillTint="3F"/>
      </w:tcPr>
    </w:tblStylePr>
    <w:tblStylePr w:type="band2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tcPr>
    </w:tblStylePr>
  </w:style>
  <w:style w:type="table" w:styleId="LightGrid-Accent6">
    <w:name w:val="Light Grid Accent 6"/>
    <w:basedOn w:val="TableNormal"/>
    <w:uiPriority w:val="99"/>
    <w:semiHidden/>
    <w:rsid w:val="0098410D"/>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18" w:space="0" w:color="4D4D4D" w:themeColor="accent6"/>
          <w:right w:val="single" w:sz="8" w:space="0" w:color="4D4D4D" w:themeColor="accent6"/>
          <w:insideH w:val="nil"/>
          <w:insideV w:val="single" w:sz="8" w:space="0" w:color="4D4D4D"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insideH w:val="nil"/>
          <w:insideV w:val="single" w:sz="8" w:space="0" w:color="4D4D4D"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shd w:val="clear" w:color="auto" w:fill="D3D3D3" w:themeFill="accent6" w:themeFillTint="3F"/>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shd w:val="clear" w:color="auto" w:fill="D3D3D3" w:themeFill="accent6" w:themeFillTint="3F"/>
      </w:tcPr>
    </w:tblStylePr>
    <w:tblStylePr w:type="band2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tcPr>
    </w:tblStylePr>
  </w:style>
  <w:style w:type="table" w:styleId="LightList">
    <w:name w:val="Light List"/>
    <w:basedOn w:val="TableNormal"/>
    <w:uiPriority w:val="99"/>
    <w:semiHidden/>
    <w:rsid w:val="0098410D"/>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0072BC"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99"/>
    <w:semiHidden/>
    <w:rsid w:val="0098410D"/>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pPr>
        <w:spacing w:before="0" w:after="0" w:line="240" w:lineRule="auto"/>
      </w:pPr>
      <w:rPr>
        <w:b/>
        <w:bCs/>
        <w:color w:val="0072BC" w:themeColor="background1"/>
      </w:rPr>
      <w:tblPr/>
      <w:tcPr>
        <w:shd w:val="clear" w:color="auto" w:fill="0072BC" w:themeFill="accent1"/>
      </w:tcPr>
    </w:tblStylePr>
    <w:tblStylePr w:type="lastRow">
      <w:pPr>
        <w:spacing w:before="0" w:after="0" w:line="240" w:lineRule="auto"/>
      </w:pPr>
      <w:rPr>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tcBorders>
      </w:tcPr>
    </w:tblStylePr>
    <w:tblStylePr w:type="firstCol">
      <w:rPr>
        <w:b/>
        <w:bCs/>
      </w:rPr>
    </w:tblStylePr>
    <w:tblStylePr w:type="lastCol">
      <w:rPr>
        <w:b/>
        <w:bCs/>
      </w:r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style>
  <w:style w:type="table" w:styleId="LightList-Accent2">
    <w:name w:val="Light List Accent 2"/>
    <w:basedOn w:val="TableNormal"/>
    <w:uiPriority w:val="99"/>
    <w:semiHidden/>
    <w:rsid w:val="0098410D"/>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pPr>
        <w:spacing w:before="0" w:after="0" w:line="240" w:lineRule="auto"/>
      </w:pPr>
      <w:rPr>
        <w:b/>
        <w:bCs/>
        <w:color w:val="0072BC" w:themeColor="background1"/>
      </w:rPr>
      <w:tblPr/>
      <w:tcPr>
        <w:shd w:val="clear" w:color="auto" w:fill="C00000" w:themeFill="accent2"/>
      </w:tcPr>
    </w:tblStylePr>
    <w:tblStylePr w:type="lastRow">
      <w:pPr>
        <w:spacing w:before="0" w:after="0" w:line="240" w:lineRule="auto"/>
      </w:pPr>
      <w:rPr>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tcBorders>
      </w:tcPr>
    </w:tblStylePr>
    <w:tblStylePr w:type="firstCol">
      <w:rPr>
        <w:b/>
        <w:bCs/>
      </w:rPr>
    </w:tblStylePr>
    <w:tblStylePr w:type="lastCol">
      <w:rPr>
        <w:b/>
        <w:bCs/>
      </w:r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style>
  <w:style w:type="table" w:styleId="LightList-Accent3">
    <w:name w:val="Light List Accent 3"/>
    <w:basedOn w:val="TableNormal"/>
    <w:uiPriority w:val="99"/>
    <w:semiHidden/>
    <w:rsid w:val="0098410D"/>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pPr>
        <w:spacing w:before="0" w:after="0" w:line="240" w:lineRule="auto"/>
      </w:pPr>
      <w:rPr>
        <w:b/>
        <w:bCs/>
        <w:color w:val="0072BC" w:themeColor="background1"/>
      </w:rPr>
      <w:tblPr/>
      <w:tcPr>
        <w:shd w:val="clear" w:color="auto" w:fill="5F5F5F" w:themeFill="accent3"/>
      </w:tcPr>
    </w:tblStylePr>
    <w:tblStylePr w:type="lastRow">
      <w:pPr>
        <w:spacing w:before="0" w:after="0" w:line="240" w:lineRule="auto"/>
      </w:pPr>
      <w:rPr>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tcBorders>
      </w:tcPr>
    </w:tblStylePr>
    <w:tblStylePr w:type="firstCol">
      <w:rPr>
        <w:b/>
        <w:bCs/>
      </w:rPr>
    </w:tblStylePr>
    <w:tblStylePr w:type="lastCol">
      <w:rPr>
        <w:b/>
        <w:bCs/>
      </w:r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style>
  <w:style w:type="table" w:styleId="LightList-Accent4">
    <w:name w:val="Light List Accent 4"/>
    <w:basedOn w:val="TableNormal"/>
    <w:uiPriority w:val="99"/>
    <w:semiHidden/>
    <w:rsid w:val="0098410D"/>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pPr>
        <w:spacing w:before="0" w:after="0" w:line="240" w:lineRule="auto"/>
      </w:pPr>
      <w:rPr>
        <w:b/>
        <w:bCs/>
        <w:color w:val="0072BC" w:themeColor="background1"/>
      </w:rPr>
      <w:tblPr/>
      <w:tcPr>
        <w:shd w:val="clear" w:color="auto" w:fill="969696" w:themeFill="accent4"/>
      </w:tcPr>
    </w:tblStylePr>
    <w:tblStylePr w:type="lastRow">
      <w:pPr>
        <w:spacing w:before="0" w:after="0" w:line="240" w:lineRule="auto"/>
      </w:pPr>
      <w:rPr>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tcBorders>
      </w:tcPr>
    </w:tblStylePr>
    <w:tblStylePr w:type="firstCol">
      <w:rPr>
        <w:b/>
        <w:bCs/>
      </w:rPr>
    </w:tblStylePr>
    <w:tblStylePr w:type="lastCol">
      <w:rPr>
        <w:b/>
        <w:bCs/>
      </w:r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style>
  <w:style w:type="table" w:styleId="LightList-Accent5">
    <w:name w:val="Light List Accent 5"/>
    <w:basedOn w:val="TableNormal"/>
    <w:uiPriority w:val="99"/>
    <w:semiHidden/>
    <w:rsid w:val="0098410D"/>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pPr>
        <w:spacing w:before="0" w:after="0" w:line="240" w:lineRule="auto"/>
      </w:pPr>
      <w:rPr>
        <w:b/>
        <w:bCs/>
        <w:color w:val="0072BC" w:themeColor="background1"/>
      </w:rPr>
      <w:tblPr/>
      <w:tcPr>
        <w:shd w:val="clear" w:color="auto" w:fill="5F5F5F" w:themeFill="accent5"/>
      </w:tcPr>
    </w:tblStylePr>
    <w:tblStylePr w:type="lastRow">
      <w:pPr>
        <w:spacing w:before="0" w:after="0" w:line="240" w:lineRule="auto"/>
      </w:pPr>
      <w:rPr>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tcBorders>
      </w:tcPr>
    </w:tblStylePr>
    <w:tblStylePr w:type="firstCol">
      <w:rPr>
        <w:b/>
        <w:bCs/>
      </w:rPr>
    </w:tblStylePr>
    <w:tblStylePr w:type="lastCol">
      <w:rPr>
        <w:b/>
        <w:bCs/>
      </w:r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style>
  <w:style w:type="table" w:styleId="LightList-Accent6">
    <w:name w:val="Light List Accent 6"/>
    <w:basedOn w:val="TableNormal"/>
    <w:uiPriority w:val="99"/>
    <w:semiHidden/>
    <w:rsid w:val="0098410D"/>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pPr>
        <w:spacing w:before="0" w:after="0" w:line="240" w:lineRule="auto"/>
      </w:pPr>
      <w:rPr>
        <w:b/>
        <w:bCs/>
        <w:color w:val="0072BC" w:themeColor="background1"/>
      </w:rPr>
      <w:tblPr/>
      <w:tcPr>
        <w:shd w:val="clear" w:color="auto" w:fill="4D4D4D" w:themeFill="accent6"/>
      </w:tcPr>
    </w:tblStylePr>
    <w:tblStylePr w:type="lastRow">
      <w:pPr>
        <w:spacing w:before="0" w:after="0" w:line="240" w:lineRule="auto"/>
      </w:pPr>
      <w:rPr>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tcBorders>
      </w:tcPr>
    </w:tblStylePr>
    <w:tblStylePr w:type="firstCol">
      <w:rPr>
        <w:b/>
        <w:bCs/>
      </w:rPr>
    </w:tblStylePr>
    <w:tblStylePr w:type="lastCol">
      <w:rPr>
        <w:b/>
        <w:bCs/>
      </w:r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style>
  <w:style w:type="table" w:styleId="LightShading">
    <w:name w:val="Light Shading"/>
    <w:basedOn w:val="TableNormal"/>
    <w:uiPriority w:val="99"/>
    <w:semiHidden/>
    <w:rsid w:val="0098410D"/>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99"/>
    <w:semiHidden/>
    <w:rsid w:val="0098410D"/>
    <w:rPr>
      <w:color w:val="00548C" w:themeColor="accent1" w:themeShade="BF"/>
    </w:rPr>
    <w:tblPr>
      <w:tblStyleRowBandSize w:val="1"/>
      <w:tblStyleColBandSize w:val="1"/>
      <w:tblBorders>
        <w:top w:val="single" w:sz="8" w:space="0" w:color="0072BC" w:themeColor="accent1"/>
        <w:bottom w:val="single" w:sz="8" w:space="0" w:color="0072BC" w:themeColor="accent1"/>
      </w:tblBorders>
    </w:tblPr>
    <w:tblStylePr w:type="fir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la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left w:val="nil"/>
          <w:right w:val="nil"/>
          <w:insideH w:val="nil"/>
          <w:insideV w:val="nil"/>
        </w:tcBorders>
        <w:shd w:val="clear" w:color="auto" w:fill="AFDFFF" w:themeFill="accent1" w:themeFillTint="3F"/>
      </w:tcPr>
    </w:tblStylePr>
  </w:style>
  <w:style w:type="table" w:styleId="LightShading-Accent2">
    <w:name w:val="Light Shading Accent 2"/>
    <w:basedOn w:val="TableNormal"/>
    <w:uiPriority w:val="99"/>
    <w:semiHidden/>
    <w:rsid w:val="0098410D"/>
    <w:rPr>
      <w:color w:val="8F0000" w:themeColor="accent2" w:themeShade="BF"/>
    </w:rPr>
    <w:tblPr>
      <w:tblStyleRowBandSize w:val="1"/>
      <w:tblStyleColBandSize w:val="1"/>
      <w:tblBorders>
        <w:top w:val="single" w:sz="8" w:space="0" w:color="C00000" w:themeColor="accent2"/>
        <w:bottom w:val="single" w:sz="8" w:space="0" w:color="C00000" w:themeColor="accent2"/>
      </w:tblBorders>
    </w:tblPr>
    <w:tblStylePr w:type="fir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la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left w:val="nil"/>
          <w:right w:val="nil"/>
          <w:insideH w:val="nil"/>
          <w:insideV w:val="nil"/>
        </w:tcBorders>
        <w:shd w:val="clear" w:color="auto" w:fill="FFB0B0" w:themeFill="accent2" w:themeFillTint="3F"/>
      </w:tcPr>
    </w:tblStylePr>
  </w:style>
  <w:style w:type="table" w:styleId="LightShading-Accent3">
    <w:name w:val="Light Shading Accent 3"/>
    <w:basedOn w:val="TableNormal"/>
    <w:uiPriority w:val="99"/>
    <w:semiHidden/>
    <w:rsid w:val="0098410D"/>
    <w:rPr>
      <w:color w:val="474747" w:themeColor="accent3" w:themeShade="BF"/>
    </w:rPr>
    <w:tblPr>
      <w:tblStyleRowBandSize w:val="1"/>
      <w:tblStyleColBandSize w:val="1"/>
      <w:tblBorders>
        <w:top w:val="single" w:sz="8" w:space="0" w:color="5F5F5F" w:themeColor="accent3"/>
        <w:bottom w:val="single" w:sz="8" w:space="0" w:color="5F5F5F" w:themeColor="accent3"/>
      </w:tblBorders>
    </w:tblPr>
    <w:tblStylePr w:type="fir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la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left w:val="nil"/>
          <w:right w:val="nil"/>
          <w:insideH w:val="nil"/>
          <w:insideV w:val="nil"/>
        </w:tcBorders>
        <w:shd w:val="clear" w:color="auto" w:fill="D7D7D7" w:themeFill="accent3" w:themeFillTint="3F"/>
      </w:tcPr>
    </w:tblStylePr>
  </w:style>
  <w:style w:type="table" w:styleId="LightShading-Accent4">
    <w:name w:val="Light Shading Accent 4"/>
    <w:basedOn w:val="TableNormal"/>
    <w:uiPriority w:val="99"/>
    <w:semiHidden/>
    <w:rsid w:val="0098410D"/>
    <w:rPr>
      <w:color w:val="707070" w:themeColor="accent4" w:themeShade="BF"/>
    </w:rPr>
    <w:tblPr>
      <w:tblStyleRowBandSize w:val="1"/>
      <w:tblStyleColBandSize w:val="1"/>
      <w:tblBorders>
        <w:top w:val="single" w:sz="8" w:space="0" w:color="969696" w:themeColor="accent4"/>
        <w:bottom w:val="single" w:sz="8" w:space="0" w:color="969696" w:themeColor="accent4"/>
      </w:tblBorders>
    </w:tblPr>
    <w:tblStylePr w:type="fir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la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left w:val="nil"/>
          <w:right w:val="nil"/>
          <w:insideH w:val="nil"/>
          <w:insideV w:val="nil"/>
        </w:tcBorders>
        <w:shd w:val="clear" w:color="auto" w:fill="E5E5E5" w:themeFill="accent4" w:themeFillTint="3F"/>
      </w:tcPr>
    </w:tblStylePr>
  </w:style>
  <w:style w:type="table" w:styleId="LightShading-Accent5">
    <w:name w:val="Light Shading Accent 5"/>
    <w:basedOn w:val="TableNormal"/>
    <w:uiPriority w:val="99"/>
    <w:semiHidden/>
    <w:rsid w:val="0098410D"/>
    <w:rPr>
      <w:color w:val="474747" w:themeColor="accent5" w:themeShade="BF"/>
    </w:rPr>
    <w:tblPr>
      <w:tblStyleRowBandSize w:val="1"/>
      <w:tblStyleColBandSize w:val="1"/>
      <w:tblBorders>
        <w:top w:val="single" w:sz="8" w:space="0" w:color="5F5F5F" w:themeColor="accent5"/>
        <w:bottom w:val="single" w:sz="8" w:space="0" w:color="5F5F5F" w:themeColor="accent5"/>
      </w:tblBorders>
    </w:tblPr>
    <w:tblStylePr w:type="fir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la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left w:val="nil"/>
          <w:right w:val="nil"/>
          <w:insideH w:val="nil"/>
          <w:insideV w:val="nil"/>
        </w:tcBorders>
        <w:shd w:val="clear" w:color="auto" w:fill="D7D7D7" w:themeFill="accent5" w:themeFillTint="3F"/>
      </w:tcPr>
    </w:tblStylePr>
  </w:style>
  <w:style w:type="table" w:styleId="LightShading-Accent6">
    <w:name w:val="Light Shading Accent 6"/>
    <w:basedOn w:val="TableNormal"/>
    <w:uiPriority w:val="99"/>
    <w:semiHidden/>
    <w:rsid w:val="0098410D"/>
    <w:rPr>
      <w:color w:val="393939" w:themeColor="accent6" w:themeShade="BF"/>
    </w:rPr>
    <w:tblPr>
      <w:tblStyleRowBandSize w:val="1"/>
      <w:tblStyleColBandSize w:val="1"/>
      <w:tblBorders>
        <w:top w:val="single" w:sz="8" w:space="0" w:color="4D4D4D" w:themeColor="accent6"/>
        <w:bottom w:val="single" w:sz="8" w:space="0" w:color="4D4D4D" w:themeColor="accent6"/>
      </w:tblBorders>
    </w:tblPr>
    <w:tblStylePr w:type="fir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la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left w:val="nil"/>
          <w:right w:val="nil"/>
          <w:insideH w:val="nil"/>
          <w:insideV w:val="nil"/>
        </w:tcBorders>
        <w:shd w:val="clear" w:color="auto" w:fill="D3D3D3" w:themeFill="accent6" w:themeFillTint="3F"/>
      </w:tcPr>
    </w:tblStylePr>
  </w:style>
  <w:style w:type="character" w:styleId="LineNumber">
    <w:name w:val="line number"/>
    <w:basedOn w:val="DefaultParagraphFont"/>
    <w:uiPriority w:val="99"/>
    <w:semiHidden/>
    <w:rsid w:val="0098410D"/>
  </w:style>
  <w:style w:type="paragraph" w:styleId="List">
    <w:name w:val="List"/>
    <w:basedOn w:val="Normal"/>
    <w:uiPriority w:val="99"/>
    <w:semiHidden/>
    <w:rsid w:val="0098410D"/>
    <w:pPr>
      <w:ind w:left="283" w:hanging="283"/>
      <w:contextualSpacing/>
    </w:pPr>
  </w:style>
  <w:style w:type="paragraph" w:styleId="List2">
    <w:name w:val="List 2"/>
    <w:basedOn w:val="Normal"/>
    <w:uiPriority w:val="99"/>
    <w:semiHidden/>
    <w:rsid w:val="0098410D"/>
    <w:pPr>
      <w:ind w:left="566" w:hanging="283"/>
      <w:contextualSpacing/>
    </w:pPr>
  </w:style>
  <w:style w:type="paragraph" w:styleId="List3">
    <w:name w:val="List 3"/>
    <w:basedOn w:val="Normal"/>
    <w:uiPriority w:val="99"/>
    <w:semiHidden/>
    <w:rsid w:val="0098410D"/>
    <w:pPr>
      <w:ind w:left="849" w:hanging="283"/>
      <w:contextualSpacing/>
    </w:pPr>
  </w:style>
  <w:style w:type="paragraph" w:styleId="List4">
    <w:name w:val="List 4"/>
    <w:basedOn w:val="Normal"/>
    <w:uiPriority w:val="99"/>
    <w:semiHidden/>
    <w:rsid w:val="0098410D"/>
    <w:pPr>
      <w:ind w:left="1132" w:hanging="283"/>
      <w:contextualSpacing/>
    </w:pPr>
  </w:style>
  <w:style w:type="paragraph" w:styleId="List5">
    <w:name w:val="List 5"/>
    <w:basedOn w:val="Normal"/>
    <w:uiPriority w:val="99"/>
    <w:semiHidden/>
    <w:rsid w:val="0098410D"/>
    <w:pPr>
      <w:ind w:left="1415" w:hanging="283"/>
      <w:contextualSpacing/>
    </w:pPr>
  </w:style>
  <w:style w:type="paragraph" w:styleId="ListBullet2">
    <w:name w:val="List Bullet 2"/>
    <w:basedOn w:val="Normal"/>
    <w:uiPriority w:val="99"/>
    <w:semiHidden/>
    <w:rsid w:val="0098410D"/>
    <w:pPr>
      <w:numPr>
        <w:numId w:val="13"/>
      </w:numPr>
      <w:contextualSpacing/>
    </w:pPr>
  </w:style>
  <w:style w:type="paragraph" w:styleId="ListBullet4">
    <w:name w:val="List Bullet 4"/>
    <w:basedOn w:val="Normal"/>
    <w:uiPriority w:val="99"/>
    <w:semiHidden/>
    <w:rsid w:val="0098410D"/>
    <w:pPr>
      <w:numPr>
        <w:numId w:val="14"/>
      </w:numPr>
      <w:contextualSpacing/>
    </w:pPr>
  </w:style>
  <w:style w:type="paragraph" w:styleId="ListBullet5">
    <w:name w:val="List Bullet 5"/>
    <w:basedOn w:val="Normal"/>
    <w:uiPriority w:val="99"/>
    <w:semiHidden/>
    <w:rsid w:val="0098410D"/>
    <w:pPr>
      <w:numPr>
        <w:numId w:val="15"/>
      </w:numPr>
      <w:contextualSpacing/>
    </w:pPr>
  </w:style>
  <w:style w:type="paragraph" w:styleId="ListContinue">
    <w:name w:val="List Continue"/>
    <w:basedOn w:val="Normal"/>
    <w:uiPriority w:val="99"/>
    <w:semiHidden/>
    <w:rsid w:val="0098410D"/>
    <w:pPr>
      <w:spacing w:after="120"/>
      <w:ind w:left="283"/>
      <w:contextualSpacing/>
    </w:pPr>
  </w:style>
  <w:style w:type="paragraph" w:styleId="ListContinue2">
    <w:name w:val="List Continue 2"/>
    <w:basedOn w:val="Normal"/>
    <w:uiPriority w:val="99"/>
    <w:semiHidden/>
    <w:rsid w:val="0098410D"/>
    <w:pPr>
      <w:spacing w:after="120"/>
      <w:ind w:left="566"/>
      <w:contextualSpacing/>
    </w:pPr>
  </w:style>
  <w:style w:type="paragraph" w:styleId="ListContinue3">
    <w:name w:val="List Continue 3"/>
    <w:basedOn w:val="Normal"/>
    <w:uiPriority w:val="99"/>
    <w:semiHidden/>
    <w:rsid w:val="0098410D"/>
    <w:pPr>
      <w:spacing w:after="120"/>
      <w:ind w:left="849"/>
      <w:contextualSpacing/>
    </w:pPr>
  </w:style>
  <w:style w:type="paragraph" w:styleId="ListContinue4">
    <w:name w:val="List Continue 4"/>
    <w:basedOn w:val="Normal"/>
    <w:uiPriority w:val="99"/>
    <w:semiHidden/>
    <w:rsid w:val="0098410D"/>
    <w:pPr>
      <w:spacing w:after="120"/>
      <w:ind w:left="1132"/>
      <w:contextualSpacing/>
    </w:pPr>
  </w:style>
  <w:style w:type="paragraph" w:styleId="ListContinue5">
    <w:name w:val="List Continue 5"/>
    <w:basedOn w:val="Normal"/>
    <w:uiPriority w:val="99"/>
    <w:semiHidden/>
    <w:rsid w:val="0098410D"/>
    <w:pPr>
      <w:spacing w:after="120"/>
      <w:ind w:left="1415"/>
      <w:contextualSpacing/>
    </w:pPr>
  </w:style>
  <w:style w:type="paragraph" w:styleId="ListNumber">
    <w:name w:val="List Number"/>
    <w:basedOn w:val="Normal"/>
    <w:uiPriority w:val="99"/>
    <w:semiHidden/>
    <w:rsid w:val="0098410D"/>
    <w:pPr>
      <w:numPr>
        <w:numId w:val="16"/>
      </w:numPr>
      <w:contextualSpacing/>
    </w:pPr>
  </w:style>
  <w:style w:type="paragraph" w:styleId="ListNumber2">
    <w:name w:val="List Number 2"/>
    <w:basedOn w:val="Normal"/>
    <w:uiPriority w:val="99"/>
    <w:semiHidden/>
    <w:rsid w:val="0098410D"/>
    <w:pPr>
      <w:numPr>
        <w:numId w:val="17"/>
      </w:numPr>
      <w:contextualSpacing/>
    </w:pPr>
  </w:style>
  <w:style w:type="paragraph" w:styleId="ListNumber3">
    <w:name w:val="List Number 3"/>
    <w:basedOn w:val="Normal"/>
    <w:uiPriority w:val="99"/>
    <w:semiHidden/>
    <w:rsid w:val="0098410D"/>
    <w:pPr>
      <w:numPr>
        <w:numId w:val="18"/>
      </w:numPr>
      <w:contextualSpacing/>
    </w:pPr>
  </w:style>
  <w:style w:type="paragraph" w:styleId="ListNumber4">
    <w:name w:val="List Number 4"/>
    <w:basedOn w:val="Normal"/>
    <w:uiPriority w:val="99"/>
    <w:semiHidden/>
    <w:rsid w:val="0098410D"/>
    <w:pPr>
      <w:numPr>
        <w:numId w:val="19"/>
      </w:numPr>
      <w:contextualSpacing/>
    </w:pPr>
  </w:style>
  <w:style w:type="paragraph" w:styleId="ListNumber5">
    <w:name w:val="List Number 5"/>
    <w:basedOn w:val="Normal"/>
    <w:uiPriority w:val="99"/>
    <w:semiHidden/>
    <w:rsid w:val="0098410D"/>
    <w:pPr>
      <w:numPr>
        <w:numId w:val="20"/>
      </w:numPr>
      <w:contextualSpacing/>
    </w:pPr>
  </w:style>
  <w:style w:type="paragraph" w:styleId="MacroText">
    <w:name w:val="macro"/>
    <w:link w:val="MacroTextChar"/>
    <w:uiPriority w:val="99"/>
    <w:semiHidden/>
    <w:rsid w:val="0098410D"/>
    <w:pPr>
      <w:tabs>
        <w:tab w:val="left" w:pos="480"/>
        <w:tab w:val="left" w:pos="960"/>
        <w:tab w:val="left" w:pos="1440"/>
        <w:tab w:val="left" w:pos="1920"/>
        <w:tab w:val="left" w:pos="2400"/>
        <w:tab w:val="left" w:pos="2880"/>
        <w:tab w:val="left" w:pos="3360"/>
        <w:tab w:val="left" w:pos="3840"/>
        <w:tab w:val="left" w:pos="4320"/>
      </w:tabs>
      <w:jc w:val="both"/>
    </w:pPr>
    <w:rPr>
      <w:rFonts w:ascii="Consolas" w:eastAsiaTheme="minorEastAsia" w:hAnsi="Consolas" w:cs="Consolas"/>
      <w:sz w:val="20"/>
      <w:szCs w:val="20"/>
    </w:rPr>
  </w:style>
  <w:style w:type="character" w:customStyle="1" w:styleId="MacroTextChar">
    <w:name w:val="Macro Text Char"/>
    <w:basedOn w:val="DefaultParagraphFont"/>
    <w:link w:val="MacroText"/>
    <w:uiPriority w:val="99"/>
    <w:semiHidden/>
    <w:rsid w:val="0098410D"/>
    <w:rPr>
      <w:rFonts w:ascii="Consolas" w:eastAsiaTheme="minorEastAsia" w:hAnsi="Consolas" w:cs="Consolas"/>
      <w:sz w:val="20"/>
      <w:szCs w:val="20"/>
    </w:rPr>
  </w:style>
  <w:style w:type="table" w:styleId="MediumGrid1">
    <w:name w:val="Medium Grid 1"/>
    <w:basedOn w:val="TableNormal"/>
    <w:uiPriority w:val="99"/>
    <w:semiHidden/>
    <w:rsid w:val="0098410D"/>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99"/>
    <w:semiHidden/>
    <w:rsid w:val="0098410D"/>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insideV w:val="single" w:sz="8" w:space="0" w:color="0D9FFF" w:themeColor="accent1" w:themeTint="BF"/>
      </w:tblBorders>
    </w:tblPr>
    <w:tcPr>
      <w:shd w:val="clear" w:color="auto" w:fill="AFDFFF" w:themeFill="accent1" w:themeFillTint="3F"/>
    </w:tcPr>
    <w:tblStylePr w:type="firstRow">
      <w:rPr>
        <w:b/>
        <w:bCs/>
      </w:rPr>
    </w:tblStylePr>
    <w:tblStylePr w:type="lastRow">
      <w:rPr>
        <w:b/>
        <w:bCs/>
      </w:rPr>
      <w:tblPr/>
      <w:tcPr>
        <w:tcBorders>
          <w:top w:val="single" w:sz="18" w:space="0" w:color="0D9FFF" w:themeColor="accent1" w:themeTint="BF"/>
        </w:tcBorders>
      </w:tcPr>
    </w:tblStylePr>
    <w:tblStylePr w:type="firstCol">
      <w:rPr>
        <w:b/>
        <w:bCs/>
      </w:rPr>
    </w:tblStylePr>
    <w:tblStylePr w:type="lastCol">
      <w:rPr>
        <w:b/>
        <w:bCs/>
      </w:r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MediumGrid1-Accent2">
    <w:name w:val="Medium Grid 1 Accent 2"/>
    <w:basedOn w:val="TableNormal"/>
    <w:uiPriority w:val="99"/>
    <w:semiHidden/>
    <w:rsid w:val="0098410D"/>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insideV w:val="single" w:sz="8" w:space="0" w:color="FF1010" w:themeColor="accent2" w:themeTint="BF"/>
      </w:tblBorders>
    </w:tblPr>
    <w:tcPr>
      <w:shd w:val="clear" w:color="auto" w:fill="FFB0B0" w:themeFill="accent2" w:themeFillTint="3F"/>
    </w:tcPr>
    <w:tblStylePr w:type="firstRow">
      <w:rPr>
        <w:b/>
        <w:bCs/>
      </w:rPr>
    </w:tblStylePr>
    <w:tblStylePr w:type="lastRow">
      <w:rPr>
        <w:b/>
        <w:bCs/>
      </w:rPr>
      <w:tblPr/>
      <w:tcPr>
        <w:tcBorders>
          <w:top w:val="single" w:sz="18" w:space="0" w:color="FF1010" w:themeColor="accent2" w:themeTint="BF"/>
        </w:tcBorders>
      </w:tcPr>
    </w:tblStylePr>
    <w:tblStylePr w:type="firstCol">
      <w:rPr>
        <w:b/>
        <w:bCs/>
      </w:rPr>
    </w:tblStylePr>
    <w:tblStylePr w:type="lastCol">
      <w:rPr>
        <w:b/>
        <w:bCs/>
      </w:r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MediumGrid1-Accent3">
    <w:name w:val="Medium Grid 1 Accent 3"/>
    <w:basedOn w:val="TableNormal"/>
    <w:uiPriority w:val="99"/>
    <w:semiHidden/>
    <w:rsid w:val="0098410D"/>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insideV w:val="single" w:sz="8" w:space="0" w:color="878787" w:themeColor="accent3" w:themeTint="BF"/>
      </w:tblBorders>
    </w:tblPr>
    <w:tcPr>
      <w:shd w:val="clear" w:color="auto" w:fill="D7D7D7" w:themeFill="accent3" w:themeFillTint="3F"/>
    </w:tcPr>
    <w:tblStylePr w:type="firstRow">
      <w:rPr>
        <w:b/>
        <w:bCs/>
      </w:rPr>
    </w:tblStylePr>
    <w:tblStylePr w:type="lastRow">
      <w:rPr>
        <w:b/>
        <w:bCs/>
      </w:rPr>
      <w:tblPr/>
      <w:tcPr>
        <w:tcBorders>
          <w:top w:val="single" w:sz="18" w:space="0" w:color="878787" w:themeColor="accent3" w:themeTint="BF"/>
        </w:tcBorders>
      </w:tcPr>
    </w:tblStylePr>
    <w:tblStylePr w:type="firstCol">
      <w:rPr>
        <w:b/>
        <w:bCs/>
      </w:rPr>
    </w:tblStylePr>
    <w:tblStylePr w:type="lastCol">
      <w:rPr>
        <w:b/>
        <w:bCs/>
      </w:r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MediumGrid1-Accent4">
    <w:name w:val="Medium Grid 1 Accent 4"/>
    <w:basedOn w:val="TableNormal"/>
    <w:uiPriority w:val="99"/>
    <w:semiHidden/>
    <w:rsid w:val="0098410D"/>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insideV w:val="single" w:sz="8" w:space="0" w:color="B0B0B0" w:themeColor="accent4" w:themeTint="BF"/>
      </w:tblBorders>
    </w:tblPr>
    <w:tcPr>
      <w:shd w:val="clear" w:color="auto" w:fill="E5E5E5" w:themeFill="accent4" w:themeFillTint="3F"/>
    </w:tcPr>
    <w:tblStylePr w:type="firstRow">
      <w:rPr>
        <w:b/>
        <w:bCs/>
      </w:rPr>
    </w:tblStylePr>
    <w:tblStylePr w:type="lastRow">
      <w:rPr>
        <w:b/>
        <w:bCs/>
      </w:rPr>
      <w:tblPr/>
      <w:tcPr>
        <w:tcBorders>
          <w:top w:val="single" w:sz="18" w:space="0" w:color="B0B0B0" w:themeColor="accent4" w:themeTint="BF"/>
        </w:tcBorders>
      </w:tcPr>
    </w:tblStylePr>
    <w:tblStylePr w:type="firstCol">
      <w:rPr>
        <w:b/>
        <w:bCs/>
      </w:rPr>
    </w:tblStylePr>
    <w:tblStylePr w:type="lastCol">
      <w:rPr>
        <w:b/>
        <w:bCs/>
      </w:r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MediumGrid1-Accent5">
    <w:name w:val="Medium Grid 1 Accent 5"/>
    <w:basedOn w:val="TableNormal"/>
    <w:uiPriority w:val="99"/>
    <w:semiHidden/>
    <w:rsid w:val="0098410D"/>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insideV w:val="single" w:sz="8" w:space="0" w:color="878787" w:themeColor="accent5" w:themeTint="BF"/>
      </w:tblBorders>
    </w:tblPr>
    <w:tcPr>
      <w:shd w:val="clear" w:color="auto" w:fill="D7D7D7" w:themeFill="accent5" w:themeFillTint="3F"/>
    </w:tcPr>
    <w:tblStylePr w:type="firstRow">
      <w:rPr>
        <w:b/>
        <w:bCs/>
      </w:rPr>
    </w:tblStylePr>
    <w:tblStylePr w:type="lastRow">
      <w:rPr>
        <w:b/>
        <w:bCs/>
      </w:rPr>
      <w:tblPr/>
      <w:tcPr>
        <w:tcBorders>
          <w:top w:val="single" w:sz="18" w:space="0" w:color="878787" w:themeColor="accent5" w:themeTint="BF"/>
        </w:tcBorders>
      </w:tcPr>
    </w:tblStylePr>
    <w:tblStylePr w:type="firstCol">
      <w:rPr>
        <w:b/>
        <w:bCs/>
      </w:rPr>
    </w:tblStylePr>
    <w:tblStylePr w:type="lastCol">
      <w:rPr>
        <w:b/>
        <w:bCs/>
      </w:r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MediumGrid1-Accent6">
    <w:name w:val="Medium Grid 1 Accent 6"/>
    <w:basedOn w:val="TableNormal"/>
    <w:uiPriority w:val="99"/>
    <w:semiHidden/>
    <w:rsid w:val="0098410D"/>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insideV w:val="single" w:sz="8" w:space="0" w:color="797979" w:themeColor="accent6" w:themeTint="BF"/>
      </w:tblBorders>
    </w:tblPr>
    <w:tcPr>
      <w:shd w:val="clear" w:color="auto" w:fill="D3D3D3" w:themeFill="accent6" w:themeFillTint="3F"/>
    </w:tcPr>
    <w:tblStylePr w:type="firstRow">
      <w:rPr>
        <w:b/>
        <w:bCs/>
      </w:rPr>
    </w:tblStylePr>
    <w:tblStylePr w:type="lastRow">
      <w:rPr>
        <w:b/>
        <w:bCs/>
      </w:rPr>
      <w:tblPr/>
      <w:tcPr>
        <w:tcBorders>
          <w:top w:val="single" w:sz="18" w:space="0" w:color="797979" w:themeColor="accent6" w:themeTint="BF"/>
        </w:tcBorders>
      </w:tcPr>
    </w:tblStylePr>
    <w:tblStylePr w:type="firstCol">
      <w:rPr>
        <w:b/>
        <w:bCs/>
      </w:rPr>
    </w:tblStylePr>
    <w:tblStylePr w:type="lastCol">
      <w:rPr>
        <w:b/>
        <w:bCs/>
      </w:r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MediumGrid2">
    <w:name w:val="Medium Grid 2"/>
    <w:basedOn w:val="TableNormal"/>
    <w:uiPriority w:val="99"/>
    <w:semiHidden/>
    <w:rsid w:val="0098410D"/>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0072BC" w:themeFill="background1"/>
      </w:tcPr>
    </w:tblStylePr>
  </w:style>
  <w:style w:type="table" w:styleId="MediumGrid2-Accent1">
    <w:name w:val="Medium Grid 2 Accent 1"/>
    <w:basedOn w:val="TableNormal"/>
    <w:uiPriority w:val="99"/>
    <w:semiHidden/>
    <w:rsid w:val="0098410D"/>
    <w:rPr>
      <w:rFonts w:asciiTheme="majorHAnsi" w:eastAsiaTheme="majorEastAsia" w:hAnsiTheme="majorHAnsi" w:cstheme="majorBidi"/>
      <w:color w:val="000000" w:themeColor="text1"/>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cPr>
      <w:shd w:val="clear" w:color="auto" w:fill="AFDFFF" w:themeFill="accent1" w:themeFillTint="3F"/>
    </w:tcPr>
    <w:tblStylePr w:type="firstRow">
      <w:rPr>
        <w:b/>
        <w:bCs/>
        <w:color w:val="000000" w:themeColor="text1"/>
      </w:rPr>
      <w:tblPr/>
      <w:tcPr>
        <w:shd w:val="clear" w:color="auto" w:fill="DFF2FF"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EE5FF" w:themeFill="accent1" w:themeFillTint="33"/>
      </w:tcPr>
    </w:tblStylePr>
    <w:tblStylePr w:type="band1Vert">
      <w:tblPr/>
      <w:tcPr>
        <w:shd w:val="clear" w:color="auto" w:fill="5EBFFF" w:themeFill="accent1" w:themeFillTint="7F"/>
      </w:tcPr>
    </w:tblStylePr>
    <w:tblStylePr w:type="band1Horz">
      <w:tblPr/>
      <w:tcPr>
        <w:tcBorders>
          <w:insideH w:val="single" w:sz="6" w:space="0" w:color="0072BC" w:themeColor="accent1"/>
          <w:insideV w:val="single" w:sz="6" w:space="0" w:color="0072BC" w:themeColor="accent1"/>
        </w:tcBorders>
        <w:shd w:val="clear" w:color="auto" w:fill="5EBFFF" w:themeFill="accent1" w:themeFillTint="7F"/>
      </w:tcPr>
    </w:tblStylePr>
    <w:tblStylePr w:type="nwCell">
      <w:tblPr/>
      <w:tcPr>
        <w:shd w:val="clear" w:color="auto" w:fill="0072BC" w:themeFill="background1"/>
      </w:tcPr>
    </w:tblStylePr>
  </w:style>
  <w:style w:type="table" w:styleId="MediumGrid2-Accent2">
    <w:name w:val="Medium Grid 2 Accent 2"/>
    <w:basedOn w:val="TableNormal"/>
    <w:uiPriority w:val="99"/>
    <w:semiHidden/>
    <w:rsid w:val="0098410D"/>
    <w:rPr>
      <w:rFonts w:asciiTheme="majorHAnsi" w:eastAsiaTheme="majorEastAsia" w:hAnsiTheme="majorHAnsi" w:cstheme="majorBidi"/>
      <w:color w:val="000000" w:themeColor="text1"/>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cPr>
      <w:shd w:val="clear" w:color="auto" w:fill="FFB0B0" w:themeFill="accent2" w:themeFillTint="3F"/>
    </w:tcPr>
    <w:tblStylePr w:type="firstRow">
      <w:rPr>
        <w:b/>
        <w:bCs/>
        <w:color w:val="000000" w:themeColor="text1"/>
      </w:rPr>
      <w:tblPr/>
      <w:tcPr>
        <w:shd w:val="clear" w:color="auto" w:fill="FFDFDF"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BFBF" w:themeFill="accent2" w:themeFillTint="33"/>
      </w:tcPr>
    </w:tblStylePr>
    <w:tblStylePr w:type="band1Vert">
      <w:tblPr/>
      <w:tcPr>
        <w:shd w:val="clear" w:color="auto" w:fill="FF6060" w:themeFill="accent2" w:themeFillTint="7F"/>
      </w:tcPr>
    </w:tblStylePr>
    <w:tblStylePr w:type="band1Horz">
      <w:tblPr/>
      <w:tcPr>
        <w:tcBorders>
          <w:insideH w:val="single" w:sz="6" w:space="0" w:color="C00000" w:themeColor="accent2"/>
          <w:insideV w:val="single" w:sz="6" w:space="0" w:color="C00000" w:themeColor="accent2"/>
        </w:tcBorders>
        <w:shd w:val="clear" w:color="auto" w:fill="FF6060" w:themeFill="accent2" w:themeFillTint="7F"/>
      </w:tcPr>
    </w:tblStylePr>
    <w:tblStylePr w:type="nwCell">
      <w:tblPr/>
      <w:tcPr>
        <w:shd w:val="clear" w:color="auto" w:fill="0072BC" w:themeFill="background1"/>
      </w:tcPr>
    </w:tblStylePr>
  </w:style>
  <w:style w:type="table" w:styleId="MediumGrid2-Accent3">
    <w:name w:val="Medium Grid 2 Accent 3"/>
    <w:basedOn w:val="TableNormal"/>
    <w:uiPriority w:val="99"/>
    <w:semiHidden/>
    <w:rsid w:val="0098410D"/>
    <w:rPr>
      <w:rFonts w:asciiTheme="majorHAnsi" w:eastAsiaTheme="majorEastAsia" w:hAnsiTheme="majorHAnsi" w:cstheme="majorBidi"/>
      <w:color w:val="000000" w:themeColor="text1"/>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cPr>
      <w:shd w:val="clear" w:color="auto" w:fill="D7D7D7" w:themeFill="accent3" w:themeFillTint="3F"/>
    </w:tcPr>
    <w:tblStylePr w:type="firstRow">
      <w:rPr>
        <w:b/>
        <w:bCs/>
        <w:color w:val="000000" w:themeColor="text1"/>
      </w:rPr>
      <w:tblPr/>
      <w:tcPr>
        <w:shd w:val="clear" w:color="auto" w:fill="EFEFEF"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3" w:themeFillTint="33"/>
      </w:tcPr>
    </w:tblStylePr>
    <w:tblStylePr w:type="band1Vert">
      <w:tblPr/>
      <w:tcPr>
        <w:shd w:val="clear" w:color="auto" w:fill="AFAFAF" w:themeFill="accent3" w:themeFillTint="7F"/>
      </w:tcPr>
    </w:tblStylePr>
    <w:tblStylePr w:type="band1Horz">
      <w:tblPr/>
      <w:tcPr>
        <w:tcBorders>
          <w:insideH w:val="single" w:sz="6" w:space="0" w:color="5F5F5F" w:themeColor="accent3"/>
          <w:insideV w:val="single" w:sz="6" w:space="0" w:color="5F5F5F" w:themeColor="accent3"/>
        </w:tcBorders>
        <w:shd w:val="clear" w:color="auto" w:fill="AFAFAF" w:themeFill="accent3" w:themeFillTint="7F"/>
      </w:tcPr>
    </w:tblStylePr>
    <w:tblStylePr w:type="nwCell">
      <w:tblPr/>
      <w:tcPr>
        <w:shd w:val="clear" w:color="auto" w:fill="0072BC" w:themeFill="background1"/>
      </w:tcPr>
    </w:tblStylePr>
  </w:style>
  <w:style w:type="table" w:styleId="MediumGrid2-Accent4">
    <w:name w:val="Medium Grid 2 Accent 4"/>
    <w:basedOn w:val="TableNormal"/>
    <w:uiPriority w:val="99"/>
    <w:semiHidden/>
    <w:rsid w:val="0098410D"/>
    <w:rPr>
      <w:rFonts w:asciiTheme="majorHAnsi" w:eastAsiaTheme="majorEastAsia" w:hAnsiTheme="majorHAnsi" w:cstheme="majorBidi"/>
      <w:color w:val="000000" w:themeColor="text1"/>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cPr>
      <w:shd w:val="clear" w:color="auto" w:fill="E5E5E5" w:themeFill="accent4" w:themeFillTint="3F"/>
    </w:tcPr>
    <w:tblStylePr w:type="firstRow">
      <w:rPr>
        <w:b/>
        <w:bCs/>
        <w:color w:val="000000" w:themeColor="text1"/>
      </w:rPr>
      <w:tblPr/>
      <w:tcPr>
        <w:shd w:val="clear" w:color="auto" w:fill="F4F4F4"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EAEA" w:themeFill="accent4" w:themeFillTint="33"/>
      </w:tcPr>
    </w:tblStylePr>
    <w:tblStylePr w:type="band1Vert">
      <w:tblPr/>
      <w:tcPr>
        <w:shd w:val="clear" w:color="auto" w:fill="CACACA" w:themeFill="accent4" w:themeFillTint="7F"/>
      </w:tcPr>
    </w:tblStylePr>
    <w:tblStylePr w:type="band1Horz">
      <w:tblPr/>
      <w:tcPr>
        <w:tcBorders>
          <w:insideH w:val="single" w:sz="6" w:space="0" w:color="969696" w:themeColor="accent4"/>
          <w:insideV w:val="single" w:sz="6" w:space="0" w:color="969696" w:themeColor="accent4"/>
        </w:tcBorders>
        <w:shd w:val="clear" w:color="auto" w:fill="CACACA" w:themeFill="accent4" w:themeFillTint="7F"/>
      </w:tcPr>
    </w:tblStylePr>
    <w:tblStylePr w:type="nwCell">
      <w:tblPr/>
      <w:tcPr>
        <w:shd w:val="clear" w:color="auto" w:fill="0072BC" w:themeFill="background1"/>
      </w:tcPr>
    </w:tblStylePr>
  </w:style>
  <w:style w:type="table" w:styleId="MediumGrid2-Accent5">
    <w:name w:val="Medium Grid 2 Accent 5"/>
    <w:basedOn w:val="TableNormal"/>
    <w:uiPriority w:val="99"/>
    <w:semiHidden/>
    <w:rsid w:val="0098410D"/>
    <w:rPr>
      <w:rFonts w:asciiTheme="majorHAnsi" w:eastAsiaTheme="majorEastAsia" w:hAnsiTheme="majorHAnsi" w:cstheme="majorBidi"/>
      <w:color w:val="000000" w:themeColor="text1"/>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cPr>
      <w:shd w:val="clear" w:color="auto" w:fill="D7D7D7" w:themeFill="accent5" w:themeFillTint="3F"/>
    </w:tcPr>
    <w:tblStylePr w:type="firstRow">
      <w:rPr>
        <w:b/>
        <w:bCs/>
        <w:color w:val="000000" w:themeColor="text1"/>
      </w:rPr>
      <w:tblPr/>
      <w:tcPr>
        <w:shd w:val="clear" w:color="auto" w:fill="EFEFEF"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5" w:themeFillTint="33"/>
      </w:tcPr>
    </w:tblStylePr>
    <w:tblStylePr w:type="band1Vert">
      <w:tblPr/>
      <w:tcPr>
        <w:shd w:val="clear" w:color="auto" w:fill="AFAFAF" w:themeFill="accent5" w:themeFillTint="7F"/>
      </w:tcPr>
    </w:tblStylePr>
    <w:tblStylePr w:type="band1Horz">
      <w:tblPr/>
      <w:tcPr>
        <w:tcBorders>
          <w:insideH w:val="single" w:sz="6" w:space="0" w:color="5F5F5F" w:themeColor="accent5"/>
          <w:insideV w:val="single" w:sz="6" w:space="0" w:color="5F5F5F" w:themeColor="accent5"/>
        </w:tcBorders>
        <w:shd w:val="clear" w:color="auto" w:fill="AFAFAF" w:themeFill="accent5" w:themeFillTint="7F"/>
      </w:tcPr>
    </w:tblStylePr>
    <w:tblStylePr w:type="nwCell">
      <w:tblPr/>
      <w:tcPr>
        <w:shd w:val="clear" w:color="auto" w:fill="0072BC" w:themeFill="background1"/>
      </w:tcPr>
    </w:tblStylePr>
  </w:style>
  <w:style w:type="table" w:styleId="MediumGrid2-Accent6">
    <w:name w:val="Medium Grid 2 Accent 6"/>
    <w:basedOn w:val="TableNormal"/>
    <w:uiPriority w:val="99"/>
    <w:semiHidden/>
    <w:rsid w:val="0098410D"/>
    <w:rPr>
      <w:rFonts w:asciiTheme="majorHAnsi" w:eastAsiaTheme="majorEastAsia" w:hAnsiTheme="majorHAnsi" w:cstheme="majorBidi"/>
      <w:color w:val="000000" w:themeColor="text1"/>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cPr>
      <w:shd w:val="clear" w:color="auto" w:fill="D3D3D3" w:themeFill="accent6" w:themeFillTint="3F"/>
    </w:tcPr>
    <w:tblStylePr w:type="firstRow">
      <w:rPr>
        <w:b/>
        <w:bCs/>
        <w:color w:val="000000" w:themeColor="text1"/>
      </w:rPr>
      <w:tblPr/>
      <w:tcPr>
        <w:shd w:val="clear" w:color="auto" w:fill="EDEDED"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DBDB" w:themeFill="accent6" w:themeFillTint="33"/>
      </w:tcPr>
    </w:tblStylePr>
    <w:tblStylePr w:type="band1Vert">
      <w:tblPr/>
      <w:tcPr>
        <w:shd w:val="clear" w:color="auto" w:fill="A6A6A6" w:themeFill="accent6" w:themeFillTint="7F"/>
      </w:tcPr>
    </w:tblStylePr>
    <w:tblStylePr w:type="band1Horz">
      <w:tblPr/>
      <w:tcPr>
        <w:tcBorders>
          <w:insideH w:val="single" w:sz="6" w:space="0" w:color="4D4D4D" w:themeColor="accent6"/>
          <w:insideV w:val="single" w:sz="6" w:space="0" w:color="4D4D4D" w:themeColor="accent6"/>
        </w:tcBorders>
        <w:shd w:val="clear" w:color="auto" w:fill="A6A6A6" w:themeFill="accent6" w:themeFillTint="7F"/>
      </w:tcPr>
    </w:tblStylePr>
    <w:tblStylePr w:type="nwCell">
      <w:tblPr/>
      <w:tcPr>
        <w:shd w:val="clear" w:color="auto" w:fill="0072BC" w:themeFill="background1"/>
      </w:tcPr>
    </w:tblStylePr>
  </w:style>
  <w:style w:type="table" w:styleId="MediumGrid3">
    <w:name w:val="Medium Grid 3"/>
    <w:basedOn w:val="TableNormal"/>
    <w:uiPriority w:val="99"/>
    <w:semiHidden/>
    <w:rsid w:val="0098410D"/>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C0C0C0" w:themeFill="tex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0000" w:themeFill="tex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0000" w:themeFill="tex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808080" w:themeFill="tex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808080" w:themeFill="text1" w:themeFillTint="7F"/>
      </w:tcPr>
    </w:tblStylePr>
  </w:style>
  <w:style w:type="table" w:styleId="MediumGrid3-Accent1">
    <w:name w:val="Medium Grid 3 Accent 1"/>
    <w:basedOn w:val="TableNormal"/>
    <w:uiPriority w:val="99"/>
    <w:semiHidden/>
    <w:rsid w:val="0098410D"/>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AFDFFF" w:themeFill="accen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72BC" w:themeFill="accen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72BC" w:themeFill="accen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5EBFFF" w:themeFill="accen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5EBFFF" w:themeFill="accent1" w:themeFillTint="7F"/>
      </w:tcPr>
    </w:tblStylePr>
  </w:style>
  <w:style w:type="table" w:styleId="MediumGrid3-Accent2">
    <w:name w:val="Medium Grid 3 Accent 2"/>
    <w:basedOn w:val="TableNormal"/>
    <w:uiPriority w:val="99"/>
    <w:semiHidden/>
    <w:rsid w:val="0098410D"/>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FFB0B0" w:themeFill="accent2"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C00000" w:themeFill="accent2"/>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C00000" w:themeFill="accent2"/>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FF6060" w:themeFill="accent2"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FF6060" w:themeFill="accent2" w:themeFillTint="7F"/>
      </w:tcPr>
    </w:tblStylePr>
  </w:style>
  <w:style w:type="table" w:styleId="MediumGrid3-Accent3">
    <w:name w:val="Medium Grid 3 Accent 3"/>
    <w:basedOn w:val="TableNormal"/>
    <w:uiPriority w:val="99"/>
    <w:semiHidden/>
    <w:rsid w:val="0098410D"/>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3"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3"/>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3"/>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3"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3" w:themeFillTint="7F"/>
      </w:tcPr>
    </w:tblStylePr>
  </w:style>
  <w:style w:type="table" w:styleId="MediumGrid3-Accent4">
    <w:name w:val="Medium Grid 3 Accent 4"/>
    <w:basedOn w:val="TableNormal"/>
    <w:uiPriority w:val="99"/>
    <w:semiHidden/>
    <w:rsid w:val="0098410D"/>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E5E5E5" w:themeFill="accent4"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969696" w:themeFill="accent4"/>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969696" w:themeFill="accent4"/>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CACACA" w:themeFill="accent4"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CACACA" w:themeFill="accent4" w:themeFillTint="7F"/>
      </w:tcPr>
    </w:tblStylePr>
  </w:style>
  <w:style w:type="table" w:styleId="MediumGrid3-Accent5">
    <w:name w:val="Medium Grid 3 Accent 5"/>
    <w:basedOn w:val="TableNormal"/>
    <w:uiPriority w:val="99"/>
    <w:semiHidden/>
    <w:rsid w:val="0098410D"/>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5"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5"/>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5"/>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5"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5" w:themeFillTint="7F"/>
      </w:tcPr>
    </w:tblStylePr>
  </w:style>
  <w:style w:type="table" w:styleId="MediumGrid3-Accent6">
    <w:name w:val="Medium Grid 3 Accent 6"/>
    <w:basedOn w:val="TableNormal"/>
    <w:uiPriority w:val="99"/>
    <w:semiHidden/>
    <w:rsid w:val="0098410D"/>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3D3D3" w:themeFill="accent6"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4D4D4D" w:themeFill="accent6"/>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4D4D4D" w:themeFill="accent6"/>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6A6A6" w:themeFill="accent6"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6A6A6" w:themeFill="accent6" w:themeFillTint="7F"/>
      </w:tcPr>
    </w:tblStylePr>
  </w:style>
  <w:style w:type="table" w:styleId="MediumList1">
    <w:name w:val="Medium List 1"/>
    <w:basedOn w:val="TableNormal"/>
    <w:uiPriority w:val="99"/>
    <w:semiHidden/>
    <w:rsid w:val="0098410D"/>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C6C6C6"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99"/>
    <w:semiHidden/>
    <w:rsid w:val="0098410D"/>
    <w:rPr>
      <w:color w:val="000000" w:themeColor="text1"/>
    </w:rPr>
    <w:tblPr>
      <w:tblStyleRowBandSize w:val="1"/>
      <w:tblStyleColBandSize w:val="1"/>
      <w:tblBorders>
        <w:top w:val="single" w:sz="8" w:space="0" w:color="0072BC" w:themeColor="accent1"/>
        <w:bottom w:val="single" w:sz="8" w:space="0" w:color="0072BC" w:themeColor="accent1"/>
      </w:tblBorders>
    </w:tblPr>
    <w:tblStylePr w:type="firstRow">
      <w:rPr>
        <w:rFonts w:asciiTheme="majorHAnsi" w:eastAsiaTheme="majorEastAsia" w:hAnsiTheme="majorHAnsi" w:cstheme="majorBidi"/>
      </w:rPr>
      <w:tblPr/>
      <w:tcPr>
        <w:tcBorders>
          <w:top w:val="nil"/>
          <w:bottom w:val="single" w:sz="8" w:space="0" w:color="0072BC" w:themeColor="accent1"/>
        </w:tcBorders>
      </w:tcPr>
    </w:tblStylePr>
    <w:tblStylePr w:type="lastRow">
      <w:rPr>
        <w:b/>
        <w:bCs/>
        <w:color w:val="C6C6C6" w:themeColor="text2"/>
      </w:rPr>
      <w:tblPr/>
      <w:tcPr>
        <w:tcBorders>
          <w:top w:val="single" w:sz="8" w:space="0" w:color="0072BC" w:themeColor="accent1"/>
          <w:bottom w:val="single" w:sz="8" w:space="0" w:color="0072BC" w:themeColor="accent1"/>
        </w:tcBorders>
      </w:tcPr>
    </w:tblStylePr>
    <w:tblStylePr w:type="firstCol">
      <w:rPr>
        <w:b/>
        <w:bCs/>
      </w:rPr>
    </w:tblStylePr>
    <w:tblStylePr w:type="lastCol">
      <w:rPr>
        <w:b/>
        <w:bCs/>
      </w:rPr>
      <w:tblPr/>
      <w:tcPr>
        <w:tcBorders>
          <w:top w:val="single" w:sz="8" w:space="0" w:color="0072BC" w:themeColor="accent1"/>
          <w:bottom w:val="single" w:sz="8" w:space="0" w:color="0072BC" w:themeColor="accent1"/>
        </w:tcBorders>
      </w:tcPr>
    </w:tblStylePr>
    <w:tblStylePr w:type="band1Vert">
      <w:tblPr/>
      <w:tcPr>
        <w:shd w:val="clear" w:color="auto" w:fill="AFDFFF" w:themeFill="accent1" w:themeFillTint="3F"/>
      </w:tcPr>
    </w:tblStylePr>
    <w:tblStylePr w:type="band1Horz">
      <w:tblPr/>
      <w:tcPr>
        <w:shd w:val="clear" w:color="auto" w:fill="AFDFFF" w:themeFill="accent1" w:themeFillTint="3F"/>
      </w:tcPr>
    </w:tblStylePr>
  </w:style>
  <w:style w:type="table" w:styleId="MediumList1-Accent2">
    <w:name w:val="Medium List 1 Accent 2"/>
    <w:basedOn w:val="TableNormal"/>
    <w:uiPriority w:val="99"/>
    <w:semiHidden/>
    <w:rsid w:val="0098410D"/>
    <w:rPr>
      <w:color w:val="000000" w:themeColor="text1"/>
    </w:rPr>
    <w:tblPr>
      <w:tblStyleRowBandSize w:val="1"/>
      <w:tblStyleColBandSize w:val="1"/>
      <w:tblBorders>
        <w:top w:val="single" w:sz="8" w:space="0" w:color="C00000" w:themeColor="accent2"/>
        <w:bottom w:val="single" w:sz="8" w:space="0" w:color="C00000" w:themeColor="accent2"/>
      </w:tblBorders>
    </w:tblPr>
    <w:tblStylePr w:type="firstRow">
      <w:rPr>
        <w:rFonts w:asciiTheme="majorHAnsi" w:eastAsiaTheme="majorEastAsia" w:hAnsiTheme="majorHAnsi" w:cstheme="majorBidi"/>
      </w:rPr>
      <w:tblPr/>
      <w:tcPr>
        <w:tcBorders>
          <w:top w:val="nil"/>
          <w:bottom w:val="single" w:sz="8" w:space="0" w:color="C00000" w:themeColor="accent2"/>
        </w:tcBorders>
      </w:tcPr>
    </w:tblStylePr>
    <w:tblStylePr w:type="lastRow">
      <w:rPr>
        <w:b/>
        <w:bCs/>
        <w:color w:val="C6C6C6" w:themeColor="text2"/>
      </w:rPr>
      <w:tblPr/>
      <w:tcPr>
        <w:tcBorders>
          <w:top w:val="single" w:sz="8" w:space="0" w:color="C00000" w:themeColor="accent2"/>
          <w:bottom w:val="single" w:sz="8" w:space="0" w:color="C00000" w:themeColor="accent2"/>
        </w:tcBorders>
      </w:tcPr>
    </w:tblStylePr>
    <w:tblStylePr w:type="firstCol">
      <w:rPr>
        <w:b/>
        <w:bCs/>
      </w:rPr>
    </w:tblStylePr>
    <w:tblStylePr w:type="lastCol">
      <w:rPr>
        <w:b/>
        <w:bCs/>
      </w:rPr>
      <w:tblPr/>
      <w:tcPr>
        <w:tcBorders>
          <w:top w:val="single" w:sz="8" w:space="0" w:color="C00000" w:themeColor="accent2"/>
          <w:bottom w:val="single" w:sz="8" w:space="0" w:color="C00000" w:themeColor="accent2"/>
        </w:tcBorders>
      </w:tcPr>
    </w:tblStylePr>
    <w:tblStylePr w:type="band1Vert">
      <w:tblPr/>
      <w:tcPr>
        <w:shd w:val="clear" w:color="auto" w:fill="FFB0B0" w:themeFill="accent2" w:themeFillTint="3F"/>
      </w:tcPr>
    </w:tblStylePr>
    <w:tblStylePr w:type="band1Horz">
      <w:tblPr/>
      <w:tcPr>
        <w:shd w:val="clear" w:color="auto" w:fill="FFB0B0" w:themeFill="accent2" w:themeFillTint="3F"/>
      </w:tcPr>
    </w:tblStylePr>
  </w:style>
  <w:style w:type="table" w:styleId="MediumList1-Accent3">
    <w:name w:val="Medium List 1 Accent 3"/>
    <w:basedOn w:val="TableNormal"/>
    <w:uiPriority w:val="99"/>
    <w:semiHidden/>
    <w:rsid w:val="0098410D"/>
    <w:rPr>
      <w:color w:val="000000" w:themeColor="text1"/>
    </w:rPr>
    <w:tblPr>
      <w:tblStyleRowBandSize w:val="1"/>
      <w:tblStyleColBandSize w:val="1"/>
      <w:tblBorders>
        <w:top w:val="single" w:sz="8" w:space="0" w:color="5F5F5F" w:themeColor="accent3"/>
        <w:bottom w:val="single" w:sz="8" w:space="0" w:color="5F5F5F" w:themeColor="accent3"/>
      </w:tblBorders>
    </w:tblPr>
    <w:tblStylePr w:type="firstRow">
      <w:rPr>
        <w:rFonts w:asciiTheme="majorHAnsi" w:eastAsiaTheme="majorEastAsia" w:hAnsiTheme="majorHAnsi" w:cstheme="majorBidi"/>
      </w:rPr>
      <w:tblPr/>
      <w:tcPr>
        <w:tcBorders>
          <w:top w:val="nil"/>
          <w:bottom w:val="single" w:sz="8" w:space="0" w:color="5F5F5F" w:themeColor="accent3"/>
        </w:tcBorders>
      </w:tcPr>
    </w:tblStylePr>
    <w:tblStylePr w:type="lastRow">
      <w:rPr>
        <w:b/>
        <w:bCs/>
        <w:color w:val="C6C6C6" w:themeColor="text2"/>
      </w:rPr>
      <w:tblPr/>
      <w:tcPr>
        <w:tcBorders>
          <w:top w:val="single" w:sz="8" w:space="0" w:color="5F5F5F" w:themeColor="accent3"/>
          <w:bottom w:val="single" w:sz="8" w:space="0" w:color="5F5F5F" w:themeColor="accent3"/>
        </w:tcBorders>
      </w:tcPr>
    </w:tblStylePr>
    <w:tblStylePr w:type="firstCol">
      <w:rPr>
        <w:b/>
        <w:bCs/>
      </w:rPr>
    </w:tblStylePr>
    <w:tblStylePr w:type="lastCol">
      <w:rPr>
        <w:b/>
        <w:bCs/>
      </w:rPr>
      <w:tblPr/>
      <w:tcPr>
        <w:tcBorders>
          <w:top w:val="single" w:sz="8" w:space="0" w:color="5F5F5F" w:themeColor="accent3"/>
          <w:bottom w:val="single" w:sz="8" w:space="0" w:color="5F5F5F" w:themeColor="accent3"/>
        </w:tcBorders>
      </w:tcPr>
    </w:tblStylePr>
    <w:tblStylePr w:type="band1Vert">
      <w:tblPr/>
      <w:tcPr>
        <w:shd w:val="clear" w:color="auto" w:fill="D7D7D7" w:themeFill="accent3" w:themeFillTint="3F"/>
      </w:tcPr>
    </w:tblStylePr>
    <w:tblStylePr w:type="band1Horz">
      <w:tblPr/>
      <w:tcPr>
        <w:shd w:val="clear" w:color="auto" w:fill="D7D7D7" w:themeFill="accent3" w:themeFillTint="3F"/>
      </w:tcPr>
    </w:tblStylePr>
  </w:style>
  <w:style w:type="table" w:styleId="MediumList1-Accent4">
    <w:name w:val="Medium List 1 Accent 4"/>
    <w:basedOn w:val="TableNormal"/>
    <w:uiPriority w:val="99"/>
    <w:semiHidden/>
    <w:rsid w:val="0098410D"/>
    <w:rPr>
      <w:color w:val="000000" w:themeColor="text1"/>
    </w:rPr>
    <w:tblPr>
      <w:tblStyleRowBandSize w:val="1"/>
      <w:tblStyleColBandSize w:val="1"/>
      <w:tblBorders>
        <w:top w:val="single" w:sz="8" w:space="0" w:color="969696" w:themeColor="accent4"/>
        <w:bottom w:val="single" w:sz="8" w:space="0" w:color="969696" w:themeColor="accent4"/>
      </w:tblBorders>
    </w:tblPr>
    <w:tblStylePr w:type="firstRow">
      <w:rPr>
        <w:rFonts w:asciiTheme="majorHAnsi" w:eastAsiaTheme="majorEastAsia" w:hAnsiTheme="majorHAnsi" w:cstheme="majorBidi"/>
      </w:rPr>
      <w:tblPr/>
      <w:tcPr>
        <w:tcBorders>
          <w:top w:val="nil"/>
          <w:bottom w:val="single" w:sz="8" w:space="0" w:color="969696" w:themeColor="accent4"/>
        </w:tcBorders>
      </w:tcPr>
    </w:tblStylePr>
    <w:tblStylePr w:type="lastRow">
      <w:rPr>
        <w:b/>
        <w:bCs/>
        <w:color w:val="C6C6C6" w:themeColor="text2"/>
      </w:rPr>
      <w:tblPr/>
      <w:tcPr>
        <w:tcBorders>
          <w:top w:val="single" w:sz="8" w:space="0" w:color="969696" w:themeColor="accent4"/>
          <w:bottom w:val="single" w:sz="8" w:space="0" w:color="969696" w:themeColor="accent4"/>
        </w:tcBorders>
      </w:tcPr>
    </w:tblStylePr>
    <w:tblStylePr w:type="firstCol">
      <w:rPr>
        <w:b/>
        <w:bCs/>
      </w:rPr>
    </w:tblStylePr>
    <w:tblStylePr w:type="lastCol">
      <w:rPr>
        <w:b/>
        <w:bCs/>
      </w:rPr>
      <w:tblPr/>
      <w:tcPr>
        <w:tcBorders>
          <w:top w:val="single" w:sz="8" w:space="0" w:color="969696" w:themeColor="accent4"/>
          <w:bottom w:val="single" w:sz="8" w:space="0" w:color="969696" w:themeColor="accent4"/>
        </w:tcBorders>
      </w:tcPr>
    </w:tblStylePr>
    <w:tblStylePr w:type="band1Vert">
      <w:tblPr/>
      <w:tcPr>
        <w:shd w:val="clear" w:color="auto" w:fill="E5E5E5" w:themeFill="accent4" w:themeFillTint="3F"/>
      </w:tcPr>
    </w:tblStylePr>
    <w:tblStylePr w:type="band1Horz">
      <w:tblPr/>
      <w:tcPr>
        <w:shd w:val="clear" w:color="auto" w:fill="E5E5E5" w:themeFill="accent4" w:themeFillTint="3F"/>
      </w:tcPr>
    </w:tblStylePr>
  </w:style>
  <w:style w:type="table" w:styleId="MediumList1-Accent5">
    <w:name w:val="Medium List 1 Accent 5"/>
    <w:basedOn w:val="TableNormal"/>
    <w:uiPriority w:val="99"/>
    <w:semiHidden/>
    <w:rsid w:val="0098410D"/>
    <w:rPr>
      <w:color w:val="000000" w:themeColor="text1"/>
    </w:rPr>
    <w:tblPr>
      <w:tblStyleRowBandSize w:val="1"/>
      <w:tblStyleColBandSize w:val="1"/>
      <w:tblBorders>
        <w:top w:val="single" w:sz="8" w:space="0" w:color="5F5F5F" w:themeColor="accent5"/>
        <w:bottom w:val="single" w:sz="8" w:space="0" w:color="5F5F5F" w:themeColor="accent5"/>
      </w:tblBorders>
    </w:tblPr>
    <w:tblStylePr w:type="firstRow">
      <w:rPr>
        <w:rFonts w:asciiTheme="majorHAnsi" w:eastAsiaTheme="majorEastAsia" w:hAnsiTheme="majorHAnsi" w:cstheme="majorBidi"/>
      </w:rPr>
      <w:tblPr/>
      <w:tcPr>
        <w:tcBorders>
          <w:top w:val="nil"/>
          <w:bottom w:val="single" w:sz="8" w:space="0" w:color="5F5F5F" w:themeColor="accent5"/>
        </w:tcBorders>
      </w:tcPr>
    </w:tblStylePr>
    <w:tblStylePr w:type="lastRow">
      <w:rPr>
        <w:b/>
        <w:bCs/>
        <w:color w:val="C6C6C6" w:themeColor="text2"/>
      </w:rPr>
      <w:tblPr/>
      <w:tcPr>
        <w:tcBorders>
          <w:top w:val="single" w:sz="8" w:space="0" w:color="5F5F5F" w:themeColor="accent5"/>
          <w:bottom w:val="single" w:sz="8" w:space="0" w:color="5F5F5F" w:themeColor="accent5"/>
        </w:tcBorders>
      </w:tcPr>
    </w:tblStylePr>
    <w:tblStylePr w:type="firstCol">
      <w:rPr>
        <w:b/>
        <w:bCs/>
      </w:rPr>
    </w:tblStylePr>
    <w:tblStylePr w:type="lastCol">
      <w:rPr>
        <w:b/>
        <w:bCs/>
      </w:rPr>
      <w:tblPr/>
      <w:tcPr>
        <w:tcBorders>
          <w:top w:val="single" w:sz="8" w:space="0" w:color="5F5F5F" w:themeColor="accent5"/>
          <w:bottom w:val="single" w:sz="8" w:space="0" w:color="5F5F5F" w:themeColor="accent5"/>
        </w:tcBorders>
      </w:tcPr>
    </w:tblStylePr>
    <w:tblStylePr w:type="band1Vert">
      <w:tblPr/>
      <w:tcPr>
        <w:shd w:val="clear" w:color="auto" w:fill="D7D7D7" w:themeFill="accent5" w:themeFillTint="3F"/>
      </w:tcPr>
    </w:tblStylePr>
    <w:tblStylePr w:type="band1Horz">
      <w:tblPr/>
      <w:tcPr>
        <w:shd w:val="clear" w:color="auto" w:fill="D7D7D7" w:themeFill="accent5" w:themeFillTint="3F"/>
      </w:tcPr>
    </w:tblStylePr>
  </w:style>
  <w:style w:type="table" w:styleId="MediumList1-Accent6">
    <w:name w:val="Medium List 1 Accent 6"/>
    <w:basedOn w:val="TableNormal"/>
    <w:uiPriority w:val="99"/>
    <w:semiHidden/>
    <w:rsid w:val="0098410D"/>
    <w:rPr>
      <w:color w:val="000000" w:themeColor="text1"/>
    </w:rPr>
    <w:tblPr>
      <w:tblStyleRowBandSize w:val="1"/>
      <w:tblStyleColBandSize w:val="1"/>
      <w:tblBorders>
        <w:top w:val="single" w:sz="8" w:space="0" w:color="4D4D4D" w:themeColor="accent6"/>
        <w:bottom w:val="single" w:sz="8" w:space="0" w:color="4D4D4D" w:themeColor="accent6"/>
      </w:tblBorders>
    </w:tblPr>
    <w:tblStylePr w:type="firstRow">
      <w:rPr>
        <w:rFonts w:asciiTheme="majorHAnsi" w:eastAsiaTheme="majorEastAsia" w:hAnsiTheme="majorHAnsi" w:cstheme="majorBidi"/>
      </w:rPr>
      <w:tblPr/>
      <w:tcPr>
        <w:tcBorders>
          <w:top w:val="nil"/>
          <w:bottom w:val="single" w:sz="8" w:space="0" w:color="4D4D4D" w:themeColor="accent6"/>
        </w:tcBorders>
      </w:tcPr>
    </w:tblStylePr>
    <w:tblStylePr w:type="lastRow">
      <w:rPr>
        <w:b/>
        <w:bCs/>
        <w:color w:val="C6C6C6" w:themeColor="text2"/>
      </w:rPr>
      <w:tblPr/>
      <w:tcPr>
        <w:tcBorders>
          <w:top w:val="single" w:sz="8" w:space="0" w:color="4D4D4D" w:themeColor="accent6"/>
          <w:bottom w:val="single" w:sz="8" w:space="0" w:color="4D4D4D" w:themeColor="accent6"/>
        </w:tcBorders>
      </w:tcPr>
    </w:tblStylePr>
    <w:tblStylePr w:type="firstCol">
      <w:rPr>
        <w:b/>
        <w:bCs/>
      </w:rPr>
    </w:tblStylePr>
    <w:tblStylePr w:type="lastCol">
      <w:rPr>
        <w:b/>
        <w:bCs/>
      </w:rPr>
      <w:tblPr/>
      <w:tcPr>
        <w:tcBorders>
          <w:top w:val="single" w:sz="8" w:space="0" w:color="4D4D4D" w:themeColor="accent6"/>
          <w:bottom w:val="single" w:sz="8" w:space="0" w:color="4D4D4D" w:themeColor="accent6"/>
        </w:tcBorders>
      </w:tcPr>
    </w:tblStylePr>
    <w:tblStylePr w:type="band1Vert">
      <w:tblPr/>
      <w:tcPr>
        <w:shd w:val="clear" w:color="auto" w:fill="D3D3D3" w:themeFill="accent6" w:themeFillTint="3F"/>
      </w:tcPr>
    </w:tblStylePr>
    <w:tblStylePr w:type="band1Horz">
      <w:tblPr/>
      <w:tcPr>
        <w:shd w:val="clear" w:color="auto" w:fill="D3D3D3" w:themeFill="accent6" w:themeFillTint="3F"/>
      </w:tcPr>
    </w:tblStylePr>
  </w:style>
  <w:style w:type="table" w:styleId="MediumList2">
    <w:name w:val="Medium List 2"/>
    <w:basedOn w:val="TableNormal"/>
    <w:uiPriority w:val="99"/>
    <w:semiHidden/>
    <w:rsid w:val="0098410D"/>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0072BC" w:themeFill="background1"/>
      </w:tcPr>
    </w:tblStylePr>
    <w:tblStylePr w:type="lastRow">
      <w:tblPr/>
      <w:tcPr>
        <w:tcBorders>
          <w:top w:val="single" w:sz="8" w:space="0" w:color="000000" w:themeColor="tex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0000" w:themeColor="text1"/>
          <w:insideH w:val="nil"/>
          <w:insideV w:val="nil"/>
        </w:tcBorders>
        <w:shd w:val="clear" w:color="auto" w:fill="0072BC" w:themeFill="background1"/>
      </w:tcPr>
    </w:tblStylePr>
    <w:tblStylePr w:type="lastCol">
      <w:tblPr/>
      <w:tcPr>
        <w:tcBorders>
          <w:top w:val="nil"/>
          <w:left w:val="single" w:sz="8" w:space="0" w:color="000000" w:themeColor="tex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1">
    <w:name w:val="Medium List 2 Accent 1"/>
    <w:basedOn w:val="TableNormal"/>
    <w:uiPriority w:val="99"/>
    <w:semiHidden/>
    <w:rsid w:val="0098410D"/>
    <w:rPr>
      <w:rFonts w:asciiTheme="majorHAnsi" w:eastAsiaTheme="majorEastAsia" w:hAnsiTheme="majorHAnsi" w:cstheme="majorBidi"/>
      <w:color w:val="000000" w:themeColor="text1"/>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rPr>
        <w:sz w:val="24"/>
        <w:szCs w:val="24"/>
      </w:rPr>
      <w:tblPr/>
      <w:tcPr>
        <w:tcBorders>
          <w:top w:val="nil"/>
          <w:left w:val="nil"/>
          <w:bottom w:val="single" w:sz="24" w:space="0" w:color="0072BC" w:themeColor="accent1"/>
          <w:right w:val="nil"/>
          <w:insideH w:val="nil"/>
          <w:insideV w:val="nil"/>
        </w:tcBorders>
        <w:shd w:val="clear" w:color="auto" w:fill="0072BC" w:themeFill="background1"/>
      </w:tcPr>
    </w:tblStylePr>
    <w:tblStylePr w:type="lastRow">
      <w:tblPr/>
      <w:tcPr>
        <w:tcBorders>
          <w:top w:val="single" w:sz="8" w:space="0" w:color="0072BC" w:themeColor="accen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72BC" w:themeColor="accent1"/>
          <w:insideH w:val="nil"/>
          <w:insideV w:val="nil"/>
        </w:tcBorders>
        <w:shd w:val="clear" w:color="auto" w:fill="0072BC" w:themeFill="background1"/>
      </w:tcPr>
    </w:tblStylePr>
    <w:tblStylePr w:type="lastCol">
      <w:tblPr/>
      <w:tcPr>
        <w:tcBorders>
          <w:top w:val="nil"/>
          <w:left w:val="single" w:sz="8" w:space="0" w:color="0072BC" w:themeColor="accen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top w:val="nil"/>
          <w:bottom w:val="nil"/>
          <w:insideH w:val="nil"/>
          <w:insideV w:val="nil"/>
        </w:tcBorders>
        <w:shd w:val="clear" w:color="auto" w:fill="AFDFFF" w:themeFill="accent1"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2">
    <w:name w:val="Medium List 2 Accent 2"/>
    <w:basedOn w:val="TableNormal"/>
    <w:uiPriority w:val="99"/>
    <w:semiHidden/>
    <w:rsid w:val="0098410D"/>
    <w:rPr>
      <w:rFonts w:asciiTheme="majorHAnsi" w:eastAsiaTheme="majorEastAsia" w:hAnsiTheme="majorHAnsi" w:cstheme="majorBidi"/>
      <w:color w:val="000000" w:themeColor="text1"/>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rPr>
        <w:sz w:val="24"/>
        <w:szCs w:val="24"/>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tblPr/>
      <w:tcPr>
        <w:tcBorders>
          <w:top w:val="single" w:sz="8" w:space="0" w:color="C00000" w:themeColor="accent2"/>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C00000" w:themeColor="accent2"/>
          <w:insideH w:val="nil"/>
          <w:insideV w:val="nil"/>
        </w:tcBorders>
        <w:shd w:val="clear" w:color="auto" w:fill="0072BC" w:themeFill="background1"/>
      </w:tcPr>
    </w:tblStylePr>
    <w:tblStylePr w:type="lastCol">
      <w:tblPr/>
      <w:tcPr>
        <w:tcBorders>
          <w:top w:val="nil"/>
          <w:left w:val="single" w:sz="8" w:space="0" w:color="C00000" w:themeColor="accent2"/>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top w:val="nil"/>
          <w:bottom w:val="nil"/>
          <w:insideH w:val="nil"/>
          <w:insideV w:val="nil"/>
        </w:tcBorders>
        <w:shd w:val="clear" w:color="auto" w:fill="FFB0B0" w:themeFill="accent2"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3">
    <w:name w:val="Medium List 2 Accent 3"/>
    <w:basedOn w:val="TableNormal"/>
    <w:uiPriority w:val="99"/>
    <w:semiHidden/>
    <w:rsid w:val="0098410D"/>
    <w:rPr>
      <w:rFonts w:asciiTheme="majorHAnsi" w:eastAsiaTheme="majorEastAsia" w:hAnsiTheme="majorHAnsi" w:cstheme="majorBidi"/>
      <w:color w:val="000000" w:themeColor="text1"/>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rPr>
        <w:sz w:val="24"/>
        <w:szCs w:val="24"/>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tblPr/>
      <w:tcPr>
        <w:tcBorders>
          <w:top w:val="single" w:sz="8" w:space="0" w:color="5F5F5F" w:themeColor="accent3"/>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3"/>
          <w:insideH w:val="nil"/>
          <w:insideV w:val="nil"/>
        </w:tcBorders>
        <w:shd w:val="clear" w:color="auto" w:fill="0072BC" w:themeFill="background1"/>
      </w:tcPr>
    </w:tblStylePr>
    <w:tblStylePr w:type="lastCol">
      <w:tblPr/>
      <w:tcPr>
        <w:tcBorders>
          <w:top w:val="nil"/>
          <w:left w:val="single" w:sz="8" w:space="0" w:color="5F5F5F" w:themeColor="accent3"/>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top w:val="nil"/>
          <w:bottom w:val="nil"/>
          <w:insideH w:val="nil"/>
          <w:insideV w:val="nil"/>
        </w:tcBorders>
        <w:shd w:val="clear" w:color="auto" w:fill="D7D7D7" w:themeFill="accent3"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4">
    <w:name w:val="Medium List 2 Accent 4"/>
    <w:basedOn w:val="TableNormal"/>
    <w:uiPriority w:val="99"/>
    <w:semiHidden/>
    <w:rsid w:val="0098410D"/>
    <w:rPr>
      <w:rFonts w:asciiTheme="majorHAnsi" w:eastAsiaTheme="majorEastAsia" w:hAnsiTheme="majorHAnsi" w:cstheme="majorBidi"/>
      <w:color w:val="000000" w:themeColor="text1"/>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rPr>
        <w:sz w:val="24"/>
        <w:szCs w:val="24"/>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tblPr/>
      <w:tcPr>
        <w:tcBorders>
          <w:top w:val="single" w:sz="8" w:space="0" w:color="969696" w:themeColor="accent4"/>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969696" w:themeColor="accent4"/>
          <w:insideH w:val="nil"/>
          <w:insideV w:val="nil"/>
        </w:tcBorders>
        <w:shd w:val="clear" w:color="auto" w:fill="0072BC" w:themeFill="background1"/>
      </w:tcPr>
    </w:tblStylePr>
    <w:tblStylePr w:type="lastCol">
      <w:tblPr/>
      <w:tcPr>
        <w:tcBorders>
          <w:top w:val="nil"/>
          <w:left w:val="single" w:sz="8" w:space="0" w:color="969696" w:themeColor="accent4"/>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top w:val="nil"/>
          <w:bottom w:val="nil"/>
          <w:insideH w:val="nil"/>
          <w:insideV w:val="nil"/>
        </w:tcBorders>
        <w:shd w:val="clear" w:color="auto" w:fill="E5E5E5" w:themeFill="accent4"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5">
    <w:name w:val="Medium List 2 Accent 5"/>
    <w:basedOn w:val="TableNormal"/>
    <w:uiPriority w:val="99"/>
    <w:semiHidden/>
    <w:rsid w:val="0098410D"/>
    <w:rPr>
      <w:rFonts w:asciiTheme="majorHAnsi" w:eastAsiaTheme="majorEastAsia" w:hAnsiTheme="majorHAnsi" w:cstheme="majorBidi"/>
      <w:color w:val="000000" w:themeColor="text1"/>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rPr>
        <w:sz w:val="24"/>
        <w:szCs w:val="24"/>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tblPr/>
      <w:tcPr>
        <w:tcBorders>
          <w:top w:val="single" w:sz="8" w:space="0" w:color="5F5F5F" w:themeColor="accent5"/>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5"/>
          <w:insideH w:val="nil"/>
          <w:insideV w:val="nil"/>
        </w:tcBorders>
        <w:shd w:val="clear" w:color="auto" w:fill="0072BC" w:themeFill="background1"/>
      </w:tcPr>
    </w:tblStylePr>
    <w:tblStylePr w:type="lastCol">
      <w:tblPr/>
      <w:tcPr>
        <w:tcBorders>
          <w:top w:val="nil"/>
          <w:left w:val="single" w:sz="8" w:space="0" w:color="5F5F5F" w:themeColor="accent5"/>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top w:val="nil"/>
          <w:bottom w:val="nil"/>
          <w:insideH w:val="nil"/>
          <w:insideV w:val="nil"/>
        </w:tcBorders>
        <w:shd w:val="clear" w:color="auto" w:fill="D7D7D7" w:themeFill="accent5"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6">
    <w:name w:val="Medium List 2 Accent 6"/>
    <w:basedOn w:val="TableNormal"/>
    <w:uiPriority w:val="99"/>
    <w:semiHidden/>
    <w:rsid w:val="0098410D"/>
    <w:rPr>
      <w:rFonts w:asciiTheme="majorHAnsi" w:eastAsiaTheme="majorEastAsia" w:hAnsiTheme="majorHAnsi" w:cstheme="majorBidi"/>
      <w:color w:val="000000" w:themeColor="text1"/>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rPr>
        <w:sz w:val="24"/>
        <w:szCs w:val="24"/>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tblPr/>
      <w:tcPr>
        <w:tcBorders>
          <w:top w:val="single" w:sz="8" w:space="0" w:color="4D4D4D" w:themeColor="accent6"/>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4D4D4D" w:themeColor="accent6"/>
          <w:insideH w:val="nil"/>
          <w:insideV w:val="nil"/>
        </w:tcBorders>
        <w:shd w:val="clear" w:color="auto" w:fill="0072BC" w:themeFill="background1"/>
      </w:tcPr>
    </w:tblStylePr>
    <w:tblStylePr w:type="lastCol">
      <w:tblPr/>
      <w:tcPr>
        <w:tcBorders>
          <w:top w:val="nil"/>
          <w:left w:val="single" w:sz="8" w:space="0" w:color="4D4D4D" w:themeColor="accent6"/>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top w:val="nil"/>
          <w:bottom w:val="nil"/>
          <w:insideH w:val="nil"/>
          <w:insideV w:val="nil"/>
        </w:tcBorders>
        <w:shd w:val="clear" w:color="auto" w:fill="D3D3D3" w:themeFill="accent6"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Shading1">
    <w:name w:val="Medium Shading 1"/>
    <w:basedOn w:val="TableNormal"/>
    <w:uiPriority w:val="99"/>
    <w:semiHidden/>
    <w:rsid w:val="0098410D"/>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0072BC"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99"/>
    <w:semiHidden/>
    <w:rsid w:val="0098410D"/>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tblBorders>
    </w:tblPr>
    <w:tblStylePr w:type="firstRow">
      <w:pPr>
        <w:spacing w:before="0" w:after="0" w:line="240" w:lineRule="auto"/>
      </w:pPr>
      <w:rPr>
        <w:b/>
        <w:bCs/>
        <w:color w:val="0072BC" w:themeColor="background1"/>
      </w:rPr>
      <w:tblPr/>
      <w:tcPr>
        <w:tc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shd w:val="clear" w:color="auto" w:fill="0072BC" w:themeFill="accent1"/>
      </w:tcPr>
    </w:tblStylePr>
    <w:tblStylePr w:type="lastRow">
      <w:pPr>
        <w:spacing w:before="0" w:after="0" w:line="240" w:lineRule="auto"/>
      </w:pPr>
      <w:rPr>
        <w:b/>
        <w:bCs/>
      </w:rPr>
      <w:tblPr/>
      <w:tcPr>
        <w:tcBorders>
          <w:top w:val="double" w:sz="6"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tcPr>
    </w:tblStylePr>
    <w:tblStylePr w:type="firstCol">
      <w:rPr>
        <w:b/>
        <w:bCs/>
      </w:rPr>
    </w:tblStylePr>
    <w:tblStylePr w:type="lastCol">
      <w:rPr>
        <w:b/>
        <w:bCs/>
      </w:rPr>
    </w:tblStylePr>
    <w:tblStylePr w:type="band1Vert">
      <w:tblPr/>
      <w:tcPr>
        <w:shd w:val="clear" w:color="auto" w:fill="AFDFFF" w:themeFill="accent1" w:themeFillTint="3F"/>
      </w:tcPr>
    </w:tblStylePr>
    <w:tblStylePr w:type="band1Horz">
      <w:tblPr/>
      <w:tcPr>
        <w:tcBorders>
          <w:insideH w:val="nil"/>
          <w:insideV w:val="nil"/>
        </w:tcBorders>
        <w:shd w:val="clear" w:color="auto" w:fill="AFDFFF"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99"/>
    <w:semiHidden/>
    <w:rsid w:val="0098410D"/>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tblBorders>
    </w:tblPr>
    <w:tblStylePr w:type="firstRow">
      <w:pPr>
        <w:spacing w:before="0" w:after="0" w:line="240" w:lineRule="auto"/>
      </w:pPr>
      <w:rPr>
        <w:b/>
        <w:bCs/>
        <w:color w:val="0072BC" w:themeColor="background1"/>
      </w:rPr>
      <w:tblPr/>
      <w:tcPr>
        <w:tc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shd w:val="clear" w:color="auto" w:fill="C00000" w:themeFill="accent2"/>
      </w:tcPr>
    </w:tblStylePr>
    <w:tblStylePr w:type="lastRow">
      <w:pPr>
        <w:spacing w:before="0" w:after="0" w:line="240" w:lineRule="auto"/>
      </w:pPr>
      <w:rPr>
        <w:b/>
        <w:bCs/>
      </w:rPr>
      <w:tblPr/>
      <w:tcPr>
        <w:tcBorders>
          <w:top w:val="double" w:sz="6"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tcPr>
    </w:tblStylePr>
    <w:tblStylePr w:type="firstCol">
      <w:rPr>
        <w:b/>
        <w:bCs/>
      </w:rPr>
    </w:tblStylePr>
    <w:tblStylePr w:type="lastCol">
      <w:rPr>
        <w:b/>
        <w:bCs/>
      </w:rPr>
    </w:tblStylePr>
    <w:tblStylePr w:type="band1Vert">
      <w:tblPr/>
      <w:tcPr>
        <w:shd w:val="clear" w:color="auto" w:fill="FFB0B0" w:themeFill="accent2" w:themeFillTint="3F"/>
      </w:tcPr>
    </w:tblStylePr>
    <w:tblStylePr w:type="band1Horz">
      <w:tblPr/>
      <w:tcPr>
        <w:tcBorders>
          <w:insideH w:val="nil"/>
          <w:insideV w:val="nil"/>
        </w:tcBorders>
        <w:shd w:val="clear" w:color="auto" w:fill="FFB0B0"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99"/>
    <w:semiHidden/>
    <w:rsid w:val="0098410D"/>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tblBorders>
    </w:tblPr>
    <w:tblStylePr w:type="firstRow">
      <w:pPr>
        <w:spacing w:before="0" w:after="0" w:line="240" w:lineRule="auto"/>
      </w:pPr>
      <w:rPr>
        <w:b/>
        <w:bCs/>
        <w:color w:val="0072BC" w:themeColor="background1"/>
      </w:rPr>
      <w:tblPr/>
      <w:tcPr>
        <w:tc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shd w:val="clear" w:color="auto" w:fill="5F5F5F" w:themeFill="accent3"/>
      </w:tcPr>
    </w:tblStylePr>
    <w:tblStylePr w:type="lastRow">
      <w:pPr>
        <w:spacing w:before="0" w:after="0" w:line="240" w:lineRule="auto"/>
      </w:pPr>
      <w:rPr>
        <w:b/>
        <w:bCs/>
      </w:rPr>
      <w:tblPr/>
      <w:tcPr>
        <w:tcBorders>
          <w:top w:val="double" w:sz="6"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3" w:themeFillTint="3F"/>
      </w:tcPr>
    </w:tblStylePr>
    <w:tblStylePr w:type="band1Horz">
      <w:tblPr/>
      <w:tcPr>
        <w:tcBorders>
          <w:insideH w:val="nil"/>
          <w:insideV w:val="nil"/>
        </w:tcBorders>
        <w:shd w:val="clear" w:color="auto" w:fill="D7D7D7"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99"/>
    <w:semiHidden/>
    <w:rsid w:val="0098410D"/>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tblBorders>
    </w:tblPr>
    <w:tblStylePr w:type="firstRow">
      <w:pPr>
        <w:spacing w:before="0" w:after="0" w:line="240" w:lineRule="auto"/>
      </w:pPr>
      <w:rPr>
        <w:b/>
        <w:bCs/>
        <w:color w:val="0072BC" w:themeColor="background1"/>
      </w:rPr>
      <w:tblPr/>
      <w:tcPr>
        <w:tc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shd w:val="clear" w:color="auto" w:fill="969696" w:themeFill="accent4"/>
      </w:tcPr>
    </w:tblStylePr>
    <w:tblStylePr w:type="lastRow">
      <w:pPr>
        <w:spacing w:before="0" w:after="0" w:line="240" w:lineRule="auto"/>
      </w:pPr>
      <w:rPr>
        <w:b/>
        <w:bCs/>
      </w:rPr>
      <w:tblPr/>
      <w:tcPr>
        <w:tcBorders>
          <w:top w:val="double" w:sz="6"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tcPr>
    </w:tblStylePr>
    <w:tblStylePr w:type="firstCol">
      <w:rPr>
        <w:b/>
        <w:bCs/>
      </w:rPr>
    </w:tblStylePr>
    <w:tblStylePr w:type="lastCol">
      <w:rPr>
        <w:b/>
        <w:bCs/>
      </w:rPr>
    </w:tblStylePr>
    <w:tblStylePr w:type="band1Vert">
      <w:tblPr/>
      <w:tcPr>
        <w:shd w:val="clear" w:color="auto" w:fill="E5E5E5" w:themeFill="accent4" w:themeFillTint="3F"/>
      </w:tcPr>
    </w:tblStylePr>
    <w:tblStylePr w:type="band1Horz">
      <w:tblPr/>
      <w:tcPr>
        <w:tcBorders>
          <w:insideH w:val="nil"/>
          <w:insideV w:val="nil"/>
        </w:tcBorders>
        <w:shd w:val="clear" w:color="auto" w:fill="E5E5E5"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99"/>
    <w:semiHidden/>
    <w:rsid w:val="0098410D"/>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tblBorders>
    </w:tblPr>
    <w:tblStylePr w:type="firstRow">
      <w:pPr>
        <w:spacing w:before="0" w:after="0" w:line="240" w:lineRule="auto"/>
      </w:pPr>
      <w:rPr>
        <w:b/>
        <w:bCs/>
        <w:color w:val="0072BC" w:themeColor="background1"/>
      </w:rPr>
      <w:tblPr/>
      <w:tcPr>
        <w:tc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shd w:val="clear" w:color="auto" w:fill="5F5F5F" w:themeFill="accent5"/>
      </w:tcPr>
    </w:tblStylePr>
    <w:tblStylePr w:type="lastRow">
      <w:pPr>
        <w:spacing w:before="0" w:after="0" w:line="240" w:lineRule="auto"/>
      </w:pPr>
      <w:rPr>
        <w:b/>
        <w:bCs/>
      </w:rPr>
      <w:tblPr/>
      <w:tcPr>
        <w:tcBorders>
          <w:top w:val="double" w:sz="6"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5" w:themeFillTint="3F"/>
      </w:tcPr>
    </w:tblStylePr>
    <w:tblStylePr w:type="band1Horz">
      <w:tblPr/>
      <w:tcPr>
        <w:tcBorders>
          <w:insideH w:val="nil"/>
          <w:insideV w:val="nil"/>
        </w:tcBorders>
        <w:shd w:val="clear" w:color="auto" w:fill="D7D7D7"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99"/>
    <w:semiHidden/>
    <w:rsid w:val="0098410D"/>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tblBorders>
    </w:tblPr>
    <w:tblStylePr w:type="firstRow">
      <w:pPr>
        <w:spacing w:before="0" w:after="0" w:line="240" w:lineRule="auto"/>
      </w:pPr>
      <w:rPr>
        <w:b/>
        <w:bCs/>
        <w:color w:val="0072BC" w:themeColor="background1"/>
      </w:rPr>
      <w:tblPr/>
      <w:tcPr>
        <w:tc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shd w:val="clear" w:color="auto" w:fill="4D4D4D" w:themeFill="accent6"/>
      </w:tcPr>
    </w:tblStylePr>
    <w:tblStylePr w:type="lastRow">
      <w:pPr>
        <w:spacing w:before="0" w:after="0" w:line="240" w:lineRule="auto"/>
      </w:pPr>
      <w:rPr>
        <w:b/>
        <w:bCs/>
      </w:rPr>
      <w:tblPr/>
      <w:tcPr>
        <w:tcBorders>
          <w:top w:val="double" w:sz="6"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tcPr>
    </w:tblStylePr>
    <w:tblStylePr w:type="firstCol">
      <w:rPr>
        <w:b/>
        <w:bCs/>
      </w:rPr>
    </w:tblStylePr>
    <w:tblStylePr w:type="lastCol">
      <w:rPr>
        <w:b/>
        <w:bCs/>
      </w:rPr>
    </w:tblStylePr>
    <w:tblStylePr w:type="band1Vert">
      <w:tblPr/>
      <w:tcPr>
        <w:shd w:val="clear" w:color="auto" w:fill="D3D3D3" w:themeFill="accent6" w:themeFillTint="3F"/>
      </w:tcPr>
    </w:tblStylePr>
    <w:tblStylePr w:type="band1Horz">
      <w:tblPr/>
      <w:tcPr>
        <w:tcBorders>
          <w:insideH w:val="nil"/>
          <w:insideV w:val="nil"/>
        </w:tcBorders>
        <w:shd w:val="clear" w:color="auto" w:fill="D3D3D3"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99"/>
    <w:semiHidden/>
    <w:rsid w:val="0098410D"/>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0072BC"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99"/>
    <w:semiHidden/>
    <w:rsid w:val="0098410D"/>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72BC"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72BC" w:themeFill="accent1"/>
      </w:tcPr>
    </w:tblStylePr>
    <w:tblStylePr w:type="lastCol">
      <w:rPr>
        <w:b/>
        <w:bCs/>
        <w:color w:val="0072BC" w:themeColor="background1"/>
      </w:rPr>
      <w:tblPr/>
      <w:tcPr>
        <w:tcBorders>
          <w:left w:val="nil"/>
          <w:right w:val="nil"/>
          <w:insideH w:val="nil"/>
          <w:insideV w:val="nil"/>
        </w:tcBorders>
        <w:shd w:val="clear" w:color="auto" w:fill="0072BC" w:themeFill="accen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99"/>
    <w:semiHidden/>
    <w:rsid w:val="0098410D"/>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C00000"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C00000" w:themeFill="accent2"/>
      </w:tcPr>
    </w:tblStylePr>
    <w:tblStylePr w:type="lastCol">
      <w:rPr>
        <w:b/>
        <w:bCs/>
        <w:color w:val="0072BC" w:themeColor="background1"/>
      </w:rPr>
      <w:tblPr/>
      <w:tcPr>
        <w:tcBorders>
          <w:left w:val="nil"/>
          <w:right w:val="nil"/>
          <w:insideH w:val="nil"/>
          <w:insideV w:val="nil"/>
        </w:tcBorders>
        <w:shd w:val="clear" w:color="auto" w:fill="C00000" w:themeFill="accent2"/>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99"/>
    <w:semiHidden/>
    <w:rsid w:val="0098410D"/>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3"/>
      </w:tcPr>
    </w:tblStylePr>
    <w:tblStylePr w:type="lastCol">
      <w:rPr>
        <w:b/>
        <w:bCs/>
        <w:color w:val="0072BC" w:themeColor="background1"/>
      </w:rPr>
      <w:tblPr/>
      <w:tcPr>
        <w:tcBorders>
          <w:left w:val="nil"/>
          <w:right w:val="nil"/>
          <w:insideH w:val="nil"/>
          <w:insideV w:val="nil"/>
        </w:tcBorders>
        <w:shd w:val="clear" w:color="auto" w:fill="5F5F5F" w:themeFill="accent3"/>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99"/>
    <w:semiHidden/>
    <w:rsid w:val="0098410D"/>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969696"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969696" w:themeFill="accent4"/>
      </w:tcPr>
    </w:tblStylePr>
    <w:tblStylePr w:type="lastCol">
      <w:rPr>
        <w:b/>
        <w:bCs/>
        <w:color w:val="0072BC" w:themeColor="background1"/>
      </w:rPr>
      <w:tblPr/>
      <w:tcPr>
        <w:tcBorders>
          <w:left w:val="nil"/>
          <w:right w:val="nil"/>
          <w:insideH w:val="nil"/>
          <w:insideV w:val="nil"/>
        </w:tcBorders>
        <w:shd w:val="clear" w:color="auto" w:fill="969696" w:themeFill="accent4"/>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99"/>
    <w:semiHidden/>
    <w:rsid w:val="0098410D"/>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5"/>
      </w:tcPr>
    </w:tblStylePr>
    <w:tblStylePr w:type="lastCol">
      <w:rPr>
        <w:b/>
        <w:bCs/>
        <w:color w:val="0072BC" w:themeColor="background1"/>
      </w:rPr>
      <w:tblPr/>
      <w:tcPr>
        <w:tcBorders>
          <w:left w:val="nil"/>
          <w:right w:val="nil"/>
          <w:insideH w:val="nil"/>
          <w:insideV w:val="nil"/>
        </w:tcBorders>
        <w:shd w:val="clear" w:color="auto" w:fill="5F5F5F" w:themeFill="accent5"/>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99"/>
    <w:semiHidden/>
    <w:rsid w:val="0098410D"/>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4D4D4D"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4D4D4D" w:themeFill="accent6"/>
      </w:tcPr>
    </w:tblStylePr>
    <w:tblStylePr w:type="lastCol">
      <w:rPr>
        <w:b/>
        <w:bCs/>
        <w:color w:val="0072BC" w:themeColor="background1"/>
      </w:rPr>
      <w:tblPr/>
      <w:tcPr>
        <w:tcBorders>
          <w:left w:val="nil"/>
          <w:right w:val="nil"/>
          <w:insideH w:val="nil"/>
          <w:insideV w:val="nil"/>
        </w:tcBorders>
        <w:shd w:val="clear" w:color="auto" w:fill="4D4D4D" w:themeFill="accent6"/>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paragraph" w:styleId="MessageHeader">
    <w:name w:val="Message Header"/>
    <w:basedOn w:val="Normal"/>
    <w:link w:val="MessageHeaderChar"/>
    <w:uiPriority w:val="99"/>
    <w:semiHidden/>
    <w:rsid w:val="0098410D"/>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szCs w:val="24"/>
    </w:rPr>
  </w:style>
  <w:style w:type="character" w:customStyle="1" w:styleId="MessageHeaderChar">
    <w:name w:val="Message Header Char"/>
    <w:basedOn w:val="DefaultParagraphFont"/>
    <w:link w:val="MessageHeader"/>
    <w:uiPriority w:val="99"/>
    <w:semiHidden/>
    <w:rsid w:val="0098410D"/>
    <w:rPr>
      <w:rFonts w:asciiTheme="majorHAnsi" w:eastAsiaTheme="majorEastAsia" w:hAnsiTheme="majorHAnsi" w:cstheme="majorBidi"/>
      <w:sz w:val="24"/>
      <w:szCs w:val="24"/>
      <w:shd w:val="pct20" w:color="auto" w:fill="auto"/>
    </w:rPr>
  </w:style>
  <w:style w:type="paragraph" w:styleId="NormalWeb">
    <w:name w:val="Normal (Web)"/>
    <w:basedOn w:val="Normal"/>
    <w:uiPriority w:val="99"/>
    <w:semiHidden/>
    <w:rsid w:val="0098410D"/>
    <w:rPr>
      <w:rFonts w:ascii="Times New Roman" w:hAnsi="Times New Roman" w:cs="Times New Roman"/>
      <w:szCs w:val="24"/>
    </w:rPr>
  </w:style>
  <w:style w:type="paragraph" w:styleId="NormalIndent">
    <w:name w:val="Normal Indent"/>
    <w:basedOn w:val="Normal"/>
    <w:uiPriority w:val="99"/>
    <w:semiHidden/>
    <w:rsid w:val="0098410D"/>
    <w:pPr>
      <w:ind w:left="720"/>
    </w:pPr>
  </w:style>
  <w:style w:type="character" w:styleId="PlaceholderText">
    <w:name w:val="Placeholder Text"/>
    <w:basedOn w:val="DefaultParagraphFont"/>
    <w:uiPriority w:val="99"/>
    <w:semiHidden/>
    <w:rsid w:val="006D3D52"/>
    <w:rPr>
      <w:color w:val="auto"/>
      <w:bdr w:val="none" w:sz="0" w:space="0" w:color="auto"/>
      <w:shd w:val="clear" w:color="auto" w:fill="DFDFDF" w:themeFill="background2" w:themeFillShade="E6"/>
    </w:rPr>
  </w:style>
  <w:style w:type="paragraph" w:styleId="PlainText">
    <w:name w:val="Plain Text"/>
    <w:basedOn w:val="Normal"/>
    <w:link w:val="PlainTextChar"/>
    <w:uiPriority w:val="99"/>
    <w:semiHidden/>
    <w:rsid w:val="0098410D"/>
    <w:rPr>
      <w:rFonts w:ascii="Consolas" w:hAnsi="Consolas" w:cs="Consolas"/>
      <w:sz w:val="21"/>
      <w:szCs w:val="21"/>
    </w:rPr>
  </w:style>
  <w:style w:type="character" w:customStyle="1" w:styleId="PlainTextChar">
    <w:name w:val="Plain Text Char"/>
    <w:basedOn w:val="DefaultParagraphFont"/>
    <w:link w:val="PlainText"/>
    <w:uiPriority w:val="99"/>
    <w:semiHidden/>
    <w:rsid w:val="0098410D"/>
    <w:rPr>
      <w:rFonts w:ascii="Consolas" w:eastAsiaTheme="minorEastAsia" w:hAnsi="Consolas" w:cs="Consolas"/>
      <w:sz w:val="21"/>
      <w:szCs w:val="21"/>
    </w:rPr>
  </w:style>
  <w:style w:type="paragraph" w:styleId="Salutation">
    <w:name w:val="Salutation"/>
    <w:basedOn w:val="Normal"/>
    <w:next w:val="Normal"/>
    <w:link w:val="SalutationChar"/>
    <w:uiPriority w:val="99"/>
    <w:semiHidden/>
    <w:rsid w:val="0098410D"/>
  </w:style>
  <w:style w:type="character" w:customStyle="1" w:styleId="SalutationChar">
    <w:name w:val="Salutation Char"/>
    <w:basedOn w:val="DefaultParagraphFont"/>
    <w:link w:val="Salutation"/>
    <w:uiPriority w:val="99"/>
    <w:semiHidden/>
    <w:rsid w:val="0098410D"/>
    <w:rPr>
      <w:rFonts w:eastAsiaTheme="minorEastAsia"/>
      <w:sz w:val="24"/>
    </w:rPr>
  </w:style>
  <w:style w:type="paragraph" w:styleId="Signature">
    <w:name w:val="Signature"/>
    <w:basedOn w:val="Normal"/>
    <w:link w:val="SignatureChar"/>
    <w:uiPriority w:val="99"/>
    <w:semiHidden/>
    <w:rsid w:val="0098410D"/>
    <w:pPr>
      <w:ind w:left="4252"/>
    </w:pPr>
  </w:style>
  <w:style w:type="character" w:customStyle="1" w:styleId="SignatureChar">
    <w:name w:val="Signature Char"/>
    <w:basedOn w:val="DefaultParagraphFont"/>
    <w:link w:val="Signature"/>
    <w:uiPriority w:val="99"/>
    <w:semiHidden/>
    <w:rsid w:val="0098410D"/>
    <w:rPr>
      <w:rFonts w:eastAsiaTheme="minorEastAsia"/>
      <w:sz w:val="24"/>
    </w:rPr>
  </w:style>
  <w:style w:type="table" w:styleId="Table3Deffects1">
    <w:name w:val="Table 3D effects 1"/>
    <w:basedOn w:val="TableNormal"/>
    <w:uiPriority w:val="99"/>
    <w:semiHidden/>
    <w:unhideWhenUsed/>
    <w:rsid w:val="0098410D"/>
    <w:pPr>
      <w:jc w:val="both"/>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uiPriority w:val="99"/>
    <w:semiHidden/>
    <w:unhideWhenUsed/>
    <w:rsid w:val="0098410D"/>
    <w:pPr>
      <w:jc w:val="both"/>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uiPriority w:val="99"/>
    <w:semiHidden/>
    <w:unhideWhenUsed/>
    <w:rsid w:val="0098410D"/>
    <w:pPr>
      <w:jc w:val="both"/>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uiPriority w:val="99"/>
    <w:semiHidden/>
    <w:unhideWhenUsed/>
    <w:rsid w:val="0098410D"/>
    <w:pPr>
      <w:jc w:val="both"/>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uiPriority w:val="99"/>
    <w:semiHidden/>
    <w:unhideWhenUsed/>
    <w:rsid w:val="0098410D"/>
    <w:pPr>
      <w:jc w:val="both"/>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uiPriority w:val="99"/>
    <w:semiHidden/>
    <w:unhideWhenUsed/>
    <w:rsid w:val="0098410D"/>
    <w:pPr>
      <w:jc w:val="both"/>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uiPriority w:val="99"/>
    <w:semiHidden/>
    <w:unhideWhenUsed/>
    <w:rsid w:val="0098410D"/>
    <w:pPr>
      <w:jc w:val="both"/>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uiPriority w:val="99"/>
    <w:semiHidden/>
    <w:unhideWhenUsed/>
    <w:rsid w:val="0098410D"/>
    <w:pPr>
      <w:jc w:val="both"/>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uiPriority w:val="99"/>
    <w:semiHidden/>
    <w:unhideWhenUsed/>
    <w:rsid w:val="0098410D"/>
    <w:pPr>
      <w:jc w:val="both"/>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uiPriority w:val="99"/>
    <w:semiHidden/>
    <w:unhideWhenUsed/>
    <w:rsid w:val="0098410D"/>
    <w:pPr>
      <w:jc w:val="both"/>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uiPriority w:val="99"/>
    <w:semiHidden/>
    <w:unhideWhenUsed/>
    <w:rsid w:val="0098410D"/>
    <w:pPr>
      <w:jc w:val="both"/>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uiPriority w:val="99"/>
    <w:semiHidden/>
    <w:unhideWhenUsed/>
    <w:rsid w:val="0098410D"/>
    <w:pPr>
      <w:jc w:val="both"/>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uiPriority w:val="99"/>
    <w:semiHidden/>
    <w:unhideWhenUsed/>
    <w:rsid w:val="0098410D"/>
    <w:pPr>
      <w:jc w:val="both"/>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uiPriority w:val="99"/>
    <w:semiHidden/>
    <w:unhideWhenUsed/>
    <w:rsid w:val="0098410D"/>
    <w:pPr>
      <w:jc w:val="both"/>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uiPriority w:val="99"/>
    <w:semiHidden/>
    <w:unhideWhenUsed/>
    <w:rsid w:val="0098410D"/>
    <w:pPr>
      <w:jc w:val="both"/>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uiPriority w:val="99"/>
    <w:semiHidden/>
    <w:unhideWhenUsed/>
    <w:rsid w:val="0098410D"/>
    <w:pPr>
      <w:jc w:val="both"/>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uiPriority w:val="99"/>
    <w:semiHidden/>
    <w:unhideWhenUsed/>
    <w:rsid w:val="0098410D"/>
    <w:pPr>
      <w:jc w:val="both"/>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1">
    <w:name w:val="Table Grid 1"/>
    <w:basedOn w:val="TableNormal"/>
    <w:uiPriority w:val="99"/>
    <w:semiHidden/>
    <w:unhideWhenUsed/>
    <w:rsid w:val="0098410D"/>
    <w:pPr>
      <w:jc w:val="both"/>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uiPriority w:val="99"/>
    <w:semiHidden/>
    <w:unhideWhenUsed/>
    <w:rsid w:val="0098410D"/>
    <w:pPr>
      <w:jc w:val="both"/>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uiPriority w:val="99"/>
    <w:semiHidden/>
    <w:unhideWhenUsed/>
    <w:rsid w:val="0098410D"/>
    <w:pPr>
      <w:jc w:val="both"/>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uiPriority w:val="99"/>
    <w:semiHidden/>
    <w:unhideWhenUsed/>
    <w:rsid w:val="0098410D"/>
    <w:pPr>
      <w:jc w:val="both"/>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uiPriority w:val="99"/>
    <w:semiHidden/>
    <w:unhideWhenUsed/>
    <w:rsid w:val="0098410D"/>
    <w:pPr>
      <w:jc w:val="both"/>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uiPriority w:val="99"/>
    <w:semiHidden/>
    <w:unhideWhenUsed/>
    <w:rsid w:val="0098410D"/>
    <w:pPr>
      <w:jc w:val="both"/>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uiPriority w:val="99"/>
    <w:semiHidden/>
    <w:unhideWhenUsed/>
    <w:rsid w:val="0098410D"/>
    <w:pPr>
      <w:jc w:val="both"/>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uiPriority w:val="99"/>
    <w:semiHidden/>
    <w:unhideWhenUsed/>
    <w:rsid w:val="0098410D"/>
    <w:pPr>
      <w:jc w:val="both"/>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uiPriority w:val="99"/>
    <w:semiHidden/>
    <w:unhideWhenUsed/>
    <w:rsid w:val="0098410D"/>
    <w:pPr>
      <w:jc w:val="both"/>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uiPriority w:val="99"/>
    <w:semiHidden/>
    <w:unhideWhenUsed/>
    <w:rsid w:val="0098410D"/>
    <w:pPr>
      <w:jc w:val="both"/>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uiPriority w:val="99"/>
    <w:semiHidden/>
    <w:unhideWhenUsed/>
    <w:rsid w:val="0098410D"/>
    <w:pPr>
      <w:jc w:val="both"/>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uiPriority w:val="99"/>
    <w:semiHidden/>
    <w:unhideWhenUsed/>
    <w:rsid w:val="0098410D"/>
    <w:pPr>
      <w:jc w:val="both"/>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uiPriority w:val="99"/>
    <w:semiHidden/>
    <w:unhideWhenUsed/>
    <w:rsid w:val="0098410D"/>
    <w:pPr>
      <w:jc w:val="both"/>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uiPriority w:val="99"/>
    <w:semiHidden/>
    <w:unhideWhenUsed/>
    <w:rsid w:val="0098410D"/>
    <w:pPr>
      <w:jc w:val="both"/>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uiPriority w:val="99"/>
    <w:semiHidden/>
    <w:unhideWhenUsed/>
    <w:rsid w:val="0098410D"/>
    <w:pPr>
      <w:jc w:val="both"/>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uiPriority w:val="99"/>
    <w:semiHidden/>
    <w:unhideWhenUsed/>
    <w:rsid w:val="0098410D"/>
    <w:pPr>
      <w:jc w:val="both"/>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TableofAuthorities">
    <w:name w:val="table of authorities"/>
    <w:basedOn w:val="Normal"/>
    <w:next w:val="Normal"/>
    <w:uiPriority w:val="99"/>
    <w:semiHidden/>
    <w:rsid w:val="0098410D"/>
    <w:pPr>
      <w:ind w:left="240" w:hanging="240"/>
    </w:pPr>
  </w:style>
  <w:style w:type="paragraph" w:styleId="TableofFigures">
    <w:name w:val="table of figures"/>
    <w:basedOn w:val="Normal"/>
    <w:next w:val="Normal"/>
    <w:uiPriority w:val="99"/>
    <w:semiHidden/>
    <w:rsid w:val="0098410D"/>
  </w:style>
  <w:style w:type="table" w:styleId="TableProfessional">
    <w:name w:val="Table Professional"/>
    <w:basedOn w:val="TableNormal"/>
    <w:uiPriority w:val="99"/>
    <w:semiHidden/>
    <w:unhideWhenUsed/>
    <w:rsid w:val="0098410D"/>
    <w:pPr>
      <w:jc w:val="both"/>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uiPriority w:val="99"/>
    <w:semiHidden/>
    <w:unhideWhenUsed/>
    <w:rsid w:val="0098410D"/>
    <w:pPr>
      <w:jc w:val="both"/>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uiPriority w:val="99"/>
    <w:semiHidden/>
    <w:unhideWhenUsed/>
    <w:rsid w:val="0098410D"/>
    <w:pPr>
      <w:jc w:val="both"/>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uiPriority w:val="99"/>
    <w:semiHidden/>
    <w:unhideWhenUsed/>
    <w:rsid w:val="0098410D"/>
    <w:pPr>
      <w:jc w:val="both"/>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uiPriority w:val="99"/>
    <w:semiHidden/>
    <w:unhideWhenUsed/>
    <w:rsid w:val="0098410D"/>
    <w:pPr>
      <w:jc w:val="both"/>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uiPriority w:val="99"/>
    <w:semiHidden/>
    <w:unhideWhenUsed/>
    <w:rsid w:val="0098410D"/>
    <w:pPr>
      <w:jc w:val="both"/>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uiPriority w:val="99"/>
    <w:semiHidden/>
    <w:unhideWhenUsed/>
    <w:rsid w:val="0098410D"/>
    <w:pPr>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uiPriority w:val="99"/>
    <w:semiHidden/>
    <w:unhideWhenUsed/>
    <w:rsid w:val="0098410D"/>
    <w:pPr>
      <w:jc w:val="both"/>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uiPriority w:val="99"/>
    <w:semiHidden/>
    <w:unhideWhenUsed/>
    <w:rsid w:val="0098410D"/>
    <w:pPr>
      <w:jc w:val="both"/>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uiPriority w:val="99"/>
    <w:semiHidden/>
    <w:unhideWhenUsed/>
    <w:rsid w:val="0098410D"/>
    <w:pPr>
      <w:jc w:val="both"/>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OC6">
    <w:name w:val="toc 6"/>
    <w:basedOn w:val="Normal"/>
    <w:next w:val="Normal"/>
    <w:autoRedefine/>
    <w:uiPriority w:val="99"/>
    <w:semiHidden/>
    <w:rsid w:val="006D3D52"/>
    <w:pPr>
      <w:tabs>
        <w:tab w:val="right" w:leader="dot" w:pos="7371"/>
      </w:tabs>
      <w:spacing w:after="60" w:line="240" w:lineRule="exact"/>
      <w:ind w:left="2041" w:right="567" w:hanging="340"/>
    </w:pPr>
    <w:rPr>
      <w:sz w:val="20"/>
    </w:rPr>
  </w:style>
  <w:style w:type="paragraph" w:styleId="TOC7">
    <w:name w:val="toc 7"/>
    <w:basedOn w:val="Normal"/>
    <w:next w:val="Normal"/>
    <w:autoRedefine/>
    <w:uiPriority w:val="99"/>
    <w:semiHidden/>
    <w:rsid w:val="006D3D52"/>
    <w:pPr>
      <w:tabs>
        <w:tab w:val="right" w:leader="dot" w:pos="7371"/>
      </w:tabs>
      <w:spacing w:after="60" w:line="240" w:lineRule="exact"/>
      <w:ind w:left="2381" w:right="567" w:hanging="340"/>
    </w:pPr>
    <w:rPr>
      <w:sz w:val="20"/>
    </w:rPr>
  </w:style>
  <w:style w:type="paragraph" w:styleId="TOC8">
    <w:name w:val="toc 8"/>
    <w:basedOn w:val="Normal"/>
    <w:next w:val="Normal"/>
    <w:autoRedefine/>
    <w:uiPriority w:val="99"/>
    <w:semiHidden/>
    <w:rsid w:val="0098410D"/>
    <w:pPr>
      <w:spacing w:after="100"/>
      <w:ind w:left="1680"/>
    </w:pPr>
  </w:style>
  <w:style w:type="paragraph" w:styleId="TOC9">
    <w:name w:val="toc 9"/>
    <w:basedOn w:val="Normal"/>
    <w:next w:val="Normal"/>
    <w:autoRedefine/>
    <w:uiPriority w:val="99"/>
    <w:semiHidden/>
    <w:rsid w:val="0098410D"/>
    <w:pPr>
      <w:spacing w:after="100"/>
      <w:ind w:left="1920"/>
    </w:pPr>
  </w:style>
  <w:style w:type="paragraph" w:customStyle="1" w:styleId="DecHTitle">
    <w:name w:val="Dec_H_Title"/>
    <w:basedOn w:val="ECHRTitleCentre1"/>
    <w:uiPriority w:val="7"/>
    <w:qFormat/>
    <w:rsid w:val="00084267"/>
  </w:style>
  <w:style w:type="paragraph" w:customStyle="1" w:styleId="DecList">
    <w:name w:val="Dec_List"/>
    <w:basedOn w:val="Normal"/>
    <w:uiPriority w:val="9"/>
    <w:qFormat/>
    <w:rsid w:val="00084267"/>
    <w:pPr>
      <w:spacing w:before="240"/>
      <w:ind w:left="284"/>
    </w:pPr>
  </w:style>
  <w:style w:type="paragraph" w:customStyle="1" w:styleId="ECHRFooter">
    <w:name w:val="ECHR_Footer"/>
    <w:aliases w:val="Footer_ECHR"/>
    <w:basedOn w:val="Footer"/>
    <w:uiPriority w:val="57"/>
    <w:semiHidden/>
    <w:rsid w:val="006D3D52"/>
    <w:pPr>
      <w:jc w:val="left"/>
    </w:pPr>
    <w:rPr>
      <w:sz w:val="8"/>
    </w:rPr>
  </w:style>
  <w:style w:type="paragraph" w:customStyle="1" w:styleId="ECHRFooterLine">
    <w:name w:val="ECHR_Footer_Line"/>
    <w:aliases w:val="Footer_Line"/>
    <w:basedOn w:val="Normal"/>
    <w:next w:val="ECHRFooter"/>
    <w:uiPriority w:val="57"/>
    <w:semiHidden/>
    <w:rsid w:val="006D3D52"/>
    <w:pPr>
      <w:pBdr>
        <w:top w:val="single" w:sz="6" w:space="1" w:color="5F5F5F"/>
      </w:pBdr>
      <w:tabs>
        <w:tab w:val="center" w:pos="4536"/>
        <w:tab w:val="right" w:pos="9696"/>
      </w:tabs>
      <w:ind w:left="-680" w:right="-680"/>
      <w:jc w:val="left"/>
    </w:pPr>
    <w:rPr>
      <w:color w:val="5F5F5F"/>
    </w:rPr>
  </w:style>
  <w:style w:type="paragraph" w:customStyle="1" w:styleId="ECHRTitleCentre2">
    <w:name w:val="ECHR_Title_Centre_2"/>
    <w:aliases w:val="Dec_H_Case"/>
    <w:basedOn w:val="Normal"/>
    <w:next w:val="ECHRPara"/>
    <w:uiPriority w:val="8"/>
    <w:qFormat/>
    <w:rsid w:val="00084267"/>
    <w:pPr>
      <w:spacing w:after="240"/>
      <w:jc w:val="center"/>
      <w:outlineLvl w:val="0"/>
    </w:pPr>
    <w:rPr>
      <w:rFonts w:asciiTheme="majorHAnsi" w:hAnsiTheme="majorHAnsi"/>
    </w:rPr>
  </w:style>
  <w:style w:type="paragraph" w:customStyle="1" w:styleId="JuAppQuestion">
    <w:name w:val="Ju_App_Question"/>
    <w:basedOn w:val="Normal"/>
    <w:uiPriority w:val="5"/>
    <w:qFormat/>
    <w:rsid w:val="00084267"/>
    <w:pPr>
      <w:numPr>
        <w:numId w:val="25"/>
      </w:numPr>
      <w:jc w:val="left"/>
    </w:pPr>
    <w:rPr>
      <w:b/>
    </w:rPr>
  </w:style>
  <w:style w:type="paragraph" w:customStyle="1" w:styleId="JuHeaderLandscape">
    <w:name w:val="Ju_Header_Landscape"/>
    <w:basedOn w:val="ECHRHeader"/>
    <w:uiPriority w:val="4"/>
    <w:qFormat/>
    <w:rsid w:val="00084267"/>
    <w:pPr>
      <w:tabs>
        <w:tab w:val="clear" w:pos="3686"/>
        <w:tab w:val="clear" w:pos="7371"/>
        <w:tab w:val="center" w:pos="6146"/>
        <w:tab w:val="right" w:pos="12293"/>
      </w:tabs>
    </w:pPr>
  </w:style>
  <w:style w:type="paragraph" w:customStyle="1" w:styleId="JuTitle">
    <w:name w:val="Ju_Title"/>
    <w:basedOn w:val="Normal"/>
    <w:next w:val="ECHRPara"/>
    <w:uiPriority w:val="3"/>
    <w:qFormat/>
    <w:rsid w:val="00084267"/>
    <w:pPr>
      <w:spacing w:before="720" w:after="240"/>
      <w:jc w:val="center"/>
      <w:outlineLvl w:val="0"/>
    </w:pPr>
    <w:rPr>
      <w:rFonts w:asciiTheme="majorHAnsi" w:hAnsiTheme="majorHAnsi"/>
      <w:b/>
      <w:caps/>
    </w:rPr>
  </w:style>
  <w:style w:type="character" w:customStyle="1" w:styleId="JuNames0">
    <w:name w:val="Ju_Names"/>
    <w:rsid w:val="009213B4"/>
    <w:rPr>
      <w:rFonts w:ascii="Times New Roman" w:hAnsi="Times New Roman" w:cs="Times New Roman"/>
      <w:smallCaps/>
    </w:rPr>
  </w:style>
  <w:style w:type="paragraph" w:styleId="NoteHeading">
    <w:name w:val="Note Heading"/>
    <w:basedOn w:val="Normal"/>
    <w:next w:val="Normal"/>
    <w:uiPriority w:val="99"/>
    <w:semiHidden/>
    <w:rsid w:val="009213B4"/>
  </w:style>
  <w:style w:type="paragraph" w:customStyle="1" w:styleId="ECHRSpacer">
    <w:name w:val="ECHR_Spacer"/>
    <w:basedOn w:val="Normal"/>
    <w:uiPriority w:val="45"/>
    <w:rsid w:val="009213B4"/>
    <w:pPr>
      <w:jc w:val="left"/>
    </w:pPr>
    <w:rPr>
      <w:rFonts w:eastAsiaTheme="minorHAnsi"/>
      <w:sz w:val="4"/>
    </w:rPr>
  </w:style>
  <w:style w:type="character" w:customStyle="1" w:styleId="JuParaCar">
    <w:name w:val="Ju_Para Car"/>
    <w:link w:val="ECHRPara"/>
    <w:uiPriority w:val="12"/>
    <w:rsid w:val="009213B4"/>
    <w:rPr>
      <w:rFonts w:eastAsiaTheme="minorEastAsia"/>
      <w:sz w:val="24"/>
      <w:lang w:val="en-GB"/>
    </w:rPr>
  </w:style>
  <w:style w:type="paragraph" w:customStyle="1" w:styleId="jupara">
    <w:name w:val="jupara"/>
    <w:basedOn w:val="Normal"/>
    <w:rsid w:val="00CA006C"/>
    <w:pPr>
      <w:ind w:firstLine="284"/>
    </w:pPr>
    <w:rPr>
      <w:rFonts w:ascii="Times New Roman" w:eastAsia="Times New Roman" w:hAnsi="Times New Roman" w:cs="Times New Roman"/>
      <w:szCs w:val="24"/>
      <w:lang w:eastAsia="en-GB"/>
    </w:rPr>
  </w:style>
  <w:style w:type="paragraph" w:customStyle="1" w:styleId="jucase0">
    <w:name w:val="jucase"/>
    <w:basedOn w:val="Normal"/>
    <w:rsid w:val="00CA006C"/>
    <w:pPr>
      <w:ind w:firstLine="284"/>
    </w:pPr>
    <w:rPr>
      <w:rFonts w:ascii="Times New Roman" w:eastAsia="Times New Roman" w:hAnsi="Times New Roman" w:cs="Times New Roman"/>
      <w:b/>
      <w:bCs/>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2.xml"/><Relationship Id="rId18" Type="http://schemas.openxmlformats.org/officeDocument/2006/relationships/customXml" Target="../customXml/item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4.xml"/><Relationship Id="rId17" Type="http://schemas.openxmlformats.org/officeDocument/2006/relationships/customXml" Target="../customXml/item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19" Type="http://schemas.openxmlformats.org/officeDocument/2006/relationships/customXml" Target="../customXml/item4.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footer" Target="footer3.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s://rm.coe.int/t-cy-2017-10-cbg-study-provisional/16808c4914" TargetMode="External"/><Relationship Id="rId2" Type="http://schemas.openxmlformats.org/officeDocument/2006/relationships/hyperlink" Target="https://en.unesco.org/sites/default/files/genderreport2015final.pdf" TargetMode="External"/><Relationship Id="rId1" Type="http://schemas.openxmlformats.org/officeDocument/2006/relationships/hyperlink" Target="https://www.ohchr.org/EN/Countries/ENACARegion/Pages/ROIndex.aspx" TargetMode="External"/><Relationship Id="rId5" Type="http://schemas.openxmlformats.org/officeDocument/2006/relationships/hyperlink" Target="https://eige.europa.eu/publications/cyber-violence-against-women-and-girls" TargetMode="External"/><Relationship Id="rId4" Type="http://schemas.openxmlformats.org/officeDocument/2006/relationships/hyperlink" Target="https://fra.europa.eu/sites/default/files/fra_uploads/fra-2014-vaw-survey-main-results-apr14_en.pdf"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ECHR_Theme_Judgments_Decisions_Reports">
  <a:themeElements>
    <a:clrScheme name="ECHR_grey">
      <a:dk1>
        <a:sysClr val="windowText" lastClr="000000"/>
      </a:dk1>
      <a:lt1>
        <a:srgbClr val="0072BC"/>
      </a:lt1>
      <a:dk2>
        <a:srgbClr val="C6C6C6"/>
      </a:dk2>
      <a:lt2>
        <a:srgbClr val="F8F8F8"/>
      </a:lt2>
      <a:accent1>
        <a:srgbClr val="0072BC"/>
      </a:accent1>
      <a:accent2>
        <a:srgbClr val="C00000"/>
      </a:accent2>
      <a:accent3>
        <a:srgbClr val="5F5F5F"/>
      </a:accent3>
      <a:accent4>
        <a:srgbClr val="969696"/>
      </a:accent4>
      <a:accent5>
        <a:srgbClr val="5F5F5F"/>
      </a:accent5>
      <a:accent6>
        <a:srgbClr val="4D4D4D"/>
      </a:accent6>
      <a:hlink>
        <a:srgbClr val="0072BC"/>
      </a:hlink>
      <a:folHlink>
        <a:srgbClr val="7030A0"/>
      </a:folHlink>
    </a:clrScheme>
    <a:fontScheme name="ECHR_Judgments_Reports_Decisions">
      <a:majorFont>
        <a:latin typeface="Times New Roman"/>
        <a:ea typeface=""/>
        <a:cs typeface=""/>
      </a:majorFont>
      <a:minorFont>
        <a:latin typeface="Times New Roman"/>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shade val="50000"/>
                <a:satMod val="155000"/>
              </a:schemeClr>
            </a:gs>
            <a:gs pos="35000">
              <a:schemeClr val="phClr">
                <a:shade val="75000"/>
                <a:satMod val="155000"/>
              </a:schemeClr>
            </a:gs>
            <a:gs pos="100000">
              <a:schemeClr val="phClr">
                <a:tint val="80000"/>
                <a:satMod val="255000"/>
              </a:schemeClr>
            </a:gs>
          </a:gsLst>
          <a:lin ang="16200000" scaled="0"/>
        </a:gradFill>
        <a:gradFill rotWithShape="1">
          <a:gsLst>
            <a:gs pos="0">
              <a:schemeClr val="phClr">
                <a:tint val="80000"/>
                <a:satMod val="300000"/>
              </a:schemeClr>
            </a:gs>
            <a:gs pos="100000">
              <a:schemeClr val="phClr">
                <a:shade val="30000"/>
                <a:satMod val="200000"/>
              </a:schemeClr>
            </a:gs>
          </a:gsLst>
          <a:path path="circle">
            <a:fillToRect l="100000" t="100000" r="100000" b="10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 ma:contentTypeID="0x010100558EB02BDB9E204AB350EDD385B68E10" ma:contentTypeVersion="0" ma:contentTypeDescription="Create a new document." ma:contentTypeScope="" ma:versionID="4c0f801ee557d5c8fba2c83aceb7a3a2">
  <xsd:schema xmlns:xsd="http://www.w3.org/2001/XMLSchema" xmlns:xs="http://www.w3.org/2001/XMLSchema" xmlns:p="http://schemas.microsoft.com/office/2006/metadata/properties" targetNamespace="http://schemas.microsoft.com/office/2006/metadata/properties" ma:root="true" ma:fieldsID="66a9e0779a85d62bb2248c31b91edb77">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BD63576E-9307-4950-9B79-1A8AC7D7A491}">
  <ds:schemaRefs>
    <ds:schemaRef ds:uri="http://schemas.openxmlformats.org/officeDocument/2006/bibliography"/>
  </ds:schemaRefs>
</ds:datastoreItem>
</file>

<file path=customXml/itemProps2.xml><?xml version="1.0" encoding="utf-8"?>
<ds:datastoreItem xmlns:ds="http://schemas.openxmlformats.org/officeDocument/2006/customXml" ds:itemID="{67527D48-E0A7-4C9D-9247-44E92AD89315}"/>
</file>

<file path=customXml/itemProps3.xml><?xml version="1.0" encoding="utf-8"?>
<ds:datastoreItem xmlns:ds="http://schemas.openxmlformats.org/officeDocument/2006/customXml" ds:itemID="{4700E25B-60B4-44C7-A4BA-52141BD2A282}"/>
</file>

<file path=customXml/itemProps4.xml><?xml version="1.0" encoding="utf-8"?>
<ds:datastoreItem xmlns:ds="http://schemas.openxmlformats.org/officeDocument/2006/customXml" ds:itemID="{16D10EB6-7B2B-495F-88B6-52D39B1F00E4}"/>
</file>

<file path=docProps/app.xml><?xml version="1.0" encoding="utf-8"?>
<Properties xmlns="http://schemas.openxmlformats.org/officeDocument/2006/extended-properties" xmlns:vt="http://schemas.openxmlformats.org/officeDocument/2006/docPropsVTypes">
  <Template>Normal.dotm</Template>
  <TotalTime>0</TotalTime>
  <Pages>1</Pages>
  <Words>9630</Words>
  <Characters>54895</Characters>
  <Application>Microsoft Office Word</Application>
  <DocSecurity>0</DocSecurity>
  <Lines>457</Lines>
  <Paragraphs>128</Paragraphs>
  <ScaleCrop>false</ScaleCrop>
  <HeadingPairs>
    <vt:vector size="2" baseType="variant">
      <vt:variant>
        <vt:lpstr>Title</vt:lpstr>
      </vt:variant>
      <vt:variant>
        <vt:i4>1</vt:i4>
      </vt:variant>
    </vt:vector>
  </HeadingPairs>
  <TitlesOfParts>
    <vt:vector size="1" baseType="lpstr">
      <vt:lpstr>ECHR</vt:lpstr>
    </vt:vector>
  </TitlesOfParts>
  <Manager/>
  <Company/>
  <LinksUpToDate>false</LinksUpToDate>
  <CharactersWithSpaces>64397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ECHR</dc:title>
  <dc:subject>JUDF</dc:subject>
  <dc:creator/>
  <cp:keywords/>
  <cp:lastModifiedBy/>
  <cp:revision>1</cp:revision>
  <dcterms:created xsi:type="dcterms:W3CDTF">2022-08-02T13:47:00Z</dcterms:created>
  <dcterms:modified xsi:type="dcterms:W3CDTF">2022-08-02T13:47:00Z</dcterms:modified>
  <cp:category>ECHR Template</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stLanguage">
    <vt:i4>2057</vt:i4>
  </property>
  <property fmtid="{D5CDD505-2E9C-101B-9397-08002B2CF9AE}" pid="3" name="RegisteredNo">
    <vt:lpwstr>56867/15</vt:lpwstr>
  </property>
  <property fmtid="{D5CDD505-2E9C-101B-9397-08002B2CF9AE}" pid="4" name="CASEID">
    <vt:lpwstr>1167225</vt:lpwstr>
  </property>
  <property fmtid="{D5CDD505-2E9C-101B-9397-08002B2CF9AE}" pid="5" name="ContentTypeId">
    <vt:lpwstr>0x010100558EB02BDB9E204AB350EDD385B68E10</vt:lpwstr>
  </property>
</Properties>
</file>