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CA4" w:rsidRDefault="00FA3CA4" w:rsidP="008824B9">
      <w:pPr>
        <w:jc w:val="center"/>
      </w:pPr>
    </w:p>
    <w:p w:rsidR="00FA3CA4" w:rsidRDefault="00FA3CA4" w:rsidP="008824B9">
      <w:pPr>
        <w:jc w:val="center"/>
      </w:pPr>
    </w:p>
    <w:p w:rsidR="00F71A6A" w:rsidRPr="00B61838" w:rsidRDefault="00F71A6A" w:rsidP="008824B9">
      <w:pPr>
        <w:jc w:val="center"/>
      </w:pPr>
    </w:p>
    <w:p w:rsidR="00F71A6A" w:rsidRPr="00B61838" w:rsidRDefault="00B61838" w:rsidP="008824B9">
      <w:pPr>
        <w:jc w:val="center"/>
      </w:pPr>
      <w:r w:rsidRPr="00B61838">
        <w:t>FOURTH SECTION</w:t>
      </w:r>
    </w:p>
    <w:p w:rsidR="00FA3CA4" w:rsidRDefault="00FA3CA4" w:rsidP="008824B9">
      <w:pPr>
        <w:jc w:val="center"/>
      </w:pPr>
    </w:p>
    <w:p w:rsidR="00FA3CA4" w:rsidRDefault="00FA3CA4" w:rsidP="008824B9">
      <w:pPr>
        <w:jc w:val="center"/>
      </w:pPr>
    </w:p>
    <w:p w:rsidR="00FA3CA4" w:rsidRDefault="00FA3CA4" w:rsidP="008824B9">
      <w:pPr>
        <w:jc w:val="center"/>
      </w:pPr>
    </w:p>
    <w:p w:rsidR="00FA3CA4" w:rsidRDefault="00FA3CA4" w:rsidP="008824B9">
      <w:pPr>
        <w:jc w:val="center"/>
      </w:pPr>
    </w:p>
    <w:p w:rsidR="00FA3CA4" w:rsidRDefault="00FA3CA4" w:rsidP="008824B9">
      <w:pPr>
        <w:jc w:val="center"/>
      </w:pPr>
    </w:p>
    <w:p w:rsidR="00F71A6A" w:rsidRPr="00B61838" w:rsidRDefault="00F71A6A" w:rsidP="008824B9">
      <w:pPr>
        <w:jc w:val="center"/>
      </w:pPr>
    </w:p>
    <w:p w:rsidR="00F71A6A" w:rsidRPr="00FA3CA4" w:rsidRDefault="00F71A6A" w:rsidP="008824B9">
      <w:pPr>
        <w:jc w:val="center"/>
        <w:rPr>
          <w:b/>
          <w:lang w:val="pl-PL"/>
        </w:rPr>
      </w:pPr>
      <w:bookmarkStart w:id="0" w:name="To"/>
      <w:r w:rsidRPr="00FA3CA4">
        <w:rPr>
          <w:b/>
          <w:lang w:val="pl-PL"/>
        </w:rPr>
        <w:t>CASE OF</w:t>
      </w:r>
      <w:bookmarkEnd w:id="0"/>
      <w:r w:rsidR="00C62B13" w:rsidRPr="00FA3CA4">
        <w:rPr>
          <w:b/>
          <w:lang w:val="pl-PL"/>
        </w:rPr>
        <w:t xml:space="preserve"> TOMASZ </w:t>
      </w:r>
      <w:r w:rsidR="00B61838" w:rsidRPr="00FA3CA4">
        <w:rPr>
          <w:b/>
          <w:lang w:val="pl-PL"/>
        </w:rPr>
        <w:t>KWIATKOWSKI v. POLAND</w:t>
      </w:r>
    </w:p>
    <w:p w:rsidR="00F71A6A" w:rsidRPr="00FA3CA4" w:rsidRDefault="00F71A6A" w:rsidP="008824B9">
      <w:pPr>
        <w:jc w:val="center"/>
        <w:rPr>
          <w:lang w:val="pl-PL"/>
        </w:rPr>
      </w:pPr>
    </w:p>
    <w:p w:rsidR="00F71A6A" w:rsidRPr="00B61838" w:rsidRDefault="00F71A6A" w:rsidP="008824B9">
      <w:pPr>
        <w:jc w:val="center"/>
        <w:rPr>
          <w:i/>
        </w:rPr>
      </w:pPr>
      <w:r w:rsidRPr="00B61838">
        <w:rPr>
          <w:i/>
        </w:rPr>
        <w:t>(</w:t>
      </w:r>
      <w:r w:rsidR="00B61838" w:rsidRPr="00B61838">
        <w:rPr>
          <w:i/>
        </w:rPr>
        <w:t>Application no. 24254/05</w:t>
      </w:r>
      <w:r w:rsidRPr="00B61838">
        <w:rPr>
          <w:i/>
        </w:rPr>
        <w:t>)</w:t>
      </w:r>
    </w:p>
    <w:p w:rsidR="00FA3CA4" w:rsidRDefault="00FA3CA4" w:rsidP="007317B8">
      <w:pPr>
        <w:pStyle w:val="JuPara"/>
        <w:ind w:firstLine="0"/>
        <w:jc w:val="center"/>
        <w:rPr>
          <w:sz w:val="22"/>
          <w:szCs w:val="22"/>
        </w:rPr>
      </w:pPr>
    </w:p>
    <w:p w:rsidR="00FA3CA4" w:rsidRDefault="00FA3CA4" w:rsidP="007317B8">
      <w:pPr>
        <w:pStyle w:val="JuPara"/>
        <w:ind w:firstLine="0"/>
        <w:jc w:val="center"/>
        <w:rPr>
          <w:sz w:val="22"/>
          <w:szCs w:val="22"/>
        </w:rPr>
      </w:pPr>
    </w:p>
    <w:p w:rsidR="00FA3CA4" w:rsidRDefault="00FA3CA4" w:rsidP="007317B8">
      <w:pPr>
        <w:pStyle w:val="JuPara"/>
        <w:ind w:firstLine="0"/>
        <w:jc w:val="center"/>
        <w:rPr>
          <w:sz w:val="22"/>
          <w:szCs w:val="22"/>
        </w:rPr>
      </w:pPr>
    </w:p>
    <w:p w:rsidR="00FA3CA4" w:rsidRDefault="00FA3CA4" w:rsidP="007317B8">
      <w:pPr>
        <w:pStyle w:val="JuPara"/>
        <w:ind w:firstLine="0"/>
        <w:jc w:val="center"/>
        <w:rPr>
          <w:sz w:val="22"/>
          <w:szCs w:val="22"/>
        </w:rPr>
      </w:pPr>
    </w:p>
    <w:p w:rsidR="00FA3CA4" w:rsidRDefault="00FA3CA4" w:rsidP="007317B8">
      <w:pPr>
        <w:pStyle w:val="JuPara"/>
        <w:ind w:firstLine="0"/>
        <w:jc w:val="center"/>
        <w:rPr>
          <w:sz w:val="22"/>
          <w:szCs w:val="22"/>
        </w:rPr>
      </w:pPr>
    </w:p>
    <w:p w:rsidR="00FA3CA4" w:rsidRDefault="00FA3CA4" w:rsidP="007317B8">
      <w:pPr>
        <w:pStyle w:val="JuPara"/>
        <w:ind w:firstLine="0"/>
        <w:jc w:val="center"/>
        <w:rPr>
          <w:sz w:val="22"/>
          <w:szCs w:val="22"/>
        </w:rPr>
      </w:pPr>
    </w:p>
    <w:p w:rsidR="00FA3CA4" w:rsidRDefault="00FA3CA4" w:rsidP="007317B8">
      <w:pPr>
        <w:pStyle w:val="JuPara"/>
        <w:ind w:firstLine="0"/>
        <w:jc w:val="center"/>
        <w:rPr>
          <w:sz w:val="22"/>
          <w:szCs w:val="22"/>
        </w:rPr>
      </w:pPr>
    </w:p>
    <w:p w:rsidR="00FA3CA4" w:rsidRDefault="00FA3CA4" w:rsidP="007317B8">
      <w:pPr>
        <w:pStyle w:val="JuPara"/>
        <w:ind w:firstLine="0"/>
        <w:jc w:val="center"/>
        <w:rPr>
          <w:sz w:val="22"/>
          <w:szCs w:val="22"/>
        </w:rPr>
      </w:pPr>
    </w:p>
    <w:p w:rsidR="00FA3CA4" w:rsidRPr="00FA3CA4" w:rsidRDefault="00FA3CA4" w:rsidP="007317B8">
      <w:pPr>
        <w:pStyle w:val="JuPara"/>
        <w:ind w:firstLine="0"/>
        <w:jc w:val="center"/>
        <w:rPr>
          <w:szCs w:val="24"/>
        </w:rPr>
      </w:pPr>
      <w:r w:rsidRPr="00FA3CA4">
        <w:rPr>
          <w:szCs w:val="24"/>
        </w:rPr>
        <w:t>JUDGMENT</w:t>
      </w:r>
    </w:p>
    <w:p w:rsidR="00FA3CA4" w:rsidRDefault="00FA3CA4" w:rsidP="007317B8">
      <w:pPr>
        <w:pStyle w:val="JuPara"/>
        <w:ind w:firstLine="0"/>
        <w:jc w:val="center"/>
        <w:rPr>
          <w:sz w:val="22"/>
          <w:szCs w:val="22"/>
        </w:rPr>
      </w:pPr>
    </w:p>
    <w:p w:rsidR="00FA3CA4" w:rsidRDefault="00FA3CA4" w:rsidP="007317B8">
      <w:pPr>
        <w:pStyle w:val="JuPara"/>
        <w:ind w:firstLine="0"/>
        <w:jc w:val="center"/>
        <w:rPr>
          <w:sz w:val="22"/>
          <w:szCs w:val="22"/>
        </w:rPr>
      </w:pPr>
    </w:p>
    <w:p w:rsidR="00FA3CA4" w:rsidRDefault="00FA3CA4" w:rsidP="007317B8">
      <w:pPr>
        <w:pStyle w:val="JuPara"/>
        <w:ind w:firstLine="0"/>
        <w:jc w:val="center"/>
        <w:rPr>
          <w:sz w:val="22"/>
          <w:szCs w:val="22"/>
        </w:rPr>
      </w:pPr>
    </w:p>
    <w:p w:rsidR="00FA3CA4" w:rsidRPr="00FA3CA4" w:rsidRDefault="00FA3CA4" w:rsidP="007317B8">
      <w:pPr>
        <w:pStyle w:val="JuPara"/>
        <w:ind w:firstLine="0"/>
        <w:jc w:val="center"/>
        <w:rPr>
          <w:szCs w:val="24"/>
        </w:rPr>
      </w:pPr>
      <w:smartTag w:uri="urn:schemas-microsoft-com:office:smarttags" w:element="City">
        <w:smartTag w:uri="urn:schemas-microsoft-com:office:smarttags" w:element="place">
          <w:r w:rsidRPr="00FA3CA4">
            <w:rPr>
              <w:szCs w:val="24"/>
            </w:rPr>
            <w:t>STRASBOURG</w:t>
          </w:r>
        </w:smartTag>
      </w:smartTag>
    </w:p>
    <w:p w:rsidR="00FA3CA4" w:rsidRPr="00FA3CA4" w:rsidRDefault="00FA3CA4" w:rsidP="007317B8">
      <w:pPr>
        <w:pStyle w:val="JuPara"/>
        <w:ind w:firstLine="0"/>
        <w:jc w:val="center"/>
        <w:rPr>
          <w:sz w:val="22"/>
          <w:szCs w:val="22"/>
        </w:rPr>
      </w:pPr>
    </w:p>
    <w:p w:rsidR="00FA3CA4" w:rsidRPr="00FA3CA4" w:rsidRDefault="00FA3CA4" w:rsidP="007317B8">
      <w:pPr>
        <w:pStyle w:val="JuPara"/>
        <w:ind w:firstLine="0"/>
        <w:jc w:val="center"/>
        <w:rPr>
          <w:szCs w:val="24"/>
        </w:rPr>
      </w:pPr>
      <w:r w:rsidRPr="00FA3CA4">
        <w:rPr>
          <w:szCs w:val="24"/>
        </w:rPr>
        <w:t>19 April 2011</w:t>
      </w:r>
    </w:p>
    <w:p w:rsidR="00FA3CA4" w:rsidRDefault="00FA3CA4" w:rsidP="007317B8">
      <w:pPr>
        <w:pStyle w:val="JuPara"/>
        <w:ind w:firstLine="0"/>
        <w:jc w:val="center"/>
        <w:rPr>
          <w:sz w:val="22"/>
          <w:szCs w:val="22"/>
        </w:rPr>
      </w:pPr>
    </w:p>
    <w:p w:rsidR="0093060B" w:rsidRDefault="0093060B" w:rsidP="0093060B">
      <w:pPr>
        <w:jc w:val="center"/>
        <w:rPr>
          <w:b/>
          <w:color w:val="FF0000"/>
          <w:szCs w:val="24"/>
          <w:u w:val="single"/>
        </w:rPr>
      </w:pPr>
      <w:bookmarkStart w:id="1" w:name="OLE_LINK1"/>
      <w:bookmarkStart w:id="2" w:name="OLE_LINK2"/>
      <w:bookmarkStart w:id="3" w:name="OLE_LINK14"/>
      <w:bookmarkStart w:id="4" w:name="OLE_LINK15"/>
      <w:bookmarkStart w:id="5" w:name="OLE_LINK34"/>
      <w:bookmarkStart w:id="6" w:name="OLE_LINK36"/>
      <w:r w:rsidRPr="008F13C5">
        <w:rPr>
          <w:b/>
          <w:color w:val="FF0000"/>
          <w:szCs w:val="24"/>
          <w:u w:val="single"/>
        </w:rPr>
        <w:t>FINAL</w:t>
      </w:r>
    </w:p>
    <w:p w:rsidR="0093060B" w:rsidRPr="008F13C5" w:rsidRDefault="0093060B" w:rsidP="0093060B">
      <w:pPr>
        <w:jc w:val="center"/>
        <w:rPr>
          <w:b/>
          <w:color w:val="FF0000"/>
          <w:szCs w:val="24"/>
          <w:u w:val="single"/>
        </w:rPr>
      </w:pPr>
    </w:p>
    <w:p w:rsidR="0093060B" w:rsidRDefault="0093060B" w:rsidP="0093060B">
      <w:pPr>
        <w:jc w:val="center"/>
        <w:rPr>
          <w:i/>
          <w:color w:val="FF0000"/>
          <w:szCs w:val="24"/>
        </w:rPr>
      </w:pPr>
      <w:r>
        <w:rPr>
          <w:i/>
          <w:color w:val="FF0000"/>
          <w:szCs w:val="24"/>
        </w:rPr>
        <w:t>1</w:t>
      </w:r>
      <w:r w:rsidR="0089519E">
        <w:rPr>
          <w:i/>
          <w:color w:val="FF0000"/>
          <w:szCs w:val="24"/>
        </w:rPr>
        <w:t>9/07</w:t>
      </w:r>
      <w:r>
        <w:rPr>
          <w:i/>
          <w:color w:val="FF0000"/>
          <w:szCs w:val="24"/>
        </w:rPr>
        <w:t>/2011</w:t>
      </w:r>
    </w:p>
    <w:p w:rsidR="0093060B" w:rsidRDefault="0093060B" w:rsidP="0093060B">
      <w:pPr>
        <w:jc w:val="center"/>
        <w:rPr>
          <w:i/>
          <w:color w:val="FF0000"/>
          <w:szCs w:val="24"/>
        </w:rPr>
      </w:pPr>
    </w:p>
    <w:p w:rsidR="0093060B" w:rsidRPr="006540F9" w:rsidRDefault="0093060B" w:rsidP="0093060B">
      <w:pPr>
        <w:rPr>
          <w:i/>
          <w:color w:val="000000"/>
          <w:szCs w:val="24"/>
        </w:rPr>
      </w:pPr>
      <w:r w:rsidRPr="006540F9">
        <w:rPr>
          <w:i/>
          <w:color w:val="000000"/>
          <w:szCs w:val="24"/>
        </w:rPr>
        <w:t xml:space="preserve">This judgment </w:t>
      </w:r>
      <w:r>
        <w:rPr>
          <w:i/>
          <w:color w:val="000000"/>
          <w:szCs w:val="24"/>
        </w:rPr>
        <w:t>has become</w:t>
      </w:r>
      <w:r w:rsidRPr="006540F9">
        <w:rPr>
          <w:i/>
          <w:color w:val="000000"/>
          <w:szCs w:val="24"/>
        </w:rPr>
        <w:t xml:space="preserve"> final </w:t>
      </w:r>
      <w:r>
        <w:rPr>
          <w:i/>
          <w:color w:val="000000"/>
          <w:szCs w:val="24"/>
        </w:rPr>
        <w:t>under</w:t>
      </w:r>
      <w:r w:rsidRPr="006540F9">
        <w:rPr>
          <w:i/>
          <w:color w:val="000000"/>
          <w:szCs w:val="24"/>
        </w:rPr>
        <w:t xml:space="preserve"> Article 44 § 2 of the Convention. It may be subject to editorial revision.</w:t>
      </w:r>
    </w:p>
    <w:bookmarkEnd w:id="1"/>
    <w:bookmarkEnd w:id="2"/>
    <w:bookmarkEnd w:id="3"/>
    <w:bookmarkEnd w:id="4"/>
    <w:bookmarkEnd w:id="5"/>
    <w:bookmarkEnd w:id="6"/>
    <w:p w:rsidR="00FA3CA4" w:rsidRDefault="00FA3CA4" w:rsidP="00C62B13">
      <w:pPr>
        <w:tabs>
          <w:tab w:val="left" w:pos="284"/>
        </w:tabs>
        <w:ind w:firstLine="284"/>
        <w:sectPr w:rsidR="00FA3CA4" w:rsidSect="00FA3CA4">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254"/>
        </w:sectPr>
      </w:pPr>
    </w:p>
    <w:p w:rsidR="00F71A6A" w:rsidRPr="00C62B13" w:rsidRDefault="00F71A6A" w:rsidP="00C62B13">
      <w:pPr>
        <w:tabs>
          <w:tab w:val="left" w:pos="284"/>
        </w:tabs>
        <w:ind w:firstLine="284"/>
        <w:rPr>
          <w:b/>
        </w:rPr>
      </w:pPr>
      <w:r w:rsidRPr="00C62B13">
        <w:rPr>
          <w:b/>
        </w:rPr>
        <w:t xml:space="preserve">In the case of </w:t>
      </w:r>
      <w:r w:rsidR="00C62B13">
        <w:rPr>
          <w:b/>
        </w:rPr>
        <w:t xml:space="preserve">Tomasz </w:t>
      </w:r>
      <w:r w:rsidR="00B61838" w:rsidRPr="00C62B13">
        <w:rPr>
          <w:rStyle w:val="JuCaseChar"/>
        </w:rPr>
        <w:t>Kwiatkowski v.</w:t>
      </w:r>
      <w:r w:rsidR="007317B8">
        <w:rPr>
          <w:rStyle w:val="JuCaseChar"/>
        </w:rPr>
        <w:t xml:space="preserve"> </w:t>
      </w:r>
      <w:r w:rsidR="00B61838" w:rsidRPr="00C62B13">
        <w:rPr>
          <w:rStyle w:val="JuCaseChar"/>
        </w:rPr>
        <w:t>Poland</w:t>
      </w:r>
      <w:r w:rsidRPr="00C62B13">
        <w:t>,</w:t>
      </w:r>
    </w:p>
    <w:p w:rsidR="00730433" w:rsidRPr="00B61838" w:rsidRDefault="00F71A6A" w:rsidP="008824B9">
      <w:pPr>
        <w:pStyle w:val="JuPara"/>
      </w:pPr>
      <w:r w:rsidRPr="00B61838">
        <w:t>The European Court of Human Rights (</w:t>
      </w:r>
      <w:r w:rsidR="00B61838" w:rsidRPr="00B61838">
        <w:t>Fourth Section</w:t>
      </w:r>
      <w:r w:rsidRPr="00B61838">
        <w:t>), sitting as a</w:t>
      </w:r>
      <w:r w:rsidR="007A1160">
        <w:t> </w:t>
      </w:r>
      <w:r w:rsidR="00B61838" w:rsidRPr="00B61838">
        <w:t>Chamber</w:t>
      </w:r>
      <w:r w:rsidR="00730433" w:rsidRPr="00B61838">
        <w:t xml:space="preserve"> composed of:</w:t>
      </w:r>
    </w:p>
    <w:p w:rsidR="00F71A6A" w:rsidRPr="00B61838" w:rsidRDefault="00FA3CA4" w:rsidP="008824B9">
      <w:pPr>
        <w:pStyle w:val="JuJudges"/>
      </w:pPr>
      <w:r w:rsidRPr="00FA3CA4">
        <w:tab/>
        <w:t>Nicolas</w:t>
      </w:r>
      <w:r>
        <w:t xml:space="preserve"> </w:t>
      </w:r>
      <w:r w:rsidRPr="00FA3CA4">
        <w:t>Bratza</w:t>
      </w:r>
      <w:r>
        <w:t>,</w:t>
      </w:r>
      <w:r w:rsidRPr="00FA3CA4">
        <w:rPr>
          <w:i/>
        </w:rPr>
        <w:t xml:space="preserve"> President,</w:t>
      </w:r>
      <w:r>
        <w:rPr>
          <w:i/>
        </w:rPr>
        <w:br/>
      </w:r>
      <w:r w:rsidRPr="00FA3CA4">
        <w:tab/>
        <w:t>Lech</w:t>
      </w:r>
      <w:r>
        <w:t xml:space="preserve"> </w:t>
      </w:r>
      <w:r w:rsidRPr="00FA3CA4">
        <w:t>Garlicki</w:t>
      </w:r>
      <w:r>
        <w:t>,</w:t>
      </w:r>
      <w:r>
        <w:rPr>
          <w:i/>
        </w:rPr>
        <w:br/>
      </w:r>
      <w:r w:rsidRPr="00FA3CA4">
        <w:tab/>
        <w:t>Ljiljana</w:t>
      </w:r>
      <w:r>
        <w:t xml:space="preserve"> </w:t>
      </w:r>
      <w:r w:rsidRPr="00FA3CA4">
        <w:t>Mijović</w:t>
      </w:r>
      <w:r>
        <w:t>,</w:t>
      </w:r>
      <w:r>
        <w:rPr>
          <w:i/>
        </w:rPr>
        <w:br/>
      </w:r>
      <w:r w:rsidRPr="00FA3CA4">
        <w:tab/>
        <w:t>Sverre Erik</w:t>
      </w:r>
      <w:r>
        <w:t xml:space="preserve"> </w:t>
      </w:r>
      <w:r w:rsidRPr="00FA3CA4">
        <w:t>Jebens</w:t>
      </w:r>
      <w:r>
        <w:t>,</w:t>
      </w:r>
      <w:r>
        <w:rPr>
          <w:i/>
        </w:rPr>
        <w:br/>
      </w:r>
      <w:r w:rsidRPr="00FA3CA4">
        <w:tab/>
        <w:t>Päivi</w:t>
      </w:r>
      <w:r>
        <w:t xml:space="preserve"> </w:t>
      </w:r>
      <w:r w:rsidRPr="00FA3CA4">
        <w:t>Hirvelä</w:t>
      </w:r>
      <w:r>
        <w:t>,</w:t>
      </w:r>
      <w:r>
        <w:rPr>
          <w:i/>
        </w:rPr>
        <w:br/>
      </w:r>
      <w:r w:rsidRPr="00FA3CA4">
        <w:tab/>
        <w:t>Ledi</w:t>
      </w:r>
      <w:r>
        <w:t xml:space="preserve"> </w:t>
      </w:r>
      <w:r w:rsidRPr="00FA3CA4">
        <w:t>Bianku</w:t>
      </w:r>
      <w:r>
        <w:t>,</w:t>
      </w:r>
      <w:r>
        <w:rPr>
          <w:i/>
        </w:rPr>
        <w:br/>
      </w:r>
      <w:r w:rsidRPr="00FA3CA4">
        <w:tab/>
        <w:t>Zdravka</w:t>
      </w:r>
      <w:r>
        <w:t xml:space="preserve"> </w:t>
      </w:r>
      <w:r w:rsidRPr="00FA3CA4">
        <w:t>Kalaydjieva</w:t>
      </w:r>
      <w:r>
        <w:t>,</w:t>
      </w:r>
      <w:r w:rsidRPr="00FA3CA4">
        <w:rPr>
          <w:i/>
        </w:rPr>
        <w:t xml:space="preserve"> judges,</w:t>
      </w:r>
      <w:r>
        <w:rPr>
          <w:i/>
        </w:rPr>
        <w:br/>
      </w:r>
      <w:r w:rsidR="00F71A6A" w:rsidRPr="00B61838">
        <w:t>and</w:t>
      </w:r>
      <w:r w:rsidR="000726F6" w:rsidRPr="00B61838">
        <w:t xml:space="preserve"> </w:t>
      </w:r>
      <w:r w:rsidR="00B61838" w:rsidRPr="00B61838">
        <w:t>Lawrence Early</w:t>
      </w:r>
      <w:r w:rsidR="009D4B87" w:rsidRPr="00B61838">
        <w:rPr>
          <w:rStyle w:val="JuJudgesChar"/>
        </w:rPr>
        <w:t xml:space="preserve">, </w:t>
      </w:r>
      <w:r w:rsidR="00B61838" w:rsidRPr="00B61838">
        <w:rPr>
          <w:i/>
        </w:rPr>
        <w:t xml:space="preserve">Section </w:t>
      </w:r>
      <w:r w:rsidR="00B61838" w:rsidRPr="00B61838">
        <w:rPr>
          <w:i/>
          <w:iCs/>
        </w:rPr>
        <w:t>Registrar</w:t>
      </w:r>
      <w:r w:rsidR="00F71A6A" w:rsidRPr="00B61838">
        <w:rPr>
          <w:i/>
        </w:rPr>
        <w:t>,</w:t>
      </w:r>
    </w:p>
    <w:p w:rsidR="00F71A6A" w:rsidRPr="00B61838" w:rsidRDefault="00F71A6A" w:rsidP="008824B9">
      <w:pPr>
        <w:pStyle w:val="JuPara"/>
      </w:pPr>
      <w:r w:rsidRPr="00B61838">
        <w:t xml:space="preserve">Having deliberated in private on </w:t>
      </w:r>
      <w:r w:rsidR="00FA3CA4">
        <w:t>29 March 2011</w:t>
      </w:r>
      <w:r w:rsidRPr="00B61838">
        <w:t>,</w:t>
      </w:r>
    </w:p>
    <w:p w:rsidR="00F71A6A" w:rsidRPr="00B61838" w:rsidRDefault="00F71A6A" w:rsidP="008824B9">
      <w:pPr>
        <w:pStyle w:val="JuPara"/>
      </w:pPr>
      <w:r w:rsidRPr="00B61838">
        <w:t>Delivers the following judgment, which was adopted on that date:</w:t>
      </w:r>
    </w:p>
    <w:p w:rsidR="00F71A6A" w:rsidRPr="00B61838" w:rsidRDefault="00F71A6A" w:rsidP="008824B9">
      <w:pPr>
        <w:pStyle w:val="JuHHead"/>
      </w:pPr>
      <w:r w:rsidRPr="00B61838">
        <w:t>PROCEDURE</w:t>
      </w:r>
    </w:p>
    <w:p w:rsidR="007317B8" w:rsidRDefault="00B61838" w:rsidP="00B61838">
      <w:pPr>
        <w:pStyle w:val="JuPara"/>
      </w:pPr>
      <w:r w:rsidRPr="00B61838">
        <w:fldChar w:fldCharType="begin"/>
      </w:r>
      <w:r w:rsidRPr="00B61838">
        <w:instrText xml:space="preserve"> SEQ level0 \*arabic </w:instrText>
      </w:r>
      <w:r w:rsidRPr="00B61838">
        <w:fldChar w:fldCharType="separate"/>
      </w:r>
      <w:r w:rsidR="00D000D9">
        <w:rPr>
          <w:noProof/>
        </w:rPr>
        <w:t>1</w:t>
      </w:r>
      <w:r w:rsidRPr="00B61838">
        <w:fldChar w:fldCharType="end"/>
      </w:r>
      <w:r w:rsidR="00F71A6A" w:rsidRPr="00B61838">
        <w:t xml:space="preserve">.  The case originated in </w:t>
      </w:r>
      <w:r w:rsidRPr="00B61838">
        <w:t>an application (no.</w:t>
      </w:r>
      <w:r w:rsidR="007A1160">
        <w:t> </w:t>
      </w:r>
      <w:r w:rsidRPr="00B61838">
        <w:t>24254/05)</w:t>
      </w:r>
      <w:r w:rsidR="00F71A6A" w:rsidRPr="00B61838">
        <w:t xml:space="preserve"> against </w:t>
      </w:r>
      <w:r w:rsidRPr="00B61838">
        <w:t>the</w:t>
      </w:r>
      <w:r w:rsidR="007317B8">
        <w:t xml:space="preserve"> </w:t>
      </w:r>
      <w:smartTag w:uri="urn:schemas-microsoft-com:office:smarttags" w:element="place">
        <w:smartTag w:uri="urn:schemas-microsoft-com:office:smarttags" w:element="PlaceType">
          <w:r w:rsidRPr="00B61838">
            <w:t>Republic</w:t>
          </w:r>
        </w:smartTag>
        <w:r w:rsidRPr="00B61838">
          <w:t xml:space="preserve"> of </w:t>
        </w:r>
        <w:smartTag w:uri="urn:schemas-microsoft-com:office:smarttags" w:element="PlaceName">
          <w:r w:rsidRPr="00B61838">
            <w:t>Poland</w:t>
          </w:r>
        </w:smartTag>
      </w:smartTag>
      <w:r w:rsidR="00F71A6A" w:rsidRPr="00B61838">
        <w:t xml:space="preserve"> lodged with the </w:t>
      </w:r>
      <w:r w:rsidRPr="00B61838">
        <w:t>Court under Article</w:t>
      </w:r>
      <w:r w:rsidR="007317B8">
        <w:t xml:space="preserve"> </w:t>
      </w:r>
      <w:r w:rsidRPr="00B61838">
        <w:t>34</w:t>
      </w:r>
      <w:r w:rsidR="004920B1" w:rsidRPr="00B61838">
        <w:t xml:space="preserve"> of the</w:t>
      </w:r>
      <w:r w:rsidR="007317B8">
        <w:t xml:space="preserve"> </w:t>
      </w:r>
      <w:r w:rsidR="004920B1" w:rsidRPr="00B61838">
        <w:t>Convention for the Protection of Human Rights and Fundamental Freedoms (“the Convention”)</w:t>
      </w:r>
      <w:r w:rsidR="00F71A6A" w:rsidRPr="00B61838">
        <w:t xml:space="preserve"> by </w:t>
      </w:r>
      <w:r w:rsidR="00883B84">
        <w:t>a</w:t>
      </w:r>
      <w:r w:rsidRPr="00B61838">
        <w:t xml:space="preserve"> Polish national, Mr</w:t>
      </w:r>
      <w:r w:rsidR="007A1160">
        <w:t> </w:t>
      </w:r>
      <w:r w:rsidRPr="00B61838">
        <w:t>Tomasz</w:t>
      </w:r>
      <w:r w:rsidR="007A1160">
        <w:t> </w:t>
      </w:r>
      <w:r w:rsidRPr="00B61838">
        <w:t>Kwiatkowski (“the applicant”), on 24</w:t>
      </w:r>
      <w:r w:rsidR="007A1160">
        <w:t> </w:t>
      </w:r>
      <w:r w:rsidRPr="00B61838">
        <w:t>June 2005</w:t>
      </w:r>
      <w:r w:rsidR="00F71A6A" w:rsidRPr="00B61838">
        <w:t>.</w:t>
      </w:r>
    </w:p>
    <w:p w:rsidR="00B61838" w:rsidRDefault="00B61838" w:rsidP="00B61838">
      <w:pPr>
        <w:pStyle w:val="JuPara"/>
      </w:pPr>
      <w:r>
        <w:fldChar w:fldCharType="begin"/>
      </w:r>
      <w:r>
        <w:instrText xml:space="preserve"> SEQ level0 \*arabic </w:instrText>
      </w:r>
      <w:r>
        <w:fldChar w:fldCharType="separate"/>
      </w:r>
      <w:r w:rsidR="00D000D9">
        <w:rPr>
          <w:noProof/>
        </w:rPr>
        <w:t>2</w:t>
      </w:r>
      <w:r>
        <w:fldChar w:fldCharType="end"/>
      </w:r>
      <w:r>
        <w:t>.  </w:t>
      </w:r>
      <w:r w:rsidRPr="00441958">
        <w:t xml:space="preserve">The Polish Government (“the Government”) </w:t>
      </w:r>
      <w:r w:rsidRPr="003479AD">
        <w:t xml:space="preserve">were </w:t>
      </w:r>
      <w:r>
        <w:t>represented by their Agent,</w:t>
      </w:r>
      <w:r w:rsidRPr="00EB2FFD">
        <w:t xml:space="preserve"> Mr J. Wołąsiewicz of the Ministry of Foreign Affairs.</w:t>
      </w:r>
    </w:p>
    <w:p w:rsidR="00883B84" w:rsidRDefault="00883B84" w:rsidP="00883B84">
      <w:pPr>
        <w:pStyle w:val="JuPara"/>
      </w:pPr>
      <w:r w:rsidRPr="00441958">
        <w:fldChar w:fldCharType="begin"/>
      </w:r>
      <w:r w:rsidRPr="00441958">
        <w:instrText xml:space="preserve"> SEQ level0 \*arabic </w:instrText>
      </w:r>
      <w:r w:rsidRPr="00441958">
        <w:fldChar w:fldCharType="separate"/>
      </w:r>
      <w:r w:rsidR="00D000D9">
        <w:rPr>
          <w:noProof/>
        </w:rPr>
        <w:t>3</w:t>
      </w:r>
      <w:r w:rsidRPr="00441958">
        <w:fldChar w:fldCharType="end"/>
      </w:r>
      <w:r w:rsidRPr="00441958">
        <w:t>.  The applicant alleged</w:t>
      </w:r>
      <w:r>
        <w:t xml:space="preserve">, </w:t>
      </w:r>
      <w:r w:rsidRPr="00795485">
        <w:rPr>
          <w:i/>
        </w:rPr>
        <w:t>inter alia</w:t>
      </w:r>
      <w:r>
        <w:t>, that the lustration proceedings in his case had been unfair, in violation of Article</w:t>
      </w:r>
      <w:r w:rsidR="00046555">
        <w:t> </w:t>
      </w:r>
      <w:r>
        <w:t>6 of the Convention</w:t>
      </w:r>
      <w:r w:rsidRPr="00441958">
        <w:t>.</w:t>
      </w:r>
    </w:p>
    <w:p w:rsidR="00F71A6A" w:rsidRPr="007A1160" w:rsidRDefault="00B61838" w:rsidP="00A80135">
      <w:pPr>
        <w:pStyle w:val="JuPara"/>
        <w:rPr>
          <w:spacing w:val="-4"/>
        </w:rPr>
      </w:pPr>
      <w:r w:rsidRPr="00B61838">
        <w:fldChar w:fldCharType="begin"/>
      </w:r>
      <w:r w:rsidRPr="00B61838">
        <w:instrText xml:space="preserve"> SEQ level0 \*arabic </w:instrText>
      </w:r>
      <w:r w:rsidRPr="00B61838">
        <w:fldChar w:fldCharType="separate"/>
      </w:r>
      <w:r w:rsidR="00D000D9">
        <w:rPr>
          <w:noProof/>
        </w:rPr>
        <w:t>4</w:t>
      </w:r>
      <w:r w:rsidRPr="00B61838">
        <w:fldChar w:fldCharType="end"/>
      </w:r>
      <w:r w:rsidR="00F71A6A" w:rsidRPr="00B61838">
        <w:t>.  </w:t>
      </w:r>
      <w:r w:rsidR="00F71A6A" w:rsidRPr="007A1160">
        <w:rPr>
          <w:spacing w:val="-4"/>
        </w:rPr>
        <w:t xml:space="preserve">On </w:t>
      </w:r>
      <w:r w:rsidR="00883B84" w:rsidRPr="007A1160">
        <w:rPr>
          <w:spacing w:val="-4"/>
        </w:rPr>
        <w:t>8</w:t>
      </w:r>
      <w:r w:rsidR="007A1160" w:rsidRPr="007A1160">
        <w:rPr>
          <w:spacing w:val="-4"/>
        </w:rPr>
        <w:t> </w:t>
      </w:r>
      <w:r w:rsidR="00883B84" w:rsidRPr="007A1160">
        <w:rPr>
          <w:spacing w:val="-4"/>
        </w:rPr>
        <w:t>October 2008</w:t>
      </w:r>
      <w:r w:rsidR="00F71A6A" w:rsidRPr="007A1160">
        <w:rPr>
          <w:spacing w:val="-4"/>
        </w:rPr>
        <w:t xml:space="preserve"> </w:t>
      </w:r>
      <w:r w:rsidRPr="007A1160">
        <w:rPr>
          <w:spacing w:val="-4"/>
        </w:rPr>
        <w:t>the President of the Fourth Section</w:t>
      </w:r>
      <w:r w:rsidR="00F71A6A" w:rsidRPr="007A1160">
        <w:rPr>
          <w:spacing w:val="-4"/>
        </w:rPr>
        <w:t xml:space="preserve"> decided to </w:t>
      </w:r>
      <w:r w:rsidR="00756D5B" w:rsidRPr="007A1160">
        <w:rPr>
          <w:spacing w:val="-4"/>
        </w:rPr>
        <w:t>give notice of the application</w:t>
      </w:r>
      <w:r w:rsidR="00F71A6A" w:rsidRPr="007A1160">
        <w:rPr>
          <w:spacing w:val="-4"/>
        </w:rPr>
        <w:t xml:space="preserve"> to the Gove</w:t>
      </w:r>
      <w:r w:rsidR="00485A6F" w:rsidRPr="007A1160">
        <w:rPr>
          <w:spacing w:val="-4"/>
        </w:rPr>
        <w:t>rnment.</w:t>
      </w:r>
      <w:r w:rsidRPr="007A1160">
        <w:rPr>
          <w:spacing w:val="-4"/>
        </w:rPr>
        <w:t xml:space="preserve"> It was also decided to rule on the admissibility and merits of the application at the same time.</w:t>
      </w:r>
    </w:p>
    <w:p w:rsidR="00F71A6A" w:rsidRPr="00B61838" w:rsidRDefault="00F71A6A" w:rsidP="008824B9">
      <w:pPr>
        <w:pStyle w:val="JuHHead"/>
      </w:pPr>
      <w:r w:rsidRPr="00B61838">
        <w:t>THE FACTS</w:t>
      </w:r>
    </w:p>
    <w:p w:rsidR="00D353F4" w:rsidRPr="00B61838" w:rsidRDefault="007352DD" w:rsidP="008824B9">
      <w:pPr>
        <w:pStyle w:val="JuHIRoman"/>
        <w:outlineLvl w:val="0"/>
      </w:pPr>
      <w:r w:rsidRPr="00B61838">
        <w:t xml:space="preserve">I.  THE CIRCUMSTANCES OF THE </w:t>
      </w:r>
      <w:r w:rsidR="00D353F4" w:rsidRPr="00B61838">
        <w:t>CASE</w:t>
      </w:r>
    </w:p>
    <w:p w:rsidR="00F71A6A" w:rsidRPr="00B61838" w:rsidRDefault="00B61838">
      <w:pPr>
        <w:pStyle w:val="JuPara"/>
      </w:pPr>
      <w:r w:rsidRPr="00B61838">
        <w:fldChar w:fldCharType="begin"/>
      </w:r>
      <w:r w:rsidRPr="00B61838">
        <w:instrText xml:space="preserve"> SEQ level0 \*arabic </w:instrText>
      </w:r>
      <w:r w:rsidRPr="00B61838">
        <w:fldChar w:fldCharType="separate"/>
      </w:r>
      <w:r w:rsidR="00D000D9">
        <w:rPr>
          <w:noProof/>
        </w:rPr>
        <w:t>5</w:t>
      </w:r>
      <w:r w:rsidRPr="00B61838">
        <w:fldChar w:fldCharType="end"/>
      </w:r>
      <w:r w:rsidR="00F71A6A" w:rsidRPr="00B61838">
        <w:t xml:space="preserve">.  The </w:t>
      </w:r>
      <w:r w:rsidRPr="00B61838">
        <w:t>applicant was born in 1948 and lives</w:t>
      </w:r>
      <w:r w:rsidR="00F71A6A" w:rsidRPr="00B61838">
        <w:t xml:space="preserve"> in </w:t>
      </w:r>
      <w:r w:rsidRPr="00B61838">
        <w:t>Konstancin</w:t>
      </w:r>
      <w:r w:rsidR="00877F86">
        <w:noBreakHyphen/>
      </w:r>
      <w:r w:rsidRPr="00B61838">
        <w:t>Jeziorna</w:t>
      </w:r>
      <w:r w:rsidR="00F71A6A" w:rsidRPr="00B61838">
        <w:t>.</w:t>
      </w:r>
    </w:p>
    <w:p w:rsidR="00883B84" w:rsidRPr="00CC5CD4" w:rsidRDefault="00883B84" w:rsidP="00883B84">
      <w:pPr>
        <w:pStyle w:val="JuPara"/>
      </w:pPr>
      <w:r w:rsidRPr="00CC5CD4">
        <w:fldChar w:fldCharType="begin"/>
      </w:r>
      <w:r w:rsidRPr="00CC5CD4">
        <w:instrText xml:space="preserve"> SEQ level0 \*arabic </w:instrText>
      </w:r>
      <w:r w:rsidRPr="00CC5CD4">
        <w:fldChar w:fldCharType="separate"/>
      </w:r>
      <w:r w:rsidR="00D000D9">
        <w:rPr>
          <w:noProof/>
        </w:rPr>
        <w:t>6</w:t>
      </w:r>
      <w:r w:rsidRPr="00CC5CD4">
        <w:fldChar w:fldCharType="end"/>
      </w:r>
      <w:r w:rsidRPr="00CC5CD4">
        <w:t>.  On 11</w:t>
      </w:r>
      <w:r w:rsidR="007A1160">
        <w:t> </w:t>
      </w:r>
      <w:r w:rsidRPr="00CC5CD4">
        <w:t>April 1997 the parliament passed the Law on disclosing work for or service in the State</w:t>
      </w:r>
      <w:r w:rsidR="00C70C19">
        <w:t>’</w:t>
      </w:r>
      <w:r w:rsidRPr="00CC5CD4">
        <w:t xml:space="preserve">s security services or collaboration with them between 1944 and 1990 by persons exercising public functions </w:t>
      </w:r>
      <w:r w:rsidRPr="00CC5CD4">
        <w:rPr>
          <w:i/>
        </w:rPr>
        <w:t>(ustawa o</w:t>
      </w:r>
      <w:r w:rsidR="007A1160">
        <w:rPr>
          <w:i/>
        </w:rPr>
        <w:t> </w:t>
      </w:r>
      <w:r w:rsidRPr="00CC5CD4">
        <w:rPr>
          <w:i/>
        </w:rPr>
        <w:t>ujawnieniu pracy lub służby w organach bezpieczeństwa państwa lub współpracy z nimi w latach 1944</w:t>
      </w:r>
      <w:r w:rsidR="007A1160">
        <w:rPr>
          <w:i/>
        </w:rPr>
        <w:noBreakHyphen/>
      </w:r>
      <w:r w:rsidRPr="00CC5CD4">
        <w:rPr>
          <w:i/>
        </w:rPr>
        <w:t>1990 osób pełniących funkcje publiczne</w:t>
      </w:r>
      <w:r w:rsidRPr="00CC5CD4">
        <w:t>; “the</w:t>
      </w:r>
      <w:r w:rsidR="007A1160">
        <w:t> </w:t>
      </w:r>
      <w:r w:rsidRPr="00CC5CD4">
        <w:t>1997 Lustration Act”). It entered into force on 3</w:t>
      </w:r>
      <w:r w:rsidR="007A1160">
        <w:t> </w:t>
      </w:r>
      <w:r w:rsidRPr="00CC5CD4">
        <w:t>August 1997. Persons falling under the provisions of the 1997 Lustration Act, i.e. candidates or holders of public office such as ministers and members of parliament, were required to declare whether or not they had worked for or collaborated with the security services during the communist regime. The provisions of the</w:t>
      </w:r>
      <w:r w:rsidR="007A1160">
        <w:t> </w:t>
      </w:r>
      <w:r w:rsidRPr="00CC5CD4">
        <w:t xml:space="preserve">Act extended to, </w:t>
      </w:r>
      <w:r w:rsidRPr="00CC5CD4">
        <w:rPr>
          <w:i/>
        </w:rPr>
        <w:t>inter alia</w:t>
      </w:r>
      <w:r w:rsidRPr="00CC5CD4">
        <w:t>, judges, prosecutors and advocates.</w:t>
      </w:r>
    </w:p>
    <w:p w:rsidR="00883B84" w:rsidRDefault="00883B84" w:rsidP="00883B84">
      <w:pPr>
        <w:pStyle w:val="JuPara"/>
      </w:pPr>
      <w:r>
        <w:fldChar w:fldCharType="begin"/>
      </w:r>
      <w:r>
        <w:instrText xml:space="preserve"> SEQ level0 \*arabic </w:instrText>
      </w:r>
      <w:r>
        <w:fldChar w:fldCharType="separate"/>
      </w:r>
      <w:r w:rsidR="00D000D9">
        <w:rPr>
          <w:noProof/>
        </w:rPr>
        <w:t>7</w:t>
      </w:r>
      <w:r>
        <w:fldChar w:fldCharType="end"/>
      </w:r>
      <w:r>
        <w:t>.  On an unspecified date the applicant, who was an advocate, declared that he had not collaborated with the communist</w:t>
      </w:r>
      <w:r w:rsidR="00877F86">
        <w:noBreakHyphen/>
      </w:r>
      <w:r>
        <w:t>era secret services.</w:t>
      </w:r>
    </w:p>
    <w:p w:rsidR="00883B84" w:rsidRDefault="00883B84" w:rsidP="00883B84">
      <w:pPr>
        <w:pStyle w:val="JuPara"/>
      </w:pPr>
      <w:r>
        <w:fldChar w:fldCharType="begin"/>
      </w:r>
      <w:r>
        <w:instrText xml:space="preserve"> SEQ level0 \*arabic </w:instrText>
      </w:r>
      <w:r>
        <w:fldChar w:fldCharType="separate"/>
      </w:r>
      <w:r w:rsidR="00D000D9">
        <w:rPr>
          <w:noProof/>
        </w:rPr>
        <w:t>8</w:t>
      </w:r>
      <w:r>
        <w:fldChar w:fldCharType="end"/>
      </w:r>
      <w:r>
        <w:t>.  On an unspecified date in 2000 the Warsaw Court of Appeal (</w:t>
      </w:r>
      <w:r w:rsidRPr="00580E3D">
        <w:rPr>
          <w:i/>
        </w:rPr>
        <w:t>Sąd</w:t>
      </w:r>
      <w:r w:rsidR="007A1160">
        <w:rPr>
          <w:i/>
        </w:rPr>
        <w:t> </w:t>
      </w:r>
      <w:r w:rsidRPr="00580E3D">
        <w:rPr>
          <w:i/>
        </w:rPr>
        <w:t>Apelacyjny</w:t>
      </w:r>
      <w:r>
        <w:t>) decided to institute lustration proceedings against the</w:t>
      </w:r>
      <w:r w:rsidR="00FA3CA4">
        <w:t> </w:t>
      </w:r>
      <w:r>
        <w:t>applicant following a request made by the Commissioner of the Public Interest (</w:t>
      </w:r>
      <w:r w:rsidRPr="005006B9">
        <w:rPr>
          <w:i/>
        </w:rPr>
        <w:t>Rzecznik Interesu Publicznego</w:t>
      </w:r>
      <w:r>
        <w:t>) on the grounds that the applicant had lied in his lustration declaration by denying that he had co</w:t>
      </w:r>
      <w:r w:rsidR="00877F86">
        <w:noBreakHyphen/>
      </w:r>
      <w:r>
        <w:t>operated with the secret services.</w:t>
      </w:r>
    </w:p>
    <w:p w:rsidR="00883B84" w:rsidRDefault="00883B84" w:rsidP="00883B84">
      <w:pPr>
        <w:pStyle w:val="JuPara"/>
      </w:pPr>
      <w:r>
        <w:fldChar w:fldCharType="begin"/>
      </w:r>
      <w:r>
        <w:instrText xml:space="preserve"> SEQ level0 \*arabic </w:instrText>
      </w:r>
      <w:r>
        <w:fldChar w:fldCharType="separate"/>
      </w:r>
      <w:r w:rsidR="00D000D9">
        <w:rPr>
          <w:noProof/>
        </w:rPr>
        <w:t>9</w:t>
      </w:r>
      <w:r>
        <w:fldChar w:fldCharType="end"/>
      </w:r>
      <w:r>
        <w:t>.  On 27</w:t>
      </w:r>
      <w:r w:rsidR="007A1160">
        <w:t> </w:t>
      </w:r>
      <w:r>
        <w:t>June 2002 the Warsaw Court of Appeal, acting as the</w:t>
      </w:r>
      <w:r w:rsidR="007A1160">
        <w:t> </w:t>
      </w:r>
      <w:r>
        <w:t>first</w:t>
      </w:r>
      <w:r>
        <w:noBreakHyphen/>
        <w:t>instance lustration court, found that the applicant had submitted an untrue lustration declaration. The operative part of the judgment was served on the applicant. However, the reasoning was considered “secret” and, in</w:t>
      </w:r>
      <w:r w:rsidR="007A1160">
        <w:t> </w:t>
      </w:r>
      <w:r>
        <w:t>accordance with Article 100 § 5 of the Code of Criminal Procedure, could only be consulted in the secret registry of that court.</w:t>
      </w:r>
    </w:p>
    <w:p w:rsidR="00883B84" w:rsidRDefault="00883B84" w:rsidP="00883B84">
      <w:pPr>
        <w:pStyle w:val="JuPara"/>
      </w:pPr>
      <w:r>
        <w:fldChar w:fldCharType="begin"/>
      </w:r>
      <w:r>
        <w:instrText xml:space="preserve"> SEQ level0 \*arabic </w:instrText>
      </w:r>
      <w:r>
        <w:fldChar w:fldCharType="separate"/>
      </w:r>
      <w:r w:rsidR="00D000D9">
        <w:rPr>
          <w:noProof/>
        </w:rPr>
        <w:t>10</w:t>
      </w:r>
      <w:r>
        <w:fldChar w:fldCharType="end"/>
      </w:r>
      <w:r>
        <w:t>.  The applicant lodged an appeal in which he maintained, in particular, that his rights had been breached because he could not freely consult the</w:t>
      </w:r>
      <w:r w:rsidR="00FA3CA4">
        <w:t> </w:t>
      </w:r>
      <w:r>
        <w:t>reasoning of the judgment.</w:t>
      </w:r>
    </w:p>
    <w:p w:rsidR="00883B84" w:rsidRDefault="00883B84" w:rsidP="00883B84">
      <w:pPr>
        <w:pStyle w:val="JuPara"/>
      </w:pPr>
      <w:r>
        <w:fldChar w:fldCharType="begin"/>
      </w:r>
      <w:r>
        <w:instrText xml:space="preserve"> SEQ level0 \*arabic </w:instrText>
      </w:r>
      <w:r>
        <w:fldChar w:fldCharType="separate"/>
      </w:r>
      <w:r w:rsidR="00D000D9">
        <w:rPr>
          <w:noProof/>
        </w:rPr>
        <w:t>11</w:t>
      </w:r>
      <w:r>
        <w:fldChar w:fldCharType="end"/>
      </w:r>
      <w:r>
        <w:t>.  On 16</w:t>
      </w:r>
      <w:r w:rsidR="007A1160">
        <w:t> </w:t>
      </w:r>
      <w:r>
        <w:t>May 2003 the Warsaw Court of Appeal, acting as the</w:t>
      </w:r>
      <w:r w:rsidR="007A1160">
        <w:t> </w:t>
      </w:r>
      <w:r>
        <w:t>second</w:t>
      </w:r>
      <w:r>
        <w:noBreakHyphen/>
        <w:t>instance lustration court, upheld the impugned judgment.</w:t>
      </w:r>
    </w:p>
    <w:p w:rsidR="00883B84" w:rsidRDefault="00883B84" w:rsidP="00883B84">
      <w:pPr>
        <w:pStyle w:val="JuPara"/>
      </w:pPr>
      <w:r>
        <w:fldChar w:fldCharType="begin"/>
      </w:r>
      <w:r>
        <w:instrText xml:space="preserve"> SEQ level0 \*arabic </w:instrText>
      </w:r>
      <w:r>
        <w:fldChar w:fldCharType="separate"/>
      </w:r>
      <w:r w:rsidR="00D000D9">
        <w:rPr>
          <w:noProof/>
        </w:rPr>
        <w:t>12</w:t>
      </w:r>
      <w:r>
        <w:fldChar w:fldCharType="end"/>
      </w:r>
      <w:r>
        <w:t>.  The applicant lodged a cassation appeal against the judgment.</w:t>
      </w:r>
    </w:p>
    <w:p w:rsidR="00883B84" w:rsidRDefault="00883B84" w:rsidP="00883B84">
      <w:pPr>
        <w:pStyle w:val="JuPara"/>
      </w:pPr>
      <w:r>
        <w:fldChar w:fldCharType="begin"/>
      </w:r>
      <w:r>
        <w:instrText xml:space="preserve"> SEQ level0 \*arabic </w:instrText>
      </w:r>
      <w:r>
        <w:fldChar w:fldCharType="separate"/>
      </w:r>
      <w:r w:rsidR="00D000D9">
        <w:rPr>
          <w:noProof/>
        </w:rPr>
        <w:t>13</w:t>
      </w:r>
      <w:r>
        <w:fldChar w:fldCharType="end"/>
      </w:r>
      <w:r>
        <w:t xml:space="preserve">.  On </w:t>
      </w:r>
      <w:r w:rsidR="0016721A">
        <w:t>9</w:t>
      </w:r>
      <w:r w:rsidR="007A1160">
        <w:t> </w:t>
      </w:r>
      <w:r w:rsidR="0016721A">
        <w:t>December</w:t>
      </w:r>
      <w:r>
        <w:t xml:space="preserve"> 2004 the Supreme Court (</w:t>
      </w:r>
      <w:r w:rsidRPr="00580E3D">
        <w:rPr>
          <w:i/>
        </w:rPr>
        <w:t>Sąd Najwyższy</w:t>
      </w:r>
      <w:r>
        <w:t>) dismissed the applicant</w:t>
      </w:r>
      <w:r w:rsidR="00C70C19">
        <w:t>’</w:t>
      </w:r>
      <w:r>
        <w:t>s cassation appeal as being manifestly ill</w:t>
      </w:r>
      <w:r w:rsidR="00877F86">
        <w:noBreakHyphen/>
      </w:r>
      <w:r>
        <w:t>founded. The</w:t>
      </w:r>
      <w:r w:rsidR="007A1160">
        <w:t> </w:t>
      </w:r>
      <w:r>
        <w:t>applicant was removed from the Bar Association with the result that he</w:t>
      </w:r>
      <w:r w:rsidR="007A1160">
        <w:t> </w:t>
      </w:r>
      <w:r>
        <w:t>is unable to practise as an advocate for a period of ten years in application of the 1997 Lustration Act.</w:t>
      </w:r>
    </w:p>
    <w:p w:rsidR="00F71A6A" w:rsidRDefault="00883B84">
      <w:pPr>
        <w:pStyle w:val="JuPara"/>
      </w:pPr>
      <w:r>
        <w:fldChar w:fldCharType="begin"/>
      </w:r>
      <w:r>
        <w:instrText xml:space="preserve"> SEQ level0 \*arabic </w:instrText>
      </w:r>
      <w:r>
        <w:fldChar w:fldCharType="separate"/>
      </w:r>
      <w:r w:rsidR="00D000D9">
        <w:rPr>
          <w:noProof/>
        </w:rPr>
        <w:t>14</w:t>
      </w:r>
      <w:r>
        <w:fldChar w:fldCharType="end"/>
      </w:r>
      <w:r>
        <w:t>.  The judgment was notified to the applicant</w:t>
      </w:r>
      <w:r w:rsidR="00C70C19">
        <w:t>’</w:t>
      </w:r>
      <w:r>
        <w:t>s representative on</w:t>
      </w:r>
      <w:r w:rsidR="007A1160">
        <w:t> </w:t>
      </w:r>
      <w:r>
        <w:t>17 January 2005.</w:t>
      </w:r>
    </w:p>
    <w:p w:rsidR="007352DD" w:rsidRPr="00B61838" w:rsidRDefault="007352DD" w:rsidP="008824B9">
      <w:pPr>
        <w:pStyle w:val="JuHIRoman"/>
        <w:outlineLvl w:val="0"/>
      </w:pPr>
      <w:r w:rsidRPr="00B61838">
        <w:t>II.  RELE</w:t>
      </w:r>
      <w:r w:rsidR="00883B84">
        <w:t>VANT DOMESTIC LAW AND PRACTICE</w:t>
      </w:r>
    </w:p>
    <w:p w:rsidR="007352DD" w:rsidRPr="00883B84" w:rsidRDefault="00B61838" w:rsidP="007352DD">
      <w:pPr>
        <w:pStyle w:val="JuPara"/>
        <w:rPr>
          <w:szCs w:val="24"/>
          <w:lang w:eastAsia="en-US"/>
        </w:rPr>
      </w:pPr>
      <w:r w:rsidRPr="00B61838">
        <w:fldChar w:fldCharType="begin"/>
      </w:r>
      <w:r w:rsidRPr="00B61838">
        <w:instrText xml:space="preserve"> SEQ level0 \*arabic </w:instrText>
      </w:r>
      <w:r w:rsidRPr="00B61838">
        <w:fldChar w:fldCharType="separate"/>
      </w:r>
      <w:r w:rsidR="00D000D9">
        <w:rPr>
          <w:noProof/>
        </w:rPr>
        <w:t>15</w:t>
      </w:r>
      <w:r w:rsidRPr="00B61838">
        <w:fldChar w:fldCharType="end"/>
      </w:r>
      <w:r w:rsidR="007352DD" w:rsidRPr="00B61838">
        <w:t>.  </w:t>
      </w:r>
      <w:r w:rsidR="00883B84" w:rsidRPr="00CC5CD4">
        <w:t xml:space="preserve">The relevant law and practice concerning lustration proceedings in Poland are </w:t>
      </w:r>
      <w:r w:rsidR="00A824D5">
        <w:t>set out in the Court</w:t>
      </w:r>
      <w:r w:rsidR="00C70C19">
        <w:t>’</w:t>
      </w:r>
      <w:r w:rsidR="00A824D5">
        <w:t>s judgment</w:t>
      </w:r>
      <w:r w:rsidR="00883B84" w:rsidRPr="00CC5CD4">
        <w:t xml:space="preserve"> in the case of </w:t>
      </w:r>
      <w:r w:rsidR="007317B8">
        <w:rPr>
          <w:i/>
          <w:lang w:eastAsia="en-US"/>
        </w:rPr>
        <w:t xml:space="preserve">Matyjek v. </w:t>
      </w:r>
      <w:r w:rsidR="00883B84" w:rsidRPr="00CC5CD4">
        <w:rPr>
          <w:i/>
          <w:lang w:eastAsia="en-US"/>
        </w:rPr>
        <w:t>Poland</w:t>
      </w:r>
      <w:r w:rsidR="00883B84" w:rsidRPr="00CC5CD4">
        <w:rPr>
          <w:lang w:eastAsia="en-US"/>
        </w:rPr>
        <w:t>, no.</w:t>
      </w:r>
      <w:r w:rsidR="007A1160">
        <w:rPr>
          <w:lang w:eastAsia="en-US"/>
        </w:rPr>
        <w:t> </w:t>
      </w:r>
      <w:r w:rsidR="00883B84" w:rsidRPr="00CC5CD4">
        <w:rPr>
          <w:lang w:eastAsia="en-US"/>
        </w:rPr>
        <w:t>38184/03, §</w:t>
      </w:r>
      <w:r w:rsidR="007A1160">
        <w:rPr>
          <w:lang w:eastAsia="en-US"/>
        </w:rPr>
        <w:t> </w:t>
      </w:r>
      <w:r w:rsidR="00883B84" w:rsidRPr="00CC5CD4">
        <w:rPr>
          <w:lang w:eastAsia="en-US"/>
        </w:rPr>
        <w:t>27</w:t>
      </w:r>
      <w:r w:rsidR="00877F86">
        <w:rPr>
          <w:lang w:eastAsia="en-US"/>
        </w:rPr>
        <w:noBreakHyphen/>
      </w:r>
      <w:r w:rsidR="00883B84" w:rsidRPr="00CC5CD4">
        <w:rPr>
          <w:lang w:eastAsia="en-US"/>
        </w:rPr>
        <w:t>39, ECHR</w:t>
      </w:r>
      <w:r w:rsidR="007A1160">
        <w:rPr>
          <w:lang w:eastAsia="en-US"/>
        </w:rPr>
        <w:t> </w:t>
      </w:r>
      <w:r w:rsidR="00883B84" w:rsidRPr="00CC5CD4">
        <w:rPr>
          <w:lang w:eastAsia="en-US"/>
        </w:rPr>
        <w:t>2007</w:t>
      </w:r>
      <w:r w:rsidR="00883B84" w:rsidRPr="00CC5CD4">
        <w:rPr>
          <w:lang w:eastAsia="en-US"/>
        </w:rPr>
        <w:noBreakHyphen/>
        <w:t>V.</w:t>
      </w:r>
    </w:p>
    <w:p w:rsidR="00F71A6A" w:rsidRPr="00B61838" w:rsidRDefault="00F71A6A" w:rsidP="008824B9">
      <w:pPr>
        <w:pStyle w:val="JuHHead"/>
      </w:pPr>
      <w:r w:rsidRPr="00B61838">
        <w:t>THE LAW</w:t>
      </w:r>
    </w:p>
    <w:p w:rsidR="00F71A6A" w:rsidRPr="00B61838" w:rsidRDefault="00F71A6A">
      <w:pPr>
        <w:pStyle w:val="JuHIRoman"/>
      </w:pPr>
      <w:r w:rsidRPr="00B61838">
        <w:t xml:space="preserve">I.  ALLEGED VIOLATION OF ARTICLE </w:t>
      </w:r>
      <w:r w:rsidR="00883B84">
        <w:t>6</w:t>
      </w:r>
      <w:r w:rsidRPr="00B61838">
        <w:t xml:space="preserve"> OF THE CONVENTION</w:t>
      </w:r>
      <w:r w:rsidR="00883B84">
        <w:t xml:space="preserve"> REGARDING UNFAIRNESS OF THE PROCEEDINGS</w:t>
      </w:r>
    </w:p>
    <w:p w:rsidR="00883B84" w:rsidRPr="00CC5CD4" w:rsidRDefault="00B61838" w:rsidP="00883B84">
      <w:pPr>
        <w:pStyle w:val="JuPara"/>
      </w:pPr>
      <w:r w:rsidRPr="00B61838">
        <w:fldChar w:fldCharType="begin"/>
      </w:r>
      <w:r w:rsidRPr="00B61838">
        <w:instrText xml:space="preserve"> SEQ level0 \*arabic </w:instrText>
      </w:r>
      <w:r w:rsidRPr="00B61838">
        <w:fldChar w:fldCharType="separate"/>
      </w:r>
      <w:r w:rsidR="00D000D9">
        <w:rPr>
          <w:noProof/>
        </w:rPr>
        <w:t>16</w:t>
      </w:r>
      <w:r w:rsidRPr="00B61838">
        <w:fldChar w:fldCharType="end"/>
      </w:r>
      <w:r w:rsidR="00F71A6A" w:rsidRPr="00B61838">
        <w:t>.  </w:t>
      </w:r>
      <w:r w:rsidR="00883B84" w:rsidRPr="00CC5CD4">
        <w:t>The applicant complained about the unfairness of the lustration proceedings, the infringement of his right of defence and the lack of</w:t>
      </w:r>
      <w:r w:rsidR="007A1160">
        <w:t> </w:t>
      </w:r>
      <w:r w:rsidR="00883B84" w:rsidRPr="00CC5CD4">
        <w:t xml:space="preserve">equality of arms. </w:t>
      </w:r>
      <w:r w:rsidR="00F07262">
        <w:t>He</w:t>
      </w:r>
      <w:r w:rsidR="00883B84" w:rsidRPr="00CC5CD4">
        <w:t xml:space="preserve"> invoked Article</w:t>
      </w:r>
      <w:r w:rsidR="00046555">
        <w:t> </w:t>
      </w:r>
      <w:r w:rsidR="00883B84" w:rsidRPr="00CC5CD4">
        <w:t>6 of the Convention which, in so far as relevant, reads:</w:t>
      </w:r>
    </w:p>
    <w:p w:rsidR="00883B84" w:rsidRPr="00CC5CD4" w:rsidRDefault="00883B84" w:rsidP="00883B84">
      <w:pPr>
        <w:pStyle w:val="JuQuot"/>
      </w:pPr>
      <w:r w:rsidRPr="00CC5CD4">
        <w:t>“1.  In the determination ... of any criminal charge against him, everyone is entitled to a fair and public hearing ...by [a] ... tribunal...</w:t>
      </w:r>
    </w:p>
    <w:p w:rsidR="00883B84" w:rsidRPr="00CC5CD4" w:rsidRDefault="00883B84" w:rsidP="00883B84">
      <w:pPr>
        <w:pStyle w:val="JuQuot"/>
      </w:pPr>
      <w:r w:rsidRPr="00CC5CD4">
        <w:t>3.  Everyone charged with a criminal offence has the following minimum rights:</w:t>
      </w:r>
    </w:p>
    <w:p w:rsidR="00883B84" w:rsidRPr="00CC5CD4" w:rsidRDefault="00883B84" w:rsidP="00883B84">
      <w:pPr>
        <w:pStyle w:val="JuQuot"/>
      </w:pPr>
      <w:r w:rsidRPr="00CC5CD4">
        <w:t>...</w:t>
      </w:r>
    </w:p>
    <w:p w:rsidR="00883B84" w:rsidRPr="00CC5CD4" w:rsidRDefault="00883B84" w:rsidP="00883B84">
      <w:pPr>
        <w:pStyle w:val="JuQuotList"/>
      </w:pPr>
      <w:r w:rsidRPr="00CC5CD4">
        <w:t>(b)  to have adequate time and facilities for the preparation of his defence;</w:t>
      </w:r>
    </w:p>
    <w:p w:rsidR="00883B84" w:rsidRPr="00CC5CD4" w:rsidRDefault="00FA3CA4" w:rsidP="00883B84">
      <w:pPr>
        <w:pStyle w:val="JuQuotList"/>
      </w:pPr>
      <w:r>
        <w:t>...</w:t>
      </w:r>
      <w:r w:rsidR="00883B84" w:rsidRPr="00CC5CD4">
        <w:t>”</w:t>
      </w:r>
    </w:p>
    <w:p w:rsidR="00F71A6A" w:rsidRPr="00B61838" w:rsidRDefault="00B61838">
      <w:pPr>
        <w:pStyle w:val="JuPara"/>
      </w:pPr>
      <w:r w:rsidRPr="00B61838">
        <w:fldChar w:fldCharType="begin"/>
      </w:r>
      <w:r w:rsidRPr="00B61838">
        <w:instrText xml:space="preserve"> SEQ level0 \*arabic </w:instrText>
      </w:r>
      <w:r w:rsidRPr="00B61838">
        <w:fldChar w:fldCharType="separate"/>
      </w:r>
      <w:r w:rsidR="00D000D9">
        <w:rPr>
          <w:noProof/>
        </w:rPr>
        <w:t>17</w:t>
      </w:r>
      <w:r w:rsidRPr="00B61838">
        <w:fldChar w:fldCharType="end"/>
      </w:r>
      <w:r w:rsidR="00F71A6A" w:rsidRPr="00B61838">
        <w:t>.  The Government contested that argument.</w:t>
      </w:r>
    </w:p>
    <w:p w:rsidR="00F71A6A" w:rsidRPr="00B61838" w:rsidRDefault="00F71A6A" w:rsidP="008824B9">
      <w:pPr>
        <w:pStyle w:val="JuHA"/>
        <w:outlineLvl w:val="0"/>
      </w:pPr>
      <w:r w:rsidRPr="00B61838">
        <w:t>A.  Admissibility</w:t>
      </w:r>
    </w:p>
    <w:p w:rsidR="002640FA" w:rsidRPr="00CC5CD4" w:rsidRDefault="002640FA" w:rsidP="002640FA">
      <w:pPr>
        <w:pStyle w:val="JuPara"/>
      </w:pPr>
      <w:r w:rsidRPr="00CC5CD4">
        <w:fldChar w:fldCharType="begin"/>
      </w:r>
      <w:r w:rsidRPr="00CC5CD4">
        <w:instrText xml:space="preserve"> SEQ level0 \*arabic </w:instrText>
      </w:r>
      <w:r w:rsidRPr="00CC5CD4">
        <w:fldChar w:fldCharType="separate"/>
      </w:r>
      <w:r w:rsidR="00D000D9">
        <w:rPr>
          <w:noProof/>
        </w:rPr>
        <w:t>18</w:t>
      </w:r>
      <w:r w:rsidRPr="00CC5CD4">
        <w:fldChar w:fldCharType="end"/>
      </w:r>
      <w:r w:rsidRPr="00CC5CD4">
        <w:t xml:space="preserve">.  The Government claimed that the applicant had not exhausted relevant domestic remedies. </w:t>
      </w:r>
      <w:r>
        <w:t xml:space="preserve">They </w:t>
      </w:r>
      <w:r w:rsidRPr="00CC5CD4">
        <w:t>argued that a constitutional complaint should be considered an adequate domestic remedy in the applicant</w:t>
      </w:r>
      <w:r w:rsidR="00C70C19">
        <w:t>’</w:t>
      </w:r>
      <w:r w:rsidRPr="00CC5CD4">
        <w:t>s case.</w:t>
      </w:r>
    </w:p>
    <w:p w:rsidR="002640FA" w:rsidRDefault="002640FA" w:rsidP="002640FA">
      <w:pPr>
        <w:pStyle w:val="JuPara"/>
      </w:pPr>
      <w:r w:rsidRPr="00CC5CD4">
        <w:fldChar w:fldCharType="begin"/>
      </w:r>
      <w:r w:rsidRPr="00CC5CD4">
        <w:instrText xml:space="preserve"> SEQ level0 \*arabic </w:instrText>
      </w:r>
      <w:r w:rsidRPr="00CC5CD4">
        <w:fldChar w:fldCharType="separate"/>
      </w:r>
      <w:r w:rsidR="00D000D9">
        <w:rPr>
          <w:noProof/>
        </w:rPr>
        <w:t>19</w:t>
      </w:r>
      <w:r w:rsidRPr="00CC5CD4">
        <w:fldChar w:fldCharType="end"/>
      </w:r>
      <w:r w:rsidRPr="00CC5CD4">
        <w:t xml:space="preserve">.  The applicant </w:t>
      </w:r>
      <w:r>
        <w:t>disagreed.</w:t>
      </w:r>
    </w:p>
    <w:p w:rsidR="002640FA" w:rsidRPr="008B0615" w:rsidRDefault="002640FA" w:rsidP="002640FA">
      <w:pPr>
        <w:pStyle w:val="JuPara"/>
        <w:rPr>
          <w:i/>
          <w:spacing w:val="-4"/>
          <w:lang w:eastAsia="en-US"/>
        </w:rPr>
      </w:pPr>
      <w:r w:rsidRPr="008B0615">
        <w:rPr>
          <w:color w:val="000000"/>
          <w:spacing w:val="-4"/>
        </w:rPr>
        <w:fldChar w:fldCharType="begin"/>
      </w:r>
      <w:r w:rsidRPr="008B0615">
        <w:rPr>
          <w:color w:val="000000"/>
          <w:spacing w:val="-4"/>
        </w:rPr>
        <w:instrText xml:space="preserve"> SEQ level0 \*arabic </w:instrText>
      </w:r>
      <w:r w:rsidRPr="008B0615">
        <w:rPr>
          <w:color w:val="000000"/>
          <w:spacing w:val="-4"/>
        </w:rPr>
        <w:fldChar w:fldCharType="separate"/>
      </w:r>
      <w:r w:rsidR="00D000D9">
        <w:rPr>
          <w:noProof/>
          <w:color w:val="000000"/>
          <w:spacing w:val="-4"/>
        </w:rPr>
        <w:t>20</w:t>
      </w:r>
      <w:r w:rsidRPr="008B0615">
        <w:rPr>
          <w:color w:val="000000"/>
          <w:spacing w:val="-4"/>
        </w:rPr>
        <w:fldChar w:fldCharType="end"/>
      </w:r>
      <w:r w:rsidRPr="008B0615">
        <w:rPr>
          <w:color w:val="000000"/>
          <w:spacing w:val="-4"/>
        </w:rPr>
        <w:t xml:space="preserve">.  The Court </w:t>
      </w:r>
      <w:r w:rsidRPr="008B0615">
        <w:rPr>
          <w:spacing w:val="-4"/>
        </w:rPr>
        <w:t xml:space="preserve">notes that the arguments raised by the Government are similar to those already examined and rejected by the Court in previous cases against Poland (see, </w:t>
      </w:r>
      <w:r w:rsidRPr="008B0615">
        <w:rPr>
          <w:i/>
          <w:spacing w:val="-4"/>
          <w:lang w:eastAsia="en-US"/>
        </w:rPr>
        <w:t>Matyjek v. Poland</w:t>
      </w:r>
      <w:r w:rsidRPr="008B0615">
        <w:rPr>
          <w:spacing w:val="-4"/>
          <w:lang w:eastAsia="en-US"/>
        </w:rPr>
        <w:t>, no. 38184/03, § 64, ECHR</w:t>
      </w:r>
      <w:r w:rsidR="007A1160" w:rsidRPr="008B0615">
        <w:rPr>
          <w:spacing w:val="-4"/>
          <w:lang w:eastAsia="en-US"/>
        </w:rPr>
        <w:t> </w:t>
      </w:r>
      <w:r w:rsidRPr="008B0615">
        <w:rPr>
          <w:spacing w:val="-4"/>
          <w:lang w:eastAsia="en-US"/>
        </w:rPr>
        <w:t>2007</w:t>
      </w:r>
      <w:r w:rsidRPr="008B0615">
        <w:rPr>
          <w:spacing w:val="-4"/>
          <w:lang w:eastAsia="en-US"/>
        </w:rPr>
        <w:noBreakHyphen/>
        <w:t xml:space="preserve">V; </w:t>
      </w:r>
      <w:r w:rsidRPr="008B0615">
        <w:rPr>
          <w:i/>
          <w:spacing w:val="-4"/>
          <w:lang w:eastAsia="en-US"/>
        </w:rPr>
        <w:t>Luboch v.</w:t>
      </w:r>
      <w:r w:rsidR="007317B8">
        <w:rPr>
          <w:i/>
          <w:spacing w:val="-4"/>
          <w:lang w:eastAsia="en-US"/>
        </w:rPr>
        <w:t xml:space="preserve"> </w:t>
      </w:r>
      <w:r w:rsidRPr="008B0615">
        <w:rPr>
          <w:i/>
          <w:spacing w:val="-4"/>
          <w:lang w:eastAsia="en-US"/>
        </w:rPr>
        <w:t>Poland</w:t>
      </w:r>
      <w:r w:rsidRPr="008B0615">
        <w:rPr>
          <w:spacing w:val="-4"/>
          <w:lang w:eastAsia="en-US"/>
        </w:rPr>
        <w:t>, no.</w:t>
      </w:r>
      <w:r w:rsidR="007A1160" w:rsidRPr="008B0615">
        <w:rPr>
          <w:spacing w:val="-4"/>
          <w:lang w:eastAsia="en-US"/>
        </w:rPr>
        <w:t> </w:t>
      </w:r>
      <w:r w:rsidRPr="008B0615">
        <w:rPr>
          <w:spacing w:val="-4"/>
          <w:lang w:eastAsia="en-US"/>
        </w:rPr>
        <w:t>37469/05, §§</w:t>
      </w:r>
      <w:r w:rsidR="007A1160" w:rsidRPr="008B0615">
        <w:rPr>
          <w:spacing w:val="-4"/>
          <w:lang w:eastAsia="en-US"/>
        </w:rPr>
        <w:t> </w:t>
      </w:r>
      <w:r w:rsidRPr="008B0615">
        <w:rPr>
          <w:spacing w:val="-4"/>
          <w:lang w:eastAsia="en-US"/>
        </w:rPr>
        <w:t>69</w:t>
      </w:r>
      <w:r w:rsidR="00877F86" w:rsidRPr="008B0615">
        <w:rPr>
          <w:spacing w:val="-4"/>
          <w:lang w:eastAsia="en-US"/>
        </w:rPr>
        <w:noBreakHyphen/>
      </w:r>
      <w:r w:rsidRPr="008B0615">
        <w:rPr>
          <w:spacing w:val="-4"/>
          <w:lang w:eastAsia="en-US"/>
        </w:rPr>
        <w:t xml:space="preserve">72, 15 January 2008; </w:t>
      </w:r>
      <w:r w:rsidRPr="008B0615">
        <w:rPr>
          <w:i/>
          <w:spacing w:val="-4"/>
          <w:lang w:eastAsia="en-US"/>
        </w:rPr>
        <w:t>Rasmussen v.</w:t>
      </w:r>
      <w:r w:rsidR="007A1160" w:rsidRPr="008B0615">
        <w:rPr>
          <w:i/>
          <w:spacing w:val="-4"/>
          <w:lang w:eastAsia="en-US"/>
        </w:rPr>
        <w:t> </w:t>
      </w:r>
      <w:r w:rsidRPr="008B0615">
        <w:rPr>
          <w:i/>
          <w:spacing w:val="-4"/>
          <w:lang w:eastAsia="en-US"/>
        </w:rPr>
        <w:t>Poland</w:t>
      </w:r>
      <w:r w:rsidRPr="008B0615">
        <w:rPr>
          <w:spacing w:val="-4"/>
          <w:lang w:eastAsia="en-US"/>
        </w:rPr>
        <w:t>, no.</w:t>
      </w:r>
      <w:r w:rsidR="007A1160" w:rsidRPr="008B0615">
        <w:rPr>
          <w:spacing w:val="-4"/>
          <w:lang w:eastAsia="en-US"/>
        </w:rPr>
        <w:t> </w:t>
      </w:r>
      <w:r w:rsidRPr="008B0615">
        <w:rPr>
          <w:spacing w:val="-4"/>
          <w:lang w:eastAsia="en-US"/>
        </w:rPr>
        <w:t xml:space="preserve">38886/05, </w:t>
      </w:r>
      <w:r w:rsidRPr="008B0615">
        <w:rPr>
          <w:snapToGrid w:val="0"/>
          <w:spacing w:val="-4"/>
          <w:lang w:eastAsia="en-US"/>
        </w:rPr>
        <w:t>§§</w:t>
      </w:r>
      <w:r w:rsidR="007A1160" w:rsidRPr="008B0615">
        <w:rPr>
          <w:snapToGrid w:val="0"/>
          <w:spacing w:val="-4"/>
          <w:lang w:eastAsia="en-US"/>
        </w:rPr>
        <w:t> </w:t>
      </w:r>
      <w:r w:rsidRPr="008B0615">
        <w:rPr>
          <w:snapToGrid w:val="0"/>
          <w:spacing w:val="-4"/>
          <w:lang w:eastAsia="en-US"/>
        </w:rPr>
        <w:t>52</w:t>
      </w:r>
      <w:r w:rsidR="00877F86" w:rsidRPr="008B0615">
        <w:rPr>
          <w:snapToGrid w:val="0"/>
          <w:spacing w:val="-4"/>
          <w:lang w:eastAsia="en-US"/>
        </w:rPr>
        <w:noBreakHyphen/>
      </w:r>
      <w:r w:rsidRPr="008B0615">
        <w:rPr>
          <w:snapToGrid w:val="0"/>
          <w:spacing w:val="-4"/>
          <w:lang w:eastAsia="en-US"/>
        </w:rPr>
        <w:t>55, 28</w:t>
      </w:r>
      <w:r w:rsidR="007A1160" w:rsidRPr="008B0615">
        <w:rPr>
          <w:snapToGrid w:val="0"/>
          <w:spacing w:val="-4"/>
          <w:lang w:eastAsia="en-US"/>
        </w:rPr>
        <w:t> </w:t>
      </w:r>
      <w:r w:rsidRPr="008B0615">
        <w:rPr>
          <w:snapToGrid w:val="0"/>
          <w:spacing w:val="-4"/>
          <w:lang w:eastAsia="en-US"/>
        </w:rPr>
        <w:t xml:space="preserve">April 2009; </w:t>
      </w:r>
      <w:r w:rsidRPr="008B0615">
        <w:rPr>
          <w:i/>
          <w:spacing w:val="-4"/>
          <w:szCs w:val="24"/>
          <w:lang w:eastAsia="en-US"/>
        </w:rPr>
        <w:t>Górny v.</w:t>
      </w:r>
      <w:r w:rsidR="007317B8">
        <w:rPr>
          <w:i/>
          <w:spacing w:val="-4"/>
          <w:szCs w:val="24"/>
          <w:lang w:eastAsia="en-US"/>
        </w:rPr>
        <w:t xml:space="preserve"> </w:t>
      </w:r>
      <w:r w:rsidRPr="008B0615">
        <w:rPr>
          <w:i/>
          <w:spacing w:val="-4"/>
          <w:szCs w:val="24"/>
          <w:lang w:eastAsia="en-US"/>
        </w:rPr>
        <w:t>Poland</w:t>
      </w:r>
      <w:r w:rsidRPr="008B0615">
        <w:rPr>
          <w:spacing w:val="-4"/>
          <w:szCs w:val="24"/>
          <w:lang w:eastAsia="en-US"/>
        </w:rPr>
        <w:t>, no.</w:t>
      </w:r>
      <w:r w:rsidR="007A1160" w:rsidRPr="008B0615">
        <w:rPr>
          <w:spacing w:val="-4"/>
          <w:szCs w:val="24"/>
          <w:lang w:eastAsia="en-US"/>
        </w:rPr>
        <w:t> </w:t>
      </w:r>
      <w:r w:rsidRPr="008B0615">
        <w:rPr>
          <w:spacing w:val="-4"/>
          <w:szCs w:val="24"/>
          <w:lang w:eastAsia="en-US"/>
        </w:rPr>
        <w:t>50399/07</w:t>
      </w:r>
      <w:r w:rsidRPr="008B0615">
        <w:rPr>
          <w:snapToGrid w:val="0"/>
          <w:spacing w:val="-4"/>
          <w:szCs w:val="24"/>
          <w:lang w:eastAsia="en-US"/>
        </w:rPr>
        <w:t>, §</w:t>
      </w:r>
      <w:r w:rsidR="007A1160" w:rsidRPr="008B0615">
        <w:rPr>
          <w:snapToGrid w:val="0"/>
          <w:spacing w:val="-4"/>
          <w:szCs w:val="24"/>
          <w:lang w:eastAsia="en-US"/>
        </w:rPr>
        <w:t> </w:t>
      </w:r>
      <w:r w:rsidRPr="008B0615">
        <w:rPr>
          <w:snapToGrid w:val="0"/>
          <w:spacing w:val="-4"/>
          <w:szCs w:val="24"/>
          <w:lang w:eastAsia="en-US"/>
        </w:rPr>
        <w:t>22, 8</w:t>
      </w:r>
      <w:r w:rsidR="007A1160" w:rsidRPr="008B0615">
        <w:rPr>
          <w:snapToGrid w:val="0"/>
          <w:spacing w:val="-4"/>
          <w:szCs w:val="24"/>
          <w:lang w:eastAsia="en-US"/>
        </w:rPr>
        <w:t> </w:t>
      </w:r>
      <w:r w:rsidRPr="008B0615">
        <w:rPr>
          <w:snapToGrid w:val="0"/>
          <w:spacing w:val="-4"/>
          <w:szCs w:val="24"/>
          <w:lang w:eastAsia="en-US"/>
        </w:rPr>
        <w:t>June 2010</w:t>
      </w:r>
      <w:r w:rsidRPr="008B0615">
        <w:rPr>
          <w:spacing w:val="-4"/>
          <w:lang w:eastAsia="en-US"/>
        </w:rPr>
        <w:t xml:space="preserve">) </w:t>
      </w:r>
      <w:r w:rsidRPr="008B0615">
        <w:rPr>
          <w:spacing w:val="-4"/>
        </w:rPr>
        <w:t>and the Government have not submitted any new arguments which would lead the Court to depart from its previous findings. For these reasons, the Government</w:t>
      </w:r>
      <w:r w:rsidR="00C70C19">
        <w:rPr>
          <w:spacing w:val="-4"/>
        </w:rPr>
        <w:t>’</w:t>
      </w:r>
      <w:r w:rsidRPr="008B0615">
        <w:rPr>
          <w:spacing w:val="-4"/>
        </w:rPr>
        <w:t>s plea of inadmissibility on the ground of non</w:t>
      </w:r>
      <w:r w:rsidR="00877F86" w:rsidRPr="008B0615">
        <w:rPr>
          <w:spacing w:val="-4"/>
        </w:rPr>
        <w:noBreakHyphen/>
      </w:r>
      <w:r w:rsidRPr="008B0615">
        <w:rPr>
          <w:spacing w:val="-4"/>
        </w:rPr>
        <w:t>exhaustion of domestic remedies must be dismissed.</w:t>
      </w:r>
    </w:p>
    <w:p w:rsidR="002640FA" w:rsidRPr="00CC5CD4" w:rsidRDefault="002640FA" w:rsidP="002640FA">
      <w:pPr>
        <w:pStyle w:val="JuPara"/>
        <w:rPr>
          <w:lang w:eastAsia="en-US"/>
        </w:rPr>
      </w:pPr>
      <w:r w:rsidRPr="00CC5CD4">
        <w:fldChar w:fldCharType="begin"/>
      </w:r>
      <w:r w:rsidRPr="00CC5CD4">
        <w:instrText xml:space="preserve"> SEQ level0 \*arabic </w:instrText>
      </w:r>
      <w:r w:rsidRPr="00CC5CD4">
        <w:fldChar w:fldCharType="separate"/>
      </w:r>
      <w:r w:rsidR="00D000D9">
        <w:rPr>
          <w:noProof/>
        </w:rPr>
        <w:t>21</w:t>
      </w:r>
      <w:r w:rsidRPr="00CC5CD4">
        <w:fldChar w:fldCharType="end"/>
      </w:r>
      <w:r w:rsidRPr="00CC5CD4">
        <w:t>.  The Court further observes that it has already found that Article</w:t>
      </w:r>
      <w:r w:rsidR="007317B8">
        <w:t xml:space="preserve"> </w:t>
      </w:r>
      <w:r w:rsidRPr="00CC5CD4">
        <w:t xml:space="preserve">6 of the Convention under its criminal head applied </w:t>
      </w:r>
      <w:r w:rsidR="000F74F0">
        <w:t>to lustration proceedings (see,</w:t>
      </w:r>
      <w:r w:rsidRPr="00CC5CD4">
        <w:t xml:space="preserve"> </w:t>
      </w:r>
      <w:r w:rsidRPr="00CC5CD4">
        <w:rPr>
          <w:i/>
          <w:lang w:eastAsia="en-US"/>
        </w:rPr>
        <w:t>Matyjek v.</w:t>
      </w:r>
      <w:r w:rsidR="007A1160">
        <w:rPr>
          <w:i/>
          <w:lang w:eastAsia="en-US"/>
        </w:rPr>
        <w:t> </w:t>
      </w:r>
      <w:r w:rsidRPr="00CC5CD4">
        <w:rPr>
          <w:i/>
          <w:lang w:eastAsia="en-US"/>
        </w:rPr>
        <w:t>Poland</w:t>
      </w:r>
      <w:r w:rsidRPr="00CC5CD4">
        <w:rPr>
          <w:lang w:eastAsia="en-US"/>
        </w:rPr>
        <w:t xml:space="preserve"> (dec.), no. 38184/03, ECHR 2006</w:t>
      </w:r>
      <w:r w:rsidRPr="00CC5CD4">
        <w:rPr>
          <w:lang w:eastAsia="en-US"/>
        </w:rPr>
        <w:noBreakHyphen/>
        <w:t>VII).</w:t>
      </w:r>
    </w:p>
    <w:p w:rsidR="002640FA" w:rsidRPr="00CC5CD4" w:rsidRDefault="002640FA" w:rsidP="002640FA">
      <w:pPr>
        <w:pStyle w:val="JuPara"/>
      </w:pPr>
      <w:r w:rsidRPr="00CC5CD4">
        <w:fldChar w:fldCharType="begin"/>
      </w:r>
      <w:r w:rsidRPr="00CC5CD4">
        <w:instrText xml:space="preserve"> SEQ level0 \*arabic </w:instrText>
      </w:r>
      <w:r w:rsidRPr="00CC5CD4">
        <w:fldChar w:fldCharType="separate"/>
      </w:r>
      <w:r w:rsidR="00D000D9">
        <w:rPr>
          <w:noProof/>
        </w:rPr>
        <w:t>22</w:t>
      </w:r>
      <w:r w:rsidRPr="00CC5CD4">
        <w:fldChar w:fldCharType="end"/>
      </w:r>
      <w:r w:rsidRPr="00CC5CD4">
        <w:t>.  The Court notes that this complaint is not manifestly ill</w:t>
      </w:r>
      <w:r w:rsidR="00877F86">
        <w:noBreakHyphen/>
      </w:r>
      <w:r w:rsidRPr="00CC5CD4">
        <w:t>founded within the meaning of Article</w:t>
      </w:r>
      <w:r w:rsidR="007A1160">
        <w:t> </w:t>
      </w:r>
      <w:r w:rsidRPr="00CC5CD4">
        <w:t>35 §</w:t>
      </w:r>
      <w:r w:rsidR="007A1160">
        <w:t> </w:t>
      </w:r>
      <w:r w:rsidRPr="00CC5CD4">
        <w:t>3 of the Convention. It further notes that it is not inadmissible on any other grounds. It must therefore be declared admissible.</w:t>
      </w:r>
    </w:p>
    <w:p w:rsidR="00F71A6A" w:rsidRPr="00B61838" w:rsidRDefault="00F71A6A" w:rsidP="008824B9">
      <w:pPr>
        <w:pStyle w:val="JuHA"/>
        <w:outlineLvl w:val="0"/>
      </w:pPr>
      <w:r w:rsidRPr="00B61838">
        <w:t>B.  Merits</w:t>
      </w:r>
    </w:p>
    <w:p w:rsidR="004503AF" w:rsidRDefault="004503AF" w:rsidP="004503AF">
      <w:pPr>
        <w:pStyle w:val="JuH1"/>
      </w:pPr>
      <w:r>
        <w:t>1.  The parties</w:t>
      </w:r>
      <w:r w:rsidR="00C70C19">
        <w:t>’</w:t>
      </w:r>
      <w:r>
        <w:t xml:space="preserve"> submissions</w:t>
      </w:r>
    </w:p>
    <w:p w:rsidR="007317B8" w:rsidRDefault="00B61838">
      <w:pPr>
        <w:pStyle w:val="JuPara"/>
      </w:pPr>
      <w:r w:rsidRPr="00B61838">
        <w:fldChar w:fldCharType="begin"/>
      </w:r>
      <w:r w:rsidRPr="00B61838">
        <w:instrText xml:space="preserve"> SEQ level0 \*arabic </w:instrText>
      </w:r>
      <w:r w:rsidRPr="00B61838">
        <w:fldChar w:fldCharType="separate"/>
      </w:r>
      <w:r w:rsidR="00D000D9">
        <w:rPr>
          <w:noProof/>
        </w:rPr>
        <w:t>23</w:t>
      </w:r>
      <w:r w:rsidRPr="00B61838">
        <w:fldChar w:fldCharType="end"/>
      </w:r>
      <w:r w:rsidR="00F71A6A" w:rsidRPr="00B61838">
        <w:t>.  </w:t>
      </w:r>
      <w:r w:rsidR="00F07262" w:rsidRPr="00CC5CD4">
        <w:t>The applicant argued that the proceedings in his case had been unfair. In particular, he alleged that the material in his case had been classified as confidential, which had limited his right of access to it. Before the institution of the proceedings he had had no access to the case file prepared by the Commissioner</w:t>
      </w:r>
      <w:r w:rsidR="00D912A6">
        <w:t xml:space="preserve"> of the Public Interes</w:t>
      </w:r>
      <w:r w:rsidR="00A824D5">
        <w:t>t</w:t>
      </w:r>
      <w:r w:rsidR="00F07262" w:rsidRPr="00CC5CD4">
        <w:t>. After the lustration proceedings had been instituted by the Warsaw Court of Appeal the</w:t>
      </w:r>
      <w:r w:rsidR="00FA3CA4">
        <w:t> </w:t>
      </w:r>
      <w:r w:rsidR="00F07262" w:rsidRPr="00CC5CD4">
        <w:t>applicant could consult the</w:t>
      </w:r>
      <w:r w:rsidR="007A1160">
        <w:t> </w:t>
      </w:r>
      <w:r w:rsidR="00F07262" w:rsidRPr="00CC5CD4">
        <w:t>documents only in the secret registry of the</w:t>
      </w:r>
      <w:r w:rsidR="00FA3CA4">
        <w:t> </w:t>
      </w:r>
      <w:r w:rsidR="00F07262" w:rsidRPr="00CC5CD4">
        <w:t xml:space="preserve">lustration court. </w:t>
      </w:r>
      <w:r w:rsidR="00F07262">
        <w:t>Moreover, the reasoning of the first</w:t>
      </w:r>
      <w:r w:rsidR="00877F86">
        <w:noBreakHyphen/>
      </w:r>
      <w:r w:rsidR="00F07262">
        <w:t>instance court</w:t>
      </w:r>
      <w:r w:rsidR="00C70C19">
        <w:t>’</w:t>
      </w:r>
      <w:r w:rsidR="00F07262">
        <w:t xml:space="preserve">s judgment was also confidential and the rules applicable to the consultation of the file in the secret registry made it difficult for him to prepare his appeal. </w:t>
      </w:r>
      <w:r w:rsidR="00F07262" w:rsidRPr="00CC5CD4">
        <w:t>The limitations on access were not applicable to the</w:t>
      </w:r>
      <w:r w:rsidR="007317B8">
        <w:t xml:space="preserve"> </w:t>
      </w:r>
      <w:r w:rsidR="00F07262" w:rsidRPr="00CC5CD4">
        <w:t>Commissioner of the Public Interest. Th</w:t>
      </w:r>
      <w:r w:rsidR="007317B8">
        <w:t xml:space="preserve">us, the applicant was placed at </w:t>
      </w:r>
      <w:r w:rsidR="00F07262" w:rsidRPr="00CC5CD4">
        <w:t>a</w:t>
      </w:r>
      <w:r w:rsidR="007317B8">
        <w:t xml:space="preserve"> </w:t>
      </w:r>
      <w:r w:rsidR="00F07262" w:rsidRPr="00CC5CD4">
        <w:t>significant disadvantage vis</w:t>
      </w:r>
      <w:r w:rsidR="00F07262" w:rsidRPr="00CC5CD4">
        <w:noBreakHyphen/>
        <w:t>à</w:t>
      </w:r>
      <w:r w:rsidR="00F07262" w:rsidRPr="00CC5CD4">
        <w:noBreakHyphen/>
        <w:t>vis the</w:t>
      </w:r>
      <w:r w:rsidR="007317B8">
        <w:t xml:space="preserve"> </w:t>
      </w:r>
      <w:r w:rsidR="00F07262" w:rsidRPr="00CC5CD4">
        <w:t xml:space="preserve">Commissioner </w:t>
      </w:r>
      <w:r w:rsidR="00FA3CA4">
        <w:t>who had unlimited access to the </w:t>
      </w:r>
      <w:r w:rsidR="00F07262" w:rsidRPr="00CC5CD4">
        <w:t>file in his secret registry.</w:t>
      </w:r>
    </w:p>
    <w:p w:rsidR="007317B8" w:rsidRDefault="00F07262" w:rsidP="00F07262">
      <w:pPr>
        <w:pStyle w:val="JuPara"/>
      </w:pPr>
      <w:r w:rsidRPr="00CC5CD4">
        <w:fldChar w:fldCharType="begin"/>
      </w:r>
      <w:r w:rsidRPr="00CC5CD4">
        <w:instrText xml:space="preserve"> SEQ level0 \*arabic </w:instrText>
      </w:r>
      <w:r w:rsidRPr="00CC5CD4">
        <w:fldChar w:fldCharType="separate"/>
      </w:r>
      <w:r w:rsidR="00D000D9">
        <w:rPr>
          <w:noProof/>
        </w:rPr>
        <w:t>24</w:t>
      </w:r>
      <w:r w:rsidRPr="00CC5CD4">
        <w:fldChar w:fldCharType="end"/>
      </w:r>
      <w:r w:rsidRPr="00CC5CD4">
        <w:t xml:space="preserve">.  The Government submitted that the applicant had access to all evidence and all decisions given in the case. The only limitations which applied to him were </w:t>
      </w:r>
      <w:r w:rsidR="00D10209">
        <w:t xml:space="preserve">a consequence of the fact that part of </w:t>
      </w:r>
      <w:r w:rsidR="00A824D5">
        <w:t xml:space="preserve">the </w:t>
      </w:r>
      <w:r w:rsidR="00D10209">
        <w:t>evidence was considered as secret</w:t>
      </w:r>
      <w:r w:rsidRPr="00CC5CD4">
        <w:t>. The applicant could consult the case file in the secret registry but could not use his notes based on the file outside the secret registry. The same restrictions applied to the Commissioner of Public Interest and the judges examining the case.</w:t>
      </w:r>
    </w:p>
    <w:p w:rsidR="00F07262" w:rsidRPr="00CC5CD4" w:rsidRDefault="00F07262" w:rsidP="00F07262">
      <w:pPr>
        <w:pStyle w:val="JuPara"/>
        <w:rPr>
          <w:lang w:eastAsia="en-US"/>
        </w:rPr>
      </w:pPr>
      <w:r w:rsidRPr="00CC5CD4">
        <w:rPr>
          <w:lang w:eastAsia="en-US"/>
        </w:rPr>
        <w:fldChar w:fldCharType="begin"/>
      </w:r>
      <w:r w:rsidRPr="00CC5CD4">
        <w:rPr>
          <w:lang w:eastAsia="en-US"/>
        </w:rPr>
        <w:instrText xml:space="preserve"> SEQ level0 \*arabic </w:instrText>
      </w:r>
      <w:r w:rsidRPr="00CC5CD4">
        <w:rPr>
          <w:lang w:eastAsia="en-US"/>
        </w:rPr>
        <w:fldChar w:fldCharType="separate"/>
      </w:r>
      <w:r w:rsidR="00D000D9">
        <w:rPr>
          <w:noProof/>
          <w:lang w:eastAsia="en-US"/>
        </w:rPr>
        <w:t>25</w:t>
      </w:r>
      <w:r w:rsidRPr="00CC5CD4">
        <w:rPr>
          <w:lang w:eastAsia="en-US"/>
        </w:rPr>
        <w:fldChar w:fldCharType="end"/>
      </w:r>
      <w:r w:rsidRPr="00CC5CD4">
        <w:rPr>
          <w:lang w:eastAsia="en-US"/>
        </w:rPr>
        <w:t>.  The Government observed that the applicant had benefited from an examination of his case at two instances by ordinary courts with full jurisdiction to assess the relevant facts and law. He further availed himself of an extraordinary appeal to the Supreme Court. For the Government there had been no appearance of a violation of the applicant</w:t>
      </w:r>
      <w:r w:rsidR="00C70C19">
        <w:rPr>
          <w:lang w:eastAsia="en-US"/>
        </w:rPr>
        <w:t>’</w:t>
      </w:r>
      <w:r w:rsidRPr="00CC5CD4">
        <w:rPr>
          <w:lang w:eastAsia="en-US"/>
        </w:rPr>
        <w:t>s right to a fair trial in the impugned proceedings.</w:t>
      </w:r>
    </w:p>
    <w:p w:rsidR="00F07262" w:rsidRPr="00CC5CD4" w:rsidRDefault="00F07262" w:rsidP="00F07262">
      <w:pPr>
        <w:pStyle w:val="JuPara"/>
        <w:rPr>
          <w:lang w:eastAsia="en-US"/>
        </w:rPr>
      </w:pPr>
      <w:r w:rsidRPr="00CC5CD4">
        <w:rPr>
          <w:lang w:eastAsia="en-US"/>
        </w:rPr>
        <w:fldChar w:fldCharType="begin"/>
      </w:r>
      <w:r w:rsidRPr="00CC5CD4">
        <w:rPr>
          <w:lang w:eastAsia="en-US"/>
        </w:rPr>
        <w:instrText xml:space="preserve"> SEQ level0 \*arabic </w:instrText>
      </w:r>
      <w:r w:rsidRPr="00CC5CD4">
        <w:rPr>
          <w:lang w:eastAsia="en-US"/>
        </w:rPr>
        <w:fldChar w:fldCharType="separate"/>
      </w:r>
      <w:r w:rsidR="00D000D9">
        <w:rPr>
          <w:noProof/>
          <w:lang w:eastAsia="en-US"/>
        </w:rPr>
        <w:t>26</w:t>
      </w:r>
      <w:r w:rsidRPr="00CC5CD4">
        <w:rPr>
          <w:lang w:eastAsia="en-US"/>
        </w:rPr>
        <w:fldChar w:fldCharType="end"/>
      </w:r>
      <w:r w:rsidRPr="00CC5CD4">
        <w:rPr>
          <w:lang w:eastAsia="en-US"/>
        </w:rPr>
        <w:t>.  The Government concluded that there had been no breach of Article</w:t>
      </w:r>
      <w:r w:rsidR="007317B8">
        <w:rPr>
          <w:lang w:eastAsia="en-US"/>
        </w:rPr>
        <w:t> </w:t>
      </w:r>
      <w:r w:rsidRPr="00CC5CD4">
        <w:rPr>
          <w:lang w:eastAsia="en-US"/>
        </w:rPr>
        <w:t>6 §</w:t>
      </w:r>
      <w:r w:rsidR="007A1160">
        <w:rPr>
          <w:lang w:eastAsia="en-US"/>
        </w:rPr>
        <w:t> </w:t>
      </w:r>
      <w:r w:rsidRPr="00CC5CD4">
        <w:rPr>
          <w:lang w:eastAsia="en-US"/>
        </w:rPr>
        <w:t>1 in the present case.</w:t>
      </w:r>
    </w:p>
    <w:p w:rsidR="00F07262" w:rsidRPr="00B61838" w:rsidRDefault="004503AF" w:rsidP="004503AF">
      <w:pPr>
        <w:pStyle w:val="JuH1"/>
      </w:pPr>
      <w:r>
        <w:t>2.  The Court</w:t>
      </w:r>
      <w:r w:rsidR="00C70C19">
        <w:t>’</w:t>
      </w:r>
      <w:r>
        <w:t>s assessment</w:t>
      </w:r>
    </w:p>
    <w:p w:rsidR="00E64F9C" w:rsidRDefault="00E64F9C" w:rsidP="00E64F9C">
      <w:pPr>
        <w:pStyle w:val="JuPara"/>
        <w:rPr>
          <w:snapToGrid w:val="0"/>
          <w:lang w:eastAsia="en-US"/>
        </w:rPr>
      </w:pPr>
      <w:r w:rsidRPr="00CC5CD4">
        <w:fldChar w:fldCharType="begin"/>
      </w:r>
      <w:r w:rsidRPr="00CC5CD4">
        <w:instrText xml:space="preserve"> SEQ level0 \*arabic </w:instrText>
      </w:r>
      <w:r w:rsidRPr="00CC5CD4">
        <w:fldChar w:fldCharType="separate"/>
      </w:r>
      <w:r w:rsidR="00D000D9">
        <w:rPr>
          <w:noProof/>
        </w:rPr>
        <w:t>27</w:t>
      </w:r>
      <w:r w:rsidRPr="00CC5CD4">
        <w:fldChar w:fldCharType="end"/>
      </w:r>
      <w:r w:rsidRPr="00CC5CD4">
        <w:t xml:space="preserve">.  The Court </w:t>
      </w:r>
      <w:r>
        <w:t>reiterates</w:t>
      </w:r>
      <w:r w:rsidRPr="00CC5CD4">
        <w:t xml:space="preserve"> that the procedural guarantees of Article</w:t>
      </w:r>
      <w:r w:rsidR="007A1160">
        <w:t> </w:t>
      </w:r>
      <w:r w:rsidRPr="00CC5CD4">
        <w:t xml:space="preserve">6 of the Convention under its criminal head apply to lustration proceedings (see paragraph </w:t>
      </w:r>
      <w:r w:rsidR="002F3440">
        <w:t xml:space="preserve">21 </w:t>
      </w:r>
      <w:r>
        <w:t>above).</w:t>
      </w:r>
      <w:r w:rsidRPr="00CC5CD4">
        <w:t xml:space="preserve">  The Court had already dealt with the issue of lustration proceedings in </w:t>
      </w:r>
      <w:r w:rsidRPr="00CC5CD4">
        <w:rPr>
          <w:i/>
        </w:rPr>
        <w:t>Turek v.</w:t>
      </w:r>
      <w:r w:rsidR="007A1160">
        <w:rPr>
          <w:i/>
        </w:rPr>
        <w:t> </w:t>
      </w:r>
      <w:r w:rsidRPr="00CC5CD4">
        <w:rPr>
          <w:i/>
        </w:rPr>
        <w:t>Slovakia</w:t>
      </w:r>
      <w:r w:rsidRPr="00CC5CD4">
        <w:t xml:space="preserve"> (</w:t>
      </w:r>
      <w:r w:rsidRPr="00CC5CD4">
        <w:rPr>
          <w:lang w:eastAsia="en-US"/>
        </w:rPr>
        <w:t>no. 57986/00, § </w:t>
      </w:r>
      <w:r w:rsidR="00C55D9F">
        <w:rPr>
          <w:lang w:eastAsia="en-US"/>
        </w:rPr>
        <w:t>115, ECHR</w:t>
      </w:r>
      <w:r w:rsidR="007A1160">
        <w:rPr>
          <w:lang w:eastAsia="en-US"/>
        </w:rPr>
        <w:t> </w:t>
      </w:r>
      <w:r w:rsidR="00C55D9F">
        <w:rPr>
          <w:lang w:eastAsia="en-US"/>
        </w:rPr>
        <w:t>2006</w:t>
      </w:r>
      <w:r w:rsidR="00C55D9F">
        <w:rPr>
          <w:lang w:eastAsia="en-US"/>
        </w:rPr>
        <w:noBreakHyphen/>
        <w:t>II</w:t>
      </w:r>
      <w:r w:rsidRPr="00CC5CD4">
        <w:rPr>
          <w:lang w:eastAsia="en-US"/>
        </w:rPr>
        <w:t xml:space="preserve"> (extracts)</w:t>
      </w:r>
      <w:r w:rsidRPr="00CC5CD4">
        <w:t xml:space="preserve">) and in </w:t>
      </w:r>
      <w:r>
        <w:t xml:space="preserve">several cases against </w:t>
      </w:r>
      <w:smartTag w:uri="urn:schemas-microsoft-com:office:smarttags" w:element="country-region">
        <w:smartTag w:uri="urn:schemas-microsoft-com:office:smarttags" w:element="place">
          <w:r w:rsidRPr="00CC5CD4">
            <w:t>Poland</w:t>
          </w:r>
        </w:smartTag>
      </w:smartTag>
      <w:r w:rsidRPr="00CC5CD4">
        <w:t xml:space="preserve"> (see, </w:t>
      </w:r>
      <w:r w:rsidRPr="00CC5CD4">
        <w:rPr>
          <w:i/>
          <w:lang w:eastAsia="en-US"/>
        </w:rPr>
        <w:t>Matyjek</w:t>
      </w:r>
      <w:r w:rsidRPr="00CC5CD4">
        <w:rPr>
          <w:lang w:eastAsia="en-US"/>
        </w:rPr>
        <w:t>, §</w:t>
      </w:r>
      <w:r w:rsidR="007A1160">
        <w:rPr>
          <w:lang w:eastAsia="en-US"/>
        </w:rPr>
        <w:t> </w:t>
      </w:r>
      <w:r w:rsidRPr="00CC5CD4">
        <w:rPr>
          <w:lang w:eastAsia="en-US"/>
        </w:rPr>
        <w:t xml:space="preserve">56; </w:t>
      </w:r>
      <w:r w:rsidRPr="00CC5CD4">
        <w:rPr>
          <w:i/>
          <w:lang w:eastAsia="en-US"/>
        </w:rPr>
        <w:t>Luboch</w:t>
      </w:r>
      <w:r w:rsidRPr="00CC5CD4">
        <w:rPr>
          <w:lang w:eastAsia="en-US"/>
        </w:rPr>
        <w:t>, §</w:t>
      </w:r>
      <w:r w:rsidR="007A1160">
        <w:rPr>
          <w:lang w:eastAsia="en-US"/>
        </w:rPr>
        <w:t> </w:t>
      </w:r>
      <w:r w:rsidRPr="00CC5CD4">
        <w:rPr>
          <w:lang w:eastAsia="en-US"/>
        </w:rPr>
        <w:t xml:space="preserve">61; </w:t>
      </w:r>
      <w:r w:rsidRPr="00CC5CD4">
        <w:rPr>
          <w:i/>
          <w:lang w:eastAsia="en-US"/>
        </w:rPr>
        <w:t>Rasmussen</w:t>
      </w:r>
      <w:r w:rsidRPr="00CC5CD4">
        <w:rPr>
          <w:lang w:eastAsia="en-US"/>
        </w:rPr>
        <w:t>, §</w:t>
      </w:r>
      <w:r w:rsidR="007A1160">
        <w:rPr>
          <w:lang w:eastAsia="en-US"/>
        </w:rPr>
        <w:t> </w:t>
      </w:r>
      <w:r w:rsidRPr="00CC5CD4">
        <w:rPr>
          <w:lang w:eastAsia="en-US"/>
        </w:rPr>
        <w:t>43, all cited above</w:t>
      </w:r>
      <w:r>
        <w:rPr>
          <w:snapToGrid w:val="0"/>
          <w:lang w:eastAsia="en-US"/>
        </w:rPr>
        <w:t xml:space="preserve">). In </w:t>
      </w:r>
      <w:r w:rsidR="00A824D5">
        <w:rPr>
          <w:snapToGrid w:val="0"/>
          <w:lang w:eastAsia="en-US"/>
        </w:rPr>
        <w:t xml:space="preserve">the </w:t>
      </w:r>
      <w:r>
        <w:rPr>
          <w:snapToGrid w:val="0"/>
          <w:lang w:eastAsia="en-US"/>
        </w:rPr>
        <w:t xml:space="preserve">latter cases it </w:t>
      </w:r>
      <w:r>
        <w:t>considered</w:t>
      </w:r>
      <w:r w:rsidRPr="00CC5CD4">
        <w:t xml:space="preserve"> it appropriate to </w:t>
      </w:r>
      <w:r>
        <w:t>examine the applicant</w:t>
      </w:r>
      <w:r w:rsidR="00C70C19">
        <w:t>’</w:t>
      </w:r>
      <w:r w:rsidRPr="00CC5CD4">
        <w:t>s complaint</w:t>
      </w:r>
      <w:r>
        <w:t>s</w:t>
      </w:r>
      <w:r w:rsidRPr="00CC5CD4">
        <w:t xml:space="preserve"> under </w:t>
      </w:r>
      <w:r>
        <w:t>Article</w:t>
      </w:r>
      <w:r w:rsidR="007A1160">
        <w:t> </w:t>
      </w:r>
      <w:r>
        <w:t>6 §§</w:t>
      </w:r>
      <w:r w:rsidR="007A1160">
        <w:t> </w:t>
      </w:r>
      <w:r>
        <w:t>1 and</w:t>
      </w:r>
      <w:r w:rsidR="007A1160">
        <w:t> </w:t>
      </w:r>
      <w:r>
        <w:t xml:space="preserve">3 </w:t>
      </w:r>
      <w:r w:rsidRPr="00CC5CD4">
        <w:t>taken together</w:t>
      </w:r>
      <w:r>
        <w:t xml:space="preserve">. The </w:t>
      </w:r>
      <w:r w:rsidR="001A0BDC">
        <w:t>relevant case</w:t>
      </w:r>
      <w:r w:rsidR="00877F86">
        <w:noBreakHyphen/>
      </w:r>
      <w:r w:rsidR="001A0BDC">
        <w:t>law</w:t>
      </w:r>
      <w:r>
        <w:t xml:space="preserve"> </w:t>
      </w:r>
      <w:r w:rsidR="001A0BDC">
        <w:t xml:space="preserve">concerning </w:t>
      </w:r>
      <w:r w:rsidRPr="00CC5CD4">
        <w:t xml:space="preserve">the </w:t>
      </w:r>
      <w:r w:rsidR="001A0BDC">
        <w:t xml:space="preserve">principle of </w:t>
      </w:r>
      <w:r w:rsidRPr="00CC5CD4">
        <w:t>equality of arms</w:t>
      </w:r>
      <w:r>
        <w:t xml:space="preserve"> </w:t>
      </w:r>
      <w:r w:rsidR="001A0BDC">
        <w:t>is</w:t>
      </w:r>
      <w:r>
        <w:t xml:space="preserve"> stated in the above</w:t>
      </w:r>
      <w:r w:rsidR="00877F86">
        <w:noBreakHyphen/>
      </w:r>
      <w:r>
        <w:t>cited judgments.</w:t>
      </w:r>
    </w:p>
    <w:p w:rsidR="00E64F9C" w:rsidRPr="00CC5CD4" w:rsidRDefault="00E64F9C" w:rsidP="00E64F9C">
      <w:pPr>
        <w:pStyle w:val="JuPara"/>
      </w:pPr>
      <w:r w:rsidRPr="00CC5CD4">
        <w:fldChar w:fldCharType="begin"/>
      </w:r>
      <w:r w:rsidRPr="00CC5CD4">
        <w:instrText xml:space="preserve"> SEQ level0 \*arabic </w:instrText>
      </w:r>
      <w:r w:rsidRPr="00CC5CD4">
        <w:fldChar w:fldCharType="separate"/>
      </w:r>
      <w:r w:rsidR="00D000D9">
        <w:rPr>
          <w:noProof/>
        </w:rPr>
        <w:t>28</w:t>
      </w:r>
      <w:r w:rsidRPr="00CC5CD4">
        <w:fldChar w:fldCharType="end"/>
      </w:r>
      <w:r w:rsidRPr="00CC5CD4">
        <w:t>.  Turning to the instant case, the Court observes firstly that the</w:t>
      </w:r>
      <w:r w:rsidR="007A1160">
        <w:t> </w:t>
      </w:r>
      <w:r w:rsidRPr="00CC5CD4">
        <w:t>Government have admitted that part of the evidence had been secret. In</w:t>
      </w:r>
      <w:r w:rsidR="007A1160">
        <w:t> </w:t>
      </w:r>
      <w:r w:rsidRPr="00CC5CD4">
        <w:t xml:space="preserve">the previous cases concerning lustration proceedings in </w:t>
      </w:r>
      <w:smartTag w:uri="urn:schemas-microsoft-com:office:smarttags" w:element="place">
        <w:smartTag w:uri="urn:schemas-microsoft-com:office:smarttags" w:element="country-region">
          <w:r w:rsidRPr="00CC5CD4">
            <w:t>Poland</w:t>
          </w:r>
        </w:smartTag>
      </w:smartTag>
      <w:r w:rsidRPr="00CC5CD4">
        <w:t xml:space="preserve"> the Court observed that under the series of successive laws the communist</w:t>
      </w:r>
      <w:r w:rsidR="00877F86">
        <w:noBreakHyphen/>
      </w:r>
      <w:r w:rsidRPr="00CC5CD4">
        <w:t>era security services</w:t>
      </w:r>
      <w:r w:rsidR="00C70C19">
        <w:t>’</w:t>
      </w:r>
      <w:r w:rsidRPr="00CC5CD4">
        <w:t xml:space="preserve"> materials continued to be regarded as a State secret. The</w:t>
      </w:r>
      <w:r w:rsidR="007A1160">
        <w:t> </w:t>
      </w:r>
      <w:r w:rsidRPr="00CC5CD4">
        <w:t>confidential status of such materials had been upheld by the State Security Bureau. Thus, at least part of the documents relating to the</w:t>
      </w:r>
      <w:r w:rsidR="007A1160">
        <w:t> </w:t>
      </w:r>
      <w:r w:rsidRPr="00CC5CD4">
        <w:t>applicant</w:t>
      </w:r>
      <w:r w:rsidR="00C70C19">
        <w:t>’</w:t>
      </w:r>
      <w:r w:rsidRPr="00CC5CD4">
        <w:t>s lustration case had been classified as “top secret”. The Head of the State Security Bureau was empowered to lift the confidentiality rating. However, the Court recalls that it has considered the existence of a similar power of a State security agency inconsistent with the fairness of lustration proceedings, including with the prin</w:t>
      </w:r>
      <w:r w:rsidR="007317B8">
        <w:t>ciple of equality of arms (see, </w:t>
      </w:r>
      <w:r w:rsidRPr="00CC5CD4">
        <w:rPr>
          <w:i/>
          <w:lang w:eastAsia="en-US"/>
        </w:rPr>
        <w:t>Turek</w:t>
      </w:r>
      <w:r w:rsidRPr="00CC5CD4">
        <w:rPr>
          <w:lang w:eastAsia="en-US"/>
        </w:rPr>
        <w:t>, § </w:t>
      </w:r>
      <w:r w:rsidRPr="00CC5CD4">
        <w:t xml:space="preserve">115; </w:t>
      </w:r>
      <w:r w:rsidRPr="00CC5CD4">
        <w:rPr>
          <w:i/>
          <w:lang w:eastAsia="en-US"/>
        </w:rPr>
        <w:t>Matyjek</w:t>
      </w:r>
      <w:r w:rsidRPr="00CC5CD4">
        <w:rPr>
          <w:lang w:eastAsia="en-US"/>
        </w:rPr>
        <w:t xml:space="preserve">, § 57; </w:t>
      </w:r>
      <w:r w:rsidRPr="00CC5CD4">
        <w:rPr>
          <w:i/>
          <w:lang w:eastAsia="en-US"/>
        </w:rPr>
        <w:t>Luboch</w:t>
      </w:r>
      <w:r w:rsidRPr="00CC5CD4">
        <w:rPr>
          <w:lang w:eastAsia="en-US"/>
        </w:rPr>
        <w:t xml:space="preserve">, § 62; </w:t>
      </w:r>
      <w:r w:rsidRPr="00CC5CD4">
        <w:rPr>
          <w:i/>
          <w:lang w:eastAsia="en-US"/>
        </w:rPr>
        <w:t>Rasmussen</w:t>
      </w:r>
      <w:r w:rsidRPr="00CC5CD4">
        <w:rPr>
          <w:lang w:eastAsia="en-US"/>
        </w:rPr>
        <w:t>, §</w:t>
      </w:r>
      <w:r w:rsidR="007A1160">
        <w:rPr>
          <w:lang w:eastAsia="en-US"/>
        </w:rPr>
        <w:t> 44, all cited above).</w:t>
      </w:r>
    </w:p>
    <w:p w:rsidR="00E64F9C" w:rsidRPr="00CC5CD4" w:rsidRDefault="00E64F9C" w:rsidP="00E64F9C">
      <w:pPr>
        <w:pStyle w:val="JuPara"/>
      </w:pPr>
      <w:r w:rsidRPr="00CC5CD4">
        <w:fldChar w:fldCharType="begin"/>
      </w:r>
      <w:r w:rsidRPr="00CC5CD4">
        <w:instrText xml:space="preserve"> SEQ level0 \*arabic </w:instrText>
      </w:r>
      <w:r w:rsidRPr="00CC5CD4">
        <w:fldChar w:fldCharType="separate"/>
      </w:r>
      <w:r w:rsidR="00D000D9">
        <w:rPr>
          <w:noProof/>
        </w:rPr>
        <w:t>29</w:t>
      </w:r>
      <w:r w:rsidRPr="00CC5CD4">
        <w:fldChar w:fldCharType="end"/>
      </w:r>
      <w:r w:rsidRPr="00CC5CD4">
        <w:t>.  Secondly, the Court notes that, at the pre</w:t>
      </w:r>
      <w:r w:rsidR="00877F86">
        <w:noBreakHyphen/>
      </w:r>
      <w:r w:rsidRPr="00CC5CD4">
        <w:t>trial stage, the</w:t>
      </w:r>
      <w:r w:rsidR="007A1160">
        <w:t> </w:t>
      </w:r>
      <w:r w:rsidRPr="00CC5CD4">
        <w:t xml:space="preserve">Commissioner of Public Interest had a right of access, in the secret registry of his office or of the </w:t>
      </w:r>
      <w:smartTag w:uri="urn:schemas-microsoft-com:office:smarttags" w:element="place">
        <w:smartTag w:uri="urn:schemas-microsoft-com:office:smarttags" w:element="PlaceType">
          <w:r w:rsidRPr="00CC5CD4">
            <w:t>Institute</w:t>
          </w:r>
        </w:smartTag>
        <w:r w:rsidRPr="00CC5CD4">
          <w:t xml:space="preserve"> of </w:t>
        </w:r>
        <w:smartTag w:uri="urn:schemas-microsoft-com:office:smarttags" w:element="PlaceName">
          <w:r w:rsidRPr="00CC5CD4">
            <w:t>National Remembrance</w:t>
          </w:r>
        </w:smartTag>
      </w:smartTag>
      <w:r w:rsidRPr="00CC5CD4">
        <w:t>, to all materials relating to the lustrated person created by the former security services. After the institution of the lustration proceeding, the applicant could also access his court file. However, pursuant to Article</w:t>
      </w:r>
      <w:r w:rsidR="007317B8">
        <w:t xml:space="preserve"> </w:t>
      </w:r>
      <w:r w:rsidRPr="00CC5CD4">
        <w:t>156 of the</w:t>
      </w:r>
      <w:r w:rsidR="007317B8">
        <w:t xml:space="preserve"> </w:t>
      </w:r>
      <w:r w:rsidRPr="00CC5CD4">
        <w:t>Code of Criminal Procedure and section</w:t>
      </w:r>
      <w:r w:rsidR="007317B8">
        <w:t xml:space="preserve"> </w:t>
      </w:r>
      <w:r w:rsidRPr="00CC5CD4">
        <w:t>52</w:t>
      </w:r>
      <w:r w:rsidR="007317B8">
        <w:t xml:space="preserve"> </w:t>
      </w:r>
      <w:r w:rsidRPr="00CC5CD4">
        <w:t>(2) of the 1999 Protection of Classified Information Act, no copies could be made of materials contained in the court file and confidential documents could be consulted only in the secret registry of the lustration court.</w:t>
      </w:r>
      <w:r w:rsidR="00E03704">
        <w:t xml:space="preserve"> Moreover, the</w:t>
      </w:r>
      <w:r w:rsidR="00E03704" w:rsidRPr="00E03704">
        <w:t xml:space="preserve"> </w:t>
      </w:r>
      <w:r w:rsidR="00E03704">
        <w:t>written reasons of the</w:t>
      </w:r>
      <w:r w:rsidR="007A1160">
        <w:t> </w:t>
      </w:r>
      <w:r w:rsidR="00CD3FCC">
        <w:t>first</w:t>
      </w:r>
      <w:r w:rsidR="00877F86">
        <w:noBreakHyphen/>
      </w:r>
      <w:r w:rsidR="00CD3FCC">
        <w:t xml:space="preserve">instance </w:t>
      </w:r>
      <w:r w:rsidR="00E03704">
        <w:t>judgment, albeit prepared, could only be consulted in the</w:t>
      </w:r>
      <w:r w:rsidR="007A1160">
        <w:t> </w:t>
      </w:r>
      <w:r w:rsidR="00E03704">
        <w:t>secret registry of the court.</w:t>
      </w:r>
    </w:p>
    <w:p w:rsidR="007317B8" w:rsidRDefault="00E64F9C" w:rsidP="00E64F9C">
      <w:pPr>
        <w:pStyle w:val="JuPara"/>
      </w:pPr>
      <w:r w:rsidRPr="00CC5CD4">
        <w:fldChar w:fldCharType="begin"/>
      </w:r>
      <w:r w:rsidRPr="00CC5CD4">
        <w:instrText xml:space="preserve"> SEQ level0 \*arabic </w:instrText>
      </w:r>
      <w:r w:rsidRPr="00CC5CD4">
        <w:fldChar w:fldCharType="separate"/>
      </w:r>
      <w:r w:rsidR="00D000D9">
        <w:rPr>
          <w:noProof/>
        </w:rPr>
        <w:t>30</w:t>
      </w:r>
      <w:r w:rsidRPr="00CC5CD4">
        <w:fldChar w:fldCharType="end"/>
      </w:r>
      <w:r w:rsidRPr="00CC5CD4">
        <w:t>.  Furthermore, it has not been disputed by the parties that, when consulting his case file, the applicant had been authorised to make notes. However, any notes he took could be made only in special notebooks that were subsequently sealed and deposited in the secret registry. The</w:t>
      </w:r>
      <w:r w:rsidR="007A1160">
        <w:t> </w:t>
      </w:r>
      <w:r w:rsidRPr="00CC5CD4">
        <w:t>notebooks could not be removed from this registry and could be opened only by the person who had made them.</w:t>
      </w:r>
    </w:p>
    <w:p w:rsidR="007E78F2" w:rsidRDefault="00E64F9C" w:rsidP="00E64F9C">
      <w:pPr>
        <w:pStyle w:val="JuPara"/>
      </w:pPr>
      <w:r w:rsidRPr="00CC5CD4">
        <w:fldChar w:fldCharType="begin"/>
      </w:r>
      <w:r w:rsidRPr="00CC5CD4">
        <w:instrText xml:space="preserve"> SEQ level0 \*arabic </w:instrText>
      </w:r>
      <w:r w:rsidRPr="00CC5CD4">
        <w:fldChar w:fldCharType="separate"/>
      </w:r>
      <w:r w:rsidR="00D000D9">
        <w:rPr>
          <w:noProof/>
        </w:rPr>
        <w:t>31</w:t>
      </w:r>
      <w:r w:rsidRPr="00CC5CD4">
        <w:fldChar w:fldCharType="end"/>
      </w:r>
      <w:r w:rsidRPr="00CC5CD4">
        <w:t>.  The Court reiterates that the accused</w:t>
      </w:r>
      <w:r w:rsidR="00C70C19">
        <w:t>’</w:t>
      </w:r>
      <w:r w:rsidRPr="00CC5CD4">
        <w:t xml:space="preserve">s effective participation in his criminal trial must equally include the right to compile notes in order to facilitate the conduct of his defence, irrespective of whether or not he is represented by counsel (see, </w:t>
      </w:r>
      <w:r w:rsidR="007317B8">
        <w:rPr>
          <w:i/>
        </w:rPr>
        <w:t xml:space="preserve">Pullicino v. </w:t>
      </w:r>
      <w:r w:rsidRPr="00CC5CD4">
        <w:rPr>
          <w:i/>
        </w:rPr>
        <w:t>Malta</w:t>
      </w:r>
      <w:r w:rsidRPr="00CC5CD4">
        <w:t xml:space="preserve"> (dec.), no</w:t>
      </w:r>
      <w:r w:rsidR="007A1160">
        <w:t> </w:t>
      </w:r>
      <w:r w:rsidRPr="00CC5CD4">
        <w:t xml:space="preserve">45441/99, 15 June 2000 and </w:t>
      </w:r>
      <w:r w:rsidRPr="00CC5CD4">
        <w:rPr>
          <w:i/>
        </w:rPr>
        <w:t>Matyjek</w:t>
      </w:r>
      <w:r w:rsidRPr="00CC5CD4">
        <w:t>, cited above, §</w:t>
      </w:r>
      <w:r w:rsidR="007A1160">
        <w:t> </w:t>
      </w:r>
      <w:r w:rsidRPr="00CC5CD4">
        <w:t>59). The fact that the applicant could not remove his own notes, taken in the secret registry, in order to</w:t>
      </w:r>
      <w:r w:rsidR="007A1160">
        <w:t> </w:t>
      </w:r>
      <w:r w:rsidRPr="00CC5CD4">
        <w:t xml:space="preserve">show them to an expert or to use them for any other purpose, effectively prevented him from using the information contained in them as he had to rely solely on his memory. Regard being had to what was at stake for the applicant in the lustration proceedings </w:t>
      </w:r>
      <w:r w:rsidR="007A1160">
        <w:noBreakHyphen/>
      </w:r>
      <w:r w:rsidRPr="00CC5CD4">
        <w:t xml:space="preserve"> not only his good name but also his right to practise as an advocate – the Court considers that it was important for him to have unrestricted access to those files and unrestricted use of any notes he made, including, if necessary, the possibility of obtaining copies of relevant documents (see,</w:t>
      </w:r>
      <w:r w:rsidRPr="00CC5CD4">
        <w:rPr>
          <w:i/>
          <w:lang w:eastAsia="en-US"/>
        </w:rPr>
        <w:t xml:space="preserve"> </w:t>
      </w:r>
      <w:r w:rsidR="007E78F2">
        <w:rPr>
          <w:i/>
          <w:lang w:eastAsia="en-US"/>
        </w:rPr>
        <w:t>Górny</w:t>
      </w:r>
      <w:r w:rsidRPr="00CC5CD4">
        <w:rPr>
          <w:lang w:eastAsia="en-US"/>
        </w:rPr>
        <w:t>, cited above, § </w:t>
      </w:r>
      <w:r w:rsidR="007E78F2">
        <w:rPr>
          <w:lang w:eastAsia="en-US"/>
        </w:rPr>
        <w:t>37</w:t>
      </w:r>
      <w:r w:rsidRPr="00CC5CD4">
        <w:rPr>
          <w:lang w:eastAsia="en-US"/>
        </w:rPr>
        <w:t>)</w:t>
      </w:r>
      <w:r w:rsidRPr="00CC5CD4">
        <w:t>.</w:t>
      </w:r>
    </w:p>
    <w:p w:rsidR="007317B8" w:rsidRDefault="00E64F9C" w:rsidP="00E64F9C">
      <w:pPr>
        <w:pStyle w:val="JuPara"/>
      </w:pPr>
      <w:r w:rsidRPr="00CC5CD4">
        <w:fldChar w:fldCharType="begin"/>
      </w:r>
      <w:r w:rsidRPr="00CC5CD4">
        <w:instrText xml:space="preserve"> SEQ level0 \*arabic </w:instrText>
      </w:r>
      <w:r w:rsidRPr="00CC5CD4">
        <w:fldChar w:fldCharType="separate"/>
      </w:r>
      <w:r w:rsidR="00D000D9">
        <w:rPr>
          <w:noProof/>
        </w:rPr>
        <w:t>32</w:t>
      </w:r>
      <w:r w:rsidRPr="00CC5CD4">
        <w:fldChar w:fldCharType="end"/>
      </w:r>
      <w:r w:rsidRPr="00CC5CD4">
        <w:t>.  Thirdly, the Court is not persuaded by the Government</w:t>
      </w:r>
      <w:r w:rsidR="00C70C19">
        <w:t>’</w:t>
      </w:r>
      <w:r w:rsidRPr="00CC5CD4">
        <w:t>s argument that at the trial stage the same limitations as regards access to confidential documents applied to the Commissioner of Public Interest. Under the</w:t>
      </w:r>
      <w:r w:rsidR="007A1160">
        <w:t> </w:t>
      </w:r>
      <w:r w:rsidRPr="00CC5CD4">
        <w:t xml:space="preserve">domestic law, the Commissioner, who was a public body, had been vested with powers identical to those of a public prosecutor. Under section 17(e) of the 1997 Lustration Act, the Commissioner of Public Interest had a right of access to full documentation relating to the lustrated person created by, </w:t>
      </w:r>
      <w:r w:rsidRPr="00CC5CD4">
        <w:rPr>
          <w:i/>
        </w:rPr>
        <w:t>inter</w:t>
      </w:r>
      <w:r w:rsidR="007317B8">
        <w:rPr>
          <w:i/>
        </w:rPr>
        <w:t> </w:t>
      </w:r>
      <w:r w:rsidRPr="00CC5CD4">
        <w:rPr>
          <w:i/>
        </w:rPr>
        <w:t>alia</w:t>
      </w:r>
      <w:r w:rsidRPr="00CC5CD4">
        <w:t>, the former security services. If necessary, he</w:t>
      </w:r>
      <w:r w:rsidR="007317B8">
        <w:t xml:space="preserve"> </w:t>
      </w:r>
      <w:r w:rsidRPr="00CC5CD4">
        <w:t>could hear witnesses and order expert opinions. The Commissioner also had at his disposal a secret registry with staff who obtained official clearance allowing them access to documents considered to be State secrets and were employed to analyse lustration declarations in the light of the existing documents and to prepare the case file for the lustration trial.</w:t>
      </w:r>
    </w:p>
    <w:p w:rsidR="007317B8" w:rsidRDefault="00E64F9C" w:rsidP="00E64F9C">
      <w:pPr>
        <w:pStyle w:val="JuPara"/>
      </w:pPr>
      <w:r w:rsidRPr="00CC5CD4">
        <w:fldChar w:fldCharType="begin"/>
      </w:r>
      <w:r w:rsidRPr="00CC5CD4">
        <w:instrText xml:space="preserve"> SEQ level0 \*arabic </w:instrText>
      </w:r>
      <w:r w:rsidRPr="00CC5CD4">
        <w:fldChar w:fldCharType="separate"/>
      </w:r>
      <w:r w:rsidR="00D000D9">
        <w:rPr>
          <w:noProof/>
        </w:rPr>
        <w:t>33</w:t>
      </w:r>
      <w:r w:rsidRPr="00CC5CD4">
        <w:fldChar w:fldCharType="end"/>
      </w:r>
      <w:r w:rsidRPr="00CC5CD4">
        <w:t>.  The Court has held that lustration measures are by their nature temporary and the necessity to continue such proceedings diminishes with time</w:t>
      </w:r>
      <w:r w:rsidRPr="00CC5CD4">
        <w:rPr>
          <w:lang w:eastAsia="en-US"/>
        </w:rPr>
        <w:t xml:space="preserve">. </w:t>
      </w:r>
      <w:r w:rsidRPr="00CC5CD4">
        <w:t xml:space="preserve">It has recognised that at the end of the 1990s the State had an interest in </w:t>
      </w:r>
      <w:r w:rsidR="00A824D5">
        <w:t>conducting</w:t>
      </w:r>
      <w:r w:rsidRPr="00CC5CD4">
        <w:t xml:space="preserve"> lustration </w:t>
      </w:r>
      <w:r w:rsidR="00A824D5">
        <w:t xml:space="preserve">proceedings </w:t>
      </w:r>
      <w:r w:rsidRPr="00CC5CD4">
        <w:t>in respect of persons holding the most important public functions. However, it reiterates that if a State is to adopt lustration measures, it must ensure that the persons affected thereby enjoy all procedural guarantees under the Convention in respect of any proceedings relating to the app</w:t>
      </w:r>
      <w:r w:rsidR="007317B8">
        <w:t xml:space="preserve">lication of such measures (see, </w:t>
      </w:r>
      <w:r w:rsidRPr="00CC5CD4">
        <w:rPr>
          <w:i/>
        </w:rPr>
        <w:t>Turek</w:t>
      </w:r>
      <w:r w:rsidRPr="00CC5CD4">
        <w:t xml:space="preserve">, § 115 and </w:t>
      </w:r>
      <w:r w:rsidRPr="00CC5CD4">
        <w:rPr>
          <w:i/>
        </w:rPr>
        <w:t>Matyjek</w:t>
      </w:r>
      <w:r w:rsidRPr="00CC5CD4">
        <w:t>, §</w:t>
      </w:r>
      <w:r w:rsidR="007A1160">
        <w:t> </w:t>
      </w:r>
      <w:r w:rsidRPr="00CC5CD4">
        <w:t>62, both cited above).</w:t>
      </w:r>
    </w:p>
    <w:p w:rsidR="00E64F9C" w:rsidRPr="00CC5CD4" w:rsidRDefault="00E64F9C" w:rsidP="00E64F9C">
      <w:pPr>
        <w:pStyle w:val="JuPara"/>
      </w:pPr>
      <w:r w:rsidRPr="00CC5CD4">
        <w:fldChar w:fldCharType="begin"/>
      </w:r>
      <w:r w:rsidRPr="00CC5CD4">
        <w:instrText xml:space="preserve"> SEQ level0 \*arabic </w:instrText>
      </w:r>
      <w:r w:rsidRPr="00CC5CD4">
        <w:fldChar w:fldCharType="separate"/>
      </w:r>
      <w:r w:rsidR="00D000D9">
        <w:rPr>
          <w:noProof/>
        </w:rPr>
        <w:t>34</w:t>
      </w:r>
      <w:r w:rsidRPr="00CC5CD4">
        <w:fldChar w:fldCharType="end"/>
      </w:r>
      <w:r w:rsidRPr="00CC5CD4">
        <w:t>.  The Court accepts that there may be a situation in which there is a</w:t>
      </w:r>
      <w:r w:rsidR="007A1160">
        <w:t> </w:t>
      </w:r>
      <w:r w:rsidRPr="00CC5CD4">
        <w:t xml:space="preserve">compelling State interest in maintaining </w:t>
      </w:r>
      <w:r w:rsidR="00A824D5">
        <w:t xml:space="preserve">the </w:t>
      </w:r>
      <w:r w:rsidRPr="00CC5CD4">
        <w:t>secrecy of some documents, even those produced under the former regime. Nevertheless, such a situation will only arise exceptionally given the considerable time that has elapsed since the documents were created. It is for the Government to prove the existence of such an interest in the particular case because what is accepted as an exception must not become a norm. The Court considers that a system under which the outcome of lustration trials depended to a considerable extent on the reconstruction of the actions of the former secret services, while most of the relevant materials remained classified as secret and the decision to maintain the confidentiality was left within the powers of the current secret services, created a situation in which the lustrated person</w:t>
      </w:r>
      <w:r w:rsidR="00C70C19">
        <w:t>’</w:t>
      </w:r>
      <w:r w:rsidRPr="00CC5CD4">
        <w:t xml:space="preserve">s position was put at a clear disadvantage (see, </w:t>
      </w:r>
      <w:r w:rsidRPr="00CC5CD4">
        <w:rPr>
          <w:i/>
        </w:rPr>
        <w:t>Matyjek</w:t>
      </w:r>
      <w:r w:rsidRPr="00CC5CD4">
        <w:t>, §</w:t>
      </w:r>
      <w:r w:rsidR="007A1160">
        <w:t> </w:t>
      </w:r>
      <w:r w:rsidRPr="00CC5CD4">
        <w:t xml:space="preserve">62; </w:t>
      </w:r>
      <w:r w:rsidRPr="00CC5CD4">
        <w:rPr>
          <w:i/>
        </w:rPr>
        <w:t>Luboch</w:t>
      </w:r>
      <w:r w:rsidRPr="00CC5CD4">
        <w:t>, §</w:t>
      </w:r>
      <w:r w:rsidR="007A1160">
        <w:t> </w:t>
      </w:r>
      <w:r w:rsidRPr="00CC5CD4">
        <w:t xml:space="preserve">67; </w:t>
      </w:r>
      <w:r w:rsidRPr="00CC5CD4">
        <w:rPr>
          <w:i/>
          <w:lang w:eastAsia="en-US"/>
        </w:rPr>
        <w:t>Rasmussen</w:t>
      </w:r>
      <w:r w:rsidRPr="00CC5CD4">
        <w:rPr>
          <w:lang w:eastAsia="en-US"/>
        </w:rPr>
        <w:t>, §</w:t>
      </w:r>
      <w:r w:rsidR="007A1160">
        <w:rPr>
          <w:lang w:eastAsia="en-US"/>
        </w:rPr>
        <w:t> </w:t>
      </w:r>
      <w:r w:rsidRPr="00CC5CD4">
        <w:rPr>
          <w:lang w:eastAsia="en-US"/>
        </w:rPr>
        <w:t xml:space="preserve">50, </w:t>
      </w:r>
      <w:r w:rsidR="000325AB">
        <w:rPr>
          <w:i/>
          <w:lang w:eastAsia="en-US"/>
        </w:rPr>
        <w:t>Górny</w:t>
      </w:r>
      <w:r w:rsidR="000325AB" w:rsidRPr="00CC5CD4">
        <w:rPr>
          <w:lang w:eastAsia="en-US"/>
        </w:rPr>
        <w:t xml:space="preserve"> </w:t>
      </w:r>
      <w:r w:rsidR="000325AB">
        <w:rPr>
          <w:lang w:eastAsia="en-US"/>
        </w:rPr>
        <w:t>§</w:t>
      </w:r>
      <w:r w:rsidR="007A1160">
        <w:rPr>
          <w:lang w:eastAsia="en-US"/>
        </w:rPr>
        <w:t> </w:t>
      </w:r>
      <w:r w:rsidR="000325AB">
        <w:rPr>
          <w:lang w:eastAsia="en-US"/>
        </w:rPr>
        <w:t xml:space="preserve">40, </w:t>
      </w:r>
      <w:r w:rsidRPr="00CC5CD4">
        <w:rPr>
          <w:lang w:eastAsia="en-US"/>
        </w:rPr>
        <w:t>all cited above</w:t>
      </w:r>
      <w:r w:rsidRPr="00CC5CD4">
        <w:t>).</w:t>
      </w:r>
    </w:p>
    <w:p w:rsidR="00E64F9C" w:rsidRPr="00CC5CD4" w:rsidRDefault="00E64F9C" w:rsidP="00E64F9C">
      <w:pPr>
        <w:pStyle w:val="JuPara"/>
      </w:pPr>
      <w:r w:rsidRPr="00CC5CD4">
        <w:fldChar w:fldCharType="begin"/>
      </w:r>
      <w:r w:rsidRPr="00CC5CD4">
        <w:instrText xml:space="preserve"> SEQ level0 \*arabic </w:instrText>
      </w:r>
      <w:r w:rsidRPr="00CC5CD4">
        <w:fldChar w:fldCharType="separate"/>
      </w:r>
      <w:r w:rsidR="00D000D9">
        <w:rPr>
          <w:noProof/>
        </w:rPr>
        <w:t>35</w:t>
      </w:r>
      <w:r w:rsidRPr="00CC5CD4">
        <w:fldChar w:fldCharType="end"/>
      </w:r>
      <w:r w:rsidRPr="00CC5CD4">
        <w:t>.  In the light of the above, the Court considers that due to the</w:t>
      </w:r>
      <w:r w:rsidR="007A1160">
        <w:t> </w:t>
      </w:r>
      <w:r w:rsidRPr="00CC5CD4">
        <w:t>confidentiality of the documents and the limitations on access to the case file by the lustrated person, as well as the privileged position of the</w:t>
      </w:r>
      <w:r w:rsidR="007A1160">
        <w:t> </w:t>
      </w:r>
      <w:r w:rsidRPr="00CC5CD4">
        <w:t>Commissioner of the Public Interest in the lustration proceedings, the</w:t>
      </w:r>
      <w:r w:rsidR="007A1160">
        <w:t> </w:t>
      </w:r>
      <w:r w:rsidRPr="00CC5CD4">
        <w:t>applicant</w:t>
      </w:r>
      <w:r w:rsidR="00C70C19">
        <w:t>’</w:t>
      </w:r>
      <w:r w:rsidRPr="00CC5CD4">
        <w:t>s ability to prove that the contacts he had had with the</w:t>
      </w:r>
      <w:r w:rsidR="007A1160">
        <w:t> </w:t>
      </w:r>
      <w:r w:rsidRPr="00CC5CD4">
        <w:t>communist</w:t>
      </w:r>
      <w:r w:rsidRPr="00CC5CD4">
        <w:noBreakHyphen/>
        <w:t xml:space="preserve">era secret services did not amount to “intentional and secret collaboration” within the meaning of the 1997 Lustration Act were severely curtailed. Regard being had to the particular context of the lustration proceedings, and to the cumulative application of those rules, the Court considers that they placed an unrealistic burden on the applicant in practice and did not respect the principle of equality of arms (see, </w:t>
      </w:r>
      <w:r w:rsidRPr="00CC5CD4">
        <w:rPr>
          <w:i/>
        </w:rPr>
        <w:t>Matyjek</w:t>
      </w:r>
      <w:r w:rsidRPr="00CC5CD4">
        <w:t>, cited above, §</w:t>
      </w:r>
      <w:r w:rsidR="007A1160">
        <w:t> </w:t>
      </w:r>
      <w:r w:rsidRPr="00CC5CD4">
        <w:t>63).</w:t>
      </w:r>
    </w:p>
    <w:p w:rsidR="00E64F9C" w:rsidRPr="00CC5CD4" w:rsidRDefault="00E64F9C" w:rsidP="00E64F9C">
      <w:pPr>
        <w:pStyle w:val="JuPara"/>
      </w:pPr>
      <w:r w:rsidRPr="00CC5CD4">
        <w:fldChar w:fldCharType="begin"/>
      </w:r>
      <w:r w:rsidRPr="00CC5CD4">
        <w:instrText xml:space="preserve"> SEQ level0 \*arabic </w:instrText>
      </w:r>
      <w:r w:rsidRPr="00CC5CD4">
        <w:fldChar w:fldCharType="separate"/>
      </w:r>
      <w:r w:rsidR="00D000D9">
        <w:rPr>
          <w:noProof/>
        </w:rPr>
        <w:t>36</w:t>
      </w:r>
      <w:r w:rsidRPr="00CC5CD4">
        <w:fldChar w:fldCharType="end"/>
      </w:r>
      <w:r w:rsidRPr="00CC5CD4">
        <w:t>.  Having regard to the foregoing, the Court concludes that the</w:t>
      </w:r>
      <w:r w:rsidR="007A1160">
        <w:t> </w:t>
      </w:r>
      <w:r w:rsidRPr="00CC5CD4">
        <w:t xml:space="preserve">lustration proceedings against the applicant, taken as a whole, cannot be considered </w:t>
      </w:r>
      <w:r w:rsidR="00A824D5">
        <w:t>to have been</w:t>
      </w:r>
      <w:r w:rsidRPr="00CC5CD4">
        <w:t xml:space="preserve"> fair within the meaning of Article</w:t>
      </w:r>
      <w:r w:rsidR="007A1160">
        <w:t> </w:t>
      </w:r>
      <w:r w:rsidRPr="00CC5CD4">
        <w:t>6 §</w:t>
      </w:r>
      <w:r w:rsidR="007A1160">
        <w:t> </w:t>
      </w:r>
      <w:r w:rsidRPr="00CC5CD4">
        <w:t>1 of the Convention taken together with Article 6</w:t>
      </w:r>
      <w:r w:rsidR="00046555">
        <w:t xml:space="preserve"> </w:t>
      </w:r>
      <w:r w:rsidRPr="00CC5CD4">
        <w:t>§</w:t>
      </w:r>
      <w:r w:rsidR="00046555">
        <w:t> </w:t>
      </w:r>
      <w:r w:rsidRPr="00CC5CD4">
        <w:t>3. There has accordingly been a breach of those provisions.</w:t>
      </w:r>
    </w:p>
    <w:p w:rsidR="00883B84" w:rsidRPr="00CC5CD4" w:rsidRDefault="00883B84" w:rsidP="00883B84">
      <w:pPr>
        <w:pStyle w:val="JuHIRoman"/>
      </w:pPr>
      <w:r w:rsidRPr="00CC5CD4">
        <w:t>II.  OTHER ALLEGED VIOLATIONS OF THE CONVENTION</w:t>
      </w:r>
    </w:p>
    <w:p w:rsidR="007317B8" w:rsidRDefault="000325AB" w:rsidP="00883B84">
      <w:pPr>
        <w:pStyle w:val="JuPara"/>
      </w:pPr>
      <w:r>
        <w:fldChar w:fldCharType="begin"/>
      </w:r>
      <w:r>
        <w:instrText xml:space="preserve"> SEQ level0 \*arabic </w:instrText>
      </w:r>
      <w:r>
        <w:fldChar w:fldCharType="separate"/>
      </w:r>
      <w:r w:rsidR="00D000D9">
        <w:rPr>
          <w:noProof/>
        </w:rPr>
        <w:t>37</w:t>
      </w:r>
      <w:r>
        <w:fldChar w:fldCharType="end"/>
      </w:r>
      <w:r>
        <w:t>.  </w:t>
      </w:r>
      <w:r w:rsidR="00883B84" w:rsidRPr="00CC5CD4">
        <w:t xml:space="preserve">The applicant </w:t>
      </w:r>
      <w:r w:rsidR="00883B84">
        <w:t>further</w:t>
      </w:r>
      <w:r w:rsidR="00A76FA6">
        <w:t xml:space="preserve"> complained </w:t>
      </w:r>
      <w:r w:rsidR="00883B84">
        <w:t>that the proceedings were unfair as</w:t>
      </w:r>
      <w:r w:rsidR="007317B8">
        <w:t xml:space="preserve"> </w:t>
      </w:r>
      <w:r w:rsidR="00883B84">
        <w:t>the lustration courts wrongly assessed the evidence</w:t>
      </w:r>
      <w:r w:rsidR="00A76FA6">
        <w:t xml:space="preserve"> and the case had been examined at two instances by the Warsaw Court of Appeal</w:t>
      </w:r>
      <w:r w:rsidR="00883B84">
        <w:t>.</w:t>
      </w:r>
      <w:r w:rsidR="00883B84" w:rsidRPr="00CC5CD4">
        <w:t xml:space="preserve"> The applicant also complained about the principle </w:t>
      </w:r>
      <w:r w:rsidR="00A824D5">
        <w:t xml:space="preserve">underlying </w:t>
      </w:r>
      <w:r w:rsidR="00883B84" w:rsidRPr="00CC5CD4">
        <w:rPr>
          <w:color w:val="000000"/>
          <w:szCs w:val="24"/>
          <w:lang w:eastAsia="en-GB"/>
        </w:rPr>
        <w:t xml:space="preserve">lustration, claiming </w:t>
      </w:r>
      <w:r w:rsidR="00883B84" w:rsidRPr="00CC5CD4">
        <w:t>that the 1997 Lustration Act had been incompatible with the rule of law and breache</w:t>
      </w:r>
      <w:r w:rsidR="007317B8">
        <w:t xml:space="preserve">d Resolution 1096 (1996) of the </w:t>
      </w:r>
      <w:r w:rsidR="00883B84" w:rsidRPr="00CC5CD4">
        <w:t>Parliamentary Assembly of the Council of Europe. He maintained that lustration of persons exercising public functions after 31 December 1999 should have been forbidden.</w:t>
      </w:r>
    </w:p>
    <w:p w:rsidR="007317B8" w:rsidRDefault="00883B84" w:rsidP="00883B84">
      <w:pPr>
        <w:pStyle w:val="JuPara"/>
      </w:pPr>
      <w:r w:rsidRPr="00CC5CD4">
        <w:fldChar w:fldCharType="begin"/>
      </w:r>
      <w:r w:rsidRPr="00CC5CD4">
        <w:instrText xml:space="preserve"> SEQ level0 \*arabic </w:instrText>
      </w:r>
      <w:r w:rsidRPr="00CC5CD4">
        <w:fldChar w:fldCharType="separate"/>
      </w:r>
      <w:r w:rsidR="00D000D9">
        <w:rPr>
          <w:noProof/>
        </w:rPr>
        <w:t>38</w:t>
      </w:r>
      <w:r w:rsidRPr="00CC5CD4">
        <w:fldChar w:fldCharType="end"/>
      </w:r>
      <w:r w:rsidRPr="00CC5CD4">
        <w:t>.  The Court</w:t>
      </w:r>
      <w:r>
        <w:t xml:space="preserve"> reiterates </w:t>
      </w:r>
      <w:r w:rsidR="009365BA">
        <w:t>t</w:t>
      </w:r>
      <w:r w:rsidR="007317B8">
        <w:t>hat, in accordance with Article </w:t>
      </w:r>
      <w:r w:rsidR="009365BA">
        <w:t>19 of the</w:t>
      </w:r>
      <w:r w:rsidR="007A1160">
        <w:t> </w:t>
      </w:r>
      <w:r w:rsidR="009365BA">
        <w:t>Convention, its duty is to ensure the observance of the engagements undertaken by the Contracting Parties to the Convention. In particular, it is not its function to deal with errors of fact or law allegedly committed by a</w:t>
      </w:r>
      <w:r w:rsidR="007A1160">
        <w:t> </w:t>
      </w:r>
      <w:r w:rsidR="009365BA">
        <w:t>national court unless and in so far as they may have infringed rights and freedoms protected by the Convention.</w:t>
      </w:r>
      <w:r w:rsidR="009365BA">
        <w:rPr>
          <w:rStyle w:val="ju--005fpara----char--char"/>
          <w:color w:val="FF0000"/>
        </w:rPr>
        <w:t xml:space="preserve"> </w:t>
      </w:r>
      <w:r w:rsidR="007317B8">
        <w:t xml:space="preserve">Moreover, while Article </w:t>
      </w:r>
      <w:r w:rsidR="009365BA">
        <w:t>6 of the Convention guarantees the right to a fair hearing, it does not lay down any rules on the admissibility of evidence or the way it should be assessed, which are therefore primarily matters for regulation by national law and the national court</w:t>
      </w:r>
      <w:r w:rsidR="007317B8">
        <w:t xml:space="preserve"> (see, </w:t>
      </w:r>
      <w:r w:rsidR="007317B8">
        <w:rPr>
          <w:i/>
          <w:iCs/>
          <w:lang w:eastAsia="en-GB"/>
        </w:rPr>
        <w:t xml:space="preserve">García </w:t>
      </w:r>
      <w:r w:rsidRPr="00CC5CD4">
        <w:rPr>
          <w:i/>
          <w:iCs/>
          <w:lang w:eastAsia="en-GB"/>
        </w:rPr>
        <w:t>Ruiz v.</w:t>
      </w:r>
      <w:r w:rsidR="007317B8">
        <w:rPr>
          <w:i/>
          <w:iCs/>
          <w:lang w:eastAsia="en-GB"/>
        </w:rPr>
        <w:t xml:space="preserve"> </w:t>
      </w:r>
      <w:r w:rsidRPr="00CC5CD4">
        <w:rPr>
          <w:i/>
          <w:iCs/>
          <w:lang w:eastAsia="en-GB"/>
        </w:rPr>
        <w:t>Spain</w:t>
      </w:r>
      <w:r w:rsidRPr="00CC5CD4">
        <w:rPr>
          <w:lang w:eastAsia="en-GB"/>
        </w:rPr>
        <w:t xml:space="preserve"> [GC], no.</w:t>
      </w:r>
      <w:r w:rsidR="007A1160">
        <w:rPr>
          <w:lang w:eastAsia="en-GB"/>
        </w:rPr>
        <w:t> </w:t>
      </w:r>
      <w:r w:rsidRPr="00CC5CD4">
        <w:rPr>
          <w:lang w:eastAsia="en-GB"/>
        </w:rPr>
        <w:t>30544/96, § 28, ECHR</w:t>
      </w:r>
      <w:r w:rsidR="007A1160">
        <w:rPr>
          <w:lang w:eastAsia="en-GB"/>
        </w:rPr>
        <w:t> </w:t>
      </w:r>
      <w:r w:rsidRPr="00CC5CD4">
        <w:rPr>
          <w:lang w:eastAsia="en-GB"/>
        </w:rPr>
        <w:t>1999</w:t>
      </w:r>
      <w:r w:rsidR="00877F86">
        <w:rPr>
          <w:lang w:eastAsia="en-GB"/>
        </w:rPr>
        <w:noBreakHyphen/>
      </w:r>
      <w:r w:rsidRPr="00CC5CD4">
        <w:rPr>
          <w:lang w:eastAsia="en-GB"/>
        </w:rPr>
        <w:t>I, with further references</w:t>
      </w:r>
      <w:r w:rsidRPr="00CC5CD4">
        <w:t>).</w:t>
      </w:r>
    </w:p>
    <w:p w:rsidR="007317B8" w:rsidRDefault="009365BA" w:rsidP="00883B84">
      <w:pPr>
        <w:pStyle w:val="JuPara"/>
      </w:pPr>
      <w:r>
        <w:t>I</w:t>
      </w:r>
      <w:r w:rsidR="00883B84" w:rsidRPr="00CC5CD4">
        <w:t>n so far as the applicant contests the principle</w:t>
      </w:r>
      <w:r w:rsidR="00A824D5">
        <w:t xml:space="preserve"> underlying lustration proceedings</w:t>
      </w:r>
      <w:r w:rsidR="00883B84" w:rsidRPr="00CC5CD4">
        <w:t>, the Court recalls that it has examined and declared inadmissible as manifestly ill</w:t>
      </w:r>
      <w:r w:rsidR="00877F86">
        <w:noBreakHyphen/>
      </w:r>
      <w:r w:rsidR="00883B84" w:rsidRPr="00CC5CD4">
        <w:t xml:space="preserve">founded similar allegations raised in the case of </w:t>
      </w:r>
      <w:r w:rsidR="007317B8">
        <w:rPr>
          <w:i/>
        </w:rPr>
        <w:t xml:space="preserve">Chodynicki v. </w:t>
      </w:r>
      <w:r w:rsidR="00883B84" w:rsidRPr="00CC5CD4">
        <w:rPr>
          <w:i/>
        </w:rPr>
        <w:t>Poland</w:t>
      </w:r>
      <w:r w:rsidR="00883B84" w:rsidRPr="00CC5CD4">
        <w:t xml:space="preserve"> ((dec.), no.</w:t>
      </w:r>
      <w:r w:rsidR="007A1160">
        <w:t> </w:t>
      </w:r>
      <w:r w:rsidR="00883B84" w:rsidRPr="00CC5CD4">
        <w:t>17625/05, 2</w:t>
      </w:r>
      <w:r w:rsidR="007A1160">
        <w:t> </w:t>
      </w:r>
      <w:r w:rsidR="00883B84" w:rsidRPr="00CC5CD4">
        <w:t>September 2008).</w:t>
      </w:r>
    </w:p>
    <w:p w:rsidR="00883B84" w:rsidRPr="00CC5CD4" w:rsidRDefault="00883B84" w:rsidP="00883B84">
      <w:pPr>
        <w:pStyle w:val="JuPara"/>
      </w:pPr>
      <w:r w:rsidRPr="00CC5CD4">
        <w:fldChar w:fldCharType="begin"/>
      </w:r>
      <w:r w:rsidRPr="00CC5CD4">
        <w:instrText xml:space="preserve"> SEQ level0 \*arabic </w:instrText>
      </w:r>
      <w:r w:rsidRPr="00CC5CD4">
        <w:fldChar w:fldCharType="separate"/>
      </w:r>
      <w:r w:rsidR="00D000D9">
        <w:rPr>
          <w:noProof/>
        </w:rPr>
        <w:t>39</w:t>
      </w:r>
      <w:r w:rsidRPr="00CC5CD4">
        <w:fldChar w:fldCharType="end"/>
      </w:r>
      <w:r w:rsidRPr="00CC5CD4">
        <w:t>.  It follows that this part of the application is manifestly ill</w:t>
      </w:r>
      <w:r w:rsidR="00877F86">
        <w:noBreakHyphen/>
      </w:r>
      <w:r w:rsidRPr="00CC5CD4">
        <w:t>founded and must be rejected in accordance with Article</w:t>
      </w:r>
      <w:r w:rsidR="007A1160">
        <w:t> </w:t>
      </w:r>
      <w:r w:rsidRPr="00CC5CD4">
        <w:t>35 §§</w:t>
      </w:r>
      <w:r w:rsidR="007A1160">
        <w:t> </w:t>
      </w:r>
      <w:r w:rsidRPr="00CC5CD4">
        <w:t>3</w:t>
      </w:r>
      <w:r w:rsidR="007A1160">
        <w:t xml:space="preserve"> </w:t>
      </w:r>
      <w:r w:rsidRPr="00CC5CD4">
        <w:t>and</w:t>
      </w:r>
      <w:r w:rsidR="007A1160">
        <w:t> </w:t>
      </w:r>
      <w:r w:rsidRPr="00CC5CD4">
        <w:t>4 of the</w:t>
      </w:r>
      <w:r w:rsidR="007A1160">
        <w:t> </w:t>
      </w:r>
      <w:r w:rsidRPr="00CC5CD4">
        <w:t>Convention.</w:t>
      </w:r>
    </w:p>
    <w:p w:rsidR="00F71A6A" w:rsidRPr="00B61838" w:rsidRDefault="00F93A23">
      <w:pPr>
        <w:pStyle w:val="JuHIRoman"/>
      </w:pPr>
      <w:r>
        <w:t>III</w:t>
      </w:r>
      <w:r w:rsidR="00F71A6A" w:rsidRPr="00B61838">
        <w:t>.  APPLICATION OF ARTICLE 41 OF THE CONVENTION</w:t>
      </w:r>
    </w:p>
    <w:p w:rsidR="00F71A6A" w:rsidRPr="00B61838" w:rsidRDefault="00B61838">
      <w:pPr>
        <w:pStyle w:val="JuPara"/>
        <w:keepNext/>
        <w:keepLines/>
      </w:pPr>
      <w:r w:rsidRPr="00B61838">
        <w:fldChar w:fldCharType="begin"/>
      </w:r>
      <w:r w:rsidRPr="00B61838">
        <w:instrText xml:space="preserve"> SEQ level0 \*arabic </w:instrText>
      </w:r>
      <w:r w:rsidRPr="00B61838">
        <w:fldChar w:fldCharType="separate"/>
      </w:r>
      <w:r w:rsidR="00D000D9">
        <w:rPr>
          <w:noProof/>
        </w:rPr>
        <w:t>40</w:t>
      </w:r>
      <w:r w:rsidRPr="00B61838">
        <w:fldChar w:fldCharType="end"/>
      </w:r>
      <w:r w:rsidR="00F71A6A" w:rsidRPr="00B61838">
        <w:t>.  Article 41 of the Convention provides:</w:t>
      </w:r>
    </w:p>
    <w:p w:rsidR="00F71A6A" w:rsidRPr="00B61838" w:rsidRDefault="00F71A6A">
      <w:pPr>
        <w:pStyle w:val="JuQuot"/>
        <w:keepNext/>
        <w:keepLines/>
      </w:pPr>
      <w:r w:rsidRPr="00B6183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B61838" w:rsidRDefault="00F71A6A" w:rsidP="008824B9">
      <w:pPr>
        <w:pStyle w:val="JuHA"/>
        <w:keepLines w:val="0"/>
        <w:outlineLvl w:val="0"/>
      </w:pPr>
      <w:r w:rsidRPr="00B61838">
        <w:t>A.  Damage</w:t>
      </w:r>
    </w:p>
    <w:p w:rsidR="00463F51" w:rsidRDefault="00F93A23" w:rsidP="00F93A23">
      <w:pPr>
        <w:pStyle w:val="JuPara"/>
      </w:pPr>
      <w:r w:rsidRPr="00CC5CD4">
        <w:fldChar w:fldCharType="begin"/>
      </w:r>
      <w:r w:rsidRPr="00CC5CD4">
        <w:instrText xml:space="preserve"> SEQ level0 \*arabic </w:instrText>
      </w:r>
      <w:r w:rsidRPr="00CC5CD4">
        <w:fldChar w:fldCharType="separate"/>
      </w:r>
      <w:r w:rsidR="00D000D9">
        <w:rPr>
          <w:noProof/>
        </w:rPr>
        <w:t>41</w:t>
      </w:r>
      <w:r w:rsidRPr="00CC5CD4">
        <w:fldChar w:fldCharType="end"/>
      </w:r>
      <w:r w:rsidRPr="00CC5CD4">
        <w:t xml:space="preserve">.  The applicant claimed </w:t>
      </w:r>
      <w:r w:rsidR="00463F51">
        <w:t>in total over 1,000,000</w:t>
      </w:r>
      <w:r w:rsidRPr="00CC5CD4">
        <w:t xml:space="preserve"> Polish zlotys (PLN) in respect of pecuniary damage. This sum corresponded</w:t>
      </w:r>
      <w:r w:rsidR="005F6B72">
        <w:t xml:space="preserve">, </w:t>
      </w:r>
      <w:r w:rsidR="005F6B72" w:rsidRPr="005F6B72">
        <w:rPr>
          <w:i/>
        </w:rPr>
        <w:t>inter</w:t>
      </w:r>
      <w:r w:rsidR="007A1160">
        <w:rPr>
          <w:i/>
        </w:rPr>
        <w:t> </w:t>
      </w:r>
      <w:r w:rsidR="005F6B72" w:rsidRPr="005F6B72">
        <w:rPr>
          <w:i/>
        </w:rPr>
        <w:t>alia</w:t>
      </w:r>
      <w:r w:rsidR="005F6B72">
        <w:t>,</w:t>
      </w:r>
      <w:r w:rsidRPr="00CC5CD4">
        <w:t xml:space="preserve"> to the loss of his earnings related to </w:t>
      </w:r>
      <w:r w:rsidR="00A824D5">
        <w:t>his</w:t>
      </w:r>
      <w:r w:rsidRPr="00CC5CD4">
        <w:t xml:space="preserve"> participation in the lustration hearings</w:t>
      </w:r>
      <w:r w:rsidR="00463F51">
        <w:t>. The</w:t>
      </w:r>
      <w:r w:rsidR="007A1160">
        <w:t> </w:t>
      </w:r>
      <w:r w:rsidR="00463F51">
        <w:t>applicant submitted no claim in respect of non</w:t>
      </w:r>
      <w:r w:rsidR="00877F86">
        <w:noBreakHyphen/>
      </w:r>
      <w:r w:rsidR="00463F51">
        <w:t>pecuniary damage.</w:t>
      </w:r>
    </w:p>
    <w:p w:rsidR="00F93A23" w:rsidRPr="00CC5CD4" w:rsidRDefault="00F93A23" w:rsidP="00F93A23">
      <w:pPr>
        <w:pStyle w:val="JuPara"/>
      </w:pPr>
      <w:r w:rsidRPr="00CC5CD4">
        <w:fldChar w:fldCharType="begin"/>
      </w:r>
      <w:r w:rsidRPr="00CC5CD4">
        <w:instrText xml:space="preserve"> SEQ level0 \*arabic </w:instrText>
      </w:r>
      <w:r w:rsidRPr="00CC5CD4">
        <w:fldChar w:fldCharType="separate"/>
      </w:r>
      <w:r w:rsidR="00D000D9">
        <w:rPr>
          <w:noProof/>
        </w:rPr>
        <w:t>42</w:t>
      </w:r>
      <w:r w:rsidRPr="00CC5CD4">
        <w:fldChar w:fldCharType="end"/>
      </w:r>
      <w:r w:rsidRPr="00CC5CD4">
        <w:t>.  The Government submitted that there was no causal link between the alleged violation and the claim for pecuniary da</w:t>
      </w:r>
      <w:r w:rsidR="00463F51">
        <w:t>mage.</w:t>
      </w:r>
    </w:p>
    <w:p w:rsidR="00F93A23" w:rsidRPr="00CC5CD4" w:rsidRDefault="00F93A23" w:rsidP="00F93A23">
      <w:pPr>
        <w:pStyle w:val="JuPara"/>
      </w:pPr>
      <w:r w:rsidRPr="00CC5CD4">
        <w:fldChar w:fldCharType="begin"/>
      </w:r>
      <w:r w:rsidRPr="00CC5CD4">
        <w:instrText xml:space="preserve"> SEQ level0 \*arabic </w:instrText>
      </w:r>
      <w:r w:rsidRPr="00CC5CD4">
        <w:fldChar w:fldCharType="separate"/>
      </w:r>
      <w:r w:rsidR="00D000D9">
        <w:rPr>
          <w:noProof/>
        </w:rPr>
        <w:t>43</w:t>
      </w:r>
      <w:r w:rsidRPr="00CC5CD4">
        <w:fldChar w:fldCharType="end"/>
      </w:r>
      <w:r w:rsidRPr="00CC5CD4">
        <w:t xml:space="preserve">.  The Court does not discern any causal link between the violation found and the pecuniary damage alleged. It therefore rejects this claim (see, </w:t>
      </w:r>
      <w:r w:rsidRPr="00CC5CD4">
        <w:rPr>
          <w:i/>
        </w:rPr>
        <w:t>Matyjek</w:t>
      </w:r>
      <w:r w:rsidRPr="00CC5CD4">
        <w:t>, §</w:t>
      </w:r>
      <w:r w:rsidR="007A1160">
        <w:t> </w:t>
      </w:r>
      <w:r w:rsidRPr="00CC5CD4">
        <w:t xml:space="preserve">69; </w:t>
      </w:r>
      <w:r w:rsidRPr="00CC5CD4">
        <w:rPr>
          <w:i/>
        </w:rPr>
        <w:t>Luboch</w:t>
      </w:r>
      <w:r w:rsidRPr="00CC5CD4">
        <w:t>, §</w:t>
      </w:r>
      <w:r w:rsidR="007A1160">
        <w:t> </w:t>
      </w:r>
      <w:r w:rsidRPr="00CC5CD4">
        <w:t xml:space="preserve">83, </w:t>
      </w:r>
      <w:r w:rsidR="002640FA" w:rsidRPr="002640FA">
        <w:rPr>
          <w:i/>
        </w:rPr>
        <w:t>G</w:t>
      </w:r>
      <w:r w:rsidR="00046555">
        <w:rPr>
          <w:i/>
        </w:rPr>
        <w:t>ó</w:t>
      </w:r>
      <w:r w:rsidR="002640FA" w:rsidRPr="002640FA">
        <w:rPr>
          <w:i/>
        </w:rPr>
        <w:t>rny</w:t>
      </w:r>
      <w:r w:rsidR="002640FA">
        <w:t xml:space="preserve"> §</w:t>
      </w:r>
      <w:r w:rsidR="007A1160">
        <w:t> </w:t>
      </w:r>
      <w:r w:rsidR="002640FA">
        <w:t xml:space="preserve">49, </w:t>
      </w:r>
      <w:r w:rsidR="005F6B72">
        <w:t xml:space="preserve">all </w:t>
      </w:r>
      <w:r w:rsidRPr="00CC5CD4">
        <w:t>cited above).</w:t>
      </w:r>
    </w:p>
    <w:p w:rsidR="00F71A6A" w:rsidRPr="00B61838" w:rsidRDefault="00F71A6A" w:rsidP="008824B9">
      <w:pPr>
        <w:pStyle w:val="JuHA"/>
        <w:outlineLvl w:val="0"/>
      </w:pPr>
      <w:r w:rsidRPr="00B61838">
        <w:t>B.  Costs and expenses</w:t>
      </w:r>
    </w:p>
    <w:p w:rsidR="00463F51" w:rsidRDefault="00997675">
      <w:pPr>
        <w:pStyle w:val="JuPara"/>
      </w:pPr>
      <w:r>
        <w:fldChar w:fldCharType="begin"/>
      </w:r>
      <w:r>
        <w:instrText xml:space="preserve"> SEQ level0 \*arabic </w:instrText>
      </w:r>
      <w:r>
        <w:fldChar w:fldCharType="separate"/>
      </w:r>
      <w:r w:rsidR="00D000D9">
        <w:rPr>
          <w:noProof/>
        </w:rPr>
        <w:t>44</w:t>
      </w:r>
      <w:r>
        <w:fldChar w:fldCharType="end"/>
      </w:r>
      <w:r>
        <w:t>.  </w:t>
      </w:r>
      <w:r w:rsidR="00F71A6A" w:rsidRPr="00B61838">
        <w:t xml:space="preserve">The </w:t>
      </w:r>
      <w:r w:rsidR="00B61838" w:rsidRPr="00B61838">
        <w:t>applicant</w:t>
      </w:r>
      <w:r w:rsidR="00F71A6A" w:rsidRPr="00B61838">
        <w:t xml:space="preserve"> </w:t>
      </w:r>
      <w:r w:rsidR="00463F51">
        <w:t xml:space="preserve">did not </w:t>
      </w:r>
      <w:r w:rsidR="00F71A6A" w:rsidRPr="00B61838">
        <w:t>claim</w:t>
      </w:r>
      <w:r w:rsidR="00463F51">
        <w:t xml:space="preserve"> </w:t>
      </w:r>
      <w:r w:rsidR="00463F51" w:rsidRPr="00B61838">
        <w:t>reimbursement of costs and expenses</w:t>
      </w:r>
      <w:r w:rsidR="00463F51">
        <w:t>.</w:t>
      </w:r>
    </w:p>
    <w:p w:rsidR="00F71A6A" w:rsidRPr="00B61838" w:rsidRDefault="00F71A6A" w:rsidP="008824B9">
      <w:pPr>
        <w:pStyle w:val="JuHHead"/>
      </w:pPr>
      <w:r w:rsidRPr="00B61838">
        <w:t xml:space="preserve">FOR THESE REASONS, THE COURT </w:t>
      </w:r>
      <w:r w:rsidR="00FA3CA4">
        <w:t>UNANIMOUSLY</w:t>
      </w:r>
    </w:p>
    <w:p w:rsidR="00463F51" w:rsidRPr="00CC5CD4" w:rsidRDefault="00463F51" w:rsidP="00463F51">
      <w:pPr>
        <w:pStyle w:val="JuList"/>
      </w:pPr>
      <w:r w:rsidRPr="00CC5CD4">
        <w:t>1.  </w:t>
      </w:r>
      <w:r w:rsidRPr="00CC5CD4">
        <w:rPr>
          <w:i/>
        </w:rPr>
        <w:t>Declares</w:t>
      </w:r>
      <w:r w:rsidRPr="00CC5CD4">
        <w:t xml:space="preserve"> the complaint under Article</w:t>
      </w:r>
      <w:r w:rsidR="007A1160">
        <w:t> </w:t>
      </w:r>
      <w:r w:rsidRPr="00CC5CD4">
        <w:t>6 of the Convention regarding the unfairness of the proceedings admissible and the remainder of the application inadmissible;</w:t>
      </w:r>
    </w:p>
    <w:p w:rsidR="00463F51" w:rsidRPr="00CC5CD4" w:rsidRDefault="00463F51" w:rsidP="00463F51">
      <w:pPr>
        <w:pStyle w:val="JuList"/>
      </w:pPr>
    </w:p>
    <w:p w:rsidR="00463F51" w:rsidRPr="00CC5CD4" w:rsidRDefault="00463F51" w:rsidP="00463F51">
      <w:pPr>
        <w:pStyle w:val="JuList"/>
      </w:pPr>
      <w:r w:rsidRPr="00CC5CD4">
        <w:t>2.  </w:t>
      </w:r>
      <w:r w:rsidRPr="00CC5CD4">
        <w:rPr>
          <w:i/>
        </w:rPr>
        <w:t>Holds</w:t>
      </w:r>
      <w:r w:rsidRPr="00CC5CD4">
        <w:t xml:space="preserve"> that there has been a violation of Article 6 § 1 of the Convention taken in conjunction with Article</w:t>
      </w:r>
      <w:r w:rsidR="007A1160">
        <w:t> </w:t>
      </w:r>
      <w:r w:rsidRPr="00CC5CD4">
        <w:t>6 §</w:t>
      </w:r>
      <w:r w:rsidR="007A1160">
        <w:t> </w:t>
      </w:r>
      <w:r w:rsidRPr="00CC5CD4">
        <w:t>3;</w:t>
      </w:r>
    </w:p>
    <w:p w:rsidR="00F71A6A" w:rsidRPr="00B61838" w:rsidRDefault="00F71A6A">
      <w:pPr>
        <w:pStyle w:val="JuList"/>
      </w:pPr>
    </w:p>
    <w:p w:rsidR="00F71A6A" w:rsidRPr="00B61838" w:rsidRDefault="00463F51">
      <w:pPr>
        <w:pStyle w:val="JuList"/>
      </w:pPr>
      <w:r>
        <w:t>3</w:t>
      </w:r>
      <w:r w:rsidR="00F71A6A" w:rsidRPr="00B61838">
        <w:t>.  </w:t>
      </w:r>
      <w:r w:rsidR="00F71A6A" w:rsidRPr="00B61838">
        <w:rPr>
          <w:i/>
        </w:rPr>
        <w:t>Dismisses</w:t>
      </w:r>
      <w:r w:rsidR="00F71A6A" w:rsidRPr="00B61838">
        <w:t xml:space="preserve"> the </w:t>
      </w:r>
      <w:r w:rsidR="00B61838" w:rsidRPr="00B61838">
        <w:t>applicant</w:t>
      </w:r>
      <w:r w:rsidR="00C70C19">
        <w:t>’</w:t>
      </w:r>
      <w:r w:rsidR="00B61838" w:rsidRPr="00B61838">
        <w:t>s</w:t>
      </w:r>
      <w:r w:rsidR="00F71A6A" w:rsidRPr="00B61838">
        <w:t xml:space="preserve"> claim for just satisfaction.</w:t>
      </w:r>
    </w:p>
    <w:p w:rsidR="00325C2B" w:rsidRPr="00B61838" w:rsidRDefault="00F71A6A" w:rsidP="00325C2B">
      <w:pPr>
        <w:pStyle w:val="JuParaLast"/>
      </w:pPr>
      <w:r w:rsidRPr="00B61838">
        <w:t xml:space="preserve">Done in English, and notified in writing on </w:t>
      </w:r>
      <w:r w:rsidR="00FA3CA4">
        <w:t>19 April 2011</w:t>
      </w:r>
      <w:r w:rsidRPr="00B61838">
        <w:t>, pursuant to Rule</w:t>
      </w:r>
      <w:r w:rsidR="007A1160">
        <w:t> </w:t>
      </w:r>
      <w:r w:rsidRPr="00B61838">
        <w:t>77</w:t>
      </w:r>
      <w:r w:rsidR="0011665B" w:rsidRPr="00B61838">
        <w:t xml:space="preserve"> </w:t>
      </w:r>
      <w:r w:rsidRPr="00B61838">
        <w:t>§§</w:t>
      </w:r>
      <w:r w:rsidR="007A1160">
        <w:t> </w:t>
      </w:r>
      <w:r w:rsidRPr="00B61838">
        <w:t>2</w:t>
      </w:r>
      <w:r w:rsidR="007A1160">
        <w:t> </w:t>
      </w:r>
      <w:r w:rsidRPr="00B61838">
        <w:t>and</w:t>
      </w:r>
      <w:r w:rsidR="007A1160">
        <w:t> </w:t>
      </w:r>
      <w:r w:rsidRPr="00B61838">
        <w:t>3 of the Rules of Court.</w:t>
      </w:r>
    </w:p>
    <w:p w:rsidR="0079187F" w:rsidRPr="00B61838" w:rsidRDefault="00325C2B" w:rsidP="00C01E1C">
      <w:pPr>
        <w:pStyle w:val="JuSigned"/>
        <w:keepNext/>
        <w:keepLines/>
      </w:pPr>
      <w:r w:rsidRPr="00B61838">
        <w:tab/>
      </w:r>
      <w:smartTag w:uri="urn:schemas-microsoft-com:office:smarttags" w:element="City">
        <w:smartTag w:uri="urn:schemas-microsoft-com:office:smarttags" w:element="place">
          <w:r w:rsidR="00B61838" w:rsidRPr="00B61838">
            <w:t>Lawrence</w:t>
          </w:r>
        </w:smartTag>
      </w:smartTag>
      <w:r w:rsidR="00B61838" w:rsidRPr="00B61838">
        <w:t xml:space="preserve"> Early</w:t>
      </w:r>
      <w:r w:rsidR="00A8381C" w:rsidRPr="00B61838">
        <w:tab/>
      </w:r>
      <w:r w:rsidR="00B61838" w:rsidRPr="00B61838">
        <w:t>Nicolas Bratza</w:t>
      </w:r>
      <w:r w:rsidR="00A8381C" w:rsidRPr="00B61838">
        <w:tab/>
      </w:r>
      <w:r w:rsidR="00B61838" w:rsidRPr="00B61838">
        <w:rPr>
          <w:iCs/>
        </w:rPr>
        <w:t>Registrar</w:t>
      </w:r>
      <w:r w:rsidR="00A8381C" w:rsidRPr="00B61838">
        <w:tab/>
        <w:t>President</w:t>
      </w:r>
    </w:p>
    <w:sectPr w:rsidR="0079187F" w:rsidRPr="00B61838" w:rsidSect="00FA3CA4">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19E" w:rsidRDefault="0089519E">
      <w:r>
        <w:separator/>
      </w:r>
    </w:p>
  </w:endnote>
  <w:endnote w:type="continuationSeparator" w:id="0">
    <w:p w:rsidR="0089519E" w:rsidRDefault="00895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19E" w:rsidRDefault="008951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19E" w:rsidRDefault="008951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19E" w:rsidRPr="00150BFA" w:rsidRDefault="0089519E" w:rsidP="00FA3CA4">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3.85pt;height:32.9pt">
          <v:imagedata r:id="rId1" o:title="DocFooter-03"/>
        </v:shape>
      </w:pict>
    </w:r>
  </w:p>
  <w:p w:rsidR="0089519E" w:rsidRDefault="008951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19E" w:rsidRDefault="0089519E">
      <w:r>
        <w:separator/>
      </w:r>
    </w:p>
  </w:footnote>
  <w:footnote w:type="continuationSeparator" w:id="0">
    <w:p w:rsidR="0089519E" w:rsidRDefault="008951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19E" w:rsidRDefault="008951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19E" w:rsidRPr="00FA3CA4" w:rsidRDefault="0089519E" w:rsidP="00FA3CA4">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19E" w:rsidRPr="00C00F0F" w:rsidRDefault="0089519E">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6pt;height:164.3pt">
          <v:imagedata r:id="rId1" o:title="TranspDocHeaderBigBlack"/>
        </v:shape>
      </w:pict>
    </w:r>
  </w:p>
  <w:p w:rsidR="0089519E" w:rsidRDefault="0089519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19E" w:rsidRDefault="0089519E">
    <w:pPr>
      <w:pStyle w:val="JuHeader"/>
    </w:pPr>
    <w:r>
      <w:rPr>
        <w:rStyle w:val="PageNumber"/>
      </w:rPr>
      <w:fldChar w:fldCharType="begin"/>
    </w:r>
    <w:r>
      <w:rPr>
        <w:rStyle w:val="PageNumber"/>
      </w:rPr>
      <w:instrText xml:space="preserve"> PAGE </w:instrText>
    </w:r>
    <w:r>
      <w:rPr>
        <w:rStyle w:val="PageNumber"/>
      </w:rPr>
      <w:fldChar w:fldCharType="separate"/>
    </w:r>
    <w:r w:rsidR="00D000D9">
      <w:rPr>
        <w:rStyle w:val="PageNumber"/>
        <w:noProof/>
      </w:rPr>
      <w:t>11</w:t>
    </w:r>
    <w:r>
      <w:rPr>
        <w:rStyle w:val="PageNumber"/>
      </w:rPr>
      <w:fldChar w:fldCharType="end"/>
    </w:r>
    <w:r>
      <w:tab/>
      <w:t xml:space="preserve">TOMASZ KWIATKOWSKI v. </w:t>
    </w:r>
    <w:smartTag w:uri="urn:schemas-microsoft-com:office:smarttags" w:element="place">
      <w:smartTag w:uri="urn:schemas-microsoft-com:office:smarttags" w:element="country-region">
        <w:r>
          <w:t>POLAND</w:t>
        </w:r>
      </w:smartTag>
    </w:smartTag>
    <w:r>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19E" w:rsidRDefault="0089519E">
    <w:pPr>
      <w:pStyle w:val="JuHeader"/>
    </w:pPr>
    <w:r>
      <w:tab/>
      <w:t xml:space="preserve">TOMASZ KWIATKOWSKI v. </w:t>
    </w:r>
    <w:smartTag w:uri="urn:schemas-microsoft-com:office:smarttags" w:element="place">
      <w:smartTag w:uri="urn:schemas-microsoft-com:office:smarttags" w:element="country-region">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D000D9">
      <w:rPr>
        <w:rStyle w:val="PageNumber"/>
        <w:noProof/>
      </w:rPr>
      <w:t>11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nsid w:val="7BBE6CBD"/>
    <w:multiLevelType w:val="hybridMultilevel"/>
    <w:tmpl w:val="5B122094"/>
    <w:lvl w:ilvl="0" w:tplc="4FDAD2AA">
      <w:start w:val="1"/>
      <w:numFmt w:val="decimal"/>
      <w:pStyle w:val="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187"/>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EMM" w:val="0"/>
    <w:docVar w:name="ETRANSMISSION" w:val="BY E-TRANSMISSION ONLY"/>
    <w:docVar w:name="L4_1Annex" w:val="0"/>
    <w:docVar w:name="L4_1Anonymity" w:val="0"/>
    <w:docVar w:name="SignForeName" w:val="0"/>
  </w:docVars>
  <w:rsids>
    <w:rsidRoot w:val="00B61838"/>
    <w:rsid w:val="000325AB"/>
    <w:rsid w:val="00033FD2"/>
    <w:rsid w:val="0003679E"/>
    <w:rsid w:val="00046555"/>
    <w:rsid w:val="00055AC1"/>
    <w:rsid w:val="000726F6"/>
    <w:rsid w:val="00076A67"/>
    <w:rsid w:val="00085837"/>
    <w:rsid w:val="00085B3A"/>
    <w:rsid w:val="00090C82"/>
    <w:rsid w:val="000D6108"/>
    <w:rsid w:val="000E1449"/>
    <w:rsid w:val="000F5636"/>
    <w:rsid w:val="000F699D"/>
    <w:rsid w:val="000F74F0"/>
    <w:rsid w:val="00104AD1"/>
    <w:rsid w:val="00111D99"/>
    <w:rsid w:val="0011665B"/>
    <w:rsid w:val="00126213"/>
    <w:rsid w:val="0016721A"/>
    <w:rsid w:val="001812B2"/>
    <w:rsid w:val="00197C29"/>
    <w:rsid w:val="001A0BDC"/>
    <w:rsid w:val="001A0EBE"/>
    <w:rsid w:val="001B62B1"/>
    <w:rsid w:val="001B74F7"/>
    <w:rsid w:val="001F5586"/>
    <w:rsid w:val="00225BE5"/>
    <w:rsid w:val="002266CD"/>
    <w:rsid w:val="00226FCE"/>
    <w:rsid w:val="00252B31"/>
    <w:rsid w:val="002640FA"/>
    <w:rsid w:val="0026789F"/>
    <w:rsid w:val="00297942"/>
    <w:rsid w:val="002F3440"/>
    <w:rsid w:val="002F6FE9"/>
    <w:rsid w:val="0031573C"/>
    <w:rsid w:val="0032093A"/>
    <w:rsid w:val="00325C2B"/>
    <w:rsid w:val="00332547"/>
    <w:rsid w:val="00336887"/>
    <w:rsid w:val="00337600"/>
    <w:rsid w:val="00345135"/>
    <w:rsid w:val="00371277"/>
    <w:rsid w:val="00394016"/>
    <w:rsid w:val="003B50D7"/>
    <w:rsid w:val="003E2006"/>
    <w:rsid w:val="003E319C"/>
    <w:rsid w:val="003F3BFD"/>
    <w:rsid w:val="00401C5B"/>
    <w:rsid w:val="00413EFC"/>
    <w:rsid w:val="004406AA"/>
    <w:rsid w:val="004503AF"/>
    <w:rsid w:val="00457A18"/>
    <w:rsid w:val="00460FAD"/>
    <w:rsid w:val="00463F51"/>
    <w:rsid w:val="00485A6F"/>
    <w:rsid w:val="004920B1"/>
    <w:rsid w:val="004E5DFC"/>
    <w:rsid w:val="004F185E"/>
    <w:rsid w:val="004F37D0"/>
    <w:rsid w:val="0050096C"/>
    <w:rsid w:val="00516EBF"/>
    <w:rsid w:val="00522362"/>
    <w:rsid w:val="005419B6"/>
    <w:rsid w:val="00546F49"/>
    <w:rsid w:val="0056771C"/>
    <w:rsid w:val="005777BA"/>
    <w:rsid w:val="00577E6A"/>
    <w:rsid w:val="005B16A8"/>
    <w:rsid w:val="005B4233"/>
    <w:rsid w:val="005C1929"/>
    <w:rsid w:val="005C1956"/>
    <w:rsid w:val="005C2C88"/>
    <w:rsid w:val="005C41CB"/>
    <w:rsid w:val="005E384F"/>
    <w:rsid w:val="005F0339"/>
    <w:rsid w:val="005F6B72"/>
    <w:rsid w:val="005F7A10"/>
    <w:rsid w:val="006111FF"/>
    <w:rsid w:val="00624A8A"/>
    <w:rsid w:val="0062787C"/>
    <w:rsid w:val="00640B82"/>
    <w:rsid w:val="00640BB6"/>
    <w:rsid w:val="00655126"/>
    <w:rsid w:val="006639B6"/>
    <w:rsid w:val="00697F14"/>
    <w:rsid w:val="006A3D9D"/>
    <w:rsid w:val="006A7C48"/>
    <w:rsid w:val="006C2B52"/>
    <w:rsid w:val="006C35C5"/>
    <w:rsid w:val="006E6D33"/>
    <w:rsid w:val="0070071B"/>
    <w:rsid w:val="007156E0"/>
    <w:rsid w:val="00730053"/>
    <w:rsid w:val="00730433"/>
    <w:rsid w:val="007317B8"/>
    <w:rsid w:val="007352DD"/>
    <w:rsid w:val="00750E5E"/>
    <w:rsid w:val="00756D5B"/>
    <w:rsid w:val="0077789B"/>
    <w:rsid w:val="0078062F"/>
    <w:rsid w:val="007827E7"/>
    <w:rsid w:val="0079187F"/>
    <w:rsid w:val="007A1160"/>
    <w:rsid w:val="007A1FFE"/>
    <w:rsid w:val="007A357A"/>
    <w:rsid w:val="007A6DBA"/>
    <w:rsid w:val="007C1CE3"/>
    <w:rsid w:val="007D0D75"/>
    <w:rsid w:val="007E78F2"/>
    <w:rsid w:val="00806E5F"/>
    <w:rsid w:val="00846856"/>
    <w:rsid w:val="00853345"/>
    <w:rsid w:val="00877F86"/>
    <w:rsid w:val="008824B9"/>
    <w:rsid w:val="0088315D"/>
    <w:rsid w:val="00883B84"/>
    <w:rsid w:val="00886BB5"/>
    <w:rsid w:val="0089519E"/>
    <w:rsid w:val="008B0615"/>
    <w:rsid w:val="008C6F68"/>
    <w:rsid w:val="008E05A3"/>
    <w:rsid w:val="0093060B"/>
    <w:rsid w:val="00930CD7"/>
    <w:rsid w:val="00932C7B"/>
    <w:rsid w:val="009365BA"/>
    <w:rsid w:val="0094239F"/>
    <w:rsid w:val="00956501"/>
    <w:rsid w:val="00965BD4"/>
    <w:rsid w:val="0098535B"/>
    <w:rsid w:val="00993682"/>
    <w:rsid w:val="00995F44"/>
    <w:rsid w:val="00997675"/>
    <w:rsid w:val="009B039E"/>
    <w:rsid w:val="009B15A1"/>
    <w:rsid w:val="009C4612"/>
    <w:rsid w:val="009D4B87"/>
    <w:rsid w:val="009F07CC"/>
    <w:rsid w:val="009F18CE"/>
    <w:rsid w:val="009F5625"/>
    <w:rsid w:val="00A012A5"/>
    <w:rsid w:val="00A135BE"/>
    <w:rsid w:val="00A32B81"/>
    <w:rsid w:val="00A5331A"/>
    <w:rsid w:val="00A6394B"/>
    <w:rsid w:val="00A76FA6"/>
    <w:rsid w:val="00A80135"/>
    <w:rsid w:val="00A824D5"/>
    <w:rsid w:val="00A8381C"/>
    <w:rsid w:val="00AA0A20"/>
    <w:rsid w:val="00AA373E"/>
    <w:rsid w:val="00AA7CA2"/>
    <w:rsid w:val="00AB2166"/>
    <w:rsid w:val="00AC134B"/>
    <w:rsid w:val="00AD4878"/>
    <w:rsid w:val="00AD57B2"/>
    <w:rsid w:val="00AE0D4D"/>
    <w:rsid w:val="00AE2F4F"/>
    <w:rsid w:val="00AE4B16"/>
    <w:rsid w:val="00B0594B"/>
    <w:rsid w:val="00B3608A"/>
    <w:rsid w:val="00B460AF"/>
    <w:rsid w:val="00B538C9"/>
    <w:rsid w:val="00B61838"/>
    <w:rsid w:val="00B64488"/>
    <w:rsid w:val="00B662B2"/>
    <w:rsid w:val="00B6763B"/>
    <w:rsid w:val="00B81192"/>
    <w:rsid w:val="00B921A8"/>
    <w:rsid w:val="00BD19AE"/>
    <w:rsid w:val="00BE50FE"/>
    <w:rsid w:val="00BE5958"/>
    <w:rsid w:val="00C01E1C"/>
    <w:rsid w:val="00C02E48"/>
    <w:rsid w:val="00C27EF9"/>
    <w:rsid w:val="00C30671"/>
    <w:rsid w:val="00C55D9F"/>
    <w:rsid w:val="00C62B13"/>
    <w:rsid w:val="00C63647"/>
    <w:rsid w:val="00C70C19"/>
    <w:rsid w:val="00C96EBF"/>
    <w:rsid w:val="00CD3FCC"/>
    <w:rsid w:val="00CD5D90"/>
    <w:rsid w:val="00CE1C9D"/>
    <w:rsid w:val="00CF166A"/>
    <w:rsid w:val="00D000D9"/>
    <w:rsid w:val="00D00569"/>
    <w:rsid w:val="00D10209"/>
    <w:rsid w:val="00D102A7"/>
    <w:rsid w:val="00D15473"/>
    <w:rsid w:val="00D33169"/>
    <w:rsid w:val="00D353F4"/>
    <w:rsid w:val="00D357B5"/>
    <w:rsid w:val="00D42DC3"/>
    <w:rsid w:val="00D63793"/>
    <w:rsid w:val="00D90810"/>
    <w:rsid w:val="00D912A6"/>
    <w:rsid w:val="00DB6D67"/>
    <w:rsid w:val="00DC2093"/>
    <w:rsid w:val="00DC5C22"/>
    <w:rsid w:val="00DE5E8F"/>
    <w:rsid w:val="00E014BB"/>
    <w:rsid w:val="00E03704"/>
    <w:rsid w:val="00E32971"/>
    <w:rsid w:val="00E526A4"/>
    <w:rsid w:val="00E64F9C"/>
    <w:rsid w:val="00E81663"/>
    <w:rsid w:val="00E9155E"/>
    <w:rsid w:val="00EB41E9"/>
    <w:rsid w:val="00EB5EBC"/>
    <w:rsid w:val="00ED12C3"/>
    <w:rsid w:val="00ED3AC7"/>
    <w:rsid w:val="00EE1252"/>
    <w:rsid w:val="00EE47FF"/>
    <w:rsid w:val="00EE7911"/>
    <w:rsid w:val="00EF2384"/>
    <w:rsid w:val="00EF6518"/>
    <w:rsid w:val="00F07262"/>
    <w:rsid w:val="00F22E8B"/>
    <w:rsid w:val="00F43FF3"/>
    <w:rsid w:val="00F5124B"/>
    <w:rsid w:val="00F71A6A"/>
    <w:rsid w:val="00F73D18"/>
    <w:rsid w:val="00F93A23"/>
    <w:rsid w:val="00F94742"/>
    <w:rsid w:val="00FA3CA4"/>
    <w:rsid w:val="00FD3E2F"/>
    <w:rsid w:val="00FE6E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8824B9"/>
    <w:pPr>
      <w:tabs>
        <w:tab w:val="clear" w:pos="357"/>
      </w:tabs>
    </w:pPr>
    <w:rPr>
      <w:b/>
    </w:rPr>
  </w:style>
  <w:style w:type="paragraph" w:customStyle="1" w:styleId="JuHIRoman">
    <w:name w:val="Ju_H_I_Roman"/>
    <w:basedOn w:val="JuHHead"/>
    <w:next w:val="JuPara"/>
    <w:rsid w:val="008824B9"/>
    <w:pPr>
      <w:tabs>
        <w:tab w:val="left" w:pos="357"/>
      </w:tabs>
      <w:spacing w:before="360"/>
      <w:ind w:left="357" w:hanging="357"/>
      <w:outlineLvl w:val="1"/>
    </w:pPr>
    <w:rPr>
      <w:sz w:val="24"/>
    </w:rPr>
  </w:style>
  <w:style w:type="paragraph" w:customStyle="1" w:styleId="JuHHead">
    <w:name w:val="Ju_H_Head"/>
    <w:basedOn w:val="Normal"/>
    <w:next w:val="JuPara"/>
    <w:rsid w:val="008824B9"/>
    <w:pPr>
      <w:keepNext/>
      <w:keepLines/>
      <w:spacing w:before="720" w:after="240"/>
      <w:jc w:val="both"/>
      <w:outlineLvl w:val="0"/>
    </w:pPr>
    <w:rPr>
      <w:sz w:val="28"/>
    </w:rPr>
  </w:style>
  <w:style w:type="paragraph" w:customStyle="1" w:styleId="JuPara">
    <w:name w:val="Ju_Para"/>
    <w:aliases w:val="Left,First line:  0 cm"/>
    <w:basedOn w:val="Normal"/>
    <w:link w:val="JuParaChar"/>
    <w:rsid w:val="008824B9"/>
    <w:pPr>
      <w:ind w:firstLine="284"/>
      <w:jc w:val="both"/>
    </w:pPr>
  </w:style>
  <w:style w:type="paragraph" w:customStyle="1" w:styleId="OpiPara">
    <w:name w:val="Opi_Para"/>
    <w:basedOn w:val="JuPara"/>
    <w:rsid w:val="008824B9"/>
  </w:style>
  <w:style w:type="paragraph" w:customStyle="1" w:styleId="OpiH1">
    <w:name w:val="Opi_H_1."/>
    <w:basedOn w:val="OpiHA"/>
    <w:next w:val="OpiPara"/>
    <w:rsid w:val="008824B9"/>
    <w:pPr>
      <w:spacing w:before="240" w:after="120"/>
      <w:ind w:left="635"/>
    </w:pPr>
    <w:rPr>
      <w:b w:val="0"/>
      <w:i/>
    </w:rPr>
  </w:style>
  <w:style w:type="paragraph" w:customStyle="1" w:styleId="OpiHa0">
    <w:name w:val="Opi_H_a"/>
    <w:basedOn w:val="OpiH1"/>
    <w:next w:val="OpiPara"/>
    <w:rsid w:val="008824B9"/>
    <w:pPr>
      <w:ind w:left="834"/>
    </w:pPr>
    <w:rPr>
      <w:b/>
      <w:i w:val="0"/>
      <w:sz w:val="20"/>
    </w:rPr>
  </w:style>
  <w:style w:type="paragraph" w:customStyle="1" w:styleId="OpiHHead">
    <w:name w:val="Opi_H_Head"/>
    <w:basedOn w:val="JuHHead"/>
    <w:next w:val="OpiPara"/>
    <w:rsid w:val="008824B9"/>
    <w:pPr>
      <w:spacing w:before="0"/>
      <w:jc w:val="center"/>
    </w:pPr>
  </w:style>
  <w:style w:type="paragraph" w:customStyle="1" w:styleId="OpiHi">
    <w:name w:val="Opi_H_i"/>
    <w:basedOn w:val="OpiHa0"/>
    <w:next w:val="OpiPara"/>
    <w:rsid w:val="008824B9"/>
    <w:pPr>
      <w:ind w:left="1038"/>
    </w:pPr>
    <w:rPr>
      <w:b w:val="0"/>
      <w:i/>
    </w:rPr>
  </w:style>
  <w:style w:type="paragraph" w:styleId="Footer">
    <w:name w:val="footer"/>
    <w:basedOn w:val="Normal"/>
    <w:rsid w:val="008824B9"/>
    <w:pPr>
      <w:tabs>
        <w:tab w:val="center" w:pos="3686"/>
        <w:tab w:val="right" w:pos="7371"/>
      </w:tabs>
    </w:pPr>
    <w:rPr>
      <w:sz w:val="18"/>
    </w:rPr>
  </w:style>
  <w:style w:type="paragraph" w:customStyle="1" w:styleId="JuJudges">
    <w:name w:val="Ju_Judges"/>
    <w:basedOn w:val="Normal"/>
    <w:link w:val="JuJudgesChar"/>
    <w:rsid w:val="008824B9"/>
    <w:pPr>
      <w:tabs>
        <w:tab w:val="left" w:pos="567"/>
        <w:tab w:val="left" w:pos="1134"/>
      </w:tabs>
    </w:pPr>
  </w:style>
  <w:style w:type="character" w:customStyle="1" w:styleId="JuParaChar">
    <w:name w:val="Ju_Para Char"/>
    <w:basedOn w:val="DefaultParagraphFont"/>
    <w:link w:val="JuPara"/>
    <w:rsid w:val="00B921A8"/>
    <w:rPr>
      <w:sz w:val="24"/>
      <w:lang w:val="en-GB" w:eastAsia="fr-FR" w:bidi="ar-SA"/>
    </w:rPr>
  </w:style>
  <w:style w:type="paragraph" w:customStyle="1" w:styleId="JuHA">
    <w:name w:val="Ju_H_A"/>
    <w:basedOn w:val="JuHIRoman"/>
    <w:next w:val="JuPara"/>
    <w:rsid w:val="008824B9"/>
    <w:pPr>
      <w:tabs>
        <w:tab w:val="clear" w:pos="357"/>
        <w:tab w:val="left" w:pos="584"/>
      </w:tabs>
      <w:ind w:left="584" w:hanging="352"/>
      <w:outlineLvl w:val="2"/>
    </w:pPr>
    <w:rPr>
      <w:b/>
    </w:rPr>
  </w:style>
  <w:style w:type="paragraph" w:customStyle="1" w:styleId="JuQuot">
    <w:name w:val="Ju_Quot"/>
    <w:basedOn w:val="JuPara"/>
    <w:link w:val="JuQuotChar"/>
    <w:rsid w:val="008824B9"/>
    <w:pPr>
      <w:spacing w:before="120" w:after="120"/>
      <w:ind w:left="425" w:firstLine="142"/>
    </w:pPr>
    <w:rPr>
      <w:sz w:val="20"/>
    </w:rPr>
  </w:style>
  <w:style w:type="paragraph" w:customStyle="1" w:styleId="JuSigned">
    <w:name w:val="Ju_Signed"/>
    <w:basedOn w:val="Normal"/>
    <w:next w:val="JuParaLast"/>
    <w:link w:val="JuSignedChar"/>
    <w:rsid w:val="008824B9"/>
    <w:pPr>
      <w:tabs>
        <w:tab w:val="center" w:pos="851"/>
        <w:tab w:val="center" w:pos="6407"/>
      </w:tabs>
      <w:spacing w:before="720"/>
    </w:pPr>
  </w:style>
  <w:style w:type="paragraph" w:customStyle="1" w:styleId="JuParaLast">
    <w:name w:val="Ju_Para_Last"/>
    <w:basedOn w:val="JuPara"/>
    <w:next w:val="JuPara"/>
    <w:rsid w:val="008824B9"/>
    <w:pPr>
      <w:keepNext/>
      <w:keepLines/>
      <w:spacing w:before="240"/>
    </w:pPr>
  </w:style>
  <w:style w:type="paragraph" w:customStyle="1" w:styleId="JuCase">
    <w:name w:val="Ju_Case"/>
    <w:basedOn w:val="JuPara"/>
    <w:next w:val="JuPara"/>
    <w:link w:val="JuCaseChar"/>
    <w:rsid w:val="008824B9"/>
    <w:rPr>
      <w:b/>
    </w:rPr>
  </w:style>
  <w:style w:type="paragraph" w:customStyle="1" w:styleId="JuList">
    <w:name w:val="Ju_List"/>
    <w:basedOn w:val="JuPara"/>
    <w:link w:val="JuListChar"/>
    <w:rsid w:val="008824B9"/>
    <w:pPr>
      <w:ind w:left="340" w:hanging="340"/>
    </w:pPr>
  </w:style>
  <w:style w:type="paragraph" w:customStyle="1" w:styleId="JuHArticle">
    <w:name w:val="Ju_H_Article"/>
    <w:basedOn w:val="JuHa0"/>
    <w:next w:val="JuQuot"/>
    <w:rsid w:val="008824B9"/>
    <w:pPr>
      <w:ind w:left="0" w:firstLine="0"/>
      <w:jc w:val="center"/>
    </w:pPr>
  </w:style>
  <w:style w:type="paragraph" w:customStyle="1" w:styleId="JuHa0">
    <w:name w:val="Ju_H_a"/>
    <w:basedOn w:val="JuH1"/>
    <w:next w:val="JuPara"/>
    <w:rsid w:val="008824B9"/>
    <w:pPr>
      <w:tabs>
        <w:tab w:val="clear" w:pos="731"/>
        <w:tab w:val="left" w:pos="975"/>
      </w:tabs>
      <w:ind w:left="975" w:hanging="340"/>
    </w:pPr>
    <w:rPr>
      <w:b/>
      <w:i w:val="0"/>
      <w:sz w:val="20"/>
    </w:rPr>
  </w:style>
  <w:style w:type="paragraph" w:customStyle="1" w:styleId="JuH1">
    <w:name w:val="Ju_H_1."/>
    <w:basedOn w:val="JuHA"/>
    <w:next w:val="JuPara"/>
    <w:rsid w:val="008824B9"/>
    <w:pPr>
      <w:tabs>
        <w:tab w:val="clear" w:pos="584"/>
        <w:tab w:val="left" w:pos="731"/>
      </w:tabs>
      <w:spacing w:before="240" w:after="120"/>
      <w:ind w:left="732" w:hanging="301"/>
      <w:outlineLvl w:val="9"/>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8824B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824B9"/>
  </w:style>
  <w:style w:type="paragraph" w:customStyle="1" w:styleId="OpiTranslation">
    <w:name w:val="Opi_Translation"/>
    <w:basedOn w:val="OpiHHead"/>
    <w:next w:val="OpiPara"/>
    <w:rsid w:val="008824B9"/>
    <w:rPr>
      <w:i/>
      <w:sz w:val="24"/>
    </w:rPr>
  </w:style>
  <w:style w:type="paragraph" w:styleId="FootnoteText">
    <w:name w:val="footnote text"/>
    <w:basedOn w:val="Normal"/>
    <w:semiHidden/>
    <w:rsid w:val="008824B9"/>
    <w:pPr>
      <w:jc w:val="both"/>
    </w:pPr>
    <w:rPr>
      <w:sz w:val="20"/>
    </w:rPr>
  </w:style>
  <w:style w:type="character" w:styleId="FootnoteReference">
    <w:name w:val="footnote reference"/>
    <w:basedOn w:val="DefaultParagraphFont"/>
    <w:semiHidden/>
    <w:rsid w:val="008824B9"/>
    <w:rPr>
      <w:vertAlign w:val="superscript"/>
    </w:rPr>
  </w:style>
  <w:style w:type="paragraph" w:customStyle="1" w:styleId="JuHi">
    <w:name w:val="Ju_H_i"/>
    <w:basedOn w:val="JuHa0"/>
    <w:next w:val="JuPara"/>
    <w:rsid w:val="008824B9"/>
    <w:pPr>
      <w:tabs>
        <w:tab w:val="clear" w:pos="975"/>
        <w:tab w:val="left" w:pos="1191"/>
      </w:tabs>
      <w:ind w:left="1190" w:hanging="357"/>
    </w:pPr>
    <w:rPr>
      <w:b w:val="0"/>
      <w:i/>
    </w:rPr>
  </w:style>
  <w:style w:type="paragraph" w:styleId="Header">
    <w:name w:val="header"/>
    <w:basedOn w:val="Normal"/>
    <w:rsid w:val="008824B9"/>
    <w:pPr>
      <w:tabs>
        <w:tab w:val="center" w:pos="3686"/>
        <w:tab w:val="right" w:pos="7371"/>
      </w:tabs>
    </w:pPr>
    <w:rPr>
      <w:sz w:val="18"/>
    </w:rPr>
  </w:style>
  <w:style w:type="character" w:styleId="PageNumber">
    <w:name w:val="page number"/>
    <w:basedOn w:val="DefaultParagraphFont"/>
    <w:rsid w:val="008824B9"/>
    <w:rPr>
      <w:sz w:val="18"/>
    </w:rPr>
  </w:style>
  <w:style w:type="paragraph" w:customStyle="1" w:styleId="JuH">
    <w:name w:val="Ju_H_–"/>
    <w:basedOn w:val="JuHalpha"/>
    <w:next w:val="JuPara"/>
    <w:rsid w:val="008824B9"/>
    <w:pPr>
      <w:tabs>
        <w:tab w:val="clear" w:pos="1372"/>
      </w:tabs>
      <w:ind w:left="1236" w:firstLine="0"/>
    </w:pPr>
    <w:rPr>
      <w:i/>
    </w:rPr>
  </w:style>
  <w:style w:type="paragraph" w:customStyle="1" w:styleId="JuHalpha">
    <w:name w:val="Ju_H_alpha"/>
    <w:basedOn w:val="JuHi"/>
    <w:next w:val="JuPara"/>
    <w:rsid w:val="008824B9"/>
    <w:pPr>
      <w:tabs>
        <w:tab w:val="clear" w:pos="1191"/>
        <w:tab w:val="left" w:pos="1372"/>
      </w:tabs>
      <w:ind w:left="1373" w:hanging="335"/>
    </w:pPr>
    <w:rPr>
      <w:i w:val="0"/>
    </w:rPr>
  </w:style>
  <w:style w:type="paragraph" w:customStyle="1" w:styleId="JuLista">
    <w:name w:val="Ju_List_a"/>
    <w:basedOn w:val="JuList"/>
    <w:rsid w:val="008824B9"/>
    <w:pPr>
      <w:ind w:left="346" w:firstLine="0"/>
    </w:pPr>
  </w:style>
  <w:style w:type="paragraph" w:customStyle="1" w:styleId="JuListi">
    <w:name w:val="Ju_List_i"/>
    <w:basedOn w:val="JuLista"/>
    <w:rsid w:val="008824B9"/>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8824B9"/>
    <w:pPr>
      <w:tabs>
        <w:tab w:val="clear" w:pos="851"/>
      </w:tabs>
      <w:jc w:val="right"/>
    </w:pPr>
  </w:style>
  <w:style w:type="paragraph" w:customStyle="1" w:styleId="JuHeader">
    <w:name w:val="Ju_Header"/>
    <w:basedOn w:val="Header"/>
    <w:rsid w:val="008824B9"/>
  </w:style>
  <w:style w:type="paragraph" w:customStyle="1" w:styleId="DecHTitle">
    <w:name w:val="Dec_H_Title"/>
    <w:basedOn w:val="Normal"/>
    <w:rsid w:val="008824B9"/>
    <w:pPr>
      <w:spacing w:after="240"/>
      <w:jc w:val="center"/>
    </w:pPr>
    <w:rPr>
      <w:sz w:val="28"/>
    </w:rPr>
  </w:style>
  <w:style w:type="paragraph" w:customStyle="1" w:styleId="DecHCase">
    <w:name w:val="Dec_H_Case"/>
    <w:basedOn w:val="DecHTitle"/>
    <w:next w:val="JuPara"/>
    <w:rsid w:val="008824B9"/>
    <w:rPr>
      <w:sz w:val="24"/>
    </w:rPr>
  </w:style>
  <w:style w:type="paragraph" w:customStyle="1" w:styleId="DecList">
    <w:name w:val="Dec_List"/>
    <w:basedOn w:val="Normal"/>
    <w:rsid w:val="008824B9"/>
    <w:pPr>
      <w:spacing w:before="240"/>
      <w:ind w:left="284"/>
      <w:jc w:val="both"/>
    </w:pPr>
  </w:style>
  <w:style w:type="paragraph" w:customStyle="1" w:styleId="JuParaSub">
    <w:name w:val="Ju_Para_Sub"/>
    <w:basedOn w:val="JuPara"/>
    <w:rsid w:val="008824B9"/>
    <w:pPr>
      <w:ind w:left="284"/>
    </w:pPr>
    <w:rPr>
      <w:szCs w:val="24"/>
    </w:rPr>
  </w:style>
  <w:style w:type="paragraph" w:customStyle="1" w:styleId="JuQuotSub">
    <w:name w:val="Ju_Quot_Sub"/>
    <w:basedOn w:val="JuQuot"/>
    <w:rsid w:val="008824B9"/>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paragraph" w:customStyle="1" w:styleId="PJuPara">
    <w:name w:val="P_Ju_Para"/>
    <w:basedOn w:val="Normal"/>
    <w:rsid w:val="008824B9"/>
    <w:pPr>
      <w:ind w:firstLine="284"/>
      <w:jc w:val="both"/>
    </w:pPr>
  </w:style>
  <w:style w:type="paragraph" w:customStyle="1" w:styleId="PJuQuot">
    <w:name w:val="P_Ju_Quot"/>
    <w:basedOn w:val="Normal"/>
    <w:rsid w:val="008824B9"/>
    <w:pPr>
      <w:spacing w:before="120" w:after="120"/>
      <w:ind w:left="403" w:firstLine="176"/>
      <w:jc w:val="both"/>
    </w:pPr>
    <w:rPr>
      <w:sz w:val="20"/>
    </w:rPr>
  </w:style>
  <w:style w:type="paragraph" w:customStyle="1" w:styleId="PListArticleSubject">
    <w:name w:val="P_List_ArticleSubject"/>
    <w:basedOn w:val="Normal"/>
    <w:rsid w:val="008824B9"/>
    <w:pPr>
      <w:tabs>
        <w:tab w:val="left" w:pos="2977"/>
      </w:tabs>
      <w:ind w:left="2977" w:hanging="2977"/>
    </w:pPr>
  </w:style>
  <w:style w:type="paragraph" w:customStyle="1" w:styleId="SuCoverTitle1">
    <w:name w:val="Su_Cover_Title1"/>
    <w:basedOn w:val="Normal"/>
    <w:next w:val="SuCoverTitle2"/>
    <w:rsid w:val="008824B9"/>
    <w:pPr>
      <w:spacing w:before="2500"/>
      <w:jc w:val="center"/>
    </w:pPr>
    <w:rPr>
      <w:sz w:val="22"/>
    </w:rPr>
  </w:style>
  <w:style w:type="paragraph" w:customStyle="1" w:styleId="SuCoverTitle2">
    <w:name w:val="Su_Cover_Title2"/>
    <w:basedOn w:val="SuCoverTitle1"/>
    <w:next w:val="Normal"/>
    <w:rsid w:val="008824B9"/>
    <w:pPr>
      <w:spacing w:before="240"/>
    </w:pPr>
    <w:rPr>
      <w:sz w:val="18"/>
    </w:rPr>
  </w:style>
  <w:style w:type="paragraph" w:customStyle="1" w:styleId="SuPara">
    <w:name w:val="Su_Para"/>
    <w:basedOn w:val="SuKeywords"/>
    <w:rsid w:val="008824B9"/>
    <w:pPr>
      <w:spacing w:before="0" w:after="0"/>
    </w:pPr>
    <w:rPr>
      <w:i w:val="0"/>
    </w:rPr>
  </w:style>
  <w:style w:type="paragraph" w:customStyle="1" w:styleId="SuKeywords">
    <w:name w:val="Su_Keywords"/>
    <w:basedOn w:val="SuHHead"/>
    <w:rsid w:val="008824B9"/>
    <w:pPr>
      <w:spacing w:before="120"/>
    </w:pPr>
    <w:rPr>
      <w:b w:val="0"/>
      <w:i/>
    </w:rPr>
  </w:style>
  <w:style w:type="paragraph" w:customStyle="1" w:styleId="SuHHead">
    <w:name w:val="Su_H_Head"/>
    <w:basedOn w:val="SuSubject"/>
    <w:rsid w:val="008824B9"/>
    <w:pPr>
      <w:spacing w:after="120"/>
    </w:pPr>
  </w:style>
  <w:style w:type="paragraph" w:customStyle="1" w:styleId="SuSubject">
    <w:name w:val="Su_Subject"/>
    <w:basedOn w:val="SuSummary"/>
    <w:rsid w:val="008824B9"/>
    <w:pPr>
      <w:spacing w:before="360"/>
      <w:jc w:val="both"/>
    </w:pPr>
    <w:rPr>
      <w:b/>
      <w:sz w:val="22"/>
    </w:rPr>
  </w:style>
  <w:style w:type="paragraph" w:customStyle="1" w:styleId="SuSummary">
    <w:name w:val="Su_Summary"/>
    <w:basedOn w:val="Normal"/>
    <w:next w:val="SuSubject"/>
    <w:rsid w:val="008824B9"/>
    <w:pPr>
      <w:spacing w:after="240"/>
      <w:jc w:val="center"/>
    </w:pPr>
  </w:style>
  <w:style w:type="paragraph" w:customStyle="1" w:styleId="PListCaseNo">
    <w:name w:val="P_List_CaseNo"/>
    <w:basedOn w:val="Normal"/>
    <w:rsid w:val="008824B9"/>
    <w:pPr>
      <w:tabs>
        <w:tab w:val="left" w:pos="1276"/>
      </w:tabs>
      <w:spacing w:line="288" w:lineRule="auto"/>
      <w:ind w:left="1276" w:hanging="1276"/>
    </w:pPr>
  </w:style>
  <w:style w:type="paragraph" w:customStyle="1" w:styleId="PListCases">
    <w:name w:val="P_List_Cases"/>
    <w:basedOn w:val="Normal"/>
    <w:rsid w:val="008824B9"/>
    <w:pPr>
      <w:spacing w:line="288" w:lineRule="auto"/>
    </w:pPr>
  </w:style>
  <w:style w:type="paragraph" w:customStyle="1" w:styleId="PTextIntro">
    <w:name w:val="P_Text_Intro"/>
    <w:basedOn w:val="Normal"/>
    <w:rsid w:val="008824B9"/>
    <w:pPr>
      <w:jc w:val="both"/>
    </w:pPr>
    <w:rPr>
      <w:i/>
      <w:sz w:val="20"/>
    </w:rPr>
  </w:style>
  <w:style w:type="paragraph" w:customStyle="1" w:styleId="PTitleCover">
    <w:name w:val="P_Title_Cover"/>
    <w:basedOn w:val="Normal"/>
    <w:rsid w:val="008824B9"/>
    <w:pPr>
      <w:spacing w:before="2500"/>
      <w:jc w:val="center"/>
    </w:pPr>
    <w:rPr>
      <w:b/>
      <w:smallCaps/>
      <w:sz w:val="30"/>
    </w:rPr>
  </w:style>
  <w:style w:type="paragraph" w:customStyle="1" w:styleId="PTitle1Alpha">
    <w:name w:val="P_Title1_Alpha"/>
    <w:basedOn w:val="Normal"/>
    <w:next w:val="Normal"/>
    <w:rsid w:val="008824B9"/>
    <w:pPr>
      <w:spacing w:after="120"/>
      <w:jc w:val="center"/>
    </w:pPr>
    <w:rPr>
      <w:b/>
      <w:smallCaps/>
      <w:sz w:val="30"/>
    </w:rPr>
  </w:style>
  <w:style w:type="paragraph" w:customStyle="1" w:styleId="PTitle1IndexArticle">
    <w:name w:val="P_Title1_IndexArticle"/>
    <w:basedOn w:val="Normal"/>
    <w:rsid w:val="008824B9"/>
    <w:pPr>
      <w:spacing w:after="120"/>
      <w:jc w:val="center"/>
    </w:pPr>
    <w:rPr>
      <w:b/>
      <w:smallCaps/>
      <w:sz w:val="30"/>
    </w:rPr>
  </w:style>
  <w:style w:type="paragraph" w:customStyle="1" w:styleId="PTitle1IndexKey">
    <w:name w:val="P_Title1_IndexKey"/>
    <w:basedOn w:val="Normal"/>
    <w:rsid w:val="008824B9"/>
    <w:pPr>
      <w:spacing w:after="600"/>
      <w:jc w:val="center"/>
    </w:pPr>
    <w:rPr>
      <w:b/>
      <w:smallCaps/>
      <w:sz w:val="30"/>
    </w:rPr>
  </w:style>
  <w:style w:type="paragraph" w:customStyle="1" w:styleId="PTitle1Num">
    <w:name w:val="P_Title1_Num"/>
    <w:basedOn w:val="Normal"/>
    <w:next w:val="PListCaseNo"/>
    <w:rsid w:val="008824B9"/>
    <w:pPr>
      <w:spacing w:after="720"/>
      <w:jc w:val="center"/>
    </w:pPr>
    <w:rPr>
      <w:b/>
      <w:smallCaps/>
      <w:sz w:val="30"/>
    </w:rPr>
  </w:style>
  <w:style w:type="paragraph" w:customStyle="1" w:styleId="PTitle2Country">
    <w:name w:val="P_Title2_Country"/>
    <w:basedOn w:val="Normal"/>
    <w:next w:val="PListCases"/>
    <w:rsid w:val="008824B9"/>
    <w:pPr>
      <w:keepNext/>
      <w:keepLines/>
      <w:spacing w:before="600" w:after="360"/>
    </w:pPr>
    <w:rPr>
      <w:b/>
    </w:rPr>
  </w:style>
  <w:style w:type="paragraph" w:customStyle="1" w:styleId="PTitle2Letters">
    <w:name w:val="P_Title2_Letters"/>
    <w:basedOn w:val="Normal"/>
    <w:next w:val="PListCases"/>
    <w:rsid w:val="008824B9"/>
    <w:pPr>
      <w:keepNext/>
      <w:keepLines/>
      <w:spacing w:before="600" w:after="360"/>
    </w:pPr>
    <w:rPr>
      <w:b/>
      <w:sz w:val="28"/>
    </w:rPr>
  </w:style>
  <w:style w:type="paragraph" w:customStyle="1" w:styleId="PTitle2Part">
    <w:name w:val="P_Title2_Part"/>
    <w:basedOn w:val="Normal"/>
    <w:rsid w:val="008824B9"/>
    <w:pPr>
      <w:keepNext/>
      <w:keepLines/>
      <w:spacing w:before="600" w:after="240"/>
      <w:jc w:val="center"/>
    </w:pPr>
    <w:rPr>
      <w:b/>
      <w:caps/>
    </w:rPr>
  </w:style>
  <w:style w:type="paragraph" w:customStyle="1" w:styleId="PTitle3Article">
    <w:name w:val="P_Title3_Article"/>
    <w:basedOn w:val="Normal"/>
    <w:rsid w:val="008824B9"/>
    <w:pPr>
      <w:keepNext/>
      <w:keepLines/>
      <w:spacing w:before="360" w:after="120"/>
      <w:jc w:val="center"/>
    </w:pPr>
    <w:rPr>
      <w:b/>
      <w:smallCaps/>
      <w:sz w:val="22"/>
    </w:rPr>
  </w:style>
  <w:style w:type="paragraph" w:customStyle="1" w:styleId="PTitle4ArticleSub">
    <w:name w:val="P_Title4_Article_Sub"/>
    <w:basedOn w:val="PTitle3Article"/>
    <w:rsid w:val="008824B9"/>
    <w:pPr>
      <w:spacing w:before="240"/>
    </w:pPr>
    <w:rPr>
      <w:smallCaps w:val="0"/>
      <w:sz w:val="20"/>
    </w:rPr>
  </w:style>
  <w:style w:type="paragraph" w:customStyle="1" w:styleId="PTitle5Subject">
    <w:name w:val="P_Title5_Subject"/>
    <w:basedOn w:val="Normal"/>
    <w:rsid w:val="008824B9"/>
    <w:pPr>
      <w:keepNext/>
      <w:keepLines/>
      <w:spacing w:before="240" w:after="120"/>
      <w:jc w:val="both"/>
    </w:pPr>
    <w:rPr>
      <w:b/>
      <w:i/>
    </w:rPr>
  </w:style>
  <w:style w:type="paragraph" w:customStyle="1" w:styleId="PTitle6SubjectSub">
    <w:name w:val="P_Title6_Subject_Sub"/>
    <w:basedOn w:val="Normal"/>
    <w:rsid w:val="008824B9"/>
    <w:pPr>
      <w:keepNext/>
      <w:keepLines/>
      <w:spacing w:before="240" w:after="120"/>
      <w:ind w:left="284"/>
      <w:jc w:val="both"/>
    </w:pPr>
    <w:rPr>
      <w:b/>
      <w:sz w:val="20"/>
    </w:rPr>
  </w:style>
  <w:style w:type="paragraph" w:customStyle="1" w:styleId="PTitle7CaseName">
    <w:name w:val="P_Title7_CaseName"/>
    <w:basedOn w:val="Normal"/>
    <w:rsid w:val="008824B9"/>
    <w:pPr>
      <w:keepLines/>
      <w:spacing w:after="240"/>
      <w:jc w:val="right"/>
    </w:pPr>
    <w:rPr>
      <w:sz w:val="22"/>
    </w:rPr>
  </w:style>
  <w:style w:type="paragraph" w:customStyle="1" w:styleId="OpiParaSub">
    <w:name w:val="Opi_Para_Sub"/>
    <w:basedOn w:val="JuParaSub"/>
    <w:rsid w:val="008824B9"/>
  </w:style>
  <w:style w:type="paragraph" w:customStyle="1" w:styleId="OpiQuotSub">
    <w:name w:val="Opi_Quot_Sub"/>
    <w:basedOn w:val="JuQuotSub"/>
    <w:rsid w:val="008824B9"/>
  </w:style>
  <w:style w:type="character" w:customStyle="1" w:styleId="JuSignedChar">
    <w:name w:val="Ju_Signed Char"/>
    <w:basedOn w:val="DefaultParagraphFont"/>
    <w:link w:val="JuSigned"/>
    <w:rsid w:val="000726F6"/>
    <w:rPr>
      <w:sz w:val="24"/>
      <w:lang w:val="en-GB" w:eastAsia="fr-FR" w:bidi="ar-SA"/>
    </w:rPr>
  </w:style>
  <w:style w:type="character" w:customStyle="1" w:styleId="JuJudgesChar">
    <w:name w:val="Ju_Judges Char"/>
    <w:basedOn w:val="DefaultParagraphFont"/>
    <w:link w:val="JuJudges"/>
    <w:locked/>
    <w:rsid w:val="00D15473"/>
    <w:rPr>
      <w:sz w:val="24"/>
      <w:lang w:val="en-GB" w:eastAsia="fr-FR" w:bidi="ar-SA"/>
    </w:rPr>
  </w:style>
  <w:style w:type="character" w:customStyle="1" w:styleId="JuCaseChar">
    <w:name w:val="Ju_Case Char"/>
    <w:basedOn w:val="JuParaChar"/>
    <w:link w:val="JuCase"/>
    <w:rsid w:val="00B921A8"/>
    <w:rPr>
      <w:b/>
      <w:sz w:val="24"/>
      <w:lang w:val="en-GB" w:eastAsia="fr-FR" w:bidi="ar-SA"/>
    </w:rPr>
  </w:style>
  <w:style w:type="character" w:customStyle="1" w:styleId="JuParaCar">
    <w:name w:val="Ju_Para Car"/>
    <w:basedOn w:val="DefaultParagraphFont"/>
    <w:rsid w:val="00B460AF"/>
    <w:rPr>
      <w:sz w:val="24"/>
      <w:lang w:val="en-GB" w:eastAsia="fr-FR" w:bidi="ar-SA"/>
    </w:rPr>
  </w:style>
  <w:style w:type="character" w:customStyle="1" w:styleId="JuListChar">
    <w:name w:val="Ju_List Char"/>
    <w:basedOn w:val="DefaultParagraphFont"/>
    <w:link w:val="JuList"/>
    <w:rsid w:val="00930CD7"/>
    <w:rPr>
      <w:sz w:val="24"/>
      <w:lang w:val="en-GB" w:eastAsia="fr-FR" w:bidi="ar-SA"/>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8824B9"/>
    <w:rPr>
      <w:smallCaps/>
    </w:rPr>
  </w:style>
  <w:style w:type="paragraph" w:customStyle="1" w:styleId="NormalJustified">
    <w:name w:val="Normal_Justified"/>
    <w:basedOn w:val="Normal"/>
    <w:rsid w:val="008824B9"/>
    <w:pPr>
      <w:jc w:val="both"/>
    </w:pPr>
  </w:style>
  <w:style w:type="paragraph" w:customStyle="1" w:styleId="AppQuestion">
    <w:name w:val="App_Question"/>
    <w:basedOn w:val="ListBullet"/>
    <w:rsid w:val="008824B9"/>
    <w:pPr>
      <w:numPr>
        <w:numId w:val="3"/>
      </w:numPr>
    </w:pPr>
    <w:rPr>
      <w:b/>
      <w:color w:val="333333"/>
    </w:rPr>
  </w:style>
  <w:style w:type="paragraph" w:styleId="ListBullet">
    <w:name w:val="List Bullet"/>
    <w:basedOn w:val="Normal"/>
    <w:rsid w:val="008824B9"/>
    <w:pPr>
      <w:numPr>
        <w:numId w:val="2"/>
      </w:numPr>
    </w:pPr>
  </w:style>
  <w:style w:type="character" w:styleId="Hyperlink">
    <w:name w:val="Hyperlink"/>
    <w:basedOn w:val="DefaultParagraphFont"/>
    <w:rsid w:val="00B61838"/>
    <w:rPr>
      <w:color w:val="0000FF"/>
      <w:u w:val="single"/>
    </w:rPr>
  </w:style>
  <w:style w:type="character" w:customStyle="1" w:styleId="JuQuotChar">
    <w:name w:val="Ju_Quot Char"/>
    <w:basedOn w:val="DefaultParagraphFont"/>
    <w:link w:val="JuQuot"/>
    <w:rsid w:val="00883B84"/>
    <w:rPr>
      <w:lang w:val="en-GB" w:eastAsia="fr-FR" w:bidi="ar-SA"/>
    </w:rPr>
  </w:style>
  <w:style w:type="character" w:customStyle="1" w:styleId="ju-005fpara--char">
    <w:name w:val="ju-005fpara--char"/>
    <w:basedOn w:val="DefaultParagraphFont"/>
    <w:rsid w:val="00E64F9C"/>
  </w:style>
  <w:style w:type="character" w:customStyle="1" w:styleId="ju--005fpara----char--char">
    <w:name w:val="ju--005fpara----char--char"/>
    <w:basedOn w:val="DefaultParagraphFont"/>
    <w:rsid w:val="00936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108710-C131-4CFA-A6A3-7BD1BF8D7E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A6AB434-866A-4AE8-B696-335F5D94BB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3060</Words>
  <Characters>17448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20468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7</cp:revision>
  <cp:lastPrinted>2011-04-14T10:10:00Z</cp:lastPrinted>
  <dcterms:created xsi:type="dcterms:W3CDTF">2012-06-24T20:16:00Z</dcterms:created>
  <dcterms:modified xsi:type="dcterms:W3CDTF">2012-06-24T20:16:00Z</dcterms:modified>
  <cp:category>ECHR Template</cp:category>
</cp:coreProperties>
</file>