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321" w:rsidRDefault="00313321">
      <w:pPr>
        <w:jc w:val="center"/>
      </w:pPr>
    </w:p>
    <w:p w:rsidR="00313321" w:rsidRDefault="00313321">
      <w:pPr>
        <w:jc w:val="center"/>
      </w:pPr>
    </w:p>
    <w:p w:rsidR="00F71A6A" w:rsidRPr="004E657D" w:rsidRDefault="00F71A6A" w:rsidP="00925F1F">
      <w:pPr>
        <w:jc w:val="center"/>
      </w:pPr>
    </w:p>
    <w:p w:rsidR="00F71A6A" w:rsidRPr="004E657D" w:rsidRDefault="004E657D" w:rsidP="00925F1F">
      <w:pPr>
        <w:jc w:val="center"/>
        <w:outlineLvl w:val="0"/>
      </w:pPr>
      <w:r w:rsidRPr="004E657D">
        <w:t>FOURTH SECTION</w:t>
      </w:r>
    </w:p>
    <w:p w:rsidR="00313321" w:rsidRDefault="00313321" w:rsidP="00925F1F">
      <w:pPr>
        <w:jc w:val="center"/>
      </w:pPr>
    </w:p>
    <w:p w:rsidR="00313321" w:rsidRDefault="00313321" w:rsidP="00925F1F">
      <w:pPr>
        <w:jc w:val="center"/>
      </w:pPr>
    </w:p>
    <w:p w:rsidR="00F71A6A" w:rsidRPr="004E657D" w:rsidRDefault="00F71A6A" w:rsidP="00925F1F">
      <w:pPr>
        <w:jc w:val="center"/>
      </w:pPr>
    </w:p>
    <w:p w:rsidR="00F71A6A" w:rsidRPr="004E657D" w:rsidRDefault="00F71A6A" w:rsidP="00925F1F">
      <w:pPr>
        <w:jc w:val="center"/>
        <w:outlineLvl w:val="0"/>
        <w:rPr>
          <w:b/>
        </w:rPr>
      </w:pPr>
      <w:bookmarkStart w:id="0" w:name="To"/>
      <w:r w:rsidRPr="004E657D">
        <w:rPr>
          <w:b/>
        </w:rPr>
        <w:t xml:space="preserve">CASE OF </w:t>
      </w:r>
      <w:bookmarkEnd w:id="0"/>
      <w:r w:rsidR="004E657D" w:rsidRPr="004E657D">
        <w:rPr>
          <w:b/>
        </w:rPr>
        <w:t xml:space="preserve">PLECHANOW v. </w:t>
      </w:r>
      <w:smartTag w:uri="urn:schemas-microsoft-com:office:smarttags" w:element="place">
        <w:smartTag w:uri="urn:schemas-microsoft-com:office:smarttags" w:element="country-region">
          <w:r w:rsidR="004E657D" w:rsidRPr="004E657D">
            <w:rPr>
              <w:b/>
            </w:rPr>
            <w:t>POLAND</w:t>
          </w:r>
        </w:smartTag>
      </w:smartTag>
    </w:p>
    <w:p w:rsidR="00F71A6A" w:rsidRPr="004E657D" w:rsidRDefault="00F71A6A" w:rsidP="00925F1F">
      <w:pPr>
        <w:jc w:val="center"/>
      </w:pPr>
    </w:p>
    <w:p w:rsidR="00F71A6A" w:rsidRPr="004E657D" w:rsidRDefault="00F71A6A" w:rsidP="00925F1F">
      <w:pPr>
        <w:jc w:val="center"/>
        <w:rPr>
          <w:i/>
        </w:rPr>
      </w:pPr>
      <w:r w:rsidRPr="004E657D">
        <w:rPr>
          <w:i/>
        </w:rPr>
        <w:t>(</w:t>
      </w:r>
      <w:r w:rsidR="004E657D" w:rsidRPr="004E657D">
        <w:rPr>
          <w:i/>
        </w:rPr>
        <w:t>Application no. 22279/04</w:t>
      </w:r>
      <w:r w:rsidRPr="004E657D">
        <w:rPr>
          <w:i/>
        </w:rPr>
        <w:t>)</w:t>
      </w:r>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r>
        <w:rPr>
          <w:sz w:val="22"/>
          <w:szCs w:val="22"/>
        </w:rPr>
        <w:t>JUDGMENT</w:t>
      </w:r>
    </w:p>
    <w:p w:rsidR="00313321" w:rsidRDefault="00313321" w:rsidP="00925F1F">
      <w:pPr>
        <w:pStyle w:val="JuPara"/>
        <w:ind w:firstLine="0"/>
        <w:jc w:val="center"/>
        <w:rPr>
          <w:sz w:val="22"/>
          <w:szCs w:val="22"/>
        </w:rPr>
      </w:pPr>
      <w:r>
        <w:rPr>
          <w:sz w:val="22"/>
          <w:szCs w:val="22"/>
        </w:rPr>
        <w:t>(Merits)</w:t>
      </w:r>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smartTag w:uri="urn:schemas-microsoft-com:office:smarttags" w:element="place">
        <w:smartTag w:uri="urn:schemas-microsoft-com:office:smarttags" w:element="City">
          <w:r>
            <w:rPr>
              <w:sz w:val="22"/>
              <w:szCs w:val="22"/>
            </w:rPr>
            <w:t>STRASBOURG</w:t>
          </w:r>
        </w:smartTag>
      </w:smartTag>
    </w:p>
    <w:p w:rsidR="00313321" w:rsidRDefault="00313321" w:rsidP="00925F1F">
      <w:pPr>
        <w:pStyle w:val="JuPara"/>
        <w:ind w:firstLine="0"/>
        <w:jc w:val="center"/>
        <w:rPr>
          <w:sz w:val="22"/>
          <w:szCs w:val="22"/>
        </w:rPr>
      </w:pPr>
    </w:p>
    <w:p w:rsidR="00313321" w:rsidRDefault="00313321" w:rsidP="00925F1F">
      <w:pPr>
        <w:pStyle w:val="JuPara"/>
        <w:ind w:firstLine="0"/>
        <w:jc w:val="center"/>
        <w:rPr>
          <w:sz w:val="22"/>
          <w:szCs w:val="22"/>
        </w:rPr>
      </w:pPr>
      <w:r>
        <w:rPr>
          <w:sz w:val="22"/>
          <w:szCs w:val="22"/>
        </w:rPr>
        <w:t>7 July 2009</w:t>
      </w:r>
    </w:p>
    <w:p w:rsidR="00313321" w:rsidRDefault="00313321" w:rsidP="00925F1F">
      <w:pPr>
        <w:pStyle w:val="JuPara"/>
        <w:ind w:firstLine="0"/>
        <w:jc w:val="center"/>
        <w:rPr>
          <w:sz w:val="22"/>
          <w:szCs w:val="22"/>
        </w:rPr>
      </w:pPr>
    </w:p>
    <w:p w:rsidR="00925F1F" w:rsidRDefault="00925F1F" w:rsidP="00925F1F">
      <w:pPr>
        <w:ind w:right="-12"/>
        <w:jc w:val="center"/>
        <w:rPr>
          <w:b/>
          <w:color w:val="FF0000"/>
          <w:sz w:val="36"/>
          <w:u w:val="single"/>
        </w:rPr>
      </w:pPr>
      <w:bookmarkStart w:id="1" w:name="OLE_LINK3"/>
      <w:bookmarkStart w:id="2" w:name="OLE_LINK6"/>
      <w:bookmarkStart w:id="3" w:name="OLE_LINK7"/>
      <w:bookmarkStart w:id="4" w:name="OLE_LINK8"/>
      <w:bookmarkStart w:id="5" w:name="OLE_LINK9"/>
      <w:bookmarkStart w:id="6" w:name="OLE_LINK11"/>
      <w:bookmarkStart w:id="7" w:name="OLE_LINK12"/>
      <w:bookmarkStart w:id="8" w:name="OLE_LINK13"/>
      <w:bookmarkStart w:id="9" w:name="OLE_LINK14"/>
      <w:bookmarkStart w:id="10" w:name="OLE_LINK15"/>
      <w:bookmarkStart w:id="11" w:name="OLE_LINK19"/>
      <w:bookmarkStart w:id="12" w:name="OLE_LINK23"/>
      <w:bookmarkStart w:id="13" w:name="OLE_LINK25"/>
      <w:bookmarkStart w:id="14" w:name="OLE_LINK27"/>
      <w:bookmarkStart w:id="15" w:name="OLE_LINK33"/>
      <w:bookmarkStart w:id="16" w:name="OLE_LINK34"/>
      <w:bookmarkStart w:id="17" w:name="OLE_LINK37"/>
      <w:bookmarkStart w:id="18" w:name="OLE_LINK38"/>
      <w:bookmarkStart w:id="19" w:name="OLE_LINK39"/>
      <w:bookmarkStart w:id="20" w:name="OLE_LINK40"/>
      <w:bookmarkStart w:id="21" w:name="OLE_LINK41"/>
      <w:bookmarkStart w:id="22" w:name="OLE_LINK44"/>
      <w:bookmarkStart w:id="23" w:name="OLE_LINK46"/>
      <w:bookmarkStart w:id="24" w:name="OLE_LINK48"/>
      <w:bookmarkStart w:id="25" w:name="OLE_LINK51"/>
      <w:bookmarkStart w:id="26" w:name="OLE_LINK52"/>
      <w:bookmarkStart w:id="27" w:name="OLE_LINK58"/>
      <w:bookmarkStart w:id="28" w:name="OLE_LINK59"/>
      <w:bookmarkStart w:id="29" w:name="OLE_LINK64"/>
      <w:bookmarkStart w:id="30" w:name="OLE_LINK65"/>
      <w:bookmarkStart w:id="31" w:name="OLE_LINK66"/>
      <w:bookmarkStart w:id="32" w:name="OLE_LINK67"/>
      <w:bookmarkStart w:id="33" w:name="OLE_LINK68"/>
      <w:bookmarkStart w:id="34" w:name="OLE_LINK69"/>
      <w:bookmarkStart w:id="35" w:name="OLE_LINK76"/>
      <w:bookmarkStart w:id="36" w:name="OLE_LINK77"/>
      <w:bookmarkStart w:id="37" w:name="OLE_LINK91"/>
      <w:bookmarkStart w:id="38" w:name="OLE_LINK92"/>
      <w:bookmarkStart w:id="39" w:name="OLE_LINK84"/>
      <w:bookmarkStart w:id="40" w:name="OLE_LINK85"/>
      <w:bookmarkStart w:id="41" w:name="OLE_LINK87"/>
      <w:bookmarkStart w:id="42" w:name="OLE_LINK88"/>
      <w:bookmarkStart w:id="43" w:name="OLE_LINK99"/>
      <w:bookmarkStart w:id="44" w:name="OLE_LINK100"/>
      <w:bookmarkStart w:id="45" w:name="OLE_LINK102"/>
      <w:bookmarkStart w:id="46" w:name="OLE_LINK106"/>
      <w:bookmarkStart w:id="47" w:name="OLE_LINK104"/>
      <w:bookmarkStart w:id="48" w:name="OLE_LINK110"/>
      <w:bookmarkStart w:id="49" w:name="OLE_LINK111"/>
      <w:bookmarkStart w:id="50" w:name="OLE_LINK116"/>
      <w:bookmarkStart w:id="51" w:name="OLE_LINK112"/>
      <w:bookmarkStart w:id="52" w:name="OLE_LINK114"/>
      <w:bookmarkStart w:id="53" w:name="OLE_LINK115"/>
      <w:bookmarkStart w:id="54" w:name="OLE_LINK122"/>
      <w:bookmarkStart w:id="55" w:name="OLE_LINK124"/>
      <w:bookmarkStart w:id="56" w:name="OLE_LINK131"/>
      <w:bookmarkStart w:id="57" w:name="OLE_LINK133"/>
      <w:bookmarkStart w:id="58" w:name="OLE_LINK129"/>
      <w:bookmarkStart w:id="59" w:name="OLE_LINK140"/>
      <w:bookmarkStart w:id="60" w:name="OLE_LINK141"/>
      <w:bookmarkStart w:id="61" w:name="OLE_LINK142"/>
      <w:bookmarkStart w:id="62" w:name="OLE_LINK143"/>
      <w:bookmarkStart w:id="63" w:name="OLE_LINK145"/>
      <w:bookmarkStart w:id="64" w:name="OLE_LINK146"/>
      <w:bookmarkStart w:id="65" w:name="OLE_LINK147"/>
      <w:bookmarkStart w:id="66" w:name="OLE_LINK148"/>
      <w:r>
        <w:rPr>
          <w:b/>
          <w:color w:val="FF0000"/>
          <w:sz w:val="36"/>
          <w:u w:val="single"/>
        </w:rPr>
        <w:t>FINAL</w:t>
      </w:r>
    </w:p>
    <w:p w:rsidR="00925F1F" w:rsidRDefault="00925F1F" w:rsidP="00925F1F">
      <w:pPr>
        <w:jc w:val="center"/>
        <w:rPr>
          <w:color w:val="FF0000"/>
        </w:rPr>
      </w:pPr>
    </w:p>
    <w:p w:rsidR="00925F1F" w:rsidRDefault="00925F1F" w:rsidP="00925F1F">
      <w:pPr>
        <w:jc w:val="center"/>
        <w:rPr>
          <w:i/>
          <w:color w:val="FF0000"/>
          <w:sz w:val="36"/>
        </w:rPr>
      </w:pPr>
      <w:r>
        <w:rPr>
          <w:i/>
          <w:color w:val="FF0000"/>
          <w:sz w:val="36"/>
        </w:rPr>
        <w:t>07/10/2009</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p w:rsidR="00313321" w:rsidRDefault="00313321" w:rsidP="00925F1F">
      <w:pPr>
        <w:pStyle w:val="JuPara"/>
        <w:ind w:firstLine="0"/>
        <w:jc w:val="center"/>
        <w:rPr>
          <w:sz w:val="22"/>
          <w:szCs w:val="22"/>
        </w:rPr>
      </w:pPr>
    </w:p>
    <w:p w:rsidR="00553AB0" w:rsidRPr="00313321" w:rsidRDefault="00313321" w:rsidP="00925F1F">
      <w:pPr>
        <w:pStyle w:val="JuPara"/>
        <w:ind w:firstLine="0"/>
        <w:jc w:val="center"/>
        <w:rPr>
          <w:szCs w:val="22"/>
        </w:rPr>
      </w:pPr>
      <w:r>
        <w:rPr>
          <w:i/>
          <w:sz w:val="22"/>
          <w:szCs w:val="22"/>
        </w:rPr>
        <w:t>This judgment may be subject to editorial revision.</w:t>
      </w:r>
    </w:p>
    <w:p w:rsidR="00313321" w:rsidRDefault="00313321" w:rsidP="00925F1F">
      <w:pPr>
        <w:pStyle w:val="JuPara"/>
        <w:jc w:val="center"/>
        <w:rPr>
          <w:b/>
        </w:rPr>
        <w:sectPr w:rsidR="00313321" w:rsidSect="00313321">
          <w:headerReference w:type="even" r:id="rId9"/>
          <w:headerReference w:type="default" r:id="rId10"/>
          <w:footerReference w:type="even" r:id="rId11"/>
          <w:footerReference w:type="default" r:id="rId12"/>
          <w:headerReference w:type="first" r:id="rId13"/>
          <w:footerReference w:type="first" r:id="rId14"/>
          <w:footnotePr>
            <w:numRestart w:val="eachPage"/>
          </w:footnotePr>
          <w:pgSz w:w="11906" w:h="16838" w:code="9"/>
          <w:pgMar w:top="2274" w:right="2274" w:bottom="1985" w:left="2274" w:header="1701" w:footer="720" w:gutter="0"/>
          <w:pgNumType w:start="1"/>
          <w:cols w:space="720"/>
          <w:docGrid w:linePitch="78"/>
        </w:sectPr>
      </w:pPr>
    </w:p>
    <w:p w:rsidR="00F71A6A" w:rsidRPr="004E657D" w:rsidRDefault="00F71A6A" w:rsidP="00553AB0">
      <w:pPr>
        <w:pStyle w:val="JuPara"/>
      </w:pPr>
      <w:r w:rsidRPr="0014669B">
        <w:rPr>
          <w:b/>
        </w:rPr>
        <w:t>In the case of</w:t>
      </w:r>
      <w:r w:rsidRPr="0014669B">
        <w:t xml:space="preserve"> </w:t>
      </w:r>
      <w:r w:rsidR="004E657D" w:rsidRPr="0014669B">
        <w:rPr>
          <w:rStyle w:val="JuCaseChar"/>
        </w:rPr>
        <w:t>Plechanow</w:t>
      </w:r>
      <w:r w:rsidR="004E657D" w:rsidRPr="004E657D">
        <w:rPr>
          <w:rStyle w:val="JuCaseChar"/>
        </w:rPr>
        <w:t xml:space="preserve"> v. </w:t>
      </w:r>
      <w:smartTag w:uri="urn:schemas-microsoft-com:office:smarttags" w:element="place">
        <w:smartTag w:uri="urn:schemas-microsoft-com:office:smarttags" w:element="country-region">
          <w:r w:rsidR="004E657D" w:rsidRPr="004E657D">
            <w:rPr>
              <w:rStyle w:val="JuCaseChar"/>
            </w:rPr>
            <w:t>Poland</w:t>
          </w:r>
        </w:smartTag>
      </w:smartTag>
      <w:r w:rsidRPr="004E657D">
        <w:t>,</w:t>
      </w:r>
    </w:p>
    <w:p w:rsidR="00730433" w:rsidRPr="004E657D" w:rsidRDefault="00F71A6A" w:rsidP="00730433">
      <w:pPr>
        <w:pStyle w:val="JuPara"/>
      </w:pPr>
      <w:r w:rsidRPr="004E657D">
        <w:t>The European Court of Human Rights (</w:t>
      </w:r>
      <w:r w:rsidR="004E657D" w:rsidRPr="004E657D">
        <w:t>Fourth Section</w:t>
      </w:r>
      <w:r w:rsidRPr="004E657D">
        <w:t xml:space="preserve">), sitting as a </w:t>
      </w:r>
      <w:r w:rsidR="004E657D" w:rsidRPr="004E657D">
        <w:t>Chamber</w:t>
      </w:r>
      <w:r w:rsidR="00730433" w:rsidRPr="004E657D">
        <w:t xml:space="preserve"> composed of:</w:t>
      </w:r>
    </w:p>
    <w:p w:rsidR="00F71A6A" w:rsidRPr="004E657D" w:rsidRDefault="00313321" w:rsidP="00730433">
      <w:pPr>
        <w:pStyle w:val="JuJudges"/>
      </w:pPr>
      <w:r>
        <w:rPr>
          <w:rStyle w:val="JuJudgesChar"/>
        </w:rPr>
        <w:tab/>
      </w:r>
      <w:r w:rsidRPr="00610BE2">
        <w:rPr>
          <w:rStyle w:val="JuJudgesChar"/>
        </w:rPr>
        <w:t>Nicolas</w:t>
      </w:r>
      <w:r>
        <w:rPr>
          <w:rStyle w:val="JuJudgesChar"/>
        </w:rPr>
        <w:t xml:space="preserve"> </w:t>
      </w:r>
      <w:r w:rsidRPr="00610BE2">
        <w:rPr>
          <w:rStyle w:val="JuJudgesChar"/>
        </w:rPr>
        <w:t>Bratza</w:t>
      </w:r>
      <w:r>
        <w:rPr>
          <w:rStyle w:val="JuJudgesChar"/>
        </w:rPr>
        <w:t>,</w:t>
      </w:r>
      <w:r w:rsidRPr="00610BE2">
        <w:rPr>
          <w:rStyle w:val="JuJudgesChar"/>
          <w:i/>
        </w:rPr>
        <w:t xml:space="preserve"> President,</w:t>
      </w:r>
      <w:r>
        <w:rPr>
          <w:rStyle w:val="JuJudgesChar"/>
          <w:i/>
        </w:rPr>
        <w:br/>
      </w:r>
      <w:r w:rsidRPr="00610BE2">
        <w:rPr>
          <w:rStyle w:val="JuJudgesChar"/>
        </w:rPr>
        <w:tab/>
        <w:t>Lech</w:t>
      </w:r>
      <w:r>
        <w:rPr>
          <w:rStyle w:val="JuJudgesChar"/>
        </w:rPr>
        <w:t xml:space="preserve"> </w:t>
      </w:r>
      <w:r w:rsidRPr="00610BE2">
        <w:rPr>
          <w:rStyle w:val="JuJudgesChar"/>
        </w:rPr>
        <w:t>Garlicki</w:t>
      </w:r>
      <w:r>
        <w:rPr>
          <w:rStyle w:val="JuJudgesChar"/>
        </w:rPr>
        <w:t>,</w:t>
      </w:r>
      <w:r>
        <w:rPr>
          <w:rStyle w:val="JuJudgesChar"/>
          <w:i/>
        </w:rPr>
        <w:br/>
      </w:r>
      <w:r w:rsidRPr="00610BE2">
        <w:rPr>
          <w:rStyle w:val="JuJudgesChar"/>
        </w:rPr>
        <w:tab/>
        <w:t>Ljiljana</w:t>
      </w:r>
      <w:r>
        <w:rPr>
          <w:rStyle w:val="JuJudgesChar"/>
        </w:rPr>
        <w:t xml:space="preserve"> </w:t>
      </w:r>
      <w:r w:rsidRPr="00610BE2">
        <w:rPr>
          <w:rStyle w:val="JuJudgesChar"/>
        </w:rPr>
        <w:t>Mijović</w:t>
      </w:r>
      <w:r>
        <w:rPr>
          <w:rStyle w:val="JuJudgesChar"/>
        </w:rPr>
        <w:t>,</w:t>
      </w:r>
      <w:r>
        <w:rPr>
          <w:rStyle w:val="JuJudgesChar"/>
          <w:i/>
        </w:rPr>
        <w:br/>
      </w:r>
      <w:r w:rsidRPr="00610BE2">
        <w:rPr>
          <w:rStyle w:val="JuJudgesChar"/>
        </w:rPr>
        <w:tab/>
        <w:t>David Thór</w:t>
      </w:r>
      <w:r>
        <w:rPr>
          <w:rStyle w:val="JuJudgesChar"/>
        </w:rPr>
        <w:t xml:space="preserve"> </w:t>
      </w:r>
      <w:r w:rsidRPr="00610BE2">
        <w:rPr>
          <w:rStyle w:val="JuJudgesChar"/>
        </w:rPr>
        <w:t>Björgvinsson</w:t>
      </w:r>
      <w:r>
        <w:rPr>
          <w:rStyle w:val="JuJudgesChar"/>
        </w:rPr>
        <w:t>,</w:t>
      </w:r>
      <w:r>
        <w:rPr>
          <w:rStyle w:val="JuJudgesChar"/>
          <w:i/>
        </w:rPr>
        <w:br/>
      </w:r>
      <w:r w:rsidRPr="00610BE2">
        <w:rPr>
          <w:rStyle w:val="JuJudgesChar"/>
        </w:rPr>
        <w:tab/>
        <w:t>Ján</w:t>
      </w:r>
      <w:r>
        <w:rPr>
          <w:rStyle w:val="JuJudgesChar"/>
        </w:rPr>
        <w:t xml:space="preserve"> </w:t>
      </w:r>
      <w:r w:rsidRPr="00610BE2">
        <w:rPr>
          <w:rStyle w:val="JuJudgesChar"/>
        </w:rPr>
        <w:t>Šikuta</w:t>
      </w:r>
      <w:r>
        <w:rPr>
          <w:rStyle w:val="JuJudgesChar"/>
        </w:rPr>
        <w:t>,</w:t>
      </w:r>
      <w:r>
        <w:rPr>
          <w:rStyle w:val="JuJudgesChar"/>
          <w:i/>
        </w:rPr>
        <w:br/>
      </w:r>
      <w:r w:rsidRPr="00610BE2">
        <w:rPr>
          <w:rStyle w:val="JuJudgesChar"/>
        </w:rPr>
        <w:tab/>
        <w:t>Päivi</w:t>
      </w:r>
      <w:r>
        <w:rPr>
          <w:rStyle w:val="JuJudgesChar"/>
        </w:rPr>
        <w:t xml:space="preserve"> </w:t>
      </w:r>
      <w:r w:rsidRPr="00610BE2">
        <w:rPr>
          <w:rStyle w:val="JuJudgesChar"/>
        </w:rPr>
        <w:t>Hirvelä</w:t>
      </w:r>
      <w:r>
        <w:rPr>
          <w:rStyle w:val="JuJudgesChar"/>
        </w:rPr>
        <w:t>,</w:t>
      </w:r>
      <w:r>
        <w:rPr>
          <w:rStyle w:val="JuJudgesChar"/>
          <w:i/>
        </w:rPr>
        <w:br/>
      </w:r>
      <w:r w:rsidRPr="00610BE2">
        <w:rPr>
          <w:rStyle w:val="JuJudgesChar"/>
        </w:rPr>
        <w:tab/>
        <w:t>Mihai</w:t>
      </w:r>
      <w:r>
        <w:rPr>
          <w:rStyle w:val="JuJudgesChar"/>
        </w:rPr>
        <w:t xml:space="preserve"> </w:t>
      </w:r>
      <w:r w:rsidRPr="00610BE2">
        <w:rPr>
          <w:rStyle w:val="JuJudgesChar"/>
        </w:rPr>
        <w:t>Poalelungi</w:t>
      </w:r>
      <w:r>
        <w:rPr>
          <w:rStyle w:val="JuJudgesChar"/>
        </w:rPr>
        <w:t>,</w:t>
      </w:r>
      <w:r w:rsidRPr="00610BE2">
        <w:rPr>
          <w:rStyle w:val="JuJudgesChar"/>
          <w:i/>
        </w:rPr>
        <w:t xml:space="preserve"> judges,</w:t>
      </w:r>
      <w:r w:rsidR="00337600" w:rsidRPr="004E657D">
        <w:br/>
      </w:r>
      <w:r w:rsidR="00F71A6A" w:rsidRPr="004E657D">
        <w:t>and</w:t>
      </w:r>
      <w:r w:rsidR="000726F6" w:rsidRPr="004E657D">
        <w:t xml:space="preserve"> </w:t>
      </w:r>
      <w:r w:rsidR="004E657D" w:rsidRPr="004E657D">
        <w:t>Lawrence</w:t>
      </w:r>
      <w:r w:rsidR="000726F6" w:rsidRPr="004E657D">
        <w:rPr>
          <w:rStyle w:val="JuSignedChar"/>
        </w:rPr>
        <w:t xml:space="preserve"> </w:t>
      </w:r>
      <w:r w:rsidR="004E657D" w:rsidRPr="004E657D">
        <w:t>Early</w:t>
      </w:r>
      <w:r w:rsidR="000726F6" w:rsidRPr="004E657D">
        <w:rPr>
          <w:rStyle w:val="JuSignedChar"/>
        </w:rPr>
        <w:t xml:space="preserve">, </w:t>
      </w:r>
      <w:r w:rsidR="004E657D" w:rsidRPr="004E657D">
        <w:rPr>
          <w:i/>
        </w:rPr>
        <w:t>Section Registrar</w:t>
      </w:r>
      <w:r w:rsidR="00F71A6A" w:rsidRPr="004E657D">
        <w:t>,</w:t>
      </w:r>
    </w:p>
    <w:p w:rsidR="00F71A6A" w:rsidRPr="004E657D" w:rsidRDefault="00F71A6A">
      <w:pPr>
        <w:pStyle w:val="JuPara"/>
      </w:pPr>
      <w:r w:rsidRPr="004E657D">
        <w:t xml:space="preserve">Having deliberated in private on </w:t>
      </w:r>
      <w:r w:rsidR="00313321">
        <w:t>16 June 2009</w:t>
      </w:r>
      <w:r w:rsidRPr="004E657D">
        <w:t>,</w:t>
      </w:r>
    </w:p>
    <w:p w:rsidR="00F71A6A" w:rsidRPr="004E657D" w:rsidRDefault="00F71A6A">
      <w:pPr>
        <w:pStyle w:val="JuPara"/>
      </w:pPr>
      <w:r w:rsidRPr="004E657D">
        <w:t>Delivers the following judgment, which was adopted on that date:</w:t>
      </w:r>
    </w:p>
    <w:p w:rsidR="00F71A6A" w:rsidRPr="004E657D" w:rsidRDefault="00F71A6A" w:rsidP="00D264D4">
      <w:pPr>
        <w:pStyle w:val="JuHHead"/>
        <w:outlineLvl w:val="0"/>
      </w:pPr>
      <w:r w:rsidRPr="004E657D">
        <w:t>PROCEDURE</w:t>
      </w:r>
    </w:p>
    <w:p w:rsidR="00D434A5" w:rsidRDefault="004E657D" w:rsidP="00AE2F4F">
      <w:pPr>
        <w:pStyle w:val="JuPara"/>
      </w:pPr>
      <w:r w:rsidRPr="004E657D">
        <w:fldChar w:fldCharType="begin"/>
      </w:r>
      <w:r w:rsidRPr="004E657D">
        <w:instrText xml:space="preserve"> SEQ level0 \*arabic </w:instrText>
      </w:r>
      <w:r w:rsidRPr="004E657D">
        <w:fldChar w:fldCharType="separate"/>
      </w:r>
      <w:r w:rsidR="004373EA">
        <w:rPr>
          <w:noProof/>
        </w:rPr>
        <w:t>1</w:t>
      </w:r>
      <w:r w:rsidRPr="004E657D">
        <w:fldChar w:fldCharType="end"/>
      </w:r>
      <w:r w:rsidR="00F71A6A" w:rsidRPr="004E657D">
        <w:t xml:space="preserve">.  The case originated in </w:t>
      </w:r>
      <w:r w:rsidRPr="004E657D">
        <w:t>an application (no. 22279/04)</w:t>
      </w:r>
      <w:r w:rsidR="00F71A6A" w:rsidRPr="004E657D">
        <w:t xml:space="preserve"> against </w:t>
      </w:r>
      <w:r w:rsidRPr="004E657D">
        <w:t xml:space="preserve">the </w:t>
      </w:r>
      <w:smartTag w:uri="urn:schemas-microsoft-com:office:smarttags" w:element="place">
        <w:smartTag w:uri="urn:schemas-microsoft-com:office:smarttags" w:element="PlaceType">
          <w:r w:rsidRPr="004E657D">
            <w:t>Republic</w:t>
          </w:r>
        </w:smartTag>
        <w:r w:rsidRPr="004E657D">
          <w:t xml:space="preserve"> of </w:t>
        </w:r>
        <w:smartTag w:uri="urn:schemas-microsoft-com:office:smarttags" w:element="PlaceName">
          <w:r w:rsidRPr="004E657D">
            <w:t>Poland</w:t>
          </w:r>
        </w:smartTag>
      </w:smartTag>
      <w:r w:rsidR="00F71A6A" w:rsidRPr="004E657D">
        <w:t xml:space="preserve"> lodged with the </w:t>
      </w:r>
      <w:r w:rsidRPr="004E657D">
        <w:t>Court under Article 34</w:t>
      </w:r>
      <w:r w:rsidR="00F71A6A" w:rsidRPr="004E657D">
        <w:t xml:space="preserve"> of the Convention for the Protection of Human Rights and Fundamental Freedoms (“the Convention”) by </w:t>
      </w:r>
      <w:r w:rsidR="00AB2E0E">
        <w:t>three</w:t>
      </w:r>
      <w:r w:rsidRPr="004E657D">
        <w:t xml:space="preserve"> Polish nationals, Mr </w:t>
      </w:r>
      <w:r w:rsidR="00AB2E0E" w:rsidRPr="00042345">
        <w:t>Jerzy</w:t>
      </w:r>
      <w:r w:rsidR="00AB2E0E">
        <w:t xml:space="preserve"> Plechanow, Ms Ariadna Plechanow and </w:t>
      </w:r>
      <w:r w:rsidR="0053759D">
        <w:t xml:space="preserve">Mr </w:t>
      </w:r>
      <w:r w:rsidR="00AB2E0E">
        <w:t>Andrzej</w:t>
      </w:r>
      <w:r w:rsidR="00AB2E0E" w:rsidRPr="00042345">
        <w:t xml:space="preserve"> Plechanow</w:t>
      </w:r>
      <w:r w:rsidR="00AB2E0E" w:rsidRPr="004E657D">
        <w:t xml:space="preserve"> </w:t>
      </w:r>
      <w:r w:rsidR="000241FD">
        <w:t>(“the applicants”), on 3 </w:t>
      </w:r>
      <w:r w:rsidR="00CB6AB8" w:rsidRPr="004E657D">
        <w:t>Jun</w:t>
      </w:r>
      <w:r w:rsidR="00CB6AB8">
        <w:t>e</w:t>
      </w:r>
      <w:r w:rsidRPr="004E657D">
        <w:t xml:space="preserve"> 2004</w:t>
      </w:r>
      <w:r w:rsidR="00F71A6A" w:rsidRPr="004E657D">
        <w:t>.</w:t>
      </w:r>
    </w:p>
    <w:p w:rsidR="00F71A6A" w:rsidRPr="004E657D" w:rsidRDefault="004E657D">
      <w:pPr>
        <w:pStyle w:val="JuPara"/>
      </w:pPr>
      <w:r w:rsidRPr="004E657D">
        <w:fldChar w:fldCharType="begin"/>
      </w:r>
      <w:r w:rsidRPr="004E657D">
        <w:instrText xml:space="preserve"> SEQ level0 \*arabic </w:instrText>
      </w:r>
      <w:r w:rsidRPr="004E657D">
        <w:fldChar w:fldCharType="separate"/>
      </w:r>
      <w:r w:rsidR="004373EA">
        <w:rPr>
          <w:noProof/>
        </w:rPr>
        <w:t>2</w:t>
      </w:r>
      <w:r w:rsidRPr="004E657D">
        <w:fldChar w:fldCharType="end"/>
      </w:r>
      <w:r w:rsidR="00F71A6A" w:rsidRPr="004E657D">
        <w:t>.  </w:t>
      </w:r>
      <w:r w:rsidRPr="004E657D">
        <w:t xml:space="preserve">The applicants were represented by Ms </w:t>
      </w:r>
      <w:r w:rsidR="008126D9">
        <w:t xml:space="preserve">M. </w:t>
      </w:r>
      <w:r w:rsidRPr="004E657D">
        <w:t xml:space="preserve">Lechna-Piotrowska, a lawyer practising in Warszawa. </w:t>
      </w:r>
      <w:r w:rsidR="00F71A6A" w:rsidRPr="004E657D">
        <w:t xml:space="preserve">The </w:t>
      </w:r>
      <w:r w:rsidRPr="004E657D">
        <w:t>Polish</w:t>
      </w:r>
      <w:r w:rsidR="00F71A6A" w:rsidRPr="004E657D">
        <w:t xml:space="preserve"> Government (“the</w:t>
      </w:r>
      <w:r w:rsidR="00593CF5">
        <w:t xml:space="preserve"> </w:t>
      </w:r>
      <w:r w:rsidR="00F71A6A" w:rsidRPr="004E657D">
        <w:t>Government”) were represented by their Agent,</w:t>
      </w:r>
      <w:r w:rsidR="00D264D4" w:rsidRPr="00D72897">
        <w:t xml:space="preserve"> Mr J. Wołąsiewicz of </w:t>
      </w:r>
      <w:r w:rsidR="00D264D4">
        <w:t>the Ministry of Foreign Affairs</w:t>
      </w:r>
      <w:r w:rsidR="00F71A6A" w:rsidRPr="004E657D">
        <w:t>.</w:t>
      </w:r>
    </w:p>
    <w:p w:rsidR="00D434A5" w:rsidRDefault="004E657D">
      <w:pPr>
        <w:pStyle w:val="JuPara"/>
        <w:rPr>
          <w:color w:val="000000"/>
          <w:szCs w:val="24"/>
          <w:lang w:eastAsia="en-GB"/>
        </w:rPr>
      </w:pPr>
      <w:r w:rsidRPr="00A878F7">
        <w:fldChar w:fldCharType="begin"/>
      </w:r>
      <w:r w:rsidRPr="00A878F7">
        <w:instrText xml:space="preserve"> SEQ level0 \*arabic </w:instrText>
      </w:r>
      <w:r w:rsidRPr="00A878F7">
        <w:fldChar w:fldCharType="separate"/>
      </w:r>
      <w:r w:rsidR="004373EA">
        <w:rPr>
          <w:noProof/>
        </w:rPr>
        <w:t>3</w:t>
      </w:r>
      <w:r w:rsidRPr="00A878F7">
        <w:fldChar w:fldCharType="end"/>
      </w:r>
      <w:r w:rsidR="001B62B1" w:rsidRPr="00A878F7">
        <w:t xml:space="preserve">.  The </w:t>
      </w:r>
      <w:r w:rsidRPr="00A878F7">
        <w:t>applicants</w:t>
      </w:r>
      <w:r w:rsidR="009B23F1" w:rsidRPr="00A878F7">
        <w:t xml:space="preserve"> alleged</w:t>
      </w:r>
      <w:r w:rsidR="001B62B1" w:rsidRPr="00A878F7">
        <w:t>, in particular,</w:t>
      </w:r>
      <w:r w:rsidR="001723BC" w:rsidRPr="00A878F7">
        <w:t xml:space="preserve"> that they were deprived of a </w:t>
      </w:r>
      <w:r w:rsidR="00336EFA" w:rsidRPr="00A878F7">
        <w:t xml:space="preserve">fair </w:t>
      </w:r>
      <w:r w:rsidR="001723BC" w:rsidRPr="00A878F7">
        <w:t xml:space="preserve">trial on account of </w:t>
      </w:r>
      <w:r w:rsidR="005C283E" w:rsidRPr="00A878F7">
        <w:t>the</w:t>
      </w:r>
      <w:r w:rsidR="001723BC" w:rsidRPr="00A878F7">
        <w:t xml:space="preserve"> Supreme Court</w:t>
      </w:r>
      <w:r w:rsidR="00925F1F">
        <w:t>’</w:t>
      </w:r>
      <w:r w:rsidR="001723BC" w:rsidRPr="00A878F7">
        <w:t xml:space="preserve">s </w:t>
      </w:r>
      <w:r w:rsidR="005C283E" w:rsidRPr="00A878F7">
        <w:t>refusal</w:t>
      </w:r>
      <w:r w:rsidR="001723BC" w:rsidRPr="00A878F7">
        <w:t xml:space="preserve"> </w:t>
      </w:r>
      <w:r w:rsidR="005C283E" w:rsidRPr="00A878F7">
        <w:t>to</w:t>
      </w:r>
      <w:r w:rsidR="001723BC" w:rsidRPr="00A878F7">
        <w:t xml:space="preserve"> </w:t>
      </w:r>
      <w:r w:rsidR="005C283E" w:rsidRPr="00A878F7">
        <w:t xml:space="preserve">examine their </w:t>
      </w:r>
      <w:r w:rsidR="00336EFA" w:rsidRPr="00A878F7">
        <w:rPr>
          <w:color w:val="000000"/>
          <w:szCs w:val="24"/>
          <w:lang w:eastAsia="en-GB"/>
        </w:rPr>
        <w:t>cassation appeal</w:t>
      </w:r>
      <w:r w:rsidR="0053759D">
        <w:rPr>
          <w:color w:val="000000"/>
          <w:szCs w:val="24"/>
          <w:lang w:eastAsia="en-GB"/>
        </w:rPr>
        <w:t xml:space="preserve"> (</w:t>
      </w:r>
      <w:r w:rsidR="0053759D" w:rsidRPr="0053759D">
        <w:rPr>
          <w:color w:val="000000"/>
          <w:szCs w:val="24"/>
          <w:lang w:eastAsia="en-GB"/>
        </w:rPr>
        <w:t xml:space="preserve">Article </w:t>
      </w:r>
      <w:r w:rsidR="0053759D">
        <w:rPr>
          <w:color w:val="000000"/>
          <w:szCs w:val="24"/>
          <w:lang w:eastAsia="en-GB"/>
        </w:rPr>
        <w:t>6)</w:t>
      </w:r>
      <w:r w:rsidR="00336EFA" w:rsidRPr="00A878F7">
        <w:rPr>
          <w:color w:val="000000"/>
          <w:szCs w:val="24"/>
          <w:lang w:eastAsia="en-GB"/>
        </w:rPr>
        <w:t xml:space="preserve">; they also complained about the alleged breach of </w:t>
      </w:r>
      <w:r w:rsidR="0053759D">
        <w:rPr>
          <w:color w:val="000000"/>
          <w:szCs w:val="24"/>
          <w:lang w:eastAsia="en-GB"/>
        </w:rPr>
        <w:t>their property rights (</w:t>
      </w:r>
      <w:r w:rsidR="00336EFA" w:rsidRPr="00A878F7">
        <w:rPr>
          <w:color w:val="000000"/>
          <w:szCs w:val="24"/>
          <w:lang w:eastAsia="en-GB"/>
        </w:rPr>
        <w:t>Article 1 of</w:t>
      </w:r>
      <w:r w:rsidR="00336EFA">
        <w:rPr>
          <w:color w:val="000000"/>
          <w:szCs w:val="24"/>
          <w:lang w:eastAsia="en-GB"/>
        </w:rPr>
        <w:t xml:space="preserve"> Protocol No</w:t>
      </w:r>
      <w:r w:rsidR="003A53CA">
        <w:rPr>
          <w:color w:val="000000"/>
          <w:szCs w:val="24"/>
          <w:lang w:eastAsia="en-GB"/>
        </w:rPr>
        <w:t>.</w:t>
      </w:r>
      <w:r w:rsidR="00336EFA">
        <w:rPr>
          <w:color w:val="000000"/>
          <w:szCs w:val="24"/>
          <w:lang w:eastAsia="en-GB"/>
        </w:rPr>
        <w:t xml:space="preserve"> 1</w:t>
      </w:r>
      <w:r w:rsidR="00452EDF">
        <w:rPr>
          <w:color w:val="000000"/>
          <w:szCs w:val="24"/>
          <w:lang w:eastAsia="en-GB"/>
        </w:rPr>
        <w:t>)</w:t>
      </w:r>
      <w:r w:rsidR="00336EFA">
        <w:rPr>
          <w:color w:val="000000"/>
          <w:szCs w:val="24"/>
          <w:lang w:eastAsia="en-GB"/>
        </w:rPr>
        <w:t>.</w:t>
      </w:r>
    </w:p>
    <w:p w:rsidR="00F71A6A" w:rsidRDefault="004E657D">
      <w:pPr>
        <w:pStyle w:val="JuPara"/>
      </w:pPr>
      <w:r w:rsidRPr="004E657D">
        <w:fldChar w:fldCharType="begin"/>
      </w:r>
      <w:r w:rsidRPr="004E657D">
        <w:instrText xml:space="preserve"> SEQ level0 \*arabic </w:instrText>
      </w:r>
      <w:r w:rsidRPr="004E657D">
        <w:fldChar w:fldCharType="separate"/>
      </w:r>
      <w:r w:rsidR="004373EA">
        <w:rPr>
          <w:noProof/>
        </w:rPr>
        <w:t>4</w:t>
      </w:r>
      <w:r w:rsidRPr="004E657D">
        <w:fldChar w:fldCharType="end"/>
      </w:r>
      <w:r w:rsidR="00F71A6A" w:rsidRPr="004E657D">
        <w:t xml:space="preserve">.  On </w:t>
      </w:r>
      <w:r w:rsidR="00F072C6">
        <w:t>11 December 2007</w:t>
      </w:r>
      <w:r w:rsidR="00F71A6A" w:rsidRPr="004E657D">
        <w:t xml:space="preserve"> </w:t>
      </w:r>
      <w:r w:rsidRPr="004E657D">
        <w:t>the Court</w:t>
      </w:r>
      <w:r w:rsidR="00F71A6A" w:rsidRPr="004E657D">
        <w:t xml:space="preserve"> decided to </w:t>
      </w:r>
      <w:r w:rsidR="00756D5B" w:rsidRPr="004E657D">
        <w:t>give notice of the application</w:t>
      </w:r>
      <w:r w:rsidR="00F71A6A" w:rsidRPr="004E657D">
        <w:t xml:space="preserve"> to the Gove</w:t>
      </w:r>
      <w:r w:rsidR="00485A6F" w:rsidRPr="004E657D">
        <w:t>rnment. I</w:t>
      </w:r>
      <w:r w:rsidR="00F71A6A" w:rsidRPr="004E657D">
        <w:t>t</w:t>
      </w:r>
      <w:r w:rsidR="001A0EBE" w:rsidRPr="004E657D">
        <w:t xml:space="preserve"> </w:t>
      </w:r>
      <w:r w:rsidR="00485A6F" w:rsidRPr="004E657D">
        <w:t xml:space="preserve">also </w:t>
      </w:r>
      <w:r w:rsidR="00F71A6A" w:rsidRPr="004E657D">
        <w:t xml:space="preserve">decided to examine the merits of the </w:t>
      </w:r>
      <w:r w:rsidRPr="004E657D">
        <w:t>application</w:t>
      </w:r>
      <w:r w:rsidR="00F71A6A" w:rsidRPr="004E657D">
        <w:t xml:space="preserve"> at the same time as </w:t>
      </w:r>
      <w:r w:rsidRPr="004E657D">
        <w:t>its</w:t>
      </w:r>
      <w:r w:rsidR="00F71A6A" w:rsidRPr="004E657D">
        <w:t xml:space="preserve"> admissibility</w:t>
      </w:r>
      <w:r w:rsidR="00485A6F" w:rsidRPr="004E657D">
        <w:t xml:space="preserve"> (Article 29 § 3)</w:t>
      </w:r>
      <w:r w:rsidR="00F71A6A" w:rsidRPr="004E657D">
        <w:t>.</w:t>
      </w:r>
    </w:p>
    <w:p w:rsidR="003C3744" w:rsidRDefault="003C3744">
      <w:pPr>
        <w:pStyle w:val="JuPara"/>
      </w:pPr>
      <w:r>
        <w:fldChar w:fldCharType="begin"/>
      </w:r>
      <w:r>
        <w:instrText xml:space="preserve"> SEQ level0 \*arabic </w:instrText>
      </w:r>
      <w:r>
        <w:fldChar w:fldCharType="separate"/>
      </w:r>
      <w:r w:rsidR="004373EA">
        <w:rPr>
          <w:noProof/>
        </w:rPr>
        <w:t>5</w:t>
      </w:r>
      <w:r>
        <w:fldChar w:fldCharType="end"/>
      </w:r>
      <w:r>
        <w:t xml:space="preserve">.  The </w:t>
      </w:r>
      <w:r w:rsidRPr="003C3744">
        <w:t>applicant</w:t>
      </w:r>
      <w:r w:rsidR="001512D4">
        <w:t xml:space="preserve"> and </w:t>
      </w:r>
      <w:r>
        <w:t xml:space="preserve">the </w:t>
      </w:r>
      <w:r w:rsidRPr="003C3744">
        <w:t>Government</w:t>
      </w:r>
      <w:r>
        <w:t xml:space="preserve"> filed observations on the admissibility and merits </w:t>
      </w:r>
      <w:r w:rsidR="0053759D">
        <w:t xml:space="preserve">of the application </w:t>
      </w:r>
      <w:r>
        <w:t>(Rule 59 § 1).</w:t>
      </w:r>
    </w:p>
    <w:p w:rsidR="00F71A6A" w:rsidRPr="002E17FE" w:rsidRDefault="00F71A6A" w:rsidP="002E17FE">
      <w:pPr>
        <w:pStyle w:val="JuHHead"/>
      </w:pPr>
      <w:r w:rsidRPr="002E17FE">
        <w:t>THE FACTS</w:t>
      </w:r>
    </w:p>
    <w:p w:rsidR="00D353F4" w:rsidRPr="002E17FE" w:rsidRDefault="007352DD" w:rsidP="002E17FE">
      <w:pPr>
        <w:pStyle w:val="JuHIRoman"/>
      </w:pPr>
      <w:r w:rsidRPr="002E17FE">
        <w:t xml:space="preserve">I.  THE CIRCUMSTANCES OF THE </w:t>
      </w:r>
      <w:r w:rsidR="00D353F4" w:rsidRPr="002E17FE">
        <w:t>CASE</w:t>
      </w:r>
    </w:p>
    <w:p w:rsidR="0058616C" w:rsidRPr="002E17FE" w:rsidRDefault="00C41151" w:rsidP="002E17FE">
      <w:pPr>
        <w:pStyle w:val="JuHA"/>
      </w:pPr>
      <w:r w:rsidRPr="002E17FE">
        <w:t>1.  </w:t>
      </w:r>
      <w:r w:rsidR="0058616C" w:rsidRPr="002E17FE">
        <w:t>Background to the case</w:t>
      </w:r>
    </w:p>
    <w:p w:rsidR="00D26B3B" w:rsidRPr="00042345" w:rsidRDefault="004E657D" w:rsidP="00D26B3B">
      <w:pPr>
        <w:pStyle w:val="JuPara"/>
      </w:pPr>
      <w:r w:rsidRPr="004E657D">
        <w:fldChar w:fldCharType="begin"/>
      </w:r>
      <w:r w:rsidRPr="004E657D">
        <w:instrText xml:space="preserve"> SEQ level0 \*arabic </w:instrText>
      </w:r>
      <w:r w:rsidRPr="004E657D">
        <w:fldChar w:fldCharType="separate"/>
      </w:r>
      <w:r w:rsidR="004373EA">
        <w:rPr>
          <w:noProof/>
        </w:rPr>
        <w:t>6</w:t>
      </w:r>
      <w:r w:rsidRPr="004E657D">
        <w:fldChar w:fldCharType="end"/>
      </w:r>
      <w:r w:rsidR="00F71A6A" w:rsidRPr="004E657D">
        <w:t>.  </w:t>
      </w:r>
      <w:r w:rsidR="00D26B3B" w:rsidRPr="00042345">
        <w:t>The applicants, Jerzy</w:t>
      </w:r>
      <w:r w:rsidR="00D26B3B">
        <w:t>, Ariadna and Andrzej</w:t>
      </w:r>
      <w:r w:rsidR="00D26B3B" w:rsidRPr="00042345">
        <w:t xml:space="preserve"> Plechanow</w:t>
      </w:r>
      <w:r w:rsidR="00D26B3B">
        <w:t>,</w:t>
      </w:r>
      <w:r w:rsidR="00D26B3B" w:rsidRPr="00042345">
        <w:t xml:space="preserve"> are Polish nationals who were born in </w:t>
      </w:r>
      <w:r w:rsidR="00D26B3B">
        <w:t>1953, 1924 and 1955 respectively</w:t>
      </w:r>
      <w:r w:rsidR="00D26B3B" w:rsidRPr="00042345">
        <w:t xml:space="preserve"> and live in Warszawa.</w:t>
      </w:r>
    </w:p>
    <w:p w:rsidR="00D26B3B" w:rsidRPr="00F92809" w:rsidRDefault="004E657D" w:rsidP="00D26B3B">
      <w:pPr>
        <w:pStyle w:val="JuPara"/>
      </w:pPr>
      <w:r w:rsidRPr="004E657D">
        <w:fldChar w:fldCharType="begin"/>
      </w:r>
      <w:r w:rsidRPr="004E657D">
        <w:instrText xml:space="preserve"> SEQ level0 \*arabic </w:instrText>
      </w:r>
      <w:r w:rsidRPr="004E657D">
        <w:fldChar w:fldCharType="separate"/>
      </w:r>
      <w:r w:rsidR="004373EA">
        <w:rPr>
          <w:noProof/>
        </w:rPr>
        <w:t>7</w:t>
      </w:r>
      <w:r w:rsidRPr="004E657D">
        <w:fldChar w:fldCharType="end"/>
      </w:r>
      <w:r w:rsidR="00F71A6A" w:rsidRPr="004E657D">
        <w:t>.  </w:t>
      </w:r>
      <w:r w:rsidR="00D26B3B">
        <w:t xml:space="preserve">The </w:t>
      </w:r>
      <w:r w:rsidR="00D26B3B" w:rsidRPr="00F92809">
        <w:t>applicants</w:t>
      </w:r>
      <w:r w:rsidR="00925F1F">
        <w:t>’</w:t>
      </w:r>
      <w:r w:rsidR="00D26B3B" w:rsidRPr="00F92809">
        <w:t xml:space="preserve"> predecessor owned a plot of land </w:t>
      </w:r>
      <w:r w:rsidR="00D26B3B">
        <w:t xml:space="preserve">with a residential building </w:t>
      </w:r>
      <w:r w:rsidR="00D26B3B" w:rsidRPr="00F92809">
        <w:t xml:space="preserve">situated in </w:t>
      </w:r>
      <w:smartTag w:uri="urn:schemas-microsoft-com:office:smarttags" w:element="place">
        <w:smartTag w:uri="urn:schemas-microsoft-com:office:smarttags" w:element="City">
          <w:r w:rsidR="00D26B3B" w:rsidRPr="00F92809">
            <w:t>Warsaw</w:t>
          </w:r>
        </w:smartTag>
      </w:smartTag>
      <w:r w:rsidR="00D26B3B" w:rsidRPr="00F92809">
        <w:t>. The applicants are his heirs.</w:t>
      </w:r>
    </w:p>
    <w:p w:rsidR="00D26B3B" w:rsidRPr="00F92809" w:rsidRDefault="00EF5866" w:rsidP="00D26B3B">
      <w:pPr>
        <w:pStyle w:val="JuPara"/>
      </w:pPr>
      <w:r>
        <w:fldChar w:fldCharType="begin"/>
      </w:r>
      <w:r>
        <w:instrText xml:space="preserve"> SEQ level0 \*arabic </w:instrText>
      </w:r>
      <w:r>
        <w:fldChar w:fldCharType="separate"/>
      </w:r>
      <w:r w:rsidR="004373EA">
        <w:rPr>
          <w:noProof/>
        </w:rPr>
        <w:t>8</w:t>
      </w:r>
      <w:r>
        <w:fldChar w:fldCharType="end"/>
      </w:r>
      <w:r>
        <w:t>.  </w:t>
      </w:r>
      <w:r w:rsidR="00D26B3B" w:rsidRPr="00F92809">
        <w:t xml:space="preserve">By virtue of the Decree of 26 October 1945 on the Ownership and Use of Land in </w:t>
      </w:r>
      <w:smartTag w:uri="urn:schemas-microsoft-com:office:smarttags" w:element="City">
        <w:r w:rsidR="00D26B3B" w:rsidRPr="00F92809">
          <w:t>Warsaw</w:t>
        </w:r>
      </w:smartTag>
      <w:r w:rsidR="00D26B3B" w:rsidRPr="00F92809">
        <w:t xml:space="preserve"> (“the 1945 Decree”) the ownership of all private land was transferred to the City of </w:t>
      </w:r>
      <w:smartTag w:uri="urn:schemas-microsoft-com:office:smarttags" w:element="place">
        <w:smartTag w:uri="urn:schemas-microsoft-com:office:smarttags" w:element="City">
          <w:r w:rsidR="00D26B3B" w:rsidRPr="00F92809">
            <w:t>Warsaw</w:t>
          </w:r>
        </w:smartTag>
      </w:smartTag>
      <w:r w:rsidR="00D26B3B" w:rsidRPr="00F92809">
        <w:t>.</w:t>
      </w:r>
    </w:p>
    <w:p w:rsidR="00D26B3B" w:rsidRDefault="00EF5866" w:rsidP="00D26B3B">
      <w:pPr>
        <w:pStyle w:val="JuPara"/>
      </w:pPr>
      <w:r>
        <w:fldChar w:fldCharType="begin"/>
      </w:r>
      <w:r>
        <w:instrText xml:space="preserve"> SEQ level0 \*arabic </w:instrText>
      </w:r>
      <w:r>
        <w:fldChar w:fldCharType="separate"/>
      </w:r>
      <w:r w:rsidR="004373EA">
        <w:rPr>
          <w:noProof/>
        </w:rPr>
        <w:t>9</w:t>
      </w:r>
      <w:r>
        <w:fldChar w:fldCharType="end"/>
      </w:r>
      <w:r>
        <w:t>.  </w:t>
      </w:r>
      <w:r w:rsidR="00D26B3B" w:rsidRPr="00F92809">
        <w:t>The applicants</w:t>
      </w:r>
      <w:r w:rsidR="00925F1F">
        <w:t>’</w:t>
      </w:r>
      <w:r w:rsidR="00D26B3B" w:rsidRPr="00F92809">
        <w:t xml:space="preserve"> predecessor requested to be granted the right of temporary ownership (</w:t>
      </w:r>
      <w:r w:rsidR="00D26B3B" w:rsidRPr="00F92809">
        <w:rPr>
          <w:rStyle w:val="ju-005fpara-0020char1--char"/>
          <w:i/>
          <w:iCs/>
        </w:rPr>
        <w:t>własność czasowa</w:t>
      </w:r>
      <w:r w:rsidR="00D26B3B" w:rsidRPr="00F92809">
        <w:t xml:space="preserve">) of the </w:t>
      </w:r>
      <w:r w:rsidR="00D26B3B">
        <w:t>property</w:t>
      </w:r>
      <w:r w:rsidR="00D26B3B" w:rsidRPr="00F92809">
        <w:t xml:space="preserve"> pursuant to section 7 of the 1945 Decree.</w:t>
      </w:r>
    </w:p>
    <w:p w:rsidR="00D26B3B" w:rsidRDefault="00EF5866" w:rsidP="00D26B3B">
      <w:pPr>
        <w:pStyle w:val="JuPara"/>
      </w:pPr>
      <w:r>
        <w:fldChar w:fldCharType="begin"/>
      </w:r>
      <w:r>
        <w:instrText xml:space="preserve"> SEQ level0 \*arabic </w:instrText>
      </w:r>
      <w:r>
        <w:fldChar w:fldCharType="separate"/>
      </w:r>
      <w:r w:rsidR="004373EA">
        <w:rPr>
          <w:noProof/>
        </w:rPr>
        <w:t>10</w:t>
      </w:r>
      <w:r>
        <w:fldChar w:fldCharType="end"/>
      </w:r>
      <w:r>
        <w:t>.  </w:t>
      </w:r>
      <w:r w:rsidR="00D26B3B" w:rsidRPr="00F92809">
        <w:t>On 6 January 1964 the Board of the Warsaw National Council (</w:t>
      </w:r>
      <w:bookmarkStart w:id="67" w:name="OLE_LINK1"/>
      <w:bookmarkStart w:id="68" w:name="OLE_LINK2"/>
      <w:r w:rsidR="00D26B3B" w:rsidRPr="00F92809">
        <w:rPr>
          <w:rStyle w:val="ju-005fpara-0020char1--char"/>
          <w:i/>
          <w:iCs/>
        </w:rPr>
        <w:t>Prezydium Rady Narodowej</w:t>
      </w:r>
      <w:bookmarkEnd w:id="67"/>
      <w:bookmarkEnd w:id="68"/>
      <w:r w:rsidR="00D26B3B" w:rsidRPr="00F92809">
        <w:t>) refused the request.</w:t>
      </w:r>
      <w:r w:rsidR="00D26B3B">
        <w:t xml:space="preserve"> The Board also stated that the ownership of all buildings situated on the property had been transferred to the State Treasury. The property was subsequently divided into smaller plots.</w:t>
      </w:r>
    </w:p>
    <w:p w:rsidR="00D434A5" w:rsidRDefault="00F11428" w:rsidP="00D26B3B">
      <w:pPr>
        <w:pStyle w:val="JuPara"/>
      </w:pPr>
      <w:r>
        <w:fldChar w:fldCharType="begin"/>
      </w:r>
      <w:r>
        <w:instrText xml:space="preserve"> SEQ level0 \*arabic </w:instrText>
      </w:r>
      <w:r>
        <w:fldChar w:fldCharType="separate"/>
      </w:r>
      <w:r w:rsidR="004373EA">
        <w:rPr>
          <w:noProof/>
        </w:rPr>
        <w:t>11</w:t>
      </w:r>
      <w:r>
        <w:fldChar w:fldCharType="end"/>
      </w:r>
      <w:r>
        <w:t xml:space="preserve">.  Between 1975 and 1992 the State Treasury sold several apartments in the residential building </w:t>
      </w:r>
      <w:r w:rsidR="0002538E">
        <w:t xml:space="preserve">(together with shares in the right of perpetual use of the land) </w:t>
      </w:r>
      <w:r>
        <w:t>to third parties.</w:t>
      </w:r>
    </w:p>
    <w:p w:rsidR="00D26B3B" w:rsidRDefault="00EF5866" w:rsidP="00D26B3B">
      <w:pPr>
        <w:pStyle w:val="JuPara"/>
      </w:pPr>
      <w:r>
        <w:fldChar w:fldCharType="begin"/>
      </w:r>
      <w:r>
        <w:instrText xml:space="preserve"> SEQ level0 \*arabic </w:instrText>
      </w:r>
      <w:r>
        <w:fldChar w:fldCharType="separate"/>
      </w:r>
      <w:r w:rsidR="004373EA">
        <w:rPr>
          <w:noProof/>
        </w:rPr>
        <w:t>12</w:t>
      </w:r>
      <w:r>
        <w:fldChar w:fldCharType="end"/>
      </w:r>
      <w:r>
        <w:t>.  </w:t>
      </w:r>
      <w:r w:rsidR="00D26B3B" w:rsidRPr="008E6226">
        <w:t>In 1991</w:t>
      </w:r>
      <w:r w:rsidR="00206A17">
        <w:t>,</w:t>
      </w:r>
      <w:r w:rsidR="00D26B3B" w:rsidRPr="008E6226">
        <w:t xml:space="preserve"> 1994 </w:t>
      </w:r>
      <w:r w:rsidR="00206A17">
        <w:t xml:space="preserve">and 1995 </w:t>
      </w:r>
      <w:r w:rsidR="00D26B3B" w:rsidRPr="008E6226">
        <w:t xml:space="preserve">the Warsaw Governor </w:t>
      </w:r>
      <w:r w:rsidR="0002538E">
        <w:t xml:space="preserve">declared that </w:t>
      </w:r>
      <w:r w:rsidR="00DC768B">
        <w:t>on 27 </w:t>
      </w:r>
      <w:r w:rsidR="0094213C">
        <w:t xml:space="preserve">May 1990 </w:t>
      </w:r>
      <w:r w:rsidR="0002538E">
        <w:t xml:space="preserve">the </w:t>
      </w:r>
      <w:r w:rsidR="0002538E" w:rsidRPr="00DF72E5">
        <w:t>Warsaw Municipality</w:t>
      </w:r>
      <w:r w:rsidR="00B97E51">
        <w:t xml:space="preserve"> had</w:t>
      </w:r>
      <w:r w:rsidR="0002538E">
        <w:t xml:space="preserve"> </w:t>
      </w:r>
      <w:r w:rsidR="0094213C">
        <w:t xml:space="preserve">acquired </w:t>
      </w:r>
      <w:r w:rsidR="0094213C" w:rsidRPr="0094213C">
        <w:rPr>
          <w:i/>
        </w:rPr>
        <w:t>ex lege</w:t>
      </w:r>
      <w:r w:rsidR="0094213C">
        <w:t xml:space="preserve"> </w:t>
      </w:r>
      <w:r w:rsidR="00D26B3B">
        <w:t>the ownership of the plot</w:t>
      </w:r>
      <w:r w:rsidR="00206A17">
        <w:t>s</w:t>
      </w:r>
      <w:r w:rsidR="00D26B3B" w:rsidRPr="008E6226">
        <w:t xml:space="preserve"> of land and the buildin</w:t>
      </w:r>
      <w:r w:rsidR="0094213C">
        <w:t>g</w:t>
      </w:r>
      <w:r w:rsidR="00D26B3B" w:rsidRPr="008E6226">
        <w:t xml:space="preserve"> </w:t>
      </w:r>
      <w:r w:rsidR="0094213C">
        <w:t>thereon</w:t>
      </w:r>
      <w:r w:rsidR="00D94364">
        <w:t xml:space="preserve"> (with the </w:t>
      </w:r>
      <w:r w:rsidR="002171B5">
        <w:t>exception of</w:t>
      </w:r>
      <w:r w:rsidR="00D94364">
        <w:t xml:space="preserve"> the previously sold apartments).</w:t>
      </w:r>
    </w:p>
    <w:p w:rsidR="00D434A5" w:rsidRDefault="00D74D8B" w:rsidP="004B2513">
      <w:pPr>
        <w:pStyle w:val="JuPara"/>
      </w:pPr>
      <w:r>
        <w:fldChar w:fldCharType="begin"/>
      </w:r>
      <w:r>
        <w:instrText xml:space="preserve"> SEQ level0 \*arabic </w:instrText>
      </w:r>
      <w:r>
        <w:fldChar w:fldCharType="separate"/>
      </w:r>
      <w:r w:rsidR="004373EA">
        <w:rPr>
          <w:noProof/>
        </w:rPr>
        <w:t>13</w:t>
      </w:r>
      <w:r>
        <w:fldChar w:fldCharType="end"/>
      </w:r>
      <w:r>
        <w:t>.  </w:t>
      </w:r>
      <w:r w:rsidR="0058616C">
        <w:t>On</w:t>
      </w:r>
      <w:r>
        <w:t xml:space="preserve"> </w:t>
      </w:r>
      <w:r w:rsidR="0058616C">
        <w:t>12 March 1997 the Board of the Praga-</w:t>
      </w:r>
      <w:r w:rsidR="00313321">
        <w:t>Południe</w:t>
      </w:r>
      <w:r w:rsidR="0058616C">
        <w:t xml:space="preserve"> District of the </w:t>
      </w:r>
      <w:smartTag w:uri="urn:schemas-microsoft-com:office:smarttags" w:element="place">
        <w:smartTag w:uri="urn:schemas-microsoft-com:office:smarttags" w:element="PlaceName">
          <w:r w:rsidR="0058616C">
            <w:t>Warsaw-Cent</w:t>
          </w:r>
          <w:r>
            <w:t>re</w:t>
          </w:r>
        </w:smartTag>
        <w:r>
          <w:t xml:space="preserve"> </w:t>
        </w:r>
        <w:smartTag w:uri="urn:schemas-microsoft-com:office:smarttags" w:element="PlaceType">
          <w:r>
            <w:t>Municipality</w:t>
          </w:r>
        </w:smartTag>
      </w:smartTag>
      <w:r w:rsidR="0058616C">
        <w:t xml:space="preserve"> adopted a resolution on the basis of which it published </w:t>
      </w:r>
      <w:r w:rsidR="003A6B95">
        <w:t>a</w:t>
      </w:r>
      <w:r w:rsidR="0058616C">
        <w:t xml:space="preserve"> list of flats which could be sold to the tenants. </w:t>
      </w:r>
      <w:r w:rsidR="003A6B95">
        <w:t xml:space="preserve">In September and November 1997 </w:t>
      </w:r>
      <w:r w:rsidR="004B2513">
        <w:t>they sold two apartments.</w:t>
      </w:r>
    </w:p>
    <w:p w:rsidR="0058616C" w:rsidRDefault="004B2513" w:rsidP="004B2513">
      <w:pPr>
        <w:pStyle w:val="JuPara"/>
        <w:rPr>
          <w:i/>
        </w:rPr>
      </w:pPr>
      <w:r>
        <w:fldChar w:fldCharType="begin"/>
      </w:r>
      <w:r>
        <w:instrText xml:space="preserve"> SEQ level0 \*arabic </w:instrText>
      </w:r>
      <w:r>
        <w:fldChar w:fldCharType="separate"/>
      </w:r>
      <w:r w:rsidR="004373EA">
        <w:rPr>
          <w:noProof/>
        </w:rPr>
        <w:t>14</w:t>
      </w:r>
      <w:r>
        <w:fldChar w:fldCharType="end"/>
      </w:r>
      <w:r>
        <w:t>.  On 5 March 1998 the Praga-</w:t>
      </w:r>
      <w:r w:rsidR="00313321">
        <w:t>Południe</w:t>
      </w:r>
      <w:r w:rsidR="0058616C">
        <w:t xml:space="preserve"> District Office informed the applicants of the above resolution and of the possibility of</w:t>
      </w:r>
      <w:r w:rsidR="00B97E51">
        <w:t xml:space="preserve"> exercising a right of </w:t>
      </w:r>
      <w:r w:rsidR="0058616C">
        <w:t xml:space="preserve">pre-emption </w:t>
      </w:r>
      <w:r w:rsidR="00B97E51">
        <w:t xml:space="preserve">in respect </w:t>
      </w:r>
      <w:r w:rsidR="0058616C">
        <w:t xml:space="preserve">of the </w:t>
      </w:r>
      <w:r>
        <w:t xml:space="preserve">remaining </w:t>
      </w:r>
      <w:r w:rsidR="0058616C">
        <w:t>flats</w:t>
      </w:r>
      <w:r>
        <w:t xml:space="preserve">. </w:t>
      </w:r>
      <w:r w:rsidR="00F86A2E">
        <w:t>The</w:t>
      </w:r>
      <w:r w:rsidR="0058616C">
        <w:t xml:space="preserve"> right of pre-emption had be</w:t>
      </w:r>
      <w:r w:rsidR="00DC768B">
        <w:t>en introduced as from 1 </w:t>
      </w:r>
      <w:r w:rsidR="0058616C">
        <w:t xml:space="preserve">January 1998 on the basis of </w:t>
      </w:r>
      <w:r>
        <w:t xml:space="preserve">section </w:t>
      </w:r>
      <w:r w:rsidR="0058616C">
        <w:t>34 of the Act of 21 August 1997 on the management of real estates (</w:t>
      </w:r>
      <w:r w:rsidR="0058616C" w:rsidRPr="004B2513">
        <w:rPr>
          <w:i/>
        </w:rPr>
        <w:t xml:space="preserve">ustawa </w:t>
      </w:r>
      <w:r w:rsidRPr="004B2513">
        <w:rPr>
          <w:i/>
        </w:rPr>
        <w:t>o</w:t>
      </w:r>
      <w:r w:rsidR="0058616C" w:rsidRPr="004B2513">
        <w:rPr>
          <w:i/>
        </w:rPr>
        <w:t xml:space="preserve"> gospo</w:t>
      </w:r>
      <w:r w:rsidRPr="004B2513">
        <w:rPr>
          <w:i/>
        </w:rPr>
        <w:t>d</w:t>
      </w:r>
      <w:r w:rsidR="0058616C" w:rsidRPr="004B2513">
        <w:rPr>
          <w:i/>
        </w:rPr>
        <w:t>arce gruntami</w:t>
      </w:r>
      <w:r>
        <w:rPr>
          <w:i/>
        </w:rPr>
        <w:t>).</w:t>
      </w:r>
    </w:p>
    <w:p w:rsidR="0058616C" w:rsidRDefault="00F86A2E" w:rsidP="00F86A2E">
      <w:pPr>
        <w:pStyle w:val="JuPara"/>
      </w:pPr>
      <w:r w:rsidRPr="008B5133">
        <w:fldChar w:fldCharType="begin"/>
      </w:r>
      <w:r w:rsidRPr="008B5133">
        <w:instrText xml:space="preserve"> SEQ level0 \*arabic </w:instrText>
      </w:r>
      <w:r w:rsidRPr="008B5133">
        <w:fldChar w:fldCharType="separate"/>
      </w:r>
      <w:r w:rsidR="004373EA">
        <w:rPr>
          <w:noProof/>
        </w:rPr>
        <w:t>15</w:t>
      </w:r>
      <w:r w:rsidRPr="008B5133">
        <w:fldChar w:fldCharType="end"/>
      </w:r>
      <w:r w:rsidRPr="008B5133">
        <w:t>.  </w:t>
      </w:r>
      <w:r w:rsidR="0058616C">
        <w:t xml:space="preserve">On 18 March 1998 the applicants informed </w:t>
      </w:r>
      <w:r>
        <w:t xml:space="preserve">the municipality </w:t>
      </w:r>
      <w:r w:rsidR="0058616C">
        <w:t xml:space="preserve">that </w:t>
      </w:r>
      <w:r>
        <w:t xml:space="preserve">the third applicant would buy the flat he had </w:t>
      </w:r>
      <w:r w:rsidR="00C9262F">
        <w:t xml:space="preserve">occupied so far. </w:t>
      </w:r>
      <w:r w:rsidR="00EA569B">
        <w:t>At</w:t>
      </w:r>
      <w:r w:rsidR="0058616C">
        <w:t xml:space="preserve"> the same time </w:t>
      </w:r>
      <w:r w:rsidR="00EA569B">
        <w:t xml:space="preserve">they requested that the further sale </w:t>
      </w:r>
      <w:r w:rsidR="0058616C">
        <w:t>of other flats</w:t>
      </w:r>
      <w:r w:rsidR="00EA569B">
        <w:t xml:space="preserve"> be stayed</w:t>
      </w:r>
      <w:r w:rsidR="0058616C">
        <w:t xml:space="preserve">. They enclosed </w:t>
      </w:r>
      <w:r w:rsidR="00EA569B">
        <w:t>a</w:t>
      </w:r>
      <w:r w:rsidR="0058616C">
        <w:t xml:space="preserve"> decision of the Warsaw District Court of 5 March 1991 declaring them to be heirs of</w:t>
      </w:r>
      <w:r w:rsidR="00EA569B">
        <w:t xml:space="preserve"> F.</w:t>
      </w:r>
      <w:r w:rsidR="0058616C">
        <w:t>P.</w:t>
      </w:r>
      <w:r w:rsidR="00EA569B">
        <w:t>, K.P. and P.P.</w:t>
      </w:r>
    </w:p>
    <w:p w:rsidR="0058616C" w:rsidRDefault="00EA569B" w:rsidP="00EA569B">
      <w:pPr>
        <w:pStyle w:val="JuPara"/>
      </w:pPr>
      <w:r>
        <w:fldChar w:fldCharType="begin"/>
      </w:r>
      <w:r>
        <w:instrText xml:space="preserve"> SEQ level0 \*arabic </w:instrText>
      </w:r>
      <w:r>
        <w:fldChar w:fldCharType="separate"/>
      </w:r>
      <w:r w:rsidR="004373EA">
        <w:rPr>
          <w:noProof/>
        </w:rPr>
        <w:t>16</w:t>
      </w:r>
      <w:r>
        <w:fldChar w:fldCharType="end"/>
      </w:r>
      <w:r>
        <w:t>.  </w:t>
      </w:r>
      <w:r w:rsidR="0058616C">
        <w:t xml:space="preserve">On 17 June 1998 the </w:t>
      </w:r>
      <w:r>
        <w:t xml:space="preserve">municipality </w:t>
      </w:r>
      <w:r w:rsidR="003A53CA">
        <w:t>allowed the applicant</w:t>
      </w:r>
      <w:r w:rsidR="0058616C">
        <w:t>s</w:t>
      </w:r>
      <w:r w:rsidR="00925F1F">
        <w:t>’</w:t>
      </w:r>
      <w:r w:rsidR="0058616C">
        <w:t xml:space="preserve"> </w:t>
      </w:r>
      <w:r w:rsidR="00531918">
        <w:t>request.</w:t>
      </w:r>
    </w:p>
    <w:p w:rsidR="00342F16" w:rsidRDefault="00C41151" w:rsidP="00C41151">
      <w:pPr>
        <w:pStyle w:val="JuHA"/>
      </w:pPr>
      <w:r>
        <w:t>2.  </w:t>
      </w:r>
      <w:r w:rsidR="00342F16">
        <w:t>Proceedings in which the applicant</w:t>
      </w:r>
      <w:r w:rsidR="003A53CA">
        <w:t>s</w:t>
      </w:r>
      <w:r w:rsidR="00342F16">
        <w:t xml:space="preserve"> sought to have the expropriation decision declared null and void</w:t>
      </w:r>
    </w:p>
    <w:p w:rsidR="00D26B3B" w:rsidRPr="00A878F7" w:rsidRDefault="00EF5866" w:rsidP="00342F16">
      <w:pPr>
        <w:pStyle w:val="JuPara"/>
        <w:rPr>
          <w:rStyle w:val="ju-005fpara-0020char1--char"/>
          <w:iCs/>
        </w:rPr>
      </w:pPr>
      <w:r>
        <w:fldChar w:fldCharType="begin"/>
      </w:r>
      <w:r>
        <w:instrText xml:space="preserve"> SEQ level0 \*arabic </w:instrText>
      </w:r>
      <w:r>
        <w:fldChar w:fldCharType="separate"/>
      </w:r>
      <w:r w:rsidR="004373EA">
        <w:rPr>
          <w:noProof/>
        </w:rPr>
        <w:t>17</w:t>
      </w:r>
      <w:r>
        <w:fldChar w:fldCharType="end"/>
      </w:r>
      <w:r>
        <w:t>.  </w:t>
      </w:r>
      <w:r w:rsidR="00D26B3B" w:rsidRPr="00DF72E5">
        <w:t>On 30 November 1999 the Local Government Board of Appeal (</w:t>
      </w:r>
      <w:r w:rsidR="00D26B3B" w:rsidRPr="00DF72E5">
        <w:rPr>
          <w:rStyle w:val="ju-005fpara-0020char1--char"/>
          <w:i/>
          <w:iCs/>
        </w:rPr>
        <w:t xml:space="preserve">Samorządowe Kolegium Odwoławcze) </w:t>
      </w:r>
      <w:r w:rsidR="00D26B3B" w:rsidRPr="00DF72E5">
        <w:rPr>
          <w:rStyle w:val="ju-005fpara-0020char1--char"/>
          <w:iCs/>
        </w:rPr>
        <w:t xml:space="preserve">declared the decision of </w:t>
      </w:r>
      <w:r w:rsidR="00D26B3B" w:rsidRPr="00DF72E5">
        <w:t xml:space="preserve">6 January 1964 null and void in respect of part of the property. </w:t>
      </w:r>
      <w:r w:rsidR="00D26B3B" w:rsidRPr="00DF72E5">
        <w:rPr>
          <w:rStyle w:val="ju-005fpara-0020char1--char"/>
          <w:iCs/>
        </w:rPr>
        <w:t xml:space="preserve">However, the Board could not annul the decision in respect of </w:t>
      </w:r>
      <w:r w:rsidR="00B97E51">
        <w:rPr>
          <w:rStyle w:val="ju-005fpara-0020char1--char"/>
          <w:iCs/>
        </w:rPr>
        <w:t xml:space="preserve">the remaining </w:t>
      </w:r>
      <w:r w:rsidR="00D26B3B" w:rsidRPr="00DF72E5">
        <w:rPr>
          <w:rStyle w:val="ju-005fpara-0020char1--char"/>
          <w:iCs/>
        </w:rPr>
        <w:t>part of the property</w:t>
      </w:r>
      <w:r w:rsidR="00B97E51">
        <w:rPr>
          <w:rStyle w:val="ju-005fpara-0020char1--char"/>
          <w:iCs/>
        </w:rPr>
        <w:t xml:space="preserve"> in question</w:t>
      </w:r>
      <w:r w:rsidR="00D26B3B" w:rsidRPr="00DF72E5">
        <w:rPr>
          <w:rStyle w:val="ju-005fpara-0020char1--char"/>
          <w:iCs/>
        </w:rPr>
        <w:t xml:space="preserve">, since the ownership rights to 19 apartments and </w:t>
      </w:r>
      <w:r w:rsidR="00D26B3B" w:rsidRPr="00A878F7">
        <w:rPr>
          <w:rStyle w:val="ju-005fpara-0020char1--char"/>
          <w:iCs/>
        </w:rPr>
        <w:t xml:space="preserve">respective shares in the right of perpetual use of the land had been sold in the meantime to third parties. Thus, in view of the irreversible legal consequences of the 1964 decision, the Board only declared </w:t>
      </w:r>
      <w:r w:rsidR="00BC314B" w:rsidRPr="00A878F7">
        <w:rPr>
          <w:rStyle w:val="ju-005fpara-0020char1--char"/>
          <w:iCs/>
        </w:rPr>
        <w:t>that</w:t>
      </w:r>
      <w:r w:rsidR="00631321" w:rsidRPr="00A878F7">
        <w:rPr>
          <w:rStyle w:val="ju-005fpara-0020char1--char"/>
          <w:iCs/>
        </w:rPr>
        <w:t>,</w:t>
      </w:r>
      <w:r w:rsidR="00BC314B" w:rsidRPr="00A878F7">
        <w:rPr>
          <w:rStyle w:val="ju-005fpara-0020char1--char"/>
          <w:iCs/>
        </w:rPr>
        <w:t xml:space="preserve"> in this respect</w:t>
      </w:r>
      <w:r w:rsidR="00631321" w:rsidRPr="00A878F7">
        <w:rPr>
          <w:rStyle w:val="ju-005fpara-0020char1--char"/>
          <w:iCs/>
        </w:rPr>
        <w:t>,</w:t>
      </w:r>
      <w:r w:rsidR="00BC314B" w:rsidRPr="00A878F7">
        <w:rPr>
          <w:rStyle w:val="ju-005fpara-0020char1--char"/>
          <w:iCs/>
        </w:rPr>
        <w:t xml:space="preserve"> the decision</w:t>
      </w:r>
      <w:r w:rsidR="00D26B3B" w:rsidRPr="00A878F7">
        <w:rPr>
          <w:rStyle w:val="ju-005fpara-0020char1--char"/>
          <w:iCs/>
        </w:rPr>
        <w:t xml:space="preserve"> had been issued in breach of law.</w:t>
      </w:r>
    </w:p>
    <w:p w:rsidR="002B14BD" w:rsidRPr="00A878F7" w:rsidRDefault="002B14BD" w:rsidP="00D26B3B">
      <w:pPr>
        <w:pStyle w:val="JuPara"/>
        <w:rPr>
          <w:rStyle w:val="ju-005fpara-0020char1--char"/>
          <w:iCs/>
        </w:rPr>
      </w:pPr>
      <w:r w:rsidRPr="00A878F7">
        <w:rPr>
          <w:rStyle w:val="ju-005fpara-0020char1--char"/>
          <w:iCs/>
        </w:rPr>
        <w:fldChar w:fldCharType="begin"/>
      </w:r>
      <w:r w:rsidRPr="00A878F7">
        <w:rPr>
          <w:rStyle w:val="ju-005fpara-0020char1--char"/>
          <w:iCs/>
        </w:rPr>
        <w:instrText xml:space="preserve"> SEQ level0 \*arabic </w:instrText>
      </w:r>
      <w:r w:rsidRPr="00A878F7">
        <w:rPr>
          <w:rStyle w:val="ju-005fpara-0020char1--char"/>
          <w:iCs/>
        </w:rPr>
        <w:fldChar w:fldCharType="separate"/>
      </w:r>
      <w:r w:rsidR="004373EA">
        <w:rPr>
          <w:rStyle w:val="ju-005fpara-0020char1--char"/>
          <w:iCs/>
          <w:noProof/>
        </w:rPr>
        <w:t>18</w:t>
      </w:r>
      <w:r w:rsidRPr="00A878F7">
        <w:rPr>
          <w:rStyle w:val="ju-005fpara-0020char1--char"/>
          <w:iCs/>
        </w:rPr>
        <w:fldChar w:fldCharType="end"/>
      </w:r>
      <w:r w:rsidRPr="00A878F7">
        <w:rPr>
          <w:rStyle w:val="ju-005fpara-0020char1--char"/>
          <w:iCs/>
        </w:rPr>
        <w:t xml:space="preserve">.  The Board noted that the </w:t>
      </w:r>
      <w:r w:rsidR="004E38FE" w:rsidRPr="00A878F7">
        <w:rPr>
          <w:rStyle w:val="ju-005fpara-0020char1--char"/>
          <w:iCs/>
        </w:rPr>
        <w:t>obligations</w:t>
      </w:r>
      <w:r w:rsidRPr="00A878F7">
        <w:rPr>
          <w:rStyle w:val="ju-005fpara-0020char1--char"/>
          <w:iCs/>
        </w:rPr>
        <w:t xml:space="preserve"> of the</w:t>
      </w:r>
      <w:r w:rsidRPr="00A878F7">
        <w:t xml:space="preserve"> Warsaw National Council resulting from </w:t>
      </w:r>
      <w:r w:rsidR="004E38FE" w:rsidRPr="00A878F7">
        <w:t xml:space="preserve">a breach of law </w:t>
      </w:r>
      <w:r w:rsidRPr="00A878F7">
        <w:t xml:space="preserve">had been taken over by the </w:t>
      </w:r>
      <w:smartTag w:uri="urn:schemas-microsoft-com:office:smarttags" w:element="place">
        <w:smartTag w:uri="urn:schemas-microsoft-com:office:smarttags" w:element="PlaceName">
          <w:r w:rsidRPr="00A878F7">
            <w:t>Warsaw</w:t>
          </w:r>
        </w:smartTag>
        <w:r w:rsidRPr="00A878F7">
          <w:t xml:space="preserve"> </w:t>
        </w:r>
        <w:smartTag w:uri="urn:schemas-microsoft-com:office:smarttags" w:element="PlaceType">
          <w:r w:rsidRPr="00A878F7">
            <w:t>Municipality</w:t>
          </w:r>
        </w:smartTag>
      </w:smartTag>
      <w:r w:rsidRPr="00A878F7">
        <w:t>.</w:t>
      </w:r>
    </w:p>
    <w:p w:rsidR="00D26B3B" w:rsidRPr="00DC768B" w:rsidRDefault="00EF5866" w:rsidP="00DC768B">
      <w:pPr>
        <w:pStyle w:val="JuPara"/>
        <w:rPr>
          <w:rStyle w:val="ju-005fpara-0020char1--char"/>
        </w:rPr>
      </w:pPr>
      <w:r w:rsidRPr="00DC768B">
        <w:rPr>
          <w:rStyle w:val="ju-005fpara-0020char1--char"/>
        </w:rPr>
        <w:fldChar w:fldCharType="begin"/>
      </w:r>
      <w:r w:rsidRPr="00DC768B">
        <w:rPr>
          <w:rStyle w:val="ju-005fpara-0020char1--char"/>
        </w:rPr>
        <w:instrText xml:space="preserve"> SEQ level0 \*arabic </w:instrText>
      </w:r>
      <w:r w:rsidRPr="00DC768B">
        <w:rPr>
          <w:rStyle w:val="ju-005fpara-0020char1--char"/>
        </w:rPr>
        <w:fldChar w:fldCharType="separate"/>
      </w:r>
      <w:r w:rsidR="004373EA">
        <w:rPr>
          <w:rStyle w:val="ju-005fpara-0020char1--char"/>
          <w:noProof/>
        </w:rPr>
        <w:t>19</w:t>
      </w:r>
      <w:r w:rsidRPr="00DC768B">
        <w:rPr>
          <w:rStyle w:val="ju-005fpara-0020char1--char"/>
        </w:rPr>
        <w:fldChar w:fldCharType="end"/>
      </w:r>
      <w:r w:rsidRPr="00DC768B">
        <w:rPr>
          <w:rStyle w:val="ju-005fpara-0020char1--char"/>
        </w:rPr>
        <w:t>.  </w:t>
      </w:r>
      <w:r w:rsidR="00D26B3B" w:rsidRPr="00DC768B">
        <w:rPr>
          <w:rStyle w:val="ju-005fpara-0020char1--char"/>
        </w:rPr>
        <w:t xml:space="preserve">The Board further noted that </w:t>
      </w:r>
      <w:r w:rsidR="00C7297D" w:rsidRPr="00DC768B">
        <w:rPr>
          <w:rStyle w:val="ju-005fpara-0020char1--char"/>
        </w:rPr>
        <w:t>its</w:t>
      </w:r>
      <w:r w:rsidR="00D26B3B" w:rsidRPr="00DC768B">
        <w:rPr>
          <w:rStyle w:val="ju-005fpara-0020char1--char"/>
        </w:rPr>
        <w:t xml:space="preserve"> decision entitled the applicants to seek compensation</w:t>
      </w:r>
      <w:r w:rsidR="00C7297D" w:rsidRPr="00DC768B">
        <w:rPr>
          <w:rStyle w:val="ju-005fpara-0020char1--char"/>
        </w:rPr>
        <w:t xml:space="preserve"> for damage cause</w:t>
      </w:r>
      <w:r w:rsidR="00CC01C2" w:rsidRPr="00DC768B">
        <w:rPr>
          <w:rStyle w:val="ju-005fpara-0020char1--char"/>
        </w:rPr>
        <w:t>d</w:t>
      </w:r>
      <w:r w:rsidR="00C7297D" w:rsidRPr="00DC768B">
        <w:rPr>
          <w:rStyle w:val="ju-005fpara-0020char1--char"/>
        </w:rPr>
        <w:t xml:space="preserve"> by the administrative decision having been issued in breach of law.</w:t>
      </w:r>
    </w:p>
    <w:p w:rsidR="006B13C8" w:rsidRPr="0028383C" w:rsidRDefault="00C41151" w:rsidP="00C41151">
      <w:pPr>
        <w:pStyle w:val="JuHA"/>
      </w:pPr>
      <w:r>
        <w:t>3.  </w:t>
      </w:r>
      <w:r w:rsidR="006B13C8" w:rsidRPr="0028383C">
        <w:t>Proceedings for compensation under Article 160 of the Code of Administrative Procedure</w:t>
      </w:r>
    </w:p>
    <w:p w:rsidR="00B74209" w:rsidRPr="00DC768B" w:rsidRDefault="008A7208" w:rsidP="00DC768B">
      <w:pPr>
        <w:pStyle w:val="JuPara"/>
        <w:rPr>
          <w:rStyle w:val="ju-005fpara-0020char1--char"/>
        </w:rPr>
      </w:pPr>
      <w:r w:rsidRPr="00DC768B">
        <w:rPr>
          <w:rStyle w:val="ju-005fpara-0020char1--char"/>
        </w:rPr>
        <w:fldChar w:fldCharType="begin"/>
      </w:r>
      <w:r w:rsidRPr="00DC768B">
        <w:rPr>
          <w:rStyle w:val="ju-005fpara-0020char1--char"/>
        </w:rPr>
        <w:instrText xml:space="preserve"> SEQ level0 \*arabic </w:instrText>
      </w:r>
      <w:r w:rsidRPr="00DC768B">
        <w:rPr>
          <w:rStyle w:val="ju-005fpara-0020char1--char"/>
        </w:rPr>
        <w:fldChar w:fldCharType="separate"/>
      </w:r>
      <w:r w:rsidR="004373EA">
        <w:rPr>
          <w:rStyle w:val="ju-005fpara-0020char1--char"/>
          <w:noProof/>
        </w:rPr>
        <w:t>20</w:t>
      </w:r>
      <w:r w:rsidRPr="00DC768B">
        <w:rPr>
          <w:rStyle w:val="ju-005fpara-0020char1--char"/>
        </w:rPr>
        <w:fldChar w:fldCharType="end"/>
      </w:r>
      <w:r w:rsidRPr="00DC768B">
        <w:rPr>
          <w:rStyle w:val="ju-005fpara-0020char1--char"/>
        </w:rPr>
        <w:t>.  In March 2000 the applicants lodged compensation claims with the Mayor</w:t>
      </w:r>
      <w:r w:rsidR="00E35D0B" w:rsidRPr="00DC768B">
        <w:rPr>
          <w:rStyle w:val="ju-005fpara-0020char1--char"/>
        </w:rPr>
        <w:t xml:space="preserve"> of the Warsaw District (</w:t>
      </w:r>
      <w:r w:rsidR="00E35D0B" w:rsidRPr="00DC768B">
        <w:rPr>
          <w:rStyle w:val="ju-005fpara-0020char1--char"/>
          <w:i/>
        </w:rPr>
        <w:t>Starosta Powiat</w:t>
      </w:r>
      <w:r w:rsidRPr="00DC768B">
        <w:rPr>
          <w:rStyle w:val="ju-005fpara-0020char1--char"/>
          <w:i/>
        </w:rPr>
        <w:t>u Warszawskiego</w:t>
      </w:r>
      <w:r w:rsidRPr="00DC768B">
        <w:rPr>
          <w:rStyle w:val="ju-005fpara-0020char1--char"/>
        </w:rPr>
        <w:t>) and the President of Warsaw</w:t>
      </w:r>
      <w:r w:rsidR="00B74209" w:rsidRPr="00DC768B">
        <w:rPr>
          <w:rStyle w:val="ju-005fpara-0020char1--char"/>
        </w:rPr>
        <w:t xml:space="preserve"> in respect of the relevant 19 </w:t>
      </w:r>
      <w:r w:rsidRPr="00DC768B">
        <w:rPr>
          <w:rStyle w:val="ju-005fpara-0020char1--char"/>
        </w:rPr>
        <w:t>apartments</w:t>
      </w:r>
      <w:r w:rsidR="00B74209" w:rsidRPr="00DC768B">
        <w:rPr>
          <w:rStyle w:val="ju-005fpara-0020char1--char"/>
        </w:rPr>
        <w:t>.</w:t>
      </w:r>
    </w:p>
    <w:p w:rsidR="008A7208" w:rsidRPr="00DC768B" w:rsidRDefault="00B74209" w:rsidP="00DC768B">
      <w:pPr>
        <w:pStyle w:val="JuPara"/>
        <w:rPr>
          <w:rStyle w:val="ju-005fpara-0020char1--char"/>
        </w:rPr>
      </w:pPr>
      <w:r w:rsidRPr="00DC768B">
        <w:rPr>
          <w:rStyle w:val="ju-005fpara-0020char1--char"/>
        </w:rPr>
        <w:fldChar w:fldCharType="begin"/>
      </w:r>
      <w:r w:rsidRPr="00DC768B">
        <w:rPr>
          <w:rStyle w:val="ju-005fpara-0020char1--char"/>
        </w:rPr>
        <w:instrText xml:space="preserve"> SEQ level0 \*arabic </w:instrText>
      </w:r>
      <w:r w:rsidRPr="00DC768B">
        <w:rPr>
          <w:rStyle w:val="ju-005fpara-0020char1--char"/>
        </w:rPr>
        <w:fldChar w:fldCharType="separate"/>
      </w:r>
      <w:r w:rsidR="004373EA">
        <w:rPr>
          <w:rStyle w:val="ju-005fpara-0020char1--char"/>
          <w:noProof/>
        </w:rPr>
        <w:t>21</w:t>
      </w:r>
      <w:r w:rsidRPr="00DC768B">
        <w:rPr>
          <w:rStyle w:val="ju-005fpara-0020char1--char"/>
        </w:rPr>
        <w:fldChar w:fldCharType="end"/>
      </w:r>
      <w:r w:rsidRPr="00DC768B">
        <w:rPr>
          <w:rStyle w:val="ju-005fpara-0020char1--char"/>
        </w:rPr>
        <w:t>.  </w:t>
      </w:r>
      <w:r w:rsidR="008A7208" w:rsidRPr="00DC768B">
        <w:rPr>
          <w:rStyle w:val="ju-005fpara-0020char1--char"/>
        </w:rPr>
        <w:t xml:space="preserve">On 9 June 2000 the Mayor of the Warsaw District </w:t>
      </w:r>
      <w:r w:rsidRPr="00DC768B">
        <w:rPr>
          <w:rStyle w:val="ju-005fpara-0020char1--char"/>
        </w:rPr>
        <w:t xml:space="preserve">transferred the claim to the Warsaw Local Government Board of Appeal </w:t>
      </w:r>
      <w:r w:rsidR="000D3B4D">
        <w:rPr>
          <w:rStyle w:val="ju-005fpara-0020char1--char"/>
        </w:rPr>
        <w:t>in view of the latter organ</w:t>
      </w:r>
      <w:r w:rsidR="00925F1F">
        <w:rPr>
          <w:rStyle w:val="ju-005fpara-0020char1--char"/>
        </w:rPr>
        <w:t>’</w:t>
      </w:r>
      <w:r w:rsidR="000D3B4D">
        <w:rPr>
          <w:rStyle w:val="ju-005fpara-0020char1--char"/>
        </w:rPr>
        <w:t>s</w:t>
      </w:r>
      <w:r w:rsidRPr="00DC768B">
        <w:rPr>
          <w:rStyle w:val="ju-005fpara-0020char1--char"/>
        </w:rPr>
        <w:t xml:space="preserve"> competence.</w:t>
      </w:r>
      <w:r w:rsidR="00E66704" w:rsidRPr="00DC768B">
        <w:rPr>
          <w:rStyle w:val="ju-005fpara-0020char1--char"/>
        </w:rPr>
        <w:t xml:space="preserve"> In November 2000 and December 2000 the Board issued several decisions c</w:t>
      </w:r>
      <w:r w:rsidR="000D3B4D">
        <w:rPr>
          <w:rStyle w:val="ju-005fpara-0020char1--char"/>
        </w:rPr>
        <w:t xml:space="preserve">oncerning particular apartments in which it </w:t>
      </w:r>
      <w:r w:rsidR="00E66704" w:rsidRPr="00DC768B">
        <w:rPr>
          <w:rStyle w:val="ju-005fpara-0020char1--char"/>
        </w:rPr>
        <w:t>refus</w:t>
      </w:r>
      <w:r w:rsidR="000D3B4D">
        <w:rPr>
          <w:rStyle w:val="ju-005fpara-0020char1--char"/>
        </w:rPr>
        <w:t>ed</w:t>
      </w:r>
      <w:r w:rsidR="00E66704" w:rsidRPr="00DC768B">
        <w:rPr>
          <w:rStyle w:val="ju-005fpara-0020char1--char"/>
        </w:rPr>
        <w:t xml:space="preserve"> to award compensation.</w:t>
      </w:r>
    </w:p>
    <w:p w:rsidR="00D26B3B" w:rsidRPr="00DC768B" w:rsidRDefault="00EF5866" w:rsidP="00DC768B">
      <w:pPr>
        <w:pStyle w:val="JuPara"/>
      </w:pPr>
      <w:r w:rsidRPr="00DC768B">
        <w:fldChar w:fldCharType="begin"/>
      </w:r>
      <w:r w:rsidRPr="00DC768B">
        <w:instrText xml:space="preserve"> SEQ level0 \*arabic </w:instrText>
      </w:r>
      <w:r w:rsidRPr="00DC768B">
        <w:fldChar w:fldCharType="separate"/>
      </w:r>
      <w:r w:rsidR="004373EA">
        <w:rPr>
          <w:noProof/>
        </w:rPr>
        <w:t>22</w:t>
      </w:r>
      <w:r w:rsidRPr="00DC768B">
        <w:fldChar w:fldCharType="end"/>
      </w:r>
      <w:r w:rsidRPr="00DC768B">
        <w:t>.  </w:t>
      </w:r>
      <w:r w:rsidR="002B4FFC" w:rsidRPr="00DC768B">
        <w:t>On 21 December 2000 t</w:t>
      </w:r>
      <w:r w:rsidR="00D26B3B" w:rsidRPr="00DC768B">
        <w:t>he applicants lodged compensation claim</w:t>
      </w:r>
      <w:r w:rsidR="002B4FFC" w:rsidRPr="00DC768B">
        <w:t>s</w:t>
      </w:r>
      <w:r w:rsidR="00D26B3B" w:rsidRPr="00DC768B">
        <w:t xml:space="preserve"> with the </w:t>
      </w:r>
      <w:smartTag w:uri="urn:schemas-microsoft-com:office:smarttags" w:element="Street">
        <w:smartTag w:uri="urn:schemas-microsoft-com:office:smarttags" w:element="address">
          <w:r w:rsidR="00D26B3B" w:rsidRPr="00DC768B">
            <w:t>Warsaw Regional Court</w:t>
          </w:r>
        </w:smartTag>
      </w:smartTag>
      <w:r w:rsidR="00D26B3B" w:rsidRPr="00DC768B">
        <w:t xml:space="preserve"> against the </w:t>
      </w:r>
      <w:smartTag w:uri="urn:schemas-microsoft-com:office:smarttags" w:element="place">
        <w:smartTag w:uri="urn:schemas-microsoft-com:office:smarttags" w:element="City">
          <w:r w:rsidR="002B4FFC" w:rsidRPr="00DC768B">
            <w:t>Warsaw</w:t>
          </w:r>
        </w:smartTag>
      </w:smartTag>
      <w:r w:rsidR="002B4FFC" w:rsidRPr="00DC768B">
        <w:t xml:space="preserve"> </w:t>
      </w:r>
      <w:r w:rsidR="00D26B3B" w:rsidRPr="00DC768B">
        <w:t xml:space="preserve">municipality under </w:t>
      </w:r>
      <w:r w:rsidR="00D26B3B" w:rsidRPr="00DC768B">
        <w:rPr>
          <w:szCs w:val="24"/>
        </w:rPr>
        <w:t xml:space="preserve">Article </w:t>
      </w:r>
      <w:r w:rsidR="00D26B3B" w:rsidRPr="00DC768B">
        <w:t>160 of the Code of Administrative Procedure.</w:t>
      </w:r>
    </w:p>
    <w:p w:rsidR="00D26B3B" w:rsidRPr="00DC768B" w:rsidRDefault="00EF5866" w:rsidP="00DC768B">
      <w:pPr>
        <w:pStyle w:val="JuPara"/>
        <w:rPr>
          <w:rStyle w:val="ju-005fpara--char"/>
        </w:rPr>
      </w:pPr>
      <w:r w:rsidRPr="00DC768B">
        <w:fldChar w:fldCharType="begin"/>
      </w:r>
      <w:r w:rsidRPr="00DC768B">
        <w:instrText xml:space="preserve"> SEQ level0 \*arabic </w:instrText>
      </w:r>
      <w:r w:rsidRPr="00DC768B">
        <w:fldChar w:fldCharType="separate"/>
      </w:r>
      <w:r w:rsidR="004373EA">
        <w:rPr>
          <w:noProof/>
        </w:rPr>
        <w:t>23</w:t>
      </w:r>
      <w:r w:rsidRPr="00DC768B">
        <w:fldChar w:fldCharType="end"/>
      </w:r>
      <w:r w:rsidRPr="00DC768B">
        <w:t>.  </w:t>
      </w:r>
      <w:r w:rsidR="00D26B3B" w:rsidRPr="00DC768B">
        <w:t xml:space="preserve">On 21 March 2002 the </w:t>
      </w:r>
      <w:smartTag w:uri="urn:schemas-microsoft-com:office:smarttags" w:element="Street">
        <w:smartTag w:uri="urn:schemas-microsoft-com:office:smarttags" w:element="address">
          <w:r w:rsidR="00D26B3B" w:rsidRPr="00DC768B">
            <w:t>Regional Court</w:t>
          </w:r>
        </w:smartTag>
      </w:smartTag>
      <w:r w:rsidR="00D26B3B" w:rsidRPr="00DC768B">
        <w:t xml:space="preserve"> dismissed the action. The court acknowledged that the applicants had sustained damage as a result of the 1964 decision</w:t>
      </w:r>
      <w:r w:rsidR="0007555F" w:rsidRPr="00DC768B">
        <w:t xml:space="preserve"> </w:t>
      </w:r>
      <w:r w:rsidR="00FE38D0" w:rsidRPr="00DC768B">
        <w:t xml:space="preserve">(the court heard evidence, including an expert witness, who estimated the loss at PLN 1,025,970). However, the court </w:t>
      </w:r>
      <w:r w:rsidR="00D26B3B" w:rsidRPr="00DC768B">
        <w:t xml:space="preserve">eventually found that the State Treasury should have been sued instead of the municipality. The court noted that according to the Supreme Court </w:t>
      </w:r>
      <w:r w:rsidR="00D70BB8">
        <w:t>judgment</w:t>
      </w:r>
      <w:r w:rsidR="00D26B3B" w:rsidRPr="00DC768B">
        <w:t xml:space="preserve"> of 7 January 1998 the municipality had the legal capacity to be sued for </w:t>
      </w:r>
      <w:r w:rsidR="000D3B4D">
        <w:t xml:space="preserve">compensation for </w:t>
      </w:r>
      <w:r w:rsidR="00D26B3B" w:rsidRPr="00DC768B">
        <w:t>damage resulting from an administr</w:t>
      </w:r>
      <w:r w:rsidR="00C41151">
        <w:t>ative decision issued before 27 </w:t>
      </w:r>
      <w:r w:rsidR="00D26B3B" w:rsidRPr="00DC768B">
        <w:t>May 1990. However, in the court</w:t>
      </w:r>
      <w:r w:rsidR="00925F1F">
        <w:t>’</w:t>
      </w:r>
      <w:r w:rsidR="00D26B3B" w:rsidRPr="00DC768B">
        <w:t xml:space="preserve">s view, this interpretation had become obsolete in </w:t>
      </w:r>
      <w:r w:rsidR="000D3B4D">
        <w:t>view</w:t>
      </w:r>
      <w:r w:rsidR="00D26B3B" w:rsidRPr="00DC768B">
        <w:t xml:space="preserve"> of the subseque</w:t>
      </w:r>
      <w:r w:rsidR="000241FD">
        <w:t>nt interpretation of section 36 </w:t>
      </w:r>
      <w:r w:rsidR="00D26B3B" w:rsidRPr="00DC768B">
        <w:t xml:space="preserve">of </w:t>
      </w:r>
      <w:r w:rsidR="009C0EA9" w:rsidRPr="00DC768B">
        <w:t xml:space="preserve">the Local </w:t>
      </w:r>
      <w:r w:rsidR="00B441A2" w:rsidRPr="00DC768B">
        <w:t xml:space="preserve">Government </w:t>
      </w:r>
      <w:r w:rsidR="000D3B4D">
        <w:t>(</w:t>
      </w:r>
      <w:r w:rsidR="00B441A2" w:rsidRPr="00DC768B">
        <w:t>I</w:t>
      </w:r>
      <w:r w:rsidR="00D26B3B" w:rsidRPr="00DC768B">
        <w:t xml:space="preserve">ntroductory </w:t>
      </w:r>
      <w:r w:rsidR="00B441A2" w:rsidRPr="00DC768B">
        <w:t>P</w:t>
      </w:r>
      <w:r w:rsidR="00D26B3B" w:rsidRPr="00DC768B">
        <w:t>rovisions</w:t>
      </w:r>
      <w:r w:rsidR="000D3B4D">
        <w:t>)</w:t>
      </w:r>
      <w:r w:rsidR="00D26B3B" w:rsidRPr="00DC768B">
        <w:t xml:space="preserve"> </w:t>
      </w:r>
      <w:r w:rsidR="000D3B4D" w:rsidRPr="00DC768B">
        <w:t xml:space="preserve">Act </w:t>
      </w:r>
      <w:r w:rsidR="00D26B3B" w:rsidRPr="00DC768B">
        <w:t>of 10 May 1990 (</w:t>
      </w:r>
      <w:r w:rsidR="00D26B3B" w:rsidRPr="00DC768B">
        <w:rPr>
          <w:rStyle w:val="ju-005fpara--char"/>
          <w:i/>
        </w:rPr>
        <w:t>Przepisy wprowadzające</w:t>
      </w:r>
      <w:r w:rsidR="00D26B3B" w:rsidRPr="00DC768B">
        <w:rPr>
          <w:i/>
        </w:rPr>
        <w:t xml:space="preserve"> </w:t>
      </w:r>
      <w:r w:rsidR="00D26B3B" w:rsidRPr="00DC768B">
        <w:rPr>
          <w:rStyle w:val="ju-005fpara--char"/>
          <w:i/>
        </w:rPr>
        <w:t>ustawę o samorządzie terytorialnym i ustawę o pracownikach samorządowych</w:t>
      </w:r>
      <w:r w:rsidR="00D26B3B" w:rsidRPr="00DC768B">
        <w:rPr>
          <w:rStyle w:val="ju-005fpara--char"/>
        </w:rPr>
        <w:t>).</w:t>
      </w:r>
    </w:p>
    <w:p w:rsidR="004C458B" w:rsidRPr="00DC768B" w:rsidRDefault="004C458B" w:rsidP="00DC768B">
      <w:pPr>
        <w:pStyle w:val="JuPara"/>
        <w:rPr>
          <w:rStyle w:val="ju-005fpara--char"/>
        </w:rPr>
      </w:pPr>
      <w:r w:rsidRPr="00DC768B">
        <w:rPr>
          <w:rStyle w:val="ju-005fpara--char"/>
        </w:rPr>
        <w:fldChar w:fldCharType="begin"/>
      </w:r>
      <w:r w:rsidRPr="00DC768B">
        <w:rPr>
          <w:rStyle w:val="ju-005fpara--char"/>
        </w:rPr>
        <w:instrText xml:space="preserve"> SEQ level0 \*arabic </w:instrText>
      </w:r>
      <w:r w:rsidRPr="00DC768B">
        <w:rPr>
          <w:rStyle w:val="ju-005fpara--char"/>
        </w:rPr>
        <w:fldChar w:fldCharType="separate"/>
      </w:r>
      <w:r w:rsidR="004373EA">
        <w:rPr>
          <w:rStyle w:val="ju-005fpara--char"/>
          <w:noProof/>
        </w:rPr>
        <w:t>24</w:t>
      </w:r>
      <w:r w:rsidRPr="00DC768B">
        <w:rPr>
          <w:rStyle w:val="ju-005fpara--char"/>
        </w:rPr>
        <w:fldChar w:fldCharType="end"/>
      </w:r>
      <w:r w:rsidRPr="00DC768B">
        <w:rPr>
          <w:rStyle w:val="ju-005fpara--char"/>
        </w:rPr>
        <w:t>.  On 19 June 2002 the applicants</w:t>
      </w:r>
      <w:r w:rsidR="00925F1F">
        <w:rPr>
          <w:rStyle w:val="ju-005fpara--char"/>
        </w:rPr>
        <w:t>’</w:t>
      </w:r>
      <w:r w:rsidRPr="00DC768B">
        <w:rPr>
          <w:rStyle w:val="ju-005fpara--char"/>
        </w:rPr>
        <w:t xml:space="preserve"> lawyer lodged an appeal. He referred inter alia </w:t>
      </w:r>
      <w:r w:rsidR="00D70BB8">
        <w:rPr>
          <w:rStyle w:val="ju-005fpara--char"/>
        </w:rPr>
        <w:t xml:space="preserve">to </w:t>
      </w:r>
      <w:r w:rsidRPr="00DC768B">
        <w:rPr>
          <w:rStyle w:val="ju-005fpara--char"/>
        </w:rPr>
        <w:t xml:space="preserve">the </w:t>
      </w:r>
      <w:smartTag w:uri="urn:schemas-microsoft-com:office:smarttags" w:element="Street">
        <w:smartTag w:uri="urn:schemas-microsoft-com:office:smarttags" w:element="address">
          <w:r w:rsidRPr="00DC768B">
            <w:rPr>
              <w:rStyle w:val="ju-005fpara--char"/>
            </w:rPr>
            <w:t>Supreme Administrative Court</w:t>
          </w:r>
        </w:smartTag>
      </w:smartTag>
      <w:r w:rsidR="000241FD">
        <w:rPr>
          <w:rStyle w:val="ju-005fpara--char"/>
        </w:rPr>
        <w:t xml:space="preserve"> resolution of 15 </w:t>
      </w:r>
      <w:r w:rsidRPr="00DC768B">
        <w:rPr>
          <w:rStyle w:val="ju-005fpara--char"/>
        </w:rPr>
        <w:t xml:space="preserve">April 1996, OPK 9/96, which, in his opinion, justified the responsibility of the local government administration in the present case. In this context he also invoked section 36 § 2 of the 1990 </w:t>
      </w:r>
      <w:r w:rsidR="00547809">
        <w:rPr>
          <w:rStyle w:val="ju-005fpara--char"/>
        </w:rPr>
        <w:t xml:space="preserve">Local </w:t>
      </w:r>
      <w:r w:rsidR="00547809" w:rsidRPr="00547809">
        <w:rPr>
          <w:rStyle w:val="ju-005fpara--char"/>
        </w:rPr>
        <w:t xml:space="preserve">Government </w:t>
      </w:r>
      <w:r w:rsidR="00547809">
        <w:rPr>
          <w:rStyle w:val="ju-005fpara--char"/>
        </w:rPr>
        <w:t>(</w:t>
      </w:r>
      <w:r w:rsidRPr="00DC768B">
        <w:rPr>
          <w:rStyle w:val="ju-005fpara--char"/>
        </w:rPr>
        <w:t>Introductory Provisions</w:t>
      </w:r>
      <w:r w:rsidR="00547809">
        <w:rPr>
          <w:rStyle w:val="ju-005fpara--char"/>
        </w:rPr>
        <w:t>)</w:t>
      </w:r>
      <w:r w:rsidR="00D70BB8">
        <w:rPr>
          <w:rStyle w:val="ju-005fpara--char"/>
        </w:rPr>
        <w:t xml:space="preserve"> Act</w:t>
      </w:r>
      <w:r w:rsidRPr="00DC768B">
        <w:rPr>
          <w:rStyle w:val="ju-005fpara--char"/>
        </w:rPr>
        <w:t xml:space="preserve"> and relied on the judgment of the Supreme Court of 7</w:t>
      </w:r>
      <w:r w:rsidR="0014669B">
        <w:rPr>
          <w:rStyle w:val="ju-005fpara--char"/>
        </w:rPr>
        <w:t> </w:t>
      </w:r>
      <w:r w:rsidRPr="00DC768B">
        <w:rPr>
          <w:rStyle w:val="ju-005fpara--char"/>
        </w:rPr>
        <w:t xml:space="preserve">January 1998 arguing that the </w:t>
      </w:r>
      <w:r w:rsidR="00C41151">
        <w:rPr>
          <w:rStyle w:val="ju-005fpara--char"/>
        </w:rPr>
        <w:t>first</w:t>
      </w:r>
      <w:r w:rsidR="00C41151">
        <w:rPr>
          <w:rStyle w:val="ju-005fpara--char"/>
        </w:rPr>
        <w:noBreakHyphen/>
      </w:r>
      <w:r w:rsidRPr="00DC768B">
        <w:rPr>
          <w:rStyle w:val="ju-005fpara--char"/>
        </w:rPr>
        <w:t xml:space="preserve">instance court had been wrong to consider </w:t>
      </w:r>
      <w:r w:rsidR="00D70BB8">
        <w:rPr>
          <w:rStyle w:val="ju-005fpara--char"/>
        </w:rPr>
        <w:t xml:space="preserve">the </w:t>
      </w:r>
      <w:r w:rsidR="00D70BB8" w:rsidRPr="00D70BB8">
        <w:rPr>
          <w:rStyle w:val="ju-005fpara--char"/>
        </w:rPr>
        <w:t xml:space="preserve">judgment </w:t>
      </w:r>
      <w:r w:rsidRPr="00DC768B">
        <w:rPr>
          <w:rStyle w:val="ju-005fpara--char"/>
        </w:rPr>
        <w:t>obsolete.</w:t>
      </w:r>
    </w:p>
    <w:p w:rsidR="00D26B3B" w:rsidRDefault="00EF5866" w:rsidP="00D26B3B">
      <w:pPr>
        <w:pStyle w:val="JuPara"/>
      </w:pPr>
      <w:r>
        <w:fldChar w:fldCharType="begin"/>
      </w:r>
      <w:r>
        <w:instrText xml:space="preserve"> SEQ level0 \*arabic </w:instrText>
      </w:r>
      <w:r>
        <w:fldChar w:fldCharType="separate"/>
      </w:r>
      <w:r w:rsidR="004373EA">
        <w:rPr>
          <w:noProof/>
        </w:rPr>
        <w:t>25</w:t>
      </w:r>
      <w:r>
        <w:fldChar w:fldCharType="end"/>
      </w:r>
      <w:r>
        <w:t>.  </w:t>
      </w:r>
      <w:r w:rsidR="00D26B3B" w:rsidRPr="004B14F4">
        <w:t>On 11 April 2003 the Warsaw Court of Appeal dismissed the applicants</w:t>
      </w:r>
      <w:r w:rsidR="00925F1F">
        <w:t>’</w:t>
      </w:r>
      <w:r w:rsidR="00D26B3B" w:rsidRPr="004B14F4">
        <w:t xml:space="preserve"> appeal. The court upheld the lower court</w:t>
      </w:r>
      <w:r w:rsidR="00925F1F">
        <w:t>’</w:t>
      </w:r>
      <w:r w:rsidR="00D26B3B">
        <w:t>s</w:t>
      </w:r>
      <w:r w:rsidR="00D26B3B" w:rsidRPr="004B14F4">
        <w:t xml:space="preserve"> arguments, finding that</w:t>
      </w:r>
      <w:r w:rsidR="00D26B3B">
        <w:t xml:space="preserve"> the</w:t>
      </w:r>
      <w:r w:rsidR="00D26B3B" w:rsidRPr="004B14F4">
        <w:t xml:space="preserve"> State Treasury should have been sued for damages because the Governor (the State</w:t>
      </w:r>
      <w:r w:rsidR="00925F1F">
        <w:t>’</w:t>
      </w:r>
      <w:r w:rsidR="00D26B3B" w:rsidRPr="004B14F4">
        <w:t xml:space="preserve">s </w:t>
      </w:r>
      <w:r w:rsidR="00D26B3B" w:rsidRPr="008E0D36">
        <w:t>administrat</w:t>
      </w:r>
      <w:r w:rsidR="00D26B3B">
        <w:t>ion</w:t>
      </w:r>
      <w:r w:rsidR="00D26B3B" w:rsidRPr="008E0D36">
        <w:t xml:space="preserve"> body) was the legal successor of the National Council.</w:t>
      </w:r>
    </w:p>
    <w:p w:rsidR="00BE7975" w:rsidRDefault="00EF5866" w:rsidP="00D26B3B">
      <w:pPr>
        <w:pStyle w:val="JuPara"/>
      </w:pPr>
      <w:r>
        <w:fldChar w:fldCharType="begin"/>
      </w:r>
      <w:r>
        <w:instrText xml:space="preserve"> SEQ level0 \*arabic </w:instrText>
      </w:r>
      <w:r>
        <w:fldChar w:fldCharType="separate"/>
      </w:r>
      <w:r w:rsidR="004373EA">
        <w:rPr>
          <w:noProof/>
        </w:rPr>
        <w:t>26</w:t>
      </w:r>
      <w:r>
        <w:fldChar w:fldCharType="end"/>
      </w:r>
      <w:r>
        <w:t>.  </w:t>
      </w:r>
      <w:r w:rsidR="00D26B3B" w:rsidRPr="008E0D36">
        <w:t xml:space="preserve">The applicants lodged a </w:t>
      </w:r>
      <w:r w:rsidR="00D26B3B" w:rsidRPr="008E0D36">
        <w:rPr>
          <w:szCs w:val="24"/>
          <w:lang w:eastAsia="en-GB"/>
        </w:rPr>
        <w:t xml:space="preserve">cassation appeal. They submitted, </w:t>
      </w:r>
      <w:r w:rsidR="00D26B3B" w:rsidRPr="008E0D36">
        <w:rPr>
          <w:i/>
          <w:szCs w:val="24"/>
          <w:lang w:eastAsia="en-GB"/>
        </w:rPr>
        <w:t>inter alia</w:t>
      </w:r>
      <w:r w:rsidR="00D26B3B" w:rsidRPr="008E0D36">
        <w:rPr>
          <w:szCs w:val="24"/>
          <w:lang w:eastAsia="en-GB"/>
        </w:rPr>
        <w:t xml:space="preserve">, that the judgment was in </w:t>
      </w:r>
      <w:r w:rsidR="00D26B3B" w:rsidRPr="008E0D36">
        <w:t>breach of relevant substantive law on account of an erroneous interpretation and application of the provisions of the Local Government Act. They also invoked Article 393 of</w:t>
      </w:r>
      <w:r w:rsidR="00D26B3B" w:rsidRPr="008E0D36">
        <w:rPr>
          <w:lang w:eastAsia="en-GB"/>
        </w:rPr>
        <w:t xml:space="preserve"> the Code of Civil Procedure arguing that the </w:t>
      </w:r>
      <w:r w:rsidR="00D26B3B" w:rsidRPr="0062215F">
        <w:t xml:space="preserve">examination of the </w:t>
      </w:r>
      <w:r w:rsidR="00D26B3B" w:rsidRPr="0062215F">
        <w:rPr>
          <w:szCs w:val="24"/>
          <w:lang w:eastAsia="en-GB"/>
        </w:rPr>
        <w:t xml:space="preserve">cassation appeal </w:t>
      </w:r>
      <w:r w:rsidR="00D26B3B" w:rsidRPr="0062215F">
        <w:t>was justified because</w:t>
      </w:r>
      <w:r w:rsidR="00BE7975">
        <w:t>:</w:t>
      </w:r>
    </w:p>
    <w:p w:rsidR="00BE7975" w:rsidRDefault="00BE7975" w:rsidP="00D26B3B">
      <w:pPr>
        <w:pStyle w:val="JuPara"/>
      </w:pPr>
      <w:r>
        <w:t>-</w:t>
      </w:r>
      <w:r w:rsidR="00D26B3B" w:rsidRPr="0062215F">
        <w:t xml:space="preserve"> the case </w:t>
      </w:r>
      <w:r w:rsidR="00D70BB8">
        <w:t>raised</w:t>
      </w:r>
      <w:r w:rsidR="00D70BB8" w:rsidRPr="0062215F">
        <w:t xml:space="preserve"> a significant legal issue </w:t>
      </w:r>
      <w:r w:rsidRPr="00BE7975">
        <w:t>(i.e. the question</w:t>
      </w:r>
      <w:r>
        <w:t xml:space="preserve"> </w:t>
      </w:r>
      <w:r w:rsidRPr="00BE7975">
        <w:t xml:space="preserve">to </w:t>
      </w:r>
      <w:r>
        <w:t xml:space="preserve">what </w:t>
      </w:r>
      <w:r w:rsidRPr="00BE7975">
        <w:t xml:space="preserve">extent </w:t>
      </w:r>
      <w:r>
        <w:t xml:space="preserve">and in respect of which competences </w:t>
      </w:r>
      <w:r w:rsidRPr="00BE7975">
        <w:t>the obligations of the national council</w:t>
      </w:r>
      <w:r>
        <w:t>s</w:t>
      </w:r>
      <w:r w:rsidRPr="00BE7975">
        <w:t xml:space="preserve"> </w:t>
      </w:r>
      <w:r>
        <w:t xml:space="preserve">had been taken over by </w:t>
      </w:r>
      <w:r w:rsidRPr="00BE7975">
        <w:t>communities), and</w:t>
      </w:r>
    </w:p>
    <w:p w:rsidR="00BE7975" w:rsidRDefault="00BE7975" w:rsidP="00D26B3B">
      <w:pPr>
        <w:pStyle w:val="JuPara"/>
        <w:rPr>
          <w:rStyle w:val="ju-005fpara--char"/>
        </w:rPr>
      </w:pPr>
      <w:r>
        <w:t xml:space="preserve">- </w:t>
      </w:r>
      <w:r w:rsidR="00D70BB8">
        <w:t xml:space="preserve">the </w:t>
      </w:r>
      <w:r w:rsidR="00D26B3B" w:rsidRPr="0062215F">
        <w:t xml:space="preserve">need for </w:t>
      </w:r>
      <w:r w:rsidR="00D26B3B">
        <w:t>an</w:t>
      </w:r>
      <w:r w:rsidR="00D26B3B" w:rsidRPr="0062215F">
        <w:t xml:space="preserve"> authoritative interpretation of provisions which had been interpreted differently in the courts</w:t>
      </w:r>
      <w:r w:rsidR="00925F1F">
        <w:t>’</w:t>
      </w:r>
      <w:r w:rsidR="00D26B3B" w:rsidRPr="0062215F">
        <w:t xml:space="preserve"> case-law</w:t>
      </w:r>
      <w:r>
        <w:t xml:space="preserve"> (in particular section</w:t>
      </w:r>
      <w:r w:rsidR="00D26B3B" w:rsidRPr="0062215F">
        <w:t xml:space="preserve"> </w:t>
      </w:r>
      <w:r>
        <w:t xml:space="preserve">36 § 3 of the </w:t>
      </w:r>
      <w:r w:rsidRPr="004C458B">
        <w:rPr>
          <w:rStyle w:val="ju-005fpara--char"/>
        </w:rPr>
        <w:t xml:space="preserve">1990 </w:t>
      </w:r>
      <w:r w:rsidR="00547809">
        <w:rPr>
          <w:rStyle w:val="ju-005fpara--char"/>
        </w:rPr>
        <w:t xml:space="preserve">Local </w:t>
      </w:r>
      <w:r w:rsidR="00547809" w:rsidRPr="00547809">
        <w:rPr>
          <w:rStyle w:val="ju-005fpara--char"/>
        </w:rPr>
        <w:t xml:space="preserve">Government </w:t>
      </w:r>
      <w:r w:rsidR="00547809">
        <w:rPr>
          <w:rStyle w:val="ju-005fpara--char"/>
        </w:rPr>
        <w:t>(</w:t>
      </w:r>
      <w:r w:rsidRPr="004C458B">
        <w:rPr>
          <w:rStyle w:val="ju-005fpara--char"/>
        </w:rPr>
        <w:t>Introductory Provisions</w:t>
      </w:r>
      <w:r w:rsidR="00547809">
        <w:rPr>
          <w:rStyle w:val="ju-005fpara--char"/>
        </w:rPr>
        <w:t>)</w:t>
      </w:r>
      <w:r>
        <w:rPr>
          <w:rStyle w:val="ju-005fpara--char"/>
        </w:rPr>
        <w:t>), and</w:t>
      </w:r>
    </w:p>
    <w:p w:rsidR="00D26B3B" w:rsidRPr="00700A27" w:rsidRDefault="00BE7975" w:rsidP="00D26B3B">
      <w:pPr>
        <w:pStyle w:val="JuPara"/>
      </w:pPr>
      <w:r w:rsidRPr="000D04A9">
        <w:rPr>
          <w:rStyle w:val="ju-005fpara--char"/>
        </w:rPr>
        <w:t xml:space="preserve">- </w:t>
      </w:r>
      <w:r w:rsidR="00D70BB8">
        <w:rPr>
          <w:rStyle w:val="ju-005fpara--char"/>
        </w:rPr>
        <w:t>the</w:t>
      </w:r>
      <w:r w:rsidRPr="000D04A9">
        <w:rPr>
          <w:rStyle w:val="ju-005fpara--char"/>
        </w:rPr>
        <w:t xml:space="preserve"> need to clarify </w:t>
      </w:r>
      <w:r w:rsidR="00D26B3B" w:rsidRPr="000D04A9">
        <w:t>the inconsistency of the Court of Appeal</w:t>
      </w:r>
      <w:r w:rsidR="00925F1F">
        <w:t>’</w:t>
      </w:r>
      <w:r w:rsidR="00D26B3B" w:rsidRPr="000D04A9">
        <w:t>s judgment</w:t>
      </w:r>
      <w:r w:rsidR="00D26B3B" w:rsidRPr="0062215F">
        <w:t xml:space="preserve"> with </w:t>
      </w:r>
      <w:r w:rsidR="00A6763C" w:rsidRPr="00A6763C">
        <w:t xml:space="preserve">the </w:t>
      </w:r>
      <w:r w:rsidR="007836C1">
        <w:t xml:space="preserve">case-law invoked by the applicants </w:t>
      </w:r>
      <w:r w:rsidR="006A1A75">
        <w:t xml:space="preserve">and </w:t>
      </w:r>
      <w:r w:rsidR="00D26B3B" w:rsidRPr="0062215F">
        <w:t>the</w:t>
      </w:r>
      <w:r w:rsidR="00D26B3B">
        <w:t xml:space="preserve"> alleged guidance provided by the decision of </w:t>
      </w:r>
      <w:r w:rsidR="00D26B3B" w:rsidRPr="00DF72E5">
        <w:t>the Local Government Board of Appeal</w:t>
      </w:r>
      <w:r w:rsidR="00D26B3B" w:rsidRPr="00DD394D">
        <w:t xml:space="preserve"> </w:t>
      </w:r>
      <w:r w:rsidR="00D26B3B">
        <w:t>of 30 </w:t>
      </w:r>
      <w:r w:rsidR="00D26B3B" w:rsidRPr="00DF72E5">
        <w:t>November 1999</w:t>
      </w:r>
      <w:r w:rsidR="00D26B3B" w:rsidRPr="00700A27">
        <w:t>.</w:t>
      </w:r>
    </w:p>
    <w:p w:rsidR="00D26B3B" w:rsidRPr="00700A27" w:rsidRDefault="00EF5866" w:rsidP="00D26B3B">
      <w:pPr>
        <w:pStyle w:val="JuPara"/>
        <w:rPr>
          <w:szCs w:val="24"/>
          <w:lang w:eastAsia="en-GB"/>
        </w:rPr>
      </w:pPr>
      <w:r>
        <w:fldChar w:fldCharType="begin"/>
      </w:r>
      <w:r>
        <w:instrText xml:space="preserve"> SEQ level0 \*arabic </w:instrText>
      </w:r>
      <w:r>
        <w:fldChar w:fldCharType="separate"/>
      </w:r>
      <w:r w:rsidR="004373EA">
        <w:rPr>
          <w:noProof/>
        </w:rPr>
        <w:t>27</w:t>
      </w:r>
      <w:r>
        <w:fldChar w:fldCharType="end"/>
      </w:r>
      <w:r>
        <w:t>.  </w:t>
      </w:r>
      <w:r w:rsidR="00D26B3B" w:rsidRPr="00700A27">
        <w:t xml:space="preserve">On 10 December 2003 the Supreme Court refused to entertain the </w:t>
      </w:r>
      <w:r w:rsidR="00D26B3B" w:rsidRPr="00700A27">
        <w:rPr>
          <w:szCs w:val="24"/>
          <w:lang w:eastAsia="en-GB"/>
        </w:rPr>
        <w:t xml:space="preserve">cassation </w:t>
      </w:r>
      <w:r w:rsidR="00404038">
        <w:rPr>
          <w:szCs w:val="24"/>
          <w:lang w:eastAsia="en-GB"/>
        </w:rPr>
        <w:t>appeal</w:t>
      </w:r>
      <w:r w:rsidR="00D26B3B" w:rsidRPr="00700A27">
        <w:rPr>
          <w:szCs w:val="24"/>
          <w:lang w:eastAsia="en-GB"/>
        </w:rPr>
        <w:t xml:space="preserve">. The decision was taken by a single judge sitting </w:t>
      </w:r>
      <w:r w:rsidR="00D26B3B" w:rsidRPr="00700A27">
        <w:rPr>
          <w:i/>
          <w:szCs w:val="24"/>
          <w:lang w:eastAsia="en-GB"/>
        </w:rPr>
        <w:t>in camera</w:t>
      </w:r>
      <w:r w:rsidR="00D26B3B" w:rsidRPr="00700A27">
        <w:rPr>
          <w:szCs w:val="24"/>
          <w:lang w:eastAsia="en-GB"/>
        </w:rPr>
        <w:t>. The written reason</w:t>
      </w:r>
      <w:r w:rsidR="00D26B3B">
        <w:rPr>
          <w:szCs w:val="24"/>
          <w:lang w:eastAsia="en-GB"/>
        </w:rPr>
        <w:t>s</w:t>
      </w:r>
      <w:r w:rsidR="00D26B3B" w:rsidRPr="00700A27">
        <w:rPr>
          <w:szCs w:val="24"/>
          <w:lang w:eastAsia="en-GB"/>
        </w:rPr>
        <w:t xml:space="preserve"> provide</w:t>
      </w:r>
      <w:r w:rsidR="00D26B3B">
        <w:rPr>
          <w:szCs w:val="24"/>
          <w:lang w:eastAsia="en-GB"/>
        </w:rPr>
        <w:t>d</w:t>
      </w:r>
      <w:r w:rsidR="00D26B3B" w:rsidRPr="00700A27">
        <w:rPr>
          <w:szCs w:val="24"/>
          <w:lang w:eastAsia="en-GB"/>
        </w:rPr>
        <w:t xml:space="preserve"> as follows:</w:t>
      </w:r>
    </w:p>
    <w:p w:rsidR="00D26B3B" w:rsidRDefault="00D26B3B" w:rsidP="00D26B3B">
      <w:pPr>
        <w:pStyle w:val="JuQuot"/>
      </w:pPr>
      <w:r>
        <w:rPr>
          <w:szCs w:val="24"/>
          <w:lang w:eastAsia="en-GB"/>
        </w:rPr>
        <w:t xml:space="preserve">According to </w:t>
      </w:r>
      <w:r w:rsidRPr="00677DDE">
        <w:rPr>
          <w:color w:val="000000"/>
          <w:szCs w:val="24"/>
          <w:lang w:eastAsia="en-GB"/>
        </w:rPr>
        <w:t xml:space="preserve">Article </w:t>
      </w:r>
      <w:r>
        <w:rPr>
          <w:szCs w:val="24"/>
          <w:lang w:eastAsia="en-GB"/>
        </w:rPr>
        <w:t xml:space="preserve">393 of the </w:t>
      </w:r>
      <w:r w:rsidRPr="008E0D36">
        <w:rPr>
          <w:lang w:eastAsia="en-GB"/>
        </w:rPr>
        <w:t>Code of Civil Procedure</w:t>
      </w:r>
      <w:r>
        <w:rPr>
          <w:lang w:eastAsia="en-GB"/>
        </w:rPr>
        <w:t xml:space="preserve">, when the challenged </w:t>
      </w:r>
      <w:r w:rsidRPr="00CE6CB5">
        <w:t xml:space="preserve">judicial decision </w:t>
      </w:r>
      <w:r>
        <w:t xml:space="preserve">does not </w:t>
      </w:r>
      <w:r w:rsidRPr="00CE6CB5">
        <w:t xml:space="preserve">manifestly breach </w:t>
      </w:r>
      <w:r>
        <w:t xml:space="preserve">the </w:t>
      </w:r>
      <w:r w:rsidRPr="00CE6CB5">
        <w:t>law</w:t>
      </w:r>
      <w:r>
        <w:t xml:space="preserve"> or </w:t>
      </w:r>
      <w:r w:rsidRPr="00CE6CB5">
        <w:t xml:space="preserve">the proceedings </w:t>
      </w:r>
      <w:r>
        <w:t>are not</w:t>
      </w:r>
      <w:r w:rsidRPr="00CE6CB5">
        <w:t xml:space="preserve"> invalid </w:t>
      </w:r>
      <w:r>
        <w:t>in</w:t>
      </w:r>
      <w:r w:rsidRPr="00CE6CB5">
        <w:t xml:space="preserve"> law</w:t>
      </w:r>
      <w:r>
        <w:t xml:space="preserve"> (§ 2), the Supreme Court </w:t>
      </w:r>
      <w:r w:rsidRPr="00F21807">
        <w:t xml:space="preserve">may refuse to entertain </w:t>
      </w:r>
      <w:r>
        <w:t>a</w:t>
      </w:r>
      <w:r w:rsidRPr="00F21807">
        <w:t xml:space="preserve"> </w:t>
      </w:r>
      <w:bookmarkStart w:id="69" w:name="HIT17"/>
      <w:bookmarkEnd w:id="69"/>
      <w:r w:rsidRPr="00F21807">
        <w:t>cassation</w:t>
      </w:r>
      <w:r>
        <w:t xml:space="preserve"> appeal if </w:t>
      </w:r>
      <w:r w:rsidRPr="00CE6CB5">
        <w:t>there is no appearance of a significant legal issue in the case</w:t>
      </w:r>
      <w:r>
        <w:t xml:space="preserve">, </w:t>
      </w:r>
      <w:r w:rsidRPr="00CE6CB5">
        <w:t>there is no need for the interpretation of provisions raising serious doubts or causing discre</w:t>
      </w:r>
      <w:r>
        <w:t>pancies in the courts</w:t>
      </w:r>
      <w:r w:rsidR="00925F1F">
        <w:t>’</w:t>
      </w:r>
      <w:r>
        <w:t xml:space="preserve"> case-law or the </w:t>
      </w:r>
      <w:r>
        <w:rPr>
          <w:color w:val="000000"/>
          <w:szCs w:val="24"/>
          <w:lang w:eastAsia="en-GB"/>
        </w:rPr>
        <w:t xml:space="preserve">cassation appeal </w:t>
      </w:r>
      <w:r w:rsidRPr="00CE6CB5">
        <w:t>is manifestly ill-founded</w:t>
      </w:r>
      <w:r>
        <w:t xml:space="preserve"> (§ 1).</w:t>
      </w:r>
    </w:p>
    <w:p w:rsidR="00D26B3B" w:rsidRDefault="00D26B3B" w:rsidP="00D26B3B">
      <w:pPr>
        <w:pStyle w:val="JuQuot"/>
        <w:rPr>
          <w:color w:val="000000"/>
          <w:szCs w:val="24"/>
          <w:lang w:eastAsia="en-GB"/>
        </w:rPr>
      </w:pPr>
      <w:r>
        <w:t xml:space="preserve">In the present case none of </w:t>
      </w:r>
      <w:r w:rsidRPr="00FE2555">
        <w:t>the circumstances set out</w:t>
      </w:r>
      <w:r>
        <w:t xml:space="preserve"> in </w:t>
      </w:r>
      <w:r w:rsidRPr="00024D8A">
        <w:rPr>
          <w:color w:val="000000"/>
          <w:szCs w:val="24"/>
          <w:lang w:eastAsia="en-GB"/>
        </w:rPr>
        <w:t xml:space="preserve">Article </w:t>
      </w:r>
      <w:r>
        <w:t xml:space="preserve">393 § 2 </w:t>
      </w:r>
      <w:r w:rsidR="00D70BB8">
        <w:t>was</w:t>
      </w:r>
      <w:r>
        <w:t xml:space="preserve"> present and consequently the Supreme Court, having considered the grounds set out in § 1, found it justified to refuse to entertain the </w:t>
      </w:r>
      <w:r>
        <w:rPr>
          <w:color w:val="000000"/>
          <w:szCs w:val="24"/>
          <w:lang w:eastAsia="en-GB"/>
        </w:rPr>
        <w:t>cassation appeal.</w:t>
      </w:r>
    </w:p>
    <w:p w:rsidR="00D26B3B" w:rsidRDefault="00EF5866" w:rsidP="00D26B3B">
      <w:pPr>
        <w:pStyle w:val="JuPara"/>
        <w:rPr>
          <w:color w:val="000000"/>
        </w:rPr>
      </w:pPr>
      <w:r>
        <w:fldChar w:fldCharType="begin"/>
      </w:r>
      <w:r>
        <w:instrText xml:space="preserve"> SEQ level0 \*arabic </w:instrText>
      </w:r>
      <w:r>
        <w:fldChar w:fldCharType="separate"/>
      </w:r>
      <w:r w:rsidR="004373EA">
        <w:rPr>
          <w:noProof/>
        </w:rPr>
        <w:t>28</w:t>
      </w:r>
      <w:r>
        <w:fldChar w:fldCharType="end"/>
      </w:r>
      <w:r>
        <w:t>.  </w:t>
      </w:r>
      <w:r w:rsidR="00D26B3B" w:rsidRPr="00D13054">
        <w:t>On 8 March 2004 the applicant</w:t>
      </w:r>
      <w:r w:rsidR="00D26B3B">
        <w:t>s</w:t>
      </w:r>
      <w:r w:rsidR="00D26B3B" w:rsidRPr="00D13054">
        <w:t xml:space="preserve"> lodged a constitutional complaint</w:t>
      </w:r>
      <w:r w:rsidR="00D26B3B">
        <w:t xml:space="preserve"> with the </w:t>
      </w:r>
      <w:r w:rsidR="00D26B3B">
        <w:rPr>
          <w:color w:val="000000"/>
        </w:rPr>
        <w:t xml:space="preserve">Constitutional Court, alleging a breach of their right </w:t>
      </w:r>
      <w:r w:rsidR="00D70BB8">
        <w:rPr>
          <w:color w:val="000000"/>
        </w:rPr>
        <w:t xml:space="preserve">of access </w:t>
      </w:r>
      <w:r w:rsidR="00D26B3B">
        <w:rPr>
          <w:color w:val="000000"/>
        </w:rPr>
        <w:t xml:space="preserve">to court and to a fair hearing on account of an erroneous application of </w:t>
      </w:r>
      <w:r w:rsidR="00D26B3B" w:rsidRPr="00586919">
        <w:rPr>
          <w:color w:val="000000"/>
          <w:szCs w:val="24"/>
          <w:lang w:eastAsia="en-GB"/>
        </w:rPr>
        <w:t xml:space="preserve">Article </w:t>
      </w:r>
      <w:r w:rsidR="00D26B3B">
        <w:rPr>
          <w:color w:val="000000"/>
        </w:rPr>
        <w:t>393 of the Code of Civil Procedure.</w:t>
      </w:r>
    </w:p>
    <w:p w:rsidR="00D26B3B" w:rsidRDefault="00EF5866" w:rsidP="00D26B3B">
      <w:pPr>
        <w:pStyle w:val="JuPara"/>
        <w:rPr>
          <w:color w:val="000000"/>
        </w:rPr>
      </w:pPr>
      <w:r>
        <w:rPr>
          <w:color w:val="000000"/>
        </w:rPr>
        <w:fldChar w:fldCharType="begin"/>
      </w:r>
      <w:r>
        <w:rPr>
          <w:color w:val="000000"/>
        </w:rPr>
        <w:instrText xml:space="preserve"> SEQ level0 \*arabic </w:instrText>
      </w:r>
      <w:r>
        <w:rPr>
          <w:color w:val="000000"/>
        </w:rPr>
        <w:fldChar w:fldCharType="separate"/>
      </w:r>
      <w:r w:rsidR="004373EA">
        <w:rPr>
          <w:noProof/>
          <w:color w:val="000000"/>
        </w:rPr>
        <w:t>29</w:t>
      </w:r>
      <w:r>
        <w:rPr>
          <w:color w:val="000000"/>
        </w:rPr>
        <w:fldChar w:fldCharType="end"/>
      </w:r>
      <w:r>
        <w:rPr>
          <w:color w:val="000000"/>
        </w:rPr>
        <w:t>.  </w:t>
      </w:r>
      <w:r w:rsidR="00D26B3B">
        <w:rPr>
          <w:color w:val="000000"/>
        </w:rPr>
        <w:t xml:space="preserve">On 19 July 2005 the </w:t>
      </w:r>
      <w:smartTag w:uri="urn:schemas-microsoft-com:office:smarttags" w:element="Street">
        <w:smartTag w:uri="urn:schemas-microsoft-com:office:smarttags" w:element="address">
          <w:r w:rsidR="00D26B3B" w:rsidRPr="00586919">
            <w:rPr>
              <w:color w:val="000000"/>
            </w:rPr>
            <w:t>Constitutional Court</w:t>
          </w:r>
        </w:smartTag>
      </w:smartTag>
      <w:r w:rsidR="00D26B3B" w:rsidRPr="00586919">
        <w:rPr>
          <w:color w:val="000000"/>
        </w:rPr>
        <w:t xml:space="preserve"> </w:t>
      </w:r>
      <w:r w:rsidR="00D26B3B">
        <w:rPr>
          <w:color w:val="000000"/>
        </w:rPr>
        <w:t xml:space="preserve">discontinued the </w:t>
      </w:r>
      <w:r w:rsidR="00D26B3B" w:rsidRPr="00586919">
        <w:rPr>
          <w:color w:val="000000"/>
        </w:rPr>
        <w:t xml:space="preserve">proceedings </w:t>
      </w:r>
      <w:r w:rsidR="00D26B3B">
        <w:rPr>
          <w:color w:val="000000"/>
        </w:rPr>
        <w:t xml:space="preserve">on the grounds that it had already examined the same issue in its </w:t>
      </w:r>
      <w:r w:rsidR="00D26B3B" w:rsidRPr="00586919">
        <w:rPr>
          <w:color w:val="000000"/>
        </w:rPr>
        <w:t xml:space="preserve">judgment </w:t>
      </w:r>
      <w:r w:rsidR="00D26B3B">
        <w:rPr>
          <w:color w:val="000000"/>
        </w:rPr>
        <w:t>of 31 March 2005 (SK 26/02).</w:t>
      </w:r>
    </w:p>
    <w:p w:rsidR="005F39FE" w:rsidRDefault="00C41151" w:rsidP="00C41151">
      <w:pPr>
        <w:pStyle w:val="JuHA"/>
      </w:pPr>
      <w:r>
        <w:t>4.  </w:t>
      </w:r>
      <w:r w:rsidR="003160AC">
        <w:t>Proceedings under</w:t>
      </w:r>
      <w:r w:rsidR="005F39FE">
        <w:t xml:space="preserve"> </w:t>
      </w:r>
      <w:r w:rsidR="003160AC" w:rsidRPr="0028383C">
        <w:t xml:space="preserve">Article </w:t>
      </w:r>
      <w:r w:rsidR="003160AC">
        <w:t>7 of the 1945 Decree</w:t>
      </w:r>
    </w:p>
    <w:p w:rsidR="00D434A5" w:rsidRDefault="003160AC" w:rsidP="00670D54">
      <w:pPr>
        <w:pStyle w:val="JuPara"/>
      </w:pPr>
      <w:r>
        <w:fldChar w:fldCharType="begin"/>
      </w:r>
      <w:r>
        <w:instrText xml:space="preserve"> SEQ level0 \*arabic </w:instrText>
      </w:r>
      <w:r>
        <w:fldChar w:fldCharType="separate"/>
      </w:r>
      <w:r w:rsidR="004373EA">
        <w:rPr>
          <w:noProof/>
        </w:rPr>
        <w:t>30</w:t>
      </w:r>
      <w:r>
        <w:fldChar w:fldCharType="end"/>
      </w:r>
      <w:r>
        <w:t>.  </w:t>
      </w:r>
      <w:r w:rsidR="005F39FE">
        <w:t xml:space="preserve">On 3 March 2000 the applicants </w:t>
      </w:r>
      <w:r>
        <w:t>requested</w:t>
      </w:r>
      <w:r w:rsidR="005F39FE">
        <w:t xml:space="preserve"> the </w:t>
      </w:r>
      <w:r>
        <w:t>Mayor</w:t>
      </w:r>
      <w:r w:rsidR="005F39FE">
        <w:t xml:space="preserve"> of </w:t>
      </w:r>
      <w:r>
        <w:t>Warsaw</w:t>
      </w:r>
      <w:r w:rsidR="005F39FE">
        <w:t xml:space="preserve"> </w:t>
      </w:r>
      <w:r>
        <w:t xml:space="preserve">to grant </w:t>
      </w:r>
      <w:r w:rsidR="005F39FE">
        <w:t>them the right of perpetual</w:t>
      </w:r>
      <w:r>
        <w:t xml:space="preserve"> use of the remaining apartments which had not been sold. </w:t>
      </w:r>
      <w:r w:rsidR="005F39FE">
        <w:t xml:space="preserve">They relied on the decision of the </w:t>
      </w:r>
      <w:r>
        <w:t xml:space="preserve">Warsaw </w:t>
      </w:r>
      <w:r w:rsidR="005F39FE">
        <w:t xml:space="preserve">Local </w:t>
      </w:r>
      <w:r>
        <w:t>Government</w:t>
      </w:r>
      <w:r w:rsidR="005F39FE">
        <w:t xml:space="preserve"> Board of Appeal </w:t>
      </w:r>
      <w:r>
        <w:t>of 30 November 1999.</w:t>
      </w:r>
    </w:p>
    <w:p w:rsidR="00670D54" w:rsidRDefault="00670D54" w:rsidP="005F39FE">
      <w:pPr>
        <w:pStyle w:val="JuPara"/>
      </w:pPr>
      <w:r>
        <w:fldChar w:fldCharType="begin"/>
      </w:r>
      <w:r>
        <w:instrText xml:space="preserve"> SEQ level0 \*arabic </w:instrText>
      </w:r>
      <w:r>
        <w:fldChar w:fldCharType="separate"/>
      </w:r>
      <w:r w:rsidR="004373EA">
        <w:rPr>
          <w:noProof/>
        </w:rPr>
        <w:t>31</w:t>
      </w:r>
      <w:r>
        <w:fldChar w:fldCharType="end"/>
      </w:r>
      <w:r>
        <w:t>.  </w:t>
      </w:r>
      <w:r w:rsidRPr="008C122B">
        <w:t xml:space="preserve">On 25 April 2002 </w:t>
      </w:r>
      <w:r>
        <w:t>the applicants</w:t>
      </w:r>
      <w:r w:rsidR="00925F1F">
        <w:t>’</w:t>
      </w:r>
      <w:r w:rsidRPr="008C122B">
        <w:t xml:space="preserve"> </w:t>
      </w:r>
      <w:r>
        <w:t>lawyer</w:t>
      </w:r>
      <w:r w:rsidRPr="008C122B">
        <w:t xml:space="preserve"> submitted a c</w:t>
      </w:r>
      <w:r>
        <w:t>e</w:t>
      </w:r>
      <w:r w:rsidRPr="008C122B">
        <w:t>rtif</w:t>
      </w:r>
      <w:r>
        <w:t>i</w:t>
      </w:r>
      <w:r w:rsidRPr="008C122B">
        <w:t>ca</w:t>
      </w:r>
      <w:r>
        <w:t>te</w:t>
      </w:r>
      <w:r w:rsidRPr="008C122B">
        <w:t xml:space="preserve"> of </w:t>
      </w:r>
      <w:r>
        <w:t xml:space="preserve">the </w:t>
      </w:r>
      <w:r w:rsidRPr="008C122B">
        <w:t>mortgage writer (</w:t>
      </w:r>
      <w:r w:rsidRPr="00670D54">
        <w:rPr>
          <w:i/>
        </w:rPr>
        <w:t>pisarz hipoteczny</w:t>
      </w:r>
      <w:r>
        <w:t>) of 24 November 1937 certif</w:t>
      </w:r>
      <w:r w:rsidRPr="008C122B">
        <w:t xml:space="preserve">ying the ownership </w:t>
      </w:r>
      <w:r>
        <w:t>title of F.P.</w:t>
      </w:r>
      <w:r w:rsidRPr="008C122B">
        <w:t xml:space="preserve"> on that day.</w:t>
      </w:r>
    </w:p>
    <w:p w:rsidR="00F71A6A" w:rsidRDefault="00670D54" w:rsidP="005F39FE">
      <w:pPr>
        <w:pStyle w:val="JuPara"/>
      </w:pPr>
      <w:r>
        <w:fldChar w:fldCharType="begin"/>
      </w:r>
      <w:r>
        <w:instrText xml:space="preserve"> SEQ level0 \*arabic </w:instrText>
      </w:r>
      <w:r>
        <w:fldChar w:fldCharType="separate"/>
      </w:r>
      <w:r w:rsidR="004373EA">
        <w:rPr>
          <w:noProof/>
        </w:rPr>
        <w:t>32</w:t>
      </w:r>
      <w:r>
        <w:fldChar w:fldCharType="end"/>
      </w:r>
      <w:r>
        <w:t>.  </w:t>
      </w:r>
      <w:r w:rsidR="005F39FE">
        <w:t xml:space="preserve">The </w:t>
      </w:r>
      <w:r w:rsidR="003160AC">
        <w:t>proceedings are pending</w:t>
      </w:r>
      <w:r w:rsidR="005F39FE">
        <w:t>.</w:t>
      </w:r>
    </w:p>
    <w:p w:rsidR="007352DD" w:rsidRDefault="007352DD" w:rsidP="00D264D4">
      <w:pPr>
        <w:pStyle w:val="JuHIRoman"/>
        <w:outlineLvl w:val="0"/>
      </w:pPr>
      <w:r w:rsidRPr="004E657D">
        <w:t xml:space="preserve">II. RELEVANT DOMESTIC LAW </w:t>
      </w:r>
      <w:r w:rsidR="00A15138">
        <w:t>AND PRACTICE</w:t>
      </w:r>
    </w:p>
    <w:p w:rsidR="003966A9" w:rsidRDefault="00C41151" w:rsidP="00C41151">
      <w:pPr>
        <w:pStyle w:val="JuHA"/>
        <w:rPr>
          <w:lang w:eastAsia="en-GB"/>
        </w:rPr>
      </w:pPr>
      <w:r>
        <w:rPr>
          <w:lang w:eastAsia="en-GB"/>
        </w:rPr>
        <w:t>1.  </w:t>
      </w:r>
      <w:r w:rsidR="003966A9">
        <w:rPr>
          <w:lang w:eastAsia="en-GB"/>
        </w:rPr>
        <w:t xml:space="preserve">Relevant provisions concerning a </w:t>
      </w:r>
      <w:r w:rsidR="003966A9" w:rsidRPr="005B535B">
        <w:rPr>
          <w:szCs w:val="24"/>
          <w:lang w:eastAsia="en-GB"/>
        </w:rPr>
        <w:t xml:space="preserve">cassation </w:t>
      </w:r>
      <w:r w:rsidR="00D70BB8">
        <w:rPr>
          <w:szCs w:val="24"/>
          <w:lang w:eastAsia="en-GB"/>
        </w:rPr>
        <w:t>appeal</w:t>
      </w:r>
    </w:p>
    <w:p w:rsidR="003966A9" w:rsidRDefault="00032268" w:rsidP="003966A9">
      <w:pPr>
        <w:pStyle w:val="JuPara"/>
      </w:pPr>
      <w:r>
        <w:fldChar w:fldCharType="begin"/>
      </w:r>
      <w:r>
        <w:instrText xml:space="preserve"> SEQ level0 \*arabic </w:instrText>
      </w:r>
      <w:r>
        <w:fldChar w:fldCharType="separate"/>
      </w:r>
      <w:r w:rsidR="004373EA">
        <w:rPr>
          <w:noProof/>
        </w:rPr>
        <w:t>33</w:t>
      </w:r>
      <w:r>
        <w:fldChar w:fldCharType="end"/>
      </w:r>
      <w:r>
        <w:t>.  </w:t>
      </w:r>
      <w:r w:rsidR="003966A9">
        <w:t>A party to civil proceedings could, at the material time, lodge a cassation appeal with the Supreme Court against a judicial decision of a second</w:t>
      </w:r>
      <w:r w:rsidR="003966A9">
        <w:noBreakHyphen/>
        <w:t>instance court.</w:t>
      </w:r>
      <w:r w:rsidR="003966A9" w:rsidRPr="0010144C">
        <w:t xml:space="preserve"> </w:t>
      </w:r>
      <w:r w:rsidR="003966A9">
        <w:rPr>
          <w:lang w:eastAsia="en-GB"/>
        </w:rPr>
        <w:t xml:space="preserve">A party had to be represented by </w:t>
      </w:r>
      <w:r w:rsidR="003966A9" w:rsidRPr="008F53AB">
        <w:t xml:space="preserve">an advocate or a </w:t>
      </w:r>
      <w:r w:rsidR="003966A9">
        <w:t>legal adviser.</w:t>
      </w:r>
    </w:p>
    <w:p w:rsidR="003966A9" w:rsidRPr="00CE6CB5" w:rsidRDefault="00032268" w:rsidP="003966A9">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4373EA">
        <w:rPr>
          <w:noProof/>
          <w:lang w:eastAsia="en-GB"/>
        </w:rPr>
        <w:t>34</w:t>
      </w:r>
      <w:r>
        <w:rPr>
          <w:lang w:eastAsia="en-GB"/>
        </w:rPr>
        <w:fldChar w:fldCharType="end"/>
      </w:r>
      <w:r>
        <w:rPr>
          <w:lang w:eastAsia="en-GB"/>
        </w:rPr>
        <w:t>.  </w:t>
      </w:r>
      <w:r w:rsidR="003966A9" w:rsidRPr="00CE6CB5">
        <w:rPr>
          <w:lang w:eastAsia="en-GB"/>
        </w:rPr>
        <w:t>Article 393</w:t>
      </w:r>
      <w:r w:rsidR="003966A9" w:rsidRPr="00CE6CB5">
        <w:rPr>
          <w:vertAlign w:val="superscript"/>
          <w:lang w:eastAsia="en-GB"/>
        </w:rPr>
        <w:t>1</w:t>
      </w:r>
      <w:r w:rsidR="003966A9" w:rsidRPr="00CE6CB5">
        <w:rPr>
          <w:lang w:eastAsia="en-GB"/>
        </w:rPr>
        <w:t xml:space="preserve"> of the Code</w:t>
      </w:r>
      <w:r w:rsidR="003966A9">
        <w:rPr>
          <w:lang w:eastAsia="en-GB"/>
        </w:rPr>
        <w:t xml:space="preserve"> of Civil Procedure</w:t>
      </w:r>
      <w:r w:rsidR="003966A9" w:rsidRPr="00CE6CB5">
        <w:rPr>
          <w:lang w:eastAsia="en-GB"/>
        </w:rPr>
        <w:t xml:space="preserve"> as applicable at that time listed the grounds on which a cassation appeal could be lodged. It read as follows:</w:t>
      </w:r>
    </w:p>
    <w:p w:rsidR="003966A9" w:rsidRPr="00CE6CB5" w:rsidRDefault="003966A9" w:rsidP="003966A9">
      <w:pPr>
        <w:pStyle w:val="JuQuot"/>
        <w:spacing w:before="60" w:after="60"/>
      </w:pPr>
      <w:r w:rsidRPr="00CE6CB5">
        <w:t>“The cassation appeal may be based on the following grounds:</w:t>
      </w:r>
    </w:p>
    <w:p w:rsidR="003966A9" w:rsidRPr="00CE6CB5" w:rsidRDefault="003966A9" w:rsidP="003966A9">
      <w:pPr>
        <w:pStyle w:val="JuQuot"/>
        <w:spacing w:before="60" w:after="60"/>
      </w:pPr>
      <w:r w:rsidRPr="00CE6CB5">
        <w:t xml:space="preserve">1)  a breach of substantive law </w:t>
      </w:r>
      <w:r>
        <w:t>as a result of</w:t>
      </w:r>
      <w:r w:rsidRPr="00CE6CB5">
        <w:t xml:space="preserve"> its erroneous interpretation or wrongful application;</w:t>
      </w:r>
    </w:p>
    <w:p w:rsidR="003966A9" w:rsidRPr="00CE6CB5" w:rsidRDefault="003966A9" w:rsidP="003966A9">
      <w:pPr>
        <w:pStyle w:val="JuQuot"/>
        <w:spacing w:before="60" w:after="60"/>
      </w:pPr>
      <w:r w:rsidRPr="00CE6CB5">
        <w:t>2)  a breach of procedural provisions, if that defect could significantly affect the outcome of the case.”</w:t>
      </w:r>
    </w:p>
    <w:p w:rsidR="003966A9" w:rsidRPr="00CE6CB5" w:rsidRDefault="00032268" w:rsidP="003966A9">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4373EA">
        <w:rPr>
          <w:noProof/>
          <w:lang w:eastAsia="en-GB"/>
        </w:rPr>
        <w:t>35</w:t>
      </w:r>
      <w:r>
        <w:rPr>
          <w:lang w:eastAsia="en-GB"/>
        </w:rPr>
        <w:fldChar w:fldCharType="end"/>
      </w:r>
      <w:r>
        <w:rPr>
          <w:lang w:eastAsia="en-GB"/>
        </w:rPr>
        <w:t>.  </w:t>
      </w:r>
      <w:r w:rsidR="003966A9" w:rsidRPr="00CE6CB5">
        <w:rPr>
          <w:lang w:eastAsia="en-GB"/>
        </w:rPr>
        <w:t>Article 393</w:t>
      </w:r>
      <w:r w:rsidR="003966A9" w:rsidRPr="00CE6CB5">
        <w:rPr>
          <w:vertAlign w:val="superscript"/>
          <w:lang w:eastAsia="en-GB"/>
        </w:rPr>
        <w:t>3</w:t>
      </w:r>
      <w:r w:rsidR="003966A9" w:rsidRPr="00CE6CB5">
        <w:rPr>
          <w:lang w:eastAsia="en-GB"/>
        </w:rPr>
        <w:t xml:space="preserve"> specified the requirements of a cassation appeal. It read in its relevant part:</w:t>
      </w:r>
    </w:p>
    <w:p w:rsidR="003966A9" w:rsidRPr="00CE6CB5" w:rsidRDefault="003966A9" w:rsidP="003966A9">
      <w:pPr>
        <w:pStyle w:val="JuQuot"/>
        <w:spacing w:before="60" w:after="60"/>
      </w:pPr>
      <w:r w:rsidRPr="00CE6CB5">
        <w:t>“§ 1.  A cassation appeal should include:</w:t>
      </w:r>
    </w:p>
    <w:p w:rsidR="003966A9" w:rsidRPr="00CE6CB5" w:rsidRDefault="003966A9" w:rsidP="003966A9">
      <w:pPr>
        <w:pStyle w:val="JuQuot"/>
        <w:spacing w:before="60" w:after="60"/>
      </w:pPr>
      <w:r w:rsidRPr="00CE6CB5">
        <w:t>1)  an indication of the decision under appeal together with information as to whether the appeal is lodged against this decision in its entirety or in part only;</w:t>
      </w:r>
    </w:p>
    <w:p w:rsidR="003966A9" w:rsidRPr="00CE6CB5" w:rsidRDefault="003966A9" w:rsidP="003966A9">
      <w:pPr>
        <w:pStyle w:val="JuQuot"/>
        <w:spacing w:before="60" w:after="60"/>
      </w:pPr>
      <w:r w:rsidRPr="00CE6CB5">
        <w:t>2)  an indication of the grounds for the cassation appeal;</w:t>
      </w:r>
    </w:p>
    <w:p w:rsidR="003966A9" w:rsidRPr="00CE6CB5" w:rsidRDefault="003966A9" w:rsidP="003966A9">
      <w:pPr>
        <w:pStyle w:val="JuQuot"/>
        <w:spacing w:before="60" w:after="60"/>
      </w:pPr>
      <w:r w:rsidRPr="00CE6CB5">
        <w:t>3)  arguments showing that its examination would be justified;</w:t>
      </w:r>
    </w:p>
    <w:p w:rsidR="003966A9" w:rsidRPr="00CE6CB5" w:rsidRDefault="003966A9" w:rsidP="003966A9">
      <w:pPr>
        <w:pStyle w:val="JuQuot"/>
        <w:spacing w:before="60" w:after="60"/>
      </w:pPr>
      <w:r w:rsidRPr="00CE6CB5">
        <w:t>4)  a motion to have the decision under appeal quashed or amended, specifying also the scope of the motion.”</w:t>
      </w:r>
    </w:p>
    <w:p w:rsidR="003966A9" w:rsidRDefault="00032268" w:rsidP="003966A9">
      <w:pPr>
        <w:pStyle w:val="JuPara"/>
      </w:pPr>
      <w:r>
        <w:fldChar w:fldCharType="begin"/>
      </w:r>
      <w:r>
        <w:instrText xml:space="preserve"> SEQ level0 \*arabic </w:instrText>
      </w:r>
      <w:r>
        <w:fldChar w:fldCharType="separate"/>
      </w:r>
      <w:r w:rsidR="004373EA">
        <w:rPr>
          <w:noProof/>
        </w:rPr>
        <w:t>36</w:t>
      </w:r>
      <w:r>
        <w:fldChar w:fldCharType="end"/>
      </w:r>
      <w:r>
        <w:t>.  </w:t>
      </w:r>
      <w:r w:rsidR="003966A9" w:rsidRPr="00CE6CB5">
        <w:t xml:space="preserve">Pursuant to Article </w:t>
      </w:r>
      <w:bookmarkStart w:id="70" w:name="HIT12"/>
      <w:bookmarkEnd w:id="70"/>
      <w:r w:rsidR="003966A9" w:rsidRPr="00CE6CB5">
        <w:t xml:space="preserve">393¹³ the Supreme Court, having allowed a </w:t>
      </w:r>
      <w:bookmarkStart w:id="71" w:name="HIT13"/>
      <w:bookmarkEnd w:id="71"/>
      <w:r w:rsidR="003966A9" w:rsidRPr="00CE6CB5">
        <w:t xml:space="preserve">cassation appeal, </w:t>
      </w:r>
      <w:r w:rsidR="003966A9">
        <w:t>could</w:t>
      </w:r>
      <w:r w:rsidR="003966A9" w:rsidRPr="00CE6CB5">
        <w:t xml:space="preserve"> quash the challenged judgment in its entirety or in part and remit the case for re-examination. Where the Supreme Court fail</w:t>
      </w:r>
      <w:r w:rsidR="003966A9">
        <w:t>ed</w:t>
      </w:r>
      <w:r w:rsidR="003966A9" w:rsidRPr="00CE6CB5">
        <w:t xml:space="preserve"> to find non-conformity with the law, it dismisse</w:t>
      </w:r>
      <w:r w:rsidR="003966A9">
        <w:t>d</w:t>
      </w:r>
      <w:r w:rsidR="003966A9" w:rsidRPr="00CE6CB5">
        <w:t xml:space="preserve"> the cassation</w:t>
      </w:r>
      <w:r w:rsidR="005B4E70">
        <w:t xml:space="preserve"> appeal</w:t>
      </w:r>
      <w:r w:rsidR="003966A9" w:rsidRPr="00CE6CB5">
        <w:t>.</w:t>
      </w:r>
    </w:p>
    <w:p w:rsidR="003966A9" w:rsidRDefault="00032268" w:rsidP="003966A9">
      <w:pPr>
        <w:pStyle w:val="JuPara"/>
      </w:pPr>
      <w:r>
        <w:fldChar w:fldCharType="begin"/>
      </w:r>
      <w:r>
        <w:instrText xml:space="preserve"> SEQ level0 \*arabic </w:instrText>
      </w:r>
      <w:r>
        <w:fldChar w:fldCharType="separate"/>
      </w:r>
      <w:r w:rsidR="004373EA">
        <w:rPr>
          <w:noProof/>
        </w:rPr>
        <w:t>37</w:t>
      </w:r>
      <w:r>
        <w:fldChar w:fldCharType="end"/>
      </w:r>
      <w:r>
        <w:t>.  </w:t>
      </w:r>
      <w:r w:rsidR="003966A9">
        <w:t xml:space="preserve">Pursuant to </w:t>
      </w:r>
      <w:r w:rsidR="003966A9" w:rsidRPr="00CE6CB5">
        <w:rPr>
          <w:sz w:val="22"/>
        </w:rPr>
        <w:t xml:space="preserve">Article </w:t>
      </w:r>
      <w:r w:rsidR="003966A9" w:rsidRPr="00CE6CB5">
        <w:t>393</w:t>
      </w:r>
      <w:r w:rsidR="00A13D89">
        <w:rPr>
          <w:vertAlign w:val="superscript"/>
        </w:rPr>
        <w:t>7</w:t>
      </w:r>
      <w:r w:rsidR="003966A9">
        <w:rPr>
          <w:vertAlign w:val="superscript"/>
        </w:rPr>
        <w:t xml:space="preserve"> </w:t>
      </w:r>
      <w:r w:rsidR="003966A9" w:rsidRPr="00CE6CB5">
        <w:t>a cassation</w:t>
      </w:r>
      <w:r w:rsidR="003966A9">
        <w:t xml:space="preserve"> appeal, in principle, </w:t>
      </w:r>
      <w:r w:rsidR="003966A9" w:rsidRPr="00CE6CB5">
        <w:t>was examined during a hea</w:t>
      </w:r>
      <w:r w:rsidR="003966A9">
        <w:t>ring by a panel of three judges</w:t>
      </w:r>
      <w:r w:rsidR="003966A9" w:rsidRPr="00CE6CB5">
        <w:t xml:space="preserve">; the court </w:t>
      </w:r>
      <w:r w:rsidR="003966A9">
        <w:t xml:space="preserve">could, however, </w:t>
      </w:r>
      <w:r w:rsidR="003966A9" w:rsidRPr="00CE6CB5">
        <w:t xml:space="preserve">reject </w:t>
      </w:r>
      <w:r w:rsidR="003966A9">
        <w:t>a</w:t>
      </w:r>
      <w:r w:rsidR="003966A9" w:rsidRPr="00CE6CB5">
        <w:t xml:space="preserve"> </w:t>
      </w:r>
      <w:r w:rsidR="003966A9" w:rsidRPr="00CE6CB5">
        <w:rPr>
          <w:color w:val="000000"/>
          <w:lang w:eastAsia="en-GB"/>
        </w:rPr>
        <w:t xml:space="preserve">cassation </w:t>
      </w:r>
      <w:r w:rsidR="003966A9">
        <w:rPr>
          <w:color w:val="000000"/>
          <w:lang w:eastAsia="en-GB"/>
        </w:rPr>
        <w:t xml:space="preserve">appeal </w:t>
      </w:r>
      <w:r w:rsidR="003966A9" w:rsidRPr="00CE6CB5">
        <w:rPr>
          <w:color w:val="000000"/>
          <w:lang w:eastAsia="en-GB"/>
        </w:rPr>
        <w:t>on formal grounds</w:t>
      </w:r>
      <w:r w:rsidR="003966A9">
        <w:rPr>
          <w:color w:val="000000"/>
          <w:lang w:eastAsia="en-GB"/>
        </w:rPr>
        <w:t xml:space="preserve"> </w:t>
      </w:r>
      <w:r w:rsidR="003966A9" w:rsidRPr="00CE6CB5">
        <w:rPr>
          <w:color w:val="000000"/>
          <w:lang w:eastAsia="en-GB"/>
        </w:rPr>
        <w:t xml:space="preserve">at a sitting. The </w:t>
      </w:r>
      <w:r w:rsidR="003966A9" w:rsidRPr="00CE6CB5">
        <w:t xml:space="preserve">judgment or decision </w:t>
      </w:r>
      <w:r w:rsidR="005B4E70">
        <w:t>had to</w:t>
      </w:r>
      <w:r w:rsidR="003966A9">
        <w:t xml:space="preserve"> be </w:t>
      </w:r>
      <w:r w:rsidR="003966A9" w:rsidRPr="00CE6CB5">
        <w:t>accompanied by written reason</w:t>
      </w:r>
      <w:r w:rsidR="003966A9">
        <w:t>s</w:t>
      </w:r>
      <w:r w:rsidR="003966A9" w:rsidRPr="00CE6CB5">
        <w:t>.</w:t>
      </w:r>
    </w:p>
    <w:p w:rsidR="003966A9" w:rsidRDefault="00032268" w:rsidP="003966A9">
      <w:pPr>
        <w:pStyle w:val="JuPara"/>
        <w:rPr>
          <w:szCs w:val="24"/>
        </w:rPr>
      </w:pPr>
      <w:r>
        <w:fldChar w:fldCharType="begin"/>
      </w:r>
      <w:r>
        <w:instrText xml:space="preserve"> SEQ level0 \*arabic </w:instrText>
      </w:r>
      <w:r>
        <w:fldChar w:fldCharType="separate"/>
      </w:r>
      <w:r w:rsidR="004373EA">
        <w:rPr>
          <w:noProof/>
        </w:rPr>
        <w:t>38</w:t>
      </w:r>
      <w:r>
        <w:fldChar w:fldCharType="end"/>
      </w:r>
      <w:r>
        <w:t>.  </w:t>
      </w:r>
      <w:r w:rsidR="003966A9" w:rsidRPr="00CE6CB5">
        <w:t xml:space="preserve">On 24 May 2000 a law was enacted amending the </w:t>
      </w:r>
      <w:bookmarkStart w:id="72" w:name="HIT14"/>
      <w:bookmarkEnd w:id="72"/>
      <w:r w:rsidR="003966A9" w:rsidRPr="0089339B">
        <w:t xml:space="preserve">Code of </w:t>
      </w:r>
      <w:bookmarkStart w:id="73" w:name="HIT15"/>
      <w:bookmarkEnd w:id="73"/>
      <w:r w:rsidR="003966A9" w:rsidRPr="0089339B">
        <w:t xml:space="preserve">Civil </w:t>
      </w:r>
      <w:bookmarkStart w:id="74" w:name="HIT16"/>
      <w:bookmarkEnd w:id="74"/>
      <w:r w:rsidR="003966A9" w:rsidRPr="0089339B">
        <w:t xml:space="preserve">Procedure. It entered into force on 1 July 2000. It introduced, </w:t>
      </w:r>
      <w:r w:rsidR="003966A9" w:rsidRPr="0089339B">
        <w:rPr>
          <w:rStyle w:val="ju-005fpara--char"/>
          <w:i/>
          <w:iCs/>
        </w:rPr>
        <w:t>inter alia</w:t>
      </w:r>
      <w:r w:rsidR="003966A9" w:rsidRPr="0089339B">
        <w:t>, the following provision (</w:t>
      </w:r>
      <w:r w:rsidR="003966A9" w:rsidRPr="0089339B">
        <w:rPr>
          <w:szCs w:val="24"/>
        </w:rPr>
        <w:t xml:space="preserve">amended Article 393) – </w:t>
      </w:r>
      <w:r w:rsidR="003966A9">
        <w:rPr>
          <w:szCs w:val="24"/>
        </w:rPr>
        <w:t>the so-</w:t>
      </w:r>
      <w:r w:rsidR="003966A9" w:rsidRPr="0089339B">
        <w:rPr>
          <w:szCs w:val="24"/>
        </w:rPr>
        <w:t>called “pre</w:t>
      </w:r>
      <w:r w:rsidR="005B4E70">
        <w:rPr>
          <w:szCs w:val="24"/>
        </w:rPr>
        <w:t>-</w:t>
      </w:r>
      <w:r w:rsidR="003966A9" w:rsidRPr="0089339B">
        <w:rPr>
          <w:szCs w:val="24"/>
        </w:rPr>
        <w:t>judgment”</w:t>
      </w:r>
      <w:r w:rsidR="00F608A4" w:rsidRPr="00F608A4">
        <w:rPr>
          <w:color w:val="000000"/>
          <w:szCs w:val="24"/>
          <w:lang w:eastAsia="en-GB"/>
        </w:rPr>
        <w:t xml:space="preserve"> </w:t>
      </w:r>
      <w:r w:rsidR="00F608A4">
        <w:rPr>
          <w:color w:val="000000"/>
          <w:szCs w:val="24"/>
          <w:lang w:eastAsia="en-GB"/>
        </w:rPr>
        <w:t>(preliminary assessment of a cassation appeal)</w:t>
      </w:r>
      <w:r w:rsidR="003966A9" w:rsidRPr="0089339B">
        <w:rPr>
          <w:szCs w:val="24"/>
        </w:rPr>
        <w:t>:</w:t>
      </w:r>
    </w:p>
    <w:p w:rsidR="003966A9" w:rsidRPr="00CE6CB5" w:rsidRDefault="003966A9" w:rsidP="003966A9">
      <w:pPr>
        <w:pStyle w:val="JuQuot"/>
        <w:keepLines/>
        <w:spacing w:before="60" w:after="60"/>
      </w:pPr>
      <w:r w:rsidRPr="00CE6CB5">
        <w:t>“</w:t>
      </w:r>
      <w:r>
        <w:t xml:space="preserve">§ </w:t>
      </w:r>
      <w:r w:rsidRPr="00CE6CB5">
        <w:t xml:space="preserve">1. The Supreme </w:t>
      </w:r>
      <w:r w:rsidRPr="00FF1238">
        <w:t>Court may refuse to entertain the cassation appeal</w:t>
      </w:r>
      <w:r w:rsidRPr="00CE6CB5">
        <w:t>, if:</w:t>
      </w:r>
    </w:p>
    <w:p w:rsidR="003966A9" w:rsidRPr="00CE6CB5" w:rsidRDefault="003966A9" w:rsidP="003966A9">
      <w:pPr>
        <w:pStyle w:val="JuQuot"/>
        <w:keepLines/>
        <w:spacing w:before="60" w:after="60"/>
        <w:ind w:left="720"/>
      </w:pPr>
      <w:r w:rsidRPr="00CE6CB5">
        <w:t>1)</w:t>
      </w:r>
      <w:r>
        <w:t xml:space="preserve"> </w:t>
      </w:r>
      <w:r w:rsidRPr="00CE6CB5">
        <w:t>there is no appearance of any significant legal issue in the case,</w:t>
      </w:r>
    </w:p>
    <w:p w:rsidR="003966A9" w:rsidRPr="00CE6CB5" w:rsidRDefault="003966A9" w:rsidP="003966A9">
      <w:pPr>
        <w:pStyle w:val="JuQuot"/>
        <w:keepLines/>
        <w:spacing w:before="60" w:after="60"/>
        <w:ind w:left="851" w:firstLine="11"/>
      </w:pPr>
      <w:r w:rsidRPr="00CE6CB5">
        <w:t>2) there is no need for the interpretation of provisions raising serious doubts or causing discrepancies in the courts</w:t>
      </w:r>
      <w:r w:rsidR="00925F1F">
        <w:t>’</w:t>
      </w:r>
      <w:r w:rsidRPr="00CE6CB5">
        <w:t xml:space="preserve"> case-law,</w:t>
      </w:r>
    </w:p>
    <w:p w:rsidR="003966A9" w:rsidRPr="00CE6CB5" w:rsidRDefault="003966A9" w:rsidP="003966A9">
      <w:pPr>
        <w:pStyle w:val="JuQuot"/>
        <w:keepLines/>
        <w:spacing w:before="60" w:after="60"/>
        <w:ind w:left="720"/>
      </w:pPr>
      <w:r w:rsidRPr="00CE6CB5">
        <w:t xml:space="preserve">3) </w:t>
      </w:r>
      <w:r w:rsidR="005B4E70">
        <w:t>the</w:t>
      </w:r>
      <w:r w:rsidRPr="00CE6CB5">
        <w:t xml:space="preserve"> appeal is manifestly ill-founded.</w:t>
      </w:r>
    </w:p>
    <w:p w:rsidR="003966A9" w:rsidRPr="00CE6CB5" w:rsidRDefault="003966A9" w:rsidP="003966A9">
      <w:pPr>
        <w:pStyle w:val="JuQuot"/>
        <w:keepLines/>
        <w:spacing w:before="60" w:after="60"/>
      </w:pPr>
      <w:r>
        <w:t xml:space="preserve">§ </w:t>
      </w:r>
      <w:r w:rsidRPr="00CE6CB5">
        <w:t>2. Paragraph 1 shall not apply if the challenged judicial decision manifestly breached law or when the proceedings are invalid at law.”</w:t>
      </w:r>
    </w:p>
    <w:p w:rsidR="003966A9" w:rsidRDefault="00032268" w:rsidP="003966A9">
      <w:pPr>
        <w:pStyle w:val="JuPara"/>
        <w:rPr>
          <w:szCs w:val="24"/>
        </w:rPr>
      </w:pPr>
      <w:r>
        <w:fldChar w:fldCharType="begin"/>
      </w:r>
      <w:r>
        <w:instrText xml:space="preserve"> SEQ level0 \*arabic </w:instrText>
      </w:r>
      <w:r>
        <w:fldChar w:fldCharType="separate"/>
      </w:r>
      <w:r w:rsidR="004373EA">
        <w:rPr>
          <w:noProof/>
        </w:rPr>
        <w:t>39</w:t>
      </w:r>
      <w:r>
        <w:fldChar w:fldCharType="end"/>
      </w:r>
      <w:r>
        <w:t>.  </w:t>
      </w:r>
      <w:r w:rsidR="003966A9" w:rsidRPr="00CE6CB5">
        <w:t xml:space="preserve">Pursuant to </w:t>
      </w:r>
      <w:r w:rsidR="003966A9" w:rsidRPr="00FB40F8">
        <w:t xml:space="preserve">amended </w:t>
      </w:r>
      <w:r w:rsidR="003966A9" w:rsidRPr="00FB40F8">
        <w:rPr>
          <w:sz w:val="22"/>
        </w:rPr>
        <w:t xml:space="preserve">Article </w:t>
      </w:r>
      <w:r w:rsidR="003966A9" w:rsidRPr="00FB40F8">
        <w:t>393</w:t>
      </w:r>
      <w:r w:rsidR="003966A9" w:rsidRPr="00FB40F8">
        <w:rPr>
          <w:vertAlign w:val="superscript"/>
        </w:rPr>
        <w:t xml:space="preserve">7 </w:t>
      </w:r>
      <w:r w:rsidR="003966A9" w:rsidRPr="00FB40F8">
        <w:t xml:space="preserve">the decision to refuse to entertain </w:t>
      </w:r>
      <w:r w:rsidR="00CD22DB">
        <w:t>a</w:t>
      </w:r>
      <w:r w:rsidR="003966A9" w:rsidRPr="00FB40F8">
        <w:t xml:space="preserve"> </w:t>
      </w:r>
      <w:r w:rsidR="003966A9" w:rsidRPr="00FB40F8">
        <w:rPr>
          <w:color w:val="000000"/>
        </w:rPr>
        <w:t xml:space="preserve">cassation appeal </w:t>
      </w:r>
      <w:r w:rsidR="003966A9" w:rsidRPr="00FB40F8">
        <w:t xml:space="preserve">or to reject it on formal grounds could be taken </w:t>
      </w:r>
      <w:r w:rsidR="003966A9" w:rsidRPr="003A356F">
        <w:rPr>
          <w:i/>
          <w:szCs w:val="24"/>
        </w:rPr>
        <w:t>in camera</w:t>
      </w:r>
      <w:r w:rsidR="003966A9" w:rsidRPr="003A356F">
        <w:rPr>
          <w:szCs w:val="24"/>
        </w:rPr>
        <w:t>, in a single judge formation</w:t>
      </w:r>
      <w:r w:rsidR="003966A9">
        <w:rPr>
          <w:szCs w:val="24"/>
        </w:rPr>
        <w:t>.</w:t>
      </w:r>
    </w:p>
    <w:p w:rsidR="003966A9" w:rsidRDefault="00032268" w:rsidP="003966A9">
      <w:pPr>
        <w:pStyle w:val="JuPara"/>
      </w:pPr>
      <w:r>
        <w:fldChar w:fldCharType="begin"/>
      </w:r>
      <w:r>
        <w:instrText xml:space="preserve"> SEQ level0 \*arabic </w:instrText>
      </w:r>
      <w:r>
        <w:fldChar w:fldCharType="separate"/>
      </w:r>
      <w:r w:rsidR="004373EA">
        <w:rPr>
          <w:noProof/>
        </w:rPr>
        <w:t>40</w:t>
      </w:r>
      <w:r>
        <w:fldChar w:fldCharType="end"/>
      </w:r>
      <w:r>
        <w:t>.  </w:t>
      </w:r>
      <w:r w:rsidR="003966A9" w:rsidRPr="00CE6CB5">
        <w:t xml:space="preserve">Although the legal provisions did not expressly provide for such a possibility, usually </w:t>
      </w:r>
      <w:r w:rsidR="003966A9" w:rsidRPr="006A51CB">
        <w:t>the written reasons accompanying such decisions were limited to a simplified, schematic formula which did not contain any legal analysis, did not indicate the specific grounds</w:t>
      </w:r>
      <w:r w:rsidR="003966A9" w:rsidRPr="00CE6CB5">
        <w:t xml:space="preserve"> for the decision, </w:t>
      </w:r>
      <w:r w:rsidR="003966A9">
        <w:t xml:space="preserve">did not invoke grounds of appeal </w:t>
      </w:r>
      <w:r w:rsidR="003966A9" w:rsidRPr="00CE6CB5">
        <w:t>and did not refer to any facts or circumstances which would allow the identification of a particular case.</w:t>
      </w:r>
    </w:p>
    <w:p w:rsidR="003966A9" w:rsidRDefault="00032268" w:rsidP="003966A9">
      <w:pPr>
        <w:pStyle w:val="JuPara"/>
        <w:rPr>
          <w:color w:val="000000"/>
          <w:lang w:eastAsia="en-GB"/>
        </w:rPr>
      </w:pPr>
      <w:r>
        <w:rPr>
          <w:color w:val="000000"/>
          <w:lang w:eastAsia="en-GB"/>
        </w:rPr>
        <w:fldChar w:fldCharType="begin"/>
      </w:r>
      <w:r>
        <w:rPr>
          <w:color w:val="000000"/>
          <w:lang w:eastAsia="en-GB"/>
        </w:rPr>
        <w:instrText xml:space="preserve"> SEQ level0 \*arabic </w:instrText>
      </w:r>
      <w:r>
        <w:rPr>
          <w:color w:val="000000"/>
          <w:lang w:eastAsia="en-GB"/>
        </w:rPr>
        <w:fldChar w:fldCharType="separate"/>
      </w:r>
      <w:r w:rsidR="004373EA">
        <w:rPr>
          <w:noProof/>
          <w:color w:val="000000"/>
          <w:lang w:eastAsia="en-GB"/>
        </w:rPr>
        <w:t>41</w:t>
      </w:r>
      <w:r>
        <w:rPr>
          <w:color w:val="000000"/>
          <w:lang w:eastAsia="en-GB"/>
        </w:rPr>
        <w:fldChar w:fldCharType="end"/>
      </w:r>
      <w:r>
        <w:rPr>
          <w:color w:val="000000"/>
          <w:lang w:eastAsia="en-GB"/>
        </w:rPr>
        <w:t>.  </w:t>
      </w:r>
      <w:r w:rsidR="003966A9" w:rsidRPr="00E03BC5">
        <w:rPr>
          <w:color w:val="000000"/>
          <w:lang w:eastAsia="en-GB"/>
        </w:rPr>
        <w:t xml:space="preserve">On 6 </w:t>
      </w:r>
      <w:r w:rsidR="003966A9" w:rsidRPr="001B0AC7">
        <w:t>February</w:t>
      </w:r>
      <w:r w:rsidR="003966A9">
        <w:rPr>
          <w:color w:val="000000"/>
          <w:lang w:eastAsia="en-GB"/>
        </w:rPr>
        <w:t xml:space="preserve"> 2005</w:t>
      </w:r>
      <w:r w:rsidR="003966A9" w:rsidRPr="00E03BC5">
        <w:rPr>
          <w:color w:val="000000"/>
          <w:lang w:eastAsia="en-GB"/>
        </w:rPr>
        <w:t xml:space="preserve"> new </w:t>
      </w:r>
      <w:r w:rsidR="003966A9">
        <w:rPr>
          <w:color w:val="000000"/>
          <w:lang w:eastAsia="en-GB"/>
        </w:rPr>
        <w:t>provisions</w:t>
      </w:r>
      <w:r w:rsidR="003966A9" w:rsidRPr="00E03BC5">
        <w:rPr>
          <w:color w:val="000000"/>
          <w:lang w:eastAsia="en-GB"/>
        </w:rPr>
        <w:t xml:space="preserve"> </w:t>
      </w:r>
      <w:r w:rsidR="003966A9">
        <w:rPr>
          <w:color w:val="000000"/>
          <w:lang w:eastAsia="en-GB"/>
        </w:rPr>
        <w:t>on a “</w:t>
      </w:r>
      <w:r w:rsidR="003966A9" w:rsidRPr="00E03BC5">
        <w:rPr>
          <w:color w:val="000000"/>
          <w:lang w:eastAsia="en-GB"/>
        </w:rPr>
        <w:t xml:space="preserve">cassation </w:t>
      </w:r>
      <w:r w:rsidR="003966A9" w:rsidRPr="009B2ADA">
        <w:rPr>
          <w:color w:val="000000"/>
          <w:szCs w:val="24"/>
          <w:lang w:eastAsia="en-GB"/>
        </w:rPr>
        <w:t>complaint</w:t>
      </w:r>
      <w:r w:rsidR="003966A9">
        <w:rPr>
          <w:color w:val="000000"/>
          <w:szCs w:val="24"/>
          <w:lang w:eastAsia="en-GB"/>
        </w:rPr>
        <w:t>”</w:t>
      </w:r>
      <w:r w:rsidR="003966A9">
        <w:rPr>
          <w:color w:val="000000"/>
          <w:lang w:eastAsia="en-GB"/>
        </w:rPr>
        <w:t xml:space="preserve"> </w:t>
      </w:r>
      <w:r w:rsidR="003966A9" w:rsidRPr="00E03BC5">
        <w:rPr>
          <w:color w:val="000000"/>
          <w:lang w:eastAsia="en-GB"/>
        </w:rPr>
        <w:t xml:space="preserve">came into effect, replacing </w:t>
      </w:r>
      <w:r w:rsidR="003966A9">
        <w:rPr>
          <w:color w:val="000000"/>
          <w:lang w:eastAsia="en-GB"/>
        </w:rPr>
        <w:t>the provisions</w:t>
      </w:r>
      <w:r w:rsidR="003966A9" w:rsidRPr="00E03BC5">
        <w:rPr>
          <w:color w:val="000000"/>
          <w:lang w:eastAsia="en-GB"/>
        </w:rPr>
        <w:t xml:space="preserve"> </w:t>
      </w:r>
      <w:r w:rsidR="003966A9">
        <w:rPr>
          <w:color w:val="000000"/>
          <w:lang w:eastAsia="en-GB"/>
        </w:rPr>
        <w:t xml:space="preserve">governing the </w:t>
      </w:r>
      <w:r w:rsidR="003966A9" w:rsidRPr="00E03BC5">
        <w:rPr>
          <w:color w:val="000000"/>
          <w:lang w:eastAsia="en-GB"/>
        </w:rPr>
        <w:t xml:space="preserve">cassation </w:t>
      </w:r>
      <w:r w:rsidR="003966A9">
        <w:rPr>
          <w:color w:val="000000"/>
          <w:lang w:eastAsia="en-GB"/>
        </w:rPr>
        <w:t>appeal</w:t>
      </w:r>
      <w:r w:rsidR="003966A9" w:rsidRPr="00E03BC5">
        <w:rPr>
          <w:color w:val="000000"/>
          <w:lang w:eastAsia="en-GB"/>
        </w:rPr>
        <w:t>.</w:t>
      </w:r>
    </w:p>
    <w:p w:rsidR="003966A9" w:rsidRDefault="00C41151" w:rsidP="00C41151">
      <w:pPr>
        <w:pStyle w:val="JuHA"/>
        <w:rPr>
          <w:lang w:eastAsia="en-GB"/>
        </w:rPr>
      </w:pPr>
      <w:r>
        <w:rPr>
          <w:lang w:eastAsia="en-GB"/>
        </w:rPr>
        <w:t>2.  </w:t>
      </w:r>
      <w:r w:rsidR="003966A9" w:rsidRPr="00C87DAA">
        <w:rPr>
          <w:lang w:eastAsia="en-GB"/>
        </w:rPr>
        <w:t xml:space="preserve">The </w:t>
      </w:r>
      <w:r w:rsidR="003966A9">
        <w:rPr>
          <w:lang w:eastAsia="en-GB"/>
        </w:rPr>
        <w:t>judgment</w:t>
      </w:r>
      <w:r w:rsidR="003966A9" w:rsidRPr="00C87DAA">
        <w:rPr>
          <w:lang w:eastAsia="en-GB"/>
        </w:rPr>
        <w:t xml:space="preserve"> of </w:t>
      </w:r>
      <w:r w:rsidR="003966A9">
        <w:rPr>
          <w:lang w:eastAsia="en-GB"/>
        </w:rPr>
        <w:t xml:space="preserve">the </w:t>
      </w:r>
      <w:smartTag w:uri="urn:schemas-microsoft-com:office:smarttags" w:element="Street">
        <w:smartTag w:uri="urn:schemas-microsoft-com:office:smarttags" w:element="address">
          <w:r w:rsidR="003966A9" w:rsidRPr="00C87DAA">
            <w:rPr>
              <w:lang w:eastAsia="en-GB"/>
            </w:rPr>
            <w:t>Constitutional Court</w:t>
          </w:r>
        </w:smartTag>
      </w:smartTag>
    </w:p>
    <w:p w:rsidR="003966A9" w:rsidRDefault="00032268" w:rsidP="003966A9">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4373EA">
        <w:rPr>
          <w:noProof/>
          <w:lang w:eastAsia="en-GB"/>
        </w:rPr>
        <w:t>42</w:t>
      </w:r>
      <w:r>
        <w:rPr>
          <w:lang w:eastAsia="en-GB"/>
        </w:rPr>
        <w:fldChar w:fldCharType="end"/>
      </w:r>
      <w:r>
        <w:rPr>
          <w:lang w:eastAsia="en-GB"/>
        </w:rPr>
        <w:t>.  </w:t>
      </w:r>
      <w:r w:rsidR="003966A9" w:rsidRPr="00CE6CB5">
        <w:rPr>
          <w:lang w:eastAsia="en-GB"/>
        </w:rPr>
        <w:t xml:space="preserve">In </w:t>
      </w:r>
      <w:r w:rsidR="003966A9" w:rsidRPr="00CE6CB5">
        <w:t>its</w:t>
      </w:r>
      <w:r w:rsidR="003966A9" w:rsidRPr="00CE6CB5">
        <w:rPr>
          <w:lang w:eastAsia="en-GB"/>
        </w:rPr>
        <w:t xml:space="preserve"> </w:t>
      </w:r>
      <w:r w:rsidR="003966A9" w:rsidRPr="00CB1711">
        <w:rPr>
          <w:lang w:eastAsia="en-GB"/>
        </w:rPr>
        <w:t>judgment of 31 March 2005 (</w:t>
      </w:r>
      <w:r w:rsidR="003966A9" w:rsidRPr="00CB1711">
        <w:t xml:space="preserve">SK 26/02) </w:t>
      </w:r>
      <w:r w:rsidR="003966A9" w:rsidRPr="00CB1711">
        <w:rPr>
          <w:lang w:eastAsia="en-GB"/>
        </w:rPr>
        <w:t xml:space="preserve">the </w:t>
      </w:r>
      <w:smartTag w:uri="urn:schemas-microsoft-com:office:smarttags" w:element="Street">
        <w:smartTag w:uri="urn:schemas-microsoft-com:office:smarttags" w:element="address">
          <w:r w:rsidR="003966A9" w:rsidRPr="00CB1711">
            <w:rPr>
              <w:lang w:eastAsia="en-GB"/>
            </w:rPr>
            <w:t>Constitutional Court</w:t>
          </w:r>
        </w:smartTag>
      </w:smartTag>
      <w:r w:rsidR="003966A9" w:rsidRPr="00CB1711">
        <w:rPr>
          <w:lang w:eastAsia="en-GB"/>
        </w:rPr>
        <w:t xml:space="preserve"> </w:t>
      </w:r>
      <w:r w:rsidR="003966A9" w:rsidRPr="00CB1711">
        <w:t>examined</w:t>
      </w:r>
      <w:r w:rsidR="003966A9" w:rsidRPr="00CB1711">
        <w:rPr>
          <w:lang w:eastAsia="en-GB"/>
        </w:rPr>
        <w:t xml:space="preserve"> a number of constitutional complaints </w:t>
      </w:r>
      <w:r w:rsidR="003966A9">
        <w:rPr>
          <w:lang w:eastAsia="en-GB"/>
        </w:rPr>
        <w:t>challenging</w:t>
      </w:r>
      <w:r w:rsidR="003966A9" w:rsidRPr="00CB1711">
        <w:rPr>
          <w:lang w:eastAsia="en-GB"/>
        </w:rPr>
        <w:t xml:space="preserve"> the provisions of Article 393 of the Code</w:t>
      </w:r>
      <w:r w:rsidR="003966A9">
        <w:rPr>
          <w:lang w:eastAsia="en-GB"/>
        </w:rPr>
        <w:t xml:space="preserve"> of Civil Procedure.</w:t>
      </w:r>
    </w:p>
    <w:p w:rsidR="001A100F" w:rsidRPr="00CE6CB5" w:rsidRDefault="001A100F" w:rsidP="003966A9">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4373EA">
        <w:rPr>
          <w:noProof/>
          <w:lang w:eastAsia="en-GB"/>
        </w:rPr>
        <w:t>43</w:t>
      </w:r>
      <w:r>
        <w:rPr>
          <w:lang w:eastAsia="en-GB"/>
        </w:rPr>
        <w:fldChar w:fldCharType="end"/>
      </w:r>
      <w:r>
        <w:rPr>
          <w:lang w:eastAsia="en-GB"/>
        </w:rPr>
        <w:t>.  The</w:t>
      </w:r>
      <w:r w:rsidR="00CD22DB">
        <w:rPr>
          <w:lang w:eastAsia="en-GB"/>
        </w:rPr>
        <w:t xml:space="preserve"> </w:t>
      </w:r>
      <w:smartTag w:uri="urn:schemas-microsoft-com:office:smarttags" w:element="Street">
        <w:smartTag w:uri="urn:schemas-microsoft-com:office:smarttags" w:element="address">
          <w:r w:rsidR="00CD22DB" w:rsidRPr="00CD22DB">
            <w:rPr>
              <w:color w:val="000000"/>
              <w:lang w:eastAsia="en-GB"/>
            </w:rPr>
            <w:t>Constitutional Court</w:t>
          </w:r>
        </w:smartTag>
      </w:smartTag>
      <w:r w:rsidR="00CD22DB" w:rsidRPr="00CD22DB">
        <w:rPr>
          <w:color w:val="000000"/>
          <w:lang w:eastAsia="en-GB"/>
        </w:rPr>
        <w:t xml:space="preserve"> </w:t>
      </w:r>
      <w:r>
        <w:rPr>
          <w:lang w:eastAsia="en-GB"/>
        </w:rPr>
        <w:t xml:space="preserve">held that although the Constitution </w:t>
      </w:r>
      <w:r w:rsidR="00EE37E5">
        <w:rPr>
          <w:lang w:eastAsia="en-GB"/>
        </w:rPr>
        <w:t>did</w:t>
      </w:r>
      <w:r>
        <w:rPr>
          <w:lang w:eastAsia="en-GB"/>
        </w:rPr>
        <w:t xml:space="preserve"> not guarantee a right to cassation as such, the fact that it </w:t>
      </w:r>
      <w:r w:rsidR="00EE37E5">
        <w:rPr>
          <w:lang w:eastAsia="en-GB"/>
        </w:rPr>
        <w:t>was</w:t>
      </w:r>
      <w:r>
        <w:rPr>
          <w:lang w:eastAsia="en-GB"/>
        </w:rPr>
        <w:t xml:space="preserve"> provided for by the Code of </w:t>
      </w:r>
      <w:r w:rsidR="009469DE">
        <w:rPr>
          <w:lang w:eastAsia="en-GB"/>
        </w:rPr>
        <w:t xml:space="preserve">Civil </w:t>
      </w:r>
      <w:r>
        <w:rPr>
          <w:lang w:eastAsia="en-GB"/>
        </w:rPr>
        <w:t>Procedure mean</w:t>
      </w:r>
      <w:r w:rsidR="00EE37E5">
        <w:rPr>
          <w:lang w:eastAsia="en-GB"/>
        </w:rPr>
        <w:t>t</w:t>
      </w:r>
      <w:r>
        <w:rPr>
          <w:lang w:eastAsia="en-GB"/>
        </w:rPr>
        <w:t xml:space="preserve"> that it </w:t>
      </w:r>
      <w:r w:rsidR="00EE37E5">
        <w:rPr>
          <w:lang w:eastAsia="en-GB"/>
        </w:rPr>
        <w:t xml:space="preserve">had to </w:t>
      </w:r>
      <w:r>
        <w:rPr>
          <w:lang w:eastAsia="en-GB"/>
        </w:rPr>
        <w:t>meet the requirements of the rule of law and procedural justice.</w:t>
      </w:r>
    </w:p>
    <w:p w:rsidR="00465329" w:rsidRDefault="00032268" w:rsidP="003966A9">
      <w:pPr>
        <w:pStyle w:val="JuPara"/>
        <w:rPr>
          <w:color w:val="000000"/>
          <w:szCs w:val="24"/>
          <w:lang w:eastAsia="en-GB"/>
        </w:rPr>
      </w:pPr>
      <w:r>
        <w:rPr>
          <w:szCs w:val="24"/>
          <w:lang w:eastAsia="en-GB"/>
        </w:rPr>
        <w:fldChar w:fldCharType="begin"/>
      </w:r>
      <w:r>
        <w:rPr>
          <w:szCs w:val="24"/>
          <w:lang w:eastAsia="en-GB"/>
        </w:rPr>
        <w:instrText xml:space="preserve"> SEQ level0 \*arabic </w:instrText>
      </w:r>
      <w:r>
        <w:rPr>
          <w:szCs w:val="24"/>
          <w:lang w:eastAsia="en-GB"/>
        </w:rPr>
        <w:fldChar w:fldCharType="separate"/>
      </w:r>
      <w:r w:rsidR="004373EA">
        <w:rPr>
          <w:noProof/>
          <w:szCs w:val="24"/>
          <w:lang w:eastAsia="en-GB"/>
        </w:rPr>
        <w:t>44</w:t>
      </w:r>
      <w:r>
        <w:rPr>
          <w:szCs w:val="24"/>
          <w:lang w:eastAsia="en-GB"/>
        </w:rPr>
        <w:fldChar w:fldCharType="end"/>
      </w:r>
      <w:r>
        <w:rPr>
          <w:szCs w:val="24"/>
          <w:lang w:eastAsia="en-GB"/>
        </w:rPr>
        <w:t>.  </w:t>
      </w:r>
      <w:r w:rsidR="003966A9" w:rsidRPr="00CE6CB5">
        <w:rPr>
          <w:szCs w:val="24"/>
          <w:lang w:eastAsia="en-GB"/>
        </w:rPr>
        <w:t xml:space="preserve">The </w:t>
      </w:r>
      <w:smartTag w:uri="urn:schemas-microsoft-com:office:smarttags" w:element="Street">
        <w:smartTag w:uri="urn:schemas-microsoft-com:office:smarttags" w:element="address">
          <w:r w:rsidR="003966A9" w:rsidRPr="00CE6CB5">
            <w:rPr>
              <w:szCs w:val="24"/>
              <w:lang w:eastAsia="en-GB"/>
            </w:rPr>
            <w:t>Constitutional Court</w:t>
          </w:r>
        </w:smartTag>
      </w:smartTag>
      <w:r w:rsidR="003966A9" w:rsidRPr="00CE6CB5">
        <w:rPr>
          <w:szCs w:val="24"/>
          <w:lang w:eastAsia="en-GB"/>
        </w:rPr>
        <w:t xml:space="preserve"> observed, </w:t>
      </w:r>
      <w:r w:rsidR="003966A9" w:rsidRPr="00CE6CB5">
        <w:rPr>
          <w:i/>
          <w:szCs w:val="24"/>
          <w:lang w:eastAsia="en-GB"/>
        </w:rPr>
        <w:t>inter alia</w:t>
      </w:r>
      <w:r w:rsidR="003966A9" w:rsidRPr="00CE6CB5">
        <w:rPr>
          <w:szCs w:val="24"/>
          <w:lang w:eastAsia="en-GB"/>
        </w:rPr>
        <w:t xml:space="preserve">, that certain terms </w:t>
      </w:r>
      <w:r w:rsidR="003966A9" w:rsidRPr="00CB1711">
        <w:t>describing</w:t>
      </w:r>
      <w:r w:rsidR="003966A9" w:rsidRPr="00CE6CB5">
        <w:rPr>
          <w:szCs w:val="24"/>
          <w:lang w:eastAsia="en-GB"/>
        </w:rPr>
        <w:t xml:space="preserve"> the conditions which </w:t>
      </w:r>
      <w:r w:rsidR="003966A9">
        <w:rPr>
          <w:szCs w:val="24"/>
          <w:lang w:eastAsia="en-GB"/>
        </w:rPr>
        <w:t xml:space="preserve">a </w:t>
      </w:r>
      <w:r w:rsidR="003966A9" w:rsidRPr="00CE6CB5">
        <w:rPr>
          <w:szCs w:val="24"/>
          <w:lang w:eastAsia="en-GB"/>
        </w:rPr>
        <w:t>cassation appeal had to meet under Article</w:t>
      </w:r>
      <w:r w:rsidR="003966A9">
        <w:rPr>
          <w:szCs w:val="24"/>
          <w:lang w:eastAsia="en-GB"/>
        </w:rPr>
        <w:t>s</w:t>
      </w:r>
      <w:r w:rsidR="003966A9" w:rsidRPr="00CE6CB5">
        <w:rPr>
          <w:szCs w:val="24"/>
          <w:lang w:eastAsia="en-GB"/>
        </w:rPr>
        <w:t xml:space="preserve"> 393 </w:t>
      </w:r>
      <w:r w:rsidR="003966A9" w:rsidRPr="00CE6CB5">
        <w:rPr>
          <w:i/>
          <w:szCs w:val="24"/>
          <w:lang w:eastAsia="en-GB"/>
        </w:rPr>
        <w:t>et seq</w:t>
      </w:r>
      <w:r w:rsidR="003966A9" w:rsidRPr="00CE6CB5">
        <w:rPr>
          <w:szCs w:val="24"/>
          <w:lang w:eastAsia="en-GB"/>
        </w:rPr>
        <w:t>. of the Code (“</w:t>
      </w:r>
      <w:r w:rsidR="00A13DC0">
        <w:rPr>
          <w:szCs w:val="24"/>
        </w:rPr>
        <w:t>significant</w:t>
      </w:r>
      <w:r w:rsidR="003966A9" w:rsidRPr="00CE6CB5">
        <w:rPr>
          <w:szCs w:val="24"/>
        </w:rPr>
        <w:t xml:space="preserve"> legal issue”, “</w:t>
      </w:r>
      <w:r w:rsidR="003966A9" w:rsidRPr="00CE6CB5">
        <w:t>provisions raising serious doubts or caus</w:t>
      </w:r>
      <w:r w:rsidR="003966A9">
        <w:t>ing discrepancies in the courts</w:t>
      </w:r>
      <w:r w:rsidR="00925F1F">
        <w:t>’</w:t>
      </w:r>
      <w:r w:rsidR="003966A9" w:rsidRPr="00CE6CB5">
        <w:t xml:space="preserve"> case</w:t>
      </w:r>
      <w:r w:rsidR="00454727">
        <w:t>-</w:t>
      </w:r>
      <w:r w:rsidR="003966A9" w:rsidRPr="00CE6CB5">
        <w:t>law</w:t>
      </w:r>
      <w:r w:rsidR="003966A9" w:rsidRPr="00CE6CB5">
        <w:rPr>
          <w:szCs w:val="24"/>
        </w:rPr>
        <w:t>”, “</w:t>
      </w:r>
      <w:r w:rsidR="003966A9" w:rsidRPr="00CE6CB5">
        <w:t xml:space="preserve">arguments showing that examination of the cassation appeal would be justified”) </w:t>
      </w:r>
      <w:r w:rsidR="003966A9" w:rsidRPr="00CE6CB5">
        <w:rPr>
          <w:szCs w:val="24"/>
        </w:rPr>
        <w:t xml:space="preserve">were drafted in the broadest terms. It noted that </w:t>
      </w:r>
      <w:r w:rsidR="003966A9" w:rsidRPr="00CE6CB5">
        <w:rPr>
          <w:szCs w:val="24"/>
          <w:lang w:eastAsia="en-GB"/>
        </w:rPr>
        <w:t>the judicial practice regarding their application had given rise to serious interpretational difficulties and discrepancies in the case</w:t>
      </w:r>
      <w:r w:rsidR="003966A9" w:rsidRPr="00CE6CB5">
        <w:rPr>
          <w:szCs w:val="24"/>
          <w:lang w:eastAsia="en-GB"/>
        </w:rPr>
        <w:noBreakHyphen/>
        <w:t xml:space="preserve">law of the </w:t>
      </w:r>
      <w:r w:rsidR="003966A9" w:rsidRPr="00451FDC">
        <w:rPr>
          <w:szCs w:val="24"/>
          <w:lang w:eastAsia="en-GB"/>
        </w:rPr>
        <w:t>Supreme Court</w:t>
      </w:r>
      <w:r w:rsidR="003966A9" w:rsidRPr="00CE6CB5">
        <w:rPr>
          <w:szCs w:val="24"/>
          <w:lang w:eastAsia="en-GB"/>
        </w:rPr>
        <w:t>.</w:t>
      </w:r>
      <w:r w:rsidR="00465329">
        <w:rPr>
          <w:szCs w:val="24"/>
          <w:lang w:eastAsia="en-GB"/>
        </w:rPr>
        <w:t xml:space="preserve"> The </w:t>
      </w:r>
      <w:smartTag w:uri="urn:schemas-microsoft-com:office:smarttags" w:element="Street">
        <w:smartTag w:uri="urn:schemas-microsoft-com:office:smarttags" w:element="address">
          <w:r w:rsidR="00465329" w:rsidRPr="00465329">
            <w:rPr>
              <w:color w:val="000000"/>
              <w:szCs w:val="24"/>
              <w:lang w:eastAsia="en-GB"/>
            </w:rPr>
            <w:t>Constitutional Court</w:t>
          </w:r>
        </w:smartTag>
      </w:smartTag>
      <w:r w:rsidR="00465329" w:rsidRPr="00465329">
        <w:rPr>
          <w:color w:val="000000"/>
          <w:szCs w:val="24"/>
          <w:lang w:eastAsia="en-GB"/>
        </w:rPr>
        <w:t xml:space="preserve"> </w:t>
      </w:r>
      <w:r w:rsidR="00465329">
        <w:rPr>
          <w:szCs w:val="24"/>
          <w:lang w:eastAsia="en-GB"/>
        </w:rPr>
        <w:t xml:space="preserve">considered the relevant requirements of </w:t>
      </w:r>
      <w:r w:rsidR="00465329" w:rsidRPr="00465329">
        <w:rPr>
          <w:color w:val="000000"/>
          <w:szCs w:val="24"/>
          <w:lang w:eastAsia="en-GB"/>
        </w:rPr>
        <w:t xml:space="preserve">Article </w:t>
      </w:r>
      <w:r w:rsidR="00465329">
        <w:rPr>
          <w:color w:val="000000"/>
          <w:szCs w:val="24"/>
          <w:lang w:eastAsia="en-GB"/>
        </w:rPr>
        <w:t>393</w:t>
      </w:r>
      <w:r w:rsidR="00465329">
        <w:rPr>
          <w:szCs w:val="24"/>
          <w:lang w:eastAsia="en-GB"/>
        </w:rPr>
        <w:t xml:space="preserve"> and their interpretation by the </w:t>
      </w:r>
      <w:r w:rsidR="00465329" w:rsidRPr="00465329">
        <w:rPr>
          <w:szCs w:val="24"/>
          <w:lang w:eastAsia="en-GB"/>
        </w:rPr>
        <w:t>Supreme Court</w:t>
      </w:r>
      <w:r w:rsidR="00465329">
        <w:rPr>
          <w:szCs w:val="24"/>
          <w:lang w:eastAsia="en-GB"/>
        </w:rPr>
        <w:t xml:space="preserve"> </w:t>
      </w:r>
      <w:r w:rsidR="00412095">
        <w:rPr>
          <w:szCs w:val="24"/>
          <w:lang w:eastAsia="en-GB"/>
        </w:rPr>
        <w:t>to be</w:t>
      </w:r>
      <w:r w:rsidR="00465329">
        <w:rPr>
          <w:szCs w:val="24"/>
          <w:lang w:eastAsia="en-GB"/>
        </w:rPr>
        <w:t xml:space="preserve"> vague and subjective and, in practice, </w:t>
      </w:r>
      <w:r w:rsidR="00412095">
        <w:rPr>
          <w:szCs w:val="24"/>
          <w:lang w:eastAsia="en-GB"/>
        </w:rPr>
        <w:t xml:space="preserve">known exclusively to the </w:t>
      </w:r>
      <w:r w:rsidR="00A13DC0" w:rsidRPr="00A13DC0">
        <w:rPr>
          <w:szCs w:val="24"/>
          <w:lang w:eastAsia="en-GB"/>
        </w:rPr>
        <w:t xml:space="preserve">Supreme Court </w:t>
      </w:r>
      <w:r w:rsidR="00412095">
        <w:rPr>
          <w:szCs w:val="24"/>
          <w:lang w:eastAsia="en-GB"/>
        </w:rPr>
        <w:t xml:space="preserve">but not to those who wished to lodge a </w:t>
      </w:r>
      <w:r w:rsidR="00412095">
        <w:rPr>
          <w:color w:val="000000"/>
          <w:szCs w:val="24"/>
          <w:lang w:eastAsia="en-GB"/>
        </w:rPr>
        <w:t>cassation appeal.</w:t>
      </w:r>
    </w:p>
    <w:p w:rsidR="00F114D6" w:rsidRPr="003419E6" w:rsidRDefault="00F114D6" w:rsidP="003966A9">
      <w:pPr>
        <w:pStyle w:val="JuPara"/>
        <w:rPr>
          <w:color w:val="000000"/>
          <w:szCs w:val="24"/>
          <w:lang w:eastAsia="en-GB"/>
        </w:rPr>
      </w:pPr>
      <w:r>
        <w:rPr>
          <w:color w:val="000000"/>
          <w:szCs w:val="24"/>
          <w:lang w:eastAsia="en-GB"/>
        </w:rPr>
        <w:fldChar w:fldCharType="begin"/>
      </w:r>
      <w:r>
        <w:rPr>
          <w:color w:val="000000"/>
          <w:szCs w:val="24"/>
          <w:lang w:eastAsia="en-GB"/>
        </w:rPr>
        <w:instrText xml:space="preserve"> SEQ level0 \*arabic </w:instrText>
      </w:r>
      <w:r>
        <w:rPr>
          <w:color w:val="000000"/>
          <w:szCs w:val="24"/>
          <w:lang w:eastAsia="en-GB"/>
        </w:rPr>
        <w:fldChar w:fldCharType="separate"/>
      </w:r>
      <w:r w:rsidR="004373EA">
        <w:rPr>
          <w:noProof/>
          <w:color w:val="000000"/>
          <w:szCs w:val="24"/>
          <w:lang w:eastAsia="en-GB"/>
        </w:rPr>
        <w:t>45</w:t>
      </w:r>
      <w:r>
        <w:rPr>
          <w:color w:val="000000"/>
          <w:szCs w:val="24"/>
          <w:lang w:eastAsia="en-GB"/>
        </w:rPr>
        <w:fldChar w:fldCharType="end"/>
      </w:r>
      <w:r>
        <w:rPr>
          <w:color w:val="000000"/>
          <w:szCs w:val="24"/>
          <w:lang w:eastAsia="en-GB"/>
        </w:rPr>
        <w:t xml:space="preserve">.  According to the </w:t>
      </w:r>
      <w:smartTag w:uri="urn:schemas-microsoft-com:office:smarttags" w:element="Street">
        <w:smartTag w:uri="urn:schemas-microsoft-com:office:smarttags" w:element="address">
          <w:r w:rsidR="00A166F6" w:rsidRPr="00A166F6">
            <w:rPr>
              <w:color w:val="000000"/>
              <w:szCs w:val="24"/>
              <w:lang w:eastAsia="en-GB"/>
            </w:rPr>
            <w:t>Constitutional Court</w:t>
          </w:r>
        </w:smartTag>
      </w:smartTag>
      <w:r>
        <w:rPr>
          <w:color w:val="000000"/>
          <w:szCs w:val="24"/>
          <w:lang w:eastAsia="en-GB"/>
        </w:rPr>
        <w:t>, if the condition</w:t>
      </w:r>
      <w:r w:rsidR="00F608A4">
        <w:rPr>
          <w:color w:val="000000"/>
          <w:szCs w:val="24"/>
          <w:lang w:eastAsia="en-GB"/>
        </w:rPr>
        <w:t>s</w:t>
      </w:r>
      <w:r>
        <w:rPr>
          <w:color w:val="000000"/>
          <w:szCs w:val="24"/>
          <w:lang w:eastAsia="en-GB"/>
        </w:rPr>
        <w:t xml:space="preserve"> for admissibility of a claim (preliminary assessment of a cassation appeal) </w:t>
      </w:r>
      <w:r w:rsidR="00A13DC0">
        <w:rPr>
          <w:color w:val="000000"/>
          <w:szCs w:val="24"/>
          <w:lang w:eastAsia="en-GB"/>
        </w:rPr>
        <w:t>were</w:t>
      </w:r>
      <w:r>
        <w:rPr>
          <w:color w:val="000000"/>
          <w:szCs w:val="24"/>
          <w:lang w:eastAsia="en-GB"/>
        </w:rPr>
        <w:t xml:space="preserve"> formulated</w:t>
      </w:r>
      <w:r w:rsidR="00AE05F0">
        <w:rPr>
          <w:color w:val="000000"/>
          <w:szCs w:val="24"/>
          <w:lang w:eastAsia="en-GB"/>
        </w:rPr>
        <w:t xml:space="preserve"> in imprecise terms, the right</w:t>
      </w:r>
      <w:r>
        <w:rPr>
          <w:color w:val="000000"/>
          <w:szCs w:val="24"/>
          <w:lang w:eastAsia="en-GB"/>
        </w:rPr>
        <w:t xml:space="preserve"> </w:t>
      </w:r>
      <w:r w:rsidR="003F7107">
        <w:rPr>
          <w:color w:val="000000"/>
          <w:szCs w:val="24"/>
          <w:lang w:eastAsia="en-GB"/>
        </w:rPr>
        <w:t xml:space="preserve">of access </w:t>
      </w:r>
      <w:r>
        <w:rPr>
          <w:color w:val="000000"/>
          <w:szCs w:val="24"/>
          <w:lang w:eastAsia="en-GB"/>
        </w:rPr>
        <w:t xml:space="preserve">to </w:t>
      </w:r>
      <w:r w:rsidR="00AE05F0">
        <w:rPr>
          <w:color w:val="000000"/>
          <w:szCs w:val="24"/>
          <w:lang w:eastAsia="en-GB"/>
        </w:rPr>
        <w:t xml:space="preserve">a </w:t>
      </w:r>
      <w:r>
        <w:rPr>
          <w:color w:val="000000"/>
          <w:szCs w:val="24"/>
          <w:lang w:eastAsia="en-GB"/>
        </w:rPr>
        <w:t xml:space="preserve">court </w:t>
      </w:r>
      <w:r w:rsidR="003F7107">
        <w:rPr>
          <w:color w:val="000000"/>
          <w:szCs w:val="24"/>
          <w:lang w:eastAsia="en-GB"/>
        </w:rPr>
        <w:t>could not</w:t>
      </w:r>
      <w:r>
        <w:rPr>
          <w:color w:val="000000"/>
          <w:szCs w:val="24"/>
          <w:lang w:eastAsia="en-GB"/>
        </w:rPr>
        <w:t xml:space="preserve"> be exercised </w:t>
      </w:r>
      <w:r w:rsidRPr="003419E6">
        <w:rPr>
          <w:color w:val="000000"/>
          <w:szCs w:val="24"/>
          <w:lang w:eastAsia="en-GB"/>
        </w:rPr>
        <w:t>effectively because of the risk of arbitrariness of the assessing body.</w:t>
      </w:r>
    </w:p>
    <w:p w:rsidR="00A166F6" w:rsidRDefault="00032268" w:rsidP="003966A9">
      <w:pPr>
        <w:pStyle w:val="JuPara"/>
        <w:rPr>
          <w:szCs w:val="24"/>
          <w:lang w:eastAsia="en-GB"/>
        </w:rPr>
      </w:pPr>
      <w:r w:rsidRPr="003419E6">
        <w:rPr>
          <w:szCs w:val="24"/>
          <w:lang w:eastAsia="en-GB"/>
        </w:rPr>
        <w:fldChar w:fldCharType="begin"/>
      </w:r>
      <w:r w:rsidRPr="003419E6">
        <w:rPr>
          <w:szCs w:val="24"/>
          <w:lang w:eastAsia="en-GB"/>
        </w:rPr>
        <w:instrText xml:space="preserve"> SEQ level0 \*arabic </w:instrText>
      </w:r>
      <w:r w:rsidRPr="003419E6">
        <w:rPr>
          <w:szCs w:val="24"/>
          <w:lang w:eastAsia="en-GB"/>
        </w:rPr>
        <w:fldChar w:fldCharType="separate"/>
      </w:r>
      <w:r w:rsidR="004373EA">
        <w:rPr>
          <w:noProof/>
          <w:szCs w:val="24"/>
          <w:lang w:eastAsia="en-GB"/>
        </w:rPr>
        <w:t>46</w:t>
      </w:r>
      <w:r w:rsidRPr="003419E6">
        <w:rPr>
          <w:szCs w:val="24"/>
          <w:lang w:eastAsia="en-GB"/>
        </w:rPr>
        <w:fldChar w:fldCharType="end"/>
      </w:r>
      <w:r w:rsidRPr="003419E6">
        <w:rPr>
          <w:szCs w:val="24"/>
          <w:lang w:eastAsia="en-GB"/>
        </w:rPr>
        <w:t>.  </w:t>
      </w:r>
      <w:r w:rsidR="003629C1" w:rsidRPr="003419E6">
        <w:rPr>
          <w:szCs w:val="24"/>
          <w:lang w:eastAsia="en-GB"/>
        </w:rPr>
        <w:t>In this context t</w:t>
      </w:r>
      <w:r w:rsidR="00B05B34" w:rsidRPr="003419E6">
        <w:rPr>
          <w:szCs w:val="24"/>
          <w:lang w:eastAsia="en-GB"/>
        </w:rPr>
        <w:t xml:space="preserve">he </w:t>
      </w:r>
      <w:r w:rsidR="00A166F6" w:rsidRPr="003419E6">
        <w:rPr>
          <w:color w:val="000000"/>
          <w:szCs w:val="24"/>
          <w:lang w:eastAsia="en-GB"/>
        </w:rPr>
        <w:t>court</w:t>
      </w:r>
      <w:r w:rsidR="00B05B34" w:rsidRPr="003419E6">
        <w:rPr>
          <w:color w:val="000000"/>
          <w:szCs w:val="24"/>
          <w:lang w:eastAsia="en-GB"/>
        </w:rPr>
        <w:t xml:space="preserve"> </w:t>
      </w:r>
      <w:r w:rsidR="003966A9" w:rsidRPr="003419E6">
        <w:rPr>
          <w:szCs w:val="24"/>
          <w:lang w:eastAsia="en-GB"/>
        </w:rPr>
        <w:t>criticised</w:t>
      </w:r>
      <w:r w:rsidR="00A166F6" w:rsidRPr="003419E6">
        <w:rPr>
          <w:szCs w:val="24"/>
          <w:lang w:eastAsia="en-GB"/>
        </w:rPr>
        <w:t>,</w:t>
      </w:r>
      <w:r w:rsidR="003966A9" w:rsidRPr="003419E6">
        <w:rPr>
          <w:szCs w:val="24"/>
          <w:lang w:eastAsia="en-GB"/>
        </w:rPr>
        <w:t xml:space="preserve"> </w:t>
      </w:r>
      <w:r w:rsidR="00B05B34" w:rsidRPr="003419E6">
        <w:rPr>
          <w:szCs w:val="24"/>
          <w:lang w:eastAsia="en-GB"/>
        </w:rPr>
        <w:t>in particular</w:t>
      </w:r>
      <w:r w:rsidR="00A166F6" w:rsidRPr="003419E6">
        <w:rPr>
          <w:szCs w:val="24"/>
          <w:lang w:eastAsia="en-GB"/>
        </w:rPr>
        <w:t>,</w:t>
      </w:r>
      <w:r w:rsidR="00B05B34" w:rsidRPr="003419E6">
        <w:rPr>
          <w:szCs w:val="24"/>
          <w:lang w:eastAsia="en-GB"/>
        </w:rPr>
        <w:t xml:space="preserve"> </w:t>
      </w:r>
      <w:r w:rsidR="003966A9" w:rsidRPr="003419E6">
        <w:rPr>
          <w:szCs w:val="24"/>
          <w:lang w:eastAsia="en-GB"/>
        </w:rPr>
        <w:t xml:space="preserve">the practice of “simplified reasons”. </w:t>
      </w:r>
      <w:r w:rsidR="00FD014D" w:rsidRPr="003419E6">
        <w:rPr>
          <w:szCs w:val="24"/>
          <w:lang w:eastAsia="en-GB"/>
        </w:rPr>
        <w:t xml:space="preserve">It held that </w:t>
      </w:r>
      <w:r w:rsidR="003419E6">
        <w:rPr>
          <w:szCs w:val="24"/>
          <w:lang w:eastAsia="en-GB"/>
        </w:rPr>
        <w:t xml:space="preserve">the </w:t>
      </w:r>
      <w:r w:rsidR="00FD014D" w:rsidRPr="003419E6">
        <w:rPr>
          <w:szCs w:val="24"/>
          <w:lang w:eastAsia="en-GB"/>
        </w:rPr>
        <w:t xml:space="preserve">use of open-ended concepts by the legislator </w:t>
      </w:r>
      <w:r w:rsidR="00300DF6">
        <w:rPr>
          <w:szCs w:val="24"/>
          <w:lang w:eastAsia="en-GB"/>
        </w:rPr>
        <w:t>could not</w:t>
      </w:r>
      <w:r w:rsidR="00FD014D" w:rsidRPr="003419E6">
        <w:rPr>
          <w:szCs w:val="24"/>
          <w:lang w:eastAsia="en-GB"/>
        </w:rPr>
        <w:t xml:space="preserve"> be considered</w:t>
      </w:r>
      <w:r w:rsidR="00FD014D">
        <w:rPr>
          <w:szCs w:val="24"/>
          <w:lang w:eastAsia="en-GB"/>
        </w:rPr>
        <w:t>, in itself, as unconstitutional, as it allow</w:t>
      </w:r>
      <w:r w:rsidR="00300DF6">
        <w:rPr>
          <w:szCs w:val="24"/>
          <w:lang w:eastAsia="en-GB"/>
        </w:rPr>
        <w:t>ed</w:t>
      </w:r>
      <w:r w:rsidR="00FD014D">
        <w:rPr>
          <w:szCs w:val="24"/>
          <w:lang w:eastAsia="en-GB"/>
        </w:rPr>
        <w:t xml:space="preserve"> the courts </w:t>
      </w:r>
      <w:r w:rsidR="003F7107">
        <w:rPr>
          <w:szCs w:val="24"/>
          <w:lang w:eastAsia="en-GB"/>
        </w:rPr>
        <w:t xml:space="preserve">a </w:t>
      </w:r>
      <w:r w:rsidR="00FD014D">
        <w:rPr>
          <w:szCs w:val="24"/>
          <w:lang w:eastAsia="en-GB"/>
        </w:rPr>
        <w:t>certain flexibility, to better-tailor their decisions to ci</w:t>
      </w:r>
      <w:r w:rsidR="00300DF6">
        <w:rPr>
          <w:szCs w:val="24"/>
          <w:lang w:eastAsia="en-GB"/>
        </w:rPr>
        <w:t>rcumstances at hand. However, in</w:t>
      </w:r>
      <w:r w:rsidR="00FD014D">
        <w:rPr>
          <w:szCs w:val="24"/>
          <w:lang w:eastAsia="en-GB"/>
        </w:rPr>
        <w:t xml:space="preserve"> </w:t>
      </w:r>
      <w:r w:rsidR="00A20D55">
        <w:rPr>
          <w:szCs w:val="24"/>
          <w:lang w:eastAsia="en-GB"/>
        </w:rPr>
        <w:t>such case</w:t>
      </w:r>
      <w:r w:rsidR="00FD014D">
        <w:rPr>
          <w:szCs w:val="24"/>
          <w:lang w:eastAsia="en-GB"/>
        </w:rPr>
        <w:t xml:space="preserve"> the obligation to substantiate the legal norm </w:t>
      </w:r>
      <w:r w:rsidR="003F7107">
        <w:rPr>
          <w:szCs w:val="24"/>
          <w:lang w:eastAsia="en-GB"/>
        </w:rPr>
        <w:t>was</w:t>
      </w:r>
      <w:r w:rsidR="00FD014D">
        <w:rPr>
          <w:szCs w:val="24"/>
          <w:lang w:eastAsia="en-GB"/>
        </w:rPr>
        <w:t xml:space="preserve"> </w:t>
      </w:r>
      <w:r w:rsidR="00752765">
        <w:rPr>
          <w:szCs w:val="24"/>
          <w:lang w:eastAsia="en-GB"/>
        </w:rPr>
        <w:t>shifted</w:t>
      </w:r>
      <w:r w:rsidR="00FD014D">
        <w:rPr>
          <w:szCs w:val="24"/>
          <w:lang w:eastAsia="en-GB"/>
        </w:rPr>
        <w:t xml:space="preserve"> to </w:t>
      </w:r>
      <w:r w:rsidR="00752765">
        <w:rPr>
          <w:szCs w:val="24"/>
          <w:lang w:eastAsia="en-GB"/>
        </w:rPr>
        <w:t xml:space="preserve">the </w:t>
      </w:r>
      <w:r w:rsidR="00FD014D">
        <w:rPr>
          <w:szCs w:val="24"/>
          <w:lang w:eastAsia="en-GB"/>
        </w:rPr>
        <w:t xml:space="preserve">stage </w:t>
      </w:r>
      <w:r w:rsidR="00752765">
        <w:rPr>
          <w:szCs w:val="24"/>
          <w:lang w:eastAsia="en-GB"/>
        </w:rPr>
        <w:t>of its application.</w:t>
      </w:r>
      <w:r w:rsidR="00F95AF0">
        <w:rPr>
          <w:szCs w:val="24"/>
          <w:lang w:eastAsia="en-GB"/>
        </w:rPr>
        <w:t xml:space="preserve"> </w:t>
      </w:r>
      <w:r w:rsidR="00300DF6">
        <w:rPr>
          <w:szCs w:val="24"/>
          <w:lang w:eastAsia="en-GB"/>
        </w:rPr>
        <w:t>This</w:t>
      </w:r>
      <w:r w:rsidR="00F95AF0">
        <w:rPr>
          <w:szCs w:val="24"/>
          <w:lang w:eastAsia="en-GB"/>
        </w:rPr>
        <w:t xml:space="preserve"> </w:t>
      </w:r>
      <w:r w:rsidR="003F7107">
        <w:rPr>
          <w:szCs w:val="24"/>
          <w:lang w:eastAsia="en-GB"/>
        </w:rPr>
        <w:t>gave</w:t>
      </w:r>
      <w:r w:rsidR="00F95AF0">
        <w:rPr>
          <w:szCs w:val="24"/>
          <w:lang w:eastAsia="en-GB"/>
        </w:rPr>
        <w:t xml:space="preserve"> the courts</w:t>
      </w:r>
      <w:r w:rsidR="003F7107">
        <w:rPr>
          <w:szCs w:val="24"/>
          <w:lang w:eastAsia="en-GB"/>
        </w:rPr>
        <w:t xml:space="preserve"> a</w:t>
      </w:r>
      <w:r w:rsidR="00F95AF0">
        <w:rPr>
          <w:szCs w:val="24"/>
          <w:lang w:eastAsia="en-GB"/>
        </w:rPr>
        <w:t xml:space="preserve"> certain discretion which </w:t>
      </w:r>
      <w:r w:rsidR="003F7107">
        <w:rPr>
          <w:szCs w:val="24"/>
          <w:lang w:eastAsia="en-GB"/>
        </w:rPr>
        <w:t>was not to</w:t>
      </w:r>
      <w:r w:rsidR="00F95AF0">
        <w:rPr>
          <w:szCs w:val="24"/>
          <w:lang w:eastAsia="en-GB"/>
        </w:rPr>
        <w:t xml:space="preserve"> be confused with </w:t>
      </w:r>
      <w:r w:rsidR="008B40F4">
        <w:rPr>
          <w:szCs w:val="24"/>
          <w:lang w:eastAsia="en-GB"/>
        </w:rPr>
        <w:t xml:space="preserve">an </w:t>
      </w:r>
      <w:r w:rsidR="00F95AF0">
        <w:rPr>
          <w:szCs w:val="24"/>
          <w:lang w:eastAsia="en-GB"/>
        </w:rPr>
        <w:t xml:space="preserve">absolute freedom from external supervision. </w:t>
      </w:r>
      <w:r w:rsidR="008B40F4">
        <w:rPr>
          <w:szCs w:val="24"/>
          <w:lang w:eastAsia="en-GB"/>
        </w:rPr>
        <w:t>Consequently</w:t>
      </w:r>
      <w:r w:rsidR="00F95AF0">
        <w:rPr>
          <w:szCs w:val="24"/>
          <w:lang w:eastAsia="en-GB"/>
        </w:rPr>
        <w:t xml:space="preserve">, a general </w:t>
      </w:r>
      <w:r w:rsidR="00300DF6">
        <w:rPr>
          <w:szCs w:val="24"/>
          <w:lang w:eastAsia="en-GB"/>
        </w:rPr>
        <w:t xml:space="preserve">and imprecise </w:t>
      </w:r>
      <w:r w:rsidR="003F7107">
        <w:rPr>
          <w:szCs w:val="24"/>
          <w:lang w:eastAsia="en-GB"/>
        </w:rPr>
        <w:t>procedural clause required</w:t>
      </w:r>
      <w:r w:rsidR="00F95AF0">
        <w:rPr>
          <w:szCs w:val="24"/>
          <w:lang w:eastAsia="en-GB"/>
        </w:rPr>
        <w:t xml:space="preserve"> </w:t>
      </w:r>
      <w:r w:rsidR="00041E40">
        <w:rPr>
          <w:szCs w:val="24"/>
          <w:lang w:eastAsia="en-GB"/>
        </w:rPr>
        <w:t xml:space="preserve">a </w:t>
      </w:r>
      <w:r w:rsidR="00F95AF0">
        <w:rPr>
          <w:szCs w:val="24"/>
          <w:lang w:eastAsia="en-GB"/>
        </w:rPr>
        <w:t>strong justification and indica</w:t>
      </w:r>
      <w:r w:rsidR="00041E40">
        <w:rPr>
          <w:szCs w:val="24"/>
          <w:lang w:eastAsia="en-GB"/>
        </w:rPr>
        <w:t>tion of specific circumstances.</w:t>
      </w:r>
    </w:p>
    <w:p w:rsidR="00711E95" w:rsidRDefault="00A166F6" w:rsidP="003966A9">
      <w:pPr>
        <w:pStyle w:val="JuPara"/>
        <w:rPr>
          <w:color w:val="000000"/>
          <w:szCs w:val="24"/>
          <w:lang w:eastAsia="en-GB"/>
        </w:rPr>
      </w:pPr>
      <w:r>
        <w:rPr>
          <w:szCs w:val="24"/>
          <w:lang w:eastAsia="en-GB"/>
        </w:rPr>
        <w:fldChar w:fldCharType="begin"/>
      </w:r>
      <w:r>
        <w:rPr>
          <w:szCs w:val="24"/>
          <w:lang w:eastAsia="en-GB"/>
        </w:rPr>
        <w:instrText xml:space="preserve"> SEQ level0 \*arabic </w:instrText>
      </w:r>
      <w:r>
        <w:rPr>
          <w:szCs w:val="24"/>
          <w:lang w:eastAsia="en-GB"/>
        </w:rPr>
        <w:fldChar w:fldCharType="separate"/>
      </w:r>
      <w:r w:rsidR="004373EA">
        <w:rPr>
          <w:noProof/>
          <w:szCs w:val="24"/>
          <w:lang w:eastAsia="en-GB"/>
        </w:rPr>
        <w:t>47</w:t>
      </w:r>
      <w:r>
        <w:rPr>
          <w:szCs w:val="24"/>
          <w:lang w:eastAsia="en-GB"/>
        </w:rPr>
        <w:fldChar w:fldCharType="end"/>
      </w:r>
      <w:r>
        <w:rPr>
          <w:szCs w:val="24"/>
          <w:lang w:eastAsia="en-GB"/>
        </w:rPr>
        <w:t>.  </w:t>
      </w:r>
      <w:r w:rsidR="00711E95">
        <w:rPr>
          <w:szCs w:val="24"/>
          <w:lang w:eastAsia="en-GB"/>
        </w:rPr>
        <w:t>The practice of formulaic justification in</w:t>
      </w:r>
      <w:r w:rsidR="003F7107">
        <w:rPr>
          <w:szCs w:val="24"/>
          <w:lang w:eastAsia="en-GB"/>
        </w:rPr>
        <w:t xml:space="preserve"> the</w:t>
      </w:r>
      <w:r w:rsidR="00711E95">
        <w:rPr>
          <w:szCs w:val="24"/>
          <w:lang w:eastAsia="en-GB"/>
        </w:rPr>
        <w:t xml:space="preserve"> </w:t>
      </w:r>
      <w:r w:rsidR="00711E95">
        <w:rPr>
          <w:color w:val="000000"/>
          <w:szCs w:val="24"/>
          <w:lang w:eastAsia="en-GB"/>
        </w:rPr>
        <w:t xml:space="preserve">preliminary assessment of a cassation appeal </w:t>
      </w:r>
      <w:r w:rsidR="00B32D82">
        <w:rPr>
          <w:color w:val="000000"/>
          <w:szCs w:val="24"/>
          <w:lang w:eastAsia="en-GB"/>
        </w:rPr>
        <w:t>created</w:t>
      </w:r>
      <w:r w:rsidR="00711E95">
        <w:rPr>
          <w:color w:val="000000"/>
          <w:szCs w:val="24"/>
          <w:lang w:eastAsia="en-GB"/>
        </w:rPr>
        <w:t xml:space="preserve"> a situation where nobody </w:t>
      </w:r>
      <w:r w:rsidR="00B32D82">
        <w:rPr>
          <w:color w:val="000000"/>
          <w:szCs w:val="24"/>
          <w:lang w:eastAsia="en-GB"/>
        </w:rPr>
        <w:t>could</w:t>
      </w:r>
      <w:r w:rsidR="00711E95">
        <w:rPr>
          <w:color w:val="000000"/>
          <w:szCs w:val="24"/>
          <w:lang w:eastAsia="en-GB"/>
        </w:rPr>
        <w:t xml:space="preserve"> identify how, if at all, the </w:t>
      </w:r>
      <w:r w:rsidR="00711E95" w:rsidRPr="00711E95">
        <w:rPr>
          <w:color w:val="000000"/>
          <w:szCs w:val="24"/>
          <w:lang w:eastAsia="en-GB"/>
        </w:rPr>
        <w:t xml:space="preserve">Supreme Court </w:t>
      </w:r>
      <w:r w:rsidR="003419E6">
        <w:rPr>
          <w:color w:val="000000"/>
          <w:szCs w:val="24"/>
          <w:lang w:eastAsia="en-GB"/>
        </w:rPr>
        <w:t>h</w:t>
      </w:r>
      <w:r w:rsidR="00B32D82">
        <w:rPr>
          <w:color w:val="000000"/>
          <w:szCs w:val="24"/>
          <w:lang w:eastAsia="en-GB"/>
        </w:rPr>
        <w:t>ad</w:t>
      </w:r>
      <w:r w:rsidR="00711E95">
        <w:rPr>
          <w:color w:val="000000"/>
          <w:szCs w:val="24"/>
          <w:lang w:eastAsia="en-GB"/>
        </w:rPr>
        <w:t xml:space="preserve"> </w:t>
      </w:r>
      <w:r w:rsidR="003419E6">
        <w:rPr>
          <w:color w:val="000000"/>
          <w:szCs w:val="24"/>
          <w:lang w:eastAsia="en-GB"/>
        </w:rPr>
        <w:t>performed the necessary assessment to substantiate those vague terms.</w:t>
      </w:r>
      <w:r w:rsidR="00A20D55">
        <w:rPr>
          <w:color w:val="000000"/>
          <w:szCs w:val="24"/>
          <w:lang w:eastAsia="en-GB"/>
        </w:rPr>
        <w:t xml:space="preserve"> The case-law providing guidance on their application </w:t>
      </w:r>
      <w:r w:rsidR="00A67580">
        <w:rPr>
          <w:color w:val="000000"/>
          <w:szCs w:val="24"/>
          <w:lang w:eastAsia="en-GB"/>
        </w:rPr>
        <w:t>was</w:t>
      </w:r>
      <w:r w:rsidR="00A20D55">
        <w:rPr>
          <w:color w:val="000000"/>
          <w:szCs w:val="24"/>
          <w:lang w:eastAsia="en-GB"/>
        </w:rPr>
        <w:t xml:space="preserve"> </w:t>
      </w:r>
      <w:r w:rsidR="006A07F8">
        <w:rPr>
          <w:color w:val="000000"/>
          <w:szCs w:val="24"/>
          <w:lang w:eastAsia="en-GB"/>
        </w:rPr>
        <w:t xml:space="preserve">thus </w:t>
      </w:r>
      <w:r w:rsidR="00A20D55">
        <w:rPr>
          <w:color w:val="000000"/>
          <w:szCs w:val="24"/>
          <w:lang w:eastAsia="en-GB"/>
        </w:rPr>
        <w:t xml:space="preserve">practically non-existent. </w:t>
      </w:r>
      <w:r w:rsidR="00B32D82">
        <w:rPr>
          <w:color w:val="000000"/>
          <w:szCs w:val="24"/>
          <w:lang w:eastAsia="en-GB"/>
        </w:rPr>
        <w:t>The court informed</w:t>
      </w:r>
      <w:r w:rsidR="005251A7">
        <w:rPr>
          <w:color w:val="000000"/>
          <w:szCs w:val="24"/>
          <w:lang w:eastAsia="en-GB"/>
        </w:rPr>
        <w:t xml:space="preserve"> the addressee of its </w:t>
      </w:r>
      <w:r w:rsidR="005251A7" w:rsidRPr="005251A7">
        <w:rPr>
          <w:color w:val="000000"/>
          <w:szCs w:val="24"/>
          <w:lang w:eastAsia="en-GB"/>
        </w:rPr>
        <w:t>decision</w:t>
      </w:r>
      <w:r w:rsidR="005251A7">
        <w:rPr>
          <w:color w:val="000000"/>
          <w:szCs w:val="24"/>
          <w:lang w:eastAsia="en-GB"/>
        </w:rPr>
        <w:t xml:space="preserve"> that</w:t>
      </w:r>
      <w:r w:rsidR="003F7107">
        <w:rPr>
          <w:color w:val="000000"/>
          <w:szCs w:val="24"/>
          <w:lang w:eastAsia="en-GB"/>
        </w:rPr>
        <w:t xml:space="preserve"> the</w:t>
      </w:r>
      <w:r w:rsidR="005251A7">
        <w:rPr>
          <w:color w:val="000000"/>
          <w:szCs w:val="24"/>
          <w:lang w:eastAsia="en-GB"/>
        </w:rPr>
        <w:t xml:space="preserve"> requirements of the given article ha</w:t>
      </w:r>
      <w:r w:rsidR="00B32D82">
        <w:rPr>
          <w:color w:val="000000"/>
          <w:szCs w:val="24"/>
          <w:lang w:eastAsia="en-GB"/>
        </w:rPr>
        <w:t>d</w:t>
      </w:r>
      <w:r w:rsidR="005251A7">
        <w:rPr>
          <w:color w:val="000000"/>
          <w:szCs w:val="24"/>
          <w:lang w:eastAsia="en-GB"/>
        </w:rPr>
        <w:t xml:space="preserve"> not been met, but </w:t>
      </w:r>
      <w:r w:rsidR="00B32D82">
        <w:rPr>
          <w:color w:val="000000"/>
          <w:szCs w:val="24"/>
          <w:lang w:eastAsia="en-GB"/>
        </w:rPr>
        <w:t>did</w:t>
      </w:r>
      <w:r w:rsidR="005251A7">
        <w:rPr>
          <w:color w:val="000000"/>
          <w:szCs w:val="24"/>
          <w:lang w:eastAsia="en-GB"/>
        </w:rPr>
        <w:t xml:space="preserve"> not indicate any circumstances which justified this conclusion.</w:t>
      </w:r>
      <w:r w:rsidR="006F74C5">
        <w:rPr>
          <w:color w:val="000000"/>
          <w:szCs w:val="24"/>
          <w:lang w:eastAsia="en-GB"/>
        </w:rPr>
        <w:t xml:space="preserve"> As a result</w:t>
      </w:r>
      <w:r w:rsidR="003C14D2">
        <w:rPr>
          <w:color w:val="000000"/>
          <w:szCs w:val="24"/>
          <w:lang w:eastAsia="en-GB"/>
        </w:rPr>
        <w:t>,</w:t>
      </w:r>
      <w:r w:rsidR="006F74C5">
        <w:rPr>
          <w:color w:val="000000"/>
          <w:szCs w:val="24"/>
          <w:lang w:eastAsia="en-GB"/>
        </w:rPr>
        <w:t xml:space="preserve"> a principle of trust ha</w:t>
      </w:r>
      <w:r w:rsidR="00B32D82">
        <w:rPr>
          <w:color w:val="000000"/>
          <w:szCs w:val="24"/>
          <w:lang w:eastAsia="en-GB"/>
        </w:rPr>
        <w:t>s</w:t>
      </w:r>
      <w:r w:rsidR="006F74C5">
        <w:rPr>
          <w:color w:val="000000"/>
          <w:szCs w:val="24"/>
          <w:lang w:eastAsia="en-GB"/>
        </w:rPr>
        <w:t xml:space="preserve"> been breached. Moreover, it</w:t>
      </w:r>
      <w:r w:rsidR="00A67580">
        <w:rPr>
          <w:color w:val="000000"/>
          <w:szCs w:val="24"/>
          <w:lang w:eastAsia="en-GB"/>
        </w:rPr>
        <w:t xml:space="preserve"> </w:t>
      </w:r>
      <w:r w:rsidR="003F7107">
        <w:rPr>
          <w:color w:val="000000"/>
          <w:szCs w:val="24"/>
          <w:lang w:eastAsia="en-GB"/>
        </w:rPr>
        <w:t>was</w:t>
      </w:r>
      <w:r w:rsidR="006F74C5">
        <w:rPr>
          <w:color w:val="000000"/>
          <w:szCs w:val="24"/>
          <w:lang w:eastAsia="en-GB"/>
        </w:rPr>
        <w:t xml:space="preserve"> impossible for lawyers in general to recognise the </w:t>
      </w:r>
      <w:r w:rsidR="003F7107">
        <w:rPr>
          <w:color w:val="000000"/>
          <w:szCs w:val="24"/>
          <w:lang w:eastAsia="en-GB"/>
        </w:rPr>
        <w:t>Supreme Court</w:t>
      </w:r>
      <w:r w:rsidR="00925F1F">
        <w:rPr>
          <w:color w:val="000000"/>
          <w:szCs w:val="24"/>
          <w:lang w:eastAsia="en-GB"/>
        </w:rPr>
        <w:t>’</w:t>
      </w:r>
      <w:r w:rsidR="003F7107">
        <w:rPr>
          <w:color w:val="000000"/>
          <w:szCs w:val="24"/>
          <w:lang w:eastAsia="en-GB"/>
        </w:rPr>
        <w:t>s</w:t>
      </w:r>
      <w:r w:rsidR="006F74C5">
        <w:rPr>
          <w:color w:val="000000"/>
          <w:szCs w:val="24"/>
          <w:lang w:eastAsia="en-GB"/>
        </w:rPr>
        <w:t xml:space="preserve"> understanding of those requirements for the purpose of effectively lodging a </w:t>
      </w:r>
      <w:r w:rsidR="006F74C5" w:rsidRPr="006F74C5">
        <w:rPr>
          <w:color w:val="000000"/>
          <w:szCs w:val="24"/>
          <w:lang w:eastAsia="en-GB"/>
        </w:rPr>
        <w:t xml:space="preserve">cassation appeal </w:t>
      </w:r>
      <w:r w:rsidR="006F74C5">
        <w:rPr>
          <w:color w:val="000000"/>
          <w:szCs w:val="24"/>
          <w:lang w:eastAsia="en-GB"/>
        </w:rPr>
        <w:t>in the future.</w:t>
      </w:r>
    </w:p>
    <w:p w:rsidR="003717BC" w:rsidRPr="003659E8" w:rsidRDefault="003717BC" w:rsidP="003966A9">
      <w:pPr>
        <w:pStyle w:val="JuPara"/>
        <w:rPr>
          <w:color w:val="000000"/>
          <w:szCs w:val="24"/>
          <w:lang w:eastAsia="en-GB"/>
        </w:rPr>
      </w:pPr>
      <w:r>
        <w:rPr>
          <w:color w:val="000000"/>
          <w:szCs w:val="24"/>
          <w:lang w:eastAsia="en-GB"/>
        </w:rPr>
        <w:fldChar w:fldCharType="begin"/>
      </w:r>
      <w:r>
        <w:rPr>
          <w:color w:val="000000"/>
          <w:szCs w:val="24"/>
          <w:lang w:eastAsia="en-GB"/>
        </w:rPr>
        <w:instrText xml:space="preserve"> SEQ level0 \*arabic </w:instrText>
      </w:r>
      <w:r>
        <w:rPr>
          <w:color w:val="000000"/>
          <w:szCs w:val="24"/>
          <w:lang w:eastAsia="en-GB"/>
        </w:rPr>
        <w:fldChar w:fldCharType="separate"/>
      </w:r>
      <w:r w:rsidR="004373EA">
        <w:rPr>
          <w:noProof/>
          <w:color w:val="000000"/>
          <w:szCs w:val="24"/>
          <w:lang w:eastAsia="en-GB"/>
        </w:rPr>
        <w:t>48</w:t>
      </w:r>
      <w:r>
        <w:rPr>
          <w:color w:val="000000"/>
          <w:szCs w:val="24"/>
          <w:lang w:eastAsia="en-GB"/>
        </w:rPr>
        <w:fldChar w:fldCharType="end"/>
      </w:r>
      <w:r>
        <w:rPr>
          <w:color w:val="000000"/>
          <w:szCs w:val="24"/>
          <w:lang w:eastAsia="en-GB"/>
        </w:rPr>
        <w:t>.  </w:t>
      </w:r>
      <w:r w:rsidR="00B32D82">
        <w:rPr>
          <w:color w:val="000000"/>
          <w:szCs w:val="24"/>
          <w:lang w:eastAsia="en-GB"/>
        </w:rPr>
        <w:t>Consequently</w:t>
      </w:r>
      <w:r>
        <w:rPr>
          <w:color w:val="000000"/>
          <w:szCs w:val="24"/>
          <w:lang w:eastAsia="en-GB"/>
        </w:rPr>
        <w:t>, the “pre</w:t>
      </w:r>
      <w:r w:rsidR="003F7107">
        <w:rPr>
          <w:color w:val="000000"/>
          <w:szCs w:val="24"/>
          <w:lang w:eastAsia="en-GB"/>
        </w:rPr>
        <w:t>-</w:t>
      </w:r>
      <w:r>
        <w:rPr>
          <w:color w:val="000000"/>
          <w:szCs w:val="24"/>
          <w:lang w:eastAsia="en-GB"/>
        </w:rPr>
        <w:t xml:space="preserve">judgment” </w:t>
      </w:r>
      <w:r w:rsidR="003F7107">
        <w:rPr>
          <w:color w:val="000000"/>
          <w:szCs w:val="24"/>
          <w:lang w:eastAsia="en-GB"/>
        </w:rPr>
        <w:t>did</w:t>
      </w:r>
      <w:r>
        <w:rPr>
          <w:color w:val="000000"/>
          <w:szCs w:val="24"/>
          <w:lang w:eastAsia="en-GB"/>
        </w:rPr>
        <w:t xml:space="preserve"> not guarantee procedural predictability to the party, who has lodged a </w:t>
      </w:r>
      <w:r w:rsidRPr="003717BC">
        <w:rPr>
          <w:color w:val="000000"/>
          <w:szCs w:val="24"/>
          <w:lang w:eastAsia="en-GB"/>
        </w:rPr>
        <w:t xml:space="preserve">cassation appeal </w:t>
      </w:r>
      <w:r>
        <w:rPr>
          <w:color w:val="000000"/>
          <w:szCs w:val="24"/>
          <w:lang w:eastAsia="en-GB"/>
        </w:rPr>
        <w:t xml:space="preserve">meeting all formal requirements. The right </w:t>
      </w:r>
      <w:r w:rsidR="00FB3353">
        <w:rPr>
          <w:color w:val="000000"/>
          <w:szCs w:val="24"/>
          <w:lang w:eastAsia="en-GB"/>
        </w:rPr>
        <w:t>of</w:t>
      </w:r>
      <w:r>
        <w:rPr>
          <w:color w:val="000000"/>
          <w:szCs w:val="24"/>
          <w:lang w:eastAsia="en-GB"/>
        </w:rPr>
        <w:t xml:space="preserve"> access to a court </w:t>
      </w:r>
      <w:r w:rsidR="009B27D1">
        <w:rPr>
          <w:color w:val="000000"/>
          <w:szCs w:val="24"/>
          <w:lang w:eastAsia="en-GB"/>
        </w:rPr>
        <w:t>ha</w:t>
      </w:r>
      <w:r w:rsidR="00FB3353">
        <w:rPr>
          <w:color w:val="000000"/>
          <w:szCs w:val="24"/>
          <w:lang w:eastAsia="en-GB"/>
        </w:rPr>
        <w:t>d</w:t>
      </w:r>
      <w:r>
        <w:rPr>
          <w:color w:val="000000"/>
          <w:szCs w:val="24"/>
          <w:lang w:eastAsia="en-GB"/>
        </w:rPr>
        <w:t xml:space="preserve"> thus </w:t>
      </w:r>
      <w:r w:rsidR="009B27D1" w:rsidRPr="003659E8">
        <w:rPr>
          <w:color w:val="000000"/>
          <w:szCs w:val="24"/>
          <w:lang w:eastAsia="en-GB"/>
        </w:rPr>
        <w:t xml:space="preserve">been </w:t>
      </w:r>
      <w:r w:rsidRPr="003659E8">
        <w:rPr>
          <w:color w:val="000000"/>
          <w:szCs w:val="24"/>
          <w:lang w:eastAsia="en-GB"/>
        </w:rPr>
        <w:t xml:space="preserve">transformed into </w:t>
      </w:r>
      <w:r w:rsidR="004360DB" w:rsidRPr="003659E8">
        <w:rPr>
          <w:color w:val="000000"/>
          <w:szCs w:val="24"/>
          <w:lang w:eastAsia="en-GB"/>
        </w:rPr>
        <w:t xml:space="preserve">a </w:t>
      </w:r>
      <w:r w:rsidR="00415507" w:rsidRPr="003659E8">
        <w:rPr>
          <w:color w:val="000000"/>
          <w:szCs w:val="24"/>
          <w:lang w:eastAsia="en-GB"/>
        </w:rPr>
        <w:t>pretence of this right.</w:t>
      </w:r>
    </w:p>
    <w:p w:rsidR="003966A9" w:rsidRDefault="00032268" w:rsidP="003966A9">
      <w:pPr>
        <w:pStyle w:val="JuPara"/>
        <w:rPr>
          <w:szCs w:val="24"/>
          <w:lang w:eastAsia="en-GB"/>
        </w:rPr>
      </w:pPr>
      <w:r w:rsidRPr="003659E8">
        <w:rPr>
          <w:szCs w:val="24"/>
          <w:lang w:eastAsia="en-GB"/>
        </w:rPr>
        <w:fldChar w:fldCharType="begin"/>
      </w:r>
      <w:r w:rsidRPr="003659E8">
        <w:rPr>
          <w:szCs w:val="24"/>
          <w:lang w:eastAsia="en-GB"/>
        </w:rPr>
        <w:instrText xml:space="preserve"> SEQ level0 \*arabic </w:instrText>
      </w:r>
      <w:r w:rsidRPr="003659E8">
        <w:rPr>
          <w:szCs w:val="24"/>
          <w:lang w:eastAsia="en-GB"/>
        </w:rPr>
        <w:fldChar w:fldCharType="separate"/>
      </w:r>
      <w:r w:rsidR="004373EA">
        <w:rPr>
          <w:noProof/>
          <w:szCs w:val="24"/>
          <w:lang w:eastAsia="en-GB"/>
        </w:rPr>
        <w:t>49</w:t>
      </w:r>
      <w:r w:rsidRPr="003659E8">
        <w:rPr>
          <w:szCs w:val="24"/>
          <w:lang w:eastAsia="en-GB"/>
        </w:rPr>
        <w:fldChar w:fldCharType="end"/>
      </w:r>
      <w:r w:rsidRPr="003659E8">
        <w:rPr>
          <w:szCs w:val="24"/>
          <w:lang w:eastAsia="en-GB"/>
        </w:rPr>
        <w:t>.  </w:t>
      </w:r>
      <w:r w:rsidR="003966A9" w:rsidRPr="003659E8">
        <w:rPr>
          <w:szCs w:val="24"/>
          <w:lang w:eastAsia="en-GB"/>
        </w:rPr>
        <w:t>Ne</w:t>
      </w:r>
      <w:r w:rsidR="003966A9" w:rsidRPr="003659E8">
        <w:t xml:space="preserve">vertheless the </w:t>
      </w:r>
      <w:smartTag w:uri="urn:schemas-microsoft-com:office:smarttags" w:element="Street">
        <w:smartTag w:uri="urn:schemas-microsoft-com:office:smarttags" w:element="address">
          <w:r w:rsidR="003C14D2" w:rsidRPr="003659E8">
            <w:rPr>
              <w:color w:val="000000"/>
            </w:rPr>
            <w:t>Constitutional Court</w:t>
          </w:r>
        </w:smartTag>
      </w:smartTag>
      <w:r w:rsidR="003C14D2" w:rsidRPr="003659E8">
        <w:rPr>
          <w:color w:val="000000"/>
        </w:rPr>
        <w:t xml:space="preserve"> </w:t>
      </w:r>
      <w:r w:rsidR="003966A9" w:rsidRPr="003659E8">
        <w:t>found that it was the practice</w:t>
      </w:r>
      <w:r w:rsidR="003966A9" w:rsidRPr="00CB1711">
        <w:t xml:space="preserve"> of the Supreme Court</w:t>
      </w:r>
      <w:r w:rsidR="003966A9" w:rsidRPr="00CE6CB5">
        <w:rPr>
          <w:szCs w:val="24"/>
          <w:lang w:eastAsia="en-GB"/>
        </w:rPr>
        <w:t xml:space="preserve"> that deserved disapproval and not the relevant provisions, </w:t>
      </w:r>
      <w:r w:rsidR="003966A9">
        <w:rPr>
          <w:szCs w:val="24"/>
          <w:lang w:eastAsia="en-GB"/>
        </w:rPr>
        <w:t>and the wording of those</w:t>
      </w:r>
      <w:r w:rsidR="003966A9" w:rsidRPr="00CE6CB5">
        <w:rPr>
          <w:szCs w:val="24"/>
          <w:lang w:eastAsia="en-GB"/>
        </w:rPr>
        <w:t xml:space="preserve"> provisions could not be considered unconstitutional. </w:t>
      </w:r>
      <w:r w:rsidR="000F6653">
        <w:rPr>
          <w:szCs w:val="24"/>
          <w:lang w:eastAsia="en-GB"/>
        </w:rPr>
        <w:t xml:space="preserve">In this context the court observed that the practice </w:t>
      </w:r>
      <w:r w:rsidR="00367088">
        <w:rPr>
          <w:szCs w:val="24"/>
          <w:lang w:eastAsia="en-GB"/>
        </w:rPr>
        <w:t>was</w:t>
      </w:r>
      <w:r w:rsidR="000F6653">
        <w:rPr>
          <w:szCs w:val="24"/>
          <w:lang w:eastAsia="en-GB"/>
        </w:rPr>
        <w:t xml:space="preserve"> not uniform and certain chambers of the </w:t>
      </w:r>
      <w:r w:rsidR="000F6653" w:rsidRPr="000F6653">
        <w:rPr>
          <w:szCs w:val="24"/>
          <w:lang w:eastAsia="en-GB"/>
        </w:rPr>
        <w:t xml:space="preserve">Supreme Court </w:t>
      </w:r>
      <w:r w:rsidR="000F6653">
        <w:rPr>
          <w:szCs w:val="24"/>
          <w:lang w:eastAsia="en-GB"/>
        </w:rPr>
        <w:t xml:space="preserve">justified their decisions in a much more elaborate and substantive way. </w:t>
      </w:r>
      <w:r w:rsidR="003966A9">
        <w:rPr>
          <w:szCs w:val="24"/>
          <w:lang w:eastAsia="en-GB"/>
        </w:rPr>
        <w:t xml:space="preserve">The court further observed that the challenged provisions had already ceased to exist </w:t>
      </w:r>
      <w:r w:rsidR="003966A9" w:rsidRPr="005C1786">
        <w:rPr>
          <w:szCs w:val="24"/>
          <w:lang w:eastAsia="en-GB"/>
        </w:rPr>
        <w:t xml:space="preserve">prior to the delivery of </w:t>
      </w:r>
      <w:r w:rsidR="003966A9">
        <w:rPr>
          <w:szCs w:val="24"/>
          <w:lang w:eastAsia="en-GB"/>
        </w:rPr>
        <w:t>the present judgment.</w:t>
      </w:r>
    </w:p>
    <w:p w:rsidR="003966A9" w:rsidRPr="00CE6CB5" w:rsidRDefault="00032268" w:rsidP="003966A9">
      <w:pPr>
        <w:pStyle w:val="JuPara"/>
        <w:rPr>
          <w:color w:val="000000"/>
          <w:szCs w:val="24"/>
          <w:lang w:eastAsia="en-GB"/>
        </w:rPr>
      </w:pPr>
      <w:r>
        <w:fldChar w:fldCharType="begin"/>
      </w:r>
      <w:r>
        <w:instrText xml:space="preserve"> SEQ level0 \*arabic </w:instrText>
      </w:r>
      <w:r>
        <w:fldChar w:fldCharType="separate"/>
      </w:r>
      <w:r w:rsidR="004373EA">
        <w:rPr>
          <w:noProof/>
        </w:rPr>
        <w:t>50</w:t>
      </w:r>
      <w:r>
        <w:fldChar w:fldCharType="end"/>
      </w:r>
      <w:r>
        <w:t>.  </w:t>
      </w:r>
      <w:r w:rsidR="007166A4">
        <w:rPr>
          <w:szCs w:val="24"/>
          <w:lang w:eastAsia="en-GB"/>
        </w:rPr>
        <w:t>Accordingly</w:t>
      </w:r>
      <w:r w:rsidR="003966A9" w:rsidRPr="00CE6CB5">
        <w:rPr>
          <w:szCs w:val="24"/>
          <w:lang w:eastAsia="en-GB"/>
        </w:rPr>
        <w:t xml:space="preserve">, the </w:t>
      </w:r>
      <w:smartTag w:uri="urn:schemas-microsoft-com:office:smarttags" w:element="Street">
        <w:smartTag w:uri="urn:schemas-microsoft-com:office:smarttags" w:element="address">
          <w:r w:rsidR="003966A9" w:rsidRPr="00CE6CB5">
            <w:rPr>
              <w:color w:val="000000"/>
              <w:szCs w:val="24"/>
              <w:lang w:eastAsia="en-GB"/>
            </w:rPr>
            <w:t>Constitutional Court</w:t>
          </w:r>
        </w:smartTag>
      </w:smartTag>
      <w:r w:rsidR="003966A9" w:rsidRPr="00CE6CB5">
        <w:rPr>
          <w:color w:val="000000"/>
          <w:szCs w:val="24"/>
          <w:lang w:eastAsia="en-GB"/>
        </w:rPr>
        <w:t xml:space="preserve"> </w:t>
      </w:r>
      <w:r w:rsidR="003966A9">
        <w:rPr>
          <w:color w:val="000000"/>
          <w:szCs w:val="24"/>
          <w:lang w:eastAsia="en-GB"/>
        </w:rPr>
        <w:t xml:space="preserve">refused to decide on the compatibility of those provisions with the Constitution </w:t>
      </w:r>
      <w:r w:rsidR="003966A9" w:rsidRPr="00CE6CB5">
        <w:rPr>
          <w:color w:val="000000"/>
          <w:szCs w:val="24"/>
          <w:lang w:eastAsia="en-GB"/>
        </w:rPr>
        <w:t>and discontinued the proceedings</w:t>
      </w:r>
      <w:r w:rsidR="003966A9">
        <w:rPr>
          <w:color w:val="000000"/>
          <w:szCs w:val="24"/>
          <w:lang w:eastAsia="en-GB"/>
        </w:rPr>
        <w:t xml:space="preserve"> in this respect</w:t>
      </w:r>
      <w:r w:rsidR="003966A9" w:rsidRPr="00CE6CB5">
        <w:rPr>
          <w:color w:val="000000"/>
          <w:szCs w:val="24"/>
          <w:lang w:eastAsia="en-GB"/>
        </w:rPr>
        <w:t>.</w:t>
      </w:r>
    </w:p>
    <w:p w:rsidR="003966A9" w:rsidRDefault="00C41151" w:rsidP="00C41151">
      <w:pPr>
        <w:pStyle w:val="JuHA"/>
        <w:rPr>
          <w:lang w:eastAsia="en-GB"/>
        </w:rPr>
      </w:pPr>
      <w:r>
        <w:rPr>
          <w:lang w:eastAsia="en-GB"/>
        </w:rPr>
        <w:t>3.  </w:t>
      </w:r>
      <w:r w:rsidR="003966A9" w:rsidRPr="00645224">
        <w:rPr>
          <w:lang w:eastAsia="en-GB"/>
        </w:rPr>
        <w:t>The individual constitutional complaint</w:t>
      </w:r>
    </w:p>
    <w:p w:rsidR="003966A9" w:rsidRDefault="00032268" w:rsidP="003966A9">
      <w:pPr>
        <w:pStyle w:val="JuPara"/>
      </w:pPr>
      <w:r>
        <w:rPr>
          <w:color w:val="000000"/>
        </w:rPr>
        <w:fldChar w:fldCharType="begin"/>
      </w:r>
      <w:r>
        <w:rPr>
          <w:color w:val="000000"/>
        </w:rPr>
        <w:instrText xml:space="preserve"> SEQ level0 \*arabic </w:instrText>
      </w:r>
      <w:r>
        <w:rPr>
          <w:color w:val="000000"/>
        </w:rPr>
        <w:fldChar w:fldCharType="separate"/>
      </w:r>
      <w:r w:rsidR="004373EA">
        <w:rPr>
          <w:noProof/>
          <w:color w:val="000000"/>
        </w:rPr>
        <w:t>51</w:t>
      </w:r>
      <w:r>
        <w:rPr>
          <w:color w:val="000000"/>
        </w:rPr>
        <w:fldChar w:fldCharType="end"/>
      </w:r>
      <w:r>
        <w:rPr>
          <w:color w:val="000000"/>
        </w:rPr>
        <w:t>.  </w:t>
      </w:r>
      <w:r w:rsidR="003966A9" w:rsidRPr="00096303">
        <w:rPr>
          <w:color w:val="000000"/>
        </w:rPr>
        <w:t>Article</w:t>
      </w:r>
      <w:r w:rsidR="003966A9">
        <w:t xml:space="preserve"> 79 § 1 of the Constitution, which entered into force on 17 October 1997, provides as follows:</w:t>
      </w:r>
    </w:p>
    <w:p w:rsidR="003966A9" w:rsidRDefault="003966A9" w:rsidP="003966A9">
      <w:pPr>
        <w:pStyle w:val="JuQuot"/>
      </w:pPr>
      <w:r>
        <w:t xml:space="preserve">“In accordance with principles specified by statute, everyone whose constitutional freedoms or rights have been infringed, shall have the right to appeal to the </w:t>
      </w:r>
      <w:bookmarkStart w:id="75" w:name="HIT3"/>
      <w:bookmarkEnd w:id="75"/>
      <w:r w:rsidRPr="00096303">
        <w:t>Constitutional</w:t>
      </w:r>
      <w:r>
        <w:t xml:space="preserve"> </w:t>
      </w:r>
      <w:bookmarkStart w:id="76" w:name="HIT4"/>
      <w:bookmarkEnd w:id="76"/>
      <w:r w:rsidRPr="00096303">
        <w:t>Court</w:t>
      </w:r>
      <w:r>
        <w:t xml:space="preserve"> for a judgment on the conformity with the Constitution of a statute or another normative act on the basis of which a court or an administrative authority has issued a final decision on his freedoms or rights or on his obligations specified in the Constitution.”</w:t>
      </w:r>
    </w:p>
    <w:p w:rsidR="003966A9" w:rsidRPr="00096303" w:rsidRDefault="00032268" w:rsidP="003966A9">
      <w:pPr>
        <w:pStyle w:val="JuPara"/>
        <w:rPr>
          <w:color w:val="000000"/>
        </w:rPr>
      </w:pPr>
      <w:r>
        <w:rPr>
          <w:color w:val="000000"/>
        </w:rPr>
        <w:fldChar w:fldCharType="begin"/>
      </w:r>
      <w:r>
        <w:rPr>
          <w:color w:val="000000"/>
        </w:rPr>
        <w:instrText xml:space="preserve"> SEQ level0 \*arabic </w:instrText>
      </w:r>
      <w:r>
        <w:rPr>
          <w:color w:val="000000"/>
        </w:rPr>
        <w:fldChar w:fldCharType="separate"/>
      </w:r>
      <w:r w:rsidR="004373EA">
        <w:rPr>
          <w:noProof/>
          <w:color w:val="000000"/>
        </w:rPr>
        <w:t>52</w:t>
      </w:r>
      <w:r>
        <w:rPr>
          <w:color w:val="000000"/>
        </w:rPr>
        <w:fldChar w:fldCharType="end"/>
      </w:r>
      <w:r>
        <w:rPr>
          <w:color w:val="000000"/>
        </w:rPr>
        <w:t>.  </w:t>
      </w:r>
      <w:r w:rsidR="003966A9" w:rsidRPr="00096303">
        <w:rPr>
          <w:color w:val="000000"/>
        </w:rPr>
        <w:t>Article 190 of the Constitution, insofar as relevant, provides as follows:</w:t>
      </w:r>
    </w:p>
    <w:p w:rsidR="003966A9" w:rsidRDefault="003966A9" w:rsidP="003966A9">
      <w:pPr>
        <w:pStyle w:val="JuQuot"/>
      </w:pPr>
      <w:r>
        <w:t xml:space="preserve">“1.  Judgments of the </w:t>
      </w:r>
      <w:bookmarkStart w:id="77" w:name="HIT5"/>
      <w:bookmarkEnd w:id="77"/>
      <w:smartTag w:uri="urn:schemas-microsoft-com:office:smarttags" w:element="Street">
        <w:smartTag w:uri="urn:schemas-microsoft-com:office:smarttags" w:element="address">
          <w:r w:rsidRPr="00096303">
            <w:t>Constitutional</w:t>
          </w:r>
          <w:r>
            <w:t xml:space="preserve"> </w:t>
          </w:r>
          <w:bookmarkStart w:id="78" w:name="HIT6"/>
          <w:bookmarkEnd w:id="78"/>
          <w:r w:rsidRPr="00096303">
            <w:t>Court</w:t>
          </w:r>
        </w:smartTag>
      </w:smartTag>
      <w:r>
        <w:t xml:space="preserve"> shall be universally binding and final.</w:t>
      </w:r>
    </w:p>
    <w:p w:rsidR="003966A9" w:rsidRDefault="003966A9" w:rsidP="003966A9">
      <w:pPr>
        <w:pStyle w:val="JuQuot"/>
      </w:pPr>
      <w:r>
        <w:t xml:space="preserve">2.  Judgments of the </w:t>
      </w:r>
      <w:bookmarkStart w:id="79" w:name="HIT7"/>
      <w:bookmarkEnd w:id="79"/>
      <w:smartTag w:uri="urn:schemas-microsoft-com:office:smarttags" w:element="Street">
        <w:smartTag w:uri="urn:schemas-microsoft-com:office:smarttags" w:element="address">
          <w:r w:rsidRPr="00096303">
            <w:t>Constitutional</w:t>
          </w:r>
          <w:r>
            <w:t xml:space="preserve"> </w:t>
          </w:r>
          <w:bookmarkStart w:id="80" w:name="HIT8"/>
          <w:bookmarkEnd w:id="80"/>
          <w:r w:rsidRPr="00096303">
            <w:t>Court</w:t>
          </w:r>
        </w:smartTag>
      </w:smartTag>
      <w:r>
        <w:t>, ... shall be published without delay.</w:t>
      </w:r>
    </w:p>
    <w:p w:rsidR="003966A9" w:rsidRDefault="003966A9" w:rsidP="003966A9">
      <w:pPr>
        <w:pStyle w:val="JuQuot"/>
      </w:pPr>
      <w:r>
        <w:t xml:space="preserve">3.  A judgment of the </w:t>
      </w:r>
      <w:bookmarkStart w:id="81" w:name="HIT9"/>
      <w:bookmarkEnd w:id="81"/>
      <w:smartTag w:uri="urn:schemas-microsoft-com:office:smarttags" w:element="Street">
        <w:smartTag w:uri="urn:schemas-microsoft-com:office:smarttags" w:element="address">
          <w:r w:rsidRPr="00096303">
            <w:t>Constitutional</w:t>
          </w:r>
          <w:r>
            <w:t xml:space="preserve"> </w:t>
          </w:r>
          <w:bookmarkStart w:id="82" w:name="HIT10"/>
          <w:bookmarkEnd w:id="82"/>
          <w:r w:rsidRPr="00096303">
            <w:t>Court</w:t>
          </w:r>
        </w:smartTag>
      </w:smartTag>
      <w:r>
        <w:t xml:space="preserve"> shall take effect from the day of its publication; however, the </w:t>
      </w:r>
      <w:bookmarkStart w:id="83" w:name="HIT11"/>
      <w:bookmarkEnd w:id="83"/>
      <w:smartTag w:uri="urn:schemas-microsoft-com:office:smarttags" w:element="Street">
        <w:smartTag w:uri="urn:schemas-microsoft-com:office:smarttags" w:element="address">
          <w:r w:rsidRPr="00096303">
            <w:t>Constitutional</w:t>
          </w:r>
          <w:r>
            <w:t xml:space="preserve"> </w:t>
          </w:r>
          <w:r w:rsidRPr="00096303">
            <w:t>Court</w:t>
          </w:r>
        </w:smartTag>
      </w:smartTag>
      <w:r>
        <w:t xml:space="preserve"> may specify another date for the end of the binding force of a normative act. Such time-limit may not exceed 18 months in relation to a statute or 12 months in relation to any other normative act. ...</w:t>
      </w:r>
    </w:p>
    <w:p w:rsidR="003966A9" w:rsidRDefault="003966A9" w:rsidP="003966A9">
      <w:pPr>
        <w:pStyle w:val="JuQuot"/>
      </w:pPr>
      <w:r>
        <w:t xml:space="preserve">4.  A judgment of the </w:t>
      </w:r>
      <w:r w:rsidRPr="00096303">
        <w:t>Constitutional</w:t>
      </w:r>
      <w:r>
        <w:t xml:space="preserve"> </w:t>
      </w:r>
      <w:r w:rsidRPr="00096303">
        <w:t>Court</w:t>
      </w:r>
      <w:r>
        <w:t xml:space="preserve"> on the non-conformity with the Constitution, an international agreement or statute, of a normative act on the basis of which a final and enforceable judicial decision or a final administrative decision ... was given, shall be a basis for re-opening of the proceedings, or for quashing the decision ... in a manner and on principles specified in provisions applicable to the given proceedings.”</w:t>
      </w:r>
    </w:p>
    <w:p w:rsidR="003966A9" w:rsidRPr="00096303" w:rsidRDefault="00032268" w:rsidP="003966A9">
      <w:pPr>
        <w:pStyle w:val="JuPara"/>
        <w:rPr>
          <w:color w:val="000000"/>
        </w:rPr>
      </w:pPr>
      <w:r>
        <w:rPr>
          <w:color w:val="000000"/>
        </w:rPr>
        <w:fldChar w:fldCharType="begin"/>
      </w:r>
      <w:r>
        <w:rPr>
          <w:color w:val="000000"/>
        </w:rPr>
        <w:instrText xml:space="preserve"> SEQ level0 \*arabic </w:instrText>
      </w:r>
      <w:r>
        <w:rPr>
          <w:color w:val="000000"/>
        </w:rPr>
        <w:fldChar w:fldCharType="separate"/>
      </w:r>
      <w:r w:rsidR="004373EA">
        <w:rPr>
          <w:noProof/>
          <w:color w:val="000000"/>
        </w:rPr>
        <w:t>53</w:t>
      </w:r>
      <w:r>
        <w:rPr>
          <w:color w:val="000000"/>
        </w:rPr>
        <w:fldChar w:fldCharType="end"/>
      </w:r>
      <w:r>
        <w:rPr>
          <w:color w:val="000000"/>
        </w:rPr>
        <w:t>.  </w:t>
      </w:r>
      <w:r w:rsidR="003966A9" w:rsidRPr="00096303">
        <w:rPr>
          <w:color w:val="000000"/>
        </w:rPr>
        <w:t xml:space="preserve">Article 39 of the Constitutional </w:t>
      </w:r>
      <w:bookmarkStart w:id="84" w:name="HIT18"/>
      <w:bookmarkEnd w:id="84"/>
      <w:r w:rsidR="003966A9" w:rsidRPr="00096303">
        <w:rPr>
          <w:color w:val="000000"/>
        </w:rPr>
        <w:t>Court Act reads:</w:t>
      </w:r>
    </w:p>
    <w:p w:rsidR="003966A9" w:rsidRDefault="003966A9" w:rsidP="003966A9">
      <w:pPr>
        <w:pStyle w:val="JuQuot"/>
      </w:pPr>
      <w:r>
        <w:t>“1. The Court shall, at a sitting in camera, discontinue the proceedings:</w:t>
      </w:r>
    </w:p>
    <w:p w:rsidR="003966A9" w:rsidRDefault="003966A9" w:rsidP="003966A9">
      <w:pPr>
        <w:pStyle w:val="JuQuot"/>
        <w:spacing w:before="0"/>
      </w:pPr>
      <w:r>
        <w:t>1) if the pronouncement of a judicial decision would not serve any purpose or is inadmissible;</w:t>
      </w:r>
    </w:p>
    <w:p w:rsidR="003966A9" w:rsidRDefault="003966A9" w:rsidP="003966A9">
      <w:pPr>
        <w:pStyle w:val="JuQuot"/>
        <w:spacing w:before="0"/>
      </w:pPr>
      <w:r>
        <w:t>2) in consequence of the withdrawal of the application, question of law or constitutional complaint;</w:t>
      </w:r>
    </w:p>
    <w:p w:rsidR="003966A9" w:rsidRDefault="003966A9" w:rsidP="003966A9">
      <w:pPr>
        <w:pStyle w:val="JuQuot"/>
        <w:spacing w:before="0"/>
      </w:pPr>
      <w:r>
        <w:t>3) if the normative act has ceased to have effect ... prior to the delivery of a judicial decision by the Tribunal.</w:t>
      </w:r>
    </w:p>
    <w:p w:rsidR="003966A9" w:rsidRDefault="003966A9" w:rsidP="003966A9">
      <w:pPr>
        <w:pStyle w:val="JuQuot"/>
        <w:spacing w:before="0"/>
      </w:pPr>
      <w:r>
        <w:t>2. If these circumstances come to light at the hearing, the Tribunal shall take a decision to discontinue the proceedings.</w:t>
      </w:r>
    </w:p>
    <w:p w:rsidR="003966A9" w:rsidRDefault="003966A9" w:rsidP="003966A9">
      <w:pPr>
        <w:pStyle w:val="JuQuot"/>
        <w:spacing w:before="0"/>
      </w:pPr>
      <w:r>
        <w:t xml:space="preserve">3. Item 1 (3) of the present </w:t>
      </w:r>
      <w:r w:rsidRPr="00024D8A">
        <w:rPr>
          <w:color w:val="000000"/>
          <w:szCs w:val="24"/>
          <w:lang w:eastAsia="en-GB"/>
        </w:rPr>
        <w:t xml:space="preserve">Article </w:t>
      </w:r>
      <w:r>
        <w:t>does not apply if giving a decision on the compatibility with the Constitution of a normative act which has already lost its validity is necessary for the protection of the constitutional freedoms and rights.”</w:t>
      </w:r>
    </w:p>
    <w:p w:rsidR="003966A9" w:rsidRPr="00A878F7" w:rsidRDefault="00C41151" w:rsidP="00C41151">
      <w:pPr>
        <w:pStyle w:val="JuHA"/>
        <w:rPr>
          <w:lang w:eastAsia="en-GB"/>
        </w:rPr>
      </w:pPr>
      <w:r>
        <w:rPr>
          <w:lang w:eastAsia="en-GB"/>
        </w:rPr>
        <w:t>4.  </w:t>
      </w:r>
      <w:r w:rsidR="003966A9" w:rsidRPr="00A878F7">
        <w:rPr>
          <w:lang w:eastAsia="en-GB"/>
        </w:rPr>
        <w:t xml:space="preserve">Re-opening of civil proceedings following a judgment of the </w:t>
      </w:r>
      <w:bookmarkStart w:id="85" w:name="HIT19"/>
      <w:bookmarkEnd w:id="85"/>
      <w:smartTag w:uri="urn:schemas-microsoft-com:office:smarttags" w:element="Street">
        <w:smartTag w:uri="urn:schemas-microsoft-com:office:smarttags" w:element="address">
          <w:r w:rsidR="003966A9" w:rsidRPr="00A878F7">
            <w:rPr>
              <w:lang w:eastAsia="en-GB"/>
            </w:rPr>
            <w:t xml:space="preserve">Constitutional </w:t>
          </w:r>
          <w:bookmarkStart w:id="86" w:name="HIT20"/>
          <w:bookmarkEnd w:id="86"/>
          <w:r w:rsidR="003966A9" w:rsidRPr="00A878F7">
            <w:rPr>
              <w:lang w:eastAsia="en-GB"/>
            </w:rPr>
            <w:t>Court</w:t>
          </w:r>
        </w:smartTag>
      </w:smartTag>
    </w:p>
    <w:p w:rsidR="003966A9" w:rsidRPr="00A878F7" w:rsidRDefault="00032268" w:rsidP="003966A9">
      <w:pPr>
        <w:pStyle w:val="JuPara"/>
        <w:rPr>
          <w:color w:val="000000"/>
        </w:rPr>
      </w:pPr>
      <w:r w:rsidRPr="00A878F7">
        <w:fldChar w:fldCharType="begin"/>
      </w:r>
      <w:r w:rsidRPr="00A878F7">
        <w:instrText xml:space="preserve"> SEQ level0 \*arabic </w:instrText>
      </w:r>
      <w:r w:rsidRPr="00A878F7">
        <w:fldChar w:fldCharType="separate"/>
      </w:r>
      <w:r w:rsidR="004373EA">
        <w:rPr>
          <w:noProof/>
        </w:rPr>
        <w:t>54</w:t>
      </w:r>
      <w:r w:rsidRPr="00A878F7">
        <w:fldChar w:fldCharType="end"/>
      </w:r>
      <w:r w:rsidRPr="00A878F7">
        <w:t>.  </w:t>
      </w:r>
      <w:r w:rsidR="003966A9" w:rsidRPr="00A878F7">
        <w:t>Article</w:t>
      </w:r>
      <w:r w:rsidR="003966A9" w:rsidRPr="00A878F7">
        <w:rPr>
          <w:rStyle w:val="ju-005fpara--char"/>
          <w:i/>
          <w:iCs/>
        </w:rPr>
        <w:t xml:space="preserve"> </w:t>
      </w:r>
      <w:r w:rsidR="003966A9" w:rsidRPr="00A878F7">
        <w:t>401</w:t>
      </w:r>
      <w:r w:rsidR="003966A9" w:rsidRPr="00A878F7">
        <w:rPr>
          <w:vertAlign w:val="superscript"/>
        </w:rPr>
        <w:t xml:space="preserve">1 </w:t>
      </w:r>
      <w:r w:rsidR="003966A9" w:rsidRPr="00A878F7">
        <w:t xml:space="preserve">of the Code of Civil Procedure provides that a party to civil proceedings which have ended with a final judgment on the merits can request that </w:t>
      </w:r>
      <w:r w:rsidR="003966A9" w:rsidRPr="00A878F7">
        <w:rPr>
          <w:color w:val="000000"/>
        </w:rPr>
        <w:t>these</w:t>
      </w:r>
      <w:r w:rsidR="003966A9" w:rsidRPr="00A878F7">
        <w:t xml:space="preserve"> proceedings be re-opened, if </w:t>
      </w:r>
      <w:r w:rsidR="003966A9" w:rsidRPr="00A878F7">
        <w:rPr>
          <w:color w:val="000000"/>
        </w:rPr>
        <w:t xml:space="preserve">the </w:t>
      </w:r>
      <w:bookmarkStart w:id="87" w:name="HIT21"/>
      <w:bookmarkEnd w:id="87"/>
      <w:smartTag w:uri="urn:schemas-microsoft-com:office:smarttags" w:element="Street">
        <w:smartTag w:uri="urn:schemas-microsoft-com:office:smarttags" w:element="address">
          <w:r w:rsidR="003966A9" w:rsidRPr="00A878F7">
            <w:rPr>
              <w:color w:val="000000"/>
            </w:rPr>
            <w:t xml:space="preserve">Constitutional </w:t>
          </w:r>
          <w:bookmarkStart w:id="88" w:name="HIT22"/>
          <w:bookmarkEnd w:id="88"/>
          <w:r w:rsidR="003966A9" w:rsidRPr="00A878F7">
            <w:rPr>
              <w:color w:val="000000"/>
            </w:rPr>
            <w:t>Court</w:t>
          </w:r>
        </w:smartTag>
      </w:smartTag>
      <w:r w:rsidR="003966A9" w:rsidRPr="00A878F7">
        <w:rPr>
          <w:color w:val="000000"/>
        </w:rPr>
        <w:t xml:space="preserve"> has found that the legal provision on the basis of which this judgment was given was incompatible with the Constitution. Such a request can be lodged with the competent court within one month from the date of the judgment of the </w:t>
      </w:r>
      <w:bookmarkStart w:id="89" w:name="HIT23"/>
      <w:bookmarkEnd w:id="89"/>
      <w:smartTag w:uri="urn:schemas-microsoft-com:office:smarttags" w:element="Street">
        <w:smartTag w:uri="urn:schemas-microsoft-com:office:smarttags" w:element="address">
          <w:r w:rsidR="003966A9" w:rsidRPr="00A878F7">
            <w:rPr>
              <w:color w:val="000000"/>
            </w:rPr>
            <w:t xml:space="preserve">Constitutional </w:t>
          </w:r>
          <w:bookmarkStart w:id="90" w:name="HIT24"/>
          <w:bookmarkEnd w:id="90"/>
          <w:r w:rsidR="003966A9" w:rsidRPr="00A878F7">
            <w:rPr>
              <w:color w:val="000000"/>
            </w:rPr>
            <w:t>Court</w:t>
          </w:r>
        </w:smartTag>
      </w:smartTag>
      <w:r w:rsidR="003966A9" w:rsidRPr="00A878F7">
        <w:rPr>
          <w:color w:val="000000"/>
        </w:rPr>
        <w:t>.</w:t>
      </w:r>
    </w:p>
    <w:p w:rsidR="003966A9" w:rsidRPr="00CE7A4F" w:rsidRDefault="00C41151" w:rsidP="00C41151">
      <w:pPr>
        <w:pStyle w:val="JuHA"/>
        <w:rPr>
          <w:lang w:eastAsia="en-GB"/>
        </w:rPr>
      </w:pPr>
      <w:r>
        <w:rPr>
          <w:lang w:eastAsia="en-GB"/>
        </w:rPr>
        <w:t>5.  </w:t>
      </w:r>
      <w:r w:rsidR="003966A9" w:rsidRPr="00A878F7">
        <w:rPr>
          <w:lang w:eastAsia="en-GB"/>
        </w:rPr>
        <w:t xml:space="preserve">The </w:t>
      </w:r>
      <w:r w:rsidR="003966A9" w:rsidRPr="00A878F7">
        <w:t xml:space="preserve">1945 </w:t>
      </w:r>
      <w:r w:rsidR="003966A9" w:rsidRPr="00A878F7">
        <w:rPr>
          <w:lang w:eastAsia="en-GB"/>
        </w:rPr>
        <w:t xml:space="preserve">Decree on real property in </w:t>
      </w:r>
      <w:smartTag w:uri="urn:schemas-microsoft-com:office:smarttags" w:element="place">
        <w:smartTag w:uri="urn:schemas-microsoft-com:office:smarttags" w:element="City">
          <w:r w:rsidR="003966A9" w:rsidRPr="00A878F7">
            <w:rPr>
              <w:lang w:eastAsia="en-GB"/>
            </w:rPr>
            <w:t>Warsaw</w:t>
          </w:r>
        </w:smartTag>
      </w:smartTag>
      <w:r w:rsidR="003966A9" w:rsidRPr="00A878F7">
        <w:rPr>
          <w:lang w:eastAsia="en-GB"/>
        </w:rPr>
        <w:t xml:space="preserve"> and the Local</w:t>
      </w:r>
      <w:r w:rsidR="003966A9">
        <w:rPr>
          <w:lang w:eastAsia="en-GB"/>
        </w:rPr>
        <w:t xml:space="preserve"> Government Act of 10 May 1990</w:t>
      </w:r>
    </w:p>
    <w:p w:rsidR="003966A9" w:rsidRPr="006728F4" w:rsidRDefault="00032268" w:rsidP="003966A9">
      <w:pPr>
        <w:pStyle w:val="JuPara"/>
      </w:pPr>
      <w:r>
        <w:fldChar w:fldCharType="begin"/>
      </w:r>
      <w:r>
        <w:instrText xml:space="preserve"> SEQ level0 \*arabic </w:instrText>
      </w:r>
      <w:r>
        <w:fldChar w:fldCharType="separate"/>
      </w:r>
      <w:r w:rsidR="004373EA">
        <w:rPr>
          <w:noProof/>
        </w:rPr>
        <w:t>55</w:t>
      </w:r>
      <w:r>
        <w:fldChar w:fldCharType="end"/>
      </w:r>
      <w:r>
        <w:t>.  </w:t>
      </w:r>
      <w:r w:rsidR="003966A9">
        <w:t xml:space="preserve">The </w:t>
      </w:r>
      <w:r w:rsidR="003966A9" w:rsidRPr="006728F4">
        <w:t xml:space="preserve">Decree of 26 October 1945 on real property in </w:t>
      </w:r>
      <w:smartTag w:uri="urn:schemas-microsoft-com:office:smarttags" w:element="City">
        <w:r w:rsidR="003966A9" w:rsidRPr="006728F4">
          <w:t>Warsaw</w:t>
        </w:r>
      </w:smartTag>
      <w:r w:rsidR="003966A9" w:rsidRPr="006728F4">
        <w:t xml:space="preserve"> expropriated real property situated in </w:t>
      </w:r>
      <w:smartTag w:uri="urn:schemas-microsoft-com:office:smarttags" w:element="City">
        <w:r w:rsidR="003966A9" w:rsidRPr="006728F4">
          <w:t>Warsaw</w:t>
        </w:r>
      </w:smartTag>
      <w:r w:rsidR="003966A9" w:rsidRPr="006728F4">
        <w:t xml:space="preserve"> and transferred ownership to the </w:t>
      </w:r>
      <w:smartTag w:uri="urn:schemas-microsoft-com:office:smarttags" w:element="place">
        <w:smartTag w:uri="urn:schemas-microsoft-com:office:smarttags" w:element="PlaceType">
          <w:r w:rsidR="003966A9" w:rsidRPr="006728F4">
            <w:t>municipality</w:t>
          </w:r>
        </w:smartTag>
        <w:r w:rsidR="003966A9" w:rsidRPr="006728F4">
          <w:t xml:space="preserve"> of </w:t>
        </w:r>
        <w:smartTag w:uri="urn:schemas-microsoft-com:office:smarttags" w:element="PlaceName">
          <w:r w:rsidR="003966A9" w:rsidRPr="006728F4">
            <w:t>Warsaw</w:t>
          </w:r>
        </w:smartTag>
      </w:smartTag>
      <w:r w:rsidR="003966A9" w:rsidRPr="006728F4">
        <w:t>.</w:t>
      </w:r>
    </w:p>
    <w:p w:rsidR="003966A9" w:rsidRDefault="00032268" w:rsidP="003966A9">
      <w:pPr>
        <w:pStyle w:val="JuPara"/>
      </w:pPr>
      <w:r>
        <w:fldChar w:fldCharType="begin"/>
      </w:r>
      <w:r>
        <w:instrText xml:space="preserve"> SEQ level0 \*arabic </w:instrText>
      </w:r>
      <w:r>
        <w:fldChar w:fldCharType="separate"/>
      </w:r>
      <w:r w:rsidR="004373EA">
        <w:rPr>
          <w:noProof/>
        </w:rPr>
        <w:t>56</w:t>
      </w:r>
      <w:r>
        <w:fldChar w:fldCharType="end"/>
      </w:r>
      <w:r>
        <w:t>.  </w:t>
      </w:r>
      <w:r w:rsidR="003966A9" w:rsidRPr="006728F4">
        <w:t xml:space="preserve">Pursuant to section 33(2) of the Local State Administration Act of 20 March 1950, ownership of property situated in </w:t>
      </w:r>
      <w:smartTag w:uri="urn:schemas-microsoft-com:office:smarttags" w:element="place">
        <w:smartTag w:uri="urn:schemas-microsoft-com:office:smarttags" w:element="City">
          <w:r w:rsidR="003966A9" w:rsidRPr="006728F4">
            <w:t>Warsaw</w:t>
          </w:r>
        </w:smartTag>
      </w:smartTag>
      <w:r w:rsidR="003966A9" w:rsidRPr="006728F4">
        <w:t xml:space="preserve"> was assigned to the State Treasury.</w:t>
      </w:r>
    </w:p>
    <w:p w:rsidR="003966A9" w:rsidRDefault="00032268" w:rsidP="003966A9">
      <w:pPr>
        <w:pStyle w:val="JuPara"/>
      </w:pPr>
      <w:r>
        <w:fldChar w:fldCharType="begin"/>
      </w:r>
      <w:r>
        <w:instrText xml:space="preserve"> SEQ level0 \*arabic </w:instrText>
      </w:r>
      <w:r>
        <w:fldChar w:fldCharType="separate"/>
      </w:r>
      <w:r w:rsidR="004373EA">
        <w:rPr>
          <w:noProof/>
        </w:rPr>
        <w:t>57</w:t>
      </w:r>
      <w:r>
        <w:fldChar w:fldCharType="end"/>
      </w:r>
      <w:r>
        <w:t>.  </w:t>
      </w:r>
      <w:r w:rsidR="003966A9">
        <w:t>A very significant reduction in the State Treasury</w:t>
      </w:r>
      <w:r w:rsidR="00925F1F">
        <w:t>’</w:t>
      </w:r>
      <w:r w:rsidR="003966A9">
        <w:t>s land resources was brought about by legislative measures aimed at reforming the administrative structure of the State.</w:t>
      </w:r>
    </w:p>
    <w:p w:rsidR="003966A9" w:rsidRDefault="00032268" w:rsidP="003966A9">
      <w:pPr>
        <w:pStyle w:val="JuPara"/>
      </w:pPr>
      <w:r>
        <w:fldChar w:fldCharType="begin"/>
      </w:r>
      <w:r>
        <w:instrText xml:space="preserve"> SEQ level0 \*arabic </w:instrText>
      </w:r>
      <w:r>
        <w:fldChar w:fldCharType="separate"/>
      </w:r>
      <w:r w:rsidR="004373EA">
        <w:rPr>
          <w:noProof/>
        </w:rPr>
        <w:t>58</w:t>
      </w:r>
      <w:r>
        <w:fldChar w:fldCharType="end"/>
      </w:r>
      <w:r>
        <w:t>.  </w:t>
      </w:r>
      <w:r w:rsidR="003966A9">
        <w:t xml:space="preserve">The Local Government </w:t>
      </w:r>
      <w:r w:rsidR="001C4E31">
        <w:t xml:space="preserve">(Introductory Provisions) </w:t>
      </w:r>
      <w:r w:rsidR="003966A9">
        <w:t>Act of 10 May 1990 (</w:t>
      </w:r>
      <w:r w:rsidR="003966A9">
        <w:rPr>
          <w:rStyle w:val="ju-005fpara--char"/>
          <w:i/>
          <w:iCs/>
        </w:rPr>
        <w:t>Przepisy wprowadzające</w:t>
      </w:r>
      <w:r w:rsidR="003966A9">
        <w:t xml:space="preserve"> </w:t>
      </w:r>
      <w:r w:rsidR="003966A9">
        <w:rPr>
          <w:rStyle w:val="ju-005fpara--char"/>
          <w:i/>
          <w:iCs/>
        </w:rPr>
        <w:t xml:space="preserve">ustawę o samorządzie terytorialnym i ustawę o pracownikach samorządowych – </w:t>
      </w:r>
      <w:r w:rsidR="003966A9">
        <w:t xml:space="preserve">“the 1990 Act”), which came into force on </w:t>
      </w:r>
      <w:bookmarkStart w:id="91" w:name="HIT1"/>
      <w:bookmarkEnd w:id="91"/>
      <w:r w:rsidR="003966A9" w:rsidRPr="00742A96">
        <w:t>27</w:t>
      </w:r>
      <w:r w:rsidR="003966A9">
        <w:t xml:space="preserve"> </w:t>
      </w:r>
      <w:bookmarkStart w:id="92" w:name="HIT2"/>
      <w:bookmarkEnd w:id="92"/>
      <w:r w:rsidR="003966A9" w:rsidRPr="00742A96">
        <w:t>May</w:t>
      </w:r>
      <w:r w:rsidR="003966A9">
        <w:t xml:space="preserve"> </w:t>
      </w:r>
      <w:r w:rsidR="003966A9" w:rsidRPr="00742A96">
        <w:t>1990</w:t>
      </w:r>
      <w:r w:rsidR="003966A9">
        <w:t xml:space="preserve">, and other related statutes enacted at that time, re-established </w:t>
      </w:r>
      <w:r w:rsidR="003966A9" w:rsidRPr="006728F4">
        <w:t>local government</w:t>
      </w:r>
      <w:r w:rsidR="003966A9">
        <w:t xml:space="preserve"> and municipalities and transferred to them powers that had previously been exercised solely by the local State administration. </w:t>
      </w:r>
      <w:r w:rsidR="003966A9" w:rsidRPr="006728F4">
        <w:t>Pursuant to section 5(1), ownership of land which had previously been held by the State Treasury and which had been within the administrative territory of municipalities at the relevant time was transferred to the municipality.</w:t>
      </w:r>
    </w:p>
    <w:p w:rsidR="003966A9" w:rsidRDefault="003F3A45" w:rsidP="003966A9">
      <w:pPr>
        <w:pStyle w:val="JuPara"/>
      </w:pPr>
      <w:r>
        <w:fldChar w:fldCharType="begin"/>
      </w:r>
      <w:r>
        <w:instrText xml:space="preserve"> SEQ level0 \*arabic </w:instrText>
      </w:r>
      <w:r>
        <w:fldChar w:fldCharType="separate"/>
      </w:r>
      <w:r w:rsidR="004373EA">
        <w:rPr>
          <w:noProof/>
        </w:rPr>
        <w:t>59</w:t>
      </w:r>
      <w:r>
        <w:fldChar w:fldCharType="end"/>
      </w:r>
      <w:r>
        <w:t>.  </w:t>
      </w:r>
      <w:r w:rsidR="003966A9">
        <w:t>Section 36 § 3 (3) of the Act provides, as far as relevant:</w:t>
      </w:r>
    </w:p>
    <w:p w:rsidR="003966A9" w:rsidRDefault="003966A9" w:rsidP="003966A9">
      <w:pPr>
        <w:pStyle w:val="JuQuot"/>
      </w:pPr>
      <w:r>
        <w:t>“The State Treasury takes over:</w:t>
      </w:r>
    </w:p>
    <w:p w:rsidR="003966A9" w:rsidRDefault="003966A9" w:rsidP="003966A9">
      <w:pPr>
        <w:pStyle w:val="JuQuot"/>
      </w:pPr>
      <w:r>
        <w:t xml:space="preserve">3) obligations and receivables of local </w:t>
      </w:r>
      <w:r w:rsidRPr="00865F59">
        <w:t>bodies</w:t>
      </w:r>
      <w:r>
        <w:t xml:space="preserve"> of state administration (...) resulting from final and binding court rulings and administrativ</w:t>
      </w:r>
      <w:r w:rsidR="00D4182C">
        <w:t>e decisions delivered before 27 </w:t>
      </w:r>
      <w:r>
        <w:t>May 1990 (...).”</w:t>
      </w:r>
    </w:p>
    <w:p w:rsidR="003966A9" w:rsidRDefault="00C41151" w:rsidP="00C41151">
      <w:pPr>
        <w:pStyle w:val="JuHA"/>
        <w:rPr>
          <w:lang w:eastAsia="en-GB"/>
        </w:rPr>
      </w:pPr>
      <w:r>
        <w:rPr>
          <w:lang w:eastAsia="en-GB"/>
        </w:rPr>
        <w:t>6.  </w:t>
      </w:r>
      <w:r w:rsidR="003966A9">
        <w:rPr>
          <w:lang w:eastAsia="en-GB"/>
        </w:rPr>
        <w:t xml:space="preserve">Compensation for damage caused by an </w:t>
      </w:r>
      <w:bookmarkStart w:id="93" w:name="HIT25"/>
      <w:bookmarkEnd w:id="93"/>
      <w:r w:rsidR="003966A9" w:rsidRPr="001D2B19">
        <w:rPr>
          <w:lang w:eastAsia="en-GB"/>
        </w:rPr>
        <w:t>administrative</w:t>
      </w:r>
      <w:r w:rsidR="003966A9">
        <w:rPr>
          <w:lang w:eastAsia="en-GB"/>
        </w:rPr>
        <w:t xml:space="preserve"> decision subsequently annulled or declared null and void</w:t>
      </w:r>
    </w:p>
    <w:p w:rsidR="003966A9" w:rsidRPr="001C5AA5" w:rsidRDefault="003F3A45" w:rsidP="003966A9">
      <w:pPr>
        <w:pStyle w:val="JuPara"/>
      </w:pPr>
      <w:r>
        <w:fldChar w:fldCharType="begin"/>
      </w:r>
      <w:r>
        <w:instrText xml:space="preserve"> SEQ level0 \*arabic </w:instrText>
      </w:r>
      <w:r>
        <w:fldChar w:fldCharType="separate"/>
      </w:r>
      <w:r w:rsidR="004373EA">
        <w:rPr>
          <w:noProof/>
        </w:rPr>
        <w:t>60</w:t>
      </w:r>
      <w:r>
        <w:fldChar w:fldCharType="end"/>
      </w:r>
      <w:r>
        <w:t>.  </w:t>
      </w:r>
      <w:r w:rsidR="003966A9" w:rsidRPr="00672037">
        <w:t xml:space="preserve">Article 155 of the Code of </w:t>
      </w:r>
      <w:bookmarkStart w:id="94" w:name="HIT26"/>
      <w:bookmarkEnd w:id="94"/>
      <w:r w:rsidR="003966A9" w:rsidRPr="00672037">
        <w:t xml:space="preserve">Administrative Procedure permits the amendment or annulment of any final </w:t>
      </w:r>
      <w:bookmarkStart w:id="95" w:name="HIT27"/>
      <w:bookmarkEnd w:id="95"/>
      <w:r w:rsidR="003966A9" w:rsidRPr="00672037">
        <w:t xml:space="preserve">administrative decision at any time where necessary in the general or individual interest, if this is not prohibited by specific legal provisions. In particular, pursuant to Article 156, a final </w:t>
      </w:r>
      <w:bookmarkStart w:id="96" w:name="HIT28"/>
      <w:bookmarkEnd w:id="96"/>
      <w:r w:rsidR="003966A9" w:rsidRPr="00672037">
        <w:t>administrative decision is subject to annulment if it has been issued by an authority which had no jurisdiction, or if it is without a legal basis or contrary to the applicable laws.</w:t>
      </w:r>
    </w:p>
    <w:bookmarkStart w:id="97" w:name="01000004"/>
    <w:bookmarkEnd w:id="97"/>
    <w:p w:rsidR="003966A9" w:rsidRDefault="003F3A45" w:rsidP="003966A9">
      <w:pPr>
        <w:pStyle w:val="JuPara"/>
      </w:pPr>
      <w:r>
        <w:fldChar w:fldCharType="begin"/>
      </w:r>
      <w:r>
        <w:instrText xml:space="preserve"> SEQ level0 \*arabic </w:instrText>
      </w:r>
      <w:r>
        <w:fldChar w:fldCharType="separate"/>
      </w:r>
      <w:r w:rsidR="004373EA">
        <w:rPr>
          <w:noProof/>
        </w:rPr>
        <w:t>61</w:t>
      </w:r>
      <w:r>
        <w:fldChar w:fldCharType="end"/>
      </w:r>
      <w:r>
        <w:t>.  </w:t>
      </w:r>
      <w:r w:rsidR="003966A9">
        <w:t xml:space="preserve">Article </w:t>
      </w:r>
      <w:bookmarkStart w:id="98" w:name="HIT36"/>
      <w:bookmarkEnd w:id="98"/>
      <w:r w:rsidR="003966A9" w:rsidRPr="005F2708">
        <w:t>160</w:t>
      </w:r>
      <w:r w:rsidR="003966A9">
        <w:t xml:space="preserve"> of the Code of </w:t>
      </w:r>
      <w:bookmarkStart w:id="99" w:name="HIT37"/>
      <w:bookmarkEnd w:id="99"/>
      <w:r w:rsidR="003966A9" w:rsidRPr="005F2708">
        <w:t>Administrative</w:t>
      </w:r>
      <w:r w:rsidR="003966A9">
        <w:t xml:space="preserve"> Procedure, </w:t>
      </w:r>
      <w:r w:rsidR="003966A9" w:rsidRPr="00672037">
        <w:t>as applicable at the material time</w:t>
      </w:r>
      <w:r w:rsidR="003966A9">
        <w:t>,</w:t>
      </w:r>
      <w:r w:rsidR="003966A9" w:rsidRPr="00672037">
        <w:t xml:space="preserve"> </w:t>
      </w:r>
      <w:r w:rsidR="003966A9">
        <w:t>read in its relevant part:</w:t>
      </w:r>
    </w:p>
    <w:p w:rsidR="003966A9" w:rsidRDefault="003966A9" w:rsidP="003966A9">
      <w:pPr>
        <w:pStyle w:val="JuQuot"/>
      </w:pPr>
      <w:r>
        <w:t xml:space="preserve">“A person who has suffered a loss on account of the issuing of a decision in a manner contrary to Article 156 § 1 or on account of </w:t>
      </w:r>
      <w:r w:rsidRPr="00F901D3">
        <w:t xml:space="preserve">the annulment of such a decision shall have a claim for compensation for actual </w:t>
      </w:r>
      <w:r w:rsidR="00C60C93" w:rsidRPr="00F901D3">
        <w:t>damage</w:t>
      </w:r>
      <w:r w:rsidRPr="00F901D3">
        <w:t>, u</w:t>
      </w:r>
      <w:r>
        <w:t>nless he has been responsible for the circumstances mentioned in this provision.”</w:t>
      </w:r>
    </w:p>
    <w:p w:rsidR="003966A9" w:rsidRPr="0034290B" w:rsidRDefault="003F3A45" w:rsidP="003966A9">
      <w:pPr>
        <w:pStyle w:val="JuPara"/>
      </w:pPr>
      <w:r>
        <w:fldChar w:fldCharType="begin"/>
      </w:r>
      <w:r>
        <w:instrText xml:space="preserve"> SEQ level0 \*arabic </w:instrText>
      </w:r>
      <w:r>
        <w:fldChar w:fldCharType="separate"/>
      </w:r>
      <w:r w:rsidR="004373EA">
        <w:rPr>
          <w:noProof/>
        </w:rPr>
        <w:t>62</w:t>
      </w:r>
      <w:r>
        <w:fldChar w:fldCharType="end"/>
      </w:r>
      <w:r>
        <w:t>.  </w:t>
      </w:r>
      <w:r w:rsidR="003966A9" w:rsidRPr="00672037">
        <w:t xml:space="preserve">An </w:t>
      </w:r>
      <w:bookmarkStart w:id="100" w:name="HIT33"/>
      <w:bookmarkEnd w:id="100"/>
      <w:r w:rsidR="003966A9" w:rsidRPr="00672037">
        <w:t xml:space="preserve">administrative decision in respect </w:t>
      </w:r>
      <w:r w:rsidR="003966A9" w:rsidRPr="0034290B">
        <w:t>of the compensation claim could be appealed against in a civil court.</w:t>
      </w:r>
    </w:p>
    <w:p w:rsidR="003966A9" w:rsidRPr="0034290B" w:rsidRDefault="00C41151" w:rsidP="00C41151">
      <w:pPr>
        <w:pStyle w:val="JuHA"/>
        <w:rPr>
          <w:lang w:eastAsia="en-GB"/>
        </w:rPr>
      </w:pPr>
      <w:r>
        <w:rPr>
          <w:lang w:eastAsia="en-GB"/>
        </w:rPr>
        <w:t>7.  </w:t>
      </w:r>
      <w:r w:rsidR="003966A9" w:rsidRPr="0034290B">
        <w:rPr>
          <w:lang w:eastAsia="en-GB"/>
        </w:rPr>
        <w:t xml:space="preserve">Resolution </w:t>
      </w:r>
      <w:r w:rsidR="00772E4E">
        <w:rPr>
          <w:lang w:eastAsia="en-GB"/>
        </w:rPr>
        <w:t xml:space="preserve">and judgments </w:t>
      </w:r>
      <w:r w:rsidR="003966A9" w:rsidRPr="0034290B">
        <w:rPr>
          <w:lang w:eastAsia="en-GB"/>
        </w:rPr>
        <w:t xml:space="preserve">of the </w:t>
      </w:r>
      <w:smartTag w:uri="urn:schemas-microsoft-com:office:smarttags" w:element="Street">
        <w:smartTag w:uri="urn:schemas-microsoft-com:office:smarttags" w:element="address">
          <w:r w:rsidR="003966A9" w:rsidRPr="0034290B">
            <w:rPr>
              <w:lang w:eastAsia="en-GB"/>
            </w:rPr>
            <w:t>Supreme Administrative Court</w:t>
          </w:r>
        </w:smartTag>
      </w:smartTag>
      <w:r w:rsidR="003966A9" w:rsidRPr="0034290B">
        <w:rPr>
          <w:lang w:eastAsia="en-GB"/>
        </w:rPr>
        <w:t xml:space="preserve"> and the Supreme Court</w:t>
      </w:r>
      <w:r w:rsidR="00A423E9">
        <w:rPr>
          <w:lang w:eastAsia="en-GB"/>
        </w:rPr>
        <w:t xml:space="preserve"> concerning the legal capacity to be sued</w:t>
      </w:r>
    </w:p>
    <w:p w:rsidR="003F3A45" w:rsidRPr="0034290B" w:rsidRDefault="003F3A45" w:rsidP="003F3A45">
      <w:pPr>
        <w:pStyle w:val="JuPara"/>
      </w:pPr>
      <w:r>
        <w:fldChar w:fldCharType="begin"/>
      </w:r>
      <w:r>
        <w:instrText xml:space="preserve"> SEQ level0 \*arabic </w:instrText>
      </w:r>
      <w:r>
        <w:fldChar w:fldCharType="separate"/>
      </w:r>
      <w:r w:rsidR="004373EA">
        <w:rPr>
          <w:noProof/>
        </w:rPr>
        <w:t>63</w:t>
      </w:r>
      <w:r>
        <w:fldChar w:fldCharType="end"/>
      </w:r>
      <w:r>
        <w:t>.  </w:t>
      </w:r>
      <w:r w:rsidRPr="0034290B">
        <w:t xml:space="preserve">In its resolution adopted on 11 December 1995 (VI SA 9/95) the Supreme Administrative Court concluded that disputes instituted under </w:t>
      </w:r>
      <w:r w:rsidRPr="0034290B">
        <w:rPr>
          <w:color w:val="000000"/>
          <w:szCs w:val="24"/>
          <w:lang w:eastAsia="en-GB"/>
        </w:rPr>
        <w:t xml:space="preserve">Article </w:t>
      </w:r>
      <w:r w:rsidRPr="0034290B">
        <w:t>7 of the Decree of 26 October 1945 concerning the right of perpetual use of a plot of land presently owned by the municipality, should be resolved by a competent mayor [a local government body].</w:t>
      </w:r>
    </w:p>
    <w:p w:rsidR="003F3A45" w:rsidRDefault="003F3A45" w:rsidP="003F3A45">
      <w:pPr>
        <w:pStyle w:val="JuPara"/>
      </w:pPr>
      <w:r>
        <w:fldChar w:fldCharType="begin"/>
      </w:r>
      <w:r>
        <w:instrText xml:space="preserve"> SEQ level0 \*arabic </w:instrText>
      </w:r>
      <w:r>
        <w:fldChar w:fldCharType="separate"/>
      </w:r>
      <w:r w:rsidR="004373EA">
        <w:rPr>
          <w:noProof/>
        </w:rPr>
        <w:t>64</w:t>
      </w:r>
      <w:r>
        <w:fldChar w:fldCharType="end"/>
      </w:r>
      <w:r>
        <w:t>.  Section 36 § 3 (3) of the 1990 Act raised doubts as to which legal entity was liable for damages caused by an unlawful administrative decision issued before the administrative reform. The problem was subject to divergent judicial interpretation.</w:t>
      </w:r>
    </w:p>
    <w:p w:rsidR="003966A9" w:rsidRDefault="00090F86" w:rsidP="003966A9">
      <w:pPr>
        <w:pStyle w:val="JuPara"/>
      </w:pPr>
      <w:r>
        <w:fldChar w:fldCharType="begin"/>
      </w:r>
      <w:r>
        <w:instrText xml:space="preserve"> SEQ level0 \*arabic </w:instrText>
      </w:r>
      <w:r>
        <w:fldChar w:fldCharType="separate"/>
      </w:r>
      <w:r w:rsidR="004373EA">
        <w:rPr>
          <w:noProof/>
        </w:rPr>
        <w:t>65</w:t>
      </w:r>
      <w:r>
        <w:fldChar w:fldCharType="end"/>
      </w:r>
      <w:r>
        <w:t>.  </w:t>
      </w:r>
      <w:r w:rsidR="003966A9" w:rsidRPr="0034290B">
        <w:t>On 7 January 1998 the Supreme Court delivered a judgment (II CKN 550/97) in which it concluded that the municipality should be</w:t>
      </w:r>
      <w:r w:rsidR="003966A9">
        <w:t xml:space="preserve"> sued for compensation for damages</w:t>
      </w:r>
      <w:r w:rsidR="003966A9" w:rsidRPr="00A17EA8">
        <w:rPr>
          <w:lang w:eastAsia="en-GB"/>
        </w:rPr>
        <w:t xml:space="preserve"> </w:t>
      </w:r>
      <w:r w:rsidR="003966A9">
        <w:rPr>
          <w:lang w:eastAsia="en-GB"/>
        </w:rPr>
        <w:t>caused by an administrative decision</w:t>
      </w:r>
      <w:r w:rsidR="003966A9">
        <w:t xml:space="preserve"> delivered before 27 May 1990</w:t>
      </w:r>
      <w:r w:rsidR="003F3A45">
        <w:t>.</w:t>
      </w:r>
    </w:p>
    <w:p w:rsidR="003F3A45" w:rsidRDefault="000B45F7" w:rsidP="003F3A45">
      <w:pPr>
        <w:pStyle w:val="JuPara"/>
      </w:pPr>
      <w:r>
        <w:fldChar w:fldCharType="begin"/>
      </w:r>
      <w:r>
        <w:instrText xml:space="preserve"> SEQ level0 \*arabic </w:instrText>
      </w:r>
      <w:r>
        <w:fldChar w:fldCharType="separate"/>
      </w:r>
      <w:r w:rsidR="004373EA">
        <w:rPr>
          <w:noProof/>
        </w:rPr>
        <w:t>66</w:t>
      </w:r>
      <w:r>
        <w:fldChar w:fldCharType="end"/>
      </w:r>
      <w:r>
        <w:t>.  </w:t>
      </w:r>
      <w:r w:rsidR="003F3A45">
        <w:t>On 16 November 2004</w:t>
      </w:r>
      <w:r w:rsidR="003F3A45" w:rsidRPr="00310FC2">
        <w:t xml:space="preserve"> </w:t>
      </w:r>
      <w:r w:rsidR="003F3A45">
        <w:t>a panel of three judges of the Supreme Court adopted a resolution (no. III CZP 64/04), finding that the municipality – and not the State Treasury – had the legal capacity to be sued for damages resulting from an administrative decision issued before 27 May 1990, provided that the decision had been annulled or declared unlawful after that date.</w:t>
      </w:r>
    </w:p>
    <w:p w:rsidR="00D434A5" w:rsidRDefault="000B45F7" w:rsidP="005D60FD">
      <w:pPr>
        <w:pStyle w:val="JuPara"/>
        <w:rPr>
          <w:color w:val="000000"/>
          <w:lang w:eastAsia="en-GB"/>
        </w:rPr>
      </w:pPr>
      <w:r>
        <w:fldChar w:fldCharType="begin"/>
      </w:r>
      <w:r>
        <w:instrText xml:space="preserve"> SEQ level0 \*arabic </w:instrText>
      </w:r>
      <w:r>
        <w:fldChar w:fldCharType="separate"/>
      </w:r>
      <w:r w:rsidR="004373EA">
        <w:rPr>
          <w:noProof/>
        </w:rPr>
        <w:t>67</w:t>
      </w:r>
      <w:r>
        <w:fldChar w:fldCharType="end"/>
      </w:r>
      <w:r>
        <w:t>.  </w:t>
      </w:r>
      <w:r w:rsidR="003F3A45" w:rsidRPr="00F448AF">
        <w:t xml:space="preserve">In its resolution of </w:t>
      </w:r>
      <w:r w:rsidR="003F3A45">
        <w:t xml:space="preserve">7 December 2006 </w:t>
      </w:r>
      <w:r w:rsidR="003F3A45" w:rsidRPr="00F448AF">
        <w:t xml:space="preserve">(no. III CZP </w:t>
      </w:r>
      <w:r w:rsidR="003F3A45">
        <w:t>99</w:t>
      </w:r>
      <w:r w:rsidR="003F3A45" w:rsidRPr="00F448AF">
        <w:t>/</w:t>
      </w:r>
      <w:r w:rsidR="003F3A45">
        <w:t>06),</w:t>
      </w:r>
      <w:r w:rsidR="003F3A45" w:rsidRPr="00F448AF">
        <w:t xml:space="preserve"> adopted by a </w:t>
      </w:r>
      <w:r w:rsidR="003F3A45">
        <w:t>panel</w:t>
      </w:r>
      <w:r w:rsidR="003F3A45" w:rsidRPr="00F448AF">
        <w:t xml:space="preserve"> of seven judges, the Supreme Court</w:t>
      </w:r>
      <w:r w:rsidR="003F3A45">
        <w:t xml:space="preserve"> concluded that the State Treasury had the capacity to be sued for damages caused by an </w:t>
      </w:r>
      <w:r w:rsidR="003F3A45" w:rsidRPr="001D2B19">
        <w:t>administrative</w:t>
      </w:r>
      <w:r w:rsidR="003F3A45">
        <w:t xml:space="preserve"> decision delivered before 27 May 1990, even if the decision had been annulled or declared null and void after that date. The resolution was adopted </w:t>
      </w:r>
      <w:r w:rsidR="003F3A45">
        <w:rPr>
          <w:color w:val="000000"/>
          <w:lang w:eastAsia="en-GB"/>
        </w:rPr>
        <w:t xml:space="preserve">following a legal question referred to the </w:t>
      </w:r>
      <w:r w:rsidR="003F3A45" w:rsidRPr="00BE60F4">
        <w:rPr>
          <w:color w:val="000000"/>
          <w:lang w:eastAsia="en-GB"/>
        </w:rPr>
        <w:t xml:space="preserve">Supreme Court </w:t>
      </w:r>
      <w:r w:rsidR="003F3A45" w:rsidRPr="0090669F">
        <w:rPr>
          <w:color w:val="000000"/>
          <w:lang w:eastAsia="en-GB"/>
        </w:rPr>
        <w:t>by another Court of Appeal having a similar case before it.</w:t>
      </w:r>
    </w:p>
    <w:p w:rsidR="00D434A5" w:rsidRDefault="000B45F7" w:rsidP="005D60FD">
      <w:pPr>
        <w:pStyle w:val="JuPara"/>
      </w:pPr>
      <w:r w:rsidRPr="0090669F">
        <w:fldChar w:fldCharType="begin"/>
      </w:r>
      <w:r w:rsidRPr="0090669F">
        <w:instrText xml:space="preserve"> SEQ level0 \*arabic </w:instrText>
      </w:r>
      <w:r w:rsidRPr="0090669F">
        <w:fldChar w:fldCharType="separate"/>
      </w:r>
      <w:r w:rsidR="004373EA">
        <w:rPr>
          <w:noProof/>
        </w:rPr>
        <w:t>68</w:t>
      </w:r>
      <w:r w:rsidRPr="0090669F">
        <w:fldChar w:fldCharType="end"/>
      </w:r>
      <w:r w:rsidRPr="0090669F">
        <w:t>.  </w:t>
      </w:r>
      <w:r w:rsidR="00324F74" w:rsidRPr="0090669F">
        <w:t>The Supreme Court confirmed this stance in several</w:t>
      </w:r>
      <w:r w:rsidR="005D60FD" w:rsidRPr="0090669F">
        <w:t xml:space="preserve"> subsequent</w:t>
      </w:r>
      <w:r w:rsidR="00324F74" w:rsidRPr="0090669F">
        <w:t xml:space="preserve"> judgments, delivered in cases similar to the presen</w:t>
      </w:r>
      <w:r w:rsidR="00B84138" w:rsidRPr="0090669F">
        <w:t>t one (see below)</w:t>
      </w:r>
      <w:r w:rsidR="004E7EF5" w:rsidRPr="0090669F">
        <w:t>.</w:t>
      </w:r>
    </w:p>
    <w:p w:rsidR="005D60FD" w:rsidRDefault="00C41151" w:rsidP="00C41151">
      <w:pPr>
        <w:pStyle w:val="JuHA"/>
        <w:rPr>
          <w:lang w:eastAsia="en-GB"/>
        </w:rPr>
      </w:pPr>
      <w:r>
        <w:rPr>
          <w:lang w:eastAsia="en-GB"/>
        </w:rPr>
        <w:t>8.  </w:t>
      </w:r>
      <w:r w:rsidR="005D60FD">
        <w:rPr>
          <w:lang w:eastAsia="en-GB"/>
        </w:rPr>
        <w:t>Examples of subsequent jurisprudence of the domestic courts</w:t>
      </w:r>
    </w:p>
    <w:p w:rsidR="005D60FD" w:rsidRPr="005654A8" w:rsidRDefault="005D60FD" w:rsidP="00C41151">
      <w:pPr>
        <w:pStyle w:val="JuH1"/>
        <w:rPr>
          <w:lang w:eastAsia="en-GB"/>
        </w:rPr>
      </w:pPr>
      <w:r>
        <w:rPr>
          <w:lang w:eastAsia="en-GB"/>
        </w:rPr>
        <w:t>a</w:t>
      </w:r>
      <w:r w:rsidR="00C41151">
        <w:rPr>
          <w:lang w:eastAsia="en-GB"/>
        </w:rPr>
        <w:t>.  </w:t>
      </w:r>
      <w:r w:rsidRPr="005654A8">
        <w:rPr>
          <w:lang w:eastAsia="en-GB"/>
        </w:rPr>
        <w:t>Judgment of the Supreme Court of 25 January 2007, ref no. V CSK 425/06</w:t>
      </w:r>
    </w:p>
    <w:p w:rsidR="00D434A5" w:rsidRDefault="00B84138" w:rsidP="005D60FD">
      <w:pPr>
        <w:pStyle w:val="JuPara"/>
        <w:rPr>
          <w:lang w:eastAsia="en-GB"/>
        </w:rPr>
      </w:pPr>
      <w:r>
        <w:rPr>
          <w:lang w:eastAsia="en-GB"/>
        </w:rPr>
        <w:fldChar w:fldCharType="begin"/>
      </w:r>
      <w:r>
        <w:rPr>
          <w:lang w:eastAsia="en-GB"/>
        </w:rPr>
        <w:instrText xml:space="preserve"> SEQ level0 \*arabic </w:instrText>
      </w:r>
      <w:r>
        <w:rPr>
          <w:lang w:eastAsia="en-GB"/>
        </w:rPr>
        <w:fldChar w:fldCharType="separate"/>
      </w:r>
      <w:r w:rsidR="004373EA">
        <w:rPr>
          <w:noProof/>
          <w:lang w:eastAsia="en-GB"/>
        </w:rPr>
        <w:t>69</w:t>
      </w:r>
      <w:r>
        <w:rPr>
          <w:lang w:eastAsia="en-GB"/>
        </w:rPr>
        <w:fldChar w:fldCharType="end"/>
      </w:r>
      <w:r>
        <w:rPr>
          <w:lang w:eastAsia="en-GB"/>
        </w:rPr>
        <w:t>.  </w:t>
      </w:r>
      <w:r w:rsidR="005D60FD" w:rsidRPr="005654A8">
        <w:rPr>
          <w:lang w:eastAsia="en-GB"/>
        </w:rPr>
        <w:t xml:space="preserve">On 21 March 2001 the Opolskie Governor declared that the decision </w:t>
      </w:r>
      <w:r w:rsidR="001C4E31" w:rsidRPr="005654A8">
        <w:rPr>
          <w:lang w:eastAsia="en-GB"/>
        </w:rPr>
        <w:t xml:space="preserve">of 1983 </w:t>
      </w:r>
      <w:r w:rsidR="005D60FD" w:rsidRPr="005654A8">
        <w:rPr>
          <w:lang w:eastAsia="en-GB"/>
        </w:rPr>
        <w:t xml:space="preserve">of the Head of </w:t>
      </w:r>
      <w:r w:rsidR="005D60FD">
        <w:rPr>
          <w:lang w:eastAsia="en-GB"/>
        </w:rPr>
        <w:t>municipality</w:t>
      </w:r>
      <w:r w:rsidR="005D60FD" w:rsidRPr="005654A8">
        <w:rPr>
          <w:lang w:eastAsia="en-GB"/>
        </w:rPr>
        <w:t xml:space="preserve"> D. had been adopted in breach of law. The plaintiff</w:t>
      </w:r>
      <w:r w:rsidR="00925F1F">
        <w:rPr>
          <w:lang w:eastAsia="en-GB"/>
        </w:rPr>
        <w:t>’</w:t>
      </w:r>
      <w:r w:rsidR="005D60FD" w:rsidRPr="005654A8">
        <w:rPr>
          <w:lang w:eastAsia="en-GB"/>
        </w:rPr>
        <w:t>s claim for</w:t>
      </w:r>
      <w:r w:rsidR="005D60FD">
        <w:rPr>
          <w:lang w:eastAsia="en-GB"/>
        </w:rPr>
        <w:t xml:space="preserve"> </w:t>
      </w:r>
      <w:r w:rsidR="005D60FD" w:rsidRPr="005654A8">
        <w:rPr>
          <w:lang w:eastAsia="en-GB"/>
        </w:rPr>
        <w:t>compensation against the State Treasury (Opolskie Governor) was dismissed by the first- and</w:t>
      </w:r>
      <w:r w:rsidR="005D60FD">
        <w:rPr>
          <w:lang w:eastAsia="en-GB"/>
        </w:rPr>
        <w:t xml:space="preserve"> </w:t>
      </w:r>
      <w:r w:rsidR="005D60FD" w:rsidRPr="005654A8">
        <w:rPr>
          <w:lang w:eastAsia="en-GB"/>
        </w:rPr>
        <w:t xml:space="preserve">second-instance courts. In particular, the Court of Appeal, invoking the </w:t>
      </w:r>
      <w:r w:rsidR="001C4E31" w:rsidRPr="005654A8">
        <w:rPr>
          <w:lang w:eastAsia="en-GB"/>
        </w:rPr>
        <w:t xml:space="preserve">resolution </w:t>
      </w:r>
      <w:r w:rsidR="005D60FD" w:rsidRPr="005654A8">
        <w:rPr>
          <w:lang w:eastAsia="en-GB"/>
        </w:rPr>
        <w:t>of the</w:t>
      </w:r>
      <w:r w:rsidR="005D60FD">
        <w:rPr>
          <w:lang w:eastAsia="en-GB"/>
        </w:rPr>
        <w:t xml:space="preserve"> </w:t>
      </w:r>
      <w:r w:rsidR="005D60FD" w:rsidRPr="005654A8">
        <w:rPr>
          <w:lang w:eastAsia="en-GB"/>
        </w:rPr>
        <w:t>Supreme Court of 16 November 2004 (ref no. Ill CZP 64/04)</w:t>
      </w:r>
      <w:r w:rsidR="001C4E31">
        <w:rPr>
          <w:lang w:eastAsia="en-GB"/>
        </w:rPr>
        <w:t>,</w:t>
      </w:r>
      <w:r w:rsidR="005D60FD" w:rsidRPr="005654A8">
        <w:rPr>
          <w:lang w:eastAsia="en-GB"/>
        </w:rPr>
        <w:t xml:space="preserve"> considered that the State Treasury</w:t>
      </w:r>
      <w:r w:rsidR="005D60FD">
        <w:rPr>
          <w:lang w:eastAsia="en-GB"/>
        </w:rPr>
        <w:t xml:space="preserve"> </w:t>
      </w:r>
      <w:r w:rsidR="005D60FD" w:rsidRPr="005654A8">
        <w:rPr>
          <w:lang w:eastAsia="en-GB"/>
        </w:rPr>
        <w:t xml:space="preserve">did not have the legal capacity to be sued in that case since </w:t>
      </w:r>
      <w:r w:rsidR="005D60FD">
        <w:rPr>
          <w:lang w:eastAsia="en-GB"/>
        </w:rPr>
        <w:t>municipality</w:t>
      </w:r>
      <w:r w:rsidR="005D60FD" w:rsidRPr="005654A8">
        <w:rPr>
          <w:lang w:eastAsia="en-GB"/>
        </w:rPr>
        <w:t xml:space="preserve"> D. had taken over its</w:t>
      </w:r>
      <w:r w:rsidR="005D60FD">
        <w:rPr>
          <w:lang w:eastAsia="en-GB"/>
        </w:rPr>
        <w:t xml:space="preserve"> </w:t>
      </w:r>
      <w:r w:rsidR="005D60FD" w:rsidRPr="005654A8">
        <w:rPr>
          <w:lang w:eastAsia="en-GB"/>
        </w:rPr>
        <w:t>obligations under Article 36 § 1 of the 1990 Introductory Provisions</w:t>
      </w:r>
      <w:r w:rsidR="001C4E31">
        <w:rPr>
          <w:lang w:eastAsia="en-GB"/>
        </w:rPr>
        <w:t xml:space="preserve"> Act</w:t>
      </w:r>
      <w:r w:rsidR="005D60FD" w:rsidRPr="005654A8">
        <w:rPr>
          <w:lang w:eastAsia="en-GB"/>
        </w:rPr>
        <w:t>.</w:t>
      </w:r>
    </w:p>
    <w:p w:rsidR="00B84138" w:rsidRDefault="005D60FD" w:rsidP="005D60FD">
      <w:pPr>
        <w:pStyle w:val="JuPara"/>
        <w:rPr>
          <w:lang w:eastAsia="en-GB"/>
        </w:rPr>
      </w:pPr>
      <w:r w:rsidRPr="005654A8">
        <w:rPr>
          <w:lang w:eastAsia="en-GB"/>
        </w:rPr>
        <w:t>The Supreme Court</w:t>
      </w:r>
      <w:r>
        <w:rPr>
          <w:lang w:eastAsia="en-GB"/>
        </w:rPr>
        <w:t xml:space="preserve"> </w:t>
      </w:r>
      <w:r w:rsidRPr="005654A8">
        <w:rPr>
          <w:lang w:eastAsia="en-GB"/>
        </w:rPr>
        <w:t>quashed the appellate judgment and remitted the case</w:t>
      </w:r>
      <w:r>
        <w:rPr>
          <w:lang w:eastAsia="en-GB"/>
        </w:rPr>
        <w:t>,</w:t>
      </w:r>
      <w:r w:rsidRPr="005654A8">
        <w:rPr>
          <w:lang w:eastAsia="en-GB"/>
        </w:rPr>
        <w:t xml:space="preserve"> </w:t>
      </w:r>
      <w:r w:rsidR="00B84138" w:rsidRPr="005654A8">
        <w:rPr>
          <w:lang w:eastAsia="en-GB"/>
        </w:rPr>
        <w:t>rely</w:t>
      </w:r>
      <w:r w:rsidR="00B84138">
        <w:rPr>
          <w:lang w:eastAsia="en-GB"/>
        </w:rPr>
        <w:t>ing</w:t>
      </w:r>
      <w:r w:rsidRPr="005654A8">
        <w:rPr>
          <w:lang w:eastAsia="en-GB"/>
        </w:rPr>
        <w:t xml:space="preserve"> on the above-mentioned resolution of 7 December 2006</w:t>
      </w:r>
      <w:r w:rsidR="00B84138">
        <w:rPr>
          <w:lang w:eastAsia="en-GB"/>
        </w:rPr>
        <w:t>.</w:t>
      </w:r>
    </w:p>
    <w:p w:rsidR="00A319AD" w:rsidRPr="00A319AD" w:rsidRDefault="00A319AD" w:rsidP="00C41151">
      <w:pPr>
        <w:pStyle w:val="JuH1"/>
        <w:rPr>
          <w:lang w:eastAsia="en-GB"/>
        </w:rPr>
      </w:pPr>
      <w:r>
        <w:rPr>
          <w:lang w:eastAsia="en-GB"/>
        </w:rPr>
        <w:t>b</w:t>
      </w:r>
      <w:r w:rsidR="00C41151">
        <w:rPr>
          <w:lang w:eastAsia="en-GB"/>
        </w:rPr>
        <w:t>.  </w:t>
      </w:r>
      <w:r w:rsidRPr="00A319AD">
        <w:rPr>
          <w:lang w:eastAsia="en-GB"/>
        </w:rPr>
        <w:t>Judgment of the Supreme Court of 14 March 2007, ref no. I CSK 247/06</w:t>
      </w:r>
    </w:p>
    <w:p w:rsidR="00A319AD" w:rsidRPr="00A319AD" w:rsidRDefault="00A319AD" w:rsidP="00A319AD">
      <w:pPr>
        <w:pStyle w:val="JuPara"/>
      </w:pPr>
      <w:r>
        <w:fldChar w:fldCharType="begin"/>
      </w:r>
      <w:r>
        <w:instrText xml:space="preserve"> SEQ level0 \*arabic </w:instrText>
      </w:r>
      <w:r>
        <w:fldChar w:fldCharType="separate"/>
      </w:r>
      <w:r w:rsidR="004373EA">
        <w:rPr>
          <w:noProof/>
        </w:rPr>
        <w:t>70</w:t>
      </w:r>
      <w:r>
        <w:fldChar w:fldCharType="end"/>
      </w:r>
      <w:r>
        <w:t>.  In</w:t>
      </w:r>
      <w:r w:rsidRPr="00A319AD">
        <w:t xml:space="preserve"> 1951 the Presidium of the Warsaw National Council refused</w:t>
      </w:r>
      <w:r>
        <w:t xml:space="preserve"> </w:t>
      </w:r>
      <w:r w:rsidRPr="00A319AD">
        <w:t>to grant the right of perpetual use of land covered by the operation of the 1945 Decree.</w:t>
      </w:r>
      <w:r>
        <w:t xml:space="preserve"> </w:t>
      </w:r>
      <w:r w:rsidRPr="00A319AD">
        <w:t>Subsequently, the State Treasury sold three flats in the building</w:t>
      </w:r>
      <w:r>
        <w:t>.</w:t>
      </w:r>
      <w:r w:rsidRPr="00A319AD">
        <w:t xml:space="preserve"> On 22 September 1994 the Minister of Construction declared that the decision of 1951 had been adopted in breach of law.</w:t>
      </w:r>
    </w:p>
    <w:p w:rsidR="00D434A5" w:rsidRDefault="00A319AD" w:rsidP="00A319AD">
      <w:pPr>
        <w:pStyle w:val="JuPara"/>
      </w:pPr>
      <w:r w:rsidRPr="00A319AD">
        <w:t>The plaintiffs lodged a civil action for compensation against the State Treasury.</w:t>
      </w:r>
      <w:r>
        <w:t xml:space="preserve"> T</w:t>
      </w:r>
      <w:r w:rsidRPr="00A319AD">
        <w:t xml:space="preserve">he </w:t>
      </w:r>
      <w:smartTag w:uri="urn:schemas-microsoft-com:office:smarttags" w:element="Street">
        <w:smartTag w:uri="urn:schemas-microsoft-com:office:smarttags" w:element="address">
          <w:r w:rsidRPr="00A319AD">
            <w:t>Warsaw Regional Court</w:t>
          </w:r>
        </w:smartTag>
      </w:smartTag>
      <w:r w:rsidRPr="00A319AD">
        <w:t xml:space="preserve"> allowed their claim in part </w:t>
      </w:r>
      <w:r>
        <w:t xml:space="preserve">and awarded </w:t>
      </w:r>
      <w:r w:rsidRPr="00A319AD">
        <w:t>compensation from the State Treasury.</w:t>
      </w:r>
    </w:p>
    <w:p w:rsidR="00D434A5" w:rsidRDefault="00A319AD" w:rsidP="00A319AD">
      <w:pPr>
        <w:pStyle w:val="JuPara"/>
      </w:pPr>
      <w:r w:rsidRPr="00A319AD">
        <w:t>On 31 January 2006 the Warsaw</w:t>
      </w:r>
      <w:r>
        <w:t xml:space="preserve"> </w:t>
      </w:r>
      <w:r w:rsidRPr="00A319AD">
        <w:t>Court of Appeal amended the first-instance judgment and dismissed the claim against the State</w:t>
      </w:r>
      <w:r>
        <w:t xml:space="preserve"> </w:t>
      </w:r>
      <w:r w:rsidRPr="00A319AD">
        <w:t xml:space="preserve">Treasury </w:t>
      </w:r>
      <w:r w:rsidR="001C4E31">
        <w:t>finding</w:t>
      </w:r>
      <w:r w:rsidRPr="00A319AD">
        <w:t xml:space="preserve"> that it lacked legal capacity to be sued in the case.</w:t>
      </w:r>
    </w:p>
    <w:p w:rsidR="00A319AD" w:rsidRPr="00A319AD" w:rsidRDefault="00A319AD" w:rsidP="00A319AD">
      <w:pPr>
        <w:pStyle w:val="JuPara"/>
      </w:pPr>
      <w:r w:rsidRPr="00A319AD">
        <w:t>On 14 March 2007</w:t>
      </w:r>
      <w:r>
        <w:t xml:space="preserve"> </w:t>
      </w:r>
      <w:r w:rsidRPr="00A319AD">
        <w:t>the Supreme Court quashed the appellate judgment</w:t>
      </w:r>
      <w:r>
        <w:t xml:space="preserve"> </w:t>
      </w:r>
      <w:r w:rsidRPr="00A319AD">
        <w:t>and remitted the case, invoking the resolution of 7</w:t>
      </w:r>
      <w:r>
        <w:t xml:space="preserve"> </w:t>
      </w:r>
      <w:r w:rsidRPr="00A319AD">
        <w:t>December 2006.</w:t>
      </w:r>
    </w:p>
    <w:p w:rsidR="00D434A5" w:rsidRDefault="00C41151" w:rsidP="00C41151">
      <w:pPr>
        <w:pStyle w:val="JuHA"/>
        <w:rPr>
          <w:lang w:eastAsia="en-GB"/>
        </w:rPr>
      </w:pPr>
      <w:r>
        <w:rPr>
          <w:lang w:eastAsia="en-GB"/>
        </w:rPr>
        <w:t>9.  </w:t>
      </w:r>
      <w:r w:rsidR="00A423E9" w:rsidRPr="0034290B">
        <w:rPr>
          <w:lang w:eastAsia="en-GB"/>
        </w:rPr>
        <w:t xml:space="preserve">Resolution </w:t>
      </w:r>
      <w:r w:rsidR="00A423E9">
        <w:rPr>
          <w:lang w:eastAsia="en-GB"/>
        </w:rPr>
        <w:t xml:space="preserve">and judgment </w:t>
      </w:r>
      <w:r w:rsidR="00A423E9" w:rsidRPr="0034290B">
        <w:rPr>
          <w:lang w:eastAsia="en-GB"/>
        </w:rPr>
        <w:t>of the Supreme Court</w:t>
      </w:r>
      <w:r w:rsidR="00A423E9">
        <w:rPr>
          <w:lang w:eastAsia="en-GB"/>
        </w:rPr>
        <w:t xml:space="preserve"> concerning the character of the compensation claim</w:t>
      </w:r>
    </w:p>
    <w:p w:rsidR="00D434A5" w:rsidRDefault="0024225F" w:rsidP="003966A9">
      <w:pPr>
        <w:pStyle w:val="JuPara"/>
        <w:rPr>
          <w:bCs/>
        </w:rPr>
      </w:pPr>
      <w:r>
        <w:fldChar w:fldCharType="begin"/>
      </w:r>
      <w:r>
        <w:instrText xml:space="preserve"> SEQ level0 \*arabic </w:instrText>
      </w:r>
      <w:r>
        <w:fldChar w:fldCharType="separate"/>
      </w:r>
      <w:r w:rsidR="004373EA">
        <w:rPr>
          <w:noProof/>
        </w:rPr>
        <w:t>71</w:t>
      </w:r>
      <w:r>
        <w:fldChar w:fldCharType="end"/>
      </w:r>
      <w:r>
        <w:t xml:space="preserve">.  In its </w:t>
      </w:r>
      <w:r w:rsidR="00D37214">
        <w:t>judgment of</w:t>
      </w:r>
      <w:r>
        <w:t xml:space="preserve"> 27 November 2002 </w:t>
      </w:r>
      <w:r w:rsidR="00D37214">
        <w:t xml:space="preserve">(no. </w:t>
      </w:r>
      <w:r w:rsidR="00D37214" w:rsidRPr="00D37214">
        <w:rPr>
          <w:bCs/>
        </w:rPr>
        <w:t>I CKN 1215/00</w:t>
      </w:r>
      <w:r w:rsidR="00D37214">
        <w:rPr>
          <w:bCs/>
        </w:rPr>
        <w:t xml:space="preserve">), the </w:t>
      </w:r>
      <w:r w:rsidR="00D37214" w:rsidRPr="00D37214">
        <w:rPr>
          <w:bCs/>
        </w:rPr>
        <w:t xml:space="preserve">Supreme Court </w:t>
      </w:r>
      <w:r w:rsidR="00D37214">
        <w:rPr>
          <w:bCs/>
        </w:rPr>
        <w:t xml:space="preserve">ruled that there </w:t>
      </w:r>
      <w:r w:rsidR="001C4E31">
        <w:rPr>
          <w:bCs/>
        </w:rPr>
        <w:t>was</w:t>
      </w:r>
      <w:r w:rsidR="00D37214">
        <w:rPr>
          <w:bCs/>
        </w:rPr>
        <w:t xml:space="preserve"> a causal link between an </w:t>
      </w:r>
      <w:r w:rsidR="00D37214" w:rsidRPr="00D37214">
        <w:rPr>
          <w:bCs/>
        </w:rPr>
        <w:t>administrative decision</w:t>
      </w:r>
      <w:r w:rsidR="002C46C2">
        <w:rPr>
          <w:bCs/>
        </w:rPr>
        <w:t>,</w:t>
      </w:r>
      <w:r w:rsidR="00D37214">
        <w:rPr>
          <w:bCs/>
        </w:rPr>
        <w:t xml:space="preserve"> </w:t>
      </w:r>
      <w:r w:rsidR="002C46C2">
        <w:rPr>
          <w:bCs/>
        </w:rPr>
        <w:t xml:space="preserve">taken under the 1945 Decree, </w:t>
      </w:r>
      <w:r w:rsidR="00D37214">
        <w:rPr>
          <w:bCs/>
        </w:rPr>
        <w:t xml:space="preserve">refusing to grant the previous owner of a real </w:t>
      </w:r>
      <w:r w:rsidR="00544A49">
        <w:rPr>
          <w:bCs/>
        </w:rPr>
        <w:t>property</w:t>
      </w:r>
      <w:r w:rsidR="00750045">
        <w:rPr>
          <w:bCs/>
        </w:rPr>
        <w:t xml:space="preserve"> (a land with a building)</w:t>
      </w:r>
      <w:r w:rsidR="00544A49">
        <w:rPr>
          <w:bCs/>
        </w:rPr>
        <w:t xml:space="preserve"> </w:t>
      </w:r>
      <w:r w:rsidR="00D37214">
        <w:rPr>
          <w:bCs/>
        </w:rPr>
        <w:t xml:space="preserve">the right of </w:t>
      </w:r>
      <w:r w:rsidR="00544A49">
        <w:rPr>
          <w:bCs/>
        </w:rPr>
        <w:t>temporary ownership (</w:t>
      </w:r>
      <w:r w:rsidR="00D37214">
        <w:rPr>
          <w:bCs/>
        </w:rPr>
        <w:t>perpetual use</w:t>
      </w:r>
      <w:r w:rsidR="00544A49">
        <w:rPr>
          <w:bCs/>
        </w:rPr>
        <w:t xml:space="preserve">) </w:t>
      </w:r>
      <w:r w:rsidR="00D37214">
        <w:rPr>
          <w:bCs/>
        </w:rPr>
        <w:t xml:space="preserve">of that </w:t>
      </w:r>
      <w:r w:rsidR="00544A49">
        <w:rPr>
          <w:bCs/>
        </w:rPr>
        <w:t xml:space="preserve">property </w:t>
      </w:r>
      <w:r w:rsidR="006D2E0F">
        <w:rPr>
          <w:bCs/>
        </w:rPr>
        <w:t xml:space="preserve">and </w:t>
      </w:r>
      <w:r w:rsidR="00750045">
        <w:rPr>
          <w:bCs/>
        </w:rPr>
        <w:t xml:space="preserve">the sale of apartments </w:t>
      </w:r>
      <w:r w:rsidR="002C46C2">
        <w:rPr>
          <w:bCs/>
        </w:rPr>
        <w:t xml:space="preserve">in the building by the </w:t>
      </w:r>
      <w:r w:rsidR="002C46C2" w:rsidRPr="002C46C2">
        <w:rPr>
          <w:bCs/>
        </w:rPr>
        <w:t>State Treasury</w:t>
      </w:r>
      <w:r w:rsidR="002C46C2">
        <w:rPr>
          <w:bCs/>
        </w:rPr>
        <w:t>.</w:t>
      </w:r>
    </w:p>
    <w:p w:rsidR="00D37214" w:rsidRDefault="002C46C2" w:rsidP="003966A9">
      <w:pPr>
        <w:pStyle w:val="JuPara"/>
      </w:pPr>
      <w:r>
        <w:fldChar w:fldCharType="begin"/>
      </w:r>
      <w:r>
        <w:instrText xml:space="preserve"> SEQ level0 \*arabic </w:instrText>
      </w:r>
      <w:r>
        <w:fldChar w:fldCharType="separate"/>
      </w:r>
      <w:r w:rsidR="004373EA">
        <w:rPr>
          <w:noProof/>
        </w:rPr>
        <w:t>72</w:t>
      </w:r>
      <w:r>
        <w:fldChar w:fldCharType="end"/>
      </w:r>
      <w:r>
        <w:t>.  </w:t>
      </w:r>
      <w:r w:rsidR="008529FC">
        <w:t xml:space="preserve">On 21 March 2003 the Supreme Court </w:t>
      </w:r>
      <w:r w:rsidR="008529FC" w:rsidRPr="00F901D3">
        <w:t>adopted a resolution (no. III CZP 6/03)</w:t>
      </w:r>
      <w:r w:rsidR="001C4E31">
        <w:t xml:space="preserve"> in which it</w:t>
      </w:r>
      <w:r w:rsidR="008529FC" w:rsidRPr="00F901D3">
        <w:t xml:space="preserve"> found that </w:t>
      </w:r>
      <w:r w:rsidR="00C60C93" w:rsidRPr="00F901D3">
        <w:t xml:space="preserve">financial </w:t>
      </w:r>
      <w:r w:rsidR="00220564" w:rsidRPr="00F901D3">
        <w:t>loss</w:t>
      </w:r>
      <w:r w:rsidR="00C60C93" w:rsidRPr="00F901D3">
        <w:t xml:space="preserve"> </w:t>
      </w:r>
      <w:r w:rsidR="00854842" w:rsidRPr="00F901D3">
        <w:t>resulting</w:t>
      </w:r>
      <w:r w:rsidR="00854842">
        <w:t xml:space="preserve"> </w:t>
      </w:r>
      <w:r w:rsidR="00EB3B6F">
        <w:t xml:space="preserve">from a decision </w:t>
      </w:r>
      <w:r w:rsidR="00220564">
        <w:t xml:space="preserve">under the 1945 Decree </w:t>
      </w:r>
      <w:r w:rsidR="00EB3B6F">
        <w:t xml:space="preserve">refusing to grant the right of perpetual use, which had been issued </w:t>
      </w:r>
      <w:r w:rsidR="00220564">
        <w:t>in breach of law, constitute</w:t>
      </w:r>
      <w:r w:rsidR="001C4E31">
        <w:t>d</w:t>
      </w:r>
      <w:r w:rsidR="00220564">
        <w:t xml:space="preserve"> a loss within the meaning of </w:t>
      </w:r>
      <w:r w:rsidR="00220564" w:rsidRPr="00024D8A">
        <w:rPr>
          <w:color w:val="000000"/>
          <w:szCs w:val="24"/>
          <w:lang w:eastAsia="en-GB"/>
        </w:rPr>
        <w:t xml:space="preserve">Article </w:t>
      </w:r>
      <w:r w:rsidR="00220564">
        <w:t xml:space="preserve">361 § 2 of the Civil Code and an actual damage within the meaning of </w:t>
      </w:r>
      <w:r w:rsidR="00220564" w:rsidRPr="00024D8A">
        <w:rPr>
          <w:color w:val="000000"/>
          <w:szCs w:val="24"/>
          <w:lang w:eastAsia="en-GB"/>
        </w:rPr>
        <w:t>Article</w:t>
      </w:r>
      <w:r w:rsidR="00D434A5">
        <w:rPr>
          <w:color w:val="000000"/>
          <w:szCs w:val="24"/>
          <w:lang w:eastAsia="en-GB"/>
        </w:rPr>
        <w:t xml:space="preserve"> </w:t>
      </w:r>
      <w:r w:rsidR="00220564">
        <w:t>160 of CAP.</w:t>
      </w:r>
    </w:p>
    <w:p w:rsidR="00F71A6A" w:rsidRPr="004E657D" w:rsidRDefault="00F71A6A" w:rsidP="00D264D4">
      <w:pPr>
        <w:pStyle w:val="JuHHead"/>
        <w:outlineLvl w:val="0"/>
      </w:pPr>
      <w:r w:rsidRPr="004E657D">
        <w:t>THE LAW</w:t>
      </w:r>
    </w:p>
    <w:p w:rsidR="00F71A6A" w:rsidRPr="000241FD" w:rsidRDefault="000241FD" w:rsidP="000241FD">
      <w:pPr>
        <w:pStyle w:val="JuHIRoman"/>
      </w:pPr>
      <w:r w:rsidRPr="000241FD">
        <w:t>I.  </w:t>
      </w:r>
      <w:r w:rsidR="00337600" w:rsidRPr="000241FD">
        <w:t xml:space="preserve">ALLEGED VIOLATION OF ARTICLE </w:t>
      </w:r>
      <w:r w:rsidR="000679EC" w:rsidRPr="000241FD">
        <w:t>1 OF PROTOCOL NO. 1 TO</w:t>
      </w:r>
      <w:r w:rsidR="00F71A6A" w:rsidRPr="000241FD">
        <w:t xml:space="preserve"> THE CONVENTION</w:t>
      </w:r>
      <w:r w:rsidR="009B26D5" w:rsidRPr="000241FD">
        <w:t xml:space="preserve"> AND </w:t>
      </w:r>
      <w:r w:rsidR="00C41151" w:rsidRPr="000241FD">
        <w:rPr>
          <w:szCs w:val="24"/>
        </w:rPr>
        <w:t>ARTICLE</w:t>
      </w:r>
      <w:r w:rsidR="00217108" w:rsidRPr="000241FD">
        <w:rPr>
          <w:szCs w:val="24"/>
        </w:rPr>
        <w:t>S</w:t>
      </w:r>
      <w:r w:rsidR="009B26D5" w:rsidRPr="000241FD">
        <w:rPr>
          <w:szCs w:val="24"/>
        </w:rPr>
        <w:t xml:space="preserve"> </w:t>
      </w:r>
      <w:r w:rsidR="009B26D5" w:rsidRPr="000241FD">
        <w:t>6</w:t>
      </w:r>
      <w:r w:rsidR="00217108" w:rsidRPr="000241FD">
        <w:t xml:space="preserve"> AND 13</w:t>
      </w:r>
      <w:r w:rsidR="009B26D5" w:rsidRPr="000241FD">
        <w:t xml:space="preserve"> OF </w:t>
      </w:r>
      <w:r w:rsidR="00B21490" w:rsidRPr="000241FD">
        <w:t xml:space="preserve">THE </w:t>
      </w:r>
      <w:r w:rsidR="009B26D5" w:rsidRPr="000241FD">
        <w:rPr>
          <w:rFonts w:eastAsia="Batang"/>
          <w:szCs w:val="24"/>
        </w:rPr>
        <w:t>CONVENTION</w:t>
      </w:r>
    </w:p>
    <w:p w:rsidR="00D434A5" w:rsidRDefault="004E657D" w:rsidP="00CB34D7">
      <w:pPr>
        <w:pStyle w:val="JuPara"/>
      </w:pPr>
      <w:r w:rsidRPr="004E657D">
        <w:fldChar w:fldCharType="begin"/>
      </w:r>
      <w:r w:rsidRPr="004E657D">
        <w:instrText xml:space="preserve"> SEQ level0 \*arabic </w:instrText>
      </w:r>
      <w:r w:rsidRPr="004E657D">
        <w:fldChar w:fldCharType="separate"/>
      </w:r>
      <w:r w:rsidR="004373EA">
        <w:rPr>
          <w:noProof/>
        </w:rPr>
        <w:t>73</w:t>
      </w:r>
      <w:r w:rsidRPr="004E657D">
        <w:fldChar w:fldCharType="end"/>
      </w:r>
      <w:r w:rsidR="00F71A6A" w:rsidRPr="004E657D">
        <w:t>.  </w:t>
      </w:r>
      <w:r w:rsidR="00CB34D7">
        <w:t xml:space="preserve">The applicants complained under Article 1 of Protocol No. 1 </w:t>
      </w:r>
      <w:r w:rsidR="009B26D5">
        <w:t xml:space="preserve">and </w:t>
      </w:r>
      <w:r w:rsidR="009B26D5" w:rsidRPr="00602AB4">
        <w:t>under Article 6 of</w:t>
      </w:r>
      <w:r w:rsidR="009B26D5" w:rsidRPr="00FF58E4">
        <w:t xml:space="preserve"> the Convention </w:t>
      </w:r>
      <w:r w:rsidR="00CB34D7">
        <w:t xml:space="preserve">that </w:t>
      </w:r>
      <w:r w:rsidR="00CB34D7" w:rsidRPr="004B03D8">
        <w:t>as a result of the shortcomings</w:t>
      </w:r>
      <w:r w:rsidR="00B21490">
        <w:t xml:space="preserve"> in the decisions of the </w:t>
      </w:r>
      <w:r w:rsidR="00CB34D7" w:rsidRPr="004B03D8">
        <w:t>domestic courts</w:t>
      </w:r>
      <w:r w:rsidR="006F75C7">
        <w:t xml:space="preserve"> </w:t>
      </w:r>
      <w:r w:rsidR="006F75C7" w:rsidRPr="00036DF3">
        <w:t xml:space="preserve">and </w:t>
      </w:r>
      <w:r w:rsidR="00B21490">
        <w:t xml:space="preserve">the </w:t>
      </w:r>
      <w:r w:rsidR="006F75C7" w:rsidRPr="00036DF3">
        <w:t>lack of legal certainty</w:t>
      </w:r>
      <w:r w:rsidR="00CB34D7" w:rsidRPr="004B03D8">
        <w:t xml:space="preserve">, </w:t>
      </w:r>
      <w:r w:rsidR="00CB34D7">
        <w:t>they</w:t>
      </w:r>
      <w:r w:rsidR="00CB34D7" w:rsidRPr="004B03D8">
        <w:t xml:space="preserve"> </w:t>
      </w:r>
      <w:r w:rsidR="00B21490">
        <w:t>were</w:t>
      </w:r>
      <w:r w:rsidR="00CB34D7" w:rsidRPr="004B03D8">
        <w:t xml:space="preserve"> deprived of compensation for damage caused by an unlawful </w:t>
      </w:r>
      <w:r w:rsidR="00263DE8">
        <w:t xml:space="preserve">administrative </w:t>
      </w:r>
      <w:r w:rsidR="00CB34D7" w:rsidRPr="004B03D8">
        <w:t>decision.</w:t>
      </w:r>
    </w:p>
    <w:p w:rsidR="00F37621" w:rsidRDefault="00F37621" w:rsidP="00CB34D7">
      <w:pPr>
        <w:pStyle w:val="JuPara"/>
      </w:pPr>
      <w:r>
        <w:fldChar w:fldCharType="begin"/>
      </w:r>
      <w:r>
        <w:instrText xml:space="preserve"> SEQ level0 \*arabic </w:instrText>
      </w:r>
      <w:r>
        <w:fldChar w:fldCharType="separate"/>
      </w:r>
      <w:r w:rsidR="004373EA">
        <w:rPr>
          <w:noProof/>
        </w:rPr>
        <w:t>74</w:t>
      </w:r>
      <w:r>
        <w:fldChar w:fldCharType="end"/>
      </w:r>
      <w:r>
        <w:t>.  </w:t>
      </w:r>
      <w:r w:rsidRPr="004E657D">
        <w:t>The applicants</w:t>
      </w:r>
      <w:r w:rsidRPr="00E23436">
        <w:t xml:space="preserve"> </w:t>
      </w:r>
      <w:r>
        <w:t xml:space="preserve">also </w:t>
      </w:r>
      <w:r w:rsidRPr="00601F75">
        <w:t>complain</w:t>
      </w:r>
      <w:r>
        <w:t>ed</w:t>
      </w:r>
      <w:r w:rsidRPr="00601F75">
        <w:t xml:space="preserve"> </w:t>
      </w:r>
      <w:r w:rsidR="008F78CB">
        <w:t xml:space="preserve">under </w:t>
      </w:r>
      <w:r w:rsidR="008F78CB">
        <w:rPr>
          <w:color w:val="000000"/>
          <w:szCs w:val="24"/>
          <w:lang w:eastAsia="en-GB"/>
        </w:rPr>
        <w:t xml:space="preserve">Articles 6 and 13 of </w:t>
      </w:r>
      <w:r w:rsidR="008F78CB" w:rsidRPr="008F78CB">
        <w:rPr>
          <w:rFonts w:eastAsia="Batang"/>
          <w:color w:val="000000"/>
          <w:szCs w:val="24"/>
          <w:lang w:eastAsia="ko-KR"/>
        </w:rPr>
        <w:t>Convention</w:t>
      </w:r>
      <w:r w:rsidR="008F78CB">
        <w:rPr>
          <w:color w:val="000000"/>
          <w:szCs w:val="24"/>
          <w:lang w:eastAsia="en-GB"/>
        </w:rPr>
        <w:t xml:space="preserve"> </w:t>
      </w:r>
      <w:r w:rsidRPr="00601F75">
        <w:t>that</w:t>
      </w:r>
      <w:r>
        <w:t xml:space="preserve"> they were </w:t>
      </w:r>
      <w:r w:rsidRPr="00E23436">
        <w:t xml:space="preserve">deprived of a fair hearing (in particular that they were denied access to a court) and an </w:t>
      </w:r>
      <w:r w:rsidRPr="00E23436">
        <w:rPr>
          <w:lang w:eastAsia="en-GB"/>
        </w:rPr>
        <w:t xml:space="preserve">effective remedy in respect of their allegations under </w:t>
      </w:r>
      <w:r w:rsidRPr="008C43FB">
        <w:rPr>
          <w:lang w:eastAsia="en-GB"/>
        </w:rPr>
        <w:t xml:space="preserve">Article </w:t>
      </w:r>
      <w:r w:rsidRPr="008C43FB">
        <w:t>1 of Protocol No</w:t>
      </w:r>
      <w:r>
        <w:t xml:space="preserve">. 1 </w:t>
      </w:r>
      <w:r w:rsidRPr="00D7438A">
        <w:t xml:space="preserve">in that the Supreme Court </w:t>
      </w:r>
      <w:r>
        <w:t xml:space="preserve">had </w:t>
      </w:r>
      <w:r w:rsidRPr="00D7438A">
        <w:t>refused to entertain</w:t>
      </w:r>
      <w:r w:rsidRPr="003A356F">
        <w:t xml:space="preserve"> </w:t>
      </w:r>
      <w:r>
        <w:t xml:space="preserve">their </w:t>
      </w:r>
      <w:r w:rsidRPr="003A356F">
        <w:t>cassation appeal</w:t>
      </w:r>
      <w:r w:rsidR="008F78CB">
        <w:t xml:space="preserve"> without giving adequate reasons.</w:t>
      </w:r>
    </w:p>
    <w:p w:rsidR="008F78CB" w:rsidRDefault="00CB34D7" w:rsidP="00CB34D7">
      <w:pPr>
        <w:pStyle w:val="JuPara"/>
      </w:pPr>
      <w:r>
        <w:fldChar w:fldCharType="begin"/>
      </w:r>
      <w:r>
        <w:instrText xml:space="preserve"> SEQ level0 \*arabic </w:instrText>
      </w:r>
      <w:r>
        <w:fldChar w:fldCharType="separate"/>
      </w:r>
      <w:r w:rsidR="004373EA">
        <w:rPr>
          <w:noProof/>
        </w:rPr>
        <w:t>75</w:t>
      </w:r>
      <w:r>
        <w:fldChar w:fldCharType="end"/>
      </w:r>
      <w:r>
        <w:t>.  </w:t>
      </w:r>
      <w:r w:rsidR="008F78CB">
        <w:t>These provisions provide in their relevant part:</w:t>
      </w:r>
    </w:p>
    <w:p w:rsidR="008F78CB" w:rsidRDefault="008F78CB" w:rsidP="001705C8">
      <w:pPr>
        <w:pStyle w:val="JuHArticle"/>
      </w:pPr>
      <w:r w:rsidRPr="008F78CB">
        <w:t>Article 6</w:t>
      </w:r>
    </w:p>
    <w:p w:rsidR="008F78CB" w:rsidRDefault="008F78CB" w:rsidP="008F78CB">
      <w:pPr>
        <w:pStyle w:val="JuQuot"/>
      </w:pPr>
      <w:r>
        <w:t>“In the determination of his civil rights and obligations ... everyone is entitled to a fair ... hearing ... by [a] ... tribunal ...”</w:t>
      </w:r>
    </w:p>
    <w:p w:rsidR="008F78CB" w:rsidRDefault="008F78CB" w:rsidP="001705C8">
      <w:pPr>
        <w:pStyle w:val="JuHArticle"/>
      </w:pPr>
      <w:r w:rsidRPr="00024D8A">
        <w:rPr>
          <w:lang w:eastAsia="en-GB"/>
        </w:rPr>
        <w:t xml:space="preserve">Article </w:t>
      </w:r>
      <w:r>
        <w:rPr>
          <w:lang w:eastAsia="en-GB"/>
        </w:rPr>
        <w:t>13</w:t>
      </w:r>
    </w:p>
    <w:p w:rsidR="008F78CB" w:rsidRDefault="008F78CB" w:rsidP="008F78CB">
      <w:pPr>
        <w:pStyle w:val="JuQuot"/>
      </w:pPr>
      <w:r>
        <w:t>“Everyone whose rights and freedoms as set forth in [the] Convention are violated shall have an effective remedy before a national authority notwithstanding that the violation has been committed by persons acting in an official capacity.”</w:t>
      </w:r>
    </w:p>
    <w:p w:rsidR="00CB34D7" w:rsidRDefault="003A53CA" w:rsidP="00186134">
      <w:pPr>
        <w:pStyle w:val="JuHArticle"/>
      </w:pPr>
      <w:r>
        <w:t>Article 1 of Protocol No. 1</w:t>
      </w:r>
    </w:p>
    <w:p w:rsidR="00CB34D7" w:rsidRDefault="00CB34D7" w:rsidP="00CB34D7">
      <w:pPr>
        <w:pStyle w:val="JuQuot"/>
      </w:pPr>
      <w: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CB34D7" w:rsidRDefault="00CB34D7" w:rsidP="00CB34D7">
      <w:pPr>
        <w:pStyle w:val="JuQuot"/>
      </w:pPr>
      <w: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6E0C09" w:rsidRPr="004E657D" w:rsidRDefault="006E0C09" w:rsidP="006E0C09">
      <w:pPr>
        <w:pStyle w:val="JuHA"/>
        <w:outlineLvl w:val="0"/>
      </w:pPr>
      <w:r w:rsidRPr="004E657D">
        <w:t>A.  Admissibility</w:t>
      </w:r>
    </w:p>
    <w:p w:rsidR="00D434A5" w:rsidRDefault="00C41151" w:rsidP="00C41151">
      <w:pPr>
        <w:pStyle w:val="JuH1"/>
        <w:ind w:left="431" w:firstLine="0"/>
      </w:pPr>
      <w:r>
        <w:t>1.  </w:t>
      </w:r>
      <w:r w:rsidR="006E0C09">
        <w:t xml:space="preserve">Compatibility </w:t>
      </w:r>
      <w:r w:rsidR="006E0C09" w:rsidRPr="00C41151">
        <w:rPr>
          <w:i w:val="0"/>
        </w:rPr>
        <w:t>ratione temporis</w:t>
      </w:r>
    </w:p>
    <w:p w:rsidR="00D8054C" w:rsidRDefault="006E0C09" w:rsidP="00541597">
      <w:pPr>
        <w:pStyle w:val="JuPara"/>
      </w:pPr>
      <w:r>
        <w:fldChar w:fldCharType="begin"/>
      </w:r>
      <w:r>
        <w:instrText xml:space="preserve"> SEQ level0 \*arabic </w:instrText>
      </w:r>
      <w:r>
        <w:fldChar w:fldCharType="separate"/>
      </w:r>
      <w:r w:rsidR="004373EA">
        <w:rPr>
          <w:noProof/>
        </w:rPr>
        <w:t>76</w:t>
      </w:r>
      <w:r>
        <w:fldChar w:fldCharType="end"/>
      </w:r>
      <w:r>
        <w:t>. </w:t>
      </w:r>
      <w:r w:rsidR="00D8054C">
        <w:t xml:space="preserve">The Government submitted that the </w:t>
      </w:r>
      <w:r w:rsidR="00B21490">
        <w:t>complaints</w:t>
      </w:r>
      <w:r w:rsidR="00D8054C">
        <w:t xml:space="preserve"> should be rejected as being </w:t>
      </w:r>
      <w:r w:rsidR="00D8054C" w:rsidRPr="00617554">
        <w:t xml:space="preserve">incompatible </w:t>
      </w:r>
      <w:r w:rsidR="00D8054C" w:rsidRPr="00617554">
        <w:rPr>
          <w:rStyle w:val="p----005fju----005fpara--------char----char--char"/>
          <w:bCs/>
          <w:i/>
          <w:iCs/>
        </w:rPr>
        <w:t>ratione</w:t>
      </w:r>
      <w:r w:rsidR="00D8054C" w:rsidRPr="00617554">
        <w:rPr>
          <w:rStyle w:val="p----005fju----005fpara--------char----char--char"/>
          <w:i/>
          <w:iCs/>
        </w:rPr>
        <w:t xml:space="preserve"> </w:t>
      </w:r>
      <w:r w:rsidR="00D8054C" w:rsidRPr="00617554">
        <w:rPr>
          <w:rStyle w:val="p----005fju----005fpara--------char----char--char"/>
          <w:bCs/>
          <w:i/>
          <w:iCs/>
        </w:rPr>
        <w:t>temporis</w:t>
      </w:r>
      <w:r w:rsidR="00D8054C" w:rsidRPr="00617554">
        <w:rPr>
          <w:rStyle w:val="p----005fju----005fpara--------char----char--char"/>
          <w:i/>
          <w:iCs/>
        </w:rPr>
        <w:t xml:space="preserve"> </w:t>
      </w:r>
      <w:r w:rsidR="00D8054C" w:rsidRPr="00617554">
        <w:t xml:space="preserve">with the provisions of Article 1 of Protocol No. 1. </w:t>
      </w:r>
      <w:r w:rsidR="002C745A">
        <w:t xml:space="preserve">They </w:t>
      </w:r>
      <w:r w:rsidR="00DF5E87">
        <w:t>submitted</w:t>
      </w:r>
      <w:r w:rsidR="00D8054C" w:rsidRPr="00617554">
        <w:t xml:space="preserve"> that the</w:t>
      </w:r>
      <w:r w:rsidR="00D8054C">
        <w:t xml:space="preserve"> damage suffered by the applicants had been </w:t>
      </w:r>
      <w:r w:rsidR="00DF5E87">
        <w:t xml:space="preserve">caused by the decision of 1964 and therefore constituted an </w:t>
      </w:r>
      <w:r w:rsidR="00D8054C">
        <w:t xml:space="preserve">instantaneous </w:t>
      </w:r>
      <w:r w:rsidR="00DF5E87">
        <w:t xml:space="preserve">act which </w:t>
      </w:r>
      <w:r w:rsidR="00D8054C">
        <w:t>had occurred before</w:t>
      </w:r>
      <w:r w:rsidR="00DF5E87">
        <w:t xml:space="preserve"> 10 October 1994 (the date of entry into force of Protocol No. 1 in respect of </w:t>
      </w:r>
      <w:smartTag w:uri="urn:schemas-microsoft-com:office:smarttags" w:element="place">
        <w:smartTag w:uri="urn:schemas-microsoft-com:office:smarttags" w:element="country-region">
          <w:r w:rsidR="00DF5E87">
            <w:t>Poland</w:t>
          </w:r>
        </w:smartTag>
      </w:smartTag>
      <w:r w:rsidR="00DF5E87">
        <w:t xml:space="preserve">). </w:t>
      </w:r>
      <w:r w:rsidR="006C4FB5">
        <w:t xml:space="preserve">They further </w:t>
      </w:r>
      <w:r w:rsidR="001C07A7" w:rsidRPr="00223118">
        <w:t xml:space="preserve">argued that according to </w:t>
      </w:r>
      <w:r w:rsidR="00B21490">
        <w:t xml:space="preserve">a </w:t>
      </w:r>
      <w:r w:rsidR="001C07A7" w:rsidRPr="00223118">
        <w:t>recent</w:t>
      </w:r>
      <w:r w:rsidR="00B21490">
        <w:t xml:space="preserve"> </w:t>
      </w:r>
      <w:r w:rsidR="001C07A7" w:rsidRPr="00223118">
        <w:t>inter</w:t>
      </w:r>
      <w:r w:rsidR="00B21490">
        <w:t>pretation of the relevant law, the</w:t>
      </w:r>
      <w:r w:rsidR="001C07A7" w:rsidRPr="00223118">
        <w:t xml:space="preserve"> </w:t>
      </w:r>
      <w:r w:rsidR="00B21490" w:rsidRPr="00223118">
        <w:t xml:space="preserve">1999 </w:t>
      </w:r>
      <w:r w:rsidR="001C07A7" w:rsidRPr="00223118">
        <w:t xml:space="preserve">decision of </w:t>
      </w:r>
      <w:r w:rsidR="00B21490">
        <w:t>the Local Government Bo</w:t>
      </w:r>
      <w:r w:rsidR="000241FD">
        <w:t>ard of Appeal (see paragraph 17 </w:t>
      </w:r>
      <w:r w:rsidR="00B21490">
        <w:t xml:space="preserve">above) </w:t>
      </w:r>
      <w:r w:rsidR="00223118" w:rsidRPr="00223118">
        <w:t>only</w:t>
      </w:r>
      <w:r w:rsidR="001C07A7" w:rsidRPr="00223118">
        <w:t xml:space="preserve"> open</w:t>
      </w:r>
      <w:r w:rsidR="00223118" w:rsidRPr="00223118">
        <w:t>ed a possibility of seeking compensation</w:t>
      </w:r>
      <w:r w:rsidR="00EC09D6">
        <w:t xml:space="preserve"> for the damage caused in 1964.</w:t>
      </w:r>
    </w:p>
    <w:p w:rsidR="00502175" w:rsidRDefault="002C745A" w:rsidP="00502175">
      <w:pPr>
        <w:pStyle w:val="JuPara"/>
      </w:pPr>
      <w:r>
        <w:fldChar w:fldCharType="begin"/>
      </w:r>
      <w:r>
        <w:instrText xml:space="preserve"> SEQ level0 \*arabic </w:instrText>
      </w:r>
      <w:r>
        <w:fldChar w:fldCharType="separate"/>
      </w:r>
      <w:r w:rsidR="004373EA">
        <w:rPr>
          <w:noProof/>
        </w:rPr>
        <w:t>77</w:t>
      </w:r>
      <w:r>
        <w:fldChar w:fldCharType="end"/>
      </w:r>
      <w:r>
        <w:t>.  </w:t>
      </w:r>
      <w:r w:rsidR="00502175">
        <w:t>The applicants maintained that the violations in question were of a continuing nature.</w:t>
      </w:r>
    </w:p>
    <w:p w:rsidR="00E41F7B" w:rsidRPr="00036DF3" w:rsidRDefault="007C5549" w:rsidP="00502175">
      <w:pPr>
        <w:pStyle w:val="JuPara"/>
      </w:pPr>
      <w:r>
        <w:fldChar w:fldCharType="begin"/>
      </w:r>
      <w:r>
        <w:instrText xml:space="preserve"> SEQ level0 \*arabic </w:instrText>
      </w:r>
      <w:r>
        <w:fldChar w:fldCharType="separate"/>
      </w:r>
      <w:r w:rsidR="004373EA">
        <w:rPr>
          <w:noProof/>
        </w:rPr>
        <w:t>78</w:t>
      </w:r>
      <w:r>
        <w:fldChar w:fldCharType="end"/>
      </w:r>
      <w:r>
        <w:t>.  The Court</w:t>
      </w:r>
      <w:r w:rsidR="00925F1F">
        <w:t>’</w:t>
      </w:r>
      <w:r>
        <w:t xml:space="preserve">s jurisdiction </w:t>
      </w:r>
      <w:r w:rsidRPr="007C5549">
        <w:rPr>
          <w:rStyle w:val="p----005fju----005fpara--------char----char--char"/>
          <w:bCs/>
          <w:i/>
          <w:iCs/>
        </w:rPr>
        <w:t>ratione temporis</w:t>
      </w:r>
      <w:r>
        <w:t xml:space="preserve"> covers only the period after the date of ratification of the Convention and its Protocols by the respondent State. After ratification, the State</w:t>
      </w:r>
      <w:r w:rsidR="00925F1F">
        <w:t>’</w:t>
      </w:r>
      <w:r>
        <w:t>s acts must conform to the Convention or its Protocols and subsequent facts fall within the Court</w:t>
      </w:r>
      <w:r w:rsidR="00925F1F">
        <w:t>’</w:t>
      </w:r>
      <w:r>
        <w:t xml:space="preserve">s jurisdiction even where they are merely extensions of an already existing situation (see, for example, </w:t>
      </w:r>
      <w:r>
        <w:rPr>
          <w:rStyle w:val="ju--005fquot----char--char"/>
          <w:i/>
          <w:iCs/>
        </w:rPr>
        <w:t>Almeida Garrett, Mascarenhas Falcão and Others v. Portugal</w:t>
      </w:r>
      <w:r>
        <w:t>,</w:t>
      </w:r>
      <w:r>
        <w:rPr>
          <w:rStyle w:val="ju--005fquot----char--char"/>
          <w:i/>
          <w:iCs/>
        </w:rPr>
        <w:t xml:space="preserve"> </w:t>
      </w:r>
      <w:r>
        <w:t xml:space="preserve">nos. 29813/96 and 30229/96, § 43, ECHR 2000-I). Accordingly, the Court is competent to examine the facts of the present case for their compatibility with the </w:t>
      </w:r>
      <w:r w:rsidRPr="00036DF3">
        <w:t xml:space="preserve">Convention only in so far as they occurred after 10 October 1994, the date of ratification of Protocol No. 1 by </w:t>
      </w:r>
      <w:bookmarkStart w:id="101" w:name="01000005"/>
      <w:bookmarkEnd w:id="101"/>
      <w:smartTag w:uri="urn:schemas-microsoft-com:office:smarttags" w:element="place">
        <w:smartTag w:uri="urn:schemas-microsoft-com:office:smarttags" w:element="country-region">
          <w:r w:rsidRPr="00036DF3">
            <w:rPr>
              <w:rStyle w:val="ju-005fpara--char"/>
              <w:rFonts w:ascii="Times New (W1)" w:hAnsi="Times New (W1)"/>
            </w:rPr>
            <w:t>Poland</w:t>
          </w:r>
        </w:smartTag>
      </w:smartTag>
      <w:r w:rsidRPr="00036DF3">
        <w:rPr>
          <w:rStyle w:val="ju-005fpara--char"/>
          <w:rFonts w:ascii="Times New (W1)" w:hAnsi="Times New (W1)"/>
        </w:rPr>
        <w:t>.</w:t>
      </w:r>
      <w:r w:rsidRPr="00036DF3">
        <w:t xml:space="preserve"> </w:t>
      </w:r>
      <w:r w:rsidR="008D3E17" w:rsidRPr="00036DF3">
        <w:t xml:space="preserve">It may, however, have regard to facts prior to ratification inasmuch as they could be considered to have created a continuous situation extending beyond that date or may be relevant for the understanding of facts occurring after that date (see </w:t>
      </w:r>
      <w:r w:rsidR="000241FD">
        <w:rPr>
          <w:rStyle w:val="ju-005fpara--char"/>
          <w:i/>
          <w:iCs/>
        </w:rPr>
        <w:t>Hutten</w:t>
      </w:r>
      <w:r w:rsidR="000241FD">
        <w:rPr>
          <w:rStyle w:val="ju-005fpara--char"/>
          <w:i/>
          <w:iCs/>
        </w:rPr>
        <w:noBreakHyphen/>
      </w:r>
      <w:r w:rsidR="008D3E17" w:rsidRPr="00036DF3">
        <w:rPr>
          <w:rStyle w:val="ju-005fpara--char"/>
          <w:i/>
          <w:iCs/>
        </w:rPr>
        <w:t>Czapska v. Poland</w:t>
      </w:r>
      <w:r w:rsidR="008D3E17" w:rsidRPr="00036DF3">
        <w:t xml:space="preserve"> [GC], no. </w:t>
      </w:r>
      <w:r w:rsidR="00605B7E">
        <w:t>35014/97, §§ 147</w:t>
      </w:r>
      <w:r w:rsidR="00605B7E">
        <w:noBreakHyphen/>
      </w:r>
      <w:r w:rsidR="000241FD">
        <w:t>153, ECHR 2006</w:t>
      </w:r>
      <w:r w:rsidR="000241FD">
        <w:noBreakHyphen/>
      </w:r>
      <w:r w:rsidR="008D3E17" w:rsidRPr="00036DF3">
        <w:t>...).</w:t>
      </w:r>
    </w:p>
    <w:p w:rsidR="00D434A5" w:rsidRDefault="00B562C7" w:rsidP="0040326E">
      <w:pPr>
        <w:pStyle w:val="JuPara"/>
      </w:pPr>
      <w:r w:rsidRPr="00036DF3">
        <w:fldChar w:fldCharType="begin"/>
      </w:r>
      <w:r w:rsidRPr="00036DF3">
        <w:instrText xml:space="preserve"> SEQ level0 \*arabic </w:instrText>
      </w:r>
      <w:r w:rsidRPr="00036DF3">
        <w:fldChar w:fldCharType="separate"/>
      </w:r>
      <w:r w:rsidR="004373EA">
        <w:rPr>
          <w:noProof/>
        </w:rPr>
        <w:t>79</w:t>
      </w:r>
      <w:r w:rsidRPr="00036DF3">
        <w:fldChar w:fldCharType="end"/>
      </w:r>
      <w:r w:rsidRPr="00036DF3">
        <w:t>.  The Court notes that the applicants</w:t>
      </w:r>
      <w:r w:rsidR="00925F1F">
        <w:t>’</w:t>
      </w:r>
      <w:r>
        <w:t xml:space="preserve"> complaint does not concern </w:t>
      </w:r>
      <w:r w:rsidR="00D635D7">
        <w:t>a</w:t>
      </w:r>
      <w:r>
        <w:t xml:space="preserve"> deprivation of property</w:t>
      </w:r>
      <w:r w:rsidRPr="00B562C7">
        <w:t xml:space="preserve"> </w:t>
      </w:r>
      <w:r w:rsidR="007F7334">
        <w:t>by</w:t>
      </w:r>
      <w:r w:rsidR="00D635D7">
        <w:t xml:space="preserve"> virtue of</w:t>
      </w:r>
      <w:r>
        <w:t xml:space="preserve"> the decision of 1964. In the present case, the applicants complain</w:t>
      </w:r>
      <w:r w:rsidR="0040326E">
        <w:t xml:space="preserve"> about</w:t>
      </w:r>
      <w:r>
        <w:t xml:space="preserve"> the </w:t>
      </w:r>
      <w:r w:rsidR="008C0093">
        <w:t xml:space="preserve">inability </w:t>
      </w:r>
      <w:r>
        <w:t xml:space="preserve">to </w:t>
      </w:r>
      <w:r w:rsidR="008C0093" w:rsidRPr="006F3557">
        <w:t xml:space="preserve">effectively </w:t>
      </w:r>
      <w:r w:rsidRPr="006F3557">
        <w:t>enforce</w:t>
      </w:r>
      <w:r>
        <w:t xml:space="preserve"> their compensation claim stemming from the fact</w:t>
      </w:r>
      <w:r w:rsidR="00D635D7">
        <w:t xml:space="preserve"> that</w:t>
      </w:r>
      <w:r>
        <w:t xml:space="preserve"> the 1964 decision had been issued in breach of law.</w:t>
      </w:r>
      <w:r w:rsidR="001A7BFD">
        <w:t xml:space="preserve"> </w:t>
      </w:r>
      <w:r w:rsidR="00AA6191">
        <w:t xml:space="preserve">Even if the </w:t>
      </w:r>
      <w:r w:rsidR="00EF31F5">
        <w:t xml:space="preserve">entitlement to compensation </w:t>
      </w:r>
      <w:r w:rsidR="00AA6191">
        <w:t>had been created by</w:t>
      </w:r>
      <w:r w:rsidR="00F72262">
        <w:t xml:space="preserve"> </w:t>
      </w:r>
      <w:r w:rsidR="00085B46">
        <w:t xml:space="preserve">the original </w:t>
      </w:r>
      <w:r w:rsidR="00F72262">
        <w:t xml:space="preserve">interference (namely </w:t>
      </w:r>
      <w:r w:rsidR="00163363">
        <w:t xml:space="preserve">the </w:t>
      </w:r>
      <w:r w:rsidR="00F72262">
        <w:t xml:space="preserve">adoption of the flawed </w:t>
      </w:r>
      <w:r w:rsidR="00AA6191">
        <w:t>1964 decision</w:t>
      </w:r>
      <w:r w:rsidR="00F72262">
        <w:t>)</w:t>
      </w:r>
      <w:r w:rsidR="00AA6191">
        <w:t xml:space="preserve">, the 1999 ruling </w:t>
      </w:r>
      <w:r w:rsidR="00A732FF">
        <w:t xml:space="preserve">of the Local Government Board of Appeal </w:t>
      </w:r>
      <w:r w:rsidR="00F72262">
        <w:t xml:space="preserve">confirmed </w:t>
      </w:r>
      <w:r w:rsidR="00163363">
        <w:t>their</w:t>
      </w:r>
      <w:r w:rsidR="00F72262">
        <w:t xml:space="preserve"> entitlement and </w:t>
      </w:r>
      <w:r w:rsidR="008D45B4">
        <w:t>enable</w:t>
      </w:r>
      <w:r w:rsidR="00A744BC">
        <w:t>d</w:t>
      </w:r>
      <w:r w:rsidR="008D45B4">
        <w:t xml:space="preserve"> the applicants to seek redress for the interference.</w:t>
      </w:r>
    </w:p>
    <w:p w:rsidR="007723DE" w:rsidRDefault="007723DE" w:rsidP="0040326E">
      <w:pPr>
        <w:pStyle w:val="JuPara"/>
        <w:rPr>
          <w:lang w:eastAsia="en-US"/>
        </w:rPr>
      </w:pPr>
      <w:r w:rsidRPr="00403376">
        <w:t>Therefore, in so far as the applicants</w:t>
      </w:r>
      <w:r w:rsidR="00925F1F">
        <w:t>’</w:t>
      </w:r>
      <w:r w:rsidRPr="00403376">
        <w:t xml:space="preserve"> complaint</w:t>
      </w:r>
      <w:r w:rsidR="00163363">
        <w:t>s</w:t>
      </w:r>
      <w:r w:rsidRPr="00403376">
        <w:t xml:space="preserve"> </w:t>
      </w:r>
      <w:r w:rsidR="00163363">
        <w:t>are</w:t>
      </w:r>
      <w:r w:rsidRPr="00403376">
        <w:t xml:space="preserve"> directed against the acts and omissions of</w:t>
      </w:r>
      <w:r>
        <w:t xml:space="preserve"> the State in relation to the </w:t>
      </w:r>
      <w:r w:rsidR="00A744BC">
        <w:t>enforcement</w:t>
      </w:r>
      <w:r>
        <w:t xml:space="preserve"> of </w:t>
      </w:r>
      <w:r w:rsidR="00A744BC">
        <w:t xml:space="preserve">the compensation claim </w:t>
      </w:r>
      <w:r w:rsidR="0040326E">
        <w:t xml:space="preserve">to which they </w:t>
      </w:r>
      <w:r w:rsidR="00BF642D">
        <w:t>w</w:t>
      </w:r>
      <w:r w:rsidR="0040326E">
        <w:t xml:space="preserve">ere entitled </w:t>
      </w:r>
      <w:r>
        <w:t xml:space="preserve">under </w:t>
      </w:r>
      <w:r w:rsidR="0040326E">
        <w:t xml:space="preserve">Polish </w:t>
      </w:r>
      <w:r>
        <w:t xml:space="preserve">law </w:t>
      </w:r>
      <w:r w:rsidR="0040326E">
        <w:t>–</w:t>
      </w:r>
      <w:r>
        <w:t xml:space="preserve"> an</w:t>
      </w:r>
      <w:r w:rsidR="0040326E">
        <w:t xml:space="preserve"> </w:t>
      </w:r>
      <w:r>
        <w:t xml:space="preserve">entitlement which continued to exist after </w:t>
      </w:r>
      <w:r w:rsidR="0040326E">
        <w:t>10 October 1994</w:t>
      </w:r>
      <w:r w:rsidR="00163363">
        <w:t xml:space="preserve"> having regard to the </w:t>
      </w:r>
      <w:r w:rsidR="00A732FF">
        <w:t xml:space="preserve">above-mentioned </w:t>
      </w:r>
      <w:r w:rsidR="00163363">
        <w:t>1999 ruling</w:t>
      </w:r>
      <w:r w:rsidR="00BF642D">
        <w:t xml:space="preserve"> </w:t>
      </w:r>
      <w:r w:rsidR="002A2342">
        <w:t>–</w:t>
      </w:r>
      <w:r>
        <w:t xml:space="preserve"> the</w:t>
      </w:r>
      <w:r w:rsidR="002A2342">
        <w:t xml:space="preserve"> </w:t>
      </w:r>
      <w:r>
        <w:t xml:space="preserve">Court has temporal jurisdiction to entertain </w:t>
      </w:r>
      <w:r w:rsidR="00163363">
        <w:t xml:space="preserve">that complaint </w:t>
      </w:r>
      <w:r>
        <w:t>(</w:t>
      </w:r>
      <w:r w:rsidR="007F7334">
        <w:t>cf.</w:t>
      </w:r>
      <w:r>
        <w:t xml:space="preserve"> </w:t>
      </w:r>
      <w:r>
        <w:rPr>
          <w:rStyle w:val="ju-005fpara-0020char--char"/>
          <w:i/>
          <w:iCs/>
        </w:rPr>
        <w:t>Broniowski v. Poland</w:t>
      </w:r>
      <w:r>
        <w:t xml:space="preserve"> (dec.) [GC], no. 31443/96, §§ 75-76, ECHR 2002-X</w:t>
      </w:r>
      <w:r w:rsidR="0040326E">
        <w:t xml:space="preserve">; </w:t>
      </w:r>
      <w:r w:rsidRPr="007723DE">
        <w:rPr>
          <w:i/>
          <w:lang w:eastAsia="en-US"/>
        </w:rPr>
        <w:t xml:space="preserve">Vajagić v. </w:t>
      </w:r>
      <w:smartTag w:uri="urn:schemas-microsoft-com:office:smarttags" w:element="place">
        <w:smartTag w:uri="urn:schemas-microsoft-com:office:smarttags" w:element="country-region">
          <w:r w:rsidRPr="007723DE">
            <w:rPr>
              <w:i/>
              <w:lang w:eastAsia="en-US"/>
            </w:rPr>
            <w:t>Croatia</w:t>
          </w:r>
        </w:smartTag>
      </w:smartTag>
      <w:r w:rsidRPr="00262B73">
        <w:rPr>
          <w:lang w:eastAsia="en-US"/>
        </w:rPr>
        <w:t xml:space="preserve">, no. 30431/03, § </w:t>
      </w:r>
      <w:r>
        <w:rPr>
          <w:lang w:eastAsia="en-US"/>
        </w:rPr>
        <w:t>24</w:t>
      </w:r>
      <w:r w:rsidRPr="00262B73">
        <w:rPr>
          <w:lang w:eastAsia="en-US"/>
        </w:rPr>
        <w:t>, 20 July 2006</w:t>
      </w:r>
      <w:r w:rsidR="0040326E">
        <w:rPr>
          <w:lang w:eastAsia="en-US"/>
        </w:rPr>
        <w:t>).</w:t>
      </w:r>
    </w:p>
    <w:p w:rsidR="007723DE" w:rsidRDefault="0040326E" w:rsidP="00502175">
      <w:pPr>
        <w:pStyle w:val="JuPara"/>
      </w:pPr>
      <w:r>
        <w:fldChar w:fldCharType="begin"/>
      </w:r>
      <w:r>
        <w:instrText xml:space="preserve"> SEQ level0 \*arabic </w:instrText>
      </w:r>
      <w:r>
        <w:fldChar w:fldCharType="separate"/>
      </w:r>
      <w:r w:rsidR="004373EA">
        <w:rPr>
          <w:noProof/>
        </w:rPr>
        <w:t>80</w:t>
      </w:r>
      <w:r>
        <w:fldChar w:fldCharType="end"/>
      </w:r>
      <w:r>
        <w:t>.  </w:t>
      </w:r>
      <w:r w:rsidR="007723DE">
        <w:t>The Government</w:t>
      </w:r>
      <w:r w:rsidR="00925F1F">
        <w:t>’</w:t>
      </w:r>
      <w:r w:rsidR="007723DE">
        <w:t>s objection must therefore be dismissed.</w:t>
      </w:r>
    </w:p>
    <w:p w:rsidR="00BB2173" w:rsidRPr="00C41151" w:rsidRDefault="00C41151" w:rsidP="00C41151">
      <w:pPr>
        <w:pStyle w:val="JuH1"/>
      </w:pPr>
      <w:r w:rsidRPr="00C41151">
        <w:t>2.  </w:t>
      </w:r>
      <w:r w:rsidR="00BB2173" w:rsidRPr="00C41151">
        <w:t xml:space="preserve">Compatibility </w:t>
      </w:r>
      <w:r w:rsidR="00BB2173" w:rsidRPr="00C41151">
        <w:rPr>
          <w:i w:val="0"/>
        </w:rPr>
        <w:t>ratione materiae</w:t>
      </w:r>
      <w:r w:rsidR="0056737A" w:rsidRPr="00C41151">
        <w:t xml:space="preserve"> </w:t>
      </w:r>
      <w:r w:rsidR="00C9640C" w:rsidRPr="00C41151">
        <w:t>–</w:t>
      </w:r>
      <w:r w:rsidR="0056737A" w:rsidRPr="00C41151">
        <w:t xml:space="preserve"> existence</w:t>
      </w:r>
      <w:r w:rsidR="00C9640C" w:rsidRPr="00C41151">
        <w:t xml:space="preserve"> </w:t>
      </w:r>
      <w:r w:rsidR="0056737A" w:rsidRPr="00C41151">
        <w:t>of possessions within the meaning of Article 1 of Protocol No. 1</w:t>
      </w:r>
    </w:p>
    <w:p w:rsidR="00776191" w:rsidRPr="00776191" w:rsidRDefault="00BB2173" w:rsidP="003606E7">
      <w:pPr>
        <w:pStyle w:val="JuPara"/>
      </w:pPr>
      <w:r>
        <w:fldChar w:fldCharType="begin"/>
      </w:r>
      <w:r>
        <w:instrText xml:space="preserve"> SEQ level0 \*arabic </w:instrText>
      </w:r>
      <w:r>
        <w:fldChar w:fldCharType="separate"/>
      </w:r>
      <w:r w:rsidR="004373EA">
        <w:rPr>
          <w:noProof/>
        </w:rPr>
        <w:t>81</w:t>
      </w:r>
      <w:r>
        <w:fldChar w:fldCharType="end"/>
      </w:r>
      <w:r>
        <w:t>.  </w:t>
      </w:r>
      <w:r w:rsidR="00086BD3" w:rsidRPr="00086BD3">
        <w:t xml:space="preserve">The Government </w:t>
      </w:r>
      <w:r w:rsidR="00116B52">
        <w:t>argued</w:t>
      </w:r>
      <w:r w:rsidR="00086BD3" w:rsidRPr="00086BD3">
        <w:t xml:space="preserve"> that the </w:t>
      </w:r>
      <w:r w:rsidR="00834609" w:rsidRPr="00393157">
        <w:rPr>
          <w:color w:val="000000"/>
          <w:szCs w:val="24"/>
          <w:lang w:eastAsia="en-GB"/>
        </w:rPr>
        <w:t>complaint</w:t>
      </w:r>
      <w:r w:rsidR="00834609">
        <w:rPr>
          <w:color w:val="000000"/>
          <w:szCs w:val="24"/>
          <w:lang w:eastAsia="en-GB"/>
        </w:rPr>
        <w:t>s were</w:t>
      </w:r>
      <w:r w:rsidR="00086BD3" w:rsidRPr="00086BD3">
        <w:t xml:space="preserve"> also incompatible </w:t>
      </w:r>
      <w:r w:rsidR="00086BD3" w:rsidRPr="00086BD3">
        <w:rPr>
          <w:i/>
        </w:rPr>
        <w:t>ratione materiae</w:t>
      </w:r>
      <w:r w:rsidR="00086BD3" w:rsidRPr="00086BD3">
        <w:t xml:space="preserve"> </w:t>
      </w:r>
      <w:r w:rsidR="00086BD3">
        <w:t>with</w:t>
      </w:r>
      <w:r w:rsidR="00086BD3" w:rsidRPr="00086BD3">
        <w:t xml:space="preserve"> the Convention</w:t>
      </w:r>
      <w:r w:rsidR="00086BD3">
        <w:t>, as the</w:t>
      </w:r>
      <w:r w:rsidR="00086BD3" w:rsidRPr="00086BD3">
        <w:t xml:space="preserve"> applicants ha</w:t>
      </w:r>
      <w:r w:rsidR="00086BD3">
        <w:t>d</w:t>
      </w:r>
      <w:r w:rsidR="00086BD3" w:rsidRPr="00086BD3">
        <w:t xml:space="preserve"> not prove</w:t>
      </w:r>
      <w:r w:rsidR="00834609">
        <w:t>d</w:t>
      </w:r>
      <w:r w:rsidR="00086BD3" w:rsidRPr="00086BD3">
        <w:t xml:space="preserve"> that they had any “possessions” within the meaning of Article 1 of Protocol </w:t>
      </w:r>
      <w:r w:rsidR="00834609" w:rsidRPr="00086BD3">
        <w:t>No</w:t>
      </w:r>
      <w:r w:rsidR="00086BD3" w:rsidRPr="00086BD3">
        <w:t>. 1.</w:t>
      </w:r>
      <w:r w:rsidR="00116B52">
        <w:t xml:space="preserve"> They submitted that</w:t>
      </w:r>
      <w:r w:rsidR="00254784">
        <w:t xml:space="preserve"> </w:t>
      </w:r>
      <w:r w:rsidR="003606E7">
        <w:t xml:space="preserve">the </w:t>
      </w:r>
      <w:r w:rsidR="00254784">
        <w:rPr>
          <w:rFonts w:eastAsia="Batang"/>
          <w:szCs w:val="24"/>
          <w:lang w:eastAsia="ko-KR"/>
        </w:rPr>
        <w:t>Convention</w:t>
      </w:r>
      <w:r w:rsidR="00254784">
        <w:t xml:space="preserve"> </w:t>
      </w:r>
      <w:r w:rsidR="007757D1">
        <w:t>did</w:t>
      </w:r>
      <w:r w:rsidR="00475B9D">
        <w:t xml:space="preserve"> not guarantee a </w:t>
      </w:r>
      <w:r w:rsidR="00116B52" w:rsidRPr="00116B52">
        <w:t xml:space="preserve">right </w:t>
      </w:r>
      <w:r w:rsidR="00834609">
        <w:t>to the return of</w:t>
      </w:r>
      <w:r w:rsidR="003606E7" w:rsidRPr="00116B52">
        <w:t xml:space="preserve"> property which had been expropriated before </w:t>
      </w:r>
      <w:r w:rsidR="003606E7">
        <w:t>the</w:t>
      </w:r>
      <w:r w:rsidR="00834609">
        <w:t xml:space="preserve"> date of</w:t>
      </w:r>
      <w:r w:rsidR="003606E7" w:rsidRPr="00116B52">
        <w:t xml:space="preserve"> ratification </w:t>
      </w:r>
      <w:r w:rsidR="003606E7">
        <w:t xml:space="preserve">of </w:t>
      </w:r>
      <w:r w:rsidR="000A6EC2">
        <w:t xml:space="preserve">the </w:t>
      </w:r>
      <w:r w:rsidR="003606E7">
        <w:rPr>
          <w:rFonts w:eastAsia="Batang"/>
          <w:szCs w:val="24"/>
          <w:lang w:eastAsia="ko-KR"/>
        </w:rPr>
        <w:t>Convention</w:t>
      </w:r>
      <w:r w:rsidR="003606E7">
        <w:t>.</w:t>
      </w:r>
      <w:r w:rsidR="00116B52" w:rsidRPr="00116B52">
        <w:t xml:space="preserve"> </w:t>
      </w:r>
      <w:r w:rsidR="003606E7">
        <w:t>Further, the fact that the applicants were entitled to pursue a claim for compensation under Article 160 of the CAP did not mean that they had</w:t>
      </w:r>
      <w:r w:rsidR="00834609">
        <w:t xml:space="preserve"> a</w:t>
      </w:r>
      <w:r w:rsidR="003606E7">
        <w:t xml:space="preserve"> “legitimate expectation of obtaining effective enjoyment of a property right”.</w:t>
      </w:r>
      <w:r w:rsidR="00776191">
        <w:t xml:space="preserve"> In this respect they argued that the applicants had not obtained a ruling confirming, in particular, that they had </w:t>
      </w:r>
      <w:r w:rsidR="00776191" w:rsidRPr="00776191">
        <w:t xml:space="preserve">sustained damage and that there was a causal </w:t>
      </w:r>
      <w:r w:rsidR="00776191">
        <w:t xml:space="preserve">link </w:t>
      </w:r>
      <w:r w:rsidR="00776191" w:rsidRPr="00776191">
        <w:t>between</w:t>
      </w:r>
      <w:r w:rsidR="00776191">
        <w:t xml:space="preserve"> </w:t>
      </w:r>
      <w:r w:rsidR="00776191" w:rsidRPr="00776191">
        <w:t xml:space="preserve">the adoption </w:t>
      </w:r>
      <w:r w:rsidR="00776191">
        <w:t xml:space="preserve">of the flawed administrative </w:t>
      </w:r>
      <w:r w:rsidR="00776191" w:rsidRPr="00520148">
        <w:t>decision and the damage.</w:t>
      </w:r>
      <w:r w:rsidR="005B73F0" w:rsidRPr="00520148">
        <w:t xml:space="preserve"> Moreover</w:t>
      </w:r>
      <w:r w:rsidR="00F86877" w:rsidRPr="00520148">
        <w:t xml:space="preserve">, the applicants could not have expected to have their claim allowed if they had sued </w:t>
      </w:r>
      <w:r w:rsidR="00475B9D" w:rsidRPr="00520148">
        <w:t xml:space="preserve">the </w:t>
      </w:r>
      <w:r w:rsidR="00F86877" w:rsidRPr="00520148">
        <w:t xml:space="preserve">wrong </w:t>
      </w:r>
      <w:r w:rsidR="00F54E14">
        <w:t>defendant</w:t>
      </w:r>
      <w:r w:rsidR="00F86877" w:rsidRPr="00520148">
        <w:t>.</w:t>
      </w:r>
    </w:p>
    <w:p w:rsidR="00086BD3" w:rsidRDefault="00F1708C" w:rsidP="00F1708C">
      <w:pPr>
        <w:pStyle w:val="JuPara"/>
      </w:pPr>
      <w:r>
        <w:fldChar w:fldCharType="begin"/>
      </w:r>
      <w:r>
        <w:instrText xml:space="preserve"> SEQ level0 \*arabic </w:instrText>
      </w:r>
      <w:r>
        <w:fldChar w:fldCharType="separate"/>
      </w:r>
      <w:r w:rsidR="004373EA">
        <w:rPr>
          <w:noProof/>
        </w:rPr>
        <w:t>82</w:t>
      </w:r>
      <w:r>
        <w:fldChar w:fldCharType="end"/>
      </w:r>
      <w:r>
        <w:t xml:space="preserve">.  The applicants </w:t>
      </w:r>
      <w:r w:rsidR="000E0174">
        <w:t>did not comment.</w:t>
      </w:r>
    </w:p>
    <w:p w:rsidR="00D6337A" w:rsidRPr="00036DF3" w:rsidRDefault="000E0174" w:rsidP="00D6337A">
      <w:pPr>
        <w:pStyle w:val="JuPara"/>
      </w:pPr>
      <w:r>
        <w:fldChar w:fldCharType="begin"/>
      </w:r>
      <w:r>
        <w:instrText xml:space="preserve"> SEQ level0 \*arabic </w:instrText>
      </w:r>
      <w:r>
        <w:fldChar w:fldCharType="separate"/>
      </w:r>
      <w:r w:rsidR="004373EA">
        <w:rPr>
          <w:noProof/>
        </w:rPr>
        <w:t>83</w:t>
      </w:r>
      <w:r>
        <w:fldChar w:fldCharType="end"/>
      </w:r>
      <w:r>
        <w:t>.  </w:t>
      </w:r>
      <w:r w:rsidR="00B05E4C">
        <w:t xml:space="preserve">The Court reiterates </w:t>
      </w:r>
      <w:r w:rsidR="00D6337A" w:rsidRPr="001500FF">
        <w:t>that the concept of “possessions” in the first part of Article 1 of Protocol No. 1 has an autonomous meaning which is not limited to ownership of physical goods and is independent from the formal classification in domestic law</w:t>
      </w:r>
      <w:r w:rsidR="00D6337A">
        <w:t xml:space="preserve">. </w:t>
      </w:r>
      <w:r w:rsidR="00D6337A" w:rsidRPr="001500FF">
        <w:t>Accordingly, as well as physical goods, certain rights and interests constituting assets may also be regarded as “property rights”, and thus as “</w:t>
      </w:r>
      <w:r w:rsidR="00D6337A" w:rsidRPr="00036DF3">
        <w:t xml:space="preserve">possessions” for the purposes of this provision (see </w:t>
      </w:r>
      <w:r w:rsidR="00D6337A" w:rsidRPr="00036DF3">
        <w:rPr>
          <w:i/>
          <w:iCs/>
        </w:rPr>
        <w:t xml:space="preserve">Iatridis v. Greece </w:t>
      </w:r>
      <w:r w:rsidR="00D6337A" w:rsidRPr="00036DF3">
        <w:t xml:space="preserve">[GC], no. 31107/96, § 54, ECHR 1999-II, and </w:t>
      </w:r>
      <w:r w:rsidR="00D6337A" w:rsidRPr="00036DF3">
        <w:rPr>
          <w:i/>
          <w:iCs/>
        </w:rPr>
        <w:t>Beyeler v. Italy</w:t>
      </w:r>
      <w:r w:rsidR="00D6337A" w:rsidRPr="00036DF3">
        <w:t xml:space="preserve"> [GC], no. 33202/96, § 100, ECHR 2000-I). The concept of “possessions” is not limited to “existing possessions” but may also cover assets, including claims, in respect of which the applicant can argue that he has at least “legitimate expectation” of obtaining effective enjoyment of a property right (see, for example, </w:t>
      </w:r>
      <w:r w:rsidR="00D6337A" w:rsidRPr="00036DF3">
        <w:rPr>
          <w:i/>
          <w:iCs/>
        </w:rPr>
        <w:t xml:space="preserve">Prince Hans-Adam II of Liechtenstein v. Germany </w:t>
      </w:r>
      <w:r w:rsidR="00D6337A" w:rsidRPr="00036DF3">
        <w:t>[GC], no. 42527/98, § 83, ECHR 2001-VIII).</w:t>
      </w:r>
    </w:p>
    <w:p w:rsidR="00D6337A" w:rsidRPr="00036DF3" w:rsidRDefault="00D6337A" w:rsidP="00B05E4C">
      <w:pPr>
        <w:pStyle w:val="JuPara"/>
      </w:pPr>
      <w:r w:rsidRPr="00036DF3">
        <w:t>Where the proprietary interest is in the nature of a claim it may be regarded as an “asset” only where it has a sufficient basis in national law, for example where there is settled case-law of the domestic courts confirming it (</w:t>
      </w:r>
      <w:r w:rsidRPr="00036DF3">
        <w:rPr>
          <w:rStyle w:val="ju-005fpara--char"/>
          <w:i/>
          <w:iCs/>
        </w:rPr>
        <w:t>Kopecký v. Slovakia</w:t>
      </w:r>
      <w:r w:rsidRPr="00036DF3">
        <w:t xml:space="preserve"> [GC],</w:t>
      </w:r>
      <w:r w:rsidR="00C41151">
        <w:t xml:space="preserve"> no. 44912/98, §§ 52, ECHR 2004</w:t>
      </w:r>
      <w:r w:rsidR="00C41151">
        <w:noBreakHyphen/>
      </w:r>
      <w:r w:rsidRPr="00036DF3">
        <w:t xml:space="preserve">IX; </w:t>
      </w:r>
      <w:r w:rsidRPr="00036DF3">
        <w:rPr>
          <w:i/>
        </w:rPr>
        <w:t>Draon v. France</w:t>
      </w:r>
      <w:r w:rsidRPr="00036DF3">
        <w:t xml:space="preserve"> [GC], no. 1513/03, § 68, 6 October 2005; </w:t>
      </w:r>
      <w:r w:rsidRPr="00036DF3">
        <w:rPr>
          <w:i/>
        </w:rPr>
        <w:t>Anheuser-Busch Inc. v. Portugal</w:t>
      </w:r>
      <w:r w:rsidRPr="00036DF3">
        <w:t xml:space="preserve"> [GC], no. 73049/01, § 65, 11 January 2007).</w:t>
      </w:r>
    </w:p>
    <w:p w:rsidR="00470EE3" w:rsidRPr="00036DF3" w:rsidRDefault="00470EE3" w:rsidP="00B05E4C">
      <w:pPr>
        <w:pStyle w:val="JuPara"/>
      </w:pPr>
      <w:r w:rsidRPr="00036DF3">
        <w:t xml:space="preserve">Where that has been established, the concept of “legitimate expectation” can come into play, which must be of a nature more concrete than a mere hope and be based on a legal provision or a legal act such as a </w:t>
      </w:r>
      <w:r w:rsidR="00834609">
        <w:t xml:space="preserve">final </w:t>
      </w:r>
      <w:r w:rsidRPr="00036DF3">
        <w:t xml:space="preserve">judicial decision (see </w:t>
      </w:r>
      <w:r w:rsidRPr="00036DF3">
        <w:rPr>
          <w:rStyle w:val="ju-005fpara--char"/>
          <w:i/>
          <w:iCs/>
        </w:rPr>
        <w:t>Draon</w:t>
      </w:r>
      <w:r w:rsidRPr="00036DF3">
        <w:t xml:space="preserve">, cited above, § 65, and </w:t>
      </w:r>
      <w:r w:rsidRPr="00036DF3">
        <w:rPr>
          <w:rStyle w:val="ju-005fpara--char"/>
          <w:i/>
          <w:iCs/>
        </w:rPr>
        <w:t>Gratzinger and Gratzingerova v. the Czech Republic</w:t>
      </w:r>
      <w:r w:rsidRPr="00036DF3">
        <w:t xml:space="preserve"> (dec.), no. 39794/98, § 73, ECHR 2002-VII).</w:t>
      </w:r>
    </w:p>
    <w:p w:rsidR="00D434A5" w:rsidRDefault="00475B9D" w:rsidP="00444B41">
      <w:pPr>
        <w:pStyle w:val="JuPara"/>
        <w:rPr>
          <w:lang w:eastAsia="en-US"/>
        </w:rPr>
      </w:pPr>
      <w:r w:rsidRPr="00036DF3">
        <w:fldChar w:fldCharType="begin"/>
      </w:r>
      <w:r w:rsidRPr="00036DF3">
        <w:instrText xml:space="preserve"> SEQ level0 \*arabic </w:instrText>
      </w:r>
      <w:r w:rsidRPr="00036DF3">
        <w:fldChar w:fldCharType="separate"/>
      </w:r>
      <w:r w:rsidR="004373EA">
        <w:rPr>
          <w:noProof/>
        </w:rPr>
        <w:t>84</w:t>
      </w:r>
      <w:r w:rsidRPr="00036DF3">
        <w:fldChar w:fldCharType="end"/>
      </w:r>
      <w:r w:rsidRPr="00036DF3">
        <w:t>. </w:t>
      </w:r>
      <w:r w:rsidR="00C96393" w:rsidRPr="00036DF3">
        <w:t xml:space="preserve">Turning to the circumstances of the present case the Court observes that </w:t>
      </w:r>
      <w:r w:rsidR="004F6614" w:rsidRPr="00036DF3">
        <w:t xml:space="preserve">in </w:t>
      </w:r>
      <w:r w:rsidR="00C96393" w:rsidRPr="00036DF3">
        <w:t xml:space="preserve">the 1999 ruling the Local Government Board of Appeal </w:t>
      </w:r>
      <w:r w:rsidR="004F6614" w:rsidRPr="00036DF3">
        <w:t>established</w:t>
      </w:r>
      <w:r w:rsidR="00C96393" w:rsidRPr="00036DF3">
        <w:t xml:space="preserve"> that the 1964 decision had been issued in breach of law and this fact </w:t>
      </w:r>
      <w:r w:rsidR="003F35EF" w:rsidRPr="00036DF3">
        <w:t>e</w:t>
      </w:r>
      <w:r w:rsidR="00C96393" w:rsidRPr="00036DF3">
        <w:t xml:space="preserve">ntitled the applicants to seek </w:t>
      </w:r>
      <w:r w:rsidR="00834609">
        <w:t>compensation for damage</w:t>
      </w:r>
      <w:r w:rsidR="00C96393" w:rsidRPr="00036DF3">
        <w:t xml:space="preserve">. The Court notes that </w:t>
      </w:r>
      <w:r w:rsidR="006F5581" w:rsidRPr="00036DF3">
        <w:t>the entitlement was expressly provided for in domestic law and the domestic courts</w:t>
      </w:r>
      <w:r w:rsidR="00925F1F">
        <w:t>’</w:t>
      </w:r>
      <w:r w:rsidR="006F5581" w:rsidRPr="00036DF3">
        <w:t xml:space="preserve"> established case-law confirmed the existence of </w:t>
      </w:r>
      <w:r w:rsidR="003A53CA">
        <w:t xml:space="preserve">a </w:t>
      </w:r>
      <w:r w:rsidR="006F5581" w:rsidRPr="00036DF3">
        <w:t xml:space="preserve">casual link between a flawed administrative decision and loss sustained in result thereof (see paragraphs </w:t>
      </w:r>
      <w:r w:rsidR="00036DF3">
        <w:t>71-72</w:t>
      </w:r>
      <w:r w:rsidR="006F5581" w:rsidRPr="00036DF3">
        <w:t xml:space="preserve"> above). </w:t>
      </w:r>
      <w:r w:rsidR="00DC5EC2" w:rsidRPr="00036DF3">
        <w:rPr>
          <w:lang w:eastAsia="en-US"/>
        </w:rPr>
        <w:t xml:space="preserve">Only the extent of </w:t>
      </w:r>
      <w:r w:rsidR="00834609">
        <w:rPr>
          <w:lang w:eastAsia="en-US"/>
        </w:rPr>
        <w:t xml:space="preserve">the </w:t>
      </w:r>
      <w:r w:rsidR="00DC5EC2" w:rsidRPr="00036DF3">
        <w:rPr>
          <w:lang w:eastAsia="en-US"/>
        </w:rPr>
        <w:t>alleged loss and the amount of</w:t>
      </w:r>
      <w:r w:rsidR="00DC5EC2" w:rsidRPr="0085436E">
        <w:rPr>
          <w:lang w:eastAsia="en-US"/>
        </w:rPr>
        <w:t xml:space="preserve"> </w:t>
      </w:r>
      <w:r w:rsidR="00C86587" w:rsidRPr="0085436E">
        <w:rPr>
          <w:lang w:eastAsia="en-US"/>
        </w:rPr>
        <w:t>compensation</w:t>
      </w:r>
      <w:r w:rsidR="00DC5EC2" w:rsidRPr="0085436E">
        <w:rPr>
          <w:lang w:eastAsia="en-US"/>
        </w:rPr>
        <w:t xml:space="preserve"> remained to be established in judicial proceedings.</w:t>
      </w:r>
    </w:p>
    <w:p w:rsidR="00444B41" w:rsidRDefault="00444B41" w:rsidP="00444B41">
      <w:pPr>
        <w:pStyle w:val="JuPara"/>
        <w:rPr>
          <w:lang w:eastAsia="en-US"/>
        </w:rPr>
      </w:pPr>
      <w:r w:rsidRPr="0085436E">
        <w:t xml:space="preserve">Therefore, </w:t>
      </w:r>
      <w:r w:rsidR="00BA1B10" w:rsidRPr="0085436E">
        <w:t xml:space="preserve">in </w:t>
      </w:r>
      <w:r w:rsidR="00DC5EC2" w:rsidRPr="0085436E">
        <w:t>the Court</w:t>
      </w:r>
      <w:r w:rsidR="00925F1F">
        <w:t>’</w:t>
      </w:r>
      <w:r w:rsidR="00BA1B10" w:rsidRPr="0085436E">
        <w:t xml:space="preserve">s view, </w:t>
      </w:r>
      <w:r w:rsidRPr="0085436E">
        <w:t>the</w:t>
      </w:r>
      <w:r w:rsidR="003F35EF" w:rsidRPr="0085436E">
        <w:t xml:space="preserve"> applicants </w:t>
      </w:r>
      <w:r w:rsidR="00954911" w:rsidRPr="0085436E">
        <w:t>could</w:t>
      </w:r>
      <w:r w:rsidR="00954911">
        <w:t xml:space="preserve"> </w:t>
      </w:r>
      <w:r w:rsidR="00834609">
        <w:t xml:space="preserve">be considered to </w:t>
      </w:r>
      <w:r w:rsidR="00954911">
        <w:t>have</w:t>
      </w:r>
      <w:r w:rsidR="00834609">
        <w:t xml:space="preserve"> a</w:t>
      </w:r>
      <w:r>
        <w:t xml:space="preserve"> </w:t>
      </w:r>
      <w:r w:rsidRPr="005D16F9">
        <w:t xml:space="preserve">“legitimate expectation” that </w:t>
      </w:r>
      <w:r>
        <w:t>their</w:t>
      </w:r>
      <w:r w:rsidRPr="005D16F9">
        <w:t xml:space="preserve"> claim would</w:t>
      </w:r>
      <w:r>
        <w:t xml:space="preserve"> </w:t>
      </w:r>
      <w:r w:rsidR="000779F6">
        <w:t>be</w:t>
      </w:r>
      <w:r w:rsidRPr="005D16F9">
        <w:t xml:space="preserve"> </w:t>
      </w:r>
      <w:r w:rsidR="00F3510C">
        <w:t xml:space="preserve">dealt with </w:t>
      </w:r>
      <w:r w:rsidR="00A90EF6">
        <w:t xml:space="preserve">in accordance with </w:t>
      </w:r>
      <w:r w:rsidR="009B7F01">
        <w:t>the applicable</w:t>
      </w:r>
      <w:r w:rsidR="00A90EF6">
        <w:t xml:space="preserve"> laws</w:t>
      </w:r>
      <w:r w:rsidRPr="005D16F9">
        <w:t xml:space="preserve"> </w:t>
      </w:r>
      <w:r w:rsidR="00F3510C">
        <w:t>and</w:t>
      </w:r>
      <w:r w:rsidR="000779F6">
        <w:t>, consequently, upheld</w:t>
      </w:r>
      <w:r w:rsidR="00F3510C" w:rsidRPr="005D16F9">
        <w:t xml:space="preserve"> </w:t>
      </w:r>
      <w:r w:rsidRPr="005D16F9">
        <w:t>(</w:t>
      </w:r>
      <w:bookmarkStart w:id="102" w:name="File5"/>
      <w:r w:rsidRPr="005D16F9">
        <w:t xml:space="preserve">see </w:t>
      </w:r>
      <w:r w:rsidRPr="005D16F9">
        <w:rPr>
          <w:i/>
          <w:lang w:eastAsia="en-US"/>
        </w:rPr>
        <w:t>Pres</w:t>
      </w:r>
      <w:bookmarkEnd w:id="102"/>
      <w:r w:rsidRPr="005D16F9">
        <w:rPr>
          <w:i/>
          <w:lang w:eastAsia="en-US"/>
        </w:rPr>
        <w:t>sos Compania Naviera S.A. and Others v. Belgium</w:t>
      </w:r>
      <w:r w:rsidRPr="005D16F9">
        <w:rPr>
          <w:lang w:eastAsia="en-US"/>
        </w:rPr>
        <w:t>, judgment of 20 November 1995, Series A no. 332, § 31</w:t>
      </w:r>
      <w:r w:rsidR="009B26D5">
        <w:rPr>
          <w:lang w:eastAsia="en-US"/>
        </w:rPr>
        <w:t xml:space="preserve">; </w:t>
      </w:r>
      <w:r w:rsidR="009B26D5" w:rsidRPr="009B26D5">
        <w:rPr>
          <w:i/>
          <w:lang w:eastAsia="en-US"/>
        </w:rPr>
        <w:t>S.A. Dangeville v. France</w:t>
      </w:r>
      <w:r w:rsidR="009B26D5" w:rsidRPr="009B26D5">
        <w:rPr>
          <w:lang w:eastAsia="en-US"/>
        </w:rPr>
        <w:t xml:space="preserve">, no. </w:t>
      </w:r>
      <w:r w:rsidR="000241FD">
        <w:rPr>
          <w:lang w:eastAsia="en-US"/>
        </w:rPr>
        <w:t>36677/97, § 46 </w:t>
      </w:r>
      <w:r w:rsidR="003B79B0">
        <w:rPr>
          <w:lang w:eastAsia="en-US"/>
        </w:rPr>
        <w:t>48</w:t>
      </w:r>
      <w:r w:rsidR="009B26D5">
        <w:rPr>
          <w:lang w:eastAsia="en-US"/>
        </w:rPr>
        <w:t>, ECHR 2002</w:t>
      </w:r>
      <w:r w:rsidR="009B26D5">
        <w:rPr>
          <w:lang w:eastAsia="en-US"/>
        </w:rPr>
        <w:noBreakHyphen/>
        <w:t>III</w:t>
      </w:r>
      <w:r w:rsidR="00EC3AFD">
        <w:rPr>
          <w:lang w:eastAsia="en-US"/>
        </w:rPr>
        <w:t>).</w:t>
      </w:r>
    </w:p>
    <w:p w:rsidR="00BA1B10" w:rsidRDefault="00BA1B10" w:rsidP="00444B4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373EA">
        <w:rPr>
          <w:noProof/>
          <w:lang w:eastAsia="en-US"/>
        </w:rPr>
        <w:t>85</w:t>
      </w:r>
      <w:r>
        <w:rPr>
          <w:lang w:eastAsia="en-US"/>
        </w:rPr>
        <w:fldChar w:fldCharType="end"/>
      </w:r>
      <w:r>
        <w:rPr>
          <w:lang w:eastAsia="en-US"/>
        </w:rPr>
        <w:t xml:space="preserve">.  Accordingly, the applicants had a pecuniary interest which </w:t>
      </w:r>
      <w:r w:rsidR="0078096F">
        <w:rPr>
          <w:lang w:eastAsia="en-US"/>
        </w:rPr>
        <w:t xml:space="preserve">was recognised under Polish law and which was subject to the protection of </w:t>
      </w:r>
      <w:r w:rsidR="0078096F" w:rsidRPr="0078096F">
        <w:rPr>
          <w:color w:val="000000"/>
          <w:szCs w:val="24"/>
          <w:lang w:eastAsia="en-GB"/>
        </w:rPr>
        <w:t xml:space="preserve">Article </w:t>
      </w:r>
      <w:r w:rsidR="0078096F">
        <w:rPr>
          <w:color w:val="000000"/>
          <w:szCs w:val="24"/>
          <w:lang w:eastAsia="en-GB"/>
        </w:rPr>
        <w:t>1</w:t>
      </w:r>
      <w:r w:rsidR="0078096F">
        <w:rPr>
          <w:lang w:eastAsia="en-US"/>
        </w:rPr>
        <w:t xml:space="preserve"> of Protocol No. 1.</w:t>
      </w:r>
    </w:p>
    <w:p w:rsidR="00D434A5" w:rsidRDefault="00444B41" w:rsidP="00444B41">
      <w:pPr>
        <w:pStyle w:val="JuPara"/>
        <w:rPr>
          <w:lang w:eastAsia="en-US"/>
        </w:rPr>
      </w:pPr>
      <w:r>
        <w:rPr>
          <w:lang w:eastAsia="en-US"/>
        </w:rPr>
        <w:fldChar w:fldCharType="begin"/>
      </w:r>
      <w:r>
        <w:rPr>
          <w:lang w:eastAsia="en-US"/>
        </w:rPr>
        <w:instrText xml:space="preserve"> SEQ level0 \*arabic </w:instrText>
      </w:r>
      <w:r>
        <w:rPr>
          <w:lang w:eastAsia="en-US"/>
        </w:rPr>
        <w:fldChar w:fldCharType="separate"/>
      </w:r>
      <w:r w:rsidR="004373EA">
        <w:rPr>
          <w:noProof/>
          <w:lang w:eastAsia="en-US"/>
        </w:rPr>
        <w:t>86</w:t>
      </w:r>
      <w:r>
        <w:rPr>
          <w:lang w:eastAsia="en-US"/>
        </w:rPr>
        <w:fldChar w:fldCharType="end"/>
      </w:r>
      <w:r>
        <w:rPr>
          <w:lang w:eastAsia="en-US"/>
        </w:rPr>
        <w:t xml:space="preserve">.  It is true that the existence of such </w:t>
      </w:r>
      <w:r w:rsidR="00DD5F85">
        <w:rPr>
          <w:lang w:eastAsia="en-US"/>
        </w:rPr>
        <w:t>a claim</w:t>
      </w:r>
      <w:r>
        <w:rPr>
          <w:lang w:eastAsia="en-US"/>
        </w:rPr>
        <w:t xml:space="preserve"> does not exempt </w:t>
      </w:r>
      <w:r w:rsidRPr="00036DF3">
        <w:rPr>
          <w:lang w:eastAsia="en-US"/>
        </w:rPr>
        <w:t xml:space="preserve">the applicants from </w:t>
      </w:r>
      <w:r w:rsidR="00DD5F85" w:rsidRPr="00036DF3">
        <w:rPr>
          <w:lang w:eastAsia="en-US"/>
        </w:rPr>
        <w:t>p</w:t>
      </w:r>
      <w:r w:rsidRPr="00036DF3">
        <w:rPr>
          <w:lang w:eastAsia="en-US"/>
        </w:rPr>
        <w:t>urs</w:t>
      </w:r>
      <w:r w:rsidR="00DD5F85" w:rsidRPr="00036DF3">
        <w:rPr>
          <w:lang w:eastAsia="en-US"/>
        </w:rPr>
        <w:t>ui</w:t>
      </w:r>
      <w:r w:rsidRPr="00036DF3">
        <w:rPr>
          <w:lang w:eastAsia="en-US"/>
        </w:rPr>
        <w:t>ng that claim</w:t>
      </w:r>
      <w:r w:rsidR="00DD5F85" w:rsidRPr="00036DF3">
        <w:rPr>
          <w:lang w:eastAsia="en-US"/>
        </w:rPr>
        <w:t xml:space="preserve"> </w:t>
      </w:r>
      <w:r w:rsidR="00834609" w:rsidRPr="00036DF3">
        <w:rPr>
          <w:lang w:eastAsia="en-US"/>
        </w:rPr>
        <w:t>diligen</w:t>
      </w:r>
      <w:r w:rsidR="00834609">
        <w:rPr>
          <w:lang w:eastAsia="en-US"/>
        </w:rPr>
        <w:t>tly</w:t>
      </w:r>
      <w:r w:rsidR="00834609" w:rsidRPr="00036DF3">
        <w:rPr>
          <w:lang w:eastAsia="en-US"/>
        </w:rPr>
        <w:t xml:space="preserve"> </w:t>
      </w:r>
      <w:r w:rsidR="00DD5F85" w:rsidRPr="00036DF3">
        <w:rPr>
          <w:lang w:eastAsia="en-US"/>
        </w:rPr>
        <w:t xml:space="preserve">and </w:t>
      </w:r>
      <w:r w:rsidR="00E76074" w:rsidRPr="00036DF3">
        <w:rPr>
          <w:lang w:eastAsia="en-US"/>
        </w:rPr>
        <w:t xml:space="preserve">suing the appropriate </w:t>
      </w:r>
      <w:r w:rsidR="00F54E14">
        <w:rPr>
          <w:lang w:eastAsia="en-US"/>
        </w:rPr>
        <w:t>defendant</w:t>
      </w:r>
      <w:r w:rsidR="00E76074" w:rsidRPr="00036DF3">
        <w:rPr>
          <w:lang w:eastAsia="en-US"/>
        </w:rPr>
        <w:t xml:space="preserve">. This issue, however, </w:t>
      </w:r>
      <w:r w:rsidR="00834609">
        <w:rPr>
          <w:lang w:eastAsia="en-US"/>
        </w:rPr>
        <w:t>goes to</w:t>
      </w:r>
      <w:r w:rsidR="00E76074" w:rsidRPr="00036DF3">
        <w:rPr>
          <w:lang w:eastAsia="en-US"/>
        </w:rPr>
        <w:t xml:space="preserve"> the merits of the case</w:t>
      </w:r>
      <w:r w:rsidR="00834609">
        <w:rPr>
          <w:lang w:eastAsia="en-US"/>
        </w:rPr>
        <w:t xml:space="preserve"> and shall be examined at that stage.</w:t>
      </w:r>
    </w:p>
    <w:p w:rsidR="00D2087E" w:rsidRDefault="00F01784" w:rsidP="00B05E4C">
      <w:pPr>
        <w:pStyle w:val="JuPara"/>
      </w:pPr>
      <w:r w:rsidRPr="00036DF3">
        <w:fldChar w:fldCharType="begin"/>
      </w:r>
      <w:r w:rsidRPr="00036DF3">
        <w:instrText xml:space="preserve"> SEQ level0 \*arabic </w:instrText>
      </w:r>
      <w:r w:rsidRPr="00036DF3">
        <w:fldChar w:fldCharType="separate"/>
      </w:r>
      <w:r w:rsidR="004373EA">
        <w:rPr>
          <w:noProof/>
        </w:rPr>
        <w:t>87</w:t>
      </w:r>
      <w:r w:rsidRPr="00036DF3">
        <w:fldChar w:fldCharType="end"/>
      </w:r>
      <w:r w:rsidRPr="00036DF3">
        <w:t xml:space="preserve">.  Accordingly, </w:t>
      </w:r>
      <w:r>
        <w:t>the Government</w:t>
      </w:r>
      <w:r w:rsidR="00925F1F">
        <w:t>’</w:t>
      </w:r>
      <w:r>
        <w:t>s objection in this regard must be dismissed.</w:t>
      </w:r>
    </w:p>
    <w:p w:rsidR="002D551A" w:rsidRDefault="00C41151" w:rsidP="00C41151">
      <w:pPr>
        <w:pStyle w:val="JuH1"/>
        <w:ind w:left="431" w:firstLine="0"/>
      </w:pPr>
      <w:r>
        <w:t>3.  </w:t>
      </w:r>
      <w:r w:rsidR="002D551A">
        <w:t xml:space="preserve">Compatibility </w:t>
      </w:r>
      <w:r w:rsidR="002D551A" w:rsidRPr="00C41151">
        <w:rPr>
          <w:i w:val="0"/>
        </w:rPr>
        <w:t>ratione personae</w:t>
      </w:r>
    </w:p>
    <w:p w:rsidR="009701B4" w:rsidRPr="00CF4785" w:rsidRDefault="00171538" w:rsidP="00B05E4C">
      <w:pPr>
        <w:pStyle w:val="JuPara"/>
      </w:pPr>
      <w:r>
        <w:fldChar w:fldCharType="begin"/>
      </w:r>
      <w:r>
        <w:instrText xml:space="preserve"> SEQ level0 \*arabic </w:instrText>
      </w:r>
      <w:r>
        <w:fldChar w:fldCharType="separate"/>
      </w:r>
      <w:r w:rsidR="004373EA">
        <w:rPr>
          <w:noProof/>
        </w:rPr>
        <w:t>88</w:t>
      </w:r>
      <w:r>
        <w:fldChar w:fldCharType="end"/>
      </w:r>
      <w:r>
        <w:t>.  </w:t>
      </w:r>
      <w:r w:rsidR="009701B4">
        <w:t>I</w:t>
      </w:r>
      <w:r w:rsidR="009701B4" w:rsidRPr="009701B4">
        <w:t>n the Government</w:t>
      </w:r>
      <w:r w:rsidR="00925F1F">
        <w:t>’</w:t>
      </w:r>
      <w:r w:rsidR="009701B4" w:rsidRPr="009701B4">
        <w:t xml:space="preserve">s opinion, the applicants failed to submit </w:t>
      </w:r>
      <w:r w:rsidR="009701B4">
        <w:t xml:space="preserve">to the Court </w:t>
      </w:r>
      <w:r w:rsidR="009701B4" w:rsidRPr="009701B4">
        <w:t>documents proving their standing in the present case</w:t>
      </w:r>
      <w:r w:rsidR="009701B4">
        <w:t xml:space="preserve"> – t</w:t>
      </w:r>
      <w:r w:rsidR="009701B4" w:rsidRPr="009701B4">
        <w:t>hey</w:t>
      </w:r>
      <w:r w:rsidR="009701B4">
        <w:t xml:space="preserve"> did</w:t>
      </w:r>
      <w:r w:rsidR="009701B4" w:rsidRPr="009701B4">
        <w:t xml:space="preserve"> </w:t>
      </w:r>
      <w:r w:rsidR="00405B5D">
        <w:t xml:space="preserve">not </w:t>
      </w:r>
      <w:r w:rsidR="009701B4">
        <w:t>prove their</w:t>
      </w:r>
      <w:r w:rsidR="009701B4" w:rsidRPr="009701B4">
        <w:t xml:space="preserve"> status as legal successors of F.P. </w:t>
      </w:r>
      <w:r w:rsidR="009701B4">
        <w:t xml:space="preserve">and </w:t>
      </w:r>
      <w:r w:rsidR="009701B4" w:rsidRPr="009701B4">
        <w:t>also failed to submit documents</w:t>
      </w:r>
      <w:r w:rsidR="009701B4">
        <w:t xml:space="preserve"> </w:t>
      </w:r>
      <w:r w:rsidR="003040E3">
        <w:t>proving F.P</w:t>
      </w:r>
      <w:r w:rsidR="00925F1F">
        <w:t>’</w:t>
      </w:r>
      <w:r w:rsidR="003040E3">
        <w:t xml:space="preserve">s title to the property at issue. </w:t>
      </w:r>
      <w:r w:rsidR="002B7618">
        <w:t>Consequently, in the Government</w:t>
      </w:r>
      <w:r w:rsidR="00925F1F">
        <w:t>’</w:t>
      </w:r>
      <w:r w:rsidR="002B7618">
        <w:t xml:space="preserve">s view, the present complaint should be </w:t>
      </w:r>
      <w:r w:rsidR="009701B4" w:rsidRPr="009701B4">
        <w:t xml:space="preserve">rejected as </w:t>
      </w:r>
      <w:r w:rsidR="002B7618" w:rsidRPr="009701B4">
        <w:t xml:space="preserve">incompatible </w:t>
      </w:r>
      <w:r w:rsidR="009701B4" w:rsidRPr="002B7618">
        <w:rPr>
          <w:i/>
        </w:rPr>
        <w:t>ratione personae</w:t>
      </w:r>
      <w:r w:rsidR="009701B4" w:rsidRPr="009701B4">
        <w:t xml:space="preserve"> </w:t>
      </w:r>
      <w:r w:rsidR="009701B4" w:rsidRPr="00CF4785">
        <w:t>with the Convention</w:t>
      </w:r>
      <w:r w:rsidR="000D5F01">
        <w:t xml:space="preserve"> and the Protocol at issue</w:t>
      </w:r>
      <w:r w:rsidR="009701B4" w:rsidRPr="00CF4785">
        <w:t>.</w:t>
      </w:r>
    </w:p>
    <w:p w:rsidR="00E11A90" w:rsidRDefault="009A0E74" w:rsidP="00B05E4C">
      <w:pPr>
        <w:pStyle w:val="JuPara"/>
      </w:pPr>
      <w:r w:rsidRPr="00CF4785">
        <w:fldChar w:fldCharType="begin"/>
      </w:r>
      <w:r w:rsidRPr="00CF4785">
        <w:instrText xml:space="preserve"> SEQ level0 \*arabic </w:instrText>
      </w:r>
      <w:r w:rsidRPr="00CF4785">
        <w:fldChar w:fldCharType="separate"/>
      </w:r>
      <w:r w:rsidR="004373EA">
        <w:rPr>
          <w:noProof/>
        </w:rPr>
        <w:t>89</w:t>
      </w:r>
      <w:r w:rsidRPr="00CF4785">
        <w:fldChar w:fldCharType="end"/>
      </w:r>
      <w:r w:rsidRPr="00CF4785">
        <w:t xml:space="preserve">.  The Court reiterates that the </w:t>
      </w:r>
      <w:r w:rsidR="00670D54" w:rsidRPr="00CF4785">
        <w:t>a</w:t>
      </w:r>
      <w:r w:rsidRPr="00CF4785">
        <w:t>pplicants</w:t>
      </w:r>
      <w:r w:rsidR="00925F1F">
        <w:t>’</w:t>
      </w:r>
      <w:r w:rsidRPr="00CF4785">
        <w:t xml:space="preserve"> complaint does not concern the deprivation of property </w:t>
      </w:r>
      <w:r w:rsidR="00670D54" w:rsidRPr="00CF4785">
        <w:t xml:space="preserve">but their claim for damages. The Court notes that the applicants </w:t>
      </w:r>
      <w:r w:rsidR="00E11A90" w:rsidRPr="00CF4785">
        <w:t xml:space="preserve">were parties to the </w:t>
      </w:r>
      <w:r w:rsidR="000D5F01" w:rsidRPr="00CF4785">
        <w:t xml:space="preserve">compensation </w:t>
      </w:r>
      <w:r w:rsidR="00E11A90" w:rsidRPr="00CF4785">
        <w:t>proceedings, as well as to the proceedings</w:t>
      </w:r>
      <w:r w:rsidR="00E11A90">
        <w:t xml:space="preserve"> </w:t>
      </w:r>
      <w:r w:rsidR="000D5F01">
        <w:t xml:space="preserve">in which they sought to have </w:t>
      </w:r>
      <w:r w:rsidR="00E11A90">
        <w:t xml:space="preserve">the 1964 decision </w:t>
      </w:r>
      <w:r w:rsidR="000D5F01">
        <w:t xml:space="preserve">declared </w:t>
      </w:r>
      <w:r w:rsidR="00E11A90">
        <w:t xml:space="preserve">null and void. </w:t>
      </w:r>
      <w:r w:rsidR="000D5F01">
        <w:t xml:space="preserve">Their </w:t>
      </w:r>
      <w:r w:rsidR="00E11A90">
        <w:t xml:space="preserve">legal standing </w:t>
      </w:r>
      <w:r w:rsidR="000D5F01">
        <w:t xml:space="preserve">in both sets of proceedings </w:t>
      </w:r>
      <w:r w:rsidR="00E11A90">
        <w:t xml:space="preserve">was </w:t>
      </w:r>
      <w:r w:rsidR="000D5F01">
        <w:t xml:space="preserve">never </w:t>
      </w:r>
      <w:r w:rsidR="00E11A90">
        <w:t xml:space="preserve">disputed (see paragraphs </w:t>
      </w:r>
      <w:r w:rsidR="00C15219">
        <w:t>1</w:t>
      </w:r>
      <w:r w:rsidR="00BB4B78">
        <w:t>5</w:t>
      </w:r>
      <w:r w:rsidR="00C15219">
        <w:t xml:space="preserve"> and 3</w:t>
      </w:r>
      <w:r w:rsidR="00BB4B78">
        <w:t>1</w:t>
      </w:r>
      <w:r w:rsidR="000241FD">
        <w:t> </w:t>
      </w:r>
      <w:r w:rsidR="009A72E6">
        <w:t>above</w:t>
      </w:r>
      <w:r w:rsidR="00C15219">
        <w:t>).</w:t>
      </w:r>
    </w:p>
    <w:p w:rsidR="00D434A5" w:rsidRDefault="00405B5D" w:rsidP="00B05E4C">
      <w:pPr>
        <w:pStyle w:val="JuPara"/>
      </w:pPr>
      <w:r>
        <w:fldChar w:fldCharType="begin"/>
      </w:r>
      <w:r>
        <w:instrText xml:space="preserve"> SEQ level0 \*arabic </w:instrText>
      </w:r>
      <w:r>
        <w:fldChar w:fldCharType="separate"/>
      </w:r>
      <w:r w:rsidR="004373EA">
        <w:rPr>
          <w:noProof/>
        </w:rPr>
        <w:t>90</w:t>
      </w:r>
      <w:r>
        <w:fldChar w:fldCharType="end"/>
      </w:r>
      <w:r>
        <w:t>.  </w:t>
      </w:r>
      <w:r w:rsidR="00FC5D8C">
        <w:t>Accordingly, the Court rejects the Government</w:t>
      </w:r>
      <w:r w:rsidR="00925F1F">
        <w:t>’</w:t>
      </w:r>
      <w:r w:rsidR="00FC5D8C">
        <w:t>s objection.</w:t>
      </w:r>
    </w:p>
    <w:p w:rsidR="00F6107F" w:rsidRDefault="00C41151" w:rsidP="00C41151">
      <w:pPr>
        <w:pStyle w:val="JuH1"/>
        <w:ind w:left="431" w:firstLine="0"/>
      </w:pPr>
      <w:r>
        <w:t>4.  </w:t>
      </w:r>
      <w:r w:rsidR="00F766E0">
        <w:t xml:space="preserve">Compliance with the </w:t>
      </w:r>
      <w:r w:rsidR="00F766E0" w:rsidRPr="00F766E0">
        <w:t>six</w:t>
      </w:r>
      <w:r w:rsidR="00F766E0">
        <w:t xml:space="preserve"> </w:t>
      </w:r>
      <w:r w:rsidR="00F766E0" w:rsidRPr="00F766E0">
        <w:t>month</w:t>
      </w:r>
      <w:r w:rsidR="00F766E0">
        <w:t xml:space="preserve"> </w:t>
      </w:r>
      <w:r w:rsidR="00F766E0" w:rsidRPr="00F766E0">
        <w:t>rule</w:t>
      </w:r>
    </w:p>
    <w:p w:rsidR="001D47F3" w:rsidRDefault="001D47F3" w:rsidP="001D47F3">
      <w:pPr>
        <w:pStyle w:val="JuPara"/>
      </w:pPr>
      <w:r>
        <w:fldChar w:fldCharType="begin"/>
      </w:r>
      <w:r>
        <w:instrText xml:space="preserve"> SEQ level0 \*arabic </w:instrText>
      </w:r>
      <w:r>
        <w:fldChar w:fldCharType="separate"/>
      </w:r>
      <w:r w:rsidR="004373EA">
        <w:rPr>
          <w:noProof/>
        </w:rPr>
        <w:t>91</w:t>
      </w:r>
      <w:r>
        <w:fldChar w:fldCharType="end"/>
      </w:r>
      <w:r>
        <w:t>.  T</w:t>
      </w:r>
      <w:r w:rsidR="00F6107F">
        <w:t xml:space="preserve">he Government </w:t>
      </w:r>
      <w:r>
        <w:t xml:space="preserve">further requested </w:t>
      </w:r>
      <w:r w:rsidR="00F6107F">
        <w:t xml:space="preserve">the Court to reject the application for non-compliance with the </w:t>
      </w:r>
      <w:r w:rsidR="00F6107F" w:rsidRPr="000843CB">
        <w:t>six</w:t>
      </w:r>
      <w:r w:rsidR="00F6107F">
        <w:t xml:space="preserve"> </w:t>
      </w:r>
      <w:r w:rsidR="00F6107F" w:rsidRPr="000843CB">
        <w:t>months</w:t>
      </w:r>
      <w:r w:rsidR="00925F1F">
        <w:t>’</w:t>
      </w:r>
      <w:r w:rsidR="00F6107F">
        <w:t xml:space="preserve"> time-limit. In their view, the applicants should have lodged their application with the Court following the decision of the </w:t>
      </w:r>
      <w:r>
        <w:t>Local G</w:t>
      </w:r>
      <w:r w:rsidR="00C41151">
        <w:t>overnment Board of Appeal of 30 </w:t>
      </w:r>
      <w:r>
        <w:t>November 1999.</w:t>
      </w:r>
    </w:p>
    <w:p w:rsidR="00F6107F" w:rsidRDefault="001D47F3" w:rsidP="003917DE">
      <w:pPr>
        <w:pStyle w:val="JuPara"/>
      </w:pPr>
      <w:r>
        <w:fldChar w:fldCharType="begin"/>
      </w:r>
      <w:r>
        <w:instrText xml:space="preserve"> SEQ level0 \*arabic </w:instrText>
      </w:r>
      <w:r>
        <w:fldChar w:fldCharType="separate"/>
      </w:r>
      <w:r w:rsidR="004373EA">
        <w:rPr>
          <w:noProof/>
        </w:rPr>
        <w:t>92</w:t>
      </w:r>
      <w:r>
        <w:fldChar w:fldCharType="end"/>
      </w:r>
      <w:r>
        <w:t>.  The</w:t>
      </w:r>
      <w:r w:rsidR="00F6107F">
        <w:t xml:space="preserve"> Court observes that the applicants lodged their application within </w:t>
      </w:r>
      <w:r w:rsidR="00F6107F" w:rsidRPr="000843CB">
        <w:t>six</w:t>
      </w:r>
      <w:r w:rsidR="00F6107F">
        <w:t xml:space="preserve"> </w:t>
      </w:r>
      <w:r w:rsidR="00F6107F" w:rsidRPr="000843CB">
        <w:t>months</w:t>
      </w:r>
      <w:r w:rsidR="00F6107F">
        <w:t xml:space="preserve"> of the decision of the </w:t>
      </w:r>
      <w:r w:rsidR="00C41151">
        <w:t>Supreme Court of 10 </w:t>
      </w:r>
      <w:r>
        <w:t>December 2003</w:t>
      </w:r>
      <w:r w:rsidR="003917DE">
        <w:t xml:space="preserve">, which </w:t>
      </w:r>
      <w:r w:rsidR="00752665">
        <w:t xml:space="preserve">constituted </w:t>
      </w:r>
      <w:r w:rsidR="003917DE">
        <w:t>the final decision in the compensation proceedings. T</w:t>
      </w:r>
      <w:r w:rsidR="00F6107F">
        <w:t xml:space="preserve">he Court </w:t>
      </w:r>
      <w:r w:rsidR="003917DE">
        <w:t xml:space="preserve">therefore </w:t>
      </w:r>
      <w:r w:rsidR="00F6107F">
        <w:t xml:space="preserve">concludes that they have filed their application within the </w:t>
      </w:r>
      <w:r w:rsidR="00F6107F" w:rsidRPr="000843CB">
        <w:t>six</w:t>
      </w:r>
      <w:r w:rsidR="00F6107F">
        <w:t xml:space="preserve"> </w:t>
      </w:r>
      <w:r w:rsidR="00F6107F" w:rsidRPr="000843CB">
        <w:t>months</w:t>
      </w:r>
      <w:r w:rsidR="00925F1F">
        <w:t>’</w:t>
      </w:r>
      <w:r w:rsidR="00F6107F">
        <w:t xml:space="preserve"> time-limit as required by A</w:t>
      </w:r>
      <w:r w:rsidR="003917DE">
        <w:t>rticle 35 § 1 of the Convention and</w:t>
      </w:r>
      <w:r w:rsidR="00464F36">
        <w:t xml:space="preserve"> accordingly</w:t>
      </w:r>
      <w:r w:rsidR="00F6107F">
        <w:t xml:space="preserve"> rejects the Government</w:t>
      </w:r>
      <w:r w:rsidR="00925F1F">
        <w:t>’</w:t>
      </w:r>
      <w:r w:rsidR="00F6107F">
        <w:t>s objection.</w:t>
      </w:r>
    </w:p>
    <w:p w:rsidR="00FB7BFF" w:rsidRDefault="00C41151" w:rsidP="00C41151">
      <w:pPr>
        <w:pStyle w:val="JuH1"/>
        <w:ind w:left="431" w:firstLine="0"/>
      </w:pPr>
      <w:r>
        <w:t>5.  </w:t>
      </w:r>
      <w:r w:rsidR="00FB7BFF" w:rsidRPr="00FB7BFF">
        <w:t>Exhaustion</w:t>
      </w:r>
      <w:r w:rsidR="00FB7BFF">
        <w:t xml:space="preserve"> of </w:t>
      </w:r>
      <w:r w:rsidR="00FB7BFF" w:rsidRPr="00FB7BFF">
        <w:t>domestic</w:t>
      </w:r>
      <w:r w:rsidR="00FB7BFF">
        <w:t xml:space="preserve"> </w:t>
      </w:r>
      <w:r w:rsidR="00FB7BFF" w:rsidRPr="00FB7BFF">
        <w:t>remedies</w:t>
      </w:r>
    </w:p>
    <w:p w:rsidR="00D434A5" w:rsidRDefault="00FB7BFF" w:rsidP="003917DE">
      <w:pPr>
        <w:pStyle w:val="JuPara"/>
      </w:pPr>
      <w:r>
        <w:fldChar w:fldCharType="begin"/>
      </w:r>
      <w:r>
        <w:instrText xml:space="preserve"> SEQ level0 \*arabic </w:instrText>
      </w:r>
      <w:r>
        <w:fldChar w:fldCharType="separate"/>
      </w:r>
      <w:r w:rsidR="004373EA">
        <w:rPr>
          <w:noProof/>
        </w:rPr>
        <w:t>93</w:t>
      </w:r>
      <w:r>
        <w:fldChar w:fldCharType="end"/>
      </w:r>
      <w:r>
        <w:t xml:space="preserve">.  Finally, the Government submitted that the applicants had not exhausted domestic remedies. In this context they argued, in particular, that the applicants had not availed themselves properly of the possibility to seek compensation under </w:t>
      </w:r>
      <w:r w:rsidRPr="00024D8A">
        <w:rPr>
          <w:color w:val="000000"/>
          <w:szCs w:val="24"/>
          <w:lang w:eastAsia="en-GB"/>
        </w:rPr>
        <w:t xml:space="preserve">Article </w:t>
      </w:r>
      <w:r>
        <w:rPr>
          <w:color w:val="000000"/>
          <w:szCs w:val="24"/>
          <w:lang w:eastAsia="en-GB"/>
        </w:rPr>
        <w:t>160</w:t>
      </w:r>
      <w:r>
        <w:t xml:space="preserve"> of the CAP, since they had sued </w:t>
      </w:r>
      <w:r w:rsidR="00464F36">
        <w:t xml:space="preserve">the municipality instead of </w:t>
      </w:r>
      <w:r>
        <w:t>the State Treasury.</w:t>
      </w:r>
    </w:p>
    <w:p w:rsidR="00D434A5" w:rsidRDefault="00305844" w:rsidP="00D55C4D">
      <w:pPr>
        <w:pStyle w:val="JuPara"/>
      </w:pPr>
      <w:r>
        <w:fldChar w:fldCharType="begin"/>
      </w:r>
      <w:r>
        <w:instrText xml:space="preserve"> SEQ level0 \*arabic </w:instrText>
      </w:r>
      <w:r>
        <w:fldChar w:fldCharType="separate"/>
      </w:r>
      <w:r w:rsidR="004373EA">
        <w:rPr>
          <w:noProof/>
        </w:rPr>
        <w:t>94</w:t>
      </w:r>
      <w:r>
        <w:fldChar w:fldCharType="end"/>
      </w:r>
      <w:r>
        <w:t>.  The Court considers that this objection is closely linked to the substance of the applicant</w:t>
      </w:r>
      <w:r w:rsidR="00925F1F">
        <w:t>’</w:t>
      </w:r>
      <w:r>
        <w:t xml:space="preserve">s complaint and that its examination should therefore be </w:t>
      </w:r>
      <w:r w:rsidRPr="00305844">
        <w:t>joined</w:t>
      </w:r>
      <w:r>
        <w:t xml:space="preserve"> to the </w:t>
      </w:r>
      <w:r w:rsidRPr="00305844">
        <w:t>merits</w:t>
      </w:r>
      <w:r w:rsidR="00D55C4D">
        <w:t>.</w:t>
      </w:r>
    </w:p>
    <w:p w:rsidR="00A23F52" w:rsidRDefault="00D55C4D" w:rsidP="00D55C4D">
      <w:pPr>
        <w:pStyle w:val="JuH1"/>
      </w:pPr>
      <w:r>
        <w:t>6.  </w:t>
      </w:r>
      <w:r w:rsidR="00492EEF">
        <w:t>Conclusion</w:t>
      </w:r>
    </w:p>
    <w:p w:rsidR="008366A5" w:rsidRDefault="00305844" w:rsidP="00492EEF">
      <w:pPr>
        <w:pStyle w:val="JuPara"/>
      </w:pPr>
      <w:r>
        <w:fldChar w:fldCharType="begin"/>
      </w:r>
      <w:r>
        <w:instrText xml:space="preserve"> SEQ level0 \*arabic </w:instrText>
      </w:r>
      <w:r>
        <w:fldChar w:fldCharType="separate"/>
      </w:r>
      <w:r w:rsidR="004373EA">
        <w:rPr>
          <w:noProof/>
        </w:rPr>
        <w:t>95</w:t>
      </w:r>
      <w:r>
        <w:fldChar w:fldCharType="end"/>
      </w:r>
      <w:r>
        <w:t>.  </w:t>
      </w:r>
      <w:r w:rsidR="00665B74">
        <w:t>The Court will join to the merits the Government</w:t>
      </w:r>
      <w:r w:rsidR="00925F1F">
        <w:t>’</w:t>
      </w:r>
      <w:r w:rsidR="00665B74">
        <w:t xml:space="preserve">s objection to admissibility based on non-exhaustion of </w:t>
      </w:r>
      <w:r w:rsidR="009277AB">
        <w:t xml:space="preserve">domestic remedies. It </w:t>
      </w:r>
      <w:r w:rsidR="00492EEF">
        <w:t xml:space="preserve">notes that </w:t>
      </w:r>
      <w:r w:rsidR="009277AB">
        <w:t>the applicants</w:t>
      </w:r>
      <w:r w:rsidR="00925F1F">
        <w:t>’</w:t>
      </w:r>
      <w:r w:rsidR="009277AB">
        <w:t xml:space="preserve"> </w:t>
      </w:r>
      <w:r w:rsidR="00492EEF">
        <w:t>complaint</w:t>
      </w:r>
      <w:r w:rsidR="009277AB">
        <w:t xml:space="preserve">s </w:t>
      </w:r>
      <w:r w:rsidR="0078307E">
        <w:t xml:space="preserve">under the provisions relied on </w:t>
      </w:r>
      <w:r w:rsidR="009277AB">
        <w:t>are</w:t>
      </w:r>
      <w:r w:rsidR="00492EEF">
        <w:t xml:space="preserve"> not manifestly ill-founded within the meaning of Article 35 § 3 of the Convention. It further notes that </w:t>
      </w:r>
      <w:r w:rsidR="009277AB">
        <w:t>they are</w:t>
      </w:r>
      <w:r w:rsidR="00492EEF">
        <w:t xml:space="preserve"> not </w:t>
      </w:r>
      <w:r w:rsidR="00492EEF" w:rsidRPr="00492EEF">
        <w:t>inadmissible</w:t>
      </w:r>
      <w:r w:rsidR="00492EEF">
        <w:t xml:space="preserve"> on any other grounds. </w:t>
      </w:r>
      <w:r w:rsidR="009277AB">
        <w:t xml:space="preserve">They </w:t>
      </w:r>
      <w:r w:rsidR="00492EEF">
        <w:t>must therefore be declared admissible.</w:t>
      </w:r>
    </w:p>
    <w:p w:rsidR="00031E36" w:rsidRDefault="00031E36" w:rsidP="000A1A47">
      <w:pPr>
        <w:pStyle w:val="JuHA"/>
        <w:outlineLvl w:val="0"/>
      </w:pPr>
      <w:r w:rsidRPr="004E657D">
        <w:t>B.  Merits</w:t>
      </w:r>
    </w:p>
    <w:p w:rsidR="0059414D" w:rsidRPr="00AB5814" w:rsidRDefault="0014669B" w:rsidP="0014669B">
      <w:pPr>
        <w:pStyle w:val="JuH1"/>
      </w:pPr>
      <w:r>
        <w:t>1.  </w:t>
      </w:r>
      <w:r w:rsidR="0059414D" w:rsidRPr="00AB5814">
        <w:t>Article 1 of Protocol No. 1</w:t>
      </w:r>
    </w:p>
    <w:p w:rsidR="00843258" w:rsidRDefault="0014669B" w:rsidP="0014669B">
      <w:pPr>
        <w:pStyle w:val="JuHa0"/>
      </w:pPr>
      <w:r>
        <w:t>a</w:t>
      </w:r>
      <w:r w:rsidR="00D55C4D">
        <w:t>.  </w:t>
      </w:r>
      <w:r w:rsidR="00843258">
        <w:t>The parties</w:t>
      </w:r>
      <w:r w:rsidR="00925F1F">
        <w:t>’</w:t>
      </w:r>
      <w:r w:rsidR="00843258">
        <w:t xml:space="preserve"> submissions</w:t>
      </w:r>
    </w:p>
    <w:p w:rsidR="00D434A5" w:rsidRDefault="000A1A47" w:rsidP="000A1A47">
      <w:pPr>
        <w:pStyle w:val="JuPara"/>
      </w:pPr>
      <w:r>
        <w:fldChar w:fldCharType="begin"/>
      </w:r>
      <w:r>
        <w:instrText xml:space="preserve"> SEQ level0 \*arabic </w:instrText>
      </w:r>
      <w:r>
        <w:fldChar w:fldCharType="separate"/>
      </w:r>
      <w:r w:rsidR="004373EA">
        <w:rPr>
          <w:noProof/>
        </w:rPr>
        <w:t>96</w:t>
      </w:r>
      <w:r>
        <w:fldChar w:fldCharType="end"/>
      </w:r>
      <w:r>
        <w:t xml:space="preserve">.  The applicants complained that </w:t>
      </w:r>
      <w:r w:rsidRPr="004B03D8">
        <w:t>as a result of the shortcomings</w:t>
      </w:r>
      <w:r>
        <w:t xml:space="preserve"> in the decisions of the </w:t>
      </w:r>
      <w:r w:rsidRPr="004B03D8">
        <w:t>domestic courts</w:t>
      </w:r>
      <w:r>
        <w:t xml:space="preserve"> </w:t>
      </w:r>
      <w:r w:rsidRPr="00036DF3">
        <w:t xml:space="preserve">and </w:t>
      </w:r>
      <w:r>
        <w:t xml:space="preserve">the </w:t>
      </w:r>
      <w:r w:rsidRPr="00036DF3">
        <w:t>lack of legal certainty</w:t>
      </w:r>
      <w:r w:rsidRPr="004B03D8">
        <w:t xml:space="preserve">, </w:t>
      </w:r>
      <w:r>
        <w:t>they</w:t>
      </w:r>
      <w:r w:rsidRPr="004B03D8">
        <w:t xml:space="preserve"> </w:t>
      </w:r>
      <w:r>
        <w:t>were</w:t>
      </w:r>
      <w:r w:rsidRPr="004B03D8">
        <w:t xml:space="preserve"> deprived of compensation </w:t>
      </w:r>
      <w:r>
        <w:t>to which they were entitled under domestic law.</w:t>
      </w:r>
    </w:p>
    <w:p w:rsidR="000A1A47" w:rsidRPr="00EF214A" w:rsidRDefault="000A1A47" w:rsidP="000A1A47">
      <w:pPr>
        <w:pStyle w:val="JuPara"/>
      </w:pPr>
      <w:r>
        <w:t xml:space="preserve">They alleged that the domestic courts </w:t>
      </w:r>
      <w:r w:rsidR="00C029B9">
        <w:t xml:space="preserve">unfairly </w:t>
      </w:r>
      <w:r w:rsidRPr="003C4C08">
        <w:t>dismissed their claim on the grounds that they had not sued the right legal entity</w:t>
      </w:r>
      <w:r>
        <w:t xml:space="preserve">, </w:t>
      </w:r>
      <w:r w:rsidRPr="003C4C08">
        <w:t xml:space="preserve">without giving </w:t>
      </w:r>
      <w:r w:rsidRPr="00EF214A">
        <w:t>proper consideration to the case-law invoked by them.</w:t>
      </w:r>
    </w:p>
    <w:p w:rsidR="00D434A5" w:rsidRDefault="000A1A47" w:rsidP="000A1A47">
      <w:pPr>
        <w:pStyle w:val="JuPara"/>
      </w:pPr>
      <w:r w:rsidRPr="00EF214A">
        <w:t xml:space="preserve">The applicants further submitted that the Supreme Court had refused to entertain their cassation appeal although the applicants had indicated that all statutory requirements justifying the examination of the </w:t>
      </w:r>
      <w:r w:rsidRPr="00EF214A">
        <w:rPr>
          <w:color w:val="000000"/>
          <w:szCs w:val="24"/>
          <w:lang w:eastAsia="en-GB"/>
        </w:rPr>
        <w:t xml:space="preserve">cassation appeal </w:t>
      </w:r>
      <w:r w:rsidRPr="00EF214A">
        <w:t>on the merits had been met, in particular there was a need for interpretation of a significant legal issue causing discrepancies in the courts</w:t>
      </w:r>
      <w:r w:rsidR="00925F1F">
        <w:t>’</w:t>
      </w:r>
      <w:r w:rsidRPr="00EF214A">
        <w:t xml:space="preserve"> case-law.</w:t>
      </w:r>
    </w:p>
    <w:p w:rsidR="00D434A5" w:rsidRDefault="000A1A47" w:rsidP="000A1A47">
      <w:pPr>
        <w:pStyle w:val="JuPara"/>
      </w:pPr>
      <w:r>
        <w:fldChar w:fldCharType="begin"/>
      </w:r>
      <w:r>
        <w:instrText xml:space="preserve"> SEQ level0 \*arabic </w:instrText>
      </w:r>
      <w:r>
        <w:fldChar w:fldCharType="separate"/>
      </w:r>
      <w:r w:rsidR="004373EA">
        <w:rPr>
          <w:noProof/>
        </w:rPr>
        <w:t>97</w:t>
      </w:r>
      <w:r>
        <w:fldChar w:fldCharType="end"/>
      </w:r>
      <w:r>
        <w:t>.  </w:t>
      </w:r>
      <w:r w:rsidRPr="004E657D">
        <w:t>The Government contested th</w:t>
      </w:r>
      <w:r>
        <w:t>ose</w:t>
      </w:r>
      <w:r w:rsidRPr="004E657D">
        <w:t xml:space="preserve"> argument</w:t>
      </w:r>
      <w:r>
        <w:t xml:space="preserve">s. They </w:t>
      </w:r>
      <w:r w:rsidRPr="00AB465E">
        <w:t>referred to the Supreme Court resolution of 7 December 2006 and subsequent jurisprudence</w:t>
      </w:r>
      <w:r>
        <w:t xml:space="preserve"> and claimed </w:t>
      </w:r>
      <w:r w:rsidRPr="00AB465E">
        <w:t>that the Supreme Court</w:t>
      </w:r>
      <w:r w:rsidR="00925F1F">
        <w:t>’</w:t>
      </w:r>
      <w:r w:rsidRPr="00AB465E">
        <w:t xml:space="preserve">s decision could not have had any negative consequences for the applicants, as </w:t>
      </w:r>
      <w:r>
        <w:t>in accordance with</w:t>
      </w:r>
      <w:r w:rsidRPr="00AB465E">
        <w:t xml:space="preserve"> later jurisprudence</w:t>
      </w:r>
      <w:r>
        <w:t>,</w:t>
      </w:r>
      <w:r w:rsidRPr="00AB465E">
        <w:t xml:space="preserve"> their claim directed against the municipality was bound to be dismissed.</w:t>
      </w:r>
    </w:p>
    <w:p w:rsidR="00D434A5" w:rsidRDefault="000A1A47" w:rsidP="000A1A47">
      <w:pPr>
        <w:pStyle w:val="JuPara"/>
      </w:pPr>
      <w:r w:rsidRPr="00AB465E">
        <w:t>The</w:t>
      </w:r>
      <w:r>
        <w:t xml:space="preserve"> Government further submitted that </w:t>
      </w:r>
      <w:r w:rsidRPr="00C65148">
        <w:t xml:space="preserve">neither the Convention nor the Polish Constitution </w:t>
      </w:r>
      <w:r>
        <w:t xml:space="preserve">guaranteed a </w:t>
      </w:r>
      <w:r w:rsidRPr="00C65148">
        <w:t>right to have a civil</w:t>
      </w:r>
      <w:r>
        <w:t xml:space="preserve"> </w:t>
      </w:r>
      <w:r w:rsidRPr="00C65148">
        <w:t>case examined by three</w:t>
      </w:r>
      <w:r>
        <w:t xml:space="preserve"> judicial </w:t>
      </w:r>
      <w:r w:rsidRPr="00C65148">
        <w:t>instances</w:t>
      </w:r>
      <w:r>
        <w:t>. Nevertheless, the Government were of the view that the Supreme Court</w:t>
      </w:r>
      <w:r w:rsidR="00925F1F">
        <w:t>’</w:t>
      </w:r>
      <w:r>
        <w:t>s so</w:t>
      </w:r>
      <w:r>
        <w:noBreakHyphen/>
        <w:t>called “pre-judgment” practice pursued the legitimate aim of expediting the examination of non-meritorious appeals</w:t>
      </w:r>
      <w:r w:rsidRPr="00BF5DA5">
        <w:t>.</w:t>
      </w:r>
      <w:r>
        <w:t xml:space="preserve"> They also argued that the applicant</w:t>
      </w:r>
      <w:r w:rsidR="0059414D">
        <w:t>s</w:t>
      </w:r>
      <w:r>
        <w:t xml:space="preserve"> had not sufficiently proved the </w:t>
      </w:r>
      <w:r w:rsidRPr="00AB465E">
        <w:t xml:space="preserve">alleged discrepancies </w:t>
      </w:r>
      <w:r w:rsidR="00EF214A">
        <w:t>in</w:t>
      </w:r>
      <w:r w:rsidRPr="00AB465E">
        <w:t xml:space="preserve"> the case-law.</w:t>
      </w:r>
    </w:p>
    <w:p w:rsidR="000A1A47" w:rsidRDefault="000A1A47" w:rsidP="000A1A47">
      <w:pPr>
        <w:pStyle w:val="JuPara"/>
      </w:pPr>
      <w:r w:rsidRPr="00AB465E">
        <w:t>Lastly, the</w:t>
      </w:r>
      <w:r w:rsidR="006F4A75">
        <w:t xml:space="preserve">y </w:t>
      </w:r>
      <w:r w:rsidR="0059414D">
        <w:t>stated</w:t>
      </w:r>
      <w:r w:rsidR="006F4A75">
        <w:t xml:space="preserve"> </w:t>
      </w:r>
      <w:r w:rsidRPr="00AB465E">
        <w:t>that it was not for the Government</w:t>
      </w:r>
      <w:r>
        <w:t xml:space="preserve"> or the Court to assess whether the cassation appeal had been meritorious or whether the Supreme Court</w:t>
      </w:r>
      <w:r w:rsidR="00925F1F">
        <w:t>’</w:t>
      </w:r>
      <w:r>
        <w:t>s decision had been sufficiently reasoned.</w:t>
      </w:r>
    </w:p>
    <w:p w:rsidR="00D434A5" w:rsidRDefault="0014669B" w:rsidP="0014669B">
      <w:pPr>
        <w:pStyle w:val="JuHa0"/>
      </w:pPr>
      <w:r>
        <w:t>b</w:t>
      </w:r>
      <w:r w:rsidR="00D55C4D">
        <w:t>.  </w:t>
      </w:r>
      <w:r w:rsidR="00843258">
        <w:t>The Court</w:t>
      </w:r>
      <w:r w:rsidR="00925F1F">
        <w:t>’</w:t>
      </w:r>
      <w:r w:rsidR="00843258">
        <w:t>s assessment</w:t>
      </w:r>
    </w:p>
    <w:p w:rsidR="00902BAB" w:rsidRPr="00D55C4D" w:rsidRDefault="0014669B" w:rsidP="0014669B">
      <w:pPr>
        <w:pStyle w:val="JuH"/>
      </w:pPr>
      <w:r>
        <w:t>i</w:t>
      </w:r>
      <w:r w:rsidR="00186134">
        <w:t>.</w:t>
      </w:r>
      <w:r w:rsidR="00D55C4D">
        <w:t>  </w:t>
      </w:r>
      <w:r w:rsidR="00902BAB" w:rsidRPr="00D55C4D">
        <w:t>Existence of possessions within the meaning of Article 1 of Protocol N</w:t>
      </w:r>
      <w:r>
        <w:t>o. </w:t>
      </w:r>
      <w:r w:rsidR="00902BAB" w:rsidRPr="00D55C4D">
        <w:t>1</w:t>
      </w:r>
    </w:p>
    <w:p w:rsidR="00D434A5" w:rsidRDefault="00902BAB" w:rsidP="00902BAB">
      <w:pPr>
        <w:pStyle w:val="JuPara"/>
      </w:pPr>
      <w:r w:rsidRPr="00513F35">
        <w:fldChar w:fldCharType="begin"/>
      </w:r>
      <w:r w:rsidRPr="00513F35">
        <w:instrText xml:space="preserve"> SEQ level0 \*arabic </w:instrText>
      </w:r>
      <w:r w:rsidRPr="00513F35">
        <w:fldChar w:fldCharType="separate"/>
      </w:r>
      <w:r w:rsidR="004373EA">
        <w:rPr>
          <w:noProof/>
        </w:rPr>
        <w:t>98</w:t>
      </w:r>
      <w:r w:rsidRPr="00513F35">
        <w:fldChar w:fldCharType="end"/>
      </w:r>
      <w:r w:rsidRPr="00513F35">
        <w:t>.  </w:t>
      </w:r>
      <w:r w:rsidR="00F75100">
        <w:t>T</w:t>
      </w:r>
      <w:r w:rsidRPr="00513F35">
        <w:t xml:space="preserve">he Court </w:t>
      </w:r>
      <w:r w:rsidR="00F75100">
        <w:t xml:space="preserve">has found </w:t>
      </w:r>
      <w:r w:rsidRPr="00513F35">
        <w:t>that the applicants</w:t>
      </w:r>
      <w:r w:rsidR="00925F1F">
        <w:t>’</w:t>
      </w:r>
      <w:r w:rsidRPr="00513F35">
        <w:t xml:space="preserve"> claim “constituted an asset” and therefore amounted to a “possession” within the meaning of the first sentence of Article 1 of Protocol No. 1, which is accordingly applicable in the present case.</w:t>
      </w:r>
    </w:p>
    <w:p w:rsidR="00202025" w:rsidRDefault="0014669B" w:rsidP="0014669B">
      <w:pPr>
        <w:pStyle w:val="JuH"/>
      </w:pPr>
      <w:r>
        <w:t>ii</w:t>
      </w:r>
      <w:r w:rsidR="00186134">
        <w:t>.</w:t>
      </w:r>
      <w:r w:rsidR="00D55C4D">
        <w:t>  </w:t>
      </w:r>
      <w:r w:rsidR="00202025">
        <w:t>Compliance with Article 1 of Protocol No. 1</w:t>
      </w:r>
    </w:p>
    <w:p w:rsidR="00470EE3" w:rsidRDefault="00AA68FF" w:rsidP="008366A5">
      <w:pPr>
        <w:pStyle w:val="JuPara"/>
      </w:pPr>
      <w:r>
        <w:fldChar w:fldCharType="begin"/>
      </w:r>
      <w:r>
        <w:instrText xml:space="preserve"> SEQ level0 \*arabic </w:instrText>
      </w:r>
      <w:r>
        <w:fldChar w:fldCharType="separate"/>
      </w:r>
      <w:r w:rsidR="004373EA">
        <w:rPr>
          <w:noProof/>
        </w:rPr>
        <w:t>99</w:t>
      </w:r>
      <w:r>
        <w:fldChar w:fldCharType="end"/>
      </w:r>
      <w:r>
        <w:t>.  </w:t>
      </w:r>
      <w:r w:rsidR="00470EE3">
        <w:t>The Court reiterates that the genuine, effective exercise of the right protected by Article 1 of Protocol No. 1 does not depend merely on the State</w:t>
      </w:r>
      <w:r w:rsidR="00925F1F">
        <w:t>’</w:t>
      </w:r>
      <w:r w:rsidR="00470EE3">
        <w:t xml:space="preserve">s duty not to interfere, but may </w:t>
      </w:r>
      <w:r w:rsidR="002B6338">
        <w:t>give rise to</w:t>
      </w:r>
      <w:r w:rsidR="00452B62">
        <w:t xml:space="preserve"> </w:t>
      </w:r>
      <w:r w:rsidR="00470EE3">
        <w:t xml:space="preserve">positive </w:t>
      </w:r>
      <w:r>
        <w:t>obligations</w:t>
      </w:r>
      <w:r w:rsidR="00470EE3">
        <w:t xml:space="preserve"> (</w:t>
      </w:r>
      <w:r w:rsidR="00470EE3" w:rsidRPr="004047EC">
        <w:t xml:space="preserve">see </w:t>
      </w:r>
      <w:r w:rsidR="00470EE3" w:rsidRPr="004047EC">
        <w:rPr>
          <w:rStyle w:val="ju-005fpara--char"/>
          <w:i/>
          <w:iCs/>
        </w:rPr>
        <w:t xml:space="preserve">Öneryıldız v. Turkey </w:t>
      </w:r>
      <w:r w:rsidR="00470EE3" w:rsidRPr="004047EC">
        <w:t xml:space="preserve">[GC], no. 48939/99, § 134, ECHR 2004-XII, and </w:t>
      </w:r>
      <w:r w:rsidR="00470EE3" w:rsidRPr="004047EC">
        <w:rPr>
          <w:rStyle w:val="ju-005fpara--char"/>
          <w:i/>
          <w:iCs/>
        </w:rPr>
        <w:t xml:space="preserve">Broniowski v. </w:t>
      </w:r>
      <w:smartTag w:uri="urn:schemas-microsoft-com:office:smarttags" w:element="country-region">
        <w:smartTag w:uri="urn:schemas-microsoft-com:office:smarttags" w:element="place">
          <w:r w:rsidR="00470EE3" w:rsidRPr="004047EC">
            <w:rPr>
              <w:rStyle w:val="ju-005fpara--char"/>
              <w:i/>
              <w:iCs/>
            </w:rPr>
            <w:t>Poland</w:t>
          </w:r>
        </w:smartTag>
      </w:smartTag>
      <w:r w:rsidR="00470EE3" w:rsidRPr="004047EC">
        <w:rPr>
          <w:rStyle w:val="ju-005fpara--char"/>
          <w:i/>
          <w:iCs/>
        </w:rPr>
        <w:t xml:space="preserve"> </w:t>
      </w:r>
      <w:r w:rsidR="00470EE3" w:rsidRPr="004047EC">
        <w:t>[GC], n</w:t>
      </w:r>
      <w:r w:rsidR="00452B62" w:rsidRPr="004047EC">
        <w:t xml:space="preserve">o. 31443/96, § 143, ECHR 2004-V; </w:t>
      </w:r>
      <w:r w:rsidR="00452B62" w:rsidRPr="004047EC">
        <w:rPr>
          <w:i/>
          <w:lang w:eastAsia="en-US"/>
        </w:rPr>
        <w:t>Blumberga v. Latvia</w:t>
      </w:r>
      <w:r w:rsidR="00452B62" w:rsidRPr="004047EC">
        <w:rPr>
          <w:lang w:eastAsia="en-US"/>
        </w:rPr>
        <w:t>, no. 70930/01, § 65, 14 October 2008)</w:t>
      </w:r>
      <w:r w:rsidR="00470EE3" w:rsidRPr="004047EC">
        <w:t>.</w:t>
      </w:r>
    </w:p>
    <w:p w:rsidR="00D434A5" w:rsidRDefault="00BF075C" w:rsidP="00BF075C">
      <w:pPr>
        <w:pStyle w:val="JuPara"/>
      </w:pPr>
      <w:r w:rsidRPr="00BF075C">
        <w:rPr>
          <w:noProof/>
        </w:rPr>
        <w:fldChar w:fldCharType="begin"/>
      </w:r>
      <w:r w:rsidRPr="00BF075C">
        <w:rPr>
          <w:noProof/>
        </w:rPr>
        <w:instrText xml:space="preserve"> SEQ level0 \*arabic </w:instrText>
      </w:r>
      <w:r w:rsidRPr="00BF075C">
        <w:rPr>
          <w:noProof/>
        </w:rPr>
        <w:fldChar w:fldCharType="separate"/>
      </w:r>
      <w:r w:rsidR="004373EA">
        <w:rPr>
          <w:noProof/>
        </w:rPr>
        <w:t>100</w:t>
      </w:r>
      <w:r w:rsidRPr="00BF075C">
        <w:rPr>
          <w:noProof/>
        </w:rPr>
        <w:fldChar w:fldCharType="end"/>
      </w:r>
      <w:r w:rsidRPr="00BF075C">
        <w:rPr>
          <w:noProof/>
        </w:rPr>
        <w:t>.  </w:t>
      </w:r>
      <w:r w:rsidR="002B6338">
        <w:t>Such</w:t>
      </w:r>
      <w:r w:rsidR="00AA68FF">
        <w:t xml:space="preserve"> </w:t>
      </w:r>
      <w:r w:rsidRPr="00EE5CE0">
        <w:t>positive</w:t>
      </w:r>
      <w:r>
        <w:t xml:space="preserve"> </w:t>
      </w:r>
      <w:r w:rsidRPr="00EE5CE0">
        <w:t>obligations</w:t>
      </w:r>
      <w:r>
        <w:t xml:space="preserve"> may entail </w:t>
      </w:r>
      <w:r w:rsidR="002B6338">
        <w:t>the taking of</w:t>
      </w:r>
      <w:r>
        <w:t xml:space="preserve"> measures necessary to protect the right to </w:t>
      </w:r>
      <w:r w:rsidRPr="00EE5CE0">
        <w:t>property</w:t>
      </w:r>
      <w:r>
        <w:t xml:space="preserve">, </w:t>
      </w:r>
      <w:r w:rsidR="00CC72C7">
        <w:t xml:space="preserve">particularly where there is a direct link between the measures an applicant may legitimately expect from the authorities and his effective enjoyment of his possessions, </w:t>
      </w:r>
      <w:r>
        <w:t xml:space="preserve">even in cases involving litigation between private </w:t>
      </w:r>
      <w:r w:rsidR="009D0276">
        <w:t>entities</w:t>
      </w:r>
      <w:r>
        <w:t xml:space="preserve">. This means, in particular, that States are under an obligation </w:t>
      </w:r>
      <w:r w:rsidR="00EE5CE0" w:rsidRPr="004047EC">
        <w:t xml:space="preserve">to provide a judicial mechanism for settling effectively property disputes </w:t>
      </w:r>
      <w:r w:rsidR="00EE5CE0">
        <w:t>and to ensure compliance of those mechanisms with the procedural</w:t>
      </w:r>
      <w:r w:rsidR="00427F52">
        <w:t xml:space="preserve"> and material </w:t>
      </w:r>
      <w:r w:rsidR="00EE5CE0">
        <w:t xml:space="preserve">safeguards enshrined in </w:t>
      </w:r>
      <w:r w:rsidR="00911278">
        <w:t xml:space="preserve">the </w:t>
      </w:r>
      <w:r w:rsidR="00427F52">
        <w:t>Convention</w:t>
      </w:r>
      <w:r w:rsidR="007A55AB">
        <w:t xml:space="preserve">. </w:t>
      </w:r>
      <w:r>
        <w:t xml:space="preserve">This principle applies with all the more </w:t>
      </w:r>
      <w:r w:rsidRPr="00A96CDB">
        <w:t xml:space="preserve">force when it is the State itself which is </w:t>
      </w:r>
      <w:r w:rsidR="00A41AA4" w:rsidRPr="00A96CDB">
        <w:t>in dispute with an individual</w:t>
      </w:r>
      <w:r w:rsidRPr="00A96CDB">
        <w:t>.</w:t>
      </w:r>
    </w:p>
    <w:p w:rsidR="00BF075C" w:rsidRPr="0059414D" w:rsidRDefault="00911278" w:rsidP="00BF075C">
      <w:pPr>
        <w:pStyle w:val="JuPara"/>
      </w:pPr>
      <w:r w:rsidRPr="00A96CDB">
        <w:t xml:space="preserve">Accordingly, serious </w:t>
      </w:r>
      <w:r w:rsidR="009D0276">
        <w:t>deficiencies</w:t>
      </w:r>
      <w:r w:rsidRPr="00A96CDB">
        <w:t xml:space="preserve"> in the handling of such </w:t>
      </w:r>
      <w:r w:rsidR="00F32B03" w:rsidRPr="00A96CDB">
        <w:t xml:space="preserve">disputes </w:t>
      </w:r>
      <w:r w:rsidRPr="00A96CDB">
        <w:t xml:space="preserve">may raise </w:t>
      </w:r>
      <w:r w:rsidR="00F32B03" w:rsidRPr="00A96CDB">
        <w:t xml:space="preserve">an issue </w:t>
      </w:r>
      <w:r w:rsidRPr="00A96CDB">
        <w:t xml:space="preserve">under </w:t>
      </w:r>
      <w:r w:rsidR="00F32B03" w:rsidRPr="00A96CDB">
        <w:rPr>
          <w:color w:val="000000"/>
          <w:szCs w:val="24"/>
          <w:lang w:eastAsia="en-GB"/>
        </w:rPr>
        <w:t>Article</w:t>
      </w:r>
      <w:r w:rsidRPr="00A96CDB">
        <w:t xml:space="preserve"> 1 of Protocol</w:t>
      </w:r>
      <w:r w:rsidR="00F32B03" w:rsidRPr="00A96CDB">
        <w:t xml:space="preserve"> </w:t>
      </w:r>
      <w:r w:rsidR="00F32B03" w:rsidRPr="0059414D">
        <w:t>No. 1.</w:t>
      </w:r>
    </w:p>
    <w:p w:rsidR="00624A47" w:rsidRPr="0059414D" w:rsidRDefault="002A06D3" w:rsidP="00624A47">
      <w:pPr>
        <w:pStyle w:val="JuPara"/>
      </w:pPr>
      <w:r w:rsidRPr="0059414D">
        <w:fldChar w:fldCharType="begin"/>
      </w:r>
      <w:r w:rsidRPr="0059414D">
        <w:instrText xml:space="preserve"> SEQ level0 \*arabic </w:instrText>
      </w:r>
      <w:r w:rsidRPr="0059414D">
        <w:fldChar w:fldCharType="separate"/>
      </w:r>
      <w:r w:rsidR="004373EA">
        <w:rPr>
          <w:noProof/>
        </w:rPr>
        <w:t>101</w:t>
      </w:r>
      <w:r w:rsidRPr="0059414D">
        <w:fldChar w:fldCharType="end"/>
      </w:r>
      <w:r w:rsidRPr="0059414D">
        <w:t>.  </w:t>
      </w:r>
      <w:r w:rsidR="00624A47" w:rsidRPr="0059414D">
        <w:t>In assessing compliance with Article 1 of Protocol No. 1, the Court must make an overall examination of the various interests in issue, bearing in mind that the Convention is intended to safeguard rights that are “practical and effective”. It must look behind appearances and investigate the realities of the situation complained of.</w:t>
      </w:r>
    </w:p>
    <w:p w:rsidR="00624A47" w:rsidRPr="0059414D" w:rsidRDefault="005E7555" w:rsidP="00624A47">
      <w:pPr>
        <w:pStyle w:val="JuPara"/>
      </w:pPr>
      <w:r w:rsidRPr="0059414D">
        <w:fldChar w:fldCharType="begin"/>
      </w:r>
      <w:r w:rsidRPr="0059414D">
        <w:instrText xml:space="preserve"> SEQ level0 \*arabic </w:instrText>
      </w:r>
      <w:r w:rsidRPr="0059414D">
        <w:fldChar w:fldCharType="separate"/>
      </w:r>
      <w:r w:rsidR="004373EA">
        <w:rPr>
          <w:noProof/>
        </w:rPr>
        <w:t>102</w:t>
      </w:r>
      <w:r w:rsidRPr="0059414D">
        <w:fldChar w:fldCharType="end"/>
      </w:r>
      <w:r w:rsidRPr="0059414D">
        <w:t>.  </w:t>
      </w:r>
      <w:r w:rsidR="00624A47" w:rsidRPr="0059414D">
        <w:t xml:space="preserve">While they have a wide margin of appreciation in assessing the existence of a problem of public concern warranting specific measures and in implementing social and economic policies (see </w:t>
      </w:r>
      <w:r w:rsidR="00624A47" w:rsidRPr="0059414D">
        <w:rPr>
          <w:rStyle w:val="ju-005fpara--char"/>
          <w:i/>
          <w:iCs/>
        </w:rPr>
        <w:t>Kopecký</w:t>
      </w:r>
      <w:r w:rsidR="00624A47" w:rsidRPr="0059414D">
        <w:t xml:space="preserve">, cited above, § 37), where an issue in the general interest is at stake it is incumbent on the public authorities to act in good time, in an appropriate manner and with utmost consistency (see </w:t>
      </w:r>
      <w:r w:rsidR="00624A47" w:rsidRPr="0059414D">
        <w:rPr>
          <w:rStyle w:val="ju-005fpara--char"/>
          <w:i/>
          <w:iCs/>
        </w:rPr>
        <w:t>Beyeler</w:t>
      </w:r>
      <w:r w:rsidR="00624A47" w:rsidRPr="0059414D">
        <w:t xml:space="preserve">, cited above, §§ 110 </w:t>
      </w:r>
      <w:r w:rsidR="00624A47" w:rsidRPr="0059414D">
        <w:rPr>
          <w:rStyle w:val="ju-005fpara--char"/>
          <w:i/>
          <w:iCs/>
        </w:rPr>
        <w:t>in fine</w:t>
      </w:r>
      <w:r w:rsidR="00624A47" w:rsidRPr="0059414D">
        <w:t xml:space="preserve">, 114 and 120 </w:t>
      </w:r>
      <w:r w:rsidR="00624A47" w:rsidRPr="0059414D">
        <w:rPr>
          <w:rStyle w:val="ju-005fpara--char"/>
          <w:i/>
          <w:iCs/>
        </w:rPr>
        <w:t>in fine</w:t>
      </w:r>
      <w:r w:rsidR="00624A47" w:rsidRPr="0059414D">
        <w:t xml:space="preserve">; </w:t>
      </w:r>
      <w:r w:rsidR="00624A47" w:rsidRPr="0059414D">
        <w:rPr>
          <w:rStyle w:val="ju-005fpara--char"/>
          <w:i/>
          <w:iCs/>
        </w:rPr>
        <w:t>Broniowski</w:t>
      </w:r>
      <w:r w:rsidR="00624A47" w:rsidRPr="0059414D">
        <w:t xml:space="preserve">, cited above, § 151; </w:t>
      </w:r>
      <w:r w:rsidR="00624A47" w:rsidRPr="0059414D">
        <w:rPr>
          <w:rStyle w:val="ju-005fpara--char"/>
          <w:i/>
          <w:iCs/>
        </w:rPr>
        <w:t>Sovtransavto Holding</w:t>
      </w:r>
      <w:r w:rsidR="00624A47" w:rsidRPr="0059414D">
        <w:t xml:space="preserve">, cited above, §§ 97-98; </w:t>
      </w:r>
      <w:r w:rsidR="00624A47" w:rsidRPr="0059414D">
        <w:rPr>
          <w:rStyle w:val="ju-005fpara--char"/>
          <w:i/>
          <w:iCs/>
        </w:rPr>
        <w:t>Novoseletskiy v. Ukraine</w:t>
      </w:r>
      <w:r w:rsidR="00624A47" w:rsidRPr="0059414D">
        <w:t xml:space="preserve">, no. 47148/99, § 102, ECHR 2005-II; </w:t>
      </w:r>
      <w:r w:rsidR="00624A47" w:rsidRPr="0059414D">
        <w:rPr>
          <w:rStyle w:val="ju-005fpara--char"/>
          <w:i/>
          <w:iCs/>
        </w:rPr>
        <w:t>Blücher v. the Czech Republic</w:t>
      </w:r>
      <w:r w:rsidR="00624A47" w:rsidRPr="0059414D">
        <w:t xml:space="preserve">, no. 58580/00, § 57, 11 January 2005; and </w:t>
      </w:r>
      <w:r w:rsidR="00624A47" w:rsidRPr="0059414D">
        <w:rPr>
          <w:rStyle w:val="ju-005fpara--char"/>
          <w:i/>
          <w:iCs/>
        </w:rPr>
        <w:t xml:space="preserve">O.B. Heller, a.s., v. the Czech Republic </w:t>
      </w:r>
      <w:r w:rsidR="00624A47" w:rsidRPr="0059414D">
        <w:t>(dec.), no. 55631/00, 9 November 2004).</w:t>
      </w:r>
    </w:p>
    <w:p w:rsidR="00D434A5" w:rsidRDefault="005E7555" w:rsidP="00624A47">
      <w:pPr>
        <w:pStyle w:val="JuPara"/>
      </w:pPr>
      <w:r w:rsidRPr="0059414D">
        <w:fldChar w:fldCharType="begin"/>
      </w:r>
      <w:r w:rsidRPr="0059414D">
        <w:instrText xml:space="preserve"> SEQ level0 \*arabic </w:instrText>
      </w:r>
      <w:r w:rsidRPr="0059414D">
        <w:fldChar w:fldCharType="separate"/>
      </w:r>
      <w:r w:rsidR="004373EA">
        <w:rPr>
          <w:noProof/>
        </w:rPr>
        <w:t>103</w:t>
      </w:r>
      <w:r w:rsidRPr="0059414D">
        <w:fldChar w:fldCharType="end"/>
      </w:r>
      <w:r w:rsidRPr="0059414D">
        <w:t>.  </w:t>
      </w:r>
      <w:r w:rsidR="00FE75C2" w:rsidRPr="0059414D">
        <w:t>The Court reiterates that the</w:t>
      </w:r>
      <w:r w:rsidR="00FE75C2">
        <w:t xml:space="preserve"> Convention imposes no specific obligation on States to right injustices or harm caused before they ratified the Convention. However, once such </w:t>
      </w:r>
      <w:r w:rsidR="00624A47">
        <w:t xml:space="preserve">a solution has been adopted by a State, it must be implemented with reasonable clarity and coherence, in order to avoid, in so far as possible, legal uncertainty and ambiguity for the persons concerned </w:t>
      </w:r>
      <w:r w:rsidR="0055150E">
        <w:t>b</w:t>
      </w:r>
      <w:r w:rsidR="00CF7030">
        <w:t>y the measures to implement it.</w:t>
      </w:r>
    </w:p>
    <w:p w:rsidR="00624A47" w:rsidRDefault="00624A47" w:rsidP="00624A47">
      <w:pPr>
        <w:pStyle w:val="JuPara"/>
      </w:pPr>
      <w:r>
        <w:t xml:space="preserve">In that context, it should be stressed that uncertainty – be it legislative, administrative or arising from practices applied </w:t>
      </w:r>
      <w:r w:rsidRPr="00CF4785">
        <w:t>by the authorities – is an important factor to be taken into account in assessing the State</w:t>
      </w:r>
      <w:r w:rsidR="00925F1F">
        <w:t>’</w:t>
      </w:r>
      <w:r w:rsidRPr="00CF4785">
        <w:t xml:space="preserve">s conduct (see </w:t>
      </w:r>
      <w:r w:rsidRPr="00CF4785">
        <w:rPr>
          <w:rStyle w:val="ju-005fpara--char"/>
          <w:i/>
          <w:iCs/>
        </w:rPr>
        <w:t>Broniowski</w:t>
      </w:r>
      <w:r w:rsidRPr="00CF4785">
        <w:t>, cited above, § 151).</w:t>
      </w:r>
    </w:p>
    <w:p w:rsidR="00E86685" w:rsidRDefault="00C152B7" w:rsidP="00C152B7">
      <w:pPr>
        <w:pStyle w:val="JuPara"/>
      </w:pPr>
      <w:r>
        <w:fldChar w:fldCharType="begin"/>
      </w:r>
      <w:r>
        <w:instrText xml:space="preserve"> SEQ level0 \*arabic </w:instrText>
      </w:r>
      <w:r>
        <w:fldChar w:fldCharType="separate"/>
      </w:r>
      <w:r w:rsidR="004373EA">
        <w:rPr>
          <w:noProof/>
        </w:rPr>
        <w:t>104</w:t>
      </w:r>
      <w:r>
        <w:fldChar w:fldCharType="end"/>
      </w:r>
      <w:r>
        <w:t>.  </w:t>
      </w:r>
      <w:r w:rsidR="00E13D8E">
        <w:t xml:space="preserve">Turning to the circumstances of the present case, the Court notes </w:t>
      </w:r>
      <w:r w:rsidR="00E86685">
        <w:t>that the applicants</w:t>
      </w:r>
      <w:r w:rsidR="00925F1F">
        <w:t>’</w:t>
      </w:r>
      <w:r w:rsidR="00E86685">
        <w:t xml:space="preserve"> claim failed because, in the domestic courts</w:t>
      </w:r>
      <w:r w:rsidR="00925F1F">
        <w:t>’</w:t>
      </w:r>
      <w:r w:rsidR="00E86685">
        <w:t xml:space="preserve"> view, they sued the wrong </w:t>
      </w:r>
      <w:r w:rsidR="00F54E14">
        <w:t>defendant</w:t>
      </w:r>
      <w:r w:rsidR="00E86685">
        <w:t xml:space="preserve">. </w:t>
      </w:r>
      <w:r w:rsidR="00854738">
        <w:rPr>
          <w:color w:val="000000"/>
        </w:rPr>
        <w:t>T</w:t>
      </w:r>
      <w:r w:rsidR="00854738">
        <w:rPr>
          <w:lang w:eastAsia="en-US"/>
        </w:rPr>
        <w:t>he applicants lodged their claim against the municipality on the basis of the hitherto prevailing case-law, which the courts considered later to be obsolete.</w:t>
      </w:r>
    </w:p>
    <w:p w:rsidR="00E13D8E" w:rsidRDefault="000A3C07" w:rsidP="00C152B7">
      <w:pPr>
        <w:pStyle w:val="JuPara"/>
        <w:rPr>
          <w:color w:val="000000"/>
        </w:rPr>
      </w:pPr>
      <w:r>
        <w:fldChar w:fldCharType="begin"/>
      </w:r>
      <w:r>
        <w:instrText xml:space="preserve"> SEQ level0 \*arabic </w:instrText>
      </w:r>
      <w:r>
        <w:fldChar w:fldCharType="separate"/>
      </w:r>
      <w:r w:rsidR="004373EA">
        <w:rPr>
          <w:noProof/>
        </w:rPr>
        <w:t>105</w:t>
      </w:r>
      <w:r>
        <w:fldChar w:fldCharType="end"/>
      </w:r>
      <w:r>
        <w:t xml:space="preserve">.  The Court further observes </w:t>
      </w:r>
      <w:r w:rsidR="00285459">
        <w:t xml:space="preserve">in this context </w:t>
      </w:r>
      <w:r w:rsidR="00C152B7">
        <w:t xml:space="preserve">that </w:t>
      </w:r>
      <w:r w:rsidR="00984887">
        <w:t xml:space="preserve">numerous </w:t>
      </w:r>
      <w:r w:rsidR="00C152B7">
        <w:t>court actions, such as those instituted by the applicant</w:t>
      </w:r>
      <w:r w:rsidR="00E13D8E">
        <w:t>s</w:t>
      </w:r>
      <w:r w:rsidR="00C152B7">
        <w:t>, have been brought before domestic courts</w:t>
      </w:r>
      <w:r w:rsidR="00E13D8E">
        <w:t xml:space="preserve">. </w:t>
      </w:r>
      <w:r w:rsidR="00E13D8E">
        <w:rPr>
          <w:color w:val="000000"/>
        </w:rPr>
        <w:t xml:space="preserve">Due to several major administrative reforms which had been implemented in </w:t>
      </w:r>
      <w:smartTag w:uri="urn:schemas-microsoft-com:office:smarttags" w:element="place">
        <w:smartTag w:uri="urn:schemas-microsoft-com:office:smarttags" w:element="country-region">
          <w:r w:rsidR="00E13D8E">
            <w:rPr>
              <w:color w:val="000000"/>
            </w:rPr>
            <w:t>Poland</w:t>
          </w:r>
        </w:smartTag>
      </w:smartTag>
      <w:r w:rsidR="00E13D8E">
        <w:rPr>
          <w:color w:val="000000"/>
        </w:rPr>
        <w:t xml:space="preserve"> during the past fifty years, the courts </w:t>
      </w:r>
      <w:r w:rsidR="00C152B7">
        <w:t xml:space="preserve">have been required to determine </w:t>
      </w:r>
      <w:r w:rsidR="00E13D8E">
        <w:rPr>
          <w:color w:val="000000"/>
        </w:rPr>
        <w:t xml:space="preserve">the authority responsible for taking over the competencies of bodies which had existed previously. </w:t>
      </w:r>
      <w:r w:rsidR="0017329B">
        <w:rPr>
          <w:color w:val="000000"/>
        </w:rPr>
        <w:t>The</w:t>
      </w:r>
      <w:r w:rsidR="00E13D8E">
        <w:rPr>
          <w:color w:val="000000"/>
        </w:rPr>
        <w:t xml:space="preserve"> interpretation of provisions of relevant laws introducing the </w:t>
      </w:r>
      <w:r w:rsidR="00E13D8E" w:rsidRPr="00856548">
        <w:rPr>
          <w:color w:val="000000"/>
        </w:rPr>
        <w:t xml:space="preserve">administrative </w:t>
      </w:r>
      <w:r w:rsidR="00E13D8E">
        <w:rPr>
          <w:color w:val="000000"/>
        </w:rPr>
        <w:t>reforms have constantly changed</w:t>
      </w:r>
      <w:r w:rsidR="0046335B">
        <w:rPr>
          <w:color w:val="000000"/>
        </w:rPr>
        <w:t>,</w:t>
      </w:r>
      <w:r w:rsidR="0046335B" w:rsidRPr="0046335B">
        <w:t xml:space="preserve"> </w:t>
      </w:r>
      <w:r w:rsidR="0046335B">
        <w:t xml:space="preserve">which has led to varying judicial rulings by different </w:t>
      </w:r>
      <w:r w:rsidR="0046335B" w:rsidRPr="002477CD">
        <w:t>domestic courts on the same legal question (see paragraph</w:t>
      </w:r>
      <w:r w:rsidR="00854738" w:rsidRPr="002477CD">
        <w:t>s</w:t>
      </w:r>
      <w:r w:rsidR="0046335B" w:rsidRPr="002477CD">
        <w:t xml:space="preserve"> </w:t>
      </w:r>
      <w:r w:rsidR="002477CD" w:rsidRPr="002477CD">
        <w:t>6</w:t>
      </w:r>
      <w:r w:rsidR="00BB4B78">
        <w:t>3</w:t>
      </w:r>
      <w:r w:rsidR="00666B12" w:rsidRPr="002477CD">
        <w:t>-7</w:t>
      </w:r>
      <w:r w:rsidR="00BB4B78">
        <w:t>0</w:t>
      </w:r>
      <w:r w:rsidR="00666B12" w:rsidRPr="002477CD">
        <w:t xml:space="preserve"> </w:t>
      </w:r>
      <w:r w:rsidR="0046335B" w:rsidRPr="002477CD">
        <w:t>above)</w:t>
      </w:r>
      <w:r w:rsidR="0017329B" w:rsidRPr="002477CD">
        <w:rPr>
          <w:color w:val="000000"/>
        </w:rPr>
        <w:t>.</w:t>
      </w:r>
      <w:r w:rsidR="00E13D8E">
        <w:rPr>
          <w:color w:val="000000"/>
        </w:rPr>
        <w:t xml:space="preserve"> </w:t>
      </w:r>
      <w:r w:rsidR="0017329B">
        <w:rPr>
          <w:color w:val="000000"/>
        </w:rPr>
        <w:t xml:space="preserve">As a result, </w:t>
      </w:r>
      <w:r w:rsidR="00E13D8E">
        <w:rPr>
          <w:color w:val="000000"/>
        </w:rPr>
        <w:t>the case-law</w:t>
      </w:r>
      <w:r w:rsidR="003A75A0">
        <w:rPr>
          <w:color w:val="000000"/>
        </w:rPr>
        <w:t xml:space="preserve"> at the domestic level</w:t>
      </w:r>
      <w:r w:rsidR="00E13D8E">
        <w:rPr>
          <w:color w:val="000000"/>
        </w:rPr>
        <w:t>, including the Supreme Court judgments and resolutions, has often been contradictory.</w:t>
      </w:r>
    </w:p>
    <w:p w:rsidR="007C0C28" w:rsidRPr="0059414D" w:rsidRDefault="00854738" w:rsidP="00854738">
      <w:pPr>
        <w:pStyle w:val="JuPara"/>
      </w:pPr>
      <w:r>
        <w:rPr>
          <w:color w:val="000000"/>
        </w:rPr>
        <w:fldChar w:fldCharType="begin"/>
      </w:r>
      <w:r>
        <w:rPr>
          <w:color w:val="000000"/>
        </w:rPr>
        <w:instrText xml:space="preserve"> SEQ level0 \*arabic </w:instrText>
      </w:r>
      <w:r>
        <w:rPr>
          <w:color w:val="000000"/>
        </w:rPr>
        <w:fldChar w:fldCharType="separate"/>
      </w:r>
      <w:r w:rsidR="004373EA">
        <w:rPr>
          <w:noProof/>
          <w:color w:val="000000"/>
        </w:rPr>
        <w:t>106</w:t>
      </w:r>
      <w:r>
        <w:rPr>
          <w:color w:val="000000"/>
        </w:rPr>
        <w:fldChar w:fldCharType="end"/>
      </w:r>
      <w:r>
        <w:rPr>
          <w:color w:val="000000"/>
        </w:rPr>
        <w:t xml:space="preserve">.  The examples of the case-law submitted both by the applicants and the </w:t>
      </w:r>
      <w:r w:rsidRPr="00854738">
        <w:rPr>
          <w:color w:val="000000"/>
        </w:rPr>
        <w:t xml:space="preserve">Government </w:t>
      </w:r>
      <w:r>
        <w:rPr>
          <w:color w:val="000000"/>
        </w:rPr>
        <w:t xml:space="preserve">show that the question of </w:t>
      </w:r>
      <w:r w:rsidR="002D3D7B" w:rsidRPr="007C0C28">
        <w:rPr>
          <w:color w:val="000000"/>
        </w:rPr>
        <w:t xml:space="preserve">liability </w:t>
      </w:r>
      <w:r w:rsidR="002D3D7B" w:rsidRPr="007C0C28">
        <w:t xml:space="preserve">for damages resulting from flawed </w:t>
      </w:r>
      <w:r w:rsidR="007C0C28" w:rsidRPr="007C0C28">
        <w:t xml:space="preserve">administrative decisions was </w:t>
      </w:r>
      <w:r w:rsidR="003A75A0">
        <w:t xml:space="preserve">by </w:t>
      </w:r>
      <w:r w:rsidR="003A75A0" w:rsidRPr="0059414D">
        <w:t>no means clear</w:t>
      </w:r>
      <w:r w:rsidR="007C0C28" w:rsidRPr="0059414D">
        <w:t xml:space="preserve"> at the time the applicants</w:t>
      </w:r>
      <w:r w:rsidR="00925F1F">
        <w:t>’</w:t>
      </w:r>
      <w:r w:rsidR="007C0C28" w:rsidRPr="0059414D">
        <w:t xml:space="preserve"> claim was examined and the divergences in case-law continued several years later (see paragraphs </w:t>
      </w:r>
      <w:r w:rsidR="00666B12" w:rsidRPr="0059414D">
        <w:t>6</w:t>
      </w:r>
      <w:r w:rsidR="00FA1D49" w:rsidRPr="0059414D">
        <w:t>9</w:t>
      </w:r>
      <w:r w:rsidR="00666B12" w:rsidRPr="0059414D">
        <w:t>-7</w:t>
      </w:r>
      <w:r w:rsidR="00BB4B78" w:rsidRPr="0059414D">
        <w:t>0</w:t>
      </w:r>
      <w:r w:rsidR="007C0C28" w:rsidRPr="0059414D">
        <w:t xml:space="preserve"> above).</w:t>
      </w:r>
    </w:p>
    <w:p w:rsidR="00854738" w:rsidRPr="0059414D" w:rsidRDefault="007359E9" w:rsidP="00854738">
      <w:pPr>
        <w:pStyle w:val="JuPara"/>
        <w:rPr>
          <w:color w:val="000000"/>
        </w:rPr>
      </w:pPr>
      <w:r w:rsidRPr="0059414D">
        <w:fldChar w:fldCharType="begin"/>
      </w:r>
      <w:r w:rsidRPr="0059414D">
        <w:instrText xml:space="preserve"> SEQ level0 \*arabic </w:instrText>
      </w:r>
      <w:r w:rsidRPr="0059414D">
        <w:fldChar w:fldCharType="separate"/>
      </w:r>
      <w:r w:rsidR="004373EA">
        <w:rPr>
          <w:noProof/>
        </w:rPr>
        <w:t>107</w:t>
      </w:r>
      <w:r w:rsidRPr="0059414D">
        <w:fldChar w:fldCharType="end"/>
      </w:r>
      <w:r w:rsidRPr="0059414D">
        <w:t xml:space="preserve">.  The Court has already held that divergences in case-law are an inherent consequence of any judicial system which is based on a network of trial and appeal courts with authority over the area of their territorial jurisdiction, and that the role of a supreme court is precisely to resolve conflicts between decisions of the courts below (see </w:t>
      </w:r>
      <w:r w:rsidRPr="0059414D">
        <w:rPr>
          <w:rStyle w:val="ju-005fpara--char"/>
          <w:i/>
          <w:iCs/>
        </w:rPr>
        <w:t>Zielinski and Pradal and Gonzalez and Others v. France</w:t>
      </w:r>
      <w:r w:rsidRPr="0059414D">
        <w:t xml:space="preserve"> [GC], nos. 24846/94 and 34165/96 to 34173/96, § 59, ECHR 1999-VII). In the instant case, however, even the Supreme Court </w:t>
      </w:r>
      <w:r w:rsidR="00550E89" w:rsidRPr="0059414D">
        <w:t>failed to</w:t>
      </w:r>
      <w:r w:rsidRPr="0059414D">
        <w:t xml:space="preserve"> have a uniform case-law </w:t>
      </w:r>
      <w:r w:rsidR="00F54E14" w:rsidRPr="0059414D">
        <w:t xml:space="preserve">on the legal questions in issue (see </w:t>
      </w:r>
      <w:r w:rsidR="00550E89" w:rsidRPr="0059414D">
        <w:t xml:space="preserve">paragraphs </w:t>
      </w:r>
      <w:r w:rsidR="00BB4B78" w:rsidRPr="0059414D">
        <w:t xml:space="preserve">65-68 </w:t>
      </w:r>
      <w:r w:rsidR="00550E89" w:rsidRPr="0059414D">
        <w:t>above</w:t>
      </w:r>
      <w:r w:rsidR="00F54E14" w:rsidRPr="0059414D">
        <w:t>).</w:t>
      </w:r>
    </w:p>
    <w:p w:rsidR="00D434A5" w:rsidRDefault="00FC72F2" w:rsidP="00672FCB">
      <w:pPr>
        <w:pStyle w:val="JuPara"/>
      </w:pPr>
      <w:r w:rsidRPr="0059414D">
        <w:rPr>
          <w:color w:val="000000"/>
        </w:rPr>
        <w:fldChar w:fldCharType="begin"/>
      </w:r>
      <w:r w:rsidRPr="0059414D">
        <w:rPr>
          <w:color w:val="000000"/>
        </w:rPr>
        <w:instrText xml:space="preserve"> SEQ level0 \*arabic </w:instrText>
      </w:r>
      <w:r w:rsidRPr="0059414D">
        <w:rPr>
          <w:color w:val="000000"/>
        </w:rPr>
        <w:fldChar w:fldCharType="separate"/>
      </w:r>
      <w:r w:rsidR="004373EA">
        <w:rPr>
          <w:noProof/>
          <w:color w:val="000000"/>
        </w:rPr>
        <w:t>108</w:t>
      </w:r>
      <w:r w:rsidRPr="0059414D">
        <w:rPr>
          <w:color w:val="000000"/>
        </w:rPr>
        <w:fldChar w:fldCharType="end"/>
      </w:r>
      <w:r w:rsidRPr="0059414D">
        <w:rPr>
          <w:color w:val="000000"/>
        </w:rPr>
        <w:t>.  </w:t>
      </w:r>
      <w:r w:rsidR="00F965BB" w:rsidRPr="0059414D">
        <w:t>The Court does not deny the complexity of the problems with which the courts were faced</w:t>
      </w:r>
      <w:r w:rsidR="000F75CA" w:rsidRPr="0059414D">
        <w:t xml:space="preserve"> as a result of the </w:t>
      </w:r>
      <w:r w:rsidR="00F965BB" w:rsidRPr="0059414D">
        <w:rPr>
          <w:color w:val="000000"/>
        </w:rPr>
        <w:t xml:space="preserve">fundamental changes in the competencies of all </w:t>
      </w:r>
      <w:r w:rsidR="000F75CA" w:rsidRPr="0059414D">
        <w:rPr>
          <w:color w:val="000000"/>
        </w:rPr>
        <w:t xml:space="preserve">the various </w:t>
      </w:r>
      <w:r w:rsidR="00F965BB" w:rsidRPr="0059414D">
        <w:rPr>
          <w:color w:val="000000"/>
        </w:rPr>
        <w:t xml:space="preserve">authorities </w:t>
      </w:r>
      <w:r w:rsidR="000F75CA" w:rsidRPr="0059414D">
        <w:rPr>
          <w:color w:val="000000"/>
        </w:rPr>
        <w:t xml:space="preserve">at the </w:t>
      </w:r>
      <w:r w:rsidR="00F965BB" w:rsidRPr="0059414D">
        <w:rPr>
          <w:color w:val="000000"/>
        </w:rPr>
        <w:t>local and State administrat</w:t>
      </w:r>
      <w:r w:rsidR="000F75CA" w:rsidRPr="0059414D">
        <w:rPr>
          <w:color w:val="000000"/>
        </w:rPr>
        <w:t>ive levels</w:t>
      </w:r>
      <w:r w:rsidR="00F965BB" w:rsidRPr="0059414D">
        <w:rPr>
          <w:color w:val="000000"/>
        </w:rPr>
        <w:t xml:space="preserve">. It considers, however, </w:t>
      </w:r>
      <w:r w:rsidR="00B27DB3" w:rsidRPr="0059414D">
        <w:rPr>
          <w:color w:val="000000"/>
        </w:rPr>
        <w:t>that</w:t>
      </w:r>
      <w:r w:rsidR="00B27DB3">
        <w:rPr>
          <w:color w:val="000000"/>
        </w:rPr>
        <w:t xml:space="preserve"> shifting the </w:t>
      </w:r>
      <w:r w:rsidR="00061D72" w:rsidRPr="00FA1D49">
        <w:rPr>
          <w:color w:val="000000"/>
        </w:rPr>
        <w:t xml:space="preserve">duty </w:t>
      </w:r>
      <w:r w:rsidR="007126D6" w:rsidRPr="00FA1D49">
        <w:rPr>
          <w:color w:val="000000"/>
        </w:rPr>
        <w:t xml:space="preserve">of </w:t>
      </w:r>
      <w:r w:rsidR="00051F0F">
        <w:rPr>
          <w:color w:val="000000"/>
        </w:rPr>
        <w:t>identifying</w:t>
      </w:r>
      <w:r w:rsidR="007126D6" w:rsidRPr="00FA1D49">
        <w:rPr>
          <w:color w:val="000000"/>
        </w:rPr>
        <w:t xml:space="preserve"> the competent authority </w:t>
      </w:r>
      <w:r w:rsidR="00BB2B14" w:rsidRPr="00FA1D49">
        <w:rPr>
          <w:color w:val="000000"/>
        </w:rPr>
        <w:t xml:space="preserve">to be sued </w:t>
      </w:r>
      <w:r w:rsidR="00061D72" w:rsidRPr="00FA1D49">
        <w:rPr>
          <w:color w:val="000000"/>
        </w:rPr>
        <w:t xml:space="preserve">to the applicants </w:t>
      </w:r>
      <w:r w:rsidR="0021626A" w:rsidRPr="00FA1D49">
        <w:rPr>
          <w:color w:val="000000"/>
        </w:rPr>
        <w:t xml:space="preserve">and depriving them of compensation on this basis </w:t>
      </w:r>
      <w:r w:rsidR="00774715" w:rsidRPr="00FA1D49">
        <w:rPr>
          <w:color w:val="000000"/>
        </w:rPr>
        <w:t xml:space="preserve">was </w:t>
      </w:r>
      <w:r w:rsidR="003A53CA">
        <w:rPr>
          <w:color w:val="000000"/>
        </w:rPr>
        <w:t xml:space="preserve">a </w:t>
      </w:r>
      <w:r w:rsidR="00774715" w:rsidRPr="00FA1D49">
        <w:t>disproportionate</w:t>
      </w:r>
      <w:r w:rsidR="00774715">
        <w:t xml:space="preserve"> </w:t>
      </w:r>
      <w:r w:rsidR="00051F0F">
        <w:t xml:space="preserve">requirement </w:t>
      </w:r>
      <w:r w:rsidR="00774715">
        <w:t xml:space="preserve">and failed to strike a </w:t>
      </w:r>
      <w:r w:rsidR="00774715" w:rsidRPr="00774715">
        <w:t>fair</w:t>
      </w:r>
      <w:r w:rsidR="00774715">
        <w:t xml:space="preserve"> </w:t>
      </w:r>
      <w:r w:rsidR="00774715" w:rsidRPr="00774715">
        <w:t>balance</w:t>
      </w:r>
      <w:r w:rsidR="00774715">
        <w:t xml:space="preserve"> between the public interest and the applicants</w:t>
      </w:r>
      <w:r w:rsidR="00925F1F">
        <w:t>’</w:t>
      </w:r>
      <w:r w:rsidR="00774715">
        <w:t xml:space="preserve"> rights.</w:t>
      </w:r>
    </w:p>
    <w:p w:rsidR="0032724B" w:rsidRDefault="00FB71F6" w:rsidP="00CB683D">
      <w:pPr>
        <w:pStyle w:val="JuPara"/>
      </w:pPr>
      <w:r>
        <w:fldChar w:fldCharType="begin"/>
      </w:r>
      <w:r>
        <w:instrText xml:space="preserve"> SEQ level0 \*arabic </w:instrText>
      </w:r>
      <w:r>
        <w:fldChar w:fldCharType="separate"/>
      </w:r>
      <w:r w:rsidR="004373EA">
        <w:rPr>
          <w:noProof/>
        </w:rPr>
        <w:t>109</w:t>
      </w:r>
      <w:r>
        <w:fldChar w:fldCharType="end"/>
      </w:r>
      <w:r>
        <w:t>.  In the Court</w:t>
      </w:r>
      <w:r w:rsidR="00925F1F">
        <w:t>’</w:t>
      </w:r>
      <w:r>
        <w:t xml:space="preserve">s view, when </w:t>
      </w:r>
      <w:r w:rsidR="00051F0F">
        <w:t>a</w:t>
      </w:r>
      <w:r>
        <w:t xml:space="preserve"> public entity is liable for damages, the State</w:t>
      </w:r>
      <w:r w:rsidR="00925F1F">
        <w:t>’</w:t>
      </w:r>
      <w:r>
        <w:t xml:space="preserve">s positive obligation </w:t>
      </w:r>
      <w:r w:rsidR="00051F0F">
        <w:t xml:space="preserve">to facilitate </w:t>
      </w:r>
      <w:r w:rsidR="0032724B" w:rsidRPr="0032724B">
        <w:t xml:space="preserve">identification of </w:t>
      </w:r>
      <w:r w:rsidR="00051F0F">
        <w:t>the correct</w:t>
      </w:r>
      <w:r w:rsidR="0032724B" w:rsidRPr="0032724B">
        <w:t xml:space="preserve"> defendant is </w:t>
      </w:r>
      <w:r w:rsidR="0032724B">
        <w:t xml:space="preserve">all </w:t>
      </w:r>
      <w:r w:rsidR="0032724B" w:rsidRPr="0032724B">
        <w:t>the more important.</w:t>
      </w:r>
    </w:p>
    <w:p w:rsidR="00D434A5" w:rsidRDefault="0021626A" w:rsidP="00CB683D">
      <w:pPr>
        <w:pStyle w:val="JuPara"/>
      </w:pPr>
      <w:r>
        <w:fldChar w:fldCharType="begin"/>
      </w:r>
      <w:r>
        <w:instrText xml:space="preserve"> SEQ level0 \*arabic </w:instrText>
      </w:r>
      <w:r>
        <w:fldChar w:fldCharType="separate"/>
      </w:r>
      <w:r w:rsidR="004373EA">
        <w:rPr>
          <w:noProof/>
        </w:rPr>
        <w:t>110</w:t>
      </w:r>
      <w:r>
        <w:fldChar w:fldCharType="end"/>
      </w:r>
      <w:r>
        <w:t>.  </w:t>
      </w:r>
      <w:r w:rsidR="00E30C5A">
        <w:t>In the Court</w:t>
      </w:r>
      <w:r w:rsidR="00925F1F">
        <w:t>’</w:t>
      </w:r>
      <w:r w:rsidR="00E30C5A">
        <w:t xml:space="preserve">s opinion, </w:t>
      </w:r>
      <w:r w:rsidR="00672FCB">
        <w:t>t</w:t>
      </w:r>
      <w:r w:rsidR="00672FCB" w:rsidRPr="0032724B">
        <w:t xml:space="preserve">he </w:t>
      </w:r>
      <w:r w:rsidR="00672FCB" w:rsidRPr="00672FCB">
        <w:t>applicants seem to have fallen victims of th</w:t>
      </w:r>
      <w:r w:rsidR="00672FCB">
        <w:t>e</w:t>
      </w:r>
      <w:r w:rsidR="00672FCB" w:rsidRPr="00672FCB">
        <w:t xml:space="preserve"> </w:t>
      </w:r>
      <w:r w:rsidR="00672FCB" w:rsidRPr="00B33B3B">
        <w:t xml:space="preserve">administrative reforms, the inconsistency of the case-law and the lack of legal certainty </w:t>
      </w:r>
      <w:r w:rsidR="0048294D">
        <w:t xml:space="preserve">and coherence </w:t>
      </w:r>
      <w:r w:rsidR="00672FCB" w:rsidRPr="00B33B3B">
        <w:t>in this respect.</w:t>
      </w:r>
      <w:r w:rsidR="00744A41" w:rsidRPr="00B33B3B">
        <w:t xml:space="preserve"> As a result, the applicants </w:t>
      </w:r>
      <w:r w:rsidR="00CB683D" w:rsidRPr="00B33B3B">
        <w:t>were unable to obtain due compensation for damage</w:t>
      </w:r>
      <w:r w:rsidR="0048294D">
        <w:t xml:space="preserve"> suffered</w:t>
      </w:r>
      <w:r w:rsidR="00CB683D" w:rsidRPr="00B33B3B">
        <w:t>.</w:t>
      </w:r>
    </w:p>
    <w:p w:rsidR="00CB683D" w:rsidRPr="00B33B3B" w:rsidRDefault="00F646D7" w:rsidP="00CB683D">
      <w:pPr>
        <w:pStyle w:val="JuPara"/>
      </w:pPr>
      <w:r>
        <w:fldChar w:fldCharType="begin"/>
      </w:r>
      <w:r>
        <w:instrText xml:space="preserve"> SEQ level0 \*arabic </w:instrText>
      </w:r>
      <w:r>
        <w:fldChar w:fldCharType="separate"/>
      </w:r>
      <w:r w:rsidR="004373EA">
        <w:rPr>
          <w:noProof/>
        </w:rPr>
        <w:t>111</w:t>
      </w:r>
      <w:r>
        <w:fldChar w:fldCharType="end"/>
      </w:r>
      <w:r>
        <w:t>.  </w:t>
      </w:r>
      <w:r w:rsidR="00744A41" w:rsidRPr="00B33B3B">
        <w:t xml:space="preserve">In the light of the foregoing, </w:t>
      </w:r>
      <w:r w:rsidR="00CB683D" w:rsidRPr="00B33B3B">
        <w:t xml:space="preserve">the Court considers that the State has failed to comply with its positive obligation to </w:t>
      </w:r>
      <w:r w:rsidR="00BA2DE5" w:rsidRPr="00B33B3B">
        <w:t xml:space="preserve">provide measures </w:t>
      </w:r>
      <w:r w:rsidR="00FD0E75" w:rsidRPr="00B33B3B">
        <w:t>safeguarding the applicants</w:t>
      </w:r>
      <w:r w:rsidR="00925F1F">
        <w:t>’</w:t>
      </w:r>
      <w:r w:rsidR="00CB683D" w:rsidRPr="00B33B3B">
        <w:t xml:space="preserve"> right to the effective enjoyment of </w:t>
      </w:r>
      <w:r w:rsidR="00FD0E75" w:rsidRPr="00B33B3B">
        <w:t>their</w:t>
      </w:r>
      <w:r w:rsidR="00CB683D" w:rsidRPr="00B33B3B">
        <w:t xml:space="preserve"> possessions as guaranteed by Article 1 of Protocol No. 1, thus upsetting the “fair balance” between the demands of the public interest and the need to protect the </w:t>
      </w:r>
      <w:r w:rsidR="00513F35" w:rsidRPr="00B33B3B">
        <w:t>applicants</w:t>
      </w:r>
      <w:r w:rsidR="00CB683D" w:rsidRPr="00B33B3B">
        <w:t xml:space="preserve"> right (see, </w:t>
      </w:r>
      <w:r w:rsidR="00CB683D" w:rsidRPr="00B33B3B">
        <w:rPr>
          <w:rStyle w:val="ju-005fpara--char"/>
          <w:i/>
          <w:iCs/>
        </w:rPr>
        <w:t>mutatis mutandis</w:t>
      </w:r>
      <w:r w:rsidR="00CB683D" w:rsidRPr="00B33B3B">
        <w:t xml:space="preserve">, </w:t>
      </w:r>
      <w:r w:rsidR="00CB683D" w:rsidRPr="00B33B3B">
        <w:rPr>
          <w:rStyle w:val="ju-005fpara--char"/>
          <w:i/>
          <w:iCs/>
        </w:rPr>
        <w:t>Sovtransavto Holding</w:t>
      </w:r>
      <w:r w:rsidR="00CB683D" w:rsidRPr="00B33B3B">
        <w:t>, cited above, § 96).</w:t>
      </w:r>
    </w:p>
    <w:p w:rsidR="00D31024" w:rsidRDefault="00FD0E75" w:rsidP="00D31024">
      <w:pPr>
        <w:pStyle w:val="JuPara"/>
      </w:pPr>
      <w:r w:rsidRPr="00B33B3B">
        <w:fldChar w:fldCharType="begin"/>
      </w:r>
      <w:r w:rsidRPr="00B33B3B">
        <w:instrText xml:space="preserve"> SEQ level0 \*arabic </w:instrText>
      </w:r>
      <w:r w:rsidRPr="00B33B3B">
        <w:fldChar w:fldCharType="separate"/>
      </w:r>
      <w:r w:rsidR="004373EA">
        <w:rPr>
          <w:noProof/>
        </w:rPr>
        <w:t>112</w:t>
      </w:r>
      <w:r w:rsidRPr="00B33B3B">
        <w:fldChar w:fldCharType="end"/>
      </w:r>
      <w:r w:rsidRPr="00B33B3B">
        <w:t>.  </w:t>
      </w:r>
      <w:r w:rsidR="00CB683D" w:rsidRPr="00B33B3B">
        <w:t>Consequently, there has been a violation</w:t>
      </w:r>
      <w:r w:rsidR="005C32B1">
        <w:t xml:space="preserve"> of Article 1 of Protocol No. 1 and the Government</w:t>
      </w:r>
      <w:r w:rsidR="00925F1F">
        <w:t>’</w:t>
      </w:r>
      <w:r w:rsidR="005C32B1">
        <w:t>s objection based on non-exhaustion of domestic remedies (see paragraphs 93 and 94 above) must accordingly be rejected.</w:t>
      </w:r>
    </w:p>
    <w:p w:rsidR="0059414D" w:rsidRPr="0014669B" w:rsidRDefault="0014669B" w:rsidP="0014669B">
      <w:pPr>
        <w:pStyle w:val="JuH1"/>
      </w:pPr>
      <w:r>
        <w:t>2</w:t>
      </w:r>
      <w:r w:rsidRPr="0014669B">
        <w:t>.  </w:t>
      </w:r>
      <w:r w:rsidR="0059414D" w:rsidRPr="0014669B">
        <w:t xml:space="preserve"> Article</w:t>
      </w:r>
      <w:r w:rsidR="00F01ABF" w:rsidRPr="0014669B">
        <w:t>s</w:t>
      </w:r>
      <w:r w:rsidR="0059414D" w:rsidRPr="0014669B">
        <w:t xml:space="preserve"> 6 and 13 of </w:t>
      </w:r>
      <w:r w:rsidR="0059414D" w:rsidRPr="0014669B">
        <w:rPr>
          <w:rFonts w:eastAsia="Batang"/>
          <w:szCs w:val="24"/>
        </w:rPr>
        <w:t>Convention</w:t>
      </w:r>
    </w:p>
    <w:p w:rsidR="00D434A5" w:rsidRDefault="00D31024" w:rsidP="00D31024">
      <w:pPr>
        <w:pStyle w:val="JuPara"/>
      </w:pPr>
      <w:r>
        <w:fldChar w:fldCharType="begin"/>
      </w:r>
      <w:r>
        <w:instrText xml:space="preserve"> SEQ level0 \*arabic </w:instrText>
      </w:r>
      <w:r>
        <w:fldChar w:fldCharType="separate"/>
      </w:r>
      <w:r w:rsidR="004373EA">
        <w:rPr>
          <w:noProof/>
        </w:rPr>
        <w:t>113</w:t>
      </w:r>
      <w:r>
        <w:fldChar w:fldCharType="end"/>
      </w:r>
      <w:r>
        <w:t xml:space="preserve">.  Having regard to the particular circumstances of the present case and to the reasoning which led the Court to find a violation of Article 1 of Protocol No. 1, the </w:t>
      </w:r>
      <w:r w:rsidRPr="000F313B">
        <w:t xml:space="preserve">Court considers that a separate examination of the merits of the case under </w:t>
      </w:r>
      <w:r w:rsidR="00F01ABF" w:rsidRPr="000F313B">
        <w:t xml:space="preserve">Articles </w:t>
      </w:r>
      <w:r w:rsidR="00CD7258" w:rsidRPr="000F313B">
        <w:rPr>
          <w:bCs/>
        </w:rPr>
        <w:t>6</w:t>
      </w:r>
      <w:r w:rsidR="00CD7258" w:rsidRPr="000F313B">
        <w:t xml:space="preserve"> and </w:t>
      </w:r>
      <w:r w:rsidRPr="000F313B">
        <w:t>13</w:t>
      </w:r>
      <w:r>
        <w:t xml:space="preserve"> of </w:t>
      </w:r>
      <w:r>
        <w:rPr>
          <w:rFonts w:eastAsia="Batang"/>
          <w:szCs w:val="24"/>
          <w:lang w:eastAsia="ko-KR"/>
        </w:rPr>
        <w:t>Convention</w:t>
      </w:r>
      <w:r>
        <w:t xml:space="preserve"> is not necessary.</w:t>
      </w:r>
    </w:p>
    <w:p w:rsidR="00F71A6A" w:rsidRPr="004E657D" w:rsidRDefault="000241FD" w:rsidP="000241FD">
      <w:pPr>
        <w:pStyle w:val="JuHIRoman"/>
        <w:ind w:left="0" w:firstLine="0"/>
      </w:pPr>
      <w:r>
        <w:t>II.  </w:t>
      </w:r>
      <w:r w:rsidR="00F71A6A" w:rsidRPr="004E657D">
        <w:t>APPLICATION OF ARTICLE 41 OF THE CONVENTION</w:t>
      </w:r>
    </w:p>
    <w:p w:rsidR="00F71A6A" w:rsidRPr="004E657D" w:rsidRDefault="004E657D">
      <w:pPr>
        <w:pStyle w:val="JuPara"/>
        <w:keepNext/>
        <w:keepLines/>
      </w:pPr>
      <w:r w:rsidRPr="004E657D">
        <w:fldChar w:fldCharType="begin"/>
      </w:r>
      <w:r w:rsidRPr="004E657D">
        <w:instrText xml:space="preserve"> SEQ level0 \*arabic </w:instrText>
      </w:r>
      <w:r w:rsidRPr="004E657D">
        <w:fldChar w:fldCharType="separate"/>
      </w:r>
      <w:r w:rsidR="004373EA">
        <w:rPr>
          <w:noProof/>
        </w:rPr>
        <w:t>114</w:t>
      </w:r>
      <w:r w:rsidRPr="004E657D">
        <w:fldChar w:fldCharType="end"/>
      </w:r>
      <w:r w:rsidR="00F71A6A" w:rsidRPr="004E657D">
        <w:t>.  Article 41 of the Convention provides:</w:t>
      </w:r>
    </w:p>
    <w:p w:rsidR="00F71A6A" w:rsidRPr="004E657D" w:rsidRDefault="00F71A6A">
      <w:pPr>
        <w:pStyle w:val="JuQuot"/>
        <w:keepNext/>
        <w:keepLines/>
      </w:pPr>
      <w:r w:rsidRPr="004E657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71A6A" w:rsidRPr="000F313B" w:rsidRDefault="004E657D">
      <w:pPr>
        <w:pStyle w:val="JuPara"/>
      </w:pPr>
      <w:r w:rsidRPr="004E657D">
        <w:fldChar w:fldCharType="begin"/>
      </w:r>
      <w:r w:rsidRPr="004E657D">
        <w:instrText xml:space="preserve"> SEQ level0 \*arabic </w:instrText>
      </w:r>
      <w:r w:rsidRPr="004E657D">
        <w:fldChar w:fldCharType="separate"/>
      </w:r>
      <w:r w:rsidR="004373EA">
        <w:rPr>
          <w:noProof/>
        </w:rPr>
        <w:t>115</w:t>
      </w:r>
      <w:r w:rsidRPr="004E657D">
        <w:fldChar w:fldCharType="end"/>
      </w:r>
      <w:r w:rsidR="00F71A6A" w:rsidRPr="004E657D">
        <w:t xml:space="preserve">.  The </w:t>
      </w:r>
      <w:r w:rsidRPr="000F313B">
        <w:t>applicants</w:t>
      </w:r>
      <w:r w:rsidR="00F71A6A" w:rsidRPr="000F313B">
        <w:t xml:space="preserve"> claimed </w:t>
      </w:r>
      <w:r w:rsidR="00C75CFF" w:rsidRPr="000F313B">
        <w:t xml:space="preserve">1,025,970 PLN (approx. </w:t>
      </w:r>
      <w:r w:rsidR="00C75CFF" w:rsidRPr="000F313B">
        <w:rPr>
          <w:bCs/>
        </w:rPr>
        <w:t>248,010</w:t>
      </w:r>
      <w:r w:rsidR="00C75CFF" w:rsidRPr="000F313B">
        <w:t xml:space="preserve"> </w:t>
      </w:r>
      <w:r w:rsidR="00F71A6A" w:rsidRPr="000F313B">
        <w:t>EUR</w:t>
      </w:r>
      <w:r w:rsidR="00C75CFF" w:rsidRPr="000F313B">
        <w:t xml:space="preserve">) </w:t>
      </w:r>
      <w:r w:rsidR="00F71A6A" w:rsidRPr="000F313B">
        <w:t xml:space="preserve">in respect of pecuniary </w:t>
      </w:r>
      <w:r w:rsidR="00CF536C" w:rsidRPr="000F313B">
        <w:t>and non-pecuniary damage</w:t>
      </w:r>
      <w:r w:rsidR="005E7C24">
        <w:t>.</w:t>
      </w:r>
      <w:r w:rsidR="00AF23D0">
        <w:t xml:space="preserve"> They did not claim costs and expenses.</w:t>
      </w:r>
    </w:p>
    <w:p w:rsidR="00A858C1" w:rsidRPr="000F313B" w:rsidRDefault="004E657D">
      <w:pPr>
        <w:pStyle w:val="JuPara"/>
      </w:pPr>
      <w:r w:rsidRPr="000F313B">
        <w:fldChar w:fldCharType="begin"/>
      </w:r>
      <w:r w:rsidRPr="000F313B">
        <w:instrText xml:space="preserve"> SEQ level0 \*arabic </w:instrText>
      </w:r>
      <w:r w:rsidRPr="000F313B">
        <w:fldChar w:fldCharType="separate"/>
      </w:r>
      <w:r w:rsidR="004373EA">
        <w:rPr>
          <w:noProof/>
        </w:rPr>
        <w:t>116</w:t>
      </w:r>
      <w:r w:rsidRPr="000F313B">
        <w:fldChar w:fldCharType="end"/>
      </w:r>
      <w:r w:rsidR="00F71A6A" w:rsidRPr="000F313B">
        <w:t>.  </w:t>
      </w:r>
      <w:r w:rsidR="00A858C1" w:rsidRPr="000F313B">
        <w:t>In the Government</w:t>
      </w:r>
      <w:r w:rsidR="00925F1F">
        <w:t>’</w:t>
      </w:r>
      <w:r w:rsidR="00A858C1" w:rsidRPr="000F313B">
        <w:t>s opinion, the applicants failed to prove</w:t>
      </w:r>
      <w:r w:rsidR="008345CC" w:rsidRPr="000F313B">
        <w:t xml:space="preserve"> a</w:t>
      </w:r>
      <w:r w:rsidR="00A858C1" w:rsidRPr="000F313B">
        <w:t xml:space="preserve"> causal link between the </w:t>
      </w:r>
      <w:r w:rsidR="00AF23D0">
        <w:t xml:space="preserve">alleged pecuniary damage and the </w:t>
      </w:r>
      <w:r w:rsidR="00A858C1" w:rsidRPr="000F313B">
        <w:t>violation</w:t>
      </w:r>
      <w:r w:rsidR="003E2A79" w:rsidRPr="000F313B">
        <w:t xml:space="preserve">s of the Convention and </w:t>
      </w:r>
      <w:r w:rsidR="00AF23D0">
        <w:t>ha</w:t>
      </w:r>
      <w:r w:rsidR="003E2A79" w:rsidRPr="000F313B">
        <w:t>d not substantiate</w:t>
      </w:r>
      <w:r w:rsidR="00AF23D0">
        <w:t>d</w:t>
      </w:r>
      <w:r w:rsidR="003E2A79" w:rsidRPr="000F313B">
        <w:t xml:space="preserve"> their claim.</w:t>
      </w:r>
    </w:p>
    <w:p w:rsidR="00754F67" w:rsidRPr="0071019C" w:rsidRDefault="004E657D" w:rsidP="00101AAC">
      <w:pPr>
        <w:pStyle w:val="JuPara"/>
      </w:pPr>
      <w:r w:rsidRPr="000F313B">
        <w:fldChar w:fldCharType="begin"/>
      </w:r>
      <w:r w:rsidRPr="000F313B">
        <w:instrText xml:space="preserve"> SEQ level0 \*arabic </w:instrText>
      </w:r>
      <w:r w:rsidRPr="000F313B">
        <w:fldChar w:fldCharType="separate"/>
      </w:r>
      <w:r w:rsidR="004373EA">
        <w:rPr>
          <w:noProof/>
        </w:rPr>
        <w:t>117</w:t>
      </w:r>
      <w:r w:rsidRPr="000F313B">
        <w:fldChar w:fldCharType="end"/>
      </w:r>
      <w:r w:rsidR="00F71A6A" w:rsidRPr="000F313B">
        <w:t>.  </w:t>
      </w:r>
      <w:r w:rsidR="00754F67" w:rsidRPr="003A53CA">
        <w:t>In the circumstances of the case and having regard to the parties</w:t>
      </w:r>
      <w:r w:rsidR="00925F1F">
        <w:t>’</w:t>
      </w:r>
      <w:r w:rsidR="00754F67" w:rsidRPr="003A53CA">
        <w:t xml:space="preserve"> submissions, the Court considers that the question of the application of Article 41 of the Convention </w:t>
      </w:r>
      <w:r w:rsidR="00AF23D0">
        <w:t xml:space="preserve">as regards pecuniary and non-pecuniary damage </w:t>
      </w:r>
      <w:r w:rsidR="00754F67" w:rsidRPr="003A53CA">
        <w:t>is not ready for decision and reserves it, due regard being had to the possibility that an agreement between the respondent State and the applicant may be reached (Rule 75 § 1 of the Rules of Court).</w:t>
      </w:r>
    </w:p>
    <w:p w:rsidR="00F71A6A" w:rsidRPr="004E657D" w:rsidRDefault="00605B7E" w:rsidP="00D264D4">
      <w:pPr>
        <w:pStyle w:val="JuHHead"/>
        <w:outlineLvl w:val="0"/>
      </w:pPr>
      <w:r>
        <w:t>FOR THESE REASONS, THE COURT UNANIMOUSLY</w:t>
      </w:r>
    </w:p>
    <w:p w:rsidR="00F71A6A" w:rsidRPr="004E657D" w:rsidRDefault="00F71A6A">
      <w:pPr>
        <w:pStyle w:val="JuList"/>
      </w:pPr>
      <w:r w:rsidRPr="004E657D">
        <w:t>1.  </w:t>
      </w:r>
      <w:r w:rsidR="000275C9" w:rsidRPr="000275C9">
        <w:rPr>
          <w:i/>
        </w:rPr>
        <w:t>Joins</w:t>
      </w:r>
      <w:r w:rsidR="000275C9">
        <w:t xml:space="preserve"> to the merits the Government</w:t>
      </w:r>
      <w:r w:rsidR="00925F1F">
        <w:t>’</w:t>
      </w:r>
      <w:r w:rsidR="000275C9">
        <w:t xml:space="preserve">s preliminary objection based on non-exhaustion of domestic remedies and </w:t>
      </w:r>
      <w:r w:rsidR="000275C9" w:rsidRPr="000275C9">
        <w:rPr>
          <w:i/>
        </w:rPr>
        <w:t>declares</w:t>
      </w:r>
      <w:r w:rsidR="000275C9" w:rsidRPr="004E657D">
        <w:t xml:space="preserve"> </w:t>
      </w:r>
      <w:r w:rsidRPr="004E657D">
        <w:t xml:space="preserve">the </w:t>
      </w:r>
      <w:r w:rsidR="004E657D" w:rsidRPr="004E657D">
        <w:t>application</w:t>
      </w:r>
      <w:r w:rsidRPr="004E657D">
        <w:t xml:space="preserve"> admissible;</w:t>
      </w:r>
    </w:p>
    <w:p w:rsidR="00F71A6A" w:rsidRPr="004E657D" w:rsidRDefault="00F71A6A">
      <w:pPr>
        <w:pStyle w:val="JuList"/>
      </w:pPr>
    </w:p>
    <w:p w:rsidR="00B567A0" w:rsidRPr="004E657D" w:rsidRDefault="000463BF">
      <w:pPr>
        <w:pStyle w:val="JuList"/>
      </w:pPr>
      <w:r>
        <w:t>2</w:t>
      </w:r>
      <w:r w:rsidR="00B567A0">
        <w:t xml:space="preserve">. </w:t>
      </w:r>
      <w:r w:rsidR="00B567A0" w:rsidRPr="004E657D">
        <w:rPr>
          <w:i/>
        </w:rPr>
        <w:t>Holds</w:t>
      </w:r>
      <w:r w:rsidR="00B567A0" w:rsidRPr="004E657D">
        <w:t xml:space="preserve"> that there has been a violation of Article </w:t>
      </w:r>
      <w:r w:rsidR="00B567A0">
        <w:t xml:space="preserve">1 of Protocol No 1 to </w:t>
      </w:r>
      <w:r w:rsidR="00B567A0" w:rsidRPr="004E657D">
        <w:t>the Convention</w:t>
      </w:r>
      <w:r w:rsidR="000275C9">
        <w:t xml:space="preserve"> and </w:t>
      </w:r>
      <w:r w:rsidR="000275C9" w:rsidRPr="000275C9">
        <w:rPr>
          <w:i/>
        </w:rPr>
        <w:t>dismisses</w:t>
      </w:r>
      <w:r w:rsidR="000275C9">
        <w:t xml:space="preserve"> the above-mentioned objection;</w:t>
      </w:r>
    </w:p>
    <w:p w:rsidR="00F71A6A" w:rsidRPr="004E657D" w:rsidRDefault="00F71A6A">
      <w:pPr>
        <w:pStyle w:val="JuList"/>
      </w:pPr>
    </w:p>
    <w:p w:rsidR="00F71A6A" w:rsidRPr="004E657D" w:rsidRDefault="000463BF">
      <w:pPr>
        <w:pStyle w:val="JuList"/>
      </w:pPr>
      <w:r>
        <w:t>3</w:t>
      </w:r>
      <w:r w:rsidR="00F71A6A" w:rsidRPr="004E657D">
        <w:t>.  </w:t>
      </w:r>
      <w:r w:rsidR="00F71A6A" w:rsidRPr="004E657D">
        <w:rPr>
          <w:i/>
        </w:rPr>
        <w:t>Holds</w:t>
      </w:r>
      <w:r w:rsidR="00605B7E">
        <w:t xml:space="preserve"> </w:t>
      </w:r>
      <w:r w:rsidR="00F71A6A" w:rsidRPr="004E657D">
        <w:t xml:space="preserve">that there is no need to examine </w:t>
      </w:r>
      <w:r>
        <w:t xml:space="preserve">separately </w:t>
      </w:r>
      <w:r w:rsidR="00AB38A7">
        <w:t>the applicants</w:t>
      </w:r>
      <w:r w:rsidR="00925F1F">
        <w:t>’</w:t>
      </w:r>
      <w:r w:rsidR="00AB38A7">
        <w:t xml:space="preserve"> </w:t>
      </w:r>
      <w:r w:rsidR="00B567A0">
        <w:t>complaints</w:t>
      </w:r>
      <w:r w:rsidR="00F71A6A" w:rsidRPr="004E657D">
        <w:t xml:space="preserve"> under Article</w:t>
      </w:r>
      <w:r w:rsidR="00B567A0">
        <w:t xml:space="preserve">s 6 and 13 </w:t>
      </w:r>
      <w:r w:rsidR="00F71A6A" w:rsidRPr="004E657D">
        <w:t>of the Convention;</w:t>
      </w:r>
    </w:p>
    <w:p w:rsidR="00F71A6A" w:rsidRDefault="00F71A6A">
      <w:pPr>
        <w:pStyle w:val="JuList"/>
      </w:pPr>
    </w:p>
    <w:p w:rsidR="00754F67" w:rsidRPr="003A53CA" w:rsidRDefault="00754F67" w:rsidP="00754F67">
      <w:pPr>
        <w:pStyle w:val="JuList"/>
        <w:rPr>
          <w:szCs w:val="24"/>
        </w:rPr>
      </w:pPr>
      <w:r w:rsidRPr="003A53CA">
        <w:rPr>
          <w:szCs w:val="24"/>
        </w:rPr>
        <w:t>4.  </w:t>
      </w:r>
      <w:r w:rsidRPr="003A53CA">
        <w:rPr>
          <w:i/>
          <w:szCs w:val="24"/>
        </w:rPr>
        <w:t xml:space="preserve">Holds </w:t>
      </w:r>
      <w:r w:rsidRPr="003A53CA">
        <w:rPr>
          <w:szCs w:val="24"/>
        </w:rPr>
        <w:t xml:space="preserve">that as far as any pecuniary and non-pecuniary damage is concerned, the question of the application of Article </w:t>
      </w:r>
      <w:smartTag w:uri="urn:schemas-microsoft-com:office:smarttags" w:element="PersonName">
        <w:r w:rsidRPr="003A53CA">
          <w:rPr>
            <w:szCs w:val="24"/>
          </w:rPr>
          <w:t>4</w:t>
        </w:r>
      </w:smartTag>
      <w:r w:rsidRPr="003A53CA">
        <w:rPr>
          <w:szCs w:val="24"/>
        </w:rPr>
        <w:t>1 is not rea</w:t>
      </w:r>
      <w:r w:rsidR="00AF23D0">
        <w:rPr>
          <w:szCs w:val="24"/>
        </w:rPr>
        <w:t>dy for decision and accordingly:</w:t>
      </w:r>
    </w:p>
    <w:p w:rsidR="00754F67" w:rsidRPr="003A53CA" w:rsidRDefault="00754F67" w:rsidP="00754F67">
      <w:pPr>
        <w:pStyle w:val="JuLista"/>
        <w:rPr>
          <w:szCs w:val="24"/>
        </w:rPr>
      </w:pPr>
      <w:r w:rsidRPr="003A53CA">
        <w:rPr>
          <w:szCs w:val="24"/>
        </w:rPr>
        <w:t>(a)  </w:t>
      </w:r>
      <w:r w:rsidRPr="003A53CA">
        <w:rPr>
          <w:i/>
          <w:szCs w:val="24"/>
        </w:rPr>
        <w:t>reserves</w:t>
      </w:r>
      <w:r w:rsidRPr="003A53CA">
        <w:rPr>
          <w:szCs w:val="24"/>
        </w:rPr>
        <w:t xml:space="preserve"> the said question;</w:t>
      </w:r>
    </w:p>
    <w:p w:rsidR="00754F67" w:rsidRPr="003A53CA" w:rsidRDefault="00754F67" w:rsidP="00754F67">
      <w:pPr>
        <w:pStyle w:val="JuLista"/>
        <w:rPr>
          <w:szCs w:val="24"/>
        </w:rPr>
      </w:pPr>
      <w:r w:rsidRPr="003A53CA">
        <w:rPr>
          <w:szCs w:val="24"/>
        </w:rPr>
        <w:t>(b)  </w:t>
      </w:r>
      <w:r w:rsidRPr="003A53CA">
        <w:rPr>
          <w:i/>
          <w:szCs w:val="24"/>
        </w:rPr>
        <w:t>invites</w:t>
      </w:r>
      <w:r w:rsidRPr="003A53CA">
        <w:rPr>
          <w:szCs w:val="24"/>
        </w:rPr>
        <w:t xml:space="preserve"> the Government and the applicant</w:t>
      </w:r>
      <w:r w:rsidR="0065727C" w:rsidRPr="003A53CA">
        <w:rPr>
          <w:szCs w:val="24"/>
        </w:rPr>
        <w:t>s</w:t>
      </w:r>
      <w:r w:rsidRPr="003A53CA">
        <w:rPr>
          <w:szCs w:val="24"/>
        </w:rPr>
        <w:t xml:space="preserve"> to submit, within six months from the date on which the judgment becomes final in accordance with Article </w:t>
      </w:r>
      <w:smartTag w:uri="urn:schemas-microsoft-com:office:smarttags" w:element="PersonName">
        <w:r w:rsidRPr="003A53CA">
          <w:rPr>
            <w:szCs w:val="24"/>
          </w:rPr>
          <w:t>4</w:t>
        </w:r>
      </w:smartTag>
      <w:smartTag w:uri="urn:schemas-microsoft-com:office:smarttags" w:element="PersonName">
        <w:r w:rsidRPr="003A53CA">
          <w:rPr>
            <w:szCs w:val="24"/>
          </w:rPr>
          <w:t>4</w:t>
        </w:r>
      </w:smartTag>
      <w:r w:rsidRPr="003A53CA">
        <w:rPr>
          <w:szCs w:val="24"/>
        </w:rPr>
        <w:t> § 2 of the Convention, their written observations on the matter and, in particular, to notify the Court of any agreement that they may reach;</w:t>
      </w:r>
    </w:p>
    <w:p w:rsidR="00754F67" w:rsidRPr="0071019C" w:rsidRDefault="00754F67" w:rsidP="00754F67">
      <w:pPr>
        <w:pStyle w:val="JuLista"/>
        <w:rPr>
          <w:szCs w:val="24"/>
        </w:rPr>
      </w:pPr>
      <w:r w:rsidRPr="003A53CA">
        <w:rPr>
          <w:szCs w:val="24"/>
        </w:rPr>
        <w:t>(c)  </w:t>
      </w:r>
      <w:r w:rsidRPr="003A53CA">
        <w:rPr>
          <w:i/>
          <w:szCs w:val="24"/>
        </w:rPr>
        <w:t>reserves</w:t>
      </w:r>
      <w:r w:rsidRPr="003A53CA">
        <w:rPr>
          <w:szCs w:val="24"/>
        </w:rPr>
        <w:t xml:space="preserve"> the further procedure and </w:t>
      </w:r>
      <w:r w:rsidRPr="003A53CA">
        <w:rPr>
          <w:i/>
          <w:szCs w:val="24"/>
        </w:rPr>
        <w:t>delegates</w:t>
      </w:r>
      <w:r w:rsidRPr="003A53CA">
        <w:rPr>
          <w:szCs w:val="24"/>
        </w:rPr>
        <w:t xml:space="preserve"> to the President of the Chamber the p</w:t>
      </w:r>
      <w:r w:rsidR="0065727C" w:rsidRPr="003A53CA">
        <w:rPr>
          <w:szCs w:val="24"/>
        </w:rPr>
        <w:t>ower to fix the same if need be.</w:t>
      </w:r>
    </w:p>
    <w:p w:rsidR="00325C2B" w:rsidRPr="004E657D" w:rsidRDefault="00F71A6A" w:rsidP="00325C2B">
      <w:pPr>
        <w:pStyle w:val="JuParaLast"/>
      </w:pPr>
      <w:r w:rsidRPr="004E657D">
        <w:t xml:space="preserve">Done in English, and notified in writing on </w:t>
      </w:r>
      <w:r w:rsidR="00605B7E">
        <w:t>7 July 2009</w:t>
      </w:r>
      <w:r w:rsidRPr="004E657D">
        <w:t>, pursuant to Rule</w:t>
      </w:r>
      <w:r w:rsidR="0011665B" w:rsidRPr="004E657D">
        <w:t xml:space="preserve"> </w:t>
      </w:r>
      <w:r w:rsidRPr="004E657D">
        <w:t>77</w:t>
      </w:r>
      <w:r w:rsidR="0011665B" w:rsidRPr="004E657D">
        <w:t xml:space="preserve"> </w:t>
      </w:r>
      <w:r w:rsidRPr="004E657D">
        <w:t>§§</w:t>
      </w:r>
      <w:r w:rsidR="0011665B" w:rsidRPr="004E657D">
        <w:t xml:space="preserve"> </w:t>
      </w:r>
      <w:r w:rsidRPr="004E657D">
        <w:t>2 and</w:t>
      </w:r>
      <w:r w:rsidR="0011665B" w:rsidRPr="004E657D">
        <w:t xml:space="preserve"> </w:t>
      </w:r>
      <w:r w:rsidRPr="004E657D">
        <w:t>3 of the Rules of Court.</w:t>
      </w:r>
    </w:p>
    <w:p w:rsidR="0079187F" w:rsidRDefault="00325C2B" w:rsidP="00C01E1C">
      <w:pPr>
        <w:pStyle w:val="JuSigned"/>
        <w:keepNext/>
        <w:keepLines/>
      </w:pPr>
      <w:r w:rsidRPr="004E657D">
        <w:tab/>
      </w:r>
      <w:smartTag w:uri="urn:schemas-microsoft-com:office:smarttags" w:element="place">
        <w:smartTag w:uri="urn:schemas-microsoft-com:office:smarttags" w:element="City">
          <w:r w:rsidR="004E657D" w:rsidRPr="004E657D">
            <w:t>Lawrence</w:t>
          </w:r>
        </w:smartTag>
      </w:smartTag>
      <w:r w:rsidR="000726F6" w:rsidRPr="004E657D">
        <w:t xml:space="preserve"> </w:t>
      </w:r>
      <w:r w:rsidR="004E657D" w:rsidRPr="004E657D">
        <w:t>Early</w:t>
      </w:r>
      <w:r w:rsidR="000726F6" w:rsidRPr="004E657D">
        <w:tab/>
      </w:r>
      <w:r w:rsidR="004E657D" w:rsidRPr="004E657D">
        <w:t>Nicolas Bratza</w:t>
      </w:r>
      <w:r w:rsidR="000726F6" w:rsidRPr="004E657D">
        <w:br/>
      </w:r>
      <w:r w:rsidR="000726F6" w:rsidRPr="004E657D">
        <w:tab/>
      </w:r>
      <w:r w:rsidR="004E657D" w:rsidRPr="004E657D">
        <w:t>Registrar</w:t>
      </w:r>
      <w:r w:rsidR="000726F6" w:rsidRPr="004E657D">
        <w:tab/>
        <w:t>President</w:t>
      </w:r>
    </w:p>
    <w:sectPr w:rsidR="0079187F" w:rsidSect="00313321">
      <w:headerReference w:type="even" r:id="rId15"/>
      <w:headerReference w:type="default" r:id="rId16"/>
      <w:footnotePr>
        <w:numRestart w:val="eachPage"/>
      </w:footnotePr>
      <w:pgSz w:w="11906" w:h="16838" w:code="9"/>
      <w:pgMar w:top="2274" w:right="2274" w:bottom="1985" w:left="2274" w:header="1701" w:footer="720" w:gutter="0"/>
      <w:pgNumType w:start="1"/>
      <w:cols w:space="720"/>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12D4" w:rsidRDefault="001512D4">
      <w:r>
        <w:separator/>
      </w:r>
    </w:p>
  </w:endnote>
  <w:endnote w:type="continuationSeparator" w:id="0">
    <w:p w:rsidR="001512D4" w:rsidRDefault="00151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 New (W1)">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Default="001512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Default="001512D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Default="001512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12D4" w:rsidRDefault="001512D4">
      <w:r>
        <w:separator/>
      </w:r>
    </w:p>
  </w:footnote>
  <w:footnote w:type="continuationSeparator" w:id="0">
    <w:p w:rsidR="001512D4" w:rsidRDefault="001512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Default="001512D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Pr="00C00F0F" w:rsidRDefault="001512D4">
    <w:pPr>
      <w:pStyle w:val="Header"/>
      <w:jc w:val="center"/>
      <w:rPr>
        <w:sz w:val="4"/>
        <w:szCs w:val="4"/>
      </w:rPr>
    </w:pPr>
    <w:r w:rsidRPr="000624BA">
      <w:rPr>
        <w:sz w:val="4"/>
        <w:szCs w:val="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3pt;height:164.15pt">
          <v:imagedata r:id="rId1" o:title="Transp50DocHeaderBigBlack"/>
        </v:shape>
      </w:pict>
    </w:r>
  </w:p>
  <w:p w:rsidR="001512D4" w:rsidRPr="00313321" w:rsidRDefault="001512D4" w:rsidP="00313321">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Default="001512D4">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Default="001512D4">
    <w:pPr>
      <w:pStyle w:val="JuHeader"/>
    </w:pPr>
    <w:r>
      <w:rPr>
        <w:rStyle w:val="PageNumber"/>
      </w:rPr>
      <w:fldChar w:fldCharType="begin"/>
    </w:r>
    <w:r>
      <w:rPr>
        <w:rStyle w:val="PageNumber"/>
      </w:rPr>
      <w:instrText xml:space="preserve"> PAGE </w:instrText>
    </w:r>
    <w:r>
      <w:rPr>
        <w:rStyle w:val="PageNumber"/>
      </w:rPr>
      <w:fldChar w:fldCharType="separate"/>
    </w:r>
    <w:r w:rsidR="004373EA">
      <w:rPr>
        <w:rStyle w:val="PageNumber"/>
        <w:noProof/>
      </w:rPr>
      <w:t>8</w:t>
    </w:r>
    <w:r>
      <w:rPr>
        <w:rStyle w:val="PageNumber"/>
      </w:rPr>
      <w:fldChar w:fldCharType="end"/>
    </w:r>
    <w:r>
      <w:tab/>
      <w:t xml:space="preserve">PLECHANOW v. </w:t>
    </w:r>
    <w:smartTag w:uri="urn:schemas-microsoft-com:office:smarttags" w:element="place">
      <w:smartTag w:uri="urn:schemas-microsoft-com:office:smarttags" w:element="country-region">
        <w:r>
          <w:t>POLAND</w:t>
        </w:r>
      </w:smartTag>
    </w:smartTag>
    <w:r>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2D4" w:rsidRDefault="001512D4">
    <w:pPr>
      <w:pStyle w:val="JuHeader"/>
    </w:pPr>
    <w:r>
      <w:tab/>
      <w:t xml:space="preserve">PLECHANOW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4373EA">
      <w:rPr>
        <w:rStyle w:val="PageNumber"/>
        <w:noProof/>
      </w:rPr>
      <w:t>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04D68"/>
    <w:multiLevelType w:val="hybridMultilevel"/>
    <w:tmpl w:val="7D7A30A2"/>
    <w:lvl w:ilvl="0" w:tplc="9C4A64FC">
      <w:start w:val="1"/>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1">
    <w:nsid w:val="05C62891"/>
    <w:multiLevelType w:val="hybridMultilevel"/>
    <w:tmpl w:val="3E6AEA3C"/>
    <w:lvl w:ilvl="0" w:tplc="18585FC4">
      <w:start w:val="5"/>
      <w:numFmt w:val="upperRoman"/>
      <w:lvlText w:val="%1."/>
      <w:lvlJc w:val="left"/>
      <w:pPr>
        <w:tabs>
          <w:tab w:val="num" w:pos="1004"/>
        </w:tabs>
        <w:ind w:left="1004" w:hanging="720"/>
      </w:pPr>
      <w:rPr>
        <w:rFonts w:hint="default"/>
      </w:r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2">
    <w:nsid w:val="0E3C4A30"/>
    <w:multiLevelType w:val="hybridMultilevel"/>
    <w:tmpl w:val="B3D4521E"/>
    <w:lvl w:ilvl="0" w:tplc="9C4A64FC">
      <w:start w:val="1"/>
      <w:numFmt w:val="decimal"/>
      <w:lvlText w:val="%1."/>
      <w:lvlJc w:val="left"/>
      <w:pPr>
        <w:tabs>
          <w:tab w:val="num" w:pos="1091"/>
        </w:tabs>
        <w:ind w:left="1091" w:hanging="360"/>
      </w:pPr>
      <w:rPr>
        <w:rFonts w:hint="default"/>
      </w:rPr>
    </w:lvl>
    <w:lvl w:ilvl="1" w:tplc="08090019" w:tentative="1">
      <w:start w:val="1"/>
      <w:numFmt w:val="lowerLetter"/>
      <w:lvlText w:val="%2."/>
      <w:lvlJc w:val="left"/>
      <w:pPr>
        <w:tabs>
          <w:tab w:val="num" w:pos="1740"/>
        </w:tabs>
        <w:ind w:left="1740" w:hanging="360"/>
      </w:pPr>
    </w:lvl>
    <w:lvl w:ilvl="2" w:tplc="0809001B" w:tentative="1">
      <w:start w:val="1"/>
      <w:numFmt w:val="lowerRoman"/>
      <w:lvlText w:val="%3."/>
      <w:lvlJc w:val="right"/>
      <w:pPr>
        <w:tabs>
          <w:tab w:val="num" w:pos="2460"/>
        </w:tabs>
        <w:ind w:left="2460" w:hanging="180"/>
      </w:pPr>
    </w:lvl>
    <w:lvl w:ilvl="3" w:tplc="0809000F" w:tentative="1">
      <w:start w:val="1"/>
      <w:numFmt w:val="decimal"/>
      <w:lvlText w:val="%4."/>
      <w:lvlJc w:val="left"/>
      <w:pPr>
        <w:tabs>
          <w:tab w:val="num" w:pos="3180"/>
        </w:tabs>
        <w:ind w:left="3180" w:hanging="360"/>
      </w:pPr>
    </w:lvl>
    <w:lvl w:ilvl="4" w:tplc="08090019" w:tentative="1">
      <w:start w:val="1"/>
      <w:numFmt w:val="lowerLetter"/>
      <w:lvlText w:val="%5."/>
      <w:lvlJc w:val="left"/>
      <w:pPr>
        <w:tabs>
          <w:tab w:val="num" w:pos="3900"/>
        </w:tabs>
        <w:ind w:left="3900" w:hanging="360"/>
      </w:pPr>
    </w:lvl>
    <w:lvl w:ilvl="5" w:tplc="0809001B" w:tentative="1">
      <w:start w:val="1"/>
      <w:numFmt w:val="lowerRoman"/>
      <w:lvlText w:val="%6."/>
      <w:lvlJc w:val="right"/>
      <w:pPr>
        <w:tabs>
          <w:tab w:val="num" w:pos="4620"/>
        </w:tabs>
        <w:ind w:left="4620" w:hanging="180"/>
      </w:pPr>
    </w:lvl>
    <w:lvl w:ilvl="6" w:tplc="0809000F" w:tentative="1">
      <w:start w:val="1"/>
      <w:numFmt w:val="decimal"/>
      <w:lvlText w:val="%7."/>
      <w:lvlJc w:val="left"/>
      <w:pPr>
        <w:tabs>
          <w:tab w:val="num" w:pos="5340"/>
        </w:tabs>
        <w:ind w:left="5340" w:hanging="360"/>
      </w:pPr>
    </w:lvl>
    <w:lvl w:ilvl="7" w:tplc="08090019" w:tentative="1">
      <w:start w:val="1"/>
      <w:numFmt w:val="lowerLetter"/>
      <w:lvlText w:val="%8."/>
      <w:lvlJc w:val="left"/>
      <w:pPr>
        <w:tabs>
          <w:tab w:val="num" w:pos="6060"/>
        </w:tabs>
        <w:ind w:left="6060" w:hanging="360"/>
      </w:pPr>
    </w:lvl>
    <w:lvl w:ilvl="8" w:tplc="0809001B" w:tentative="1">
      <w:start w:val="1"/>
      <w:numFmt w:val="lowerRoman"/>
      <w:lvlText w:val="%9."/>
      <w:lvlJc w:val="right"/>
      <w:pPr>
        <w:tabs>
          <w:tab w:val="num" w:pos="6780"/>
        </w:tabs>
        <w:ind w:left="6780" w:hanging="180"/>
      </w:pPr>
    </w:lvl>
  </w:abstractNum>
  <w:abstractNum w:abstractNumId="3">
    <w:nsid w:val="0F12452B"/>
    <w:multiLevelType w:val="multilevel"/>
    <w:tmpl w:val="3E6AEA3C"/>
    <w:lvl w:ilvl="0">
      <w:start w:val="5"/>
      <w:numFmt w:val="upperRoman"/>
      <w:lvlText w:val="%1."/>
      <w:lvlJc w:val="left"/>
      <w:pPr>
        <w:tabs>
          <w:tab w:val="num" w:pos="1004"/>
        </w:tabs>
        <w:ind w:left="1004" w:hanging="72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4">
    <w:nsid w:val="10217194"/>
    <w:multiLevelType w:val="multilevel"/>
    <w:tmpl w:val="B7386C34"/>
    <w:lvl w:ilvl="0">
      <w:start w:val="1"/>
      <w:numFmt w:val="lowerLetter"/>
      <w:lvlText w:val="%1)"/>
      <w:lvlJc w:val="left"/>
      <w:pPr>
        <w:tabs>
          <w:tab w:val="num" w:pos="791"/>
        </w:tabs>
        <w:ind w:left="791" w:hanging="360"/>
      </w:pPr>
    </w:lvl>
    <w:lvl w:ilvl="1">
      <w:start w:val="1"/>
      <w:numFmt w:val="lowerRoman"/>
      <w:lvlText w:val="%2."/>
      <w:lvlJc w:val="left"/>
      <w:pPr>
        <w:tabs>
          <w:tab w:val="num" w:pos="1871"/>
        </w:tabs>
        <w:ind w:left="1871" w:hanging="720"/>
      </w:pPr>
      <w:rPr>
        <w:rFonts w:hint="default"/>
      </w:rPr>
    </w:lvl>
    <w:lvl w:ilvl="2">
      <w:start w:val="1"/>
      <w:numFmt w:val="lowerRoman"/>
      <w:lvlText w:val="%3."/>
      <w:lvlJc w:val="right"/>
      <w:pPr>
        <w:tabs>
          <w:tab w:val="num" w:pos="2231"/>
        </w:tabs>
        <w:ind w:left="2231" w:hanging="180"/>
      </w:pPr>
    </w:lvl>
    <w:lvl w:ilvl="3">
      <w:start w:val="1"/>
      <w:numFmt w:val="decimal"/>
      <w:lvlText w:val="%4."/>
      <w:lvlJc w:val="left"/>
      <w:pPr>
        <w:tabs>
          <w:tab w:val="num" w:pos="2951"/>
        </w:tabs>
        <w:ind w:left="2951" w:hanging="360"/>
      </w:pPr>
    </w:lvl>
    <w:lvl w:ilvl="4">
      <w:start w:val="1"/>
      <w:numFmt w:val="lowerLetter"/>
      <w:lvlText w:val="%5."/>
      <w:lvlJc w:val="left"/>
      <w:pPr>
        <w:tabs>
          <w:tab w:val="num" w:pos="3671"/>
        </w:tabs>
        <w:ind w:left="3671" w:hanging="360"/>
      </w:pPr>
    </w:lvl>
    <w:lvl w:ilvl="5">
      <w:start w:val="1"/>
      <w:numFmt w:val="lowerRoman"/>
      <w:lvlText w:val="%6."/>
      <w:lvlJc w:val="right"/>
      <w:pPr>
        <w:tabs>
          <w:tab w:val="num" w:pos="4391"/>
        </w:tabs>
        <w:ind w:left="4391" w:hanging="180"/>
      </w:pPr>
    </w:lvl>
    <w:lvl w:ilvl="6">
      <w:start w:val="1"/>
      <w:numFmt w:val="decimal"/>
      <w:lvlText w:val="%7."/>
      <w:lvlJc w:val="left"/>
      <w:pPr>
        <w:tabs>
          <w:tab w:val="num" w:pos="5111"/>
        </w:tabs>
        <w:ind w:left="5111" w:hanging="360"/>
      </w:pPr>
    </w:lvl>
    <w:lvl w:ilvl="7">
      <w:start w:val="1"/>
      <w:numFmt w:val="lowerLetter"/>
      <w:lvlText w:val="%8."/>
      <w:lvlJc w:val="left"/>
      <w:pPr>
        <w:tabs>
          <w:tab w:val="num" w:pos="5831"/>
        </w:tabs>
        <w:ind w:left="5831" w:hanging="360"/>
      </w:pPr>
    </w:lvl>
    <w:lvl w:ilvl="8">
      <w:start w:val="1"/>
      <w:numFmt w:val="lowerRoman"/>
      <w:lvlText w:val="%9."/>
      <w:lvlJc w:val="right"/>
      <w:pPr>
        <w:tabs>
          <w:tab w:val="num" w:pos="6551"/>
        </w:tabs>
        <w:ind w:left="6551" w:hanging="180"/>
      </w:pPr>
    </w:lvl>
  </w:abstractNum>
  <w:abstractNum w:abstractNumId="5">
    <w:nsid w:val="1D6149DF"/>
    <w:multiLevelType w:val="hybridMultilevel"/>
    <w:tmpl w:val="0774552C"/>
    <w:lvl w:ilvl="0" w:tplc="9C4A64FC">
      <w:start w:val="1"/>
      <w:numFmt w:val="decimal"/>
      <w:lvlText w:val="%1."/>
      <w:lvlJc w:val="left"/>
      <w:pPr>
        <w:tabs>
          <w:tab w:val="num" w:pos="717"/>
        </w:tabs>
        <w:ind w:left="717" w:hanging="360"/>
      </w:pPr>
      <w:rPr>
        <w:rFonts w:hint="default"/>
      </w:rPr>
    </w:lvl>
    <w:lvl w:ilvl="1" w:tplc="08090019" w:tentative="1">
      <w:start w:val="1"/>
      <w:numFmt w:val="lowerLetter"/>
      <w:lvlText w:val="%2."/>
      <w:lvlJc w:val="left"/>
      <w:pPr>
        <w:tabs>
          <w:tab w:val="num" w:pos="1437"/>
        </w:tabs>
        <w:ind w:left="1437" w:hanging="360"/>
      </w:pPr>
    </w:lvl>
    <w:lvl w:ilvl="2" w:tplc="0809001B" w:tentative="1">
      <w:start w:val="1"/>
      <w:numFmt w:val="lowerRoman"/>
      <w:lvlText w:val="%3."/>
      <w:lvlJc w:val="right"/>
      <w:pPr>
        <w:tabs>
          <w:tab w:val="num" w:pos="2157"/>
        </w:tabs>
        <w:ind w:left="2157" w:hanging="180"/>
      </w:pPr>
    </w:lvl>
    <w:lvl w:ilvl="3" w:tplc="0809000F" w:tentative="1">
      <w:start w:val="1"/>
      <w:numFmt w:val="decimal"/>
      <w:lvlText w:val="%4."/>
      <w:lvlJc w:val="left"/>
      <w:pPr>
        <w:tabs>
          <w:tab w:val="num" w:pos="2877"/>
        </w:tabs>
        <w:ind w:left="2877" w:hanging="360"/>
      </w:pPr>
    </w:lvl>
    <w:lvl w:ilvl="4" w:tplc="08090019" w:tentative="1">
      <w:start w:val="1"/>
      <w:numFmt w:val="lowerLetter"/>
      <w:lvlText w:val="%5."/>
      <w:lvlJc w:val="left"/>
      <w:pPr>
        <w:tabs>
          <w:tab w:val="num" w:pos="3597"/>
        </w:tabs>
        <w:ind w:left="3597" w:hanging="360"/>
      </w:pPr>
    </w:lvl>
    <w:lvl w:ilvl="5" w:tplc="0809001B" w:tentative="1">
      <w:start w:val="1"/>
      <w:numFmt w:val="lowerRoman"/>
      <w:lvlText w:val="%6."/>
      <w:lvlJc w:val="right"/>
      <w:pPr>
        <w:tabs>
          <w:tab w:val="num" w:pos="4317"/>
        </w:tabs>
        <w:ind w:left="4317" w:hanging="180"/>
      </w:pPr>
    </w:lvl>
    <w:lvl w:ilvl="6" w:tplc="0809000F" w:tentative="1">
      <w:start w:val="1"/>
      <w:numFmt w:val="decimal"/>
      <w:lvlText w:val="%7."/>
      <w:lvlJc w:val="left"/>
      <w:pPr>
        <w:tabs>
          <w:tab w:val="num" w:pos="5037"/>
        </w:tabs>
        <w:ind w:left="5037" w:hanging="360"/>
      </w:pPr>
    </w:lvl>
    <w:lvl w:ilvl="7" w:tplc="08090019" w:tentative="1">
      <w:start w:val="1"/>
      <w:numFmt w:val="lowerLetter"/>
      <w:lvlText w:val="%8."/>
      <w:lvlJc w:val="left"/>
      <w:pPr>
        <w:tabs>
          <w:tab w:val="num" w:pos="5757"/>
        </w:tabs>
        <w:ind w:left="5757" w:hanging="360"/>
      </w:pPr>
    </w:lvl>
    <w:lvl w:ilvl="8" w:tplc="0809001B" w:tentative="1">
      <w:start w:val="1"/>
      <w:numFmt w:val="lowerRoman"/>
      <w:lvlText w:val="%9."/>
      <w:lvlJc w:val="right"/>
      <w:pPr>
        <w:tabs>
          <w:tab w:val="num" w:pos="6477"/>
        </w:tabs>
        <w:ind w:left="6477" w:hanging="180"/>
      </w:pPr>
    </w:lvl>
  </w:abstractNum>
  <w:abstractNum w:abstractNumId="6">
    <w:nsid w:val="21160F04"/>
    <w:multiLevelType w:val="hybridMultilevel"/>
    <w:tmpl w:val="82464686"/>
    <w:lvl w:ilvl="0" w:tplc="2E388D02">
      <w:start w:val="1"/>
      <w:numFmt w:val="upperRoman"/>
      <w:lvlText w:val="%1."/>
      <w:lvlJc w:val="left"/>
      <w:pPr>
        <w:tabs>
          <w:tab w:val="num" w:pos="720"/>
        </w:tabs>
        <w:ind w:left="72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6D85B31"/>
    <w:multiLevelType w:val="hybridMultilevel"/>
    <w:tmpl w:val="434E5F8C"/>
    <w:lvl w:ilvl="0" w:tplc="9C4A64FC">
      <w:start w:val="1"/>
      <w:numFmt w:val="decimal"/>
      <w:lvlText w:val="%1."/>
      <w:lvlJc w:val="left"/>
      <w:pPr>
        <w:tabs>
          <w:tab w:val="num" w:pos="644"/>
        </w:tabs>
        <w:ind w:left="644" w:hanging="360"/>
      </w:pPr>
      <w:rPr>
        <w:rFonts w:hint="default"/>
      </w:rPr>
    </w:lvl>
    <w:lvl w:ilvl="1" w:tplc="08090019" w:tentative="1">
      <w:start w:val="1"/>
      <w:numFmt w:val="lowerLetter"/>
      <w:lvlText w:val="%2."/>
      <w:lvlJc w:val="left"/>
      <w:pPr>
        <w:tabs>
          <w:tab w:val="num" w:pos="1293"/>
        </w:tabs>
        <w:ind w:left="1293" w:hanging="360"/>
      </w:pPr>
    </w:lvl>
    <w:lvl w:ilvl="2" w:tplc="0809001B" w:tentative="1">
      <w:start w:val="1"/>
      <w:numFmt w:val="lowerRoman"/>
      <w:lvlText w:val="%3."/>
      <w:lvlJc w:val="right"/>
      <w:pPr>
        <w:tabs>
          <w:tab w:val="num" w:pos="2013"/>
        </w:tabs>
        <w:ind w:left="2013" w:hanging="180"/>
      </w:pPr>
    </w:lvl>
    <w:lvl w:ilvl="3" w:tplc="0809000F" w:tentative="1">
      <w:start w:val="1"/>
      <w:numFmt w:val="decimal"/>
      <w:lvlText w:val="%4."/>
      <w:lvlJc w:val="left"/>
      <w:pPr>
        <w:tabs>
          <w:tab w:val="num" w:pos="2733"/>
        </w:tabs>
        <w:ind w:left="2733" w:hanging="360"/>
      </w:pPr>
    </w:lvl>
    <w:lvl w:ilvl="4" w:tplc="08090019" w:tentative="1">
      <w:start w:val="1"/>
      <w:numFmt w:val="lowerLetter"/>
      <w:lvlText w:val="%5."/>
      <w:lvlJc w:val="left"/>
      <w:pPr>
        <w:tabs>
          <w:tab w:val="num" w:pos="3453"/>
        </w:tabs>
        <w:ind w:left="3453" w:hanging="360"/>
      </w:pPr>
    </w:lvl>
    <w:lvl w:ilvl="5" w:tplc="0809001B" w:tentative="1">
      <w:start w:val="1"/>
      <w:numFmt w:val="lowerRoman"/>
      <w:lvlText w:val="%6."/>
      <w:lvlJc w:val="right"/>
      <w:pPr>
        <w:tabs>
          <w:tab w:val="num" w:pos="4173"/>
        </w:tabs>
        <w:ind w:left="4173" w:hanging="180"/>
      </w:pPr>
    </w:lvl>
    <w:lvl w:ilvl="6" w:tplc="0809000F" w:tentative="1">
      <w:start w:val="1"/>
      <w:numFmt w:val="decimal"/>
      <w:lvlText w:val="%7."/>
      <w:lvlJc w:val="left"/>
      <w:pPr>
        <w:tabs>
          <w:tab w:val="num" w:pos="4893"/>
        </w:tabs>
        <w:ind w:left="4893" w:hanging="360"/>
      </w:pPr>
    </w:lvl>
    <w:lvl w:ilvl="7" w:tplc="08090019" w:tentative="1">
      <w:start w:val="1"/>
      <w:numFmt w:val="lowerLetter"/>
      <w:lvlText w:val="%8."/>
      <w:lvlJc w:val="left"/>
      <w:pPr>
        <w:tabs>
          <w:tab w:val="num" w:pos="5613"/>
        </w:tabs>
        <w:ind w:left="5613" w:hanging="360"/>
      </w:pPr>
    </w:lvl>
    <w:lvl w:ilvl="8" w:tplc="0809001B" w:tentative="1">
      <w:start w:val="1"/>
      <w:numFmt w:val="lowerRoman"/>
      <w:lvlText w:val="%9."/>
      <w:lvlJc w:val="right"/>
      <w:pPr>
        <w:tabs>
          <w:tab w:val="num" w:pos="6333"/>
        </w:tabs>
        <w:ind w:left="6333" w:hanging="180"/>
      </w:pPr>
    </w:lvl>
  </w:abstractNum>
  <w:abstractNum w:abstractNumId="8">
    <w:nsid w:val="29724296"/>
    <w:multiLevelType w:val="hybridMultilevel"/>
    <w:tmpl w:val="6F4C2CE2"/>
    <w:lvl w:ilvl="0" w:tplc="2E388D02">
      <w:start w:val="1"/>
      <w:numFmt w:val="upperRoman"/>
      <w:lvlText w:val="%1."/>
      <w:lvlJc w:val="left"/>
      <w:pPr>
        <w:tabs>
          <w:tab w:val="num" w:pos="1151"/>
        </w:tabs>
        <w:ind w:left="1151" w:hanging="720"/>
      </w:pPr>
      <w:rPr>
        <w:rFonts w:hint="default"/>
      </w:rPr>
    </w:lvl>
    <w:lvl w:ilvl="1" w:tplc="08090019" w:tentative="1">
      <w:start w:val="1"/>
      <w:numFmt w:val="lowerLetter"/>
      <w:lvlText w:val="%2."/>
      <w:lvlJc w:val="left"/>
      <w:pPr>
        <w:tabs>
          <w:tab w:val="num" w:pos="1871"/>
        </w:tabs>
        <w:ind w:left="1871" w:hanging="360"/>
      </w:pPr>
    </w:lvl>
    <w:lvl w:ilvl="2" w:tplc="0809001B" w:tentative="1">
      <w:start w:val="1"/>
      <w:numFmt w:val="lowerRoman"/>
      <w:lvlText w:val="%3."/>
      <w:lvlJc w:val="right"/>
      <w:pPr>
        <w:tabs>
          <w:tab w:val="num" w:pos="2591"/>
        </w:tabs>
        <w:ind w:left="2591" w:hanging="180"/>
      </w:pPr>
    </w:lvl>
    <w:lvl w:ilvl="3" w:tplc="0809000F" w:tentative="1">
      <w:start w:val="1"/>
      <w:numFmt w:val="decimal"/>
      <w:lvlText w:val="%4."/>
      <w:lvlJc w:val="left"/>
      <w:pPr>
        <w:tabs>
          <w:tab w:val="num" w:pos="3311"/>
        </w:tabs>
        <w:ind w:left="3311" w:hanging="360"/>
      </w:pPr>
    </w:lvl>
    <w:lvl w:ilvl="4" w:tplc="08090019" w:tentative="1">
      <w:start w:val="1"/>
      <w:numFmt w:val="lowerLetter"/>
      <w:lvlText w:val="%5."/>
      <w:lvlJc w:val="left"/>
      <w:pPr>
        <w:tabs>
          <w:tab w:val="num" w:pos="4031"/>
        </w:tabs>
        <w:ind w:left="4031" w:hanging="360"/>
      </w:pPr>
    </w:lvl>
    <w:lvl w:ilvl="5" w:tplc="0809001B" w:tentative="1">
      <w:start w:val="1"/>
      <w:numFmt w:val="lowerRoman"/>
      <w:lvlText w:val="%6."/>
      <w:lvlJc w:val="right"/>
      <w:pPr>
        <w:tabs>
          <w:tab w:val="num" w:pos="4751"/>
        </w:tabs>
        <w:ind w:left="4751" w:hanging="180"/>
      </w:pPr>
    </w:lvl>
    <w:lvl w:ilvl="6" w:tplc="0809000F" w:tentative="1">
      <w:start w:val="1"/>
      <w:numFmt w:val="decimal"/>
      <w:lvlText w:val="%7."/>
      <w:lvlJc w:val="left"/>
      <w:pPr>
        <w:tabs>
          <w:tab w:val="num" w:pos="5471"/>
        </w:tabs>
        <w:ind w:left="5471" w:hanging="360"/>
      </w:pPr>
    </w:lvl>
    <w:lvl w:ilvl="7" w:tplc="08090019" w:tentative="1">
      <w:start w:val="1"/>
      <w:numFmt w:val="lowerLetter"/>
      <w:lvlText w:val="%8."/>
      <w:lvlJc w:val="left"/>
      <w:pPr>
        <w:tabs>
          <w:tab w:val="num" w:pos="6191"/>
        </w:tabs>
        <w:ind w:left="6191" w:hanging="360"/>
      </w:pPr>
    </w:lvl>
    <w:lvl w:ilvl="8" w:tplc="0809001B" w:tentative="1">
      <w:start w:val="1"/>
      <w:numFmt w:val="lowerRoman"/>
      <w:lvlText w:val="%9."/>
      <w:lvlJc w:val="right"/>
      <w:pPr>
        <w:tabs>
          <w:tab w:val="num" w:pos="6911"/>
        </w:tabs>
        <w:ind w:left="6911" w:hanging="180"/>
      </w:pPr>
    </w:lvl>
  </w:abstractNum>
  <w:abstractNum w:abstractNumId="9">
    <w:nsid w:val="2A99778D"/>
    <w:multiLevelType w:val="hybridMultilevel"/>
    <w:tmpl w:val="A2648560"/>
    <w:lvl w:ilvl="0" w:tplc="2E388D02">
      <w:start w:val="1"/>
      <w:numFmt w:val="upperRoman"/>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nsid w:val="2BEA6402"/>
    <w:multiLevelType w:val="hybridMultilevel"/>
    <w:tmpl w:val="6C12601C"/>
    <w:lvl w:ilvl="0" w:tplc="44D63850">
      <w:start w:val="1"/>
      <w:numFmt w:val="upperRoman"/>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nsid w:val="2E787EEF"/>
    <w:multiLevelType w:val="hybridMultilevel"/>
    <w:tmpl w:val="9C005414"/>
    <w:lvl w:ilvl="0" w:tplc="9C4A64FC">
      <w:start w:val="1"/>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12">
    <w:nsid w:val="420877A7"/>
    <w:multiLevelType w:val="multilevel"/>
    <w:tmpl w:val="82464686"/>
    <w:lvl w:ilvl="0">
      <w:start w:val="1"/>
      <w:numFmt w:val="upperRoman"/>
      <w:lvlText w:val="%1."/>
      <w:lvlJc w:val="left"/>
      <w:pPr>
        <w:tabs>
          <w:tab w:val="num" w:pos="720"/>
        </w:tabs>
        <w:ind w:left="7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7345849"/>
    <w:multiLevelType w:val="hybridMultilevel"/>
    <w:tmpl w:val="47645D7C"/>
    <w:lvl w:ilvl="0" w:tplc="18585FC4">
      <w:start w:val="5"/>
      <w:numFmt w:val="upperRoman"/>
      <w:lvlText w:val="%1."/>
      <w:lvlJc w:val="left"/>
      <w:pPr>
        <w:tabs>
          <w:tab w:val="num" w:pos="1077"/>
        </w:tabs>
        <w:ind w:left="1077" w:hanging="720"/>
      </w:pPr>
      <w:rPr>
        <w:rFonts w:hint="default"/>
      </w:rPr>
    </w:lvl>
    <w:lvl w:ilvl="1" w:tplc="08090019" w:tentative="1">
      <w:start w:val="1"/>
      <w:numFmt w:val="lowerLetter"/>
      <w:lvlText w:val="%2."/>
      <w:lvlJc w:val="left"/>
      <w:pPr>
        <w:tabs>
          <w:tab w:val="num" w:pos="1437"/>
        </w:tabs>
        <w:ind w:left="1437" w:hanging="360"/>
      </w:pPr>
    </w:lvl>
    <w:lvl w:ilvl="2" w:tplc="0809001B" w:tentative="1">
      <w:start w:val="1"/>
      <w:numFmt w:val="lowerRoman"/>
      <w:lvlText w:val="%3."/>
      <w:lvlJc w:val="right"/>
      <w:pPr>
        <w:tabs>
          <w:tab w:val="num" w:pos="2157"/>
        </w:tabs>
        <w:ind w:left="2157" w:hanging="180"/>
      </w:pPr>
    </w:lvl>
    <w:lvl w:ilvl="3" w:tplc="0809000F" w:tentative="1">
      <w:start w:val="1"/>
      <w:numFmt w:val="decimal"/>
      <w:lvlText w:val="%4."/>
      <w:lvlJc w:val="left"/>
      <w:pPr>
        <w:tabs>
          <w:tab w:val="num" w:pos="2877"/>
        </w:tabs>
        <w:ind w:left="2877" w:hanging="360"/>
      </w:pPr>
    </w:lvl>
    <w:lvl w:ilvl="4" w:tplc="08090019" w:tentative="1">
      <w:start w:val="1"/>
      <w:numFmt w:val="lowerLetter"/>
      <w:lvlText w:val="%5."/>
      <w:lvlJc w:val="left"/>
      <w:pPr>
        <w:tabs>
          <w:tab w:val="num" w:pos="3597"/>
        </w:tabs>
        <w:ind w:left="3597" w:hanging="360"/>
      </w:pPr>
    </w:lvl>
    <w:lvl w:ilvl="5" w:tplc="0809001B" w:tentative="1">
      <w:start w:val="1"/>
      <w:numFmt w:val="lowerRoman"/>
      <w:lvlText w:val="%6."/>
      <w:lvlJc w:val="right"/>
      <w:pPr>
        <w:tabs>
          <w:tab w:val="num" w:pos="4317"/>
        </w:tabs>
        <w:ind w:left="4317" w:hanging="180"/>
      </w:pPr>
    </w:lvl>
    <w:lvl w:ilvl="6" w:tplc="0809000F" w:tentative="1">
      <w:start w:val="1"/>
      <w:numFmt w:val="decimal"/>
      <w:lvlText w:val="%7."/>
      <w:lvlJc w:val="left"/>
      <w:pPr>
        <w:tabs>
          <w:tab w:val="num" w:pos="5037"/>
        </w:tabs>
        <w:ind w:left="5037" w:hanging="360"/>
      </w:pPr>
    </w:lvl>
    <w:lvl w:ilvl="7" w:tplc="08090019" w:tentative="1">
      <w:start w:val="1"/>
      <w:numFmt w:val="lowerLetter"/>
      <w:lvlText w:val="%8."/>
      <w:lvlJc w:val="left"/>
      <w:pPr>
        <w:tabs>
          <w:tab w:val="num" w:pos="5757"/>
        </w:tabs>
        <w:ind w:left="5757" w:hanging="360"/>
      </w:pPr>
    </w:lvl>
    <w:lvl w:ilvl="8" w:tplc="0809001B" w:tentative="1">
      <w:start w:val="1"/>
      <w:numFmt w:val="lowerRoman"/>
      <w:lvlText w:val="%9."/>
      <w:lvlJc w:val="right"/>
      <w:pPr>
        <w:tabs>
          <w:tab w:val="num" w:pos="6477"/>
        </w:tabs>
        <w:ind w:left="6477" w:hanging="180"/>
      </w:pPr>
    </w:lvl>
  </w:abstractNum>
  <w:abstractNum w:abstractNumId="14">
    <w:nsid w:val="49057E98"/>
    <w:multiLevelType w:val="multilevel"/>
    <w:tmpl w:val="7D7A30A2"/>
    <w:lvl w:ilvl="0">
      <w:start w:val="1"/>
      <w:numFmt w:val="decimal"/>
      <w:lvlText w:val="%1."/>
      <w:lvlJc w:val="left"/>
      <w:pPr>
        <w:tabs>
          <w:tab w:val="num" w:pos="791"/>
        </w:tabs>
        <w:ind w:left="791" w:hanging="360"/>
      </w:pPr>
      <w:rPr>
        <w:rFonts w:hint="default"/>
      </w:rPr>
    </w:lvl>
    <w:lvl w:ilvl="1">
      <w:start w:val="1"/>
      <w:numFmt w:val="lowerLetter"/>
      <w:lvlText w:val="%2."/>
      <w:lvlJc w:val="left"/>
      <w:pPr>
        <w:tabs>
          <w:tab w:val="num" w:pos="1511"/>
        </w:tabs>
        <w:ind w:left="1511" w:hanging="360"/>
      </w:pPr>
    </w:lvl>
    <w:lvl w:ilvl="2">
      <w:start w:val="1"/>
      <w:numFmt w:val="lowerRoman"/>
      <w:lvlText w:val="%3."/>
      <w:lvlJc w:val="right"/>
      <w:pPr>
        <w:tabs>
          <w:tab w:val="num" w:pos="2231"/>
        </w:tabs>
        <w:ind w:left="2231" w:hanging="180"/>
      </w:pPr>
    </w:lvl>
    <w:lvl w:ilvl="3">
      <w:start w:val="1"/>
      <w:numFmt w:val="decimal"/>
      <w:lvlText w:val="%4."/>
      <w:lvlJc w:val="left"/>
      <w:pPr>
        <w:tabs>
          <w:tab w:val="num" w:pos="2951"/>
        </w:tabs>
        <w:ind w:left="2951" w:hanging="360"/>
      </w:pPr>
    </w:lvl>
    <w:lvl w:ilvl="4">
      <w:start w:val="1"/>
      <w:numFmt w:val="lowerLetter"/>
      <w:lvlText w:val="%5."/>
      <w:lvlJc w:val="left"/>
      <w:pPr>
        <w:tabs>
          <w:tab w:val="num" w:pos="3671"/>
        </w:tabs>
        <w:ind w:left="3671" w:hanging="360"/>
      </w:pPr>
    </w:lvl>
    <w:lvl w:ilvl="5">
      <w:start w:val="1"/>
      <w:numFmt w:val="lowerRoman"/>
      <w:lvlText w:val="%6."/>
      <w:lvlJc w:val="right"/>
      <w:pPr>
        <w:tabs>
          <w:tab w:val="num" w:pos="4391"/>
        </w:tabs>
        <w:ind w:left="4391" w:hanging="180"/>
      </w:pPr>
    </w:lvl>
    <w:lvl w:ilvl="6">
      <w:start w:val="1"/>
      <w:numFmt w:val="decimal"/>
      <w:lvlText w:val="%7."/>
      <w:lvlJc w:val="left"/>
      <w:pPr>
        <w:tabs>
          <w:tab w:val="num" w:pos="5111"/>
        </w:tabs>
        <w:ind w:left="5111" w:hanging="360"/>
      </w:pPr>
    </w:lvl>
    <w:lvl w:ilvl="7">
      <w:start w:val="1"/>
      <w:numFmt w:val="lowerLetter"/>
      <w:lvlText w:val="%8."/>
      <w:lvlJc w:val="left"/>
      <w:pPr>
        <w:tabs>
          <w:tab w:val="num" w:pos="5831"/>
        </w:tabs>
        <w:ind w:left="5831" w:hanging="360"/>
      </w:pPr>
    </w:lvl>
    <w:lvl w:ilvl="8">
      <w:start w:val="1"/>
      <w:numFmt w:val="lowerRoman"/>
      <w:lvlText w:val="%9."/>
      <w:lvlJc w:val="right"/>
      <w:pPr>
        <w:tabs>
          <w:tab w:val="num" w:pos="6551"/>
        </w:tabs>
        <w:ind w:left="6551" w:hanging="180"/>
      </w:pPr>
    </w:lvl>
  </w:abstractNum>
  <w:abstractNum w:abstractNumId="15">
    <w:nsid w:val="4A060DBC"/>
    <w:multiLevelType w:val="hybridMultilevel"/>
    <w:tmpl w:val="7C1CCDF8"/>
    <w:lvl w:ilvl="0" w:tplc="0809000F">
      <w:start w:val="1"/>
      <w:numFmt w:val="decimal"/>
      <w:lvlText w:val="%1."/>
      <w:lvlJc w:val="left"/>
      <w:pPr>
        <w:tabs>
          <w:tab w:val="num" w:pos="644"/>
        </w:tabs>
        <w:ind w:left="644" w:hanging="360"/>
      </w:pPr>
    </w:lvl>
    <w:lvl w:ilvl="1" w:tplc="08090019" w:tentative="1">
      <w:start w:val="1"/>
      <w:numFmt w:val="lowerLetter"/>
      <w:lvlText w:val="%2."/>
      <w:lvlJc w:val="left"/>
      <w:pPr>
        <w:tabs>
          <w:tab w:val="num" w:pos="1364"/>
        </w:tabs>
        <w:ind w:left="1364" w:hanging="360"/>
      </w:pPr>
    </w:lvl>
    <w:lvl w:ilvl="2" w:tplc="0809001B" w:tentative="1">
      <w:start w:val="1"/>
      <w:numFmt w:val="lowerRoman"/>
      <w:lvlText w:val="%3."/>
      <w:lvlJc w:val="right"/>
      <w:pPr>
        <w:tabs>
          <w:tab w:val="num" w:pos="2084"/>
        </w:tabs>
        <w:ind w:left="2084" w:hanging="180"/>
      </w:pPr>
    </w:lvl>
    <w:lvl w:ilvl="3" w:tplc="0809000F" w:tentative="1">
      <w:start w:val="1"/>
      <w:numFmt w:val="decimal"/>
      <w:lvlText w:val="%4."/>
      <w:lvlJc w:val="left"/>
      <w:pPr>
        <w:tabs>
          <w:tab w:val="num" w:pos="2804"/>
        </w:tabs>
        <w:ind w:left="2804" w:hanging="360"/>
      </w:pPr>
    </w:lvl>
    <w:lvl w:ilvl="4" w:tplc="08090019" w:tentative="1">
      <w:start w:val="1"/>
      <w:numFmt w:val="lowerLetter"/>
      <w:lvlText w:val="%5."/>
      <w:lvlJc w:val="left"/>
      <w:pPr>
        <w:tabs>
          <w:tab w:val="num" w:pos="3524"/>
        </w:tabs>
        <w:ind w:left="3524" w:hanging="360"/>
      </w:pPr>
    </w:lvl>
    <w:lvl w:ilvl="5" w:tplc="0809001B" w:tentative="1">
      <w:start w:val="1"/>
      <w:numFmt w:val="lowerRoman"/>
      <w:lvlText w:val="%6."/>
      <w:lvlJc w:val="right"/>
      <w:pPr>
        <w:tabs>
          <w:tab w:val="num" w:pos="4244"/>
        </w:tabs>
        <w:ind w:left="4244" w:hanging="180"/>
      </w:pPr>
    </w:lvl>
    <w:lvl w:ilvl="6" w:tplc="0809000F" w:tentative="1">
      <w:start w:val="1"/>
      <w:numFmt w:val="decimal"/>
      <w:lvlText w:val="%7."/>
      <w:lvlJc w:val="left"/>
      <w:pPr>
        <w:tabs>
          <w:tab w:val="num" w:pos="4964"/>
        </w:tabs>
        <w:ind w:left="4964" w:hanging="360"/>
      </w:pPr>
    </w:lvl>
    <w:lvl w:ilvl="7" w:tplc="08090019" w:tentative="1">
      <w:start w:val="1"/>
      <w:numFmt w:val="lowerLetter"/>
      <w:lvlText w:val="%8."/>
      <w:lvlJc w:val="left"/>
      <w:pPr>
        <w:tabs>
          <w:tab w:val="num" w:pos="5684"/>
        </w:tabs>
        <w:ind w:left="5684" w:hanging="360"/>
      </w:pPr>
    </w:lvl>
    <w:lvl w:ilvl="8" w:tplc="0809001B" w:tentative="1">
      <w:start w:val="1"/>
      <w:numFmt w:val="lowerRoman"/>
      <w:lvlText w:val="%9."/>
      <w:lvlJc w:val="right"/>
      <w:pPr>
        <w:tabs>
          <w:tab w:val="num" w:pos="6404"/>
        </w:tabs>
        <w:ind w:left="6404" w:hanging="180"/>
      </w:pPr>
    </w:lvl>
  </w:abstractNum>
  <w:abstractNum w:abstractNumId="16">
    <w:nsid w:val="4E206520"/>
    <w:multiLevelType w:val="hybridMultilevel"/>
    <w:tmpl w:val="8356ED1A"/>
    <w:lvl w:ilvl="0" w:tplc="44D63850">
      <w:start w:val="1"/>
      <w:numFmt w:val="upperRoman"/>
      <w:lvlText w:val="%1."/>
      <w:lvlJc w:val="left"/>
      <w:pPr>
        <w:tabs>
          <w:tab w:val="num" w:pos="1077"/>
        </w:tabs>
        <w:ind w:left="1077" w:hanging="720"/>
      </w:pPr>
      <w:rPr>
        <w:rFonts w:hint="default"/>
      </w:rPr>
    </w:lvl>
    <w:lvl w:ilvl="1" w:tplc="08090019" w:tentative="1">
      <w:start w:val="1"/>
      <w:numFmt w:val="lowerLetter"/>
      <w:lvlText w:val="%2."/>
      <w:lvlJc w:val="left"/>
      <w:pPr>
        <w:tabs>
          <w:tab w:val="num" w:pos="1797"/>
        </w:tabs>
        <w:ind w:left="1797" w:hanging="360"/>
      </w:pPr>
    </w:lvl>
    <w:lvl w:ilvl="2" w:tplc="0809001B" w:tentative="1">
      <w:start w:val="1"/>
      <w:numFmt w:val="lowerRoman"/>
      <w:lvlText w:val="%3."/>
      <w:lvlJc w:val="right"/>
      <w:pPr>
        <w:tabs>
          <w:tab w:val="num" w:pos="2517"/>
        </w:tabs>
        <w:ind w:left="2517" w:hanging="180"/>
      </w:pPr>
    </w:lvl>
    <w:lvl w:ilvl="3" w:tplc="0809000F" w:tentative="1">
      <w:start w:val="1"/>
      <w:numFmt w:val="decimal"/>
      <w:lvlText w:val="%4."/>
      <w:lvlJc w:val="left"/>
      <w:pPr>
        <w:tabs>
          <w:tab w:val="num" w:pos="3237"/>
        </w:tabs>
        <w:ind w:left="3237" w:hanging="360"/>
      </w:pPr>
    </w:lvl>
    <w:lvl w:ilvl="4" w:tplc="08090019" w:tentative="1">
      <w:start w:val="1"/>
      <w:numFmt w:val="lowerLetter"/>
      <w:lvlText w:val="%5."/>
      <w:lvlJc w:val="left"/>
      <w:pPr>
        <w:tabs>
          <w:tab w:val="num" w:pos="3957"/>
        </w:tabs>
        <w:ind w:left="3957" w:hanging="360"/>
      </w:pPr>
    </w:lvl>
    <w:lvl w:ilvl="5" w:tplc="0809001B" w:tentative="1">
      <w:start w:val="1"/>
      <w:numFmt w:val="lowerRoman"/>
      <w:lvlText w:val="%6."/>
      <w:lvlJc w:val="right"/>
      <w:pPr>
        <w:tabs>
          <w:tab w:val="num" w:pos="4677"/>
        </w:tabs>
        <w:ind w:left="4677" w:hanging="180"/>
      </w:pPr>
    </w:lvl>
    <w:lvl w:ilvl="6" w:tplc="0809000F" w:tentative="1">
      <w:start w:val="1"/>
      <w:numFmt w:val="decimal"/>
      <w:lvlText w:val="%7."/>
      <w:lvlJc w:val="left"/>
      <w:pPr>
        <w:tabs>
          <w:tab w:val="num" w:pos="5397"/>
        </w:tabs>
        <w:ind w:left="5397" w:hanging="360"/>
      </w:pPr>
    </w:lvl>
    <w:lvl w:ilvl="7" w:tplc="08090019" w:tentative="1">
      <w:start w:val="1"/>
      <w:numFmt w:val="lowerLetter"/>
      <w:lvlText w:val="%8."/>
      <w:lvlJc w:val="left"/>
      <w:pPr>
        <w:tabs>
          <w:tab w:val="num" w:pos="6117"/>
        </w:tabs>
        <w:ind w:left="6117" w:hanging="360"/>
      </w:pPr>
    </w:lvl>
    <w:lvl w:ilvl="8" w:tplc="0809001B" w:tentative="1">
      <w:start w:val="1"/>
      <w:numFmt w:val="lowerRoman"/>
      <w:lvlText w:val="%9."/>
      <w:lvlJc w:val="right"/>
      <w:pPr>
        <w:tabs>
          <w:tab w:val="num" w:pos="6837"/>
        </w:tabs>
        <w:ind w:left="6837" w:hanging="180"/>
      </w:pPr>
    </w:lvl>
  </w:abstractNum>
  <w:abstractNum w:abstractNumId="17">
    <w:nsid w:val="5E522A5F"/>
    <w:multiLevelType w:val="hybridMultilevel"/>
    <w:tmpl w:val="7C4037FE"/>
    <w:lvl w:ilvl="0" w:tplc="18585FC4">
      <w:start w:val="5"/>
      <w:numFmt w:val="upperRoman"/>
      <w:lvlText w:val="%1."/>
      <w:lvlJc w:val="left"/>
      <w:pPr>
        <w:tabs>
          <w:tab w:val="num" w:pos="1004"/>
        </w:tabs>
        <w:ind w:left="1004"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681E0965"/>
    <w:multiLevelType w:val="multilevel"/>
    <w:tmpl w:val="CB9EF942"/>
    <w:lvl w:ilvl="0">
      <w:start w:val="1"/>
      <w:numFmt w:val="decimal"/>
      <w:lvlText w:val="%1."/>
      <w:lvlJc w:val="left"/>
      <w:pPr>
        <w:tabs>
          <w:tab w:val="num" w:pos="791"/>
        </w:tabs>
        <w:ind w:left="791" w:hanging="360"/>
      </w:pPr>
      <w:rPr>
        <w:rFonts w:hint="default"/>
      </w:rPr>
    </w:lvl>
    <w:lvl w:ilvl="1">
      <w:start w:val="1"/>
      <w:numFmt w:val="lowerLetter"/>
      <w:lvlText w:val="%2."/>
      <w:lvlJc w:val="left"/>
      <w:pPr>
        <w:tabs>
          <w:tab w:val="num" w:pos="1511"/>
        </w:tabs>
        <w:ind w:left="1511" w:hanging="360"/>
      </w:pPr>
    </w:lvl>
    <w:lvl w:ilvl="2">
      <w:start w:val="1"/>
      <w:numFmt w:val="lowerRoman"/>
      <w:lvlText w:val="%3."/>
      <w:lvlJc w:val="right"/>
      <w:pPr>
        <w:tabs>
          <w:tab w:val="num" w:pos="2231"/>
        </w:tabs>
        <w:ind w:left="2231" w:hanging="180"/>
      </w:pPr>
    </w:lvl>
    <w:lvl w:ilvl="3">
      <w:start w:val="1"/>
      <w:numFmt w:val="decimal"/>
      <w:lvlText w:val="%4."/>
      <w:lvlJc w:val="left"/>
      <w:pPr>
        <w:tabs>
          <w:tab w:val="num" w:pos="2951"/>
        </w:tabs>
        <w:ind w:left="2951" w:hanging="360"/>
      </w:pPr>
    </w:lvl>
    <w:lvl w:ilvl="4">
      <w:start w:val="1"/>
      <w:numFmt w:val="lowerLetter"/>
      <w:lvlText w:val="%5."/>
      <w:lvlJc w:val="left"/>
      <w:pPr>
        <w:tabs>
          <w:tab w:val="num" w:pos="3671"/>
        </w:tabs>
        <w:ind w:left="3671" w:hanging="360"/>
      </w:pPr>
    </w:lvl>
    <w:lvl w:ilvl="5">
      <w:start w:val="1"/>
      <w:numFmt w:val="lowerRoman"/>
      <w:lvlText w:val="%6."/>
      <w:lvlJc w:val="right"/>
      <w:pPr>
        <w:tabs>
          <w:tab w:val="num" w:pos="4391"/>
        </w:tabs>
        <w:ind w:left="4391" w:hanging="180"/>
      </w:pPr>
    </w:lvl>
    <w:lvl w:ilvl="6">
      <w:start w:val="1"/>
      <w:numFmt w:val="decimal"/>
      <w:lvlText w:val="%7."/>
      <w:lvlJc w:val="left"/>
      <w:pPr>
        <w:tabs>
          <w:tab w:val="num" w:pos="5111"/>
        </w:tabs>
        <w:ind w:left="5111" w:hanging="360"/>
      </w:pPr>
    </w:lvl>
    <w:lvl w:ilvl="7">
      <w:start w:val="1"/>
      <w:numFmt w:val="lowerLetter"/>
      <w:lvlText w:val="%8."/>
      <w:lvlJc w:val="left"/>
      <w:pPr>
        <w:tabs>
          <w:tab w:val="num" w:pos="5831"/>
        </w:tabs>
        <w:ind w:left="5831" w:hanging="360"/>
      </w:pPr>
    </w:lvl>
    <w:lvl w:ilvl="8">
      <w:start w:val="1"/>
      <w:numFmt w:val="lowerRoman"/>
      <w:lvlText w:val="%9."/>
      <w:lvlJc w:val="right"/>
      <w:pPr>
        <w:tabs>
          <w:tab w:val="num" w:pos="6551"/>
        </w:tabs>
        <w:ind w:left="6551" w:hanging="180"/>
      </w:pPr>
    </w:lvl>
  </w:abstractNum>
  <w:abstractNum w:abstractNumId="19">
    <w:nsid w:val="70567479"/>
    <w:multiLevelType w:val="hybridMultilevel"/>
    <w:tmpl w:val="397495B2"/>
    <w:lvl w:ilvl="0" w:tplc="9C4A64FC">
      <w:start w:val="1"/>
      <w:numFmt w:val="decimal"/>
      <w:lvlText w:val="%1."/>
      <w:lvlJc w:val="left"/>
      <w:pPr>
        <w:tabs>
          <w:tab w:val="num" w:pos="1222"/>
        </w:tabs>
        <w:ind w:left="1222" w:hanging="360"/>
      </w:pPr>
      <w:rPr>
        <w:rFonts w:hint="default"/>
      </w:rPr>
    </w:lvl>
    <w:lvl w:ilvl="1" w:tplc="08090019" w:tentative="1">
      <w:start w:val="1"/>
      <w:numFmt w:val="lowerLetter"/>
      <w:lvlText w:val="%2."/>
      <w:lvlJc w:val="left"/>
      <w:pPr>
        <w:tabs>
          <w:tab w:val="num" w:pos="1871"/>
        </w:tabs>
        <w:ind w:left="1871" w:hanging="360"/>
      </w:pPr>
    </w:lvl>
    <w:lvl w:ilvl="2" w:tplc="0809001B" w:tentative="1">
      <w:start w:val="1"/>
      <w:numFmt w:val="lowerRoman"/>
      <w:lvlText w:val="%3."/>
      <w:lvlJc w:val="right"/>
      <w:pPr>
        <w:tabs>
          <w:tab w:val="num" w:pos="2591"/>
        </w:tabs>
        <w:ind w:left="2591" w:hanging="180"/>
      </w:pPr>
    </w:lvl>
    <w:lvl w:ilvl="3" w:tplc="0809000F" w:tentative="1">
      <w:start w:val="1"/>
      <w:numFmt w:val="decimal"/>
      <w:lvlText w:val="%4."/>
      <w:lvlJc w:val="left"/>
      <w:pPr>
        <w:tabs>
          <w:tab w:val="num" w:pos="3311"/>
        </w:tabs>
        <w:ind w:left="3311" w:hanging="360"/>
      </w:pPr>
    </w:lvl>
    <w:lvl w:ilvl="4" w:tplc="08090019" w:tentative="1">
      <w:start w:val="1"/>
      <w:numFmt w:val="lowerLetter"/>
      <w:lvlText w:val="%5."/>
      <w:lvlJc w:val="left"/>
      <w:pPr>
        <w:tabs>
          <w:tab w:val="num" w:pos="4031"/>
        </w:tabs>
        <w:ind w:left="4031" w:hanging="360"/>
      </w:pPr>
    </w:lvl>
    <w:lvl w:ilvl="5" w:tplc="0809001B" w:tentative="1">
      <w:start w:val="1"/>
      <w:numFmt w:val="lowerRoman"/>
      <w:lvlText w:val="%6."/>
      <w:lvlJc w:val="right"/>
      <w:pPr>
        <w:tabs>
          <w:tab w:val="num" w:pos="4751"/>
        </w:tabs>
        <w:ind w:left="4751" w:hanging="180"/>
      </w:pPr>
    </w:lvl>
    <w:lvl w:ilvl="6" w:tplc="0809000F" w:tentative="1">
      <w:start w:val="1"/>
      <w:numFmt w:val="decimal"/>
      <w:lvlText w:val="%7."/>
      <w:lvlJc w:val="left"/>
      <w:pPr>
        <w:tabs>
          <w:tab w:val="num" w:pos="5471"/>
        </w:tabs>
        <w:ind w:left="5471" w:hanging="360"/>
      </w:pPr>
    </w:lvl>
    <w:lvl w:ilvl="7" w:tplc="08090019" w:tentative="1">
      <w:start w:val="1"/>
      <w:numFmt w:val="lowerLetter"/>
      <w:lvlText w:val="%8."/>
      <w:lvlJc w:val="left"/>
      <w:pPr>
        <w:tabs>
          <w:tab w:val="num" w:pos="6191"/>
        </w:tabs>
        <w:ind w:left="6191" w:hanging="360"/>
      </w:pPr>
    </w:lvl>
    <w:lvl w:ilvl="8" w:tplc="0809001B" w:tentative="1">
      <w:start w:val="1"/>
      <w:numFmt w:val="lowerRoman"/>
      <w:lvlText w:val="%9."/>
      <w:lvlJc w:val="right"/>
      <w:pPr>
        <w:tabs>
          <w:tab w:val="num" w:pos="6911"/>
        </w:tabs>
        <w:ind w:left="6911" w:hanging="180"/>
      </w:pPr>
    </w:lvl>
  </w:abstractNum>
  <w:abstractNum w:abstractNumId="20">
    <w:nsid w:val="70617852"/>
    <w:multiLevelType w:val="hybridMultilevel"/>
    <w:tmpl w:val="FA22814A"/>
    <w:lvl w:ilvl="0" w:tplc="08090017">
      <w:start w:val="1"/>
      <w:numFmt w:val="lowerLetter"/>
      <w:lvlText w:val="%1)"/>
      <w:lvlJc w:val="left"/>
      <w:pPr>
        <w:tabs>
          <w:tab w:val="num" w:pos="791"/>
        </w:tabs>
        <w:ind w:left="791" w:hanging="360"/>
      </w:pPr>
    </w:lvl>
    <w:lvl w:ilvl="1" w:tplc="7CD6B046">
      <w:start w:val="1"/>
      <w:numFmt w:val="lowerRoman"/>
      <w:lvlText w:val="(%2)"/>
      <w:lvlJc w:val="left"/>
      <w:pPr>
        <w:tabs>
          <w:tab w:val="num" w:pos="1871"/>
        </w:tabs>
        <w:ind w:left="1871" w:hanging="720"/>
      </w:pPr>
      <w:rPr>
        <w:rFonts w:hint="default"/>
      </w:r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21">
    <w:nsid w:val="721558DD"/>
    <w:multiLevelType w:val="hybridMultilevel"/>
    <w:tmpl w:val="CF98A11A"/>
    <w:lvl w:ilvl="0" w:tplc="7CD6B046">
      <w:start w:val="1"/>
      <w:numFmt w:val="lowerRoman"/>
      <w:lvlText w:val="(%1)"/>
      <w:lvlJc w:val="left"/>
      <w:pPr>
        <w:tabs>
          <w:tab w:val="num" w:pos="1871"/>
        </w:tabs>
        <w:ind w:left="1871"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7777595A"/>
    <w:multiLevelType w:val="multilevel"/>
    <w:tmpl w:val="9FD09006"/>
    <w:lvl w:ilvl="0">
      <w:start w:val="1"/>
      <w:numFmt w:val="decimal"/>
      <w:lvlText w:val="%1)"/>
      <w:lvlJc w:val="left"/>
      <w:pPr>
        <w:tabs>
          <w:tab w:val="num" w:pos="717"/>
        </w:tabs>
        <w:ind w:left="717" w:hanging="360"/>
      </w:pPr>
      <w:rPr>
        <w:rFonts w:hint="default"/>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23">
    <w:nsid w:val="7FCF6FF6"/>
    <w:multiLevelType w:val="multilevel"/>
    <w:tmpl w:val="FDF2FABC"/>
    <w:lvl w:ilvl="0">
      <w:start w:val="1"/>
      <w:numFmt w:val="lowerLetter"/>
      <w:lvlText w:val="%1)"/>
      <w:lvlJc w:val="left"/>
      <w:pPr>
        <w:tabs>
          <w:tab w:val="num" w:pos="791"/>
        </w:tabs>
        <w:ind w:left="791" w:hanging="360"/>
      </w:pPr>
    </w:lvl>
    <w:lvl w:ilvl="1">
      <w:start w:val="1"/>
      <w:numFmt w:val="lowerRoman"/>
      <w:lvlText w:val="%2."/>
      <w:lvlJc w:val="left"/>
      <w:pPr>
        <w:tabs>
          <w:tab w:val="num" w:pos="1871"/>
        </w:tabs>
        <w:ind w:left="1871" w:hanging="720"/>
      </w:pPr>
      <w:rPr>
        <w:rFonts w:hint="default"/>
      </w:rPr>
    </w:lvl>
    <w:lvl w:ilvl="2">
      <w:start w:val="1"/>
      <w:numFmt w:val="lowerRoman"/>
      <w:lvlText w:val="%3."/>
      <w:lvlJc w:val="right"/>
      <w:pPr>
        <w:tabs>
          <w:tab w:val="num" w:pos="2231"/>
        </w:tabs>
        <w:ind w:left="2231" w:hanging="180"/>
      </w:pPr>
    </w:lvl>
    <w:lvl w:ilvl="3">
      <w:start w:val="1"/>
      <w:numFmt w:val="decimal"/>
      <w:lvlText w:val="%4."/>
      <w:lvlJc w:val="left"/>
      <w:pPr>
        <w:tabs>
          <w:tab w:val="num" w:pos="2951"/>
        </w:tabs>
        <w:ind w:left="2951" w:hanging="360"/>
      </w:pPr>
    </w:lvl>
    <w:lvl w:ilvl="4">
      <w:start w:val="1"/>
      <w:numFmt w:val="lowerLetter"/>
      <w:lvlText w:val="%5."/>
      <w:lvlJc w:val="left"/>
      <w:pPr>
        <w:tabs>
          <w:tab w:val="num" w:pos="3671"/>
        </w:tabs>
        <w:ind w:left="3671" w:hanging="360"/>
      </w:pPr>
    </w:lvl>
    <w:lvl w:ilvl="5">
      <w:start w:val="1"/>
      <w:numFmt w:val="lowerRoman"/>
      <w:lvlText w:val="%6."/>
      <w:lvlJc w:val="right"/>
      <w:pPr>
        <w:tabs>
          <w:tab w:val="num" w:pos="4391"/>
        </w:tabs>
        <w:ind w:left="4391" w:hanging="180"/>
      </w:pPr>
    </w:lvl>
    <w:lvl w:ilvl="6">
      <w:start w:val="1"/>
      <w:numFmt w:val="decimal"/>
      <w:lvlText w:val="%7."/>
      <w:lvlJc w:val="left"/>
      <w:pPr>
        <w:tabs>
          <w:tab w:val="num" w:pos="5111"/>
        </w:tabs>
        <w:ind w:left="5111" w:hanging="360"/>
      </w:pPr>
    </w:lvl>
    <w:lvl w:ilvl="7">
      <w:start w:val="1"/>
      <w:numFmt w:val="lowerLetter"/>
      <w:lvlText w:val="%8."/>
      <w:lvlJc w:val="left"/>
      <w:pPr>
        <w:tabs>
          <w:tab w:val="num" w:pos="5831"/>
        </w:tabs>
        <w:ind w:left="5831" w:hanging="360"/>
      </w:pPr>
    </w:lvl>
    <w:lvl w:ilvl="8">
      <w:start w:val="1"/>
      <w:numFmt w:val="lowerRoman"/>
      <w:lvlText w:val="%9."/>
      <w:lvlJc w:val="right"/>
      <w:pPr>
        <w:tabs>
          <w:tab w:val="num" w:pos="6551"/>
        </w:tabs>
        <w:ind w:left="6551" w:hanging="180"/>
      </w:pPr>
    </w:lvl>
  </w:abstractNum>
  <w:num w:numId="1">
    <w:abstractNumId w:val="15"/>
  </w:num>
  <w:num w:numId="2">
    <w:abstractNumId w:val="9"/>
  </w:num>
  <w:num w:numId="3">
    <w:abstractNumId w:val="6"/>
  </w:num>
  <w:num w:numId="4">
    <w:abstractNumId w:val="12"/>
  </w:num>
  <w:num w:numId="5">
    <w:abstractNumId w:val="8"/>
  </w:num>
  <w:num w:numId="6">
    <w:abstractNumId w:val="11"/>
  </w:num>
  <w:num w:numId="7">
    <w:abstractNumId w:val="2"/>
  </w:num>
  <w:num w:numId="8">
    <w:abstractNumId w:val="19"/>
  </w:num>
  <w:num w:numId="9">
    <w:abstractNumId w:val="5"/>
  </w:num>
  <w:num w:numId="10">
    <w:abstractNumId w:val="0"/>
  </w:num>
  <w:num w:numId="11">
    <w:abstractNumId w:val="18"/>
  </w:num>
  <w:num w:numId="12">
    <w:abstractNumId w:val="7"/>
  </w:num>
  <w:num w:numId="13">
    <w:abstractNumId w:val="14"/>
  </w:num>
  <w:num w:numId="14">
    <w:abstractNumId w:val="20"/>
  </w:num>
  <w:num w:numId="15">
    <w:abstractNumId w:val="4"/>
  </w:num>
  <w:num w:numId="16">
    <w:abstractNumId w:val="23"/>
  </w:num>
  <w:num w:numId="17">
    <w:abstractNumId w:val="21"/>
  </w:num>
  <w:num w:numId="18">
    <w:abstractNumId w:val="1"/>
  </w:num>
  <w:num w:numId="19">
    <w:abstractNumId w:val="17"/>
  </w:num>
  <w:num w:numId="20">
    <w:abstractNumId w:val="10"/>
  </w:num>
  <w:num w:numId="21">
    <w:abstractNumId w:val="3"/>
  </w:num>
  <w:num w:numId="22">
    <w:abstractNumId w:val="16"/>
  </w:num>
  <w:num w:numId="23">
    <w:abstractNumId w:val="1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4"/>
  </w:hdrShapeDefault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657D"/>
    <w:rsid w:val="00005C00"/>
    <w:rsid w:val="00006A07"/>
    <w:rsid w:val="0001004C"/>
    <w:rsid w:val="00015391"/>
    <w:rsid w:val="00023FA0"/>
    <w:rsid w:val="000241FD"/>
    <w:rsid w:val="00024F8E"/>
    <w:rsid w:val="0002538E"/>
    <w:rsid w:val="00025ABE"/>
    <w:rsid w:val="000275C9"/>
    <w:rsid w:val="00031E36"/>
    <w:rsid w:val="00032268"/>
    <w:rsid w:val="00036DF3"/>
    <w:rsid w:val="00037E90"/>
    <w:rsid w:val="00040558"/>
    <w:rsid w:val="00041C7A"/>
    <w:rsid w:val="00041E40"/>
    <w:rsid w:val="00043DEB"/>
    <w:rsid w:val="000451A1"/>
    <w:rsid w:val="00046206"/>
    <w:rsid w:val="000463BF"/>
    <w:rsid w:val="00050BAF"/>
    <w:rsid w:val="00051F0F"/>
    <w:rsid w:val="000544A0"/>
    <w:rsid w:val="00055196"/>
    <w:rsid w:val="00055AC1"/>
    <w:rsid w:val="00055D14"/>
    <w:rsid w:val="00056469"/>
    <w:rsid w:val="00056F81"/>
    <w:rsid w:val="00061D72"/>
    <w:rsid w:val="0006572C"/>
    <w:rsid w:val="00066364"/>
    <w:rsid w:val="000663B9"/>
    <w:rsid w:val="000679EC"/>
    <w:rsid w:val="0007205A"/>
    <w:rsid w:val="000726F6"/>
    <w:rsid w:val="0007555F"/>
    <w:rsid w:val="00076A67"/>
    <w:rsid w:val="000771F2"/>
    <w:rsid w:val="00077758"/>
    <w:rsid w:val="000779F6"/>
    <w:rsid w:val="000811B6"/>
    <w:rsid w:val="000843CB"/>
    <w:rsid w:val="00085837"/>
    <w:rsid w:val="00085B46"/>
    <w:rsid w:val="00085C93"/>
    <w:rsid w:val="00086BD3"/>
    <w:rsid w:val="00090C82"/>
    <w:rsid w:val="00090F86"/>
    <w:rsid w:val="000922A5"/>
    <w:rsid w:val="0009299C"/>
    <w:rsid w:val="000A1A47"/>
    <w:rsid w:val="000A2B29"/>
    <w:rsid w:val="000A3AD0"/>
    <w:rsid w:val="000A3C07"/>
    <w:rsid w:val="000A4C53"/>
    <w:rsid w:val="000A6EC2"/>
    <w:rsid w:val="000B3DC5"/>
    <w:rsid w:val="000B45F7"/>
    <w:rsid w:val="000B5276"/>
    <w:rsid w:val="000C08D2"/>
    <w:rsid w:val="000C0F27"/>
    <w:rsid w:val="000C7BB8"/>
    <w:rsid w:val="000D04A9"/>
    <w:rsid w:val="000D2EFB"/>
    <w:rsid w:val="000D3B4D"/>
    <w:rsid w:val="000D5F01"/>
    <w:rsid w:val="000D6108"/>
    <w:rsid w:val="000E0174"/>
    <w:rsid w:val="000E0783"/>
    <w:rsid w:val="000E1449"/>
    <w:rsid w:val="000E3875"/>
    <w:rsid w:val="000F1D79"/>
    <w:rsid w:val="000F313B"/>
    <w:rsid w:val="000F6653"/>
    <w:rsid w:val="000F699D"/>
    <w:rsid w:val="000F75CA"/>
    <w:rsid w:val="00101AAC"/>
    <w:rsid w:val="00104AD1"/>
    <w:rsid w:val="00106D2E"/>
    <w:rsid w:val="00111BCA"/>
    <w:rsid w:val="00112270"/>
    <w:rsid w:val="0011665B"/>
    <w:rsid w:val="00116B52"/>
    <w:rsid w:val="0012544B"/>
    <w:rsid w:val="001266FF"/>
    <w:rsid w:val="00126F75"/>
    <w:rsid w:val="00127AD0"/>
    <w:rsid w:val="00130ADD"/>
    <w:rsid w:val="00133131"/>
    <w:rsid w:val="001364D9"/>
    <w:rsid w:val="001404CA"/>
    <w:rsid w:val="00142469"/>
    <w:rsid w:val="0014279D"/>
    <w:rsid w:val="00145345"/>
    <w:rsid w:val="0014632B"/>
    <w:rsid w:val="00146514"/>
    <w:rsid w:val="0014669B"/>
    <w:rsid w:val="00146B3E"/>
    <w:rsid w:val="00146BDA"/>
    <w:rsid w:val="001512D4"/>
    <w:rsid w:val="001576C8"/>
    <w:rsid w:val="00163363"/>
    <w:rsid w:val="001639BC"/>
    <w:rsid w:val="00165A7D"/>
    <w:rsid w:val="001705C8"/>
    <w:rsid w:val="00171538"/>
    <w:rsid w:val="001723BC"/>
    <w:rsid w:val="0017329B"/>
    <w:rsid w:val="001753C4"/>
    <w:rsid w:val="00180145"/>
    <w:rsid w:val="001812B2"/>
    <w:rsid w:val="00186134"/>
    <w:rsid w:val="001911B7"/>
    <w:rsid w:val="00194896"/>
    <w:rsid w:val="00197C29"/>
    <w:rsid w:val="001A0EBE"/>
    <w:rsid w:val="001A100F"/>
    <w:rsid w:val="001A3ABE"/>
    <w:rsid w:val="001A66F1"/>
    <w:rsid w:val="001A7BFD"/>
    <w:rsid w:val="001B1296"/>
    <w:rsid w:val="001B479B"/>
    <w:rsid w:val="001B62B1"/>
    <w:rsid w:val="001B6BDC"/>
    <w:rsid w:val="001B6EDB"/>
    <w:rsid w:val="001B74F7"/>
    <w:rsid w:val="001C07A7"/>
    <w:rsid w:val="001C4E31"/>
    <w:rsid w:val="001C4EDB"/>
    <w:rsid w:val="001C586A"/>
    <w:rsid w:val="001D22A6"/>
    <w:rsid w:val="001D23E8"/>
    <w:rsid w:val="001D2E67"/>
    <w:rsid w:val="001D47F3"/>
    <w:rsid w:val="001E5215"/>
    <w:rsid w:val="001E5E8B"/>
    <w:rsid w:val="001F0E51"/>
    <w:rsid w:val="001F5586"/>
    <w:rsid w:val="001F5B2D"/>
    <w:rsid w:val="001F6E75"/>
    <w:rsid w:val="00202025"/>
    <w:rsid w:val="00206A17"/>
    <w:rsid w:val="00212B02"/>
    <w:rsid w:val="0021626A"/>
    <w:rsid w:val="00216558"/>
    <w:rsid w:val="00217108"/>
    <w:rsid w:val="002171B5"/>
    <w:rsid w:val="0021726A"/>
    <w:rsid w:val="00220564"/>
    <w:rsid w:val="00221092"/>
    <w:rsid w:val="00223118"/>
    <w:rsid w:val="002277F5"/>
    <w:rsid w:val="002340FA"/>
    <w:rsid w:val="00240D0F"/>
    <w:rsid w:val="0024225F"/>
    <w:rsid w:val="00244BDC"/>
    <w:rsid w:val="00244E7E"/>
    <w:rsid w:val="00245128"/>
    <w:rsid w:val="002477CD"/>
    <w:rsid w:val="00253B5D"/>
    <w:rsid w:val="00254784"/>
    <w:rsid w:val="0026001C"/>
    <w:rsid w:val="00263DE8"/>
    <w:rsid w:val="00265379"/>
    <w:rsid w:val="00267B3C"/>
    <w:rsid w:val="002716BB"/>
    <w:rsid w:val="00274BA5"/>
    <w:rsid w:val="0028383C"/>
    <w:rsid w:val="00285459"/>
    <w:rsid w:val="00291623"/>
    <w:rsid w:val="00295299"/>
    <w:rsid w:val="002A06D3"/>
    <w:rsid w:val="002A2342"/>
    <w:rsid w:val="002A6AFD"/>
    <w:rsid w:val="002B14BD"/>
    <w:rsid w:val="002B4FFC"/>
    <w:rsid w:val="002B5B19"/>
    <w:rsid w:val="002B6338"/>
    <w:rsid w:val="002B7618"/>
    <w:rsid w:val="002C1F65"/>
    <w:rsid w:val="002C46C2"/>
    <w:rsid w:val="002C497F"/>
    <w:rsid w:val="002C745A"/>
    <w:rsid w:val="002D3D7B"/>
    <w:rsid w:val="002D551A"/>
    <w:rsid w:val="002D70FE"/>
    <w:rsid w:val="002D7F42"/>
    <w:rsid w:val="002E17FE"/>
    <w:rsid w:val="002E4CF3"/>
    <w:rsid w:val="002F2A80"/>
    <w:rsid w:val="002F6FE9"/>
    <w:rsid w:val="00300DF6"/>
    <w:rsid w:val="00302A60"/>
    <w:rsid w:val="003040E3"/>
    <w:rsid w:val="00305844"/>
    <w:rsid w:val="00312547"/>
    <w:rsid w:val="00313321"/>
    <w:rsid w:val="0031573C"/>
    <w:rsid w:val="003160AC"/>
    <w:rsid w:val="0032093A"/>
    <w:rsid w:val="00322CB6"/>
    <w:rsid w:val="00324F74"/>
    <w:rsid w:val="00325C2B"/>
    <w:rsid w:val="0032724B"/>
    <w:rsid w:val="00332547"/>
    <w:rsid w:val="00333208"/>
    <w:rsid w:val="00336887"/>
    <w:rsid w:val="00336EFA"/>
    <w:rsid w:val="00337600"/>
    <w:rsid w:val="003419E6"/>
    <w:rsid w:val="003420BA"/>
    <w:rsid w:val="00342F16"/>
    <w:rsid w:val="00345195"/>
    <w:rsid w:val="003519AA"/>
    <w:rsid w:val="00354463"/>
    <w:rsid w:val="003606E7"/>
    <w:rsid w:val="003629C1"/>
    <w:rsid w:val="00362FB5"/>
    <w:rsid w:val="003659E8"/>
    <w:rsid w:val="00367088"/>
    <w:rsid w:val="00371277"/>
    <w:rsid w:val="003717BC"/>
    <w:rsid w:val="003734E1"/>
    <w:rsid w:val="00373E2F"/>
    <w:rsid w:val="00374197"/>
    <w:rsid w:val="00377A95"/>
    <w:rsid w:val="00381E7F"/>
    <w:rsid w:val="003917DE"/>
    <w:rsid w:val="0039403B"/>
    <w:rsid w:val="003966A9"/>
    <w:rsid w:val="003A439F"/>
    <w:rsid w:val="003A53CA"/>
    <w:rsid w:val="003A6B95"/>
    <w:rsid w:val="003A75A0"/>
    <w:rsid w:val="003B79B0"/>
    <w:rsid w:val="003C14D2"/>
    <w:rsid w:val="003C1892"/>
    <w:rsid w:val="003C2AB0"/>
    <w:rsid w:val="003C2EB0"/>
    <w:rsid w:val="003C3744"/>
    <w:rsid w:val="003C5E12"/>
    <w:rsid w:val="003C634C"/>
    <w:rsid w:val="003D7CD9"/>
    <w:rsid w:val="003E2A79"/>
    <w:rsid w:val="003E2BC0"/>
    <w:rsid w:val="003E4723"/>
    <w:rsid w:val="003E692C"/>
    <w:rsid w:val="003E7CFA"/>
    <w:rsid w:val="003F35EF"/>
    <w:rsid w:val="003F3A45"/>
    <w:rsid w:val="003F3BFD"/>
    <w:rsid w:val="003F7107"/>
    <w:rsid w:val="00400A2A"/>
    <w:rsid w:val="0040326E"/>
    <w:rsid w:val="00403376"/>
    <w:rsid w:val="00403479"/>
    <w:rsid w:val="00404038"/>
    <w:rsid w:val="004047EC"/>
    <w:rsid w:val="00405B5D"/>
    <w:rsid w:val="00410B9C"/>
    <w:rsid w:val="00412095"/>
    <w:rsid w:val="00412519"/>
    <w:rsid w:val="0041280B"/>
    <w:rsid w:val="00415507"/>
    <w:rsid w:val="00420561"/>
    <w:rsid w:val="00420B8A"/>
    <w:rsid w:val="00427F52"/>
    <w:rsid w:val="00432508"/>
    <w:rsid w:val="00435A8C"/>
    <w:rsid w:val="004360DB"/>
    <w:rsid w:val="004373EA"/>
    <w:rsid w:val="00444575"/>
    <w:rsid w:val="00444B41"/>
    <w:rsid w:val="004463BD"/>
    <w:rsid w:val="00447F44"/>
    <w:rsid w:val="00452B62"/>
    <w:rsid w:val="00452EDF"/>
    <w:rsid w:val="00454727"/>
    <w:rsid w:val="004555F4"/>
    <w:rsid w:val="00457A18"/>
    <w:rsid w:val="00460FAD"/>
    <w:rsid w:val="00461C48"/>
    <w:rsid w:val="004621DF"/>
    <w:rsid w:val="0046335B"/>
    <w:rsid w:val="00464F36"/>
    <w:rsid w:val="00465329"/>
    <w:rsid w:val="00466EF9"/>
    <w:rsid w:val="00470EE3"/>
    <w:rsid w:val="00473032"/>
    <w:rsid w:val="00475B9D"/>
    <w:rsid w:val="004779E1"/>
    <w:rsid w:val="0048294D"/>
    <w:rsid w:val="0048561B"/>
    <w:rsid w:val="00485A6F"/>
    <w:rsid w:val="00485C2D"/>
    <w:rsid w:val="00492EEF"/>
    <w:rsid w:val="0049713B"/>
    <w:rsid w:val="004A628C"/>
    <w:rsid w:val="004B1BA8"/>
    <w:rsid w:val="004B2513"/>
    <w:rsid w:val="004B7065"/>
    <w:rsid w:val="004C458B"/>
    <w:rsid w:val="004C5B96"/>
    <w:rsid w:val="004C651C"/>
    <w:rsid w:val="004C78B0"/>
    <w:rsid w:val="004C7B92"/>
    <w:rsid w:val="004D2A4A"/>
    <w:rsid w:val="004D4054"/>
    <w:rsid w:val="004D5BA0"/>
    <w:rsid w:val="004E18FC"/>
    <w:rsid w:val="004E38FE"/>
    <w:rsid w:val="004E5DFC"/>
    <w:rsid w:val="004E622A"/>
    <w:rsid w:val="004E657D"/>
    <w:rsid w:val="004E7EF5"/>
    <w:rsid w:val="004F1C76"/>
    <w:rsid w:val="004F6614"/>
    <w:rsid w:val="004F7CA3"/>
    <w:rsid w:val="00501C80"/>
    <w:rsid w:val="00502175"/>
    <w:rsid w:val="00505474"/>
    <w:rsid w:val="00513F35"/>
    <w:rsid w:val="005147C4"/>
    <w:rsid w:val="00516EBF"/>
    <w:rsid w:val="00520148"/>
    <w:rsid w:val="0052383A"/>
    <w:rsid w:val="005251A7"/>
    <w:rsid w:val="005254BF"/>
    <w:rsid w:val="00527051"/>
    <w:rsid w:val="00531918"/>
    <w:rsid w:val="0053759D"/>
    <w:rsid w:val="00540C73"/>
    <w:rsid w:val="00541597"/>
    <w:rsid w:val="005419B6"/>
    <w:rsid w:val="00544A49"/>
    <w:rsid w:val="00546F49"/>
    <w:rsid w:val="00547809"/>
    <w:rsid w:val="00550E89"/>
    <w:rsid w:val="0055129C"/>
    <w:rsid w:val="0055150E"/>
    <w:rsid w:val="00551628"/>
    <w:rsid w:val="00552053"/>
    <w:rsid w:val="00553AB0"/>
    <w:rsid w:val="00561BF2"/>
    <w:rsid w:val="00564FD4"/>
    <w:rsid w:val="005654A8"/>
    <w:rsid w:val="0056737A"/>
    <w:rsid w:val="0056771C"/>
    <w:rsid w:val="0057103D"/>
    <w:rsid w:val="0057281D"/>
    <w:rsid w:val="00576B88"/>
    <w:rsid w:val="00577E6A"/>
    <w:rsid w:val="0058189A"/>
    <w:rsid w:val="00581DBF"/>
    <w:rsid w:val="00583223"/>
    <w:rsid w:val="0058616C"/>
    <w:rsid w:val="00593CF5"/>
    <w:rsid w:val="0059414D"/>
    <w:rsid w:val="00595278"/>
    <w:rsid w:val="005A15B1"/>
    <w:rsid w:val="005A4077"/>
    <w:rsid w:val="005A76BE"/>
    <w:rsid w:val="005B16A8"/>
    <w:rsid w:val="005B4070"/>
    <w:rsid w:val="005B4233"/>
    <w:rsid w:val="005B4E70"/>
    <w:rsid w:val="005B6347"/>
    <w:rsid w:val="005B73F0"/>
    <w:rsid w:val="005B750A"/>
    <w:rsid w:val="005C1929"/>
    <w:rsid w:val="005C283E"/>
    <w:rsid w:val="005C32B1"/>
    <w:rsid w:val="005D208B"/>
    <w:rsid w:val="005D60FD"/>
    <w:rsid w:val="005D7391"/>
    <w:rsid w:val="005E384F"/>
    <w:rsid w:val="005E7555"/>
    <w:rsid w:val="005E7AED"/>
    <w:rsid w:val="005E7C24"/>
    <w:rsid w:val="005F0C2B"/>
    <w:rsid w:val="005F39FE"/>
    <w:rsid w:val="005F7CD1"/>
    <w:rsid w:val="00601CCB"/>
    <w:rsid w:val="00602AB4"/>
    <w:rsid w:val="00605B7E"/>
    <w:rsid w:val="006072E3"/>
    <w:rsid w:val="00607CBE"/>
    <w:rsid w:val="006111FF"/>
    <w:rsid w:val="00613B4F"/>
    <w:rsid w:val="00614D29"/>
    <w:rsid w:val="00617554"/>
    <w:rsid w:val="00624A47"/>
    <w:rsid w:val="0062787C"/>
    <w:rsid w:val="00631321"/>
    <w:rsid w:val="0063389E"/>
    <w:rsid w:val="006378D6"/>
    <w:rsid w:val="00640B82"/>
    <w:rsid w:val="00652F4F"/>
    <w:rsid w:val="00655126"/>
    <w:rsid w:val="0065727C"/>
    <w:rsid w:val="00664526"/>
    <w:rsid w:val="00665B74"/>
    <w:rsid w:val="0066676B"/>
    <w:rsid w:val="00666B12"/>
    <w:rsid w:val="0066709F"/>
    <w:rsid w:val="00670D54"/>
    <w:rsid w:val="00672FCB"/>
    <w:rsid w:val="00673775"/>
    <w:rsid w:val="00673A78"/>
    <w:rsid w:val="006741DD"/>
    <w:rsid w:val="006810B5"/>
    <w:rsid w:val="00683DE0"/>
    <w:rsid w:val="00683E2E"/>
    <w:rsid w:val="006858E7"/>
    <w:rsid w:val="00687EDD"/>
    <w:rsid w:val="006913AA"/>
    <w:rsid w:val="00695BA9"/>
    <w:rsid w:val="00697F38"/>
    <w:rsid w:val="006A07F8"/>
    <w:rsid w:val="006A1A75"/>
    <w:rsid w:val="006A4B4B"/>
    <w:rsid w:val="006B03B6"/>
    <w:rsid w:val="006B13C8"/>
    <w:rsid w:val="006B2D5E"/>
    <w:rsid w:val="006B7936"/>
    <w:rsid w:val="006C2816"/>
    <w:rsid w:val="006C2B52"/>
    <w:rsid w:val="006C3496"/>
    <w:rsid w:val="006C35C5"/>
    <w:rsid w:val="006C4FB5"/>
    <w:rsid w:val="006D06AC"/>
    <w:rsid w:val="006D2E0F"/>
    <w:rsid w:val="006D4CE1"/>
    <w:rsid w:val="006D5C37"/>
    <w:rsid w:val="006E0A9B"/>
    <w:rsid w:val="006E0C09"/>
    <w:rsid w:val="006E0F5F"/>
    <w:rsid w:val="006F2457"/>
    <w:rsid w:val="006F3557"/>
    <w:rsid w:val="006F45DB"/>
    <w:rsid w:val="006F4A75"/>
    <w:rsid w:val="006F5581"/>
    <w:rsid w:val="006F651E"/>
    <w:rsid w:val="006F74C5"/>
    <w:rsid w:val="006F75C7"/>
    <w:rsid w:val="00702D58"/>
    <w:rsid w:val="007103CF"/>
    <w:rsid w:val="00711E95"/>
    <w:rsid w:val="007126D6"/>
    <w:rsid w:val="00715421"/>
    <w:rsid w:val="007156E0"/>
    <w:rsid w:val="007166A4"/>
    <w:rsid w:val="00717222"/>
    <w:rsid w:val="00717BF5"/>
    <w:rsid w:val="0072479B"/>
    <w:rsid w:val="00730053"/>
    <w:rsid w:val="00730433"/>
    <w:rsid w:val="0073172C"/>
    <w:rsid w:val="007352DD"/>
    <w:rsid w:val="007359E9"/>
    <w:rsid w:val="00737E34"/>
    <w:rsid w:val="00744A41"/>
    <w:rsid w:val="00750045"/>
    <w:rsid w:val="00752665"/>
    <w:rsid w:val="00752765"/>
    <w:rsid w:val="00752835"/>
    <w:rsid w:val="00754B80"/>
    <w:rsid w:val="00754F67"/>
    <w:rsid w:val="00756D5B"/>
    <w:rsid w:val="00757500"/>
    <w:rsid w:val="007643D9"/>
    <w:rsid w:val="00764629"/>
    <w:rsid w:val="00764D22"/>
    <w:rsid w:val="00766DDC"/>
    <w:rsid w:val="0076775A"/>
    <w:rsid w:val="007723DE"/>
    <w:rsid w:val="00772E4E"/>
    <w:rsid w:val="00773EE2"/>
    <w:rsid w:val="00774715"/>
    <w:rsid w:val="0077569D"/>
    <w:rsid w:val="007757D1"/>
    <w:rsid w:val="00776191"/>
    <w:rsid w:val="007767FF"/>
    <w:rsid w:val="0078096F"/>
    <w:rsid w:val="00781E07"/>
    <w:rsid w:val="007828B0"/>
    <w:rsid w:val="0078307E"/>
    <w:rsid w:val="007836A0"/>
    <w:rsid w:val="007836C1"/>
    <w:rsid w:val="007863F3"/>
    <w:rsid w:val="00786517"/>
    <w:rsid w:val="0079187F"/>
    <w:rsid w:val="007922CE"/>
    <w:rsid w:val="007938D1"/>
    <w:rsid w:val="00794DAE"/>
    <w:rsid w:val="00795A1F"/>
    <w:rsid w:val="007960DA"/>
    <w:rsid w:val="007A31D6"/>
    <w:rsid w:val="007A4F2E"/>
    <w:rsid w:val="007A55AB"/>
    <w:rsid w:val="007A6DBA"/>
    <w:rsid w:val="007B416E"/>
    <w:rsid w:val="007C0C28"/>
    <w:rsid w:val="007C1CE3"/>
    <w:rsid w:val="007C27B7"/>
    <w:rsid w:val="007C3121"/>
    <w:rsid w:val="007C3AA8"/>
    <w:rsid w:val="007C5549"/>
    <w:rsid w:val="007C5C23"/>
    <w:rsid w:val="007C67F0"/>
    <w:rsid w:val="007D0D75"/>
    <w:rsid w:val="007D513F"/>
    <w:rsid w:val="007D6032"/>
    <w:rsid w:val="007D6796"/>
    <w:rsid w:val="007D6F78"/>
    <w:rsid w:val="007D7F22"/>
    <w:rsid w:val="007E0014"/>
    <w:rsid w:val="007E3D25"/>
    <w:rsid w:val="007E69F8"/>
    <w:rsid w:val="007E6BCB"/>
    <w:rsid w:val="007E70FA"/>
    <w:rsid w:val="007F0666"/>
    <w:rsid w:val="007F2C97"/>
    <w:rsid w:val="007F4AAE"/>
    <w:rsid w:val="007F5103"/>
    <w:rsid w:val="007F6551"/>
    <w:rsid w:val="007F7334"/>
    <w:rsid w:val="00806E5F"/>
    <w:rsid w:val="008126D9"/>
    <w:rsid w:val="008148BF"/>
    <w:rsid w:val="00823DF5"/>
    <w:rsid w:val="00826DFF"/>
    <w:rsid w:val="008345CC"/>
    <w:rsid w:val="00834609"/>
    <w:rsid w:val="0083513F"/>
    <w:rsid w:val="008366A5"/>
    <w:rsid w:val="008431C3"/>
    <w:rsid w:val="00843258"/>
    <w:rsid w:val="00844E3D"/>
    <w:rsid w:val="008455CC"/>
    <w:rsid w:val="00845772"/>
    <w:rsid w:val="008464AE"/>
    <w:rsid w:val="00846856"/>
    <w:rsid w:val="00850A18"/>
    <w:rsid w:val="008529FC"/>
    <w:rsid w:val="0085436E"/>
    <w:rsid w:val="00854738"/>
    <w:rsid w:val="00854842"/>
    <w:rsid w:val="00862232"/>
    <w:rsid w:val="008639CC"/>
    <w:rsid w:val="00863C1C"/>
    <w:rsid w:val="00866794"/>
    <w:rsid w:val="008668DC"/>
    <w:rsid w:val="00867B5F"/>
    <w:rsid w:val="008720E4"/>
    <w:rsid w:val="0088315D"/>
    <w:rsid w:val="00884D1F"/>
    <w:rsid w:val="00885108"/>
    <w:rsid w:val="00885F20"/>
    <w:rsid w:val="00886678"/>
    <w:rsid w:val="00886BB5"/>
    <w:rsid w:val="008911AF"/>
    <w:rsid w:val="00894094"/>
    <w:rsid w:val="0089568A"/>
    <w:rsid w:val="008A66FC"/>
    <w:rsid w:val="008A7208"/>
    <w:rsid w:val="008B40F4"/>
    <w:rsid w:val="008B4C6E"/>
    <w:rsid w:val="008B5133"/>
    <w:rsid w:val="008C0093"/>
    <w:rsid w:val="008C6F68"/>
    <w:rsid w:val="008C7133"/>
    <w:rsid w:val="008D05CD"/>
    <w:rsid w:val="008D3E17"/>
    <w:rsid w:val="008D45B4"/>
    <w:rsid w:val="008D59C2"/>
    <w:rsid w:val="008E05A3"/>
    <w:rsid w:val="008E4315"/>
    <w:rsid w:val="008E7F8D"/>
    <w:rsid w:val="008F78CB"/>
    <w:rsid w:val="00900CF0"/>
    <w:rsid w:val="009017B4"/>
    <w:rsid w:val="00902BAB"/>
    <w:rsid w:val="009061BD"/>
    <w:rsid w:val="0090669F"/>
    <w:rsid w:val="00911278"/>
    <w:rsid w:val="00921D21"/>
    <w:rsid w:val="009246A0"/>
    <w:rsid w:val="00925F1F"/>
    <w:rsid w:val="009277AB"/>
    <w:rsid w:val="00931A9D"/>
    <w:rsid w:val="0093208A"/>
    <w:rsid w:val="00934EBD"/>
    <w:rsid w:val="0094213C"/>
    <w:rsid w:val="0094239F"/>
    <w:rsid w:val="00945804"/>
    <w:rsid w:val="009469DE"/>
    <w:rsid w:val="00954911"/>
    <w:rsid w:val="0095542D"/>
    <w:rsid w:val="009562B5"/>
    <w:rsid w:val="00956501"/>
    <w:rsid w:val="00957F47"/>
    <w:rsid w:val="00960327"/>
    <w:rsid w:val="00963B1C"/>
    <w:rsid w:val="00964759"/>
    <w:rsid w:val="00965BD4"/>
    <w:rsid w:val="009701B4"/>
    <w:rsid w:val="009718A1"/>
    <w:rsid w:val="00971CBB"/>
    <w:rsid w:val="00972F1D"/>
    <w:rsid w:val="00973571"/>
    <w:rsid w:val="0097490C"/>
    <w:rsid w:val="00976983"/>
    <w:rsid w:val="00983584"/>
    <w:rsid w:val="00984887"/>
    <w:rsid w:val="0098535B"/>
    <w:rsid w:val="009919F1"/>
    <w:rsid w:val="00995F44"/>
    <w:rsid w:val="009A0E74"/>
    <w:rsid w:val="009A72E6"/>
    <w:rsid w:val="009B039E"/>
    <w:rsid w:val="009B23F1"/>
    <w:rsid w:val="009B26D5"/>
    <w:rsid w:val="009B27D1"/>
    <w:rsid w:val="009B5529"/>
    <w:rsid w:val="009B7F01"/>
    <w:rsid w:val="009C0A70"/>
    <w:rsid w:val="009C0E83"/>
    <w:rsid w:val="009C0EA9"/>
    <w:rsid w:val="009C446C"/>
    <w:rsid w:val="009C4650"/>
    <w:rsid w:val="009C5C87"/>
    <w:rsid w:val="009C6785"/>
    <w:rsid w:val="009C73EA"/>
    <w:rsid w:val="009D0276"/>
    <w:rsid w:val="009D0C80"/>
    <w:rsid w:val="009D6CA5"/>
    <w:rsid w:val="009D6CE7"/>
    <w:rsid w:val="009E7670"/>
    <w:rsid w:val="009F0DF3"/>
    <w:rsid w:val="009F1A10"/>
    <w:rsid w:val="009F25F2"/>
    <w:rsid w:val="009F32C4"/>
    <w:rsid w:val="009F5625"/>
    <w:rsid w:val="009F72BE"/>
    <w:rsid w:val="00A001E0"/>
    <w:rsid w:val="00A012A5"/>
    <w:rsid w:val="00A01C05"/>
    <w:rsid w:val="00A07C4D"/>
    <w:rsid w:val="00A11B65"/>
    <w:rsid w:val="00A13D89"/>
    <w:rsid w:val="00A13DC0"/>
    <w:rsid w:val="00A15103"/>
    <w:rsid w:val="00A15138"/>
    <w:rsid w:val="00A166F6"/>
    <w:rsid w:val="00A16786"/>
    <w:rsid w:val="00A20D55"/>
    <w:rsid w:val="00A23F52"/>
    <w:rsid w:val="00A319AD"/>
    <w:rsid w:val="00A31F29"/>
    <w:rsid w:val="00A32CD9"/>
    <w:rsid w:val="00A33D09"/>
    <w:rsid w:val="00A3409D"/>
    <w:rsid w:val="00A41AA4"/>
    <w:rsid w:val="00A423E9"/>
    <w:rsid w:val="00A5115B"/>
    <w:rsid w:val="00A51D48"/>
    <w:rsid w:val="00A51DFD"/>
    <w:rsid w:val="00A52655"/>
    <w:rsid w:val="00A5331A"/>
    <w:rsid w:val="00A536BA"/>
    <w:rsid w:val="00A53A0A"/>
    <w:rsid w:val="00A67580"/>
    <w:rsid w:val="00A6763C"/>
    <w:rsid w:val="00A732FF"/>
    <w:rsid w:val="00A743D7"/>
    <w:rsid w:val="00A744BC"/>
    <w:rsid w:val="00A7502B"/>
    <w:rsid w:val="00A82C6C"/>
    <w:rsid w:val="00A858C1"/>
    <w:rsid w:val="00A878F7"/>
    <w:rsid w:val="00A90EF6"/>
    <w:rsid w:val="00A90FBF"/>
    <w:rsid w:val="00A91B90"/>
    <w:rsid w:val="00A96CDB"/>
    <w:rsid w:val="00A97025"/>
    <w:rsid w:val="00A970DF"/>
    <w:rsid w:val="00AA2726"/>
    <w:rsid w:val="00AA6191"/>
    <w:rsid w:val="00AA68FF"/>
    <w:rsid w:val="00AA6F5A"/>
    <w:rsid w:val="00AB2166"/>
    <w:rsid w:val="00AB2E0E"/>
    <w:rsid w:val="00AB38A7"/>
    <w:rsid w:val="00AB465E"/>
    <w:rsid w:val="00AB575A"/>
    <w:rsid w:val="00AB5814"/>
    <w:rsid w:val="00AB594C"/>
    <w:rsid w:val="00AC1AC2"/>
    <w:rsid w:val="00AC1B94"/>
    <w:rsid w:val="00AC4333"/>
    <w:rsid w:val="00AD1148"/>
    <w:rsid w:val="00AD20EB"/>
    <w:rsid w:val="00AD57B2"/>
    <w:rsid w:val="00AE0285"/>
    <w:rsid w:val="00AE05F0"/>
    <w:rsid w:val="00AE117E"/>
    <w:rsid w:val="00AE1B61"/>
    <w:rsid w:val="00AE2F4F"/>
    <w:rsid w:val="00AE4F6A"/>
    <w:rsid w:val="00AF23D0"/>
    <w:rsid w:val="00AF3531"/>
    <w:rsid w:val="00AF567B"/>
    <w:rsid w:val="00AF7ADF"/>
    <w:rsid w:val="00B01150"/>
    <w:rsid w:val="00B05B34"/>
    <w:rsid w:val="00B05E4C"/>
    <w:rsid w:val="00B07CEF"/>
    <w:rsid w:val="00B114A1"/>
    <w:rsid w:val="00B1494F"/>
    <w:rsid w:val="00B14BB7"/>
    <w:rsid w:val="00B16770"/>
    <w:rsid w:val="00B21490"/>
    <w:rsid w:val="00B26CD5"/>
    <w:rsid w:val="00B27DB3"/>
    <w:rsid w:val="00B31DA9"/>
    <w:rsid w:val="00B32C5E"/>
    <w:rsid w:val="00B32D82"/>
    <w:rsid w:val="00B33B3B"/>
    <w:rsid w:val="00B343BB"/>
    <w:rsid w:val="00B4061C"/>
    <w:rsid w:val="00B43113"/>
    <w:rsid w:val="00B441A2"/>
    <w:rsid w:val="00B505EA"/>
    <w:rsid w:val="00B547EC"/>
    <w:rsid w:val="00B55E7C"/>
    <w:rsid w:val="00B562C7"/>
    <w:rsid w:val="00B567A0"/>
    <w:rsid w:val="00B63262"/>
    <w:rsid w:val="00B64488"/>
    <w:rsid w:val="00B662B2"/>
    <w:rsid w:val="00B6763B"/>
    <w:rsid w:val="00B71B5F"/>
    <w:rsid w:val="00B72487"/>
    <w:rsid w:val="00B74209"/>
    <w:rsid w:val="00B74F8B"/>
    <w:rsid w:val="00B84138"/>
    <w:rsid w:val="00B921A8"/>
    <w:rsid w:val="00B97E51"/>
    <w:rsid w:val="00BA1B10"/>
    <w:rsid w:val="00BA2DE5"/>
    <w:rsid w:val="00BB1595"/>
    <w:rsid w:val="00BB2173"/>
    <w:rsid w:val="00BB2B14"/>
    <w:rsid w:val="00BB4B78"/>
    <w:rsid w:val="00BC314B"/>
    <w:rsid w:val="00BC34D0"/>
    <w:rsid w:val="00BC4A16"/>
    <w:rsid w:val="00BC5024"/>
    <w:rsid w:val="00BC6809"/>
    <w:rsid w:val="00BC6D11"/>
    <w:rsid w:val="00BD19AE"/>
    <w:rsid w:val="00BE16EA"/>
    <w:rsid w:val="00BE50FE"/>
    <w:rsid w:val="00BE5958"/>
    <w:rsid w:val="00BE7975"/>
    <w:rsid w:val="00BF075C"/>
    <w:rsid w:val="00BF5DA5"/>
    <w:rsid w:val="00BF642D"/>
    <w:rsid w:val="00C01E1C"/>
    <w:rsid w:val="00C029B9"/>
    <w:rsid w:val="00C048CC"/>
    <w:rsid w:val="00C071F6"/>
    <w:rsid w:val="00C12482"/>
    <w:rsid w:val="00C15219"/>
    <w:rsid w:val="00C152B7"/>
    <w:rsid w:val="00C156C5"/>
    <w:rsid w:val="00C22FE7"/>
    <w:rsid w:val="00C27EF9"/>
    <w:rsid w:val="00C3031E"/>
    <w:rsid w:val="00C30671"/>
    <w:rsid w:val="00C40E54"/>
    <w:rsid w:val="00C41151"/>
    <w:rsid w:val="00C51CD7"/>
    <w:rsid w:val="00C52BCB"/>
    <w:rsid w:val="00C54698"/>
    <w:rsid w:val="00C54C1F"/>
    <w:rsid w:val="00C55F02"/>
    <w:rsid w:val="00C567F2"/>
    <w:rsid w:val="00C60357"/>
    <w:rsid w:val="00C60C93"/>
    <w:rsid w:val="00C626F2"/>
    <w:rsid w:val="00C66DF7"/>
    <w:rsid w:val="00C7297D"/>
    <w:rsid w:val="00C75CFF"/>
    <w:rsid w:val="00C86587"/>
    <w:rsid w:val="00C878BB"/>
    <w:rsid w:val="00C90BED"/>
    <w:rsid w:val="00C92258"/>
    <w:rsid w:val="00C9262F"/>
    <w:rsid w:val="00C947CC"/>
    <w:rsid w:val="00C96393"/>
    <w:rsid w:val="00C9640C"/>
    <w:rsid w:val="00C96EBF"/>
    <w:rsid w:val="00CA4F75"/>
    <w:rsid w:val="00CB34D7"/>
    <w:rsid w:val="00CB683D"/>
    <w:rsid w:val="00CB6AB8"/>
    <w:rsid w:val="00CB6D9A"/>
    <w:rsid w:val="00CC01C2"/>
    <w:rsid w:val="00CC57DF"/>
    <w:rsid w:val="00CC72C7"/>
    <w:rsid w:val="00CC7751"/>
    <w:rsid w:val="00CD1B5F"/>
    <w:rsid w:val="00CD22DB"/>
    <w:rsid w:val="00CD5D90"/>
    <w:rsid w:val="00CD5FF3"/>
    <w:rsid w:val="00CD616E"/>
    <w:rsid w:val="00CD7258"/>
    <w:rsid w:val="00CE05E6"/>
    <w:rsid w:val="00CE1C9D"/>
    <w:rsid w:val="00CE4EAE"/>
    <w:rsid w:val="00CE58B8"/>
    <w:rsid w:val="00CE5FF9"/>
    <w:rsid w:val="00CE7771"/>
    <w:rsid w:val="00CF4785"/>
    <w:rsid w:val="00CF536C"/>
    <w:rsid w:val="00CF7030"/>
    <w:rsid w:val="00CF7B0E"/>
    <w:rsid w:val="00D028AE"/>
    <w:rsid w:val="00D10387"/>
    <w:rsid w:val="00D104BD"/>
    <w:rsid w:val="00D14FAE"/>
    <w:rsid w:val="00D15473"/>
    <w:rsid w:val="00D2087E"/>
    <w:rsid w:val="00D25F36"/>
    <w:rsid w:val="00D264D4"/>
    <w:rsid w:val="00D26B3B"/>
    <w:rsid w:val="00D26E5B"/>
    <w:rsid w:val="00D31024"/>
    <w:rsid w:val="00D336BE"/>
    <w:rsid w:val="00D353F4"/>
    <w:rsid w:val="00D357B5"/>
    <w:rsid w:val="00D36A08"/>
    <w:rsid w:val="00D37214"/>
    <w:rsid w:val="00D408BA"/>
    <w:rsid w:val="00D4182C"/>
    <w:rsid w:val="00D434A5"/>
    <w:rsid w:val="00D46E76"/>
    <w:rsid w:val="00D52276"/>
    <w:rsid w:val="00D525D1"/>
    <w:rsid w:val="00D55C4D"/>
    <w:rsid w:val="00D56402"/>
    <w:rsid w:val="00D6337A"/>
    <w:rsid w:val="00D635D7"/>
    <w:rsid w:val="00D63793"/>
    <w:rsid w:val="00D676A1"/>
    <w:rsid w:val="00D70BB8"/>
    <w:rsid w:val="00D725E9"/>
    <w:rsid w:val="00D7438A"/>
    <w:rsid w:val="00D74D8B"/>
    <w:rsid w:val="00D8054C"/>
    <w:rsid w:val="00D82B4B"/>
    <w:rsid w:val="00D846FB"/>
    <w:rsid w:val="00D87875"/>
    <w:rsid w:val="00D90810"/>
    <w:rsid w:val="00D93068"/>
    <w:rsid w:val="00D94364"/>
    <w:rsid w:val="00D9567F"/>
    <w:rsid w:val="00D95CF1"/>
    <w:rsid w:val="00D9677C"/>
    <w:rsid w:val="00DA5364"/>
    <w:rsid w:val="00DA5C84"/>
    <w:rsid w:val="00DA6565"/>
    <w:rsid w:val="00DB6D67"/>
    <w:rsid w:val="00DC2093"/>
    <w:rsid w:val="00DC5C22"/>
    <w:rsid w:val="00DC5E7F"/>
    <w:rsid w:val="00DC5EC2"/>
    <w:rsid w:val="00DC7334"/>
    <w:rsid w:val="00DC768B"/>
    <w:rsid w:val="00DD294A"/>
    <w:rsid w:val="00DD5F85"/>
    <w:rsid w:val="00DD6E66"/>
    <w:rsid w:val="00DE5E8F"/>
    <w:rsid w:val="00DF017D"/>
    <w:rsid w:val="00DF1C28"/>
    <w:rsid w:val="00DF5E87"/>
    <w:rsid w:val="00DF7982"/>
    <w:rsid w:val="00E00EDA"/>
    <w:rsid w:val="00E024F4"/>
    <w:rsid w:val="00E057DB"/>
    <w:rsid w:val="00E065DF"/>
    <w:rsid w:val="00E07AFB"/>
    <w:rsid w:val="00E113DA"/>
    <w:rsid w:val="00E11A90"/>
    <w:rsid w:val="00E13D8E"/>
    <w:rsid w:val="00E167BF"/>
    <w:rsid w:val="00E231B1"/>
    <w:rsid w:val="00E23436"/>
    <w:rsid w:val="00E271B4"/>
    <w:rsid w:val="00E30108"/>
    <w:rsid w:val="00E30C5A"/>
    <w:rsid w:val="00E32971"/>
    <w:rsid w:val="00E35D0B"/>
    <w:rsid w:val="00E37705"/>
    <w:rsid w:val="00E4135E"/>
    <w:rsid w:val="00E41F7B"/>
    <w:rsid w:val="00E45993"/>
    <w:rsid w:val="00E473A9"/>
    <w:rsid w:val="00E525C0"/>
    <w:rsid w:val="00E526A4"/>
    <w:rsid w:val="00E5511C"/>
    <w:rsid w:val="00E56496"/>
    <w:rsid w:val="00E6392B"/>
    <w:rsid w:val="00E66704"/>
    <w:rsid w:val="00E75352"/>
    <w:rsid w:val="00E76074"/>
    <w:rsid w:val="00E81663"/>
    <w:rsid w:val="00E86685"/>
    <w:rsid w:val="00E92AF4"/>
    <w:rsid w:val="00E95AC3"/>
    <w:rsid w:val="00E97C47"/>
    <w:rsid w:val="00EA14C6"/>
    <w:rsid w:val="00EA1E6F"/>
    <w:rsid w:val="00EA3DAD"/>
    <w:rsid w:val="00EA569B"/>
    <w:rsid w:val="00EA6032"/>
    <w:rsid w:val="00EA6E72"/>
    <w:rsid w:val="00EB3B6F"/>
    <w:rsid w:val="00EB5C2B"/>
    <w:rsid w:val="00EB6C5B"/>
    <w:rsid w:val="00EB728A"/>
    <w:rsid w:val="00EB7EBD"/>
    <w:rsid w:val="00EC09D6"/>
    <w:rsid w:val="00EC2052"/>
    <w:rsid w:val="00EC3AFD"/>
    <w:rsid w:val="00EC4ED7"/>
    <w:rsid w:val="00ED0A83"/>
    <w:rsid w:val="00ED12C3"/>
    <w:rsid w:val="00ED3AC7"/>
    <w:rsid w:val="00ED4187"/>
    <w:rsid w:val="00ED66D5"/>
    <w:rsid w:val="00ED6C77"/>
    <w:rsid w:val="00ED7196"/>
    <w:rsid w:val="00EE37E5"/>
    <w:rsid w:val="00EE47FF"/>
    <w:rsid w:val="00EE5CE0"/>
    <w:rsid w:val="00EE7911"/>
    <w:rsid w:val="00EF214A"/>
    <w:rsid w:val="00EF2384"/>
    <w:rsid w:val="00EF31F5"/>
    <w:rsid w:val="00EF4518"/>
    <w:rsid w:val="00EF4C2B"/>
    <w:rsid w:val="00EF5656"/>
    <w:rsid w:val="00EF5866"/>
    <w:rsid w:val="00EF6800"/>
    <w:rsid w:val="00EF6FDD"/>
    <w:rsid w:val="00F01784"/>
    <w:rsid w:val="00F01ABF"/>
    <w:rsid w:val="00F04E76"/>
    <w:rsid w:val="00F072C6"/>
    <w:rsid w:val="00F073B7"/>
    <w:rsid w:val="00F10C16"/>
    <w:rsid w:val="00F11428"/>
    <w:rsid w:val="00F114D6"/>
    <w:rsid w:val="00F137EB"/>
    <w:rsid w:val="00F13977"/>
    <w:rsid w:val="00F15A3E"/>
    <w:rsid w:val="00F1708C"/>
    <w:rsid w:val="00F21A1B"/>
    <w:rsid w:val="00F27456"/>
    <w:rsid w:val="00F32B03"/>
    <w:rsid w:val="00F3510C"/>
    <w:rsid w:val="00F37621"/>
    <w:rsid w:val="00F43CAD"/>
    <w:rsid w:val="00F54E14"/>
    <w:rsid w:val="00F57B81"/>
    <w:rsid w:val="00F6083F"/>
    <w:rsid w:val="00F608A4"/>
    <w:rsid w:val="00F6107F"/>
    <w:rsid w:val="00F646D7"/>
    <w:rsid w:val="00F67005"/>
    <w:rsid w:val="00F7093A"/>
    <w:rsid w:val="00F71A6A"/>
    <w:rsid w:val="00F72262"/>
    <w:rsid w:val="00F73555"/>
    <w:rsid w:val="00F75100"/>
    <w:rsid w:val="00F766E0"/>
    <w:rsid w:val="00F806B3"/>
    <w:rsid w:val="00F86877"/>
    <w:rsid w:val="00F86A2E"/>
    <w:rsid w:val="00F901D3"/>
    <w:rsid w:val="00F95AF0"/>
    <w:rsid w:val="00F965BB"/>
    <w:rsid w:val="00F96EDD"/>
    <w:rsid w:val="00FA1855"/>
    <w:rsid w:val="00FA1947"/>
    <w:rsid w:val="00FA1B38"/>
    <w:rsid w:val="00FA1D49"/>
    <w:rsid w:val="00FA1DA2"/>
    <w:rsid w:val="00FA4154"/>
    <w:rsid w:val="00FA431F"/>
    <w:rsid w:val="00FA5974"/>
    <w:rsid w:val="00FB3353"/>
    <w:rsid w:val="00FB5410"/>
    <w:rsid w:val="00FB5B52"/>
    <w:rsid w:val="00FB707B"/>
    <w:rsid w:val="00FB71F6"/>
    <w:rsid w:val="00FB7BFF"/>
    <w:rsid w:val="00FC012B"/>
    <w:rsid w:val="00FC1F39"/>
    <w:rsid w:val="00FC275F"/>
    <w:rsid w:val="00FC38BB"/>
    <w:rsid w:val="00FC5018"/>
    <w:rsid w:val="00FC5D8C"/>
    <w:rsid w:val="00FC6853"/>
    <w:rsid w:val="00FC72F2"/>
    <w:rsid w:val="00FC7F1F"/>
    <w:rsid w:val="00FD014D"/>
    <w:rsid w:val="00FD0E75"/>
    <w:rsid w:val="00FD619E"/>
    <w:rsid w:val="00FE0F5E"/>
    <w:rsid w:val="00FE38D0"/>
    <w:rsid w:val="00FE429D"/>
    <w:rsid w:val="00FE6E31"/>
    <w:rsid w:val="00FE75C2"/>
    <w:rsid w:val="00FF047C"/>
    <w:rsid w:val="00FF1657"/>
    <w:rsid w:val="00FF32BB"/>
    <w:rsid w:val="00FF446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039E"/>
    <w:pPr>
      <w:suppressAutoHyphens/>
    </w:pPr>
    <w:rPr>
      <w:sz w:val="24"/>
      <w:lang w:val="en-GB" w:eastAsia="fr-FR"/>
    </w:rPr>
  </w:style>
  <w:style w:type="paragraph" w:styleId="Heading1">
    <w:name w:val="heading 1"/>
    <w:basedOn w:val="Normal"/>
    <w:next w:val="Normal"/>
    <w:qFormat/>
    <w:rsid w:val="009B039E"/>
    <w:pPr>
      <w:keepNext/>
      <w:spacing w:before="360" w:after="240"/>
      <w:jc w:val="center"/>
      <w:outlineLvl w:val="0"/>
    </w:pPr>
    <w:rPr>
      <w:b/>
      <w:sz w:val="28"/>
    </w:rPr>
  </w:style>
  <w:style w:type="paragraph" w:styleId="Heading2">
    <w:name w:val="heading 2"/>
    <w:basedOn w:val="Normal"/>
    <w:next w:val="Normal"/>
    <w:qFormat/>
    <w:rsid w:val="009B039E"/>
    <w:pPr>
      <w:keepNext/>
      <w:spacing w:before="240" w:after="120"/>
      <w:ind w:left="284" w:hanging="284"/>
      <w:outlineLvl w:val="1"/>
    </w:pPr>
    <w:rPr>
      <w:b/>
    </w:rPr>
  </w:style>
  <w:style w:type="paragraph" w:styleId="Heading3">
    <w:name w:val="heading 3"/>
    <w:basedOn w:val="Normal"/>
    <w:next w:val="Normal"/>
    <w:qFormat/>
    <w:rsid w:val="009B039E"/>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rsid w:val="009B039E"/>
  </w:style>
  <w:style w:type="table" w:default="1" w:styleId="TableNormal">
    <w:name w:val="Normal Table"/>
    <w:semiHidden/>
    <w:rsid w:val="009B039E"/>
    <w:tblPr>
      <w:tblInd w:w="0" w:type="dxa"/>
      <w:tblCellMar>
        <w:top w:w="0" w:type="dxa"/>
        <w:left w:w="108" w:type="dxa"/>
        <w:bottom w:w="0" w:type="dxa"/>
        <w:right w:w="108" w:type="dxa"/>
      </w:tblCellMar>
    </w:tblPr>
  </w:style>
  <w:style w:type="numbering" w:default="1" w:styleId="NoList">
    <w:name w:val="No List"/>
    <w:semiHidden/>
    <w:rsid w:val="009B039E"/>
  </w:style>
  <w:style w:type="paragraph" w:customStyle="1" w:styleId="OpiHA">
    <w:name w:val="Opi_H_A"/>
    <w:basedOn w:val="JuHIRoman"/>
    <w:next w:val="OpiPara"/>
    <w:rsid w:val="009B039E"/>
    <w:pPr>
      <w:tabs>
        <w:tab w:val="clear" w:pos="357"/>
      </w:tabs>
    </w:pPr>
    <w:rPr>
      <w:b/>
    </w:rPr>
  </w:style>
  <w:style w:type="paragraph" w:customStyle="1" w:styleId="JuHIRoman">
    <w:name w:val="Ju_H_I_Roman"/>
    <w:basedOn w:val="JuHHead"/>
    <w:next w:val="JuPara"/>
    <w:rsid w:val="009B039E"/>
    <w:pPr>
      <w:tabs>
        <w:tab w:val="left" w:pos="357"/>
      </w:tabs>
      <w:spacing w:before="360"/>
      <w:ind w:left="357" w:hanging="357"/>
    </w:pPr>
    <w:rPr>
      <w:sz w:val="24"/>
    </w:rPr>
  </w:style>
  <w:style w:type="paragraph" w:customStyle="1" w:styleId="JuHHead">
    <w:name w:val="Ju_H_Head"/>
    <w:basedOn w:val="Normal"/>
    <w:next w:val="JuPara"/>
    <w:rsid w:val="009B039E"/>
    <w:pPr>
      <w:keepNext/>
      <w:keepLines/>
      <w:spacing w:before="720" w:after="240"/>
      <w:jc w:val="both"/>
    </w:pPr>
    <w:rPr>
      <w:sz w:val="28"/>
    </w:rPr>
  </w:style>
  <w:style w:type="paragraph" w:customStyle="1" w:styleId="JuPara">
    <w:name w:val="Ju_Para"/>
    <w:basedOn w:val="Normal"/>
    <w:link w:val="JuParaChar"/>
    <w:rsid w:val="009B039E"/>
    <w:pPr>
      <w:ind w:firstLine="284"/>
      <w:jc w:val="both"/>
    </w:pPr>
  </w:style>
  <w:style w:type="paragraph" w:customStyle="1" w:styleId="OpiPara">
    <w:name w:val="Opi_Para"/>
    <w:basedOn w:val="JuPara"/>
    <w:rsid w:val="009B039E"/>
  </w:style>
  <w:style w:type="paragraph" w:customStyle="1" w:styleId="OpiH1">
    <w:name w:val="Opi_H_1."/>
    <w:basedOn w:val="OpiHA"/>
    <w:next w:val="OpiPara"/>
    <w:rsid w:val="009B039E"/>
    <w:pPr>
      <w:spacing w:before="240" w:after="120"/>
      <w:ind w:left="635"/>
    </w:pPr>
    <w:rPr>
      <w:b w:val="0"/>
      <w:i/>
    </w:rPr>
  </w:style>
  <w:style w:type="paragraph" w:customStyle="1" w:styleId="OpiHa0">
    <w:name w:val="Opi_H_a"/>
    <w:basedOn w:val="OpiH1"/>
    <w:next w:val="OpiPara"/>
    <w:rsid w:val="009B039E"/>
    <w:pPr>
      <w:ind w:left="834"/>
    </w:pPr>
    <w:rPr>
      <w:b/>
      <w:i w:val="0"/>
      <w:sz w:val="20"/>
    </w:rPr>
  </w:style>
  <w:style w:type="paragraph" w:customStyle="1" w:styleId="OpiHHead">
    <w:name w:val="Opi_H_Head"/>
    <w:basedOn w:val="JuHHead"/>
    <w:next w:val="OpiPara"/>
    <w:rsid w:val="009B039E"/>
    <w:pPr>
      <w:spacing w:before="0"/>
      <w:jc w:val="center"/>
    </w:pPr>
  </w:style>
  <w:style w:type="paragraph" w:customStyle="1" w:styleId="OpiHi">
    <w:name w:val="Opi_H_i"/>
    <w:basedOn w:val="OpiHa0"/>
    <w:next w:val="OpiPara"/>
    <w:rsid w:val="009B039E"/>
    <w:pPr>
      <w:ind w:left="1038"/>
    </w:pPr>
    <w:rPr>
      <w:b w:val="0"/>
      <w:i/>
    </w:rPr>
  </w:style>
  <w:style w:type="paragraph" w:styleId="Footer">
    <w:name w:val="footer"/>
    <w:basedOn w:val="Normal"/>
    <w:rsid w:val="009B039E"/>
    <w:pPr>
      <w:tabs>
        <w:tab w:val="center" w:pos="3686"/>
        <w:tab w:val="right" w:pos="7371"/>
      </w:tabs>
    </w:pPr>
    <w:rPr>
      <w:sz w:val="18"/>
    </w:rPr>
  </w:style>
  <w:style w:type="paragraph" w:customStyle="1" w:styleId="JuJudges">
    <w:name w:val="Ju_Judges"/>
    <w:basedOn w:val="Normal"/>
    <w:link w:val="JuJudgesChar"/>
    <w:rsid w:val="009B039E"/>
    <w:pPr>
      <w:tabs>
        <w:tab w:val="left" w:pos="567"/>
        <w:tab w:val="left" w:pos="1134"/>
      </w:tabs>
    </w:pPr>
  </w:style>
  <w:style w:type="character" w:customStyle="1" w:styleId="JuParaChar">
    <w:name w:val="Ju_Para Char"/>
    <w:basedOn w:val="DefaultParagraphFont"/>
    <w:link w:val="JuPara"/>
    <w:rsid w:val="00B921A8"/>
    <w:rPr>
      <w:sz w:val="24"/>
      <w:lang w:val="en-GB" w:eastAsia="fr-FR" w:bidi="ar-SA"/>
    </w:rPr>
  </w:style>
  <w:style w:type="paragraph" w:customStyle="1" w:styleId="JuHA">
    <w:name w:val="Ju_H_A"/>
    <w:basedOn w:val="JuHIRoman"/>
    <w:next w:val="JuPara"/>
    <w:rsid w:val="009B039E"/>
    <w:pPr>
      <w:tabs>
        <w:tab w:val="clear" w:pos="357"/>
        <w:tab w:val="left" w:pos="584"/>
      </w:tabs>
      <w:ind w:left="584" w:hanging="352"/>
    </w:pPr>
    <w:rPr>
      <w:b/>
    </w:rPr>
  </w:style>
  <w:style w:type="paragraph" w:customStyle="1" w:styleId="JuQuot">
    <w:name w:val="Ju_Quot"/>
    <w:basedOn w:val="JuPara"/>
    <w:rsid w:val="009B039E"/>
    <w:pPr>
      <w:spacing w:before="120" w:after="120"/>
      <w:ind w:left="425" w:firstLine="142"/>
    </w:pPr>
    <w:rPr>
      <w:sz w:val="20"/>
    </w:rPr>
  </w:style>
  <w:style w:type="paragraph" w:customStyle="1" w:styleId="JuSigned">
    <w:name w:val="Ju_Signed"/>
    <w:basedOn w:val="Normal"/>
    <w:next w:val="JuParaLast"/>
    <w:link w:val="JuSignedChar"/>
    <w:rsid w:val="00460FAD"/>
    <w:pPr>
      <w:tabs>
        <w:tab w:val="center" w:pos="1219"/>
        <w:tab w:val="center" w:pos="6379"/>
      </w:tabs>
      <w:spacing w:before="720"/>
    </w:pPr>
  </w:style>
  <w:style w:type="paragraph" w:customStyle="1" w:styleId="JuParaLast">
    <w:name w:val="Ju_Para_Last"/>
    <w:basedOn w:val="JuPara"/>
    <w:next w:val="JuPara"/>
    <w:rsid w:val="009B039E"/>
    <w:pPr>
      <w:spacing w:before="240"/>
    </w:pPr>
  </w:style>
  <w:style w:type="paragraph" w:customStyle="1" w:styleId="JuCase">
    <w:name w:val="Ju_Case"/>
    <w:basedOn w:val="JuPara"/>
    <w:next w:val="JuPara"/>
    <w:link w:val="JuCaseChar"/>
    <w:rsid w:val="009B039E"/>
    <w:rPr>
      <w:b/>
    </w:rPr>
  </w:style>
  <w:style w:type="paragraph" w:customStyle="1" w:styleId="JuList">
    <w:name w:val="Ju_List"/>
    <w:basedOn w:val="JuPara"/>
    <w:rsid w:val="009B039E"/>
    <w:pPr>
      <w:ind w:left="340" w:hanging="340"/>
    </w:pPr>
  </w:style>
  <w:style w:type="paragraph" w:customStyle="1" w:styleId="JuHArticle">
    <w:name w:val="Ju_H_Article"/>
    <w:basedOn w:val="JuHa0"/>
    <w:next w:val="JuQuot"/>
    <w:rsid w:val="009B039E"/>
    <w:pPr>
      <w:ind w:left="0" w:firstLine="0"/>
      <w:jc w:val="center"/>
    </w:pPr>
  </w:style>
  <w:style w:type="paragraph" w:customStyle="1" w:styleId="JuHa0">
    <w:name w:val="Ju_H_a"/>
    <w:basedOn w:val="JuH1"/>
    <w:next w:val="JuPara"/>
    <w:rsid w:val="009B039E"/>
    <w:pPr>
      <w:tabs>
        <w:tab w:val="clear" w:pos="731"/>
        <w:tab w:val="left" w:pos="975"/>
      </w:tabs>
      <w:ind w:left="975" w:hanging="340"/>
    </w:pPr>
    <w:rPr>
      <w:b/>
      <w:i w:val="0"/>
      <w:sz w:val="20"/>
    </w:rPr>
  </w:style>
  <w:style w:type="paragraph" w:customStyle="1" w:styleId="JuH1">
    <w:name w:val="Ju_H_1."/>
    <w:basedOn w:val="JuHA"/>
    <w:next w:val="JuPara"/>
    <w:rsid w:val="009B039E"/>
    <w:pPr>
      <w:tabs>
        <w:tab w:val="clear" w:pos="584"/>
        <w:tab w:val="left" w:pos="731"/>
      </w:tabs>
      <w:spacing w:before="240" w:after="120"/>
      <w:ind w:left="732" w:hanging="301"/>
    </w:pPr>
    <w:rPr>
      <w:b w:val="0"/>
      <w:i/>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rsid w:val="009B039E"/>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9B039E"/>
  </w:style>
  <w:style w:type="paragraph" w:customStyle="1" w:styleId="OpiTranslation">
    <w:name w:val="Opi_Translation"/>
    <w:basedOn w:val="OpiHHead"/>
    <w:next w:val="OpiPara"/>
    <w:rsid w:val="009B039E"/>
    <w:rPr>
      <w:sz w:val="24"/>
    </w:rPr>
  </w:style>
  <w:style w:type="paragraph" w:styleId="FootnoteText">
    <w:name w:val="footnote text"/>
    <w:basedOn w:val="Normal"/>
    <w:semiHidden/>
    <w:rsid w:val="009B039E"/>
    <w:pPr>
      <w:jc w:val="both"/>
    </w:pPr>
    <w:rPr>
      <w:sz w:val="20"/>
    </w:rPr>
  </w:style>
  <w:style w:type="character" w:styleId="FootnoteReference">
    <w:name w:val="footnote reference"/>
    <w:basedOn w:val="DefaultParagraphFont"/>
    <w:semiHidden/>
    <w:rsid w:val="009B039E"/>
    <w:rPr>
      <w:vertAlign w:val="superscript"/>
    </w:rPr>
  </w:style>
  <w:style w:type="paragraph" w:customStyle="1" w:styleId="JuHi">
    <w:name w:val="Ju_H_i"/>
    <w:basedOn w:val="JuHa0"/>
    <w:next w:val="JuPara"/>
    <w:rsid w:val="009B039E"/>
    <w:pPr>
      <w:tabs>
        <w:tab w:val="clear" w:pos="975"/>
        <w:tab w:val="left" w:pos="1191"/>
      </w:tabs>
      <w:ind w:left="1190" w:hanging="357"/>
    </w:pPr>
    <w:rPr>
      <w:b w:val="0"/>
      <w:i/>
    </w:rPr>
  </w:style>
  <w:style w:type="paragraph" w:styleId="Header">
    <w:name w:val="header"/>
    <w:basedOn w:val="Normal"/>
    <w:rsid w:val="009B039E"/>
    <w:pPr>
      <w:tabs>
        <w:tab w:val="center" w:pos="3686"/>
        <w:tab w:val="right" w:pos="7371"/>
      </w:tabs>
    </w:pPr>
    <w:rPr>
      <w:sz w:val="18"/>
    </w:rPr>
  </w:style>
  <w:style w:type="character" w:styleId="PageNumber">
    <w:name w:val="page number"/>
    <w:basedOn w:val="DefaultParagraphFont"/>
    <w:rsid w:val="009B039E"/>
    <w:rPr>
      <w:sz w:val="18"/>
    </w:rPr>
  </w:style>
  <w:style w:type="paragraph" w:customStyle="1" w:styleId="JuH">
    <w:name w:val="Ju_H_–"/>
    <w:basedOn w:val="JuHalpha"/>
    <w:next w:val="JuPara"/>
    <w:rsid w:val="009B039E"/>
    <w:pPr>
      <w:tabs>
        <w:tab w:val="clear" w:pos="1372"/>
      </w:tabs>
      <w:ind w:left="1236" w:firstLine="0"/>
    </w:pPr>
    <w:rPr>
      <w:i/>
    </w:rPr>
  </w:style>
  <w:style w:type="paragraph" w:customStyle="1" w:styleId="JuHalpha">
    <w:name w:val="Ju_H_alpha"/>
    <w:basedOn w:val="JuHi"/>
    <w:next w:val="JuPara"/>
    <w:rsid w:val="009B039E"/>
    <w:pPr>
      <w:tabs>
        <w:tab w:val="clear" w:pos="1191"/>
        <w:tab w:val="left" w:pos="1372"/>
      </w:tabs>
      <w:ind w:left="1373" w:hanging="335"/>
    </w:pPr>
    <w:rPr>
      <w:i w:val="0"/>
    </w:rPr>
  </w:style>
  <w:style w:type="paragraph" w:customStyle="1" w:styleId="JuLista">
    <w:name w:val="Ju_List_a"/>
    <w:basedOn w:val="JuList"/>
    <w:rsid w:val="009B039E"/>
    <w:pPr>
      <w:ind w:left="346" w:firstLine="0"/>
    </w:pPr>
  </w:style>
  <w:style w:type="paragraph" w:customStyle="1" w:styleId="JuListi">
    <w:name w:val="Ju_List_i"/>
    <w:basedOn w:val="JuLista"/>
    <w:rsid w:val="009B039E"/>
    <w:pPr>
      <w:ind w:left="794"/>
    </w:pPr>
  </w:style>
  <w:style w:type="character" w:styleId="CommentReference">
    <w:name w:val="annotation reference"/>
    <w:basedOn w:val="DefaultParagraphFont"/>
    <w:semiHidden/>
    <w:rPr>
      <w:sz w:val="16"/>
    </w:rPr>
  </w:style>
  <w:style w:type="paragraph" w:styleId="CommentText">
    <w:name w:val="annotation text"/>
    <w:basedOn w:val="Normal"/>
    <w:semiHidden/>
    <w:rPr>
      <w:sz w:val="20"/>
    </w:rPr>
  </w:style>
  <w:style w:type="paragraph" w:customStyle="1" w:styleId="JuInitialled">
    <w:name w:val="Ju_Initialled"/>
    <w:basedOn w:val="JuSigned"/>
    <w:rsid w:val="009B039E"/>
    <w:pPr>
      <w:jc w:val="right"/>
    </w:pPr>
  </w:style>
  <w:style w:type="paragraph" w:customStyle="1" w:styleId="JuHeader">
    <w:name w:val="Ju_Header"/>
    <w:basedOn w:val="Header"/>
    <w:rsid w:val="009B039E"/>
  </w:style>
  <w:style w:type="paragraph" w:customStyle="1" w:styleId="DecHTitle">
    <w:name w:val="Dec_H_Title"/>
    <w:basedOn w:val="Normal"/>
    <w:rsid w:val="009B039E"/>
    <w:pPr>
      <w:spacing w:after="240"/>
      <w:jc w:val="center"/>
    </w:pPr>
    <w:rPr>
      <w:sz w:val="28"/>
    </w:rPr>
  </w:style>
  <w:style w:type="paragraph" w:customStyle="1" w:styleId="DecHCase">
    <w:name w:val="Dec_H_Case"/>
    <w:basedOn w:val="DecHTitle"/>
    <w:next w:val="JuPara"/>
    <w:rsid w:val="009B039E"/>
    <w:rPr>
      <w:sz w:val="24"/>
    </w:rPr>
  </w:style>
  <w:style w:type="paragraph" w:customStyle="1" w:styleId="DecList">
    <w:name w:val="Dec_List"/>
    <w:basedOn w:val="Normal"/>
    <w:rsid w:val="009B039E"/>
    <w:pPr>
      <w:spacing w:before="240"/>
      <w:ind w:left="284"/>
      <w:jc w:val="both"/>
    </w:pPr>
  </w:style>
  <w:style w:type="paragraph" w:customStyle="1" w:styleId="JuParaSub">
    <w:name w:val="Ju_Para_Sub"/>
    <w:basedOn w:val="JuPara"/>
    <w:rsid w:val="009B039E"/>
    <w:pPr>
      <w:ind w:left="284"/>
    </w:pPr>
    <w:rPr>
      <w:szCs w:val="24"/>
    </w:rPr>
  </w:style>
  <w:style w:type="paragraph" w:customStyle="1" w:styleId="JuQuotSub">
    <w:name w:val="Ju_Quot_Sub"/>
    <w:basedOn w:val="JuQuot"/>
    <w:rsid w:val="009B039E"/>
    <w:pPr>
      <w:ind w:left="567"/>
    </w:pPr>
  </w:style>
  <w:style w:type="paragraph" w:styleId="BalloonText">
    <w:name w:val="Balloon Text"/>
    <w:basedOn w:val="Normal"/>
    <w:semiHidden/>
    <w:rsid w:val="00457A18"/>
    <w:rPr>
      <w:rFonts w:ascii="Tahoma" w:hAnsi="Tahoma" w:cs="Tahoma"/>
      <w:sz w:val="16"/>
      <w:szCs w:val="16"/>
    </w:rPr>
  </w:style>
  <w:style w:type="paragraph" w:styleId="CommentSubject">
    <w:name w:val="annotation subject"/>
    <w:basedOn w:val="CommentText"/>
    <w:next w:val="CommentText"/>
    <w:semiHidden/>
    <w:rsid w:val="00D353F4"/>
    <w:rPr>
      <w:b/>
      <w:bCs/>
    </w:rPr>
  </w:style>
  <w:style w:type="paragraph" w:customStyle="1" w:styleId="PJuPara">
    <w:name w:val="P_Ju_Para"/>
    <w:basedOn w:val="Normal"/>
    <w:rsid w:val="009B039E"/>
    <w:pPr>
      <w:ind w:firstLine="284"/>
      <w:jc w:val="both"/>
    </w:pPr>
  </w:style>
  <w:style w:type="paragraph" w:customStyle="1" w:styleId="PJuQuot">
    <w:name w:val="P_Ju_Quot"/>
    <w:basedOn w:val="Normal"/>
    <w:rsid w:val="009B039E"/>
    <w:pPr>
      <w:spacing w:before="120" w:after="120"/>
      <w:ind w:left="403" w:firstLine="176"/>
      <w:jc w:val="both"/>
    </w:pPr>
    <w:rPr>
      <w:sz w:val="20"/>
    </w:rPr>
  </w:style>
  <w:style w:type="paragraph" w:customStyle="1" w:styleId="PListArticleSubject">
    <w:name w:val="P_List_ArticleSubject"/>
    <w:basedOn w:val="Normal"/>
    <w:rsid w:val="009B039E"/>
    <w:pPr>
      <w:tabs>
        <w:tab w:val="left" w:pos="2977"/>
      </w:tabs>
      <w:ind w:left="2977" w:hanging="2977"/>
    </w:pPr>
  </w:style>
  <w:style w:type="paragraph" w:customStyle="1" w:styleId="SuCoverTitle1">
    <w:name w:val="Su_Cover_Title1"/>
    <w:basedOn w:val="Normal"/>
    <w:next w:val="SuCoverTitle2"/>
    <w:rsid w:val="009B039E"/>
    <w:pPr>
      <w:spacing w:before="2500"/>
      <w:jc w:val="center"/>
    </w:pPr>
    <w:rPr>
      <w:sz w:val="22"/>
    </w:rPr>
  </w:style>
  <w:style w:type="paragraph" w:customStyle="1" w:styleId="SuCoverTitle2">
    <w:name w:val="Su_Cover_Title2"/>
    <w:basedOn w:val="SuCoverTitle1"/>
    <w:next w:val="Normal"/>
    <w:rsid w:val="009B039E"/>
    <w:pPr>
      <w:spacing w:before="240"/>
    </w:pPr>
    <w:rPr>
      <w:sz w:val="18"/>
    </w:rPr>
  </w:style>
  <w:style w:type="paragraph" w:customStyle="1" w:styleId="SuPara">
    <w:name w:val="Su_Para"/>
    <w:basedOn w:val="SuKeywords"/>
    <w:rsid w:val="009B039E"/>
    <w:pPr>
      <w:spacing w:before="0" w:after="0"/>
    </w:pPr>
    <w:rPr>
      <w:i w:val="0"/>
    </w:rPr>
  </w:style>
  <w:style w:type="paragraph" w:customStyle="1" w:styleId="SuKeywords">
    <w:name w:val="Su_Keywords"/>
    <w:basedOn w:val="SuHHead"/>
    <w:rsid w:val="009B039E"/>
    <w:pPr>
      <w:spacing w:before="120"/>
    </w:pPr>
    <w:rPr>
      <w:b w:val="0"/>
      <w:i/>
    </w:rPr>
  </w:style>
  <w:style w:type="paragraph" w:customStyle="1" w:styleId="SuHHead">
    <w:name w:val="Su_H_Head"/>
    <w:basedOn w:val="SuSubject"/>
    <w:rsid w:val="009B039E"/>
    <w:pPr>
      <w:spacing w:after="120"/>
    </w:pPr>
  </w:style>
  <w:style w:type="paragraph" w:customStyle="1" w:styleId="SuSubject">
    <w:name w:val="Su_Subject"/>
    <w:basedOn w:val="SuSummary"/>
    <w:rsid w:val="009B039E"/>
    <w:pPr>
      <w:spacing w:before="360"/>
      <w:jc w:val="both"/>
    </w:pPr>
    <w:rPr>
      <w:b/>
      <w:sz w:val="22"/>
    </w:rPr>
  </w:style>
  <w:style w:type="paragraph" w:customStyle="1" w:styleId="SuSummary">
    <w:name w:val="Su_Summary"/>
    <w:basedOn w:val="Normal"/>
    <w:next w:val="SuSubject"/>
    <w:rsid w:val="009B039E"/>
    <w:pPr>
      <w:spacing w:after="240"/>
      <w:jc w:val="center"/>
    </w:pPr>
  </w:style>
  <w:style w:type="paragraph" w:customStyle="1" w:styleId="PListCaseNo">
    <w:name w:val="P_List_CaseNo"/>
    <w:basedOn w:val="Normal"/>
    <w:rsid w:val="009B039E"/>
    <w:pPr>
      <w:tabs>
        <w:tab w:val="left" w:pos="1276"/>
      </w:tabs>
      <w:spacing w:line="288" w:lineRule="auto"/>
      <w:ind w:left="1276" w:hanging="1276"/>
    </w:pPr>
  </w:style>
  <w:style w:type="paragraph" w:customStyle="1" w:styleId="PListCases">
    <w:name w:val="P_List_Cases"/>
    <w:basedOn w:val="Normal"/>
    <w:rsid w:val="009B039E"/>
    <w:pPr>
      <w:spacing w:line="288" w:lineRule="auto"/>
    </w:pPr>
  </w:style>
  <w:style w:type="paragraph" w:customStyle="1" w:styleId="PTextIntro">
    <w:name w:val="P_Text_Intro"/>
    <w:basedOn w:val="Normal"/>
    <w:rsid w:val="009B039E"/>
    <w:pPr>
      <w:jc w:val="both"/>
    </w:pPr>
    <w:rPr>
      <w:i/>
      <w:sz w:val="20"/>
    </w:rPr>
  </w:style>
  <w:style w:type="paragraph" w:customStyle="1" w:styleId="PTitleCover">
    <w:name w:val="P_Title_Cover"/>
    <w:basedOn w:val="Normal"/>
    <w:rsid w:val="009B039E"/>
    <w:pPr>
      <w:spacing w:before="2500"/>
      <w:jc w:val="center"/>
    </w:pPr>
    <w:rPr>
      <w:b/>
      <w:smallCaps/>
      <w:sz w:val="30"/>
    </w:rPr>
  </w:style>
  <w:style w:type="paragraph" w:customStyle="1" w:styleId="PTitle1Alpha">
    <w:name w:val="P_Title1_Alpha"/>
    <w:basedOn w:val="Normal"/>
    <w:next w:val="Normal"/>
    <w:rsid w:val="009B039E"/>
    <w:pPr>
      <w:spacing w:after="120"/>
      <w:jc w:val="center"/>
    </w:pPr>
    <w:rPr>
      <w:b/>
      <w:smallCaps/>
      <w:sz w:val="30"/>
    </w:rPr>
  </w:style>
  <w:style w:type="paragraph" w:customStyle="1" w:styleId="PTitle1IndexArticle">
    <w:name w:val="P_Title1_IndexArticle"/>
    <w:basedOn w:val="Normal"/>
    <w:rsid w:val="009B039E"/>
    <w:pPr>
      <w:spacing w:after="120"/>
      <w:jc w:val="center"/>
    </w:pPr>
    <w:rPr>
      <w:b/>
      <w:smallCaps/>
      <w:sz w:val="30"/>
    </w:rPr>
  </w:style>
  <w:style w:type="paragraph" w:customStyle="1" w:styleId="PTitle1IndexKey">
    <w:name w:val="P_Title1_IndexKey"/>
    <w:basedOn w:val="Normal"/>
    <w:rsid w:val="009B039E"/>
    <w:pPr>
      <w:spacing w:after="600"/>
      <w:jc w:val="center"/>
    </w:pPr>
    <w:rPr>
      <w:b/>
      <w:smallCaps/>
      <w:sz w:val="30"/>
    </w:rPr>
  </w:style>
  <w:style w:type="paragraph" w:customStyle="1" w:styleId="PTitle1Num">
    <w:name w:val="P_Title1_Num"/>
    <w:basedOn w:val="Normal"/>
    <w:next w:val="PListCaseNo"/>
    <w:rsid w:val="009B039E"/>
    <w:pPr>
      <w:spacing w:after="720"/>
      <w:jc w:val="center"/>
    </w:pPr>
    <w:rPr>
      <w:b/>
      <w:smallCaps/>
      <w:sz w:val="30"/>
    </w:rPr>
  </w:style>
  <w:style w:type="paragraph" w:customStyle="1" w:styleId="PTitle2Country">
    <w:name w:val="P_Title2_Country"/>
    <w:basedOn w:val="Normal"/>
    <w:next w:val="PListCases"/>
    <w:rsid w:val="009B039E"/>
    <w:pPr>
      <w:keepNext/>
      <w:keepLines/>
      <w:spacing w:before="600" w:after="360"/>
    </w:pPr>
    <w:rPr>
      <w:b/>
    </w:rPr>
  </w:style>
  <w:style w:type="paragraph" w:customStyle="1" w:styleId="PTitle2Letters">
    <w:name w:val="P_Title2_Letters"/>
    <w:basedOn w:val="Normal"/>
    <w:next w:val="PListCases"/>
    <w:rsid w:val="009B039E"/>
    <w:pPr>
      <w:keepNext/>
      <w:keepLines/>
      <w:spacing w:before="600" w:after="360"/>
    </w:pPr>
    <w:rPr>
      <w:b/>
      <w:sz w:val="28"/>
    </w:rPr>
  </w:style>
  <w:style w:type="paragraph" w:customStyle="1" w:styleId="PTitle2Part">
    <w:name w:val="P_Title2_Part"/>
    <w:basedOn w:val="Normal"/>
    <w:rsid w:val="009B039E"/>
    <w:pPr>
      <w:keepNext/>
      <w:keepLines/>
      <w:spacing w:before="600" w:after="240"/>
      <w:jc w:val="center"/>
    </w:pPr>
    <w:rPr>
      <w:b/>
      <w:caps/>
    </w:rPr>
  </w:style>
  <w:style w:type="paragraph" w:customStyle="1" w:styleId="PTitle3Article">
    <w:name w:val="P_Title3_Article"/>
    <w:basedOn w:val="Normal"/>
    <w:rsid w:val="009B039E"/>
    <w:pPr>
      <w:keepNext/>
      <w:keepLines/>
      <w:spacing w:before="360" w:after="120"/>
      <w:jc w:val="center"/>
    </w:pPr>
    <w:rPr>
      <w:b/>
      <w:smallCaps/>
      <w:sz w:val="22"/>
    </w:rPr>
  </w:style>
  <w:style w:type="paragraph" w:customStyle="1" w:styleId="PTitle4ArticleSub">
    <w:name w:val="P_Title4_Article_Sub"/>
    <w:basedOn w:val="PTitle3Article"/>
    <w:rsid w:val="009B039E"/>
    <w:pPr>
      <w:spacing w:before="240"/>
    </w:pPr>
    <w:rPr>
      <w:smallCaps w:val="0"/>
      <w:sz w:val="20"/>
    </w:rPr>
  </w:style>
  <w:style w:type="paragraph" w:customStyle="1" w:styleId="PTitle5Subject">
    <w:name w:val="P_Title5_Subject"/>
    <w:basedOn w:val="Normal"/>
    <w:rsid w:val="009B039E"/>
    <w:pPr>
      <w:keepNext/>
      <w:keepLines/>
      <w:spacing w:before="240" w:after="120"/>
      <w:jc w:val="both"/>
    </w:pPr>
    <w:rPr>
      <w:b/>
      <w:i/>
    </w:rPr>
  </w:style>
  <w:style w:type="paragraph" w:customStyle="1" w:styleId="PTitle6SubjectSub">
    <w:name w:val="P_Title6_Subject_Sub"/>
    <w:basedOn w:val="Normal"/>
    <w:rsid w:val="009B039E"/>
    <w:pPr>
      <w:keepNext/>
      <w:keepLines/>
      <w:spacing w:before="240" w:after="120"/>
      <w:ind w:left="284"/>
      <w:jc w:val="both"/>
    </w:pPr>
    <w:rPr>
      <w:b/>
      <w:sz w:val="20"/>
    </w:rPr>
  </w:style>
  <w:style w:type="paragraph" w:customStyle="1" w:styleId="PTitle7CaseName">
    <w:name w:val="P_Title7_CaseName"/>
    <w:basedOn w:val="Normal"/>
    <w:rsid w:val="009B039E"/>
    <w:pPr>
      <w:keepLines/>
      <w:spacing w:after="240"/>
      <w:jc w:val="right"/>
    </w:pPr>
    <w:rPr>
      <w:sz w:val="22"/>
    </w:rPr>
  </w:style>
  <w:style w:type="paragraph" w:customStyle="1" w:styleId="OpiParaSub">
    <w:name w:val="Opi_Para_Sub"/>
    <w:basedOn w:val="JuParaSub"/>
    <w:rsid w:val="009B039E"/>
  </w:style>
  <w:style w:type="paragraph" w:customStyle="1" w:styleId="OpiQuotSub">
    <w:name w:val="Opi_Quot_Sub"/>
    <w:basedOn w:val="JuQuotSub"/>
    <w:rsid w:val="009B039E"/>
  </w:style>
  <w:style w:type="character" w:customStyle="1" w:styleId="JuSignedChar">
    <w:name w:val="Ju_Signed Char"/>
    <w:basedOn w:val="DefaultParagraphFont"/>
    <w:link w:val="JuSigned"/>
    <w:rsid w:val="000726F6"/>
    <w:rPr>
      <w:sz w:val="24"/>
      <w:lang w:val="en-GB" w:eastAsia="fr-FR" w:bidi="ar-SA"/>
    </w:rPr>
  </w:style>
  <w:style w:type="character" w:customStyle="1" w:styleId="JuJudgesChar">
    <w:name w:val="Ju_Judges Char"/>
    <w:basedOn w:val="DefaultParagraphFont"/>
    <w:link w:val="JuJudges"/>
    <w:locked/>
    <w:rsid w:val="00D15473"/>
    <w:rPr>
      <w:sz w:val="24"/>
      <w:lang w:val="en-GB" w:eastAsia="fr-FR" w:bidi="ar-SA"/>
    </w:rPr>
  </w:style>
  <w:style w:type="character" w:customStyle="1" w:styleId="JuCaseChar">
    <w:name w:val="Ju_Case Char"/>
    <w:basedOn w:val="JuParaChar"/>
    <w:link w:val="JuCase"/>
    <w:rsid w:val="00B921A8"/>
    <w:rPr>
      <w:b/>
      <w:sz w:val="24"/>
      <w:lang w:val="en-GB" w:eastAsia="fr-FR" w:bidi="ar-SA"/>
    </w:rPr>
  </w:style>
  <w:style w:type="character" w:styleId="Hyperlink">
    <w:name w:val="Hyperlink"/>
    <w:basedOn w:val="DefaultParagraphFont"/>
    <w:rsid w:val="004E657D"/>
    <w:rPr>
      <w:color w:val="0000FF"/>
      <w:u w:val="single"/>
    </w:rPr>
  </w:style>
  <w:style w:type="character" w:customStyle="1" w:styleId="ju-005fpara-0020char1--char">
    <w:name w:val="ju-005fpara-0020char1--char"/>
    <w:basedOn w:val="DefaultParagraphFont"/>
    <w:rsid w:val="00D26B3B"/>
  </w:style>
  <w:style w:type="character" w:customStyle="1" w:styleId="ju-005fpara--char">
    <w:name w:val="ju-005fpara--char"/>
    <w:basedOn w:val="DefaultParagraphFont"/>
    <w:rsid w:val="00D26B3B"/>
  </w:style>
  <w:style w:type="paragraph" w:styleId="DocumentMap">
    <w:name w:val="Document Map"/>
    <w:basedOn w:val="Normal"/>
    <w:semiHidden/>
    <w:rsid w:val="00D264D4"/>
    <w:pPr>
      <w:shd w:val="clear" w:color="auto" w:fill="000080"/>
    </w:pPr>
    <w:rPr>
      <w:rFonts w:ascii="Tahoma" w:hAnsi="Tahoma" w:cs="Tahoma"/>
      <w:sz w:val="20"/>
    </w:rPr>
  </w:style>
  <w:style w:type="character" w:customStyle="1" w:styleId="JuParaCar">
    <w:name w:val="Ju_Para Car"/>
    <w:basedOn w:val="DefaultParagraphFont"/>
    <w:rsid w:val="00D264D4"/>
    <w:rPr>
      <w:sz w:val="24"/>
      <w:lang w:val="en-GB" w:eastAsia="fr-FR" w:bidi="ar-SA"/>
    </w:rPr>
  </w:style>
  <w:style w:type="paragraph" w:customStyle="1" w:styleId="ju-005fh-005fi-005froman">
    <w:name w:val="ju-005fh-005fi-005froman"/>
    <w:basedOn w:val="Normal"/>
    <w:rsid w:val="00695BA9"/>
    <w:pPr>
      <w:suppressAutoHyphens w:val="0"/>
      <w:spacing w:before="100" w:beforeAutospacing="1" w:after="100" w:afterAutospacing="1"/>
    </w:pPr>
    <w:rPr>
      <w:szCs w:val="24"/>
      <w:lang w:eastAsia="en-GB"/>
    </w:rPr>
  </w:style>
  <w:style w:type="paragraph" w:customStyle="1" w:styleId="ju-005fpara">
    <w:name w:val="ju-005fpara"/>
    <w:basedOn w:val="Normal"/>
    <w:rsid w:val="00695BA9"/>
    <w:pPr>
      <w:suppressAutoHyphens w:val="0"/>
      <w:spacing w:before="100" w:beforeAutospacing="1" w:after="100" w:afterAutospacing="1"/>
    </w:pPr>
    <w:rPr>
      <w:szCs w:val="24"/>
      <w:lang w:eastAsia="en-GB"/>
    </w:rPr>
  </w:style>
  <w:style w:type="paragraph" w:customStyle="1" w:styleId="ju-005fquot">
    <w:name w:val="ju-005fquot"/>
    <w:basedOn w:val="Normal"/>
    <w:rsid w:val="00695BA9"/>
    <w:pPr>
      <w:suppressAutoHyphens w:val="0"/>
      <w:spacing w:before="100" w:beforeAutospacing="1" w:after="100" w:afterAutospacing="1"/>
    </w:pPr>
    <w:rPr>
      <w:szCs w:val="24"/>
      <w:lang w:eastAsia="en-GB"/>
    </w:rPr>
  </w:style>
  <w:style w:type="paragraph" w:customStyle="1" w:styleId="ju-005fh-005f1-002e">
    <w:name w:val="ju-005fh-005f1-002e"/>
    <w:basedOn w:val="Normal"/>
    <w:rsid w:val="00964759"/>
    <w:pPr>
      <w:suppressAutoHyphens w:val="0"/>
      <w:spacing w:before="100" w:beforeAutospacing="1" w:after="100" w:afterAutospacing="1"/>
    </w:pPr>
    <w:rPr>
      <w:szCs w:val="24"/>
      <w:lang w:eastAsia="en-GB"/>
    </w:rPr>
  </w:style>
  <w:style w:type="paragraph" w:customStyle="1" w:styleId="ju-005fh-005fa">
    <w:name w:val="ju-005fh-005fa"/>
    <w:basedOn w:val="Normal"/>
    <w:rsid w:val="00302A60"/>
    <w:pPr>
      <w:suppressAutoHyphens w:val="0"/>
      <w:spacing w:before="100" w:beforeAutospacing="1" w:after="100" w:afterAutospacing="1"/>
    </w:pPr>
    <w:rPr>
      <w:szCs w:val="24"/>
      <w:lang w:eastAsia="en-GB"/>
    </w:rPr>
  </w:style>
  <w:style w:type="character" w:customStyle="1" w:styleId="ju--005fpara----char--char">
    <w:name w:val="ju--005fpara----char--char"/>
    <w:basedOn w:val="DefaultParagraphFont"/>
    <w:rsid w:val="003C2EB0"/>
  </w:style>
  <w:style w:type="character" w:customStyle="1" w:styleId="normal--char">
    <w:name w:val="normal--char"/>
    <w:basedOn w:val="DefaultParagraphFont"/>
    <w:rsid w:val="004E622A"/>
  </w:style>
  <w:style w:type="paragraph" w:customStyle="1" w:styleId="normal0">
    <w:name w:val="normal"/>
    <w:basedOn w:val="Normal"/>
    <w:rsid w:val="004E622A"/>
    <w:pPr>
      <w:suppressAutoHyphens w:val="0"/>
      <w:spacing w:before="100" w:beforeAutospacing="1" w:after="100" w:afterAutospacing="1"/>
    </w:pPr>
    <w:rPr>
      <w:szCs w:val="24"/>
      <w:lang w:eastAsia="en-GB"/>
    </w:rPr>
  </w:style>
  <w:style w:type="character" w:customStyle="1" w:styleId="dictdef1">
    <w:name w:val="dictdef1"/>
    <w:basedOn w:val="DefaultParagraphFont"/>
    <w:rsid w:val="008A66FC"/>
    <w:rPr>
      <w:color w:val="000000"/>
      <w:sz w:val="18"/>
      <w:szCs w:val="18"/>
    </w:rPr>
  </w:style>
  <w:style w:type="character" w:customStyle="1" w:styleId="p----005fju----005fpara--------char----char--char">
    <w:name w:val="p----005fju----005fpara--------char----char--char"/>
    <w:basedOn w:val="DefaultParagraphFont"/>
    <w:rsid w:val="00D8054C"/>
  </w:style>
  <w:style w:type="character" w:customStyle="1" w:styleId="ju--005fquot----char--char">
    <w:name w:val="ju--005fquot----char--char"/>
    <w:basedOn w:val="DefaultParagraphFont"/>
    <w:rsid w:val="007C5549"/>
  </w:style>
  <w:style w:type="paragraph" w:customStyle="1" w:styleId="ju-005fpara-0020char">
    <w:name w:val="ju-005fpara-0020char"/>
    <w:basedOn w:val="Normal"/>
    <w:rsid w:val="007723DE"/>
    <w:pPr>
      <w:suppressAutoHyphens w:val="0"/>
      <w:spacing w:before="100" w:beforeAutospacing="1" w:after="100" w:afterAutospacing="1"/>
    </w:pPr>
    <w:rPr>
      <w:szCs w:val="24"/>
      <w:lang w:eastAsia="en-GB"/>
    </w:rPr>
  </w:style>
  <w:style w:type="character" w:customStyle="1" w:styleId="ju-005fpara-0020char--char">
    <w:name w:val="ju-005fpara-0020char--char"/>
    <w:basedOn w:val="DefaultParagraphFont"/>
    <w:rsid w:val="007723DE"/>
  </w:style>
  <w:style w:type="paragraph" w:styleId="NormalWeb">
    <w:name w:val="Normal (Web)"/>
    <w:basedOn w:val="Normal"/>
    <w:rsid w:val="00A423E9"/>
    <w:pPr>
      <w:suppressAutoHyphens w:val="0"/>
      <w:spacing w:before="100" w:beforeAutospacing="1" w:after="100" w:afterAutospacing="1"/>
    </w:pPr>
    <w:rPr>
      <w:szCs w:val="24"/>
      <w:lang w:eastAsia="en-GB"/>
    </w:rPr>
  </w:style>
  <w:style w:type="character" w:styleId="Strong">
    <w:name w:val="Strong"/>
    <w:basedOn w:val="DefaultParagraphFont"/>
    <w:qFormat/>
    <w:rsid w:val="00A423E9"/>
    <w:rPr>
      <w:b/>
      <w:bCs/>
    </w:rPr>
  </w:style>
  <w:style w:type="character" w:customStyle="1" w:styleId="ju----005fpara--------char----char--char">
    <w:name w:val="ju----005fpara--------char----char--char"/>
    <w:basedOn w:val="DefaultParagraphFont"/>
    <w:rsid w:val="00BF075C"/>
  </w:style>
  <w:style w:type="paragraph" w:customStyle="1" w:styleId="JuParaChar1">
    <w:name w:val="Ju_Para Char1"/>
    <w:basedOn w:val="Normal"/>
    <w:link w:val="JuParaChar1Char"/>
    <w:rsid w:val="00754F67"/>
    <w:pPr>
      <w:ind w:firstLine="284"/>
      <w:jc w:val="both"/>
    </w:pPr>
  </w:style>
  <w:style w:type="character" w:customStyle="1" w:styleId="JuParaChar1Char">
    <w:name w:val="Ju_Para Char1 Char"/>
    <w:basedOn w:val="DefaultParagraphFont"/>
    <w:link w:val="JuParaChar1"/>
    <w:rsid w:val="00754F67"/>
    <w:rPr>
      <w:sz w:val="24"/>
      <w:lang w:val="en-GB" w:eastAsia="fr-F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2798">
      <w:bodyDiv w:val="1"/>
      <w:marLeft w:val="0"/>
      <w:marRight w:val="0"/>
      <w:marTop w:val="0"/>
      <w:marBottom w:val="0"/>
      <w:divBdr>
        <w:top w:val="none" w:sz="0" w:space="0" w:color="auto"/>
        <w:left w:val="none" w:sz="0" w:space="0" w:color="auto"/>
        <w:bottom w:val="none" w:sz="0" w:space="0" w:color="auto"/>
        <w:right w:val="none" w:sz="0" w:space="0" w:color="auto"/>
      </w:divBdr>
    </w:div>
    <w:div w:id="101146555">
      <w:bodyDiv w:val="1"/>
      <w:marLeft w:val="0"/>
      <w:marRight w:val="0"/>
      <w:marTop w:val="0"/>
      <w:marBottom w:val="0"/>
      <w:divBdr>
        <w:top w:val="none" w:sz="0" w:space="0" w:color="auto"/>
        <w:left w:val="none" w:sz="0" w:space="0" w:color="auto"/>
        <w:bottom w:val="none" w:sz="0" w:space="0" w:color="auto"/>
        <w:right w:val="none" w:sz="0" w:space="0" w:color="auto"/>
      </w:divBdr>
    </w:div>
    <w:div w:id="121046910">
      <w:bodyDiv w:val="1"/>
      <w:marLeft w:val="0"/>
      <w:marRight w:val="0"/>
      <w:marTop w:val="0"/>
      <w:marBottom w:val="0"/>
      <w:divBdr>
        <w:top w:val="none" w:sz="0" w:space="0" w:color="auto"/>
        <w:left w:val="none" w:sz="0" w:space="0" w:color="auto"/>
        <w:bottom w:val="none" w:sz="0" w:space="0" w:color="auto"/>
        <w:right w:val="none" w:sz="0" w:space="0" w:color="auto"/>
      </w:divBdr>
    </w:div>
    <w:div w:id="136456917">
      <w:bodyDiv w:val="1"/>
      <w:marLeft w:val="0"/>
      <w:marRight w:val="0"/>
      <w:marTop w:val="0"/>
      <w:marBottom w:val="0"/>
      <w:divBdr>
        <w:top w:val="none" w:sz="0" w:space="0" w:color="auto"/>
        <w:left w:val="none" w:sz="0" w:space="0" w:color="auto"/>
        <w:bottom w:val="none" w:sz="0" w:space="0" w:color="auto"/>
        <w:right w:val="none" w:sz="0" w:space="0" w:color="auto"/>
      </w:divBdr>
    </w:div>
    <w:div w:id="143737972">
      <w:bodyDiv w:val="1"/>
      <w:marLeft w:val="0"/>
      <w:marRight w:val="0"/>
      <w:marTop w:val="0"/>
      <w:marBottom w:val="0"/>
      <w:divBdr>
        <w:top w:val="none" w:sz="0" w:space="0" w:color="auto"/>
        <w:left w:val="none" w:sz="0" w:space="0" w:color="auto"/>
        <w:bottom w:val="none" w:sz="0" w:space="0" w:color="auto"/>
        <w:right w:val="none" w:sz="0" w:space="0" w:color="auto"/>
      </w:divBdr>
    </w:div>
    <w:div w:id="155849264">
      <w:bodyDiv w:val="1"/>
      <w:marLeft w:val="0"/>
      <w:marRight w:val="0"/>
      <w:marTop w:val="0"/>
      <w:marBottom w:val="0"/>
      <w:divBdr>
        <w:top w:val="none" w:sz="0" w:space="0" w:color="auto"/>
        <w:left w:val="none" w:sz="0" w:space="0" w:color="auto"/>
        <w:bottom w:val="none" w:sz="0" w:space="0" w:color="auto"/>
        <w:right w:val="none" w:sz="0" w:space="0" w:color="auto"/>
      </w:divBdr>
    </w:div>
    <w:div w:id="187835697">
      <w:bodyDiv w:val="1"/>
      <w:marLeft w:val="0"/>
      <w:marRight w:val="0"/>
      <w:marTop w:val="0"/>
      <w:marBottom w:val="0"/>
      <w:divBdr>
        <w:top w:val="none" w:sz="0" w:space="0" w:color="auto"/>
        <w:left w:val="none" w:sz="0" w:space="0" w:color="auto"/>
        <w:bottom w:val="none" w:sz="0" w:space="0" w:color="auto"/>
        <w:right w:val="none" w:sz="0" w:space="0" w:color="auto"/>
      </w:divBdr>
    </w:div>
    <w:div w:id="338625135">
      <w:bodyDiv w:val="1"/>
      <w:marLeft w:val="0"/>
      <w:marRight w:val="0"/>
      <w:marTop w:val="0"/>
      <w:marBottom w:val="0"/>
      <w:divBdr>
        <w:top w:val="none" w:sz="0" w:space="0" w:color="auto"/>
        <w:left w:val="none" w:sz="0" w:space="0" w:color="auto"/>
        <w:bottom w:val="none" w:sz="0" w:space="0" w:color="auto"/>
        <w:right w:val="none" w:sz="0" w:space="0" w:color="auto"/>
      </w:divBdr>
    </w:div>
    <w:div w:id="391202009">
      <w:bodyDiv w:val="1"/>
      <w:marLeft w:val="0"/>
      <w:marRight w:val="0"/>
      <w:marTop w:val="0"/>
      <w:marBottom w:val="0"/>
      <w:divBdr>
        <w:top w:val="none" w:sz="0" w:space="0" w:color="auto"/>
        <w:left w:val="none" w:sz="0" w:space="0" w:color="auto"/>
        <w:bottom w:val="none" w:sz="0" w:space="0" w:color="auto"/>
        <w:right w:val="none" w:sz="0" w:space="0" w:color="auto"/>
      </w:divBdr>
    </w:div>
    <w:div w:id="411662613">
      <w:bodyDiv w:val="1"/>
      <w:marLeft w:val="0"/>
      <w:marRight w:val="0"/>
      <w:marTop w:val="0"/>
      <w:marBottom w:val="0"/>
      <w:divBdr>
        <w:top w:val="none" w:sz="0" w:space="0" w:color="auto"/>
        <w:left w:val="none" w:sz="0" w:space="0" w:color="auto"/>
        <w:bottom w:val="none" w:sz="0" w:space="0" w:color="auto"/>
        <w:right w:val="none" w:sz="0" w:space="0" w:color="auto"/>
      </w:divBdr>
    </w:div>
    <w:div w:id="430588398">
      <w:bodyDiv w:val="1"/>
      <w:marLeft w:val="0"/>
      <w:marRight w:val="0"/>
      <w:marTop w:val="0"/>
      <w:marBottom w:val="0"/>
      <w:divBdr>
        <w:top w:val="none" w:sz="0" w:space="0" w:color="auto"/>
        <w:left w:val="none" w:sz="0" w:space="0" w:color="auto"/>
        <w:bottom w:val="none" w:sz="0" w:space="0" w:color="auto"/>
        <w:right w:val="none" w:sz="0" w:space="0" w:color="auto"/>
      </w:divBdr>
      <w:divsChild>
        <w:div w:id="1311205494">
          <w:marLeft w:val="0"/>
          <w:marRight w:val="0"/>
          <w:marTop w:val="0"/>
          <w:marBottom w:val="0"/>
          <w:divBdr>
            <w:top w:val="none" w:sz="0" w:space="0" w:color="auto"/>
            <w:left w:val="none" w:sz="0" w:space="0" w:color="auto"/>
            <w:bottom w:val="none" w:sz="0" w:space="0" w:color="auto"/>
            <w:right w:val="none" w:sz="0" w:space="0" w:color="auto"/>
          </w:divBdr>
        </w:div>
      </w:divsChild>
    </w:div>
    <w:div w:id="589316282">
      <w:bodyDiv w:val="1"/>
      <w:marLeft w:val="0"/>
      <w:marRight w:val="0"/>
      <w:marTop w:val="0"/>
      <w:marBottom w:val="0"/>
      <w:divBdr>
        <w:top w:val="none" w:sz="0" w:space="0" w:color="auto"/>
        <w:left w:val="none" w:sz="0" w:space="0" w:color="auto"/>
        <w:bottom w:val="none" w:sz="0" w:space="0" w:color="auto"/>
        <w:right w:val="none" w:sz="0" w:space="0" w:color="auto"/>
      </w:divBdr>
    </w:div>
    <w:div w:id="745110738">
      <w:bodyDiv w:val="1"/>
      <w:marLeft w:val="0"/>
      <w:marRight w:val="0"/>
      <w:marTop w:val="0"/>
      <w:marBottom w:val="0"/>
      <w:divBdr>
        <w:top w:val="none" w:sz="0" w:space="0" w:color="auto"/>
        <w:left w:val="none" w:sz="0" w:space="0" w:color="auto"/>
        <w:bottom w:val="none" w:sz="0" w:space="0" w:color="auto"/>
        <w:right w:val="none" w:sz="0" w:space="0" w:color="auto"/>
      </w:divBdr>
    </w:div>
    <w:div w:id="771897393">
      <w:bodyDiv w:val="1"/>
      <w:marLeft w:val="0"/>
      <w:marRight w:val="0"/>
      <w:marTop w:val="0"/>
      <w:marBottom w:val="0"/>
      <w:divBdr>
        <w:top w:val="none" w:sz="0" w:space="0" w:color="auto"/>
        <w:left w:val="none" w:sz="0" w:space="0" w:color="auto"/>
        <w:bottom w:val="none" w:sz="0" w:space="0" w:color="auto"/>
        <w:right w:val="none" w:sz="0" w:space="0" w:color="auto"/>
      </w:divBdr>
    </w:div>
    <w:div w:id="830869933">
      <w:bodyDiv w:val="1"/>
      <w:marLeft w:val="0"/>
      <w:marRight w:val="0"/>
      <w:marTop w:val="0"/>
      <w:marBottom w:val="0"/>
      <w:divBdr>
        <w:top w:val="none" w:sz="0" w:space="0" w:color="auto"/>
        <w:left w:val="none" w:sz="0" w:space="0" w:color="auto"/>
        <w:bottom w:val="none" w:sz="0" w:space="0" w:color="auto"/>
        <w:right w:val="none" w:sz="0" w:space="0" w:color="auto"/>
      </w:divBdr>
    </w:div>
    <w:div w:id="883759033">
      <w:bodyDiv w:val="1"/>
      <w:marLeft w:val="0"/>
      <w:marRight w:val="0"/>
      <w:marTop w:val="0"/>
      <w:marBottom w:val="0"/>
      <w:divBdr>
        <w:top w:val="none" w:sz="0" w:space="0" w:color="auto"/>
        <w:left w:val="none" w:sz="0" w:space="0" w:color="auto"/>
        <w:bottom w:val="none" w:sz="0" w:space="0" w:color="auto"/>
        <w:right w:val="none" w:sz="0" w:space="0" w:color="auto"/>
      </w:divBdr>
      <w:divsChild>
        <w:div w:id="1679848431">
          <w:marLeft w:val="0"/>
          <w:marRight w:val="0"/>
          <w:marTop w:val="0"/>
          <w:marBottom w:val="0"/>
          <w:divBdr>
            <w:top w:val="none" w:sz="0" w:space="0" w:color="auto"/>
            <w:left w:val="none" w:sz="0" w:space="0" w:color="auto"/>
            <w:bottom w:val="none" w:sz="0" w:space="0" w:color="auto"/>
            <w:right w:val="none" w:sz="0" w:space="0" w:color="auto"/>
          </w:divBdr>
        </w:div>
      </w:divsChild>
    </w:div>
    <w:div w:id="1086536070">
      <w:bodyDiv w:val="1"/>
      <w:marLeft w:val="0"/>
      <w:marRight w:val="0"/>
      <w:marTop w:val="0"/>
      <w:marBottom w:val="0"/>
      <w:divBdr>
        <w:top w:val="none" w:sz="0" w:space="0" w:color="auto"/>
        <w:left w:val="none" w:sz="0" w:space="0" w:color="auto"/>
        <w:bottom w:val="none" w:sz="0" w:space="0" w:color="auto"/>
        <w:right w:val="none" w:sz="0" w:space="0" w:color="auto"/>
      </w:divBdr>
    </w:div>
    <w:div w:id="1100300866">
      <w:bodyDiv w:val="1"/>
      <w:marLeft w:val="0"/>
      <w:marRight w:val="0"/>
      <w:marTop w:val="0"/>
      <w:marBottom w:val="0"/>
      <w:divBdr>
        <w:top w:val="none" w:sz="0" w:space="0" w:color="auto"/>
        <w:left w:val="none" w:sz="0" w:space="0" w:color="auto"/>
        <w:bottom w:val="none" w:sz="0" w:space="0" w:color="auto"/>
        <w:right w:val="none" w:sz="0" w:space="0" w:color="auto"/>
      </w:divBdr>
    </w:div>
    <w:div w:id="1147893818">
      <w:bodyDiv w:val="1"/>
      <w:marLeft w:val="0"/>
      <w:marRight w:val="0"/>
      <w:marTop w:val="0"/>
      <w:marBottom w:val="0"/>
      <w:divBdr>
        <w:top w:val="none" w:sz="0" w:space="0" w:color="auto"/>
        <w:left w:val="none" w:sz="0" w:space="0" w:color="auto"/>
        <w:bottom w:val="none" w:sz="0" w:space="0" w:color="auto"/>
        <w:right w:val="none" w:sz="0" w:space="0" w:color="auto"/>
      </w:divBdr>
    </w:div>
    <w:div w:id="1244416572">
      <w:bodyDiv w:val="1"/>
      <w:marLeft w:val="0"/>
      <w:marRight w:val="0"/>
      <w:marTop w:val="0"/>
      <w:marBottom w:val="0"/>
      <w:divBdr>
        <w:top w:val="none" w:sz="0" w:space="0" w:color="auto"/>
        <w:left w:val="none" w:sz="0" w:space="0" w:color="auto"/>
        <w:bottom w:val="none" w:sz="0" w:space="0" w:color="auto"/>
        <w:right w:val="none" w:sz="0" w:space="0" w:color="auto"/>
      </w:divBdr>
    </w:div>
    <w:div w:id="1292370640">
      <w:bodyDiv w:val="1"/>
      <w:marLeft w:val="0"/>
      <w:marRight w:val="0"/>
      <w:marTop w:val="0"/>
      <w:marBottom w:val="0"/>
      <w:divBdr>
        <w:top w:val="none" w:sz="0" w:space="0" w:color="auto"/>
        <w:left w:val="none" w:sz="0" w:space="0" w:color="auto"/>
        <w:bottom w:val="none" w:sz="0" w:space="0" w:color="auto"/>
        <w:right w:val="none" w:sz="0" w:space="0" w:color="auto"/>
      </w:divBdr>
    </w:div>
    <w:div w:id="1315456119">
      <w:bodyDiv w:val="1"/>
      <w:marLeft w:val="0"/>
      <w:marRight w:val="0"/>
      <w:marTop w:val="0"/>
      <w:marBottom w:val="0"/>
      <w:divBdr>
        <w:top w:val="none" w:sz="0" w:space="0" w:color="auto"/>
        <w:left w:val="none" w:sz="0" w:space="0" w:color="auto"/>
        <w:bottom w:val="none" w:sz="0" w:space="0" w:color="auto"/>
        <w:right w:val="none" w:sz="0" w:space="0" w:color="auto"/>
      </w:divBdr>
    </w:div>
    <w:div w:id="1318997198">
      <w:bodyDiv w:val="1"/>
      <w:marLeft w:val="0"/>
      <w:marRight w:val="0"/>
      <w:marTop w:val="0"/>
      <w:marBottom w:val="0"/>
      <w:divBdr>
        <w:top w:val="none" w:sz="0" w:space="0" w:color="auto"/>
        <w:left w:val="none" w:sz="0" w:space="0" w:color="auto"/>
        <w:bottom w:val="none" w:sz="0" w:space="0" w:color="auto"/>
        <w:right w:val="none" w:sz="0" w:space="0" w:color="auto"/>
      </w:divBdr>
    </w:div>
    <w:div w:id="1324317500">
      <w:bodyDiv w:val="1"/>
      <w:marLeft w:val="0"/>
      <w:marRight w:val="0"/>
      <w:marTop w:val="0"/>
      <w:marBottom w:val="0"/>
      <w:divBdr>
        <w:top w:val="none" w:sz="0" w:space="0" w:color="auto"/>
        <w:left w:val="none" w:sz="0" w:space="0" w:color="auto"/>
        <w:bottom w:val="none" w:sz="0" w:space="0" w:color="auto"/>
        <w:right w:val="none" w:sz="0" w:space="0" w:color="auto"/>
      </w:divBdr>
    </w:div>
    <w:div w:id="1334525896">
      <w:bodyDiv w:val="1"/>
      <w:marLeft w:val="0"/>
      <w:marRight w:val="0"/>
      <w:marTop w:val="0"/>
      <w:marBottom w:val="0"/>
      <w:divBdr>
        <w:top w:val="none" w:sz="0" w:space="0" w:color="auto"/>
        <w:left w:val="none" w:sz="0" w:space="0" w:color="auto"/>
        <w:bottom w:val="none" w:sz="0" w:space="0" w:color="auto"/>
        <w:right w:val="none" w:sz="0" w:space="0" w:color="auto"/>
      </w:divBdr>
    </w:div>
    <w:div w:id="1346592308">
      <w:bodyDiv w:val="1"/>
      <w:marLeft w:val="0"/>
      <w:marRight w:val="0"/>
      <w:marTop w:val="0"/>
      <w:marBottom w:val="0"/>
      <w:divBdr>
        <w:top w:val="none" w:sz="0" w:space="0" w:color="auto"/>
        <w:left w:val="none" w:sz="0" w:space="0" w:color="auto"/>
        <w:bottom w:val="none" w:sz="0" w:space="0" w:color="auto"/>
        <w:right w:val="none" w:sz="0" w:space="0" w:color="auto"/>
      </w:divBdr>
    </w:div>
    <w:div w:id="1357272530">
      <w:bodyDiv w:val="1"/>
      <w:marLeft w:val="0"/>
      <w:marRight w:val="0"/>
      <w:marTop w:val="0"/>
      <w:marBottom w:val="0"/>
      <w:divBdr>
        <w:top w:val="none" w:sz="0" w:space="0" w:color="auto"/>
        <w:left w:val="none" w:sz="0" w:space="0" w:color="auto"/>
        <w:bottom w:val="none" w:sz="0" w:space="0" w:color="auto"/>
        <w:right w:val="none" w:sz="0" w:space="0" w:color="auto"/>
      </w:divBdr>
    </w:div>
    <w:div w:id="1374187697">
      <w:bodyDiv w:val="1"/>
      <w:marLeft w:val="0"/>
      <w:marRight w:val="0"/>
      <w:marTop w:val="0"/>
      <w:marBottom w:val="0"/>
      <w:divBdr>
        <w:top w:val="none" w:sz="0" w:space="0" w:color="auto"/>
        <w:left w:val="none" w:sz="0" w:space="0" w:color="auto"/>
        <w:bottom w:val="none" w:sz="0" w:space="0" w:color="auto"/>
        <w:right w:val="none" w:sz="0" w:space="0" w:color="auto"/>
      </w:divBdr>
    </w:div>
    <w:div w:id="1631786846">
      <w:bodyDiv w:val="1"/>
      <w:marLeft w:val="0"/>
      <w:marRight w:val="0"/>
      <w:marTop w:val="0"/>
      <w:marBottom w:val="0"/>
      <w:divBdr>
        <w:top w:val="none" w:sz="0" w:space="0" w:color="auto"/>
        <w:left w:val="none" w:sz="0" w:space="0" w:color="auto"/>
        <w:bottom w:val="none" w:sz="0" w:space="0" w:color="auto"/>
        <w:right w:val="none" w:sz="0" w:space="0" w:color="auto"/>
      </w:divBdr>
    </w:div>
    <w:div w:id="1633899157">
      <w:bodyDiv w:val="1"/>
      <w:marLeft w:val="0"/>
      <w:marRight w:val="0"/>
      <w:marTop w:val="0"/>
      <w:marBottom w:val="0"/>
      <w:divBdr>
        <w:top w:val="none" w:sz="0" w:space="0" w:color="auto"/>
        <w:left w:val="none" w:sz="0" w:space="0" w:color="auto"/>
        <w:bottom w:val="none" w:sz="0" w:space="0" w:color="auto"/>
        <w:right w:val="none" w:sz="0" w:space="0" w:color="auto"/>
      </w:divBdr>
    </w:div>
    <w:div w:id="1651472658">
      <w:bodyDiv w:val="1"/>
      <w:marLeft w:val="0"/>
      <w:marRight w:val="0"/>
      <w:marTop w:val="0"/>
      <w:marBottom w:val="0"/>
      <w:divBdr>
        <w:top w:val="none" w:sz="0" w:space="0" w:color="auto"/>
        <w:left w:val="none" w:sz="0" w:space="0" w:color="auto"/>
        <w:bottom w:val="none" w:sz="0" w:space="0" w:color="auto"/>
        <w:right w:val="none" w:sz="0" w:space="0" w:color="auto"/>
      </w:divBdr>
    </w:div>
    <w:div w:id="1707410409">
      <w:bodyDiv w:val="1"/>
      <w:marLeft w:val="0"/>
      <w:marRight w:val="0"/>
      <w:marTop w:val="0"/>
      <w:marBottom w:val="0"/>
      <w:divBdr>
        <w:top w:val="none" w:sz="0" w:space="0" w:color="auto"/>
        <w:left w:val="none" w:sz="0" w:space="0" w:color="auto"/>
        <w:bottom w:val="none" w:sz="0" w:space="0" w:color="auto"/>
        <w:right w:val="none" w:sz="0" w:space="0" w:color="auto"/>
      </w:divBdr>
    </w:div>
    <w:div w:id="1721902325">
      <w:bodyDiv w:val="1"/>
      <w:marLeft w:val="0"/>
      <w:marRight w:val="0"/>
      <w:marTop w:val="0"/>
      <w:marBottom w:val="0"/>
      <w:divBdr>
        <w:top w:val="none" w:sz="0" w:space="0" w:color="auto"/>
        <w:left w:val="none" w:sz="0" w:space="0" w:color="auto"/>
        <w:bottom w:val="none" w:sz="0" w:space="0" w:color="auto"/>
        <w:right w:val="none" w:sz="0" w:space="0" w:color="auto"/>
      </w:divBdr>
    </w:div>
    <w:div w:id="1817188465">
      <w:bodyDiv w:val="1"/>
      <w:marLeft w:val="0"/>
      <w:marRight w:val="0"/>
      <w:marTop w:val="0"/>
      <w:marBottom w:val="0"/>
      <w:divBdr>
        <w:top w:val="none" w:sz="0" w:space="0" w:color="auto"/>
        <w:left w:val="none" w:sz="0" w:space="0" w:color="auto"/>
        <w:bottom w:val="none" w:sz="0" w:space="0" w:color="auto"/>
        <w:right w:val="none" w:sz="0" w:space="0" w:color="auto"/>
      </w:divBdr>
    </w:div>
    <w:div w:id="1904100590">
      <w:bodyDiv w:val="1"/>
      <w:marLeft w:val="0"/>
      <w:marRight w:val="0"/>
      <w:marTop w:val="0"/>
      <w:marBottom w:val="0"/>
      <w:divBdr>
        <w:top w:val="none" w:sz="0" w:space="0" w:color="auto"/>
        <w:left w:val="none" w:sz="0" w:space="0" w:color="auto"/>
        <w:bottom w:val="none" w:sz="0" w:space="0" w:color="auto"/>
        <w:right w:val="none" w:sz="0" w:space="0" w:color="auto"/>
      </w:divBdr>
    </w:div>
    <w:div w:id="211913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26360B-DBD7-4B2B-BB5A-84E632E23D98}">
  <ds:schemaRefs>
    <ds:schemaRef ds:uri="http://schemas.microsoft.com/sharepoint/v3/contenttype/forms"/>
  </ds:schemaRefs>
</ds:datastoreItem>
</file>

<file path=customXml/itemProps2.xml><?xml version="1.0" encoding="utf-8"?>
<ds:datastoreItem xmlns:ds="http://schemas.openxmlformats.org/officeDocument/2006/customXml" ds:itemID="{827F9B51-240F-4CDA-89AE-4F2008480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8197</Words>
  <Characters>46729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54817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7</cp:revision>
  <cp:lastPrinted>2009-06-19T07:54:00Z</cp:lastPrinted>
  <dcterms:created xsi:type="dcterms:W3CDTF">2012-06-24T18:59:00Z</dcterms:created>
  <dcterms:modified xsi:type="dcterms:W3CDTF">2012-06-24T18:59:00Z</dcterms:modified>
  <cp:category>ECHR Template</cp:category>
</cp:coreProperties>
</file>