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636F25" w14:textId="77777777" w:rsidR="007A6D44" w:rsidRDefault="007A6D44" w:rsidP="00297944">
      <w:pPr>
        <w:jc w:val="center"/>
        <w:rPr>
          <w:rFonts w:ascii="Times New Roman" w:hAnsi="Times New Roman" w:cs="Times New Roman"/>
        </w:rPr>
      </w:pPr>
    </w:p>
    <w:p w14:paraId="19AD9337" w14:textId="38947543" w:rsidR="00DF10C4" w:rsidRDefault="007A6D44" w:rsidP="0029794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EUROPEJSKI TRYBUNAŁ PRAW CZŁOWIEKA</w:t>
      </w:r>
    </w:p>
    <w:p w14:paraId="764FA66B" w14:textId="77777777" w:rsidR="0098410D" w:rsidRPr="00297944" w:rsidRDefault="0098410D" w:rsidP="00297944">
      <w:pPr>
        <w:jc w:val="center"/>
      </w:pPr>
    </w:p>
    <w:p w14:paraId="68B05652" w14:textId="75779446" w:rsidR="0098410D" w:rsidRPr="00297944" w:rsidRDefault="00DF10C4" w:rsidP="00297944">
      <w:pPr>
        <w:pStyle w:val="DecHCase"/>
      </w:pPr>
      <w:r>
        <w:t>SEKCJA PIERWSZA</w:t>
      </w:r>
    </w:p>
    <w:p w14:paraId="4FEC86F1" w14:textId="668B844A" w:rsidR="008E6217" w:rsidRPr="00297944" w:rsidRDefault="008E6217" w:rsidP="00297944">
      <w:pPr>
        <w:pStyle w:val="JuTitle"/>
      </w:pPr>
      <w:bookmarkStart w:id="0" w:name="To"/>
      <w:r>
        <w:rPr>
          <w:bCs/>
          <w:color w:val="000000" w:themeColor="text1"/>
        </w:rPr>
        <w:t>SPRAWA M.B.</w:t>
      </w:r>
      <w:bookmarkEnd w:id="0"/>
      <w:r>
        <w:rPr>
          <w:bCs/>
        </w:rPr>
        <w:t xml:space="preserve"> </w:t>
      </w:r>
      <w:r w:rsidR="00F31D50">
        <w:rPr>
          <w:bCs/>
        </w:rPr>
        <w:t xml:space="preserve">PRZECIWKO </w:t>
      </w:r>
      <w:r>
        <w:rPr>
          <w:bCs/>
        </w:rPr>
        <w:t>POLSCE</w:t>
      </w:r>
    </w:p>
    <w:p w14:paraId="4001AEC2" w14:textId="1AA5A0D0" w:rsidR="00D74888" w:rsidRPr="00297944" w:rsidRDefault="008E6217" w:rsidP="00297944">
      <w:pPr>
        <w:pStyle w:val="ECHRCoverTitle4"/>
      </w:pPr>
      <w:r>
        <w:t>(Skarga nr</w:t>
      </w:r>
      <w:r w:rsidR="001B3877">
        <w:t xml:space="preserve"> </w:t>
      </w:r>
      <w:r>
        <w:t>60157/15)</w:t>
      </w:r>
    </w:p>
    <w:p w14:paraId="1B9A0ED6" w14:textId="6619A37A" w:rsidR="0098410D" w:rsidRPr="00297944" w:rsidRDefault="0098410D" w:rsidP="00297944">
      <w:pPr>
        <w:pStyle w:val="DecHCase"/>
      </w:pPr>
    </w:p>
    <w:p w14:paraId="00A178DC" w14:textId="4DA64BDD" w:rsidR="00631C6A" w:rsidRPr="00297944" w:rsidRDefault="00631C6A" w:rsidP="00297944">
      <w:pPr>
        <w:pStyle w:val="DecHCase"/>
      </w:pPr>
    </w:p>
    <w:p w14:paraId="7FB9431C" w14:textId="77777777" w:rsidR="00631C6A" w:rsidRPr="00297944" w:rsidRDefault="00631C6A" w:rsidP="00297944">
      <w:pPr>
        <w:pStyle w:val="DecHCase"/>
      </w:pPr>
    </w:p>
    <w:p w14:paraId="25F9393D" w14:textId="5A1026BE" w:rsidR="00297944" w:rsidRDefault="0098410D" w:rsidP="00297944">
      <w:pPr>
        <w:pStyle w:val="DecHCase"/>
      </w:pPr>
      <w:r>
        <w:t>WYROK</w:t>
      </w:r>
      <w:r>
        <w:br/>
      </w:r>
    </w:p>
    <w:p w14:paraId="38AB4009" w14:textId="77777777" w:rsidR="00297944" w:rsidRPr="00297944" w:rsidRDefault="00297944" w:rsidP="00297944">
      <w:pPr>
        <w:pStyle w:val="JuPara"/>
      </w:pPr>
    </w:p>
    <w:p w14:paraId="6515AB0E" w14:textId="2B12BB7F" w:rsidR="00297944" w:rsidRPr="00297944" w:rsidRDefault="00297944" w:rsidP="00297944">
      <w:pPr>
        <w:pStyle w:val="DecHCas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>
        <w:t>Art.</w:t>
      </w:r>
      <w:r w:rsidR="001B3877">
        <w:t xml:space="preserve"> </w:t>
      </w:r>
      <w:r>
        <w:t>5 ust.</w:t>
      </w:r>
      <w:r w:rsidR="001B3877">
        <w:t xml:space="preserve"> </w:t>
      </w:r>
      <w:r>
        <w:t xml:space="preserve">1 • Osoby </w:t>
      </w:r>
      <w:r w:rsidR="00B2035D">
        <w:t>chore umysłowo</w:t>
      </w:r>
      <w:r>
        <w:t xml:space="preserve"> • Bezprawne umieszczenie w szpitalu psychiatrycznym na podstawie nieaktualnej oceny lekarskiej wydanej półtora roku wcześniej • Zgodny z prawem późniejszy okres zastosowania środka izolacyjnego na podstawie aktualnych i przeprowadzanych dwa razy w roku badań psychiatrycznych</w:t>
      </w:r>
    </w:p>
    <w:p w14:paraId="7A9B297C" w14:textId="77777777" w:rsidR="0098410D" w:rsidRPr="00297944" w:rsidRDefault="0098410D" w:rsidP="00297944">
      <w:pPr>
        <w:pStyle w:val="DecHCase"/>
      </w:pPr>
      <w:r>
        <w:t>STRASBURG</w:t>
      </w:r>
    </w:p>
    <w:p w14:paraId="2D937528" w14:textId="5C0D9733" w:rsidR="0098410D" w:rsidRDefault="00DF10C4" w:rsidP="00297944">
      <w:pPr>
        <w:pStyle w:val="DecHCase"/>
        <w:rPr>
          <w:rFonts w:ascii="Times New Roman" w:hAnsi="Times New Roman"/>
        </w:rPr>
      </w:pPr>
      <w:r>
        <w:rPr>
          <w:rFonts w:ascii="Times New Roman" w:hAnsi="Times New Roman"/>
        </w:rPr>
        <w:t>14</w:t>
      </w:r>
      <w:r w:rsidR="001B387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października 2021</w:t>
      </w:r>
      <w:r w:rsidR="001B387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r.</w:t>
      </w:r>
    </w:p>
    <w:p w14:paraId="4828ACF8" w14:textId="5848E557" w:rsidR="007A6D44" w:rsidRPr="00511671" w:rsidRDefault="007A6D44" w:rsidP="007A6D44">
      <w:pPr>
        <w:pStyle w:val="jucase0"/>
        <w:ind w:firstLine="0"/>
        <w:jc w:val="center"/>
        <w:rPr>
          <w:color w:val="FF0000"/>
          <w:sz w:val="28"/>
          <w:szCs w:val="28"/>
          <w:u w:val="single"/>
          <w:lang w:val="pl-PL"/>
        </w:rPr>
      </w:pPr>
      <w:r w:rsidRPr="00511671">
        <w:rPr>
          <w:color w:val="FF0000"/>
          <w:sz w:val="28"/>
          <w:szCs w:val="28"/>
          <w:u w:val="single"/>
          <w:lang w:val="pl-PL"/>
        </w:rPr>
        <w:t>OSTATECZNY</w:t>
      </w:r>
    </w:p>
    <w:p w14:paraId="5B8083AE" w14:textId="77777777" w:rsidR="007A6D44" w:rsidRPr="00511671" w:rsidRDefault="007A6D44" w:rsidP="007A6D44">
      <w:pPr>
        <w:pStyle w:val="jucase0"/>
        <w:ind w:firstLine="0"/>
        <w:jc w:val="center"/>
        <w:rPr>
          <w:b w:val="0"/>
          <w:bCs w:val="0"/>
          <w:color w:val="FF0000"/>
          <w:u w:val="single"/>
          <w:lang w:val="pl-PL"/>
        </w:rPr>
      </w:pPr>
    </w:p>
    <w:p w14:paraId="6C487F07" w14:textId="77777777" w:rsidR="007A6D44" w:rsidRPr="00511671" w:rsidRDefault="007A6D44" w:rsidP="007A6D44">
      <w:pPr>
        <w:pStyle w:val="jucase0"/>
        <w:ind w:firstLine="0"/>
        <w:jc w:val="center"/>
        <w:rPr>
          <w:b w:val="0"/>
          <w:color w:val="FF0000"/>
          <w:sz w:val="28"/>
          <w:szCs w:val="28"/>
          <w:lang w:val="pl-PL"/>
        </w:rPr>
      </w:pPr>
      <w:r w:rsidRPr="00511671">
        <w:rPr>
          <w:b w:val="0"/>
          <w:color w:val="FF0000"/>
          <w:sz w:val="28"/>
          <w:szCs w:val="28"/>
          <w:lang w:val="pl-PL"/>
        </w:rPr>
        <w:t>14/01/2022</w:t>
      </w:r>
    </w:p>
    <w:p w14:paraId="17F8004C" w14:textId="77777777" w:rsidR="007A6D44" w:rsidRPr="007A6D44" w:rsidRDefault="007A6D44" w:rsidP="007A6D44">
      <w:pPr>
        <w:pStyle w:val="JuPara"/>
      </w:pPr>
    </w:p>
    <w:p w14:paraId="2AEF886E" w14:textId="106E5613" w:rsidR="002422B6" w:rsidRPr="00297944" w:rsidRDefault="0098410D" w:rsidP="00297944">
      <w:pPr>
        <w:rPr>
          <w:i/>
          <w:sz w:val="22"/>
        </w:rPr>
      </w:pPr>
      <w:r>
        <w:rPr>
          <w:i/>
          <w:sz w:val="22"/>
        </w:rPr>
        <w:t>Wyrok ten sta</w:t>
      </w:r>
      <w:r w:rsidR="007A6D44">
        <w:rPr>
          <w:i/>
          <w:sz w:val="22"/>
        </w:rPr>
        <w:t>ł</w:t>
      </w:r>
      <w:r>
        <w:rPr>
          <w:i/>
          <w:sz w:val="22"/>
        </w:rPr>
        <w:t xml:space="preserve"> się ostateczny na zasadach określonych w art. 44 ust. 2 Konwencji. Wyrok może podlegać korekcie wydawniczej.</w:t>
      </w:r>
    </w:p>
    <w:p w14:paraId="4251BAF4" w14:textId="77777777" w:rsidR="0098410D" w:rsidRPr="00297944" w:rsidRDefault="0098410D" w:rsidP="00297944">
      <w:pPr>
        <w:sectPr w:rsidR="0098410D" w:rsidRPr="00297944" w:rsidSect="00D6647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  <w:titlePg/>
        </w:sectPr>
      </w:pPr>
    </w:p>
    <w:p w14:paraId="547DF80F" w14:textId="4A5F8AA6" w:rsidR="0098410D" w:rsidRPr="00297944" w:rsidRDefault="0098410D" w:rsidP="00297944">
      <w:pPr>
        <w:pStyle w:val="JuCase"/>
      </w:pPr>
      <w:r>
        <w:lastRenderedPageBreak/>
        <w:t>W sprawie M.B. przeciwko Polsce,</w:t>
      </w:r>
    </w:p>
    <w:p w14:paraId="7FA233FB" w14:textId="784F7350" w:rsidR="009F4C8F" w:rsidRPr="00297944" w:rsidRDefault="009F4C8F" w:rsidP="00297944">
      <w:pPr>
        <w:pStyle w:val="JuPara"/>
      </w:pPr>
      <w:r>
        <w:t>Europejski Trybunał Praw Człowieka (</w:t>
      </w:r>
      <w:r w:rsidR="00681F36">
        <w:t>S</w:t>
      </w:r>
      <w:r>
        <w:t xml:space="preserve">ekcja </w:t>
      </w:r>
      <w:r w:rsidR="00681F36">
        <w:t>P</w:t>
      </w:r>
      <w:r>
        <w:t>ierwsza), zasiadając jako Izba w składzie:</w:t>
      </w:r>
    </w:p>
    <w:p w14:paraId="0CB130E7" w14:textId="5C53DE54" w:rsidR="009F4C8F" w:rsidRPr="00297944" w:rsidRDefault="00A50701" w:rsidP="00297944">
      <w:pPr>
        <w:pStyle w:val="JuJudges"/>
      </w:pPr>
      <w:r>
        <w:tab/>
        <w:t>Ksenija Turković,</w:t>
      </w:r>
      <w:r>
        <w:rPr>
          <w:i/>
        </w:rPr>
        <w:t xml:space="preserve"> Przewodnicząca,</w:t>
      </w:r>
      <w:r>
        <w:rPr>
          <w:i/>
        </w:rPr>
        <w:br/>
      </w:r>
      <w:r>
        <w:tab/>
        <w:t>Krzysztof Wojtyczek,</w:t>
      </w:r>
      <w:r>
        <w:rPr>
          <w:i/>
        </w:rPr>
        <w:br/>
      </w:r>
      <w:r>
        <w:tab/>
        <w:t>Gilberto Felici,</w:t>
      </w:r>
      <w:r>
        <w:rPr>
          <w:i/>
        </w:rPr>
        <w:br/>
      </w:r>
      <w:r>
        <w:tab/>
        <w:t>Erik Wennerström,</w:t>
      </w:r>
      <w:r>
        <w:rPr>
          <w:i/>
        </w:rPr>
        <w:br/>
      </w:r>
      <w:r>
        <w:tab/>
        <w:t>Raffaele Sabato,</w:t>
      </w:r>
      <w:r>
        <w:rPr>
          <w:i/>
        </w:rPr>
        <w:br/>
      </w:r>
      <w:r>
        <w:tab/>
        <w:t>Lorraine Schembri Orland,</w:t>
      </w:r>
      <w:r>
        <w:rPr>
          <w:i/>
        </w:rPr>
        <w:br/>
      </w:r>
      <w:r>
        <w:tab/>
        <w:t>Ioannis Ktistakis,</w:t>
      </w:r>
      <w:r>
        <w:rPr>
          <w:i/>
        </w:rPr>
        <w:t xml:space="preserve"> sędziowie,</w:t>
      </w:r>
      <w:r>
        <w:br/>
        <w:t xml:space="preserve">oraz Renata Degener, </w:t>
      </w:r>
      <w:r>
        <w:rPr>
          <w:i/>
        </w:rPr>
        <w:t xml:space="preserve">Kanclerz </w:t>
      </w:r>
      <w:r>
        <w:rPr>
          <w:i/>
          <w:iCs/>
        </w:rPr>
        <w:t>Sekcji</w:t>
      </w:r>
      <w:r>
        <w:rPr>
          <w:i/>
        </w:rPr>
        <w:t>,</w:t>
      </w:r>
    </w:p>
    <w:p w14:paraId="04ADC631" w14:textId="77777777" w:rsidR="00DF10C4" w:rsidRPr="00297944" w:rsidRDefault="00DF10C4" w:rsidP="00297944">
      <w:pPr>
        <w:pStyle w:val="JuPara"/>
      </w:pPr>
      <w:r>
        <w:t>Mając na uwadze:</w:t>
      </w:r>
    </w:p>
    <w:p w14:paraId="19990917" w14:textId="082D8FAB" w:rsidR="00DF10C4" w:rsidRPr="00297944" w:rsidRDefault="00DF10C4" w:rsidP="00297944">
      <w:pPr>
        <w:pStyle w:val="JuPara"/>
      </w:pPr>
      <w:r>
        <w:t>skargę (nr</w:t>
      </w:r>
      <w:r w:rsidR="001B3877">
        <w:t xml:space="preserve"> </w:t>
      </w:r>
      <w:r>
        <w:t>16202/14) wniesioną w dniu 30</w:t>
      </w:r>
      <w:r w:rsidR="001B3877">
        <w:t xml:space="preserve"> </w:t>
      </w:r>
      <w:r>
        <w:t>listopada 2015</w:t>
      </w:r>
      <w:r w:rsidR="001B3877">
        <w:t xml:space="preserve"> </w:t>
      </w:r>
      <w:r>
        <w:t>r. do Trybunału przeciwko Rzeczypospolitej Polskiej na podstawie art.</w:t>
      </w:r>
      <w:r w:rsidR="001B3877">
        <w:t xml:space="preserve"> </w:t>
      </w:r>
      <w:r>
        <w:t>34 Konwencji o</w:t>
      </w:r>
      <w:r w:rsidR="001D25C9">
        <w:t> </w:t>
      </w:r>
      <w:r>
        <w:t>ochronie praw człowieka i podstawowych wolności („Konwencji”) przez obywatela polskiego</w:t>
      </w:r>
      <w:r w:rsidR="001B3877">
        <w:t xml:space="preserve"> </w:t>
      </w:r>
      <w:r>
        <w:t>M.B. („skarżącego”);</w:t>
      </w:r>
    </w:p>
    <w:p w14:paraId="1EFE6F2E" w14:textId="7595274A" w:rsidR="00DF10C4" w:rsidRPr="00297944" w:rsidRDefault="00DF10C4" w:rsidP="00297944">
      <w:pPr>
        <w:pStyle w:val="JuPara"/>
      </w:pPr>
      <w:r>
        <w:t>decyzję Przewodniczącego Sekcji o nieujawnianiu imienia i nazwiska skarżącego;</w:t>
      </w:r>
    </w:p>
    <w:p w14:paraId="21FBF78D" w14:textId="593B763C" w:rsidR="00DF10C4" w:rsidRPr="00297944" w:rsidRDefault="00DF10C4" w:rsidP="00297944">
      <w:pPr>
        <w:pStyle w:val="JuPara"/>
      </w:pPr>
      <w:r>
        <w:t>uwagi przedstawione przez Rząd R</w:t>
      </w:r>
      <w:r w:rsidR="00F31D50">
        <w:t>zecz</w:t>
      </w:r>
      <w:r w:rsidR="00B2035D">
        <w:t>y</w:t>
      </w:r>
      <w:r w:rsidR="00F31D50">
        <w:t xml:space="preserve">pospolitej </w:t>
      </w:r>
      <w:r>
        <w:t>P</w:t>
      </w:r>
      <w:r w:rsidR="00F31D50">
        <w:t>olski</w:t>
      </w:r>
      <w:r>
        <w:t xml:space="preserve"> („Rząd”) oraz uwagi przedłożone w odpowiedzi przez skarżącego,</w:t>
      </w:r>
    </w:p>
    <w:p w14:paraId="5A54ACC5" w14:textId="3E94DB0E" w:rsidR="00DF10C4" w:rsidRPr="00297944" w:rsidRDefault="00DF10C4" w:rsidP="00297944">
      <w:pPr>
        <w:pStyle w:val="JuPara"/>
      </w:pPr>
      <w:r>
        <w:t>uwagi przedstawione przez ośrodek Mental Disability Advocacy Centre, któremu Przewodniczący Sekcji udzielił zgody na przystąpienie do sprawy w</w:t>
      </w:r>
      <w:r w:rsidR="001D25C9">
        <w:t> </w:t>
      </w:r>
      <w:r>
        <w:t>charakterze interwenienta;</w:t>
      </w:r>
    </w:p>
    <w:p w14:paraId="7D74E584" w14:textId="59A910FB" w:rsidR="00DF10C4" w:rsidRPr="00297944" w:rsidRDefault="00F31D50" w:rsidP="00297944">
      <w:pPr>
        <w:pStyle w:val="JuPara"/>
      </w:pPr>
      <w:r>
        <w:t>z</w:t>
      </w:r>
      <w:r w:rsidR="00DF10C4">
        <w:t>auważając, że w dniu 12</w:t>
      </w:r>
      <w:r w:rsidR="001B3877">
        <w:t xml:space="preserve"> </w:t>
      </w:r>
      <w:r w:rsidR="00DF10C4">
        <w:t>maja 2017</w:t>
      </w:r>
      <w:r w:rsidR="001B3877">
        <w:t xml:space="preserve"> </w:t>
      </w:r>
      <w:r w:rsidR="00DF10C4">
        <w:t>r. Rząd</w:t>
      </w:r>
      <w:r w:rsidR="00335806">
        <w:t>owi zakomunikowano skargę dotyczącą</w:t>
      </w:r>
      <w:r w:rsidR="00DF10C4">
        <w:t xml:space="preserve"> </w:t>
      </w:r>
      <w:r w:rsidR="00DF10C4">
        <w:rPr>
          <w:rFonts w:ascii="Times New Roman" w:hAnsi="Times New Roman"/>
        </w:rPr>
        <w:t xml:space="preserve">zgodności z prawem umieszczenia skarżącego w szpitalu psychiatrycznym w </w:t>
      </w:r>
      <w:r w:rsidR="00DF10C4">
        <w:rPr>
          <w:color w:val="000000"/>
        </w:rPr>
        <w:t>okresie od 4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>sierpnia 2015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>r. do 30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>listopada 2016</w:t>
      </w:r>
      <w:r w:rsidR="001B3877">
        <w:t xml:space="preserve"> </w:t>
      </w:r>
      <w:r w:rsidR="00DF10C4">
        <w:t>r.</w:t>
      </w:r>
      <w:r w:rsidR="00DF10C4">
        <w:rPr>
          <w:rFonts w:ascii="Times New Roman" w:hAnsi="Times New Roman"/>
        </w:rPr>
        <w:t xml:space="preserve"> </w:t>
      </w:r>
      <w:r w:rsidR="00DF10C4">
        <w:t>oraz</w:t>
      </w:r>
      <w:r w:rsidR="001D25C9">
        <w:t> </w:t>
      </w:r>
      <w:r w:rsidR="00DF10C4">
        <w:t>że pozostała część skargi została uznana za niedopuszczalną zgodnie z</w:t>
      </w:r>
      <w:r w:rsidR="001D25C9">
        <w:t> </w:t>
      </w:r>
      <w:r w:rsidR="00DF10C4">
        <w:t>Regułą 54 § 3 Regulaminu Trybunału;</w:t>
      </w:r>
    </w:p>
    <w:p w14:paraId="089604FF" w14:textId="36C91D03" w:rsidR="009F4C8F" w:rsidRPr="00297944" w:rsidRDefault="009F4C8F" w:rsidP="00297944">
      <w:pPr>
        <w:pStyle w:val="JuPara"/>
      </w:pPr>
      <w:r>
        <w:t>obradując na posiedzeniu niejawnym w dniu 21</w:t>
      </w:r>
      <w:r w:rsidR="001B3877">
        <w:t xml:space="preserve"> </w:t>
      </w:r>
      <w:r>
        <w:t>września 2021</w:t>
      </w:r>
      <w:r w:rsidR="001B3877">
        <w:t xml:space="preserve"> </w:t>
      </w:r>
      <w:r>
        <w:t>r.,</w:t>
      </w:r>
    </w:p>
    <w:p w14:paraId="7E4A70D7" w14:textId="77777777" w:rsidR="009F4C8F" w:rsidRPr="00297944" w:rsidRDefault="009F4C8F" w:rsidP="00297944">
      <w:pPr>
        <w:pStyle w:val="JuPara"/>
      </w:pPr>
      <w:r>
        <w:t>wydaje następujący wyrok, który został przyjęty w tym dniu:</w:t>
      </w:r>
    </w:p>
    <w:p w14:paraId="08D7EFE1" w14:textId="77777777" w:rsidR="00DF10C4" w:rsidRPr="00297944" w:rsidRDefault="00DF10C4" w:rsidP="00297944">
      <w:pPr>
        <w:pStyle w:val="JuHHead"/>
      </w:pPr>
      <w:r>
        <w:t>WPROWADZENIE</w:t>
      </w:r>
    </w:p>
    <w:p w14:paraId="5F1A434F" w14:textId="5C6AD8A0" w:rsidR="00DF10C4" w:rsidRPr="00297944" w:rsidRDefault="00D2073A" w:rsidP="00297944">
      <w:pPr>
        <w:pStyle w:val="JuPara"/>
      </w:pPr>
      <w:r>
        <w:rPr>
          <w:noProof/>
        </w:rPr>
        <w:t>1</w:t>
      </w:r>
      <w:r w:rsidR="00DF10C4">
        <w:t>.</w:t>
      </w:r>
      <w:r w:rsidR="001B3877">
        <w:t xml:space="preserve"> </w:t>
      </w:r>
      <w:r w:rsidR="00DF10C4">
        <w:t>Sprawa dotyczy umieszczenia skarżącego w szpitalu psychiatrycznym na podstawie oceny medycznej, która miała być nieaktualna</w:t>
      </w:r>
      <w:r w:rsidR="00DD4F32">
        <w:t>.</w:t>
      </w:r>
    </w:p>
    <w:p w14:paraId="0D950CDD" w14:textId="77777777" w:rsidR="00DF10C4" w:rsidRPr="00297944" w:rsidRDefault="00DF10C4" w:rsidP="00297944">
      <w:pPr>
        <w:pStyle w:val="JuHHead"/>
      </w:pPr>
      <w:r>
        <w:t>FAKTY</w:t>
      </w:r>
    </w:p>
    <w:p w14:paraId="2A1B21A0" w14:textId="13B8CAFF" w:rsidR="00DF10C4" w:rsidRPr="00297944" w:rsidRDefault="00D2073A" w:rsidP="00297944">
      <w:pPr>
        <w:pStyle w:val="JuPara"/>
      </w:pPr>
      <w:r>
        <w:rPr>
          <w:noProof/>
        </w:rPr>
        <w:t>2</w:t>
      </w:r>
      <w:r w:rsidR="00DF10C4">
        <w:t>.</w:t>
      </w:r>
      <w:r w:rsidR="001B3877">
        <w:t xml:space="preserve"> </w:t>
      </w:r>
      <w:r w:rsidR="00DF10C4">
        <w:t>Skarżący urodził się w</w:t>
      </w:r>
      <w:r w:rsidR="001B3877">
        <w:t xml:space="preserve"> </w:t>
      </w:r>
      <w:r w:rsidR="00DF10C4">
        <w:t>1985</w:t>
      </w:r>
      <w:r w:rsidR="001B3877">
        <w:t xml:space="preserve"> </w:t>
      </w:r>
      <w:r w:rsidR="00DF10C4">
        <w:t xml:space="preserve">r. i mieszka w Krakowie. </w:t>
      </w:r>
      <w:r w:rsidR="00C8477E">
        <w:t>B</w:t>
      </w:r>
      <w:r w:rsidR="00DF10C4">
        <w:t>ył reprezentowany przez P.</w:t>
      </w:r>
      <w:r w:rsidR="001B3877">
        <w:t xml:space="preserve"> </w:t>
      </w:r>
      <w:r w:rsidR="00DF10C4">
        <w:t>Kładocznego, adwokata współpracującego z</w:t>
      </w:r>
      <w:r w:rsidR="001D25C9">
        <w:t> </w:t>
      </w:r>
      <w:r w:rsidR="00DF10C4">
        <w:t>Helsińską Fundacją Praw Człowieka – organizacją pozarządową z siedzibą w Warszawie.</w:t>
      </w:r>
    </w:p>
    <w:p w14:paraId="6DE5B876" w14:textId="53787B51" w:rsidR="00DF10C4" w:rsidRPr="00297944" w:rsidRDefault="00D2073A" w:rsidP="00297944">
      <w:pPr>
        <w:pStyle w:val="JuPara"/>
      </w:pPr>
      <w:r>
        <w:rPr>
          <w:noProof/>
        </w:rPr>
        <w:lastRenderedPageBreak/>
        <w:t>3</w:t>
      </w:r>
      <w:r w:rsidR="00DF10C4">
        <w:t>.</w:t>
      </w:r>
      <w:r w:rsidR="001B3877">
        <w:t xml:space="preserve"> </w:t>
      </w:r>
      <w:r w:rsidR="00DF10C4">
        <w:t xml:space="preserve">Rząd był reprezentowany przez </w:t>
      </w:r>
      <w:r w:rsidR="00F31D50">
        <w:t xml:space="preserve">swoją </w:t>
      </w:r>
      <w:r w:rsidR="00DF10C4">
        <w:t>pełnomocni</w:t>
      </w:r>
      <w:r w:rsidR="00F31D50">
        <w:t>czkę,</w:t>
      </w:r>
      <w:r w:rsidR="00DF10C4">
        <w:t xml:space="preserve"> J.</w:t>
      </w:r>
      <w:r w:rsidR="001D25C9">
        <w:t> </w:t>
      </w:r>
      <w:r w:rsidR="00DF10C4">
        <w:t>Chrzanowską, a</w:t>
      </w:r>
      <w:r w:rsidR="001B3877">
        <w:t xml:space="preserve"> </w:t>
      </w:r>
      <w:r w:rsidR="00DF10C4">
        <w:t>następnie przez J. Sobczaka z Ministerstwa Spraw Zagranicznych.</w:t>
      </w:r>
    </w:p>
    <w:p w14:paraId="20E26FB2" w14:textId="2861D770" w:rsidR="00DF10C4" w:rsidRPr="00297944" w:rsidRDefault="00D2073A" w:rsidP="00297944">
      <w:pPr>
        <w:pStyle w:val="JuPara"/>
      </w:pPr>
      <w:r>
        <w:rPr>
          <w:noProof/>
        </w:rPr>
        <w:t>4</w:t>
      </w:r>
      <w:r w:rsidR="00DF10C4">
        <w:t>.</w:t>
      </w:r>
      <w:r w:rsidR="001B3877">
        <w:t xml:space="preserve"> </w:t>
      </w:r>
      <w:r w:rsidR="00DF10C4">
        <w:t>Przedstawione przez strony okoliczności faktyczne sprawy można streścić w następujący sposób.</w:t>
      </w:r>
    </w:p>
    <w:p w14:paraId="29E3B7A3" w14:textId="7044B28B" w:rsidR="00DF10C4" w:rsidRPr="00297944" w:rsidRDefault="00DF10C4" w:rsidP="00297944">
      <w:pPr>
        <w:pStyle w:val="JuHIRoman"/>
      </w:pPr>
      <w:r>
        <w:t>Kontekst sprawy</w:t>
      </w:r>
    </w:p>
    <w:p w14:paraId="2008B5FE" w14:textId="250CBB50" w:rsidR="00DF10C4" w:rsidRPr="00297944" w:rsidRDefault="00D2073A" w:rsidP="00297944">
      <w:pPr>
        <w:pStyle w:val="JuPara"/>
      </w:pPr>
      <w:r>
        <w:rPr>
          <w:noProof/>
        </w:rPr>
        <w:t>5</w:t>
      </w:r>
      <w:r w:rsidR="00DF10C4">
        <w:t>.</w:t>
      </w:r>
      <w:r w:rsidR="001B3877">
        <w:t xml:space="preserve"> </w:t>
      </w:r>
      <w:r w:rsidR="00DF10C4">
        <w:t>W dniu 13</w:t>
      </w:r>
      <w:r w:rsidR="001B3877">
        <w:t xml:space="preserve"> </w:t>
      </w:r>
      <w:r w:rsidR="00DF10C4">
        <w:t>stycznia 2014</w:t>
      </w:r>
      <w:r w:rsidR="001B3877">
        <w:t xml:space="preserve"> </w:t>
      </w:r>
      <w:r w:rsidR="00DF10C4">
        <w:t>r. skarżący zaatakował swoich rodziców nożem. Po tym zdarzeniu Prokurator Rejonowy w Trzebnicy wszczął przeciwko niemu postępowanie karne, zarzucając naruszenie nietykalności cielesnej. W tym samym dniu skarżący został umieszczony na oddziale psychiatrycznym w ośrodku medycznym w Miliczu.</w:t>
      </w:r>
    </w:p>
    <w:p w14:paraId="093A9995" w14:textId="77777777" w:rsidR="00DF10C4" w:rsidRPr="00297944" w:rsidRDefault="00DF10C4" w:rsidP="00297944">
      <w:pPr>
        <w:pStyle w:val="JuHIRoman"/>
      </w:pPr>
      <w:r>
        <w:t>Postępowanie karne prowadzone przeciwko skarżącemu</w:t>
      </w:r>
    </w:p>
    <w:p w14:paraId="2822A779" w14:textId="07523B76" w:rsidR="00DF10C4" w:rsidRPr="00297944" w:rsidRDefault="00D2073A" w:rsidP="00297944">
      <w:pPr>
        <w:pStyle w:val="JuPara"/>
      </w:pPr>
      <w:r>
        <w:rPr>
          <w:noProof/>
        </w:rPr>
        <w:t>6</w:t>
      </w:r>
      <w:r w:rsidR="00DF10C4">
        <w:t>.</w:t>
      </w:r>
      <w:r w:rsidR="001B3877">
        <w:t xml:space="preserve"> </w:t>
      </w:r>
      <w:r w:rsidR="00DF10C4">
        <w:t>W dniu 16</w:t>
      </w:r>
      <w:r w:rsidR="001B3877">
        <w:t xml:space="preserve"> </w:t>
      </w:r>
      <w:r w:rsidR="00DF10C4">
        <w:t>stycznia 2014</w:t>
      </w:r>
      <w:r w:rsidR="001B3877">
        <w:t xml:space="preserve"> </w:t>
      </w:r>
      <w:r w:rsidR="00DF10C4">
        <w:t>r. prokurator przedstawił skarżącemu zarzut popełnienia przestępstwa polegającego na uszkodzeniu ciała. W tym samym dniu Sąd Rejonowy w Trzebnicy ustanowił dla skarżącego obrońcę z urzędu.</w:t>
      </w:r>
    </w:p>
    <w:p w14:paraId="547F853A" w14:textId="4BFD5E4B" w:rsidR="00DF10C4" w:rsidRPr="00297944" w:rsidRDefault="00D2073A" w:rsidP="00297944">
      <w:pPr>
        <w:pStyle w:val="JuPara"/>
      </w:pPr>
      <w:r>
        <w:rPr>
          <w:noProof/>
        </w:rPr>
        <w:t>7</w:t>
      </w:r>
      <w:r w:rsidR="00DF10C4">
        <w:t>.</w:t>
      </w:r>
      <w:r w:rsidR="001B3877">
        <w:t xml:space="preserve"> </w:t>
      </w:r>
      <w:r w:rsidR="00DF10C4">
        <w:t>Skarżącego poinformowano o przedstawionych mu zarzutach w</w:t>
      </w:r>
      <w:r w:rsidR="001D25C9">
        <w:t> </w:t>
      </w:r>
      <w:r w:rsidR="00DF10C4">
        <w:t>obecności obrońcy w dniu 17</w:t>
      </w:r>
      <w:r w:rsidR="001B3877">
        <w:t xml:space="preserve"> </w:t>
      </w:r>
      <w:r w:rsidR="00DF10C4">
        <w:t>stycznia 2014</w:t>
      </w:r>
      <w:r w:rsidR="001B3877">
        <w:t xml:space="preserve"> </w:t>
      </w:r>
      <w:r w:rsidR="00DF10C4">
        <w:t>r.</w:t>
      </w:r>
    </w:p>
    <w:p w14:paraId="3B26EBB8" w14:textId="4387E572" w:rsidR="00DF10C4" w:rsidRPr="00297944" w:rsidRDefault="003564DE" w:rsidP="00297944">
      <w:pPr>
        <w:pStyle w:val="JuPara"/>
      </w:pPr>
      <w:r>
        <w:t>8</w:t>
      </w:r>
      <w:r w:rsidR="00DF10C4">
        <w:t>.</w:t>
      </w:r>
      <w:r w:rsidR="001B3877">
        <w:t xml:space="preserve"> </w:t>
      </w:r>
      <w:r w:rsidR="00DF10C4">
        <w:t>W dniu 17</w:t>
      </w:r>
      <w:r w:rsidR="001B3877">
        <w:t xml:space="preserve"> </w:t>
      </w:r>
      <w:r w:rsidR="00DF10C4">
        <w:t>stycznia 2014</w:t>
      </w:r>
      <w:r w:rsidR="001B3877">
        <w:t xml:space="preserve"> </w:t>
      </w:r>
      <w:r w:rsidR="00DF10C4">
        <w:t xml:space="preserve">r. skarżący został przebadany przez dwóch lekarzy psychiatrów i psychologa. Tego samego dnia biegli wydali wspólną opinię lekarską, w której stwierdzili, że skarżący cierpi na schizofrenię paranoidalną z zaburzeniami urojeniowymi, co uniemożliwia mu uczestnictwo w prowadzonym przeciwko niemu postępowaniu karnym. Stwierdzili również, że ryzyko popełnienia przez niego podobnych przestępstw w przyszłości </w:t>
      </w:r>
      <w:r w:rsidR="00C8477E">
        <w:t xml:space="preserve">jest </w:t>
      </w:r>
      <w:r w:rsidR="00DF10C4">
        <w:t>wysokie, a jego stan stanowi zagrożenie dla</w:t>
      </w:r>
      <w:r w:rsidR="001D25C9">
        <w:t> </w:t>
      </w:r>
      <w:r w:rsidR="00DF10C4">
        <w:t>zdrowia i życia członków jego rodziny. Z tych względów postanowiono, że powinien zostać umieszczony w zakładzie dysponującym warunkami wzmocnionego zabezpieczenia.</w:t>
      </w:r>
    </w:p>
    <w:p w14:paraId="5F2DD007" w14:textId="393D43DE" w:rsidR="00DF10C4" w:rsidRPr="00297944" w:rsidRDefault="003564DE" w:rsidP="00297944">
      <w:pPr>
        <w:pStyle w:val="JuPara"/>
        <w:rPr>
          <w:rFonts w:cs="Times New Roman"/>
        </w:rPr>
      </w:pPr>
      <w:r>
        <w:t>9</w:t>
      </w:r>
      <w:r w:rsidR="00DF10C4">
        <w:t>.</w:t>
      </w:r>
      <w:r w:rsidR="001B3877">
        <w:t xml:space="preserve"> </w:t>
      </w:r>
      <w:r w:rsidR="00DF10C4">
        <w:t>W dniu 27</w:t>
      </w:r>
      <w:r w:rsidR="001B3877">
        <w:t xml:space="preserve"> </w:t>
      </w:r>
      <w:r w:rsidR="00DF10C4">
        <w:t>stycznia 2014</w:t>
      </w:r>
      <w:r w:rsidR="001B3877">
        <w:t xml:space="preserve"> </w:t>
      </w:r>
      <w:r w:rsidR="00DF10C4">
        <w:t>r. prokurator ponownie zlecił dwóm lekarzom psychiatrom i psychologowi sporządzenie kolejnej opinii o stanie zdrowia psychicznego skarżącego. W dniu 3</w:t>
      </w:r>
      <w:r w:rsidR="001B3877">
        <w:t xml:space="preserve"> </w:t>
      </w:r>
      <w:r w:rsidR="00DF10C4">
        <w:t>lutego 2014</w:t>
      </w:r>
      <w:r w:rsidR="001B3877">
        <w:t xml:space="preserve"> </w:t>
      </w:r>
      <w:r w:rsidR="00DF10C4">
        <w:t xml:space="preserve">r., po zbadaniu skarżącego, biegli ustalili, że ze względu na </w:t>
      </w:r>
      <w:r w:rsidR="00C8477E">
        <w:t xml:space="preserve">swój </w:t>
      </w:r>
      <w:r w:rsidR="00DF10C4">
        <w:t>stan zdrowia nie może</w:t>
      </w:r>
      <w:r w:rsidR="008C77F5">
        <w:t xml:space="preserve"> </w:t>
      </w:r>
      <w:r w:rsidR="00C8477E">
        <w:t xml:space="preserve">on </w:t>
      </w:r>
      <w:r w:rsidR="00DF10C4">
        <w:t>brać udziału w prowadzonym przeciwko niemu postępowaniu karnym.</w:t>
      </w:r>
    </w:p>
    <w:p w14:paraId="7B9282BE" w14:textId="1C9A5A31" w:rsidR="00DF10C4" w:rsidRPr="00297944" w:rsidRDefault="00D2073A" w:rsidP="00297944">
      <w:pPr>
        <w:pStyle w:val="JuPara"/>
      </w:pPr>
      <w:r>
        <w:rPr>
          <w:noProof/>
        </w:rPr>
        <w:t>10</w:t>
      </w:r>
      <w:r w:rsidR="00DF10C4">
        <w:t>.</w:t>
      </w:r>
      <w:r w:rsidR="001B3877">
        <w:t xml:space="preserve"> </w:t>
      </w:r>
      <w:r w:rsidR="00DF10C4">
        <w:t>W dniu 28</w:t>
      </w:r>
      <w:r w:rsidR="001B3877">
        <w:t xml:space="preserve"> </w:t>
      </w:r>
      <w:r w:rsidR="00DF10C4">
        <w:t>marca 2014</w:t>
      </w:r>
      <w:r w:rsidR="001B3877">
        <w:t xml:space="preserve"> </w:t>
      </w:r>
      <w:r w:rsidR="00DF10C4">
        <w:t>r. Prokurator Rejonowy w Trzebnicy zwrócił się do Sądu Rejonowego w Trzebnicy o umorzenie prowadzonego przeciwko skarżącemu postępowania z uwagi na brak możliwości pociągnięcia go do</w:t>
      </w:r>
      <w:r w:rsidR="001D25C9">
        <w:t> </w:t>
      </w:r>
      <w:r w:rsidR="00DF10C4">
        <w:t xml:space="preserve">odpowiedzialności karnej w związku z niepoczytalnością, a jednocześnie o zastosowanie środka </w:t>
      </w:r>
      <w:r w:rsidR="00C8477E" w:rsidRPr="00C8477E">
        <w:t>zabezpieczającego</w:t>
      </w:r>
      <w:r w:rsidR="00DF10C4" w:rsidRPr="00C8477E">
        <w:t xml:space="preserve"> w</w:t>
      </w:r>
      <w:r w:rsidR="00DF10C4">
        <w:t xml:space="preserve"> postaci umieszczenia skarżącego w szpitalu psychiatrycznym.</w:t>
      </w:r>
    </w:p>
    <w:p w14:paraId="3EAEA9EF" w14:textId="71F68CA3" w:rsidR="00DF10C4" w:rsidRPr="00297944" w:rsidRDefault="00D2073A" w:rsidP="00297944">
      <w:pPr>
        <w:pStyle w:val="JuPara"/>
      </w:pPr>
      <w:r>
        <w:rPr>
          <w:noProof/>
        </w:rPr>
        <w:lastRenderedPageBreak/>
        <w:t>11</w:t>
      </w:r>
      <w:r w:rsidR="00DF10C4">
        <w:t>.</w:t>
      </w:r>
      <w:r w:rsidR="001B3877">
        <w:t xml:space="preserve"> </w:t>
      </w:r>
      <w:r w:rsidR="00DF10C4">
        <w:t>W dniu 31</w:t>
      </w:r>
      <w:r w:rsidR="001B3877">
        <w:t xml:space="preserve"> </w:t>
      </w:r>
      <w:r w:rsidR="00DF10C4">
        <w:t>marca 2014</w:t>
      </w:r>
      <w:r w:rsidR="001B3877">
        <w:t xml:space="preserve"> </w:t>
      </w:r>
      <w:r w:rsidR="00DF10C4">
        <w:t xml:space="preserve">r. skarżący został </w:t>
      </w:r>
      <w:r>
        <w:t>zwolniony</w:t>
      </w:r>
      <w:r w:rsidR="00DF10C4">
        <w:t xml:space="preserve"> z ośrodka medycznego w Miliczu. Zalecono mu kontynuację leczenia psychiatrycznego.</w:t>
      </w:r>
    </w:p>
    <w:p w14:paraId="4DBA19DA" w14:textId="37FDFEBE" w:rsidR="00DF10C4" w:rsidRPr="00297944" w:rsidRDefault="00D2073A" w:rsidP="00297944">
      <w:pPr>
        <w:pStyle w:val="JuPara"/>
      </w:pPr>
      <w:r>
        <w:rPr>
          <w:noProof/>
        </w:rPr>
        <w:t>12</w:t>
      </w:r>
      <w:r w:rsidR="00DF10C4">
        <w:t>.</w:t>
      </w:r>
      <w:r w:rsidR="001B3877">
        <w:t xml:space="preserve"> </w:t>
      </w:r>
      <w:r w:rsidR="00DF10C4">
        <w:t>Następnie, w dniu 5</w:t>
      </w:r>
      <w:r w:rsidR="001B3877">
        <w:t xml:space="preserve"> </w:t>
      </w:r>
      <w:r w:rsidR="00DF10C4">
        <w:t>maja 2014</w:t>
      </w:r>
      <w:r w:rsidR="001B3877">
        <w:t xml:space="preserve"> </w:t>
      </w:r>
      <w:r w:rsidR="00DF10C4">
        <w:t>r., skarżący dobrowolnie rozpoczął leczenie w terapeutycznym ośrodku ambulatoryjnym w Gdańsku dla</w:t>
      </w:r>
      <w:r w:rsidR="001D25C9">
        <w:t> </w:t>
      </w:r>
      <w:r w:rsidR="00DF10C4">
        <w:t xml:space="preserve">młodzieży cierpiącej na zaburzenia psychiczne </w:t>
      </w:r>
      <w:r w:rsidR="00DF10C4">
        <w:rPr>
          <w:i/>
        </w:rPr>
        <w:t>(</w:t>
      </w:r>
      <w:r w:rsidR="00DF10C4" w:rsidRPr="00E365AB">
        <w:rPr>
          <w:iCs/>
        </w:rPr>
        <w:t>Hostel-inkubator samodzielności</w:t>
      </w:r>
      <w:r w:rsidR="008C77F5">
        <w:t>,</w:t>
      </w:r>
      <w:r w:rsidR="00DF10C4">
        <w:t xml:space="preserve"> zwany dalej „Hostel”).</w:t>
      </w:r>
    </w:p>
    <w:p w14:paraId="777EACD7" w14:textId="15D22BB7" w:rsidR="00DF10C4" w:rsidRPr="00297944" w:rsidRDefault="00D2073A" w:rsidP="00297944">
      <w:pPr>
        <w:pStyle w:val="JuPara"/>
      </w:pPr>
      <w:r>
        <w:rPr>
          <w:noProof/>
        </w:rPr>
        <w:t>13</w:t>
      </w:r>
      <w:r w:rsidR="00DF10C4">
        <w:t>.</w:t>
      </w:r>
      <w:r w:rsidR="001B3877">
        <w:t xml:space="preserve"> </w:t>
      </w:r>
      <w:r w:rsidR="00DF10C4">
        <w:t>Na rozprawie w dniu 1</w:t>
      </w:r>
      <w:r w:rsidR="001B3877">
        <w:t xml:space="preserve"> </w:t>
      </w:r>
      <w:r w:rsidR="00DF10C4">
        <w:t>lipca 2014</w:t>
      </w:r>
      <w:r w:rsidR="001B3877">
        <w:t xml:space="preserve"> </w:t>
      </w:r>
      <w:r w:rsidR="00DF10C4">
        <w:t>r. przed Sądem Rejonowym w</w:t>
      </w:r>
      <w:r w:rsidR="001D25C9">
        <w:t> </w:t>
      </w:r>
      <w:r w:rsidR="00DF10C4">
        <w:t>Trzebnicy biegli lekarze psychiatrzy potwierdzili swoje wcześniejsze wnioski o konieczności umieszczenia skarżącego w zamkniętym zakładzie psychiatrycznym. Ponadto byli oni zdania, że stan psychiczny skarżącego nie był stabilny. W przypadku nieumieszczenia go w zamkniętym zakładzie psychiatrycznym istniało wysokie ryzyko, że przerwie leczenie i popełni kolejne przestępstwa o znacznym stopniu społecznej szkodliwości.</w:t>
      </w:r>
    </w:p>
    <w:p w14:paraId="51B99C7B" w14:textId="10C8F7B5" w:rsidR="00DF10C4" w:rsidRPr="00297944" w:rsidRDefault="003564DE" w:rsidP="00297944">
      <w:pPr>
        <w:pStyle w:val="JuPara"/>
      </w:pPr>
      <w:r>
        <w:t>14</w:t>
      </w:r>
      <w:r w:rsidR="00DF10C4">
        <w:t>.</w:t>
      </w:r>
      <w:r w:rsidR="001B3877">
        <w:t xml:space="preserve"> </w:t>
      </w:r>
      <w:r w:rsidR="00DF10C4">
        <w:t>W dniu 27</w:t>
      </w:r>
      <w:r w:rsidR="001B3877">
        <w:t xml:space="preserve"> </w:t>
      </w:r>
      <w:r w:rsidR="00DF10C4">
        <w:t>lipca 2014</w:t>
      </w:r>
      <w:r w:rsidR="001B3877">
        <w:t xml:space="preserve"> </w:t>
      </w:r>
      <w:r w:rsidR="00DF10C4">
        <w:t>r. skarżący przedłożył zaświadczenie z Hostelu, sporządzone przez psychologów, którzy stwierdzili, że powinien kontynuować leczenie w tej placówce.</w:t>
      </w:r>
    </w:p>
    <w:p w14:paraId="58B4F592" w14:textId="779270F8" w:rsidR="00DF10C4" w:rsidRPr="00297944" w:rsidRDefault="003564DE" w:rsidP="00297944">
      <w:pPr>
        <w:pStyle w:val="JuPara"/>
      </w:pPr>
      <w:r>
        <w:t>15</w:t>
      </w:r>
      <w:r w:rsidR="00DF10C4">
        <w:t>.</w:t>
      </w:r>
      <w:r w:rsidR="001B3877">
        <w:t xml:space="preserve"> </w:t>
      </w:r>
      <w:r w:rsidR="00DF10C4">
        <w:t>W dniu 5</w:t>
      </w:r>
      <w:r w:rsidR="001B3877">
        <w:t xml:space="preserve"> </w:t>
      </w:r>
      <w:r w:rsidR="00DF10C4">
        <w:t>sierpnia 2014</w:t>
      </w:r>
      <w:r w:rsidR="001B3877">
        <w:t xml:space="preserve"> </w:t>
      </w:r>
      <w:r w:rsidR="00DF10C4">
        <w:t>r. skarżący przedłożył kolejne zaświadczenie z Hostelu, w którym potwierdzono, że od dnia 6</w:t>
      </w:r>
      <w:r w:rsidR="001B3877">
        <w:t xml:space="preserve"> </w:t>
      </w:r>
      <w:r w:rsidR="00DF10C4">
        <w:t>maja 2014</w:t>
      </w:r>
      <w:r w:rsidR="001B3877">
        <w:t xml:space="preserve"> </w:t>
      </w:r>
      <w:r w:rsidR="00DF10C4">
        <w:t>r. regularnie przyjmuje leki, odbywa terapię i nie doświadczył epizodów urojeni</w:t>
      </w:r>
      <w:r w:rsidR="008C77F5">
        <w:t>owych</w:t>
      </w:r>
      <w:r w:rsidR="00DF10C4">
        <w:t xml:space="preserve"> ani</w:t>
      </w:r>
      <w:r w:rsidR="001D25C9">
        <w:t> </w:t>
      </w:r>
      <w:r w:rsidR="00DF10C4">
        <w:t>halucynacji.</w:t>
      </w:r>
    </w:p>
    <w:p w14:paraId="313DC88B" w14:textId="51AA7368" w:rsidR="00DF10C4" w:rsidRPr="00297944" w:rsidRDefault="00D2073A" w:rsidP="00297944">
      <w:pPr>
        <w:pStyle w:val="JuPara"/>
      </w:pPr>
      <w:r>
        <w:rPr>
          <w:noProof/>
        </w:rPr>
        <w:t>16</w:t>
      </w:r>
      <w:r w:rsidR="00DF10C4">
        <w:t>.</w:t>
      </w:r>
      <w:r w:rsidR="001B3877">
        <w:t xml:space="preserve"> </w:t>
      </w:r>
      <w:r w:rsidR="00DF10C4">
        <w:t>Na rozprawie w dniu 12</w:t>
      </w:r>
      <w:r w:rsidR="001B3877">
        <w:t xml:space="preserve"> </w:t>
      </w:r>
      <w:r w:rsidR="00DF10C4">
        <w:t>stycznia 2015</w:t>
      </w:r>
      <w:r w:rsidR="001B3877">
        <w:t xml:space="preserve"> </w:t>
      </w:r>
      <w:r w:rsidR="00DF10C4">
        <w:t xml:space="preserve">r. Sąd Rejonowy w Trzebnicy przeprowadził dowód z zeznań psychologa i dyrektora Hostelu. Ponownie wysłuchał również psychiatrów, którzy sporządzili opinie biegłych i którzy stwierdzili, że skarżący powinien zostać umieszczony w zamkniętym zakładzie psychiatrycznym. Ich zdaniem skarżący mógł przestać przyjmować leki, a w konsekwencji popełnić przestępstwo podobne do tego, </w:t>
      </w:r>
      <w:r w:rsidR="008C77F5">
        <w:t xml:space="preserve">o </w:t>
      </w:r>
      <w:r w:rsidR="00DF10C4">
        <w:t xml:space="preserve">którego popełnienie </w:t>
      </w:r>
      <w:r w:rsidR="008C77F5">
        <w:t>został oskarżony</w:t>
      </w:r>
      <w:r w:rsidR="00DF10C4">
        <w:t>.</w:t>
      </w:r>
    </w:p>
    <w:p w14:paraId="2A43428E" w14:textId="30DC27AD" w:rsidR="00DF10C4" w:rsidRPr="00297944" w:rsidRDefault="003564DE" w:rsidP="00297944">
      <w:pPr>
        <w:pStyle w:val="JuPara"/>
      </w:pPr>
      <w:r>
        <w:t>17</w:t>
      </w:r>
      <w:r w:rsidR="00DF10C4">
        <w:t>.</w:t>
      </w:r>
      <w:r w:rsidR="001B3877">
        <w:t xml:space="preserve"> </w:t>
      </w:r>
      <w:r w:rsidR="00DF10C4">
        <w:t>W dniu 19</w:t>
      </w:r>
      <w:r w:rsidR="001B3877">
        <w:t xml:space="preserve"> </w:t>
      </w:r>
      <w:r w:rsidR="00DF10C4">
        <w:t>stycznia 2015</w:t>
      </w:r>
      <w:r w:rsidR="001B3877">
        <w:t xml:space="preserve"> </w:t>
      </w:r>
      <w:r w:rsidR="00DF10C4">
        <w:t>r. Sąd Rejonowy w Trzebnicy umorzył prowadzone wobec skarżącego postępowanie. Sąd uznał, że skarżący popełnił zarzucane mu przestępstwo. Nie można było jednak pociągnąć go</w:t>
      </w:r>
      <w:r w:rsidR="001D25C9">
        <w:t> </w:t>
      </w:r>
      <w:r w:rsidR="00DF10C4">
        <w:t>do</w:t>
      </w:r>
      <w:r w:rsidR="001D25C9">
        <w:t> </w:t>
      </w:r>
      <w:r w:rsidR="00DF10C4">
        <w:t>odpowiedzialności karnej, ponieważ cierpiał na schizofrenię paranoidalną. Następnie odniósł się do opinii biegłych i zarządził umieszczenie skarżącego w szpitalu psychiatrycznym.</w:t>
      </w:r>
    </w:p>
    <w:p w14:paraId="715D150E" w14:textId="47117B53" w:rsidR="00DF10C4" w:rsidRPr="00297944" w:rsidRDefault="003564DE" w:rsidP="00297944">
      <w:pPr>
        <w:pStyle w:val="JuPara"/>
      </w:pPr>
      <w:r>
        <w:t>18</w:t>
      </w:r>
      <w:r w:rsidR="00DF10C4">
        <w:t>.</w:t>
      </w:r>
      <w:r w:rsidR="001B3877">
        <w:t xml:space="preserve"> </w:t>
      </w:r>
      <w:r w:rsidR="00DF10C4">
        <w:t>W dniu 13</w:t>
      </w:r>
      <w:r w:rsidR="001B3877">
        <w:t xml:space="preserve"> </w:t>
      </w:r>
      <w:r w:rsidR="00DF10C4">
        <w:t>lutego 2015</w:t>
      </w:r>
      <w:r w:rsidR="001B3877">
        <w:t xml:space="preserve"> </w:t>
      </w:r>
      <w:r w:rsidR="00DF10C4">
        <w:t>r. obrońca skarżącego wniósł zażalenie. Przedstawił dalsze dowody dotyczące rzekomej poprawy stanu zdrowia skarżącego.</w:t>
      </w:r>
    </w:p>
    <w:p w14:paraId="1AFDA144" w14:textId="4005EF82" w:rsidR="00DF10C4" w:rsidRPr="00297944" w:rsidRDefault="003564DE" w:rsidP="00297944">
      <w:pPr>
        <w:pStyle w:val="JuPara"/>
      </w:pPr>
      <w:r>
        <w:t>19</w:t>
      </w:r>
      <w:r w:rsidR="00DF10C4">
        <w:t>.</w:t>
      </w:r>
      <w:r w:rsidR="001B3877">
        <w:t xml:space="preserve"> </w:t>
      </w:r>
      <w:r w:rsidR="00DF10C4">
        <w:t>W dniu 11</w:t>
      </w:r>
      <w:r w:rsidR="001B3877">
        <w:t xml:space="preserve"> </w:t>
      </w:r>
      <w:r w:rsidR="00DF10C4">
        <w:t>maja 2015</w:t>
      </w:r>
      <w:r w:rsidR="001B3877">
        <w:t xml:space="preserve"> </w:t>
      </w:r>
      <w:r w:rsidR="00DF10C4">
        <w:t>r. Sąd Okręgowy we Wrocławiu utrzymał w</w:t>
      </w:r>
      <w:r w:rsidR="001D25C9">
        <w:t> </w:t>
      </w:r>
      <w:r w:rsidR="00DF10C4">
        <w:t>mocy wyrok sądu pierwszej instancji. Sąd oparł się na uzasadnieniu Sądu Rejonowego, wskazał, że biegli potwierdzili, że skarżącego należy umieścić w zamkniętym zakładzie psychiatrycznym</w:t>
      </w:r>
      <w:r w:rsidR="00F1278D">
        <w:t>,</w:t>
      </w:r>
      <w:r w:rsidR="00DF10C4">
        <w:t xml:space="preserve"> i podkreślił, że nie było potrzeby uzyskiwania dalszych opinii biegłych. Wskazano ponadto, że Sąd Rejonowy dwukrotnie wysłuchał biegłych psychiatrów, którzy uzupełnili swoje opinie.</w:t>
      </w:r>
    </w:p>
    <w:p w14:paraId="6DF20848" w14:textId="00EA751D" w:rsidR="003564DE" w:rsidRPr="00297944" w:rsidRDefault="00D2073A" w:rsidP="003564DE">
      <w:pPr>
        <w:pStyle w:val="JuPara"/>
      </w:pPr>
      <w:r>
        <w:rPr>
          <w:noProof/>
        </w:rPr>
        <w:lastRenderedPageBreak/>
        <w:t>20</w:t>
      </w:r>
      <w:r w:rsidR="00DF10C4">
        <w:t>.</w:t>
      </w:r>
      <w:r w:rsidR="001B3877">
        <w:t xml:space="preserve"> </w:t>
      </w:r>
      <w:r w:rsidR="00DF10C4">
        <w:t>W dniu 10</w:t>
      </w:r>
      <w:r w:rsidR="001B3877">
        <w:t xml:space="preserve"> </w:t>
      </w:r>
      <w:r w:rsidR="00DF10C4">
        <w:t>czerwca 2015</w:t>
      </w:r>
      <w:r w:rsidR="001B3877">
        <w:t xml:space="preserve"> </w:t>
      </w:r>
      <w:r w:rsidR="00DF10C4">
        <w:t>r. Komisja Psychiatryczna ds. środków zabezpieczających zaleciła umieszczenie skarżącego w Szpitalu Psychiatrycznym w Krakowie („Szpital”).</w:t>
      </w:r>
    </w:p>
    <w:p w14:paraId="68EF2B5D" w14:textId="16F6A4EB" w:rsidR="00DF10C4" w:rsidRPr="00297944" w:rsidRDefault="003564DE" w:rsidP="00297944">
      <w:pPr>
        <w:pStyle w:val="JuPara"/>
      </w:pPr>
      <w:r>
        <w:t>21</w:t>
      </w:r>
      <w:r w:rsidR="00DF10C4">
        <w:t>.</w:t>
      </w:r>
      <w:r w:rsidR="001B3877">
        <w:t xml:space="preserve"> </w:t>
      </w:r>
      <w:r w:rsidR="00DF10C4">
        <w:t>W dniu 4</w:t>
      </w:r>
      <w:r w:rsidR="001B3877">
        <w:t xml:space="preserve"> </w:t>
      </w:r>
      <w:r w:rsidR="00DF10C4">
        <w:t>sierpnia 2015</w:t>
      </w:r>
      <w:r w:rsidR="001B3877">
        <w:t xml:space="preserve"> </w:t>
      </w:r>
      <w:r w:rsidR="00DF10C4">
        <w:t>r. skarżący został umieszczony w Szpitalu.</w:t>
      </w:r>
    </w:p>
    <w:p w14:paraId="7FA30A9D" w14:textId="437C8875" w:rsidR="003564DE" w:rsidRPr="00297944" w:rsidRDefault="00D2073A" w:rsidP="003564DE">
      <w:pPr>
        <w:pStyle w:val="JuPara"/>
      </w:pPr>
      <w:r>
        <w:rPr>
          <w:noProof/>
        </w:rPr>
        <w:t>22</w:t>
      </w:r>
      <w:r w:rsidR="00DF10C4">
        <w:t>.</w:t>
      </w:r>
      <w:r w:rsidR="001B3877">
        <w:t xml:space="preserve"> </w:t>
      </w:r>
      <w:r w:rsidR="00DF10C4">
        <w:t>W dniu 8</w:t>
      </w:r>
      <w:r w:rsidR="001B3877">
        <w:t xml:space="preserve"> </w:t>
      </w:r>
      <w:r w:rsidR="00DF10C4">
        <w:t>września 2015</w:t>
      </w:r>
      <w:r w:rsidR="001B3877">
        <w:t xml:space="preserve"> </w:t>
      </w:r>
      <w:r w:rsidR="00DF10C4">
        <w:t>r. w Sądzie Rejonowym w Trzebnicy odbyła się rozprawa w celu rozpoznania wniosku obrońcy skarżącego o zmianę środka za</w:t>
      </w:r>
      <w:r w:rsidR="00F1278D">
        <w:t>bezpieczając</w:t>
      </w:r>
      <w:r w:rsidR="00DF10C4">
        <w:t>ego.</w:t>
      </w:r>
    </w:p>
    <w:p w14:paraId="7B207E11" w14:textId="3B0BDE86" w:rsidR="00DF10C4" w:rsidRPr="00297944" w:rsidRDefault="003564DE" w:rsidP="00297944">
      <w:pPr>
        <w:pStyle w:val="JuPara"/>
      </w:pPr>
      <w:r>
        <w:t>23</w:t>
      </w:r>
      <w:r w:rsidR="00DF10C4">
        <w:t>.</w:t>
      </w:r>
      <w:r w:rsidR="001B3877">
        <w:t xml:space="preserve"> </w:t>
      </w:r>
      <w:r w:rsidR="00DF10C4">
        <w:t>W dniu 30</w:t>
      </w:r>
      <w:r w:rsidR="001B3877">
        <w:t xml:space="preserve"> </w:t>
      </w:r>
      <w:r w:rsidR="00DF10C4">
        <w:t>października 2015</w:t>
      </w:r>
      <w:r w:rsidR="001B3877">
        <w:t xml:space="preserve"> </w:t>
      </w:r>
      <w:r w:rsidR="00DF10C4">
        <w:t>r., na żądanie sądu, dwóch lekarzy ze</w:t>
      </w:r>
      <w:r w:rsidR="001D25C9">
        <w:t> </w:t>
      </w:r>
      <w:r w:rsidR="00DF10C4">
        <w:t>Szpitala (ordynator oddziału i lekarz specjalista prowadzący leczenie skarżącego) przedstawiło informację o stanie zdrowia skarżącego. Wskazali oni, że w momencie przyjęcia do Szpitala skarżący miał świadomość swojej choroby, jednak nie wyrażał skruchy z powodu popełnionych przestępstw. Następnie jego stan uległ pogorszeniu i pomimo zmiany leczenia był niestabilny, a ponadto zachodziła obawa, że ponownie popełni podobne przestępstwo. Podkreślali również, że inne środki za</w:t>
      </w:r>
      <w:r w:rsidR="009B3089">
        <w:t>bezpieczając</w:t>
      </w:r>
      <w:r w:rsidR="00DF10C4">
        <w:t>e (dozór elektroniczny, terapia, leczenie uzależnień) nie są wystarczające. Z uwagi na</w:t>
      </w:r>
      <w:r w:rsidR="001D25C9">
        <w:t> </w:t>
      </w:r>
      <w:r w:rsidR="00DF10C4">
        <w:t>stan zdrowia skarżącego biegli nie uznali za zasadny wniosek o zmianę środka zapobiegawczego na leczenie ambulatoryjne połączone z dozorem elektronicznym.</w:t>
      </w:r>
    </w:p>
    <w:p w14:paraId="28915022" w14:textId="02ADEC31" w:rsidR="00DF10C4" w:rsidRPr="00297944" w:rsidRDefault="00D2073A" w:rsidP="00297944">
      <w:pPr>
        <w:pStyle w:val="JuPara"/>
      </w:pPr>
      <w:r>
        <w:rPr>
          <w:noProof/>
        </w:rPr>
        <w:t>24</w:t>
      </w:r>
      <w:r w:rsidR="00DF10C4">
        <w:t>.</w:t>
      </w:r>
      <w:r w:rsidR="001B3877">
        <w:t xml:space="preserve"> </w:t>
      </w:r>
      <w:r w:rsidR="00DF10C4">
        <w:t>W dniu 20</w:t>
      </w:r>
      <w:r w:rsidR="001B3877">
        <w:t xml:space="preserve"> </w:t>
      </w:r>
      <w:r w:rsidR="00DF10C4">
        <w:t>listopada 201</w:t>
      </w:r>
      <w:r w:rsidR="006E43A5">
        <w:t>5</w:t>
      </w:r>
      <w:r w:rsidR="001B3877">
        <w:t xml:space="preserve"> </w:t>
      </w:r>
      <w:r w:rsidR="00DF10C4">
        <w:t>r. Rzecznik Praw Obywatelskich wniósł w</w:t>
      </w:r>
      <w:r w:rsidR="001D25C9">
        <w:t> </w:t>
      </w:r>
      <w:r w:rsidR="00DF10C4">
        <w:t xml:space="preserve">imieniu skarżącego </w:t>
      </w:r>
      <w:r w:rsidR="00DF10C4" w:rsidRPr="00A05356">
        <w:t>kasacj</w:t>
      </w:r>
      <w:r w:rsidR="00F458E5" w:rsidRPr="00A05356">
        <w:t>ę</w:t>
      </w:r>
      <w:r w:rsidR="00DF10C4">
        <w:t xml:space="preserve"> do Sądu Najwyższego od orzeczenia z dnia 11</w:t>
      </w:r>
      <w:r w:rsidR="00F458E5">
        <w:t> </w:t>
      </w:r>
      <w:r w:rsidR="00DF10C4">
        <w:t>maja 2015</w:t>
      </w:r>
      <w:r w:rsidR="001B3877">
        <w:t xml:space="preserve"> </w:t>
      </w:r>
      <w:r w:rsidR="00DF10C4">
        <w:t xml:space="preserve">r. Została ona oddalona jako </w:t>
      </w:r>
      <w:r w:rsidR="006E43A5" w:rsidRPr="009B3089">
        <w:t>w sposób oczywisty nieuzasadniona</w:t>
      </w:r>
      <w:r w:rsidR="006E43A5" w:rsidDel="006E43A5">
        <w:t xml:space="preserve"> </w:t>
      </w:r>
      <w:r w:rsidR="00DF10C4">
        <w:t>w dniu 16</w:t>
      </w:r>
      <w:r w:rsidR="001B3877">
        <w:t xml:space="preserve"> </w:t>
      </w:r>
      <w:r w:rsidR="00DF10C4">
        <w:t>kwietnia 2016</w:t>
      </w:r>
      <w:r w:rsidR="001B3877">
        <w:t xml:space="preserve"> </w:t>
      </w:r>
      <w:r w:rsidR="00DF10C4">
        <w:t>r.</w:t>
      </w:r>
    </w:p>
    <w:p w14:paraId="69BBE8DD" w14:textId="7253DEAB" w:rsidR="00DF10C4" w:rsidRPr="00297944" w:rsidRDefault="009A269C" w:rsidP="00297944">
      <w:pPr>
        <w:pStyle w:val="JuPara"/>
        <w:rPr>
          <w:color w:val="000000"/>
        </w:rPr>
      </w:pPr>
      <w:r>
        <w:t>25</w:t>
      </w:r>
      <w:r w:rsidR="00DF10C4">
        <w:t>.</w:t>
      </w:r>
      <w:r w:rsidR="001B3877">
        <w:t xml:space="preserve"> </w:t>
      </w:r>
      <w:r w:rsidR="00DF10C4">
        <w:t>W dniu 4</w:t>
      </w:r>
      <w:r w:rsidR="001B3877">
        <w:t xml:space="preserve"> </w:t>
      </w:r>
      <w:r w:rsidR="00DF10C4">
        <w:t>lutego 2016</w:t>
      </w:r>
      <w:r w:rsidR="001B3877">
        <w:t xml:space="preserve"> </w:t>
      </w:r>
      <w:r w:rsidR="00DF10C4">
        <w:t>r. lekarze psychiatrzy ze Szpitala przedłożyli opinię o stanie zdrowia skarżącego po przeprowadzeniu badania okresowego. Zauważyli, że był spokojniejszy, przestrzegał regulaminu szpitala i</w:t>
      </w:r>
      <w:r w:rsidR="001D25C9">
        <w:t> </w:t>
      </w:r>
      <w:r w:rsidR="00DF10C4">
        <w:t xml:space="preserve">akceptował konieczność kontynuowania leczenia. </w:t>
      </w:r>
      <w:r w:rsidR="00DF10C4">
        <w:rPr>
          <w:color w:val="000000"/>
        </w:rPr>
        <w:t xml:space="preserve">Poprawa nie była </w:t>
      </w:r>
      <w:r w:rsidR="00DF10C4">
        <w:t xml:space="preserve">jednak </w:t>
      </w:r>
      <w:r w:rsidR="00DF10C4">
        <w:rPr>
          <w:color w:val="000000"/>
        </w:rPr>
        <w:t>stabilna i nadal zachodziła obawa, że może on popełnić podobne przestępstwo</w:t>
      </w:r>
      <w:r w:rsidR="00DF10C4">
        <w:t>.</w:t>
      </w:r>
      <w:r w:rsidR="00DF10C4">
        <w:rPr>
          <w:color w:val="000000"/>
        </w:rPr>
        <w:t xml:space="preserve"> W związku z tym konieczne było zatrzymanie go w Szpitalu.</w:t>
      </w:r>
    </w:p>
    <w:p w14:paraId="68E14F2F" w14:textId="577E602C" w:rsidR="00DF10C4" w:rsidRPr="00297944" w:rsidRDefault="009A269C" w:rsidP="00297944">
      <w:pPr>
        <w:pStyle w:val="JuPara"/>
      </w:pPr>
      <w:r>
        <w:rPr>
          <w:color w:val="000000"/>
        </w:rPr>
        <w:t>26</w:t>
      </w:r>
      <w:r w:rsidR="00DF10C4">
        <w:rPr>
          <w:color w:val="000000"/>
        </w:rPr>
        <w:t>.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>W dniu 12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>kwietnia 2016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>r., w ramach okresowej kontroli, Sąd Rejonowy w Trzebnicy przedłużył zastosowany wobec skarżącego środek izolacyjny. Odwołując się do opinii z dnia 4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>lutego 2016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 xml:space="preserve">r., </w:t>
      </w:r>
      <w:r>
        <w:rPr>
          <w:color w:val="000000"/>
        </w:rPr>
        <w:t>s</w:t>
      </w:r>
      <w:r w:rsidR="00DF10C4">
        <w:rPr>
          <w:color w:val="000000"/>
        </w:rPr>
        <w:t>ąd uznał, że</w:t>
      </w:r>
      <w:r w:rsidR="001D25C9">
        <w:rPr>
          <w:color w:val="000000"/>
        </w:rPr>
        <w:t> </w:t>
      </w:r>
      <w:r w:rsidR="00DF10C4">
        <w:rPr>
          <w:color w:val="000000"/>
        </w:rPr>
        <w:t xml:space="preserve">skarżący powinien </w:t>
      </w:r>
      <w:r w:rsidR="00DF10C4">
        <w:t>kontynuować leczenie w szpitalu psychiatrycznym.</w:t>
      </w:r>
    </w:p>
    <w:p w14:paraId="26A7A34E" w14:textId="76BE852D" w:rsidR="00DF10C4" w:rsidRPr="00297944" w:rsidRDefault="00D2073A" w:rsidP="00297944">
      <w:pPr>
        <w:pStyle w:val="JuPara"/>
        <w:rPr>
          <w:color w:val="000000"/>
        </w:rPr>
      </w:pPr>
      <w:r>
        <w:rPr>
          <w:noProof/>
          <w:color w:val="000000"/>
        </w:rPr>
        <w:t>27</w:t>
      </w:r>
      <w:r w:rsidR="00DF10C4">
        <w:t>.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>Na wniosek rodziców skarżącego został on przebadany przez prywatnych lekarzy psychiatrów i psychologa odpowiednio w dniach 2</w:t>
      </w:r>
      <w:r w:rsidR="001D25C9">
        <w:rPr>
          <w:color w:val="000000"/>
        </w:rPr>
        <w:t> </w:t>
      </w:r>
      <w:r w:rsidR="00DF10C4">
        <w:rPr>
          <w:color w:val="000000"/>
        </w:rPr>
        <w:t>kwietnia i 18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>kwietnia 2016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>r. Biegli stwierdzili, że ryzyko popełnienia przez skarżącego podobnego przestępstwa jest niskie. Ponadto jego stan uległ poprawie i mógł być leczony ambulatoryjnie.</w:t>
      </w:r>
    </w:p>
    <w:p w14:paraId="0830AA07" w14:textId="46180BF6" w:rsidR="00DF10C4" w:rsidRPr="00297944" w:rsidRDefault="009A269C" w:rsidP="00297944">
      <w:pPr>
        <w:pStyle w:val="JuPara"/>
        <w:rPr>
          <w:color w:val="000000"/>
        </w:rPr>
      </w:pPr>
      <w:r>
        <w:rPr>
          <w:color w:val="000000"/>
        </w:rPr>
        <w:t>27</w:t>
      </w:r>
      <w:r w:rsidR="00DF10C4">
        <w:rPr>
          <w:color w:val="000000"/>
        </w:rPr>
        <w:t>.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>W dniu 14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>kwietnia 2016</w:t>
      </w:r>
      <w:r w:rsidR="001B3877">
        <w:rPr>
          <w:color w:val="000000"/>
        </w:rPr>
        <w:t xml:space="preserve"> </w:t>
      </w:r>
      <w:r w:rsidR="00DF10C4">
        <w:t xml:space="preserve">r. lekarze psychiatrzy ze Szpitala w opinii sporządzonej po przeprowadzeniu okresowego badania stanu zdrowia skarżącego wskazali, że wprawdzie skarżący jest spokojniejszy, ale sprawia wrażenie osoby napiętej emocjonalnie lub przygnębionej. Ich zdaniem powinien on kontynuować leczenie w szpitalu psychiatrycznym, ponieważ </w:t>
      </w:r>
      <w:r w:rsidR="00DF10C4">
        <w:lastRenderedPageBreak/>
        <w:t>nadal zachodziła obawa, że może popełnić przestępstwa o znacznej szkodliwości społecznej.</w:t>
      </w:r>
    </w:p>
    <w:p w14:paraId="4DF774FB" w14:textId="08568AFD" w:rsidR="00DF10C4" w:rsidRPr="00297944" w:rsidRDefault="00D2073A" w:rsidP="00297944">
      <w:pPr>
        <w:pStyle w:val="JuPara"/>
        <w:rPr>
          <w:color w:val="000000"/>
        </w:rPr>
      </w:pPr>
      <w:r>
        <w:rPr>
          <w:noProof/>
          <w:color w:val="000000"/>
        </w:rPr>
        <w:t>29</w:t>
      </w:r>
      <w:r w:rsidR="00DF10C4">
        <w:t>.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>W dniu 23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>maja 2016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>r. Sąd Rejonowy w Trzebnicy przedłużył okres zastosowanego wobec skarżącego środka izolacyjnego w postaci umieszczenia w Szpitalu.</w:t>
      </w:r>
    </w:p>
    <w:p w14:paraId="294FA1FE" w14:textId="2F131F6B" w:rsidR="00DF10C4" w:rsidRPr="00297944" w:rsidRDefault="00D2073A" w:rsidP="00297944">
      <w:pPr>
        <w:pStyle w:val="JuPara"/>
        <w:rPr>
          <w:color w:val="000000"/>
        </w:rPr>
      </w:pPr>
      <w:r>
        <w:rPr>
          <w:noProof/>
          <w:color w:val="000000"/>
        </w:rPr>
        <w:t>30</w:t>
      </w:r>
      <w:r w:rsidR="00DF10C4">
        <w:t>.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>W dniu 28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>lipca 2016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>r. skarżący złożył wniosek o zmianę środka za</w:t>
      </w:r>
      <w:r w:rsidR="009B3089">
        <w:rPr>
          <w:color w:val="000000"/>
        </w:rPr>
        <w:t>bezpieczając</w:t>
      </w:r>
      <w:r w:rsidR="00DF10C4">
        <w:rPr>
          <w:color w:val="000000"/>
        </w:rPr>
        <w:t>ego na leczenie ambulatoryjne w Gdańsku, gdzie przebywał przed umieszczeniem go w Szpitalu.</w:t>
      </w:r>
    </w:p>
    <w:p w14:paraId="6F065AD2" w14:textId="19DF010E" w:rsidR="00DF10C4" w:rsidRPr="00297944" w:rsidRDefault="009A269C" w:rsidP="00297944">
      <w:pPr>
        <w:pStyle w:val="JuPara"/>
      </w:pPr>
      <w:r>
        <w:t>31</w:t>
      </w:r>
      <w:r w:rsidR="00DF10C4">
        <w:t>.</w:t>
      </w:r>
      <w:r w:rsidR="001B3877">
        <w:t xml:space="preserve"> </w:t>
      </w:r>
      <w:r w:rsidR="00DF10C4">
        <w:t>W dniu 14</w:t>
      </w:r>
      <w:r w:rsidR="001B3877">
        <w:t xml:space="preserve"> </w:t>
      </w:r>
      <w:r w:rsidR="00DF10C4">
        <w:t>października 2016</w:t>
      </w:r>
      <w:r w:rsidR="001B3877">
        <w:t xml:space="preserve"> </w:t>
      </w:r>
      <w:r w:rsidR="00DF10C4">
        <w:t xml:space="preserve">r. lekarze psychiatrzy ze Szpitala wydali opinię o stanie zdrowia skarżącego, po przeprowadzeniu badania okresowego. Potwierdzili, że jest mało prawdopodobne, aby ponownie popełnił podobne przestępstwa, ponieważ jego stan psychiczny uległ poprawie. Zalecono również </w:t>
      </w:r>
      <w:r w:rsidR="00D2073A">
        <w:t>zwolnienie</w:t>
      </w:r>
      <w:r w:rsidR="00DF10C4">
        <w:t xml:space="preserve"> go z zamkniętego zakładu psychiatrycznego.</w:t>
      </w:r>
    </w:p>
    <w:p w14:paraId="61D72A6A" w14:textId="2E91AD64" w:rsidR="00DF10C4" w:rsidRPr="00297944" w:rsidRDefault="009A269C" w:rsidP="00297944">
      <w:pPr>
        <w:pStyle w:val="JuPara"/>
      </w:pPr>
      <w:r>
        <w:rPr>
          <w:color w:val="000000"/>
        </w:rPr>
        <w:t>32</w:t>
      </w:r>
      <w:r w:rsidR="00DF10C4">
        <w:rPr>
          <w:color w:val="000000"/>
        </w:rPr>
        <w:t>.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>W dniu 22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>listopada 2016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 xml:space="preserve">r. Sąd Rejonowy w Trzebnicy zarządził </w:t>
      </w:r>
      <w:r w:rsidR="00D2073A">
        <w:rPr>
          <w:color w:val="000000"/>
        </w:rPr>
        <w:t>zwolnienie</w:t>
      </w:r>
      <w:r w:rsidR="00DF10C4">
        <w:rPr>
          <w:color w:val="000000"/>
        </w:rPr>
        <w:t xml:space="preserve"> skarżącego ze Szpitala. Stwierdził również, że skarżący powinien kontynuować leczenie w </w:t>
      </w:r>
      <w:r w:rsidR="00DF10C4">
        <w:t>placówce w Gdańsku.</w:t>
      </w:r>
    </w:p>
    <w:p w14:paraId="168315BA" w14:textId="060B2021" w:rsidR="00DF10C4" w:rsidRPr="00297944" w:rsidRDefault="00D2073A" w:rsidP="00297944">
      <w:pPr>
        <w:pStyle w:val="JuPara"/>
        <w:rPr>
          <w:color w:val="000000"/>
        </w:rPr>
      </w:pPr>
      <w:r>
        <w:rPr>
          <w:noProof/>
        </w:rPr>
        <w:t>33</w:t>
      </w:r>
      <w:r w:rsidR="00DF10C4">
        <w:t>.</w:t>
      </w:r>
      <w:r w:rsidR="001B3877">
        <w:t xml:space="preserve"> </w:t>
      </w:r>
      <w:r w:rsidR="00DF10C4">
        <w:t xml:space="preserve">Skarżącego zwolniono </w:t>
      </w:r>
      <w:r w:rsidR="00DF10C4">
        <w:rPr>
          <w:color w:val="000000"/>
        </w:rPr>
        <w:t>ze Szpitala w dniu 29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>listopada 2016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>r., czyli w</w:t>
      </w:r>
      <w:r w:rsidR="001D25C9">
        <w:rPr>
          <w:color w:val="000000"/>
        </w:rPr>
        <w:t> </w:t>
      </w:r>
      <w:r w:rsidR="00DF10C4">
        <w:rPr>
          <w:color w:val="000000"/>
        </w:rPr>
        <w:t>dniu, w którym otrzymał postanowienie sądu</w:t>
      </w:r>
      <w:r w:rsidR="00DF10C4">
        <w:t>.</w:t>
      </w:r>
    </w:p>
    <w:p w14:paraId="3DE545A8" w14:textId="10ABB026" w:rsidR="00DF10C4" w:rsidRPr="00297944" w:rsidRDefault="00D2073A" w:rsidP="00297944">
      <w:pPr>
        <w:pStyle w:val="JuPara"/>
      </w:pPr>
      <w:r>
        <w:rPr>
          <w:noProof/>
        </w:rPr>
        <w:t>34</w:t>
      </w:r>
      <w:r w:rsidR="00DF10C4">
        <w:t>.</w:t>
      </w:r>
      <w:r w:rsidR="001B3877">
        <w:t xml:space="preserve"> </w:t>
      </w:r>
      <w:r w:rsidR="00DF10C4">
        <w:t>W dniu 20</w:t>
      </w:r>
      <w:r w:rsidR="001B3877">
        <w:t xml:space="preserve"> </w:t>
      </w:r>
      <w:r w:rsidR="00DF10C4">
        <w:t>marca 2017</w:t>
      </w:r>
      <w:r w:rsidR="001B3877">
        <w:t xml:space="preserve"> </w:t>
      </w:r>
      <w:r w:rsidR="00DF10C4">
        <w:t>r. Sąd Rejonowy w Trzebnicy uwzględnił wniosek skarżącego o kontynuowanie leczenia ambulatoryjnego w placówce w Krakowie.</w:t>
      </w:r>
    </w:p>
    <w:p w14:paraId="1FAE03A4" w14:textId="77777777" w:rsidR="00DF10C4" w:rsidRPr="00297944" w:rsidRDefault="00DF10C4" w:rsidP="00297944">
      <w:pPr>
        <w:pStyle w:val="JuHHead"/>
      </w:pPr>
      <w:r>
        <w:t>WŁAŚCIWE RAMY PRAWNE I PRAKTYKA</w:t>
      </w:r>
    </w:p>
    <w:p w14:paraId="71CE7A99" w14:textId="1D47253D" w:rsidR="00DF10C4" w:rsidRPr="00297944" w:rsidRDefault="00DF10C4" w:rsidP="00297944">
      <w:pPr>
        <w:pStyle w:val="JuHIRoman"/>
      </w:pPr>
      <w:r>
        <w:t>Kodeks karny</w:t>
      </w:r>
    </w:p>
    <w:p w14:paraId="19423F7D" w14:textId="5D46E6DA" w:rsidR="00DF10C4" w:rsidRPr="00297944" w:rsidRDefault="00D2073A" w:rsidP="00297944">
      <w:pPr>
        <w:pStyle w:val="JuPara"/>
      </w:pPr>
      <w:r>
        <w:rPr>
          <w:noProof/>
        </w:rPr>
        <w:t>35</w:t>
      </w:r>
      <w:r w:rsidR="00DF10C4">
        <w:t>.</w:t>
      </w:r>
      <w:r w:rsidR="001B3877">
        <w:t xml:space="preserve"> </w:t>
      </w:r>
      <w:r w:rsidR="00DF10C4">
        <w:t>Warunki izolacji ze względów medycznych osób niepoczytalnych, które nie ponoszą odpowiedzialności karnej, określa Kodeks karny z 1997</w:t>
      </w:r>
      <w:r w:rsidR="001B3877">
        <w:t xml:space="preserve"> </w:t>
      </w:r>
      <w:r w:rsidR="00DF10C4">
        <w:t>r., którego odpowiednie fragmenty w brzmieniu do 1</w:t>
      </w:r>
      <w:r w:rsidR="001B3877">
        <w:t xml:space="preserve"> </w:t>
      </w:r>
      <w:r w:rsidR="00DF10C4">
        <w:t>lipca 2015</w:t>
      </w:r>
      <w:r w:rsidR="001B3877">
        <w:t xml:space="preserve"> </w:t>
      </w:r>
      <w:r w:rsidR="00DF10C4">
        <w:t>r. stanowiły:</w:t>
      </w:r>
    </w:p>
    <w:p w14:paraId="1D8A5449" w14:textId="77777777" w:rsidR="00DF10C4" w:rsidRPr="00297944" w:rsidRDefault="00DF10C4" w:rsidP="00297944">
      <w:pPr>
        <w:pStyle w:val="JuHArticle"/>
      </w:pPr>
      <w:r>
        <w:t>Art. 93</w:t>
      </w:r>
    </w:p>
    <w:p w14:paraId="5ED03EFF" w14:textId="68544793" w:rsidR="00DF10C4" w:rsidRPr="00297944" w:rsidRDefault="00DF10C4" w:rsidP="00297944">
      <w:pPr>
        <w:pStyle w:val="JuQuot"/>
      </w:pPr>
      <w:r>
        <w:t>„Sąd może orzec przewidziany w tym rozdziale środek zabezpieczający związany z</w:t>
      </w:r>
      <w:r w:rsidR="001D25C9">
        <w:t> </w:t>
      </w:r>
      <w:r>
        <w:t xml:space="preserve">umieszczeniem w zakładzie </w:t>
      </w:r>
      <w:r w:rsidRPr="00CD4961">
        <w:t>zamkniętym</w:t>
      </w:r>
      <w:r w:rsidR="0000535C" w:rsidRPr="00CD4961">
        <w:t xml:space="preserve"> </w:t>
      </w:r>
      <w:r w:rsidR="0027770A" w:rsidRPr="00CD4961">
        <w:t>(…)</w:t>
      </w:r>
      <w:r w:rsidR="0000535C" w:rsidRPr="00CD4961">
        <w:t xml:space="preserve"> </w:t>
      </w:r>
      <w:r w:rsidRPr="00CD4961">
        <w:t xml:space="preserve"> tylko wtedy, gdy jest to</w:t>
      </w:r>
      <w:r>
        <w:t xml:space="preserve"> niezbędne, aby</w:t>
      </w:r>
      <w:r w:rsidR="001D25C9">
        <w:t> </w:t>
      </w:r>
      <w:r>
        <w:t>zapobiec ponownemu popełnieniu przez sprawcę czynu zabronionego związanego z jego chorobą psychiczną (...), upośledzeniem umysłowym lub uzależnieniem od</w:t>
      </w:r>
      <w:r w:rsidR="001D25C9">
        <w:t> </w:t>
      </w:r>
      <w:r>
        <w:t>alkoholu lub innego środka odurzającego</w:t>
      </w:r>
      <w:r w:rsidR="0000535C">
        <w:t>;</w:t>
      </w:r>
      <w:r>
        <w:t xml:space="preserve"> </w:t>
      </w:r>
      <w:r w:rsidR="0000535C">
        <w:t>p</w:t>
      </w:r>
      <w:r>
        <w:t>rzed orzeczeniem tego środka sąd wysłuchuje lekarzy psychiatrów oraz psychologa (...)”</w:t>
      </w:r>
      <w:r w:rsidR="00267558">
        <w:t>.</w:t>
      </w:r>
    </w:p>
    <w:p w14:paraId="760DAB9A" w14:textId="77777777" w:rsidR="00DF10C4" w:rsidRPr="00297944" w:rsidRDefault="00DF10C4" w:rsidP="00297944">
      <w:pPr>
        <w:pStyle w:val="JuHArticle"/>
      </w:pPr>
      <w:r>
        <w:t>Art. 94</w:t>
      </w:r>
    </w:p>
    <w:p w14:paraId="057D3387" w14:textId="6F34DF3E" w:rsidR="00DF10C4" w:rsidRPr="00297944" w:rsidRDefault="00DF10C4" w:rsidP="00297944">
      <w:pPr>
        <w:pStyle w:val="JuQuot"/>
      </w:pPr>
      <w:r>
        <w:t>„1.</w:t>
      </w:r>
      <w:r w:rsidR="001B3877">
        <w:t xml:space="preserve"> </w:t>
      </w:r>
      <w:r>
        <w:t>Jeżeli sprawca, w stanie niepoczytalności określonej w art. 31 § 1, popełnił czyn zabroniony o znacznej społecznej szkodliwości i zachodzi wysokie prawdopodobieństwo, że popełni taki czyn ponownie, sąd orzeka umieszczenie sprawcy w odpowiednim zakładzie psychiatrycznym.</w:t>
      </w:r>
    </w:p>
    <w:p w14:paraId="2F2E69D5" w14:textId="7B84D295" w:rsidR="00DF10C4" w:rsidRPr="00297944" w:rsidRDefault="00DF10C4" w:rsidP="00297944">
      <w:pPr>
        <w:pStyle w:val="JuQuot"/>
      </w:pPr>
      <w:r>
        <w:lastRenderedPageBreak/>
        <w:t>2.</w:t>
      </w:r>
      <w:r w:rsidR="001B3877">
        <w:t xml:space="preserve"> </w:t>
      </w:r>
      <w:r w:rsidR="00F54002" w:rsidRPr="00F54002">
        <w:t>Czasu pobytu w zakładzie nie określa się z góry; sąd orzeka zwolnienie sprawcy, jeżeli jego dalsze pozostawanie w zakładzie nie jest konieczne</w:t>
      </w:r>
      <w:r>
        <w:t>.</w:t>
      </w:r>
    </w:p>
    <w:p w14:paraId="229ED52A" w14:textId="6521D3FC" w:rsidR="00DF10C4" w:rsidRPr="00297944" w:rsidRDefault="00DF10C4" w:rsidP="00297944">
      <w:pPr>
        <w:pStyle w:val="JuQuot"/>
      </w:pPr>
      <w:r>
        <w:t>3.</w:t>
      </w:r>
      <w:r w:rsidR="001B3877">
        <w:t xml:space="preserve"> </w:t>
      </w:r>
      <w:r>
        <w:t>Sąd może zarządzić ponowne umieszczenie sprawcy określonego w § 1 w</w:t>
      </w:r>
      <w:r w:rsidR="001D25C9">
        <w:t> </w:t>
      </w:r>
      <w:r>
        <w:t>odpowiednim zakładzie psychiatrycznym, jeżeli przemawiają za tym okoliczności wymienione w § 1 lub w art. 93; zarządzenie nie może być wydane po upływie 5 lat od zwolnienia z zakładu”</w:t>
      </w:r>
      <w:r w:rsidR="00267558">
        <w:t>.</w:t>
      </w:r>
    </w:p>
    <w:p w14:paraId="42647C5B" w14:textId="4D6C572C" w:rsidR="00DF10C4" w:rsidRPr="00297944" w:rsidRDefault="00DF10C4" w:rsidP="00297944">
      <w:pPr>
        <w:pStyle w:val="JuHIRoman"/>
      </w:pPr>
      <w:r>
        <w:t>Kodeks karny wykonawczy</w:t>
      </w:r>
    </w:p>
    <w:p w14:paraId="24038F91" w14:textId="3709FDB1" w:rsidR="00DF10C4" w:rsidRPr="00297944" w:rsidRDefault="00D2073A" w:rsidP="00297944">
      <w:pPr>
        <w:pStyle w:val="JuPara"/>
      </w:pPr>
      <w:bookmarkStart w:id="1" w:name="KKW_6M_203"/>
      <w:r>
        <w:rPr>
          <w:noProof/>
        </w:rPr>
        <w:t>36</w:t>
      </w:r>
      <w:bookmarkEnd w:id="1"/>
      <w:r w:rsidR="00DF10C4">
        <w:t>.</w:t>
      </w:r>
      <w:r w:rsidR="001B3877">
        <w:t xml:space="preserve"> </w:t>
      </w:r>
      <w:r w:rsidR="00DF10C4">
        <w:t>Artykuł</w:t>
      </w:r>
      <w:r w:rsidR="001B3877">
        <w:t xml:space="preserve"> </w:t>
      </w:r>
      <w:r w:rsidR="00DF10C4">
        <w:t>203 Kodeksu karnego wykonawczego w istotnej części stanowi:</w:t>
      </w:r>
    </w:p>
    <w:p w14:paraId="37A785B8" w14:textId="6E03399E" w:rsidR="00DF10C4" w:rsidRPr="00297944" w:rsidRDefault="00DF10C4" w:rsidP="00297944">
      <w:pPr>
        <w:pStyle w:val="JuQuot"/>
      </w:pPr>
      <w:r>
        <w:t>„1.</w:t>
      </w:r>
      <w:r w:rsidR="001B3877">
        <w:t xml:space="preserve"> </w:t>
      </w:r>
      <w:r>
        <w:t>Kierownik zakładu psychiatrycznego, w którym wykonuje się środek zabezpieczający w postaci pobytu w zakładzie psychiatrycznym, nie rzadziej niż co</w:t>
      </w:r>
      <w:r w:rsidR="001D25C9">
        <w:t> </w:t>
      </w:r>
      <w:r>
        <w:t>6</w:t>
      </w:r>
      <w:r w:rsidR="001D25C9">
        <w:t> </w:t>
      </w:r>
      <w:r>
        <w:t>miesięcy przesyła do sądu opinię o stanie zdrowia sprawcy umieszczonego w tym zakładzie oraz o postępach w leczeniu lub terapii. Opinię taką kierownik zakładu psychiatrycznego obowiązany jest przesłać bezzwłocznie, jeżeli w związku ze zmianą stanu zdrowia sprawcy uzna, że jego dalsze pozostawanie w zakładzie nie jest konieczne.</w:t>
      </w:r>
    </w:p>
    <w:p w14:paraId="30C1A7BB" w14:textId="280D551A" w:rsidR="00DF10C4" w:rsidRPr="00297944" w:rsidRDefault="00DF10C4" w:rsidP="00297944">
      <w:pPr>
        <w:pStyle w:val="JuQuot"/>
      </w:pPr>
      <w:r>
        <w:t>2.</w:t>
      </w:r>
      <w:r w:rsidR="001B3877">
        <w:t xml:space="preserve"> </w:t>
      </w:r>
      <w:r>
        <w:t>Sąd może w każdym czasie żądać opinii o stanie zdrowia i stosowanym leczeniu lub terapii oraz ich wyników wobec sprawcy umieszczonego w zakładzie, o którym mowa w § 1”</w:t>
      </w:r>
      <w:r w:rsidR="00267558">
        <w:t>.</w:t>
      </w:r>
    </w:p>
    <w:p w14:paraId="104C7A24" w14:textId="22867B92" w:rsidR="00DF10C4" w:rsidRPr="00297944" w:rsidRDefault="00D2073A" w:rsidP="00297944">
      <w:pPr>
        <w:pStyle w:val="JuPara"/>
      </w:pPr>
      <w:bookmarkStart w:id="2" w:name="KKW_6M_204"/>
      <w:r>
        <w:rPr>
          <w:noProof/>
        </w:rPr>
        <w:t>37</w:t>
      </w:r>
      <w:bookmarkEnd w:id="2"/>
      <w:r w:rsidR="00DF10C4">
        <w:t>.</w:t>
      </w:r>
      <w:r w:rsidR="001B3877">
        <w:t xml:space="preserve"> </w:t>
      </w:r>
      <w:r w:rsidR="00DF10C4">
        <w:t>Artykuł 204 stanowi:</w:t>
      </w:r>
    </w:p>
    <w:p w14:paraId="60F67C4F" w14:textId="2C515E7E" w:rsidR="00DF10C4" w:rsidRPr="00297944" w:rsidRDefault="00DF10C4" w:rsidP="00297944">
      <w:pPr>
        <w:pStyle w:val="JuQuot"/>
      </w:pPr>
      <w:r>
        <w:t>„1.</w:t>
      </w:r>
      <w:r w:rsidR="001B3877">
        <w:t xml:space="preserve"> </w:t>
      </w:r>
      <w:r>
        <w:t>Jeżeli wobec sprawcy orzeczono pobyt w zakładzie psychiatrycznym, sąd, nie</w:t>
      </w:r>
      <w:r w:rsidR="001D25C9">
        <w:t> </w:t>
      </w:r>
      <w:r>
        <w:t>rzadziej niż co 6 miesięcy, orzeka w przedmiocie dalszego stosowania tego środka, a w wypadku uzyskania opinii, że dalsze pozostawanie sprawcy w zakładzie nie jest konieczne – bezzwłocznie. W razie potrzeby sąd zasięga opinii innych biegłych.</w:t>
      </w:r>
    </w:p>
    <w:p w14:paraId="6B0BDC9B" w14:textId="31338F5F" w:rsidR="00DF10C4" w:rsidRPr="00297944" w:rsidRDefault="00F51057" w:rsidP="00297944">
      <w:pPr>
        <w:pStyle w:val="JuQuot"/>
      </w:pPr>
      <w:r>
        <w:t xml:space="preserve">2. </w:t>
      </w:r>
      <w:r w:rsidRPr="00F51057">
        <w:t>Na postanowienie w przedmiocie dalszego stosowania środka zabezpieczającego przysługuje zażalenie</w:t>
      </w:r>
      <w:r>
        <w:rPr>
          <w:rStyle w:val="Odwoanieprzypisudolnego"/>
        </w:rPr>
        <w:footnoteReference w:id="2"/>
      </w:r>
      <w:r w:rsidR="00DF10C4">
        <w:t>”</w:t>
      </w:r>
      <w:r w:rsidR="00267558">
        <w:t>.</w:t>
      </w:r>
    </w:p>
    <w:p w14:paraId="6B156EBC" w14:textId="77777777" w:rsidR="00DF10C4" w:rsidRPr="00297944" w:rsidRDefault="00DF10C4" w:rsidP="00297944">
      <w:pPr>
        <w:pStyle w:val="JuHIRoman"/>
      </w:pPr>
      <w:r>
        <w:t>Właściwe dokumenty międzynarodowe</w:t>
      </w:r>
    </w:p>
    <w:p w14:paraId="46EC8094" w14:textId="7E1D82F2" w:rsidR="00DF10C4" w:rsidRPr="00297944" w:rsidRDefault="00D2073A" w:rsidP="00297944">
      <w:pPr>
        <w:pStyle w:val="JuPara"/>
      </w:pPr>
      <w:r>
        <w:rPr>
          <w:noProof/>
        </w:rPr>
        <w:t>38</w:t>
      </w:r>
      <w:r w:rsidR="00E84296">
        <w:t>.</w:t>
      </w:r>
      <w:r w:rsidR="001B3877">
        <w:t xml:space="preserve"> </w:t>
      </w:r>
      <w:r w:rsidR="00E84296">
        <w:t>Konwencja ONZ o prawach osób niepełnosprawnych („</w:t>
      </w:r>
      <w:r w:rsidR="00534571">
        <w:t>KPON</w:t>
      </w:r>
      <w:r w:rsidR="00E84296">
        <w:t>”), przyjęta przez Zgromadzenie Ogólne Narodów Zjednoczonych w dniu 13</w:t>
      </w:r>
      <w:r w:rsidR="001D25C9">
        <w:t> </w:t>
      </w:r>
      <w:r w:rsidR="00E84296">
        <w:t>grudnia 2006</w:t>
      </w:r>
      <w:r w:rsidR="001B3877">
        <w:t xml:space="preserve"> </w:t>
      </w:r>
      <w:r w:rsidR="00E84296">
        <w:t>r. (rezolucja A/RES/61/106), ma na celu promowanie, ochronę i zapewnienie pełnego korzystania ze wszystkich praw człowieka i</w:t>
      </w:r>
      <w:r w:rsidR="001D25C9">
        <w:t> </w:t>
      </w:r>
      <w:r w:rsidR="00E84296">
        <w:t>podstawowych wolności przez osoby niepełnosprawne oraz promowanie poszanowania ich nie</w:t>
      </w:r>
      <w:r w:rsidR="00F51057">
        <w:t>zbywalnej</w:t>
      </w:r>
      <w:r w:rsidR="00E84296">
        <w:t xml:space="preserve"> godności. Polska ratyfikowała konwencję w</w:t>
      </w:r>
      <w:r w:rsidR="001D25C9">
        <w:t> </w:t>
      </w:r>
      <w:r w:rsidR="00E84296">
        <w:t>dniu 6</w:t>
      </w:r>
      <w:r w:rsidR="001B3877">
        <w:t xml:space="preserve"> </w:t>
      </w:r>
      <w:r w:rsidR="00E84296">
        <w:t>września 2012</w:t>
      </w:r>
      <w:r w:rsidR="001B3877">
        <w:t xml:space="preserve"> </w:t>
      </w:r>
      <w:r w:rsidR="00E84296">
        <w:t>r. Odpowiednie przepisy tej konwencji stanowią:</w:t>
      </w:r>
    </w:p>
    <w:p w14:paraId="7A0D90D1" w14:textId="77777777" w:rsidR="00DF10C4" w:rsidRPr="00297944" w:rsidRDefault="00DF10C4" w:rsidP="00297944">
      <w:pPr>
        <w:pStyle w:val="JuHArticle"/>
      </w:pPr>
      <w:r>
        <w:t>Artykuł 14 – Wolność i bezpieczeństwo osobiste</w:t>
      </w:r>
    </w:p>
    <w:p w14:paraId="7579A712" w14:textId="403CABEE" w:rsidR="00DF10C4" w:rsidRPr="00297944" w:rsidRDefault="00DF10C4" w:rsidP="00297944">
      <w:pPr>
        <w:pStyle w:val="JuQuot"/>
      </w:pPr>
      <w:r>
        <w:t>„1.</w:t>
      </w:r>
      <w:r w:rsidR="001B3877">
        <w:t xml:space="preserve"> </w:t>
      </w:r>
      <w:r w:rsidR="00F51057" w:rsidRPr="00F51057">
        <w:t>Państwa Strony zapewnią, że osoby niepełnosprawne, na zasadzie równości z</w:t>
      </w:r>
      <w:r w:rsidR="001D25C9">
        <w:t> </w:t>
      </w:r>
      <w:r w:rsidR="00F51057" w:rsidRPr="00F51057">
        <w:t>innymi osobami:</w:t>
      </w:r>
    </w:p>
    <w:p w14:paraId="5C37A484" w14:textId="4752D72C" w:rsidR="00D4729F" w:rsidRDefault="00534571" w:rsidP="00D4729F">
      <w:pPr>
        <w:pStyle w:val="JuQuot"/>
      </w:pPr>
      <w:r>
        <w:t>a</w:t>
      </w:r>
      <w:r w:rsidR="00DF10C4">
        <w:t xml:space="preserve">) </w:t>
      </w:r>
      <w:r w:rsidR="00D4729F">
        <w:t>będą korzystały z prawa do wolności i bezpieczeństwa osobistego,</w:t>
      </w:r>
    </w:p>
    <w:p w14:paraId="68D06283" w14:textId="1F9567C4" w:rsidR="00DF10C4" w:rsidRPr="00297944" w:rsidRDefault="00D4729F" w:rsidP="00D4729F">
      <w:pPr>
        <w:pStyle w:val="JuQuot"/>
      </w:pPr>
      <w:r>
        <w:lastRenderedPageBreak/>
        <w:t>b) nie będą pozbawiane wolności bezprawnie lub samowolnie, a także, że każde pozbawienie wolności będzie zgodne z prawem oraz że niepełnosprawność w żadnym przypadku nie będzie uzasadniać pozbawienia wolności.</w:t>
      </w:r>
    </w:p>
    <w:p w14:paraId="1D602564" w14:textId="7512DBB0" w:rsidR="00DF10C4" w:rsidRPr="00297944" w:rsidRDefault="00DF10C4" w:rsidP="00297944">
      <w:pPr>
        <w:pStyle w:val="JuQuot"/>
      </w:pPr>
      <w:r>
        <w:t>2.</w:t>
      </w:r>
      <w:r w:rsidR="001B3877">
        <w:t xml:space="preserve"> </w:t>
      </w:r>
      <w:r w:rsidR="00D4729F" w:rsidRPr="00D4729F">
        <w:t>Państwa Strony zapewnią osobom niepełnosprawnym, które zostaną pozbawione wolności w wyniku jakiegokolwiek postępowania, prawo, na zasadzie równości z</w:t>
      </w:r>
      <w:r w:rsidR="001D25C9">
        <w:t> </w:t>
      </w:r>
      <w:r w:rsidR="00D4729F" w:rsidRPr="00D4729F">
        <w:t>innymi osobami, do gwarancji zgodnych z międzynarodowym prawem praw człowieka i traktowanie zgodne z celami i zasadami niniejszej konwencji, włączając w</w:t>
      </w:r>
      <w:r w:rsidR="001D25C9">
        <w:t> </w:t>
      </w:r>
      <w:r w:rsidR="00D4729F" w:rsidRPr="00D4729F">
        <w:t>to zapewnienie racjonalnych usprawnień</w:t>
      </w:r>
      <w:r>
        <w:t>”</w:t>
      </w:r>
      <w:r w:rsidR="00F80FA9">
        <w:t>.</w:t>
      </w:r>
    </w:p>
    <w:p w14:paraId="0C873317" w14:textId="52BDE40A" w:rsidR="00DF10C4" w:rsidRPr="00297944" w:rsidRDefault="00DF10C4" w:rsidP="00297944">
      <w:pPr>
        <w:pStyle w:val="JuHArticle"/>
      </w:pPr>
      <w:r>
        <w:t xml:space="preserve">Artykuł 19 – </w:t>
      </w:r>
      <w:r w:rsidR="00C52BBB">
        <w:t>Życie samodzielne i integracja społeczna</w:t>
      </w:r>
    </w:p>
    <w:p w14:paraId="39BFB0F4" w14:textId="72850BDF" w:rsidR="00DF10C4" w:rsidRPr="00297944" w:rsidRDefault="00DF10C4" w:rsidP="00297944">
      <w:pPr>
        <w:pStyle w:val="JuQuot"/>
      </w:pPr>
      <w:r>
        <w:t>„</w:t>
      </w:r>
      <w:r w:rsidR="00D4729F" w:rsidRPr="00D4729F">
        <w:t>Państwa Strony niniejszej konwencji uznają równe prawo wszystkich osób niepełnosprawnych do życia w społeczeństwie, wraz z prawem dokonywania wyborów, na równi z innymi osobami, oraz podejmą skuteczne i odpowiednie środki w celu ułatwienia pełnego korzystania przez osoby niepełnosprawne z tego prawa oraz ich pełnego włączenia i udziału w społeczeństwie, w tym poprzez zapewnienie, że</w:t>
      </w:r>
      <w:r w:rsidR="00C52BBB" w:rsidRPr="00C52BBB">
        <w:t>:</w:t>
      </w:r>
    </w:p>
    <w:p w14:paraId="09F451F1" w14:textId="5B87C8EA" w:rsidR="00DF10C4" w:rsidRPr="00297944" w:rsidRDefault="00DF10C4" w:rsidP="00C52BBB">
      <w:pPr>
        <w:pStyle w:val="JuQuot"/>
      </w:pPr>
      <w:r>
        <w:t xml:space="preserve">a) </w:t>
      </w:r>
      <w:r w:rsidR="00D4729F" w:rsidRPr="00D4729F">
        <w:t>osoby niepełnosprawne będą miały możliwość wyboru miejsca zamieszkania i</w:t>
      </w:r>
      <w:r w:rsidR="001D25C9">
        <w:t> </w:t>
      </w:r>
      <w:r w:rsidR="00D4729F" w:rsidRPr="00D4729F">
        <w:t>podjęcia decyzji co do tego, gdzie i z kim będą mieszkać, na zasadzie równości z</w:t>
      </w:r>
      <w:r w:rsidR="001D25C9">
        <w:t> </w:t>
      </w:r>
      <w:r w:rsidR="00D4729F" w:rsidRPr="00D4729F">
        <w:t>innymi osobami, a także, że nie będą zobowiązywane do mieszkania w szczególnych warunkach</w:t>
      </w:r>
      <w:r w:rsidR="00C52BBB">
        <w:t>;</w:t>
      </w:r>
    </w:p>
    <w:p w14:paraId="7CF84118" w14:textId="21A4CAAD" w:rsidR="00DF10C4" w:rsidRPr="00297944" w:rsidRDefault="00DF10C4" w:rsidP="00C52BBB">
      <w:pPr>
        <w:pStyle w:val="JuQuot"/>
      </w:pPr>
      <w:r>
        <w:t xml:space="preserve">b) </w:t>
      </w:r>
      <w:r w:rsidR="00D4729F" w:rsidRPr="00D4729F">
        <w:t>osoby niepełnosprawne będą miały dostęp do szerokiego zakresu usług wspierających świadczonych w domu lub w placówkach zapewniających zakwaterowanie oraz do innych usług wspierających, świadczonych w społeczności lokalnej, w tym do pomocy osobistej niezbędnej do życia i włączenia w społeczność oraz zapobiegającej izolacji i segregacji społecznej</w:t>
      </w:r>
      <w:r w:rsidR="00C52BBB">
        <w:t>;</w:t>
      </w:r>
    </w:p>
    <w:p w14:paraId="6A7C181B" w14:textId="20B5CF53" w:rsidR="00681F36" w:rsidRDefault="00DF10C4" w:rsidP="00C52BBB">
      <w:pPr>
        <w:pStyle w:val="JuQuot"/>
      </w:pPr>
      <w:r>
        <w:t xml:space="preserve">c) </w:t>
      </w:r>
      <w:r w:rsidR="00D4729F" w:rsidRPr="00D4729F">
        <w:t>świadczone w społeczności lokalnej usługi i urządzenia dla ogółu ludności będą dostępne dla osób niepełnosprawnych, na zasadzie równości z innymi osobami oraz będą odpowiadać ich potrzebom</w:t>
      </w:r>
      <w:r w:rsidR="00C52BBB">
        <w:t>”.</w:t>
      </w:r>
    </w:p>
    <w:p w14:paraId="4E0860F6" w14:textId="1239002D" w:rsidR="00DF10C4" w:rsidRPr="00E365AB" w:rsidRDefault="00D2073A" w:rsidP="00C52BBB">
      <w:pPr>
        <w:pStyle w:val="JuQuot"/>
        <w:rPr>
          <w:sz w:val="24"/>
        </w:rPr>
      </w:pPr>
      <w:r w:rsidRPr="00E365AB">
        <w:rPr>
          <w:sz w:val="24"/>
        </w:rPr>
        <w:t>39</w:t>
      </w:r>
      <w:r w:rsidR="00E84296" w:rsidRPr="00E365AB">
        <w:rPr>
          <w:sz w:val="24"/>
        </w:rPr>
        <w:t>.</w:t>
      </w:r>
      <w:r w:rsidR="001B3877">
        <w:rPr>
          <w:sz w:val="24"/>
        </w:rPr>
        <w:t xml:space="preserve"> </w:t>
      </w:r>
      <w:r w:rsidR="00E84296" w:rsidRPr="00E365AB">
        <w:rPr>
          <w:sz w:val="24"/>
        </w:rPr>
        <w:t>We wrześniu 2015</w:t>
      </w:r>
      <w:r w:rsidR="001B3877">
        <w:rPr>
          <w:sz w:val="24"/>
        </w:rPr>
        <w:t xml:space="preserve"> </w:t>
      </w:r>
      <w:r w:rsidR="00E84296" w:rsidRPr="00E365AB">
        <w:rPr>
          <w:sz w:val="24"/>
        </w:rPr>
        <w:t>r., podczas swojej 14. sesji, Komitet Praw Osób Niepełnosprawnych przyjął Wytyczne dotyczące art. 14 Konwencji o</w:t>
      </w:r>
      <w:r w:rsidR="001D25C9">
        <w:rPr>
          <w:sz w:val="24"/>
        </w:rPr>
        <w:t> </w:t>
      </w:r>
      <w:r w:rsidR="00E84296" w:rsidRPr="00E365AB">
        <w:rPr>
          <w:sz w:val="24"/>
        </w:rPr>
        <w:t>prawach osób niepełnosprawnych. Istotne części tych wytycznych mają następujące brzmienie:</w:t>
      </w:r>
    </w:p>
    <w:p w14:paraId="327CA1EC" w14:textId="6924D2A8" w:rsidR="00DF10C4" w:rsidRPr="00297944" w:rsidRDefault="00DF10C4" w:rsidP="00297944">
      <w:pPr>
        <w:pStyle w:val="JuHArticle"/>
      </w:pPr>
      <w:r>
        <w:t xml:space="preserve">„III. </w:t>
      </w:r>
      <w:r w:rsidR="003A6EEC">
        <w:t>Absolutny zakaz pozbawienia wolności na podstawie zaburzeń psychicznych</w:t>
      </w:r>
    </w:p>
    <w:p w14:paraId="2A093321" w14:textId="00754AA1" w:rsidR="00DE27D2" w:rsidRDefault="00DE27D2" w:rsidP="00DE27D2">
      <w:pPr>
        <w:pStyle w:val="JuQuot"/>
      </w:pPr>
      <w:r>
        <w:t>6.</w:t>
      </w:r>
      <w:r w:rsidR="001B3877">
        <w:t xml:space="preserve"> </w:t>
      </w:r>
      <w:r>
        <w:t xml:space="preserve">Nadal istnieją praktyki, w których Państwa-Strony dopuszczają pozbawienie wolności na podstawie </w:t>
      </w:r>
      <w:r w:rsidR="00725C8F">
        <w:t xml:space="preserve">faktycznego </w:t>
      </w:r>
      <w:r>
        <w:t>lub domniemanego zaburzenia psychicznego. W</w:t>
      </w:r>
      <w:r w:rsidR="001D25C9">
        <w:t> </w:t>
      </w:r>
      <w:r>
        <w:t xml:space="preserve">tym względzie Komitet ustalił, że art. 14 nie zezwala na żadne wyjątki, w przypadku których osoby mogłyby zostać </w:t>
      </w:r>
      <w:r w:rsidR="00725C8F">
        <w:t>pozbawione wolności</w:t>
      </w:r>
      <w:r>
        <w:t xml:space="preserve"> ze względu na ich rzeczywiste lub</w:t>
      </w:r>
      <w:r w:rsidR="001D25C9">
        <w:t> </w:t>
      </w:r>
      <w:r>
        <w:t xml:space="preserve">domniemane upośledzenie. Jednakże ustawodawstwo kilku Państw-Stron, w tym przepisy dotyczące zdrowia psychicznego, nadal przewidują przypadki, w których osoby mogą zostać </w:t>
      </w:r>
      <w:r w:rsidR="00725C8F">
        <w:t xml:space="preserve">pozbawione wolności </w:t>
      </w:r>
      <w:r>
        <w:t>ze względu na ich faktyczne lub domniemane zaburzenie, pod warunkiem że istnieją inne powody ich</w:t>
      </w:r>
      <w:r w:rsidR="00725C8F">
        <w:t xml:space="preserve"> pozbawienia wolności</w:t>
      </w:r>
      <w:r>
        <w:t xml:space="preserve">, w tym uznanie ich za niebezpieczne dla nich samych lub innych osób. Praktyka ta jest niezgodna z </w:t>
      </w:r>
      <w:r w:rsidR="00534571">
        <w:t xml:space="preserve">interpretacją </w:t>
      </w:r>
      <w:r>
        <w:t xml:space="preserve">art. 14 w </w:t>
      </w:r>
      <w:r w:rsidR="00534571">
        <w:t>orzecznictwie</w:t>
      </w:r>
      <w:r>
        <w:t xml:space="preserve"> </w:t>
      </w:r>
      <w:r w:rsidR="00534571">
        <w:t xml:space="preserve">Komitetu </w:t>
      </w:r>
      <w:r>
        <w:t>KPON. Ma ona charakter dyskryminujący i stanowi arbitralne pozbawienie wolności.</w:t>
      </w:r>
    </w:p>
    <w:p w14:paraId="3DFB359B" w14:textId="47DA0FFF" w:rsidR="00DE27D2" w:rsidRDefault="00DE27D2" w:rsidP="00DE27D2">
      <w:pPr>
        <w:pStyle w:val="JuQuot"/>
      </w:pPr>
      <w:r>
        <w:t>(...) Artykuł 14 ust. 1 lit. b [KPON] zakazuje pozbawienia wolności na podstawie zaburzeń psychicznych, nawet jeśli pozbawienie wolności uzasadniane jest takimi dodatkowymi czynnikami lub kryteriami (.</w:t>
      </w:r>
      <w:r w:rsidR="00272034">
        <w:t>.</w:t>
      </w:r>
      <w:r>
        <w:t>.).</w:t>
      </w:r>
    </w:p>
    <w:p w14:paraId="064E48D9" w14:textId="48B89BD6" w:rsidR="00272034" w:rsidRDefault="00DE27D2" w:rsidP="00297944">
      <w:pPr>
        <w:pStyle w:val="JuQuot"/>
      </w:pPr>
      <w:r>
        <w:lastRenderedPageBreak/>
        <w:t>9.</w:t>
      </w:r>
      <w:r>
        <w:tab/>
      </w:r>
      <w:r w:rsidR="001B3877">
        <w:t xml:space="preserve"> </w:t>
      </w:r>
      <w:r>
        <w:t>Korzystanie z prawa do wolności i bezpieczeństwa osoby jest kluczowe dla</w:t>
      </w:r>
      <w:r w:rsidR="001D25C9">
        <w:t> </w:t>
      </w:r>
      <w:r>
        <w:t xml:space="preserve">wdrożenia art. 19 dotyczącego prawa do życia </w:t>
      </w:r>
      <w:r w:rsidR="00534571">
        <w:t xml:space="preserve">samodzielnego </w:t>
      </w:r>
      <w:r>
        <w:t xml:space="preserve">i </w:t>
      </w:r>
      <w:r w:rsidR="00534571">
        <w:t>integracji społecznej</w:t>
      </w:r>
      <w:r>
        <w:t>. Komitet zwrócił szczególną uwagę na powiązanie z art. 19. Wyraził zaniepokojenie instytucjonalizacją osób niepełnosprawnych i brakiem usług wsparcia w spo</w:t>
      </w:r>
      <w:r w:rsidR="004C1E8F">
        <w:t>łeczności oraz zarekomendował</w:t>
      </w:r>
      <w:r>
        <w:t xml:space="preserve"> wdrożenie usług wsparcia i skutecznych strategii deinstytucjonalizacji w porozumieniu z organizacjami osób niepełnosprawnych. Ponadto Komitet wezwał do przyznania większych środków finansowych w celu zapewnienia wystarczających usług na poziomie społeczności.</w:t>
      </w:r>
    </w:p>
    <w:p w14:paraId="25DA61BC" w14:textId="27230A49" w:rsidR="00DF10C4" w:rsidRPr="00297944" w:rsidRDefault="00272034" w:rsidP="00297944">
      <w:pPr>
        <w:pStyle w:val="JuQuot"/>
      </w:pPr>
      <w:r>
        <w:t>(</w:t>
      </w:r>
      <w:r w:rsidR="00DF10C4">
        <w:t>…</w:t>
      </w:r>
      <w:r>
        <w:t>)</w:t>
      </w:r>
    </w:p>
    <w:p w14:paraId="45E43CB1" w14:textId="2632379B" w:rsidR="00DF10C4" w:rsidRPr="00297944" w:rsidRDefault="00DF10C4" w:rsidP="00297944">
      <w:pPr>
        <w:pStyle w:val="JuHArticle"/>
      </w:pPr>
      <w:r>
        <w:t xml:space="preserve">XI. Środki </w:t>
      </w:r>
      <w:r w:rsidR="004C1E8F">
        <w:t>zabezpieczające</w:t>
      </w:r>
    </w:p>
    <w:p w14:paraId="5FF93282" w14:textId="68992B12" w:rsidR="00DF10C4" w:rsidRPr="00297944" w:rsidRDefault="00DF10C4" w:rsidP="00DE27D2">
      <w:pPr>
        <w:pStyle w:val="JuQuot"/>
      </w:pPr>
      <w:r>
        <w:t>20.</w:t>
      </w:r>
      <w:r w:rsidR="001B3877">
        <w:t xml:space="preserve"> </w:t>
      </w:r>
      <w:r w:rsidR="00DE27D2">
        <w:t xml:space="preserve">Komitet odniósł się do środków </w:t>
      </w:r>
      <w:r w:rsidR="004C1E8F">
        <w:t xml:space="preserve">zabezpieczających </w:t>
      </w:r>
      <w:r w:rsidR="00DE27D2">
        <w:t>na</w:t>
      </w:r>
      <w:r w:rsidR="0027770A">
        <w:t>kładanych</w:t>
      </w:r>
      <w:r w:rsidR="00DE27D2">
        <w:t xml:space="preserve"> na osoby uznane za nie</w:t>
      </w:r>
      <w:r w:rsidR="0027770A">
        <w:t xml:space="preserve">ponoszące odpowiedzialności </w:t>
      </w:r>
      <w:r w:rsidR="00DE27D2">
        <w:t xml:space="preserve">z powodu „choroby psychicznej”. Początkowo Komitet zwrócił się do </w:t>
      </w:r>
      <w:r w:rsidR="00335806">
        <w:t xml:space="preserve">Państw Stron </w:t>
      </w:r>
      <w:r w:rsidR="00DE27D2">
        <w:t xml:space="preserve">o zmianę ustawodawstwa w celu zapewnienia należytych gwarancji proceduralnych w zakresie stosowania środków </w:t>
      </w:r>
      <w:r w:rsidR="004C1E8F">
        <w:t>zabezpieczających</w:t>
      </w:r>
      <w:r w:rsidR="00DE27D2">
        <w:t xml:space="preserve"> w odniesieniu do osób uznanych za zwolnione z odpowiedzialności karnej oraz w celu zapewnienia, aby osoby niepełnosprawne podlegały takim samym gwarancjom i warunkom, jakie mają zastosowanie względem każdej innej osoby. Ostatnio Komitet zalecił również wyeliminowanie środków </w:t>
      </w:r>
      <w:r w:rsidR="004C1E8F">
        <w:t>zabezpieczających</w:t>
      </w:r>
      <w:r w:rsidR="00DE27D2">
        <w:t>, w tym tych, które wiążą się z przymusowym leczeniem medycznym i psychiatrycznym w</w:t>
      </w:r>
      <w:r w:rsidR="001D25C9">
        <w:t> </w:t>
      </w:r>
      <w:r w:rsidR="00DE27D2">
        <w:t>szpitalach, wyrażając jednocześnie zaniepokojenie środkami</w:t>
      </w:r>
      <w:r w:rsidR="004C1E8F">
        <w:t xml:space="preserve"> zabezpieczającymi</w:t>
      </w:r>
      <w:r w:rsidR="00DE27D2">
        <w:t>, które wiążą się z pozbawieniem wolności na czas nieokreślony oraz brakiem regularnych gwarancji w ramach wymiaru sprawiedliwości w sprawach karnych</w:t>
      </w:r>
      <w:r>
        <w:t>”</w:t>
      </w:r>
      <w:r w:rsidR="00DE27D2">
        <w:t>.</w:t>
      </w:r>
    </w:p>
    <w:p w14:paraId="761387C1" w14:textId="77777777" w:rsidR="00DF10C4" w:rsidRPr="00ED61B9" w:rsidRDefault="00DF10C4" w:rsidP="00297944">
      <w:pPr>
        <w:pStyle w:val="JuHHead"/>
      </w:pPr>
      <w:r w:rsidRPr="00ED61B9">
        <w:t>PRAWO</w:t>
      </w:r>
    </w:p>
    <w:p w14:paraId="664BF1D8" w14:textId="3516C41B" w:rsidR="00DF10C4" w:rsidRPr="00297944" w:rsidRDefault="00DF10C4" w:rsidP="00297944">
      <w:pPr>
        <w:pStyle w:val="JuHIRoman"/>
        <w:numPr>
          <w:ilvl w:val="1"/>
          <w:numId w:val="2"/>
        </w:numPr>
      </w:pPr>
      <w:r>
        <w:t>ZARZUCANE NARUSZENIE ART.</w:t>
      </w:r>
      <w:r w:rsidR="001B3877">
        <w:t xml:space="preserve"> </w:t>
      </w:r>
      <w:r>
        <w:t>5 UST.</w:t>
      </w:r>
      <w:r w:rsidR="001B3877">
        <w:t xml:space="preserve"> </w:t>
      </w:r>
      <w:r>
        <w:t>1 KONWENCJI</w:t>
      </w:r>
    </w:p>
    <w:p w14:paraId="0A89D9B1" w14:textId="76BB531E" w:rsidR="00DF10C4" w:rsidRPr="00297944" w:rsidRDefault="00D2073A" w:rsidP="00297944">
      <w:pPr>
        <w:pStyle w:val="JuPara"/>
      </w:pPr>
      <w:r>
        <w:rPr>
          <w:noProof/>
        </w:rPr>
        <w:t>40</w:t>
      </w:r>
      <w:r w:rsidR="00DF10C4">
        <w:t>.</w:t>
      </w:r>
      <w:r w:rsidR="001B3877">
        <w:t xml:space="preserve"> </w:t>
      </w:r>
      <w:r w:rsidR="00DF10C4">
        <w:t>Skarżący zarzucił na podstawie art.</w:t>
      </w:r>
      <w:r w:rsidR="001B3877">
        <w:t xml:space="preserve"> </w:t>
      </w:r>
      <w:r w:rsidR="00DF10C4">
        <w:t>5 ust.</w:t>
      </w:r>
      <w:r w:rsidR="001B3877">
        <w:t xml:space="preserve"> </w:t>
      </w:r>
      <w:r w:rsidR="00DF10C4">
        <w:t xml:space="preserve">1 Konwencji, że jego umieszczenie w szpitalu psychiatrycznym było niezgodne z prawem, ponieważ nie było oparte na aktualnych dowodach medycznych. Trybunał uważa, że skarga </w:t>
      </w:r>
      <w:bookmarkStart w:id="3" w:name="_1000006"/>
      <w:bookmarkEnd w:id="3"/>
      <w:r w:rsidR="00DF10C4">
        <w:t xml:space="preserve">podlega </w:t>
      </w:r>
      <w:bookmarkStart w:id="4" w:name="_1000007"/>
      <w:bookmarkEnd w:id="4"/>
      <w:r w:rsidR="00DF10C4">
        <w:t>rozpatrzeniu na podstawie art.</w:t>
      </w:r>
      <w:r w:rsidR="001B3877">
        <w:t xml:space="preserve"> </w:t>
      </w:r>
      <w:r w:rsidR="00DF10C4">
        <w:t>5 ust.</w:t>
      </w:r>
      <w:r w:rsidR="001B3877">
        <w:t xml:space="preserve"> </w:t>
      </w:r>
      <w:r w:rsidR="00DF10C4">
        <w:t>1 lit.</w:t>
      </w:r>
      <w:r w:rsidR="001B3877">
        <w:t xml:space="preserve"> </w:t>
      </w:r>
      <w:r w:rsidR="00DF10C4">
        <w:t>e Konwencji, którego odpowiednie fragmenty stanowią:</w:t>
      </w:r>
    </w:p>
    <w:p w14:paraId="65711631" w14:textId="0B708EA7" w:rsidR="00DF10C4" w:rsidRPr="00297944" w:rsidRDefault="00DF10C4" w:rsidP="00297944">
      <w:pPr>
        <w:pStyle w:val="JuQuot"/>
      </w:pPr>
      <w:r>
        <w:t>„1.</w:t>
      </w:r>
      <w:r w:rsidR="001B3877">
        <w:t xml:space="preserve"> </w:t>
      </w:r>
      <w:r w:rsidR="005C55E8" w:rsidRPr="005C55E8">
        <w:t>Każdy ma prawo do wolności i bezpieczeństwa osobistego. Nikt nie może być pozbawiony wolności, z wyjątkiem następujących przypadków i w trybie ustalonym przez prawo</w:t>
      </w:r>
      <w:r>
        <w:t>:</w:t>
      </w:r>
    </w:p>
    <w:p w14:paraId="3E6D4D29" w14:textId="6E92F063" w:rsidR="00DF10C4" w:rsidRPr="00297944" w:rsidRDefault="0048158D" w:rsidP="00297944">
      <w:pPr>
        <w:pStyle w:val="JuQuot"/>
      </w:pPr>
      <w:r>
        <w:t>(</w:t>
      </w:r>
      <w:r w:rsidR="00DF10C4">
        <w:t>…</w:t>
      </w:r>
      <w:r>
        <w:t>)</w:t>
      </w:r>
    </w:p>
    <w:p w14:paraId="0236054D" w14:textId="76758EDE" w:rsidR="00DF10C4" w:rsidRPr="00297944" w:rsidRDefault="00DF10C4" w:rsidP="00297944">
      <w:pPr>
        <w:pStyle w:val="JuQuot"/>
      </w:pPr>
      <w:r>
        <w:t xml:space="preserve">e) </w:t>
      </w:r>
      <w:r w:rsidR="005C55E8" w:rsidRPr="005C55E8">
        <w:t xml:space="preserve">zgodnego z prawem pozbawienia wolności osoby </w:t>
      </w:r>
      <w:r w:rsidR="0048158D">
        <w:t>(</w:t>
      </w:r>
      <w:r>
        <w:t>...</w:t>
      </w:r>
      <w:r w:rsidR="0048158D">
        <w:t>)</w:t>
      </w:r>
      <w:r>
        <w:t xml:space="preserve"> umysłowo chorej </w:t>
      </w:r>
      <w:r w:rsidR="0048158D">
        <w:t>(</w:t>
      </w:r>
      <w:r>
        <w:t>...</w:t>
      </w:r>
      <w:r w:rsidR="0048158D">
        <w:t>)</w:t>
      </w:r>
      <w:r>
        <w:t>”</w:t>
      </w:r>
      <w:r w:rsidR="00735515">
        <w:t>.</w:t>
      </w:r>
    </w:p>
    <w:p w14:paraId="6D76018F" w14:textId="77777777" w:rsidR="00DF10C4" w:rsidRPr="00297944" w:rsidRDefault="00DF10C4" w:rsidP="00297944">
      <w:pPr>
        <w:pStyle w:val="JuHA"/>
      </w:pPr>
      <w:r>
        <w:t>Dopuszczalność</w:t>
      </w:r>
    </w:p>
    <w:p w14:paraId="6326B9B2" w14:textId="7AABF90B" w:rsidR="00DF10C4" w:rsidRPr="00297944" w:rsidRDefault="00D2073A" w:rsidP="00297944">
      <w:pPr>
        <w:pStyle w:val="JuPara"/>
      </w:pPr>
      <w:r>
        <w:rPr>
          <w:noProof/>
        </w:rPr>
        <w:t>41</w:t>
      </w:r>
      <w:r w:rsidR="00DF10C4">
        <w:t>.</w:t>
      </w:r>
      <w:r w:rsidR="001B3877">
        <w:t xml:space="preserve"> </w:t>
      </w:r>
      <w:r w:rsidR="00DF10C4">
        <w:t>Trybunał zauważa, że niniejsza skarga nie jest w sposób oczywisty nieuzasadniona ani niedopuszczalna z jakichkolwiek innych powodów wymienionych w art.</w:t>
      </w:r>
      <w:r w:rsidR="001B3877">
        <w:t xml:space="preserve"> </w:t>
      </w:r>
      <w:r w:rsidR="00DF10C4">
        <w:t>35 Konwencji. Tym samym należy uznać ją za</w:t>
      </w:r>
      <w:r w:rsidR="001D25C9">
        <w:t> </w:t>
      </w:r>
      <w:r w:rsidR="00DF10C4">
        <w:t>dopuszczalną.</w:t>
      </w:r>
    </w:p>
    <w:p w14:paraId="5FAEBE0D" w14:textId="77777777" w:rsidR="00DF10C4" w:rsidRPr="00297944" w:rsidRDefault="00DF10C4" w:rsidP="00297944">
      <w:pPr>
        <w:pStyle w:val="JuHA"/>
      </w:pPr>
      <w:r>
        <w:lastRenderedPageBreak/>
        <w:t>Przedmiot skargi</w:t>
      </w:r>
    </w:p>
    <w:p w14:paraId="4DBDD123" w14:textId="1B377606" w:rsidR="00DF10C4" w:rsidRPr="00297944" w:rsidRDefault="00DF10C4" w:rsidP="00297944">
      <w:pPr>
        <w:pStyle w:val="JuH1"/>
      </w:pPr>
      <w:r>
        <w:t>Stanowiska stron</w:t>
      </w:r>
    </w:p>
    <w:p w14:paraId="060D1272" w14:textId="77777777" w:rsidR="00DF10C4" w:rsidRPr="00297944" w:rsidRDefault="00DF10C4" w:rsidP="00297944">
      <w:pPr>
        <w:pStyle w:val="JuHa0"/>
      </w:pPr>
      <w:r>
        <w:t>Skarżący</w:t>
      </w:r>
    </w:p>
    <w:p w14:paraId="3E895404" w14:textId="1EF7A1FD" w:rsidR="00DF10C4" w:rsidRPr="00297944" w:rsidRDefault="00D2073A" w:rsidP="00297944">
      <w:pPr>
        <w:pStyle w:val="JuPara"/>
        <w:rPr>
          <w:rFonts w:cs="Times New Roman"/>
        </w:rPr>
      </w:pPr>
      <w:r>
        <w:rPr>
          <w:rFonts w:cs="Times New Roman"/>
          <w:noProof/>
        </w:rPr>
        <w:t>42</w:t>
      </w:r>
      <w:r w:rsidR="00DF10C4">
        <w:t>.</w:t>
      </w:r>
      <w:r w:rsidR="001B3877">
        <w:t xml:space="preserve"> </w:t>
      </w:r>
      <w:r w:rsidR="00DF10C4">
        <w:t>Skarżący podniósł, że nie wykazano w sposób wiarygodny, iż jest on „</w:t>
      </w:r>
      <w:r w:rsidR="00821C89">
        <w:t>chory umysłowo</w:t>
      </w:r>
      <w:r w:rsidR="00DF10C4">
        <w:t>”, ponieważ opinie lekarskie, na podstawie których został umieszczony w szpitalu psychiatrycznym, nie były „wystarczająco aktualne” w chwili orzekania przez sąd. Podkreślił, że opinie psychiatryczne zostały wydane w dniach 17</w:t>
      </w:r>
      <w:r w:rsidR="001B3877">
        <w:t xml:space="preserve"> </w:t>
      </w:r>
      <w:r w:rsidR="00DF10C4">
        <w:t>stycznia i 3</w:t>
      </w:r>
      <w:r w:rsidR="001B3877">
        <w:t xml:space="preserve"> </w:t>
      </w:r>
      <w:r w:rsidR="00DF10C4">
        <w:t>lutego 2014</w:t>
      </w:r>
      <w:r w:rsidR="001B3877">
        <w:t xml:space="preserve"> </w:t>
      </w:r>
      <w:r w:rsidR="00DF10C4">
        <w:t>r., a więc piętnaście miesięcy przed wydaniem orzeczenia kończącego sprawę i osiemnaście miesięcy przed umieszczeniem go w szpitalu psychiatrycznym. Co istotniejsze, od czasu ostatniego badania przez biegłych nastąpiła istotna zmiana jego sytuacji. W</w:t>
      </w:r>
      <w:r w:rsidR="001D25C9">
        <w:t> </w:t>
      </w:r>
      <w:r w:rsidR="00DF10C4">
        <w:t>tym względzie powołał się na fakt, że w międzyczasie został poddany nowatorskiemu i wyjątkowemu leczeniu w Hostelu, które skutkowało poprawą jego zdrowia psychicznego. Podkreślił, że dzięki nowoczesnym metodom stosowanym w Hostelu jego stan zdrowia psychicznego uległ znacznej poprawie, a tym samym zmniejszyło się ryzyko, że w przyszłości popełni kolejne przestępstwo.</w:t>
      </w:r>
    </w:p>
    <w:p w14:paraId="3568E490" w14:textId="63DFCC7F" w:rsidR="00DF10C4" w:rsidRPr="00297944" w:rsidRDefault="00D2073A" w:rsidP="00297944">
      <w:pPr>
        <w:pStyle w:val="JuPara"/>
      </w:pPr>
      <w:r>
        <w:rPr>
          <w:noProof/>
        </w:rPr>
        <w:t>43</w:t>
      </w:r>
      <w:r w:rsidR="00DF10C4">
        <w:t>.</w:t>
      </w:r>
      <w:r w:rsidR="001B3877">
        <w:t xml:space="preserve"> </w:t>
      </w:r>
      <w:r w:rsidR="00DF10C4">
        <w:t>Skarżący utrzymywał, że biorąc pod uwagę poprawę jego stanu psychicznego od czasu ostatniego badania psychiatrycznego, sądy powinny były co najmniej poddać go ponownemu badaniu przed umieszczeniem go w</w:t>
      </w:r>
      <w:r w:rsidR="001D25C9">
        <w:t> </w:t>
      </w:r>
      <w:r w:rsidR="00DF10C4">
        <w:t>szpitalu psychiatrycznym. Podkreślił, że w niniejszej sprawie istniała skuteczna i mniej restrykcyjna alternatywa dla umieszczenia go w</w:t>
      </w:r>
      <w:r w:rsidR="001D25C9">
        <w:t> </w:t>
      </w:r>
      <w:r w:rsidR="00DF10C4">
        <w:t>zamkniętym zakładzie psychiatrycznym, a mianowicie leczenie w Hostelu. Leczenie to, jak potwierdzili biegli, okazało się niezwykle skuteczne w</w:t>
      </w:r>
      <w:r w:rsidR="001D25C9">
        <w:t> </w:t>
      </w:r>
      <w:r w:rsidR="00DF10C4">
        <w:t>przypadku jego choroby. Zdaniem skarżącego, sądy krajowe nie wyjaśniły, dlaczego pomimo licznych pozytywnych skutków leczenia prowadzonego w</w:t>
      </w:r>
      <w:r w:rsidR="001D25C9">
        <w:t> </w:t>
      </w:r>
      <w:r w:rsidR="00DF10C4">
        <w:t>Hostelu i wyraźnej poprawy jego stanu psychicznego, nadal konieczne było umieszczenie skarżącego w zakładzie zamkniętym.</w:t>
      </w:r>
    </w:p>
    <w:p w14:paraId="14152A41" w14:textId="27A227C0" w:rsidR="00DF10C4" w:rsidRPr="00297944" w:rsidRDefault="00D2073A" w:rsidP="00297944">
      <w:pPr>
        <w:pStyle w:val="JuPara"/>
      </w:pPr>
      <w:r>
        <w:rPr>
          <w:noProof/>
        </w:rPr>
        <w:t>44</w:t>
      </w:r>
      <w:r w:rsidR="00DF10C4">
        <w:t>.</w:t>
      </w:r>
      <w:r w:rsidR="001B3877">
        <w:t xml:space="preserve"> </w:t>
      </w:r>
      <w:r w:rsidR="00DF10C4">
        <w:t>Wskazał również, że sądy krajowe nie wzięły pod uwagę zeznań świadków, którzy mieli z nim codzienny kontakt i którzy prowadzili jego leczenie, a zamiast tego oparły się na nieaktualnych opiniach psychiatrycznych i zeznaniach biegłych, którzy je sporządzili.</w:t>
      </w:r>
    </w:p>
    <w:p w14:paraId="0B02AD19" w14:textId="12DBAF9E" w:rsidR="00DF10C4" w:rsidRPr="00297944" w:rsidRDefault="00D2073A" w:rsidP="00297944">
      <w:pPr>
        <w:pStyle w:val="JuPara"/>
      </w:pPr>
      <w:r>
        <w:rPr>
          <w:noProof/>
        </w:rPr>
        <w:t>45</w:t>
      </w:r>
      <w:r w:rsidR="00DF10C4">
        <w:t>.</w:t>
      </w:r>
      <w:r w:rsidR="001B3877">
        <w:t xml:space="preserve"> </w:t>
      </w:r>
      <w:r w:rsidR="00DF10C4">
        <w:t>Ponadto podniósł, że zastosowany wobec niego środek izolacyjny przedłużono na podstawie opinii psychiatrycznych wydanych przez lekarzy pracujących w tym samym szpitalu, w którym został umieszczony.</w:t>
      </w:r>
    </w:p>
    <w:p w14:paraId="00B75561" w14:textId="31150C99" w:rsidR="00DF10C4" w:rsidRPr="00297944" w:rsidRDefault="00D2073A" w:rsidP="00297944">
      <w:pPr>
        <w:pStyle w:val="JuPara"/>
      </w:pPr>
      <w:r>
        <w:rPr>
          <w:noProof/>
        </w:rPr>
        <w:t>46</w:t>
      </w:r>
      <w:r w:rsidR="00DF10C4">
        <w:t>.</w:t>
      </w:r>
      <w:r w:rsidR="001B3877">
        <w:t xml:space="preserve"> </w:t>
      </w:r>
      <w:r w:rsidR="00DF10C4">
        <w:t>W związku z powyższym stwierdził, że cały okres jego pobytu w</w:t>
      </w:r>
      <w:r w:rsidR="001D25C9">
        <w:t> </w:t>
      </w:r>
      <w:r w:rsidR="00DF10C4">
        <w:t>szpitalu psychiatrycznym nie był uzasadniony w rozumieniu art.</w:t>
      </w:r>
      <w:r w:rsidR="001B3877">
        <w:t xml:space="preserve"> </w:t>
      </w:r>
      <w:r w:rsidR="00DF10C4">
        <w:t>5 ust.</w:t>
      </w:r>
      <w:r w:rsidR="001B3877">
        <w:t xml:space="preserve"> </w:t>
      </w:r>
      <w:r w:rsidR="00DF10C4">
        <w:t>1 lit.</w:t>
      </w:r>
      <w:r w:rsidR="001B3877">
        <w:t xml:space="preserve"> </w:t>
      </w:r>
      <w:r w:rsidR="00DF10C4">
        <w:t>e Konwencji.</w:t>
      </w:r>
    </w:p>
    <w:p w14:paraId="14530DAF" w14:textId="77777777" w:rsidR="00DF10C4" w:rsidRPr="00297944" w:rsidRDefault="00DF10C4" w:rsidP="00297944">
      <w:pPr>
        <w:pStyle w:val="JuHa0"/>
      </w:pPr>
      <w:r>
        <w:t>Rząd</w:t>
      </w:r>
    </w:p>
    <w:p w14:paraId="5140A2D4" w14:textId="1A5D0DB9" w:rsidR="00DF10C4" w:rsidRPr="00297944" w:rsidRDefault="00D2073A" w:rsidP="00297944">
      <w:pPr>
        <w:pStyle w:val="JuPara"/>
        <w:rPr>
          <w:rFonts w:cs="Times New Roman"/>
        </w:rPr>
      </w:pPr>
      <w:r>
        <w:rPr>
          <w:rFonts w:cs="Times New Roman"/>
          <w:noProof/>
        </w:rPr>
        <w:t>47</w:t>
      </w:r>
      <w:r w:rsidR="00DF10C4">
        <w:t>.</w:t>
      </w:r>
      <w:r w:rsidR="001B3877">
        <w:t xml:space="preserve"> </w:t>
      </w:r>
      <w:r w:rsidR="00DF10C4">
        <w:t xml:space="preserve">Rząd podniósł przede wszystkim, że skarżący został </w:t>
      </w:r>
      <w:r>
        <w:t>zwolniony</w:t>
      </w:r>
      <w:r w:rsidR="00DF10C4">
        <w:t xml:space="preserve"> ze</w:t>
      </w:r>
      <w:r w:rsidR="001D25C9">
        <w:t> </w:t>
      </w:r>
      <w:r w:rsidR="00DF10C4">
        <w:t>Szpitala w dniu 29</w:t>
      </w:r>
      <w:r w:rsidR="001B3877">
        <w:t xml:space="preserve"> </w:t>
      </w:r>
      <w:r w:rsidR="00DF10C4">
        <w:t xml:space="preserve">listopada, a nie, jak pierwotnie wskazano, w dniu </w:t>
      </w:r>
      <w:r w:rsidR="00DF10C4">
        <w:lastRenderedPageBreak/>
        <w:t>30</w:t>
      </w:r>
      <w:r w:rsidR="001D25C9">
        <w:t> </w:t>
      </w:r>
      <w:r w:rsidR="00DF10C4">
        <w:t>listopada 2016</w:t>
      </w:r>
      <w:r w:rsidR="001B3877">
        <w:t xml:space="preserve"> </w:t>
      </w:r>
      <w:r w:rsidR="00DF10C4">
        <w:t>r. Stwierdził ponadto, że skarżący został umieszczony w</w:t>
      </w:r>
      <w:r w:rsidR="001D25C9">
        <w:t> </w:t>
      </w:r>
      <w:r w:rsidR="00DF10C4">
        <w:t>szpitalu psychiatrycznym na podstawie opinii biegłych z dnia 17</w:t>
      </w:r>
      <w:r w:rsidR="001B3877">
        <w:t xml:space="preserve"> </w:t>
      </w:r>
      <w:r w:rsidR="00DF10C4">
        <w:t>stycznia i 3</w:t>
      </w:r>
      <w:r w:rsidR="001B3877">
        <w:t xml:space="preserve"> </w:t>
      </w:r>
      <w:r w:rsidR="00DF10C4">
        <w:t>lutego 2014 r. oraz uzupełniających zeznań złożonych przez tych biegłych na rozprawach sądowych. Biegli z zakresu psychiatrii zostali wysłuchani w</w:t>
      </w:r>
      <w:r w:rsidR="001D25C9">
        <w:t> </w:t>
      </w:r>
      <w:r w:rsidR="00DF10C4">
        <w:t>dniach 1</w:t>
      </w:r>
      <w:r w:rsidR="001B3877">
        <w:t xml:space="preserve"> </w:t>
      </w:r>
      <w:r w:rsidR="00DF10C4">
        <w:t>lipca 2014</w:t>
      </w:r>
      <w:r w:rsidR="001B3877">
        <w:t xml:space="preserve"> </w:t>
      </w:r>
      <w:r w:rsidR="00DF10C4">
        <w:t>r. i 12</w:t>
      </w:r>
      <w:r w:rsidR="001B3877">
        <w:t xml:space="preserve"> </w:t>
      </w:r>
      <w:r w:rsidR="00DF10C4">
        <w:t>stycznia 2015</w:t>
      </w:r>
      <w:r w:rsidR="001B3877">
        <w:t xml:space="preserve"> </w:t>
      </w:r>
      <w:r w:rsidR="00DF10C4">
        <w:t>r., a biegły psycholog w dniu 5</w:t>
      </w:r>
      <w:r w:rsidR="001D25C9">
        <w:t> </w:t>
      </w:r>
      <w:r w:rsidR="00DF10C4">
        <w:t>sierpnia 2014</w:t>
      </w:r>
      <w:r w:rsidR="001B3877">
        <w:t xml:space="preserve"> </w:t>
      </w:r>
      <w:r w:rsidR="00DF10C4">
        <w:t>r.</w:t>
      </w:r>
    </w:p>
    <w:p w14:paraId="37B38375" w14:textId="71EFC29E" w:rsidR="00DF10C4" w:rsidRPr="00297944" w:rsidRDefault="00D2073A" w:rsidP="00297944">
      <w:pPr>
        <w:pStyle w:val="JuPara"/>
      </w:pPr>
      <w:r>
        <w:rPr>
          <w:noProof/>
        </w:rPr>
        <w:t>48</w:t>
      </w:r>
      <w:r w:rsidR="00DF10C4">
        <w:t>.</w:t>
      </w:r>
      <w:r w:rsidR="001B3877">
        <w:t xml:space="preserve"> </w:t>
      </w:r>
      <w:r w:rsidR="00DF10C4">
        <w:t>Rząd podkreślił, że biegli wzięli pod uwagę leczenie skarżącego w</w:t>
      </w:r>
      <w:r w:rsidR="001D25C9">
        <w:t> </w:t>
      </w:r>
      <w:r w:rsidR="00DF10C4">
        <w:t>Hostelu i zapoznali się z jego dokumentacją medyczną z tej placówki. Jednocześnie wskazali, że stan skarżącego nie jest stabilny i że wymaga on</w:t>
      </w:r>
      <w:r w:rsidR="001D25C9">
        <w:t> </w:t>
      </w:r>
      <w:r w:rsidR="00DF10C4">
        <w:t>leczenia. W związku z tym, w chwili zarządzenia zastosowania wobec niego środka izolacyjnego na podstawie opinii lekarskiej w sposób wiarygodny wykaza</w:t>
      </w:r>
      <w:r w:rsidR="007236C6">
        <w:t>no</w:t>
      </w:r>
      <w:r w:rsidR="00DF10C4">
        <w:t xml:space="preserve">, że cierpi </w:t>
      </w:r>
      <w:r w:rsidR="007236C6">
        <w:t xml:space="preserve">on </w:t>
      </w:r>
      <w:r w:rsidR="00DF10C4">
        <w:t>na „realne zaburzenie psychiczne”.</w:t>
      </w:r>
    </w:p>
    <w:p w14:paraId="7CC6F8F7" w14:textId="5926E0E6" w:rsidR="00DF10C4" w:rsidRPr="00297944" w:rsidRDefault="00D2073A" w:rsidP="00297944">
      <w:pPr>
        <w:pStyle w:val="JuPara"/>
      </w:pPr>
      <w:r>
        <w:rPr>
          <w:noProof/>
        </w:rPr>
        <w:t>49</w:t>
      </w:r>
      <w:r w:rsidR="00DF10C4">
        <w:t>.</w:t>
      </w:r>
      <w:r w:rsidR="001B3877">
        <w:t xml:space="preserve"> </w:t>
      </w:r>
      <w:r w:rsidR="00DF10C4">
        <w:t>Rząd utrzymywał ponadto, że wymóg, zgodnie z którym zaburzenie musi być takiego rodzaju lub o takim stopniu, który uzasadnia przymusowe odosobnienie, został również całkowicie spełniony. U skarżącego zdiagnozowano schizofrenię paranoidalną. Jak potwierdzili biegli, po</w:t>
      </w:r>
      <w:r w:rsidR="001D25C9">
        <w:t> </w:t>
      </w:r>
      <w:r w:rsidR="00DF10C4">
        <w:t>wydarzeniu z dnia 13</w:t>
      </w:r>
      <w:r w:rsidR="001B3877">
        <w:t xml:space="preserve"> </w:t>
      </w:r>
      <w:r w:rsidR="00DF10C4">
        <w:t>stycznia 2014</w:t>
      </w:r>
      <w:r w:rsidR="001B3877">
        <w:t xml:space="preserve"> </w:t>
      </w:r>
      <w:r w:rsidR="00DF10C4">
        <w:t>r. wymagał on leczenia w zakładzie zamkniętym.</w:t>
      </w:r>
    </w:p>
    <w:p w14:paraId="784A1749" w14:textId="40A0DC34" w:rsidR="00DF10C4" w:rsidRPr="00297944" w:rsidRDefault="00D2073A" w:rsidP="00297944">
      <w:pPr>
        <w:pStyle w:val="JuPara"/>
      </w:pPr>
      <w:r>
        <w:rPr>
          <w:noProof/>
        </w:rPr>
        <w:t>50</w:t>
      </w:r>
      <w:r w:rsidR="00DF10C4">
        <w:t>.</w:t>
      </w:r>
      <w:r w:rsidR="001B3877">
        <w:t xml:space="preserve"> </w:t>
      </w:r>
      <w:r w:rsidR="00DF10C4">
        <w:t xml:space="preserve">Wreszcie Rząd stwierdził, że konieczność dalszego stosowania wobec skarżącego środka izolacyjnego była systematycznie badana przez władze krajowe. Przedłużając zastosowany wobec skarżącego środek izolacyjny, sądy każdorazowo opierały się na </w:t>
      </w:r>
      <w:r w:rsidR="007236C6">
        <w:t>niedawnej</w:t>
      </w:r>
      <w:r w:rsidR="00DF10C4">
        <w:t xml:space="preserve"> opinii psychiatrycznej, a gdy tylko jego stan uległ poprawie, był on wypisywany ze szpitala.</w:t>
      </w:r>
    </w:p>
    <w:p w14:paraId="4D6C3997" w14:textId="762C8DA8" w:rsidR="00DF10C4" w:rsidRPr="00297944" w:rsidRDefault="00DF10C4" w:rsidP="00297944">
      <w:pPr>
        <w:pStyle w:val="JuHa0"/>
      </w:pPr>
      <w:r>
        <w:t xml:space="preserve">Interweniująca </w:t>
      </w:r>
      <w:r w:rsidR="007236C6">
        <w:t>strona</w:t>
      </w:r>
      <w:r>
        <w:t xml:space="preserve"> trzecia</w:t>
      </w:r>
    </w:p>
    <w:p w14:paraId="4BEA2940" w14:textId="69D7222F" w:rsidR="00DF10C4" w:rsidRPr="00297944" w:rsidRDefault="00D2073A" w:rsidP="00297944">
      <w:pPr>
        <w:pStyle w:val="JuPara"/>
        <w:rPr>
          <w:rFonts w:cs="Times New Roman"/>
        </w:rPr>
      </w:pPr>
      <w:r>
        <w:rPr>
          <w:rFonts w:cs="Times New Roman"/>
          <w:noProof/>
        </w:rPr>
        <w:t>51</w:t>
      </w:r>
      <w:r w:rsidR="00DF10C4">
        <w:t>.</w:t>
      </w:r>
      <w:r w:rsidR="001B3877">
        <w:t xml:space="preserve"> </w:t>
      </w:r>
      <w:r w:rsidR="00DF10C4">
        <w:t xml:space="preserve">Ośrodek Mental Disability Advocacy Center („Ośrodek”) odniósł się do odpowiednich zabezpieczeń międzynarodowych oraz zakresu zobowiązań </w:t>
      </w:r>
      <w:r w:rsidR="006A3FD4">
        <w:t>P</w:t>
      </w:r>
      <w:r w:rsidR="00DF10C4">
        <w:t xml:space="preserve">aństwa do zapewnienia </w:t>
      </w:r>
      <w:bookmarkStart w:id="5" w:name="_Hlk71615847"/>
      <w:r w:rsidR="00DF10C4">
        <w:t xml:space="preserve">leczenia psychiatrycznego w oparciu o zgodę, </w:t>
      </w:r>
      <w:bookmarkStart w:id="6" w:name="_Hlk71615928"/>
      <w:r w:rsidR="00DF10C4">
        <w:t>stosowania najmniej dotkliwych środków</w:t>
      </w:r>
      <w:bookmarkEnd w:id="5"/>
      <w:r w:rsidR="006A3FD4">
        <w:t xml:space="preserve"> </w:t>
      </w:r>
      <w:r w:rsidR="00DF10C4">
        <w:t xml:space="preserve">oraz w </w:t>
      </w:r>
      <w:r w:rsidR="007236C6">
        <w:t xml:space="preserve">możliwie </w:t>
      </w:r>
      <w:r w:rsidR="00DF10C4">
        <w:t xml:space="preserve">najmniej restrykcyjnym </w:t>
      </w:r>
      <w:r w:rsidR="00F74A25">
        <w:t>otoczeniu</w:t>
      </w:r>
      <w:r w:rsidR="00DF10C4">
        <w:t xml:space="preserve"> </w:t>
      </w:r>
      <w:bookmarkEnd w:id="6"/>
      <w:r w:rsidR="00DF10C4">
        <w:t>w środowiskach lokalnych.</w:t>
      </w:r>
    </w:p>
    <w:p w14:paraId="713D5C75" w14:textId="1D1C4444" w:rsidR="00DF10C4" w:rsidRPr="00297944" w:rsidRDefault="00D2073A" w:rsidP="00297944">
      <w:pPr>
        <w:pStyle w:val="JuPara"/>
      </w:pPr>
      <w:r>
        <w:rPr>
          <w:noProof/>
        </w:rPr>
        <w:t>52</w:t>
      </w:r>
      <w:r w:rsidR="00DF10C4">
        <w:t>.</w:t>
      </w:r>
      <w:r w:rsidR="001B3877">
        <w:t xml:space="preserve"> </w:t>
      </w:r>
      <w:r w:rsidR="00DF10C4">
        <w:t xml:space="preserve">Ośrodek podkreślił przede wszystkim, że </w:t>
      </w:r>
      <w:r w:rsidR="009E203D">
        <w:t>P</w:t>
      </w:r>
      <w:r w:rsidR="00DF10C4">
        <w:t>aństwa są zobowiązane do</w:t>
      </w:r>
      <w:r w:rsidR="001D25C9">
        <w:t> </w:t>
      </w:r>
      <w:r w:rsidR="00DF10C4">
        <w:t>zapewnienia, aby osoby niepełnosprawne nie były pozbawiane wolności ze względu na swoją niepełnosprawność, także w kontekście prawa karnego. Po drugie, zauważono, że zgodnie z postanowieniami Konwencji Narodów Zjednoczonych o prawach osób niepełnosprawnych przymusowe leczenie psychiatryczne stanowiło naruszenie nie tylko prawa do wolności od tortur, ale także prawa do nietykalności osobistej, wolności od przemocy, wyzysku i nadużyć oraz prawa do decydowania o leczeniu. Oznacza to, że osoby z</w:t>
      </w:r>
      <w:r w:rsidR="001D25C9">
        <w:t> </w:t>
      </w:r>
      <w:r w:rsidR="00DF10C4">
        <w:t>niepełnosprawnością psychospołeczną powinny mieć dostęp do szeregu form wsparcia i usług w społecz</w:t>
      </w:r>
      <w:r w:rsidR="007236C6">
        <w:t>ności</w:t>
      </w:r>
      <w:r w:rsidR="00DF10C4">
        <w:t>, w tym do wsparcia w samodzielnym życiu jako alternatywy dla medycznego modelu zdrowia psychicznego (zob.</w:t>
      </w:r>
      <w:r w:rsidR="001D25C9">
        <w:t> </w:t>
      </w:r>
      <w:r w:rsidR="00DF10C4">
        <w:t>paragraf 38 powyżej).</w:t>
      </w:r>
    </w:p>
    <w:p w14:paraId="5A10D709" w14:textId="41BF69AA" w:rsidR="00DF10C4" w:rsidRPr="00297944" w:rsidRDefault="00D2073A" w:rsidP="00297944">
      <w:pPr>
        <w:pStyle w:val="JuPara"/>
      </w:pPr>
      <w:r>
        <w:rPr>
          <w:noProof/>
        </w:rPr>
        <w:t>53</w:t>
      </w:r>
      <w:r w:rsidR="00DF10C4">
        <w:t>.</w:t>
      </w:r>
      <w:r w:rsidR="001B3877">
        <w:t xml:space="preserve"> </w:t>
      </w:r>
      <w:r w:rsidR="00DF10C4">
        <w:t xml:space="preserve">Ponadto, jak potwierdził Komitet Narodów Zjednoczonych ds. Praw Osób Niepełnosprawnych, istniała potrzeba udostępnienia mniej dotkliwych </w:t>
      </w:r>
      <w:r w:rsidR="00DF10C4">
        <w:lastRenderedPageBreak/>
        <w:t>środków, takich jak leczenie środowiskowe i samodzielne życie, aby uniknąć przymusowej izolacji i leczenia. Prawo karne mogłoby również przewidywać odpowiednie sankcje za zachowania o charakterze przestępczym. Zapewnienie realnej alternatywy dla leczenia przymusowego pozwoliło osobom z niepełnosprawnością psychospołeczną korzystać z ich zdolności do</w:t>
      </w:r>
      <w:r w:rsidR="001D25C9">
        <w:t> </w:t>
      </w:r>
      <w:r w:rsidR="00DF10C4">
        <w:t>czynności prawnych i cieszyć się samodzielnością na równych zasadach (zob. paragraf 39 powyżej).</w:t>
      </w:r>
    </w:p>
    <w:p w14:paraId="531648B6" w14:textId="13DA8F47" w:rsidR="00DF10C4" w:rsidRPr="00297944" w:rsidRDefault="00D2073A" w:rsidP="00297944">
      <w:pPr>
        <w:pStyle w:val="JuPara"/>
      </w:pPr>
      <w:r>
        <w:rPr>
          <w:noProof/>
        </w:rPr>
        <w:t>54</w:t>
      </w:r>
      <w:r w:rsidR="00DF10C4">
        <w:t>.</w:t>
      </w:r>
      <w:r w:rsidR="001B3877">
        <w:t xml:space="preserve"> </w:t>
      </w:r>
      <w:r w:rsidR="00DF10C4">
        <w:t>Wreszcie Ośrodek podniósł, że poprzez ścisłe przestrzeganie niektórych elementów kryteriów określonych w orzecznictwie Trybunału (w</w:t>
      </w:r>
      <w:r w:rsidR="001D25C9">
        <w:t> </w:t>
      </w:r>
      <w:r w:rsidR="00DF10C4">
        <w:t>szczególności wymogu zasady najmniejszego ograniczenia i korzystania z alternatywnych rozwiązań), Trybunał mógłby stać na straży najbardziej podstawowych gwarancji wolności jednostki i wspierać zbieżność międzynarodowych standardów w zakresie prawa do wolności, autonomii i</w:t>
      </w:r>
      <w:r w:rsidR="001D25C9">
        <w:t> </w:t>
      </w:r>
      <w:r w:rsidR="00DF10C4">
        <w:t>godności.</w:t>
      </w:r>
    </w:p>
    <w:p w14:paraId="18F06328" w14:textId="2389F217" w:rsidR="00DF10C4" w:rsidRPr="00297944" w:rsidRDefault="00DF10C4" w:rsidP="00297944">
      <w:pPr>
        <w:pStyle w:val="JuH1"/>
      </w:pPr>
      <w:r>
        <w:t>Ocena Trybunału</w:t>
      </w:r>
    </w:p>
    <w:p w14:paraId="5918C4BB" w14:textId="71D7CE85" w:rsidR="00DF10C4" w:rsidRPr="00297944" w:rsidRDefault="00C91A79" w:rsidP="00297944">
      <w:pPr>
        <w:pStyle w:val="JuHa0"/>
      </w:pPr>
      <w:r>
        <w:t>Z</w:t>
      </w:r>
      <w:r w:rsidR="00DF10C4">
        <w:t>asady</w:t>
      </w:r>
      <w:r>
        <w:t xml:space="preserve"> ogólne</w:t>
      </w:r>
    </w:p>
    <w:p w14:paraId="2640138D" w14:textId="3BA4D346" w:rsidR="00DF10C4" w:rsidRPr="00297944" w:rsidRDefault="00D2073A" w:rsidP="00297944">
      <w:pPr>
        <w:pStyle w:val="JuPara"/>
      </w:pPr>
      <w:r>
        <w:rPr>
          <w:noProof/>
        </w:rPr>
        <w:t>55</w:t>
      </w:r>
      <w:r w:rsidR="00DF10C4">
        <w:t>.</w:t>
      </w:r>
      <w:r w:rsidR="001B3877">
        <w:t xml:space="preserve"> </w:t>
      </w:r>
      <w:r w:rsidR="00DF10C4">
        <w:t>Jeśli chodzi o pozbawienie wolności osób cierpiących na zaburzenia psychiczne, osoby nie można pozbawić wolności ze względu na „</w:t>
      </w:r>
      <w:r w:rsidR="00C91A79">
        <w:t>chorobę umysłową</w:t>
      </w:r>
      <w:r w:rsidR="00DF10C4">
        <w:t>”, chyba że spełnione są trzy minimalne warunki: po pierwsze, należy w sposób wiarygodny wykazać, że osoba ta jest</w:t>
      </w:r>
      <w:r w:rsidR="00C91A79">
        <w:t xml:space="preserve"> chora umysłowo</w:t>
      </w:r>
      <w:r w:rsidR="00DF10C4">
        <w:t>, co</w:t>
      </w:r>
      <w:r w:rsidR="001D25C9">
        <w:t> </w:t>
      </w:r>
      <w:r w:rsidR="00DF10C4">
        <w:t xml:space="preserve">oznacza, że realne zaburzenie umysłowe osoby musi </w:t>
      </w:r>
      <w:r w:rsidR="00C91A79">
        <w:t>stwierdzić</w:t>
      </w:r>
      <w:r w:rsidR="00DF10C4">
        <w:t xml:space="preserve"> właściwy organ na podstawie obiektywnych opinii lekarskich; po drugie, zaburzenie psychiczne musi być takiego rodzaju lub o takim stopniu, który uzasadnia przymusowe odosobnienie; i po trzecie, </w:t>
      </w:r>
      <w:r w:rsidR="00C91A79">
        <w:t>legalność trwającego hospitalizowania jest uzależniona od utrzymywania się</w:t>
      </w:r>
      <w:r w:rsidR="00DF10C4">
        <w:t xml:space="preserve"> </w:t>
      </w:r>
      <w:r w:rsidR="00C91A79">
        <w:t xml:space="preserve">takiego zaburzenia </w:t>
      </w:r>
      <w:r w:rsidR="00DF10C4">
        <w:t xml:space="preserve">(zob. </w:t>
      </w:r>
      <w:r w:rsidR="00DF10C4">
        <w:rPr>
          <w:i/>
        </w:rPr>
        <w:t>Ilnseher przeciwko Niemcom</w:t>
      </w:r>
      <w:r w:rsidR="00DF10C4">
        <w:t xml:space="preserve"> [WI], skargi nr</w:t>
      </w:r>
      <w:r w:rsidR="001B3877">
        <w:t xml:space="preserve"> </w:t>
      </w:r>
      <w:r w:rsidR="00DF10C4">
        <w:t>10211/12 i 27505/14, §</w:t>
      </w:r>
      <w:r w:rsidR="001D25C9">
        <w:t> </w:t>
      </w:r>
      <w:r w:rsidR="00DF10C4">
        <w:t>127, 4</w:t>
      </w:r>
      <w:r w:rsidR="001B3877">
        <w:t xml:space="preserve"> </w:t>
      </w:r>
      <w:r w:rsidR="00DF10C4">
        <w:t>grudnia 2018</w:t>
      </w:r>
      <w:r w:rsidR="001B3877">
        <w:t xml:space="preserve"> </w:t>
      </w:r>
      <w:r w:rsidR="00DF10C4">
        <w:t xml:space="preserve">r., oraz </w:t>
      </w:r>
      <w:r w:rsidR="00DF10C4">
        <w:rPr>
          <w:i/>
          <w:iCs/>
        </w:rPr>
        <w:t>Rooman przeciwko Belgii</w:t>
      </w:r>
      <w:r w:rsidR="00DF10C4">
        <w:t xml:space="preserve"> [WI], skarga nr</w:t>
      </w:r>
      <w:r w:rsidR="001D25C9">
        <w:t> </w:t>
      </w:r>
      <w:r w:rsidR="00DF10C4">
        <w:t>18052/11, § 192, 31</w:t>
      </w:r>
      <w:r w:rsidR="001B3877">
        <w:t xml:space="preserve"> </w:t>
      </w:r>
      <w:r w:rsidR="00DF10C4">
        <w:t>stycznia 2019</w:t>
      </w:r>
      <w:r w:rsidR="001B3877">
        <w:t xml:space="preserve"> </w:t>
      </w:r>
      <w:r w:rsidR="00DF10C4">
        <w:t>r.).</w:t>
      </w:r>
    </w:p>
    <w:p w14:paraId="033AC4FE" w14:textId="14F77C31" w:rsidR="00DF10C4" w:rsidRPr="00297944" w:rsidRDefault="00D2073A" w:rsidP="00297944">
      <w:pPr>
        <w:pStyle w:val="JuPara"/>
      </w:pPr>
      <w:r>
        <w:rPr>
          <w:noProof/>
        </w:rPr>
        <w:t>56</w:t>
      </w:r>
      <w:r w:rsidR="00DF10C4">
        <w:t>.</w:t>
      </w:r>
      <w:r w:rsidR="001B3877">
        <w:t xml:space="preserve"> </w:t>
      </w:r>
      <w:r w:rsidR="00DF10C4">
        <w:t>W odniesieniu do pierwszego warunku pozbawienia osoby wolności ze względu na „</w:t>
      </w:r>
      <w:r w:rsidR="00C91A79">
        <w:t>chorobę umysłową</w:t>
      </w:r>
      <w:r w:rsidR="00DF10C4">
        <w:t xml:space="preserve">”, a mianowicie, </w:t>
      </w:r>
      <w:r w:rsidR="00C91A79">
        <w:t xml:space="preserve">by </w:t>
      </w:r>
      <w:r w:rsidR="00DF10C4">
        <w:t xml:space="preserve">realne zaburzenie psychiczne </w:t>
      </w:r>
      <w:r w:rsidR="00C91A79">
        <w:t>zostało stwierdzone przez</w:t>
      </w:r>
      <w:r w:rsidR="00DF10C4">
        <w:t xml:space="preserve"> właściwy organ na podstawie obiektywnych opinii lekarskich, Trybunał zauważ</w:t>
      </w:r>
      <w:r w:rsidR="003C3537">
        <w:t>a</w:t>
      </w:r>
      <w:r w:rsidR="00DF10C4">
        <w:t>, że pomimo faktu, iż</w:t>
      </w:r>
      <w:r w:rsidR="001D25C9">
        <w:t> </w:t>
      </w:r>
      <w:r w:rsidR="00DF10C4">
        <w:t>władze krajowe dysponują pewnym zakresem uznania, w szczególności w</w:t>
      </w:r>
      <w:r w:rsidR="001D25C9">
        <w:t> </w:t>
      </w:r>
      <w:r w:rsidR="00DF10C4">
        <w:t xml:space="preserve">odniesieniu do </w:t>
      </w:r>
      <w:r w:rsidR="003C3537">
        <w:t>przedmiotu</w:t>
      </w:r>
      <w:r w:rsidR="00DF10C4">
        <w:t xml:space="preserve"> diagnoz klinicznych, dopuszczalne podstawy pozbawienia wolności wymienione w art.</w:t>
      </w:r>
      <w:r w:rsidR="001B3877">
        <w:t xml:space="preserve"> </w:t>
      </w:r>
      <w:r w:rsidR="00DF10C4">
        <w:t>5 ust.</w:t>
      </w:r>
      <w:r w:rsidR="001B3877">
        <w:t xml:space="preserve"> </w:t>
      </w:r>
      <w:r w:rsidR="00DF10C4">
        <w:t>1 należy interpretować wąsko. Stan psychiczny musi charakteryzować się pewnym stopniem powagi, aby mógł być uznany za „realne” zaburzenie psychiczne dla celów art.</w:t>
      </w:r>
      <w:r w:rsidR="001B3877">
        <w:t xml:space="preserve"> </w:t>
      </w:r>
      <w:r w:rsidR="00DF10C4">
        <w:t>5 ust.</w:t>
      </w:r>
      <w:r w:rsidR="001B3877">
        <w:t xml:space="preserve"> </w:t>
      </w:r>
      <w:r w:rsidR="00DF10C4">
        <w:t>1</w:t>
      </w:r>
      <w:r w:rsidR="009E203D">
        <w:t xml:space="preserve"> lit.</w:t>
      </w:r>
      <w:r w:rsidR="001B3877">
        <w:t xml:space="preserve"> </w:t>
      </w:r>
      <w:r w:rsidR="009E203D">
        <w:t>e</w:t>
      </w:r>
      <w:r w:rsidR="00DF10C4">
        <w:t xml:space="preserve">, ponieważ musi być na tyle poważny, aby wymagał leczenia w instytucji dla pacjentów zdrowia psychicznego (zob. </w:t>
      </w:r>
      <w:r w:rsidR="00DF10C4">
        <w:rPr>
          <w:i/>
          <w:iCs/>
        </w:rPr>
        <w:t>Rooman</w:t>
      </w:r>
      <w:r w:rsidR="00DF10C4">
        <w:t xml:space="preserve">, </w:t>
      </w:r>
      <w:r w:rsidR="00DF10C4">
        <w:rPr>
          <w:i/>
          <w:iCs/>
        </w:rPr>
        <w:t>op. cit</w:t>
      </w:r>
      <w:r w:rsidR="00DF10C4">
        <w:t>., §</w:t>
      </w:r>
      <w:r w:rsidR="001D25C9">
        <w:t> </w:t>
      </w:r>
      <w:r w:rsidR="00DF10C4">
        <w:t>129).</w:t>
      </w:r>
    </w:p>
    <w:p w14:paraId="00A403AB" w14:textId="1D74C02C" w:rsidR="00DF10C4" w:rsidRPr="00297944" w:rsidRDefault="00D2073A" w:rsidP="00297944">
      <w:pPr>
        <w:pStyle w:val="JuPara"/>
      </w:pPr>
      <w:r>
        <w:rPr>
          <w:noProof/>
        </w:rPr>
        <w:t>57</w:t>
      </w:r>
      <w:r w:rsidR="00DF10C4">
        <w:t>.</w:t>
      </w:r>
      <w:r w:rsidR="001B3877">
        <w:t xml:space="preserve"> </w:t>
      </w:r>
      <w:r w:rsidR="00DF10C4">
        <w:t>Pozbawienia wolności osoby uznanej za</w:t>
      </w:r>
      <w:r w:rsidR="003C3537">
        <w:t xml:space="preserve"> chorą umysłowo</w:t>
      </w:r>
      <w:r w:rsidR="00DF10C4">
        <w:t xml:space="preserve"> nie można uznać za zgodne z art.</w:t>
      </w:r>
      <w:r w:rsidR="001B3877">
        <w:t xml:space="preserve"> </w:t>
      </w:r>
      <w:r w:rsidR="00DF10C4">
        <w:t>5 ust.</w:t>
      </w:r>
      <w:r w:rsidR="001B3877">
        <w:t xml:space="preserve"> </w:t>
      </w:r>
      <w:r w:rsidR="00DF10C4">
        <w:t>1 lit.</w:t>
      </w:r>
      <w:r w:rsidR="001B3877">
        <w:t xml:space="preserve"> </w:t>
      </w:r>
      <w:r w:rsidR="00DF10C4">
        <w:t>e</w:t>
      </w:r>
      <w:r w:rsidR="00511671">
        <w:t xml:space="preserve"> </w:t>
      </w:r>
      <w:r w:rsidR="00DF10C4">
        <w:t xml:space="preserve">Konwencji, jeśli nastąpiło bez zasięgnięcia </w:t>
      </w:r>
      <w:r w:rsidR="00DF10C4">
        <w:lastRenderedPageBreak/>
        <w:t>opinii biegłego lekarza. Żadne inne podejście nie zapewnia wymaganej ochrony przed arbitralnością</w:t>
      </w:r>
      <w:r w:rsidR="00F74A25">
        <w:t>,</w:t>
      </w:r>
      <w:r w:rsidR="00DF10C4">
        <w:t xml:space="preserve"> </w:t>
      </w:r>
      <w:r w:rsidR="003C3537">
        <w:t>zawartej w</w:t>
      </w:r>
      <w:r w:rsidR="00DF10C4">
        <w:t xml:space="preserve"> art.</w:t>
      </w:r>
      <w:r w:rsidR="001B3877">
        <w:t xml:space="preserve"> </w:t>
      </w:r>
      <w:r w:rsidR="00DF10C4">
        <w:t xml:space="preserve">5 Konwencji (zob. </w:t>
      </w:r>
      <w:bookmarkStart w:id="7" w:name="_Hlk85037605"/>
      <w:r w:rsidR="00DF10C4">
        <w:rPr>
          <w:i/>
          <w:iCs/>
        </w:rPr>
        <w:t>Kadusic przeciwko Szwajcarii</w:t>
      </w:r>
      <w:bookmarkEnd w:id="7"/>
      <w:r w:rsidR="00DF10C4">
        <w:t>, skarga nr 43977/13, § 43, 9</w:t>
      </w:r>
      <w:r w:rsidR="001B3877">
        <w:t xml:space="preserve"> </w:t>
      </w:r>
      <w:r w:rsidR="00DF10C4">
        <w:t>stycznia 2018</w:t>
      </w:r>
      <w:r w:rsidR="001B3877">
        <w:t xml:space="preserve"> </w:t>
      </w:r>
      <w:r w:rsidR="00DF10C4">
        <w:t>r., z</w:t>
      </w:r>
      <w:r w:rsidR="001D25C9">
        <w:t> </w:t>
      </w:r>
      <w:r w:rsidR="00DF10C4">
        <w:t>dalszymi odniesieniami).</w:t>
      </w:r>
    </w:p>
    <w:p w14:paraId="2F2D5DDD" w14:textId="2391F673" w:rsidR="00DF10C4" w:rsidRPr="00297944" w:rsidRDefault="00D2073A" w:rsidP="00297944">
      <w:pPr>
        <w:pStyle w:val="JuPara"/>
      </w:pPr>
      <w:r>
        <w:rPr>
          <w:noProof/>
        </w:rPr>
        <w:t>58</w:t>
      </w:r>
      <w:r w:rsidR="00DF10C4">
        <w:t>.</w:t>
      </w:r>
      <w:r w:rsidR="001B3877">
        <w:t xml:space="preserve"> </w:t>
      </w:r>
      <w:r w:rsidR="00DF10C4">
        <w:t xml:space="preserve">Ponadto obiektywizm opinii lekarskiej wymaga, aby była ona wystarczająco aktualna. Kwestia, czy </w:t>
      </w:r>
      <w:r>
        <w:t>opinia</w:t>
      </w:r>
      <w:r w:rsidR="00DF10C4">
        <w:t xml:space="preserve"> </w:t>
      </w:r>
      <w:r>
        <w:t>lekarska</w:t>
      </w:r>
      <w:r w:rsidR="00DF10C4">
        <w:t xml:space="preserve"> była wystarczająco aktualna, zależy od konkretnych okoliczności rozpatrywanej sprawy (zob.</w:t>
      </w:r>
      <w:r w:rsidR="001D25C9">
        <w:t> </w:t>
      </w:r>
      <w:r w:rsidR="00DF10C4">
        <w:rPr>
          <w:i/>
          <w:iCs/>
        </w:rPr>
        <w:t>Ilnseher, op. cit.</w:t>
      </w:r>
      <w:r w:rsidR="00DF10C4">
        <w:t>, § 131, z dalszymi odniesieniami).</w:t>
      </w:r>
    </w:p>
    <w:p w14:paraId="0299D2F7" w14:textId="3C6C11A4" w:rsidR="00297944" w:rsidRPr="00297944" w:rsidRDefault="00D2073A" w:rsidP="00297944">
      <w:pPr>
        <w:pStyle w:val="JuPara"/>
      </w:pPr>
      <w:r>
        <w:rPr>
          <w:noProof/>
        </w:rPr>
        <w:t>59</w:t>
      </w:r>
      <w:r w:rsidR="00DF10C4">
        <w:t>.</w:t>
      </w:r>
      <w:r w:rsidR="001B3877">
        <w:t xml:space="preserve"> </w:t>
      </w:r>
      <w:r w:rsidR="00DF10C4">
        <w:t xml:space="preserve">Właściwym momentem, w którym należy w sposób wiarygodny ustalić, że dana osoba jest </w:t>
      </w:r>
      <w:r w:rsidR="003C3537">
        <w:t>chora umysłowo</w:t>
      </w:r>
      <w:r w:rsidR="00DF10C4">
        <w:t xml:space="preserve"> dla celów art.</w:t>
      </w:r>
      <w:r w:rsidR="001B3877">
        <w:t xml:space="preserve"> </w:t>
      </w:r>
      <w:r w:rsidR="00DF10C4">
        <w:t>5 ust.</w:t>
      </w:r>
      <w:r w:rsidR="001B3877">
        <w:t xml:space="preserve"> </w:t>
      </w:r>
      <w:r w:rsidR="00DF10C4">
        <w:t>1 lit.</w:t>
      </w:r>
      <w:r w:rsidR="001B3877">
        <w:t xml:space="preserve"> </w:t>
      </w:r>
      <w:r w:rsidR="00DF10C4">
        <w:t xml:space="preserve">e, jest dzień przyjęcia środka pozbawiającego ją wolności w związku z tym stanem. Jednakże, jak wynika z trzeciego minimalnego warunku, aby zastosowanie środka izolacyjnego wobec osoby </w:t>
      </w:r>
      <w:r w:rsidR="003C3537">
        <w:t xml:space="preserve">chorej umysłowo </w:t>
      </w:r>
      <w:r w:rsidR="00DF10C4">
        <w:t xml:space="preserve">było uzasadnione – mianowicie </w:t>
      </w:r>
      <w:r w:rsidR="00C36940">
        <w:t xml:space="preserve">by </w:t>
      </w:r>
      <w:r w:rsidR="003C3537">
        <w:t xml:space="preserve">legalność </w:t>
      </w:r>
      <w:r w:rsidR="00C36940" w:rsidRPr="00C36940">
        <w:t xml:space="preserve">trwającego hospitalizowania </w:t>
      </w:r>
      <w:r w:rsidR="00C36940">
        <w:t xml:space="preserve">była </w:t>
      </w:r>
      <w:r w:rsidR="00C36940" w:rsidRPr="00C36940">
        <w:t>uzależniona od</w:t>
      </w:r>
      <w:r w:rsidR="001D25C9">
        <w:t> </w:t>
      </w:r>
      <w:r w:rsidR="00C36940" w:rsidRPr="00C36940">
        <w:t xml:space="preserve">utrzymywania się takiego zaburzenia </w:t>
      </w:r>
      <w:r w:rsidR="00DF10C4">
        <w:t>– należy wziąć pod uwagę ewentualne zmiany w stanie psychicznym osoby pozbawionej wolności po wydaniu postanowienia o zastosowaniu środka izolacyjnego (</w:t>
      </w:r>
      <w:r w:rsidR="00DF10C4">
        <w:rPr>
          <w:i/>
          <w:iCs/>
        </w:rPr>
        <w:t>ibid</w:t>
      </w:r>
      <w:r w:rsidR="00DF10C4">
        <w:t>., § 134).</w:t>
      </w:r>
    </w:p>
    <w:p w14:paraId="36072161" w14:textId="78702DCC" w:rsidR="00DF10C4" w:rsidRPr="00297944" w:rsidRDefault="00DF10C4" w:rsidP="00297944">
      <w:pPr>
        <w:pStyle w:val="JuHa0"/>
      </w:pPr>
      <w:r>
        <w:t>Zastosowanie powyższych zasad w niniejszej sprawie</w:t>
      </w:r>
    </w:p>
    <w:p w14:paraId="4A9865EC" w14:textId="2CCE5C32" w:rsidR="00DF10C4" w:rsidRPr="00297944" w:rsidRDefault="00D2073A" w:rsidP="00297944">
      <w:pPr>
        <w:pStyle w:val="JuPara"/>
        <w:rPr>
          <w:rFonts w:cs="Times New Roman"/>
        </w:rPr>
      </w:pPr>
      <w:r>
        <w:rPr>
          <w:rFonts w:cs="Times New Roman"/>
          <w:noProof/>
        </w:rPr>
        <w:t>60</w:t>
      </w:r>
      <w:r w:rsidR="00DF10C4">
        <w:t>.</w:t>
      </w:r>
      <w:r w:rsidR="001B3877">
        <w:t xml:space="preserve"> </w:t>
      </w:r>
      <w:r w:rsidR="00DF10C4">
        <w:t>Przechodząc na grunt okoliczności niniejszej sprawy, Trybunał w</w:t>
      </w:r>
      <w:r w:rsidR="001D25C9">
        <w:t> </w:t>
      </w:r>
      <w:r w:rsidR="00DF10C4">
        <w:t>pierwszej kolejności zbada, czy w sposób wiarygodny wykazano, że</w:t>
      </w:r>
      <w:r w:rsidR="001D25C9">
        <w:t> </w:t>
      </w:r>
      <w:r w:rsidR="00DF10C4">
        <w:t>skarżący był</w:t>
      </w:r>
      <w:r w:rsidR="00C36940">
        <w:t xml:space="preserve"> osobą chorą umysłowo</w:t>
      </w:r>
      <w:r w:rsidR="00DF10C4">
        <w:t>, innymi słowy, że jego zaburzenia psychiczne były takiego rodzaju lub o takim stopniu, który uzasadnia</w:t>
      </w:r>
      <w:r w:rsidR="00C36940">
        <w:t>ł</w:t>
      </w:r>
      <w:r w:rsidR="00DF10C4">
        <w:t xml:space="preserve"> przymusowe odosobnienie (zob. </w:t>
      </w:r>
      <w:bookmarkStart w:id="8" w:name="_Hlk85037622"/>
      <w:r w:rsidR="00DF10C4">
        <w:rPr>
          <w:i/>
          <w:iCs/>
          <w:color w:val="000000"/>
        </w:rPr>
        <w:t>Petschulies przeciwko Niemcom</w:t>
      </w:r>
      <w:r w:rsidR="00DF10C4">
        <w:t>, skarga nr</w:t>
      </w:r>
      <w:r w:rsidR="001D25C9">
        <w:t> </w:t>
      </w:r>
      <w:r w:rsidR="00DF10C4">
        <w:t>6281/13, § 67, 2</w:t>
      </w:r>
      <w:r w:rsidR="001B3877">
        <w:t xml:space="preserve"> </w:t>
      </w:r>
      <w:r w:rsidR="00DF10C4">
        <w:t>czerwca 2016</w:t>
      </w:r>
      <w:r w:rsidR="001B3877">
        <w:t xml:space="preserve"> </w:t>
      </w:r>
      <w:r w:rsidR="00DF10C4">
        <w:t>r.).</w:t>
      </w:r>
    </w:p>
    <w:bookmarkEnd w:id="8"/>
    <w:p w14:paraId="538AE6D9" w14:textId="17256671" w:rsidR="00DF10C4" w:rsidRPr="00297944" w:rsidRDefault="00D2073A" w:rsidP="00297944">
      <w:pPr>
        <w:pStyle w:val="JuPara"/>
      </w:pPr>
      <w:r>
        <w:rPr>
          <w:noProof/>
        </w:rPr>
        <w:t>61</w:t>
      </w:r>
      <w:r w:rsidR="00DF10C4">
        <w:t>.</w:t>
      </w:r>
      <w:r w:rsidR="001B3877">
        <w:t xml:space="preserve"> </w:t>
      </w:r>
      <w:r w:rsidR="00DF10C4">
        <w:t>Trybunał zauważ</w:t>
      </w:r>
      <w:r w:rsidR="00C36940">
        <w:t>a</w:t>
      </w:r>
      <w:r w:rsidR="00DF10C4">
        <w:t>, że umieszczenie skarżącego w szpitalu psychiatrycznym zostało zarządzone w toku postępowania karnego, w</w:t>
      </w:r>
      <w:r w:rsidR="001D25C9">
        <w:t> </w:t>
      </w:r>
      <w:r w:rsidR="00DF10C4">
        <w:t>którym sądy krajowe ustaliły, że popełnił on przestępstwo polegające na uszkodzeniu ciała. Uznano, że skarżący nie podlega odpowiedzialności karnej ze względu na swój stan psychiczny</w:t>
      </w:r>
      <w:r w:rsidR="00C36940">
        <w:t>,</w:t>
      </w:r>
      <w:r w:rsidR="00DF10C4">
        <w:t xml:space="preserve"> i zamiast tego postanowiono o</w:t>
      </w:r>
      <w:r w:rsidR="001D25C9">
        <w:t> </w:t>
      </w:r>
      <w:r w:rsidR="00DF10C4">
        <w:t>umieszczeniu go w zamkniętym zakładzie psychiatrycznym (zob. paragrafy 17 i 19 powyżej).</w:t>
      </w:r>
    </w:p>
    <w:p w14:paraId="12C7040D" w14:textId="7B0D0CBD" w:rsidR="00DF10C4" w:rsidRPr="00297944" w:rsidRDefault="00D2073A" w:rsidP="00297944">
      <w:pPr>
        <w:pStyle w:val="JuPara"/>
        <w:rPr>
          <w:color w:val="000000"/>
        </w:rPr>
      </w:pPr>
      <w:r>
        <w:rPr>
          <w:noProof/>
        </w:rPr>
        <w:t>62</w:t>
      </w:r>
      <w:r w:rsidR="00DF10C4">
        <w:t>.</w:t>
      </w:r>
      <w:r w:rsidR="001B3877">
        <w:t xml:space="preserve"> </w:t>
      </w:r>
      <w:r w:rsidR="00DF10C4">
        <w:t>W związku z tym Trybunał zauważa, że skarżący został poddany badaniom psychiatrycznym w dniach 17</w:t>
      </w:r>
      <w:r w:rsidR="001B3877">
        <w:t xml:space="preserve"> </w:t>
      </w:r>
      <w:r w:rsidR="00DF10C4">
        <w:t>stycznia i 3</w:t>
      </w:r>
      <w:r w:rsidR="001B3877">
        <w:t xml:space="preserve"> </w:t>
      </w:r>
      <w:r w:rsidR="00DF10C4">
        <w:t>lutego 2014</w:t>
      </w:r>
      <w:r w:rsidR="001B3877">
        <w:t xml:space="preserve"> </w:t>
      </w:r>
      <w:r w:rsidR="00DF10C4">
        <w:t>r., w wyniku których biegli psychiatrzy stwierdzili, że cierpi on na schizofrenię paranoidalną i powinien zostać umieszczony w zamkniętym zakładzie psychiatrycznym (zob. paragrafy 8 i 9 powyżej).</w:t>
      </w:r>
      <w:r w:rsidR="00DF10C4">
        <w:rPr>
          <w:color w:val="000000"/>
        </w:rPr>
        <w:t xml:space="preserve"> Postanowienie o</w:t>
      </w:r>
      <w:r w:rsidR="001D25C9">
        <w:rPr>
          <w:color w:val="000000"/>
        </w:rPr>
        <w:t> </w:t>
      </w:r>
      <w:r w:rsidR="00DF10C4">
        <w:rPr>
          <w:color w:val="000000"/>
        </w:rPr>
        <w:t>zastosowaniu środka izolacyjnego wobec skarżącego zostało wydano przez sądy krajowe w dniu 19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>stycznia 2015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>r. i zostało utrzymane w mocy w dniu 11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>maja 2015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>r. (zob. paragrafy 17 i 19 powyżej). Skarżący został przyjęty do Szpitala w dniu 4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>sierpnia 2015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>r. (zob. paragraf 21 powyżej).</w:t>
      </w:r>
    </w:p>
    <w:p w14:paraId="77F32BCE" w14:textId="55963610" w:rsidR="00DF10C4" w:rsidRPr="00297944" w:rsidRDefault="00D2073A" w:rsidP="00297944">
      <w:pPr>
        <w:pStyle w:val="JuPara"/>
        <w:rPr>
          <w:rFonts w:cs="Times New Roman"/>
          <w:color w:val="000000"/>
        </w:rPr>
      </w:pPr>
      <w:r>
        <w:rPr>
          <w:rFonts w:cs="Times New Roman"/>
          <w:noProof/>
          <w:color w:val="000000"/>
        </w:rPr>
        <w:t>63</w:t>
      </w:r>
      <w:r w:rsidR="00DF10C4">
        <w:t>.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>Trybunał powtarza, że zgodnie z kryteriami przyjętymi w wyroku w</w:t>
      </w:r>
      <w:r w:rsidR="001D25C9">
        <w:rPr>
          <w:color w:val="000000"/>
        </w:rPr>
        <w:t> </w:t>
      </w:r>
      <w:r w:rsidR="00DF10C4">
        <w:rPr>
          <w:color w:val="000000"/>
        </w:rPr>
        <w:t xml:space="preserve">sprawie </w:t>
      </w:r>
      <w:bookmarkStart w:id="9" w:name="_Hlk85037649"/>
      <w:r w:rsidR="00DF10C4">
        <w:rPr>
          <w:i/>
          <w:iCs/>
          <w:color w:val="000000"/>
        </w:rPr>
        <w:t>Winterwerp</w:t>
      </w:r>
      <w:r w:rsidR="00DF10C4">
        <w:rPr>
          <w:color w:val="000000"/>
        </w:rPr>
        <w:t xml:space="preserve"> (zob. </w:t>
      </w:r>
      <w:r w:rsidR="00DF10C4">
        <w:rPr>
          <w:i/>
        </w:rPr>
        <w:t xml:space="preserve">Winterwerp przeciwko </w:t>
      </w:r>
      <w:r w:rsidR="00DF10C4">
        <w:rPr>
          <w:i/>
          <w:iCs/>
        </w:rPr>
        <w:t>Królestwu Niderlandów</w:t>
      </w:r>
      <w:r w:rsidR="00DF10C4">
        <w:t>, 24</w:t>
      </w:r>
      <w:r w:rsidR="001B3877">
        <w:t xml:space="preserve"> </w:t>
      </w:r>
      <w:r w:rsidR="00DF10C4">
        <w:t>października 1979</w:t>
      </w:r>
      <w:r w:rsidR="001B3877">
        <w:t xml:space="preserve"> </w:t>
      </w:r>
      <w:r w:rsidR="00DF10C4">
        <w:t>r., Seria A nr 33)</w:t>
      </w:r>
      <w:r w:rsidR="00DF10C4">
        <w:rPr>
          <w:color w:val="000000"/>
        </w:rPr>
        <w:t xml:space="preserve">, istnienie zaburzenia psychicznego </w:t>
      </w:r>
      <w:r w:rsidR="00DF10C4">
        <w:rPr>
          <w:color w:val="000000"/>
        </w:rPr>
        <w:lastRenderedPageBreak/>
        <w:t>uzasadniającego przymusową izolację musi być wiarygodnie wykazane w</w:t>
      </w:r>
      <w:r w:rsidR="001D25C9">
        <w:rPr>
          <w:color w:val="000000"/>
        </w:rPr>
        <w:t> </w:t>
      </w:r>
      <w:r w:rsidR="00DF10C4">
        <w:rPr>
          <w:color w:val="000000"/>
        </w:rPr>
        <w:t>dniu zastosowania tego środka i przez cały okres jego obowiązywania, zwłaszcza biorąc pod uwagę wyraźną tendencję zaburzeń psychicznych do</w:t>
      </w:r>
      <w:r w:rsidR="001D25C9">
        <w:rPr>
          <w:color w:val="000000"/>
        </w:rPr>
        <w:t> </w:t>
      </w:r>
      <w:r w:rsidR="00C36940">
        <w:rPr>
          <w:color w:val="000000"/>
        </w:rPr>
        <w:t>rozwoju</w:t>
      </w:r>
      <w:r w:rsidR="00DF10C4">
        <w:rPr>
          <w:color w:val="000000"/>
        </w:rPr>
        <w:t xml:space="preserve"> wraz z upływem czasu (zob. także </w:t>
      </w:r>
      <w:r w:rsidR="00DF10C4">
        <w:rPr>
          <w:i/>
        </w:rPr>
        <w:t>Herz przeciwko Niemcom</w:t>
      </w:r>
      <w:r w:rsidR="00DF10C4">
        <w:t>, skarga nr 44672/98, § 50, 12</w:t>
      </w:r>
      <w:r w:rsidR="001B3877">
        <w:t xml:space="preserve"> </w:t>
      </w:r>
      <w:r w:rsidR="00DF10C4">
        <w:t>czerwca 2003</w:t>
      </w:r>
      <w:r w:rsidR="001B3877">
        <w:t xml:space="preserve"> </w:t>
      </w:r>
      <w:r w:rsidR="00DF10C4">
        <w:t xml:space="preserve">r.; </w:t>
      </w:r>
      <w:r w:rsidR="00DF10C4">
        <w:rPr>
          <w:i/>
          <w:iCs/>
          <w:color w:val="000000"/>
        </w:rPr>
        <w:t>X przeciwko Finlandii</w:t>
      </w:r>
      <w:r w:rsidR="00DF10C4">
        <w:t xml:space="preserve">, skarga nr </w:t>
      </w:r>
      <w:r w:rsidR="001B3877">
        <w:rPr>
          <w:color w:val="000000"/>
        </w:rPr>
        <w:t>34806/04, §§ 169-70, ETPC</w:t>
      </w:r>
      <w:r w:rsidR="00DF10C4">
        <w:rPr>
          <w:color w:val="000000"/>
        </w:rPr>
        <w:t xml:space="preserve"> 2012; </w:t>
      </w:r>
      <w:r w:rsidR="00DF10C4">
        <w:rPr>
          <w:i/>
          <w:iCs/>
          <w:color w:val="000000"/>
        </w:rPr>
        <w:t>H.W</w:t>
      </w:r>
      <w:r w:rsidR="00DF10C4">
        <w:rPr>
          <w:color w:val="000000"/>
        </w:rPr>
        <w:t xml:space="preserve">. </w:t>
      </w:r>
      <w:r w:rsidR="00DF10C4">
        <w:rPr>
          <w:i/>
          <w:iCs/>
          <w:color w:val="000000"/>
        </w:rPr>
        <w:t>przeciwko Niemcom</w:t>
      </w:r>
      <w:r w:rsidR="00DF10C4">
        <w:rPr>
          <w:color w:val="000000"/>
        </w:rPr>
        <w:t>, skarga nr</w:t>
      </w:r>
      <w:r w:rsidR="001D25C9">
        <w:rPr>
          <w:color w:val="000000"/>
        </w:rPr>
        <w:t> </w:t>
      </w:r>
      <w:r w:rsidR="00DF10C4">
        <w:rPr>
          <w:color w:val="000000"/>
        </w:rPr>
        <w:t>17167/11, § 107, 19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>września 2013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 xml:space="preserve">r.; </w:t>
      </w:r>
      <w:r w:rsidR="00DF10C4">
        <w:rPr>
          <w:i/>
          <w:iCs/>
          <w:color w:val="000000"/>
        </w:rPr>
        <w:t>Ruiz Rivera</w:t>
      </w:r>
      <w:r w:rsidR="00DF10C4">
        <w:rPr>
          <w:color w:val="000000"/>
        </w:rPr>
        <w:t xml:space="preserve"> </w:t>
      </w:r>
      <w:r w:rsidR="00DF10C4">
        <w:rPr>
          <w:i/>
          <w:iCs/>
          <w:color w:val="000000"/>
        </w:rPr>
        <w:t>przeciwko Szwajcarii</w:t>
      </w:r>
      <w:r w:rsidR="00DF10C4">
        <w:rPr>
          <w:color w:val="000000"/>
        </w:rPr>
        <w:t>, skarga nr 8300/06, § 60, 18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>lutego 2014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>r.; oraz</w:t>
      </w:r>
      <w:r w:rsidR="00DF10C4">
        <w:rPr>
          <w:i/>
          <w:iCs/>
          <w:color w:val="000000"/>
        </w:rPr>
        <w:t xml:space="preserve"> C.W</w:t>
      </w:r>
      <w:r w:rsidR="00DF10C4">
        <w:rPr>
          <w:color w:val="000000"/>
        </w:rPr>
        <w:t xml:space="preserve">. </w:t>
      </w:r>
      <w:r w:rsidR="00DF10C4">
        <w:rPr>
          <w:i/>
          <w:iCs/>
          <w:color w:val="000000"/>
        </w:rPr>
        <w:t>przeciwko Szwajcarii</w:t>
      </w:r>
      <w:r w:rsidR="00DF10C4">
        <w:rPr>
          <w:color w:val="000000"/>
        </w:rPr>
        <w:t>, skarga nr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>67725/10, §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>38, 23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>września 2014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>r.).</w:t>
      </w:r>
    </w:p>
    <w:p w14:paraId="46E469CF" w14:textId="4C49B12A" w:rsidR="00DF10C4" w:rsidRPr="00297944" w:rsidRDefault="00D2073A" w:rsidP="00297944">
      <w:pPr>
        <w:pStyle w:val="JuPara"/>
      </w:pPr>
      <w:r>
        <w:rPr>
          <w:noProof/>
        </w:rPr>
        <w:t>64</w:t>
      </w:r>
      <w:r w:rsidR="00DF10C4">
        <w:t>.</w:t>
      </w:r>
      <w:r w:rsidR="001B3877">
        <w:t xml:space="preserve"> </w:t>
      </w:r>
      <w:r w:rsidR="00DF10C4">
        <w:t>Trybunał powtarza ponadto, że ocena medyczna musi opierać się na</w:t>
      </w:r>
      <w:r w:rsidR="001D25C9">
        <w:t> </w:t>
      </w:r>
      <w:r w:rsidR="00DF10C4">
        <w:t xml:space="preserve">rzeczywistym stanie zdrowia psychicznego danej osoby, a nie wyłącznie na wydarzeniach z przeszłości. Opinia lekarska nie może być postrzegana jako wystarczająca dla uzasadnienia pozbawienia wolności, jeśli upłynął znaczny okres (zob. </w:t>
      </w:r>
      <w:r w:rsidR="00DF10C4">
        <w:rPr>
          <w:i/>
          <w:iCs/>
        </w:rPr>
        <w:t>Varbanov przeciwko Bułgarii</w:t>
      </w:r>
      <w:r w:rsidR="00DF10C4">
        <w:t>, skarga 31365/96, § 47, ETPC 2000</w:t>
      </w:r>
      <w:r w:rsidR="00DF10C4">
        <w:noBreakHyphen/>
        <w:t xml:space="preserve">X; </w:t>
      </w:r>
      <w:r w:rsidR="00DF10C4">
        <w:rPr>
          <w:i/>
        </w:rPr>
        <w:t>Witek przeciwko Polsce</w:t>
      </w:r>
      <w:r w:rsidR="00DF10C4">
        <w:t>, skarga nr 13453/07, § 41, 21</w:t>
      </w:r>
      <w:r w:rsidR="001B3877">
        <w:t xml:space="preserve"> </w:t>
      </w:r>
      <w:r w:rsidR="00DF10C4">
        <w:t>grudnia 2010</w:t>
      </w:r>
      <w:r w:rsidR="001B3877">
        <w:t xml:space="preserve"> </w:t>
      </w:r>
      <w:r w:rsidR="00DF10C4">
        <w:t xml:space="preserve">r.; oraz </w:t>
      </w:r>
      <w:r w:rsidR="00DF10C4">
        <w:rPr>
          <w:i/>
        </w:rPr>
        <w:t>D.C. przeciwko Belgii</w:t>
      </w:r>
      <w:r w:rsidR="00DF10C4">
        <w:t>, skarga nr 82087/17, §§ 86, 103-104, 30</w:t>
      </w:r>
      <w:r w:rsidR="001D25C9">
        <w:t> </w:t>
      </w:r>
      <w:r w:rsidR="00DF10C4">
        <w:t>marca 2021</w:t>
      </w:r>
      <w:r w:rsidR="001B3877">
        <w:t xml:space="preserve"> </w:t>
      </w:r>
      <w:r w:rsidR="00DF10C4">
        <w:t>r.).</w:t>
      </w:r>
      <w:bookmarkEnd w:id="9"/>
      <w:r w:rsidR="00DF10C4">
        <w:t xml:space="preserve"> Jednocześnie, jak wynika z utrwalonego orzecznictwa Trybunału, na pytanie, czy wiedza medyczna była wystarczająco aktualna, Trybunał nie odpowiada w sposób mechaniczny, lecz w zależności od</w:t>
      </w:r>
      <w:r w:rsidR="001D25C9">
        <w:t> </w:t>
      </w:r>
      <w:r w:rsidR="00DF10C4">
        <w:t>konkretnych okoliczności rozpatrywanej sprawy. W związku z tym Trybunał zauważa również, że zgodnie z odpowiednimi przepisami Kodeksu karnego wykonawczego istnieje obowiązek przeprowadzania co sześć miesięcy okresowej kontroli potrzeby kontynuowania przymusowego leczenia danej osoby w zakładzie zamkniętym (zob. paragrafy 36 i 37 powyżej).</w:t>
      </w:r>
    </w:p>
    <w:p w14:paraId="43BBFA4C" w14:textId="61EB0837" w:rsidR="00DF10C4" w:rsidRPr="00297944" w:rsidRDefault="00DF10C4" w:rsidP="00297944">
      <w:pPr>
        <w:pStyle w:val="JuHi"/>
      </w:pPr>
      <w:r>
        <w:t>Izolacja skarżącego w okresie od 4 sierpnia 2015 r. do 12 kwietnia 2016 r</w:t>
      </w:r>
      <w:r w:rsidR="00437347">
        <w:t>.</w:t>
      </w:r>
    </w:p>
    <w:p w14:paraId="0CAF255F" w14:textId="3ABD862C" w:rsidR="00DF10C4" w:rsidRPr="00297944" w:rsidRDefault="00D2073A" w:rsidP="00297944">
      <w:pPr>
        <w:pStyle w:val="JuPara"/>
      </w:pPr>
      <w:r>
        <w:rPr>
          <w:rFonts w:eastAsiaTheme="majorEastAsia"/>
          <w:noProof/>
        </w:rPr>
        <w:t>65</w:t>
      </w:r>
      <w:r w:rsidR="00DF10C4">
        <w:t>.</w:t>
      </w:r>
      <w:r w:rsidR="001B3877">
        <w:t xml:space="preserve"> </w:t>
      </w:r>
      <w:r w:rsidR="00DF10C4">
        <w:t>W niniejszej sprawie po przeprowadzeniu badania psychiatrycznego w dniu 3</w:t>
      </w:r>
      <w:r w:rsidR="001B3877">
        <w:t xml:space="preserve"> </w:t>
      </w:r>
      <w:r w:rsidR="00DF10C4">
        <w:t>lutego 2014</w:t>
      </w:r>
      <w:r w:rsidR="001B3877">
        <w:t xml:space="preserve"> </w:t>
      </w:r>
      <w:r w:rsidR="00DF10C4">
        <w:t xml:space="preserve">r. do czasu wydania orzeczenia kończącego sprawę, sądy krajowe nie </w:t>
      </w:r>
      <w:r w:rsidR="00AB08E5">
        <w:t xml:space="preserve">zleciły innych badań lekarskich </w:t>
      </w:r>
      <w:r w:rsidR="00C6066B">
        <w:t>–</w:t>
      </w:r>
      <w:r w:rsidR="00AB08E5">
        <w:t xml:space="preserve"> po</w:t>
      </w:r>
      <w:bookmarkStart w:id="10" w:name="_GoBack"/>
      <w:bookmarkEnd w:id="10"/>
      <w:r w:rsidR="00AB08E5">
        <w:t>mimo</w:t>
      </w:r>
      <w:r w:rsidR="00DF10C4">
        <w:t xml:space="preserve"> stanowiska skarżącego, zgodnie z którym w następstwie jego dobrowolnego leczenia w</w:t>
      </w:r>
      <w:r w:rsidR="001D25C9">
        <w:t> </w:t>
      </w:r>
      <w:r w:rsidR="00DF10C4">
        <w:t>Hostelu – ośrodku terapeutycznym dla młodzieży cierpiącej na zaburzenia psychiczne – jego umieszczenie w zakładzie zamkniętym nie było już konieczne. Na poparcie swojego stanowiska skarżący przedstawił zaświadczenia z Hostelu z lipca i sierpnia 2014</w:t>
      </w:r>
      <w:r w:rsidR="001B3877">
        <w:t xml:space="preserve"> </w:t>
      </w:r>
      <w:r w:rsidR="00DF10C4">
        <w:t>r., potwierdzające, że jego stan uległ poprawie (zob. paragrafy 14 i 15 powyżej). Niemniej sądy krajowe nie uwzględniły tych dowodów i oparły swoje rozstrzygnięcia na opiniach medycznych ze stycznia i lutego 2014</w:t>
      </w:r>
      <w:r w:rsidR="001B3877">
        <w:t xml:space="preserve"> </w:t>
      </w:r>
      <w:r w:rsidR="00DF10C4">
        <w:t>r. W konsekwencji skarżący został przyjęty do Szpitala w dniu 4 sierpnia 2015</w:t>
      </w:r>
      <w:r w:rsidR="001B3877">
        <w:t xml:space="preserve"> </w:t>
      </w:r>
      <w:r w:rsidR="00DF10C4">
        <w:t>r. w oparciu o orzeczenia lekarskie wydane rok i sześć miesięcy wcześniej, bez jakiejkolwiek próby wyjaśnienia sprzeczności pomiędzy opiniami biegłych a zaświadczeniami z</w:t>
      </w:r>
      <w:r w:rsidR="001D25C9">
        <w:t> </w:t>
      </w:r>
      <w:r w:rsidR="00DF10C4">
        <w:t>Hostelu. Trybunał stwierdza w okolicznościach niniejszej sprawy, że</w:t>
      </w:r>
      <w:r w:rsidR="001D25C9">
        <w:t> </w:t>
      </w:r>
      <w:r w:rsidR="00DF10C4">
        <w:t xml:space="preserve">opóźnienie to było nadmierne (por. </w:t>
      </w:r>
      <w:bookmarkStart w:id="11" w:name="_Hlk85037723"/>
      <w:r w:rsidR="00DF10C4">
        <w:rPr>
          <w:i/>
        </w:rPr>
        <w:t>Raudevs przeciwko Łotwie</w:t>
      </w:r>
      <w:bookmarkEnd w:id="11"/>
      <w:r w:rsidR="00DF10C4">
        <w:t>, skarga nr</w:t>
      </w:r>
      <w:r w:rsidR="001D25C9">
        <w:t> </w:t>
      </w:r>
      <w:r w:rsidR="00DF10C4">
        <w:t>24086/03, § 62, 17 grudnia 2013</w:t>
      </w:r>
      <w:r w:rsidR="001B3877">
        <w:t xml:space="preserve"> </w:t>
      </w:r>
      <w:r w:rsidR="00DF10C4">
        <w:t xml:space="preserve">r.) oraz że w chwili zastosowania środka </w:t>
      </w:r>
      <w:r w:rsidR="00DF10C4">
        <w:lastRenderedPageBreak/>
        <w:t>izolacyjnego wobec skarżącego w dniu 4</w:t>
      </w:r>
      <w:r w:rsidR="001B3877">
        <w:t xml:space="preserve"> </w:t>
      </w:r>
      <w:r w:rsidR="00DF10C4">
        <w:t>sierpnia 2015</w:t>
      </w:r>
      <w:r w:rsidR="001B3877">
        <w:t xml:space="preserve"> </w:t>
      </w:r>
      <w:r w:rsidR="00DF10C4">
        <w:t xml:space="preserve">r. </w:t>
      </w:r>
      <w:r w:rsidR="00DF10C4">
        <w:rPr>
          <w:color w:val="000000"/>
        </w:rPr>
        <w:t xml:space="preserve">nie zostało „wiarygodnie wykazane”, że jego stan psychiczny wymagał jego </w:t>
      </w:r>
      <w:r w:rsidR="00DF10C4">
        <w:t xml:space="preserve">izolacji. Jednakże, jak wyjaśniono poniżej (zob. paragraf 67 poniżej), Trybunał jest przekonany, że w dniu 12 kwietnia 2016 r., w czasie trwania postępowania </w:t>
      </w:r>
      <w:r w:rsidR="00ED61B9">
        <w:t>kontrolnego</w:t>
      </w:r>
      <w:r w:rsidR="00DF10C4">
        <w:t>,</w:t>
      </w:r>
      <w:r w:rsidR="00287E1F">
        <w:t xml:space="preserve"> przed właściwym sądem krajowym</w:t>
      </w:r>
      <w:r w:rsidR="00DF10C4">
        <w:t xml:space="preserve"> ustalono</w:t>
      </w:r>
      <w:r w:rsidR="00287E1F">
        <w:t>,</w:t>
      </w:r>
      <w:r w:rsidR="00DF10C4">
        <w:t xml:space="preserve"> </w:t>
      </w:r>
      <w:r w:rsidR="00287E1F">
        <w:t xml:space="preserve">na podstawie specjalistycznej wiedzy medycznej, </w:t>
      </w:r>
      <w:r w:rsidR="00DF10C4">
        <w:t>jednoznaczne rozpoznanie realnego zaburzenia psychicznego u skarżącego.</w:t>
      </w:r>
    </w:p>
    <w:p w14:paraId="092354F1" w14:textId="2A4F9A23" w:rsidR="00DF10C4" w:rsidRPr="00297944" w:rsidRDefault="00D2073A" w:rsidP="00297944">
      <w:pPr>
        <w:pStyle w:val="JuPara"/>
      </w:pPr>
      <w:r>
        <w:rPr>
          <w:noProof/>
          <w:color w:val="000000"/>
        </w:rPr>
        <w:t>66</w:t>
      </w:r>
      <w:r w:rsidR="00DF10C4">
        <w:t>.</w:t>
      </w:r>
      <w:r w:rsidR="001B3877">
        <w:rPr>
          <w:color w:val="000000"/>
        </w:rPr>
        <w:t xml:space="preserve"> </w:t>
      </w:r>
      <w:r w:rsidR="00DF10C4">
        <w:rPr>
          <w:color w:val="000000"/>
        </w:rPr>
        <w:t xml:space="preserve">Trybunał </w:t>
      </w:r>
      <w:r w:rsidR="00DF10C4">
        <w:t xml:space="preserve">stwierdza </w:t>
      </w:r>
      <w:r w:rsidR="00DF10C4">
        <w:rPr>
          <w:color w:val="000000"/>
        </w:rPr>
        <w:t>zatem</w:t>
      </w:r>
      <w:r w:rsidR="00DF10C4">
        <w:t>, że hospitalizacja skarżącego w okresie od</w:t>
      </w:r>
      <w:r w:rsidR="001D25C9">
        <w:t> </w:t>
      </w:r>
      <w:r w:rsidR="00DF10C4">
        <w:t>4</w:t>
      </w:r>
      <w:r w:rsidR="001D25C9">
        <w:t> </w:t>
      </w:r>
      <w:r w:rsidR="00DF10C4">
        <w:t>sierpnia 2015</w:t>
      </w:r>
      <w:r w:rsidR="001B3877">
        <w:t xml:space="preserve"> </w:t>
      </w:r>
      <w:r w:rsidR="00DF10C4">
        <w:t>r. do 12 kwietnia 2016</w:t>
      </w:r>
      <w:r w:rsidR="001B3877">
        <w:t xml:space="preserve"> </w:t>
      </w:r>
      <w:r w:rsidR="00DF10C4">
        <w:t>r. nie była „zgodna z prawem” w</w:t>
      </w:r>
      <w:r w:rsidR="001D25C9">
        <w:t> </w:t>
      </w:r>
      <w:r w:rsidR="00DF10C4">
        <w:t>rozumieniu art.</w:t>
      </w:r>
      <w:r w:rsidR="001B3877">
        <w:t xml:space="preserve"> </w:t>
      </w:r>
      <w:r w:rsidR="00DF10C4">
        <w:t>5 ust.</w:t>
      </w:r>
      <w:r w:rsidR="001B3877">
        <w:t xml:space="preserve"> </w:t>
      </w:r>
      <w:r w:rsidR="00DF10C4">
        <w:t>1 lit.</w:t>
      </w:r>
      <w:r w:rsidR="001B3877">
        <w:t xml:space="preserve"> </w:t>
      </w:r>
      <w:r w:rsidR="00DF10C4">
        <w:t>e Konwencji oraz że doszło do naruszenia tego postanowienia w odniesieniu do przedmiotowego okresu.</w:t>
      </w:r>
    </w:p>
    <w:p w14:paraId="2B7E6570" w14:textId="7EAE312F" w:rsidR="00DF10C4" w:rsidRPr="00297944" w:rsidRDefault="00DF10C4" w:rsidP="00297944">
      <w:pPr>
        <w:pStyle w:val="JuHi"/>
        <w:rPr>
          <w:color w:val="000000"/>
        </w:rPr>
      </w:pPr>
      <w:r>
        <w:t>Izolacja skarżącego od dnia 12 kwietnia 2016 r.</w:t>
      </w:r>
    </w:p>
    <w:p w14:paraId="54A3608D" w14:textId="02E4B5C5" w:rsidR="00DF10C4" w:rsidRPr="00297944" w:rsidRDefault="00D2073A" w:rsidP="00297944">
      <w:pPr>
        <w:pStyle w:val="JuPara"/>
      </w:pPr>
      <w:r>
        <w:rPr>
          <w:noProof/>
        </w:rPr>
        <w:t>67</w:t>
      </w:r>
      <w:r w:rsidR="00E84296">
        <w:t>.</w:t>
      </w:r>
      <w:r w:rsidR="001B3877">
        <w:t xml:space="preserve"> </w:t>
      </w:r>
      <w:r w:rsidR="00E84296">
        <w:t>Trybunał zauważa, że po umieszczeniu skarżącego w szpitalu psychiatrycznym Sąd Rejonowy w Trzebnicy zlecił jego badanie przez biegłych psychiatrów. Dowód z opinii biegłego potwierdzający konieczność dalszego stosowania środka izolacyjnego wobec skarżącego został przedłożony sądowi w dniu 30</w:t>
      </w:r>
      <w:r w:rsidR="001B3877">
        <w:t xml:space="preserve"> </w:t>
      </w:r>
      <w:r w:rsidR="00E84296">
        <w:t>października 2015</w:t>
      </w:r>
      <w:r w:rsidR="001B3877">
        <w:t xml:space="preserve"> </w:t>
      </w:r>
      <w:r w:rsidR="00E84296">
        <w:t>r. (zob. paragraf 23 powyżej), a następnie ponownie w dniu 4</w:t>
      </w:r>
      <w:r w:rsidR="001B3877">
        <w:t xml:space="preserve"> </w:t>
      </w:r>
      <w:r w:rsidR="00E84296">
        <w:t>lutego 2016</w:t>
      </w:r>
      <w:r w:rsidR="001B3877">
        <w:t xml:space="preserve"> </w:t>
      </w:r>
      <w:r w:rsidR="00E84296">
        <w:t xml:space="preserve">r. (zob. paragraf 25 powyżej). </w:t>
      </w:r>
      <w:bookmarkStart w:id="12" w:name="_Hlk82081084"/>
      <w:r w:rsidR="00E84296">
        <w:t>Następnie, w dniu 12</w:t>
      </w:r>
      <w:r w:rsidR="001B3877">
        <w:t xml:space="preserve"> </w:t>
      </w:r>
      <w:r w:rsidR="00E84296">
        <w:t>kwietnia 2016</w:t>
      </w:r>
      <w:r w:rsidR="001B3877">
        <w:t xml:space="preserve"> </w:t>
      </w:r>
      <w:r w:rsidR="00E84296">
        <w:t xml:space="preserve">r., Sąd Rejonowy w Trzebnicy potwierdził, że skarżący cierpi na zaburzenia psychiczne, które uzasadnia umieszczenie go w szpitalu psychiatrycznym </w:t>
      </w:r>
      <w:bookmarkEnd w:id="12"/>
      <w:r w:rsidR="00E84296">
        <w:t>(zob. paragraf 26 powyżej). Chociaż skarżący skrytykował opinie biegłych, Trybunał nie dostrzega powodu, by wątpić, że biegli mieli pełne kwalifikacje i oparli swoje wnioski na najlepszym profesjonalnym osądzie.</w:t>
      </w:r>
    </w:p>
    <w:p w14:paraId="2A41106D" w14:textId="6B9E67B8" w:rsidR="00DF10C4" w:rsidRPr="00297944" w:rsidRDefault="00D2073A" w:rsidP="00297944">
      <w:pPr>
        <w:pStyle w:val="JuPara"/>
        <w:rPr>
          <w:color w:val="000000"/>
          <w:spacing w:val="-2"/>
        </w:rPr>
      </w:pPr>
      <w:r>
        <w:rPr>
          <w:noProof/>
        </w:rPr>
        <w:t>68</w:t>
      </w:r>
      <w:r w:rsidR="00E84296">
        <w:t>.</w:t>
      </w:r>
      <w:r w:rsidR="001B3877">
        <w:t xml:space="preserve"> </w:t>
      </w:r>
      <w:r w:rsidR="00E84296">
        <w:t>Trybunał zauważa ponadto, że w okresie po 12</w:t>
      </w:r>
      <w:r w:rsidR="001B3877">
        <w:t xml:space="preserve"> </w:t>
      </w:r>
      <w:r w:rsidR="00E84296">
        <w:t>kwietnia 2016</w:t>
      </w:r>
      <w:r w:rsidR="001B3877">
        <w:t xml:space="preserve"> </w:t>
      </w:r>
      <w:r w:rsidR="00E84296">
        <w:t>r. do</w:t>
      </w:r>
      <w:r w:rsidR="001D25C9">
        <w:t> </w:t>
      </w:r>
      <w:r w:rsidR="00E84296">
        <w:t xml:space="preserve">czasu </w:t>
      </w:r>
      <w:r>
        <w:t>zwolnienia</w:t>
      </w:r>
      <w:r w:rsidR="00E84296">
        <w:t xml:space="preserve"> skarżący był badany przez biegłych psychiatrów w</w:t>
      </w:r>
      <w:r w:rsidR="001D25C9">
        <w:t> </w:t>
      </w:r>
      <w:r w:rsidR="00E84296">
        <w:rPr>
          <w:color w:val="000000"/>
        </w:rPr>
        <w:t>odstępach półrocznych, a wyniki badań psychiatrycznych stanowiły podstawę do wydania nowego orzeczenia sądu (zob. paragrafy 28 i 31 powyżej)</w:t>
      </w:r>
      <w:r w:rsidR="00E84296">
        <w:t>.</w:t>
      </w:r>
      <w:r w:rsidR="00E84296">
        <w:rPr>
          <w:color w:val="000000"/>
        </w:rPr>
        <w:t xml:space="preserve"> Ponadto sąd krajowy wziął pod uwagę zmiany w stanie zdrowia psychicznego skarżącego, ponieważ po poprawie jego stanu postanowiono o</w:t>
      </w:r>
      <w:r w:rsidR="001D25C9">
        <w:rPr>
          <w:color w:val="000000"/>
        </w:rPr>
        <w:t> </w:t>
      </w:r>
      <w:r w:rsidR="00E84296">
        <w:rPr>
          <w:color w:val="000000"/>
        </w:rPr>
        <w:t>wypisaniu go ze Szpitala (zob. paragraf 32 powyżej).</w:t>
      </w:r>
    </w:p>
    <w:p w14:paraId="1D1FF925" w14:textId="42EBBDF6" w:rsidR="00DF10C4" w:rsidRPr="00297944" w:rsidRDefault="00D2073A" w:rsidP="00297944">
      <w:pPr>
        <w:pStyle w:val="JuPara"/>
      </w:pPr>
      <w:r>
        <w:rPr>
          <w:noProof/>
        </w:rPr>
        <w:t>69</w:t>
      </w:r>
      <w:r w:rsidR="00DF10C4">
        <w:t>.</w:t>
      </w:r>
      <w:r w:rsidR="001B3877">
        <w:t xml:space="preserve"> </w:t>
      </w:r>
      <w:r w:rsidR="00DF10C4">
        <w:t>W związku z powyższym Trybunał jest przekonany, że pozbawienie skarżącego wolności w okresie od 12</w:t>
      </w:r>
      <w:r w:rsidR="001B3877">
        <w:t xml:space="preserve"> </w:t>
      </w:r>
      <w:r w:rsidR="00DF10C4">
        <w:t>kwietnia 2016 r. do 29</w:t>
      </w:r>
      <w:r w:rsidR="001B3877">
        <w:t xml:space="preserve"> </w:t>
      </w:r>
      <w:r w:rsidR="00DF10C4">
        <w:t>listopada 2016</w:t>
      </w:r>
      <w:r w:rsidR="001D25C9">
        <w:t> </w:t>
      </w:r>
      <w:r w:rsidR="00DF10C4">
        <w:t>r. było zgodne z prawem w rozumieniu art.</w:t>
      </w:r>
      <w:r w:rsidR="001B3877">
        <w:t xml:space="preserve"> </w:t>
      </w:r>
      <w:r w:rsidR="00DF10C4">
        <w:t>5 ust.</w:t>
      </w:r>
      <w:r w:rsidR="001B3877">
        <w:t xml:space="preserve"> </w:t>
      </w:r>
      <w:r w:rsidR="00DF10C4">
        <w:t>1 lit.</w:t>
      </w:r>
      <w:r w:rsidR="001B3877">
        <w:t xml:space="preserve"> </w:t>
      </w:r>
      <w:r w:rsidR="00DF10C4">
        <w:t>e Konwencji. W związku z powyższym nie doszło do naruszenia art. 5 ust. 1 lit. e Konwencji.</w:t>
      </w:r>
    </w:p>
    <w:p w14:paraId="6EA5C838" w14:textId="0645D624" w:rsidR="00DF10C4" w:rsidRPr="00297944" w:rsidRDefault="00DF10C4" w:rsidP="00297944">
      <w:pPr>
        <w:pStyle w:val="JuHIRoman"/>
      </w:pPr>
      <w:r>
        <w:t>ZASTOSOWANIE ART.</w:t>
      </w:r>
      <w:r w:rsidR="001B3877">
        <w:t xml:space="preserve"> </w:t>
      </w:r>
      <w:r>
        <w:t>41 KONWENCJI</w:t>
      </w:r>
    </w:p>
    <w:p w14:paraId="68FF0CFE" w14:textId="4034D295" w:rsidR="00DF10C4" w:rsidRPr="00297944" w:rsidRDefault="00D2073A" w:rsidP="00297944">
      <w:pPr>
        <w:pStyle w:val="JuPara"/>
      </w:pPr>
      <w:r>
        <w:rPr>
          <w:noProof/>
        </w:rPr>
        <w:t>70</w:t>
      </w:r>
      <w:r w:rsidR="00DF10C4">
        <w:t>.</w:t>
      </w:r>
      <w:r w:rsidR="001B3877">
        <w:t xml:space="preserve"> </w:t>
      </w:r>
      <w:r w:rsidR="00DF10C4">
        <w:t>Artykuł 41 Konwencji stanowi:</w:t>
      </w:r>
    </w:p>
    <w:p w14:paraId="1BA267D5" w14:textId="5B781CA2" w:rsidR="00DF10C4" w:rsidRPr="00297944" w:rsidRDefault="00DF10C4" w:rsidP="00297944">
      <w:pPr>
        <w:pStyle w:val="JuQuot"/>
        <w:keepNext/>
        <w:keepLines/>
      </w:pPr>
      <w:r>
        <w:lastRenderedPageBreak/>
        <w:t>„</w:t>
      </w:r>
      <w:r w:rsidR="005C55E8" w:rsidRPr="005C55E8">
        <w:t xml:space="preserve">Jeśli Trybunał stwierdzi, że nastąpiło naruszenie Konwencji lub jej </w:t>
      </w:r>
      <w:r w:rsidR="00F74A25">
        <w:t>P</w:t>
      </w:r>
      <w:r w:rsidR="005C55E8" w:rsidRPr="005C55E8">
        <w:t>rotokołów, oraz</w:t>
      </w:r>
      <w:r w:rsidR="001D25C9">
        <w:t> </w:t>
      </w:r>
      <w:r w:rsidR="005C55E8" w:rsidRPr="005C55E8">
        <w:t>jeśli prawo wewnętrzne zainteresowanej Wysokiej Układającej się Strony pozwala tylko na częściowe usunięcie konsekwencji tego naruszenia, Trybunał orzeka, gdy</w:t>
      </w:r>
      <w:r w:rsidR="001D25C9">
        <w:t> </w:t>
      </w:r>
      <w:r w:rsidR="005C55E8" w:rsidRPr="005C55E8">
        <w:t>zachodzi potrzeba, słuszne zadośćuczynienie pokrzywdzonej stronie</w:t>
      </w:r>
      <w:r>
        <w:t>”.</w:t>
      </w:r>
    </w:p>
    <w:p w14:paraId="40761E03" w14:textId="77777777" w:rsidR="00DF10C4" w:rsidRPr="00297944" w:rsidRDefault="00DF10C4" w:rsidP="00297944">
      <w:pPr>
        <w:pStyle w:val="JuHA"/>
      </w:pPr>
      <w:r>
        <w:t>Szkoda</w:t>
      </w:r>
    </w:p>
    <w:p w14:paraId="0E6A2572" w14:textId="4C36DF3F" w:rsidR="00DF10C4" w:rsidRPr="00297944" w:rsidRDefault="00D2073A" w:rsidP="00297944">
      <w:pPr>
        <w:pStyle w:val="JuPara"/>
        <w:rPr>
          <w:rFonts w:cs="Times New Roman"/>
        </w:rPr>
      </w:pPr>
      <w:r>
        <w:rPr>
          <w:noProof/>
        </w:rPr>
        <w:t>71</w:t>
      </w:r>
      <w:r w:rsidR="00DF10C4">
        <w:t>.</w:t>
      </w:r>
      <w:r w:rsidR="001B3877">
        <w:t xml:space="preserve"> </w:t>
      </w:r>
      <w:r w:rsidR="00DF10C4">
        <w:t>Skarżący dochodził kwoty</w:t>
      </w:r>
      <w:r w:rsidR="001B3877">
        <w:t xml:space="preserve"> </w:t>
      </w:r>
      <w:r w:rsidR="00DF10C4">
        <w:t>5900</w:t>
      </w:r>
      <w:r w:rsidR="001B3877">
        <w:t xml:space="preserve"> </w:t>
      </w:r>
      <w:r w:rsidR="00DF10C4">
        <w:t>euro (EUR) tytułem zadośćuczynienia za szkodę majątkową. Podnosił, że przed umieszczeniem w Szpitalu był zatrudniony i że w związku z pozbawieniem go wolności stracił zarobki w</w:t>
      </w:r>
      <w:r w:rsidR="001D25C9">
        <w:t> </w:t>
      </w:r>
      <w:r w:rsidR="00DF10C4">
        <w:t>okresie prawie siedemnastu miesięcy. Podniósł, że jego miesięczne wynagrodzenie wynosiło 348</w:t>
      </w:r>
      <w:r w:rsidR="001B3877">
        <w:t xml:space="preserve"> </w:t>
      </w:r>
      <w:r w:rsidR="00DF10C4">
        <w:t>EUR. Ponadto domagał się kwoty</w:t>
      </w:r>
      <w:r w:rsidR="001B3877">
        <w:t xml:space="preserve"> </w:t>
      </w:r>
      <w:r w:rsidR="00DF10C4">
        <w:t>25</w:t>
      </w:r>
      <w:r w:rsidR="001B3877">
        <w:t xml:space="preserve"> </w:t>
      </w:r>
      <w:r w:rsidR="00DF10C4">
        <w:t>000</w:t>
      </w:r>
      <w:r w:rsidR="001B3877">
        <w:t xml:space="preserve"> </w:t>
      </w:r>
      <w:r w:rsidR="00DF10C4">
        <w:t>EUR tytułem zadośćuczynienia za szkodę niemajątkową.</w:t>
      </w:r>
    </w:p>
    <w:p w14:paraId="192B3D6A" w14:textId="601A4FC5" w:rsidR="00DF10C4" w:rsidRPr="00297944" w:rsidRDefault="00D2073A" w:rsidP="00297944">
      <w:pPr>
        <w:pStyle w:val="JuPara"/>
      </w:pPr>
      <w:r>
        <w:rPr>
          <w:noProof/>
        </w:rPr>
        <w:t>72</w:t>
      </w:r>
      <w:r w:rsidR="00DF10C4">
        <w:t>.</w:t>
      </w:r>
      <w:r w:rsidR="001B3877">
        <w:t xml:space="preserve"> </w:t>
      </w:r>
      <w:r w:rsidR="00DF10C4">
        <w:t>Rząd kwestionował te roszczenia.</w:t>
      </w:r>
    </w:p>
    <w:p w14:paraId="2ADFCB6C" w14:textId="37CF5FF1" w:rsidR="00DF10C4" w:rsidRPr="00297944" w:rsidRDefault="00D2073A" w:rsidP="00297944">
      <w:pPr>
        <w:pStyle w:val="JuPara"/>
      </w:pPr>
      <w:r>
        <w:rPr>
          <w:noProof/>
        </w:rPr>
        <w:t>73</w:t>
      </w:r>
      <w:r w:rsidR="00DF10C4">
        <w:t>.</w:t>
      </w:r>
      <w:r w:rsidR="001B3877">
        <w:t xml:space="preserve"> </w:t>
      </w:r>
      <w:r w:rsidR="00DF10C4">
        <w:t xml:space="preserve">Trybunał nie dostrzega żadnego związku </w:t>
      </w:r>
      <w:r w:rsidR="00CC7BF7">
        <w:t>przyczynowo</w:t>
      </w:r>
      <w:r w:rsidR="00EE6D7C">
        <w:t>-</w:t>
      </w:r>
      <w:r w:rsidR="00CC7BF7">
        <w:t>skutkowego</w:t>
      </w:r>
      <w:r w:rsidR="00DF10C4">
        <w:t xml:space="preserve"> między stwierdzonym naruszeniem a zarzucaną szkodą majątkową, w</w:t>
      </w:r>
      <w:r w:rsidR="001D25C9">
        <w:t> </w:t>
      </w:r>
      <w:r w:rsidR="00DF10C4">
        <w:t xml:space="preserve">związku z czym nie uwzględnia tego żądania. Z drugiej strony </w:t>
      </w:r>
      <w:bookmarkStart w:id="13" w:name="lt_pId1655"/>
      <w:r w:rsidR="00DF10C4">
        <w:t>Trybunał stwierdza, że skarżący niewątpliwie poniósł szkodę o charakterze niemajątkowym w związku z zastosowan</w:t>
      </w:r>
      <w:r w:rsidR="00EE6D7C">
        <w:t>iem</w:t>
      </w:r>
      <w:r w:rsidR="00DF10C4">
        <w:t xml:space="preserve"> wobec niego środk</w:t>
      </w:r>
      <w:r w:rsidR="00EE6D7C">
        <w:t>a</w:t>
      </w:r>
      <w:r w:rsidR="00DF10C4">
        <w:t xml:space="preserve"> izolacyjn</w:t>
      </w:r>
      <w:bookmarkEnd w:id="13"/>
      <w:r w:rsidR="00EE6D7C">
        <w:t>ego</w:t>
      </w:r>
      <w:r w:rsidR="00DF10C4">
        <w:t xml:space="preserve"> wbrew art.</w:t>
      </w:r>
      <w:r w:rsidR="001B3877">
        <w:t xml:space="preserve"> </w:t>
      </w:r>
      <w:r w:rsidR="00DF10C4">
        <w:t>5 ust.</w:t>
      </w:r>
      <w:r w:rsidR="001B3877">
        <w:t xml:space="preserve"> </w:t>
      </w:r>
      <w:r w:rsidR="00DF10C4">
        <w:t>1 lit.</w:t>
      </w:r>
      <w:r w:rsidR="001B3877">
        <w:t xml:space="preserve"> </w:t>
      </w:r>
      <w:r w:rsidR="00DF10C4">
        <w:t>e i z tego względu przyznaje mu z tego tytułu kwotę 16</w:t>
      </w:r>
      <w:r w:rsidR="001B3877">
        <w:t xml:space="preserve"> </w:t>
      </w:r>
      <w:r w:rsidR="00DF10C4">
        <w:t>000 EUR.</w:t>
      </w:r>
    </w:p>
    <w:p w14:paraId="668BC5C0" w14:textId="77777777" w:rsidR="00DF10C4" w:rsidRPr="00297944" w:rsidRDefault="00DF10C4" w:rsidP="00297944">
      <w:pPr>
        <w:pStyle w:val="JuHA"/>
      </w:pPr>
      <w:r>
        <w:t>Koszty i wydatki</w:t>
      </w:r>
    </w:p>
    <w:p w14:paraId="1B2E3696" w14:textId="5B223B17" w:rsidR="00DF10C4" w:rsidRPr="00297944" w:rsidRDefault="00D2073A" w:rsidP="00297944">
      <w:pPr>
        <w:pStyle w:val="JuPara"/>
      </w:pPr>
      <w:r>
        <w:rPr>
          <w:noProof/>
        </w:rPr>
        <w:t>74</w:t>
      </w:r>
      <w:r w:rsidR="00DF10C4">
        <w:t>.</w:t>
      </w:r>
      <w:r w:rsidR="001B3877">
        <w:t xml:space="preserve"> </w:t>
      </w:r>
      <w:r w:rsidR="00DF10C4">
        <w:t>Skarżący domagał się również kwoty</w:t>
      </w:r>
      <w:r w:rsidR="001B3877">
        <w:t xml:space="preserve"> </w:t>
      </w:r>
      <w:r w:rsidR="00DF10C4">
        <w:t>940</w:t>
      </w:r>
      <w:r w:rsidR="001B3877">
        <w:t xml:space="preserve"> </w:t>
      </w:r>
      <w:r w:rsidR="00DF10C4">
        <w:t>EUR tytułem kosztów i</w:t>
      </w:r>
      <w:r w:rsidR="001D25C9">
        <w:t> </w:t>
      </w:r>
      <w:r w:rsidR="00DF10C4">
        <w:t>wydatków poniesionych przed Trybunałem.</w:t>
      </w:r>
    </w:p>
    <w:p w14:paraId="56F0D82E" w14:textId="2784ED8E" w:rsidR="00DF10C4" w:rsidRPr="00297944" w:rsidRDefault="00D2073A" w:rsidP="00297944">
      <w:pPr>
        <w:pStyle w:val="JuPara"/>
      </w:pPr>
      <w:r>
        <w:rPr>
          <w:noProof/>
        </w:rPr>
        <w:t>75</w:t>
      </w:r>
      <w:r w:rsidR="00DF10C4">
        <w:t>.</w:t>
      </w:r>
      <w:r w:rsidR="001B3877">
        <w:t xml:space="preserve"> </w:t>
      </w:r>
      <w:r w:rsidR="00DF10C4">
        <w:t>Rząd kwestionował to roszczenie.</w:t>
      </w:r>
    </w:p>
    <w:p w14:paraId="70A245AF" w14:textId="449CC3A4" w:rsidR="00DF10C4" w:rsidRPr="00297944" w:rsidRDefault="00D2073A" w:rsidP="00297944">
      <w:pPr>
        <w:pStyle w:val="JuPara"/>
      </w:pPr>
      <w:r>
        <w:rPr>
          <w:noProof/>
        </w:rPr>
        <w:t>76</w:t>
      </w:r>
      <w:r w:rsidR="00DF10C4">
        <w:t>.</w:t>
      </w:r>
      <w:r w:rsidR="001B3877">
        <w:t xml:space="preserve"> </w:t>
      </w:r>
      <w:r w:rsidR="00DF10C4">
        <w:t>Uwzględniając posiadaną dokumentację oraz swoje orzecznictwo, Trybunał uznaje za uzasadnione przyznanie kwoty 940</w:t>
      </w:r>
      <w:r w:rsidR="001B3877">
        <w:t xml:space="preserve"> </w:t>
      </w:r>
      <w:r w:rsidR="00DF10C4">
        <w:t>EUR tytułem kosztów i wydatków poniesionych w</w:t>
      </w:r>
      <w:r w:rsidR="001B3877">
        <w:t xml:space="preserve"> </w:t>
      </w:r>
      <w:r w:rsidR="00DF10C4">
        <w:t>toku postępowania przed Trybunałem.</w:t>
      </w:r>
    </w:p>
    <w:p w14:paraId="1C5836C6" w14:textId="77777777" w:rsidR="00DF10C4" w:rsidRPr="00297944" w:rsidRDefault="00DF10C4" w:rsidP="00297944">
      <w:pPr>
        <w:pStyle w:val="JuHA"/>
      </w:pPr>
      <w:r>
        <w:t>Odsetki za zwłokę</w:t>
      </w:r>
    </w:p>
    <w:p w14:paraId="7F3A087E" w14:textId="4D0A3402" w:rsidR="00DF10C4" w:rsidRPr="00297944" w:rsidRDefault="00D2073A" w:rsidP="00297944">
      <w:pPr>
        <w:pStyle w:val="JuPara"/>
      </w:pPr>
      <w:r>
        <w:rPr>
          <w:noProof/>
        </w:rPr>
        <w:t>77</w:t>
      </w:r>
      <w:r w:rsidR="00DF10C4">
        <w:t>.</w:t>
      </w:r>
      <w:r w:rsidR="001B3877">
        <w:t xml:space="preserve"> </w:t>
      </w:r>
      <w:r w:rsidR="00DF10C4">
        <w:t>Trybunał za słuszne uznaje wyznaczenie wysokości odsetek za zwłokę na podstawie marginalnej stopy procentowej Europejskiego Banku Centralnego powiększonej o trzy punkty procentowe.</w:t>
      </w:r>
    </w:p>
    <w:p w14:paraId="63BF837F" w14:textId="2048DA11" w:rsidR="00DF10C4" w:rsidRPr="00297944" w:rsidRDefault="00DF10C4" w:rsidP="00297944">
      <w:pPr>
        <w:pStyle w:val="JuHHead"/>
        <w:numPr>
          <w:ilvl w:val="0"/>
          <w:numId w:val="1"/>
        </w:numPr>
        <w:ind w:left="360" w:hanging="360"/>
      </w:pPr>
      <w:r>
        <w:t>Z POWYŻSZYCH WZGLĘDÓW TRYBUNAŁ JEDNOGŁOŚNIE</w:t>
      </w:r>
    </w:p>
    <w:p w14:paraId="45248C75" w14:textId="7C821613" w:rsidR="00DF10C4" w:rsidRPr="00297944" w:rsidRDefault="00DF10C4" w:rsidP="00297944">
      <w:pPr>
        <w:pStyle w:val="JuList"/>
      </w:pPr>
      <w:r>
        <w:rPr>
          <w:i/>
          <w:iCs/>
        </w:rPr>
        <w:t>uznaje</w:t>
      </w:r>
      <w:r>
        <w:t xml:space="preserve"> skargę za dopuszczalną;</w:t>
      </w:r>
    </w:p>
    <w:p w14:paraId="262D3EDF" w14:textId="1AF40358" w:rsidR="00DF10C4" w:rsidRPr="00297944" w:rsidRDefault="00DF10C4" w:rsidP="00297944">
      <w:pPr>
        <w:pStyle w:val="JuList"/>
      </w:pPr>
      <w:r>
        <w:rPr>
          <w:i/>
          <w:iCs/>
        </w:rPr>
        <w:t>stwierdza</w:t>
      </w:r>
      <w:r>
        <w:t>, że doszło do naruszenia art.</w:t>
      </w:r>
      <w:r w:rsidR="001B3877">
        <w:t xml:space="preserve"> </w:t>
      </w:r>
      <w:r>
        <w:t>5 ust.</w:t>
      </w:r>
      <w:r w:rsidR="001B3877">
        <w:t xml:space="preserve"> </w:t>
      </w:r>
      <w:r>
        <w:t>1 lit.</w:t>
      </w:r>
      <w:r w:rsidR="001B3877">
        <w:t xml:space="preserve"> </w:t>
      </w:r>
      <w:r>
        <w:t>e Konwencji w</w:t>
      </w:r>
      <w:r w:rsidR="001D25C9">
        <w:t> </w:t>
      </w:r>
      <w:r>
        <w:t>odniesieniu do hospitalizacji skarżącego w okresie od 4</w:t>
      </w:r>
      <w:r w:rsidR="001B3877">
        <w:t xml:space="preserve"> </w:t>
      </w:r>
      <w:r>
        <w:t>sierpnia 2015</w:t>
      </w:r>
      <w:r w:rsidR="00755D51">
        <w:t> </w:t>
      </w:r>
      <w:r>
        <w:t>r. do 12</w:t>
      </w:r>
      <w:r w:rsidR="001B3877">
        <w:t xml:space="preserve"> </w:t>
      </w:r>
      <w:r>
        <w:t>kwietnia 2016</w:t>
      </w:r>
      <w:r w:rsidR="001B3877">
        <w:t xml:space="preserve"> </w:t>
      </w:r>
      <w:r>
        <w:t>r.;</w:t>
      </w:r>
    </w:p>
    <w:p w14:paraId="30D1A6BD" w14:textId="7389746B" w:rsidR="00DF10C4" w:rsidRPr="00297944" w:rsidRDefault="00DF10C4" w:rsidP="00297944">
      <w:pPr>
        <w:pStyle w:val="JuList"/>
      </w:pPr>
      <w:r>
        <w:rPr>
          <w:i/>
          <w:iCs/>
        </w:rPr>
        <w:lastRenderedPageBreak/>
        <w:t>stwierdza</w:t>
      </w:r>
      <w:r>
        <w:t>, że nie doszło do naruszenia art.</w:t>
      </w:r>
      <w:r w:rsidR="001B3877">
        <w:t xml:space="preserve"> </w:t>
      </w:r>
      <w:r>
        <w:t>5 ust.</w:t>
      </w:r>
      <w:r w:rsidR="001B3877">
        <w:t xml:space="preserve"> </w:t>
      </w:r>
      <w:r>
        <w:t>1 lit.</w:t>
      </w:r>
      <w:r w:rsidR="001B3877">
        <w:t xml:space="preserve"> </w:t>
      </w:r>
      <w:r>
        <w:t>e Konwencji w</w:t>
      </w:r>
      <w:r w:rsidR="001D25C9">
        <w:t> </w:t>
      </w:r>
      <w:r>
        <w:t>odniesieniu do hospitalizacji skarżącego w okresie od 12</w:t>
      </w:r>
      <w:r w:rsidR="001B3877">
        <w:t xml:space="preserve"> </w:t>
      </w:r>
      <w:r>
        <w:t>kwietnia do</w:t>
      </w:r>
      <w:r w:rsidR="001D25C9">
        <w:t> </w:t>
      </w:r>
      <w:r>
        <w:t>29</w:t>
      </w:r>
      <w:r w:rsidR="001B3877">
        <w:t xml:space="preserve"> </w:t>
      </w:r>
      <w:r>
        <w:t>listopada 2016</w:t>
      </w:r>
      <w:r w:rsidR="001B3877">
        <w:t xml:space="preserve"> </w:t>
      </w:r>
      <w:r>
        <w:t>r</w:t>
      </w:r>
      <w:r w:rsidR="002826EA">
        <w:t>.</w:t>
      </w:r>
      <w:r>
        <w:t>;</w:t>
      </w:r>
    </w:p>
    <w:p w14:paraId="75F65D33" w14:textId="787C7B57" w:rsidR="00DF10C4" w:rsidRPr="00297944" w:rsidRDefault="00DF10C4" w:rsidP="00297944">
      <w:pPr>
        <w:pStyle w:val="JuList"/>
        <w:rPr>
          <w:i/>
          <w:iCs/>
        </w:rPr>
      </w:pPr>
      <w:bookmarkStart w:id="14" w:name="_Hlk83202698"/>
      <w:r>
        <w:rPr>
          <w:i/>
          <w:iCs/>
        </w:rPr>
        <w:t>stwierdza</w:t>
      </w:r>
      <w:bookmarkEnd w:id="14"/>
    </w:p>
    <w:p w14:paraId="076264BE" w14:textId="38B065AD" w:rsidR="00DF10C4" w:rsidRPr="00297944" w:rsidRDefault="00DF10C4" w:rsidP="00297944">
      <w:pPr>
        <w:pStyle w:val="JuLista"/>
      </w:pPr>
      <w:r>
        <w:t xml:space="preserve">że pozwane </w:t>
      </w:r>
      <w:r w:rsidR="0010011A">
        <w:t>P</w:t>
      </w:r>
      <w:r>
        <w:t>aństwo winno, w terminie trzech miesięcy od daty, w</w:t>
      </w:r>
      <w:r w:rsidR="001D25C9">
        <w:t> </w:t>
      </w:r>
      <w:r>
        <w:t>której niniejszy wyrok stanie się ostateczny zgodnie z art.</w:t>
      </w:r>
      <w:r w:rsidR="001B3877">
        <w:t xml:space="preserve"> </w:t>
      </w:r>
      <w:r>
        <w:t>44</w:t>
      </w:r>
      <w:r w:rsidR="001B3877">
        <w:t xml:space="preserve"> </w:t>
      </w:r>
      <w:r>
        <w:t>ust.</w:t>
      </w:r>
      <w:r w:rsidR="001B3877">
        <w:t xml:space="preserve"> </w:t>
      </w:r>
      <w:r>
        <w:t xml:space="preserve">2 Konwencji, uiścić na rzecz skarżącego następujące kwoty, przeliczone na walutę pozwanego </w:t>
      </w:r>
      <w:r w:rsidR="001D4146">
        <w:t>P</w:t>
      </w:r>
      <w:r>
        <w:t>aństwa według kursu obowiązującego w dniu płatności:</w:t>
      </w:r>
    </w:p>
    <w:p w14:paraId="64BF8033" w14:textId="10127C20" w:rsidR="00DF10C4" w:rsidRPr="00297944" w:rsidRDefault="00DF10C4" w:rsidP="00297944">
      <w:pPr>
        <w:pStyle w:val="JuListi"/>
      </w:pPr>
      <w:r>
        <w:t>16</w:t>
      </w:r>
      <w:r w:rsidR="001B3877">
        <w:t xml:space="preserve"> </w:t>
      </w:r>
      <w:r>
        <w:t>000</w:t>
      </w:r>
      <w:r w:rsidR="001B3877">
        <w:t xml:space="preserve"> </w:t>
      </w:r>
      <w:r>
        <w:t xml:space="preserve">EUR (szesnaście tysięcy euro) plus wszelkie </w:t>
      </w:r>
      <w:r w:rsidR="00B070B0">
        <w:t>należne podatki</w:t>
      </w:r>
      <w:r w:rsidR="003479B8">
        <w:t xml:space="preserve">, </w:t>
      </w:r>
      <w:r>
        <w:t>tytułem zadośćuczynienia za szkodę niemajątkową;</w:t>
      </w:r>
    </w:p>
    <w:p w14:paraId="21A600B1" w14:textId="3030913F" w:rsidR="00DF10C4" w:rsidRPr="00297944" w:rsidRDefault="00DF10C4" w:rsidP="00297944">
      <w:pPr>
        <w:pStyle w:val="JuListi"/>
      </w:pPr>
      <w:r>
        <w:t>940</w:t>
      </w:r>
      <w:r w:rsidR="001B3877">
        <w:t xml:space="preserve"> </w:t>
      </w:r>
      <w:r>
        <w:t>EUR (dziewięćset czterdzieści euro) plus wszelkie</w:t>
      </w:r>
      <w:r w:rsidR="00B070B0">
        <w:t xml:space="preserve"> należne</w:t>
      </w:r>
      <w:r>
        <w:t xml:space="preserve"> podatki,</w:t>
      </w:r>
      <w:r w:rsidR="00B070B0">
        <w:t xml:space="preserve"> </w:t>
      </w:r>
      <w:r>
        <w:t>tytułem poniesionych kosztów i wydatków;</w:t>
      </w:r>
    </w:p>
    <w:p w14:paraId="787549CF" w14:textId="0F6F176C" w:rsidR="00DF10C4" w:rsidRPr="00297944" w:rsidRDefault="00DF10C4" w:rsidP="00297944">
      <w:pPr>
        <w:pStyle w:val="JuLista"/>
      </w:pPr>
      <w:r>
        <w:t xml:space="preserve">że od upływu wyżej wskazanego terminu trzech miesięcy aż do momentu uregulowania należności </w:t>
      </w:r>
      <w:r w:rsidR="00EE6D7C">
        <w:t>płatne</w:t>
      </w:r>
      <w:r>
        <w:t xml:space="preserve"> będą odsetki zwykłe od</w:t>
      </w:r>
      <w:r w:rsidR="009F6AF6">
        <w:t> </w:t>
      </w:r>
      <w:r>
        <w:t>określonej powyżej kwoty, naliczone według stopy równej marginalnej stopie procentowej Europejskiego Banku Centralnego obowiązującej w tym okresie, powiększonej o trzy punkty procentowe;</w:t>
      </w:r>
    </w:p>
    <w:p w14:paraId="469D7D4A" w14:textId="015D6ECC" w:rsidR="004D0EC7" w:rsidRPr="00297944" w:rsidRDefault="00A50701" w:rsidP="00297944">
      <w:pPr>
        <w:pStyle w:val="JuList"/>
      </w:pPr>
      <w:r>
        <w:rPr>
          <w:i/>
          <w:iCs/>
        </w:rPr>
        <w:t xml:space="preserve">oddala </w:t>
      </w:r>
      <w:r>
        <w:t>pozostałą część roszczenia skarżącego dotyczącego słusznego zadośćuczynienia.</w:t>
      </w:r>
    </w:p>
    <w:p w14:paraId="22DC59B9" w14:textId="6F737CE1" w:rsidR="008E3A08" w:rsidRPr="00297944" w:rsidRDefault="007E2C8C" w:rsidP="00297944">
      <w:pPr>
        <w:pStyle w:val="JuParaLast"/>
      </w:pPr>
      <w:r>
        <w:t>Sporządzono w języku angielskim i obwieszczono pisemnie w dniu 14</w:t>
      </w:r>
      <w:r w:rsidR="009F6AF6">
        <w:t> </w:t>
      </w:r>
      <w:r>
        <w:t>października 2021</w:t>
      </w:r>
      <w:r w:rsidR="001B3877">
        <w:t xml:space="preserve"> </w:t>
      </w:r>
      <w:r>
        <w:t>r., zgodnie z Regułą</w:t>
      </w:r>
      <w:r w:rsidR="001B3877">
        <w:t xml:space="preserve"> </w:t>
      </w:r>
      <w:r>
        <w:t>77 §§</w:t>
      </w:r>
      <w:r w:rsidR="001B3877">
        <w:t xml:space="preserve"> </w:t>
      </w:r>
      <w:r>
        <w:t>2 i 3 Regulaminu Trybunału.</w:t>
      </w:r>
    </w:p>
    <w:p w14:paraId="711B9420" w14:textId="0795AA98" w:rsidR="001C055B" w:rsidRPr="00297944" w:rsidRDefault="00DF10C4" w:rsidP="00960DC9">
      <w:pPr>
        <w:pStyle w:val="JuSigned"/>
        <w:ind w:left="284" w:hanging="284"/>
      </w:pPr>
      <w:r>
        <w:t xml:space="preserve">Renata Degener </w:t>
      </w:r>
      <w:r>
        <w:tab/>
        <w:t>Ksenija Turković</w:t>
      </w:r>
      <w:r>
        <w:br/>
        <w:t>Kanclerz</w:t>
      </w:r>
      <w:r>
        <w:tab/>
        <w:t>Przewodnicząca</w:t>
      </w:r>
    </w:p>
    <w:p w14:paraId="4A0E844A" w14:textId="77777777" w:rsidR="00675AF2" w:rsidRPr="00297944" w:rsidRDefault="00675AF2" w:rsidP="00297944">
      <w:pPr>
        <w:pStyle w:val="JuPara"/>
      </w:pPr>
    </w:p>
    <w:sectPr w:rsidR="00675AF2" w:rsidRPr="00297944" w:rsidSect="007D3701">
      <w:headerReference w:type="even" r:id="rId14"/>
      <w:headerReference w:type="default" r:id="rId15"/>
      <w:footerReference w:type="even" r:id="rId16"/>
      <w:footerReference w:type="default" r:id="rId17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EBAB73" w14:textId="77777777" w:rsidR="0006591F" w:rsidRPr="00E67565" w:rsidRDefault="0006591F" w:rsidP="0098410D">
      <w:r w:rsidRPr="00E67565">
        <w:separator/>
      </w:r>
    </w:p>
  </w:endnote>
  <w:endnote w:type="continuationSeparator" w:id="0">
    <w:p w14:paraId="1B7C1C7E" w14:textId="77777777" w:rsidR="0006591F" w:rsidRPr="00E67565" w:rsidRDefault="0006591F" w:rsidP="0098410D">
      <w:r w:rsidRPr="00E67565">
        <w:continuationSeparator/>
      </w:r>
    </w:p>
  </w:endnote>
  <w:endnote w:type="continuationNotice" w:id="1">
    <w:p w14:paraId="42B998A8" w14:textId="77777777" w:rsidR="0006591F" w:rsidRDefault="0006591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FEE9DC" w14:textId="77777777" w:rsidR="00437347" w:rsidRDefault="004373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3475F7" w14:textId="144ABB0D" w:rsidR="00437347" w:rsidRPr="00150BFA" w:rsidRDefault="00437347" w:rsidP="00437347">
    <w:pPr>
      <w:jc w:val="center"/>
    </w:pPr>
    <w:r>
      <w:rPr>
        <w:noProof/>
        <w:lang w:eastAsia="pl-PL"/>
      </w:rPr>
      <w:drawing>
        <wp:inline distT="0" distB="0" distL="0" distR="0" wp14:anchorId="1C76F18B" wp14:editId="1A1D2C81">
          <wp:extent cx="771525" cy="619125"/>
          <wp:effectExtent l="0" t="0" r="9525" b="9525"/>
          <wp:docPr id="46" name="Picture 46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CCFFA4" w14:textId="6C40FD85" w:rsidR="00437347" w:rsidRPr="00E67565" w:rsidRDefault="00437347" w:rsidP="00437347">
    <w:pPr>
      <w:pStyle w:val="Stopka"/>
      <w:jc w:val="cen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96A6D2" w14:textId="4222F9C9" w:rsidR="00437347" w:rsidRPr="00150BFA" w:rsidRDefault="00437347" w:rsidP="00437347">
    <w:pPr>
      <w:jc w:val="center"/>
    </w:pPr>
    <w:r>
      <w:rPr>
        <w:noProof/>
        <w:lang w:eastAsia="pl-PL"/>
      </w:rPr>
      <w:drawing>
        <wp:inline distT="0" distB="0" distL="0" distR="0" wp14:anchorId="1200BF49" wp14:editId="41B6FFB1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4D4EDE" w14:textId="247BF2EB" w:rsidR="00437347" w:rsidRPr="00E67565" w:rsidRDefault="00437347" w:rsidP="009E7A6F">
    <w:pPr>
      <w:pStyle w:val="Stopka"/>
      <w:jc w:val="center"/>
      <w:rPr>
        <w:sz w:val="4"/>
        <w:szCs w:val="4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C4F2F2" w14:textId="0BB90A40" w:rsidR="00437347" w:rsidRDefault="00437347" w:rsidP="009A115C">
    <w:pPr>
      <w:pStyle w:val="JuHead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6066B">
      <w:rPr>
        <w:rStyle w:val="Numerstrony"/>
        <w:noProof/>
      </w:rPr>
      <w:t>16</w:t>
    </w:r>
    <w:r>
      <w:rPr>
        <w:rStyle w:val="Numerstrony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84A0D8" w14:textId="2BD50402" w:rsidR="00437347" w:rsidRPr="000B7195" w:rsidRDefault="00437347" w:rsidP="007D3701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C6066B">
      <w:rPr>
        <w:noProof/>
      </w:rPr>
      <w:t>15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43D338" w14:textId="77777777" w:rsidR="0006591F" w:rsidRPr="00E67565" w:rsidRDefault="0006591F" w:rsidP="0098410D">
      <w:r w:rsidRPr="00E67565">
        <w:separator/>
      </w:r>
    </w:p>
  </w:footnote>
  <w:footnote w:type="continuationSeparator" w:id="0">
    <w:p w14:paraId="428E532E" w14:textId="77777777" w:rsidR="0006591F" w:rsidRPr="00E67565" w:rsidRDefault="0006591F" w:rsidP="0098410D">
      <w:r w:rsidRPr="00E67565">
        <w:continuationSeparator/>
      </w:r>
    </w:p>
  </w:footnote>
  <w:footnote w:type="continuationNotice" w:id="1">
    <w:p w14:paraId="1EA84501" w14:textId="77777777" w:rsidR="0006591F" w:rsidRDefault="0006591F"/>
  </w:footnote>
  <w:footnote w:id="2">
    <w:p w14:paraId="5D76E8FE" w14:textId="5D4EA7F2" w:rsidR="00F51057" w:rsidRDefault="00F51057">
      <w:pPr>
        <w:pStyle w:val="Tekstprzypisudolnego"/>
      </w:pPr>
      <w:r>
        <w:rPr>
          <w:rStyle w:val="Odwoanieprzypisudolnego"/>
        </w:rPr>
        <w:footnoteRef/>
      </w:r>
      <w:r>
        <w:t xml:space="preserve"> Przepis w brzmieniu obowiązującym do dnia 1 lipca 2015 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010DB6" w14:textId="77777777" w:rsidR="00437347" w:rsidRDefault="004373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81E083" w14:textId="26227AB2" w:rsidR="00437347" w:rsidRPr="00A45145" w:rsidRDefault="00437347" w:rsidP="00437347">
    <w:pPr>
      <w:jc w:val="center"/>
    </w:pPr>
    <w:r>
      <w:rPr>
        <w:noProof/>
        <w:lang w:eastAsia="pl-PL"/>
      </w:rPr>
      <w:drawing>
        <wp:inline distT="0" distB="0" distL="0" distR="0" wp14:anchorId="28045C01" wp14:editId="4A4A5DD1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260411" w14:textId="21FDF165" w:rsidR="00437347" w:rsidRPr="00E67565" w:rsidRDefault="00437347" w:rsidP="00437347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1960F" w14:textId="03DB9109" w:rsidR="00437347" w:rsidRPr="00A45145" w:rsidRDefault="00437347" w:rsidP="00437347">
    <w:pPr>
      <w:jc w:val="center"/>
    </w:pPr>
    <w:r>
      <w:rPr>
        <w:noProof/>
        <w:lang w:eastAsia="pl-PL"/>
      </w:rPr>
      <w:drawing>
        <wp:inline distT="0" distB="0" distL="0" distR="0" wp14:anchorId="7CE0D239" wp14:editId="57EDDA27">
          <wp:extent cx="2962275" cy="1219200"/>
          <wp:effectExtent l="0" t="0" r="9525" b="0"/>
          <wp:docPr id="40" name="Picture 4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9EEAE0" w14:textId="5AD6F756" w:rsidR="00437347" w:rsidRPr="00E67565" w:rsidRDefault="00437347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C3DD67" w14:textId="3E68A163" w:rsidR="00437347" w:rsidRPr="004D0EC7" w:rsidRDefault="00437347" w:rsidP="004D0EC7">
    <w:pPr>
      <w:pStyle w:val="JuHeader"/>
    </w:pPr>
    <w:r>
      <w:t>WYROK W SPRAWIE M.B.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7EB531" w14:textId="65A2FCAC" w:rsidR="00437347" w:rsidRPr="00882CD5" w:rsidRDefault="00437347" w:rsidP="007D3701">
    <w:pPr>
      <w:pStyle w:val="JuHeader"/>
    </w:pPr>
    <w:r>
      <w:t>WYROK W SPRAWIE M.B.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C0F5BFC"/>
    <w:multiLevelType w:val="multilevel"/>
    <w:tmpl w:val="79FEA660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97" w:hanging="397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0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7D5546B"/>
    <w:multiLevelType w:val="multilevel"/>
    <w:tmpl w:val="060AF6AC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5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6" w15:restartNumberingAfterBreak="0">
    <w:nsid w:val="56B9429C"/>
    <w:multiLevelType w:val="multilevel"/>
    <w:tmpl w:val="C582B21A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suff w:val="space"/>
      <w:lvlText w:val="%2."/>
      <w:lvlJc w:val="left"/>
      <w:pPr>
        <w:ind w:left="2767" w:hanging="357"/>
      </w:pPr>
      <w:rPr>
        <w:rFonts w:hint="default"/>
        <w:sz w:val="24"/>
      </w:rPr>
    </w:lvl>
    <w:lvl w:ilvl="2">
      <w:start w:val="1"/>
      <w:numFmt w:val="upperLetter"/>
      <w:lvlText w:val="%3."/>
      <w:lvlJc w:val="left"/>
      <w:pPr>
        <w:ind w:left="584" w:hanging="352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31" w:hanging="30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975" w:hanging="340"/>
      </w:pPr>
      <w:rPr>
        <w:rFonts w:hint="default"/>
      </w:rPr>
    </w:lvl>
    <w:lvl w:ilvl="5">
      <w:start w:val="1"/>
      <w:numFmt w:val="lowerRoman"/>
      <w:suff w:val="space"/>
      <w:lvlText w:val="(%6)"/>
      <w:lvlJc w:val="left"/>
      <w:pPr>
        <w:ind w:left="1191" w:hanging="358"/>
      </w:pPr>
      <w:rPr>
        <w:rFonts w:hint="default"/>
      </w:rPr>
    </w:lvl>
    <w:lvl w:ilvl="6">
      <w:start w:val="1"/>
      <w:numFmt w:val="lowerLetter"/>
      <w:lvlText w:val="(%7)"/>
      <w:lvlJc w:val="left"/>
      <w:pPr>
        <w:ind w:left="1372" w:hanging="334"/>
      </w:pPr>
      <w:rPr>
        <w:rFonts w:ascii="Symbol" w:hAnsi="Symbol" w:hint="default"/>
        <w:sz w:val="20"/>
      </w:rPr>
    </w:lvl>
    <w:lvl w:ilvl="7">
      <w:start w:val="1"/>
      <w:numFmt w:val="bullet"/>
      <w:lvlText w:val="‒"/>
      <w:lvlJc w:val="left"/>
      <w:pPr>
        <w:ind w:left="1304" w:hanging="68"/>
      </w:pPr>
      <w:rPr>
        <w:rFonts w:ascii="Calibri" w:hAnsi="Calibri" w:hint="default"/>
        <w:color w:val="auto"/>
      </w:rPr>
    </w:lvl>
    <w:lvl w:ilvl="8">
      <w:start w:val="1"/>
      <w:numFmt w:val="none"/>
      <w:lvlText w:val="%9"/>
      <w:lvlJc w:val="right"/>
      <w:pPr>
        <w:ind w:left="7313" w:hanging="180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3"/>
  </w:num>
  <w:num w:numId="5">
    <w:abstractNumId w:val="11"/>
  </w:num>
  <w:num w:numId="6">
    <w:abstractNumId w:val="10"/>
  </w:num>
  <w:num w:numId="7">
    <w:abstractNumId w:val="14"/>
  </w:num>
  <w:num w:numId="8">
    <w:abstractNumId w:val="12"/>
    <w:lvlOverride w:ilvl="0">
      <w:lvl w:ilvl="0">
        <w:start w:val="1"/>
        <w:numFmt w:val="decimal"/>
        <w:pStyle w:val="JuList"/>
        <w:lvlText w:val="%1."/>
        <w:lvlJc w:val="left"/>
        <w:pPr>
          <w:tabs>
            <w:tab w:val="num" w:pos="340"/>
          </w:tabs>
          <w:ind w:left="340" w:hanging="340"/>
        </w:pPr>
        <w:rPr>
          <w:rFonts w:hint="default"/>
          <w:i w:val="0"/>
          <w:iCs w:val="0"/>
        </w:rPr>
      </w:lvl>
    </w:lvlOverride>
  </w:num>
  <w:num w:numId="9">
    <w:abstractNumId w:val="15"/>
  </w:num>
  <w:num w:numId="10">
    <w:abstractNumId w:val="17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 w:numId="20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Sect"/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licationsApp" w:val="1"/>
    <w:docVar w:name="EMM" w:val="0"/>
    <w:docVar w:name="NBEMMDOC" w:val="0"/>
    <w:docVar w:name="Plural" w:val="0"/>
  </w:docVars>
  <w:rsids>
    <w:rsidRoot w:val="00DF10C4"/>
    <w:rsid w:val="000041F8"/>
    <w:rsid w:val="000042A8"/>
    <w:rsid w:val="00004308"/>
    <w:rsid w:val="0000535C"/>
    <w:rsid w:val="00005BF0"/>
    <w:rsid w:val="0000617D"/>
    <w:rsid w:val="00007154"/>
    <w:rsid w:val="000103AE"/>
    <w:rsid w:val="00011D69"/>
    <w:rsid w:val="00012AD3"/>
    <w:rsid w:val="00015C2D"/>
    <w:rsid w:val="00015F00"/>
    <w:rsid w:val="00022C1D"/>
    <w:rsid w:val="00031428"/>
    <w:rsid w:val="00034987"/>
    <w:rsid w:val="00041560"/>
    <w:rsid w:val="000442BE"/>
    <w:rsid w:val="000602DF"/>
    <w:rsid w:val="00061B05"/>
    <w:rsid w:val="000632D5"/>
    <w:rsid w:val="000644EE"/>
    <w:rsid w:val="0006591F"/>
    <w:rsid w:val="0007780A"/>
    <w:rsid w:val="00085457"/>
    <w:rsid w:val="000925AD"/>
    <w:rsid w:val="00096FE1"/>
    <w:rsid w:val="00097A62"/>
    <w:rsid w:val="000A24EB"/>
    <w:rsid w:val="000B686A"/>
    <w:rsid w:val="000B6923"/>
    <w:rsid w:val="000B7195"/>
    <w:rsid w:val="000C5F3C"/>
    <w:rsid w:val="000C6DCC"/>
    <w:rsid w:val="000D47AA"/>
    <w:rsid w:val="000D721F"/>
    <w:rsid w:val="000E069B"/>
    <w:rsid w:val="000E0E82"/>
    <w:rsid w:val="000E1DC5"/>
    <w:rsid w:val="000E223F"/>
    <w:rsid w:val="000E46B8"/>
    <w:rsid w:val="000E7D45"/>
    <w:rsid w:val="000F7851"/>
    <w:rsid w:val="0010011A"/>
    <w:rsid w:val="00101505"/>
    <w:rsid w:val="00104E23"/>
    <w:rsid w:val="00110DA8"/>
    <w:rsid w:val="00111B0C"/>
    <w:rsid w:val="00120D6C"/>
    <w:rsid w:val="001257EC"/>
    <w:rsid w:val="00133D33"/>
    <w:rsid w:val="00134B6A"/>
    <w:rsid w:val="00134D64"/>
    <w:rsid w:val="00135A30"/>
    <w:rsid w:val="0013612C"/>
    <w:rsid w:val="0013672F"/>
    <w:rsid w:val="00137FF6"/>
    <w:rsid w:val="00141650"/>
    <w:rsid w:val="00150B4D"/>
    <w:rsid w:val="001561B6"/>
    <w:rsid w:val="00162A12"/>
    <w:rsid w:val="00166530"/>
    <w:rsid w:val="00170027"/>
    <w:rsid w:val="00182EBA"/>
    <w:rsid w:val="001832BD"/>
    <w:rsid w:val="001943B5"/>
    <w:rsid w:val="00195134"/>
    <w:rsid w:val="001A020C"/>
    <w:rsid w:val="001A145B"/>
    <w:rsid w:val="001A3E09"/>
    <w:rsid w:val="001A674C"/>
    <w:rsid w:val="001B3877"/>
    <w:rsid w:val="001B3B24"/>
    <w:rsid w:val="001C055B"/>
    <w:rsid w:val="001C077E"/>
    <w:rsid w:val="001C0F98"/>
    <w:rsid w:val="001C2A42"/>
    <w:rsid w:val="001D25C9"/>
    <w:rsid w:val="001D4146"/>
    <w:rsid w:val="001D63ED"/>
    <w:rsid w:val="001D7348"/>
    <w:rsid w:val="001E035B"/>
    <w:rsid w:val="001E0961"/>
    <w:rsid w:val="001E3EAE"/>
    <w:rsid w:val="001E55D6"/>
    <w:rsid w:val="001E6857"/>
    <w:rsid w:val="001E6F32"/>
    <w:rsid w:val="001F2145"/>
    <w:rsid w:val="001F6262"/>
    <w:rsid w:val="001F67B0"/>
    <w:rsid w:val="001F7B3D"/>
    <w:rsid w:val="00202752"/>
    <w:rsid w:val="0020335A"/>
    <w:rsid w:val="002052BC"/>
    <w:rsid w:val="00205F9F"/>
    <w:rsid w:val="00210338"/>
    <w:rsid w:val="002115FC"/>
    <w:rsid w:val="0021423C"/>
    <w:rsid w:val="00221E75"/>
    <w:rsid w:val="00230D00"/>
    <w:rsid w:val="00231DF7"/>
    <w:rsid w:val="00231FD1"/>
    <w:rsid w:val="00233150"/>
    <w:rsid w:val="002339E0"/>
    <w:rsid w:val="00233CF8"/>
    <w:rsid w:val="0023575D"/>
    <w:rsid w:val="00237148"/>
    <w:rsid w:val="0024222D"/>
    <w:rsid w:val="002422B6"/>
    <w:rsid w:val="00244B0E"/>
    <w:rsid w:val="00244F6C"/>
    <w:rsid w:val="00246B89"/>
    <w:rsid w:val="00252C4E"/>
    <w:rsid w:val="002532C5"/>
    <w:rsid w:val="00254DF2"/>
    <w:rsid w:val="00260C03"/>
    <w:rsid w:val="0026540E"/>
    <w:rsid w:val="00267558"/>
    <w:rsid w:val="00272034"/>
    <w:rsid w:val="00275123"/>
    <w:rsid w:val="0027770A"/>
    <w:rsid w:val="00282240"/>
    <w:rsid w:val="002826EA"/>
    <w:rsid w:val="00282BD8"/>
    <w:rsid w:val="00287AD5"/>
    <w:rsid w:val="00287E1F"/>
    <w:rsid w:val="002934D0"/>
    <w:rsid w:val="00293676"/>
    <w:rsid w:val="00293BD9"/>
    <w:rsid w:val="002948AD"/>
    <w:rsid w:val="00297944"/>
    <w:rsid w:val="002A01CC"/>
    <w:rsid w:val="002A613A"/>
    <w:rsid w:val="002A61B1"/>
    <w:rsid w:val="002A663C"/>
    <w:rsid w:val="002B444B"/>
    <w:rsid w:val="002B5887"/>
    <w:rsid w:val="002C0E27"/>
    <w:rsid w:val="002C3040"/>
    <w:rsid w:val="002C4433"/>
    <w:rsid w:val="002C7826"/>
    <w:rsid w:val="002D022D"/>
    <w:rsid w:val="002D24BB"/>
    <w:rsid w:val="002D2FA7"/>
    <w:rsid w:val="002D47BA"/>
    <w:rsid w:val="002D77B9"/>
    <w:rsid w:val="002E46DA"/>
    <w:rsid w:val="002F2AF7"/>
    <w:rsid w:val="002F69C4"/>
    <w:rsid w:val="002F7D9E"/>
    <w:rsid w:val="002F7E1C"/>
    <w:rsid w:val="00301A75"/>
    <w:rsid w:val="00302F70"/>
    <w:rsid w:val="0030336F"/>
    <w:rsid w:val="0030375E"/>
    <w:rsid w:val="00312A30"/>
    <w:rsid w:val="003201D8"/>
    <w:rsid w:val="00320F72"/>
    <w:rsid w:val="0032463E"/>
    <w:rsid w:val="00326224"/>
    <w:rsid w:val="00335806"/>
    <w:rsid w:val="00337EE4"/>
    <w:rsid w:val="003409F2"/>
    <w:rsid w:val="00340FFD"/>
    <w:rsid w:val="00345C41"/>
    <w:rsid w:val="00346587"/>
    <w:rsid w:val="003479B8"/>
    <w:rsid w:val="003506B1"/>
    <w:rsid w:val="00355877"/>
    <w:rsid w:val="003564DE"/>
    <w:rsid w:val="00356AC7"/>
    <w:rsid w:val="003609FA"/>
    <w:rsid w:val="003710C8"/>
    <w:rsid w:val="003750BE"/>
    <w:rsid w:val="00385A36"/>
    <w:rsid w:val="00385F3D"/>
    <w:rsid w:val="00387B9D"/>
    <w:rsid w:val="00387C70"/>
    <w:rsid w:val="00390294"/>
    <w:rsid w:val="0039319B"/>
    <w:rsid w:val="0039364F"/>
    <w:rsid w:val="00396686"/>
    <w:rsid w:val="0039778E"/>
    <w:rsid w:val="003A6EEC"/>
    <w:rsid w:val="003B4941"/>
    <w:rsid w:val="003C3537"/>
    <w:rsid w:val="003C5714"/>
    <w:rsid w:val="003C6B9F"/>
    <w:rsid w:val="003C6E2A"/>
    <w:rsid w:val="003D0299"/>
    <w:rsid w:val="003E6D80"/>
    <w:rsid w:val="003F05FA"/>
    <w:rsid w:val="003F244A"/>
    <w:rsid w:val="003F2517"/>
    <w:rsid w:val="003F30B8"/>
    <w:rsid w:val="003F4C45"/>
    <w:rsid w:val="003F5F7B"/>
    <w:rsid w:val="003F7D64"/>
    <w:rsid w:val="0040433A"/>
    <w:rsid w:val="00414300"/>
    <w:rsid w:val="00414F27"/>
    <w:rsid w:val="00420703"/>
    <w:rsid w:val="00425C67"/>
    <w:rsid w:val="00427E7A"/>
    <w:rsid w:val="004355AC"/>
    <w:rsid w:val="00436C49"/>
    <w:rsid w:val="00437347"/>
    <w:rsid w:val="00443D98"/>
    <w:rsid w:val="00445366"/>
    <w:rsid w:val="00447F5B"/>
    <w:rsid w:val="00461DB0"/>
    <w:rsid w:val="00463926"/>
    <w:rsid w:val="00464AB7"/>
    <w:rsid w:val="00464C9A"/>
    <w:rsid w:val="00474F3D"/>
    <w:rsid w:val="00477E3A"/>
    <w:rsid w:val="0048158D"/>
    <w:rsid w:val="00483E5F"/>
    <w:rsid w:val="00485FF9"/>
    <w:rsid w:val="0049049B"/>
    <w:rsid w:val="004907F0"/>
    <w:rsid w:val="0049140B"/>
    <w:rsid w:val="00491586"/>
    <w:rsid w:val="004923A5"/>
    <w:rsid w:val="0049310E"/>
    <w:rsid w:val="004950E2"/>
    <w:rsid w:val="00496BFB"/>
    <w:rsid w:val="004A15C7"/>
    <w:rsid w:val="004A3201"/>
    <w:rsid w:val="004A7044"/>
    <w:rsid w:val="004B013B"/>
    <w:rsid w:val="004B112B"/>
    <w:rsid w:val="004B444E"/>
    <w:rsid w:val="004C01E4"/>
    <w:rsid w:val="004C05CB"/>
    <w:rsid w:val="004C086C"/>
    <w:rsid w:val="004C1E8F"/>
    <w:rsid w:val="004C1F56"/>
    <w:rsid w:val="004C27BC"/>
    <w:rsid w:val="004C6621"/>
    <w:rsid w:val="004D0EC7"/>
    <w:rsid w:val="004D15F3"/>
    <w:rsid w:val="004D3B3D"/>
    <w:rsid w:val="004D4EF1"/>
    <w:rsid w:val="004D5311"/>
    <w:rsid w:val="004D5DCC"/>
    <w:rsid w:val="004D7E45"/>
    <w:rsid w:val="004E0284"/>
    <w:rsid w:val="004E37FB"/>
    <w:rsid w:val="004F10AF"/>
    <w:rsid w:val="004F11A4"/>
    <w:rsid w:val="004F2389"/>
    <w:rsid w:val="004F304D"/>
    <w:rsid w:val="004F4290"/>
    <w:rsid w:val="004F61BE"/>
    <w:rsid w:val="004F66B1"/>
    <w:rsid w:val="00511671"/>
    <w:rsid w:val="00511C07"/>
    <w:rsid w:val="005125CB"/>
    <w:rsid w:val="00512CB7"/>
    <w:rsid w:val="00512EC4"/>
    <w:rsid w:val="0051725A"/>
    <w:rsid w:val="005173A6"/>
    <w:rsid w:val="00520354"/>
    <w:rsid w:val="00520BAA"/>
    <w:rsid w:val="005217D8"/>
    <w:rsid w:val="00525208"/>
    <w:rsid w:val="005257A5"/>
    <w:rsid w:val="005264C0"/>
    <w:rsid w:val="00526A8A"/>
    <w:rsid w:val="00527FB1"/>
    <w:rsid w:val="00530FE6"/>
    <w:rsid w:val="00531DF2"/>
    <w:rsid w:val="0053315C"/>
    <w:rsid w:val="00534571"/>
    <w:rsid w:val="00537476"/>
    <w:rsid w:val="0054103B"/>
    <w:rsid w:val="005442EE"/>
    <w:rsid w:val="00544A80"/>
    <w:rsid w:val="00545DA6"/>
    <w:rsid w:val="00547353"/>
    <w:rsid w:val="005474E7"/>
    <w:rsid w:val="005512A3"/>
    <w:rsid w:val="005578CE"/>
    <w:rsid w:val="00562781"/>
    <w:rsid w:val="00562B6C"/>
    <w:rsid w:val="0057271C"/>
    <w:rsid w:val="00572845"/>
    <w:rsid w:val="005879A2"/>
    <w:rsid w:val="00592772"/>
    <w:rsid w:val="0059574A"/>
    <w:rsid w:val="005A1B9B"/>
    <w:rsid w:val="005A2E79"/>
    <w:rsid w:val="005A3426"/>
    <w:rsid w:val="005A6751"/>
    <w:rsid w:val="005B092E"/>
    <w:rsid w:val="005B152C"/>
    <w:rsid w:val="005B1EE0"/>
    <w:rsid w:val="005B2B24"/>
    <w:rsid w:val="005B4425"/>
    <w:rsid w:val="005B4B94"/>
    <w:rsid w:val="005C3EE8"/>
    <w:rsid w:val="005C55E8"/>
    <w:rsid w:val="005D2F2A"/>
    <w:rsid w:val="005D34F9"/>
    <w:rsid w:val="005D4190"/>
    <w:rsid w:val="005D67A3"/>
    <w:rsid w:val="005E2988"/>
    <w:rsid w:val="005E3085"/>
    <w:rsid w:val="005F0EB3"/>
    <w:rsid w:val="005F51E1"/>
    <w:rsid w:val="00611C80"/>
    <w:rsid w:val="00620692"/>
    <w:rsid w:val="006242CA"/>
    <w:rsid w:val="00627507"/>
    <w:rsid w:val="00631C6A"/>
    <w:rsid w:val="00633717"/>
    <w:rsid w:val="006344E1"/>
    <w:rsid w:val="00643524"/>
    <w:rsid w:val="0064393B"/>
    <w:rsid w:val="00645CF2"/>
    <w:rsid w:val="006545C4"/>
    <w:rsid w:val="00661971"/>
    <w:rsid w:val="00661CE8"/>
    <w:rsid w:val="006623D9"/>
    <w:rsid w:val="006642A5"/>
    <w:rsid w:val="0066550C"/>
    <w:rsid w:val="00665BD2"/>
    <w:rsid w:val="006716F2"/>
    <w:rsid w:val="00675AF2"/>
    <w:rsid w:val="00681F36"/>
    <w:rsid w:val="00682BF2"/>
    <w:rsid w:val="0068573E"/>
    <w:rsid w:val="006859CE"/>
    <w:rsid w:val="00691270"/>
    <w:rsid w:val="00694BA8"/>
    <w:rsid w:val="006A037C"/>
    <w:rsid w:val="006A36F4"/>
    <w:rsid w:val="006A3FD4"/>
    <w:rsid w:val="006A406F"/>
    <w:rsid w:val="006A5D3A"/>
    <w:rsid w:val="006B1942"/>
    <w:rsid w:val="006C23D4"/>
    <w:rsid w:val="006C247F"/>
    <w:rsid w:val="006C7BB0"/>
    <w:rsid w:val="006D3237"/>
    <w:rsid w:val="006E08D2"/>
    <w:rsid w:val="006E2E37"/>
    <w:rsid w:val="006E3CF1"/>
    <w:rsid w:val="006E43A5"/>
    <w:rsid w:val="006E68A3"/>
    <w:rsid w:val="006E7E80"/>
    <w:rsid w:val="006F1C2D"/>
    <w:rsid w:val="006F48CA"/>
    <w:rsid w:val="006F64DD"/>
    <w:rsid w:val="006F712D"/>
    <w:rsid w:val="00715127"/>
    <w:rsid w:val="00715E8E"/>
    <w:rsid w:val="0072037D"/>
    <w:rsid w:val="00723580"/>
    <w:rsid w:val="007236C6"/>
    <w:rsid w:val="00723755"/>
    <w:rsid w:val="00725C8F"/>
    <w:rsid w:val="0073136C"/>
    <w:rsid w:val="00731F0F"/>
    <w:rsid w:val="00733250"/>
    <w:rsid w:val="00735515"/>
    <w:rsid w:val="00741404"/>
    <w:rsid w:val="007449E5"/>
    <w:rsid w:val="0074750E"/>
    <w:rsid w:val="00747FF0"/>
    <w:rsid w:val="0075566E"/>
    <w:rsid w:val="00755D51"/>
    <w:rsid w:val="00763602"/>
    <w:rsid w:val="00764D4E"/>
    <w:rsid w:val="00765A1F"/>
    <w:rsid w:val="00775B6D"/>
    <w:rsid w:val="00776D68"/>
    <w:rsid w:val="0078323E"/>
    <w:rsid w:val="007850EE"/>
    <w:rsid w:val="00785B95"/>
    <w:rsid w:val="007878B3"/>
    <w:rsid w:val="00790E96"/>
    <w:rsid w:val="007926FD"/>
    <w:rsid w:val="00793366"/>
    <w:rsid w:val="0079666C"/>
    <w:rsid w:val="007A6D44"/>
    <w:rsid w:val="007A716F"/>
    <w:rsid w:val="007B270A"/>
    <w:rsid w:val="007B4182"/>
    <w:rsid w:val="007C0695"/>
    <w:rsid w:val="007C3040"/>
    <w:rsid w:val="007C419A"/>
    <w:rsid w:val="007C4CC8"/>
    <w:rsid w:val="007C5426"/>
    <w:rsid w:val="007C5798"/>
    <w:rsid w:val="007C682A"/>
    <w:rsid w:val="007D1ECD"/>
    <w:rsid w:val="007D3701"/>
    <w:rsid w:val="007D4832"/>
    <w:rsid w:val="007E01A7"/>
    <w:rsid w:val="007E21B2"/>
    <w:rsid w:val="007E2C4E"/>
    <w:rsid w:val="007E2C8C"/>
    <w:rsid w:val="007E51BA"/>
    <w:rsid w:val="007E73D7"/>
    <w:rsid w:val="007F0486"/>
    <w:rsid w:val="007F1905"/>
    <w:rsid w:val="007F27E4"/>
    <w:rsid w:val="007F3437"/>
    <w:rsid w:val="00802C64"/>
    <w:rsid w:val="00805E52"/>
    <w:rsid w:val="008061D0"/>
    <w:rsid w:val="00810B38"/>
    <w:rsid w:val="008204C7"/>
    <w:rsid w:val="00820992"/>
    <w:rsid w:val="00821C89"/>
    <w:rsid w:val="00823602"/>
    <w:rsid w:val="008255F5"/>
    <w:rsid w:val="0083014E"/>
    <w:rsid w:val="0083214A"/>
    <w:rsid w:val="00834220"/>
    <w:rsid w:val="00845723"/>
    <w:rsid w:val="008519E7"/>
    <w:rsid w:val="00851EF9"/>
    <w:rsid w:val="008577FD"/>
    <w:rsid w:val="00860B03"/>
    <w:rsid w:val="0086497A"/>
    <w:rsid w:val="00867066"/>
    <w:rsid w:val="008713A1"/>
    <w:rsid w:val="00872584"/>
    <w:rsid w:val="008754AB"/>
    <w:rsid w:val="0088060C"/>
    <w:rsid w:val="00882CD5"/>
    <w:rsid w:val="00883151"/>
    <w:rsid w:val="00893576"/>
    <w:rsid w:val="00893E73"/>
    <w:rsid w:val="008B02DC"/>
    <w:rsid w:val="008B092C"/>
    <w:rsid w:val="008B57CE"/>
    <w:rsid w:val="008C26DE"/>
    <w:rsid w:val="008C77F5"/>
    <w:rsid w:val="008D2225"/>
    <w:rsid w:val="008D4752"/>
    <w:rsid w:val="008D5A13"/>
    <w:rsid w:val="008D6964"/>
    <w:rsid w:val="008D7EFF"/>
    <w:rsid w:val="008E271C"/>
    <w:rsid w:val="008E3A08"/>
    <w:rsid w:val="008E418E"/>
    <w:rsid w:val="008E5BC6"/>
    <w:rsid w:val="008E6217"/>
    <w:rsid w:val="008E6A25"/>
    <w:rsid w:val="008F2554"/>
    <w:rsid w:val="008F3AEC"/>
    <w:rsid w:val="008F4D80"/>
    <w:rsid w:val="008F5193"/>
    <w:rsid w:val="008F6B36"/>
    <w:rsid w:val="009013A7"/>
    <w:rsid w:val="009017FB"/>
    <w:rsid w:val="009017FC"/>
    <w:rsid w:val="0090506B"/>
    <w:rsid w:val="009050C9"/>
    <w:rsid w:val="009066FC"/>
    <w:rsid w:val="00911C59"/>
    <w:rsid w:val="009140A3"/>
    <w:rsid w:val="009144A2"/>
    <w:rsid w:val="0091510C"/>
    <w:rsid w:val="009259AC"/>
    <w:rsid w:val="00926F38"/>
    <w:rsid w:val="00927BEB"/>
    <w:rsid w:val="009333DC"/>
    <w:rsid w:val="00934301"/>
    <w:rsid w:val="00936CD1"/>
    <w:rsid w:val="00941747"/>
    <w:rsid w:val="00941EFB"/>
    <w:rsid w:val="00947AFB"/>
    <w:rsid w:val="00951AA3"/>
    <w:rsid w:val="00951D7D"/>
    <w:rsid w:val="00956D0C"/>
    <w:rsid w:val="009608EB"/>
    <w:rsid w:val="00960DC9"/>
    <w:rsid w:val="009630C7"/>
    <w:rsid w:val="00972B55"/>
    <w:rsid w:val="009743B7"/>
    <w:rsid w:val="0098228B"/>
    <w:rsid w:val="009828DA"/>
    <w:rsid w:val="0098410D"/>
    <w:rsid w:val="00985BAB"/>
    <w:rsid w:val="00986B3C"/>
    <w:rsid w:val="009A115C"/>
    <w:rsid w:val="009A269C"/>
    <w:rsid w:val="009B1606"/>
    <w:rsid w:val="009B1B5F"/>
    <w:rsid w:val="009B3089"/>
    <w:rsid w:val="009B4D32"/>
    <w:rsid w:val="009B6673"/>
    <w:rsid w:val="009C191B"/>
    <w:rsid w:val="009C2BD6"/>
    <w:rsid w:val="009C58B7"/>
    <w:rsid w:val="009D5024"/>
    <w:rsid w:val="009E1F32"/>
    <w:rsid w:val="009E203D"/>
    <w:rsid w:val="009E2CC2"/>
    <w:rsid w:val="009E47A2"/>
    <w:rsid w:val="009E776C"/>
    <w:rsid w:val="009E7A6F"/>
    <w:rsid w:val="009F4C8F"/>
    <w:rsid w:val="009F6AF6"/>
    <w:rsid w:val="00A02972"/>
    <w:rsid w:val="00A05356"/>
    <w:rsid w:val="00A05588"/>
    <w:rsid w:val="00A15601"/>
    <w:rsid w:val="00A1726E"/>
    <w:rsid w:val="00A204CF"/>
    <w:rsid w:val="00A21D2B"/>
    <w:rsid w:val="00A22745"/>
    <w:rsid w:val="00A23D49"/>
    <w:rsid w:val="00A27004"/>
    <w:rsid w:val="00A308CE"/>
    <w:rsid w:val="00A30C29"/>
    <w:rsid w:val="00A34DD6"/>
    <w:rsid w:val="00A35683"/>
    <w:rsid w:val="00A36819"/>
    <w:rsid w:val="00A36989"/>
    <w:rsid w:val="00A41D86"/>
    <w:rsid w:val="00A43628"/>
    <w:rsid w:val="00A50701"/>
    <w:rsid w:val="00A51D0F"/>
    <w:rsid w:val="00A54192"/>
    <w:rsid w:val="00A57147"/>
    <w:rsid w:val="00A6035E"/>
    <w:rsid w:val="00A6144C"/>
    <w:rsid w:val="00A66617"/>
    <w:rsid w:val="00A671F8"/>
    <w:rsid w:val="00A673A4"/>
    <w:rsid w:val="00A724AE"/>
    <w:rsid w:val="00A73329"/>
    <w:rsid w:val="00A82359"/>
    <w:rsid w:val="00A865D2"/>
    <w:rsid w:val="00A90BCD"/>
    <w:rsid w:val="00A94C20"/>
    <w:rsid w:val="00AA1B09"/>
    <w:rsid w:val="00AA227F"/>
    <w:rsid w:val="00AA3BC7"/>
    <w:rsid w:val="00AA754A"/>
    <w:rsid w:val="00AB08E5"/>
    <w:rsid w:val="00AB099E"/>
    <w:rsid w:val="00AB4328"/>
    <w:rsid w:val="00AC4CD4"/>
    <w:rsid w:val="00AE0A2E"/>
    <w:rsid w:val="00AE354C"/>
    <w:rsid w:val="00AF4B07"/>
    <w:rsid w:val="00AF6186"/>
    <w:rsid w:val="00AF7A3A"/>
    <w:rsid w:val="00B02587"/>
    <w:rsid w:val="00B070B0"/>
    <w:rsid w:val="00B160DB"/>
    <w:rsid w:val="00B2035D"/>
    <w:rsid w:val="00B20836"/>
    <w:rsid w:val="00B235BB"/>
    <w:rsid w:val="00B25EAD"/>
    <w:rsid w:val="00B27A44"/>
    <w:rsid w:val="00B30BBF"/>
    <w:rsid w:val="00B33C03"/>
    <w:rsid w:val="00B40724"/>
    <w:rsid w:val="00B40E19"/>
    <w:rsid w:val="00B4421F"/>
    <w:rsid w:val="00B44E56"/>
    <w:rsid w:val="00B45917"/>
    <w:rsid w:val="00B46543"/>
    <w:rsid w:val="00B47D33"/>
    <w:rsid w:val="00B52BE0"/>
    <w:rsid w:val="00B54133"/>
    <w:rsid w:val="00B6782A"/>
    <w:rsid w:val="00B701ED"/>
    <w:rsid w:val="00B748F7"/>
    <w:rsid w:val="00B8086C"/>
    <w:rsid w:val="00B81C58"/>
    <w:rsid w:val="00B861B4"/>
    <w:rsid w:val="00B86DFE"/>
    <w:rsid w:val="00B90990"/>
    <w:rsid w:val="00B922FF"/>
    <w:rsid w:val="00B9281E"/>
    <w:rsid w:val="00B93925"/>
    <w:rsid w:val="00B95187"/>
    <w:rsid w:val="00BA2D55"/>
    <w:rsid w:val="00BA71B1"/>
    <w:rsid w:val="00BB0637"/>
    <w:rsid w:val="00BB345F"/>
    <w:rsid w:val="00BB68EA"/>
    <w:rsid w:val="00BC0B99"/>
    <w:rsid w:val="00BC1C27"/>
    <w:rsid w:val="00BC6BBF"/>
    <w:rsid w:val="00BD1572"/>
    <w:rsid w:val="00BE14E3"/>
    <w:rsid w:val="00BE3774"/>
    <w:rsid w:val="00BE41E5"/>
    <w:rsid w:val="00BF118F"/>
    <w:rsid w:val="00BF4109"/>
    <w:rsid w:val="00BF4CC3"/>
    <w:rsid w:val="00C054C7"/>
    <w:rsid w:val="00C057B5"/>
    <w:rsid w:val="00C07D0E"/>
    <w:rsid w:val="00C115C3"/>
    <w:rsid w:val="00C15547"/>
    <w:rsid w:val="00C1672D"/>
    <w:rsid w:val="00C22687"/>
    <w:rsid w:val="00C26A92"/>
    <w:rsid w:val="00C26B1C"/>
    <w:rsid w:val="00C32E4D"/>
    <w:rsid w:val="00C333A0"/>
    <w:rsid w:val="00C36940"/>
    <w:rsid w:val="00C36A81"/>
    <w:rsid w:val="00C41974"/>
    <w:rsid w:val="00C44026"/>
    <w:rsid w:val="00C44A2C"/>
    <w:rsid w:val="00C44F09"/>
    <w:rsid w:val="00C477F7"/>
    <w:rsid w:val="00C509A6"/>
    <w:rsid w:val="00C52BBB"/>
    <w:rsid w:val="00C53F4A"/>
    <w:rsid w:val="00C54125"/>
    <w:rsid w:val="00C55B54"/>
    <w:rsid w:val="00C6066B"/>
    <w:rsid w:val="00C6098E"/>
    <w:rsid w:val="00C6152C"/>
    <w:rsid w:val="00C61744"/>
    <w:rsid w:val="00C74810"/>
    <w:rsid w:val="00C8477E"/>
    <w:rsid w:val="00C90D68"/>
    <w:rsid w:val="00C91A79"/>
    <w:rsid w:val="00C939FE"/>
    <w:rsid w:val="00CA29A7"/>
    <w:rsid w:val="00CA4BDA"/>
    <w:rsid w:val="00CB13E3"/>
    <w:rsid w:val="00CB1F66"/>
    <w:rsid w:val="00CB232C"/>
    <w:rsid w:val="00CB2951"/>
    <w:rsid w:val="00CB31A6"/>
    <w:rsid w:val="00CB4277"/>
    <w:rsid w:val="00CC5067"/>
    <w:rsid w:val="00CC7BF7"/>
    <w:rsid w:val="00CD11D3"/>
    <w:rsid w:val="00CD282B"/>
    <w:rsid w:val="00CD447B"/>
    <w:rsid w:val="00CD4961"/>
    <w:rsid w:val="00CD4C35"/>
    <w:rsid w:val="00CD7369"/>
    <w:rsid w:val="00CE0B0E"/>
    <w:rsid w:val="00CE3831"/>
    <w:rsid w:val="00CF2397"/>
    <w:rsid w:val="00D00ABB"/>
    <w:rsid w:val="00D02EEC"/>
    <w:rsid w:val="00D03551"/>
    <w:rsid w:val="00D06A63"/>
    <w:rsid w:val="00D07E0E"/>
    <w:rsid w:val="00D10CD6"/>
    <w:rsid w:val="00D11478"/>
    <w:rsid w:val="00D15ED0"/>
    <w:rsid w:val="00D164BF"/>
    <w:rsid w:val="00D2073A"/>
    <w:rsid w:val="00D21B3E"/>
    <w:rsid w:val="00D21E5D"/>
    <w:rsid w:val="00D21FED"/>
    <w:rsid w:val="00D23048"/>
    <w:rsid w:val="00D24251"/>
    <w:rsid w:val="00D26E72"/>
    <w:rsid w:val="00D343E2"/>
    <w:rsid w:val="00D361A2"/>
    <w:rsid w:val="00D37272"/>
    <w:rsid w:val="00D44C2E"/>
    <w:rsid w:val="00D45414"/>
    <w:rsid w:val="00D4729F"/>
    <w:rsid w:val="00D50A0A"/>
    <w:rsid w:val="00D53548"/>
    <w:rsid w:val="00D566BD"/>
    <w:rsid w:val="00D57A4D"/>
    <w:rsid w:val="00D60AA7"/>
    <w:rsid w:val="00D6435F"/>
    <w:rsid w:val="00D66471"/>
    <w:rsid w:val="00D70641"/>
    <w:rsid w:val="00D74888"/>
    <w:rsid w:val="00D75E28"/>
    <w:rsid w:val="00D772C2"/>
    <w:rsid w:val="00D8008E"/>
    <w:rsid w:val="00D82C45"/>
    <w:rsid w:val="00D852F6"/>
    <w:rsid w:val="00D908A8"/>
    <w:rsid w:val="00D977B6"/>
    <w:rsid w:val="00DA1223"/>
    <w:rsid w:val="00DA4A31"/>
    <w:rsid w:val="00DA7B04"/>
    <w:rsid w:val="00DB36C2"/>
    <w:rsid w:val="00DC169B"/>
    <w:rsid w:val="00DC2AB9"/>
    <w:rsid w:val="00DC63F0"/>
    <w:rsid w:val="00DD37EA"/>
    <w:rsid w:val="00DD4F32"/>
    <w:rsid w:val="00DD6EE5"/>
    <w:rsid w:val="00DE27D2"/>
    <w:rsid w:val="00DE386C"/>
    <w:rsid w:val="00DE4D35"/>
    <w:rsid w:val="00DF098B"/>
    <w:rsid w:val="00DF10C4"/>
    <w:rsid w:val="00DF11C4"/>
    <w:rsid w:val="00DF210C"/>
    <w:rsid w:val="00DF4B6A"/>
    <w:rsid w:val="00E004C0"/>
    <w:rsid w:val="00E02C09"/>
    <w:rsid w:val="00E04D59"/>
    <w:rsid w:val="00E07DA1"/>
    <w:rsid w:val="00E123CB"/>
    <w:rsid w:val="00E13B09"/>
    <w:rsid w:val="00E20E13"/>
    <w:rsid w:val="00E21DBC"/>
    <w:rsid w:val="00E22171"/>
    <w:rsid w:val="00E275D7"/>
    <w:rsid w:val="00E27DBE"/>
    <w:rsid w:val="00E32AB1"/>
    <w:rsid w:val="00E365AB"/>
    <w:rsid w:val="00E36C71"/>
    <w:rsid w:val="00E40404"/>
    <w:rsid w:val="00E4126A"/>
    <w:rsid w:val="00E42A06"/>
    <w:rsid w:val="00E459C6"/>
    <w:rsid w:val="00E47589"/>
    <w:rsid w:val="00E63EC7"/>
    <w:rsid w:val="00E64915"/>
    <w:rsid w:val="00E64D3A"/>
    <w:rsid w:val="00E661D4"/>
    <w:rsid w:val="00E67565"/>
    <w:rsid w:val="00E70091"/>
    <w:rsid w:val="00E70D2E"/>
    <w:rsid w:val="00E720F5"/>
    <w:rsid w:val="00E76D47"/>
    <w:rsid w:val="00E827BC"/>
    <w:rsid w:val="00E84296"/>
    <w:rsid w:val="00E849F7"/>
    <w:rsid w:val="00E90302"/>
    <w:rsid w:val="00E91D05"/>
    <w:rsid w:val="00E95C1E"/>
    <w:rsid w:val="00E97396"/>
    <w:rsid w:val="00E9759A"/>
    <w:rsid w:val="00EA08D0"/>
    <w:rsid w:val="00EA185E"/>
    <w:rsid w:val="00EA42D0"/>
    <w:rsid w:val="00EA592A"/>
    <w:rsid w:val="00EB14E4"/>
    <w:rsid w:val="00EB32A5"/>
    <w:rsid w:val="00EB34ED"/>
    <w:rsid w:val="00EB447C"/>
    <w:rsid w:val="00EB7BE0"/>
    <w:rsid w:val="00EC315E"/>
    <w:rsid w:val="00ED077C"/>
    <w:rsid w:val="00ED10A9"/>
    <w:rsid w:val="00ED1190"/>
    <w:rsid w:val="00ED34AC"/>
    <w:rsid w:val="00ED61B9"/>
    <w:rsid w:val="00ED6544"/>
    <w:rsid w:val="00EE0277"/>
    <w:rsid w:val="00EE2899"/>
    <w:rsid w:val="00EE3E00"/>
    <w:rsid w:val="00EE5DD2"/>
    <w:rsid w:val="00EE6D7C"/>
    <w:rsid w:val="00EF36C5"/>
    <w:rsid w:val="00EF3DB4"/>
    <w:rsid w:val="00F00A79"/>
    <w:rsid w:val="00F00D13"/>
    <w:rsid w:val="00F00E86"/>
    <w:rsid w:val="00F07C1E"/>
    <w:rsid w:val="00F105DB"/>
    <w:rsid w:val="00F1278D"/>
    <w:rsid w:val="00F132BC"/>
    <w:rsid w:val="00F13D80"/>
    <w:rsid w:val="00F15B4D"/>
    <w:rsid w:val="00F16A7C"/>
    <w:rsid w:val="00F16AAA"/>
    <w:rsid w:val="00F1709C"/>
    <w:rsid w:val="00F21161"/>
    <w:rsid w:val="00F218EF"/>
    <w:rsid w:val="00F21BC7"/>
    <w:rsid w:val="00F266A2"/>
    <w:rsid w:val="00F31D50"/>
    <w:rsid w:val="00F32269"/>
    <w:rsid w:val="00F35B7A"/>
    <w:rsid w:val="00F458E5"/>
    <w:rsid w:val="00F51057"/>
    <w:rsid w:val="00F54002"/>
    <w:rsid w:val="00F56A6F"/>
    <w:rsid w:val="00F5709C"/>
    <w:rsid w:val="00F60B85"/>
    <w:rsid w:val="00F64EF1"/>
    <w:rsid w:val="00F72B14"/>
    <w:rsid w:val="00F7349B"/>
    <w:rsid w:val="00F74A25"/>
    <w:rsid w:val="00F80FA9"/>
    <w:rsid w:val="00F83D5A"/>
    <w:rsid w:val="00F8765F"/>
    <w:rsid w:val="00F90767"/>
    <w:rsid w:val="00F9263C"/>
    <w:rsid w:val="00F92BA4"/>
    <w:rsid w:val="00FA1637"/>
    <w:rsid w:val="00FA685B"/>
    <w:rsid w:val="00FB0C01"/>
    <w:rsid w:val="00FB22E2"/>
    <w:rsid w:val="00FB5934"/>
    <w:rsid w:val="00FC18F2"/>
    <w:rsid w:val="00FC2A17"/>
    <w:rsid w:val="00FC38CF"/>
    <w:rsid w:val="00FC39E5"/>
    <w:rsid w:val="00FC3A78"/>
    <w:rsid w:val="00FD1005"/>
    <w:rsid w:val="00FD1F7F"/>
    <w:rsid w:val="00FD6C75"/>
    <w:rsid w:val="00FD7972"/>
    <w:rsid w:val="00FE0401"/>
    <w:rsid w:val="00FE3B25"/>
    <w:rsid w:val="00FE71B3"/>
    <w:rsid w:val="00FF1CCB"/>
    <w:rsid w:val="00FF42C5"/>
    <w:rsid w:val="00FF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01B01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rsid w:val="0029794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297944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297944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297944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297944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297944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297944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297944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297944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297944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29794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297944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297944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297944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NormalJustified">
    <w:name w:val="Normal_Justified"/>
    <w:basedOn w:val="Normalny"/>
    <w:semiHidden/>
    <w:rsid w:val="00297944"/>
    <w:pPr>
      <w:jc w:val="both"/>
    </w:pPr>
  </w:style>
  <w:style w:type="character" w:styleId="Pogrubienie">
    <w:name w:val="Strong"/>
    <w:uiPriority w:val="98"/>
    <w:semiHidden/>
    <w:qFormat/>
    <w:rsid w:val="00297944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297944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297944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297944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297944"/>
    <w:pPr>
      <w:numPr>
        <w:numId w:val="8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297944"/>
    <w:pPr>
      <w:numPr>
        <w:ilvl w:val="1"/>
        <w:numId w:val="8"/>
      </w:numPr>
    </w:pPr>
  </w:style>
  <w:style w:type="paragraph" w:customStyle="1" w:styleId="JuListi">
    <w:name w:val="Ju_List_i"/>
    <w:aliases w:val="_List_3"/>
    <w:basedOn w:val="NormalJustified"/>
    <w:uiPriority w:val="23"/>
    <w:rsid w:val="00297944"/>
    <w:pPr>
      <w:numPr>
        <w:ilvl w:val="2"/>
        <w:numId w:val="8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297944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297944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297944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297944"/>
    <w:pPr>
      <w:keepNext/>
      <w:keepLines/>
      <w:numPr>
        <w:numId w:val="3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BulletedSquare">
    <w:name w:val="ECHR_A1_Style_Bulleted_Square"/>
    <w:basedOn w:val="Bezlisty"/>
    <w:rsid w:val="00297944"/>
    <w:pPr>
      <w:numPr>
        <w:numId w:val="7"/>
      </w:numPr>
    </w:p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297944"/>
    <w:pPr>
      <w:tabs>
        <w:tab w:val="center" w:pos="851"/>
        <w:tab w:val="center" w:pos="6407"/>
      </w:tabs>
      <w:spacing w:before="720"/>
    </w:pPr>
  </w:style>
  <w:style w:type="paragraph" w:styleId="Tytu">
    <w:name w:val="Title"/>
    <w:basedOn w:val="Normalny"/>
    <w:next w:val="Normalny"/>
    <w:link w:val="TytuZnak"/>
    <w:uiPriority w:val="98"/>
    <w:semiHidden/>
    <w:qFormat/>
    <w:rsid w:val="00297944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297944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numbering" w:customStyle="1" w:styleId="ECHRA1StyleList">
    <w:name w:val="ECHR_A1_Style_List"/>
    <w:basedOn w:val="Bezlisty"/>
    <w:uiPriority w:val="99"/>
    <w:rsid w:val="00297944"/>
    <w:pPr>
      <w:numPr>
        <w:numId w:val="20"/>
      </w:numPr>
    </w:pPr>
  </w:style>
  <w:style w:type="numbering" w:customStyle="1" w:styleId="ECHRA1StyleNumberedList">
    <w:name w:val="ECHR_A1_Style_Numbered_List"/>
    <w:basedOn w:val="Bezlisty"/>
    <w:rsid w:val="00297944"/>
    <w:pPr>
      <w:numPr>
        <w:numId w:val="9"/>
      </w:numPr>
    </w:pPr>
  </w:style>
  <w:style w:type="table" w:customStyle="1" w:styleId="ECHRTable2019">
    <w:name w:val="ECHR_Table_2019"/>
    <w:basedOn w:val="Standardowy"/>
    <w:uiPriority w:val="99"/>
    <w:rsid w:val="00297944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customStyle="1" w:styleId="Footer">
    <w:name w:val="_Footer"/>
    <w:aliases w:val="Footer_"/>
    <w:basedOn w:val="Stopka"/>
    <w:uiPriority w:val="57"/>
    <w:semiHidden/>
    <w:rsid w:val="007D3701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297944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297944"/>
    <w:pPr>
      <w:keepNext/>
      <w:keepLines/>
      <w:numPr>
        <w:ilvl w:val="1"/>
        <w:numId w:val="3"/>
      </w:numPr>
      <w:tabs>
        <w:tab w:val="left" w:pos="454"/>
        <w:tab w:val="left" w:pos="567"/>
        <w:tab w:val="left" w:pos="680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297944"/>
    <w:pPr>
      <w:keepNext/>
      <w:keepLines/>
      <w:numPr>
        <w:ilvl w:val="2"/>
        <w:numId w:val="3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297944"/>
    <w:pPr>
      <w:keepNext/>
      <w:keepLines/>
      <w:numPr>
        <w:ilvl w:val="3"/>
        <w:numId w:val="3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styleId="Nagwek">
    <w:name w:val="header"/>
    <w:basedOn w:val="Normalny"/>
    <w:link w:val="NagwekZnak"/>
    <w:uiPriority w:val="98"/>
    <w:semiHidden/>
    <w:rsid w:val="002979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297944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297944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a0">
    <w:name w:val="Ju_H_a"/>
    <w:aliases w:val="_Head_5"/>
    <w:basedOn w:val="Nagwek5"/>
    <w:next w:val="JuPara"/>
    <w:uiPriority w:val="17"/>
    <w:rsid w:val="00297944"/>
    <w:pPr>
      <w:keepNext/>
      <w:keepLines/>
      <w:numPr>
        <w:ilvl w:val="4"/>
        <w:numId w:val="3"/>
      </w:numPr>
      <w:spacing w:before="100" w:beforeAutospacing="1" w:after="120"/>
      <w:jc w:val="both"/>
    </w:pPr>
    <w:rPr>
      <w:color w:val="auto"/>
      <w:sz w:val="20"/>
    </w:rPr>
  </w:style>
  <w:style w:type="paragraph" w:customStyle="1" w:styleId="JuHi">
    <w:name w:val="Ju_H_i"/>
    <w:aliases w:val="_Head_6"/>
    <w:basedOn w:val="Nagwek6"/>
    <w:next w:val="JuPara"/>
    <w:uiPriority w:val="17"/>
    <w:rsid w:val="00297944"/>
    <w:pPr>
      <w:keepNext/>
      <w:keepLines/>
      <w:numPr>
        <w:ilvl w:val="5"/>
        <w:numId w:val="3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297944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297944"/>
    <w:pPr>
      <w:keepNext/>
      <w:keepLines/>
      <w:numPr>
        <w:ilvl w:val="6"/>
        <w:numId w:val="3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paragraph" w:customStyle="1" w:styleId="JuH">
    <w:name w:val="Ju_H_–"/>
    <w:aliases w:val="_Head_8"/>
    <w:basedOn w:val="Nagwek8"/>
    <w:next w:val="JuPara"/>
    <w:uiPriority w:val="17"/>
    <w:rsid w:val="00297944"/>
    <w:pPr>
      <w:keepNext/>
      <w:keepLines/>
      <w:numPr>
        <w:ilvl w:val="7"/>
        <w:numId w:val="3"/>
      </w:numPr>
      <w:spacing w:before="100" w:beforeAutospacing="1" w:after="120"/>
      <w:jc w:val="both"/>
    </w:pPr>
    <w:rPr>
      <w:i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297944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297944"/>
    <w:pPr>
      <w:keepNext/>
      <w:keepLines/>
      <w:spacing w:before="240" w:after="240"/>
      <w:ind w:firstLine="284"/>
    </w:pPr>
  </w:style>
  <w:style w:type="paragraph" w:customStyle="1" w:styleId="JuJudges">
    <w:name w:val="Ju_Judges"/>
    <w:aliases w:val="_Judges"/>
    <w:basedOn w:val="Normalny"/>
    <w:uiPriority w:val="32"/>
    <w:qFormat/>
    <w:rsid w:val="00297944"/>
    <w:pPr>
      <w:tabs>
        <w:tab w:val="left" w:pos="567"/>
        <w:tab w:val="left" w:pos="1134"/>
      </w:tabs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297944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paragraph" w:customStyle="1" w:styleId="JuInitialled">
    <w:name w:val="Ju_Initialled"/>
    <w:aliases w:val="_Right"/>
    <w:basedOn w:val="Normalny"/>
    <w:uiPriority w:val="30"/>
    <w:qFormat/>
    <w:rsid w:val="00297944"/>
    <w:pPr>
      <w:tabs>
        <w:tab w:val="center" w:pos="6407"/>
      </w:tabs>
      <w:spacing w:before="720"/>
      <w:jc w:val="right"/>
    </w:p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297944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customStyle="1" w:styleId="JuITMark">
    <w:name w:val="Ju_ITMark"/>
    <w:aliases w:val="_ITMark"/>
    <w:basedOn w:val="Domylnaczcionkaakapitu"/>
    <w:uiPriority w:val="54"/>
    <w:qFormat/>
    <w:rsid w:val="00297944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customStyle="1" w:styleId="JUNAMES">
    <w:name w:val="JU_NAMES"/>
    <w:aliases w:val="_Ju_Names"/>
    <w:uiPriority w:val="33"/>
    <w:qFormat/>
    <w:rsid w:val="00297944"/>
    <w:rPr>
      <w:caps w:val="0"/>
      <w:smallCaps/>
    </w:rPr>
  </w:style>
  <w:style w:type="character" w:styleId="Wyrnieniedelikatne">
    <w:name w:val="Subtle Emphasis"/>
    <w:uiPriority w:val="98"/>
    <w:semiHidden/>
    <w:qFormat/>
    <w:rsid w:val="00297944"/>
    <w:rPr>
      <w:i/>
      <w:iCs/>
    </w:rPr>
  </w:style>
  <w:style w:type="table" w:customStyle="1" w:styleId="ECHRTable">
    <w:name w:val="ECHR_Table"/>
    <w:basedOn w:val="Standardowy"/>
    <w:rsid w:val="00297944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297944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character" w:styleId="Uwydatnienie">
    <w:name w:val="Emphasis"/>
    <w:uiPriority w:val="98"/>
    <w:semiHidden/>
    <w:qFormat/>
    <w:rsid w:val="00297944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297944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297944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29794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29794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297944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297944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297944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297944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297944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Hipercze">
    <w:name w:val="Hyperlink"/>
    <w:basedOn w:val="Domylnaczcionkaakapitu"/>
    <w:uiPriority w:val="98"/>
    <w:semiHidden/>
    <w:rsid w:val="00297944"/>
    <w:rPr>
      <w:color w:val="0072BC" w:themeColor="hyperlink"/>
      <w:u w:val="single"/>
    </w:rPr>
  </w:style>
  <w:style w:type="character" w:styleId="Wyrnienieintensywne">
    <w:name w:val="Intense Emphasis"/>
    <w:uiPriority w:val="98"/>
    <w:semiHidden/>
    <w:qFormat/>
    <w:rsid w:val="00297944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297944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297944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297944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297944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297944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297944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297944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297944"/>
    <w:rPr>
      <w:smallCaps/>
    </w:rPr>
  </w:style>
  <w:style w:type="table" w:styleId="Tabela-Siatka">
    <w:name w:val="Table Grid"/>
    <w:basedOn w:val="Standardowy"/>
    <w:uiPriority w:val="59"/>
    <w:semiHidden/>
    <w:rsid w:val="00297944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297944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297944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297944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297944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297944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297944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297944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297944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297944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297944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97944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297944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297944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297944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297944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numbering" w:styleId="111111">
    <w:name w:val="Outline List 2"/>
    <w:basedOn w:val="Bezlisty"/>
    <w:uiPriority w:val="99"/>
    <w:semiHidden/>
    <w:unhideWhenUsed/>
    <w:rsid w:val="00297944"/>
    <w:pPr>
      <w:numPr>
        <w:numId w:val="4"/>
      </w:numPr>
    </w:p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297944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297944"/>
    <w:pPr>
      <w:numPr>
        <w:numId w:val="5"/>
      </w:numPr>
    </w:pPr>
  </w:style>
  <w:style w:type="table" w:customStyle="1" w:styleId="ECHRTableSimpleBox">
    <w:name w:val="ECHR_Table_Simple_Box"/>
    <w:basedOn w:val="Standardowy"/>
    <w:uiPriority w:val="99"/>
    <w:rsid w:val="00297944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297944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297944"/>
    <w:pPr>
      <w:numPr>
        <w:numId w:val="6"/>
      </w:numPr>
    </w:pPr>
  </w:style>
  <w:style w:type="table" w:customStyle="1" w:styleId="ECHRTableForInternalUse">
    <w:name w:val="ECHR_Table_For_Internal_Use"/>
    <w:basedOn w:val="Standardowy"/>
    <w:uiPriority w:val="99"/>
    <w:rsid w:val="00297944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297944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8"/>
    <w:semiHidden/>
    <w:rsid w:val="00297944"/>
  </w:style>
  <w:style w:type="paragraph" w:styleId="Tekstblokowy">
    <w:name w:val="Block Text"/>
    <w:basedOn w:val="Normalny"/>
    <w:uiPriority w:val="98"/>
    <w:semiHidden/>
    <w:rsid w:val="00297944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297944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8"/>
    <w:semiHidden/>
    <w:rsid w:val="002979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297944"/>
    <w:rPr>
      <w:sz w:val="24"/>
      <w:szCs w:val="24"/>
      <w:lang w:val="pl-PL"/>
    </w:rPr>
  </w:style>
  <w:style w:type="table" w:customStyle="1" w:styleId="ECHRTableOddBanded">
    <w:name w:val="ECHR_Table_Odd_Banded"/>
    <w:basedOn w:val="Standardowy"/>
    <w:uiPriority w:val="99"/>
    <w:rsid w:val="00297944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8"/>
    <w:semiHidden/>
    <w:rsid w:val="00297944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297944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aliases w:val="_Case_Name"/>
    <w:basedOn w:val="Normalny"/>
    <w:next w:val="JuPara"/>
    <w:uiPriority w:val="32"/>
    <w:rsid w:val="00297944"/>
    <w:pPr>
      <w:ind w:firstLine="284"/>
      <w:jc w:val="both"/>
    </w:pPr>
    <w:rPr>
      <w:b/>
    </w:rPr>
  </w:style>
  <w:style w:type="character" w:styleId="Numerstrony">
    <w:name w:val="page number"/>
    <w:uiPriority w:val="98"/>
    <w:semiHidden/>
    <w:rsid w:val="00297944"/>
    <w:rPr>
      <w:sz w:val="18"/>
    </w:rPr>
  </w:style>
  <w:style w:type="paragraph" w:styleId="Listapunktowana">
    <w:name w:val="List Bullet"/>
    <w:basedOn w:val="Normalny"/>
    <w:uiPriority w:val="98"/>
    <w:semiHidden/>
    <w:rsid w:val="00297944"/>
    <w:pPr>
      <w:numPr>
        <w:numId w:val="10"/>
      </w:numPr>
    </w:pPr>
  </w:style>
  <w:style w:type="paragraph" w:styleId="Listapunktowana3">
    <w:name w:val="List Bullet 3"/>
    <w:basedOn w:val="Normalny"/>
    <w:uiPriority w:val="98"/>
    <w:semiHidden/>
    <w:rsid w:val="00297944"/>
    <w:pPr>
      <w:numPr>
        <w:numId w:val="12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297944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29794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297944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297944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297944"/>
    <w:rPr>
      <w:sz w:val="24"/>
      <w:szCs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29794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297944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297944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297944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29794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297944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29794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297944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297944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297944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297944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297944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297944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297944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297944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297944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297944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297944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297944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297944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297944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297944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297944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297944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297944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29794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29794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29794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29794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29794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29794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29794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8"/>
    <w:semiHidden/>
    <w:rsid w:val="002979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29794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297944"/>
    <w:rPr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2979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297944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297944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297944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297944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297944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297944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297944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297944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297944"/>
  </w:style>
  <w:style w:type="character" w:customStyle="1" w:styleId="DataZnak">
    <w:name w:val="Data Znak"/>
    <w:basedOn w:val="Domylnaczcionkaakapitu"/>
    <w:link w:val="Data"/>
    <w:uiPriority w:val="98"/>
    <w:semiHidden/>
    <w:rsid w:val="00297944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297944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297944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297944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297944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29794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29794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297944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297944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297944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297944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297944"/>
  </w:style>
  <w:style w:type="paragraph" w:styleId="HTML-adres">
    <w:name w:val="HTML Address"/>
    <w:basedOn w:val="Normalny"/>
    <w:link w:val="HTML-adresZnak"/>
    <w:uiPriority w:val="98"/>
    <w:semiHidden/>
    <w:rsid w:val="00297944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297944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297944"/>
    <w:rPr>
      <w:i/>
      <w:iCs/>
    </w:rPr>
  </w:style>
  <w:style w:type="character" w:styleId="HTML-kod">
    <w:name w:val="HTML Code"/>
    <w:basedOn w:val="Domylnaczcionkaakapitu"/>
    <w:uiPriority w:val="98"/>
    <w:semiHidden/>
    <w:rsid w:val="00297944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297944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297944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297944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297944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297944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297944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297944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297944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297944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297944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297944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297944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297944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297944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297944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297944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297944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297944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297944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297944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297944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297944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297944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297944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297944"/>
  </w:style>
  <w:style w:type="paragraph" w:styleId="Lista">
    <w:name w:val="List"/>
    <w:basedOn w:val="Normalny"/>
    <w:uiPriority w:val="98"/>
    <w:semiHidden/>
    <w:rsid w:val="00297944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297944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297944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297944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297944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297944"/>
    <w:pPr>
      <w:numPr>
        <w:numId w:val="11"/>
      </w:numPr>
      <w:contextualSpacing/>
    </w:pPr>
  </w:style>
  <w:style w:type="paragraph" w:styleId="Listapunktowana4">
    <w:name w:val="List Bullet 4"/>
    <w:basedOn w:val="Normalny"/>
    <w:uiPriority w:val="98"/>
    <w:semiHidden/>
    <w:rsid w:val="00297944"/>
    <w:pPr>
      <w:numPr>
        <w:numId w:val="13"/>
      </w:numPr>
      <w:contextualSpacing/>
    </w:pPr>
  </w:style>
  <w:style w:type="paragraph" w:styleId="Listapunktowana5">
    <w:name w:val="List Bullet 5"/>
    <w:basedOn w:val="Normalny"/>
    <w:uiPriority w:val="98"/>
    <w:semiHidden/>
    <w:rsid w:val="00297944"/>
    <w:pPr>
      <w:numPr>
        <w:numId w:val="14"/>
      </w:numPr>
      <w:contextualSpacing/>
    </w:pPr>
  </w:style>
  <w:style w:type="paragraph" w:styleId="Lista-kontynuacja">
    <w:name w:val="List Continue"/>
    <w:basedOn w:val="Normalny"/>
    <w:uiPriority w:val="98"/>
    <w:semiHidden/>
    <w:rsid w:val="00297944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297944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297944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297944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297944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297944"/>
    <w:pPr>
      <w:numPr>
        <w:numId w:val="15"/>
      </w:numPr>
      <w:contextualSpacing/>
    </w:pPr>
  </w:style>
  <w:style w:type="paragraph" w:styleId="Listanumerowana2">
    <w:name w:val="List Number 2"/>
    <w:basedOn w:val="Normalny"/>
    <w:uiPriority w:val="98"/>
    <w:semiHidden/>
    <w:rsid w:val="00297944"/>
    <w:pPr>
      <w:numPr>
        <w:numId w:val="16"/>
      </w:numPr>
      <w:contextualSpacing/>
    </w:pPr>
  </w:style>
  <w:style w:type="paragraph" w:styleId="Listanumerowana3">
    <w:name w:val="List Number 3"/>
    <w:basedOn w:val="Normalny"/>
    <w:uiPriority w:val="98"/>
    <w:semiHidden/>
    <w:rsid w:val="00297944"/>
    <w:pPr>
      <w:numPr>
        <w:numId w:val="17"/>
      </w:numPr>
      <w:contextualSpacing/>
    </w:pPr>
  </w:style>
  <w:style w:type="paragraph" w:styleId="Listanumerowana4">
    <w:name w:val="List Number 4"/>
    <w:basedOn w:val="Normalny"/>
    <w:uiPriority w:val="98"/>
    <w:semiHidden/>
    <w:rsid w:val="00297944"/>
    <w:pPr>
      <w:numPr>
        <w:numId w:val="18"/>
      </w:numPr>
      <w:contextualSpacing/>
    </w:pPr>
  </w:style>
  <w:style w:type="paragraph" w:styleId="Listanumerowana5">
    <w:name w:val="List Number 5"/>
    <w:basedOn w:val="Normalny"/>
    <w:uiPriority w:val="98"/>
    <w:semiHidden/>
    <w:rsid w:val="00297944"/>
    <w:pPr>
      <w:numPr>
        <w:numId w:val="19"/>
      </w:numPr>
      <w:contextualSpacing/>
    </w:pPr>
  </w:style>
  <w:style w:type="paragraph" w:styleId="Tekstmakra">
    <w:name w:val="macro"/>
    <w:link w:val="TekstmakraZnak"/>
    <w:uiPriority w:val="98"/>
    <w:semiHidden/>
    <w:rsid w:val="0029794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297944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29794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29794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29794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29794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29794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29794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29794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29794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29794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29794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29794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29794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29794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29794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29794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29794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29794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29794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29794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29794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29794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297944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29794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297944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297944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297944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297944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297944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297944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297944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297944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297944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297944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297944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297944"/>
    <w:rPr>
      <w:sz w:val="24"/>
      <w:szCs w:val="24"/>
      <w:lang w:val="pl-PL"/>
    </w:rPr>
  </w:style>
  <w:style w:type="table" w:styleId="Tabela-Efekty3W1">
    <w:name w:val="Table 3D effects 1"/>
    <w:basedOn w:val="Standardowy"/>
    <w:uiPriority w:val="99"/>
    <w:semiHidden/>
    <w:unhideWhenUsed/>
    <w:rsid w:val="00297944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rsid w:val="00297944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rsid w:val="00297944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297944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297944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297944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297944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297944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297944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297944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297944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297944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297944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297944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297944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297944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297944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297944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297944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297944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297944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297944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297944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297944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297944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297944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297944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297944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297944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297944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297944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297944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297944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297944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297944"/>
  </w:style>
  <w:style w:type="table" w:styleId="Tabela-Profesjonalny">
    <w:name w:val="Table Professional"/>
    <w:basedOn w:val="Standardowy"/>
    <w:uiPriority w:val="99"/>
    <w:semiHidden/>
    <w:unhideWhenUsed/>
    <w:rsid w:val="00297944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297944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297944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297944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297944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297944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297944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297944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297944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297944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297944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297944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297944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297944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64393B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297944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297944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297944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HeaderLandscape">
    <w:name w:val="ECHR_Header_Landscape"/>
    <w:aliases w:val="_Header_Landscape"/>
    <w:basedOn w:val="JuHeader"/>
    <w:uiPriority w:val="29"/>
    <w:rsid w:val="00297944"/>
    <w:pPr>
      <w:tabs>
        <w:tab w:val="center" w:pos="6146"/>
        <w:tab w:val="right" w:pos="13778"/>
      </w:tabs>
      <w:ind w:left="-1474" w:right="-1474"/>
    </w:p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297944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297944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297944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297944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297944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297944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297944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297944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297944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297944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qFormat/>
    <w:rsid w:val="00297944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297944"/>
    <w:pPr>
      <w:keepNext/>
      <w:keepLines/>
      <w:numPr>
        <w:ilvl w:val="8"/>
        <w:numId w:val="3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297944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297944"/>
    <w:pPr>
      <w:numPr>
        <w:numId w:val="9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297944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297944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297944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297944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297944"/>
    <w:rPr>
      <w:color w:val="C00000" w:themeColor="accent2"/>
    </w:rPr>
  </w:style>
  <w:style w:type="paragraph" w:customStyle="1" w:styleId="DecList">
    <w:name w:val="Dec_List"/>
    <w:aliases w:val="_List"/>
    <w:basedOn w:val="JuList"/>
    <w:uiPriority w:val="22"/>
    <w:rsid w:val="00297944"/>
    <w:pPr>
      <w:numPr>
        <w:numId w:val="0"/>
      </w:numPr>
      <w:ind w:left="284"/>
    </w:pPr>
  </w:style>
  <w:style w:type="table" w:customStyle="1" w:styleId="ECHRTable2">
    <w:name w:val="ECHR_Table_2"/>
    <w:basedOn w:val="Standardowy"/>
    <w:uiPriority w:val="99"/>
    <w:rsid w:val="00297944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297944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297944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297944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297944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297944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297944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297944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297944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297944"/>
    <w:pPr>
      <w:outlineLvl w:val="0"/>
    </w:pPr>
  </w:style>
  <w:style w:type="paragraph" w:customStyle="1" w:styleId="ECHRPlaceholder">
    <w:name w:val="ECHR_Placeholder"/>
    <w:aliases w:val="_Placeholder"/>
    <w:basedOn w:val="JuSigned"/>
    <w:uiPriority w:val="31"/>
    <w:rsid w:val="00297944"/>
    <w:rPr>
      <w:color w:val="FFFFFF"/>
    </w:rPr>
  </w:style>
  <w:style w:type="paragraph" w:customStyle="1" w:styleId="ECHRSpacer">
    <w:name w:val="ECHR_Spacer"/>
    <w:aliases w:val="_Spacer"/>
    <w:basedOn w:val="Normalny"/>
    <w:uiPriority w:val="45"/>
    <w:semiHidden/>
    <w:rsid w:val="00297944"/>
    <w:rPr>
      <w:sz w:val="4"/>
    </w:rPr>
  </w:style>
  <w:style w:type="table" w:customStyle="1" w:styleId="ECHRTableGrey">
    <w:name w:val="ECHR_Table_Grey"/>
    <w:basedOn w:val="Standardowy"/>
    <w:uiPriority w:val="99"/>
    <w:rsid w:val="00297944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JuParaChar">
    <w:name w:val="Ju_Para Char"/>
    <w:aliases w:val="_Para Char"/>
    <w:link w:val="JuPara"/>
    <w:uiPriority w:val="4"/>
    <w:rsid w:val="00DF10C4"/>
    <w:rPr>
      <w:sz w:val="24"/>
      <w:szCs w:val="24"/>
      <w:lang w:val="pl-PL"/>
    </w:rPr>
  </w:style>
  <w:style w:type="character" w:customStyle="1" w:styleId="JuNames0">
    <w:name w:val="Ju_Names"/>
    <w:rsid w:val="00DF10C4"/>
    <w:rPr>
      <w:smallCaps/>
    </w:rPr>
  </w:style>
  <w:style w:type="paragraph" w:customStyle="1" w:styleId="JuList4">
    <w:name w:val="Ju_List_4"/>
    <w:aliases w:val="N_Bul_4"/>
    <w:basedOn w:val="JuListi"/>
    <w:uiPriority w:val="19"/>
    <w:rsid w:val="00DF10C4"/>
    <w:pPr>
      <w:numPr>
        <w:ilvl w:val="0"/>
        <w:numId w:val="0"/>
      </w:numPr>
      <w:tabs>
        <w:tab w:val="num" w:pos="1701"/>
      </w:tabs>
      <w:spacing w:before="60" w:after="60" w:line="240" w:lineRule="exact"/>
      <w:ind w:left="1703" w:hanging="284"/>
      <w:contextualSpacing/>
    </w:pPr>
    <w:rPr>
      <w:sz w:val="22"/>
      <w:lang w:eastAsia="fr-FR"/>
    </w:rPr>
  </w:style>
  <w:style w:type="paragraph" w:styleId="Poprawka">
    <w:name w:val="Revision"/>
    <w:hidden/>
    <w:uiPriority w:val="99"/>
    <w:semiHidden/>
    <w:rsid w:val="00DF10C4"/>
    <w:rPr>
      <w:rFonts w:eastAsiaTheme="minorEastAsia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F10C4"/>
    <w:rPr>
      <w:color w:val="605E5C"/>
      <w:shd w:val="clear" w:color="auto" w:fill="E1DFDD"/>
    </w:rPr>
  </w:style>
  <w:style w:type="table" w:styleId="Tabelasiatki1jasna">
    <w:name w:val="Grid Table 1 Light"/>
    <w:basedOn w:val="Standardowy"/>
    <w:uiPriority w:val="46"/>
    <w:semiHidden/>
    <w:rsid w:val="00DF10C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1">
    <w:name w:val="Grid Table 1 Light Accent 1"/>
    <w:basedOn w:val="Standardowy"/>
    <w:uiPriority w:val="46"/>
    <w:semiHidden/>
    <w:rsid w:val="00DF10C4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DF10C4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DF10C4"/>
    <w:tblPr>
      <w:tblStyleRowBandSize w:val="1"/>
      <w:tblStyleColBandSize w:val="1"/>
      <w:tblBorders>
        <w:top w:val="single" w:sz="4" w:space="0" w:color="BFBFBF" w:themeColor="accent3" w:themeTint="66"/>
        <w:left w:val="single" w:sz="4" w:space="0" w:color="BFBFBF" w:themeColor="accent3" w:themeTint="66"/>
        <w:bottom w:val="single" w:sz="4" w:space="0" w:color="BFBFBF" w:themeColor="accent3" w:themeTint="66"/>
        <w:right w:val="single" w:sz="4" w:space="0" w:color="BFBFBF" w:themeColor="accent3" w:themeTint="66"/>
        <w:insideH w:val="single" w:sz="4" w:space="0" w:color="BFBFBF" w:themeColor="accent3" w:themeTint="66"/>
        <w:insideV w:val="single" w:sz="4" w:space="0" w:color="BFBFB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DF10C4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DF10C4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DF10C4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DF10C4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DF10C4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DF10C4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DF10C4"/>
    <w:tblPr>
      <w:tblStyleRowBandSize w:val="1"/>
      <w:tblStyleColBandSize w:val="1"/>
      <w:tblBorders>
        <w:top w:val="single" w:sz="2" w:space="0" w:color="9F9F9F" w:themeColor="accent3" w:themeTint="99"/>
        <w:bottom w:val="single" w:sz="2" w:space="0" w:color="9F9F9F" w:themeColor="accent3" w:themeTint="99"/>
        <w:insideH w:val="single" w:sz="2" w:space="0" w:color="9F9F9F" w:themeColor="accent3" w:themeTint="99"/>
        <w:insideV w:val="single" w:sz="2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3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DF10C4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DF10C4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DF10C4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DF10C4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DF10C4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DF10C4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DF10C4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DF10C4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DF10C4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DF10C4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DF10C4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DF10C4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DF10C4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DF10C4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DF10C4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DF10C4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DF10C4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DF10C4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DF10C4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DF10C4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DF10C4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BFBFBF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DF10C4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DF10C4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DF10C4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DF10C4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DF10C4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DF10C4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DF10C4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DF10C4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DF10C4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DF10C4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DF10C4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DF10C4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DF10C4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DF10C4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DF10C4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DF10C4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DF10C4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DF10C4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DF10C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DF10C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DF10C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DF10C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DF10C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DF10C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DF10C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DF10C4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DF10C4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DF10C4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DF10C4"/>
    <w:tblPr>
      <w:tblStyleRowBandSize w:val="1"/>
      <w:tblStyleColBandSize w:val="1"/>
      <w:tblBorders>
        <w:top w:val="single" w:sz="4" w:space="0" w:color="9F9F9F" w:themeColor="accent3" w:themeTint="99"/>
        <w:bottom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DF10C4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DF10C4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DF10C4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DF10C4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DF10C4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DF10C4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DF10C4"/>
    <w:tblPr>
      <w:tblStyleRowBandSize w:val="1"/>
      <w:tblStyleColBandSize w:val="1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3"/>
          <w:right w:val="single" w:sz="4" w:space="0" w:color="5F5F5F" w:themeColor="accent3"/>
        </w:tcBorders>
      </w:tcPr>
    </w:tblStylePr>
    <w:tblStylePr w:type="band1Horz">
      <w:tblPr/>
      <w:tcPr>
        <w:tcBorders>
          <w:top w:val="single" w:sz="4" w:space="0" w:color="5F5F5F" w:themeColor="accent3"/>
          <w:bottom w:val="single" w:sz="4" w:space="0" w:color="5F5F5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3"/>
          <w:left w:val="nil"/>
        </w:tcBorders>
      </w:tcPr>
    </w:tblStylePr>
    <w:tblStylePr w:type="swCell">
      <w:tblPr/>
      <w:tcPr>
        <w:tcBorders>
          <w:top w:val="double" w:sz="4" w:space="0" w:color="5F5F5F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DF10C4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DF10C4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DF10C4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DF10C4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DF10C4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DF10C4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DF10C4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DF10C4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DF10C4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DF10C4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DF10C4"/>
    <w:rPr>
      <w:color w:val="0072BC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DF10C4"/>
    <w:rPr>
      <w:color w:val="0072BC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DF10C4"/>
    <w:rPr>
      <w:color w:val="0072BC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DF10C4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3"/>
        <w:left w:val="single" w:sz="24" w:space="0" w:color="5F5F5F" w:themeColor="accent3"/>
        <w:bottom w:val="single" w:sz="24" w:space="0" w:color="5F5F5F" w:themeColor="accent3"/>
        <w:right w:val="single" w:sz="24" w:space="0" w:color="5F5F5F" w:themeColor="accent3"/>
      </w:tblBorders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DF10C4"/>
    <w:rPr>
      <w:color w:val="0072BC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DF10C4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DF10C4"/>
    <w:rPr>
      <w:color w:val="0072BC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DF10C4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DF10C4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DF10C4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DF10C4"/>
    <w:rPr>
      <w:color w:val="474747" w:themeColor="accent3" w:themeShade="BF"/>
    </w:rPr>
    <w:tblPr>
      <w:tblStyleRowBandSize w:val="1"/>
      <w:tblStyleColBandSize w:val="1"/>
      <w:tblBorders>
        <w:top w:val="single" w:sz="4" w:space="0" w:color="5F5F5F" w:themeColor="accent3"/>
        <w:bottom w:val="single" w:sz="4" w:space="0" w:color="5F5F5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DF10C4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DF10C4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DF10C4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DF10C4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DF10C4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DF10C4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DF10C4"/>
    <w:rPr>
      <w:color w:val="47474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3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3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3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3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DF10C4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DF10C4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DF10C4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DF10C4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DF10C4"/>
    <w:tblPr>
      <w:tblStyleRowBandSize w:val="1"/>
      <w:tblStyleColBandSize w:val="1"/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00548C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DF10C4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DF10C4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DF10C4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DF10C4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0072BC" w:themeFill="background1"/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9"/>
    <w:semiHidden/>
    <w:unhideWhenUsed/>
    <w:rsid w:val="00DF10C4"/>
    <w:rPr>
      <w:u w:val="dotted"/>
    </w:rPr>
  </w:style>
  <w:style w:type="character" w:customStyle="1" w:styleId="Inteligentnylink1">
    <w:name w:val="Inteligentny link1"/>
    <w:basedOn w:val="Domylnaczcionkaakapitu"/>
    <w:uiPriority w:val="99"/>
    <w:semiHidden/>
    <w:unhideWhenUsed/>
    <w:rsid w:val="00DF10C4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DF10C4"/>
    <w:tblPr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</w:style>
  <w:style w:type="paragraph" w:customStyle="1" w:styleId="DummyStyle">
    <w:name w:val="Dummy_Style"/>
    <w:aliases w:val="_Dummy"/>
    <w:basedOn w:val="Normalny"/>
    <w:semiHidden/>
    <w:qFormat/>
    <w:rsid w:val="00297944"/>
    <w:rPr>
      <w:color w:val="00B050"/>
      <w:sz w:val="22"/>
    </w:rPr>
  </w:style>
  <w:style w:type="paragraph" w:customStyle="1" w:styleId="jucase0">
    <w:name w:val="jucase"/>
    <w:basedOn w:val="Normalny"/>
    <w:rsid w:val="007A6D44"/>
    <w:pPr>
      <w:ind w:firstLine="284"/>
      <w:jc w:val="both"/>
    </w:pPr>
    <w:rPr>
      <w:rFonts w:ascii="Times New Roman" w:eastAsia="Times New Roman" w:hAnsi="Times New Roman" w:cs="Times New Roman"/>
      <w:b/>
      <w:bCs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2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A9125-0A6E-4AD8-9695-35DB79891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5662</Words>
  <Characters>33976</Characters>
  <Application>Microsoft Office Word</Application>
  <DocSecurity>0</DocSecurity>
  <Lines>283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39559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2022-07-22T15:36:00Z</dcterms:created>
  <dcterms:modified xsi:type="dcterms:W3CDTF">2022-07-22T15:55:00Z</dcterms:modified>
  <cp:category/>
</cp:coreProperties>
</file>