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7FCDCB" w14:textId="75DCD4DF" w:rsidR="00FE5A85" w:rsidRPr="007A0DBC" w:rsidRDefault="002944D0" w:rsidP="00814588">
      <w:pPr>
        <w:pStyle w:val="DecHTitle"/>
        <w:tabs>
          <w:tab w:val="left" w:pos="3261"/>
        </w:tabs>
      </w:pPr>
      <w:r w:rsidRPr="007A0DBC">
        <w:t>EUROPEJSKI TRYBUNAŁ PRAW CZŁOWIEKA</w:t>
      </w:r>
    </w:p>
    <w:p w14:paraId="7D7F038B" w14:textId="1D05BF6A" w:rsidR="0098410D" w:rsidRPr="00195BA6" w:rsidRDefault="00FE5A85" w:rsidP="00195BA6">
      <w:pPr>
        <w:pStyle w:val="DecHTitle"/>
      </w:pPr>
      <w:r>
        <w:t>SEKCJA PIERWSZA</w:t>
      </w:r>
    </w:p>
    <w:p w14:paraId="0CB7E662" w14:textId="3C46E110" w:rsidR="008E6217" w:rsidRPr="00195BA6" w:rsidRDefault="008E6217" w:rsidP="00195BA6">
      <w:pPr>
        <w:pStyle w:val="JuTitle"/>
      </w:pPr>
      <w:bookmarkStart w:id="0" w:name="To"/>
      <w:r>
        <w:t xml:space="preserve">SPRAWA </w:t>
      </w:r>
      <w:bookmarkEnd w:id="0"/>
      <w:r>
        <w:t>STOŁKOWSKI przeciwko POLSCE</w:t>
      </w:r>
    </w:p>
    <w:p w14:paraId="060DECE3" w14:textId="65EB9FD3" w:rsidR="00D74888" w:rsidRPr="00195BA6" w:rsidRDefault="008E6217" w:rsidP="00195BA6">
      <w:pPr>
        <w:pStyle w:val="ECHRCoverTitle4"/>
      </w:pPr>
      <w:r>
        <w:t>(Skarga nr</w:t>
      </w:r>
      <w:r w:rsidR="001A1668">
        <w:t xml:space="preserve"> </w:t>
      </w:r>
      <w:r>
        <w:t>58795/15)</w:t>
      </w:r>
    </w:p>
    <w:p w14:paraId="5F45652E" w14:textId="77777777" w:rsidR="0098410D" w:rsidRPr="00195BA6" w:rsidRDefault="0098410D" w:rsidP="00195BA6">
      <w:pPr>
        <w:pStyle w:val="DecHCase"/>
      </w:pPr>
    </w:p>
    <w:p w14:paraId="04476FB4" w14:textId="63360DDC" w:rsidR="0098410D" w:rsidRPr="00195BA6" w:rsidRDefault="0098410D" w:rsidP="00195BA6">
      <w:pPr>
        <w:pStyle w:val="DecHCase"/>
      </w:pPr>
    </w:p>
    <w:p w14:paraId="47060F5D" w14:textId="77777777" w:rsidR="0098410D" w:rsidRPr="00195BA6" w:rsidRDefault="0098410D" w:rsidP="00195BA6">
      <w:pPr>
        <w:pStyle w:val="DecHCase"/>
      </w:pPr>
    </w:p>
    <w:p w14:paraId="4E8831C2" w14:textId="6549ED9F" w:rsidR="0098410D" w:rsidRPr="00195BA6" w:rsidRDefault="0098410D" w:rsidP="00195BA6">
      <w:pPr>
        <w:pStyle w:val="DecHCase"/>
      </w:pPr>
      <w:r>
        <w:t>WYROK</w:t>
      </w:r>
      <w:r>
        <w:br/>
      </w:r>
    </w:p>
    <w:p w14:paraId="602DD37D" w14:textId="4DB9E9E0" w:rsidR="00195BA6" w:rsidRPr="00195BA6" w:rsidRDefault="00195BA6" w:rsidP="00195BA6">
      <w:pPr>
        <w:pStyle w:val="JuPara"/>
        <w:pBdr>
          <w:top w:val="single" w:sz="4" w:space="1" w:color="auto"/>
          <w:left w:val="single" w:sz="4" w:space="4" w:color="auto"/>
          <w:bottom w:val="single" w:sz="4" w:space="1" w:color="auto"/>
          <w:right w:val="single" w:sz="4" w:space="4" w:color="auto"/>
        </w:pBdr>
        <w:ind w:firstLine="0"/>
      </w:pPr>
      <w:r>
        <w:t xml:space="preserve">Art. 1 Protokołu </w:t>
      </w:r>
      <w:r w:rsidR="0097119B">
        <w:t>nr 1</w:t>
      </w:r>
      <w:r>
        <w:t xml:space="preserve"> • Uregulowanie sposobu korzystania z własności • Nadmierne </w:t>
      </w:r>
      <w:r w:rsidR="0097119B">
        <w:t>obciążenie osobiste</w:t>
      </w:r>
      <w:r>
        <w:t xml:space="preserve"> skarżącego, który nie otrzymał odszkodowania po długotrwałym zajęciu jego samochodu na parking</w:t>
      </w:r>
      <w:r w:rsidR="009D30B1">
        <w:t>u</w:t>
      </w:r>
      <w:r>
        <w:t xml:space="preserve"> policyjnym</w:t>
      </w:r>
      <w:r w:rsidR="009D30B1">
        <w:t>,</w:t>
      </w:r>
      <w:r>
        <w:t xml:space="preserve"> skutkując</w:t>
      </w:r>
      <w:r w:rsidR="009D30B1">
        <w:t>ym</w:t>
      </w:r>
      <w:r>
        <w:t xml:space="preserve"> dziesięciokrotnym spadkiem wartości pojazdu</w:t>
      </w:r>
      <w:r w:rsidR="00297EFB">
        <w:t xml:space="preserve"> </w:t>
      </w:r>
    </w:p>
    <w:p w14:paraId="6B9A52FB" w14:textId="77777777" w:rsidR="00195BA6" w:rsidRPr="00195BA6" w:rsidRDefault="00195BA6" w:rsidP="00195BA6">
      <w:pPr>
        <w:pStyle w:val="JuPara"/>
        <w:spacing w:after="240"/>
      </w:pPr>
    </w:p>
    <w:p w14:paraId="59E9CA8C" w14:textId="77777777" w:rsidR="0098410D" w:rsidRPr="00195BA6" w:rsidRDefault="0098410D" w:rsidP="00195BA6">
      <w:pPr>
        <w:pStyle w:val="DecHCase"/>
      </w:pPr>
      <w:r>
        <w:t>STRASBURG</w:t>
      </w:r>
    </w:p>
    <w:p w14:paraId="790C4C59" w14:textId="41E84CFD" w:rsidR="0098410D" w:rsidRPr="00195BA6" w:rsidRDefault="00FE5A85" w:rsidP="00195BA6">
      <w:pPr>
        <w:pStyle w:val="DecHCase"/>
      </w:pPr>
      <w:r>
        <w:rPr>
          <w:rFonts w:ascii="Times New Roman" w:hAnsi="Times New Roman"/>
        </w:rPr>
        <w:t>21 grudnia 2021 r.</w:t>
      </w:r>
    </w:p>
    <w:p w14:paraId="639C566D" w14:textId="3BD14A4A" w:rsidR="007A0DBC" w:rsidRPr="002A5709" w:rsidRDefault="007A0DBC" w:rsidP="007A0DBC">
      <w:pPr>
        <w:pStyle w:val="jucase0"/>
        <w:ind w:firstLine="0"/>
        <w:jc w:val="center"/>
        <w:rPr>
          <w:color w:val="FF0000"/>
          <w:sz w:val="28"/>
          <w:u w:val="single"/>
          <w:lang w:val="pl-PL"/>
        </w:rPr>
      </w:pPr>
      <w:r w:rsidRPr="002A5709">
        <w:rPr>
          <w:color w:val="FF0000"/>
          <w:sz w:val="28"/>
          <w:u w:val="single"/>
          <w:lang w:val="pl-PL"/>
        </w:rPr>
        <w:t>OSTATECZNY</w:t>
      </w:r>
    </w:p>
    <w:p w14:paraId="7FAC6F3B" w14:textId="77777777" w:rsidR="007A0DBC" w:rsidRPr="002A5709" w:rsidRDefault="007A0DBC" w:rsidP="007A0DBC">
      <w:pPr>
        <w:pStyle w:val="jucase0"/>
        <w:ind w:firstLine="0"/>
        <w:jc w:val="center"/>
        <w:rPr>
          <w:b w:val="0"/>
          <w:color w:val="FF0000"/>
          <w:u w:val="single"/>
          <w:lang w:val="pl-PL"/>
        </w:rPr>
      </w:pPr>
    </w:p>
    <w:p w14:paraId="15343042" w14:textId="77777777" w:rsidR="007A0DBC" w:rsidRPr="002A5709" w:rsidRDefault="007A0DBC" w:rsidP="00CE1950">
      <w:pPr>
        <w:pStyle w:val="jucase0"/>
        <w:ind w:firstLine="0"/>
        <w:jc w:val="center"/>
        <w:rPr>
          <w:b w:val="0"/>
          <w:color w:val="FF0000"/>
          <w:sz w:val="28"/>
          <w:lang w:val="pl-PL"/>
        </w:rPr>
      </w:pPr>
      <w:r w:rsidRPr="002A5709">
        <w:rPr>
          <w:b w:val="0"/>
          <w:color w:val="FF0000"/>
          <w:sz w:val="28"/>
          <w:lang w:val="pl-PL"/>
        </w:rPr>
        <w:t>21/03/2022</w:t>
      </w:r>
    </w:p>
    <w:p w14:paraId="4E99C86D" w14:textId="7CAAD9C2" w:rsidR="00195BA6" w:rsidRPr="00195BA6" w:rsidRDefault="00195BA6" w:rsidP="00195BA6">
      <w:pPr>
        <w:pStyle w:val="JuPara"/>
      </w:pPr>
    </w:p>
    <w:p w14:paraId="4170D15A" w14:textId="201C3680" w:rsidR="00195BA6" w:rsidRPr="00195BA6" w:rsidRDefault="00195BA6" w:rsidP="00195BA6">
      <w:pPr>
        <w:pStyle w:val="JuPara"/>
      </w:pPr>
    </w:p>
    <w:p w14:paraId="30D830E5" w14:textId="1B5F477C" w:rsidR="002422B6" w:rsidRPr="00195BA6" w:rsidRDefault="0098410D" w:rsidP="00195BA6">
      <w:pPr>
        <w:rPr>
          <w:i/>
          <w:sz w:val="22"/>
        </w:rPr>
      </w:pPr>
      <w:r>
        <w:rPr>
          <w:i/>
          <w:sz w:val="22"/>
        </w:rPr>
        <w:t>Wyrok ten sta</w:t>
      </w:r>
      <w:r w:rsidR="007A0DBC">
        <w:rPr>
          <w:i/>
          <w:sz w:val="22"/>
        </w:rPr>
        <w:t>ł</w:t>
      </w:r>
      <w:r>
        <w:rPr>
          <w:i/>
          <w:sz w:val="22"/>
        </w:rPr>
        <w:t xml:space="preserve"> się ostateczny na zasadach określonych w art. 44 ust. 2 Konwencji. </w:t>
      </w:r>
      <w:r w:rsidR="00BC0EE9">
        <w:rPr>
          <w:i/>
          <w:sz w:val="22"/>
        </w:rPr>
        <w:t>Wyrok m</w:t>
      </w:r>
      <w:r w:rsidR="0058761E">
        <w:rPr>
          <w:i/>
          <w:sz w:val="22"/>
        </w:rPr>
        <w:t>oże</w:t>
      </w:r>
      <w:r>
        <w:rPr>
          <w:i/>
          <w:sz w:val="22"/>
        </w:rPr>
        <w:t xml:space="preserve"> podlegać korekcie wydawniczej.</w:t>
      </w:r>
    </w:p>
    <w:p w14:paraId="70D88F90" w14:textId="0A465853" w:rsidR="0098410D" w:rsidRPr="00195BA6" w:rsidRDefault="0098410D" w:rsidP="00195BA6">
      <w:pPr>
        <w:sectPr w:rsidR="0098410D" w:rsidRPr="00195BA6"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3F08875E" w14:textId="6DB1264D" w:rsidR="0098410D" w:rsidRPr="00195BA6" w:rsidRDefault="009D30B1" w:rsidP="00195BA6">
      <w:pPr>
        <w:pStyle w:val="JuCase"/>
      </w:pPr>
      <w:r>
        <w:lastRenderedPageBreak/>
        <w:t>W sprawie Stołkowski</w:t>
      </w:r>
      <w:r w:rsidR="0098410D">
        <w:t xml:space="preserve"> przeciwko </w:t>
      </w:r>
      <w:r>
        <w:t>Polsce</w:t>
      </w:r>
    </w:p>
    <w:p w14:paraId="453DE4F5" w14:textId="678A774F" w:rsidR="009F4C8F" w:rsidRPr="00195BA6" w:rsidRDefault="009F4C8F" w:rsidP="00195BA6">
      <w:pPr>
        <w:pStyle w:val="JuPara"/>
      </w:pPr>
      <w:r>
        <w:t>Europejski Trybunał Praw Człowieka (</w:t>
      </w:r>
      <w:r w:rsidR="00814588">
        <w:t>Sekcja Pierwsza</w:t>
      </w:r>
      <w:r>
        <w:t>), zasiadając jako Izba w składzie:</w:t>
      </w:r>
    </w:p>
    <w:p w14:paraId="7285739A" w14:textId="07A899D8" w:rsidR="009F4C8F" w:rsidRPr="00195BA6" w:rsidRDefault="000738A6" w:rsidP="00195BA6">
      <w:pPr>
        <w:pStyle w:val="JuJudges"/>
      </w:pPr>
      <w:r>
        <w:tab/>
        <w:t>Ksenija Turković,</w:t>
      </w:r>
      <w:r>
        <w:rPr>
          <w:i/>
        </w:rPr>
        <w:t xml:space="preserve"> Przewodnicząca,</w:t>
      </w:r>
      <w:r>
        <w:rPr>
          <w:i/>
        </w:rPr>
        <w:br/>
      </w:r>
      <w:r>
        <w:tab/>
        <w:t>Aleš Pejchal,</w:t>
      </w:r>
      <w:r>
        <w:rPr>
          <w:i/>
        </w:rPr>
        <w:br/>
      </w:r>
      <w:r>
        <w:tab/>
        <w:t>Krzysztof Wojtyczek,</w:t>
      </w:r>
      <w:r>
        <w:rPr>
          <w:i/>
        </w:rPr>
        <w:br/>
      </w:r>
      <w:r>
        <w:tab/>
        <w:t>Pauliine Koskelo,</w:t>
      </w:r>
      <w:r>
        <w:rPr>
          <w:i/>
        </w:rPr>
        <w:br/>
      </w:r>
      <w:r>
        <w:tab/>
        <w:t>Tim Eicke,</w:t>
      </w:r>
      <w:r>
        <w:rPr>
          <w:i/>
        </w:rPr>
        <w:br/>
      </w:r>
      <w:r>
        <w:tab/>
        <w:t>Jovan Ilievski,</w:t>
      </w:r>
      <w:r>
        <w:rPr>
          <w:i/>
        </w:rPr>
        <w:br/>
      </w:r>
      <w:r>
        <w:tab/>
        <w:t>Raffaele Sabato,</w:t>
      </w:r>
      <w:r>
        <w:rPr>
          <w:i/>
        </w:rPr>
        <w:t xml:space="preserve"> sędziowie,</w:t>
      </w:r>
      <w:r>
        <w:br/>
        <w:t xml:space="preserve">oraz Renata Degener, </w:t>
      </w:r>
      <w:r>
        <w:rPr>
          <w:i/>
          <w:iCs/>
        </w:rPr>
        <w:t>Kanclerz Sekcji</w:t>
      </w:r>
      <w:r>
        <w:rPr>
          <w:i/>
        </w:rPr>
        <w:t>,</w:t>
      </w:r>
    </w:p>
    <w:p w14:paraId="04B0CAAB" w14:textId="77777777" w:rsidR="00FE5A85" w:rsidRPr="00195BA6" w:rsidRDefault="00FE5A85" w:rsidP="00195BA6">
      <w:pPr>
        <w:pStyle w:val="JuPara"/>
      </w:pPr>
      <w:r>
        <w:t>mając na uwadze</w:t>
      </w:r>
    </w:p>
    <w:p w14:paraId="0D5BAF02" w14:textId="51C461AF" w:rsidR="00FE5A85" w:rsidRPr="00195BA6" w:rsidRDefault="00FE5A85" w:rsidP="00195BA6">
      <w:pPr>
        <w:pStyle w:val="JuPara"/>
      </w:pPr>
      <w:r>
        <w:t>skargę przeciwko Rzeczypospolitej Polskiej wniesioną do Trybunału na</w:t>
      </w:r>
      <w:r w:rsidR="001671B7">
        <w:t> </w:t>
      </w:r>
      <w:r>
        <w:t>podstawie art.</w:t>
      </w:r>
      <w:r w:rsidR="001A1668">
        <w:t xml:space="preserve"> </w:t>
      </w:r>
      <w:r>
        <w:t>34 Konwencji o</w:t>
      </w:r>
      <w:r w:rsidR="001A1668">
        <w:t xml:space="preserve"> </w:t>
      </w:r>
      <w:r>
        <w:t>ochronie praw człowieka i</w:t>
      </w:r>
      <w:r w:rsidR="001A1668">
        <w:t xml:space="preserve"> </w:t>
      </w:r>
      <w:r>
        <w:t>podstawowych wolności („Konwencja”) przez obywatela polskiego</w:t>
      </w:r>
      <w:r w:rsidR="009D30B1">
        <w:t>,</w:t>
      </w:r>
      <w:r>
        <w:t xml:space="preserve"> </w:t>
      </w:r>
      <w:r w:rsidR="009F6094">
        <w:t>p.</w:t>
      </w:r>
      <w:r>
        <w:t xml:space="preserve"> Marka Stołkowskiego („skarżący”)</w:t>
      </w:r>
      <w:r w:rsidR="009D30B1">
        <w:t>,</w:t>
      </w:r>
      <w:r>
        <w:t xml:space="preserve"> w dniu 5 listopada 2015 r.;</w:t>
      </w:r>
    </w:p>
    <w:p w14:paraId="11558BA3" w14:textId="52EDC42E" w:rsidR="00FE5A85" w:rsidRPr="00195BA6" w:rsidRDefault="00FE5A85" w:rsidP="00195BA6">
      <w:pPr>
        <w:pStyle w:val="JuPara"/>
      </w:pPr>
      <w:r>
        <w:t xml:space="preserve">decyzję o zakomunikowaniu </w:t>
      </w:r>
      <w:r w:rsidR="009D30B1">
        <w:t xml:space="preserve">skargi dotyczącej art. 1 Protokołu nr 1 </w:t>
      </w:r>
      <w:r w:rsidR="00307CD8">
        <w:t>do</w:t>
      </w:r>
      <w:r w:rsidR="001671B7">
        <w:t> </w:t>
      </w:r>
      <w:r w:rsidR="00307CD8">
        <w:t xml:space="preserve">Konwencji </w:t>
      </w:r>
      <w:r>
        <w:t xml:space="preserve">Rządowi </w:t>
      </w:r>
      <w:r w:rsidR="009D30B1">
        <w:t>Rzeczypospolitej Polskiej</w:t>
      </w:r>
      <w:r>
        <w:t xml:space="preserve"> („Rząd”)</w:t>
      </w:r>
      <w:r w:rsidR="00307CD8">
        <w:t xml:space="preserve"> oraz uznani</w:t>
      </w:r>
      <w:r w:rsidR="00814588">
        <w:t>u</w:t>
      </w:r>
      <w:r w:rsidR="00307CD8">
        <w:t xml:space="preserve"> pozostałej części skargi za niedopuszczalną</w:t>
      </w:r>
      <w:r w:rsidR="009D30B1">
        <w:t>;</w:t>
      </w:r>
    </w:p>
    <w:p w14:paraId="19DAB0A1" w14:textId="13A93AD8" w:rsidR="00FE5A85" w:rsidRPr="00195BA6" w:rsidRDefault="00FE5A85" w:rsidP="00195BA6">
      <w:pPr>
        <w:pStyle w:val="JuPara"/>
      </w:pPr>
      <w:r>
        <w:t>uwagi przedstawione przez strony;</w:t>
      </w:r>
    </w:p>
    <w:p w14:paraId="75B6BDBE" w14:textId="2118993A" w:rsidR="009F4C8F" w:rsidRPr="00195BA6" w:rsidRDefault="009F4C8F" w:rsidP="00195BA6">
      <w:pPr>
        <w:pStyle w:val="JuPara"/>
      </w:pPr>
      <w:r>
        <w:t>obradując na posiedzeniu niejawnym w dniu 30 listopada 2021 r.,</w:t>
      </w:r>
    </w:p>
    <w:p w14:paraId="7E9A1722" w14:textId="77777777" w:rsidR="009F4C8F" w:rsidRPr="00195BA6" w:rsidRDefault="009F4C8F" w:rsidP="00195BA6">
      <w:pPr>
        <w:pStyle w:val="JuPara"/>
      </w:pPr>
      <w:r>
        <w:t>wydaje następujący wyrok, który został przyjęty w tym dniu:</w:t>
      </w:r>
    </w:p>
    <w:p w14:paraId="78766FF4" w14:textId="77777777" w:rsidR="00FE5A85" w:rsidRPr="00195BA6" w:rsidRDefault="00FE5A85" w:rsidP="00195BA6">
      <w:pPr>
        <w:pStyle w:val="JuHHead"/>
      </w:pPr>
      <w:r>
        <w:t>WPROWADZENIE</w:t>
      </w:r>
    </w:p>
    <w:p w14:paraId="72B1E68A" w14:textId="7CC8B155" w:rsidR="00FE5A85" w:rsidRPr="00195BA6" w:rsidRDefault="0097119B" w:rsidP="00195BA6">
      <w:pPr>
        <w:pStyle w:val="JuPara"/>
      </w:pPr>
      <w:r>
        <w:rPr>
          <w:noProof/>
        </w:rPr>
        <w:t>1</w:t>
      </w:r>
      <w:r w:rsidR="00FE5A85">
        <w:t>.</w:t>
      </w:r>
      <w:r w:rsidR="00297EFB">
        <w:t xml:space="preserve"> </w:t>
      </w:r>
      <w:r w:rsidR="00FE5A85">
        <w:t xml:space="preserve">Niniejsza sprawa dotyczy długotrwałego zajęcia samochodu skarżącego </w:t>
      </w:r>
      <w:r w:rsidR="00FB38CE">
        <w:t>[</w:t>
      </w:r>
      <w:r w:rsidR="00FB38CE" w:rsidRPr="00FB38CE">
        <w:t>umieszczonego</w:t>
      </w:r>
      <w:r w:rsidR="00FB38CE">
        <w:t xml:space="preserve">] </w:t>
      </w:r>
      <w:r w:rsidR="00FE5A85" w:rsidRPr="00FB38CE">
        <w:t>na</w:t>
      </w:r>
      <w:r w:rsidR="00FE5A85">
        <w:t xml:space="preserve"> parkingu policyjnym, zarządzon</w:t>
      </w:r>
      <w:r w:rsidR="009D30B1">
        <w:t>ego</w:t>
      </w:r>
      <w:r w:rsidR="00FE5A85">
        <w:t xml:space="preserve"> w</w:t>
      </w:r>
      <w:r w:rsidR="001A1668">
        <w:t xml:space="preserve"> </w:t>
      </w:r>
      <w:r w:rsidR="00FE5A85">
        <w:t>ramach postępowania karnego prowadzonego przeciwko skarżącemu</w:t>
      </w:r>
      <w:r w:rsidR="009D30B1">
        <w:t>,</w:t>
      </w:r>
      <w:r w:rsidR="00FE5A85">
        <w:t xml:space="preserve"> w</w:t>
      </w:r>
      <w:r w:rsidR="001A1668">
        <w:t xml:space="preserve"> </w:t>
      </w:r>
      <w:r w:rsidR="009558DA">
        <w:t>wyniku</w:t>
      </w:r>
      <w:r w:rsidR="00FE5A85">
        <w:t xml:space="preserve"> którego doszło do</w:t>
      </w:r>
      <w:r w:rsidR="001A1668">
        <w:t xml:space="preserve"> </w:t>
      </w:r>
      <w:r w:rsidR="00FE5A85">
        <w:t>dziesięciokrotnego spadku wartości pojazdu.</w:t>
      </w:r>
    </w:p>
    <w:p w14:paraId="2DE62290" w14:textId="77777777" w:rsidR="00FE5A85" w:rsidRPr="00195BA6" w:rsidRDefault="00FE5A85" w:rsidP="00195BA6">
      <w:pPr>
        <w:pStyle w:val="JuHHead"/>
      </w:pPr>
      <w:r>
        <w:t>FAKTY</w:t>
      </w:r>
    </w:p>
    <w:p w14:paraId="70C8AD79" w14:textId="55A682EE" w:rsidR="00FE5A85" w:rsidRPr="00195BA6" w:rsidRDefault="0097119B" w:rsidP="00195BA6">
      <w:pPr>
        <w:pStyle w:val="JuPara"/>
      </w:pPr>
      <w:r>
        <w:rPr>
          <w:noProof/>
        </w:rPr>
        <w:t>2</w:t>
      </w:r>
      <w:r w:rsidR="00FE5A85">
        <w:t>.</w:t>
      </w:r>
      <w:r w:rsidR="00297EFB">
        <w:t xml:space="preserve"> </w:t>
      </w:r>
      <w:r w:rsidR="00FE5A85">
        <w:t>Skarżący urodził się w</w:t>
      </w:r>
      <w:r w:rsidR="001A1668">
        <w:t xml:space="preserve"> </w:t>
      </w:r>
      <w:r w:rsidR="00FE5A85">
        <w:t>1975</w:t>
      </w:r>
      <w:r w:rsidR="001A1668">
        <w:t xml:space="preserve"> </w:t>
      </w:r>
      <w:r w:rsidR="00FE5A85">
        <w:t>r. i jest osadzony w Zakładzie Karnym w</w:t>
      </w:r>
      <w:r w:rsidR="001671B7">
        <w:t> </w:t>
      </w:r>
      <w:r w:rsidR="00FE5A85">
        <w:t xml:space="preserve">Siedlcach. </w:t>
      </w:r>
      <w:r w:rsidR="009558DA">
        <w:t>Otrzymał</w:t>
      </w:r>
      <w:r w:rsidR="009558DA">
        <w:t xml:space="preserve"> </w:t>
      </w:r>
      <w:r w:rsidR="003F6E8B">
        <w:t>bezpłatną</w:t>
      </w:r>
      <w:r w:rsidR="003F6E8B">
        <w:t xml:space="preserve"> </w:t>
      </w:r>
      <w:r w:rsidR="009558DA">
        <w:t>pomoc prawną i był reprezentowany</w:t>
      </w:r>
      <w:r w:rsidR="00FE5A85">
        <w:t xml:space="preserve"> </w:t>
      </w:r>
      <w:r w:rsidR="009558DA">
        <w:t xml:space="preserve">przez </w:t>
      </w:r>
      <w:r w:rsidR="009F6094">
        <w:t>p.</w:t>
      </w:r>
      <w:r w:rsidR="00FE5A85">
        <w:t xml:space="preserve"> A. Bzdyń, prawnik pr</w:t>
      </w:r>
      <w:r w:rsidR="009F6094">
        <w:t>owadząc</w:t>
      </w:r>
      <w:r w:rsidR="009558DA">
        <w:t>ą</w:t>
      </w:r>
      <w:r w:rsidR="009F6094">
        <w:t xml:space="preserve"> praktykę</w:t>
      </w:r>
      <w:r w:rsidR="00FE5A85">
        <w:t xml:space="preserve"> w Warszawie.</w:t>
      </w:r>
    </w:p>
    <w:p w14:paraId="5DB3FFE1" w14:textId="48620023" w:rsidR="00FE5A85" w:rsidRPr="00195BA6" w:rsidRDefault="0097119B" w:rsidP="00195BA6">
      <w:pPr>
        <w:pStyle w:val="JuPara"/>
      </w:pPr>
      <w:r>
        <w:rPr>
          <w:noProof/>
        </w:rPr>
        <w:t>3</w:t>
      </w:r>
      <w:r w:rsidR="00FE5A85">
        <w:t>.</w:t>
      </w:r>
      <w:r w:rsidR="00297EFB">
        <w:t xml:space="preserve"> </w:t>
      </w:r>
      <w:r w:rsidR="00FE5A85">
        <w:t>Rząd reprezentowany był przez swoj</w:t>
      </w:r>
      <w:r w:rsidR="00FB38CE">
        <w:t>ą</w:t>
      </w:r>
      <w:r w:rsidR="00FE5A85">
        <w:t xml:space="preserve"> pełnomocnik</w:t>
      </w:r>
      <w:r w:rsidR="009F6094">
        <w:t xml:space="preserve"> </w:t>
      </w:r>
      <w:r w:rsidR="00FE5A85">
        <w:t>p.</w:t>
      </w:r>
      <w:r w:rsidR="009F6094">
        <w:t xml:space="preserve"> </w:t>
      </w:r>
      <w:r w:rsidR="00FE5A85">
        <w:t>J. Chrzanowską, a następnie przez p. J.</w:t>
      </w:r>
      <w:r w:rsidR="001A1668">
        <w:t xml:space="preserve"> </w:t>
      </w:r>
      <w:r w:rsidR="00FE5A85">
        <w:t>Sobczaka z</w:t>
      </w:r>
      <w:r w:rsidR="001A1668">
        <w:t xml:space="preserve"> </w:t>
      </w:r>
      <w:r w:rsidR="00FE5A85">
        <w:t>Ministerstwa Spraw Zagranicznych.</w:t>
      </w:r>
    </w:p>
    <w:p w14:paraId="5D6C3D91" w14:textId="72AC18ED" w:rsidR="00FE5A85" w:rsidRPr="00195BA6" w:rsidRDefault="0097119B" w:rsidP="00195BA6">
      <w:pPr>
        <w:pStyle w:val="JuPara"/>
      </w:pPr>
      <w:r>
        <w:rPr>
          <w:noProof/>
        </w:rPr>
        <w:t>4</w:t>
      </w:r>
      <w:r w:rsidR="00FE5A85">
        <w:t>.</w:t>
      </w:r>
      <w:r w:rsidR="00297EFB">
        <w:t xml:space="preserve"> </w:t>
      </w:r>
      <w:r w:rsidR="00FE5A85">
        <w:t>Stan faktyczny sprawy, przedstawiony przez strony, można streścić następująco.</w:t>
      </w:r>
    </w:p>
    <w:p w14:paraId="1C82D3EC" w14:textId="4F45309C" w:rsidR="00FE5A85" w:rsidRPr="00195BA6" w:rsidRDefault="0097119B" w:rsidP="00195BA6">
      <w:pPr>
        <w:pStyle w:val="JuPara"/>
      </w:pPr>
      <w:r>
        <w:rPr>
          <w:noProof/>
        </w:rPr>
        <w:t>5</w:t>
      </w:r>
      <w:r w:rsidR="00FE5A85">
        <w:t>.</w:t>
      </w:r>
      <w:r w:rsidR="00297EFB">
        <w:t xml:space="preserve"> </w:t>
      </w:r>
      <w:r w:rsidR="00FE5A85">
        <w:t>W dniu 8 lutego 2005</w:t>
      </w:r>
      <w:r w:rsidR="00776319">
        <w:t xml:space="preserve"> r</w:t>
      </w:r>
      <w:r w:rsidR="00FE5A85">
        <w:t>. policja zajęła należący do skarżącego samochód marki Peugeot XV 1.6, ro</w:t>
      </w:r>
      <w:r w:rsidR="00776319">
        <w:t>k produkcji</w:t>
      </w:r>
      <w:r w:rsidR="00FE5A85">
        <w:t xml:space="preserve"> 1998.</w:t>
      </w:r>
    </w:p>
    <w:p w14:paraId="6208BBF4" w14:textId="7C431741" w:rsidR="00FE5A85" w:rsidRPr="00195BA6" w:rsidRDefault="0097119B" w:rsidP="00195BA6">
      <w:pPr>
        <w:pStyle w:val="JuPara"/>
      </w:pPr>
      <w:r>
        <w:rPr>
          <w:noProof/>
        </w:rPr>
        <w:t>6</w:t>
      </w:r>
      <w:r w:rsidR="00FE5A85">
        <w:t>.</w:t>
      </w:r>
      <w:r w:rsidR="00297EFB">
        <w:t xml:space="preserve"> </w:t>
      </w:r>
      <w:r w:rsidR="00FE5A85">
        <w:t xml:space="preserve">W dniu 11 lutego 2005 r. Prokurator Okręgowy w Siedlcach wydał postanowienie </w:t>
      </w:r>
      <w:r w:rsidR="00776319">
        <w:t>zezwalające na zajęcie</w:t>
      </w:r>
      <w:r w:rsidR="00FE5A85">
        <w:t xml:space="preserve"> samochodu (dalej zwane „postanowieniem o zabezpieczeniu majątkowym”) w celu zabezpieczenia </w:t>
      </w:r>
      <w:r w:rsidR="00776319">
        <w:lastRenderedPageBreak/>
        <w:t>zapłaty</w:t>
      </w:r>
      <w:r w:rsidR="00FE5A85">
        <w:t xml:space="preserve"> wszelkich grzywien lub </w:t>
      </w:r>
      <w:r w:rsidR="00776319">
        <w:t>odszkodowań, jakie mogą zostać nałożone w</w:t>
      </w:r>
      <w:r w:rsidR="001671B7">
        <w:t> </w:t>
      </w:r>
      <w:r w:rsidR="00776319">
        <w:t xml:space="preserve">toczącym się w tym czasie postępowaniu karnym przeciwko skarżącemu. </w:t>
      </w:r>
      <w:r w:rsidR="00FE5A85">
        <w:t xml:space="preserve">Postanowienie </w:t>
      </w:r>
      <w:r w:rsidR="00776319">
        <w:t>wydano</w:t>
      </w:r>
      <w:r w:rsidR="00FE5A85">
        <w:t xml:space="preserve"> na mocy art. 291 </w:t>
      </w:r>
      <w:r w:rsidR="00361F49">
        <w:t xml:space="preserve">Kodeksu </w:t>
      </w:r>
      <w:r w:rsidR="00FE5A85">
        <w:t>postępowania karnego.</w:t>
      </w:r>
    </w:p>
    <w:p w14:paraId="041F7AD4" w14:textId="34E01B5D" w:rsidR="00FE5A85" w:rsidRPr="00195BA6" w:rsidRDefault="0097119B" w:rsidP="00195BA6">
      <w:pPr>
        <w:pStyle w:val="JuPara"/>
      </w:pPr>
      <w:r>
        <w:rPr>
          <w:noProof/>
        </w:rPr>
        <w:t>7</w:t>
      </w:r>
      <w:r w:rsidR="00FE5A85">
        <w:t>.</w:t>
      </w:r>
      <w:r w:rsidR="00297EFB">
        <w:t xml:space="preserve"> </w:t>
      </w:r>
      <w:r w:rsidR="00FE5A85">
        <w:t>W dniu 1 marca 2005 r. Sąd Rejonowy w Siedlcach nadał postanowieniu o zabezpieczeniu majątkowym klauzulę wykonalności.</w:t>
      </w:r>
    </w:p>
    <w:p w14:paraId="46B7BBCE" w14:textId="14869747" w:rsidR="00FE5A85" w:rsidRPr="00195BA6" w:rsidRDefault="0097119B" w:rsidP="00195BA6">
      <w:pPr>
        <w:pStyle w:val="JuPara"/>
      </w:pPr>
      <w:r>
        <w:rPr>
          <w:noProof/>
        </w:rPr>
        <w:t>8</w:t>
      </w:r>
      <w:r w:rsidR="00FE5A85">
        <w:t>.</w:t>
      </w:r>
      <w:r w:rsidR="00297EFB">
        <w:t xml:space="preserve"> </w:t>
      </w:r>
      <w:r w:rsidR="00FE5A85">
        <w:t>W dniu 11 maja 2005 r. Sąd Rejonowy w Siedlcach oddalił zażalenie skarżącego na postanowienie o zabezpieczeniu majątkowym, tym samym utrzymując</w:t>
      </w:r>
      <w:r w:rsidR="00776319">
        <w:t xml:space="preserve"> w mocy</w:t>
      </w:r>
      <w:r w:rsidR="00FE5A85">
        <w:t xml:space="preserve"> zajęcie przedmiotowego pojazdu.</w:t>
      </w:r>
    </w:p>
    <w:p w14:paraId="11ACAECC" w14:textId="0A664621" w:rsidR="00FE5A85" w:rsidRPr="00195BA6" w:rsidRDefault="0097119B" w:rsidP="00195BA6">
      <w:pPr>
        <w:pStyle w:val="JuPara"/>
      </w:pPr>
      <w:r>
        <w:rPr>
          <w:noProof/>
        </w:rPr>
        <w:t>9</w:t>
      </w:r>
      <w:r w:rsidR="00FE5A85">
        <w:t>.</w:t>
      </w:r>
      <w:r w:rsidR="00297EFB">
        <w:t xml:space="preserve"> </w:t>
      </w:r>
      <w:r w:rsidR="00FE5A85">
        <w:t>W dniu 13 maja 2005 r. komornik sądowy formalnie zajął samochód i</w:t>
      </w:r>
      <w:r w:rsidR="001671B7">
        <w:t> </w:t>
      </w:r>
      <w:r w:rsidR="00FE5A85">
        <w:t>zabezpieczył go na parkingu komisariatu policji.</w:t>
      </w:r>
    </w:p>
    <w:p w14:paraId="28BA7D3C" w14:textId="109D1078" w:rsidR="00FE5A85" w:rsidRPr="00195BA6" w:rsidRDefault="0097119B" w:rsidP="00195BA6">
      <w:pPr>
        <w:pStyle w:val="JuPara"/>
      </w:pPr>
      <w:r>
        <w:rPr>
          <w:noProof/>
        </w:rPr>
        <w:t>10</w:t>
      </w:r>
      <w:r w:rsidR="00FE5A85">
        <w:t>.</w:t>
      </w:r>
      <w:r w:rsidR="00297EFB">
        <w:t xml:space="preserve"> </w:t>
      </w:r>
      <w:r w:rsidR="00FE5A85">
        <w:t>Kopie powyższych postanowień nie zostały przedłożone Trybunałowi.</w:t>
      </w:r>
    </w:p>
    <w:p w14:paraId="15633852" w14:textId="765024AE" w:rsidR="00FE5A85" w:rsidRPr="00195BA6" w:rsidRDefault="0097119B" w:rsidP="00195BA6">
      <w:pPr>
        <w:pStyle w:val="JuPara"/>
      </w:pPr>
      <w:r>
        <w:rPr>
          <w:noProof/>
        </w:rPr>
        <w:t>11</w:t>
      </w:r>
      <w:r w:rsidR="00FE5A85">
        <w:t>.</w:t>
      </w:r>
      <w:r w:rsidR="00297EFB">
        <w:t xml:space="preserve"> </w:t>
      </w:r>
      <w:r w:rsidR="00FE5A85">
        <w:t>Biegły sądowy oszacował wartość samochodu na dzień zajęcia na</w:t>
      </w:r>
      <w:r w:rsidR="001671B7">
        <w:t> </w:t>
      </w:r>
      <w:r w:rsidR="00FE5A85">
        <w:t>14</w:t>
      </w:r>
      <w:r w:rsidR="001671B7">
        <w:t> </w:t>
      </w:r>
      <w:r w:rsidR="00FE5A85">
        <w:t xml:space="preserve">100 </w:t>
      </w:r>
      <w:r w:rsidR="00776319">
        <w:t>złotych polskich</w:t>
      </w:r>
      <w:r w:rsidR="00FE5A85">
        <w:t xml:space="preserve"> (PLN – ok. 3525 euro (EUR)). W tym czasie samochód nie miał ważnego zaświadczenia o przeglądzie technicznym.</w:t>
      </w:r>
    </w:p>
    <w:p w14:paraId="1A746D3F" w14:textId="6D0A5393" w:rsidR="00FE5A85" w:rsidRPr="00195BA6" w:rsidRDefault="0097119B" w:rsidP="00195BA6">
      <w:pPr>
        <w:pStyle w:val="JuPara"/>
      </w:pPr>
      <w:r>
        <w:rPr>
          <w:noProof/>
        </w:rPr>
        <w:t>12</w:t>
      </w:r>
      <w:r w:rsidR="00FE5A85">
        <w:t>.</w:t>
      </w:r>
      <w:r w:rsidR="00297EFB">
        <w:t xml:space="preserve"> </w:t>
      </w:r>
      <w:r w:rsidR="00FE5A85">
        <w:t>W dniu 30 grudnia 2005 r. Sąd</w:t>
      </w:r>
      <w:r w:rsidR="00CD5B81">
        <w:rPr>
          <w:rStyle w:val="Odwoanieprzypisudolnego"/>
        </w:rPr>
        <w:footnoteReference w:id="2"/>
      </w:r>
      <w:r w:rsidR="00FE5A85">
        <w:t xml:space="preserve"> </w:t>
      </w:r>
      <w:r w:rsidR="00FE5A85" w:rsidRPr="00CD5B81">
        <w:t xml:space="preserve">Okręgowy w Siedlcach </w:t>
      </w:r>
      <w:r w:rsidR="00D6223D" w:rsidRPr="002A5709">
        <w:t xml:space="preserve">postawił </w:t>
      </w:r>
      <w:r w:rsidR="00FE5A85" w:rsidRPr="002A5709">
        <w:t>skarżące</w:t>
      </w:r>
      <w:r w:rsidR="00D6223D" w:rsidRPr="002A5709">
        <w:t>mu zarzut</w:t>
      </w:r>
      <w:r w:rsidR="00FE5A85" w:rsidRPr="00CD5B81">
        <w:t xml:space="preserve"> rozb</w:t>
      </w:r>
      <w:r w:rsidR="00D6223D" w:rsidRPr="00CD5B81">
        <w:t>oju</w:t>
      </w:r>
      <w:r w:rsidR="00FE5A85" w:rsidRPr="00CD5B81">
        <w:t xml:space="preserve"> i oszustw</w:t>
      </w:r>
      <w:r w:rsidR="00D6223D" w:rsidRPr="00CD5B81">
        <w:t>a</w:t>
      </w:r>
      <w:r w:rsidR="00FE5A85" w:rsidRPr="00CD5B81">
        <w:t xml:space="preserve"> popełnion</w:t>
      </w:r>
      <w:r w:rsidR="00D6223D" w:rsidRPr="00CD5B81">
        <w:t>ych</w:t>
      </w:r>
      <w:r w:rsidR="00FE5A85" w:rsidRPr="00CD5B81">
        <w:t xml:space="preserve"> w</w:t>
      </w:r>
      <w:r w:rsidR="001A1668" w:rsidRPr="00CD5B81">
        <w:t xml:space="preserve"> </w:t>
      </w:r>
      <w:r w:rsidR="00FE5A85" w:rsidRPr="00CD5B81">
        <w:t>ramach zorganizowanej grupy przestępczej.</w:t>
      </w:r>
    </w:p>
    <w:p w14:paraId="7F8FB9FD" w14:textId="51CE5320" w:rsidR="00FE5A85" w:rsidRPr="00195BA6" w:rsidRDefault="0097119B" w:rsidP="00195BA6">
      <w:pPr>
        <w:pStyle w:val="JuPara"/>
      </w:pPr>
      <w:r>
        <w:rPr>
          <w:noProof/>
        </w:rPr>
        <w:t>13</w:t>
      </w:r>
      <w:r w:rsidR="00FE5A85">
        <w:t>.</w:t>
      </w:r>
      <w:r w:rsidR="00297EFB">
        <w:t xml:space="preserve"> </w:t>
      </w:r>
      <w:r w:rsidR="00FE5A85">
        <w:t>Sąd Rejonowy w Siedlcach w dniu 6 maja 2009 r. skazał go</w:t>
      </w:r>
      <w:r w:rsidR="001A1668">
        <w:t xml:space="preserve"> </w:t>
      </w:r>
      <w:r w:rsidR="00FE5A85">
        <w:t>za</w:t>
      </w:r>
      <w:r w:rsidR="001671B7">
        <w:t> </w:t>
      </w:r>
      <w:r w:rsidR="00FE5A85">
        <w:t>popełnienie zarzucanych mu czynów (sygn. akt. II K 25/06).</w:t>
      </w:r>
    </w:p>
    <w:p w14:paraId="47DF1047" w14:textId="7357D9E0" w:rsidR="00FE5A85" w:rsidRPr="00195BA6" w:rsidRDefault="0097119B" w:rsidP="00195BA6">
      <w:pPr>
        <w:pStyle w:val="JuPara"/>
      </w:pPr>
      <w:r>
        <w:rPr>
          <w:noProof/>
        </w:rPr>
        <w:t>14</w:t>
      </w:r>
      <w:r w:rsidR="009D163C">
        <w:t>.</w:t>
      </w:r>
      <w:r w:rsidR="00297EFB">
        <w:t xml:space="preserve"> </w:t>
      </w:r>
      <w:r w:rsidR="00FE5A85">
        <w:t>W dniu 8 marca 2010 r. Sąd Okręgowy</w:t>
      </w:r>
      <w:r w:rsidR="00776319">
        <w:t xml:space="preserve"> w Siedlcach</w:t>
      </w:r>
      <w:r w:rsidR="00FE5A85">
        <w:t xml:space="preserve"> uchylił wyrok i</w:t>
      </w:r>
      <w:r w:rsidR="001671B7">
        <w:t> </w:t>
      </w:r>
      <w:r w:rsidR="00FE5A85">
        <w:t>przekazał sprawę do ponownego rozpoznania (II Ka 436/09).</w:t>
      </w:r>
    </w:p>
    <w:p w14:paraId="538046E3" w14:textId="0C4E4BC2" w:rsidR="00FE5A85" w:rsidRPr="00195BA6" w:rsidRDefault="0097119B" w:rsidP="00195BA6">
      <w:pPr>
        <w:pStyle w:val="JuPara"/>
      </w:pPr>
      <w:r>
        <w:rPr>
          <w:noProof/>
        </w:rPr>
        <w:t>15</w:t>
      </w:r>
      <w:r w:rsidR="009D163C">
        <w:t>.</w:t>
      </w:r>
      <w:r w:rsidR="00297EFB">
        <w:t xml:space="preserve"> </w:t>
      </w:r>
      <w:r w:rsidR="00FE5A85">
        <w:t>Sąd Okręgowy w Siedlcach w dniu 16 września 2010 r. zarządził sprzedaż samochodu i złożenie środków uzyskanych ze sprzedaży do</w:t>
      </w:r>
      <w:r w:rsidR="001671B7">
        <w:t> </w:t>
      </w:r>
      <w:r w:rsidR="00FE5A85">
        <w:t>depozytu sądu prowadzącego sprawę.</w:t>
      </w:r>
    </w:p>
    <w:p w14:paraId="7B2C5D29" w14:textId="32BCFBD0" w:rsidR="00FE5A85" w:rsidRPr="00195BA6" w:rsidRDefault="0097119B" w:rsidP="00195BA6">
      <w:pPr>
        <w:pStyle w:val="JuPara"/>
      </w:pPr>
      <w:r>
        <w:rPr>
          <w:noProof/>
        </w:rPr>
        <w:t>16</w:t>
      </w:r>
      <w:r w:rsidR="009D163C">
        <w:t>.</w:t>
      </w:r>
      <w:r w:rsidR="00297EFB">
        <w:t xml:space="preserve"> </w:t>
      </w:r>
      <w:r w:rsidR="00FE5A85">
        <w:t>W dniu 17 czerwca 2011 r. Sąd Okręgowy w Siedlcach skazał skarżącego na karę pięciu lat pozbawienia wolności. Zasądzono również od</w:t>
      </w:r>
      <w:r w:rsidR="001671B7">
        <w:t> </w:t>
      </w:r>
      <w:r w:rsidR="00FE5A85">
        <w:t>niego 6000 PLN (1500 EUR) tytułem odszkodowania wobec pokrzywdzonego i koszty sądowe w wysokości 1400 PLN (350 EUR).</w:t>
      </w:r>
    </w:p>
    <w:p w14:paraId="6FFEE0E8" w14:textId="17152618" w:rsidR="00FE5A85" w:rsidRPr="00195BA6" w:rsidRDefault="0097119B" w:rsidP="00195BA6">
      <w:pPr>
        <w:pStyle w:val="JuPara"/>
      </w:pPr>
      <w:r>
        <w:rPr>
          <w:noProof/>
        </w:rPr>
        <w:t>17</w:t>
      </w:r>
      <w:r w:rsidR="009D163C">
        <w:t>.</w:t>
      </w:r>
      <w:r w:rsidR="00297EFB">
        <w:t xml:space="preserve"> </w:t>
      </w:r>
      <w:r w:rsidR="00FE5A85">
        <w:t>Licytację</w:t>
      </w:r>
      <w:r w:rsidR="009D163C">
        <w:t xml:space="preserve"> pojazdu</w:t>
      </w:r>
      <w:r w:rsidR="00FE5A85">
        <w:t xml:space="preserve"> zaplanowano dwukrotnie w nieokreślonych terminach w roku 2010 lub 2011. Samochodu nie sprzedano z uwagi na brak </w:t>
      </w:r>
      <w:r w:rsidR="009D163C">
        <w:t>nabywców</w:t>
      </w:r>
      <w:r w:rsidR="00FE5A85">
        <w:t>. Od czasu zajęcia samochód pozostawał w posiadaniu policji.</w:t>
      </w:r>
    </w:p>
    <w:p w14:paraId="20071D98" w14:textId="21631DCB" w:rsidR="00FE5A85" w:rsidRPr="00195BA6" w:rsidRDefault="0097119B" w:rsidP="00195BA6">
      <w:pPr>
        <w:pStyle w:val="JuPara"/>
      </w:pPr>
      <w:r>
        <w:rPr>
          <w:noProof/>
        </w:rPr>
        <w:t>18</w:t>
      </w:r>
      <w:r w:rsidR="009D163C">
        <w:t>.</w:t>
      </w:r>
      <w:r w:rsidR="00297EFB">
        <w:t xml:space="preserve"> </w:t>
      </w:r>
      <w:r w:rsidR="00FE5A85">
        <w:t>W tym czasie skarżący rzekomo zyskał możliwość odebrania swojego samochodu, z której nie skorzystał.</w:t>
      </w:r>
    </w:p>
    <w:p w14:paraId="4C0706B1" w14:textId="727ABBA0" w:rsidR="00FE5A85" w:rsidRPr="00195BA6" w:rsidRDefault="0097119B" w:rsidP="00195BA6">
      <w:pPr>
        <w:pStyle w:val="JuPara"/>
      </w:pPr>
      <w:r>
        <w:rPr>
          <w:noProof/>
        </w:rPr>
        <w:t>19</w:t>
      </w:r>
      <w:r w:rsidR="009D163C">
        <w:t>.</w:t>
      </w:r>
      <w:r w:rsidR="00297EFB">
        <w:t xml:space="preserve"> </w:t>
      </w:r>
      <w:r w:rsidR="00FE5A85">
        <w:t xml:space="preserve">W </w:t>
      </w:r>
      <w:r w:rsidR="009D163C">
        <w:t>2012 r.</w:t>
      </w:r>
      <w:r w:rsidR="00FE5A85">
        <w:t xml:space="preserve"> skarżący pozwał Skarb Państwa o 15 000 PLN </w:t>
      </w:r>
      <w:r w:rsidR="009D163C">
        <w:t>za</w:t>
      </w:r>
      <w:r w:rsidR="00FE5A85">
        <w:t xml:space="preserve"> utrat</w:t>
      </w:r>
      <w:r w:rsidR="009D163C">
        <w:t>ę</w:t>
      </w:r>
      <w:r w:rsidR="00FE5A85">
        <w:t xml:space="preserve"> zajętego samochodu.</w:t>
      </w:r>
    </w:p>
    <w:p w14:paraId="4498902A" w14:textId="697CE2E2" w:rsidR="00FE5A85" w:rsidRPr="00195BA6" w:rsidRDefault="0097119B" w:rsidP="00195BA6">
      <w:pPr>
        <w:pStyle w:val="JuPara"/>
      </w:pPr>
      <w:r>
        <w:rPr>
          <w:noProof/>
        </w:rPr>
        <w:t>20</w:t>
      </w:r>
      <w:r w:rsidR="009D163C">
        <w:t>.</w:t>
      </w:r>
      <w:r w:rsidR="00297EFB">
        <w:t xml:space="preserve"> </w:t>
      </w:r>
      <w:r w:rsidR="00FE5A85">
        <w:t>W dniu 13 czerwca 2013</w:t>
      </w:r>
      <w:r w:rsidR="009D163C">
        <w:t xml:space="preserve"> r</w:t>
      </w:r>
      <w:r w:rsidR="00FE5A85">
        <w:t>. biegły sądowy wycenił wartość samochodu na 1300 PLN (325 EUR). Jego zdaniem spadek wartości wynikał z</w:t>
      </w:r>
      <w:r w:rsidR="001671B7">
        <w:t> </w:t>
      </w:r>
      <w:r w:rsidR="00FE5A85">
        <w:t xml:space="preserve">długotrwałego postoju pojazdu, podczas którego </w:t>
      </w:r>
      <w:r w:rsidR="009D163C">
        <w:t xml:space="preserve">samochód </w:t>
      </w:r>
      <w:r w:rsidR="00FE5A85">
        <w:t xml:space="preserve">nie był zabezpieczony przed korozją, nie wymieniano oleju i nie ładowano akumulatora. W opinii biegłego powyższe czynności nie </w:t>
      </w:r>
      <w:r w:rsidR="009D163C">
        <w:t>wchodziły w zakres</w:t>
      </w:r>
      <w:r w:rsidR="00FE5A85">
        <w:t xml:space="preserve"> rutynowej konserwacji pojazdów przechowywanych przez policję. Biegły </w:t>
      </w:r>
      <w:r w:rsidR="00FE5A85">
        <w:lastRenderedPageBreak/>
        <w:t xml:space="preserve">doszedł do wniosku, iż </w:t>
      </w:r>
      <w:r w:rsidR="00FD3E45">
        <w:t>spadek wartości</w:t>
      </w:r>
      <w:r w:rsidR="00FE5A85">
        <w:t xml:space="preserve"> samochodu nie wynikał zatem z</w:t>
      </w:r>
      <w:r w:rsidR="001671B7">
        <w:t> </w:t>
      </w:r>
      <w:r w:rsidR="00FE5A85">
        <w:t>nie</w:t>
      </w:r>
      <w:r w:rsidR="00FD3E45">
        <w:t>do</w:t>
      </w:r>
      <w:r w:rsidR="00FE5A85">
        <w:t xml:space="preserve">chowania staranności </w:t>
      </w:r>
      <w:r w:rsidR="00FD3E45">
        <w:t>przez organy</w:t>
      </w:r>
      <w:r w:rsidR="00FE5A85">
        <w:t xml:space="preserve"> odpowiedzialn</w:t>
      </w:r>
      <w:r w:rsidR="00FD3E45">
        <w:t xml:space="preserve">e </w:t>
      </w:r>
      <w:r w:rsidR="00FE5A85">
        <w:t>za</w:t>
      </w:r>
      <w:r w:rsidR="001671B7">
        <w:t> </w:t>
      </w:r>
      <w:r w:rsidR="00FE5A85">
        <w:t>przechowywanie pojazdu.</w:t>
      </w:r>
    </w:p>
    <w:p w14:paraId="2BDF6942" w14:textId="0EC6E2B2" w:rsidR="00FE5A85" w:rsidRPr="00195BA6" w:rsidRDefault="0097119B" w:rsidP="00195BA6">
      <w:pPr>
        <w:pStyle w:val="JuPara"/>
      </w:pPr>
      <w:r>
        <w:rPr>
          <w:noProof/>
        </w:rPr>
        <w:t>21</w:t>
      </w:r>
      <w:r w:rsidR="009660A5">
        <w:t>.</w:t>
      </w:r>
      <w:r w:rsidR="00297EFB">
        <w:t xml:space="preserve"> </w:t>
      </w:r>
      <w:r w:rsidR="00FE5A85">
        <w:t xml:space="preserve">W dniu 15 października 2013 r. Sąd Rejonowy w Siedlcach przyznał skarżącemu odszkodowanie w wysokości 2100 PLN (525 </w:t>
      </w:r>
      <w:r w:rsidR="00710A9B">
        <w:t>EUR</w:t>
      </w:r>
      <w:r w:rsidR="00FE5A85">
        <w:t>), utrzymując, iż fatalny stan samochodu wynikał częściowo z upływu czasu, a</w:t>
      </w:r>
      <w:r w:rsidR="001A1668">
        <w:t xml:space="preserve"> </w:t>
      </w:r>
      <w:r w:rsidR="00FE5A85">
        <w:t>częściowo z</w:t>
      </w:r>
      <w:r w:rsidR="001671B7">
        <w:t> </w:t>
      </w:r>
      <w:r w:rsidR="00FE5A85">
        <w:t xml:space="preserve">niezapewnienia właściwej konserwacji pojazdu przez organy odpowiedzialne za jego przechowywanie. W odniesieniu do ostatniej kwestii sąd uznał, że jeżeli </w:t>
      </w:r>
      <w:r w:rsidR="00FD3E45">
        <w:t>–</w:t>
      </w:r>
      <w:r w:rsidR="00FE5A85">
        <w:t xml:space="preserve"> jak stwierdził biegły </w:t>
      </w:r>
      <w:r w:rsidR="00FD3E45">
        <w:t>–</w:t>
      </w:r>
      <w:r w:rsidR="00FE5A85">
        <w:t xml:space="preserve"> niewykonani</w:t>
      </w:r>
      <w:r w:rsidR="00FD3E45">
        <w:t>e</w:t>
      </w:r>
      <w:r w:rsidR="00FE5A85">
        <w:t xml:space="preserve"> </w:t>
      </w:r>
      <w:r w:rsidR="002073C9">
        <w:t xml:space="preserve">czynności </w:t>
      </w:r>
      <w:r w:rsidR="00FE5A85">
        <w:t>konserwacyjnych</w:t>
      </w:r>
      <w:r w:rsidR="00FD3E45">
        <w:t>,</w:t>
      </w:r>
      <w:r w:rsidR="00FE5A85">
        <w:t xml:space="preserve"> takich jak zabezpieczenie samochodu przed korozją, wymiana oleju czy ładowanie akumulatora</w:t>
      </w:r>
      <w:r w:rsidR="00FD3E45">
        <w:t>,</w:t>
      </w:r>
      <w:r w:rsidR="00FE5A85">
        <w:t xml:space="preserve"> doprowadziło do</w:t>
      </w:r>
      <w:r w:rsidR="001A1668">
        <w:t xml:space="preserve"> </w:t>
      </w:r>
      <w:r w:rsidR="00FE5A85">
        <w:t>pogorszenia stanu technicznego samochod</w:t>
      </w:r>
      <w:r w:rsidR="00FD3E45">
        <w:t>u</w:t>
      </w:r>
      <w:r w:rsidR="00FE5A85">
        <w:t xml:space="preserve">, rzeczone czynności byłyby zatem wymagane </w:t>
      </w:r>
      <w:r w:rsidR="00FD3E45">
        <w:t>w celu należytego przechowywania</w:t>
      </w:r>
      <w:r w:rsidR="00FE5A85">
        <w:t>. Innymi słowy sąd nie zgodził się z</w:t>
      </w:r>
      <w:r w:rsidR="001671B7">
        <w:t> </w:t>
      </w:r>
      <w:r w:rsidR="00FE5A85">
        <w:t>biegłym w stwierdzeniu, iż wymienione przez niego środki były „dodatkowe”, a nie rutynowe.</w:t>
      </w:r>
    </w:p>
    <w:p w14:paraId="34D5E630" w14:textId="6936B8A4" w:rsidR="00FE5A85" w:rsidRPr="00195BA6" w:rsidRDefault="00FE5A85" w:rsidP="00195BA6">
      <w:pPr>
        <w:pStyle w:val="JuPara"/>
      </w:pPr>
      <w:r>
        <w:t>Odszkodowanie stanowiło różnicę między wartością rynkową samochodu podobnej marki i modelu utrzymanego w dobrym stanie technicznym, a</w:t>
      </w:r>
      <w:r w:rsidR="001671B7">
        <w:t> </w:t>
      </w:r>
      <w:r>
        <w:t>wartością rzeczonego samochodu.</w:t>
      </w:r>
    </w:p>
    <w:p w14:paraId="0CEC97C8" w14:textId="0EABC726" w:rsidR="00FE5A85" w:rsidRPr="00195BA6" w:rsidRDefault="0097119B" w:rsidP="00195BA6">
      <w:pPr>
        <w:pStyle w:val="JuPara"/>
      </w:pPr>
      <w:r>
        <w:rPr>
          <w:noProof/>
        </w:rPr>
        <w:t>22</w:t>
      </w:r>
      <w:r w:rsidR="009660A5">
        <w:t>.</w:t>
      </w:r>
      <w:r w:rsidR="00297EFB">
        <w:t xml:space="preserve"> </w:t>
      </w:r>
      <w:r w:rsidR="00FE5A85">
        <w:t xml:space="preserve">W dniu 25 marca 2014 r. Sąd Okręgowy w Siedlcach uchylił rzeczony wyrok i przekazał sprawę do ponownego rozpoznania, odnotowując między innymi, iż sąd </w:t>
      </w:r>
      <w:r w:rsidR="002073C9">
        <w:t xml:space="preserve">pierwszej instancji </w:t>
      </w:r>
      <w:r w:rsidR="00FE5A85">
        <w:t>powinien był zbadać, czy wieloletnie zajęcie samochodu było uzasadnione, czy też należało wcześniej zarządzić sprzedaż pojazdu. Sąd apelacyjny zauważył również, że</w:t>
      </w:r>
      <w:r w:rsidR="001A1668">
        <w:t xml:space="preserve"> </w:t>
      </w:r>
      <w:r w:rsidR="00FE5A85">
        <w:t xml:space="preserve">wniosek, do którego doszedł sąd rozpoznający sprawę, iż spadek wartości samochodu był częściowo </w:t>
      </w:r>
      <w:r w:rsidR="00FD3E45">
        <w:t>s</w:t>
      </w:r>
      <w:r w:rsidR="00FE5A85">
        <w:t>powodowany nienależytą konserwacją, był niespójny z</w:t>
      </w:r>
      <w:r w:rsidR="001671B7">
        <w:t> </w:t>
      </w:r>
      <w:r w:rsidR="00FE5A85">
        <w:t>ustaleniami biegłego.</w:t>
      </w:r>
    </w:p>
    <w:p w14:paraId="6B878D0D" w14:textId="6F03C5EF" w:rsidR="00FE5A85" w:rsidRPr="00195BA6" w:rsidRDefault="0097119B" w:rsidP="00195BA6">
      <w:pPr>
        <w:pStyle w:val="JuPara"/>
        <w:tabs>
          <w:tab w:val="left" w:pos="3969"/>
        </w:tabs>
      </w:pPr>
      <w:r>
        <w:rPr>
          <w:noProof/>
        </w:rPr>
        <w:t>23</w:t>
      </w:r>
      <w:r w:rsidR="009660A5">
        <w:t>.</w:t>
      </w:r>
      <w:r w:rsidR="00297EFB">
        <w:t xml:space="preserve"> </w:t>
      </w:r>
      <w:r w:rsidR="00FE5A85">
        <w:t>W dniu 16 lutego 2015 r. Sąd Rejonowy w Siedlcach oddalił pozew skarżącego. Uznał,</w:t>
      </w:r>
      <w:r w:rsidR="009660A5">
        <w:t xml:space="preserve"> zgodnie z wyceną biegłych,</w:t>
      </w:r>
      <w:r w:rsidR="00FE5A85">
        <w:t xml:space="preserve"> że wartość</w:t>
      </w:r>
      <w:r w:rsidR="009660A5">
        <w:t xml:space="preserve"> jego</w:t>
      </w:r>
      <w:r w:rsidR="00FE5A85">
        <w:t xml:space="preserve"> samochodu wynosiła w 2005 r. 14 100 PLN</w:t>
      </w:r>
      <w:r w:rsidR="009660A5">
        <w:t xml:space="preserve">, </w:t>
      </w:r>
      <w:r w:rsidR="00FE5A85">
        <w:t>a w 2013 r. 1300 PLN</w:t>
      </w:r>
      <w:r w:rsidR="009660A5">
        <w:t>, lecz wskazał</w:t>
      </w:r>
      <w:r w:rsidR="00FE5A85">
        <w:t>, że</w:t>
      </w:r>
      <w:r w:rsidR="001671B7">
        <w:t> </w:t>
      </w:r>
      <w:r w:rsidR="00FE5A85">
        <w:t>skarżący nie udowodnił</w:t>
      </w:r>
      <w:r w:rsidR="009660A5">
        <w:t>,</w:t>
      </w:r>
      <w:r w:rsidR="00FE5A85">
        <w:t xml:space="preserve"> iż szkoda powstała w wyniku „rażącego i</w:t>
      </w:r>
      <w:r w:rsidR="001671B7">
        <w:t> </w:t>
      </w:r>
      <w:r w:rsidR="00FE5A85">
        <w:t>niewątpliwego naruszenia przepisów prawa” ze strony prokuratora i sądu odpowiedzialnego za zajęcie samochodu. W odniesieniu do opinii biegłego z</w:t>
      </w:r>
      <w:r w:rsidR="001671B7">
        <w:t> </w:t>
      </w:r>
      <w:r w:rsidR="00FE5A85">
        <w:t>2013 r. sąd zauważył, że wartość samochodu uległaby zmniejszeniu z</w:t>
      </w:r>
      <w:r w:rsidR="001671B7">
        <w:t> </w:t>
      </w:r>
      <w:r w:rsidR="00FE5A85">
        <w:t xml:space="preserve">czasem niezależnie od </w:t>
      </w:r>
      <w:r w:rsidR="009660A5">
        <w:t>tego, czy został on zajęty, czy też nie, oraz że był przechowywany z należytą starannością.</w:t>
      </w:r>
      <w:r w:rsidR="00FE5A85">
        <w:t xml:space="preserve"> W tej ostatniej kwestii sąd uznał, że</w:t>
      </w:r>
      <w:r w:rsidR="001671B7">
        <w:t> </w:t>
      </w:r>
      <w:r w:rsidR="00FE5A85">
        <w:t>funkcjonariusze policji odpowiedzialni za przechowywanie samochodu na</w:t>
      </w:r>
      <w:r w:rsidR="001671B7">
        <w:t> </w:t>
      </w:r>
      <w:r w:rsidR="00FE5A85">
        <w:t>parkingu policyjnym zostali właściwie</w:t>
      </w:r>
      <w:r w:rsidR="009660A5">
        <w:t xml:space="preserve"> poinformowani</w:t>
      </w:r>
      <w:r w:rsidR="00FE5A85">
        <w:t xml:space="preserve"> o swoich obowiązkach </w:t>
      </w:r>
      <w:r w:rsidR="009660A5">
        <w:t>dotyczących</w:t>
      </w:r>
      <w:r w:rsidR="00FE5A85">
        <w:t xml:space="preserve"> staranności. Samochód został zaparkowany na</w:t>
      </w:r>
      <w:r w:rsidR="001671B7">
        <w:t> </w:t>
      </w:r>
      <w:r w:rsidR="00FE5A85">
        <w:t>parkingu strzeżonym i nie był uszkodzony mechanicznie. Zważywszy na</w:t>
      </w:r>
      <w:r w:rsidR="001671B7">
        <w:t> </w:t>
      </w:r>
      <w:r w:rsidR="00FE5A85">
        <w:t>trudną sytuację materialną skarżącego, sąd postanowił odstąpić od</w:t>
      </w:r>
      <w:r w:rsidR="001671B7">
        <w:t> </w:t>
      </w:r>
      <w:r w:rsidR="00FE5A85">
        <w:t>obciążenia go kosztami sądowymi.</w:t>
      </w:r>
    </w:p>
    <w:p w14:paraId="4A3B0ACE" w14:textId="7ECD4673" w:rsidR="00FE5A85" w:rsidRPr="00195BA6" w:rsidRDefault="0097119B" w:rsidP="00195BA6">
      <w:pPr>
        <w:pStyle w:val="JuPara"/>
      </w:pPr>
      <w:r>
        <w:rPr>
          <w:noProof/>
        </w:rPr>
        <w:t>24</w:t>
      </w:r>
      <w:r w:rsidR="009660A5">
        <w:t>.</w:t>
      </w:r>
      <w:r w:rsidR="00297EFB">
        <w:t xml:space="preserve"> </w:t>
      </w:r>
      <w:r w:rsidR="00FE5A85">
        <w:t>Sąd Okręgowy w Siedlcach w dniu 11 stycznia 2015 r. utrzymał w</w:t>
      </w:r>
      <w:r w:rsidR="001671B7">
        <w:t> </w:t>
      </w:r>
      <w:r w:rsidR="00FE5A85">
        <w:t xml:space="preserve">mocy </w:t>
      </w:r>
      <w:r w:rsidR="009660A5">
        <w:t xml:space="preserve">rzeczony </w:t>
      </w:r>
      <w:r w:rsidR="00FE5A85">
        <w:t xml:space="preserve">wyrok, w stosunku do którego złożono odwołanie, </w:t>
      </w:r>
      <w:r w:rsidR="009660A5">
        <w:t>zatwierdzają</w:t>
      </w:r>
      <w:r w:rsidR="00FE5A85">
        <w:t>c ustalenia faktyczne i prawne sądu pierwszej instancji.</w:t>
      </w:r>
    </w:p>
    <w:p w14:paraId="561A6E01" w14:textId="77777777" w:rsidR="00FE5A85" w:rsidRPr="00195BA6" w:rsidRDefault="00FE5A85" w:rsidP="00195BA6">
      <w:pPr>
        <w:pStyle w:val="JuHHead"/>
      </w:pPr>
      <w:r>
        <w:lastRenderedPageBreak/>
        <w:t>WŁAŚCIWE RAMY PRAWNE I PRAKTYKA</w:t>
      </w:r>
    </w:p>
    <w:p w14:paraId="4EFB0F27" w14:textId="77777777" w:rsidR="00FE5A85" w:rsidRPr="00195BA6" w:rsidRDefault="00FE5A85" w:rsidP="00195BA6">
      <w:pPr>
        <w:pStyle w:val="JuHIRoman"/>
      </w:pPr>
      <w:r>
        <w:t>Własność i zajęcie mienia</w:t>
      </w:r>
    </w:p>
    <w:p w14:paraId="10812F80" w14:textId="2414A7E2" w:rsidR="00FE5A85" w:rsidRPr="00195BA6" w:rsidRDefault="0097119B" w:rsidP="00195BA6">
      <w:pPr>
        <w:pStyle w:val="JuPara"/>
        <w:rPr>
          <w:bCs/>
        </w:rPr>
      </w:pPr>
      <w:r>
        <w:rPr>
          <w:noProof/>
        </w:rPr>
        <w:t>25</w:t>
      </w:r>
      <w:r w:rsidR="00C263D8">
        <w:t>.</w:t>
      </w:r>
      <w:r w:rsidR="00297EFB">
        <w:t xml:space="preserve"> </w:t>
      </w:r>
      <w:r w:rsidR="00FE5A85">
        <w:t>Właściwe prawo krajowe i praktyka dotyczące zajęcia mienia w</w:t>
      </w:r>
      <w:r w:rsidR="001671B7">
        <w:t> </w:t>
      </w:r>
      <w:r w:rsidR="00FE5A85">
        <w:t>postępowaniu karnym zostały przedstawione w decyzji o</w:t>
      </w:r>
      <w:r w:rsidR="001A1668">
        <w:t xml:space="preserve"> </w:t>
      </w:r>
      <w:r w:rsidR="001671B7">
        <w:t> </w:t>
      </w:r>
      <w:r w:rsidR="00FE5A85">
        <w:t xml:space="preserve">niedopuszczalności w sprawie </w:t>
      </w:r>
      <w:r w:rsidR="00FE5A85">
        <w:rPr>
          <w:i/>
          <w:iCs/>
        </w:rPr>
        <w:t>Adamczyk przeciwko Polsce</w:t>
      </w:r>
      <w:r w:rsidR="00FE5A85">
        <w:t xml:space="preserve"> (dec.), skarga nr 28551/04, 7 listopada 2006 r.</w:t>
      </w:r>
    </w:p>
    <w:p w14:paraId="4707FD4B" w14:textId="4779578D" w:rsidR="00FE5A85" w:rsidRPr="00195BA6" w:rsidRDefault="0097119B" w:rsidP="00195BA6">
      <w:pPr>
        <w:pStyle w:val="JuPara"/>
      </w:pPr>
      <w:r>
        <w:rPr>
          <w:bCs/>
          <w:noProof/>
        </w:rPr>
        <w:t>26</w:t>
      </w:r>
      <w:r w:rsidR="00C263D8">
        <w:rPr>
          <w:bCs/>
        </w:rPr>
        <w:t>.</w:t>
      </w:r>
      <w:r w:rsidR="00297EFB">
        <w:t xml:space="preserve"> </w:t>
      </w:r>
      <w:r w:rsidR="00FE5A85">
        <w:t>Ponadto art. 64 Konstytucji stanowi:</w:t>
      </w:r>
    </w:p>
    <w:p w14:paraId="188CFE24" w14:textId="5AD98F0B" w:rsidR="00FE5A85" w:rsidRPr="00195BA6" w:rsidRDefault="00FE5A85" w:rsidP="00195BA6">
      <w:pPr>
        <w:pStyle w:val="JuQuot"/>
      </w:pPr>
      <w:r>
        <w:t>„1.</w:t>
      </w:r>
      <w:r w:rsidR="00297EFB">
        <w:t xml:space="preserve"> </w:t>
      </w:r>
      <w:r>
        <w:t>Każdy ma prawo do własności, innych praw majątkowych oraz prawo dziedziczenia.</w:t>
      </w:r>
    </w:p>
    <w:p w14:paraId="73FE6106" w14:textId="15209CE2" w:rsidR="00FE5A85" w:rsidRPr="00195BA6" w:rsidRDefault="00FE5A85" w:rsidP="00195BA6">
      <w:pPr>
        <w:pStyle w:val="JuQuot"/>
      </w:pPr>
      <w:r>
        <w:t>2.</w:t>
      </w:r>
      <w:r w:rsidR="00297EFB">
        <w:t xml:space="preserve"> </w:t>
      </w:r>
      <w:r>
        <w:t>Własność, inne prawa majątkowe oraz prawo dziedziczenia podlegają równej dla</w:t>
      </w:r>
      <w:r w:rsidR="001671B7">
        <w:t> </w:t>
      </w:r>
      <w:r>
        <w:t>wszystkich ochronie prawnej.</w:t>
      </w:r>
    </w:p>
    <w:p w14:paraId="00DD1AFF" w14:textId="1F2F49B8" w:rsidR="00FE5A85" w:rsidRPr="00195BA6" w:rsidRDefault="00FE5A85" w:rsidP="00195BA6">
      <w:pPr>
        <w:pStyle w:val="JuQuot"/>
      </w:pPr>
      <w:r>
        <w:t>3.</w:t>
      </w:r>
      <w:r w:rsidR="00297EFB">
        <w:t xml:space="preserve"> </w:t>
      </w:r>
      <w:r>
        <w:t>Własność może być ograniczona tylko w drodze ustawy i tylko w zakresie, w</w:t>
      </w:r>
      <w:r w:rsidR="001A1668">
        <w:t xml:space="preserve"> </w:t>
      </w:r>
      <w:r>
        <w:t>jakim nie narusza ona istoty prawa własności.”</w:t>
      </w:r>
    </w:p>
    <w:p w14:paraId="3D6146D5" w14:textId="742BD37C" w:rsidR="00FE5A85" w:rsidRPr="00195BA6" w:rsidRDefault="0097119B" w:rsidP="00195BA6">
      <w:pPr>
        <w:pStyle w:val="JuPara"/>
      </w:pPr>
      <w:r>
        <w:rPr>
          <w:noProof/>
        </w:rPr>
        <w:t>27</w:t>
      </w:r>
      <w:r w:rsidR="00C263D8">
        <w:t>.</w:t>
      </w:r>
      <w:r w:rsidR="00297EFB">
        <w:t xml:space="preserve"> </w:t>
      </w:r>
      <w:r w:rsidR="00FE5A85">
        <w:t xml:space="preserve">Na podstawie art. 217 § 1 </w:t>
      </w:r>
      <w:r w:rsidR="00846C77">
        <w:t>K</w:t>
      </w:r>
      <w:r w:rsidR="00FE5A85">
        <w:t>odeksu postępowania karnego rzeczy mogące stanowić dowód w sprawie lub podlegające zajęciu w celu zabezpieczenia kar majątkowych mogą zająć Policja lub prokurator.</w:t>
      </w:r>
    </w:p>
    <w:p w14:paraId="57E73AF0" w14:textId="505D2C5D" w:rsidR="00FE5A85" w:rsidRPr="00195BA6" w:rsidRDefault="0097119B" w:rsidP="00195BA6">
      <w:pPr>
        <w:pStyle w:val="JuPara"/>
      </w:pPr>
      <w:r>
        <w:rPr>
          <w:noProof/>
        </w:rPr>
        <w:t>28</w:t>
      </w:r>
      <w:r w:rsidR="00C263D8">
        <w:t>.</w:t>
      </w:r>
      <w:r w:rsidR="00297EFB">
        <w:t xml:space="preserve"> </w:t>
      </w:r>
      <w:r w:rsidR="00FE5A85">
        <w:t>Kwestię postanowień o zabezpieczeniu majątkowym na mieniu podejrzanego lub oskarżonego regulują art. 291-295</w:t>
      </w:r>
      <w:r w:rsidR="00FD2B91">
        <w:t xml:space="preserve"> Kodeksu postępowania karnego</w:t>
      </w:r>
      <w:r w:rsidR="00FE5A85">
        <w:t>.</w:t>
      </w:r>
    </w:p>
    <w:p w14:paraId="5CCCDB28" w14:textId="25F74A2D" w:rsidR="00FE5A85" w:rsidRPr="00195BA6" w:rsidRDefault="0097119B" w:rsidP="00195BA6">
      <w:pPr>
        <w:pStyle w:val="JuPara"/>
      </w:pPr>
      <w:r>
        <w:rPr>
          <w:noProof/>
        </w:rPr>
        <w:t>29</w:t>
      </w:r>
      <w:r w:rsidR="00C263D8">
        <w:t>.</w:t>
      </w:r>
      <w:r w:rsidR="00297EFB">
        <w:t xml:space="preserve"> </w:t>
      </w:r>
      <w:r w:rsidR="00FE5A85">
        <w:t xml:space="preserve">Sposób wykonania postanowienia o zabezpieczeniu majątkowym regulują przepisy </w:t>
      </w:r>
      <w:r w:rsidR="00361F49">
        <w:t xml:space="preserve">Kodeksu </w:t>
      </w:r>
      <w:r w:rsidR="00FE5A85">
        <w:t>postępowania cywilnego. W szczególności na</w:t>
      </w:r>
      <w:r w:rsidR="001671B7">
        <w:t> </w:t>
      </w:r>
      <w:r w:rsidR="00FE5A85">
        <w:t xml:space="preserve">mocy art. 856 </w:t>
      </w:r>
      <w:r w:rsidR="003C2B81">
        <w:t>K</w:t>
      </w:r>
      <w:r w:rsidR="00FE5A85">
        <w:t>odeksu osoba, której powierzono dozór ruchomości obowiązana jest go wykonywać z taką starannością, aby rzeczone ruchomości nie straciły nie wartości.</w:t>
      </w:r>
      <w:r w:rsidR="00297EFB">
        <w:t xml:space="preserve"> </w:t>
      </w:r>
      <w:r w:rsidR="00FE5A85">
        <w:t xml:space="preserve">Na podstawie art. 857 </w:t>
      </w:r>
      <w:r w:rsidR="00172A85">
        <w:t>K</w:t>
      </w:r>
      <w:r w:rsidR="00FE5A85">
        <w:t>odeksu postępowania cywilnego dozorca nie odpowiada za uszkodzenie lub zaginięcie</w:t>
      </w:r>
      <w:r w:rsidR="00C263D8">
        <w:t xml:space="preserve"> ruchomości</w:t>
      </w:r>
      <w:r w:rsidR="00FE5A85">
        <w:t>, jeżeli zachował niezbędną staranność.</w:t>
      </w:r>
    </w:p>
    <w:p w14:paraId="6458C39E" w14:textId="0E62E5D4" w:rsidR="00FE5A85" w:rsidRPr="00195BA6" w:rsidRDefault="0097119B" w:rsidP="00195BA6">
      <w:pPr>
        <w:pStyle w:val="JuPara"/>
      </w:pPr>
      <w:r>
        <w:rPr>
          <w:noProof/>
        </w:rPr>
        <w:t>30</w:t>
      </w:r>
      <w:r w:rsidR="00C263D8">
        <w:t>.</w:t>
      </w:r>
      <w:r w:rsidR="00297EFB">
        <w:t xml:space="preserve"> </w:t>
      </w:r>
      <w:r w:rsidR="00FE5A85">
        <w:t>W praktyce organów administracji i sądów krajowych, jak też w</w:t>
      </w:r>
      <w:r w:rsidR="001671B7">
        <w:t> </w:t>
      </w:r>
      <w:r w:rsidR="00C263D8">
        <w:t>doktrynie</w:t>
      </w:r>
      <w:r w:rsidR="00FE5A85">
        <w:t xml:space="preserve"> prawnej, </w:t>
      </w:r>
      <w:r w:rsidR="00A36E3C">
        <w:t>wyżej wymienione</w:t>
      </w:r>
      <w:r w:rsidR="00FE5A85">
        <w:t xml:space="preserve"> przepisy rozumie się jako nakładające obowiązek </w:t>
      </w:r>
      <w:r w:rsidR="008B6C64">
        <w:t>sprawowania pieczy nad mieniem</w:t>
      </w:r>
      <w:r w:rsidR="00FE5A85">
        <w:t>, nie</w:t>
      </w:r>
      <w:r w:rsidR="008B6C64">
        <w:t xml:space="preserve"> zaś</w:t>
      </w:r>
      <w:r w:rsidR="00FE5A85">
        <w:t xml:space="preserve"> tylko jego przechowywania. Spełnienie tego obowiązku ocenia się w odniesieniu do</w:t>
      </w:r>
      <w:r w:rsidR="001671B7">
        <w:t> </w:t>
      </w:r>
      <w:r w:rsidR="00FE5A85">
        <w:t>przepisów prawa cywilnego materialnego regulując</w:t>
      </w:r>
      <w:r w:rsidR="008B6C64">
        <w:t>ych</w:t>
      </w:r>
      <w:r w:rsidR="00FE5A85">
        <w:t xml:space="preserve"> przechowywanie (art. 355 i 471 </w:t>
      </w:r>
      <w:r w:rsidR="00A92757">
        <w:t>K</w:t>
      </w:r>
      <w:r w:rsidR="00FE5A85">
        <w:t>odeksu cywilnego),</w:t>
      </w:r>
      <w:r w:rsidR="008B6C64">
        <w:t xml:space="preserve"> to jest</w:t>
      </w:r>
      <w:r w:rsidR="00FE5A85">
        <w:t xml:space="preserve"> tak</w:t>
      </w:r>
      <w:r w:rsidR="008B6C64">
        <w:t>,</w:t>
      </w:r>
      <w:r w:rsidR="00FE5A85">
        <w:t xml:space="preserve"> jak gdyby </w:t>
      </w:r>
      <w:r w:rsidR="00A92757">
        <w:t xml:space="preserve">na </w:t>
      </w:r>
      <w:r w:rsidR="00FE5A85">
        <w:t>dozorc</w:t>
      </w:r>
      <w:r w:rsidR="00A92757">
        <w:t>y ciążyły zobowiązania w odniesieniu do mienia wynikające z umowy</w:t>
      </w:r>
      <w:r w:rsidR="00FE5A85">
        <w:t xml:space="preserve">. Dozorca musi zatem zachować wystarczającą </w:t>
      </w:r>
      <w:r w:rsidR="0032154A">
        <w:t>troskę</w:t>
      </w:r>
      <w:r w:rsidR="00FE5A85">
        <w:t xml:space="preserve"> </w:t>
      </w:r>
      <w:r w:rsidR="0032154A">
        <w:t>o mienie</w:t>
      </w:r>
      <w:r w:rsidR="00FE5A85">
        <w:t>, tak aby móc zwrócić je w</w:t>
      </w:r>
      <w:r w:rsidR="001671B7">
        <w:t> </w:t>
      </w:r>
      <w:r w:rsidR="00FE5A85">
        <w:t>stanie niepogorszonym i aby rzeczy oddane w</w:t>
      </w:r>
      <w:r w:rsidR="0032154A">
        <w:t xml:space="preserve"> dozór nie straciły na</w:t>
      </w:r>
      <w:r w:rsidR="001671B7">
        <w:t> </w:t>
      </w:r>
      <w:r w:rsidR="0032154A">
        <w:t>wartości</w:t>
      </w:r>
      <w:r w:rsidR="00FE5A85">
        <w:t>. Dozorca jest wolny od odpowiedzialności za pogorszenie lub utratę wartości rzeczy tylko wtedy, gdy zachował należytą staranność, a</w:t>
      </w:r>
      <w:r w:rsidR="001671B7">
        <w:t> </w:t>
      </w:r>
      <w:r w:rsidR="00FE5A85">
        <w:t xml:space="preserve">rzeczonej szkody nie można było uniknąć, to </w:t>
      </w:r>
      <w:r w:rsidR="008B6C64">
        <w:t>znaczy</w:t>
      </w:r>
      <w:r w:rsidR="00FE5A85">
        <w:t>, rzeczona szkoda była nieunikniona</w:t>
      </w:r>
      <w:r w:rsidR="001A1668">
        <w:t xml:space="preserve"> </w:t>
      </w:r>
      <w:r w:rsidR="00FE5A85">
        <w:t>(zob. wyrok Sądu Najwyższego z dnia 26 kwietnia 1966 r</w:t>
      </w:r>
      <w:r w:rsidR="00FE5A85" w:rsidRPr="0086690E">
        <w:rPr>
          <w:rFonts w:ascii="Times New Roman" w:hAnsi="Times New Roman" w:cs="Times New Roman"/>
        </w:rPr>
        <w:t xml:space="preserve">., </w:t>
      </w:r>
      <w:r w:rsidR="00FE5A85" w:rsidRPr="001A1668">
        <w:rPr>
          <w:rFonts w:ascii="Times New Roman" w:hAnsi="Times New Roman" w:cs="Times New Roman"/>
        </w:rPr>
        <w:t>I</w:t>
      </w:r>
      <w:r w:rsidR="001671B7">
        <w:rPr>
          <w:rFonts w:ascii="Times New Roman" w:hAnsi="Times New Roman" w:cs="Times New Roman"/>
        </w:rPr>
        <w:t> </w:t>
      </w:r>
      <w:r w:rsidR="00FE5A85" w:rsidRPr="001A1668">
        <w:rPr>
          <w:rFonts w:ascii="Times New Roman" w:hAnsi="Times New Roman" w:cs="Times New Roman"/>
        </w:rPr>
        <w:t>CR</w:t>
      </w:r>
      <w:r w:rsidR="001671B7">
        <w:rPr>
          <w:rFonts w:ascii="Times New Roman" w:hAnsi="Times New Roman" w:cs="Times New Roman"/>
        </w:rPr>
        <w:t> </w:t>
      </w:r>
      <w:r w:rsidR="00FE5A85" w:rsidRPr="001A1668">
        <w:rPr>
          <w:rFonts w:ascii="Times New Roman" w:hAnsi="Times New Roman" w:cs="Times New Roman"/>
        </w:rPr>
        <w:t>312/63</w:t>
      </w:r>
      <w:r w:rsidR="00FE5A85" w:rsidRPr="0086690E">
        <w:t>; Kodeks postępowania cywilnego. Komentarz, Tom III, K</w:t>
      </w:r>
      <w:r w:rsidR="00FE5A85">
        <w:t>.</w:t>
      </w:r>
      <w:r w:rsidR="001671B7">
        <w:t> </w:t>
      </w:r>
      <w:r w:rsidR="00FE5A85">
        <w:t xml:space="preserve">Piasecki (red.), wydanie 6, Warszawa 2015; Kodeks postępowania </w:t>
      </w:r>
      <w:r w:rsidR="00FE5A85">
        <w:lastRenderedPageBreak/>
        <w:t>cywilnego. Komentarz, A. Zieliński (red.), wydanie 9, Warszawa, 2017).</w:t>
      </w:r>
      <w:r w:rsidR="001A1668">
        <w:rPr>
          <w:rFonts w:ascii="Open Sans" w:hAnsi="Open Sans"/>
        </w:rPr>
        <w:t xml:space="preserve"> </w:t>
      </w:r>
      <w:r w:rsidR="00FE5A85" w:rsidRPr="008B6C64">
        <w:rPr>
          <w:rFonts w:ascii="Times New Roman" w:hAnsi="Times New Roman" w:cs="Times New Roman"/>
        </w:rPr>
        <w:t>W</w:t>
      </w:r>
      <w:r w:rsidR="001671B7">
        <w:rPr>
          <w:rFonts w:ascii="Times New Roman" w:hAnsi="Times New Roman" w:cs="Times New Roman"/>
        </w:rPr>
        <w:t> </w:t>
      </w:r>
      <w:r w:rsidR="00FE5A85" w:rsidRPr="008B6C64">
        <w:rPr>
          <w:rFonts w:ascii="Times New Roman" w:hAnsi="Times New Roman" w:cs="Times New Roman"/>
        </w:rPr>
        <w:t>odniesieniu do ostatniej kwestii stwierdzono, iż osoba, która zawodowo trudni się przechowywaniem zajętych pojazdów</w:t>
      </w:r>
      <w:r w:rsidR="0032154A">
        <w:rPr>
          <w:rFonts w:ascii="Times New Roman" w:hAnsi="Times New Roman" w:cs="Times New Roman"/>
        </w:rPr>
        <w:t>,</w:t>
      </w:r>
      <w:r w:rsidR="00FE5A85" w:rsidRPr="008B6C64">
        <w:rPr>
          <w:rFonts w:ascii="Times New Roman" w:hAnsi="Times New Roman" w:cs="Times New Roman"/>
        </w:rPr>
        <w:t xml:space="preserve"> zobowiązania jest dochować należytej staranności wymaganej od profesjonalistów. </w:t>
      </w:r>
      <w:r w:rsidR="00FE5A85">
        <w:t xml:space="preserve">Przyjęcie biernej postawy w zakresie przechowywanego pojazdu </w:t>
      </w:r>
      <w:r w:rsidR="008B6C64">
        <w:t xml:space="preserve">nie jest zgodne </w:t>
      </w:r>
      <w:r w:rsidR="00FE5A85">
        <w:t>z</w:t>
      </w:r>
      <w:r w:rsidR="001671B7">
        <w:t> </w:t>
      </w:r>
      <w:r w:rsidR="00FE5A85">
        <w:t xml:space="preserve">takim wymogiem dochowania należytej staranności (zob. wyrok Sądu Rejonowego w Gdyni z dnia 6 marca 2018 r., </w:t>
      </w:r>
      <w:r w:rsidR="00BA4AC1">
        <w:t>sygn.</w:t>
      </w:r>
      <w:r w:rsidR="00FE5A85">
        <w:t xml:space="preserve"> akt I C 1660/16).</w:t>
      </w:r>
    </w:p>
    <w:p w14:paraId="40A689DA" w14:textId="32535683" w:rsidR="00FE5A85" w:rsidRPr="00195BA6" w:rsidRDefault="0097119B" w:rsidP="00195BA6">
      <w:pPr>
        <w:pStyle w:val="JuPara"/>
      </w:pPr>
      <w:r>
        <w:rPr>
          <w:noProof/>
        </w:rPr>
        <w:t>31</w:t>
      </w:r>
      <w:r w:rsidR="002F4592">
        <w:t>.</w:t>
      </w:r>
      <w:r w:rsidR="00297EFB">
        <w:t xml:space="preserve"> </w:t>
      </w:r>
      <w:r w:rsidR="00FE5A85">
        <w:t xml:space="preserve">Za taką wykładnią przemawia orzecznictwo sądów administracyjnych, zgodnie z którym dozorca zajętego mienia może żądać zwrotu wydatków bezpośrednio związanych z zabezpieczeniem ruchomości pod jego dozorem przed zniszczeniem. Zależy to od </w:t>
      </w:r>
      <w:r w:rsidR="002F4592">
        <w:t xml:space="preserve">takich </w:t>
      </w:r>
      <w:r w:rsidR="00FE5A85">
        <w:t xml:space="preserve">okoliczności jak miejsce przechowywania, warunki sprawowania pieczy czy </w:t>
      </w:r>
      <w:r w:rsidR="002F4592">
        <w:t xml:space="preserve">wielkość </w:t>
      </w:r>
      <w:r w:rsidR="00FE5A85">
        <w:t>rzeczy (zob.</w:t>
      </w:r>
      <w:r w:rsidR="001671B7">
        <w:t> </w:t>
      </w:r>
      <w:r w:rsidR="00FE5A85">
        <w:t>n</w:t>
      </w:r>
      <w:r w:rsidR="002F4592">
        <w:t>a</w:t>
      </w:r>
      <w:r w:rsidR="001671B7">
        <w:t> </w:t>
      </w:r>
      <w:r w:rsidR="002F4592">
        <w:t>przykład</w:t>
      </w:r>
      <w:r w:rsidR="00FE5A85">
        <w:t xml:space="preserve"> wyrok Wojewódzkiego Sądu Administracyjnego w</w:t>
      </w:r>
      <w:r w:rsidR="001671B7">
        <w:t> </w:t>
      </w:r>
      <w:r w:rsidR="00FE5A85">
        <w:t xml:space="preserve">Gdańsku z dnia 15 grudnia 2016 r., </w:t>
      </w:r>
      <w:r w:rsidR="002F4592">
        <w:t>sygn.</w:t>
      </w:r>
      <w:r w:rsidR="00FE5A85">
        <w:t xml:space="preserve"> akt III SA/Gd 932/16).</w:t>
      </w:r>
    </w:p>
    <w:p w14:paraId="3F6B13B6" w14:textId="793B839C" w:rsidR="00FE5A85" w:rsidRPr="00195BA6" w:rsidRDefault="0097119B" w:rsidP="00195BA6">
      <w:pPr>
        <w:pStyle w:val="JuPara"/>
      </w:pPr>
      <w:r>
        <w:rPr>
          <w:noProof/>
        </w:rPr>
        <w:t>32</w:t>
      </w:r>
      <w:r w:rsidR="002F4592">
        <w:t>.</w:t>
      </w:r>
      <w:r w:rsidR="00297EFB">
        <w:t xml:space="preserve"> </w:t>
      </w:r>
      <w:r w:rsidR="006F2178">
        <w:t xml:space="preserve">Licytację </w:t>
      </w:r>
      <w:r w:rsidR="00FE5A85">
        <w:t xml:space="preserve">zajętego mienia reguluje art. 232 </w:t>
      </w:r>
      <w:r w:rsidR="00361F49">
        <w:t xml:space="preserve">Kodeksu </w:t>
      </w:r>
      <w:r w:rsidR="00FE5A85">
        <w:t>postępowania karnego, który stanowi:</w:t>
      </w:r>
    </w:p>
    <w:p w14:paraId="09E0090F" w14:textId="7B34E01E" w:rsidR="00FE5A85" w:rsidRPr="00195BA6" w:rsidRDefault="00FE5A85" w:rsidP="00195BA6">
      <w:pPr>
        <w:pStyle w:val="JuQuot"/>
      </w:pPr>
      <w:r>
        <w:t>„§ 1.</w:t>
      </w:r>
      <w:r w:rsidR="001A1668">
        <w:t xml:space="preserve"> </w:t>
      </w:r>
      <w:r>
        <w:t>Przedmioty ulegające szybkiemu zniszczeniu lub takie, których przechowywanie byłoby połączone z niewspółmiernymi kosztami lub nadmiernymi trudnościami albo powodowałoby znaczne obniżenie wartości rzeczy, można sprzedać według trybu określonego dla właściwych organów postępowania wykonawczego. Postanowienie w przedmiocie sprzedaży w postępowaniu przygotowawczym może wydać prokurator, a w postępowaniu sądowym sąd lub referendarz sądowy.</w:t>
      </w:r>
    </w:p>
    <w:p w14:paraId="72C8330D" w14:textId="2DB8180A" w:rsidR="00FE5A85" w:rsidRPr="00195BA6" w:rsidRDefault="00FE5A85" w:rsidP="00195BA6">
      <w:pPr>
        <w:pStyle w:val="JuQuot"/>
      </w:pPr>
      <w:r>
        <w:t>§ 2.</w:t>
      </w:r>
      <w:r w:rsidR="00297EFB">
        <w:t xml:space="preserve"> </w:t>
      </w:r>
      <w:r>
        <w:t>Uzyskaną kwotę pieniężną przekazuje się do depozytu sądowego.</w:t>
      </w:r>
    </w:p>
    <w:p w14:paraId="055B792E" w14:textId="77777777" w:rsidR="00FE5A85" w:rsidRPr="00195BA6" w:rsidRDefault="00FE5A85" w:rsidP="00195BA6">
      <w:pPr>
        <w:pStyle w:val="JuQuot"/>
      </w:pPr>
      <w:r>
        <w:t>[...]”</w:t>
      </w:r>
    </w:p>
    <w:p w14:paraId="21448C24" w14:textId="77777777" w:rsidR="00FE5A85" w:rsidRPr="00195BA6" w:rsidRDefault="00FE5A85" w:rsidP="00195BA6">
      <w:pPr>
        <w:pStyle w:val="JuHIRoman"/>
      </w:pPr>
      <w:r>
        <w:t>Odszkodowanie od Skarbu Państwa</w:t>
      </w:r>
    </w:p>
    <w:p w14:paraId="5DC0FDEB" w14:textId="3686E732" w:rsidR="00FE5A85" w:rsidRPr="00195BA6" w:rsidRDefault="0097119B" w:rsidP="00195BA6">
      <w:pPr>
        <w:pStyle w:val="JuPara"/>
      </w:pPr>
      <w:r>
        <w:rPr>
          <w:noProof/>
        </w:rPr>
        <w:t>33</w:t>
      </w:r>
      <w:r w:rsidR="002F4592">
        <w:t>.</w:t>
      </w:r>
      <w:r w:rsidR="00297EFB">
        <w:t xml:space="preserve"> </w:t>
      </w:r>
      <w:r w:rsidR="00FE5A85">
        <w:t>Artykuł 77 ust. 1 Konstytucji stanowi:</w:t>
      </w:r>
    </w:p>
    <w:p w14:paraId="4FDA0D17" w14:textId="77777777" w:rsidR="00FE5A85" w:rsidRPr="00195BA6" w:rsidRDefault="00FE5A85" w:rsidP="00195BA6">
      <w:pPr>
        <w:pStyle w:val="JuQuot"/>
      </w:pPr>
      <w:r>
        <w:t>„Każdy ma prawo do wynagrodzenia szkody, jaka została mu wyrządzona przez niezgodne z prawem działanie organu władzy publicznej.”</w:t>
      </w:r>
    </w:p>
    <w:p w14:paraId="7B351AB2" w14:textId="70602C39" w:rsidR="00FE5A85" w:rsidRPr="00195BA6" w:rsidRDefault="0097119B" w:rsidP="00195BA6">
      <w:pPr>
        <w:pStyle w:val="JuPara"/>
      </w:pPr>
      <w:r>
        <w:rPr>
          <w:noProof/>
        </w:rPr>
        <w:t>34</w:t>
      </w:r>
      <w:r w:rsidR="002F4592">
        <w:t>.</w:t>
      </w:r>
      <w:r w:rsidR="00297EFB">
        <w:t xml:space="preserve"> </w:t>
      </w:r>
      <w:r w:rsidR="00FE5A85">
        <w:t xml:space="preserve">Artykuł 417 § 1 </w:t>
      </w:r>
      <w:r w:rsidR="001659E8">
        <w:t>K</w:t>
      </w:r>
      <w:r w:rsidR="00FE5A85">
        <w:t>odeksu cywilnego określa ogólną zasadę odpowiedzialności odszkodowawczej Skarbu Państwa za szkodę wyrządzoną przez władzę publiczną. Istotna część rzeczonego przepisu stanowi:</w:t>
      </w:r>
    </w:p>
    <w:p w14:paraId="3F4E1BB8" w14:textId="77777777" w:rsidR="00FE5A85" w:rsidRPr="00195BA6" w:rsidRDefault="00FE5A85" w:rsidP="00195BA6">
      <w:pPr>
        <w:pStyle w:val="JuQuot"/>
      </w:pPr>
      <w:r>
        <w:t>„Za szkodę wyrządzoną przez niezgodne z prawem działanie lub zaniechanie przy wykonywaniu władzy publicznej ponosi odpowiedzialność Skarb Państwa [...].”</w:t>
      </w:r>
    </w:p>
    <w:p w14:paraId="328A41D4" w14:textId="348D765A" w:rsidR="00FE5A85" w:rsidRPr="00195BA6" w:rsidRDefault="0097119B" w:rsidP="00195BA6">
      <w:pPr>
        <w:pStyle w:val="JuPara"/>
      </w:pPr>
      <w:r>
        <w:rPr>
          <w:noProof/>
        </w:rPr>
        <w:t>35</w:t>
      </w:r>
      <w:r w:rsidR="002F4592">
        <w:t>.</w:t>
      </w:r>
      <w:r w:rsidR="00297EFB">
        <w:t xml:space="preserve"> </w:t>
      </w:r>
      <w:r w:rsidR="00FE5A85">
        <w:t>Artykuł 417</w:t>
      </w:r>
      <w:r w:rsidR="00FE5A85">
        <w:rPr>
          <w:vertAlign w:val="superscript"/>
        </w:rPr>
        <w:t>1</w:t>
      </w:r>
      <w:r w:rsidR="00FE5A85">
        <w:t xml:space="preserve"> § 2 </w:t>
      </w:r>
      <w:r w:rsidR="005F20EA">
        <w:t>K</w:t>
      </w:r>
      <w:r w:rsidR="00FE5A85">
        <w:t>odeksu cywilnego stanowi, co następuje:</w:t>
      </w:r>
    </w:p>
    <w:p w14:paraId="7D0C2FA3" w14:textId="3202270C" w:rsidR="00FE5A85" w:rsidRPr="00195BA6" w:rsidRDefault="00FE5A85" w:rsidP="00195BA6">
      <w:pPr>
        <w:pStyle w:val="JuQuot"/>
      </w:pPr>
      <w:r>
        <w:t>„Jeżeli szkoda została wyrządzona przez wydanie prawomocnego orzeczenia lub</w:t>
      </w:r>
      <w:r w:rsidR="001671B7">
        <w:t> </w:t>
      </w:r>
      <w:r>
        <w:t>ostatecznej decyzji, jej naprawienia można żądać po stwierdzeniu we właściwym postępowaniu ich niezgodności z prawem, chyba że przepisy odrębne stanowią inaczej.”</w:t>
      </w:r>
    </w:p>
    <w:p w14:paraId="578C874F" w14:textId="45523DB1" w:rsidR="00FE5A85" w:rsidRPr="00195BA6" w:rsidRDefault="0097119B" w:rsidP="00195BA6">
      <w:pPr>
        <w:pStyle w:val="JuPara"/>
      </w:pPr>
      <w:r>
        <w:rPr>
          <w:noProof/>
        </w:rPr>
        <w:t>36</w:t>
      </w:r>
      <w:r w:rsidR="002F4592">
        <w:t>.</w:t>
      </w:r>
      <w:r w:rsidR="00297EFB">
        <w:t xml:space="preserve"> </w:t>
      </w:r>
      <w:r w:rsidR="00FE5A85">
        <w:t>W praktyce sądów krajowych prawo do odszkodowania na mocy art.</w:t>
      </w:r>
      <w:r w:rsidR="001671B7">
        <w:t> </w:t>
      </w:r>
      <w:r w:rsidR="00FE5A85">
        <w:t>417</w:t>
      </w:r>
      <w:r w:rsidR="00FE5A85">
        <w:rPr>
          <w:vertAlign w:val="superscript"/>
        </w:rPr>
        <w:t>1</w:t>
      </w:r>
      <w:r w:rsidR="00FE5A85">
        <w:t xml:space="preserve"> </w:t>
      </w:r>
      <w:r w:rsidR="00361F49">
        <w:t xml:space="preserve">Kodeksu </w:t>
      </w:r>
      <w:r w:rsidR="00FE5A85">
        <w:t xml:space="preserve">cywilnego nie powstaje, o ile działanie lub zaniechanie powodujące szkodę nie zostanie uznane </w:t>
      </w:r>
      <w:r w:rsidR="0085618C">
        <w:t>za</w:t>
      </w:r>
      <w:r w:rsidR="00FE5A85">
        <w:t xml:space="preserve"> niezgodne z prawem w</w:t>
      </w:r>
      <w:r w:rsidR="001A1668">
        <w:t xml:space="preserve"> </w:t>
      </w:r>
      <w:r w:rsidR="00FE5A85">
        <w:t xml:space="preserve">odrębnym </w:t>
      </w:r>
      <w:r w:rsidR="00FE5A85">
        <w:lastRenderedPageBreak/>
        <w:t>prejudykacie (zob. wyrok Sądu Okręgowego w Słupsku z dnia 2 lutego 2017</w:t>
      </w:r>
      <w:r w:rsidR="001671B7">
        <w:t> </w:t>
      </w:r>
      <w:r w:rsidR="00FE5A85">
        <w:t>r., I C 342/16).</w:t>
      </w:r>
    </w:p>
    <w:p w14:paraId="452FCEB8" w14:textId="621B655D" w:rsidR="00FE5A85" w:rsidRPr="00195BA6" w:rsidRDefault="0097119B" w:rsidP="00195BA6">
      <w:pPr>
        <w:pStyle w:val="JuPara"/>
      </w:pPr>
      <w:r>
        <w:rPr>
          <w:noProof/>
        </w:rPr>
        <w:t>37</w:t>
      </w:r>
      <w:r w:rsidR="002F4592">
        <w:t>.</w:t>
      </w:r>
      <w:r w:rsidR="00297EFB">
        <w:t xml:space="preserve"> </w:t>
      </w:r>
      <w:r w:rsidR="00FE5A85">
        <w:t xml:space="preserve">„Szkoda”, o której mowa w tych przepisach, jest szkodą majątkową, zdefiniowaną w art. 361 § 2 </w:t>
      </w:r>
      <w:r w:rsidR="00361F49">
        <w:t xml:space="preserve">Kodeksu </w:t>
      </w:r>
      <w:r w:rsidR="00FE5A85">
        <w:t>cywilnego jako „straty, które poszkodowany poniósł, oraz korzyści, które mógłby osiągnąć, gdyby mu</w:t>
      </w:r>
      <w:r w:rsidR="001A1668">
        <w:t xml:space="preserve"> </w:t>
      </w:r>
      <w:r w:rsidR="00FE5A85">
        <w:t>szkody nie wyrządzono.”</w:t>
      </w:r>
    </w:p>
    <w:p w14:paraId="561A4DB2" w14:textId="77777777" w:rsidR="00FE5A85" w:rsidRPr="00195BA6" w:rsidRDefault="00FE5A85" w:rsidP="00195BA6">
      <w:pPr>
        <w:pStyle w:val="JuHHead"/>
      </w:pPr>
      <w:r>
        <w:t>PRAWO</w:t>
      </w:r>
    </w:p>
    <w:p w14:paraId="4A23923C" w14:textId="500C8FE7" w:rsidR="00FE5A85" w:rsidRPr="00195BA6" w:rsidRDefault="00FE5A85" w:rsidP="00195BA6">
      <w:pPr>
        <w:pStyle w:val="JuHIRoman"/>
      </w:pPr>
      <w:r>
        <w:t>ZARZUCANE NARUSZENIE ART.</w:t>
      </w:r>
      <w:r w:rsidR="001A1668">
        <w:t xml:space="preserve"> </w:t>
      </w:r>
      <w:r>
        <w:t>1 PROTOKOŁU NR 1 DO</w:t>
      </w:r>
      <w:r w:rsidR="001671B7">
        <w:t> </w:t>
      </w:r>
      <w:r>
        <w:t>KONWENCJI</w:t>
      </w:r>
    </w:p>
    <w:p w14:paraId="51ADE934" w14:textId="0CF97912" w:rsidR="00FE5A85" w:rsidRPr="00195BA6" w:rsidRDefault="0097119B" w:rsidP="00195BA6">
      <w:pPr>
        <w:pStyle w:val="JuPara"/>
      </w:pPr>
      <w:r>
        <w:rPr>
          <w:noProof/>
        </w:rPr>
        <w:t>38</w:t>
      </w:r>
      <w:r w:rsidR="002F4592">
        <w:t>.</w:t>
      </w:r>
      <w:r w:rsidR="00297EFB">
        <w:t xml:space="preserve"> </w:t>
      </w:r>
      <w:r w:rsidR="00FE5A85">
        <w:t>Zasadniczo skarżący zarzucił, że zajęcie jego samochodu stanowiło nieuzasadnione uregulowanie sposobu korzystania z jego własności z</w:t>
      </w:r>
      <w:r w:rsidR="001671B7">
        <w:t> </w:t>
      </w:r>
      <w:r w:rsidR="00FE5A85">
        <w:t>naruszeniem art. 1 Protokołu nr 1, który brzmi następująco:</w:t>
      </w:r>
    </w:p>
    <w:p w14:paraId="3C885424" w14:textId="60C19A4F" w:rsidR="00361F49" w:rsidRPr="00361F49" w:rsidRDefault="00FE5A85" w:rsidP="00361F49">
      <w:pPr>
        <w:pStyle w:val="JuQuot"/>
      </w:pPr>
      <w:r>
        <w:t>„</w:t>
      </w:r>
      <w:r w:rsidR="00361F49" w:rsidRPr="00361F49">
        <w:t>Każda osoba fizyczna i prawna ma prawo do poszanowania swego mienia. Nikt nie</w:t>
      </w:r>
      <w:r w:rsidR="001671B7">
        <w:t> </w:t>
      </w:r>
      <w:r w:rsidR="00361F49" w:rsidRPr="00361F49">
        <w:t>może być pozbawiony swojej własności, chyba że w interesie publicznym i</w:t>
      </w:r>
      <w:r w:rsidR="001671B7">
        <w:t> </w:t>
      </w:r>
      <w:r w:rsidR="00361F49" w:rsidRPr="00361F49">
        <w:t xml:space="preserve">na </w:t>
      </w:r>
      <w:r w:rsidR="001671B7">
        <w:t> </w:t>
      </w:r>
      <w:r w:rsidR="00361F49" w:rsidRPr="00361F49">
        <w:t>warunkach przewidzianych przez ustawę oraz zgodnie z ogólnymi zasadami prawa międzynarodowego.</w:t>
      </w:r>
    </w:p>
    <w:p w14:paraId="6054D3CF" w14:textId="5A7AC130" w:rsidR="00FE5A85" w:rsidRPr="00195BA6" w:rsidRDefault="00361F49" w:rsidP="00361F49">
      <w:pPr>
        <w:pStyle w:val="JuQuot"/>
      </w:pPr>
      <w:r w:rsidRPr="00361F49">
        <w:t xml:space="preserve">Powyższe postanowienia nie będą jednak w żaden sposób naruszać prawa </w:t>
      </w:r>
      <w:r w:rsidR="00CE1950">
        <w:t>P</w:t>
      </w:r>
      <w:r w:rsidRPr="00361F49">
        <w:t>aństwa</w:t>
      </w:r>
      <w:r w:rsidRPr="00361F49">
        <w:t xml:space="preserve"> do</w:t>
      </w:r>
      <w:r w:rsidR="001671B7">
        <w:t> </w:t>
      </w:r>
      <w:r w:rsidRPr="00361F49">
        <w:t>stosowania takich ustaw, jakie uzna za konieczne do uregulowania sposobu korzystania z własności zgodnie z interesem powszechnym lub w celu zabezpieczenia uiszczania podatków bądź innych należności lub kar pieniężnych</w:t>
      </w:r>
      <w:r w:rsidR="00FE5A85">
        <w:t>”.</w:t>
      </w:r>
    </w:p>
    <w:p w14:paraId="314EA044" w14:textId="77777777" w:rsidR="00FE5A85" w:rsidRPr="00195BA6" w:rsidRDefault="00FE5A85" w:rsidP="00195BA6">
      <w:pPr>
        <w:pStyle w:val="JuHA"/>
      </w:pPr>
      <w:r>
        <w:t>Dopuszczalność</w:t>
      </w:r>
    </w:p>
    <w:p w14:paraId="3067120B" w14:textId="32998549" w:rsidR="00FE5A85" w:rsidRPr="00195BA6" w:rsidRDefault="0097119B" w:rsidP="00195BA6">
      <w:pPr>
        <w:pStyle w:val="JuPara"/>
      </w:pPr>
      <w:r>
        <w:rPr>
          <w:noProof/>
        </w:rPr>
        <w:t>39</w:t>
      </w:r>
      <w:r w:rsidR="002F4592">
        <w:t>.</w:t>
      </w:r>
      <w:r w:rsidR="00297EFB">
        <w:t xml:space="preserve"> </w:t>
      </w:r>
      <w:r w:rsidR="00FE5A85">
        <w:t>Trybunał zauważa, że skarga nie jest w sposób oczywisty nieuzasadniona w rozumieniu art. 35 ust. 3 lit. a Konwencji. Ponadto odnotowuje, że nie jest ona też niedopuszczalna na żadnej innej podstawie. Należy ją zatem uznać za dopuszczalną.</w:t>
      </w:r>
    </w:p>
    <w:p w14:paraId="7D2BF274" w14:textId="77777777" w:rsidR="00FE5A85" w:rsidRPr="00195BA6" w:rsidRDefault="00FE5A85" w:rsidP="00195BA6">
      <w:pPr>
        <w:pStyle w:val="JuHA"/>
      </w:pPr>
      <w:r>
        <w:t>Przedmiot skargi</w:t>
      </w:r>
    </w:p>
    <w:p w14:paraId="1A0150C4" w14:textId="55FA1221" w:rsidR="00FE5A85" w:rsidRPr="00195BA6" w:rsidRDefault="00FE5A85" w:rsidP="00195BA6">
      <w:pPr>
        <w:pStyle w:val="JuH1"/>
      </w:pPr>
      <w:r>
        <w:t>Stanowiska stron</w:t>
      </w:r>
    </w:p>
    <w:p w14:paraId="3F843629" w14:textId="77777777" w:rsidR="00FE5A85" w:rsidRPr="00195BA6" w:rsidRDefault="00FE5A85" w:rsidP="00195BA6">
      <w:pPr>
        <w:pStyle w:val="JuHa0"/>
      </w:pPr>
      <w:r>
        <w:t>Skarżący</w:t>
      </w:r>
    </w:p>
    <w:p w14:paraId="4E1E9D42" w14:textId="46B1F2E3" w:rsidR="00FE5A85" w:rsidRPr="00195BA6" w:rsidRDefault="0097119B" w:rsidP="00195BA6">
      <w:pPr>
        <w:pStyle w:val="JuPara"/>
      </w:pPr>
      <w:r>
        <w:rPr>
          <w:noProof/>
        </w:rPr>
        <w:t>40</w:t>
      </w:r>
      <w:r w:rsidR="00AC5282">
        <w:t>.</w:t>
      </w:r>
      <w:r w:rsidR="00297EFB">
        <w:t xml:space="preserve"> </w:t>
      </w:r>
      <w:r w:rsidR="00FE5A85">
        <w:t>Skarżący zarzucił, że zajęcie jego samochodu stanowiło nieuzasadnione uregulowanie sposobu korzystania z jego własności z</w:t>
      </w:r>
      <w:r w:rsidR="001671B7">
        <w:t> </w:t>
      </w:r>
      <w:r w:rsidR="00FE5A85">
        <w:t>naruszeniem art. 1 Protokołu nr 1. Ponadto zarzucił, że sąd cywilny nie</w:t>
      </w:r>
      <w:r w:rsidR="001671B7">
        <w:t> </w:t>
      </w:r>
      <w:r w:rsidR="00FE5A85">
        <w:t>uzyskał wyceny samochodu od oficjalnego rzeczoznawcy.</w:t>
      </w:r>
    </w:p>
    <w:p w14:paraId="0783C911" w14:textId="6123569B" w:rsidR="00FE5A85" w:rsidRPr="00195BA6" w:rsidRDefault="0097119B" w:rsidP="00195BA6">
      <w:pPr>
        <w:pStyle w:val="JuPara"/>
      </w:pPr>
      <w:r>
        <w:rPr>
          <w:noProof/>
        </w:rPr>
        <w:t>41</w:t>
      </w:r>
      <w:r w:rsidR="00AC5282">
        <w:t>.</w:t>
      </w:r>
      <w:r w:rsidR="00297EFB">
        <w:t xml:space="preserve"> </w:t>
      </w:r>
      <w:r w:rsidR="00FE5A85">
        <w:t>Skarżący stwierdził między innymi, że przedmiotowa ingerencja była niezgodna z prawem, ponieważ przepisy regulujące zajęcie mienia nie</w:t>
      </w:r>
      <w:r w:rsidR="001671B7">
        <w:t> </w:t>
      </w:r>
      <w:r w:rsidR="00FE5A85">
        <w:t>określają</w:t>
      </w:r>
      <w:r w:rsidR="007F754F">
        <w:t>,</w:t>
      </w:r>
      <w:r w:rsidR="00FE5A85">
        <w:t xml:space="preserve"> w jaki sposób organy przechowujące zajętą ruchomość powinny sprawować nad nią pieczę tak, aby uniknąć </w:t>
      </w:r>
      <w:r w:rsidR="007F754F">
        <w:t>utraty jej wartości</w:t>
      </w:r>
      <w:r w:rsidR="00FE5A85">
        <w:t xml:space="preserve">. </w:t>
      </w:r>
      <w:r w:rsidR="00FE5A85">
        <w:lastRenderedPageBreak/>
        <w:t>W</w:t>
      </w:r>
      <w:r w:rsidR="001671B7">
        <w:t> </w:t>
      </w:r>
      <w:r w:rsidR="007F754F">
        <w:t xml:space="preserve">rzeczonych </w:t>
      </w:r>
      <w:r w:rsidR="00FE5A85">
        <w:t xml:space="preserve">przepisach karnych brak </w:t>
      </w:r>
      <w:r w:rsidR="007F754F">
        <w:t xml:space="preserve">jest </w:t>
      </w:r>
      <w:r w:rsidR="00FE5A85">
        <w:t>również wzmianki o kwestii sprzedaży zajętych ruchomości.</w:t>
      </w:r>
    </w:p>
    <w:p w14:paraId="65C54DB7" w14:textId="6C7C69B9" w:rsidR="00FE5A85" w:rsidRPr="00195BA6" w:rsidRDefault="0097119B" w:rsidP="00195BA6">
      <w:pPr>
        <w:pStyle w:val="JuPara"/>
      </w:pPr>
      <w:r>
        <w:rPr>
          <w:noProof/>
        </w:rPr>
        <w:t>42</w:t>
      </w:r>
      <w:r w:rsidR="00AC5282">
        <w:t>.</w:t>
      </w:r>
      <w:r w:rsidR="00297EFB">
        <w:t xml:space="preserve"> </w:t>
      </w:r>
      <w:r w:rsidR="00FE5A85">
        <w:t xml:space="preserve">Skarżący nadto podniósł, że zajęcie było </w:t>
      </w:r>
      <w:r w:rsidR="00AC5282">
        <w:t>nie</w:t>
      </w:r>
      <w:r w:rsidR="00FE5A85">
        <w:t xml:space="preserve">uzasadnione i nadmiernie </w:t>
      </w:r>
      <w:r w:rsidR="00AC5282">
        <w:t>obciążające</w:t>
      </w:r>
      <w:r w:rsidR="00FE5A85">
        <w:t xml:space="preserve">. W szczególności wartość jego samochodu, która została poddana niedokładnej wycenie, była nieproporcjonalnie wyższa </w:t>
      </w:r>
      <w:r w:rsidR="00AC5282">
        <w:t>od</w:t>
      </w:r>
      <w:r w:rsidR="001671B7">
        <w:t> </w:t>
      </w:r>
      <w:r w:rsidR="00FE5A85">
        <w:t>ewentualn</w:t>
      </w:r>
      <w:r w:rsidR="00AC5282">
        <w:t>ych grzywien i odszkodowań</w:t>
      </w:r>
      <w:r w:rsidR="00FE5A85">
        <w:t>, których zapłat</w:t>
      </w:r>
      <w:r w:rsidR="00AC5282">
        <w:t>ę</w:t>
      </w:r>
      <w:r w:rsidR="00FE5A85">
        <w:t xml:space="preserve"> miał</w:t>
      </w:r>
      <w:r w:rsidR="00AC5282">
        <w:t>o zabezpieczyć zajęcie pojazdu.</w:t>
      </w:r>
      <w:r w:rsidR="00FE5A85">
        <w:t xml:space="preserve"> Interes wszelkich poszkodowanych </w:t>
      </w:r>
      <w:r w:rsidR="00AC5282">
        <w:t>w</w:t>
      </w:r>
      <w:r w:rsidR="001A1668">
        <w:t xml:space="preserve"> </w:t>
      </w:r>
      <w:r w:rsidR="00AC5282">
        <w:t xml:space="preserve">wyniku </w:t>
      </w:r>
      <w:r w:rsidR="00FE5A85">
        <w:t>zarzucany</w:t>
      </w:r>
      <w:r w:rsidR="00AC5282">
        <w:t xml:space="preserve">ch przestępstw </w:t>
      </w:r>
      <w:r w:rsidR="00FE5A85">
        <w:t xml:space="preserve">nie </w:t>
      </w:r>
      <w:r w:rsidR="00AC2F15">
        <w:t xml:space="preserve">stanowił uprawnionego uzasadnienia </w:t>
      </w:r>
      <w:r w:rsidR="00FE5A85">
        <w:t>zajęcia, jako że był to interes indywidualny, a nie publiczny.</w:t>
      </w:r>
    </w:p>
    <w:p w14:paraId="5D435CB1" w14:textId="62FB8F08" w:rsidR="00FE5A85" w:rsidRPr="00195BA6" w:rsidRDefault="0097119B" w:rsidP="00195BA6">
      <w:pPr>
        <w:pStyle w:val="JuPara"/>
      </w:pPr>
      <w:r>
        <w:rPr>
          <w:noProof/>
        </w:rPr>
        <w:t>43</w:t>
      </w:r>
      <w:r w:rsidR="00AC5282">
        <w:t>.</w:t>
      </w:r>
      <w:r w:rsidR="00297EFB">
        <w:t xml:space="preserve"> </w:t>
      </w:r>
      <w:r w:rsidR="00FE5A85">
        <w:t xml:space="preserve">Skarżący </w:t>
      </w:r>
      <w:r w:rsidR="00022A9B">
        <w:t>wskazał</w:t>
      </w:r>
      <w:r w:rsidR="00FE5A85">
        <w:t xml:space="preserve"> również, że ponieważ pojazd łatwo </w:t>
      </w:r>
      <w:r w:rsidR="00366FB1">
        <w:t xml:space="preserve">mógł ulec zniszczeniu </w:t>
      </w:r>
      <w:r w:rsidR="00FE5A85">
        <w:t xml:space="preserve">w wyniku nieuważnego przechowywania, władze powinny były zarządzić jego </w:t>
      </w:r>
      <w:r w:rsidR="00CF3A52">
        <w:t>licytację</w:t>
      </w:r>
      <w:r w:rsidR="00FE5A85">
        <w:t xml:space="preserve"> przed utratą wartości, czyli wkrótce po zajęciu. Taka</w:t>
      </w:r>
      <w:r w:rsidR="001671B7">
        <w:t> </w:t>
      </w:r>
      <w:r w:rsidR="00FE5A85">
        <w:t xml:space="preserve">sprzedaż byłaby zgodna z art. 864 </w:t>
      </w:r>
      <w:r w:rsidR="008A17C4">
        <w:t>K</w:t>
      </w:r>
      <w:r w:rsidR="00FE5A85">
        <w:t>odeksu postępowania cywilnego.</w:t>
      </w:r>
    </w:p>
    <w:p w14:paraId="7C47CBC3" w14:textId="4D20F3F4" w:rsidR="00FE5A85" w:rsidRPr="00195BA6" w:rsidRDefault="0097119B" w:rsidP="00195BA6">
      <w:pPr>
        <w:pStyle w:val="JuPara"/>
      </w:pPr>
      <w:r>
        <w:rPr>
          <w:noProof/>
        </w:rPr>
        <w:t>44</w:t>
      </w:r>
      <w:r w:rsidR="00AC5282">
        <w:t>.</w:t>
      </w:r>
      <w:r w:rsidR="00297EFB">
        <w:t xml:space="preserve"> </w:t>
      </w:r>
      <w:r w:rsidR="00FE5A85">
        <w:t xml:space="preserve">Skarżący podkreślił, że szkoda, </w:t>
      </w:r>
      <w:r w:rsidR="00CF3A52">
        <w:t>jaką mu wyrządzono</w:t>
      </w:r>
      <w:r w:rsidR="00FE5A85">
        <w:t>, dotyczyła nie</w:t>
      </w:r>
      <w:r w:rsidR="001671B7">
        <w:t> </w:t>
      </w:r>
      <w:r w:rsidR="00FE5A85">
        <w:t xml:space="preserve">tylko </w:t>
      </w:r>
      <w:r w:rsidR="008A17C4">
        <w:t xml:space="preserve">początkowego </w:t>
      </w:r>
      <w:r w:rsidR="00FE5A85">
        <w:t>zajęcia pojazdu, które mogło być uzasadnione, ale</w:t>
      </w:r>
      <w:r w:rsidR="001671B7">
        <w:t> </w:t>
      </w:r>
      <w:r w:rsidR="00FE5A85">
        <w:t xml:space="preserve">głównie faktu, że władze dopuściły do utraty wartości </w:t>
      </w:r>
      <w:r w:rsidR="00CF3A52">
        <w:t>samochodu</w:t>
      </w:r>
      <w:r w:rsidR="00FE5A85">
        <w:t xml:space="preserve">, ponieważ był przez lata przechowywany na zewnątrz, </w:t>
      </w:r>
      <w:r w:rsidR="008A17C4">
        <w:t xml:space="preserve">pozostawał unieruchomiony </w:t>
      </w:r>
      <w:r w:rsidR="00FE5A85">
        <w:t>i bez właściwej konserwacji. W</w:t>
      </w:r>
      <w:r w:rsidR="001A1668">
        <w:t xml:space="preserve"> </w:t>
      </w:r>
      <w:r w:rsidR="00FE5A85">
        <w:t>obliczu braku należytego dozoru technicznego, tak jak w tym przypadku, działaniem w interesie ogólnym byłaby sprzedaż samochodu, a nie jego przechowywanie.</w:t>
      </w:r>
    </w:p>
    <w:p w14:paraId="6960F365" w14:textId="26323323" w:rsidR="00FE5A85" w:rsidRPr="00195BA6" w:rsidRDefault="0097119B" w:rsidP="00195BA6">
      <w:pPr>
        <w:pStyle w:val="JuPara"/>
      </w:pPr>
      <w:r>
        <w:rPr>
          <w:noProof/>
        </w:rPr>
        <w:t>45</w:t>
      </w:r>
      <w:r w:rsidR="00AC5282">
        <w:t>.</w:t>
      </w:r>
      <w:r w:rsidR="00297EFB">
        <w:t xml:space="preserve"> </w:t>
      </w:r>
      <w:r w:rsidR="00FE5A85">
        <w:t xml:space="preserve">W odniesieniu do </w:t>
      </w:r>
      <w:r w:rsidR="00CF3A52">
        <w:t>prowadzonego w późniejszym czasie</w:t>
      </w:r>
      <w:r w:rsidR="00FE5A85">
        <w:t xml:space="preserve"> postępowania cywilnego skarżący stwierdził, że sąd krajowy powinien był orzec o</w:t>
      </w:r>
      <w:r w:rsidR="001671B7">
        <w:t> </w:t>
      </w:r>
      <w:r w:rsidR="00FE5A85">
        <w:t xml:space="preserve">odpowiedzialności Państwa za spowodowanie utraty wartości jego pojazdu na podstawie art. 856 § 1 </w:t>
      </w:r>
      <w:r w:rsidR="00B553EB">
        <w:t>K</w:t>
      </w:r>
      <w:r w:rsidR="00FE5A85">
        <w:t>odeksu cywilnego. Wartość utraconą należało obliczyć jako różnicę pomiędzy wartością samochodu w dniu zajęcia a jego wartością w dniu wydania wyroku przed sąd apelacyjny. Nie należało jej obliczać jako różnicy pomiędzy wartością rynkową samochodu podobnej marki i modelu</w:t>
      </w:r>
      <w:r w:rsidR="00840144">
        <w:t>, utrzymanego w dobrym stanie,</w:t>
      </w:r>
      <w:r w:rsidR="00FE5A85">
        <w:t xml:space="preserve"> a ceną przedmiotowego pojazdu. Wreszcie kwestia tego, czy samochód był przechowywany z</w:t>
      </w:r>
      <w:r w:rsidR="001671B7">
        <w:t> </w:t>
      </w:r>
      <w:r w:rsidR="00FE5A85">
        <w:t>zachowaniem niezbędne</w:t>
      </w:r>
      <w:r w:rsidR="00840144">
        <w:t>go poziomu</w:t>
      </w:r>
      <w:r w:rsidR="00FE5A85">
        <w:t xml:space="preserve"> staranności, miała charakter prawny i</w:t>
      </w:r>
      <w:r w:rsidR="001671B7">
        <w:t> </w:t>
      </w:r>
      <w:r w:rsidR="00FE5A85">
        <w:t xml:space="preserve">jako taka powinna była </w:t>
      </w:r>
      <w:r w:rsidR="00840144">
        <w:t>p</w:t>
      </w:r>
      <w:r w:rsidR="00FE5A85">
        <w:t xml:space="preserve">odlegać wyłącznie ocenie sędziego, a nie biegłego sądowego, którego jedyną kompetencją zawodową była wycena samochodu i ustalenie technicznych przyczyn </w:t>
      </w:r>
      <w:r w:rsidR="00840144">
        <w:t>spadku jego wartości.</w:t>
      </w:r>
      <w:r w:rsidR="00FE5A85">
        <w:t xml:space="preserve"> Zdaniem skarżącego wyrok sądu cywilnego był zatem</w:t>
      </w:r>
      <w:r w:rsidR="00840144">
        <w:t xml:space="preserve"> wydany</w:t>
      </w:r>
      <w:r w:rsidR="00FE5A85">
        <w:t xml:space="preserve"> arbitraln</w:t>
      </w:r>
      <w:r w:rsidR="00840144">
        <w:t>ie</w:t>
      </w:r>
      <w:r w:rsidR="00FE5A85">
        <w:t>.</w:t>
      </w:r>
    </w:p>
    <w:p w14:paraId="476657C3" w14:textId="77777777" w:rsidR="00FE5A85" w:rsidRPr="00195BA6" w:rsidRDefault="00FE5A85" w:rsidP="00195BA6">
      <w:pPr>
        <w:pStyle w:val="JuHa0"/>
      </w:pPr>
      <w:r>
        <w:t>Rząd</w:t>
      </w:r>
    </w:p>
    <w:p w14:paraId="3C41A729" w14:textId="48833D00" w:rsidR="00FE5A85" w:rsidRPr="00195BA6" w:rsidRDefault="0097119B" w:rsidP="00195BA6">
      <w:pPr>
        <w:pStyle w:val="JuPara"/>
      </w:pPr>
      <w:r>
        <w:rPr>
          <w:noProof/>
        </w:rPr>
        <w:t>46</w:t>
      </w:r>
      <w:r w:rsidR="00840144">
        <w:t>.</w:t>
      </w:r>
      <w:r w:rsidR="00297EFB">
        <w:t xml:space="preserve"> </w:t>
      </w:r>
      <w:r w:rsidR="00FE5A85">
        <w:t>Rząd argumentował, iż ingerując w prawo skarżącego do</w:t>
      </w:r>
      <w:r w:rsidR="001671B7">
        <w:t> </w:t>
      </w:r>
      <w:r w:rsidR="00FE5A85">
        <w:t>poszanowania mienia, władze państwowe działały zgodnie z prawem i</w:t>
      </w:r>
      <w:r w:rsidR="001671B7">
        <w:t> </w:t>
      </w:r>
      <w:r w:rsidR="00EE2D7A">
        <w:t>osiągnęły</w:t>
      </w:r>
      <w:r w:rsidR="00FE5A85">
        <w:t xml:space="preserve"> </w:t>
      </w:r>
      <w:r w:rsidR="009D3952">
        <w:t xml:space="preserve">sprawiedliwą </w:t>
      </w:r>
      <w:r w:rsidR="00FE5A85">
        <w:t>równowagę pomiędzy wymaganiami ogólnego interesu społeczeństwa i wym</w:t>
      </w:r>
      <w:r w:rsidR="0042585B">
        <w:t>ogami</w:t>
      </w:r>
      <w:r w:rsidR="00FE5A85">
        <w:t xml:space="preserve"> ochrony podstawowych praw skarżącego. W</w:t>
      </w:r>
      <w:r w:rsidR="001A1668">
        <w:t xml:space="preserve"> </w:t>
      </w:r>
      <w:r w:rsidR="00FE5A85">
        <w:t>szczególności do zajęcia przedmiotowego pojazdu doszło w</w:t>
      </w:r>
      <w:r w:rsidR="001671B7">
        <w:t> </w:t>
      </w:r>
      <w:r w:rsidR="00FE5A85">
        <w:t xml:space="preserve">ramach toczącego się przeciwko niemu postępowania karnego. Skarżący zostały oskarżony o popełnienie poważnych przestępstw przeciwko mieniu osób trzecich, a następnie </w:t>
      </w:r>
      <w:r w:rsidR="002C43C3">
        <w:t>skazan</w:t>
      </w:r>
      <w:r w:rsidR="00B553EB">
        <w:t>y</w:t>
      </w:r>
      <w:r w:rsidR="002C43C3">
        <w:t xml:space="preserve"> </w:t>
      </w:r>
      <w:r w:rsidR="00FE5A85">
        <w:t>za te czyny.</w:t>
      </w:r>
    </w:p>
    <w:p w14:paraId="3DB6A922" w14:textId="6DC8133F" w:rsidR="00FE5A85" w:rsidRPr="00195BA6" w:rsidRDefault="0097119B" w:rsidP="00195BA6">
      <w:pPr>
        <w:pStyle w:val="JuPara"/>
      </w:pPr>
      <w:r>
        <w:rPr>
          <w:noProof/>
        </w:rPr>
        <w:lastRenderedPageBreak/>
        <w:t>47</w:t>
      </w:r>
      <w:r w:rsidR="00840144">
        <w:t>.</w:t>
      </w:r>
      <w:r w:rsidR="00297EFB">
        <w:t xml:space="preserve"> </w:t>
      </w:r>
      <w:r w:rsidR="00FE5A85">
        <w:t>Rząd stwierdził również, że wartość samochodu nie prze</w:t>
      </w:r>
      <w:r w:rsidR="002C43C3">
        <w:t>wyższała</w:t>
      </w:r>
      <w:r w:rsidR="00FE5A85">
        <w:t xml:space="preserve"> całkowitej kwoty roszczeń o</w:t>
      </w:r>
      <w:r w:rsidR="002C43C3">
        <w:t xml:space="preserve">dszkodowawczych </w:t>
      </w:r>
      <w:r w:rsidR="00FE5A85">
        <w:t>i grzyw</w:t>
      </w:r>
      <w:r w:rsidR="002C43C3">
        <w:t>ien</w:t>
      </w:r>
      <w:r w:rsidR="00FE5A85">
        <w:t xml:space="preserve">, które mogłyby zostać i ostatecznie zostały </w:t>
      </w:r>
      <w:r w:rsidR="002C43C3">
        <w:t>nałożone na</w:t>
      </w:r>
      <w:r w:rsidR="00FE5A85">
        <w:t xml:space="preserve"> skarżącego przez sąd karny. </w:t>
      </w:r>
      <w:r w:rsidR="002515D5">
        <w:t>S</w:t>
      </w:r>
      <w:r w:rsidR="00FE5A85">
        <w:t xml:space="preserve">amochód skarżącego </w:t>
      </w:r>
      <w:r w:rsidR="002515D5">
        <w:t xml:space="preserve">ponadto </w:t>
      </w:r>
      <w:r w:rsidR="00FE5A85">
        <w:t>służył jako dowód w sprawie.</w:t>
      </w:r>
    </w:p>
    <w:p w14:paraId="23836401" w14:textId="2F974775" w:rsidR="00FE5A85" w:rsidRPr="00195BA6" w:rsidRDefault="0097119B" w:rsidP="00195BA6">
      <w:pPr>
        <w:pStyle w:val="JuPara"/>
      </w:pPr>
      <w:r>
        <w:rPr>
          <w:noProof/>
        </w:rPr>
        <w:t>48</w:t>
      </w:r>
      <w:r w:rsidR="00840144">
        <w:t>.</w:t>
      </w:r>
      <w:r w:rsidR="00297EFB">
        <w:t xml:space="preserve"> </w:t>
      </w:r>
      <w:r w:rsidR="00FE5A85">
        <w:t xml:space="preserve">Władze, świadome postępującej </w:t>
      </w:r>
      <w:r w:rsidR="002515D5">
        <w:t>utraty wartośc</w:t>
      </w:r>
      <w:r w:rsidR="00FE5A85">
        <w:t xml:space="preserve">i samochodu, podjęły </w:t>
      </w:r>
      <w:r w:rsidR="00A54E1D">
        <w:t xml:space="preserve">rzeczywiste </w:t>
      </w:r>
      <w:r w:rsidR="00FE5A85">
        <w:t xml:space="preserve">próby jego sprzedaży w czasie trwania postępowania karnego. Licytacje nie powiodły się z przyczyn obiektywnych, to jest braku zainteresowania ze strony </w:t>
      </w:r>
      <w:r w:rsidR="002515D5">
        <w:t>nabywców</w:t>
      </w:r>
      <w:r w:rsidR="00FE5A85">
        <w:t>.</w:t>
      </w:r>
    </w:p>
    <w:p w14:paraId="02A04E5D" w14:textId="7ACDBE13" w:rsidR="00FE5A85" w:rsidRPr="00195BA6" w:rsidRDefault="0097119B" w:rsidP="00195BA6">
      <w:pPr>
        <w:pStyle w:val="JuPara"/>
      </w:pPr>
      <w:r>
        <w:rPr>
          <w:noProof/>
        </w:rPr>
        <w:t>49</w:t>
      </w:r>
      <w:r w:rsidR="00840144">
        <w:t>.</w:t>
      </w:r>
      <w:r w:rsidR="00297EFB">
        <w:t xml:space="preserve"> </w:t>
      </w:r>
      <w:r w:rsidR="00FE5A85">
        <w:t xml:space="preserve">Rząd </w:t>
      </w:r>
      <w:r w:rsidR="00A54E1D">
        <w:t>ponadto</w:t>
      </w:r>
      <w:r w:rsidR="00FE5A85">
        <w:t xml:space="preserve"> podniósł, iż skarżący przebywał</w:t>
      </w:r>
      <w:r w:rsidR="002515D5">
        <w:t xml:space="preserve"> </w:t>
      </w:r>
      <w:r w:rsidR="00FE5A85">
        <w:t>w areszcie od lutego do</w:t>
      </w:r>
      <w:r w:rsidR="001671B7">
        <w:t> </w:t>
      </w:r>
      <w:r w:rsidR="00FE5A85">
        <w:t xml:space="preserve">lipca 2005 r. </w:t>
      </w:r>
      <w:r w:rsidR="002515D5">
        <w:t>oraz</w:t>
      </w:r>
      <w:r w:rsidR="00FE5A85">
        <w:t xml:space="preserve"> w styczniu 2007 r. Został następnie przekazany do</w:t>
      </w:r>
      <w:r w:rsidR="001671B7">
        <w:t> </w:t>
      </w:r>
      <w:r w:rsidR="00FE5A85">
        <w:t>zakładu karnego, gdzie odbył karę pięciu lat pozbawienia wolności. Tym samym przez większość wyżej określonego czasu nie miałby możliwości korzysta</w:t>
      </w:r>
      <w:r w:rsidR="002515D5">
        <w:t>nia</w:t>
      </w:r>
      <w:r w:rsidR="00FE5A85">
        <w:t xml:space="preserve"> ze swojego pojazdu.</w:t>
      </w:r>
    </w:p>
    <w:p w14:paraId="5AEAEAA6" w14:textId="4201C8ED" w:rsidR="00FE5A85" w:rsidRPr="00195BA6" w:rsidRDefault="0097119B" w:rsidP="00195BA6">
      <w:pPr>
        <w:pStyle w:val="JuPara"/>
      </w:pPr>
      <w:r>
        <w:rPr>
          <w:noProof/>
        </w:rPr>
        <w:t>50</w:t>
      </w:r>
      <w:r w:rsidR="00840144">
        <w:t>.</w:t>
      </w:r>
      <w:r w:rsidR="00297EFB">
        <w:t xml:space="preserve"> </w:t>
      </w:r>
      <w:r w:rsidR="00FE5A85">
        <w:t>Wreszcie Rząd powtórzył ustalenia sąd</w:t>
      </w:r>
      <w:r w:rsidR="002515D5">
        <w:t>ów</w:t>
      </w:r>
      <w:r w:rsidR="00FE5A85">
        <w:t xml:space="preserve"> cywilnych, wedle których Państwo nie odpowiadało za utratę wartości samochodu skarżącego spowodowaną wyłącznie upływem czasu. Skarżący miał prawo zakwestionować opinię biegłego, na podstawie której sąd cywilny </w:t>
      </w:r>
      <w:r w:rsidR="000E579A">
        <w:t>oparł swoje wnioski</w:t>
      </w:r>
      <w:r w:rsidR="00FE5A85">
        <w:t xml:space="preserve">, ale z niego nie skorzystał. Zdaniem Rządu </w:t>
      </w:r>
      <w:r w:rsidR="002515D5">
        <w:t xml:space="preserve">opinia </w:t>
      </w:r>
      <w:r w:rsidR="00FE5A85">
        <w:t>biegł</w:t>
      </w:r>
      <w:r w:rsidR="002515D5">
        <w:t>ego była rzetelna i kompleksowa.</w:t>
      </w:r>
    </w:p>
    <w:p w14:paraId="0138CA3D" w14:textId="5BCE5CFF" w:rsidR="00FE5A85" w:rsidRPr="00195BA6" w:rsidRDefault="0097119B" w:rsidP="00195BA6">
      <w:pPr>
        <w:pStyle w:val="JuPara"/>
      </w:pPr>
      <w:r>
        <w:rPr>
          <w:noProof/>
        </w:rPr>
        <w:t>51</w:t>
      </w:r>
      <w:r w:rsidR="00840144">
        <w:t>.</w:t>
      </w:r>
      <w:r w:rsidR="00297EFB">
        <w:t xml:space="preserve"> </w:t>
      </w:r>
      <w:r w:rsidR="00FE5A85">
        <w:t>W odniesieniu do</w:t>
      </w:r>
      <w:r w:rsidR="00287CE1">
        <w:t xml:space="preserve"> procesu</w:t>
      </w:r>
      <w:r w:rsidR="00FE5A85">
        <w:t xml:space="preserve"> </w:t>
      </w:r>
      <w:r w:rsidR="002515D5">
        <w:t>orzekania</w:t>
      </w:r>
      <w:r w:rsidR="00FE5A85">
        <w:t xml:space="preserve"> Rząd stwierdził, że skarżąc</w:t>
      </w:r>
      <w:r w:rsidR="00287CE1">
        <w:t>y korzystał z rzetelnego postępowania</w:t>
      </w:r>
      <w:r w:rsidR="00FE5A85">
        <w:t xml:space="preserve">. </w:t>
      </w:r>
      <w:r w:rsidR="00287CE1">
        <w:t>Ponadto wyroki sądów</w:t>
      </w:r>
      <w:r w:rsidR="00FE5A85">
        <w:t xml:space="preserve">, które zostały obszernie uzasadnione, nie były </w:t>
      </w:r>
      <w:r w:rsidR="002515D5">
        <w:t>obarczone</w:t>
      </w:r>
      <w:r w:rsidR="00FE5A85">
        <w:t xml:space="preserve"> żadnym</w:t>
      </w:r>
      <w:r w:rsidR="002515D5">
        <w:t xml:space="preserve">i </w:t>
      </w:r>
      <w:r w:rsidR="00FE5A85">
        <w:t>oczywistym</w:t>
      </w:r>
      <w:r w:rsidR="002515D5">
        <w:t>i</w:t>
      </w:r>
      <w:r w:rsidR="00FE5A85">
        <w:t xml:space="preserve"> błęd</w:t>
      </w:r>
      <w:r w:rsidR="002515D5">
        <w:t>ami</w:t>
      </w:r>
      <w:r w:rsidR="00FE5A85">
        <w:t>.</w:t>
      </w:r>
    </w:p>
    <w:p w14:paraId="7AB327CD" w14:textId="6516DA3F" w:rsidR="00FE5A85" w:rsidRPr="00195BA6" w:rsidRDefault="00FE5A85" w:rsidP="00195BA6">
      <w:pPr>
        <w:pStyle w:val="JuH1"/>
      </w:pPr>
      <w:r>
        <w:t>Ocena Trybunału</w:t>
      </w:r>
    </w:p>
    <w:p w14:paraId="460AD2AB" w14:textId="77777777" w:rsidR="00FE5A85" w:rsidRPr="00195BA6" w:rsidRDefault="00FE5A85" w:rsidP="00195BA6">
      <w:pPr>
        <w:pStyle w:val="JuHa0"/>
      </w:pPr>
      <w:r>
        <w:t>Zasady ogólne</w:t>
      </w:r>
    </w:p>
    <w:p w14:paraId="2840BE6B" w14:textId="0B74B8BD" w:rsidR="00FE5A85" w:rsidRPr="00195BA6" w:rsidRDefault="0097119B" w:rsidP="00195BA6">
      <w:pPr>
        <w:pStyle w:val="JuPara"/>
        <w:rPr>
          <w:rStyle w:val="JuParaChar"/>
        </w:rPr>
      </w:pPr>
      <w:r>
        <w:rPr>
          <w:rStyle w:val="JuParaChar"/>
          <w:noProof/>
        </w:rPr>
        <w:t>52</w:t>
      </w:r>
      <w:r w:rsidR="00FE5A85">
        <w:rPr>
          <w:rStyle w:val="JuParaChar"/>
        </w:rPr>
        <w:t>.</w:t>
      </w:r>
      <w:r w:rsidR="00297EFB">
        <w:rPr>
          <w:rStyle w:val="JuParaChar"/>
        </w:rPr>
        <w:t xml:space="preserve"> </w:t>
      </w:r>
      <w:r w:rsidR="00FE5A85">
        <w:rPr>
          <w:rStyle w:val="JuParaChar"/>
        </w:rPr>
        <w:t xml:space="preserve">Artykuł 1 Protokołu nr 1, gwarantujący prawo do ochrony własności, zawiera trzy odrębne reguły (zob. </w:t>
      </w:r>
      <w:r w:rsidR="0058761E">
        <w:rPr>
          <w:rStyle w:val="JuParaChar"/>
        </w:rPr>
        <w:t xml:space="preserve">między innymi </w:t>
      </w:r>
      <w:r w:rsidR="00FE5A85">
        <w:rPr>
          <w:rStyle w:val="JuParaChar"/>
          <w:i/>
        </w:rPr>
        <w:t>J.A. Pye (Oxford) Ltd i</w:t>
      </w:r>
      <w:r w:rsidR="002D7061">
        <w:rPr>
          <w:rStyle w:val="JuParaChar"/>
          <w:i/>
        </w:rPr>
        <w:t> </w:t>
      </w:r>
      <w:r w:rsidR="00FE5A85">
        <w:rPr>
          <w:rStyle w:val="JuParaChar"/>
          <w:i/>
        </w:rPr>
        <w:t>J.A.</w:t>
      </w:r>
      <w:r w:rsidR="002D7061">
        <w:rPr>
          <w:rStyle w:val="JuParaChar"/>
          <w:i/>
        </w:rPr>
        <w:t> </w:t>
      </w:r>
      <w:r w:rsidR="00FE5A85">
        <w:rPr>
          <w:rStyle w:val="JuParaChar"/>
          <w:i/>
        </w:rPr>
        <w:t>Pye (Oxford) Land Ltd przeciwko</w:t>
      </w:r>
      <w:r w:rsidR="001A1668">
        <w:rPr>
          <w:rStyle w:val="JuParaChar"/>
          <w:i/>
        </w:rPr>
        <w:t xml:space="preserve"> </w:t>
      </w:r>
      <w:r w:rsidR="00FE5A85">
        <w:rPr>
          <w:rStyle w:val="JuParaChar"/>
          <w:i/>
        </w:rPr>
        <w:t xml:space="preserve">Zjednoczonemu Królestwu </w:t>
      </w:r>
      <w:r w:rsidR="00FE5A85" w:rsidRPr="0058761E">
        <w:rPr>
          <w:rStyle w:val="JuParaChar"/>
          <w:iCs/>
        </w:rPr>
        <w:t>[WI],</w:t>
      </w:r>
      <w:r w:rsidR="00FE5A85">
        <w:rPr>
          <w:rStyle w:val="JuParaChar"/>
        </w:rPr>
        <w:t xml:space="preserve"> skarga nr</w:t>
      </w:r>
      <w:r w:rsidR="002D7061">
        <w:rPr>
          <w:rStyle w:val="JuParaChar"/>
        </w:rPr>
        <w:t> </w:t>
      </w:r>
      <w:r w:rsidR="00FE5A85">
        <w:rPr>
          <w:rStyle w:val="JuParaChar"/>
        </w:rPr>
        <w:t>44302/02, § 52, ETPC 2007</w:t>
      </w:r>
      <w:r w:rsidR="00FE5A85">
        <w:rPr>
          <w:rStyle w:val="JuParaChar"/>
          <w:rFonts w:ascii="MS Mincho" w:hAnsi="MS Mincho"/>
        </w:rPr>
        <w:t>‑</w:t>
      </w:r>
      <w:r w:rsidR="00FE5A85">
        <w:rPr>
          <w:rStyle w:val="JuParaChar"/>
        </w:rPr>
        <w:t xml:space="preserve">III; </w:t>
      </w:r>
      <w:r w:rsidR="00FE5A85">
        <w:rPr>
          <w:rStyle w:val="JuParaChar"/>
          <w:i/>
        </w:rPr>
        <w:t>Anheuser-Busch Inc. przeciwko Portugalii</w:t>
      </w:r>
      <w:r w:rsidR="00FE5A85">
        <w:rPr>
          <w:rStyle w:val="JuParaChar"/>
        </w:rPr>
        <w:t xml:space="preserve"> [WI], skarga nr 73049/01, § 62, ETPC 2007</w:t>
      </w:r>
      <w:r w:rsidR="00FE5A85">
        <w:rPr>
          <w:rStyle w:val="JuParaChar"/>
          <w:rFonts w:ascii="MS Mincho" w:hAnsi="MS Mincho"/>
        </w:rPr>
        <w:t>‑</w:t>
      </w:r>
      <w:r w:rsidR="00FE5A85">
        <w:rPr>
          <w:rStyle w:val="JuParaChar"/>
        </w:rPr>
        <w:t xml:space="preserve">I; </w:t>
      </w:r>
      <w:r w:rsidR="00FE5A85">
        <w:rPr>
          <w:rStyle w:val="JuParaChar"/>
          <w:i/>
        </w:rPr>
        <w:t>AGOSI przeciwko</w:t>
      </w:r>
      <w:r w:rsidR="001A1668">
        <w:rPr>
          <w:rStyle w:val="JuParaChar"/>
          <w:i/>
        </w:rPr>
        <w:t xml:space="preserve"> </w:t>
      </w:r>
      <w:r w:rsidR="00FE5A85">
        <w:rPr>
          <w:rStyle w:val="JuParaChar"/>
          <w:i/>
        </w:rPr>
        <w:t>Zjednoczonemu Królestwu</w:t>
      </w:r>
      <w:r w:rsidR="00FE5A85">
        <w:rPr>
          <w:rStyle w:val="JuParaChar"/>
        </w:rPr>
        <w:t xml:space="preserve">, 24 października 1986 r., § 48, Seria A nr 108 </w:t>
      </w:r>
      <w:r w:rsidR="0058761E">
        <w:rPr>
          <w:rStyle w:val="JuParaChar"/>
        </w:rPr>
        <w:t>oraz</w:t>
      </w:r>
      <w:r w:rsidR="002D7061">
        <w:rPr>
          <w:rStyle w:val="JuParaChar"/>
        </w:rPr>
        <w:t> </w:t>
      </w:r>
      <w:r w:rsidR="00FE5A85">
        <w:rPr>
          <w:rStyle w:val="JuParaChar"/>
          <w:i/>
        </w:rPr>
        <w:t>Hábenczius przeciwko</w:t>
      </w:r>
      <w:r w:rsidR="001A1668">
        <w:rPr>
          <w:rStyle w:val="JuParaChar"/>
          <w:i/>
        </w:rPr>
        <w:t xml:space="preserve"> </w:t>
      </w:r>
      <w:r w:rsidR="00FE5A85">
        <w:rPr>
          <w:rStyle w:val="JuParaChar"/>
          <w:i/>
        </w:rPr>
        <w:t>Węgrom</w:t>
      </w:r>
      <w:r w:rsidR="00FE5A85">
        <w:rPr>
          <w:rStyle w:val="JuParaChar"/>
        </w:rPr>
        <w:t>, skarga nr 44473/06, § 27, 21</w:t>
      </w:r>
      <w:r w:rsidR="002D7061">
        <w:rPr>
          <w:rStyle w:val="JuParaChar"/>
        </w:rPr>
        <w:t> </w:t>
      </w:r>
      <w:r w:rsidR="00FE5A85">
        <w:rPr>
          <w:rStyle w:val="JuParaChar"/>
        </w:rPr>
        <w:t>października 2014 r.):</w:t>
      </w:r>
    </w:p>
    <w:p w14:paraId="56D5CF9C" w14:textId="608B75B0" w:rsidR="00FE5A85" w:rsidRPr="00195BA6" w:rsidRDefault="00FE5A85" w:rsidP="00195BA6">
      <w:pPr>
        <w:pStyle w:val="JuQuot"/>
      </w:pPr>
      <w:r>
        <w:t>„</w:t>
      </w:r>
      <w:r w:rsidR="00F63016">
        <w:t>[</w:t>
      </w:r>
      <w:r w:rsidR="00F63016" w:rsidRPr="00F63016">
        <w:t>reguła</w:t>
      </w:r>
      <w:r w:rsidR="00F63016">
        <w:t>]</w:t>
      </w:r>
      <w:r w:rsidRPr="00F63016">
        <w:t>pierwsza</w:t>
      </w:r>
      <w:r>
        <w:t xml:space="preserve">, wyrażona w pierwszym zdaniu pierwszego akapitu, ma charakter ogólny i określa zasadę </w:t>
      </w:r>
      <w:r w:rsidR="00287CE1">
        <w:t xml:space="preserve">poszanowania </w:t>
      </w:r>
      <w:r>
        <w:t>mienia; reguła druga, sformułowana w</w:t>
      </w:r>
      <w:r w:rsidR="001A1668">
        <w:t xml:space="preserve"> </w:t>
      </w:r>
      <w:r>
        <w:t>drugim zdaniu tego samego akapitu, dotyczy możliwości pozbawienia osoby jej własności, przy spełnieniu pewnych warunków; trzecia, zawarta w drugim akapicie uznaje, że</w:t>
      </w:r>
      <w:r w:rsidR="002D7061">
        <w:t> </w:t>
      </w:r>
      <w:r>
        <w:t>U</w:t>
      </w:r>
      <w:r w:rsidR="00361F49">
        <w:t>k</w:t>
      </w:r>
      <w:r w:rsidR="00287CE1">
        <w:t>ładające</w:t>
      </w:r>
      <w:r>
        <w:t xml:space="preserve"> się Państwa mają prawo, między innymi, do uregulowania sposobu korzystania z własności zgodnie z interesem powszechnym. Rzeczone reguły nie są jednak „odrębne”, to jest niepowiązane ze sobą. Reguła druga i</w:t>
      </w:r>
      <w:r w:rsidR="001A1668">
        <w:t xml:space="preserve"> </w:t>
      </w:r>
      <w:r>
        <w:t xml:space="preserve">trzecia dotyczą szczególnych przypadków ingerencji w prawo do </w:t>
      </w:r>
      <w:r w:rsidR="00287CE1">
        <w:t>poszanowania mienia i</w:t>
      </w:r>
      <w:r>
        <w:t xml:space="preserve"> muszą być </w:t>
      </w:r>
      <w:r w:rsidR="00287CE1">
        <w:t xml:space="preserve">zatem </w:t>
      </w:r>
      <w:r>
        <w:t>interpretowane w świetle ogólnej zasady określonej w regule pierwszej.”</w:t>
      </w:r>
    </w:p>
    <w:p w14:paraId="638A6B1D" w14:textId="66E29A86" w:rsidR="00FE5A85" w:rsidRPr="00195BA6" w:rsidRDefault="0097119B" w:rsidP="00195BA6">
      <w:pPr>
        <w:pStyle w:val="JuPara"/>
      </w:pPr>
      <w:r>
        <w:rPr>
          <w:noProof/>
        </w:rPr>
        <w:t>53</w:t>
      </w:r>
      <w:r w:rsidR="00840144">
        <w:t>.</w:t>
      </w:r>
      <w:r w:rsidR="00297EFB">
        <w:t xml:space="preserve"> </w:t>
      </w:r>
      <w:r w:rsidR="00FE5A85">
        <w:t>Zajęcie mienia na potrzeby postępowania sądowego zwykle dotyczy uregulowania sposobu korzystania z własności, co mieści się w zakresie art.</w:t>
      </w:r>
      <w:r w:rsidR="002D7061">
        <w:t> </w:t>
      </w:r>
      <w:r w:rsidR="00FE5A85">
        <w:t xml:space="preserve">1 </w:t>
      </w:r>
      <w:r w:rsidR="00726688">
        <w:lastRenderedPageBreak/>
        <w:t xml:space="preserve">akapit drugi </w:t>
      </w:r>
      <w:r w:rsidR="00FE5A85">
        <w:t>Protokołu nr 1 do Konwencji (zob. między innymi</w:t>
      </w:r>
      <w:r w:rsidR="00FE5A85">
        <w:rPr>
          <w:i/>
        </w:rPr>
        <w:t xml:space="preserve"> Raimondo przeciwko Włochom, </w:t>
      </w:r>
      <w:r w:rsidR="00FE5A85" w:rsidRPr="009A14CF">
        <w:rPr>
          <w:iCs/>
        </w:rPr>
        <w:t>22 lutego 1994 r.</w:t>
      </w:r>
      <w:r w:rsidR="009A14CF">
        <w:rPr>
          <w:iCs/>
        </w:rPr>
        <w:t>,</w:t>
      </w:r>
      <w:r w:rsidR="00FE5A85" w:rsidRPr="009A14CF">
        <w:rPr>
          <w:iCs/>
        </w:rPr>
        <w:t xml:space="preserve"> § 27, Seria A nr</w:t>
      </w:r>
      <w:r w:rsidR="001A1668">
        <w:rPr>
          <w:iCs/>
        </w:rPr>
        <w:t xml:space="preserve"> </w:t>
      </w:r>
      <w:r w:rsidR="00FE5A85" w:rsidRPr="009A14CF">
        <w:rPr>
          <w:iCs/>
        </w:rPr>
        <w:t>2</w:t>
      </w:r>
      <w:r w:rsidR="009A14CF">
        <w:rPr>
          <w:iCs/>
        </w:rPr>
        <w:t>81-</w:t>
      </w:r>
      <w:r w:rsidR="00FE5A85" w:rsidRPr="009A14CF">
        <w:rPr>
          <w:iCs/>
        </w:rPr>
        <w:t>A</w:t>
      </w:r>
      <w:r w:rsidR="00FE5A85" w:rsidRPr="00EE2D7A">
        <w:rPr>
          <w:iCs/>
        </w:rPr>
        <w:t xml:space="preserve">; </w:t>
      </w:r>
      <w:r w:rsidR="00FE5A85">
        <w:rPr>
          <w:i/>
        </w:rPr>
        <w:t xml:space="preserve">JGK Statyba Ltd i Guselnikovas, </w:t>
      </w:r>
      <w:r w:rsidR="00FE5A85" w:rsidRPr="009A14CF">
        <w:rPr>
          <w:iCs/>
        </w:rPr>
        <w:t>cyt</w:t>
      </w:r>
      <w:r w:rsidR="00AC6FFC">
        <w:rPr>
          <w:iCs/>
        </w:rPr>
        <w:t>.</w:t>
      </w:r>
      <w:r w:rsidR="00FE5A85" w:rsidRPr="009A14CF">
        <w:rPr>
          <w:iCs/>
        </w:rPr>
        <w:t xml:space="preserve"> powyżej, § 117</w:t>
      </w:r>
      <w:r w:rsidR="00FE5A85" w:rsidRPr="00EE2D7A">
        <w:rPr>
          <w:iCs/>
        </w:rPr>
        <w:t>;</w:t>
      </w:r>
      <w:r w:rsidR="00FE5A85">
        <w:rPr>
          <w:i/>
        </w:rPr>
        <w:t xml:space="preserve"> Hábenczius, </w:t>
      </w:r>
      <w:r w:rsidR="00FE5A85" w:rsidRPr="009A14CF">
        <w:rPr>
          <w:iCs/>
        </w:rPr>
        <w:t>cyt</w:t>
      </w:r>
      <w:r w:rsidR="00AC6FFC">
        <w:rPr>
          <w:iCs/>
        </w:rPr>
        <w:t>.</w:t>
      </w:r>
      <w:r w:rsidR="00FE5A85" w:rsidRPr="009A14CF">
        <w:rPr>
          <w:iCs/>
        </w:rPr>
        <w:t xml:space="preserve"> powyżej</w:t>
      </w:r>
      <w:r w:rsidR="00FE5A85" w:rsidRPr="009A14CF">
        <w:rPr>
          <w:iCs/>
          <w:snapToGrid w:val="0"/>
        </w:rPr>
        <w:t>, § 28</w:t>
      </w:r>
      <w:r w:rsidR="00FE5A85" w:rsidRPr="00EE2D7A">
        <w:rPr>
          <w:iCs/>
          <w:snapToGrid w:val="0"/>
        </w:rPr>
        <w:t>;</w:t>
      </w:r>
      <w:r w:rsidR="00FE5A85">
        <w:rPr>
          <w:i/>
          <w:snapToGrid w:val="0"/>
        </w:rPr>
        <w:t xml:space="preserve"> </w:t>
      </w:r>
      <w:r w:rsidR="00FE5A85">
        <w:rPr>
          <w:i/>
          <w:iCs/>
        </w:rPr>
        <w:t>Lachikhina przeciwko Rosji</w:t>
      </w:r>
      <w:r w:rsidR="009A14CF">
        <w:rPr>
          <w:i/>
          <w:iCs/>
        </w:rPr>
        <w:t>,</w:t>
      </w:r>
      <w:r w:rsidR="00FE5A85">
        <w:rPr>
          <w:i/>
          <w:iCs/>
        </w:rPr>
        <w:t xml:space="preserve"> </w:t>
      </w:r>
      <w:r w:rsidR="00FE5A85" w:rsidRPr="009A14CF">
        <w:t>skarga nr 38783/07, § 58, 10</w:t>
      </w:r>
      <w:r w:rsidR="001A1668">
        <w:t xml:space="preserve"> </w:t>
      </w:r>
      <w:r w:rsidR="00FE5A85" w:rsidRPr="009A14CF">
        <w:t>października 2017</w:t>
      </w:r>
      <w:r w:rsidR="002D7061">
        <w:t> </w:t>
      </w:r>
      <w:r w:rsidR="00FE5A85" w:rsidRPr="009A14CF">
        <w:t>r</w:t>
      </w:r>
      <w:r w:rsidR="00FE5A85">
        <w:rPr>
          <w:i/>
        </w:rPr>
        <w:t>.</w:t>
      </w:r>
      <w:r w:rsidR="00FE5A85" w:rsidRPr="00EE2D7A">
        <w:rPr>
          <w:iCs/>
        </w:rPr>
        <w:t>;</w:t>
      </w:r>
      <w:r w:rsidR="00FE5A85">
        <w:rPr>
          <w:i/>
        </w:rPr>
        <w:t xml:space="preserve"> Džinić przeciwko Chorwacji, </w:t>
      </w:r>
      <w:r w:rsidR="00FE5A85" w:rsidRPr="00EE2D7A">
        <w:rPr>
          <w:iCs/>
        </w:rPr>
        <w:t>skarga nr 38359/13, § 62 i 62</w:t>
      </w:r>
      <w:r w:rsidR="00EE2D7A">
        <w:rPr>
          <w:iCs/>
        </w:rPr>
        <w:t xml:space="preserve"> [</w:t>
      </w:r>
      <w:r w:rsidR="00EE2D7A">
        <w:rPr>
          <w:i/>
        </w:rPr>
        <w:t>odesłanie w oryginale wyroku</w:t>
      </w:r>
      <w:r w:rsidR="00EE2D7A">
        <w:rPr>
          <w:iCs/>
        </w:rPr>
        <w:t>]</w:t>
      </w:r>
      <w:r w:rsidR="00FE5A85" w:rsidRPr="00EE2D7A">
        <w:rPr>
          <w:iCs/>
        </w:rPr>
        <w:t>, 17 maja 2016 r.;</w:t>
      </w:r>
      <w:r w:rsidR="00FE5A85">
        <w:rPr>
          <w:i/>
        </w:rPr>
        <w:t xml:space="preserve"> Adamczyk </w:t>
      </w:r>
      <w:r w:rsidR="00FE5A85" w:rsidRPr="00EE2D7A">
        <w:rPr>
          <w:iCs/>
        </w:rPr>
        <w:t>(dec.), cyt</w:t>
      </w:r>
      <w:r w:rsidR="00AC6FFC">
        <w:rPr>
          <w:iCs/>
        </w:rPr>
        <w:t>.</w:t>
      </w:r>
      <w:r w:rsidR="002D7061">
        <w:rPr>
          <w:iCs/>
        </w:rPr>
        <w:t> </w:t>
      </w:r>
      <w:r w:rsidR="00FE5A85" w:rsidRPr="00EE2D7A">
        <w:rPr>
          <w:iCs/>
        </w:rPr>
        <w:t>powyżej;</w:t>
      </w:r>
      <w:r w:rsidR="00FE5A85">
        <w:rPr>
          <w:i/>
        </w:rPr>
        <w:t xml:space="preserve"> </w:t>
      </w:r>
      <w:r w:rsidR="00FE5A85" w:rsidRPr="00EE2D7A">
        <w:rPr>
          <w:iCs/>
        </w:rPr>
        <w:t xml:space="preserve">zob. </w:t>
      </w:r>
      <w:r w:rsidR="00FE5A85" w:rsidRPr="00AC6FFC">
        <w:rPr>
          <w:i/>
        </w:rPr>
        <w:t>a</w:t>
      </w:r>
      <w:r w:rsidR="001A1668">
        <w:rPr>
          <w:i/>
        </w:rPr>
        <w:t xml:space="preserve"> </w:t>
      </w:r>
      <w:r w:rsidR="00FE5A85" w:rsidRPr="00AC6FFC">
        <w:rPr>
          <w:i/>
        </w:rPr>
        <w:t>contrario</w:t>
      </w:r>
      <w:r w:rsidR="00FE5A85">
        <w:rPr>
          <w:i/>
        </w:rPr>
        <w:t xml:space="preserve"> Waldemar Nowakowski przeciwko Polsce</w:t>
      </w:r>
      <w:r w:rsidR="00FE5A85" w:rsidRPr="00EE2D7A">
        <w:rPr>
          <w:iCs/>
        </w:rPr>
        <w:t>, skarga nr 55167/11</w:t>
      </w:r>
      <w:r w:rsidR="00FE5A85" w:rsidRPr="00EE2D7A">
        <w:rPr>
          <w:iCs/>
          <w:snapToGrid w:val="0"/>
        </w:rPr>
        <w:t>, §</w:t>
      </w:r>
      <w:r w:rsidR="001A1668">
        <w:rPr>
          <w:iCs/>
          <w:snapToGrid w:val="0"/>
        </w:rPr>
        <w:t xml:space="preserve"> </w:t>
      </w:r>
      <w:r w:rsidR="00FE5A85" w:rsidRPr="00EE2D7A">
        <w:rPr>
          <w:iCs/>
          <w:snapToGrid w:val="0"/>
        </w:rPr>
        <w:t>46, 24 lipca 2012 r.</w:t>
      </w:r>
      <w:r w:rsidR="00FE5A85" w:rsidRPr="00EE2D7A">
        <w:rPr>
          <w:iCs/>
        </w:rPr>
        <w:t>).</w:t>
      </w:r>
    </w:p>
    <w:p w14:paraId="503C1066" w14:textId="6951C2B8" w:rsidR="00FE5A85" w:rsidRPr="00195BA6" w:rsidRDefault="0097119B" w:rsidP="00195BA6">
      <w:pPr>
        <w:pStyle w:val="JuPara"/>
      </w:pPr>
      <w:r>
        <w:rPr>
          <w:noProof/>
        </w:rPr>
        <w:t>54</w:t>
      </w:r>
      <w:r w:rsidR="00840144">
        <w:t>.</w:t>
      </w:r>
      <w:r w:rsidR="00297EFB">
        <w:t xml:space="preserve"> </w:t>
      </w:r>
      <w:r w:rsidR="00FE5A85">
        <w:t xml:space="preserve">Aby ingerencja była zgodna z art. 1 Protokołu nr 1, musi być zgodna z prawem, leżeć w interesie </w:t>
      </w:r>
      <w:r w:rsidR="00337B50">
        <w:t>ogółu</w:t>
      </w:r>
      <w:r w:rsidR="00FE5A85">
        <w:t xml:space="preserve"> i być proporcjonalna, to </w:t>
      </w:r>
      <w:r w:rsidR="00EE2D7A">
        <w:t>znaczy</w:t>
      </w:r>
      <w:r w:rsidR="00FE5A85">
        <w:t xml:space="preserve"> w jej ramach należy osiągnąć „</w:t>
      </w:r>
      <w:r w:rsidR="009D3952">
        <w:t>sprawiedliw</w:t>
      </w:r>
      <w:r w:rsidR="00FE5A85">
        <w:t xml:space="preserve">ą równowagę" między wymaganiami ogólnego interesu społeczeństwa i wymogami ochrony podstawowych praw jednostek (zob. między innymi </w:t>
      </w:r>
      <w:r w:rsidR="00FE5A85">
        <w:rPr>
          <w:i/>
          <w:iCs/>
        </w:rPr>
        <w:t>Beyeler przeciwko Włochom</w:t>
      </w:r>
      <w:r w:rsidR="00FE5A85">
        <w:t xml:space="preserve"> [WI], skarga nr</w:t>
      </w:r>
      <w:r w:rsidR="002D7061">
        <w:t> </w:t>
      </w:r>
      <w:r w:rsidR="00FE5A85">
        <w:t xml:space="preserve">33202/96, § 107, ETPC 2000-I oraz </w:t>
      </w:r>
      <w:r w:rsidR="00FE5A85">
        <w:rPr>
          <w:i/>
          <w:iCs/>
        </w:rPr>
        <w:t>J.A.</w:t>
      </w:r>
      <w:r w:rsidR="00FE5A85">
        <w:rPr>
          <w:i/>
        </w:rPr>
        <w:t xml:space="preserve"> Pye (Oxford) Ltd i J.A. Pye (Oxford) Land Ltd</w:t>
      </w:r>
      <w:r w:rsidR="00FE5A85">
        <w:t xml:space="preserve"> [WI], cyt</w:t>
      </w:r>
      <w:r w:rsidR="00AC6FFC">
        <w:t>.</w:t>
      </w:r>
      <w:r w:rsidR="00FE5A85">
        <w:t xml:space="preserve"> powyżej, § 75). Wymagana właściwa równowaga nie zostaje osiągnięta, gdy dana osoba ponosi osobisty i</w:t>
      </w:r>
      <w:r w:rsidR="002D7061">
        <w:t> </w:t>
      </w:r>
      <w:r w:rsidR="00FE5A85">
        <w:t>n</w:t>
      </w:r>
      <w:r w:rsidR="001D696C">
        <w:t>admierny</w:t>
      </w:r>
      <w:r w:rsidR="00FE5A85">
        <w:t xml:space="preserve"> ciężar (zob. </w:t>
      </w:r>
      <w:r w:rsidR="00FE5A85">
        <w:rPr>
          <w:i/>
        </w:rPr>
        <w:t>Sporrong i Lönnroth przeciwko Szwecji</w:t>
      </w:r>
      <w:r w:rsidR="00FE5A85">
        <w:t>, 23</w:t>
      </w:r>
      <w:r w:rsidR="001A1668">
        <w:t xml:space="preserve"> </w:t>
      </w:r>
      <w:r w:rsidR="00FE5A85">
        <w:t>września 1982 r., §§ 69</w:t>
      </w:r>
      <w:r w:rsidR="00FE5A85">
        <w:noBreakHyphen/>
        <w:t xml:space="preserve">74, Seria A nr 52 </w:t>
      </w:r>
      <w:r w:rsidR="001D696C">
        <w:t>oraz</w:t>
      </w:r>
      <w:r w:rsidR="00FE5A85">
        <w:rPr>
          <w:i/>
        </w:rPr>
        <w:t xml:space="preserve"> Hábenczius</w:t>
      </w:r>
      <w:r w:rsidR="00FE5A85">
        <w:t>,</w:t>
      </w:r>
      <w:r w:rsidR="00FE5A85">
        <w:rPr>
          <w:i/>
        </w:rPr>
        <w:t xml:space="preserve"> </w:t>
      </w:r>
      <w:r w:rsidR="00FE5A85">
        <w:t>cyt</w:t>
      </w:r>
      <w:r w:rsidR="00AC6FFC">
        <w:t>.</w:t>
      </w:r>
      <w:r w:rsidR="00FE5A85">
        <w:t xml:space="preserve"> powyżej,</w:t>
      </w:r>
      <w:r w:rsidR="00FE5A85">
        <w:rPr>
          <w:i/>
        </w:rPr>
        <w:t xml:space="preserve"> </w:t>
      </w:r>
      <w:r w:rsidR="00FE5A85">
        <w:t>§ 29).</w:t>
      </w:r>
    </w:p>
    <w:p w14:paraId="2B4E033B" w14:textId="6313F5B1" w:rsidR="00FE5A85" w:rsidRPr="00195BA6" w:rsidRDefault="0097119B" w:rsidP="00195BA6">
      <w:pPr>
        <w:pStyle w:val="JuPara"/>
      </w:pPr>
      <w:r>
        <w:rPr>
          <w:noProof/>
        </w:rPr>
        <w:t>55</w:t>
      </w:r>
      <w:r w:rsidR="00840144">
        <w:t>.</w:t>
      </w:r>
      <w:r w:rsidR="00297EFB">
        <w:t xml:space="preserve"> </w:t>
      </w:r>
      <w:r w:rsidR="00FE5A85">
        <w:t>Zastosowanie środków tymczasowych w kontekście postępowania sądowego mając</w:t>
      </w:r>
      <w:r w:rsidR="004D06D6">
        <w:t>e</w:t>
      </w:r>
      <w:r w:rsidR="00FE5A85">
        <w:t xml:space="preserve"> na celu uprzedzenie ewentualnej konfiskaty mienia uznano już wcześniej </w:t>
      </w:r>
      <w:r w:rsidR="00337B50">
        <w:t>za</w:t>
      </w:r>
      <w:r w:rsidR="00FE5A85">
        <w:t xml:space="preserve"> leżące w „ogólnym interesie” społeczeństwa (zob.</w:t>
      </w:r>
      <w:r w:rsidR="002D7061">
        <w:t> </w:t>
      </w:r>
      <w:r w:rsidR="00FE5A85">
        <w:t xml:space="preserve">na </w:t>
      </w:r>
      <w:r w:rsidR="002D7061">
        <w:t> </w:t>
      </w:r>
      <w:r w:rsidR="00FE5A85">
        <w:t xml:space="preserve">przykład </w:t>
      </w:r>
      <w:r w:rsidR="00FE5A85">
        <w:rPr>
          <w:i/>
        </w:rPr>
        <w:t>Borzhonov przeciwko Rosji</w:t>
      </w:r>
      <w:r w:rsidR="00FE5A85" w:rsidRPr="001D696C">
        <w:rPr>
          <w:iCs/>
        </w:rPr>
        <w:t>, skarga nr 18274/04, § 58, 22</w:t>
      </w:r>
      <w:r w:rsidR="002D7061">
        <w:rPr>
          <w:iCs/>
        </w:rPr>
        <w:t> </w:t>
      </w:r>
      <w:r w:rsidR="00FE5A85" w:rsidRPr="001D696C">
        <w:rPr>
          <w:iCs/>
        </w:rPr>
        <w:t>stycznia 2009 r. oraz przy</w:t>
      </w:r>
      <w:r w:rsidR="001D696C">
        <w:rPr>
          <w:iCs/>
        </w:rPr>
        <w:t>wołan</w:t>
      </w:r>
      <w:r w:rsidR="00FE5A85" w:rsidRPr="001D696C">
        <w:rPr>
          <w:iCs/>
        </w:rPr>
        <w:t>e tam orzecznictwo;</w:t>
      </w:r>
      <w:r w:rsidR="00FE5A85">
        <w:rPr>
          <w:i/>
        </w:rPr>
        <w:t xml:space="preserve"> East West Alliance Limited przeciwko Ukrainie</w:t>
      </w:r>
      <w:r w:rsidR="00FE5A85" w:rsidRPr="001D696C">
        <w:rPr>
          <w:iCs/>
        </w:rPr>
        <w:t>,</w:t>
      </w:r>
      <w:r w:rsidR="001D696C" w:rsidRPr="001D696C">
        <w:rPr>
          <w:iCs/>
        </w:rPr>
        <w:t xml:space="preserve"> skarga</w:t>
      </w:r>
      <w:r w:rsidR="00FE5A85" w:rsidRPr="001D696C">
        <w:rPr>
          <w:iCs/>
        </w:rPr>
        <w:t xml:space="preserve"> nr 19336/04, §</w:t>
      </w:r>
      <w:r w:rsidR="001A1668">
        <w:rPr>
          <w:iCs/>
        </w:rPr>
        <w:t xml:space="preserve"> </w:t>
      </w:r>
      <w:r w:rsidR="00FE5A85" w:rsidRPr="001D696C">
        <w:rPr>
          <w:iCs/>
        </w:rPr>
        <w:t>187, 23 stycznia 2014 r.</w:t>
      </w:r>
      <w:r w:rsidR="00FE5A85">
        <w:rPr>
          <w:i/>
        </w:rPr>
        <w:t>; Džinić</w:t>
      </w:r>
      <w:r w:rsidR="00FE5A85" w:rsidRPr="001D696C">
        <w:rPr>
          <w:iCs/>
        </w:rPr>
        <w:t>, cyt</w:t>
      </w:r>
      <w:r w:rsidR="00AC6FFC">
        <w:rPr>
          <w:iCs/>
        </w:rPr>
        <w:t>.</w:t>
      </w:r>
      <w:r w:rsidR="00FE5A85" w:rsidRPr="001D696C">
        <w:rPr>
          <w:iCs/>
        </w:rPr>
        <w:t xml:space="preserve"> powyżej, § 65)</w:t>
      </w:r>
      <w:r w:rsidR="00FE5A85">
        <w:rPr>
          <w:i/>
        </w:rPr>
        <w:t>.</w:t>
      </w:r>
    </w:p>
    <w:p w14:paraId="6ADEB0AB" w14:textId="32522D26" w:rsidR="00FE5A85" w:rsidRPr="00195BA6" w:rsidRDefault="0097119B" w:rsidP="00195BA6">
      <w:pPr>
        <w:pStyle w:val="JuPara"/>
      </w:pPr>
      <w:r>
        <w:rPr>
          <w:noProof/>
        </w:rPr>
        <w:t>56</w:t>
      </w:r>
      <w:r w:rsidR="00840144">
        <w:t>.</w:t>
      </w:r>
      <w:r w:rsidR="00297EFB">
        <w:t xml:space="preserve"> </w:t>
      </w:r>
      <w:r w:rsidR="00FE5A85">
        <w:t xml:space="preserve">Trybunał powtarza, że choć każdy przypadek zajęcia lub konfiskaty pociąga za sobą szkodę, to aby zachować zgodność z art. 1 Protokołu nr 1, rzeczywista poniesiona szkoda nie powinna być większa niż ta, która jest nieunikniona (zob. </w:t>
      </w:r>
      <w:r w:rsidR="00FE5A85">
        <w:rPr>
          <w:i/>
        </w:rPr>
        <w:t xml:space="preserve">Džinić, </w:t>
      </w:r>
      <w:r w:rsidR="00FE5A85" w:rsidRPr="00AC6FFC">
        <w:rPr>
          <w:iCs/>
        </w:rPr>
        <w:t>§ 68</w:t>
      </w:r>
      <w:r w:rsidR="00FE5A85">
        <w:rPr>
          <w:i/>
        </w:rPr>
        <w:t xml:space="preserve"> in fine </w:t>
      </w:r>
      <w:r w:rsidR="00AC6FFC">
        <w:rPr>
          <w:iCs/>
        </w:rPr>
        <w:t>oraz</w:t>
      </w:r>
      <w:r w:rsidR="00FE5A85">
        <w:rPr>
          <w:i/>
        </w:rPr>
        <w:t xml:space="preserve"> Hábenczius, </w:t>
      </w:r>
      <w:r w:rsidR="00FE5A85" w:rsidRPr="00AC6FFC">
        <w:rPr>
          <w:iCs/>
        </w:rPr>
        <w:t>§ 30</w:t>
      </w:r>
      <w:r w:rsidR="00FE5A85">
        <w:rPr>
          <w:i/>
        </w:rPr>
        <w:t xml:space="preserve"> in fine, </w:t>
      </w:r>
      <w:r w:rsidR="00FE5A85" w:rsidRPr="00AC6FFC">
        <w:rPr>
          <w:iCs/>
        </w:rPr>
        <w:t>oba</w:t>
      </w:r>
      <w:r w:rsidR="00CE1950">
        <w:rPr>
          <w:iCs/>
        </w:rPr>
        <w:t> </w:t>
      </w:r>
      <w:r w:rsidR="00FE5A85" w:rsidRPr="00AC6FFC">
        <w:rPr>
          <w:iCs/>
        </w:rPr>
        <w:t>wyroki cyt</w:t>
      </w:r>
      <w:r w:rsidR="00AC6FFC">
        <w:rPr>
          <w:iCs/>
        </w:rPr>
        <w:t>.</w:t>
      </w:r>
      <w:r w:rsidR="00FE5A85" w:rsidRPr="00AC6FFC">
        <w:rPr>
          <w:iCs/>
        </w:rPr>
        <w:t xml:space="preserve"> powyżej</w:t>
      </w:r>
      <w:r w:rsidR="00FE5A85">
        <w:rPr>
          <w:i/>
        </w:rPr>
        <w:t>).</w:t>
      </w:r>
    </w:p>
    <w:p w14:paraId="52312E5A" w14:textId="4F69C468" w:rsidR="00FE5A85" w:rsidRPr="00195BA6" w:rsidRDefault="0097119B" w:rsidP="00195BA6">
      <w:pPr>
        <w:pStyle w:val="JuPara"/>
      </w:pPr>
      <w:r>
        <w:rPr>
          <w:noProof/>
        </w:rPr>
        <w:t>57</w:t>
      </w:r>
      <w:r w:rsidR="00840144">
        <w:t>.</w:t>
      </w:r>
      <w:r w:rsidR="00297EFB">
        <w:t xml:space="preserve"> </w:t>
      </w:r>
      <w:r w:rsidR="0081311E">
        <w:t xml:space="preserve">Trybunał powtarza, iż chociaż art. 1 Protokołu nr 1 nie gwarantuje prawa do pełnego odszkodowania we wszystkich okolicznościach, warunki odszkodowania są istotne dla oceny, czy zaskarżone ustawodawstwo zachowuje </w:t>
      </w:r>
      <w:r w:rsidR="009D3952">
        <w:t xml:space="preserve">sprawiedliwą </w:t>
      </w:r>
      <w:r w:rsidR="0081311E">
        <w:t xml:space="preserve">równowagę między różnymi interesami w danej sprawie, a w szczególności, czy nie nakłada </w:t>
      </w:r>
      <w:r w:rsidR="00AC6FFC">
        <w:t>n</w:t>
      </w:r>
      <w:r w:rsidR="00E02816">
        <w:t>iewspółmiernego</w:t>
      </w:r>
      <w:r w:rsidR="00AC6FFC">
        <w:t xml:space="preserve"> </w:t>
      </w:r>
      <w:r w:rsidR="0081311E">
        <w:t>obciążenia na</w:t>
      </w:r>
      <w:r w:rsidR="002D7061">
        <w:t> </w:t>
      </w:r>
      <w:r w:rsidR="0081311E">
        <w:t xml:space="preserve">skarżących. W związku z tym Trybunał uznał już, że </w:t>
      </w:r>
      <w:r w:rsidR="00AC6FFC">
        <w:t>odebranie</w:t>
      </w:r>
      <w:r w:rsidR="0081311E">
        <w:t xml:space="preserve"> mienia bez</w:t>
      </w:r>
      <w:r w:rsidR="002D7061">
        <w:t> </w:t>
      </w:r>
      <w:r w:rsidR="0081311E">
        <w:t xml:space="preserve">zapłaty kwoty rozsądnie powiązanej </w:t>
      </w:r>
      <w:r w:rsidR="00AC6FFC">
        <w:t xml:space="preserve">z jej wartością będzie zwykle stanowiło </w:t>
      </w:r>
      <w:r w:rsidR="0081311E">
        <w:t xml:space="preserve">nieproporcjonalną ingerencję, a </w:t>
      </w:r>
      <w:r w:rsidR="00AC6FFC">
        <w:t xml:space="preserve">całkowity </w:t>
      </w:r>
      <w:r w:rsidR="0081311E">
        <w:t xml:space="preserve">brak odszkodowania można uznać za uzasadniony na </w:t>
      </w:r>
      <w:r w:rsidR="00AC6FFC">
        <w:t>podstawie</w:t>
      </w:r>
      <w:r w:rsidR="0081311E">
        <w:t xml:space="preserve"> art. 1 Protokołu nr 1 </w:t>
      </w:r>
      <w:r w:rsidR="00AC6FFC">
        <w:t>jedynie w</w:t>
      </w:r>
      <w:r w:rsidR="002D7061">
        <w:t> </w:t>
      </w:r>
      <w:r w:rsidR="0081311E">
        <w:t xml:space="preserve">wyjątkowych okolicznościach (zob. </w:t>
      </w:r>
      <w:r w:rsidR="0081311E">
        <w:rPr>
          <w:i/>
        </w:rPr>
        <w:t>The Holy Monasteries przeciwko Grecji</w:t>
      </w:r>
      <w:r w:rsidR="0081311E">
        <w:t>, 9 grudnia 1994 r., § 71, Seria A nr 301</w:t>
      </w:r>
      <w:r w:rsidR="0081311E">
        <w:noBreakHyphen/>
        <w:t xml:space="preserve">A). Artykuł 1 Protokołu nr 1 nie gwarantuje jednak prawa do pełnego odszkodowania we wszystkich okolicznościach (zob. </w:t>
      </w:r>
      <w:r w:rsidR="0081311E">
        <w:rPr>
          <w:i/>
          <w:iCs/>
        </w:rPr>
        <w:t>James i Inni przeciwko Zjednoczonemu Królestwu</w:t>
      </w:r>
      <w:r w:rsidR="0081311E">
        <w:t xml:space="preserve">, skarga nr 8793/79, § 54, 21 lutego 1986 r.; </w:t>
      </w:r>
      <w:r w:rsidR="0081311E">
        <w:rPr>
          <w:i/>
          <w:iCs/>
        </w:rPr>
        <w:t>Broniowski przeciwko Polsce</w:t>
      </w:r>
      <w:r w:rsidR="0081311E">
        <w:t xml:space="preserve"> </w:t>
      </w:r>
      <w:r w:rsidR="0081311E">
        <w:lastRenderedPageBreak/>
        <w:t xml:space="preserve">[WI], skarga nr 31443/96, § 182, ETPC 2004-V; oraz </w:t>
      </w:r>
      <w:r w:rsidR="0081311E">
        <w:rPr>
          <w:i/>
          <w:iCs/>
        </w:rPr>
        <w:t>Scordino przeciwko Włochom</w:t>
      </w:r>
      <w:r w:rsidR="0081311E">
        <w:t xml:space="preserve"> </w:t>
      </w:r>
      <w:r w:rsidR="0081311E" w:rsidRPr="00AC6FFC">
        <w:rPr>
          <w:i/>
          <w:iCs/>
        </w:rPr>
        <w:t>(nr 1)</w:t>
      </w:r>
      <w:r w:rsidR="0081311E">
        <w:t xml:space="preserve"> [WI], skarga nr 36813/97, § 95, ETPC 2006‑V).</w:t>
      </w:r>
    </w:p>
    <w:p w14:paraId="43CC050B" w14:textId="77777777" w:rsidR="00FE5A85" w:rsidRPr="00195BA6" w:rsidRDefault="00FE5A85" w:rsidP="00195BA6">
      <w:pPr>
        <w:pStyle w:val="JuHa0"/>
      </w:pPr>
      <w:r>
        <w:t>Zastosowanie powyższych zasad w niniejszej sprawie</w:t>
      </w:r>
    </w:p>
    <w:p w14:paraId="04EA4261" w14:textId="27A09E87" w:rsidR="00FE5A85" w:rsidRPr="00195BA6" w:rsidRDefault="0097119B" w:rsidP="00195BA6">
      <w:pPr>
        <w:pStyle w:val="JuPara"/>
      </w:pPr>
      <w:r>
        <w:rPr>
          <w:noProof/>
        </w:rPr>
        <w:t>58</w:t>
      </w:r>
      <w:r w:rsidR="00EC2BBE">
        <w:t>.</w:t>
      </w:r>
      <w:r w:rsidR="00297EFB">
        <w:t xml:space="preserve"> </w:t>
      </w:r>
      <w:r w:rsidR="00FE5A85">
        <w:t xml:space="preserve">Pomiędzy stronami nie ma sporu co do tego, że środek stanowił ingerencję w prawo </w:t>
      </w:r>
      <w:r w:rsidR="00B402A9">
        <w:t>do poszanowania mienia skarżącego</w:t>
      </w:r>
      <w:r w:rsidR="00FE5A85">
        <w:t xml:space="preserve">. Zajęcie samochodu stanowiło tymczasowe, aczkolwiek przedłużające się ograniczenie </w:t>
      </w:r>
      <w:r w:rsidR="00FE5A85" w:rsidRPr="00B402A9">
        <w:t>w</w:t>
      </w:r>
      <w:r w:rsidR="002D7061">
        <w:t> </w:t>
      </w:r>
      <w:r w:rsidR="00FE5A85" w:rsidRPr="00B402A9">
        <w:t>sposobie</w:t>
      </w:r>
      <w:r w:rsidR="00FE5A85">
        <w:t xml:space="preserve"> korzystania z mienia i nie wiązało się z przeniesieniem tytułu własności. Trybunał stosuje zatem ogólną zasadę określoną powyżej i uważa przedmiotową ingerencję za uregulowanie sposobu korzystania z własności w rozumieniu art. 1 </w:t>
      </w:r>
      <w:r w:rsidR="00967CA8">
        <w:t xml:space="preserve">akapit drugi </w:t>
      </w:r>
      <w:r w:rsidR="00FE5A85">
        <w:t>Protokołu nr 1 (zob.</w:t>
      </w:r>
      <w:r w:rsidR="00EC2BBE">
        <w:t xml:space="preserve"> </w:t>
      </w:r>
      <w:r w:rsidR="00FE5A85">
        <w:rPr>
          <w:i/>
        </w:rPr>
        <w:t>mutatis mutandis</w:t>
      </w:r>
      <w:r w:rsidR="00FE5A85" w:rsidRPr="00967CA8">
        <w:rPr>
          <w:i/>
          <w:iCs/>
        </w:rPr>
        <w:t>,</w:t>
      </w:r>
      <w:r w:rsidR="00FE5A85">
        <w:t xml:space="preserve"> </w:t>
      </w:r>
      <w:r w:rsidR="00FE5A85">
        <w:rPr>
          <w:i/>
        </w:rPr>
        <w:t>Lachikhina</w:t>
      </w:r>
      <w:r w:rsidR="00FE5A85">
        <w:t xml:space="preserve">, § 58; </w:t>
      </w:r>
      <w:r w:rsidR="00FE5A85">
        <w:rPr>
          <w:i/>
        </w:rPr>
        <w:t>Adamczyk</w:t>
      </w:r>
      <w:r w:rsidR="00FE5A85">
        <w:t xml:space="preserve"> (dec.) i </w:t>
      </w:r>
      <w:r w:rsidR="00FE5A85">
        <w:rPr>
          <w:i/>
        </w:rPr>
        <w:t>Hábenczius</w:t>
      </w:r>
      <w:r w:rsidR="00FE5A85">
        <w:t>, § 28, cyt</w:t>
      </w:r>
      <w:r w:rsidR="00967CA8">
        <w:t>.</w:t>
      </w:r>
      <w:r w:rsidR="00FE5A85">
        <w:t xml:space="preserve"> powyżej).</w:t>
      </w:r>
    </w:p>
    <w:p w14:paraId="2A012C60" w14:textId="086750FE" w:rsidR="00FE5A85" w:rsidRPr="00195BA6" w:rsidRDefault="0097119B" w:rsidP="00195BA6">
      <w:pPr>
        <w:pStyle w:val="JuPara"/>
      </w:pPr>
      <w:r>
        <w:rPr>
          <w:noProof/>
        </w:rPr>
        <w:t>59</w:t>
      </w:r>
      <w:r w:rsidR="00EC2BBE">
        <w:t>.</w:t>
      </w:r>
      <w:r w:rsidR="00297EFB">
        <w:t xml:space="preserve"> </w:t>
      </w:r>
      <w:r w:rsidR="00FE5A85">
        <w:t>Pojazd skarżącego został zajęty na podstawie postanowienia o</w:t>
      </w:r>
      <w:r w:rsidR="002D7061">
        <w:t> </w:t>
      </w:r>
      <w:r w:rsidR="00FE5A85">
        <w:t>zabezpieczeniu majątkowym</w:t>
      </w:r>
      <w:r w:rsidR="00967CA8">
        <w:t xml:space="preserve">, którego celem było </w:t>
      </w:r>
      <w:r w:rsidR="00FE5A85">
        <w:t xml:space="preserve">zabezpieczenie zapłaty wszelkich grzywien i </w:t>
      </w:r>
      <w:r w:rsidR="00967CA8">
        <w:t>odszkodowań</w:t>
      </w:r>
      <w:r w:rsidR="00FE5A85">
        <w:t xml:space="preserve"> wynikających z postępowania w sprawie karnej toczącego się</w:t>
      </w:r>
      <w:r w:rsidR="00967CA8">
        <w:t xml:space="preserve"> przeciwko skarżącemu</w:t>
      </w:r>
      <w:r w:rsidR="00FE5A85">
        <w:t xml:space="preserve"> w </w:t>
      </w:r>
      <w:r w:rsidR="009046B4">
        <w:t>przedmiotowym</w:t>
      </w:r>
      <w:r w:rsidR="00FE5A85">
        <w:t xml:space="preserve"> okresie (zob.</w:t>
      </w:r>
      <w:r w:rsidR="002D7061">
        <w:t> </w:t>
      </w:r>
      <w:r w:rsidR="00FE5A85">
        <w:t xml:space="preserve">paragraf </w:t>
      </w:r>
      <w:r w:rsidR="004559FC">
        <w:t>6</w:t>
      </w:r>
      <w:r w:rsidR="00FE5A85">
        <w:t xml:space="preserve"> powyżej). Poza stwierdzeniem Rządu w paragrafie 47 powyżej, którego nie dowodzi żaden dokument, Trybunał nie posiada żadnych informacji o</w:t>
      </w:r>
      <w:r w:rsidR="001A1668">
        <w:t xml:space="preserve"> </w:t>
      </w:r>
      <w:r w:rsidR="00FE5A85">
        <w:t xml:space="preserve">tym, że samochód miał również </w:t>
      </w:r>
      <w:r w:rsidR="00967CA8">
        <w:t>po</w:t>
      </w:r>
      <w:r w:rsidR="00FE5A85">
        <w:t>służyć jako dowód. Prawo prokuratora do</w:t>
      </w:r>
      <w:r w:rsidR="001A1668">
        <w:t xml:space="preserve"> </w:t>
      </w:r>
      <w:r w:rsidR="00FE5A85">
        <w:t xml:space="preserve">zarządzenia zajęcia mienia jest tym niemniej określone w art. 291 </w:t>
      </w:r>
      <w:r w:rsidR="00361F49">
        <w:t xml:space="preserve">Kodeksu </w:t>
      </w:r>
      <w:r w:rsidR="00FE5A85">
        <w:t>postępowania karnego (zob. paragraf 28 powyżej). Trybunał tym samym uznaje, że zajęcie pojazdu skarżącego w niniejszej sprawie było zgodne z</w:t>
      </w:r>
      <w:r w:rsidR="001A1668">
        <w:t xml:space="preserve"> </w:t>
      </w:r>
      <w:r w:rsidR="00FE5A85">
        <w:t xml:space="preserve">prawem (zob. </w:t>
      </w:r>
      <w:r w:rsidR="00FE5A85">
        <w:rPr>
          <w:i/>
        </w:rPr>
        <w:t>mutatis mutandis</w:t>
      </w:r>
      <w:r w:rsidR="00FE5A85" w:rsidRPr="00967CA8">
        <w:rPr>
          <w:iCs/>
        </w:rPr>
        <w:t>,</w:t>
      </w:r>
      <w:r w:rsidR="00FE5A85">
        <w:rPr>
          <w:i/>
        </w:rPr>
        <w:t xml:space="preserve"> Adamczyk </w:t>
      </w:r>
      <w:r w:rsidR="00FE5A85" w:rsidRPr="00967CA8">
        <w:rPr>
          <w:iCs/>
        </w:rPr>
        <w:t>(dec.), cyt</w:t>
      </w:r>
      <w:r w:rsidR="00967CA8">
        <w:rPr>
          <w:iCs/>
        </w:rPr>
        <w:t>.</w:t>
      </w:r>
      <w:r w:rsidR="002D7061">
        <w:rPr>
          <w:iCs/>
        </w:rPr>
        <w:t> </w:t>
      </w:r>
      <w:r w:rsidR="00FE5A85" w:rsidRPr="00967CA8">
        <w:rPr>
          <w:iCs/>
        </w:rPr>
        <w:t>powyżej</w:t>
      </w:r>
      <w:r w:rsidR="00FE5A85" w:rsidRPr="00B05ACA">
        <w:rPr>
          <w:iCs/>
        </w:rPr>
        <w:t>)</w:t>
      </w:r>
      <w:r w:rsidR="00FE5A85">
        <w:rPr>
          <w:i/>
        </w:rPr>
        <w:t>.</w:t>
      </w:r>
      <w:r w:rsidR="00FE5A85">
        <w:t xml:space="preserve"> Kwesti</w:t>
      </w:r>
      <w:r w:rsidR="00967CA8">
        <w:t>ę</w:t>
      </w:r>
      <w:r w:rsidR="00FE5A85">
        <w:t xml:space="preserve"> tego, czy ramy prawne nie regulowały</w:t>
      </w:r>
      <w:r w:rsidR="00967CA8">
        <w:t xml:space="preserve"> –</w:t>
      </w:r>
      <w:r w:rsidR="00FE5A85">
        <w:t xml:space="preserve"> zgodnie ze</w:t>
      </w:r>
      <w:r w:rsidR="002D7061">
        <w:t> </w:t>
      </w:r>
      <w:r w:rsidR="00FE5A85">
        <w:t>stwierdzeniem skarżącego</w:t>
      </w:r>
      <w:r w:rsidR="00967CA8">
        <w:t xml:space="preserve"> – warunków </w:t>
      </w:r>
      <w:r w:rsidR="00FE5A85">
        <w:t>przechowywania zajęt</w:t>
      </w:r>
      <w:r w:rsidR="005746AE">
        <w:t>ej</w:t>
      </w:r>
      <w:r w:rsidR="00FE5A85">
        <w:t xml:space="preserve"> ruchomości, </w:t>
      </w:r>
      <w:r w:rsidR="00967CA8">
        <w:t>poruszy</w:t>
      </w:r>
      <w:r w:rsidR="00FE5A85">
        <w:t xml:space="preserve"> Trybunał poniżej w ramach analizy proporcjonalności środka.</w:t>
      </w:r>
    </w:p>
    <w:p w14:paraId="0A102E01" w14:textId="12C3350F" w:rsidR="00FE5A85" w:rsidRPr="00195BA6" w:rsidRDefault="0097119B" w:rsidP="00195BA6">
      <w:pPr>
        <w:pStyle w:val="JuPara"/>
      </w:pPr>
      <w:r>
        <w:rPr>
          <w:noProof/>
        </w:rPr>
        <w:t>60</w:t>
      </w:r>
      <w:r w:rsidR="00EC2BBE">
        <w:t>.</w:t>
      </w:r>
      <w:r w:rsidR="00297EFB">
        <w:t xml:space="preserve"> </w:t>
      </w:r>
      <w:r w:rsidR="00FE5A85">
        <w:t>Trybunał ponadto uznaje, iż zaskarżony środek został zastosowany w</w:t>
      </w:r>
      <w:r w:rsidR="002D7061">
        <w:t> </w:t>
      </w:r>
      <w:r w:rsidR="00FE5A85">
        <w:t xml:space="preserve">ogólnym interesie społeczeństwa, to jest w celu zagwarantowania właściwego przebiegu postępowania sądowego (zob. </w:t>
      </w:r>
      <w:r w:rsidR="00FE5A85">
        <w:rPr>
          <w:i/>
        </w:rPr>
        <w:t>mutandis</w:t>
      </w:r>
      <w:r w:rsidR="00FE5A85" w:rsidRPr="00967CA8">
        <w:rPr>
          <w:i/>
          <w:iCs/>
        </w:rPr>
        <w:t>,</w:t>
      </w:r>
      <w:r w:rsidR="00FE5A85">
        <w:t xml:space="preserve"> </w:t>
      </w:r>
      <w:r w:rsidR="00FE5A85">
        <w:rPr>
          <w:i/>
        </w:rPr>
        <w:t>JGK Statyba Ltd and Guselnikovas</w:t>
      </w:r>
      <w:r w:rsidR="00FE5A85">
        <w:t>, cyt</w:t>
      </w:r>
      <w:r w:rsidR="00967CA8">
        <w:t>.</w:t>
      </w:r>
      <w:r w:rsidR="00FE5A85">
        <w:t xml:space="preserve"> powyżej, § 125). W związku z tym </w:t>
      </w:r>
      <w:r w:rsidR="00967CA8">
        <w:t xml:space="preserve">nieistotny jest </w:t>
      </w:r>
      <w:r w:rsidR="00FE5A85">
        <w:t>fakt, że zajęcie miało częściowo na celu zabezpieczenie wypłaty odszkodowania dla osób prywatnych będących poszkodowanymi w</w:t>
      </w:r>
      <w:r w:rsidR="001A1668">
        <w:t xml:space="preserve"> </w:t>
      </w:r>
      <w:r w:rsidR="00FE5A85">
        <w:t xml:space="preserve">wyniku </w:t>
      </w:r>
      <w:r w:rsidR="00967CA8">
        <w:t>przestępstw</w:t>
      </w:r>
      <w:r w:rsidR="00FE5A85">
        <w:t xml:space="preserve"> rzekomo popełnionych przez skarżącego</w:t>
      </w:r>
      <w:r w:rsidR="00967CA8">
        <w:t>.</w:t>
      </w:r>
    </w:p>
    <w:p w14:paraId="29C188A6" w14:textId="06409EC5" w:rsidR="00FE5A85" w:rsidRPr="00195BA6" w:rsidRDefault="0097119B" w:rsidP="00195BA6">
      <w:pPr>
        <w:pStyle w:val="JuPara"/>
      </w:pPr>
      <w:r>
        <w:rPr>
          <w:noProof/>
        </w:rPr>
        <w:t>61</w:t>
      </w:r>
      <w:r w:rsidR="00EC2BBE">
        <w:t>.</w:t>
      </w:r>
      <w:r w:rsidR="00297EFB">
        <w:t xml:space="preserve"> </w:t>
      </w:r>
      <w:r w:rsidR="00FE5A85">
        <w:t>Dalej Trybunał powtarza, iż nawet jeżeli do ingerencji w prawo do</w:t>
      </w:r>
      <w:r w:rsidR="002D7061">
        <w:t> </w:t>
      </w:r>
      <w:r w:rsidR="00FE5A85">
        <w:t xml:space="preserve">poszanowania mienia doszło „na warunkach przewidzianych przez ustawę" </w:t>
      </w:r>
      <w:r w:rsidR="00967CA8">
        <w:t>–</w:t>
      </w:r>
      <w:r w:rsidR="00FE5A85">
        <w:t xml:space="preserve"> co oznacza brak arbitralności </w:t>
      </w:r>
      <w:r w:rsidR="00967CA8">
        <w:t>–</w:t>
      </w:r>
      <w:r w:rsidR="00FE5A85">
        <w:t xml:space="preserve"> i w interesie publicznym, w ramach takiej ingerencji należy zawsze zachować "</w:t>
      </w:r>
      <w:r w:rsidR="009046B4">
        <w:t>sprawiedliwą</w:t>
      </w:r>
      <w:r w:rsidR="00FE5A85">
        <w:t xml:space="preserve"> równowagę" między wymaganiami ogólnego interesu społeczeństwa i wymogami ochrony podstawowych praw jednostek. Przede wszystkim musi istnieć rozsądny </w:t>
      </w:r>
      <w:r w:rsidR="0042585B">
        <w:t>związek</w:t>
      </w:r>
      <w:r w:rsidR="00FE5A85">
        <w:t xml:space="preserve"> proporcjonalności pomiędzy zastosowanymi środkami</w:t>
      </w:r>
      <w:r w:rsidR="0042585B">
        <w:t xml:space="preserve"> </w:t>
      </w:r>
      <w:r w:rsidR="00FE5A85">
        <w:t>a</w:t>
      </w:r>
      <w:r w:rsidR="002D7061">
        <w:t> </w:t>
      </w:r>
      <w:r w:rsidR="0042585B">
        <w:t xml:space="preserve">wytyczonym </w:t>
      </w:r>
      <w:r w:rsidR="00FE5A85">
        <w:t xml:space="preserve">celem </w:t>
      </w:r>
      <w:r w:rsidR="0042585B">
        <w:t>(</w:t>
      </w:r>
      <w:r w:rsidR="00FE5A85">
        <w:t xml:space="preserve">zob. </w:t>
      </w:r>
      <w:r w:rsidR="00FE5A85">
        <w:rPr>
          <w:i/>
        </w:rPr>
        <w:t>Immobiliare Saffi przeciwko Włochom</w:t>
      </w:r>
      <w:r w:rsidR="00FE5A85">
        <w:t xml:space="preserve"> [WI], skarga nr</w:t>
      </w:r>
      <w:r w:rsidR="001A1668">
        <w:t xml:space="preserve"> </w:t>
      </w:r>
      <w:r w:rsidR="00FE5A85">
        <w:t>22774/93, § 49, ETPC 1999</w:t>
      </w:r>
      <w:r w:rsidR="00FE5A85">
        <w:noBreakHyphen/>
        <w:t xml:space="preserve">V </w:t>
      </w:r>
      <w:r w:rsidR="0042585B">
        <w:t>oraz</w:t>
      </w:r>
      <w:r w:rsidR="00FE5A85">
        <w:t xml:space="preserve"> </w:t>
      </w:r>
      <w:r w:rsidR="00FE5A85">
        <w:rPr>
          <w:i/>
        </w:rPr>
        <w:t>JGK Statyba Ltd i</w:t>
      </w:r>
      <w:r w:rsidR="002D7061">
        <w:rPr>
          <w:i/>
        </w:rPr>
        <w:t> </w:t>
      </w:r>
      <w:r w:rsidR="00FE5A85">
        <w:rPr>
          <w:i/>
        </w:rPr>
        <w:t>Guselnikovas</w:t>
      </w:r>
      <w:r w:rsidR="00FE5A85">
        <w:t>, cyt</w:t>
      </w:r>
      <w:r w:rsidR="0042585B">
        <w:t>.</w:t>
      </w:r>
      <w:r w:rsidR="00FE5A85">
        <w:t xml:space="preserve"> powyżej, § 127).</w:t>
      </w:r>
    </w:p>
    <w:p w14:paraId="00A40932" w14:textId="78179154" w:rsidR="00FE5A85" w:rsidRPr="00195BA6" w:rsidRDefault="0097119B" w:rsidP="00195BA6">
      <w:pPr>
        <w:pStyle w:val="JuPara"/>
      </w:pPr>
      <w:r>
        <w:rPr>
          <w:noProof/>
        </w:rPr>
        <w:lastRenderedPageBreak/>
        <w:t>62</w:t>
      </w:r>
      <w:r w:rsidR="00B402A9">
        <w:t>.</w:t>
      </w:r>
      <w:r w:rsidR="00297EFB">
        <w:t xml:space="preserve"> </w:t>
      </w:r>
      <w:r w:rsidR="0081311E">
        <w:t xml:space="preserve">W przedmiotowej sprawie istotą zarzutu skarżącego jest nieuzasadniony charakter zajęcia jego samochodu i fakt, że stanowiło </w:t>
      </w:r>
      <w:r w:rsidR="00902F78">
        <w:t xml:space="preserve">ono </w:t>
      </w:r>
      <w:r w:rsidR="0081311E">
        <w:t xml:space="preserve">dla niego nadmierne obciążenie. W tym celu skarżący przywołał następujące kwestie. (i) </w:t>
      </w:r>
      <w:r w:rsidR="00902F78">
        <w:t>W</w:t>
      </w:r>
      <w:r w:rsidR="0081311E">
        <w:t xml:space="preserve">artość początkowa jego samochodu była nieproporcjonalnie wyższa </w:t>
      </w:r>
      <w:r w:rsidR="00902F78">
        <w:t>od</w:t>
      </w:r>
      <w:r w:rsidR="0081311E">
        <w:t xml:space="preserve"> ewentualn</w:t>
      </w:r>
      <w:r w:rsidR="00902F78">
        <w:t>ych</w:t>
      </w:r>
      <w:r w:rsidR="0081311E">
        <w:t xml:space="preserve"> grzyw</w:t>
      </w:r>
      <w:r w:rsidR="00902F78">
        <w:t>ien</w:t>
      </w:r>
      <w:r w:rsidR="0081311E">
        <w:t xml:space="preserve"> czy odszkodowa</w:t>
      </w:r>
      <w:r w:rsidR="00902F78">
        <w:t>ń</w:t>
      </w:r>
      <w:r w:rsidR="0081311E">
        <w:t xml:space="preserve">, </w:t>
      </w:r>
      <w:r w:rsidR="00902F78">
        <w:t>których zapłatę miało zabezpieczyć zajęcie pojazdu.</w:t>
      </w:r>
      <w:r w:rsidR="0081311E">
        <w:t xml:space="preserve"> (ii) </w:t>
      </w:r>
      <w:r w:rsidR="00902F78">
        <w:t>W</w:t>
      </w:r>
      <w:r w:rsidR="0081311E">
        <w:t>ładze nie sprzedały samochodu w</w:t>
      </w:r>
      <w:r w:rsidR="002D7061">
        <w:t> </w:t>
      </w:r>
      <w:r w:rsidR="0081311E">
        <w:t xml:space="preserve">odpowiednim czasie. (iii) </w:t>
      </w:r>
      <w:r w:rsidR="00902F78">
        <w:t>W</w:t>
      </w:r>
      <w:r w:rsidR="0081311E">
        <w:t xml:space="preserve"> wyniku nieodpowiedniego przechowywania </w:t>
      </w:r>
      <w:r w:rsidR="00902F78">
        <w:t xml:space="preserve">oraz </w:t>
      </w:r>
      <w:r w:rsidR="0081311E">
        <w:t xml:space="preserve">braku właściwego dozoru technicznego i </w:t>
      </w:r>
      <w:r w:rsidR="00902F78">
        <w:t xml:space="preserve">konserwacji </w:t>
      </w:r>
      <w:r w:rsidR="0081311E">
        <w:t>doszło</w:t>
      </w:r>
      <w:r w:rsidR="00902F78">
        <w:t xml:space="preserve"> z kolei</w:t>
      </w:r>
      <w:r w:rsidR="0081311E">
        <w:t xml:space="preserve"> do</w:t>
      </w:r>
      <w:r w:rsidR="002D7061">
        <w:t> </w:t>
      </w:r>
      <w:r w:rsidR="0081311E">
        <w:t xml:space="preserve">utraty wartości samochodu do </w:t>
      </w:r>
      <w:r w:rsidR="00902F78">
        <w:t>poziomu</w:t>
      </w:r>
      <w:r w:rsidR="0081311E">
        <w:t xml:space="preserve">, w którym samochód </w:t>
      </w:r>
      <w:r w:rsidR="00902F78">
        <w:t xml:space="preserve">przestał być jakkolwiek </w:t>
      </w:r>
      <w:r w:rsidR="0081311E">
        <w:t xml:space="preserve">użyteczny dla celów postępowania sądowego czy samego skarżącego. Wreszcie (iv) sąd cywilny nie zrekompensował skarżącemu </w:t>
      </w:r>
      <w:r w:rsidR="00902F78">
        <w:t>utraty mienia</w:t>
      </w:r>
      <w:r w:rsidR="0081311E">
        <w:t xml:space="preserve"> wynikającej z zajęcia samochodu. W odniesieniu do ostatniej kwestii skarżący podniósł, iż sąd popełnił szereg błędów procesowych i</w:t>
      </w:r>
      <w:r w:rsidR="002D7061">
        <w:t> </w:t>
      </w:r>
      <w:r w:rsidR="0081311E">
        <w:t xml:space="preserve">materialnych </w:t>
      </w:r>
      <w:r w:rsidR="00902F78">
        <w:t xml:space="preserve">– </w:t>
      </w:r>
      <w:r w:rsidR="0081311E">
        <w:t>w szczególności nie uzyskał kontr</w:t>
      </w:r>
      <w:r w:rsidR="00BA4AC1">
        <w:t xml:space="preserve">propozycji </w:t>
      </w:r>
      <w:r w:rsidR="0081311E">
        <w:t>wyceny wartości samochod</w:t>
      </w:r>
      <w:r w:rsidR="001D46EB">
        <w:t>u</w:t>
      </w:r>
      <w:r w:rsidR="0081311E">
        <w:t xml:space="preserve"> od oficjalnego </w:t>
      </w:r>
      <w:r w:rsidR="00902F78">
        <w:t>rzeczoznawcy</w:t>
      </w:r>
      <w:r w:rsidR="0081311E">
        <w:t>.</w:t>
      </w:r>
    </w:p>
    <w:p w14:paraId="3001822E" w14:textId="616A7994" w:rsidR="00FE5A85" w:rsidRPr="00195BA6" w:rsidRDefault="0097119B" w:rsidP="00195BA6">
      <w:pPr>
        <w:pStyle w:val="JuPara"/>
      </w:pPr>
      <w:r>
        <w:rPr>
          <w:noProof/>
        </w:rPr>
        <w:t>63</w:t>
      </w:r>
      <w:r w:rsidR="00B402A9">
        <w:t>.</w:t>
      </w:r>
      <w:r w:rsidR="00297EFB">
        <w:t xml:space="preserve"> </w:t>
      </w:r>
      <w:r w:rsidR="00FE5A85">
        <w:t>Trybunał odnotowuje, iż o ile przedmiotowy pojazd był środkiem transportu osobistego, nie istniały dowody na to, że zajęcie miało znaczący wpływ na skarżącego</w:t>
      </w:r>
      <w:r w:rsidR="000002B5">
        <w:t>,</w:t>
      </w:r>
      <w:r w:rsidR="00FE5A85">
        <w:t xml:space="preserve"> </w:t>
      </w:r>
      <w:r w:rsidR="000002B5">
        <w:t xml:space="preserve">na przykład </w:t>
      </w:r>
      <w:r w:rsidR="00FE5A85">
        <w:t>w stosunku do jego życia osobistego lub</w:t>
      </w:r>
      <w:r w:rsidR="002D7061">
        <w:t> </w:t>
      </w:r>
      <w:r w:rsidR="00FE5A85">
        <w:t>zawodowego, jako że w okresie, którego sprawa dotyczy, skarżący praktycznie nie przebywał na wolności (zob. paragraf 49 powyżej).</w:t>
      </w:r>
    </w:p>
    <w:p w14:paraId="44EBEF56" w14:textId="0AB2C284" w:rsidR="00FE5A85" w:rsidRPr="00195BA6" w:rsidRDefault="0097119B" w:rsidP="00195BA6">
      <w:pPr>
        <w:pStyle w:val="JuPara"/>
      </w:pPr>
      <w:r>
        <w:rPr>
          <w:noProof/>
        </w:rPr>
        <w:t>64</w:t>
      </w:r>
      <w:r w:rsidR="00B402A9">
        <w:t>.</w:t>
      </w:r>
      <w:r w:rsidR="00297EFB">
        <w:t xml:space="preserve"> </w:t>
      </w:r>
      <w:r w:rsidR="00FE5A85">
        <w:t>Trybunał zauważa jednak, iż pojazd został zajęty w lutym 2005 r. i</w:t>
      </w:r>
      <w:r w:rsidR="002D7061">
        <w:t> </w:t>
      </w:r>
      <w:r w:rsidR="00FE5A85">
        <w:t>że</w:t>
      </w:r>
      <w:r w:rsidR="002D7061">
        <w:t> </w:t>
      </w:r>
      <w:r w:rsidR="00FE5A85">
        <w:t>od 2005 do 2013 r</w:t>
      </w:r>
      <w:r w:rsidR="00AC2F15">
        <w:t>.</w:t>
      </w:r>
      <w:r w:rsidR="00FE5A85">
        <w:t xml:space="preserve"> jego wartość spadła dziesięciokrotnie. Pięć lat po</w:t>
      </w:r>
      <w:r w:rsidR="002D7061">
        <w:t> </w:t>
      </w:r>
      <w:r w:rsidR="00FE5A85">
        <w:t>zajęciu samochodu sąd krajowy rozważył zastosowanie alternatywnego środka w postaci licytacji pojazdu (zob. paragraf 17 powyżej).</w:t>
      </w:r>
    </w:p>
    <w:p w14:paraId="2A49864E" w14:textId="13968D7F" w:rsidR="00FE5A85" w:rsidRPr="00195BA6" w:rsidRDefault="0097119B" w:rsidP="00195BA6">
      <w:pPr>
        <w:pStyle w:val="JuPara"/>
      </w:pPr>
      <w:r>
        <w:rPr>
          <w:noProof/>
        </w:rPr>
        <w:t>65</w:t>
      </w:r>
      <w:r w:rsidR="00B402A9">
        <w:t>.</w:t>
      </w:r>
      <w:r w:rsidR="00297EFB">
        <w:t xml:space="preserve"> </w:t>
      </w:r>
      <w:r w:rsidR="00FE5A85">
        <w:t xml:space="preserve">Wydaje się, że po upływie pewnego czasu od nieudanych licytacji skarżący </w:t>
      </w:r>
      <w:r w:rsidR="00902F78">
        <w:t>zyskał możliwość odzyskania</w:t>
      </w:r>
      <w:r w:rsidR="00FE5A85">
        <w:t xml:space="preserve"> samoch</w:t>
      </w:r>
      <w:r w:rsidR="00902F78">
        <w:t>odu,</w:t>
      </w:r>
      <w:r w:rsidR="00FE5A85">
        <w:t xml:space="preserve"> </w:t>
      </w:r>
      <w:r w:rsidR="00902F78">
        <w:t xml:space="preserve">z której jednak nie skorzystał, </w:t>
      </w:r>
      <w:r w:rsidR="00FE5A85">
        <w:t xml:space="preserve">mając na względzie </w:t>
      </w:r>
      <w:r w:rsidR="00902F78">
        <w:t>fatalny</w:t>
      </w:r>
      <w:r w:rsidR="00FE5A85">
        <w:t xml:space="preserve"> stan</w:t>
      </w:r>
      <w:r w:rsidR="00902F78">
        <w:t xml:space="preserve"> pojazdu</w:t>
      </w:r>
      <w:r w:rsidR="00FE5A85">
        <w:t xml:space="preserve"> i </w:t>
      </w:r>
      <w:r w:rsidR="00902F78">
        <w:t xml:space="preserve">jego </w:t>
      </w:r>
      <w:r w:rsidR="00FE5A85">
        <w:t>wartość rynkową nieprzekraczającą 325 EUR (zob. paragrafy 11, 18 i 20 powyżej). Trybunał przyjmuje za prawdopodobne, iż gdyby skarżący wcześniej odzyskał pieczę nad swoją ruchomością, mógłby sprzedać samochód</w:t>
      </w:r>
      <w:r w:rsidR="000002B5">
        <w:t>,</w:t>
      </w:r>
      <w:r w:rsidR="00FE5A85">
        <w:t xml:space="preserve"> gdy </w:t>
      </w:r>
      <w:r w:rsidR="000002B5">
        <w:t xml:space="preserve">jeszcze </w:t>
      </w:r>
      <w:r w:rsidR="00FE5A85">
        <w:t>był on</w:t>
      </w:r>
      <w:r w:rsidR="001A1668">
        <w:t xml:space="preserve"> </w:t>
      </w:r>
      <w:r w:rsidR="00FE5A85">
        <w:t>znaczącej wartości.</w:t>
      </w:r>
    </w:p>
    <w:p w14:paraId="61B22837" w14:textId="63B34B47" w:rsidR="00FE5A85" w:rsidRPr="00195BA6" w:rsidRDefault="0097119B" w:rsidP="00195BA6">
      <w:pPr>
        <w:pStyle w:val="JuPara"/>
      </w:pPr>
      <w:r>
        <w:rPr>
          <w:noProof/>
        </w:rPr>
        <w:t>66</w:t>
      </w:r>
      <w:r w:rsidR="00B402A9">
        <w:t>.</w:t>
      </w:r>
      <w:r w:rsidR="00297EFB">
        <w:t xml:space="preserve"> </w:t>
      </w:r>
      <w:r w:rsidR="00FE5A85">
        <w:t xml:space="preserve">Prawdą jest, że bez względu na </w:t>
      </w:r>
      <w:r w:rsidR="000002B5">
        <w:t>to, czy początkowa wartość</w:t>
      </w:r>
      <w:r w:rsidR="00FE5A85">
        <w:t xml:space="preserve"> samochodu </w:t>
      </w:r>
      <w:r w:rsidR="000002B5">
        <w:t xml:space="preserve">była proporcjonalna lub nie </w:t>
      </w:r>
      <w:r w:rsidR="00FE5A85">
        <w:t xml:space="preserve">w stosunku do wszelkich grzywien </w:t>
      </w:r>
      <w:r w:rsidR="00902F78">
        <w:t>i</w:t>
      </w:r>
      <w:r w:rsidR="002D7061">
        <w:t> </w:t>
      </w:r>
      <w:r w:rsidR="00902F78">
        <w:t xml:space="preserve">odszkodowań, </w:t>
      </w:r>
      <w:r w:rsidR="00FE5A85">
        <w:t xml:space="preserve">których płatność </w:t>
      </w:r>
      <w:r w:rsidR="002B3D29">
        <w:t xml:space="preserve">w ten sposób </w:t>
      </w:r>
      <w:r w:rsidR="00FE5A85">
        <w:t xml:space="preserve">zabezpieczono, zajęcie samochodu ostatecznie nie </w:t>
      </w:r>
      <w:r w:rsidR="002B3D29">
        <w:t>spełnił</w:t>
      </w:r>
      <w:r w:rsidR="00FE5A85">
        <w:t xml:space="preserve">o </w:t>
      </w:r>
      <w:r w:rsidR="002B3D29">
        <w:t xml:space="preserve">swojego pierwotnego celu. </w:t>
      </w:r>
      <w:r w:rsidR="00FE5A85">
        <w:t xml:space="preserve">Odszkodowanie dla </w:t>
      </w:r>
      <w:r w:rsidR="002B3D29">
        <w:t>poszkodowanego</w:t>
      </w:r>
      <w:r w:rsidR="00FE5A85">
        <w:t xml:space="preserve"> </w:t>
      </w:r>
      <w:r w:rsidR="002B3D29">
        <w:t>w wyniku przestępstw</w:t>
      </w:r>
      <w:r w:rsidR="00FE5A85">
        <w:t>, za które skarżący ostatecznie został skazany, wraz z</w:t>
      </w:r>
      <w:r w:rsidR="001A1668">
        <w:t xml:space="preserve"> </w:t>
      </w:r>
      <w:r w:rsidR="00FE5A85">
        <w:t>kosztami sądowymi</w:t>
      </w:r>
      <w:r w:rsidR="002B3D29">
        <w:t>,</w:t>
      </w:r>
      <w:r w:rsidR="00FE5A85">
        <w:t xml:space="preserve"> wyniosło łącznie 1850 EUR (zob. wyrok z dnia 17 czerwca 2011 r., paragraf 16 powyżej).</w:t>
      </w:r>
    </w:p>
    <w:p w14:paraId="0ABDA392" w14:textId="705BBE6D" w:rsidR="00FE5A85" w:rsidRPr="00195BA6" w:rsidRDefault="0097119B" w:rsidP="00195BA6">
      <w:pPr>
        <w:pStyle w:val="JuPara"/>
      </w:pPr>
      <w:r>
        <w:rPr>
          <w:noProof/>
        </w:rPr>
        <w:t>67</w:t>
      </w:r>
      <w:r w:rsidR="00B402A9">
        <w:t>.</w:t>
      </w:r>
      <w:r w:rsidR="00297EFB">
        <w:t xml:space="preserve"> </w:t>
      </w:r>
      <w:r w:rsidR="00FE5A85">
        <w:t xml:space="preserve">Trybunał zauważa jednak, że zajęcie pojazdu samo w sobie nie jest przedmiotem krytyki, szczególnie w świetle marginesu oceny dopuszczalnego na podstawie art. 1 </w:t>
      </w:r>
      <w:r w:rsidR="004B0979">
        <w:t xml:space="preserve">akapit drugi </w:t>
      </w:r>
      <w:r w:rsidR="00FE5A85">
        <w:t xml:space="preserve">Protokołu nr 1, jak też </w:t>
      </w:r>
      <w:r w:rsidR="004B0979">
        <w:t xml:space="preserve">nie jest </w:t>
      </w:r>
      <w:r w:rsidR="00FE5A85">
        <w:t xml:space="preserve">przedmiotem postępowania karnego przeciwko skarżącemu. Trybunał przyjmuje również, że każdy przypadek zajęcia lub konfiskaty pociąga </w:t>
      </w:r>
      <w:r w:rsidR="00FE5A85">
        <w:lastRenderedPageBreak/>
        <w:t>za</w:t>
      </w:r>
      <w:r w:rsidR="002D7061">
        <w:t> </w:t>
      </w:r>
      <w:r w:rsidR="00FE5A85">
        <w:t>sobą szkodę. Aby zachować zgodność z art. 1 Protokołu nr 1, rzeczywiście poniesiona szkoda nie powinna</w:t>
      </w:r>
      <w:r w:rsidR="004B0979">
        <w:t xml:space="preserve"> jednak przewyższać tej, </w:t>
      </w:r>
      <w:r w:rsidR="00FE5A85">
        <w:t>która jest nieunikniona (zob. paragraf 60 powyżej).</w:t>
      </w:r>
    </w:p>
    <w:p w14:paraId="2838C67F" w14:textId="0AA5616C" w:rsidR="00FE5A85" w:rsidRPr="00195BA6" w:rsidRDefault="0097119B" w:rsidP="00195BA6">
      <w:pPr>
        <w:pStyle w:val="JuPara"/>
      </w:pPr>
      <w:r>
        <w:rPr>
          <w:noProof/>
        </w:rPr>
        <w:t>68</w:t>
      </w:r>
      <w:r w:rsidR="00B402A9">
        <w:t>.</w:t>
      </w:r>
      <w:r w:rsidR="00297EFB">
        <w:t xml:space="preserve"> </w:t>
      </w:r>
      <w:r w:rsidR="00FE5A85">
        <w:t>Aby stwierdzić, czy szkoda</w:t>
      </w:r>
      <w:r w:rsidR="004B0979">
        <w:t xml:space="preserve">, którą wyrządzono skarżącemu, </w:t>
      </w:r>
      <w:r w:rsidR="00FE5A85">
        <w:t>była nieunikniona, Trybunał musi odpowiedzieć na pytanie, czy zatrzymanie samochodu na tak długi okres</w:t>
      </w:r>
      <w:r w:rsidR="004B0979">
        <w:t xml:space="preserve"> było zasadne</w:t>
      </w:r>
      <w:r w:rsidR="00FE5A85">
        <w:t>, i ocenić</w:t>
      </w:r>
      <w:r w:rsidR="004B0979">
        <w:t>,</w:t>
      </w:r>
      <w:r w:rsidR="00FE5A85">
        <w:t xml:space="preserve"> czy władze zapewniły odpowiednie warunki przechowywania i strzegły samochodu z należytą starannością.</w:t>
      </w:r>
    </w:p>
    <w:p w14:paraId="2523C14B" w14:textId="1409BF60" w:rsidR="00FE5A85" w:rsidRPr="00195BA6" w:rsidRDefault="0097119B" w:rsidP="00195BA6">
      <w:pPr>
        <w:pStyle w:val="JuPara"/>
      </w:pPr>
      <w:r>
        <w:rPr>
          <w:noProof/>
        </w:rPr>
        <w:t>69</w:t>
      </w:r>
      <w:r w:rsidR="00B402A9">
        <w:t>.</w:t>
      </w:r>
      <w:r w:rsidR="00297EFB">
        <w:t xml:space="preserve"> </w:t>
      </w:r>
      <w:r w:rsidR="00FE5A85">
        <w:t>Jeśli chodzi o czas trwania środka, Trybunał przyjmuje, że</w:t>
      </w:r>
      <w:r w:rsidR="002D7061">
        <w:t> </w:t>
      </w:r>
      <w:r w:rsidR="004B0979">
        <w:t xml:space="preserve">odpowiednie </w:t>
      </w:r>
      <w:r w:rsidR="00FE5A85">
        <w:t>wymierzanie sprawiedliwości wymaga czasu (zob.</w:t>
      </w:r>
      <w:r w:rsidR="006E5795">
        <w:t xml:space="preserve"> </w:t>
      </w:r>
      <w:r w:rsidR="00FE5A85">
        <w:rPr>
          <w:i/>
        </w:rPr>
        <w:t>mutatis mutandis</w:t>
      </w:r>
      <w:r w:rsidR="00FE5A85">
        <w:t xml:space="preserve">, </w:t>
      </w:r>
      <w:r w:rsidR="00FE5A85">
        <w:rPr>
          <w:i/>
        </w:rPr>
        <w:t>JGK Statyba Ltd</w:t>
      </w:r>
      <w:r w:rsidR="00FE5A85">
        <w:t xml:space="preserve"> </w:t>
      </w:r>
      <w:r w:rsidR="00FE5A85">
        <w:rPr>
          <w:i/>
        </w:rPr>
        <w:t>i Guselnikovas</w:t>
      </w:r>
      <w:r w:rsidR="00FE5A85">
        <w:t>, cyt</w:t>
      </w:r>
      <w:r w:rsidR="006E5795">
        <w:t>.</w:t>
      </w:r>
      <w:r w:rsidR="00FE5A85">
        <w:t xml:space="preserve"> powyżej, §§ 131 i 132). Jeśli</w:t>
      </w:r>
      <w:r w:rsidR="002D7061">
        <w:t> </w:t>
      </w:r>
      <w:r w:rsidR="00FE5A85">
        <w:t>sprawa dotyczy jednak interesu ogólnego, a w szczególności podstawowych praw człowieka takich jak prawa własności, władze publiczne muszą działać w odpowiednim czasie (ibid</w:t>
      </w:r>
      <w:r w:rsidR="004B0979">
        <w:t>.</w:t>
      </w:r>
      <w:r w:rsidR="00FE5A85">
        <w:t>, § 133).</w:t>
      </w:r>
    </w:p>
    <w:p w14:paraId="33CD87A9" w14:textId="79CB52A9" w:rsidR="00FE5A85" w:rsidRPr="00195BA6" w:rsidRDefault="0097119B" w:rsidP="00195BA6">
      <w:pPr>
        <w:pStyle w:val="JuPara"/>
      </w:pPr>
      <w:r>
        <w:rPr>
          <w:noProof/>
        </w:rPr>
        <w:t>70</w:t>
      </w:r>
      <w:r w:rsidR="00297EFB">
        <w:t xml:space="preserve"> </w:t>
      </w:r>
      <w:r w:rsidR="00FE5A85">
        <w:t>Uwzględniając elementy spraw</w:t>
      </w:r>
      <w:r w:rsidR="006E5795">
        <w:t>y</w:t>
      </w:r>
      <w:r w:rsidR="00FE5A85">
        <w:t xml:space="preserve"> opisane w poprzed</w:t>
      </w:r>
      <w:r w:rsidR="006E5795">
        <w:t>nich</w:t>
      </w:r>
      <w:r w:rsidR="00FE5A85">
        <w:t xml:space="preserve"> paragrafach (zob. paragrafy 64-66 powyżej), Trybunał uznaje, iż fakt, że zajęcie samochodu nie spełniło swojego pierwotnego celu</w:t>
      </w:r>
      <w:r w:rsidR="004B0979">
        <w:t>,</w:t>
      </w:r>
      <w:r w:rsidR="00FE5A85">
        <w:t xml:space="preserve"> nie czyni</w:t>
      </w:r>
      <w:r w:rsidR="004B0979">
        <w:t xml:space="preserve"> środka</w:t>
      </w:r>
      <w:r w:rsidR="00FE5A85">
        <w:t xml:space="preserve"> automatycznie nieuzasadnionym w odniesieniu do interesu publicznego. Zajęcie samochodu, jakkolwiek przedłużające się, było uzasadnione </w:t>
      </w:r>
      <w:r w:rsidR="00167242">
        <w:t>w</w:t>
      </w:r>
      <w:r w:rsidR="002D7061">
        <w:t> </w:t>
      </w:r>
      <w:r w:rsidR="00167242">
        <w:t>trakcie</w:t>
      </w:r>
      <w:r w:rsidR="00FE5A85">
        <w:t xml:space="preserve"> postępowania karnego, które toczyło się w istotnym dla sprawy czasie.</w:t>
      </w:r>
    </w:p>
    <w:p w14:paraId="0F1B5799" w14:textId="54FF8198" w:rsidR="00FE5A85" w:rsidRPr="00195BA6" w:rsidRDefault="0097119B" w:rsidP="00195BA6">
      <w:pPr>
        <w:pStyle w:val="JuPara"/>
      </w:pPr>
      <w:r>
        <w:rPr>
          <w:noProof/>
        </w:rPr>
        <w:t>71</w:t>
      </w:r>
      <w:r w:rsidR="00B402A9">
        <w:t>.</w:t>
      </w:r>
      <w:r w:rsidR="00297EFB">
        <w:t xml:space="preserve"> </w:t>
      </w:r>
      <w:r w:rsidR="00FE5A85">
        <w:t xml:space="preserve">W odniesieniu natomiast do kwestii </w:t>
      </w:r>
      <w:r w:rsidR="00167242">
        <w:t>licytacji</w:t>
      </w:r>
      <w:r w:rsidR="00FE5A85">
        <w:t xml:space="preserve"> samochodu Trybunał musi stwierdzić, że ze względu na nietrwałość zajętej ruchomości</w:t>
      </w:r>
      <w:r w:rsidR="00167242">
        <w:t xml:space="preserve"> i odwołując się do</w:t>
      </w:r>
      <w:r w:rsidR="00FE5A85">
        <w:t xml:space="preserve"> proporcjonalności środka, licytacji nie zorganizowano w odpowiednim czasie.</w:t>
      </w:r>
    </w:p>
    <w:p w14:paraId="26FC33BE" w14:textId="701621C3" w:rsidR="00FE5A85" w:rsidRPr="00195BA6" w:rsidRDefault="0097119B" w:rsidP="00195BA6">
      <w:pPr>
        <w:pStyle w:val="JuPara"/>
      </w:pPr>
      <w:r>
        <w:rPr>
          <w:noProof/>
        </w:rPr>
        <w:t>72</w:t>
      </w:r>
      <w:r w:rsidR="00B402A9">
        <w:t>.</w:t>
      </w:r>
      <w:r w:rsidR="00297EFB">
        <w:t xml:space="preserve"> </w:t>
      </w:r>
      <w:r w:rsidR="00FE5A85">
        <w:t>Jeśli chodzi o kwestię należytości konserwacji samochodu, Trybunał powołuje się w pierwszej kolejności na ustalenia biegłego powołanego przez sąd krajowy na potrzeby postępowania cywilnego. Biegły stwierdził, że</w:t>
      </w:r>
      <w:r w:rsidR="002D7061">
        <w:t> </w:t>
      </w:r>
      <w:r w:rsidR="00FE5A85">
        <w:t>dziesięciokrotny spadek wartości samochodu do 2013 r. wynikał z</w:t>
      </w:r>
      <w:r w:rsidR="002D7061">
        <w:t> </w:t>
      </w:r>
      <w:r w:rsidR="00FE5A85">
        <w:t xml:space="preserve">długotrwałego postoju </w:t>
      </w:r>
      <w:r w:rsidR="00167242">
        <w:t xml:space="preserve">pojazdu </w:t>
      </w:r>
      <w:r w:rsidR="00FE5A85">
        <w:t>bez zabezpieczenia przed korozją, wymiany oleju i ładowania akumulatora (zob. paragraf 20 powyżej). Biegły z</w:t>
      </w:r>
      <w:r w:rsidR="00F31302">
        <w:t>au</w:t>
      </w:r>
      <w:r w:rsidR="00FE5A85">
        <w:t>ważył również, że przechowywanie i wykonywanie takiego rodzaju czynności konserwacyjnych nie stanowiło rutynowych czynności podejmowanych przez policję, któr</w:t>
      </w:r>
      <w:r w:rsidR="00F31302">
        <w:t>ej działania jako dozorcy</w:t>
      </w:r>
      <w:r w:rsidR="00FE5A85">
        <w:t xml:space="preserve"> zajętych pojazdów ogranicz</w:t>
      </w:r>
      <w:r w:rsidR="007A0698">
        <w:t>ały</w:t>
      </w:r>
      <w:r w:rsidR="00FE5A85">
        <w:t xml:space="preserve"> się do przechowywania ich na strzeżonych parkingach (ibid.).</w:t>
      </w:r>
    </w:p>
    <w:p w14:paraId="403F9A6C" w14:textId="320B9307" w:rsidR="00FE5A85" w:rsidRPr="00195BA6" w:rsidRDefault="0097119B" w:rsidP="00195BA6">
      <w:pPr>
        <w:pStyle w:val="JuPara"/>
      </w:pPr>
      <w:r>
        <w:rPr>
          <w:noProof/>
        </w:rPr>
        <w:t>73</w:t>
      </w:r>
      <w:r w:rsidR="00B402A9">
        <w:t>.</w:t>
      </w:r>
      <w:r w:rsidR="00297EFB">
        <w:t xml:space="preserve"> </w:t>
      </w:r>
      <w:r w:rsidR="00FE5A85">
        <w:t xml:space="preserve">Trybunał zauważa, że nawet jeżeli </w:t>
      </w:r>
      <w:r w:rsidR="007A0698">
        <w:t>obowiązujące</w:t>
      </w:r>
      <w:r w:rsidR="00FE5A85">
        <w:t xml:space="preserve"> ramy prawne nie</w:t>
      </w:r>
      <w:r w:rsidR="002D7061">
        <w:t> </w:t>
      </w:r>
      <w:r w:rsidR="00FE5A85">
        <w:t>nakładają szczególnych obowiązków w odniesieniu do przechowywania zajętych ruchomości, dozorca był niemniej związany ogólnym obowiązkiem sprawowania pieczy nad rzeczą, to jest działania ze starannością niezbędną do zapewnienia, aby wartość zajętego przedmiotu nie uległa zmniejszeniu (zob. 29-31 powyżej).</w:t>
      </w:r>
    </w:p>
    <w:p w14:paraId="125FC4E3" w14:textId="6C568857" w:rsidR="00FE5A85" w:rsidRPr="00195BA6" w:rsidRDefault="0097119B" w:rsidP="00195BA6">
      <w:pPr>
        <w:pStyle w:val="JuPara"/>
      </w:pPr>
      <w:r>
        <w:rPr>
          <w:noProof/>
        </w:rPr>
        <w:t>74</w:t>
      </w:r>
      <w:r w:rsidR="00B402A9">
        <w:t>.</w:t>
      </w:r>
      <w:r w:rsidR="00297EFB">
        <w:t xml:space="preserve"> </w:t>
      </w:r>
      <w:r w:rsidR="00FE5A85">
        <w:t>Tym samym z obowiązującego prawa, ale przede wszystkim ze</w:t>
      </w:r>
      <w:r w:rsidR="002D7061">
        <w:t> </w:t>
      </w:r>
      <w:r w:rsidR="00FE5A85">
        <w:t xml:space="preserve">zdrowego rozsądku wynikało, że władze odpowiedzialne za zajęcie samochodu </w:t>
      </w:r>
      <w:r w:rsidR="007A0698">
        <w:t xml:space="preserve">skarżącego </w:t>
      </w:r>
      <w:r w:rsidR="00FE5A85">
        <w:t xml:space="preserve">powinny były przechowywać go w odpowiednich </w:t>
      </w:r>
      <w:r w:rsidR="00FE5A85">
        <w:lastRenderedPageBreak/>
        <w:t xml:space="preserve">warunkach (tj. na parkingu krytym). Trybunał nie </w:t>
      </w:r>
      <w:r w:rsidR="00F31302">
        <w:t>uważa</w:t>
      </w:r>
      <w:r w:rsidR="00FE5A85">
        <w:t>, że takie wymaganie nakładałoby na władze niemożliwe lub n</w:t>
      </w:r>
      <w:r w:rsidR="00E02816">
        <w:t>iewspółmierne</w:t>
      </w:r>
      <w:r w:rsidR="00FE5A85">
        <w:t xml:space="preserve"> obciążenie. </w:t>
      </w:r>
      <w:r w:rsidR="00E02816">
        <w:t>Gdyby tak jednak było, władz</w:t>
      </w:r>
      <w:r w:rsidR="00FE5A85">
        <w:t>e zawsze miały możliwość</w:t>
      </w:r>
      <w:r w:rsidR="00E02816">
        <w:t xml:space="preserve"> sprzedać samochód</w:t>
      </w:r>
      <w:r w:rsidR="00FE5A85">
        <w:t xml:space="preserve"> w</w:t>
      </w:r>
      <w:r w:rsidR="002D7061">
        <w:t> </w:t>
      </w:r>
      <w:r w:rsidR="00FE5A85">
        <w:t xml:space="preserve">odpowiednim </w:t>
      </w:r>
      <w:r w:rsidR="00B83009">
        <w:t xml:space="preserve">czasie </w:t>
      </w:r>
      <w:r w:rsidR="00FE5A85">
        <w:t xml:space="preserve">(zob. art. 232 </w:t>
      </w:r>
      <w:r w:rsidR="00B83009">
        <w:t>K</w:t>
      </w:r>
      <w:r w:rsidR="00FE5A85">
        <w:t>odeksu postępowania</w:t>
      </w:r>
      <w:r w:rsidR="009660A5">
        <w:t xml:space="preserve"> karneg</w:t>
      </w:r>
      <w:r w:rsidR="00FE5A85">
        <w:t>o, paragraf 32 powyżej).</w:t>
      </w:r>
    </w:p>
    <w:p w14:paraId="6E4C5962" w14:textId="4EB95EED" w:rsidR="00FE5A85" w:rsidRPr="00195BA6" w:rsidRDefault="0097119B" w:rsidP="00195BA6">
      <w:pPr>
        <w:pStyle w:val="JuPara"/>
      </w:pPr>
      <w:r>
        <w:rPr>
          <w:noProof/>
        </w:rPr>
        <w:t>75</w:t>
      </w:r>
      <w:r w:rsidR="00B402A9">
        <w:t>.</w:t>
      </w:r>
      <w:r w:rsidR="00297EFB">
        <w:t xml:space="preserve"> </w:t>
      </w:r>
      <w:r w:rsidR="00FE5A85">
        <w:t>Z drugiej strony Trybunał uznaje, że wymaganie od władz odpowiedzialnych za zajęcie, aby wykonywały techniczne czynności konserwacyjne, takie jak wymiana oleju czy ładowanie akumulatora, nakładałoby na nie niemożliwe lub niewspółmierne obciążenie.</w:t>
      </w:r>
    </w:p>
    <w:p w14:paraId="46131B6A" w14:textId="387B8489" w:rsidR="00FE5A85" w:rsidRPr="00195BA6" w:rsidRDefault="0097119B" w:rsidP="00195BA6">
      <w:pPr>
        <w:pStyle w:val="JuPara"/>
      </w:pPr>
      <w:r>
        <w:rPr>
          <w:noProof/>
        </w:rPr>
        <w:t>76</w:t>
      </w:r>
      <w:r w:rsidR="00B402A9">
        <w:t>.</w:t>
      </w:r>
      <w:r w:rsidR="00297EFB">
        <w:t xml:space="preserve"> </w:t>
      </w:r>
      <w:r w:rsidR="00FE5A85">
        <w:t xml:space="preserve">Niezależnie od wszystkiego Trybunał stwierdza, że nie można uznać za zachowanie należytej staranności dopuszczenia do przechowywania pojazdu </w:t>
      </w:r>
      <w:r w:rsidR="00A12996">
        <w:t xml:space="preserve">unieruchomionego </w:t>
      </w:r>
      <w:r w:rsidR="00FE5A85">
        <w:t>przez wiele lat na parkingu odkrytym, co miało miejsce w przypadku samochodu skarżącego.</w:t>
      </w:r>
    </w:p>
    <w:p w14:paraId="6DD87038" w14:textId="3598314E" w:rsidR="00FE5A85" w:rsidRPr="00195BA6" w:rsidRDefault="0097119B" w:rsidP="00195BA6">
      <w:pPr>
        <w:pStyle w:val="JuPara"/>
      </w:pPr>
      <w:r>
        <w:rPr>
          <w:noProof/>
        </w:rPr>
        <w:t>77</w:t>
      </w:r>
      <w:r w:rsidR="00B402A9">
        <w:t>.</w:t>
      </w:r>
      <w:r w:rsidR="00297EFB">
        <w:t xml:space="preserve"> </w:t>
      </w:r>
      <w:r w:rsidR="00FE5A85">
        <w:t xml:space="preserve">Trybunał tym samym doszedł do wniosku, iż w okolicznościach sprawy </w:t>
      </w:r>
      <w:r w:rsidR="00E02816">
        <w:t xml:space="preserve">szkoda poniesiona przez skarżącego </w:t>
      </w:r>
      <w:r w:rsidR="00FF0473">
        <w:t>wykraczała poza to,</w:t>
      </w:r>
      <w:r w:rsidR="00CE1950">
        <w:t xml:space="preserve"> c</w:t>
      </w:r>
      <w:r w:rsidR="00FF0473">
        <w:t>o</w:t>
      </w:r>
      <w:r w:rsidR="00CE1950">
        <w:t> </w:t>
      </w:r>
      <w:r w:rsidR="00FF0473">
        <w:t>nieuniknione</w:t>
      </w:r>
      <w:r w:rsidR="00FE5A85">
        <w:t>.</w:t>
      </w:r>
      <w:r w:rsidR="00FE5A85">
        <w:t xml:space="preserve"> Wynika z tego, że sąd krajowy popełnił oczywisty błąd, uznając, że władze </w:t>
      </w:r>
      <w:r w:rsidR="00E02816">
        <w:t>zapewniły pojazdowi skarżącego niezbędny poziom</w:t>
      </w:r>
      <w:r w:rsidR="00FE5A85">
        <w:t xml:space="preserve"> starannoś</w:t>
      </w:r>
      <w:r w:rsidR="00E02816">
        <w:t>ci</w:t>
      </w:r>
      <w:r w:rsidR="00FE5A85">
        <w:t>.</w:t>
      </w:r>
    </w:p>
    <w:p w14:paraId="23560E55" w14:textId="64339F0C" w:rsidR="00FE5A85" w:rsidRPr="00195BA6" w:rsidRDefault="0097119B" w:rsidP="00195BA6">
      <w:pPr>
        <w:pStyle w:val="JuPara"/>
      </w:pPr>
      <w:r>
        <w:rPr>
          <w:noProof/>
        </w:rPr>
        <w:t>78</w:t>
      </w:r>
      <w:r w:rsidR="00EC2BBE">
        <w:t>.</w:t>
      </w:r>
      <w:r w:rsidR="00297EFB">
        <w:t xml:space="preserve"> </w:t>
      </w:r>
      <w:r w:rsidR="00FE5A85">
        <w:t>Wreszcie Trybunał powtarza, że art. 1 Protokołu nr 1 sam w sobie nie</w:t>
      </w:r>
      <w:r w:rsidR="002D7061">
        <w:t> </w:t>
      </w:r>
      <w:r w:rsidR="000D6311">
        <w:t>stanowi podstawy</w:t>
      </w:r>
      <w:r w:rsidR="00FE5A85">
        <w:t xml:space="preserve"> prawa do odszkodowania za wszelkiego rodzaju szkodę</w:t>
      </w:r>
      <w:r w:rsidR="000D6311">
        <w:t xml:space="preserve"> rzekomo wyrządzoną</w:t>
      </w:r>
      <w:r w:rsidR="00FE5A85">
        <w:t xml:space="preserve"> w wyniku zajęcia mienia w toku postępowania karnego (zob. </w:t>
      </w:r>
      <w:r w:rsidR="00FE5A85">
        <w:rPr>
          <w:i/>
        </w:rPr>
        <w:t>mutatis mutandis</w:t>
      </w:r>
      <w:r w:rsidR="00FE5A85">
        <w:t xml:space="preserve">, </w:t>
      </w:r>
      <w:r w:rsidR="00FE5A85">
        <w:rPr>
          <w:i/>
        </w:rPr>
        <w:t>Hábenczius</w:t>
      </w:r>
      <w:r w:rsidR="00FE5A85">
        <w:t>, cyt</w:t>
      </w:r>
      <w:r w:rsidR="000D6311">
        <w:t>.</w:t>
      </w:r>
      <w:r w:rsidR="00FE5A85">
        <w:t xml:space="preserve"> §</w:t>
      </w:r>
      <w:r w:rsidR="001A1668">
        <w:t xml:space="preserve"> </w:t>
      </w:r>
      <w:r w:rsidR="00FE5A85">
        <w:t>30). Zasadniczo to</w:t>
      </w:r>
      <w:r w:rsidR="002D7061">
        <w:t> </w:t>
      </w:r>
      <w:r w:rsidR="00FE5A85">
        <w:t>U</w:t>
      </w:r>
      <w:r w:rsidR="00361F49">
        <w:t>kłada</w:t>
      </w:r>
      <w:r w:rsidR="00FE5A85">
        <w:t xml:space="preserve">jące się Państwa określają warunki uprawnienia do odszkodowania w takich okolicznościach i nie można stwierdzić, że zakres środka kompensacyjnego w niniejszej sprawie, w ramach którego wymagano udowodnienia bezprawnego działania, nakładał na skarżącego </w:t>
      </w:r>
      <w:r w:rsidR="0084523D">
        <w:t>osobiste</w:t>
      </w:r>
      <w:r w:rsidR="00FE5A85">
        <w:t xml:space="preserve"> i</w:t>
      </w:r>
      <w:r w:rsidR="002D7061">
        <w:t> </w:t>
      </w:r>
      <w:r w:rsidR="00595EB0">
        <w:t>nadmierne</w:t>
      </w:r>
      <w:r w:rsidR="00FE5A85">
        <w:t xml:space="preserve"> </w:t>
      </w:r>
      <w:r w:rsidR="00595EB0">
        <w:t>obciążenie</w:t>
      </w:r>
      <w:r w:rsidR="00FE5A85">
        <w:t xml:space="preserve"> (zob. </w:t>
      </w:r>
      <w:r w:rsidR="00FE5A85">
        <w:rPr>
          <w:i/>
        </w:rPr>
        <w:t>mutatis mutandis</w:t>
      </w:r>
      <w:r w:rsidR="00FE5A85">
        <w:t xml:space="preserve">, </w:t>
      </w:r>
      <w:r w:rsidR="00FE5A85">
        <w:rPr>
          <w:i/>
        </w:rPr>
        <w:t>Adamczyk</w:t>
      </w:r>
      <w:r w:rsidR="00FE5A85">
        <w:t xml:space="preserve"> (dec.), cyt</w:t>
      </w:r>
      <w:r w:rsidR="000D6311">
        <w:t>.</w:t>
      </w:r>
      <w:r w:rsidR="002D7061">
        <w:t> </w:t>
      </w:r>
      <w:r w:rsidR="00FE5A85">
        <w:t>powyżej).</w:t>
      </w:r>
    </w:p>
    <w:p w14:paraId="37709258" w14:textId="2AA85527" w:rsidR="00FE5A85" w:rsidRPr="00195BA6" w:rsidRDefault="0097119B" w:rsidP="00195BA6">
      <w:pPr>
        <w:pStyle w:val="JuPara"/>
      </w:pPr>
      <w:r>
        <w:rPr>
          <w:noProof/>
        </w:rPr>
        <w:t>79</w:t>
      </w:r>
      <w:r w:rsidR="00EC2BBE">
        <w:t>.</w:t>
      </w:r>
      <w:r w:rsidR="00297EFB">
        <w:t xml:space="preserve"> </w:t>
      </w:r>
      <w:r w:rsidR="00FE5A85">
        <w:t xml:space="preserve">Trybunał zauważa, że w obowiązujących ramach prawnych osoby fizyczne mogą pociągnąć państwo do odpowiedzialności deliktowej za czyny urzędników lub pracowników władzy publicznej. W kontekście zajęcia samochodu </w:t>
      </w:r>
      <w:r w:rsidR="009D3952">
        <w:t>powód</w:t>
      </w:r>
      <w:r w:rsidR="00FE5A85">
        <w:t xml:space="preserve"> musiałby udowodnić na przykład, że prokurator przekroczył swoje uprawnienia, stawiając mu zarzuty karne, że jego ściganie było w inny sposób niezgodne z prawem lub że jego samochód został uszkodzony w wyniku czynu niedozwolonego popełnionego przez władze, umyślnie </w:t>
      </w:r>
      <w:r w:rsidR="00CE1950">
        <w:t>bądź</w:t>
      </w:r>
      <w:r w:rsidR="00CE1950">
        <w:t xml:space="preserve"> </w:t>
      </w:r>
      <w:r w:rsidR="00FE5A85">
        <w:t xml:space="preserve">w wyniku zaniedbania, w chwili gdy wykonywały one obowiązki dozorcy pojazdu (zob. </w:t>
      </w:r>
      <w:r w:rsidR="00FE5A85">
        <w:rPr>
          <w:i/>
        </w:rPr>
        <w:t>Adamczyk</w:t>
      </w:r>
      <w:r w:rsidR="00FE5A85">
        <w:t xml:space="preserve"> (dec.), cyt</w:t>
      </w:r>
      <w:r w:rsidR="00595EB0">
        <w:t>.</w:t>
      </w:r>
      <w:r w:rsidR="00FE5A85">
        <w:t xml:space="preserve"> powyżej).</w:t>
      </w:r>
    </w:p>
    <w:p w14:paraId="74AB0E09" w14:textId="50A58B32" w:rsidR="00FE5A85" w:rsidRPr="00195BA6" w:rsidRDefault="0097119B" w:rsidP="00195BA6">
      <w:pPr>
        <w:pStyle w:val="JuPara"/>
      </w:pPr>
      <w:r>
        <w:rPr>
          <w:noProof/>
        </w:rPr>
        <w:t>80</w:t>
      </w:r>
      <w:r w:rsidR="00EC2BBE">
        <w:t>.</w:t>
      </w:r>
      <w:r w:rsidR="00297EFB">
        <w:t xml:space="preserve"> </w:t>
      </w:r>
      <w:r w:rsidR="00FE5A85">
        <w:t>Uprawnienia kontrolne Trybunału ograniczają się do stwierdzenia, czy</w:t>
      </w:r>
      <w:r w:rsidR="002D7061">
        <w:t> </w:t>
      </w:r>
      <w:r w:rsidR="00FE5A85">
        <w:t xml:space="preserve">wybór warunków rekompensaty nie wykracza poza szeroki margines oceny Państwa w tym obszarze (zob. </w:t>
      </w:r>
      <w:r w:rsidR="00FE5A85">
        <w:rPr>
          <w:i/>
          <w:iCs/>
        </w:rPr>
        <w:t>mutatis mutandis, James i Inni</w:t>
      </w:r>
      <w:r w:rsidR="00FE5A85">
        <w:t>, cyt</w:t>
      </w:r>
      <w:r w:rsidR="000D6311">
        <w:t>.</w:t>
      </w:r>
      <w:r w:rsidR="002D7061">
        <w:t> </w:t>
      </w:r>
      <w:r w:rsidR="00FE5A85">
        <w:t>powyżej, § 54).</w:t>
      </w:r>
    </w:p>
    <w:p w14:paraId="614667D4" w14:textId="2FFFDE79" w:rsidR="00FE5A85" w:rsidRPr="00195BA6" w:rsidRDefault="0097119B" w:rsidP="00195BA6">
      <w:pPr>
        <w:pStyle w:val="JuPara"/>
      </w:pPr>
      <w:r>
        <w:rPr>
          <w:noProof/>
        </w:rPr>
        <w:t>81</w:t>
      </w:r>
      <w:r w:rsidR="00EC2BBE">
        <w:t>.</w:t>
      </w:r>
      <w:r w:rsidR="00297EFB">
        <w:t xml:space="preserve"> </w:t>
      </w:r>
      <w:r w:rsidR="00FE5A85">
        <w:t xml:space="preserve">W niniejszej sprawie Trybunał nie kwestionuje obowiązujących ram prawnych, w których powództwa deliktowe przeciwko Skarbowi Państwa podlegają pewnym warunkom. </w:t>
      </w:r>
      <w:r w:rsidR="009D3952">
        <w:t>Niemniej jednak f</w:t>
      </w:r>
      <w:r w:rsidR="00FE5A85">
        <w:t xml:space="preserve">akt, że skarżący </w:t>
      </w:r>
      <w:r w:rsidR="00FE5A85">
        <w:lastRenderedPageBreak/>
        <w:t>nie</w:t>
      </w:r>
      <w:r w:rsidR="002D7061">
        <w:t> </w:t>
      </w:r>
      <w:r w:rsidR="00FE5A85">
        <w:t>otrzymał odszkodowania za poniesioną szkodę</w:t>
      </w:r>
      <w:r w:rsidR="009D3952">
        <w:t>,</w:t>
      </w:r>
      <w:r w:rsidR="00FE5A85">
        <w:t xml:space="preserve"> </w:t>
      </w:r>
      <w:r w:rsidR="00CE1950">
        <w:t>sprawił, że</w:t>
      </w:r>
      <w:r w:rsidR="00CE1950">
        <w:t xml:space="preserve"> </w:t>
      </w:r>
      <w:r w:rsidR="00FE5A85">
        <w:t xml:space="preserve">jego </w:t>
      </w:r>
      <w:r w:rsidR="0084523D">
        <w:t xml:space="preserve">osobiste </w:t>
      </w:r>
      <w:r w:rsidR="00FE5A85">
        <w:t xml:space="preserve">obciążenie </w:t>
      </w:r>
      <w:r w:rsidR="00CE1950">
        <w:t xml:space="preserve">stało się </w:t>
      </w:r>
      <w:r w:rsidR="00FE5A85">
        <w:t>n</w:t>
      </w:r>
      <w:r w:rsidR="00CE1950">
        <w:t>admierne</w:t>
      </w:r>
      <w:r w:rsidR="00FE5A85">
        <w:t xml:space="preserve">. </w:t>
      </w:r>
      <w:r w:rsidR="0084523D">
        <w:t>Z tego wynika</w:t>
      </w:r>
      <w:r w:rsidR="00FE5A85">
        <w:t>, iż w okolicznościach sprawy nie</w:t>
      </w:r>
      <w:r w:rsidR="002D7061">
        <w:t> </w:t>
      </w:r>
      <w:r w:rsidR="0084523D">
        <w:t>osiągnięto</w:t>
      </w:r>
      <w:r w:rsidR="00FE5A85">
        <w:t xml:space="preserve"> „</w:t>
      </w:r>
      <w:r w:rsidR="009D3952">
        <w:t>sprawiedliwej</w:t>
      </w:r>
      <w:r w:rsidR="00FE5A85">
        <w:t xml:space="preserve"> równowagi” </w:t>
      </w:r>
      <w:r w:rsidR="001D46EB">
        <w:t>między</w:t>
      </w:r>
      <w:r w:rsidR="00FE5A85">
        <w:t xml:space="preserve"> ochroną prawa własności a</w:t>
      </w:r>
      <w:r w:rsidR="001A1668">
        <w:t xml:space="preserve"> </w:t>
      </w:r>
      <w:r w:rsidR="00FE5A85">
        <w:t>wymaganiami interesu ogólnego.</w:t>
      </w:r>
    </w:p>
    <w:p w14:paraId="650A13E5" w14:textId="56916FC1" w:rsidR="00FE5A85" w:rsidRPr="00195BA6" w:rsidRDefault="0097119B" w:rsidP="00195BA6">
      <w:pPr>
        <w:pStyle w:val="JuPara"/>
      </w:pPr>
      <w:r>
        <w:rPr>
          <w:noProof/>
        </w:rPr>
        <w:t>82</w:t>
      </w:r>
      <w:r w:rsidR="00EC2BBE">
        <w:t>.</w:t>
      </w:r>
      <w:r w:rsidR="00297EFB">
        <w:t xml:space="preserve"> </w:t>
      </w:r>
      <w:r w:rsidR="00FE5A85">
        <w:t>Doszło zatem do naruszenia art.</w:t>
      </w:r>
      <w:r w:rsidR="001A1668">
        <w:t xml:space="preserve"> </w:t>
      </w:r>
      <w:r w:rsidR="00FE5A85">
        <w:t>1 Protokołu nr 1 do Konwencji.</w:t>
      </w:r>
    </w:p>
    <w:p w14:paraId="4EAA16E6" w14:textId="2479113D" w:rsidR="00FE5A85" w:rsidRPr="00195BA6" w:rsidRDefault="00FE5A85" w:rsidP="00195BA6">
      <w:pPr>
        <w:pStyle w:val="JuHIRoman"/>
      </w:pPr>
      <w:r>
        <w:t>ZASTOSOWANIE ART.</w:t>
      </w:r>
      <w:r w:rsidR="001A1668">
        <w:t xml:space="preserve"> </w:t>
      </w:r>
      <w:r>
        <w:t>41 KONWENCJI</w:t>
      </w:r>
    </w:p>
    <w:p w14:paraId="6E3D662B" w14:textId="539707A2" w:rsidR="00FE5A85" w:rsidRPr="00195BA6" w:rsidRDefault="0097119B" w:rsidP="00195BA6">
      <w:pPr>
        <w:pStyle w:val="JuPara"/>
      </w:pPr>
      <w:r>
        <w:rPr>
          <w:noProof/>
        </w:rPr>
        <w:t>83</w:t>
      </w:r>
      <w:r w:rsidR="00297EFB">
        <w:t xml:space="preserve"> </w:t>
      </w:r>
      <w:r w:rsidR="00FE5A85">
        <w:t>Artykuł</w:t>
      </w:r>
      <w:r w:rsidR="001A1668">
        <w:t xml:space="preserve"> </w:t>
      </w:r>
      <w:r w:rsidR="00FE5A85">
        <w:t>41 Konwencji stanowi:</w:t>
      </w:r>
    </w:p>
    <w:p w14:paraId="4485800C" w14:textId="0606A732" w:rsidR="00FE5A85" w:rsidRPr="00195BA6" w:rsidRDefault="00FE5A85" w:rsidP="00195BA6">
      <w:pPr>
        <w:pStyle w:val="JuQuot"/>
        <w:keepNext/>
        <w:keepLines/>
      </w:pPr>
      <w:r>
        <w:t>„</w:t>
      </w:r>
      <w:r w:rsidR="00361F49" w:rsidRPr="00361F49">
        <w:t xml:space="preserve">Jeśli Trybunał stwierdzi, że nastąpiło naruszenie Konwencji lub jej </w:t>
      </w:r>
      <w:r w:rsidR="00CE1950">
        <w:t>P</w:t>
      </w:r>
      <w:r w:rsidR="00361F49" w:rsidRPr="00361F49">
        <w:t>rotokołów</w:t>
      </w:r>
      <w:r w:rsidR="00361F49" w:rsidRPr="00361F49">
        <w:t>, oraz</w:t>
      </w:r>
      <w:r w:rsidR="002D7061">
        <w:t> </w:t>
      </w:r>
      <w:r w:rsidR="00361F49" w:rsidRPr="00361F49">
        <w:t>jeśli prawo wewnętrzne zainteresowanej Wysokiej Układającej się Strony pozwala tylko na częściowe usunięcie konsekwencji tego naruszenia, Trybunał orzeka, gdy</w:t>
      </w:r>
      <w:r w:rsidR="002D7061">
        <w:t> </w:t>
      </w:r>
      <w:r w:rsidR="00361F49" w:rsidRPr="00361F49">
        <w:t>zachodzi potrzeba, słuszne zadośću</w:t>
      </w:r>
      <w:r w:rsidR="00361F49">
        <w:t>czynienie pokrzywdzonej stronie</w:t>
      </w:r>
      <w:r>
        <w:t>”.</w:t>
      </w:r>
    </w:p>
    <w:p w14:paraId="508E3316" w14:textId="77777777" w:rsidR="00FE5A85" w:rsidRPr="00195BA6" w:rsidRDefault="00FE5A85" w:rsidP="00195BA6">
      <w:pPr>
        <w:pStyle w:val="JuHA"/>
      </w:pPr>
      <w:r>
        <w:t>Szkoda</w:t>
      </w:r>
    </w:p>
    <w:p w14:paraId="4B820335" w14:textId="509DB276" w:rsidR="004F1D5C" w:rsidRPr="00195BA6" w:rsidRDefault="0097119B" w:rsidP="00195BA6">
      <w:pPr>
        <w:pStyle w:val="JuPara"/>
      </w:pPr>
      <w:r>
        <w:rPr>
          <w:noProof/>
        </w:rPr>
        <w:t>84</w:t>
      </w:r>
      <w:r w:rsidR="00EC2BBE">
        <w:t>.</w:t>
      </w:r>
      <w:r w:rsidR="00297EFB">
        <w:t xml:space="preserve"> </w:t>
      </w:r>
      <w:r w:rsidR="00FE5A85">
        <w:t xml:space="preserve">Skarżący </w:t>
      </w:r>
      <w:r w:rsidR="0084523D">
        <w:t>zażądał kwoty</w:t>
      </w:r>
      <w:r w:rsidR="001A1668">
        <w:t xml:space="preserve"> </w:t>
      </w:r>
      <w:r w:rsidR="00FE5A85">
        <w:t>12</w:t>
      </w:r>
      <w:r w:rsidR="001A1668">
        <w:t xml:space="preserve"> </w:t>
      </w:r>
      <w:r w:rsidR="00FE5A85">
        <w:t>800 złotych polskich (PLN, około 3200</w:t>
      </w:r>
      <w:r w:rsidR="002D7061">
        <w:t> </w:t>
      </w:r>
      <w:r w:rsidR="00B056E5">
        <w:t>euro,</w:t>
      </w:r>
      <w:r w:rsidR="001A1668">
        <w:t xml:space="preserve"> </w:t>
      </w:r>
      <w:r w:rsidR="00FE5A85">
        <w:t xml:space="preserve">EUR) </w:t>
      </w:r>
      <w:r w:rsidR="0084523D">
        <w:t>z tytułu</w:t>
      </w:r>
      <w:r w:rsidR="00FE5A85">
        <w:t xml:space="preserve"> szkody majątkowej. </w:t>
      </w:r>
      <w:r w:rsidR="0084523D">
        <w:t>Wyjaśnił</w:t>
      </w:r>
      <w:r w:rsidR="00FE5A85">
        <w:t>, iż odszkodowanie za</w:t>
      </w:r>
      <w:r w:rsidR="001A1668">
        <w:t xml:space="preserve"> </w:t>
      </w:r>
      <w:r w:rsidR="00FE5A85">
        <w:t>szkodę majątkową odzwierciedla różnicę między wartością samochodu w</w:t>
      </w:r>
      <w:r w:rsidR="002D7061">
        <w:t> </w:t>
      </w:r>
      <w:r w:rsidR="00FE5A85">
        <w:t xml:space="preserve">chwili zajęcia a wartością w 2013 r. Skarżący nadto domagał się </w:t>
      </w:r>
      <w:r w:rsidR="0084523D">
        <w:t xml:space="preserve">przyznania </w:t>
      </w:r>
      <w:r w:rsidR="00FE5A85">
        <w:t>kwoty 10 000 EUR z tytułu szkody niemajątkowej.</w:t>
      </w:r>
    </w:p>
    <w:p w14:paraId="7D112A9F" w14:textId="4CD43853" w:rsidR="00FE5A85" w:rsidRPr="00195BA6" w:rsidRDefault="0097119B" w:rsidP="00195BA6">
      <w:pPr>
        <w:pStyle w:val="JuPara"/>
      </w:pPr>
      <w:r>
        <w:rPr>
          <w:noProof/>
        </w:rPr>
        <w:t>85</w:t>
      </w:r>
      <w:r w:rsidR="00EC2BBE">
        <w:t>.</w:t>
      </w:r>
      <w:r w:rsidR="00297EFB">
        <w:t xml:space="preserve"> </w:t>
      </w:r>
      <w:r w:rsidR="00FE5A85">
        <w:t>Rząd stwierdził, że roszczenia skarżącego były nieuzasadnione i</w:t>
      </w:r>
      <w:r w:rsidR="002D7061">
        <w:t> </w:t>
      </w:r>
      <w:r w:rsidR="00FE5A85">
        <w:t>nadmierne.</w:t>
      </w:r>
    </w:p>
    <w:p w14:paraId="0E1AB58D" w14:textId="0481B1BB" w:rsidR="00FE5A85" w:rsidRPr="00195BA6" w:rsidRDefault="0097119B" w:rsidP="00195BA6">
      <w:pPr>
        <w:pStyle w:val="JuPara"/>
      </w:pPr>
      <w:r>
        <w:rPr>
          <w:noProof/>
        </w:rPr>
        <w:t>86</w:t>
      </w:r>
      <w:r w:rsidR="00EC2BBE">
        <w:t>.</w:t>
      </w:r>
      <w:r w:rsidR="00297EFB">
        <w:t xml:space="preserve"> </w:t>
      </w:r>
      <w:r w:rsidR="00FE5A85">
        <w:t xml:space="preserve">Trybunał </w:t>
      </w:r>
      <w:r w:rsidR="0084523D">
        <w:t>przyznaje</w:t>
      </w:r>
      <w:r w:rsidR="00FE5A85">
        <w:t xml:space="preserve"> na rzecz skarżącego, na zasadzie słuszności, łączn</w:t>
      </w:r>
      <w:r w:rsidR="0084523D">
        <w:t>ą kwotę</w:t>
      </w:r>
      <w:r w:rsidR="00FE5A85">
        <w:t xml:space="preserve"> 2500 EUR z tytułu szkody majątkowej i niemajątkowej.</w:t>
      </w:r>
    </w:p>
    <w:p w14:paraId="31B396AC" w14:textId="77777777" w:rsidR="00FE5A85" w:rsidRPr="00195BA6" w:rsidRDefault="00FE5A85" w:rsidP="00195BA6">
      <w:pPr>
        <w:pStyle w:val="JuHA"/>
      </w:pPr>
      <w:r>
        <w:t>Odsetki za zwłokę</w:t>
      </w:r>
    </w:p>
    <w:p w14:paraId="51A82404" w14:textId="5C7A2057" w:rsidR="00FE5A85" w:rsidRPr="00195BA6" w:rsidRDefault="0097119B" w:rsidP="00195BA6">
      <w:pPr>
        <w:pStyle w:val="JuPara"/>
      </w:pPr>
      <w:r>
        <w:rPr>
          <w:noProof/>
        </w:rPr>
        <w:t>87</w:t>
      </w:r>
      <w:r w:rsidR="00EC2BBE">
        <w:t>.</w:t>
      </w:r>
      <w:r w:rsidR="00297EFB">
        <w:t xml:space="preserve"> </w:t>
      </w:r>
      <w:r w:rsidR="00FE5A85">
        <w:t xml:space="preserve">Trybunał </w:t>
      </w:r>
      <w:r w:rsidR="0084523D">
        <w:t>za słuszne uznaje wyznaczenie wysokości odsetek za</w:t>
      </w:r>
      <w:r w:rsidR="001A1668">
        <w:t xml:space="preserve"> </w:t>
      </w:r>
      <w:r w:rsidR="0084523D">
        <w:t xml:space="preserve">zwłokę na podstawie </w:t>
      </w:r>
      <w:r w:rsidR="00FE5A85">
        <w:t>marginalnej stop</w:t>
      </w:r>
      <w:r w:rsidR="0084523D">
        <w:t>y</w:t>
      </w:r>
      <w:r w:rsidR="00FE5A85">
        <w:t xml:space="preserve"> procentowe</w:t>
      </w:r>
      <w:r w:rsidR="0084523D">
        <w:t>j</w:t>
      </w:r>
      <w:r w:rsidR="00FE5A85">
        <w:t xml:space="preserve"> Europejskiego Banku Centralnego powiększonej o trzy punkty procentowe.</w:t>
      </w:r>
    </w:p>
    <w:p w14:paraId="3A7A9DFF" w14:textId="77777777" w:rsidR="00FE5A85" w:rsidRPr="00195BA6" w:rsidRDefault="00FE5A85" w:rsidP="00195BA6">
      <w:pPr>
        <w:pStyle w:val="JuPara"/>
      </w:pPr>
    </w:p>
    <w:p w14:paraId="0D0C12BC" w14:textId="77777777" w:rsidR="00FE5A85" w:rsidRPr="00195BA6" w:rsidRDefault="00FE5A85" w:rsidP="00195BA6">
      <w:pPr>
        <w:pStyle w:val="JuHHead"/>
      </w:pPr>
      <w:r>
        <w:t>Z TYCH PRZYCZYN TRYBUNAŁ</w:t>
      </w:r>
    </w:p>
    <w:p w14:paraId="23377AA2" w14:textId="77777777" w:rsidR="00FE5A85" w:rsidRPr="00195BA6" w:rsidRDefault="00FE5A85" w:rsidP="00195BA6">
      <w:pPr>
        <w:pStyle w:val="JuList"/>
        <w:numPr>
          <w:ilvl w:val="0"/>
          <w:numId w:val="1"/>
        </w:numPr>
      </w:pPr>
      <w:r>
        <w:rPr>
          <w:i/>
        </w:rPr>
        <w:t>uznaje</w:t>
      </w:r>
      <w:r>
        <w:t xml:space="preserve"> skargę za dopuszczalną;</w:t>
      </w:r>
    </w:p>
    <w:p w14:paraId="22686581" w14:textId="77777777" w:rsidR="00FE5A85" w:rsidRPr="00195BA6" w:rsidRDefault="00FE5A85" w:rsidP="00195BA6">
      <w:pPr>
        <w:pStyle w:val="JuList"/>
        <w:numPr>
          <w:ilvl w:val="0"/>
          <w:numId w:val="1"/>
        </w:numPr>
      </w:pPr>
      <w:r>
        <w:rPr>
          <w:i/>
        </w:rPr>
        <w:t>orzeka</w:t>
      </w:r>
      <w:r>
        <w:t>, że doszło do naruszenia art. 1 Protokołu nr 1 do Konwencji;</w:t>
      </w:r>
    </w:p>
    <w:p w14:paraId="1A0AD8BD" w14:textId="77777777" w:rsidR="00FE5A85" w:rsidRPr="00195BA6" w:rsidRDefault="00FE5A85" w:rsidP="00195BA6">
      <w:pPr>
        <w:pStyle w:val="JuList"/>
        <w:numPr>
          <w:ilvl w:val="0"/>
          <w:numId w:val="1"/>
        </w:numPr>
        <w:rPr>
          <w:i/>
          <w:iCs/>
        </w:rPr>
      </w:pPr>
      <w:r>
        <w:rPr>
          <w:i/>
          <w:iCs/>
        </w:rPr>
        <w:t>orzeka,</w:t>
      </w:r>
    </w:p>
    <w:p w14:paraId="668CA813" w14:textId="2722C166" w:rsidR="00366E5E" w:rsidRPr="00195BA6" w:rsidRDefault="00366E5E" w:rsidP="00195BA6">
      <w:pPr>
        <w:pStyle w:val="JuLista"/>
      </w:pPr>
      <w:r>
        <w:t xml:space="preserve">że pozwane </w:t>
      </w:r>
      <w:r w:rsidR="0084523D">
        <w:t>P</w:t>
      </w:r>
      <w:r>
        <w:t>aństwo winno, w terminie trzech miesięcy, uiścić na</w:t>
      </w:r>
      <w:r w:rsidR="002D7061">
        <w:t> </w:t>
      </w:r>
      <w:r>
        <w:t>rzecz skarżącego z tytułu szkody majątkowej i niemajątkowej kwotę 2500</w:t>
      </w:r>
      <w:r w:rsidR="001A1668">
        <w:t xml:space="preserve"> </w:t>
      </w:r>
      <w:r>
        <w:t xml:space="preserve">EUR (dwa tysiące pięćset euro), powiększoną o wszelkie </w:t>
      </w:r>
      <w:r>
        <w:lastRenderedPageBreak/>
        <w:t xml:space="preserve">należne podatki, przeliczoną na walutę pozwanego </w:t>
      </w:r>
      <w:r w:rsidR="00AC2F15">
        <w:t xml:space="preserve">Państwa </w:t>
      </w:r>
      <w:r>
        <w:t>według kursu obowiązującego w dniu płatności;</w:t>
      </w:r>
    </w:p>
    <w:p w14:paraId="75CB1741" w14:textId="4848D778" w:rsidR="004D0EC7" w:rsidRPr="00195BA6" w:rsidRDefault="00FE5A85" w:rsidP="00195BA6">
      <w:pPr>
        <w:pStyle w:val="JuList"/>
        <w:numPr>
          <w:ilvl w:val="0"/>
          <w:numId w:val="0"/>
        </w:numPr>
        <w:ind w:left="340"/>
      </w:pPr>
      <w:r>
        <w:t>b)</w:t>
      </w:r>
      <w:r w:rsidR="00297EFB">
        <w:t xml:space="preserve"> </w:t>
      </w:r>
      <w:r>
        <w:t>że od upływu wyżej wskazanego terminu trzech miesięcy aż</w:t>
      </w:r>
      <w:r w:rsidR="00AA47E1">
        <w:t> </w:t>
      </w:r>
      <w:r>
        <w:t>do</w:t>
      </w:r>
      <w:r w:rsidR="002D7061">
        <w:t> </w:t>
      </w:r>
      <w:r>
        <w:t xml:space="preserve">momentu uregulowania należności </w:t>
      </w:r>
      <w:r w:rsidR="002D7061">
        <w:t>płatne</w:t>
      </w:r>
      <w:r>
        <w:t xml:space="preserve"> będą odsetki zwykłe od</w:t>
      </w:r>
      <w:r w:rsidR="002D7061">
        <w:t> </w:t>
      </w:r>
      <w:r w:rsidR="0084523D">
        <w:t>określonej powyżej kwoty,</w:t>
      </w:r>
      <w:r>
        <w:t xml:space="preserve"> naliczone według stopy równej marginalnej stopie procentowej Europejskiego Banku Centralnego obowiązującej w tym okresie, powiększonej o trzy punkty procentowe.</w:t>
      </w:r>
    </w:p>
    <w:p w14:paraId="0B481F57" w14:textId="7D326B3B" w:rsidR="008E3A08" w:rsidRPr="00195BA6" w:rsidRDefault="007E2C8C" w:rsidP="00195BA6">
      <w:pPr>
        <w:pStyle w:val="JuParaLast"/>
      </w:pPr>
      <w:r>
        <w:t xml:space="preserve">Sporządzono w języku angielskim i obwieszczono pisemnie </w:t>
      </w:r>
      <w:r w:rsidR="00415292">
        <w:t>w dniu</w:t>
      </w:r>
      <w:r>
        <w:rPr>
          <w:rFonts w:ascii="Times New Roman" w:hAnsi="Times New Roman"/>
        </w:rPr>
        <w:t xml:space="preserve"> 21</w:t>
      </w:r>
      <w:r w:rsidR="002D7061">
        <w:rPr>
          <w:rFonts w:ascii="Times New Roman" w:hAnsi="Times New Roman"/>
        </w:rPr>
        <w:t> </w:t>
      </w:r>
      <w:r>
        <w:rPr>
          <w:rFonts w:ascii="Times New Roman" w:hAnsi="Times New Roman"/>
        </w:rPr>
        <w:t>grudnia 2021</w:t>
      </w:r>
      <w:r w:rsidR="001A1668">
        <w:rPr>
          <w:rFonts w:ascii="Times New Roman" w:hAnsi="Times New Roman"/>
        </w:rPr>
        <w:t xml:space="preserve"> </w:t>
      </w:r>
      <w:r>
        <w:rPr>
          <w:rFonts w:ascii="Times New Roman" w:hAnsi="Times New Roman"/>
        </w:rPr>
        <w:t>r.</w:t>
      </w:r>
      <w:r>
        <w:t>, zgodnie z Regułą</w:t>
      </w:r>
      <w:r w:rsidR="001A1668">
        <w:t xml:space="preserve"> </w:t>
      </w:r>
      <w:r>
        <w:t>77</w:t>
      </w:r>
      <w:r w:rsidR="001A1668">
        <w:t xml:space="preserve"> </w:t>
      </w:r>
      <w:r>
        <w:t>§§</w:t>
      </w:r>
      <w:r w:rsidR="001A1668">
        <w:t xml:space="preserve"> </w:t>
      </w:r>
      <w:r>
        <w:t>2 i 3 Regulaminu Trybunału.</w:t>
      </w:r>
    </w:p>
    <w:p w14:paraId="68E6F07E" w14:textId="6A7FD24B" w:rsidR="008B092C" w:rsidRPr="00195BA6" w:rsidRDefault="00281B7C" w:rsidP="00CE1950">
      <w:pPr>
        <w:pStyle w:val="ECHRPlaceholder"/>
        <w:spacing w:before="240"/>
        <w:rPr>
          <w:szCs w:val="22"/>
        </w:rPr>
      </w:pPr>
      <w:r>
        <w:tab/>
      </w:r>
    </w:p>
    <w:p w14:paraId="7EA51232" w14:textId="18F20AA3" w:rsidR="001C055B" w:rsidRPr="00195BA6" w:rsidRDefault="002E7764" w:rsidP="00195BA6">
      <w:pPr>
        <w:pStyle w:val="JuSigned"/>
      </w:pPr>
      <w:r>
        <w:tab/>
        <w:t xml:space="preserve">Renata Degener </w:t>
      </w:r>
      <w:r>
        <w:tab/>
        <w:t>Ksenija Turković</w:t>
      </w:r>
      <w:r>
        <w:br/>
      </w:r>
      <w:r>
        <w:tab/>
        <w:t>Kanclerz</w:t>
      </w:r>
      <w:r>
        <w:tab/>
        <w:t>Przewodnicząca</w:t>
      </w:r>
    </w:p>
    <w:p w14:paraId="1DB8151B" w14:textId="77777777" w:rsidR="00675AF2" w:rsidRPr="00195BA6" w:rsidRDefault="00675AF2" w:rsidP="00195BA6">
      <w:pPr>
        <w:pStyle w:val="JuPara"/>
      </w:pPr>
    </w:p>
    <w:p w14:paraId="63CC4A5F" w14:textId="523D79C7" w:rsidR="00182EBA" w:rsidRPr="00195BA6" w:rsidRDefault="00182EBA" w:rsidP="00195BA6">
      <w:bookmarkStart w:id="1" w:name="_GoBack"/>
      <w:bookmarkEnd w:id="1"/>
    </w:p>
    <w:sectPr w:rsidR="00182EBA" w:rsidRPr="00195BA6"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A49942" w14:textId="77777777" w:rsidR="00007FF0" w:rsidRPr="00E67565" w:rsidRDefault="00007FF0" w:rsidP="0098410D">
      <w:r w:rsidRPr="00E67565">
        <w:separator/>
      </w:r>
    </w:p>
  </w:endnote>
  <w:endnote w:type="continuationSeparator" w:id="0">
    <w:p w14:paraId="190CF4D8" w14:textId="77777777" w:rsidR="00007FF0" w:rsidRPr="00E67565" w:rsidRDefault="00007FF0" w:rsidP="0098410D">
      <w:r w:rsidRPr="00E67565">
        <w:continuationSeparator/>
      </w:r>
    </w:p>
  </w:endnote>
  <w:endnote w:type="continuationNotice" w:id="1">
    <w:p w14:paraId="726B9653" w14:textId="77777777" w:rsidR="00007FF0" w:rsidRDefault="00007F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Open Sans">
    <w:altName w:val="Arial"/>
    <w:charset w:val="00"/>
    <w:family w:val="swiss"/>
    <w:pitch w:val="variable"/>
    <w:sig w:usb0="00000001"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389609" w14:textId="77777777" w:rsidR="003F6E8B" w:rsidRDefault="003F6E8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8368AE" w14:textId="0CB013BD" w:rsidR="003F6E8B" w:rsidRPr="00150BFA" w:rsidRDefault="003F6E8B" w:rsidP="0071271E">
    <w:pPr>
      <w:jc w:val="center"/>
    </w:pPr>
    <w:r>
      <w:rPr>
        <w:noProof/>
        <w:lang w:eastAsia="pl-PL"/>
      </w:rPr>
      <w:drawing>
        <wp:inline distT="0" distB="0" distL="0" distR="0" wp14:anchorId="13FC495C" wp14:editId="509716F4">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F0BA8BD" w14:textId="4F5861E3" w:rsidR="003F6E8B" w:rsidRPr="00E67565" w:rsidRDefault="003F6E8B" w:rsidP="0071271E">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A5EAE7" w14:textId="71451218" w:rsidR="003F6E8B" w:rsidRPr="00150BFA" w:rsidRDefault="003F6E8B" w:rsidP="0071271E">
    <w:pPr>
      <w:jc w:val="center"/>
    </w:pPr>
    <w:r>
      <w:rPr>
        <w:noProof/>
        <w:lang w:eastAsia="pl-PL"/>
      </w:rPr>
      <w:drawing>
        <wp:inline distT="0" distB="0" distL="0" distR="0" wp14:anchorId="59431DBB" wp14:editId="7ED885C4">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C720CDC" w14:textId="5390B38D" w:rsidR="003F6E8B" w:rsidRPr="00E67565" w:rsidRDefault="003F6E8B"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171985" w14:textId="4B04E477" w:rsidR="003F6E8B" w:rsidRDefault="003F6E8B" w:rsidP="009A115C">
    <w:pPr>
      <w:pStyle w:val="JuHeader"/>
    </w:pPr>
    <w:r>
      <w:rPr>
        <w:rStyle w:val="Numerstrony"/>
      </w:rPr>
      <w:fldChar w:fldCharType="begin"/>
    </w:r>
    <w:r>
      <w:rPr>
        <w:rStyle w:val="Numerstrony"/>
      </w:rPr>
      <w:instrText xml:space="preserve"> PAGE </w:instrText>
    </w:r>
    <w:r>
      <w:rPr>
        <w:rStyle w:val="Numerstrony"/>
      </w:rPr>
      <w:fldChar w:fldCharType="separate"/>
    </w:r>
    <w:r w:rsidR="002A5709">
      <w:rPr>
        <w:rStyle w:val="Numerstrony"/>
        <w:noProof/>
      </w:rPr>
      <w:t>14</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18F43" w14:textId="4DC3BB3D" w:rsidR="003F6E8B" w:rsidRPr="000B7195" w:rsidRDefault="003F6E8B" w:rsidP="007D3701">
    <w:pPr>
      <w:pStyle w:val="JuHeader"/>
    </w:pPr>
    <w:r>
      <w:fldChar w:fldCharType="begin"/>
    </w:r>
    <w:r>
      <w:instrText xml:space="preserve"> PAGE </w:instrText>
    </w:r>
    <w:r>
      <w:fldChar w:fldCharType="separate"/>
    </w:r>
    <w:r w:rsidR="002A5709">
      <w:rPr>
        <w:noProof/>
      </w:rP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34E7B8" w14:textId="77777777" w:rsidR="00007FF0" w:rsidRPr="00E67565" w:rsidRDefault="00007FF0" w:rsidP="0098410D">
      <w:r w:rsidRPr="00E67565">
        <w:separator/>
      </w:r>
    </w:p>
  </w:footnote>
  <w:footnote w:type="continuationSeparator" w:id="0">
    <w:p w14:paraId="129BBC17" w14:textId="77777777" w:rsidR="00007FF0" w:rsidRPr="00E67565" w:rsidRDefault="00007FF0" w:rsidP="0098410D">
      <w:r w:rsidRPr="00E67565">
        <w:continuationSeparator/>
      </w:r>
    </w:p>
  </w:footnote>
  <w:footnote w:type="continuationNotice" w:id="1">
    <w:p w14:paraId="2F6CCC1F" w14:textId="77777777" w:rsidR="00007FF0" w:rsidRDefault="00007FF0"/>
  </w:footnote>
  <w:footnote w:id="2">
    <w:p w14:paraId="2FDE1F31" w14:textId="2CEE51AA" w:rsidR="00CD5B81" w:rsidRDefault="00CD5B81" w:rsidP="00CD5B81">
      <w:pPr>
        <w:pStyle w:val="Tekstprzypisudolnego"/>
        <w:jc w:val="both"/>
      </w:pPr>
      <w:r>
        <w:rPr>
          <w:rStyle w:val="Odwoanieprzypisudolnego"/>
        </w:rPr>
        <w:footnoteRef/>
      </w:r>
      <w:r>
        <w:t xml:space="preserve"> W istocie w tym dniu Prokurator Okręgowy w Siedlcach skierował przeciwko skarżącemu akt oskarżenia do Sądu Rejonowego w Siedlcach [przyp. tłum.]</w:t>
      </w:r>
      <w:r w:rsidR="00CE1950">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D59192" w14:textId="77777777" w:rsidR="003F6E8B" w:rsidRDefault="003F6E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5EC471" w14:textId="28E8377C" w:rsidR="003F6E8B" w:rsidRPr="00A45145" w:rsidRDefault="003F6E8B" w:rsidP="0071271E">
    <w:pPr>
      <w:jc w:val="center"/>
    </w:pPr>
    <w:r>
      <w:rPr>
        <w:noProof/>
        <w:lang w:eastAsia="pl-PL"/>
      </w:rPr>
      <w:drawing>
        <wp:inline distT="0" distB="0" distL="0" distR="0" wp14:anchorId="4F3F2C62" wp14:editId="45967BE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CE6B970" w14:textId="391D0226" w:rsidR="003F6E8B" w:rsidRPr="00E67565" w:rsidRDefault="003F6E8B" w:rsidP="0071271E">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E5FF2" w14:textId="07E5D90A" w:rsidR="003F6E8B" w:rsidRPr="00A45145" w:rsidRDefault="003F6E8B" w:rsidP="0071271E">
    <w:pPr>
      <w:jc w:val="center"/>
    </w:pPr>
    <w:r>
      <w:rPr>
        <w:noProof/>
        <w:lang w:eastAsia="pl-PL"/>
      </w:rPr>
      <w:drawing>
        <wp:inline distT="0" distB="0" distL="0" distR="0" wp14:anchorId="69597933" wp14:editId="288B9097">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1471990" w14:textId="0D36BC63" w:rsidR="003F6E8B" w:rsidRPr="00E67565" w:rsidRDefault="003F6E8B"/>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808E83" w14:textId="40CA92E3" w:rsidR="003F6E8B" w:rsidRPr="004D0EC7" w:rsidRDefault="003F6E8B" w:rsidP="004D0EC7">
    <w:pPr>
      <w:pStyle w:val="JuHeader"/>
    </w:pPr>
    <w:r>
      <w:t>WYROK w sprawie STOŁKOWSKI przeciwko POLSCE</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984185" w14:textId="3BBD4D95" w:rsidR="003F6E8B" w:rsidRPr="00882CD5" w:rsidRDefault="003F6E8B" w:rsidP="007D3701">
    <w:pPr>
      <w:pStyle w:val="JuHeader"/>
    </w:pPr>
    <w:r>
      <w:t>WYROK w sprawie STOŁKOWSKI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5748BB4A"/>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765"/>
        </w:tabs>
        <w:ind w:left="765"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2"/>
    <w:lvlOverride w:ilvl="0">
      <w:lvl w:ilvl="0">
        <w:start w:val="1"/>
        <w:numFmt w:val="decimal"/>
        <w:pStyle w:val="JuList"/>
        <w:lvlText w:val="%1."/>
        <w:lvlJc w:val="left"/>
        <w:pPr>
          <w:tabs>
            <w:tab w:val="num" w:pos="340"/>
          </w:tabs>
          <w:ind w:left="340" w:hanging="340"/>
        </w:pPr>
        <w:rPr>
          <w:rFonts w:hint="default"/>
          <w:i w:val="0"/>
          <w:iCs w:val="0"/>
        </w:rPr>
      </w:lvl>
    </w:lvlOverride>
  </w:num>
  <w:num w:numId="2">
    <w:abstractNumId w:val="9"/>
  </w:num>
  <w:num w:numId="3">
    <w:abstractNumId w:val="13"/>
  </w:num>
  <w:num w:numId="4">
    <w:abstractNumId w:val="11"/>
  </w:num>
  <w:num w:numId="5">
    <w:abstractNumId w:val="10"/>
  </w:num>
  <w:num w:numId="6">
    <w:abstractNumId w:val="14"/>
  </w:num>
  <w:num w:numId="7">
    <w:abstractNumId w:val="12"/>
  </w:num>
  <w:num w:numId="8">
    <w:abstractNumId w:val="15"/>
  </w:num>
  <w:num w:numId="9">
    <w:abstractNumId w:val="16"/>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LW_DocType" w:val="NORMAL"/>
    <w:docVar w:name="NBEMMDOC" w:val="0"/>
  </w:docVars>
  <w:rsids>
    <w:rsidRoot w:val="00FE5A85"/>
    <w:rsid w:val="000002B5"/>
    <w:rsid w:val="000041F8"/>
    <w:rsid w:val="000042A8"/>
    <w:rsid w:val="00004308"/>
    <w:rsid w:val="00005BF0"/>
    <w:rsid w:val="0000617D"/>
    <w:rsid w:val="00007154"/>
    <w:rsid w:val="00007FF0"/>
    <w:rsid w:val="000103AE"/>
    <w:rsid w:val="00011D69"/>
    <w:rsid w:val="00012AD3"/>
    <w:rsid w:val="00015C2D"/>
    <w:rsid w:val="00015F00"/>
    <w:rsid w:val="00022A9B"/>
    <w:rsid w:val="00022C1D"/>
    <w:rsid w:val="00031428"/>
    <w:rsid w:val="00034987"/>
    <w:rsid w:val="00041560"/>
    <w:rsid w:val="000602DF"/>
    <w:rsid w:val="00061B05"/>
    <w:rsid w:val="000632D5"/>
    <w:rsid w:val="00063DB2"/>
    <w:rsid w:val="000644EE"/>
    <w:rsid w:val="000738A6"/>
    <w:rsid w:val="0007780A"/>
    <w:rsid w:val="00085457"/>
    <w:rsid w:val="000925AD"/>
    <w:rsid w:val="00096FE1"/>
    <w:rsid w:val="00097A62"/>
    <w:rsid w:val="000A24EB"/>
    <w:rsid w:val="000B686A"/>
    <w:rsid w:val="000B6923"/>
    <w:rsid w:val="000B7195"/>
    <w:rsid w:val="000C5F3C"/>
    <w:rsid w:val="000C6DCC"/>
    <w:rsid w:val="000D47AA"/>
    <w:rsid w:val="000D6311"/>
    <w:rsid w:val="000D721F"/>
    <w:rsid w:val="000E069B"/>
    <w:rsid w:val="000E0E82"/>
    <w:rsid w:val="000E1DC5"/>
    <w:rsid w:val="000E223F"/>
    <w:rsid w:val="000E46B8"/>
    <w:rsid w:val="000E579A"/>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59E8"/>
    <w:rsid w:val="00166530"/>
    <w:rsid w:val="001671B7"/>
    <w:rsid w:val="00167242"/>
    <w:rsid w:val="00170027"/>
    <w:rsid w:val="00172A85"/>
    <w:rsid w:val="00182EBA"/>
    <w:rsid w:val="001832BD"/>
    <w:rsid w:val="001943B5"/>
    <w:rsid w:val="00195134"/>
    <w:rsid w:val="00195BA6"/>
    <w:rsid w:val="001A020C"/>
    <w:rsid w:val="001A145B"/>
    <w:rsid w:val="001A1668"/>
    <w:rsid w:val="001A3E09"/>
    <w:rsid w:val="001A674C"/>
    <w:rsid w:val="001B3B24"/>
    <w:rsid w:val="001C055B"/>
    <w:rsid w:val="001C0F98"/>
    <w:rsid w:val="001C2A42"/>
    <w:rsid w:val="001D46EB"/>
    <w:rsid w:val="001D63ED"/>
    <w:rsid w:val="001D696C"/>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3C9"/>
    <w:rsid w:val="00210338"/>
    <w:rsid w:val="002115FC"/>
    <w:rsid w:val="0021423C"/>
    <w:rsid w:val="00230D00"/>
    <w:rsid w:val="00231DF7"/>
    <w:rsid w:val="00231FD1"/>
    <w:rsid w:val="002339E0"/>
    <w:rsid w:val="00233CF8"/>
    <w:rsid w:val="0023575D"/>
    <w:rsid w:val="00237148"/>
    <w:rsid w:val="00241C7F"/>
    <w:rsid w:val="00242021"/>
    <w:rsid w:val="0024222D"/>
    <w:rsid w:val="002422B6"/>
    <w:rsid w:val="00244B0E"/>
    <w:rsid w:val="00244F6C"/>
    <w:rsid w:val="00245D6E"/>
    <w:rsid w:val="00246B89"/>
    <w:rsid w:val="00247436"/>
    <w:rsid w:val="002515D5"/>
    <w:rsid w:val="00252C4E"/>
    <w:rsid w:val="002532C5"/>
    <w:rsid w:val="00254DF2"/>
    <w:rsid w:val="00260C03"/>
    <w:rsid w:val="0026439A"/>
    <w:rsid w:val="0026540E"/>
    <w:rsid w:val="00275123"/>
    <w:rsid w:val="00281B7C"/>
    <w:rsid w:val="00282240"/>
    <w:rsid w:val="00282BD8"/>
    <w:rsid w:val="00287AD5"/>
    <w:rsid w:val="00287CE1"/>
    <w:rsid w:val="002934D0"/>
    <w:rsid w:val="00293676"/>
    <w:rsid w:val="00293BD9"/>
    <w:rsid w:val="002944D0"/>
    <w:rsid w:val="002948AD"/>
    <w:rsid w:val="00297EFB"/>
    <w:rsid w:val="002A01CC"/>
    <w:rsid w:val="002A50A8"/>
    <w:rsid w:val="002A5709"/>
    <w:rsid w:val="002A613A"/>
    <w:rsid w:val="002A61B1"/>
    <w:rsid w:val="002A663C"/>
    <w:rsid w:val="002B3D29"/>
    <w:rsid w:val="002B444B"/>
    <w:rsid w:val="002B5887"/>
    <w:rsid w:val="002C0E27"/>
    <w:rsid w:val="002C3040"/>
    <w:rsid w:val="002C43C3"/>
    <w:rsid w:val="002C4433"/>
    <w:rsid w:val="002C5ADD"/>
    <w:rsid w:val="002C7826"/>
    <w:rsid w:val="002D022D"/>
    <w:rsid w:val="002D24BB"/>
    <w:rsid w:val="002D2FA7"/>
    <w:rsid w:val="002D47BA"/>
    <w:rsid w:val="002D7061"/>
    <w:rsid w:val="002D77B9"/>
    <w:rsid w:val="002E46DA"/>
    <w:rsid w:val="002E7764"/>
    <w:rsid w:val="002F2AF7"/>
    <w:rsid w:val="002F4592"/>
    <w:rsid w:val="002F69C4"/>
    <w:rsid w:val="002F7D9E"/>
    <w:rsid w:val="002F7E1C"/>
    <w:rsid w:val="00301A75"/>
    <w:rsid w:val="00302F70"/>
    <w:rsid w:val="0030336F"/>
    <w:rsid w:val="0030375E"/>
    <w:rsid w:val="00307CD8"/>
    <w:rsid w:val="00312A30"/>
    <w:rsid w:val="00314D15"/>
    <w:rsid w:val="003201D8"/>
    <w:rsid w:val="00320F72"/>
    <w:rsid w:val="0032154A"/>
    <w:rsid w:val="0032463E"/>
    <w:rsid w:val="00326224"/>
    <w:rsid w:val="00337B50"/>
    <w:rsid w:val="00337EE4"/>
    <w:rsid w:val="00340FFD"/>
    <w:rsid w:val="00345C41"/>
    <w:rsid w:val="003506B1"/>
    <w:rsid w:val="00355877"/>
    <w:rsid w:val="00356AC7"/>
    <w:rsid w:val="003609FA"/>
    <w:rsid w:val="00361F49"/>
    <w:rsid w:val="00366E5E"/>
    <w:rsid w:val="00366FB1"/>
    <w:rsid w:val="003710C8"/>
    <w:rsid w:val="003750BE"/>
    <w:rsid w:val="00385A36"/>
    <w:rsid w:val="00385F3D"/>
    <w:rsid w:val="0038740C"/>
    <w:rsid w:val="00387B9D"/>
    <w:rsid w:val="00387C70"/>
    <w:rsid w:val="00390294"/>
    <w:rsid w:val="00390A5C"/>
    <w:rsid w:val="0039364F"/>
    <w:rsid w:val="00396686"/>
    <w:rsid w:val="0039778E"/>
    <w:rsid w:val="003B4941"/>
    <w:rsid w:val="003C2B81"/>
    <w:rsid w:val="003C5714"/>
    <w:rsid w:val="003C6B9F"/>
    <w:rsid w:val="003C6E2A"/>
    <w:rsid w:val="003D0299"/>
    <w:rsid w:val="003E6D80"/>
    <w:rsid w:val="003F05FA"/>
    <w:rsid w:val="003F244A"/>
    <w:rsid w:val="003F2517"/>
    <w:rsid w:val="003F30B8"/>
    <w:rsid w:val="003F4C45"/>
    <w:rsid w:val="003F5F7B"/>
    <w:rsid w:val="003F6E8B"/>
    <w:rsid w:val="003F7D64"/>
    <w:rsid w:val="0040433A"/>
    <w:rsid w:val="00414300"/>
    <w:rsid w:val="00414F27"/>
    <w:rsid w:val="00415292"/>
    <w:rsid w:val="00420703"/>
    <w:rsid w:val="00420BE0"/>
    <w:rsid w:val="0042585B"/>
    <w:rsid w:val="00425C67"/>
    <w:rsid w:val="00427E7A"/>
    <w:rsid w:val="004355AC"/>
    <w:rsid w:val="00436C49"/>
    <w:rsid w:val="00443D98"/>
    <w:rsid w:val="00445366"/>
    <w:rsid w:val="00447F5B"/>
    <w:rsid w:val="004559FC"/>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97EE9"/>
    <w:rsid w:val="004A15C7"/>
    <w:rsid w:val="004A3201"/>
    <w:rsid w:val="004A7044"/>
    <w:rsid w:val="004B013B"/>
    <w:rsid w:val="004B0979"/>
    <w:rsid w:val="004B112B"/>
    <w:rsid w:val="004B444E"/>
    <w:rsid w:val="004C01E4"/>
    <w:rsid w:val="004C086C"/>
    <w:rsid w:val="004C1F56"/>
    <w:rsid w:val="004C27BC"/>
    <w:rsid w:val="004C6621"/>
    <w:rsid w:val="004C6E67"/>
    <w:rsid w:val="004D06D6"/>
    <w:rsid w:val="004D0EC7"/>
    <w:rsid w:val="004D15F3"/>
    <w:rsid w:val="004D3B3D"/>
    <w:rsid w:val="004D4EF1"/>
    <w:rsid w:val="004D5311"/>
    <w:rsid w:val="004D5DCC"/>
    <w:rsid w:val="004D7E45"/>
    <w:rsid w:val="004E4146"/>
    <w:rsid w:val="004F10AF"/>
    <w:rsid w:val="004F11A4"/>
    <w:rsid w:val="004F1D5C"/>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1EC6"/>
    <w:rsid w:val="0057271C"/>
    <w:rsid w:val="00572845"/>
    <w:rsid w:val="00572C28"/>
    <w:rsid w:val="005746AE"/>
    <w:rsid w:val="0058761E"/>
    <w:rsid w:val="005879A2"/>
    <w:rsid w:val="00592772"/>
    <w:rsid w:val="0059574A"/>
    <w:rsid w:val="00595EB0"/>
    <w:rsid w:val="005A1B9B"/>
    <w:rsid w:val="005A2E79"/>
    <w:rsid w:val="005A6751"/>
    <w:rsid w:val="005A6FC2"/>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20EA"/>
    <w:rsid w:val="005F51E1"/>
    <w:rsid w:val="00611C80"/>
    <w:rsid w:val="00613027"/>
    <w:rsid w:val="00617093"/>
    <w:rsid w:val="00620692"/>
    <w:rsid w:val="006242CA"/>
    <w:rsid w:val="00627507"/>
    <w:rsid w:val="00633717"/>
    <w:rsid w:val="006344E1"/>
    <w:rsid w:val="00643524"/>
    <w:rsid w:val="0064393B"/>
    <w:rsid w:val="00645CF2"/>
    <w:rsid w:val="006545C4"/>
    <w:rsid w:val="00654D32"/>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1195"/>
    <w:rsid w:val="006A36F4"/>
    <w:rsid w:val="006A406F"/>
    <w:rsid w:val="006A5D3A"/>
    <w:rsid w:val="006B028F"/>
    <w:rsid w:val="006B1942"/>
    <w:rsid w:val="006C23D4"/>
    <w:rsid w:val="006C4460"/>
    <w:rsid w:val="006C6A05"/>
    <w:rsid w:val="006C7BB0"/>
    <w:rsid w:val="006D3237"/>
    <w:rsid w:val="006E2E37"/>
    <w:rsid w:val="006E3CF1"/>
    <w:rsid w:val="006E5795"/>
    <w:rsid w:val="006E68A3"/>
    <w:rsid w:val="006E7E80"/>
    <w:rsid w:val="006F1C2D"/>
    <w:rsid w:val="006F2178"/>
    <w:rsid w:val="006F48CA"/>
    <w:rsid w:val="006F64DD"/>
    <w:rsid w:val="006F712D"/>
    <w:rsid w:val="00710A9B"/>
    <w:rsid w:val="0071271E"/>
    <w:rsid w:val="00715127"/>
    <w:rsid w:val="00715E8E"/>
    <w:rsid w:val="00723580"/>
    <w:rsid w:val="00723755"/>
    <w:rsid w:val="00726688"/>
    <w:rsid w:val="0073136C"/>
    <w:rsid w:val="00731F0F"/>
    <w:rsid w:val="00733250"/>
    <w:rsid w:val="00741404"/>
    <w:rsid w:val="007449E5"/>
    <w:rsid w:val="0074750E"/>
    <w:rsid w:val="00747FF0"/>
    <w:rsid w:val="0075566E"/>
    <w:rsid w:val="00763602"/>
    <w:rsid w:val="00764D4E"/>
    <w:rsid w:val="00765A1F"/>
    <w:rsid w:val="0077198A"/>
    <w:rsid w:val="00775B6D"/>
    <w:rsid w:val="00776319"/>
    <w:rsid w:val="00776D68"/>
    <w:rsid w:val="0078323E"/>
    <w:rsid w:val="007850EE"/>
    <w:rsid w:val="00785B95"/>
    <w:rsid w:val="00790E96"/>
    <w:rsid w:val="007926FD"/>
    <w:rsid w:val="00793366"/>
    <w:rsid w:val="0079666C"/>
    <w:rsid w:val="007A0698"/>
    <w:rsid w:val="007A0DB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7F754F"/>
    <w:rsid w:val="00802C64"/>
    <w:rsid w:val="00805E52"/>
    <w:rsid w:val="008061D0"/>
    <w:rsid w:val="00810B38"/>
    <w:rsid w:val="0081311E"/>
    <w:rsid w:val="00814588"/>
    <w:rsid w:val="008204C7"/>
    <w:rsid w:val="00820992"/>
    <w:rsid w:val="00823602"/>
    <w:rsid w:val="008255F5"/>
    <w:rsid w:val="00826890"/>
    <w:rsid w:val="0083014E"/>
    <w:rsid w:val="0083214A"/>
    <w:rsid w:val="00834220"/>
    <w:rsid w:val="00840144"/>
    <w:rsid w:val="0084523D"/>
    <w:rsid w:val="00845723"/>
    <w:rsid w:val="00846C77"/>
    <w:rsid w:val="008519E7"/>
    <w:rsid w:val="00851EF9"/>
    <w:rsid w:val="0085618C"/>
    <w:rsid w:val="008577FD"/>
    <w:rsid w:val="00860B03"/>
    <w:rsid w:val="0086497A"/>
    <w:rsid w:val="0086690E"/>
    <w:rsid w:val="00867066"/>
    <w:rsid w:val="008713A1"/>
    <w:rsid w:val="00872584"/>
    <w:rsid w:val="008754AB"/>
    <w:rsid w:val="0088060C"/>
    <w:rsid w:val="00882CD5"/>
    <w:rsid w:val="00883151"/>
    <w:rsid w:val="00893576"/>
    <w:rsid w:val="00893E73"/>
    <w:rsid w:val="008A17C4"/>
    <w:rsid w:val="008B01A5"/>
    <w:rsid w:val="008B02DC"/>
    <w:rsid w:val="008B092C"/>
    <w:rsid w:val="008B57CE"/>
    <w:rsid w:val="008B6C64"/>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2F78"/>
    <w:rsid w:val="009046B4"/>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58DA"/>
    <w:rsid w:val="00956D0C"/>
    <w:rsid w:val="009630C7"/>
    <w:rsid w:val="009660A5"/>
    <w:rsid w:val="00967CA8"/>
    <w:rsid w:val="0097119B"/>
    <w:rsid w:val="00972B55"/>
    <w:rsid w:val="009743B7"/>
    <w:rsid w:val="0098228B"/>
    <w:rsid w:val="009828DA"/>
    <w:rsid w:val="0098410D"/>
    <w:rsid w:val="00985BAB"/>
    <w:rsid w:val="00986B3C"/>
    <w:rsid w:val="009A115C"/>
    <w:rsid w:val="009A14CF"/>
    <w:rsid w:val="009A7FC1"/>
    <w:rsid w:val="009B1225"/>
    <w:rsid w:val="009B1606"/>
    <w:rsid w:val="009B1B5F"/>
    <w:rsid w:val="009B6673"/>
    <w:rsid w:val="009C191B"/>
    <w:rsid w:val="009C2BD6"/>
    <w:rsid w:val="009D163C"/>
    <w:rsid w:val="009D30B1"/>
    <w:rsid w:val="009D3952"/>
    <w:rsid w:val="009D57AA"/>
    <w:rsid w:val="009E1F32"/>
    <w:rsid w:val="009E2CC2"/>
    <w:rsid w:val="009E47A2"/>
    <w:rsid w:val="009E776C"/>
    <w:rsid w:val="009E7A6F"/>
    <w:rsid w:val="009F4C8F"/>
    <w:rsid w:val="009F6094"/>
    <w:rsid w:val="00A02972"/>
    <w:rsid w:val="00A05588"/>
    <w:rsid w:val="00A12996"/>
    <w:rsid w:val="00A15601"/>
    <w:rsid w:val="00A1726E"/>
    <w:rsid w:val="00A204CF"/>
    <w:rsid w:val="00A21D2B"/>
    <w:rsid w:val="00A22745"/>
    <w:rsid w:val="00A23D49"/>
    <w:rsid w:val="00A27004"/>
    <w:rsid w:val="00A308CE"/>
    <w:rsid w:val="00A30C29"/>
    <w:rsid w:val="00A34DD6"/>
    <w:rsid w:val="00A35683"/>
    <w:rsid w:val="00A36819"/>
    <w:rsid w:val="00A36989"/>
    <w:rsid w:val="00A36E3C"/>
    <w:rsid w:val="00A41D86"/>
    <w:rsid w:val="00A43628"/>
    <w:rsid w:val="00A51D0F"/>
    <w:rsid w:val="00A54192"/>
    <w:rsid w:val="00A54E1D"/>
    <w:rsid w:val="00A57147"/>
    <w:rsid w:val="00A6035E"/>
    <w:rsid w:val="00A6144C"/>
    <w:rsid w:val="00A66617"/>
    <w:rsid w:val="00A671F8"/>
    <w:rsid w:val="00A673A4"/>
    <w:rsid w:val="00A724AE"/>
    <w:rsid w:val="00A73329"/>
    <w:rsid w:val="00A82359"/>
    <w:rsid w:val="00A865D2"/>
    <w:rsid w:val="00A90BCD"/>
    <w:rsid w:val="00A92757"/>
    <w:rsid w:val="00A94C20"/>
    <w:rsid w:val="00AA1B09"/>
    <w:rsid w:val="00AA227F"/>
    <w:rsid w:val="00AA3BC7"/>
    <w:rsid w:val="00AA47E1"/>
    <w:rsid w:val="00AA754A"/>
    <w:rsid w:val="00AB099E"/>
    <w:rsid w:val="00AB4328"/>
    <w:rsid w:val="00AC2F15"/>
    <w:rsid w:val="00AC4CD4"/>
    <w:rsid w:val="00AC5282"/>
    <w:rsid w:val="00AC6FFC"/>
    <w:rsid w:val="00AD603D"/>
    <w:rsid w:val="00AE0A2E"/>
    <w:rsid w:val="00AE354C"/>
    <w:rsid w:val="00AF4B07"/>
    <w:rsid w:val="00AF6186"/>
    <w:rsid w:val="00AF7A3A"/>
    <w:rsid w:val="00B02587"/>
    <w:rsid w:val="00B049D1"/>
    <w:rsid w:val="00B056E5"/>
    <w:rsid w:val="00B05ACA"/>
    <w:rsid w:val="00B160DB"/>
    <w:rsid w:val="00B20836"/>
    <w:rsid w:val="00B235BB"/>
    <w:rsid w:val="00B27A44"/>
    <w:rsid w:val="00B30BBF"/>
    <w:rsid w:val="00B33C03"/>
    <w:rsid w:val="00B402A9"/>
    <w:rsid w:val="00B4421F"/>
    <w:rsid w:val="00B44E56"/>
    <w:rsid w:val="00B45917"/>
    <w:rsid w:val="00B46543"/>
    <w:rsid w:val="00B47D33"/>
    <w:rsid w:val="00B52BE0"/>
    <w:rsid w:val="00B54133"/>
    <w:rsid w:val="00B553EB"/>
    <w:rsid w:val="00B701ED"/>
    <w:rsid w:val="00B715D2"/>
    <w:rsid w:val="00B748F7"/>
    <w:rsid w:val="00B8086C"/>
    <w:rsid w:val="00B81C58"/>
    <w:rsid w:val="00B83009"/>
    <w:rsid w:val="00B861B4"/>
    <w:rsid w:val="00B86DFE"/>
    <w:rsid w:val="00B90990"/>
    <w:rsid w:val="00B922FF"/>
    <w:rsid w:val="00B9281E"/>
    <w:rsid w:val="00B93925"/>
    <w:rsid w:val="00B95187"/>
    <w:rsid w:val="00B96C8D"/>
    <w:rsid w:val="00BA2D55"/>
    <w:rsid w:val="00BA4AC1"/>
    <w:rsid w:val="00BA71B1"/>
    <w:rsid w:val="00BB0637"/>
    <w:rsid w:val="00BB345F"/>
    <w:rsid w:val="00BB68EA"/>
    <w:rsid w:val="00BC0B99"/>
    <w:rsid w:val="00BC0EE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3D8"/>
    <w:rsid w:val="00C26A92"/>
    <w:rsid w:val="00C26B1C"/>
    <w:rsid w:val="00C32E4D"/>
    <w:rsid w:val="00C333A0"/>
    <w:rsid w:val="00C36A81"/>
    <w:rsid w:val="00C41974"/>
    <w:rsid w:val="00C44A2C"/>
    <w:rsid w:val="00C44F09"/>
    <w:rsid w:val="00C466ED"/>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0642"/>
    <w:rsid w:val="00CD11D3"/>
    <w:rsid w:val="00CD282B"/>
    <w:rsid w:val="00CD447B"/>
    <w:rsid w:val="00CD4C35"/>
    <w:rsid w:val="00CD5B81"/>
    <w:rsid w:val="00CD7369"/>
    <w:rsid w:val="00CE0B0E"/>
    <w:rsid w:val="00CE1950"/>
    <w:rsid w:val="00CE3831"/>
    <w:rsid w:val="00CF2397"/>
    <w:rsid w:val="00CF3A52"/>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367A"/>
    <w:rsid w:val="00D44C2E"/>
    <w:rsid w:val="00D45414"/>
    <w:rsid w:val="00D50A0A"/>
    <w:rsid w:val="00D53548"/>
    <w:rsid w:val="00D5576B"/>
    <w:rsid w:val="00D566BD"/>
    <w:rsid w:val="00D57A4D"/>
    <w:rsid w:val="00D60AA7"/>
    <w:rsid w:val="00D6223D"/>
    <w:rsid w:val="00D6435F"/>
    <w:rsid w:val="00D66471"/>
    <w:rsid w:val="00D70641"/>
    <w:rsid w:val="00D74675"/>
    <w:rsid w:val="00D74888"/>
    <w:rsid w:val="00D7488B"/>
    <w:rsid w:val="00D75E28"/>
    <w:rsid w:val="00D772C2"/>
    <w:rsid w:val="00D8008E"/>
    <w:rsid w:val="00D82C45"/>
    <w:rsid w:val="00D908A8"/>
    <w:rsid w:val="00D977B6"/>
    <w:rsid w:val="00DA1223"/>
    <w:rsid w:val="00DA2577"/>
    <w:rsid w:val="00DA4A31"/>
    <w:rsid w:val="00DA7B04"/>
    <w:rsid w:val="00DB36C2"/>
    <w:rsid w:val="00DC169B"/>
    <w:rsid w:val="00DC2AB9"/>
    <w:rsid w:val="00DC63F0"/>
    <w:rsid w:val="00DD37EA"/>
    <w:rsid w:val="00DD3CF5"/>
    <w:rsid w:val="00DD6EE5"/>
    <w:rsid w:val="00DE386C"/>
    <w:rsid w:val="00DE4D35"/>
    <w:rsid w:val="00DF098B"/>
    <w:rsid w:val="00DF11C4"/>
    <w:rsid w:val="00DF1FA4"/>
    <w:rsid w:val="00DF210C"/>
    <w:rsid w:val="00DF4B6A"/>
    <w:rsid w:val="00E004C0"/>
    <w:rsid w:val="00E02816"/>
    <w:rsid w:val="00E02C09"/>
    <w:rsid w:val="00E04D59"/>
    <w:rsid w:val="00E07DA1"/>
    <w:rsid w:val="00E119DC"/>
    <w:rsid w:val="00E123CB"/>
    <w:rsid w:val="00E13B09"/>
    <w:rsid w:val="00E204BE"/>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92B"/>
    <w:rsid w:val="00E70D2E"/>
    <w:rsid w:val="00E720F5"/>
    <w:rsid w:val="00E76D47"/>
    <w:rsid w:val="00E827BC"/>
    <w:rsid w:val="00E849F7"/>
    <w:rsid w:val="00E90302"/>
    <w:rsid w:val="00E91D05"/>
    <w:rsid w:val="00E9262D"/>
    <w:rsid w:val="00E95C1E"/>
    <w:rsid w:val="00E97396"/>
    <w:rsid w:val="00EA185E"/>
    <w:rsid w:val="00EA4FAB"/>
    <w:rsid w:val="00EA592A"/>
    <w:rsid w:val="00EB14E4"/>
    <w:rsid w:val="00EB32A5"/>
    <w:rsid w:val="00EB34ED"/>
    <w:rsid w:val="00EB447C"/>
    <w:rsid w:val="00EB7BE0"/>
    <w:rsid w:val="00EC2BBE"/>
    <w:rsid w:val="00EC315E"/>
    <w:rsid w:val="00ED077C"/>
    <w:rsid w:val="00ED10A9"/>
    <w:rsid w:val="00ED1190"/>
    <w:rsid w:val="00ED34AC"/>
    <w:rsid w:val="00ED6544"/>
    <w:rsid w:val="00EE0277"/>
    <w:rsid w:val="00EE2899"/>
    <w:rsid w:val="00EE2D7A"/>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1302"/>
    <w:rsid w:val="00F32269"/>
    <w:rsid w:val="00F35B7A"/>
    <w:rsid w:val="00F56A6F"/>
    <w:rsid w:val="00F5709C"/>
    <w:rsid w:val="00F60B85"/>
    <w:rsid w:val="00F63016"/>
    <w:rsid w:val="00F64EF1"/>
    <w:rsid w:val="00F72B14"/>
    <w:rsid w:val="00F7349B"/>
    <w:rsid w:val="00F8765F"/>
    <w:rsid w:val="00F90767"/>
    <w:rsid w:val="00F9263C"/>
    <w:rsid w:val="00FA1637"/>
    <w:rsid w:val="00FA685B"/>
    <w:rsid w:val="00FB0C01"/>
    <w:rsid w:val="00FB34E0"/>
    <w:rsid w:val="00FB38CE"/>
    <w:rsid w:val="00FB5934"/>
    <w:rsid w:val="00FB7E9F"/>
    <w:rsid w:val="00FC18F2"/>
    <w:rsid w:val="00FC2A17"/>
    <w:rsid w:val="00FC38CF"/>
    <w:rsid w:val="00FC39E5"/>
    <w:rsid w:val="00FC3A78"/>
    <w:rsid w:val="00FD1005"/>
    <w:rsid w:val="00FD1F7F"/>
    <w:rsid w:val="00FD2B91"/>
    <w:rsid w:val="00FD3E45"/>
    <w:rsid w:val="00FD6C75"/>
    <w:rsid w:val="00FD7972"/>
    <w:rsid w:val="00FE0401"/>
    <w:rsid w:val="00FE5A85"/>
    <w:rsid w:val="00FE71B3"/>
    <w:rsid w:val="00FF047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90E4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4F1D5C"/>
    <w:rPr>
      <w:sz w:val="24"/>
      <w:szCs w:val="24"/>
    </w:rPr>
  </w:style>
  <w:style w:type="paragraph" w:styleId="Nagwek1">
    <w:name w:val="heading 1"/>
    <w:basedOn w:val="Normalny"/>
    <w:next w:val="Normalny"/>
    <w:link w:val="Nagwek1Znak"/>
    <w:uiPriority w:val="98"/>
    <w:semiHidden/>
    <w:rsid w:val="004F1D5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4F1D5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4F1D5C"/>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4F1D5C"/>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4F1D5C"/>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4F1D5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4F1D5C"/>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4F1D5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4F1D5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4F1D5C"/>
    <w:rPr>
      <w:rFonts w:ascii="Tahoma" w:hAnsi="Tahoma" w:cs="Tahoma"/>
      <w:sz w:val="16"/>
      <w:szCs w:val="16"/>
    </w:rPr>
  </w:style>
  <w:style w:type="character" w:customStyle="1" w:styleId="TekstdymkaZnak">
    <w:name w:val="Tekst dymka Znak"/>
    <w:basedOn w:val="Domylnaczcionkaakapitu"/>
    <w:link w:val="Tekstdymka"/>
    <w:uiPriority w:val="98"/>
    <w:semiHidden/>
    <w:rsid w:val="004F1D5C"/>
    <w:rPr>
      <w:rFonts w:ascii="Tahoma" w:hAnsi="Tahoma" w:cs="Tahoma"/>
      <w:sz w:val="16"/>
      <w:szCs w:val="16"/>
      <w:lang w:val="pl-PL"/>
    </w:rPr>
  </w:style>
  <w:style w:type="character" w:styleId="Tytuksiki">
    <w:name w:val="Book Title"/>
    <w:uiPriority w:val="98"/>
    <w:semiHidden/>
    <w:qFormat/>
    <w:rsid w:val="004F1D5C"/>
    <w:rPr>
      <w:i/>
      <w:iCs/>
      <w:smallCaps/>
      <w:spacing w:val="5"/>
    </w:rPr>
  </w:style>
  <w:style w:type="paragraph" w:customStyle="1" w:styleId="JuHeader">
    <w:name w:val="Ju_Header"/>
    <w:aliases w:val="_Header"/>
    <w:basedOn w:val="Nagwek"/>
    <w:uiPriority w:val="29"/>
    <w:qFormat/>
    <w:rsid w:val="004F1D5C"/>
    <w:pPr>
      <w:tabs>
        <w:tab w:val="clear" w:pos="4536"/>
        <w:tab w:val="clear" w:pos="9072"/>
      </w:tabs>
      <w:jc w:val="center"/>
    </w:pPr>
    <w:rPr>
      <w:sz w:val="18"/>
    </w:rPr>
  </w:style>
  <w:style w:type="paragraph" w:customStyle="1" w:styleId="NormalJustified">
    <w:name w:val="Normal_Justified"/>
    <w:basedOn w:val="Normalny"/>
    <w:semiHidden/>
    <w:rsid w:val="004F1D5C"/>
    <w:pPr>
      <w:jc w:val="both"/>
    </w:pPr>
  </w:style>
  <w:style w:type="character" w:styleId="Pogrubienie">
    <w:name w:val="Strong"/>
    <w:uiPriority w:val="98"/>
    <w:semiHidden/>
    <w:qFormat/>
    <w:rsid w:val="004F1D5C"/>
    <w:rPr>
      <w:b/>
      <w:bCs/>
    </w:rPr>
  </w:style>
  <w:style w:type="paragraph" w:styleId="Bezodstpw">
    <w:name w:val="No Spacing"/>
    <w:basedOn w:val="Normalny"/>
    <w:link w:val="BezodstpwZnak"/>
    <w:uiPriority w:val="98"/>
    <w:semiHidden/>
    <w:qFormat/>
    <w:rsid w:val="004F1D5C"/>
  </w:style>
  <w:style w:type="character" w:customStyle="1" w:styleId="BezodstpwZnak">
    <w:name w:val="Bez odstępów Znak"/>
    <w:basedOn w:val="Domylnaczcionkaakapitu"/>
    <w:link w:val="Bezodstpw"/>
    <w:uiPriority w:val="98"/>
    <w:semiHidden/>
    <w:rsid w:val="004F1D5C"/>
    <w:rPr>
      <w:sz w:val="24"/>
      <w:szCs w:val="24"/>
      <w:lang w:val="pl-PL"/>
    </w:rPr>
  </w:style>
  <w:style w:type="paragraph" w:customStyle="1" w:styleId="JuQuot">
    <w:name w:val="Ju_Quot"/>
    <w:aliases w:val="_Quote"/>
    <w:basedOn w:val="NormalJustified"/>
    <w:uiPriority w:val="20"/>
    <w:qFormat/>
    <w:rsid w:val="004F1D5C"/>
    <w:pPr>
      <w:spacing w:before="120" w:after="120"/>
      <w:ind w:left="425" w:firstLine="142"/>
    </w:pPr>
    <w:rPr>
      <w:sz w:val="20"/>
    </w:rPr>
  </w:style>
  <w:style w:type="paragraph" w:customStyle="1" w:styleId="DummyStyle">
    <w:name w:val="Dummy_Style"/>
    <w:aliases w:val="_Dummy"/>
    <w:basedOn w:val="Normalny"/>
    <w:semiHidden/>
    <w:qFormat/>
    <w:rsid w:val="004F1D5C"/>
    <w:rPr>
      <w:color w:val="00B050"/>
      <w:sz w:val="22"/>
    </w:rPr>
  </w:style>
  <w:style w:type="paragraph" w:customStyle="1" w:styleId="JuList">
    <w:name w:val="Ju_List"/>
    <w:aliases w:val="_List_1"/>
    <w:basedOn w:val="NormalJustified"/>
    <w:uiPriority w:val="23"/>
    <w:qFormat/>
    <w:rsid w:val="004F1D5C"/>
    <w:pPr>
      <w:numPr>
        <w:numId w:val="7"/>
      </w:numPr>
      <w:spacing w:before="280" w:after="60"/>
    </w:pPr>
  </w:style>
  <w:style w:type="paragraph" w:customStyle="1" w:styleId="JuLista">
    <w:name w:val="Ju_List_a"/>
    <w:aliases w:val="_List_2"/>
    <w:basedOn w:val="NormalJustified"/>
    <w:uiPriority w:val="23"/>
    <w:rsid w:val="004F1D5C"/>
    <w:pPr>
      <w:numPr>
        <w:ilvl w:val="1"/>
        <w:numId w:val="7"/>
      </w:numPr>
      <w:tabs>
        <w:tab w:val="clear" w:pos="765"/>
        <w:tab w:val="num" w:pos="680"/>
      </w:tabs>
      <w:ind w:left="680"/>
    </w:pPr>
  </w:style>
  <w:style w:type="paragraph" w:customStyle="1" w:styleId="JuListi">
    <w:name w:val="Ju_List_i"/>
    <w:aliases w:val="_List_3"/>
    <w:basedOn w:val="NormalJustified"/>
    <w:uiPriority w:val="23"/>
    <w:rsid w:val="004F1D5C"/>
    <w:pPr>
      <w:numPr>
        <w:ilvl w:val="2"/>
        <w:numId w:val="7"/>
      </w:numPr>
    </w:pPr>
  </w:style>
  <w:style w:type="paragraph" w:customStyle="1" w:styleId="JuHArticle">
    <w:name w:val="Ju_H_Article"/>
    <w:aliases w:val="_Title_Quote"/>
    <w:basedOn w:val="Normalny"/>
    <w:next w:val="JuQuot"/>
    <w:uiPriority w:val="19"/>
    <w:qFormat/>
    <w:rsid w:val="004F1D5C"/>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4F1D5C"/>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4F1D5C"/>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4F1D5C"/>
    <w:pPr>
      <w:keepNext/>
      <w:keepLines/>
      <w:numPr>
        <w:numId w:val="2"/>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4F1D5C"/>
    <w:pPr>
      <w:numPr>
        <w:numId w:val="6"/>
      </w:numPr>
    </w:pPr>
  </w:style>
  <w:style w:type="paragraph" w:customStyle="1" w:styleId="JuSigned">
    <w:name w:val="Ju_Signed"/>
    <w:aliases w:val="_Signature"/>
    <w:basedOn w:val="Normalny"/>
    <w:next w:val="JuPara"/>
    <w:uiPriority w:val="31"/>
    <w:qFormat/>
    <w:rsid w:val="004F1D5C"/>
    <w:pPr>
      <w:tabs>
        <w:tab w:val="center" w:pos="1418"/>
        <w:tab w:val="center" w:pos="5954"/>
      </w:tabs>
      <w:spacing w:before="720"/>
    </w:pPr>
  </w:style>
  <w:style w:type="paragraph" w:styleId="Tytu">
    <w:name w:val="Title"/>
    <w:basedOn w:val="Normalny"/>
    <w:next w:val="Normalny"/>
    <w:link w:val="TytuZnak"/>
    <w:uiPriority w:val="98"/>
    <w:semiHidden/>
    <w:qFormat/>
    <w:rsid w:val="004F1D5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4F1D5C"/>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4F1D5C"/>
    <w:pPr>
      <w:numPr>
        <w:numId w:val="7"/>
      </w:numPr>
    </w:pPr>
  </w:style>
  <w:style w:type="numbering" w:customStyle="1" w:styleId="ECHRA1StyleNumberedList">
    <w:name w:val="ECHR_A1_Style_Numbered_List"/>
    <w:basedOn w:val="Bezlisty"/>
    <w:rsid w:val="004F1D5C"/>
    <w:pPr>
      <w:numPr>
        <w:numId w:val="8"/>
      </w:numPr>
    </w:pPr>
  </w:style>
  <w:style w:type="table" w:customStyle="1" w:styleId="ECHRTable2019">
    <w:name w:val="ECHR_Table_2019"/>
    <w:basedOn w:val="Standardowy"/>
    <w:uiPriority w:val="99"/>
    <w:rsid w:val="004F1D5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4F1D5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4F1D5C"/>
    <w:pPr>
      <w:keepNext/>
      <w:keepLines/>
      <w:numPr>
        <w:ilvl w:val="1"/>
        <w:numId w:val="2"/>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4F1D5C"/>
    <w:pPr>
      <w:keepNext/>
      <w:keepLines/>
      <w:numPr>
        <w:ilvl w:val="2"/>
        <w:numId w:val="2"/>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4F1D5C"/>
    <w:pPr>
      <w:keepNext/>
      <w:keepLines/>
      <w:numPr>
        <w:ilvl w:val="3"/>
        <w:numId w:val="2"/>
      </w:numPr>
      <w:spacing w:before="100" w:beforeAutospacing="1" w:after="120"/>
      <w:jc w:val="both"/>
    </w:pPr>
    <w:rPr>
      <w:b w:val="0"/>
      <w:color w:val="auto"/>
      <w:sz w:val="24"/>
    </w:rPr>
  </w:style>
  <w:style w:type="paragraph" w:styleId="Nagwek">
    <w:name w:val="header"/>
    <w:basedOn w:val="Normalny"/>
    <w:link w:val="NagwekZnak"/>
    <w:uiPriority w:val="98"/>
    <w:semiHidden/>
    <w:rsid w:val="004F1D5C"/>
    <w:pPr>
      <w:tabs>
        <w:tab w:val="center" w:pos="4536"/>
        <w:tab w:val="right" w:pos="9072"/>
      </w:tabs>
    </w:pPr>
  </w:style>
  <w:style w:type="character" w:customStyle="1" w:styleId="NagwekZnak">
    <w:name w:val="Nagłówek Znak"/>
    <w:basedOn w:val="Domylnaczcionkaakapitu"/>
    <w:link w:val="Nagwek"/>
    <w:uiPriority w:val="98"/>
    <w:semiHidden/>
    <w:rsid w:val="004F1D5C"/>
    <w:rPr>
      <w:sz w:val="24"/>
      <w:szCs w:val="24"/>
      <w:lang w:val="pl-PL"/>
    </w:rPr>
  </w:style>
  <w:style w:type="character" w:customStyle="1" w:styleId="Nagwek1Znak">
    <w:name w:val="Nagłówek 1 Znak"/>
    <w:basedOn w:val="Domylnaczcionkaakapitu"/>
    <w:link w:val="Nagwek1"/>
    <w:uiPriority w:val="98"/>
    <w:semiHidden/>
    <w:rsid w:val="004F1D5C"/>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4F1D5C"/>
    <w:pPr>
      <w:keepNext/>
      <w:keepLines/>
      <w:numPr>
        <w:ilvl w:val="4"/>
        <w:numId w:val="2"/>
      </w:numPr>
      <w:spacing w:before="100" w:beforeAutospacing="1" w:after="120"/>
      <w:jc w:val="both"/>
    </w:pPr>
    <w:rPr>
      <w:color w:val="auto"/>
      <w:sz w:val="20"/>
    </w:rPr>
  </w:style>
  <w:style w:type="paragraph" w:customStyle="1" w:styleId="JuHi">
    <w:name w:val="Ju_H_i"/>
    <w:aliases w:val="_Head_6"/>
    <w:basedOn w:val="Nagwek6"/>
    <w:next w:val="JuPara"/>
    <w:uiPriority w:val="17"/>
    <w:rsid w:val="004F1D5C"/>
    <w:pPr>
      <w:keepNext/>
      <w:keepLines/>
      <w:numPr>
        <w:ilvl w:val="5"/>
        <w:numId w:val="2"/>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4F1D5C"/>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4F1D5C"/>
    <w:pPr>
      <w:keepNext/>
      <w:keepLines/>
      <w:numPr>
        <w:ilvl w:val="6"/>
        <w:numId w:val="2"/>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4F1D5C"/>
    <w:pPr>
      <w:keepNext/>
      <w:keepLines/>
      <w:numPr>
        <w:ilvl w:val="7"/>
        <w:numId w:val="2"/>
      </w:numPr>
      <w:spacing w:before="100" w:beforeAutospacing="1" w:after="120"/>
      <w:jc w:val="both"/>
    </w:pPr>
    <w:rPr>
      <w:i/>
    </w:rPr>
  </w:style>
  <w:style w:type="character" w:customStyle="1" w:styleId="Nagwek3Znak">
    <w:name w:val="Nagłówek 3 Znak"/>
    <w:basedOn w:val="Domylnaczcionkaakapitu"/>
    <w:link w:val="Nagwek3"/>
    <w:uiPriority w:val="98"/>
    <w:semiHidden/>
    <w:rsid w:val="004F1D5C"/>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4F1D5C"/>
    <w:pPr>
      <w:keepNext/>
      <w:keepLines/>
      <w:spacing w:before="240" w:after="240"/>
      <w:ind w:firstLine="284"/>
    </w:pPr>
  </w:style>
  <w:style w:type="paragraph" w:customStyle="1" w:styleId="JuJudges">
    <w:name w:val="Ju_Judges"/>
    <w:aliases w:val="_Judges"/>
    <w:basedOn w:val="Normalny"/>
    <w:uiPriority w:val="32"/>
    <w:qFormat/>
    <w:rsid w:val="004F1D5C"/>
    <w:pPr>
      <w:tabs>
        <w:tab w:val="left" w:pos="567"/>
        <w:tab w:val="left" w:pos="1134"/>
      </w:tabs>
    </w:pPr>
  </w:style>
  <w:style w:type="character" w:customStyle="1" w:styleId="Nagwek4Znak">
    <w:name w:val="Nagłówek 4 Znak"/>
    <w:basedOn w:val="Domylnaczcionkaakapitu"/>
    <w:link w:val="Nagwek4"/>
    <w:uiPriority w:val="98"/>
    <w:semiHidden/>
    <w:rsid w:val="004F1D5C"/>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4F1D5C"/>
    <w:pPr>
      <w:tabs>
        <w:tab w:val="center" w:pos="6407"/>
      </w:tabs>
      <w:spacing w:before="720"/>
      <w:jc w:val="right"/>
    </w:pPr>
  </w:style>
  <w:style w:type="character" w:customStyle="1" w:styleId="Nagwek5Znak">
    <w:name w:val="Nagłówek 5 Znak"/>
    <w:basedOn w:val="Domylnaczcionkaakapitu"/>
    <w:link w:val="Nagwek5"/>
    <w:uiPriority w:val="98"/>
    <w:semiHidden/>
    <w:rsid w:val="004F1D5C"/>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4F1D5C"/>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4F1D5C"/>
    <w:rPr>
      <w:caps w:val="0"/>
      <w:smallCaps/>
    </w:rPr>
  </w:style>
  <w:style w:type="character" w:styleId="Wyrnieniedelikatne">
    <w:name w:val="Subtle Emphasis"/>
    <w:uiPriority w:val="98"/>
    <w:semiHidden/>
    <w:qFormat/>
    <w:rsid w:val="004F1D5C"/>
    <w:rPr>
      <w:i/>
      <w:iCs/>
    </w:rPr>
  </w:style>
  <w:style w:type="table" w:customStyle="1" w:styleId="ECHRTable">
    <w:name w:val="ECHR_Table"/>
    <w:basedOn w:val="Standardowy"/>
    <w:rsid w:val="004F1D5C"/>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F1D5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4F1D5C"/>
    <w:rPr>
      <w:b/>
      <w:bCs/>
      <w:i/>
      <w:iCs/>
      <w:spacing w:val="10"/>
      <w:bdr w:val="none" w:sz="0" w:space="0" w:color="auto"/>
      <w:shd w:val="clear" w:color="auto" w:fill="auto"/>
    </w:rPr>
  </w:style>
  <w:style w:type="paragraph" w:styleId="Stopka">
    <w:name w:val="footer"/>
    <w:basedOn w:val="Normalny"/>
    <w:link w:val="StopkaZnak"/>
    <w:uiPriority w:val="98"/>
    <w:semiHidden/>
    <w:rsid w:val="004F1D5C"/>
    <w:pPr>
      <w:tabs>
        <w:tab w:val="center" w:pos="3686"/>
        <w:tab w:val="right" w:pos="7371"/>
      </w:tabs>
    </w:pPr>
  </w:style>
  <w:style w:type="character" w:customStyle="1" w:styleId="StopkaZnak">
    <w:name w:val="Stopka Znak"/>
    <w:basedOn w:val="Domylnaczcionkaakapitu"/>
    <w:link w:val="Stopka"/>
    <w:uiPriority w:val="98"/>
    <w:semiHidden/>
    <w:rsid w:val="004F1D5C"/>
    <w:rPr>
      <w:sz w:val="24"/>
      <w:szCs w:val="24"/>
      <w:lang w:val="pl-PL"/>
    </w:rPr>
  </w:style>
  <w:style w:type="character" w:styleId="Odwoanieprzypisudolnego">
    <w:name w:val="footnote reference"/>
    <w:basedOn w:val="Domylnaczcionkaakapitu"/>
    <w:uiPriority w:val="99"/>
    <w:semiHidden/>
    <w:rsid w:val="004F1D5C"/>
    <w:rPr>
      <w:vertAlign w:val="superscript"/>
    </w:rPr>
  </w:style>
  <w:style w:type="paragraph" w:styleId="Tekstprzypisudolnego">
    <w:name w:val="footnote text"/>
    <w:basedOn w:val="Normalny"/>
    <w:link w:val="TekstprzypisudolnegoZnak"/>
    <w:uiPriority w:val="98"/>
    <w:semiHidden/>
    <w:rsid w:val="004F1D5C"/>
    <w:rPr>
      <w:sz w:val="20"/>
      <w:szCs w:val="20"/>
    </w:rPr>
  </w:style>
  <w:style w:type="character" w:customStyle="1" w:styleId="TekstprzypisudolnegoZnak">
    <w:name w:val="Tekst przypisu dolnego Znak"/>
    <w:basedOn w:val="Domylnaczcionkaakapitu"/>
    <w:link w:val="Tekstprzypisudolnego"/>
    <w:uiPriority w:val="98"/>
    <w:semiHidden/>
    <w:rsid w:val="004F1D5C"/>
    <w:rPr>
      <w:sz w:val="20"/>
      <w:szCs w:val="20"/>
      <w:lang w:val="pl-PL"/>
    </w:rPr>
  </w:style>
  <w:style w:type="character" w:customStyle="1" w:styleId="Nagwek6Znak">
    <w:name w:val="Nagłówek 6 Znak"/>
    <w:basedOn w:val="Domylnaczcionkaakapitu"/>
    <w:link w:val="Nagwek6"/>
    <w:uiPriority w:val="98"/>
    <w:semiHidden/>
    <w:rsid w:val="004F1D5C"/>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4F1D5C"/>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4F1D5C"/>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4F1D5C"/>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4F1D5C"/>
    <w:rPr>
      <w:color w:val="0072BC" w:themeColor="hyperlink"/>
      <w:u w:val="single"/>
    </w:rPr>
  </w:style>
  <w:style w:type="character" w:styleId="Wyrnienieintensywne">
    <w:name w:val="Intense Emphasis"/>
    <w:uiPriority w:val="98"/>
    <w:semiHidden/>
    <w:qFormat/>
    <w:rsid w:val="004F1D5C"/>
    <w:rPr>
      <w:b/>
      <w:bCs/>
    </w:rPr>
  </w:style>
  <w:style w:type="paragraph" w:styleId="Cytatintensywny">
    <w:name w:val="Intense Quote"/>
    <w:basedOn w:val="Normalny"/>
    <w:next w:val="Normalny"/>
    <w:link w:val="CytatintensywnyZnak"/>
    <w:uiPriority w:val="98"/>
    <w:semiHidden/>
    <w:qFormat/>
    <w:rsid w:val="004F1D5C"/>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4F1D5C"/>
    <w:rPr>
      <w:b/>
      <w:bCs/>
      <w:i/>
      <w:iCs/>
      <w:sz w:val="24"/>
      <w:szCs w:val="24"/>
      <w:lang w:val="pl-PL" w:bidi="en-US"/>
    </w:rPr>
  </w:style>
  <w:style w:type="character" w:styleId="Odwoanieintensywne">
    <w:name w:val="Intense Reference"/>
    <w:uiPriority w:val="98"/>
    <w:semiHidden/>
    <w:qFormat/>
    <w:rsid w:val="004F1D5C"/>
    <w:rPr>
      <w:smallCaps/>
      <w:spacing w:val="5"/>
      <w:u w:val="single"/>
    </w:rPr>
  </w:style>
  <w:style w:type="paragraph" w:styleId="Akapitzlist">
    <w:name w:val="List Paragraph"/>
    <w:basedOn w:val="Normalny"/>
    <w:uiPriority w:val="98"/>
    <w:semiHidden/>
    <w:qFormat/>
    <w:rsid w:val="004F1D5C"/>
    <w:pPr>
      <w:ind w:left="720"/>
      <w:contextualSpacing/>
    </w:pPr>
  </w:style>
  <w:style w:type="table" w:customStyle="1" w:styleId="LtrTableAddress">
    <w:name w:val="Ltr_Table_Address"/>
    <w:aliases w:val="ECHR_Ltr_Table_Address"/>
    <w:basedOn w:val="Standardowy"/>
    <w:uiPriority w:val="99"/>
    <w:rsid w:val="004F1D5C"/>
    <w:rPr>
      <w:sz w:val="24"/>
      <w:szCs w:val="24"/>
    </w:rPr>
    <w:tblPr>
      <w:tblInd w:w="5103" w:type="dxa"/>
    </w:tblPr>
  </w:style>
  <w:style w:type="paragraph" w:styleId="Cytat">
    <w:name w:val="Quote"/>
    <w:basedOn w:val="Normalny"/>
    <w:next w:val="Normalny"/>
    <w:link w:val="CytatZnak"/>
    <w:uiPriority w:val="98"/>
    <w:semiHidden/>
    <w:qFormat/>
    <w:rsid w:val="004F1D5C"/>
    <w:pPr>
      <w:spacing w:before="200"/>
      <w:ind w:left="360" w:right="360"/>
    </w:pPr>
    <w:rPr>
      <w:i/>
      <w:iCs/>
      <w:lang w:bidi="en-US"/>
    </w:rPr>
  </w:style>
  <w:style w:type="character" w:customStyle="1" w:styleId="CytatZnak">
    <w:name w:val="Cytat Znak"/>
    <w:basedOn w:val="Domylnaczcionkaakapitu"/>
    <w:link w:val="Cytat"/>
    <w:uiPriority w:val="98"/>
    <w:semiHidden/>
    <w:rsid w:val="004F1D5C"/>
    <w:rPr>
      <w:i/>
      <w:iCs/>
      <w:sz w:val="24"/>
      <w:szCs w:val="24"/>
      <w:lang w:val="pl-PL" w:bidi="en-US"/>
    </w:rPr>
  </w:style>
  <w:style w:type="character" w:styleId="Odwoaniedelikatne">
    <w:name w:val="Subtle Reference"/>
    <w:uiPriority w:val="98"/>
    <w:semiHidden/>
    <w:qFormat/>
    <w:rsid w:val="004F1D5C"/>
    <w:rPr>
      <w:smallCaps/>
    </w:rPr>
  </w:style>
  <w:style w:type="table" w:styleId="Tabela-Siatka">
    <w:name w:val="Table Grid"/>
    <w:basedOn w:val="Standardowy"/>
    <w:uiPriority w:val="59"/>
    <w:semiHidden/>
    <w:rsid w:val="004F1D5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4F1D5C"/>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4F1D5C"/>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4F1D5C"/>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4F1D5C"/>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4F1D5C"/>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4F1D5C"/>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4F1D5C"/>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4F1D5C"/>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4F1D5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4F1D5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4F1D5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4F1D5C"/>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4F1D5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4F1D5C"/>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4F1D5C"/>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4F1D5C"/>
    <w:pPr>
      <w:numPr>
        <w:numId w:val="3"/>
      </w:numPr>
    </w:pPr>
  </w:style>
  <w:style w:type="paragraph" w:customStyle="1" w:styleId="JuPara">
    <w:name w:val="Ju_Para"/>
    <w:aliases w:val="_Para"/>
    <w:basedOn w:val="NormalJustified"/>
    <w:link w:val="JuParaChar"/>
    <w:uiPriority w:val="4"/>
    <w:qFormat/>
    <w:rsid w:val="004F1D5C"/>
    <w:pPr>
      <w:ind w:firstLine="284"/>
    </w:pPr>
  </w:style>
  <w:style w:type="numbering" w:styleId="1ai">
    <w:name w:val="Outline List 1"/>
    <w:basedOn w:val="Bezlisty"/>
    <w:uiPriority w:val="99"/>
    <w:semiHidden/>
    <w:unhideWhenUsed/>
    <w:rsid w:val="004F1D5C"/>
    <w:pPr>
      <w:numPr>
        <w:numId w:val="4"/>
      </w:numPr>
    </w:pPr>
  </w:style>
  <w:style w:type="table" w:customStyle="1" w:styleId="ECHRTableSimpleBox">
    <w:name w:val="ECHR_Table_Simple_Box"/>
    <w:basedOn w:val="Standardowy"/>
    <w:uiPriority w:val="99"/>
    <w:rsid w:val="004F1D5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4F1D5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4F1D5C"/>
    <w:pPr>
      <w:numPr>
        <w:numId w:val="5"/>
      </w:numPr>
    </w:pPr>
  </w:style>
  <w:style w:type="table" w:customStyle="1" w:styleId="ECHRTableForInternalUse">
    <w:name w:val="ECHR_Table_For_Internal_Use"/>
    <w:basedOn w:val="Standardowy"/>
    <w:uiPriority w:val="99"/>
    <w:rsid w:val="004F1D5C"/>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F1D5C"/>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4F1D5C"/>
  </w:style>
  <w:style w:type="paragraph" w:styleId="Tekstblokowy">
    <w:name w:val="Block Text"/>
    <w:basedOn w:val="Normalny"/>
    <w:uiPriority w:val="98"/>
    <w:semiHidden/>
    <w:rsid w:val="004F1D5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4F1D5C"/>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4F1D5C"/>
    <w:pPr>
      <w:spacing w:after="120"/>
    </w:pPr>
  </w:style>
  <w:style w:type="character" w:customStyle="1" w:styleId="TekstpodstawowyZnak">
    <w:name w:val="Tekst podstawowy Znak"/>
    <w:basedOn w:val="Domylnaczcionkaakapitu"/>
    <w:link w:val="Tekstpodstawowy"/>
    <w:uiPriority w:val="98"/>
    <w:semiHidden/>
    <w:rsid w:val="004F1D5C"/>
    <w:rPr>
      <w:sz w:val="24"/>
      <w:szCs w:val="24"/>
      <w:lang w:val="pl-PL"/>
    </w:rPr>
  </w:style>
  <w:style w:type="table" w:customStyle="1" w:styleId="ECHRTableOddBanded">
    <w:name w:val="ECHR_Table_Odd_Banded"/>
    <w:basedOn w:val="Standardowy"/>
    <w:uiPriority w:val="99"/>
    <w:rsid w:val="004F1D5C"/>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4F1D5C"/>
    <w:pPr>
      <w:spacing w:after="120" w:line="480" w:lineRule="auto"/>
    </w:pPr>
  </w:style>
  <w:style w:type="table" w:customStyle="1" w:styleId="ECHRHeaderTableReduced">
    <w:name w:val="ECHR_Header_Table_Reduced"/>
    <w:basedOn w:val="Standardowy"/>
    <w:uiPriority w:val="99"/>
    <w:rsid w:val="004F1D5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4F1D5C"/>
    <w:pPr>
      <w:ind w:firstLine="284"/>
      <w:jc w:val="both"/>
    </w:pPr>
    <w:rPr>
      <w:b/>
    </w:rPr>
  </w:style>
  <w:style w:type="character" w:styleId="Numerstrony">
    <w:name w:val="page number"/>
    <w:uiPriority w:val="98"/>
    <w:semiHidden/>
    <w:rsid w:val="004F1D5C"/>
    <w:rPr>
      <w:sz w:val="18"/>
    </w:rPr>
  </w:style>
  <w:style w:type="paragraph" w:styleId="Listapunktowana">
    <w:name w:val="List Bullet"/>
    <w:basedOn w:val="Normalny"/>
    <w:uiPriority w:val="98"/>
    <w:semiHidden/>
    <w:rsid w:val="004F1D5C"/>
    <w:pPr>
      <w:numPr>
        <w:numId w:val="9"/>
      </w:numPr>
    </w:pPr>
  </w:style>
  <w:style w:type="paragraph" w:styleId="Listapunktowana3">
    <w:name w:val="List Bullet 3"/>
    <w:basedOn w:val="Normalny"/>
    <w:uiPriority w:val="98"/>
    <w:semiHidden/>
    <w:rsid w:val="004F1D5C"/>
    <w:pPr>
      <w:numPr>
        <w:numId w:val="11"/>
      </w:numPr>
      <w:contextualSpacing/>
    </w:pPr>
  </w:style>
  <w:style w:type="character" w:customStyle="1" w:styleId="Tekstpodstawowy2Znak">
    <w:name w:val="Tekst podstawowy 2 Znak"/>
    <w:basedOn w:val="Domylnaczcionkaakapitu"/>
    <w:link w:val="Tekstpodstawowy2"/>
    <w:uiPriority w:val="98"/>
    <w:semiHidden/>
    <w:rsid w:val="004F1D5C"/>
    <w:rPr>
      <w:sz w:val="24"/>
      <w:szCs w:val="24"/>
      <w:lang w:val="pl-PL"/>
    </w:rPr>
  </w:style>
  <w:style w:type="paragraph" w:styleId="Tekstpodstawowy3">
    <w:name w:val="Body Text 3"/>
    <w:basedOn w:val="Normalny"/>
    <w:link w:val="Tekstpodstawowy3Znak"/>
    <w:uiPriority w:val="98"/>
    <w:semiHidden/>
    <w:rsid w:val="004F1D5C"/>
    <w:pPr>
      <w:spacing w:after="120"/>
    </w:pPr>
    <w:rPr>
      <w:sz w:val="16"/>
      <w:szCs w:val="16"/>
    </w:rPr>
  </w:style>
  <w:style w:type="character" w:customStyle="1" w:styleId="Tekstpodstawowy3Znak">
    <w:name w:val="Tekst podstawowy 3 Znak"/>
    <w:basedOn w:val="Domylnaczcionkaakapitu"/>
    <w:link w:val="Tekstpodstawowy3"/>
    <w:uiPriority w:val="98"/>
    <w:semiHidden/>
    <w:rsid w:val="004F1D5C"/>
    <w:rPr>
      <w:sz w:val="16"/>
      <w:szCs w:val="16"/>
      <w:lang w:val="pl-PL"/>
    </w:rPr>
  </w:style>
  <w:style w:type="paragraph" w:styleId="Tekstpodstawowyzwciciem">
    <w:name w:val="Body Text First Indent"/>
    <w:basedOn w:val="Tekstpodstawowy"/>
    <w:link w:val="TekstpodstawowyzwciciemZnak"/>
    <w:uiPriority w:val="98"/>
    <w:semiHidden/>
    <w:rsid w:val="004F1D5C"/>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4F1D5C"/>
    <w:rPr>
      <w:sz w:val="24"/>
      <w:szCs w:val="24"/>
      <w:lang w:val="pl-PL"/>
    </w:rPr>
  </w:style>
  <w:style w:type="paragraph" w:styleId="Tekstpodstawowywcity">
    <w:name w:val="Body Text Indent"/>
    <w:basedOn w:val="Normalny"/>
    <w:link w:val="TekstpodstawowywcityZnak"/>
    <w:uiPriority w:val="98"/>
    <w:semiHidden/>
    <w:rsid w:val="004F1D5C"/>
    <w:pPr>
      <w:spacing w:after="120"/>
      <w:ind w:left="283"/>
    </w:pPr>
  </w:style>
  <w:style w:type="character" w:customStyle="1" w:styleId="TekstpodstawowywcityZnak">
    <w:name w:val="Tekst podstawowy wcięty Znak"/>
    <w:basedOn w:val="Domylnaczcionkaakapitu"/>
    <w:link w:val="Tekstpodstawowywcity"/>
    <w:uiPriority w:val="98"/>
    <w:semiHidden/>
    <w:rsid w:val="004F1D5C"/>
    <w:rPr>
      <w:sz w:val="24"/>
      <w:szCs w:val="24"/>
      <w:lang w:val="pl-PL"/>
    </w:rPr>
  </w:style>
  <w:style w:type="paragraph" w:styleId="Tekstpodstawowyzwciciem2">
    <w:name w:val="Body Text First Indent 2"/>
    <w:basedOn w:val="Tekstpodstawowywcity"/>
    <w:link w:val="Tekstpodstawowyzwciciem2Znak"/>
    <w:uiPriority w:val="98"/>
    <w:semiHidden/>
    <w:rsid w:val="004F1D5C"/>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4F1D5C"/>
    <w:rPr>
      <w:sz w:val="24"/>
      <w:szCs w:val="24"/>
      <w:lang w:val="pl-PL"/>
    </w:rPr>
  </w:style>
  <w:style w:type="paragraph" w:styleId="Tekstpodstawowywcity2">
    <w:name w:val="Body Text Indent 2"/>
    <w:basedOn w:val="Normalny"/>
    <w:link w:val="Tekstpodstawowywcity2Znak"/>
    <w:uiPriority w:val="98"/>
    <w:semiHidden/>
    <w:rsid w:val="004F1D5C"/>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4F1D5C"/>
    <w:rPr>
      <w:sz w:val="24"/>
      <w:szCs w:val="24"/>
      <w:lang w:val="pl-PL"/>
    </w:rPr>
  </w:style>
  <w:style w:type="paragraph" w:styleId="Tekstpodstawowywcity3">
    <w:name w:val="Body Text Indent 3"/>
    <w:basedOn w:val="Normalny"/>
    <w:link w:val="Tekstpodstawowywcity3Znak"/>
    <w:uiPriority w:val="98"/>
    <w:semiHidden/>
    <w:rsid w:val="004F1D5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4F1D5C"/>
    <w:rPr>
      <w:sz w:val="16"/>
      <w:szCs w:val="16"/>
      <w:lang w:val="pl-PL"/>
    </w:rPr>
  </w:style>
  <w:style w:type="paragraph" w:styleId="Legenda">
    <w:name w:val="caption"/>
    <w:basedOn w:val="Normalny"/>
    <w:next w:val="Normalny"/>
    <w:uiPriority w:val="98"/>
    <w:semiHidden/>
    <w:qFormat/>
    <w:rsid w:val="004F1D5C"/>
    <w:pPr>
      <w:spacing w:after="200"/>
    </w:pPr>
    <w:rPr>
      <w:b/>
      <w:bCs/>
      <w:color w:val="0072BC" w:themeColor="accent1"/>
      <w:sz w:val="18"/>
      <w:szCs w:val="18"/>
    </w:rPr>
  </w:style>
  <w:style w:type="paragraph" w:styleId="Zwrotpoegnalny">
    <w:name w:val="Closing"/>
    <w:basedOn w:val="Normalny"/>
    <w:link w:val="ZwrotpoegnalnyZnak"/>
    <w:uiPriority w:val="98"/>
    <w:semiHidden/>
    <w:rsid w:val="004F1D5C"/>
    <w:pPr>
      <w:ind w:left="4252"/>
    </w:pPr>
  </w:style>
  <w:style w:type="character" w:customStyle="1" w:styleId="ZwrotpoegnalnyZnak">
    <w:name w:val="Zwrot pożegnalny Znak"/>
    <w:basedOn w:val="Domylnaczcionkaakapitu"/>
    <w:link w:val="Zwrotpoegnalny"/>
    <w:uiPriority w:val="98"/>
    <w:semiHidden/>
    <w:rsid w:val="004F1D5C"/>
    <w:rPr>
      <w:sz w:val="24"/>
      <w:szCs w:val="24"/>
      <w:lang w:val="pl-PL"/>
    </w:rPr>
  </w:style>
  <w:style w:type="table" w:styleId="Kolorowasiatka">
    <w:name w:val="Colorful Grid"/>
    <w:basedOn w:val="Standardowy"/>
    <w:uiPriority w:val="73"/>
    <w:semiHidden/>
    <w:rsid w:val="004F1D5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4F1D5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4F1D5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4F1D5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4F1D5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4F1D5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4F1D5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4F1D5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4F1D5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4F1D5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4F1D5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4F1D5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4F1D5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4F1D5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4F1D5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4F1D5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4F1D5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4F1D5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4F1D5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4F1D5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4F1D5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4F1D5C"/>
    <w:rPr>
      <w:sz w:val="16"/>
      <w:szCs w:val="16"/>
    </w:rPr>
  </w:style>
  <w:style w:type="paragraph" w:styleId="Tekstkomentarza">
    <w:name w:val="annotation text"/>
    <w:basedOn w:val="Normalny"/>
    <w:link w:val="TekstkomentarzaZnak"/>
    <w:uiPriority w:val="98"/>
    <w:semiHidden/>
    <w:rsid w:val="004F1D5C"/>
    <w:rPr>
      <w:sz w:val="20"/>
      <w:szCs w:val="20"/>
    </w:rPr>
  </w:style>
  <w:style w:type="character" w:customStyle="1" w:styleId="TekstkomentarzaZnak">
    <w:name w:val="Tekst komentarza Znak"/>
    <w:basedOn w:val="Domylnaczcionkaakapitu"/>
    <w:link w:val="Tekstkomentarza"/>
    <w:uiPriority w:val="98"/>
    <w:semiHidden/>
    <w:rsid w:val="004F1D5C"/>
    <w:rPr>
      <w:sz w:val="20"/>
      <w:szCs w:val="20"/>
      <w:lang w:val="pl-PL"/>
    </w:rPr>
  </w:style>
  <w:style w:type="paragraph" w:styleId="Tematkomentarza">
    <w:name w:val="annotation subject"/>
    <w:basedOn w:val="Tekstkomentarza"/>
    <w:next w:val="Tekstkomentarza"/>
    <w:link w:val="TematkomentarzaZnak"/>
    <w:uiPriority w:val="98"/>
    <w:semiHidden/>
    <w:rsid w:val="004F1D5C"/>
    <w:rPr>
      <w:b/>
      <w:bCs/>
    </w:rPr>
  </w:style>
  <w:style w:type="character" w:customStyle="1" w:styleId="TematkomentarzaZnak">
    <w:name w:val="Temat komentarza Znak"/>
    <w:basedOn w:val="TekstkomentarzaZnak"/>
    <w:link w:val="Tematkomentarza"/>
    <w:uiPriority w:val="98"/>
    <w:semiHidden/>
    <w:rsid w:val="004F1D5C"/>
    <w:rPr>
      <w:b/>
      <w:bCs/>
      <w:sz w:val="20"/>
      <w:szCs w:val="20"/>
      <w:lang w:val="pl-PL"/>
    </w:rPr>
  </w:style>
  <w:style w:type="table" w:styleId="Ciemnalista">
    <w:name w:val="Dark List"/>
    <w:basedOn w:val="Standardowy"/>
    <w:uiPriority w:val="70"/>
    <w:semiHidden/>
    <w:rsid w:val="004F1D5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4F1D5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4F1D5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4F1D5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4F1D5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4F1D5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4F1D5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4F1D5C"/>
  </w:style>
  <w:style w:type="character" w:customStyle="1" w:styleId="DataZnak">
    <w:name w:val="Data Znak"/>
    <w:basedOn w:val="Domylnaczcionkaakapitu"/>
    <w:link w:val="Data"/>
    <w:uiPriority w:val="98"/>
    <w:semiHidden/>
    <w:rsid w:val="004F1D5C"/>
    <w:rPr>
      <w:sz w:val="24"/>
      <w:szCs w:val="24"/>
      <w:lang w:val="pl-PL"/>
    </w:rPr>
  </w:style>
  <w:style w:type="paragraph" w:styleId="Mapadokumentu">
    <w:name w:val="Document Map"/>
    <w:basedOn w:val="Normalny"/>
    <w:link w:val="MapadokumentuZnak"/>
    <w:uiPriority w:val="98"/>
    <w:semiHidden/>
    <w:rsid w:val="004F1D5C"/>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4F1D5C"/>
    <w:rPr>
      <w:rFonts w:ascii="Tahoma" w:hAnsi="Tahoma" w:cs="Tahoma"/>
      <w:sz w:val="16"/>
      <w:szCs w:val="16"/>
      <w:lang w:val="pl-PL"/>
    </w:rPr>
  </w:style>
  <w:style w:type="paragraph" w:styleId="Podpise-mail">
    <w:name w:val="E-mail Signature"/>
    <w:basedOn w:val="Normalny"/>
    <w:link w:val="Podpise-mailZnak"/>
    <w:uiPriority w:val="98"/>
    <w:semiHidden/>
    <w:rsid w:val="004F1D5C"/>
  </w:style>
  <w:style w:type="character" w:customStyle="1" w:styleId="Podpise-mailZnak">
    <w:name w:val="Podpis e-mail Znak"/>
    <w:basedOn w:val="Domylnaczcionkaakapitu"/>
    <w:link w:val="Podpise-mail"/>
    <w:uiPriority w:val="98"/>
    <w:semiHidden/>
    <w:rsid w:val="004F1D5C"/>
    <w:rPr>
      <w:sz w:val="24"/>
      <w:szCs w:val="24"/>
      <w:lang w:val="pl-PL"/>
    </w:rPr>
  </w:style>
  <w:style w:type="character" w:styleId="Odwoanieprzypisukocowego">
    <w:name w:val="endnote reference"/>
    <w:basedOn w:val="Domylnaczcionkaakapitu"/>
    <w:uiPriority w:val="98"/>
    <w:semiHidden/>
    <w:rsid w:val="004F1D5C"/>
    <w:rPr>
      <w:vertAlign w:val="superscript"/>
    </w:rPr>
  </w:style>
  <w:style w:type="paragraph" w:styleId="Tekstprzypisukocowego">
    <w:name w:val="endnote text"/>
    <w:basedOn w:val="Normalny"/>
    <w:link w:val="TekstprzypisukocowegoZnak"/>
    <w:uiPriority w:val="98"/>
    <w:semiHidden/>
    <w:rsid w:val="004F1D5C"/>
    <w:rPr>
      <w:sz w:val="20"/>
      <w:szCs w:val="20"/>
    </w:rPr>
  </w:style>
  <w:style w:type="character" w:customStyle="1" w:styleId="TekstprzypisukocowegoZnak">
    <w:name w:val="Tekst przypisu końcowego Znak"/>
    <w:basedOn w:val="Domylnaczcionkaakapitu"/>
    <w:link w:val="Tekstprzypisukocowego"/>
    <w:uiPriority w:val="98"/>
    <w:semiHidden/>
    <w:rsid w:val="004F1D5C"/>
    <w:rPr>
      <w:sz w:val="20"/>
      <w:szCs w:val="20"/>
      <w:lang w:val="pl-PL"/>
    </w:rPr>
  </w:style>
  <w:style w:type="paragraph" w:styleId="Adresnakopercie">
    <w:name w:val="envelope address"/>
    <w:basedOn w:val="Normalny"/>
    <w:uiPriority w:val="98"/>
    <w:semiHidden/>
    <w:rsid w:val="004F1D5C"/>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4F1D5C"/>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4F1D5C"/>
    <w:rPr>
      <w:color w:val="7030A0" w:themeColor="followedHyperlink"/>
      <w:u w:val="single"/>
    </w:rPr>
  </w:style>
  <w:style w:type="character" w:styleId="HTML-akronim">
    <w:name w:val="HTML Acronym"/>
    <w:basedOn w:val="Domylnaczcionkaakapitu"/>
    <w:uiPriority w:val="98"/>
    <w:semiHidden/>
    <w:rsid w:val="004F1D5C"/>
  </w:style>
  <w:style w:type="paragraph" w:styleId="HTML-adres">
    <w:name w:val="HTML Address"/>
    <w:basedOn w:val="Normalny"/>
    <w:link w:val="HTML-adresZnak"/>
    <w:uiPriority w:val="98"/>
    <w:semiHidden/>
    <w:rsid w:val="004F1D5C"/>
    <w:rPr>
      <w:i/>
      <w:iCs/>
    </w:rPr>
  </w:style>
  <w:style w:type="character" w:customStyle="1" w:styleId="HTML-adresZnak">
    <w:name w:val="HTML - adres Znak"/>
    <w:basedOn w:val="Domylnaczcionkaakapitu"/>
    <w:link w:val="HTML-adres"/>
    <w:uiPriority w:val="98"/>
    <w:semiHidden/>
    <w:rsid w:val="004F1D5C"/>
    <w:rPr>
      <w:i/>
      <w:iCs/>
      <w:sz w:val="24"/>
      <w:szCs w:val="24"/>
      <w:lang w:val="pl-PL"/>
    </w:rPr>
  </w:style>
  <w:style w:type="character" w:styleId="HTML-cytat">
    <w:name w:val="HTML Cite"/>
    <w:basedOn w:val="Domylnaczcionkaakapitu"/>
    <w:uiPriority w:val="98"/>
    <w:semiHidden/>
    <w:rsid w:val="004F1D5C"/>
    <w:rPr>
      <w:i/>
      <w:iCs/>
    </w:rPr>
  </w:style>
  <w:style w:type="character" w:styleId="HTML-kod">
    <w:name w:val="HTML Code"/>
    <w:basedOn w:val="Domylnaczcionkaakapitu"/>
    <w:uiPriority w:val="98"/>
    <w:semiHidden/>
    <w:rsid w:val="004F1D5C"/>
    <w:rPr>
      <w:rFonts w:ascii="Consolas" w:hAnsi="Consolas" w:cs="Consolas"/>
      <w:sz w:val="20"/>
      <w:szCs w:val="20"/>
    </w:rPr>
  </w:style>
  <w:style w:type="character" w:styleId="HTML-definicja">
    <w:name w:val="HTML Definition"/>
    <w:basedOn w:val="Domylnaczcionkaakapitu"/>
    <w:uiPriority w:val="98"/>
    <w:semiHidden/>
    <w:rsid w:val="004F1D5C"/>
    <w:rPr>
      <w:i/>
      <w:iCs/>
    </w:rPr>
  </w:style>
  <w:style w:type="character" w:styleId="HTML-klawiatura">
    <w:name w:val="HTML Keyboard"/>
    <w:basedOn w:val="Domylnaczcionkaakapitu"/>
    <w:uiPriority w:val="98"/>
    <w:semiHidden/>
    <w:rsid w:val="004F1D5C"/>
    <w:rPr>
      <w:rFonts w:ascii="Consolas" w:hAnsi="Consolas" w:cs="Consolas"/>
      <w:sz w:val="20"/>
      <w:szCs w:val="20"/>
    </w:rPr>
  </w:style>
  <w:style w:type="paragraph" w:styleId="HTML-wstpniesformatowany">
    <w:name w:val="HTML Preformatted"/>
    <w:basedOn w:val="Normalny"/>
    <w:link w:val="HTML-wstpniesformatowanyZnak"/>
    <w:uiPriority w:val="98"/>
    <w:semiHidden/>
    <w:rsid w:val="004F1D5C"/>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4F1D5C"/>
    <w:rPr>
      <w:rFonts w:ascii="Consolas" w:hAnsi="Consolas" w:cs="Consolas"/>
      <w:sz w:val="20"/>
      <w:szCs w:val="20"/>
      <w:lang w:val="pl-PL"/>
    </w:rPr>
  </w:style>
  <w:style w:type="character" w:styleId="HTML-przykad">
    <w:name w:val="HTML Sample"/>
    <w:basedOn w:val="Domylnaczcionkaakapitu"/>
    <w:uiPriority w:val="98"/>
    <w:semiHidden/>
    <w:rsid w:val="004F1D5C"/>
    <w:rPr>
      <w:rFonts w:ascii="Consolas" w:hAnsi="Consolas" w:cs="Consolas"/>
      <w:sz w:val="24"/>
      <w:szCs w:val="24"/>
    </w:rPr>
  </w:style>
  <w:style w:type="character" w:styleId="HTML-staaszeroko">
    <w:name w:val="HTML Typewriter"/>
    <w:basedOn w:val="Domylnaczcionkaakapitu"/>
    <w:uiPriority w:val="98"/>
    <w:semiHidden/>
    <w:rsid w:val="004F1D5C"/>
    <w:rPr>
      <w:rFonts w:ascii="Consolas" w:hAnsi="Consolas" w:cs="Consolas"/>
      <w:sz w:val="20"/>
      <w:szCs w:val="20"/>
    </w:rPr>
  </w:style>
  <w:style w:type="character" w:styleId="HTML-zmienna">
    <w:name w:val="HTML Variable"/>
    <w:basedOn w:val="Domylnaczcionkaakapitu"/>
    <w:uiPriority w:val="98"/>
    <w:semiHidden/>
    <w:rsid w:val="004F1D5C"/>
    <w:rPr>
      <w:i/>
      <w:iCs/>
    </w:rPr>
  </w:style>
  <w:style w:type="paragraph" w:styleId="Indeks1">
    <w:name w:val="index 1"/>
    <w:basedOn w:val="Normalny"/>
    <w:next w:val="Normalny"/>
    <w:autoRedefine/>
    <w:uiPriority w:val="98"/>
    <w:semiHidden/>
    <w:rsid w:val="004F1D5C"/>
    <w:pPr>
      <w:ind w:left="240" w:hanging="240"/>
    </w:pPr>
  </w:style>
  <w:style w:type="paragraph" w:styleId="Indeks2">
    <w:name w:val="index 2"/>
    <w:basedOn w:val="Normalny"/>
    <w:next w:val="Normalny"/>
    <w:autoRedefine/>
    <w:uiPriority w:val="98"/>
    <w:semiHidden/>
    <w:rsid w:val="004F1D5C"/>
    <w:pPr>
      <w:ind w:left="480" w:hanging="240"/>
    </w:pPr>
  </w:style>
  <w:style w:type="paragraph" w:styleId="Indeks3">
    <w:name w:val="index 3"/>
    <w:basedOn w:val="Normalny"/>
    <w:next w:val="Normalny"/>
    <w:autoRedefine/>
    <w:uiPriority w:val="98"/>
    <w:semiHidden/>
    <w:rsid w:val="004F1D5C"/>
    <w:pPr>
      <w:ind w:left="720" w:hanging="240"/>
    </w:pPr>
  </w:style>
  <w:style w:type="paragraph" w:styleId="Indeks4">
    <w:name w:val="index 4"/>
    <w:basedOn w:val="Normalny"/>
    <w:next w:val="Normalny"/>
    <w:autoRedefine/>
    <w:uiPriority w:val="98"/>
    <w:semiHidden/>
    <w:rsid w:val="004F1D5C"/>
    <w:pPr>
      <w:ind w:left="960" w:hanging="240"/>
    </w:pPr>
  </w:style>
  <w:style w:type="paragraph" w:styleId="Indeks5">
    <w:name w:val="index 5"/>
    <w:basedOn w:val="Normalny"/>
    <w:next w:val="Normalny"/>
    <w:autoRedefine/>
    <w:uiPriority w:val="98"/>
    <w:semiHidden/>
    <w:rsid w:val="004F1D5C"/>
    <w:pPr>
      <w:ind w:left="1200" w:hanging="240"/>
    </w:pPr>
  </w:style>
  <w:style w:type="paragraph" w:styleId="Indeks6">
    <w:name w:val="index 6"/>
    <w:basedOn w:val="Normalny"/>
    <w:next w:val="Normalny"/>
    <w:autoRedefine/>
    <w:uiPriority w:val="98"/>
    <w:semiHidden/>
    <w:rsid w:val="004F1D5C"/>
    <w:pPr>
      <w:ind w:left="1440" w:hanging="240"/>
    </w:pPr>
  </w:style>
  <w:style w:type="paragraph" w:styleId="Indeks7">
    <w:name w:val="index 7"/>
    <w:basedOn w:val="Normalny"/>
    <w:next w:val="Normalny"/>
    <w:autoRedefine/>
    <w:uiPriority w:val="98"/>
    <w:semiHidden/>
    <w:rsid w:val="004F1D5C"/>
    <w:pPr>
      <w:ind w:left="1680" w:hanging="240"/>
    </w:pPr>
  </w:style>
  <w:style w:type="paragraph" w:styleId="Indeks8">
    <w:name w:val="index 8"/>
    <w:basedOn w:val="Normalny"/>
    <w:next w:val="Normalny"/>
    <w:autoRedefine/>
    <w:uiPriority w:val="98"/>
    <w:semiHidden/>
    <w:rsid w:val="004F1D5C"/>
    <w:pPr>
      <w:ind w:left="1920" w:hanging="240"/>
    </w:pPr>
  </w:style>
  <w:style w:type="paragraph" w:styleId="Indeks9">
    <w:name w:val="index 9"/>
    <w:basedOn w:val="Normalny"/>
    <w:next w:val="Normalny"/>
    <w:autoRedefine/>
    <w:uiPriority w:val="98"/>
    <w:semiHidden/>
    <w:rsid w:val="004F1D5C"/>
    <w:pPr>
      <w:ind w:left="2160" w:hanging="240"/>
    </w:pPr>
  </w:style>
  <w:style w:type="paragraph" w:styleId="Nagwekindeksu">
    <w:name w:val="index heading"/>
    <w:basedOn w:val="Normalny"/>
    <w:next w:val="Indeks1"/>
    <w:uiPriority w:val="98"/>
    <w:semiHidden/>
    <w:rsid w:val="004F1D5C"/>
    <w:rPr>
      <w:rFonts w:asciiTheme="majorHAnsi" w:eastAsiaTheme="majorEastAsia" w:hAnsiTheme="majorHAnsi" w:cstheme="majorBidi"/>
      <w:b/>
      <w:bCs/>
    </w:rPr>
  </w:style>
  <w:style w:type="table" w:styleId="Jasnasiatka">
    <w:name w:val="Light Grid"/>
    <w:basedOn w:val="Standardowy"/>
    <w:uiPriority w:val="62"/>
    <w:semiHidden/>
    <w:rsid w:val="004F1D5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4F1D5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4F1D5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4F1D5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4F1D5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4F1D5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4F1D5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4F1D5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4F1D5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4F1D5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4F1D5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4F1D5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4F1D5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4F1D5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4F1D5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4F1D5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4F1D5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4F1D5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4F1D5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4F1D5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4F1D5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4F1D5C"/>
  </w:style>
  <w:style w:type="paragraph" w:styleId="Lista">
    <w:name w:val="List"/>
    <w:basedOn w:val="Normalny"/>
    <w:uiPriority w:val="98"/>
    <w:semiHidden/>
    <w:rsid w:val="004F1D5C"/>
    <w:pPr>
      <w:ind w:left="283" w:hanging="283"/>
      <w:contextualSpacing/>
    </w:pPr>
  </w:style>
  <w:style w:type="paragraph" w:styleId="Lista2">
    <w:name w:val="List 2"/>
    <w:basedOn w:val="Normalny"/>
    <w:uiPriority w:val="98"/>
    <w:semiHidden/>
    <w:rsid w:val="004F1D5C"/>
    <w:pPr>
      <w:ind w:left="566" w:hanging="283"/>
      <w:contextualSpacing/>
    </w:pPr>
  </w:style>
  <w:style w:type="paragraph" w:styleId="Lista3">
    <w:name w:val="List 3"/>
    <w:basedOn w:val="Normalny"/>
    <w:uiPriority w:val="98"/>
    <w:semiHidden/>
    <w:rsid w:val="004F1D5C"/>
    <w:pPr>
      <w:ind w:left="849" w:hanging="283"/>
      <w:contextualSpacing/>
    </w:pPr>
  </w:style>
  <w:style w:type="paragraph" w:styleId="Lista4">
    <w:name w:val="List 4"/>
    <w:basedOn w:val="Normalny"/>
    <w:uiPriority w:val="98"/>
    <w:semiHidden/>
    <w:rsid w:val="004F1D5C"/>
    <w:pPr>
      <w:ind w:left="1132" w:hanging="283"/>
      <w:contextualSpacing/>
    </w:pPr>
  </w:style>
  <w:style w:type="paragraph" w:styleId="Lista5">
    <w:name w:val="List 5"/>
    <w:basedOn w:val="Normalny"/>
    <w:uiPriority w:val="98"/>
    <w:semiHidden/>
    <w:rsid w:val="004F1D5C"/>
    <w:pPr>
      <w:ind w:left="1415" w:hanging="283"/>
      <w:contextualSpacing/>
    </w:pPr>
  </w:style>
  <w:style w:type="paragraph" w:styleId="Listapunktowana2">
    <w:name w:val="List Bullet 2"/>
    <w:basedOn w:val="Normalny"/>
    <w:uiPriority w:val="98"/>
    <w:semiHidden/>
    <w:rsid w:val="004F1D5C"/>
    <w:pPr>
      <w:numPr>
        <w:numId w:val="10"/>
      </w:numPr>
      <w:contextualSpacing/>
    </w:pPr>
  </w:style>
  <w:style w:type="paragraph" w:styleId="Listapunktowana4">
    <w:name w:val="List Bullet 4"/>
    <w:basedOn w:val="Normalny"/>
    <w:uiPriority w:val="98"/>
    <w:semiHidden/>
    <w:rsid w:val="004F1D5C"/>
    <w:pPr>
      <w:numPr>
        <w:numId w:val="12"/>
      </w:numPr>
      <w:contextualSpacing/>
    </w:pPr>
  </w:style>
  <w:style w:type="paragraph" w:styleId="Listapunktowana5">
    <w:name w:val="List Bullet 5"/>
    <w:basedOn w:val="Normalny"/>
    <w:uiPriority w:val="98"/>
    <w:semiHidden/>
    <w:rsid w:val="004F1D5C"/>
    <w:pPr>
      <w:numPr>
        <w:numId w:val="13"/>
      </w:numPr>
      <w:contextualSpacing/>
    </w:pPr>
  </w:style>
  <w:style w:type="paragraph" w:styleId="Lista-kontynuacja">
    <w:name w:val="List Continue"/>
    <w:basedOn w:val="Normalny"/>
    <w:uiPriority w:val="98"/>
    <w:semiHidden/>
    <w:rsid w:val="004F1D5C"/>
    <w:pPr>
      <w:spacing w:after="120"/>
      <w:ind w:left="283"/>
      <w:contextualSpacing/>
    </w:pPr>
  </w:style>
  <w:style w:type="paragraph" w:styleId="Lista-kontynuacja2">
    <w:name w:val="List Continue 2"/>
    <w:basedOn w:val="Normalny"/>
    <w:uiPriority w:val="98"/>
    <w:semiHidden/>
    <w:rsid w:val="004F1D5C"/>
    <w:pPr>
      <w:spacing w:after="120"/>
      <w:ind w:left="566"/>
      <w:contextualSpacing/>
    </w:pPr>
  </w:style>
  <w:style w:type="paragraph" w:styleId="Lista-kontynuacja3">
    <w:name w:val="List Continue 3"/>
    <w:basedOn w:val="Normalny"/>
    <w:uiPriority w:val="98"/>
    <w:semiHidden/>
    <w:rsid w:val="004F1D5C"/>
    <w:pPr>
      <w:spacing w:after="120"/>
      <w:ind w:left="849"/>
      <w:contextualSpacing/>
    </w:pPr>
  </w:style>
  <w:style w:type="paragraph" w:styleId="Lista-kontynuacja4">
    <w:name w:val="List Continue 4"/>
    <w:basedOn w:val="Normalny"/>
    <w:uiPriority w:val="98"/>
    <w:semiHidden/>
    <w:rsid w:val="004F1D5C"/>
    <w:pPr>
      <w:spacing w:after="120"/>
      <w:ind w:left="1132"/>
      <w:contextualSpacing/>
    </w:pPr>
  </w:style>
  <w:style w:type="paragraph" w:styleId="Lista-kontynuacja5">
    <w:name w:val="List Continue 5"/>
    <w:basedOn w:val="Normalny"/>
    <w:uiPriority w:val="98"/>
    <w:semiHidden/>
    <w:rsid w:val="004F1D5C"/>
    <w:pPr>
      <w:spacing w:after="120"/>
      <w:ind w:left="1415"/>
      <w:contextualSpacing/>
    </w:pPr>
  </w:style>
  <w:style w:type="paragraph" w:styleId="Listanumerowana">
    <w:name w:val="List Number"/>
    <w:basedOn w:val="Normalny"/>
    <w:uiPriority w:val="98"/>
    <w:semiHidden/>
    <w:rsid w:val="004F1D5C"/>
    <w:pPr>
      <w:numPr>
        <w:numId w:val="14"/>
      </w:numPr>
      <w:contextualSpacing/>
    </w:pPr>
  </w:style>
  <w:style w:type="paragraph" w:styleId="Listanumerowana2">
    <w:name w:val="List Number 2"/>
    <w:basedOn w:val="Normalny"/>
    <w:uiPriority w:val="98"/>
    <w:semiHidden/>
    <w:rsid w:val="004F1D5C"/>
    <w:pPr>
      <w:numPr>
        <w:numId w:val="15"/>
      </w:numPr>
      <w:contextualSpacing/>
    </w:pPr>
  </w:style>
  <w:style w:type="paragraph" w:styleId="Listanumerowana3">
    <w:name w:val="List Number 3"/>
    <w:basedOn w:val="Normalny"/>
    <w:uiPriority w:val="98"/>
    <w:semiHidden/>
    <w:rsid w:val="004F1D5C"/>
    <w:pPr>
      <w:numPr>
        <w:numId w:val="16"/>
      </w:numPr>
      <w:contextualSpacing/>
    </w:pPr>
  </w:style>
  <w:style w:type="paragraph" w:styleId="Listanumerowana4">
    <w:name w:val="List Number 4"/>
    <w:basedOn w:val="Normalny"/>
    <w:uiPriority w:val="98"/>
    <w:semiHidden/>
    <w:rsid w:val="004F1D5C"/>
    <w:pPr>
      <w:numPr>
        <w:numId w:val="17"/>
      </w:numPr>
      <w:contextualSpacing/>
    </w:pPr>
  </w:style>
  <w:style w:type="paragraph" w:styleId="Listanumerowana5">
    <w:name w:val="List Number 5"/>
    <w:basedOn w:val="Normalny"/>
    <w:uiPriority w:val="98"/>
    <w:semiHidden/>
    <w:rsid w:val="004F1D5C"/>
    <w:pPr>
      <w:numPr>
        <w:numId w:val="18"/>
      </w:numPr>
      <w:contextualSpacing/>
    </w:pPr>
  </w:style>
  <w:style w:type="paragraph" w:styleId="Tekstmakra">
    <w:name w:val="macro"/>
    <w:link w:val="TekstmakraZnak"/>
    <w:uiPriority w:val="98"/>
    <w:semiHidden/>
    <w:rsid w:val="004F1D5C"/>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4F1D5C"/>
    <w:rPr>
      <w:rFonts w:ascii="Consolas" w:eastAsiaTheme="minorEastAsia" w:hAnsi="Consolas" w:cs="Consolas"/>
      <w:sz w:val="20"/>
      <w:szCs w:val="20"/>
    </w:rPr>
  </w:style>
  <w:style w:type="table" w:styleId="redniasiatka1">
    <w:name w:val="Medium Grid 1"/>
    <w:basedOn w:val="Standardowy"/>
    <w:uiPriority w:val="67"/>
    <w:semiHidden/>
    <w:rsid w:val="004F1D5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4F1D5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4F1D5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4F1D5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4F1D5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4F1D5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4F1D5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4F1D5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4F1D5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4F1D5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4F1D5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4F1D5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4F1D5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4F1D5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4F1D5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4F1D5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4F1D5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4F1D5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4F1D5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4F1D5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4F1D5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4F1D5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4F1D5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4F1D5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4F1D5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4F1D5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4F1D5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4F1D5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4F1D5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4F1D5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4F1D5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4F1D5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4F1D5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4F1D5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4F1D5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4F1D5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4F1D5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4F1D5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4F1D5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4F1D5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4F1D5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4F1D5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4F1D5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4F1D5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4F1D5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4F1D5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4F1D5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4F1D5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4F1D5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4F1D5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4F1D5C"/>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4F1D5C"/>
    <w:rPr>
      <w:rFonts w:ascii="Times New Roman" w:hAnsi="Times New Roman" w:cs="Times New Roman"/>
    </w:rPr>
  </w:style>
  <w:style w:type="paragraph" w:styleId="Wcicienormalne">
    <w:name w:val="Normal Indent"/>
    <w:basedOn w:val="Normalny"/>
    <w:uiPriority w:val="98"/>
    <w:semiHidden/>
    <w:rsid w:val="004F1D5C"/>
    <w:pPr>
      <w:ind w:left="720"/>
    </w:pPr>
  </w:style>
  <w:style w:type="paragraph" w:styleId="Nagweknotatki">
    <w:name w:val="Note Heading"/>
    <w:basedOn w:val="Normalny"/>
    <w:next w:val="Normalny"/>
    <w:link w:val="NagweknotatkiZnak"/>
    <w:uiPriority w:val="98"/>
    <w:semiHidden/>
    <w:rsid w:val="004F1D5C"/>
  </w:style>
  <w:style w:type="character" w:customStyle="1" w:styleId="NagweknotatkiZnak">
    <w:name w:val="Nagłówek notatki Znak"/>
    <w:basedOn w:val="Domylnaczcionkaakapitu"/>
    <w:link w:val="Nagweknotatki"/>
    <w:uiPriority w:val="98"/>
    <w:semiHidden/>
    <w:rsid w:val="004F1D5C"/>
    <w:rPr>
      <w:sz w:val="24"/>
      <w:szCs w:val="24"/>
      <w:lang w:val="pl-PL"/>
    </w:rPr>
  </w:style>
  <w:style w:type="character" w:styleId="Tekstzastpczy">
    <w:name w:val="Placeholder Text"/>
    <w:basedOn w:val="Domylnaczcionkaakapitu"/>
    <w:uiPriority w:val="98"/>
    <w:semiHidden/>
    <w:rsid w:val="004F1D5C"/>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4F1D5C"/>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4F1D5C"/>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4F1D5C"/>
  </w:style>
  <w:style w:type="character" w:customStyle="1" w:styleId="ZwrotgrzecznociowyZnak">
    <w:name w:val="Zwrot grzecznościowy Znak"/>
    <w:basedOn w:val="Domylnaczcionkaakapitu"/>
    <w:link w:val="Zwrotgrzecznociowy"/>
    <w:uiPriority w:val="98"/>
    <w:semiHidden/>
    <w:rsid w:val="004F1D5C"/>
    <w:rPr>
      <w:sz w:val="24"/>
      <w:szCs w:val="24"/>
      <w:lang w:val="pl-PL"/>
    </w:rPr>
  </w:style>
  <w:style w:type="paragraph" w:styleId="Podpis">
    <w:name w:val="Signature"/>
    <w:basedOn w:val="Normalny"/>
    <w:link w:val="PodpisZnak"/>
    <w:uiPriority w:val="98"/>
    <w:semiHidden/>
    <w:rsid w:val="004F1D5C"/>
    <w:pPr>
      <w:ind w:left="4252"/>
    </w:pPr>
  </w:style>
  <w:style w:type="character" w:customStyle="1" w:styleId="PodpisZnak">
    <w:name w:val="Podpis Znak"/>
    <w:basedOn w:val="Domylnaczcionkaakapitu"/>
    <w:link w:val="Podpis"/>
    <w:uiPriority w:val="98"/>
    <w:semiHidden/>
    <w:rsid w:val="004F1D5C"/>
    <w:rPr>
      <w:sz w:val="24"/>
      <w:szCs w:val="24"/>
      <w:lang w:val="pl-PL"/>
    </w:rPr>
  </w:style>
  <w:style w:type="table" w:styleId="Tabela-Efekty3W1">
    <w:name w:val="Table 3D effects 1"/>
    <w:basedOn w:val="Standardowy"/>
    <w:uiPriority w:val="99"/>
    <w:semiHidden/>
    <w:unhideWhenUsed/>
    <w:rsid w:val="004F1D5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4F1D5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4F1D5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4F1D5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4F1D5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4F1D5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4F1D5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4F1D5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4F1D5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4F1D5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4F1D5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4F1D5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4F1D5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4F1D5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4F1D5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4F1D5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4F1D5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4F1D5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4F1D5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4F1D5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4F1D5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4F1D5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4F1D5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4F1D5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4F1D5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4F1D5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4F1D5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4F1D5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4F1D5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4F1D5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4F1D5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4F1D5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4F1D5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4F1D5C"/>
    <w:pPr>
      <w:ind w:left="240" w:hanging="240"/>
    </w:pPr>
  </w:style>
  <w:style w:type="paragraph" w:styleId="Spisilustracji">
    <w:name w:val="table of figures"/>
    <w:basedOn w:val="Normalny"/>
    <w:next w:val="Normalny"/>
    <w:uiPriority w:val="98"/>
    <w:semiHidden/>
    <w:rsid w:val="004F1D5C"/>
  </w:style>
  <w:style w:type="table" w:styleId="Tabela-Profesjonalny">
    <w:name w:val="Table Professional"/>
    <w:basedOn w:val="Standardowy"/>
    <w:uiPriority w:val="99"/>
    <w:semiHidden/>
    <w:unhideWhenUsed/>
    <w:rsid w:val="004F1D5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4F1D5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4F1D5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4F1D5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4F1D5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4F1D5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4F1D5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4F1D5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4F1D5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4F1D5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4F1D5C"/>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4F1D5C"/>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4F1D5C"/>
    <w:pPr>
      <w:spacing w:after="100"/>
      <w:ind w:left="1680"/>
    </w:pPr>
  </w:style>
  <w:style w:type="paragraph" w:styleId="Spistreci9">
    <w:name w:val="toc 9"/>
    <w:basedOn w:val="Normalny"/>
    <w:next w:val="Normalny"/>
    <w:autoRedefine/>
    <w:uiPriority w:val="98"/>
    <w:semiHidden/>
    <w:rsid w:val="004F1D5C"/>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4F1D5C"/>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4F1D5C"/>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4F1D5C"/>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4F1D5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4F1D5C"/>
    <w:pPr>
      <w:numPr>
        <w:numId w:val="6"/>
      </w:numPr>
      <w:spacing w:before="60" w:after="60"/>
    </w:pPr>
  </w:style>
  <w:style w:type="paragraph" w:customStyle="1" w:styleId="ECHRBullet2">
    <w:name w:val="ECHR_Bullet_2"/>
    <w:aliases w:val="_Bul_2"/>
    <w:basedOn w:val="ECHRBullet1"/>
    <w:uiPriority w:val="23"/>
    <w:semiHidden/>
    <w:rsid w:val="004F1D5C"/>
    <w:pPr>
      <w:numPr>
        <w:ilvl w:val="1"/>
      </w:numPr>
    </w:pPr>
  </w:style>
  <w:style w:type="paragraph" w:customStyle="1" w:styleId="ECHRBullet3">
    <w:name w:val="ECHR_Bullet_3"/>
    <w:aliases w:val="_Bul_3"/>
    <w:basedOn w:val="ECHRBullet2"/>
    <w:uiPriority w:val="23"/>
    <w:semiHidden/>
    <w:rsid w:val="004F1D5C"/>
    <w:pPr>
      <w:numPr>
        <w:ilvl w:val="2"/>
      </w:numPr>
    </w:pPr>
  </w:style>
  <w:style w:type="paragraph" w:customStyle="1" w:styleId="ECHRBullet4">
    <w:name w:val="ECHR_Bullet_4"/>
    <w:aliases w:val="_Bul_4"/>
    <w:basedOn w:val="ECHRBullet3"/>
    <w:uiPriority w:val="23"/>
    <w:semiHidden/>
    <w:rsid w:val="004F1D5C"/>
    <w:pPr>
      <w:numPr>
        <w:ilvl w:val="3"/>
      </w:numPr>
    </w:pPr>
  </w:style>
  <w:style w:type="paragraph" w:customStyle="1" w:styleId="ECHRConfidential">
    <w:name w:val="ECHR_Confidential"/>
    <w:aliases w:val="_Confidential"/>
    <w:basedOn w:val="Normalny"/>
    <w:next w:val="Normalny"/>
    <w:uiPriority w:val="42"/>
    <w:semiHidden/>
    <w:qFormat/>
    <w:rsid w:val="004F1D5C"/>
    <w:pPr>
      <w:jc w:val="right"/>
    </w:pPr>
    <w:rPr>
      <w:color w:val="C00000"/>
      <w:sz w:val="20"/>
    </w:rPr>
  </w:style>
  <w:style w:type="paragraph" w:customStyle="1" w:styleId="ECHRDecisionBody">
    <w:name w:val="ECHR_Decision_Body"/>
    <w:aliases w:val="_Decision_Body"/>
    <w:basedOn w:val="NormalJustified"/>
    <w:uiPriority w:val="54"/>
    <w:semiHidden/>
    <w:rsid w:val="004F1D5C"/>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4F1D5C"/>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4F1D5C"/>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4F1D5C"/>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4F1D5C"/>
    <w:pPr>
      <w:jc w:val="right"/>
    </w:pPr>
    <w:rPr>
      <w:sz w:val="20"/>
    </w:rPr>
  </w:style>
  <w:style w:type="paragraph" w:customStyle="1" w:styleId="ECHRHeaderRefIt">
    <w:name w:val="ECHR_Header_Ref_It"/>
    <w:aliases w:val="_Ref_Ital"/>
    <w:basedOn w:val="Normalny"/>
    <w:next w:val="ECHRHeaderDate"/>
    <w:uiPriority w:val="43"/>
    <w:qFormat/>
    <w:rsid w:val="004F1D5C"/>
    <w:pPr>
      <w:jc w:val="right"/>
    </w:pPr>
    <w:rPr>
      <w:i/>
      <w:sz w:val="20"/>
    </w:rPr>
  </w:style>
  <w:style w:type="paragraph" w:customStyle="1" w:styleId="ECHRHeading9">
    <w:name w:val="ECHR_Heading_9"/>
    <w:aliases w:val="_Head_9"/>
    <w:basedOn w:val="Nagwek9"/>
    <w:uiPriority w:val="17"/>
    <w:semiHidden/>
    <w:rsid w:val="004F1D5C"/>
    <w:pPr>
      <w:keepNext/>
      <w:keepLines/>
      <w:numPr>
        <w:ilvl w:val="8"/>
        <w:numId w:val="2"/>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4F1D5C"/>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4F1D5C"/>
    <w:pPr>
      <w:numPr>
        <w:numId w:val="8"/>
      </w:numPr>
      <w:spacing w:before="60" w:after="60"/>
    </w:pPr>
  </w:style>
  <w:style w:type="paragraph" w:customStyle="1" w:styleId="ECHRNumberedList2">
    <w:name w:val="ECHR_Numbered_List_2"/>
    <w:aliases w:val="_Num_2"/>
    <w:basedOn w:val="ECHRNumberedList1"/>
    <w:uiPriority w:val="23"/>
    <w:semiHidden/>
    <w:rsid w:val="004F1D5C"/>
    <w:pPr>
      <w:numPr>
        <w:ilvl w:val="1"/>
      </w:numPr>
    </w:pPr>
  </w:style>
  <w:style w:type="paragraph" w:customStyle="1" w:styleId="ECHRNumberedList3">
    <w:name w:val="ECHR_Numbered_List_3"/>
    <w:aliases w:val="_Num_3"/>
    <w:basedOn w:val="ECHRNumberedList2"/>
    <w:uiPriority w:val="23"/>
    <w:semiHidden/>
    <w:rsid w:val="004F1D5C"/>
    <w:pPr>
      <w:numPr>
        <w:ilvl w:val="2"/>
      </w:numPr>
    </w:pPr>
  </w:style>
  <w:style w:type="paragraph" w:customStyle="1" w:styleId="ECHRParaHanging">
    <w:name w:val="ECHR_Para_Hanging"/>
    <w:aliases w:val="_Hanging"/>
    <w:basedOn w:val="Normalny"/>
    <w:uiPriority w:val="8"/>
    <w:semiHidden/>
    <w:qFormat/>
    <w:rsid w:val="004F1D5C"/>
    <w:pPr>
      <w:ind w:left="567" w:hanging="567"/>
      <w:jc w:val="both"/>
    </w:pPr>
  </w:style>
  <w:style w:type="paragraph" w:customStyle="1" w:styleId="ECHRParaIndent">
    <w:name w:val="ECHR_Para_Indent"/>
    <w:aliases w:val="_Indent"/>
    <w:basedOn w:val="Normalny"/>
    <w:uiPriority w:val="7"/>
    <w:semiHidden/>
    <w:qFormat/>
    <w:rsid w:val="004F1D5C"/>
    <w:pPr>
      <w:spacing w:before="120" w:after="120"/>
      <w:ind w:left="284"/>
      <w:jc w:val="both"/>
    </w:pPr>
  </w:style>
  <w:style w:type="character" w:customStyle="1" w:styleId="ECHRRed">
    <w:name w:val="ECHR_Red"/>
    <w:aliases w:val="_Red"/>
    <w:basedOn w:val="Domylnaczcionkaakapitu"/>
    <w:uiPriority w:val="15"/>
    <w:semiHidden/>
    <w:qFormat/>
    <w:rsid w:val="004F1D5C"/>
    <w:rPr>
      <w:color w:val="C00000" w:themeColor="accent2"/>
    </w:rPr>
  </w:style>
  <w:style w:type="paragraph" w:customStyle="1" w:styleId="DecList">
    <w:name w:val="Dec_List"/>
    <w:aliases w:val="_List"/>
    <w:basedOn w:val="JuList"/>
    <w:uiPriority w:val="22"/>
    <w:rsid w:val="004F1D5C"/>
    <w:pPr>
      <w:numPr>
        <w:numId w:val="0"/>
      </w:numPr>
      <w:ind w:left="284"/>
    </w:pPr>
  </w:style>
  <w:style w:type="table" w:customStyle="1" w:styleId="ECHRTable2">
    <w:name w:val="ECHR_Table_2"/>
    <w:basedOn w:val="Standardowy"/>
    <w:uiPriority w:val="99"/>
    <w:rsid w:val="004F1D5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4F1D5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4F1D5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4F1D5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4F1D5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4F1D5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4F1D5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4F1D5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4F1D5C"/>
    <w:pPr>
      <w:outlineLvl w:val="0"/>
    </w:pPr>
  </w:style>
  <w:style w:type="paragraph" w:customStyle="1" w:styleId="ECHRTitleTOC1">
    <w:name w:val="ECHR_Title_TOC_1"/>
    <w:aliases w:val="_Title_L_TOC"/>
    <w:basedOn w:val="ECHRTitle1"/>
    <w:next w:val="Normalny"/>
    <w:uiPriority w:val="27"/>
    <w:semiHidden/>
    <w:qFormat/>
    <w:rsid w:val="004F1D5C"/>
    <w:pPr>
      <w:outlineLvl w:val="0"/>
    </w:pPr>
  </w:style>
  <w:style w:type="paragraph" w:customStyle="1" w:styleId="ECHRPlaceholder">
    <w:name w:val="ECHR_Placeholder"/>
    <w:aliases w:val="_Placeholder"/>
    <w:basedOn w:val="JuSigned"/>
    <w:uiPriority w:val="31"/>
    <w:rsid w:val="004F1D5C"/>
    <w:rPr>
      <w:color w:val="FFFFFF"/>
    </w:rPr>
  </w:style>
  <w:style w:type="paragraph" w:customStyle="1" w:styleId="ECHRSpacer">
    <w:name w:val="ECHR_Spacer"/>
    <w:aliases w:val="_Spacer"/>
    <w:basedOn w:val="Normalny"/>
    <w:uiPriority w:val="45"/>
    <w:semiHidden/>
    <w:rsid w:val="004F1D5C"/>
    <w:rPr>
      <w:sz w:val="4"/>
    </w:rPr>
  </w:style>
  <w:style w:type="table" w:customStyle="1" w:styleId="ECHRTableGrey">
    <w:name w:val="ECHR_Table_Grey"/>
    <w:basedOn w:val="Standardowy"/>
    <w:uiPriority w:val="99"/>
    <w:rsid w:val="004F1D5C"/>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9A7FC1"/>
    <w:rPr>
      <w:color w:val="605E5C"/>
      <w:shd w:val="clear" w:color="auto" w:fill="E1DFDD"/>
    </w:rPr>
  </w:style>
  <w:style w:type="character" w:customStyle="1" w:styleId="JuParaChar">
    <w:name w:val="Ju_Para Char"/>
    <w:aliases w:val="_Para Char"/>
    <w:link w:val="JuPara"/>
    <w:uiPriority w:val="4"/>
    <w:rsid w:val="00FE5A85"/>
    <w:rPr>
      <w:sz w:val="24"/>
      <w:szCs w:val="24"/>
      <w:lang w:val="pl-PL"/>
    </w:rPr>
  </w:style>
  <w:style w:type="character" w:customStyle="1" w:styleId="JuNames0">
    <w:name w:val="Ju_Names"/>
    <w:rsid w:val="00FE5A85"/>
    <w:rPr>
      <w:smallCaps/>
    </w:rPr>
  </w:style>
  <w:style w:type="paragraph" w:customStyle="1" w:styleId="JuList4">
    <w:name w:val="Ju_List_4"/>
    <w:aliases w:val="N_Bul_4"/>
    <w:basedOn w:val="JuListi"/>
    <w:uiPriority w:val="19"/>
    <w:rsid w:val="00FE5A85"/>
    <w:pPr>
      <w:numPr>
        <w:ilvl w:val="0"/>
        <w:numId w:val="0"/>
      </w:numPr>
      <w:tabs>
        <w:tab w:val="num" w:pos="1701"/>
      </w:tabs>
      <w:spacing w:before="60" w:after="60" w:line="240" w:lineRule="exact"/>
      <w:ind w:left="1703" w:hanging="284"/>
      <w:contextualSpacing/>
    </w:pPr>
    <w:rPr>
      <w:sz w:val="22"/>
      <w:lang w:eastAsia="fr-FR"/>
    </w:rPr>
  </w:style>
  <w:style w:type="paragraph" w:styleId="Poprawka">
    <w:name w:val="Revision"/>
    <w:hidden/>
    <w:uiPriority w:val="99"/>
    <w:semiHidden/>
    <w:rsid w:val="00FE5A85"/>
    <w:rPr>
      <w:rFonts w:eastAsiaTheme="minorEastAsia"/>
      <w:sz w:val="24"/>
    </w:rPr>
  </w:style>
  <w:style w:type="table" w:styleId="Tabelasiatki1jasna">
    <w:name w:val="Grid Table 1 Light"/>
    <w:basedOn w:val="Standardowy"/>
    <w:uiPriority w:val="46"/>
    <w:semiHidden/>
    <w:rsid w:val="004F1D5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4F1D5C"/>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4F1D5C"/>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4F1D5C"/>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4F1D5C"/>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4F1D5C"/>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4F1D5C"/>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4F1D5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4F1D5C"/>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4F1D5C"/>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4F1D5C"/>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4F1D5C"/>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4F1D5C"/>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4F1D5C"/>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4F1D5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4F1D5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4F1D5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4F1D5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4F1D5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4F1D5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4F1D5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4F1D5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4F1D5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4F1D5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4F1D5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4F1D5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4F1D5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4F1D5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4F1D5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4F1D5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4F1D5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4F1D5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4F1D5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4F1D5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4F1D5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4F1D5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4F1D5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4F1D5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4F1D5C"/>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4F1D5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4F1D5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4F1D5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4F1D5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4F1D5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4F1D5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4F1D5C"/>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4F1D5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4F1D5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4F1D5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4F1D5C"/>
    <w:rPr>
      <w:color w:val="2B579A"/>
      <w:shd w:val="clear" w:color="auto" w:fill="E1DFDD"/>
    </w:rPr>
  </w:style>
  <w:style w:type="table" w:styleId="Tabelalisty1jasna">
    <w:name w:val="List Table 1 Light"/>
    <w:basedOn w:val="Standardowy"/>
    <w:uiPriority w:val="46"/>
    <w:semiHidden/>
    <w:rsid w:val="004F1D5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4F1D5C"/>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4F1D5C"/>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4F1D5C"/>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4F1D5C"/>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4F1D5C"/>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4F1D5C"/>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4F1D5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4F1D5C"/>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4F1D5C"/>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4F1D5C"/>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4F1D5C"/>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4F1D5C"/>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4F1D5C"/>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4F1D5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4F1D5C"/>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4F1D5C"/>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4F1D5C"/>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4F1D5C"/>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4F1D5C"/>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4F1D5C"/>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4F1D5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4F1D5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4F1D5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4F1D5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4F1D5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4F1D5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4F1D5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4F1D5C"/>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4F1D5C"/>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4F1D5C"/>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4F1D5C"/>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4F1D5C"/>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4F1D5C"/>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4F1D5C"/>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4F1D5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4F1D5C"/>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4F1D5C"/>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4F1D5C"/>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4F1D5C"/>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4F1D5C"/>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4F1D5C"/>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4F1D5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4F1D5C"/>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4F1D5C"/>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4F1D5C"/>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4F1D5C"/>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4F1D5C"/>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4F1D5C"/>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4F1D5C"/>
    <w:rPr>
      <w:color w:val="2B579A"/>
      <w:shd w:val="clear" w:color="auto" w:fill="E1DFDD"/>
    </w:rPr>
  </w:style>
  <w:style w:type="table" w:styleId="Zwykatabela1">
    <w:name w:val="Plain Table 1"/>
    <w:basedOn w:val="Standardowy"/>
    <w:uiPriority w:val="41"/>
    <w:semiHidden/>
    <w:rsid w:val="004F1D5C"/>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4F1D5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4F1D5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4F1D5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4F1D5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4F1D5C"/>
    <w:rPr>
      <w:u w:val="dotted"/>
    </w:rPr>
  </w:style>
  <w:style w:type="character" w:customStyle="1" w:styleId="Inteligentnylink1">
    <w:name w:val="Inteligentny link1"/>
    <w:basedOn w:val="Domylnaczcionkaakapitu"/>
    <w:uiPriority w:val="99"/>
    <w:semiHidden/>
    <w:unhideWhenUsed/>
    <w:rsid w:val="004F1D5C"/>
    <w:rPr>
      <w:color w:val="0000FF"/>
      <w:u w:val="single"/>
      <w:shd w:val="clear" w:color="auto" w:fill="F3F2F1"/>
    </w:rPr>
  </w:style>
  <w:style w:type="table" w:styleId="Siatkatabelijasna">
    <w:name w:val="Grid Table Light"/>
    <w:basedOn w:val="Standardowy"/>
    <w:uiPriority w:val="40"/>
    <w:semiHidden/>
    <w:rsid w:val="004F1D5C"/>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jucase0">
    <w:name w:val="jucase"/>
    <w:basedOn w:val="Normalny"/>
    <w:rsid w:val="007A0DBC"/>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E96D7E-0894-4CD9-94BA-63E588BCD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5284</Words>
  <Characters>31705</Characters>
  <Application>Microsoft Office Word</Application>
  <DocSecurity>0</DocSecurity>
  <Lines>264</Lines>
  <Paragraphs>73</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36916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2022-07-21T12:16:00Z</dcterms:created>
  <dcterms:modified xsi:type="dcterms:W3CDTF">2022-07-21T12:19:00Z</dcterms:modified>
  <cp:category/>
</cp:coreProperties>
</file>