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9AE4" w14:textId="77777777" w:rsidR="00AD53A3" w:rsidRPr="009D3A9E" w:rsidRDefault="00AD53A3" w:rsidP="00EA3AAB">
      <w:pPr>
        <w:jc w:val="center"/>
        <w:rPr>
          <w:rFonts w:ascii="Times New Roman" w:hAnsi="Times New Roman" w:cs="Times New Roman"/>
          <w:lang w:val="pl-PL"/>
        </w:rPr>
      </w:pPr>
    </w:p>
    <w:p w14:paraId="755D9294" w14:textId="2D574590" w:rsidR="0098410D" w:rsidRPr="009D3A9E" w:rsidRDefault="00AA0D52" w:rsidP="00EA3AAB">
      <w:pPr>
        <w:jc w:val="center"/>
        <w:rPr>
          <w:lang w:val="pl-PL"/>
        </w:rPr>
      </w:pPr>
      <w:r w:rsidRPr="009D3A9E">
        <w:rPr>
          <w:lang w:val="pl-PL"/>
        </w:rPr>
        <w:t>EUROPEJSKI TRYBUNAŁ PRAW CZŁOWIEKA</w:t>
      </w:r>
    </w:p>
    <w:p w14:paraId="08148201" w14:textId="77777777" w:rsidR="00AA0D52" w:rsidRPr="009D3A9E" w:rsidRDefault="00AA0D52" w:rsidP="00EA3AAB">
      <w:pPr>
        <w:jc w:val="center"/>
        <w:rPr>
          <w:lang w:val="pl-PL"/>
        </w:rPr>
      </w:pPr>
    </w:p>
    <w:p w14:paraId="21CD33A0" w14:textId="77777777" w:rsidR="0098410D" w:rsidRPr="009D3A9E" w:rsidRDefault="00AD53A3" w:rsidP="00EA3AAB">
      <w:pPr>
        <w:pStyle w:val="DecHCase"/>
        <w:rPr>
          <w:lang w:val="pl-PL"/>
        </w:rPr>
      </w:pPr>
      <w:r w:rsidRPr="009D3A9E">
        <w:rPr>
          <w:lang w:val="pl-PL"/>
        </w:rPr>
        <w:t>SEKCJA PIERWSZA</w:t>
      </w:r>
    </w:p>
    <w:p w14:paraId="58423E57" w14:textId="77777777" w:rsidR="008E6217" w:rsidRPr="009D3A9E" w:rsidRDefault="008E6217" w:rsidP="00EA3AAB">
      <w:pPr>
        <w:pStyle w:val="JuTitle"/>
        <w:rPr>
          <w:lang w:val="pl-PL"/>
        </w:rPr>
      </w:pPr>
      <w:bookmarkStart w:id="0" w:name="To"/>
      <w:r w:rsidRPr="009D3A9E">
        <w:rPr>
          <w:bCs/>
          <w:color w:val="000000" w:themeColor="text1"/>
          <w:lang w:val="pl-PL"/>
        </w:rPr>
        <w:t xml:space="preserve">SPRAWA </w:t>
      </w:r>
      <w:bookmarkEnd w:id="0"/>
      <w:r w:rsidRPr="009D3A9E">
        <w:rPr>
          <w:bCs/>
          <w:lang w:val="pl-PL"/>
        </w:rPr>
        <w:t>STANISZEWSKI przeciwko POLSCE</w:t>
      </w:r>
    </w:p>
    <w:p w14:paraId="005E78CF" w14:textId="77777777" w:rsidR="00D74888" w:rsidRPr="009D3A9E" w:rsidRDefault="008E6217" w:rsidP="00EA3AAB">
      <w:pPr>
        <w:pStyle w:val="ECHRCoverTitle4"/>
        <w:rPr>
          <w:lang w:val="pl-PL"/>
        </w:rPr>
      </w:pPr>
      <w:r w:rsidRPr="009D3A9E">
        <w:rPr>
          <w:iCs/>
          <w:lang w:val="pl-PL"/>
        </w:rPr>
        <w:t>(Skarga nr 20422/15)</w:t>
      </w:r>
    </w:p>
    <w:p w14:paraId="083F4CF9" w14:textId="77777777" w:rsidR="0098410D" w:rsidRPr="009D3A9E" w:rsidRDefault="0098410D" w:rsidP="00EA3AAB">
      <w:pPr>
        <w:pStyle w:val="DecHCase"/>
        <w:rPr>
          <w:lang w:val="pl-PL"/>
        </w:rPr>
      </w:pPr>
    </w:p>
    <w:p w14:paraId="7F78A2C7" w14:textId="77777777" w:rsidR="0098410D" w:rsidRPr="009D3A9E" w:rsidRDefault="0098410D" w:rsidP="00AA0D52">
      <w:pPr>
        <w:pStyle w:val="DecHCase"/>
        <w:spacing w:after="240"/>
        <w:rPr>
          <w:lang w:val="pl-PL"/>
        </w:rPr>
      </w:pPr>
    </w:p>
    <w:p w14:paraId="5209A095" w14:textId="77777777" w:rsidR="009E426D" w:rsidRPr="009D3A9E" w:rsidRDefault="0098410D" w:rsidP="00EA3AAB">
      <w:pPr>
        <w:pStyle w:val="DecHCase"/>
        <w:rPr>
          <w:lang w:val="pl-PL"/>
        </w:rPr>
      </w:pPr>
      <w:r w:rsidRPr="009D3A9E">
        <w:rPr>
          <w:lang w:val="pl-PL"/>
        </w:rPr>
        <w:t>WYROK</w:t>
      </w:r>
      <w:r w:rsidRPr="009D3A9E">
        <w:rPr>
          <w:lang w:val="pl-PL"/>
        </w:rPr>
        <w:br/>
      </w:r>
    </w:p>
    <w:p w14:paraId="56624A5F" w14:textId="1A172A5B" w:rsidR="009E426D" w:rsidRPr="009D3A9E" w:rsidRDefault="009E426D" w:rsidP="00EA3AAB">
      <w:pPr>
        <w:pStyle w:val="DecHCase"/>
        <w:pBdr>
          <w:top w:val="single" w:sz="4" w:space="1" w:color="auto"/>
          <w:left w:val="single" w:sz="4" w:space="4" w:color="auto"/>
          <w:bottom w:val="single" w:sz="4" w:space="1" w:color="auto"/>
          <w:right w:val="single" w:sz="4" w:space="4" w:color="auto"/>
        </w:pBdr>
        <w:jc w:val="both"/>
        <w:rPr>
          <w:lang w:val="pl-PL"/>
        </w:rPr>
      </w:pPr>
      <w:r w:rsidRPr="009D3A9E">
        <w:rPr>
          <w:lang w:val="pl-PL"/>
        </w:rPr>
        <w:t>Artykuł 10 • Wolność wyrażania o</w:t>
      </w:r>
      <w:r w:rsidR="00E06D5F" w:rsidRPr="009D3A9E">
        <w:rPr>
          <w:lang w:val="pl-PL"/>
        </w:rPr>
        <w:t>pinii • Ukaranie dziennikarza w</w:t>
      </w:r>
      <w:r w:rsidR="005D368C">
        <w:rPr>
          <w:lang w:val="pl-PL"/>
        </w:rPr>
        <w:t> </w:t>
      </w:r>
      <w:r w:rsidRPr="009D3A9E">
        <w:rPr>
          <w:lang w:val="pl-PL"/>
        </w:rPr>
        <w:t>postępowaniu uproszczonym na podstawie Kodeksu wyborczego za</w:t>
      </w:r>
      <w:r w:rsidR="005D368C">
        <w:rPr>
          <w:lang w:val="pl-PL"/>
        </w:rPr>
        <w:t> </w:t>
      </w:r>
      <w:r w:rsidRPr="009D3A9E">
        <w:rPr>
          <w:lang w:val="pl-PL"/>
        </w:rPr>
        <w:t xml:space="preserve">opublikowanie nieprawdziwych informacji o kandydacie w wyborach samorządowych • Sprawiedliwa równowaga zachowana przez sądy krajowe między sprzecznymi interesami w kontekście kampanii wyborczych • Właściwe i wystarczające powody • Postępowanie uproszczone w okresie kampanii wyborczych służące </w:t>
      </w:r>
      <w:r w:rsidR="00A96655" w:rsidRPr="009D3A9E">
        <w:rPr>
          <w:lang w:val="pl-PL"/>
        </w:rPr>
        <w:t>uprawnionemu</w:t>
      </w:r>
      <w:r w:rsidRPr="009D3A9E">
        <w:rPr>
          <w:lang w:val="pl-PL"/>
        </w:rPr>
        <w:t xml:space="preserve"> celowi zapewnienia uczciwości procesu wyborczego • Brak oznak nieuczciwości lub nierówności proceduralnej</w:t>
      </w:r>
    </w:p>
    <w:p w14:paraId="136801D8" w14:textId="77777777" w:rsidR="0098410D" w:rsidRPr="009D3A9E" w:rsidRDefault="0098410D" w:rsidP="00EA3AAB">
      <w:pPr>
        <w:pStyle w:val="DecHCase"/>
        <w:rPr>
          <w:lang w:val="pl-PL"/>
        </w:rPr>
      </w:pPr>
      <w:r w:rsidRPr="009D3A9E">
        <w:rPr>
          <w:lang w:val="pl-PL"/>
        </w:rPr>
        <w:t>STRASBURG</w:t>
      </w:r>
    </w:p>
    <w:p w14:paraId="181B77B7" w14:textId="2F1D2EFC" w:rsidR="0098410D" w:rsidRPr="009D3A9E" w:rsidRDefault="00AD53A3" w:rsidP="00EA3AAB">
      <w:pPr>
        <w:pStyle w:val="DecHCase"/>
        <w:rPr>
          <w:rFonts w:ascii="Times New Roman" w:hAnsi="Times New Roman" w:cs="Times New Roman"/>
          <w:lang w:val="pl-PL"/>
        </w:rPr>
      </w:pPr>
      <w:r w:rsidRPr="009D3A9E">
        <w:rPr>
          <w:rFonts w:ascii="Times New Roman" w:hAnsi="Times New Roman" w:cs="Times New Roman"/>
          <w:lang w:val="pl-PL"/>
        </w:rPr>
        <w:t>14 października 2021 r.</w:t>
      </w:r>
    </w:p>
    <w:p w14:paraId="56F73950" w14:textId="308331E1" w:rsidR="00AA0D52" w:rsidRPr="009D3A9E" w:rsidRDefault="00AA0D52" w:rsidP="00AA0D52">
      <w:pPr>
        <w:pStyle w:val="jucase0"/>
        <w:ind w:firstLine="0"/>
        <w:jc w:val="center"/>
        <w:rPr>
          <w:color w:val="FF0000"/>
          <w:sz w:val="28"/>
          <w:szCs w:val="28"/>
          <w:u w:val="single"/>
          <w:lang w:val="pl-PL"/>
        </w:rPr>
      </w:pPr>
      <w:r w:rsidRPr="009D3A9E">
        <w:rPr>
          <w:color w:val="FF0000"/>
          <w:sz w:val="28"/>
          <w:szCs w:val="28"/>
          <w:u w:val="single"/>
          <w:lang w:val="pl-PL"/>
        </w:rPr>
        <w:t>OSTATECZNY</w:t>
      </w:r>
    </w:p>
    <w:p w14:paraId="655E9CAF" w14:textId="77777777" w:rsidR="00AA0D52" w:rsidRPr="009D3A9E" w:rsidRDefault="00AA0D52" w:rsidP="00AA0D52">
      <w:pPr>
        <w:pStyle w:val="jucase0"/>
        <w:ind w:firstLine="0"/>
        <w:jc w:val="center"/>
        <w:rPr>
          <w:b w:val="0"/>
          <w:bCs w:val="0"/>
          <w:color w:val="FF0000"/>
          <w:u w:val="single"/>
          <w:lang w:val="pl-PL"/>
        </w:rPr>
      </w:pPr>
    </w:p>
    <w:p w14:paraId="79ADD19E" w14:textId="77777777" w:rsidR="00AA0D52" w:rsidRPr="009D3A9E" w:rsidRDefault="00AA0D52" w:rsidP="00AA0D52">
      <w:pPr>
        <w:pStyle w:val="jucase0"/>
        <w:spacing w:after="120"/>
        <w:ind w:firstLine="0"/>
        <w:jc w:val="center"/>
        <w:rPr>
          <w:b w:val="0"/>
          <w:color w:val="FF0000"/>
          <w:sz w:val="28"/>
          <w:szCs w:val="28"/>
          <w:lang w:val="pl-PL"/>
        </w:rPr>
      </w:pPr>
      <w:r w:rsidRPr="009D3A9E">
        <w:rPr>
          <w:b w:val="0"/>
          <w:color w:val="FF0000"/>
          <w:sz w:val="28"/>
          <w:szCs w:val="28"/>
          <w:lang w:val="pl-PL"/>
        </w:rPr>
        <w:t>14/01/2022</w:t>
      </w:r>
    </w:p>
    <w:p w14:paraId="70CC5C74" w14:textId="08846339" w:rsidR="002422B6" w:rsidRPr="009D3A9E" w:rsidRDefault="0098410D" w:rsidP="00EA3AAB">
      <w:pPr>
        <w:rPr>
          <w:i/>
          <w:sz w:val="22"/>
          <w:lang w:val="pl-PL"/>
        </w:rPr>
      </w:pPr>
      <w:r w:rsidRPr="009D3A9E">
        <w:rPr>
          <w:i/>
          <w:iCs/>
          <w:sz w:val="22"/>
          <w:lang w:val="pl-PL"/>
        </w:rPr>
        <w:t>Wyrok sta</w:t>
      </w:r>
      <w:r w:rsidR="00AA0D52" w:rsidRPr="009D3A9E">
        <w:rPr>
          <w:i/>
          <w:iCs/>
          <w:sz w:val="22"/>
          <w:lang w:val="pl-PL"/>
        </w:rPr>
        <w:t>ł</w:t>
      </w:r>
      <w:r w:rsidRPr="009D3A9E">
        <w:rPr>
          <w:i/>
          <w:iCs/>
          <w:sz w:val="22"/>
          <w:lang w:val="pl-PL"/>
        </w:rPr>
        <w:t xml:space="preserve"> się ostateczny zgodnie z warunkami określonymi w art.</w:t>
      </w:r>
      <w:r w:rsidR="004E5015" w:rsidRPr="009D3A9E">
        <w:rPr>
          <w:i/>
          <w:iCs/>
          <w:sz w:val="22"/>
          <w:lang w:val="pl-PL"/>
        </w:rPr>
        <w:t xml:space="preserve"> </w:t>
      </w:r>
      <w:r w:rsidRPr="009D3A9E">
        <w:rPr>
          <w:i/>
          <w:iCs/>
          <w:sz w:val="22"/>
          <w:lang w:val="pl-PL"/>
        </w:rPr>
        <w:t>44</w:t>
      </w:r>
      <w:r w:rsidR="004E5015" w:rsidRPr="009D3A9E">
        <w:rPr>
          <w:i/>
          <w:iCs/>
          <w:sz w:val="22"/>
          <w:lang w:val="pl-PL"/>
        </w:rPr>
        <w:t xml:space="preserve"> </w:t>
      </w:r>
      <w:r w:rsidRPr="009D3A9E">
        <w:rPr>
          <w:i/>
          <w:iCs/>
          <w:sz w:val="22"/>
          <w:lang w:val="pl-PL"/>
        </w:rPr>
        <w:t>ust.</w:t>
      </w:r>
      <w:r w:rsidR="004E5015" w:rsidRPr="009D3A9E">
        <w:rPr>
          <w:i/>
          <w:iCs/>
          <w:sz w:val="22"/>
          <w:lang w:val="pl-PL"/>
        </w:rPr>
        <w:t xml:space="preserve"> </w:t>
      </w:r>
      <w:r w:rsidRPr="009D3A9E">
        <w:rPr>
          <w:i/>
          <w:iCs/>
          <w:sz w:val="22"/>
          <w:lang w:val="pl-PL"/>
        </w:rPr>
        <w:t>2 Konwencji. Wyrok może podlegać korekcie wydawniczej.</w:t>
      </w:r>
    </w:p>
    <w:p w14:paraId="6B03B816" w14:textId="77777777" w:rsidR="0098410D" w:rsidRPr="009D3A9E" w:rsidRDefault="0098410D" w:rsidP="00EA3AAB">
      <w:pPr>
        <w:rPr>
          <w:lang w:val="pl-PL"/>
        </w:rPr>
        <w:sectPr w:rsidR="0098410D" w:rsidRPr="009D3A9E"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8BA1E34" w14:textId="77777777" w:rsidR="0098410D" w:rsidRPr="009D3A9E" w:rsidRDefault="0098410D" w:rsidP="00EA3AAB">
      <w:pPr>
        <w:pStyle w:val="JuCase"/>
        <w:rPr>
          <w:lang w:val="pl-PL"/>
        </w:rPr>
      </w:pPr>
      <w:r w:rsidRPr="009D3A9E">
        <w:rPr>
          <w:bCs/>
          <w:lang w:val="pl-PL"/>
        </w:rPr>
        <w:lastRenderedPageBreak/>
        <w:t>W sprawie Staniszewski przeciwko Polsce,</w:t>
      </w:r>
    </w:p>
    <w:p w14:paraId="67256E41" w14:textId="77777777" w:rsidR="009F4C8F" w:rsidRPr="009D3A9E" w:rsidRDefault="009F4C8F" w:rsidP="00EA3AAB">
      <w:pPr>
        <w:pStyle w:val="JuPara"/>
        <w:rPr>
          <w:lang w:val="pl-PL"/>
        </w:rPr>
      </w:pPr>
      <w:r w:rsidRPr="009D3A9E">
        <w:rPr>
          <w:lang w:val="pl-PL"/>
        </w:rPr>
        <w:t>Europejski Trybunał Praw Człowieka (Sekcja Pierwsza), zasiadając jako Izba w składzie:</w:t>
      </w:r>
    </w:p>
    <w:p w14:paraId="2203AAC0" w14:textId="77777777" w:rsidR="009F4C8F" w:rsidRPr="009D3A9E" w:rsidRDefault="00871338" w:rsidP="00EA3AAB">
      <w:pPr>
        <w:pStyle w:val="JuJudges"/>
        <w:rPr>
          <w:lang w:val="pl-PL"/>
        </w:rPr>
      </w:pPr>
      <w:r w:rsidRPr="009D3A9E">
        <w:rPr>
          <w:lang w:val="pl-PL"/>
        </w:rPr>
        <w:tab/>
        <w:t>Ksenija Turković,</w:t>
      </w:r>
      <w:r w:rsidRPr="009D3A9E">
        <w:rPr>
          <w:i/>
          <w:iCs/>
          <w:lang w:val="pl-PL"/>
        </w:rPr>
        <w:t xml:space="preserve"> </w:t>
      </w:r>
      <w:r w:rsidR="00D15FED" w:rsidRPr="009D3A9E">
        <w:rPr>
          <w:i/>
          <w:iCs/>
          <w:lang w:val="pl-PL"/>
        </w:rPr>
        <w:t>P</w:t>
      </w:r>
      <w:r w:rsidRPr="009D3A9E">
        <w:rPr>
          <w:i/>
          <w:iCs/>
          <w:lang w:val="pl-PL"/>
        </w:rPr>
        <w:t>rzewodnicząca,</w:t>
      </w:r>
      <w:r w:rsidRPr="009D3A9E">
        <w:rPr>
          <w:lang w:val="pl-PL"/>
        </w:rPr>
        <w:br/>
      </w:r>
      <w:r w:rsidRPr="009D3A9E">
        <w:rPr>
          <w:lang w:val="pl-PL"/>
        </w:rPr>
        <w:tab/>
        <w:t>Péter Paczolay,</w:t>
      </w:r>
      <w:r w:rsidRPr="009D3A9E">
        <w:rPr>
          <w:lang w:val="pl-PL"/>
        </w:rPr>
        <w:br/>
      </w:r>
      <w:r w:rsidRPr="009D3A9E">
        <w:rPr>
          <w:lang w:val="pl-PL"/>
        </w:rPr>
        <w:tab/>
        <w:t>Krzysztof Wojtyczek,</w:t>
      </w:r>
      <w:r w:rsidRPr="009D3A9E">
        <w:rPr>
          <w:lang w:val="pl-PL"/>
        </w:rPr>
        <w:br/>
      </w:r>
      <w:r w:rsidRPr="009D3A9E">
        <w:rPr>
          <w:lang w:val="pl-PL"/>
        </w:rPr>
        <w:tab/>
        <w:t>Alena Poláčková,</w:t>
      </w:r>
      <w:r w:rsidRPr="009D3A9E">
        <w:rPr>
          <w:lang w:val="pl-PL"/>
        </w:rPr>
        <w:br/>
      </w:r>
      <w:r w:rsidRPr="009D3A9E">
        <w:rPr>
          <w:lang w:val="pl-PL"/>
        </w:rPr>
        <w:tab/>
        <w:t>Gilberto Felici,</w:t>
      </w:r>
      <w:r w:rsidRPr="009D3A9E">
        <w:rPr>
          <w:lang w:val="pl-PL"/>
        </w:rPr>
        <w:br/>
      </w:r>
      <w:r w:rsidRPr="009D3A9E">
        <w:rPr>
          <w:lang w:val="pl-PL"/>
        </w:rPr>
        <w:tab/>
        <w:t>Lorraine Schembri Orland,</w:t>
      </w:r>
      <w:r w:rsidRPr="009D3A9E">
        <w:rPr>
          <w:lang w:val="pl-PL"/>
        </w:rPr>
        <w:br/>
      </w:r>
      <w:r w:rsidRPr="009D3A9E">
        <w:rPr>
          <w:lang w:val="pl-PL"/>
        </w:rPr>
        <w:tab/>
        <w:t>Ioannis Ktistakis,</w:t>
      </w:r>
      <w:r w:rsidRPr="009D3A9E">
        <w:rPr>
          <w:i/>
          <w:iCs/>
          <w:lang w:val="pl-PL"/>
        </w:rPr>
        <w:t xml:space="preserve"> sędziowie,</w:t>
      </w:r>
      <w:r w:rsidRPr="009D3A9E">
        <w:rPr>
          <w:lang w:val="pl-PL"/>
        </w:rPr>
        <w:br/>
      </w:r>
      <w:r w:rsidRPr="009D3A9E">
        <w:rPr>
          <w:lang w:val="pl-PL"/>
        </w:rPr>
        <w:tab/>
      </w:r>
      <w:r w:rsidR="003F6D80" w:rsidRPr="009D3A9E">
        <w:rPr>
          <w:lang w:val="pl-PL"/>
        </w:rPr>
        <w:t>oraz</w:t>
      </w:r>
      <w:r w:rsidRPr="009D3A9E">
        <w:rPr>
          <w:lang w:val="pl-PL"/>
        </w:rPr>
        <w:t xml:space="preserve"> Renata Degener, </w:t>
      </w:r>
      <w:r w:rsidRPr="009D3A9E">
        <w:rPr>
          <w:i/>
          <w:iCs/>
          <w:lang w:val="pl-PL"/>
        </w:rPr>
        <w:t>Kanclerz Sekcji,</w:t>
      </w:r>
    </w:p>
    <w:p w14:paraId="01BA5A40" w14:textId="77777777" w:rsidR="00AD53A3" w:rsidRPr="009D3A9E" w:rsidRDefault="00AD53A3" w:rsidP="00EA3AAB">
      <w:pPr>
        <w:pStyle w:val="JuPara"/>
        <w:rPr>
          <w:lang w:val="pl-PL"/>
        </w:rPr>
      </w:pPr>
      <w:r w:rsidRPr="009D3A9E">
        <w:rPr>
          <w:lang w:val="pl-PL"/>
        </w:rPr>
        <w:t>Mając na uwadze:</w:t>
      </w:r>
    </w:p>
    <w:p w14:paraId="6524FC33" w14:textId="4D0FFA38" w:rsidR="00AD53A3" w:rsidRPr="009D3A9E" w:rsidRDefault="00AD53A3" w:rsidP="00EA3AAB">
      <w:pPr>
        <w:pStyle w:val="JuPara"/>
        <w:rPr>
          <w:lang w:val="pl-PL"/>
        </w:rPr>
      </w:pPr>
      <w:r w:rsidRPr="009D3A9E">
        <w:rPr>
          <w:lang w:val="pl-PL"/>
        </w:rPr>
        <w:t>skargę (nr</w:t>
      </w:r>
      <w:r w:rsidR="004E5015" w:rsidRPr="009D3A9E">
        <w:rPr>
          <w:lang w:val="pl-PL"/>
        </w:rPr>
        <w:t xml:space="preserve"> </w:t>
      </w:r>
      <w:r w:rsidRPr="009D3A9E">
        <w:rPr>
          <w:lang w:val="pl-PL"/>
        </w:rPr>
        <w:t>20422/15) przeciwko Rzeczypospolitej Polskiej wniesioną do</w:t>
      </w:r>
      <w:r w:rsidR="005D368C">
        <w:rPr>
          <w:lang w:val="pl-PL"/>
        </w:rPr>
        <w:t> </w:t>
      </w:r>
      <w:r w:rsidRPr="009D3A9E">
        <w:rPr>
          <w:lang w:val="pl-PL"/>
        </w:rPr>
        <w:t>Trybunału 22 kwietnia 2015</w:t>
      </w:r>
      <w:r w:rsidR="004E5015" w:rsidRPr="009D3A9E">
        <w:rPr>
          <w:lang w:val="pl-PL"/>
        </w:rPr>
        <w:t xml:space="preserve"> </w:t>
      </w:r>
      <w:r w:rsidRPr="009D3A9E">
        <w:rPr>
          <w:lang w:val="pl-PL"/>
        </w:rPr>
        <w:t>r. na podstawie art.</w:t>
      </w:r>
      <w:r w:rsidR="004E5015" w:rsidRPr="009D3A9E">
        <w:rPr>
          <w:lang w:val="pl-PL"/>
        </w:rPr>
        <w:t xml:space="preserve"> </w:t>
      </w:r>
      <w:r w:rsidRPr="009D3A9E">
        <w:rPr>
          <w:lang w:val="pl-PL"/>
        </w:rPr>
        <w:t>34 Konwencji o ochronie praw człowieka i podstawowych wolności („Konwencji”) przez obywatela Polski, Jana Staniszewskiego („skarżącego”);</w:t>
      </w:r>
    </w:p>
    <w:p w14:paraId="56EC1E26" w14:textId="1B933B3F" w:rsidR="00AD53A3" w:rsidRPr="009D3A9E" w:rsidRDefault="00AD53A3" w:rsidP="00EA3AAB">
      <w:pPr>
        <w:pStyle w:val="JuPara"/>
        <w:rPr>
          <w:lang w:val="pl-PL"/>
        </w:rPr>
      </w:pPr>
      <w:r w:rsidRPr="009D3A9E">
        <w:rPr>
          <w:lang w:val="pl-PL"/>
        </w:rPr>
        <w:t xml:space="preserve">decyzję o </w:t>
      </w:r>
      <w:r w:rsidR="00A96655" w:rsidRPr="009D3A9E">
        <w:rPr>
          <w:lang w:val="pl-PL"/>
        </w:rPr>
        <w:t xml:space="preserve">zakomunikowaniu Rządowi </w:t>
      </w:r>
      <w:r w:rsidRPr="009D3A9E">
        <w:rPr>
          <w:lang w:val="pl-PL"/>
        </w:rPr>
        <w:t>Rzeczy</w:t>
      </w:r>
      <w:r w:rsidR="00E06D5F" w:rsidRPr="009D3A9E">
        <w:rPr>
          <w:lang w:val="pl-PL"/>
        </w:rPr>
        <w:t xml:space="preserve">pospolitej Polskiej („Rządu”) </w:t>
      </w:r>
      <w:r w:rsidR="00A96655" w:rsidRPr="009D3A9E">
        <w:rPr>
          <w:lang w:val="pl-PL"/>
        </w:rPr>
        <w:t>zarzutów</w:t>
      </w:r>
      <w:r w:rsidR="009D3A9E">
        <w:rPr>
          <w:lang w:val="pl-PL"/>
        </w:rPr>
        <w:t xml:space="preserve"> skargi</w:t>
      </w:r>
      <w:r w:rsidR="009D3A9E" w:rsidRPr="009D3A9E">
        <w:rPr>
          <w:lang w:val="pl-PL"/>
        </w:rPr>
        <w:t xml:space="preserve"> </w:t>
      </w:r>
      <w:r w:rsidRPr="009D3A9E">
        <w:rPr>
          <w:lang w:val="pl-PL"/>
        </w:rPr>
        <w:t>dotyczących prawa do wolności wyrażania opinii i prawa do rzetelnego procesu sądowego oraz o uznaniu pozostałej części skargi za niedopuszczalną;</w:t>
      </w:r>
    </w:p>
    <w:p w14:paraId="3B4D7EAF" w14:textId="77777777" w:rsidR="00AD53A3" w:rsidRPr="009D3A9E" w:rsidRDefault="00AD53A3" w:rsidP="00EA3AAB">
      <w:pPr>
        <w:pStyle w:val="JuPara"/>
        <w:rPr>
          <w:lang w:val="pl-PL"/>
        </w:rPr>
      </w:pPr>
      <w:r w:rsidRPr="009D3A9E">
        <w:rPr>
          <w:lang w:val="pl-PL"/>
        </w:rPr>
        <w:t>uwagi stron;</w:t>
      </w:r>
    </w:p>
    <w:p w14:paraId="2701C21D" w14:textId="6677FB04" w:rsidR="009F4C8F" w:rsidRPr="009D3A9E" w:rsidRDefault="009F4C8F" w:rsidP="00EA3AAB">
      <w:pPr>
        <w:pStyle w:val="JuPara"/>
        <w:rPr>
          <w:lang w:val="pl-PL"/>
        </w:rPr>
      </w:pPr>
      <w:r w:rsidRPr="009D3A9E">
        <w:rPr>
          <w:lang w:val="pl-PL"/>
        </w:rPr>
        <w:t>obradując na posiedzeniu niejawnym w dniu 21</w:t>
      </w:r>
      <w:r w:rsidR="004E5015" w:rsidRPr="009D3A9E">
        <w:rPr>
          <w:lang w:val="pl-PL"/>
        </w:rPr>
        <w:t xml:space="preserve"> </w:t>
      </w:r>
      <w:r w:rsidRPr="009D3A9E">
        <w:rPr>
          <w:lang w:val="pl-PL"/>
        </w:rPr>
        <w:t>września 2021</w:t>
      </w:r>
      <w:r w:rsidR="004E5015" w:rsidRPr="009D3A9E">
        <w:rPr>
          <w:lang w:val="pl-PL"/>
        </w:rPr>
        <w:t xml:space="preserve"> </w:t>
      </w:r>
      <w:r w:rsidRPr="009D3A9E">
        <w:rPr>
          <w:lang w:val="pl-PL"/>
        </w:rPr>
        <w:t>r.,</w:t>
      </w:r>
    </w:p>
    <w:p w14:paraId="09809167" w14:textId="77777777" w:rsidR="009F4C8F" w:rsidRPr="009D3A9E" w:rsidRDefault="009F4C8F" w:rsidP="00EA3AAB">
      <w:pPr>
        <w:pStyle w:val="JuPara"/>
        <w:rPr>
          <w:lang w:val="pl-PL"/>
        </w:rPr>
      </w:pPr>
      <w:r w:rsidRPr="009D3A9E">
        <w:rPr>
          <w:lang w:val="pl-PL"/>
        </w:rPr>
        <w:t>wydaje następujący wyrok, który został przyjęty w tym dniu:</w:t>
      </w:r>
    </w:p>
    <w:p w14:paraId="2456DF1B" w14:textId="77777777" w:rsidR="00AD53A3" w:rsidRPr="009D3A9E" w:rsidRDefault="00AD53A3" w:rsidP="00EA3AAB">
      <w:pPr>
        <w:pStyle w:val="JuHHead"/>
        <w:numPr>
          <w:ilvl w:val="0"/>
          <w:numId w:val="0"/>
        </w:numPr>
        <w:rPr>
          <w:lang w:val="pl-PL"/>
        </w:rPr>
      </w:pPr>
      <w:r w:rsidRPr="009D3A9E">
        <w:rPr>
          <w:bCs w:val="0"/>
          <w:lang w:val="pl-PL"/>
        </w:rPr>
        <w:t>WPROWADZENIE</w:t>
      </w:r>
    </w:p>
    <w:p w14:paraId="33B9DB9C" w14:textId="1F0E9923" w:rsidR="00AD53A3" w:rsidRPr="009D3A9E" w:rsidRDefault="00AD53A3" w:rsidP="00EA3AAB">
      <w:pPr>
        <w:pStyle w:val="JuPara"/>
        <w:rPr>
          <w:lang w:val="pl-PL"/>
        </w:rPr>
      </w:pPr>
      <w:r w:rsidRPr="009D3A9E">
        <w:rPr>
          <w:noProof/>
          <w:lang w:val="pl-PL"/>
        </w:rPr>
        <w:t>1</w:t>
      </w:r>
      <w:r w:rsidRPr="009D3A9E">
        <w:rPr>
          <w:lang w:val="pl-PL"/>
        </w:rPr>
        <w:t>.</w:t>
      </w:r>
      <w:r w:rsidR="004E5015" w:rsidRPr="009D3A9E">
        <w:rPr>
          <w:lang w:val="pl-PL"/>
        </w:rPr>
        <w:t xml:space="preserve"> </w:t>
      </w:r>
      <w:r w:rsidRPr="009D3A9E">
        <w:rPr>
          <w:lang w:val="pl-PL"/>
        </w:rPr>
        <w:t>Sprawa dotyczy ukarania skarżącego za opublikowanie nieprawdziwych wypowiedzi na temat kandydata w wyborach samorządowych.</w:t>
      </w:r>
    </w:p>
    <w:p w14:paraId="7C2AD07A" w14:textId="77777777" w:rsidR="00AD53A3" w:rsidRPr="009D3A9E" w:rsidRDefault="00AD53A3" w:rsidP="00EA3AAB">
      <w:pPr>
        <w:pStyle w:val="JuHHead"/>
        <w:rPr>
          <w:lang w:val="pl-PL"/>
        </w:rPr>
      </w:pPr>
      <w:r w:rsidRPr="009D3A9E">
        <w:rPr>
          <w:bCs w:val="0"/>
          <w:lang w:val="pl-PL"/>
        </w:rPr>
        <w:t>STAN FAKTYCZNY</w:t>
      </w:r>
    </w:p>
    <w:p w14:paraId="118CCC3D" w14:textId="33FE502E" w:rsidR="00AD53A3" w:rsidRPr="009D3A9E" w:rsidRDefault="00AD53A3" w:rsidP="00EA3AAB">
      <w:pPr>
        <w:pStyle w:val="JuPara"/>
        <w:rPr>
          <w:lang w:val="pl-PL"/>
        </w:rPr>
      </w:pPr>
      <w:r w:rsidRPr="009D3A9E">
        <w:rPr>
          <w:noProof/>
          <w:lang w:val="pl-PL"/>
        </w:rPr>
        <w:t>2</w:t>
      </w:r>
      <w:r w:rsidRPr="009D3A9E">
        <w:rPr>
          <w:lang w:val="pl-PL"/>
        </w:rPr>
        <w:t>.</w:t>
      </w:r>
      <w:r w:rsidR="004E5015" w:rsidRPr="009D3A9E">
        <w:rPr>
          <w:lang w:val="pl-PL"/>
        </w:rPr>
        <w:t xml:space="preserve"> </w:t>
      </w:r>
      <w:r w:rsidRPr="009D3A9E">
        <w:rPr>
          <w:lang w:val="pl-PL"/>
        </w:rPr>
        <w:t>Skarżący urodził się w</w:t>
      </w:r>
      <w:r w:rsidR="004E5015" w:rsidRPr="009D3A9E">
        <w:rPr>
          <w:lang w:val="pl-PL"/>
        </w:rPr>
        <w:t xml:space="preserve"> </w:t>
      </w:r>
      <w:r w:rsidRPr="009D3A9E">
        <w:rPr>
          <w:lang w:val="pl-PL"/>
        </w:rPr>
        <w:t>1956</w:t>
      </w:r>
      <w:r w:rsidR="004E5015" w:rsidRPr="009D3A9E">
        <w:rPr>
          <w:lang w:val="pl-PL"/>
        </w:rPr>
        <w:t xml:space="preserve"> </w:t>
      </w:r>
      <w:r w:rsidRPr="009D3A9E">
        <w:rPr>
          <w:lang w:val="pl-PL"/>
        </w:rPr>
        <w:t xml:space="preserve">r. i mieszka w Bulkowie. Skarżący był reprezentowany przez </w:t>
      </w:r>
      <w:bookmarkStart w:id="1" w:name="_Hlk85030706"/>
      <w:r w:rsidRPr="009D3A9E">
        <w:rPr>
          <w:lang w:val="pl-PL"/>
        </w:rPr>
        <w:t>A. Bzdyń</w:t>
      </w:r>
      <w:bookmarkEnd w:id="1"/>
      <w:r w:rsidRPr="009D3A9E">
        <w:rPr>
          <w:lang w:val="pl-PL"/>
        </w:rPr>
        <w:t>, prawniczkę praktykującą w Warszawie.</w:t>
      </w:r>
    </w:p>
    <w:p w14:paraId="6183F3A2" w14:textId="2FCDEFBA" w:rsidR="00AD53A3" w:rsidRPr="009D3A9E" w:rsidRDefault="00AD53A3" w:rsidP="00EA3AAB">
      <w:pPr>
        <w:pStyle w:val="JuPara"/>
        <w:rPr>
          <w:lang w:val="pl-PL"/>
        </w:rPr>
      </w:pPr>
      <w:r w:rsidRPr="009D3A9E">
        <w:rPr>
          <w:noProof/>
          <w:lang w:val="pl-PL"/>
        </w:rPr>
        <w:t>3</w:t>
      </w:r>
      <w:r w:rsidRPr="009D3A9E">
        <w:rPr>
          <w:lang w:val="pl-PL"/>
        </w:rPr>
        <w:t>.</w:t>
      </w:r>
      <w:r w:rsidR="004E5015" w:rsidRPr="009D3A9E">
        <w:rPr>
          <w:lang w:val="pl-PL"/>
        </w:rPr>
        <w:t xml:space="preserve"> </w:t>
      </w:r>
      <w:r w:rsidRPr="009D3A9E">
        <w:rPr>
          <w:lang w:val="pl-PL"/>
        </w:rPr>
        <w:t>Rząd był reprezentowany przez swojego pełnomocnika, J.</w:t>
      </w:r>
      <w:r w:rsidR="005D368C">
        <w:rPr>
          <w:lang w:val="pl-PL"/>
        </w:rPr>
        <w:t> </w:t>
      </w:r>
      <w:r w:rsidRPr="009D3A9E">
        <w:rPr>
          <w:lang w:val="pl-PL"/>
        </w:rPr>
        <w:t>Chrzanowską, a następnie przez J. Sobczaka z Ministerstwa Spraw Zagranicznych.</w:t>
      </w:r>
    </w:p>
    <w:p w14:paraId="1E2685E4" w14:textId="5F13FBBA" w:rsidR="00AD53A3" w:rsidRPr="009D3A9E" w:rsidRDefault="00AD53A3" w:rsidP="00EA3AAB">
      <w:pPr>
        <w:pStyle w:val="JuPara"/>
        <w:rPr>
          <w:lang w:val="pl-PL"/>
        </w:rPr>
      </w:pPr>
      <w:r w:rsidRPr="009D3A9E">
        <w:rPr>
          <w:noProof/>
          <w:lang w:val="pl-PL"/>
        </w:rPr>
        <w:t>4</w:t>
      </w:r>
      <w:r w:rsidRPr="009D3A9E">
        <w:rPr>
          <w:lang w:val="pl-PL"/>
        </w:rPr>
        <w:t>.</w:t>
      </w:r>
      <w:r w:rsidR="004E5015" w:rsidRPr="009D3A9E">
        <w:rPr>
          <w:lang w:val="pl-PL"/>
        </w:rPr>
        <w:t xml:space="preserve"> </w:t>
      </w:r>
      <w:r w:rsidRPr="009D3A9E">
        <w:rPr>
          <w:lang w:val="pl-PL"/>
        </w:rPr>
        <w:t>Stan faktyczny sprawy, przedstawiony przez strony, można podsumować w poniższy sposób.</w:t>
      </w:r>
    </w:p>
    <w:p w14:paraId="46EB2EDB" w14:textId="77777777" w:rsidR="00AD53A3" w:rsidRPr="009D3A9E" w:rsidRDefault="00AD53A3" w:rsidP="00EA3AAB">
      <w:pPr>
        <w:pStyle w:val="JuHIRoman"/>
        <w:rPr>
          <w:lang w:val="pl-PL"/>
        </w:rPr>
      </w:pPr>
      <w:r w:rsidRPr="009D3A9E">
        <w:rPr>
          <w:bCs w:val="0"/>
          <w:lang w:val="pl-PL"/>
        </w:rPr>
        <w:t>Biuletyn</w:t>
      </w:r>
    </w:p>
    <w:p w14:paraId="477155C9" w14:textId="03D0E448" w:rsidR="00AD53A3" w:rsidRPr="009D3A9E" w:rsidRDefault="00AD53A3" w:rsidP="00EA3AAB">
      <w:pPr>
        <w:pStyle w:val="JuPara"/>
        <w:rPr>
          <w:lang w:val="pl-PL"/>
        </w:rPr>
      </w:pPr>
      <w:r w:rsidRPr="009D3A9E">
        <w:rPr>
          <w:noProof/>
          <w:lang w:val="pl-PL"/>
        </w:rPr>
        <w:t>5</w:t>
      </w:r>
      <w:r w:rsidRPr="009D3A9E">
        <w:rPr>
          <w:lang w:val="pl-PL"/>
        </w:rPr>
        <w:t>.</w:t>
      </w:r>
      <w:r w:rsidR="004E5015" w:rsidRPr="009D3A9E">
        <w:rPr>
          <w:lang w:val="pl-PL"/>
        </w:rPr>
        <w:t xml:space="preserve"> </w:t>
      </w:r>
      <w:r w:rsidRPr="009D3A9E">
        <w:rPr>
          <w:lang w:val="pl-PL"/>
        </w:rPr>
        <w:t>Od 2010</w:t>
      </w:r>
      <w:r w:rsidR="004E5015" w:rsidRPr="009D3A9E">
        <w:rPr>
          <w:lang w:val="pl-PL"/>
        </w:rPr>
        <w:t xml:space="preserve"> </w:t>
      </w:r>
      <w:r w:rsidRPr="009D3A9E">
        <w:rPr>
          <w:lang w:val="pl-PL"/>
        </w:rPr>
        <w:t xml:space="preserve">r. skarżący jest wyłącznym redaktorem bezpłatnego miesięcznego biuletynu </w:t>
      </w:r>
      <w:r w:rsidRPr="009D3A9E">
        <w:rPr>
          <w:i/>
          <w:iCs/>
          <w:lang w:val="pl-PL"/>
        </w:rPr>
        <w:t>Gazeta Głos z Gminy Bulkowo,</w:t>
      </w:r>
      <w:r w:rsidRPr="009D3A9E">
        <w:rPr>
          <w:lang w:val="pl-PL"/>
        </w:rPr>
        <w:t xml:space="preserve"> </w:t>
      </w:r>
      <w:r w:rsidR="000A5E12" w:rsidRPr="009D3A9E">
        <w:rPr>
          <w:lang w:val="pl-PL"/>
        </w:rPr>
        <w:t>rozprowadzanego</w:t>
      </w:r>
      <w:r w:rsidRPr="009D3A9E">
        <w:rPr>
          <w:lang w:val="pl-PL"/>
        </w:rPr>
        <w:t xml:space="preserve"> </w:t>
      </w:r>
      <w:r w:rsidRPr="009D3A9E">
        <w:rPr>
          <w:lang w:val="pl-PL"/>
        </w:rPr>
        <w:lastRenderedPageBreak/>
        <w:t>w</w:t>
      </w:r>
      <w:r w:rsidR="005D368C">
        <w:rPr>
          <w:lang w:val="pl-PL"/>
        </w:rPr>
        <w:t> </w:t>
      </w:r>
      <w:r w:rsidRPr="009D3A9E">
        <w:rPr>
          <w:lang w:val="pl-PL"/>
        </w:rPr>
        <w:t>sklepach i innych miejscach publicznych. W 2014</w:t>
      </w:r>
      <w:r w:rsidR="004E5015" w:rsidRPr="009D3A9E">
        <w:rPr>
          <w:lang w:val="pl-PL"/>
        </w:rPr>
        <w:t xml:space="preserve"> </w:t>
      </w:r>
      <w:r w:rsidRPr="009D3A9E">
        <w:rPr>
          <w:lang w:val="pl-PL"/>
        </w:rPr>
        <w:t xml:space="preserve">r. ukazało się dziesięć wydań biuletynu, przy czym każdy numer </w:t>
      </w:r>
      <w:r w:rsidR="006C3FDD" w:rsidRPr="009D3A9E">
        <w:rPr>
          <w:lang w:val="pl-PL"/>
        </w:rPr>
        <w:t xml:space="preserve">rozpowszechniono </w:t>
      </w:r>
      <w:r w:rsidRPr="009D3A9E">
        <w:rPr>
          <w:lang w:val="pl-PL"/>
        </w:rPr>
        <w:t>w nakładzie 2000 egzemplarzy. W biuletynie, składającym się z jednej dwustronnej kartki, informowano o sprawach lokalnych i analizowano działalność G.G., wójta gminy Bulkowo.</w:t>
      </w:r>
    </w:p>
    <w:p w14:paraId="61F4CBC5" w14:textId="4436517F" w:rsidR="00AD53A3" w:rsidRPr="009D3A9E" w:rsidRDefault="00AD53A3" w:rsidP="00EA3AAB">
      <w:pPr>
        <w:pStyle w:val="JuPara"/>
        <w:rPr>
          <w:lang w:val="pl-PL"/>
        </w:rPr>
      </w:pPr>
      <w:bookmarkStart w:id="2" w:name="para3"/>
      <w:r w:rsidRPr="009D3A9E">
        <w:rPr>
          <w:noProof/>
          <w:lang w:val="pl-PL"/>
        </w:rPr>
        <w:t>6</w:t>
      </w:r>
      <w:bookmarkEnd w:id="2"/>
      <w:r w:rsidRPr="009D3A9E">
        <w:rPr>
          <w:lang w:val="pl-PL"/>
        </w:rPr>
        <w:t>.</w:t>
      </w:r>
      <w:r w:rsidR="004E5015" w:rsidRPr="009D3A9E">
        <w:rPr>
          <w:lang w:val="pl-PL"/>
        </w:rPr>
        <w:t xml:space="preserve"> </w:t>
      </w:r>
      <w:r w:rsidRPr="009D3A9E">
        <w:rPr>
          <w:lang w:val="pl-PL"/>
        </w:rPr>
        <w:t>W wydaniu biuletynu nr 9/2014, opublikowanym w dniu 10 września 2014</w:t>
      </w:r>
      <w:r w:rsidR="004E5015" w:rsidRPr="009D3A9E">
        <w:rPr>
          <w:lang w:val="pl-PL"/>
        </w:rPr>
        <w:t xml:space="preserve"> </w:t>
      </w:r>
      <w:r w:rsidRPr="009D3A9E">
        <w:rPr>
          <w:lang w:val="pl-PL"/>
        </w:rPr>
        <w:t>r., skarżący zasugerował, że wójt G.G. wybrał wieś Blichów na</w:t>
      </w:r>
      <w:r w:rsidR="005D368C">
        <w:rPr>
          <w:lang w:val="pl-PL"/>
        </w:rPr>
        <w:t> </w:t>
      </w:r>
      <w:r w:rsidRPr="009D3A9E">
        <w:rPr>
          <w:lang w:val="pl-PL"/>
        </w:rPr>
        <w:t xml:space="preserve">dożynki, ponieważ liczył na </w:t>
      </w:r>
      <w:r w:rsidR="006E4AC3" w:rsidRPr="009D3A9E">
        <w:rPr>
          <w:lang w:val="pl-PL"/>
        </w:rPr>
        <w:t xml:space="preserve">zwiększenie </w:t>
      </w:r>
      <w:r w:rsidRPr="009D3A9E">
        <w:rPr>
          <w:lang w:val="pl-PL"/>
        </w:rPr>
        <w:t>poparcia dla swojej kandydatury w</w:t>
      </w:r>
      <w:r w:rsidR="004E5015" w:rsidRPr="009D3A9E">
        <w:rPr>
          <w:lang w:val="pl-PL"/>
        </w:rPr>
        <w:t xml:space="preserve"> </w:t>
      </w:r>
      <w:r w:rsidRPr="009D3A9E">
        <w:rPr>
          <w:lang w:val="pl-PL"/>
        </w:rPr>
        <w:t xml:space="preserve">nadchodzących wyborach. Ponadto w </w:t>
      </w:r>
      <w:r w:rsidR="006E4AC3" w:rsidRPr="009D3A9E">
        <w:rPr>
          <w:lang w:val="pl-PL"/>
        </w:rPr>
        <w:t>wyda</w:t>
      </w:r>
      <w:r w:rsidR="00A40C0B">
        <w:rPr>
          <w:lang w:val="pl-PL"/>
        </w:rPr>
        <w:t>niu</w:t>
      </w:r>
      <w:r w:rsidR="006E4AC3" w:rsidRPr="009D3A9E">
        <w:rPr>
          <w:lang w:val="pl-PL"/>
        </w:rPr>
        <w:t xml:space="preserve"> </w:t>
      </w:r>
      <w:r w:rsidRPr="009D3A9E">
        <w:rPr>
          <w:lang w:val="pl-PL"/>
        </w:rPr>
        <w:t>tym poinformowano o</w:t>
      </w:r>
      <w:r w:rsidR="005D368C">
        <w:rPr>
          <w:lang w:val="pl-PL"/>
        </w:rPr>
        <w:t> </w:t>
      </w:r>
      <w:r w:rsidRPr="009D3A9E">
        <w:rPr>
          <w:lang w:val="pl-PL"/>
        </w:rPr>
        <w:t xml:space="preserve">projekcie budowy farmy wiatrowej na terenie gminy. W artykule omówiono </w:t>
      </w:r>
      <w:r w:rsidR="00C51AED" w:rsidRPr="009D3A9E">
        <w:rPr>
          <w:lang w:val="pl-PL"/>
        </w:rPr>
        <w:t xml:space="preserve">skutki </w:t>
      </w:r>
      <w:r w:rsidRPr="009D3A9E">
        <w:rPr>
          <w:lang w:val="pl-PL"/>
        </w:rPr>
        <w:t>negatywnego wpływu turbin wiatrowych na zdrowie mieszkańców oraz niekorzystny wpływ na ceny gruntów. Skarżący wspomniał wprawdzie, że projekt elektrowni wiatrowej zapoczątkowano za</w:t>
      </w:r>
      <w:r w:rsidR="005D368C">
        <w:rPr>
          <w:lang w:val="pl-PL"/>
        </w:rPr>
        <w:t> </w:t>
      </w:r>
      <w:r w:rsidRPr="009D3A9E">
        <w:rPr>
          <w:lang w:val="pl-PL"/>
        </w:rPr>
        <w:t>czasów poprzedniego wójta, ale starał się podkreślić, że jego realizację należy przypisać wyłącznie wójtowi G.G. i obecnie urzędującym radnym. Skarżący pisał również o organizacji pożytku publicznego, w której żona G.G. była skarbnikiem, o dysproporcji pomiędzy wysokością diet radnych i</w:t>
      </w:r>
      <w:r w:rsidR="005D368C">
        <w:rPr>
          <w:lang w:val="pl-PL"/>
        </w:rPr>
        <w:t> </w:t>
      </w:r>
      <w:r w:rsidRPr="009D3A9E">
        <w:rPr>
          <w:lang w:val="pl-PL"/>
        </w:rPr>
        <w:t>sołtysów na niekorzyść tych ostatnich</w:t>
      </w:r>
      <w:r w:rsidR="00C51AED" w:rsidRPr="009D3A9E">
        <w:rPr>
          <w:lang w:val="pl-PL"/>
        </w:rPr>
        <w:t>, za co odpowiadał G.G., a także</w:t>
      </w:r>
      <w:r w:rsidRPr="009D3A9E">
        <w:rPr>
          <w:lang w:val="pl-PL"/>
        </w:rPr>
        <w:t xml:space="preserve"> o</w:t>
      </w:r>
      <w:r w:rsidR="005D368C">
        <w:rPr>
          <w:lang w:val="pl-PL"/>
        </w:rPr>
        <w:t> </w:t>
      </w:r>
      <w:r w:rsidRPr="009D3A9E">
        <w:rPr>
          <w:lang w:val="pl-PL"/>
        </w:rPr>
        <w:t>podjętej przez G.G. decyzji o zaciągnięciu kredytu na kwotę 2</w:t>
      </w:r>
      <w:r w:rsidR="004E5015" w:rsidRPr="009D3A9E">
        <w:rPr>
          <w:lang w:val="pl-PL"/>
        </w:rPr>
        <w:t xml:space="preserve"> </w:t>
      </w:r>
      <w:r w:rsidRPr="009D3A9E">
        <w:rPr>
          <w:lang w:val="pl-PL"/>
        </w:rPr>
        <w:t>622</w:t>
      </w:r>
      <w:r w:rsidR="004E5015" w:rsidRPr="009D3A9E">
        <w:rPr>
          <w:lang w:val="pl-PL"/>
        </w:rPr>
        <w:t xml:space="preserve"> </w:t>
      </w:r>
      <w:r w:rsidRPr="009D3A9E">
        <w:rPr>
          <w:lang w:val="pl-PL"/>
        </w:rPr>
        <w:t>466 złotych (PLN</w:t>
      </w:r>
      <w:r w:rsidR="00410911" w:rsidRPr="009D3A9E">
        <w:rPr>
          <w:lang w:val="pl-PL"/>
        </w:rPr>
        <w:t>)</w:t>
      </w:r>
      <w:r w:rsidRPr="009D3A9E">
        <w:rPr>
          <w:lang w:val="pl-PL"/>
        </w:rPr>
        <w:t xml:space="preserve"> </w:t>
      </w:r>
      <w:r w:rsidR="00410911" w:rsidRPr="009D3A9E">
        <w:rPr>
          <w:lang w:val="pl-PL"/>
        </w:rPr>
        <w:t>[</w:t>
      </w:r>
      <w:r w:rsidRPr="009D3A9E">
        <w:rPr>
          <w:lang w:val="pl-PL"/>
        </w:rPr>
        <w:t>ponad 655</w:t>
      </w:r>
      <w:r w:rsidR="004E5015" w:rsidRPr="009D3A9E">
        <w:rPr>
          <w:lang w:val="pl-PL"/>
        </w:rPr>
        <w:t xml:space="preserve"> </w:t>
      </w:r>
      <w:r w:rsidRPr="009D3A9E">
        <w:rPr>
          <w:lang w:val="pl-PL"/>
        </w:rPr>
        <w:t>000</w:t>
      </w:r>
      <w:r w:rsidR="004E5015" w:rsidRPr="009D3A9E">
        <w:rPr>
          <w:lang w:val="pl-PL"/>
        </w:rPr>
        <w:t xml:space="preserve"> </w:t>
      </w:r>
      <w:r w:rsidRPr="009D3A9E">
        <w:rPr>
          <w:lang w:val="pl-PL"/>
        </w:rPr>
        <w:t>euro (EUR)</w:t>
      </w:r>
      <w:r w:rsidR="00410911" w:rsidRPr="009D3A9E">
        <w:rPr>
          <w:lang w:val="pl-PL"/>
        </w:rPr>
        <w:t>]</w:t>
      </w:r>
      <w:r w:rsidRPr="009D3A9E">
        <w:rPr>
          <w:lang w:val="pl-PL"/>
        </w:rPr>
        <w:t>.</w:t>
      </w:r>
    </w:p>
    <w:p w14:paraId="073A36E9" w14:textId="0A1B6983" w:rsidR="00AD53A3" w:rsidRPr="009D3A9E" w:rsidRDefault="00AD53A3" w:rsidP="00EA3AAB">
      <w:pPr>
        <w:pStyle w:val="JuPara"/>
        <w:rPr>
          <w:lang w:val="pl-PL"/>
        </w:rPr>
      </w:pPr>
      <w:bookmarkStart w:id="3" w:name="para4"/>
      <w:r w:rsidRPr="009D3A9E">
        <w:rPr>
          <w:noProof/>
          <w:lang w:val="pl-PL"/>
        </w:rPr>
        <w:t>7</w:t>
      </w:r>
      <w:bookmarkEnd w:id="3"/>
      <w:r w:rsidRPr="009D3A9E">
        <w:rPr>
          <w:lang w:val="pl-PL"/>
        </w:rPr>
        <w:t>.</w:t>
      </w:r>
      <w:r w:rsidR="004E5015" w:rsidRPr="009D3A9E">
        <w:rPr>
          <w:lang w:val="pl-PL"/>
        </w:rPr>
        <w:t xml:space="preserve"> </w:t>
      </w:r>
      <w:r w:rsidRPr="009D3A9E">
        <w:rPr>
          <w:lang w:val="pl-PL"/>
        </w:rPr>
        <w:t>W wydaniu biuletynu nr 1</w:t>
      </w:r>
      <w:r w:rsidR="00E06D5F" w:rsidRPr="009D3A9E">
        <w:rPr>
          <w:lang w:val="pl-PL"/>
        </w:rPr>
        <w:t>0/2014, opublikowanym w</w:t>
      </w:r>
      <w:r w:rsidR="004E5015" w:rsidRPr="009D3A9E">
        <w:rPr>
          <w:lang w:val="pl-PL"/>
        </w:rPr>
        <w:t xml:space="preserve"> </w:t>
      </w:r>
      <w:r w:rsidR="00E06D5F" w:rsidRPr="009D3A9E">
        <w:rPr>
          <w:lang w:val="pl-PL"/>
        </w:rPr>
        <w:t>dniu</w:t>
      </w:r>
      <w:r w:rsidR="004E5015" w:rsidRPr="009D3A9E">
        <w:rPr>
          <w:lang w:val="pl-PL"/>
        </w:rPr>
        <w:t xml:space="preserve"> </w:t>
      </w:r>
      <w:r w:rsidR="00E06D5F" w:rsidRPr="009D3A9E">
        <w:rPr>
          <w:lang w:val="pl-PL"/>
        </w:rPr>
        <w:t>10</w:t>
      </w:r>
      <w:r w:rsidR="005D368C">
        <w:rPr>
          <w:lang w:val="pl-PL"/>
        </w:rPr>
        <w:t> </w:t>
      </w:r>
      <w:r w:rsidRPr="009D3A9E">
        <w:rPr>
          <w:lang w:val="pl-PL"/>
        </w:rPr>
        <w:t>października 2014 r., skarżący wskazał, że zadłużenie gminy wzrosło do</w:t>
      </w:r>
      <w:r w:rsidR="005D368C">
        <w:rPr>
          <w:lang w:val="pl-PL"/>
        </w:rPr>
        <w:t> </w:t>
      </w:r>
      <w:r w:rsidRPr="009D3A9E">
        <w:rPr>
          <w:lang w:val="pl-PL"/>
        </w:rPr>
        <w:t>kwoty 10</w:t>
      </w:r>
      <w:r w:rsidR="004E5015" w:rsidRPr="009D3A9E">
        <w:rPr>
          <w:lang w:val="pl-PL"/>
        </w:rPr>
        <w:t xml:space="preserve"> </w:t>
      </w:r>
      <w:r w:rsidRPr="009D3A9E">
        <w:rPr>
          <w:lang w:val="pl-PL"/>
        </w:rPr>
        <w:t>000</w:t>
      </w:r>
      <w:r w:rsidR="004E5015" w:rsidRPr="009D3A9E">
        <w:rPr>
          <w:lang w:val="pl-PL"/>
        </w:rPr>
        <w:t xml:space="preserve"> </w:t>
      </w:r>
      <w:r w:rsidRPr="009D3A9E">
        <w:rPr>
          <w:lang w:val="pl-PL"/>
        </w:rPr>
        <w:t>000 PLN, co spowoduje wzrost podatków i opłat</w:t>
      </w:r>
      <w:r w:rsidR="004120E2" w:rsidRPr="009D3A9E">
        <w:rPr>
          <w:lang w:val="pl-PL"/>
        </w:rPr>
        <w:t>,</w:t>
      </w:r>
      <w:r w:rsidRPr="009D3A9E">
        <w:rPr>
          <w:lang w:val="pl-PL"/>
        </w:rPr>
        <w:t xml:space="preserve"> że G.G. posiadał ponad 40 hektarów gruntów rolnych oraz że w trakcie pełnienia funkcji burmistrza G.G. dorabiał na „fuchach”.</w:t>
      </w:r>
    </w:p>
    <w:p w14:paraId="5F594329" w14:textId="77777777" w:rsidR="00AD53A3" w:rsidRPr="009D3A9E" w:rsidRDefault="00AD53A3" w:rsidP="00EA3AAB">
      <w:pPr>
        <w:pStyle w:val="JuHIRoman"/>
        <w:rPr>
          <w:lang w:val="pl-PL"/>
        </w:rPr>
      </w:pPr>
      <w:r w:rsidRPr="009D3A9E">
        <w:rPr>
          <w:bCs w:val="0"/>
          <w:lang w:val="pl-PL"/>
        </w:rPr>
        <w:t>Kampania wyborcza</w:t>
      </w:r>
    </w:p>
    <w:p w14:paraId="7E7276C6" w14:textId="29B7A49A" w:rsidR="00AD53A3" w:rsidRPr="009D3A9E" w:rsidRDefault="00AD53A3" w:rsidP="00EA3AAB">
      <w:pPr>
        <w:pStyle w:val="JuPara"/>
        <w:rPr>
          <w:lang w:val="pl-PL"/>
        </w:rPr>
      </w:pPr>
      <w:r w:rsidRPr="009D3A9E">
        <w:rPr>
          <w:noProof/>
          <w:lang w:val="pl-PL"/>
        </w:rPr>
        <w:t>8</w:t>
      </w:r>
      <w:r w:rsidRPr="009D3A9E">
        <w:rPr>
          <w:lang w:val="pl-PL"/>
        </w:rPr>
        <w:t>.</w:t>
      </w:r>
      <w:r w:rsidR="004E5015" w:rsidRPr="009D3A9E">
        <w:rPr>
          <w:lang w:val="pl-PL"/>
        </w:rPr>
        <w:t xml:space="preserve"> </w:t>
      </w:r>
      <w:r w:rsidRPr="009D3A9E">
        <w:rPr>
          <w:lang w:val="pl-PL"/>
        </w:rPr>
        <w:t>W dniu 27 sierpnia 2014</w:t>
      </w:r>
      <w:r w:rsidR="004E5015" w:rsidRPr="009D3A9E">
        <w:rPr>
          <w:lang w:val="pl-PL"/>
        </w:rPr>
        <w:t xml:space="preserve"> </w:t>
      </w:r>
      <w:r w:rsidRPr="009D3A9E">
        <w:rPr>
          <w:lang w:val="pl-PL"/>
        </w:rPr>
        <w:t>r. formalnie rozpoczęła się kampania wyborcza do wyborów samorządowych.</w:t>
      </w:r>
    </w:p>
    <w:p w14:paraId="084385F1" w14:textId="6C45CE5C" w:rsidR="00AD53A3" w:rsidRPr="009D3A9E" w:rsidRDefault="00AD53A3" w:rsidP="00EA3AAB">
      <w:pPr>
        <w:pStyle w:val="JuPara"/>
        <w:rPr>
          <w:lang w:val="pl-PL"/>
        </w:rPr>
      </w:pPr>
      <w:r w:rsidRPr="009D3A9E">
        <w:rPr>
          <w:noProof/>
          <w:lang w:val="pl-PL"/>
        </w:rPr>
        <w:t>9</w:t>
      </w:r>
      <w:r w:rsidRPr="009D3A9E">
        <w:rPr>
          <w:lang w:val="pl-PL"/>
        </w:rPr>
        <w:t>.</w:t>
      </w:r>
      <w:r w:rsidR="004E5015" w:rsidRPr="009D3A9E">
        <w:rPr>
          <w:lang w:val="pl-PL"/>
        </w:rPr>
        <w:t xml:space="preserve"> </w:t>
      </w:r>
      <w:r w:rsidRPr="009D3A9E">
        <w:rPr>
          <w:lang w:val="pl-PL"/>
        </w:rPr>
        <w:t>W dniu 22 września 2014</w:t>
      </w:r>
      <w:r w:rsidR="004E5015" w:rsidRPr="009D3A9E">
        <w:rPr>
          <w:lang w:val="pl-PL"/>
        </w:rPr>
        <w:t xml:space="preserve"> </w:t>
      </w:r>
      <w:r w:rsidRPr="009D3A9E">
        <w:rPr>
          <w:lang w:val="pl-PL"/>
        </w:rPr>
        <w:t>r. Komisarz Wyborczy w Płocku powołał terytorialne komisje wyborcze. Skarżący został członkiem Gminnej Komisji Wyborczej w Bulkowie.</w:t>
      </w:r>
    </w:p>
    <w:p w14:paraId="21761358" w14:textId="188B0114" w:rsidR="00AD53A3" w:rsidRPr="009D3A9E" w:rsidRDefault="00AD53A3" w:rsidP="00EA3AAB">
      <w:pPr>
        <w:pStyle w:val="JuPara"/>
        <w:rPr>
          <w:lang w:val="pl-PL"/>
        </w:rPr>
      </w:pPr>
      <w:r w:rsidRPr="009D3A9E">
        <w:rPr>
          <w:noProof/>
          <w:lang w:val="pl-PL"/>
        </w:rPr>
        <w:t>10</w:t>
      </w:r>
      <w:r w:rsidRPr="009D3A9E">
        <w:rPr>
          <w:lang w:val="pl-PL"/>
        </w:rPr>
        <w:t>.</w:t>
      </w:r>
      <w:r w:rsidR="004E5015" w:rsidRPr="009D3A9E">
        <w:rPr>
          <w:lang w:val="pl-PL"/>
        </w:rPr>
        <w:t xml:space="preserve"> </w:t>
      </w:r>
      <w:r w:rsidRPr="009D3A9E">
        <w:rPr>
          <w:lang w:val="pl-PL"/>
        </w:rPr>
        <w:t>W dniu 7 października 2014</w:t>
      </w:r>
      <w:r w:rsidR="004E5015" w:rsidRPr="009D3A9E">
        <w:rPr>
          <w:lang w:val="pl-PL"/>
        </w:rPr>
        <w:t xml:space="preserve"> </w:t>
      </w:r>
      <w:r w:rsidRPr="009D3A9E">
        <w:rPr>
          <w:lang w:val="pl-PL"/>
        </w:rPr>
        <w:t>r. Komisja Wyborcza zarejestrowała S.S. jako kandydata na wójta gminy.</w:t>
      </w:r>
    </w:p>
    <w:p w14:paraId="49D0D190" w14:textId="5024D5BC" w:rsidR="00AD53A3" w:rsidRPr="009D3A9E" w:rsidRDefault="00AD53A3" w:rsidP="00EA3AAB">
      <w:pPr>
        <w:pStyle w:val="JuPara"/>
        <w:rPr>
          <w:lang w:val="pl-PL"/>
        </w:rPr>
      </w:pPr>
      <w:r w:rsidRPr="009D3A9E">
        <w:rPr>
          <w:noProof/>
          <w:lang w:val="pl-PL"/>
        </w:rPr>
        <w:t>11</w:t>
      </w:r>
      <w:r w:rsidRPr="009D3A9E">
        <w:rPr>
          <w:lang w:val="pl-PL"/>
        </w:rPr>
        <w:t>.</w:t>
      </w:r>
      <w:r w:rsidR="004E5015" w:rsidRPr="009D3A9E">
        <w:rPr>
          <w:lang w:val="pl-PL"/>
        </w:rPr>
        <w:t xml:space="preserve"> </w:t>
      </w:r>
      <w:r w:rsidRPr="009D3A9E">
        <w:rPr>
          <w:lang w:val="pl-PL"/>
        </w:rPr>
        <w:t>W tym samym dniu Komisja Wyborcza zarejestrowała G.G. jako kandydata na wójta gminy.</w:t>
      </w:r>
    </w:p>
    <w:p w14:paraId="6B045CCC" w14:textId="77777777" w:rsidR="00AD53A3" w:rsidRPr="009D3A9E" w:rsidRDefault="00AD53A3" w:rsidP="00EA3AAB">
      <w:pPr>
        <w:pStyle w:val="JuHIRoman"/>
        <w:rPr>
          <w:lang w:val="pl-PL"/>
        </w:rPr>
      </w:pPr>
      <w:r w:rsidRPr="009D3A9E">
        <w:rPr>
          <w:bCs w:val="0"/>
          <w:lang w:val="pl-PL"/>
        </w:rPr>
        <w:t>Postępowanie przeciwko skarżącemu</w:t>
      </w:r>
    </w:p>
    <w:p w14:paraId="2168F5FF" w14:textId="71E826EB" w:rsidR="00AD53A3" w:rsidRPr="009D3A9E" w:rsidRDefault="00AD53A3" w:rsidP="00EA3AAB">
      <w:pPr>
        <w:pStyle w:val="JuPara"/>
        <w:rPr>
          <w:lang w:val="pl-PL"/>
        </w:rPr>
      </w:pPr>
      <w:r w:rsidRPr="009D3A9E">
        <w:rPr>
          <w:noProof/>
          <w:lang w:val="pl-PL"/>
        </w:rPr>
        <w:t>12</w:t>
      </w:r>
      <w:r w:rsidRPr="009D3A9E">
        <w:rPr>
          <w:lang w:val="pl-PL"/>
        </w:rPr>
        <w:t>.</w:t>
      </w:r>
      <w:r w:rsidR="004E5015" w:rsidRPr="009D3A9E">
        <w:rPr>
          <w:lang w:val="pl-PL"/>
        </w:rPr>
        <w:t xml:space="preserve"> </w:t>
      </w:r>
      <w:r w:rsidRPr="009D3A9E">
        <w:rPr>
          <w:lang w:val="pl-PL"/>
        </w:rPr>
        <w:t>W dniu 21 października 2014</w:t>
      </w:r>
      <w:r w:rsidR="004E5015" w:rsidRPr="009D3A9E">
        <w:rPr>
          <w:lang w:val="pl-PL"/>
        </w:rPr>
        <w:t xml:space="preserve"> </w:t>
      </w:r>
      <w:r w:rsidRPr="009D3A9E">
        <w:rPr>
          <w:lang w:val="pl-PL"/>
        </w:rPr>
        <w:t>r. G.G., reprezentowany przez adwokata, wniósł przeciwko skarżącemu pozew na podstawie art.</w:t>
      </w:r>
      <w:r w:rsidR="004E5015" w:rsidRPr="009D3A9E">
        <w:rPr>
          <w:lang w:val="pl-PL"/>
        </w:rPr>
        <w:t xml:space="preserve"> </w:t>
      </w:r>
      <w:r w:rsidRPr="009D3A9E">
        <w:rPr>
          <w:lang w:val="pl-PL"/>
        </w:rPr>
        <w:t>111 §</w:t>
      </w:r>
      <w:r w:rsidR="004E5015" w:rsidRPr="009D3A9E">
        <w:rPr>
          <w:lang w:val="pl-PL"/>
        </w:rPr>
        <w:t xml:space="preserve"> </w:t>
      </w:r>
      <w:r w:rsidRPr="009D3A9E">
        <w:rPr>
          <w:lang w:val="pl-PL"/>
        </w:rPr>
        <w:t>1 Kodeksu wyborczego.</w:t>
      </w:r>
    </w:p>
    <w:p w14:paraId="52B20317" w14:textId="746387D3" w:rsidR="00AD53A3" w:rsidRPr="009D3A9E" w:rsidRDefault="00AD53A3" w:rsidP="00EA3AAB">
      <w:pPr>
        <w:pStyle w:val="JuPara"/>
        <w:rPr>
          <w:lang w:val="pl-PL"/>
        </w:rPr>
      </w:pPr>
      <w:bookmarkStart w:id="4" w:name="theClerkInformsApp"/>
      <w:r w:rsidRPr="009D3A9E">
        <w:rPr>
          <w:noProof/>
          <w:lang w:val="pl-PL"/>
        </w:rPr>
        <w:lastRenderedPageBreak/>
        <w:t>13</w:t>
      </w:r>
      <w:bookmarkEnd w:id="4"/>
      <w:r w:rsidRPr="009D3A9E">
        <w:rPr>
          <w:lang w:val="pl-PL"/>
        </w:rPr>
        <w:t>.</w:t>
      </w:r>
      <w:r w:rsidR="004E5015" w:rsidRPr="009D3A9E">
        <w:rPr>
          <w:lang w:val="pl-PL"/>
        </w:rPr>
        <w:t xml:space="preserve"> </w:t>
      </w:r>
      <w:r w:rsidRPr="009D3A9E">
        <w:rPr>
          <w:lang w:val="pl-PL"/>
        </w:rPr>
        <w:t>W dniu 21 października 2014</w:t>
      </w:r>
      <w:r w:rsidR="004E5015" w:rsidRPr="009D3A9E">
        <w:rPr>
          <w:lang w:val="pl-PL"/>
        </w:rPr>
        <w:t xml:space="preserve"> </w:t>
      </w:r>
      <w:r w:rsidRPr="009D3A9E">
        <w:rPr>
          <w:lang w:val="pl-PL"/>
        </w:rPr>
        <w:t xml:space="preserve">r. o godz. 10.45 skarżący został poinformowany przez urzędnika Sądu Okręgowego w Płocku o złożeniu pozwu oraz o wyznaczeniu rozprawy na następny dzień na godz. 9.00. Pozew, wraz z różnymi załącznikami, został wysłany na adres e-mail skarżącego o godz. 12.09. Skarżący twierdzi, że otworzył e-mail kilka godzin później, </w:t>
      </w:r>
      <w:r w:rsidR="00C16661">
        <w:rPr>
          <w:lang w:val="pl-PL"/>
        </w:rPr>
        <w:t>a w tym czasie</w:t>
      </w:r>
      <w:r w:rsidRPr="009D3A9E">
        <w:rPr>
          <w:lang w:val="pl-PL"/>
        </w:rPr>
        <w:t xml:space="preserve"> było już za późno na wyznaczenie adwokata.</w:t>
      </w:r>
    </w:p>
    <w:p w14:paraId="122D5FD3" w14:textId="0CA4A4F3" w:rsidR="00AD53A3" w:rsidRPr="009D3A9E" w:rsidRDefault="00AD53A3" w:rsidP="00EA3AAB">
      <w:pPr>
        <w:pStyle w:val="JuPara"/>
        <w:rPr>
          <w:lang w:val="pl-PL"/>
        </w:rPr>
      </w:pPr>
      <w:r w:rsidRPr="009D3A9E">
        <w:rPr>
          <w:noProof/>
          <w:lang w:val="pl-PL"/>
        </w:rPr>
        <w:t>14</w:t>
      </w:r>
      <w:r w:rsidRPr="009D3A9E">
        <w:rPr>
          <w:lang w:val="pl-PL"/>
        </w:rPr>
        <w:t>.</w:t>
      </w:r>
      <w:r w:rsidR="004E5015" w:rsidRPr="009D3A9E">
        <w:rPr>
          <w:lang w:val="pl-PL"/>
        </w:rPr>
        <w:t xml:space="preserve"> </w:t>
      </w:r>
      <w:r w:rsidRPr="009D3A9E">
        <w:rPr>
          <w:lang w:val="pl-PL"/>
        </w:rPr>
        <w:t>W pozwie G.G. wniósł o zakazanie skarżącemu i Ogólnopolskiemu Związkowi Zawodowemu „Kontakt”, wydawcy biuletynu (dalej „związek zawodowy”)</w:t>
      </w:r>
      <w:r w:rsidR="003C65C5" w:rsidRPr="009D3A9E">
        <w:rPr>
          <w:lang w:val="pl-PL"/>
        </w:rPr>
        <w:t>,</w:t>
      </w:r>
      <w:r w:rsidRPr="009D3A9E">
        <w:rPr>
          <w:lang w:val="pl-PL"/>
        </w:rPr>
        <w:t xml:space="preserve"> rozpowszechniania nieprawdziwych informacji na jego temat. G.G. zażądał konfiskaty biulety</w:t>
      </w:r>
      <w:r w:rsidR="00E06D5F" w:rsidRPr="009D3A9E">
        <w:rPr>
          <w:lang w:val="pl-PL"/>
        </w:rPr>
        <w:t>nów oraz nakazania skarżącemu i</w:t>
      </w:r>
      <w:r w:rsidR="004E5015" w:rsidRPr="009D3A9E">
        <w:rPr>
          <w:lang w:val="pl-PL"/>
        </w:rPr>
        <w:t xml:space="preserve"> </w:t>
      </w:r>
      <w:r w:rsidRPr="009D3A9E">
        <w:rPr>
          <w:lang w:val="pl-PL"/>
        </w:rPr>
        <w:t>związkowi zawodowemu opublikowania w regionalnym tygodniku notatki wyjaśniającej, że przedmiotowe st</w:t>
      </w:r>
      <w:r w:rsidR="00E06D5F" w:rsidRPr="009D3A9E">
        <w:rPr>
          <w:lang w:val="pl-PL"/>
        </w:rPr>
        <w:t>wierdzenia były nieprawdziwe, i</w:t>
      </w:r>
      <w:r w:rsidR="005D368C">
        <w:rPr>
          <w:lang w:val="pl-PL"/>
        </w:rPr>
        <w:t> </w:t>
      </w:r>
      <w:r w:rsidRPr="009D3A9E">
        <w:rPr>
          <w:lang w:val="pl-PL"/>
        </w:rPr>
        <w:t>zawierającej przeprosiny za ich opublikowanie. Zażądał również spisanego własnoręcznie i podpisanego oświadczen</w:t>
      </w:r>
      <w:r w:rsidR="00E06D5F" w:rsidRPr="009D3A9E">
        <w:rPr>
          <w:lang w:val="pl-PL"/>
        </w:rPr>
        <w:t>ia oraz aby skarżący i</w:t>
      </w:r>
      <w:r w:rsidR="004E5015" w:rsidRPr="009D3A9E">
        <w:rPr>
          <w:lang w:val="pl-PL"/>
        </w:rPr>
        <w:t xml:space="preserve"> </w:t>
      </w:r>
      <w:r w:rsidRPr="009D3A9E">
        <w:rPr>
          <w:lang w:val="pl-PL"/>
        </w:rPr>
        <w:t>związek zawodowy wpłacili 10</w:t>
      </w:r>
      <w:r w:rsidR="004E5015" w:rsidRPr="009D3A9E">
        <w:rPr>
          <w:lang w:val="pl-PL"/>
        </w:rPr>
        <w:t xml:space="preserve"> </w:t>
      </w:r>
      <w:r w:rsidRPr="009D3A9E">
        <w:rPr>
          <w:lang w:val="pl-PL"/>
        </w:rPr>
        <w:t xml:space="preserve">000 PLN (około 2500 EUR) na </w:t>
      </w:r>
      <w:r w:rsidR="00B8438E" w:rsidRPr="009D3A9E">
        <w:rPr>
          <w:lang w:val="pl-PL"/>
        </w:rPr>
        <w:t xml:space="preserve">rzecz organizacji pożytku publicznego </w:t>
      </w:r>
      <w:r w:rsidRPr="009D3A9E">
        <w:rPr>
          <w:lang w:val="pl-PL"/>
        </w:rPr>
        <w:t>i</w:t>
      </w:r>
      <w:r w:rsidR="004E5015" w:rsidRPr="009D3A9E">
        <w:rPr>
          <w:lang w:val="pl-PL"/>
        </w:rPr>
        <w:t xml:space="preserve"> </w:t>
      </w:r>
      <w:r w:rsidRPr="009D3A9E">
        <w:rPr>
          <w:lang w:val="pl-PL"/>
        </w:rPr>
        <w:t>pokryli koszty postępowania.</w:t>
      </w:r>
    </w:p>
    <w:p w14:paraId="71C1ECA7" w14:textId="1BDFE452" w:rsidR="00AD53A3" w:rsidRPr="009D3A9E" w:rsidRDefault="00AD53A3" w:rsidP="00EA3AAB">
      <w:pPr>
        <w:pStyle w:val="JuPara"/>
        <w:rPr>
          <w:lang w:val="pl-PL"/>
        </w:rPr>
      </w:pPr>
      <w:r w:rsidRPr="009D3A9E">
        <w:rPr>
          <w:noProof/>
          <w:lang w:val="pl-PL"/>
        </w:rPr>
        <w:t>15</w:t>
      </w:r>
      <w:r w:rsidRPr="009D3A9E">
        <w:rPr>
          <w:lang w:val="pl-PL"/>
        </w:rPr>
        <w:t>.</w:t>
      </w:r>
      <w:r w:rsidR="004E5015" w:rsidRPr="009D3A9E">
        <w:rPr>
          <w:lang w:val="pl-PL"/>
        </w:rPr>
        <w:t xml:space="preserve"> </w:t>
      </w:r>
      <w:r w:rsidRPr="009D3A9E">
        <w:rPr>
          <w:lang w:val="pl-PL"/>
        </w:rPr>
        <w:t xml:space="preserve">G.G. przedstawił dowody wskazujące na to, że wszystkie </w:t>
      </w:r>
      <w:r w:rsidR="00C16661">
        <w:rPr>
          <w:lang w:val="pl-PL"/>
        </w:rPr>
        <w:t>wypowiedzi</w:t>
      </w:r>
      <w:r w:rsidRPr="009D3A9E">
        <w:rPr>
          <w:lang w:val="pl-PL"/>
        </w:rPr>
        <w:t xml:space="preserve"> skarżącego na jego temat były nieprawdziwe. Dożynki w Blichowie były tradycją od wielu lat i odbywały się w tej samej miejscowości niezależnie od</w:t>
      </w:r>
      <w:r w:rsidR="005D368C">
        <w:rPr>
          <w:lang w:val="pl-PL"/>
        </w:rPr>
        <w:t> </w:t>
      </w:r>
      <w:r w:rsidRPr="009D3A9E">
        <w:rPr>
          <w:lang w:val="pl-PL"/>
        </w:rPr>
        <w:t>wyborów samorządowych. Sugestia, że za budowę farmy wiatrowej odpowiedzialny był wyłącznie G.G.</w:t>
      </w:r>
      <w:r w:rsidR="0030507A" w:rsidRPr="009D3A9E">
        <w:rPr>
          <w:lang w:val="pl-PL"/>
        </w:rPr>
        <w:t>,</w:t>
      </w:r>
      <w:r w:rsidRPr="009D3A9E">
        <w:rPr>
          <w:lang w:val="pl-PL"/>
        </w:rPr>
        <w:t xml:space="preserve"> była nieprawdziwa, ponieważ inwestycja została zatwierdzona przed jego kadencją przez poprzedniego wójta. Nie było prawdą, że G.G. brał udział </w:t>
      </w:r>
      <w:r w:rsidR="0030507A" w:rsidRPr="009D3A9E">
        <w:rPr>
          <w:lang w:val="pl-PL"/>
        </w:rPr>
        <w:t xml:space="preserve">jako wójt </w:t>
      </w:r>
      <w:r w:rsidRPr="009D3A9E">
        <w:rPr>
          <w:lang w:val="pl-PL"/>
        </w:rPr>
        <w:t xml:space="preserve">w ustalaniu wynagrodzenia radnych i sołtysów ani że był za to odpowiedzialny. Prawo krajowe wyraźnie </w:t>
      </w:r>
      <w:r w:rsidR="0030507A" w:rsidRPr="009D3A9E">
        <w:rPr>
          <w:lang w:val="pl-PL"/>
        </w:rPr>
        <w:t xml:space="preserve">nadaje </w:t>
      </w:r>
      <w:r w:rsidRPr="009D3A9E">
        <w:rPr>
          <w:lang w:val="pl-PL"/>
        </w:rPr>
        <w:t>odpowiedzialność w</w:t>
      </w:r>
      <w:r w:rsidR="004E5015" w:rsidRPr="009D3A9E">
        <w:rPr>
          <w:lang w:val="pl-PL"/>
        </w:rPr>
        <w:t xml:space="preserve"> </w:t>
      </w:r>
      <w:r w:rsidRPr="009D3A9E">
        <w:rPr>
          <w:lang w:val="pl-PL"/>
        </w:rPr>
        <w:t>tym zakresie radzie gminy. Skarżący błędnie podał kwotę długu zaciągniętego w</w:t>
      </w:r>
      <w:r w:rsidR="004E5015" w:rsidRPr="009D3A9E">
        <w:rPr>
          <w:lang w:val="pl-PL"/>
        </w:rPr>
        <w:t xml:space="preserve"> </w:t>
      </w:r>
      <w:r w:rsidRPr="009D3A9E">
        <w:rPr>
          <w:lang w:val="pl-PL"/>
        </w:rPr>
        <w:t>imieniu gminy (prawidłow</w:t>
      </w:r>
      <w:r w:rsidR="00E06D5F" w:rsidRPr="009D3A9E">
        <w:rPr>
          <w:lang w:val="pl-PL"/>
        </w:rPr>
        <w:t>a kwota to ok. 7</w:t>
      </w:r>
      <w:r w:rsidR="004E5015" w:rsidRPr="009D3A9E">
        <w:rPr>
          <w:lang w:val="pl-PL"/>
        </w:rPr>
        <w:t xml:space="preserve"> </w:t>
      </w:r>
      <w:r w:rsidR="00E06D5F" w:rsidRPr="009D3A9E">
        <w:rPr>
          <w:lang w:val="pl-PL"/>
        </w:rPr>
        <w:t>800</w:t>
      </w:r>
      <w:r w:rsidR="004E5015" w:rsidRPr="009D3A9E">
        <w:rPr>
          <w:lang w:val="pl-PL"/>
        </w:rPr>
        <w:t xml:space="preserve"> </w:t>
      </w:r>
      <w:r w:rsidR="00E06D5F" w:rsidRPr="009D3A9E">
        <w:rPr>
          <w:lang w:val="pl-PL"/>
        </w:rPr>
        <w:t>000 PLN, a</w:t>
      </w:r>
      <w:r w:rsidR="004E5015" w:rsidRPr="009D3A9E">
        <w:rPr>
          <w:lang w:val="pl-PL"/>
        </w:rPr>
        <w:t xml:space="preserve"> </w:t>
      </w:r>
      <w:r w:rsidRPr="009D3A9E">
        <w:rPr>
          <w:lang w:val="pl-PL"/>
        </w:rPr>
        <w:t>nie 10</w:t>
      </w:r>
      <w:r w:rsidR="004E5015" w:rsidRPr="009D3A9E">
        <w:rPr>
          <w:lang w:val="pl-PL"/>
        </w:rPr>
        <w:t xml:space="preserve"> </w:t>
      </w:r>
      <w:r w:rsidRPr="009D3A9E">
        <w:rPr>
          <w:lang w:val="pl-PL"/>
        </w:rPr>
        <w:t>000</w:t>
      </w:r>
      <w:r w:rsidR="004E5015" w:rsidRPr="009D3A9E">
        <w:rPr>
          <w:lang w:val="pl-PL"/>
        </w:rPr>
        <w:t xml:space="preserve"> </w:t>
      </w:r>
      <w:r w:rsidRPr="009D3A9E">
        <w:rPr>
          <w:lang w:val="pl-PL"/>
        </w:rPr>
        <w:t>000 PLN)</w:t>
      </w:r>
      <w:r w:rsidR="0030507A" w:rsidRPr="009D3A9E">
        <w:rPr>
          <w:lang w:val="pl-PL"/>
        </w:rPr>
        <w:t>,</w:t>
      </w:r>
      <w:r w:rsidRPr="009D3A9E">
        <w:rPr>
          <w:lang w:val="pl-PL"/>
        </w:rPr>
        <w:t xml:space="preserve"> błędnie też stwierdził, że planowana jest podwyżka podatków o 80%, podczas gdy nic takiego nie rozważano. Długi miały być spłacane z dochodów własnych gminy pochodzących z poprawy ściągalności podatków, a nie z podwyżki podatków. Twierdzenie, jakoby G.G. posiadał 40 hektarów ziemi</w:t>
      </w:r>
      <w:r w:rsidR="00C16661">
        <w:rPr>
          <w:lang w:val="pl-PL"/>
        </w:rPr>
        <w:t>,</w:t>
      </w:r>
      <w:r w:rsidRPr="009D3A9E">
        <w:rPr>
          <w:lang w:val="pl-PL"/>
        </w:rPr>
        <w:t xml:space="preserve"> nie było prawdziwe, gdyż w</w:t>
      </w:r>
      <w:r w:rsidR="004E5015" w:rsidRPr="009D3A9E">
        <w:rPr>
          <w:lang w:val="pl-PL"/>
        </w:rPr>
        <w:t xml:space="preserve"> </w:t>
      </w:r>
      <w:r w:rsidRPr="009D3A9E">
        <w:rPr>
          <w:lang w:val="pl-PL"/>
        </w:rPr>
        <w:t>rzeczywistości posiadał 19 hektarów. Ponadto wbrew twierdzeniom skarżącego G.G. nie prowadził żadnej dodatkowej działalności zarobkowej. Wreszcie działająca od 2001</w:t>
      </w:r>
      <w:r w:rsidR="004E5015" w:rsidRPr="009D3A9E">
        <w:rPr>
          <w:lang w:val="pl-PL"/>
        </w:rPr>
        <w:t xml:space="preserve"> </w:t>
      </w:r>
      <w:r w:rsidRPr="009D3A9E">
        <w:rPr>
          <w:lang w:val="pl-PL"/>
        </w:rPr>
        <w:t>r. organizacja pożytku publicznego, w której żona G.G. pełniła różne funkcje, nie miała żadnych związków z kampanią.</w:t>
      </w:r>
    </w:p>
    <w:p w14:paraId="37A0BC0D" w14:textId="77777777" w:rsidR="00AD53A3" w:rsidRPr="009D3A9E" w:rsidRDefault="00AD53A3" w:rsidP="00EA3AAB">
      <w:pPr>
        <w:pStyle w:val="JuPara"/>
        <w:rPr>
          <w:lang w:val="pl-PL"/>
        </w:rPr>
      </w:pPr>
      <w:r w:rsidRPr="009D3A9E">
        <w:rPr>
          <w:lang w:val="pl-PL"/>
        </w:rPr>
        <w:t>G.G. skarżył się na sensacyjny charakter biuletynów i na to, że szkodziły one jego dobremu imieniu, co miało szczególne znaczenie w czasie kampanii wyborczej.</w:t>
      </w:r>
    </w:p>
    <w:p w14:paraId="2C5B2274" w14:textId="6804E35E" w:rsidR="00AD53A3" w:rsidRPr="009D3A9E" w:rsidRDefault="00AD53A3" w:rsidP="00EA3AAB">
      <w:pPr>
        <w:pStyle w:val="JuPara"/>
        <w:rPr>
          <w:lang w:val="pl-PL"/>
        </w:rPr>
      </w:pPr>
      <w:bookmarkStart w:id="5" w:name="hearingANDminutes"/>
      <w:r w:rsidRPr="009D3A9E">
        <w:rPr>
          <w:noProof/>
          <w:lang w:val="pl-PL"/>
        </w:rPr>
        <w:t>16</w:t>
      </w:r>
      <w:bookmarkEnd w:id="5"/>
      <w:r w:rsidRPr="009D3A9E">
        <w:rPr>
          <w:lang w:val="pl-PL"/>
        </w:rPr>
        <w:t>.</w:t>
      </w:r>
      <w:r w:rsidR="004E5015" w:rsidRPr="009D3A9E">
        <w:rPr>
          <w:lang w:val="pl-PL"/>
        </w:rPr>
        <w:t xml:space="preserve"> </w:t>
      </w:r>
      <w:r w:rsidRPr="009D3A9E">
        <w:rPr>
          <w:lang w:val="pl-PL"/>
        </w:rPr>
        <w:t>Podczas rozprawy skarżący podnosił, że biuletyny nie mogą być uznane za materiały kampanii wyborczej i że G.G. nie powinien mieć możliwości skorzystania z procedury przewidzianej w art.</w:t>
      </w:r>
      <w:r w:rsidR="004E5015" w:rsidRPr="009D3A9E">
        <w:rPr>
          <w:lang w:val="pl-PL"/>
        </w:rPr>
        <w:t xml:space="preserve"> </w:t>
      </w:r>
      <w:r w:rsidRPr="009D3A9E">
        <w:rPr>
          <w:lang w:val="pl-PL"/>
        </w:rPr>
        <w:t>111 Kodeksu wyborczego. Skarżący stwierdził, że był krytyczny wobec G.G. we</w:t>
      </w:r>
      <w:r w:rsidR="005D368C">
        <w:rPr>
          <w:lang w:val="pl-PL"/>
        </w:rPr>
        <w:t> </w:t>
      </w:r>
      <w:r w:rsidRPr="009D3A9E">
        <w:rPr>
          <w:lang w:val="pl-PL"/>
        </w:rPr>
        <w:t xml:space="preserve">wcześniejszych wydaniach swojego biuletynu, ale sąd uznał, </w:t>
      </w:r>
      <w:r w:rsidRPr="009D3A9E">
        <w:rPr>
          <w:lang w:val="pl-PL"/>
        </w:rPr>
        <w:lastRenderedPageBreak/>
        <w:t>że</w:t>
      </w:r>
      <w:r w:rsidR="005D368C">
        <w:rPr>
          <w:lang w:val="pl-PL"/>
        </w:rPr>
        <w:t> </w:t>
      </w:r>
      <w:r w:rsidRPr="009D3A9E">
        <w:rPr>
          <w:lang w:val="pl-PL"/>
        </w:rPr>
        <w:t>poprzednie wydania nie były istotne. Zgodnie z oficjalnym protokołem z</w:t>
      </w:r>
      <w:r w:rsidR="005D368C">
        <w:rPr>
          <w:lang w:val="pl-PL"/>
        </w:rPr>
        <w:t> </w:t>
      </w:r>
      <w:r w:rsidRPr="009D3A9E">
        <w:rPr>
          <w:lang w:val="pl-PL"/>
        </w:rPr>
        <w:t>przesłuchania, skarżący stwierdził, że biuletyny zostały „oparte na</w:t>
      </w:r>
      <w:r w:rsidR="005D368C">
        <w:rPr>
          <w:lang w:val="pl-PL"/>
        </w:rPr>
        <w:t> </w:t>
      </w:r>
      <w:r w:rsidRPr="009D3A9E">
        <w:rPr>
          <w:lang w:val="pl-PL"/>
        </w:rPr>
        <w:t xml:space="preserve">dostępnych dokumentach </w:t>
      </w:r>
      <w:r w:rsidR="00ED42AF" w:rsidRPr="009D3A9E">
        <w:rPr>
          <w:lang w:val="pl-PL"/>
        </w:rPr>
        <w:t>i jego własnych wnioskach</w:t>
      </w:r>
      <w:r w:rsidRPr="009D3A9E">
        <w:rPr>
          <w:lang w:val="pl-PL"/>
        </w:rPr>
        <w:t>”.</w:t>
      </w:r>
    </w:p>
    <w:p w14:paraId="3F458CEA" w14:textId="5B709C7D" w:rsidR="00AD53A3" w:rsidRPr="009D3A9E" w:rsidRDefault="00AD53A3" w:rsidP="00EA3AAB">
      <w:pPr>
        <w:pStyle w:val="JuPara"/>
        <w:rPr>
          <w:lang w:val="pl-PL"/>
        </w:rPr>
      </w:pPr>
      <w:bookmarkStart w:id="6" w:name="firstInstanceOperative"/>
      <w:r w:rsidRPr="009D3A9E">
        <w:rPr>
          <w:noProof/>
          <w:lang w:val="pl-PL"/>
        </w:rPr>
        <w:t>17</w:t>
      </w:r>
      <w:bookmarkEnd w:id="6"/>
      <w:r w:rsidRPr="009D3A9E">
        <w:rPr>
          <w:lang w:val="pl-PL"/>
        </w:rPr>
        <w:t>.</w:t>
      </w:r>
      <w:r w:rsidR="004E5015" w:rsidRPr="009D3A9E">
        <w:rPr>
          <w:lang w:val="pl-PL"/>
        </w:rPr>
        <w:t xml:space="preserve"> </w:t>
      </w:r>
      <w:r w:rsidRPr="009D3A9E">
        <w:rPr>
          <w:lang w:val="pl-PL"/>
        </w:rPr>
        <w:t>W dniu 22 października 2014</w:t>
      </w:r>
      <w:r w:rsidR="004E5015" w:rsidRPr="009D3A9E">
        <w:rPr>
          <w:lang w:val="pl-PL"/>
        </w:rPr>
        <w:t xml:space="preserve"> </w:t>
      </w:r>
      <w:r w:rsidRPr="009D3A9E">
        <w:rPr>
          <w:lang w:val="pl-PL"/>
        </w:rPr>
        <w:t xml:space="preserve">r. Sąd Okręgowy w Płocku wydał wyrok, w którym uwzględnił powództwo w </w:t>
      </w:r>
      <w:r w:rsidR="008D1CB5" w:rsidRPr="009D3A9E">
        <w:rPr>
          <w:lang w:val="pl-PL"/>
        </w:rPr>
        <w:t xml:space="preserve">niemal </w:t>
      </w:r>
      <w:r w:rsidRPr="009D3A9E">
        <w:rPr>
          <w:lang w:val="pl-PL"/>
        </w:rPr>
        <w:t>wszystkich punktach. Sąd nakazał, aby:</w:t>
      </w:r>
    </w:p>
    <w:p w14:paraId="6A3BBF80" w14:textId="77777777" w:rsidR="00AD53A3" w:rsidRPr="009D3A9E" w:rsidRDefault="00AD53A3" w:rsidP="00EA3AAB">
      <w:pPr>
        <w:pStyle w:val="JuPara"/>
        <w:rPr>
          <w:lang w:val="pl-PL"/>
        </w:rPr>
      </w:pPr>
      <w:r w:rsidRPr="009D3A9E">
        <w:rPr>
          <w:lang w:val="pl-PL"/>
        </w:rPr>
        <w:t>a) zgodnie z żądaniem G.G. skarżący i związek zawodowy powstrzymali się od rozpowszechniania informacji;</w:t>
      </w:r>
    </w:p>
    <w:p w14:paraId="112E912E" w14:textId="77777777" w:rsidR="00AD53A3" w:rsidRPr="009D3A9E" w:rsidRDefault="00AD53A3" w:rsidP="00EA3AAB">
      <w:pPr>
        <w:pStyle w:val="JuPara"/>
        <w:rPr>
          <w:lang w:val="pl-PL"/>
        </w:rPr>
      </w:pPr>
      <w:r w:rsidRPr="009D3A9E">
        <w:rPr>
          <w:lang w:val="pl-PL"/>
        </w:rPr>
        <w:t>b) wydania 9/2014 i 10/2014 biuletynu informacyjnego zostały zatrzymane;</w:t>
      </w:r>
    </w:p>
    <w:p w14:paraId="428458F8" w14:textId="77777777" w:rsidR="00AD53A3" w:rsidRPr="009D3A9E" w:rsidRDefault="00AD53A3" w:rsidP="00EA3AAB">
      <w:pPr>
        <w:pStyle w:val="JuPara"/>
        <w:rPr>
          <w:lang w:val="pl-PL"/>
        </w:rPr>
      </w:pPr>
      <w:r w:rsidRPr="009D3A9E">
        <w:rPr>
          <w:lang w:val="pl-PL"/>
        </w:rPr>
        <w:t xml:space="preserve">c) skarżący i związek zawodowy opublikowali w regionalnym czasopiśmie </w:t>
      </w:r>
      <w:r w:rsidRPr="009D3A9E">
        <w:rPr>
          <w:i/>
          <w:lang w:val="pl-PL"/>
        </w:rPr>
        <w:t>Tygodnik Płocki</w:t>
      </w:r>
      <w:r w:rsidRPr="009D3A9E">
        <w:rPr>
          <w:lang w:val="pl-PL"/>
        </w:rPr>
        <w:t xml:space="preserve"> ogłoszenie wyjaśniające, że kwestionowane stwierdzenia były nieprawdziwe, wraz z przeprosinami;</w:t>
      </w:r>
    </w:p>
    <w:p w14:paraId="6A55F1F7" w14:textId="77777777" w:rsidR="00AD53A3" w:rsidRPr="009D3A9E" w:rsidRDefault="00AD53A3" w:rsidP="00EA3AAB">
      <w:pPr>
        <w:pStyle w:val="JuPara"/>
        <w:rPr>
          <w:lang w:val="pl-PL"/>
        </w:rPr>
      </w:pPr>
      <w:r w:rsidRPr="009D3A9E">
        <w:rPr>
          <w:lang w:val="pl-PL"/>
        </w:rPr>
        <w:t>d) skarżący sporządził odręczne pismo z przeprosinami za nieprawdziwe oświadczenia;</w:t>
      </w:r>
    </w:p>
    <w:p w14:paraId="7E3082B1" w14:textId="05AB31FD" w:rsidR="00AD53A3" w:rsidRPr="009D3A9E" w:rsidRDefault="00AD53A3" w:rsidP="00EA3AAB">
      <w:pPr>
        <w:pStyle w:val="JuPara"/>
        <w:rPr>
          <w:lang w:val="pl-PL"/>
        </w:rPr>
      </w:pPr>
      <w:r w:rsidRPr="009D3A9E">
        <w:rPr>
          <w:lang w:val="pl-PL"/>
        </w:rPr>
        <w:t>e) skarżący i związek zawodowy wspóln</w:t>
      </w:r>
      <w:r w:rsidR="00E06D5F" w:rsidRPr="009D3A9E">
        <w:rPr>
          <w:lang w:val="pl-PL"/>
        </w:rPr>
        <w:t>ie wpłacili 10</w:t>
      </w:r>
      <w:r w:rsidR="004E5015" w:rsidRPr="009D3A9E">
        <w:rPr>
          <w:lang w:val="pl-PL"/>
        </w:rPr>
        <w:t xml:space="preserve"> </w:t>
      </w:r>
      <w:r w:rsidR="00E06D5F" w:rsidRPr="009D3A9E">
        <w:rPr>
          <w:lang w:val="pl-PL"/>
        </w:rPr>
        <w:t>000 PLN (około 2</w:t>
      </w:r>
      <w:r w:rsidRPr="009D3A9E">
        <w:rPr>
          <w:lang w:val="pl-PL"/>
        </w:rPr>
        <w:t xml:space="preserve">500 EUR) na </w:t>
      </w:r>
      <w:r w:rsidR="00B8438E" w:rsidRPr="009D3A9E">
        <w:rPr>
          <w:lang w:val="pl-PL"/>
        </w:rPr>
        <w:t xml:space="preserve">rzecz organizacji pożytku publicznego </w:t>
      </w:r>
      <w:r w:rsidRPr="009D3A9E">
        <w:rPr>
          <w:lang w:val="pl-PL"/>
        </w:rPr>
        <w:t>oraz</w:t>
      </w:r>
    </w:p>
    <w:p w14:paraId="2612CB12" w14:textId="77777777" w:rsidR="00AD53A3" w:rsidRPr="009D3A9E" w:rsidRDefault="00AD53A3" w:rsidP="00EA3AAB">
      <w:pPr>
        <w:pStyle w:val="JuPara"/>
        <w:rPr>
          <w:lang w:val="pl-PL"/>
        </w:rPr>
      </w:pPr>
      <w:r w:rsidRPr="009D3A9E">
        <w:rPr>
          <w:lang w:val="pl-PL"/>
        </w:rPr>
        <w:t>f) skarżący i związek zawodowy wspólnie ponieśli koszty w wysokości 377 PLN (około 94 EUR).</w:t>
      </w:r>
    </w:p>
    <w:p w14:paraId="3A05344D" w14:textId="1DA6EF35" w:rsidR="00AD53A3" w:rsidRPr="009D3A9E" w:rsidRDefault="00AD53A3" w:rsidP="00EA3AAB">
      <w:pPr>
        <w:pStyle w:val="JuPara"/>
        <w:rPr>
          <w:lang w:val="pl-PL"/>
        </w:rPr>
      </w:pPr>
      <w:r w:rsidRPr="009D3A9E">
        <w:rPr>
          <w:noProof/>
          <w:lang w:val="pl-PL"/>
        </w:rPr>
        <w:t>18</w:t>
      </w:r>
      <w:r w:rsidRPr="009D3A9E">
        <w:rPr>
          <w:lang w:val="pl-PL"/>
        </w:rPr>
        <w:t>.</w:t>
      </w:r>
      <w:r w:rsidR="004E5015" w:rsidRPr="009D3A9E">
        <w:rPr>
          <w:lang w:val="pl-PL"/>
        </w:rPr>
        <w:t xml:space="preserve"> </w:t>
      </w:r>
      <w:r w:rsidRPr="009D3A9E">
        <w:rPr>
          <w:lang w:val="pl-PL"/>
        </w:rPr>
        <w:t>Sąd Okręgowy nie rozpatrzył części pozwu</w:t>
      </w:r>
      <w:r w:rsidR="005378CE" w:rsidRPr="009D3A9E">
        <w:rPr>
          <w:lang w:val="pl-PL"/>
        </w:rPr>
        <w:t xml:space="preserve"> dotyczącej</w:t>
      </w:r>
      <w:r w:rsidRPr="009D3A9E">
        <w:rPr>
          <w:lang w:val="pl-PL"/>
        </w:rPr>
        <w:t xml:space="preserve"> organizacji pożytku publicznego, w której żona G.G. pełniła funkcję skarbnika, uznając, że to sama organizacja pożytku publicznego powinna złożyć skargę.</w:t>
      </w:r>
    </w:p>
    <w:p w14:paraId="74B441BD" w14:textId="76102C66" w:rsidR="00AD53A3" w:rsidRPr="009D3A9E" w:rsidRDefault="00AD53A3" w:rsidP="00EA3AAB">
      <w:pPr>
        <w:pStyle w:val="JuPara"/>
        <w:rPr>
          <w:lang w:val="pl-PL"/>
        </w:rPr>
      </w:pPr>
      <w:bookmarkStart w:id="7" w:name="firstIstanceDutiesPress"/>
      <w:r w:rsidRPr="009D3A9E">
        <w:rPr>
          <w:noProof/>
          <w:lang w:val="pl-PL"/>
        </w:rPr>
        <w:t>19</w:t>
      </w:r>
      <w:bookmarkEnd w:id="7"/>
      <w:r w:rsidRPr="009D3A9E">
        <w:rPr>
          <w:lang w:val="pl-PL"/>
        </w:rPr>
        <w:t>.</w:t>
      </w:r>
      <w:r w:rsidR="004E5015" w:rsidRPr="009D3A9E">
        <w:rPr>
          <w:lang w:val="pl-PL"/>
        </w:rPr>
        <w:t xml:space="preserve"> </w:t>
      </w:r>
      <w:r w:rsidRPr="009D3A9E">
        <w:rPr>
          <w:lang w:val="pl-PL"/>
        </w:rPr>
        <w:t>Sąd uznał, że zarówno skarżący, jak i G.G. brali udział w kampanii wyborczej. Dwa wydania biuletynu były prawie w całości poświęcone sprawom związanym z wyborami i osobą wójta G.G., którego działalność została szczegółowo przeanalizowana i skrytykowana. W związku z tym dwa wydania biuletynu należało uznać za</w:t>
      </w:r>
      <w:r w:rsidR="00E06D5F" w:rsidRPr="009D3A9E">
        <w:rPr>
          <w:lang w:val="pl-PL"/>
        </w:rPr>
        <w:t xml:space="preserve"> materiał kampanii wyborczej, a</w:t>
      </w:r>
      <w:r w:rsidR="004E5015" w:rsidRPr="009D3A9E">
        <w:rPr>
          <w:lang w:val="pl-PL"/>
        </w:rPr>
        <w:t xml:space="preserve"> </w:t>
      </w:r>
      <w:r w:rsidRPr="009D3A9E">
        <w:rPr>
          <w:lang w:val="pl-PL"/>
        </w:rPr>
        <w:t>sprawa musiała zostać rozpatrzona w trybie przewidzianym przez Kodeks wyborczy.</w:t>
      </w:r>
    </w:p>
    <w:p w14:paraId="424AF2B6" w14:textId="77777777" w:rsidR="00AD53A3" w:rsidRPr="009D3A9E" w:rsidRDefault="00AD53A3" w:rsidP="00EA3AAB">
      <w:pPr>
        <w:pStyle w:val="JuPara"/>
        <w:rPr>
          <w:lang w:val="pl-PL"/>
        </w:rPr>
      </w:pPr>
      <w:r w:rsidRPr="009D3A9E">
        <w:rPr>
          <w:lang w:val="pl-PL"/>
        </w:rPr>
        <w:t>Sąd podkreślił, że ten tryb postępowania uproszczonego miał na celu zapewnienie uczciwości wyborów i ograniczenie ewentualnych negatywnych skutków rozpowszechniania w tym okresie nieprawdziwych informacji. Prasa ma obowiązek rozpowszechniania informacji w sposób odpowiedzialny i oparty na faktach, w przeciwnym razie autor i wydawca mogą zostać pociągnięci do odpowiedzialności przewidzianej prawem.</w:t>
      </w:r>
    </w:p>
    <w:p w14:paraId="504DFE1E" w14:textId="6604493B" w:rsidR="00AD53A3" w:rsidRPr="009D3A9E" w:rsidRDefault="00AD53A3" w:rsidP="00EA3AAB">
      <w:pPr>
        <w:pStyle w:val="JuPara"/>
        <w:rPr>
          <w:lang w:val="pl-PL"/>
        </w:rPr>
      </w:pPr>
      <w:r w:rsidRPr="009D3A9E">
        <w:rPr>
          <w:noProof/>
          <w:lang w:val="pl-PL"/>
        </w:rPr>
        <w:t>20</w:t>
      </w:r>
      <w:r w:rsidRPr="009D3A9E">
        <w:rPr>
          <w:lang w:val="pl-PL"/>
        </w:rPr>
        <w:t>.</w:t>
      </w:r>
      <w:r w:rsidR="004E5015" w:rsidRPr="009D3A9E">
        <w:rPr>
          <w:lang w:val="pl-PL"/>
        </w:rPr>
        <w:t xml:space="preserve"> </w:t>
      </w:r>
      <w:r w:rsidRPr="009D3A9E">
        <w:rPr>
          <w:lang w:val="pl-PL"/>
        </w:rPr>
        <w:t>Sąd uznał, że biuletyny skarżącego stanowiły przykład „negatywnej kampanii przeciwko G.G., na którą składały się plotki, insynuacje i zarzuty o</w:t>
      </w:r>
      <w:r w:rsidR="005D368C">
        <w:rPr>
          <w:lang w:val="pl-PL"/>
        </w:rPr>
        <w:t> </w:t>
      </w:r>
      <w:r w:rsidRPr="009D3A9E">
        <w:rPr>
          <w:lang w:val="pl-PL"/>
        </w:rPr>
        <w:t>charakterze sensacyjnym i spekulacyjnym, które grały na emocjach czytelników”. Na przykład skarżący straszył czytelników rzekomo negatywnym wpływem farmy wiatrowej na zdrowie ludzkie i zasugerował, że G.G. „obmyślił niepewną przyszłoś</w:t>
      </w:r>
      <w:r w:rsidR="00E06D5F" w:rsidRPr="009D3A9E">
        <w:rPr>
          <w:lang w:val="pl-PL"/>
        </w:rPr>
        <w:t>ć dla lokalnych mieszkańców”. W</w:t>
      </w:r>
      <w:r w:rsidR="005D368C">
        <w:rPr>
          <w:lang w:val="pl-PL"/>
        </w:rPr>
        <w:t> </w:t>
      </w:r>
      <w:r w:rsidRPr="009D3A9E">
        <w:rPr>
          <w:lang w:val="pl-PL"/>
        </w:rPr>
        <w:t>związku z finansami organizacji pożytku publicznego skarżący użył takich sformułowań jak „sprawa cuchnie”, „szykuje się nowy skandal” i</w:t>
      </w:r>
      <w:r w:rsidR="004E5015" w:rsidRPr="009D3A9E">
        <w:rPr>
          <w:lang w:val="pl-PL"/>
        </w:rPr>
        <w:t xml:space="preserve"> </w:t>
      </w:r>
      <w:r w:rsidRPr="009D3A9E">
        <w:rPr>
          <w:lang w:val="pl-PL"/>
        </w:rPr>
        <w:t>„powinna się tym zająć prokuratura”. W związku z nieprawdziwą informacją o</w:t>
      </w:r>
      <w:r w:rsidR="005D368C">
        <w:rPr>
          <w:lang w:val="pl-PL"/>
        </w:rPr>
        <w:t> </w:t>
      </w:r>
      <w:r w:rsidRPr="009D3A9E">
        <w:rPr>
          <w:lang w:val="pl-PL"/>
        </w:rPr>
        <w:t xml:space="preserve">wzroście podatków skarżący stwierdził, że G.G. „sięgnie ludziom </w:t>
      </w:r>
      <w:r w:rsidRPr="009D3A9E">
        <w:rPr>
          <w:lang w:val="pl-PL"/>
        </w:rPr>
        <w:lastRenderedPageBreak/>
        <w:t>do</w:t>
      </w:r>
      <w:r w:rsidR="005D368C">
        <w:rPr>
          <w:lang w:val="pl-PL"/>
        </w:rPr>
        <w:t> </w:t>
      </w:r>
      <w:r w:rsidRPr="009D3A9E">
        <w:rPr>
          <w:lang w:val="pl-PL"/>
        </w:rPr>
        <w:t>kieszeni”. Zdaniem sądu takie wypowiedzi miały na celu manipulowanie emocjami czytelników, a podawane informacje nie zawierały szczegółów ani</w:t>
      </w:r>
      <w:r w:rsidR="005D368C">
        <w:rPr>
          <w:lang w:val="pl-PL"/>
        </w:rPr>
        <w:t> </w:t>
      </w:r>
      <w:r w:rsidRPr="009D3A9E">
        <w:rPr>
          <w:lang w:val="pl-PL"/>
        </w:rPr>
        <w:t>odniesień do źródeł. Wypowiedzi te naruszyły zasady dobrego dziennikarstwa i dobra osobiste powoda. Niesłusznie postawiły go w złym świetle i nadszarpnęły jego dobre imię.</w:t>
      </w:r>
    </w:p>
    <w:p w14:paraId="5B1AA21C" w14:textId="233565B8" w:rsidR="00AD53A3" w:rsidRPr="009D3A9E" w:rsidRDefault="00AD53A3" w:rsidP="00EA3AAB">
      <w:pPr>
        <w:pStyle w:val="JuPara"/>
        <w:rPr>
          <w:lang w:val="pl-PL"/>
        </w:rPr>
      </w:pPr>
      <w:bookmarkStart w:id="8" w:name="FirstInstanceCOnclus"/>
      <w:r w:rsidRPr="009D3A9E">
        <w:rPr>
          <w:noProof/>
          <w:lang w:val="pl-PL"/>
        </w:rPr>
        <w:t>21</w:t>
      </w:r>
      <w:bookmarkEnd w:id="8"/>
      <w:r w:rsidRPr="009D3A9E">
        <w:rPr>
          <w:lang w:val="pl-PL"/>
        </w:rPr>
        <w:t>.</w:t>
      </w:r>
      <w:r w:rsidR="004E5015" w:rsidRPr="009D3A9E">
        <w:rPr>
          <w:lang w:val="pl-PL"/>
        </w:rPr>
        <w:t xml:space="preserve"> </w:t>
      </w:r>
      <w:r w:rsidRPr="009D3A9E">
        <w:rPr>
          <w:lang w:val="pl-PL"/>
        </w:rPr>
        <w:t>Sąd zauważył ponadto, że G.G. przedstawił niezbite dowody na to, że</w:t>
      </w:r>
      <w:r w:rsidR="005D368C">
        <w:rPr>
          <w:lang w:val="pl-PL"/>
        </w:rPr>
        <w:t> </w:t>
      </w:r>
      <w:r w:rsidRPr="009D3A9E">
        <w:rPr>
          <w:lang w:val="pl-PL"/>
        </w:rPr>
        <w:t>oświadczenia skarżącego dotyczące faktów były nieprawdziwe. Przytoczył on nieprawdziwe dane dotyczące zadłużenia gminy, wielkości majątku G.G. oraz procentu planowanej podwyżki podatków. Nieprawdziwe było twierdzenie, że wójt był wyłącznie odpowiedzialny za uruchomienie farmy wiatrowej oraz za ust</w:t>
      </w:r>
      <w:r w:rsidR="00E06D5F" w:rsidRPr="009D3A9E">
        <w:rPr>
          <w:lang w:val="pl-PL"/>
        </w:rPr>
        <w:t>alanie wysokości diet radnych i</w:t>
      </w:r>
      <w:r w:rsidR="004E5015" w:rsidRPr="009D3A9E">
        <w:rPr>
          <w:lang w:val="pl-PL"/>
        </w:rPr>
        <w:t xml:space="preserve"> </w:t>
      </w:r>
      <w:r w:rsidRPr="009D3A9E">
        <w:rPr>
          <w:lang w:val="pl-PL"/>
        </w:rPr>
        <w:t>sołtysów, a także twierdzenie, że wbrew prawu zajmował się on dodatkową działalnością zarobkową.</w:t>
      </w:r>
    </w:p>
    <w:p w14:paraId="27C9E484" w14:textId="77777777" w:rsidR="00AD53A3" w:rsidRPr="009D3A9E" w:rsidRDefault="00AD53A3" w:rsidP="00EA3AAB">
      <w:pPr>
        <w:pStyle w:val="JuPara"/>
        <w:rPr>
          <w:lang w:val="pl-PL"/>
        </w:rPr>
      </w:pPr>
      <w:r w:rsidRPr="009D3A9E">
        <w:rPr>
          <w:lang w:val="pl-PL"/>
        </w:rPr>
        <w:t>Sąd uznał, co następuje:</w:t>
      </w:r>
    </w:p>
    <w:p w14:paraId="0750555A" w14:textId="514C9210" w:rsidR="00AD53A3" w:rsidRPr="009D3A9E" w:rsidRDefault="00AD53A3" w:rsidP="00EA3AAB">
      <w:pPr>
        <w:pStyle w:val="JuQuot"/>
        <w:rPr>
          <w:lang w:val="pl-PL"/>
        </w:rPr>
      </w:pPr>
      <w:r w:rsidRPr="009D3A9E">
        <w:rPr>
          <w:lang w:val="pl-PL"/>
        </w:rPr>
        <w:t>„Biorąc pod uwagę liczbę i wagę zarzutów, [skarżący i związek zawodowy] powinni zaprzestać rozpowszechniania takich info</w:t>
      </w:r>
      <w:r w:rsidR="00E06D5F" w:rsidRPr="009D3A9E">
        <w:rPr>
          <w:lang w:val="pl-PL"/>
        </w:rPr>
        <w:t>rmacji, przeprosić publicznie i</w:t>
      </w:r>
      <w:r w:rsidR="004E5015" w:rsidRPr="009D3A9E">
        <w:rPr>
          <w:lang w:val="pl-PL"/>
        </w:rPr>
        <w:t xml:space="preserve"> </w:t>
      </w:r>
      <w:r w:rsidRPr="009D3A9E">
        <w:rPr>
          <w:lang w:val="pl-PL"/>
        </w:rPr>
        <w:t>prywatnie G.G. oraz otrzymać karę finansową za bezpodstawne naruszenie dóbr osobistych powoda [w odniesieniu do] jego dobrego imienia, uczciwości, kompetencji, odpowiedzialności za kondycję finansową gminy oraz rzetelności [...]”</w:t>
      </w:r>
      <w:r w:rsidR="006E497A" w:rsidRPr="009D3A9E">
        <w:rPr>
          <w:lang w:val="pl-PL"/>
        </w:rPr>
        <w:t>.</w:t>
      </w:r>
    </w:p>
    <w:p w14:paraId="2FE7166B" w14:textId="7D32A068" w:rsidR="00AD53A3" w:rsidRPr="009D3A9E" w:rsidRDefault="00AD53A3" w:rsidP="00EA3AAB">
      <w:pPr>
        <w:pStyle w:val="JuPara"/>
        <w:rPr>
          <w:lang w:val="pl-PL"/>
        </w:rPr>
      </w:pPr>
      <w:bookmarkStart w:id="9" w:name="Appeal"/>
      <w:r w:rsidRPr="009D3A9E">
        <w:rPr>
          <w:noProof/>
          <w:lang w:val="pl-PL"/>
        </w:rPr>
        <w:t>22</w:t>
      </w:r>
      <w:bookmarkEnd w:id="9"/>
      <w:r w:rsidRPr="009D3A9E">
        <w:rPr>
          <w:lang w:val="pl-PL"/>
        </w:rPr>
        <w:t>.</w:t>
      </w:r>
      <w:r w:rsidR="004E5015" w:rsidRPr="009D3A9E">
        <w:rPr>
          <w:lang w:val="pl-PL"/>
        </w:rPr>
        <w:t xml:space="preserve"> </w:t>
      </w:r>
      <w:r w:rsidRPr="009D3A9E">
        <w:rPr>
          <w:lang w:val="pl-PL"/>
        </w:rPr>
        <w:t>W dniu 23 października 2014</w:t>
      </w:r>
      <w:r w:rsidR="004E5015" w:rsidRPr="009D3A9E">
        <w:rPr>
          <w:lang w:val="pl-PL"/>
        </w:rPr>
        <w:t xml:space="preserve"> </w:t>
      </w:r>
      <w:r w:rsidRPr="009D3A9E">
        <w:rPr>
          <w:lang w:val="pl-PL"/>
        </w:rPr>
        <w:t xml:space="preserve">r. skarżący, reprezentowany przez adwokata, złożył </w:t>
      </w:r>
      <w:r w:rsidR="00884DA9">
        <w:rPr>
          <w:lang w:val="pl-PL"/>
        </w:rPr>
        <w:t>zażalenie</w:t>
      </w:r>
      <w:r w:rsidRPr="009D3A9E">
        <w:rPr>
          <w:lang w:val="pl-PL"/>
        </w:rPr>
        <w:t xml:space="preserve"> od tego orze</w:t>
      </w:r>
      <w:r w:rsidR="00E06D5F" w:rsidRPr="009D3A9E">
        <w:rPr>
          <w:lang w:val="pl-PL"/>
        </w:rPr>
        <w:t>czenia. Skarżący podniósł, że</w:t>
      </w:r>
      <w:r w:rsidR="009F3748">
        <w:rPr>
          <w:lang w:val="pl-PL"/>
        </w:rPr>
        <w:t> </w:t>
      </w:r>
      <w:r w:rsidRPr="009D3A9E">
        <w:rPr>
          <w:lang w:val="pl-PL"/>
        </w:rPr>
        <w:t>biuletyny nie mogą być uznane za ma</w:t>
      </w:r>
      <w:r w:rsidR="00E06D5F" w:rsidRPr="009D3A9E">
        <w:rPr>
          <w:lang w:val="pl-PL"/>
        </w:rPr>
        <w:t>teriały kampanii wyborczej i</w:t>
      </w:r>
      <w:r w:rsidR="009F3748">
        <w:rPr>
          <w:lang w:val="pl-PL"/>
        </w:rPr>
        <w:t> </w:t>
      </w:r>
      <w:r w:rsidR="00E06D5F" w:rsidRPr="009D3A9E">
        <w:rPr>
          <w:lang w:val="pl-PL"/>
        </w:rPr>
        <w:t>że</w:t>
      </w:r>
      <w:r w:rsidR="009F3748">
        <w:rPr>
          <w:lang w:val="pl-PL"/>
        </w:rPr>
        <w:t> </w:t>
      </w:r>
      <w:r w:rsidRPr="009D3A9E">
        <w:rPr>
          <w:lang w:val="pl-PL"/>
        </w:rPr>
        <w:t>powód nie może uzyskać ochrony na podstawie art.</w:t>
      </w:r>
      <w:r w:rsidR="004E5015" w:rsidRPr="009D3A9E">
        <w:rPr>
          <w:lang w:val="pl-PL"/>
        </w:rPr>
        <w:t xml:space="preserve"> </w:t>
      </w:r>
      <w:r w:rsidRPr="009D3A9E">
        <w:rPr>
          <w:lang w:val="pl-PL"/>
        </w:rPr>
        <w:t>111 Kodeksu wyborczego. Skarżący podniósł, że wydanie biuletynu z września 2014</w:t>
      </w:r>
      <w:r w:rsidR="004E5015" w:rsidRPr="009D3A9E">
        <w:rPr>
          <w:lang w:val="pl-PL"/>
        </w:rPr>
        <w:t xml:space="preserve"> </w:t>
      </w:r>
      <w:r w:rsidRPr="009D3A9E">
        <w:rPr>
          <w:lang w:val="pl-PL"/>
        </w:rPr>
        <w:t>r. ukazało się przed datą, w której G.G.</w:t>
      </w:r>
      <w:r w:rsidR="00E06D5F" w:rsidRPr="009D3A9E">
        <w:rPr>
          <w:lang w:val="pl-PL"/>
        </w:rPr>
        <w:t xml:space="preserve"> oficjalnie został kandydatem w</w:t>
      </w:r>
      <w:r w:rsidR="009F3748">
        <w:rPr>
          <w:lang w:val="pl-PL"/>
        </w:rPr>
        <w:t> </w:t>
      </w:r>
      <w:r w:rsidRPr="009D3A9E">
        <w:rPr>
          <w:lang w:val="pl-PL"/>
        </w:rPr>
        <w:t>wyborach. Ponadto biuletyny te nie mogły stanowić materiałów na</w:t>
      </w:r>
      <w:r w:rsidR="009F3748">
        <w:rPr>
          <w:lang w:val="pl-PL"/>
        </w:rPr>
        <w:t> </w:t>
      </w:r>
      <w:r w:rsidRPr="009D3A9E">
        <w:rPr>
          <w:lang w:val="pl-PL"/>
        </w:rPr>
        <w:t>potrzeby kampanii wyborczej, ponieważ nie popierały żadnego kandydata startującego w wyborach.</w:t>
      </w:r>
    </w:p>
    <w:p w14:paraId="4F53CD9A" w14:textId="3FC330E4" w:rsidR="00AD53A3" w:rsidRPr="009D3A9E" w:rsidRDefault="00AD53A3" w:rsidP="00EA3AAB">
      <w:pPr>
        <w:pStyle w:val="JuPara"/>
        <w:rPr>
          <w:lang w:val="pl-PL"/>
        </w:rPr>
      </w:pPr>
      <w:r w:rsidRPr="009D3A9E">
        <w:rPr>
          <w:noProof/>
          <w:lang w:val="pl-PL"/>
        </w:rPr>
        <w:t>23</w:t>
      </w:r>
      <w:r w:rsidRPr="009D3A9E">
        <w:rPr>
          <w:lang w:val="pl-PL"/>
        </w:rPr>
        <w:t>.</w:t>
      </w:r>
      <w:r w:rsidR="004E5015" w:rsidRPr="009D3A9E">
        <w:rPr>
          <w:lang w:val="pl-PL"/>
        </w:rPr>
        <w:t xml:space="preserve"> </w:t>
      </w:r>
      <w:r w:rsidRPr="009D3A9E">
        <w:rPr>
          <w:lang w:val="pl-PL"/>
        </w:rPr>
        <w:t>W dniu 24 października 2014</w:t>
      </w:r>
      <w:r w:rsidR="004E5015" w:rsidRPr="009D3A9E">
        <w:rPr>
          <w:lang w:val="pl-PL"/>
        </w:rPr>
        <w:t xml:space="preserve"> </w:t>
      </w:r>
      <w:r w:rsidRPr="009D3A9E">
        <w:rPr>
          <w:lang w:val="pl-PL"/>
        </w:rPr>
        <w:t>r. Sąd Okręgowy w Płocku uwzględnił wniosek G.G. o uzupełnienie postanowienia z dnia 22 października 2014</w:t>
      </w:r>
      <w:r w:rsidR="004E5015" w:rsidRPr="009D3A9E">
        <w:rPr>
          <w:lang w:val="pl-PL"/>
        </w:rPr>
        <w:t xml:space="preserve"> </w:t>
      </w:r>
      <w:r w:rsidRPr="009D3A9E">
        <w:rPr>
          <w:lang w:val="pl-PL"/>
        </w:rPr>
        <w:t>r. poprzez dodanie wymogu opublikowania sprostowania nieprawdziwych stwierdzeń i przeprosin do dnia 28 października 2014</w:t>
      </w:r>
      <w:r w:rsidR="004E5015" w:rsidRPr="009D3A9E">
        <w:rPr>
          <w:lang w:val="pl-PL"/>
        </w:rPr>
        <w:t xml:space="preserve"> </w:t>
      </w:r>
      <w:r w:rsidRPr="009D3A9E">
        <w:rPr>
          <w:lang w:val="pl-PL"/>
        </w:rPr>
        <w:t>r.</w:t>
      </w:r>
    </w:p>
    <w:p w14:paraId="5D0378C4" w14:textId="76B40C83" w:rsidR="00AD53A3" w:rsidRPr="009D3A9E" w:rsidRDefault="00AD53A3" w:rsidP="00EA3AAB">
      <w:pPr>
        <w:pStyle w:val="JuPara"/>
        <w:rPr>
          <w:lang w:val="pl-PL"/>
        </w:rPr>
      </w:pPr>
      <w:bookmarkStart w:id="10" w:name="secondInstanceOper"/>
      <w:r w:rsidRPr="009D3A9E">
        <w:rPr>
          <w:noProof/>
          <w:lang w:val="pl-PL"/>
        </w:rPr>
        <w:t>24</w:t>
      </w:r>
      <w:bookmarkEnd w:id="10"/>
      <w:r w:rsidRPr="009D3A9E">
        <w:rPr>
          <w:lang w:val="pl-PL"/>
        </w:rPr>
        <w:t>.</w:t>
      </w:r>
      <w:r w:rsidR="004E5015" w:rsidRPr="009D3A9E">
        <w:rPr>
          <w:lang w:val="pl-PL"/>
        </w:rPr>
        <w:t xml:space="preserve"> </w:t>
      </w:r>
      <w:r w:rsidRPr="009D3A9E">
        <w:rPr>
          <w:lang w:val="pl-PL"/>
        </w:rPr>
        <w:t>W dniu 27</w:t>
      </w:r>
      <w:r w:rsidR="004E5015" w:rsidRPr="009D3A9E">
        <w:rPr>
          <w:lang w:val="pl-PL"/>
        </w:rPr>
        <w:t xml:space="preserve"> </w:t>
      </w:r>
      <w:r w:rsidRPr="009D3A9E">
        <w:rPr>
          <w:lang w:val="pl-PL"/>
        </w:rPr>
        <w:t>października 2014</w:t>
      </w:r>
      <w:r w:rsidR="004E5015" w:rsidRPr="009D3A9E">
        <w:rPr>
          <w:lang w:val="pl-PL"/>
        </w:rPr>
        <w:t xml:space="preserve"> </w:t>
      </w:r>
      <w:r w:rsidRPr="009D3A9E">
        <w:rPr>
          <w:lang w:val="pl-PL"/>
        </w:rPr>
        <w:t xml:space="preserve">r. Sąd Apelacyjny w Łodzi oddalił </w:t>
      </w:r>
      <w:r w:rsidR="00884DA9">
        <w:rPr>
          <w:lang w:val="pl-PL"/>
        </w:rPr>
        <w:t>zażalenie</w:t>
      </w:r>
      <w:r w:rsidRPr="009D3A9E">
        <w:rPr>
          <w:lang w:val="pl-PL"/>
        </w:rPr>
        <w:t>. W pierwszym zdaniu pisemnego uzasadnienia sąd stwierdził, co</w:t>
      </w:r>
      <w:r w:rsidR="009F3748">
        <w:rPr>
          <w:lang w:val="pl-PL"/>
        </w:rPr>
        <w:t> </w:t>
      </w:r>
      <w:r w:rsidRPr="009D3A9E">
        <w:rPr>
          <w:lang w:val="pl-PL"/>
        </w:rPr>
        <w:t>następuje:</w:t>
      </w:r>
    </w:p>
    <w:p w14:paraId="693CDFA7" w14:textId="6C2FBC1C" w:rsidR="00AD53A3" w:rsidRPr="009D3A9E" w:rsidRDefault="00AD53A3" w:rsidP="00EA3AAB">
      <w:pPr>
        <w:pStyle w:val="JuQuot"/>
        <w:rPr>
          <w:lang w:val="pl-PL"/>
        </w:rPr>
      </w:pPr>
      <w:r w:rsidRPr="009D3A9E">
        <w:rPr>
          <w:lang w:val="pl-PL"/>
        </w:rPr>
        <w:t>„Należy przede wszystkim podkreślić, że w swojej apelacji [skarżący] nie</w:t>
      </w:r>
      <w:r w:rsidR="009F3748">
        <w:rPr>
          <w:lang w:val="pl-PL"/>
        </w:rPr>
        <w:t> </w:t>
      </w:r>
      <w:r w:rsidRPr="009D3A9E">
        <w:rPr>
          <w:lang w:val="pl-PL"/>
        </w:rPr>
        <w:t>kwestionuje dokonanej przez sąd [pierwszej instancji] oceny, że stwierdzenia zawarte w przedmiotowych publikacjach były nieprawdziwe”.</w:t>
      </w:r>
    </w:p>
    <w:p w14:paraId="5F5CEB73" w14:textId="164842EF" w:rsidR="00AD53A3" w:rsidRPr="009D3A9E" w:rsidRDefault="00AD53A3" w:rsidP="00EA3AAB">
      <w:pPr>
        <w:pStyle w:val="JuPara"/>
        <w:rPr>
          <w:lang w:val="pl-PL"/>
        </w:rPr>
      </w:pPr>
      <w:bookmarkStart w:id="11" w:name="CourtAppealValueFacts"/>
      <w:r w:rsidRPr="009D3A9E">
        <w:rPr>
          <w:noProof/>
          <w:lang w:val="pl-PL"/>
        </w:rPr>
        <w:t>25</w:t>
      </w:r>
      <w:bookmarkEnd w:id="11"/>
      <w:r w:rsidRPr="009D3A9E">
        <w:rPr>
          <w:lang w:val="pl-PL"/>
        </w:rPr>
        <w:t>.</w:t>
      </w:r>
      <w:r w:rsidR="004E5015" w:rsidRPr="009D3A9E">
        <w:rPr>
          <w:lang w:val="pl-PL"/>
        </w:rPr>
        <w:t xml:space="preserve"> </w:t>
      </w:r>
      <w:r w:rsidRPr="009D3A9E">
        <w:rPr>
          <w:lang w:val="pl-PL"/>
        </w:rPr>
        <w:t>Sąd zbadał argumenty podniesione w odwołaniu i oddalił je, uznając, że art.</w:t>
      </w:r>
      <w:r w:rsidR="004E5015" w:rsidRPr="009D3A9E">
        <w:rPr>
          <w:lang w:val="pl-PL"/>
        </w:rPr>
        <w:t xml:space="preserve"> </w:t>
      </w:r>
      <w:r w:rsidRPr="009D3A9E">
        <w:rPr>
          <w:lang w:val="pl-PL"/>
        </w:rPr>
        <w:t>111 Kodeksu wyborczego obejmuje wszystkie formy wypowiedzi związane z kampaniami wyborczymi. Aby wypowiedź była objęta tym przepisem, nie musiała pochodzić z komitetu kampanii wyborczej kandydata: obejmowała wszystkie wypowiedzi w trakcie kampanii i w związku z</w:t>
      </w:r>
      <w:r w:rsidR="009F3748">
        <w:rPr>
          <w:lang w:val="pl-PL"/>
        </w:rPr>
        <w:t> </w:t>
      </w:r>
      <w:r w:rsidRPr="009D3A9E">
        <w:rPr>
          <w:lang w:val="pl-PL"/>
        </w:rPr>
        <w:t xml:space="preserve">wyborami. Sąd podkreślił, że w kampanii wyborczej korzystanie </w:t>
      </w:r>
      <w:r w:rsidRPr="009D3A9E">
        <w:rPr>
          <w:lang w:val="pl-PL"/>
        </w:rPr>
        <w:lastRenderedPageBreak/>
        <w:t>ze</w:t>
      </w:r>
      <w:r w:rsidR="009F3748">
        <w:rPr>
          <w:lang w:val="pl-PL"/>
        </w:rPr>
        <w:t> </w:t>
      </w:r>
      <w:r w:rsidRPr="009D3A9E">
        <w:rPr>
          <w:lang w:val="pl-PL"/>
        </w:rPr>
        <w:t>wszystkich dost</w:t>
      </w:r>
      <w:r w:rsidR="00E06D5F" w:rsidRPr="009D3A9E">
        <w:rPr>
          <w:lang w:val="pl-PL"/>
        </w:rPr>
        <w:t>ępnych mediów jest powszechną i</w:t>
      </w:r>
      <w:r w:rsidR="004E5015" w:rsidRPr="009D3A9E">
        <w:rPr>
          <w:lang w:val="pl-PL"/>
        </w:rPr>
        <w:t xml:space="preserve"> </w:t>
      </w:r>
      <w:r w:rsidRPr="009D3A9E">
        <w:rPr>
          <w:lang w:val="pl-PL"/>
        </w:rPr>
        <w:t>legalną praktyką, pod</w:t>
      </w:r>
      <w:r w:rsidR="009F3748">
        <w:rPr>
          <w:lang w:val="pl-PL"/>
        </w:rPr>
        <w:t> </w:t>
      </w:r>
      <w:r w:rsidRPr="009D3A9E">
        <w:rPr>
          <w:lang w:val="pl-PL"/>
        </w:rPr>
        <w:t>warunkiem że informacje są prawdziwe, a oceny wartościujące oparte na</w:t>
      </w:r>
      <w:r w:rsidR="009F3748">
        <w:rPr>
          <w:lang w:val="pl-PL"/>
        </w:rPr>
        <w:t> </w:t>
      </w:r>
      <w:r w:rsidRPr="009D3A9E">
        <w:rPr>
          <w:lang w:val="pl-PL"/>
        </w:rPr>
        <w:t>wystarczających danych.</w:t>
      </w:r>
    </w:p>
    <w:p w14:paraId="0AC17632" w14:textId="68E1F827" w:rsidR="00AD53A3" w:rsidRPr="009D3A9E" w:rsidRDefault="00AD53A3" w:rsidP="00EA3AAB">
      <w:pPr>
        <w:pStyle w:val="JuPara"/>
        <w:rPr>
          <w:lang w:val="pl-PL"/>
        </w:rPr>
      </w:pPr>
      <w:r w:rsidRPr="009D3A9E">
        <w:rPr>
          <w:noProof/>
          <w:lang w:val="pl-PL"/>
        </w:rPr>
        <w:t>26</w:t>
      </w:r>
      <w:r w:rsidRPr="009D3A9E">
        <w:rPr>
          <w:lang w:val="pl-PL"/>
        </w:rPr>
        <w:t>.</w:t>
      </w:r>
      <w:r w:rsidR="004E5015" w:rsidRPr="009D3A9E">
        <w:rPr>
          <w:lang w:val="pl-PL"/>
        </w:rPr>
        <w:t xml:space="preserve"> </w:t>
      </w:r>
      <w:r w:rsidRPr="009D3A9E">
        <w:rPr>
          <w:lang w:val="pl-PL"/>
        </w:rPr>
        <w:t>Przedmiotowe biuletyny, choć najwyraźniej nie popierały żadnego konkretnego kandydata, otwarcie agitowały przeciwko urzędującemu wójtowi G.G. Były one wyrazem negatywnej kampanii, której celem było zniechęcenie wyborców do głosowania na danego kandydata. Kampania wyborcza rozpoczęła się w sierpniu 2014</w:t>
      </w:r>
      <w:r w:rsidR="004E5015" w:rsidRPr="009D3A9E">
        <w:rPr>
          <w:lang w:val="pl-PL"/>
        </w:rPr>
        <w:t xml:space="preserve"> </w:t>
      </w:r>
      <w:r w:rsidRPr="009D3A9E">
        <w:rPr>
          <w:lang w:val="pl-PL"/>
        </w:rPr>
        <w:t>r., zatem daty ukazania się obu biuletynów mieściły się w okresie kampanii wyborczej; bez znaczenia była data formalnego zgłoszenia G.G. jako kandydata na stanowisko wójta gminy.</w:t>
      </w:r>
    </w:p>
    <w:p w14:paraId="3AE0005B" w14:textId="506335E6" w:rsidR="00AD53A3" w:rsidRPr="009D3A9E" w:rsidRDefault="00AD53A3" w:rsidP="00EA3AAB">
      <w:pPr>
        <w:pStyle w:val="JuPara"/>
        <w:rPr>
          <w:lang w:val="pl-PL"/>
        </w:rPr>
      </w:pPr>
      <w:r w:rsidRPr="009D3A9E">
        <w:rPr>
          <w:noProof/>
          <w:lang w:val="pl-PL"/>
        </w:rPr>
        <w:t>27</w:t>
      </w:r>
      <w:r w:rsidRPr="009D3A9E">
        <w:rPr>
          <w:lang w:val="pl-PL"/>
        </w:rPr>
        <w:t>.</w:t>
      </w:r>
      <w:r w:rsidR="004E5015" w:rsidRPr="009D3A9E">
        <w:rPr>
          <w:lang w:val="pl-PL"/>
        </w:rPr>
        <w:t xml:space="preserve"> </w:t>
      </w:r>
      <w:r w:rsidRPr="009D3A9E">
        <w:rPr>
          <w:lang w:val="pl-PL"/>
        </w:rPr>
        <w:t>Wreszcie sąd zauważył, że zaangażowanie skarżącego w kampanię stanowiło wyraźne naruszenie prawa, ponieważ członkowie komisji wyborczych – do których należał skarżący – mieli zakaz aktywnego udziału w kampanii.</w:t>
      </w:r>
    </w:p>
    <w:p w14:paraId="3E7A72A2" w14:textId="1CCC9898" w:rsidR="00AD53A3" w:rsidRPr="009D3A9E" w:rsidRDefault="00AD53A3" w:rsidP="00EA3AAB">
      <w:pPr>
        <w:pStyle w:val="JuPara"/>
        <w:rPr>
          <w:lang w:val="pl-PL"/>
        </w:rPr>
      </w:pPr>
      <w:r w:rsidRPr="009D3A9E">
        <w:rPr>
          <w:noProof/>
          <w:lang w:val="pl-PL"/>
        </w:rPr>
        <w:t>28</w:t>
      </w:r>
      <w:r w:rsidRPr="009D3A9E">
        <w:rPr>
          <w:lang w:val="pl-PL"/>
        </w:rPr>
        <w:t>.</w:t>
      </w:r>
      <w:r w:rsidR="004E5015" w:rsidRPr="009D3A9E">
        <w:rPr>
          <w:lang w:val="pl-PL"/>
        </w:rPr>
        <w:t xml:space="preserve"> </w:t>
      </w:r>
      <w:r w:rsidRPr="009D3A9E">
        <w:rPr>
          <w:lang w:val="pl-PL"/>
        </w:rPr>
        <w:t>W dniu 30 października 2014</w:t>
      </w:r>
      <w:r w:rsidR="004E5015" w:rsidRPr="009D3A9E">
        <w:rPr>
          <w:lang w:val="pl-PL"/>
        </w:rPr>
        <w:t xml:space="preserve"> </w:t>
      </w:r>
      <w:r w:rsidRPr="009D3A9E">
        <w:rPr>
          <w:lang w:val="pl-PL"/>
        </w:rPr>
        <w:t>r. Komisarz Wyborczy w Płocku ostrzegł skarżącego, że w przypadku dalszego prowadzenia kampanii wyborczej jego członkostwo w Gminnej Komisji Wyborczej w Bulkowie zostanie cofnięte.</w:t>
      </w:r>
    </w:p>
    <w:p w14:paraId="7A8C86F1" w14:textId="13906636" w:rsidR="00AD53A3" w:rsidRPr="009D3A9E" w:rsidRDefault="00AD53A3" w:rsidP="00EA3AAB">
      <w:pPr>
        <w:pStyle w:val="JuPara"/>
        <w:rPr>
          <w:lang w:val="pl-PL"/>
        </w:rPr>
      </w:pPr>
      <w:r w:rsidRPr="009D3A9E">
        <w:rPr>
          <w:noProof/>
          <w:lang w:val="pl-PL"/>
        </w:rPr>
        <w:t>29</w:t>
      </w:r>
      <w:r w:rsidRPr="009D3A9E">
        <w:rPr>
          <w:lang w:val="pl-PL"/>
        </w:rPr>
        <w:t>.</w:t>
      </w:r>
      <w:r w:rsidR="004E5015" w:rsidRPr="009D3A9E">
        <w:rPr>
          <w:lang w:val="pl-PL"/>
        </w:rPr>
        <w:t xml:space="preserve"> </w:t>
      </w:r>
      <w:r w:rsidRPr="009D3A9E">
        <w:rPr>
          <w:lang w:val="pl-PL"/>
        </w:rPr>
        <w:t>Wybory samorządowe odbyły się w dniu 16 listopada 2014</w:t>
      </w:r>
      <w:r w:rsidR="004E5015" w:rsidRPr="009D3A9E">
        <w:rPr>
          <w:lang w:val="pl-PL"/>
        </w:rPr>
        <w:t xml:space="preserve"> </w:t>
      </w:r>
      <w:r w:rsidRPr="009D3A9E">
        <w:rPr>
          <w:lang w:val="pl-PL"/>
        </w:rPr>
        <w:t>r. G.G. został ponownie wybrany na wójta gminy Bulkowo.</w:t>
      </w:r>
    </w:p>
    <w:p w14:paraId="7C21C070" w14:textId="434139E8" w:rsidR="00AD53A3" w:rsidRPr="009D3A9E" w:rsidRDefault="00AD53A3" w:rsidP="00EA3AAB">
      <w:pPr>
        <w:pStyle w:val="JuPara"/>
        <w:rPr>
          <w:lang w:val="pl-PL"/>
        </w:rPr>
      </w:pPr>
      <w:r w:rsidRPr="009D3A9E">
        <w:rPr>
          <w:noProof/>
          <w:lang w:val="pl-PL"/>
        </w:rPr>
        <w:t>30</w:t>
      </w:r>
      <w:r w:rsidRPr="009D3A9E">
        <w:rPr>
          <w:lang w:val="pl-PL"/>
        </w:rPr>
        <w:t>.</w:t>
      </w:r>
      <w:r w:rsidR="004E5015" w:rsidRPr="009D3A9E">
        <w:rPr>
          <w:lang w:val="pl-PL"/>
        </w:rPr>
        <w:t xml:space="preserve"> </w:t>
      </w:r>
      <w:r w:rsidRPr="009D3A9E">
        <w:rPr>
          <w:lang w:val="pl-PL"/>
        </w:rPr>
        <w:t>W 2015</w:t>
      </w:r>
      <w:r w:rsidR="004E5015" w:rsidRPr="009D3A9E">
        <w:rPr>
          <w:lang w:val="pl-PL"/>
        </w:rPr>
        <w:t xml:space="preserve"> </w:t>
      </w:r>
      <w:r w:rsidRPr="009D3A9E">
        <w:rPr>
          <w:lang w:val="pl-PL"/>
        </w:rPr>
        <w:t>r. Sąd Okręgowy w Płocku wyraził zgodę na zapłatę przez skarżącego w miesięcznych rata</w:t>
      </w:r>
      <w:r w:rsidR="00E06D5F" w:rsidRPr="009D3A9E">
        <w:rPr>
          <w:lang w:val="pl-PL"/>
        </w:rPr>
        <w:t>ch pozostałej kwoty 2460</w:t>
      </w:r>
      <w:r w:rsidR="004E5015" w:rsidRPr="009D3A9E">
        <w:rPr>
          <w:lang w:val="pl-PL"/>
        </w:rPr>
        <w:t xml:space="preserve"> </w:t>
      </w:r>
      <w:r w:rsidR="00E06D5F" w:rsidRPr="009D3A9E">
        <w:rPr>
          <w:lang w:val="pl-PL"/>
        </w:rPr>
        <w:t xml:space="preserve">PLN </w:t>
      </w:r>
      <w:r w:rsidRPr="009D3A9E">
        <w:rPr>
          <w:lang w:val="pl-PL"/>
        </w:rPr>
        <w:t>zasądzonej na</w:t>
      </w:r>
      <w:r w:rsidR="009F3748">
        <w:rPr>
          <w:lang w:val="pl-PL"/>
        </w:rPr>
        <w:t> </w:t>
      </w:r>
      <w:r w:rsidR="00883B7A" w:rsidRPr="009D3A9E">
        <w:rPr>
          <w:lang w:val="pl-PL"/>
        </w:rPr>
        <w:t>rzecz</w:t>
      </w:r>
      <w:r w:rsidR="00DB0991" w:rsidRPr="009D3A9E">
        <w:rPr>
          <w:lang w:val="pl-PL"/>
        </w:rPr>
        <w:t xml:space="preserve"> </w:t>
      </w:r>
      <w:r w:rsidR="00883B7A" w:rsidRPr="009D3A9E">
        <w:rPr>
          <w:lang w:val="pl-PL"/>
        </w:rPr>
        <w:t>organizacji pożytku publicznego</w:t>
      </w:r>
      <w:r w:rsidRPr="009D3A9E">
        <w:rPr>
          <w:lang w:val="pl-PL"/>
        </w:rPr>
        <w:t>.</w:t>
      </w:r>
    </w:p>
    <w:p w14:paraId="35E07050" w14:textId="77777777" w:rsidR="00AD53A3" w:rsidRPr="009D3A9E" w:rsidRDefault="00AD53A3" w:rsidP="00EA3AAB">
      <w:pPr>
        <w:pStyle w:val="JuHHead"/>
        <w:rPr>
          <w:lang w:val="pl-PL"/>
        </w:rPr>
      </w:pPr>
      <w:r w:rsidRPr="009D3A9E">
        <w:rPr>
          <w:bCs w:val="0"/>
          <w:lang w:val="pl-PL"/>
        </w:rPr>
        <w:t>WŁAŚCIWE RAMY PRAWNE I PRAKTYKA</w:t>
      </w:r>
    </w:p>
    <w:p w14:paraId="7E418EFE" w14:textId="77777777" w:rsidR="00AD53A3" w:rsidRPr="009D3A9E" w:rsidRDefault="00AD53A3" w:rsidP="00EA3AAB">
      <w:pPr>
        <w:pStyle w:val="JuHIRoman"/>
        <w:rPr>
          <w:lang w:val="pl-PL"/>
        </w:rPr>
      </w:pPr>
      <w:r w:rsidRPr="009D3A9E">
        <w:rPr>
          <w:bCs w:val="0"/>
          <w:lang w:val="pl-PL"/>
        </w:rPr>
        <w:t>Odpowiednie przepisy konstytucyjne</w:t>
      </w:r>
    </w:p>
    <w:p w14:paraId="34178FA0" w14:textId="69EC464A" w:rsidR="00AD53A3" w:rsidRPr="009D3A9E" w:rsidRDefault="00AD53A3" w:rsidP="00EA3AAB">
      <w:pPr>
        <w:pStyle w:val="JuPara"/>
        <w:rPr>
          <w:lang w:val="pl-PL"/>
        </w:rPr>
      </w:pPr>
      <w:r w:rsidRPr="009D3A9E">
        <w:rPr>
          <w:noProof/>
          <w:lang w:val="pl-PL"/>
        </w:rPr>
        <w:t>31</w:t>
      </w:r>
      <w:r w:rsidRPr="009D3A9E">
        <w:rPr>
          <w:lang w:val="pl-PL"/>
        </w:rPr>
        <w:t>.</w:t>
      </w:r>
      <w:r w:rsidR="004E5015" w:rsidRPr="009D3A9E">
        <w:rPr>
          <w:lang w:val="pl-PL"/>
        </w:rPr>
        <w:t xml:space="preserve"> </w:t>
      </w:r>
      <w:r w:rsidRPr="009D3A9E">
        <w:rPr>
          <w:lang w:val="pl-PL"/>
        </w:rPr>
        <w:t>Art.</w:t>
      </w:r>
      <w:r w:rsidR="004E5015" w:rsidRPr="009D3A9E">
        <w:rPr>
          <w:lang w:val="pl-PL"/>
        </w:rPr>
        <w:t xml:space="preserve"> </w:t>
      </w:r>
      <w:r w:rsidRPr="009D3A9E">
        <w:rPr>
          <w:lang w:val="pl-PL"/>
        </w:rPr>
        <w:t>14 Konstytucji stanowi, co następuje:</w:t>
      </w:r>
    </w:p>
    <w:p w14:paraId="06EDAF97" w14:textId="77777777" w:rsidR="00AD53A3" w:rsidRPr="009D3A9E" w:rsidRDefault="00AD53A3" w:rsidP="00EA3AAB">
      <w:pPr>
        <w:pStyle w:val="JuQuot"/>
        <w:rPr>
          <w:lang w:val="pl-PL"/>
        </w:rPr>
      </w:pPr>
      <w:r w:rsidRPr="009D3A9E">
        <w:rPr>
          <w:lang w:val="pl-PL"/>
        </w:rPr>
        <w:t>„Rzeczpospolita Polska zapewnia wolność prasy i innych środków społecznego przekazu”.</w:t>
      </w:r>
    </w:p>
    <w:p w14:paraId="6775EBC0" w14:textId="292DEFF6" w:rsidR="00AD53A3" w:rsidRPr="009D3A9E" w:rsidRDefault="00AD53A3" w:rsidP="00EA3AAB">
      <w:pPr>
        <w:pStyle w:val="JuPara"/>
        <w:rPr>
          <w:lang w:val="pl-PL"/>
        </w:rPr>
      </w:pPr>
      <w:r w:rsidRPr="009D3A9E">
        <w:rPr>
          <w:noProof/>
          <w:lang w:val="pl-PL"/>
        </w:rPr>
        <w:t>32</w:t>
      </w:r>
      <w:r w:rsidRPr="009D3A9E">
        <w:rPr>
          <w:lang w:val="pl-PL"/>
        </w:rPr>
        <w:t>.</w:t>
      </w:r>
      <w:r w:rsidR="004E5015" w:rsidRPr="009D3A9E">
        <w:rPr>
          <w:lang w:val="pl-PL"/>
        </w:rPr>
        <w:t xml:space="preserve"> </w:t>
      </w:r>
      <w:r w:rsidRPr="009D3A9E">
        <w:rPr>
          <w:lang w:val="pl-PL"/>
        </w:rPr>
        <w:t>Art.</w:t>
      </w:r>
      <w:r w:rsidR="004E5015" w:rsidRPr="009D3A9E">
        <w:rPr>
          <w:lang w:val="pl-PL"/>
        </w:rPr>
        <w:t xml:space="preserve"> </w:t>
      </w:r>
      <w:r w:rsidRPr="009D3A9E">
        <w:rPr>
          <w:lang w:val="pl-PL"/>
        </w:rPr>
        <w:t>31 ust.</w:t>
      </w:r>
      <w:r w:rsidR="004E5015" w:rsidRPr="009D3A9E">
        <w:rPr>
          <w:lang w:val="pl-PL"/>
        </w:rPr>
        <w:t xml:space="preserve"> </w:t>
      </w:r>
      <w:r w:rsidRPr="009D3A9E">
        <w:rPr>
          <w:lang w:val="pl-PL"/>
        </w:rPr>
        <w:t>3 Konstytucji, który ustanawia ogólny zakaz nieproporcjonalnego ograniczania konstytucyjnych praw i wolności (zasada proporcjonalności), stanowi:</w:t>
      </w:r>
    </w:p>
    <w:p w14:paraId="31E211EC" w14:textId="77777777" w:rsidR="00AD53A3" w:rsidRPr="009D3A9E" w:rsidRDefault="00AD53A3" w:rsidP="00EA3AAB">
      <w:pPr>
        <w:pStyle w:val="JuQuot"/>
        <w:rPr>
          <w:lang w:val="pl-PL"/>
        </w:rPr>
      </w:pPr>
      <w:r w:rsidRPr="009D3A9E">
        <w:rPr>
          <w:lang w:val="pl-PL"/>
        </w:rPr>
        <w:t>„Ograniczenia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p>
    <w:p w14:paraId="48D65729" w14:textId="459C4F91" w:rsidR="00AD53A3" w:rsidRPr="009D3A9E" w:rsidRDefault="00AD53A3" w:rsidP="00EA3AAB">
      <w:pPr>
        <w:pStyle w:val="JuPara"/>
        <w:rPr>
          <w:lang w:val="pl-PL"/>
        </w:rPr>
      </w:pPr>
      <w:r w:rsidRPr="009D3A9E">
        <w:rPr>
          <w:noProof/>
          <w:lang w:val="pl-PL"/>
        </w:rPr>
        <w:t>33</w:t>
      </w:r>
      <w:r w:rsidRPr="009D3A9E">
        <w:rPr>
          <w:lang w:val="pl-PL"/>
        </w:rPr>
        <w:t>.</w:t>
      </w:r>
      <w:r w:rsidR="004E5015" w:rsidRPr="009D3A9E">
        <w:rPr>
          <w:lang w:val="pl-PL"/>
        </w:rPr>
        <w:t xml:space="preserve"> </w:t>
      </w:r>
      <w:r w:rsidRPr="009D3A9E">
        <w:rPr>
          <w:lang w:val="pl-PL"/>
        </w:rPr>
        <w:t>Art.</w:t>
      </w:r>
      <w:r w:rsidR="004E5015" w:rsidRPr="009D3A9E">
        <w:rPr>
          <w:lang w:val="pl-PL"/>
        </w:rPr>
        <w:t xml:space="preserve"> </w:t>
      </w:r>
      <w:r w:rsidRPr="009D3A9E">
        <w:rPr>
          <w:lang w:val="pl-PL"/>
        </w:rPr>
        <w:t>54 ust.</w:t>
      </w:r>
      <w:r w:rsidR="004E5015" w:rsidRPr="009D3A9E">
        <w:rPr>
          <w:lang w:val="pl-PL"/>
        </w:rPr>
        <w:t xml:space="preserve"> </w:t>
      </w:r>
      <w:r w:rsidRPr="009D3A9E">
        <w:rPr>
          <w:lang w:val="pl-PL"/>
        </w:rPr>
        <w:t>1 Konstytucji gwarantu</w:t>
      </w:r>
      <w:r w:rsidR="00E06D5F" w:rsidRPr="009D3A9E">
        <w:rPr>
          <w:lang w:val="pl-PL"/>
        </w:rPr>
        <w:t>je wolność wyrażania poglądów i</w:t>
      </w:r>
      <w:r w:rsidR="009F3748">
        <w:rPr>
          <w:lang w:val="pl-PL"/>
        </w:rPr>
        <w:t> </w:t>
      </w:r>
      <w:r w:rsidRPr="009D3A9E">
        <w:rPr>
          <w:lang w:val="pl-PL"/>
        </w:rPr>
        <w:t>w</w:t>
      </w:r>
      <w:r w:rsidR="009F3748">
        <w:rPr>
          <w:lang w:val="pl-PL"/>
        </w:rPr>
        <w:t> </w:t>
      </w:r>
      <w:r w:rsidRPr="009D3A9E">
        <w:rPr>
          <w:lang w:val="pl-PL"/>
        </w:rPr>
        <w:t>odpowiedniej części stanowi, co następuje:</w:t>
      </w:r>
    </w:p>
    <w:p w14:paraId="61DAA439" w14:textId="1868DC25" w:rsidR="00AD53A3" w:rsidRPr="009D3A9E" w:rsidRDefault="00AD53A3" w:rsidP="00EA3AAB">
      <w:pPr>
        <w:pStyle w:val="JuQuot"/>
        <w:rPr>
          <w:lang w:val="pl-PL"/>
        </w:rPr>
      </w:pPr>
      <w:r w:rsidRPr="009D3A9E">
        <w:rPr>
          <w:lang w:val="pl-PL"/>
        </w:rPr>
        <w:t>„Każdemu zapewnia się wolność wyrażania swoi</w:t>
      </w:r>
      <w:r w:rsidR="00E06D5F" w:rsidRPr="009D3A9E">
        <w:rPr>
          <w:lang w:val="pl-PL"/>
        </w:rPr>
        <w:t>ch poglądów oraz pozyskiwania i</w:t>
      </w:r>
      <w:r w:rsidR="009F3748">
        <w:rPr>
          <w:lang w:val="pl-PL"/>
        </w:rPr>
        <w:t> </w:t>
      </w:r>
      <w:r w:rsidRPr="009D3A9E">
        <w:rPr>
          <w:lang w:val="pl-PL"/>
        </w:rPr>
        <w:t>rozpowszechniania informacji”.</w:t>
      </w:r>
    </w:p>
    <w:p w14:paraId="1BDB00DE" w14:textId="77777777" w:rsidR="00AD53A3" w:rsidRPr="009D3A9E" w:rsidRDefault="00AD53A3" w:rsidP="00EA3AAB">
      <w:pPr>
        <w:pStyle w:val="JuHIRoman"/>
        <w:rPr>
          <w:lang w:val="pl-PL"/>
        </w:rPr>
      </w:pPr>
      <w:r w:rsidRPr="009D3A9E">
        <w:rPr>
          <w:bCs w:val="0"/>
          <w:lang w:val="pl-PL"/>
        </w:rPr>
        <w:lastRenderedPageBreak/>
        <w:t>Kodeks wyborczy</w:t>
      </w:r>
    </w:p>
    <w:p w14:paraId="3BBCF62D" w14:textId="355CB75D" w:rsidR="00AD53A3" w:rsidRPr="009D3A9E" w:rsidRDefault="00AD53A3" w:rsidP="00EA3AAB">
      <w:pPr>
        <w:pStyle w:val="JuPara"/>
        <w:rPr>
          <w:lang w:val="pl-PL"/>
        </w:rPr>
      </w:pPr>
      <w:bookmarkStart w:id="12" w:name="electionconde"/>
      <w:r w:rsidRPr="009D3A9E">
        <w:rPr>
          <w:noProof/>
          <w:lang w:val="pl-PL"/>
        </w:rPr>
        <w:t>34</w:t>
      </w:r>
      <w:bookmarkEnd w:id="12"/>
      <w:r w:rsidRPr="009D3A9E">
        <w:rPr>
          <w:lang w:val="pl-PL"/>
        </w:rPr>
        <w:t>.</w:t>
      </w:r>
      <w:r w:rsidR="004E5015" w:rsidRPr="009D3A9E">
        <w:rPr>
          <w:lang w:val="pl-PL"/>
        </w:rPr>
        <w:t xml:space="preserve"> </w:t>
      </w:r>
      <w:r w:rsidRPr="009D3A9E">
        <w:rPr>
          <w:lang w:val="pl-PL"/>
        </w:rPr>
        <w:t>W dniu 1 sierpnia 2011</w:t>
      </w:r>
      <w:r w:rsidR="004E5015" w:rsidRPr="009D3A9E">
        <w:rPr>
          <w:lang w:val="pl-PL"/>
        </w:rPr>
        <w:t xml:space="preserve"> </w:t>
      </w:r>
      <w:r w:rsidRPr="009D3A9E">
        <w:rPr>
          <w:lang w:val="pl-PL"/>
        </w:rPr>
        <w:t>r. weszła w życie ustawa z dnia 5 stycznia 2011</w:t>
      </w:r>
      <w:r w:rsidR="009F3748">
        <w:rPr>
          <w:lang w:val="pl-PL"/>
        </w:rPr>
        <w:t> </w:t>
      </w:r>
      <w:r w:rsidRPr="009D3A9E">
        <w:rPr>
          <w:lang w:val="pl-PL"/>
        </w:rPr>
        <w:t>r. Kodeks wyborczy. Stanowi on w swoich istotnych częściach, co</w:t>
      </w:r>
      <w:r w:rsidR="009F3748">
        <w:rPr>
          <w:lang w:val="pl-PL"/>
        </w:rPr>
        <w:t> </w:t>
      </w:r>
      <w:r w:rsidRPr="009D3A9E">
        <w:rPr>
          <w:lang w:val="pl-PL"/>
        </w:rPr>
        <w:t>następuje:</w:t>
      </w:r>
    </w:p>
    <w:p w14:paraId="5B3CF8A8" w14:textId="77777777" w:rsidR="00AD53A3" w:rsidRPr="009D3A9E" w:rsidRDefault="00AD53A3" w:rsidP="00A96655">
      <w:pPr>
        <w:pStyle w:val="JuHArticle"/>
        <w:rPr>
          <w:lang w:val="pl-PL"/>
        </w:rPr>
      </w:pPr>
      <w:r w:rsidRPr="009D3A9E">
        <w:rPr>
          <w:bCs/>
          <w:lang w:val="pl-PL"/>
        </w:rPr>
        <w:t>Artykuł 111</w:t>
      </w:r>
    </w:p>
    <w:p w14:paraId="4D1C3CD7" w14:textId="53404684" w:rsidR="00AD53A3" w:rsidRPr="009D3A9E" w:rsidRDefault="00AD53A3" w:rsidP="00EA3AAB">
      <w:pPr>
        <w:pStyle w:val="JuQuot"/>
        <w:rPr>
          <w:lang w:val="pl-PL"/>
        </w:rPr>
      </w:pPr>
      <w:r w:rsidRPr="009D3A9E">
        <w:rPr>
          <w:lang w:val="pl-PL"/>
        </w:rPr>
        <w:t>„1.</w:t>
      </w:r>
      <w:r w:rsidR="004E5015" w:rsidRPr="009D3A9E">
        <w:rPr>
          <w:lang w:val="pl-PL"/>
        </w:rPr>
        <w:t xml:space="preserve"> </w:t>
      </w:r>
      <w:r w:rsidRPr="009D3A9E">
        <w:rPr>
          <w:lang w:val="pl-PL"/>
        </w:rPr>
        <w:t>Jeżeli rozpowszechniane, w tym również w pra</w:t>
      </w:r>
      <w:r w:rsidR="00E06D5F" w:rsidRPr="009D3A9E">
        <w:rPr>
          <w:lang w:val="pl-PL"/>
        </w:rPr>
        <w:t>sie [...] materiały wyborcze, w</w:t>
      </w:r>
      <w:r w:rsidR="009F3748">
        <w:rPr>
          <w:lang w:val="pl-PL"/>
        </w:rPr>
        <w:t> </w:t>
      </w:r>
      <w:r w:rsidRPr="009D3A9E">
        <w:rPr>
          <w:lang w:val="pl-PL"/>
        </w:rPr>
        <w:t>szczególności plakaty, ulotki i hasła, a także wypowiedzi lub inne formy prowadzonej agitacji wyborczej, zawierają informacje nieprawdziwe, kandydat lub</w:t>
      </w:r>
      <w:r w:rsidR="009F3748">
        <w:rPr>
          <w:lang w:val="pl-PL"/>
        </w:rPr>
        <w:t> </w:t>
      </w:r>
      <w:r w:rsidRPr="009D3A9E">
        <w:rPr>
          <w:lang w:val="pl-PL"/>
        </w:rPr>
        <w:t>pełnomocnik wyborczy zainteresowanego komitetu wyborczego ma prawo wnieść do sądu okręgowego wniosek o wydanie orzeczenia:</w:t>
      </w:r>
    </w:p>
    <w:p w14:paraId="4F56EEF4" w14:textId="77777777" w:rsidR="00AD53A3" w:rsidRPr="009D3A9E" w:rsidRDefault="00AD53A3" w:rsidP="00EA3AAB">
      <w:pPr>
        <w:pStyle w:val="JuQuotSub"/>
        <w:rPr>
          <w:lang w:val="pl-PL"/>
        </w:rPr>
      </w:pPr>
      <w:r w:rsidRPr="009D3A9E">
        <w:rPr>
          <w:lang w:val="pl-PL"/>
        </w:rPr>
        <w:t xml:space="preserve">1) zakazu rozpowszechniania takich informacji; </w:t>
      </w:r>
    </w:p>
    <w:p w14:paraId="5519E13A" w14:textId="77777777" w:rsidR="00AD53A3" w:rsidRPr="009D3A9E" w:rsidRDefault="00AD53A3" w:rsidP="00EA3AAB">
      <w:pPr>
        <w:pStyle w:val="JuQuotSub"/>
        <w:rPr>
          <w:lang w:val="pl-PL"/>
        </w:rPr>
      </w:pPr>
      <w:r w:rsidRPr="009D3A9E">
        <w:rPr>
          <w:lang w:val="pl-PL"/>
        </w:rPr>
        <w:t>2) przepadku materiałów wyborczych zawierających takie informacje;</w:t>
      </w:r>
    </w:p>
    <w:p w14:paraId="5CE25F10" w14:textId="77777777" w:rsidR="00AD53A3" w:rsidRPr="009D3A9E" w:rsidRDefault="00AD53A3" w:rsidP="00EA3AAB">
      <w:pPr>
        <w:pStyle w:val="JuQuotSub"/>
        <w:rPr>
          <w:lang w:val="pl-PL"/>
        </w:rPr>
      </w:pPr>
      <w:r w:rsidRPr="009D3A9E">
        <w:rPr>
          <w:lang w:val="pl-PL"/>
        </w:rPr>
        <w:t xml:space="preserve">3) nakazania sprostowania takich informacji; </w:t>
      </w:r>
    </w:p>
    <w:p w14:paraId="7365BF5A" w14:textId="77777777" w:rsidR="00AD53A3" w:rsidRPr="009D3A9E" w:rsidRDefault="00AD53A3" w:rsidP="00EA3AAB">
      <w:pPr>
        <w:pStyle w:val="JuQuotSub"/>
        <w:rPr>
          <w:lang w:val="pl-PL"/>
        </w:rPr>
      </w:pPr>
      <w:r w:rsidRPr="009D3A9E">
        <w:rPr>
          <w:lang w:val="pl-PL"/>
        </w:rPr>
        <w:t>4) nakazania publikacji odpowiedzi na stwierdzenia naruszające dobra osobiste;</w:t>
      </w:r>
    </w:p>
    <w:p w14:paraId="216AD808" w14:textId="77777777" w:rsidR="00AD53A3" w:rsidRPr="009D3A9E" w:rsidRDefault="00AD53A3" w:rsidP="00EA3AAB">
      <w:pPr>
        <w:pStyle w:val="JuQuotSub"/>
        <w:rPr>
          <w:lang w:val="pl-PL"/>
        </w:rPr>
      </w:pPr>
      <w:r w:rsidRPr="009D3A9E">
        <w:rPr>
          <w:lang w:val="pl-PL"/>
        </w:rPr>
        <w:t>5) nakazania przeproszenia osoby, której dobra osobiste zostały naruszone;</w:t>
      </w:r>
    </w:p>
    <w:p w14:paraId="1AEE79F5" w14:textId="48F9105F" w:rsidR="00AD53A3" w:rsidRPr="009D3A9E" w:rsidRDefault="00AD53A3" w:rsidP="00EA3AAB">
      <w:pPr>
        <w:pStyle w:val="JuQuotSub"/>
        <w:rPr>
          <w:lang w:val="pl-PL"/>
        </w:rPr>
      </w:pPr>
      <w:r w:rsidRPr="009D3A9E">
        <w:rPr>
          <w:lang w:val="pl-PL"/>
        </w:rPr>
        <w:t>6) nakazania uczestnikowi postępowania wpłacenia kwoty do 100</w:t>
      </w:r>
      <w:r w:rsidR="004E5015" w:rsidRPr="009D3A9E">
        <w:rPr>
          <w:lang w:val="pl-PL"/>
        </w:rPr>
        <w:t xml:space="preserve"> </w:t>
      </w:r>
      <w:r w:rsidRPr="009D3A9E">
        <w:rPr>
          <w:lang w:val="pl-PL"/>
        </w:rPr>
        <w:t>000 zł rzecz organizacji pożytku publicznego.</w:t>
      </w:r>
    </w:p>
    <w:p w14:paraId="49C977AE" w14:textId="49CA6A32" w:rsidR="00AD53A3" w:rsidRPr="009D3A9E" w:rsidRDefault="00AD53A3" w:rsidP="00EA3AAB">
      <w:pPr>
        <w:pStyle w:val="JuQuot"/>
        <w:rPr>
          <w:lang w:val="pl-PL"/>
        </w:rPr>
      </w:pPr>
      <w:r w:rsidRPr="009D3A9E">
        <w:rPr>
          <w:lang w:val="pl-PL"/>
        </w:rPr>
        <w:t>2.</w:t>
      </w:r>
      <w:r w:rsidR="004E5015" w:rsidRPr="009D3A9E">
        <w:rPr>
          <w:lang w:val="pl-PL"/>
        </w:rPr>
        <w:t xml:space="preserve"> </w:t>
      </w:r>
      <w:r w:rsidRPr="009D3A9E">
        <w:rPr>
          <w:lang w:val="pl-PL"/>
        </w:rPr>
        <w:t xml:space="preserve">Sąd okręgowy rozpoznaje wniosek, o którym </w:t>
      </w:r>
      <w:r w:rsidR="00E06D5F" w:rsidRPr="009D3A9E">
        <w:rPr>
          <w:lang w:val="pl-PL"/>
        </w:rPr>
        <w:t>mowa w § 1, w ciągu 24 godzin w</w:t>
      </w:r>
      <w:r w:rsidR="009F3748">
        <w:rPr>
          <w:lang w:val="pl-PL"/>
        </w:rPr>
        <w:t> </w:t>
      </w:r>
      <w:r w:rsidRPr="009D3A9E">
        <w:rPr>
          <w:lang w:val="pl-PL"/>
        </w:rPr>
        <w:t>postępowaniu nieprocesowym. [...] Postan</w:t>
      </w:r>
      <w:r w:rsidR="00E06D5F" w:rsidRPr="009D3A9E">
        <w:rPr>
          <w:lang w:val="pl-PL"/>
        </w:rPr>
        <w:t>owienie kończące postępowanie w</w:t>
      </w:r>
      <w:r w:rsidR="009F3748">
        <w:rPr>
          <w:lang w:val="pl-PL"/>
        </w:rPr>
        <w:t> </w:t>
      </w:r>
      <w:r w:rsidRPr="009D3A9E">
        <w:rPr>
          <w:lang w:val="pl-PL"/>
        </w:rPr>
        <w:t>sprawie sąd niezwłocznie doręcza wraz z uzasadni</w:t>
      </w:r>
      <w:r w:rsidR="00E06D5F" w:rsidRPr="009D3A9E">
        <w:rPr>
          <w:lang w:val="pl-PL"/>
        </w:rPr>
        <w:t>eniem osobie zainteresowanej, o</w:t>
      </w:r>
      <w:r w:rsidR="009F3748">
        <w:rPr>
          <w:lang w:val="pl-PL"/>
        </w:rPr>
        <w:t> </w:t>
      </w:r>
      <w:r w:rsidRPr="009D3A9E">
        <w:rPr>
          <w:lang w:val="pl-PL"/>
        </w:rPr>
        <w:t>której mowa w § 1, i zobowiązanemu do wykonania postanowienia sądu.</w:t>
      </w:r>
    </w:p>
    <w:p w14:paraId="51013995" w14:textId="4ADEC96A" w:rsidR="00AD53A3" w:rsidRPr="009D3A9E" w:rsidRDefault="00AD53A3" w:rsidP="00EA3AAB">
      <w:pPr>
        <w:pStyle w:val="JuQuot"/>
        <w:rPr>
          <w:lang w:val="pl-PL"/>
        </w:rPr>
      </w:pPr>
      <w:r w:rsidRPr="009D3A9E">
        <w:rPr>
          <w:lang w:val="pl-PL"/>
        </w:rPr>
        <w:t>3.</w:t>
      </w:r>
      <w:r w:rsidR="004E5015" w:rsidRPr="009D3A9E">
        <w:rPr>
          <w:lang w:val="pl-PL"/>
        </w:rPr>
        <w:t xml:space="preserve"> </w:t>
      </w:r>
      <w:r w:rsidRPr="009D3A9E">
        <w:rPr>
          <w:lang w:val="pl-PL"/>
        </w:rPr>
        <w:t>Na postanowienie sądu okręgowego przysługuje w ciągu 24 godzin zażalenie do</w:t>
      </w:r>
      <w:r w:rsidR="009F3748">
        <w:rPr>
          <w:lang w:val="pl-PL"/>
        </w:rPr>
        <w:t> </w:t>
      </w:r>
      <w:r w:rsidRPr="009D3A9E">
        <w:rPr>
          <w:lang w:val="pl-PL"/>
        </w:rPr>
        <w:t>sądu apelacyjnego, który rozpoznaje je w ciągu 24 godzin. Od postanowienia sądu apelacyjnego nie przysługuje skarga kasacyjna i podlega ono natychmiastowemu wykonaniu”.</w:t>
      </w:r>
    </w:p>
    <w:p w14:paraId="370AEE22" w14:textId="77777777" w:rsidR="00AD53A3" w:rsidRPr="009D3A9E" w:rsidRDefault="00AD53A3" w:rsidP="00EA3AAB">
      <w:pPr>
        <w:pStyle w:val="JuHArticle"/>
        <w:rPr>
          <w:lang w:val="pl-PL"/>
        </w:rPr>
      </w:pPr>
      <w:r w:rsidRPr="009D3A9E">
        <w:rPr>
          <w:bCs/>
          <w:lang w:val="pl-PL"/>
        </w:rPr>
        <w:t>Artykuł 153</w:t>
      </w:r>
    </w:p>
    <w:p w14:paraId="395E627F" w14:textId="5328DCDE" w:rsidR="00AD53A3" w:rsidRPr="009D3A9E" w:rsidRDefault="00AD53A3" w:rsidP="00EA3AAB">
      <w:pPr>
        <w:pStyle w:val="JuQuot"/>
        <w:rPr>
          <w:lang w:val="pl-PL"/>
        </w:rPr>
      </w:pPr>
      <w:r w:rsidRPr="009D3A9E">
        <w:rPr>
          <w:lang w:val="pl-PL"/>
        </w:rPr>
        <w:t>„3.</w:t>
      </w:r>
      <w:r w:rsidR="004E5015" w:rsidRPr="009D3A9E">
        <w:rPr>
          <w:lang w:val="pl-PL"/>
        </w:rPr>
        <w:t xml:space="preserve"> </w:t>
      </w:r>
      <w:r w:rsidRPr="009D3A9E">
        <w:rPr>
          <w:lang w:val="pl-PL"/>
        </w:rPr>
        <w:t>Komisarze wyborczy, członkowie Państwowej Komisji Wyborczej, okręgowej, rejonowej i terytorialnej komisji wyborczej nie mogą prowadzić agitacji wyborczej na</w:t>
      </w:r>
      <w:r w:rsidR="009F3748">
        <w:rPr>
          <w:lang w:val="pl-PL"/>
        </w:rPr>
        <w:t> </w:t>
      </w:r>
      <w:r w:rsidRPr="009D3A9E">
        <w:rPr>
          <w:lang w:val="pl-PL"/>
        </w:rPr>
        <w:t>rzecz poszczególnych kandydatów lub list kandydatów”.</w:t>
      </w:r>
    </w:p>
    <w:p w14:paraId="74F57B4C" w14:textId="77777777" w:rsidR="00AD53A3" w:rsidRPr="009D3A9E" w:rsidRDefault="00AD53A3" w:rsidP="00EA3AAB">
      <w:pPr>
        <w:pStyle w:val="JuHHead"/>
        <w:rPr>
          <w:lang w:val="pl-PL"/>
        </w:rPr>
      </w:pPr>
      <w:r w:rsidRPr="009D3A9E">
        <w:rPr>
          <w:bCs w:val="0"/>
          <w:lang w:val="pl-PL"/>
        </w:rPr>
        <w:t>PRAWO</w:t>
      </w:r>
    </w:p>
    <w:p w14:paraId="088818A9" w14:textId="6371DB69" w:rsidR="00AD53A3" w:rsidRPr="009D3A9E" w:rsidRDefault="00EC2D68" w:rsidP="00EA3AAB">
      <w:pPr>
        <w:pStyle w:val="JuHIRoman"/>
        <w:numPr>
          <w:ilvl w:val="0"/>
          <w:numId w:val="0"/>
        </w:numPr>
        <w:rPr>
          <w:lang w:val="pl-PL"/>
        </w:rPr>
      </w:pPr>
      <w:r w:rsidRPr="009D3A9E">
        <w:rPr>
          <w:bCs w:val="0"/>
          <w:lang w:val="pl-PL"/>
        </w:rPr>
        <w:t>zARZUCANE</w:t>
      </w:r>
      <w:r w:rsidR="00AD53A3" w:rsidRPr="009D3A9E">
        <w:rPr>
          <w:bCs w:val="0"/>
          <w:lang w:val="pl-PL"/>
        </w:rPr>
        <w:t xml:space="preserve"> NARUSZENIE ART.</w:t>
      </w:r>
      <w:r w:rsidR="004E5015" w:rsidRPr="009D3A9E">
        <w:rPr>
          <w:bCs w:val="0"/>
          <w:lang w:val="pl-PL"/>
        </w:rPr>
        <w:t xml:space="preserve"> </w:t>
      </w:r>
      <w:r w:rsidR="00AD53A3" w:rsidRPr="009D3A9E">
        <w:rPr>
          <w:bCs w:val="0"/>
          <w:lang w:val="pl-PL"/>
        </w:rPr>
        <w:t>10 KONWENCJI</w:t>
      </w:r>
    </w:p>
    <w:p w14:paraId="6826BD38" w14:textId="0EB0C28F" w:rsidR="00AD53A3" w:rsidRPr="009D3A9E" w:rsidRDefault="00AD53A3" w:rsidP="00EA3AAB">
      <w:pPr>
        <w:pStyle w:val="JuPara"/>
        <w:rPr>
          <w:lang w:val="pl-PL"/>
        </w:rPr>
      </w:pPr>
      <w:r w:rsidRPr="009D3A9E">
        <w:rPr>
          <w:noProof/>
          <w:lang w:val="pl-PL"/>
        </w:rPr>
        <w:t>35</w:t>
      </w:r>
      <w:r w:rsidRPr="009D3A9E">
        <w:rPr>
          <w:lang w:val="pl-PL"/>
        </w:rPr>
        <w:t>.</w:t>
      </w:r>
      <w:r w:rsidR="004E5015" w:rsidRPr="009D3A9E">
        <w:rPr>
          <w:lang w:val="pl-PL"/>
        </w:rPr>
        <w:t xml:space="preserve"> </w:t>
      </w:r>
      <w:r w:rsidRPr="009D3A9E">
        <w:rPr>
          <w:lang w:val="pl-PL"/>
        </w:rPr>
        <w:t>Skarżący zarzucił, na podstawie art.</w:t>
      </w:r>
      <w:r w:rsidR="004E5015" w:rsidRPr="009D3A9E">
        <w:rPr>
          <w:lang w:val="pl-PL"/>
        </w:rPr>
        <w:t xml:space="preserve"> </w:t>
      </w:r>
      <w:r w:rsidRPr="009D3A9E">
        <w:rPr>
          <w:lang w:val="pl-PL"/>
        </w:rPr>
        <w:t>6 i</w:t>
      </w:r>
      <w:r w:rsidR="004E5015" w:rsidRPr="009D3A9E">
        <w:rPr>
          <w:lang w:val="pl-PL"/>
        </w:rPr>
        <w:t xml:space="preserve"> </w:t>
      </w:r>
      <w:r w:rsidRPr="009D3A9E">
        <w:rPr>
          <w:lang w:val="pl-PL"/>
        </w:rPr>
        <w:t>10 Konwencji, że jego prawo do wolności wyrażania opinii przewidzian</w:t>
      </w:r>
      <w:r w:rsidR="00E06D5F" w:rsidRPr="009D3A9E">
        <w:rPr>
          <w:lang w:val="pl-PL"/>
        </w:rPr>
        <w:t>e w art.</w:t>
      </w:r>
      <w:r w:rsidR="004E5015" w:rsidRPr="009D3A9E">
        <w:rPr>
          <w:lang w:val="pl-PL"/>
        </w:rPr>
        <w:t xml:space="preserve"> </w:t>
      </w:r>
      <w:r w:rsidR="00E06D5F" w:rsidRPr="009D3A9E">
        <w:rPr>
          <w:lang w:val="pl-PL"/>
        </w:rPr>
        <w:t>10 zostało naruszone w</w:t>
      </w:r>
      <w:r w:rsidR="009F3748">
        <w:rPr>
          <w:lang w:val="pl-PL"/>
        </w:rPr>
        <w:t> </w:t>
      </w:r>
      <w:r w:rsidRPr="009D3A9E">
        <w:rPr>
          <w:lang w:val="pl-PL"/>
        </w:rPr>
        <w:t xml:space="preserve">postępowaniu uproszczonym na podstawie Kodeksu wyborczego. Trybunał uważa, że </w:t>
      </w:r>
      <w:r w:rsidR="00884DA9">
        <w:rPr>
          <w:lang w:val="pl-PL"/>
        </w:rPr>
        <w:t xml:space="preserve">zarzuty </w:t>
      </w:r>
      <w:r w:rsidRPr="009D3A9E">
        <w:rPr>
          <w:lang w:val="pl-PL"/>
        </w:rPr>
        <w:t>skarżącego powinny być rozpatrywane wyłącznie z punktu widzenia art.</w:t>
      </w:r>
      <w:r w:rsidR="004E5015" w:rsidRPr="009D3A9E">
        <w:rPr>
          <w:lang w:val="pl-PL"/>
        </w:rPr>
        <w:t xml:space="preserve"> </w:t>
      </w:r>
      <w:r w:rsidRPr="009D3A9E">
        <w:rPr>
          <w:lang w:val="pl-PL"/>
        </w:rPr>
        <w:t>10, mając na uwadze, że ponieważ Trybunał jest organem decydującym o kwalifikacji prawnej okoliczności faktycznych sprawy, nie jest on związany kwalifikacją dokon</w:t>
      </w:r>
      <w:r w:rsidR="002D7E2D" w:rsidRPr="009D3A9E">
        <w:rPr>
          <w:lang w:val="pl-PL"/>
        </w:rPr>
        <w:t xml:space="preserve">aną przez skarżącego </w:t>
      </w:r>
      <w:r w:rsidR="002D7E2D" w:rsidRPr="009D3A9E">
        <w:rPr>
          <w:lang w:val="pl-PL"/>
        </w:rPr>
        <w:lastRenderedPageBreak/>
        <w:t>ani</w:t>
      </w:r>
      <w:r w:rsidR="009F3748">
        <w:rPr>
          <w:lang w:val="pl-PL"/>
        </w:rPr>
        <w:t> </w:t>
      </w:r>
      <w:r w:rsidR="002D7E2D" w:rsidRPr="009D3A9E">
        <w:rPr>
          <w:lang w:val="pl-PL"/>
        </w:rPr>
        <w:t>przez R</w:t>
      </w:r>
      <w:r w:rsidRPr="009D3A9E">
        <w:rPr>
          <w:lang w:val="pl-PL"/>
        </w:rPr>
        <w:t xml:space="preserve">ząd (zob. </w:t>
      </w:r>
      <w:bookmarkStart w:id="13" w:name="_Hlk85030965"/>
      <w:r w:rsidRPr="009D3A9E">
        <w:rPr>
          <w:i/>
          <w:iCs/>
          <w:lang w:val="pl-PL"/>
        </w:rPr>
        <w:t xml:space="preserve">Radomilja i Inni przeciwko Chorwacji </w:t>
      </w:r>
      <w:r w:rsidRPr="009D3A9E">
        <w:rPr>
          <w:lang w:val="pl-PL"/>
        </w:rPr>
        <w:t>[WI], nr</w:t>
      </w:r>
      <w:r w:rsidR="009F3748">
        <w:rPr>
          <w:lang w:val="pl-PL"/>
        </w:rPr>
        <w:t> </w:t>
      </w:r>
      <w:r w:rsidRPr="009D3A9E">
        <w:rPr>
          <w:lang w:val="pl-PL"/>
        </w:rPr>
        <w:t>37685/10 i 22768/12, §</w:t>
      </w:r>
      <w:r w:rsidR="004E5015" w:rsidRPr="009D3A9E">
        <w:rPr>
          <w:lang w:val="pl-PL"/>
        </w:rPr>
        <w:t xml:space="preserve"> </w:t>
      </w:r>
      <w:r w:rsidRPr="009D3A9E">
        <w:rPr>
          <w:lang w:val="pl-PL"/>
        </w:rPr>
        <w:t>126, 20</w:t>
      </w:r>
      <w:r w:rsidR="004E5015" w:rsidRPr="009D3A9E">
        <w:rPr>
          <w:lang w:val="pl-PL"/>
        </w:rPr>
        <w:t xml:space="preserve"> </w:t>
      </w:r>
      <w:r w:rsidRPr="009D3A9E">
        <w:rPr>
          <w:lang w:val="pl-PL"/>
        </w:rPr>
        <w:t>marca 2018</w:t>
      </w:r>
      <w:r w:rsidR="004E5015" w:rsidRPr="009D3A9E">
        <w:rPr>
          <w:lang w:val="pl-PL"/>
        </w:rPr>
        <w:t xml:space="preserve"> </w:t>
      </w:r>
      <w:r w:rsidRPr="009D3A9E">
        <w:rPr>
          <w:lang w:val="pl-PL"/>
        </w:rPr>
        <w:t>r.</w:t>
      </w:r>
      <w:bookmarkEnd w:id="13"/>
      <w:r w:rsidRPr="009D3A9E">
        <w:rPr>
          <w:lang w:val="pl-PL"/>
        </w:rPr>
        <w:t>). Art.</w:t>
      </w:r>
      <w:r w:rsidR="004E5015" w:rsidRPr="009D3A9E">
        <w:rPr>
          <w:lang w:val="pl-PL"/>
        </w:rPr>
        <w:t xml:space="preserve"> </w:t>
      </w:r>
      <w:r w:rsidRPr="009D3A9E">
        <w:rPr>
          <w:lang w:val="pl-PL"/>
        </w:rPr>
        <w:t>10 stanowi, co</w:t>
      </w:r>
      <w:r w:rsidR="009F3748">
        <w:rPr>
          <w:lang w:val="pl-PL"/>
        </w:rPr>
        <w:t> </w:t>
      </w:r>
      <w:r w:rsidRPr="009D3A9E">
        <w:rPr>
          <w:lang w:val="pl-PL"/>
        </w:rPr>
        <w:t>następuje:</w:t>
      </w:r>
    </w:p>
    <w:p w14:paraId="31360588" w14:textId="7872D112" w:rsidR="00AD53A3" w:rsidRPr="009D3A9E" w:rsidRDefault="00AD53A3" w:rsidP="00EA3AAB">
      <w:pPr>
        <w:pStyle w:val="JuQuot"/>
        <w:rPr>
          <w:lang w:val="pl-PL"/>
        </w:rPr>
      </w:pPr>
      <w:r w:rsidRPr="009D3A9E">
        <w:rPr>
          <w:lang w:val="pl-PL"/>
        </w:rPr>
        <w:t>„1.</w:t>
      </w:r>
      <w:r w:rsidR="004E5015" w:rsidRPr="009D3A9E">
        <w:rPr>
          <w:lang w:val="pl-PL"/>
        </w:rPr>
        <w:t xml:space="preserve"> </w:t>
      </w:r>
      <w:r w:rsidR="00EC2D68" w:rsidRPr="009D3A9E">
        <w:rPr>
          <w:lang w:val="pl-PL"/>
        </w:rPr>
        <w:t>Każdy ma prawo do wolności wyrażania opinii. Prawo to obejmuje wolność posiadania poglądów oraz otrzymywania i przekazywania informacji i idei bez</w:t>
      </w:r>
      <w:r w:rsidR="009F3748">
        <w:rPr>
          <w:lang w:val="pl-PL"/>
        </w:rPr>
        <w:t> </w:t>
      </w:r>
      <w:r w:rsidR="00EC2D68" w:rsidRPr="009D3A9E">
        <w:rPr>
          <w:lang w:val="pl-PL"/>
        </w:rPr>
        <w:t>ingerencji władz publicznych i bez względu na granice państwowe. Niniejszy przepis nie wyklucza prawa Państw do poddania procedurze zezwoleń przedsiębiorstw radiowych, telewizyjnych lub kinematograficznych.</w:t>
      </w:r>
    </w:p>
    <w:p w14:paraId="007EF360" w14:textId="74FB9951" w:rsidR="00AD53A3" w:rsidRPr="009D3A9E" w:rsidRDefault="00AD53A3" w:rsidP="00EA3AAB">
      <w:pPr>
        <w:pStyle w:val="JuQuot"/>
        <w:rPr>
          <w:lang w:val="pl-PL"/>
        </w:rPr>
      </w:pPr>
      <w:r w:rsidRPr="009D3A9E">
        <w:rPr>
          <w:lang w:val="pl-PL"/>
        </w:rPr>
        <w:t>2.</w:t>
      </w:r>
      <w:r w:rsidR="004E5015" w:rsidRPr="009D3A9E">
        <w:rPr>
          <w:lang w:val="pl-PL"/>
        </w:rPr>
        <w:t xml:space="preserve"> </w:t>
      </w:r>
      <w:r w:rsidR="00EC2D68" w:rsidRPr="009D3A9E">
        <w:rPr>
          <w:lang w:val="pl-PL"/>
        </w:rPr>
        <w:t>Korzystanie z tych wolności pociągających za sobą obowiązki i</w:t>
      </w:r>
      <w:r w:rsidR="009F3748">
        <w:rPr>
          <w:lang w:val="pl-PL"/>
        </w:rPr>
        <w:t> </w:t>
      </w:r>
      <w:r w:rsidR="00EC2D68" w:rsidRPr="009D3A9E">
        <w:rPr>
          <w:lang w:val="pl-PL"/>
        </w:rPr>
        <w:t>odpowiedzialność</w:t>
      </w:r>
      <w:r w:rsidR="009F3748">
        <w:rPr>
          <w:lang w:val="pl-PL"/>
        </w:rPr>
        <w:t xml:space="preserve"> </w:t>
      </w:r>
      <w:r w:rsidR="00EC2D68" w:rsidRPr="009D3A9E">
        <w:rPr>
          <w:lang w:val="pl-PL"/>
        </w:rPr>
        <w:t>może podlegać takim wymogom formalnym, warunkom, ograniczeniom i</w:t>
      </w:r>
      <w:r w:rsidR="009F3748">
        <w:rPr>
          <w:lang w:val="pl-PL"/>
        </w:rPr>
        <w:t> </w:t>
      </w:r>
      <w:r w:rsidR="00EC2D68" w:rsidRPr="009D3A9E">
        <w:rPr>
          <w:lang w:val="pl-PL"/>
        </w:rPr>
        <w:t>sankcjom,</w:t>
      </w:r>
      <w:r w:rsidR="009F3748">
        <w:rPr>
          <w:lang w:val="pl-PL"/>
        </w:rPr>
        <w:t> </w:t>
      </w:r>
      <w:r w:rsidR="00EC2D68" w:rsidRPr="009D3A9E">
        <w:rPr>
          <w:lang w:val="pl-PL"/>
        </w:rPr>
        <w:t>jakie są przewidziane przez ustawę i niezbędne w społeczeństwie demokratycznym</w:t>
      </w:r>
      <w:r w:rsidR="009F3748">
        <w:rPr>
          <w:lang w:val="pl-PL"/>
        </w:rPr>
        <w:t> </w:t>
      </w:r>
      <w:r w:rsidR="00EC2D68" w:rsidRPr="009D3A9E">
        <w:rPr>
          <w:lang w:val="pl-PL"/>
        </w:rPr>
        <w:t>w</w:t>
      </w:r>
      <w:r w:rsidR="009F3748">
        <w:rPr>
          <w:lang w:val="pl-PL"/>
        </w:rPr>
        <w:t> </w:t>
      </w:r>
      <w:r w:rsidR="00EC2D68" w:rsidRPr="009D3A9E">
        <w:rPr>
          <w:lang w:val="pl-PL"/>
        </w:rPr>
        <w:t>interesie bezpieczeństwa państwowego, integralności terytorialnej lub</w:t>
      </w:r>
      <w:r w:rsidR="009F3748">
        <w:rPr>
          <w:lang w:val="pl-PL"/>
        </w:rPr>
        <w:t> </w:t>
      </w:r>
      <w:r w:rsidR="00EC2D68" w:rsidRPr="009D3A9E">
        <w:rPr>
          <w:lang w:val="pl-PL"/>
        </w:rPr>
        <w:t>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9D3A9E">
        <w:rPr>
          <w:lang w:val="pl-PL"/>
        </w:rPr>
        <w:t>”.</w:t>
      </w:r>
    </w:p>
    <w:p w14:paraId="214B497F" w14:textId="77777777" w:rsidR="00AD53A3" w:rsidRPr="009D3A9E" w:rsidRDefault="00AD53A3" w:rsidP="00EA3AAB">
      <w:pPr>
        <w:pStyle w:val="JuHA"/>
        <w:rPr>
          <w:lang w:val="pl-PL"/>
        </w:rPr>
      </w:pPr>
      <w:r w:rsidRPr="009D3A9E">
        <w:rPr>
          <w:lang w:val="pl-PL"/>
        </w:rPr>
        <w:t>Dopuszczalność</w:t>
      </w:r>
    </w:p>
    <w:p w14:paraId="604F59A3" w14:textId="2CFFF98E" w:rsidR="00AD53A3" w:rsidRPr="009D3A9E" w:rsidRDefault="00AD53A3" w:rsidP="00EA3AAB">
      <w:pPr>
        <w:pStyle w:val="JuPara"/>
        <w:rPr>
          <w:lang w:val="pl-PL"/>
        </w:rPr>
      </w:pPr>
      <w:r w:rsidRPr="009D3A9E">
        <w:rPr>
          <w:noProof/>
          <w:lang w:val="pl-PL"/>
        </w:rPr>
        <w:t>36</w:t>
      </w:r>
      <w:r w:rsidRPr="009D3A9E">
        <w:rPr>
          <w:lang w:val="pl-PL"/>
        </w:rPr>
        <w:t>.</w:t>
      </w:r>
      <w:r w:rsidR="004E5015" w:rsidRPr="009D3A9E">
        <w:rPr>
          <w:lang w:val="pl-PL"/>
        </w:rPr>
        <w:t xml:space="preserve"> </w:t>
      </w:r>
      <w:r w:rsidRPr="009D3A9E">
        <w:rPr>
          <w:lang w:val="pl-PL"/>
        </w:rPr>
        <w:t>Trybunał zauważa, że skarga ta nie jest w sposób oczywisty nieuzasadniona ani niedopuszczalna na jakiejkolwiek innej podstawie wymienionej w art.</w:t>
      </w:r>
      <w:r w:rsidR="004E5015" w:rsidRPr="009D3A9E">
        <w:rPr>
          <w:lang w:val="pl-PL"/>
        </w:rPr>
        <w:t xml:space="preserve"> </w:t>
      </w:r>
      <w:r w:rsidRPr="009D3A9E">
        <w:rPr>
          <w:lang w:val="pl-PL"/>
        </w:rPr>
        <w:t>35 Konwencji. Należy zatem uznać ją za dopuszczalną.</w:t>
      </w:r>
    </w:p>
    <w:p w14:paraId="5F2EB903" w14:textId="77777777" w:rsidR="00AD53A3" w:rsidRPr="009D3A9E" w:rsidRDefault="00AD53A3" w:rsidP="00EA3AAB">
      <w:pPr>
        <w:pStyle w:val="JuHA"/>
        <w:rPr>
          <w:lang w:val="pl-PL"/>
        </w:rPr>
      </w:pPr>
      <w:r w:rsidRPr="009D3A9E">
        <w:rPr>
          <w:lang w:val="pl-PL"/>
        </w:rPr>
        <w:t>Przedmiot skargi</w:t>
      </w:r>
    </w:p>
    <w:p w14:paraId="1E7C94BD" w14:textId="77777777" w:rsidR="00AD53A3" w:rsidRPr="009D3A9E" w:rsidRDefault="00AD53A3" w:rsidP="00EA3AAB">
      <w:pPr>
        <w:pStyle w:val="JuH1"/>
        <w:rPr>
          <w:lang w:val="pl-PL"/>
        </w:rPr>
      </w:pPr>
      <w:r w:rsidRPr="009D3A9E">
        <w:rPr>
          <w:bCs w:val="0"/>
          <w:lang w:val="pl-PL"/>
        </w:rPr>
        <w:t>Stanowiska stron</w:t>
      </w:r>
    </w:p>
    <w:p w14:paraId="2C62D8AC" w14:textId="22D56BCC" w:rsidR="00AD53A3" w:rsidRPr="009D3A9E" w:rsidRDefault="00AD53A3" w:rsidP="00EA3AAB">
      <w:pPr>
        <w:pStyle w:val="JuPara"/>
        <w:rPr>
          <w:lang w:val="pl-PL"/>
        </w:rPr>
      </w:pPr>
      <w:r w:rsidRPr="009D3A9E">
        <w:rPr>
          <w:noProof/>
          <w:lang w:val="pl-PL"/>
        </w:rPr>
        <w:t>37</w:t>
      </w:r>
      <w:r w:rsidRPr="009D3A9E">
        <w:rPr>
          <w:lang w:val="pl-PL"/>
        </w:rPr>
        <w:t>.</w:t>
      </w:r>
      <w:r w:rsidR="004E5015" w:rsidRPr="009D3A9E">
        <w:rPr>
          <w:lang w:val="pl-PL"/>
        </w:rPr>
        <w:t xml:space="preserve"> </w:t>
      </w:r>
      <w:r w:rsidRPr="009D3A9E">
        <w:rPr>
          <w:lang w:val="pl-PL"/>
        </w:rPr>
        <w:t xml:space="preserve">Skarżący podkreślił </w:t>
      </w:r>
      <w:r w:rsidR="002E65FE" w:rsidRPr="009D3A9E">
        <w:rPr>
          <w:lang w:val="pl-PL"/>
        </w:rPr>
        <w:t xml:space="preserve">istotną </w:t>
      </w:r>
      <w:r w:rsidRPr="009D3A9E">
        <w:rPr>
          <w:lang w:val="pl-PL"/>
        </w:rPr>
        <w:t xml:space="preserve">rolę prasy w społeczeństwie demokratycznym, w szczególności w kontekście wolnych wyborów. Skarżący był dziennikarzem i korzystał z ochrony jako </w:t>
      </w:r>
      <w:r w:rsidR="00BD6622" w:rsidRPr="009D3A9E">
        <w:rPr>
          <w:lang w:val="pl-PL"/>
        </w:rPr>
        <w:t xml:space="preserve">publiczny </w:t>
      </w:r>
      <w:r w:rsidR="00884DA9">
        <w:rPr>
          <w:lang w:val="pl-PL"/>
        </w:rPr>
        <w:t>„</w:t>
      </w:r>
      <w:r w:rsidR="00BD6622" w:rsidRPr="009D3A9E">
        <w:rPr>
          <w:lang w:val="pl-PL"/>
        </w:rPr>
        <w:t>nadzorca</w:t>
      </w:r>
      <w:r w:rsidR="00884DA9">
        <w:rPr>
          <w:lang w:val="pl-PL"/>
        </w:rPr>
        <w:t>” (</w:t>
      </w:r>
      <w:r w:rsidR="00884DA9" w:rsidRPr="00884DA9">
        <w:rPr>
          <w:i/>
          <w:lang w:val="pl-PL"/>
        </w:rPr>
        <w:t>watchdog</w:t>
      </w:r>
      <w:r w:rsidR="00884DA9">
        <w:rPr>
          <w:lang w:val="pl-PL"/>
        </w:rPr>
        <w:t>)</w:t>
      </w:r>
      <w:r w:rsidRPr="009D3A9E">
        <w:rPr>
          <w:lang w:val="pl-PL"/>
        </w:rPr>
        <w:t>. G.G. był natomiast politykiem, który powinien był wykazać się większą tolerancją wobec krytyki. Skarżący uznał, że ingerencja władz nie</w:t>
      </w:r>
      <w:r w:rsidR="009F3748">
        <w:rPr>
          <w:lang w:val="pl-PL"/>
        </w:rPr>
        <w:t> </w:t>
      </w:r>
      <w:r w:rsidRPr="009D3A9E">
        <w:rPr>
          <w:lang w:val="pl-PL"/>
        </w:rPr>
        <w:t xml:space="preserve">miała </w:t>
      </w:r>
      <w:r w:rsidR="00A96655" w:rsidRPr="009D3A9E">
        <w:rPr>
          <w:lang w:val="pl-PL"/>
        </w:rPr>
        <w:t xml:space="preserve">uprawnionego </w:t>
      </w:r>
      <w:r w:rsidRPr="009D3A9E">
        <w:rPr>
          <w:lang w:val="pl-PL"/>
        </w:rPr>
        <w:t>celu. Podniósł on, że przedmiotowe publikacje nie</w:t>
      </w:r>
      <w:r w:rsidR="009F3748">
        <w:rPr>
          <w:lang w:val="pl-PL"/>
        </w:rPr>
        <w:t> </w:t>
      </w:r>
      <w:r w:rsidRPr="009D3A9E">
        <w:rPr>
          <w:lang w:val="pl-PL"/>
        </w:rPr>
        <w:t>wpłynęły na reputację G.G. ani nie miały wpływu na wynik wyborów. Ponadto ostatecznie skarżący nie został usunięty ze stanowiska członka Gminnej Komisji Wyborczej, co miałoby miejsce, gdyby jego działania były częścią kampanii wyborczej.</w:t>
      </w:r>
    </w:p>
    <w:p w14:paraId="671F194C" w14:textId="1C98FA40" w:rsidR="00AD53A3" w:rsidRPr="009D3A9E" w:rsidRDefault="00AD53A3" w:rsidP="00EA3AAB">
      <w:pPr>
        <w:pStyle w:val="JuPara"/>
        <w:rPr>
          <w:lang w:val="pl-PL"/>
        </w:rPr>
      </w:pPr>
      <w:r w:rsidRPr="009D3A9E">
        <w:rPr>
          <w:noProof/>
          <w:lang w:val="pl-PL"/>
        </w:rPr>
        <w:t>38</w:t>
      </w:r>
      <w:r w:rsidRPr="009D3A9E">
        <w:rPr>
          <w:lang w:val="pl-PL"/>
        </w:rPr>
        <w:t>.</w:t>
      </w:r>
      <w:r w:rsidR="004E5015" w:rsidRPr="009D3A9E">
        <w:rPr>
          <w:lang w:val="pl-PL"/>
        </w:rPr>
        <w:t xml:space="preserve"> </w:t>
      </w:r>
      <w:r w:rsidRPr="009D3A9E">
        <w:rPr>
          <w:lang w:val="pl-PL"/>
        </w:rPr>
        <w:t>W biuletynach skarżący nie komentował życia prywatnego G.G.; koncentrował się na sprawach istotnych dla gminy. Artykuły dotyczyły spraw finansowych i innych istotnych kwestii, takich jak budowa farmy wiatrowej. Miały one na celu uwrażliwienie mieszkańców na działania władz samorządowych. Ponadto skarżący analizował działania podejmowane przez G.G. w trakcie całej jego czteroletniej kadencji, a nie tylko przed wyborami. Nie było jasne, dlaczego G.G. czekał aż do czasu kampanii wyborczej, aby</w:t>
      </w:r>
      <w:r w:rsidR="009F3748">
        <w:rPr>
          <w:lang w:val="pl-PL"/>
        </w:rPr>
        <w:t> </w:t>
      </w:r>
      <w:r w:rsidRPr="009D3A9E">
        <w:rPr>
          <w:lang w:val="pl-PL"/>
        </w:rPr>
        <w:t xml:space="preserve">zgłosić skargi na zachowanie skarżącego. Skarżący uznał, że jedynym wyjaśnieniem jest to, iż G.G. zamierzał skorzystać ze specjalnego trybu </w:t>
      </w:r>
      <w:r w:rsidRPr="009D3A9E">
        <w:rPr>
          <w:lang w:val="pl-PL"/>
        </w:rPr>
        <w:lastRenderedPageBreak/>
        <w:t>przewidzianego w art.</w:t>
      </w:r>
      <w:r w:rsidR="004E5015" w:rsidRPr="009D3A9E">
        <w:rPr>
          <w:lang w:val="pl-PL"/>
        </w:rPr>
        <w:t xml:space="preserve"> </w:t>
      </w:r>
      <w:r w:rsidRPr="009D3A9E">
        <w:rPr>
          <w:lang w:val="pl-PL"/>
        </w:rPr>
        <w:t>111 Kodeksu wyborczego. Zdaniem skarżącego tryb ten „zapewniał politykom ochronę przed wszelką zniewagą lub</w:t>
      </w:r>
      <w:r w:rsidR="009F3748">
        <w:rPr>
          <w:lang w:val="pl-PL"/>
        </w:rPr>
        <w:t> </w:t>
      </w:r>
      <w:r w:rsidRPr="009D3A9E">
        <w:rPr>
          <w:lang w:val="pl-PL"/>
        </w:rPr>
        <w:t>zniesławieniem i powinien być uznany za niezgodny z art.</w:t>
      </w:r>
      <w:r w:rsidR="004E5015" w:rsidRPr="009D3A9E">
        <w:rPr>
          <w:lang w:val="pl-PL"/>
        </w:rPr>
        <w:t xml:space="preserve"> </w:t>
      </w:r>
      <w:r w:rsidRPr="009D3A9E">
        <w:rPr>
          <w:lang w:val="pl-PL"/>
        </w:rPr>
        <w:t>10” Konwencji.</w:t>
      </w:r>
    </w:p>
    <w:p w14:paraId="2F1A5825" w14:textId="742FA3DA" w:rsidR="00AD53A3" w:rsidRPr="009D3A9E" w:rsidRDefault="00AD53A3" w:rsidP="00EA3AAB">
      <w:pPr>
        <w:pStyle w:val="JuPara"/>
        <w:rPr>
          <w:lang w:val="pl-PL"/>
        </w:rPr>
      </w:pPr>
      <w:r w:rsidRPr="009D3A9E">
        <w:rPr>
          <w:noProof/>
          <w:lang w:val="pl-PL"/>
        </w:rPr>
        <w:t>39</w:t>
      </w:r>
      <w:r w:rsidRPr="009D3A9E">
        <w:rPr>
          <w:lang w:val="pl-PL"/>
        </w:rPr>
        <w:t>.</w:t>
      </w:r>
      <w:r w:rsidR="004E5015" w:rsidRPr="009D3A9E">
        <w:rPr>
          <w:lang w:val="pl-PL"/>
        </w:rPr>
        <w:t xml:space="preserve"> </w:t>
      </w:r>
      <w:r w:rsidRPr="009D3A9E">
        <w:rPr>
          <w:lang w:val="pl-PL"/>
        </w:rPr>
        <w:t>Skarżący podkreślił, że większość in</w:t>
      </w:r>
      <w:r w:rsidR="00E06D5F" w:rsidRPr="009D3A9E">
        <w:rPr>
          <w:lang w:val="pl-PL"/>
        </w:rPr>
        <w:t>formacji uzyskał bezpośrednio z</w:t>
      </w:r>
      <w:r w:rsidR="009F3748">
        <w:rPr>
          <w:lang w:val="pl-PL"/>
        </w:rPr>
        <w:t> </w:t>
      </w:r>
      <w:r w:rsidRPr="009D3A9E">
        <w:rPr>
          <w:lang w:val="pl-PL"/>
        </w:rPr>
        <w:t>urzędu gminy oraz z innych publicznie dostępnych dokumentów. Skarżący podniósł, że podczas rozprawy w pierwszej instancji został pozbawiony możliwości przedstawienia dowodów potwierdzających prawdziwość jego oświadczeń. Ponadto ze względu na ograniczenia czasowe nie był w stanie wyznaczyć adwokata ani złożyć wniosku o pomoc prawną.</w:t>
      </w:r>
    </w:p>
    <w:p w14:paraId="20B44D9F" w14:textId="71059F7C" w:rsidR="00AD53A3" w:rsidRPr="009D3A9E" w:rsidRDefault="00AD53A3" w:rsidP="00EA3AAB">
      <w:pPr>
        <w:pStyle w:val="JuPara"/>
        <w:rPr>
          <w:lang w:val="pl-PL"/>
        </w:rPr>
      </w:pPr>
      <w:r w:rsidRPr="009D3A9E">
        <w:rPr>
          <w:noProof/>
          <w:lang w:val="pl-PL"/>
        </w:rPr>
        <w:t>40</w:t>
      </w:r>
      <w:r w:rsidRPr="009D3A9E">
        <w:rPr>
          <w:lang w:val="pl-PL"/>
        </w:rPr>
        <w:t>.</w:t>
      </w:r>
      <w:r w:rsidR="004E5015" w:rsidRPr="009D3A9E">
        <w:rPr>
          <w:lang w:val="pl-PL"/>
        </w:rPr>
        <w:t xml:space="preserve"> </w:t>
      </w:r>
      <w:r w:rsidRPr="009D3A9E">
        <w:rPr>
          <w:lang w:val="pl-PL"/>
        </w:rPr>
        <w:t>Wreszcie skarżący podkreślił, że wymierzona mu kara była nadmiernie surowa i nieproporcjonalna do popełnionego czynu.</w:t>
      </w:r>
    </w:p>
    <w:p w14:paraId="40129FDC" w14:textId="41861185" w:rsidR="00AD53A3" w:rsidRPr="009D3A9E" w:rsidRDefault="00AD53A3" w:rsidP="00EA3AAB">
      <w:pPr>
        <w:pStyle w:val="JuPara"/>
        <w:rPr>
          <w:lang w:val="pl-PL"/>
        </w:rPr>
      </w:pPr>
      <w:bookmarkStart w:id="14" w:name="governmSUBMISbeggining"/>
      <w:r w:rsidRPr="009D3A9E">
        <w:rPr>
          <w:noProof/>
          <w:lang w:val="pl-PL"/>
        </w:rPr>
        <w:t>41</w:t>
      </w:r>
      <w:bookmarkEnd w:id="14"/>
      <w:r w:rsidRPr="009D3A9E">
        <w:rPr>
          <w:lang w:val="pl-PL"/>
        </w:rPr>
        <w:t>.</w:t>
      </w:r>
      <w:r w:rsidR="004E5015" w:rsidRPr="009D3A9E">
        <w:rPr>
          <w:lang w:val="pl-PL"/>
        </w:rPr>
        <w:t xml:space="preserve"> </w:t>
      </w:r>
      <w:r w:rsidRPr="009D3A9E">
        <w:rPr>
          <w:lang w:val="pl-PL"/>
        </w:rPr>
        <w:t>Rząd uznał, że ingerencja w prawo skarżącego do wolności wyrażania opinii była „przewidziana przez ustawę”</w:t>
      </w:r>
      <w:r w:rsidR="00E06D5F" w:rsidRPr="009D3A9E">
        <w:rPr>
          <w:lang w:val="pl-PL"/>
        </w:rPr>
        <w:t>, a mianowicie art.</w:t>
      </w:r>
      <w:r w:rsidR="004E5015" w:rsidRPr="009D3A9E">
        <w:rPr>
          <w:lang w:val="pl-PL"/>
        </w:rPr>
        <w:t xml:space="preserve"> </w:t>
      </w:r>
      <w:r w:rsidR="00E06D5F" w:rsidRPr="009D3A9E">
        <w:rPr>
          <w:lang w:val="pl-PL"/>
        </w:rPr>
        <w:t>111</w:t>
      </w:r>
      <w:r w:rsidR="004E5015" w:rsidRPr="009D3A9E">
        <w:rPr>
          <w:lang w:val="pl-PL"/>
        </w:rPr>
        <w:t xml:space="preserve"> </w:t>
      </w:r>
      <w:r w:rsidR="00E06D5F" w:rsidRPr="009D3A9E">
        <w:rPr>
          <w:lang w:val="pl-PL"/>
        </w:rPr>
        <w:t>§</w:t>
      </w:r>
      <w:r w:rsidR="004E5015" w:rsidRPr="009D3A9E">
        <w:rPr>
          <w:lang w:val="pl-PL"/>
        </w:rPr>
        <w:t xml:space="preserve"> </w:t>
      </w:r>
      <w:r w:rsidRPr="009D3A9E">
        <w:rPr>
          <w:lang w:val="pl-PL"/>
        </w:rPr>
        <w:t>1 Kodeksu wyborczego. Służyła ona realizacji u</w:t>
      </w:r>
      <w:r w:rsidR="00A96655" w:rsidRPr="009D3A9E">
        <w:rPr>
          <w:lang w:val="pl-PL"/>
        </w:rPr>
        <w:t>prawnionego</w:t>
      </w:r>
      <w:r w:rsidRPr="009D3A9E">
        <w:rPr>
          <w:lang w:val="pl-PL"/>
        </w:rPr>
        <w:t xml:space="preserve"> celu, ponieważ jej celem była ochrona dobrego imienia i praw innych osób. Ponadto Rząd podkreślił szczególny kontekst zabezpieczenia prawidłowego procesu wyborczego, ponieważ w trakcie kampanii wyborczej konieczna była ochrona kandydata przed rozpowszechnianiem nieprawdziwych informacji.</w:t>
      </w:r>
    </w:p>
    <w:p w14:paraId="258B7F42" w14:textId="0E87F81F" w:rsidR="00AD53A3" w:rsidRPr="009D3A9E" w:rsidRDefault="00AD53A3" w:rsidP="00EA3AAB">
      <w:pPr>
        <w:pStyle w:val="JuPara"/>
        <w:rPr>
          <w:lang w:val="pl-PL"/>
        </w:rPr>
      </w:pPr>
      <w:r w:rsidRPr="009D3A9E">
        <w:rPr>
          <w:noProof/>
          <w:lang w:val="pl-PL"/>
        </w:rPr>
        <w:t>42</w:t>
      </w:r>
      <w:r w:rsidRPr="009D3A9E">
        <w:rPr>
          <w:lang w:val="pl-PL"/>
        </w:rPr>
        <w:t>.</w:t>
      </w:r>
      <w:r w:rsidR="004E5015" w:rsidRPr="009D3A9E">
        <w:rPr>
          <w:lang w:val="pl-PL"/>
        </w:rPr>
        <w:t xml:space="preserve"> </w:t>
      </w:r>
      <w:r w:rsidRPr="009D3A9E">
        <w:rPr>
          <w:lang w:val="pl-PL"/>
        </w:rPr>
        <w:t>Rząd podkreślił, że sądy krajowe przeprowadziły analizę dwóch sprzecznych interesów, zgodnie z zasadami zawartymi w art.</w:t>
      </w:r>
      <w:r w:rsidR="004E5015" w:rsidRPr="009D3A9E">
        <w:rPr>
          <w:lang w:val="pl-PL"/>
        </w:rPr>
        <w:t xml:space="preserve"> </w:t>
      </w:r>
      <w:r w:rsidRPr="009D3A9E">
        <w:rPr>
          <w:lang w:val="pl-PL"/>
        </w:rPr>
        <w:t>10 Konwencji. Ingerencja ta była zatem proporcjonalna i konieczna do ochrony kandydata podczas kampanii wyborczej. Rząd przyznał, że na podstawie art.</w:t>
      </w:r>
      <w:r w:rsidR="004E5015" w:rsidRPr="009D3A9E">
        <w:rPr>
          <w:lang w:val="pl-PL"/>
        </w:rPr>
        <w:t xml:space="preserve"> </w:t>
      </w:r>
      <w:r w:rsidRPr="009D3A9E">
        <w:rPr>
          <w:lang w:val="pl-PL"/>
        </w:rPr>
        <w:t>10 istnieje niewielki zakres ograniczeń wypowiedzi politycznych i debaty na tematy związane z interesem publicznym. Przyznał, że skarżący był zaangażowany w działalność dziennikarską i że G.G. jako polityk</w:t>
      </w:r>
      <w:r w:rsidR="00114127" w:rsidRPr="009D3A9E">
        <w:rPr>
          <w:lang w:val="pl-PL"/>
        </w:rPr>
        <w:t xml:space="preserve"> </w:t>
      </w:r>
      <w:r w:rsidRPr="009D3A9E">
        <w:rPr>
          <w:lang w:val="pl-PL"/>
        </w:rPr>
        <w:t xml:space="preserve">był osobą publiczną. </w:t>
      </w:r>
      <w:r w:rsidR="003F306D">
        <w:rPr>
          <w:lang w:val="pl-PL"/>
        </w:rPr>
        <w:t>Na</w:t>
      </w:r>
      <w:r w:rsidR="009F3748">
        <w:rPr>
          <w:lang w:val="pl-PL"/>
        </w:rPr>
        <w:t> </w:t>
      </w:r>
      <w:r w:rsidR="003F306D">
        <w:rPr>
          <w:lang w:val="pl-PL"/>
        </w:rPr>
        <w:t>dziennikarzach ciążą</w:t>
      </w:r>
      <w:r w:rsidRPr="009D3A9E">
        <w:rPr>
          <w:lang w:val="pl-PL"/>
        </w:rPr>
        <w:t xml:space="preserve"> jednak</w:t>
      </w:r>
      <w:r w:rsidR="00E06D5F" w:rsidRPr="009D3A9E">
        <w:rPr>
          <w:lang w:val="pl-PL"/>
        </w:rPr>
        <w:t xml:space="preserve"> obowiązki i </w:t>
      </w:r>
      <w:r w:rsidR="003F306D">
        <w:rPr>
          <w:lang w:val="pl-PL"/>
        </w:rPr>
        <w:t>odpowiedzialność</w:t>
      </w:r>
      <w:r w:rsidR="003039D8" w:rsidRPr="009D3A9E">
        <w:rPr>
          <w:lang w:val="pl-PL"/>
        </w:rPr>
        <w:t xml:space="preserve"> </w:t>
      </w:r>
      <w:r w:rsidR="00E06D5F" w:rsidRPr="009D3A9E">
        <w:rPr>
          <w:lang w:val="pl-PL"/>
        </w:rPr>
        <w:t>i</w:t>
      </w:r>
      <w:r w:rsidR="004E5015" w:rsidRPr="009D3A9E">
        <w:rPr>
          <w:lang w:val="pl-PL"/>
        </w:rPr>
        <w:t xml:space="preserve"> </w:t>
      </w:r>
      <w:r w:rsidR="003F306D">
        <w:rPr>
          <w:lang w:val="pl-PL"/>
        </w:rPr>
        <w:t>muszą</w:t>
      </w:r>
      <w:r w:rsidRPr="009D3A9E">
        <w:rPr>
          <w:lang w:val="pl-PL"/>
        </w:rPr>
        <w:t xml:space="preserve"> przestrzegać zasad etyki dziennikarskiej. W niniejszej sprawie wykazano, że</w:t>
      </w:r>
      <w:r w:rsidR="009F3748">
        <w:rPr>
          <w:lang w:val="pl-PL"/>
        </w:rPr>
        <w:t> </w:t>
      </w:r>
      <w:r w:rsidRPr="009D3A9E">
        <w:rPr>
          <w:lang w:val="pl-PL"/>
        </w:rPr>
        <w:t xml:space="preserve">skarżący uchybił tym obowiązkom, ponieważ biuletyny zawierały niezgodne z prawdą </w:t>
      </w:r>
      <w:r w:rsidR="00E06D5F" w:rsidRPr="009D3A9E">
        <w:rPr>
          <w:lang w:val="pl-PL"/>
        </w:rPr>
        <w:t>twierdzenia dotyczące faktów. W</w:t>
      </w:r>
      <w:r w:rsidR="004E5015" w:rsidRPr="009D3A9E">
        <w:rPr>
          <w:lang w:val="pl-PL"/>
        </w:rPr>
        <w:t xml:space="preserve"> </w:t>
      </w:r>
      <w:r w:rsidRPr="009D3A9E">
        <w:rPr>
          <w:lang w:val="pl-PL"/>
        </w:rPr>
        <w:t>postępowaniu krajowym skarżący nie przedstawił żadnych dowodów potwierdzających prawdziwość przedmiotowych oświadczeń. Nie</w:t>
      </w:r>
      <w:r w:rsidR="004E5015" w:rsidRPr="009D3A9E">
        <w:rPr>
          <w:lang w:val="pl-PL"/>
        </w:rPr>
        <w:t xml:space="preserve"> </w:t>
      </w:r>
      <w:r w:rsidRPr="009D3A9E">
        <w:rPr>
          <w:lang w:val="pl-PL"/>
        </w:rPr>
        <w:t>kwestionował on również oceny sądu pierwszej instancji, że są one nieprawdziwe. Skarżący nie</w:t>
      </w:r>
      <w:r w:rsidR="009F3748">
        <w:rPr>
          <w:lang w:val="pl-PL"/>
        </w:rPr>
        <w:t> </w:t>
      </w:r>
      <w:r w:rsidRPr="009D3A9E">
        <w:rPr>
          <w:lang w:val="pl-PL"/>
        </w:rPr>
        <w:t xml:space="preserve">wykazał, że </w:t>
      </w:r>
      <w:r w:rsidR="00E06D5F" w:rsidRPr="009D3A9E">
        <w:rPr>
          <w:lang w:val="pl-PL"/>
        </w:rPr>
        <w:t>zebrał materiały do artykułów z</w:t>
      </w:r>
      <w:r w:rsidR="004E5015" w:rsidRPr="009D3A9E">
        <w:rPr>
          <w:lang w:val="pl-PL"/>
        </w:rPr>
        <w:t xml:space="preserve"> </w:t>
      </w:r>
      <w:r w:rsidRPr="009D3A9E">
        <w:rPr>
          <w:lang w:val="pl-PL"/>
        </w:rPr>
        <w:t>zachowaniem należytej staranności. W związku z tym nie można było uznać, że działał on w dobrej wierze.</w:t>
      </w:r>
    </w:p>
    <w:p w14:paraId="739DD3A0" w14:textId="0FF9574B" w:rsidR="00AD53A3" w:rsidRPr="009D3A9E" w:rsidRDefault="00AD53A3" w:rsidP="00EA3AAB">
      <w:pPr>
        <w:pStyle w:val="JuPara"/>
        <w:rPr>
          <w:lang w:val="pl-PL"/>
        </w:rPr>
      </w:pPr>
      <w:r w:rsidRPr="009D3A9E">
        <w:rPr>
          <w:noProof/>
          <w:lang w:val="pl-PL"/>
        </w:rPr>
        <w:t>43</w:t>
      </w:r>
      <w:r w:rsidRPr="009D3A9E">
        <w:rPr>
          <w:lang w:val="pl-PL"/>
        </w:rPr>
        <w:t>.</w:t>
      </w:r>
      <w:r w:rsidR="004E5015" w:rsidRPr="009D3A9E">
        <w:rPr>
          <w:lang w:val="pl-PL"/>
        </w:rPr>
        <w:t xml:space="preserve"> </w:t>
      </w:r>
      <w:r w:rsidRPr="009D3A9E">
        <w:rPr>
          <w:lang w:val="pl-PL"/>
        </w:rPr>
        <w:t>Rząd podkreślił, że w kontekście zbliżających się wyborów rozpowszechnianie przez skarżącego nieprawdziwych informacji o</w:t>
      </w:r>
      <w:r w:rsidR="009F3748">
        <w:rPr>
          <w:lang w:val="pl-PL"/>
        </w:rPr>
        <w:t> </w:t>
      </w:r>
      <w:r w:rsidRPr="009D3A9E">
        <w:rPr>
          <w:lang w:val="pl-PL"/>
        </w:rPr>
        <w:t>kandydacie wymagało stanowczej i szybkiej reakcji władz. Reakcja ta była uzasadniona, a nałożona sankcja nie była nieproporcjonalna. W</w:t>
      </w:r>
      <w:r w:rsidR="004E5015" w:rsidRPr="009D3A9E">
        <w:rPr>
          <w:lang w:val="pl-PL"/>
        </w:rPr>
        <w:t xml:space="preserve"> </w:t>
      </w:r>
      <w:r w:rsidRPr="009D3A9E">
        <w:rPr>
          <w:lang w:val="pl-PL"/>
        </w:rPr>
        <w:t>związku z</w:t>
      </w:r>
      <w:r w:rsidR="009F3748">
        <w:rPr>
          <w:lang w:val="pl-PL"/>
        </w:rPr>
        <w:t> </w:t>
      </w:r>
      <w:r w:rsidRPr="009D3A9E">
        <w:rPr>
          <w:lang w:val="pl-PL"/>
        </w:rPr>
        <w:t xml:space="preserve">tym </w:t>
      </w:r>
      <w:r w:rsidR="00B45C54" w:rsidRPr="009D3A9E">
        <w:rPr>
          <w:lang w:val="pl-PL"/>
        </w:rPr>
        <w:t>R</w:t>
      </w:r>
      <w:r w:rsidRPr="009D3A9E">
        <w:rPr>
          <w:lang w:val="pl-PL"/>
        </w:rPr>
        <w:t>ząd stwierdził, że kara finan</w:t>
      </w:r>
      <w:r w:rsidR="00E06D5F" w:rsidRPr="009D3A9E">
        <w:rPr>
          <w:lang w:val="pl-PL"/>
        </w:rPr>
        <w:t>sowa nałożona przez sąd, tj.</w:t>
      </w:r>
      <w:r w:rsidR="004E5015" w:rsidRPr="009D3A9E">
        <w:rPr>
          <w:lang w:val="pl-PL"/>
        </w:rPr>
        <w:t xml:space="preserve"> </w:t>
      </w:r>
      <w:r w:rsidR="00E06D5F" w:rsidRPr="009D3A9E">
        <w:rPr>
          <w:lang w:val="pl-PL"/>
        </w:rPr>
        <w:t>10</w:t>
      </w:r>
      <w:r w:rsidR="004E5015" w:rsidRPr="009D3A9E">
        <w:rPr>
          <w:lang w:val="pl-PL"/>
        </w:rPr>
        <w:t xml:space="preserve"> </w:t>
      </w:r>
      <w:r w:rsidRPr="009D3A9E">
        <w:rPr>
          <w:lang w:val="pl-PL"/>
        </w:rPr>
        <w:t>000 PLN płatna na rzecz organizacji pożytku publicznego, była skromna, zważywszy, że zgodnie z prawem mogła wynieść nawet 100</w:t>
      </w:r>
      <w:r w:rsidR="004E5015" w:rsidRPr="009D3A9E">
        <w:rPr>
          <w:lang w:val="pl-PL"/>
        </w:rPr>
        <w:t xml:space="preserve"> </w:t>
      </w:r>
      <w:r w:rsidRPr="009D3A9E">
        <w:rPr>
          <w:lang w:val="pl-PL"/>
        </w:rPr>
        <w:t>000</w:t>
      </w:r>
      <w:r w:rsidR="004E5015" w:rsidRPr="009D3A9E">
        <w:rPr>
          <w:lang w:val="pl-PL"/>
        </w:rPr>
        <w:t xml:space="preserve"> </w:t>
      </w:r>
      <w:r w:rsidRPr="009D3A9E">
        <w:rPr>
          <w:lang w:val="pl-PL"/>
        </w:rPr>
        <w:t>PLN.</w:t>
      </w:r>
    </w:p>
    <w:p w14:paraId="08CC9A5D" w14:textId="77777777" w:rsidR="00AD53A3" w:rsidRPr="009D3A9E" w:rsidRDefault="00AD53A3" w:rsidP="00EA3AAB">
      <w:pPr>
        <w:pStyle w:val="JuH1"/>
        <w:rPr>
          <w:lang w:val="pl-PL"/>
        </w:rPr>
      </w:pPr>
      <w:r w:rsidRPr="009D3A9E">
        <w:rPr>
          <w:bCs w:val="0"/>
          <w:lang w:val="pl-PL"/>
        </w:rPr>
        <w:lastRenderedPageBreak/>
        <w:t>Ocena Trybunału</w:t>
      </w:r>
    </w:p>
    <w:p w14:paraId="2C4A915E" w14:textId="486B2AA0" w:rsidR="00AD53A3" w:rsidRPr="009D3A9E" w:rsidRDefault="00AD53A3" w:rsidP="00EA3AAB">
      <w:pPr>
        <w:pStyle w:val="JuPara"/>
        <w:rPr>
          <w:lang w:val="pl-PL"/>
        </w:rPr>
      </w:pPr>
      <w:r w:rsidRPr="009D3A9E">
        <w:rPr>
          <w:noProof/>
          <w:lang w:val="pl-PL"/>
        </w:rPr>
        <w:t>44</w:t>
      </w:r>
      <w:r w:rsidRPr="009D3A9E">
        <w:rPr>
          <w:lang w:val="pl-PL"/>
        </w:rPr>
        <w:t>.</w:t>
      </w:r>
      <w:r w:rsidR="004E5015" w:rsidRPr="009D3A9E">
        <w:rPr>
          <w:lang w:val="pl-PL"/>
        </w:rPr>
        <w:t xml:space="preserve"> </w:t>
      </w:r>
      <w:r w:rsidRPr="009D3A9E">
        <w:rPr>
          <w:lang w:val="pl-PL"/>
        </w:rPr>
        <w:t xml:space="preserve">Strony zgadzają się, że orzeczenia wydane przez sądy w sprawie przeciwko skarżącemu oraz nałożone sankcje stanowiły ingerencję władzy publicznej w prawo skarżącego do </w:t>
      </w:r>
      <w:r w:rsidR="004F755D">
        <w:rPr>
          <w:lang w:val="pl-PL"/>
        </w:rPr>
        <w:t>wolności</w:t>
      </w:r>
      <w:r w:rsidRPr="009D3A9E">
        <w:rPr>
          <w:lang w:val="pl-PL"/>
        </w:rPr>
        <w:t xml:space="preserve"> wyrażania opinii. Ingerencja ta</w:t>
      </w:r>
      <w:r w:rsidR="009F3748">
        <w:rPr>
          <w:lang w:val="pl-PL"/>
        </w:rPr>
        <w:t> </w:t>
      </w:r>
      <w:r w:rsidRPr="009D3A9E">
        <w:rPr>
          <w:lang w:val="pl-PL"/>
        </w:rPr>
        <w:t>była niewątpliwie przewidziana przez ustawę</w:t>
      </w:r>
      <w:r w:rsidR="000C48ED" w:rsidRPr="009D3A9E">
        <w:rPr>
          <w:lang w:val="pl-PL"/>
        </w:rPr>
        <w:t>,</w:t>
      </w:r>
      <w:r w:rsidRPr="009D3A9E">
        <w:rPr>
          <w:lang w:val="pl-PL"/>
        </w:rPr>
        <w:t xml:space="preserve"> mianowicie art.</w:t>
      </w:r>
      <w:r w:rsidR="004E5015" w:rsidRPr="009D3A9E">
        <w:rPr>
          <w:lang w:val="pl-PL"/>
        </w:rPr>
        <w:t xml:space="preserve"> </w:t>
      </w:r>
      <w:r w:rsidRPr="009D3A9E">
        <w:rPr>
          <w:lang w:val="pl-PL"/>
        </w:rPr>
        <w:t>111 Kodeksu wyborczego (zob. paragrafy 34 i</w:t>
      </w:r>
      <w:r w:rsidR="004E5015" w:rsidRPr="009D3A9E">
        <w:rPr>
          <w:lang w:val="pl-PL"/>
        </w:rPr>
        <w:t xml:space="preserve"> </w:t>
      </w:r>
      <w:r w:rsidRPr="009D3A9E">
        <w:rPr>
          <w:lang w:val="pl-PL"/>
        </w:rPr>
        <w:t xml:space="preserve">41 powyżej). Trybunał przyjmuje ponadto, że ingerencja służyła realizacji </w:t>
      </w:r>
      <w:r w:rsidR="00A96655" w:rsidRPr="009D3A9E">
        <w:rPr>
          <w:lang w:val="pl-PL"/>
        </w:rPr>
        <w:t>uprawnionego</w:t>
      </w:r>
      <w:r w:rsidRPr="009D3A9E">
        <w:rPr>
          <w:lang w:val="pl-PL"/>
        </w:rPr>
        <w:t xml:space="preserve"> celu ochrony dobrego imienia i praw innych osób – w tym przypadku G.G. jako kandydata w</w:t>
      </w:r>
      <w:r w:rsidR="009F3748">
        <w:rPr>
          <w:lang w:val="pl-PL"/>
        </w:rPr>
        <w:t> </w:t>
      </w:r>
      <w:r w:rsidRPr="009D3A9E">
        <w:rPr>
          <w:lang w:val="pl-PL"/>
        </w:rPr>
        <w:t>wyborach lokalnych – w rozumieniu art.</w:t>
      </w:r>
      <w:r w:rsidR="004E5015" w:rsidRPr="009D3A9E">
        <w:rPr>
          <w:lang w:val="pl-PL"/>
        </w:rPr>
        <w:t xml:space="preserve"> </w:t>
      </w:r>
      <w:r w:rsidRPr="009D3A9E">
        <w:rPr>
          <w:lang w:val="pl-PL"/>
        </w:rPr>
        <w:t>10 ust.</w:t>
      </w:r>
      <w:r w:rsidR="004E5015" w:rsidRPr="009D3A9E">
        <w:rPr>
          <w:lang w:val="pl-PL"/>
        </w:rPr>
        <w:t xml:space="preserve"> </w:t>
      </w:r>
      <w:r w:rsidRPr="009D3A9E">
        <w:rPr>
          <w:lang w:val="pl-PL"/>
        </w:rPr>
        <w:t>2 Konwencji. Służyła ona również ochronie rzetelności procesu wyborczego, a tym samym praw wyborców.</w:t>
      </w:r>
    </w:p>
    <w:p w14:paraId="43B783BD" w14:textId="4B53E384" w:rsidR="00AD53A3" w:rsidRPr="009D3A9E" w:rsidRDefault="00AD53A3" w:rsidP="00EA3AAB">
      <w:pPr>
        <w:pStyle w:val="JuPara"/>
        <w:rPr>
          <w:lang w:val="pl-PL"/>
        </w:rPr>
      </w:pPr>
      <w:r w:rsidRPr="009D3A9E">
        <w:rPr>
          <w:noProof/>
          <w:lang w:val="pl-PL"/>
        </w:rPr>
        <w:t>45</w:t>
      </w:r>
      <w:r w:rsidRPr="009D3A9E">
        <w:rPr>
          <w:lang w:val="pl-PL"/>
        </w:rPr>
        <w:t>.</w:t>
      </w:r>
      <w:r w:rsidR="004E5015" w:rsidRPr="009D3A9E">
        <w:rPr>
          <w:lang w:val="pl-PL"/>
        </w:rPr>
        <w:t xml:space="preserve"> </w:t>
      </w:r>
      <w:r w:rsidRPr="009D3A9E">
        <w:rPr>
          <w:lang w:val="pl-PL"/>
        </w:rPr>
        <w:t>Zagadnieniem wymagającym ustalenia w niniejszej sprawie pozostaje to, czy ingerencja była „niezbędn[a] w społeczeństwie demokratycznym”. W</w:t>
      </w:r>
      <w:r w:rsidR="009F3748">
        <w:rPr>
          <w:lang w:val="pl-PL"/>
        </w:rPr>
        <w:t> </w:t>
      </w:r>
      <w:r w:rsidRPr="009D3A9E">
        <w:rPr>
          <w:lang w:val="pl-PL"/>
        </w:rPr>
        <w:t xml:space="preserve">tym zakresie z orzecznictwa Trybunału wynikają następujące zasady ogólne (zob. np. </w:t>
      </w:r>
      <w:bookmarkStart w:id="15" w:name="_Hlk85031023"/>
      <w:r w:rsidRPr="009D3A9E">
        <w:rPr>
          <w:i/>
          <w:iCs/>
          <w:lang w:val="pl-PL"/>
        </w:rPr>
        <w:t>Pedersen i Baadsgaard przeciwko Danii</w:t>
      </w:r>
      <w:r w:rsidRPr="009D3A9E">
        <w:rPr>
          <w:lang w:val="pl-PL"/>
        </w:rPr>
        <w:t xml:space="preserve"> [WI], nr</w:t>
      </w:r>
      <w:r w:rsidR="004E5015" w:rsidRPr="009D3A9E">
        <w:rPr>
          <w:lang w:val="pl-PL"/>
        </w:rPr>
        <w:t xml:space="preserve"> </w:t>
      </w:r>
      <w:r w:rsidRPr="009D3A9E">
        <w:rPr>
          <w:lang w:val="pl-PL"/>
        </w:rPr>
        <w:t xml:space="preserve">49017/99, §§ 68–70 i 76 </w:t>
      </w:r>
      <w:r w:rsidRPr="009D3A9E">
        <w:rPr>
          <w:i/>
          <w:iCs/>
          <w:lang w:val="pl-PL"/>
        </w:rPr>
        <w:t>in limine</w:t>
      </w:r>
      <w:r w:rsidRPr="009D3A9E">
        <w:rPr>
          <w:lang w:val="pl-PL"/>
        </w:rPr>
        <w:t>, ETPC 2004–XI</w:t>
      </w:r>
      <w:bookmarkEnd w:id="15"/>
      <w:r w:rsidR="00E06D5F" w:rsidRPr="009D3A9E">
        <w:rPr>
          <w:lang w:val="pl-PL"/>
        </w:rPr>
        <w:t>, z</w:t>
      </w:r>
      <w:r w:rsidR="004E5015" w:rsidRPr="009D3A9E">
        <w:rPr>
          <w:lang w:val="pl-PL"/>
        </w:rPr>
        <w:t xml:space="preserve"> </w:t>
      </w:r>
      <w:r w:rsidRPr="009D3A9E">
        <w:rPr>
          <w:lang w:val="pl-PL"/>
        </w:rPr>
        <w:t>dalszymi odniesieniami).</w:t>
      </w:r>
    </w:p>
    <w:p w14:paraId="7245B329" w14:textId="0F60F450" w:rsidR="00AD53A3" w:rsidRPr="009D3A9E" w:rsidRDefault="00AD53A3" w:rsidP="00EA3AAB">
      <w:pPr>
        <w:pStyle w:val="JuPara"/>
        <w:rPr>
          <w:lang w:val="pl-PL"/>
        </w:rPr>
      </w:pPr>
      <w:r w:rsidRPr="009D3A9E">
        <w:rPr>
          <w:lang w:val="pl-PL"/>
        </w:rPr>
        <w:t>a) Test „niezbędności w społeczeństwie demokratycznym” wymaga od</w:t>
      </w:r>
      <w:r w:rsidR="009F3748">
        <w:rPr>
          <w:lang w:val="pl-PL"/>
        </w:rPr>
        <w:t> </w:t>
      </w:r>
      <w:r w:rsidRPr="009D3A9E">
        <w:rPr>
          <w:lang w:val="pl-PL"/>
        </w:rPr>
        <w:t>Trybunału ustalenia, czy ingerencja będąca przedmiotem skargi odpowiadała naglącej potrzebie społecznej. Układające się Państwa mają pewien margines oceny w ustalaniu, czy istnieje taka potrzeba, lecz</w:t>
      </w:r>
      <w:r w:rsidR="009F3748">
        <w:rPr>
          <w:lang w:val="pl-PL"/>
        </w:rPr>
        <w:t> </w:t>
      </w:r>
      <w:r w:rsidRPr="009D3A9E">
        <w:rPr>
          <w:lang w:val="pl-PL"/>
        </w:rPr>
        <w:t xml:space="preserve">towarzyszy mu kontrola europejska, obejmująca zarówno ustawodawstwo, jak i decyzje służące jego stosowaniu, nawet te wydane przez niezawisłe sądy. Trybunał ma zatem prawo wydania ostatecznego orzeczenia w kwestii tego, czy „ograniczenie” da się pogodzić </w:t>
      </w:r>
      <w:r w:rsidR="004F755D">
        <w:rPr>
          <w:lang w:val="pl-PL"/>
        </w:rPr>
        <w:t xml:space="preserve">z </w:t>
      </w:r>
      <w:r w:rsidRPr="009D3A9E">
        <w:rPr>
          <w:lang w:val="pl-PL"/>
        </w:rPr>
        <w:t>wolnością wyrażania opinii chronioną</w:t>
      </w:r>
      <w:r w:rsidR="004F755D">
        <w:rPr>
          <w:lang w:val="pl-PL"/>
        </w:rPr>
        <w:t xml:space="preserve"> przez</w:t>
      </w:r>
      <w:r w:rsidRPr="009D3A9E">
        <w:rPr>
          <w:lang w:val="pl-PL"/>
        </w:rPr>
        <w:t xml:space="preserve"> art.</w:t>
      </w:r>
      <w:r w:rsidR="004E5015" w:rsidRPr="009D3A9E">
        <w:rPr>
          <w:lang w:val="pl-PL"/>
        </w:rPr>
        <w:t xml:space="preserve"> </w:t>
      </w:r>
      <w:r w:rsidRPr="009D3A9E">
        <w:rPr>
          <w:lang w:val="pl-PL"/>
        </w:rPr>
        <w:t>10 Konwencji.</w:t>
      </w:r>
    </w:p>
    <w:p w14:paraId="76F7335D" w14:textId="56A8791A" w:rsidR="00AD53A3" w:rsidRPr="009D3A9E" w:rsidRDefault="00AD53A3" w:rsidP="00EA3AAB">
      <w:pPr>
        <w:pStyle w:val="JuPara"/>
        <w:rPr>
          <w:lang w:val="pl-PL"/>
        </w:rPr>
      </w:pPr>
      <w:r w:rsidRPr="009D3A9E">
        <w:rPr>
          <w:lang w:val="pl-PL"/>
        </w:rPr>
        <w:t>b) Zadaniem Trybunału w sprawowaniu funkcji nadzorczej nie jest zastąpienie właściwych sądów krajowych, lecz rozpatrzenie na podstawie art.</w:t>
      </w:r>
      <w:r w:rsidR="009F3748">
        <w:rPr>
          <w:lang w:val="pl-PL"/>
        </w:rPr>
        <w:t> </w:t>
      </w:r>
      <w:r w:rsidRPr="009D3A9E">
        <w:rPr>
          <w:lang w:val="pl-PL"/>
        </w:rPr>
        <w:t xml:space="preserve">10 decyzji wydanych </w:t>
      </w:r>
      <w:r w:rsidR="008A0BC8" w:rsidRPr="009D3A9E">
        <w:rPr>
          <w:lang w:val="pl-PL"/>
        </w:rPr>
        <w:t>zgodnie z</w:t>
      </w:r>
      <w:r w:rsidRPr="009D3A9E">
        <w:rPr>
          <w:lang w:val="pl-PL"/>
        </w:rPr>
        <w:t xml:space="preserve"> ich margines</w:t>
      </w:r>
      <w:r w:rsidR="008A0BC8" w:rsidRPr="009D3A9E">
        <w:rPr>
          <w:lang w:val="pl-PL"/>
        </w:rPr>
        <w:t>em</w:t>
      </w:r>
      <w:r w:rsidRPr="009D3A9E">
        <w:rPr>
          <w:lang w:val="pl-PL"/>
        </w:rPr>
        <w:t xml:space="preserve"> oceny. Nie oznacza to, że nadzór ogranicza się do ustalenia, czy pozwane </w:t>
      </w:r>
      <w:r w:rsidR="00A96655" w:rsidRPr="009D3A9E">
        <w:rPr>
          <w:lang w:val="pl-PL"/>
        </w:rPr>
        <w:t xml:space="preserve">Państwo </w:t>
      </w:r>
      <w:r w:rsidRPr="009D3A9E">
        <w:rPr>
          <w:lang w:val="pl-PL"/>
        </w:rPr>
        <w:t>wykonało swoje uznaniowe uprawnienie w sposób rozsądny, uważny i w dobrej wierze; zadaniem Trybunału jest przyjrzen</w:t>
      </w:r>
      <w:r w:rsidR="00E06D5F" w:rsidRPr="009D3A9E">
        <w:rPr>
          <w:lang w:val="pl-PL"/>
        </w:rPr>
        <w:t>ie się zaskarżonej ingerencji w</w:t>
      </w:r>
      <w:r w:rsidR="004E5015" w:rsidRPr="009D3A9E">
        <w:rPr>
          <w:lang w:val="pl-PL"/>
        </w:rPr>
        <w:t xml:space="preserve"> </w:t>
      </w:r>
      <w:r w:rsidRPr="009D3A9E">
        <w:rPr>
          <w:lang w:val="pl-PL"/>
        </w:rPr>
        <w:t>świetle całej sprawy, w tym treści uwag skierowanych przeciwko skarżącym oraz kontekstowi, w jakim je wygłoszono.</w:t>
      </w:r>
    </w:p>
    <w:p w14:paraId="047A6037" w14:textId="3E1670FE" w:rsidR="00AD53A3" w:rsidRPr="009D3A9E" w:rsidRDefault="00AD53A3" w:rsidP="00EA3AAB">
      <w:pPr>
        <w:pStyle w:val="JuPara"/>
        <w:rPr>
          <w:lang w:val="pl-PL"/>
        </w:rPr>
      </w:pPr>
      <w:r w:rsidRPr="009D3A9E">
        <w:rPr>
          <w:lang w:val="pl-PL"/>
        </w:rPr>
        <w:t>c) W szczególności Trybunał musi ustalić, czy powody przedstawione przez władze krajowe dla uzasadni</w:t>
      </w:r>
      <w:r w:rsidR="00A31012" w:rsidRPr="009D3A9E">
        <w:rPr>
          <w:lang w:val="pl-PL"/>
        </w:rPr>
        <w:t>enia ingerencji były „istotne i</w:t>
      </w:r>
      <w:r w:rsidR="009F3748">
        <w:rPr>
          <w:lang w:val="pl-PL"/>
        </w:rPr>
        <w:t> </w:t>
      </w:r>
      <w:r w:rsidRPr="009D3A9E">
        <w:rPr>
          <w:lang w:val="pl-PL"/>
        </w:rPr>
        <w:t>wystarczające” oraz czy podjęty środek był „proporcjonalny do</w:t>
      </w:r>
      <w:r w:rsidR="009F3748">
        <w:rPr>
          <w:lang w:val="pl-PL"/>
        </w:rPr>
        <w:t> </w:t>
      </w:r>
      <w:r w:rsidRPr="009D3A9E">
        <w:rPr>
          <w:lang w:val="pl-PL"/>
        </w:rPr>
        <w:t xml:space="preserve">zamierzonych, </w:t>
      </w:r>
      <w:r w:rsidR="00A96655" w:rsidRPr="009D3A9E">
        <w:rPr>
          <w:lang w:val="pl-PL"/>
        </w:rPr>
        <w:t>uprawnionych</w:t>
      </w:r>
      <w:r w:rsidRPr="009D3A9E">
        <w:rPr>
          <w:lang w:val="pl-PL"/>
        </w:rPr>
        <w:t xml:space="preserve"> celów”. W tym celu Trybunał musi upewnić się, że władze krajowe, opierając się na możliwej do przyjęcia ocenie istotnych okoliczności faktyczn</w:t>
      </w:r>
      <w:r w:rsidR="00E06D5F" w:rsidRPr="009D3A9E">
        <w:rPr>
          <w:lang w:val="pl-PL"/>
        </w:rPr>
        <w:t xml:space="preserve">ych, zastosowały </w:t>
      </w:r>
      <w:r w:rsidR="002C4564">
        <w:rPr>
          <w:lang w:val="pl-PL"/>
        </w:rPr>
        <w:t>standardy</w:t>
      </w:r>
      <w:r w:rsidR="00E06D5F" w:rsidRPr="009D3A9E">
        <w:rPr>
          <w:lang w:val="pl-PL"/>
        </w:rPr>
        <w:t xml:space="preserve"> zgodne z</w:t>
      </w:r>
      <w:r w:rsidR="009F3748">
        <w:rPr>
          <w:lang w:val="pl-PL"/>
        </w:rPr>
        <w:t> </w:t>
      </w:r>
      <w:r w:rsidRPr="009D3A9E">
        <w:rPr>
          <w:lang w:val="pl-PL"/>
        </w:rPr>
        <w:t>zasadami zawartymi w art.</w:t>
      </w:r>
      <w:r w:rsidR="004E5015" w:rsidRPr="009D3A9E">
        <w:rPr>
          <w:lang w:val="pl-PL"/>
        </w:rPr>
        <w:t xml:space="preserve"> </w:t>
      </w:r>
      <w:r w:rsidRPr="009D3A9E">
        <w:rPr>
          <w:lang w:val="pl-PL"/>
        </w:rPr>
        <w:t>10.</w:t>
      </w:r>
    </w:p>
    <w:p w14:paraId="65C9C0F8" w14:textId="3CACE7C7" w:rsidR="00AD53A3" w:rsidRPr="009D3A9E" w:rsidRDefault="00AD53A3" w:rsidP="00EA3AAB">
      <w:pPr>
        <w:pStyle w:val="JuPara"/>
        <w:rPr>
          <w:lang w:val="pl-PL"/>
        </w:rPr>
      </w:pPr>
      <w:r w:rsidRPr="009D3A9E">
        <w:rPr>
          <w:lang w:val="pl-PL"/>
        </w:rPr>
        <w:t xml:space="preserve">d) Trybunał orzekł, że </w:t>
      </w:r>
      <w:r w:rsidRPr="00CE0644">
        <w:rPr>
          <w:lang w:val="pl-PL"/>
        </w:rPr>
        <w:t xml:space="preserve">wymóg udowodnienia </w:t>
      </w:r>
      <w:r w:rsidR="00CE0644" w:rsidRPr="00CE0644">
        <w:rPr>
          <w:lang w:val="pl-PL"/>
        </w:rPr>
        <w:t>zgodnie z rozsądnym standardem</w:t>
      </w:r>
      <w:r w:rsidRPr="00CE0644">
        <w:rPr>
          <w:lang w:val="pl-PL"/>
        </w:rPr>
        <w:t>, że stwierdzenie dot</w:t>
      </w:r>
      <w:r w:rsidRPr="009D3A9E">
        <w:rPr>
          <w:lang w:val="pl-PL"/>
        </w:rPr>
        <w:t>yczące stanu faktycznego było zasadniczo prawdziwe, nie narusza postanowień art.</w:t>
      </w:r>
      <w:r w:rsidR="004E5015" w:rsidRPr="009D3A9E">
        <w:rPr>
          <w:lang w:val="pl-PL"/>
        </w:rPr>
        <w:t xml:space="preserve"> </w:t>
      </w:r>
      <w:r w:rsidRPr="009D3A9E">
        <w:rPr>
          <w:lang w:val="pl-PL"/>
        </w:rPr>
        <w:t xml:space="preserve">10 Konwencji (zob. </w:t>
      </w:r>
      <w:bookmarkStart w:id="16" w:name="_Hlk85031071"/>
      <w:r w:rsidRPr="009D3A9E">
        <w:rPr>
          <w:i/>
          <w:iCs/>
          <w:lang w:val="pl-PL"/>
        </w:rPr>
        <w:t>Rumyana Ivanova przeciwko Bułgarii</w:t>
      </w:r>
      <w:r w:rsidRPr="009D3A9E">
        <w:rPr>
          <w:lang w:val="pl-PL"/>
        </w:rPr>
        <w:t>, nr</w:t>
      </w:r>
      <w:r w:rsidR="004E5015" w:rsidRPr="009D3A9E">
        <w:rPr>
          <w:lang w:val="pl-PL"/>
        </w:rPr>
        <w:t xml:space="preserve"> </w:t>
      </w:r>
      <w:r w:rsidRPr="009D3A9E">
        <w:rPr>
          <w:lang w:val="pl-PL"/>
        </w:rPr>
        <w:t>36207/03, §§ 39 i 68, 14 lutego 2008</w:t>
      </w:r>
      <w:r w:rsidR="004E5015" w:rsidRPr="009D3A9E">
        <w:rPr>
          <w:lang w:val="pl-PL"/>
        </w:rPr>
        <w:t xml:space="preserve"> </w:t>
      </w:r>
      <w:r w:rsidRPr="009D3A9E">
        <w:rPr>
          <w:lang w:val="pl-PL"/>
        </w:rPr>
        <w:t xml:space="preserve">r.; </w:t>
      </w:r>
      <w:r w:rsidRPr="009D3A9E">
        <w:rPr>
          <w:i/>
          <w:iCs/>
          <w:lang w:val="pl-PL"/>
        </w:rPr>
        <w:lastRenderedPageBreak/>
        <w:t>Makarenko przeciwko Rosji</w:t>
      </w:r>
      <w:r w:rsidRPr="009D3A9E">
        <w:rPr>
          <w:lang w:val="pl-PL"/>
        </w:rPr>
        <w:t>, nr</w:t>
      </w:r>
      <w:r w:rsidR="004E5015" w:rsidRPr="009D3A9E">
        <w:rPr>
          <w:lang w:val="pl-PL"/>
        </w:rPr>
        <w:t xml:space="preserve"> </w:t>
      </w:r>
      <w:r w:rsidRPr="009D3A9E">
        <w:rPr>
          <w:lang w:val="pl-PL"/>
        </w:rPr>
        <w:t>5962/03, § 156, 22 grudnia 2009</w:t>
      </w:r>
      <w:r w:rsidR="004E5015" w:rsidRPr="009D3A9E">
        <w:rPr>
          <w:lang w:val="pl-PL"/>
        </w:rPr>
        <w:t xml:space="preserve"> </w:t>
      </w:r>
      <w:r w:rsidRPr="009D3A9E">
        <w:rPr>
          <w:lang w:val="pl-PL"/>
        </w:rPr>
        <w:t xml:space="preserve">r. oraz </w:t>
      </w:r>
      <w:r w:rsidRPr="009D3A9E">
        <w:rPr>
          <w:i/>
          <w:iCs/>
          <w:lang w:val="pl-PL"/>
        </w:rPr>
        <w:t>Rukaj przeciwko Grecji</w:t>
      </w:r>
      <w:r w:rsidRPr="009D3A9E">
        <w:rPr>
          <w:lang w:val="pl-PL"/>
        </w:rPr>
        <w:t xml:space="preserve"> (dec.), nr 2179/08, 21 stycznia 2010</w:t>
      </w:r>
      <w:r w:rsidR="004E5015" w:rsidRPr="009D3A9E">
        <w:rPr>
          <w:lang w:val="pl-PL"/>
        </w:rPr>
        <w:t xml:space="preserve"> </w:t>
      </w:r>
      <w:r w:rsidRPr="009D3A9E">
        <w:rPr>
          <w:lang w:val="pl-PL"/>
        </w:rPr>
        <w:t xml:space="preserve">r.), a także </w:t>
      </w:r>
      <w:r w:rsidR="00917342" w:rsidRPr="009D3A9E">
        <w:rPr>
          <w:lang w:val="pl-PL"/>
        </w:rPr>
        <w:t>stwierdził</w:t>
      </w:r>
      <w:r w:rsidRPr="009D3A9E">
        <w:rPr>
          <w:lang w:val="pl-PL"/>
        </w:rPr>
        <w:t xml:space="preserve"> brak wysiłków w celu przedstawienia tej obrony przeciwko skarżącym (zob.</w:t>
      </w:r>
      <w:r w:rsidR="009F3748">
        <w:rPr>
          <w:lang w:val="pl-PL"/>
        </w:rPr>
        <w:t> </w:t>
      </w:r>
      <w:r w:rsidRPr="009D3A9E">
        <w:rPr>
          <w:i/>
          <w:iCs/>
          <w:lang w:val="pl-PL"/>
        </w:rPr>
        <w:t>Mahmudov i Agazade przeciwko Azerbejdżanowi</w:t>
      </w:r>
      <w:r w:rsidRPr="009D3A9E">
        <w:rPr>
          <w:lang w:val="pl-PL"/>
        </w:rPr>
        <w:t>, nr</w:t>
      </w:r>
      <w:r w:rsidR="004E5015" w:rsidRPr="009D3A9E">
        <w:rPr>
          <w:lang w:val="pl-PL"/>
        </w:rPr>
        <w:t xml:space="preserve"> </w:t>
      </w:r>
      <w:r w:rsidRPr="009D3A9E">
        <w:rPr>
          <w:lang w:val="pl-PL"/>
        </w:rPr>
        <w:t>35877/04</w:t>
      </w:r>
      <w:r w:rsidR="00E06D5F" w:rsidRPr="009D3A9E">
        <w:rPr>
          <w:lang w:val="pl-PL"/>
        </w:rPr>
        <w:t>, § 44, 18</w:t>
      </w:r>
      <w:r w:rsidR="009F3748">
        <w:rPr>
          <w:lang w:val="pl-PL"/>
        </w:rPr>
        <w:t> </w:t>
      </w:r>
      <w:r w:rsidRPr="009D3A9E">
        <w:rPr>
          <w:lang w:val="pl-PL"/>
        </w:rPr>
        <w:t>grudnia 2008</w:t>
      </w:r>
      <w:r w:rsidR="004E5015" w:rsidRPr="009D3A9E">
        <w:rPr>
          <w:lang w:val="pl-PL"/>
        </w:rPr>
        <w:t xml:space="preserve"> </w:t>
      </w:r>
      <w:r w:rsidRPr="009D3A9E">
        <w:rPr>
          <w:lang w:val="pl-PL"/>
        </w:rPr>
        <w:t>r.). Jednakże Trybunał orzekł również, że jeżeli skarżący jest wyraźnie zaangażowany w debatę publiczną dotyczącą istotnej kwestii, nie powinno się od niego wymagać spełnienia bardziej wymagającego standardu niż standard należytej staranności. W takich okolicznościach obowiązek udowodnienia stwierdzeń dotyczących stanu faktycznego może pozbawić skarżącego ochrony przyznanej przez art.</w:t>
      </w:r>
      <w:r w:rsidR="004E5015" w:rsidRPr="009D3A9E">
        <w:rPr>
          <w:lang w:val="pl-PL"/>
        </w:rPr>
        <w:t xml:space="preserve"> </w:t>
      </w:r>
      <w:r w:rsidRPr="009D3A9E">
        <w:rPr>
          <w:lang w:val="pl-PL"/>
        </w:rPr>
        <w:t xml:space="preserve">10 (zob. </w:t>
      </w:r>
      <w:r w:rsidRPr="009D3A9E">
        <w:rPr>
          <w:i/>
          <w:iCs/>
          <w:lang w:val="pl-PL"/>
        </w:rPr>
        <w:t>Kurski przeciwko Polsce</w:t>
      </w:r>
      <w:r w:rsidRPr="009D3A9E">
        <w:rPr>
          <w:lang w:val="pl-PL"/>
        </w:rPr>
        <w:t>, nr 26115/10, § 56, 5 lipca 2016</w:t>
      </w:r>
      <w:r w:rsidR="004E5015" w:rsidRPr="009D3A9E">
        <w:rPr>
          <w:lang w:val="pl-PL"/>
        </w:rPr>
        <w:t xml:space="preserve"> </w:t>
      </w:r>
      <w:r w:rsidRPr="009D3A9E">
        <w:rPr>
          <w:lang w:val="pl-PL"/>
        </w:rPr>
        <w:t xml:space="preserve">r., </w:t>
      </w:r>
      <w:r w:rsidRPr="009D3A9E">
        <w:rPr>
          <w:i/>
          <w:iCs/>
          <w:lang w:val="pl-PL"/>
        </w:rPr>
        <w:t>Braun przeciwko Polsce</w:t>
      </w:r>
      <w:r w:rsidRPr="009D3A9E">
        <w:rPr>
          <w:lang w:val="pl-PL"/>
        </w:rPr>
        <w:t>, nr</w:t>
      </w:r>
      <w:r w:rsidR="004E5015" w:rsidRPr="009D3A9E">
        <w:rPr>
          <w:lang w:val="pl-PL"/>
        </w:rPr>
        <w:t xml:space="preserve"> </w:t>
      </w:r>
      <w:r w:rsidRPr="009D3A9E">
        <w:rPr>
          <w:lang w:val="pl-PL"/>
        </w:rPr>
        <w:t>30162/10, §</w:t>
      </w:r>
      <w:r w:rsidR="009F3748">
        <w:rPr>
          <w:lang w:val="pl-PL"/>
        </w:rPr>
        <w:t> </w:t>
      </w:r>
      <w:r w:rsidRPr="009D3A9E">
        <w:rPr>
          <w:lang w:val="pl-PL"/>
        </w:rPr>
        <w:t>50, 4 listopada 2014</w:t>
      </w:r>
      <w:r w:rsidR="004E5015" w:rsidRPr="009D3A9E">
        <w:rPr>
          <w:lang w:val="pl-PL"/>
        </w:rPr>
        <w:t xml:space="preserve"> </w:t>
      </w:r>
      <w:r w:rsidRPr="009D3A9E">
        <w:rPr>
          <w:lang w:val="pl-PL"/>
        </w:rPr>
        <w:t xml:space="preserve">r. oraz </w:t>
      </w:r>
      <w:r w:rsidRPr="009D3A9E">
        <w:rPr>
          <w:i/>
          <w:iCs/>
          <w:lang w:val="pl-PL"/>
        </w:rPr>
        <w:t>Makraduli przeciwko Byłej Jugosłowiańskiej Republice Macedonii</w:t>
      </w:r>
      <w:r w:rsidRPr="009D3A9E">
        <w:rPr>
          <w:lang w:val="pl-PL"/>
        </w:rPr>
        <w:t>, nr 64659/11 i 24133/13, § 75, 19</w:t>
      </w:r>
      <w:r w:rsidR="004E5015" w:rsidRPr="009D3A9E">
        <w:rPr>
          <w:lang w:val="pl-PL"/>
        </w:rPr>
        <w:t xml:space="preserve"> </w:t>
      </w:r>
      <w:r w:rsidRPr="009D3A9E">
        <w:rPr>
          <w:lang w:val="pl-PL"/>
        </w:rPr>
        <w:t>lutego 2018</w:t>
      </w:r>
      <w:r w:rsidR="004E5015" w:rsidRPr="009D3A9E">
        <w:rPr>
          <w:lang w:val="pl-PL"/>
        </w:rPr>
        <w:t xml:space="preserve"> </w:t>
      </w:r>
      <w:r w:rsidRPr="009D3A9E">
        <w:rPr>
          <w:lang w:val="pl-PL"/>
        </w:rPr>
        <w:t>r.).</w:t>
      </w:r>
    </w:p>
    <w:p w14:paraId="07FCE3A2" w14:textId="1A853E1D" w:rsidR="00AD53A3" w:rsidRPr="009D3A9E" w:rsidRDefault="00AD53A3" w:rsidP="00EA3AAB">
      <w:pPr>
        <w:pStyle w:val="JuPara"/>
        <w:rPr>
          <w:lang w:val="pl-PL"/>
        </w:rPr>
      </w:pPr>
      <w:r w:rsidRPr="009D3A9E">
        <w:rPr>
          <w:noProof/>
          <w:lang w:val="pl-PL"/>
        </w:rPr>
        <w:t>46</w:t>
      </w:r>
      <w:r w:rsidRPr="009D3A9E">
        <w:rPr>
          <w:lang w:val="pl-PL"/>
        </w:rPr>
        <w:t>.</w:t>
      </w:r>
      <w:r w:rsidR="004E5015" w:rsidRPr="009D3A9E">
        <w:rPr>
          <w:lang w:val="pl-PL"/>
        </w:rPr>
        <w:t xml:space="preserve"> </w:t>
      </w:r>
      <w:r w:rsidRPr="009D3A9E">
        <w:rPr>
          <w:lang w:val="pl-PL"/>
        </w:rPr>
        <w:t>W niniejszej sprawie skarżący został ukarany w postępowaniu uproszczonym na podstawie Kodeksu wyborczego za wypowiedzi zawarte w</w:t>
      </w:r>
      <w:r w:rsidR="009F3748">
        <w:rPr>
          <w:lang w:val="pl-PL"/>
        </w:rPr>
        <w:t> </w:t>
      </w:r>
      <w:r w:rsidRPr="009D3A9E">
        <w:rPr>
          <w:lang w:val="pl-PL"/>
        </w:rPr>
        <w:t>dwóch wydaniach jego biuletynu op</w:t>
      </w:r>
      <w:r w:rsidR="00E06D5F" w:rsidRPr="009D3A9E">
        <w:rPr>
          <w:lang w:val="pl-PL"/>
        </w:rPr>
        <w:t>ublikowanego podczas kampanii w</w:t>
      </w:r>
      <w:r w:rsidR="009F3748">
        <w:rPr>
          <w:lang w:val="pl-PL"/>
        </w:rPr>
        <w:t> </w:t>
      </w:r>
      <w:r w:rsidRPr="009D3A9E">
        <w:rPr>
          <w:lang w:val="pl-PL"/>
        </w:rPr>
        <w:t>wyborach lokalnych w 2014</w:t>
      </w:r>
      <w:r w:rsidR="004E5015" w:rsidRPr="009D3A9E">
        <w:rPr>
          <w:lang w:val="pl-PL"/>
        </w:rPr>
        <w:t xml:space="preserve"> </w:t>
      </w:r>
      <w:r w:rsidRPr="009D3A9E">
        <w:rPr>
          <w:lang w:val="pl-PL"/>
        </w:rPr>
        <w:t>r. Sądy krajowe orzekły na jego niekorzy</w:t>
      </w:r>
      <w:r w:rsidR="00E06D5F" w:rsidRPr="009D3A9E">
        <w:rPr>
          <w:lang w:val="pl-PL"/>
        </w:rPr>
        <w:t xml:space="preserve">ść, </w:t>
      </w:r>
      <w:r w:rsidRPr="009D3A9E">
        <w:rPr>
          <w:lang w:val="pl-PL"/>
        </w:rPr>
        <w:t>w szczególności nakazały mu wpłacenie pewnej kwoty na rzecz organizacji pożytku publicznego oraz przeproszenie G.G., który był politykiem i</w:t>
      </w:r>
      <w:r w:rsidR="009F3748">
        <w:rPr>
          <w:lang w:val="pl-PL"/>
        </w:rPr>
        <w:t> </w:t>
      </w:r>
      <w:r w:rsidRPr="009D3A9E">
        <w:rPr>
          <w:lang w:val="pl-PL"/>
        </w:rPr>
        <w:t>kandydatem na stanowisko wójta gminy Bulkowo (zob. paragraf</w:t>
      </w:r>
      <w:r w:rsidR="004E5015" w:rsidRPr="009D3A9E">
        <w:rPr>
          <w:lang w:val="pl-PL"/>
        </w:rPr>
        <w:t xml:space="preserve"> </w:t>
      </w:r>
      <w:r w:rsidRPr="009D3A9E">
        <w:rPr>
          <w:lang w:val="pl-PL"/>
        </w:rPr>
        <w:t>17 powyżej).</w:t>
      </w:r>
    </w:p>
    <w:p w14:paraId="0BB562CB" w14:textId="05527E22" w:rsidR="00AD53A3" w:rsidRPr="009D3A9E" w:rsidRDefault="00AD53A3" w:rsidP="00EA3AAB">
      <w:pPr>
        <w:pStyle w:val="JuPara"/>
        <w:rPr>
          <w:lang w:val="pl-PL"/>
        </w:rPr>
      </w:pPr>
      <w:r w:rsidRPr="009D3A9E">
        <w:rPr>
          <w:noProof/>
          <w:lang w:val="pl-PL"/>
        </w:rPr>
        <w:t>47</w:t>
      </w:r>
      <w:r w:rsidRPr="009D3A9E">
        <w:rPr>
          <w:lang w:val="pl-PL"/>
        </w:rPr>
        <w:t>.</w:t>
      </w:r>
      <w:r w:rsidR="004E5015" w:rsidRPr="009D3A9E">
        <w:rPr>
          <w:lang w:val="pl-PL"/>
        </w:rPr>
        <w:t xml:space="preserve"> </w:t>
      </w:r>
      <w:r w:rsidRPr="009D3A9E">
        <w:rPr>
          <w:lang w:val="pl-PL"/>
        </w:rPr>
        <w:t>Trybunał powtarza, że wolne wybor</w:t>
      </w:r>
      <w:r w:rsidR="00E06D5F" w:rsidRPr="009D3A9E">
        <w:rPr>
          <w:lang w:val="pl-PL"/>
        </w:rPr>
        <w:t>y i wolność wyrażania opinii, w</w:t>
      </w:r>
      <w:r w:rsidR="009F3748">
        <w:rPr>
          <w:lang w:val="pl-PL"/>
        </w:rPr>
        <w:t> </w:t>
      </w:r>
      <w:r w:rsidRPr="009D3A9E">
        <w:rPr>
          <w:lang w:val="pl-PL"/>
        </w:rPr>
        <w:t xml:space="preserve">szczególności wolność debaty politycznej, stanowią razem podstawę każdego systemu demokratycznego (zob. </w:t>
      </w:r>
      <w:r w:rsidRPr="009D3A9E">
        <w:rPr>
          <w:i/>
          <w:iCs/>
          <w:lang w:val="pl-PL"/>
        </w:rPr>
        <w:t>Mathieu-Mohin i Clerfayt przeciwko Belgii</w:t>
      </w:r>
      <w:r w:rsidRPr="009D3A9E">
        <w:rPr>
          <w:lang w:val="pl-PL"/>
        </w:rPr>
        <w:t>, 2 marca 1987</w:t>
      </w:r>
      <w:r w:rsidR="004E5015" w:rsidRPr="009D3A9E">
        <w:rPr>
          <w:lang w:val="pl-PL"/>
        </w:rPr>
        <w:t xml:space="preserve"> </w:t>
      </w:r>
      <w:r w:rsidRPr="009D3A9E">
        <w:rPr>
          <w:lang w:val="pl-PL"/>
        </w:rPr>
        <w:t>r., § 47, Seria A nr 113). Te dwa prawa są ze</w:t>
      </w:r>
      <w:r w:rsidR="009F3748">
        <w:rPr>
          <w:lang w:val="pl-PL"/>
        </w:rPr>
        <w:t> </w:t>
      </w:r>
      <w:r w:rsidRPr="009D3A9E">
        <w:rPr>
          <w:lang w:val="pl-PL"/>
        </w:rPr>
        <w:t>sobą powiązane i działają wzajemnie wzmacniająco. Z tego powodu jest szczególnie ważne w okresie poprzedzającym wybory, aby op</w:t>
      </w:r>
      <w:r w:rsidR="00E06D5F" w:rsidRPr="009D3A9E">
        <w:rPr>
          <w:lang w:val="pl-PL"/>
        </w:rPr>
        <w:t>inie i</w:t>
      </w:r>
      <w:r w:rsidR="009F3748">
        <w:rPr>
          <w:lang w:val="pl-PL"/>
        </w:rPr>
        <w:t> </w:t>
      </w:r>
      <w:r w:rsidRPr="009D3A9E">
        <w:rPr>
          <w:lang w:val="pl-PL"/>
        </w:rPr>
        <w:t>informacje wszelkiego rodzaju mogły być swobodnie rozpowszechniane (</w:t>
      </w:r>
      <w:r w:rsidR="00A96655" w:rsidRPr="009D3A9E">
        <w:rPr>
          <w:lang w:val="pl-PL"/>
        </w:rPr>
        <w:t>zob.</w:t>
      </w:r>
      <w:r w:rsidRPr="009D3A9E">
        <w:rPr>
          <w:lang w:val="pl-PL"/>
        </w:rPr>
        <w:t xml:space="preserve"> </w:t>
      </w:r>
      <w:r w:rsidRPr="009D3A9E">
        <w:rPr>
          <w:i/>
          <w:iCs/>
          <w:lang w:val="pl-PL"/>
        </w:rPr>
        <w:t>Bowman przeciwko Zjednoczonemu Królestwu</w:t>
      </w:r>
      <w:r w:rsidRPr="009D3A9E">
        <w:rPr>
          <w:lang w:val="pl-PL"/>
        </w:rPr>
        <w:t xml:space="preserve">, 19 lutego 1998, § 42, </w:t>
      </w:r>
      <w:r w:rsidRPr="009D3A9E">
        <w:rPr>
          <w:i/>
          <w:iCs/>
          <w:lang w:val="pl-PL"/>
        </w:rPr>
        <w:t xml:space="preserve">Zbiór </w:t>
      </w:r>
      <w:r w:rsidRPr="009D3A9E">
        <w:rPr>
          <w:lang w:val="pl-PL"/>
        </w:rPr>
        <w:t xml:space="preserve">1998-I). Zasada ta ma zastosowanie zarówno do wyborów krajowych, jak i lokalnych (zob. </w:t>
      </w:r>
      <w:r w:rsidRPr="009D3A9E">
        <w:rPr>
          <w:i/>
          <w:iCs/>
          <w:lang w:val="pl-PL"/>
        </w:rPr>
        <w:t>Kwiecień przeciwko Polsce</w:t>
      </w:r>
      <w:r w:rsidR="00E06D5F" w:rsidRPr="009D3A9E">
        <w:rPr>
          <w:lang w:val="pl-PL"/>
        </w:rPr>
        <w:t>, nr 51744/99, § 48, 9</w:t>
      </w:r>
      <w:r w:rsidR="009F3748">
        <w:rPr>
          <w:lang w:val="pl-PL"/>
        </w:rPr>
        <w:t> </w:t>
      </w:r>
      <w:r w:rsidRPr="009D3A9E">
        <w:rPr>
          <w:lang w:val="pl-PL"/>
        </w:rPr>
        <w:t>stycznia 2007</w:t>
      </w:r>
      <w:r w:rsidR="004E5015" w:rsidRPr="009D3A9E">
        <w:rPr>
          <w:lang w:val="pl-PL"/>
        </w:rPr>
        <w:t xml:space="preserve"> </w:t>
      </w:r>
      <w:r w:rsidRPr="009D3A9E">
        <w:rPr>
          <w:lang w:val="pl-PL"/>
        </w:rPr>
        <w:t>r.). Jednocześnie Trybunał uznaje znaczenie ochrony uczciwości procesu wyborczego przed fałszywymi informacjami mającymi wpływ na wyniki głosowania, a także potrzebę wprowadzenia procedur mających na celu skuteczną ochronę reputacji kandydatów (odpowiednio</w:t>
      </w:r>
      <w:r w:rsidRPr="009D3A9E">
        <w:rPr>
          <w:i/>
          <w:iCs/>
          <w:lang w:val="pl-PL"/>
        </w:rPr>
        <w:t>,</w:t>
      </w:r>
      <w:r w:rsidRPr="009D3A9E">
        <w:rPr>
          <w:lang w:val="pl-PL"/>
        </w:rPr>
        <w:t xml:space="preserve"> </w:t>
      </w:r>
      <w:r w:rsidRPr="009D3A9E">
        <w:rPr>
          <w:i/>
          <w:iCs/>
          <w:lang w:val="pl-PL"/>
        </w:rPr>
        <w:t>Brzeziński przeciwko Polsce</w:t>
      </w:r>
      <w:r w:rsidRPr="009D3A9E">
        <w:rPr>
          <w:lang w:val="pl-PL"/>
        </w:rPr>
        <w:t>, nr 47542/07, § 35, 25 lipca 2019</w:t>
      </w:r>
      <w:r w:rsidR="004E5015" w:rsidRPr="009D3A9E">
        <w:rPr>
          <w:lang w:val="pl-PL"/>
        </w:rPr>
        <w:t xml:space="preserve"> </w:t>
      </w:r>
      <w:r w:rsidRPr="009D3A9E">
        <w:rPr>
          <w:lang w:val="pl-PL"/>
        </w:rPr>
        <w:t>r.).</w:t>
      </w:r>
    </w:p>
    <w:bookmarkEnd w:id="16"/>
    <w:p w14:paraId="489BCE47" w14:textId="046ACA6E" w:rsidR="00AD53A3" w:rsidRPr="009D3A9E" w:rsidRDefault="00AD53A3" w:rsidP="00EA3AAB">
      <w:pPr>
        <w:pStyle w:val="JuPara"/>
        <w:rPr>
          <w:lang w:val="pl-PL"/>
        </w:rPr>
      </w:pPr>
      <w:r w:rsidRPr="009D3A9E">
        <w:rPr>
          <w:noProof/>
          <w:lang w:val="pl-PL"/>
        </w:rPr>
        <w:t>48</w:t>
      </w:r>
      <w:r w:rsidRPr="009D3A9E">
        <w:rPr>
          <w:lang w:val="pl-PL"/>
        </w:rPr>
        <w:t>.</w:t>
      </w:r>
      <w:r w:rsidR="004E5015" w:rsidRPr="009D3A9E">
        <w:rPr>
          <w:lang w:val="pl-PL"/>
        </w:rPr>
        <w:t xml:space="preserve"> </w:t>
      </w:r>
      <w:r w:rsidRPr="009D3A9E">
        <w:rPr>
          <w:lang w:val="pl-PL"/>
        </w:rPr>
        <w:t>Należy również zauważyć, że jako polityk sprawujący urząd publiczny i kandydujący w wyborach G.G. w sposób nieuni</w:t>
      </w:r>
      <w:r w:rsidR="00E06D5F" w:rsidRPr="009D3A9E">
        <w:rPr>
          <w:lang w:val="pl-PL"/>
        </w:rPr>
        <w:t>kniony i</w:t>
      </w:r>
      <w:r w:rsidR="004E5015" w:rsidRPr="009D3A9E">
        <w:rPr>
          <w:lang w:val="pl-PL"/>
        </w:rPr>
        <w:t xml:space="preserve"> </w:t>
      </w:r>
      <w:r w:rsidRPr="009D3A9E">
        <w:rPr>
          <w:lang w:val="pl-PL"/>
        </w:rPr>
        <w:t xml:space="preserve">świadomy wystawił się na publiczną kontrolę (zob. </w:t>
      </w:r>
      <w:bookmarkStart w:id="17" w:name="_Hlk85031165"/>
      <w:r w:rsidRPr="009D3A9E">
        <w:rPr>
          <w:i/>
          <w:iCs/>
          <w:lang w:val="pl-PL"/>
        </w:rPr>
        <w:t>Lingens przeciwko Austrii</w:t>
      </w:r>
      <w:r w:rsidRPr="009D3A9E">
        <w:rPr>
          <w:lang w:val="pl-PL"/>
        </w:rPr>
        <w:t>, 8 lipca 1986</w:t>
      </w:r>
      <w:r w:rsidR="004E5015" w:rsidRPr="009D3A9E">
        <w:rPr>
          <w:lang w:val="pl-PL"/>
        </w:rPr>
        <w:t xml:space="preserve"> </w:t>
      </w:r>
      <w:r w:rsidRPr="009D3A9E">
        <w:rPr>
          <w:lang w:val="pl-PL"/>
        </w:rPr>
        <w:t>r., §</w:t>
      </w:r>
      <w:r w:rsidR="009F3748">
        <w:rPr>
          <w:lang w:val="pl-PL"/>
        </w:rPr>
        <w:t> </w:t>
      </w:r>
      <w:r w:rsidRPr="009D3A9E">
        <w:rPr>
          <w:lang w:val="pl-PL"/>
        </w:rPr>
        <w:t xml:space="preserve">42, Seria A nr 103, oraz </w:t>
      </w:r>
      <w:r w:rsidRPr="009D3A9E">
        <w:rPr>
          <w:i/>
          <w:iCs/>
          <w:lang w:val="pl-PL"/>
        </w:rPr>
        <w:t xml:space="preserve">Oberschlick przeciwko Austrii </w:t>
      </w:r>
      <w:r w:rsidRPr="009D3A9E">
        <w:rPr>
          <w:i/>
          <w:lang w:val="pl-PL"/>
        </w:rPr>
        <w:t>(nr 1)</w:t>
      </w:r>
      <w:r w:rsidRPr="009D3A9E">
        <w:rPr>
          <w:lang w:val="pl-PL"/>
        </w:rPr>
        <w:t>, 23 maja 1991</w:t>
      </w:r>
      <w:r w:rsidR="009F3748">
        <w:rPr>
          <w:lang w:val="pl-PL"/>
        </w:rPr>
        <w:t> </w:t>
      </w:r>
      <w:r w:rsidRPr="009D3A9E">
        <w:rPr>
          <w:lang w:val="pl-PL"/>
        </w:rPr>
        <w:t>r., § 59, Seria A nr 204</w:t>
      </w:r>
      <w:bookmarkEnd w:id="17"/>
      <w:r w:rsidRPr="009D3A9E">
        <w:rPr>
          <w:lang w:val="pl-PL"/>
        </w:rPr>
        <w:t>). Art.</w:t>
      </w:r>
      <w:r w:rsidR="004E5015" w:rsidRPr="009D3A9E">
        <w:rPr>
          <w:lang w:val="pl-PL"/>
        </w:rPr>
        <w:t xml:space="preserve"> </w:t>
      </w:r>
      <w:r w:rsidRPr="009D3A9E">
        <w:rPr>
          <w:lang w:val="pl-PL"/>
        </w:rPr>
        <w:t xml:space="preserve">10 Konwencji nie gwarantuje jednak całkowicie nieograniczonej swobody wyrażania opinii, nawet w odniesieniu do relacjonowania przez prasę spraw budzących poważne zaniepokojenie społeczne i osób zajmujących stanowiska polityczne. Zgodnie z </w:t>
      </w:r>
      <w:r w:rsidR="00DC4ED0" w:rsidRPr="009D3A9E">
        <w:rPr>
          <w:lang w:val="pl-PL"/>
        </w:rPr>
        <w:t>ust.</w:t>
      </w:r>
      <w:r w:rsidR="004E5015" w:rsidRPr="009D3A9E">
        <w:rPr>
          <w:lang w:val="pl-PL"/>
        </w:rPr>
        <w:t xml:space="preserve"> </w:t>
      </w:r>
      <w:r w:rsidRPr="009D3A9E">
        <w:rPr>
          <w:lang w:val="pl-PL"/>
        </w:rPr>
        <w:t xml:space="preserve">2 tego </w:t>
      </w:r>
      <w:r w:rsidRPr="009D3A9E">
        <w:rPr>
          <w:lang w:val="pl-PL"/>
        </w:rPr>
        <w:lastRenderedPageBreak/>
        <w:t>artykułu korzystanie z tej wolności pociąga za sobą „obowiązki i</w:t>
      </w:r>
      <w:r w:rsidR="009F3748">
        <w:rPr>
          <w:lang w:val="pl-PL"/>
        </w:rPr>
        <w:t> </w:t>
      </w:r>
      <w:r w:rsidRPr="009D3A9E">
        <w:rPr>
          <w:lang w:val="pl-PL"/>
        </w:rPr>
        <w:t>odpowiedzialność”, które dotyczą również prasy. Rzeczone „obowiązki i</w:t>
      </w:r>
      <w:r w:rsidR="009F3748">
        <w:rPr>
          <w:lang w:val="pl-PL"/>
        </w:rPr>
        <w:t> </w:t>
      </w:r>
      <w:r w:rsidRPr="009D3A9E">
        <w:rPr>
          <w:lang w:val="pl-PL"/>
        </w:rPr>
        <w:t>odpowiedzialność” mogą nabrać znaczenia, gdy – jak w niniejszej sprawie – pojawi się kwestia ataku na reputację wskazanych osób i podważania „praw innych osób”. Z uwagi na „obowiązki i odpowiedzialność” nierozerwalnie związane z wykonywaniem wolności wyrażania opinii ochrona przyznana na</w:t>
      </w:r>
      <w:r w:rsidR="009F3748">
        <w:rPr>
          <w:lang w:val="pl-PL"/>
        </w:rPr>
        <w:t> </w:t>
      </w:r>
      <w:r w:rsidRPr="009D3A9E">
        <w:rPr>
          <w:lang w:val="pl-PL"/>
        </w:rPr>
        <w:t>mocy art.</w:t>
      </w:r>
      <w:r w:rsidR="004E5015" w:rsidRPr="009D3A9E">
        <w:rPr>
          <w:lang w:val="pl-PL"/>
        </w:rPr>
        <w:t xml:space="preserve"> </w:t>
      </w:r>
      <w:r w:rsidRPr="009D3A9E">
        <w:rPr>
          <w:lang w:val="pl-PL"/>
        </w:rPr>
        <w:t>10 dziennikarzom w związku z dostarczaniem informacji na</w:t>
      </w:r>
      <w:r w:rsidR="009F3748">
        <w:rPr>
          <w:lang w:val="pl-PL"/>
        </w:rPr>
        <w:t> </w:t>
      </w:r>
      <w:r w:rsidRPr="009D3A9E">
        <w:rPr>
          <w:lang w:val="pl-PL"/>
        </w:rPr>
        <w:t>temat zagadnień leżących w interesie ogółu jest obwarowa</w:t>
      </w:r>
      <w:r w:rsidR="00E06D5F" w:rsidRPr="009D3A9E">
        <w:rPr>
          <w:lang w:val="pl-PL"/>
        </w:rPr>
        <w:t>na warunkiem, że działają oni w</w:t>
      </w:r>
      <w:r w:rsidR="004E5015" w:rsidRPr="009D3A9E">
        <w:rPr>
          <w:lang w:val="pl-PL"/>
        </w:rPr>
        <w:t xml:space="preserve"> </w:t>
      </w:r>
      <w:r w:rsidRPr="009D3A9E">
        <w:rPr>
          <w:lang w:val="pl-PL"/>
        </w:rPr>
        <w:t>dobrej wierze celem dostarczenia dokładnych i</w:t>
      </w:r>
      <w:r w:rsidR="009F3748">
        <w:rPr>
          <w:lang w:val="pl-PL"/>
        </w:rPr>
        <w:t> </w:t>
      </w:r>
      <w:r w:rsidRPr="009D3A9E">
        <w:rPr>
          <w:lang w:val="pl-PL"/>
        </w:rPr>
        <w:t xml:space="preserve">wiarygodnych informacji zgodnie z zasadą </w:t>
      </w:r>
      <w:r w:rsidR="00472524">
        <w:rPr>
          <w:lang w:val="pl-PL"/>
        </w:rPr>
        <w:t>etyki dziennikarskiej</w:t>
      </w:r>
      <w:r w:rsidRPr="009D3A9E">
        <w:rPr>
          <w:lang w:val="pl-PL"/>
        </w:rPr>
        <w:t xml:space="preserve"> (zob.,</w:t>
      </w:r>
      <w:r w:rsidR="009F3748">
        <w:rPr>
          <w:lang w:val="pl-PL"/>
        </w:rPr>
        <w:t> </w:t>
      </w:r>
      <w:r w:rsidRPr="009D3A9E">
        <w:rPr>
          <w:lang w:val="pl-PL"/>
        </w:rPr>
        <w:t xml:space="preserve">odpowiednio, </w:t>
      </w:r>
      <w:bookmarkStart w:id="18" w:name="_Hlk85031187"/>
      <w:r w:rsidRPr="009D3A9E">
        <w:rPr>
          <w:i/>
          <w:iCs/>
          <w:lang w:val="pl-PL"/>
        </w:rPr>
        <w:t>Bladet Tromsø i Stensaas przeciwko Norwegii</w:t>
      </w:r>
      <w:r w:rsidRPr="009D3A9E">
        <w:rPr>
          <w:lang w:val="pl-PL"/>
        </w:rPr>
        <w:t xml:space="preserve"> [WI], nr</w:t>
      </w:r>
      <w:r w:rsidR="009F3748">
        <w:rPr>
          <w:lang w:val="pl-PL"/>
        </w:rPr>
        <w:t> </w:t>
      </w:r>
      <w:r w:rsidRPr="009D3A9E">
        <w:rPr>
          <w:lang w:val="pl-PL"/>
        </w:rPr>
        <w:t>21980/93, §</w:t>
      </w:r>
      <w:r w:rsidR="004E5015" w:rsidRPr="009D3A9E">
        <w:rPr>
          <w:lang w:val="pl-PL"/>
        </w:rPr>
        <w:t xml:space="preserve"> </w:t>
      </w:r>
      <w:r w:rsidRPr="009D3A9E">
        <w:rPr>
          <w:lang w:val="pl-PL"/>
        </w:rPr>
        <w:t>65, ETPC 1999-III).</w:t>
      </w:r>
    </w:p>
    <w:bookmarkEnd w:id="18"/>
    <w:p w14:paraId="1C454D0A" w14:textId="759827C1" w:rsidR="00AD53A3" w:rsidRPr="009D3A9E" w:rsidRDefault="00AD53A3" w:rsidP="00EA3AAB">
      <w:pPr>
        <w:pStyle w:val="JuPara"/>
        <w:rPr>
          <w:lang w:val="pl-PL"/>
        </w:rPr>
      </w:pPr>
      <w:r w:rsidRPr="009D3A9E">
        <w:rPr>
          <w:noProof/>
          <w:lang w:val="pl-PL"/>
        </w:rPr>
        <w:t>49</w:t>
      </w:r>
      <w:r w:rsidRPr="009D3A9E">
        <w:rPr>
          <w:lang w:val="pl-PL"/>
        </w:rPr>
        <w:t>.</w:t>
      </w:r>
      <w:r w:rsidR="004E5015" w:rsidRPr="009D3A9E">
        <w:rPr>
          <w:lang w:val="pl-PL"/>
        </w:rPr>
        <w:t xml:space="preserve"> </w:t>
      </w:r>
      <w:r w:rsidRPr="009D3A9E">
        <w:rPr>
          <w:lang w:val="pl-PL"/>
        </w:rPr>
        <w:t>Po zbadaniu przedmiotowych st</w:t>
      </w:r>
      <w:r w:rsidR="00E06D5F" w:rsidRPr="009D3A9E">
        <w:rPr>
          <w:lang w:val="pl-PL"/>
        </w:rPr>
        <w:t>wierdzeń Trybunał zg</w:t>
      </w:r>
      <w:r w:rsidR="00472524">
        <w:rPr>
          <w:lang w:val="pl-PL"/>
        </w:rPr>
        <w:t>adza</w:t>
      </w:r>
      <w:r w:rsidR="00E06D5F" w:rsidRPr="009D3A9E">
        <w:rPr>
          <w:lang w:val="pl-PL"/>
        </w:rPr>
        <w:t xml:space="preserve"> się z</w:t>
      </w:r>
      <w:r w:rsidR="009F3748">
        <w:rPr>
          <w:lang w:val="pl-PL"/>
        </w:rPr>
        <w:t> </w:t>
      </w:r>
      <w:r w:rsidRPr="009D3A9E">
        <w:rPr>
          <w:lang w:val="pl-PL"/>
        </w:rPr>
        <w:t>sądami krajowymi, że były to w dużej mierze stwierdzenia dotyczące faktów. Sąd Okręgowy uznał, że powód wykazał, przedstawiając dowody rzeczowe, że każde ze stwierdzeń skarżącego było nieprawdziwe (zob. paragraf 21 powyżej). Z protokołu rozprawy w pierwszej instancji jasno wynika, że skarżący nie powołał się na żadne konkretne dowody na poparcie prawdziwości swoich stwierdze</w:t>
      </w:r>
      <w:r w:rsidR="00E06D5F" w:rsidRPr="009D3A9E">
        <w:rPr>
          <w:lang w:val="pl-PL"/>
        </w:rPr>
        <w:t>ń ani nie zwrócił się do sądu o</w:t>
      </w:r>
      <w:r w:rsidR="004E5015" w:rsidRPr="009D3A9E">
        <w:rPr>
          <w:lang w:val="pl-PL"/>
        </w:rPr>
        <w:t xml:space="preserve"> </w:t>
      </w:r>
      <w:r w:rsidRPr="009D3A9E">
        <w:rPr>
          <w:lang w:val="pl-PL"/>
        </w:rPr>
        <w:t xml:space="preserve">dopuszczenie nowych dowodów (zob. paragraf </w:t>
      </w:r>
      <w:r w:rsidRPr="009D3A9E">
        <w:rPr>
          <w:noProof/>
          <w:lang w:val="pl-PL"/>
        </w:rPr>
        <w:t>16</w:t>
      </w:r>
      <w:r w:rsidRPr="009D3A9E">
        <w:rPr>
          <w:lang w:val="pl-PL"/>
        </w:rPr>
        <w:t xml:space="preserve"> powyżej). Ograniczył się do</w:t>
      </w:r>
      <w:r w:rsidR="009F3748">
        <w:rPr>
          <w:lang w:val="pl-PL"/>
        </w:rPr>
        <w:t> </w:t>
      </w:r>
      <w:r w:rsidRPr="009D3A9E">
        <w:rPr>
          <w:lang w:val="pl-PL"/>
        </w:rPr>
        <w:t>stwierdzenia, że informacje te były w domenie publicznej lub pochodziły z oficjalnych źródeł, bez nazywania ich. Skarżący nie może zatem twierdzić, że jego twierdzenia dotyczące faktów znalazły potwierdzenie w</w:t>
      </w:r>
      <w:r w:rsidR="009F3748">
        <w:rPr>
          <w:lang w:val="pl-PL"/>
        </w:rPr>
        <w:t> </w:t>
      </w:r>
      <w:r w:rsidRPr="009D3A9E">
        <w:rPr>
          <w:lang w:val="pl-PL"/>
        </w:rPr>
        <w:t>zgromadzonym przez niego materiale.</w:t>
      </w:r>
    </w:p>
    <w:p w14:paraId="29A94AE8" w14:textId="55C55DFF" w:rsidR="00AD53A3" w:rsidRPr="009D3A9E" w:rsidRDefault="00AD53A3" w:rsidP="00EA3AAB">
      <w:pPr>
        <w:pStyle w:val="JuPara"/>
        <w:rPr>
          <w:lang w:val="pl-PL"/>
        </w:rPr>
      </w:pPr>
      <w:r w:rsidRPr="009D3A9E">
        <w:rPr>
          <w:noProof/>
          <w:lang w:val="pl-PL"/>
        </w:rPr>
        <w:t>50</w:t>
      </w:r>
      <w:r w:rsidRPr="009D3A9E">
        <w:rPr>
          <w:lang w:val="pl-PL"/>
        </w:rPr>
        <w:t>.</w:t>
      </w:r>
      <w:r w:rsidR="004E5015" w:rsidRPr="009D3A9E">
        <w:rPr>
          <w:lang w:val="pl-PL"/>
        </w:rPr>
        <w:t xml:space="preserve"> </w:t>
      </w:r>
      <w:r w:rsidRPr="009D3A9E">
        <w:rPr>
          <w:lang w:val="pl-PL"/>
        </w:rPr>
        <w:t xml:space="preserve">Ponadto w swoim </w:t>
      </w:r>
      <w:r w:rsidR="00472524">
        <w:rPr>
          <w:lang w:val="pl-PL"/>
        </w:rPr>
        <w:t>zażaleniu</w:t>
      </w:r>
      <w:r w:rsidRPr="009D3A9E">
        <w:rPr>
          <w:lang w:val="pl-PL"/>
        </w:rPr>
        <w:t xml:space="preserve"> od </w:t>
      </w:r>
      <w:r w:rsidR="00472524">
        <w:rPr>
          <w:lang w:val="pl-PL"/>
        </w:rPr>
        <w:t xml:space="preserve">postanowienia </w:t>
      </w:r>
      <w:r w:rsidRPr="009D3A9E">
        <w:rPr>
          <w:lang w:val="pl-PL"/>
        </w:rPr>
        <w:t xml:space="preserve">pierwszej instancji, złożonym przez wybranego przez </w:t>
      </w:r>
      <w:r w:rsidR="00472524">
        <w:rPr>
          <w:lang w:val="pl-PL"/>
        </w:rPr>
        <w:t>siebie</w:t>
      </w:r>
      <w:r w:rsidRPr="009D3A9E">
        <w:rPr>
          <w:lang w:val="pl-PL"/>
        </w:rPr>
        <w:t xml:space="preserve"> adwokata, skarżący nie</w:t>
      </w:r>
      <w:r w:rsidR="009F3748">
        <w:rPr>
          <w:lang w:val="pl-PL"/>
        </w:rPr>
        <w:t> </w:t>
      </w:r>
      <w:r w:rsidRPr="009D3A9E">
        <w:rPr>
          <w:lang w:val="pl-PL"/>
        </w:rPr>
        <w:t>kwestionował wniosku sądu pierwszej instancji, zgodnie z którym jego stwierdzenia dotyczące faktów nie były prawdziwe (zob. paragraf 22</w:t>
      </w:r>
      <w:r w:rsidR="004E5015" w:rsidRPr="009D3A9E">
        <w:rPr>
          <w:lang w:val="pl-PL"/>
        </w:rPr>
        <w:t xml:space="preserve"> </w:t>
      </w:r>
      <w:r w:rsidRPr="009D3A9E">
        <w:rPr>
          <w:lang w:val="pl-PL"/>
        </w:rPr>
        <w:t xml:space="preserve">powyżej). W związku z tym nie przedstawił on w postępowaniu odwoławczym żadnych dowodów dotyczących źródeł informacji lub w inny sposób wskazujących na prawdziwość jego twierdzeń. Fakt ten został zauważony przez Sąd Apelacyjny w Łodzi w uwagach wstępnych do jego </w:t>
      </w:r>
      <w:r w:rsidR="002A34F3">
        <w:rPr>
          <w:lang w:val="pl-PL"/>
        </w:rPr>
        <w:t>postanowienia</w:t>
      </w:r>
      <w:r w:rsidRPr="009D3A9E">
        <w:rPr>
          <w:lang w:val="pl-PL"/>
        </w:rPr>
        <w:t xml:space="preserve"> z dnia 27 października 2014</w:t>
      </w:r>
      <w:r w:rsidR="004E5015" w:rsidRPr="009D3A9E">
        <w:rPr>
          <w:lang w:val="pl-PL"/>
        </w:rPr>
        <w:t xml:space="preserve"> </w:t>
      </w:r>
      <w:r w:rsidRPr="009D3A9E">
        <w:rPr>
          <w:lang w:val="pl-PL"/>
        </w:rPr>
        <w:t>r. (zob. paragraf 24 powyżej). Skarżący nie przedstawił żadnego wiarygodnego wyjaśnienia uzasadniającego brak uzupełni</w:t>
      </w:r>
      <w:r w:rsidR="009A6E15">
        <w:rPr>
          <w:lang w:val="pl-PL"/>
        </w:rPr>
        <w:t>enia</w:t>
      </w:r>
      <w:r w:rsidRPr="009D3A9E">
        <w:rPr>
          <w:lang w:val="pl-PL"/>
        </w:rPr>
        <w:t xml:space="preserve"> materiału dowodowego na etapie postępowania odwoławczego.</w:t>
      </w:r>
    </w:p>
    <w:p w14:paraId="5EAB6AB0" w14:textId="0D2E29F6" w:rsidR="00AD53A3" w:rsidRPr="009D3A9E" w:rsidRDefault="00AD53A3" w:rsidP="00EA3AAB">
      <w:pPr>
        <w:pStyle w:val="JuPara"/>
        <w:rPr>
          <w:lang w:val="pl-PL"/>
        </w:rPr>
      </w:pPr>
      <w:r w:rsidRPr="009D3A9E">
        <w:rPr>
          <w:noProof/>
          <w:lang w:val="pl-PL"/>
        </w:rPr>
        <w:t>51</w:t>
      </w:r>
      <w:r w:rsidRPr="009D3A9E">
        <w:rPr>
          <w:lang w:val="pl-PL"/>
        </w:rPr>
        <w:t>.</w:t>
      </w:r>
      <w:r w:rsidR="004E5015" w:rsidRPr="009D3A9E">
        <w:rPr>
          <w:lang w:val="pl-PL"/>
        </w:rPr>
        <w:t xml:space="preserve"> </w:t>
      </w:r>
      <w:r w:rsidRPr="009D3A9E">
        <w:rPr>
          <w:lang w:val="pl-PL"/>
        </w:rPr>
        <w:t xml:space="preserve">Ponadto w postępowaniu krajowym skarżący nie wskazał źródeł swoich informacji i powodów, dla których nie były one dokładne. Podobnie w postępowaniu przed Trybunałem skarżący nie wskazał swoich źródeł i nie wykazał, że działał z należytą starannością. Skarżący nie wykazał również, że badania przeprowadzone przez niego przed opublikowaniem nieprawdziwych twierdzeń dotyczących faktów były dokonane w dobrej wierze i </w:t>
      </w:r>
      <w:r w:rsidR="009A6E15">
        <w:rPr>
          <w:lang w:val="pl-PL"/>
        </w:rPr>
        <w:t>spełniały zwykły dziennikarski obowiązek</w:t>
      </w:r>
      <w:r w:rsidRPr="009D3A9E">
        <w:rPr>
          <w:lang w:val="pl-PL"/>
        </w:rPr>
        <w:t xml:space="preserve"> sprawdzenia twierdzenia </w:t>
      </w:r>
      <w:r w:rsidRPr="009D3A9E">
        <w:rPr>
          <w:lang w:val="pl-PL"/>
        </w:rPr>
        <w:lastRenderedPageBreak/>
        <w:t xml:space="preserve">o faktach (zob. </w:t>
      </w:r>
      <w:bookmarkStart w:id="19" w:name="_Hlk85031210"/>
      <w:r w:rsidRPr="009D3A9E">
        <w:rPr>
          <w:i/>
          <w:iCs/>
          <w:lang w:val="pl-PL"/>
        </w:rPr>
        <w:t>Rumyana Ivanova</w:t>
      </w:r>
      <w:r w:rsidRPr="009D3A9E">
        <w:rPr>
          <w:lang w:val="pl-PL"/>
        </w:rPr>
        <w:t xml:space="preserve"> </w:t>
      </w:r>
      <w:r w:rsidRPr="009D3A9E">
        <w:rPr>
          <w:i/>
          <w:iCs/>
          <w:lang w:val="pl-PL"/>
        </w:rPr>
        <w:t>przeciwko Bułgarii</w:t>
      </w:r>
      <w:r w:rsidRPr="009D3A9E">
        <w:rPr>
          <w:lang w:val="pl-PL"/>
        </w:rPr>
        <w:t>, nr 36207/03, § 64, 14</w:t>
      </w:r>
      <w:r w:rsidR="009F3748">
        <w:rPr>
          <w:lang w:val="pl-PL"/>
        </w:rPr>
        <w:t> </w:t>
      </w:r>
      <w:r w:rsidRPr="009D3A9E">
        <w:rPr>
          <w:lang w:val="pl-PL"/>
        </w:rPr>
        <w:t>lutego 2008</w:t>
      </w:r>
      <w:r w:rsidR="004E5015" w:rsidRPr="009D3A9E">
        <w:rPr>
          <w:lang w:val="pl-PL"/>
        </w:rPr>
        <w:t xml:space="preserve"> </w:t>
      </w:r>
      <w:r w:rsidRPr="009D3A9E">
        <w:rPr>
          <w:lang w:val="pl-PL"/>
        </w:rPr>
        <w:t>r.).</w:t>
      </w:r>
    </w:p>
    <w:bookmarkEnd w:id="19"/>
    <w:p w14:paraId="7128DBEB" w14:textId="64E57889" w:rsidR="00AD53A3" w:rsidRPr="009D3A9E" w:rsidRDefault="00AD53A3" w:rsidP="00EA3AAB">
      <w:pPr>
        <w:pStyle w:val="JuPara"/>
        <w:rPr>
          <w:lang w:val="pl-PL"/>
        </w:rPr>
      </w:pPr>
      <w:r w:rsidRPr="009D3A9E">
        <w:rPr>
          <w:noProof/>
          <w:lang w:val="pl-PL"/>
        </w:rPr>
        <w:t>52</w:t>
      </w:r>
      <w:r w:rsidRPr="009D3A9E">
        <w:rPr>
          <w:lang w:val="pl-PL"/>
        </w:rPr>
        <w:t>.</w:t>
      </w:r>
      <w:r w:rsidR="004E5015" w:rsidRPr="009D3A9E">
        <w:rPr>
          <w:lang w:val="pl-PL"/>
        </w:rPr>
        <w:t xml:space="preserve"> </w:t>
      </w:r>
      <w:r w:rsidRPr="009D3A9E">
        <w:rPr>
          <w:lang w:val="pl-PL"/>
        </w:rPr>
        <w:t>Sądy krajowe wyważyły dwa sprzeczne interesy, mianowicie interes wszystkich uczestników kampanii wyborczych polegający na możliwości wykorzystania wszelkich możliwych środków w celu wywarcia wpływu na</w:t>
      </w:r>
      <w:r w:rsidR="009F3748">
        <w:rPr>
          <w:lang w:val="pl-PL"/>
        </w:rPr>
        <w:t> </w:t>
      </w:r>
      <w:r w:rsidRPr="009D3A9E">
        <w:rPr>
          <w:lang w:val="pl-PL"/>
        </w:rPr>
        <w:t>wyborców oraz prawo kandydata do ochrony przed nieprawdziwymi zarzutami. Sąd Okręgowy w Płocku podkreślił, że prasa ma obowiązek informowania w sposób rzetelny i na podstawie faktów (zob. paragraf 19 powyżej). Sąd odwoławczy zauważył, że nawet oceny wartościujące muszą być oparte w wystarczającym stopniu na faktach (zob. paragraf 25 powyżej). Trybunał przypomina, że „[w] przypadku, gdy władze krajowe dokonały wyważenia interesów zgodnie z kryteriami ustanowionymi w</w:t>
      </w:r>
      <w:r w:rsidR="004E5015" w:rsidRPr="009D3A9E">
        <w:rPr>
          <w:lang w:val="pl-PL"/>
        </w:rPr>
        <w:t xml:space="preserve"> </w:t>
      </w:r>
      <w:r w:rsidRPr="009D3A9E">
        <w:rPr>
          <w:lang w:val="pl-PL"/>
        </w:rPr>
        <w:t xml:space="preserve">orzecznictwie Trybunału, Trybunał </w:t>
      </w:r>
      <w:r w:rsidR="00996024">
        <w:rPr>
          <w:lang w:val="pl-PL"/>
        </w:rPr>
        <w:t>potrzebuje</w:t>
      </w:r>
      <w:r w:rsidRPr="009D3A9E">
        <w:rPr>
          <w:lang w:val="pl-PL"/>
        </w:rPr>
        <w:t xml:space="preserve"> silnych powodów, aby zastąpić </w:t>
      </w:r>
      <w:r w:rsidR="00996024">
        <w:rPr>
          <w:lang w:val="pl-PL"/>
        </w:rPr>
        <w:t xml:space="preserve">pogląd </w:t>
      </w:r>
      <w:r w:rsidRPr="009D3A9E">
        <w:rPr>
          <w:lang w:val="pl-PL"/>
        </w:rPr>
        <w:t>sądów krajowych</w:t>
      </w:r>
      <w:r w:rsidR="00996024">
        <w:rPr>
          <w:lang w:val="pl-PL"/>
        </w:rPr>
        <w:t xml:space="preserve"> swoim własnym poglądem</w:t>
      </w:r>
      <w:r w:rsidRPr="009D3A9E">
        <w:rPr>
          <w:lang w:val="pl-PL"/>
        </w:rPr>
        <w:t xml:space="preserve">” (zob. </w:t>
      </w:r>
      <w:bookmarkStart w:id="20" w:name="_Hlk85031233"/>
      <w:r w:rsidRPr="009D3A9E">
        <w:rPr>
          <w:i/>
          <w:iCs/>
          <w:lang w:val="pl-PL"/>
        </w:rPr>
        <w:t>Von Hannover przeciwko Niemcom</w:t>
      </w:r>
      <w:r w:rsidRPr="009D3A9E">
        <w:rPr>
          <w:lang w:val="pl-PL"/>
        </w:rPr>
        <w:t xml:space="preserve"> </w:t>
      </w:r>
      <w:r w:rsidRPr="009D3A9E">
        <w:rPr>
          <w:i/>
          <w:lang w:val="pl-PL"/>
        </w:rPr>
        <w:t xml:space="preserve">(nr 2) </w:t>
      </w:r>
      <w:r w:rsidR="00E06D5F" w:rsidRPr="009D3A9E">
        <w:rPr>
          <w:lang w:val="pl-PL"/>
        </w:rPr>
        <w:t>[WI], nr 40660/08 i 60641/08, §</w:t>
      </w:r>
      <w:r w:rsidR="004E5015" w:rsidRPr="009D3A9E">
        <w:rPr>
          <w:lang w:val="pl-PL"/>
        </w:rPr>
        <w:t xml:space="preserve"> </w:t>
      </w:r>
      <w:r w:rsidRPr="009D3A9E">
        <w:rPr>
          <w:lang w:val="pl-PL"/>
        </w:rPr>
        <w:t>107, ETPC 2012</w:t>
      </w:r>
      <w:bookmarkEnd w:id="20"/>
      <w:r w:rsidRPr="009D3A9E">
        <w:rPr>
          <w:lang w:val="pl-PL"/>
        </w:rPr>
        <w:t>).</w:t>
      </w:r>
    </w:p>
    <w:p w14:paraId="4789BB7C" w14:textId="3FC3D371" w:rsidR="00AD53A3" w:rsidRPr="009D3A9E" w:rsidRDefault="00AD53A3" w:rsidP="00EA3AAB">
      <w:pPr>
        <w:pStyle w:val="JuPara"/>
        <w:rPr>
          <w:lang w:val="pl-PL"/>
        </w:rPr>
      </w:pPr>
      <w:r w:rsidRPr="009D3A9E">
        <w:rPr>
          <w:noProof/>
          <w:lang w:val="pl-PL"/>
        </w:rPr>
        <w:t>53</w:t>
      </w:r>
      <w:r w:rsidRPr="009D3A9E">
        <w:rPr>
          <w:lang w:val="pl-PL"/>
        </w:rPr>
        <w:t>.</w:t>
      </w:r>
      <w:r w:rsidR="004E5015" w:rsidRPr="009D3A9E">
        <w:rPr>
          <w:lang w:val="pl-PL"/>
        </w:rPr>
        <w:t xml:space="preserve"> </w:t>
      </w:r>
      <w:r w:rsidRPr="009D3A9E">
        <w:rPr>
          <w:lang w:val="pl-PL"/>
        </w:rPr>
        <w:t>Mając na uwadze powyższe, Trybunał jest przekonany, że powody przedstawione przez sądy krajowe w celu ukarania skarżącego były właściwe i wystarczające w rozumieniu jego orzecznictwa.</w:t>
      </w:r>
    </w:p>
    <w:p w14:paraId="09EA5A4B" w14:textId="0CB0CFD5" w:rsidR="00AD53A3" w:rsidRPr="009D3A9E" w:rsidRDefault="00AD53A3" w:rsidP="00EA3AAB">
      <w:pPr>
        <w:pStyle w:val="JuPara"/>
        <w:rPr>
          <w:lang w:val="pl-PL"/>
        </w:rPr>
      </w:pPr>
      <w:r w:rsidRPr="009D3A9E">
        <w:rPr>
          <w:noProof/>
          <w:lang w:val="pl-PL"/>
        </w:rPr>
        <w:t>54</w:t>
      </w:r>
      <w:r w:rsidRPr="009D3A9E">
        <w:rPr>
          <w:lang w:val="pl-PL"/>
        </w:rPr>
        <w:t>.</w:t>
      </w:r>
      <w:r w:rsidR="004E5015" w:rsidRPr="009D3A9E">
        <w:rPr>
          <w:lang w:val="pl-PL"/>
        </w:rPr>
        <w:t xml:space="preserve"> </w:t>
      </w:r>
      <w:r w:rsidRPr="009D3A9E">
        <w:rPr>
          <w:lang w:val="pl-PL"/>
        </w:rPr>
        <w:t>W związku z tym Trybunał zauważa, że nie jest w stanie przychylić się do argumentu skarżącego, zgodnie z którym samo zastosowanie postępowania uproszczonego przewidzianego w art.</w:t>
      </w:r>
      <w:r w:rsidR="004E5015" w:rsidRPr="009D3A9E">
        <w:rPr>
          <w:lang w:val="pl-PL"/>
        </w:rPr>
        <w:t xml:space="preserve"> </w:t>
      </w:r>
      <w:r w:rsidRPr="009D3A9E">
        <w:rPr>
          <w:lang w:val="pl-PL"/>
        </w:rPr>
        <w:t>111 Kodeksu wyborczego stanowiło naruszenie art.</w:t>
      </w:r>
      <w:r w:rsidR="004E5015" w:rsidRPr="009D3A9E">
        <w:rPr>
          <w:lang w:val="pl-PL"/>
        </w:rPr>
        <w:t xml:space="preserve"> </w:t>
      </w:r>
      <w:r w:rsidRPr="009D3A9E">
        <w:rPr>
          <w:lang w:val="pl-PL"/>
        </w:rPr>
        <w:t>10 K</w:t>
      </w:r>
      <w:r w:rsidR="00E06D5F" w:rsidRPr="009D3A9E">
        <w:rPr>
          <w:lang w:val="pl-PL"/>
        </w:rPr>
        <w:t>onwencji. Trybunał zauważ</w:t>
      </w:r>
      <w:r w:rsidR="00996024">
        <w:rPr>
          <w:lang w:val="pl-PL"/>
        </w:rPr>
        <w:t>a</w:t>
      </w:r>
      <w:r w:rsidR="00E06D5F" w:rsidRPr="009D3A9E">
        <w:rPr>
          <w:lang w:val="pl-PL"/>
        </w:rPr>
        <w:t>, że</w:t>
      </w:r>
      <w:r w:rsidR="009F3748">
        <w:rPr>
          <w:lang w:val="pl-PL"/>
        </w:rPr>
        <w:t> </w:t>
      </w:r>
      <w:r w:rsidRPr="009D3A9E">
        <w:rPr>
          <w:lang w:val="pl-PL"/>
        </w:rPr>
        <w:t>postępowania tego rodzaju są prowadzon</w:t>
      </w:r>
      <w:r w:rsidR="00E06D5F" w:rsidRPr="009D3A9E">
        <w:rPr>
          <w:lang w:val="pl-PL"/>
        </w:rPr>
        <w:t>e w bardzo krótkich terminach i</w:t>
      </w:r>
      <w:r w:rsidR="009F3748">
        <w:rPr>
          <w:lang w:val="pl-PL"/>
        </w:rPr>
        <w:t> </w:t>
      </w:r>
      <w:r w:rsidRPr="009D3A9E">
        <w:rPr>
          <w:lang w:val="pl-PL"/>
        </w:rPr>
        <w:t>mają na celu zapewnienie prawidłowego przebiegu kampanii wyborczej poprzez zapobieganie naruszeniom dóbr osobistych kandydatów, mogącym mieć wpływ na wynik wyborów. Trybunał powtarza, że zapewnienie takiego doraźnego środka odwoławczego w okresach kampanii wyborczych, czy</w:t>
      </w:r>
      <w:r w:rsidR="009F3748">
        <w:rPr>
          <w:lang w:val="pl-PL"/>
        </w:rPr>
        <w:t> </w:t>
      </w:r>
      <w:r w:rsidRPr="009D3A9E">
        <w:rPr>
          <w:lang w:val="pl-PL"/>
        </w:rPr>
        <w:t>to</w:t>
      </w:r>
      <w:r w:rsidR="009F3748">
        <w:rPr>
          <w:lang w:val="pl-PL"/>
        </w:rPr>
        <w:t> </w:t>
      </w:r>
      <w:r w:rsidRPr="009D3A9E">
        <w:rPr>
          <w:lang w:val="pl-PL"/>
        </w:rPr>
        <w:t>na poziomie lokalnym</w:t>
      </w:r>
      <w:r w:rsidR="00573536" w:rsidRPr="009D3A9E">
        <w:rPr>
          <w:lang w:val="pl-PL"/>
        </w:rPr>
        <w:t>,</w:t>
      </w:r>
      <w:r w:rsidRPr="009D3A9E">
        <w:rPr>
          <w:lang w:val="pl-PL"/>
        </w:rPr>
        <w:t xml:space="preserve"> czy krajowym, służy u</w:t>
      </w:r>
      <w:r w:rsidR="004E5015" w:rsidRPr="009D3A9E">
        <w:rPr>
          <w:lang w:val="pl-PL"/>
        </w:rPr>
        <w:t>praw</w:t>
      </w:r>
      <w:r w:rsidRPr="009D3A9E">
        <w:rPr>
          <w:lang w:val="pl-PL"/>
        </w:rPr>
        <w:t xml:space="preserve">nionemu celowi zapewnienia uczciwości procesu wyborczego i jako takie nie powinno być kwestionowane z punktu widzenia Konwencji (zob. </w:t>
      </w:r>
      <w:bookmarkStart w:id="21" w:name="_Hlk85031247"/>
      <w:r w:rsidRPr="009D3A9E">
        <w:rPr>
          <w:i/>
          <w:iCs/>
          <w:lang w:val="pl-PL"/>
        </w:rPr>
        <w:t>Kwiecień</w:t>
      </w:r>
      <w:r w:rsidRPr="009D3A9E">
        <w:rPr>
          <w:lang w:val="pl-PL"/>
        </w:rPr>
        <w:t>, cyt. powyżej, § 55</w:t>
      </w:r>
      <w:bookmarkEnd w:id="21"/>
      <w:r w:rsidRPr="009D3A9E">
        <w:rPr>
          <w:lang w:val="pl-PL"/>
        </w:rPr>
        <w:t>).</w:t>
      </w:r>
    </w:p>
    <w:p w14:paraId="7E96A557" w14:textId="5B59EB12" w:rsidR="00AD53A3" w:rsidRPr="009D3A9E" w:rsidRDefault="00AD53A3" w:rsidP="00EA3AAB">
      <w:pPr>
        <w:pStyle w:val="JuPara"/>
        <w:rPr>
          <w:lang w:val="pl-PL"/>
        </w:rPr>
      </w:pPr>
      <w:r w:rsidRPr="009D3A9E">
        <w:rPr>
          <w:noProof/>
          <w:lang w:val="pl-PL"/>
        </w:rPr>
        <w:t>55</w:t>
      </w:r>
      <w:r w:rsidRPr="009D3A9E">
        <w:rPr>
          <w:lang w:val="pl-PL"/>
        </w:rPr>
        <w:t>.</w:t>
      </w:r>
      <w:r w:rsidR="004E5015" w:rsidRPr="009D3A9E">
        <w:rPr>
          <w:lang w:val="pl-PL"/>
        </w:rPr>
        <w:t xml:space="preserve"> </w:t>
      </w:r>
      <w:r w:rsidRPr="009D3A9E">
        <w:rPr>
          <w:lang w:val="pl-PL"/>
        </w:rPr>
        <w:t>Jednocześnie, jakkolwiek pożądane może być szybkie rozpatrywanie sporów związanych z wyborami, nie powinno ono prowadzić do</w:t>
      </w:r>
      <w:r w:rsidR="009F3748">
        <w:rPr>
          <w:lang w:val="pl-PL"/>
        </w:rPr>
        <w:t> </w:t>
      </w:r>
      <w:r w:rsidRPr="009D3A9E">
        <w:rPr>
          <w:lang w:val="pl-PL"/>
        </w:rPr>
        <w:t xml:space="preserve">nadmiernego ograniczania gwarancji proceduralnych przyznanych stronom takiego postępowania, w szczególności pozwanym. W tym względzie Trybunał zauważa, że skarżący został </w:t>
      </w:r>
      <w:r w:rsidR="00E06D5F" w:rsidRPr="009D3A9E">
        <w:rPr>
          <w:lang w:val="pl-PL"/>
        </w:rPr>
        <w:t>poinformowany o sprawie rano 21</w:t>
      </w:r>
      <w:r w:rsidR="004E5015" w:rsidRPr="009D3A9E">
        <w:rPr>
          <w:lang w:val="pl-PL"/>
        </w:rPr>
        <w:t xml:space="preserve"> </w:t>
      </w:r>
      <w:r w:rsidRPr="009D3A9E">
        <w:rPr>
          <w:lang w:val="pl-PL"/>
        </w:rPr>
        <w:t>października 2014</w:t>
      </w:r>
      <w:r w:rsidR="004E5015" w:rsidRPr="009D3A9E">
        <w:rPr>
          <w:lang w:val="pl-PL"/>
        </w:rPr>
        <w:t xml:space="preserve"> </w:t>
      </w:r>
      <w:r w:rsidRPr="009D3A9E">
        <w:rPr>
          <w:lang w:val="pl-PL"/>
        </w:rPr>
        <w:t>r. i że rozprawa została wyznaczona na następny dzień (zob. paragraf 13 powyżej). Mimo że w sposób oczywisty był to krótki termin, skarżący nadal miałby możliwość skorzystania z usług adwokata w</w:t>
      </w:r>
      <w:r w:rsidR="009F3748">
        <w:rPr>
          <w:lang w:val="pl-PL"/>
        </w:rPr>
        <w:t> </w:t>
      </w:r>
      <w:r w:rsidRPr="009D3A9E">
        <w:rPr>
          <w:lang w:val="pl-PL"/>
        </w:rPr>
        <w:t xml:space="preserve">tym dniu; nic nie wskazuje na to, że skarżący podjął taką próbę. Postępowanie dotyczyło dwóch ostatnich wydań biuletynu, który był redagowany wyłącznie przez skarżącego. Skarżący nie przedstawił żadnych dowodów przed składami orzekającymi (por. </w:t>
      </w:r>
      <w:r w:rsidRPr="009D3A9E">
        <w:rPr>
          <w:i/>
          <w:iCs/>
          <w:lang w:val="pl-PL"/>
        </w:rPr>
        <w:t>Kwiecień</w:t>
      </w:r>
      <w:r w:rsidRPr="009D3A9E">
        <w:rPr>
          <w:lang w:val="pl-PL"/>
        </w:rPr>
        <w:t xml:space="preserve">, cyt. </w:t>
      </w:r>
      <w:r w:rsidR="006205CC" w:rsidRPr="009D3A9E">
        <w:rPr>
          <w:lang w:val="pl-PL"/>
        </w:rPr>
        <w:t>p</w:t>
      </w:r>
      <w:r w:rsidRPr="009D3A9E">
        <w:rPr>
          <w:lang w:val="pl-PL"/>
        </w:rPr>
        <w:t>owyżej</w:t>
      </w:r>
      <w:r w:rsidR="009A002C" w:rsidRPr="009D3A9E">
        <w:rPr>
          <w:lang w:val="pl-PL"/>
        </w:rPr>
        <w:t>,</w:t>
      </w:r>
      <w:r w:rsidRPr="009D3A9E">
        <w:rPr>
          <w:lang w:val="pl-PL"/>
        </w:rPr>
        <w:t xml:space="preserve"> § 55). Nie jest zatem oczywiste, że sprawa była szczególnie skomplikowana, </w:t>
      </w:r>
      <w:r w:rsidRPr="009D3A9E">
        <w:rPr>
          <w:lang w:val="pl-PL"/>
        </w:rPr>
        <w:lastRenderedPageBreak/>
        <w:t>tak</w:t>
      </w:r>
      <w:r w:rsidR="009F3748">
        <w:rPr>
          <w:lang w:val="pl-PL"/>
        </w:rPr>
        <w:t> </w:t>
      </w:r>
      <w:r w:rsidRPr="009D3A9E">
        <w:rPr>
          <w:lang w:val="pl-PL"/>
        </w:rPr>
        <w:t>że</w:t>
      </w:r>
      <w:r w:rsidR="009F3748">
        <w:rPr>
          <w:lang w:val="pl-PL"/>
        </w:rPr>
        <w:t> </w:t>
      </w:r>
      <w:r w:rsidRPr="009D3A9E">
        <w:rPr>
          <w:lang w:val="pl-PL"/>
        </w:rPr>
        <w:t>skarżący miałby trudności ze skutecznym przedstawieniem jej przed sądem. Skarżący po rozprawie w dniu 21 października 2014</w:t>
      </w:r>
      <w:r w:rsidR="004E5015" w:rsidRPr="009D3A9E">
        <w:rPr>
          <w:lang w:val="pl-PL"/>
        </w:rPr>
        <w:t xml:space="preserve"> </w:t>
      </w:r>
      <w:r w:rsidRPr="009D3A9E">
        <w:rPr>
          <w:lang w:val="pl-PL"/>
        </w:rPr>
        <w:t>r. udzielił pełnomocnictwa adwokatowi i był reprezentowany w dalszym postępowaniu odwoławczym. Trybunał nie jest zatem przekonany, że okoliczności niniejszej sprawy stanowiły brak sprawiedliwości</w:t>
      </w:r>
      <w:r w:rsidR="0098217D">
        <w:rPr>
          <w:lang w:val="pl-PL"/>
        </w:rPr>
        <w:t xml:space="preserve"> proceduralnej i równości, który</w:t>
      </w:r>
      <w:r w:rsidRPr="009D3A9E">
        <w:rPr>
          <w:lang w:val="pl-PL"/>
        </w:rPr>
        <w:t xml:space="preserve"> mógłby </w:t>
      </w:r>
      <w:r w:rsidR="0098217D">
        <w:rPr>
          <w:lang w:val="pl-PL"/>
        </w:rPr>
        <w:t xml:space="preserve">rodzić zagadnienie </w:t>
      </w:r>
      <w:r w:rsidRPr="009D3A9E">
        <w:rPr>
          <w:lang w:val="pl-PL"/>
        </w:rPr>
        <w:t>na podstawie art.</w:t>
      </w:r>
      <w:r w:rsidR="004E5015" w:rsidRPr="009D3A9E">
        <w:rPr>
          <w:lang w:val="pl-PL"/>
        </w:rPr>
        <w:t xml:space="preserve"> </w:t>
      </w:r>
      <w:r w:rsidRPr="009D3A9E">
        <w:rPr>
          <w:lang w:val="pl-PL"/>
        </w:rPr>
        <w:t xml:space="preserve">10 Konwencji (por. dla kontrastu </w:t>
      </w:r>
      <w:bookmarkStart w:id="22" w:name="_Hlk85031267"/>
      <w:r w:rsidRPr="009D3A9E">
        <w:rPr>
          <w:i/>
          <w:iCs/>
          <w:lang w:val="pl-PL"/>
        </w:rPr>
        <w:t>Steel i Morris przeciwko Zjednoczonemu Królestwu</w:t>
      </w:r>
      <w:r w:rsidRPr="009D3A9E">
        <w:rPr>
          <w:lang w:val="pl-PL"/>
        </w:rPr>
        <w:t>, nr 68416/01, § 95, ETPC 2005-II</w:t>
      </w:r>
      <w:bookmarkEnd w:id="22"/>
      <w:r w:rsidRPr="009D3A9E">
        <w:rPr>
          <w:lang w:val="pl-PL"/>
        </w:rPr>
        <w:t>).</w:t>
      </w:r>
    </w:p>
    <w:p w14:paraId="74520059" w14:textId="5CA8F33E" w:rsidR="00AD53A3" w:rsidRPr="009D3A9E" w:rsidRDefault="00AD53A3" w:rsidP="00EA3AAB">
      <w:pPr>
        <w:pStyle w:val="JuPara"/>
        <w:rPr>
          <w:lang w:val="pl-PL"/>
        </w:rPr>
      </w:pPr>
      <w:r w:rsidRPr="009D3A9E">
        <w:rPr>
          <w:noProof/>
          <w:lang w:val="pl-PL"/>
        </w:rPr>
        <w:t>56</w:t>
      </w:r>
      <w:r w:rsidRPr="009D3A9E">
        <w:rPr>
          <w:lang w:val="pl-PL"/>
        </w:rPr>
        <w:t>.</w:t>
      </w:r>
      <w:r w:rsidR="004E5015" w:rsidRPr="009D3A9E">
        <w:rPr>
          <w:lang w:val="pl-PL"/>
        </w:rPr>
        <w:t xml:space="preserve"> </w:t>
      </w:r>
      <w:r w:rsidRPr="009D3A9E">
        <w:rPr>
          <w:lang w:val="pl-PL"/>
        </w:rPr>
        <w:t>Charakter i surowość nałożonych kar są czynnikami, które należy wziąć pod uwagę przy ocenie proporcjonalności ingerencji w wolność wyrażania opinii gwarantowaną przez art.</w:t>
      </w:r>
      <w:r w:rsidR="004E5015" w:rsidRPr="009D3A9E">
        <w:rPr>
          <w:lang w:val="pl-PL"/>
        </w:rPr>
        <w:t xml:space="preserve"> </w:t>
      </w:r>
      <w:r w:rsidRPr="009D3A9E">
        <w:rPr>
          <w:lang w:val="pl-PL"/>
        </w:rPr>
        <w:t xml:space="preserve">10 (zob. </w:t>
      </w:r>
      <w:bookmarkStart w:id="23" w:name="_Hlk85031284"/>
      <w:r w:rsidRPr="009D3A9E">
        <w:rPr>
          <w:i/>
          <w:iCs/>
          <w:lang w:val="pl-PL"/>
        </w:rPr>
        <w:t>Cumpǎnǎ i Mazǎre przeciwko Rumunii</w:t>
      </w:r>
      <w:r w:rsidRPr="009D3A9E">
        <w:rPr>
          <w:lang w:val="pl-PL"/>
        </w:rPr>
        <w:t xml:space="preserve"> [WI], nr 33348/96, §</w:t>
      </w:r>
      <w:r w:rsidR="004E5015" w:rsidRPr="009D3A9E">
        <w:rPr>
          <w:lang w:val="pl-PL"/>
        </w:rPr>
        <w:t xml:space="preserve"> </w:t>
      </w:r>
      <w:r w:rsidRPr="009D3A9E">
        <w:rPr>
          <w:lang w:val="pl-PL"/>
        </w:rPr>
        <w:t>111, ETPC 2004-XI</w:t>
      </w:r>
      <w:bookmarkEnd w:id="23"/>
      <w:r w:rsidRPr="009D3A9E">
        <w:rPr>
          <w:lang w:val="pl-PL"/>
        </w:rPr>
        <w:t>). W</w:t>
      </w:r>
      <w:r w:rsidR="009F3748">
        <w:rPr>
          <w:lang w:val="pl-PL"/>
        </w:rPr>
        <w:t> </w:t>
      </w:r>
      <w:r w:rsidRPr="009D3A9E">
        <w:rPr>
          <w:lang w:val="pl-PL"/>
        </w:rPr>
        <w:t>tym</w:t>
      </w:r>
      <w:r w:rsidR="009F3748">
        <w:rPr>
          <w:lang w:val="pl-PL"/>
        </w:rPr>
        <w:t> </w:t>
      </w:r>
      <w:r w:rsidRPr="009D3A9E">
        <w:rPr>
          <w:lang w:val="pl-PL"/>
        </w:rPr>
        <w:t>kontekście Trybunał zauważa, że skarżący został uznany za</w:t>
      </w:r>
      <w:r w:rsidR="009F3748">
        <w:rPr>
          <w:lang w:val="pl-PL"/>
        </w:rPr>
        <w:t> </w:t>
      </w:r>
      <w:r w:rsidRPr="009D3A9E">
        <w:rPr>
          <w:lang w:val="pl-PL"/>
        </w:rPr>
        <w:t>odpowiedzialnego za zniesławienie w postępowaniu uproszczonym wszczętym przez osobę, której dobra zostały naruszone. Skarżący i związek zawodowy zostali wspólnie zobowiązan</w:t>
      </w:r>
      <w:r w:rsidR="00E06D5F" w:rsidRPr="009D3A9E">
        <w:rPr>
          <w:lang w:val="pl-PL"/>
        </w:rPr>
        <w:t>i do opublikowania przeprosin i</w:t>
      </w:r>
      <w:r w:rsidR="009F3748">
        <w:rPr>
          <w:lang w:val="pl-PL"/>
        </w:rPr>
        <w:t> </w:t>
      </w:r>
      <w:r w:rsidRPr="009D3A9E">
        <w:rPr>
          <w:lang w:val="pl-PL"/>
        </w:rPr>
        <w:t>wpłacenia równowartości 2500 EUR na rzecz organizacji pożytku publicznego. Skarżący nie przedstawił informacji dotyczących jego osobistej sytuacji finansowej i Trybunał nie jest w stanie ocenić, czy takie zasądzenie kary było nadmierne i stanowiło dla niego nieproporcjonalne obciążenie. Ponadto nie jest jasne, jaka kwota została faktycznie zapłacona przez skarżącego, zważywszy że został on uznany za odpowiedzialnego wspólnie ze związkiem zawodowym.</w:t>
      </w:r>
    </w:p>
    <w:p w14:paraId="08E45F61" w14:textId="6D460D6D" w:rsidR="00AD53A3" w:rsidRPr="009D3A9E" w:rsidRDefault="00AD53A3" w:rsidP="00EA3AAB">
      <w:pPr>
        <w:pStyle w:val="JuPara"/>
        <w:rPr>
          <w:lang w:val="pl-PL"/>
        </w:rPr>
      </w:pPr>
      <w:r w:rsidRPr="009D3A9E">
        <w:rPr>
          <w:noProof/>
          <w:lang w:val="pl-PL"/>
        </w:rPr>
        <w:t>57</w:t>
      </w:r>
      <w:r w:rsidRPr="009D3A9E">
        <w:rPr>
          <w:lang w:val="pl-PL"/>
        </w:rPr>
        <w:t>.</w:t>
      </w:r>
      <w:r w:rsidR="004E5015" w:rsidRPr="009D3A9E">
        <w:rPr>
          <w:lang w:val="pl-PL"/>
        </w:rPr>
        <w:t xml:space="preserve"> </w:t>
      </w:r>
      <w:r w:rsidRPr="009D3A9E">
        <w:rPr>
          <w:lang w:val="pl-PL"/>
        </w:rPr>
        <w:t>W świetle powyższych rozważań oraz biorąc pod uwagę margines oceny Państwa przy stosowaniu postępowa</w:t>
      </w:r>
      <w:r w:rsidR="00E06D5F" w:rsidRPr="009D3A9E">
        <w:rPr>
          <w:lang w:val="pl-PL"/>
        </w:rPr>
        <w:t>nia uproszczonego zgodnie z</w:t>
      </w:r>
      <w:r w:rsidR="009F3748">
        <w:rPr>
          <w:lang w:val="pl-PL"/>
        </w:rPr>
        <w:t> </w:t>
      </w:r>
      <w:r w:rsidRPr="009D3A9E">
        <w:rPr>
          <w:lang w:val="pl-PL"/>
        </w:rPr>
        <w:t>Kodeksem wyborczym, Trybunał jest zdania, że ingerencja, której dotyczy skarga, może być uznana za „niezbędną w społeczeństwie demokratycznym” i była proporcjonalna d</w:t>
      </w:r>
      <w:r w:rsidR="00E06D5F" w:rsidRPr="009D3A9E">
        <w:rPr>
          <w:lang w:val="pl-PL"/>
        </w:rPr>
        <w:t xml:space="preserve">o realizowanego </w:t>
      </w:r>
      <w:r w:rsidR="004E5015" w:rsidRPr="009D3A9E">
        <w:rPr>
          <w:lang w:val="pl-PL"/>
        </w:rPr>
        <w:t xml:space="preserve">uprawnionego </w:t>
      </w:r>
      <w:r w:rsidR="00E06D5F" w:rsidRPr="009D3A9E">
        <w:rPr>
          <w:lang w:val="pl-PL"/>
        </w:rPr>
        <w:t xml:space="preserve">celu </w:t>
      </w:r>
      <w:r w:rsidRPr="009D3A9E">
        <w:rPr>
          <w:lang w:val="pl-PL"/>
        </w:rPr>
        <w:t>w rozumieniu art.</w:t>
      </w:r>
      <w:r w:rsidR="009F3748">
        <w:rPr>
          <w:lang w:val="pl-PL"/>
        </w:rPr>
        <w:t> </w:t>
      </w:r>
      <w:r w:rsidRPr="009D3A9E">
        <w:rPr>
          <w:lang w:val="pl-PL"/>
        </w:rPr>
        <w:t>10 ust.</w:t>
      </w:r>
      <w:r w:rsidR="004E5015" w:rsidRPr="009D3A9E">
        <w:rPr>
          <w:lang w:val="pl-PL"/>
        </w:rPr>
        <w:t xml:space="preserve"> </w:t>
      </w:r>
      <w:r w:rsidRPr="009D3A9E">
        <w:rPr>
          <w:lang w:val="pl-PL"/>
        </w:rPr>
        <w:t>2 Konwencji.</w:t>
      </w:r>
    </w:p>
    <w:p w14:paraId="3C2BC842" w14:textId="18B9C58D" w:rsidR="00AD53A3" w:rsidRPr="009D3A9E" w:rsidRDefault="00AD53A3" w:rsidP="00EA3AAB">
      <w:pPr>
        <w:pStyle w:val="JuPara"/>
        <w:rPr>
          <w:lang w:val="pl-PL"/>
        </w:rPr>
      </w:pPr>
      <w:r w:rsidRPr="009D3A9E">
        <w:rPr>
          <w:noProof/>
          <w:lang w:val="pl-PL"/>
        </w:rPr>
        <w:t>58</w:t>
      </w:r>
      <w:r w:rsidRPr="009D3A9E">
        <w:rPr>
          <w:lang w:val="pl-PL"/>
        </w:rPr>
        <w:t>.</w:t>
      </w:r>
      <w:r w:rsidR="004E5015" w:rsidRPr="009D3A9E">
        <w:rPr>
          <w:lang w:val="pl-PL"/>
        </w:rPr>
        <w:t xml:space="preserve"> </w:t>
      </w:r>
      <w:r w:rsidRPr="009D3A9E">
        <w:rPr>
          <w:lang w:val="pl-PL"/>
        </w:rPr>
        <w:t>W związku z powyższym nie doszło do naruszenia art.</w:t>
      </w:r>
      <w:r w:rsidR="004E5015" w:rsidRPr="009D3A9E">
        <w:rPr>
          <w:lang w:val="pl-PL"/>
        </w:rPr>
        <w:t xml:space="preserve"> </w:t>
      </w:r>
      <w:r w:rsidRPr="009D3A9E">
        <w:rPr>
          <w:lang w:val="pl-PL"/>
        </w:rPr>
        <w:t>10 Konwencji.</w:t>
      </w:r>
    </w:p>
    <w:p w14:paraId="76AE5268" w14:textId="77777777" w:rsidR="00AD53A3" w:rsidRPr="009D3A9E" w:rsidRDefault="00AD53A3" w:rsidP="00EA3AAB">
      <w:pPr>
        <w:pStyle w:val="JuHHead"/>
        <w:rPr>
          <w:lang w:val="pl-PL"/>
        </w:rPr>
      </w:pPr>
      <w:r w:rsidRPr="009D3A9E">
        <w:rPr>
          <w:bCs w:val="0"/>
          <w:lang w:val="pl-PL"/>
        </w:rPr>
        <w:t>Z POWYŻSZYCH WZGLĘDÓW TRYBUNAŁ JEDNOGŁOŚNIE</w:t>
      </w:r>
    </w:p>
    <w:p w14:paraId="189C5619" w14:textId="77777777" w:rsidR="00AD53A3" w:rsidRPr="009D3A9E" w:rsidRDefault="00AD53A3" w:rsidP="00EA3AAB">
      <w:pPr>
        <w:pStyle w:val="JuList"/>
        <w:rPr>
          <w:lang w:val="pl-PL"/>
        </w:rPr>
      </w:pPr>
      <w:r w:rsidRPr="009D3A9E">
        <w:rPr>
          <w:i/>
          <w:iCs/>
          <w:lang w:val="pl-PL"/>
        </w:rPr>
        <w:t>Uznaje</w:t>
      </w:r>
      <w:r w:rsidRPr="009D3A9E">
        <w:rPr>
          <w:lang w:val="pl-PL"/>
        </w:rPr>
        <w:t xml:space="preserve"> skargę za dopuszczalną;</w:t>
      </w:r>
    </w:p>
    <w:p w14:paraId="409FA95D" w14:textId="6904078C" w:rsidR="004D0EC7" w:rsidRPr="009D3A9E" w:rsidRDefault="00AD53A3" w:rsidP="00EA3AAB">
      <w:pPr>
        <w:pStyle w:val="JuList"/>
        <w:rPr>
          <w:lang w:val="pl-PL"/>
        </w:rPr>
      </w:pPr>
      <w:r w:rsidRPr="009D3A9E">
        <w:rPr>
          <w:i/>
          <w:iCs/>
          <w:lang w:val="pl-PL"/>
        </w:rPr>
        <w:t xml:space="preserve">Orzeka, </w:t>
      </w:r>
      <w:r w:rsidRPr="009D3A9E">
        <w:rPr>
          <w:lang w:val="pl-PL"/>
        </w:rPr>
        <w:t>że nie doszło do naruszenia art.</w:t>
      </w:r>
      <w:r w:rsidR="004E5015" w:rsidRPr="009D3A9E">
        <w:rPr>
          <w:lang w:val="pl-PL"/>
        </w:rPr>
        <w:t xml:space="preserve"> </w:t>
      </w:r>
      <w:r w:rsidRPr="009D3A9E">
        <w:rPr>
          <w:lang w:val="pl-PL"/>
        </w:rPr>
        <w:t>10 Konwencji.</w:t>
      </w:r>
    </w:p>
    <w:p w14:paraId="48313C09" w14:textId="7E3FA81B" w:rsidR="008E3A08" w:rsidRPr="009D3A9E" w:rsidRDefault="007E2C8C" w:rsidP="00EA3AAB">
      <w:pPr>
        <w:pStyle w:val="JuParaLast"/>
        <w:rPr>
          <w:lang w:val="pl-PL"/>
        </w:rPr>
      </w:pPr>
      <w:r w:rsidRPr="009D3A9E">
        <w:rPr>
          <w:lang w:val="pl-PL"/>
        </w:rPr>
        <w:lastRenderedPageBreak/>
        <w:t xml:space="preserve">Sporządzono w języku angielskim i obwieszczono pisemnie dnia </w:t>
      </w:r>
      <w:r w:rsidRPr="009D3A9E">
        <w:rPr>
          <w:rFonts w:ascii="Times New Roman" w:hAnsi="Times New Roman"/>
          <w:lang w:val="pl-PL"/>
        </w:rPr>
        <w:t>14</w:t>
      </w:r>
      <w:r w:rsidR="009F3748">
        <w:rPr>
          <w:rFonts w:ascii="Times New Roman" w:hAnsi="Times New Roman"/>
          <w:lang w:val="pl-PL"/>
        </w:rPr>
        <w:t> </w:t>
      </w:r>
      <w:bookmarkStart w:id="24" w:name="_GoBack"/>
      <w:bookmarkEnd w:id="24"/>
      <w:r w:rsidRPr="009D3A9E">
        <w:rPr>
          <w:rFonts w:ascii="Times New Roman" w:hAnsi="Times New Roman"/>
          <w:lang w:val="pl-PL"/>
        </w:rPr>
        <w:t>października 2021</w:t>
      </w:r>
      <w:r w:rsidR="004E5015" w:rsidRPr="009D3A9E">
        <w:rPr>
          <w:rFonts w:ascii="Times New Roman" w:hAnsi="Times New Roman"/>
          <w:lang w:val="pl-PL"/>
        </w:rPr>
        <w:t xml:space="preserve"> </w:t>
      </w:r>
      <w:r w:rsidRPr="009D3A9E">
        <w:rPr>
          <w:rFonts w:ascii="Times New Roman" w:hAnsi="Times New Roman"/>
          <w:lang w:val="pl-PL"/>
        </w:rPr>
        <w:t>r.</w:t>
      </w:r>
      <w:r w:rsidRPr="009D3A9E">
        <w:rPr>
          <w:lang w:val="pl-PL"/>
        </w:rPr>
        <w:t xml:space="preserve"> zgodnie z Regułą</w:t>
      </w:r>
      <w:r w:rsidR="004E5015" w:rsidRPr="009D3A9E">
        <w:rPr>
          <w:lang w:val="pl-PL"/>
        </w:rPr>
        <w:t xml:space="preserve"> </w:t>
      </w:r>
      <w:r w:rsidRPr="009D3A9E">
        <w:rPr>
          <w:lang w:val="pl-PL"/>
        </w:rPr>
        <w:t>77 §§</w:t>
      </w:r>
      <w:r w:rsidR="004E5015" w:rsidRPr="009D3A9E">
        <w:rPr>
          <w:lang w:val="pl-PL"/>
        </w:rPr>
        <w:t xml:space="preserve"> </w:t>
      </w:r>
      <w:r w:rsidRPr="009D3A9E">
        <w:rPr>
          <w:lang w:val="pl-PL"/>
        </w:rPr>
        <w:t>2 i</w:t>
      </w:r>
      <w:r w:rsidR="004E5015" w:rsidRPr="009D3A9E">
        <w:rPr>
          <w:lang w:val="pl-PL"/>
        </w:rPr>
        <w:t xml:space="preserve"> </w:t>
      </w:r>
      <w:r w:rsidRPr="009D3A9E">
        <w:rPr>
          <w:lang w:val="pl-PL"/>
        </w:rPr>
        <w:t>3 Regulaminu Trybunału.</w:t>
      </w:r>
    </w:p>
    <w:p w14:paraId="23D90AA6" w14:textId="77777777" w:rsidR="00AD53A3" w:rsidRPr="009D3A9E" w:rsidRDefault="008B092C" w:rsidP="00EA3AAB">
      <w:pPr>
        <w:pStyle w:val="JuSigned"/>
        <w:keepNext/>
        <w:keepLines/>
        <w:rPr>
          <w:color w:val="F8F8F8" w:themeColor="background2"/>
          <w:lang w:val="pl-PL"/>
        </w:rPr>
      </w:pPr>
      <w:r w:rsidRPr="009D3A9E">
        <w:rPr>
          <w:color w:val="F8F8F8" w:themeColor="background2"/>
          <w:lang w:val="pl-PL"/>
        </w:rPr>
        <w:tab/>
        <w:t xml:space="preserve"> {signature_p_2}</w:t>
      </w:r>
    </w:p>
    <w:p w14:paraId="587A52ED" w14:textId="77777777" w:rsidR="00182EBA" w:rsidRPr="009D3A9E" w:rsidRDefault="00AD53A3" w:rsidP="00EA3AAB">
      <w:pPr>
        <w:pStyle w:val="JuSigned"/>
        <w:rPr>
          <w:lang w:val="pl-PL"/>
        </w:rPr>
      </w:pPr>
      <w:r w:rsidRPr="009D3A9E">
        <w:rPr>
          <w:lang w:val="pl-PL"/>
        </w:rPr>
        <w:t xml:space="preserve">Renata Degener </w:t>
      </w:r>
      <w:r w:rsidRPr="009D3A9E">
        <w:rPr>
          <w:lang w:val="pl-PL"/>
        </w:rPr>
        <w:tab/>
        <w:t>Ksenija Turković</w:t>
      </w:r>
      <w:r w:rsidRPr="009D3A9E">
        <w:rPr>
          <w:lang w:val="pl-PL"/>
        </w:rPr>
        <w:br/>
      </w:r>
      <w:r w:rsidRPr="009D3A9E">
        <w:rPr>
          <w:lang w:val="pl-PL"/>
        </w:rPr>
        <w:tab/>
        <w:t>Kanclerz</w:t>
      </w:r>
      <w:r w:rsidRPr="009D3A9E">
        <w:rPr>
          <w:lang w:val="pl-PL"/>
        </w:rPr>
        <w:tab/>
        <w:t>Przewodnicząc</w:t>
      </w:r>
      <w:r w:rsidR="003563C7" w:rsidRPr="009D3A9E">
        <w:rPr>
          <w:lang w:val="pl-PL"/>
        </w:rPr>
        <w:t>a</w:t>
      </w:r>
    </w:p>
    <w:sectPr w:rsidR="00182EBA" w:rsidRPr="009D3A9E"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BBF0D" w14:textId="77777777" w:rsidR="006105BD" w:rsidRPr="00E67565" w:rsidRDefault="006105BD" w:rsidP="0098410D">
      <w:r>
        <w:separator/>
      </w:r>
    </w:p>
  </w:endnote>
  <w:endnote w:type="continuationSeparator" w:id="0">
    <w:p w14:paraId="77ED92E7" w14:textId="77777777" w:rsidR="006105BD" w:rsidRPr="00E67565" w:rsidRDefault="006105BD"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21002A87" w:usb1="00000000" w:usb2="00000000"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11F59" w14:textId="77777777" w:rsidR="003F306D" w:rsidRDefault="003F306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3A4C3" w14:textId="77777777" w:rsidR="003F306D" w:rsidRPr="00150BFA" w:rsidRDefault="003F306D" w:rsidP="00C17193">
    <w:pPr>
      <w:jc w:val="center"/>
    </w:pPr>
    <w:r>
      <w:rPr>
        <w:noProof/>
        <w:lang w:val="pl-PL" w:eastAsia="pl-PL"/>
      </w:rPr>
      <w:drawing>
        <wp:inline distT="0" distB="0" distL="0" distR="0" wp14:anchorId="52D009A2" wp14:editId="120E7A6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8A48482" w14:textId="77777777" w:rsidR="003F306D" w:rsidRPr="00E67565" w:rsidRDefault="003F306D" w:rsidP="00C1719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EDEC1" w14:textId="77777777" w:rsidR="003F306D" w:rsidRPr="00150BFA" w:rsidRDefault="003F306D" w:rsidP="00C17193">
    <w:pPr>
      <w:jc w:val="center"/>
    </w:pPr>
    <w:r>
      <w:rPr>
        <w:noProof/>
        <w:lang w:val="pl-PL" w:eastAsia="pl-PL"/>
      </w:rPr>
      <w:drawing>
        <wp:inline distT="0" distB="0" distL="0" distR="0" wp14:anchorId="1B10F806" wp14:editId="7507BD0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EC468F5" w14:textId="77777777" w:rsidR="003F306D" w:rsidRPr="00E67565" w:rsidRDefault="003F306D"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DCCE6" w14:textId="4FF92653" w:rsidR="003F306D" w:rsidRDefault="003F306D" w:rsidP="009A115C">
    <w:pPr>
      <w:pStyle w:val="JuHeader"/>
    </w:pPr>
    <w:r>
      <w:rPr>
        <w:rStyle w:val="Numerstrony"/>
      </w:rPr>
      <w:fldChar w:fldCharType="begin"/>
    </w:r>
    <w:r>
      <w:rPr>
        <w:rStyle w:val="Numerstrony"/>
      </w:rPr>
      <w:instrText xml:space="preserve"> PAGE </w:instrText>
    </w:r>
    <w:r>
      <w:rPr>
        <w:rStyle w:val="Numerstrony"/>
      </w:rPr>
      <w:fldChar w:fldCharType="separate"/>
    </w:r>
    <w:r w:rsidR="0038328E">
      <w:rPr>
        <w:rStyle w:val="Numerstrony"/>
        <w:noProof/>
      </w:rPr>
      <w:t>14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B80D5" w14:textId="4C243A15" w:rsidR="003F306D" w:rsidRPr="000B7195" w:rsidRDefault="003F306D" w:rsidP="007D3701">
    <w:pPr>
      <w:pStyle w:val="JuHeader"/>
    </w:pPr>
    <w:r>
      <w:fldChar w:fldCharType="begin"/>
    </w:r>
    <w:r>
      <w:instrText xml:space="preserve"> PAGE </w:instrText>
    </w:r>
    <w:r>
      <w:fldChar w:fldCharType="separate"/>
    </w:r>
    <w:r w:rsidR="0038328E">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C7C04" w14:textId="77777777" w:rsidR="006105BD" w:rsidRPr="00E67565" w:rsidRDefault="006105BD" w:rsidP="0098410D">
      <w:r>
        <w:separator/>
      </w:r>
    </w:p>
  </w:footnote>
  <w:footnote w:type="continuationSeparator" w:id="0">
    <w:p w14:paraId="09D7D291" w14:textId="77777777" w:rsidR="006105BD" w:rsidRPr="00E67565" w:rsidRDefault="006105BD"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11C37" w14:textId="77777777" w:rsidR="003F306D" w:rsidRDefault="003F30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2A4FD" w14:textId="77777777" w:rsidR="003F306D" w:rsidRPr="00A45145" w:rsidRDefault="003F306D" w:rsidP="00C17193">
    <w:pPr>
      <w:jc w:val="center"/>
    </w:pPr>
    <w:r>
      <w:rPr>
        <w:noProof/>
        <w:lang w:val="pl-PL" w:eastAsia="pl-PL"/>
      </w:rPr>
      <w:drawing>
        <wp:inline distT="0" distB="0" distL="0" distR="0" wp14:anchorId="5ACC6C4B" wp14:editId="6F6362B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004446" w14:textId="77777777" w:rsidR="003F306D" w:rsidRPr="00E67565" w:rsidRDefault="003F306D" w:rsidP="00C171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F4359" w14:textId="77777777" w:rsidR="003F306D" w:rsidRPr="00A45145" w:rsidRDefault="003F306D" w:rsidP="00C17193">
    <w:pPr>
      <w:jc w:val="center"/>
    </w:pPr>
    <w:r>
      <w:rPr>
        <w:noProof/>
        <w:lang w:val="pl-PL" w:eastAsia="pl-PL"/>
      </w:rPr>
      <w:drawing>
        <wp:inline distT="0" distB="0" distL="0" distR="0" wp14:anchorId="50796547" wp14:editId="5C2F3BAB">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17908A" w14:textId="77777777" w:rsidR="003F306D" w:rsidRPr="00E67565" w:rsidRDefault="003F306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BE7D4" w14:textId="77777777" w:rsidR="003F306D" w:rsidRPr="00492A33" w:rsidRDefault="003F306D" w:rsidP="004D0EC7">
    <w:pPr>
      <w:pStyle w:val="JuHeader"/>
      <w:rPr>
        <w:lang w:val="pl-PL"/>
      </w:rPr>
    </w:pPr>
    <w:r w:rsidRPr="00492A33">
      <w:rPr>
        <w:lang w:val="pl-PL"/>
      </w:rPr>
      <w:t>WYROK W SPRAWIE STANISZEWSKI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F625" w14:textId="77777777" w:rsidR="003F306D" w:rsidRPr="00492A33" w:rsidRDefault="003F306D" w:rsidP="007D3701">
    <w:pPr>
      <w:pStyle w:val="JuHeader"/>
      <w:rPr>
        <w:lang w:val="pl-PL"/>
      </w:rPr>
    </w:pPr>
    <w:r w:rsidRPr="00492A33">
      <w:rPr>
        <w:lang w:val="pl-PL"/>
      </w:rPr>
      <w:t>WYROK W SPRAWIE STANISZEWSKI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AD53A3"/>
    <w:rsid w:val="000041F8"/>
    <w:rsid w:val="000042A8"/>
    <w:rsid w:val="00004308"/>
    <w:rsid w:val="00005BF0"/>
    <w:rsid w:val="0000617D"/>
    <w:rsid w:val="00007154"/>
    <w:rsid w:val="000103AE"/>
    <w:rsid w:val="00011D69"/>
    <w:rsid w:val="00012AD3"/>
    <w:rsid w:val="00015C2D"/>
    <w:rsid w:val="00015F00"/>
    <w:rsid w:val="00022C1D"/>
    <w:rsid w:val="00030784"/>
    <w:rsid w:val="00031428"/>
    <w:rsid w:val="00034987"/>
    <w:rsid w:val="00041560"/>
    <w:rsid w:val="000602DF"/>
    <w:rsid w:val="00061B05"/>
    <w:rsid w:val="000632D5"/>
    <w:rsid w:val="000644EE"/>
    <w:rsid w:val="0007780A"/>
    <w:rsid w:val="00085457"/>
    <w:rsid w:val="00091DF5"/>
    <w:rsid w:val="000925AD"/>
    <w:rsid w:val="00096FE1"/>
    <w:rsid w:val="00097A62"/>
    <w:rsid w:val="000A24EB"/>
    <w:rsid w:val="000A5B13"/>
    <w:rsid w:val="000A5E12"/>
    <w:rsid w:val="000B686A"/>
    <w:rsid w:val="000B6923"/>
    <w:rsid w:val="000B7195"/>
    <w:rsid w:val="000C48ED"/>
    <w:rsid w:val="000C5F3C"/>
    <w:rsid w:val="000C6DCC"/>
    <w:rsid w:val="000D47AA"/>
    <w:rsid w:val="000D721F"/>
    <w:rsid w:val="000E069B"/>
    <w:rsid w:val="000E0E82"/>
    <w:rsid w:val="000E1DC5"/>
    <w:rsid w:val="000E2215"/>
    <w:rsid w:val="000E223F"/>
    <w:rsid w:val="000E46B8"/>
    <w:rsid w:val="000E7D45"/>
    <w:rsid w:val="000F7851"/>
    <w:rsid w:val="00101505"/>
    <w:rsid w:val="00104E23"/>
    <w:rsid w:val="00110DA8"/>
    <w:rsid w:val="00111B0C"/>
    <w:rsid w:val="00114127"/>
    <w:rsid w:val="00120D6C"/>
    <w:rsid w:val="001257EC"/>
    <w:rsid w:val="00133D33"/>
    <w:rsid w:val="00134B6A"/>
    <w:rsid w:val="00134D64"/>
    <w:rsid w:val="00135A30"/>
    <w:rsid w:val="0013612C"/>
    <w:rsid w:val="00137FF6"/>
    <w:rsid w:val="00141650"/>
    <w:rsid w:val="001561B6"/>
    <w:rsid w:val="00162A12"/>
    <w:rsid w:val="00166530"/>
    <w:rsid w:val="00170027"/>
    <w:rsid w:val="001748D4"/>
    <w:rsid w:val="00182EBA"/>
    <w:rsid w:val="001832BD"/>
    <w:rsid w:val="001915AB"/>
    <w:rsid w:val="001943B5"/>
    <w:rsid w:val="00195134"/>
    <w:rsid w:val="001A020C"/>
    <w:rsid w:val="001A145B"/>
    <w:rsid w:val="001A3E09"/>
    <w:rsid w:val="001A674C"/>
    <w:rsid w:val="001B0D1F"/>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4F60"/>
    <w:rsid w:val="00230D00"/>
    <w:rsid w:val="00231DF7"/>
    <w:rsid w:val="00231FD1"/>
    <w:rsid w:val="002339E0"/>
    <w:rsid w:val="00233CF8"/>
    <w:rsid w:val="002349DF"/>
    <w:rsid w:val="0023575D"/>
    <w:rsid w:val="002362D5"/>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015C"/>
    <w:rsid w:val="002934D0"/>
    <w:rsid w:val="00293676"/>
    <w:rsid w:val="00293BD9"/>
    <w:rsid w:val="002948AD"/>
    <w:rsid w:val="002A01CC"/>
    <w:rsid w:val="002A34F3"/>
    <w:rsid w:val="002A613A"/>
    <w:rsid w:val="002A61B1"/>
    <w:rsid w:val="002A663C"/>
    <w:rsid w:val="002B444B"/>
    <w:rsid w:val="002B5887"/>
    <w:rsid w:val="002B6E5E"/>
    <w:rsid w:val="002C0E27"/>
    <w:rsid w:val="002C3040"/>
    <w:rsid w:val="002C4433"/>
    <w:rsid w:val="002C4564"/>
    <w:rsid w:val="002C4574"/>
    <w:rsid w:val="002C7826"/>
    <w:rsid w:val="002D022D"/>
    <w:rsid w:val="002D24BB"/>
    <w:rsid w:val="002D2FA7"/>
    <w:rsid w:val="002D47BA"/>
    <w:rsid w:val="002D77B9"/>
    <w:rsid w:val="002D7E2D"/>
    <w:rsid w:val="002E46DA"/>
    <w:rsid w:val="002E4AE6"/>
    <w:rsid w:val="002E65FE"/>
    <w:rsid w:val="002F2AF7"/>
    <w:rsid w:val="002F432F"/>
    <w:rsid w:val="002F69C4"/>
    <w:rsid w:val="002F7D9E"/>
    <w:rsid w:val="002F7E1C"/>
    <w:rsid w:val="00301A75"/>
    <w:rsid w:val="00302F70"/>
    <w:rsid w:val="0030336F"/>
    <w:rsid w:val="0030375E"/>
    <w:rsid w:val="003039D8"/>
    <w:rsid w:val="0030507A"/>
    <w:rsid w:val="00312A30"/>
    <w:rsid w:val="003201D8"/>
    <w:rsid w:val="00320F72"/>
    <w:rsid w:val="0032463E"/>
    <w:rsid w:val="00326224"/>
    <w:rsid w:val="00337EE4"/>
    <w:rsid w:val="00340FFD"/>
    <w:rsid w:val="00345C41"/>
    <w:rsid w:val="003506B1"/>
    <w:rsid w:val="00355877"/>
    <w:rsid w:val="003563C7"/>
    <w:rsid w:val="00356AC7"/>
    <w:rsid w:val="003609FA"/>
    <w:rsid w:val="003710C8"/>
    <w:rsid w:val="003750BE"/>
    <w:rsid w:val="0038328E"/>
    <w:rsid w:val="00385A36"/>
    <w:rsid w:val="00385F3D"/>
    <w:rsid w:val="00387B9D"/>
    <w:rsid w:val="00387C70"/>
    <w:rsid w:val="00390294"/>
    <w:rsid w:val="0039364F"/>
    <w:rsid w:val="00396686"/>
    <w:rsid w:val="0039778E"/>
    <w:rsid w:val="003B4597"/>
    <w:rsid w:val="003B4941"/>
    <w:rsid w:val="003B7EFE"/>
    <w:rsid w:val="003C0683"/>
    <w:rsid w:val="003C5714"/>
    <w:rsid w:val="003C65C5"/>
    <w:rsid w:val="003C6B9F"/>
    <w:rsid w:val="003C6E2A"/>
    <w:rsid w:val="003D0299"/>
    <w:rsid w:val="003D0EE0"/>
    <w:rsid w:val="003E6D80"/>
    <w:rsid w:val="003F05FA"/>
    <w:rsid w:val="003F244A"/>
    <w:rsid w:val="003F2517"/>
    <w:rsid w:val="003F306D"/>
    <w:rsid w:val="003F30B8"/>
    <w:rsid w:val="003F4C45"/>
    <w:rsid w:val="003F5F7B"/>
    <w:rsid w:val="003F68CC"/>
    <w:rsid w:val="003F6D80"/>
    <w:rsid w:val="003F7D64"/>
    <w:rsid w:val="0040433A"/>
    <w:rsid w:val="00410911"/>
    <w:rsid w:val="004120E2"/>
    <w:rsid w:val="00414300"/>
    <w:rsid w:val="00414F27"/>
    <w:rsid w:val="00420703"/>
    <w:rsid w:val="004213A0"/>
    <w:rsid w:val="00425C67"/>
    <w:rsid w:val="00427E7A"/>
    <w:rsid w:val="004355AC"/>
    <w:rsid w:val="00436C49"/>
    <w:rsid w:val="00443D98"/>
    <w:rsid w:val="00445366"/>
    <w:rsid w:val="00447053"/>
    <w:rsid w:val="00447F5B"/>
    <w:rsid w:val="00454A23"/>
    <w:rsid w:val="00461DB0"/>
    <w:rsid w:val="00463926"/>
    <w:rsid w:val="00464AB7"/>
    <w:rsid w:val="00464C9A"/>
    <w:rsid w:val="00472524"/>
    <w:rsid w:val="00474F3D"/>
    <w:rsid w:val="00477E3A"/>
    <w:rsid w:val="00483E5F"/>
    <w:rsid w:val="004854F6"/>
    <w:rsid w:val="00485FF9"/>
    <w:rsid w:val="0049049B"/>
    <w:rsid w:val="004907F0"/>
    <w:rsid w:val="0049140B"/>
    <w:rsid w:val="004923A5"/>
    <w:rsid w:val="00492A33"/>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0AC8"/>
    <w:rsid w:val="004E5015"/>
    <w:rsid w:val="004F10AF"/>
    <w:rsid w:val="004F11A4"/>
    <w:rsid w:val="004F2389"/>
    <w:rsid w:val="004F304D"/>
    <w:rsid w:val="004F4290"/>
    <w:rsid w:val="004F61BE"/>
    <w:rsid w:val="004F66B1"/>
    <w:rsid w:val="004F755D"/>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2C29"/>
    <w:rsid w:val="0053315C"/>
    <w:rsid w:val="00537476"/>
    <w:rsid w:val="005378CE"/>
    <w:rsid w:val="005442EE"/>
    <w:rsid w:val="00545DA6"/>
    <w:rsid w:val="00547353"/>
    <w:rsid w:val="005474E7"/>
    <w:rsid w:val="00551029"/>
    <w:rsid w:val="005512A3"/>
    <w:rsid w:val="00553448"/>
    <w:rsid w:val="005578CE"/>
    <w:rsid w:val="00562781"/>
    <w:rsid w:val="00562B6C"/>
    <w:rsid w:val="0057271C"/>
    <w:rsid w:val="00572845"/>
    <w:rsid w:val="00573536"/>
    <w:rsid w:val="00581021"/>
    <w:rsid w:val="00582214"/>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368C"/>
    <w:rsid w:val="005D4190"/>
    <w:rsid w:val="005D67A3"/>
    <w:rsid w:val="005E2988"/>
    <w:rsid w:val="005E3085"/>
    <w:rsid w:val="005E6542"/>
    <w:rsid w:val="005F0EB3"/>
    <w:rsid w:val="005F51E1"/>
    <w:rsid w:val="00600FC4"/>
    <w:rsid w:val="006105BD"/>
    <w:rsid w:val="00611C80"/>
    <w:rsid w:val="006205CC"/>
    <w:rsid w:val="00620692"/>
    <w:rsid w:val="006242CA"/>
    <w:rsid w:val="00627507"/>
    <w:rsid w:val="00633717"/>
    <w:rsid w:val="006344E1"/>
    <w:rsid w:val="00643524"/>
    <w:rsid w:val="00643666"/>
    <w:rsid w:val="0064393B"/>
    <w:rsid w:val="00645CF2"/>
    <w:rsid w:val="006545C4"/>
    <w:rsid w:val="00661971"/>
    <w:rsid w:val="00661CE8"/>
    <w:rsid w:val="006623D9"/>
    <w:rsid w:val="006642A5"/>
    <w:rsid w:val="0066550C"/>
    <w:rsid w:val="00665BD2"/>
    <w:rsid w:val="006716F2"/>
    <w:rsid w:val="00673F4D"/>
    <w:rsid w:val="00675AF2"/>
    <w:rsid w:val="00682BF2"/>
    <w:rsid w:val="0068573E"/>
    <w:rsid w:val="006859CE"/>
    <w:rsid w:val="00691270"/>
    <w:rsid w:val="006947B3"/>
    <w:rsid w:val="00694BA8"/>
    <w:rsid w:val="006A037C"/>
    <w:rsid w:val="006A36F4"/>
    <w:rsid w:val="006A406F"/>
    <w:rsid w:val="006A5D3A"/>
    <w:rsid w:val="006A64FA"/>
    <w:rsid w:val="006B1942"/>
    <w:rsid w:val="006B6094"/>
    <w:rsid w:val="006C23D4"/>
    <w:rsid w:val="006C3FDD"/>
    <w:rsid w:val="006C7BB0"/>
    <w:rsid w:val="006D3237"/>
    <w:rsid w:val="006E1215"/>
    <w:rsid w:val="006E2E37"/>
    <w:rsid w:val="006E3CF1"/>
    <w:rsid w:val="006E497A"/>
    <w:rsid w:val="006E4AC3"/>
    <w:rsid w:val="006E68A3"/>
    <w:rsid w:val="006E7E80"/>
    <w:rsid w:val="006F1C2D"/>
    <w:rsid w:val="006F48CA"/>
    <w:rsid w:val="006F64DD"/>
    <w:rsid w:val="006F712D"/>
    <w:rsid w:val="00704D76"/>
    <w:rsid w:val="00715127"/>
    <w:rsid w:val="00715E8E"/>
    <w:rsid w:val="00720F09"/>
    <w:rsid w:val="00723580"/>
    <w:rsid w:val="00723755"/>
    <w:rsid w:val="0073136C"/>
    <w:rsid w:val="00731F0F"/>
    <w:rsid w:val="00732862"/>
    <w:rsid w:val="00733250"/>
    <w:rsid w:val="00741404"/>
    <w:rsid w:val="007449E5"/>
    <w:rsid w:val="0074750E"/>
    <w:rsid w:val="00747FF0"/>
    <w:rsid w:val="00750970"/>
    <w:rsid w:val="0075566E"/>
    <w:rsid w:val="00763602"/>
    <w:rsid w:val="00764D4E"/>
    <w:rsid w:val="00765A1F"/>
    <w:rsid w:val="00775B6D"/>
    <w:rsid w:val="00776D68"/>
    <w:rsid w:val="0078323E"/>
    <w:rsid w:val="007850EE"/>
    <w:rsid w:val="00785B95"/>
    <w:rsid w:val="00790E96"/>
    <w:rsid w:val="007926FD"/>
    <w:rsid w:val="00792A00"/>
    <w:rsid w:val="00793366"/>
    <w:rsid w:val="0079666C"/>
    <w:rsid w:val="007A61F2"/>
    <w:rsid w:val="007A716F"/>
    <w:rsid w:val="007B270A"/>
    <w:rsid w:val="007B4182"/>
    <w:rsid w:val="007C0695"/>
    <w:rsid w:val="007C419A"/>
    <w:rsid w:val="007C4CC8"/>
    <w:rsid w:val="007C5426"/>
    <w:rsid w:val="007C5798"/>
    <w:rsid w:val="007C6DD0"/>
    <w:rsid w:val="007D1ECD"/>
    <w:rsid w:val="007D3701"/>
    <w:rsid w:val="007D4832"/>
    <w:rsid w:val="007E21B2"/>
    <w:rsid w:val="007E2C4E"/>
    <w:rsid w:val="007E2C8C"/>
    <w:rsid w:val="007E51BA"/>
    <w:rsid w:val="007E73D7"/>
    <w:rsid w:val="007F1905"/>
    <w:rsid w:val="007F27E4"/>
    <w:rsid w:val="007F3437"/>
    <w:rsid w:val="00801458"/>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38"/>
    <w:rsid w:val="008713A1"/>
    <w:rsid w:val="00872584"/>
    <w:rsid w:val="008754AB"/>
    <w:rsid w:val="0088060C"/>
    <w:rsid w:val="00882CD5"/>
    <w:rsid w:val="00883151"/>
    <w:rsid w:val="00883B7A"/>
    <w:rsid w:val="00884DA9"/>
    <w:rsid w:val="00893576"/>
    <w:rsid w:val="00893E73"/>
    <w:rsid w:val="008A0BC8"/>
    <w:rsid w:val="008B02DC"/>
    <w:rsid w:val="008B092C"/>
    <w:rsid w:val="008B57CE"/>
    <w:rsid w:val="008C26DE"/>
    <w:rsid w:val="008D0D8E"/>
    <w:rsid w:val="008D1CB5"/>
    <w:rsid w:val="008D2225"/>
    <w:rsid w:val="008D2941"/>
    <w:rsid w:val="008D4752"/>
    <w:rsid w:val="008D598E"/>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342"/>
    <w:rsid w:val="009259AC"/>
    <w:rsid w:val="00926F38"/>
    <w:rsid w:val="00927BEB"/>
    <w:rsid w:val="00930D31"/>
    <w:rsid w:val="009333DC"/>
    <w:rsid w:val="00934301"/>
    <w:rsid w:val="00936CD1"/>
    <w:rsid w:val="0093758B"/>
    <w:rsid w:val="00941747"/>
    <w:rsid w:val="00941EFB"/>
    <w:rsid w:val="00947AFB"/>
    <w:rsid w:val="00951AA3"/>
    <w:rsid w:val="00951D7D"/>
    <w:rsid w:val="00956D0C"/>
    <w:rsid w:val="009630C7"/>
    <w:rsid w:val="00972B55"/>
    <w:rsid w:val="009743B7"/>
    <w:rsid w:val="0098217D"/>
    <w:rsid w:val="0098228B"/>
    <w:rsid w:val="009828DA"/>
    <w:rsid w:val="0098410D"/>
    <w:rsid w:val="00985BAB"/>
    <w:rsid w:val="0098663D"/>
    <w:rsid w:val="00986B3C"/>
    <w:rsid w:val="00996024"/>
    <w:rsid w:val="009A002C"/>
    <w:rsid w:val="009A115C"/>
    <w:rsid w:val="009A6E15"/>
    <w:rsid w:val="009B1606"/>
    <w:rsid w:val="009B1B5F"/>
    <w:rsid w:val="009B6673"/>
    <w:rsid w:val="009C0F47"/>
    <w:rsid w:val="009C191B"/>
    <w:rsid w:val="009C2BD6"/>
    <w:rsid w:val="009D3A9E"/>
    <w:rsid w:val="009E1F32"/>
    <w:rsid w:val="009E2CC2"/>
    <w:rsid w:val="009E426D"/>
    <w:rsid w:val="009E47A2"/>
    <w:rsid w:val="009E776C"/>
    <w:rsid w:val="009E7A6F"/>
    <w:rsid w:val="009F3748"/>
    <w:rsid w:val="009F4C8F"/>
    <w:rsid w:val="00A02972"/>
    <w:rsid w:val="00A05588"/>
    <w:rsid w:val="00A15601"/>
    <w:rsid w:val="00A1726E"/>
    <w:rsid w:val="00A204CF"/>
    <w:rsid w:val="00A21D2B"/>
    <w:rsid w:val="00A22745"/>
    <w:rsid w:val="00A23D49"/>
    <w:rsid w:val="00A27004"/>
    <w:rsid w:val="00A308CE"/>
    <w:rsid w:val="00A30C29"/>
    <w:rsid w:val="00A31012"/>
    <w:rsid w:val="00A34DD6"/>
    <w:rsid w:val="00A35683"/>
    <w:rsid w:val="00A36819"/>
    <w:rsid w:val="00A36989"/>
    <w:rsid w:val="00A40C0B"/>
    <w:rsid w:val="00A41D86"/>
    <w:rsid w:val="00A43628"/>
    <w:rsid w:val="00A51D0F"/>
    <w:rsid w:val="00A54192"/>
    <w:rsid w:val="00A56741"/>
    <w:rsid w:val="00A57147"/>
    <w:rsid w:val="00A6035E"/>
    <w:rsid w:val="00A6144C"/>
    <w:rsid w:val="00A637F9"/>
    <w:rsid w:val="00A64D74"/>
    <w:rsid w:val="00A66617"/>
    <w:rsid w:val="00A671F8"/>
    <w:rsid w:val="00A673A4"/>
    <w:rsid w:val="00A724AE"/>
    <w:rsid w:val="00A73329"/>
    <w:rsid w:val="00A82359"/>
    <w:rsid w:val="00A865D2"/>
    <w:rsid w:val="00A90BCD"/>
    <w:rsid w:val="00A94C20"/>
    <w:rsid w:val="00A96655"/>
    <w:rsid w:val="00AA0D52"/>
    <w:rsid w:val="00AA1B09"/>
    <w:rsid w:val="00AA1F3A"/>
    <w:rsid w:val="00AA227F"/>
    <w:rsid w:val="00AA3BC7"/>
    <w:rsid w:val="00AA754A"/>
    <w:rsid w:val="00AB099E"/>
    <w:rsid w:val="00AB4328"/>
    <w:rsid w:val="00AC4CD4"/>
    <w:rsid w:val="00AC5AAD"/>
    <w:rsid w:val="00AD0949"/>
    <w:rsid w:val="00AD4CE2"/>
    <w:rsid w:val="00AD53A3"/>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5C54"/>
    <w:rsid w:val="00B46543"/>
    <w:rsid w:val="00B47D33"/>
    <w:rsid w:val="00B52BE0"/>
    <w:rsid w:val="00B54133"/>
    <w:rsid w:val="00B6700A"/>
    <w:rsid w:val="00B701ED"/>
    <w:rsid w:val="00B748F7"/>
    <w:rsid w:val="00B8086C"/>
    <w:rsid w:val="00B81C58"/>
    <w:rsid w:val="00B8438E"/>
    <w:rsid w:val="00B861B4"/>
    <w:rsid w:val="00B86DFE"/>
    <w:rsid w:val="00B90990"/>
    <w:rsid w:val="00B922FF"/>
    <w:rsid w:val="00B9281E"/>
    <w:rsid w:val="00B93925"/>
    <w:rsid w:val="00B95187"/>
    <w:rsid w:val="00BA0FF1"/>
    <w:rsid w:val="00BA2D55"/>
    <w:rsid w:val="00BA71B1"/>
    <w:rsid w:val="00BB0637"/>
    <w:rsid w:val="00BB345F"/>
    <w:rsid w:val="00BB68EA"/>
    <w:rsid w:val="00BC0B99"/>
    <w:rsid w:val="00BC1C27"/>
    <w:rsid w:val="00BC3043"/>
    <w:rsid w:val="00BC6BBF"/>
    <w:rsid w:val="00BD124F"/>
    <w:rsid w:val="00BD1572"/>
    <w:rsid w:val="00BD1FDD"/>
    <w:rsid w:val="00BD6622"/>
    <w:rsid w:val="00BE14E3"/>
    <w:rsid w:val="00BE3774"/>
    <w:rsid w:val="00BE41E5"/>
    <w:rsid w:val="00BE5546"/>
    <w:rsid w:val="00BF118F"/>
    <w:rsid w:val="00BF4109"/>
    <w:rsid w:val="00BF4CC3"/>
    <w:rsid w:val="00C054C7"/>
    <w:rsid w:val="00C057B5"/>
    <w:rsid w:val="00C07D0E"/>
    <w:rsid w:val="00C115C3"/>
    <w:rsid w:val="00C15547"/>
    <w:rsid w:val="00C16661"/>
    <w:rsid w:val="00C1672D"/>
    <w:rsid w:val="00C17193"/>
    <w:rsid w:val="00C22687"/>
    <w:rsid w:val="00C26A92"/>
    <w:rsid w:val="00C26B1C"/>
    <w:rsid w:val="00C27339"/>
    <w:rsid w:val="00C32AC3"/>
    <w:rsid w:val="00C32E4D"/>
    <w:rsid w:val="00C333A0"/>
    <w:rsid w:val="00C34346"/>
    <w:rsid w:val="00C36A81"/>
    <w:rsid w:val="00C41974"/>
    <w:rsid w:val="00C4203C"/>
    <w:rsid w:val="00C44A2C"/>
    <w:rsid w:val="00C44F09"/>
    <w:rsid w:val="00C477F7"/>
    <w:rsid w:val="00C509A6"/>
    <w:rsid w:val="00C51AED"/>
    <w:rsid w:val="00C51CDC"/>
    <w:rsid w:val="00C53F4A"/>
    <w:rsid w:val="00C54125"/>
    <w:rsid w:val="00C55B54"/>
    <w:rsid w:val="00C57DD7"/>
    <w:rsid w:val="00C6098E"/>
    <w:rsid w:val="00C6152C"/>
    <w:rsid w:val="00C74810"/>
    <w:rsid w:val="00C90D68"/>
    <w:rsid w:val="00C939FE"/>
    <w:rsid w:val="00CA3E4A"/>
    <w:rsid w:val="00CA4BDA"/>
    <w:rsid w:val="00CB13E3"/>
    <w:rsid w:val="00CB1F66"/>
    <w:rsid w:val="00CB232C"/>
    <w:rsid w:val="00CB2951"/>
    <w:rsid w:val="00CB4277"/>
    <w:rsid w:val="00CC5067"/>
    <w:rsid w:val="00CD0EB7"/>
    <w:rsid w:val="00CD11D3"/>
    <w:rsid w:val="00CD282B"/>
    <w:rsid w:val="00CD447B"/>
    <w:rsid w:val="00CD4C35"/>
    <w:rsid w:val="00CD7369"/>
    <w:rsid w:val="00CE0644"/>
    <w:rsid w:val="00CE0B0E"/>
    <w:rsid w:val="00CE3831"/>
    <w:rsid w:val="00CF2397"/>
    <w:rsid w:val="00D00ABB"/>
    <w:rsid w:val="00D02EEC"/>
    <w:rsid w:val="00D03551"/>
    <w:rsid w:val="00D06A63"/>
    <w:rsid w:val="00D07E0E"/>
    <w:rsid w:val="00D10CD6"/>
    <w:rsid w:val="00D11478"/>
    <w:rsid w:val="00D15ED0"/>
    <w:rsid w:val="00D15FED"/>
    <w:rsid w:val="00D164BF"/>
    <w:rsid w:val="00D21B3E"/>
    <w:rsid w:val="00D21FED"/>
    <w:rsid w:val="00D23048"/>
    <w:rsid w:val="00D24251"/>
    <w:rsid w:val="00D26E72"/>
    <w:rsid w:val="00D343E2"/>
    <w:rsid w:val="00D361A2"/>
    <w:rsid w:val="00D37272"/>
    <w:rsid w:val="00D40225"/>
    <w:rsid w:val="00D44C2E"/>
    <w:rsid w:val="00D45414"/>
    <w:rsid w:val="00D50A0A"/>
    <w:rsid w:val="00D53548"/>
    <w:rsid w:val="00D566BD"/>
    <w:rsid w:val="00D57A4D"/>
    <w:rsid w:val="00D60AA7"/>
    <w:rsid w:val="00D61CBB"/>
    <w:rsid w:val="00D6435F"/>
    <w:rsid w:val="00D66471"/>
    <w:rsid w:val="00D70641"/>
    <w:rsid w:val="00D74888"/>
    <w:rsid w:val="00D75E28"/>
    <w:rsid w:val="00D772C2"/>
    <w:rsid w:val="00D8008E"/>
    <w:rsid w:val="00D82C45"/>
    <w:rsid w:val="00D848DD"/>
    <w:rsid w:val="00D908A8"/>
    <w:rsid w:val="00D977B6"/>
    <w:rsid w:val="00DA1223"/>
    <w:rsid w:val="00DA4A31"/>
    <w:rsid w:val="00DA7B04"/>
    <w:rsid w:val="00DB0991"/>
    <w:rsid w:val="00DB36C2"/>
    <w:rsid w:val="00DC03BA"/>
    <w:rsid w:val="00DC169B"/>
    <w:rsid w:val="00DC2AB9"/>
    <w:rsid w:val="00DC4ED0"/>
    <w:rsid w:val="00DC63F0"/>
    <w:rsid w:val="00DD37EA"/>
    <w:rsid w:val="00DD6EE5"/>
    <w:rsid w:val="00DE386C"/>
    <w:rsid w:val="00DE4D35"/>
    <w:rsid w:val="00DE7A94"/>
    <w:rsid w:val="00DF098B"/>
    <w:rsid w:val="00DF11C4"/>
    <w:rsid w:val="00DF210C"/>
    <w:rsid w:val="00DF4B6A"/>
    <w:rsid w:val="00E004C0"/>
    <w:rsid w:val="00E02C09"/>
    <w:rsid w:val="00E04D59"/>
    <w:rsid w:val="00E06D5F"/>
    <w:rsid w:val="00E07DA1"/>
    <w:rsid w:val="00E10769"/>
    <w:rsid w:val="00E123CB"/>
    <w:rsid w:val="00E13B09"/>
    <w:rsid w:val="00E20E13"/>
    <w:rsid w:val="00E21DBC"/>
    <w:rsid w:val="00E2465D"/>
    <w:rsid w:val="00E275D7"/>
    <w:rsid w:val="00E276C4"/>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986"/>
    <w:rsid w:val="00E76D47"/>
    <w:rsid w:val="00E827BC"/>
    <w:rsid w:val="00E849F7"/>
    <w:rsid w:val="00E90302"/>
    <w:rsid w:val="00E91D05"/>
    <w:rsid w:val="00E95C1E"/>
    <w:rsid w:val="00E97396"/>
    <w:rsid w:val="00EA185E"/>
    <w:rsid w:val="00EA3AAB"/>
    <w:rsid w:val="00EA592A"/>
    <w:rsid w:val="00EB14E4"/>
    <w:rsid w:val="00EB20D3"/>
    <w:rsid w:val="00EB32A5"/>
    <w:rsid w:val="00EB34ED"/>
    <w:rsid w:val="00EB447C"/>
    <w:rsid w:val="00EB7BE0"/>
    <w:rsid w:val="00EC2D68"/>
    <w:rsid w:val="00EC315E"/>
    <w:rsid w:val="00ED077C"/>
    <w:rsid w:val="00ED10A9"/>
    <w:rsid w:val="00ED1190"/>
    <w:rsid w:val="00ED34AC"/>
    <w:rsid w:val="00ED4143"/>
    <w:rsid w:val="00ED42AF"/>
    <w:rsid w:val="00ED6544"/>
    <w:rsid w:val="00EE0277"/>
    <w:rsid w:val="00EE2899"/>
    <w:rsid w:val="00EE3E00"/>
    <w:rsid w:val="00EE5DD2"/>
    <w:rsid w:val="00EF36C5"/>
    <w:rsid w:val="00EF3DB4"/>
    <w:rsid w:val="00F00A79"/>
    <w:rsid w:val="00F00BE3"/>
    <w:rsid w:val="00F00D13"/>
    <w:rsid w:val="00F00E86"/>
    <w:rsid w:val="00F021A6"/>
    <w:rsid w:val="00F07C1E"/>
    <w:rsid w:val="00F105DB"/>
    <w:rsid w:val="00F132BC"/>
    <w:rsid w:val="00F13D80"/>
    <w:rsid w:val="00F15B4D"/>
    <w:rsid w:val="00F16A7C"/>
    <w:rsid w:val="00F16AAA"/>
    <w:rsid w:val="00F1709C"/>
    <w:rsid w:val="00F173CC"/>
    <w:rsid w:val="00F21161"/>
    <w:rsid w:val="00F218EF"/>
    <w:rsid w:val="00F21BC7"/>
    <w:rsid w:val="00F266A2"/>
    <w:rsid w:val="00F32269"/>
    <w:rsid w:val="00F3494E"/>
    <w:rsid w:val="00F35B7A"/>
    <w:rsid w:val="00F46DA8"/>
    <w:rsid w:val="00F56A6F"/>
    <w:rsid w:val="00F5709C"/>
    <w:rsid w:val="00F60B85"/>
    <w:rsid w:val="00F64EF1"/>
    <w:rsid w:val="00F6769D"/>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0751"/>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2EF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E426D"/>
    <w:rPr>
      <w:sz w:val="24"/>
      <w:szCs w:val="24"/>
      <w:lang w:val="en-GB"/>
    </w:rPr>
  </w:style>
  <w:style w:type="paragraph" w:styleId="Nagwek1">
    <w:name w:val="heading 1"/>
    <w:basedOn w:val="Normalny"/>
    <w:next w:val="Normalny"/>
    <w:link w:val="Nagwek1Znak"/>
    <w:uiPriority w:val="98"/>
    <w:semiHidden/>
    <w:rsid w:val="009E42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E42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E426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E426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E426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E426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E426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E426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E426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E426D"/>
    <w:rPr>
      <w:rFonts w:ascii="Tahoma" w:hAnsi="Tahoma" w:cs="Tahoma"/>
      <w:sz w:val="16"/>
      <w:szCs w:val="16"/>
    </w:rPr>
  </w:style>
  <w:style w:type="character" w:customStyle="1" w:styleId="TekstdymkaZnak">
    <w:name w:val="Tekst dymka Znak"/>
    <w:basedOn w:val="Domylnaczcionkaakapitu"/>
    <w:link w:val="Tekstdymka"/>
    <w:uiPriority w:val="98"/>
    <w:semiHidden/>
    <w:rsid w:val="009E426D"/>
    <w:rPr>
      <w:rFonts w:ascii="Tahoma" w:hAnsi="Tahoma" w:cs="Tahoma"/>
      <w:sz w:val="16"/>
      <w:szCs w:val="16"/>
      <w:lang w:val="en-GB"/>
    </w:rPr>
  </w:style>
  <w:style w:type="character" w:styleId="Tytuksiki">
    <w:name w:val="Book Title"/>
    <w:uiPriority w:val="98"/>
    <w:semiHidden/>
    <w:qFormat/>
    <w:rsid w:val="009E426D"/>
    <w:rPr>
      <w:i/>
      <w:iCs/>
      <w:smallCaps/>
      <w:spacing w:val="5"/>
    </w:rPr>
  </w:style>
  <w:style w:type="paragraph" w:customStyle="1" w:styleId="JuHeader">
    <w:name w:val="Ju_Header"/>
    <w:aliases w:val="_Header"/>
    <w:basedOn w:val="Nagwek"/>
    <w:uiPriority w:val="29"/>
    <w:qFormat/>
    <w:rsid w:val="009E426D"/>
    <w:pPr>
      <w:tabs>
        <w:tab w:val="clear" w:pos="4536"/>
        <w:tab w:val="clear" w:pos="9072"/>
      </w:tabs>
      <w:jc w:val="center"/>
    </w:pPr>
    <w:rPr>
      <w:sz w:val="18"/>
    </w:rPr>
  </w:style>
  <w:style w:type="paragraph" w:customStyle="1" w:styleId="NormalJustified">
    <w:name w:val="Normal_Justified"/>
    <w:basedOn w:val="Normalny"/>
    <w:semiHidden/>
    <w:rsid w:val="009E426D"/>
    <w:pPr>
      <w:jc w:val="both"/>
    </w:pPr>
  </w:style>
  <w:style w:type="character" w:styleId="Pogrubienie">
    <w:name w:val="Strong"/>
    <w:uiPriority w:val="98"/>
    <w:semiHidden/>
    <w:qFormat/>
    <w:rsid w:val="009E426D"/>
    <w:rPr>
      <w:b/>
      <w:bCs/>
    </w:rPr>
  </w:style>
  <w:style w:type="paragraph" w:styleId="Bezodstpw">
    <w:name w:val="No Spacing"/>
    <w:basedOn w:val="Normalny"/>
    <w:link w:val="BezodstpwZnak"/>
    <w:uiPriority w:val="98"/>
    <w:semiHidden/>
    <w:qFormat/>
    <w:rsid w:val="009E426D"/>
  </w:style>
  <w:style w:type="character" w:customStyle="1" w:styleId="BezodstpwZnak">
    <w:name w:val="Bez odstępów Znak"/>
    <w:basedOn w:val="Domylnaczcionkaakapitu"/>
    <w:link w:val="Bezodstpw"/>
    <w:uiPriority w:val="98"/>
    <w:semiHidden/>
    <w:rsid w:val="009E426D"/>
    <w:rPr>
      <w:sz w:val="24"/>
      <w:szCs w:val="24"/>
      <w:lang w:val="en-GB"/>
    </w:rPr>
  </w:style>
  <w:style w:type="paragraph" w:customStyle="1" w:styleId="JuQuot">
    <w:name w:val="Ju_Quot"/>
    <w:aliases w:val="_Quote"/>
    <w:basedOn w:val="NormalJustified"/>
    <w:uiPriority w:val="20"/>
    <w:qFormat/>
    <w:rsid w:val="009E426D"/>
    <w:pPr>
      <w:spacing w:before="120" w:after="120"/>
      <w:ind w:left="425" w:firstLine="142"/>
    </w:pPr>
    <w:rPr>
      <w:sz w:val="20"/>
    </w:rPr>
  </w:style>
  <w:style w:type="table" w:customStyle="1" w:styleId="Tabelasiatki1jasna1">
    <w:name w:val="Tabela siatki 1 — jasna1"/>
    <w:basedOn w:val="Standardowy"/>
    <w:uiPriority w:val="46"/>
    <w:semiHidden/>
    <w:rsid w:val="0044705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9E426D"/>
    <w:pPr>
      <w:numPr>
        <w:numId w:val="6"/>
      </w:numPr>
      <w:spacing w:before="280" w:after="60"/>
    </w:pPr>
  </w:style>
  <w:style w:type="paragraph" w:customStyle="1" w:styleId="JuLista">
    <w:name w:val="Ju_List_a"/>
    <w:aliases w:val="_List_2"/>
    <w:basedOn w:val="NormalJustified"/>
    <w:uiPriority w:val="23"/>
    <w:rsid w:val="009E426D"/>
    <w:pPr>
      <w:numPr>
        <w:ilvl w:val="1"/>
        <w:numId w:val="6"/>
      </w:numPr>
    </w:pPr>
  </w:style>
  <w:style w:type="paragraph" w:customStyle="1" w:styleId="JuListi">
    <w:name w:val="Ju_List_i"/>
    <w:aliases w:val="_List_3"/>
    <w:basedOn w:val="NormalJustified"/>
    <w:uiPriority w:val="23"/>
    <w:rsid w:val="009E426D"/>
    <w:pPr>
      <w:numPr>
        <w:ilvl w:val="2"/>
        <w:numId w:val="6"/>
      </w:numPr>
    </w:pPr>
  </w:style>
  <w:style w:type="paragraph" w:customStyle="1" w:styleId="JuHArticle">
    <w:name w:val="Ju_H_Article"/>
    <w:aliases w:val="_Title_Quote"/>
    <w:basedOn w:val="Normalny"/>
    <w:next w:val="JuQuot"/>
    <w:uiPriority w:val="19"/>
    <w:qFormat/>
    <w:rsid w:val="009E426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E426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E426D"/>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E426D"/>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E426D"/>
    <w:pPr>
      <w:numPr>
        <w:numId w:val="5"/>
      </w:numPr>
    </w:pPr>
  </w:style>
  <w:style w:type="paragraph" w:customStyle="1" w:styleId="JuSigned">
    <w:name w:val="Ju_Signed"/>
    <w:aliases w:val="_Signature"/>
    <w:basedOn w:val="Normalny"/>
    <w:next w:val="JuPara"/>
    <w:uiPriority w:val="31"/>
    <w:qFormat/>
    <w:rsid w:val="009E426D"/>
    <w:pPr>
      <w:tabs>
        <w:tab w:val="center" w:pos="851"/>
        <w:tab w:val="center" w:pos="6407"/>
      </w:tabs>
      <w:spacing w:before="720"/>
    </w:pPr>
  </w:style>
  <w:style w:type="paragraph" w:styleId="Tytu">
    <w:name w:val="Title"/>
    <w:basedOn w:val="Normalny"/>
    <w:next w:val="Normalny"/>
    <w:link w:val="TytuZnak"/>
    <w:uiPriority w:val="98"/>
    <w:semiHidden/>
    <w:qFormat/>
    <w:rsid w:val="009E42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E426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9E426D"/>
    <w:pPr>
      <w:numPr>
        <w:numId w:val="6"/>
      </w:numPr>
    </w:pPr>
  </w:style>
  <w:style w:type="numbering" w:customStyle="1" w:styleId="ECHRA1StyleNumberedList">
    <w:name w:val="ECHR_A1_Style_Numbered_List"/>
    <w:basedOn w:val="Bezlisty"/>
    <w:rsid w:val="009E426D"/>
    <w:pPr>
      <w:numPr>
        <w:numId w:val="7"/>
      </w:numPr>
    </w:pPr>
  </w:style>
  <w:style w:type="table" w:customStyle="1" w:styleId="ECHRTable2019">
    <w:name w:val="ECHR_Table_2019"/>
    <w:basedOn w:val="Standardowy"/>
    <w:uiPriority w:val="99"/>
    <w:rsid w:val="009E42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E426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E426D"/>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E426D"/>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E426D"/>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9E426D"/>
    <w:pPr>
      <w:tabs>
        <w:tab w:val="center" w:pos="4536"/>
        <w:tab w:val="right" w:pos="9072"/>
      </w:tabs>
    </w:pPr>
  </w:style>
  <w:style w:type="character" w:customStyle="1" w:styleId="NagwekZnak">
    <w:name w:val="Nagłówek Znak"/>
    <w:basedOn w:val="Domylnaczcionkaakapitu"/>
    <w:link w:val="Nagwek"/>
    <w:uiPriority w:val="98"/>
    <w:semiHidden/>
    <w:rsid w:val="009E426D"/>
    <w:rPr>
      <w:sz w:val="24"/>
      <w:szCs w:val="24"/>
      <w:lang w:val="en-GB"/>
    </w:rPr>
  </w:style>
  <w:style w:type="character" w:customStyle="1" w:styleId="Nagwek1Znak">
    <w:name w:val="Nagłówek 1 Znak"/>
    <w:basedOn w:val="Domylnaczcionkaakapitu"/>
    <w:link w:val="Nagwek1"/>
    <w:uiPriority w:val="98"/>
    <w:semiHidden/>
    <w:rsid w:val="009E426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9E426D"/>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9E426D"/>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E426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9E426D"/>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E426D"/>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9E426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E426D"/>
    <w:pPr>
      <w:keepNext/>
      <w:keepLines/>
      <w:spacing w:before="240" w:after="240"/>
      <w:ind w:firstLine="284"/>
    </w:pPr>
  </w:style>
  <w:style w:type="paragraph" w:customStyle="1" w:styleId="JuJudges">
    <w:name w:val="Ju_Judges"/>
    <w:aliases w:val="_Judges"/>
    <w:basedOn w:val="Normalny"/>
    <w:uiPriority w:val="32"/>
    <w:qFormat/>
    <w:rsid w:val="009E426D"/>
    <w:pPr>
      <w:tabs>
        <w:tab w:val="left" w:pos="567"/>
        <w:tab w:val="left" w:pos="1134"/>
      </w:tabs>
    </w:pPr>
  </w:style>
  <w:style w:type="character" w:customStyle="1" w:styleId="Nagwek4Znak">
    <w:name w:val="Nagłówek 4 Znak"/>
    <w:basedOn w:val="Domylnaczcionkaakapitu"/>
    <w:link w:val="Nagwek4"/>
    <w:uiPriority w:val="98"/>
    <w:semiHidden/>
    <w:rsid w:val="009E426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9E426D"/>
    <w:pPr>
      <w:tabs>
        <w:tab w:val="center" w:pos="6407"/>
      </w:tabs>
      <w:spacing w:before="720"/>
      <w:jc w:val="right"/>
    </w:pPr>
  </w:style>
  <w:style w:type="character" w:customStyle="1" w:styleId="Nagwek5Znak">
    <w:name w:val="Nagłówek 5 Znak"/>
    <w:basedOn w:val="Domylnaczcionkaakapitu"/>
    <w:link w:val="Nagwek5"/>
    <w:uiPriority w:val="98"/>
    <w:semiHidden/>
    <w:rsid w:val="009E426D"/>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9E426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E426D"/>
    <w:rPr>
      <w:caps w:val="0"/>
      <w:smallCaps/>
    </w:rPr>
  </w:style>
  <w:style w:type="character" w:styleId="Wyrnieniedelikatne">
    <w:name w:val="Subtle Emphasis"/>
    <w:uiPriority w:val="98"/>
    <w:semiHidden/>
    <w:qFormat/>
    <w:rsid w:val="009E426D"/>
    <w:rPr>
      <w:i/>
      <w:iCs/>
    </w:rPr>
  </w:style>
  <w:style w:type="table" w:customStyle="1" w:styleId="ECHRTable">
    <w:name w:val="ECHR_Table"/>
    <w:basedOn w:val="Standardowy"/>
    <w:rsid w:val="009E426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E426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E426D"/>
    <w:rPr>
      <w:b/>
      <w:bCs/>
      <w:i/>
      <w:iCs/>
      <w:spacing w:val="10"/>
      <w:bdr w:val="none" w:sz="0" w:space="0" w:color="auto"/>
      <w:shd w:val="clear" w:color="auto" w:fill="auto"/>
    </w:rPr>
  </w:style>
  <w:style w:type="paragraph" w:styleId="Stopka">
    <w:name w:val="footer"/>
    <w:basedOn w:val="Normalny"/>
    <w:link w:val="StopkaZnak"/>
    <w:uiPriority w:val="98"/>
    <w:semiHidden/>
    <w:rsid w:val="009E426D"/>
    <w:pPr>
      <w:tabs>
        <w:tab w:val="center" w:pos="3686"/>
        <w:tab w:val="right" w:pos="7371"/>
      </w:tabs>
    </w:pPr>
  </w:style>
  <w:style w:type="character" w:customStyle="1" w:styleId="StopkaZnak">
    <w:name w:val="Stopka Znak"/>
    <w:basedOn w:val="Domylnaczcionkaakapitu"/>
    <w:link w:val="Stopka"/>
    <w:uiPriority w:val="98"/>
    <w:semiHidden/>
    <w:rsid w:val="009E426D"/>
    <w:rPr>
      <w:sz w:val="24"/>
      <w:szCs w:val="24"/>
      <w:lang w:val="en-GB"/>
    </w:rPr>
  </w:style>
  <w:style w:type="character" w:styleId="Odwoanieprzypisudolnego">
    <w:name w:val="footnote reference"/>
    <w:basedOn w:val="Domylnaczcionkaakapitu"/>
    <w:uiPriority w:val="98"/>
    <w:semiHidden/>
    <w:rsid w:val="009E426D"/>
    <w:rPr>
      <w:vertAlign w:val="superscript"/>
    </w:rPr>
  </w:style>
  <w:style w:type="paragraph" w:styleId="Tekstprzypisudolnego">
    <w:name w:val="footnote text"/>
    <w:basedOn w:val="Normalny"/>
    <w:link w:val="TekstprzypisudolnegoZnak"/>
    <w:uiPriority w:val="98"/>
    <w:semiHidden/>
    <w:rsid w:val="009E426D"/>
    <w:rPr>
      <w:sz w:val="20"/>
      <w:szCs w:val="20"/>
    </w:rPr>
  </w:style>
  <w:style w:type="character" w:customStyle="1" w:styleId="TekstprzypisudolnegoZnak">
    <w:name w:val="Tekst przypisu dolnego Znak"/>
    <w:basedOn w:val="Domylnaczcionkaakapitu"/>
    <w:link w:val="Tekstprzypisudolnego"/>
    <w:uiPriority w:val="98"/>
    <w:semiHidden/>
    <w:rsid w:val="009E426D"/>
    <w:rPr>
      <w:sz w:val="20"/>
      <w:szCs w:val="20"/>
      <w:lang w:val="en-GB"/>
    </w:rPr>
  </w:style>
  <w:style w:type="character" w:customStyle="1" w:styleId="Nagwek6Znak">
    <w:name w:val="Nagłówek 6 Znak"/>
    <w:basedOn w:val="Domylnaczcionkaakapitu"/>
    <w:link w:val="Nagwek6"/>
    <w:uiPriority w:val="98"/>
    <w:semiHidden/>
    <w:rsid w:val="009E426D"/>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9E426D"/>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9E426D"/>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9E426D"/>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9E426D"/>
    <w:rPr>
      <w:color w:val="0072BC" w:themeColor="hyperlink"/>
      <w:u w:val="single"/>
    </w:rPr>
  </w:style>
  <w:style w:type="character" w:styleId="Wyrnienieintensywne">
    <w:name w:val="Intense Emphasis"/>
    <w:uiPriority w:val="98"/>
    <w:semiHidden/>
    <w:qFormat/>
    <w:rsid w:val="009E426D"/>
    <w:rPr>
      <w:b/>
      <w:bCs/>
    </w:rPr>
  </w:style>
  <w:style w:type="paragraph" w:styleId="Cytatintensywny">
    <w:name w:val="Intense Quote"/>
    <w:basedOn w:val="Normalny"/>
    <w:next w:val="Normalny"/>
    <w:link w:val="CytatintensywnyZnak"/>
    <w:uiPriority w:val="98"/>
    <w:semiHidden/>
    <w:qFormat/>
    <w:rsid w:val="009E426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E426D"/>
    <w:rPr>
      <w:b/>
      <w:bCs/>
      <w:i/>
      <w:iCs/>
      <w:sz w:val="24"/>
      <w:szCs w:val="24"/>
      <w:lang w:val="en-GB" w:bidi="en-US"/>
    </w:rPr>
  </w:style>
  <w:style w:type="character" w:styleId="Odwoanieintensywne">
    <w:name w:val="Intense Reference"/>
    <w:uiPriority w:val="98"/>
    <w:semiHidden/>
    <w:qFormat/>
    <w:rsid w:val="009E426D"/>
    <w:rPr>
      <w:smallCaps/>
      <w:spacing w:val="5"/>
      <w:u w:val="single"/>
    </w:rPr>
  </w:style>
  <w:style w:type="paragraph" w:styleId="Akapitzlist">
    <w:name w:val="List Paragraph"/>
    <w:basedOn w:val="Normalny"/>
    <w:uiPriority w:val="98"/>
    <w:semiHidden/>
    <w:qFormat/>
    <w:rsid w:val="009E426D"/>
    <w:pPr>
      <w:ind w:left="720"/>
      <w:contextualSpacing/>
    </w:pPr>
  </w:style>
  <w:style w:type="table" w:customStyle="1" w:styleId="LtrTableAddress">
    <w:name w:val="Ltr_Table_Address"/>
    <w:aliases w:val="ECHR_Ltr_Table_Address"/>
    <w:basedOn w:val="Standardowy"/>
    <w:uiPriority w:val="99"/>
    <w:rsid w:val="009E426D"/>
    <w:rPr>
      <w:sz w:val="24"/>
      <w:szCs w:val="24"/>
    </w:rPr>
    <w:tblPr>
      <w:tblInd w:w="5103" w:type="dxa"/>
    </w:tblPr>
  </w:style>
  <w:style w:type="paragraph" w:styleId="Cytat">
    <w:name w:val="Quote"/>
    <w:basedOn w:val="Normalny"/>
    <w:next w:val="Normalny"/>
    <w:link w:val="CytatZnak"/>
    <w:uiPriority w:val="98"/>
    <w:semiHidden/>
    <w:qFormat/>
    <w:rsid w:val="009E426D"/>
    <w:pPr>
      <w:spacing w:before="200"/>
      <w:ind w:left="360" w:right="360"/>
    </w:pPr>
    <w:rPr>
      <w:i/>
      <w:iCs/>
      <w:lang w:bidi="en-US"/>
    </w:rPr>
  </w:style>
  <w:style w:type="character" w:customStyle="1" w:styleId="CytatZnak">
    <w:name w:val="Cytat Znak"/>
    <w:basedOn w:val="Domylnaczcionkaakapitu"/>
    <w:link w:val="Cytat"/>
    <w:uiPriority w:val="98"/>
    <w:semiHidden/>
    <w:rsid w:val="009E426D"/>
    <w:rPr>
      <w:i/>
      <w:iCs/>
      <w:sz w:val="24"/>
      <w:szCs w:val="24"/>
      <w:lang w:val="en-GB" w:bidi="en-US"/>
    </w:rPr>
  </w:style>
  <w:style w:type="character" w:styleId="Odwoaniedelikatne">
    <w:name w:val="Subtle Reference"/>
    <w:uiPriority w:val="98"/>
    <w:semiHidden/>
    <w:qFormat/>
    <w:rsid w:val="009E426D"/>
    <w:rPr>
      <w:smallCaps/>
    </w:rPr>
  </w:style>
  <w:style w:type="table" w:styleId="Tabela-Siatka">
    <w:name w:val="Table Grid"/>
    <w:basedOn w:val="Standardowy"/>
    <w:uiPriority w:val="59"/>
    <w:semiHidden/>
    <w:rsid w:val="009E426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E426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E426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E42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E426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E42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E426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E426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E426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E426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E426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E426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E426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E426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E426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E426D"/>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9E426D"/>
    <w:pPr>
      <w:numPr>
        <w:numId w:val="2"/>
      </w:numPr>
    </w:pPr>
  </w:style>
  <w:style w:type="paragraph" w:customStyle="1" w:styleId="JuPara">
    <w:name w:val="Ju_Para"/>
    <w:aliases w:val="_Para"/>
    <w:basedOn w:val="NormalJustified"/>
    <w:link w:val="JuParaChar"/>
    <w:uiPriority w:val="4"/>
    <w:qFormat/>
    <w:rsid w:val="009E426D"/>
    <w:pPr>
      <w:ind w:firstLine="284"/>
    </w:pPr>
  </w:style>
  <w:style w:type="numbering" w:styleId="1ai">
    <w:name w:val="Outline List 1"/>
    <w:basedOn w:val="Bezlisty"/>
    <w:uiPriority w:val="99"/>
    <w:semiHidden/>
    <w:unhideWhenUsed/>
    <w:rsid w:val="009E426D"/>
    <w:pPr>
      <w:numPr>
        <w:numId w:val="3"/>
      </w:numPr>
    </w:pPr>
  </w:style>
  <w:style w:type="table" w:customStyle="1" w:styleId="ECHRTableSimpleBox">
    <w:name w:val="ECHR_Table_Simple_Box"/>
    <w:basedOn w:val="Standardowy"/>
    <w:uiPriority w:val="99"/>
    <w:rsid w:val="009E426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E426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E426D"/>
    <w:pPr>
      <w:numPr>
        <w:numId w:val="4"/>
      </w:numPr>
    </w:pPr>
  </w:style>
  <w:style w:type="table" w:customStyle="1" w:styleId="ECHRTableForInternalUse">
    <w:name w:val="ECHR_Table_For_Internal_Use"/>
    <w:basedOn w:val="Standardowy"/>
    <w:uiPriority w:val="99"/>
    <w:rsid w:val="009E426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E426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E426D"/>
  </w:style>
  <w:style w:type="paragraph" w:styleId="Tekstblokowy">
    <w:name w:val="Block Text"/>
    <w:basedOn w:val="Normalny"/>
    <w:uiPriority w:val="98"/>
    <w:semiHidden/>
    <w:rsid w:val="009E426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E426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E426D"/>
    <w:pPr>
      <w:spacing w:after="120"/>
    </w:pPr>
  </w:style>
  <w:style w:type="character" w:customStyle="1" w:styleId="TekstpodstawowyZnak">
    <w:name w:val="Tekst podstawowy Znak"/>
    <w:basedOn w:val="Domylnaczcionkaakapitu"/>
    <w:link w:val="Tekstpodstawowy"/>
    <w:uiPriority w:val="98"/>
    <w:semiHidden/>
    <w:rsid w:val="009E426D"/>
    <w:rPr>
      <w:sz w:val="24"/>
      <w:szCs w:val="24"/>
      <w:lang w:val="en-GB"/>
    </w:rPr>
  </w:style>
  <w:style w:type="table" w:customStyle="1" w:styleId="ECHRTableOddBanded">
    <w:name w:val="ECHR_Table_Odd_Banded"/>
    <w:basedOn w:val="Standardowy"/>
    <w:uiPriority w:val="99"/>
    <w:rsid w:val="009E426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E426D"/>
    <w:pPr>
      <w:spacing w:after="120" w:line="480" w:lineRule="auto"/>
    </w:pPr>
  </w:style>
  <w:style w:type="table" w:customStyle="1" w:styleId="ECHRHeaderTableReduced">
    <w:name w:val="ECHR_Header_Table_Reduced"/>
    <w:basedOn w:val="Standardowy"/>
    <w:uiPriority w:val="99"/>
    <w:rsid w:val="009E426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E426D"/>
    <w:pPr>
      <w:ind w:firstLine="284"/>
      <w:jc w:val="both"/>
    </w:pPr>
    <w:rPr>
      <w:b/>
    </w:rPr>
  </w:style>
  <w:style w:type="character" w:styleId="Numerstrony">
    <w:name w:val="page number"/>
    <w:uiPriority w:val="98"/>
    <w:semiHidden/>
    <w:rsid w:val="009E426D"/>
    <w:rPr>
      <w:sz w:val="18"/>
    </w:rPr>
  </w:style>
  <w:style w:type="paragraph" w:styleId="Listapunktowana">
    <w:name w:val="List Bullet"/>
    <w:basedOn w:val="Normalny"/>
    <w:uiPriority w:val="98"/>
    <w:semiHidden/>
    <w:rsid w:val="009E426D"/>
    <w:pPr>
      <w:numPr>
        <w:numId w:val="8"/>
      </w:numPr>
    </w:pPr>
  </w:style>
  <w:style w:type="paragraph" w:styleId="Listapunktowana3">
    <w:name w:val="List Bullet 3"/>
    <w:basedOn w:val="Normalny"/>
    <w:uiPriority w:val="98"/>
    <w:semiHidden/>
    <w:rsid w:val="009E426D"/>
    <w:pPr>
      <w:numPr>
        <w:numId w:val="10"/>
      </w:numPr>
      <w:contextualSpacing/>
    </w:pPr>
  </w:style>
  <w:style w:type="character" w:customStyle="1" w:styleId="Tekstpodstawowy2Znak">
    <w:name w:val="Tekst podstawowy 2 Znak"/>
    <w:basedOn w:val="Domylnaczcionkaakapitu"/>
    <w:link w:val="Tekstpodstawowy2"/>
    <w:uiPriority w:val="98"/>
    <w:semiHidden/>
    <w:rsid w:val="009E426D"/>
    <w:rPr>
      <w:sz w:val="24"/>
      <w:szCs w:val="24"/>
      <w:lang w:val="en-GB"/>
    </w:rPr>
  </w:style>
  <w:style w:type="paragraph" w:styleId="Tekstpodstawowy3">
    <w:name w:val="Body Text 3"/>
    <w:basedOn w:val="Normalny"/>
    <w:link w:val="Tekstpodstawowy3Znak"/>
    <w:uiPriority w:val="98"/>
    <w:semiHidden/>
    <w:rsid w:val="009E426D"/>
    <w:pPr>
      <w:spacing w:after="120"/>
    </w:pPr>
    <w:rPr>
      <w:sz w:val="16"/>
      <w:szCs w:val="16"/>
    </w:rPr>
  </w:style>
  <w:style w:type="character" w:customStyle="1" w:styleId="Tekstpodstawowy3Znak">
    <w:name w:val="Tekst podstawowy 3 Znak"/>
    <w:basedOn w:val="Domylnaczcionkaakapitu"/>
    <w:link w:val="Tekstpodstawowy3"/>
    <w:uiPriority w:val="98"/>
    <w:semiHidden/>
    <w:rsid w:val="009E426D"/>
    <w:rPr>
      <w:sz w:val="16"/>
      <w:szCs w:val="16"/>
      <w:lang w:val="en-GB"/>
    </w:rPr>
  </w:style>
  <w:style w:type="paragraph" w:styleId="Tekstpodstawowyzwciciem">
    <w:name w:val="Body Text First Indent"/>
    <w:basedOn w:val="Tekstpodstawowy"/>
    <w:link w:val="TekstpodstawowyzwciciemZnak"/>
    <w:uiPriority w:val="98"/>
    <w:semiHidden/>
    <w:rsid w:val="009E426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E426D"/>
    <w:rPr>
      <w:sz w:val="24"/>
      <w:szCs w:val="24"/>
      <w:lang w:val="en-GB"/>
    </w:rPr>
  </w:style>
  <w:style w:type="paragraph" w:styleId="Tekstpodstawowywcity">
    <w:name w:val="Body Text Indent"/>
    <w:basedOn w:val="Normalny"/>
    <w:link w:val="TekstpodstawowywcityZnak"/>
    <w:uiPriority w:val="98"/>
    <w:semiHidden/>
    <w:rsid w:val="009E426D"/>
    <w:pPr>
      <w:spacing w:after="120"/>
      <w:ind w:left="283"/>
    </w:pPr>
  </w:style>
  <w:style w:type="character" w:customStyle="1" w:styleId="TekstpodstawowywcityZnak">
    <w:name w:val="Tekst podstawowy wcięty Znak"/>
    <w:basedOn w:val="Domylnaczcionkaakapitu"/>
    <w:link w:val="Tekstpodstawowywcity"/>
    <w:uiPriority w:val="98"/>
    <w:semiHidden/>
    <w:rsid w:val="009E426D"/>
    <w:rPr>
      <w:sz w:val="24"/>
      <w:szCs w:val="24"/>
      <w:lang w:val="en-GB"/>
    </w:rPr>
  </w:style>
  <w:style w:type="paragraph" w:styleId="Tekstpodstawowyzwciciem2">
    <w:name w:val="Body Text First Indent 2"/>
    <w:basedOn w:val="Tekstpodstawowywcity"/>
    <w:link w:val="Tekstpodstawowyzwciciem2Znak"/>
    <w:uiPriority w:val="98"/>
    <w:semiHidden/>
    <w:rsid w:val="009E426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E426D"/>
    <w:rPr>
      <w:sz w:val="24"/>
      <w:szCs w:val="24"/>
      <w:lang w:val="en-GB"/>
    </w:rPr>
  </w:style>
  <w:style w:type="paragraph" w:styleId="Tekstpodstawowywcity2">
    <w:name w:val="Body Text Indent 2"/>
    <w:basedOn w:val="Normalny"/>
    <w:link w:val="Tekstpodstawowywcity2Znak"/>
    <w:uiPriority w:val="98"/>
    <w:semiHidden/>
    <w:rsid w:val="009E426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E426D"/>
    <w:rPr>
      <w:sz w:val="24"/>
      <w:szCs w:val="24"/>
      <w:lang w:val="en-GB"/>
    </w:rPr>
  </w:style>
  <w:style w:type="paragraph" w:styleId="Tekstpodstawowywcity3">
    <w:name w:val="Body Text Indent 3"/>
    <w:basedOn w:val="Normalny"/>
    <w:link w:val="Tekstpodstawowywcity3Znak"/>
    <w:uiPriority w:val="98"/>
    <w:semiHidden/>
    <w:rsid w:val="009E426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E426D"/>
    <w:rPr>
      <w:sz w:val="16"/>
      <w:szCs w:val="16"/>
      <w:lang w:val="en-GB"/>
    </w:rPr>
  </w:style>
  <w:style w:type="paragraph" w:styleId="Legenda">
    <w:name w:val="caption"/>
    <w:basedOn w:val="Normalny"/>
    <w:next w:val="Normalny"/>
    <w:uiPriority w:val="98"/>
    <w:semiHidden/>
    <w:qFormat/>
    <w:rsid w:val="009E426D"/>
    <w:pPr>
      <w:spacing w:after="200"/>
    </w:pPr>
    <w:rPr>
      <w:b/>
      <w:bCs/>
      <w:color w:val="0072BC" w:themeColor="accent1"/>
      <w:sz w:val="18"/>
      <w:szCs w:val="18"/>
    </w:rPr>
  </w:style>
  <w:style w:type="paragraph" w:styleId="Zwrotpoegnalny">
    <w:name w:val="Closing"/>
    <w:basedOn w:val="Normalny"/>
    <w:link w:val="ZwrotpoegnalnyZnak"/>
    <w:uiPriority w:val="98"/>
    <w:semiHidden/>
    <w:rsid w:val="009E426D"/>
    <w:pPr>
      <w:ind w:left="4252"/>
    </w:pPr>
  </w:style>
  <w:style w:type="character" w:customStyle="1" w:styleId="ZwrotpoegnalnyZnak">
    <w:name w:val="Zwrot pożegnalny Znak"/>
    <w:basedOn w:val="Domylnaczcionkaakapitu"/>
    <w:link w:val="Zwrotpoegnalny"/>
    <w:uiPriority w:val="98"/>
    <w:semiHidden/>
    <w:rsid w:val="009E426D"/>
    <w:rPr>
      <w:sz w:val="24"/>
      <w:szCs w:val="24"/>
      <w:lang w:val="en-GB"/>
    </w:rPr>
  </w:style>
  <w:style w:type="table" w:styleId="Kolorowasiatka">
    <w:name w:val="Colorful Grid"/>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E426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E426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E426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E426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E426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E426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E426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E426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E426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E426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E426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E426D"/>
    <w:rPr>
      <w:sz w:val="16"/>
      <w:szCs w:val="16"/>
    </w:rPr>
  </w:style>
  <w:style w:type="paragraph" w:styleId="Tekstkomentarza">
    <w:name w:val="annotation text"/>
    <w:basedOn w:val="Normalny"/>
    <w:link w:val="TekstkomentarzaZnak"/>
    <w:uiPriority w:val="98"/>
    <w:semiHidden/>
    <w:rsid w:val="009E426D"/>
    <w:rPr>
      <w:sz w:val="20"/>
      <w:szCs w:val="20"/>
    </w:rPr>
  </w:style>
  <w:style w:type="character" w:customStyle="1" w:styleId="TekstkomentarzaZnak">
    <w:name w:val="Tekst komentarza Znak"/>
    <w:basedOn w:val="Domylnaczcionkaakapitu"/>
    <w:link w:val="Tekstkomentarza"/>
    <w:uiPriority w:val="98"/>
    <w:semiHidden/>
    <w:rsid w:val="009E426D"/>
    <w:rPr>
      <w:sz w:val="20"/>
      <w:szCs w:val="20"/>
      <w:lang w:val="en-GB"/>
    </w:rPr>
  </w:style>
  <w:style w:type="paragraph" w:styleId="Tematkomentarza">
    <w:name w:val="annotation subject"/>
    <w:basedOn w:val="Tekstkomentarza"/>
    <w:next w:val="Tekstkomentarza"/>
    <w:link w:val="TematkomentarzaZnak"/>
    <w:uiPriority w:val="98"/>
    <w:semiHidden/>
    <w:rsid w:val="009E426D"/>
    <w:rPr>
      <w:b/>
      <w:bCs/>
    </w:rPr>
  </w:style>
  <w:style w:type="character" w:customStyle="1" w:styleId="TematkomentarzaZnak">
    <w:name w:val="Temat komentarza Znak"/>
    <w:basedOn w:val="TekstkomentarzaZnak"/>
    <w:link w:val="Tematkomentarza"/>
    <w:uiPriority w:val="98"/>
    <w:semiHidden/>
    <w:rsid w:val="009E426D"/>
    <w:rPr>
      <w:b/>
      <w:bCs/>
      <w:sz w:val="20"/>
      <w:szCs w:val="20"/>
      <w:lang w:val="en-GB"/>
    </w:rPr>
  </w:style>
  <w:style w:type="table" w:styleId="Ciemnalista">
    <w:name w:val="Dark List"/>
    <w:basedOn w:val="Standardowy"/>
    <w:uiPriority w:val="70"/>
    <w:semiHidden/>
    <w:rsid w:val="009E426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E426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E426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E426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E426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E426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E426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E426D"/>
  </w:style>
  <w:style w:type="character" w:customStyle="1" w:styleId="DataZnak">
    <w:name w:val="Data Znak"/>
    <w:basedOn w:val="Domylnaczcionkaakapitu"/>
    <w:link w:val="Data"/>
    <w:uiPriority w:val="98"/>
    <w:semiHidden/>
    <w:rsid w:val="009E426D"/>
    <w:rPr>
      <w:sz w:val="24"/>
      <w:szCs w:val="24"/>
      <w:lang w:val="en-GB"/>
    </w:rPr>
  </w:style>
  <w:style w:type="paragraph" w:styleId="Mapadokumentu">
    <w:name w:val="Document Map"/>
    <w:basedOn w:val="Normalny"/>
    <w:link w:val="MapadokumentuZnak"/>
    <w:uiPriority w:val="98"/>
    <w:semiHidden/>
    <w:rsid w:val="009E426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E426D"/>
    <w:rPr>
      <w:rFonts w:ascii="Tahoma" w:hAnsi="Tahoma" w:cs="Tahoma"/>
      <w:sz w:val="16"/>
      <w:szCs w:val="16"/>
      <w:lang w:val="en-GB"/>
    </w:rPr>
  </w:style>
  <w:style w:type="paragraph" w:styleId="Podpise-mail">
    <w:name w:val="E-mail Signature"/>
    <w:basedOn w:val="Normalny"/>
    <w:link w:val="Podpise-mailZnak"/>
    <w:uiPriority w:val="98"/>
    <w:semiHidden/>
    <w:rsid w:val="009E426D"/>
  </w:style>
  <w:style w:type="character" w:customStyle="1" w:styleId="Podpise-mailZnak">
    <w:name w:val="Podpis e-mail Znak"/>
    <w:basedOn w:val="Domylnaczcionkaakapitu"/>
    <w:link w:val="Podpise-mail"/>
    <w:uiPriority w:val="98"/>
    <w:semiHidden/>
    <w:rsid w:val="009E426D"/>
    <w:rPr>
      <w:sz w:val="24"/>
      <w:szCs w:val="24"/>
      <w:lang w:val="en-GB"/>
    </w:rPr>
  </w:style>
  <w:style w:type="character" w:styleId="Odwoanieprzypisukocowego">
    <w:name w:val="endnote reference"/>
    <w:basedOn w:val="Domylnaczcionkaakapitu"/>
    <w:uiPriority w:val="98"/>
    <w:semiHidden/>
    <w:rsid w:val="009E426D"/>
    <w:rPr>
      <w:vertAlign w:val="superscript"/>
    </w:rPr>
  </w:style>
  <w:style w:type="paragraph" w:styleId="Tekstprzypisukocowego">
    <w:name w:val="endnote text"/>
    <w:basedOn w:val="Normalny"/>
    <w:link w:val="TekstprzypisukocowegoZnak"/>
    <w:uiPriority w:val="98"/>
    <w:semiHidden/>
    <w:rsid w:val="009E426D"/>
    <w:rPr>
      <w:sz w:val="20"/>
      <w:szCs w:val="20"/>
    </w:rPr>
  </w:style>
  <w:style w:type="character" w:customStyle="1" w:styleId="TekstprzypisukocowegoZnak">
    <w:name w:val="Tekst przypisu końcowego Znak"/>
    <w:basedOn w:val="Domylnaczcionkaakapitu"/>
    <w:link w:val="Tekstprzypisukocowego"/>
    <w:uiPriority w:val="98"/>
    <w:semiHidden/>
    <w:rsid w:val="009E426D"/>
    <w:rPr>
      <w:sz w:val="20"/>
      <w:szCs w:val="20"/>
      <w:lang w:val="en-GB"/>
    </w:rPr>
  </w:style>
  <w:style w:type="paragraph" w:styleId="Adresnakopercie">
    <w:name w:val="envelope address"/>
    <w:basedOn w:val="Normalny"/>
    <w:uiPriority w:val="98"/>
    <w:semiHidden/>
    <w:rsid w:val="009E426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E426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E426D"/>
    <w:rPr>
      <w:color w:val="7030A0" w:themeColor="followedHyperlink"/>
      <w:u w:val="single"/>
    </w:rPr>
  </w:style>
  <w:style w:type="character" w:styleId="HTML-akronim">
    <w:name w:val="HTML Acronym"/>
    <w:basedOn w:val="Domylnaczcionkaakapitu"/>
    <w:uiPriority w:val="98"/>
    <w:semiHidden/>
    <w:rsid w:val="009E426D"/>
  </w:style>
  <w:style w:type="paragraph" w:styleId="HTML-adres">
    <w:name w:val="HTML Address"/>
    <w:basedOn w:val="Normalny"/>
    <w:link w:val="HTML-adresZnak"/>
    <w:uiPriority w:val="98"/>
    <w:semiHidden/>
    <w:rsid w:val="009E426D"/>
    <w:rPr>
      <w:i/>
      <w:iCs/>
    </w:rPr>
  </w:style>
  <w:style w:type="character" w:customStyle="1" w:styleId="HTML-adresZnak">
    <w:name w:val="HTML - adres Znak"/>
    <w:basedOn w:val="Domylnaczcionkaakapitu"/>
    <w:link w:val="HTML-adres"/>
    <w:uiPriority w:val="98"/>
    <w:semiHidden/>
    <w:rsid w:val="009E426D"/>
    <w:rPr>
      <w:i/>
      <w:iCs/>
      <w:sz w:val="24"/>
      <w:szCs w:val="24"/>
      <w:lang w:val="en-GB"/>
    </w:rPr>
  </w:style>
  <w:style w:type="character" w:styleId="HTML-cytat">
    <w:name w:val="HTML Cite"/>
    <w:basedOn w:val="Domylnaczcionkaakapitu"/>
    <w:uiPriority w:val="98"/>
    <w:semiHidden/>
    <w:rsid w:val="009E426D"/>
    <w:rPr>
      <w:i/>
      <w:iCs/>
    </w:rPr>
  </w:style>
  <w:style w:type="character" w:styleId="HTML-kod">
    <w:name w:val="HTML Code"/>
    <w:basedOn w:val="Domylnaczcionkaakapitu"/>
    <w:uiPriority w:val="98"/>
    <w:semiHidden/>
    <w:rsid w:val="009E426D"/>
    <w:rPr>
      <w:rFonts w:ascii="Consolas" w:hAnsi="Consolas" w:cs="Consolas"/>
      <w:sz w:val="20"/>
      <w:szCs w:val="20"/>
    </w:rPr>
  </w:style>
  <w:style w:type="character" w:styleId="HTML-definicja">
    <w:name w:val="HTML Definition"/>
    <w:basedOn w:val="Domylnaczcionkaakapitu"/>
    <w:uiPriority w:val="98"/>
    <w:semiHidden/>
    <w:rsid w:val="009E426D"/>
    <w:rPr>
      <w:i/>
      <w:iCs/>
    </w:rPr>
  </w:style>
  <w:style w:type="character" w:styleId="HTML-klawiatura">
    <w:name w:val="HTML Keyboard"/>
    <w:basedOn w:val="Domylnaczcionkaakapitu"/>
    <w:uiPriority w:val="98"/>
    <w:semiHidden/>
    <w:rsid w:val="009E426D"/>
    <w:rPr>
      <w:rFonts w:ascii="Consolas" w:hAnsi="Consolas" w:cs="Consolas"/>
      <w:sz w:val="20"/>
      <w:szCs w:val="20"/>
    </w:rPr>
  </w:style>
  <w:style w:type="paragraph" w:styleId="HTML-wstpniesformatowany">
    <w:name w:val="HTML Preformatted"/>
    <w:basedOn w:val="Normalny"/>
    <w:link w:val="HTML-wstpniesformatowanyZnak"/>
    <w:uiPriority w:val="98"/>
    <w:semiHidden/>
    <w:rsid w:val="009E426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E426D"/>
    <w:rPr>
      <w:rFonts w:ascii="Consolas" w:hAnsi="Consolas" w:cs="Consolas"/>
      <w:sz w:val="20"/>
      <w:szCs w:val="20"/>
      <w:lang w:val="en-GB"/>
    </w:rPr>
  </w:style>
  <w:style w:type="character" w:styleId="HTML-przykad">
    <w:name w:val="HTML Sample"/>
    <w:basedOn w:val="Domylnaczcionkaakapitu"/>
    <w:uiPriority w:val="98"/>
    <w:semiHidden/>
    <w:rsid w:val="009E426D"/>
    <w:rPr>
      <w:rFonts w:ascii="Consolas" w:hAnsi="Consolas" w:cs="Consolas"/>
      <w:sz w:val="24"/>
      <w:szCs w:val="24"/>
    </w:rPr>
  </w:style>
  <w:style w:type="character" w:styleId="HTML-staaszeroko">
    <w:name w:val="HTML Typewriter"/>
    <w:basedOn w:val="Domylnaczcionkaakapitu"/>
    <w:uiPriority w:val="98"/>
    <w:semiHidden/>
    <w:rsid w:val="009E426D"/>
    <w:rPr>
      <w:rFonts w:ascii="Consolas" w:hAnsi="Consolas" w:cs="Consolas"/>
      <w:sz w:val="20"/>
      <w:szCs w:val="20"/>
    </w:rPr>
  </w:style>
  <w:style w:type="character" w:styleId="HTML-zmienna">
    <w:name w:val="HTML Variable"/>
    <w:basedOn w:val="Domylnaczcionkaakapitu"/>
    <w:uiPriority w:val="98"/>
    <w:semiHidden/>
    <w:rsid w:val="009E426D"/>
    <w:rPr>
      <w:i/>
      <w:iCs/>
    </w:rPr>
  </w:style>
  <w:style w:type="paragraph" w:styleId="Indeks1">
    <w:name w:val="index 1"/>
    <w:basedOn w:val="Normalny"/>
    <w:next w:val="Normalny"/>
    <w:autoRedefine/>
    <w:uiPriority w:val="98"/>
    <w:semiHidden/>
    <w:rsid w:val="009E426D"/>
    <w:pPr>
      <w:ind w:left="240" w:hanging="240"/>
    </w:pPr>
  </w:style>
  <w:style w:type="paragraph" w:styleId="Indeks2">
    <w:name w:val="index 2"/>
    <w:basedOn w:val="Normalny"/>
    <w:next w:val="Normalny"/>
    <w:autoRedefine/>
    <w:uiPriority w:val="98"/>
    <w:semiHidden/>
    <w:rsid w:val="009E426D"/>
    <w:pPr>
      <w:ind w:left="480" w:hanging="240"/>
    </w:pPr>
  </w:style>
  <w:style w:type="paragraph" w:styleId="Indeks3">
    <w:name w:val="index 3"/>
    <w:basedOn w:val="Normalny"/>
    <w:next w:val="Normalny"/>
    <w:autoRedefine/>
    <w:uiPriority w:val="98"/>
    <w:semiHidden/>
    <w:rsid w:val="009E426D"/>
    <w:pPr>
      <w:ind w:left="720" w:hanging="240"/>
    </w:pPr>
  </w:style>
  <w:style w:type="paragraph" w:styleId="Indeks4">
    <w:name w:val="index 4"/>
    <w:basedOn w:val="Normalny"/>
    <w:next w:val="Normalny"/>
    <w:autoRedefine/>
    <w:uiPriority w:val="98"/>
    <w:semiHidden/>
    <w:rsid w:val="009E426D"/>
    <w:pPr>
      <w:ind w:left="960" w:hanging="240"/>
    </w:pPr>
  </w:style>
  <w:style w:type="paragraph" w:styleId="Indeks5">
    <w:name w:val="index 5"/>
    <w:basedOn w:val="Normalny"/>
    <w:next w:val="Normalny"/>
    <w:autoRedefine/>
    <w:uiPriority w:val="98"/>
    <w:semiHidden/>
    <w:rsid w:val="009E426D"/>
    <w:pPr>
      <w:ind w:left="1200" w:hanging="240"/>
    </w:pPr>
  </w:style>
  <w:style w:type="paragraph" w:styleId="Indeks6">
    <w:name w:val="index 6"/>
    <w:basedOn w:val="Normalny"/>
    <w:next w:val="Normalny"/>
    <w:autoRedefine/>
    <w:uiPriority w:val="98"/>
    <w:semiHidden/>
    <w:rsid w:val="009E426D"/>
    <w:pPr>
      <w:ind w:left="1440" w:hanging="240"/>
    </w:pPr>
  </w:style>
  <w:style w:type="paragraph" w:styleId="Indeks7">
    <w:name w:val="index 7"/>
    <w:basedOn w:val="Normalny"/>
    <w:next w:val="Normalny"/>
    <w:autoRedefine/>
    <w:uiPriority w:val="98"/>
    <w:semiHidden/>
    <w:rsid w:val="009E426D"/>
    <w:pPr>
      <w:ind w:left="1680" w:hanging="240"/>
    </w:pPr>
  </w:style>
  <w:style w:type="paragraph" w:styleId="Indeks8">
    <w:name w:val="index 8"/>
    <w:basedOn w:val="Normalny"/>
    <w:next w:val="Normalny"/>
    <w:autoRedefine/>
    <w:uiPriority w:val="98"/>
    <w:semiHidden/>
    <w:rsid w:val="009E426D"/>
    <w:pPr>
      <w:ind w:left="1920" w:hanging="240"/>
    </w:pPr>
  </w:style>
  <w:style w:type="paragraph" w:styleId="Indeks9">
    <w:name w:val="index 9"/>
    <w:basedOn w:val="Normalny"/>
    <w:next w:val="Normalny"/>
    <w:autoRedefine/>
    <w:uiPriority w:val="98"/>
    <w:semiHidden/>
    <w:rsid w:val="009E426D"/>
    <w:pPr>
      <w:ind w:left="2160" w:hanging="240"/>
    </w:pPr>
  </w:style>
  <w:style w:type="paragraph" w:styleId="Nagwekindeksu">
    <w:name w:val="index heading"/>
    <w:basedOn w:val="Normalny"/>
    <w:next w:val="Indeks1"/>
    <w:uiPriority w:val="98"/>
    <w:semiHidden/>
    <w:rsid w:val="009E426D"/>
    <w:rPr>
      <w:rFonts w:asciiTheme="majorHAnsi" w:eastAsiaTheme="majorEastAsia" w:hAnsiTheme="majorHAnsi" w:cstheme="majorBidi"/>
      <w:b/>
      <w:bCs/>
    </w:rPr>
  </w:style>
  <w:style w:type="table" w:styleId="Jasnasiatka">
    <w:name w:val="Light Grid"/>
    <w:basedOn w:val="Standardowy"/>
    <w:uiPriority w:val="62"/>
    <w:semiHidden/>
    <w:rsid w:val="009E42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E42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E42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E42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E42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E42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E42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E42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E42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E42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E42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E42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E42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E42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E426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E426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E426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E426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E426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E426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E426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E426D"/>
  </w:style>
  <w:style w:type="paragraph" w:styleId="Lista">
    <w:name w:val="List"/>
    <w:basedOn w:val="Normalny"/>
    <w:uiPriority w:val="98"/>
    <w:semiHidden/>
    <w:rsid w:val="009E426D"/>
    <w:pPr>
      <w:ind w:left="283" w:hanging="283"/>
      <w:contextualSpacing/>
    </w:pPr>
  </w:style>
  <w:style w:type="paragraph" w:styleId="Lista2">
    <w:name w:val="List 2"/>
    <w:basedOn w:val="Normalny"/>
    <w:uiPriority w:val="98"/>
    <w:semiHidden/>
    <w:rsid w:val="009E426D"/>
    <w:pPr>
      <w:ind w:left="566" w:hanging="283"/>
      <w:contextualSpacing/>
    </w:pPr>
  </w:style>
  <w:style w:type="paragraph" w:styleId="Lista3">
    <w:name w:val="List 3"/>
    <w:basedOn w:val="Normalny"/>
    <w:uiPriority w:val="98"/>
    <w:semiHidden/>
    <w:rsid w:val="009E426D"/>
    <w:pPr>
      <w:ind w:left="849" w:hanging="283"/>
      <w:contextualSpacing/>
    </w:pPr>
  </w:style>
  <w:style w:type="paragraph" w:styleId="Lista4">
    <w:name w:val="List 4"/>
    <w:basedOn w:val="Normalny"/>
    <w:uiPriority w:val="98"/>
    <w:semiHidden/>
    <w:rsid w:val="009E426D"/>
    <w:pPr>
      <w:ind w:left="1132" w:hanging="283"/>
      <w:contextualSpacing/>
    </w:pPr>
  </w:style>
  <w:style w:type="paragraph" w:styleId="Lista5">
    <w:name w:val="List 5"/>
    <w:basedOn w:val="Normalny"/>
    <w:uiPriority w:val="98"/>
    <w:semiHidden/>
    <w:rsid w:val="009E426D"/>
    <w:pPr>
      <w:ind w:left="1415" w:hanging="283"/>
      <w:contextualSpacing/>
    </w:pPr>
  </w:style>
  <w:style w:type="paragraph" w:styleId="Listapunktowana2">
    <w:name w:val="List Bullet 2"/>
    <w:basedOn w:val="Normalny"/>
    <w:uiPriority w:val="98"/>
    <w:semiHidden/>
    <w:rsid w:val="009E426D"/>
    <w:pPr>
      <w:numPr>
        <w:numId w:val="9"/>
      </w:numPr>
      <w:contextualSpacing/>
    </w:pPr>
  </w:style>
  <w:style w:type="paragraph" w:styleId="Listapunktowana4">
    <w:name w:val="List Bullet 4"/>
    <w:basedOn w:val="Normalny"/>
    <w:uiPriority w:val="98"/>
    <w:semiHidden/>
    <w:rsid w:val="009E426D"/>
    <w:pPr>
      <w:numPr>
        <w:numId w:val="11"/>
      </w:numPr>
      <w:contextualSpacing/>
    </w:pPr>
  </w:style>
  <w:style w:type="paragraph" w:styleId="Listapunktowana5">
    <w:name w:val="List Bullet 5"/>
    <w:basedOn w:val="Normalny"/>
    <w:uiPriority w:val="98"/>
    <w:semiHidden/>
    <w:rsid w:val="009E426D"/>
    <w:pPr>
      <w:numPr>
        <w:numId w:val="12"/>
      </w:numPr>
      <w:contextualSpacing/>
    </w:pPr>
  </w:style>
  <w:style w:type="paragraph" w:styleId="Lista-kontynuacja">
    <w:name w:val="List Continue"/>
    <w:basedOn w:val="Normalny"/>
    <w:uiPriority w:val="98"/>
    <w:semiHidden/>
    <w:rsid w:val="009E426D"/>
    <w:pPr>
      <w:spacing w:after="120"/>
      <w:ind w:left="283"/>
      <w:contextualSpacing/>
    </w:pPr>
  </w:style>
  <w:style w:type="paragraph" w:styleId="Lista-kontynuacja2">
    <w:name w:val="List Continue 2"/>
    <w:basedOn w:val="Normalny"/>
    <w:uiPriority w:val="98"/>
    <w:semiHidden/>
    <w:rsid w:val="009E426D"/>
    <w:pPr>
      <w:spacing w:after="120"/>
      <w:ind w:left="566"/>
      <w:contextualSpacing/>
    </w:pPr>
  </w:style>
  <w:style w:type="paragraph" w:styleId="Lista-kontynuacja3">
    <w:name w:val="List Continue 3"/>
    <w:basedOn w:val="Normalny"/>
    <w:uiPriority w:val="98"/>
    <w:semiHidden/>
    <w:rsid w:val="009E426D"/>
    <w:pPr>
      <w:spacing w:after="120"/>
      <w:ind w:left="849"/>
      <w:contextualSpacing/>
    </w:pPr>
  </w:style>
  <w:style w:type="paragraph" w:styleId="Lista-kontynuacja4">
    <w:name w:val="List Continue 4"/>
    <w:basedOn w:val="Normalny"/>
    <w:uiPriority w:val="98"/>
    <w:semiHidden/>
    <w:rsid w:val="009E426D"/>
    <w:pPr>
      <w:spacing w:after="120"/>
      <w:ind w:left="1132"/>
      <w:contextualSpacing/>
    </w:pPr>
  </w:style>
  <w:style w:type="paragraph" w:styleId="Lista-kontynuacja5">
    <w:name w:val="List Continue 5"/>
    <w:basedOn w:val="Normalny"/>
    <w:uiPriority w:val="98"/>
    <w:semiHidden/>
    <w:rsid w:val="009E426D"/>
    <w:pPr>
      <w:spacing w:after="120"/>
      <w:ind w:left="1415"/>
      <w:contextualSpacing/>
    </w:pPr>
  </w:style>
  <w:style w:type="paragraph" w:styleId="Listanumerowana">
    <w:name w:val="List Number"/>
    <w:basedOn w:val="Normalny"/>
    <w:uiPriority w:val="98"/>
    <w:semiHidden/>
    <w:rsid w:val="009E426D"/>
    <w:pPr>
      <w:numPr>
        <w:numId w:val="13"/>
      </w:numPr>
      <w:contextualSpacing/>
    </w:pPr>
  </w:style>
  <w:style w:type="paragraph" w:styleId="Listanumerowana2">
    <w:name w:val="List Number 2"/>
    <w:basedOn w:val="Normalny"/>
    <w:uiPriority w:val="98"/>
    <w:semiHidden/>
    <w:rsid w:val="009E426D"/>
    <w:pPr>
      <w:numPr>
        <w:numId w:val="14"/>
      </w:numPr>
      <w:contextualSpacing/>
    </w:pPr>
  </w:style>
  <w:style w:type="paragraph" w:styleId="Listanumerowana3">
    <w:name w:val="List Number 3"/>
    <w:basedOn w:val="Normalny"/>
    <w:uiPriority w:val="98"/>
    <w:semiHidden/>
    <w:rsid w:val="009E426D"/>
    <w:pPr>
      <w:numPr>
        <w:numId w:val="15"/>
      </w:numPr>
      <w:contextualSpacing/>
    </w:pPr>
  </w:style>
  <w:style w:type="paragraph" w:styleId="Listanumerowana4">
    <w:name w:val="List Number 4"/>
    <w:basedOn w:val="Normalny"/>
    <w:uiPriority w:val="98"/>
    <w:semiHidden/>
    <w:rsid w:val="009E426D"/>
    <w:pPr>
      <w:numPr>
        <w:numId w:val="16"/>
      </w:numPr>
      <w:contextualSpacing/>
    </w:pPr>
  </w:style>
  <w:style w:type="paragraph" w:styleId="Listanumerowana5">
    <w:name w:val="List Number 5"/>
    <w:basedOn w:val="Normalny"/>
    <w:uiPriority w:val="98"/>
    <w:semiHidden/>
    <w:rsid w:val="009E426D"/>
    <w:pPr>
      <w:numPr>
        <w:numId w:val="17"/>
      </w:numPr>
      <w:contextualSpacing/>
    </w:pPr>
  </w:style>
  <w:style w:type="paragraph" w:styleId="Tekstmakra">
    <w:name w:val="macro"/>
    <w:link w:val="TekstmakraZnak"/>
    <w:uiPriority w:val="98"/>
    <w:semiHidden/>
    <w:rsid w:val="009E426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E426D"/>
    <w:rPr>
      <w:rFonts w:ascii="Consolas" w:eastAsiaTheme="minorEastAsia" w:hAnsi="Consolas" w:cs="Consolas"/>
      <w:sz w:val="20"/>
      <w:szCs w:val="20"/>
    </w:rPr>
  </w:style>
  <w:style w:type="table" w:styleId="redniasiatka1">
    <w:name w:val="Medium Grid 1"/>
    <w:basedOn w:val="Standardowy"/>
    <w:uiPriority w:val="67"/>
    <w:semiHidden/>
    <w:rsid w:val="009E42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E42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E42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E42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E42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E42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E42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E426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E426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E426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E426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E426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E426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E426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E42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E42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E42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E42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E42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E42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E42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E426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E426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9E426D"/>
    <w:rPr>
      <w:rFonts w:ascii="Times New Roman" w:hAnsi="Times New Roman" w:cs="Times New Roman"/>
    </w:rPr>
  </w:style>
  <w:style w:type="paragraph" w:styleId="Wcicienormalne">
    <w:name w:val="Normal Indent"/>
    <w:basedOn w:val="Normalny"/>
    <w:uiPriority w:val="98"/>
    <w:semiHidden/>
    <w:rsid w:val="009E426D"/>
    <w:pPr>
      <w:ind w:left="720"/>
    </w:pPr>
  </w:style>
  <w:style w:type="paragraph" w:styleId="Nagweknotatki">
    <w:name w:val="Note Heading"/>
    <w:basedOn w:val="Normalny"/>
    <w:next w:val="Normalny"/>
    <w:link w:val="NagweknotatkiZnak"/>
    <w:uiPriority w:val="98"/>
    <w:semiHidden/>
    <w:rsid w:val="009E426D"/>
  </w:style>
  <w:style w:type="character" w:customStyle="1" w:styleId="NagweknotatkiZnak">
    <w:name w:val="Nagłówek notatki Znak"/>
    <w:basedOn w:val="Domylnaczcionkaakapitu"/>
    <w:link w:val="Nagweknotatki"/>
    <w:uiPriority w:val="98"/>
    <w:semiHidden/>
    <w:rsid w:val="009E426D"/>
    <w:rPr>
      <w:sz w:val="24"/>
      <w:szCs w:val="24"/>
      <w:lang w:val="en-GB"/>
    </w:rPr>
  </w:style>
  <w:style w:type="character" w:styleId="Tekstzastpczy">
    <w:name w:val="Placeholder Text"/>
    <w:basedOn w:val="Domylnaczcionkaakapitu"/>
    <w:uiPriority w:val="98"/>
    <w:semiHidden/>
    <w:rsid w:val="009E426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E426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E426D"/>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9E426D"/>
  </w:style>
  <w:style w:type="character" w:customStyle="1" w:styleId="ZwrotgrzecznociowyZnak">
    <w:name w:val="Zwrot grzecznościowy Znak"/>
    <w:basedOn w:val="Domylnaczcionkaakapitu"/>
    <w:link w:val="Zwrotgrzecznociowy"/>
    <w:uiPriority w:val="98"/>
    <w:semiHidden/>
    <w:rsid w:val="009E426D"/>
    <w:rPr>
      <w:sz w:val="24"/>
      <w:szCs w:val="24"/>
      <w:lang w:val="en-GB"/>
    </w:rPr>
  </w:style>
  <w:style w:type="paragraph" w:styleId="Podpis">
    <w:name w:val="Signature"/>
    <w:basedOn w:val="Normalny"/>
    <w:link w:val="PodpisZnak"/>
    <w:uiPriority w:val="98"/>
    <w:semiHidden/>
    <w:rsid w:val="009E426D"/>
    <w:pPr>
      <w:ind w:left="4252"/>
    </w:pPr>
  </w:style>
  <w:style w:type="character" w:customStyle="1" w:styleId="PodpisZnak">
    <w:name w:val="Podpis Znak"/>
    <w:basedOn w:val="Domylnaczcionkaakapitu"/>
    <w:link w:val="Podpis"/>
    <w:uiPriority w:val="98"/>
    <w:semiHidden/>
    <w:rsid w:val="009E426D"/>
    <w:rPr>
      <w:sz w:val="24"/>
      <w:szCs w:val="24"/>
      <w:lang w:val="en-GB"/>
    </w:rPr>
  </w:style>
  <w:style w:type="table" w:styleId="Tabela-Efekty3W1">
    <w:name w:val="Table 3D effects 1"/>
    <w:basedOn w:val="Standardowy"/>
    <w:uiPriority w:val="99"/>
    <w:semiHidden/>
    <w:unhideWhenUsed/>
    <w:rsid w:val="009E426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E426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E426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E426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E426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E426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E426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E426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E426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E426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E426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E426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E426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E426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E426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E426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E426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E426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E426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E426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E426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E426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E426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E426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E426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E42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E426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E42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E426D"/>
    <w:pPr>
      <w:ind w:left="240" w:hanging="240"/>
    </w:pPr>
  </w:style>
  <w:style w:type="paragraph" w:styleId="Spisilustracji">
    <w:name w:val="table of figures"/>
    <w:basedOn w:val="Normalny"/>
    <w:next w:val="Normalny"/>
    <w:uiPriority w:val="98"/>
    <w:semiHidden/>
    <w:rsid w:val="009E426D"/>
  </w:style>
  <w:style w:type="table" w:styleId="Tabela-Profesjonalny">
    <w:name w:val="Table Professional"/>
    <w:basedOn w:val="Standardowy"/>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E426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E426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E426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E426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E426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E426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E426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E426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E42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E42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E426D"/>
    <w:pPr>
      <w:spacing w:after="100"/>
      <w:ind w:left="1680"/>
    </w:pPr>
  </w:style>
  <w:style w:type="paragraph" w:styleId="Spistreci9">
    <w:name w:val="toc 9"/>
    <w:basedOn w:val="Normalny"/>
    <w:next w:val="Normalny"/>
    <w:autoRedefine/>
    <w:uiPriority w:val="98"/>
    <w:semiHidden/>
    <w:rsid w:val="009E426D"/>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E426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E426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E426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E426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E426D"/>
    <w:pPr>
      <w:numPr>
        <w:numId w:val="5"/>
      </w:numPr>
      <w:spacing w:before="60" w:after="60"/>
    </w:pPr>
  </w:style>
  <w:style w:type="paragraph" w:customStyle="1" w:styleId="ECHRBullet2">
    <w:name w:val="ECHR_Bullet_2"/>
    <w:aliases w:val="_Bul_2"/>
    <w:basedOn w:val="ECHRBullet1"/>
    <w:uiPriority w:val="23"/>
    <w:semiHidden/>
    <w:rsid w:val="009E426D"/>
    <w:pPr>
      <w:numPr>
        <w:ilvl w:val="1"/>
      </w:numPr>
    </w:pPr>
  </w:style>
  <w:style w:type="paragraph" w:customStyle="1" w:styleId="ECHRBullet3">
    <w:name w:val="ECHR_Bullet_3"/>
    <w:aliases w:val="_Bul_3"/>
    <w:basedOn w:val="ECHRBullet2"/>
    <w:uiPriority w:val="23"/>
    <w:semiHidden/>
    <w:rsid w:val="009E426D"/>
    <w:pPr>
      <w:numPr>
        <w:ilvl w:val="2"/>
      </w:numPr>
    </w:pPr>
  </w:style>
  <w:style w:type="paragraph" w:customStyle="1" w:styleId="ECHRBullet4">
    <w:name w:val="ECHR_Bullet_4"/>
    <w:aliases w:val="_Bul_4"/>
    <w:basedOn w:val="ECHRBullet3"/>
    <w:uiPriority w:val="23"/>
    <w:semiHidden/>
    <w:rsid w:val="009E426D"/>
    <w:pPr>
      <w:numPr>
        <w:ilvl w:val="3"/>
      </w:numPr>
    </w:pPr>
  </w:style>
  <w:style w:type="paragraph" w:customStyle="1" w:styleId="ECHRConfidential">
    <w:name w:val="ECHR_Confidential"/>
    <w:aliases w:val="_Confidential"/>
    <w:basedOn w:val="Normalny"/>
    <w:next w:val="Normalny"/>
    <w:uiPriority w:val="42"/>
    <w:semiHidden/>
    <w:qFormat/>
    <w:rsid w:val="009E426D"/>
    <w:pPr>
      <w:jc w:val="right"/>
    </w:pPr>
    <w:rPr>
      <w:color w:val="C00000"/>
      <w:sz w:val="20"/>
    </w:rPr>
  </w:style>
  <w:style w:type="paragraph" w:customStyle="1" w:styleId="ECHRDecisionBody">
    <w:name w:val="ECHR_Decision_Body"/>
    <w:aliases w:val="_Decision_Body"/>
    <w:basedOn w:val="NormalJustified"/>
    <w:uiPriority w:val="54"/>
    <w:semiHidden/>
    <w:rsid w:val="009E426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E426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E426D"/>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9E426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E426D"/>
    <w:pPr>
      <w:jc w:val="right"/>
    </w:pPr>
    <w:rPr>
      <w:sz w:val="20"/>
    </w:rPr>
  </w:style>
  <w:style w:type="paragraph" w:customStyle="1" w:styleId="ECHRHeaderRefIt">
    <w:name w:val="ECHR_Header_Ref_It"/>
    <w:aliases w:val="_Ref_Ital"/>
    <w:basedOn w:val="Normalny"/>
    <w:next w:val="ECHRHeaderDate"/>
    <w:uiPriority w:val="43"/>
    <w:qFormat/>
    <w:rsid w:val="009E426D"/>
    <w:pPr>
      <w:jc w:val="right"/>
    </w:pPr>
    <w:rPr>
      <w:i/>
      <w:sz w:val="20"/>
    </w:rPr>
  </w:style>
  <w:style w:type="paragraph" w:customStyle="1" w:styleId="ECHRHeading9">
    <w:name w:val="ECHR_Heading_9"/>
    <w:aliases w:val="_Head_9"/>
    <w:basedOn w:val="Nagwek9"/>
    <w:uiPriority w:val="17"/>
    <w:semiHidden/>
    <w:rsid w:val="009E426D"/>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E426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E426D"/>
    <w:pPr>
      <w:numPr>
        <w:numId w:val="7"/>
      </w:numPr>
      <w:spacing w:before="60" w:after="60"/>
    </w:pPr>
  </w:style>
  <w:style w:type="paragraph" w:customStyle="1" w:styleId="ECHRNumberedList2">
    <w:name w:val="ECHR_Numbered_List_2"/>
    <w:aliases w:val="_Num_2"/>
    <w:basedOn w:val="ECHRNumberedList1"/>
    <w:uiPriority w:val="23"/>
    <w:semiHidden/>
    <w:rsid w:val="009E426D"/>
    <w:pPr>
      <w:numPr>
        <w:ilvl w:val="1"/>
      </w:numPr>
    </w:pPr>
  </w:style>
  <w:style w:type="paragraph" w:customStyle="1" w:styleId="ECHRNumberedList3">
    <w:name w:val="ECHR_Numbered_List_3"/>
    <w:aliases w:val="_Num_3"/>
    <w:basedOn w:val="ECHRNumberedList2"/>
    <w:uiPriority w:val="23"/>
    <w:semiHidden/>
    <w:rsid w:val="009E426D"/>
    <w:pPr>
      <w:numPr>
        <w:ilvl w:val="2"/>
      </w:numPr>
    </w:pPr>
  </w:style>
  <w:style w:type="paragraph" w:customStyle="1" w:styleId="ECHRParaHanging">
    <w:name w:val="ECHR_Para_Hanging"/>
    <w:aliases w:val="_Hanging"/>
    <w:basedOn w:val="Normalny"/>
    <w:uiPriority w:val="8"/>
    <w:semiHidden/>
    <w:qFormat/>
    <w:rsid w:val="009E426D"/>
    <w:pPr>
      <w:ind w:left="567" w:hanging="567"/>
      <w:jc w:val="both"/>
    </w:pPr>
  </w:style>
  <w:style w:type="paragraph" w:customStyle="1" w:styleId="ECHRParaIndent">
    <w:name w:val="ECHR_Para_Indent"/>
    <w:aliases w:val="_Indent"/>
    <w:basedOn w:val="Normalny"/>
    <w:uiPriority w:val="7"/>
    <w:semiHidden/>
    <w:qFormat/>
    <w:rsid w:val="009E426D"/>
    <w:pPr>
      <w:spacing w:before="120" w:after="120"/>
      <w:ind w:left="284"/>
      <w:jc w:val="both"/>
    </w:pPr>
  </w:style>
  <w:style w:type="character" w:customStyle="1" w:styleId="ECHRRed">
    <w:name w:val="ECHR_Red"/>
    <w:aliases w:val="_Red"/>
    <w:basedOn w:val="Domylnaczcionkaakapitu"/>
    <w:uiPriority w:val="15"/>
    <w:semiHidden/>
    <w:qFormat/>
    <w:rsid w:val="009E426D"/>
    <w:rPr>
      <w:color w:val="C00000" w:themeColor="accent2"/>
    </w:rPr>
  </w:style>
  <w:style w:type="paragraph" w:customStyle="1" w:styleId="DecList">
    <w:name w:val="Dec_List"/>
    <w:aliases w:val="_List"/>
    <w:basedOn w:val="JuList"/>
    <w:uiPriority w:val="22"/>
    <w:rsid w:val="009E426D"/>
    <w:pPr>
      <w:numPr>
        <w:numId w:val="0"/>
      </w:numPr>
      <w:ind w:left="284"/>
    </w:pPr>
  </w:style>
  <w:style w:type="table" w:customStyle="1" w:styleId="ECHRTable2">
    <w:name w:val="ECHR_Table_2"/>
    <w:basedOn w:val="Standardowy"/>
    <w:uiPriority w:val="99"/>
    <w:rsid w:val="009E426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E42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E426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E426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E426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E426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E426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E426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E426D"/>
    <w:pPr>
      <w:outlineLvl w:val="0"/>
    </w:pPr>
  </w:style>
  <w:style w:type="paragraph" w:customStyle="1" w:styleId="ECHRTitleTOC1">
    <w:name w:val="ECHR_Title_TOC_1"/>
    <w:aliases w:val="_Title_L_TOC"/>
    <w:basedOn w:val="ECHRTitle1"/>
    <w:next w:val="Normalny"/>
    <w:uiPriority w:val="27"/>
    <w:semiHidden/>
    <w:qFormat/>
    <w:rsid w:val="009E426D"/>
    <w:pPr>
      <w:outlineLvl w:val="0"/>
    </w:pPr>
  </w:style>
  <w:style w:type="paragraph" w:customStyle="1" w:styleId="ECHRPlaceholder">
    <w:name w:val="ECHR_Placeholder"/>
    <w:aliases w:val="_Placeholder"/>
    <w:basedOn w:val="JuSigned"/>
    <w:uiPriority w:val="31"/>
    <w:rsid w:val="009E426D"/>
    <w:rPr>
      <w:color w:val="FFFFFF"/>
    </w:rPr>
  </w:style>
  <w:style w:type="paragraph" w:customStyle="1" w:styleId="ECHRSpacer">
    <w:name w:val="ECHR_Spacer"/>
    <w:aliases w:val="_Spacer"/>
    <w:basedOn w:val="Normalny"/>
    <w:uiPriority w:val="45"/>
    <w:semiHidden/>
    <w:rsid w:val="009E426D"/>
    <w:rPr>
      <w:sz w:val="4"/>
    </w:rPr>
  </w:style>
  <w:style w:type="table" w:customStyle="1" w:styleId="ECHRTableGrey">
    <w:name w:val="ECHR_Table_Grey"/>
    <w:basedOn w:val="Standardowy"/>
    <w:uiPriority w:val="99"/>
    <w:rsid w:val="009E426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Tabelasiatki1jasnaakcent11">
    <w:name w:val="Tabela siatki 1 — jasna — akcent 11"/>
    <w:basedOn w:val="Standardowy"/>
    <w:uiPriority w:val="46"/>
    <w:semiHidden/>
    <w:rsid w:val="0044705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AD53A3"/>
    <w:rPr>
      <w:sz w:val="24"/>
      <w:szCs w:val="24"/>
      <w:lang w:val="en-GB"/>
    </w:rPr>
  </w:style>
  <w:style w:type="character" w:customStyle="1" w:styleId="JuNames0">
    <w:name w:val="Ju_Names"/>
    <w:rsid w:val="00AD53A3"/>
    <w:rPr>
      <w:smallCaps/>
    </w:rPr>
  </w:style>
  <w:style w:type="paragraph" w:customStyle="1" w:styleId="JuList4">
    <w:name w:val="Ju_List_4"/>
    <w:aliases w:val="N_Bul_4"/>
    <w:basedOn w:val="JuListi"/>
    <w:uiPriority w:val="19"/>
    <w:rsid w:val="00AD53A3"/>
    <w:pPr>
      <w:numPr>
        <w:ilvl w:val="0"/>
        <w:numId w:val="0"/>
      </w:numPr>
      <w:tabs>
        <w:tab w:val="num" w:pos="1701"/>
      </w:tabs>
      <w:spacing w:before="60" w:after="60" w:line="240" w:lineRule="exact"/>
      <w:ind w:left="1703" w:hanging="284"/>
      <w:contextualSpacing/>
    </w:pPr>
    <w:rPr>
      <w:sz w:val="22"/>
      <w:lang w:val="fr-FR" w:eastAsia="fr-FR"/>
    </w:rPr>
  </w:style>
  <w:style w:type="paragraph" w:customStyle="1" w:styleId="JuQuotSub">
    <w:name w:val="Ju_Quot_Sub"/>
    <w:basedOn w:val="JuQuot"/>
    <w:uiPriority w:val="15"/>
    <w:qFormat/>
    <w:rsid w:val="00AD53A3"/>
    <w:pPr>
      <w:ind w:left="567"/>
    </w:pPr>
    <w:rPr>
      <w:rFonts w:eastAsiaTheme="minorEastAsia"/>
      <w:szCs w:val="22"/>
    </w:rPr>
  </w:style>
  <w:style w:type="paragraph" w:styleId="Poprawka">
    <w:name w:val="Revision"/>
    <w:hidden/>
    <w:uiPriority w:val="99"/>
    <w:semiHidden/>
    <w:rsid w:val="00AD53A3"/>
    <w:rPr>
      <w:sz w:val="24"/>
      <w:szCs w:val="24"/>
      <w:lang w:val="en-GB"/>
    </w:rPr>
  </w:style>
  <w:style w:type="table" w:customStyle="1" w:styleId="Tabelasiatki1jasnaakcent21">
    <w:name w:val="Tabela siatki 1 — jasna — akcent 21"/>
    <w:basedOn w:val="Standardowy"/>
    <w:uiPriority w:val="46"/>
    <w:semiHidden/>
    <w:rsid w:val="0044705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44705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44705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44705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44705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44705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44705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44705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44705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44705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44705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44705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4470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4470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4470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4470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4470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4470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4470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4470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4470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4470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4470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4470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4470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4470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47053"/>
    <w:rPr>
      <w:color w:val="2B579A"/>
      <w:shd w:val="clear" w:color="auto" w:fill="E1DFDD"/>
    </w:rPr>
  </w:style>
  <w:style w:type="table" w:customStyle="1" w:styleId="Tabelalisty1jasna1">
    <w:name w:val="Tabela listy 1 — jasna1"/>
    <w:basedOn w:val="Standardowy"/>
    <w:uiPriority w:val="46"/>
    <w:semiHidden/>
    <w:rsid w:val="0044705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44705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44705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44705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44705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44705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44705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44705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44705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44705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44705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44705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44705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44705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4470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44705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44705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44705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44705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44705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44705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44705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44705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44705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44705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44705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44705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44705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44705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44705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44705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44705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44705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44705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44705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44705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44705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44705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44705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44705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44705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44705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47053"/>
    <w:rPr>
      <w:color w:val="2B579A"/>
      <w:shd w:val="clear" w:color="auto" w:fill="E1DFDD"/>
    </w:rPr>
  </w:style>
  <w:style w:type="table" w:customStyle="1" w:styleId="Zwykatabela11">
    <w:name w:val="Zwykła tabela 11"/>
    <w:basedOn w:val="Standardowy"/>
    <w:uiPriority w:val="41"/>
    <w:semiHidden/>
    <w:rsid w:val="0044705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4470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4470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4470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44705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47053"/>
    <w:rPr>
      <w:u w:val="dotted"/>
    </w:rPr>
  </w:style>
  <w:style w:type="character" w:customStyle="1" w:styleId="Inteligentnylink1">
    <w:name w:val="Inteligentny link1"/>
    <w:basedOn w:val="Domylnaczcionkaakapitu"/>
    <w:uiPriority w:val="99"/>
    <w:semiHidden/>
    <w:unhideWhenUsed/>
    <w:rsid w:val="00447053"/>
    <w:rPr>
      <w:color w:val="0000FF"/>
      <w:u w:val="single"/>
      <w:shd w:val="clear" w:color="auto" w:fill="F3F2F1"/>
    </w:rPr>
  </w:style>
  <w:style w:type="table" w:customStyle="1" w:styleId="Siatkatabelijasna1">
    <w:name w:val="Siatka tabeli — jasna1"/>
    <w:basedOn w:val="Standardowy"/>
    <w:uiPriority w:val="40"/>
    <w:semiHidden/>
    <w:rsid w:val="0044705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447053"/>
    <w:rPr>
      <w:color w:val="605E5C"/>
      <w:shd w:val="clear" w:color="auto" w:fill="E1DFDD"/>
    </w:rPr>
  </w:style>
  <w:style w:type="paragraph" w:customStyle="1" w:styleId="DummyStyle">
    <w:name w:val="Dummy_Style"/>
    <w:aliases w:val="_Dummy"/>
    <w:basedOn w:val="Normalny"/>
    <w:semiHidden/>
    <w:qFormat/>
    <w:rsid w:val="009E426D"/>
    <w:rPr>
      <w:color w:val="00B050"/>
      <w:sz w:val="22"/>
    </w:rPr>
  </w:style>
  <w:style w:type="paragraph" w:customStyle="1" w:styleId="jucase0">
    <w:name w:val="jucase"/>
    <w:basedOn w:val="Normalny"/>
    <w:rsid w:val="00AA0D5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EF5A8-AA7D-4A56-85E8-367AA83D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5297</Words>
  <Characters>31786</Characters>
  <Application>Microsoft Office Word</Application>
  <DocSecurity>0</DocSecurity>
  <Lines>264</Lines>
  <Paragraphs>74</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2022-07-19T14:59:00Z</dcterms:created>
  <dcterms:modified xsi:type="dcterms:W3CDTF">2022-07-19T14:59:00Z</dcterms:modified>
  <cp:category/>
</cp:coreProperties>
</file>