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13" w:rsidRPr="00102F13" w:rsidRDefault="00102F13" w:rsidP="00102F13">
      <w:pPr>
        <w:spacing w:after="0" w:line="256" w:lineRule="auto"/>
        <w:ind w:right="-14"/>
        <w:jc w:val="center"/>
        <w:rPr>
          <w:rFonts w:ascii="Times New Roman" w:hAnsi="Times New Roman" w:cs="Times New Roman"/>
          <w:sz w:val="20"/>
          <w:szCs w:val="24"/>
          <w:lang w:val="en-GB"/>
        </w:rPr>
      </w:pPr>
      <w:r w:rsidRPr="00102F13">
        <w:rPr>
          <w:rFonts w:ascii="Times New Roman" w:hAnsi="Times New Roman" w:cs="Times New Roman"/>
          <w:sz w:val="20"/>
          <w:szCs w:val="24"/>
          <w:lang w:val="en-GB"/>
        </w:rPr>
        <w:t xml:space="preserve">© Ministerstwo Spraw Wewnętrznych i </w:t>
      </w:r>
      <w:proofErr w:type="spellStart"/>
      <w:r w:rsidRPr="006D77DF">
        <w:rPr>
          <w:rFonts w:ascii="Times New Roman" w:hAnsi="Times New Roman" w:cs="Times New Roman"/>
          <w:sz w:val="20"/>
          <w:szCs w:val="24"/>
          <w:lang w:val="en-US"/>
        </w:rPr>
        <w:t>Administracji</w:t>
      </w:r>
      <w:proofErr w:type="spellEnd"/>
    </w:p>
    <w:p w:rsidR="00102F13" w:rsidRPr="00102F13" w:rsidRDefault="00102F13" w:rsidP="00102F13">
      <w:pPr>
        <w:spacing w:after="0" w:line="256" w:lineRule="auto"/>
        <w:ind w:right="-14"/>
        <w:jc w:val="center"/>
        <w:rPr>
          <w:rFonts w:ascii="Times New Roman" w:hAnsi="Times New Roman" w:cs="Times New Roman"/>
          <w:sz w:val="20"/>
          <w:szCs w:val="24"/>
          <w:lang w:val="en-GB"/>
        </w:rPr>
      </w:pPr>
      <w:r w:rsidRPr="00102F13">
        <w:rPr>
          <w:rFonts w:ascii="Times New Roman" w:hAnsi="Times New Roman" w:cs="Times New Roman"/>
          <w:sz w:val="20"/>
          <w:szCs w:val="24"/>
          <w:lang w:val="en-GB"/>
        </w:rPr>
        <w:t xml:space="preserve">© Copyright for the Polish translation </w:t>
      </w:r>
    </w:p>
    <w:p w:rsidR="00102F13" w:rsidRPr="00102F13" w:rsidRDefault="00102F13" w:rsidP="00102F13">
      <w:pPr>
        <w:spacing w:after="0" w:line="256" w:lineRule="auto"/>
        <w:ind w:right="-14"/>
        <w:jc w:val="center"/>
        <w:rPr>
          <w:rFonts w:ascii="Times New Roman" w:hAnsi="Times New Roman" w:cs="Times New Roman"/>
          <w:sz w:val="20"/>
          <w:szCs w:val="24"/>
          <w:lang w:val="en-GB"/>
        </w:rPr>
      </w:pPr>
      <w:r w:rsidRPr="00102F13">
        <w:rPr>
          <w:rFonts w:ascii="Times New Roman" w:hAnsi="Times New Roman" w:cs="Times New Roman"/>
          <w:sz w:val="20"/>
          <w:szCs w:val="24"/>
          <w:lang w:val="en-GB"/>
        </w:rPr>
        <w:t xml:space="preserve">by the Polish Ministry of the Interior and Administration, </w:t>
      </w:r>
    </w:p>
    <w:p w:rsidR="00102F13" w:rsidRDefault="00102F13" w:rsidP="00102F13">
      <w:pPr>
        <w:spacing w:after="120" w:line="256" w:lineRule="auto"/>
        <w:ind w:right="-14"/>
        <w:jc w:val="center"/>
        <w:rPr>
          <w:rFonts w:ascii="Times New Roman" w:hAnsi="Times New Roman" w:cs="Times New Roman"/>
          <w:sz w:val="20"/>
          <w:szCs w:val="24"/>
        </w:rPr>
      </w:pPr>
      <w:r w:rsidRPr="00102F13">
        <w:rPr>
          <w:rFonts w:ascii="Times New Roman" w:hAnsi="Times New Roman" w:cs="Times New Roman"/>
          <w:sz w:val="20"/>
          <w:szCs w:val="24"/>
        </w:rPr>
        <w:t>Warszawa, 202</w:t>
      </w:r>
      <w:r>
        <w:rPr>
          <w:rFonts w:ascii="Times New Roman" w:hAnsi="Times New Roman" w:cs="Times New Roman"/>
          <w:sz w:val="20"/>
          <w:szCs w:val="24"/>
        </w:rPr>
        <w:t>1</w:t>
      </w:r>
      <w:r w:rsidRPr="00102F13">
        <w:rPr>
          <w:rFonts w:ascii="Times New Roman" w:hAnsi="Times New Roman" w:cs="Times New Roman"/>
          <w:sz w:val="20"/>
          <w:szCs w:val="24"/>
        </w:rPr>
        <w:t xml:space="preserve"> r.</w:t>
      </w:r>
    </w:p>
    <w:p w:rsidR="00102F13" w:rsidRPr="00102F13" w:rsidRDefault="00102F13" w:rsidP="00102F13">
      <w:pPr>
        <w:spacing w:after="120" w:line="256" w:lineRule="auto"/>
        <w:ind w:right="-14"/>
        <w:jc w:val="center"/>
        <w:rPr>
          <w:rFonts w:ascii="Times New Roman" w:hAnsi="Times New Roman" w:cs="Times New Roman"/>
          <w:sz w:val="24"/>
          <w:szCs w:val="24"/>
        </w:rPr>
      </w:pPr>
    </w:p>
    <w:p w:rsidR="00B07171" w:rsidRPr="008C4280" w:rsidRDefault="00B07171" w:rsidP="001B44BA">
      <w:pPr>
        <w:pStyle w:val="DecHCase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EUROPEJSKI TRYBUNAŁ PRAW CZŁOWIEKA</w:t>
      </w:r>
    </w:p>
    <w:p w:rsidR="00DE5497" w:rsidRPr="008C4280" w:rsidRDefault="00851E46" w:rsidP="004044D5">
      <w:pPr>
        <w:pStyle w:val="DecHCase"/>
        <w:spacing w:after="24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 xml:space="preserve"> </w:t>
      </w:r>
      <w:r w:rsidR="00DE5497" w:rsidRPr="008C4280">
        <w:rPr>
          <w:rFonts w:eastAsia="Calibri"/>
          <w:lang w:val="pl-PL"/>
        </w:rPr>
        <w:t>PIERWSZA SEKCJA</w:t>
      </w:r>
    </w:p>
    <w:p w:rsidR="00DE5497" w:rsidRDefault="001B44BA" w:rsidP="004044D5">
      <w:pPr>
        <w:pStyle w:val="JuTitle"/>
        <w:spacing w:before="600"/>
        <w:rPr>
          <w:rFonts w:eastAsia="Calibri"/>
          <w:color w:val="000000"/>
          <w:lang w:val="pl-PL"/>
        </w:rPr>
      </w:pPr>
      <w:bookmarkStart w:id="0" w:name="To"/>
      <w:r w:rsidRPr="008C4280">
        <w:rPr>
          <w:rFonts w:eastAsia="Calibri"/>
          <w:color w:val="000000"/>
          <w:lang w:val="pl-PL"/>
        </w:rPr>
        <w:t xml:space="preserve">Sprawa </w:t>
      </w:r>
      <w:bookmarkEnd w:id="0"/>
      <w:r w:rsidR="00DE5497" w:rsidRPr="008C4280">
        <w:rPr>
          <w:rFonts w:eastAsia="Calibri"/>
          <w:color w:val="000000"/>
          <w:lang w:val="pl-PL"/>
        </w:rPr>
        <w:t xml:space="preserve">D.A. i </w:t>
      </w:r>
      <w:r w:rsidR="00203109" w:rsidRPr="008C4280">
        <w:rPr>
          <w:rFonts w:eastAsia="Calibri"/>
          <w:color w:val="000000"/>
          <w:lang w:val="pl-PL"/>
        </w:rPr>
        <w:t xml:space="preserve">Inni </w:t>
      </w:r>
      <w:r w:rsidR="00DE5497" w:rsidRPr="008C4280">
        <w:rPr>
          <w:rFonts w:eastAsia="Calibri"/>
          <w:color w:val="000000"/>
          <w:lang w:val="pl-PL"/>
        </w:rPr>
        <w:t>przeciwko Polsce</w:t>
      </w:r>
    </w:p>
    <w:p w:rsidR="00102F13" w:rsidRPr="00102F13" w:rsidRDefault="00102F13" w:rsidP="00102F13">
      <w:pPr>
        <w:rPr>
          <w:rFonts w:eastAsia="Calibri"/>
          <w:lang w:eastAsia="en-US"/>
        </w:rPr>
      </w:pPr>
    </w:p>
    <w:p w:rsidR="00DE5497" w:rsidRPr="008C4280" w:rsidRDefault="00DE5497" w:rsidP="004044D5">
      <w:pPr>
        <w:pStyle w:val="ECHRCoverTitle4"/>
        <w:spacing w:after="24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(Skarga nr 51246/17)</w:t>
      </w:r>
    </w:p>
    <w:p w:rsidR="00DE5497" w:rsidRPr="008C4280" w:rsidRDefault="00851E46" w:rsidP="004044D5">
      <w:pPr>
        <w:keepNext/>
        <w:spacing w:after="2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="00DE5497" w:rsidRPr="008C4280">
        <w:rPr>
          <w:rFonts w:ascii="Times New Roman" w:eastAsia="Calibri" w:hAnsi="Times New Roman" w:cs="Times New Roman"/>
          <w:sz w:val="24"/>
          <w:szCs w:val="24"/>
        </w:rPr>
        <w:t>WYROK</w:t>
      </w:r>
      <w:r w:rsidRPr="008C42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497" w:rsidRPr="008C4280" w:rsidRDefault="00DE5497" w:rsidP="004044D5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Art. 3 • Wydalenie • Wielokrotna odmowa dostępu do procedury azylowej na</w:t>
      </w:r>
      <w:r w:rsidR="00563A0B" w:rsidRPr="008C4280">
        <w:rPr>
          <w:rFonts w:eastAsia="Calibri"/>
          <w:lang w:val="pl-PL"/>
        </w:rPr>
        <w:t> </w:t>
      </w:r>
      <w:r w:rsidRPr="008C4280">
        <w:rPr>
          <w:rFonts w:eastAsia="Calibri"/>
          <w:lang w:val="pl-PL"/>
        </w:rPr>
        <w:t>granicy polsko-białoruskiej, narażająca skarżących na ryzyko „odesłania łańcuchowego” (</w:t>
      </w:r>
      <w:proofErr w:type="spellStart"/>
      <w:r w:rsidRPr="008C4280">
        <w:rPr>
          <w:rFonts w:eastAsia="Calibri"/>
          <w:i/>
          <w:lang w:val="pl-PL"/>
        </w:rPr>
        <w:t>chain</w:t>
      </w:r>
      <w:proofErr w:type="spellEnd"/>
      <w:r w:rsidRPr="008C4280">
        <w:rPr>
          <w:rFonts w:eastAsia="Calibri"/>
          <w:i/>
          <w:lang w:val="pl-PL"/>
        </w:rPr>
        <w:noBreakHyphen/>
        <w:t>refoulement</w:t>
      </w:r>
      <w:r w:rsidRPr="008C4280">
        <w:rPr>
          <w:rFonts w:eastAsia="Calibri"/>
          <w:lang w:val="pl-PL"/>
        </w:rPr>
        <w:t>) do Syrii oraz nieludzkie i poniżające traktowanie i tortury.</w:t>
      </w:r>
    </w:p>
    <w:p w:rsidR="00DE5497" w:rsidRPr="008C4280" w:rsidRDefault="00DE5497" w:rsidP="004044D5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Art. 4 P4 • Zbiorowe wydalanie cudzoziemców poprzez szerzej zakrojoną politykę odmowy wjazdu, z pominięciem zamiaru ubiegania się przez skarżących o ochronę międzynarodową</w:t>
      </w:r>
    </w:p>
    <w:p w:rsidR="00DE5497" w:rsidRPr="008C4280" w:rsidRDefault="00DE5497" w:rsidP="004044D5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Art. 13 (+ art. 3 i art. 4 P4) • Brak skutecznego środka odwoławczego umożliwiającego złożenie skargi do władz krajowych</w:t>
      </w:r>
    </w:p>
    <w:p w:rsidR="00DE5497" w:rsidRPr="008C4280" w:rsidRDefault="00DE5497" w:rsidP="004044D5">
      <w:pPr>
        <w:pStyle w:val="Ju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lang w:val="pl-PL"/>
        </w:rPr>
      </w:pPr>
      <w:r w:rsidRPr="008C4280">
        <w:rPr>
          <w:rFonts w:eastAsia="Calibri"/>
          <w:lang w:val="pl-PL"/>
        </w:rPr>
        <w:t>Art. 34 • Utrudnianie wykonywania prawa do skarg</w:t>
      </w:r>
      <w:r w:rsidR="00CD50C7" w:rsidRPr="008C4280">
        <w:rPr>
          <w:rFonts w:eastAsia="Calibri"/>
          <w:lang w:val="pl-PL"/>
        </w:rPr>
        <w:t>i</w:t>
      </w:r>
      <w:r w:rsidRPr="008C4280">
        <w:rPr>
          <w:rFonts w:eastAsia="Calibri"/>
          <w:lang w:val="pl-PL"/>
        </w:rPr>
        <w:t xml:space="preserve"> • Nieprzestrzeganie środka tymczasowego na podstawie </w:t>
      </w:r>
      <w:r w:rsidR="00833A4E" w:rsidRPr="008C4280">
        <w:rPr>
          <w:rFonts w:eastAsia="Calibri"/>
          <w:lang w:val="pl-PL"/>
        </w:rPr>
        <w:t xml:space="preserve">Reguły </w:t>
      </w:r>
      <w:r w:rsidRPr="008C4280">
        <w:rPr>
          <w:rFonts w:eastAsia="Calibri"/>
          <w:lang w:val="pl-PL"/>
        </w:rPr>
        <w:t>39 [Regulaminu Trybunału]</w:t>
      </w:r>
      <w:r w:rsidR="00851E46" w:rsidRPr="008C4280">
        <w:rPr>
          <w:lang w:val="pl-PL"/>
        </w:rPr>
        <w:t xml:space="preserve"> </w:t>
      </w:r>
    </w:p>
    <w:p w:rsidR="00DE5497" w:rsidRPr="008C4280" w:rsidRDefault="00DE5497" w:rsidP="004044D5">
      <w:pPr>
        <w:pStyle w:val="DecHCase"/>
        <w:spacing w:before="120" w:after="24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STRASBURG</w:t>
      </w:r>
    </w:p>
    <w:p w:rsidR="00DE5497" w:rsidRPr="008C4280" w:rsidRDefault="00DE5497" w:rsidP="004044D5">
      <w:pPr>
        <w:pStyle w:val="DecHCase"/>
        <w:spacing w:after="36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8 lipca 2021 r.</w:t>
      </w:r>
    </w:p>
    <w:p w:rsidR="004044D5" w:rsidRPr="008C4280" w:rsidRDefault="004044D5" w:rsidP="004044D5">
      <w:pPr>
        <w:pStyle w:val="jucase"/>
        <w:spacing w:after="12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8C4280">
        <w:rPr>
          <w:color w:val="FF0000"/>
          <w:sz w:val="28"/>
          <w:szCs w:val="28"/>
          <w:u w:val="single"/>
          <w:lang w:val="pl-PL"/>
        </w:rPr>
        <w:t>OSTATECZNY</w:t>
      </w:r>
    </w:p>
    <w:p w:rsidR="004044D5" w:rsidRPr="008C4280" w:rsidRDefault="004044D5" w:rsidP="004044D5">
      <w:pPr>
        <w:pStyle w:val="jucase"/>
        <w:spacing w:after="120"/>
        <w:ind w:firstLine="0"/>
        <w:jc w:val="center"/>
        <w:rPr>
          <w:b w:val="0"/>
          <w:color w:val="FF0000"/>
          <w:sz w:val="28"/>
          <w:szCs w:val="28"/>
          <w:lang w:val="pl-PL"/>
        </w:rPr>
      </w:pPr>
      <w:r w:rsidRPr="008C4280">
        <w:rPr>
          <w:b w:val="0"/>
          <w:color w:val="FF0000"/>
          <w:sz w:val="28"/>
          <w:szCs w:val="28"/>
          <w:lang w:val="pl-PL"/>
        </w:rPr>
        <w:t>22/11/2021</w:t>
      </w:r>
    </w:p>
    <w:p w:rsidR="00DE5497" w:rsidRPr="008C4280" w:rsidRDefault="00DE5497" w:rsidP="004044D5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lang w:eastAsia="en-US"/>
        </w:rPr>
      </w:pPr>
      <w:r w:rsidRPr="008C4280">
        <w:rPr>
          <w:rFonts w:ascii="Times New Roman" w:eastAsia="Calibri" w:hAnsi="Times New Roman" w:cs="Times New Roman"/>
          <w:i/>
          <w:iCs/>
          <w:lang w:eastAsia="en-US"/>
        </w:rPr>
        <w:t>Wyrok ten sta</w:t>
      </w:r>
      <w:r w:rsidR="00CD50C7" w:rsidRPr="008C4280">
        <w:rPr>
          <w:rFonts w:ascii="Times New Roman" w:eastAsia="Calibri" w:hAnsi="Times New Roman" w:cs="Times New Roman"/>
          <w:i/>
          <w:iCs/>
          <w:lang w:eastAsia="en-US"/>
        </w:rPr>
        <w:t>ł</w:t>
      </w:r>
      <w:r w:rsidRPr="008C4280">
        <w:rPr>
          <w:rFonts w:ascii="Times New Roman" w:eastAsia="Calibri" w:hAnsi="Times New Roman" w:cs="Times New Roman"/>
          <w:i/>
          <w:iCs/>
          <w:lang w:eastAsia="en-US"/>
        </w:rPr>
        <w:t xml:space="preserve"> się ostateczny zgodnie z warunkami określonymi w art. 44 ust. 2 Konwencji. Może podlegać korekcie wydawniczej.</w:t>
      </w:r>
    </w:p>
    <w:p w:rsidR="00DE5497" w:rsidRPr="008C4280" w:rsidRDefault="00DE5497" w:rsidP="004044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E5497" w:rsidRPr="008C4280" w:rsidSect="00024E2B">
          <w:headerReference w:type="default" r:id="rId7"/>
          <w:footerReference w:type="default" r:id="rId8"/>
          <w:headerReference w:type="first" r:id="rId9"/>
          <w:pgSz w:w="12240" w:h="15840"/>
          <w:pgMar w:top="2274" w:right="2274" w:bottom="2274" w:left="2274" w:header="709" w:footer="709" w:gutter="0"/>
          <w:cols w:space="708"/>
          <w:titlePg/>
          <w:docGrid w:linePitch="299"/>
        </w:sectPr>
      </w:pPr>
    </w:p>
    <w:p w:rsidR="00DE5497" w:rsidRPr="008C4280" w:rsidRDefault="00DE5497" w:rsidP="007A26B9">
      <w:pPr>
        <w:pStyle w:val="JuCase0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lastRenderedPageBreak/>
        <w:t>W sprawie D.A. i inni przeciwko Polsce,</w:t>
      </w:r>
    </w:p>
    <w:p w:rsidR="00DE5497" w:rsidRPr="008C4280" w:rsidRDefault="00DE5497" w:rsidP="007A26B9">
      <w:pPr>
        <w:pStyle w:val="JuPara"/>
        <w:rPr>
          <w:lang w:val="pl-PL"/>
        </w:rPr>
      </w:pPr>
      <w:r w:rsidRPr="008C4280">
        <w:rPr>
          <w:lang w:val="pl-PL"/>
        </w:rPr>
        <w:t>Europejski Trybunał Praw Człowieka (</w:t>
      </w:r>
      <w:r w:rsidR="00963BF1" w:rsidRPr="008C4280">
        <w:rPr>
          <w:lang w:val="pl-PL"/>
        </w:rPr>
        <w:t>Pierwsza</w:t>
      </w:r>
      <w:r w:rsidR="007A26B9" w:rsidRPr="008C4280">
        <w:rPr>
          <w:lang w:val="pl-PL"/>
        </w:rPr>
        <w:t xml:space="preserve"> Sekcja</w:t>
      </w:r>
      <w:r w:rsidRPr="008C4280">
        <w:rPr>
          <w:lang w:val="pl-PL"/>
        </w:rPr>
        <w:t>), zasiadając jako Izba w składzie:</w:t>
      </w:r>
    </w:p>
    <w:p w:rsidR="00DE5497" w:rsidRPr="008C4280" w:rsidRDefault="007A26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</w:rPr>
        <w:tab/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Ksenija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Turković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 xml:space="preserve">, </w:t>
      </w:r>
      <w:r w:rsidR="00DE5497" w:rsidRPr="008C4280">
        <w:rPr>
          <w:rFonts w:ascii="Times New Roman" w:hAnsi="Times New Roman" w:cs="Times New Roman"/>
          <w:i/>
          <w:iCs/>
          <w:sz w:val="24"/>
          <w:szCs w:val="24"/>
        </w:rPr>
        <w:t>Przewodnicząca,</w:t>
      </w:r>
      <w:r w:rsidR="00DE5497" w:rsidRPr="008C4280">
        <w:rPr>
          <w:rFonts w:ascii="Times New Roman" w:hAnsi="Times New Roman" w:cs="Times New Roman"/>
          <w:sz w:val="24"/>
          <w:szCs w:val="24"/>
        </w:rPr>
        <w:br/>
      </w:r>
      <w:r w:rsidRPr="008C4280">
        <w:rPr>
          <w:rFonts w:ascii="Times New Roman" w:hAnsi="Times New Roman" w:cs="Times New Roman"/>
        </w:rPr>
        <w:tab/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Péter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Paczolay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>,</w:t>
      </w:r>
      <w:r w:rsidR="00DE5497" w:rsidRPr="008C4280">
        <w:rPr>
          <w:rFonts w:ascii="Times New Roman" w:hAnsi="Times New Roman" w:cs="Times New Roman"/>
          <w:sz w:val="24"/>
          <w:szCs w:val="24"/>
        </w:rPr>
        <w:br/>
      </w:r>
      <w:r w:rsidRPr="008C4280">
        <w:rPr>
          <w:rFonts w:ascii="Times New Roman" w:hAnsi="Times New Roman" w:cs="Times New Roman"/>
        </w:rPr>
        <w:tab/>
      </w:r>
      <w:r w:rsidR="00DE5497" w:rsidRPr="008C4280">
        <w:rPr>
          <w:rFonts w:ascii="Times New Roman" w:hAnsi="Times New Roman" w:cs="Times New Roman"/>
          <w:sz w:val="24"/>
          <w:szCs w:val="24"/>
        </w:rPr>
        <w:t>Krzysztof Wojtyczek,</w:t>
      </w:r>
      <w:r w:rsidR="00DE5497" w:rsidRPr="008C4280">
        <w:rPr>
          <w:rFonts w:ascii="Times New Roman" w:hAnsi="Times New Roman" w:cs="Times New Roman"/>
          <w:sz w:val="24"/>
          <w:szCs w:val="24"/>
        </w:rPr>
        <w:br/>
      </w:r>
      <w:r w:rsidRPr="008C4280">
        <w:rPr>
          <w:rFonts w:ascii="Times New Roman" w:hAnsi="Times New Roman" w:cs="Times New Roman"/>
        </w:rPr>
        <w:tab/>
      </w:r>
      <w:r w:rsidR="00DE5497" w:rsidRPr="008C4280">
        <w:rPr>
          <w:rFonts w:ascii="Times New Roman" w:hAnsi="Times New Roman" w:cs="Times New Roman"/>
          <w:sz w:val="24"/>
          <w:szCs w:val="24"/>
        </w:rPr>
        <w:t xml:space="preserve">Alena </w:t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Poláčková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>,</w:t>
      </w:r>
      <w:r w:rsidR="00DE5497" w:rsidRPr="008C4280">
        <w:rPr>
          <w:rFonts w:ascii="Times New Roman" w:hAnsi="Times New Roman" w:cs="Times New Roman"/>
          <w:sz w:val="24"/>
          <w:szCs w:val="24"/>
        </w:rPr>
        <w:br/>
      </w:r>
      <w:r w:rsidRPr="008C4280">
        <w:rPr>
          <w:rFonts w:ascii="Times New Roman" w:hAnsi="Times New Roman" w:cs="Times New Roman"/>
        </w:rPr>
        <w:tab/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Raffaele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Sabato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>,</w:t>
      </w:r>
      <w:r w:rsidR="00DE5497" w:rsidRPr="008C4280">
        <w:rPr>
          <w:rFonts w:ascii="Times New Roman" w:hAnsi="Times New Roman" w:cs="Times New Roman"/>
          <w:sz w:val="24"/>
          <w:szCs w:val="24"/>
        </w:rPr>
        <w:br/>
      </w:r>
      <w:r w:rsidRPr="008C4280">
        <w:rPr>
          <w:rFonts w:ascii="Times New Roman" w:hAnsi="Times New Roman" w:cs="Times New Roman"/>
        </w:rPr>
        <w:tab/>
      </w:r>
      <w:r w:rsidR="00DE5497" w:rsidRPr="008C4280">
        <w:rPr>
          <w:rFonts w:ascii="Times New Roman" w:hAnsi="Times New Roman" w:cs="Times New Roman"/>
          <w:sz w:val="24"/>
          <w:szCs w:val="24"/>
        </w:rPr>
        <w:t xml:space="preserve">Lorraine </w:t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Schembri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Orland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>,</w:t>
      </w:r>
      <w:r w:rsidR="00DE5497" w:rsidRPr="008C4280">
        <w:rPr>
          <w:rFonts w:ascii="Times New Roman" w:hAnsi="Times New Roman" w:cs="Times New Roman"/>
          <w:sz w:val="24"/>
          <w:szCs w:val="24"/>
        </w:rPr>
        <w:br/>
      </w:r>
      <w:r w:rsidRPr="008C4280">
        <w:rPr>
          <w:rFonts w:ascii="Times New Roman" w:hAnsi="Times New Roman" w:cs="Times New Roman"/>
        </w:rPr>
        <w:tab/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Ioannis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5497" w:rsidRPr="008C4280">
        <w:rPr>
          <w:rFonts w:ascii="Times New Roman" w:hAnsi="Times New Roman" w:cs="Times New Roman"/>
          <w:sz w:val="24"/>
          <w:szCs w:val="24"/>
        </w:rPr>
        <w:t>Ktistakis</w:t>
      </w:r>
      <w:proofErr w:type="spellEnd"/>
      <w:r w:rsidR="00DE5497" w:rsidRPr="008C4280">
        <w:rPr>
          <w:rFonts w:ascii="Times New Roman" w:hAnsi="Times New Roman" w:cs="Times New Roman"/>
          <w:sz w:val="24"/>
          <w:szCs w:val="24"/>
        </w:rPr>
        <w:t xml:space="preserve">, </w:t>
      </w:r>
      <w:r w:rsidR="00DE5497" w:rsidRPr="008C4280">
        <w:rPr>
          <w:rFonts w:ascii="Times New Roman" w:hAnsi="Times New Roman" w:cs="Times New Roman"/>
          <w:i/>
          <w:iCs/>
          <w:sz w:val="24"/>
          <w:szCs w:val="24"/>
        </w:rPr>
        <w:t>sędziowie,</w:t>
      </w:r>
      <w:r w:rsidR="00DE5497" w:rsidRPr="008C4280">
        <w:rPr>
          <w:rFonts w:ascii="Times New Roman" w:hAnsi="Times New Roman" w:cs="Times New Roman"/>
          <w:sz w:val="24"/>
          <w:szCs w:val="24"/>
        </w:rPr>
        <w:br/>
        <w:t xml:space="preserve">oraz Renata Degener, </w:t>
      </w:r>
      <w:r w:rsidR="00DE5497" w:rsidRPr="008C4280">
        <w:rPr>
          <w:rFonts w:ascii="Times New Roman" w:hAnsi="Times New Roman" w:cs="Times New Roman"/>
          <w:i/>
          <w:iCs/>
          <w:sz w:val="24"/>
          <w:szCs w:val="24"/>
        </w:rPr>
        <w:t>Kanclerz Sekcji,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uwzględniając: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skargę (nr</w:t>
      </w:r>
      <w:r w:rsidR="00851E46" w:rsidRPr="008C4280">
        <w:rPr>
          <w:rFonts w:eastAsia="Calibri"/>
          <w:lang w:val="pl-PL"/>
        </w:rPr>
        <w:t xml:space="preserve"> </w:t>
      </w:r>
      <w:r w:rsidRPr="008C4280">
        <w:rPr>
          <w:rFonts w:eastAsia="Calibri"/>
          <w:lang w:val="pl-PL"/>
        </w:rPr>
        <w:t>51246/17) wniesioną w dniu 20 lipca 2017</w:t>
      </w:r>
      <w:r w:rsidR="00545E76" w:rsidRPr="008C4280">
        <w:rPr>
          <w:rFonts w:eastAsia="Calibri"/>
          <w:lang w:val="pl-PL"/>
        </w:rPr>
        <w:t xml:space="preserve"> r.</w:t>
      </w:r>
      <w:r w:rsidRPr="008C4280">
        <w:rPr>
          <w:rFonts w:eastAsia="Calibri"/>
          <w:lang w:val="pl-PL"/>
        </w:rPr>
        <w:t xml:space="preserve"> przeciwko Rzeczypospolitej Polskiej do Trybunału na podstawie art</w:t>
      </w:r>
      <w:r w:rsidR="00833A4E" w:rsidRPr="008C4280">
        <w:rPr>
          <w:rFonts w:eastAsia="Calibri"/>
          <w:lang w:val="pl-PL"/>
        </w:rPr>
        <w:t xml:space="preserve">. </w:t>
      </w:r>
      <w:r w:rsidRPr="008C4280">
        <w:rPr>
          <w:rFonts w:eastAsia="Calibri"/>
          <w:lang w:val="pl-PL"/>
        </w:rPr>
        <w:t>34 Konwencji o</w:t>
      </w:r>
      <w:r w:rsidR="00563A0B" w:rsidRPr="008C4280">
        <w:rPr>
          <w:rFonts w:eastAsia="Calibri"/>
          <w:lang w:val="pl-PL"/>
        </w:rPr>
        <w:t> </w:t>
      </w:r>
      <w:r w:rsidRPr="008C4280">
        <w:rPr>
          <w:rFonts w:eastAsia="Calibri"/>
          <w:lang w:val="pl-PL"/>
        </w:rPr>
        <w:t>ochronie praw człowieka i podstawowych wolności („Konwencja”) przez trzech obywateli syryjskich, panów D.A.</w:t>
      </w:r>
      <w:r w:rsidR="00CD50C7" w:rsidRPr="008C4280">
        <w:rPr>
          <w:rFonts w:eastAsia="Calibri"/>
          <w:lang w:val="pl-PL"/>
        </w:rPr>
        <w:t xml:space="preserve"> i</w:t>
      </w:r>
      <w:r w:rsidRPr="008C4280">
        <w:rPr>
          <w:rFonts w:eastAsia="Calibri"/>
          <w:lang w:val="pl-PL"/>
        </w:rPr>
        <w:t xml:space="preserve"> M.A. oraz panią S.K. („skarżących”);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decyzję o za</w:t>
      </w:r>
      <w:r w:rsidR="008D6855" w:rsidRPr="008C4280">
        <w:rPr>
          <w:rFonts w:eastAsia="Calibri"/>
          <w:lang w:val="pl-PL"/>
        </w:rPr>
        <w:t>komunikowaniu</w:t>
      </w:r>
      <w:r w:rsidR="00C65086" w:rsidRPr="008C4280">
        <w:rPr>
          <w:rFonts w:eastAsia="Calibri"/>
          <w:lang w:val="pl-PL"/>
        </w:rPr>
        <w:t xml:space="preserve"> Rząd</w:t>
      </w:r>
      <w:r w:rsidR="00CD50C7" w:rsidRPr="008C4280">
        <w:rPr>
          <w:rFonts w:eastAsia="Calibri"/>
          <w:lang w:val="pl-PL"/>
        </w:rPr>
        <w:t>owi</w:t>
      </w:r>
      <w:r w:rsidR="00C65086" w:rsidRPr="008C4280">
        <w:rPr>
          <w:rFonts w:eastAsia="Calibri"/>
          <w:lang w:val="pl-PL"/>
        </w:rPr>
        <w:t xml:space="preserve"> RP („Rząd”) skargi dotyczącej</w:t>
      </w:r>
      <w:r w:rsidRPr="008C4280">
        <w:rPr>
          <w:rFonts w:eastAsia="Calibri"/>
          <w:lang w:val="pl-PL"/>
        </w:rPr>
        <w:t xml:space="preserve"> </w:t>
      </w:r>
      <w:r w:rsidR="00C65086" w:rsidRPr="008C4280">
        <w:rPr>
          <w:rFonts w:eastAsia="Calibri"/>
          <w:lang w:val="pl-PL"/>
        </w:rPr>
        <w:t xml:space="preserve">zarzutów </w:t>
      </w:r>
      <w:r w:rsidRPr="008C4280">
        <w:rPr>
          <w:rFonts w:eastAsia="Calibri"/>
          <w:lang w:val="pl-PL"/>
        </w:rPr>
        <w:t>na podstawie art. 3 Konwencji, art. 4 Protokołu nr 4 do</w:t>
      </w:r>
      <w:r w:rsidR="00563A0B" w:rsidRPr="008C4280">
        <w:rPr>
          <w:rFonts w:eastAsia="Calibri"/>
          <w:lang w:val="pl-PL"/>
        </w:rPr>
        <w:t> </w:t>
      </w:r>
      <w:r w:rsidRPr="008C4280">
        <w:rPr>
          <w:rFonts w:eastAsia="Calibri"/>
          <w:lang w:val="pl-PL"/>
        </w:rPr>
        <w:t>Konwencji, art. 13 w związku z art. 3 Konwencji i art. 4 Protokołu nr 4 do Konwencji oraz na podstawie art. 34 Konwencji;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decyzję o nieujawnianiu nazwisk skarżących;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decyzję o przyznaniu pierwszeństwa skardze (</w:t>
      </w:r>
      <w:r w:rsidR="00833A4E" w:rsidRPr="008C4280">
        <w:rPr>
          <w:rFonts w:eastAsia="Calibri"/>
          <w:lang w:val="pl-PL"/>
        </w:rPr>
        <w:t>Reguła</w:t>
      </w:r>
      <w:r w:rsidRPr="008C4280">
        <w:rPr>
          <w:rFonts w:eastAsia="Calibri"/>
          <w:lang w:val="pl-PL"/>
        </w:rPr>
        <w:t xml:space="preserve"> 41 Regulaminu Trybunału);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decyzję o wskazaniu pozwanemu Rządowi środka tymczasowego na</w:t>
      </w:r>
      <w:r w:rsidR="00563A0B" w:rsidRPr="008C4280">
        <w:rPr>
          <w:rFonts w:eastAsia="Calibri"/>
          <w:lang w:val="pl-PL"/>
        </w:rPr>
        <w:t> </w:t>
      </w:r>
      <w:r w:rsidRPr="008C4280">
        <w:rPr>
          <w:rFonts w:eastAsia="Calibri"/>
          <w:lang w:val="pl-PL"/>
        </w:rPr>
        <w:t xml:space="preserve">podstawie </w:t>
      </w:r>
      <w:r w:rsidR="00545E76" w:rsidRPr="008C4280">
        <w:rPr>
          <w:rFonts w:eastAsia="Calibri"/>
          <w:lang w:val="pl-PL"/>
        </w:rPr>
        <w:t>Reguły</w:t>
      </w:r>
      <w:r w:rsidRPr="008C4280">
        <w:rPr>
          <w:rFonts w:eastAsia="Calibri"/>
          <w:lang w:val="pl-PL"/>
        </w:rPr>
        <w:t xml:space="preserve"> 39 Regulaminu Trybunału oraz fakt, że ten środek tymczasowy nie został zastosowany;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uwagi przedstawione przez pozwany Rząd oraz uwagi w odpowiedzi na</w:t>
      </w:r>
      <w:r w:rsidR="00563A0B" w:rsidRPr="008C4280">
        <w:rPr>
          <w:rFonts w:eastAsia="Calibri"/>
          <w:lang w:val="pl-PL"/>
        </w:rPr>
        <w:t> </w:t>
      </w:r>
      <w:r w:rsidRPr="008C4280">
        <w:rPr>
          <w:rFonts w:eastAsia="Calibri"/>
          <w:lang w:val="pl-PL"/>
        </w:rPr>
        <w:t>nie przedstawione przez skarżących,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uwagi przedstawione przez Wysokiego Komisarza Narodów Zjednoczonych ds. Uchodźców, któremu przewodniczący Sekcji zezwolił na</w:t>
      </w:r>
      <w:r w:rsidR="006D77DF">
        <w:rPr>
          <w:rFonts w:eastAsia="Calibri"/>
          <w:lang w:val="pl-PL"/>
        </w:rPr>
        <w:t> </w:t>
      </w:r>
      <w:r w:rsidRPr="008C4280">
        <w:rPr>
          <w:rFonts w:eastAsia="Calibri"/>
          <w:lang w:val="pl-PL"/>
        </w:rPr>
        <w:t xml:space="preserve">interwencję; 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 xml:space="preserve">obradując na posiedzeniu </w:t>
      </w:r>
      <w:r w:rsidR="00851E46" w:rsidRPr="008C4280">
        <w:rPr>
          <w:rFonts w:eastAsia="Calibri"/>
          <w:lang w:val="pl-PL"/>
        </w:rPr>
        <w:t xml:space="preserve">niejawnym </w:t>
      </w:r>
      <w:r w:rsidRPr="008C4280">
        <w:rPr>
          <w:rFonts w:eastAsia="Calibri"/>
          <w:lang w:val="pl-PL"/>
        </w:rPr>
        <w:t>w dniu 15 czerwca 2021</w:t>
      </w:r>
      <w:r w:rsidR="00545E76" w:rsidRPr="008C4280">
        <w:rPr>
          <w:rFonts w:eastAsia="Calibri"/>
          <w:lang w:val="pl-PL"/>
        </w:rPr>
        <w:t xml:space="preserve"> r</w:t>
      </w:r>
      <w:r w:rsidR="00FE3BFE">
        <w:rPr>
          <w:rFonts w:eastAsia="Calibri"/>
          <w:lang w:val="pl-PL"/>
        </w:rPr>
        <w:t>.</w:t>
      </w:r>
      <w:bookmarkStart w:id="1" w:name="_GoBack"/>
      <w:bookmarkEnd w:id="1"/>
      <w:r w:rsidRPr="008C4280">
        <w:rPr>
          <w:rFonts w:eastAsia="Calibri"/>
          <w:lang w:val="pl-PL"/>
        </w:rPr>
        <w:t>,</w:t>
      </w:r>
    </w:p>
    <w:p w:rsidR="00DE5497" w:rsidRPr="008C4280" w:rsidRDefault="00DE5497" w:rsidP="007A26B9">
      <w:pPr>
        <w:pStyle w:val="JuPara"/>
        <w:rPr>
          <w:rFonts w:eastAsia="Calibri"/>
          <w:lang w:val="pl-PL"/>
        </w:rPr>
      </w:pPr>
      <w:r w:rsidRPr="008C4280">
        <w:rPr>
          <w:rFonts w:eastAsia="Calibri"/>
          <w:lang w:val="pl-PL"/>
        </w:rPr>
        <w:t>wydaje następujący wyrok, który został przyjęty w tym dniu:</w:t>
      </w:r>
    </w:p>
    <w:p w:rsidR="00DE5497" w:rsidRPr="008C4280" w:rsidRDefault="00DE5497" w:rsidP="007A26B9">
      <w:pPr>
        <w:pStyle w:val="JuHHead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WPROWADZENIE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Sprawa dotyczy </w:t>
      </w:r>
      <w:r w:rsidR="00CD50C7" w:rsidRPr="008C4280">
        <w:rPr>
          <w:rFonts w:ascii="Times New Roman" w:hAnsi="Times New Roman" w:cs="Times New Roman"/>
          <w:sz w:val="24"/>
          <w:szCs w:val="24"/>
        </w:rPr>
        <w:t>zarzucanego</w:t>
      </w:r>
      <w:r w:rsidRPr="008C4280">
        <w:rPr>
          <w:rFonts w:ascii="Times New Roman" w:hAnsi="Times New Roman" w:cs="Times New Roman"/>
          <w:sz w:val="24"/>
          <w:szCs w:val="24"/>
        </w:rPr>
        <w:t xml:space="preserve"> zawrócenia skarżących – obywateli Syrii – na granicy polsko-białoruskiej. Skarżący zarzucali, że władze polskie wielokrotnie odmawiały im możliwości złożenia wniosków o udzielenie ochrony międzynarodowej, co stanowi naruszenie art. 3 Konwencji. Powołali się również na art. 4 Protokołu nr 4 do Konwencji, twierdząc, że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ich sytuacja nie była rozpatrywana indywidualnie, oraz że byli ofiarami ogólnej polityki prowadzonej przez polskie władze w celu zmniejszenia liczby wniosków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="00205E4C" w:rsidRPr="008C4280">
        <w:rPr>
          <w:rFonts w:ascii="Times New Roman" w:hAnsi="Times New Roman" w:cs="Times New Roman"/>
          <w:sz w:val="24"/>
          <w:szCs w:val="24"/>
        </w:rPr>
        <w:t xml:space="preserve">status uchodźcy </w:t>
      </w:r>
      <w:r w:rsidRPr="008C4280">
        <w:rPr>
          <w:rFonts w:ascii="Times New Roman" w:hAnsi="Times New Roman" w:cs="Times New Roman"/>
          <w:sz w:val="24"/>
          <w:szCs w:val="24"/>
        </w:rPr>
        <w:t>rejestrowanych w Polsce. Skarżący twierdzili, że zgodnie z art. 13 w związku z art. 3 Konwencji oraz art. 4 Protokołu nr 4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Konwencji, złożenie odwołania od decyzji odmawiającej wjazdu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Polski nie stanowi skutecznego środka odwoławczego dla osób ubiegających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uchodźcy, ponieważ nie miałoby skutku zawieszającego. Ponadto, skarżący zarzucili, że władze polskie nie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zastosowały się do środka tymczasowego przyznanego im przez Trybunał, co stanowiło naruszenie art. 34 Konwencji.</w:t>
      </w:r>
    </w:p>
    <w:p w:rsidR="00DE5497" w:rsidRPr="008C4280" w:rsidRDefault="00DE5497" w:rsidP="007A26B9">
      <w:pPr>
        <w:pStyle w:val="JuHHead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FAKTY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Skarżący,</w:t>
      </w:r>
      <w:r w:rsidR="00402F69" w:rsidRPr="008C4280">
        <w:rPr>
          <w:rFonts w:ascii="Times New Roman" w:hAnsi="Times New Roman" w:cs="Times New Roman"/>
          <w:sz w:val="24"/>
          <w:szCs w:val="24"/>
        </w:rPr>
        <w:t xml:space="preserve"> pan</w:t>
      </w:r>
      <w:r w:rsidRPr="008C4280">
        <w:rPr>
          <w:rFonts w:ascii="Times New Roman" w:hAnsi="Times New Roman" w:cs="Times New Roman"/>
          <w:sz w:val="24"/>
          <w:szCs w:val="24"/>
        </w:rPr>
        <w:t xml:space="preserve"> D.A., </w:t>
      </w:r>
      <w:r w:rsidR="00402F69" w:rsidRPr="008C4280">
        <w:rPr>
          <w:rFonts w:ascii="Times New Roman" w:hAnsi="Times New Roman" w:cs="Times New Roman"/>
          <w:sz w:val="24"/>
          <w:szCs w:val="24"/>
        </w:rPr>
        <w:t xml:space="preserve">pan </w:t>
      </w:r>
      <w:r w:rsidRPr="008C4280">
        <w:rPr>
          <w:rFonts w:ascii="Times New Roman" w:hAnsi="Times New Roman" w:cs="Times New Roman"/>
          <w:sz w:val="24"/>
          <w:szCs w:val="24"/>
        </w:rPr>
        <w:t>M.A. i</w:t>
      </w:r>
      <w:r w:rsidR="00402F69" w:rsidRPr="008C4280">
        <w:rPr>
          <w:rFonts w:ascii="Times New Roman" w:hAnsi="Times New Roman" w:cs="Times New Roman"/>
          <w:sz w:val="24"/>
          <w:szCs w:val="24"/>
        </w:rPr>
        <w:t xml:space="preserve"> pani</w:t>
      </w:r>
      <w:r w:rsidRPr="008C4280">
        <w:rPr>
          <w:rFonts w:ascii="Times New Roman" w:hAnsi="Times New Roman" w:cs="Times New Roman"/>
          <w:sz w:val="24"/>
          <w:szCs w:val="24"/>
        </w:rPr>
        <w:t xml:space="preserve"> S.K., urodzili się odpowiednio w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1987, 1992 i 1993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</w:t>
      </w:r>
      <w:r w:rsidRPr="008C4280">
        <w:rPr>
          <w:rFonts w:ascii="Times New Roman" w:hAnsi="Times New Roman" w:cs="Times New Roman"/>
          <w:sz w:val="24"/>
          <w:szCs w:val="24"/>
        </w:rPr>
        <w:t xml:space="preserve">. Są obywatelami syryjskimi, którzy obecnie mieszkają na Białorusi. Dwaj pierwsi skarżący są braćmi, a pierwszy skarżący i trzecia skarżąca są małżeństwem. Skarżący byli reprezentowani przez pana </w:t>
      </w:r>
      <w:bookmarkStart w:id="2" w:name="_Hlk76486613"/>
      <w:r w:rsidRPr="008C4280">
        <w:rPr>
          <w:rFonts w:ascii="Times New Roman" w:hAnsi="Times New Roman" w:cs="Times New Roman"/>
          <w:sz w:val="24"/>
          <w:szCs w:val="24"/>
        </w:rPr>
        <w:t>J.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Białasa</w:t>
      </w:r>
      <w:bookmarkEnd w:id="2"/>
      <w:r w:rsidRPr="008C4280">
        <w:rPr>
          <w:rFonts w:ascii="Times New Roman" w:hAnsi="Times New Roman" w:cs="Times New Roman"/>
          <w:sz w:val="24"/>
          <w:szCs w:val="24"/>
        </w:rPr>
        <w:t>, adwokata praktykującego w Warszawie.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Rząd był reprezentowany przez swojego pełnomocnika, </w:t>
      </w:r>
      <w:r w:rsidR="006F27D2" w:rsidRPr="008C4280">
        <w:rPr>
          <w:rFonts w:ascii="Times New Roman" w:hAnsi="Times New Roman" w:cs="Times New Roman"/>
          <w:sz w:val="24"/>
          <w:szCs w:val="24"/>
        </w:rPr>
        <w:t xml:space="preserve">panią </w:t>
      </w:r>
      <w:r w:rsidRPr="008C4280">
        <w:rPr>
          <w:rFonts w:ascii="Times New Roman" w:hAnsi="Times New Roman" w:cs="Times New Roman"/>
          <w:sz w:val="24"/>
          <w:szCs w:val="24"/>
        </w:rPr>
        <w:t>J.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Chrzanowską, a następnie przez </w:t>
      </w:r>
      <w:r w:rsidR="006F27D2" w:rsidRPr="008C4280">
        <w:rPr>
          <w:rFonts w:ascii="Times New Roman" w:hAnsi="Times New Roman" w:cs="Times New Roman"/>
          <w:sz w:val="24"/>
          <w:szCs w:val="24"/>
        </w:rPr>
        <w:t xml:space="preserve">pana </w:t>
      </w:r>
      <w:r w:rsidRPr="008C4280">
        <w:rPr>
          <w:rFonts w:ascii="Times New Roman" w:hAnsi="Times New Roman" w:cs="Times New Roman"/>
          <w:sz w:val="24"/>
          <w:szCs w:val="24"/>
        </w:rPr>
        <w:t>J. Sobczaka, z Ministerstwa Spraw Zagranicznych.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4.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Stan faktyczny sprawy, przedstawiony przez strony, można podsumować w następujący sposób.</w:t>
      </w:r>
    </w:p>
    <w:p w:rsidR="00DE5497" w:rsidRPr="008C4280" w:rsidRDefault="00DE5497" w:rsidP="008D2AFA">
      <w:pPr>
        <w:pStyle w:val="JuHIRoman"/>
        <w:numPr>
          <w:ilvl w:val="0"/>
          <w:numId w:val="1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Sytuacja skarżących przed złożeniem wniosku o</w:t>
      </w:r>
      <w:r w:rsidR="00563A0B" w:rsidRPr="008C4280">
        <w:rPr>
          <w:rFonts w:ascii="Times New Roman" w:hAnsi="Times New Roman"/>
          <w:lang w:val="pl-PL"/>
        </w:rPr>
        <w:t> </w:t>
      </w:r>
      <w:r w:rsidRPr="008C4280">
        <w:rPr>
          <w:rFonts w:ascii="Times New Roman" w:hAnsi="Times New Roman"/>
          <w:lang w:val="pl-PL"/>
        </w:rPr>
        <w:t>zastosowanie środków tymczasowych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Trzykrotnie, między 14 a 18 lipca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</w:t>
      </w:r>
      <w:r w:rsidRPr="008C4280">
        <w:rPr>
          <w:rFonts w:ascii="Times New Roman" w:hAnsi="Times New Roman" w:cs="Times New Roman"/>
          <w:sz w:val="24"/>
          <w:szCs w:val="24"/>
        </w:rPr>
        <w:t>, skarżący podróżowali do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polsko-białoruskiego przejścia granicznego w Terespolu. Według skarżących, za każdym razem wyraźnie deklarowali oni chęć złożenia wniosku o udzielenie ochrony międzynarodowej.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Zdaniem skarżących, w rozmowie ze strażnikami granicznymi wyrażali oni obawy o swoje bezpieczeństwo. Stwierdzili, że pochodzą z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Syrii, gdzie trwa brutalny konflikt zbrojny. Pierwszy i drugi skarżący otrzymali nakazy poboru od armii syryjskiej i nie zastosowali się do nich. Twierdzili, że fakt ten narażał ich na ryzyko piętnastu lat pozbawienia wolności w przypadku powrotu do Syrii. Ponadto, pierwszy i drugi skarżący oświadczyli, że należą do grupy etniczno-religijnej Druzów, która jest jedną z najbardziej prześladowanych mniejszości w Syrii, zarówno przez reżim Assada, jak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i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przez ekstremistów sunnickich.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stwierdzili również, że chociaż mieszkali i studiowali na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Białorusi od 2013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(pierwszy i drugi skarżący) i od 2015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(trzecia skarżąca), nie mogli pozostać w tym kraju, ponieważ niedawno ukończyli studia, ich wizy wygasły i w praktyce niemożliwe byłoby dla nich uzyskanie tam ochrony międzynarodowej.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lastRenderedPageBreak/>
        <w:t>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We wszystkich przypadkach, w których skarżący stawiali się na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przejściu granicznym w Terespolu, wydawane były decyzje administracyjne zawracające ich z granicy polskiej na tej podstawie, że nie posiadali oni żadnych dokumentów uprawniających do wjazdu do Polski oraz że nie stwierdzili, iż grozi im ryzyko prześladowań w kraju ojczystym, 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jedynie próbowali wyemigrować z powodów ekonomicznych lub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osobistych (w szczególności w celu dołączenia do rodziny mieszkającej w Europie lub w celu realizacji kariery zawodowej poza Białorusią). Wniosek ten został oparty na skróconych notatkach urzędowych z</w:t>
      </w:r>
      <w:r w:rsidR="00563A0B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przesłuchań sporządzonych przez funkcjonariuszy Straży Granicznej w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języku polskim i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niepodpisanych przez skarżących. W przedmiotowych notatkach urzędowych odnotowano, że skarżący wskazali, iż pierwszy i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drugi skarżący niedawno ukończyli studia w Mińsku i odnosili sukcesy w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dziedzinie produkcji filmowej. Chcieliby oni rozwijać swoją karierę w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Europie. Według tych notatek urzędowych, skarżący wskazali również, że mają członków rodziny w Zjednoczonym Królestwie, w Niemczech i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Francji i chcieliby ich odwiedzić i szukać ich wsparcia w rozpoczęciu życia w Europie.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nie złożyli odwołania od żadnej z decyzji administracyjnych wydanych przed 20 lipca 2017 r.</w:t>
      </w:r>
    </w:p>
    <w:p w:rsidR="00DE5497" w:rsidRPr="008C4280" w:rsidRDefault="00DE5497" w:rsidP="008D2AFA">
      <w:pPr>
        <w:pStyle w:val="JuHIRoman"/>
        <w:numPr>
          <w:ilvl w:val="0"/>
          <w:numId w:val="1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Środki tymczasowe wskazane przez Trybunał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W dniu 20 lipca 2017 r., kiedy skarżący stawili się na przejściu granicznym w Terespolu, ich przedstawiciel złożył wniosek na podstawie </w:t>
      </w:r>
      <w:r w:rsidR="00545E76" w:rsidRPr="008C4280">
        <w:rPr>
          <w:rFonts w:ascii="Times New Roman" w:hAnsi="Times New Roman" w:cs="Times New Roman"/>
          <w:sz w:val="24"/>
          <w:szCs w:val="24"/>
        </w:rPr>
        <w:t>Reguły</w:t>
      </w:r>
      <w:r w:rsidRPr="008C4280">
        <w:rPr>
          <w:rFonts w:ascii="Times New Roman" w:hAnsi="Times New Roman" w:cs="Times New Roman"/>
          <w:sz w:val="24"/>
          <w:szCs w:val="24"/>
        </w:rPr>
        <w:t xml:space="preserve"> 39 Regulaminu Trybunału, prosząc Trybunał o zapobieżenie wydaleniu skarżących na Białoruś.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" w:name="R39_applied_20_July_2017"/>
      <w:bookmarkStart w:id="4" w:name="applicants_returned_20_July"/>
      <w:bookmarkEnd w:id="3"/>
      <w:r w:rsidRPr="008C4280">
        <w:rPr>
          <w:rFonts w:ascii="Times New Roman" w:hAnsi="Times New Roman" w:cs="Times New Roman"/>
          <w:sz w:val="24"/>
          <w:szCs w:val="24"/>
        </w:rPr>
        <w:t>11</w:t>
      </w:r>
      <w:bookmarkEnd w:id="4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W dniu 20 lipca 2017 r., o godz. 10.08 Trybunał (sędzia dyżurny) podjął decyzję o zastosowaniu </w:t>
      </w:r>
      <w:r w:rsidR="00545E76" w:rsidRPr="008C4280">
        <w:rPr>
          <w:rFonts w:ascii="Times New Roman" w:hAnsi="Times New Roman" w:cs="Times New Roman"/>
          <w:sz w:val="24"/>
          <w:szCs w:val="24"/>
        </w:rPr>
        <w:t>Reguły</w:t>
      </w:r>
      <w:r w:rsidRPr="008C4280">
        <w:rPr>
          <w:rFonts w:ascii="Times New Roman" w:hAnsi="Times New Roman" w:cs="Times New Roman"/>
          <w:sz w:val="24"/>
          <w:szCs w:val="24"/>
        </w:rPr>
        <w:t xml:space="preserve"> 39 Regulaminu Trybunału, wskazując Rządowi, że skarżący nie powinni być wydaleni na Białoruś do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dnia 3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sierpnia 2017 r. Rząd został poinformowany o środku tymczasowym przed planowanym terminem wydalenia. Mimo to skarżący zostali odesłani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Białoruś o godz. 11.25. W notatce urzędowej sporządzonej przez </w:t>
      </w:r>
      <w:r w:rsidR="000E4D4D" w:rsidRPr="008C4280">
        <w:rPr>
          <w:rFonts w:ascii="Times New Roman" w:hAnsi="Times New Roman" w:cs="Times New Roman"/>
          <w:sz w:val="24"/>
          <w:szCs w:val="24"/>
        </w:rPr>
        <w:t>Straż Graniczn</w:t>
      </w:r>
      <w:r w:rsidRPr="008C4280">
        <w:rPr>
          <w:rFonts w:ascii="Times New Roman" w:hAnsi="Times New Roman" w:cs="Times New Roman"/>
          <w:sz w:val="24"/>
          <w:szCs w:val="24"/>
        </w:rPr>
        <w:t>ą z tej okazji stwierdzono, że podczas pobytu na granicy skarżący wyrazili chęć wjazdu do Polski w celu znalezienia lepszego miejsca do pracy, rozwoju zawodowego oraz odwiedzenia swoich rodzin, które zamieszkują w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Zjednoczonym Królestwie i w Niemczech.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5" w:name="HFHR_letter"/>
      <w:r w:rsidRPr="008C4280">
        <w:rPr>
          <w:rFonts w:ascii="Times New Roman" w:hAnsi="Times New Roman" w:cs="Times New Roman"/>
          <w:sz w:val="24"/>
          <w:szCs w:val="24"/>
        </w:rPr>
        <w:t>12</w:t>
      </w:r>
      <w:bookmarkEnd w:id="5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tym samym dniu, 20 lipca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>, Helsińska Fundacja Praw Człowieka – organizacja pozarządowa, z którą współpracował przedstawiciel skarżących – wysłała pismo do Komendanta Głównego Straży Granicznej, informujące go o zarzutach skarżących, że ich życzenia złożenia wniosków 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udzielenie ochrony międzynarodowej zostały zignorowane na przejściu granicznym w Terespolu</w:t>
      </w:r>
      <w:r w:rsidR="00F7139A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oraz o środku tymczasowym wydanym przez Trybunał.</w:t>
      </w:r>
    </w:p>
    <w:p w:rsidR="00DE5497" w:rsidRPr="008C4280" w:rsidRDefault="00DE5497" w:rsidP="008D2AFA">
      <w:pPr>
        <w:pStyle w:val="JuHIRoman"/>
        <w:numPr>
          <w:ilvl w:val="0"/>
          <w:numId w:val="1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lastRenderedPageBreak/>
        <w:t>Rozwój sytuacji po zastosowaniu środka tymczasowego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21 lipca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skarżący powrócili do przejścia granicznego w Terespolu, mając przy sobie kopię pisma informującego ich przedstawiciela o decyzji Trybunału w sprawie środka tymczasowego. Stwierdzili, że wyraźnie oświadczyli, iż ubiega</w:t>
      </w:r>
      <w:r w:rsidR="00F7139A" w:rsidRPr="008C4280">
        <w:rPr>
          <w:rFonts w:ascii="Times New Roman" w:hAnsi="Times New Roman" w:cs="Times New Roman"/>
          <w:sz w:val="24"/>
          <w:szCs w:val="24"/>
        </w:rPr>
        <w:t>ją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się o ochronę międzynarodową</w:t>
      </w:r>
      <w:r w:rsidR="00F7139A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i pokazali strażnikom granicznym kopie listów wzywających pierwszego i drugiego skarżącego do służby w armii syryjskiej. Skarżący twierdzili, że w obliczu sytuacji, w której funkcjonariusze Straży Granicznej ignorowali ich wnioski o udzielenie ochrony międzynarodowej, próbowali nagrywać przebieg rozmów na swoje telefony komórkowe. Jednakże, gdy funkcjonariusze prowadzący rozmowy zdali sobie z tego sprawę, zażądali telefonów skarżących i skasowali nagrania.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6" w:name="applicants_returned_21_July"/>
      <w:r w:rsidRPr="008C4280">
        <w:rPr>
          <w:rFonts w:ascii="Times New Roman" w:hAnsi="Times New Roman" w:cs="Times New Roman"/>
          <w:sz w:val="24"/>
          <w:szCs w:val="24"/>
        </w:rPr>
        <w:t>14</w:t>
      </w:r>
      <w:bookmarkEnd w:id="6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zostali ponownie zawróceni i odesłani na Białoruś. Rząd stwierdził, że w trakcie rozmowy z funkcjonariuszami Straży Granicznej skarżący nie wyrazili żadnej potrzeby ochrony międzynarodowej; twierdzili raczej, że po ukończeniu studiów nie mieli już prawa pobytu na Białorusi i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chcieli wjechać do Polski w celu wyjazdu do Zjednoczonego Królestwa, dołączenia do przebywającej tam rodziny i kontynuowania kariery zawodowej.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21 lipca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Rząd zwrócił się do Trybunału o ponowne rozpatrzenie decyzji dotyczącej środka tymczasowego wskazanego na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podstawie </w:t>
      </w:r>
      <w:r w:rsidR="00545E76" w:rsidRPr="008C4280">
        <w:rPr>
          <w:rFonts w:ascii="Times New Roman" w:hAnsi="Times New Roman" w:cs="Times New Roman"/>
          <w:sz w:val="24"/>
          <w:szCs w:val="24"/>
        </w:rPr>
        <w:t>Reguły</w:t>
      </w:r>
      <w:r w:rsidRPr="008C4280">
        <w:rPr>
          <w:rFonts w:ascii="Times New Roman" w:hAnsi="Times New Roman" w:cs="Times New Roman"/>
          <w:sz w:val="24"/>
          <w:szCs w:val="24"/>
        </w:rPr>
        <w:t xml:space="preserve"> 39 Regulaminu Trybunału. Rząd argumentował, że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skarżący nigdy nie wnioskowali o ochronę międzynarodową ani nie podali powodów takiej ochrony.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7" w:name="R39_prolonged_clarification"/>
      <w:r w:rsidRPr="008C4280">
        <w:rPr>
          <w:rFonts w:ascii="Times New Roman" w:hAnsi="Times New Roman" w:cs="Times New Roman"/>
          <w:sz w:val="24"/>
          <w:szCs w:val="24"/>
        </w:rPr>
        <w:t>16</w:t>
      </w:r>
      <w:bookmarkEnd w:id="7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3 sierpnia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Trybunał (sędzia dyżurny) podjął decyzję o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przedłużeniu środka tymczasowego do dnia 8 września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oraz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wyjaśnieniu, że wskazanie udzielone Rządowi w dniu 20 lipca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– że skarżący nie powinni być wydaleni na Białoruś – należy rozumieć w ten sposób, że gdy stawią się na polskim przejściu granicznym, wnioski skarżących o udzielenie azylu powinny zostać przyjęte i zarejestrowane przez Straż Graniczną oraz przekazane do rozpatrzenia przez właściwe organy.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czasu rozpatrzenia ich wniosków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uchodźcy, skarżący nie powinni być odsyłani na Białoruś.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7 września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Trybunał (sędzia dyżurny) podjął decyzję o przedłużeniu środka tymczasowego do odwołania.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8" w:name="second_motion_to_lift_dissmissed"/>
      <w:r w:rsidRPr="008C4280">
        <w:rPr>
          <w:rFonts w:ascii="Times New Roman" w:hAnsi="Times New Roman" w:cs="Times New Roman"/>
          <w:sz w:val="24"/>
          <w:szCs w:val="24"/>
        </w:rPr>
        <w:t>18</w:t>
      </w:r>
      <w:bookmarkEnd w:id="8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20 października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, przedstawiając swoje uwagi dotyczące dopuszczalności i </w:t>
      </w:r>
      <w:r w:rsidR="006F27D2" w:rsidRPr="008C4280">
        <w:rPr>
          <w:rFonts w:ascii="Times New Roman" w:hAnsi="Times New Roman" w:cs="Times New Roman"/>
          <w:sz w:val="24"/>
          <w:szCs w:val="24"/>
        </w:rPr>
        <w:t>przedmiotu skargi</w:t>
      </w:r>
      <w:r w:rsidRPr="008C4280">
        <w:rPr>
          <w:rFonts w:ascii="Times New Roman" w:hAnsi="Times New Roman" w:cs="Times New Roman"/>
          <w:sz w:val="24"/>
          <w:szCs w:val="24"/>
        </w:rPr>
        <w:t xml:space="preserve">, Rząd ponownie zwrócił się do Trybunału o uchylenie środka tymczasowego wskazanego na podstawie 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Reguły </w:t>
      </w:r>
      <w:r w:rsidRPr="008C4280">
        <w:rPr>
          <w:rFonts w:ascii="Times New Roman" w:hAnsi="Times New Roman" w:cs="Times New Roman"/>
          <w:sz w:val="24"/>
          <w:szCs w:val="24"/>
        </w:rPr>
        <w:t>39 Regulaminu Trybunału. Powołał się na te same powody, które zostały przytoczone w jego poprzednim wniosku. W dniu 22 lutego 2018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Przewodniczący Sekcji odrzucił jego wniosek.</w:t>
      </w:r>
    </w:p>
    <w:p w:rsidR="00DE5497" w:rsidRPr="008C4280" w:rsidRDefault="00DE5497" w:rsidP="008D2AFA">
      <w:pPr>
        <w:pStyle w:val="JuHIRoman"/>
        <w:numPr>
          <w:ilvl w:val="0"/>
          <w:numId w:val="1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lastRenderedPageBreak/>
        <w:t>Odwołania skarżących od decyzji o odmowie wjazdu z 20 i 21 czerwca 2017 r.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25 lipca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skarżący złożyli odwołania od decyzji odmawiających im wjazdu do Polski wydanych w dniach 20 i 21 czerwca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</w:t>
      </w:r>
      <w:r w:rsidRPr="008C4280">
        <w:rPr>
          <w:rFonts w:ascii="Times New Roman" w:hAnsi="Times New Roman" w:cs="Times New Roman"/>
          <w:sz w:val="24"/>
          <w:szCs w:val="24"/>
        </w:rPr>
        <w:t>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20.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15 września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Komendant Główny Straży Granicznej utrzymał w mocy te decyzje. Stwierdził między innymi, że zgodnie z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prawem wewnętrznym rozmowa z cudzoziemcem, który nie posiada dokumentów uprawniających do przekroczenia granicy Polski, miała być przeprowadzona przez funkcjonariusza Straży Granicznej bez udziału innych osób i miała na celu ustalenie przyczyn przybycia cudzoziemca na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granicę. Komendant Straży Granicznej wskazał, że w trakcie przesłuchań skarżący nie wyrazili chęci ubiegania się o ochronę międzynarodową, podając jedynie zawodowe i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osobiste powody chęci przyjazdu do Polski. Podkreślił, że gdyby skarżący wyrazili wolę ubiegania się o ochronę międzynarodową, ich wnioski zostałyby przyjęte. Jednakże, wobec braku takiego oświadczenia z ich strony, funkcjonariusze Straży Granicznej nie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mogli przypuszczać, że skarżący są osobami ubiegającymi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uchodźcy. Odnosząc się do środka tymczasowego wskazanego przez Trybunał, Komendant Straży Granicznej stwierdził, że niemożliwe jest wydalenie z terytorium Polski osoby, która przede wszystkim nie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przekroczyła granicy legalnie, a prawo krajowe nie daje podstaw do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wpuszczenia skarżących na terytorium Polski, nawet pomimo zastosowania środka tymczasowego.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Skarżący złożyli </w:t>
      </w:r>
      <w:r w:rsidR="007A26B9" w:rsidRPr="008C4280">
        <w:rPr>
          <w:rFonts w:ascii="Times New Roman" w:hAnsi="Times New Roman" w:cs="Times New Roman"/>
          <w:sz w:val="24"/>
          <w:szCs w:val="24"/>
        </w:rPr>
        <w:t xml:space="preserve">skargi </w:t>
      </w:r>
      <w:r w:rsidRPr="008C4280">
        <w:rPr>
          <w:rFonts w:ascii="Times New Roman" w:hAnsi="Times New Roman" w:cs="Times New Roman"/>
          <w:sz w:val="24"/>
          <w:szCs w:val="24"/>
        </w:rPr>
        <w:t>do Wojewódzkiego Sądu Administracyjnego w Warszawie.</w:t>
      </w:r>
      <w:r w:rsidR="007A26B9" w:rsidRPr="008C4280">
        <w:rPr>
          <w:rFonts w:ascii="Times New Roman" w:hAnsi="Times New Roman" w:cs="Times New Roman"/>
          <w:sz w:val="24"/>
          <w:szCs w:val="24"/>
        </w:rPr>
        <w:t xml:space="preserve"> Skargi</w:t>
      </w:r>
      <w:r w:rsidRPr="008C4280">
        <w:rPr>
          <w:rFonts w:ascii="Times New Roman" w:hAnsi="Times New Roman" w:cs="Times New Roman"/>
          <w:sz w:val="24"/>
          <w:szCs w:val="24"/>
        </w:rPr>
        <w:t xml:space="preserve"> odnosiły się wyłącznie do decyzji utrzymujących w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mocy decyzje o odmowie wjazdu wydane w dniu 21 czerwca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</w:t>
      </w:r>
      <w:r w:rsidRPr="008C4280">
        <w:rPr>
          <w:rFonts w:ascii="Times New Roman" w:hAnsi="Times New Roman" w:cs="Times New Roman"/>
          <w:sz w:val="24"/>
          <w:szCs w:val="24"/>
        </w:rPr>
        <w:t>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7 marca 2018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Wojewódzki Sąd Administracyjny w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Warszawie uchylił decyzje Komendanta Głównego Straży Granicznej i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Komendanta Terespolskiego Oddziału Straży Granicznej wydane odpowiednio w dniach 15 września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i 21 lipca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</w:t>
      </w:r>
      <w:r w:rsidRPr="008C4280">
        <w:rPr>
          <w:rFonts w:ascii="Times New Roman" w:hAnsi="Times New Roman" w:cs="Times New Roman"/>
          <w:sz w:val="24"/>
          <w:szCs w:val="24"/>
        </w:rPr>
        <w:t>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" w:name="Regional_Adm_beg"/>
      <w:r w:rsidRPr="008C4280">
        <w:rPr>
          <w:rFonts w:ascii="Times New Roman" w:hAnsi="Times New Roman" w:cs="Times New Roman"/>
          <w:sz w:val="24"/>
          <w:szCs w:val="24"/>
        </w:rPr>
        <w:t>23</w:t>
      </w:r>
      <w:bookmarkEnd w:id="9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Wojewódzki Sąd Administracyjny w Warszawie podkreślił, że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procedura odmowy wjazdu cudzoziemcowi, w której sporządzana jest jedynie notatka urzędowa przez funkcjonariuszy Straży Granicznej, jest specyficzną procedurą doraźną, która może być prowadzona tylko w bardzo oczywistych przypadkach i tylko wtedy, gdy nie narusza przepisów dotyczących prawa do azylu i ochrony międzynarodowej. Wskazał, że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sprawach skarżących notatki urzędowe były bardzo lakoniczne, nie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zawierały informacji o językach, którymi posługiwali się skarżący, o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obecności tłumacza ani </w:t>
      </w:r>
      <w:r w:rsidR="0014319E" w:rsidRPr="008C4280">
        <w:rPr>
          <w:rFonts w:ascii="Times New Roman" w:hAnsi="Times New Roman" w:cs="Times New Roman"/>
          <w:sz w:val="24"/>
          <w:szCs w:val="24"/>
        </w:rPr>
        <w:t>o pytaniach</w:t>
      </w:r>
      <w:r w:rsidRPr="008C4280">
        <w:rPr>
          <w:rFonts w:ascii="Times New Roman" w:hAnsi="Times New Roman" w:cs="Times New Roman"/>
          <w:sz w:val="24"/>
          <w:szCs w:val="24"/>
        </w:rPr>
        <w:t xml:space="preserve"> zadawanych przez funkcjonariuszy Straży Granicznej. Wojewódzki Sąd Administracyjny w Warszawie zauważył, że zwięzłość notatek należało skontrastować z faktem, że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skarżący przedstawili swoje zdjęcia z pisemnymi oświadczeniami, że</w:t>
      </w:r>
      <w:r w:rsidR="00563A0B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chcą ubiegać się o ochronę międzynarodową oraz – w przypadku pierwszego i drugiego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skarżącego – kopie ich nakazów poborowych, wzywających ich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wstąpienia do</w:t>
      </w:r>
      <w:r w:rsidR="0014319E" w:rsidRPr="008C4280">
        <w:rPr>
          <w:rFonts w:ascii="Times New Roman" w:hAnsi="Times New Roman" w:cs="Times New Roman"/>
          <w:sz w:val="24"/>
          <w:szCs w:val="24"/>
        </w:rPr>
        <w:t xml:space="preserve"> syryjskiego wojska, wielokrotnymi</w:t>
      </w:r>
      <w:r w:rsidRPr="008C4280">
        <w:rPr>
          <w:rFonts w:ascii="Times New Roman" w:hAnsi="Times New Roman" w:cs="Times New Roman"/>
          <w:sz w:val="24"/>
          <w:szCs w:val="24"/>
        </w:rPr>
        <w:t xml:space="preserve"> oświadczenia</w:t>
      </w:r>
      <w:r w:rsidR="0014319E" w:rsidRPr="008C4280">
        <w:rPr>
          <w:rFonts w:ascii="Times New Roman" w:hAnsi="Times New Roman" w:cs="Times New Roman"/>
          <w:sz w:val="24"/>
          <w:szCs w:val="24"/>
        </w:rPr>
        <w:t>mi</w:t>
      </w:r>
      <w:r w:rsidRPr="008C4280">
        <w:rPr>
          <w:rFonts w:ascii="Times New Roman" w:hAnsi="Times New Roman" w:cs="Times New Roman"/>
          <w:sz w:val="24"/>
          <w:szCs w:val="24"/>
        </w:rPr>
        <w:t xml:space="preserve"> skarżących i ich pełnomocnika w trakci</w:t>
      </w:r>
      <w:r w:rsidR="0014319E" w:rsidRPr="008C4280">
        <w:rPr>
          <w:rFonts w:ascii="Times New Roman" w:hAnsi="Times New Roman" w:cs="Times New Roman"/>
          <w:sz w:val="24"/>
          <w:szCs w:val="24"/>
        </w:rPr>
        <w:t>e całego postępowania wskazującymi</w:t>
      </w:r>
      <w:r w:rsidRPr="008C4280">
        <w:rPr>
          <w:rFonts w:ascii="Times New Roman" w:hAnsi="Times New Roman" w:cs="Times New Roman"/>
          <w:sz w:val="24"/>
          <w:szCs w:val="24"/>
        </w:rPr>
        <w:t xml:space="preserve"> na chęć ubiegania się o ochronę m</w:t>
      </w:r>
      <w:r w:rsidR="0014319E" w:rsidRPr="008C4280">
        <w:rPr>
          <w:rFonts w:ascii="Times New Roman" w:hAnsi="Times New Roman" w:cs="Times New Roman"/>
          <w:sz w:val="24"/>
          <w:szCs w:val="24"/>
        </w:rPr>
        <w:t>iędzynarodową, jak również treścią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środka tymczasowego wydanego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ich sprawie przez Trybunał. Sąd uznał, że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wszystkie te okoliczności nie pozwalały na bezsporne ustalenie, że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skarżący, przebywając na granicy Polski, rzeczywiście wyrazili wolę ubiegania się o</w:t>
      </w:r>
      <w:r w:rsidR="004A4B08">
        <w:t> </w:t>
      </w:r>
      <w:r w:rsidRPr="008C4280">
        <w:rPr>
          <w:rFonts w:ascii="Times New Roman" w:hAnsi="Times New Roman" w:cs="Times New Roman"/>
          <w:sz w:val="24"/>
          <w:szCs w:val="24"/>
        </w:rPr>
        <w:t>ochronę międzynarodową, ale czyniły to wysoce prawdopodobnym.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0" w:name="Regional_Adm_end"/>
      <w:r w:rsidRPr="008C4280">
        <w:rPr>
          <w:rFonts w:ascii="Times New Roman" w:hAnsi="Times New Roman" w:cs="Times New Roman"/>
          <w:sz w:val="24"/>
          <w:szCs w:val="24"/>
        </w:rPr>
        <w:t>24</w:t>
      </w:r>
      <w:bookmarkEnd w:id="10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Ponadto, w opinii sądu krajowego, sam fakt, że skarżący posiadali środek tymczasowy przyznany przez Trybunał, powinien był wskazać funkcjonariuszom </w:t>
      </w:r>
      <w:r w:rsidR="000E4D4D" w:rsidRPr="008C4280">
        <w:rPr>
          <w:rFonts w:ascii="Times New Roman" w:hAnsi="Times New Roman" w:cs="Times New Roman"/>
          <w:sz w:val="24"/>
          <w:szCs w:val="24"/>
        </w:rPr>
        <w:t>Straży Granicznej</w:t>
      </w:r>
      <w:r w:rsidRPr="008C4280">
        <w:rPr>
          <w:rFonts w:ascii="Times New Roman" w:hAnsi="Times New Roman" w:cs="Times New Roman"/>
          <w:sz w:val="24"/>
          <w:szCs w:val="24"/>
        </w:rPr>
        <w:t>, że ich sprawa wymagała bardziej szczegółowego zbadania. W konsekwencji uznał, że skarżący powinni zostać dokładniej przesłuchani przez funkcjonariuszy Straży Granicznej, 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ich przesłuchania powinny zostać utrwalone w formie szczegółowego protokołu. W ocenie sądu, skrócone notatki urzędowe sporządzone przez funkcjonariuszy Straży Granicznej były niewystarczające do ustalenia, czy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skarżący rzeczywiście wyrazili wolę złożenia wniosków o udzielenie ochrony międzynarodowej.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Wojewódzki Sąd Administracyjny w Warszawie umorzył również postępowanie w sprawie odmowy wjazdu do Polski, ponieważ skarżący nie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znajdowali się już na granicy polsko-białoruskiej.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Pełnomocnik skarżących wniósł skargi kasacyjne od wyroków z dnia 7 marca 2018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</w:t>
      </w:r>
      <w:r w:rsidRPr="008C4280">
        <w:rPr>
          <w:rFonts w:ascii="Times New Roman" w:hAnsi="Times New Roman" w:cs="Times New Roman"/>
          <w:sz w:val="24"/>
          <w:szCs w:val="24"/>
        </w:rPr>
        <w:t>. Podniósł, że Wojewódzki Sąd Administracyjny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Warszawie powinien był uznać, że skarżący rzeczywiście złożyli wnioski o udzielenie ochrony międzynarodowej. </w:t>
      </w:r>
      <w:r w:rsidR="0014319E" w:rsidRPr="008C4280">
        <w:rPr>
          <w:rFonts w:ascii="Times New Roman" w:hAnsi="Times New Roman" w:cs="Times New Roman"/>
          <w:sz w:val="24"/>
          <w:szCs w:val="24"/>
        </w:rPr>
        <w:t>K</w:t>
      </w:r>
      <w:r w:rsidRPr="008C4280">
        <w:rPr>
          <w:rFonts w:ascii="Times New Roman" w:hAnsi="Times New Roman" w:cs="Times New Roman"/>
          <w:sz w:val="24"/>
          <w:szCs w:val="24"/>
        </w:rPr>
        <w:t>westionował również decyzję 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umorzeniu postępowania.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preme_Adm"/>
      <w:r w:rsidRPr="008C4280">
        <w:rPr>
          <w:rFonts w:ascii="Times New Roman" w:hAnsi="Times New Roman" w:cs="Times New Roman"/>
          <w:sz w:val="24"/>
          <w:szCs w:val="24"/>
        </w:rPr>
        <w:t>27</w:t>
      </w:r>
      <w:bookmarkEnd w:id="11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dniu 14 grudnia 2018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Naczelny Sąd Administracyjny oddalił skargi kasacyjne. Oparł się na tych samych przesłankach, co sąd pierwszej instancji. Powtórzył, że funkcjonariusze Straży Granicznej nie zbadali prawidłowo sprawy skarżących i że sporządzona przez nich notatka urzędowa była niewystarczająca do wydania decyzji o odmowie wjazdu. Podkreślił również, że ponieważ decyzja została natychmiast wykonana, postępowanie musi zostać umorzone, a w przypadku ponownej próby wjazdu skarżących do Polski, powinno zostać wszczęte nowe postępowanie administracyjne.</w:t>
      </w:r>
    </w:p>
    <w:p w:rsidR="00DE5497" w:rsidRPr="008C4280" w:rsidRDefault="00DE5497" w:rsidP="00913DFD">
      <w:pPr>
        <w:pStyle w:val="JuHHead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WŁAŚCIWE RAMY PRAWNE I PRAKTYKA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Właściwe prawo krajowe i praktyka dotycząca udzielania cudzoziemcom ochrony międzynarodowej oraz procedury odmowy wjazdu, w tym raporty dotyczące sytuacji na przejściu granicznym w Terespolu, zostały przedstawione w wyroku Trybunału w sprawie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</w:t>
      </w:r>
      <w:r w:rsidR="00851E46"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Inni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przeciwko Polsce</w:t>
      </w:r>
      <w:r w:rsidRPr="008C4280">
        <w:rPr>
          <w:rFonts w:ascii="Times New Roman" w:hAnsi="Times New Roman" w:cs="Times New Roman"/>
          <w:sz w:val="24"/>
          <w:szCs w:val="24"/>
        </w:rPr>
        <w:t xml:space="preserve"> (nr 40503/17, 42902/17 i 43643/17, §§ 67-117, 23 lipca 2020).</w:t>
      </w:r>
    </w:p>
    <w:p w:rsidR="00DE5497" w:rsidRPr="008C4280" w:rsidRDefault="00DE5497" w:rsidP="007A26B9">
      <w:pPr>
        <w:pStyle w:val="JuHHead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lastRenderedPageBreak/>
        <w:t>PRAWO</w:t>
      </w:r>
    </w:p>
    <w:p w:rsidR="00DE5497" w:rsidRPr="008C4280" w:rsidRDefault="00DE5497" w:rsidP="00E146AC">
      <w:pPr>
        <w:pStyle w:val="JuHIRoman"/>
        <w:numPr>
          <w:ilvl w:val="0"/>
          <w:numId w:val="4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DOPUSZCZALNOŚĆ</w:t>
      </w:r>
    </w:p>
    <w:p w:rsidR="00DE5497" w:rsidRPr="008C4280" w:rsidRDefault="00DE5497" w:rsidP="00E146AC">
      <w:pPr>
        <w:pStyle w:val="JuHA"/>
        <w:numPr>
          <w:ilvl w:val="0"/>
          <w:numId w:val="5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Kwestia jurysdykcji na mocy art. 1 Konwencji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29.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Artykuł 1 Konwencji stanowi:</w:t>
      </w:r>
    </w:p>
    <w:p w:rsidR="00DE5497" w:rsidRPr="008C4280" w:rsidRDefault="00C70896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0"/>
          <w:szCs w:val="20"/>
        </w:rPr>
        <w:t>„</w:t>
      </w:r>
      <w:r w:rsidR="00DE5497" w:rsidRPr="008C4280">
        <w:rPr>
          <w:rFonts w:ascii="Times New Roman" w:hAnsi="Times New Roman" w:cs="Times New Roman"/>
          <w:sz w:val="20"/>
          <w:szCs w:val="20"/>
        </w:rPr>
        <w:t>Wysokie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="00DE5497" w:rsidRPr="008C4280">
        <w:rPr>
          <w:rFonts w:ascii="Times New Roman" w:hAnsi="Times New Roman" w:cs="Times New Roman"/>
          <w:sz w:val="20"/>
          <w:szCs w:val="20"/>
        </w:rPr>
        <w:t>Układające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="00DE5497" w:rsidRPr="008C4280">
        <w:rPr>
          <w:rFonts w:ascii="Times New Roman" w:hAnsi="Times New Roman" w:cs="Times New Roman"/>
          <w:sz w:val="20"/>
          <w:szCs w:val="20"/>
        </w:rPr>
        <w:t>się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="00DE5497" w:rsidRPr="008C4280">
        <w:rPr>
          <w:rFonts w:ascii="Times New Roman" w:hAnsi="Times New Roman" w:cs="Times New Roman"/>
          <w:sz w:val="20"/>
          <w:szCs w:val="20"/>
        </w:rPr>
        <w:t>Strony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="00DE5497" w:rsidRPr="008C4280">
        <w:rPr>
          <w:rFonts w:ascii="Times New Roman" w:hAnsi="Times New Roman" w:cs="Times New Roman"/>
          <w:sz w:val="20"/>
          <w:szCs w:val="20"/>
        </w:rPr>
        <w:t>zapewniają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="00DE5497" w:rsidRPr="008C4280">
        <w:rPr>
          <w:rFonts w:ascii="Times New Roman" w:hAnsi="Times New Roman" w:cs="Times New Roman"/>
          <w:sz w:val="20"/>
          <w:szCs w:val="20"/>
        </w:rPr>
        <w:t>każdemu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="00DE5497" w:rsidRPr="008C4280">
        <w:rPr>
          <w:rFonts w:ascii="Times New Roman" w:hAnsi="Times New Roman" w:cs="Times New Roman"/>
          <w:sz w:val="20"/>
          <w:szCs w:val="20"/>
        </w:rPr>
        <w:t>człowiekowi,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="00DE5497" w:rsidRPr="008C4280">
        <w:rPr>
          <w:rFonts w:ascii="Times New Roman" w:hAnsi="Times New Roman" w:cs="Times New Roman"/>
          <w:sz w:val="20"/>
          <w:szCs w:val="20"/>
        </w:rPr>
        <w:t>podlegającemu ich jurysdykcji, prawa i wolności określone w Rozdziale I [niniejszej] Konwencji”</w:t>
      </w:r>
      <w:r w:rsidRPr="008C4280">
        <w:rPr>
          <w:rFonts w:ascii="Times New Roman" w:hAnsi="Times New Roman" w:cs="Times New Roman"/>
          <w:sz w:val="20"/>
          <w:szCs w:val="20"/>
        </w:rPr>
        <w:t>.</w:t>
      </w:r>
    </w:p>
    <w:p w:rsidR="00DE5497" w:rsidRPr="008C4280" w:rsidRDefault="00DE5497" w:rsidP="00E146AC">
      <w:pPr>
        <w:pStyle w:val="JuH1"/>
        <w:numPr>
          <w:ilvl w:val="0"/>
          <w:numId w:val="2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Oświadczenia stron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30.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swoim oświadczeniu dla Trybunału Rząd wskazał, że niniejsza sprawa ma szczególny charakter, ponieważ dotyczy decyzji o odmowie wjazdu do Polski wydanych przez władze graniczne w punktach kontrolnych na granicy polsko-białoruskiej. Rząd wskazał, że skarżący przebywali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terytorium Polski jedynie przez krótki czas i nie zostali legalnie przyjęci na to terytorium. W związku z tym, jurysdykcja polskich władz w stosunku do nich była ograniczona do wydania decyzji odmawiających im wjazdu.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Skarżący twierdzili, że zgodnie z art. 1 Konwencja ma zastosowanie do wszystkich osób podlegających jurysdykcji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>jącej się Strony, która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 jest ograniczona do jej terytorium. Argumentowali, że Konwencja ma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zastosowanie we wszystkich sytuacjach, w których sprawowana </w:t>
      </w:r>
      <w:r w:rsidR="00E135E2" w:rsidRPr="008C4280">
        <w:rPr>
          <w:rFonts w:ascii="Times New Roman" w:hAnsi="Times New Roman" w:cs="Times New Roman"/>
          <w:sz w:val="24"/>
          <w:szCs w:val="24"/>
        </w:rPr>
        <w:t>jest</w:t>
      </w:r>
      <w:r w:rsidRPr="008C4280">
        <w:rPr>
          <w:rFonts w:ascii="Times New Roman" w:hAnsi="Times New Roman" w:cs="Times New Roman"/>
          <w:sz w:val="24"/>
          <w:szCs w:val="24"/>
        </w:rPr>
        <w:t xml:space="preserve"> skuteczna kontrola przez organy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>jącej się Strony. Wskazali również, że przejście graniczne w Terespolu, na którym zostali poddani kontroli granicznej, znajduje się 2600 metrów w głąb terytorium Polski, 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funkcjonariusze Straży Granicznej dokonujący kontroli granicznej cudzoziemców sprawowali pełną władzę nad cudzoziemcami ubiegającymi się o wjazd do Polski. Ponadto stwierdzili, że zarówno z prawa międzynarodowego, jak i prawa Unii Europejskiej wynika, że zasada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non-refoulement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chroni osoby, które po</w:t>
      </w:r>
      <w:r w:rsidR="005620A8" w:rsidRPr="008C4280">
        <w:rPr>
          <w:rFonts w:ascii="Times New Roman" w:hAnsi="Times New Roman" w:cs="Times New Roman"/>
          <w:sz w:val="24"/>
          <w:szCs w:val="24"/>
        </w:rPr>
        <w:t>dlegają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kontroli </w:t>
      </w:r>
      <w:r w:rsidR="005620A8" w:rsidRPr="008C4280">
        <w:rPr>
          <w:rFonts w:ascii="Times New Roman" w:hAnsi="Times New Roman" w:cs="Times New Roman"/>
          <w:sz w:val="24"/>
          <w:szCs w:val="24"/>
        </w:rPr>
        <w:t>granicznej, nawet zanim uzyskają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zgodę na wjazd do państwa od jego służb granicznych.</w:t>
      </w:r>
    </w:p>
    <w:p w:rsidR="00DE5497" w:rsidRPr="008C4280" w:rsidRDefault="00E47C6E" w:rsidP="00E146AC">
      <w:pPr>
        <w:pStyle w:val="JuH1"/>
        <w:numPr>
          <w:ilvl w:val="0"/>
          <w:numId w:val="2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Strona trzecia składająca interwencję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Wysoki Komisarz Narodów Zjednoczonych ds. Uchodźców (</w:t>
      </w:r>
      <w:r w:rsidR="0069154E" w:rsidRPr="008C4280">
        <w:rPr>
          <w:rFonts w:ascii="Times New Roman" w:hAnsi="Times New Roman" w:cs="Times New Roman"/>
          <w:sz w:val="24"/>
          <w:szCs w:val="24"/>
        </w:rPr>
        <w:t>„</w:t>
      </w:r>
      <w:r w:rsidRPr="008C4280">
        <w:rPr>
          <w:rFonts w:ascii="Times New Roman" w:hAnsi="Times New Roman" w:cs="Times New Roman"/>
          <w:sz w:val="24"/>
          <w:szCs w:val="24"/>
        </w:rPr>
        <w:t xml:space="preserve">UNHCR") podniósł, że obowiązek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non-refoulement </w:t>
      </w:r>
      <w:r w:rsidRPr="008C4280">
        <w:rPr>
          <w:rFonts w:ascii="Times New Roman" w:hAnsi="Times New Roman" w:cs="Times New Roman"/>
          <w:sz w:val="24"/>
          <w:szCs w:val="24"/>
        </w:rPr>
        <w:t>ma zastosowanie wszędzie tam, gdzie państwo wykonuje swoją jurysdykcję, w tym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granicy.</w:t>
      </w:r>
    </w:p>
    <w:p w:rsidR="00DE5497" w:rsidRPr="008C4280" w:rsidRDefault="00DE5497" w:rsidP="00E146AC">
      <w:pPr>
        <w:pStyle w:val="JuH1"/>
        <w:numPr>
          <w:ilvl w:val="0"/>
          <w:numId w:val="2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Ocena Trybunału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zauważa, że zajmował się już kwestią jurysdykcji 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państwa </w:t>
      </w:r>
      <w:r w:rsidRPr="008C4280">
        <w:rPr>
          <w:rFonts w:ascii="Times New Roman" w:hAnsi="Times New Roman" w:cs="Times New Roman"/>
          <w:sz w:val="24"/>
          <w:szCs w:val="24"/>
        </w:rPr>
        <w:t xml:space="preserve">nad skarżącymi, którzy stawili się do kontroli granicznej na lądowych przejściach granicznych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M.A. i Inni przeciwko Litwie, </w:t>
      </w:r>
      <w:r w:rsidRPr="008C4280">
        <w:rPr>
          <w:rFonts w:ascii="Times New Roman" w:hAnsi="Times New Roman" w:cs="Times New Roman"/>
          <w:sz w:val="24"/>
          <w:szCs w:val="24"/>
        </w:rPr>
        <w:t>nr 59793/17, §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70, 11 grudnia 2018 r.), w tym na przejściu granicznym w Terespolu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granicy polsko-białoruskiej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cyt.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powyżej, §§ 126-131). W tym ostatnim wyroku Trybunał wskazał,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kolejowe przejście graniczne w Terespolu zostało umieszczone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granicy z sąsiednim państwem i było obsługiwane przez odpowiednie jednostki polskiej Straży Granicznej. Zauważył ponadto, że wszystkie procedury stosowane na tym przejściu w zakresie odprawy granicznej, udzielenia lub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odmowy skarżącym wjazdu do Polski oraz przyjęcia 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rozpatrzenia ich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wniosków o udzielenie ochrony międzynarodowej, były prowadzone wyłącznie przez funkcjonariuszy państwa polskiego i były regulowane prawem krajowym i unijnym. Trybunał ustalił zatem,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działania, na które skarżyli się skarżący, </w:t>
      </w:r>
      <w:r w:rsidR="004E0601" w:rsidRPr="008C4280">
        <w:rPr>
          <w:rFonts w:ascii="Times New Roman" w:hAnsi="Times New Roman" w:cs="Times New Roman"/>
          <w:sz w:val="24"/>
          <w:szCs w:val="24"/>
        </w:rPr>
        <w:t xml:space="preserve">można było </w:t>
      </w:r>
      <w:r w:rsidRPr="008C4280">
        <w:rPr>
          <w:rFonts w:ascii="Times New Roman" w:hAnsi="Times New Roman" w:cs="Times New Roman"/>
          <w:sz w:val="24"/>
          <w:szCs w:val="24"/>
        </w:rPr>
        <w:t>przypisa</w:t>
      </w:r>
      <w:r w:rsidR="004E0601" w:rsidRPr="008C4280">
        <w:rPr>
          <w:rFonts w:ascii="Times New Roman" w:hAnsi="Times New Roman" w:cs="Times New Roman"/>
          <w:sz w:val="24"/>
          <w:szCs w:val="24"/>
        </w:rPr>
        <w:t>ć</w:t>
      </w:r>
      <w:r w:rsidRPr="008C4280">
        <w:rPr>
          <w:rFonts w:ascii="Times New Roman" w:hAnsi="Times New Roman" w:cs="Times New Roman"/>
          <w:sz w:val="24"/>
          <w:szCs w:val="24"/>
        </w:rPr>
        <w:t xml:space="preserve"> Polsce, 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tym samym podlegały jej jurysdykcji w rozumieniu art. 1 Konwencji (zob.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M.A. i Inni przeciwko Litwie, </w:t>
      </w:r>
      <w:r w:rsidRPr="008C4280">
        <w:rPr>
          <w:rFonts w:ascii="Times New Roman" w:hAnsi="Times New Roman" w:cs="Times New Roman"/>
          <w:sz w:val="24"/>
          <w:szCs w:val="24"/>
        </w:rPr>
        <w:t xml:space="preserve">cyt. powyżej, § 70, oraz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t>cyt. powyżej, § 132).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34.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nie widzi powodu, aby odstąpić od tych ustaleń w niniejszej sprawie. W związku z powyższym Trybunał stwierdza, że zdarzenia będące przyczyną zarzucanych naruszeń podlegają „jurysdykcji” Polski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rozumieniu art. 1 Konwencji.</w:t>
      </w:r>
    </w:p>
    <w:p w:rsidR="00DE5497" w:rsidRPr="008C4280" w:rsidRDefault="00DE5497" w:rsidP="00E146AC">
      <w:pPr>
        <w:pStyle w:val="JuHA"/>
        <w:numPr>
          <w:ilvl w:val="0"/>
          <w:numId w:val="5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Wyczerpanie krajowych środków odwoławczych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Rząd stwierdził, że skarga jest niedopuszczalna z powodu niewyczerpania krajowych środków odwoławczych.</w:t>
      </w:r>
    </w:p>
    <w:p w:rsidR="00DE5497" w:rsidRPr="008C4280" w:rsidRDefault="00DE5497" w:rsidP="00E146AC">
      <w:pPr>
        <w:pStyle w:val="JuH1"/>
        <w:numPr>
          <w:ilvl w:val="0"/>
          <w:numId w:val="16"/>
        </w:numPr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Oświadczenia stron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Rząd twierdził, że skarżący nie odwołali się od trzech z pięciu decyzji odmawiających im wjazdu do Polski oraz złożyli skargi w czasie, gdy ich odwołania od pozostałych dwóch decyzji były jeszcze w toku. Wskazał, że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odwołanie się od tych decyzji do Komendanta Głównego Straży Granicznej spowodowałoby ponowne rozpatrzenie spraw skarżących. Ponadto, w przypadku podtrzymania decyzji przez Komendanta Głównego Straży Granicznej, skarżący mogliby wnieść skargę do sądu administracyjnego. Rząd powołał się na przykłady wyroków Wojewódzkiego Sądu Administracyjnego w Warszawie, w których decyzje dotyczące odmowy wjazdu do Polski zostały uchylone. Twierdził,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istnienie takich wyroków dowodzi, że skarga do sądu administracyjnego mogła stanowić skuteczny środek odwoławczy w przypadkach podobnych do sytuacji skarżących.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twierdzili, że prawo do złożenia odwołania od decyzji odmawiającej im wjazdu nie stanowiło skutecznego środka odwoławczego. Podkreślili oni, że decyzja o odmowie wjazdu była natychmiast wykonalna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że odwołanie od niej nie miałoby skutku zawieszającego. W związku z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tym, nawet gdyby złożyli takie odwołania, zostaliby odesłani na Białoruś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narażeni na ryzyko „odesłania łańcuchowego” (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chain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noBreakHyphen/>
        <w:t>refoulement)</w:t>
      </w:r>
      <w:r w:rsidRPr="008C4280">
        <w:rPr>
          <w:rFonts w:ascii="Times New Roman" w:hAnsi="Times New Roman" w:cs="Times New Roman"/>
          <w:sz w:val="24"/>
          <w:szCs w:val="24"/>
        </w:rPr>
        <w:t xml:space="preserve"> 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Syrii. Skarżący twierdzili również, że Straż Graniczna jest formacją hierarchiczną,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podległą Ministrowi Spraw Wewnętrznych i Administracji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nadzorowaną przez tego Ministra i jako taka realizuje szerszą politykę Rządu polegającą na nieprzyjmowaniu do rozpatrzenia wniosków 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udzielenie ochrony międzynarodowej składanych przez uchodźców zgłaszających się na granicy Polski. Dlatego też, w opinii skarżących, jakakolwiek kontrola dokonywana przez Komendanta Głównego Straży Granicznej nie byłaby niezależna.</w:t>
      </w:r>
    </w:p>
    <w:p w:rsidR="00DE5497" w:rsidRPr="008C4280" w:rsidRDefault="00DE5497" w:rsidP="00E146AC">
      <w:pPr>
        <w:pStyle w:val="JuH1"/>
        <w:numPr>
          <w:ilvl w:val="0"/>
          <w:numId w:val="16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Ocena Trybunału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orzekł w wielu wcześniejszych sprawach, że w przypadku, gdy skarżący stara się zapobiec swojemu wydaleniu z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>jącego się Państwa, twierdząc, że takie wydalenie naraziłoby go na ryzyko traktowania sprzecznego z art. 3 Konwencji lub art. 4 Protokołu nr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4 do Konwencji, środek odwoławczy będzie skuteczny tylko wtedy, gdy będzie miał automatyczny skutek zawieszający (zob., między innymi,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Čonka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v. Belgia, </w:t>
      </w:r>
      <w:r w:rsidRPr="008C4280">
        <w:rPr>
          <w:rFonts w:ascii="Times New Roman" w:hAnsi="Times New Roman" w:cs="Times New Roman"/>
          <w:sz w:val="24"/>
          <w:szCs w:val="24"/>
        </w:rPr>
        <w:t>nr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51564/99, §§ 81-83, ECHR 2002-I;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Hirsi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Jamaa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Inni przeciwko Włochom</w:t>
      </w:r>
      <w:r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="0069154E" w:rsidRPr="008C4280">
        <w:rPr>
          <w:rFonts w:ascii="Times New Roman" w:hAnsi="Times New Roman" w:cs="Times New Roman"/>
          <w:sz w:val="24"/>
          <w:szCs w:val="24"/>
        </w:rPr>
        <w:t>[WI]</w:t>
      </w:r>
      <w:r w:rsidRPr="008C4280">
        <w:rPr>
          <w:rFonts w:ascii="Times New Roman" w:hAnsi="Times New Roman" w:cs="Times New Roman"/>
          <w:sz w:val="24"/>
          <w:szCs w:val="24"/>
        </w:rPr>
        <w:t xml:space="preserve">, nr 27765/09, § 199, ECHR 2012;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Gebremedhin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[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Gaberamadhien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] przeciwko Francji, </w:t>
      </w:r>
      <w:r w:rsidRPr="008C4280">
        <w:rPr>
          <w:rFonts w:ascii="Times New Roman" w:hAnsi="Times New Roman" w:cs="Times New Roman"/>
          <w:sz w:val="24"/>
          <w:szCs w:val="24"/>
        </w:rPr>
        <w:t xml:space="preserve">nr 25389/05, § 66, ECHR 2007-II;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M.S.S. przeciwko Belgii i Grecji </w:t>
      </w:r>
      <w:r w:rsidR="0069154E" w:rsidRPr="008C4280">
        <w:rPr>
          <w:rFonts w:ascii="Times New Roman" w:hAnsi="Times New Roman" w:cs="Times New Roman"/>
          <w:i/>
          <w:iCs/>
          <w:sz w:val="24"/>
          <w:szCs w:val="24"/>
        </w:rPr>
        <w:t>[WI]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C4280">
        <w:rPr>
          <w:rFonts w:ascii="Times New Roman" w:hAnsi="Times New Roman" w:cs="Times New Roman"/>
          <w:sz w:val="24"/>
          <w:szCs w:val="24"/>
        </w:rPr>
        <w:t xml:space="preserve">nr 30696/09, § 293, ECHR 2011; oraz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A.E.A. przeciwko Grecji, </w:t>
      </w:r>
      <w:r w:rsidRPr="008C4280">
        <w:rPr>
          <w:rFonts w:ascii="Times New Roman" w:hAnsi="Times New Roman" w:cs="Times New Roman"/>
          <w:sz w:val="24"/>
          <w:szCs w:val="24"/>
        </w:rPr>
        <w:t>nr 39034/12, § 69, 15 marca 2018 r.).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39.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Bezsporne jest, że w niniejszej sprawie skarżący mieli możliwość złożenia odwołania od każdej z decyzji dotyczących odmowy wjazdu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terminie czternastu dni od momentu, w którym zostali poinformowani 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tych decyzjach. Jednakże, zgodnie z polskim prawem, takie odwołania nie</w:t>
      </w:r>
      <w:r w:rsidR="00C533DA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miałyby automatycznego skutku zawieszającego w procesie powrotu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t>cyt. powyżej, § 74). Wynika z tego,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skarżący nie mieli dostępu do procedury, w ramach której ich sytuacja osobista mogłaby zostać niezależnie i dokładnie oceniona przez jakikolwiek organ krajowy przed ich odesłaniem na Białoruś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M.A. i Inni przeciwko Litwie,</w:t>
      </w:r>
      <w:r w:rsidRPr="008C4280">
        <w:rPr>
          <w:rFonts w:ascii="Times New Roman" w:hAnsi="Times New Roman" w:cs="Times New Roman"/>
          <w:sz w:val="24"/>
          <w:szCs w:val="24"/>
        </w:rPr>
        <w:t xml:space="preserve"> cyt. powyżej, § 84).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2" w:name="no_effective_remedy"/>
      <w:r w:rsidRPr="008C4280">
        <w:rPr>
          <w:rFonts w:ascii="Times New Roman" w:hAnsi="Times New Roman" w:cs="Times New Roman"/>
          <w:sz w:val="24"/>
          <w:szCs w:val="24"/>
        </w:rPr>
        <w:t>40</w:t>
      </w:r>
      <w:bookmarkEnd w:id="12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Ponieważ skargi skarżących dotyczyły zarzutów, że ich powrót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Białoruś naraziłby ich na rzeczywiste ryzyko doznania traktowania sprzecznego z art. 3 Konwencji, Trybunał uważa, że sam fakt, iż odwołanie od decyzji o odmowie wjazdu nie miałoby automatycznego skutku zawieszającego (i w konsekwencji nie mogłoby zapobiec powrotowi skarżących na Białoruś) jest wystarczający do stwierdzenia, że to odwołanie – i wszelkie dalsze odwołania do sądu administracyjnego, które mogły być wniesione później – nie stanowiły skutecznego środka odwoławczego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rozumieniu Konwencji. W związku z tym Trybunał nie uważa za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konieczne rozpatrywanie pozostałej części argumentów skarżących dotyczących dostępności i skuteczności tych środków odwoławczych.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41.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związku z powyższym, Trybunał odrzuca zarzut Rządu dotyczący niewyczerpania krajowych środków odwoławczych.</w:t>
      </w:r>
    </w:p>
    <w:p w:rsidR="00DE5497" w:rsidRPr="008C4280" w:rsidRDefault="00DE5497" w:rsidP="00E146AC">
      <w:pPr>
        <w:pStyle w:val="JuHA"/>
        <w:numPr>
          <w:ilvl w:val="0"/>
          <w:numId w:val="5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lastRenderedPageBreak/>
        <w:t>Wnioski w sprawie dopuszczalności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42.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dalej stwierdza, że skarga nie jest w sposób oczywisty nieuzasadniona w rozumieniu art. 35 ust. 3 </w:t>
      </w:r>
      <w:r w:rsidR="009E4646" w:rsidRPr="008C4280">
        <w:rPr>
          <w:rFonts w:ascii="Times New Roman" w:hAnsi="Times New Roman" w:cs="Times New Roman"/>
          <w:sz w:val="24"/>
          <w:szCs w:val="24"/>
        </w:rPr>
        <w:t>lit. a</w:t>
      </w:r>
      <w:r w:rsidRPr="008C4280">
        <w:rPr>
          <w:rFonts w:ascii="Times New Roman" w:hAnsi="Times New Roman" w:cs="Times New Roman"/>
          <w:sz w:val="24"/>
          <w:szCs w:val="24"/>
        </w:rPr>
        <w:t xml:space="preserve"> Konwencji. Nie jest ona niedopuszczalna z żadnego innego powodu i dlatego musi zostać uznana za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dopuszczalną.</w:t>
      </w:r>
    </w:p>
    <w:p w:rsidR="00DE5497" w:rsidRPr="008C4280" w:rsidRDefault="008D6855" w:rsidP="00E146AC">
      <w:pPr>
        <w:pStyle w:val="JuHIRoman"/>
        <w:numPr>
          <w:ilvl w:val="0"/>
          <w:numId w:val="4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ZARZUCAN</w:t>
      </w:r>
      <w:r w:rsidR="00DE5497" w:rsidRPr="008C4280">
        <w:rPr>
          <w:rFonts w:ascii="Times New Roman" w:hAnsi="Times New Roman"/>
          <w:lang w:val="pl-PL"/>
        </w:rPr>
        <w:t>E NARUSZENIE ART. 3 KONWENCJI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43.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zarzucali, że zostali narażeni na ryzyko tortur lub</w:t>
      </w:r>
      <w:r w:rsidR="00C533DA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nieludzkiego albo poniżającego traktowania w Syrii w wyniku odesłania ich na Białoruś, skąd prawdopodobnie zostaną odesłani do Rosji, 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następnie do Syrii, oraz że ich traktowanie przez polskie władze było poniżające. Powołali się na art. 3 Konwencji, który stanowi:</w:t>
      </w:r>
    </w:p>
    <w:p w:rsidR="00DE5497" w:rsidRPr="008C4280" w:rsidRDefault="00DE5497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0"/>
          <w:szCs w:val="20"/>
        </w:rPr>
        <w:t>„Nikt nie może być poddany torturom ani nieludzkiemu lub poniżającemu traktowaniu albo karaniu”.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" w:name="complaint_under3_second_aspect"/>
      <w:r w:rsidRPr="008C4280">
        <w:rPr>
          <w:rFonts w:ascii="Times New Roman" w:hAnsi="Times New Roman" w:cs="Times New Roman"/>
          <w:sz w:val="24"/>
          <w:szCs w:val="24"/>
        </w:rPr>
        <w:t>44</w:t>
      </w:r>
      <w:bookmarkEnd w:id="13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zauważa, że argumenty skarżących koncentrują się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dwóch różnych aspektach zarzucanego naruszenia art. 3 Konwencji: po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pierwsze,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ryzyku, że zostaną poddani nieludzkiemu i poniżającemu traktowaniu w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przypadku odesłania ich na Białoruś, a następnie do Syrii oraz na fakcie, że pomimo tego ryzyka polskie władze odesłały ich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Białoruś bez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właściwego rozpatrzenia ich wniosków; oraz po drugie,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traktowaniu skarżących przez polskie władze podczas tzw. procedury kontroli granicznej „drugiej linii”. W odniesieniu do tego ostatniego aspektu skargi, skarżący twierdzili, że cała sytuacja – tj. fakt, że oświadczenia złożone na granicy zostały bez ogródek zlekceważone oraz fakt,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odmówiono im procedury, do której byli uprawnieni na mocy prawa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zamiast tego odesłano ich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Białoruś – stanowiła poniżające traktowanie.</w:t>
      </w:r>
    </w:p>
    <w:p w:rsidR="00DE5497" w:rsidRPr="008C4280" w:rsidRDefault="006F27D2" w:rsidP="00E146AC">
      <w:pPr>
        <w:pStyle w:val="JuHA"/>
        <w:numPr>
          <w:ilvl w:val="0"/>
          <w:numId w:val="17"/>
        </w:numPr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Zarzucane</w:t>
      </w:r>
      <w:r w:rsidR="00DE5497" w:rsidRPr="008C4280">
        <w:rPr>
          <w:rFonts w:ascii="Times New Roman" w:hAnsi="Times New Roman"/>
          <w:lang w:val="pl-PL"/>
        </w:rPr>
        <w:t xml:space="preserve"> naruszenie art. 3 Konwencji z powodu odm</w:t>
      </w:r>
      <w:r w:rsidR="008D68BD" w:rsidRPr="008C4280">
        <w:rPr>
          <w:rFonts w:ascii="Times New Roman" w:hAnsi="Times New Roman"/>
          <w:lang w:val="pl-PL"/>
        </w:rPr>
        <w:t>ówienia</w:t>
      </w:r>
      <w:r w:rsidR="00DE5497" w:rsidRPr="008C4280">
        <w:rPr>
          <w:rFonts w:ascii="Times New Roman" w:hAnsi="Times New Roman"/>
          <w:lang w:val="pl-PL"/>
        </w:rPr>
        <w:t xml:space="preserve"> skarżącym dostępu do procedury azylowej i narażenia ich na</w:t>
      </w:r>
      <w:r w:rsidR="00C533DA" w:rsidRPr="008C4280">
        <w:rPr>
          <w:rFonts w:ascii="Times New Roman" w:hAnsi="Times New Roman"/>
          <w:lang w:val="pl-PL"/>
        </w:rPr>
        <w:t> </w:t>
      </w:r>
      <w:r w:rsidR="00DE5497" w:rsidRPr="008C4280">
        <w:rPr>
          <w:rFonts w:ascii="Times New Roman" w:hAnsi="Times New Roman"/>
          <w:lang w:val="pl-PL"/>
        </w:rPr>
        <w:t>ryzyko nieludzkiego i poniżającego traktowania oraz tortur w</w:t>
      </w:r>
      <w:r w:rsidR="00C533DA" w:rsidRPr="008C4280">
        <w:rPr>
          <w:rFonts w:ascii="Times New Roman" w:hAnsi="Times New Roman"/>
          <w:lang w:val="pl-PL"/>
        </w:rPr>
        <w:t> </w:t>
      </w:r>
      <w:r w:rsidR="00DE5497" w:rsidRPr="008C4280">
        <w:rPr>
          <w:rFonts w:ascii="Times New Roman" w:hAnsi="Times New Roman"/>
          <w:lang w:val="pl-PL"/>
        </w:rPr>
        <w:t>Syrii</w:t>
      </w:r>
    </w:p>
    <w:p w:rsidR="00DE5497" w:rsidRPr="008C4280" w:rsidRDefault="00DE5497" w:rsidP="00E146AC">
      <w:pPr>
        <w:pStyle w:val="JuH1"/>
        <w:numPr>
          <w:ilvl w:val="0"/>
          <w:numId w:val="10"/>
        </w:numPr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Oświadczenia stron</w:t>
      </w:r>
    </w:p>
    <w:p w:rsidR="00DE5497" w:rsidRPr="008C4280" w:rsidRDefault="00DE5497">
      <w:pPr>
        <w:keepNext/>
        <w:spacing w:before="100" w:after="120" w:line="240" w:lineRule="auto"/>
        <w:ind w:left="851" w:hanging="341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b/>
          <w:bCs/>
          <w:sz w:val="20"/>
          <w:szCs w:val="20"/>
        </w:rPr>
        <w:t>(a)</w:t>
      </w:r>
      <w:r w:rsidR="00851E46" w:rsidRPr="008C4280">
        <w:rPr>
          <w:rFonts w:ascii="Times New Roman" w:hAnsi="Times New Roman" w:cs="Times New Roman"/>
          <w:sz w:val="14"/>
          <w:szCs w:val="14"/>
        </w:rPr>
        <w:t xml:space="preserve"> </w:t>
      </w:r>
      <w:r w:rsidRPr="008C4280">
        <w:rPr>
          <w:rFonts w:ascii="Times New Roman" w:hAnsi="Times New Roman" w:cs="Times New Roman"/>
          <w:b/>
          <w:bCs/>
          <w:sz w:val="20"/>
          <w:szCs w:val="20"/>
        </w:rPr>
        <w:t>Skarżący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45.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nie kwestionowali twierdzenia Rządu, że polskie władze były związane zarówno ustawodawstwem krajowym, jak i prawem UE regulującym kontrole graniczne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49-50 poniżej). Zauważyli jednak, że wszystkie akty prawne przywołane przez Rząd zapewniały ochronę praw podstawowych – w szczególności w odniesieniu do zasady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non-refoulement</w:t>
      </w:r>
      <w:r w:rsidRPr="008C4280">
        <w:rPr>
          <w:rFonts w:ascii="Times New Roman" w:hAnsi="Times New Roman" w:cs="Times New Roman"/>
          <w:sz w:val="24"/>
          <w:szCs w:val="24"/>
        </w:rPr>
        <w:t>. Utrzymywali, że działania podjęte na przejściu granicznym w Terespolu naruszyły te przepisy.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lastRenderedPageBreak/>
        <w:t>46.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powtórzyli, że za każdym razem, gdy byli przesłuchiwani na drugiej linii kontroli granicznej, wyrażali wolę ubiegania się o ochronę międzynarodową i przedstawiali swoje stanowisko w przedmiocie ryzyka, jakie stwarzał ich powrót do Syrii oraz fakt, że nie mieli realnych szans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ubieganie się o ochronę międzynarodową na Białorusi lub – w przypadku wysłania tam – w Rosji. Ich zdaniem, funkcjonariusze Straży Granicznej mieli obowiązek traktować ich jako osoby poszukujące ochrony międzynarodowej, których roszczenia na podstawie art. 3 Konwencji powinny być rozpatrzone przez właściwy organ krajowy. Zamiast tego, funkcjonariusze Straży Granicznej zlekceważyli ich oświadczenia.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47.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twierdzili, że ich powrót na Białoruś naraził ich na ryzyko deportacji do Rosji, a następnie do Syrii, z uwagi na fakt, że ani Białoruś, ani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Rosja nie są krajami bezpiecznymi dla uchodźców z Syrii. Powołali się na szereg raportów wskazujących, że osoby ubiegające się o </w:t>
      </w:r>
      <w:r w:rsidR="00205E4C" w:rsidRPr="008C4280">
        <w:rPr>
          <w:rFonts w:ascii="Times New Roman" w:hAnsi="Times New Roman" w:cs="Times New Roman"/>
          <w:sz w:val="24"/>
          <w:szCs w:val="24"/>
        </w:rPr>
        <w:t>status uchodźcy</w:t>
      </w:r>
      <w:r w:rsidRPr="008C4280">
        <w:rPr>
          <w:rFonts w:ascii="Times New Roman" w:hAnsi="Times New Roman" w:cs="Times New Roman"/>
          <w:sz w:val="24"/>
          <w:szCs w:val="24"/>
        </w:rPr>
        <w:t xml:space="preserve"> były rutynowo wydalane z obu tych krajów.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48.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podnieśli, że trwający w Syrii konflikt zbrojny naraził ich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poważne ryzyko traktowania sprzecznego z art. 3 Konwencji. Wskazali oni w szczególności, że pierwszy i drugi skarżący otrzymali nakazy poboru wzywające ich do wstąpienia do syryjskiego wojska. Ponieważ nie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zastosowali się do tych nakazów, groziła im kara za dezercję. Wskazali oni, że osoby, które odmówiły służby w armii syryjskiej</w:t>
      </w:r>
      <w:r w:rsidR="00C4350C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były poddawane zatrzymaniu, złemu traktowaniu i torturom. Skarżący wskazali również,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należeli do grupy religijnej Druzów, która była prześladowana zarówno przez reżim Assada, jak i ekstremistów sunnickich.</w:t>
      </w:r>
    </w:p>
    <w:p w:rsidR="00DE5497" w:rsidRPr="008C4280" w:rsidRDefault="00DE5497">
      <w:pPr>
        <w:keepNext/>
        <w:spacing w:before="100" w:after="120" w:line="240" w:lineRule="auto"/>
        <w:ind w:left="851" w:hanging="341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b/>
          <w:bCs/>
          <w:sz w:val="20"/>
          <w:szCs w:val="20"/>
        </w:rPr>
        <w:t>(b)</w:t>
      </w:r>
      <w:r w:rsidR="00851E46" w:rsidRPr="008C4280">
        <w:rPr>
          <w:rFonts w:ascii="Times New Roman" w:hAnsi="Times New Roman" w:cs="Times New Roman"/>
          <w:sz w:val="14"/>
          <w:szCs w:val="14"/>
        </w:rPr>
        <w:t xml:space="preserve"> </w:t>
      </w:r>
      <w:r w:rsidRPr="008C4280">
        <w:rPr>
          <w:rFonts w:ascii="Times New Roman" w:hAnsi="Times New Roman" w:cs="Times New Roman"/>
          <w:b/>
          <w:bCs/>
          <w:sz w:val="20"/>
          <w:szCs w:val="20"/>
        </w:rPr>
        <w:t>Rząd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4" w:name="Govt_argument_EUlaw_beg"/>
      <w:r w:rsidRPr="008C4280">
        <w:rPr>
          <w:rFonts w:ascii="Times New Roman" w:hAnsi="Times New Roman" w:cs="Times New Roman"/>
          <w:sz w:val="24"/>
          <w:szCs w:val="24"/>
        </w:rPr>
        <w:t>49</w:t>
      </w:r>
      <w:bookmarkEnd w:id="14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Rząd zauważył, że granica polsko-białoruska </w:t>
      </w:r>
      <w:r w:rsidR="00C4350C" w:rsidRPr="008C4280">
        <w:rPr>
          <w:rFonts w:ascii="Times New Roman" w:hAnsi="Times New Roman" w:cs="Times New Roman"/>
          <w:sz w:val="24"/>
          <w:szCs w:val="24"/>
        </w:rPr>
        <w:t>jest</w:t>
      </w:r>
      <w:r w:rsidRPr="008C4280">
        <w:rPr>
          <w:rFonts w:ascii="Times New Roman" w:hAnsi="Times New Roman" w:cs="Times New Roman"/>
          <w:sz w:val="24"/>
          <w:szCs w:val="24"/>
        </w:rPr>
        <w:t xml:space="preserve"> jednocześnie zewnętrzną granicą Unii Europejskiej. W konsekwencji, władze, które prowadz</w:t>
      </w:r>
      <w:r w:rsidR="00C4350C" w:rsidRPr="008C4280">
        <w:rPr>
          <w:rFonts w:ascii="Times New Roman" w:hAnsi="Times New Roman" w:cs="Times New Roman"/>
          <w:sz w:val="24"/>
          <w:szCs w:val="24"/>
        </w:rPr>
        <w:t>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kontrole graniczne, </w:t>
      </w:r>
      <w:r w:rsidR="00C4350C" w:rsidRPr="008C4280">
        <w:rPr>
          <w:rFonts w:ascii="Times New Roman" w:hAnsi="Times New Roman" w:cs="Times New Roman"/>
          <w:sz w:val="24"/>
          <w:szCs w:val="24"/>
        </w:rPr>
        <w:t xml:space="preserve">są </w:t>
      </w:r>
      <w:r w:rsidRPr="008C4280">
        <w:rPr>
          <w:rFonts w:ascii="Times New Roman" w:hAnsi="Times New Roman" w:cs="Times New Roman"/>
          <w:sz w:val="24"/>
          <w:szCs w:val="24"/>
        </w:rPr>
        <w:t xml:space="preserve">związane zarówno ustawodawstwem krajowym, jak i prawem Unii Europejskiej. Rząd wyjaśnił, </w:t>
      </w:r>
      <w:r w:rsidR="00C4350C" w:rsidRPr="008C4280">
        <w:rPr>
          <w:rFonts w:ascii="Times New Roman" w:hAnsi="Times New Roman" w:cs="Times New Roman"/>
          <w:sz w:val="24"/>
          <w:szCs w:val="24"/>
        </w:rPr>
        <w:t>że cudzoziemcy, którzy zgłaszają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się na g</w:t>
      </w:r>
      <w:r w:rsidR="00C4350C" w:rsidRPr="008C4280">
        <w:rPr>
          <w:rFonts w:ascii="Times New Roman" w:hAnsi="Times New Roman" w:cs="Times New Roman"/>
          <w:sz w:val="24"/>
          <w:szCs w:val="24"/>
        </w:rPr>
        <w:t>ranicy polsko-białoruskiej, są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poddawani weryfikacji</w:t>
      </w:r>
      <w:r w:rsidR="00C4350C" w:rsidRPr="008C4280">
        <w:rPr>
          <w:rFonts w:ascii="Times New Roman" w:hAnsi="Times New Roman" w:cs="Times New Roman"/>
          <w:sz w:val="24"/>
          <w:szCs w:val="24"/>
        </w:rPr>
        <w:t xml:space="preserve"> dokumentów. Jeśli nie spełniają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warunków wjazdu, </w:t>
      </w:r>
      <w:r w:rsidR="00C4350C" w:rsidRPr="008C4280">
        <w:rPr>
          <w:rFonts w:ascii="Times New Roman" w:hAnsi="Times New Roman" w:cs="Times New Roman"/>
          <w:sz w:val="24"/>
          <w:szCs w:val="24"/>
        </w:rPr>
        <w:t xml:space="preserve">są </w:t>
      </w:r>
      <w:r w:rsidRPr="008C4280">
        <w:rPr>
          <w:rFonts w:ascii="Times New Roman" w:hAnsi="Times New Roman" w:cs="Times New Roman"/>
          <w:sz w:val="24"/>
          <w:szCs w:val="24"/>
        </w:rPr>
        <w:t xml:space="preserve">kierowani na kontrolę graniczną drugiej linii, gdzie funkcjonariusze </w:t>
      </w:r>
      <w:r w:rsidR="00C4350C" w:rsidRPr="008C4280">
        <w:rPr>
          <w:rFonts w:ascii="Times New Roman" w:hAnsi="Times New Roman" w:cs="Times New Roman"/>
          <w:sz w:val="24"/>
          <w:szCs w:val="24"/>
        </w:rPr>
        <w:t>Straży Granicznej przeprowadzają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szczegółowy wywiad. Wywiad ten </w:t>
      </w:r>
      <w:r w:rsidR="00C4350C" w:rsidRPr="008C4280">
        <w:rPr>
          <w:rFonts w:ascii="Times New Roman" w:hAnsi="Times New Roman" w:cs="Times New Roman"/>
          <w:sz w:val="24"/>
          <w:szCs w:val="24"/>
        </w:rPr>
        <w:t xml:space="preserve">jest </w:t>
      </w:r>
      <w:r w:rsidRPr="008C4280">
        <w:rPr>
          <w:rFonts w:ascii="Times New Roman" w:hAnsi="Times New Roman" w:cs="Times New Roman"/>
          <w:sz w:val="24"/>
          <w:szCs w:val="24"/>
        </w:rPr>
        <w:t xml:space="preserve">kluczowym elementem tej części kontroli granicznej, a oświadczenia składane przez cudzoziemca przy tej okazji </w:t>
      </w:r>
      <w:r w:rsidR="00C4350C" w:rsidRPr="008C4280">
        <w:rPr>
          <w:rFonts w:ascii="Times New Roman" w:hAnsi="Times New Roman" w:cs="Times New Roman"/>
          <w:sz w:val="24"/>
          <w:szCs w:val="24"/>
        </w:rPr>
        <w:t xml:space="preserve">są </w:t>
      </w:r>
      <w:r w:rsidRPr="008C4280">
        <w:rPr>
          <w:rFonts w:ascii="Times New Roman" w:hAnsi="Times New Roman" w:cs="Times New Roman"/>
          <w:sz w:val="24"/>
          <w:szCs w:val="24"/>
        </w:rPr>
        <w:t>jedynym elementem pozwalającym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zidentyfikowanie go jako osoby poszukującej ochrony międzynarodowej. W przypadku, gdy z</w:t>
      </w:r>
      <w:r w:rsidR="00C4350C" w:rsidRPr="008C4280">
        <w:rPr>
          <w:rFonts w:ascii="Times New Roman" w:hAnsi="Times New Roman" w:cs="Times New Roman"/>
          <w:sz w:val="24"/>
          <w:szCs w:val="24"/>
        </w:rPr>
        <w:t xml:space="preserve"> oświadczeń cudzoziemca wynika</w:t>
      </w:r>
      <w:r w:rsidRPr="008C4280">
        <w:rPr>
          <w:rFonts w:ascii="Times New Roman" w:hAnsi="Times New Roman" w:cs="Times New Roman"/>
          <w:sz w:val="24"/>
          <w:szCs w:val="24"/>
        </w:rPr>
        <w:t xml:space="preserve">, że poszukuje on takiej ochrony, wniosek w tym zakresie </w:t>
      </w:r>
      <w:r w:rsidR="00C4350C" w:rsidRPr="008C4280">
        <w:rPr>
          <w:rFonts w:ascii="Times New Roman" w:hAnsi="Times New Roman" w:cs="Times New Roman"/>
          <w:sz w:val="24"/>
          <w:szCs w:val="24"/>
        </w:rPr>
        <w:t xml:space="preserve">jest </w:t>
      </w:r>
      <w:r w:rsidRPr="008C4280">
        <w:rPr>
          <w:rFonts w:ascii="Times New Roman" w:hAnsi="Times New Roman" w:cs="Times New Roman"/>
          <w:sz w:val="24"/>
          <w:szCs w:val="24"/>
        </w:rPr>
        <w:t>uwzględniany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przekazywany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ponownego rozpatrzenia przez właściwy organ, 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cudzoziemiec kierowany do ośrodka dla cudzoziemców. Natomiast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przypadku, gdy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cudzoziemcy ci poda</w:t>
      </w:r>
      <w:r w:rsidR="000B2D20" w:rsidRPr="008C4280">
        <w:rPr>
          <w:rFonts w:ascii="Times New Roman" w:hAnsi="Times New Roman" w:cs="Times New Roman"/>
          <w:sz w:val="24"/>
          <w:szCs w:val="24"/>
        </w:rPr>
        <w:t>ją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inne powody próby wjazdu 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Polski (np.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ekonomiczne lub osobiste), wydawana </w:t>
      </w:r>
      <w:r w:rsidR="000B2D20" w:rsidRPr="008C4280">
        <w:rPr>
          <w:rFonts w:ascii="Times New Roman" w:hAnsi="Times New Roman" w:cs="Times New Roman"/>
          <w:sz w:val="24"/>
          <w:szCs w:val="24"/>
        </w:rPr>
        <w:t xml:space="preserve">jest </w:t>
      </w:r>
      <w:r w:rsidRPr="008C4280">
        <w:rPr>
          <w:rFonts w:ascii="Times New Roman" w:hAnsi="Times New Roman" w:cs="Times New Roman"/>
          <w:sz w:val="24"/>
          <w:szCs w:val="24"/>
        </w:rPr>
        <w:t>decyzja 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odmowie wjazdu i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niezwłocznie wykonywana.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5" w:name="Govt_argument_EUlaw_end"/>
      <w:r w:rsidRPr="008C4280">
        <w:rPr>
          <w:rFonts w:ascii="Times New Roman" w:hAnsi="Times New Roman" w:cs="Times New Roman"/>
          <w:sz w:val="24"/>
          <w:szCs w:val="24"/>
        </w:rPr>
        <w:lastRenderedPageBreak/>
        <w:t>50</w:t>
      </w:r>
      <w:bookmarkEnd w:id="15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Rząd podkreślił, że wyżej wymieniona procedura ma swoją podstawę w kodeksie granicznym Schengen i że funkcjonariusze Straży Granicznej stosują się do niej, ponieważ Polska jest członkiem Unii Europejskiej.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Odnosząc się do okoliczności niniejszej sprawy, Rząd twierdził,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każdym razem, gdy skarżący przybywali na przejście graniczne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Terespolu, byli przesłuchiwani przez funkcjonariuszy Straży Granicznej. Rząd utrzymywał, że w żadnym momencie żaden ze skarżących nie podał powodów, które uzasadniałyby przyznanie ochrony międzynarodowej. W</w:t>
      </w:r>
      <w:r w:rsidR="00C533DA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związku z tym nie </w:t>
      </w:r>
      <w:r w:rsidR="000B2D20" w:rsidRPr="008C4280">
        <w:rPr>
          <w:rFonts w:ascii="Times New Roman" w:hAnsi="Times New Roman" w:cs="Times New Roman"/>
          <w:sz w:val="24"/>
          <w:szCs w:val="24"/>
        </w:rPr>
        <w:t>przyjęto</w:t>
      </w:r>
      <w:r w:rsidRPr="008C4280">
        <w:rPr>
          <w:rFonts w:ascii="Times New Roman" w:hAnsi="Times New Roman" w:cs="Times New Roman"/>
          <w:sz w:val="24"/>
          <w:szCs w:val="24"/>
        </w:rPr>
        <w:t xml:space="preserve"> od nich żadnych wniosków w tym zakresie.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Rząd podkreślił ponadto, że wszyscy skarżący przybyli na Białoruś cztery lata (pierwszy i drugi skarżący) oraz dwa lata (trzecia skarżąca) przed złożeniem skarg do Trybunału. W swoich ustnych oświadczeniach złożonych przed </w:t>
      </w:r>
      <w:r w:rsidR="000E4D4D" w:rsidRPr="008C4280">
        <w:rPr>
          <w:rFonts w:ascii="Times New Roman" w:hAnsi="Times New Roman" w:cs="Times New Roman"/>
          <w:sz w:val="24"/>
          <w:szCs w:val="24"/>
        </w:rPr>
        <w:t xml:space="preserve">Strażą Graniczną </w:t>
      </w:r>
      <w:r w:rsidRPr="008C4280">
        <w:rPr>
          <w:rFonts w:ascii="Times New Roman" w:hAnsi="Times New Roman" w:cs="Times New Roman"/>
          <w:sz w:val="24"/>
          <w:szCs w:val="24"/>
        </w:rPr>
        <w:t>skarżący nie odnieśli się 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jakiegokolwiek traktowania, które naruszało art. 3 Konwencji, ani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jakiegokolwiek ryzyka doświadczenia takiego traktowania podczas pobytu na Białorusi. Wręcz przeciwnie, Rząd utrzymywał, że – zgodnie z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oświadczeniami skarżących – nadal przebywali oni na Białorusi w czasie postępowania przed Trybunałem i nie byli poddani żadnemu złemu traktowaniu.</w:t>
      </w:r>
    </w:p>
    <w:p w:rsidR="00DE5497" w:rsidRPr="008C4280" w:rsidRDefault="00E47C6E" w:rsidP="00E146AC">
      <w:pPr>
        <w:pStyle w:val="JuH1"/>
        <w:numPr>
          <w:ilvl w:val="0"/>
          <w:numId w:val="10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Strona trzecia składająca interwencję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" w:name="UNHCR_on_Terespol"/>
      <w:r w:rsidRPr="008C4280">
        <w:rPr>
          <w:rFonts w:ascii="Times New Roman" w:hAnsi="Times New Roman" w:cs="Times New Roman"/>
          <w:sz w:val="24"/>
          <w:szCs w:val="24"/>
        </w:rPr>
        <w:t>53</w:t>
      </w:r>
      <w:bookmarkEnd w:id="16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UNHCR stwierdził, że chociaż polskie prawo przewid</w:t>
      </w:r>
      <w:r w:rsidR="00BA1A3A" w:rsidRPr="008C4280">
        <w:rPr>
          <w:rFonts w:ascii="Times New Roman" w:hAnsi="Times New Roman" w:cs="Times New Roman"/>
          <w:sz w:val="24"/>
          <w:szCs w:val="24"/>
        </w:rPr>
        <w:t>uje</w:t>
      </w:r>
      <w:r w:rsidRPr="008C4280">
        <w:rPr>
          <w:rFonts w:ascii="Times New Roman" w:hAnsi="Times New Roman" w:cs="Times New Roman"/>
          <w:sz w:val="24"/>
          <w:szCs w:val="24"/>
        </w:rPr>
        <w:t xml:space="preserve"> standardy ochrony praw osób ubiegających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 zgodne z właściwym prawem międzynarodowym, w praktyce znaczna liczba osób ubiegających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 na przejściu granicznym w Terespolu została arbitralnie pozbawiona dostępu do sprawiedliwej i skutecznej procedury azylowej i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odesłana na Białoruś. </w:t>
      </w:r>
      <w:r w:rsidR="00E47C6E" w:rsidRPr="008C4280">
        <w:rPr>
          <w:rFonts w:ascii="Times New Roman" w:hAnsi="Times New Roman" w:cs="Times New Roman"/>
          <w:sz w:val="24"/>
          <w:szCs w:val="24"/>
        </w:rPr>
        <w:t>Składająca interwencję strona trzecia</w:t>
      </w:r>
      <w:r w:rsidRPr="008C4280">
        <w:rPr>
          <w:rFonts w:ascii="Times New Roman" w:hAnsi="Times New Roman" w:cs="Times New Roman"/>
          <w:sz w:val="24"/>
          <w:szCs w:val="24"/>
        </w:rPr>
        <w:t xml:space="preserve"> zauważył</w:t>
      </w:r>
      <w:r w:rsidR="00E47C6E" w:rsidRPr="008C4280">
        <w:rPr>
          <w:rFonts w:ascii="Times New Roman" w:hAnsi="Times New Roman" w:cs="Times New Roman"/>
          <w:sz w:val="24"/>
          <w:szCs w:val="24"/>
        </w:rPr>
        <w:t>a</w:t>
      </w:r>
      <w:r w:rsidRPr="008C4280">
        <w:rPr>
          <w:rFonts w:ascii="Times New Roman" w:hAnsi="Times New Roman" w:cs="Times New Roman"/>
          <w:sz w:val="24"/>
          <w:szCs w:val="24"/>
        </w:rPr>
        <w:t>, że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odpowiednim czasie UNHCR nie uzyskał dostępu 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strefy tranzytowej w Terespolu, gdzie odbywały się rozmowy wstępne z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potencjalnymi osobami ubiegającymi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uchodźcy. Jednak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okresie od maja 2016 r.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września 2017 r., UNHCR zarejestrował 182 rozmowy telefoniczne, w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których zainteresowane osoby twierdziły,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wyraziły zamiar ubiegania się o ochronę międzynarodową na granicy polsko-białoruskiej w Terespolu, ale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mimo to odmówiono im dostępu 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procedury i w trybie nagłym odesłano na Białoruś. Ponadto, od marca 2016 r. do września 2017 r. do UNHCR wpłynęły pisemne oświadczenia, interwencje i zapytania dotyczące 96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kolejnych przypadków takiej odmowy dostępu do procedury azylowej. </w:t>
      </w:r>
      <w:r w:rsidR="00E47C6E" w:rsidRPr="008C4280">
        <w:rPr>
          <w:rFonts w:ascii="Times New Roman" w:hAnsi="Times New Roman" w:cs="Times New Roman"/>
          <w:sz w:val="24"/>
          <w:szCs w:val="24"/>
        </w:rPr>
        <w:t xml:space="preserve">Składająca interwencję strona trzecia </w:t>
      </w:r>
      <w:r w:rsidRPr="008C4280">
        <w:rPr>
          <w:rFonts w:ascii="Times New Roman" w:hAnsi="Times New Roman" w:cs="Times New Roman"/>
          <w:sz w:val="24"/>
          <w:szCs w:val="24"/>
        </w:rPr>
        <w:t>wskazał</w:t>
      </w:r>
      <w:r w:rsidR="00E47C6E" w:rsidRPr="008C4280">
        <w:rPr>
          <w:rFonts w:ascii="Times New Roman" w:hAnsi="Times New Roman" w:cs="Times New Roman"/>
          <w:sz w:val="24"/>
          <w:szCs w:val="24"/>
        </w:rPr>
        <w:t>a</w:t>
      </w:r>
      <w:r w:rsidRPr="008C4280">
        <w:rPr>
          <w:rFonts w:ascii="Times New Roman" w:hAnsi="Times New Roman" w:cs="Times New Roman"/>
          <w:sz w:val="24"/>
          <w:szCs w:val="24"/>
        </w:rPr>
        <w:t xml:space="preserve"> również, że 275 podobnych incydentów, które rzekomo miały miejsce w 2016 i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>, zostało zgłoszonych przez jego organizację partnerską.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54.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UNHCR podkreślił, że rozmowy z osobami </w:t>
      </w:r>
      <w:r w:rsidR="00BA1A3A" w:rsidRPr="008C4280">
        <w:rPr>
          <w:rFonts w:ascii="Times New Roman" w:hAnsi="Times New Roman" w:cs="Times New Roman"/>
          <w:sz w:val="24"/>
          <w:szCs w:val="24"/>
        </w:rPr>
        <w:t xml:space="preserve">potencjalnie </w:t>
      </w:r>
      <w:r w:rsidRPr="008C4280">
        <w:rPr>
          <w:rFonts w:ascii="Times New Roman" w:hAnsi="Times New Roman" w:cs="Times New Roman"/>
          <w:sz w:val="24"/>
          <w:szCs w:val="24"/>
        </w:rPr>
        <w:t xml:space="preserve">ubiegającymi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 były bardzo krótkie i prowadzone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okolicznościach, które nie pozwalały na dostateczne uwzględnienie poufności i prywatności osób przesłuchiwanych. Nie zapewniały one również wystarczających gwarancji proceduralnych. UNHCR wskazał,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pomimo jego mandatu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nadzorowania stosowania postanowień Konwencji genewskiej dotyczącej statusu uchodźców z 1951 r.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odpowiednim czasie, ani jego pracownicy, ani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przedstawiciele organizacji pozarządowych nie mieli dostępu do obszaru na przejściu granicznym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Terespolu, gdzie miała miejsce kontrola graniczna drugiej linii. Przedstawiciele UNHCR mogli obserwować ten obszar jedynie z pewnej odległości, przez szklaną ścianę.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UNHCR stwierdził ponadto, że zasada</w:t>
      </w:r>
      <w:r w:rsidR="00BA1A3A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non-refoulement</w:t>
      </w:r>
      <w:r w:rsidRPr="008C4280">
        <w:rPr>
          <w:rFonts w:ascii="Times New Roman" w:hAnsi="Times New Roman" w:cs="Times New Roman"/>
          <w:sz w:val="24"/>
          <w:szCs w:val="24"/>
        </w:rPr>
        <w:t xml:space="preserve"> nie pozwala państwom na odsyłanie osoby, która zgł</w:t>
      </w:r>
      <w:r w:rsidR="00BA1A3A" w:rsidRPr="008C4280">
        <w:rPr>
          <w:rFonts w:ascii="Times New Roman" w:hAnsi="Times New Roman" w:cs="Times New Roman"/>
          <w:sz w:val="24"/>
          <w:szCs w:val="24"/>
        </w:rPr>
        <w:t>asza</w:t>
      </w:r>
      <w:r w:rsidRPr="008C4280">
        <w:rPr>
          <w:rFonts w:ascii="Times New Roman" w:hAnsi="Times New Roman" w:cs="Times New Roman"/>
          <w:sz w:val="24"/>
          <w:szCs w:val="24"/>
        </w:rPr>
        <w:t xml:space="preserve"> się na granicy</w:t>
      </w:r>
      <w:r w:rsidR="00BA1A3A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twierdząc,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jest zagrożona lub obawia się powrotu do kraju pochodzenia lub innego kraju. Podkreślił, że państwo musi ocenić, przed wydaleniem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zastrzeżeniem gwarancji proceduralnych, stosowność wydalenia każdej osoby z osobna. </w:t>
      </w:r>
      <w:r w:rsidR="00E47C6E" w:rsidRPr="008C4280">
        <w:rPr>
          <w:rFonts w:ascii="Times New Roman" w:hAnsi="Times New Roman" w:cs="Times New Roman"/>
          <w:sz w:val="24"/>
          <w:szCs w:val="24"/>
        </w:rPr>
        <w:t xml:space="preserve">Składająca interwencję strona trzecia </w:t>
      </w:r>
      <w:r w:rsidRPr="008C4280">
        <w:rPr>
          <w:rFonts w:ascii="Times New Roman" w:hAnsi="Times New Roman" w:cs="Times New Roman"/>
          <w:sz w:val="24"/>
          <w:szCs w:val="24"/>
        </w:rPr>
        <w:t>podni</w:t>
      </w:r>
      <w:r w:rsidR="00E47C6E" w:rsidRPr="008C4280">
        <w:rPr>
          <w:rFonts w:ascii="Times New Roman" w:hAnsi="Times New Roman" w:cs="Times New Roman"/>
          <w:sz w:val="24"/>
          <w:szCs w:val="24"/>
        </w:rPr>
        <w:t>osła</w:t>
      </w:r>
      <w:r w:rsidRPr="008C4280">
        <w:rPr>
          <w:rFonts w:ascii="Times New Roman" w:hAnsi="Times New Roman" w:cs="Times New Roman"/>
          <w:sz w:val="24"/>
          <w:szCs w:val="24"/>
        </w:rPr>
        <w:t>, że w je</w:t>
      </w:r>
      <w:r w:rsidR="00E47C6E" w:rsidRPr="008C4280">
        <w:rPr>
          <w:rFonts w:ascii="Times New Roman" w:hAnsi="Times New Roman" w:cs="Times New Roman"/>
          <w:sz w:val="24"/>
          <w:szCs w:val="24"/>
        </w:rPr>
        <w:t xml:space="preserve">j </w:t>
      </w:r>
      <w:r w:rsidRPr="008C4280">
        <w:rPr>
          <w:rFonts w:ascii="Times New Roman" w:hAnsi="Times New Roman" w:cs="Times New Roman"/>
          <w:sz w:val="24"/>
          <w:szCs w:val="24"/>
        </w:rPr>
        <w:t xml:space="preserve">ocenie władze </w:t>
      </w:r>
      <w:r w:rsidR="00BA1A3A" w:rsidRPr="008C4280">
        <w:rPr>
          <w:rFonts w:ascii="Times New Roman" w:hAnsi="Times New Roman" w:cs="Times New Roman"/>
          <w:sz w:val="24"/>
          <w:szCs w:val="24"/>
        </w:rPr>
        <w:t xml:space="preserve">polskie </w:t>
      </w:r>
      <w:r w:rsidRPr="008C4280">
        <w:rPr>
          <w:rFonts w:ascii="Times New Roman" w:hAnsi="Times New Roman" w:cs="Times New Roman"/>
          <w:sz w:val="24"/>
          <w:szCs w:val="24"/>
        </w:rPr>
        <w:t>rutynowo nie przestrzegały tego standardu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przejściu granicznym w Terespolu.</w:t>
      </w:r>
    </w:p>
    <w:p w:rsidR="00DE5497" w:rsidRPr="008C4280" w:rsidRDefault="00DE5497" w:rsidP="00E146AC">
      <w:pPr>
        <w:pStyle w:val="JuH1"/>
        <w:numPr>
          <w:ilvl w:val="0"/>
          <w:numId w:val="10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Ocena Trybunału</w:t>
      </w:r>
    </w:p>
    <w:p w:rsidR="00DE5497" w:rsidRPr="008C4280" w:rsidRDefault="00DE5497">
      <w:pPr>
        <w:keepNext/>
        <w:spacing w:before="100" w:after="120" w:line="240" w:lineRule="auto"/>
        <w:ind w:left="851" w:hanging="341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b/>
          <w:bCs/>
          <w:sz w:val="20"/>
          <w:szCs w:val="20"/>
        </w:rPr>
        <w:t>(a)</w:t>
      </w:r>
      <w:r w:rsidR="00851E46" w:rsidRPr="008C4280">
        <w:rPr>
          <w:rFonts w:ascii="Times New Roman" w:hAnsi="Times New Roman" w:cs="Times New Roman"/>
          <w:sz w:val="14"/>
          <w:szCs w:val="14"/>
        </w:rPr>
        <w:t xml:space="preserve"> </w:t>
      </w:r>
      <w:r w:rsidRPr="008C4280">
        <w:rPr>
          <w:rFonts w:ascii="Times New Roman" w:hAnsi="Times New Roman" w:cs="Times New Roman"/>
          <w:b/>
          <w:bCs/>
          <w:sz w:val="20"/>
          <w:szCs w:val="20"/>
        </w:rPr>
        <w:t>Zasady ogólne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podsumował ostatnio zasady </w:t>
      </w:r>
      <w:r w:rsidR="00510A98" w:rsidRPr="008C4280">
        <w:rPr>
          <w:rFonts w:ascii="Times New Roman" w:hAnsi="Times New Roman" w:cs="Times New Roman"/>
          <w:sz w:val="24"/>
          <w:szCs w:val="24"/>
        </w:rPr>
        <w:t xml:space="preserve">ogólne wynikające z jego </w:t>
      </w:r>
      <w:r w:rsidRPr="008C4280">
        <w:rPr>
          <w:rFonts w:ascii="Times New Roman" w:hAnsi="Times New Roman" w:cs="Times New Roman"/>
          <w:sz w:val="24"/>
          <w:szCs w:val="24"/>
        </w:rPr>
        <w:t xml:space="preserve">orzecznictwa na podstawie art. 3 Konwencji w odniesieniu do osób ubiegających się o ochronę przed wydaleniem w wyrokach w sprawach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Ilias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Ahmed przeciwko Węgrom </w:t>
      </w:r>
      <w:r w:rsidRPr="008C4280">
        <w:rPr>
          <w:rFonts w:ascii="Times New Roman" w:hAnsi="Times New Roman" w:cs="Times New Roman"/>
          <w:sz w:val="24"/>
          <w:szCs w:val="24"/>
        </w:rPr>
        <w:t>(</w:t>
      </w:r>
      <w:r w:rsidR="0069154E" w:rsidRPr="008C4280">
        <w:rPr>
          <w:rFonts w:ascii="Times New Roman" w:hAnsi="Times New Roman" w:cs="Times New Roman"/>
          <w:sz w:val="24"/>
          <w:szCs w:val="24"/>
        </w:rPr>
        <w:t>[WI]</w:t>
      </w:r>
      <w:r w:rsidRPr="008C4280">
        <w:rPr>
          <w:rFonts w:ascii="Times New Roman" w:hAnsi="Times New Roman" w:cs="Times New Roman"/>
          <w:sz w:val="24"/>
          <w:szCs w:val="24"/>
        </w:rPr>
        <w:t xml:space="preserve">, nr 47287/15, § 124, 21 listopada 2019 r. oraz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M.K. i Inni przeciwko Polsce</w:t>
      </w:r>
      <w:r w:rsidRPr="008C4280">
        <w:rPr>
          <w:rFonts w:ascii="Times New Roman" w:hAnsi="Times New Roman" w:cs="Times New Roman"/>
          <w:sz w:val="24"/>
          <w:szCs w:val="24"/>
        </w:rPr>
        <w:t xml:space="preserve"> , cyt. powyżej, §§ 166-173.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w szczególności uznał znaczenie zasady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non-refoulement</w:t>
      </w:r>
      <w:r w:rsidRPr="008C4280">
        <w:rPr>
          <w:rFonts w:ascii="Times New Roman" w:hAnsi="Times New Roman" w:cs="Times New Roman"/>
          <w:sz w:val="24"/>
          <w:szCs w:val="24"/>
        </w:rPr>
        <w:t xml:space="preserve"> (zob., na przykład,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M.S.S. przeciwko Belgii i Grecji, </w:t>
      </w:r>
      <w:r w:rsidRPr="008C4280">
        <w:rPr>
          <w:rFonts w:ascii="Times New Roman" w:hAnsi="Times New Roman" w:cs="Times New Roman"/>
          <w:sz w:val="24"/>
          <w:szCs w:val="24"/>
        </w:rPr>
        <w:t xml:space="preserve">cyt. powyżej, § 286, oraz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M.A. przeciwko Cyprowi</w:t>
      </w:r>
      <w:r w:rsidRPr="008C4280">
        <w:rPr>
          <w:rFonts w:ascii="Times New Roman" w:hAnsi="Times New Roman" w:cs="Times New Roman"/>
          <w:sz w:val="24"/>
          <w:szCs w:val="24"/>
        </w:rPr>
        <w:t>, nr 41872/10, § 133, ECHR 2013 (fragmenty)). Powtórzył, że wydalenie cudzoziemca przez U</w:t>
      </w:r>
      <w:r w:rsidR="00510A98" w:rsidRPr="008C4280">
        <w:rPr>
          <w:rFonts w:ascii="Times New Roman" w:hAnsi="Times New Roman" w:cs="Times New Roman"/>
          <w:sz w:val="24"/>
          <w:szCs w:val="24"/>
        </w:rPr>
        <w:t>kład</w:t>
      </w:r>
      <w:r w:rsidRPr="008C4280">
        <w:rPr>
          <w:rFonts w:ascii="Times New Roman" w:hAnsi="Times New Roman" w:cs="Times New Roman"/>
          <w:sz w:val="24"/>
          <w:szCs w:val="24"/>
        </w:rPr>
        <w:t xml:space="preserve">ające się Państwo może powodować powstanie kwestii z art. 3, a tym samym wywoływać odpowiedzialność tego 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państwa </w:t>
      </w:r>
      <w:r w:rsidRPr="008C4280">
        <w:rPr>
          <w:rFonts w:ascii="Times New Roman" w:hAnsi="Times New Roman" w:cs="Times New Roman"/>
          <w:sz w:val="24"/>
          <w:szCs w:val="24"/>
        </w:rPr>
        <w:t>na podstawie Konwencji,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przypadku gdy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wykazano istotne podstawy do uznania, że dana osoba, w</w:t>
      </w:r>
      <w:r w:rsidR="00C533DA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przypadku deportacji, stanęłaby w obliczu rzeczywistego ryzyka pod</w:t>
      </w:r>
      <w:r w:rsidR="00510A98" w:rsidRPr="008C4280">
        <w:rPr>
          <w:rFonts w:ascii="Times New Roman" w:hAnsi="Times New Roman" w:cs="Times New Roman"/>
          <w:sz w:val="24"/>
          <w:szCs w:val="24"/>
        </w:rPr>
        <w:t xml:space="preserve">legania </w:t>
      </w:r>
      <w:r w:rsidRPr="008C4280">
        <w:rPr>
          <w:rFonts w:ascii="Times New Roman" w:hAnsi="Times New Roman" w:cs="Times New Roman"/>
          <w:sz w:val="24"/>
          <w:szCs w:val="24"/>
        </w:rPr>
        <w:t>traktowaniu naruszającemu art. 3 w państwie docelowym.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zauważył, że dokładna treść obowiązków 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państwa </w:t>
      </w:r>
      <w:r w:rsidRPr="008C4280">
        <w:rPr>
          <w:rFonts w:ascii="Times New Roman" w:hAnsi="Times New Roman" w:cs="Times New Roman"/>
          <w:sz w:val="24"/>
          <w:szCs w:val="24"/>
        </w:rPr>
        <w:t>wydalającego wynikających z Konwencji może się różnić w zależności od</w:t>
      </w:r>
      <w:r w:rsidR="00C533DA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tego, czy 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państwo </w:t>
      </w:r>
      <w:r w:rsidRPr="008C4280">
        <w:rPr>
          <w:rFonts w:ascii="Times New Roman" w:hAnsi="Times New Roman" w:cs="Times New Roman"/>
          <w:sz w:val="24"/>
          <w:szCs w:val="24"/>
        </w:rPr>
        <w:t>wydala skarżących do kraju pochodzenia czy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do</w:t>
      </w:r>
      <w:r w:rsidR="00C533DA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państwa trzeciego (zob.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Ilias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Ahmed, </w:t>
      </w:r>
      <w:r w:rsidRPr="008C4280">
        <w:rPr>
          <w:rFonts w:ascii="Times New Roman" w:hAnsi="Times New Roman" w:cs="Times New Roman"/>
          <w:sz w:val="24"/>
          <w:szCs w:val="24"/>
        </w:rPr>
        <w:t>cyt. powyżej, § 128).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przypadkach, w których władze decydują się na </w:t>
      </w:r>
      <w:r w:rsidR="00510A98" w:rsidRPr="008C4280">
        <w:rPr>
          <w:rFonts w:ascii="Times New Roman" w:hAnsi="Times New Roman" w:cs="Times New Roman"/>
          <w:sz w:val="24"/>
          <w:szCs w:val="24"/>
        </w:rPr>
        <w:t>wydalenie</w:t>
      </w:r>
      <w:r w:rsidRPr="008C4280">
        <w:rPr>
          <w:rFonts w:ascii="Times New Roman" w:hAnsi="Times New Roman" w:cs="Times New Roman"/>
          <w:sz w:val="24"/>
          <w:szCs w:val="24"/>
        </w:rPr>
        <w:t xml:space="preserve"> osób ubiegających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 xml:space="preserve">o status uchodźcy </w:t>
      </w:r>
      <w:r w:rsidRPr="008C4280">
        <w:rPr>
          <w:rFonts w:ascii="Times New Roman" w:hAnsi="Times New Roman" w:cs="Times New Roman"/>
          <w:sz w:val="24"/>
          <w:szCs w:val="24"/>
        </w:rPr>
        <w:t xml:space="preserve">do państwa trzeciego, Trybunał stwierdził, że nie narusza to odpowiedzialności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>jącego się Państwa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odniesieniu do jego obowiązku niedeportowania ich, jeśli wykazano istotne podstawy do uznania, że takie działanie naraziłoby ich, bezpośrednio (to znaczy w tym państwie trzecim) lub pośrednio (na przykład w kraju pochodzenia lub w innym państwie), na traktowanie sprzeczne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szczególności z art. 3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 S.S. przeciwko Belgii i Grecji, </w:t>
      </w:r>
      <w:r w:rsidRPr="008C4280">
        <w:rPr>
          <w:rFonts w:ascii="Times New Roman" w:hAnsi="Times New Roman" w:cs="Times New Roman"/>
          <w:sz w:val="24"/>
          <w:szCs w:val="24"/>
        </w:rPr>
        <w:t>cyt.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powyżej, §§ 342-43 i 362-68;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t>cyt.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powyżej, § 171).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59.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W konsekwencji, Trybunał wskazał, że w przypadku, gdy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 xml:space="preserve">jące się Państwo dąży do </w:t>
      </w:r>
      <w:r w:rsidR="00AD1C3F" w:rsidRPr="008C4280">
        <w:rPr>
          <w:rFonts w:ascii="Times New Roman" w:hAnsi="Times New Roman" w:cs="Times New Roman"/>
          <w:sz w:val="24"/>
          <w:szCs w:val="24"/>
        </w:rPr>
        <w:t>wydalen</w:t>
      </w:r>
      <w:r w:rsidRPr="008C4280">
        <w:rPr>
          <w:rFonts w:ascii="Times New Roman" w:hAnsi="Times New Roman" w:cs="Times New Roman"/>
          <w:sz w:val="24"/>
          <w:szCs w:val="24"/>
        </w:rPr>
        <w:t xml:space="preserve">ia osoby ubiegającej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 uchodźcy</w:t>
      </w:r>
      <w:r w:rsidRPr="008C4280">
        <w:rPr>
          <w:rFonts w:ascii="Times New Roman" w:hAnsi="Times New Roman" w:cs="Times New Roman"/>
          <w:sz w:val="24"/>
          <w:szCs w:val="24"/>
        </w:rPr>
        <w:t xml:space="preserve"> do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="00F80D1C" w:rsidRPr="008C4280">
        <w:rPr>
          <w:rFonts w:ascii="Times New Roman" w:hAnsi="Times New Roman" w:cs="Times New Roman"/>
          <w:sz w:val="24"/>
          <w:szCs w:val="24"/>
        </w:rPr>
        <w:t>państwa</w:t>
      </w:r>
      <w:r w:rsidRPr="008C4280">
        <w:rPr>
          <w:rFonts w:ascii="Times New Roman" w:hAnsi="Times New Roman" w:cs="Times New Roman"/>
          <w:sz w:val="24"/>
          <w:szCs w:val="24"/>
        </w:rPr>
        <w:t xml:space="preserve"> trzeciego bez rozpatrywania wniosku o azyl co do istoty, główną kwestią dla władz wydalających jest to, czy dana osoba będzie miała dostęp do odpowiedniej procedury azylowej w przyjmującym ją </w:t>
      </w:r>
      <w:r w:rsidR="00F80D1C" w:rsidRPr="008C4280">
        <w:rPr>
          <w:rFonts w:ascii="Times New Roman" w:hAnsi="Times New Roman" w:cs="Times New Roman"/>
          <w:sz w:val="24"/>
          <w:szCs w:val="24"/>
        </w:rPr>
        <w:t xml:space="preserve">państwie </w:t>
      </w:r>
      <w:r w:rsidRPr="008C4280">
        <w:rPr>
          <w:rFonts w:ascii="Times New Roman" w:hAnsi="Times New Roman" w:cs="Times New Roman"/>
          <w:sz w:val="24"/>
          <w:szCs w:val="24"/>
        </w:rPr>
        <w:t>trzecim. Dzieje się tak dlatego, że państwo wydalające działa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oparciu o założenie, że to do przyjmującego państwa trzeciego należałoby zbadanie wniosku 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azyl pod względem merytorycznym, jeśli taki wniosek zostałby złożony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właściwych organów tego państwa (zob. </w:t>
      </w:r>
      <w:proofErr w:type="spellStart"/>
      <w:r w:rsidRPr="008C4280">
        <w:rPr>
          <w:rFonts w:ascii="Times New Roman" w:hAnsi="Times New Roman" w:cs="Times New Roman"/>
          <w:i/>
          <w:sz w:val="24"/>
          <w:szCs w:val="24"/>
        </w:rPr>
        <w:t>Ilias</w:t>
      </w:r>
      <w:proofErr w:type="spellEnd"/>
      <w:r w:rsidRPr="008C4280">
        <w:rPr>
          <w:rFonts w:ascii="Times New Roman" w:hAnsi="Times New Roman" w:cs="Times New Roman"/>
          <w:i/>
          <w:sz w:val="24"/>
          <w:szCs w:val="24"/>
        </w:rPr>
        <w:t xml:space="preserve"> i Ahmed</w:t>
      </w:r>
      <w:r w:rsidRPr="008C4280">
        <w:rPr>
          <w:rFonts w:ascii="Times New Roman" w:hAnsi="Times New Roman" w:cs="Times New Roman"/>
          <w:sz w:val="24"/>
          <w:szCs w:val="24"/>
        </w:rPr>
        <w:t>, cyt. powyżej, §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131 oraz M</w:t>
      </w:r>
      <w:r w:rsidRPr="008C4280">
        <w:rPr>
          <w:rFonts w:ascii="Times New Roman" w:hAnsi="Times New Roman" w:cs="Times New Roman"/>
          <w:i/>
          <w:sz w:val="24"/>
          <w:szCs w:val="24"/>
        </w:rPr>
        <w:t>.K. i Inni</w:t>
      </w:r>
      <w:r w:rsidRPr="008C4280">
        <w:rPr>
          <w:rFonts w:ascii="Times New Roman" w:hAnsi="Times New Roman" w:cs="Times New Roman"/>
          <w:sz w:val="24"/>
          <w:szCs w:val="24"/>
        </w:rPr>
        <w:t>, cyt. powyżej, § 172). Trybunał wyjaśnił ponadto, że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we wszystkich przypadkach wydalenia osoby ubiegającej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 uchodźcy</w:t>
      </w:r>
      <w:r w:rsidRPr="008C4280">
        <w:rPr>
          <w:rFonts w:ascii="Times New Roman" w:hAnsi="Times New Roman" w:cs="Times New Roman"/>
          <w:sz w:val="24"/>
          <w:szCs w:val="24"/>
        </w:rPr>
        <w:t xml:space="preserve"> z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>jącego się Państwa do trzeciego państwa pośredniczącego bez rozpatrzenia wniosku o azyl co do istoty, niezależnie od tego, czy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przyjmujące państwo trzecie jest państwem członkowskim UE czy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państwem stroną </w:t>
      </w:r>
      <w:r w:rsidRPr="008C4280">
        <w:rPr>
          <w:rFonts w:ascii="Times New Roman" w:hAnsi="Times New Roman" w:cs="Times New Roman"/>
          <w:sz w:val="24"/>
          <w:szCs w:val="24"/>
        </w:rPr>
        <w:t xml:space="preserve">Konwencji, obowiązkiem państwa wydalającego jest dokładne zbadanie kwestii, czy istnieje rzeczywiste ryzyko, że osoba ubiegająca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 uchodźcy</w:t>
      </w:r>
      <w:r w:rsidRPr="008C4280">
        <w:rPr>
          <w:rFonts w:ascii="Times New Roman" w:hAnsi="Times New Roman" w:cs="Times New Roman"/>
          <w:sz w:val="24"/>
          <w:szCs w:val="24"/>
        </w:rPr>
        <w:t xml:space="preserve"> zostanie pozbawiona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przyjmującym państwie trzecim dostępu do odpowiedniej procedury azylowej, chroniącej ją przed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refoulement. </w:t>
      </w:r>
      <w:r w:rsidRPr="008C4280">
        <w:rPr>
          <w:rFonts w:ascii="Times New Roman" w:hAnsi="Times New Roman" w:cs="Times New Roman"/>
          <w:sz w:val="24"/>
          <w:szCs w:val="24"/>
        </w:rPr>
        <w:t>Jeśli zostanie ustalone, że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istniejące gwarancje w tym zakresie są niewystarczające, z art. 3 wynika obowiązek, aby osoba ubiegająca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 xml:space="preserve">o status uchodźcy </w:t>
      </w:r>
      <w:r w:rsidRPr="008C4280">
        <w:rPr>
          <w:rFonts w:ascii="Times New Roman" w:hAnsi="Times New Roman" w:cs="Times New Roman"/>
          <w:sz w:val="24"/>
          <w:szCs w:val="24"/>
        </w:rPr>
        <w:t xml:space="preserve">nie została wydalona do danego </w:t>
      </w:r>
      <w:r w:rsidR="00F80D1C" w:rsidRPr="008C4280">
        <w:rPr>
          <w:rFonts w:ascii="Times New Roman" w:hAnsi="Times New Roman" w:cs="Times New Roman"/>
          <w:sz w:val="24"/>
          <w:szCs w:val="24"/>
        </w:rPr>
        <w:t>państwa</w:t>
      </w:r>
      <w:r w:rsidRPr="008C4280">
        <w:rPr>
          <w:rFonts w:ascii="Times New Roman" w:hAnsi="Times New Roman" w:cs="Times New Roman"/>
          <w:sz w:val="24"/>
          <w:szCs w:val="24"/>
        </w:rPr>
        <w:t xml:space="preserve"> trzeciego (zob.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Ilias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Ahmed,</w:t>
      </w:r>
      <w:r w:rsidRPr="008C4280">
        <w:rPr>
          <w:rFonts w:ascii="Times New Roman" w:hAnsi="Times New Roman" w:cs="Times New Roman"/>
          <w:sz w:val="24"/>
          <w:szCs w:val="24"/>
        </w:rPr>
        <w:t xml:space="preserve"> cyt. powyżej, §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134 oraz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</w:t>
      </w:r>
      <w:r w:rsidR="004A4B08" w:rsidRPr="008C4280">
        <w:rPr>
          <w:rFonts w:ascii="Times New Roman" w:hAnsi="Times New Roman" w:cs="Times New Roman"/>
          <w:i/>
          <w:iCs/>
          <w:sz w:val="24"/>
          <w:szCs w:val="24"/>
        </w:rPr>
        <w:t>Inni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C4280">
        <w:rPr>
          <w:rFonts w:ascii="Times New Roman" w:hAnsi="Times New Roman" w:cs="Times New Roman"/>
          <w:sz w:val="24"/>
          <w:szCs w:val="24"/>
        </w:rPr>
        <w:t>cyt.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powyżej, § 173).</w:t>
      </w:r>
    </w:p>
    <w:p w:rsidR="00DE5497" w:rsidRPr="008C4280" w:rsidRDefault="00DE5497">
      <w:pPr>
        <w:keepNext/>
        <w:spacing w:before="100" w:after="120" w:line="240" w:lineRule="auto"/>
        <w:ind w:left="851" w:hanging="341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b/>
          <w:bCs/>
          <w:sz w:val="20"/>
          <w:szCs w:val="20"/>
        </w:rPr>
        <w:t>(b)</w:t>
      </w:r>
      <w:r w:rsidR="00851E46" w:rsidRPr="008C4280">
        <w:rPr>
          <w:rFonts w:ascii="Times New Roman" w:hAnsi="Times New Roman" w:cs="Times New Roman"/>
          <w:sz w:val="14"/>
          <w:szCs w:val="14"/>
        </w:rPr>
        <w:t xml:space="preserve"> </w:t>
      </w:r>
      <w:r w:rsidRPr="008C4280">
        <w:rPr>
          <w:rFonts w:ascii="Times New Roman" w:hAnsi="Times New Roman" w:cs="Times New Roman"/>
          <w:b/>
          <w:bCs/>
          <w:sz w:val="20"/>
          <w:szCs w:val="20"/>
        </w:rPr>
        <w:t>Zastosowanie powyższych zasad w niniejszej sprawie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60.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zauważa przede wszystkim, że Rząd kwestionował</w:t>
      </w:r>
      <w:r w:rsidR="00270115" w:rsidRPr="008C4280">
        <w:rPr>
          <w:rFonts w:ascii="Times New Roman" w:hAnsi="Times New Roman" w:cs="Times New Roman"/>
          <w:sz w:val="24"/>
          <w:szCs w:val="24"/>
        </w:rPr>
        <w:t>, jakoby</w:t>
      </w:r>
      <w:r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="00270115" w:rsidRPr="008C4280">
        <w:rPr>
          <w:rFonts w:ascii="Times New Roman" w:hAnsi="Times New Roman" w:cs="Times New Roman"/>
          <w:sz w:val="24"/>
          <w:szCs w:val="24"/>
        </w:rPr>
        <w:t>s</w:t>
      </w:r>
      <w:r w:rsidRPr="008C4280">
        <w:rPr>
          <w:rFonts w:ascii="Times New Roman" w:hAnsi="Times New Roman" w:cs="Times New Roman"/>
          <w:sz w:val="24"/>
          <w:szCs w:val="24"/>
        </w:rPr>
        <w:t>karżący, zgłaszając się kilkakrotnie na polskiej granicy, wyrażali chęć złożenia wniosków o udzielenie ochrony międzynarodowej lub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przekazywali jakiekolwiek obawy o własne bezpieczeństwo. Rząd utrzymywał, że skarżący nie podnieśli żadnych roszczeń w tym zakresie i – w konsekwencji – nie mogą być uznani za osoby ubiegające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 uchodźcy</w:t>
      </w:r>
      <w:r w:rsidRPr="008C4280">
        <w:rPr>
          <w:rFonts w:ascii="Times New Roman" w:hAnsi="Times New Roman" w:cs="Times New Roman"/>
          <w:sz w:val="24"/>
          <w:szCs w:val="24"/>
        </w:rPr>
        <w:t>. W tym kontekście Trybunał zauważa, że już w swoim wyroku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sprawie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</w:t>
      </w:r>
      <w:r w:rsidRPr="008C4280">
        <w:rPr>
          <w:rFonts w:ascii="Times New Roman" w:hAnsi="Times New Roman" w:cs="Times New Roman"/>
          <w:sz w:val="24"/>
          <w:szCs w:val="24"/>
        </w:rPr>
        <w:t>ustalił, że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w danym czasie na przejściach granicznych między Polską a Białorusią istniała systemowa praktyka przeinaczania oświadczeń złożonych przez osoby ubiegające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Pr="008C4280">
        <w:rPr>
          <w:rFonts w:ascii="Times New Roman" w:hAnsi="Times New Roman" w:cs="Times New Roman"/>
          <w:sz w:val="24"/>
          <w:szCs w:val="24"/>
        </w:rPr>
        <w:t xml:space="preserve"> uchodźcy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notatkach urzędowych sporządzanych przez funkcjonariuszy Straży Granicznej (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t>cyt. powyżej, § 174). Istnienie takiej praktyki jest dodatkowo poparte argumentami przedstawionymi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niniejszej sprawie przez Wysokiego Komisarza Narodów Zjednoczonych ds. Uchodźców (zob.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="00270115" w:rsidRPr="008C4280">
        <w:rPr>
          <w:rFonts w:ascii="Times New Roman" w:hAnsi="Times New Roman" w:cs="Times New Roman"/>
          <w:sz w:val="24"/>
          <w:szCs w:val="24"/>
        </w:rPr>
        <w:t>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53 powyżej) oraz wyrokami krajowych sądów administracyjnych, które uznały, że funkcjonariusze Straży Granicznej nie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przeprowadzili wystarczającego postępowania dowodowego w sprawach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skarżących (w szczególności nie przeprowadzając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="00270115" w:rsidRPr="008C4280">
        <w:rPr>
          <w:rFonts w:ascii="Times New Roman" w:hAnsi="Times New Roman" w:cs="Times New Roman"/>
          <w:sz w:val="24"/>
          <w:szCs w:val="24"/>
        </w:rPr>
        <w:t>zapisując</w:t>
      </w:r>
      <w:r w:rsidRPr="008C4280">
        <w:rPr>
          <w:rFonts w:ascii="Times New Roman" w:hAnsi="Times New Roman" w:cs="Times New Roman"/>
          <w:sz w:val="24"/>
          <w:szCs w:val="24"/>
        </w:rPr>
        <w:t xml:space="preserve"> prawidłowo rozmów ze skarżącymi – zob. </w:t>
      </w:r>
      <w:r w:rsidR="00270115" w:rsidRPr="008C4280">
        <w:rPr>
          <w:rFonts w:ascii="Times New Roman" w:hAnsi="Times New Roman" w:cs="Times New Roman"/>
          <w:sz w:val="24"/>
          <w:szCs w:val="24"/>
        </w:rPr>
        <w:t>paragrafy</w:t>
      </w:r>
      <w:r w:rsidRPr="008C4280">
        <w:rPr>
          <w:rFonts w:ascii="Times New Roman" w:hAnsi="Times New Roman" w:cs="Times New Roman"/>
          <w:sz w:val="24"/>
          <w:szCs w:val="24"/>
        </w:rPr>
        <w:t xml:space="preserve"> 23-24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27 powyżej).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7" w:name="apps_statements_disregarded_beg"/>
      <w:r w:rsidRPr="008C4280">
        <w:rPr>
          <w:rFonts w:ascii="Times New Roman" w:hAnsi="Times New Roman" w:cs="Times New Roman"/>
          <w:sz w:val="24"/>
          <w:szCs w:val="24"/>
        </w:rPr>
        <w:t>61</w:t>
      </w:r>
      <w:bookmarkEnd w:id="17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Ponadto, relacja skarżących na temat oświadczeń, które złożyli na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granicy jest również potwierdzona dokumentami przedstawionymi przez nich Trybunałowi na wszystkich etapach postępowania, w szczególności pisemnymi oświadczeniami, że chc</w:t>
      </w:r>
      <w:r w:rsidR="007D7EED" w:rsidRPr="008C4280">
        <w:rPr>
          <w:rFonts w:ascii="Times New Roman" w:hAnsi="Times New Roman" w:cs="Times New Roman"/>
          <w:sz w:val="24"/>
          <w:szCs w:val="24"/>
        </w:rPr>
        <w:t>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ubiegać się o ochronę międzynarodową oraz nakazami poboru wzywającymi pierwszego i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drugiego skarżącego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wstąpienia do syryjskiego wojska, posiadanymi przez nich w czasie, gdy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stawiali się na granicy. Trybunał nie uważa za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wiarygodne, że skarżący posiadali te dokumenty (które przedłożyli Trybunałowi – w szczególności wnosząc o wskazanie środków tymczasowych w ich sprawach), ale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przekazali ich funkcjonariuszom Straży Granicznej, którzy mieli podjąć decyzję o ich wpuszczeniu do Polski lub odesłaniu na Białoruś.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62.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każdym razie Trybunał zwraca uwagę na fakt, że pismo skarżących wskazujące na chęć ubiegania się o ochronę międzynarodową, które zawierało przynajmniej ogólne przedstawienie powodów ich obawy przed prześladowaniem, zostało wysłane do Rządu w czasie, gdy został on poinformowany przez Trybunał o zastosowaniu środka tymczasowego w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sprawie skarżących – mianowicie w dniu 20 czerwca 2017</w:t>
      </w:r>
      <w:r w:rsidR="00545E76" w:rsidRPr="008C4280">
        <w:rPr>
          <w:rFonts w:ascii="Times New Roman" w:hAnsi="Times New Roman" w:cs="Times New Roman"/>
          <w:sz w:val="24"/>
          <w:szCs w:val="24"/>
        </w:rPr>
        <w:t xml:space="preserve"> r.</w:t>
      </w:r>
      <w:r w:rsidRPr="008C4280">
        <w:rPr>
          <w:rFonts w:ascii="Times New Roman" w:hAnsi="Times New Roman" w:cs="Times New Roman"/>
          <w:sz w:val="24"/>
          <w:szCs w:val="24"/>
        </w:rPr>
        <w:t xml:space="preserve"> (zob.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="00EA4217" w:rsidRPr="008C4280">
        <w:rPr>
          <w:rFonts w:ascii="Times New Roman" w:hAnsi="Times New Roman" w:cs="Times New Roman"/>
          <w:sz w:val="24"/>
          <w:szCs w:val="24"/>
        </w:rPr>
        <w:t xml:space="preserve">paragraf </w:t>
      </w:r>
      <w:r w:rsidRPr="008C4280">
        <w:rPr>
          <w:rFonts w:ascii="Times New Roman" w:hAnsi="Times New Roman" w:cs="Times New Roman"/>
          <w:sz w:val="24"/>
          <w:szCs w:val="24"/>
        </w:rPr>
        <w:t xml:space="preserve"> 11 powyżej). Informacja o roszczeniach skarżących została również następnie przekazana bezpośrednio Straży Granicznej przez organizację pozarządową współpracującą z przedstawicielem skarżących (zob. </w:t>
      </w:r>
      <w:r w:rsidR="00EA4217" w:rsidRPr="008C4280">
        <w:rPr>
          <w:rFonts w:ascii="Times New Roman" w:hAnsi="Times New Roman" w:cs="Times New Roman"/>
          <w:sz w:val="24"/>
          <w:szCs w:val="24"/>
        </w:rPr>
        <w:t>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12 powyżej). Wynika z tego, że od tych dat Rząd wiedział o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wnioskach złożonych przez skarżących oraz o istnieniu dokumentów je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uzasadniających i był zobowiązany do wzięcia tych materiałów pod</w:t>
      </w:r>
      <w:r w:rsidR="00C533DA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uwagę przy ocenie sytuacji skarżących.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8" w:name="apps_statements_disregarded_end"/>
      <w:r w:rsidRPr="008C4280">
        <w:rPr>
          <w:rFonts w:ascii="Times New Roman" w:hAnsi="Times New Roman" w:cs="Times New Roman"/>
          <w:sz w:val="24"/>
          <w:szCs w:val="24"/>
        </w:rPr>
        <w:t>63</w:t>
      </w:r>
      <w:bookmarkEnd w:id="18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związku z powyższym, Trybunał nie może przyjąć argumentu Rządu, że skarżący nie przedstawili żadnych dowodów na to, że groziło im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traktowanie stanowiące naruszenie art. 3. Skarżący wskazali indywidualne okoliczności, które – w ich opinii – uzasadniały ich wnioski 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udzielenie ochrony międzynarodowej oraz przedstawili odpowiednie dokumenty potwierdzające </w:t>
      </w:r>
      <w:r w:rsidR="009F778B" w:rsidRPr="008C4280">
        <w:rPr>
          <w:rFonts w:ascii="Times New Roman" w:hAnsi="Times New Roman" w:cs="Times New Roman"/>
          <w:sz w:val="24"/>
          <w:szCs w:val="24"/>
        </w:rPr>
        <w:t>ich</w:t>
      </w:r>
      <w:r w:rsidRPr="008C4280">
        <w:rPr>
          <w:rFonts w:ascii="Times New Roman" w:hAnsi="Times New Roman" w:cs="Times New Roman"/>
          <w:sz w:val="24"/>
          <w:szCs w:val="24"/>
        </w:rPr>
        <w:t xml:space="preserve"> twierdzenia. Przedstawili również argumenty dotyczące powodów, dla których nie uznali Białorusi za bezpieczny dla nich kraj trzeci oraz dlaczego, ich zdaniem, powrót na Białoruś naraziłby ich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ryzyko „odesłania łańcuchowego” (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chain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noBreakHyphen/>
        <w:t>refoulement</w:t>
      </w:r>
      <w:r w:rsidRPr="008C4280">
        <w:rPr>
          <w:rFonts w:ascii="Times New Roman" w:hAnsi="Times New Roman" w:cs="Times New Roman"/>
          <w:sz w:val="24"/>
          <w:szCs w:val="24"/>
        </w:rPr>
        <w:t>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" w:name="app_to_be_treated_as_asylum_seekers"/>
      <w:r w:rsidRPr="008C4280">
        <w:rPr>
          <w:rFonts w:ascii="Times New Roman" w:hAnsi="Times New Roman" w:cs="Times New Roman"/>
          <w:sz w:val="24"/>
          <w:szCs w:val="24"/>
        </w:rPr>
        <w:t>64</w:t>
      </w:r>
      <w:bookmarkEnd w:id="19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jest przekonany, że skarżący mogli argumentować, iż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było gwarancji, że ich wnioski o azyl zostaną poważnie rozpatrzone przez władze białoruskie i że ich powrót do Syrii mógłby naruszyć art. 3 Konwencji. Ocena tych twierdzeń powinna była zostać przeprowadzona przez polskie władze działające zgodnie z ich obowiązkami proceduralnymi wynikającymi z art. 3 Konwencji. Ponadto państwo polskie było zobowiązane do zapewnienia skarżącym bezpieczeństwa, w szczególności poprzez umożliwienie im pozostania w obrębie polskiej jurysdykcji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czasu, gdy ich roszczenia zostaną właściwie rozpatrzone przez właściwy organ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krajowy. Biorąc pod uwagę bezwzględny charakter prawa gwarantowanego na podstawie art. 3, zakres tego obowiązku nie był uzależniony od tego, czy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skarżący posiadali przy sobie dokumenty uprawniające ich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przekroczenia polskiej granicy lub czy zostali legalnie wpuszczeni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terytorium Polski na innych podstawach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t>cyt. powyżej, § 178).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65.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odnotowuje ponadto argument pozwanego Rządu,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odmawiając skarżącym wjazdu do Polski, działał on zgodnie 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obowiązkami prawnymi ciążącymi na nim w związku z członkostwem Polski w Unii Europejskiej.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66.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wskazuje jednak, że przepisy prawa Unii Europejskiej,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tym kodeks graniczny Schengen i dyrektywa 2013/32/UE, wyraźnie obejmują zasadę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non-refoulement</w:t>
      </w:r>
      <w:r w:rsidRPr="008C4280">
        <w:rPr>
          <w:rFonts w:ascii="Times New Roman" w:hAnsi="Times New Roman" w:cs="Times New Roman"/>
          <w:sz w:val="24"/>
          <w:szCs w:val="24"/>
        </w:rPr>
        <w:t xml:space="preserve">, zagwarantowaną w Konwencji genewskiej, i stosują ją również do osób, które podlegają kontroli granicznej przed przyjęciem na terytorium jednego z państw członkowskich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M.K. i Inni przeciwko Polsce</w:t>
      </w:r>
      <w:r w:rsidRPr="008C4280">
        <w:rPr>
          <w:rFonts w:ascii="Times New Roman" w:hAnsi="Times New Roman" w:cs="Times New Roman"/>
          <w:sz w:val="24"/>
          <w:szCs w:val="24"/>
        </w:rPr>
        <w:t xml:space="preserve">, cyt. powyżej, §§ 78-84). Przepisy te (i) mają wyraźnie na celu zapewnienie wszystkim osobom ubiegającym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</w:t>
      </w:r>
      <w:r w:rsidR="00205E4C" w:rsidRPr="008C4280">
        <w:rPr>
          <w:rFonts w:ascii="Times New Roman" w:hAnsi="Times New Roman" w:cs="Times New Roman"/>
          <w:sz w:val="24"/>
          <w:szCs w:val="24"/>
        </w:rPr>
        <w:t xml:space="preserve"> uchodźcy </w:t>
      </w:r>
      <w:r w:rsidRPr="008C4280">
        <w:rPr>
          <w:rFonts w:ascii="Times New Roman" w:hAnsi="Times New Roman" w:cs="Times New Roman"/>
          <w:sz w:val="24"/>
          <w:szCs w:val="24"/>
        </w:rPr>
        <w:t xml:space="preserve">skutecznego dostępu do właściwej procedury, w ramach której mogą zostać rozpatrzone ich wnioski o udzielenie ochrony międzynarodowej (zob. także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Sharifi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Inni przeciwko Włochom i Grecji, </w:t>
      </w:r>
      <w:r w:rsidRPr="008C4280">
        <w:rPr>
          <w:rFonts w:ascii="Times New Roman" w:hAnsi="Times New Roman" w:cs="Times New Roman"/>
          <w:sz w:val="24"/>
          <w:szCs w:val="24"/>
        </w:rPr>
        <w:t>nr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16643/09, § 169, 21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października 2014 r.) oraz (ii) zobowiązują państwo do zapewnienia, aby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osoby, które składają wnioski o udzielenie ochrony międzynarodowej, mogły pozostać w danym państwie do czasu rozpatrzenia ich wniosków (zob.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M.K. i Inni przeciwko Polsce,</w:t>
      </w:r>
      <w:r w:rsidRPr="008C4280">
        <w:rPr>
          <w:rFonts w:ascii="Times New Roman" w:hAnsi="Times New Roman" w:cs="Times New Roman"/>
          <w:sz w:val="24"/>
          <w:szCs w:val="24"/>
        </w:rPr>
        <w:t xml:space="preserve"> cyt. powyżej, §§ 91 i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181).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67.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zauważa zatem, że zgodnie z kodeksem granicznym Schengen polskie władze mogły</w:t>
      </w:r>
      <w:r w:rsidR="0066346E" w:rsidRPr="008C4280">
        <w:rPr>
          <w:rFonts w:ascii="Times New Roman" w:hAnsi="Times New Roman" w:cs="Times New Roman"/>
          <w:sz w:val="24"/>
          <w:szCs w:val="24"/>
        </w:rPr>
        <w:t>by</w:t>
      </w:r>
      <w:r w:rsidR="00205E4C" w:rsidRPr="008C4280">
        <w:rPr>
          <w:rFonts w:ascii="Times New Roman" w:hAnsi="Times New Roman" w:cs="Times New Roman"/>
          <w:sz w:val="24"/>
          <w:szCs w:val="24"/>
        </w:rPr>
        <w:t xml:space="preserve"> powstrzymać się od odsyłania </w:t>
      </w:r>
      <w:r w:rsidRPr="008C4280">
        <w:rPr>
          <w:rFonts w:ascii="Times New Roman" w:hAnsi="Times New Roman" w:cs="Times New Roman"/>
          <w:sz w:val="24"/>
          <w:szCs w:val="24"/>
        </w:rPr>
        <w:t>skarżących na Białoruś, jeśli przyjęłyby ich wniosek o ochronę międzynarodową do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rozpatrzenia przez odpowiednie władze.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konsekwencji, Trybunał uważa, że zaskarżony środek podjęty przez polskie władze wykraczał poza zakres ścisłych zobowiązań prawnomiędzynarodowych Polski (zob. podobne rozstrzygnięcie w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M.S.S. przeciwko Belgii i Grecji, </w:t>
      </w:r>
      <w:r w:rsidRPr="008C4280">
        <w:rPr>
          <w:rFonts w:ascii="Times New Roman" w:hAnsi="Times New Roman" w:cs="Times New Roman"/>
          <w:sz w:val="24"/>
          <w:szCs w:val="24"/>
        </w:rPr>
        <w:t xml:space="preserve">§ 340, oraz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Ilias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Ahmed, </w:t>
      </w:r>
      <w:r w:rsidRPr="008C4280">
        <w:rPr>
          <w:rFonts w:ascii="Times New Roman" w:hAnsi="Times New Roman" w:cs="Times New Roman"/>
          <w:sz w:val="24"/>
          <w:szCs w:val="24"/>
        </w:rPr>
        <w:t>§ 97, obie cytowane powyżej).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68.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W świetle powyższego Trybunał uznaje, że skarżący nie </w:t>
      </w:r>
      <w:r w:rsidR="0066346E" w:rsidRPr="008C4280">
        <w:rPr>
          <w:rFonts w:ascii="Times New Roman" w:hAnsi="Times New Roman" w:cs="Times New Roman"/>
          <w:sz w:val="24"/>
          <w:szCs w:val="24"/>
        </w:rPr>
        <w:t xml:space="preserve">mieli </w:t>
      </w:r>
      <w:r w:rsidRPr="008C4280">
        <w:rPr>
          <w:rFonts w:ascii="Times New Roman" w:hAnsi="Times New Roman" w:cs="Times New Roman"/>
          <w:sz w:val="24"/>
          <w:szCs w:val="24"/>
        </w:rPr>
        <w:t>skutecznych gwarancji, które chroniłyby ich przed narażeniem na realne ryzyko pod</w:t>
      </w:r>
      <w:r w:rsidR="0066346E" w:rsidRPr="008C4280">
        <w:rPr>
          <w:rFonts w:ascii="Times New Roman" w:hAnsi="Times New Roman" w:cs="Times New Roman"/>
          <w:sz w:val="24"/>
          <w:szCs w:val="24"/>
        </w:rPr>
        <w:t>legania</w:t>
      </w:r>
      <w:r w:rsidRPr="008C4280">
        <w:rPr>
          <w:rFonts w:ascii="Times New Roman" w:hAnsi="Times New Roman" w:cs="Times New Roman"/>
          <w:sz w:val="24"/>
          <w:szCs w:val="24"/>
        </w:rPr>
        <w:t xml:space="preserve"> nieludzkiemu lub poniżającemu traktowaniu, a także torturom.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0" w:name="violationA3_conclusion"/>
      <w:r w:rsidRPr="008C4280">
        <w:rPr>
          <w:rFonts w:ascii="Times New Roman" w:hAnsi="Times New Roman" w:cs="Times New Roman"/>
          <w:sz w:val="24"/>
          <w:szCs w:val="24"/>
        </w:rPr>
        <w:t>69</w:t>
      </w:r>
      <w:bookmarkEnd w:id="20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Fakt, że żadne postępowanie obejmujące rozpatrzenie wniosków skarżących o udzielenie ochrony międzynarodowej nie zostało wszczęte mimo pięciu okazji, gdy skarżący przebywali na polskich przejściach granicznych, oraz że – pomimo ich zarzutów dotyczących ryzyka „odesłania łańcuchowego” (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chain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noBreakHyphen/>
        <w:t>refoulement</w:t>
      </w:r>
      <w:r w:rsidRPr="008C4280">
        <w:rPr>
          <w:rFonts w:ascii="Times New Roman" w:hAnsi="Times New Roman" w:cs="Times New Roman"/>
          <w:sz w:val="24"/>
          <w:szCs w:val="24"/>
        </w:rPr>
        <w:t>) – przy każdej z tych okazji skarżący byli odsyłani z polskiej granicy na Białoruś, stanowił naruszenie art. 3 Konwencji.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1" w:name="violationA3_conclusion2"/>
      <w:r w:rsidRPr="008C4280">
        <w:rPr>
          <w:rFonts w:ascii="Times New Roman" w:hAnsi="Times New Roman" w:cs="Times New Roman"/>
          <w:sz w:val="24"/>
          <w:szCs w:val="24"/>
        </w:rPr>
        <w:t>70</w:t>
      </w:r>
      <w:bookmarkEnd w:id="21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związku z powyższym, nastąpiło naruszenie art. 3 Konwencji;</w:t>
      </w:r>
    </w:p>
    <w:p w:rsidR="00DE5497" w:rsidRPr="008C4280" w:rsidRDefault="006F27D2" w:rsidP="00E146AC">
      <w:pPr>
        <w:pStyle w:val="JuHA"/>
        <w:numPr>
          <w:ilvl w:val="0"/>
          <w:numId w:val="17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lastRenderedPageBreak/>
        <w:t>Zarzucane naruszenie</w:t>
      </w:r>
      <w:r w:rsidR="00DE5497" w:rsidRPr="008C4280">
        <w:rPr>
          <w:rFonts w:ascii="Times New Roman" w:hAnsi="Times New Roman"/>
          <w:lang w:val="pl-PL"/>
        </w:rPr>
        <w:t xml:space="preserve"> art. 3 Konwencji z uwagi na traktowanie skarżących przez władze polskie podczas kontroli granicznej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twierdzili również, że doszło do naruszenia zakazu poniżającego traktowania ze względu na sposób, w jaki zostali potraktowani podczas kontroli graniczn</w:t>
      </w:r>
      <w:r w:rsidR="0066346E" w:rsidRPr="008C4280">
        <w:rPr>
          <w:rFonts w:ascii="Times New Roman" w:hAnsi="Times New Roman" w:cs="Times New Roman"/>
          <w:sz w:val="24"/>
          <w:szCs w:val="24"/>
        </w:rPr>
        <w:t>ych</w:t>
      </w:r>
      <w:r w:rsidRPr="008C4280">
        <w:rPr>
          <w:rFonts w:ascii="Times New Roman" w:hAnsi="Times New Roman" w:cs="Times New Roman"/>
          <w:sz w:val="24"/>
          <w:szCs w:val="24"/>
        </w:rPr>
        <w:t xml:space="preserve"> na przejściu granicznym w Terespolu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="00F818EF" w:rsidRPr="008C4280">
        <w:rPr>
          <w:rFonts w:ascii="Times New Roman" w:hAnsi="Times New Roman" w:cs="Times New Roman"/>
          <w:sz w:val="24"/>
          <w:szCs w:val="24"/>
        </w:rPr>
        <w:t>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44 powyżej). W tym względzie twierdzili oni, że zostali postawieni w sytuacji, w której oświadczenia złożone przez nich na granicy zostały bez ogródek zignorowane przez </w:t>
      </w:r>
      <w:r w:rsidR="0066346E" w:rsidRPr="008C4280">
        <w:rPr>
          <w:rFonts w:ascii="Times New Roman" w:hAnsi="Times New Roman" w:cs="Times New Roman"/>
          <w:sz w:val="24"/>
          <w:szCs w:val="24"/>
        </w:rPr>
        <w:t>funkcjonariuszy Straży Granicznej</w:t>
      </w:r>
      <w:r w:rsidRPr="008C4280">
        <w:rPr>
          <w:rFonts w:ascii="Times New Roman" w:hAnsi="Times New Roman" w:cs="Times New Roman"/>
          <w:sz w:val="24"/>
          <w:szCs w:val="24"/>
        </w:rPr>
        <w:t>, oraz że odmówiono im procedury, do której byli uprawnieni na mocy prawa krajowego.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="00F818EF" w:rsidRPr="008C4280">
        <w:rPr>
          <w:rFonts w:ascii="Times New Roman" w:hAnsi="Times New Roman" w:cs="Times New Roman"/>
          <w:sz w:val="24"/>
          <w:szCs w:val="24"/>
        </w:rPr>
        <w:t>Trybunał zauważa</w:t>
      </w:r>
      <w:r w:rsidRPr="008C4280">
        <w:rPr>
          <w:rFonts w:ascii="Times New Roman" w:hAnsi="Times New Roman" w:cs="Times New Roman"/>
          <w:sz w:val="24"/>
          <w:szCs w:val="24"/>
        </w:rPr>
        <w:t>, że argumenty te są ściśle związane z kwestią braku dostępu skarżących do procedury azylowej. W konsekwencji, mając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uwadze stwierdzenie naruszenia art. 3 ze względu na narażenie skarżących na ryzyko nieludzkiego i poniżającego traktowania, jak również tortur w Syrii oraz ich brak dostępu do procedury azylowej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69 powyżej), Trybunał uznaje, że nie jest konieczne badanie, czy doszło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naruszenia art.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3 w odniesieniu do sposobu, w jaki skarżący zostali potraktowani podczas kontroli granicznej (zob. również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M.K. i Inni</w:t>
      </w:r>
      <w:r w:rsidRPr="008C4280">
        <w:rPr>
          <w:rFonts w:ascii="Times New Roman" w:hAnsi="Times New Roman" w:cs="Times New Roman"/>
          <w:sz w:val="24"/>
          <w:szCs w:val="24"/>
        </w:rPr>
        <w:t>, cyt.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powyżej, § 187).</w:t>
      </w:r>
    </w:p>
    <w:p w:rsidR="00DE5497" w:rsidRPr="008C4280" w:rsidRDefault="00DE5497" w:rsidP="00E146AC">
      <w:pPr>
        <w:pStyle w:val="JuHIRoman"/>
        <w:numPr>
          <w:ilvl w:val="0"/>
          <w:numId w:val="4"/>
        </w:numPr>
        <w:tabs>
          <w:tab w:val="clear" w:pos="454"/>
          <w:tab w:val="clear" w:pos="567"/>
          <w:tab w:val="clear" w:pos="680"/>
          <w:tab w:val="clear" w:pos="720"/>
        </w:tabs>
        <w:ind w:left="56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ZARZU</w:t>
      </w:r>
      <w:r w:rsidR="008D6855" w:rsidRPr="008C4280">
        <w:rPr>
          <w:rFonts w:ascii="Times New Roman" w:hAnsi="Times New Roman"/>
          <w:lang w:val="pl-PL"/>
        </w:rPr>
        <w:t>CANE NARUSZENIE</w:t>
      </w:r>
      <w:r w:rsidRPr="008C4280">
        <w:rPr>
          <w:rFonts w:ascii="Times New Roman" w:hAnsi="Times New Roman"/>
          <w:lang w:val="pl-PL"/>
        </w:rPr>
        <w:t xml:space="preserve"> ART. 4 PROTOKOŁU NR 4 DO</w:t>
      </w:r>
      <w:r w:rsidR="003977E2" w:rsidRPr="008C4280">
        <w:rPr>
          <w:rFonts w:ascii="Times New Roman" w:hAnsi="Times New Roman"/>
          <w:lang w:val="pl-PL"/>
        </w:rPr>
        <w:t> </w:t>
      </w:r>
      <w:r w:rsidRPr="008C4280">
        <w:rPr>
          <w:rFonts w:ascii="Times New Roman" w:hAnsi="Times New Roman"/>
          <w:lang w:val="pl-PL"/>
        </w:rPr>
        <w:t>KONWENCJI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ponadto skarżyli się na fakt, że zostali poddani zbiorowemu wydaleniu cudzoziemców. Powołali się na art. 4 Protokołu nr 4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Konwencji, który stanowi:</w:t>
      </w:r>
    </w:p>
    <w:p w:rsidR="00DE5497" w:rsidRPr="008C4280" w:rsidRDefault="00DE5497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0"/>
          <w:szCs w:val="20"/>
        </w:rPr>
        <w:t>„Zbiorowe wydalanie cudzoziemców jest zabronione</w:t>
      </w:r>
      <w:r w:rsidR="0069154E" w:rsidRPr="008C4280">
        <w:rPr>
          <w:rFonts w:ascii="Times New Roman" w:hAnsi="Times New Roman" w:cs="Times New Roman"/>
          <w:sz w:val="20"/>
          <w:szCs w:val="20"/>
        </w:rPr>
        <w:t>”.</w:t>
      </w:r>
    </w:p>
    <w:p w:rsidR="00DE5497" w:rsidRPr="008C4280" w:rsidRDefault="00DE5497" w:rsidP="00E146AC">
      <w:pPr>
        <w:pStyle w:val="JuHA"/>
        <w:numPr>
          <w:ilvl w:val="0"/>
          <w:numId w:val="6"/>
        </w:numPr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Oświadczenia stron</w:t>
      </w:r>
    </w:p>
    <w:p w:rsidR="00DE5497" w:rsidRPr="008C4280" w:rsidRDefault="00DE5497" w:rsidP="00E146AC">
      <w:pPr>
        <w:pStyle w:val="JuH1"/>
        <w:numPr>
          <w:ilvl w:val="0"/>
          <w:numId w:val="11"/>
        </w:numPr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Skarżący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74.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twierdzili, że różne organizacje praw człowieka odnotowały wzrost liczby zarzutów różnych osób, że po</w:t>
      </w:r>
      <w:r w:rsidR="00F818EF" w:rsidRPr="008C4280">
        <w:rPr>
          <w:rFonts w:ascii="Times New Roman" w:hAnsi="Times New Roman" w:cs="Times New Roman"/>
          <w:sz w:val="24"/>
          <w:szCs w:val="24"/>
        </w:rPr>
        <w:t>mimo ich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="00F818EF" w:rsidRPr="008C4280">
        <w:rPr>
          <w:rFonts w:ascii="Times New Roman" w:hAnsi="Times New Roman" w:cs="Times New Roman"/>
          <w:sz w:val="24"/>
          <w:szCs w:val="24"/>
        </w:rPr>
        <w:t xml:space="preserve">wielokrotnych i jasno </w:t>
      </w:r>
      <w:r w:rsidRPr="008C4280">
        <w:rPr>
          <w:rFonts w:ascii="Times New Roman" w:hAnsi="Times New Roman" w:cs="Times New Roman"/>
          <w:sz w:val="24"/>
          <w:szCs w:val="24"/>
        </w:rPr>
        <w:t>formułowanych oświadczeń na granicy polsko-białoruskiej, wskazujących na</w:t>
      </w:r>
      <w:r w:rsidR="004A4B08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chęć złożenia wniosku o ochronę międzynarodową, odmówiono im takiej możliwości. Powoływali się oni m.in. na raport polskiego Rzecznika Praw Obywatelskich, wskazując,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dowodzi on, iż przesłuchania prowadzone przez funkcjonariuszy Straży Granicznej nie miały na celu ustalenia indywidualnej sytuacji cudzoziemców przybywających na polską granicę, lecz wykazanie,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powody, dla których cudzoziemcy ci starali się o wjazd do Polski, miały głównie charakter ekonomiczny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</w:t>
      </w:r>
      <w:r w:rsidR="00851E46"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Inni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przeciwko Polsce, </w:t>
      </w:r>
      <w:r w:rsidRPr="008C4280">
        <w:rPr>
          <w:rFonts w:ascii="Times New Roman" w:hAnsi="Times New Roman" w:cs="Times New Roman"/>
          <w:sz w:val="24"/>
          <w:szCs w:val="24"/>
        </w:rPr>
        <w:t>cyt.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powyżej, §§ 98-105). Zauważyli, że cudzoziemcy, nawet jeśli bezpośrednio wyrażali obawę przed torturami lub innymi formami prześladowań, to i tak byli szczegółowo pytani o ich sytuację ekonomiczną,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zawodową i osobistą, a nie o doświadczenia związane z ewentualnymi wyrażanymi przez nich obawami. Oświadczenia złożone przez cudzoziemców wyrażające zamiar złożenia wniosków o udzielenie ochrony międzynarodowej oraz wskazane przyczyny ich złożenia były ignorowane. Skarżący stwierdzili również, że z przedstawionych przez pozwany Rząd statystyk wynika, iż w 2017 r. nastąpił znaczący spadek liczby wniosków 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udzielenie ochrony międzynarodowej przyjmowanych na granicy polsko-białoruskiej (w szczególności na przejściu granicznym w Terespolu). Zdaniem skarżących, zmiana ta wynikała z realizacji przez polską Straż Graniczną przyjętej przez Rząd polityki zawracania uchodźców.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Skarżący utrzymywali również, że </w:t>
      </w:r>
      <w:r w:rsidR="00B810EB" w:rsidRPr="008C4280">
        <w:rPr>
          <w:rFonts w:ascii="Times New Roman" w:hAnsi="Times New Roman" w:cs="Times New Roman"/>
          <w:sz w:val="24"/>
          <w:szCs w:val="24"/>
        </w:rPr>
        <w:t xml:space="preserve">zgodnie z ogólną praktyką </w:t>
      </w:r>
      <w:r w:rsidRPr="008C4280">
        <w:rPr>
          <w:rFonts w:ascii="Times New Roman" w:hAnsi="Times New Roman" w:cs="Times New Roman"/>
          <w:sz w:val="24"/>
          <w:szCs w:val="24"/>
        </w:rPr>
        <w:t>ani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prawnicy, ani przedstawiciele organizacji pozarządowych, ani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przedstawiciele UNHCR nie mogli obserwować rozmów prowadzonych podczas kontroli granicznej ani brać udziału w takich rozmowach. Ich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zdaniem, brak jakiejkolwiek możliwości skonsultowania się przesłuchiwanych z prawnikiem lub członkiem organizacji pomagającej uchodźcom świadczy o braku przejrzystości działań podejmowanych przez Straż Graniczną. Był to również jeden z elementów potwierdzających wniosek, że skarżącym nie zapewniono możliwości indywidualnego rozpatrzenia ich spraw, a w konsekwencji, że ich wydalenie miało charakter zbiorowy.</w:t>
      </w:r>
    </w:p>
    <w:p w:rsidR="00DE5497" w:rsidRPr="008C4280" w:rsidRDefault="00DE5497" w:rsidP="00E146AC">
      <w:pPr>
        <w:pStyle w:val="JuH1"/>
        <w:numPr>
          <w:ilvl w:val="0"/>
          <w:numId w:val="11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Rząd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="00B810EB" w:rsidRPr="008C4280">
        <w:rPr>
          <w:rFonts w:ascii="Times New Roman" w:hAnsi="Times New Roman" w:cs="Times New Roman"/>
          <w:sz w:val="24"/>
          <w:szCs w:val="24"/>
        </w:rPr>
        <w:t xml:space="preserve">Rząd </w:t>
      </w:r>
      <w:r w:rsidRPr="008C4280">
        <w:rPr>
          <w:rFonts w:ascii="Times New Roman" w:hAnsi="Times New Roman" w:cs="Times New Roman"/>
          <w:sz w:val="24"/>
          <w:szCs w:val="24"/>
        </w:rPr>
        <w:t>twierdził, że każda decyzja odmawiająca wjazdu do Polski wydana w stosunku do skarżących była oparta na indywidualnej ocenie ich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sytuacji i w konsekwencji nie wiązała się ze zbiorowym wydaleniem cudzoziemców.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Po pierwsze, Rząd powtórzył, że ponieważ skarżący nie posiadali ważnych wiz na wjazd do Polski, zostali skierowani do kontroli granicznej drugiej linii, gdzie przeprowadzono z nimi indywidualne rozmowy w języku zrozumiałym dla skarżących. Rozmowy te miały na celu uzyskanie pełnej wiedzy na temat powodów, dla których skarżący przybyli na granicę bez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niezbędnych dokumentów. Po drugie, Rząd twierdził, że każda rozmowa została utrwalona w formie notatki urzędowej, zawierającej szczegółowe powody, dla których każdy ze skarżących starał się o wjazd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Polski</w:t>
      </w:r>
      <w:r w:rsidR="00B810EB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oraz, w razie potrzeby, wszelkie inne okoliczności dotyczące ich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spraw. Po trzecie, Rząd wskazał, że decyzje o odmowie wjazdu zostały przygotowane jako oddzielne dokumenty w odniesieniu do każdego ze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skarżących (to znaczy indywidualnie) po dokładnym zbadaniu jego sytuacji. Wszyscy skarżący zostali zapoznani z tymi decyzjami. Po czwarte, Rząd podkreślił fakt, że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liczba prób przekroczenia granicy przez cudzoziemca nie miała wpływu na decyzje podejmowane przez </w:t>
      </w:r>
      <w:r w:rsidR="000E4D4D" w:rsidRPr="008C4280">
        <w:rPr>
          <w:rFonts w:ascii="Times New Roman" w:hAnsi="Times New Roman" w:cs="Times New Roman"/>
          <w:sz w:val="24"/>
          <w:szCs w:val="24"/>
        </w:rPr>
        <w:t>Straż Graniczną</w:t>
      </w:r>
      <w:r w:rsidRPr="008C4280">
        <w:rPr>
          <w:rFonts w:ascii="Times New Roman" w:hAnsi="Times New Roman" w:cs="Times New Roman"/>
          <w:sz w:val="24"/>
          <w:szCs w:val="24"/>
        </w:rPr>
        <w:t>.</w:t>
      </w:r>
    </w:p>
    <w:p w:rsidR="00DE5497" w:rsidRPr="008C4280" w:rsidRDefault="00DE5497" w:rsidP="00E146AC">
      <w:pPr>
        <w:pStyle w:val="JuHA"/>
        <w:numPr>
          <w:ilvl w:val="0"/>
          <w:numId w:val="6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lastRenderedPageBreak/>
        <w:t>Ocena Trybunału</w:t>
      </w:r>
    </w:p>
    <w:p w:rsidR="00DE5497" w:rsidRPr="008C4280" w:rsidRDefault="00DE5497" w:rsidP="00E146AC">
      <w:pPr>
        <w:pStyle w:val="JuH1"/>
        <w:numPr>
          <w:ilvl w:val="0"/>
          <w:numId w:val="12"/>
        </w:numPr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Zasady ogólne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podsumował ostatnio </w:t>
      </w:r>
      <w:r w:rsidR="00273F32" w:rsidRPr="008C4280">
        <w:rPr>
          <w:rFonts w:ascii="Times New Roman" w:hAnsi="Times New Roman" w:cs="Times New Roman"/>
          <w:sz w:val="24"/>
          <w:szCs w:val="24"/>
        </w:rPr>
        <w:t xml:space="preserve">zasady </w:t>
      </w:r>
      <w:r w:rsidRPr="008C4280">
        <w:rPr>
          <w:rFonts w:ascii="Times New Roman" w:hAnsi="Times New Roman" w:cs="Times New Roman"/>
          <w:sz w:val="24"/>
          <w:szCs w:val="24"/>
        </w:rPr>
        <w:t xml:space="preserve">ogólne </w:t>
      </w:r>
      <w:r w:rsidR="00DC52B6" w:rsidRPr="008C4280">
        <w:rPr>
          <w:rFonts w:ascii="Times New Roman" w:hAnsi="Times New Roman" w:cs="Times New Roman"/>
          <w:sz w:val="24"/>
          <w:szCs w:val="24"/>
        </w:rPr>
        <w:t xml:space="preserve">wynikające z </w:t>
      </w:r>
      <w:r w:rsidRPr="008C4280">
        <w:rPr>
          <w:rFonts w:ascii="Times New Roman" w:hAnsi="Times New Roman" w:cs="Times New Roman"/>
          <w:sz w:val="24"/>
          <w:szCs w:val="24"/>
        </w:rPr>
        <w:t xml:space="preserve">jego orzecznictwa na podstawie art. 4 Protokołu nr 4 do Konwencji w wyrokach w sprawach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N.D. i N.T. przeciwko Hiszpanii</w:t>
      </w:r>
      <w:r w:rsidRPr="008C4280">
        <w:rPr>
          <w:rFonts w:ascii="Times New Roman" w:hAnsi="Times New Roman" w:cs="Times New Roman"/>
          <w:sz w:val="24"/>
          <w:szCs w:val="24"/>
        </w:rPr>
        <w:t xml:space="preserve"> (</w:t>
      </w:r>
      <w:r w:rsidR="0069154E" w:rsidRPr="008C4280">
        <w:rPr>
          <w:rFonts w:ascii="Times New Roman" w:hAnsi="Times New Roman" w:cs="Times New Roman"/>
          <w:sz w:val="24"/>
          <w:szCs w:val="24"/>
        </w:rPr>
        <w:t>[WI]</w:t>
      </w:r>
      <w:r w:rsidRPr="008C4280">
        <w:rPr>
          <w:rFonts w:ascii="Times New Roman" w:hAnsi="Times New Roman" w:cs="Times New Roman"/>
          <w:sz w:val="24"/>
          <w:szCs w:val="24"/>
        </w:rPr>
        <w:t>, nr 8675/15 i 8697/15,</w:t>
      </w:r>
      <w:r w:rsidRPr="00DE2F6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§§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166-188 i 193-201, 13 luty 2020 r.) oraz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M.K. i Inni przeciwko Polsce,</w:t>
      </w:r>
      <w:r w:rsidRPr="008C4280">
        <w:rPr>
          <w:rFonts w:ascii="Times New Roman" w:hAnsi="Times New Roman" w:cs="Times New Roman"/>
          <w:sz w:val="24"/>
          <w:szCs w:val="24"/>
        </w:rPr>
        <w:t xml:space="preserve"> cyt.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powyżej, §§ 197-203.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79.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potwierdził w tych wyrokach, że pojęcie wydalenia użyte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art. 4 Protokołu nr 4 powinno być stosowane do środków, które mogą być scharakteryzowane jako stanowiące formalny akt lub zachowanie przypisywane państwu, przez które cudzoziemiec jest zmuszony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opuszczenia terytorium tego państwa, jeśli jego sytuacja osobista nie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została zbadana, włączając w to sytuacje, w których osoby, które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przybyły na granicę państwa pozwanego, zostały zatrzymane i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odesłane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państwa pochodzenia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N.D. i N.T przeciwko Hiszpanii, </w:t>
      </w:r>
      <w:r w:rsidRPr="008C4280">
        <w:rPr>
          <w:rFonts w:ascii="Times New Roman" w:hAnsi="Times New Roman" w:cs="Times New Roman"/>
          <w:sz w:val="24"/>
          <w:szCs w:val="24"/>
        </w:rPr>
        <w:t>cyt. powyżej, §§ 187 i 197).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80.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powtarza również, że celem art. 4 Protokołu nr 4 jest uniemożliwienie państwom odsyłania pewnej liczby cudzoziemców bez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zbadania ich sytuacji osobistej, a zatem bez umożliwienia im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przedstawienia argumentów przeciwko środkowi podjętemu przez właściwy organ (zob.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Sharifi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Inni,</w:t>
      </w:r>
      <w:r w:rsidRPr="008C4280">
        <w:rPr>
          <w:rFonts w:ascii="Times New Roman" w:hAnsi="Times New Roman" w:cs="Times New Roman"/>
          <w:sz w:val="24"/>
          <w:szCs w:val="24"/>
        </w:rPr>
        <w:t xml:space="preserve"> § 210, oraz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Hirsi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Jamaa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Inni</w:t>
      </w:r>
      <w:r w:rsidRPr="008C4280">
        <w:rPr>
          <w:rFonts w:ascii="Times New Roman" w:hAnsi="Times New Roman" w:cs="Times New Roman"/>
          <w:iCs/>
          <w:sz w:val="24"/>
          <w:szCs w:val="24"/>
        </w:rPr>
        <w:t>, § 177,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73F32" w:rsidRPr="008C4280">
        <w:rPr>
          <w:rFonts w:ascii="Times New Roman" w:hAnsi="Times New Roman" w:cs="Times New Roman"/>
          <w:sz w:val="24"/>
          <w:szCs w:val="24"/>
        </w:rPr>
        <w:t>ob</w:t>
      </w:r>
      <w:r w:rsidR="00FE2F64" w:rsidRPr="008C4280">
        <w:rPr>
          <w:rFonts w:ascii="Times New Roman" w:hAnsi="Times New Roman" w:cs="Times New Roman"/>
          <w:sz w:val="24"/>
          <w:szCs w:val="24"/>
        </w:rPr>
        <w:t>a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="00273F32" w:rsidRPr="008C4280">
        <w:rPr>
          <w:rFonts w:ascii="Times New Roman" w:hAnsi="Times New Roman" w:cs="Times New Roman"/>
          <w:sz w:val="24"/>
          <w:szCs w:val="24"/>
        </w:rPr>
        <w:t>wyroki</w:t>
      </w:r>
      <w:r w:rsidRPr="008C4280">
        <w:rPr>
          <w:rFonts w:ascii="Times New Roman" w:hAnsi="Times New Roman" w:cs="Times New Roman"/>
          <w:sz w:val="24"/>
          <w:szCs w:val="24"/>
        </w:rPr>
        <w:t xml:space="preserve"> cytowane powyżej). W celu ustalenia, czy przeprowadzono wystarczająco zindywidualizowane badanie, konieczne jest rozważenie okoliczności każdej takiej sprawy i sprawdzenie, czy decyzja o powrocie cudzoziemca uwzględniała szczególną sytuację zainteresowanych osób (zob.</w:t>
      </w:r>
      <w:r w:rsidR="00DE2F60">
        <w:rPr>
          <w:rFonts w:ascii="Times New Roman" w:hAnsi="Times New Roman" w:cs="Times New Roman"/>
          <w:i/>
          <w:iCs/>
          <w:sz w:val="24"/>
          <w:szCs w:val="24"/>
        </w:rPr>
        <w:t> 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Hirsi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Jamaa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Inni, </w:t>
      </w:r>
      <w:r w:rsidRPr="008C4280">
        <w:rPr>
          <w:rFonts w:ascii="Times New Roman" w:hAnsi="Times New Roman" w:cs="Times New Roman"/>
          <w:sz w:val="24"/>
          <w:szCs w:val="24"/>
        </w:rPr>
        <w:t>cyt. powyżej, § 183).</w:t>
      </w:r>
    </w:p>
    <w:p w:rsidR="00DE5497" w:rsidRPr="008C4280" w:rsidRDefault="00DE5497" w:rsidP="00E146AC">
      <w:pPr>
        <w:pStyle w:val="JuH1"/>
        <w:numPr>
          <w:ilvl w:val="0"/>
          <w:numId w:val="12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Zastosowanie powyższych zasad w niniejszej sprawie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przypomina, że ustalił już w swoim poprzednim wyroku,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decyzje o odmowie wjazdu wydane na polsko-białoruskim przejściu granicznym w Terespolu oraz powrót cudzoziemców z tego przejścia granicznego na Białoruś stanowiły „wydalenie” w rozumieniu art. 4 Protokołu nr 4 (zob.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t>cyt. powyżej, § 205</w:t>
      </w:r>
      <w:r w:rsidR="00FE2F64" w:rsidRPr="008C4280">
        <w:rPr>
          <w:rFonts w:ascii="Times New Roman" w:hAnsi="Times New Roman" w:cs="Times New Roman"/>
          <w:sz w:val="24"/>
          <w:szCs w:val="24"/>
        </w:rPr>
        <w:t>)</w:t>
      </w:r>
      <w:r w:rsidRPr="008C4280">
        <w:rPr>
          <w:rFonts w:ascii="Times New Roman" w:hAnsi="Times New Roman" w:cs="Times New Roman"/>
          <w:sz w:val="24"/>
          <w:szCs w:val="24"/>
        </w:rPr>
        <w:t>. Ustalił również, że w odnośnym czasie w Polsce istniała szersza polityka państwa polegająca na odmowie wjazdu cudzoziemcom przybywającym 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Białorusi, niezależnie od tego, czy byli oni wyraźnie migrantami ekonomicznymi, czy też wyrażali obawę przed prześladowaniami w krajach pochodzenia, poparta oświadczeniem urzędników rządowych i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potwierdzona szeregiem niezależnych raportów (zob.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Polsce, </w:t>
      </w:r>
      <w:r w:rsidRPr="008C4280">
        <w:rPr>
          <w:rFonts w:ascii="Times New Roman" w:hAnsi="Times New Roman" w:cs="Times New Roman"/>
          <w:sz w:val="24"/>
          <w:szCs w:val="24"/>
        </w:rPr>
        <w:t>cyt.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powyżej, § 208-209).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2" w:name="no_individual_review"/>
      <w:r w:rsidRPr="008C4280">
        <w:rPr>
          <w:rFonts w:ascii="Times New Roman" w:hAnsi="Times New Roman" w:cs="Times New Roman"/>
          <w:sz w:val="24"/>
          <w:szCs w:val="24"/>
        </w:rPr>
        <w:t>82</w:t>
      </w:r>
      <w:bookmarkEnd w:id="22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W odniesieniu do niniejszej sprawy Trybunał odnotowuje argument Rządu, że za każdym razem, gdy skarżący stawiali się na polskiej granicy,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byli przesłuchiwani przez funkcjonariuszy Straży Granicznej i otrzymywali indywidualne decyzje o odmowie wjazdu do Polski. Jednakże Trybunał ustalił już, że podczas tej procedury funkcjonariusze Straży Granicznej nie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uwzględnili oświadczeń skarżących dotyczących chęci ubiegania się 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ochronę międzynarodową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="00FE2F64" w:rsidRPr="008C4280">
        <w:rPr>
          <w:rFonts w:ascii="Times New Roman" w:hAnsi="Times New Roman" w:cs="Times New Roman"/>
          <w:sz w:val="24"/>
          <w:szCs w:val="24"/>
        </w:rPr>
        <w:t>y</w:t>
      </w:r>
      <w:r w:rsidRPr="008C4280">
        <w:rPr>
          <w:rFonts w:ascii="Times New Roman" w:hAnsi="Times New Roman" w:cs="Times New Roman"/>
          <w:sz w:val="24"/>
          <w:szCs w:val="24"/>
        </w:rPr>
        <w:t xml:space="preserve"> 61-63 powyżej).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konsekwencji, mimo że indywidualne decyzje zostały wydane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stosunku do każdego ze skarżących, nie odzwierciedlały one właściwie powodów podanych przez skarżących na uzasadnienie ich obawy przed prześladowaniem. W związku z tym nie były one oparte na wystarczająco zindywidualizowanym badaniu okoliczności sprawy skarżących (zob.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Hirsi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Jamaa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Inni, </w:t>
      </w:r>
      <w:r w:rsidRPr="008C4280">
        <w:rPr>
          <w:rFonts w:ascii="Times New Roman" w:hAnsi="Times New Roman" w:cs="Times New Roman"/>
          <w:sz w:val="24"/>
          <w:szCs w:val="24"/>
        </w:rPr>
        <w:t>cyt. powyżej, § 183).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zauważa, że okoliczności wydania tych decyzji były podobne do tych opisanych w sprawie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M.K. i Inni przeciwko Polsce </w:t>
      </w:r>
      <w:r w:rsidRPr="008C4280">
        <w:rPr>
          <w:rFonts w:ascii="Times New Roman" w:hAnsi="Times New Roman" w:cs="Times New Roman"/>
          <w:sz w:val="24"/>
          <w:szCs w:val="24"/>
        </w:rPr>
        <w:t>(cyt.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powyżej, §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208). W sprawie tej Trybunał stwierdził istnienie szerszej polityki państwa polegającej na nieprzyjmowaniu wniosków o udzielenie ochrony międzynarodowej od osób zgłaszających się na granicy polsko-białoruskiej oraz na odsyłaniu tych osób na Białoruś z naruszeniem prawa krajowego i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międzynarodowego. Trybunał dalej zauważa, biorąc pod uwagę swoje powyższe ustalenia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="00FE2F64" w:rsidRPr="008C4280">
        <w:rPr>
          <w:rFonts w:ascii="Times New Roman" w:hAnsi="Times New Roman" w:cs="Times New Roman"/>
          <w:sz w:val="24"/>
          <w:szCs w:val="24"/>
        </w:rPr>
        <w:t>y</w:t>
      </w:r>
      <w:r w:rsidRPr="008C4280">
        <w:rPr>
          <w:rFonts w:ascii="Times New Roman" w:hAnsi="Times New Roman" w:cs="Times New Roman"/>
          <w:sz w:val="24"/>
          <w:szCs w:val="24"/>
        </w:rPr>
        <w:t xml:space="preserve"> 61-63 powyżej), oświadczenia skarżących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74 powyżej) oraz informacje dostarczone przez </w:t>
      </w:r>
      <w:r w:rsidR="00E47C6E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="00DC52B6" w:rsidRPr="008C4280">
        <w:rPr>
          <w:rFonts w:ascii="Times New Roman" w:hAnsi="Times New Roman" w:cs="Times New Roman"/>
          <w:sz w:val="24"/>
          <w:szCs w:val="24"/>
        </w:rPr>
        <w:t xml:space="preserve">składającą interwencję stronę </w:t>
      </w:r>
      <w:r w:rsidR="00E47C6E" w:rsidRPr="008C4280">
        <w:rPr>
          <w:rFonts w:ascii="Times New Roman" w:hAnsi="Times New Roman" w:cs="Times New Roman"/>
          <w:sz w:val="24"/>
          <w:szCs w:val="24"/>
        </w:rPr>
        <w:t xml:space="preserve">trzecią </w:t>
      </w:r>
      <w:r w:rsidRPr="008C4280">
        <w:rPr>
          <w:rFonts w:ascii="Times New Roman" w:hAnsi="Times New Roman" w:cs="Times New Roman"/>
          <w:sz w:val="24"/>
          <w:szCs w:val="24"/>
        </w:rPr>
        <w:t>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54 powyżej), że sprawy skarżących były częścią tej samej szerszej polityki, ustalonej w tym wyroku. W konsekwencji, decyzje wydane w sprawach skarżących stanowiły zbiorowe wydalenie cudzoziemców w rozumieniu art. 4 Protokołu nr 4.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3" w:name="violationA4P4_conclusion"/>
      <w:r w:rsidRPr="008C4280">
        <w:rPr>
          <w:rFonts w:ascii="Times New Roman" w:hAnsi="Times New Roman" w:cs="Times New Roman"/>
          <w:sz w:val="24"/>
          <w:szCs w:val="24"/>
        </w:rPr>
        <w:t>84</w:t>
      </w:r>
      <w:bookmarkEnd w:id="23"/>
      <w:r w:rsidRPr="008C4280">
        <w:rPr>
          <w:rFonts w:ascii="Times New Roman" w:hAnsi="Times New Roman" w:cs="Times New Roman"/>
          <w:sz w:val="24"/>
          <w:szCs w:val="24"/>
        </w:rPr>
        <w:t>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związku z powyższym Trybunał uznaje, że w niniejszej sprawie doszło do naruszenia art. 4 Protokołu nr 4 do Konwencji.</w:t>
      </w:r>
    </w:p>
    <w:p w:rsidR="00DE5497" w:rsidRPr="008C4280" w:rsidRDefault="00DE5497" w:rsidP="00E146AC">
      <w:pPr>
        <w:pStyle w:val="JuHIRoman"/>
        <w:numPr>
          <w:ilvl w:val="0"/>
          <w:numId w:val="4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ZARZUCANE NARUSZENIE ART. 13 KONWENCJI W ZWIĄZKU Z ART. 3 I ART. 4 PROTOKOŁU NR 4 DO KONWENCJI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zarzucili ponadto, że w prawie polskim nie zapewniono im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skutecznego środka odwoławczego, za pomocą którego mogliby wnieść do władz krajowych skargi na podstawie art. 3 Konwencji i art. 4 Protokołu nr 4 do Konwencji. 4. Powołali się na art. 13 Konwencji, który stanowi:</w:t>
      </w:r>
    </w:p>
    <w:p w:rsidR="00DE5497" w:rsidRPr="008C4280" w:rsidRDefault="00DE5497" w:rsidP="0069154E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8C4280">
        <w:rPr>
          <w:rFonts w:ascii="Times New Roman" w:hAnsi="Times New Roman" w:cs="Times New Roman"/>
          <w:sz w:val="20"/>
          <w:szCs w:val="20"/>
        </w:rPr>
        <w:t>„</w:t>
      </w:r>
      <w:r w:rsidR="0069154E" w:rsidRPr="008C4280">
        <w:rPr>
          <w:rFonts w:ascii="Times New Roman" w:hAnsi="Times New Roman" w:cs="Times New Roman"/>
          <w:sz w:val="20"/>
          <w:szCs w:val="20"/>
        </w:rPr>
        <w:t xml:space="preserve">Każdy, czyje prawa i wolności zawarte w niniejszej </w:t>
      </w:r>
      <w:r w:rsidRPr="008C4280">
        <w:rPr>
          <w:rFonts w:ascii="Times New Roman" w:hAnsi="Times New Roman" w:cs="Times New Roman"/>
          <w:sz w:val="20"/>
          <w:szCs w:val="20"/>
        </w:rPr>
        <w:t>K</w:t>
      </w:r>
      <w:r w:rsidR="0069154E" w:rsidRPr="008C4280">
        <w:rPr>
          <w:rFonts w:ascii="Times New Roman" w:hAnsi="Times New Roman" w:cs="Times New Roman"/>
          <w:sz w:val="20"/>
          <w:szCs w:val="20"/>
        </w:rPr>
        <w:t>onwencji zostały naruszone, ma prawo do skutecznego środka odwoławczego do właściwego organu państwowego także wówczas, gdy naruszenia dokonały osoby wykonujące swoje funkcje urzędowe</w:t>
      </w:r>
      <w:r w:rsidRPr="008C4280">
        <w:rPr>
          <w:rFonts w:ascii="Times New Roman" w:hAnsi="Times New Roman" w:cs="Times New Roman"/>
          <w:sz w:val="20"/>
          <w:szCs w:val="20"/>
        </w:rPr>
        <w:t>”</w:t>
      </w:r>
      <w:r w:rsidR="0069154E" w:rsidRPr="008C4280">
        <w:rPr>
          <w:rFonts w:ascii="Times New Roman" w:hAnsi="Times New Roman" w:cs="Times New Roman"/>
          <w:sz w:val="20"/>
          <w:szCs w:val="20"/>
        </w:rPr>
        <w:t>.</w:t>
      </w:r>
    </w:p>
    <w:p w:rsidR="00DE5497" w:rsidRPr="008C4280" w:rsidRDefault="00DE5497" w:rsidP="00E146AC">
      <w:pPr>
        <w:pStyle w:val="JuHA"/>
        <w:numPr>
          <w:ilvl w:val="0"/>
          <w:numId w:val="7"/>
        </w:numPr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Oświadczenia stron</w:t>
      </w:r>
    </w:p>
    <w:p w:rsidR="00DE5497" w:rsidRPr="008C4280" w:rsidRDefault="00DE5497" w:rsidP="00E146AC">
      <w:pPr>
        <w:pStyle w:val="JuH1"/>
        <w:numPr>
          <w:ilvl w:val="0"/>
          <w:numId w:val="13"/>
        </w:numPr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Skarżący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podkreślili, że przedstawili istotne powody, aby sądzić,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przypadku powrotu na Białoruś groziłoby im ryzyko „odesłania łańcuchowego” (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chain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noBreakHyphen/>
        <w:t>refoulement</w:t>
      </w:r>
      <w:r w:rsidRPr="008C4280">
        <w:rPr>
          <w:rFonts w:ascii="Times New Roman" w:hAnsi="Times New Roman" w:cs="Times New Roman"/>
          <w:sz w:val="24"/>
          <w:szCs w:val="24"/>
        </w:rPr>
        <w:t xml:space="preserve">), a w konsekwencji traktowania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sprzecznego z art. 3 Konwencji. W konsekwencji, powinni oni mieć dostęp do środka odwoławczego z automatycznym skutkiem zawieszającym. Jednakże decyzje dotyczące odmowy wjazdu były natychmiast wykonalne, a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złożenie odwołania od tych decyzji nie spowodowałoby zawieszenia ich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wykonania.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Ponadto argumentowali, że statystyki pokazują, iż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prawdopodobieństwo powodzenia odwołań do Komendanta Głównego Straży Granicznej jest bardzo małe, a postępowanie przed sądami administracyjnymi może trwać nawet trzy lata. W ich opinii czyniło to takie odwołanie nieskutecznym, biorąc pod uwagę okoliczności ich spraw.</w:t>
      </w:r>
    </w:p>
    <w:p w:rsidR="00DE5497" w:rsidRPr="008C4280" w:rsidRDefault="00DE5497" w:rsidP="00E146AC">
      <w:pPr>
        <w:pStyle w:val="JuH1"/>
        <w:numPr>
          <w:ilvl w:val="0"/>
          <w:numId w:val="13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Rząd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Rząd twierdził, że skarżący mieli do dyspozycji skuteczny środek odwoławczy – mianowicie odwołanie do Komendanta Głównego Straży Granicznej od decyzji dotyczących odmowy wjazdu. Rząd przyznał,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odwołanie nie miało skutku zawieszającego, ale argumentował,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przepisy krajowe były w tym zakresie zgodne z prawem Unii Europejskiej, które zobowiązywało go do zapewnienia, by obywatel państwa trzeciego, któremu odmówiono wjazdu do państwa członkowskiego, nie wjechał na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terytorium tego państwa. Rząd podkreślił, że brak skutku zawieszającego przedmiotowego odwołania wynika ze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szczególnego charakteru decyzji o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odmowie wjazdu. Argumentował,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jeśli cudzoziemiec nie spełnia warunków wjazdu do Polski, decyzja 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odmowie wjazdu musi być natychmiast wykonana, ponieważ nie </w:t>
      </w:r>
      <w:r w:rsidR="004E061D" w:rsidRPr="008C4280">
        <w:rPr>
          <w:rFonts w:ascii="Times New Roman" w:hAnsi="Times New Roman" w:cs="Times New Roman"/>
          <w:sz w:val="24"/>
          <w:szCs w:val="24"/>
        </w:rPr>
        <w:t xml:space="preserve">ma </w:t>
      </w:r>
      <w:r w:rsidRPr="008C4280">
        <w:rPr>
          <w:rFonts w:ascii="Times New Roman" w:hAnsi="Times New Roman" w:cs="Times New Roman"/>
          <w:sz w:val="24"/>
          <w:szCs w:val="24"/>
        </w:rPr>
        <w:t>podstaw, aby dany cudzoziemiec mógł pozostać na terytorium Polski. Rząd wskazał również, że w przypadku wydania przez Komendanta Głównego Straży Granicznej decyzji odmownej, prawo krajowe przewiduje możliwość wniesienia skargi do sądu administracyjnego.</w:t>
      </w:r>
    </w:p>
    <w:p w:rsidR="00DE5497" w:rsidRPr="008C4280" w:rsidRDefault="00DE5497" w:rsidP="00E146AC">
      <w:pPr>
        <w:pStyle w:val="JuHA"/>
        <w:numPr>
          <w:ilvl w:val="0"/>
          <w:numId w:val="7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Ocena Trybunału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89.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stwierdził już, że zawrócenie skarżących na Białoruś stanowiło naruszenie art. 3 Konwencji oraz art. 4 Protokołu nr 4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="00F818EF" w:rsidRPr="008C4280">
        <w:rPr>
          <w:rFonts w:ascii="Times New Roman" w:hAnsi="Times New Roman" w:cs="Times New Roman"/>
          <w:sz w:val="24"/>
          <w:szCs w:val="24"/>
        </w:rPr>
        <w:t>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70 i 84 powyżej). Skargi złożone przez </w:t>
      </w:r>
      <w:r w:rsidR="002C6F05" w:rsidRPr="008C4280">
        <w:rPr>
          <w:rFonts w:ascii="Times New Roman" w:hAnsi="Times New Roman" w:cs="Times New Roman"/>
          <w:sz w:val="24"/>
          <w:szCs w:val="24"/>
        </w:rPr>
        <w:t>s</w:t>
      </w:r>
      <w:r w:rsidRPr="008C4280">
        <w:rPr>
          <w:rFonts w:ascii="Times New Roman" w:hAnsi="Times New Roman" w:cs="Times New Roman"/>
          <w:sz w:val="24"/>
          <w:szCs w:val="24"/>
        </w:rPr>
        <w:t>karżących w tych kwestiach są zatem „</w:t>
      </w:r>
      <w:r w:rsidR="002C6F05" w:rsidRPr="008C4280">
        <w:rPr>
          <w:rFonts w:ascii="Times New Roman" w:hAnsi="Times New Roman" w:cs="Times New Roman"/>
          <w:sz w:val="24"/>
          <w:szCs w:val="24"/>
        </w:rPr>
        <w:t>możliwe do uzasadnienia</w:t>
      </w:r>
      <w:r w:rsidRPr="008C4280">
        <w:rPr>
          <w:rFonts w:ascii="Times New Roman" w:hAnsi="Times New Roman" w:cs="Times New Roman"/>
          <w:sz w:val="24"/>
          <w:szCs w:val="24"/>
        </w:rPr>
        <w:t xml:space="preserve">” </w:t>
      </w:r>
      <w:r w:rsidR="002C6F05" w:rsidRPr="008C428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C6F05" w:rsidRPr="008C4280">
        <w:rPr>
          <w:rFonts w:ascii="Times New Roman" w:hAnsi="Times New Roman" w:cs="Times New Roman"/>
          <w:i/>
          <w:sz w:val="24"/>
          <w:szCs w:val="24"/>
        </w:rPr>
        <w:t>arguable</w:t>
      </w:r>
      <w:proofErr w:type="spellEnd"/>
      <w:r w:rsidR="002C6F05" w:rsidRPr="008C4280">
        <w:rPr>
          <w:rFonts w:ascii="Times New Roman" w:hAnsi="Times New Roman" w:cs="Times New Roman"/>
          <w:sz w:val="24"/>
          <w:szCs w:val="24"/>
        </w:rPr>
        <w:t xml:space="preserve">) </w:t>
      </w:r>
      <w:r w:rsidRPr="008C4280">
        <w:rPr>
          <w:rFonts w:ascii="Times New Roman" w:hAnsi="Times New Roman" w:cs="Times New Roman"/>
          <w:sz w:val="24"/>
          <w:szCs w:val="24"/>
        </w:rPr>
        <w:t xml:space="preserve">dla celów art. 13 (zob. w szczególności,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Hirsi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Jamaa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Inni, </w:t>
      </w:r>
      <w:r w:rsidRPr="008C4280">
        <w:rPr>
          <w:rFonts w:ascii="Times New Roman" w:hAnsi="Times New Roman" w:cs="Times New Roman"/>
          <w:sz w:val="24"/>
          <w:szCs w:val="24"/>
        </w:rPr>
        <w:t xml:space="preserve">cyt. powyżej, § 201). Ponadto, Trybunał orzekł, że skarżący w obecnych sprawach powinni być traktowani jako osoby ubiegające się </w:t>
      </w:r>
      <w:r w:rsidR="00137E60" w:rsidRPr="008C4280">
        <w:rPr>
          <w:rFonts w:ascii="Times New Roman" w:hAnsi="Times New Roman" w:cs="Times New Roman"/>
          <w:sz w:val="24"/>
          <w:szCs w:val="24"/>
        </w:rPr>
        <w:t>o status uchodźcy</w:t>
      </w:r>
      <w:r w:rsidRPr="008C4280">
        <w:rPr>
          <w:rFonts w:ascii="Times New Roman" w:hAnsi="Times New Roman" w:cs="Times New Roman"/>
          <w:sz w:val="24"/>
          <w:szCs w:val="24"/>
        </w:rPr>
        <w:t xml:space="preserve">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64 powyżej); ustalił również, że ich twierdzenia dotyczące ryzyka, </w:t>
      </w:r>
      <w:r w:rsidR="009D7745" w:rsidRPr="008C4280">
        <w:rPr>
          <w:rFonts w:ascii="Times New Roman" w:hAnsi="Times New Roman" w:cs="Times New Roman"/>
          <w:sz w:val="24"/>
          <w:szCs w:val="24"/>
        </w:rPr>
        <w:t xml:space="preserve">że zostaną poddani traktowaniu </w:t>
      </w:r>
      <w:r w:rsidRPr="008C4280">
        <w:rPr>
          <w:rFonts w:ascii="Times New Roman" w:hAnsi="Times New Roman" w:cs="Times New Roman"/>
          <w:sz w:val="24"/>
          <w:szCs w:val="24"/>
        </w:rPr>
        <w:t>narusz</w:t>
      </w:r>
      <w:r w:rsidR="009D7745" w:rsidRPr="008C4280">
        <w:rPr>
          <w:rFonts w:ascii="Times New Roman" w:hAnsi="Times New Roman" w:cs="Times New Roman"/>
          <w:sz w:val="24"/>
          <w:szCs w:val="24"/>
        </w:rPr>
        <w:t>ającemu</w:t>
      </w:r>
      <w:r w:rsidRPr="008C4280">
        <w:rPr>
          <w:rFonts w:ascii="Times New Roman" w:hAnsi="Times New Roman" w:cs="Times New Roman"/>
          <w:sz w:val="24"/>
          <w:szCs w:val="24"/>
        </w:rPr>
        <w:t xml:space="preserve"> art. 3 w przypadku powrotu na Białoruś, zostały zlekceważone przez władze odpowiedzialne za kontrolę graniczną, oraz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nie została wzięta pod uwagę ich sytuacja osobista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82 powyżej).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lastRenderedPageBreak/>
        <w:t>90.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Ponadto Trybunał orzekł już, że odwołanie od odmowy wjazdu i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dalsza skarga do sądów administracyjnych nie były skutecznymi środkami odwoławczymi w rozumieniu Konwencji, ponieważ nie miały automatycznego skutku zawieszającego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40 powyżej). Rząd nie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wskazał żadnych innych środków odwoławczych, które mogłyby spełniać kryteria wynikające z art. 13 Konwencji. W związku z powyższym Trybunał stwierdza, że doszło do naruszenia art. 13 Konwencji w związku 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art. 3 i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art.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4 Protokołu nr 4 do Konwencji.</w:t>
      </w:r>
    </w:p>
    <w:p w:rsidR="00DE5497" w:rsidRPr="008C4280" w:rsidRDefault="008D6855" w:rsidP="00E146AC">
      <w:pPr>
        <w:pStyle w:val="JuHIRoman"/>
        <w:numPr>
          <w:ilvl w:val="0"/>
          <w:numId w:val="4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ZARZUC</w:t>
      </w:r>
      <w:r w:rsidR="00DE5497" w:rsidRPr="008C4280">
        <w:rPr>
          <w:rFonts w:ascii="Times New Roman" w:hAnsi="Times New Roman"/>
          <w:lang w:val="pl-PL"/>
        </w:rPr>
        <w:t>ANE NARUSZENIE ART. 34 KONWENCJI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Wreszcie, skarżący zarzucili, że Rząd nie zastosował się do środków tymczasowych wskazanych przez Trybunał w sprawach skarżących. Powołali się na art. 34 Konwencji, który stanowi:</w:t>
      </w:r>
    </w:p>
    <w:p w:rsidR="00DE5497" w:rsidRPr="008C4280" w:rsidRDefault="00DE5497" w:rsidP="0069154E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8C4280">
        <w:rPr>
          <w:rFonts w:ascii="Times New Roman" w:hAnsi="Times New Roman" w:cs="Times New Roman"/>
          <w:sz w:val="20"/>
          <w:szCs w:val="20"/>
        </w:rPr>
        <w:t>„</w:t>
      </w:r>
      <w:r w:rsidR="0069154E" w:rsidRPr="008C4280">
        <w:rPr>
          <w:rFonts w:ascii="Times New Roman" w:hAnsi="Times New Roman" w:cs="Times New Roman"/>
          <w:sz w:val="20"/>
          <w:szCs w:val="20"/>
        </w:rPr>
        <w:t>Trybunał może przyjmować skargi każdej osoby, organizacji pozarządowej lub</w:t>
      </w:r>
      <w:r w:rsidR="003977E2" w:rsidRPr="008C4280">
        <w:rPr>
          <w:rFonts w:ascii="Times New Roman" w:hAnsi="Times New Roman" w:cs="Times New Roman"/>
          <w:sz w:val="20"/>
          <w:szCs w:val="20"/>
        </w:rPr>
        <w:t> </w:t>
      </w:r>
      <w:r w:rsidR="0069154E" w:rsidRPr="008C4280">
        <w:rPr>
          <w:rFonts w:ascii="Times New Roman" w:hAnsi="Times New Roman" w:cs="Times New Roman"/>
          <w:sz w:val="20"/>
          <w:szCs w:val="20"/>
        </w:rPr>
        <w:t>grupy jednostek, która uważa, że stała się ofiarą naruszenia przez jedną z</w:t>
      </w:r>
      <w:r w:rsidR="003977E2" w:rsidRPr="008C4280">
        <w:rPr>
          <w:rFonts w:ascii="Times New Roman" w:hAnsi="Times New Roman" w:cs="Times New Roman"/>
          <w:sz w:val="20"/>
          <w:szCs w:val="20"/>
        </w:rPr>
        <w:t> </w:t>
      </w:r>
      <w:r w:rsidR="0069154E" w:rsidRPr="008C4280">
        <w:rPr>
          <w:rFonts w:ascii="Times New Roman" w:hAnsi="Times New Roman" w:cs="Times New Roman"/>
          <w:sz w:val="20"/>
          <w:szCs w:val="20"/>
        </w:rPr>
        <w:t xml:space="preserve">Wysokich Układających się Stron praw zawartych w Konwencji lub jej </w:t>
      </w:r>
      <w:r w:rsidR="009D7745" w:rsidRPr="008C4280">
        <w:rPr>
          <w:rFonts w:ascii="Times New Roman" w:hAnsi="Times New Roman" w:cs="Times New Roman"/>
          <w:sz w:val="20"/>
          <w:szCs w:val="20"/>
        </w:rPr>
        <w:t>Protokołach</w:t>
      </w:r>
      <w:r w:rsidR="0069154E" w:rsidRPr="008C4280">
        <w:rPr>
          <w:rFonts w:ascii="Times New Roman" w:hAnsi="Times New Roman" w:cs="Times New Roman"/>
          <w:sz w:val="20"/>
          <w:szCs w:val="20"/>
        </w:rPr>
        <w:t>. Wysokie Układające się Strony zobowiązują się nie przeszkadzać w żaden sposób skutecznemu wykonywaniu tego prawa</w:t>
      </w:r>
      <w:r w:rsidRPr="008C4280">
        <w:rPr>
          <w:rFonts w:ascii="Times New Roman" w:hAnsi="Times New Roman" w:cs="Times New Roman"/>
          <w:sz w:val="20"/>
          <w:szCs w:val="20"/>
        </w:rPr>
        <w:t>”</w:t>
      </w:r>
      <w:r w:rsidR="0069154E" w:rsidRPr="008C4280">
        <w:rPr>
          <w:rFonts w:ascii="Times New Roman" w:hAnsi="Times New Roman" w:cs="Times New Roman"/>
          <w:sz w:val="20"/>
          <w:szCs w:val="20"/>
        </w:rPr>
        <w:t>.</w:t>
      </w:r>
    </w:p>
    <w:p w:rsidR="00DE5497" w:rsidRPr="008C4280" w:rsidRDefault="00545E7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 xml:space="preserve">Reguła </w:t>
      </w:r>
      <w:r w:rsidR="00DE5497" w:rsidRPr="008C4280">
        <w:rPr>
          <w:rFonts w:ascii="Times New Roman" w:hAnsi="Times New Roman" w:cs="Times New Roman"/>
          <w:sz w:val="24"/>
          <w:szCs w:val="24"/>
        </w:rPr>
        <w:t>39 Regulaminu Trybunału stanowi:</w:t>
      </w:r>
    </w:p>
    <w:p w:rsidR="00DE5497" w:rsidRPr="008C4280" w:rsidRDefault="00DE5497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0"/>
          <w:szCs w:val="20"/>
        </w:rPr>
        <w:t>„1.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Pr="008C4280">
        <w:rPr>
          <w:rFonts w:ascii="Times New Roman" w:hAnsi="Times New Roman" w:cs="Times New Roman"/>
          <w:sz w:val="20"/>
          <w:szCs w:val="20"/>
        </w:rPr>
        <w:t>Izba lub, tam gdzie to właściwe, Przewodniczący Sekcji lub sędzia dyżurny wyznaczony zgodnie z ustępem 4 niniejsze</w:t>
      </w:r>
      <w:r w:rsidR="00EC2498" w:rsidRPr="008C4280">
        <w:rPr>
          <w:rFonts w:ascii="Times New Roman" w:hAnsi="Times New Roman" w:cs="Times New Roman"/>
          <w:sz w:val="20"/>
          <w:szCs w:val="20"/>
        </w:rPr>
        <w:t>j reguły</w:t>
      </w:r>
      <w:r w:rsidRPr="008C4280">
        <w:rPr>
          <w:rFonts w:ascii="Times New Roman" w:hAnsi="Times New Roman" w:cs="Times New Roman"/>
          <w:sz w:val="20"/>
          <w:szCs w:val="20"/>
        </w:rPr>
        <w:t>, m</w:t>
      </w:r>
      <w:r w:rsidR="00EC2498" w:rsidRPr="008C4280">
        <w:rPr>
          <w:rFonts w:ascii="Times New Roman" w:hAnsi="Times New Roman" w:cs="Times New Roman"/>
          <w:sz w:val="20"/>
          <w:szCs w:val="20"/>
        </w:rPr>
        <w:t>oże</w:t>
      </w:r>
      <w:r w:rsidRPr="008C4280">
        <w:rPr>
          <w:rFonts w:ascii="Times New Roman" w:hAnsi="Times New Roman" w:cs="Times New Roman"/>
          <w:sz w:val="20"/>
          <w:szCs w:val="20"/>
        </w:rPr>
        <w:t xml:space="preserve">, na wniosek strony lub innej osoby zainteresowanej albo z urzędu, </w:t>
      </w:r>
      <w:r w:rsidR="00EC2498" w:rsidRPr="008C4280">
        <w:rPr>
          <w:rFonts w:ascii="Times New Roman" w:hAnsi="Times New Roman" w:cs="Times New Roman"/>
          <w:sz w:val="20"/>
          <w:szCs w:val="20"/>
        </w:rPr>
        <w:t xml:space="preserve">wskazać </w:t>
      </w:r>
      <w:r w:rsidRPr="008C4280">
        <w:rPr>
          <w:rFonts w:ascii="Times New Roman" w:hAnsi="Times New Roman" w:cs="Times New Roman"/>
          <w:sz w:val="20"/>
          <w:szCs w:val="20"/>
        </w:rPr>
        <w:t>stronom środek tymczasowy, jaki</w:t>
      </w:r>
      <w:r w:rsidR="003977E2" w:rsidRPr="008C4280">
        <w:rPr>
          <w:rFonts w:ascii="Times New Roman" w:hAnsi="Times New Roman" w:cs="Times New Roman"/>
          <w:sz w:val="20"/>
          <w:szCs w:val="20"/>
        </w:rPr>
        <w:t> </w:t>
      </w:r>
      <w:r w:rsidRPr="008C4280">
        <w:rPr>
          <w:rFonts w:ascii="Times New Roman" w:hAnsi="Times New Roman" w:cs="Times New Roman"/>
          <w:sz w:val="20"/>
          <w:szCs w:val="20"/>
        </w:rPr>
        <w:t>należy według ich</w:t>
      </w:r>
      <w:r w:rsidR="00EC2498" w:rsidRPr="008C4280">
        <w:rPr>
          <w:rFonts w:ascii="Times New Roman" w:hAnsi="Times New Roman" w:cs="Times New Roman"/>
          <w:sz w:val="20"/>
          <w:szCs w:val="20"/>
        </w:rPr>
        <w:t xml:space="preserve"> oceny</w:t>
      </w:r>
      <w:r w:rsidRPr="008C4280">
        <w:rPr>
          <w:rFonts w:ascii="Times New Roman" w:hAnsi="Times New Roman" w:cs="Times New Roman"/>
          <w:sz w:val="20"/>
          <w:szCs w:val="20"/>
        </w:rPr>
        <w:t xml:space="preserve"> zastosować w interesie stron lub właściwego przebiegu postępowania.</w:t>
      </w:r>
    </w:p>
    <w:p w:rsidR="00DE5497" w:rsidRPr="008C4280" w:rsidRDefault="00DE5497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0"/>
          <w:szCs w:val="20"/>
        </w:rPr>
        <w:t>2.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Pr="008C4280">
        <w:rPr>
          <w:rFonts w:ascii="Times New Roman" w:hAnsi="Times New Roman" w:cs="Times New Roman"/>
          <w:sz w:val="20"/>
          <w:szCs w:val="20"/>
        </w:rPr>
        <w:t xml:space="preserve">W razie uznania tego za właściwe, </w:t>
      </w:r>
      <w:r w:rsidR="00EC2498" w:rsidRPr="008C4280">
        <w:rPr>
          <w:rFonts w:ascii="Times New Roman" w:hAnsi="Times New Roman" w:cs="Times New Roman"/>
          <w:sz w:val="20"/>
          <w:szCs w:val="20"/>
        </w:rPr>
        <w:t>środek zastosowany w danej sprawie jest niezwłocznie notyfikowany Komitetowi Ministrów</w:t>
      </w:r>
      <w:r w:rsidRPr="008C4280">
        <w:rPr>
          <w:rFonts w:ascii="Times New Roman" w:hAnsi="Times New Roman" w:cs="Times New Roman"/>
          <w:sz w:val="20"/>
          <w:szCs w:val="20"/>
        </w:rPr>
        <w:t>.</w:t>
      </w:r>
    </w:p>
    <w:p w:rsidR="00DE5497" w:rsidRPr="008C4280" w:rsidRDefault="00DE5497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0"/>
          <w:szCs w:val="20"/>
        </w:rPr>
        <w:t>3.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Pr="008C4280">
        <w:rPr>
          <w:rFonts w:ascii="Times New Roman" w:hAnsi="Times New Roman" w:cs="Times New Roman"/>
          <w:sz w:val="20"/>
          <w:szCs w:val="20"/>
        </w:rPr>
        <w:t>Izba lub, tam gdzie to właściwe, Przewodniczący Sekcji lub sędzia dyżurny wyznaczony zgodnie z ustępem 4 niniejsze</w:t>
      </w:r>
      <w:r w:rsidR="00EC2498" w:rsidRPr="008C4280">
        <w:rPr>
          <w:rFonts w:ascii="Times New Roman" w:hAnsi="Times New Roman" w:cs="Times New Roman"/>
          <w:sz w:val="20"/>
          <w:szCs w:val="20"/>
        </w:rPr>
        <w:t>j reguły</w:t>
      </w:r>
      <w:r w:rsidRPr="008C4280">
        <w:rPr>
          <w:rFonts w:ascii="Times New Roman" w:hAnsi="Times New Roman" w:cs="Times New Roman"/>
          <w:sz w:val="20"/>
          <w:szCs w:val="20"/>
        </w:rPr>
        <w:t>, m</w:t>
      </w:r>
      <w:r w:rsidR="00EC2498" w:rsidRPr="008C4280">
        <w:rPr>
          <w:rFonts w:ascii="Times New Roman" w:hAnsi="Times New Roman" w:cs="Times New Roman"/>
          <w:sz w:val="20"/>
          <w:szCs w:val="20"/>
        </w:rPr>
        <w:t>oże</w:t>
      </w:r>
      <w:r w:rsidRPr="008C4280">
        <w:rPr>
          <w:rFonts w:ascii="Times New Roman" w:hAnsi="Times New Roman" w:cs="Times New Roman"/>
          <w:sz w:val="20"/>
          <w:szCs w:val="20"/>
        </w:rPr>
        <w:t xml:space="preserve"> żądać od stron informacji o</w:t>
      </w:r>
      <w:r w:rsidR="003977E2" w:rsidRPr="008C4280">
        <w:rPr>
          <w:rFonts w:ascii="Times New Roman" w:hAnsi="Times New Roman" w:cs="Times New Roman"/>
          <w:sz w:val="20"/>
          <w:szCs w:val="20"/>
        </w:rPr>
        <w:t> </w:t>
      </w:r>
      <w:r w:rsidRPr="008C4280">
        <w:rPr>
          <w:rFonts w:ascii="Times New Roman" w:hAnsi="Times New Roman" w:cs="Times New Roman"/>
          <w:sz w:val="20"/>
          <w:szCs w:val="20"/>
        </w:rPr>
        <w:t xml:space="preserve">jakiejkolwiek kwestii związanej z zastosowaniem </w:t>
      </w:r>
      <w:r w:rsidR="00EC2498" w:rsidRPr="008C4280">
        <w:rPr>
          <w:rFonts w:ascii="Times New Roman" w:hAnsi="Times New Roman" w:cs="Times New Roman"/>
          <w:sz w:val="20"/>
          <w:szCs w:val="20"/>
        </w:rPr>
        <w:t xml:space="preserve">zaleconego </w:t>
      </w:r>
      <w:r w:rsidRPr="008C4280">
        <w:rPr>
          <w:rFonts w:ascii="Times New Roman" w:hAnsi="Times New Roman" w:cs="Times New Roman"/>
          <w:sz w:val="20"/>
          <w:szCs w:val="20"/>
        </w:rPr>
        <w:t>środka tymcza</w:t>
      </w:r>
      <w:r w:rsidR="00EC2498" w:rsidRPr="008C4280">
        <w:rPr>
          <w:rFonts w:ascii="Times New Roman" w:hAnsi="Times New Roman" w:cs="Times New Roman"/>
          <w:sz w:val="20"/>
          <w:szCs w:val="20"/>
        </w:rPr>
        <w:t>sowego</w:t>
      </w:r>
      <w:r w:rsidRPr="008C4280">
        <w:rPr>
          <w:rFonts w:ascii="Times New Roman" w:hAnsi="Times New Roman" w:cs="Times New Roman"/>
          <w:sz w:val="20"/>
          <w:szCs w:val="20"/>
        </w:rPr>
        <w:t>.</w:t>
      </w:r>
    </w:p>
    <w:p w:rsidR="00DE5497" w:rsidRPr="008C4280" w:rsidRDefault="00DE5497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8C4280">
        <w:rPr>
          <w:rFonts w:ascii="Times New Roman" w:hAnsi="Times New Roman" w:cs="Times New Roman"/>
          <w:sz w:val="20"/>
          <w:szCs w:val="20"/>
        </w:rPr>
        <w:t>4.</w:t>
      </w:r>
      <w:r w:rsidR="00851E46" w:rsidRPr="008C4280">
        <w:rPr>
          <w:rFonts w:ascii="Times New Roman" w:hAnsi="Times New Roman" w:cs="Times New Roman"/>
          <w:sz w:val="20"/>
          <w:szCs w:val="20"/>
        </w:rPr>
        <w:t xml:space="preserve"> </w:t>
      </w:r>
      <w:r w:rsidRPr="008C4280">
        <w:rPr>
          <w:rFonts w:ascii="Times New Roman" w:hAnsi="Times New Roman" w:cs="Times New Roman"/>
          <w:sz w:val="20"/>
          <w:szCs w:val="20"/>
        </w:rPr>
        <w:t xml:space="preserve">Przewodniczący Trybunału może wyznaczyć Wiceprzewodniczących Sekcji jako sędziów dyżurnych </w:t>
      </w:r>
      <w:r w:rsidR="00EC2498" w:rsidRPr="008C4280">
        <w:rPr>
          <w:rFonts w:ascii="Times New Roman" w:hAnsi="Times New Roman" w:cs="Times New Roman"/>
          <w:sz w:val="20"/>
          <w:szCs w:val="20"/>
        </w:rPr>
        <w:t xml:space="preserve">do orzekania </w:t>
      </w:r>
      <w:r w:rsidRPr="008C4280">
        <w:rPr>
          <w:rFonts w:ascii="Times New Roman" w:hAnsi="Times New Roman" w:cs="Times New Roman"/>
          <w:sz w:val="20"/>
          <w:szCs w:val="20"/>
        </w:rPr>
        <w:t>w sprawach wniosków o środki tymczasowe</w:t>
      </w:r>
      <w:r w:rsidR="0069154E" w:rsidRPr="008C4280">
        <w:rPr>
          <w:rFonts w:ascii="Times New Roman" w:hAnsi="Times New Roman" w:cs="Times New Roman"/>
          <w:sz w:val="20"/>
          <w:szCs w:val="20"/>
        </w:rPr>
        <w:t>”.</w:t>
      </w:r>
    </w:p>
    <w:p w:rsidR="00DE5497" w:rsidRPr="008C4280" w:rsidRDefault="00DE5497" w:rsidP="00E146AC">
      <w:pPr>
        <w:pStyle w:val="JuHA"/>
        <w:numPr>
          <w:ilvl w:val="0"/>
          <w:numId w:val="8"/>
        </w:numPr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Oświadczenia stron</w:t>
      </w:r>
    </w:p>
    <w:p w:rsidR="00DE5497" w:rsidRPr="008C4280" w:rsidRDefault="00DE5497" w:rsidP="00E146AC">
      <w:pPr>
        <w:pStyle w:val="JuH1"/>
        <w:numPr>
          <w:ilvl w:val="0"/>
          <w:numId w:val="14"/>
        </w:numPr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Skarżący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twierdzili, że niezastosowanie się przez Rząd Polski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środka tymczasowego wskazanego przez Trybunał w odniesieniu do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ich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spraw stanowiło naruszenie art. 34. Wskazali, że dostarczyli Trybunałowi wystarczających informacji na poparcie swoich wniosków o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zastosowanie środków tymczasowych, co spowodowało ich przyznanie. Skarżący podkreślili, że zgodnie z orzecznictwem Trybunału, tak długo jak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środek obowiązywał, Rząd był nim związany. Skarżący wskazali,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że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Rząd kwestionował środki tymczasowe od dnia, w którym zostały mu one wskazane</w:t>
      </w:r>
      <w:r w:rsidR="001D0398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i celowo się do nich nie zastosował.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powtórzyli, że ich wizy straciły ważność i że grozi im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odesłanie z Białorusi do Rosji, a następnie do Syrii, gdzie grozi im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traktowanie naruszające art. 3 Konwencji.</w:t>
      </w:r>
    </w:p>
    <w:p w:rsidR="00DE5497" w:rsidRPr="008C4280" w:rsidRDefault="00DE5497" w:rsidP="00E146AC">
      <w:pPr>
        <w:pStyle w:val="JuH1"/>
        <w:numPr>
          <w:ilvl w:val="0"/>
          <w:numId w:val="14"/>
        </w:numPr>
        <w:tabs>
          <w:tab w:val="clear" w:pos="720"/>
        </w:tabs>
        <w:ind w:left="680" w:hanging="340"/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Rząd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94.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Rząd twierdził, że pozwane 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państwo </w:t>
      </w:r>
      <w:r w:rsidRPr="008C4280">
        <w:rPr>
          <w:rFonts w:ascii="Times New Roman" w:hAnsi="Times New Roman" w:cs="Times New Roman"/>
          <w:sz w:val="24"/>
          <w:szCs w:val="24"/>
        </w:rPr>
        <w:t xml:space="preserve">nie stworzyło żadnych przeszkód w skutecznym wykonaniu prawa skarżących do złożenia </w:t>
      </w:r>
      <w:r w:rsidR="001D0398" w:rsidRPr="008C4280">
        <w:rPr>
          <w:rFonts w:ascii="Times New Roman" w:hAnsi="Times New Roman" w:cs="Times New Roman"/>
          <w:sz w:val="24"/>
          <w:szCs w:val="24"/>
        </w:rPr>
        <w:t>skargi</w:t>
      </w:r>
      <w:r w:rsidRPr="008C4280">
        <w:rPr>
          <w:rFonts w:ascii="Times New Roman" w:hAnsi="Times New Roman" w:cs="Times New Roman"/>
          <w:sz w:val="24"/>
          <w:szCs w:val="24"/>
        </w:rPr>
        <w:t>. Rząd twierdził w szczególności, że niewykonanie przez niego środków tymczasowych wskazanych przez Trybunał w dniu 20 lipca 2017 r. nie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naruszyło – w okolicznościach obecnych spraw – art. 34 Konwencji. Wskazał, że wymagane warunki do nałożenia środków tymczasowych nie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zostały spełnione, i że środki te powinny zostać uchylone.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Rząd wskazał, że </w:t>
      </w:r>
      <w:r w:rsidR="00545E76" w:rsidRPr="008C4280">
        <w:rPr>
          <w:rFonts w:ascii="Times New Roman" w:hAnsi="Times New Roman" w:cs="Times New Roman"/>
          <w:sz w:val="24"/>
          <w:szCs w:val="24"/>
        </w:rPr>
        <w:t>Reguła</w:t>
      </w:r>
      <w:r w:rsidRPr="008C4280">
        <w:rPr>
          <w:rFonts w:ascii="Times New Roman" w:hAnsi="Times New Roman" w:cs="Times New Roman"/>
          <w:sz w:val="24"/>
          <w:szCs w:val="24"/>
        </w:rPr>
        <w:t xml:space="preserve"> 39 Regulaminu Trybunału może być zastosowan</w:t>
      </w:r>
      <w:r w:rsidR="001D0398" w:rsidRPr="008C4280">
        <w:rPr>
          <w:rFonts w:ascii="Times New Roman" w:hAnsi="Times New Roman" w:cs="Times New Roman"/>
          <w:sz w:val="24"/>
          <w:szCs w:val="24"/>
        </w:rPr>
        <w:t>a</w:t>
      </w:r>
      <w:r w:rsidRPr="008C4280">
        <w:rPr>
          <w:rFonts w:ascii="Times New Roman" w:hAnsi="Times New Roman" w:cs="Times New Roman"/>
          <w:sz w:val="24"/>
          <w:szCs w:val="24"/>
        </w:rPr>
        <w:t xml:space="preserve"> tylko w ograniczonych okolicznościach, gdy istnieje bezpośrednie ryzyko nieodwracalnej szkody. Zdaniem Rządu, w sprawach skarżących nie wystąpiło bezpośrednie ryzyko nieodwracalnej szkody dla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któregokolwiek z praw gwarantowanych przez Konwencję. Skarżący przebywali na terytorium Białorusi przez kilka lat</w:t>
      </w:r>
      <w:r w:rsidR="001D0398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zanim złożyli wnioski 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zastosowanie środków tymczasowych. Zdaniem Rządu, nie stali oni w</w:t>
      </w:r>
      <w:r w:rsidR="003977E2" w:rsidRPr="008C4280">
        <w:rPr>
          <w:rFonts w:ascii="Times New Roman" w:hAnsi="Times New Roman" w:cs="Times New Roman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obliczu realnego ryzyka powstania szkody; nie udowodnili również, że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dalszy pobyt na Białorusi spowoduje powstanie takiego ryzyka.</w:t>
      </w:r>
    </w:p>
    <w:p w:rsidR="00DE5497" w:rsidRPr="008C4280" w:rsidRDefault="00DE5497" w:rsidP="00E146AC">
      <w:pPr>
        <w:pStyle w:val="JuHA"/>
        <w:numPr>
          <w:ilvl w:val="0"/>
          <w:numId w:val="8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Ocena Trybunału</w:t>
      </w:r>
    </w:p>
    <w:p w:rsidR="00DE5497" w:rsidRPr="008C4280" w:rsidRDefault="00DE5497" w:rsidP="00E146AC">
      <w:pPr>
        <w:pStyle w:val="JuH1"/>
        <w:numPr>
          <w:ilvl w:val="0"/>
          <w:numId w:val="15"/>
        </w:numPr>
        <w:rPr>
          <w:rFonts w:eastAsia="Times New Roman"/>
          <w:lang w:val="pl-PL"/>
        </w:rPr>
      </w:pPr>
      <w:r w:rsidRPr="008C4280">
        <w:rPr>
          <w:rFonts w:eastAsia="Times New Roman"/>
          <w:lang w:val="pl-PL"/>
        </w:rPr>
        <w:t>Zasady ogólne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Zgodnie z utrwalonym orzecznictwem Trybunału, ponieważ środki tymczasowe przewidziane w </w:t>
      </w:r>
      <w:r w:rsidR="001D0398" w:rsidRPr="008C4280">
        <w:rPr>
          <w:rFonts w:ascii="Times New Roman" w:hAnsi="Times New Roman" w:cs="Times New Roman"/>
          <w:sz w:val="24"/>
          <w:szCs w:val="24"/>
        </w:rPr>
        <w:t>Regule</w:t>
      </w:r>
      <w:r w:rsidRPr="008C4280">
        <w:rPr>
          <w:rFonts w:ascii="Times New Roman" w:hAnsi="Times New Roman" w:cs="Times New Roman"/>
          <w:sz w:val="24"/>
          <w:szCs w:val="24"/>
        </w:rPr>
        <w:t xml:space="preserve"> 39 są wskazywane przez Trybunał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celu zapewnienia skuteczności prawa do skargi indywidualnej, nieprzestrzeganie takich środków przez pozwane 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państwo </w:t>
      </w:r>
      <w:r w:rsidRPr="008C4280">
        <w:rPr>
          <w:rFonts w:ascii="Times New Roman" w:hAnsi="Times New Roman" w:cs="Times New Roman"/>
          <w:sz w:val="24"/>
          <w:szCs w:val="24"/>
        </w:rPr>
        <w:t xml:space="preserve">pociąga za sobą naruszenie prawa do skargi indywidualnej (zob.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Mamatkulov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Askarov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przeciwko Turcji </w:t>
      </w:r>
      <w:r w:rsidR="0069154E" w:rsidRPr="008C4280">
        <w:rPr>
          <w:rFonts w:ascii="Times New Roman" w:hAnsi="Times New Roman" w:cs="Times New Roman"/>
          <w:sz w:val="24"/>
          <w:szCs w:val="24"/>
        </w:rPr>
        <w:t>[WI]</w:t>
      </w:r>
      <w:r w:rsidRPr="008C4280">
        <w:rPr>
          <w:rFonts w:ascii="Times New Roman" w:hAnsi="Times New Roman" w:cs="Times New Roman"/>
          <w:sz w:val="24"/>
          <w:szCs w:val="24"/>
        </w:rPr>
        <w:t xml:space="preserve">, nr 46827/99 i 46951/99, § 125, ECHR 2005-I;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Paladi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przeciwko Mołdawii</w:t>
      </w:r>
      <w:r w:rsidR="00851E46"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9154E" w:rsidRPr="008C4280">
        <w:rPr>
          <w:rFonts w:ascii="Times New Roman" w:hAnsi="Times New Roman" w:cs="Times New Roman"/>
          <w:sz w:val="24"/>
          <w:szCs w:val="24"/>
        </w:rPr>
        <w:t>[WI]</w:t>
      </w:r>
      <w:r w:rsidRPr="008C4280">
        <w:rPr>
          <w:rFonts w:ascii="Times New Roman" w:hAnsi="Times New Roman" w:cs="Times New Roman"/>
          <w:sz w:val="24"/>
          <w:szCs w:val="24"/>
        </w:rPr>
        <w:t>, nr 39806/05, § 88, 10 marca 2009; oraz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M.K. i Inni przeciwko Polsce,</w:t>
      </w:r>
      <w:r w:rsidRPr="008C4280">
        <w:rPr>
          <w:rFonts w:ascii="Times New Roman" w:hAnsi="Times New Roman" w:cs="Times New Roman"/>
          <w:sz w:val="24"/>
          <w:szCs w:val="24"/>
        </w:rPr>
        <w:t xml:space="preserve"> cyt. powyżej, § 230).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wielokrotnie stwierdzał, że biorąc pod uwagę rodzaj okoliczności, w których są wskazane środki tymczasowe oraz istotną rolę, jaką odgrywają one w systemie Konwencji (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Mamatkulov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i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Askarov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C4280">
        <w:rPr>
          <w:rFonts w:ascii="Times New Roman" w:hAnsi="Times New Roman" w:cs="Times New Roman"/>
          <w:sz w:val="24"/>
          <w:szCs w:val="24"/>
        </w:rPr>
        <w:t>cyt.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powyżej, §§ 100 i 125; oraz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Amirov</w:t>
      </w:r>
      <w:proofErr w:type="spellEnd"/>
      <w:r w:rsidR="00851E46"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>przeciwko Rosji</w:t>
      </w:r>
      <w:r w:rsidRPr="008C4280">
        <w:rPr>
          <w:rFonts w:ascii="Times New Roman" w:hAnsi="Times New Roman" w:cs="Times New Roman"/>
          <w:sz w:val="24"/>
          <w:szCs w:val="24"/>
        </w:rPr>
        <w:t>, nr 51857/13, § 67, 27 listopada 2014 r.), nie jest możliwe</w:t>
      </w:r>
      <w:r w:rsidR="00CC3072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by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>jące się Państwo zastępowało osąd Trybunału własnym osądem przy weryfikacji, czy istniało rzeczywiste ryzyko natychmiastowej i nieodwracalnej szkody dla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skarżącego w czasie, gdy był wskazany środek tymczasowy.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Trybunału należy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weryfikacja przestrzegania środka tymczasowego, natomiast państwo, które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uważa, że jest w posiadaniu materiałów mogących przekonać Trybunał do uchylenia środka tymczasowego, powinno poinformować o tym Trybunał (zob.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mutatis mutandis,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Tanrıkulu</w:t>
      </w:r>
      <w:proofErr w:type="spellEnd"/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przeciwko Turcji </w:t>
      </w:r>
      <w:r w:rsidR="0069154E" w:rsidRPr="008C4280">
        <w:rPr>
          <w:rFonts w:ascii="Times New Roman" w:hAnsi="Times New Roman" w:cs="Times New Roman"/>
          <w:sz w:val="24"/>
          <w:szCs w:val="24"/>
        </w:rPr>
        <w:t>[WI]</w:t>
      </w:r>
      <w:r w:rsidRPr="008C4280">
        <w:rPr>
          <w:rFonts w:ascii="Times New Roman" w:hAnsi="Times New Roman" w:cs="Times New Roman"/>
          <w:sz w:val="24"/>
          <w:szCs w:val="24"/>
        </w:rPr>
        <w:t xml:space="preserve">, nr 23763/94, § 131, ECHR 1999-IV, oraz </w:t>
      </w:r>
      <w:proofErr w:type="spellStart"/>
      <w:r w:rsidRPr="008C4280">
        <w:rPr>
          <w:rFonts w:ascii="Times New Roman" w:hAnsi="Times New Roman" w:cs="Times New Roman"/>
          <w:i/>
          <w:iCs/>
          <w:sz w:val="24"/>
          <w:szCs w:val="24"/>
        </w:rPr>
        <w:t>Paladi</w:t>
      </w:r>
      <w:proofErr w:type="spellEnd"/>
      <w:r w:rsidRPr="008C4280">
        <w:rPr>
          <w:rFonts w:ascii="Times New Roman" w:hAnsi="Times New Roman" w:cs="Times New Roman"/>
          <w:sz w:val="24"/>
          <w:szCs w:val="24"/>
        </w:rPr>
        <w:t xml:space="preserve">, cyt. powyżej, § 90). Jednocześnie Wysoka </w:t>
      </w:r>
      <w:r w:rsidR="006F27D2" w:rsidRPr="008C4280">
        <w:rPr>
          <w:rFonts w:ascii="Times New Roman" w:hAnsi="Times New Roman" w:cs="Times New Roman"/>
          <w:sz w:val="24"/>
          <w:szCs w:val="24"/>
        </w:rPr>
        <w:t>Układa</w:t>
      </w:r>
      <w:r w:rsidRPr="008C4280">
        <w:rPr>
          <w:rFonts w:ascii="Times New Roman" w:hAnsi="Times New Roman" w:cs="Times New Roman"/>
          <w:sz w:val="24"/>
          <w:szCs w:val="24"/>
        </w:rPr>
        <w:t>jąca się Strona może w każdej chwili złożyć wniosek o uchylenie środka tymczasowego.</w:t>
      </w:r>
    </w:p>
    <w:p w:rsidR="00DE5497" w:rsidRPr="008C4280" w:rsidRDefault="00DE5497" w:rsidP="00E146AC">
      <w:pPr>
        <w:pStyle w:val="JuH1"/>
        <w:numPr>
          <w:ilvl w:val="0"/>
          <w:numId w:val="15"/>
        </w:numPr>
        <w:rPr>
          <w:iCs w:val="0"/>
          <w:szCs w:val="24"/>
          <w:lang w:val="pl-PL"/>
        </w:rPr>
      </w:pPr>
      <w:r w:rsidRPr="008C4280">
        <w:rPr>
          <w:rFonts w:eastAsia="Times New Roman"/>
          <w:lang w:val="pl-PL"/>
        </w:rPr>
        <w:t>Zastosowanie</w:t>
      </w:r>
      <w:r w:rsidRPr="008C4280">
        <w:rPr>
          <w:iCs w:val="0"/>
          <w:szCs w:val="24"/>
          <w:lang w:val="pl-PL"/>
        </w:rPr>
        <w:t xml:space="preserve"> powyższych zasad w niniejszej sprawie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po pierwsze zauważa, że środki tymczasowe wskazane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odniesieniu do sprawy skarżących w dniu 20 lipca 2017 r. </w:t>
      </w:r>
      <w:r w:rsidR="00CC3072" w:rsidRPr="008C4280">
        <w:rPr>
          <w:rFonts w:ascii="Times New Roman" w:hAnsi="Times New Roman" w:cs="Times New Roman"/>
          <w:sz w:val="24"/>
          <w:szCs w:val="24"/>
        </w:rPr>
        <w:t>zawier</w:t>
      </w:r>
      <w:r w:rsidRPr="008C4280">
        <w:rPr>
          <w:rFonts w:ascii="Times New Roman" w:hAnsi="Times New Roman" w:cs="Times New Roman"/>
          <w:sz w:val="24"/>
          <w:szCs w:val="24"/>
        </w:rPr>
        <w:t>ały instrukcje dla władz, aby powstrzymały się od zawrócenia skarżących na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Białoruś. Pomimo wskazania środków tymczasowych, skarżący zostali zawróceni z punktu kontrolnego nie tylko w dniach, w których środek został wskazany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11 powyżej), ale także przy innej okazji, dzień później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14 powyżej). Należy zauważyć, że przy tej okazji skarżący mieli przy sobie kopię pisma informującego ich o wskazaniu środka tymczasowego w ich sprawie.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99.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zauważa ponadto, że pozwany Rząd nieustannie kwestionował możliwość zastosowania środka tymczasowego, wskazując, że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skarżący nigdy nie zostali legalnie przyjęci do Polski, a zatem nie mogli zostać wydaleni. Rząd kwestionował również zasadność przedmiotowego środka tymczasowego; twierdził, że nie istniała wystarczająca podstawa faktyczna dla jego zastosowania oraz że skarżący nadużyli tego narzędzia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celu zmuszenia Straży Granicznej do wpuszczenia ich do Polski. Trybunał zauważa, że pozwany Rząd nadal powoływał się na te argumenty nawet po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tym, jak Trybunał odrzucił je</w:t>
      </w:r>
      <w:r w:rsidR="00CC3072" w:rsidRPr="008C4280">
        <w:rPr>
          <w:rFonts w:ascii="Times New Roman" w:hAnsi="Times New Roman" w:cs="Times New Roman"/>
          <w:sz w:val="24"/>
          <w:szCs w:val="24"/>
        </w:rPr>
        <w:t>,</w:t>
      </w:r>
      <w:r w:rsidRPr="008C4280">
        <w:rPr>
          <w:rFonts w:ascii="Times New Roman" w:hAnsi="Times New Roman" w:cs="Times New Roman"/>
          <w:sz w:val="24"/>
          <w:szCs w:val="24"/>
        </w:rPr>
        <w:t xml:space="preserve"> oddalając wnioski Rządu 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uchylenie środka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16 i 18 powyżej).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100.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zauważa ponadto, że środek tymczasowy wydany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sprawie skarżącego nadal nie został zastosowany i pozostaje w mocy.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101.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 związku z powyższym Trybunał stwierdza, że Polska nie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wywiązała się ze swoich zobowiązań wynikających z art. 34 Konwencji.</w:t>
      </w:r>
    </w:p>
    <w:p w:rsidR="00DE5497" w:rsidRPr="008C4280" w:rsidRDefault="00833A4E" w:rsidP="00E146AC">
      <w:pPr>
        <w:pStyle w:val="JuHIRoman"/>
        <w:numPr>
          <w:ilvl w:val="0"/>
          <w:numId w:val="4"/>
        </w:numPr>
        <w:tabs>
          <w:tab w:val="clear" w:pos="454"/>
          <w:tab w:val="clear" w:pos="567"/>
          <w:tab w:val="clear" w:pos="680"/>
          <w:tab w:val="clear" w:pos="720"/>
        </w:tabs>
        <w:ind w:left="397" w:hanging="255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 xml:space="preserve">Reguła </w:t>
      </w:r>
      <w:r w:rsidR="00DE5497" w:rsidRPr="008C4280">
        <w:rPr>
          <w:rFonts w:ascii="Times New Roman" w:hAnsi="Times New Roman"/>
          <w:lang w:val="pl-PL"/>
        </w:rPr>
        <w:t xml:space="preserve">39 REGULAMINU </w:t>
      </w:r>
      <w:r w:rsidR="00930DE8" w:rsidRPr="008C4280">
        <w:rPr>
          <w:rFonts w:ascii="Times New Roman" w:hAnsi="Times New Roman"/>
          <w:lang w:val="pl-PL"/>
        </w:rPr>
        <w:t>TRYBUNAŁ</w:t>
      </w:r>
      <w:r w:rsidR="00DE5497" w:rsidRPr="008C4280">
        <w:rPr>
          <w:rFonts w:ascii="Times New Roman" w:hAnsi="Times New Roman"/>
          <w:lang w:val="pl-PL"/>
        </w:rPr>
        <w:t>U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102.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Trybunał pr</w:t>
      </w:r>
      <w:r w:rsidR="00833A4E" w:rsidRPr="008C4280">
        <w:rPr>
          <w:rFonts w:ascii="Times New Roman" w:hAnsi="Times New Roman" w:cs="Times New Roman"/>
          <w:sz w:val="24"/>
          <w:szCs w:val="24"/>
        </w:rPr>
        <w:t>zypomina, że zgodnie z art. 44 ust.</w:t>
      </w:r>
      <w:r w:rsidRPr="008C4280">
        <w:rPr>
          <w:rFonts w:ascii="Times New Roman" w:hAnsi="Times New Roman" w:cs="Times New Roman"/>
          <w:sz w:val="24"/>
          <w:szCs w:val="24"/>
        </w:rPr>
        <w:t xml:space="preserve"> 2 Konwencji, niniejszy wyrok nie stanie się ostateczny do czasu (a) złożenia przez strony oświadczenia, że nie będą składać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wniosku o przekazanie sprawy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Wielkiej Izby; lub (b) upływu trzech miesięcy od daty wydania wyroku, jeśli nie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złożono wniosku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o przekazanie sprawy do Wielkiej Izby; lub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(c)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odrzucenia przez zespół Wielkiej Izby wniosku o przekazanie sprawy na podstawie art. 43 Konwencji.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103.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Uważa, że wskazanie udzielone Rządowi na podstawie </w:t>
      </w:r>
      <w:r w:rsidR="00545E76" w:rsidRPr="008C4280">
        <w:rPr>
          <w:rFonts w:ascii="Times New Roman" w:hAnsi="Times New Roman" w:cs="Times New Roman"/>
          <w:sz w:val="24"/>
          <w:szCs w:val="24"/>
        </w:rPr>
        <w:t>Reguły</w:t>
      </w:r>
      <w:r w:rsidRPr="008C4280">
        <w:rPr>
          <w:rFonts w:ascii="Times New Roman" w:hAnsi="Times New Roman" w:cs="Times New Roman"/>
          <w:sz w:val="24"/>
          <w:szCs w:val="24"/>
        </w:rPr>
        <w:t xml:space="preserve"> 39 Regulaminu Trybunału (</w:t>
      </w:r>
      <w:r w:rsidR="00F818EF" w:rsidRPr="008C4280">
        <w:rPr>
          <w:rFonts w:ascii="Times New Roman" w:hAnsi="Times New Roman" w:cs="Times New Roman"/>
          <w:sz w:val="24"/>
          <w:szCs w:val="24"/>
        </w:rPr>
        <w:t>zob. paragraf</w:t>
      </w:r>
      <w:r w:rsidRPr="008C4280">
        <w:rPr>
          <w:rFonts w:ascii="Times New Roman" w:hAnsi="Times New Roman" w:cs="Times New Roman"/>
          <w:sz w:val="24"/>
          <w:szCs w:val="24"/>
        </w:rPr>
        <w:t xml:space="preserve"> 11 powyżej) powinno pozostać </w:t>
      </w:r>
      <w:r w:rsidRPr="008C4280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mocy do czasu uprawomocnienia się niniejszego wyroku lub do czasu podjęcia przez Trybunał dalszej decyzji w tej sprawie (zob. sentencja).</w:t>
      </w:r>
    </w:p>
    <w:p w:rsidR="00DE5497" w:rsidRPr="008C4280" w:rsidRDefault="00DE5497" w:rsidP="00E146AC">
      <w:pPr>
        <w:pStyle w:val="JuHIRoman"/>
        <w:numPr>
          <w:ilvl w:val="0"/>
          <w:numId w:val="4"/>
        </w:numPr>
        <w:tabs>
          <w:tab w:val="clear" w:pos="454"/>
          <w:tab w:val="clear" w:pos="567"/>
          <w:tab w:val="clear" w:pos="680"/>
          <w:tab w:val="clear" w:pos="720"/>
        </w:tabs>
        <w:ind w:left="397" w:hanging="113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ZASTOSOWANIE ART</w:t>
      </w:r>
      <w:r w:rsidR="00833A4E" w:rsidRPr="008C4280">
        <w:rPr>
          <w:rFonts w:ascii="Times New Roman" w:hAnsi="Times New Roman"/>
          <w:lang w:val="pl-PL"/>
        </w:rPr>
        <w:t>.</w:t>
      </w:r>
      <w:r w:rsidRPr="008C4280">
        <w:rPr>
          <w:rFonts w:ascii="Times New Roman" w:hAnsi="Times New Roman"/>
          <w:lang w:val="pl-PL"/>
        </w:rPr>
        <w:t xml:space="preserve"> 41 KONWENCJI</w:t>
      </w:r>
    </w:p>
    <w:p w:rsidR="00DE5497" w:rsidRPr="008C4280" w:rsidRDefault="00DE5497">
      <w:pPr>
        <w:keepNext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104.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Artykuł 41 Konwencji stanowi:</w:t>
      </w:r>
    </w:p>
    <w:p w:rsidR="00DE5497" w:rsidRPr="008C4280" w:rsidRDefault="0069154E" w:rsidP="0069154E">
      <w:pPr>
        <w:spacing w:before="120" w:after="120" w:line="240" w:lineRule="auto"/>
        <w:ind w:left="425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8C4280">
        <w:rPr>
          <w:rFonts w:ascii="Times New Roman" w:hAnsi="Times New Roman" w:cs="Times New Roman"/>
          <w:sz w:val="20"/>
          <w:szCs w:val="20"/>
        </w:rPr>
        <w:t xml:space="preserve">„Jeśli Trybunał stwierdzi, że nastąpiło naruszenie Konwencji lub jej </w:t>
      </w:r>
      <w:r w:rsidR="00DE5497" w:rsidRPr="008C4280">
        <w:rPr>
          <w:rFonts w:ascii="Times New Roman" w:hAnsi="Times New Roman" w:cs="Times New Roman"/>
          <w:sz w:val="20"/>
          <w:szCs w:val="20"/>
        </w:rPr>
        <w:t>P</w:t>
      </w:r>
      <w:r w:rsidRPr="008C4280">
        <w:rPr>
          <w:rFonts w:ascii="Times New Roman" w:hAnsi="Times New Roman" w:cs="Times New Roman"/>
          <w:sz w:val="20"/>
          <w:szCs w:val="20"/>
        </w:rPr>
        <w:t>rotokołów, oraz</w:t>
      </w:r>
      <w:r w:rsidR="00DE2F60">
        <w:rPr>
          <w:rFonts w:ascii="Times New Roman" w:hAnsi="Times New Roman" w:cs="Times New Roman"/>
          <w:sz w:val="20"/>
          <w:szCs w:val="20"/>
        </w:rPr>
        <w:t> </w:t>
      </w:r>
      <w:r w:rsidRPr="008C4280">
        <w:rPr>
          <w:rFonts w:ascii="Times New Roman" w:hAnsi="Times New Roman" w:cs="Times New Roman"/>
          <w:sz w:val="20"/>
          <w:szCs w:val="20"/>
        </w:rPr>
        <w:t>jeśli prawo wewnętrzne zainteresowanej Wysokiej Układającej się Strony pozwala tylko na częściowe usunięcie konsekwencji tego naruszenia, Trybunał orzeka, gdy</w:t>
      </w:r>
      <w:r w:rsidR="00DE2F60">
        <w:rPr>
          <w:rFonts w:ascii="Times New Roman" w:hAnsi="Times New Roman" w:cs="Times New Roman"/>
          <w:sz w:val="20"/>
          <w:szCs w:val="20"/>
        </w:rPr>
        <w:t> </w:t>
      </w:r>
      <w:r w:rsidRPr="008C4280">
        <w:rPr>
          <w:rFonts w:ascii="Times New Roman" w:hAnsi="Times New Roman" w:cs="Times New Roman"/>
          <w:sz w:val="20"/>
          <w:szCs w:val="20"/>
        </w:rPr>
        <w:t>zachodzi potrzeba, słuszne zadośćuczynienie pokrzywdzonej stronie</w:t>
      </w:r>
      <w:r w:rsidR="00DE5497" w:rsidRPr="008C4280">
        <w:rPr>
          <w:rFonts w:ascii="Times New Roman" w:hAnsi="Times New Roman" w:cs="Times New Roman"/>
          <w:sz w:val="20"/>
          <w:szCs w:val="20"/>
        </w:rPr>
        <w:t>"</w:t>
      </w:r>
      <w:r w:rsidRPr="008C4280">
        <w:rPr>
          <w:rFonts w:ascii="Times New Roman" w:hAnsi="Times New Roman" w:cs="Times New Roman"/>
          <w:sz w:val="20"/>
          <w:szCs w:val="20"/>
        </w:rPr>
        <w:t>.</w:t>
      </w:r>
    </w:p>
    <w:p w:rsidR="00DE5497" w:rsidRPr="008C4280" w:rsidRDefault="00DE5497" w:rsidP="00E146AC">
      <w:pPr>
        <w:pStyle w:val="JuHA"/>
        <w:numPr>
          <w:ilvl w:val="0"/>
          <w:numId w:val="9"/>
        </w:numPr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Szkoda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105.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domagali się 10 000 euro (EUR), które miały być wypłacone każdemu ze skarżących z osobna z tytułu szkody niemajątkowej.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106.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Rząd twierdził, że kwota wskazana przez skarżących jest nadmierna i nieuzasadniona.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107.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Trybunał, orzekając na zasadzie słuszności, uwzględnia w całości roszczenie skarżących i przyznaje 10 000 euro każdemu z trojga skarżących z tytułu szkody niemajątkowej, powiększone o podatek, </w:t>
      </w:r>
      <w:r w:rsidR="00C9207D" w:rsidRPr="008C4280">
        <w:rPr>
          <w:rFonts w:ascii="Times New Roman" w:hAnsi="Times New Roman" w:cs="Times New Roman"/>
          <w:sz w:val="24"/>
          <w:szCs w:val="24"/>
        </w:rPr>
        <w:t>jaki</w:t>
      </w:r>
      <w:r w:rsidRPr="008C4280">
        <w:rPr>
          <w:rFonts w:ascii="Times New Roman" w:hAnsi="Times New Roman" w:cs="Times New Roman"/>
          <w:sz w:val="24"/>
          <w:szCs w:val="24"/>
        </w:rPr>
        <w:t xml:space="preserve"> może być należny.</w:t>
      </w:r>
    </w:p>
    <w:p w:rsidR="00DE5497" w:rsidRPr="008C4280" w:rsidRDefault="00DE5497" w:rsidP="00E146AC">
      <w:pPr>
        <w:pStyle w:val="JuHA"/>
        <w:numPr>
          <w:ilvl w:val="0"/>
          <w:numId w:val="9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Koszty i wydatki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108.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Skarżący nie występowali o zwrot kosztów i wydatków.</w:t>
      </w:r>
    </w:p>
    <w:p w:rsidR="00DE5497" w:rsidRPr="008C4280" w:rsidRDefault="00DE5497" w:rsidP="00E146AC">
      <w:pPr>
        <w:pStyle w:val="JuHA"/>
        <w:numPr>
          <w:ilvl w:val="0"/>
          <w:numId w:val="9"/>
        </w:numPr>
        <w:tabs>
          <w:tab w:val="clear" w:pos="644"/>
        </w:tabs>
        <w:ind w:left="510" w:hanging="340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Odsetki z tytułu zwłoki</w:t>
      </w:r>
    </w:p>
    <w:p w:rsidR="00DE5497" w:rsidRPr="008C4280" w:rsidRDefault="00DE549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109.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Trybunał uznaje za właściwe, </w:t>
      </w:r>
      <w:r w:rsidR="00C9207D" w:rsidRPr="008C4280">
        <w:rPr>
          <w:rFonts w:ascii="Times New Roman" w:hAnsi="Times New Roman" w:cs="Times New Roman"/>
          <w:sz w:val="24"/>
          <w:szCs w:val="24"/>
        </w:rPr>
        <w:t>by</w:t>
      </w:r>
      <w:r w:rsidRPr="008C4280">
        <w:rPr>
          <w:rFonts w:ascii="Times New Roman" w:hAnsi="Times New Roman" w:cs="Times New Roman"/>
          <w:sz w:val="24"/>
          <w:szCs w:val="24"/>
        </w:rPr>
        <w:t xml:space="preserve"> odsetki z tytułu zwłoki </w:t>
      </w:r>
      <w:r w:rsidR="00C9207D" w:rsidRPr="008C4280">
        <w:rPr>
          <w:rFonts w:ascii="Times New Roman" w:hAnsi="Times New Roman" w:cs="Times New Roman"/>
          <w:sz w:val="24"/>
          <w:szCs w:val="24"/>
        </w:rPr>
        <w:t>opierały się</w:t>
      </w:r>
      <w:r w:rsidRPr="008C4280">
        <w:rPr>
          <w:rFonts w:ascii="Times New Roman" w:hAnsi="Times New Roman" w:cs="Times New Roman"/>
          <w:sz w:val="24"/>
          <w:szCs w:val="24"/>
        </w:rPr>
        <w:t xml:space="preserve"> na </w:t>
      </w:r>
      <w:r w:rsidR="00002B4D" w:rsidRPr="008C4280">
        <w:rPr>
          <w:rFonts w:ascii="Times New Roman" w:hAnsi="Times New Roman" w:cs="Times New Roman"/>
          <w:sz w:val="24"/>
          <w:szCs w:val="24"/>
        </w:rPr>
        <w:t xml:space="preserve">marginalnej (krańcowej) stopie oprocentowania kredytu </w:t>
      </w:r>
      <w:r w:rsidRPr="008C4280">
        <w:rPr>
          <w:rFonts w:ascii="Times New Roman" w:hAnsi="Times New Roman" w:cs="Times New Roman"/>
          <w:sz w:val="24"/>
          <w:szCs w:val="24"/>
        </w:rPr>
        <w:t>Europejskiego Banku Centralnego, do której należy dodać trzy punkty procentowe.</w:t>
      </w:r>
    </w:p>
    <w:p w:rsidR="00DE5497" w:rsidRPr="008C4280" w:rsidRDefault="00DE5497" w:rsidP="007A26B9">
      <w:pPr>
        <w:pStyle w:val="JuHHead"/>
        <w:rPr>
          <w:rFonts w:ascii="Times New Roman" w:hAnsi="Times New Roman"/>
          <w:lang w:val="pl-PL"/>
        </w:rPr>
      </w:pPr>
      <w:r w:rsidRPr="008C4280">
        <w:rPr>
          <w:rFonts w:ascii="Times New Roman" w:hAnsi="Times New Roman"/>
          <w:lang w:val="pl-PL"/>
        </w:rPr>
        <w:t>Z TYCH WZGLĘDÓW TRYBUNAŁ JEDNOGŁOŚNIE</w:t>
      </w:r>
    </w:p>
    <w:p w:rsidR="00DE5497" w:rsidRPr="008C4280" w:rsidRDefault="00DE5497" w:rsidP="00E146AC">
      <w:pPr>
        <w:keepNext/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t>Uznaje</w:t>
      </w:r>
      <w:r w:rsidRPr="008C4280">
        <w:rPr>
          <w:rFonts w:ascii="Times New Roman" w:hAnsi="Times New Roman" w:cs="Times New Roman"/>
          <w:sz w:val="24"/>
          <w:szCs w:val="24"/>
        </w:rPr>
        <w:t xml:space="preserve"> skargę za dopuszczalną;</w:t>
      </w:r>
    </w:p>
    <w:p w:rsidR="00DE5497" w:rsidRPr="008C4280" w:rsidRDefault="00DE5497" w:rsidP="00E146AC">
      <w:pPr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Stwierdza, </w:t>
      </w:r>
      <w:r w:rsidRPr="008C4280">
        <w:rPr>
          <w:rFonts w:ascii="Times New Roman" w:hAnsi="Times New Roman" w:cs="Times New Roman"/>
          <w:iCs/>
          <w:sz w:val="24"/>
          <w:szCs w:val="24"/>
        </w:rPr>
        <w:t>że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doszło do naruszenia art. 3 Konwencji ze względu na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odmówi</w:t>
      </w:r>
      <w:r w:rsidR="00C9207D" w:rsidRPr="008C4280">
        <w:rPr>
          <w:rFonts w:ascii="Times New Roman" w:hAnsi="Times New Roman" w:cs="Times New Roman"/>
          <w:sz w:val="24"/>
          <w:szCs w:val="24"/>
        </w:rPr>
        <w:t>enie skarżącym</w:t>
      </w:r>
      <w:r w:rsidRPr="008C4280">
        <w:rPr>
          <w:rFonts w:ascii="Times New Roman" w:hAnsi="Times New Roman" w:cs="Times New Roman"/>
          <w:sz w:val="24"/>
          <w:szCs w:val="24"/>
        </w:rPr>
        <w:t xml:space="preserve"> dostępu </w:t>
      </w:r>
      <w:r w:rsidR="00C9207D" w:rsidRPr="008C4280">
        <w:rPr>
          <w:rFonts w:ascii="Times New Roman" w:hAnsi="Times New Roman" w:cs="Times New Roman"/>
          <w:sz w:val="24"/>
          <w:szCs w:val="24"/>
        </w:rPr>
        <w:t>do procedury azylowej i narażenie</w:t>
      </w:r>
      <w:r w:rsidRPr="008C4280">
        <w:rPr>
          <w:rFonts w:ascii="Times New Roman" w:hAnsi="Times New Roman" w:cs="Times New Roman"/>
          <w:sz w:val="24"/>
          <w:szCs w:val="24"/>
        </w:rPr>
        <w:t xml:space="preserve"> ich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na ryzyko nieludzkiego i poniżającego traktowania oraz tortur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Syrii;</w:t>
      </w:r>
    </w:p>
    <w:p w:rsidR="00DE5497" w:rsidRPr="008C4280" w:rsidRDefault="00DE5497" w:rsidP="00E146AC">
      <w:pPr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Stwierdza, </w:t>
      </w:r>
      <w:r w:rsidRPr="008C4280">
        <w:rPr>
          <w:rFonts w:ascii="Times New Roman" w:hAnsi="Times New Roman" w:cs="Times New Roman"/>
          <w:iCs/>
          <w:sz w:val="24"/>
          <w:szCs w:val="24"/>
        </w:rPr>
        <w:t>że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nie ma potrzeby badania, czy doszło do naruszenia art.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3 Konwencji z powodu traktowania skarżących przez polskie władze podczas kontroli granicznej;</w:t>
      </w:r>
    </w:p>
    <w:p w:rsidR="00DE5497" w:rsidRPr="008C4280" w:rsidRDefault="00DE5497" w:rsidP="00E146AC">
      <w:pPr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lastRenderedPageBreak/>
        <w:t>Stwierdza, że</w:t>
      </w:r>
      <w:r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="00C9207D" w:rsidRPr="008C4280">
        <w:rPr>
          <w:rFonts w:ascii="Times New Roman" w:hAnsi="Times New Roman" w:cs="Times New Roman"/>
          <w:sz w:val="24"/>
          <w:szCs w:val="24"/>
        </w:rPr>
        <w:t>doszło do naruszenia</w:t>
      </w:r>
      <w:r w:rsidRPr="008C4280">
        <w:rPr>
          <w:rFonts w:ascii="Times New Roman" w:hAnsi="Times New Roman" w:cs="Times New Roman"/>
          <w:sz w:val="24"/>
          <w:szCs w:val="24"/>
        </w:rPr>
        <w:t xml:space="preserve"> art. 4 Protokołu nr 4 do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Konwencji;</w:t>
      </w:r>
    </w:p>
    <w:p w:rsidR="00DE5497" w:rsidRPr="008C4280" w:rsidRDefault="00DE5497" w:rsidP="00E146AC">
      <w:pPr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Stwierdza, </w:t>
      </w:r>
      <w:r w:rsidRPr="008C4280">
        <w:rPr>
          <w:rFonts w:ascii="Times New Roman" w:hAnsi="Times New Roman" w:cs="Times New Roman"/>
          <w:iCs/>
          <w:sz w:val="24"/>
          <w:szCs w:val="24"/>
        </w:rPr>
        <w:t>że</w:t>
      </w: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9207D" w:rsidRPr="008C4280">
        <w:rPr>
          <w:rFonts w:ascii="Times New Roman" w:hAnsi="Times New Roman" w:cs="Times New Roman"/>
          <w:iCs/>
          <w:sz w:val="24"/>
          <w:szCs w:val="24"/>
        </w:rPr>
        <w:t xml:space="preserve">doszło do </w:t>
      </w:r>
      <w:r w:rsidR="00C9207D" w:rsidRPr="008C4280">
        <w:rPr>
          <w:rFonts w:ascii="Times New Roman" w:hAnsi="Times New Roman" w:cs="Times New Roman"/>
          <w:sz w:val="24"/>
          <w:szCs w:val="24"/>
        </w:rPr>
        <w:t>naruszenia</w:t>
      </w:r>
      <w:r w:rsidRPr="008C4280">
        <w:rPr>
          <w:rFonts w:ascii="Times New Roman" w:hAnsi="Times New Roman" w:cs="Times New Roman"/>
          <w:sz w:val="24"/>
          <w:szCs w:val="24"/>
        </w:rPr>
        <w:t xml:space="preserve"> art. 13 Konwencji w związku z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art.</w:t>
      </w:r>
      <w:r w:rsidR="00DE2F6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3 Konwencji i art. 4 Protokołu </w:t>
      </w:r>
      <w:r w:rsidR="00C9207D" w:rsidRPr="008C4280">
        <w:rPr>
          <w:rFonts w:ascii="Times New Roman" w:hAnsi="Times New Roman" w:cs="Times New Roman"/>
          <w:sz w:val="24"/>
          <w:szCs w:val="24"/>
        </w:rPr>
        <w:t>n</w:t>
      </w:r>
      <w:r w:rsidRPr="008C4280">
        <w:rPr>
          <w:rFonts w:ascii="Times New Roman" w:hAnsi="Times New Roman" w:cs="Times New Roman"/>
          <w:sz w:val="24"/>
          <w:szCs w:val="24"/>
        </w:rPr>
        <w:t>r 4 do Konwencji;</w:t>
      </w:r>
    </w:p>
    <w:p w:rsidR="00DE5497" w:rsidRPr="008C4280" w:rsidRDefault="00DE5497" w:rsidP="00E146AC">
      <w:pPr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Uznaje, że </w:t>
      </w:r>
      <w:r w:rsidRPr="008C4280">
        <w:rPr>
          <w:rFonts w:ascii="Times New Roman" w:hAnsi="Times New Roman" w:cs="Times New Roman"/>
          <w:sz w:val="24"/>
          <w:szCs w:val="24"/>
        </w:rPr>
        <w:t>Polska nie wywiązała się ze swoich zobowiązań wynikających z art. 34 Konwencji;</w:t>
      </w:r>
    </w:p>
    <w:p w:rsidR="00DE5497" w:rsidRPr="008C4280" w:rsidRDefault="00DE5497" w:rsidP="00E146AC">
      <w:pPr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t xml:space="preserve">Postanawia </w:t>
      </w:r>
      <w:r w:rsidRPr="008C4280">
        <w:rPr>
          <w:rFonts w:ascii="Times New Roman" w:hAnsi="Times New Roman" w:cs="Times New Roman"/>
          <w:sz w:val="24"/>
          <w:szCs w:val="24"/>
        </w:rPr>
        <w:t xml:space="preserve">nadal wskazywać Rządowi na podstawie </w:t>
      </w:r>
      <w:r w:rsidR="00545E76" w:rsidRPr="008C4280">
        <w:rPr>
          <w:rFonts w:ascii="Times New Roman" w:hAnsi="Times New Roman" w:cs="Times New Roman"/>
          <w:sz w:val="24"/>
          <w:szCs w:val="24"/>
        </w:rPr>
        <w:t>Reguły</w:t>
      </w:r>
      <w:r w:rsidRPr="008C4280">
        <w:rPr>
          <w:rFonts w:ascii="Times New Roman" w:hAnsi="Times New Roman" w:cs="Times New Roman"/>
          <w:sz w:val="24"/>
          <w:szCs w:val="24"/>
        </w:rPr>
        <w:t xml:space="preserve"> 39 Regulaminu Trybunału, że w interesie prawidłowego przebiegu postępowania pożądane jest, aby nie wydalać skarżących na Białoruś – jeśli i </w:t>
      </w:r>
      <w:r w:rsidR="00002B4D" w:rsidRPr="008C4280">
        <w:rPr>
          <w:rFonts w:ascii="Times New Roman" w:hAnsi="Times New Roman" w:cs="Times New Roman"/>
          <w:sz w:val="24"/>
          <w:szCs w:val="24"/>
        </w:rPr>
        <w:t>gdy</w:t>
      </w:r>
      <w:r w:rsidRPr="008C4280">
        <w:rPr>
          <w:rFonts w:ascii="Times New Roman" w:hAnsi="Times New Roman" w:cs="Times New Roman"/>
          <w:sz w:val="24"/>
          <w:szCs w:val="24"/>
        </w:rPr>
        <w:t xml:space="preserve"> stawią się na polskim przejściu granicznym – do czasu uprawomocnienia się niniejszego wyroku lub do czasu podjęcia kolejnej decyzji;</w:t>
      </w:r>
    </w:p>
    <w:p w:rsidR="00DE5497" w:rsidRPr="008C4280" w:rsidRDefault="00DE5497" w:rsidP="00E146AC">
      <w:pPr>
        <w:numPr>
          <w:ilvl w:val="0"/>
          <w:numId w:val="3"/>
        </w:numPr>
        <w:spacing w:before="280" w:after="60" w:line="240" w:lineRule="auto"/>
        <w:ind w:left="3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i/>
          <w:iCs/>
          <w:sz w:val="24"/>
          <w:szCs w:val="24"/>
        </w:rPr>
        <w:t>Stwierdza</w:t>
      </w:r>
    </w:p>
    <w:p w:rsidR="00DE5497" w:rsidRPr="008C4280" w:rsidRDefault="00DE5497">
      <w:pPr>
        <w:spacing w:after="0" w:line="240" w:lineRule="auto"/>
        <w:ind w:left="680" w:hanging="34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(a)</w:t>
      </w:r>
      <w:r w:rsidR="00851E46" w:rsidRPr="008C4280">
        <w:rPr>
          <w:rFonts w:ascii="Times New Roman" w:hAnsi="Times New Roman" w:cs="Times New Roman"/>
          <w:sz w:val="14"/>
          <w:szCs w:val="1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że pozwane </w:t>
      </w:r>
      <w:r w:rsidR="009E4646" w:rsidRPr="008C4280">
        <w:rPr>
          <w:rFonts w:ascii="Times New Roman" w:hAnsi="Times New Roman" w:cs="Times New Roman"/>
          <w:sz w:val="24"/>
          <w:szCs w:val="24"/>
        </w:rPr>
        <w:t xml:space="preserve">państwo </w:t>
      </w:r>
      <w:r w:rsidRPr="008C4280">
        <w:rPr>
          <w:rFonts w:ascii="Times New Roman" w:hAnsi="Times New Roman" w:cs="Times New Roman"/>
          <w:sz w:val="24"/>
          <w:szCs w:val="24"/>
        </w:rPr>
        <w:t>ma wypłacić każdemu z trojga skarżących, w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terminie trzech miesięcy od dnia, w którym wyrok stanie się </w:t>
      </w:r>
      <w:r w:rsidR="006F27D2" w:rsidRPr="008C4280">
        <w:rPr>
          <w:rFonts w:ascii="Times New Roman" w:hAnsi="Times New Roman" w:cs="Times New Roman"/>
          <w:sz w:val="24"/>
          <w:szCs w:val="24"/>
        </w:rPr>
        <w:t>ostateczny</w:t>
      </w:r>
      <w:r w:rsidRPr="008C4280">
        <w:rPr>
          <w:rFonts w:ascii="Times New Roman" w:hAnsi="Times New Roman" w:cs="Times New Roman"/>
          <w:sz w:val="24"/>
          <w:szCs w:val="24"/>
        </w:rPr>
        <w:t xml:space="preserve"> zgodnie z art. 44 ust. 2 Konwencji, kwotę 10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 xml:space="preserve">000 EUR (dziesięć tysięcy euro), przeliczoną na walutę pozwanego państwa według kursu obowiązującego w dniu wyroku, plus jakikolwiek podatek, </w:t>
      </w:r>
      <w:r w:rsidR="00002B4D" w:rsidRPr="008C4280">
        <w:rPr>
          <w:rFonts w:ascii="Times New Roman" w:hAnsi="Times New Roman" w:cs="Times New Roman"/>
          <w:sz w:val="24"/>
          <w:szCs w:val="24"/>
        </w:rPr>
        <w:t>jaki</w:t>
      </w:r>
      <w:r w:rsidRPr="008C4280">
        <w:rPr>
          <w:rFonts w:ascii="Times New Roman" w:hAnsi="Times New Roman" w:cs="Times New Roman"/>
          <w:sz w:val="24"/>
          <w:szCs w:val="24"/>
        </w:rPr>
        <w:t xml:space="preserve"> może być nałożony na skarżących</w:t>
      </w:r>
      <w:r w:rsidRPr="008C4280">
        <w:rPr>
          <w:rFonts w:ascii="Times New Roman" w:hAnsi="Times New Roman" w:cs="Times New Roman"/>
        </w:rPr>
        <w:t>;</w:t>
      </w:r>
    </w:p>
    <w:p w:rsidR="00DE5497" w:rsidRPr="008C4280" w:rsidRDefault="00DE5497">
      <w:pPr>
        <w:spacing w:after="0" w:line="240" w:lineRule="auto"/>
        <w:ind w:left="680" w:hanging="340"/>
        <w:jc w:val="both"/>
        <w:rPr>
          <w:rFonts w:ascii="Times New Roman" w:hAnsi="Times New Roman" w:cs="Times New Roman"/>
          <w:sz w:val="24"/>
          <w:szCs w:val="24"/>
        </w:rPr>
      </w:pPr>
      <w:r w:rsidRPr="008C4280">
        <w:rPr>
          <w:rFonts w:ascii="Times New Roman" w:hAnsi="Times New Roman" w:cs="Times New Roman"/>
          <w:sz w:val="24"/>
          <w:szCs w:val="24"/>
        </w:rPr>
        <w:t>(b)</w:t>
      </w:r>
      <w:r w:rsidR="00851E46" w:rsidRPr="008C4280">
        <w:rPr>
          <w:rFonts w:ascii="Times New Roman" w:hAnsi="Times New Roman" w:cs="Times New Roman"/>
          <w:sz w:val="14"/>
          <w:szCs w:val="1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że po upływie powyższego trzymiesięcznego terminu</w:t>
      </w:r>
      <w:r w:rsidR="00851E46" w:rsidRPr="008C4280">
        <w:rPr>
          <w:rFonts w:ascii="Times New Roman" w:hAnsi="Times New Roman" w:cs="Times New Roman"/>
          <w:sz w:val="24"/>
          <w:szCs w:val="24"/>
        </w:rPr>
        <w:t xml:space="preserve"> </w:t>
      </w:r>
      <w:r w:rsidRPr="008C4280">
        <w:rPr>
          <w:rFonts w:ascii="Times New Roman" w:hAnsi="Times New Roman" w:cs="Times New Roman"/>
          <w:sz w:val="24"/>
          <w:szCs w:val="24"/>
        </w:rPr>
        <w:t>do momentu uregulowania należności, od powyższych kwot będą naliczane zwykłe odsetki według stawki równej marginalnej (krańcowej) stopie oprocentowania kredytu Europejskiego Banku Centralnego za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>czas zwłoki, powiększonej o trzy punkty procentowe.</w:t>
      </w:r>
    </w:p>
    <w:p w:rsidR="00203109" w:rsidRPr="008C4280" w:rsidRDefault="00DE5497" w:rsidP="00033AD7">
      <w:pPr>
        <w:keepNext/>
        <w:spacing w:before="240" w:after="240" w:line="240" w:lineRule="auto"/>
        <w:ind w:firstLine="284"/>
        <w:jc w:val="both"/>
        <w:rPr>
          <w:rFonts w:ascii="Times New Roman" w:hAnsi="Times New Roman" w:cs="Times New Roman"/>
          <w:color w:val="F8F8F8"/>
          <w:sz w:val="24"/>
          <w:szCs w:val="24"/>
          <w:lang w:eastAsia="en-US"/>
        </w:rPr>
      </w:pPr>
      <w:r w:rsidRPr="008C4280">
        <w:rPr>
          <w:rFonts w:ascii="Times New Roman" w:hAnsi="Times New Roman" w:cs="Times New Roman"/>
          <w:sz w:val="24"/>
          <w:szCs w:val="24"/>
        </w:rPr>
        <w:t>Sporządzono w języku angielskim i obwieszczono pisemnie w dniu 8</w:t>
      </w:r>
      <w:r w:rsidR="003977E2" w:rsidRPr="008C4280">
        <w:rPr>
          <w:rFonts w:ascii="Times New Roman" w:hAnsi="Times New Roman" w:cs="Times New Roman"/>
          <w:sz w:val="24"/>
          <w:szCs w:val="24"/>
        </w:rPr>
        <w:t> </w:t>
      </w:r>
      <w:r w:rsidRPr="008C4280">
        <w:rPr>
          <w:rFonts w:ascii="Times New Roman" w:hAnsi="Times New Roman" w:cs="Times New Roman"/>
          <w:sz w:val="24"/>
          <w:szCs w:val="24"/>
        </w:rPr>
        <w:t xml:space="preserve">lipca 2021 r., zgodnie z </w:t>
      </w:r>
      <w:r w:rsidR="00545E76" w:rsidRPr="008C4280">
        <w:rPr>
          <w:rFonts w:ascii="Times New Roman" w:hAnsi="Times New Roman" w:cs="Times New Roman"/>
          <w:sz w:val="24"/>
          <w:szCs w:val="24"/>
        </w:rPr>
        <w:t>Regułą</w:t>
      </w:r>
      <w:r w:rsidRPr="008C4280">
        <w:rPr>
          <w:rFonts w:ascii="Times New Roman" w:hAnsi="Times New Roman" w:cs="Times New Roman"/>
          <w:sz w:val="24"/>
          <w:szCs w:val="24"/>
        </w:rPr>
        <w:t xml:space="preserve"> 77 </w:t>
      </w:r>
      <w:r w:rsidR="00545E76" w:rsidRPr="008C4280">
        <w:rPr>
          <w:rFonts w:ascii="Times New Roman" w:hAnsi="Times New Roman" w:cs="Times New Roman"/>
          <w:sz w:val="24"/>
          <w:szCs w:val="24"/>
        </w:rPr>
        <w:t>§§</w:t>
      </w:r>
      <w:r w:rsidRPr="008C4280">
        <w:rPr>
          <w:rFonts w:ascii="Times New Roman" w:hAnsi="Times New Roman" w:cs="Times New Roman"/>
          <w:sz w:val="24"/>
          <w:szCs w:val="24"/>
        </w:rPr>
        <w:t xml:space="preserve"> 2 i 3 Regulaminu Trybunału.</w:t>
      </w:r>
    </w:p>
    <w:p w:rsidR="00203109" w:rsidRPr="008C4280" w:rsidRDefault="00203109" w:rsidP="00203109">
      <w:pPr>
        <w:tabs>
          <w:tab w:val="center" w:pos="709"/>
          <w:tab w:val="center" w:pos="6407"/>
        </w:tabs>
        <w:spacing w:before="720"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8C4280">
        <w:rPr>
          <w:rFonts w:ascii="Times New Roman" w:hAnsi="Times New Roman" w:cs="Times New Roman"/>
          <w:sz w:val="24"/>
          <w:szCs w:val="24"/>
          <w:lang w:eastAsia="en-US"/>
        </w:rPr>
        <w:t xml:space="preserve">Renata Degener </w:t>
      </w:r>
      <w:r w:rsidRPr="008C4280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Pr="008C4280">
        <w:rPr>
          <w:rFonts w:ascii="Times New Roman" w:hAnsi="Times New Roman" w:cs="Times New Roman"/>
          <w:sz w:val="24"/>
          <w:szCs w:val="24"/>
          <w:lang w:eastAsia="en-US"/>
        </w:rPr>
        <w:t>Ksenija</w:t>
      </w:r>
      <w:proofErr w:type="spellEnd"/>
      <w:r w:rsidRPr="008C4280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8C4280">
        <w:rPr>
          <w:rFonts w:ascii="Times New Roman" w:hAnsi="Times New Roman" w:cs="Times New Roman"/>
          <w:sz w:val="24"/>
          <w:szCs w:val="24"/>
          <w:lang w:eastAsia="en-US"/>
        </w:rPr>
        <w:t>Turković</w:t>
      </w:r>
      <w:proofErr w:type="spellEnd"/>
      <w:r w:rsidRPr="008C4280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8C428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C4280">
        <w:rPr>
          <w:rFonts w:ascii="Times New Roman" w:hAnsi="Times New Roman" w:cs="Times New Roman"/>
          <w:iCs/>
          <w:sz w:val="24"/>
          <w:szCs w:val="24"/>
          <w:lang w:eastAsia="en-US"/>
        </w:rPr>
        <w:t>Kanclerz</w:t>
      </w:r>
      <w:r w:rsidRPr="008C4280">
        <w:rPr>
          <w:rFonts w:ascii="Times New Roman" w:hAnsi="Times New Roman" w:cs="Times New Roman"/>
          <w:sz w:val="24"/>
          <w:szCs w:val="24"/>
          <w:lang w:eastAsia="en-US"/>
        </w:rPr>
        <w:tab/>
        <w:t>Przewodnicząca</w:t>
      </w:r>
    </w:p>
    <w:p w:rsidR="00203109" w:rsidRPr="008C4280" w:rsidRDefault="00203109" w:rsidP="0020310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E5497" w:rsidRPr="008C4280" w:rsidRDefault="00DE5497" w:rsidP="00203109">
      <w:pPr>
        <w:keepNext/>
        <w:spacing w:before="720" w:after="0" w:line="240" w:lineRule="auto"/>
        <w:rPr>
          <w:rFonts w:ascii="Times New Roman" w:hAnsi="Times New Roman" w:cs="Times New Roman"/>
        </w:rPr>
      </w:pPr>
    </w:p>
    <w:sectPr w:rsidR="00DE5497" w:rsidRPr="008C4280" w:rsidSect="00963BF1">
      <w:pgSz w:w="11906" w:h="16838"/>
      <w:pgMar w:top="2274" w:right="2274" w:bottom="2274" w:left="227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7EF" w:rsidRDefault="007D27EF" w:rsidP="003F5CB1">
      <w:pPr>
        <w:spacing w:after="0" w:line="240" w:lineRule="auto"/>
      </w:pPr>
      <w:r>
        <w:separator/>
      </w:r>
    </w:p>
  </w:endnote>
  <w:endnote w:type="continuationSeparator" w:id="0">
    <w:p w:rsidR="007D27EF" w:rsidRDefault="007D27EF" w:rsidP="003F5CB1">
      <w:pPr>
        <w:spacing w:after="0" w:line="240" w:lineRule="auto"/>
      </w:pPr>
      <w:r>
        <w:continuationSeparator/>
      </w:r>
    </w:p>
  </w:endnote>
  <w:endnote w:type="continuationNotice" w:id="1">
    <w:p w:rsidR="007D27EF" w:rsidRDefault="007D27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B08" w:rsidRPr="0033575F" w:rsidRDefault="004A4B08" w:rsidP="00851E46">
    <w:pPr>
      <w:pStyle w:val="Stopka"/>
      <w:jc w:val="center"/>
      <w:rPr>
        <w:rFonts w:ascii="Times New Roman" w:hAnsi="Times New Roman" w:cs="Times New Roman"/>
      </w:rPr>
    </w:pPr>
    <w:r w:rsidRPr="0033575F">
      <w:rPr>
        <w:rFonts w:ascii="Times New Roman" w:hAnsi="Times New Roman" w:cs="Times New Roman"/>
      </w:rPr>
      <w:fldChar w:fldCharType="begin"/>
    </w:r>
    <w:r w:rsidRPr="0033575F">
      <w:rPr>
        <w:rFonts w:ascii="Times New Roman" w:hAnsi="Times New Roman" w:cs="Times New Roman"/>
      </w:rPr>
      <w:instrText>PAGE   \* MERGEFORMAT</w:instrText>
    </w:r>
    <w:r w:rsidRPr="0033575F">
      <w:rPr>
        <w:rFonts w:ascii="Times New Roman" w:hAnsi="Times New Roman" w:cs="Times New Roman"/>
      </w:rPr>
      <w:fldChar w:fldCharType="separate"/>
    </w:r>
    <w:r w:rsidR="00FE3BFE">
      <w:rPr>
        <w:rFonts w:ascii="Times New Roman" w:hAnsi="Times New Roman" w:cs="Times New Roman"/>
        <w:noProof/>
      </w:rPr>
      <w:t>20</w:t>
    </w:r>
    <w:r w:rsidRPr="0033575F">
      <w:rPr>
        <w:rFonts w:ascii="Times New Roman" w:hAnsi="Times New Roman" w:cs="Times New Roman"/>
      </w:rPr>
      <w:fldChar w:fldCharType="end"/>
    </w:r>
  </w:p>
  <w:p w:rsidR="004A4B08" w:rsidRDefault="004A4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7EF" w:rsidRDefault="007D27EF" w:rsidP="003F5CB1">
      <w:pPr>
        <w:spacing w:after="0" w:line="240" w:lineRule="auto"/>
      </w:pPr>
      <w:r>
        <w:separator/>
      </w:r>
    </w:p>
  </w:footnote>
  <w:footnote w:type="continuationSeparator" w:id="0">
    <w:p w:rsidR="007D27EF" w:rsidRDefault="007D27EF" w:rsidP="003F5CB1">
      <w:pPr>
        <w:spacing w:after="0" w:line="240" w:lineRule="auto"/>
      </w:pPr>
      <w:r>
        <w:continuationSeparator/>
      </w:r>
    </w:p>
  </w:footnote>
  <w:footnote w:type="continuationNotice" w:id="1">
    <w:p w:rsidR="007D27EF" w:rsidRDefault="007D27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B08" w:rsidRDefault="004A4B08" w:rsidP="00024E2B">
    <w:pPr>
      <w:spacing w:after="0" w:line="240" w:lineRule="auto"/>
      <w:jc w:val="center"/>
      <w:rPr>
        <w:rFonts w:ascii="Times New Roman" w:hAnsi="Times New Roman" w:cs="Times New Roman"/>
        <w:sz w:val="18"/>
        <w:szCs w:val="24"/>
        <w:lang w:val="en-GB" w:eastAsia="en-US"/>
      </w:rPr>
    </w:pPr>
  </w:p>
  <w:p w:rsidR="004A4B08" w:rsidRDefault="004A4B08" w:rsidP="00024E2B">
    <w:pPr>
      <w:spacing w:after="0" w:line="240" w:lineRule="auto"/>
      <w:jc w:val="center"/>
      <w:rPr>
        <w:rFonts w:ascii="Times New Roman" w:hAnsi="Times New Roman" w:cs="Times New Roman"/>
        <w:sz w:val="18"/>
        <w:szCs w:val="24"/>
        <w:lang w:val="en-GB" w:eastAsia="en-US"/>
      </w:rPr>
    </w:pPr>
  </w:p>
  <w:p w:rsidR="004A4B08" w:rsidRDefault="004A4B08" w:rsidP="00024E2B">
    <w:pPr>
      <w:spacing w:after="0" w:line="240" w:lineRule="auto"/>
      <w:jc w:val="center"/>
      <w:rPr>
        <w:rFonts w:ascii="Times New Roman" w:hAnsi="Times New Roman" w:cs="Times New Roman"/>
        <w:sz w:val="18"/>
        <w:szCs w:val="24"/>
        <w:lang w:val="en-GB" w:eastAsia="en-US"/>
      </w:rPr>
    </w:pPr>
  </w:p>
  <w:p w:rsidR="004A4B08" w:rsidRDefault="004A4B08" w:rsidP="00024E2B">
    <w:pPr>
      <w:spacing w:after="0" w:line="240" w:lineRule="auto"/>
      <w:jc w:val="center"/>
      <w:rPr>
        <w:rFonts w:ascii="Times New Roman" w:hAnsi="Times New Roman" w:cs="Times New Roman"/>
        <w:sz w:val="18"/>
        <w:szCs w:val="24"/>
        <w:lang w:eastAsia="en-US"/>
      </w:rPr>
    </w:pPr>
  </w:p>
  <w:p w:rsidR="004A4B08" w:rsidRPr="00024E2B" w:rsidRDefault="004A4B08" w:rsidP="00024E2B">
    <w:pPr>
      <w:spacing w:after="0" w:line="240" w:lineRule="auto"/>
      <w:jc w:val="center"/>
      <w:rPr>
        <w:rFonts w:ascii="Times New Roman" w:hAnsi="Times New Roman" w:cs="Times New Roman"/>
        <w:sz w:val="18"/>
        <w:szCs w:val="24"/>
        <w:lang w:eastAsia="en-US"/>
      </w:rPr>
    </w:pPr>
    <w:r w:rsidRPr="00024E2B">
      <w:rPr>
        <w:rFonts w:ascii="Times New Roman" w:hAnsi="Times New Roman" w:cs="Times New Roman"/>
        <w:sz w:val="18"/>
        <w:szCs w:val="24"/>
        <w:lang w:eastAsia="en-US"/>
      </w:rPr>
      <w:t>WYROK W SPRAWIE D.A. I INNI PRZECIWKO POLSCE</w:t>
    </w:r>
  </w:p>
  <w:p w:rsidR="004A4B08" w:rsidRPr="00024E2B" w:rsidRDefault="004A4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D8F" w:rsidRDefault="00102F13" w:rsidP="00102F13">
    <w:pPr>
      <w:pStyle w:val="Nagwek"/>
      <w:jc w:val="center"/>
    </w:pPr>
    <w:r w:rsidRPr="008C4280">
      <w:rPr>
        <w:rFonts w:ascii="Times New Roman" w:hAnsi="Times New Roman" w:cs="Times New Roman"/>
        <w:noProof/>
        <w:sz w:val="24"/>
        <w:szCs w:val="24"/>
      </w:rPr>
      <w:drawing>
        <wp:inline distT="0" distB="0" distL="0" distR="0" wp14:anchorId="15C86636" wp14:editId="4405EA54">
          <wp:extent cx="3103245" cy="1184275"/>
          <wp:effectExtent l="0" t="0" r="0" b="0"/>
          <wp:docPr id="1" name="Obraz 1" descr="https://hudoc.echr.coe.int/images/ente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hudoc.echr.coe.int/images/entet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3245" cy="1184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C0FE7"/>
    <w:multiLevelType w:val="multilevel"/>
    <w:tmpl w:val="A9521C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85BC5"/>
    <w:multiLevelType w:val="multilevel"/>
    <w:tmpl w:val="9C5E4FE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E4E6D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DE1FFA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82633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1D61DE"/>
    <w:multiLevelType w:val="multilevel"/>
    <w:tmpl w:val="0FD6D9DA"/>
    <w:lvl w:ilvl="0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upperLetter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A7609DC"/>
    <w:multiLevelType w:val="multilevel"/>
    <w:tmpl w:val="0FD6D9DA"/>
    <w:lvl w:ilvl="0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upperLetter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EB56618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064758"/>
    <w:multiLevelType w:val="multilevel"/>
    <w:tmpl w:val="CE7E4FF0"/>
    <w:lvl w:ilvl="0">
      <w:start w:val="1"/>
      <w:numFmt w:val="decimal"/>
      <w:pStyle w:val="Bezodstpw"/>
      <w:lvlText w:val="%1."/>
      <w:lvlJc w:val="left"/>
      <w:pPr>
        <w:ind w:left="-3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6"/>
      <w:numFmt w:val="decimal"/>
      <w:lvlText w:val="%2."/>
      <w:lvlJc w:val="left"/>
      <w:pPr>
        <w:ind w:left="590" w:hanging="360"/>
      </w:pPr>
    </w:lvl>
    <w:lvl w:ilvl="2">
      <w:start w:val="1"/>
      <w:numFmt w:val="lowerLetter"/>
      <w:lvlText w:val="%3)"/>
      <w:lvlJc w:val="left"/>
      <w:pPr>
        <w:ind w:left="1490" w:hanging="360"/>
      </w:pPr>
    </w:lvl>
    <w:lvl w:ilvl="3">
      <w:start w:val="1"/>
      <w:numFmt w:val="decimal"/>
      <w:lvlText w:val="%4."/>
      <w:lvlJc w:val="left"/>
      <w:pPr>
        <w:ind w:left="2030" w:hanging="360"/>
      </w:pPr>
    </w:lvl>
    <w:lvl w:ilvl="4">
      <w:start w:val="1"/>
      <w:numFmt w:val="lowerLetter"/>
      <w:lvlText w:val="%5)"/>
      <w:lvlJc w:val="left"/>
      <w:pPr>
        <w:ind w:left="2750" w:hanging="360"/>
      </w:pPr>
    </w:lvl>
    <w:lvl w:ilvl="5">
      <w:start w:val="1"/>
      <w:numFmt w:val="decimal"/>
      <w:lvlText w:val="%6."/>
      <w:lvlJc w:val="right"/>
      <w:pPr>
        <w:ind w:left="3470" w:hanging="180"/>
      </w:pPr>
      <w:rPr>
        <w:rFonts w:ascii="Calibri" w:eastAsia="Calibri" w:hAnsi="Calibri" w:cs="Times New Roman"/>
      </w:rPr>
    </w:lvl>
    <w:lvl w:ilvl="6">
      <w:start w:val="1"/>
      <w:numFmt w:val="decimal"/>
      <w:lvlText w:val="%7."/>
      <w:lvlJc w:val="left"/>
      <w:pPr>
        <w:ind w:left="4190" w:hanging="360"/>
      </w:pPr>
    </w:lvl>
    <w:lvl w:ilvl="7">
      <w:start w:val="1"/>
      <w:numFmt w:val="lowerLetter"/>
      <w:lvlText w:val="%8."/>
      <w:lvlJc w:val="left"/>
      <w:pPr>
        <w:ind w:left="4910" w:hanging="360"/>
      </w:pPr>
    </w:lvl>
    <w:lvl w:ilvl="8">
      <w:start w:val="1"/>
      <w:numFmt w:val="lowerRoman"/>
      <w:lvlText w:val="%9."/>
      <w:lvlJc w:val="right"/>
      <w:pPr>
        <w:ind w:left="5630" w:hanging="180"/>
      </w:pPr>
    </w:lvl>
  </w:abstractNum>
  <w:abstractNum w:abstractNumId="9" w15:restartNumberingAfterBreak="0">
    <w:nsid w:val="42D81662"/>
    <w:multiLevelType w:val="multilevel"/>
    <w:tmpl w:val="0FD6D9DA"/>
    <w:lvl w:ilvl="0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upperLetter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10" w15:restartNumberingAfterBreak="0">
    <w:nsid w:val="4A887DD0"/>
    <w:multiLevelType w:val="multilevel"/>
    <w:tmpl w:val="0FD6D9DA"/>
    <w:lvl w:ilvl="0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upperLetter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51BA1F6A"/>
    <w:multiLevelType w:val="multilevel"/>
    <w:tmpl w:val="9C5E4FE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731F66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B92038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C43DC8"/>
    <w:multiLevelType w:val="multilevel"/>
    <w:tmpl w:val="E95E55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8E70F7"/>
    <w:multiLevelType w:val="multilevel"/>
    <w:tmpl w:val="E8A4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9E3317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DE3A38"/>
    <w:multiLevelType w:val="multilevel"/>
    <w:tmpl w:val="0FD6D9DA"/>
    <w:lvl w:ilvl="0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upperLetter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abstractNum w:abstractNumId="18" w15:restartNumberingAfterBreak="0">
    <w:nsid w:val="714B2385"/>
    <w:multiLevelType w:val="multilevel"/>
    <w:tmpl w:val="6FC08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E24943"/>
    <w:multiLevelType w:val="multilevel"/>
    <w:tmpl w:val="0FD6D9DA"/>
    <w:lvl w:ilvl="0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upperLetter"/>
      <w:lvlText w:val="%2."/>
      <w:lvlJc w:val="right"/>
      <w:pPr>
        <w:tabs>
          <w:tab w:val="num" w:pos="1364"/>
        </w:tabs>
        <w:ind w:left="1364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084"/>
        </w:tabs>
        <w:ind w:left="2084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04"/>
        </w:tabs>
        <w:ind w:left="2804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524"/>
        </w:tabs>
        <w:ind w:left="3524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244"/>
        </w:tabs>
        <w:ind w:left="4244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964"/>
        </w:tabs>
        <w:ind w:left="4964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684"/>
        </w:tabs>
        <w:ind w:left="5684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04"/>
        </w:tabs>
        <w:ind w:left="6404" w:hanging="360"/>
      </w:p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11"/>
  </w:num>
  <w:num w:numId="5">
    <w:abstractNumId w:val="6"/>
  </w:num>
  <w:num w:numId="6">
    <w:abstractNumId w:val="5"/>
  </w:num>
  <w:num w:numId="7">
    <w:abstractNumId w:val="9"/>
  </w:num>
  <w:num w:numId="8">
    <w:abstractNumId w:val="19"/>
  </w:num>
  <w:num w:numId="9">
    <w:abstractNumId w:val="10"/>
  </w:num>
  <w:num w:numId="10">
    <w:abstractNumId w:val="2"/>
  </w:num>
  <w:num w:numId="11">
    <w:abstractNumId w:val="18"/>
  </w:num>
  <w:num w:numId="12">
    <w:abstractNumId w:val="12"/>
  </w:num>
  <w:num w:numId="13">
    <w:abstractNumId w:val="7"/>
  </w:num>
  <w:num w:numId="14">
    <w:abstractNumId w:val="16"/>
  </w:num>
  <w:num w:numId="15">
    <w:abstractNumId w:val="4"/>
  </w:num>
  <w:num w:numId="16">
    <w:abstractNumId w:val="3"/>
  </w:num>
  <w:num w:numId="17">
    <w:abstractNumId w:val="17"/>
  </w:num>
  <w:num w:numId="18">
    <w:abstractNumId w:val="8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4A8"/>
    <w:rsid w:val="00002B4D"/>
    <w:rsid w:val="00024E2B"/>
    <w:rsid w:val="00033AD7"/>
    <w:rsid w:val="000B2D20"/>
    <w:rsid w:val="000E4D4D"/>
    <w:rsid w:val="00102F13"/>
    <w:rsid w:val="00137E60"/>
    <w:rsid w:val="0014319E"/>
    <w:rsid w:val="00150F10"/>
    <w:rsid w:val="001B44BA"/>
    <w:rsid w:val="001D0398"/>
    <w:rsid w:val="00203109"/>
    <w:rsid w:val="00205E4C"/>
    <w:rsid w:val="00261D16"/>
    <w:rsid w:val="00270115"/>
    <w:rsid w:val="00273F32"/>
    <w:rsid w:val="002B6C19"/>
    <w:rsid w:val="002C6F05"/>
    <w:rsid w:val="002E2B4E"/>
    <w:rsid w:val="003220BD"/>
    <w:rsid w:val="0033575F"/>
    <w:rsid w:val="00363E2E"/>
    <w:rsid w:val="003977E2"/>
    <w:rsid w:val="003A0FA4"/>
    <w:rsid w:val="003C66F3"/>
    <w:rsid w:val="003F5CB1"/>
    <w:rsid w:val="00402F69"/>
    <w:rsid w:val="00404468"/>
    <w:rsid w:val="004044D5"/>
    <w:rsid w:val="00411565"/>
    <w:rsid w:val="00476FDA"/>
    <w:rsid w:val="004A4B08"/>
    <w:rsid w:val="004E0601"/>
    <w:rsid w:val="004E061D"/>
    <w:rsid w:val="00510A98"/>
    <w:rsid w:val="00545E76"/>
    <w:rsid w:val="005620A8"/>
    <w:rsid w:val="00563A0B"/>
    <w:rsid w:val="0060198C"/>
    <w:rsid w:val="0065026A"/>
    <w:rsid w:val="0066346E"/>
    <w:rsid w:val="00670D8F"/>
    <w:rsid w:val="0069154E"/>
    <w:rsid w:val="006C76DB"/>
    <w:rsid w:val="006D77DF"/>
    <w:rsid w:val="006F27D2"/>
    <w:rsid w:val="007A26B9"/>
    <w:rsid w:val="007D27EF"/>
    <w:rsid w:val="007D7EED"/>
    <w:rsid w:val="007F20C4"/>
    <w:rsid w:val="00831D63"/>
    <w:rsid w:val="00833A4E"/>
    <w:rsid w:val="00851E46"/>
    <w:rsid w:val="0086498C"/>
    <w:rsid w:val="008A3EF8"/>
    <w:rsid w:val="008C4280"/>
    <w:rsid w:val="008D2AFA"/>
    <w:rsid w:val="008D4EF1"/>
    <w:rsid w:val="008D6855"/>
    <w:rsid w:val="008D68BD"/>
    <w:rsid w:val="008E1CFE"/>
    <w:rsid w:val="00913DFD"/>
    <w:rsid w:val="00930DE8"/>
    <w:rsid w:val="00936C70"/>
    <w:rsid w:val="00963BF1"/>
    <w:rsid w:val="009A0D13"/>
    <w:rsid w:val="009C0A57"/>
    <w:rsid w:val="009D7745"/>
    <w:rsid w:val="009E4646"/>
    <w:rsid w:val="009F778B"/>
    <w:rsid w:val="00A454B7"/>
    <w:rsid w:val="00AD1C3F"/>
    <w:rsid w:val="00B07171"/>
    <w:rsid w:val="00B57B40"/>
    <w:rsid w:val="00B810EB"/>
    <w:rsid w:val="00B8595D"/>
    <w:rsid w:val="00B964A8"/>
    <w:rsid w:val="00BA1A3A"/>
    <w:rsid w:val="00C01153"/>
    <w:rsid w:val="00C4350C"/>
    <w:rsid w:val="00C533DA"/>
    <w:rsid w:val="00C65086"/>
    <w:rsid w:val="00C70896"/>
    <w:rsid w:val="00C9000B"/>
    <w:rsid w:val="00C9207D"/>
    <w:rsid w:val="00CA0018"/>
    <w:rsid w:val="00CC3072"/>
    <w:rsid w:val="00CD50C7"/>
    <w:rsid w:val="00DC142C"/>
    <w:rsid w:val="00DC52B6"/>
    <w:rsid w:val="00DE2F60"/>
    <w:rsid w:val="00DE5497"/>
    <w:rsid w:val="00E135E2"/>
    <w:rsid w:val="00E146AC"/>
    <w:rsid w:val="00E47C6E"/>
    <w:rsid w:val="00E84B78"/>
    <w:rsid w:val="00EA4217"/>
    <w:rsid w:val="00EC2498"/>
    <w:rsid w:val="00F209E6"/>
    <w:rsid w:val="00F7139A"/>
    <w:rsid w:val="00F80D1C"/>
    <w:rsid w:val="00F818EF"/>
    <w:rsid w:val="00F830E8"/>
    <w:rsid w:val="00FE2F64"/>
    <w:rsid w:val="00FE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D3C5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26B9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26B9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896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0896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0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C0A5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5C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5CB1"/>
    <w:rPr>
      <w:rFonts w:ascii="Calibri" w:hAnsi="Calibri" w:cs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F5CB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F5CB1"/>
    <w:rPr>
      <w:rFonts w:ascii="Calibri" w:hAnsi="Calibri" w:cs="Calibri"/>
      <w:sz w:val="22"/>
      <w:szCs w:val="22"/>
    </w:rPr>
  </w:style>
  <w:style w:type="paragraph" w:customStyle="1" w:styleId="DecHCase">
    <w:name w:val="Dec_H_Case"/>
    <w:aliases w:val="_Title_3"/>
    <w:basedOn w:val="Normalny"/>
    <w:next w:val="Normalny"/>
    <w:uiPriority w:val="38"/>
    <w:qFormat/>
    <w:rsid w:val="001B44BA"/>
    <w:pPr>
      <w:keepNext/>
      <w:keepLines/>
      <w:spacing w:after="280" w:line="240" w:lineRule="auto"/>
      <w:jc w:val="center"/>
    </w:pPr>
    <w:rPr>
      <w:rFonts w:ascii="Times New Roman" w:hAnsi="Times New Roman" w:cs="Times New Roman"/>
      <w:sz w:val="24"/>
      <w:szCs w:val="24"/>
      <w:lang w:val="en-GB" w:eastAsia="en-US"/>
    </w:rPr>
  </w:style>
  <w:style w:type="paragraph" w:customStyle="1" w:styleId="JuTitle">
    <w:name w:val="Ju_Title"/>
    <w:aliases w:val="_Title_2"/>
    <w:basedOn w:val="Normalny"/>
    <w:next w:val="Normalny"/>
    <w:uiPriority w:val="38"/>
    <w:qFormat/>
    <w:rsid w:val="001B44BA"/>
    <w:pPr>
      <w:keepNext/>
      <w:keepLines/>
      <w:spacing w:before="1320" w:after="280" w:line="240" w:lineRule="auto"/>
      <w:contextualSpacing/>
      <w:jc w:val="center"/>
    </w:pPr>
    <w:rPr>
      <w:rFonts w:ascii="Times New Roman" w:hAnsi="Times New Roman" w:cs="Times New Roman"/>
      <w:b/>
      <w:sz w:val="24"/>
      <w:szCs w:val="24"/>
      <w:lang w:val="en-GB" w:eastAsia="en-US"/>
    </w:rPr>
  </w:style>
  <w:style w:type="paragraph" w:customStyle="1" w:styleId="ECHRCoverTitle4">
    <w:name w:val="ECHR_Cover_Title_4"/>
    <w:aliases w:val="_Title_4"/>
    <w:basedOn w:val="Normalny"/>
    <w:next w:val="Normalny"/>
    <w:uiPriority w:val="38"/>
    <w:qFormat/>
    <w:rsid w:val="001B44BA"/>
    <w:pPr>
      <w:keepNext/>
      <w:keepLines/>
      <w:tabs>
        <w:tab w:val="right" w:pos="7938"/>
      </w:tabs>
      <w:spacing w:after="0" w:line="240" w:lineRule="auto"/>
      <w:jc w:val="center"/>
    </w:pPr>
    <w:rPr>
      <w:rFonts w:ascii="Times New Roman" w:hAnsi="Times New Roman" w:cs="Times New Roman"/>
      <w:i/>
      <w:sz w:val="24"/>
      <w:szCs w:val="24"/>
      <w:lang w:val="en-GB" w:eastAsia="en-US"/>
    </w:rPr>
  </w:style>
  <w:style w:type="paragraph" w:customStyle="1" w:styleId="JuPara">
    <w:name w:val="Ju_Para"/>
    <w:aliases w:val="_Para"/>
    <w:basedOn w:val="Normalny"/>
    <w:link w:val="JuParaChar"/>
    <w:uiPriority w:val="4"/>
    <w:qFormat/>
    <w:rsid w:val="004044D5"/>
    <w:pPr>
      <w:spacing w:after="0" w:line="240" w:lineRule="auto"/>
      <w:ind w:firstLine="284"/>
      <w:jc w:val="both"/>
    </w:pPr>
    <w:rPr>
      <w:rFonts w:ascii="Times New Roman" w:hAnsi="Times New Roman" w:cs="Times New Roman"/>
      <w:sz w:val="24"/>
      <w:szCs w:val="24"/>
      <w:lang w:val="en-GB" w:eastAsia="en-US"/>
    </w:rPr>
  </w:style>
  <w:style w:type="character" w:customStyle="1" w:styleId="JuParaChar">
    <w:name w:val="Ju_Para Char"/>
    <w:aliases w:val="_Para Char"/>
    <w:link w:val="JuPara"/>
    <w:uiPriority w:val="4"/>
    <w:rsid w:val="004044D5"/>
    <w:rPr>
      <w:sz w:val="24"/>
      <w:szCs w:val="24"/>
      <w:lang w:val="en-GB" w:eastAsia="en-US"/>
    </w:rPr>
  </w:style>
  <w:style w:type="paragraph" w:customStyle="1" w:styleId="jucase">
    <w:name w:val="jucase"/>
    <w:basedOn w:val="Normalny"/>
    <w:rsid w:val="004044D5"/>
    <w:pPr>
      <w:spacing w:after="0" w:line="240" w:lineRule="auto"/>
      <w:ind w:firstLine="284"/>
      <w:jc w:val="both"/>
    </w:pPr>
    <w:rPr>
      <w:rFonts w:ascii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JuCase0">
    <w:name w:val="Ju_Case"/>
    <w:aliases w:val="_Case_Name"/>
    <w:basedOn w:val="Normalny"/>
    <w:next w:val="JuPara"/>
    <w:uiPriority w:val="32"/>
    <w:rsid w:val="007A26B9"/>
    <w:pPr>
      <w:spacing w:after="0" w:line="240" w:lineRule="auto"/>
      <w:ind w:firstLine="284"/>
    </w:pPr>
    <w:rPr>
      <w:rFonts w:ascii="Times New Roman" w:hAnsi="Times New Roman" w:cs="Times New Roman"/>
      <w:b/>
      <w:sz w:val="24"/>
      <w:szCs w:val="24"/>
      <w:lang w:val="en-GB" w:eastAsia="en-US"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A26B9"/>
    <w:pPr>
      <w:keepLines/>
      <w:spacing w:before="100" w:beforeAutospacing="1" w:after="240" w:line="240" w:lineRule="auto"/>
      <w:jc w:val="both"/>
    </w:pPr>
    <w:rPr>
      <w:b w:val="0"/>
      <w:caps/>
      <w:kern w:val="0"/>
      <w:sz w:val="28"/>
      <w:szCs w:val="28"/>
      <w:lang w:val="en-GB" w:eastAsia="en-US"/>
    </w:rPr>
  </w:style>
  <w:style w:type="character" w:customStyle="1" w:styleId="Nagwek1Znak">
    <w:name w:val="Nagłówek 1 Znak"/>
    <w:link w:val="Nagwek1"/>
    <w:uiPriority w:val="9"/>
    <w:rsid w:val="007A26B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A26B9"/>
    <w:pPr>
      <w:keepLines/>
      <w:tabs>
        <w:tab w:val="left" w:pos="454"/>
        <w:tab w:val="left" w:pos="567"/>
        <w:tab w:val="left" w:pos="680"/>
      </w:tabs>
      <w:spacing w:before="100" w:beforeAutospacing="1" w:after="240" w:line="240" w:lineRule="auto"/>
      <w:ind w:left="397" w:hanging="397"/>
      <w:jc w:val="both"/>
    </w:pPr>
    <w:rPr>
      <w:b w:val="0"/>
      <w:i w:val="0"/>
      <w:iCs w:val="0"/>
      <w:caps/>
      <w:sz w:val="24"/>
      <w:szCs w:val="26"/>
      <w:lang w:val="en-GB" w:eastAsia="en-US"/>
    </w:rPr>
  </w:style>
  <w:style w:type="character" w:customStyle="1" w:styleId="Nagwek2Znak">
    <w:name w:val="Nagłówek 2 Znak"/>
    <w:link w:val="Nagwek2"/>
    <w:uiPriority w:val="9"/>
    <w:semiHidden/>
    <w:rsid w:val="007A26B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C70896"/>
    <w:pPr>
      <w:keepLines/>
      <w:spacing w:before="100" w:beforeAutospacing="1" w:after="240" w:line="240" w:lineRule="auto"/>
      <w:ind w:left="510" w:hanging="340"/>
      <w:jc w:val="both"/>
    </w:pPr>
    <w:rPr>
      <w:sz w:val="24"/>
      <w:szCs w:val="22"/>
      <w:lang w:val="en-GB" w:eastAsia="en-US"/>
    </w:rPr>
  </w:style>
  <w:style w:type="character" w:customStyle="1" w:styleId="Nagwek3Znak">
    <w:name w:val="Nagłówek 3 Znak"/>
    <w:link w:val="Nagwek3"/>
    <w:uiPriority w:val="9"/>
    <w:semiHidden/>
    <w:rsid w:val="00C70896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JuH1">
    <w:name w:val="Ju_H_1."/>
    <w:aliases w:val="_Head_4"/>
    <w:basedOn w:val="Nagwek4"/>
    <w:next w:val="JuPara"/>
    <w:uiPriority w:val="17"/>
    <w:rsid w:val="00C70896"/>
    <w:pPr>
      <w:keepLines/>
      <w:spacing w:before="100" w:beforeAutospacing="1" w:after="120" w:line="240" w:lineRule="auto"/>
      <w:ind w:left="680" w:hanging="340"/>
      <w:jc w:val="both"/>
    </w:pPr>
    <w:rPr>
      <w:rFonts w:ascii="Times New Roman" w:eastAsia="MS Gothic" w:hAnsi="Times New Roman"/>
      <w:b w:val="0"/>
      <w:i/>
      <w:iCs/>
      <w:sz w:val="24"/>
      <w:szCs w:val="22"/>
      <w:lang w:val="en-GB" w:eastAsia="en-US"/>
    </w:rPr>
  </w:style>
  <w:style w:type="character" w:customStyle="1" w:styleId="Nagwek4Znak">
    <w:name w:val="Nagłówek 4 Znak"/>
    <w:link w:val="Nagwek4"/>
    <w:uiPriority w:val="9"/>
    <w:semiHidden/>
    <w:rsid w:val="00C70896"/>
    <w:rPr>
      <w:rFonts w:ascii="Calibri" w:eastAsia="Times New Roman" w:hAnsi="Calibri" w:cs="Times New Roman"/>
      <w:b/>
      <w:bCs/>
      <w:sz w:val="28"/>
      <w:szCs w:val="28"/>
    </w:rPr>
  </w:style>
  <w:style w:type="paragraph" w:styleId="Bezodstpw">
    <w:name w:val="No Spacing"/>
    <w:basedOn w:val="Akapitzlist"/>
    <w:uiPriority w:val="1"/>
    <w:qFormat/>
    <w:rsid w:val="00EC2498"/>
    <w:pPr>
      <w:numPr>
        <w:numId w:val="18"/>
      </w:numPr>
      <w:tabs>
        <w:tab w:val="num" w:pos="360"/>
        <w:tab w:val="num" w:pos="720"/>
      </w:tabs>
      <w:spacing w:after="0" w:line="240" w:lineRule="auto"/>
      <w:ind w:left="720" w:firstLine="0"/>
      <w:contextualSpacing/>
      <w:jc w:val="both"/>
    </w:pPr>
    <w:rPr>
      <w:rFonts w:eastAsia="Calibri" w:cs="Times New Roman"/>
      <w:sz w:val="24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C2498"/>
    <w:pPr>
      <w:spacing w:before="120" w:after="0" w:line="240" w:lineRule="auto"/>
      <w:jc w:val="both"/>
    </w:pPr>
    <w:rPr>
      <w:rFonts w:eastAsia="Calibri" w:cs="Times New Roman"/>
      <w:i/>
      <w:iCs/>
      <w:color w:val="000000"/>
      <w:sz w:val="24"/>
      <w:lang w:eastAsia="en-US"/>
    </w:rPr>
  </w:style>
  <w:style w:type="character" w:customStyle="1" w:styleId="CytatZnak">
    <w:name w:val="Cytat Znak"/>
    <w:link w:val="Cytat"/>
    <w:uiPriority w:val="29"/>
    <w:rsid w:val="00EC2498"/>
    <w:rPr>
      <w:rFonts w:ascii="Calibri" w:eastAsia="Calibri" w:hAnsi="Calibri"/>
      <w:i/>
      <w:iCs/>
      <w:color w:val="000000"/>
      <w:sz w:val="24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C249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9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9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09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9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09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09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093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  <w:div w:id="63009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2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9505</Words>
  <Characters>57033</Characters>
  <Application>Microsoft Office Word</Application>
  <DocSecurity>0</DocSecurity>
  <Lines>475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2021-12-31T10:44:00Z</dcterms:created>
  <dcterms:modified xsi:type="dcterms:W3CDTF">2022-01-28T10:31:00Z</dcterms:modified>
</cp:coreProperties>
</file>