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2F6D67" w14:textId="1F1C69A1" w:rsidR="00DA2FAE" w:rsidRDefault="00DF70B0" w:rsidP="009A2C11">
      <w:pPr>
        <w:jc w:val="center"/>
        <w:rPr>
          <w:rFonts w:ascii="Times New Roman" w:hAnsi="Times New Roman" w:cs="Times New Roman"/>
          <w:lang w:val="pl-PL"/>
        </w:rPr>
      </w:pPr>
      <w:r>
        <w:rPr>
          <w:rFonts w:ascii="Times New Roman" w:hAnsi="Times New Roman" w:cs="Times New Roman"/>
          <w:lang w:val="pl-PL"/>
        </w:rPr>
        <w:t>EUROPEJSKI TRYBUNAŁ PRAW CZŁOWIEKA</w:t>
      </w:r>
    </w:p>
    <w:p w14:paraId="200D03AE" w14:textId="77777777" w:rsidR="00DF70B0" w:rsidRPr="003564AB" w:rsidRDefault="00DF70B0" w:rsidP="009A2C11">
      <w:pPr>
        <w:jc w:val="center"/>
        <w:rPr>
          <w:rFonts w:ascii="Times New Roman" w:hAnsi="Times New Roman" w:cs="Times New Roman"/>
          <w:lang w:val="pl-PL"/>
        </w:rPr>
      </w:pPr>
    </w:p>
    <w:p w14:paraId="5D84E6C0" w14:textId="77777777" w:rsidR="0098410D" w:rsidRPr="003564AB" w:rsidRDefault="0098410D" w:rsidP="009A2C11">
      <w:pPr>
        <w:jc w:val="center"/>
        <w:rPr>
          <w:lang w:val="pl-PL"/>
        </w:rPr>
      </w:pPr>
    </w:p>
    <w:p w14:paraId="4E9547E3" w14:textId="77777777" w:rsidR="0098410D" w:rsidRPr="003564AB" w:rsidRDefault="00DA2FAE" w:rsidP="009A2C11">
      <w:pPr>
        <w:pStyle w:val="DecHTitle"/>
        <w:rPr>
          <w:lang w:val="pl-PL"/>
        </w:rPr>
      </w:pPr>
      <w:r w:rsidRPr="003564AB">
        <w:rPr>
          <w:lang w:val="pl-PL"/>
        </w:rPr>
        <w:t>SEKCJA PIERWSZA</w:t>
      </w:r>
    </w:p>
    <w:p w14:paraId="4FF3BE22" w14:textId="77777777" w:rsidR="008E6217" w:rsidRPr="003564AB" w:rsidRDefault="008E6217" w:rsidP="009A2C11">
      <w:pPr>
        <w:pStyle w:val="JuTitle"/>
        <w:rPr>
          <w:lang w:val="pl-PL"/>
        </w:rPr>
      </w:pPr>
      <w:bookmarkStart w:id="0" w:name="To"/>
      <w:r w:rsidRPr="003564AB">
        <w:rPr>
          <w:bCs/>
          <w:color w:val="000000" w:themeColor="text1"/>
          <w:lang w:val="pl-PL"/>
        </w:rPr>
        <w:t xml:space="preserve">SPRAWA </w:t>
      </w:r>
      <w:bookmarkEnd w:id="0"/>
      <w:r w:rsidRPr="003564AB">
        <w:rPr>
          <w:bCs/>
          <w:lang w:val="pl-PL"/>
        </w:rPr>
        <w:t>RUDNICKI przeciwko POLSCE</w:t>
      </w:r>
    </w:p>
    <w:p w14:paraId="54D2030E" w14:textId="77777777" w:rsidR="00D74888" w:rsidRPr="003564AB" w:rsidRDefault="008E6217" w:rsidP="009A2C11">
      <w:pPr>
        <w:pStyle w:val="ECHRCoverTitle4"/>
        <w:rPr>
          <w:lang w:val="pl-PL"/>
        </w:rPr>
      </w:pPr>
      <w:r w:rsidRPr="003564AB">
        <w:rPr>
          <w:iCs/>
          <w:lang w:val="pl-PL"/>
        </w:rPr>
        <w:t>(Skarga nr 22647/19)</w:t>
      </w:r>
    </w:p>
    <w:p w14:paraId="17CC0EB9" w14:textId="77777777" w:rsidR="0098410D" w:rsidRPr="003564AB" w:rsidRDefault="0098410D" w:rsidP="009A2C11">
      <w:pPr>
        <w:pStyle w:val="DecHCase"/>
        <w:rPr>
          <w:lang w:val="pl-PL"/>
        </w:rPr>
      </w:pPr>
    </w:p>
    <w:p w14:paraId="0A5D927F" w14:textId="77777777" w:rsidR="0098410D" w:rsidRPr="003564AB" w:rsidRDefault="0098410D" w:rsidP="009A2C11">
      <w:pPr>
        <w:pStyle w:val="DecHCase"/>
        <w:rPr>
          <w:lang w:val="pl-PL"/>
        </w:rPr>
      </w:pPr>
    </w:p>
    <w:p w14:paraId="42C9C9F5" w14:textId="77777777" w:rsidR="00AC4CD4" w:rsidRPr="003564AB" w:rsidRDefault="00AC4CD4" w:rsidP="009A2C11">
      <w:pPr>
        <w:pStyle w:val="DecHCase"/>
        <w:rPr>
          <w:lang w:val="pl-PL"/>
        </w:rPr>
      </w:pPr>
    </w:p>
    <w:p w14:paraId="5255A235" w14:textId="77777777" w:rsidR="0098410D" w:rsidRPr="003564AB" w:rsidRDefault="0098410D" w:rsidP="009A2C11">
      <w:pPr>
        <w:pStyle w:val="DecHCase"/>
        <w:rPr>
          <w:lang w:val="pl-PL"/>
        </w:rPr>
      </w:pPr>
    </w:p>
    <w:p w14:paraId="3A3C9BCD" w14:textId="77777777" w:rsidR="0098410D" w:rsidRPr="003564AB" w:rsidRDefault="0098410D" w:rsidP="009A2C11">
      <w:pPr>
        <w:pStyle w:val="DecHCase"/>
        <w:rPr>
          <w:lang w:val="pl-PL"/>
        </w:rPr>
      </w:pPr>
      <w:r w:rsidRPr="003564AB">
        <w:rPr>
          <w:lang w:val="pl-PL"/>
        </w:rPr>
        <w:t>WYROK</w:t>
      </w:r>
      <w:r w:rsidRPr="003564AB">
        <w:rPr>
          <w:lang w:val="pl-PL"/>
        </w:rPr>
        <w:br/>
      </w:r>
    </w:p>
    <w:p w14:paraId="4231EB6D" w14:textId="77777777" w:rsidR="0098410D" w:rsidRPr="003564AB" w:rsidRDefault="0098410D" w:rsidP="009A2C11">
      <w:pPr>
        <w:pStyle w:val="DecHCase"/>
        <w:rPr>
          <w:lang w:val="pl-PL"/>
        </w:rPr>
      </w:pPr>
      <w:r w:rsidRPr="003564AB">
        <w:rPr>
          <w:lang w:val="pl-PL"/>
        </w:rPr>
        <w:t>STRASBURG</w:t>
      </w:r>
    </w:p>
    <w:p w14:paraId="10219A47" w14:textId="3E84B27F" w:rsidR="0098410D" w:rsidRPr="003564AB" w:rsidRDefault="00DA2FAE" w:rsidP="009A2C11">
      <w:pPr>
        <w:pStyle w:val="DecHCase"/>
        <w:rPr>
          <w:lang w:val="pl-PL"/>
        </w:rPr>
      </w:pPr>
      <w:r w:rsidRPr="003564AB">
        <w:rPr>
          <w:rFonts w:ascii="Times New Roman" w:hAnsi="Times New Roman" w:cs="Times New Roman"/>
          <w:lang w:val="pl-PL"/>
        </w:rPr>
        <w:t>3 lutego 2022</w:t>
      </w:r>
      <w:r w:rsidR="0009274E">
        <w:rPr>
          <w:rFonts w:ascii="Times New Roman" w:hAnsi="Times New Roman" w:cs="Times New Roman"/>
          <w:lang w:val="pl-PL"/>
        </w:rPr>
        <w:t xml:space="preserve"> </w:t>
      </w:r>
      <w:r w:rsidRPr="003564AB">
        <w:rPr>
          <w:rFonts w:ascii="Times New Roman" w:hAnsi="Times New Roman" w:cs="Times New Roman"/>
          <w:lang w:val="pl-PL"/>
        </w:rPr>
        <w:t>r.</w:t>
      </w:r>
    </w:p>
    <w:p w14:paraId="74285BEC" w14:textId="77777777" w:rsidR="00AC4CD4" w:rsidRPr="003564AB" w:rsidRDefault="00AC4CD4" w:rsidP="009A2C11">
      <w:pPr>
        <w:pStyle w:val="JuPara"/>
        <w:rPr>
          <w:lang w:val="pl-PL"/>
        </w:rPr>
      </w:pPr>
    </w:p>
    <w:p w14:paraId="4B5B6D89" w14:textId="77777777" w:rsidR="002422B6" w:rsidRPr="003564AB" w:rsidRDefault="0098410D" w:rsidP="009A2C11">
      <w:pPr>
        <w:jc w:val="center"/>
        <w:rPr>
          <w:i/>
          <w:sz w:val="22"/>
          <w:lang w:val="pl-PL"/>
        </w:rPr>
      </w:pPr>
      <w:r w:rsidRPr="003564AB">
        <w:rPr>
          <w:i/>
          <w:iCs/>
          <w:sz w:val="22"/>
          <w:lang w:val="pl-PL"/>
        </w:rPr>
        <w:t>Wyrok jest ostateczny, ale może podlegać korekcie wydawniczej.</w:t>
      </w:r>
    </w:p>
    <w:p w14:paraId="0D8603E7" w14:textId="77777777" w:rsidR="0098410D" w:rsidRPr="003564AB" w:rsidRDefault="0098410D" w:rsidP="009A2C11">
      <w:pPr>
        <w:rPr>
          <w:lang w:val="pl-PL"/>
        </w:rPr>
        <w:sectPr w:rsidR="0098410D" w:rsidRPr="003564AB" w:rsidSect="00D66471">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6950744E" w14:textId="77777777" w:rsidR="0098410D" w:rsidRPr="003564AB" w:rsidRDefault="0098410D" w:rsidP="009A2C11">
      <w:pPr>
        <w:pStyle w:val="JuCase"/>
        <w:rPr>
          <w:lang w:val="pl-PL"/>
        </w:rPr>
      </w:pPr>
      <w:r w:rsidRPr="003564AB">
        <w:rPr>
          <w:bCs/>
          <w:lang w:val="pl-PL"/>
        </w:rPr>
        <w:lastRenderedPageBreak/>
        <w:t>W sprawie Rudnicki przeciwko Polsce</w:t>
      </w:r>
    </w:p>
    <w:p w14:paraId="4E8AC7CD" w14:textId="75A07668" w:rsidR="009F4C8F" w:rsidRPr="003564AB" w:rsidRDefault="009F4C8F" w:rsidP="009A2C11">
      <w:pPr>
        <w:pStyle w:val="JuPara"/>
        <w:rPr>
          <w:lang w:val="pl-PL"/>
        </w:rPr>
      </w:pPr>
      <w:r w:rsidRPr="003564AB">
        <w:rPr>
          <w:lang w:val="pl-PL"/>
        </w:rPr>
        <w:t>Europejski Trybunał Praw Człowieka (</w:t>
      </w:r>
      <w:r w:rsidR="00DF70B0">
        <w:rPr>
          <w:lang w:val="pl-PL"/>
        </w:rPr>
        <w:t>S</w:t>
      </w:r>
      <w:r w:rsidRPr="003564AB">
        <w:rPr>
          <w:lang w:val="pl-PL"/>
        </w:rPr>
        <w:t xml:space="preserve">ekcja </w:t>
      </w:r>
      <w:r w:rsidR="00DF70B0">
        <w:rPr>
          <w:lang w:val="pl-PL"/>
        </w:rPr>
        <w:t>P</w:t>
      </w:r>
      <w:r w:rsidRPr="003564AB">
        <w:rPr>
          <w:lang w:val="pl-PL"/>
        </w:rPr>
        <w:t xml:space="preserve">ierwsza), zasiadając jako </w:t>
      </w:r>
      <w:r w:rsidR="00DF70B0">
        <w:rPr>
          <w:lang w:val="pl-PL"/>
        </w:rPr>
        <w:t>K</w:t>
      </w:r>
      <w:r w:rsidRPr="003564AB">
        <w:rPr>
          <w:lang w:val="pl-PL"/>
        </w:rPr>
        <w:t>omitet w składzie:</w:t>
      </w:r>
    </w:p>
    <w:p w14:paraId="3D1FD9CA" w14:textId="77777777" w:rsidR="009F4C8F" w:rsidRPr="003564AB" w:rsidRDefault="006F3D6C" w:rsidP="009A2C11">
      <w:pPr>
        <w:pStyle w:val="JuJudges"/>
        <w:rPr>
          <w:lang w:val="pl-PL"/>
        </w:rPr>
      </w:pPr>
      <w:r w:rsidRPr="003564AB">
        <w:rPr>
          <w:lang w:val="pl-PL"/>
        </w:rPr>
        <w:tab/>
        <w:t>Erik Wennerström,</w:t>
      </w:r>
      <w:r w:rsidRPr="003564AB">
        <w:rPr>
          <w:i/>
          <w:iCs/>
          <w:lang w:val="pl-PL"/>
        </w:rPr>
        <w:t xml:space="preserve"> Przewodniczący,</w:t>
      </w:r>
      <w:r w:rsidRPr="003564AB">
        <w:rPr>
          <w:lang w:val="pl-PL"/>
        </w:rPr>
        <w:br/>
      </w:r>
      <w:r w:rsidRPr="003564AB">
        <w:rPr>
          <w:lang w:val="pl-PL"/>
        </w:rPr>
        <w:tab/>
        <w:t>Lorraine Schembri Orland,</w:t>
      </w:r>
      <w:r w:rsidRPr="003564AB">
        <w:rPr>
          <w:lang w:val="pl-PL"/>
        </w:rPr>
        <w:br/>
      </w:r>
      <w:r w:rsidRPr="003564AB">
        <w:rPr>
          <w:lang w:val="pl-PL"/>
        </w:rPr>
        <w:tab/>
        <w:t>Ioannis Ktistakis,</w:t>
      </w:r>
      <w:r w:rsidRPr="003564AB">
        <w:rPr>
          <w:i/>
          <w:iCs/>
          <w:lang w:val="pl-PL"/>
        </w:rPr>
        <w:t xml:space="preserve"> sędziowie,</w:t>
      </w:r>
      <w:r w:rsidRPr="003564AB">
        <w:rPr>
          <w:lang w:val="pl-PL"/>
        </w:rPr>
        <w:br/>
        <w:t xml:space="preserve">i Liv Tigerstedt, </w:t>
      </w:r>
      <w:r w:rsidRPr="003564AB">
        <w:rPr>
          <w:i/>
          <w:iCs/>
          <w:lang w:val="pl-PL"/>
        </w:rPr>
        <w:t>Zastępczyni Kanclerza Sekcji,</w:t>
      </w:r>
    </w:p>
    <w:p w14:paraId="09F2FDD1" w14:textId="77777777" w:rsidR="00DA2FAE" w:rsidRPr="003564AB" w:rsidRDefault="00DA2FAE" w:rsidP="009A2C11">
      <w:pPr>
        <w:pStyle w:val="JuPara"/>
        <w:rPr>
          <w:lang w:val="pl-PL"/>
        </w:rPr>
      </w:pPr>
      <w:r w:rsidRPr="003564AB">
        <w:rPr>
          <w:lang w:val="pl-PL"/>
        </w:rPr>
        <w:t>mając na uwadze:</w:t>
      </w:r>
    </w:p>
    <w:p w14:paraId="49FFEFD3" w14:textId="6B789FC2" w:rsidR="00DA2FAE" w:rsidRPr="003564AB" w:rsidRDefault="00DA2FAE" w:rsidP="009A2C11">
      <w:pPr>
        <w:pStyle w:val="JuPara"/>
        <w:rPr>
          <w:lang w:val="pl-PL"/>
        </w:rPr>
      </w:pPr>
      <w:r w:rsidRPr="003564AB">
        <w:rPr>
          <w:lang w:val="pl-PL"/>
        </w:rPr>
        <w:t>skargę (nr</w:t>
      </w:r>
      <w:r w:rsidR="0009274E">
        <w:rPr>
          <w:lang w:val="pl-PL"/>
        </w:rPr>
        <w:t xml:space="preserve"> </w:t>
      </w:r>
      <w:r w:rsidRPr="003564AB">
        <w:rPr>
          <w:lang w:val="pl-PL"/>
        </w:rPr>
        <w:t>22647/19) przeciwko Rzeczyp</w:t>
      </w:r>
      <w:r w:rsidR="003564AB">
        <w:rPr>
          <w:lang w:val="pl-PL"/>
        </w:rPr>
        <w:t>ospolitej Polskiej wniesioną do</w:t>
      </w:r>
      <w:r w:rsidR="00B028E2">
        <w:rPr>
          <w:lang w:val="pl-PL"/>
        </w:rPr>
        <w:t> </w:t>
      </w:r>
      <w:r w:rsidRPr="003564AB">
        <w:rPr>
          <w:lang w:val="pl-PL"/>
        </w:rPr>
        <w:t xml:space="preserve">Trybunału </w:t>
      </w:r>
      <w:r w:rsidR="00B9467A">
        <w:rPr>
          <w:lang w:val="pl-PL"/>
        </w:rPr>
        <w:t xml:space="preserve">dnia </w:t>
      </w:r>
      <w:r w:rsidRPr="003564AB">
        <w:rPr>
          <w:lang w:val="pl-PL"/>
        </w:rPr>
        <w:t>18 kwietnia 2019</w:t>
      </w:r>
      <w:r w:rsidR="0009274E">
        <w:rPr>
          <w:lang w:val="pl-PL"/>
        </w:rPr>
        <w:t xml:space="preserve"> </w:t>
      </w:r>
      <w:r w:rsidRPr="003564AB">
        <w:rPr>
          <w:lang w:val="pl-PL"/>
        </w:rPr>
        <w:t>r. n</w:t>
      </w:r>
      <w:r w:rsidR="003564AB">
        <w:rPr>
          <w:lang w:val="pl-PL"/>
        </w:rPr>
        <w:t>a podstawie art.</w:t>
      </w:r>
      <w:r w:rsidR="0009274E">
        <w:rPr>
          <w:lang w:val="pl-PL"/>
        </w:rPr>
        <w:t xml:space="preserve"> </w:t>
      </w:r>
      <w:r w:rsidR="003564AB">
        <w:rPr>
          <w:lang w:val="pl-PL"/>
        </w:rPr>
        <w:t>34 Konwencji o</w:t>
      </w:r>
      <w:r w:rsidR="00B028E2">
        <w:rPr>
          <w:lang w:val="pl-PL"/>
        </w:rPr>
        <w:t> </w:t>
      </w:r>
      <w:r w:rsidRPr="003564AB">
        <w:rPr>
          <w:lang w:val="pl-PL"/>
        </w:rPr>
        <w:t>ochronie praw człowieka i podstawowych wolności („Konwencji”) przez obywatela Polski, Jakuba Ryszarda Rudnickiego („skarżącego”);</w:t>
      </w:r>
    </w:p>
    <w:p w14:paraId="7AA054A1" w14:textId="567D72BA" w:rsidR="00DA2FAE" w:rsidRPr="003564AB" w:rsidRDefault="00DA2FAE" w:rsidP="009A2C11">
      <w:pPr>
        <w:pStyle w:val="JuPara"/>
        <w:rPr>
          <w:lang w:val="pl-PL"/>
        </w:rPr>
      </w:pPr>
      <w:r w:rsidRPr="003564AB">
        <w:rPr>
          <w:lang w:val="pl-PL"/>
        </w:rPr>
        <w:t xml:space="preserve">decyzję o </w:t>
      </w:r>
      <w:r w:rsidR="00DF70B0">
        <w:rPr>
          <w:lang w:val="pl-PL"/>
        </w:rPr>
        <w:t>zakomunikowaniu Rządowi</w:t>
      </w:r>
      <w:r w:rsidRPr="003564AB">
        <w:rPr>
          <w:lang w:val="pl-PL"/>
        </w:rPr>
        <w:t xml:space="preserve"> RP („Rzą</w:t>
      </w:r>
      <w:r w:rsidR="003564AB">
        <w:rPr>
          <w:lang w:val="pl-PL"/>
        </w:rPr>
        <w:t xml:space="preserve">d”) </w:t>
      </w:r>
      <w:r w:rsidR="00B9467A">
        <w:rPr>
          <w:lang w:val="pl-PL"/>
        </w:rPr>
        <w:t>skargi</w:t>
      </w:r>
      <w:r w:rsidR="003564AB">
        <w:rPr>
          <w:lang w:val="pl-PL"/>
        </w:rPr>
        <w:t xml:space="preserve"> dotyczącej art.</w:t>
      </w:r>
      <w:r w:rsidR="00B028E2">
        <w:rPr>
          <w:lang w:val="pl-PL"/>
        </w:rPr>
        <w:t> </w:t>
      </w:r>
      <w:r w:rsidR="003564AB">
        <w:rPr>
          <w:lang w:val="pl-PL"/>
        </w:rPr>
        <w:t>5</w:t>
      </w:r>
      <w:r w:rsidR="0009274E">
        <w:rPr>
          <w:lang w:val="pl-PL"/>
        </w:rPr>
        <w:t xml:space="preserve"> </w:t>
      </w:r>
      <w:r w:rsidRPr="003564AB">
        <w:rPr>
          <w:lang w:val="pl-PL"/>
        </w:rPr>
        <w:t>ust. 3 Konwencji i uzn</w:t>
      </w:r>
      <w:r w:rsidR="003564AB">
        <w:rPr>
          <w:lang w:val="pl-PL"/>
        </w:rPr>
        <w:t xml:space="preserve">aniu pozostałej </w:t>
      </w:r>
      <w:bookmarkStart w:id="1" w:name="_GoBack"/>
      <w:bookmarkEnd w:id="1"/>
      <w:r w:rsidR="003564AB">
        <w:rPr>
          <w:lang w:val="pl-PL"/>
        </w:rPr>
        <w:t>częś</w:t>
      </w:r>
      <w:r w:rsidR="00CA38EB">
        <w:rPr>
          <w:lang w:val="pl-PL"/>
        </w:rPr>
        <w:t>ci</w:t>
      </w:r>
      <w:r w:rsidR="003564AB">
        <w:rPr>
          <w:lang w:val="pl-PL"/>
        </w:rPr>
        <w:t xml:space="preserve"> skargi za</w:t>
      </w:r>
      <w:r w:rsidR="0009274E">
        <w:rPr>
          <w:lang w:val="pl-PL"/>
        </w:rPr>
        <w:t xml:space="preserve"> </w:t>
      </w:r>
      <w:r w:rsidRPr="003564AB">
        <w:rPr>
          <w:lang w:val="pl-PL"/>
        </w:rPr>
        <w:t>niedopuszczalną;</w:t>
      </w:r>
    </w:p>
    <w:p w14:paraId="73DBA2AA" w14:textId="77777777" w:rsidR="00DA2FAE" w:rsidRPr="003564AB" w:rsidRDefault="00DA2FAE" w:rsidP="009A2C11">
      <w:pPr>
        <w:pStyle w:val="JuPara"/>
        <w:rPr>
          <w:lang w:val="pl-PL"/>
        </w:rPr>
      </w:pPr>
      <w:r w:rsidRPr="003564AB">
        <w:rPr>
          <w:lang w:val="pl-PL"/>
        </w:rPr>
        <w:t>uwagi stron;</w:t>
      </w:r>
    </w:p>
    <w:p w14:paraId="4BFC4F77" w14:textId="29509AB2" w:rsidR="009F4C8F" w:rsidRPr="003564AB" w:rsidRDefault="009F4C8F" w:rsidP="009A2C11">
      <w:pPr>
        <w:pStyle w:val="JuPara"/>
        <w:rPr>
          <w:lang w:val="pl-PL"/>
        </w:rPr>
      </w:pPr>
      <w:r w:rsidRPr="003564AB">
        <w:rPr>
          <w:lang w:val="pl-PL"/>
        </w:rPr>
        <w:t>obradując na posiedzeniu niejawnym w dniu 11 stycznia 2022</w:t>
      </w:r>
      <w:r w:rsidR="0009274E">
        <w:rPr>
          <w:lang w:val="pl-PL"/>
        </w:rPr>
        <w:t xml:space="preserve"> </w:t>
      </w:r>
      <w:r w:rsidRPr="003564AB">
        <w:rPr>
          <w:lang w:val="pl-PL"/>
        </w:rPr>
        <w:t>r.</w:t>
      </w:r>
      <w:r w:rsidR="00D63C2B">
        <w:rPr>
          <w:lang w:val="pl-PL"/>
        </w:rPr>
        <w:t>,</w:t>
      </w:r>
    </w:p>
    <w:p w14:paraId="29815DE0" w14:textId="77777777" w:rsidR="00DA2FAE" w:rsidRPr="003564AB" w:rsidRDefault="009F4C8F" w:rsidP="009A2C11">
      <w:pPr>
        <w:pStyle w:val="JuPara"/>
        <w:rPr>
          <w:lang w:val="pl-PL"/>
        </w:rPr>
      </w:pPr>
      <w:r w:rsidRPr="003564AB">
        <w:rPr>
          <w:lang w:val="pl-PL"/>
        </w:rPr>
        <w:t>wydaje następujący wyrok, który został przyjęty w tym dniu:</w:t>
      </w:r>
    </w:p>
    <w:p w14:paraId="62FB2574" w14:textId="77777777" w:rsidR="00DA2FAE" w:rsidRPr="003564AB" w:rsidRDefault="00DA2FAE" w:rsidP="009A2C11">
      <w:pPr>
        <w:pStyle w:val="JuHHead"/>
        <w:rPr>
          <w:lang w:val="pl-PL"/>
        </w:rPr>
      </w:pPr>
      <w:r w:rsidRPr="003564AB">
        <w:rPr>
          <w:bCs w:val="0"/>
          <w:lang w:val="pl-PL"/>
        </w:rPr>
        <w:t>WPROWADZENIE</w:t>
      </w:r>
    </w:p>
    <w:p w14:paraId="57D8AD21" w14:textId="294A58DD" w:rsidR="00DA2FAE" w:rsidRPr="003564AB" w:rsidRDefault="00DA2FAE" w:rsidP="009A2C11">
      <w:pPr>
        <w:pStyle w:val="JuPara"/>
        <w:rPr>
          <w:lang w:val="pl-PL"/>
        </w:rPr>
      </w:pPr>
      <w:r w:rsidRPr="003564AB">
        <w:rPr>
          <w:lang w:val="pl-PL"/>
        </w:rPr>
        <w:t>1.</w:t>
      </w:r>
      <w:r w:rsidR="0009274E">
        <w:rPr>
          <w:lang w:val="pl-PL"/>
        </w:rPr>
        <w:t xml:space="preserve"> </w:t>
      </w:r>
      <w:r w:rsidRPr="003564AB">
        <w:rPr>
          <w:lang w:val="pl-PL"/>
        </w:rPr>
        <w:t>Sprawa dotyczy</w:t>
      </w:r>
      <w:r w:rsidR="0009274E">
        <w:rPr>
          <w:lang w:val="pl-PL"/>
        </w:rPr>
        <w:t xml:space="preserve"> </w:t>
      </w:r>
      <w:r w:rsidR="008F43AE">
        <w:rPr>
          <w:lang w:val="pl-PL"/>
        </w:rPr>
        <w:t>zarzu</w:t>
      </w:r>
      <w:r w:rsidR="00B9467A">
        <w:rPr>
          <w:lang w:val="pl-PL"/>
        </w:rPr>
        <w:t>tu</w:t>
      </w:r>
      <w:r w:rsidR="008F43AE">
        <w:rPr>
          <w:lang w:val="pl-PL"/>
        </w:rPr>
        <w:t xml:space="preserve"> </w:t>
      </w:r>
      <w:r w:rsidR="00966F61">
        <w:rPr>
          <w:lang w:val="pl-PL"/>
        </w:rPr>
        <w:t xml:space="preserve">nadmiernie długiego </w:t>
      </w:r>
      <w:r w:rsidR="008F43AE">
        <w:rPr>
          <w:lang w:val="pl-PL"/>
        </w:rPr>
        <w:t xml:space="preserve">okresu </w:t>
      </w:r>
      <w:r w:rsidR="00966F61">
        <w:rPr>
          <w:lang w:val="pl-PL"/>
        </w:rPr>
        <w:t>stosowania wobec skarżącego tymczasowego aresztowania</w:t>
      </w:r>
      <w:r w:rsidRPr="003564AB">
        <w:rPr>
          <w:lang w:val="pl-PL"/>
        </w:rPr>
        <w:t>.</w:t>
      </w:r>
    </w:p>
    <w:p w14:paraId="2E76AA99" w14:textId="2D9B71A1" w:rsidR="00DA2FAE" w:rsidRPr="003564AB" w:rsidRDefault="00DF70B0" w:rsidP="009A2C11">
      <w:pPr>
        <w:pStyle w:val="JuHHead"/>
        <w:rPr>
          <w:lang w:val="pl-PL"/>
        </w:rPr>
      </w:pPr>
      <w:r>
        <w:rPr>
          <w:bCs w:val="0"/>
          <w:lang w:val="pl-PL"/>
        </w:rPr>
        <w:t>FAKTY</w:t>
      </w:r>
    </w:p>
    <w:p w14:paraId="197B80BB" w14:textId="303F61A0" w:rsidR="00DA2FAE" w:rsidRPr="003564AB" w:rsidRDefault="00DA2FAE" w:rsidP="009A2C11">
      <w:pPr>
        <w:pStyle w:val="JuPara"/>
        <w:rPr>
          <w:lang w:val="pl-PL"/>
        </w:rPr>
      </w:pPr>
      <w:r w:rsidRPr="003564AB">
        <w:rPr>
          <w:lang w:val="pl-PL"/>
        </w:rPr>
        <w:t>2.</w:t>
      </w:r>
      <w:r w:rsidR="0009274E">
        <w:rPr>
          <w:lang w:val="pl-PL"/>
        </w:rPr>
        <w:t xml:space="preserve"> </w:t>
      </w:r>
      <w:r w:rsidRPr="003564AB">
        <w:rPr>
          <w:lang w:val="pl-PL"/>
        </w:rPr>
        <w:t>Skarżący urodził się w</w:t>
      </w:r>
      <w:r w:rsidR="0009274E">
        <w:rPr>
          <w:lang w:val="pl-PL"/>
        </w:rPr>
        <w:t xml:space="preserve"> </w:t>
      </w:r>
      <w:r w:rsidRPr="003564AB">
        <w:rPr>
          <w:lang w:val="pl-PL"/>
        </w:rPr>
        <w:t>1973</w:t>
      </w:r>
      <w:r w:rsidR="0009274E">
        <w:rPr>
          <w:lang w:val="pl-PL"/>
        </w:rPr>
        <w:t xml:space="preserve"> </w:t>
      </w:r>
      <w:r w:rsidRPr="003564AB">
        <w:rPr>
          <w:lang w:val="pl-PL"/>
        </w:rPr>
        <w:t xml:space="preserve">r. i mieszka w Warszawie. </w:t>
      </w:r>
      <w:r w:rsidR="00B9467A">
        <w:rPr>
          <w:lang w:val="pl-PL"/>
        </w:rPr>
        <w:t>B</w:t>
      </w:r>
      <w:r w:rsidRPr="003564AB">
        <w:rPr>
          <w:lang w:val="pl-PL"/>
        </w:rPr>
        <w:t>ył</w:t>
      </w:r>
      <w:r w:rsidR="00B028E2">
        <w:rPr>
          <w:lang w:val="pl-PL"/>
        </w:rPr>
        <w:t> </w:t>
      </w:r>
      <w:r w:rsidRPr="003564AB">
        <w:rPr>
          <w:lang w:val="pl-PL"/>
        </w:rPr>
        <w:t>reprezentowany przed Trybunałem przez A. Pietrykę, adwokata praktykującego w Warszawie.</w:t>
      </w:r>
    </w:p>
    <w:p w14:paraId="320654E9" w14:textId="7B333AAA" w:rsidR="00DA2FAE" w:rsidRPr="003564AB" w:rsidRDefault="00DA2FAE" w:rsidP="009A2C11">
      <w:pPr>
        <w:pStyle w:val="JuPara"/>
        <w:rPr>
          <w:lang w:val="pl-PL"/>
        </w:rPr>
      </w:pPr>
      <w:r w:rsidRPr="003564AB">
        <w:rPr>
          <w:lang w:val="pl-PL"/>
        </w:rPr>
        <w:t>3.</w:t>
      </w:r>
      <w:r w:rsidR="0009274E">
        <w:rPr>
          <w:lang w:val="pl-PL"/>
        </w:rPr>
        <w:t xml:space="preserve"> </w:t>
      </w:r>
      <w:r w:rsidRPr="003564AB">
        <w:rPr>
          <w:lang w:val="pl-PL"/>
        </w:rPr>
        <w:t>Rząd był reprezentowany przez swojego pełnomocnika, J. Sobczaka, z</w:t>
      </w:r>
      <w:r w:rsidR="00B028E2">
        <w:rPr>
          <w:lang w:val="pl-PL"/>
        </w:rPr>
        <w:t> </w:t>
      </w:r>
      <w:r w:rsidRPr="003564AB">
        <w:rPr>
          <w:lang w:val="pl-PL"/>
        </w:rPr>
        <w:t>Ministerstwa Spraw Zagranicznych.</w:t>
      </w:r>
    </w:p>
    <w:p w14:paraId="37F4335B" w14:textId="775E8EBB" w:rsidR="00DA2FAE" w:rsidRPr="003564AB" w:rsidRDefault="00DA2FAE" w:rsidP="009A2C11">
      <w:pPr>
        <w:pStyle w:val="JuPara"/>
        <w:rPr>
          <w:lang w:val="pl-PL"/>
        </w:rPr>
      </w:pPr>
      <w:r w:rsidRPr="003564AB">
        <w:rPr>
          <w:lang w:val="pl-PL"/>
        </w:rPr>
        <w:t>4.</w:t>
      </w:r>
      <w:r w:rsidR="0009274E">
        <w:rPr>
          <w:lang w:val="pl-PL"/>
        </w:rPr>
        <w:t xml:space="preserve"> </w:t>
      </w:r>
      <w:r w:rsidRPr="003564AB">
        <w:rPr>
          <w:lang w:val="pl-PL"/>
        </w:rPr>
        <w:t>Stan faktyczny sprawy, przedstawiony przez strony, można podsumować w poniższy sposób.</w:t>
      </w:r>
    </w:p>
    <w:p w14:paraId="2E62F331" w14:textId="662A9EC7" w:rsidR="00DA2FAE" w:rsidRPr="003564AB" w:rsidRDefault="006B67A5" w:rsidP="009A2C11">
      <w:pPr>
        <w:pStyle w:val="JuPara"/>
        <w:rPr>
          <w:lang w:val="pl-PL"/>
        </w:rPr>
      </w:pPr>
      <w:r w:rsidRPr="003564AB">
        <w:rPr>
          <w:lang w:val="pl-PL"/>
        </w:rPr>
        <w:t>5.</w:t>
      </w:r>
      <w:r w:rsidR="0009274E">
        <w:rPr>
          <w:lang w:val="pl-PL"/>
        </w:rPr>
        <w:t xml:space="preserve"> </w:t>
      </w:r>
      <w:r w:rsidRPr="003564AB">
        <w:rPr>
          <w:lang w:val="pl-PL"/>
        </w:rPr>
        <w:t>Do dnia 31 grudnia 2012</w:t>
      </w:r>
      <w:r w:rsidR="0009274E">
        <w:rPr>
          <w:lang w:val="pl-PL"/>
        </w:rPr>
        <w:t xml:space="preserve"> </w:t>
      </w:r>
      <w:r w:rsidRPr="003564AB">
        <w:rPr>
          <w:lang w:val="pl-PL"/>
        </w:rPr>
        <w:t>r. skarżący był zatrudniony na stanowisku zastępcy dyrektora w Biurze Gospodarowania Nieruchomościami Miasta Stołecznego Warszawy. Miał za zadanie nadzorowanie tzw. postępowań reprywatyzacyjnych</w:t>
      </w:r>
      <w:r w:rsidR="008F43AE">
        <w:rPr>
          <w:lang w:val="pl-PL"/>
        </w:rPr>
        <w:t>,</w:t>
      </w:r>
      <w:r w:rsidRPr="003564AB">
        <w:rPr>
          <w:lang w:val="pl-PL"/>
        </w:rPr>
        <w:t xml:space="preserve"> dotyczących ponownego nabywania nieruchomości, które rząd komunistyczny upaństwowił w 1945</w:t>
      </w:r>
      <w:r w:rsidR="0009274E">
        <w:rPr>
          <w:lang w:val="pl-PL"/>
        </w:rPr>
        <w:t xml:space="preserve"> </w:t>
      </w:r>
      <w:r w:rsidRPr="003564AB">
        <w:rPr>
          <w:lang w:val="pl-PL"/>
        </w:rPr>
        <w:t>r. Z racji pełnionej funkcji skarżący był upoważniony do wydawa</w:t>
      </w:r>
      <w:r w:rsidR="003564AB">
        <w:rPr>
          <w:lang w:val="pl-PL"/>
        </w:rPr>
        <w:t>nia decyzji administracyjnych w</w:t>
      </w:r>
      <w:r w:rsidR="00B028E2">
        <w:rPr>
          <w:lang w:val="pl-PL"/>
        </w:rPr>
        <w:t> </w:t>
      </w:r>
      <w:r w:rsidRPr="003564AB">
        <w:rPr>
          <w:lang w:val="pl-PL"/>
        </w:rPr>
        <w:t>imieniu Prezydent Miasta Stołecznego Warszawy.</w:t>
      </w:r>
    </w:p>
    <w:p w14:paraId="25185D11" w14:textId="61AD67AC" w:rsidR="00DA2FAE" w:rsidRPr="003564AB" w:rsidRDefault="006B67A5" w:rsidP="009A2C11">
      <w:pPr>
        <w:pStyle w:val="JuPara"/>
        <w:rPr>
          <w:lang w:val="pl-PL"/>
        </w:rPr>
      </w:pPr>
      <w:r w:rsidRPr="003564AB">
        <w:rPr>
          <w:lang w:val="pl-PL"/>
        </w:rPr>
        <w:t>6.</w:t>
      </w:r>
      <w:r w:rsidR="0009274E">
        <w:rPr>
          <w:lang w:val="pl-PL"/>
        </w:rPr>
        <w:t xml:space="preserve"> </w:t>
      </w:r>
      <w:r w:rsidRPr="003564AB">
        <w:rPr>
          <w:lang w:val="pl-PL"/>
        </w:rPr>
        <w:t>W dniu 21 lutego 2014</w:t>
      </w:r>
      <w:r w:rsidR="0009274E">
        <w:rPr>
          <w:lang w:val="pl-PL"/>
        </w:rPr>
        <w:t xml:space="preserve"> </w:t>
      </w:r>
      <w:r w:rsidRPr="003564AB">
        <w:rPr>
          <w:lang w:val="pl-PL"/>
        </w:rPr>
        <w:t>r. Pro</w:t>
      </w:r>
      <w:r w:rsidR="003564AB">
        <w:rPr>
          <w:lang w:val="pl-PL"/>
        </w:rPr>
        <w:t>kurator Okręgowy w Warszawie, w</w:t>
      </w:r>
      <w:r w:rsidR="00B028E2">
        <w:rPr>
          <w:lang w:val="pl-PL"/>
        </w:rPr>
        <w:t> </w:t>
      </w:r>
      <w:r w:rsidRPr="003564AB">
        <w:rPr>
          <w:lang w:val="pl-PL"/>
        </w:rPr>
        <w:t xml:space="preserve">odpowiedzi na artykuł opublikowany w polskim dzienniku </w:t>
      </w:r>
      <w:r w:rsidRPr="003564AB">
        <w:rPr>
          <w:i/>
          <w:iCs/>
          <w:lang w:val="pl-PL"/>
        </w:rPr>
        <w:t>Gazeta Wyborcza</w:t>
      </w:r>
      <w:r w:rsidRPr="003564AB">
        <w:rPr>
          <w:lang w:val="pl-PL"/>
        </w:rPr>
        <w:t>, wszczął śledztwo w sprawie skarżącego dotyczące zarzutów nadużycia władzy w związku z nabyciem przez niego nieruchomości położonej w Warszawie.</w:t>
      </w:r>
    </w:p>
    <w:p w14:paraId="32B72CD8" w14:textId="74B79C0C" w:rsidR="00DA2FAE" w:rsidRPr="003564AB" w:rsidRDefault="006B67A5" w:rsidP="009A2C11">
      <w:pPr>
        <w:pStyle w:val="JuPara"/>
        <w:rPr>
          <w:lang w:val="pl-PL"/>
        </w:rPr>
      </w:pPr>
      <w:r w:rsidRPr="003564AB">
        <w:rPr>
          <w:lang w:val="pl-PL"/>
        </w:rPr>
        <w:lastRenderedPageBreak/>
        <w:t>7.</w:t>
      </w:r>
      <w:r w:rsidR="0009274E">
        <w:rPr>
          <w:lang w:val="pl-PL"/>
        </w:rPr>
        <w:t xml:space="preserve"> </w:t>
      </w:r>
      <w:r w:rsidRPr="003564AB">
        <w:rPr>
          <w:lang w:val="pl-PL"/>
        </w:rPr>
        <w:t>W dniu 27</w:t>
      </w:r>
      <w:r w:rsidR="0009274E">
        <w:rPr>
          <w:lang w:val="pl-PL"/>
        </w:rPr>
        <w:t xml:space="preserve"> </w:t>
      </w:r>
      <w:r w:rsidRPr="003564AB">
        <w:rPr>
          <w:lang w:val="pl-PL"/>
        </w:rPr>
        <w:t>lutego 2015</w:t>
      </w:r>
      <w:r w:rsidR="0009274E">
        <w:rPr>
          <w:lang w:val="pl-PL"/>
        </w:rPr>
        <w:t xml:space="preserve"> </w:t>
      </w:r>
      <w:r w:rsidRPr="003564AB">
        <w:rPr>
          <w:lang w:val="pl-PL"/>
        </w:rPr>
        <w:t>r. śledztwo umorzono.</w:t>
      </w:r>
    </w:p>
    <w:p w14:paraId="384021E0" w14:textId="394250EC" w:rsidR="00DA2FAE" w:rsidRPr="003564AB" w:rsidRDefault="006B67A5" w:rsidP="009A2C11">
      <w:pPr>
        <w:pStyle w:val="JuPara"/>
        <w:rPr>
          <w:lang w:val="pl-PL"/>
        </w:rPr>
      </w:pPr>
      <w:r w:rsidRPr="003564AB">
        <w:rPr>
          <w:lang w:val="pl-PL"/>
        </w:rPr>
        <w:t>8.</w:t>
      </w:r>
      <w:r w:rsidR="0009274E">
        <w:rPr>
          <w:lang w:val="pl-PL"/>
        </w:rPr>
        <w:t xml:space="preserve"> </w:t>
      </w:r>
      <w:r w:rsidRPr="003564AB">
        <w:rPr>
          <w:lang w:val="pl-PL"/>
        </w:rPr>
        <w:t>W dniu 26 czerwca 2015</w:t>
      </w:r>
      <w:r w:rsidR="0009274E">
        <w:rPr>
          <w:lang w:val="pl-PL"/>
        </w:rPr>
        <w:t xml:space="preserve"> </w:t>
      </w:r>
      <w:r w:rsidRPr="003564AB">
        <w:rPr>
          <w:lang w:val="pl-PL"/>
        </w:rPr>
        <w:t>r. ten sam prokurator odmówił wszczęcia dochodzenia w sprawie zarzutu popełnienia przez skarżącego i adwokata, R.N., oszustwa przy zakupie nieruchomości położonej w K.</w:t>
      </w:r>
    </w:p>
    <w:p w14:paraId="0F606C30" w14:textId="28AD9DE9" w:rsidR="00DA2FAE" w:rsidRPr="003564AB" w:rsidRDefault="006B67A5" w:rsidP="009A2C11">
      <w:pPr>
        <w:pStyle w:val="JuPara"/>
        <w:rPr>
          <w:lang w:val="pl-PL"/>
        </w:rPr>
      </w:pPr>
      <w:r w:rsidRPr="003564AB">
        <w:rPr>
          <w:lang w:val="pl-PL"/>
        </w:rPr>
        <w:t>9.</w:t>
      </w:r>
      <w:r w:rsidR="0009274E">
        <w:rPr>
          <w:lang w:val="pl-PL"/>
        </w:rPr>
        <w:t xml:space="preserve"> </w:t>
      </w:r>
      <w:r w:rsidRPr="003564AB">
        <w:rPr>
          <w:lang w:val="pl-PL"/>
        </w:rPr>
        <w:t>W kwietniu 2016</w:t>
      </w:r>
      <w:r w:rsidR="0009274E">
        <w:rPr>
          <w:lang w:val="pl-PL"/>
        </w:rPr>
        <w:t xml:space="preserve"> </w:t>
      </w:r>
      <w:r w:rsidRPr="003564AB">
        <w:rPr>
          <w:lang w:val="pl-PL"/>
        </w:rPr>
        <w:t xml:space="preserve">r. </w:t>
      </w:r>
      <w:r w:rsidRPr="003564AB">
        <w:rPr>
          <w:i/>
          <w:iCs/>
          <w:lang w:val="pl-PL"/>
        </w:rPr>
        <w:t>Gazeta Wyborcza</w:t>
      </w:r>
      <w:r w:rsidRPr="003564AB">
        <w:rPr>
          <w:lang w:val="pl-PL"/>
        </w:rPr>
        <w:t xml:space="preserve"> opublikowała cykl artykułów dotyczących reprywatyzacji kol</w:t>
      </w:r>
      <w:r w:rsidR="003564AB">
        <w:rPr>
          <w:lang w:val="pl-PL"/>
        </w:rPr>
        <w:t>ejnej nieruchomości położonej w</w:t>
      </w:r>
      <w:r w:rsidR="0009274E">
        <w:rPr>
          <w:lang w:val="pl-PL"/>
        </w:rPr>
        <w:t xml:space="preserve"> </w:t>
      </w:r>
      <w:r w:rsidRPr="003564AB">
        <w:rPr>
          <w:lang w:val="pl-PL"/>
        </w:rPr>
        <w:t>Warszawie. W dniu 30 maja 2016</w:t>
      </w:r>
      <w:r w:rsidR="0009274E">
        <w:rPr>
          <w:lang w:val="pl-PL"/>
        </w:rPr>
        <w:t xml:space="preserve"> </w:t>
      </w:r>
      <w:r w:rsidRPr="003564AB">
        <w:rPr>
          <w:lang w:val="pl-PL"/>
        </w:rPr>
        <w:t xml:space="preserve">r. wszczęto </w:t>
      </w:r>
      <w:r w:rsidR="00C940D7">
        <w:rPr>
          <w:lang w:val="pl-PL"/>
        </w:rPr>
        <w:t xml:space="preserve">śledztwo </w:t>
      </w:r>
      <w:r w:rsidRPr="003564AB">
        <w:rPr>
          <w:lang w:val="pl-PL"/>
        </w:rPr>
        <w:t>w sprawach opisanych w</w:t>
      </w:r>
      <w:r w:rsidR="0009274E">
        <w:rPr>
          <w:lang w:val="pl-PL"/>
        </w:rPr>
        <w:t xml:space="preserve"> </w:t>
      </w:r>
      <w:r w:rsidRPr="003564AB">
        <w:rPr>
          <w:lang w:val="pl-PL"/>
        </w:rPr>
        <w:t>tymże artykule.</w:t>
      </w:r>
    </w:p>
    <w:p w14:paraId="012330CD" w14:textId="1997BA1D" w:rsidR="00DA2FAE" w:rsidRPr="003564AB" w:rsidRDefault="006B67A5" w:rsidP="009A2C11">
      <w:pPr>
        <w:pStyle w:val="JuPara"/>
        <w:rPr>
          <w:lang w:val="pl-PL"/>
        </w:rPr>
      </w:pPr>
      <w:r w:rsidRPr="003564AB">
        <w:rPr>
          <w:lang w:val="pl-PL"/>
        </w:rPr>
        <w:t>10.</w:t>
      </w:r>
      <w:r w:rsidR="0009274E">
        <w:rPr>
          <w:lang w:val="pl-PL"/>
        </w:rPr>
        <w:t xml:space="preserve"> </w:t>
      </w:r>
      <w:r w:rsidRPr="003564AB">
        <w:rPr>
          <w:lang w:val="pl-PL"/>
        </w:rPr>
        <w:t>W dniu 7 września 2016</w:t>
      </w:r>
      <w:r w:rsidR="0009274E">
        <w:rPr>
          <w:lang w:val="pl-PL"/>
        </w:rPr>
        <w:t xml:space="preserve"> </w:t>
      </w:r>
      <w:r w:rsidRPr="003564AB">
        <w:rPr>
          <w:lang w:val="pl-PL"/>
        </w:rPr>
        <w:t>r.</w:t>
      </w:r>
      <w:r w:rsidR="003564AB">
        <w:rPr>
          <w:lang w:val="pl-PL"/>
        </w:rPr>
        <w:t xml:space="preserve"> skarżący został przesłuchany w</w:t>
      </w:r>
      <w:r w:rsidR="0009274E">
        <w:rPr>
          <w:lang w:val="pl-PL"/>
        </w:rPr>
        <w:t xml:space="preserve"> </w:t>
      </w:r>
      <w:r w:rsidRPr="003564AB">
        <w:rPr>
          <w:lang w:val="pl-PL"/>
        </w:rPr>
        <w:t>charakterze świadka przez Prokur</w:t>
      </w:r>
      <w:r w:rsidR="003564AB">
        <w:rPr>
          <w:lang w:val="pl-PL"/>
        </w:rPr>
        <w:t>atora Okręgowego w Warszawie. W</w:t>
      </w:r>
      <w:r w:rsidR="0009274E">
        <w:rPr>
          <w:lang w:val="pl-PL"/>
        </w:rPr>
        <w:t xml:space="preserve"> </w:t>
      </w:r>
      <w:r w:rsidRPr="003564AB">
        <w:rPr>
          <w:lang w:val="pl-PL"/>
        </w:rPr>
        <w:t>dniu 7</w:t>
      </w:r>
      <w:r w:rsidR="00B028E2">
        <w:rPr>
          <w:lang w:val="pl-PL"/>
        </w:rPr>
        <w:t> </w:t>
      </w:r>
      <w:r w:rsidRPr="003564AB">
        <w:rPr>
          <w:lang w:val="pl-PL"/>
        </w:rPr>
        <w:t>października 2016</w:t>
      </w:r>
      <w:r w:rsidR="0009274E">
        <w:rPr>
          <w:lang w:val="pl-PL"/>
        </w:rPr>
        <w:t xml:space="preserve"> </w:t>
      </w:r>
      <w:r w:rsidRPr="003564AB">
        <w:rPr>
          <w:lang w:val="pl-PL"/>
        </w:rPr>
        <w:t>r. Prokurator Okręgowy we Wrocławiu postanowił wznowić umorzone w dni</w:t>
      </w:r>
      <w:r w:rsidR="003564AB">
        <w:rPr>
          <w:lang w:val="pl-PL"/>
        </w:rPr>
        <w:t>u 26 czerwca 2015</w:t>
      </w:r>
      <w:r w:rsidR="0009274E">
        <w:rPr>
          <w:lang w:val="pl-PL"/>
        </w:rPr>
        <w:t xml:space="preserve"> </w:t>
      </w:r>
      <w:r w:rsidR="003564AB">
        <w:rPr>
          <w:lang w:val="pl-PL"/>
        </w:rPr>
        <w:t>r. śledztwo w</w:t>
      </w:r>
      <w:r w:rsidR="0009274E">
        <w:rPr>
          <w:lang w:val="pl-PL"/>
        </w:rPr>
        <w:t xml:space="preserve"> </w:t>
      </w:r>
      <w:r w:rsidRPr="003564AB">
        <w:rPr>
          <w:lang w:val="pl-PL"/>
        </w:rPr>
        <w:t>sprawie domniemanego oszustwa przy zakupie nieruchomości położonej w K.</w:t>
      </w:r>
    </w:p>
    <w:p w14:paraId="3E13E743" w14:textId="5758F723" w:rsidR="00DA2FAE" w:rsidRPr="003564AB" w:rsidRDefault="006B67A5" w:rsidP="009A2C11">
      <w:pPr>
        <w:pStyle w:val="JuPara"/>
        <w:rPr>
          <w:lang w:val="pl-PL"/>
        </w:rPr>
      </w:pPr>
      <w:r w:rsidRPr="003564AB">
        <w:rPr>
          <w:lang w:val="pl-PL"/>
        </w:rPr>
        <w:t>11.</w:t>
      </w:r>
      <w:r w:rsidR="0009274E">
        <w:rPr>
          <w:lang w:val="pl-PL"/>
        </w:rPr>
        <w:t xml:space="preserve"> </w:t>
      </w:r>
      <w:r w:rsidRPr="003564AB">
        <w:rPr>
          <w:lang w:val="pl-PL"/>
        </w:rPr>
        <w:t>W dniu 30 stycznia 2017</w:t>
      </w:r>
      <w:r w:rsidR="0009274E">
        <w:rPr>
          <w:lang w:val="pl-PL"/>
        </w:rPr>
        <w:t xml:space="preserve"> </w:t>
      </w:r>
      <w:r w:rsidRPr="003564AB">
        <w:rPr>
          <w:lang w:val="pl-PL"/>
        </w:rPr>
        <w:t>r. o godz. 6.15 skarżący został zatrzymany w</w:t>
      </w:r>
      <w:r w:rsidR="00B028E2">
        <w:rPr>
          <w:lang w:val="pl-PL"/>
        </w:rPr>
        <w:t> </w:t>
      </w:r>
      <w:r w:rsidRPr="003564AB">
        <w:rPr>
          <w:lang w:val="pl-PL"/>
        </w:rPr>
        <w:t xml:space="preserve">swoim mieszkaniu przez agentów Centralnego Biura Antykorupcyjnego działających na polecenie Prokuratora Okręgowego we Wrocławiu. W tym samym czasie zatrzymani zostali również </w:t>
      </w:r>
      <w:r w:rsidR="003564AB">
        <w:rPr>
          <w:lang w:val="pl-PL"/>
        </w:rPr>
        <w:t>R.N. oraz rodzice skarżącego. O</w:t>
      </w:r>
      <w:r w:rsidR="00B028E2">
        <w:rPr>
          <w:lang w:val="pl-PL"/>
        </w:rPr>
        <w:t> </w:t>
      </w:r>
      <w:r w:rsidRPr="003564AB">
        <w:rPr>
          <w:lang w:val="pl-PL"/>
        </w:rPr>
        <w:t>ich zatrzymaniu natychmiast poinformowały państwowe media.</w:t>
      </w:r>
    </w:p>
    <w:p w14:paraId="1C9BD76D" w14:textId="6717A64A" w:rsidR="00DA2FAE" w:rsidRPr="003564AB" w:rsidRDefault="006B67A5" w:rsidP="009A2C11">
      <w:pPr>
        <w:pStyle w:val="JuPara"/>
        <w:rPr>
          <w:lang w:val="pl-PL"/>
        </w:rPr>
      </w:pPr>
      <w:r w:rsidRPr="003564AB">
        <w:rPr>
          <w:lang w:val="pl-PL"/>
        </w:rPr>
        <w:t>12.</w:t>
      </w:r>
      <w:r w:rsidR="0009274E">
        <w:rPr>
          <w:lang w:val="pl-PL"/>
        </w:rPr>
        <w:t xml:space="preserve"> </w:t>
      </w:r>
      <w:r w:rsidRPr="003564AB">
        <w:rPr>
          <w:lang w:val="pl-PL"/>
        </w:rPr>
        <w:t>Tego samego dnia skarżąc</w:t>
      </w:r>
      <w:r w:rsidR="00B9467A">
        <w:rPr>
          <w:lang w:val="pl-PL"/>
        </w:rPr>
        <w:t>emu postawiono zarzut przyjęcia</w:t>
      </w:r>
      <w:r w:rsidRPr="003564AB">
        <w:rPr>
          <w:lang w:val="pl-PL"/>
        </w:rPr>
        <w:t xml:space="preserve"> łapówki od R.N. w zamian za jego pomoc w repr</w:t>
      </w:r>
      <w:r w:rsidR="003564AB">
        <w:rPr>
          <w:lang w:val="pl-PL"/>
        </w:rPr>
        <w:t xml:space="preserve">ywatyzacji nieruchomości oraz </w:t>
      </w:r>
      <w:r w:rsidRPr="003564AB">
        <w:rPr>
          <w:lang w:val="pl-PL"/>
        </w:rPr>
        <w:t>oszustw</w:t>
      </w:r>
      <w:r w:rsidR="00B9467A">
        <w:rPr>
          <w:lang w:val="pl-PL"/>
        </w:rPr>
        <w:t>a</w:t>
      </w:r>
      <w:r w:rsidRPr="003564AB">
        <w:rPr>
          <w:lang w:val="pl-PL"/>
        </w:rPr>
        <w:t xml:space="preserve"> popełnione</w:t>
      </w:r>
      <w:r w:rsidR="00B9467A">
        <w:rPr>
          <w:lang w:val="pl-PL"/>
        </w:rPr>
        <w:t>go</w:t>
      </w:r>
      <w:r w:rsidRPr="003564AB">
        <w:rPr>
          <w:lang w:val="pl-PL"/>
        </w:rPr>
        <w:t xml:space="preserve"> w odniesieniu do nieruchomości o znacznej wartości. Skarżący nie przyznał się do winy i odmówił składania wyjaśnień. W dniu 31</w:t>
      </w:r>
      <w:r w:rsidR="00B028E2">
        <w:rPr>
          <w:lang w:val="pl-PL"/>
        </w:rPr>
        <w:t> </w:t>
      </w:r>
      <w:r w:rsidRPr="003564AB">
        <w:rPr>
          <w:lang w:val="pl-PL"/>
        </w:rPr>
        <w:t>stycznia 2017</w:t>
      </w:r>
      <w:r w:rsidR="0009274E">
        <w:rPr>
          <w:lang w:val="pl-PL"/>
        </w:rPr>
        <w:t xml:space="preserve"> </w:t>
      </w:r>
      <w:r w:rsidRPr="003564AB">
        <w:rPr>
          <w:lang w:val="pl-PL"/>
        </w:rPr>
        <w:t>r. prokurator złożył do Sądu Rejonowego dla Wrocławia-Śródmieścia wniosek o tymczasowe aresztowanie skarżącego.</w:t>
      </w:r>
    </w:p>
    <w:p w14:paraId="21A426A0" w14:textId="4C805FF5" w:rsidR="00DA2FAE" w:rsidRPr="003564AB" w:rsidRDefault="006B67A5" w:rsidP="009A2C11">
      <w:pPr>
        <w:pStyle w:val="JuPara"/>
        <w:rPr>
          <w:lang w:val="pl-PL"/>
        </w:rPr>
      </w:pPr>
      <w:r w:rsidRPr="003564AB">
        <w:rPr>
          <w:lang w:val="pl-PL"/>
        </w:rPr>
        <w:t>13.</w:t>
      </w:r>
      <w:r w:rsidR="0009274E">
        <w:rPr>
          <w:lang w:val="pl-PL"/>
        </w:rPr>
        <w:t xml:space="preserve"> </w:t>
      </w:r>
      <w:r w:rsidRPr="003564AB">
        <w:rPr>
          <w:lang w:val="pl-PL"/>
        </w:rPr>
        <w:t>W dniu 1 lutego 2017</w:t>
      </w:r>
      <w:r w:rsidR="0009274E">
        <w:rPr>
          <w:lang w:val="pl-PL"/>
        </w:rPr>
        <w:t xml:space="preserve"> </w:t>
      </w:r>
      <w:r w:rsidRPr="003564AB">
        <w:rPr>
          <w:lang w:val="pl-PL"/>
        </w:rPr>
        <w:t>r. Sąd Rejonowy dla Wrocławia-Śródmieścia przychylił się do wniosku prokuratora i zatrzymał skarżącego w areszcie tymczasowym do dnia 30 kwietnia 2017</w:t>
      </w:r>
      <w:r w:rsidR="0009274E">
        <w:rPr>
          <w:lang w:val="pl-PL"/>
        </w:rPr>
        <w:t xml:space="preserve"> </w:t>
      </w:r>
      <w:r w:rsidRPr="003564AB">
        <w:rPr>
          <w:lang w:val="pl-PL"/>
        </w:rPr>
        <w:t>r. Sąd uznał, że istnieje wysokie prawdopodobieństwo, iż skarżący dopuścił się oszustwa zagrożonego karą powyżej ośmiu lat pozbawienia wolności, co samo w sobie stanowi wystarczającą podstawę do aresztowania. Stwierdził również, że chociaż skarżący nie był wcześniej karany, może próbować utrudniać postępowanie w celu uniknięcia wysokiej kary lub kontaktować się ze świadkami, którzy nie zostali jeszcze przesłuchani.</w:t>
      </w:r>
    </w:p>
    <w:p w14:paraId="316A7A2E" w14:textId="73613CCA" w:rsidR="00DA2FAE" w:rsidRPr="003564AB" w:rsidRDefault="006B67A5" w:rsidP="009A2C11">
      <w:pPr>
        <w:pStyle w:val="JuPara"/>
        <w:rPr>
          <w:lang w:val="pl-PL"/>
        </w:rPr>
      </w:pPr>
      <w:r w:rsidRPr="003564AB">
        <w:rPr>
          <w:lang w:val="pl-PL"/>
        </w:rPr>
        <w:t>14.</w:t>
      </w:r>
      <w:r w:rsidR="0009274E">
        <w:rPr>
          <w:lang w:val="pl-PL"/>
        </w:rPr>
        <w:t xml:space="preserve"> </w:t>
      </w:r>
      <w:r w:rsidRPr="003564AB">
        <w:rPr>
          <w:lang w:val="pl-PL"/>
        </w:rPr>
        <w:t>W dniu 1 marca 2017</w:t>
      </w:r>
      <w:r w:rsidR="0009274E">
        <w:rPr>
          <w:lang w:val="pl-PL"/>
        </w:rPr>
        <w:t xml:space="preserve"> </w:t>
      </w:r>
      <w:r w:rsidRPr="003564AB">
        <w:rPr>
          <w:lang w:val="pl-PL"/>
        </w:rPr>
        <w:t xml:space="preserve">r. Sąd Okręgowy we Wrocławiu oddalił złożone przez skarżącego </w:t>
      </w:r>
      <w:r w:rsidR="006D3BAE">
        <w:rPr>
          <w:lang w:val="pl-PL"/>
        </w:rPr>
        <w:t xml:space="preserve">zażalenie </w:t>
      </w:r>
      <w:r w:rsidRPr="003564AB">
        <w:rPr>
          <w:lang w:val="pl-PL"/>
        </w:rPr>
        <w:t>dotyczące jego tymczasowego aresztowania. Sąd</w:t>
      </w:r>
      <w:r w:rsidR="00B028E2">
        <w:rPr>
          <w:lang w:val="pl-PL"/>
        </w:rPr>
        <w:t> </w:t>
      </w:r>
      <w:r w:rsidRPr="003564AB">
        <w:rPr>
          <w:lang w:val="pl-PL"/>
        </w:rPr>
        <w:t>zauważył, że ponie</w:t>
      </w:r>
      <w:r w:rsidR="003564AB">
        <w:rPr>
          <w:lang w:val="pl-PL"/>
        </w:rPr>
        <w:t>waż skarżący został oskarżony o</w:t>
      </w:r>
      <w:r w:rsidR="0009274E">
        <w:rPr>
          <w:lang w:val="pl-PL"/>
        </w:rPr>
        <w:t xml:space="preserve"> </w:t>
      </w:r>
      <w:r w:rsidRPr="003564AB">
        <w:rPr>
          <w:lang w:val="pl-PL"/>
        </w:rPr>
        <w:t>przestępstwa popełnione wspólnie z innymi podejrzanymi – przy czym niektórzy z nich byli członkami jego bliskiej rodziny – jego zwolnienie mogłoby umożliwić im osiągnięcie porozumienia co do wersji wydarzeń, która byłaby dla nich najbardziej korzystna, a tym samym utrudnić śledztwo.</w:t>
      </w:r>
    </w:p>
    <w:p w14:paraId="5CDDF713" w14:textId="5843FEA7" w:rsidR="00DA2FAE" w:rsidRPr="00F84EC3" w:rsidRDefault="006B67A5" w:rsidP="009A2C11">
      <w:pPr>
        <w:pStyle w:val="JuPara"/>
        <w:rPr>
          <w:lang w:val="pl-PL"/>
        </w:rPr>
      </w:pPr>
      <w:r w:rsidRPr="003564AB">
        <w:rPr>
          <w:lang w:val="pl-PL"/>
        </w:rPr>
        <w:t>15.</w:t>
      </w:r>
      <w:r w:rsidR="0009274E">
        <w:rPr>
          <w:lang w:val="pl-PL"/>
        </w:rPr>
        <w:t xml:space="preserve"> </w:t>
      </w:r>
      <w:r w:rsidRPr="003564AB">
        <w:rPr>
          <w:lang w:val="pl-PL"/>
        </w:rPr>
        <w:t>W dniu 24 kwietnia 2017</w:t>
      </w:r>
      <w:r w:rsidR="0009274E">
        <w:rPr>
          <w:lang w:val="pl-PL"/>
        </w:rPr>
        <w:t xml:space="preserve"> </w:t>
      </w:r>
      <w:r w:rsidRPr="003564AB">
        <w:rPr>
          <w:lang w:val="pl-PL"/>
        </w:rPr>
        <w:t>r. Sąd Okręgowy w Warszawie przedłużył tymczasowe aresztowanie skarżącego do dnia</w:t>
      </w:r>
      <w:r w:rsidR="003564AB">
        <w:rPr>
          <w:lang w:val="pl-PL"/>
        </w:rPr>
        <w:t xml:space="preserve"> 29 lipca 2017</w:t>
      </w:r>
      <w:r w:rsidR="0009274E">
        <w:rPr>
          <w:lang w:val="pl-PL"/>
        </w:rPr>
        <w:t xml:space="preserve"> </w:t>
      </w:r>
      <w:r w:rsidR="003564AB">
        <w:rPr>
          <w:lang w:val="pl-PL"/>
        </w:rPr>
        <w:t>r. Sąd uznał, że</w:t>
      </w:r>
      <w:r w:rsidR="00B028E2">
        <w:rPr>
          <w:lang w:val="pl-PL"/>
        </w:rPr>
        <w:t> </w:t>
      </w:r>
      <w:r w:rsidRPr="003564AB">
        <w:rPr>
          <w:lang w:val="pl-PL"/>
        </w:rPr>
        <w:t>skarżącemu grozi potencjalnie długa ka</w:t>
      </w:r>
      <w:r w:rsidR="003564AB">
        <w:rPr>
          <w:lang w:val="pl-PL"/>
        </w:rPr>
        <w:t>ra pozbawienia wolności oraz że</w:t>
      </w:r>
      <w:r w:rsidR="00B028E2">
        <w:rPr>
          <w:lang w:val="pl-PL"/>
        </w:rPr>
        <w:t> </w:t>
      </w:r>
      <w:r w:rsidRPr="003564AB">
        <w:rPr>
          <w:lang w:val="pl-PL"/>
        </w:rPr>
        <w:t xml:space="preserve">może on próbować utrudniać postępowanie ze względu na złożoność </w:t>
      </w:r>
      <w:r w:rsidRPr="003564AB">
        <w:rPr>
          <w:lang w:val="pl-PL"/>
        </w:rPr>
        <w:lastRenderedPageBreak/>
        <w:t>śledztwa. W dniu 8 czerwca 2017</w:t>
      </w:r>
      <w:r w:rsidR="0009274E">
        <w:rPr>
          <w:lang w:val="pl-PL"/>
        </w:rPr>
        <w:t xml:space="preserve"> </w:t>
      </w:r>
      <w:r w:rsidRPr="003564AB">
        <w:rPr>
          <w:lang w:val="pl-PL"/>
        </w:rPr>
        <w:t xml:space="preserve">r. Sąd Apelacyjny w Warszawie oddalił </w:t>
      </w:r>
      <w:r w:rsidR="006D3BAE">
        <w:rPr>
          <w:lang w:val="pl-PL"/>
        </w:rPr>
        <w:t>zażalenie</w:t>
      </w:r>
      <w:r w:rsidR="006D3BAE" w:rsidRPr="00F84EC3">
        <w:rPr>
          <w:lang w:val="pl-PL"/>
        </w:rPr>
        <w:t xml:space="preserve"> wniesion</w:t>
      </w:r>
      <w:r w:rsidR="006D3BAE">
        <w:rPr>
          <w:lang w:val="pl-PL"/>
        </w:rPr>
        <w:t>e</w:t>
      </w:r>
      <w:r w:rsidR="006D3BAE" w:rsidRPr="00F84EC3">
        <w:rPr>
          <w:lang w:val="pl-PL"/>
        </w:rPr>
        <w:t xml:space="preserve"> </w:t>
      </w:r>
      <w:r w:rsidRPr="00F84EC3">
        <w:rPr>
          <w:lang w:val="pl-PL"/>
        </w:rPr>
        <w:t xml:space="preserve">przez adwokata skarżącego </w:t>
      </w:r>
      <w:r w:rsidR="006D3BAE">
        <w:rPr>
          <w:lang w:val="pl-PL"/>
        </w:rPr>
        <w:t>na to postanowienie</w:t>
      </w:r>
      <w:r w:rsidRPr="00F84EC3">
        <w:rPr>
          <w:lang w:val="pl-PL"/>
        </w:rPr>
        <w:t>.</w:t>
      </w:r>
    </w:p>
    <w:p w14:paraId="4A5C6EDD" w14:textId="6AE65B56" w:rsidR="00DA2FAE" w:rsidRPr="003564AB" w:rsidRDefault="006B67A5" w:rsidP="009A2C11">
      <w:pPr>
        <w:pStyle w:val="JuPara"/>
        <w:rPr>
          <w:lang w:val="pl-PL"/>
        </w:rPr>
      </w:pPr>
      <w:r w:rsidRPr="00F84EC3">
        <w:rPr>
          <w:lang w:val="pl-PL"/>
        </w:rPr>
        <w:t>16.</w:t>
      </w:r>
      <w:r w:rsidR="0009274E">
        <w:rPr>
          <w:lang w:val="pl-PL"/>
        </w:rPr>
        <w:t xml:space="preserve"> </w:t>
      </w:r>
      <w:r w:rsidRPr="00F84EC3">
        <w:rPr>
          <w:lang w:val="pl-PL"/>
        </w:rPr>
        <w:t>W dniu 24 lipca 2017</w:t>
      </w:r>
      <w:r w:rsidR="0009274E">
        <w:rPr>
          <w:lang w:val="pl-PL"/>
        </w:rPr>
        <w:t xml:space="preserve"> </w:t>
      </w:r>
      <w:r w:rsidRPr="00F84EC3">
        <w:rPr>
          <w:lang w:val="pl-PL"/>
        </w:rPr>
        <w:t>r. tymczasowe aresztowanie skarżącego zostało ponownie przedłużone, do dnia 27 października 2017</w:t>
      </w:r>
      <w:r w:rsidR="0009274E">
        <w:rPr>
          <w:lang w:val="pl-PL"/>
        </w:rPr>
        <w:t xml:space="preserve"> </w:t>
      </w:r>
      <w:r w:rsidRPr="00F84EC3">
        <w:rPr>
          <w:lang w:val="pl-PL"/>
        </w:rPr>
        <w:t>r. Sąd Okręgowy w</w:t>
      </w:r>
      <w:r w:rsidR="00B028E2">
        <w:rPr>
          <w:lang w:val="pl-PL"/>
        </w:rPr>
        <w:t> </w:t>
      </w:r>
      <w:r w:rsidRPr="00F84EC3">
        <w:rPr>
          <w:lang w:val="pl-PL"/>
        </w:rPr>
        <w:t>Warszawie oparł się na tych samych podstawach, co w swoim poprzednim orzeczeniu. W dniu 12 wr</w:t>
      </w:r>
      <w:r w:rsidR="003564AB" w:rsidRPr="00F84EC3">
        <w:rPr>
          <w:lang w:val="pl-PL"/>
        </w:rPr>
        <w:t>ześnia 2017</w:t>
      </w:r>
      <w:r w:rsidR="0009274E">
        <w:rPr>
          <w:lang w:val="pl-PL"/>
        </w:rPr>
        <w:t xml:space="preserve"> </w:t>
      </w:r>
      <w:r w:rsidR="003564AB" w:rsidRPr="00F84EC3">
        <w:rPr>
          <w:lang w:val="pl-PL"/>
        </w:rPr>
        <w:t>r. Sąd Apelacyjny w</w:t>
      </w:r>
      <w:r w:rsidR="0009274E">
        <w:rPr>
          <w:lang w:val="pl-PL"/>
        </w:rPr>
        <w:t xml:space="preserve"> </w:t>
      </w:r>
      <w:r w:rsidRPr="00F84EC3">
        <w:rPr>
          <w:lang w:val="pl-PL"/>
        </w:rPr>
        <w:t xml:space="preserve">Warszawie oddalił </w:t>
      </w:r>
      <w:r w:rsidR="006D3BAE">
        <w:rPr>
          <w:lang w:val="pl-PL"/>
        </w:rPr>
        <w:t>zażalenie</w:t>
      </w:r>
      <w:r w:rsidR="006D3BAE" w:rsidRPr="003564AB">
        <w:rPr>
          <w:lang w:val="pl-PL"/>
        </w:rPr>
        <w:t xml:space="preserve"> </w:t>
      </w:r>
      <w:r w:rsidRPr="003564AB">
        <w:rPr>
          <w:lang w:val="pl-PL"/>
        </w:rPr>
        <w:t xml:space="preserve">skarżącego </w:t>
      </w:r>
      <w:r w:rsidR="006D3BAE">
        <w:rPr>
          <w:lang w:val="pl-PL"/>
        </w:rPr>
        <w:t>na to</w:t>
      </w:r>
      <w:r w:rsidRPr="003564AB">
        <w:rPr>
          <w:lang w:val="pl-PL"/>
        </w:rPr>
        <w:t xml:space="preserve"> orzeczeni</w:t>
      </w:r>
      <w:r w:rsidR="006D3BAE">
        <w:rPr>
          <w:lang w:val="pl-PL"/>
        </w:rPr>
        <w:t>e</w:t>
      </w:r>
      <w:r w:rsidRPr="003564AB">
        <w:rPr>
          <w:lang w:val="pl-PL"/>
        </w:rPr>
        <w:t>.</w:t>
      </w:r>
    </w:p>
    <w:p w14:paraId="571601C1" w14:textId="3C1E98EF" w:rsidR="00DA2FAE" w:rsidRPr="003564AB" w:rsidRDefault="006B67A5" w:rsidP="009A2C11">
      <w:pPr>
        <w:pStyle w:val="JuPara"/>
        <w:rPr>
          <w:lang w:val="pl-PL"/>
        </w:rPr>
      </w:pPr>
      <w:r w:rsidRPr="003564AB">
        <w:rPr>
          <w:lang w:val="pl-PL"/>
        </w:rPr>
        <w:t>17.</w:t>
      </w:r>
      <w:r w:rsidR="0009274E">
        <w:rPr>
          <w:lang w:val="pl-PL"/>
        </w:rPr>
        <w:t xml:space="preserve"> </w:t>
      </w:r>
      <w:r w:rsidRPr="003564AB">
        <w:rPr>
          <w:lang w:val="pl-PL"/>
        </w:rPr>
        <w:t>W dniu 23 października 2017</w:t>
      </w:r>
      <w:r w:rsidR="0009274E">
        <w:rPr>
          <w:lang w:val="pl-PL"/>
        </w:rPr>
        <w:t xml:space="preserve"> </w:t>
      </w:r>
      <w:r w:rsidRPr="003564AB">
        <w:rPr>
          <w:lang w:val="pl-PL"/>
        </w:rPr>
        <w:t>r. Sąd Okręgowy w Warszawie przedłużył tymczasowe aresztowanie skarżącego do dnia 25 stycznia 2018</w:t>
      </w:r>
      <w:r w:rsidR="0009274E">
        <w:rPr>
          <w:lang w:val="pl-PL"/>
        </w:rPr>
        <w:t xml:space="preserve"> </w:t>
      </w:r>
      <w:r w:rsidRPr="003564AB">
        <w:rPr>
          <w:lang w:val="pl-PL"/>
        </w:rPr>
        <w:t xml:space="preserve">r. Sąd ten orzekł, że </w:t>
      </w:r>
      <w:r w:rsidR="00712630">
        <w:rPr>
          <w:lang w:val="pl-PL"/>
        </w:rPr>
        <w:t>poręczenie majątkowe</w:t>
      </w:r>
      <w:r w:rsidRPr="003564AB">
        <w:rPr>
          <w:lang w:val="pl-PL"/>
        </w:rPr>
        <w:t>, niezależnie od je</w:t>
      </w:r>
      <w:r w:rsidR="00712630">
        <w:rPr>
          <w:lang w:val="pl-PL"/>
        </w:rPr>
        <w:t>go</w:t>
      </w:r>
      <w:r w:rsidRPr="003564AB">
        <w:rPr>
          <w:lang w:val="pl-PL"/>
        </w:rPr>
        <w:t xml:space="preserve"> wysokości, nie</w:t>
      </w:r>
      <w:r w:rsidR="00B028E2">
        <w:rPr>
          <w:lang w:val="pl-PL"/>
        </w:rPr>
        <w:t> </w:t>
      </w:r>
      <w:r w:rsidRPr="003564AB">
        <w:rPr>
          <w:lang w:val="pl-PL"/>
        </w:rPr>
        <w:t>może zabezpiecz</w:t>
      </w:r>
      <w:r w:rsidR="00B9467A">
        <w:rPr>
          <w:lang w:val="pl-PL"/>
        </w:rPr>
        <w:t>y</w:t>
      </w:r>
      <w:r w:rsidRPr="003564AB">
        <w:rPr>
          <w:lang w:val="pl-PL"/>
        </w:rPr>
        <w:t>ć prawidłowego toku postępowania. W dniu 19 grudnia 2017</w:t>
      </w:r>
      <w:r w:rsidR="0009274E">
        <w:rPr>
          <w:lang w:val="pl-PL"/>
        </w:rPr>
        <w:t xml:space="preserve"> </w:t>
      </w:r>
      <w:r w:rsidRPr="003564AB">
        <w:rPr>
          <w:lang w:val="pl-PL"/>
        </w:rPr>
        <w:t xml:space="preserve">r. Sąd Apelacyjny w Warszawie oddalił </w:t>
      </w:r>
      <w:r w:rsidR="00712630">
        <w:rPr>
          <w:lang w:val="pl-PL"/>
        </w:rPr>
        <w:t>zażalenie</w:t>
      </w:r>
      <w:r w:rsidR="00712630" w:rsidRPr="003564AB">
        <w:rPr>
          <w:lang w:val="pl-PL"/>
        </w:rPr>
        <w:t xml:space="preserve"> </w:t>
      </w:r>
      <w:r w:rsidRPr="003564AB">
        <w:rPr>
          <w:lang w:val="pl-PL"/>
        </w:rPr>
        <w:t>skarżącego.</w:t>
      </w:r>
    </w:p>
    <w:p w14:paraId="024E316B" w14:textId="52489C4B" w:rsidR="00DA2FAE" w:rsidRPr="003564AB" w:rsidRDefault="006B67A5" w:rsidP="009A2C11">
      <w:pPr>
        <w:pStyle w:val="JuPara"/>
        <w:rPr>
          <w:lang w:val="pl-PL"/>
        </w:rPr>
      </w:pPr>
      <w:r w:rsidRPr="003564AB">
        <w:rPr>
          <w:lang w:val="pl-PL"/>
        </w:rPr>
        <w:t>18.</w:t>
      </w:r>
      <w:r w:rsidR="0009274E">
        <w:rPr>
          <w:lang w:val="pl-PL"/>
        </w:rPr>
        <w:t xml:space="preserve"> </w:t>
      </w:r>
      <w:r w:rsidRPr="003564AB">
        <w:rPr>
          <w:lang w:val="pl-PL"/>
        </w:rPr>
        <w:t>W dniu 24 stycznia 2018</w:t>
      </w:r>
      <w:r w:rsidR="0009274E">
        <w:rPr>
          <w:lang w:val="pl-PL"/>
        </w:rPr>
        <w:t xml:space="preserve"> </w:t>
      </w:r>
      <w:r w:rsidRPr="003564AB">
        <w:rPr>
          <w:lang w:val="pl-PL"/>
        </w:rPr>
        <w:t>r. Sąd Apelacyjny we Wrocławiu przedłużył tymczasowe aresztowanie skar</w:t>
      </w:r>
      <w:r w:rsidR="003564AB">
        <w:rPr>
          <w:lang w:val="pl-PL"/>
        </w:rPr>
        <w:t>żącego do dnia 25 kwietnia 2018</w:t>
      </w:r>
      <w:r w:rsidR="0009274E">
        <w:rPr>
          <w:lang w:val="pl-PL"/>
        </w:rPr>
        <w:t xml:space="preserve"> </w:t>
      </w:r>
      <w:r w:rsidRPr="003564AB">
        <w:rPr>
          <w:lang w:val="pl-PL"/>
        </w:rPr>
        <w:t xml:space="preserve">r. </w:t>
      </w:r>
      <w:bookmarkStart w:id="2" w:name="_Hlk89158152"/>
      <w:r w:rsidRPr="003564AB">
        <w:rPr>
          <w:lang w:val="pl-PL"/>
        </w:rPr>
        <w:t>Stwierdził, że istnieje duże prawdopodobieństwo, że skarżący popełnił zarzucane mu</w:t>
      </w:r>
      <w:r w:rsidR="00B028E2">
        <w:rPr>
          <w:lang w:val="pl-PL"/>
        </w:rPr>
        <w:t> </w:t>
      </w:r>
      <w:r w:rsidRPr="003564AB">
        <w:rPr>
          <w:lang w:val="pl-PL"/>
        </w:rPr>
        <w:t>przestępstwa. Sąd ten orzekł ponadto, że ryzyko utrudniania postępowania przez skarżąceg</w:t>
      </w:r>
      <w:r w:rsidR="003564AB">
        <w:rPr>
          <w:lang w:val="pl-PL"/>
        </w:rPr>
        <w:t>o jest uzasadnione faktem, że</w:t>
      </w:r>
      <w:r w:rsidR="0009274E">
        <w:rPr>
          <w:lang w:val="pl-PL"/>
        </w:rPr>
        <w:t xml:space="preserve"> </w:t>
      </w:r>
      <w:r w:rsidR="003564AB">
        <w:rPr>
          <w:lang w:val="pl-PL"/>
        </w:rPr>
        <w:t>w</w:t>
      </w:r>
      <w:r w:rsidR="0009274E">
        <w:rPr>
          <w:lang w:val="pl-PL"/>
        </w:rPr>
        <w:t xml:space="preserve"> </w:t>
      </w:r>
      <w:r w:rsidRPr="003564AB">
        <w:rPr>
          <w:lang w:val="pl-PL"/>
        </w:rPr>
        <w:t>czasie, gdy był zatrudniony w Biurze Gospodarowania Nieruchomościami</w:t>
      </w:r>
      <w:bookmarkEnd w:id="2"/>
      <w:r w:rsidRPr="003564AB">
        <w:rPr>
          <w:lang w:val="pl-PL"/>
        </w:rPr>
        <w:t>, miał rzekomo grozić śmiercią, aby uniemożliwić osobie odwołanie się od decyzji administracyjn</w:t>
      </w:r>
      <w:r w:rsidR="003564AB">
        <w:rPr>
          <w:lang w:val="pl-PL"/>
        </w:rPr>
        <w:t>ej, której sam był autorem. Sąd</w:t>
      </w:r>
      <w:r w:rsidR="0009274E">
        <w:rPr>
          <w:lang w:val="pl-PL"/>
        </w:rPr>
        <w:t xml:space="preserve"> </w:t>
      </w:r>
      <w:r w:rsidRPr="003564AB">
        <w:rPr>
          <w:lang w:val="pl-PL"/>
        </w:rPr>
        <w:t>uznał również, że przedłużenie aresztu skarżącego było uzasadnione nadzwyczajnymi okolicznościami wynikającymi ze złożoności postępowania.</w:t>
      </w:r>
    </w:p>
    <w:p w14:paraId="0CCA835B" w14:textId="2126B798" w:rsidR="00DA2FAE" w:rsidRPr="003564AB" w:rsidRDefault="006B67A5" w:rsidP="009A2C11">
      <w:pPr>
        <w:pStyle w:val="JuPara"/>
        <w:rPr>
          <w:lang w:val="pl-PL"/>
        </w:rPr>
      </w:pPr>
      <w:r w:rsidRPr="003564AB">
        <w:rPr>
          <w:lang w:val="pl-PL"/>
        </w:rPr>
        <w:t>19.</w:t>
      </w:r>
      <w:r w:rsidR="0009274E">
        <w:rPr>
          <w:lang w:val="pl-PL"/>
        </w:rPr>
        <w:t xml:space="preserve"> </w:t>
      </w:r>
      <w:r w:rsidRPr="003564AB">
        <w:rPr>
          <w:lang w:val="pl-PL"/>
        </w:rPr>
        <w:t>Tenże sąd podtrzymał swoje orzeczenie w dniu 9 marca 2018</w:t>
      </w:r>
      <w:r w:rsidR="0009274E">
        <w:rPr>
          <w:lang w:val="pl-PL"/>
        </w:rPr>
        <w:t xml:space="preserve"> </w:t>
      </w:r>
      <w:r w:rsidRPr="003564AB">
        <w:rPr>
          <w:lang w:val="pl-PL"/>
        </w:rPr>
        <w:t>r.</w:t>
      </w:r>
    </w:p>
    <w:p w14:paraId="501DF75A" w14:textId="649E31AF" w:rsidR="00DA2FAE" w:rsidRPr="003564AB" w:rsidRDefault="006B67A5" w:rsidP="009A2C11">
      <w:pPr>
        <w:pStyle w:val="JuPara"/>
        <w:rPr>
          <w:lang w:val="pl-PL"/>
        </w:rPr>
      </w:pPr>
      <w:r w:rsidRPr="003564AB">
        <w:rPr>
          <w:lang w:val="pl-PL"/>
        </w:rPr>
        <w:t>20.</w:t>
      </w:r>
      <w:r w:rsidR="0009274E">
        <w:rPr>
          <w:lang w:val="pl-PL"/>
        </w:rPr>
        <w:t xml:space="preserve"> </w:t>
      </w:r>
      <w:r w:rsidRPr="003564AB">
        <w:rPr>
          <w:lang w:val="pl-PL"/>
        </w:rPr>
        <w:t>W dniu 30 marca 2018</w:t>
      </w:r>
      <w:r w:rsidR="0009274E">
        <w:rPr>
          <w:lang w:val="pl-PL"/>
        </w:rPr>
        <w:t xml:space="preserve"> </w:t>
      </w:r>
      <w:r w:rsidRPr="003564AB">
        <w:rPr>
          <w:lang w:val="pl-PL"/>
        </w:rPr>
        <w:t>r. prokurator wycofał zarzut korupcji wobec skarżącego.</w:t>
      </w:r>
    </w:p>
    <w:p w14:paraId="28A7187F" w14:textId="3BC564C5" w:rsidR="00DA2FAE" w:rsidRPr="003564AB" w:rsidRDefault="006B67A5" w:rsidP="009A2C11">
      <w:pPr>
        <w:pStyle w:val="JuPara"/>
        <w:rPr>
          <w:lang w:val="pl-PL"/>
        </w:rPr>
      </w:pPr>
      <w:r w:rsidRPr="003564AB">
        <w:rPr>
          <w:lang w:val="pl-PL"/>
        </w:rPr>
        <w:t>21.</w:t>
      </w:r>
      <w:r w:rsidR="0009274E">
        <w:rPr>
          <w:lang w:val="pl-PL"/>
        </w:rPr>
        <w:t xml:space="preserve"> </w:t>
      </w:r>
      <w:r w:rsidRPr="003564AB">
        <w:rPr>
          <w:lang w:val="pl-PL"/>
        </w:rPr>
        <w:t>W dniu 19 kwietnia 2018</w:t>
      </w:r>
      <w:r w:rsidR="0009274E">
        <w:rPr>
          <w:lang w:val="pl-PL"/>
        </w:rPr>
        <w:t xml:space="preserve"> </w:t>
      </w:r>
      <w:r w:rsidRPr="003564AB">
        <w:rPr>
          <w:lang w:val="pl-PL"/>
        </w:rPr>
        <w:t>r. Sąd Apelacyjny we Wrocławiu przedłużył tymczasowe aresztowanie s</w:t>
      </w:r>
      <w:r w:rsidR="003564AB">
        <w:rPr>
          <w:lang w:val="pl-PL"/>
        </w:rPr>
        <w:t>karżącego z zastrzeżeniem, że w</w:t>
      </w:r>
      <w:r w:rsidR="0009274E">
        <w:rPr>
          <w:lang w:val="pl-PL"/>
        </w:rPr>
        <w:t xml:space="preserve"> </w:t>
      </w:r>
      <w:r w:rsidRPr="003564AB">
        <w:rPr>
          <w:lang w:val="pl-PL"/>
        </w:rPr>
        <w:t xml:space="preserve">przypadku </w:t>
      </w:r>
      <w:r w:rsidR="00684C4F">
        <w:rPr>
          <w:lang w:val="pl-PL"/>
        </w:rPr>
        <w:t>złożenia</w:t>
      </w:r>
      <w:r w:rsidR="00684C4F" w:rsidRPr="003564AB">
        <w:rPr>
          <w:lang w:val="pl-PL"/>
        </w:rPr>
        <w:t xml:space="preserve"> </w:t>
      </w:r>
      <w:r w:rsidR="00712630">
        <w:rPr>
          <w:lang w:val="pl-PL"/>
        </w:rPr>
        <w:t>poręczenia majątkowego</w:t>
      </w:r>
      <w:r w:rsidR="00712630" w:rsidRPr="003564AB">
        <w:rPr>
          <w:lang w:val="pl-PL"/>
        </w:rPr>
        <w:t xml:space="preserve"> </w:t>
      </w:r>
      <w:r w:rsidRPr="003564AB">
        <w:rPr>
          <w:lang w:val="pl-PL"/>
        </w:rPr>
        <w:t>w wysokoś</w:t>
      </w:r>
      <w:r w:rsidR="003564AB">
        <w:rPr>
          <w:lang w:val="pl-PL"/>
        </w:rPr>
        <w:t>ci 2 mln złotych (PLN) (500</w:t>
      </w:r>
      <w:r w:rsidR="00B028E2">
        <w:rPr>
          <w:lang w:val="pl-PL"/>
        </w:rPr>
        <w:t> </w:t>
      </w:r>
      <w:r w:rsidR="003564AB">
        <w:rPr>
          <w:lang w:val="pl-PL"/>
        </w:rPr>
        <w:t>000</w:t>
      </w:r>
      <w:r w:rsidR="0009274E">
        <w:rPr>
          <w:lang w:val="pl-PL"/>
        </w:rPr>
        <w:t xml:space="preserve"> </w:t>
      </w:r>
      <w:r w:rsidRPr="003564AB">
        <w:rPr>
          <w:lang w:val="pl-PL"/>
        </w:rPr>
        <w:t>euro (EUR)) zostanie on zwolniony.</w:t>
      </w:r>
    </w:p>
    <w:p w14:paraId="2D637E67" w14:textId="0514B4DE" w:rsidR="00DA2FAE" w:rsidRPr="003564AB" w:rsidRDefault="006B67A5" w:rsidP="009A2C11">
      <w:pPr>
        <w:pStyle w:val="JuPara"/>
        <w:rPr>
          <w:lang w:val="pl-PL"/>
        </w:rPr>
      </w:pPr>
      <w:r w:rsidRPr="003564AB">
        <w:rPr>
          <w:lang w:val="pl-PL"/>
        </w:rPr>
        <w:t>22.</w:t>
      </w:r>
      <w:r w:rsidR="0009274E">
        <w:rPr>
          <w:lang w:val="pl-PL"/>
        </w:rPr>
        <w:t xml:space="preserve"> </w:t>
      </w:r>
      <w:r w:rsidRPr="003564AB">
        <w:rPr>
          <w:lang w:val="pl-PL"/>
        </w:rPr>
        <w:t>W dniu 20 kwietnia 2018</w:t>
      </w:r>
      <w:r w:rsidR="0009274E">
        <w:rPr>
          <w:lang w:val="pl-PL"/>
        </w:rPr>
        <w:t xml:space="preserve"> </w:t>
      </w:r>
      <w:r w:rsidRPr="003564AB">
        <w:rPr>
          <w:lang w:val="pl-PL"/>
        </w:rPr>
        <w:t xml:space="preserve">r. tenże sąd wstrzymał wykonanie wyżej wspomnianego </w:t>
      </w:r>
      <w:r w:rsidR="00684C4F">
        <w:rPr>
          <w:lang w:val="pl-PL"/>
        </w:rPr>
        <w:t>postanowienia</w:t>
      </w:r>
      <w:r w:rsidR="00684C4F" w:rsidRPr="003564AB">
        <w:rPr>
          <w:lang w:val="pl-PL"/>
        </w:rPr>
        <w:t xml:space="preserve"> </w:t>
      </w:r>
      <w:r w:rsidRPr="003564AB">
        <w:rPr>
          <w:lang w:val="pl-PL"/>
        </w:rPr>
        <w:t xml:space="preserve">do czasu rozpoznania </w:t>
      </w:r>
      <w:r w:rsidR="00684C4F">
        <w:rPr>
          <w:lang w:val="pl-PL"/>
        </w:rPr>
        <w:t>zażalenia</w:t>
      </w:r>
      <w:r w:rsidR="00684C4F" w:rsidRPr="003564AB">
        <w:rPr>
          <w:lang w:val="pl-PL"/>
        </w:rPr>
        <w:t xml:space="preserve"> </w:t>
      </w:r>
      <w:r w:rsidRPr="003564AB">
        <w:rPr>
          <w:lang w:val="pl-PL"/>
        </w:rPr>
        <w:t>wniesione</w:t>
      </w:r>
      <w:r w:rsidR="00684C4F">
        <w:rPr>
          <w:lang w:val="pl-PL"/>
        </w:rPr>
        <w:t>go</w:t>
      </w:r>
      <w:r w:rsidRPr="003564AB">
        <w:rPr>
          <w:lang w:val="pl-PL"/>
        </w:rPr>
        <w:t xml:space="preserve"> przez prokuratora.</w:t>
      </w:r>
    </w:p>
    <w:p w14:paraId="5CF50D15" w14:textId="562F5EC6" w:rsidR="00DA2FAE" w:rsidRPr="003564AB" w:rsidRDefault="006B67A5" w:rsidP="009A2C11">
      <w:pPr>
        <w:pStyle w:val="JuPara"/>
        <w:rPr>
          <w:lang w:val="pl-PL"/>
        </w:rPr>
      </w:pPr>
      <w:r w:rsidRPr="003564AB">
        <w:rPr>
          <w:lang w:val="pl-PL"/>
        </w:rPr>
        <w:t>23.</w:t>
      </w:r>
      <w:r w:rsidR="0009274E">
        <w:rPr>
          <w:lang w:val="pl-PL"/>
        </w:rPr>
        <w:t xml:space="preserve"> </w:t>
      </w:r>
      <w:r w:rsidRPr="003564AB">
        <w:rPr>
          <w:lang w:val="pl-PL"/>
        </w:rPr>
        <w:t>W dniu 9 maja 2018</w:t>
      </w:r>
      <w:r w:rsidR="0009274E">
        <w:rPr>
          <w:lang w:val="pl-PL"/>
        </w:rPr>
        <w:t xml:space="preserve"> </w:t>
      </w:r>
      <w:r w:rsidRPr="003564AB">
        <w:rPr>
          <w:lang w:val="pl-PL"/>
        </w:rPr>
        <w:t>r. ten sam s</w:t>
      </w:r>
      <w:r w:rsidR="003564AB">
        <w:rPr>
          <w:lang w:val="pl-PL"/>
        </w:rPr>
        <w:t>ąd uchylił orzeczenie z dnia 19</w:t>
      </w:r>
      <w:r w:rsidR="00B028E2">
        <w:rPr>
          <w:lang w:val="pl-PL"/>
        </w:rPr>
        <w:t> </w:t>
      </w:r>
      <w:r w:rsidRPr="003564AB">
        <w:rPr>
          <w:lang w:val="pl-PL"/>
        </w:rPr>
        <w:t xml:space="preserve">kwietnia 2018 r. w zakresie, w jakim przewidywało </w:t>
      </w:r>
      <w:r w:rsidR="00B67569">
        <w:rPr>
          <w:lang w:val="pl-PL"/>
        </w:rPr>
        <w:t>ono</w:t>
      </w:r>
      <w:r w:rsidR="00B67569" w:rsidRPr="003564AB">
        <w:rPr>
          <w:lang w:val="pl-PL"/>
        </w:rPr>
        <w:t xml:space="preserve"> </w:t>
      </w:r>
      <w:r w:rsidRPr="003564AB">
        <w:rPr>
          <w:lang w:val="pl-PL"/>
        </w:rPr>
        <w:t xml:space="preserve">zwolnienie skarżącego pod warunkiem </w:t>
      </w:r>
      <w:r w:rsidR="00684C4F">
        <w:rPr>
          <w:lang w:val="pl-PL"/>
        </w:rPr>
        <w:t>złożenia poręczenia majątkowego</w:t>
      </w:r>
      <w:r w:rsidRPr="003564AB">
        <w:rPr>
          <w:lang w:val="pl-PL"/>
        </w:rPr>
        <w:t>. Sąd orzekł, że</w:t>
      </w:r>
      <w:r w:rsidR="00B028E2">
        <w:rPr>
          <w:lang w:val="pl-PL"/>
        </w:rPr>
        <w:t> </w:t>
      </w:r>
      <w:r w:rsidRPr="003564AB">
        <w:rPr>
          <w:lang w:val="pl-PL"/>
        </w:rPr>
        <w:t>podczas pracy w</w:t>
      </w:r>
      <w:r w:rsidR="0009274E">
        <w:rPr>
          <w:lang w:val="pl-PL"/>
        </w:rPr>
        <w:t xml:space="preserve"> </w:t>
      </w:r>
      <w:r w:rsidRPr="003564AB">
        <w:rPr>
          <w:lang w:val="pl-PL"/>
        </w:rPr>
        <w:t>Biurze Gospodarowania Nieruchomościami skarżący rzekomo groził śmiercią M.M. (zob. paragraf 18 powyż</w:t>
      </w:r>
      <w:r w:rsidR="003564AB">
        <w:rPr>
          <w:lang w:val="pl-PL"/>
        </w:rPr>
        <w:t>ej) i usiłował nakłonić M.G. do</w:t>
      </w:r>
      <w:r w:rsidR="0009274E">
        <w:rPr>
          <w:lang w:val="pl-PL"/>
        </w:rPr>
        <w:t xml:space="preserve"> </w:t>
      </w:r>
      <w:r w:rsidRPr="003564AB">
        <w:rPr>
          <w:lang w:val="pl-PL"/>
        </w:rPr>
        <w:t xml:space="preserve">zaniedbania przez niego obowiązków na rzecz R.N., </w:t>
      </w:r>
      <w:bookmarkStart w:id="3" w:name="_Hlk89158896"/>
      <w:r w:rsidRPr="003564AB">
        <w:rPr>
          <w:lang w:val="pl-PL"/>
        </w:rPr>
        <w:t xml:space="preserve">co stanowi uzasadnienie ryzyka utrudniania postępowania przez skarżącego. </w:t>
      </w:r>
      <w:bookmarkEnd w:id="3"/>
      <w:r w:rsidR="003564AB">
        <w:rPr>
          <w:lang w:val="pl-PL"/>
        </w:rPr>
        <w:t>Jeden z</w:t>
      </w:r>
      <w:r w:rsidR="00B028E2">
        <w:rPr>
          <w:lang w:val="pl-PL"/>
        </w:rPr>
        <w:t> </w:t>
      </w:r>
      <w:r w:rsidRPr="003564AB">
        <w:rPr>
          <w:lang w:val="pl-PL"/>
        </w:rPr>
        <w:t xml:space="preserve">sędziów zasiadających w składzie orzekającym dołączył </w:t>
      </w:r>
      <w:r w:rsidR="00AE3CF2">
        <w:rPr>
          <w:lang w:val="pl-PL"/>
        </w:rPr>
        <w:t>zdanie odrębne</w:t>
      </w:r>
      <w:r w:rsidRPr="003564AB">
        <w:rPr>
          <w:lang w:val="pl-PL"/>
        </w:rPr>
        <w:t>, w</w:t>
      </w:r>
      <w:r w:rsidR="00B028E2">
        <w:rPr>
          <w:lang w:val="pl-PL"/>
        </w:rPr>
        <w:t> </w:t>
      </w:r>
      <w:r w:rsidRPr="003564AB">
        <w:rPr>
          <w:lang w:val="pl-PL"/>
        </w:rPr>
        <w:t>której wskazał, że areszt tymczasowy powinien być stosowany tylko wtedy, gdy inne środki zapobiegawcze okażą się niewystarczające.</w:t>
      </w:r>
    </w:p>
    <w:p w14:paraId="4003CC66" w14:textId="387555BF" w:rsidR="00DA2FAE" w:rsidRPr="003564AB" w:rsidRDefault="006B67A5" w:rsidP="009A2C11">
      <w:pPr>
        <w:pStyle w:val="JuPara"/>
        <w:rPr>
          <w:lang w:val="pl-PL"/>
        </w:rPr>
      </w:pPr>
      <w:r w:rsidRPr="003564AB">
        <w:rPr>
          <w:lang w:val="pl-PL"/>
        </w:rPr>
        <w:t>24.</w:t>
      </w:r>
      <w:r w:rsidR="0009274E">
        <w:rPr>
          <w:lang w:val="pl-PL"/>
        </w:rPr>
        <w:t xml:space="preserve"> </w:t>
      </w:r>
      <w:r w:rsidRPr="003564AB">
        <w:rPr>
          <w:lang w:val="pl-PL"/>
        </w:rPr>
        <w:t>W dniu 16 lipca 2018</w:t>
      </w:r>
      <w:r w:rsidR="0009274E">
        <w:rPr>
          <w:lang w:val="pl-PL"/>
        </w:rPr>
        <w:t xml:space="preserve"> </w:t>
      </w:r>
      <w:r w:rsidRPr="003564AB">
        <w:rPr>
          <w:lang w:val="pl-PL"/>
        </w:rPr>
        <w:t xml:space="preserve">r. Sąd Apelacyjny we Wrocławiu ponownie przedłużył tymczasowe aresztowanie skarżącego do dnia 21 października </w:t>
      </w:r>
      <w:r w:rsidRPr="003564AB">
        <w:rPr>
          <w:lang w:val="pl-PL"/>
        </w:rPr>
        <w:lastRenderedPageBreak/>
        <w:t>2018</w:t>
      </w:r>
      <w:r w:rsidR="0009274E">
        <w:rPr>
          <w:lang w:val="pl-PL"/>
        </w:rPr>
        <w:t xml:space="preserve"> </w:t>
      </w:r>
      <w:r w:rsidRPr="003564AB">
        <w:rPr>
          <w:lang w:val="pl-PL"/>
        </w:rPr>
        <w:t xml:space="preserve">r. Sąd powołał się na nadzwyczajną złożoność sprawy i stwierdził, </w:t>
      </w:r>
      <w:r w:rsidR="003564AB">
        <w:rPr>
          <w:lang w:val="pl-PL"/>
        </w:rPr>
        <w:t>że</w:t>
      </w:r>
      <w:r w:rsidR="00B028E2">
        <w:rPr>
          <w:lang w:val="pl-PL"/>
        </w:rPr>
        <w:t> </w:t>
      </w:r>
      <w:r w:rsidRPr="003564AB">
        <w:rPr>
          <w:lang w:val="pl-PL"/>
        </w:rPr>
        <w:t>istnieje wysokie ryzyko, że skarżący będzie utrudniał postępowanie.</w:t>
      </w:r>
    </w:p>
    <w:p w14:paraId="6CC542DD" w14:textId="2B341D64" w:rsidR="00DA2FAE" w:rsidRPr="003564AB" w:rsidRDefault="006B67A5" w:rsidP="009A2C11">
      <w:pPr>
        <w:pStyle w:val="JuPara"/>
        <w:rPr>
          <w:lang w:val="pl-PL"/>
        </w:rPr>
      </w:pPr>
      <w:r w:rsidRPr="003564AB">
        <w:rPr>
          <w:lang w:val="pl-PL"/>
        </w:rPr>
        <w:t>25.</w:t>
      </w:r>
      <w:r w:rsidR="0009274E">
        <w:rPr>
          <w:lang w:val="pl-PL"/>
        </w:rPr>
        <w:t xml:space="preserve"> </w:t>
      </w:r>
      <w:r w:rsidRPr="003564AB">
        <w:rPr>
          <w:lang w:val="pl-PL"/>
        </w:rPr>
        <w:t>W dniu 8 października 2018</w:t>
      </w:r>
      <w:r w:rsidR="0009274E">
        <w:rPr>
          <w:lang w:val="pl-PL"/>
        </w:rPr>
        <w:t xml:space="preserve"> </w:t>
      </w:r>
      <w:r w:rsidRPr="003564AB">
        <w:rPr>
          <w:lang w:val="pl-PL"/>
        </w:rPr>
        <w:t>r. do Sądu Okręgowego w Warszawie został wniesiony akt oskarżenia przec</w:t>
      </w:r>
      <w:r w:rsidR="003564AB">
        <w:rPr>
          <w:lang w:val="pl-PL"/>
        </w:rPr>
        <w:t>iwko skarżącemu. Oskarżono go o</w:t>
      </w:r>
      <w:r w:rsidR="00B028E2">
        <w:rPr>
          <w:lang w:val="pl-PL"/>
        </w:rPr>
        <w:t> </w:t>
      </w:r>
      <w:r w:rsidRPr="003564AB">
        <w:rPr>
          <w:lang w:val="pl-PL"/>
        </w:rPr>
        <w:t xml:space="preserve">osiem przestępstw, w tym przyjmowanie </w:t>
      </w:r>
      <w:r w:rsidR="00AE3CF2">
        <w:rPr>
          <w:lang w:val="pl-PL"/>
        </w:rPr>
        <w:t>korzyści majątkowych</w:t>
      </w:r>
      <w:r w:rsidRPr="003564AB">
        <w:rPr>
          <w:lang w:val="pl-PL"/>
        </w:rPr>
        <w:t xml:space="preserve">, </w:t>
      </w:r>
      <w:r w:rsidRPr="002400B9">
        <w:rPr>
          <w:lang w:val="pl-PL"/>
        </w:rPr>
        <w:t>płatną protekcję, pranie pieniędzy i nadużycie władzy</w:t>
      </w:r>
      <w:r w:rsidRPr="003564AB">
        <w:rPr>
          <w:lang w:val="pl-PL"/>
        </w:rPr>
        <w:t>. Prokurator wniósł o</w:t>
      </w:r>
      <w:r w:rsidR="00B028E2">
        <w:rPr>
          <w:lang w:val="pl-PL"/>
        </w:rPr>
        <w:t> </w:t>
      </w:r>
      <w:r w:rsidRPr="003564AB">
        <w:rPr>
          <w:lang w:val="pl-PL"/>
        </w:rPr>
        <w:t>przesłuchanie 177 świadków i odczytanie zeznań kolejnych tr</w:t>
      </w:r>
      <w:r w:rsidR="003564AB">
        <w:rPr>
          <w:lang w:val="pl-PL"/>
        </w:rPr>
        <w:t>zydziestu pięciu świadków. Akta</w:t>
      </w:r>
      <w:r w:rsidR="0009274E">
        <w:rPr>
          <w:lang w:val="pl-PL"/>
        </w:rPr>
        <w:t xml:space="preserve"> </w:t>
      </w:r>
      <w:r w:rsidRPr="003564AB">
        <w:rPr>
          <w:lang w:val="pl-PL"/>
        </w:rPr>
        <w:t>sprawy liczyły 434 tomy.</w:t>
      </w:r>
    </w:p>
    <w:p w14:paraId="66A30202" w14:textId="702F6D0F" w:rsidR="00DA2FAE" w:rsidRPr="003564AB" w:rsidRDefault="006B67A5" w:rsidP="009A2C11">
      <w:pPr>
        <w:pStyle w:val="JuPara"/>
        <w:rPr>
          <w:lang w:val="pl-PL"/>
        </w:rPr>
      </w:pPr>
      <w:r w:rsidRPr="003564AB">
        <w:rPr>
          <w:lang w:val="pl-PL"/>
        </w:rPr>
        <w:t>26.</w:t>
      </w:r>
      <w:r w:rsidR="0009274E">
        <w:rPr>
          <w:lang w:val="pl-PL"/>
        </w:rPr>
        <w:t xml:space="preserve"> </w:t>
      </w:r>
      <w:r w:rsidRPr="003564AB">
        <w:rPr>
          <w:lang w:val="pl-PL"/>
        </w:rPr>
        <w:t>W dniu 18 października 2018</w:t>
      </w:r>
      <w:r w:rsidR="0009274E">
        <w:rPr>
          <w:lang w:val="pl-PL"/>
        </w:rPr>
        <w:t xml:space="preserve"> </w:t>
      </w:r>
      <w:r w:rsidRPr="003564AB">
        <w:rPr>
          <w:lang w:val="pl-PL"/>
        </w:rPr>
        <w:t>r. ten sam sąd przedłużył tymczasowe aresztowanie skarżącego do dnia 19 styczni</w:t>
      </w:r>
      <w:r w:rsidR="003564AB">
        <w:rPr>
          <w:lang w:val="pl-PL"/>
        </w:rPr>
        <w:t>a 2019 r. z zastrzeżeniem, że</w:t>
      </w:r>
      <w:r w:rsidR="00B028E2">
        <w:rPr>
          <w:lang w:val="pl-PL"/>
        </w:rPr>
        <w:t> </w:t>
      </w:r>
      <w:r w:rsidR="003564AB">
        <w:rPr>
          <w:lang w:val="pl-PL"/>
        </w:rPr>
        <w:t>w</w:t>
      </w:r>
      <w:r w:rsidR="00B028E2">
        <w:rPr>
          <w:lang w:val="pl-PL"/>
        </w:rPr>
        <w:t> </w:t>
      </w:r>
      <w:r w:rsidRPr="003564AB">
        <w:rPr>
          <w:lang w:val="pl-PL"/>
        </w:rPr>
        <w:t xml:space="preserve">przypadku </w:t>
      </w:r>
      <w:r w:rsidR="00C012CF">
        <w:rPr>
          <w:lang w:val="pl-PL"/>
        </w:rPr>
        <w:t>złożenia poręczenia majątkowego</w:t>
      </w:r>
      <w:r w:rsidRPr="003564AB">
        <w:rPr>
          <w:lang w:val="pl-PL"/>
        </w:rPr>
        <w:t xml:space="preserve"> w </w:t>
      </w:r>
      <w:r w:rsidR="00C40DFB">
        <w:rPr>
          <w:lang w:val="pl-PL"/>
        </w:rPr>
        <w:t>wysokości</w:t>
      </w:r>
      <w:r w:rsidR="00C40DFB" w:rsidRPr="003564AB">
        <w:rPr>
          <w:lang w:val="pl-PL"/>
        </w:rPr>
        <w:t xml:space="preserve"> </w:t>
      </w:r>
      <w:r w:rsidRPr="003564AB">
        <w:rPr>
          <w:lang w:val="pl-PL"/>
        </w:rPr>
        <w:t>2 mln PLN (500</w:t>
      </w:r>
      <w:r w:rsidR="0009274E">
        <w:rPr>
          <w:lang w:val="pl-PL"/>
        </w:rPr>
        <w:t xml:space="preserve"> </w:t>
      </w:r>
      <w:r w:rsidRPr="003564AB">
        <w:rPr>
          <w:lang w:val="pl-PL"/>
        </w:rPr>
        <w:t>000 EUR) zostanie on zwolniony. W dniu 19 listopada 2018</w:t>
      </w:r>
      <w:r w:rsidR="0009274E">
        <w:rPr>
          <w:lang w:val="pl-PL"/>
        </w:rPr>
        <w:t xml:space="preserve"> </w:t>
      </w:r>
      <w:r w:rsidR="00723AE1">
        <w:rPr>
          <w:lang w:val="pl-PL"/>
        </w:rPr>
        <w:t xml:space="preserve">r. </w:t>
      </w:r>
      <w:r w:rsidRPr="003564AB">
        <w:rPr>
          <w:lang w:val="pl-PL"/>
        </w:rPr>
        <w:t>Sąd</w:t>
      </w:r>
      <w:r w:rsidR="00B028E2">
        <w:rPr>
          <w:lang w:val="pl-PL"/>
        </w:rPr>
        <w:t> </w:t>
      </w:r>
      <w:r w:rsidRPr="003564AB">
        <w:rPr>
          <w:lang w:val="pl-PL"/>
        </w:rPr>
        <w:t>Apelacyjny w</w:t>
      </w:r>
      <w:r w:rsidR="0009274E">
        <w:rPr>
          <w:lang w:val="pl-PL"/>
        </w:rPr>
        <w:t xml:space="preserve"> </w:t>
      </w:r>
      <w:r w:rsidRPr="003564AB">
        <w:rPr>
          <w:lang w:val="pl-PL"/>
        </w:rPr>
        <w:t xml:space="preserve">Warszawie podwyższył wysokość </w:t>
      </w:r>
      <w:r w:rsidR="00C012CF">
        <w:rPr>
          <w:lang w:val="pl-PL"/>
        </w:rPr>
        <w:t xml:space="preserve">poręczenia majątkowego </w:t>
      </w:r>
      <w:r w:rsidR="003564AB">
        <w:rPr>
          <w:lang w:val="pl-PL"/>
        </w:rPr>
        <w:t>o kolejne 500</w:t>
      </w:r>
      <w:r w:rsidR="0009274E">
        <w:rPr>
          <w:lang w:val="pl-PL"/>
        </w:rPr>
        <w:t xml:space="preserve"> </w:t>
      </w:r>
      <w:r w:rsidR="003564AB">
        <w:rPr>
          <w:lang w:val="pl-PL"/>
        </w:rPr>
        <w:t>000 PLN (125</w:t>
      </w:r>
      <w:r w:rsidR="0009274E">
        <w:rPr>
          <w:lang w:val="pl-PL"/>
        </w:rPr>
        <w:t xml:space="preserve"> </w:t>
      </w:r>
      <w:r w:rsidR="003564AB">
        <w:rPr>
          <w:lang w:val="pl-PL"/>
        </w:rPr>
        <w:t>000</w:t>
      </w:r>
      <w:r w:rsidR="0009274E">
        <w:rPr>
          <w:lang w:val="pl-PL"/>
        </w:rPr>
        <w:t xml:space="preserve"> </w:t>
      </w:r>
      <w:r w:rsidRPr="003564AB">
        <w:rPr>
          <w:lang w:val="pl-PL"/>
        </w:rPr>
        <w:t>EUR).</w:t>
      </w:r>
    </w:p>
    <w:p w14:paraId="1690EBF5" w14:textId="079F3704" w:rsidR="00DA2FAE" w:rsidRPr="003564AB" w:rsidRDefault="006B67A5" w:rsidP="009A2C11">
      <w:pPr>
        <w:pStyle w:val="JuPara"/>
        <w:rPr>
          <w:lang w:val="pl-PL"/>
        </w:rPr>
      </w:pPr>
      <w:r w:rsidRPr="003564AB">
        <w:rPr>
          <w:lang w:val="pl-PL"/>
        </w:rPr>
        <w:t>27.</w:t>
      </w:r>
      <w:r w:rsidR="0009274E">
        <w:rPr>
          <w:lang w:val="pl-PL"/>
        </w:rPr>
        <w:t xml:space="preserve"> </w:t>
      </w:r>
      <w:r w:rsidRPr="003564AB">
        <w:rPr>
          <w:lang w:val="pl-PL"/>
        </w:rPr>
        <w:t>W dniu 20 grudnia 2018</w:t>
      </w:r>
      <w:r w:rsidR="0009274E">
        <w:rPr>
          <w:lang w:val="pl-PL"/>
        </w:rPr>
        <w:t xml:space="preserve"> </w:t>
      </w:r>
      <w:r w:rsidRPr="003564AB">
        <w:rPr>
          <w:lang w:val="pl-PL"/>
        </w:rPr>
        <w:t>r. Sąd Okręgowy w Warszawie przedłużył tymczasowe aresztowanie skarżącego do dnia 30 stycznia 2019</w:t>
      </w:r>
      <w:r w:rsidR="0009274E">
        <w:rPr>
          <w:lang w:val="pl-PL"/>
        </w:rPr>
        <w:t xml:space="preserve"> </w:t>
      </w:r>
      <w:r w:rsidRPr="003564AB">
        <w:rPr>
          <w:lang w:val="pl-PL"/>
        </w:rPr>
        <w:t>r.</w:t>
      </w:r>
    </w:p>
    <w:p w14:paraId="50B8D8B0" w14:textId="471C2C7D" w:rsidR="00DA2FAE" w:rsidRPr="003564AB" w:rsidRDefault="006B67A5" w:rsidP="009A2C11">
      <w:pPr>
        <w:pStyle w:val="JuPara"/>
        <w:rPr>
          <w:lang w:val="pl-PL"/>
        </w:rPr>
      </w:pPr>
      <w:r w:rsidRPr="003564AB">
        <w:rPr>
          <w:lang w:val="pl-PL"/>
        </w:rPr>
        <w:t>28.</w:t>
      </w:r>
      <w:r w:rsidR="0009274E">
        <w:rPr>
          <w:lang w:val="pl-PL"/>
        </w:rPr>
        <w:t xml:space="preserve"> </w:t>
      </w:r>
      <w:r w:rsidRPr="003564AB">
        <w:rPr>
          <w:lang w:val="pl-PL"/>
        </w:rPr>
        <w:t>W dniu 11 stycznia 2019</w:t>
      </w:r>
      <w:r w:rsidR="0009274E">
        <w:rPr>
          <w:lang w:val="pl-PL"/>
        </w:rPr>
        <w:t xml:space="preserve"> </w:t>
      </w:r>
      <w:r w:rsidRPr="003564AB">
        <w:rPr>
          <w:lang w:val="pl-PL"/>
        </w:rPr>
        <w:t xml:space="preserve">r. ten sam sąd wyraził zgodę na obciążenie nieruchomości skarżącego w celu zabezpieczenia </w:t>
      </w:r>
      <w:r w:rsidR="00C012CF">
        <w:rPr>
          <w:lang w:val="pl-PL"/>
        </w:rPr>
        <w:t>poręczenia majątkowego</w:t>
      </w:r>
      <w:r w:rsidR="00C012CF" w:rsidRPr="003564AB">
        <w:rPr>
          <w:lang w:val="pl-PL"/>
        </w:rPr>
        <w:t xml:space="preserve"> </w:t>
      </w:r>
      <w:r w:rsidRPr="003564AB">
        <w:rPr>
          <w:lang w:val="pl-PL"/>
        </w:rPr>
        <w:t>i</w:t>
      </w:r>
      <w:r w:rsidR="00B028E2">
        <w:rPr>
          <w:lang w:val="pl-PL"/>
        </w:rPr>
        <w:t> </w:t>
      </w:r>
      <w:r w:rsidRPr="003564AB">
        <w:rPr>
          <w:lang w:val="pl-PL"/>
        </w:rPr>
        <w:t>tego dnia skarżący został zwolniony z aresztu.</w:t>
      </w:r>
    </w:p>
    <w:p w14:paraId="5E5DCB1A" w14:textId="1AA71D2B" w:rsidR="00DA2FAE" w:rsidRPr="003564AB" w:rsidRDefault="006B67A5" w:rsidP="009A2C11">
      <w:pPr>
        <w:pStyle w:val="JuPara"/>
        <w:rPr>
          <w:lang w:val="pl-PL"/>
        </w:rPr>
      </w:pPr>
      <w:r w:rsidRPr="003564AB">
        <w:rPr>
          <w:lang w:val="pl-PL"/>
        </w:rPr>
        <w:t>29.</w:t>
      </w:r>
      <w:r w:rsidR="0009274E">
        <w:rPr>
          <w:lang w:val="pl-PL"/>
        </w:rPr>
        <w:t xml:space="preserve"> </w:t>
      </w:r>
      <w:r w:rsidRPr="003564AB">
        <w:rPr>
          <w:lang w:val="pl-PL"/>
        </w:rPr>
        <w:t>W dniu 25 maja 2021</w:t>
      </w:r>
      <w:r w:rsidR="0009274E">
        <w:rPr>
          <w:lang w:val="pl-PL"/>
        </w:rPr>
        <w:t xml:space="preserve"> </w:t>
      </w:r>
      <w:r w:rsidRPr="003564AB">
        <w:rPr>
          <w:lang w:val="pl-PL"/>
        </w:rPr>
        <w:t xml:space="preserve">r. Sąd Okręgowy w Warszawie </w:t>
      </w:r>
      <w:bookmarkStart w:id="4" w:name="_Hlk86227850"/>
      <w:r w:rsidRPr="003564AB">
        <w:rPr>
          <w:lang w:val="pl-PL"/>
        </w:rPr>
        <w:t xml:space="preserve">nieprawomocnym wyrokiem uniewinnił skarżącego </w:t>
      </w:r>
      <w:r w:rsidR="000E6D78">
        <w:rPr>
          <w:lang w:val="pl-PL"/>
        </w:rPr>
        <w:t>z</w:t>
      </w:r>
      <w:r w:rsidR="000E6D78" w:rsidRPr="003564AB">
        <w:rPr>
          <w:lang w:val="pl-PL"/>
        </w:rPr>
        <w:t xml:space="preserve"> </w:t>
      </w:r>
      <w:r w:rsidRPr="003564AB">
        <w:rPr>
          <w:lang w:val="pl-PL"/>
        </w:rPr>
        <w:t>zarzutów sfałszowania podpisu i oszustwa</w:t>
      </w:r>
      <w:bookmarkEnd w:id="4"/>
      <w:r w:rsidRPr="003564AB">
        <w:rPr>
          <w:lang w:val="pl-PL"/>
        </w:rPr>
        <w:t>.</w:t>
      </w:r>
    </w:p>
    <w:p w14:paraId="4F458541" w14:textId="1816AE40" w:rsidR="00DA2FAE" w:rsidRPr="003564AB" w:rsidRDefault="006B67A5" w:rsidP="009A2C11">
      <w:pPr>
        <w:pStyle w:val="JuPara"/>
        <w:rPr>
          <w:lang w:val="pl-PL"/>
        </w:rPr>
      </w:pPr>
      <w:r w:rsidRPr="003564AB">
        <w:rPr>
          <w:lang w:val="pl-PL"/>
        </w:rPr>
        <w:t>30.</w:t>
      </w:r>
      <w:r w:rsidR="0009274E">
        <w:rPr>
          <w:lang w:val="pl-PL"/>
        </w:rPr>
        <w:t xml:space="preserve"> </w:t>
      </w:r>
      <w:r w:rsidRPr="003564AB">
        <w:rPr>
          <w:lang w:val="pl-PL"/>
        </w:rPr>
        <w:t>Postępowanie karne przeciwko skarżącemu jest w toku.</w:t>
      </w:r>
    </w:p>
    <w:p w14:paraId="3915DC2A" w14:textId="77777777" w:rsidR="00DA2FAE" w:rsidRPr="003564AB" w:rsidRDefault="00DA2FAE" w:rsidP="009A2C11">
      <w:pPr>
        <w:pStyle w:val="JuHHead"/>
        <w:rPr>
          <w:lang w:val="pl-PL"/>
        </w:rPr>
      </w:pPr>
      <w:r w:rsidRPr="003564AB">
        <w:rPr>
          <w:bCs w:val="0"/>
          <w:lang w:val="pl-PL"/>
        </w:rPr>
        <w:t>WŁAŚCIWE RAMY PRAWNE I PRAKTYKA</w:t>
      </w:r>
    </w:p>
    <w:p w14:paraId="16AC1106" w14:textId="110003F7" w:rsidR="00DA2FAE" w:rsidRPr="003564AB" w:rsidRDefault="00DA2FAE" w:rsidP="009A2C11">
      <w:pPr>
        <w:pStyle w:val="JuPara"/>
        <w:rPr>
          <w:lang w:val="pl-PL"/>
        </w:rPr>
      </w:pPr>
      <w:r w:rsidRPr="003564AB">
        <w:rPr>
          <w:lang w:val="pl-PL"/>
        </w:rPr>
        <w:t>31.</w:t>
      </w:r>
      <w:r w:rsidR="0009274E">
        <w:rPr>
          <w:lang w:val="pl-PL"/>
        </w:rPr>
        <w:t xml:space="preserve"> </w:t>
      </w:r>
      <w:r w:rsidRPr="003564AB">
        <w:rPr>
          <w:lang w:val="pl-PL"/>
        </w:rPr>
        <w:t xml:space="preserve">Odpowiednie prawo krajowe i praktyka dotycząca stosowania tymczasowego aresztowania, podstaw do </w:t>
      </w:r>
      <w:r w:rsidR="003564AB">
        <w:rPr>
          <w:lang w:val="pl-PL"/>
        </w:rPr>
        <w:t>jego przedłużenia, zwolnienia z</w:t>
      </w:r>
      <w:r w:rsidR="00B028E2">
        <w:rPr>
          <w:lang w:val="pl-PL"/>
        </w:rPr>
        <w:t> </w:t>
      </w:r>
      <w:r w:rsidRPr="003564AB">
        <w:rPr>
          <w:lang w:val="pl-PL"/>
        </w:rPr>
        <w:t xml:space="preserve">aresztu oraz zasad dotyczących innych tzw. środków zapobiegawczych przedstawiono w sprawach: </w:t>
      </w:r>
      <w:r w:rsidRPr="003564AB">
        <w:rPr>
          <w:i/>
          <w:iCs/>
          <w:lang w:val="pl-PL"/>
        </w:rPr>
        <w:t>Gołek przeciwko Polsce</w:t>
      </w:r>
      <w:r w:rsidRPr="003564AB">
        <w:rPr>
          <w:lang w:val="pl-PL"/>
        </w:rPr>
        <w:t xml:space="preserve"> (nr 31330/02, §§ 27–33, 25 kwietnia 2006</w:t>
      </w:r>
      <w:r w:rsidR="0009274E">
        <w:rPr>
          <w:lang w:val="pl-PL"/>
        </w:rPr>
        <w:t xml:space="preserve"> </w:t>
      </w:r>
      <w:r w:rsidRPr="003564AB">
        <w:rPr>
          <w:lang w:val="pl-PL"/>
        </w:rPr>
        <w:t xml:space="preserve">r.); </w:t>
      </w:r>
      <w:r w:rsidRPr="003564AB">
        <w:rPr>
          <w:i/>
          <w:iCs/>
          <w:lang w:val="pl-PL"/>
        </w:rPr>
        <w:t>Celejewski przeciwko Polsce</w:t>
      </w:r>
      <w:r w:rsidRPr="003564AB">
        <w:rPr>
          <w:lang w:val="pl-PL"/>
        </w:rPr>
        <w:t xml:space="preserve"> (nr 17584/04, §§ 22–23, 4</w:t>
      </w:r>
      <w:r w:rsidR="00B028E2">
        <w:rPr>
          <w:lang w:val="pl-PL"/>
        </w:rPr>
        <w:t> </w:t>
      </w:r>
      <w:r w:rsidRPr="003564AB">
        <w:rPr>
          <w:lang w:val="pl-PL"/>
        </w:rPr>
        <w:t>maja 2006</w:t>
      </w:r>
      <w:r w:rsidR="0009274E">
        <w:rPr>
          <w:lang w:val="pl-PL"/>
        </w:rPr>
        <w:t xml:space="preserve"> </w:t>
      </w:r>
      <w:r w:rsidRPr="003564AB">
        <w:rPr>
          <w:lang w:val="pl-PL"/>
        </w:rPr>
        <w:t xml:space="preserve">r.); oraz </w:t>
      </w:r>
      <w:r w:rsidRPr="003564AB">
        <w:rPr>
          <w:i/>
          <w:iCs/>
          <w:lang w:val="pl-PL"/>
        </w:rPr>
        <w:t>Kauczor przeciwko Polsce</w:t>
      </w:r>
      <w:r w:rsidRPr="003564AB">
        <w:rPr>
          <w:lang w:val="pl-PL"/>
        </w:rPr>
        <w:t xml:space="preserve"> (nr 45219/06, §§ 26–27, 3</w:t>
      </w:r>
      <w:r w:rsidR="00B028E2">
        <w:rPr>
          <w:lang w:val="pl-PL"/>
        </w:rPr>
        <w:t> </w:t>
      </w:r>
      <w:r w:rsidRPr="003564AB">
        <w:rPr>
          <w:lang w:val="pl-PL"/>
        </w:rPr>
        <w:t>lutego 2009</w:t>
      </w:r>
      <w:r w:rsidR="0009274E">
        <w:rPr>
          <w:lang w:val="pl-PL"/>
        </w:rPr>
        <w:t xml:space="preserve"> </w:t>
      </w:r>
      <w:r w:rsidRPr="003564AB">
        <w:rPr>
          <w:lang w:val="pl-PL"/>
        </w:rPr>
        <w:t>r.).</w:t>
      </w:r>
    </w:p>
    <w:p w14:paraId="6215DDE2" w14:textId="77777777" w:rsidR="00DA2FAE" w:rsidRPr="003564AB" w:rsidRDefault="00DA2FAE" w:rsidP="009A2C11">
      <w:pPr>
        <w:pStyle w:val="JuHHead"/>
        <w:rPr>
          <w:lang w:val="pl-PL"/>
        </w:rPr>
      </w:pPr>
      <w:r w:rsidRPr="003564AB">
        <w:rPr>
          <w:bCs w:val="0"/>
          <w:lang w:val="pl-PL"/>
        </w:rPr>
        <w:t>PRAWO</w:t>
      </w:r>
    </w:p>
    <w:p w14:paraId="7BEE049C" w14:textId="759E25BD" w:rsidR="00DA2FAE" w:rsidRPr="003564AB" w:rsidRDefault="007F075A" w:rsidP="009A2C11">
      <w:pPr>
        <w:pStyle w:val="JuHIRoman"/>
        <w:rPr>
          <w:lang w:val="pl-PL"/>
        </w:rPr>
      </w:pPr>
      <w:r>
        <w:rPr>
          <w:bCs w:val="0"/>
          <w:lang w:val="pl-PL"/>
        </w:rPr>
        <w:t>ZARZUC</w:t>
      </w:r>
      <w:r w:rsidRPr="003564AB">
        <w:rPr>
          <w:bCs w:val="0"/>
          <w:lang w:val="pl-PL"/>
        </w:rPr>
        <w:t xml:space="preserve">ANE </w:t>
      </w:r>
      <w:r w:rsidR="00DA2FAE" w:rsidRPr="003564AB">
        <w:rPr>
          <w:bCs w:val="0"/>
          <w:lang w:val="pl-PL"/>
        </w:rPr>
        <w:t>NARUSZENIE ART.</w:t>
      </w:r>
      <w:r w:rsidR="0009274E">
        <w:rPr>
          <w:bCs w:val="0"/>
          <w:lang w:val="pl-PL"/>
        </w:rPr>
        <w:t xml:space="preserve"> </w:t>
      </w:r>
      <w:r w:rsidR="00DA2FAE" w:rsidRPr="003564AB">
        <w:rPr>
          <w:bCs w:val="0"/>
          <w:lang w:val="pl-PL"/>
        </w:rPr>
        <w:t>5 UST.</w:t>
      </w:r>
      <w:r w:rsidR="0009274E">
        <w:rPr>
          <w:bCs w:val="0"/>
          <w:lang w:val="pl-PL"/>
        </w:rPr>
        <w:t xml:space="preserve"> </w:t>
      </w:r>
      <w:r w:rsidR="00DA2FAE" w:rsidRPr="003564AB">
        <w:rPr>
          <w:bCs w:val="0"/>
          <w:lang w:val="pl-PL"/>
        </w:rPr>
        <w:t>3 KONWENCJI</w:t>
      </w:r>
    </w:p>
    <w:p w14:paraId="7533C8E2" w14:textId="6A32B45C" w:rsidR="00DA2FAE" w:rsidRPr="003564AB" w:rsidRDefault="00DA2FAE" w:rsidP="009A2C11">
      <w:pPr>
        <w:pStyle w:val="JuPara"/>
        <w:rPr>
          <w:lang w:val="pl-PL"/>
        </w:rPr>
      </w:pPr>
      <w:r w:rsidRPr="003564AB">
        <w:rPr>
          <w:lang w:val="pl-PL"/>
        </w:rPr>
        <w:t>32.</w:t>
      </w:r>
      <w:r w:rsidR="0009274E">
        <w:rPr>
          <w:lang w:val="pl-PL"/>
        </w:rPr>
        <w:t xml:space="preserve"> </w:t>
      </w:r>
      <w:r w:rsidRPr="003564AB">
        <w:rPr>
          <w:lang w:val="pl-PL"/>
        </w:rPr>
        <w:t>Skarżący zarzucił, że okres jego tymczasowego aresztowania był nadmiernie wydłużony. Powołał się na art.</w:t>
      </w:r>
      <w:r w:rsidR="0009274E">
        <w:rPr>
          <w:lang w:val="pl-PL"/>
        </w:rPr>
        <w:t xml:space="preserve"> </w:t>
      </w:r>
      <w:r w:rsidRPr="003564AB">
        <w:rPr>
          <w:lang w:val="pl-PL"/>
        </w:rPr>
        <w:t>5 ust.</w:t>
      </w:r>
      <w:r w:rsidR="0009274E">
        <w:rPr>
          <w:lang w:val="pl-PL"/>
        </w:rPr>
        <w:t xml:space="preserve"> </w:t>
      </w:r>
      <w:r w:rsidRPr="003564AB">
        <w:rPr>
          <w:lang w:val="pl-PL"/>
        </w:rPr>
        <w:t>3 Konwencji, który ma następujące brzmienie:</w:t>
      </w:r>
    </w:p>
    <w:p w14:paraId="5EAE7BD0" w14:textId="77777777" w:rsidR="00DA2FAE" w:rsidRPr="003564AB" w:rsidRDefault="00DA2FAE" w:rsidP="009A2C11">
      <w:pPr>
        <w:pStyle w:val="JuQuot"/>
        <w:rPr>
          <w:lang w:val="pl-PL"/>
        </w:rPr>
      </w:pPr>
      <w:r w:rsidRPr="003564AB">
        <w:rPr>
          <w:lang w:val="pl-PL"/>
        </w:rPr>
        <w:t>„Każdy zatrzymany lub aresztowany zgodnie z postanowieniami ustępu 1 lit. c) niniejszego artyk</w:t>
      </w:r>
      <w:r w:rsidR="00577BB7">
        <w:rPr>
          <w:lang w:val="pl-PL"/>
        </w:rPr>
        <w:t xml:space="preserve">ułu [...] ma prawo być sądzony </w:t>
      </w:r>
      <w:r w:rsidRPr="003564AB">
        <w:rPr>
          <w:lang w:val="pl-PL"/>
        </w:rPr>
        <w:t xml:space="preserve">w rozsądnym terminie albo zwolniony </w:t>
      </w:r>
      <w:r w:rsidRPr="003564AB">
        <w:rPr>
          <w:lang w:val="pl-PL"/>
        </w:rPr>
        <w:lastRenderedPageBreak/>
        <w:t>na czas postępowania. Zwolnienie może zostać uzależnione od udzielenia gwarancji zapewniających stawienie się na rozprawę”.</w:t>
      </w:r>
    </w:p>
    <w:p w14:paraId="66D0C230" w14:textId="77777777" w:rsidR="00DA2FAE" w:rsidRPr="003564AB" w:rsidRDefault="00DA2FAE" w:rsidP="009A2C11">
      <w:pPr>
        <w:pStyle w:val="JuHA"/>
        <w:rPr>
          <w:lang w:val="pl-PL"/>
        </w:rPr>
      </w:pPr>
      <w:r w:rsidRPr="003564AB">
        <w:rPr>
          <w:lang w:val="pl-PL"/>
        </w:rPr>
        <w:t>Dopuszczalność</w:t>
      </w:r>
    </w:p>
    <w:p w14:paraId="71B68D4B" w14:textId="363E0BC2" w:rsidR="00DA2FAE" w:rsidRPr="003564AB" w:rsidRDefault="00DA2FAE" w:rsidP="009A2C11">
      <w:pPr>
        <w:pStyle w:val="JuPara"/>
        <w:rPr>
          <w:lang w:val="pl-PL"/>
        </w:rPr>
      </w:pPr>
      <w:r w:rsidRPr="003564AB">
        <w:rPr>
          <w:lang w:val="pl-PL"/>
        </w:rPr>
        <w:t>33.</w:t>
      </w:r>
      <w:r w:rsidR="0009274E">
        <w:rPr>
          <w:lang w:val="pl-PL"/>
        </w:rPr>
        <w:t xml:space="preserve"> </w:t>
      </w:r>
      <w:r w:rsidRPr="003564AB">
        <w:rPr>
          <w:lang w:val="pl-PL"/>
        </w:rPr>
        <w:t>Rząd twierdził, że skarga powinna zostać uznana za niedopuszczalną ze względu na jej w sposób oczywisty nieuzasadniony charakter.</w:t>
      </w:r>
    </w:p>
    <w:p w14:paraId="035758A2" w14:textId="0555DF42" w:rsidR="00DA2FAE" w:rsidRPr="003564AB" w:rsidRDefault="00DA2FAE" w:rsidP="009A2C11">
      <w:pPr>
        <w:pStyle w:val="JuPara"/>
        <w:rPr>
          <w:lang w:val="pl-PL"/>
        </w:rPr>
      </w:pPr>
      <w:r w:rsidRPr="003564AB">
        <w:rPr>
          <w:lang w:val="pl-PL"/>
        </w:rPr>
        <w:t>34.</w:t>
      </w:r>
      <w:r w:rsidR="0009274E">
        <w:rPr>
          <w:lang w:val="pl-PL"/>
        </w:rPr>
        <w:t xml:space="preserve"> </w:t>
      </w:r>
      <w:r w:rsidRPr="003564AB">
        <w:rPr>
          <w:lang w:val="pl-PL"/>
        </w:rPr>
        <w:t>Skarżący nie zgodził się z tym stwierdzeniem.</w:t>
      </w:r>
    </w:p>
    <w:p w14:paraId="48EFDEFF" w14:textId="412B8413" w:rsidR="00DA2FAE" w:rsidRPr="003564AB" w:rsidRDefault="00DA2FAE" w:rsidP="009A2C11">
      <w:pPr>
        <w:pStyle w:val="JuPara"/>
        <w:rPr>
          <w:lang w:val="pl-PL"/>
        </w:rPr>
      </w:pPr>
      <w:r w:rsidRPr="003564AB">
        <w:rPr>
          <w:lang w:val="pl-PL"/>
        </w:rPr>
        <w:t>35.</w:t>
      </w:r>
      <w:r w:rsidR="0009274E">
        <w:rPr>
          <w:lang w:val="pl-PL"/>
        </w:rPr>
        <w:t xml:space="preserve"> </w:t>
      </w:r>
      <w:r w:rsidRPr="003564AB">
        <w:rPr>
          <w:lang w:val="pl-PL"/>
        </w:rPr>
        <w:t>Trybunał stwierdza, że skarga nie jest ani w sposób oczywisty nieuzasadniona, ani niedopuszczalna na jakiejkolwiek innej podstawie wymienionej w art.</w:t>
      </w:r>
      <w:r w:rsidR="0009274E">
        <w:rPr>
          <w:lang w:val="pl-PL"/>
        </w:rPr>
        <w:t xml:space="preserve"> </w:t>
      </w:r>
      <w:r w:rsidRPr="003564AB">
        <w:rPr>
          <w:lang w:val="pl-PL"/>
        </w:rPr>
        <w:t>35 Konwencji. Należy zatem uznać ją za dopuszczalną.</w:t>
      </w:r>
    </w:p>
    <w:p w14:paraId="354AB38E" w14:textId="77777777" w:rsidR="00DA2FAE" w:rsidRPr="003564AB" w:rsidRDefault="00DA2FAE" w:rsidP="009A2C11">
      <w:pPr>
        <w:pStyle w:val="JuHA"/>
        <w:rPr>
          <w:lang w:val="pl-PL"/>
        </w:rPr>
      </w:pPr>
      <w:r w:rsidRPr="003564AB">
        <w:rPr>
          <w:lang w:val="pl-PL"/>
        </w:rPr>
        <w:t>Przedmiot skargi</w:t>
      </w:r>
    </w:p>
    <w:p w14:paraId="0DD71D0A" w14:textId="77777777" w:rsidR="00DA2FAE" w:rsidRPr="003564AB" w:rsidRDefault="00DA2FAE" w:rsidP="009A2C11">
      <w:pPr>
        <w:pStyle w:val="JuH1"/>
        <w:rPr>
          <w:lang w:val="pl-PL"/>
        </w:rPr>
      </w:pPr>
      <w:r w:rsidRPr="003564AB">
        <w:rPr>
          <w:bCs w:val="0"/>
          <w:lang w:val="pl-PL"/>
        </w:rPr>
        <w:t>Stanowiska stron</w:t>
      </w:r>
    </w:p>
    <w:p w14:paraId="1081C2EE" w14:textId="77777777" w:rsidR="00DA2FAE" w:rsidRPr="003564AB" w:rsidRDefault="00DA2FAE" w:rsidP="009A2C11">
      <w:pPr>
        <w:pStyle w:val="JuHa0"/>
        <w:rPr>
          <w:lang w:val="pl-PL"/>
        </w:rPr>
      </w:pPr>
      <w:r w:rsidRPr="003564AB">
        <w:rPr>
          <w:lang w:val="pl-PL"/>
        </w:rPr>
        <w:t>Skarżący</w:t>
      </w:r>
    </w:p>
    <w:p w14:paraId="5D1FE413" w14:textId="3D76AB8A" w:rsidR="00DA2FAE" w:rsidRPr="003564AB" w:rsidRDefault="00DA2FAE" w:rsidP="009A2C11">
      <w:pPr>
        <w:pStyle w:val="JuPara"/>
        <w:rPr>
          <w:lang w:val="pl-PL"/>
        </w:rPr>
      </w:pPr>
      <w:r w:rsidRPr="003564AB">
        <w:rPr>
          <w:lang w:val="pl-PL"/>
        </w:rPr>
        <w:t>36.</w:t>
      </w:r>
      <w:r w:rsidR="0009274E">
        <w:rPr>
          <w:lang w:val="pl-PL"/>
        </w:rPr>
        <w:t xml:space="preserve"> </w:t>
      </w:r>
      <w:r w:rsidRPr="003564AB">
        <w:rPr>
          <w:lang w:val="pl-PL"/>
        </w:rPr>
        <w:t>Skarżący zarzucił, że długość jego tymczasowego aresztowania była nieuzasadniona.</w:t>
      </w:r>
    </w:p>
    <w:p w14:paraId="2B7D8EE9" w14:textId="6074370E" w:rsidR="00DA2FAE" w:rsidRPr="003564AB" w:rsidRDefault="006B67A5" w:rsidP="009A2C11">
      <w:pPr>
        <w:pStyle w:val="JuPara"/>
        <w:rPr>
          <w:lang w:val="pl-PL"/>
        </w:rPr>
      </w:pPr>
      <w:r w:rsidRPr="003564AB">
        <w:rPr>
          <w:lang w:val="pl-PL"/>
        </w:rPr>
        <w:t>37.</w:t>
      </w:r>
      <w:r w:rsidR="0009274E">
        <w:rPr>
          <w:lang w:val="pl-PL"/>
        </w:rPr>
        <w:t xml:space="preserve"> </w:t>
      </w:r>
      <w:r w:rsidRPr="003564AB">
        <w:rPr>
          <w:lang w:val="pl-PL"/>
        </w:rPr>
        <w:t>Podnosi</w:t>
      </w:r>
      <w:r w:rsidR="00B8353B">
        <w:rPr>
          <w:lang w:val="pl-PL"/>
        </w:rPr>
        <w:t>ł</w:t>
      </w:r>
      <w:r w:rsidRPr="003564AB">
        <w:rPr>
          <w:lang w:val="pl-PL"/>
        </w:rPr>
        <w:t>, że sądy krajowe automatycznie przedłużały okres jego tymczasowego aresztowania, powołując się za każdym razem na zasadniczo te same powody. Skarżący podkreślił również, że jego zatrzymanie miało miejsce kilka miesięcy po tym, jak tak zwana „afera reprywatyzacyjna” znalazła się w centrum uwagi opinii publicznej, a zatem miał on</w:t>
      </w:r>
      <w:r w:rsidR="00B028E2">
        <w:rPr>
          <w:lang w:val="pl-PL"/>
        </w:rPr>
        <w:t> </w:t>
      </w:r>
      <w:r w:rsidRPr="003564AB">
        <w:rPr>
          <w:lang w:val="pl-PL"/>
        </w:rPr>
        <w:t>wystarczająco dużo czasu, aby podjąć próbę utrudnienia śledztwa lub ukryć się. Tymczasem zdecydował się na współpracę z agentami Centralnego Biura Antykorupcyjnego.</w:t>
      </w:r>
    </w:p>
    <w:p w14:paraId="0AE04A9A" w14:textId="135C94EB" w:rsidR="00DA2FAE" w:rsidRPr="003564AB" w:rsidRDefault="006B67A5" w:rsidP="009A2C11">
      <w:pPr>
        <w:pStyle w:val="JuPara"/>
        <w:rPr>
          <w:lang w:val="pl-PL"/>
        </w:rPr>
      </w:pPr>
      <w:r w:rsidRPr="003564AB">
        <w:rPr>
          <w:lang w:val="pl-PL"/>
        </w:rPr>
        <w:t>38.</w:t>
      </w:r>
      <w:r w:rsidR="0009274E">
        <w:rPr>
          <w:lang w:val="pl-PL"/>
        </w:rPr>
        <w:t xml:space="preserve"> </w:t>
      </w:r>
      <w:r w:rsidRPr="003564AB">
        <w:rPr>
          <w:lang w:val="pl-PL"/>
        </w:rPr>
        <w:t>Skarżący podniósł ponadto, że jego tymczasowe aresztowanie miało negatywny wpływ na jego rodzinę, w tym na córkę, która cierpiała na</w:t>
      </w:r>
      <w:r w:rsidR="00B028E2">
        <w:rPr>
          <w:lang w:val="pl-PL"/>
        </w:rPr>
        <w:t> </w:t>
      </w:r>
      <w:r w:rsidRPr="003564AB">
        <w:rPr>
          <w:lang w:val="pl-PL"/>
        </w:rPr>
        <w:t>depresję</w:t>
      </w:r>
      <w:r w:rsidR="00132C18">
        <w:rPr>
          <w:lang w:val="pl-PL"/>
        </w:rPr>
        <w:t>.</w:t>
      </w:r>
      <w:r w:rsidRPr="003564AB">
        <w:rPr>
          <w:lang w:val="pl-PL"/>
        </w:rPr>
        <w:t xml:space="preserve"> Stwierdził, że nigdy nie otrząsnęła się z traumy spowodowanej jego aresztowaniem i popełniła samobójstwo na początku lipca 2020</w:t>
      </w:r>
      <w:r w:rsidR="0009274E">
        <w:rPr>
          <w:lang w:val="pl-PL"/>
        </w:rPr>
        <w:t xml:space="preserve"> </w:t>
      </w:r>
      <w:r w:rsidRPr="003564AB">
        <w:rPr>
          <w:lang w:val="pl-PL"/>
        </w:rPr>
        <w:t>r.</w:t>
      </w:r>
    </w:p>
    <w:p w14:paraId="599AB422" w14:textId="77777777" w:rsidR="00DA2FAE" w:rsidRPr="003564AB" w:rsidRDefault="00DA2FAE" w:rsidP="009A2C11">
      <w:pPr>
        <w:pStyle w:val="JuHa0"/>
        <w:rPr>
          <w:lang w:val="pl-PL"/>
        </w:rPr>
      </w:pPr>
      <w:r w:rsidRPr="003564AB">
        <w:rPr>
          <w:lang w:val="pl-PL"/>
        </w:rPr>
        <w:t>Rząd</w:t>
      </w:r>
    </w:p>
    <w:p w14:paraId="1EFD736A" w14:textId="4624BFBF" w:rsidR="00DA2FAE" w:rsidRPr="003564AB" w:rsidRDefault="006B67A5" w:rsidP="009A2C11">
      <w:pPr>
        <w:pStyle w:val="JuPara"/>
        <w:rPr>
          <w:lang w:val="pl-PL"/>
        </w:rPr>
      </w:pPr>
      <w:r w:rsidRPr="003564AB">
        <w:rPr>
          <w:lang w:val="pl-PL"/>
        </w:rPr>
        <w:t>39.</w:t>
      </w:r>
      <w:r w:rsidR="0009274E">
        <w:rPr>
          <w:lang w:val="pl-PL"/>
        </w:rPr>
        <w:t xml:space="preserve"> </w:t>
      </w:r>
      <w:r w:rsidRPr="003564AB">
        <w:rPr>
          <w:lang w:val="pl-PL"/>
        </w:rPr>
        <w:t xml:space="preserve">Rząd stwierdził, że długość </w:t>
      </w:r>
      <w:r w:rsidR="00B8353B">
        <w:rPr>
          <w:lang w:val="pl-PL"/>
        </w:rPr>
        <w:t>pozbawienia wolności</w:t>
      </w:r>
      <w:r w:rsidR="003564AB">
        <w:rPr>
          <w:lang w:val="pl-PL"/>
        </w:rPr>
        <w:t xml:space="preserve"> skarżącego była zgodna ze</w:t>
      </w:r>
      <w:r w:rsidR="0009274E">
        <w:rPr>
          <w:lang w:val="pl-PL"/>
        </w:rPr>
        <w:t xml:space="preserve"> </w:t>
      </w:r>
      <w:r w:rsidRPr="003564AB">
        <w:rPr>
          <w:lang w:val="pl-PL"/>
        </w:rPr>
        <w:t>standardami mającymi zastosowanie na podst</w:t>
      </w:r>
      <w:r w:rsidR="003564AB">
        <w:rPr>
          <w:lang w:val="pl-PL"/>
        </w:rPr>
        <w:t>awie art.</w:t>
      </w:r>
      <w:r w:rsidR="0009274E">
        <w:rPr>
          <w:lang w:val="pl-PL"/>
        </w:rPr>
        <w:t xml:space="preserve"> </w:t>
      </w:r>
      <w:r w:rsidR="003564AB">
        <w:rPr>
          <w:lang w:val="pl-PL"/>
        </w:rPr>
        <w:t>5 ust.</w:t>
      </w:r>
      <w:r w:rsidR="0009274E">
        <w:rPr>
          <w:lang w:val="pl-PL"/>
        </w:rPr>
        <w:t xml:space="preserve"> </w:t>
      </w:r>
      <w:r w:rsidR="003564AB">
        <w:rPr>
          <w:lang w:val="pl-PL"/>
        </w:rPr>
        <w:t>3 Konwencji, a</w:t>
      </w:r>
      <w:r w:rsidR="0009274E">
        <w:rPr>
          <w:lang w:val="pl-PL"/>
        </w:rPr>
        <w:t xml:space="preserve"> </w:t>
      </w:r>
      <w:r w:rsidRPr="003564AB">
        <w:rPr>
          <w:lang w:val="pl-PL"/>
        </w:rPr>
        <w:t>zatem nie wykazywała naruszenia tego przepisu. Rząd podniósł, że powody wymienione w decyzjach sądów krajowych były „istotne” i „</w:t>
      </w:r>
      <w:r w:rsidR="00E87F78">
        <w:rPr>
          <w:lang w:val="pl-PL"/>
        </w:rPr>
        <w:t>wystarczające</w:t>
      </w:r>
      <w:r w:rsidRPr="003564AB">
        <w:rPr>
          <w:lang w:val="pl-PL"/>
        </w:rPr>
        <w:t xml:space="preserve">” dla uzasadnienia całego okresu </w:t>
      </w:r>
      <w:r w:rsidR="00B8353B">
        <w:rPr>
          <w:lang w:val="pl-PL"/>
        </w:rPr>
        <w:t xml:space="preserve">aresztowania </w:t>
      </w:r>
      <w:r w:rsidRPr="003564AB">
        <w:rPr>
          <w:lang w:val="pl-PL"/>
        </w:rPr>
        <w:t xml:space="preserve">skarżącego. Rząd w szczególności odniósł się do złożoności sprawy, liczby podejrzanych oraz faktu, że skarżący już wcześniej groził śmiercią jednej osobie i podżegał inną osobę do zaniedbywania obowiązków. Podkreślił również, że uzasadnione podejrzenie winy skarżącego utrzymywało się przez cały okres jego </w:t>
      </w:r>
      <w:r w:rsidR="00B8353B">
        <w:rPr>
          <w:lang w:val="pl-PL"/>
        </w:rPr>
        <w:t>pozbawienia wolności</w:t>
      </w:r>
      <w:r w:rsidRPr="003564AB">
        <w:rPr>
          <w:lang w:val="pl-PL"/>
        </w:rPr>
        <w:t>. Rząd argumentował, że mając do</w:t>
      </w:r>
      <w:r w:rsidR="00B028E2">
        <w:rPr>
          <w:lang w:val="pl-PL"/>
        </w:rPr>
        <w:t> </w:t>
      </w:r>
      <w:r w:rsidRPr="003564AB">
        <w:rPr>
          <w:lang w:val="pl-PL"/>
        </w:rPr>
        <w:t>czynienia z potencjalnie surową karą, skarżący mógł próbować zakłócić przebieg postępowania.</w:t>
      </w:r>
    </w:p>
    <w:p w14:paraId="7C417508" w14:textId="77777777" w:rsidR="00DA2FAE" w:rsidRPr="003564AB" w:rsidRDefault="00DA2FAE" w:rsidP="009A2C11">
      <w:pPr>
        <w:pStyle w:val="JuH1"/>
        <w:rPr>
          <w:lang w:val="pl-PL"/>
        </w:rPr>
      </w:pPr>
      <w:r w:rsidRPr="003564AB">
        <w:rPr>
          <w:bCs w:val="0"/>
          <w:lang w:val="pl-PL"/>
        </w:rPr>
        <w:lastRenderedPageBreak/>
        <w:t>Ocena Trybunału</w:t>
      </w:r>
    </w:p>
    <w:p w14:paraId="7633B7B4" w14:textId="77777777" w:rsidR="00DA2FAE" w:rsidRPr="003564AB" w:rsidRDefault="00DA2FAE" w:rsidP="009A2C11">
      <w:pPr>
        <w:pStyle w:val="JuHa0"/>
        <w:numPr>
          <w:ilvl w:val="4"/>
          <w:numId w:val="3"/>
        </w:numPr>
        <w:ind w:left="975" w:hanging="340"/>
        <w:rPr>
          <w:lang w:val="pl-PL"/>
        </w:rPr>
      </w:pPr>
      <w:r w:rsidRPr="003564AB">
        <w:rPr>
          <w:lang w:val="pl-PL"/>
        </w:rPr>
        <w:t>Zasady ogólne</w:t>
      </w:r>
    </w:p>
    <w:p w14:paraId="391B61B6" w14:textId="5A10CB3E" w:rsidR="00DA2FAE" w:rsidRPr="003564AB" w:rsidRDefault="006B67A5" w:rsidP="009A2C11">
      <w:pPr>
        <w:pStyle w:val="JuPara"/>
        <w:rPr>
          <w:lang w:val="pl-PL"/>
        </w:rPr>
      </w:pPr>
      <w:r w:rsidRPr="003564AB">
        <w:rPr>
          <w:lang w:val="pl-PL"/>
        </w:rPr>
        <w:t>40.</w:t>
      </w:r>
      <w:r w:rsidR="0009274E">
        <w:rPr>
          <w:lang w:val="pl-PL"/>
        </w:rPr>
        <w:t xml:space="preserve"> </w:t>
      </w:r>
      <w:r w:rsidRPr="003564AB">
        <w:rPr>
          <w:lang w:val="pl-PL"/>
        </w:rPr>
        <w:t xml:space="preserve">Trybunał przypomina, że zasady </w:t>
      </w:r>
      <w:r w:rsidR="00B8353B" w:rsidRPr="003564AB">
        <w:rPr>
          <w:lang w:val="pl-PL"/>
        </w:rPr>
        <w:t xml:space="preserve">ogólne </w:t>
      </w:r>
      <w:r w:rsidRPr="003564AB">
        <w:rPr>
          <w:lang w:val="pl-PL"/>
        </w:rPr>
        <w:t>dotyczące prawa do procesu w rozsądnym terminie lub do zwolnienia w oczekiwaniu na proces, gwarantowane</w:t>
      </w:r>
      <w:r w:rsidR="00B8353B">
        <w:rPr>
          <w:lang w:val="pl-PL"/>
        </w:rPr>
        <w:t>go</w:t>
      </w:r>
      <w:r w:rsidRPr="003564AB">
        <w:rPr>
          <w:lang w:val="pl-PL"/>
        </w:rPr>
        <w:t xml:space="preserve"> przez art. 5 ust. 3 Konwencji, zostały określone w wielu jego poprzednich wyrokach (zob. m.in., </w:t>
      </w:r>
      <w:r w:rsidRPr="00577BB7">
        <w:rPr>
          <w:i/>
          <w:lang w:val="pl-PL"/>
        </w:rPr>
        <w:t>Kudła przeciwko Polsce</w:t>
      </w:r>
      <w:r w:rsidRPr="003564AB">
        <w:rPr>
          <w:lang w:val="pl-PL"/>
        </w:rPr>
        <w:t xml:space="preserve"> [WI], nr</w:t>
      </w:r>
      <w:r w:rsidR="00B028E2">
        <w:rPr>
          <w:lang w:val="pl-PL"/>
        </w:rPr>
        <w:t> </w:t>
      </w:r>
      <w:r w:rsidRPr="003564AB">
        <w:rPr>
          <w:lang w:val="pl-PL"/>
        </w:rPr>
        <w:t xml:space="preserve">30210/96, §§ 110 i nast., </w:t>
      </w:r>
      <w:r w:rsidR="007F075A">
        <w:rPr>
          <w:lang w:val="pl-PL"/>
        </w:rPr>
        <w:t>ETPC</w:t>
      </w:r>
      <w:r w:rsidRPr="003564AB">
        <w:rPr>
          <w:lang w:val="pl-PL"/>
        </w:rPr>
        <w:t xml:space="preserve"> 2000-XI; </w:t>
      </w:r>
      <w:r w:rsidRPr="00577BB7">
        <w:rPr>
          <w:i/>
          <w:lang w:val="pl-PL"/>
        </w:rPr>
        <w:t>McKay przeciwko Zjednoczonemu Królestwu</w:t>
      </w:r>
      <w:r w:rsidRPr="003564AB">
        <w:rPr>
          <w:lang w:val="pl-PL"/>
        </w:rPr>
        <w:t xml:space="preserve"> [WI], nr 54</w:t>
      </w:r>
      <w:r w:rsidR="003564AB">
        <w:rPr>
          <w:lang w:val="pl-PL"/>
        </w:rPr>
        <w:t xml:space="preserve">3/03, §§ 41–44, </w:t>
      </w:r>
      <w:r w:rsidR="007F075A">
        <w:rPr>
          <w:lang w:val="pl-PL"/>
        </w:rPr>
        <w:t>ETPC</w:t>
      </w:r>
      <w:r w:rsidR="003564AB">
        <w:rPr>
          <w:lang w:val="pl-PL"/>
        </w:rPr>
        <w:t xml:space="preserve"> 2006-X, i</w:t>
      </w:r>
      <w:r w:rsidR="00B028E2">
        <w:rPr>
          <w:lang w:val="pl-PL"/>
        </w:rPr>
        <w:t> </w:t>
      </w:r>
      <w:r w:rsidRPr="003564AB">
        <w:rPr>
          <w:lang w:val="pl-PL"/>
        </w:rPr>
        <w:t>przytoczone tam orzecznictwo; oraz</w:t>
      </w:r>
      <w:r w:rsidRPr="00577BB7">
        <w:rPr>
          <w:i/>
          <w:lang w:val="pl-PL"/>
        </w:rPr>
        <w:t xml:space="preserve"> Buzadji przeciwko Republice Mołdawii</w:t>
      </w:r>
      <w:r w:rsidRPr="003564AB">
        <w:rPr>
          <w:lang w:val="pl-PL"/>
        </w:rPr>
        <w:t xml:space="preserve"> [WI], nr 23755/07, §§ 84–91, 5 lipca 2016</w:t>
      </w:r>
      <w:r w:rsidR="0009274E">
        <w:rPr>
          <w:lang w:val="pl-PL"/>
        </w:rPr>
        <w:t xml:space="preserve"> </w:t>
      </w:r>
      <w:r w:rsidRPr="003564AB">
        <w:rPr>
          <w:lang w:val="pl-PL"/>
        </w:rPr>
        <w:t>r.).</w:t>
      </w:r>
    </w:p>
    <w:p w14:paraId="6A805D8E" w14:textId="5151E10A" w:rsidR="00DA2FAE" w:rsidRPr="003564AB" w:rsidRDefault="00B8353B" w:rsidP="009A2C11">
      <w:pPr>
        <w:pStyle w:val="JuHa0"/>
        <w:numPr>
          <w:ilvl w:val="4"/>
          <w:numId w:val="3"/>
        </w:numPr>
        <w:ind w:left="975" w:hanging="340"/>
        <w:rPr>
          <w:lang w:val="pl-PL"/>
        </w:rPr>
      </w:pPr>
      <w:r>
        <w:rPr>
          <w:lang w:val="pl-PL"/>
        </w:rPr>
        <w:t>Zas</w:t>
      </w:r>
      <w:r w:rsidR="00DA2FAE" w:rsidRPr="003564AB">
        <w:rPr>
          <w:lang w:val="pl-PL"/>
        </w:rPr>
        <w:t>tosowanie powyższych zasad w niniejszej sprawie</w:t>
      </w:r>
    </w:p>
    <w:p w14:paraId="5991F3A4" w14:textId="795B879C" w:rsidR="00DA2FAE" w:rsidRPr="003564AB" w:rsidRDefault="006B67A5" w:rsidP="009A2C11">
      <w:pPr>
        <w:pStyle w:val="JuPara"/>
        <w:rPr>
          <w:lang w:val="pl-PL"/>
        </w:rPr>
      </w:pPr>
      <w:r w:rsidRPr="003564AB">
        <w:rPr>
          <w:lang w:val="pl-PL"/>
        </w:rPr>
        <w:t>41.</w:t>
      </w:r>
      <w:r w:rsidR="0009274E">
        <w:rPr>
          <w:lang w:val="pl-PL"/>
        </w:rPr>
        <w:t xml:space="preserve"> </w:t>
      </w:r>
      <w:r w:rsidRPr="003564AB">
        <w:rPr>
          <w:lang w:val="pl-PL"/>
        </w:rPr>
        <w:t>Trybunał na wstępie zauważa, że tymczasowe aresztowanie skarżącego trwało od 30 stycznia 2017</w:t>
      </w:r>
      <w:r w:rsidR="0009274E">
        <w:rPr>
          <w:lang w:val="pl-PL"/>
        </w:rPr>
        <w:t xml:space="preserve"> </w:t>
      </w:r>
      <w:r w:rsidRPr="003564AB">
        <w:rPr>
          <w:lang w:val="pl-PL"/>
        </w:rPr>
        <w:t>r., kiedy to został on zatrzymany pod zarzutem korupcji i oszustwa na dużą skalę, do 11 stycznia 2019</w:t>
      </w:r>
      <w:r w:rsidR="0009274E">
        <w:rPr>
          <w:lang w:val="pl-PL"/>
        </w:rPr>
        <w:t xml:space="preserve"> </w:t>
      </w:r>
      <w:r w:rsidRPr="003564AB">
        <w:rPr>
          <w:lang w:val="pl-PL"/>
        </w:rPr>
        <w:t>r., kiedy został zwolniony za kaucją (zob. p</w:t>
      </w:r>
      <w:r w:rsidR="003564AB">
        <w:rPr>
          <w:lang w:val="pl-PL"/>
        </w:rPr>
        <w:t>aragrafy 11–13 i 28 powyżej). W</w:t>
      </w:r>
      <w:r w:rsidR="0009274E">
        <w:rPr>
          <w:lang w:val="pl-PL"/>
        </w:rPr>
        <w:t xml:space="preserve"> </w:t>
      </w:r>
      <w:r w:rsidRPr="003564AB">
        <w:rPr>
          <w:lang w:val="pl-PL"/>
        </w:rPr>
        <w:t>związku z tym okres, który należy wzią</w:t>
      </w:r>
      <w:r w:rsidR="003564AB">
        <w:rPr>
          <w:lang w:val="pl-PL"/>
        </w:rPr>
        <w:t>ć pod uwagę, wynosi jeden rok i</w:t>
      </w:r>
      <w:r w:rsidR="0009274E">
        <w:rPr>
          <w:lang w:val="pl-PL"/>
        </w:rPr>
        <w:t xml:space="preserve"> </w:t>
      </w:r>
      <w:r w:rsidRPr="003564AB">
        <w:rPr>
          <w:lang w:val="pl-PL"/>
        </w:rPr>
        <w:t>jedenaście miesięcy.</w:t>
      </w:r>
    </w:p>
    <w:p w14:paraId="4F3CB95D" w14:textId="1038B718" w:rsidR="00DA2FAE" w:rsidRPr="003564AB" w:rsidRDefault="006B67A5" w:rsidP="009A2C11">
      <w:pPr>
        <w:pStyle w:val="JuPara"/>
        <w:rPr>
          <w:lang w:val="pl-PL"/>
        </w:rPr>
      </w:pPr>
      <w:r w:rsidRPr="003564AB">
        <w:rPr>
          <w:lang w:val="pl-PL"/>
        </w:rPr>
        <w:t>42.</w:t>
      </w:r>
      <w:r w:rsidR="0009274E">
        <w:rPr>
          <w:lang w:val="pl-PL"/>
        </w:rPr>
        <w:t xml:space="preserve"> </w:t>
      </w:r>
      <w:r w:rsidRPr="003564AB">
        <w:rPr>
          <w:lang w:val="pl-PL"/>
        </w:rPr>
        <w:t xml:space="preserve">Trybunał </w:t>
      </w:r>
      <w:r w:rsidR="00DF7B26" w:rsidRPr="003564AB">
        <w:rPr>
          <w:lang w:val="pl-PL"/>
        </w:rPr>
        <w:t>zauważ</w:t>
      </w:r>
      <w:r w:rsidR="00DF7B26">
        <w:rPr>
          <w:lang w:val="pl-PL"/>
        </w:rPr>
        <w:t>a</w:t>
      </w:r>
      <w:r w:rsidR="00DF7B26" w:rsidRPr="003564AB">
        <w:rPr>
          <w:lang w:val="pl-PL"/>
        </w:rPr>
        <w:t xml:space="preserve"> </w:t>
      </w:r>
      <w:r w:rsidRPr="003564AB">
        <w:rPr>
          <w:lang w:val="pl-PL"/>
        </w:rPr>
        <w:t>ponadto, że w swoich orzeczeniach dotyczących tymczasowego aresztowania skarżącego sądy krajowe opierały się głównie na uzasadnionym podejrzeniu wobec skarżącego, wzmocnionym przez bliskie więzi łączące go z innymi podejrzanymi, surowość kary, któr</w:t>
      </w:r>
      <w:r w:rsidR="00107080">
        <w:rPr>
          <w:lang w:val="pl-PL"/>
        </w:rPr>
        <w:t>ą był zagrożony</w:t>
      </w:r>
      <w:r w:rsidR="00B93F7E">
        <w:rPr>
          <w:lang w:val="pl-PL"/>
        </w:rPr>
        <w:t>,</w:t>
      </w:r>
      <w:r w:rsidRPr="003564AB">
        <w:rPr>
          <w:lang w:val="pl-PL"/>
        </w:rPr>
        <w:t xml:space="preserve"> oraz ryzyko utrudniania przez niego postępowania. Dwukrotnie sąd krajowy odniósł się również do faktu, że skarżący groził śmiercią, aby</w:t>
      </w:r>
      <w:r w:rsidR="00B028E2">
        <w:rPr>
          <w:lang w:val="pl-PL"/>
        </w:rPr>
        <w:t> </w:t>
      </w:r>
      <w:r w:rsidRPr="003564AB">
        <w:rPr>
          <w:lang w:val="pl-PL"/>
        </w:rPr>
        <w:t>uniemożliwić jednej osobie złożenie odwołania od decyzji administracyjnej korzystnej dla R.N.</w:t>
      </w:r>
      <w:r w:rsidR="00ED7240">
        <w:rPr>
          <w:lang w:val="pl-PL"/>
        </w:rPr>
        <w:t>,</w:t>
      </w:r>
      <w:r w:rsidRPr="003564AB">
        <w:rPr>
          <w:lang w:val="pl-PL"/>
        </w:rPr>
        <w:t xml:space="preserve"> oraz podżegał inną osobę do</w:t>
      </w:r>
      <w:r w:rsidR="00B028E2">
        <w:rPr>
          <w:lang w:val="pl-PL"/>
        </w:rPr>
        <w:t> </w:t>
      </w:r>
      <w:r w:rsidRPr="003564AB">
        <w:rPr>
          <w:lang w:val="pl-PL"/>
        </w:rPr>
        <w:t>zaniedbywania przez nią obowiązków na korzyść R.N. (zob. paragrafy 18 i 23 powyżej).</w:t>
      </w:r>
    </w:p>
    <w:p w14:paraId="679FF601" w14:textId="016329E6" w:rsidR="00DA2FAE" w:rsidRPr="003564AB" w:rsidRDefault="006B67A5" w:rsidP="009A2C11">
      <w:pPr>
        <w:pStyle w:val="JuPara"/>
        <w:rPr>
          <w:lang w:val="pl-PL"/>
        </w:rPr>
      </w:pPr>
      <w:r w:rsidRPr="003564AB">
        <w:rPr>
          <w:lang w:val="pl-PL"/>
        </w:rPr>
        <w:t>43.</w:t>
      </w:r>
      <w:r w:rsidR="0009274E">
        <w:rPr>
          <w:lang w:val="pl-PL"/>
        </w:rPr>
        <w:t xml:space="preserve"> </w:t>
      </w:r>
      <w:r w:rsidRPr="003564AB">
        <w:rPr>
          <w:lang w:val="pl-PL"/>
        </w:rPr>
        <w:t>W odniesieniu do zarzutu grożenia przez skarżącego śmiercią Trybunał zauważa, że w swoich pismach procesowy</w:t>
      </w:r>
      <w:r w:rsidR="003564AB">
        <w:rPr>
          <w:lang w:val="pl-PL"/>
        </w:rPr>
        <w:t>ch skarżący wskazał, iż</w:t>
      </w:r>
      <w:r w:rsidR="00B028E2">
        <w:rPr>
          <w:lang w:val="pl-PL"/>
        </w:rPr>
        <w:t> </w:t>
      </w:r>
      <w:r w:rsidRPr="003564AB">
        <w:rPr>
          <w:lang w:val="pl-PL"/>
        </w:rPr>
        <w:t>M.M., któremu skarżący miał rzekomo grozić, wycofał swoje zeznania. Rząd nie odniósł się do tego argumentu w swoich oświadczeniach i wydaje się, że skarżącemu nigdy nie postawiono zarzutu grożenia M.M. Ponadto w</w:t>
      </w:r>
      <w:r w:rsidR="00B028E2">
        <w:rPr>
          <w:lang w:val="pl-PL"/>
        </w:rPr>
        <w:t> </w:t>
      </w:r>
      <w:r w:rsidRPr="003564AB">
        <w:rPr>
          <w:lang w:val="pl-PL"/>
        </w:rPr>
        <w:t>uzasadnieniu sądu krajowego nie przedstawiono żadnych dalszych szczegółów, a jedynie odnotowano, że skarżący rzekomo groził M.M., kiedy był zatrudniony w Biurze Gospodarowania Nieruchomościami. Trybunał nie</w:t>
      </w:r>
      <w:r w:rsidR="00B028E2">
        <w:rPr>
          <w:lang w:val="pl-PL"/>
        </w:rPr>
        <w:t> </w:t>
      </w:r>
      <w:r w:rsidRPr="003564AB">
        <w:rPr>
          <w:lang w:val="pl-PL"/>
        </w:rPr>
        <w:t xml:space="preserve">jest przekonany, że takie niepotwierdzone zarzuty uzasadniały ryzyko utrudniania przez skarżącego postępowania w trakcie trwającego </w:t>
      </w:r>
      <w:r w:rsidR="00803D3D">
        <w:rPr>
          <w:lang w:val="pl-PL"/>
        </w:rPr>
        <w:t>śledztwa</w:t>
      </w:r>
      <w:r w:rsidRPr="003564AB">
        <w:rPr>
          <w:lang w:val="pl-PL"/>
        </w:rPr>
        <w:t>.</w:t>
      </w:r>
    </w:p>
    <w:p w14:paraId="7EAD80AA" w14:textId="2DF56F74" w:rsidR="00DA2FAE" w:rsidRPr="003564AB" w:rsidRDefault="006B67A5" w:rsidP="009A2C11">
      <w:pPr>
        <w:pStyle w:val="JuPara"/>
        <w:rPr>
          <w:lang w:val="pl-PL"/>
        </w:rPr>
      </w:pPr>
      <w:r w:rsidRPr="003564AB">
        <w:rPr>
          <w:lang w:val="pl-PL"/>
        </w:rPr>
        <w:t>44.</w:t>
      </w:r>
      <w:r w:rsidR="0009274E">
        <w:rPr>
          <w:lang w:val="pl-PL"/>
        </w:rPr>
        <w:t xml:space="preserve"> </w:t>
      </w:r>
      <w:r w:rsidRPr="003564AB">
        <w:rPr>
          <w:lang w:val="pl-PL"/>
        </w:rPr>
        <w:t xml:space="preserve">Ponadto Trybunał nie jest przekonany, że działania rzekomo podjęte przez skarżącego przed wszczęciem śledztwa mogą uzasadniać cały okres jego zatrzymania. Rząd nie przedstawił żadnych dowodów na to, że skarżący próbował wpływać na świadków, składać fałszywe zeznania </w:t>
      </w:r>
      <w:r w:rsidRPr="003564AB">
        <w:rPr>
          <w:lang w:val="pl-PL"/>
        </w:rPr>
        <w:lastRenderedPageBreak/>
        <w:t>czy</w:t>
      </w:r>
      <w:r w:rsidR="00B028E2">
        <w:rPr>
          <w:lang w:val="pl-PL"/>
        </w:rPr>
        <w:t> </w:t>
      </w:r>
      <w:r w:rsidRPr="003564AB">
        <w:rPr>
          <w:lang w:val="pl-PL"/>
        </w:rPr>
        <w:t xml:space="preserve">manipulować dowodami. Jest oczywiste, że skarżący był świadom zainteresowania władz sprawą już przed jego </w:t>
      </w:r>
      <w:r w:rsidR="00107080">
        <w:rPr>
          <w:lang w:val="pl-PL"/>
        </w:rPr>
        <w:t>zatrzym</w:t>
      </w:r>
      <w:r w:rsidRPr="003564AB">
        <w:rPr>
          <w:lang w:val="pl-PL"/>
        </w:rPr>
        <w:t>aniem (</w:t>
      </w:r>
      <w:r w:rsidR="003564AB">
        <w:rPr>
          <w:lang w:val="pl-PL"/>
        </w:rPr>
        <w:t>zob.</w:t>
      </w:r>
      <w:r w:rsidR="0009274E">
        <w:rPr>
          <w:lang w:val="pl-PL"/>
        </w:rPr>
        <w:t xml:space="preserve"> </w:t>
      </w:r>
      <w:r w:rsidRPr="003564AB">
        <w:rPr>
          <w:lang w:val="pl-PL"/>
        </w:rPr>
        <w:t>paragrafy 6–8 powyżej) i nie ma dowodu, że próbował utrudniać postępowanie.</w:t>
      </w:r>
    </w:p>
    <w:p w14:paraId="612E0712" w14:textId="685894F2" w:rsidR="00DA2FAE" w:rsidRPr="003564AB" w:rsidRDefault="006B67A5" w:rsidP="009A2C11">
      <w:pPr>
        <w:pStyle w:val="JuPara"/>
        <w:rPr>
          <w:lang w:val="pl-PL"/>
        </w:rPr>
      </w:pPr>
      <w:r w:rsidRPr="003564AB">
        <w:rPr>
          <w:lang w:val="pl-PL"/>
        </w:rPr>
        <w:t>45.</w:t>
      </w:r>
      <w:r w:rsidR="0009274E">
        <w:rPr>
          <w:lang w:val="pl-PL"/>
        </w:rPr>
        <w:t xml:space="preserve"> </w:t>
      </w:r>
      <w:r w:rsidRPr="003564AB">
        <w:rPr>
          <w:lang w:val="pl-PL"/>
        </w:rPr>
        <w:t>Trybunał zauważ</w:t>
      </w:r>
      <w:r w:rsidR="00E87F78">
        <w:rPr>
          <w:lang w:val="pl-PL"/>
        </w:rPr>
        <w:t>a</w:t>
      </w:r>
      <w:r w:rsidRPr="003564AB">
        <w:rPr>
          <w:lang w:val="pl-PL"/>
        </w:rPr>
        <w:t>, że ryzyko utrudniania postępowania może być znacznie wyższe, jeśli istnieje poważne podejrzenie, że kilku podejrzanych działało jako zorganizowana grupa przestępcza, ponieważ taka grupa może uciec się do różnych bezprawnych środków, aby spróbować uniemożliwić organom ścigania ustalenie faktów. Jednakże, chociaż skarżącemu zarzucono popełnienie przestępstw wspólnie z ośmioma innymi podejrzanymi, nie</w:t>
      </w:r>
      <w:r w:rsidR="00B028E2">
        <w:rPr>
          <w:lang w:val="pl-PL"/>
        </w:rPr>
        <w:t> </w:t>
      </w:r>
      <w:r w:rsidRPr="003564AB">
        <w:rPr>
          <w:lang w:val="pl-PL"/>
        </w:rPr>
        <w:t xml:space="preserve">zarzucono mu działania w ramach zorganizowanej grupy przestępczej (por. </w:t>
      </w:r>
      <w:r w:rsidRPr="003564AB">
        <w:rPr>
          <w:i/>
          <w:iCs/>
          <w:lang w:val="pl-PL"/>
        </w:rPr>
        <w:t>Bąk przeciwko Polsce</w:t>
      </w:r>
      <w:r w:rsidRPr="003564AB">
        <w:rPr>
          <w:lang w:val="pl-PL"/>
        </w:rPr>
        <w:t xml:space="preserve">, nr </w:t>
      </w:r>
      <w:r w:rsidR="003564AB">
        <w:rPr>
          <w:lang w:val="pl-PL"/>
        </w:rPr>
        <w:t>7870/04, § 57, 16</w:t>
      </w:r>
      <w:r w:rsidR="0009274E">
        <w:rPr>
          <w:lang w:val="pl-PL"/>
        </w:rPr>
        <w:t xml:space="preserve"> </w:t>
      </w:r>
      <w:r w:rsidR="003564AB">
        <w:rPr>
          <w:lang w:val="pl-PL"/>
        </w:rPr>
        <w:t>stycznia</w:t>
      </w:r>
      <w:r w:rsidR="0009274E">
        <w:rPr>
          <w:lang w:val="pl-PL"/>
        </w:rPr>
        <w:t xml:space="preserve"> </w:t>
      </w:r>
      <w:r w:rsidR="003564AB">
        <w:rPr>
          <w:lang w:val="pl-PL"/>
        </w:rPr>
        <w:t>2007</w:t>
      </w:r>
      <w:r w:rsidR="0009274E">
        <w:rPr>
          <w:lang w:val="pl-PL"/>
        </w:rPr>
        <w:t xml:space="preserve"> </w:t>
      </w:r>
      <w:r w:rsidRPr="003564AB">
        <w:rPr>
          <w:lang w:val="pl-PL"/>
        </w:rPr>
        <w:t>r.).</w:t>
      </w:r>
    </w:p>
    <w:p w14:paraId="3DD22D8F" w14:textId="3CF094A1" w:rsidR="00DA2FAE" w:rsidRPr="003564AB" w:rsidRDefault="006B67A5" w:rsidP="009A2C11">
      <w:pPr>
        <w:pStyle w:val="JuPara"/>
        <w:rPr>
          <w:lang w:val="pl-PL"/>
        </w:rPr>
      </w:pPr>
      <w:r w:rsidRPr="003564AB">
        <w:rPr>
          <w:lang w:val="pl-PL"/>
        </w:rPr>
        <w:t>46.</w:t>
      </w:r>
      <w:r w:rsidR="0009274E">
        <w:rPr>
          <w:lang w:val="pl-PL"/>
        </w:rPr>
        <w:t xml:space="preserve"> </w:t>
      </w:r>
      <w:r w:rsidRPr="003564AB">
        <w:rPr>
          <w:lang w:val="pl-PL"/>
        </w:rPr>
        <w:t xml:space="preserve">Trybunał </w:t>
      </w:r>
      <w:r w:rsidR="00803D3D" w:rsidRPr="003564AB">
        <w:rPr>
          <w:lang w:val="pl-PL"/>
        </w:rPr>
        <w:t>zauważ</w:t>
      </w:r>
      <w:r w:rsidR="00803D3D">
        <w:rPr>
          <w:lang w:val="pl-PL"/>
        </w:rPr>
        <w:t>a</w:t>
      </w:r>
      <w:r w:rsidR="00803D3D" w:rsidRPr="003564AB">
        <w:rPr>
          <w:lang w:val="pl-PL"/>
        </w:rPr>
        <w:t xml:space="preserve"> </w:t>
      </w:r>
      <w:r w:rsidRPr="003564AB">
        <w:rPr>
          <w:lang w:val="pl-PL"/>
        </w:rPr>
        <w:t>ponadto, że co do zasady właściwe władze powinny uciekać się do najmniej restrykcyjnych środków w celu zapewnienia właściwego przebiegu p</w:t>
      </w:r>
      <w:r w:rsidR="003564AB">
        <w:rPr>
          <w:lang w:val="pl-PL"/>
        </w:rPr>
        <w:t>ostępowania karnego. Jednakże w</w:t>
      </w:r>
      <w:r w:rsidR="0009274E">
        <w:rPr>
          <w:lang w:val="pl-PL"/>
        </w:rPr>
        <w:t xml:space="preserve"> </w:t>
      </w:r>
      <w:r w:rsidRPr="003564AB">
        <w:rPr>
          <w:lang w:val="pl-PL"/>
        </w:rPr>
        <w:t>przypadku skarżącego</w:t>
      </w:r>
      <w:r w:rsidR="006E6538">
        <w:rPr>
          <w:lang w:val="pl-PL"/>
        </w:rPr>
        <w:t>,</w:t>
      </w:r>
      <w:r w:rsidRPr="003564AB">
        <w:rPr>
          <w:lang w:val="pl-PL"/>
        </w:rPr>
        <w:t xml:space="preserve"> ilekroć władze przewidywały możliwość nałożenia na niego mniej restrykcyjnych środków zapobiegawczych, takich jak </w:t>
      </w:r>
      <w:r w:rsidR="00803D3D">
        <w:rPr>
          <w:lang w:val="pl-PL"/>
        </w:rPr>
        <w:t>poręczenie majątkowe</w:t>
      </w:r>
      <w:r w:rsidRPr="003564AB">
        <w:rPr>
          <w:lang w:val="pl-PL"/>
        </w:rPr>
        <w:t xml:space="preserve">, odnośne </w:t>
      </w:r>
      <w:r w:rsidR="00803D3D">
        <w:rPr>
          <w:lang w:val="pl-PL"/>
        </w:rPr>
        <w:t>postanowienia</w:t>
      </w:r>
      <w:r w:rsidR="00803D3D" w:rsidRPr="003564AB">
        <w:rPr>
          <w:lang w:val="pl-PL"/>
        </w:rPr>
        <w:t xml:space="preserve"> </w:t>
      </w:r>
      <w:r w:rsidRPr="003564AB">
        <w:rPr>
          <w:lang w:val="pl-PL"/>
        </w:rPr>
        <w:t xml:space="preserve">były uchylane w </w:t>
      </w:r>
      <w:r w:rsidRPr="00820DBA">
        <w:rPr>
          <w:lang w:val="pl-PL"/>
        </w:rPr>
        <w:t>postępowaniu odwoławczym</w:t>
      </w:r>
      <w:r w:rsidRPr="003564AB">
        <w:rPr>
          <w:lang w:val="pl-PL"/>
        </w:rPr>
        <w:t>. W swoim uzasadnieniu sądy drugiej instancji opierały się</w:t>
      </w:r>
      <w:r w:rsidR="00B028E2">
        <w:rPr>
          <w:lang w:val="pl-PL"/>
        </w:rPr>
        <w:t> </w:t>
      </w:r>
      <w:r w:rsidRPr="003564AB">
        <w:rPr>
          <w:lang w:val="pl-PL"/>
        </w:rPr>
        <w:t>zasadniczo na tych samych kryteriach co sądy niższej instancji lub</w:t>
      </w:r>
      <w:r w:rsidR="00B028E2">
        <w:rPr>
          <w:lang w:val="pl-PL"/>
        </w:rPr>
        <w:t> </w:t>
      </w:r>
      <w:r w:rsidRPr="003564AB">
        <w:rPr>
          <w:lang w:val="pl-PL"/>
        </w:rPr>
        <w:t>odwoływały się do okoliczności sprzed wszczęcia dochodzenia. Również powody, dla których skarżący był przetrzymywany w areszci</w:t>
      </w:r>
      <w:r w:rsidR="003564AB">
        <w:rPr>
          <w:lang w:val="pl-PL"/>
        </w:rPr>
        <w:t>e, nie zmieniły się z czasem. W</w:t>
      </w:r>
      <w:r w:rsidR="0009274E">
        <w:rPr>
          <w:lang w:val="pl-PL"/>
        </w:rPr>
        <w:t xml:space="preserve"> </w:t>
      </w:r>
      <w:r w:rsidRPr="003564AB">
        <w:rPr>
          <w:lang w:val="pl-PL"/>
        </w:rPr>
        <w:t xml:space="preserve">świetle powyższego wyjaśnienie powodów, dla których mniej restrykcyjne środki uznano za niewystarczające w niniejszej sprawie, nie wydaje się przekonujące (zob. </w:t>
      </w:r>
      <w:r w:rsidRPr="003564AB">
        <w:rPr>
          <w:i/>
          <w:iCs/>
          <w:lang w:val="pl-PL"/>
        </w:rPr>
        <w:t>Jabłoński przeciwko Polsce</w:t>
      </w:r>
      <w:r w:rsidR="003564AB">
        <w:rPr>
          <w:lang w:val="pl-PL"/>
        </w:rPr>
        <w:t>, nr 33492/96, §</w:t>
      </w:r>
      <w:r w:rsidR="0009274E">
        <w:rPr>
          <w:lang w:val="pl-PL"/>
        </w:rPr>
        <w:t xml:space="preserve"> </w:t>
      </w:r>
      <w:r w:rsidRPr="003564AB">
        <w:rPr>
          <w:lang w:val="pl-PL"/>
        </w:rPr>
        <w:t>83, 21 grudnia 2000</w:t>
      </w:r>
      <w:r w:rsidR="0009274E">
        <w:rPr>
          <w:lang w:val="pl-PL"/>
        </w:rPr>
        <w:t xml:space="preserve"> </w:t>
      </w:r>
      <w:r w:rsidRPr="003564AB">
        <w:rPr>
          <w:lang w:val="pl-PL"/>
        </w:rPr>
        <w:t xml:space="preserve">r.; </w:t>
      </w:r>
      <w:r w:rsidRPr="003564AB">
        <w:rPr>
          <w:i/>
          <w:iCs/>
          <w:lang w:val="pl-PL"/>
        </w:rPr>
        <w:t>Iłowiecki przeciwko Polsce</w:t>
      </w:r>
      <w:r w:rsidRPr="003564AB">
        <w:rPr>
          <w:lang w:val="pl-PL"/>
        </w:rPr>
        <w:t>, nr 27504/95, §§ 63–64, 4</w:t>
      </w:r>
      <w:r w:rsidR="0009274E">
        <w:rPr>
          <w:lang w:val="pl-PL"/>
        </w:rPr>
        <w:t xml:space="preserve"> </w:t>
      </w:r>
      <w:r w:rsidRPr="003564AB">
        <w:rPr>
          <w:lang w:val="pl-PL"/>
        </w:rPr>
        <w:t>października 2001</w:t>
      </w:r>
      <w:r w:rsidR="0009274E">
        <w:rPr>
          <w:lang w:val="pl-PL"/>
        </w:rPr>
        <w:t xml:space="preserve"> </w:t>
      </w:r>
      <w:r w:rsidRPr="003564AB">
        <w:rPr>
          <w:lang w:val="pl-PL"/>
        </w:rPr>
        <w:t xml:space="preserve">r.; oraz </w:t>
      </w:r>
      <w:r w:rsidRPr="003564AB">
        <w:rPr>
          <w:i/>
          <w:iCs/>
          <w:lang w:val="pl-PL"/>
        </w:rPr>
        <w:t>Celejewski</w:t>
      </w:r>
      <w:r w:rsidRPr="003564AB">
        <w:rPr>
          <w:lang w:val="pl-PL"/>
        </w:rPr>
        <w:t>, cyt. powyżej, § 39).</w:t>
      </w:r>
    </w:p>
    <w:p w14:paraId="432A8FA1" w14:textId="13E18948" w:rsidR="00DA2FAE" w:rsidRPr="003564AB" w:rsidRDefault="006B67A5" w:rsidP="009A2C11">
      <w:pPr>
        <w:pStyle w:val="JuPara"/>
        <w:rPr>
          <w:lang w:val="pl-PL"/>
        </w:rPr>
      </w:pPr>
      <w:r w:rsidRPr="003564AB">
        <w:rPr>
          <w:lang w:val="pl-PL"/>
        </w:rPr>
        <w:t>47.</w:t>
      </w:r>
      <w:r w:rsidR="0009274E">
        <w:rPr>
          <w:lang w:val="pl-PL"/>
        </w:rPr>
        <w:t xml:space="preserve"> </w:t>
      </w:r>
      <w:r w:rsidRPr="003564AB">
        <w:rPr>
          <w:lang w:val="pl-PL"/>
        </w:rPr>
        <w:t xml:space="preserve">Trybunał </w:t>
      </w:r>
      <w:r w:rsidR="00E87F78" w:rsidRPr="003564AB">
        <w:rPr>
          <w:lang w:val="pl-PL"/>
        </w:rPr>
        <w:t>zauważ</w:t>
      </w:r>
      <w:r w:rsidR="00E87F78">
        <w:rPr>
          <w:lang w:val="pl-PL"/>
        </w:rPr>
        <w:t>a</w:t>
      </w:r>
      <w:r w:rsidR="00E87F78" w:rsidRPr="003564AB">
        <w:rPr>
          <w:lang w:val="pl-PL"/>
        </w:rPr>
        <w:t xml:space="preserve"> </w:t>
      </w:r>
      <w:r w:rsidRPr="003564AB">
        <w:rPr>
          <w:lang w:val="pl-PL"/>
        </w:rPr>
        <w:t xml:space="preserve">również, </w:t>
      </w:r>
      <w:r w:rsidR="003564AB">
        <w:rPr>
          <w:lang w:val="pl-PL"/>
        </w:rPr>
        <w:t>że obszerny materiał dowodowy i</w:t>
      </w:r>
      <w:r w:rsidR="00B028E2">
        <w:rPr>
          <w:lang w:val="pl-PL"/>
        </w:rPr>
        <w:t> </w:t>
      </w:r>
      <w:r w:rsidRPr="003564AB">
        <w:rPr>
          <w:lang w:val="pl-PL"/>
        </w:rPr>
        <w:t xml:space="preserve">złożoność sprawy nie mogą same w sobie uzasadniać całego okresu tymczasowego aresztowania. Na władzach nadal spoczywa obowiązek udowodnienia ciągłej potrzeby </w:t>
      </w:r>
      <w:r w:rsidR="006E6538">
        <w:rPr>
          <w:lang w:val="pl-PL"/>
        </w:rPr>
        <w:t>pozbawienia wolności</w:t>
      </w:r>
      <w:r w:rsidRPr="003564AB">
        <w:rPr>
          <w:lang w:val="pl-PL"/>
        </w:rPr>
        <w:t>, w szczególności w</w:t>
      </w:r>
      <w:r w:rsidR="00B028E2">
        <w:rPr>
          <w:lang w:val="pl-PL"/>
        </w:rPr>
        <w:t> </w:t>
      </w:r>
      <w:r w:rsidRPr="003564AB">
        <w:rPr>
          <w:lang w:val="pl-PL"/>
        </w:rPr>
        <w:t>sytuacji, gdy zgromadzono już znaczną część materiału dowodowego. W</w:t>
      </w:r>
      <w:r w:rsidR="00B028E2">
        <w:rPr>
          <w:lang w:val="pl-PL"/>
        </w:rPr>
        <w:t> </w:t>
      </w:r>
      <w:r w:rsidRPr="003564AB">
        <w:rPr>
          <w:lang w:val="pl-PL"/>
        </w:rPr>
        <w:t xml:space="preserve">takich sytuacjach władze muszą podać konkretne powody, dla których konieczne jest kontynuowanie </w:t>
      </w:r>
      <w:r w:rsidR="006E6538">
        <w:rPr>
          <w:lang w:val="pl-PL"/>
        </w:rPr>
        <w:t>pozbawienia wolności</w:t>
      </w:r>
      <w:r w:rsidRPr="003564AB">
        <w:rPr>
          <w:lang w:val="pl-PL"/>
        </w:rPr>
        <w:t xml:space="preserve"> zamiast zastosowania mniej restrykcyjnych środków zapobiegawczych (zob., odpowiednio, </w:t>
      </w:r>
      <w:r w:rsidRPr="003564AB">
        <w:rPr>
          <w:i/>
          <w:iCs/>
          <w:lang w:val="pl-PL"/>
        </w:rPr>
        <w:t>Buzadji</w:t>
      </w:r>
      <w:r w:rsidRPr="003564AB">
        <w:rPr>
          <w:lang w:val="pl-PL"/>
        </w:rPr>
        <w:t xml:space="preserve">, cyt. powyżej, </w:t>
      </w:r>
      <w:bookmarkStart w:id="5" w:name="_Hlk89333684"/>
      <w:r w:rsidRPr="003564AB">
        <w:rPr>
          <w:lang w:val="pl-PL"/>
        </w:rPr>
        <w:t>§</w:t>
      </w:r>
      <w:bookmarkEnd w:id="5"/>
      <w:r w:rsidR="003564AB">
        <w:rPr>
          <w:lang w:val="pl-PL"/>
        </w:rPr>
        <w:t>§</w:t>
      </w:r>
      <w:r w:rsidR="0009274E">
        <w:rPr>
          <w:lang w:val="pl-PL"/>
        </w:rPr>
        <w:t xml:space="preserve"> </w:t>
      </w:r>
      <w:r w:rsidRPr="003564AB">
        <w:rPr>
          <w:lang w:val="pl-PL"/>
        </w:rPr>
        <w:t>89–91).</w:t>
      </w:r>
    </w:p>
    <w:p w14:paraId="52D4F4AB" w14:textId="45F64132" w:rsidR="00DA2FAE" w:rsidRPr="003564AB" w:rsidRDefault="006B67A5" w:rsidP="009A2C11">
      <w:pPr>
        <w:pStyle w:val="JuPara"/>
        <w:rPr>
          <w:lang w:val="pl-PL"/>
        </w:rPr>
      </w:pPr>
      <w:r w:rsidRPr="003564AB">
        <w:rPr>
          <w:lang w:val="pl-PL"/>
        </w:rPr>
        <w:t>48.</w:t>
      </w:r>
      <w:r w:rsidR="0009274E">
        <w:rPr>
          <w:lang w:val="pl-PL"/>
        </w:rPr>
        <w:t xml:space="preserve"> </w:t>
      </w:r>
      <w:r w:rsidRPr="003564AB">
        <w:rPr>
          <w:lang w:val="pl-PL"/>
        </w:rPr>
        <w:t>Mając na uwadze powyższe, Trybunał stwierdza, że chociaż powody podane przez władze krajowe mogły uzasadniać początkowe tymczasowe aresztowanie skarżącego, nie były one „istotne” ani „</w:t>
      </w:r>
      <w:r w:rsidR="00E87F78">
        <w:rPr>
          <w:lang w:val="pl-PL"/>
        </w:rPr>
        <w:t>wystarczające</w:t>
      </w:r>
      <w:r w:rsidRPr="003564AB">
        <w:rPr>
          <w:lang w:val="pl-PL"/>
        </w:rPr>
        <w:t>”, by</w:t>
      </w:r>
      <w:r w:rsidR="00B028E2">
        <w:rPr>
          <w:lang w:val="pl-PL"/>
        </w:rPr>
        <w:t> </w:t>
      </w:r>
      <w:r w:rsidRPr="003564AB">
        <w:rPr>
          <w:lang w:val="pl-PL"/>
        </w:rPr>
        <w:t>uzasadnić przedłużenie aresztu skarżącego do prawie dwóch lat. W tych okolicznościach nie jest konieczne zbadanie, czy postępowanie było prowadzone ze szczególną starannością.</w:t>
      </w:r>
    </w:p>
    <w:p w14:paraId="4EBB3483" w14:textId="05E69E68" w:rsidR="00DA2FAE" w:rsidRPr="003564AB" w:rsidRDefault="00DA2FAE" w:rsidP="009A2C11">
      <w:pPr>
        <w:pStyle w:val="JuPara"/>
        <w:rPr>
          <w:lang w:val="pl-PL"/>
        </w:rPr>
      </w:pPr>
      <w:r w:rsidRPr="003564AB">
        <w:rPr>
          <w:lang w:val="pl-PL"/>
        </w:rPr>
        <w:t>49.</w:t>
      </w:r>
      <w:r w:rsidR="0009274E">
        <w:rPr>
          <w:lang w:val="pl-PL"/>
        </w:rPr>
        <w:t xml:space="preserve"> </w:t>
      </w:r>
      <w:r w:rsidRPr="003564AB">
        <w:rPr>
          <w:lang w:val="pl-PL"/>
        </w:rPr>
        <w:t>W związku z powyższym doszło do naruszenia art.</w:t>
      </w:r>
      <w:r w:rsidR="0009274E">
        <w:rPr>
          <w:lang w:val="pl-PL"/>
        </w:rPr>
        <w:t xml:space="preserve"> </w:t>
      </w:r>
      <w:r w:rsidRPr="003564AB">
        <w:rPr>
          <w:lang w:val="pl-PL"/>
        </w:rPr>
        <w:t>5 ust.</w:t>
      </w:r>
      <w:r w:rsidR="0009274E">
        <w:rPr>
          <w:lang w:val="pl-PL"/>
        </w:rPr>
        <w:t xml:space="preserve"> </w:t>
      </w:r>
      <w:r w:rsidRPr="003564AB">
        <w:rPr>
          <w:lang w:val="pl-PL"/>
        </w:rPr>
        <w:t>3 Konwencji.</w:t>
      </w:r>
    </w:p>
    <w:p w14:paraId="7EDA711C" w14:textId="7B57A271" w:rsidR="00DA2FAE" w:rsidRPr="003564AB" w:rsidRDefault="00DA2FAE" w:rsidP="009A2C11">
      <w:pPr>
        <w:pStyle w:val="JuHIRoman"/>
        <w:rPr>
          <w:lang w:val="pl-PL"/>
        </w:rPr>
      </w:pPr>
      <w:r w:rsidRPr="003564AB">
        <w:rPr>
          <w:bCs w:val="0"/>
          <w:lang w:val="pl-PL"/>
        </w:rPr>
        <w:lastRenderedPageBreak/>
        <w:t>ZASTOSOWANIE ART.</w:t>
      </w:r>
      <w:r w:rsidR="0009274E">
        <w:rPr>
          <w:bCs w:val="0"/>
          <w:lang w:val="pl-PL"/>
        </w:rPr>
        <w:t xml:space="preserve"> </w:t>
      </w:r>
      <w:r w:rsidRPr="003564AB">
        <w:rPr>
          <w:bCs w:val="0"/>
          <w:lang w:val="pl-PL"/>
        </w:rPr>
        <w:t>41 KONWENCJI</w:t>
      </w:r>
    </w:p>
    <w:p w14:paraId="1D32321D" w14:textId="6BFFBEC3" w:rsidR="00DA2FAE" w:rsidRPr="003564AB" w:rsidRDefault="00DA2FAE" w:rsidP="009A2C11">
      <w:pPr>
        <w:pStyle w:val="JuPara"/>
        <w:keepNext/>
        <w:keepLines/>
        <w:rPr>
          <w:lang w:val="pl-PL"/>
        </w:rPr>
      </w:pPr>
      <w:r w:rsidRPr="003564AB">
        <w:rPr>
          <w:lang w:val="pl-PL"/>
        </w:rPr>
        <w:t>50.</w:t>
      </w:r>
      <w:r w:rsidR="0009274E">
        <w:rPr>
          <w:lang w:val="pl-PL"/>
        </w:rPr>
        <w:t xml:space="preserve"> </w:t>
      </w:r>
      <w:r w:rsidRPr="003564AB">
        <w:rPr>
          <w:lang w:val="pl-PL"/>
        </w:rPr>
        <w:t>Artykuł 41 Konwencji stanowi:</w:t>
      </w:r>
    </w:p>
    <w:p w14:paraId="29B94E97" w14:textId="685DB632" w:rsidR="00DA2FAE" w:rsidRPr="003564AB" w:rsidRDefault="00DA2FAE" w:rsidP="009A2C11">
      <w:pPr>
        <w:pStyle w:val="JuQuot"/>
        <w:rPr>
          <w:lang w:val="pl-PL"/>
        </w:rPr>
      </w:pPr>
      <w:r w:rsidRPr="003564AB">
        <w:rPr>
          <w:lang w:val="pl-PL"/>
        </w:rPr>
        <w:t>„</w:t>
      </w:r>
      <w:r w:rsidR="006E6538" w:rsidRPr="006E6538">
        <w:rPr>
          <w:lang w:val="pl-PL"/>
        </w:rPr>
        <w:t>Jeśli Trybunał stwierdzi, że nastąpiło naruszenie Konwencji lub jej protokołów, oraz</w:t>
      </w:r>
      <w:r w:rsidR="00253C07">
        <w:rPr>
          <w:lang w:val="pl-PL"/>
        </w:rPr>
        <w:t> </w:t>
      </w:r>
      <w:r w:rsidR="006E6538" w:rsidRPr="006E6538">
        <w:rPr>
          <w:lang w:val="pl-PL"/>
        </w:rPr>
        <w:t>jeśli prawo wewnętrzne zainteresowanej Wysokiej Układającej się Strony pozwala tylko na częściowe usunięcie konsekwencji tego naruszenia, Trybunał orzeka, gdy zachodzi potrzeba, słuszne zadośćuczynienie pokrzywdzonej stronie</w:t>
      </w:r>
      <w:r w:rsidRPr="003564AB">
        <w:rPr>
          <w:lang w:val="pl-PL"/>
        </w:rPr>
        <w:t>”.</w:t>
      </w:r>
    </w:p>
    <w:p w14:paraId="4508B858" w14:textId="656F30A3" w:rsidR="00DA2FAE" w:rsidRPr="003564AB" w:rsidRDefault="00DA2FAE" w:rsidP="009A2C11">
      <w:pPr>
        <w:pStyle w:val="JuPara"/>
        <w:rPr>
          <w:lang w:val="pl-PL"/>
        </w:rPr>
      </w:pPr>
      <w:r w:rsidRPr="003564AB">
        <w:rPr>
          <w:lang w:val="pl-PL"/>
        </w:rPr>
        <w:t>51.</w:t>
      </w:r>
      <w:r w:rsidR="0009274E">
        <w:rPr>
          <w:lang w:val="pl-PL"/>
        </w:rPr>
        <w:t xml:space="preserve"> </w:t>
      </w:r>
      <w:r w:rsidRPr="003564AB">
        <w:rPr>
          <w:lang w:val="pl-PL"/>
        </w:rPr>
        <w:t>Skarżący zażądał kwoty 25</w:t>
      </w:r>
      <w:r w:rsidR="0009274E">
        <w:rPr>
          <w:lang w:val="pl-PL"/>
        </w:rPr>
        <w:t xml:space="preserve"> </w:t>
      </w:r>
      <w:r w:rsidRPr="003564AB">
        <w:rPr>
          <w:lang w:val="pl-PL"/>
        </w:rPr>
        <w:t>000</w:t>
      </w:r>
      <w:r w:rsidR="0009274E">
        <w:rPr>
          <w:lang w:val="pl-PL"/>
        </w:rPr>
        <w:t xml:space="preserve"> </w:t>
      </w:r>
      <w:r w:rsidRPr="003564AB">
        <w:rPr>
          <w:lang w:val="pl-PL"/>
        </w:rPr>
        <w:t>euro (EUR) tytułem zadośćuczynienia za szkodę niemajątkową.</w:t>
      </w:r>
    </w:p>
    <w:p w14:paraId="7A94D85D" w14:textId="0E8C5B79" w:rsidR="00DA2FAE" w:rsidRPr="003564AB" w:rsidRDefault="00DA2FAE" w:rsidP="009A2C11">
      <w:pPr>
        <w:pStyle w:val="JuPara"/>
        <w:rPr>
          <w:lang w:val="pl-PL"/>
        </w:rPr>
      </w:pPr>
      <w:r w:rsidRPr="003564AB">
        <w:rPr>
          <w:lang w:val="pl-PL"/>
        </w:rPr>
        <w:t>52.</w:t>
      </w:r>
      <w:r w:rsidR="0009274E">
        <w:rPr>
          <w:lang w:val="pl-PL"/>
        </w:rPr>
        <w:t xml:space="preserve"> </w:t>
      </w:r>
      <w:r w:rsidRPr="003564AB">
        <w:rPr>
          <w:lang w:val="pl-PL"/>
        </w:rPr>
        <w:t>Rząd kwestionował to roszczenie.</w:t>
      </w:r>
    </w:p>
    <w:p w14:paraId="3B3D642B" w14:textId="0E8C725D" w:rsidR="00DA2FAE" w:rsidRPr="003564AB" w:rsidRDefault="006B67A5" w:rsidP="009A2C11">
      <w:pPr>
        <w:pStyle w:val="JuPara"/>
        <w:rPr>
          <w:lang w:val="pl-PL"/>
        </w:rPr>
      </w:pPr>
      <w:r w:rsidRPr="003564AB">
        <w:rPr>
          <w:lang w:val="pl-PL"/>
        </w:rPr>
        <w:t>53.</w:t>
      </w:r>
      <w:r w:rsidR="0009274E">
        <w:rPr>
          <w:lang w:val="pl-PL"/>
        </w:rPr>
        <w:t xml:space="preserve"> </w:t>
      </w:r>
      <w:r w:rsidRPr="003564AB">
        <w:rPr>
          <w:lang w:val="pl-PL"/>
        </w:rPr>
        <w:t>Dokonując oceny na podstawie zasady słuszności, Trybunał zasądz</w:t>
      </w:r>
      <w:r w:rsidR="00273D99">
        <w:rPr>
          <w:lang w:val="pl-PL"/>
        </w:rPr>
        <w:t xml:space="preserve">a </w:t>
      </w:r>
      <w:r w:rsidRPr="003564AB">
        <w:rPr>
          <w:lang w:val="pl-PL"/>
        </w:rPr>
        <w:t>na rzecz skarżącego kwotę 2700 EUR tytułem zadośćuczynienia za szkodę niemajątkową, powiększoną o ewentualny podatek należny od tej kwoty.</w:t>
      </w:r>
    </w:p>
    <w:p w14:paraId="3D388D2E" w14:textId="13234C7B" w:rsidR="00DA2FAE" w:rsidRPr="003564AB" w:rsidRDefault="00DA2FAE" w:rsidP="009A2C11">
      <w:pPr>
        <w:pStyle w:val="JuPara"/>
        <w:rPr>
          <w:lang w:val="pl-PL"/>
        </w:rPr>
      </w:pPr>
      <w:r w:rsidRPr="003564AB">
        <w:rPr>
          <w:lang w:val="pl-PL"/>
        </w:rPr>
        <w:t>54.</w:t>
      </w:r>
      <w:r w:rsidR="0009274E">
        <w:rPr>
          <w:lang w:val="pl-PL"/>
        </w:rPr>
        <w:t xml:space="preserve"> </w:t>
      </w:r>
      <w:r w:rsidRPr="003564AB">
        <w:rPr>
          <w:lang w:val="pl-PL"/>
        </w:rPr>
        <w:t>Trybunał za słuszne uznaje wyznaczenie wysokości odsetek za</w:t>
      </w:r>
      <w:r w:rsidR="0009274E">
        <w:rPr>
          <w:lang w:val="pl-PL"/>
        </w:rPr>
        <w:t xml:space="preserve"> </w:t>
      </w:r>
      <w:r w:rsidRPr="003564AB">
        <w:rPr>
          <w:lang w:val="pl-PL"/>
        </w:rPr>
        <w:t>zwłokę na podstawie marginalnej stopy procentowej Europejskiego Banku Centralnego powiększonej o trzy punkty procentowe.</w:t>
      </w:r>
    </w:p>
    <w:p w14:paraId="3D8CE318" w14:textId="77777777" w:rsidR="00DA2FAE" w:rsidRPr="003564AB" w:rsidRDefault="00DA2FAE" w:rsidP="009A2C11">
      <w:pPr>
        <w:pStyle w:val="JuHHead"/>
        <w:numPr>
          <w:ilvl w:val="0"/>
          <w:numId w:val="1"/>
        </w:numPr>
        <w:ind w:left="360" w:hanging="360"/>
        <w:rPr>
          <w:lang w:val="pl-PL"/>
        </w:rPr>
      </w:pPr>
      <w:r w:rsidRPr="003564AB">
        <w:rPr>
          <w:bCs w:val="0"/>
          <w:lang w:val="pl-PL"/>
        </w:rPr>
        <w:t>Z POWYŻSZYCH WZGLĘDÓW TRYBUNAŁ JEDNOGŁOŚNIE</w:t>
      </w:r>
    </w:p>
    <w:p w14:paraId="60F0F133" w14:textId="77777777" w:rsidR="00DA2FAE" w:rsidRPr="003564AB" w:rsidRDefault="00DA2FAE" w:rsidP="009A2C11">
      <w:pPr>
        <w:pStyle w:val="JuList"/>
        <w:numPr>
          <w:ilvl w:val="0"/>
          <w:numId w:val="2"/>
        </w:numPr>
        <w:rPr>
          <w:lang w:val="pl-PL"/>
        </w:rPr>
      </w:pPr>
      <w:r w:rsidRPr="003564AB">
        <w:rPr>
          <w:i/>
          <w:iCs/>
          <w:lang w:val="pl-PL"/>
        </w:rPr>
        <w:t>Uznaje</w:t>
      </w:r>
      <w:r w:rsidRPr="003564AB">
        <w:rPr>
          <w:lang w:val="pl-PL"/>
        </w:rPr>
        <w:t xml:space="preserve"> skargę za dopuszczalną;</w:t>
      </w:r>
    </w:p>
    <w:p w14:paraId="1662176F" w14:textId="5DAB834A" w:rsidR="00DA2FAE" w:rsidRPr="003564AB" w:rsidRDefault="00DA2FAE" w:rsidP="009A2C11">
      <w:pPr>
        <w:pStyle w:val="JuList"/>
        <w:numPr>
          <w:ilvl w:val="0"/>
          <w:numId w:val="2"/>
        </w:numPr>
        <w:rPr>
          <w:lang w:val="pl-PL"/>
        </w:rPr>
      </w:pPr>
      <w:r w:rsidRPr="003564AB">
        <w:rPr>
          <w:i/>
          <w:iCs/>
          <w:lang w:val="pl-PL"/>
        </w:rPr>
        <w:t>Orzeka</w:t>
      </w:r>
      <w:r w:rsidRPr="003564AB">
        <w:rPr>
          <w:lang w:val="pl-PL"/>
        </w:rPr>
        <w:t>, że doszło do naruszenia art.</w:t>
      </w:r>
      <w:r w:rsidR="0009274E">
        <w:rPr>
          <w:lang w:val="pl-PL"/>
        </w:rPr>
        <w:t xml:space="preserve"> </w:t>
      </w:r>
      <w:r w:rsidRPr="003564AB">
        <w:rPr>
          <w:lang w:val="pl-PL"/>
        </w:rPr>
        <w:t>5 ust.</w:t>
      </w:r>
      <w:r w:rsidR="0009274E">
        <w:rPr>
          <w:lang w:val="pl-PL"/>
        </w:rPr>
        <w:t xml:space="preserve"> </w:t>
      </w:r>
      <w:r w:rsidRPr="003564AB">
        <w:rPr>
          <w:lang w:val="pl-PL"/>
        </w:rPr>
        <w:t>3 Konwencji;</w:t>
      </w:r>
    </w:p>
    <w:p w14:paraId="4C29B200" w14:textId="77777777" w:rsidR="00DA2FAE" w:rsidRPr="003564AB" w:rsidRDefault="00DA2FAE" w:rsidP="009A2C11">
      <w:pPr>
        <w:pStyle w:val="JuList"/>
        <w:numPr>
          <w:ilvl w:val="0"/>
          <w:numId w:val="2"/>
        </w:numPr>
        <w:rPr>
          <w:lang w:val="pl-PL"/>
        </w:rPr>
      </w:pPr>
      <w:r w:rsidRPr="003564AB">
        <w:rPr>
          <w:i/>
          <w:iCs/>
          <w:lang w:val="pl-PL"/>
        </w:rPr>
        <w:t>Orzeka</w:t>
      </w:r>
      <w:r w:rsidRPr="003564AB">
        <w:rPr>
          <w:lang w:val="pl-PL"/>
        </w:rPr>
        <w:t>,</w:t>
      </w:r>
    </w:p>
    <w:p w14:paraId="769E7813" w14:textId="4A8F85E7" w:rsidR="00DA2FAE" w:rsidRPr="003564AB" w:rsidRDefault="00DA2FAE" w:rsidP="009A2C11">
      <w:pPr>
        <w:pStyle w:val="JuLista"/>
        <w:numPr>
          <w:ilvl w:val="1"/>
          <w:numId w:val="2"/>
        </w:numPr>
        <w:rPr>
          <w:lang w:val="pl-PL"/>
        </w:rPr>
      </w:pPr>
      <w:r w:rsidRPr="003564AB">
        <w:rPr>
          <w:lang w:val="pl-PL"/>
        </w:rPr>
        <w:t>że pozwane państwo winno, w terminie trzech miesięcy, uiścić na</w:t>
      </w:r>
      <w:r w:rsidR="00253C07">
        <w:rPr>
          <w:lang w:val="pl-PL"/>
        </w:rPr>
        <w:t> </w:t>
      </w:r>
      <w:r w:rsidRPr="003564AB">
        <w:rPr>
          <w:lang w:val="pl-PL"/>
        </w:rPr>
        <w:t>rzecz skarżącego kwotę 2700</w:t>
      </w:r>
      <w:r w:rsidR="0009274E">
        <w:rPr>
          <w:lang w:val="pl-PL"/>
        </w:rPr>
        <w:t xml:space="preserve"> </w:t>
      </w:r>
      <w:r w:rsidRPr="003564AB">
        <w:rPr>
          <w:lang w:val="pl-PL"/>
        </w:rPr>
        <w:t>EUR (dwa tysiące siedemset euro) tytułem zadośćuczynienia za szkodę niemajątkową, powiększonego o</w:t>
      </w:r>
      <w:r w:rsidR="00253C07">
        <w:rPr>
          <w:lang w:val="pl-PL"/>
        </w:rPr>
        <w:t> </w:t>
      </w:r>
      <w:r w:rsidRPr="003564AB">
        <w:rPr>
          <w:lang w:val="pl-PL"/>
        </w:rPr>
        <w:t>wszelkie podatki należne od tej kwoty, przeliczonego na walutę pozwanego państwa według kursu obowiązującego w dniu płatności;</w:t>
      </w:r>
    </w:p>
    <w:p w14:paraId="38715515" w14:textId="28C300F8" w:rsidR="00DA2FAE" w:rsidRPr="003564AB" w:rsidRDefault="00DA2FAE" w:rsidP="009A2C11">
      <w:pPr>
        <w:pStyle w:val="JuLista"/>
        <w:numPr>
          <w:ilvl w:val="1"/>
          <w:numId w:val="2"/>
        </w:numPr>
        <w:rPr>
          <w:lang w:val="pl-PL"/>
        </w:rPr>
      </w:pPr>
      <w:r w:rsidRPr="003564AB">
        <w:rPr>
          <w:lang w:val="pl-PL"/>
        </w:rPr>
        <w:t>że od upływu wyżej wskazanego terminu trzech miesięcy aż</w:t>
      </w:r>
      <w:r w:rsidR="00253C07">
        <w:rPr>
          <w:lang w:val="pl-PL"/>
        </w:rPr>
        <w:t> </w:t>
      </w:r>
      <w:r w:rsidRPr="003564AB">
        <w:rPr>
          <w:lang w:val="pl-PL"/>
        </w:rPr>
        <w:t>do</w:t>
      </w:r>
      <w:r w:rsidR="00253C07">
        <w:rPr>
          <w:lang w:val="pl-PL"/>
        </w:rPr>
        <w:t> </w:t>
      </w:r>
      <w:r w:rsidRPr="003564AB">
        <w:rPr>
          <w:lang w:val="pl-PL"/>
        </w:rPr>
        <w:t>momentu uregulowania należności należne będą odsetki zwykłe od określonej powyżej kwoty, naliczone według stopy równej marginalnej stopie procentowej Europejskiego Banku Centralnego obowiązującej w</w:t>
      </w:r>
      <w:r w:rsidR="0009274E">
        <w:rPr>
          <w:lang w:val="pl-PL"/>
        </w:rPr>
        <w:t xml:space="preserve"> </w:t>
      </w:r>
      <w:r w:rsidRPr="003564AB">
        <w:rPr>
          <w:lang w:val="pl-PL"/>
        </w:rPr>
        <w:t>tym okresie, powiększonej o trzy punkty procentowe;</w:t>
      </w:r>
    </w:p>
    <w:p w14:paraId="6ED9DAEC" w14:textId="77777777" w:rsidR="004D0EC7" w:rsidRPr="003564AB" w:rsidRDefault="00DA2FAE" w:rsidP="009A2C11">
      <w:pPr>
        <w:pStyle w:val="JuList"/>
        <w:numPr>
          <w:ilvl w:val="0"/>
          <w:numId w:val="2"/>
        </w:numPr>
        <w:rPr>
          <w:lang w:val="pl-PL"/>
        </w:rPr>
      </w:pPr>
      <w:r w:rsidRPr="003564AB">
        <w:rPr>
          <w:i/>
          <w:iCs/>
          <w:lang w:val="pl-PL"/>
        </w:rPr>
        <w:t>Oddala</w:t>
      </w:r>
      <w:r w:rsidRPr="003564AB">
        <w:rPr>
          <w:lang w:val="pl-PL"/>
        </w:rPr>
        <w:t xml:space="preserve"> pozostałą część roszczenia </w:t>
      </w:r>
      <w:r w:rsidR="00281277">
        <w:rPr>
          <w:lang w:val="pl-PL"/>
        </w:rPr>
        <w:t>skarżącego</w:t>
      </w:r>
      <w:r w:rsidR="00F84EC3">
        <w:rPr>
          <w:lang w:val="pl-PL"/>
        </w:rPr>
        <w:t xml:space="preserve">, które dotyczy </w:t>
      </w:r>
      <w:r w:rsidRPr="003564AB">
        <w:rPr>
          <w:lang w:val="pl-PL"/>
        </w:rPr>
        <w:t>słusznego zadośćuczynienia.</w:t>
      </w:r>
    </w:p>
    <w:p w14:paraId="36B076D6" w14:textId="2CA1E93F" w:rsidR="00786F89" w:rsidRPr="003564AB" w:rsidRDefault="007E2C8C" w:rsidP="009A2C11">
      <w:pPr>
        <w:pStyle w:val="JuParaLast"/>
        <w:rPr>
          <w:lang w:val="pl-PL"/>
        </w:rPr>
      </w:pPr>
      <w:r w:rsidRPr="003564AB">
        <w:rPr>
          <w:lang w:val="pl-PL"/>
        </w:rPr>
        <w:lastRenderedPageBreak/>
        <w:t xml:space="preserve">Sporządzono w języku angielskim i obwieszczono pisemnie w dniu </w:t>
      </w:r>
      <w:r w:rsidR="003564AB">
        <w:rPr>
          <w:rFonts w:ascii="Times New Roman" w:hAnsi="Times New Roman"/>
          <w:lang w:val="pl-PL"/>
        </w:rPr>
        <w:t>3</w:t>
      </w:r>
      <w:r w:rsidR="00253C07">
        <w:rPr>
          <w:rFonts w:ascii="Times New Roman" w:hAnsi="Times New Roman"/>
          <w:lang w:val="pl-PL"/>
        </w:rPr>
        <w:t> </w:t>
      </w:r>
      <w:r w:rsidRPr="003564AB">
        <w:rPr>
          <w:rFonts w:ascii="Times New Roman" w:hAnsi="Times New Roman"/>
          <w:lang w:val="pl-PL"/>
        </w:rPr>
        <w:t>lutego 2022</w:t>
      </w:r>
      <w:r w:rsidR="0009274E">
        <w:rPr>
          <w:rFonts w:ascii="Times New Roman" w:hAnsi="Times New Roman"/>
          <w:lang w:val="pl-PL"/>
        </w:rPr>
        <w:t xml:space="preserve"> </w:t>
      </w:r>
      <w:r w:rsidRPr="003564AB">
        <w:rPr>
          <w:rFonts w:ascii="Times New Roman" w:hAnsi="Times New Roman"/>
          <w:lang w:val="pl-PL"/>
        </w:rPr>
        <w:t>r.</w:t>
      </w:r>
      <w:r w:rsidRPr="003564AB">
        <w:rPr>
          <w:lang w:val="pl-PL"/>
        </w:rPr>
        <w:t>, zgodnie z Regułą</w:t>
      </w:r>
      <w:r w:rsidR="0009274E">
        <w:rPr>
          <w:lang w:val="pl-PL"/>
        </w:rPr>
        <w:t xml:space="preserve"> </w:t>
      </w:r>
      <w:r w:rsidRPr="003564AB">
        <w:rPr>
          <w:lang w:val="pl-PL"/>
        </w:rPr>
        <w:t>77 §§</w:t>
      </w:r>
      <w:r w:rsidR="0009274E">
        <w:rPr>
          <w:lang w:val="pl-PL"/>
        </w:rPr>
        <w:t xml:space="preserve"> </w:t>
      </w:r>
      <w:r w:rsidRPr="003564AB">
        <w:rPr>
          <w:lang w:val="pl-PL"/>
        </w:rPr>
        <w:t>2 i 3 Regulaminu Trybunału.</w:t>
      </w:r>
    </w:p>
    <w:p w14:paraId="2ACBC72F" w14:textId="77777777" w:rsidR="008B092C" w:rsidRPr="003564AB" w:rsidRDefault="00281B7C" w:rsidP="009A2C11">
      <w:pPr>
        <w:pStyle w:val="ECHRPlaceholder"/>
        <w:keepNext/>
        <w:keepLines/>
        <w:rPr>
          <w:szCs w:val="22"/>
          <w:lang w:val="pl-PL"/>
        </w:rPr>
      </w:pPr>
      <w:r w:rsidRPr="003564AB">
        <w:rPr>
          <w:lang w:val="pl-PL"/>
        </w:rPr>
        <w:tab/>
      </w:r>
    </w:p>
    <w:p w14:paraId="66A52EF0" w14:textId="77777777" w:rsidR="00182EBA" w:rsidRPr="003564AB" w:rsidRDefault="002E7764" w:rsidP="009A2C11">
      <w:pPr>
        <w:pStyle w:val="JuSigned"/>
        <w:keepNext/>
        <w:keepLines/>
        <w:rPr>
          <w:lang w:val="pl-PL"/>
        </w:rPr>
      </w:pPr>
      <w:r w:rsidRPr="003564AB">
        <w:rPr>
          <w:lang w:val="pl-PL"/>
        </w:rPr>
        <w:tab/>
        <w:t xml:space="preserve">Liv Tigerstedt </w:t>
      </w:r>
      <w:r w:rsidRPr="003564AB">
        <w:rPr>
          <w:lang w:val="pl-PL"/>
        </w:rPr>
        <w:tab/>
        <w:t>Erik Wennerström</w:t>
      </w:r>
      <w:r w:rsidRPr="003564AB">
        <w:rPr>
          <w:lang w:val="pl-PL"/>
        </w:rPr>
        <w:br/>
      </w:r>
      <w:r w:rsidRPr="003564AB">
        <w:rPr>
          <w:lang w:val="pl-PL"/>
        </w:rPr>
        <w:tab/>
        <w:t>Zastępca Kanclerza</w:t>
      </w:r>
      <w:r w:rsidRPr="003564AB">
        <w:rPr>
          <w:lang w:val="pl-PL"/>
        </w:rPr>
        <w:tab/>
        <w:t>Przewodniczący</w:t>
      </w:r>
    </w:p>
    <w:sectPr w:rsidR="00182EBA" w:rsidRPr="003564AB" w:rsidSect="007D3701">
      <w:headerReference w:type="even" r:id="rId17"/>
      <w:headerReference w:type="default" r:id="rId18"/>
      <w:footerReference w:type="even" r:id="rId19"/>
      <w:footerReference w:type="default" r:id="rId20"/>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464DC8" w14:textId="77777777" w:rsidR="00ED31F2" w:rsidRPr="00E67565" w:rsidRDefault="00ED31F2" w:rsidP="0098410D">
      <w:r>
        <w:separator/>
      </w:r>
    </w:p>
  </w:endnote>
  <w:endnote w:type="continuationSeparator" w:id="0">
    <w:p w14:paraId="33273361" w14:textId="77777777" w:rsidR="00ED31F2" w:rsidRPr="00E67565" w:rsidRDefault="00ED31F2" w:rsidP="0098410D">
      <w:r>
        <w:continuationSeparator/>
      </w:r>
    </w:p>
  </w:endnote>
  <w:endnote w:type="continuationNotice" w:id="1">
    <w:p w14:paraId="2C3F91A5" w14:textId="77777777" w:rsidR="00ED31F2" w:rsidRDefault="00ED31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5F3347" w14:textId="77777777" w:rsidR="00257A00" w:rsidRDefault="00257A0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B0DA6C" w14:textId="77777777" w:rsidR="00DA2FAE" w:rsidRPr="00150BFA" w:rsidRDefault="00DA2FAE" w:rsidP="0009274E">
    <w:pPr>
      <w:jc w:val="center"/>
    </w:pPr>
    <w:r>
      <w:rPr>
        <w:noProof/>
        <w:lang w:val="pl-PL" w:eastAsia="pl-PL"/>
      </w:rPr>
      <w:drawing>
        <wp:inline distT="0" distB="0" distL="0" distR="0" wp14:anchorId="3510CB4A" wp14:editId="60539A84">
          <wp:extent cx="771525" cy="619125"/>
          <wp:effectExtent l="0" t="0" r="9525" b="9525"/>
          <wp:docPr id="4" name="Picture 3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FB859B8" w14:textId="77777777" w:rsidR="0098410D" w:rsidRPr="00E67565" w:rsidRDefault="0098410D" w:rsidP="0009274E">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979555" w14:textId="77777777" w:rsidR="00DA2FAE" w:rsidRPr="00150BFA" w:rsidRDefault="00DA2FAE" w:rsidP="0009274E">
    <w:pPr>
      <w:jc w:val="center"/>
    </w:pPr>
    <w:r>
      <w:rPr>
        <w:noProof/>
        <w:lang w:val="pl-PL" w:eastAsia="pl-PL"/>
      </w:rPr>
      <w:drawing>
        <wp:inline distT="0" distB="0" distL="0" distR="0" wp14:anchorId="753688D4" wp14:editId="482C354F">
          <wp:extent cx="771525" cy="619125"/>
          <wp:effectExtent l="0" t="0" r="9525" b="9525"/>
          <wp:docPr id="6"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148B493" w14:textId="77777777" w:rsidR="009E7A6F" w:rsidRPr="00E67565" w:rsidRDefault="009E7A6F" w:rsidP="009E7A6F">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65D2AC" w14:textId="7DEA8383" w:rsidR="00182EBA" w:rsidRDefault="00867042" w:rsidP="009A115C">
    <w:pPr>
      <w:pStyle w:val="JuHeader"/>
    </w:pPr>
    <w:r>
      <w:rPr>
        <w:rStyle w:val="Numerstrony"/>
      </w:rPr>
      <w:fldChar w:fldCharType="begin"/>
    </w:r>
    <w:r w:rsidR="00DA2FAE">
      <w:rPr>
        <w:rStyle w:val="Numerstrony"/>
      </w:rPr>
      <w:instrText xml:space="preserve"> PAGE </w:instrText>
    </w:r>
    <w:r>
      <w:rPr>
        <w:rStyle w:val="Numerstrony"/>
      </w:rPr>
      <w:fldChar w:fldCharType="separate"/>
    </w:r>
    <w:r w:rsidR="00E30E6C">
      <w:rPr>
        <w:rStyle w:val="Numerstrony"/>
        <w:noProof/>
      </w:rPr>
      <w:t>4</w:t>
    </w:r>
    <w:r>
      <w:rPr>
        <w:rStyle w:val="Numerstrony"/>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197599" w14:textId="5FE86A8D" w:rsidR="00182EBA" w:rsidRPr="000B7195" w:rsidRDefault="00867042" w:rsidP="007D3701">
    <w:pPr>
      <w:pStyle w:val="JuHeader"/>
    </w:pPr>
    <w:r>
      <w:fldChar w:fldCharType="begin"/>
    </w:r>
    <w:r w:rsidR="00DA2FAE">
      <w:instrText xml:space="preserve"> PAGE </w:instrText>
    </w:r>
    <w:r>
      <w:fldChar w:fldCharType="separate"/>
    </w:r>
    <w:r w:rsidR="00E30E6C">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13C17D" w14:textId="77777777" w:rsidR="00ED31F2" w:rsidRPr="00E67565" w:rsidRDefault="00ED31F2" w:rsidP="0098410D">
      <w:r>
        <w:separator/>
      </w:r>
    </w:p>
  </w:footnote>
  <w:footnote w:type="continuationSeparator" w:id="0">
    <w:p w14:paraId="41368A2F" w14:textId="77777777" w:rsidR="00ED31F2" w:rsidRPr="00E67565" w:rsidRDefault="00ED31F2" w:rsidP="0098410D">
      <w:r>
        <w:continuationSeparator/>
      </w:r>
    </w:p>
  </w:footnote>
  <w:footnote w:type="continuationNotice" w:id="1">
    <w:p w14:paraId="53D366B8" w14:textId="77777777" w:rsidR="00ED31F2" w:rsidRDefault="00ED31F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F3033B" w14:textId="77777777" w:rsidR="00257A00" w:rsidRDefault="00257A0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A3A623" w14:textId="77777777" w:rsidR="00DA2FAE" w:rsidRPr="00A45145" w:rsidRDefault="00DA2FAE" w:rsidP="0009274E">
    <w:pPr>
      <w:jc w:val="center"/>
    </w:pPr>
    <w:r>
      <w:rPr>
        <w:noProof/>
        <w:lang w:val="pl-PL" w:eastAsia="pl-PL"/>
      </w:rPr>
      <w:drawing>
        <wp:inline distT="0" distB="0" distL="0" distR="0" wp14:anchorId="74D68C0C" wp14:editId="65C797A0">
          <wp:extent cx="2962275" cy="1219200"/>
          <wp:effectExtent l="0" t="0" r="9525" b="0"/>
          <wp:docPr id="2"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D295FAA" w14:textId="77777777" w:rsidR="0098410D" w:rsidRPr="00E67565" w:rsidRDefault="0098410D" w:rsidP="0009274E">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C42314" w14:textId="77777777" w:rsidR="00DA2FAE" w:rsidRPr="00A45145" w:rsidRDefault="00DA2FAE" w:rsidP="0009274E">
    <w:pPr>
      <w:jc w:val="center"/>
    </w:pPr>
    <w:r>
      <w:rPr>
        <w:noProof/>
        <w:lang w:val="pl-PL" w:eastAsia="pl-PL"/>
      </w:rPr>
      <w:drawing>
        <wp:inline distT="0" distB="0" distL="0" distR="0" wp14:anchorId="025BA27B" wp14:editId="10750B13">
          <wp:extent cx="2962275" cy="1219200"/>
          <wp:effectExtent l="0" t="0" r="9525" b="0"/>
          <wp:docPr id="5" name="Picture 2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C825DE7" w14:textId="77777777" w:rsidR="0098410D" w:rsidRPr="00E67565" w:rsidRDefault="0098410D"/>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4A44F0" w14:textId="4739B952" w:rsidR="00182EBA" w:rsidRPr="00744F55" w:rsidRDefault="00DA2FAE" w:rsidP="004D0EC7">
    <w:pPr>
      <w:pStyle w:val="JuHeader"/>
      <w:rPr>
        <w:lang w:val="pl-PL"/>
      </w:rPr>
    </w:pPr>
    <w:r w:rsidRPr="00744F55">
      <w:rPr>
        <w:lang w:val="pl-PL"/>
      </w:rPr>
      <w:t xml:space="preserve">WYROK W SPRAWIE RUDNICKI </w:t>
    </w:r>
    <w:r w:rsidR="00500EF9" w:rsidRPr="00744F55">
      <w:rPr>
        <w:lang w:val="pl-PL"/>
      </w:rPr>
      <w:t xml:space="preserve">PRZECIWKO </w:t>
    </w:r>
    <w:r w:rsidRPr="00744F55">
      <w:rPr>
        <w:lang w:val="pl-PL"/>
      </w:rPr>
      <w:t>POLSCE</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39FE6A" w14:textId="0C875662" w:rsidR="00182EBA" w:rsidRPr="00744F55" w:rsidRDefault="00DA2FAE" w:rsidP="007D3701">
    <w:pPr>
      <w:pStyle w:val="JuHeader"/>
      <w:rPr>
        <w:lang w:val="pl-PL"/>
      </w:rPr>
    </w:pPr>
    <w:r w:rsidRPr="00744F55">
      <w:rPr>
        <w:lang w:val="pl-PL"/>
      </w:rPr>
      <w:t xml:space="preserve">WYROK W SPRAWIE RUDNICKI </w:t>
    </w:r>
    <w:r w:rsidR="000644A4" w:rsidRPr="00744F55">
      <w:rPr>
        <w:lang w:val="pl-PL"/>
      </w:rPr>
      <w:t xml:space="preserve">PRZECIWKO </w:t>
    </w:r>
    <w:r w:rsidRPr="00744F55">
      <w:rPr>
        <w:lang w:val="pl-PL"/>
      </w:rPr>
      <w:t>POLSCE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w:numFmt w:val="decimal"/>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ykuł %1."/>
      <w:lvlJc w:val="left"/>
      <w:pPr>
        <w:ind w:left="0" w:firstLine="0"/>
      </w:pPr>
    </w:lvl>
    <w:lvl w:ilvl="1">
      <w:start w:val="1"/>
      <w:numFmt w:val="decimalZero"/>
      <w:isLgl/>
      <w:lvlText w:val="Sekcja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8"/>
  </w:num>
  <w:num w:numId="2">
    <w:abstractNumId w:val="13"/>
    <w:lvlOverride w:ilvl="0">
      <w:lvl w:ilvl="0">
        <w:start w:val="1"/>
        <w:numFmt w:val="decimal"/>
        <w:pStyle w:val="JuList"/>
        <w:lvlText w:val="%1."/>
        <w:lvlJc w:val="left"/>
        <w:pPr>
          <w:tabs>
            <w:tab w:val="num" w:pos="340"/>
          </w:tabs>
          <w:ind w:left="340" w:hanging="340"/>
        </w:pPr>
        <w:rPr>
          <w:rFonts w:hint="default"/>
        </w:rPr>
      </w:lvl>
    </w:lvlOverride>
    <w:lvlOverride w:ilvl="1">
      <w:lvl w:ilvl="1">
        <w:start w:val="1"/>
        <w:numFmt w:val="lowerLetter"/>
        <w:pStyle w:val="JuLista"/>
        <w:lvlText w:val="(%2)"/>
        <w:lvlJc w:val="left"/>
        <w:pPr>
          <w:tabs>
            <w:tab w:val="num" w:pos="680"/>
          </w:tabs>
          <w:ind w:left="680" w:hanging="340"/>
        </w:pPr>
        <w:rPr>
          <w:rFonts w:hint="default"/>
        </w:rPr>
      </w:lvl>
    </w:lvlOverride>
    <w:lvlOverride w:ilvl="2">
      <w:lvl w:ilvl="2">
        <w:start w:val="1"/>
        <w:numFmt w:val="lowerRoman"/>
        <w:pStyle w:val="JuListi"/>
        <w:suff w:val="space"/>
        <w:lvlText w:val="(%3)"/>
        <w:lvlJc w:val="left"/>
        <w:pPr>
          <w:ind w:left="1021" w:hanging="341"/>
        </w:pPr>
        <w:rPr>
          <w:rFonts w:hint="default"/>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12"/>
  </w:num>
  <w:num w:numId="6">
    <w:abstractNumId w:val="11"/>
  </w:num>
  <w:num w:numId="7">
    <w:abstractNumId w:val="15"/>
  </w:num>
  <w:num w:numId="8">
    <w:abstractNumId w:val="13"/>
  </w:num>
  <w:num w:numId="9">
    <w:abstractNumId w:val="16"/>
  </w:num>
  <w:num w:numId="10">
    <w:abstractNumId w:val="15"/>
  </w:num>
  <w:num w:numId="11">
    <w:abstractNumId w:val="16"/>
  </w:num>
  <w:num w:numId="12">
    <w:abstractNumId w:val="10"/>
  </w:num>
  <w:num w:numId="13">
    <w:abstractNumId w:val="9"/>
  </w:num>
  <w:num w:numId="14">
    <w:abstractNumId w:val="17"/>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
  </w:num>
  <w:num w:numId="22">
    <w:abstractNumId w:val="1"/>
  </w:num>
  <w:num w:numId="23">
    <w:abstractNumId w:val="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 w:name="Plural" w:val="0"/>
  </w:docVars>
  <w:rsids>
    <w:rsidRoot w:val="00DA2FAE"/>
    <w:rsid w:val="000041F8"/>
    <w:rsid w:val="000042A8"/>
    <w:rsid w:val="00004308"/>
    <w:rsid w:val="00005BF0"/>
    <w:rsid w:val="0000617D"/>
    <w:rsid w:val="00007154"/>
    <w:rsid w:val="000103AE"/>
    <w:rsid w:val="00011D69"/>
    <w:rsid w:val="00012AD3"/>
    <w:rsid w:val="00015C2D"/>
    <w:rsid w:val="00015F00"/>
    <w:rsid w:val="00022C1D"/>
    <w:rsid w:val="00024526"/>
    <w:rsid w:val="00031428"/>
    <w:rsid w:val="00034987"/>
    <w:rsid w:val="00041560"/>
    <w:rsid w:val="00056DC8"/>
    <w:rsid w:val="000602DF"/>
    <w:rsid w:val="00061B05"/>
    <w:rsid w:val="000632D5"/>
    <w:rsid w:val="000644A4"/>
    <w:rsid w:val="000644EE"/>
    <w:rsid w:val="0007780A"/>
    <w:rsid w:val="00077E0E"/>
    <w:rsid w:val="000818D3"/>
    <w:rsid w:val="00085457"/>
    <w:rsid w:val="000925AD"/>
    <w:rsid w:val="0009274E"/>
    <w:rsid w:val="00096FE1"/>
    <w:rsid w:val="00097A62"/>
    <w:rsid w:val="000A24EB"/>
    <w:rsid w:val="000A7D00"/>
    <w:rsid w:val="000B259F"/>
    <w:rsid w:val="000B686A"/>
    <w:rsid w:val="000B6923"/>
    <w:rsid w:val="000B7195"/>
    <w:rsid w:val="000C5F3C"/>
    <w:rsid w:val="000C6DCC"/>
    <w:rsid w:val="000D47AA"/>
    <w:rsid w:val="000D6142"/>
    <w:rsid w:val="000D721F"/>
    <w:rsid w:val="000E069B"/>
    <w:rsid w:val="000E0E82"/>
    <w:rsid w:val="000E1DC5"/>
    <w:rsid w:val="000E223F"/>
    <w:rsid w:val="000E43C5"/>
    <w:rsid w:val="000E46B8"/>
    <w:rsid w:val="000E6D78"/>
    <w:rsid w:val="000E7D45"/>
    <w:rsid w:val="000F53E2"/>
    <w:rsid w:val="000F7851"/>
    <w:rsid w:val="00101505"/>
    <w:rsid w:val="00102807"/>
    <w:rsid w:val="00104E23"/>
    <w:rsid w:val="00107080"/>
    <w:rsid w:val="00110DA8"/>
    <w:rsid w:val="001114BA"/>
    <w:rsid w:val="00111B0C"/>
    <w:rsid w:val="00120D6C"/>
    <w:rsid w:val="001257EC"/>
    <w:rsid w:val="00132C18"/>
    <w:rsid w:val="00133D33"/>
    <w:rsid w:val="00134B6A"/>
    <w:rsid w:val="00134D64"/>
    <w:rsid w:val="00135A30"/>
    <w:rsid w:val="0013612C"/>
    <w:rsid w:val="00137FF6"/>
    <w:rsid w:val="00141650"/>
    <w:rsid w:val="001561B6"/>
    <w:rsid w:val="00162A12"/>
    <w:rsid w:val="00166530"/>
    <w:rsid w:val="00170027"/>
    <w:rsid w:val="001807F6"/>
    <w:rsid w:val="00182EBA"/>
    <w:rsid w:val="001832BD"/>
    <w:rsid w:val="001943B5"/>
    <w:rsid w:val="00195134"/>
    <w:rsid w:val="001A020C"/>
    <w:rsid w:val="001A145B"/>
    <w:rsid w:val="001A3E09"/>
    <w:rsid w:val="001A674C"/>
    <w:rsid w:val="001B23C8"/>
    <w:rsid w:val="001B33B4"/>
    <w:rsid w:val="001B3B24"/>
    <w:rsid w:val="001C055B"/>
    <w:rsid w:val="001C0F98"/>
    <w:rsid w:val="001C2A42"/>
    <w:rsid w:val="001D63ED"/>
    <w:rsid w:val="001D7348"/>
    <w:rsid w:val="001E035B"/>
    <w:rsid w:val="001E0961"/>
    <w:rsid w:val="001E3EAE"/>
    <w:rsid w:val="001E6857"/>
    <w:rsid w:val="001E6F32"/>
    <w:rsid w:val="001E74B2"/>
    <w:rsid w:val="001F2145"/>
    <w:rsid w:val="001F6262"/>
    <w:rsid w:val="001F67B0"/>
    <w:rsid w:val="001F7B3D"/>
    <w:rsid w:val="00202752"/>
    <w:rsid w:val="0020335A"/>
    <w:rsid w:val="00204664"/>
    <w:rsid w:val="002052BC"/>
    <w:rsid w:val="00205F9F"/>
    <w:rsid w:val="00206012"/>
    <w:rsid w:val="00210338"/>
    <w:rsid w:val="002115FC"/>
    <w:rsid w:val="00213B0F"/>
    <w:rsid w:val="0021423C"/>
    <w:rsid w:val="00230D00"/>
    <w:rsid w:val="00231DF7"/>
    <w:rsid w:val="00231FD1"/>
    <w:rsid w:val="002339E0"/>
    <w:rsid w:val="00233CF8"/>
    <w:rsid w:val="0023575D"/>
    <w:rsid w:val="00237148"/>
    <w:rsid w:val="002400B9"/>
    <w:rsid w:val="0024222D"/>
    <w:rsid w:val="002422B6"/>
    <w:rsid w:val="00244B0E"/>
    <w:rsid w:val="00244F6C"/>
    <w:rsid w:val="00246B89"/>
    <w:rsid w:val="00252C4E"/>
    <w:rsid w:val="002532C5"/>
    <w:rsid w:val="00253C07"/>
    <w:rsid w:val="00254DF2"/>
    <w:rsid w:val="00257A00"/>
    <w:rsid w:val="00260C03"/>
    <w:rsid w:val="0026439A"/>
    <w:rsid w:val="0026540E"/>
    <w:rsid w:val="002677AC"/>
    <w:rsid w:val="0027386F"/>
    <w:rsid w:val="00273D99"/>
    <w:rsid w:val="00275123"/>
    <w:rsid w:val="00281277"/>
    <w:rsid w:val="00281B7C"/>
    <w:rsid w:val="00282240"/>
    <w:rsid w:val="00282BD8"/>
    <w:rsid w:val="00287AD5"/>
    <w:rsid w:val="002934D0"/>
    <w:rsid w:val="00293676"/>
    <w:rsid w:val="00293BD9"/>
    <w:rsid w:val="002948AD"/>
    <w:rsid w:val="00295C5A"/>
    <w:rsid w:val="002A01CC"/>
    <w:rsid w:val="002A613A"/>
    <w:rsid w:val="002A61B1"/>
    <w:rsid w:val="002A663C"/>
    <w:rsid w:val="002B04DB"/>
    <w:rsid w:val="002B444B"/>
    <w:rsid w:val="002B5887"/>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12FC"/>
    <w:rsid w:val="003530D5"/>
    <w:rsid w:val="00355877"/>
    <w:rsid w:val="003564AB"/>
    <w:rsid w:val="00356AC7"/>
    <w:rsid w:val="003609FA"/>
    <w:rsid w:val="003710C8"/>
    <w:rsid w:val="003750BE"/>
    <w:rsid w:val="00384244"/>
    <w:rsid w:val="00385A36"/>
    <w:rsid w:val="00385F3D"/>
    <w:rsid w:val="0038740C"/>
    <w:rsid w:val="00387B9D"/>
    <w:rsid w:val="00387C70"/>
    <w:rsid w:val="00387CAD"/>
    <w:rsid w:val="00390294"/>
    <w:rsid w:val="0039125D"/>
    <w:rsid w:val="0039364F"/>
    <w:rsid w:val="00396686"/>
    <w:rsid w:val="0039778E"/>
    <w:rsid w:val="003A6A92"/>
    <w:rsid w:val="003A72FA"/>
    <w:rsid w:val="003B0570"/>
    <w:rsid w:val="003B4941"/>
    <w:rsid w:val="003C5714"/>
    <w:rsid w:val="003C6B9F"/>
    <w:rsid w:val="003C6E2A"/>
    <w:rsid w:val="003D0299"/>
    <w:rsid w:val="003E5AE4"/>
    <w:rsid w:val="003E6D80"/>
    <w:rsid w:val="003F05FA"/>
    <w:rsid w:val="003F244A"/>
    <w:rsid w:val="003F2517"/>
    <w:rsid w:val="003F30B8"/>
    <w:rsid w:val="003F4C45"/>
    <w:rsid w:val="003F5F7B"/>
    <w:rsid w:val="003F7D64"/>
    <w:rsid w:val="00404093"/>
    <w:rsid w:val="0040433A"/>
    <w:rsid w:val="00414300"/>
    <w:rsid w:val="00414F27"/>
    <w:rsid w:val="00416722"/>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0EF9"/>
    <w:rsid w:val="00511C07"/>
    <w:rsid w:val="005125CB"/>
    <w:rsid w:val="00512EC4"/>
    <w:rsid w:val="0051725A"/>
    <w:rsid w:val="005173A6"/>
    <w:rsid w:val="00520354"/>
    <w:rsid w:val="00520BAA"/>
    <w:rsid w:val="005217D8"/>
    <w:rsid w:val="0052415F"/>
    <w:rsid w:val="00525208"/>
    <w:rsid w:val="005257A5"/>
    <w:rsid w:val="005264C0"/>
    <w:rsid w:val="00526A8A"/>
    <w:rsid w:val="00527FB1"/>
    <w:rsid w:val="00530FE6"/>
    <w:rsid w:val="00531DF2"/>
    <w:rsid w:val="0053315C"/>
    <w:rsid w:val="00537476"/>
    <w:rsid w:val="00540092"/>
    <w:rsid w:val="005442EE"/>
    <w:rsid w:val="00545DA6"/>
    <w:rsid w:val="00547353"/>
    <w:rsid w:val="005474E7"/>
    <w:rsid w:val="005512A3"/>
    <w:rsid w:val="005578CE"/>
    <w:rsid w:val="00562781"/>
    <w:rsid w:val="00562B6C"/>
    <w:rsid w:val="005718B0"/>
    <w:rsid w:val="0057271C"/>
    <w:rsid w:val="00572845"/>
    <w:rsid w:val="00577BB7"/>
    <w:rsid w:val="005879A2"/>
    <w:rsid w:val="00592772"/>
    <w:rsid w:val="0059574A"/>
    <w:rsid w:val="005A1B9B"/>
    <w:rsid w:val="005A2E79"/>
    <w:rsid w:val="005A484D"/>
    <w:rsid w:val="005A6751"/>
    <w:rsid w:val="005B092E"/>
    <w:rsid w:val="005B152C"/>
    <w:rsid w:val="005B1EE0"/>
    <w:rsid w:val="005B2B24"/>
    <w:rsid w:val="005B4425"/>
    <w:rsid w:val="005B46A0"/>
    <w:rsid w:val="005B4B94"/>
    <w:rsid w:val="005C3EE8"/>
    <w:rsid w:val="005D2F2A"/>
    <w:rsid w:val="005D34F9"/>
    <w:rsid w:val="005D4190"/>
    <w:rsid w:val="005D67A3"/>
    <w:rsid w:val="005D7D5C"/>
    <w:rsid w:val="005E2988"/>
    <w:rsid w:val="005E3085"/>
    <w:rsid w:val="005F0EB3"/>
    <w:rsid w:val="005F51E1"/>
    <w:rsid w:val="00603703"/>
    <w:rsid w:val="00611C80"/>
    <w:rsid w:val="00615191"/>
    <w:rsid w:val="00617C75"/>
    <w:rsid w:val="00620692"/>
    <w:rsid w:val="00620BFF"/>
    <w:rsid w:val="006242CA"/>
    <w:rsid w:val="00627507"/>
    <w:rsid w:val="00633717"/>
    <w:rsid w:val="006344E1"/>
    <w:rsid w:val="00643524"/>
    <w:rsid w:val="0064393B"/>
    <w:rsid w:val="00645CF2"/>
    <w:rsid w:val="006545C4"/>
    <w:rsid w:val="00661971"/>
    <w:rsid w:val="00661CE8"/>
    <w:rsid w:val="006623D9"/>
    <w:rsid w:val="006642A5"/>
    <w:rsid w:val="0066550C"/>
    <w:rsid w:val="0066595B"/>
    <w:rsid w:val="00665BD2"/>
    <w:rsid w:val="006716F2"/>
    <w:rsid w:val="00673724"/>
    <w:rsid w:val="00675AF2"/>
    <w:rsid w:val="00682BF2"/>
    <w:rsid w:val="00684C4F"/>
    <w:rsid w:val="0068573E"/>
    <w:rsid w:val="006859CE"/>
    <w:rsid w:val="00691270"/>
    <w:rsid w:val="00694BA8"/>
    <w:rsid w:val="006A037C"/>
    <w:rsid w:val="006A0C84"/>
    <w:rsid w:val="006A36F4"/>
    <w:rsid w:val="006A406F"/>
    <w:rsid w:val="006A5D3A"/>
    <w:rsid w:val="006B1942"/>
    <w:rsid w:val="006B67A5"/>
    <w:rsid w:val="006C23D4"/>
    <w:rsid w:val="006C7BB0"/>
    <w:rsid w:val="006D3237"/>
    <w:rsid w:val="006D34D9"/>
    <w:rsid w:val="006D3BAE"/>
    <w:rsid w:val="006E2E37"/>
    <w:rsid w:val="006E3CF1"/>
    <w:rsid w:val="006E6538"/>
    <w:rsid w:val="006E68A3"/>
    <w:rsid w:val="006E7E80"/>
    <w:rsid w:val="006F1C2D"/>
    <w:rsid w:val="006F3D6C"/>
    <w:rsid w:val="006F48CA"/>
    <w:rsid w:val="006F64DD"/>
    <w:rsid w:val="006F712D"/>
    <w:rsid w:val="006F7F4F"/>
    <w:rsid w:val="00712630"/>
    <w:rsid w:val="00715127"/>
    <w:rsid w:val="00715E8E"/>
    <w:rsid w:val="00723580"/>
    <w:rsid w:val="00723755"/>
    <w:rsid w:val="00723AE1"/>
    <w:rsid w:val="0073136C"/>
    <w:rsid w:val="00731F0F"/>
    <w:rsid w:val="00733250"/>
    <w:rsid w:val="00741404"/>
    <w:rsid w:val="007449E5"/>
    <w:rsid w:val="00744CBE"/>
    <w:rsid w:val="00744F55"/>
    <w:rsid w:val="0074750E"/>
    <w:rsid w:val="00747FF0"/>
    <w:rsid w:val="0075566E"/>
    <w:rsid w:val="00763602"/>
    <w:rsid w:val="00764D4E"/>
    <w:rsid w:val="00765A1F"/>
    <w:rsid w:val="00775B6D"/>
    <w:rsid w:val="00776D68"/>
    <w:rsid w:val="0078323E"/>
    <w:rsid w:val="007850EE"/>
    <w:rsid w:val="00785B95"/>
    <w:rsid w:val="00786F89"/>
    <w:rsid w:val="00790E96"/>
    <w:rsid w:val="007926FD"/>
    <w:rsid w:val="00793366"/>
    <w:rsid w:val="0079666C"/>
    <w:rsid w:val="007A716F"/>
    <w:rsid w:val="007B270A"/>
    <w:rsid w:val="007B4182"/>
    <w:rsid w:val="007B4AC7"/>
    <w:rsid w:val="007C0695"/>
    <w:rsid w:val="007C3B9F"/>
    <w:rsid w:val="007C419A"/>
    <w:rsid w:val="007C4CC8"/>
    <w:rsid w:val="007C5426"/>
    <w:rsid w:val="007C5798"/>
    <w:rsid w:val="007D1ECD"/>
    <w:rsid w:val="007D282E"/>
    <w:rsid w:val="007D30BE"/>
    <w:rsid w:val="007D3701"/>
    <w:rsid w:val="007D4832"/>
    <w:rsid w:val="007E21B2"/>
    <w:rsid w:val="007E2C4E"/>
    <w:rsid w:val="007E2C8C"/>
    <w:rsid w:val="007E51BA"/>
    <w:rsid w:val="007E73D7"/>
    <w:rsid w:val="007F075A"/>
    <w:rsid w:val="007F1905"/>
    <w:rsid w:val="007F22CB"/>
    <w:rsid w:val="007F27E4"/>
    <w:rsid w:val="007F3437"/>
    <w:rsid w:val="00802C64"/>
    <w:rsid w:val="00803D3D"/>
    <w:rsid w:val="00805E52"/>
    <w:rsid w:val="008061D0"/>
    <w:rsid w:val="00810B38"/>
    <w:rsid w:val="008204C7"/>
    <w:rsid w:val="00820992"/>
    <w:rsid w:val="00820DBA"/>
    <w:rsid w:val="00823602"/>
    <w:rsid w:val="008255F5"/>
    <w:rsid w:val="00826890"/>
    <w:rsid w:val="0083014E"/>
    <w:rsid w:val="0083214A"/>
    <w:rsid w:val="00834220"/>
    <w:rsid w:val="00845723"/>
    <w:rsid w:val="00846C43"/>
    <w:rsid w:val="008519E7"/>
    <w:rsid w:val="00851EF9"/>
    <w:rsid w:val="008577FD"/>
    <w:rsid w:val="00860B03"/>
    <w:rsid w:val="0086497A"/>
    <w:rsid w:val="00867042"/>
    <w:rsid w:val="00867066"/>
    <w:rsid w:val="008713A1"/>
    <w:rsid w:val="00871915"/>
    <w:rsid w:val="00872584"/>
    <w:rsid w:val="008754AB"/>
    <w:rsid w:val="0088060C"/>
    <w:rsid w:val="00882CD5"/>
    <w:rsid w:val="00883151"/>
    <w:rsid w:val="0088621B"/>
    <w:rsid w:val="008931DA"/>
    <w:rsid w:val="00893576"/>
    <w:rsid w:val="00893781"/>
    <w:rsid w:val="00893E73"/>
    <w:rsid w:val="008B02DC"/>
    <w:rsid w:val="008B092C"/>
    <w:rsid w:val="008B57CE"/>
    <w:rsid w:val="008C26DE"/>
    <w:rsid w:val="008C3C5D"/>
    <w:rsid w:val="008D2225"/>
    <w:rsid w:val="008D4752"/>
    <w:rsid w:val="008D57D8"/>
    <w:rsid w:val="008D5A13"/>
    <w:rsid w:val="008D5B23"/>
    <w:rsid w:val="008E271C"/>
    <w:rsid w:val="008E3A08"/>
    <w:rsid w:val="008E418E"/>
    <w:rsid w:val="008E5BC6"/>
    <w:rsid w:val="008E6217"/>
    <w:rsid w:val="008E6A25"/>
    <w:rsid w:val="008F2554"/>
    <w:rsid w:val="008F3AEC"/>
    <w:rsid w:val="008F43AE"/>
    <w:rsid w:val="008F4D80"/>
    <w:rsid w:val="008F5193"/>
    <w:rsid w:val="008F5CA4"/>
    <w:rsid w:val="008F6B36"/>
    <w:rsid w:val="009013A7"/>
    <w:rsid w:val="009017FB"/>
    <w:rsid w:val="009017FC"/>
    <w:rsid w:val="0090506B"/>
    <w:rsid w:val="009050C9"/>
    <w:rsid w:val="009066FC"/>
    <w:rsid w:val="009140A3"/>
    <w:rsid w:val="009144A2"/>
    <w:rsid w:val="0091510C"/>
    <w:rsid w:val="009259AC"/>
    <w:rsid w:val="00926F38"/>
    <w:rsid w:val="00927BEB"/>
    <w:rsid w:val="00932183"/>
    <w:rsid w:val="009333DC"/>
    <w:rsid w:val="00934301"/>
    <w:rsid w:val="00936CD1"/>
    <w:rsid w:val="00941747"/>
    <w:rsid w:val="00941EFB"/>
    <w:rsid w:val="00947AFB"/>
    <w:rsid w:val="00951AA3"/>
    <w:rsid w:val="00951D7D"/>
    <w:rsid w:val="00956D0C"/>
    <w:rsid w:val="009630C7"/>
    <w:rsid w:val="00966F61"/>
    <w:rsid w:val="00972B55"/>
    <w:rsid w:val="009743B7"/>
    <w:rsid w:val="009762E1"/>
    <w:rsid w:val="0098228B"/>
    <w:rsid w:val="009828DA"/>
    <w:rsid w:val="0098410D"/>
    <w:rsid w:val="00985BAB"/>
    <w:rsid w:val="00986B3C"/>
    <w:rsid w:val="009A115C"/>
    <w:rsid w:val="009A2C11"/>
    <w:rsid w:val="009A7FC1"/>
    <w:rsid w:val="009B1606"/>
    <w:rsid w:val="009B1B5F"/>
    <w:rsid w:val="009B6673"/>
    <w:rsid w:val="009C191B"/>
    <w:rsid w:val="009C2BD6"/>
    <w:rsid w:val="009D57AA"/>
    <w:rsid w:val="009E1F32"/>
    <w:rsid w:val="009E2CC2"/>
    <w:rsid w:val="009E47A2"/>
    <w:rsid w:val="009E776C"/>
    <w:rsid w:val="009E7A6F"/>
    <w:rsid w:val="009F4C8F"/>
    <w:rsid w:val="00A005D0"/>
    <w:rsid w:val="00A02972"/>
    <w:rsid w:val="00A05588"/>
    <w:rsid w:val="00A10930"/>
    <w:rsid w:val="00A15601"/>
    <w:rsid w:val="00A1726E"/>
    <w:rsid w:val="00A204CF"/>
    <w:rsid w:val="00A21D2B"/>
    <w:rsid w:val="00A22745"/>
    <w:rsid w:val="00A23D49"/>
    <w:rsid w:val="00A27004"/>
    <w:rsid w:val="00A27F42"/>
    <w:rsid w:val="00A308CE"/>
    <w:rsid w:val="00A30C29"/>
    <w:rsid w:val="00A34DD6"/>
    <w:rsid w:val="00A35683"/>
    <w:rsid w:val="00A36819"/>
    <w:rsid w:val="00A36989"/>
    <w:rsid w:val="00A41D86"/>
    <w:rsid w:val="00A43628"/>
    <w:rsid w:val="00A51D0F"/>
    <w:rsid w:val="00A54192"/>
    <w:rsid w:val="00A57147"/>
    <w:rsid w:val="00A6035E"/>
    <w:rsid w:val="00A6144C"/>
    <w:rsid w:val="00A66617"/>
    <w:rsid w:val="00A671F8"/>
    <w:rsid w:val="00A673A4"/>
    <w:rsid w:val="00A724AE"/>
    <w:rsid w:val="00A73329"/>
    <w:rsid w:val="00A82359"/>
    <w:rsid w:val="00A8263A"/>
    <w:rsid w:val="00A865D2"/>
    <w:rsid w:val="00A90BCD"/>
    <w:rsid w:val="00A94C20"/>
    <w:rsid w:val="00AA1B09"/>
    <w:rsid w:val="00AA227F"/>
    <w:rsid w:val="00AA3BC7"/>
    <w:rsid w:val="00AA754A"/>
    <w:rsid w:val="00AB099E"/>
    <w:rsid w:val="00AB4328"/>
    <w:rsid w:val="00AC4CD4"/>
    <w:rsid w:val="00AE0A2E"/>
    <w:rsid w:val="00AE2676"/>
    <w:rsid w:val="00AE354C"/>
    <w:rsid w:val="00AE3CF2"/>
    <w:rsid w:val="00AF4B07"/>
    <w:rsid w:val="00AF6186"/>
    <w:rsid w:val="00AF7A3A"/>
    <w:rsid w:val="00B02587"/>
    <w:rsid w:val="00B028E2"/>
    <w:rsid w:val="00B049D1"/>
    <w:rsid w:val="00B160DB"/>
    <w:rsid w:val="00B20836"/>
    <w:rsid w:val="00B235BB"/>
    <w:rsid w:val="00B27A44"/>
    <w:rsid w:val="00B30BBF"/>
    <w:rsid w:val="00B33C03"/>
    <w:rsid w:val="00B42201"/>
    <w:rsid w:val="00B42C0A"/>
    <w:rsid w:val="00B4421F"/>
    <w:rsid w:val="00B44E56"/>
    <w:rsid w:val="00B45917"/>
    <w:rsid w:val="00B46543"/>
    <w:rsid w:val="00B46AF5"/>
    <w:rsid w:val="00B47D33"/>
    <w:rsid w:val="00B52BE0"/>
    <w:rsid w:val="00B5309D"/>
    <w:rsid w:val="00B54133"/>
    <w:rsid w:val="00B67569"/>
    <w:rsid w:val="00B701ED"/>
    <w:rsid w:val="00B7389F"/>
    <w:rsid w:val="00B748F7"/>
    <w:rsid w:val="00B8086C"/>
    <w:rsid w:val="00B81C58"/>
    <w:rsid w:val="00B8353B"/>
    <w:rsid w:val="00B861B4"/>
    <w:rsid w:val="00B86DFE"/>
    <w:rsid w:val="00B90990"/>
    <w:rsid w:val="00B922FF"/>
    <w:rsid w:val="00B9281E"/>
    <w:rsid w:val="00B93925"/>
    <w:rsid w:val="00B93F7E"/>
    <w:rsid w:val="00B9467A"/>
    <w:rsid w:val="00B95187"/>
    <w:rsid w:val="00BA2D55"/>
    <w:rsid w:val="00BA71B1"/>
    <w:rsid w:val="00BB0637"/>
    <w:rsid w:val="00BB345F"/>
    <w:rsid w:val="00BB68EA"/>
    <w:rsid w:val="00BC0B99"/>
    <w:rsid w:val="00BC1C27"/>
    <w:rsid w:val="00BC6BBF"/>
    <w:rsid w:val="00BD109E"/>
    <w:rsid w:val="00BD1572"/>
    <w:rsid w:val="00BE14E3"/>
    <w:rsid w:val="00BE3774"/>
    <w:rsid w:val="00BE41E5"/>
    <w:rsid w:val="00BF118F"/>
    <w:rsid w:val="00BF4109"/>
    <w:rsid w:val="00BF4CC3"/>
    <w:rsid w:val="00C012CF"/>
    <w:rsid w:val="00C054C7"/>
    <w:rsid w:val="00C057B5"/>
    <w:rsid w:val="00C079BF"/>
    <w:rsid w:val="00C07D0E"/>
    <w:rsid w:val="00C115C3"/>
    <w:rsid w:val="00C15547"/>
    <w:rsid w:val="00C1672D"/>
    <w:rsid w:val="00C22687"/>
    <w:rsid w:val="00C26A92"/>
    <w:rsid w:val="00C26B1C"/>
    <w:rsid w:val="00C32E4D"/>
    <w:rsid w:val="00C333A0"/>
    <w:rsid w:val="00C362F4"/>
    <w:rsid w:val="00C36A81"/>
    <w:rsid w:val="00C40DFB"/>
    <w:rsid w:val="00C41974"/>
    <w:rsid w:val="00C44478"/>
    <w:rsid w:val="00C44A2C"/>
    <w:rsid w:val="00C44F09"/>
    <w:rsid w:val="00C477F7"/>
    <w:rsid w:val="00C509A6"/>
    <w:rsid w:val="00C53F4A"/>
    <w:rsid w:val="00C54125"/>
    <w:rsid w:val="00C55B54"/>
    <w:rsid w:val="00C6098E"/>
    <w:rsid w:val="00C6152C"/>
    <w:rsid w:val="00C74810"/>
    <w:rsid w:val="00C83590"/>
    <w:rsid w:val="00C90D68"/>
    <w:rsid w:val="00C939FE"/>
    <w:rsid w:val="00C940D7"/>
    <w:rsid w:val="00CA38EB"/>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E6EF7"/>
    <w:rsid w:val="00CF2397"/>
    <w:rsid w:val="00D00387"/>
    <w:rsid w:val="00D00ABB"/>
    <w:rsid w:val="00D02EEC"/>
    <w:rsid w:val="00D03551"/>
    <w:rsid w:val="00D06A63"/>
    <w:rsid w:val="00D07E0E"/>
    <w:rsid w:val="00D10CD6"/>
    <w:rsid w:val="00D11478"/>
    <w:rsid w:val="00D15ED0"/>
    <w:rsid w:val="00D164BF"/>
    <w:rsid w:val="00D21B3E"/>
    <w:rsid w:val="00D21FED"/>
    <w:rsid w:val="00D23048"/>
    <w:rsid w:val="00D24251"/>
    <w:rsid w:val="00D2552F"/>
    <w:rsid w:val="00D26E72"/>
    <w:rsid w:val="00D343E2"/>
    <w:rsid w:val="00D361A2"/>
    <w:rsid w:val="00D37272"/>
    <w:rsid w:val="00D44C2E"/>
    <w:rsid w:val="00D45414"/>
    <w:rsid w:val="00D50A0A"/>
    <w:rsid w:val="00D53548"/>
    <w:rsid w:val="00D5576B"/>
    <w:rsid w:val="00D566BD"/>
    <w:rsid w:val="00D57A4D"/>
    <w:rsid w:val="00D60AA7"/>
    <w:rsid w:val="00D63C2B"/>
    <w:rsid w:val="00D6435F"/>
    <w:rsid w:val="00D65BFB"/>
    <w:rsid w:val="00D66471"/>
    <w:rsid w:val="00D70641"/>
    <w:rsid w:val="00D72B79"/>
    <w:rsid w:val="00D74888"/>
    <w:rsid w:val="00D7488B"/>
    <w:rsid w:val="00D75E28"/>
    <w:rsid w:val="00D772C2"/>
    <w:rsid w:val="00D8008E"/>
    <w:rsid w:val="00D82C45"/>
    <w:rsid w:val="00D908A8"/>
    <w:rsid w:val="00D94CFD"/>
    <w:rsid w:val="00D977B6"/>
    <w:rsid w:val="00DA1223"/>
    <w:rsid w:val="00DA2FAE"/>
    <w:rsid w:val="00DA4A31"/>
    <w:rsid w:val="00DA7B04"/>
    <w:rsid w:val="00DB36C2"/>
    <w:rsid w:val="00DC169B"/>
    <w:rsid w:val="00DC2AB9"/>
    <w:rsid w:val="00DC63F0"/>
    <w:rsid w:val="00DD37EA"/>
    <w:rsid w:val="00DD6EE5"/>
    <w:rsid w:val="00DE386C"/>
    <w:rsid w:val="00DE4D35"/>
    <w:rsid w:val="00DE6494"/>
    <w:rsid w:val="00DE7400"/>
    <w:rsid w:val="00DF098B"/>
    <w:rsid w:val="00DF11C4"/>
    <w:rsid w:val="00DF1D31"/>
    <w:rsid w:val="00DF210C"/>
    <w:rsid w:val="00DF4B6A"/>
    <w:rsid w:val="00DF70B0"/>
    <w:rsid w:val="00DF7B26"/>
    <w:rsid w:val="00DF7D8F"/>
    <w:rsid w:val="00E004C0"/>
    <w:rsid w:val="00E02C09"/>
    <w:rsid w:val="00E04D59"/>
    <w:rsid w:val="00E07DA1"/>
    <w:rsid w:val="00E1044D"/>
    <w:rsid w:val="00E11BAA"/>
    <w:rsid w:val="00E123CB"/>
    <w:rsid w:val="00E13B09"/>
    <w:rsid w:val="00E20E13"/>
    <w:rsid w:val="00E21DBC"/>
    <w:rsid w:val="00E275D7"/>
    <w:rsid w:val="00E27DBE"/>
    <w:rsid w:val="00E30E6C"/>
    <w:rsid w:val="00E32AB1"/>
    <w:rsid w:val="00E36C71"/>
    <w:rsid w:val="00E40404"/>
    <w:rsid w:val="00E4126A"/>
    <w:rsid w:val="00E42A06"/>
    <w:rsid w:val="00E459C6"/>
    <w:rsid w:val="00E47589"/>
    <w:rsid w:val="00E51D25"/>
    <w:rsid w:val="00E55EE5"/>
    <w:rsid w:val="00E57162"/>
    <w:rsid w:val="00E63EC7"/>
    <w:rsid w:val="00E64915"/>
    <w:rsid w:val="00E64D3A"/>
    <w:rsid w:val="00E661D4"/>
    <w:rsid w:val="00E67565"/>
    <w:rsid w:val="00E70091"/>
    <w:rsid w:val="00E70D2E"/>
    <w:rsid w:val="00E720F5"/>
    <w:rsid w:val="00E76021"/>
    <w:rsid w:val="00E76D47"/>
    <w:rsid w:val="00E827BC"/>
    <w:rsid w:val="00E849F7"/>
    <w:rsid w:val="00E87F78"/>
    <w:rsid w:val="00E90302"/>
    <w:rsid w:val="00E91A3A"/>
    <w:rsid w:val="00E91D05"/>
    <w:rsid w:val="00E92076"/>
    <w:rsid w:val="00E9262D"/>
    <w:rsid w:val="00E95C1E"/>
    <w:rsid w:val="00E97396"/>
    <w:rsid w:val="00EA185E"/>
    <w:rsid w:val="00EA592A"/>
    <w:rsid w:val="00EB14E4"/>
    <w:rsid w:val="00EB32A5"/>
    <w:rsid w:val="00EB34ED"/>
    <w:rsid w:val="00EB447C"/>
    <w:rsid w:val="00EB632E"/>
    <w:rsid w:val="00EB7BE0"/>
    <w:rsid w:val="00EC315E"/>
    <w:rsid w:val="00EC59CF"/>
    <w:rsid w:val="00ED077C"/>
    <w:rsid w:val="00ED10A9"/>
    <w:rsid w:val="00ED1190"/>
    <w:rsid w:val="00ED31F2"/>
    <w:rsid w:val="00ED34AC"/>
    <w:rsid w:val="00ED6544"/>
    <w:rsid w:val="00ED7240"/>
    <w:rsid w:val="00EE0277"/>
    <w:rsid w:val="00EE2899"/>
    <w:rsid w:val="00EE3E00"/>
    <w:rsid w:val="00EE5DD2"/>
    <w:rsid w:val="00EF36C5"/>
    <w:rsid w:val="00EF3DB4"/>
    <w:rsid w:val="00F00A79"/>
    <w:rsid w:val="00F00D13"/>
    <w:rsid w:val="00F00E86"/>
    <w:rsid w:val="00F07C1E"/>
    <w:rsid w:val="00F105DB"/>
    <w:rsid w:val="00F132BC"/>
    <w:rsid w:val="00F13D80"/>
    <w:rsid w:val="00F13E48"/>
    <w:rsid w:val="00F14229"/>
    <w:rsid w:val="00F15B4D"/>
    <w:rsid w:val="00F16A7C"/>
    <w:rsid w:val="00F16AAA"/>
    <w:rsid w:val="00F1709C"/>
    <w:rsid w:val="00F21161"/>
    <w:rsid w:val="00F218EF"/>
    <w:rsid w:val="00F21BC7"/>
    <w:rsid w:val="00F24266"/>
    <w:rsid w:val="00F266A2"/>
    <w:rsid w:val="00F32269"/>
    <w:rsid w:val="00F35B7A"/>
    <w:rsid w:val="00F440D2"/>
    <w:rsid w:val="00F56A6F"/>
    <w:rsid w:val="00F5709C"/>
    <w:rsid w:val="00F6061B"/>
    <w:rsid w:val="00F60B85"/>
    <w:rsid w:val="00F60F07"/>
    <w:rsid w:val="00F63C16"/>
    <w:rsid w:val="00F64EF1"/>
    <w:rsid w:val="00F72B14"/>
    <w:rsid w:val="00F7349B"/>
    <w:rsid w:val="00F84735"/>
    <w:rsid w:val="00F84EC3"/>
    <w:rsid w:val="00F8765F"/>
    <w:rsid w:val="00F90767"/>
    <w:rsid w:val="00F9263C"/>
    <w:rsid w:val="00FA1637"/>
    <w:rsid w:val="00FA685B"/>
    <w:rsid w:val="00FB0C01"/>
    <w:rsid w:val="00FB5934"/>
    <w:rsid w:val="00FC18F2"/>
    <w:rsid w:val="00FC1B19"/>
    <w:rsid w:val="00FC2400"/>
    <w:rsid w:val="00FC2691"/>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865F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8F5CA4"/>
    <w:rPr>
      <w:sz w:val="24"/>
      <w:szCs w:val="24"/>
      <w:lang w:val="en-GB"/>
    </w:rPr>
  </w:style>
  <w:style w:type="paragraph" w:styleId="Nagwek1">
    <w:name w:val="heading 1"/>
    <w:basedOn w:val="Normalny"/>
    <w:next w:val="Normalny"/>
    <w:link w:val="Nagwek1Znak"/>
    <w:uiPriority w:val="98"/>
    <w:semiHidden/>
    <w:rsid w:val="008F5CA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8F5CA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8F5CA4"/>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8F5CA4"/>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8F5CA4"/>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8F5CA4"/>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8F5CA4"/>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8F5CA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8F5CA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8F5CA4"/>
    <w:rPr>
      <w:rFonts w:ascii="Tahoma" w:hAnsi="Tahoma" w:cs="Tahoma"/>
      <w:sz w:val="16"/>
      <w:szCs w:val="16"/>
    </w:rPr>
  </w:style>
  <w:style w:type="character" w:customStyle="1" w:styleId="TekstdymkaZnak">
    <w:name w:val="Tekst dymka Znak"/>
    <w:basedOn w:val="Domylnaczcionkaakapitu"/>
    <w:link w:val="Tekstdymka"/>
    <w:uiPriority w:val="98"/>
    <w:semiHidden/>
    <w:rsid w:val="008F5CA4"/>
    <w:rPr>
      <w:rFonts w:ascii="Tahoma" w:hAnsi="Tahoma" w:cs="Tahoma"/>
      <w:sz w:val="16"/>
      <w:szCs w:val="16"/>
      <w:lang w:val="en-GB"/>
    </w:rPr>
  </w:style>
  <w:style w:type="character" w:styleId="Tytuksiki">
    <w:name w:val="Book Title"/>
    <w:uiPriority w:val="98"/>
    <w:semiHidden/>
    <w:qFormat/>
    <w:rsid w:val="008F5CA4"/>
    <w:rPr>
      <w:i/>
      <w:iCs/>
      <w:smallCaps/>
      <w:spacing w:val="5"/>
    </w:rPr>
  </w:style>
  <w:style w:type="paragraph" w:customStyle="1" w:styleId="JuHeader">
    <w:name w:val="Ju_Header"/>
    <w:aliases w:val="_Header"/>
    <w:basedOn w:val="Nagwek"/>
    <w:uiPriority w:val="29"/>
    <w:qFormat/>
    <w:rsid w:val="008F5CA4"/>
    <w:pPr>
      <w:tabs>
        <w:tab w:val="clear" w:pos="4536"/>
        <w:tab w:val="clear" w:pos="9072"/>
      </w:tabs>
      <w:jc w:val="center"/>
    </w:pPr>
    <w:rPr>
      <w:sz w:val="18"/>
    </w:rPr>
  </w:style>
  <w:style w:type="paragraph" w:customStyle="1" w:styleId="NormalJustified">
    <w:name w:val="Normal_Justified"/>
    <w:basedOn w:val="Normalny"/>
    <w:semiHidden/>
    <w:rsid w:val="008F5CA4"/>
    <w:pPr>
      <w:jc w:val="both"/>
    </w:pPr>
  </w:style>
  <w:style w:type="character" w:styleId="Pogrubienie">
    <w:name w:val="Strong"/>
    <w:uiPriority w:val="98"/>
    <w:semiHidden/>
    <w:qFormat/>
    <w:rsid w:val="008F5CA4"/>
    <w:rPr>
      <w:b/>
      <w:bCs/>
    </w:rPr>
  </w:style>
  <w:style w:type="paragraph" w:styleId="Bezodstpw">
    <w:name w:val="No Spacing"/>
    <w:basedOn w:val="Normalny"/>
    <w:link w:val="BezodstpwZnak"/>
    <w:uiPriority w:val="98"/>
    <w:semiHidden/>
    <w:qFormat/>
    <w:rsid w:val="008F5CA4"/>
  </w:style>
  <w:style w:type="character" w:customStyle="1" w:styleId="BezodstpwZnak">
    <w:name w:val="Bez odstępów Znak"/>
    <w:basedOn w:val="Domylnaczcionkaakapitu"/>
    <w:link w:val="Bezodstpw"/>
    <w:uiPriority w:val="98"/>
    <w:semiHidden/>
    <w:rsid w:val="008F5CA4"/>
    <w:rPr>
      <w:sz w:val="24"/>
      <w:szCs w:val="24"/>
      <w:lang w:val="en-GB"/>
    </w:rPr>
  </w:style>
  <w:style w:type="paragraph" w:customStyle="1" w:styleId="JuQuot">
    <w:name w:val="Ju_Quot"/>
    <w:aliases w:val="_Quote"/>
    <w:basedOn w:val="NormalJustified"/>
    <w:uiPriority w:val="20"/>
    <w:qFormat/>
    <w:rsid w:val="008F5CA4"/>
    <w:pPr>
      <w:spacing w:before="120" w:after="120"/>
      <w:ind w:left="425" w:firstLine="142"/>
    </w:pPr>
    <w:rPr>
      <w:sz w:val="20"/>
    </w:rPr>
  </w:style>
  <w:style w:type="paragraph" w:customStyle="1" w:styleId="DummyStyle">
    <w:name w:val="Dummy_Style"/>
    <w:aliases w:val="_Dummy"/>
    <w:basedOn w:val="Normalny"/>
    <w:semiHidden/>
    <w:qFormat/>
    <w:rsid w:val="008F5CA4"/>
    <w:rPr>
      <w:color w:val="00B050"/>
      <w:sz w:val="22"/>
    </w:rPr>
  </w:style>
  <w:style w:type="paragraph" w:customStyle="1" w:styleId="JuList">
    <w:name w:val="Ju_List"/>
    <w:aliases w:val="_List_1"/>
    <w:basedOn w:val="NormalJustified"/>
    <w:uiPriority w:val="23"/>
    <w:qFormat/>
    <w:rsid w:val="008F5CA4"/>
    <w:pPr>
      <w:numPr>
        <w:numId w:val="13"/>
      </w:numPr>
      <w:spacing w:before="280" w:after="60"/>
    </w:pPr>
  </w:style>
  <w:style w:type="paragraph" w:customStyle="1" w:styleId="JuLista">
    <w:name w:val="Ju_List_a"/>
    <w:aliases w:val="_List_2"/>
    <w:basedOn w:val="NormalJustified"/>
    <w:uiPriority w:val="23"/>
    <w:rsid w:val="008F5CA4"/>
    <w:pPr>
      <w:numPr>
        <w:ilvl w:val="1"/>
        <w:numId w:val="13"/>
      </w:numPr>
    </w:pPr>
  </w:style>
  <w:style w:type="paragraph" w:customStyle="1" w:styleId="JuListi">
    <w:name w:val="Ju_List_i"/>
    <w:aliases w:val="_List_3"/>
    <w:basedOn w:val="NormalJustified"/>
    <w:uiPriority w:val="23"/>
    <w:rsid w:val="008F5CA4"/>
    <w:pPr>
      <w:numPr>
        <w:ilvl w:val="2"/>
        <w:numId w:val="13"/>
      </w:numPr>
    </w:pPr>
  </w:style>
  <w:style w:type="paragraph" w:customStyle="1" w:styleId="JuHArticle">
    <w:name w:val="Ju_H_Article"/>
    <w:aliases w:val="_Title_Quote"/>
    <w:basedOn w:val="Normalny"/>
    <w:next w:val="JuQuot"/>
    <w:uiPriority w:val="19"/>
    <w:qFormat/>
    <w:rsid w:val="008F5CA4"/>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8F5CA4"/>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8F5CA4"/>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8F5CA4"/>
    <w:pPr>
      <w:keepNext/>
      <w:keepLines/>
      <w:numPr>
        <w:numId w:val="12"/>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8F5CA4"/>
    <w:pPr>
      <w:numPr>
        <w:numId w:val="7"/>
      </w:numPr>
    </w:pPr>
  </w:style>
  <w:style w:type="paragraph" w:customStyle="1" w:styleId="JuSigned">
    <w:name w:val="Ju_Signed"/>
    <w:aliases w:val="_Signature"/>
    <w:basedOn w:val="Normalny"/>
    <w:next w:val="JuPara"/>
    <w:uiPriority w:val="31"/>
    <w:qFormat/>
    <w:rsid w:val="008F5CA4"/>
    <w:pPr>
      <w:tabs>
        <w:tab w:val="center" w:pos="1418"/>
        <w:tab w:val="center" w:pos="5954"/>
      </w:tabs>
      <w:spacing w:before="720"/>
    </w:pPr>
  </w:style>
  <w:style w:type="paragraph" w:styleId="Tytu">
    <w:name w:val="Title"/>
    <w:basedOn w:val="Normalny"/>
    <w:next w:val="Normalny"/>
    <w:link w:val="TytuZnak"/>
    <w:uiPriority w:val="98"/>
    <w:semiHidden/>
    <w:qFormat/>
    <w:rsid w:val="008F5CA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8F5CA4"/>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Bezlisty"/>
    <w:uiPriority w:val="99"/>
    <w:rsid w:val="008F5CA4"/>
    <w:pPr>
      <w:numPr>
        <w:numId w:val="8"/>
      </w:numPr>
    </w:pPr>
  </w:style>
  <w:style w:type="numbering" w:customStyle="1" w:styleId="ECHRA1StyleNumberedList">
    <w:name w:val="ECHR_A1_Style_Numbered_List"/>
    <w:basedOn w:val="Bezlisty"/>
    <w:rsid w:val="008F5CA4"/>
    <w:pPr>
      <w:numPr>
        <w:numId w:val="9"/>
      </w:numPr>
    </w:pPr>
  </w:style>
  <w:style w:type="table" w:customStyle="1" w:styleId="ECHRTable2019">
    <w:name w:val="ECHR_Table_2019"/>
    <w:basedOn w:val="Standardowy"/>
    <w:uiPriority w:val="99"/>
    <w:rsid w:val="008F5CA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8F5CA4"/>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8F5CA4"/>
    <w:pPr>
      <w:keepNext/>
      <w:keepLines/>
      <w:numPr>
        <w:ilvl w:val="1"/>
        <w:numId w:val="12"/>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8F5CA4"/>
    <w:pPr>
      <w:keepNext/>
      <w:keepLines/>
      <w:numPr>
        <w:ilvl w:val="2"/>
        <w:numId w:val="12"/>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8F5CA4"/>
    <w:pPr>
      <w:keepNext/>
      <w:keepLines/>
      <w:numPr>
        <w:ilvl w:val="3"/>
        <w:numId w:val="12"/>
      </w:numPr>
      <w:spacing w:before="100" w:beforeAutospacing="1" w:after="120"/>
      <w:jc w:val="both"/>
    </w:pPr>
    <w:rPr>
      <w:b w:val="0"/>
      <w:color w:val="auto"/>
      <w:sz w:val="24"/>
    </w:rPr>
  </w:style>
  <w:style w:type="paragraph" w:styleId="Nagwek">
    <w:name w:val="header"/>
    <w:basedOn w:val="Normalny"/>
    <w:link w:val="NagwekZnak"/>
    <w:uiPriority w:val="98"/>
    <w:semiHidden/>
    <w:rsid w:val="008F5CA4"/>
    <w:pPr>
      <w:tabs>
        <w:tab w:val="center" w:pos="4536"/>
        <w:tab w:val="right" w:pos="9072"/>
      </w:tabs>
    </w:pPr>
  </w:style>
  <w:style w:type="character" w:customStyle="1" w:styleId="NagwekZnak">
    <w:name w:val="Nagłówek Znak"/>
    <w:basedOn w:val="Domylnaczcionkaakapitu"/>
    <w:link w:val="Nagwek"/>
    <w:uiPriority w:val="98"/>
    <w:semiHidden/>
    <w:rsid w:val="008F5CA4"/>
    <w:rPr>
      <w:sz w:val="24"/>
      <w:szCs w:val="24"/>
      <w:lang w:val="en-GB"/>
    </w:rPr>
  </w:style>
  <w:style w:type="character" w:customStyle="1" w:styleId="Nagwek1Znak">
    <w:name w:val="Nagłówek 1 Znak"/>
    <w:basedOn w:val="Domylnaczcionkaakapitu"/>
    <w:link w:val="Nagwek1"/>
    <w:uiPriority w:val="98"/>
    <w:semiHidden/>
    <w:rsid w:val="008F5CA4"/>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agwek5"/>
    <w:next w:val="JuPara"/>
    <w:uiPriority w:val="17"/>
    <w:rsid w:val="008F5CA4"/>
    <w:pPr>
      <w:keepNext/>
      <w:keepLines/>
      <w:numPr>
        <w:ilvl w:val="4"/>
        <w:numId w:val="12"/>
      </w:numPr>
      <w:spacing w:before="100" w:beforeAutospacing="1" w:after="120"/>
      <w:jc w:val="both"/>
    </w:pPr>
    <w:rPr>
      <w:color w:val="auto"/>
      <w:sz w:val="20"/>
    </w:rPr>
  </w:style>
  <w:style w:type="paragraph" w:customStyle="1" w:styleId="JuHi">
    <w:name w:val="Ju_H_i"/>
    <w:aliases w:val="_Head_6"/>
    <w:basedOn w:val="Nagwek6"/>
    <w:next w:val="JuPara"/>
    <w:uiPriority w:val="17"/>
    <w:rsid w:val="008F5CA4"/>
    <w:pPr>
      <w:keepNext/>
      <w:keepLines/>
      <w:numPr>
        <w:ilvl w:val="5"/>
        <w:numId w:val="12"/>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8F5CA4"/>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agwek7"/>
    <w:next w:val="JuPara"/>
    <w:uiPriority w:val="17"/>
    <w:rsid w:val="008F5CA4"/>
    <w:pPr>
      <w:keepNext/>
      <w:keepLines/>
      <w:numPr>
        <w:ilvl w:val="6"/>
        <w:numId w:val="12"/>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8F5CA4"/>
    <w:pPr>
      <w:keepNext/>
      <w:keepLines/>
      <w:numPr>
        <w:ilvl w:val="7"/>
        <w:numId w:val="12"/>
      </w:numPr>
      <w:spacing w:before="100" w:beforeAutospacing="1" w:after="120"/>
      <w:jc w:val="both"/>
    </w:pPr>
    <w:rPr>
      <w:i/>
    </w:rPr>
  </w:style>
  <w:style w:type="character" w:customStyle="1" w:styleId="Nagwek3Znak">
    <w:name w:val="Nagłówek 3 Znak"/>
    <w:basedOn w:val="Domylnaczcionkaakapitu"/>
    <w:link w:val="Nagwek3"/>
    <w:uiPriority w:val="98"/>
    <w:semiHidden/>
    <w:rsid w:val="008F5CA4"/>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8F5CA4"/>
    <w:pPr>
      <w:keepNext/>
      <w:keepLines/>
      <w:spacing w:before="240" w:after="240"/>
      <w:ind w:firstLine="284"/>
    </w:pPr>
  </w:style>
  <w:style w:type="paragraph" w:customStyle="1" w:styleId="JuJudges">
    <w:name w:val="Ju_Judges"/>
    <w:aliases w:val="_Judges"/>
    <w:basedOn w:val="Normalny"/>
    <w:uiPriority w:val="32"/>
    <w:qFormat/>
    <w:rsid w:val="008F5CA4"/>
    <w:pPr>
      <w:tabs>
        <w:tab w:val="left" w:pos="567"/>
        <w:tab w:val="left" w:pos="1134"/>
      </w:tabs>
    </w:pPr>
  </w:style>
  <w:style w:type="character" w:customStyle="1" w:styleId="Nagwek4Znak">
    <w:name w:val="Nagłówek 4 Znak"/>
    <w:basedOn w:val="Domylnaczcionkaakapitu"/>
    <w:link w:val="Nagwek4"/>
    <w:uiPriority w:val="98"/>
    <w:semiHidden/>
    <w:rsid w:val="008F5CA4"/>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ny"/>
    <w:uiPriority w:val="30"/>
    <w:qFormat/>
    <w:rsid w:val="008F5CA4"/>
    <w:pPr>
      <w:tabs>
        <w:tab w:val="center" w:pos="6407"/>
      </w:tabs>
      <w:spacing w:before="720"/>
      <w:jc w:val="right"/>
    </w:pPr>
  </w:style>
  <w:style w:type="character" w:customStyle="1" w:styleId="Nagwek5Znak">
    <w:name w:val="Nagłówek 5 Znak"/>
    <w:basedOn w:val="Domylnaczcionkaakapitu"/>
    <w:link w:val="Nagwek5"/>
    <w:uiPriority w:val="98"/>
    <w:semiHidden/>
    <w:rsid w:val="008F5CA4"/>
    <w:rPr>
      <w:rFonts w:asciiTheme="majorHAnsi" w:eastAsiaTheme="majorEastAsia" w:hAnsiTheme="majorHAnsi" w:cstheme="majorBidi"/>
      <w:b/>
      <w:bCs/>
      <w:color w:val="808080"/>
      <w:lang w:val="en-GB"/>
    </w:rPr>
  </w:style>
  <w:style w:type="character" w:customStyle="1" w:styleId="JuITMark">
    <w:name w:val="Ju_ITMark"/>
    <w:aliases w:val="_ITMark"/>
    <w:basedOn w:val="Domylnaczcionkaakapitu"/>
    <w:uiPriority w:val="54"/>
    <w:qFormat/>
    <w:rsid w:val="008F5CA4"/>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8F5CA4"/>
    <w:rPr>
      <w:caps w:val="0"/>
      <w:smallCaps/>
    </w:rPr>
  </w:style>
  <w:style w:type="character" w:styleId="Wyrnieniedelikatne">
    <w:name w:val="Subtle Emphasis"/>
    <w:uiPriority w:val="98"/>
    <w:semiHidden/>
    <w:qFormat/>
    <w:rsid w:val="008F5CA4"/>
    <w:rPr>
      <w:i/>
      <w:iCs/>
    </w:rPr>
  </w:style>
  <w:style w:type="table" w:customStyle="1" w:styleId="ECHRTable">
    <w:name w:val="ECHR_Table"/>
    <w:basedOn w:val="Standardowy"/>
    <w:rsid w:val="008F5CA4"/>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8F5CA4"/>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8F5CA4"/>
    <w:rPr>
      <w:b/>
      <w:bCs/>
      <w:i/>
      <w:iCs/>
      <w:spacing w:val="10"/>
      <w:bdr w:val="none" w:sz="0" w:space="0" w:color="auto"/>
      <w:shd w:val="clear" w:color="auto" w:fill="auto"/>
    </w:rPr>
  </w:style>
  <w:style w:type="paragraph" w:styleId="Stopka">
    <w:name w:val="footer"/>
    <w:basedOn w:val="Normalny"/>
    <w:link w:val="StopkaZnak"/>
    <w:uiPriority w:val="98"/>
    <w:semiHidden/>
    <w:rsid w:val="008F5CA4"/>
    <w:pPr>
      <w:tabs>
        <w:tab w:val="center" w:pos="3686"/>
        <w:tab w:val="right" w:pos="7371"/>
      </w:tabs>
    </w:pPr>
  </w:style>
  <w:style w:type="character" w:customStyle="1" w:styleId="StopkaZnak">
    <w:name w:val="Stopka Znak"/>
    <w:basedOn w:val="Domylnaczcionkaakapitu"/>
    <w:link w:val="Stopka"/>
    <w:uiPriority w:val="98"/>
    <w:semiHidden/>
    <w:rsid w:val="008F5CA4"/>
    <w:rPr>
      <w:sz w:val="24"/>
      <w:szCs w:val="24"/>
      <w:lang w:val="en-GB"/>
    </w:rPr>
  </w:style>
  <w:style w:type="character" w:styleId="Odwoanieprzypisudolnego">
    <w:name w:val="footnote reference"/>
    <w:basedOn w:val="Domylnaczcionkaakapitu"/>
    <w:uiPriority w:val="98"/>
    <w:semiHidden/>
    <w:rsid w:val="008F5CA4"/>
    <w:rPr>
      <w:vertAlign w:val="superscript"/>
    </w:rPr>
  </w:style>
  <w:style w:type="paragraph" w:styleId="Tekstprzypisudolnego">
    <w:name w:val="footnote text"/>
    <w:basedOn w:val="NormalJustified"/>
    <w:link w:val="TekstprzypisudolnegoZnak"/>
    <w:uiPriority w:val="98"/>
    <w:semiHidden/>
    <w:rsid w:val="008F5CA4"/>
    <w:rPr>
      <w:sz w:val="20"/>
      <w:szCs w:val="20"/>
    </w:rPr>
  </w:style>
  <w:style w:type="character" w:customStyle="1" w:styleId="TekstprzypisudolnegoZnak">
    <w:name w:val="Tekst przypisu dolnego Znak"/>
    <w:basedOn w:val="Domylnaczcionkaakapitu"/>
    <w:link w:val="Tekstprzypisudolnego"/>
    <w:uiPriority w:val="98"/>
    <w:semiHidden/>
    <w:rsid w:val="008F5CA4"/>
    <w:rPr>
      <w:sz w:val="20"/>
      <w:szCs w:val="20"/>
      <w:lang w:val="en-GB"/>
    </w:rPr>
  </w:style>
  <w:style w:type="character" w:customStyle="1" w:styleId="Nagwek6Znak">
    <w:name w:val="Nagłówek 6 Znak"/>
    <w:basedOn w:val="Domylnaczcionkaakapitu"/>
    <w:link w:val="Nagwek6"/>
    <w:uiPriority w:val="98"/>
    <w:semiHidden/>
    <w:rsid w:val="008F5CA4"/>
    <w:rPr>
      <w:rFonts w:asciiTheme="majorHAnsi" w:eastAsiaTheme="majorEastAsia" w:hAnsiTheme="majorHAnsi" w:cstheme="majorBidi"/>
      <w:b/>
      <w:bCs/>
      <w:i/>
      <w:iCs/>
      <w:color w:val="7F7F7F" w:themeColor="text1" w:themeTint="80"/>
      <w:lang w:val="en-GB" w:bidi="en-US"/>
    </w:rPr>
  </w:style>
  <w:style w:type="character" w:customStyle="1" w:styleId="Nagwek7Znak">
    <w:name w:val="Nagłówek 7 Znak"/>
    <w:basedOn w:val="Domylnaczcionkaakapitu"/>
    <w:link w:val="Nagwek7"/>
    <w:uiPriority w:val="98"/>
    <w:semiHidden/>
    <w:rsid w:val="008F5CA4"/>
    <w:rPr>
      <w:rFonts w:asciiTheme="majorHAnsi" w:eastAsiaTheme="majorEastAsia" w:hAnsiTheme="majorHAnsi" w:cstheme="majorBidi"/>
      <w:i/>
      <w:iCs/>
      <w:lang w:val="en-GB" w:bidi="en-US"/>
    </w:rPr>
  </w:style>
  <w:style w:type="character" w:customStyle="1" w:styleId="Nagwek8Znak">
    <w:name w:val="Nagłówek 8 Znak"/>
    <w:basedOn w:val="Domylnaczcionkaakapitu"/>
    <w:link w:val="Nagwek8"/>
    <w:uiPriority w:val="98"/>
    <w:semiHidden/>
    <w:rsid w:val="008F5CA4"/>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8F5CA4"/>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8F5CA4"/>
    <w:rPr>
      <w:color w:val="0072BC" w:themeColor="hyperlink"/>
      <w:u w:val="single"/>
    </w:rPr>
  </w:style>
  <w:style w:type="character" w:styleId="Wyrnienieintensywne">
    <w:name w:val="Intense Emphasis"/>
    <w:uiPriority w:val="98"/>
    <w:semiHidden/>
    <w:qFormat/>
    <w:rsid w:val="008F5CA4"/>
    <w:rPr>
      <w:b/>
      <w:bCs/>
    </w:rPr>
  </w:style>
  <w:style w:type="paragraph" w:styleId="Cytatintensywny">
    <w:name w:val="Intense Quote"/>
    <w:basedOn w:val="Normalny"/>
    <w:next w:val="Normalny"/>
    <w:link w:val="CytatintensywnyZnak"/>
    <w:uiPriority w:val="98"/>
    <w:semiHidden/>
    <w:qFormat/>
    <w:rsid w:val="008F5CA4"/>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8F5CA4"/>
    <w:rPr>
      <w:b/>
      <w:bCs/>
      <w:i/>
      <w:iCs/>
      <w:sz w:val="24"/>
      <w:szCs w:val="24"/>
      <w:lang w:val="en-GB" w:bidi="en-US"/>
    </w:rPr>
  </w:style>
  <w:style w:type="character" w:styleId="Odwoanieintensywne">
    <w:name w:val="Intense Reference"/>
    <w:uiPriority w:val="98"/>
    <w:semiHidden/>
    <w:qFormat/>
    <w:rsid w:val="008F5CA4"/>
    <w:rPr>
      <w:smallCaps/>
      <w:spacing w:val="5"/>
      <w:u w:val="single"/>
    </w:rPr>
  </w:style>
  <w:style w:type="paragraph" w:styleId="Akapitzlist">
    <w:name w:val="List Paragraph"/>
    <w:basedOn w:val="Normalny"/>
    <w:uiPriority w:val="98"/>
    <w:semiHidden/>
    <w:qFormat/>
    <w:rsid w:val="008F5CA4"/>
    <w:pPr>
      <w:ind w:left="720"/>
      <w:contextualSpacing/>
    </w:pPr>
  </w:style>
  <w:style w:type="table" w:customStyle="1" w:styleId="LtrTableAddress">
    <w:name w:val="Ltr_Table_Address"/>
    <w:aliases w:val="ECHR_Ltr_Table_Address"/>
    <w:basedOn w:val="Standardowy"/>
    <w:uiPriority w:val="99"/>
    <w:rsid w:val="008F5CA4"/>
    <w:rPr>
      <w:sz w:val="24"/>
      <w:szCs w:val="24"/>
    </w:rPr>
    <w:tblPr>
      <w:tblInd w:w="5103" w:type="dxa"/>
    </w:tblPr>
  </w:style>
  <w:style w:type="paragraph" w:styleId="Cytat">
    <w:name w:val="Quote"/>
    <w:basedOn w:val="Normalny"/>
    <w:next w:val="Normalny"/>
    <w:link w:val="CytatZnak"/>
    <w:uiPriority w:val="98"/>
    <w:semiHidden/>
    <w:qFormat/>
    <w:rsid w:val="008F5CA4"/>
    <w:pPr>
      <w:spacing w:before="200"/>
      <w:ind w:left="360" w:right="360"/>
    </w:pPr>
    <w:rPr>
      <w:i/>
      <w:iCs/>
      <w:lang w:bidi="en-US"/>
    </w:rPr>
  </w:style>
  <w:style w:type="character" w:customStyle="1" w:styleId="CytatZnak">
    <w:name w:val="Cytat Znak"/>
    <w:basedOn w:val="Domylnaczcionkaakapitu"/>
    <w:link w:val="Cytat"/>
    <w:uiPriority w:val="98"/>
    <w:semiHidden/>
    <w:rsid w:val="008F5CA4"/>
    <w:rPr>
      <w:i/>
      <w:iCs/>
      <w:sz w:val="24"/>
      <w:szCs w:val="24"/>
      <w:lang w:val="en-GB" w:bidi="en-US"/>
    </w:rPr>
  </w:style>
  <w:style w:type="character" w:styleId="Odwoaniedelikatne">
    <w:name w:val="Subtle Reference"/>
    <w:uiPriority w:val="98"/>
    <w:semiHidden/>
    <w:qFormat/>
    <w:rsid w:val="008F5CA4"/>
    <w:rPr>
      <w:smallCaps/>
    </w:rPr>
  </w:style>
  <w:style w:type="table" w:styleId="Tabela-Siatka">
    <w:name w:val="Table Grid"/>
    <w:basedOn w:val="Standardowy"/>
    <w:uiPriority w:val="59"/>
    <w:semiHidden/>
    <w:rsid w:val="008F5CA4"/>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8F5CA4"/>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8F5CA4"/>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8F5CA4"/>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8F5CA4"/>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8F5CA4"/>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8F5CA4"/>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8F5CA4"/>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8F5CA4"/>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8F5CA4"/>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F5CA4"/>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8F5CA4"/>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8F5CA4"/>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8F5CA4"/>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8F5CA4"/>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8F5CA4"/>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8F5CA4"/>
    <w:pPr>
      <w:numPr>
        <w:numId w:val="4"/>
      </w:numPr>
    </w:pPr>
  </w:style>
  <w:style w:type="paragraph" w:customStyle="1" w:styleId="JuPara">
    <w:name w:val="Ju_Para"/>
    <w:aliases w:val="_Para"/>
    <w:basedOn w:val="NormalJustified"/>
    <w:link w:val="JuParaChar"/>
    <w:uiPriority w:val="4"/>
    <w:qFormat/>
    <w:rsid w:val="008F5CA4"/>
    <w:pPr>
      <w:ind w:firstLine="284"/>
    </w:pPr>
  </w:style>
  <w:style w:type="numbering" w:styleId="1ai">
    <w:name w:val="Outline List 1"/>
    <w:basedOn w:val="Bezlisty"/>
    <w:uiPriority w:val="99"/>
    <w:semiHidden/>
    <w:unhideWhenUsed/>
    <w:rsid w:val="008F5CA4"/>
    <w:pPr>
      <w:numPr>
        <w:numId w:val="5"/>
      </w:numPr>
    </w:pPr>
  </w:style>
  <w:style w:type="table" w:customStyle="1" w:styleId="ECHRTableSimpleBox">
    <w:name w:val="ECHR_Table_Simple_Box"/>
    <w:basedOn w:val="Standardowy"/>
    <w:uiPriority w:val="99"/>
    <w:rsid w:val="008F5CA4"/>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8F5CA4"/>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8F5CA4"/>
    <w:pPr>
      <w:numPr>
        <w:numId w:val="6"/>
      </w:numPr>
    </w:pPr>
  </w:style>
  <w:style w:type="table" w:customStyle="1" w:styleId="ECHRTableForInternalUse">
    <w:name w:val="ECHR_Table_For_Internal_Use"/>
    <w:basedOn w:val="Standardowy"/>
    <w:uiPriority w:val="99"/>
    <w:rsid w:val="008F5CA4"/>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8F5CA4"/>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8F5CA4"/>
  </w:style>
  <w:style w:type="paragraph" w:styleId="Tekstblokowy">
    <w:name w:val="Block Text"/>
    <w:basedOn w:val="Normalny"/>
    <w:uiPriority w:val="98"/>
    <w:semiHidden/>
    <w:rsid w:val="008F5CA4"/>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8F5CA4"/>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8F5CA4"/>
    <w:pPr>
      <w:spacing w:after="120"/>
    </w:pPr>
  </w:style>
  <w:style w:type="character" w:customStyle="1" w:styleId="TekstpodstawowyZnak">
    <w:name w:val="Tekst podstawowy Znak"/>
    <w:basedOn w:val="Domylnaczcionkaakapitu"/>
    <w:link w:val="Tekstpodstawowy"/>
    <w:uiPriority w:val="98"/>
    <w:semiHidden/>
    <w:rsid w:val="008F5CA4"/>
    <w:rPr>
      <w:sz w:val="24"/>
      <w:szCs w:val="24"/>
      <w:lang w:val="en-GB"/>
    </w:rPr>
  </w:style>
  <w:style w:type="table" w:customStyle="1" w:styleId="ECHRTableOddBanded">
    <w:name w:val="ECHR_Table_Odd_Banded"/>
    <w:basedOn w:val="Standardowy"/>
    <w:uiPriority w:val="99"/>
    <w:rsid w:val="008F5CA4"/>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8F5CA4"/>
    <w:pPr>
      <w:spacing w:after="120" w:line="480" w:lineRule="auto"/>
    </w:pPr>
  </w:style>
  <w:style w:type="table" w:customStyle="1" w:styleId="ECHRHeaderTableReduced">
    <w:name w:val="ECHR_Header_Table_Reduced"/>
    <w:basedOn w:val="Standardowy"/>
    <w:uiPriority w:val="99"/>
    <w:rsid w:val="008F5CA4"/>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8F5CA4"/>
    <w:pPr>
      <w:ind w:firstLine="284"/>
    </w:pPr>
    <w:rPr>
      <w:b/>
    </w:rPr>
  </w:style>
  <w:style w:type="character" w:styleId="Numerstrony">
    <w:name w:val="page number"/>
    <w:uiPriority w:val="98"/>
    <w:semiHidden/>
    <w:rsid w:val="008F5CA4"/>
    <w:rPr>
      <w:sz w:val="18"/>
    </w:rPr>
  </w:style>
  <w:style w:type="paragraph" w:styleId="Listapunktowana">
    <w:name w:val="List Bullet"/>
    <w:basedOn w:val="Normalny"/>
    <w:uiPriority w:val="98"/>
    <w:semiHidden/>
    <w:rsid w:val="008F5CA4"/>
    <w:pPr>
      <w:numPr>
        <w:numId w:val="14"/>
      </w:numPr>
    </w:pPr>
  </w:style>
  <w:style w:type="paragraph" w:styleId="Listapunktowana3">
    <w:name w:val="List Bullet 3"/>
    <w:basedOn w:val="Normalny"/>
    <w:uiPriority w:val="98"/>
    <w:semiHidden/>
    <w:rsid w:val="008F5CA4"/>
    <w:pPr>
      <w:numPr>
        <w:numId w:val="16"/>
      </w:numPr>
      <w:contextualSpacing/>
    </w:pPr>
  </w:style>
  <w:style w:type="character" w:customStyle="1" w:styleId="Tekstpodstawowy2Znak">
    <w:name w:val="Tekst podstawowy 2 Znak"/>
    <w:basedOn w:val="Domylnaczcionkaakapitu"/>
    <w:link w:val="Tekstpodstawowy2"/>
    <w:uiPriority w:val="98"/>
    <w:semiHidden/>
    <w:rsid w:val="008F5CA4"/>
    <w:rPr>
      <w:sz w:val="24"/>
      <w:szCs w:val="24"/>
      <w:lang w:val="en-GB"/>
    </w:rPr>
  </w:style>
  <w:style w:type="paragraph" w:styleId="Tekstpodstawowy3">
    <w:name w:val="Body Text 3"/>
    <w:basedOn w:val="Normalny"/>
    <w:link w:val="Tekstpodstawowy3Znak"/>
    <w:uiPriority w:val="98"/>
    <w:semiHidden/>
    <w:rsid w:val="008F5CA4"/>
    <w:pPr>
      <w:spacing w:after="120"/>
    </w:pPr>
    <w:rPr>
      <w:sz w:val="16"/>
      <w:szCs w:val="16"/>
    </w:rPr>
  </w:style>
  <w:style w:type="character" w:customStyle="1" w:styleId="Tekstpodstawowy3Znak">
    <w:name w:val="Tekst podstawowy 3 Znak"/>
    <w:basedOn w:val="Domylnaczcionkaakapitu"/>
    <w:link w:val="Tekstpodstawowy3"/>
    <w:uiPriority w:val="98"/>
    <w:semiHidden/>
    <w:rsid w:val="008F5CA4"/>
    <w:rPr>
      <w:sz w:val="16"/>
      <w:szCs w:val="16"/>
      <w:lang w:val="en-GB"/>
    </w:rPr>
  </w:style>
  <w:style w:type="paragraph" w:styleId="Tekstpodstawowyzwciciem">
    <w:name w:val="Body Text First Indent"/>
    <w:basedOn w:val="Tekstpodstawowy"/>
    <w:link w:val="TekstpodstawowyzwciciemZnak"/>
    <w:uiPriority w:val="98"/>
    <w:semiHidden/>
    <w:rsid w:val="008F5CA4"/>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8F5CA4"/>
    <w:rPr>
      <w:sz w:val="24"/>
      <w:szCs w:val="24"/>
      <w:lang w:val="en-GB"/>
    </w:rPr>
  </w:style>
  <w:style w:type="paragraph" w:styleId="Tekstpodstawowywcity">
    <w:name w:val="Body Text Indent"/>
    <w:basedOn w:val="Normalny"/>
    <w:link w:val="TekstpodstawowywcityZnak"/>
    <w:uiPriority w:val="98"/>
    <w:semiHidden/>
    <w:rsid w:val="008F5CA4"/>
    <w:pPr>
      <w:spacing w:after="120"/>
      <w:ind w:left="283"/>
    </w:pPr>
  </w:style>
  <w:style w:type="character" w:customStyle="1" w:styleId="TekstpodstawowywcityZnak">
    <w:name w:val="Tekst podstawowy wcięty Znak"/>
    <w:basedOn w:val="Domylnaczcionkaakapitu"/>
    <w:link w:val="Tekstpodstawowywcity"/>
    <w:uiPriority w:val="98"/>
    <w:semiHidden/>
    <w:rsid w:val="008F5CA4"/>
    <w:rPr>
      <w:sz w:val="24"/>
      <w:szCs w:val="24"/>
      <w:lang w:val="en-GB"/>
    </w:rPr>
  </w:style>
  <w:style w:type="paragraph" w:styleId="Tekstpodstawowyzwciciem2">
    <w:name w:val="Body Text First Indent 2"/>
    <w:basedOn w:val="Tekstpodstawowywcity"/>
    <w:link w:val="Tekstpodstawowyzwciciem2Znak"/>
    <w:uiPriority w:val="98"/>
    <w:semiHidden/>
    <w:rsid w:val="008F5CA4"/>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8F5CA4"/>
    <w:rPr>
      <w:sz w:val="24"/>
      <w:szCs w:val="24"/>
      <w:lang w:val="en-GB"/>
    </w:rPr>
  </w:style>
  <w:style w:type="paragraph" w:styleId="Tekstpodstawowywcity2">
    <w:name w:val="Body Text Indent 2"/>
    <w:basedOn w:val="Normalny"/>
    <w:link w:val="Tekstpodstawowywcity2Znak"/>
    <w:uiPriority w:val="98"/>
    <w:semiHidden/>
    <w:rsid w:val="008F5CA4"/>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8F5CA4"/>
    <w:rPr>
      <w:sz w:val="24"/>
      <w:szCs w:val="24"/>
      <w:lang w:val="en-GB"/>
    </w:rPr>
  </w:style>
  <w:style w:type="paragraph" w:styleId="Tekstpodstawowywcity3">
    <w:name w:val="Body Text Indent 3"/>
    <w:basedOn w:val="Normalny"/>
    <w:link w:val="Tekstpodstawowywcity3Znak"/>
    <w:uiPriority w:val="98"/>
    <w:semiHidden/>
    <w:rsid w:val="008F5CA4"/>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8F5CA4"/>
    <w:rPr>
      <w:sz w:val="16"/>
      <w:szCs w:val="16"/>
      <w:lang w:val="en-GB"/>
    </w:rPr>
  </w:style>
  <w:style w:type="paragraph" w:styleId="Legenda">
    <w:name w:val="caption"/>
    <w:basedOn w:val="Normalny"/>
    <w:next w:val="Normalny"/>
    <w:uiPriority w:val="98"/>
    <w:semiHidden/>
    <w:qFormat/>
    <w:rsid w:val="008F5CA4"/>
    <w:pPr>
      <w:spacing w:after="200"/>
    </w:pPr>
    <w:rPr>
      <w:b/>
      <w:bCs/>
      <w:color w:val="0072BC" w:themeColor="accent1"/>
      <w:sz w:val="18"/>
      <w:szCs w:val="18"/>
    </w:rPr>
  </w:style>
  <w:style w:type="paragraph" w:styleId="Zwrotpoegnalny">
    <w:name w:val="Closing"/>
    <w:basedOn w:val="Normalny"/>
    <w:link w:val="ZwrotpoegnalnyZnak"/>
    <w:uiPriority w:val="98"/>
    <w:semiHidden/>
    <w:rsid w:val="008F5CA4"/>
    <w:pPr>
      <w:ind w:left="4252"/>
    </w:pPr>
  </w:style>
  <w:style w:type="character" w:customStyle="1" w:styleId="ZwrotpoegnalnyZnak">
    <w:name w:val="Zwrot pożegnalny Znak"/>
    <w:basedOn w:val="Domylnaczcionkaakapitu"/>
    <w:link w:val="Zwrotpoegnalny"/>
    <w:uiPriority w:val="98"/>
    <w:semiHidden/>
    <w:rsid w:val="008F5CA4"/>
    <w:rPr>
      <w:sz w:val="24"/>
      <w:szCs w:val="24"/>
      <w:lang w:val="en-GB"/>
    </w:rPr>
  </w:style>
  <w:style w:type="table" w:styleId="Kolorowasiatka">
    <w:name w:val="Colorful Grid"/>
    <w:basedOn w:val="Standardowy"/>
    <w:uiPriority w:val="73"/>
    <w:semiHidden/>
    <w:rsid w:val="008F5CA4"/>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8F5CA4"/>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8F5CA4"/>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8F5CA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8F5CA4"/>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8F5CA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8F5CA4"/>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8F5CA4"/>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8F5CA4"/>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8F5CA4"/>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8F5CA4"/>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8F5CA4"/>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8F5CA4"/>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8F5CA4"/>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8F5CA4"/>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8F5CA4"/>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8F5CA4"/>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8F5CA4"/>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8F5CA4"/>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8F5CA4"/>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8F5CA4"/>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8F5CA4"/>
    <w:rPr>
      <w:sz w:val="16"/>
      <w:szCs w:val="16"/>
    </w:rPr>
  </w:style>
  <w:style w:type="paragraph" w:styleId="Tekstkomentarza">
    <w:name w:val="annotation text"/>
    <w:basedOn w:val="Normalny"/>
    <w:link w:val="TekstkomentarzaZnak"/>
    <w:uiPriority w:val="98"/>
    <w:semiHidden/>
    <w:rsid w:val="008F5CA4"/>
    <w:rPr>
      <w:sz w:val="20"/>
      <w:szCs w:val="20"/>
    </w:rPr>
  </w:style>
  <w:style w:type="character" w:customStyle="1" w:styleId="TekstkomentarzaZnak">
    <w:name w:val="Tekst komentarza Znak"/>
    <w:basedOn w:val="Domylnaczcionkaakapitu"/>
    <w:link w:val="Tekstkomentarza"/>
    <w:uiPriority w:val="98"/>
    <w:semiHidden/>
    <w:rsid w:val="008F5CA4"/>
    <w:rPr>
      <w:sz w:val="20"/>
      <w:szCs w:val="20"/>
      <w:lang w:val="en-GB"/>
    </w:rPr>
  </w:style>
  <w:style w:type="paragraph" w:styleId="Tematkomentarza">
    <w:name w:val="annotation subject"/>
    <w:basedOn w:val="Tekstkomentarza"/>
    <w:next w:val="Tekstkomentarza"/>
    <w:link w:val="TematkomentarzaZnak"/>
    <w:uiPriority w:val="98"/>
    <w:semiHidden/>
    <w:rsid w:val="008F5CA4"/>
    <w:rPr>
      <w:b/>
      <w:bCs/>
    </w:rPr>
  </w:style>
  <w:style w:type="character" w:customStyle="1" w:styleId="TematkomentarzaZnak">
    <w:name w:val="Temat komentarza Znak"/>
    <w:basedOn w:val="TekstkomentarzaZnak"/>
    <w:link w:val="Tematkomentarza"/>
    <w:uiPriority w:val="98"/>
    <w:semiHidden/>
    <w:rsid w:val="008F5CA4"/>
    <w:rPr>
      <w:b/>
      <w:bCs/>
      <w:sz w:val="20"/>
      <w:szCs w:val="20"/>
      <w:lang w:val="en-GB"/>
    </w:rPr>
  </w:style>
  <w:style w:type="table" w:styleId="Ciemnalista">
    <w:name w:val="Dark List"/>
    <w:basedOn w:val="Standardowy"/>
    <w:uiPriority w:val="70"/>
    <w:semiHidden/>
    <w:rsid w:val="008F5CA4"/>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8F5CA4"/>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8F5CA4"/>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8F5CA4"/>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8F5CA4"/>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8F5CA4"/>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8F5CA4"/>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8F5CA4"/>
  </w:style>
  <w:style w:type="character" w:customStyle="1" w:styleId="DataZnak">
    <w:name w:val="Data Znak"/>
    <w:basedOn w:val="Domylnaczcionkaakapitu"/>
    <w:link w:val="Data"/>
    <w:uiPriority w:val="98"/>
    <w:semiHidden/>
    <w:rsid w:val="008F5CA4"/>
    <w:rPr>
      <w:sz w:val="24"/>
      <w:szCs w:val="24"/>
      <w:lang w:val="en-GB"/>
    </w:rPr>
  </w:style>
  <w:style w:type="paragraph" w:styleId="Mapadokumentu">
    <w:name w:val="Document Map"/>
    <w:basedOn w:val="Normalny"/>
    <w:link w:val="MapadokumentuZnak"/>
    <w:uiPriority w:val="98"/>
    <w:semiHidden/>
    <w:rsid w:val="008F5CA4"/>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8F5CA4"/>
    <w:rPr>
      <w:rFonts w:ascii="Tahoma" w:hAnsi="Tahoma" w:cs="Tahoma"/>
      <w:sz w:val="16"/>
      <w:szCs w:val="16"/>
      <w:lang w:val="en-GB"/>
    </w:rPr>
  </w:style>
  <w:style w:type="paragraph" w:styleId="Podpise-mail">
    <w:name w:val="E-mail Signature"/>
    <w:basedOn w:val="Normalny"/>
    <w:link w:val="Podpise-mailZnak"/>
    <w:uiPriority w:val="98"/>
    <w:semiHidden/>
    <w:rsid w:val="008F5CA4"/>
  </w:style>
  <w:style w:type="character" w:customStyle="1" w:styleId="Podpise-mailZnak">
    <w:name w:val="Podpis e-mail Znak"/>
    <w:basedOn w:val="Domylnaczcionkaakapitu"/>
    <w:link w:val="Podpise-mail"/>
    <w:uiPriority w:val="98"/>
    <w:semiHidden/>
    <w:rsid w:val="008F5CA4"/>
    <w:rPr>
      <w:sz w:val="24"/>
      <w:szCs w:val="24"/>
      <w:lang w:val="en-GB"/>
    </w:rPr>
  </w:style>
  <w:style w:type="character" w:styleId="Odwoanieprzypisukocowego">
    <w:name w:val="endnote reference"/>
    <w:basedOn w:val="Domylnaczcionkaakapitu"/>
    <w:uiPriority w:val="98"/>
    <w:semiHidden/>
    <w:rsid w:val="008F5CA4"/>
    <w:rPr>
      <w:vertAlign w:val="superscript"/>
    </w:rPr>
  </w:style>
  <w:style w:type="paragraph" w:styleId="Tekstprzypisukocowego">
    <w:name w:val="endnote text"/>
    <w:basedOn w:val="Normalny"/>
    <w:link w:val="TekstprzypisukocowegoZnak"/>
    <w:uiPriority w:val="98"/>
    <w:semiHidden/>
    <w:rsid w:val="008F5CA4"/>
    <w:rPr>
      <w:sz w:val="20"/>
      <w:szCs w:val="20"/>
    </w:rPr>
  </w:style>
  <w:style w:type="character" w:customStyle="1" w:styleId="TekstprzypisukocowegoZnak">
    <w:name w:val="Tekst przypisu końcowego Znak"/>
    <w:basedOn w:val="Domylnaczcionkaakapitu"/>
    <w:link w:val="Tekstprzypisukocowego"/>
    <w:uiPriority w:val="98"/>
    <w:semiHidden/>
    <w:rsid w:val="008F5CA4"/>
    <w:rPr>
      <w:sz w:val="20"/>
      <w:szCs w:val="20"/>
      <w:lang w:val="en-GB"/>
    </w:rPr>
  </w:style>
  <w:style w:type="paragraph" w:styleId="Adresnakopercie">
    <w:name w:val="envelope address"/>
    <w:basedOn w:val="Normalny"/>
    <w:uiPriority w:val="98"/>
    <w:semiHidden/>
    <w:rsid w:val="008F5CA4"/>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8F5CA4"/>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8F5CA4"/>
    <w:rPr>
      <w:color w:val="7030A0" w:themeColor="followedHyperlink"/>
      <w:u w:val="single"/>
    </w:rPr>
  </w:style>
  <w:style w:type="character" w:styleId="HTML-akronim">
    <w:name w:val="HTML Acronym"/>
    <w:basedOn w:val="Domylnaczcionkaakapitu"/>
    <w:uiPriority w:val="98"/>
    <w:semiHidden/>
    <w:rsid w:val="008F5CA4"/>
  </w:style>
  <w:style w:type="paragraph" w:styleId="HTML-adres">
    <w:name w:val="HTML Address"/>
    <w:basedOn w:val="Normalny"/>
    <w:link w:val="HTML-adresZnak"/>
    <w:uiPriority w:val="98"/>
    <w:semiHidden/>
    <w:rsid w:val="008F5CA4"/>
    <w:rPr>
      <w:i/>
      <w:iCs/>
    </w:rPr>
  </w:style>
  <w:style w:type="character" w:customStyle="1" w:styleId="HTML-adresZnak">
    <w:name w:val="HTML - adres Znak"/>
    <w:basedOn w:val="Domylnaczcionkaakapitu"/>
    <w:link w:val="HTML-adres"/>
    <w:uiPriority w:val="98"/>
    <w:semiHidden/>
    <w:rsid w:val="008F5CA4"/>
    <w:rPr>
      <w:i/>
      <w:iCs/>
      <w:sz w:val="24"/>
      <w:szCs w:val="24"/>
      <w:lang w:val="en-GB"/>
    </w:rPr>
  </w:style>
  <w:style w:type="character" w:styleId="HTML-cytat">
    <w:name w:val="HTML Cite"/>
    <w:basedOn w:val="Domylnaczcionkaakapitu"/>
    <w:uiPriority w:val="98"/>
    <w:semiHidden/>
    <w:rsid w:val="008F5CA4"/>
    <w:rPr>
      <w:i/>
      <w:iCs/>
    </w:rPr>
  </w:style>
  <w:style w:type="character" w:styleId="HTML-kod">
    <w:name w:val="HTML Code"/>
    <w:basedOn w:val="Domylnaczcionkaakapitu"/>
    <w:uiPriority w:val="98"/>
    <w:semiHidden/>
    <w:rsid w:val="008F5CA4"/>
    <w:rPr>
      <w:rFonts w:ascii="Consolas" w:hAnsi="Consolas" w:cs="Consolas"/>
      <w:sz w:val="20"/>
      <w:szCs w:val="20"/>
    </w:rPr>
  </w:style>
  <w:style w:type="character" w:styleId="HTML-definicja">
    <w:name w:val="HTML Definition"/>
    <w:basedOn w:val="Domylnaczcionkaakapitu"/>
    <w:uiPriority w:val="98"/>
    <w:semiHidden/>
    <w:rsid w:val="008F5CA4"/>
    <w:rPr>
      <w:i/>
      <w:iCs/>
    </w:rPr>
  </w:style>
  <w:style w:type="character" w:styleId="HTML-klawiatura">
    <w:name w:val="HTML Keyboard"/>
    <w:basedOn w:val="Domylnaczcionkaakapitu"/>
    <w:uiPriority w:val="98"/>
    <w:semiHidden/>
    <w:rsid w:val="008F5CA4"/>
    <w:rPr>
      <w:rFonts w:ascii="Consolas" w:hAnsi="Consolas" w:cs="Consolas"/>
      <w:sz w:val="20"/>
      <w:szCs w:val="20"/>
    </w:rPr>
  </w:style>
  <w:style w:type="paragraph" w:styleId="HTML-wstpniesformatowany">
    <w:name w:val="HTML Preformatted"/>
    <w:basedOn w:val="Normalny"/>
    <w:link w:val="HTML-wstpniesformatowanyZnak"/>
    <w:uiPriority w:val="98"/>
    <w:semiHidden/>
    <w:rsid w:val="008F5CA4"/>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8F5CA4"/>
    <w:rPr>
      <w:rFonts w:ascii="Consolas" w:hAnsi="Consolas" w:cs="Consolas"/>
      <w:sz w:val="20"/>
      <w:szCs w:val="20"/>
      <w:lang w:val="en-GB"/>
    </w:rPr>
  </w:style>
  <w:style w:type="character" w:styleId="HTML-przykad">
    <w:name w:val="HTML Sample"/>
    <w:basedOn w:val="Domylnaczcionkaakapitu"/>
    <w:uiPriority w:val="98"/>
    <w:semiHidden/>
    <w:rsid w:val="008F5CA4"/>
    <w:rPr>
      <w:rFonts w:ascii="Consolas" w:hAnsi="Consolas" w:cs="Consolas"/>
      <w:sz w:val="24"/>
      <w:szCs w:val="24"/>
    </w:rPr>
  </w:style>
  <w:style w:type="character" w:styleId="HTML-staaszeroko">
    <w:name w:val="HTML Typewriter"/>
    <w:basedOn w:val="Domylnaczcionkaakapitu"/>
    <w:uiPriority w:val="98"/>
    <w:semiHidden/>
    <w:rsid w:val="008F5CA4"/>
    <w:rPr>
      <w:rFonts w:ascii="Consolas" w:hAnsi="Consolas" w:cs="Consolas"/>
      <w:sz w:val="20"/>
      <w:szCs w:val="20"/>
    </w:rPr>
  </w:style>
  <w:style w:type="character" w:styleId="HTML-zmienna">
    <w:name w:val="HTML Variable"/>
    <w:basedOn w:val="Domylnaczcionkaakapitu"/>
    <w:uiPriority w:val="98"/>
    <w:semiHidden/>
    <w:rsid w:val="008F5CA4"/>
    <w:rPr>
      <w:i/>
      <w:iCs/>
    </w:rPr>
  </w:style>
  <w:style w:type="paragraph" w:styleId="Indeks1">
    <w:name w:val="index 1"/>
    <w:basedOn w:val="Normalny"/>
    <w:next w:val="Normalny"/>
    <w:autoRedefine/>
    <w:uiPriority w:val="98"/>
    <w:semiHidden/>
    <w:rsid w:val="008F5CA4"/>
    <w:pPr>
      <w:ind w:left="240" w:hanging="240"/>
    </w:pPr>
  </w:style>
  <w:style w:type="paragraph" w:styleId="Indeks2">
    <w:name w:val="index 2"/>
    <w:basedOn w:val="Normalny"/>
    <w:next w:val="Normalny"/>
    <w:autoRedefine/>
    <w:uiPriority w:val="98"/>
    <w:semiHidden/>
    <w:rsid w:val="008F5CA4"/>
    <w:pPr>
      <w:ind w:left="480" w:hanging="240"/>
    </w:pPr>
  </w:style>
  <w:style w:type="paragraph" w:styleId="Indeks3">
    <w:name w:val="index 3"/>
    <w:basedOn w:val="Normalny"/>
    <w:next w:val="Normalny"/>
    <w:autoRedefine/>
    <w:uiPriority w:val="98"/>
    <w:semiHidden/>
    <w:rsid w:val="008F5CA4"/>
    <w:pPr>
      <w:ind w:left="720" w:hanging="240"/>
    </w:pPr>
  </w:style>
  <w:style w:type="paragraph" w:styleId="Indeks4">
    <w:name w:val="index 4"/>
    <w:basedOn w:val="Normalny"/>
    <w:next w:val="Normalny"/>
    <w:autoRedefine/>
    <w:uiPriority w:val="98"/>
    <w:semiHidden/>
    <w:rsid w:val="008F5CA4"/>
    <w:pPr>
      <w:ind w:left="960" w:hanging="240"/>
    </w:pPr>
  </w:style>
  <w:style w:type="paragraph" w:styleId="Indeks5">
    <w:name w:val="index 5"/>
    <w:basedOn w:val="Normalny"/>
    <w:next w:val="Normalny"/>
    <w:autoRedefine/>
    <w:uiPriority w:val="98"/>
    <w:semiHidden/>
    <w:rsid w:val="008F5CA4"/>
    <w:pPr>
      <w:ind w:left="1200" w:hanging="240"/>
    </w:pPr>
  </w:style>
  <w:style w:type="paragraph" w:styleId="Indeks6">
    <w:name w:val="index 6"/>
    <w:basedOn w:val="Normalny"/>
    <w:next w:val="Normalny"/>
    <w:autoRedefine/>
    <w:uiPriority w:val="98"/>
    <w:semiHidden/>
    <w:rsid w:val="008F5CA4"/>
    <w:pPr>
      <w:ind w:left="1440" w:hanging="240"/>
    </w:pPr>
  </w:style>
  <w:style w:type="paragraph" w:styleId="Indeks7">
    <w:name w:val="index 7"/>
    <w:basedOn w:val="Normalny"/>
    <w:next w:val="Normalny"/>
    <w:autoRedefine/>
    <w:uiPriority w:val="98"/>
    <w:semiHidden/>
    <w:rsid w:val="008F5CA4"/>
    <w:pPr>
      <w:ind w:left="1680" w:hanging="240"/>
    </w:pPr>
  </w:style>
  <w:style w:type="paragraph" w:styleId="Indeks8">
    <w:name w:val="index 8"/>
    <w:basedOn w:val="Normalny"/>
    <w:next w:val="Normalny"/>
    <w:autoRedefine/>
    <w:uiPriority w:val="98"/>
    <w:semiHidden/>
    <w:rsid w:val="008F5CA4"/>
    <w:pPr>
      <w:ind w:left="1920" w:hanging="240"/>
    </w:pPr>
  </w:style>
  <w:style w:type="paragraph" w:styleId="Indeks9">
    <w:name w:val="index 9"/>
    <w:basedOn w:val="Normalny"/>
    <w:next w:val="Normalny"/>
    <w:autoRedefine/>
    <w:uiPriority w:val="98"/>
    <w:semiHidden/>
    <w:rsid w:val="008F5CA4"/>
    <w:pPr>
      <w:ind w:left="2160" w:hanging="240"/>
    </w:pPr>
  </w:style>
  <w:style w:type="paragraph" w:styleId="Nagwekindeksu">
    <w:name w:val="index heading"/>
    <w:basedOn w:val="Normalny"/>
    <w:next w:val="Indeks1"/>
    <w:uiPriority w:val="98"/>
    <w:semiHidden/>
    <w:rsid w:val="008F5CA4"/>
    <w:rPr>
      <w:rFonts w:asciiTheme="majorHAnsi" w:eastAsiaTheme="majorEastAsia" w:hAnsiTheme="majorHAnsi" w:cstheme="majorBidi"/>
      <w:b/>
      <w:bCs/>
    </w:rPr>
  </w:style>
  <w:style w:type="table" w:styleId="Jasnasiatka">
    <w:name w:val="Light Grid"/>
    <w:basedOn w:val="Standardowy"/>
    <w:uiPriority w:val="62"/>
    <w:semiHidden/>
    <w:rsid w:val="008F5CA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8F5CA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8F5CA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8F5CA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8F5CA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8F5CA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8F5CA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8F5CA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8F5CA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8F5CA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8F5CA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8F5CA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8F5CA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8F5CA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8F5CA4"/>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8F5CA4"/>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8F5CA4"/>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8F5CA4"/>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8F5CA4"/>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8F5CA4"/>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8F5CA4"/>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8F5CA4"/>
  </w:style>
  <w:style w:type="paragraph" w:styleId="Lista">
    <w:name w:val="List"/>
    <w:basedOn w:val="Normalny"/>
    <w:uiPriority w:val="98"/>
    <w:semiHidden/>
    <w:rsid w:val="008F5CA4"/>
    <w:pPr>
      <w:ind w:left="283" w:hanging="283"/>
      <w:contextualSpacing/>
    </w:pPr>
  </w:style>
  <w:style w:type="paragraph" w:styleId="Lista2">
    <w:name w:val="List 2"/>
    <w:basedOn w:val="Normalny"/>
    <w:uiPriority w:val="98"/>
    <w:semiHidden/>
    <w:rsid w:val="008F5CA4"/>
    <w:pPr>
      <w:ind w:left="566" w:hanging="283"/>
      <w:contextualSpacing/>
    </w:pPr>
  </w:style>
  <w:style w:type="paragraph" w:styleId="Lista3">
    <w:name w:val="List 3"/>
    <w:basedOn w:val="Normalny"/>
    <w:uiPriority w:val="98"/>
    <w:semiHidden/>
    <w:rsid w:val="008F5CA4"/>
    <w:pPr>
      <w:ind w:left="849" w:hanging="283"/>
      <w:contextualSpacing/>
    </w:pPr>
  </w:style>
  <w:style w:type="paragraph" w:styleId="Lista4">
    <w:name w:val="List 4"/>
    <w:basedOn w:val="Normalny"/>
    <w:uiPriority w:val="98"/>
    <w:semiHidden/>
    <w:rsid w:val="008F5CA4"/>
    <w:pPr>
      <w:ind w:left="1132" w:hanging="283"/>
      <w:contextualSpacing/>
    </w:pPr>
  </w:style>
  <w:style w:type="paragraph" w:styleId="Lista5">
    <w:name w:val="List 5"/>
    <w:basedOn w:val="Normalny"/>
    <w:uiPriority w:val="98"/>
    <w:semiHidden/>
    <w:rsid w:val="008F5CA4"/>
    <w:pPr>
      <w:ind w:left="1415" w:hanging="283"/>
      <w:contextualSpacing/>
    </w:pPr>
  </w:style>
  <w:style w:type="paragraph" w:styleId="Listapunktowana2">
    <w:name w:val="List Bullet 2"/>
    <w:basedOn w:val="Normalny"/>
    <w:uiPriority w:val="98"/>
    <w:semiHidden/>
    <w:rsid w:val="008F5CA4"/>
    <w:pPr>
      <w:numPr>
        <w:numId w:val="15"/>
      </w:numPr>
      <w:contextualSpacing/>
    </w:pPr>
  </w:style>
  <w:style w:type="paragraph" w:styleId="Listapunktowana4">
    <w:name w:val="List Bullet 4"/>
    <w:basedOn w:val="Normalny"/>
    <w:uiPriority w:val="98"/>
    <w:semiHidden/>
    <w:rsid w:val="008F5CA4"/>
    <w:pPr>
      <w:numPr>
        <w:numId w:val="17"/>
      </w:numPr>
      <w:contextualSpacing/>
    </w:pPr>
  </w:style>
  <w:style w:type="paragraph" w:styleId="Listapunktowana5">
    <w:name w:val="List Bullet 5"/>
    <w:basedOn w:val="Normalny"/>
    <w:uiPriority w:val="98"/>
    <w:semiHidden/>
    <w:rsid w:val="008F5CA4"/>
    <w:pPr>
      <w:numPr>
        <w:numId w:val="18"/>
      </w:numPr>
      <w:contextualSpacing/>
    </w:pPr>
  </w:style>
  <w:style w:type="paragraph" w:styleId="Lista-kontynuacja">
    <w:name w:val="List Continue"/>
    <w:basedOn w:val="Normalny"/>
    <w:uiPriority w:val="98"/>
    <w:semiHidden/>
    <w:rsid w:val="008F5CA4"/>
    <w:pPr>
      <w:spacing w:after="120"/>
      <w:ind w:left="283"/>
      <w:contextualSpacing/>
    </w:pPr>
  </w:style>
  <w:style w:type="paragraph" w:styleId="Lista-kontynuacja2">
    <w:name w:val="List Continue 2"/>
    <w:basedOn w:val="Normalny"/>
    <w:uiPriority w:val="98"/>
    <w:semiHidden/>
    <w:rsid w:val="008F5CA4"/>
    <w:pPr>
      <w:spacing w:after="120"/>
      <w:ind w:left="566"/>
      <w:contextualSpacing/>
    </w:pPr>
  </w:style>
  <w:style w:type="paragraph" w:styleId="Lista-kontynuacja3">
    <w:name w:val="List Continue 3"/>
    <w:basedOn w:val="Normalny"/>
    <w:uiPriority w:val="98"/>
    <w:semiHidden/>
    <w:rsid w:val="008F5CA4"/>
    <w:pPr>
      <w:spacing w:after="120"/>
      <w:ind w:left="849"/>
      <w:contextualSpacing/>
    </w:pPr>
  </w:style>
  <w:style w:type="paragraph" w:styleId="Lista-kontynuacja4">
    <w:name w:val="List Continue 4"/>
    <w:basedOn w:val="Normalny"/>
    <w:uiPriority w:val="98"/>
    <w:semiHidden/>
    <w:rsid w:val="008F5CA4"/>
    <w:pPr>
      <w:spacing w:after="120"/>
      <w:ind w:left="1132"/>
      <w:contextualSpacing/>
    </w:pPr>
  </w:style>
  <w:style w:type="paragraph" w:styleId="Lista-kontynuacja5">
    <w:name w:val="List Continue 5"/>
    <w:basedOn w:val="Normalny"/>
    <w:uiPriority w:val="98"/>
    <w:semiHidden/>
    <w:rsid w:val="008F5CA4"/>
    <w:pPr>
      <w:spacing w:after="120"/>
      <w:ind w:left="1415"/>
      <w:contextualSpacing/>
    </w:pPr>
  </w:style>
  <w:style w:type="paragraph" w:styleId="Listanumerowana">
    <w:name w:val="List Number"/>
    <w:basedOn w:val="Normalny"/>
    <w:uiPriority w:val="98"/>
    <w:semiHidden/>
    <w:rsid w:val="008F5CA4"/>
    <w:pPr>
      <w:numPr>
        <w:numId w:val="19"/>
      </w:numPr>
      <w:contextualSpacing/>
    </w:pPr>
  </w:style>
  <w:style w:type="paragraph" w:styleId="Listanumerowana2">
    <w:name w:val="List Number 2"/>
    <w:basedOn w:val="Normalny"/>
    <w:uiPriority w:val="98"/>
    <w:semiHidden/>
    <w:rsid w:val="008F5CA4"/>
    <w:pPr>
      <w:numPr>
        <w:numId w:val="20"/>
      </w:numPr>
      <w:contextualSpacing/>
    </w:pPr>
  </w:style>
  <w:style w:type="paragraph" w:styleId="Listanumerowana3">
    <w:name w:val="List Number 3"/>
    <w:basedOn w:val="Normalny"/>
    <w:uiPriority w:val="98"/>
    <w:semiHidden/>
    <w:rsid w:val="008F5CA4"/>
    <w:pPr>
      <w:numPr>
        <w:numId w:val="21"/>
      </w:numPr>
      <w:contextualSpacing/>
    </w:pPr>
  </w:style>
  <w:style w:type="paragraph" w:styleId="Listanumerowana4">
    <w:name w:val="List Number 4"/>
    <w:basedOn w:val="Normalny"/>
    <w:uiPriority w:val="98"/>
    <w:semiHidden/>
    <w:rsid w:val="008F5CA4"/>
    <w:pPr>
      <w:numPr>
        <w:numId w:val="22"/>
      </w:numPr>
      <w:contextualSpacing/>
    </w:pPr>
  </w:style>
  <w:style w:type="paragraph" w:styleId="Listanumerowana5">
    <w:name w:val="List Number 5"/>
    <w:basedOn w:val="Normalny"/>
    <w:uiPriority w:val="98"/>
    <w:semiHidden/>
    <w:rsid w:val="008F5CA4"/>
    <w:pPr>
      <w:numPr>
        <w:numId w:val="23"/>
      </w:numPr>
      <w:contextualSpacing/>
    </w:pPr>
  </w:style>
  <w:style w:type="paragraph" w:styleId="Tekstmakra">
    <w:name w:val="macro"/>
    <w:link w:val="TekstmakraZnak"/>
    <w:uiPriority w:val="98"/>
    <w:semiHidden/>
    <w:rsid w:val="008F5CA4"/>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8F5CA4"/>
    <w:rPr>
      <w:rFonts w:ascii="Consolas" w:eastAsiaTheme="minorEastAsia" w:hAnsi="Consolas" w:cs="Consolas"/>
      <w:sz w:val="20"/>
      <w:szCs w:val="20"/>
    </w:rPr>
  </w:style>
  <w:style w:type="table" w:styleId="redniasiatka1">
    <w:name w:val="Medium Grid 1"/>
    <w:basedOn w:val="Standardowy"/>
    <w:uiPriority w:val="67"/>
    <w:semiHidden/>
    <w:rsid w:val="008F5CA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8F5CA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8F5CA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8F5CA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8F5CA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8F5CA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8F5CA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8F5CA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8F5CA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8F5CA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8F5CA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8F5CA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8F5CA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8F5CA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8F5CA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8F5CA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8F5CA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8F5CA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8F5CA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8F5CA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8F5CA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8F5CA4"/>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8F5CA4"/>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8F5CA4"/>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8F5CA4"/>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8F5CA4"/>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8F5CA4"/>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8F5CA4"/>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8F5CA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8F5CA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8F5CA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8F5CA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8F5CA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8F5CA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8F5CA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8F5CA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8F5CA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8F5CA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8F5CA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8F5CA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8F5CA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8F5CA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8F5CA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8F5CA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8F5CA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8F5CA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8F5CA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8F5CA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8F5CA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8F5CA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8F5CA4"/>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8F5CA4"/>
    <w:rPr>
      <w:rFonts w:ascii="Times New Roman" w:hAnsi="Times New Roman" w:cs="Times New Roman"/>
    </w:rPr>
  </w:style>
  <w:style w:type="paragraph" w:styleId="Wcicienormalne">
    <w:name w:val="Normal Indent"/>
    <w:basedOn w:val="Normalny"/>
    <w:uiPriority w:val="98"/>
    <w:semiHidden/>
    <w:rsid w:val="008F5CA4"/>
    <w:pPr>
      <w:ind w:left="720"/>
    </w:pPr>
  </w:style>
  <w:style w:type="paragraph" w:styleId="Nagweknotatki">
    <w:name w:val="Note Heading"/>
    <w:basedOn w:val="Normalny"/>
    <w:next w:val="Normalny"/>
    <w:link w:val="NagweknotatkiZnak"/>
    <w:uiPriority w:val="98"/>
    <w:semiHidden/>
    <w:rsid w:val="008F5CA4"/>
  </w:style>
  <w:style w:type="character" w:customStyle="1" w:styleId="NagweknotatkiZnak">
    <w:name w:val="Nagłówek notatki Znak"/>
    <w:basedOn w:val="Domylnaczcionkaakapitu"/>
    <w:link w:val="Nagweknotatki"/>
    <w:uiPriority w:val="98"/>
    <w:semiHidden/>
    <w:rsid w:val="008F5CA4"/>
    <w:rPr>
      <w:sz w:val="24"/>
      <w:szCs w:val="24"/>
      <w:lang w:val="en-GB"/>
    </w:rPr>
  </w:style>
  <w:style w:type="character" w:styleId="Tekstzastpczy">
    <w:name w:val="Placeholder Text"/>
    <w:basedOn w:val="Domylnaczcionkaakapitu"/>
    <w:uiPriority w:val="98"/>
    <w:semiHidden/>
    <w:rsid w:val="008F5CA4"/>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8F5CA4"/>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8F5CA4"/>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8F5CA4"/>
  </w:style>
  <w:style w:type="character" w:customStyle="1" w:styleId="ZwrotgrzecznociowyZnak">
    <w:name w:val="Zwrot grzecznościowy Znak"/>
    <w:basedOn w:val="Domylnaczcionkaakapitu"/>
    <w:link w:val="Zwrotgrzecznociowy"/>
    <w:uiPriority w:val="98"/>
    <w:semiHidden/>
    <w:rsid w:val="008F5CA4"/>
    <w:rPr>
      <w:sz w:val="24"/>
      <w:szCs w:val="24"/>
      <w:lang w:val="en-GB"/>
    </w:rPr>
  </w:style>
  <w:style w:type="paragraph" w:styleId="Podpis">
    <w:name w:val="Signature"/>
    <w:basedOn w:val="Normalny"/>
    <w:link w:val="PodpisZnak"/>
    <w:uiPriority w:val="98"/>
    <w:semiHidden/>
    <w:rsid w:val="008F5CA4"/>
    <w:pPr>
      <w:ind w:left="4252"/>
    </w:pPr>
  </w:style>
  <w:style w:type="character" w:customStyle="1" w:styleId="PodpisZnak">
    <w:name w:val="Podpis Znak"/>
    <w:basedOn w:val="Domylnaczcionkaakapitu"/>
    <w:link w:val="Podpis"/>
    <w:uiPriority w:val="98"/>
    <w:semiHidden/>
    <w:rsid w:val="008F5CA4"/>
    <w:rPr>
      <w:sz w:val="24"/>
      <w:szCs w:val="24"/>
      <w:lang w:val="en-GB"/>
    </w:rPr>
  </w:style>
  <w:style w:type="table" w:styleId="Tabela-Efekty3W1">
    <w:name w:val="Table 3D effects 1"/>
    <w:basedOn w:val="Standardowy"/>
    <w:uiPriority w:val="99"/>
    <w:semiHidden/>
    <w:unhideWhenUsed/>
    <w:rsid w:val="008F5CA4"/>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8F5CA4"/>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8F5CA4"/>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8F5CA4"/>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8F5CA4"/>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8F5CA4"/>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8F5CA4"/>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8F5CA4"/>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8F5CA4"/>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8F5CA4"/>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8F5CA4"/>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8F5CA4"/>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8F5CA4"/>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8F5CA4"/>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8F5CA4"/>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8F5CA4"/>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8F5CA4"/>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8F5CA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8F5CA4"/>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8F5CA4"/>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8F5CA4"/>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8F5CA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8F5CA4"/>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8F5CA4"/>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8F5CA4"/>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8F5CA4"/>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8F5CA4"/>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8F5CA4"/>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8F5CA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8F5CA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8F5CA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8F5CA4"/>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8F5CA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8F5CA4"/>
    <w:pPr>
      <w:ind w:left="240" w:hanging="240"/>
    </w:pPr>
  </w:style>
  <w:style w:type="paragraph" w:styleId="Spisilustracji">
    <w:name w:val="table of figures"/>
    <w:basedOn w:val="Normalny"/>
    <w:next w:val="Normalny"/>
    <w:uiPriority w:val="98"/>
    <w:semiHidden/>
    <w:rsid w:val="008F5CA4"/>
  </w:style>
  <w:style w:type="table" w:styleId="Tabela-Profesjonalny">
    <w:name w:val="Table Professional"/>
    <w:basedOn w:val="Standardowy"/>
    <w:uiPriority w:val="99"/>
    <w:semiHidden/>
    <w:unhideWhenUsed/>
    <w:rsid w:val="008F5CA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8F5CA4"/>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8F5CA4"/>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8F5CA4"/>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8F5CA4"/>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8F5CA4"/>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8F5CA4"/>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8F5CA4"/>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8F5CA4"/>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8F5CA4"/>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8F5CA4"/>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8F5CA4"/>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8F5CA4"/>
    <w:pPr>
      <w:spacing w:after="100"/>
      <w:ind w:left="1680"/>
    </w:pPr>
  </w:style>
  <w:style w:type="paragraph" w:styleId="Spistreci9">
    <w:name w:val="toc 9"/>
    <w:basedOn w:val="Normalny"/>
    <w:next w:val="Normalny"/>
    <w:autoRedefine/>
    <w:uiPriority w:val="98"/>
    <w:semiHidden/>
    <w:rsid w:val="008F5CA4"/>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8F5CA4"/>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8F5CA4"/>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8F5CA4"/>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8F5CA4"/>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8F5CA4"/>
    <w:pPr>
      <w:numPr>
        <w:numId w:val="10"/>
      </w:numPr>
      <w:spacing w:before="60" w:after="60"/>
    </w:pPr>
  </w:style>
  <w:style w:type="paragraph" w:customStyle="1" w:styleId="ECHRBullet2">
    <w:name w:val="ECHR_Bullet_2"/>
    <w:aliases w:val="_Bul_2"/>
    <w:basedOn w:val="ECHRBullet1"/>
    <w:uiPriority w:val="23"/>
    <w:semiHidden/>
    <w:rsid w:val="008F5CA4"/>
    <w:pPr>
      <w:numPr>
        <w:ilvl w:val="1"/>
      </w:numPr>
    </w:pPr>
  </w:style>
  <w:style w:type="paragraph" w:customStyle="1" w:styleId="ECHRBullet3">
    <w:name w:val="ECHR_Bullet_3"/>
    <w:aliases w:val="_Bul_3"/>
    <w:basedOn w:val="ECHRBullet2"/>
    <w:uiPriority w:val="23"/>
    <w:semiHidden/>
    <w:rsid w:val="008F5CA4"/>
    <w:pPr>
      <w:numPr>
        <w:ilvl w:val="2"/>
      </w:numPr>
    </w:pPr>
  </w:style>
  <w:style w:type="paragraph" w:customStyle="1" w:styleId="ECHRBullet4">
    <w:name w:val="ECHR_Bullet_4"/>
    <w:aliases w:val="_Bul_4"/>
    <w:basedOn w:val="ECHRBullet3"/>
    <w:uiPriority w:val="23"/>
    <w:semiHidden/>
    <w:rsid w:val="008F5CA4"/>
    <w:pPr>
      <w:numPr>
        <w:ilvl w:val="3"/>
      </w:numPr>
    </w:pPr>
  </w:style>
  <w:style w:type="paragraph" w:customStyle="1" w:styleId="ECHRConfidential">
    <w:name w:val="ECHR_Confidential"/>
    <w:aliases w:val="_Confidential"/>
    <w:basedOn w:val="Normalny"/>
    <w:next w:val="Normalny"/>
    <w:uiPriority w:val="42"/>
    <w:semiHidden/>
    <w:qFormat/>
    <w:rsid w:val="008F5CA4"/>
    <w:pPr>
      <w:jc w:val="right"/>
    </w:pPr>
    <w:rPr>
      <w:color w:val="C00000"/>
      <w:sz w:val="20"/>
    </w:rPr>
  </w:style>
  <w:style w:type="paragraph" w:customStyle="1" w:styleId="ECHRDecisionBody">
    <w:name w:val="ECHR_Decision_Body"/>
    <w:aliases w:val="_Decision_Body"/>
    <w:basedOn w:val="NormalJustified"/>
    <w:uiPriority w:val="54"/>
    <w:semiHidden/>
    <w:rsid w:val="008F5CA4"/>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8F5CA4"/>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8F5CA4"/>
    <w:rPr>
      <w:rFonts w:ascii="Arial" w:hAnsi="Arial"/>
      <w:i/>
      <w:color w:val="002856"/>
      <w:sz w:val="32"/>
      <w:szCs w:val="24"/>
      <w:lang w:val="en-GB"/>
    </w:rPr>
  </w:style>
  <w:style w:type="paragraph" w:customStyle="1" w:styleId="ECHRFooterLineLandscape">
    <w:name w:val="ECHR_Footer_Line_Landscape"/>
    <w:aliases w:val="_Footer_Line_Landscape"/>
    <w:basedOn w:val="Normalny"/>
    <w:uiPriority w:val="30"/>
    <w:semiHidden/>
    <w:rsid w:val="008F5CA4"/>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8F5CA4"/>
    <w:pPr>
      <w:jc w:val="right"/>
    </w:pPr>
    <w:rPr>
      <w:sz w:val="20"/>
    </w:rPr>
  </w:style>
  <w:style w:type="paragraph" w:customStyle="1" w:styleId="ECHRHeaderRefIt">
    <w:name w:val="ECHR_Header_Ref_It"/>
    <w:aliases w:val="_Ref_Ital"/>
    <w:basedOn w:val="Normalny"/>
    <w:next w:val="ECHRHeaderDate"/>
    <w:uiPriority w:val="43"/>
    <w:semiHidden/>
    <w:qFormat/>
    <w:rsid w:val="008F5CA4"/>
    <w:pPr>
      <w:jc w:val="right"/>
    </w:pPr>
    <w:rPr>
      <w:i/>
      <w:sz w:val="20"/>
    </w:rPr>
  </w:style>
  <w:style w:type="paragraph" w:customStyle="1" w:styleId="ECHRHeading9">
    <w:name w:val="ECHR_Heading_9"/>
    <w:aliases w:val="_Head_9"/>
    <w:basedOn w:val="Nagwek9"/>
    <w:uiPriority w:val="17"/>
    <w:semiHidden/>
    <w:rsid w:val="008F5CA4"/>
    <w:pPr>
      <w:keepNext/>
      <w:keepLines/>
      <w:numPr>
        <w:ilvl w:val="8"/>
        <w:numId w:val="12"/>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8F5CA4"/>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8F5CA4"/>
    <w:pPr>
      <w:numPr>
        <w:numId w:val="11"/>
      </w:numPr>
      <w:spacing w:before="60" w:after="60"/>
    </w:pPr>
  </w:style>
  <w:style w:type="paragraph" w:customStyle="1" w:styleId="ECHRNumberedList2">
    <w:name w:val="ECHR_Numbered_List_2"/>
    <w:aliases w:val="_Num_2"/>
    <w:basedOn w:val="ECHRNumberedList1"/>
    <w:uiPriority w:val="23"/>
    <w:semiHidden/>
    <w:rsid w:val="008F5CA4"/>
    <w:pPr>
      <w:numPr>
        <w:ilvl w:val="1"/>
      </w:numPr>
    </w:pPr>
  </w:style>
  <w:style w:type="paragraph" w:customStyle="1" w:styleId="ECHRNumberedList3">
    <w:name w:val="ECHR_Numbered_List_3"/>
    <w:aliases w:val="_Num_3"/>
    <w:basedOn w:val="ECHRNumberedList2"/>
    <w:uiPriority w:val="23"/>
    <w:semiHidden/>
    <w:rsid w:val="008F5CA4"/>
    <w:pPr>
      <w:numPr>
        <w:ilvl w:val="2"/>
      </w:numPr>
    </w:pPr>
  </w:style>
  <w:style w:type="paragraph" w:customStyle="1" w:styleId="ECHRParaHanging">
    <w:name w:val="ECHR_Para_Hanging"/>
    <w:aliases w:val="_Hanging"/>
    <w:basedOn w:val="NormalJustified"/>
    <w:uiPriority w:val="8"/>
    <w:semiHidden/>
    <w:qFormat/>
    <w:rsid w:val="008F5CA4"/>
    <w:pPr>
      <w:ind w:left="567" w:hanging="567"/>
    </w:pPr>
  </w:style>
  <w:style w:type="paragraph" w:customStyle="1" w:styleId="ECHRParaIndent">
    <w:name w:val="ECHR_Para_Indent"/>
    <w:aliases w:val="_Indent"/>
    <w:basedOn w:val="NormalJustified"/>
    <w:uiPriority w:val="7"/>
    <w:semiHidden/>
    <w:qFormat/>
    <w:rsid w:val="008F5CA4"/>
    <w:pPr>
      <w:spacing w:before="120" w:after="120"/>
      <w:ind w:left="284"/>
    </w:pPr>
  </w:style>
  <w:style w:type="character" w:customStyle="1" w:styleId="ECHRRed">
    <w:name w:val="ECHR_Red"/>
    <w:aliases w:val="_Red"/>
    <w:basedOn w:val="Domylnaczcionkaakapitu"/>
    <w:uiPriority w:val="15"/>
    <w:semiHidden/>
    <w:qFormat/>
    <w:rsid w:val="008F5CA4"/>
    <w:rPr>
      <w:color w:val="C00000" w:themeColor="accent2"/>
    </w:rPr>
  </w:style>
  <w:style w:type="paragraph" w:customStyle="1" w:styleId="DecList">
    <w:name w:val="Dec_List"/>
    <w:aliases w:val="_List"/>
    <w:basedOn w:val="JuList"/>
    <w:uiPriority w:val="22"/>
    <w:rsid w:val="008F5CA4"/>
    <w:pPr>
      <w:numPr>
        <w:numId w:val="0"/>
      </w:numPr>
      <w:ind w:left="284"/>
    </w:pPr>
  </w:style>
  <w:style w:type="table" w:customStyle="1" w:styleId="ECHRTable2">
    <w:name w:val="ECHR_Table_2"/>
    <w:basedOn w:val="Standardowy"/>
    <w:uiPriority w:val="99"/>
    <w:rsid w:val="008F5CA4"/>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8F5CA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8F5CA4"/>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8F5CA4"/>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8F5CA4"/>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8F5CA4"/>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8F5CA4"/>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8F5CA4"/>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8F5CA4"/>
    <w:pPr>
      <w:outlineLvl w:val="0"/>
    </w:pPr>
  </w:style>
  <w:style w:type="paragraph" w:customStyle="1" w:styleId="ECHRTitleTOC1">
    <w:name w:val="ECHR_Title_TOC_1"/>
    <w:aliases w:val="_Title_L_TOC"/>
    <w:basedOn w:val="ECHRTitle1"/>
    <w:next w:val="Normalny"/>
    <w:uiPriority w:val="27"/>
    <w:semiHidden/>
    <w:qFormat/>
    <w:rsid w:val="008F5CA4"/>
    <w:pPr>
      <w:outlineLvl w:val="0"/>
    </w:pPr>
  </w:style>
  <w:style w:type="paragraph" w:customStyle="1" w:styleId="ECHRPlaceholder">
    <w:name w:val="ECHR_Placeholder"/>
    <w:aliases w:val="_Placeholder"/>
    <w:basedOn w:val="JuSigned"/>
    <w:uiPriority w:val="31"/>
    <w:rsid w:val="008F5CA4"/>
    <w:rPr>
      <w:color w:val="FFFFFF"/>
    </w:rPr>
  </w:style>
  <w:style w:type="paragraph" w:customStyle="1" w:styleId="ECHRSpacer">
    <w:name w:val="ECHR_Spacer"/>
    <w:aliases w:val="_Spacer"/>
    <w:basedOn w:val="Normalny"/>
    <w:uiPriority w:val="45"/>
    <w:semiHidden/>
    <w:rsid w:val="008F5CA4"/>
    <w:rPr>
      <w:sz w:val="4"/>
    </w:rPr>
  </w:style>
  <w:style w:type="table" w:customStyle="1" w:styleId="ECHRTableGrey">
    <w:name w:val="ECHR_Table_Grey"/>
    <w:basedOn w:val="Standardowy"/>
    <w:uiPriority w:val="99"/>
    <w:rsid w:val="008F5CA4"/>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8F5CA4"/>
    <w:rPr>
      <w:color w:val="605E5C"/>
      <w:shd w:val="clear" w:color="auto" w:fill="E1DFDD"/>
    </w:rPr>
  </w:style>
  <w:style w:type="character" w:customStyle="1" w:styleId="JuParaChar">
    <w:name w:val="Ju_Para Char"/>
    <w:aliases w:val="_Para Char"/>
    <w:link w:val="JuPara"/>
    <w:uiPriority w:val="4"/>
    <w:rsid w:val="00DA2FAE"/>
    <w:rPr>
      <w:sz w:val="24"/>
      <w:szCs w:val="24"/>
      <w:lang w:val="en-GB"/>
    </w:rPr>
  </w:style>
  <w:style w:type="table" w:customStyle="1" w:styleId="Tabelasiatki1jasna1">
    <w:name w:val="Tabela siatki 1 — jasna1"/>
    <w:basedOn w:val="Standardowy"/>
    <w:uiPriority w:val="46"/>
    <w:semiHidden/>
    <w:rsid w:val="00FC1B1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asiatki1jasnaakcent11">
    <w:name w:val="Tabela siatki 1 — jasna — akcent 11"/>
    <w:basedOn w:val="Standardowy"/>
    <w:uiPriority w:val="46"/>
    <w:semiHidden/>
    <w:rsid w:val="00FC1B19"/>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Tabelasiatki1jasnaakcent21">
    <w:name w:val="Tabela siatki 1 — jasna — akcent 21"/>
    <w:basedOn w:val="Standardowy"/>
    <w:uiPriority w:val="46"/>
    <w:semiHidden/>
    <w:rsid w:val="00FC1B19"/>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Tabelasiatki1jasnaakcent31">
    <w:name w:val="Tabela siatki 1 — jasna — akcent 31"/>
    <w:basedOn w:val="Standardowy"/>
    <w:uiPriority w:val="46"/>
    <w:semiHidden/>
    <w:rsid w:val="00FC1B19"/>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Tabelasiatki1jasnaakcent41">
    <w:name w:val="Tabela siatki 1 — jasna — akcent 41"/>
    <w:basedOn w:val="Standardowy"/>
    <w:uiPriority w:val="46"/>
    <w:semiHidden/>
    <w:rsid w:val="00FC1B19"/>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Tabelasiatki1jasnaakcent51">
    <w:name w:val="Tabela siatki 1 — jasna — akcent 51"/>
    <w:basedOn w:val="Standardowy"/>
    <w:uiPriority w:val="46"/>
    <w:semiHidden/>
    <w:rsid w:val="00FC1B19"/>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Tabelasiatki1jasnaakcent61">
    <w:name w:val="Tabela siatki 1 — jasna — akcent 61"/>
    <w:basedOn w:val="Standardowy"/>
    <w:uiPriority w:val="46"/>
    <w:semiHidden/>
    <w:rsid w:val="00FC1B19"/>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Tabelasiatki21">
    <w:name w:val="Tabela siatki 21"/>
    <w:basedOn w:val="Standardowy"/>
    <w:uiPriority w:val="47"/>
    <w:semiHidden/>
    <w:rsid w:val="00FC1B19"/>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2akcent11">
    <w:name w:val="Tabela siatki 2 — akcent 11"/>
    <w:basedOn w:val="Standardowy"/>
    <w:uiPriority w:val="47"/>
    <w:semiHidden/>
    <w:rsid w:val="00FC1B19"/>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2akcent21">
    <w:name w:val="Tabela siatki 2 — akcent 21"/>
    <w:basedOn w:val="Standardowy"/>
    <w:uiPriority w:val="47"/>
    <w:semiHidden/>
    <w:rsid w:val="00FC1B19"/>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2akcent31">
    <w:name w:val="Tabela siatki 2 — akcent 31"/>
    <w:basedOn w:val="Standardowy"/>
    <w:uiPriority w:val="47"/>
    <w:semiHidden/>
    <w:rsid w:val="00FC1B19"/>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2akcent41">
    <w:name w:val="Tabela siatki 2 — akcent 41"/>
    <w:basedOn w:val="Standardowy"/>
    <w:uiPriority w:val="47"/>
    <w:semiHidden/>
    <w:rsid w:val="00FC1B19"/>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2akcent51">
    <w:name w:val="Tabela siatki 2 — akcent 51"/>
    <w:basedOn w:val="Standardowy"/>
    <w:uiPriority w:val="47"/>
    <w:semiHidden/>
    <w:rsid w:val="00FC1B19"/>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2akcent61">
    <w:name w:val="Tabela siatki 2 — akcent 61"/>
    <w:basedOn w:val="Standardowy"/>
    <w:uiPriority w:val="47"/>
    <w:semiHidden/>
    <w:rsid w:val="00FC1B19"/>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31">
    <w:name w:val="Tabela siatki 31"/>
    <w:basedOn w:val="Standardowy"/>
    <w:uiPriority w:val="48"/>
    <w:semiHidden/>
    <w:rsid w:val="00FC1B1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siatki3akcent11">
    <w:name w:val="Tabela siatki 3 — akcent 11"/>
    <w:basedOn w:val="Standardowy"/>
    <w:uiPriority w:val="48"/>
    <w:semiHidden/>
    <w:rsid w:val="00FC1B1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Tabelasiatki3akcent21">
    <w:name w:val="Tabela siatki 3 — akcent 21"/>
    <w:basedOn w:val="Standardowy"/>
    <w:uiPriority w:val="48"/>
    <w:semiHidden/>
    <w:rsid w:val="00FC1B1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Tabelasiatki3akcent31">
    <w:name w:val="Tabela siatki 3 — akcent 31"/>
    <w:basedOn w:val="Standardowy"/>
    <w:uiPriority w:val="48"/>
    <w:semiHidden/>
    <w:rsid w:val="00FC1B19"/>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Tabelasiatki3akcent41">
    <w:name w:val="Tabela siatki 3 — akcent 41"/>
    <w:basedOn w:val="Standardowy"/>
    <w:uiPriority w:val="48"/>
    <w:semiHidden/>
    <w:rsid w:val="00FC1B1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Tabelasiatki3akcent51">
    <w:name w:val="Tabela siatki 3 — akcent 51"/>
    <w:basedOn w:val="Standardowy"/>
    <w:uiPriority w:val="48"/>
    <w:semiHidden/>
    <w:rsid w:val="00FC1B1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Tabelasiatki3akcent61">
    <w:name w:val="Tabela siatki 3 — akcent 61"/>
    <w:basedOn w:val="Standardowy"/>
    <w:uiPriority w:val="48"/>
    <w:semiHidden/>
    <w:rsid w:val="00FC1B1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Tabelasiatki41">
    <w:name w:val="Tabela siatki 41"/>
    <w:basedOn w:val="Standardowy"/>
    <w:uiPriority w:val="49"/>
    <w:semiHidden/>
    <w:rsid w:val="00FC1B1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4akcent11">
    <w:name w:val="Tabela siatki 4 — akcent 11"/>
    <w:basedOn w:val="Standardowy"/>
    <w:uiPriority w:val="49"/>
    <w:semiHidden/>
    <w:rsid w:val="00FC1B1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4akcent21">
    <w:name w:val="Tabela siatki 4 — akcent 21"/>
    <w:basedOn w:val="Standardowy"/>
    <w:uiPriority w:val="49"/>
    <w:semiHidden/>
    <w:rsid w:val="00FC1B1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4akcent31">
    <w:name w:val="Tabela siatki 4 — akcent 31"/>
    <w:basedOn w:val="Standardowy"/>
    <w:uiPriority w:val="49"/>
    <w:semiHidden/>
    <w:rsid w:val="00FC1B19"/>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4akcent41">
    <w:name w:val="Tabela siatki 4 — akcent 41"/>
    <w:basedOn w:val="Standardowy"/>
    <w:uiPriority w:val="49"/>
    <w:semiHidden/>
    <w:rsid w:val="00FC1B1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4akcent51">
    <w:name w:val="Tabela siatki 4 — akcent 51"/>
    <w:basedOn w:val="Standardowy"/>
    <w:uiPriority w:val="49"/>
    <w:semiHidden/>
    <w:rsid w:val="00FC1B1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4akcent61">
    <w:name w:val="Tabela siatki 4 — akcent 61"/>
    <w:basedOn w:val="Standardowy"/>
    <w:uiPriority w:val="49"/>
    <w:semiHidden/>
    <w:rsid w:val="00FC1B1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5ciemna1">
    <w:name w:val="Tabela siatki 5 — ciemna1"/>
    <w:basedOn w:val="Standardowy"/>
    <w:uiPriority w:val="50"/>
    <w:semiHidden/>
    <w:rsid w:val="00FC1B1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asiatki5ciemnaakcent11">
    <w:name w:val="Tabela siatki 5 — ciemna — akcent 11"/>
    <w:basedOn w:val="Standardowy"/>
    <w:uiPriority w:val="50"/>
    <w:semiHidden/>
    <w:rsid w:val="00FC1B1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Tabelasiatki5ciemnaakcent21">
    <w:name w:val="Tabela siatki 5 — ciemna — akcent 21"/>
    <w:basedOn w:val="Standardowy"/>
    <w:uiPriority w:val="50"/>
    <w:semiHidden/>
    <w:rsid w:val="00FC1B1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Tabelasiatki5ciemnaakcent31">
    <w:name w:val="Tabela siatki 5 — ciemna — akcent 31"/>
    <w:basedOn w:val="Standardowy"/>
    <w:uiPriority w:val="50"/>
    <w:semiHidden/>
    <w:rsid w:val="00FC1B1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Tabelasiatki5ciemnaakcent41">
    <w:name w:val="Tabela siatki 5 — ciemna — akcent 41"/>
    <w:basedOn w:val="Standardowy"/>
    <w:uiPriority w:val="50"/>
    <w:semiHidden/>
    <w:rsid w:val="00FC1B1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Tabelasiatki5ciemnaakcent51">
    <w:name w:val="Tabela siatki 5 — ciemna — akcent 51"/>
    <w:basedOn w:val="Standardowy"/>
    <w:uiPriority w:val="50"/>
    <w:semiHidden/>
    <w:rsid w:val="00FC1B1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Tabelasiatki5ciemnaakcent61">
    <w:name w:val="Tabela siatki 5 — ciemna — akcent 61"/>
    <w:basedOn w:val="Standardowy"/>
    <w:uiPriority w:val="50"/>
    <w:semiHidden/>
    <w:rsid w:val="00FC1B1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Tabelasiatki6kolorowa1">
    <w:name w:val="Tabela siatki 6 — kolorowa1"/>
    <w:basedOn w:val="Standardowy"/>
    <w:uiPriority w:val="51"/>
    <w:semiHidden/>
    <w:rsid w:val="00FC1B1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6kolorowaakcent11">
    <w:name w:val="Tabela siatki 6 — kolorowa — akcent 11"/>
    <w:basedOn w:val="Standardowy"/>
    <w:uiPriority w:val="51"/>
    <w:semiHidden/>
    <w:rsid w:val="00FC1B19"/>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6kolorowaakcent21">
    <w:name w:val="Tabela siatki 6 — kolorowa — akcent 21"/>
    <w:basedOn w:val="Standardowy"/>
    <w:uiPriority w:val="51"/>
    <w:semiHidden/>
    <w:rsid w:val="00FC1B19"/>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6kolorowaakcent31">
    <w:name w:val="Tabela siatki 6 — kolorowa — akcent 31"/>
    <w:basedOn w:val="Standardowy"/>
    <w:uiPriority w:val="51"/>
    <w:semiHidden/>
    <w:rsid w:val="00FC1B19"/>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6kolorowaakcent41">
    <w:name w:val="Tabela siatki 6 — kolorowa — akcent 41"/>
    <w:basedOn w:val="Standardowy"/>
    <w:uiPriority w:val="51"/>
    <w:semiHidden/>
    <w:rsid w:val="00FC1B19"/>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6kolorowaakcent51">
    <w:name w:val="Tabela siatki 6 — kolorowa — akcent 51"/>
    <w:basedOn w:val="Standardowy"/>
    <w:uiPriority w:val="51"/>
    <w:semiHidden/>
    <w:rsid w:val="00FC1B19"/>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6kolorowaakcent61">
    <w:name w:val="Tabela siatki 6 — kolorowa — akcent 61"/>
    <w:basedOn w:val="Standardowy"/>
    <w:uiPriority w:val="51"/>
    <w:semiHidden/>
    <w:rsid w:val="00FC1B19"/>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7kolorowa1">
    <w:name w:val="Tabela siatki 7 — kolorowa1"/>
    <w:basedOn w:val="Standardowy"/>
    <w:uiPriority w:val="52"/>
    <w:semiHidden/>
    <w:rsid w:val="00FC1B1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siatki7kolorowaakcent11">
    <w:name w:val="Tabela siatki 7 — kolorowa — akcent 11"/>
    <w:basedOn w:val="Standardowy"/>
    <w:uiPriority w:val="52"/>
    <w:semiHidden/>
    <w:rsid w:val="00FC1B19"/>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Tabelasiatki7kolorowaakcent21">
    <w:name w:val="Tabela siatki 7 — kolorowa — akcent 21"/>
    <w:basedOn w:val="Standardowy"/>
    <w:uiPriority w:val="52"/>
    <w:semiHidden/>
    <w:rsid w:val="00FC1B19"/>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Tabelasiatki7kolorowaakcent31">
    <w:name w:val="Tabela siatki 7 — kolorowa — akcent 31"/>
    <w:basedOn w:val="Standardowy"/>
    <w:uiPriority w:val="52"/>
    <w:semiHidden/>
    <w:rsid w:val="00FC1B19"/>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Tabelasiatki7kolorowaakcent41">
    <w:name w:val="Tabela siatki 7 — kolorowa — akcent 41"/>
    <w:basedOn w:val="Standardowy"/>
    <w:uiPriority w:val="52"/>
    <w:semiHidden/>
    <w:rsid w:val="00FC1B19"/>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Tabelasiatki7kolorowaakcent51">
    <w:name w:val="Tabela siatki 7 — kolorowa — akcent 51"/>
    <w:basedOn w:val="Standardowy"/>
    <w:uiPriority w:val="52"/>
    <w:semiHidden/>
    <w:rsid w:val="00FC1B19"/>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Tabelasiatki7kolorowaakcent61">
    <w:name w:val="Tabela siatki 7 — kolorowa — akcent 61"/>
    <w:basedOn w:val="Standardowy"/>
    <w:uiPriority w:val="52"/>
    <w:semiHidden/>
    <w:rsid w:val="00FC1B19"/>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FC1B19"/>
    <w:rPr>
      <w:color w:val="2B579A"/>
      <w:shd w:val="clear" w:color="auto" w:fill="E1DFDD"/>
    </w:rPr>
  </w:style>
  <w:style w:type="table" w:customStyle="1" w:styleId="Tabelalisty1jasna1">
    <w:name w:val="Tabela listy 1 — jasna1"/>
    <w:basedOn w:val="Standardowy"/>
    <w:uiPriority w:val="46"/>
    <w:semiHidden/>
    <w:rsid w:val="00FC1B19"/>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1jasnaakcent11">
    <w:name w:val="Tabela listy 1 — jasna — akcent 11"/>
    <w:basedOn w:val="Standardowy"/>
    <w:uiPriority w:val="46"/>
    <w:semiHidden/>
    <w:rsid w:val="00FC1B19"/>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1jasnaakcent21">
    <w:name w:val="Tabela listy 1 — jasna — akcent 21"/>
    <w:basedOn w:val="Standardowy"/>
    <w:uiPriority w:val="46"/>
    <w:semiHidden/>
    <w:rsid w:val="00FC1B19"/>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1jasnaakcent31">
    <w:name w:val="Tabela listy 1 — jasna — akcent 31"/>
    <w:basedOn w:val="Standardowy"/>
    <w:uiPriority w:val="46"/>
    <w:semiHidden/>
    <w:rsid w:val="00FC1B19"/>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1jasnaakcent41">
    <w:name w:val="Tabela listy 1 — jasna — akcent 41"/>
    <w:basedOn w:val="Standardowy"/>
    <w:uiPriority w:val="46"/>
    <w:semiHidden/>
    <w:rsid w:val="00FC1B19"/>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1jasnaakcent51">
    <w:name w:val="Tabela listy 1 — jasna — akcent 51"/>
    <w:basedOn w:val="Standardowy"/>
    <w:uiPriority w:val="46"/>
    <w:semiHidden/>
    <w:rsid w:val="00FC1B19"/>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1jasnaakcent61">
    <w:name w:val="Tabela listy 1 — jasna — akcent 61"/>
    <w:basedOn w:val="Standardowy"/>
    <w:uiPriority w:val="46"/>
    <w:semiHidden/>
    <w:rsid w:val="00FC1B19"/>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21">
    <w:name w:val="Tabela listy 21"/>
    <w:basedOn w:val="Standardowy"/>
    <w:uiPriority w:val="47"/>
    <w:semiHidden/>
    <w:rsid w:val="00FC1B19"/>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2akcent11">
    <w:name w:val="Tabela listy 2 — akcent 11"/>
    <w:basedOn w:val="Standardowy"/>
    <w:uiPriority w:val="47"/>
    <w:semiHidden/>
    <w:rsid w:val="00FC1B19"/>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2akcent21">
    <w:name w:val="Tabela listy 2 — akcent 21"/>
    <w:basedOn w:val="Standardowy"/>
    <w:uiPriority w:val="47"/>
    <w:semiHidden/>
    <w:rsid w:val="00FC1B19"/>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2akcent31">
    <w:name w:val="Tabela listy 2 — akcent 31"/>
    <w:basedOn w:val="Standardowy"/>
    <w:uiPriority w:val="47"/>
    <w:semiHidden/>
    <w:rsid w:val="00FC1B19"/>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2akcent41">
    <w:name w:val="Tabela listy 2 — akcent 41"/>
    <w:basedOn w:val="Standardowy"/>
    <w:uiPriority w:val="47"/>
    <w:semiHidden/>
    <w:rsid w:val="00FC1B19"/>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2akcent51">
    <w:name w:val="Tabela listy 2 — akcent 51"/>
    <w:basedOn w:val="Standardowy"/>
    <w:uiPriority w:val="47"/>
    <w:semiHidden/>
    <w:rsid w:val="00FC1B19"/>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2akcent61">
    <w:name w:val="Tabela listy 2 — akcent 61"/>
    <w:basedOn w:val="Standardowy"/>
    <w:uiPriority w:val="47"/>
    <w:semiHidden/>
    <w:rsid w:val="00FC1B19"/>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31">
    <w:name w:val="Tabela listy 31"/>
    <w:basedOn w:val="Standardowy"/>
    <w:uiPriority w:val="48"/>
    <w:semiHidden/>
    <w:rsid w:val="00FC1B1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Tabelalisty3akcent11">
    <w:name w:val="Tabela listy 3 — akcent 11"/>
    <w:basedOn w:val="Standardowy"/>
    <w:uiPriority w:val="48"/>
    <w:semiHidden/>
    <w:rsid w:val="00FC1B19"/>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Tabelalisty3akcent21">
    <w:name w:val="Tabela listy 3 — akcent 21"/>
    <w:basedOn w:val="Standardowy"/>
    <w:uiPriority w:val="48"/>
    <w:semiHidden/>
    <w:rsid w:val="00FC1B19"/>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Tabelalisty3akcent31">
    <w:name w:val="Tabela listy 3 — akcent 31"/>
    <w:basedOn w:val="Standardowy"/>
    <w:uiPriority w:val="48"/>
    <w:semiHidden/>
    <w:rsid w:val="00FC1B19"/>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Tabelalisty3akcent41">
    <w:name w:val="Tabela listy 3 — akcent 41"/>
    <w:basedOn w:val="Standardowy"/>
    <w:uiPriority w:val="48"/>
    <w:semiHidden/>
    <w:rsid w:val="00FC1B19"/>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Tabelalisty3akcent51">
    <w:name w:val="Tabela listy 3 — akcent 51"/>
    <w:basedOn w:val="Standardowy"/>
    <w:uiPriority w:val="48"/>
    <w:semiHidden/>
    <w:rsid w:val="00FC1B19"/>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Tabelalisty3akcent61">
    <w:name w:val="Tabela listy 3 — akcent 61"/>
    <w:basedOn w:val="Standardowy"/>
    <w:uiPriority w:val="48"/>
    <w:semiHidden/>
    <w:rsid w:val="00FC1B19"/>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Tabelalisty41">
    <w:name w:val="Tabela listy 41"/>
    <w:basedOn w:val="Standardowy"/>
    <w:uiPriority w:val="49"/>
    <w:semiHidden/>
    <w:rsid w:val="00FC1B1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4akcent11">
    <w:name w:val="Tabela listy 4 — akcent 11"/>
    <w:basedOn w:val="Standardowy"/>
    <w:uiPriority w:val="49"/>
    <w:semiHidden/>
    <w:rsid w:val="00FC1B1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4akcent21">
    <w:name w:val="Tabela listy 4 — akcent 21"/>
    <w:basedOn w:val="Standardowy"/>
    <w:uiPriority w:val="49"/>
    <w:semiHidden/>
    <w:rsid w:val="00FC1B1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4akcent31">
    <w:name w:val="Tabela listy 4 — akcent 31"/>
    <w:basedOn w:val="Standardowy"/>
    <w:uiPriority w:val="49"/>
    <w:semiHidden/>
    <w:rsid w:val="00FC1B19"/>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4akcent41">
    <w:name w:val="Tabela listy 4 — akcent 41"/>
    <w:basedOn w:val="Standardowy"/>
    <w:uiPriority w:val="49"/>
    <w:semiHidden/>
    <w:rsid w:val="00FC1B1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4akcent51">
    <w:name w:val="Tabela listy 4 — akcent 51"/>
    <w:basedOn w:val="Standardowy"/>
    <w:uiPriority w:val="49"/>
    <w:semiHidden/>
    <w:rsid w:val="00FC1B1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4akcent61">
    <w:name w:val="Tabela listy 4 — akcent 61"/>
    <w:basedOn w:val="Standardowy"/>
    <w:uiPriority w:val="49"/>
    <w:semiHidden/>
    <w:rsid w:val="00FC1B1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5ciemna1">
    <w:name w:val="Tabela listy 5 — ciemna1"/>
    <w:basedOn w:val="Standardowy"/>
    <w:uiPriority w:val="50"/>
    <w:semiHidden/>
    <w:rsid w:val="00FC1B19"/>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11">
    <w:name w:val="Tabela listy 5 — ciemna — akcent 11"/>
    <w:basedOn w:val="Standardowy"/>
    <w:uiPriority w:val="50"/>
    <w:semiHidden/>
    <w:rsid w:val="00FC1B19"/>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21">
    <w:name w:val="Tabela listy 5 — ciemna — akcent 21"/>
    <w:basedOn w:val="Standardowy"/>
    <w:uiPriority w:val="50"/>
    <w:semiHidden/>
    <w:rsid w:val="00FC1B19"/>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31">
    <w:name w:val="Tabela listy 5 — ciemna — akcent 31"/>
    <w:basedOn w:val="Standardowy"/>
    <w:uiPriority w:val="50"/>
    <w:semiHidden/>
    <w:rsid w:val="00FC1B19"/>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41">
    <w:name w:val="Tabela listy 5 — ciemna — akcent 41"/>
    <w:basedOn w:val="Standardowy"/>
    <w:uiPriority w:val="50"/>
    <w:semiHidden/>
    <w:rsid w:val="00FC1B19"/>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51">
    <w:name w:val="Tabela listy 5 — ciemna — akcent 51"/>
    <w:basedOn w:val="Standardowy"/>
    <w:uiPriority w:val="50"/>
    <w:semiHidden/>
    <w:rsid w:val="00FC1B19"/>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61">
    <w:name w:val="Tabela listy 5 — ciemna — akcent 61"/>
    <w:basedOn w:val="Standardowy"/>
    <w:uiPriority w:val="50"/>
    <w:semiHidden/>
    <w:rsid w:val="00FC1B19"/>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6kolorowa1">
    <w:name w:val="Tabela listy 6 — kolorowa1"/>
    <w:basedOn w:val="Standardowy"/>
    <w:uiPriority w:val="51"/>
    <w:semiHidden/>
    <w:rsid w:val="00FC1B19"/>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6kolorowaakcent11">
    <w:name w:val="Tabela listy 6 — kolorowa — akcent 11"/>
    <w:basedOn w:val="Standardowy"/>
    <w:uiPriority w:val="51"/>
    <w:semiHidden/>
    <w:rsid w:val="00FC1B19"/>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6kolorowaakcent21">
    <w:name w:val="Tabela listy 6 — kolorowa — akcent 21"/>
    <w:basedOn w:val="Standardowy"/>
    <w:uiPriority w:val="51"/>
    <w:semiHidden/>
    <w:rsid w:val="00FC1B19"/>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6kolorowaakcent31">
    <w:name w:val="Tabela listy 6 — kolorowa — akcent 31"/>
    <w:basedOn w:val="Standardowy"/>
    <w:uiPriority w:val="51"/>
    <w:semiHidden/>
    <w:rsid w:val="00FC1B19"/>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6kolorowaakcent41">
    <w:name w:val="Tabela listy 6 — kolorowa — akcent 41"/>
    <w:basedOn w:val="Standardowy"/>
    <w:uiPriority w:val="51"/>
    <w:semiHidden/>
    <w:rsid w:val="00FC1B19"/>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6kolorowaakcent51">
    <w:name w:val="Tabela listy 6 — kolorowa — akcent 51"/>
    <w:basedOn w:val="Standardowy"/>
    <w:uiPriority w:val="51"/>
    <w:semiHidden/>
    <w:rsid w:val="00FC1B19"/>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6kolorowaakcent61">
    <w:name w:val="Tabela listy 6 — kolorowa — akcent 61"/>
    <w:basedOn w:val="Standardowy"/>
    <w:uiPriority w:val="51"/>
    <w:semiHidden/>
    <w:rsid w:val="00FC1B19"/>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7kolorowa1">
    <w:name w:val="Tabela listy 7 — kolorowa1"/>
    <w:basedOn w:val="Standardowy"/>
    <w:uiPriority w:val="52"/>
    <w:semiHidden/>
    <w:rsid w:val="00FC1B19"/>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11">
    <w:name w:val="Tabela listy 7 — kolorowa — akcent 11"/>
    <w:basedOn w:val="Standardowy"/>
    <w:uiPriority w:val="52"/>
    <w:semiHidden/>
    <w:rsid w:val="00FC1B19"/>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21">
    <w:name w:val="Tabela listy 7 — kolorowa — akcent 21"/>
    <w:basedOn w:val="Standardowy"/>
    <w:uiPriority w:val="52"/>
    <w:semiHidden/>
    <w:rsid w:val="00FC1B19"/>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31">
    <w:name w:val="Tabela listy 7 — kolorowa — akcent 31"/>
    <w:basedOn w:val="Standardowy"/>
    <w:uiPriority w:val="52"/>
    <w:semiHidden/>
    <w:rsid w:val="00FC1B19"/>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41">
    <w:name w:val="Tabela listy 7 — kolorowa — akcent 41"/>
    <w:basedOn w:val="Standardowy"/>
    <w:uiPriority w:val="52"/>
    <w:semiHidden/>
    <w:rsid w:val="00FC1B19"/>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51">
    <w:name w:val="Tabela listy 7 — kolorowa — akcent 51"/>
    <w:basedOn w:val="Standardowy"/>
    <w:uiPriority w:val="52"/>
    <w:semiHidden/>
    <w:rsid w:val="00FC1B19"/>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61">
    <w:name w:val="Tabela listy 7 — kolorowa — akcent 61"/>
    <w:basedOn w:val="Standardowy"/>
    <w:uiPriority w:val="52"/>
    <w:semiHidden/>
    <w:rsid w:val="00FC1B19"/>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FC1B19"/>
    <w:rPr>
      <w:color w:val="2B579A"/>
      <w:shd w:val="clear" w:color="auto" w:fill="E1DFDD"/>
    </w:rPr>
  </w:style>
  <w:style w:type="table" w:customStyle="1" w:styleId="Zwykatabela11">
    <w:name w:val="Zwykła tabela 11"/>
    <w:basedOn w:val="Standardowy"/>
    <w:uiPriority w:val="41"/>
    <w:semiHidden/>
    <w:rsid w:val="00FC1B19"/>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Zwykatabela21">
    <w:name w:val="Zwykła tabela 21"/>
    <w:basedOn w:val="Standardowy"/>
    <w:uiPriority w:val="42"/>
    <w:semiHidden/>
    <w:rsid w:val="00FC1B19"/>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Zwykatabela31">
    <w:name w:val="Zwykła tabela 31"/>
    <w:basedOn w:val="Standardowy"/>
    <w:uiPriority w:val="43"/>
    <w:semiHidden/>
    <w:rsid w:val="00FC1B19"/>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Zwykatabela41">
    <w:name w:val="Zwykła tabela 41"/>
    <w:basedOn w:val="Standardowy"/>
    <w:uiPriority w:val="44"/>
    <w:semiHidden/>
    <w:rsid w:val="00FC1B1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Zwykatabela51">
    <w:name w:val="Zwykła tabela 51"/>
    <w:basedOn w:val="Standardowy"/>
    <w:uiPriority w:val="45"/>
    <w:semiHidden/>
    <w:rsid w:val="00FC1B19"/>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FC1B19"/>
    <w:rPr>
      <w:u w:val="dotted"/>
    </w:rPr>
  </w:style>
  <w:style w:type="character" w:customStyle="1" w:styleId="Inteligentnylink1">
    <w:name w:val="Inteligentny link1"/>
    <w:basedOn w:val="Domylnaczcionkaakapitu"/>
    <w:uiPriority w:val="99"/>
    <w:semiHidden/>
    <w:unhideWhenUsed/>
    <w:rsid w:val="00FC1B19"/>
    <w:rPr>
      <w:color w:val="0000FF"/>
      <w:u w:val="single"/>
      <w:shd w:val="clear" w:color="auto" w:fill="F3F2F1"/>
    </w:rPr>
  </w:style>
  <w:style w:type="table" w:customStyle="1" w:styleId="Siatkatabelijasna1">
    <w:name w:val="Siatka tabeli — jasna1"/>
    <w:basedOn w:val="Standardowy"/>
    <w:uiPriority w:val="40"/>
    <w:semiHidden/>
    <w:rsid w:val="00FC1B19"/>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styleId="Poprawka">
    <w:name w:val="Revision"/>
    <w:hidden/>
    <w:uiPriority w:val="99"/>
    <w:semiHidden/>
    <w:rsid w:val="000644A4"/>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E87F61-BFCA-4743-901F-F5AE45910C9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F9EFFBD-74C2-4F76-9D24-DA5F9D9101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21D2B20-457F-4728-B22B-83B4875977CF}">
  <ds:schemaRefs>
    <ds:schemaRef ds:uri="http://schemas.microsoft.com/sharepoint/v3/contenttype/forms"/>
  </ds:schemaRefs>
</ds:datastoreItem>
</file>

<file path=customXml/itemProps4.xml><?xml version="1.0" encoding="utf-8"?>
<ds:datastoreItem xmlns:ds="http://schemas.openxmlformats.org/officeDocument/2006/customXml" ds:itemID="{B7A99B2F-0125-4077-BA94-2D0678AAF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2830</Words>
  <Characters>16985</Characters>
  <Application>Microsoft Office Word</Application>
  <DocSecurity>0</DocSecurity>
  <Lines>141</Lines>
  <Paragraphs>39</Paragraphs>
  <ScaleCrop>false</ScaleCrop>
  <HeadingPairs>
    <vt:vector size="2" baseType="variant">
      <vt:variant>
        <vt:lpstr>Tytuł</vt:lpstr>
      </vt:variant>
      <vt:variant>
        <vt:i4>1</vt:i4>
      </vt:variant>
    </vt:vector>
  </HeadingPairs>
  <TitlesOfParts>
    <vt:vector size="1" baseType="lpstr">
      <vt:lpstr/>
    </vt:vector>
  </TitlesOfParts>
  <Manager/>
  <Company/>
  <LinksUpToDate>false</LinksUpToDate>
  <CharactersWithSpaces>19776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2022-07-18T12:38:00Z</dcterms:created>
  <dcterms:modified xsi:type="dcterms:W3CDTF">2022-07-18T12:45:00Z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22647/19</vt:lpwstr>
  </property>
  <property fmtid="{D5CDD505-2E9C-101B-9397-08002B2CF9AE}" pid="4" name="CASEID">
    <vt:lpwstr>1450672</vt:lpwstr>
  </property>
  <property fmtid="{D5CDD505-2E9C-101B-9397-08002B2CF9AE}" pid="5" name="ContentTypeId">
    <vt:lpwstr>0x010100558EB02BDB9E204AB350EDD385B68E10</vt:lpwstr>
  </property>
</Properties>
</file>