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9A2C11" w:rsidR="00DA2FAE" w:rsidP="009A2C11" w:rsidRDefault="00DA2FAE" w14:paraId="36A55D7D" w14:textId="77777777">
      <w:pPr>
        <w:jc w:val="center"/>
        <w:rPr>
          <w:rFonts w:ascii="Times New Roman" w:hAnsi="Times New Roman" w:cs="Times New Roman"/>
        </w:rPr>
      </w:pPr>
    </w:p>
    <w:p w:rsidRPr="009A2C11" w:rsidR="0098410D" w:rsidP="009A2C11" w:rsidRDefault="0098410D" w14:paraId="6E800326" w14:textId="77777777">
      <w:pPr>
        <w:jc w:val="center"/>
      </w:pPr>
    </w:p>
    <w:p w:rsidRPr="009A2C11" w:rsidR="0098410D" w:rsidP="009A2C11" w:rsidRDefault="00DA2FAE" w14:paraId="4005B500" w14:textId="3A63BCE2">
      <w:pPr>
        <w:pStyle w:val="DecHTitle"/>
      </w:pPr>
      <w:r w:rsidRPr="009A2C11">
        <w:t>FIRST SECTION</w:t>
      </w:r>
    </w:p>
    <w:p w:rsidRPr="009A2C11" w:rsidR="008E6217" w:rsidP="009A2C11" w:rsidRDefault="008E6217" w14:paraId="35FDA5EE" w14:textId="258B4776">
      <w:pPr>
        <w:pStyle w:val="JuTitle"/>
      </w:pPr>
      <w:bookmarkStart w:name="To" w:id="0"/>
      <w:r w:rsidRPr="009A2C11">
        <w:rPr>
          <w:color w:val="000000" w:themeColor="text1"/>
        </w:rPr>
        <w:t xml:space="preserve">CASE OF </w:t>
      </w:r>
      <w:bookmarkEnd w:id="0"/>
      <w:r w:rsidRPr="009A2C11" w:rsidR="00DA2FAE">
        <w:t>RUDNICKI v. POLAND</w:t>
      </w:r>
    </w:p>
    <w:p w:rsidRPr="009A2C11" w:rsidR="00D74888" w:rsidP="009A2C11" w:rsidRDefault="008E6217" w14:paraId="5ED368A3" w14:textId="0FC24A58">
      <w:pPr>
        <w:pStyle w:val="ECHRCoverTitle4"/>
      </w:pPr>
      <w:r w:rsidRPr="009A2C11">
        <w:t>(</w:t>
      </w:r>
      <w:r w:rsidRPr="009A2C11" w:rsidR="00DA2FAE">
        <w:t>Application no.</w:t>
      </w:r>
      <w:r w:rsidRPr="009A2C11">
        <w:t xml:space="preserve"> </w:t>
      </w:r>
      <w:r w:rsidRPr="009A2C11" w:rsidR="00DA2FAE">
        <w:t>22647/19</w:t>
      </w:r>
      <w:r w:rsidRPr="009A2C11">
        <w:t>)</w:t>
      </w:r>
    </w:p>
    <w:p w:rsidRPr="009A2C11" w:rsidR="0098410D" w:rsidP="009A2C11" w:rsidRDefault="0098410D" w14:paraId="6F62127F" w14:textId="77777777">
      <w:pPr>
        <w:pStyle w:val="DecHCase"/>
      </w:pPr>
    </w:p>
    <w:p w:rsidRPr="009A2C11" w:rsidR="0098410D" w:rsidP="009A2C11" w:rsidRDefault="0098410D" w14:paraId="206C97D0" w14:textId="77777777">
      <w:pPr>
        <w:pStyle w:val="DecHCase"/>
      </w:pPr>
    </w:p>
    <w:p w:rsidRPr="009A2C11" w:rsidR="00AC4CD4" w:rsidP="009A2C11" w:rsidRDefault="00AC4CD4" w14:paraId="0108BBD7" w14:textId="77777777">
      <w:pPr>
        <w:pStyle w:val="DecHCase"/>
      </w:pPr>
    </w:p>
    <w:p w:rsidRPr="009A2C11" w:rsidR="0098410D" w:rsidP="009A2C11" w:rsidRDefault="0098410D" w14:paraId="471AE033" w14:textId="77777777">
      <w:pPr>
        <w:pStyle w:val="DecHCase"/>
      </w:pPr>
    </w:p>
    <w:p w:rsidRPr="009A2C11" w:rsidR="0098410D" w:rsidP="009A2C11" w:rsidRDefault="0098410D" w14:paraId="6D17EE1A" w14:textId="598B6CF4">
      <w:pPr>
        <w:pStyle w:val="DecHCase"/>
      </w:pPr>
      <w:r w:rsidRPr="009A2C11">
        <w:t>JUDGMENT</w:t>
      </w:r>
      <w:r w:rsidRPr="009A2C11" w:rsidR="00AC4CD4">
        <w:br/>
      </w:r>
    </w:p>
    <w:p w:rsidRPr="009A2C11" w:rsidR="0098410D" w:rsidP="009A2C11" w:rsidRDefault="0098410D" w14:paraId="4A163E20" w14:textId="77777777">
      <w:pPr>
        <w:pStyle w:val="DecHCase"/>
      </w:pPr>
      <w:r w:rsidRPr="009A2C11">
        <w:t>STRASBOURG</w:t>
      </w:r>
    </w:p>
    <w:p w:rsidRPr="009A2C11" w:rsidR="0098410D" w:rsidP="009A2C11" w:rsidRDefault="00DA2FAE" w14:paraId="525A3401" w14:textId="238108AB">
      <w:pPr>
        <w:pStyle w:val="DecHCase"/>
      </w:pPr>
      <w:r w:rsidRPr="009A2C11">
        <w:rPr>
          <w:rFonts w:ascii="Times New Roman" w:hAnsi="Times New Roman" w:cs="Times New Roman"/>
        </w:rPr>
        <w:t>3 February 2022</w:t>
      </w:r>
    </w:p>
    <w:p w:rsidRPr="009A2C11" w:rsidR="00AC4CD4" w:rsidP="009A2C11" w:rsidRDefault="00AC4CD4" w14:paraId="6989F728" w14:textId="77777777">
      <w:pPr>
        <w:pStyle w:val="JuPara"/>
      </w:pPr>
    </w:p>
    <w:p w:rsidRPr="009A2C11" w:rsidR="002422B6" w:rsidP="009A2C11" w:rsidRDefault="0098410D" w14:paraId="6CDBAFD7" w14:textId="351D1A96">
      <w:pPr>
        <w:jc w:val="center"/>
        <w:rPr>
          <w:i/>
          <w:sz w:val="22"/>
        </w:rPr>
      </w:pPr>
      <w:r w:rsidRPr="009A2C11">
        <w:rPr>
          <w:i/>
          <w:sz w:val="22"/>
        </w:rPr>
        <w:t xml:space="preserve">This judgment </w:t>
      </w:r>
      <w:r w:rsidRPr="009A2C11" w:rsidR="00DA2FAE">
        <w:rPr>
          <w:i/>
          <w:sz w:val="22"/>
        </w:rPr>
        <w:t xml:space="preserve">is </w:t>
      </w:r>
      <w:proofErr w:type="gramStart"/>
      <w:r w:rsidRPr="009A2C11" w:rsidR="00DA2FAE">
        <w:rPr>
          <w:i/>
          <w:sz w:val="22"/>
        </w:rPr>
        <w:t>final</w:t>
      </w:r>
      <w:proofErr w:type="gramEnd"/>
      <w:r w:rsidRPr="009A2C11" w:rsidR="00DA2FAE">
        <w:rPr>
          <w:i/>
          <w:sz w:val="22"/>
        </w:rPr>
        <w:t xml:space="preserve"> but it</w:t>
      </w:r>
      <w:r w:rsidRPr="009A2C11">
        <w:rPr>
          <w:i/>
          <w:sz w:val="22"/>
        </w:rPr>
        <w:t xml:space="preserve"> may be subject to editorial revision.</w:t>
      </w:r>
    </w:p>
    <w:p w:rsidRPr="009A2C11" w:rsidR="0098410D" w:rsidP="009A2C11" w:rsidRDefault="0098410D" w14:paraId="42F5C40A" w14:textId="77777777">
      <w:pPr>
        <w:sectPr w:rsidRPr="009A2C11" w:rsidR="0098410D"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9A2C11" w:rsidR="0098410D" w:rsidP="009A2C11" w:rsidRDefault="0098410D" w14:paraId="696E9410" w14:textId="4A58C939">
      <w:pPr>
        <w:pStyle w:val="JuCase"/>
      </w:pPr>
      <w:r w:rsidRPr="009A2C11">
        <w:t xml:space="preserve">In the case of </w:t>
      </w:r>
      <w:proofErr w:type="spellStart"/>
      <w:r w:rsidRPr="009A2C11" w:rsidR="00DA2FAE">
        <w:t>Rudnicki</w:t>
      </w:r>
      <w:proofErr w:type="spellEnd"/>
      <w:r w:rsidRPr="009A2C11" w:rsidR="00DA2FAE">
        <w:t xml:space="preserve"> v. Poland</w:t>
      </w:r>
      <w:r w:rsidRPr="009A2C11">
        <w:t>,</w:t>
      </w:r>
    </w:p>
    <w:p w:rsidRPr="009A2C11" w:rsidR="009F4C8F" w:rsidP="009A2C11" w:rsidRDefault="009F4C8F" w14:paraId="5233213F" w14:textId="4197C77B">
      <w:pPr>
        <w:pStyle w:val="JuPara"/>
      </w:pPr>
      <w:r w:rsidRPr="009A2C11">
        <w:t>The European Court of Human Rights (</w:t>
      </w:r>
      <w:r w:rsidRPr="009A2C11" w:rsidR="00DA2FAE">
        <w:t>First Section</w:t>
      </w:r>
      <w:r w:rsidRPr="009A2C11">
        <w:t xml:space="preserve">), sitting as a </w:t>
      </w:r>
      <w:r w:rsidRPr="009A2C11" w:rsidR="00DA2FAE">
        <w:t>Committee</w:t>
      </w:r>
      <w:r w:rsidRPr="009A2C11">
        <w:t xml:space="preserve"> composed of:</w:t>
      </w:r>
    </w:p>
    <w:p w:rsidRPr="009A2C11" w:rsidR="009F4C8F" w:rsidP="009A2C11" w:rsidRDefault="006F3D6C" w14:paraId="0E8F5C42" w14:textId="3E559B03">
      <w:pPr>
        <w:pStyle w:val="JuJudges"/>
      </w:pPr>
      <w:r w:rsidRPr="009A2C11">
        <w:tab/>
        <w:t xml:space="preserve">Erik </w:t>
      </w:r>
      <w:proofErr w:type="spellStart"/>
      <w:r w:rsidRPr="009A2C11">
        <w:t>Wennerström</w:t>
      </w:r>
      <w:proofErr w:type="spellEnd"/>
      <w:r w:rsidRPr="009A2C11">
        <w:t>,</w:t>
      </w:r>
      <w:r w:rsidRPr="009A2C11">
        <w:rPr>
          <w:i/>
        </w:rPr>
        <w:t xml:space="preserve"> President,</w:t>
      </w:r>
      <w:r w:rsidRPr="009A2C11">
        <w:rPr>
          <w:i/>
        </w:rPr>
        <w:br/>
      </w:r>
      <w:r w:rsidRPr="009A2C11">
        <w:tab/>
        <w:t>Lorraine Schembri Orland,</w:t>
      </w:r>
      <w:r w:rsidRPr="009A2C11">
        <w:rPr>
          <w:i/>
        </w:rPr>
        <w:br/>
      </w:r>
      <w:r w:rsidRPr="009A2C11">
        <w:tab/>
      </w:r>
      <w:proofErr w:type="spellStart"/>
      <w:r w:rsidRPr="009A2C11">
        <w:t>Ioannis</w:t>
      </w:r>
      <w:proofErr w:type="spellEnd"/>
      <w:r w:rsidRPr="009A2C11">
        <w:t xml:space="preserve"> </w:t>
      </w:r>
      <w:proofErr w:type="spellStart"/>
      <w:r w:rsidRPr="009A2C11">
        <w:t>Ktistakis</w:t>
      </w:r>
      <w:proofErr w:type="spellEnd"/>
      <w:r w:rsidRPr="009A2C11">
        <w:t>,</w:t>
      </w:r>
      <w:r w:rsidRPr="009A2C11" w:rsidR="00E57162">
        <w:rPr>
          <w:i/>
        </w:rPr>
        <w:t xml:space="preserve"> </w:t>
      </w:r>
      <w:r w:rsidRPr="009A2C11">
        <w:rPr>
          <w:i/>
        </w:rPr>
        <w:t>judges,</w:t>
      </w:r>
      <w:r w:rsidRPr="009A2C11" w:rsidR="009F4C8F">
        <w:br/>
        <w:t xml:space="preserve">and </w:t>
      </w:r>
      <w:r w:rsidRPr="009A2C11" w:rsidR="00DA2FAE">
        <w:t>Liv Tigerstedt</w:t>
      </w:r>
      <w:r w:rsidRPr="009A2C11" w:rsidR="009F4C8F">
        <w:t xml:space="preserve">, </w:t>
      </w:r>
      <w:r w:rsidRPr="009A2C11" w:rsidR="00DA2FAE">
        <w:rPr>
          <w:i/>
        </w:rPr>
        <w:t xml:space="preserve">Deputy Section </w:t>
      </w:r>
      <w:r w:rsidRPr="009A2C11" w:rsidR="00DA2FAE">
        <w:rPr>
          <w:i/>
          <w:iCs/>
        </w:rPr>
        <w:t>Registrar</w:t>
      </w:r>
      <w:r w:rsidRPr="009A2C11" w:rsidR="009F4C8F">
        <w:rPr>
          <w:i/>
        </w:rPr>
        <w:t>,</w:t>
      </w:r>
    </w:p>
    <w:p w:rsidRPr="009A2C11" w:rsidR="00DA2FAE" w:rsidP="009A2C11" w:rsidRDefault="00DA2FAE" w14:paraId="2CD318CF" w14:textId="77777777">
      <w:pPr>
        <w:pStyle w:val="JuPara"/>
      </w:pPr>
      <w:r w:rsidRPr="009A2C11">
        <w:t>Having regard to:</w:t>
      </w:r>
    </w:p>
    <w:p w:rsidRPr="009A2C11" w:rsidR="00DA2FAE" w:rsidP="009A2C11" w:rsidRDefault="00DA2FAE" w14:paraId="396B85F5" w14:textId="77777777">
      <w:pPr>
        <w:pStyle w:val="JuPara"/>
      </w:pPr>
      <w:r w:rsidRPr="009A2C11">
        <w:t xml:space="preserve">the application (no. 22647/19) against the Republic of Poland lodged with the Court under Article 34 of the Convention for the Protection of Human Rights and Fundamental Freedoms (“the Convention”) by a Polish national, Mr Jakub </w:t>
      </w:r>
      <w:proofErr w:type="spellStart"/>
      <w:r w:rsidRPr="009A2C11">
        <w:t>Ryszard</w:t>
      </w:r>
      <w:proofErr w:type="spellEnd"/>
      <w:r w:rsidRPr="009A2C11">
        <w:t xml:space="preserve"> </w:t>
      </w:r>
      <w:proofErr w:type="spellStart"/>
      <w:r w:rsidRPr="009A2C11">
        <w:t>Rudnicki</w:t>
      </w:r>
      <w:proofErr w:type="spellEnd"/>
      <w:r w:rsidRPr="009A2C11">
        <w:t xml:space="preserve"> (“the applicant”), on 18 April 2019;</w:t>
      </w:r>
    </w:p>
    <w:p w:rsidRPr="009A2C11" w:rsidR="00DA2FAE" w:rsidP="009A2C11" w:rsidRDefault="00DA2FAE" w14:paraId="6CFEC9CA" w14:textId="77777777">
      <w:pPr>
        <w:pStyle w:val="JuPara"/>
      </w:pPr>
      <w:r w:rsidRPr="009A2C11">
        <w:t xml:space="preserve">the decision to give notice to the Polish Government (“the Government”) of the complaint concerning Article 5 </w:t>
      </w:r>
      <w:r w:rsidRPr="009A2C11">
        <w:rPr>
          <w:rFonts w:cstheme="minorHAnsi"/>
        </w:rPr>
        <w:t>§</w:t>
      </w:r>
      <w:r w:rsidRPr="009A2C11">
        <w:t xml:space="preserve"> 3 of the Convention and declare the remainder of the application </w:t>
      </w:r>
      <w:proofErr w:type="gramStart"/>
      <w:r w:rsidRPr="009A2C11">
        <w:t>inadmissible;</w:t>
      </w:r>
      <w:proofErr w:type="gramEnd"/>
    </w:p>
    <w:p w:rsidRPr="009A2C11" w:rsidR="00DA2FAE" w:rsidP="009A2C11" w:rsidRDefault="00DA2FAE" w14:paraId="059036A8" w14:textId="64C27D0F">
      <w:pPr>
        <w:pStyle w:val="JuPara"/>
      </w:pPr>
      <w:r w:rsidRPr="009A2C11">
        <w:t>the parties</w:t>
      </w:r>
      <w:r w:rsidRPr="009A2C11" w:rsidR="009A2C11">
        <w:t>’</w:t>
      </w:r>
      <w:r w:rsidRPr="009A2C11">
        <w:t xml:space="preserve"> </w:t>
      </w:r>
      <w:proofErr w:type="gramStart"/>
      <w:r w:rsidRPr="009A2C11">
        <w:t>observations;</w:t>
      </w:r>
      <w:proofErr w:type="gramEnd"/>
    </w:p>
    <w:p w:rsidRPr="009A2C11" w:rsidR="009F4C8F" w:rsidP="009A2C11" w:rsidRDefault="009F4C8F" w14:paraId="088D90A5" w14:textId="2F7EBA6F">
      <w:pPr>
        <w:pStyle w:val="JuPara"/>
      </w:pPr>
      <w:r w:rsidRPr="009A2C11">
        <w:t xml:space="preserve">Having deliberated in private on </w:t>
      </w:r>
      <w:r w:rsidRPr="009A2C11" w:rsidR="00DA2FAE">
        <w:t>11 January 2022</w:t>
      </w:r>
      <w:r w:rsidRPr="009A2C11">
        <w:t>,</w:t>
      </w:r>
    </w:p>
    <w:p w:rsidRPr="009A2C11" w:rsidR="00DA2FAE" w:rsidP="009A2C11" w:rsidRDefault="009F4C8F" w14:paraId="2EE0F47C" w14:textId="242ACAA8">
      <w:pPr>
        <w:pStyle w:val="JuPara"/>
      </w:pPr>
      <w:r w:rsidRPr="009A2C11">
        <w:t>Delivers the following judgment, which was adopted on that date:</w:t>
      </w:r>
    </w:p>
    <w:p w:rsidRPr="009A2C11" w:rsidR="00DA2FAE" w:rsidP="009A2C11" w:rsidRDefault="00DA2FAE" w14:paraId="07101536" w14:textId="77777777">
      <w:pPr>
        <w:pStyle w:val="JuHHead"/>
      </w:pPr>
      <w:r w:rsidRPr="009A2C11">
        <w:t>INTRODUCTION</w:t>
      </w:r>
    </w:p>
    <w:p w:rsidRPr="009A2C11" w:rsidR="00DA2FAE" w:rsidP="009A2C11" w:rsidRDefault="00DA2FAE" w14:paraId="0F0A7C22" w14:textId="27C7E5B3">
      <w:pPr>
        <w:pStyle w:val="JuPara"/>
      </w:pPr>
      <w:r w:rsidRPr="009A2C11">
        <w:fldChar w:fldCharType="begin"/>
      </w:r>
      <w:r w:rsidRPr="009A2C11">
        <w:instrText xml:space="preserve"> SEQ level0 \*arabic </w:instrText>
      </w:r>
      <w:r w:rsidRPr="009A2C11">
        <w:fldChar w:fldCharType="separate"/>
      </w:r>
      <w:r w:rsidRPr="009A2C11" w:rsidR="009A2C11">
        <w:rPr>
          <w:noProof/>
        </w:rPr>
        <w:t>1</w:t>
      </w:r>
      <w:r w:rsidRPr="009A2C11">
        <w:fldChar w:fldCharType="end"/>
      </w:r>
      <w:r w:rsidRPr="009A2C11">
        <w:t>.  The case concerns the allegedly excessive length of the applicant</w:t>
      </w:r>
      <w:r w:rsidRPr="009A2C11" w:rsidR="009A2C11">
        <w:t>’</w:t>
      </w:r>
      <w:r w:rsidRPr="009A2C11">
        <w:t>s detention on remand.</w:t>
      </w:r>
    </w:p>
    <w:p w:rsidRPr="009A2C11" w:rsidR="00DA2FAE" w:rsidP="009A2C11" w:rsidRDefault="00DA2FAE" w14:paraId="2048CAB8" w14:textId="77777777">
      <w:pPr>
        <w:pStyle w:val="JuHHead"/>
      </w:pPr>
      <w:r w:rsidRPr="009A2C11">
        <w:t>THE FACTS</w:t>
      </w:r>
    </w:p>
    <w:p w:rsidRPr="009A2C11" w:rsidR="00DA2FAE" w:rsidP="009A2C11" w:rsidRDefault="00DA2FAE" w14:paraId="2395A852" w14:textId="7F39481F">
      <w:pPr>
        <w:pStyle w:val="JuPara"/>
      </w:pPr>
      <w:r w:rsidRPr="009A2C11">
        <w:fldChar w:fldCharType="begin"/>
      </w:r>
      <w:r w:rsidRPr="009A2C11">
        <w:instrText xml:space="preserve"> SEQ level0 \*arabic </w:instrText>
      </w:r>
      <w:r w:rsidRPr="009A2C11">
        <w:fldChar w:fldCharType="separate"/>
      </w:r>
      <w:r w:rsidRPr="009A2C11" w:rsidR="009A2C11">
        <w:rPr>
          <w:noProof/>
        </w:rPr>
        <w:t>2</w:t>
      </w:r>
      <w:r w:rsidRPr="009A2C11">
        <w:fldChar w:fldCharType="end"/>
      </w:r>
      <w:r w:rsidRPr="009A2C11">
        <w:t xml:space="preserve">.  The applicant was born in 1973 and lives in Warsaw. He was represented before the Court by Mr A. </w:t>
      </w:r>
      <w:proofErr w:type="spellStart"/>
      <w:r w:rsidRPr="009A2C11">
        <w:t>Pietryka</w:t>
      </w:r>
      <w:proofErr w:type="spellEnd"/>
      <w:r w:rsidRPr="009A2C11">
        <w:t>, a lawyer practising in Warsaw.</w:t>
      </w:r>
    </w:p>
    <w:p w:rsidRPr="009A2C11" w:rsidR="00DA2FAE" w:rsidP="009A2C11" w:rsidRDefault="00DA2FAE" w14:paraId="3F672376" w14:textId="0BC342F5">
      <w:pPr>
        <w:pStyle w:val="JuPara"/>
      </w:pPr>
      <w:r w:rsidRPr="009A2C11">
        <w:fldChar w:fldCharType="begin"/>
      </w:r>
      <w:r w:rsidRPr="009A2C11">
        <w:instrText xml:space="preserve"> SEQ level0 \*arabic </w:instrText>
      </w:r>
      <w:r w:rsidRPr="009A2C11">
        <w:fldChar w:fldCharType="separate"/>
      </w:r>
      <w:r w:rsidRPr="009A2C11" w:rsidR="009A2C11">
        <w:rPr>
          <w:noProof/>
        </w:rPr>
        <w:t>3</w:t>
      </w:r>
      <w:r w:rsidRPr="009A2C11">
        <w:fldChar w:fldCharType="end"/>
      </w:r>
      <w:r w:rsidRPr="009A2C11">
        <w:t xml:space="preserve">.  The Government were represented by their Agent, Mr J. </w:t>
      </w:r>
      <w:proofErr w:type="spellStart"/>
      <w:r w:rsidRPr="009A2C11">
        <w:t>Sobczak</w:t>
      </w:r>
      <w:proofErr w:type="spellEnd"/>
      <w:r w:rsidRPr="009A2C11">
        <w:t>, of the Ministry of Foreign Affairs.</w:t>
      </w:r>
    </w:p>
    <w:p w:rsidRPr="009A2C11" w:rsidR="00DA2FAE" w:rsidP="009A2C11" w:rsidRDefault="00DA2FAE" w14:paraId="72C83F41" w14:textId="51FF3771">
      <w:pPr>
        <w:pStyle w:val="JuPara"/>
      </w:pPr>
      <w:r w:rsidRPr="009A2C11">
        <w:fldChar w:fldCharType="begin"/>
      </w:r>
      <w:r w:rsidRPr="009A2C11">
        <w:instrText xml:space="preserve"> SEQ level0 \*arabic </w:instrText>
      </w:r>
      <w:r w:rsidRPr="009A2C11">
        <w:fldChar w:fldCharType="separate"/>
      </w:r>
      <w:r w:rsidRPr="009A2C11" w:rsidR="009A2C11">
        <w:rPr>
          <w:noProof/>
        </w:rPr>
        <w:t>4</w:t>
      </w:r>
      <w:r w:rsidRPr="009A2C11">
        <w:fldChar w:fldCharType="end"/>
      </w:r>
      <w:r w:rsidRPr="009A2C11">
        <w:t>.  The facts of the case, as submitted by the parties, may be summarised as follows.</w:t>
      </w:r>
    </w:p>
    <w:p w:rsidRPr="009A2C11" w:rsidR="00DA2FAE" w:rsidP="009A2C11" w:rsidRDefault="009A2C11" w14:paraId="072F9535" w14:textId="34640C32">
      <w:pPr>
        <w:pStyle w:val="JuPara"/>
      </w:pPr>
      <w:fldSimple w:instr=" SEQ level0 \*arabic \* MERGEFORMAT ">
        <w:r w:rsidRPr="009A2C11">
          <w:rPr>
            <w:noProof/>
          </w:rPr>
          <w:t>5</w:t>
        </w:r>
      </w:fldSimple>
      <w:r w:rsidRPr="009A2C11" w:rsidR="00DA2FAE">
        <w:t>.  Until 31 December 2012 the applicant was employed as a deputy director of the City of Warsaw Property Management Office (</w:t>
      </w:r>
      <w:proofErr w:type="spellStart"/>
      <w:r w:rsidRPr="009A2C11" w:rsidR="00DA2FAE">
        <w:rPr>
          <w:i/>
          <w:iCs/>
        </w:rPr>
        <w:t>Biuro</w:t>
      </w:r>
      <w:proofErr w:type="spellEnd"/>
      <w:r w:rsidRPr="009A2C11" w:rsidR="00DA2FAE">
        <w:rPr>
          <w:i/>
          <w:iCs/>
        </w:rPr>
        <w:t xml:space="preserve"> </w:t>
      </w:r>
      <w:proofErr w:type="spellStart"/>
      <w:r w:rsidRPr="009A2C11" w:rsidR="00DA2FAE">
        <w:rPr>
          <w:i/>
          <w:iCs/>
        </w:rPr>
        <w:t>Gospodarowania</w:t>
      </w:r>
      <w:proofErr w:type="spellEnd"/>
      <w:r w:rsidRPr="009A2C11" w:rsidR="00DA2FAE">
        <w:rPr>
          <w:i/>
          <w:iCs/>
        </w:rPr>
        <w:t xml:space="preserve"> </w:t>
      </w:r>
      <w:proofErr w:type="spellStart"/>
      <w:r w:rsidRPr="009A2C11" w:rsidR="00DA2FAE">
        <w:rPr>
          <w:i/>
          <w:iCs/>
        </w:rPr>
        <w:t>Nieruchomościami</w:t>
      </w:r>
      <w:proofErr w:type="spellEnd"/>
      <w:r w:rsidRPr="009A2C11" w:rsidR="00DA2FAE">
        <w:rPr>
          <w:i/>
          <w:iCs/>
        </w:rPr>
        <w:t xml:space="preserve"> </w:t>
      </w:r>
      <w:proofErr w:type="spellStart"/>
      <w:r w:rsidRPr="009A2C11" w:rsidR="00DA2FAE">
        <w:rPr>
          <w:i/>
          <w:iCs/>
        </w:rPr>
        <w:t>Miasta</w:t>
      </w:r>
      <w:proofErr w:type="spellEnd"/>
      <w:r w:rsidRPr="009A2C11" w:rsidR="00DA2FAE">
        <w:rPr>
          <w:i/>
          <w:iCs/>
        </w:rPr>
        <w:t xml:space="preserve"> </w:t>
      </w:r>
      <w:proofErr w:type="spellStart"/>
      <w:r w:rsidRPr="009A2C11" w:rsidR="00DA2FAE">
        <w:rPr>
          <w:i/>
          <w:iCs/>
        </w:rPr>
        <w:t>Stołecznego</w:t>
      </w:r>
      <w:proofErr w:type="spellEnd"/>
      <w:r w:rsidRPr="009A2C11" w:rsidR="00DA2FAE">
        <w:rPr>
          <w:i/>
          <w:iCs/>
        </w:rPr>
        <w:t xml:space="preserve"> </w:t>
      </w:r>
      <w:proofErr w:type="spellStart"/>
      <w:r w:rsidRPr="009A2C11" w:rsidR="00DA2FAE">
        <w:rPr>
          <w:i/>
          <w:iCs/>
        </w:rPr>
        <w:t>Warszawy</w:t>
      </w:r>
      <w:proofErr w:type="spellEnd"/>
      <w:r w:rsidRPr="009A2C11" w:rsidR="00DA2FAE">
        <w:t xml:space="preserve">). He was tasked with the supervision of so-called “reprivatisation proceedings” concerning the reacquisition of properties which had been nationalised by the communist government in 1945. </w:t>
      </w:r>
      <w:proofErr w:type="gramStart"/>
      <w:r w:rsidRPr="009A2C11" w:rsidR="00DA2FAE">
        <w:t>On account of</w:t>
      </w:r>
      <w:proofErr w:type="gramEnd"/>
      <w:r w:rsidRPr="009A2C11" w:rsidR="00DA2FAE">
        <w:t xml:space="preserve"> his function, he was empowered to issue administrative decisions on behalf of the mayor of Warsaw (</w:t>
      </w:r>
      <w:proofErr w:type="spellStart"/>
      <w:r w:rsidRPr="009A2C11" w:rsidR="00DA2FAE">
        <w:rPr>
          <w:i/>
          <w:iCs/>
        </w:rPr>
        <w:t>Prezydent</w:t>
      </w:r>
      <w:proofErr w:type="spellEnd"/>
      <w:r w:rsidRPr="009A2C11" w:rsidR="00DA2FAE">
        <w:rPr>
          <w:i/>
          <w:iCs/>
        </w:rPr>
        <w:t xml:space="preserve"> </w:t>
      </w:r>
      <w:proofErr w:type="spellStart"/>
      <w:r w:rsidRPr="009A2C11" w:rsidR="00DA2FAE">
        <w:rPr>
          <w:i/>
          <w:iCs/>
        </w:rPr>
        <w:t>Miasta</w:t>
      </w:r>
      <w:proofErr w:type="spellEnd"/>
      <w:r w:rsidRPr="009A2C11" w:rsidR="00DA2FAE">
        <w:rPr>
          <w:i/>
          <w:iCs/>
        </w:rPr>
        <w:t xml:space="preserve"> </w:t>
      </w:r>
      <w:proofErr w:type="spellStart"/>
      <w:r w:rsidRPr="009A2C11" w:rsidR="00DA2FAE">
        <w:rPr>
          <w:i/>
          <w:iCs/>
        </w:rPr>
        <w:t>Stołecznego</w:t>
      </w:r>
      <w:proofErr w:type="spellEnd"/>
      <w:r w:rsidRPr="009A2C11" w:rsidR="00DA2FAE">
        <w:rPr>
          <w:i/>
          <w:iCs/>
        </w:rPr>
        <w:t xml:space="preserve"> </w:t>
      </w:r>
      <w:proofErr w:type="spellStart"/>
      <w:r w:rsidRPr="009A2C11" w:rsidR="00DA2FAE">
        <w:rPr>
          <w:i/>
          <w:iCs/>
        </w:rPr>
        <w:t>Warszawy</w:t>
      </w:r>
      <w:proofErr w:type="spellEnd"/>
      <w:r w:rsidRPr="009A2C11" w:rsidR="00DA2FAE">
        <w:t>).</w:t>
      </w:r>
    </w:p>
    <w:p w:rsidRPr="009A2C11" w:rsidR="00DA2FAE" w:rsidP="009A2C11" w:rsidRDefault="009A2C11" w14:paraId="477BB7A5" w14:textId="7C9AA934">
      <w:pPr>
        <w:pStyle w:val="JuPara"/>
      </w:pPr>
      <w:fldSimple w:instr=" SEQ level0 \*arabic \* MERGEFORMAT ">
        <w:r w:rsidRPr="009A2C11">
          <w:rPr>
            <w:noProof/>
          </w:rPr>
          <w:t>6</w:t>
        </w:r>
      </w:fldSimple>
      <w:r w:rsidRPr="009A2C11" w:rsidR="00DA2FAE">
        <w:t>.  On 21 February 2014 the Warsaw Regional Prosecutor (</w:t>
      </w:r>
      <w:proofErr w:type="spellStart"/>
      <w:r w:rsidRPr="009A2C11" w:rsidR="00DA2FAE">
        <w:rPr>
          <w:i/>
          <w:iCs/>
        </w:rPr>
        <w:t>Prokurator</w:t>
      </w:r>
      <w:proofErr w:type="spellEnd"/>
      <w:r w:rsidRPr="009A2C11" w:rsidR="00DA2FAE">
        <w:rPr>
          <w:i/>
          <w:iCs/>
        </w:rPr>
        <w:t xml:space="preserve"> </w:t>
      </w:r>
      <w:proofErr w:type="spellStart"/>
      <w:r w:rsidRPr="009A2C11" w:rsidR="00DA2FAE">
        <w:rPr>
          <w:i/>
          <w:iCs/>
        </w:rPr>
        <w:t>Okręgowy</w:t>
      </w:r>
      <w:proofErr w:type="spellEnd"/>
      <w:r w:rsidRPr="009A2C11" w:rsidR="00DA2FAE">
        <w:t xml:space="preserve">), in response to an article published in the Polish daily newspaper </w:t>
      </w:r>
      <w:r w:rsidRPr="009A2C11" w:rsidR="00DA2FAE">
        <w:rPr>
          <w:i/>
          <w:iCs/>
        </w:rPr>
        <w:t xml:space="preserve">Gazeta </w:t>
      </w:r>
      <w:proofErr w:type="spellStart"/>
      <w:r w:rsidRPr="009A2C11" w:rsidR="00DA2FAE">
        <w:rPr>
          <w:i/>
          <w:iCs/>
        </w:rPr>
        <w:t>Wyborcza</w:t>
      </w:r>
      <w:proofErr w:type="spellEnd"/>
      <w:r w:rsidRPr="009A2C11" w:rsidR="00DA2FAE">
        <w:t>, launched an investigation in respect of the applicant concerning allegations of abuse of power in connection with his acquisition of a property located in Warsaw.</w:t>
      </w:r>
    </w:p>
    <w:p w:rsidRPr="009A2C11" w:rsidR="00DA2FAE" w:rsidP="009A2C11" w:rsidRDefault="009A2C11" w14:paraId="704100EB" w14:textId="5DAA1F12">
      <w:pPr>
        <w:pStyle w:val="JuPara"/>
      </w:pPr>
      <w:fldSimple w:instr=" SEQ level0 \*arabic \* MERGEFORMAT ">
        <w:r w:rsidRPr="009A2C11">
          <w:rPr>
            <w:noProof/>
          </w:rPr>
          <w:t>7</w:t>
        </w:r>
      </w:fldSimple>
      <w:r w:rsidRPr="009A2C11" w:rsidR="00DA2FAE">
        <w:t>.  On 27 February 2015 the investigation was discontinued.</w:t>
      </w:r>
    </w:p>
    <w:p w:rsidRPr="009A2C11" w:rsidR="00DA2FAE" w:rsidP="009A2C11" w:rsidRDefault="009A2C11" w14:paraId="08CD1842" w14:textId="106BEF60">
      <w:pPr>
        <w:pStyle w:val="JuPara"/>
      </w:pPr>
      <w:fldSimple w:instr=" SEQ level0 \*arabic \* MERGEFORMAT ">
        <w:r w:rsidRPr="009A2C11">
          <w:rPr>
            <w:noProof/>
          </w:rPr>
          <w:t>8</w:t>
        </w:r>
      </w:fldSimple>
      <w:r w:rsidRPr="009A2C11" w:rsidR="00DA2FAE">
        <w:t>.  On 26 June 2015 the same prosecutor refused to investigate an allegation that the applicant and a lawyer, R.N., had committed fraud during the purchase of a property located in K.</w:t>
      </w:r>
    </w:p>
    <w:p w:rsidRPr="009A2C11" w:rsidR="00DA2FAE" w:rsidP="009A2C11" w:rsidRDefault="009A2C11" w14:paraId="3F284A35" w14:textId="5FFFE273">
      <w:pPr>
        <w:pStyle w:val="JuPara"/>
      </w:pPr>
      <w:fldSimple w:instr=" SEQ level0 \*arabic \* MERGEFORMAT ">
        <w:r w:rsidRPr="009A2C11">
          <w:rPr>
            <w:noProof/>
          </w:rPr>
          <w:t>9</w:t>
        </w:r>
      </w:fldSimple>
      <w:r w:rsidRPr="009A2C11" w:rsidR="00DA2FAE">
        <w:t xml:space="preserve">.  In April 2016 </w:t>
      </w:r>
      <w:r w:rsidRPr="009A2C11" w:rsidR="00DA2FAE">
        <w:rPr>
          <w:i/>
          <w:iCs/>
        </w:rPr>
        <w:t xml:space="preserve">Gazeta </w:t>
      </w:r>
      <w:proofErr w:type="spellStart"/>
      <w:r w:rsidRPr="009A2C11" w:rsidR="00DA2FAE">
        <w:rPr>
          <w:i/>
          <w:iCs/>
        </w:rPr>
        <w:t>Wyborcza</w:t>
      </w:r>
      <w:proofErr w:type="spellEnd"/>
      <w:r w:rsidRPr="009A2C11" w:rsidR="00DA2FAE">
        <w:t xml:space="preserve"> published a series of articles concerning the reprivatisation of another property located in Warsaw. On 30 May 2016 an investigation was launched into the matters described in the article.</w:t>
      </w:r>
    </w:p>
    <w:p w:rsidRPr="009A2C11" w:rsidR="00DA2FAE" w:rsidP="009A2C11" w:rsidRDefault="009A2C11" w14:paraId="07B3AFDE" w14:textId="13379FA9">
      <w:pPr>
        <w:pStyle w:val="JuPara"/>
      </w:pPr>
      <w:fldSimple w:instr=" SEQ level0 \*arabic \* MERGEFORMAT ">
        <w:r w:rsidRPr="009A2C11">
          <w:rPr>
            <w:noProof/>
          </w:rPr>
          <w:t>10</w:t>
        </w:r>
      </w:fldSimple>
      <w:r w:rsidRPr="009A2C11" w:rsidR="00DA2FAE">
        <w:t xml:space="preserve">.  On 7 September 2016 the applicant was questioned as a witness by the Warsaw Regional Prosecutor. On 7 October 2016 the </w:t>
      </w:r>
      <w:proofErr w:type="spellStart"/>
      <w:r w:rsidRPr="009A2C11" w:rsidR="00DA2FAE">
        <w:t>Wrocław</w:t>
      </w:r>
      <w:proofErr w:type="spellEnd"/>
      <w:r w:rsidRPr="009A2C11" w:rsidR="00DA2FAE">
        <w:t xml:space="preserve"> Regional Prosecutor decided to reopen the investigation which had been terminated on 26 June 2015 concerning the alleged fraud during the purchase of the property located in K.</w:t>
      </w:r>
    </w:p>
    <w:p w:rsidRPr="009A2C11" w:rsidR="00DA2FAE" w:rsidP="009A2C11" w:rsidRDefault="009A2C11" w14:paraId="136E9E9C" w14:textId="054634CB">
      <w:pPr>
        <w:pStyle w:val="JuPara"/>
      </w:pPr>
      <w:fldSimple w:instr=" SEQ level0 \*arabic \* MERGEFORMAT ">
        <w:r w:rsidRPr="009A2C11">
          <w:rPr>
            <w:noProof/>
          </w:rPr>
          <w:t>11</w:t>
        </w:r>
      </w:fldSimple>
      <w:r w:rsidRPr="009A2C11" w:rsidR="00DA2FAE">
        <w:t xml:space="preserve">.  On 30 January 2017 at 6.15 a.m. the applicant was arrested in his apartment by agents of the Central Anti-Corruption Bureau acting on an order issued by the </w:t>
      </w:r>
      <w:proofErr w:type="spellStart"/>
      <w:r w:rsidRPr="009A2C11" w:rsidR="00DA2FAE">
        <w:t>Wrocław</w:t>
      </w:r>
      <w:proofErr w:type="spellEnd"/>
      <w:r w:rsidRPr="009A2C11" w:rsidR="00DA2FAE">
        <w:t xml:space="preserve"> Regional Prosecutor. At the same time, the applicant</w:t>
      </w:r>
      <w:r w:rsidRPr="009A2C11">
        <w:t>’</w:t>
      </w:r>
      <w:r w:rsidRPr="009A2C11" w:rsidR="00DA2FAE">
        <w:t>s parents and R.N. were also arrested. Their arrest was immediately reported by the State-run media.</w:t>
      </w:r>
    </w:p>
    <w:p w:rsidRPr="009A2C11" w:rsidR="00DA2FAE" w:rsidP="009A2C11" w:rsidRDefault="009A2C11" w14:paraId="15C77AAD" w14:textId="401A3B3F">
      <w:pPr>
        <w:pStyle w:val="JuPara"/>
      </w:pPr>
      <w:fldSimple w:instr=" SEQ level0 \*arabic \* MERGEFORMAT ">
        <w:r w:rsidRPr="009A2C11">
          <w:rPr>
            <w:noProof/>
          </w:rPr>
          <w:t>12</w:t>
        </w:r>
      </w:fldSimple>
      <w:r w:rsidRPr="009A2C11" w:rsidR="00DA2FAE">
        <w:t xml:space="preserve">.  On the same day the applicant was charged with accepting a bribe from R.N. in exchange for his help with the reprivatisation of a property and with fraud committed </w:t>
      </w:r>
      <w:proofErr w:type="gramStart"/>
      <w:r w:rsidRPr="009A2C11" w:rsidR="00DA2FAE">
        <w:t>with regard to</w:t>
      </w:r>
      <w:proofErr w:type="gramEnd"/>
      <w:r w:rsidRPr="009A2C11" w:rsidR="00DA2FAE">
        <w:t xml:space="preserve"> property of considerable value. The applicant pleaded not guilty and refused to testify (</w:t>
      </w:r>
      <w:proofErr w:type="spellStart"/>
      <w:r w:rsidRPr="009A2C11" w:rsidR="00DA2FAE">
        <w:rPr>
          <w:i/>
          <w:iCs/>
        </w:rPr>
        <w:t>odmowa</w:t>
      </w:r>
      <w:proofErr w:type="spellEnd"/>
      <w:r w:rsidRPr="009A2C11" w:rsidR="00DA2FAE">
        <w:rPr>
          <w:i/>
          <w:iCs/>
        </w:rPr>
        <w:t xml:space="preserve"> </w:t>
      </w:r>
      <w:proofErr w:type="spellStart"/>
      <w:r w:rsidRPr="009A2C11" w:rsidR="00DA2FAE">
        <w:rPr>
          <w:i/>
          <w:iCs/>
        </w:rPr>
        <w:t>składania</w:t>
      </w:r>
      <w:proofErr w:type="spellEnd"/>
      <w:r w:rsidRPr="009A2C11" w:rsidR="00DA2FAE">
        <w:rPr>
          <w:i/>
          <w:iCs/>
        </w:rPr>
        <w:t xml:space="preserve"> </w:t>
      </w:r>
      <w:proofErr w:type="spellStart"/>
      <w:r w:rsidRPr="009A2C11" w:rsidR="00DA2FAE">
        <w:rPr>
          <w:i/>
          <w:iCs/>
        </w:rPr>
        <w:t>wyjaśnień</w:t>
      </w:r>
      <w:proofErr w:type="spellEnd"/>
      <w:r w:rsidRPr="009A2C11" w:rsidR="00DA2FAE">
        <w:t xml:space="preserve">). On 31 January 2017 the prosecutor submitted a request to the </w:t>
      </w:r>
      <w:proofErr w:type="spellStart"/>
      <w:r w:rsidRPr="009A2C11" w:rsidR="00DA2FAE">
        <w:t>Wrocław-Śródmieście</w:t>
      </w:r>
      <w:proofErr w:type="spellEnd"/>
      <w:r w:rsidRPr="009A2C11" w:rsidR="00DA2FAE">
        <w:t xml:space="preserve"> District Court (</w:t>
      </w:r>
      <w:proofErr w:type="spellStart"/>
      <w:r w:rsidRPr="009A2C11" w:rsidR="00DA2FAE">
        <w:rPr>
          <w:i/>
          <w:iCs/>
        </w:rPr>
        <w:t>Sąd</w:t>
      </w:r>
      <w:proofErr w:type="spellEnd"/>
      <w:r w:rsidRPr="009A2C11" w:rsidR="00DA2FAE">
        <w:rPr>
          <w:i/>
          <w:iCs/>
        </w:rPr>
        <w:t xml:space="preserve"> </w:t>
      </w:r>
      <w:proofErr w:type="spellStart"/>
      <w:r w:rsidRPr="009A2C11" w:rsidR="00DA2FAE">
        <w:rPr>
          <w:i/>
          <w:iCs/>
        </w:rPr>
        <w:t>Rejonowy</w:t>
      </w:r>
      <w:proofErr w:type="spellEnd"/>
      <w:r w:rsidRPr="009A2C11" w:rsidR="00DA2FAE">
        <w:t>) for the applicant to be detained on remand.</w:t>
      </w:r>
    </w:p>
    <w:p w:rsidRPr="009A2C11" w:rsidR="00DA2FAE" w:rsidP="009A2C11" w:rsidRDefault="009A2C11" w14:paraId="20B9F493" w14:textId="5439C0CD">
      <w:pPr>
        <w:pStyle w:val="JuPara"/>
      </w:pPr>
      <w:fldSimple w:instr=" SEQ level0 \*arabic \* MERGEFORMAT ">
        <w:r w:rsidRPr="009A2C11">
          <w:rPr>
            <w:noProof/>
          </w:rPr>
          <w:t>13</w:t>
        </w:r>
      </w:fldSimple>
      <w:r w:rsidRPr="009A2C11" w:rsidR="00DA2FAE">
        <w:t xml:space="preserve">.  On 1 February 2017 the </w:t>
      </w:r>
      <w:proofErr w:type="spellStart"/>
      <w:r w:rsidRPr="009A2C11" w:rsidR="00DA2FAE">
        <w:t>Wrocław-Śródmieście</w:t>
      </w:r>
      <w:proofErr w:type="spellEnd"/>
      <w:r w:rsidRPr="009A2C11" w:rsidR="00DA2FAE">
        <w:t xml:space="preserve"> District Court granted the prosecutor</w:t>
      </w:r>
      <w:r w:rsidRPr="009A2C11">
        <w:t>’</w:t>
      </w:r>
      <w:r w:rsidRPr="009A2C11" w:rsidR="00DA2FAE">
        <w:t>s request and detained the applicant on remand until 30 April 2017. It found that there was a high probability that the applicant had committed fraud carrying a penalty of more than eight years</w:t>
      </w:r>
      <w:r w:rsidRPr="009A2C11">
        <w:t>’</w:t>
      </w:r>
      <w:r w:rsidRPr="009A2C11" w:rsidR="00DA2FAE">
        <w:t xml:space="preserve"> imprisonment, which </w:t>
      </w:r>
      <w:proofErr w:type="gramStart"/>
      <w:r w:rsidRPr="009A2C11" w:rsidR="00DA2FAE">
        <w:t>in itself constituted</w:t>
      </w:r>
      <w:proofErr w:type="gramEnd"/>
      <w:r w:rsidRPr="009A2C11" w:rsidR="00DA2FAE">
        <w:t xml:space="preserve"> sufficient grounds for detention. It also found that although the applicant had no prior criminal record, he might attempt to obstruct the proceedings </w:t>
      </w:r>
      <w:proofErr w:type="gramStart"/>
      <w:r w:rsidRPr="009A2C11" w:rsidR="00DA2FAE">
        <w:t>in order to</w:t>
      </w:r>
      <w:proofErr w:type="gramEnd"/>
      <w:r w:rsidRPr="009A2C11" w:rsidR="00DA2FAE">
        <w:t xml:space="preserve"> avoid a significant penalty or contact witnesses who had not yet been questioned.</w:t>
      </w:r>
    </w:p>
    <w:p w:rsidRPr="009A2C11" w:rsidR="00DA2FAE" w:rsidP="009A2C11" w:rsidRDefault="009A2C11" w14:paraId="18E867F2" w14:textId="4E28E355">
      <w:pPr>
        <w:pStyle w:val="JuPara"/>
      </w:pPr>
      <w:fldSimple w:instr=" SEQ level0 \*arabic \* MERGEFORMAT ">
        <w:r w:rsidRPr="009A2C11">
          <w:rPr>
            <w:noProof/>
          </w:rPr>
          <w:t>14</w:t>
        </w:r>
      </w:fldSimple>
      <w:r w:rsidRPr="009A2C11" w:rsidR="00DA2FAE">
        <w:t xml:space="preserve">.  On 1 March 2017 the </w:t>
      </w:r>
      <w:proofErr w:type="spellStart"/>
      <w:r w:rsidRPr="009A2C11" w:rsidR="00DA2FAE">
        <w:t>Wrocław</w:t>
      </w:r>
      <w:proofErr w:type="spellEnd"/>
      <w:r w:rsidRPr="009A2C11" w:rsidR="00DA2FAE">
        <w:t xml:space="preserve"> Regional Court (</w:t>
      </w:r>
      <w:proofErr w:type="spellStart"/>
      <w:r w:rsidRPr="009A2C11" w:rsidR="00DA2FAE">
        <w:rPr>
          <w:i/>
          <w:iCs/>
        </w:rPr>
        <w:t>Sąd</w:t>
      </w:r>
      <w:proofErr w:type="spellEnd"/>
      <w:r w:rsidRPr="009A2C11" w:rsidR="00DA2FAE">
        <w:rPr>
          <w:i/>
          <w:iCs/>
        </w:rPr>
        <w:t xml:space="preserve"> </w:t>
      </w:r>
      <w:proofErr w:type="spellStart"/>
      <w:r w:rsidRPr="009A2C11" w:rsidR="00DA2FAE">
        <w:rPr>
          <w:i/>
          <w:iCs/>
        </w:rPr>
        <w:t>Okręgowy</w:t>
      </w:r>
      <w:proofErr w:type="spellEnd"/>
      <w:r w:rsidRPr="009A2C11" w:rsidR="00DA2FAE">
        <w:t>) dismissed an appeal lodged by the applicant against his detention on remand. It noted that since he had been charged with offences committed together with other suspects, some of whom were his close family members, his release could allow them to reach an agreement on the version of events which would be most beneficial to them and thus obstruct the investigation.</w:t>
      </w:r>
    </w:p>
    <w:p w:rsidRPr="009A2C11" w:rsidR="00DA2FAE" w:rsidP="009A2C11" w:rsidRDefault="009A2C11" w14:paraId="26E87FC3" w14:textId="58CD690B">
      <w:pPr>
        <w:pStyle w:val="JuPara"/>
      </w:pPr>
      <w:fldSimple w:instr=" SEQ level0 \*arabic \* MERGEFORMAT ">
        <w:r w:rsidRPr="009A2C11">
          <w:rPr>
            <w:noProof/>
          </w:rPr>
          <w:t>15</w:t>
        </w:r>
      </w:fldSimple>
      <w:r w:rsidRPr="009A2C11" w:rsidR="00DA2FAE">
        <w:t>.  On 24 April 2017 the Warsaw Regional Court extended the applicant</w:t>
      </w:r>
      <w:r w:rsidRPr="009A2C11">
        <w:t>’</w:t>
      </w:r>
      <w:r w:rsidRPr="009A2C11" w:rsidR="00DA2FAE">
        <w:t>s detention on remand until 29 July 2017. It found that he faced a potentially long prison sentence and could attempt to obstruct the proceedings owing to the complexity of the investigation. On 8 June 2017 the Warsaw Court of Appeal (</w:t>
      </w:r>
      <w:proofErr w:type="spellStart"/>
      <w:r w:rsidRPr="009A2C11" w:rsidR="00DA2FAE">
        <w:rPr>
          <w:i/>
          <w:iCs/>
        </w:rPr>
        <w:t>Sąd</w:t>
      </w:r>
      <w:proofErr w:type="spellEnd"/>
      <w:r w:rsidRPr="009A2C11" w:rsidR="00DA2FAE">
        <w:rPr>
          <w:i/>
          <w:iCs/>
        </w:rPr>
        <w:t xml:space="preserve"> </w:t>
      </w:r>
      <w:proofErr w:type="spellStart"/>
      <w:r w:rsidRPr="009A2C11" w:rsidR="00DA2FAE">
        <w:rPr>
          <w:i/>
          <w:iCs/>
        </w:rPr>
        <w:t>Apelacyjny</w:t>
      </w:r>
      <w:proofErr w:type="spellEnd"/>
      <w:r w:rsidRPr="009A2C11" w:rsidR="00DA2FAE">
        <w:t>) dismissed an appeal lodged by the applicant</w:t>
      </w:r>
      <w:r w:rsidRPr="009A2C11">
        <w:t>’</w:t>
      </w:r>
      <w:r w:rsidRPr="009A2C11" w:rsidR="00DA2FAE">
        <w:t>s lawyer against that decision.</w:t>
      </w:r>
    </w:p>
    <w:p w:rsidRPr="009A2C11" w:rsidR="00DA2FAE" w:rsidP="009A2C11" w:rsidRDefault="009A2C11" w14:paraId="407A354E" w14:textId="7BE89C25">
      <w:pPr>
        <w:pStyle w:val="JuPara"/>
      </w:pPr>
      <w:fldSimple w:instr=" SEQ level0 \*arabic \* MERGEFORMAT ">
        <w:r w:rsidRPr="009A2C11">
          <w:rPr>
            <w:noProof/>
          </w:rPr>
          <w:t>16</w:t>
        </w:r>
      </w:fldSimple>
      <w:r w:rsidRPr="009A2C11" w:rsidR="00DA2FAE">
        <w:t>.  On 24 July 2017 his detention on remand was again extended, until 27 October 2017. The Warsaw Regional Court relied on the same grounds as in its previous decision. On 12 September 2017 the Warsaw Court of Appeal dismissed an appeal by the applicant against that decision.</w:t>
      </w:r>
    </w:p>
    <w:p w:rsidRPr="009A2C11" w:rsidR="00DA2FAE" w:rsidP="009A2C11" w:rsidRDefault="009A2C11" w14:paraId="2B5BC688" w14:textId="4E7BE761">
      <w:pPr>
        <w:pStyle w:val="JuPara"/>
      </w:pPr>
      <w:fldSimple w:instr=" SEQ level0 \*arabic \* MERGEFORMAT ">
        <w:r w:rsidRPr="009A2C11">
          <w:rPr>
            <w:noProof/>
          </w:rPr>
          <w:t>17</w:t>
        </w:r>
      </w:fldSimple>
      <w:r w:rsidRPr="009A2C11" w:rsidR="00DA2FAE">
        <w:t>.  On 23 October 2017 the Warsaw Regional Court extended the applicant</w:t>
      </w:r>
      <w:r w:rsidRPr="009A2C11">
        <w:t>’</w:t>
      </w:r>
      <w:r w:rsidRPr="009A2C11" w:rsidR="00DA2FAE">
        <w:t>s detention on remand until 25 January 2018. It held that bail, regardless of its amount, could not secure the proper course of the proceedings. On 19 December 2017 the Warsaw Court of Appeal dismissed an appeal by the applicant against that decision.</w:t>
      </w:r>
    </w:p>
    <w:p w:rsidRPr="009A2C11" w:rsidR="00DA2FAE" w:rsidP="009A2C11" w:rsidRDefault="009A2C11" w14:paraId="7ADC1709" w14:textId="79053685">
      <w:pPr>
        <w:pStyle w:val="JuPara"/>
      </w:pPr>
      <w:fldSimple w:instr=" SEQ level0 \*arabic \* MERGEFORMAT ">
        <w:r w:rsidRPr="009A2C11">
          <w:rPr>
            <w:noProof/>
          </w:rPr>
          <w:t>18</w:t>
        </w:r>
      </w:fldSimple>
      <w:r w:rsidRPr="009A2C11" w:rsidR="00DA2FAE">
        <w:t xml:space="preserve">.  On 24 January 2018 the </w:t>
      </w:r>
      <w:proofErr w:type="spellStart"/>
      <w:r w:rsidRPr="009A2C11" w:rsidR="00DA2FAE">
        <w:t>Wrocław</w:t>
      </w:r>
      <w:proofErr w:type="spellEnd"/>
      <w:r w:rsidRPr="009A2C11" w:rsidR="00DA2FAE">
        <w:t xml:space="preserve"> Court of Appeal extended the applicant</w:t>
      </w:r>
      <w:r w:rsidRPr="009A2C11">
        <w:t>’</w:t>
      </w:r>
      <w:r w:rsidRPr="009A2C11" w:rsidR="00DA2FAE">
        <w:t xml:space="preserve">s detention on remand until 25 April 2018. </w:t>
      </w:r>
      <w:bookmarkStart w:name="_Hlk89158152" w:id="1"/>
      <w:r w:rsidRPr="009A2C11" w:rsidR="00DA2FAE">
        <w:t>It noted that there was a high probability of his having committed the offences with which he had been charged. It further held that the risk of his obstructing the proceedings was substantiated by the fact that while he was employed at the Property Management Office</w:t>
      </w:r>
      <w:bookmarkEnd w:id="1"/>
      <w:r w:rsidRPr="009A2C11" w:rsidR="00DA2FAE">
        <w:t>, he had allegedly made a death threat to prevent a person from appealing against an administrative decision which he had drafted. The court also held that the extension of the applicant</w:t>
      </w:r>
      <w:r w:rsidRPr="009A2C11">
        <w:t>’</w:t>
      </w:r>
      <w:r w:rsidRPr="009A2C11" w:rsidR="00DA2FAE">
        <w:t>s detention was justified by extraordinary circumstances arising from the complexity of the proceedings.</w:t>
      </w:r>
    </w:p>
    <w:p w:rsidRPr="009A2C11" w:rsidR="00DA2FAE" w:rsidP="009A2C11" w:rsidRDefault="009A2C11" w14:paraId="686CA6FC" w14:textId="5200AE53">
      <w:pPr>
        <w:pStyle w:val="JuPara"/>
      </w:pPr>
      <w:fldSimple w:instr=" SEQ level0 \*arabic \* MERGEFORMAT ">
        <w:r w:rsidRPr="009A2C11">
          <w:rPr>
            <w:noProof/>
          </w:rPr>
          <w:t>19</w:t>
        </w:r>
      </w:fldSimple>
      <w:r w:rsidRPr="009A2C11" w:rsidR="00DA2FAE">
        <w:t>.  That decision was upheld by the same court on 9 March 2018.</w:t>
      </w:r>
    </w:p>
    <w:p w:rsidRPr="009A2C11" w:rsidR="00DA2FAE" w:rsidP="009A2C11" w:rsidRDefault="009A2C11" w14:paraId="2B4EEEFC" w14:textId="42EA0F81">
      <w:pPr>
        <w:pStyle w:val="JuPara"/>
      </w:pPr>
      <w:fldSimple w:instr=" SEQ level0 \*arabic \* MERGEFORMAT ">
        <w:r w:rsidRPr="009A2C11">
          <w:rPr>
            <w:noProof/>
          </w:rPr>
          <w:t>20</w:t>
        </w:r>
      </w:fldSimple>
      <w:r w:rsidRPr="009A2C11" w:rsidR="00DA2FAE">
        <w:t>.  On 30 March 2018 the prosecutor withdrew the charge of bribery against the applicant.</w:t>
      </w:r>
    </w:p>
    <w:p w:rsidRPr="009A2C11" w:rsidR="00DA2FAE" w:rsidP="009A2C11" w:rsidRDefault="009A2C11" w14:paraId="0E33006F" w14:textId="01637BDD">
      <w:pPr>
        <w:pStyle w:val="JuPara"/>
      </w:pPr>
      <w:fldSimple w:instr=" SEQ level0 \*arabic \* MERGEFORMAT ">
        <w:r w:rsidRPr="009A2C11">
          <w:rPr>
            <w:noProof/>
          </w:rPr>
          <w:t>21</w:t>
        </w:r>
      </w:fldSimple>
      <w:r w:rsidRPr="009A2C11" w:rsidR="00DA2FAE">
        <w:t xml:space="preserve">.  On 19 April 2018 the </w:t>
      </w:r>
      <w:proofErr w:type="spellStart"/>
      <w:r w:rsidRPr="009A2C11" w:rsidR="00DA2FAE">
        <w:t>Wrocław</w:t>
      </w:r>
      <w:proofErr w:type="spellEnd"/>
      <w:r w:rsidRPr="009A2C11" w:rsidR="00DA2FAE">
        <w:t xml:space="preserve"> Court of Appeal extended the applicant</w:t>
      </w:r>
      <w:r w:rsidRPr="009A2C11">
        <w:t>’</w:t>
      </w:r>
      <w:r w:rsidRPr="009A2C11" w:rsidR="00DA2FAE">
        <w:t>s detention on remand, subject to a proviso that if bail in the amount of 2,000,000 Polish zlotys (PLN) (500,000 euros (EUR)) were posted, he would be released.</w:t>
      </w:r>
    </w:p>
    <w:p w:rsidRPr="009A2C11" w:rsidR="00DA2FAE" w:rsidP="009A2C11" w:rsidRDefault="009A2C11" w14:paraId="55A44F5B" w14:textId="28498822">
      <w:pPr>
        <w:pStyle w:val="JuPara"/>
      </w:pPr>
      <w:fldSimple w:instr=" SEQ level0 \*arabic \* MERGEFORMAT ">
        <w:r w:rsidRPr="009A2C11">
          <w:rPr>
            <w:noProof/>
          </w:rPr>
          <w:t>22</w:t>
        </w:r>
      </w:fldSimple>
      <w:r w:rsidRPr="009A2C11" w:rsidR="00DA2FAE">
        <w:t>.  On 20 April 2018 the same court suspended the enforcement of the above-mentioned decision pending the examination of an appeal lodged by the prosecutor.</w:t>
      </w:r>
    </w:p>
    <w:p w:rsidRPr="009A2C11" w:rsidR="00DA2FAE" w:rsidP="009A2C11" w:rsidRDefault="009A2C11" w14:paraId="1B853645" w14:textId="72E8C740">
      <w:pPr>
        <w:pStyle w:val="JuPara"/>
      </w:pPr>
      <w:fldSimple w:instr=" SEQ level0 \*arabic \* MERGEFORMAT ">
        <w:r w:rsidRPr="009A2C11">
          <w:rPr>
            <w:noProof/>
          </w:rPr>
          <w:t>23</w:t>
        </w:r>
      </w:fldSimple>
      <w:r w:rsidRPr="009A2C11" w:rsidR="00DA2FAE">
        <w:t>.  On 9 May 2018 the same court quashed the decision of 19 April 2018 in so far as it provided for the applicant</w:t>
      </w:r>
      <w:r w:rsidRPr="009A2C11">
        <w:t>’</w:t>
      </w:r>
      <w:r w:rsidRPr="009A2C11" w:rsidR="00DA2FAE">
        <w:t xml:space="preserve">s release subject to bail being posted. It held that while he worked at the Property Management Office, the applicant had allegedly made a death threat against M.M. (see paragraph 18 above) and tried to convince M.G. to neglect her duties in favour of R.N., </w:t>
      </w:r>
      <w:bookmarkStart w:name="_Hlk89158896" w:id="2"/>
      <w:r w:rsidRPr="009A2C11" w:rsidR="00DA2FAE">
        <w:t>thus substantiating the risk of the applicant</w:t>
      </w:r>
      <w:r w:rsidRPr="009A2C11">
        <w:t>’</w:t>
      </w:r>
      <w:r w:rsidRPr="009A2C11" w:rsidR="00DA2FAE">
        <w:t xml:space="preserve">s obstructing the proceedings. </w:t>
      </w:r>
      <w:bookmarkEnd w:id="2"/>
      <w:r w:rsidRPr="009A2C11" w:rsidR="00DA2FAE">
        <w:t>One of the judges sitting on the panel appended a dissenting opinion indicating that detention on remand should be applied only if other preventive measures proved to be insufficient.</w:t>
      </w:r>
    </w:p>
    <w:p w:rsidRPr="009A2C11" w:rsidR="00DA2FAE" w:rsidP="009A2C11" w:rsidRDefault="009A2C11" w14:paraId="607FB13B" w14:textId="47D8737F">
      <w:pPr>
        <w:pStyle w:val="JuPara"/>
      </w:pPr>
      <w:fldSimple w:instr=" SEQ level0 \*arabic \* MERGEFORMAT ">
        <w:r w:rsidRPr="009A2C11">
          <w:rPr>
            <w:noProof/>
          </w:rPr>
          <w:t>24</w:t>
        </w:r>
      </w:fldSimple>
      <w:r w:rsidRPr="009A2C11" w:rsidR="00DA2FAE">
        <w:t xml:space="preserve">.  On 16 July 2018 the </w:t>
      </w:r>
      <w:proofErr w:type="spellStart"/>
      <w:r w:rsidRPr="009A2C11" w:rsidR="00DA2FAE">
        <w:t>Wrocław</w:t>
      </w:r>
      <w:proofErr w:type="spellEnd"/>
      <w:r w:rsidRPr="009A2C11" w:rsidR="00DA2FAE">
        <w:t xml:space="preserve"> Court of Appeal again extended the applicant</w:t>
      </w:r>
      <w:r w:rsidRPr="009A2C11">
        <w:t>’</w:t>
      </w:r>
      <w:r w:rsidRPr="009A2C11" w:rsidR="00DA2FAE">
        <w:t>s detention on remand, until 21 October 2018. It referred to the extraordinary complexity of the case and held that there was a high risk that he would obstruct the proceedings.</w:t>
      </w:r>
    </w:p>
    <w:p w:rsidRPr="009A2C11" w:rsidR="00DA2FAE" w:rsidP="009A2C11" w:rsidRDefault="009A2C11" w14:paraId="1DBF1F2B" w14:textId="78013602">
      <w:pPr>
        <w:pStyle w:val="JuPara"/>
      </w:pPr>
      <w:fldSimple w:instr=" SEQ level0 \*arabic \* MERGEFORMAT ">
        <w:r w:rsidRPr="009A2C11">
          <w:rPr>
            <w:noProof/>
          </w:rPr>
          <w:t>25</w:t>
        </w:r>
      </w:fldSimple>
      <w:r w:rsidRPr="009A2C11" w:rsidR="00DA2FAE">
        <w:t>.  On 8 October 2018 a bill of indictment against the applicant was filed with the Warsaw Regional Court. He was accused of eight offences, including accepting bribes, influence peddling, money-</w:t>
      </w:r>
      <w:proofErr w:type="gramStart"/>
      <w:r w:rsidRPr="009A2C11" w:rsidR="00DA2FAE">
        <w:t>laundering</w:t>
      </w:r>
      <w:proofErr w:type="gramEnd"/>
      <w:r w:rsidRPr="009A2C11" w:rsidR="00DA2FAE">
        <w:t xml:space="preserve"> and abuse of power. The prosecutor requested to have 177 witnesses questioned and the testimonies of a further thirty-five witnesses read out. The case file comprised 434 volumes.</w:t>
      </w:r>
    </w:p>
    <w:p w:rsidRPr="009A2C11" w:rsidR="00DA2FAE" w:rsidP="009A2C11" w:rsidRDefault="009A2C11" w14:paraId="481B7C54" w14:textId="318B0D13">
      <w:pPr>
        <w:pStyle w:val="JuPara"/>
      </w:pPr>
      <w:fldSimple w:instr=" SEQ level0 \*arabic \* MERGEFORMAT ">
        <w:r w:rsidRPr="009A2C11">
          <w:rPr>
            <w:noProof/>
          </w:rPr>
          <w:t>26</w:t>
        </w:r>
      </w:fldSimple>
      <w:r w:rsidRPr="009A2C11" w:rsidR="00DA2FAE">
        <w:t>.  On 18 October 2018 the same court extended the applicant</w:t>
      </w:r>
      <w:r w:rsidRPr="009A2C11">
        <w:t>’</w:t>
      </w:r>
      <w:r w:rsidRPr="009A2C11" w:rsidR="00DA2FAE">
        <w:t>s detention on remand until 19 January 2019, subject to a proviso that if bail in the amount of PLN 2,000,000 (EUR 500,000) were posted, he would be released. On 19 November 2018 the Warsaw Court of Appeal increased the amount of bail by a further PLN 500,000 (EUR 125,000).</w:t>
      </w:r>
    </w:p>
    <w:p w:rsidRPr="009A2C11" w:rsidR="00DA2FAE" w:rsidP="009A2C11" w:rsidRDefault="009A2C11" w14:paraId="617D75D6" w14:textId="047F9BAD">
      <w:pPr>
        <w:pStyle w:val="JuPara"/>
      </w:pPr>
      <w:fldSimple w:instr=" SEQ level0 \*arabic \* MERGEFORMAT ">
        <w:r w:rsidRPr="009A2C11">
          <w:rPr>
            <w:noProof/>
          </w:rPr>
          <w:t>27</w:t>
        </w:r>
      </w:fldSimple>
      <w:r w:rsidRPr="009A2C11" w:rsidR="00DA2FAE">
        <w:t>.  On 20 December 2018 the Warsaw Regional Court extended the applicant</w:t>
      </w:r>
      <w:r w:rsidRPr="009A2C11">
        <w:t>’</w:t>
      </w:r>
      <w:r w:rsidRPr="009A2C11" w:rsidR="00DA2FAE">
        <w:t>s detention on remand until 30 January 2019.</w:t>
      </w:r>
    </w:p>
    <w:p w:rsidRPr="009A2C11" w:rsidR="00DA2FAE" w:rsidP="009A2C11" w:rsidRDefault="009A2C11" w14:paraId="251E6BFC" w14:textId="160B3A21">
      <w:pPr>
        <w:pStyle w:val="JuPara"/>
      </w:pPr>
      <w:fldSimple w:instr=" SEQ level0 \*arabic \* MERGEFORMAT ">
        <w:r w:rsidRPr="009A2C11">
          <w:rPr>
            <w:noProof/>
          </w:rPr>
          <w:t>28</w:t>
        </w:r>
      </w:fldSimple>
      <w:r w:rsidRPr="009A2C11" w:rsidR="00DA2FAE">
        <w:t>.  On 11 January 2019 the same court agreed to a charge on the applicant</w:t>
      </w:r>
      <w:r w:rsidRPr="009A2C11">
        <w:t>’</w:t>
      </w:r>
      <w:r w:rsidRPr="009A2C11" w:rsidR="00DA2FAE">
        <w:t xml:space="preserve">s property </w:t>
      </w:r>
      <w:proofErr w:type="gramStart"/>
      <w:r w:rsidRPr="009A2C11" w:rsidR="00DA2FAE">
        <w:t>in order to</w:t>
      </w:r>
      <w:proofErr w:type="gramEnd"/>
      <w:r w:rsidRPr="009A2C11" w:rsidR="00DA2FAE">
        <w:t xml:space="preserve"> secure bail and he was released from detention that day.</w:t>
      </w:r>
    </w:p>
    <w:p w:rsidRPr="009A2C11" w:rsidR="00DA2FAE" w:rsidP="009A2C11" w:rsidRDefault="009A2C11" w14:paraId="1B2162D7" w14:textId="0C1D7E29">
      <w:pPr>
        <w:pStyle w:val="JuPara"/>
      </w:pPr>
      <w:fldSimple w:instr=" SEQ level0 \*arabic \* MERGEFORMAT ">
        <w:r w:rsidRPr="009A2C11">
          <w:rPr>
            <w:noProof/>
          </w:rPr>
          <w:t>29</w:t>
        </w:r>
      </w:fldSimple>
      <w:r w:rsidRPr="009A2C11" w:rsidR="00DA2FAE">
        <w:t xml:space="preserve">.  On 25 May 2021 the Warsaw Regional Court, </w:t>
      </w:r>
      <w:bookmarkStart w:name="_Hlk86227850" w:id="3"/>
      <w:r w:rsidRPr="009A2C11" w:rsidR="00DA2FAE">
        <w:t>in a non-final judgment, acquitted the applicant on the charges of forging a signature and fraud</w:t>
      </w:r>
      <w:bookmarkEnd w:id="3"/>
      <w:r w:rsidRPr="009A2C11" w:rsidR="00DA2FAE">
        <w:t>.</w:t>
      </w:r>
    </w:p>
    <w:p w:rsidRPr="009A2C11" w:rsidR="00DA2FAE" w:rsidP="009A2C11" w:rsidRDefault="009A2C11" w14:paraId="6AD97FBC" w14:textId="19EE6E56">
      <w:pPr>
        <w:pStyle w:val="JuPara"/>
      </w:pPr>
      <w:fldSimple w:instr=" SEQ level0 \*arabic \* MERGEFORMAT ">
        <w:r w:rsidRPr="009A2C11">
          <w:rPr>
            <w:noProof/>
          </w:rPr>
          <w:t>30</w:t>
        </w:r>
      </w:fldSimple>
      <w:r w:rsidRPr="009A2C11" w:rsidR="00DA2FAE">
        <w:t>.  The criminal proceedings against the applicant are still pending.</w:t>
      </w:r>
    </w:p>
    <w:p w:rsidRPr="009A2C11" w:rsidR="00DA2FAE" w:rsidP="009A2C11" w:rsidRDefault="00DA2FAE" w14:paraId="350640E4" w14:textId="77777777">
      <w:pPr>
        <w:pStyle w:val="JuHHead"/>
      </w:pPr>
      <w:r w:rsidRPr="009A2C11">
        <w:t>RELEVANT LEGAL FRAMEWORK AND PRACTICE</w:t>
      </w:r>
    </w:p>
    <w:p w:rsidRPr="009A2C11" w:rsidR="00DA2FAE" w:rsidP="009A2C11" w:rsidRDefault="00DA2FAE" w14:paraId="4BF42C64" w14:textId="072B6AB8">
      <w:pPr>
        <w:pStyle w:val="JuPara"/>
      </w:pPr>
      <w:r w:rsidRPr="009A2C11">
        <w:fldChar w:fldCharType="begin"/>
      </w:r>
      <w:r w:rsidRPr="009A2C11">
        <w:instrText xml:space="preserve"> SEQ level0 \*arabic </w:instrText>
      </w:r>
      <w:r w:rsidRPr="009A2C11">
        <w:fldChar w:fldCharType="separate"/>
      </w:r>
      <w:r w:rsidRPr="009A2C11" w:rsidR="009A2C11">
        <w:rPr>
          <w:noProof/>
        </w:rPr>
        <w:t>31</w:t>
      </w:r>
      <w:r w:rsidRPr="009A2C11">
        <w:fldChar w:fldCharType="end"/>
      </w:r>
      <w:r w:rsidRPr="009A2C11">
        <w:t>.  The relevant domestic law and practice concerning the imposition of detention on remand (</w:t>
      </w:r>
      <w:proofErr w:type="spellStart"/>
      <w:r w:rsidRPr="009A2C11">
        <w:rPr>
          <w:i/>
          <w:iCs/>
        </w:rPr>
        <w:t>tymczasowe</w:t>
      </w:r>
      <w:proofErr w:type="spellEnd"/>
      <w:r w:rsidRPr="009A2C11">
        <w:rPr>
          <w:i/>
          <w:iCs/>
        </w:rPr>
        <w:t xml:space="preserve"> </w:t>
      </w:r>
      <w:proofErr w:type="spellStart"/>
      <w:r w:rsidRPr="009A2C11">
        <w:rPr>
          <w:i/>
          <w:iCs/>
        </w:rPr>
        <w:t>aresztowanie</w:t>
      </w:r>
      <w:proofErr w:type="spellEnd"/>
      <w:r w:rsidRPr="009A2C11">
        <w:t>), the grounds for its extension, release from detention and the rules governing other so‑called “preventive measures” (</w:t>
      </w:r>
      <w:proofErr w:type="spellStart"/>
      <w:r w:rsidRPr="009A2C11">
        <w:rPr>
          <w:i/>
          <w:iCs/>
        </w:rPr>
        <w:t>środki</w:t>
      </w:r>
      <w:proofErr w:type="spellEnd"/>
      <w:r w:rsidRPr="009A2C11">
        <w:rPr>
          <w:i/>
          <w:iCs/>
        </w:rPr>
        <w:t xml:space="preserve"> </w:t>
      </w:r>
      <w:proofErr w:type="spellStart"/>
      <w:r w:rsidRPr="009A2C11">
        <w:rPr>
          <w:i/>
          <w:iCs/>
        </w:rPr>
        <w:t>zapobiegawcze</w:t>
      </w:r>
      <w:proofErr w:type="spellEnd"/>
      <w:r w:rsidRPr="009A2C11">
        <w:t xml:space="preserve">) are set out in </w:t>
      </w:r>
      <w:proofErr w:type="spellStart"/>
      <w:r w:rsidRPr="009A2C11">
        <w:rPr>
          <w:i/>
          <w:iCs/>
        </w:rPr>
        <w:t>Gołek</w:t>
      </w:r>
      <w:proofErr w:type="spellEnd"/>
      <w:r w:rsidRPr="009A2C11">
        <w:rPr>
          <w:i/>
          <w:iCs/>
        </w:rPr>
        <w:t xml:space="preserve"> v. Poland</w:t>
      </w:r>
      <w:r w:rsidRPr="009A2C11">
        <w:t xml:space="preserve"> (no.</w:t>
      </w:r>
      <w:r w:rsidRPr="009A2C11" w:rsidR="00E55EE5">
        <w:t> </w:t>
      </w:r>
      <w:r w:rsidRPr="009A2C11">
        <w:t>31330/02, §§ 27‑33, 25 April 2006)</w:t>
      </w:r>
      <w:r w:rsidRPr="009A2C11" w:rsidR="00BD109E">
        <w:t>;</w:t>
      </w:r>
      <w:r w:rsidRPr="009A2C11">
        <w:t xml:space="preserve"> </w:t>
      </w:r>
      <w:proofErr w:type="spellStart"/>
      <w:r w:rsidRPr="009A2C11">
        <w:rPr>
          <w:i/>
          <w:iCs/>
        </w:rPr>
        <w:t>Celejewski</w:t>
      </w:r>
      <w:proofErr w:type="spellEnd"/>
      <w:r w:rsidRPr="009A2C11">
        <w:rPr>
          <w:i/>
          <w:iCs/>
        </w:rPr>
        <w:t xml:space="preserve"> v. Poland</w:t>
      </w:r>
      <w:r w:rsidRPr="009A2C11">
        <w:t xml:space="preserve"> (no. 17584/04, §§ 22-23, 4 May 2006)</w:t>
      </w:r>
      <w:r w:rsidRPr="009A2C11" w:rsidR="00BD109E">
        <w:t>;</w:t>
      </w:r>
      <w:r w:rsidRPr="009A2C11">
        <w:t xml:space="preserve"> and </w:t>
      </w:r>
      <w:proofErr w:type="spellStart"/>
      <w:r w:rsidRPr="009A2C11">
        <w:rPr>
          <w:i/>
          <w:iCs/>
        </w:rPr>
        <w:t>Kauczor</w:t>
      </w:r>
      <w:proofErr w:type="spellEnd"/>
      <w:r w:rsidRPr="009A2C11">
        <w:rPr>
          <w:i/>
          <w:iCs/>
        </w:rPr>
        <w:t xml:space="preserve"> v. Poland</w:t>
      </w:r>
      <w:r w:rsidRPr="009A2C11">
        <w:t xml:space="preserve"> (no. 45219/06, §§ 26-27, 3 February 2009).</w:t>
      </w:r>
    </w:p>
    <w:p w:rsidRPr="009A2C11" w:rsidR="00DA2FAE" w:rsidP="009A2C11" w:rsidRDefault="00DA2FAE" w14:paraId="7157CFB1" w14:textId="77777777">
      <w:pPr>
        <w:pStyle w:val="JuHHead"/>
      </w:pPr>
      <w:r w:rsidRPr="009A2C11">
        <w:t>THE LAW</w:t>
      </w:r>
    </w:p>
    <w:p w:rsidRPr="009A2C11" w:rsidR="00DA2FAE" w:rsidP="009A2C11" w:rsidRDefault="00DA2FAE" w14:paraId="50C7B18F" w14:textId="77777777">
      <w:pPr>
        <w:pStyle w:val="JuHIRoman"/>
      </w:pPr>
      <w:r w:rsidRPr="009A2C11">
        <w:t xml:space="preserve">ALLEGED VIOLATION OF ARTICLE 5 </w:t>
      </w:r>
      <w:r w:rsidRPr="009A2C11">
        <w:rPr>
          <w:rFonts w:cstheme="majorHAnsi"/>
        </w:rPr>
        <w:t>§</w:t>
      </w:r>
      <w:r w:rsidRPr="009A2C11">
        <w:t xml:space="preserve"> 3 OF THE CONVENTION</w:t>
      </w:r>
    </w:p>
    <w:p w:rsidRPr="009A2C11" w:rsidR="00DA2FAE" w:rsidP="009A2C11" w:rsidRDefault="00DA2FAE" w14:paraId="17F3A952" w14:textId="2235FC77">
      <w:pPr>
        <w:pStyle w:val="JuPara"/>
      </w:pPr>
      <w:r w:rsidRPr="009A2C11">
        <w:fldChar w:fldCharType="begin"/>
      </w:r>
      <w:r w:rsidRPr="009A2C11">
        <w:instrText xml:space="preserve"> SEQ level0 \*arabic </w:instrText>
      </w:r>
      <w:r w:rsidRPr="009A2C11">
        <w:fldChar w:fldCharType="separate"/>
      </w:r>
      <w:r w:rsidRPr="009A2C11" w:rsidR="009A2C11">
        <w:rPr>
          <w:noProof/>
        </w:rPr>
        <w:t>32</w:t>
      </w:r>
      <w:r w:rsidRPr="009A2C11">
        <w:fldChar w:fldCharType="end"/>
      </w:r>
      <w:r w:rsidRPr="009A2C11">
        <w:t xml:space="preserve">.  The applicant complained that the length of his detention on remand had been excessive. He relied on Article 5 </w:t>
      </w:r>
      <w:r w:rsidRPr="009A2C11">
        <w:rPr>
          <w:rFonts w:cstheme="minorHAnsi"/>
        </w:rPr>
        <w:t>§</w:t>
      </w:r>
      <w:r w:rsidRPr="009A2C11">
        <w:t xml:space="preserve"> 3 of the Convention, which reads as follows:</w:t>
      </w:r>
    </w:p>
    <w:p w:rsidRPr="009A2C11" w:rsidR="00DA2FAE" w:rsidP="009A2C11" w:rsidRDefault="00DA2FAE" w14:paraId="79B3779E" w14:textId="77777777">
      <w:pPr>
        <w:pStyle w:val="JuQuot"/>
      </w:pPr>
      <w:r w:rsidRPr="009A2C11">
        <w:t>“Everyone arrested or detained in accordance with the provisions of paragraph 1 (c) of this Article shall be ... entitled to trial within a reasonable time or to release pending trial. Release may be conditioned by guarantees to appear for trial.”</w:t>
      </w:r>
    </w:p>
    <w:p w:rsidRPr="009A2C11" w:rsidR="00DA2FAE" w:rsidP="009A2C11" w:rsidRDefault="00DA2FAE" w14:paraId="7500D784" w14:textId="77777777">
      <w:pPr>
        <w:pStyle w:val="JuHA"/>
      </w:pPr>
      <w:r w:rsidRPr="009A2C11">
        <w:t>Admissibility</w:t>
      </w:r>
    </w:p>
    <w:p w:rsidRPr="009A2C11" w:rsidR="00DA2FAE" w:rsidP="009A2C11" w:rsidRDefault="00DA2FAE" w14:paraId="3C58CB2E" w14:textId="05368185">
      <w:pPr>
        <w:pStyle w:val="JuPara"/>
      </w:pPr>
      <w:r w:rsidRPr="009A2C11">
        <w:fldChar w:fldCharType="begin"/>
      </w:r>
      <w:r w:rsidRPr="009A2C11">
        <w:instrText xml:space="preserve"> SEQ level0 \*arabic </w:instrText>
      </w:r>
      <w:r w:rsidRPr="009A2C11">
        <w:fldChar w:fldCharType="separate"/>
      </w:r>
      <w:r w:rsidRPr="009A2C11" w:rsidR="009A2C11">
        <w:rPr>
          <w:noProof/>
        </w:rPr>
        <w:t>33</w:t>
      </w:r>
      <w:r w:rsidRPr="009A2C11">
        <w:fldChar w:fldCharType="end"/>
      </w:r>
      <w:r w:rsidRPr="009A2C11">
        <w:t>.  The Government argued that the complaint should be declared inadmissible on account of its manifestly ill-founded character.</w:t>
      </w:r>
    </w:p>
    <w:p w:rsidRPr="009A2C11" w:rsidR="00DA2FAE" w:rsidP="009A2C11" w:rsidRDefault="00DA2FAE" w14:paraId="357770AA" w14:textId="6BCA7C7E">
      <w:pPr>
        <w:pStyle w:val="JuPara"/>
      </w:pPr>
      <w:r w:rsidRPr="009A2C11">
        <w:fldChar w:fldCharType="begin"/>
      </w:r>
      <w:r w:rsidRPr="009A2C11">
        <w:instrText xml:space="preserve"> SEQ level0 \*arabic </w:instrText>
      </w:r>
      <w:r w:rsidRPr="009A2C11">
        <w:fldChar w:fldCharType="separate"/>
      </w:r>
      <w:r w:rsidRPr="009A2C11" w:rsidR="009A2C11">
        <w:rPr>
          <w:noProof/>
        </w:rPr>
        <w:t>34</w:t>
      </w:r>
      <w:r w:rsidRPr="009A2C11">
        <w:fldChar w:fldCharType="end"/>
      </w:r>
      <w:r w:rsidRPr="009A2C11">
        <w:t>.  The applicant disagreed.</w:t>
      </w:r>
    </w:p>
    <w:p w:rsidRPr="009A2C11" w:rsidR="00DA2FAE" w:rsidP="009A2C11" w:rsidRDefault="00DA2FAE" w14:paraId="4229F224" w14:textId="249F2B8F">
      <w:pPr>
        <w:pStyle w:val="JuPara"/>
      </w:pPr>
      <w:r w:rsidRPr="009A2C11">
        <w:fldChar w:fldCharType="begin"/>
      </w:r>
      <w:r w:rsidRPr="009A2C11">
        <w:instrText xml:space="preserve"> SEQ level0 \*arabic </w:instrText>
      </w:r>
      <w:r w:rsidRPr="009A2C11">
        <w:fldChar w:fldCharType="separate"/>
      </w:r>
      <w:r w:rsidRPr="009A2C11" w:rsidR="009A2C11">
        <w:rPr>
          <w:noProof/>
        </w:rPr>
        <w:t>35</w:t>
      </w:r>
      <w:r w:rsidRPr="009A2C11">
        <w:fldChar w:fldCharType="end"/>
      </w:r>
      <w:r w:rsidRPr="009A2C11">
        <w:t>.  The Court notes that the application is neither manifestly ill-founded nor inadmissible on any other grounds listed in Article 35 of the Convention. It must therefore be declared admissible.</w:t>
      </w:r>
    </w:p>
    <w:p w:rsidRPr="009A2C11" w:rsidR="00DA2FAE" w:rsidP="009A2C11" w:rsidRDefault="00DA2FAE" w14:paraId="5E3B1463" w14:textId="77777777">
      <w:pPr>
        <w:pStyle w:val="JuHA"/>
      </w:pPr>
      <w:r w:rsidRPr="009A2C11">
        <w:t>Merits</w:t>
      </w:r>
    </w:p>
    <w:p w:rsidRPr="009A2C11" w:rsidR="00DA2FAE" w:rsidP="009A2C11" w:rsidRDefault="00DA2FAE" w14:paraId="1B89F47B" w14:textId="6FE9E7E8">
      <w:pPr>
        <w:pStyle w:val="JuH1"/>
      </w:pPr>
      <w:r w:rsidRPr="009A2C11">
        <w:t>The parties</w:t>
      </w:r>
      <w:r w:rsidRPr="009A2C11" w:rsidR="009A2C11">
        <w:t>’</w:t>
      </w:r>
      <w:r w:rsidRPr="009A2C11">
        <w:t xml:space="preserve"> submissions</w:t>
      </w:r>
    </w:p>
    <w:p w:rsidRPr="009A2C11" w:rsidR="00DA2FAE" w:rsidP="009A2C11" w:rsidRDefault="00DA2FAE" w14:paraId="1674D659" w14:textId="77777777">
      <w:pPr>
        <w:pStyle w:val="JuHa0"/>
      </w:pPr>
      <w:r w:rsidRPr="009A2C11">
        <w:t>The applicant</w:t>
      </w:r>
    </w:p>
    <w:p w:rsidRPr="009A2C11" w:rsidR="00DA2FAE" w:rsidP="009A2C11" w:rsidRDefault="00DA2FAE" w14:paraId="1B4FC8A2" w14:textId="4C8FE911">
      <w:pPr>
        <w:pStyle w:val="JuPara"/>
      </w:pPr>
      <w:r w:rsidRPr="009A2C11">
        <w:fldChar w:fldCharType="begin"/>
      </w:r>
      <w:r w:rsidRPr="009A2C11">
        <w:instrText xml:space="preserve"> SEQ level0 \*arabic </w:instrText>
      </w:r>
      <w:r w:rsidRPr="009A2C11">
        <w:fldChar w:fldCharType="separate"/>
      </w:r>
      <w:r w:rsidRPr="009A2C11" w:rsidR="009A2C11">
        <w:rPr>
          <w:noProof/>
        </w:rPr>
        <w:t>36</w:t>
      </w:r>
      <w:r w:rsidRPr="009A2C11">
        <w:fldChar w:fldCharType="end"/>
      </w:r>
      <w:r w:rsidRPr="009A2C11">
        <w:t>.  The applicant complained that the length of his detention on remand had been unreasonable.</w:t>
      </w:r>
    </w:p>
    <w:p w:rsidRPr="009A2C11" w:rsidR="00DA2FAE" w:rsidP="009A2C11" w:rsidRDefault="009A2C11" w14:paraId="5ED0C072" w14:textId="14668906">
      <w:pPr>
        <w:pStyle w:val="JuPara"/>
      </w:pPr>
      <w:fldSimple w:instr=" SEQ level0 \*arabic \* MERGEFORMAT ">
        <w:r w:rsidRPr="009A2C11">
          <w:rPr>
            <w:noProof/>
          </w:rPr>
          <w:t>37</w:t>
        </w:r>
      </w:fldSimple>
      <w:r w:rsidRPr="009A2C11" w:rsidR="00DA2FAE">
        <w:t>.  He submitted that the domestic courts had automatically extended his detention on remand, relying on essentially the same grounds each time. The applicant also stressed that his arrest had occurred several months after the so-called “reprivatisation scandal” had come into the public spotlight, and thus he had had more than enough time to attempt to obstruct the investigation or go into hiding. Instead, he had chosen to cooperate with agents of the Central Anti-Corruption Bureau.</w:t>
      </w:r>
    </w:p>
    <w:p w:rsidRPr="009A2C11" w:rsidR="00DA2FAE" w:rsidP="009A2C11" w:rsidRDefault="009A2C11" w14:paraId="0973CE34" w14:textId="03C50C00">
      <w:pPr>
        <w:pStyle w:val="JuPara"/>
      </w:pPr>
      <w:fldSimple w:instr=" SEQ level0 \*arabic \* MERGEFORMAT ">
        <w:r w:rsidRPr="009A2C11">
          <w:rPr>
            <w:noProof/>
          </w:rPr>
          <w:t>38</w:t>
        </w:r>
      </w:fldSimple>
      <w:r w:rsidRPr="009A2C11" w:rsidR="00DA2FAE">
        <w:t>.  The applicant further submitted that his detention on remand had negatively affected his family, including his daughter, who had suffered from depression. He stated that she had never recovered from the trauma caused by his arrest and had committed suicide in early July 2020.</w:t>
      </w:r>
    </w:p>
    <w:p w:rsidRPr="009A2C11" w:rsidR="00DA2FAE" w:rsidP="009A2C11" w:rsidRDefault="00DA2FAE" w14:paraId="3ABA4CE0" w14:textId="77777777">
      <w:pPr>
        <w:pStyle w:val="JuHa0"/>
      </w:pPr>
      <w:r w:rsidRPr="009A2C11">
        <w:t>The Government</w:t>
      </w:r>
    </w:p>
    <w:p w:rsidRPr="009A2C11" w:rsidR="00DA2FAE" w:rsidP="009A2C11" w:rsidRDefault="009A2C11" w14:paraId="1823F8C1" w14:textId="2D2A6E18">
      <w:pPr>
        <w:pStyle w:val="JuPara"/>
      </w:pPr>
      <w:fldSimple w:instr=" SEQ level0 \*arabic \* MERGEFORMAT ">
        <w:r w:rsidRPr="009A2C11">
          <w:rPr>
            <w:noProof/>
          </w:rPr>
          <w:t>39</w:t>
        </w:r>
      </w:fldSimple>
      <w:r w:rsidRPr="009A2C11" w:rsidR="00DA2FAE">
        <w:t>.  The Government submitted that the length of the applicant</w:t>
      </w:r>
      <w:r w:rsidRPr="009A2C11">
        <w:t>’</w:t>
      </w:r>
      <w:r w:rsidRPr="009A2C11" w:rsidR="00DA2FAE">
        <w:t xml:space="preserve">s detention was compatible with the standards applicable under Article 5 </w:t>
      </w:r>
      <w:r w:rsidRPr="009A2C11" w:rsidR="00DA2FAE">
        <w:rPr>
          <w:rFonts w:cstheme="minorHAnsi"/>
        </w:rPr>
        <w:t>§</w:t>
      </w:r>
      <w:r w:rsidRPr="009A2C11" w:rsidR="00DA2FAE">
        <w:t xml:space="preserve"> 3 of the Convention and thus revealed no violation of this provision. They argued that the grounds referred to in the decisions of the domestic courts were “relevant” and “sufficient” to justify the entire period of his detention. </w:t>
      </w:r>
      <w:proofErr w:type="gramStart"/>
      <w:r w:rsidRPr="009A2C11" w:rsidR="00DA2FAE">
        <w:t>In particular, they</w:t>
      </w:r>
      <w:proofErr w:type="gramEnd"/>
      <w:r w:rsidRPr="009A2C11" w:rsidR="00DA2FAE">
        <w:t xml:space="preserve"> referred to the complexity of the case, the number of suspects and the fact that the applicant had already made a death threat against one person and incited another person to neglect her duties. They also stressed that the reasonable suspicion of the applicant</w:t>
      </w:r>
      <w:r w:rsidRPr="009A2C11">
        <w:t>’</w:t>
      </w:r>
      <w:r w:rsidRPr="009A2C11" w:rsidR="00DA2FAE">
        <w:t>s guilt had persisted throughout the entire period of his detention. The Government argued that, having been faced with a potentially severe penalty, the applicant could have attempted to interfere with the course of the proceedings.</w:t>
      </w:r>
    </w:p>
    <w:p w:rsidRPr="009A2C11" w:rsidR="00DA2FAE" w:rsidP="009A2C11" w:rsidRDefault="00DA2FAE" w14:paraId="370AD39D" w14:textId="3D15218B">
      <w:pPr>
        <w:pStyle w:val="JuH1"/>
      </w:pPr>
      <w:r w:rsidRPr="009A2C11">
        <w:t>The Court</w:t>
      </w:r>
      <w:r w:rsidRPr="009A2C11" w:rsidR="009A2C11">
        <w:t>’</w:t>
      </w:r>
      <w:r w:rsidRPr="009A2C11">
        <w:t>s assessment</w:t>
      </w:r>
    </w:p>
    <w:p w:rsidRPr="009A2C11" w:rsidR="00DA2FAE" w:rsidP="009A2C11" w:rsidRDefault="00DA2FAE" w14:paraId="3564FD29" w14:textId="77777777">
      <w:pPr>
        <w:pStyle w:val="JuHa0"/>
        <w:numPr>
          <w:ilvl w:val="4"/>
          <w:numId w:val="3"/>
        </w:numPr>
        <w:ind w:left="975" w:hanging="340"/>
      </w:pPr>
      <w:r w:rsidRPr="009A2C11">
        <w:t>General principles</w:t>
      </w:r>
    </w:p>
    <w:p w:rsidRPr="009A2C11" w:rsidR="00DA2FAE" w:rsidP="009A2C11" w:rsidRDefault="009A2C11" w14:paraId="7E50E089" w14:textId="48AE46CE">
      <w:pPr>
        <w:pStyle w:val="JuPara"/>
      </w:pPr>
      <w:fldSimple w:instr=" SEQ level0 \*arabic \* MERGEFORMAT ">
        <w:r w:rsidRPr="009A2C11">
          <w:rPr>
            <w:noProof/>
          </w:rPr>
          <w:t>40</w:t>
        </w:r>
      </w:fldSimple>
      <w:r w:rsidRPr="009A2C11" w:rsidR="00DA2FAE">
        <w:t>.  The Court reiterates that the general principles regarding the right to a trial within a reasonable time or to release pending trial, as guaranteed by Article</w:t>
      </w:r>
      <w:r w:rsidRPr="009A2C11" w:rsidR="00E55EE5">
        <w:t> </w:t>
      </w:r>
      <w:r w:rsidRPr="009A2C11" w:rsidR="00DA2FAE">
        <w:t xml:space="preserve">5 § 3 of the Convention, have been stated in a number of its previous judgments (see, among many other authorities, </w:t>
      </w:r>
      <w:proofErr w:type="spellStart"/>
      <w:r w:rsidRPr="009A2C11" w:rsidR="00DA2FAE">
        <w:rPr>
          <w:i/>
          <w:iCs/>
        </w:rPr>
        <w:t>Kudła</w:t>
      </w:r>
      <w:proofErr w:type="spellEnd"/>
      <w:r w:rsidRPr="009A2C11" w:rsidR="00DA2FAE">
        <w:rPr>
          <w:i/>
          <w:iCs/>
        </w:rPr>
        <w:t xml:space="preserve"> v. Poland</w:t>
      </w:r>
      <w:r w:rsidRPr="009A2C11" w:rsidR="00DA2FAE">
        <w:t xml:space="preserve"> [GC], no. 30210/96, §§ 110 et seq., ECHR 2000‑XI; </w:t>
      </w:r>
      <w:r w:rsidRPr="009A2C11" w:rsidR="00DA2FAE">
        <w:rPr>
          <w:i/>
          <w:iCs/>
        </w:rPr>
        <w:t>McKay v. the United Kingdom</w:t>
      </w:r>
      <w:r w:rsidRPr="009A2C11" w:rsidR="00DA2FAE">
        <w:t xml:space="preserve"> [GC], no. 543/03, §§ 41-44, ECHR 2006‑X, with further references; and </w:t>
      </w:r>
      <w:proofErr w:type="spellStart"/>
      <w:r w:rsidRPr="009A2C11" w:rsidR="00DA2FAE">
        <w:rPr>
          <w:i/>
          <w:iCs/>
        </w:rPr>
        <w:t>Buzadji</w:t>
      </w:r>
      <w:proofErr w:type="spellEnd"/>
      <w:r w:rsidRPr="009A2C11" w:rsidR="00DA2FAE">
        <w:rPr>
          <w:i/>
          <w:iCs/>
        </w:rPr>
        <w:t xml:space="preserve"> v. the Republic of Moldova</w:t>
      </w:r>
      <w:r w:rsidRPr="009A2C11" w:rsidR="00DA2FAE">
        <w:t xml:space="preserve"> [GC], no. 23755/07, §§ 84-91, 5</w:t>
      </w:r>
      <w:r w:rsidRPr="009A2C11" w:rsidR="00E55EE5">
        <w:t> </w:t>
      </w:r>
      <w:r w:rsidRPr="009A2C11" w:rsidR="00DA2FAE">
        <w:t>July 2016).</w:t>
      </w:r>
    </w:p>
    <w:p w:rsidRPr="009A2C11" w:rsidR="00DA2FAE" w:rsidP="009A2C11" w:rsidRDefault="00DA2FAE" w14:paraId="7FC2F561" w14:textId="77777777">
      <w:pPr>
        <w:pStyle w:val="JuHa0"/>
        <w:numPr>
          <w:ilvl w:val="4"/>
          <w:numId w:val="3"/>
        </w:numPr>
        <w:ind w:left="975" w:hanging="340"/>
      </w:pPr>
      <w:r w:rsidRPr="009A2C11">
        <w:t>Application of the above principles to the present case</w:t>
      </w:r>
    </w:p>
    <w:p w:rsidRPr="009A2C11" w:rsidR="00DA2FAE" w:rsidP="009A2C11" w:rsidRDefault="009A2C11" w14:paraId="754C9620" w14:textId="23C4B7ED">
      <w:pPr>
        <w:pStyle w:val="JuPara"/>
      </w:pPr>
      <w:fldSimple w:instr=" SEQ level0 \*arabic \* MERGEFORMAT ">
        <w:r w:rsidRPr="009A2C11">
          <w:rPr>
            <w:noProof/>
          </w:rPr>
          <w:t>41</w:t>
        </w:r>
      </w:fldSimple>
      <w:r w:rsidRPr="009A2C11" w:rsidR="00DA2FAE">
        <w:t>.  The Court notes from the outset that the applicant</w:t>
      </w:r>
      <w:r w:rsidRPr="009A2C11">
        <w:t>’</w:t>
      </w:r>
      <w:r w:rsidRPr="009A2C11" w:rsidR="00DA2FAE">
        <w:t>s detention on remand lasted from 30 January 2017, when he was arrested on charges of bribery and large-scale fraud, until 11 January 2019, when he was released on bail (see paragraphs 11-13 and 28 above). Accordingly, the period to be taken into consideration amounts to one year and eleven months.</w:t>
      </w:r>
    </w:p>
    <w:p w:rsidRPr="009A2C11" w:rsidR="00DA2FAE" w:rsidP="009A2C11" w:rsidRDefault="009A2C11" w14:paraId="16284EA0" w14:textId="7F36EDDC">
      <w:pPr>
        <w:pStyle w:val="JuPara"/>
      </w:pPr>
      <w:fldSimple w:instr=" SEQ level0 \*arabic \* MERGEFORMAT ">
        <w:r w:rsidRPr="009A2C11">
          <w:rPr>
            <w:noProof/>
          </w:rPr>
          <w:t>42</w:t>
        </w:r>
      </w:fldSimple>
      <w:r w:rsidRPr="009A2C11" w:rsidR="00DA2FAE">
        <w:t>.  The Court further observes that in their decisions on the applicant</w:t>
      </w:r>
      <w:r w:rsidRPr="009A2C11">
        <w:t>’</w:t>
      </w:r>
      <w:r w:rsidRPr="009A2C11" w:rsidR="00DA2FAE">
        <w:t>s detention on remand, the domestic courts mainly relied on the reasonable suspicion against him, reinforced by the close ties between him and other suspects, the severity of the penalty to which he was liable and the risk of his obstructing the proceedings. On two occasions the domestic court also referred to the fact that the applicant had made a death threat to prevent a person from lodging an appeal against an administrative decision favourable to R.N. and had incited another person to neglect her duties for the benefit of R.N. (see paragraphs 18 and 23 above).</w:t>
      </w:r>
    </w:p>
    <w:p w:rsidRPr="009A2C11" w:rsidR="00DA2FAE" w:rsidP="009A2C11" w:rsidRDefault="009A2C11" w14:paraId="235D137D" w14:textId="11CFF1CE">
      <w:pPr>
        <w:pStyle w:val="JuPara"/>
      </w:pPr>
      <w:fldSimple w:instr=" SEQ level0 \*arabic \* MERGEFORMAT ">
        <w:r w:rsidRPr="009A2C11">
          <w:rPr>
            <w:noProof/>
          </w:rPr>
          <w:t>43</w:t>
        </w:r>
      </w:fldSimple>
      <w:r w:rsidRPr="009A2C11" w:rsidR="00DA2FAE">
        <w:t>.  </w:t>
      </w:r>
      <w:proofErr w:type="gramStart"/>
      <w:r w:rsidRPr="009A2C11" w:rsidR="00DA2FAE">
        <w:t>With regard to</w:t>
      </w:r>
      <w:proofErr w:type="gramEnd"/>
      <w:r w:rsidRPr="009A2C11" w:rsidR="00DA2FAE">
        <w:t xml:space="preserve"> the allegation that the applicant had made a death threat, the Court notes that in his submissions, the applicant indicated that M.M., whom the applicant had allegedly threatened, had withdrawn his statements. The Government did not address that argument in their </w:t>
      </w:r>
      <w:proofErr w:type="gramStart"/>
      <w:r w:rsidRPr="009A2C11" w:rsidR="00DA2FAE">
        <w:t>submissions</w:t>
      </w:r>
      <w:proofErr w:type="gramEnd"/>
      <w:r w:rsidRPr="009A2C11" w:rsidR="00DA2FAE">
        <w:t xml:space="preserve"> and it appears that the applicant has never been charged with threatening M.M. Moreover, the reasoning of the domestic court does not provide any further details, it merely noted that the applicant had allegedly threatened M.M. while employed at the Property Management Office. The Court is not persuaded that such unproven allegations substantiated a risk of the applicant</w:t>
      </w:r>
      <w:r w:rsidRPr="009A2C11">
        <w:t>’</w:t>
      </w:r>
      <w:r w:rsidRPr="009A2C11" w:rsidR="00DA2FAE">
        <w:t>s obstructing proceedings during an active investigation.</w:t>
      </w:r>
    </w:p>
    <w:p w:rsidRPr="009A2C11" w:rsidR="00DA2FAE" w:rsidP="009A2C11" w:rsidRDefault="009A2C11" w14:paraId="44C16133" w14:textId="406B6183">
      <w:pPr>
        <w:pStyle w:val="JuPara"/>
      </w:pPr>
      <w:fldSimple w:instr=" SEQ level0 \*arabic \* MERGEFORMAT ">
        <w:r w:rsidRPr="009A2C11">
          <w:rPr>
            <w:noProof/>
          </w:rPr>
          <w:t>44</w:t>
        </w:r>
      </w:fldSimple>
      <w:r w:rsidRPr="009A2C11" w:rsidR="00DA2FAE">
        <w:t>.  Furthermore, the Court is not convinced that actions allegedly undertaken by the applicant prior to the initiation of the investigation can justify the entire period of his detention. The Government did not put forward any evidence that he had tried to influence witnesses, give false testimony or tamper with evidence. It is apparent that the applicant had already been aware of the authorities</w:t>
      </w:r>
      <w:r w:rsidRPr="009A2C11">
        <w:t>’</w:t>
      </w:r>
      <w:r w:rsidRPr="009A2C11" w:rsidR="00DA2FAE">
        <w:t xml:space="preserve"> interest in the case before his arrest (see paragraphs 6-8 above) and there is no proof that he had tried to obstruct the proceedings.</w:t>
      </w:r>
    </w:p>
    <w:p w:rsidRPr="009A2C11" w:rsidR="00DA2FAE" w:rsidP="009A2C11" w:rsidRDefault="009A2C11" w14:paraId="49BAC39C" w14:textId="0E14CAD0">
      <w:pPr>
        <w:pStyle w:val="JuPara"/>
      </w:pPr>
      <w:fldSimple w:instr=" SEQ level0 \*arabic \* MERGEFORMAT ">
        <w:r w:rsidRPr="009A2C11">
          <w:rPr>
            <w:noProof/>
          </w:rPr>
          <w:t>45</w:t>
        </w:r>
      </w:fldSimple>
      <w:r w:rsidRPr="009A2C11" w:rsidR="00DA2FAE">
        <w:t xml:space="preserve">.  The Court notes that the risk of proceedings being obstructed may be much higher if there is a serious suspicion that several suspects acted as an organised criminal group, as such a group may resort to various unlawful means to try to prevent the prosecuting authorities from establishing the facts. However, although the applicant was charged with offences committed together with eight other suspects, he was not charged with acting within an organised criminal group (contrast </w:t>
      </w:r>
      <w:proofErr w:type="spellStart"/>
      <w:r w:rsidRPr="009A2C11" w:rsidR="00DA2FAE">
        <w:rPr>
          <w:i/>
          <w:iCs/>
        </w:rPr>
        <w:t>Bąk</w:t>
      </w:r>
      <w:proofErr w:type="spellEnd"/>
      <w:r w:rsidRPr="009A2C11" w:rsidR="00DA2FAE">
        <w:rPr>
          <w:i/>
          <w:iCs/>
        </w:rPr>
        <w:t xml:space="preserve"> v. Poland</w:t>
      </w:r>
      <w:r w:rsidRPr="009A2C11" w:rsidR="00DA2FAE">
        <w:t>, no. 7870/04, §</w:t>
      </w:r>
      <w:r w:rsidRPr="009A2C11" w:rsidR="00E55EE5">
        <w:t> </w:t>
      </w:r>
      <w:r w:rsidRPr="009A2C11" w:rsidR="00DA2FAE">
        <w:t>57, 16 January 2007).</w:t>
      </w:r>
    </w:p>
    <w:p w:rsidRPr="009A2C11" w:rsidR="00DA2FAE" w:rsidP="009A2C11" w:rsidRDefault="009A2C11" w14:paraId="1CEF0899" w14:textId="02A21F6E">
      <w:pPr>
        <w:pStyle w:val="JuPara"/>
      </w:pPr>
      <w:fldSimple w:instr=" SEQ level0 \*arabic \* MERGEFORMAT ">
        <w:r w:rsidRPr="009A2C11">
          <w:rPr>
            <w:noProof/>
          </w:rPr>
          <w:t>46</w:t>
        </w:r>
      </w:fldSimple>
      <w:r w:rsidRPr="009A2C11" w:rsidR="00DA2FAE">
        <w:t xml:space="preserve">.  The Court further observes that, </w:t>
      </w:r>
      <w:proofErr w:type="gramStart"/>
      <w:r w:rsidRPr="009A2C11" w:rsidR="00DA2FAE">
        <w:t>as a general rule</w:t>
      </w:r>
      <w:proofErr w:type="gramEnd"/>
      <w:r w:rsidRPr="009A2C11" w:rsidR="00DA2FAE">
        <w:t>, the competent authorities should resort to the least restrictive means in order to ensure the proper conduct of criminal proceedings. However, in the applicant</w:t>
      </w:r>
      <w:r w:rsidRPr="009A2C11">
        <w:t>’</w:t>
      </w:r>
      <w:r w:rsidRPr="009A2C11" w:rsidR="00DA2FAE">
        <w:t xml:space="preserve">s case, whenever the authorities envisaged the possibility of imposing less restrictive preventive measures on him, such as bail, the relevant decisions were quashed on appeal. In their reasoning, the second-instance courts relied on essentially the same criteria as the lower courts or referred to circumstances from before the investigation had been initiated. Also, their grounds for keeping the applicant in detention did not change over time. That being so, the explanation as to why less restrictive means were considered insufficient in the present case does not appear convincing (see </w:t>
      </w:r>
      <w:r w:rsidRPr="009A2C11" w:rsidR="00DA2FAE">
        <w:rPr>
          <w:i/>
          <w:iCs/>
        </w:rPr>
        <w:t>Jablonski v.</w:t>
      </w:r>
      <w:r w:rsidRPr="009A2C11" w:rsidR="00E55EE5">
        <w:rPr>
          <w:i/>
          <w:iCs/>
        </w:rPr>
        <w:t> </w:t>
      </w:r>
      <w:r w:rsidRPr="009A2C11" w:rsidR="00DA2FAE">
        <w:rPr>
          <w:i/>
          <w:iCs/>
        </w:rPr>
        <w:t>Poland</w:t>
      </w:r>
      <w:r w:rsidRPr="009A2C11" w:rsidR="00DA2FAE">
        <w:t>, no.</w:t>
      </w:r>
      <w:r w:rsidRPr="009A2C11" w:rsidR="006F3D6C">
        <w:t> </w:t>
      </w:r>
      <w:r w:rsidRPr="009A2C11" w:rsidR="00DA2FAE">
        <w:t xml:space="preserve">33492/96, § 83, 21 December 2000; </w:t>
      </w:r>
      <w:proofErr w:type="spellStart"/>
      <w:r w:rsidRPr="009A2C11" w:rsidR="00DA2FAE">
        <w:rPr>
          <w:i/>
          <w:iCs/>
        </w:rPr>
        <w:t>Iłowiecki</w:t>
      </w:r>
      <w:proofErr w:type="spellEnd"/>
      <w:r w:rsidRPr="009A2C11" w:rsidR="00DA2FAE">
        <w:rPr>
          <w:i/>
          <w:iCs/>
        </w:rPr>
        <w:t xml:space="preserve"> v. Poland</w:t>
      </w:r>
      <w:r w:rsidRPr="009A2C11" w:rsidR="00DA2FAE">
        <w:t>, no.</w:t>
      </w:r>
      <w:r w:rsidRPr="009A2C11" w:rsidR="00E55EE5">
        <w:t> </w:t>
      </w:r>
      <w:r w:rsidRPr="009A2C11" w:rsidR="00DA2FAE">
        <w:t>27504/95, §§</w:t>
      </w:r>
      <w:r w:rsidRPr="009A2C11" w:rsidR="00E55EE5">
        <w:t> </w:t>
      </w:r>
      <w:r w:rsidRPr="009A2C11" w:rsidR="00DA2FAE">
        <w:t xml:space="preserve">63-64, 4 October 2001; and </w:t>
      </w:r>
      <w:proofErr w:type="spellStart"/>
      <w:r w:rsidRPr="009A2C11" w:rsidR="00DA2FAE">
        <w:rPr>
          <w:i/>
          <w:iCs/>
        </w:rPr>
        <w:t>Celejewski</w:t>
      </w:r>
      <w:proofErr w:type="spellEnd"/>
      <w:r w:rsidRPr="009A2C11" w:rsidR="00DA2FAE">
        <w:t>, cited above, § 39).</w:t>
      </w:r>
    </w:p>
    <w:p w:rsidRPr="009A2C11" w:rsidR="00DA2FAE" w:rsidP="009A2C11" w:rsidRDefault="009A2C11" w14:paraId="19298FA7" w14:textId="33C4B3D1">
      <w:pPr>
        <w:pStyle w:val="JuPara"/>
      </w:pPr>
      <w:fldSimple w:instr=" SEQ level0 \*arabic \* MERGEFORMAT ">
        <w:r w:rsidRPr="009A2C11">
          <w:rPr>
            <w:noProof/>
          </w:rPr>
          <w:t>47</w:t>
        </w:r>
      </w:fldSimple>
      <w:r w:rsidRPr="009A2C11" w:rsidR="00DA2FAE">
        <w:t xml:space="preserve">.  The Court also observes that voluminous evidence and the complexity of a case cannot, in themselves, justify the entire period of detention on remand. It remains incumbent on the authorities to prove the continued need of detention, </w:t>
      </w:r>
      <w:proofErr w:type="gramStart"/>
      <w:r w:rsidRPr="009A2C11" w:rsidR="00DA2FAE">
        <w:t>in particular when</w:t>
      </w:r>
      <w:proofErr w:type="gramEnd"/>
      <w:r w:rsidRPr="009A2C11" w:rsidR="00DA2FAE">
        <w:t xml:space="preserve"> extensive parts of the evidence have already been collected. In such situations, the authorities must give specific reasons why it is necessary to continue the detention instead of applying less restrictive preventive measures (see,</w:t>
      </w:r>
      <w:r w:rsidRPr="009A2C11" w:rsidR="00DA2FAE">
        <w:rPr>
          <w:i/>
          <w:iCs/>
        </w:rPr>
        <w:t xml:space="preserve"> mutatis mutandis</w:t>
      </w:r>
      <w:r w:rsidRPr="009A2C11" w:rsidR="00DA2FAE">
        <w:t>,</w:t>
      </w:r>
      <w:r w:rsidRPr="009A2C11" w:rsidR="00DA2FAE">
        <w:rPr>
          <w:i/>
        </w:rPr>
        <w:t xml:space="preserve"> </w:t>
      </w:r>
      <w:proofErr w:type="spellStart"/>
      <w:r w:rsidRPr="009A2C11" w:rsidR="00DA2FAE">
        <w:rPr>
          <w:i/>
        </w:rPr>
        <w:t>Buzadji</w:t>
      </w:r>
      <w:proofErr w:type="spellEnd"/>
      <w:r w:rsidRPr="009A2C11" w:rsidR="00DA2FAE">
        <w:rPr>
          <w:iCs/>
        </w:rPr>
        <w:t>, cited above</w:t>
      </w:r>
      <w:r w:rsidRPr="009A2C11" w:rsidR="00DA2FAE">
        <w:t xml:space="preserve">, </w:t>
      </w:r>
      <w:bookmarkStart w:name="_Hlk89333684" w:id="4"/>
      <w:r w:rsidRPr="009A2C11" w:rsidR="00DA2FAE">
        <w:t>§</w:t>
      </w:r>
      <w:bookmarkEnd w:id="4"/>
      <w:r w:rsidRPr="009A2C11" w:rsidR="00DA2FAE">
        <w:t>§ 89-91).</w:t>
      </w:r>
    </w:p>
    <w:p w:rsidRPr="009A2C11" w:rsidR="00DA2FAE" w:rsidP="009A2C11" w:rsidRDefault="009A2C11" w14:paraId="6A78CABD" w14:textId="2BED8F3A">
      <w:pPr>
        <w:pStyle w:val="JuPara"/>
      </w:pPr>
      <w:fldSimple w:instr=" SEQ level0 \*arabic \* MERGEFORMAT ">
        <w:r w:rsidRPr="009A2C11">
          <w:rPr>
            <w:noProof/>
          </w:rPr>
          <w:t>48</w:t>
        </w:r>
      </w:fldSimple>
      <w:r w:rsidRPr="009A2C11" w:rsidR="00DA2FAE">
        <w:t>.  Having regard to the foregoing, the Court finds that while the grounds given by the domestic authorities may have justified the initial detention on remand of the applicant, they were not “relevant” and “sufficient” to justify prolonging the applicant</w:t>
      </w:r>
      <w:r w:rsidRPr="009A2C11">
        <w:t>’</w:t>
      </w:r>
      <w:r w:rsidRPr="009A2C11" w:rsidR="00DA2FAE">
        <w:t>s custody for almost two years. In these circumstances it is not necessary to examine whether the proceedings were conducted with special diligence.</w:t>
      </w:r>
    </w:p>
    <w:p w:rsidRPr="009A2C11" w:rsidR="00DA2FAE" w:rsidP="009A2C11" w:rsidRDefault="00DA2FAE" w14:paraId="3706A308" w14:textId="7F836FC5">
      <w:pPr>
        <w:pStyle w:val="JuPara"/>
      </w:pPr>
      <w:r w:rsidRPr="009A2C11">
        <w:fldChar w:fldCharType="begin"/>
      </w:r>
      <w:r w:rsidRPr="009A2C11">
        <w:instrText xml:space="preserve"> SEQ level0 \*arabic </w:instrText>
      </w:r>
      <w:r w:rsidRPr="009A2C11">
        <w:fldChar w:fldCharType="separate"/>
      </w:r>
      <w:r w:rsidRPr="009A2C11" w:rsidR="009A2C11">
        <w:rPr>
          <w:noProof/>
        </w:rPr>
        <w:t>49</w:t>
      </w:r>
      <w:r w:rsidRPr="009A2C11">
        <w:fldChar w:fldCharType="end"/>
      </w:r>
      <w:r w:rsidRPr="009A2C11">
        <w:t xml:space="preserve">.  There has accordingly been a violation of Article 5 </w:t>
      </w:r>
      <w:r w:rsidRPr="009A2C11">
        <w:rPr>
          <w:rFonts w:cstheme="minorHAnsi"/>
        </w:rPr>
        <w:t>§</w:t>
      </w:r>
      <w:r w:rsidRPr="009A2C11">
        <w:t xml:space="preserve"> 3 of the Convention.</w:t>
      </w:r>
    </w:p>
    <w:p w:rsidRPr="009A2C11" w:rsidR="00DA2FAE" w:rsidP="009A2C11" w:rsidRDefault="00DA2FAE" w14:paraId="14A932BD" w14:textId="77777777">
      <w:pPr>
        <w:pStyle w:val="JuHIRoman"/>
      </w:pPr>
      <w:r w:rsidRPr="009A2C11">
        <w:t>APPLICATION OF ARTICLE 41 OF THE CONVENTION</w:t>
      </w:r>
    </w:p>
    <w:p w:rsidRPr="009A2C11" w:rsidR="00DA2FAE" w:rsidP="009A2C11" w:rsidRDefault="00DA2FAE" w14:paraId="3A0C456B" w14:textId="71BCE70A">
      <w:pPr>
        <w:pStyle w:val="JuPara"/>
        <w:keepNext/>
        <w:keepLines/>
      </w:pPr>
      <w:r w:rsidRPr="009A2C11">
        <w:fldChar w:fldCharType="begin"/>
      </w:r>
      <w:r w:rsidRPr="009A2C11">
        <w:instrText xml:space="preserve"> SEQ level0 \*arabic </w:instrText>
      </w:r>
      <w:r w:rsidRPr="009A2C11">
        <w:fldChar w:fldCharType="separate"/>
      </w:r>
      <w:r w:rsidRPr="009A2C11" w:rsidR="009A2C11">
        <w:rPr>
          <w:noProof/>
        </w:rPr>
        <w:t>50</w:t>
      </w:r>
      <w:r w:rsidRPr="009A2C11">
        <w:fldChar w:fldCharType="end"/>
      </w:r>
      <w:r w:rsidRPr="009A2C11">
        <w:t>.  Article 41 of the Convention provides:</w:t>
      </w:r>
    </w:p>
    <w:p w:rsidRPr="009A2C11" w:rsidR="00DA2FAE" w:rsidP="009A2C11" w:rsidRDefault="00DA2FAE" w14:paraId="03CFDBAA" w14:textId="77777777">
      <w:pPr>
        <w:pStyle w:val="JuQuot"/>
      </w:pPr>
      <w:r w:rsidRPr="009A2C11">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9A2C11" w:rsidR="00DA2FAE" w:rsidP="009A2C11" w:rsidRDefault="00DA2FAE" w14:paraId="582AA84D" w14:textId="565F553C">
      <w:pPr>
        <w:pStyle w:val="JuPara"/>
      </w:pPr>
      <w:r w:rsidRPr="009A2C11">
        <w:fldChar w:fldCharType="begin"/>
      </w:r>
      <w:r w:rsidRPr="009A2C11">
        <w:instrText xml:space="preserve"> SEQ level0 \*arabic </w:instrText>
      </w:r>
      <w:r w:rsidRPr="009A2C11">
        <w:fldChar w:fldCharType="separate"/>
      </w:r>
      <w:r w:rsidRPr="009A2C11" w:rsidR="009A2C11">
        <w:rPr>
          <w:noProof/>
        </w:rPr>
        <w:t>51</w:t>
      </w:r>
      <w:r w:rsidRPr="009A2C11">
        <w:fldChar w:fldCharType="end"/>
      </w:r>
      <w:r w:rsidRPr="009A2C11">
        <w:t>.  The applicant claimed 25,000 euros (EUR) in respect of non‑pecuniary damage.</w:t>
      </w:r>
    </w:p>
    <w:p w:rsidRPr="009A2C11" w:rsidR="00DA2FAE" w:rsidP="009A2C11" w:rsidRDefault="00DA2FAE" w14:paraId="77877DDE" w14:textId="7907B07A">
      <w:pPr>
        <w:pStyle w:val="JuPara"/>
      </w:pPr>
      <w:r w:rsidRPr="009A2C11">
        <w:fldChar w:fldCharType="begin"/>
      </w:r>
      <w:r w:rsidRPr="009A2C11">
        <w:instrText xml:space="preserve"> SEQ level0 \*arabic </w:instrText>
      </w:r>
      <w:r w:rsidRPr="009A2C11">
        <w:fldChar w:fldCharType="separate"/>
      </w:r>
      <w:r w:rsidRPr="009A2C11" w:rsidR="009A2C11">
        <w:rPr>
          <w:noProof/>
        </w:rPr>
        <w:t>52</w:t>
      </w:r>
      <w:r w:rsidRPr="009A2C11">
        <w:fldChar w:fldCharType="end"/>
      </w:r>
      <w:r w:rsidRPr="009A2C11">
        <w:t>.  The Government contested that claim.</w:t>
      </w:r>
    </w:p>
    <w:p w:rsidRPr="009A2C11" w:rsidR="00DA2FAE" w:rsidP="009A2C11" w:rsidRDefault="009A2C11" w14:paraId="23F49D12" w14:textId="798FE4C0">
      <w:pPr>
        <w:pStyle w:val="JuPara"/>
      </w:pPr>
      <w:fldSimple w:instr=" SEQ level0 \*arabic \* MERGEFORMAT ">
        <w:r w:rsidRPr="009A2C11">
          <w:rPr>
            <w:noProof/>
          </w:rPr>
          <w:t>53</w:t>
        </w:r>
      </w:fldSimple>
      <w:r w:rsidRPr="009A2C11" w:rsidR="00DA2FAE">
        <w:t>.  Making its assessment on an equitable basis, the Court awards the applicant EUR 2,700 in respect of non-pecuniary damage, plus any tax that may be chargeable on that amount.</w:t>
      </w:r>
    </w:p>
    <w:p w:rsidRPr="009A2C11" w:rsidR="00DA2FAE" w:rsidP="009A2C11" w:rsidRDefault="00DA2FAE" w14:paraId="7A3A72E8" w14:textId="4DDF1702">
      <w:pPr>
        <w:pStyle w:val="JuPara"/>
      </w:pPr>
      <w:r w:rsidRPr="009A2C11">
        <w:fldChar w:fldCharType="begin"/>
      </w:r>
      <w:r w:rsidRPr="009A2C11">
        <w:instrText xml:space="preserve"> SEQ level0 \*arabic </w:instrText>
      </w:r>
      <w:r w:rsidRPr="009A2C11">
        <w:fldChar w:fldCharType="separate"/>
      </w:r>
      <w:r w:rsidRPr="009A2C11" w:rsidR="009A2C11">
        <w:rPr>
          <w:noProof/>
        </w:rPr>
        <w:t>54</w:t>
      </w:r>
      <w:r w:rsidRPr="009A2C11">
        <w:fldChar w:fldCharType="end"/>
      </w:r>
      <w:r w:rsidRPr="009A2C11">
        <w:t>.  The Court considers it appropriate that the default interest rate should be based on the marginal lending rate of the European Central Bank, to which should be added three percentage points.</w:t>
      </w:r>
    </w:p>
    <w:p w:rsidRPr="009A2C11" w:rsidR="00DA2FAE" w:rsidP="009A2C11" w:rsidRDefault="00DA2FAE" w14:paraId="2F573767" w14:textId="77777777">
      <w:pPr>
        <w:pStyle w:val="JuHHead"/>
        <w:numPr>
          <w:ilvl w:val="0"/>
          <w:numId w:val="1"/>
        </w:numPr>
        <w:ind w:left="360" w:hanging="360"/>
      </w:pPr>
      <w:r w:rsidRPr="009A2C11">
        <w:t>FOR THESE REASONS, THE COURT, UNANIMOUSLY,</w:t>
      </w:r>
    </w:p>
    <w:p w:rsidRPr="009A2C11" w:rsidR="00DA2FAE" w:rsidP="009A2C11" w:rsidRDefault="00DA2FAE" w14:paraId="3FF52D7B" w14:textId="77777777">
      <w:pPr>
        <w:pStyle w:val="JuList"/>
        <w:numPr>
          <w:ilvl w:val="0"/>
          <w:numId w:val="2"/>
        </w:numPr>
      </w:pPr>
      <w:r w:rsidRPr="009A2C11">
        <w:rPr>
          <w:i/>
        </w:rPr>
        <w:t>Declares</w:t>
      </w:r>
      <w:r w:rsidRPr="009A2C11">
        <w:t xml:space="preserve"> the application </w:t>
      </w:r>
      <w:proofErr w:type="gramStart"/>
      <w:r w:rsidRPr="009A2C11">
        <w:t>admissible;</w:t>
      </w:r>
      <w:proofErr w:type="gramEnd"/>
    </w:p>
    <w:p w:rsidRPr="009A2C11" w:rsidR="00DA2FAE" w:rsidP="009A2C11" w:rsidRDefault="00DA2FAE" w14:paraId="3BDE90F7" w14:textId="77777777">
      <w:pPr>
        <w:pStyle w:val="JuList"/>
        <w:numPr>
          <w:ilvl w:val="0"/>
          <w:numId w:val="2"/>
        </w:numPr>
      </w:pPr>
      <w:r w:rsidRPr="009A2C11">
        <w:rPr>
          <w:i/>
        </w:rPr>
        <w:t>Holds</w:t>
      </w:r>
      <w:r w:rsidRPr="009A2C11">
        <w:t xml:space="preserve"> that there has been a violation of Article 5 </w:t>
      </w:r>
      <w:r w:rsidRPr="009A2C11">
        <w:rPr>
          <w:rFonts w:cstheme="minorHAnsi"/>
        </w:rPr>
        <w:t>§</w:t>
      </w:r>
      <w:r w:rsidRPr="009A2C11">
        <w:t xml:space="preserve"> 3 of the </w:t>
      </w:r>
      <w:proofErr w:type="gramStart"/>
      <w:r w:rsidRPr="009A2C11">
        <w:t>Convention;</w:t>
      </w:r>
      <w:proofErr w:type="gramEnd"/>
    </w:p>
    <w:p w:rsidRPr="009A2C11" w:rsidR="00DA2FAE" w:rsidP="009A2C11" w:rsidRDefault="00DA2FAE" w14:paraId="646C1FEE" w14:textId="77777777">
      <w:pPr>
        <w:pStyle w:val="JuList"/>
        <w:numPr>
          <w:ilvl w:val="0"/>
          <w:numId w:val="2"/>
        </w:numPr>
      </w:pPr>
      <w:r w:rsidRPr="009A2C11">
        <w:rPr>
          <w:i/>
        </w:rPr>
        <w:t>Holds</w:t>
      </w:r>
    </w:p>
    <w:p w:rsidRPr="009A2C11" w:rsidR="00DA2FAE" w:rsidP="009A2C11" w:rsidRDefault="00DA2FAE" w14:paraId="2311E340" w14:textId="77777777">
      <w:pPr>
        <w:pStyle w:val="JuLista"/>
        <w:numPr>
          <w:ilvl w:val="1"/>
          <w:numId w:val="2"/>
        </w:numPr>
      </w:pPr>
      <w:r w:rsidRPr="009A2C11">
        <w:t>that the respondent State is to pay the applicant, within three months, EUR 2,700 (two thousand seven hundred euros) in respect of non‑pecuniary damage, plus any tax that may be chargeable, to be converted into the currency of the respondent State at the rate applicable at the date of settlement;</w:t>
      </w:r>
    </w:p>
    <w:p w:rsidRPr="009A2C11" w:rsidR="00DA2FAE" w:rsidP="009A2C11" w:rsidRDefault="00DA2FAE" w14:paraId="5EF92A8C" w14:textId="2CBAC129">
      <w:pPr>
        <w:pStyle w:val="JuLista"/>
        <w:numPr>
          <w:ilvl w:val="1"/>
          <w:numId w:val="2"/>
        </w:numPr>
      </w:pPr>
      <w:r w:rsidRPr="009A2C11">
        <w:t xml:space="preserve">that from the expiry of the above-mentioned three months until settlement simple interest shall be payable on the above amount at a rate equal to the marginal lending rate of the European Central Bank during the default period plus three percentage </w:t>
      </w:r>
      <w:proofErr w:type="gramStart"/>
      <w:r w:rsidRPr="009A2C11">
        <w:t>points;</w:t>
      </w:r>
      <w:proofErr w:type="gramEnd"/>
    </w:p>
    <w:p w:rsidRPr="009A2C11" w:rsidR="004D0EC7" w:rsidP="009A2C11" w:rsidRDefault="00DA2FAE" w14:paraId="17E223BD" w14:textId="335B1F0E">
      <w:pPr>
        <w:pStyle w:val="JuList"/>
        <w:numPr>
          <w:ilvl w:val="0"/>
          <w:numId w:val="2"/>
        </w:numPr>
      </w:pPr>
      <w:r w:rsidRPr="009A2C11">
        <w:rPr>
          <w:i/>
        </w:rPr>
        <w:t>Dismisses</w:t>
      </w:r>
      <w:r w:rsidRPr="009A2C11">
        <w:t xml:space="preserve"> the remainder of the applicant</w:t>
      </w:r>
      <w:r w:rsidRPr="009A2C11" w:rsidR="009A2C11">
        <w:t>’</w:t>
      </w:r>
      <w:r w:rsidRPr="009A2C11">
        <w:t>s claim for just satisfaction</w:t>
      </w:r>
      <w:r w:rsidRPr="009A2C11" w:rsidR="00E91A3A">
        <w:t>.</w:t>
      </w:r>
    </w:p>
    <w:p w:rsidRPr="009A2C11" w:rsidR="00786F89" w:rsidP="009A2C11" w:rsidRDefault="007E2C8C" w14:paraId="3FD5656E" w14:textId="3EFDB45D">
      <w:pPr>
        <w:pStyle w:val="JuParaLast"/>
      </w:pPr>
      <w:r w:rsidRPr="009A2C11">
        <w:t xml:space="preserve">Done in English, and notified in writing on </w:t>
      </w:r>
      <w:r w:rsidRPr="009A2C11" w:rsidR="00DA2FAE">
        <w:rPr>
          <w:rFonts w:ascii="Times New Roman" w:hAnsi="Times New Roman" w:cs="Times New Roman"/>
        </w:rPr>
        <w:t>3 February 2022</w:t>
      </w:r>
      <w:r w:rsidRPr="009A2C11">
        <w:t>, pursuant to Rule 77 §§ 2 and 3 of the Rules of Court.</w:t>
      </w:r>
    </w:p>
    <w:p w:rsidRPr="009A2C11" w:rsidR="008B092C" w:rsidP="009A2C11" w:rsidRDefault="00281B7C" w14:paraId="65AB668F" w14:textId="3C586E7E">
      <w:pPr>
        <w:pStyle w:val="ECHRPlaceholder"/>
        <w:keepNext/>
        <w:keepLines/>
        <w:rPr>
          <w:szCs w:val="22"/>
        </w:rPr>
      </w:pPr>
      <w:r w:rsidRPr="009A2C11">
        <w:tab/>
      </w:r>
    </w:p>
    <w:p w:rsidRPr="009A2C11" w:rsidR="00182EBA" w:rsidP="009A2C11" w:rsidRDefault="002E7764" w14:paraId="25CF4543" w14:textId="62ED42EE">
      <w:pPr>
        <w:pStyle w:val="JuSigned"/>
        <w:keepNext/>
        <w:keepLines/>
        <w:rPr>
          <w:lang w:val="it-IT"/>
        </w:rPr>
      </w:pPr>
      <w:r w:rsidRPr="009A2C11">
        <w:tab/>
      </w:r>
      <w:r w:rsidRPr="009A2C11" w:rsidR="00DA2FAE">
        <w:rPr>
          <w:lang w:val="it-IT"/>
        </w:rPr>
        <w:t>Liv Tigerstedt</w:t>
      </w:r>
      <w:r w:rsidRPr="009A2C11" w:rsidR="005879A2">
        <w:rPr>
          <w:lang w:val="it-IT"/>
        </w:rPr>
        <w:t xml:space="preserve"> </w:t>
      </w:r>
      <w:r w:rsidRPr="009A2C11" w:rsidR="009F4C8F">
        <w:rPr>
          <w:lang w:val="it-IT"/>
        </w:rPr>
        <w:tab/>
      </w:r>
      <w:r w:rsidRPr="009A2C11" w:rsidR="00DA2FAE">
        <w:rPr>
          <w:lang w:val="it-IT"/>
        </w:rPr>
        <w:t xml:space="preserve">Erik </w:t>
      </w:r>
      <w:proofErr w:type="spellStart"/>
      <w:r w:rsidRPr="009A2C11" w:rsidR="00DA2FAE">
        <w:rPr>
          <w:lang w:val="it-IT"/>
        </w:rPr>
        <w:t>Wennerström</w:t>
      </w:r>
      <w:proofErr w:type="spellEnd"/>
      <w:r w:rsidRPr="009A2C11" w:rsidR="009F4C8F">
        <w:rPr>
          <w:lang w:val="it-IT"/>
        </w:rPr>
        <w:br/>
      </w:r>
      <w:r w:rsidRPr="009A2C11" w:rsidR="009F4C8F">
        <w:rPr>
          <w:lang w:val="it-IT"/>
        </w:rPr>
        <w:tab/>
      </w:r>
      <w:proofErr w:type="spellStart"/>
      <w:r w:rsidRPr="009A2C11" w:rsidR="00DA2FAE">
        <w:rPr>
          <w:lang w:val="it-IT"/>
        </w:rPr>
        <w:t>Deputy</w:t>
      </w:r>
      <w:proofErr w:type="spellEnd"/>
      <w:r w:rsidRPr="009A2C11" w:rsidR="00DA2FAE">
        <w:rPr>
          <w:lang w:val="it-IT"/>
        </w:rPr>
        <w:t xml:space="preserve"> </w:t>
      </w:r>
      <w:r w:rsidRPr="009A2C11" w:rsidR="00DA2FAE">
        <w:rPr>
          <w:iCs/>
          <w:lang w:val="it-IT"/>
        </w:rPr>
        <w:t>Registrar</w:t>
      </w:r>
      <w:r w:rsidRPr="009A2C11" w:rsidR="009F4C8F">
        <w:rPr>
          <w:lang w:val="it-IT"/>
        </w:rPr>
        <w:tab/>
      </w:r>
      <w:proofErr w:type="spellStart"/>
      <w:r w:rsidRPr="009A2C11" w:rsidR="009F4C8F">
        <w:rPr>
          <w:lang w:val="it-IT"/>
        </w:rPr>
        <w:t>President</w:t>
      </w:r>
      <w:proofErr w:type="spellEnd"/>
    </w:p>
    <w:sectPr w:rsidRPr="009A2C11" w:rsidR="00182EBA"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5C356E" w14:textId="77777777" w:rsidR="00DA2FAE" w:rsidRPr="00E67565" w:rsidRDefault="00DA2FAE" w:rsidP="0098410D">
      <w:r w:rsidRPr="00E67565">
        <w:separator/>
      </w:r>
    </w:p>
  </w:endnote>
  <w:endnote w:type="continuationSeparator" w:id="0">
    <w:p w14:paraId="641418CF" w14:textId="77777777" w:rsidR="00DA2FAE" w:rsidRPr="00E67565" w:rsidRDefault="00DA2FAE"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724304" w14:textId="00F446B1" w:rsidR="00DA2FAE" w:rsidRPr="00150BFA" w:rsidRDefault="00DA2FAE" w:rsidP="0020718E">
    <w:pPr>
      <w:jc w:val="center"/>
    </w:pPr>
    <w:r>
      <w:rPr>
        <w:noProof/>
        <w:lang w:val="en-US" w:eastAsia="ja-JP"/>
      </w:rPr>
      <w:drawing>
        <wp:inline distT="0" distB="0" distL="0" distR="0" wp14:anchorId="03B868B4" wp14:editId="549564C1">
          <wp:extent cx="771525" cy="619125"/>
          <wp:effectExtent l="0" t="0" r="9525" b="9525"/>
          <wp:docPr id="34" name="Picture 3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109A97C" w14:textId="02473621" w:rsidR="0098410D" w:rsidRPr="00E67565" w:rsidRDefault="0098410D" w:rsidP="00AF12C5">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AD7BD2" w14:textId="2B3A8BE2" w:rsidR="00DA2FAE" w:rsidRPr="00150BFA" w:rsidRDefault="00DA2FAE" w:rsidP="0020718E">
    <w:pPr>
      <w:jc w:val="center"/>
    </w:pPr>
    <w:r>
      <w:rPr>
        <w:noProof/>
        <w:lang w:val="en-US" w:eastAsia="ja-JP"/>
      </w:rPr>
      <w:drawing>
        <wp:inline distT="0" distB="0" distL="0" distR="0" wp14:anchorId="2FC4A111" wp14:editId="2563CF3C">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6E4A3E4" w14:textId="01120445" w:rsidR="009E7A6F" w:rsidRPr="00E67565" w:rsidRDefault="009E7A6F" w:rsidP="009E7A6F">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AD9F61" w14:textId="07635D19" w:rsidR="00182EBA" w:rsidRDefault="00DA2FAE"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3E29DB" w14:textId="0229ECE1" w:rsidR="00182EBA" w:rsidRPr="000B7195" w:rsidRDefault="00DA2FAE" w:rsidP="007D3701">
    <w:pPr>
      <w:pStyle w:val="JuHeader"/>
    </w:pP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4C66AC" w14:textId="77777777" w:rsidR="00DA2FAE" w:rsidRPr="00E67565" w:rsidRDefault="00DA2FAE" w:rsidP="0098410D">
      <w:r w:rsidRPr="00E67565">
        <w:separator/>
      </w:r>
    </w:p>
  </w:footnote>
  <w:footnote w:type="continuationSeparator" w:id="0">
    <w:p w14:paraId="568878BF" w14:textId="77777777" w:rsidR="00DA2FAE" w:rsidRPr="00E67565" w:rsidRDefault="00DA2FAE" w:rsidP="0098410D">
      <w:r w:rsidRPr="00E67565">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702497" w14:textId="433A7002" w:rsidR="00DA2FAE" w:rsidRPr="00A45145" w:rsidRDefault="00DA2FAE" w:rsidP="00A45145">
    <w:pPr>
      <w:jc w:val="center"/>
    </w:pPr>
    <w:r>
      <w:rPr>
        <w:noProof/>
        <w:lang w:val="en-US" w:eastAsia="ja-JP"/>
      </w:rPr>
      <w:drawing>
        <wp:inline distT="0" distB="0" distL="0" distR="0" wp14:anchorId="3E9076CB" wp14:editId="472A24B5">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729D043" w14:textId="36CF213A" w:rsidR="0098410D" w:rsidRPr="00E67565" w:rsidRDefault="0098410D"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6B7577" w14:textId="084BD9D0" w:rsidR="00DA2FAE" w:rsidRPr="00A45145" w:rsidRDefault="00DA2FAE" w:rsidP="00A45145">
    <w:pPr>
      <w:jc w:val="center"/>
    </w:pPr>
    <w:r>
      <w:rPr>
        <w:noProof/>
        <w:lang w:val="en-US" w:eastAsia="ja-JP"/>
      </w:rPr>
      <w:drawing>
        <wp:inline distT="0" distB="0" distL="0" distR="0" wp14:anchorId="4EE9F981" wp14:editId="01159C70">
          <wp:extent cx="2962275" cy="1219200"/>
          <wp:effectExtent l="0" t="0" r="9525" b="0"/>
          <wp:docPr id="29" name="Picture 2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05A7C7A" w14:textId="351F2E9C" w:rsidR="0098410D" w:rsidRPr="00E67565" w:rsidRDefault="0098410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B43046" w14:textId="7B249C35" w:rsidR="00182EBA" w:rsidRPr="004D0EC7" w:rsidRDefault="00DA2FAE" w:rsidP="004D0EC7">
    <w:pPr>
      <w:pStyle w:val="JuHeader"/>
    </w:pPr>
    <w:r>
      <w:t>RUDNICKI v. POLAND</w:t>
    </w:r>
    <w:r w:rsidR="00182EBA" w:rsidRPr="004D0EC7">
      <w:t xml:space="preserve"> </w:t>
    </w:r>
    <w:r w:rsidR="00182EBA">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4272E8" w14:textId="6E8BA94A" w:rsidR="00182EBA" w:rsidRPr="00882CD5" w:rsidRDefault="00DA2FAE" w:rsidP="007D3701">
    <w:pPr>
      <w:pStyle w:val="JuHeader"/>
    </w:pPr>
    <w:r>
      <w:t>RUDNICKI v. POLAND</w:t>
    </w:r>
    <w:r w:rsidR="00182EBA"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8"/>
  </w:num>
  <w:num w:numId="2">
    <w:abstractNumId w:val="13"/>
    <w:lvlOverride w:ilvl="0">
      <w:lvl w:ilvl="0">
        <w:start w:val="1"/>
        <w:numFmt w:val="decimal"/>
        <w:pStyle w:val="JuList"/>
        <w:lvlText w:val="%1."/>
        <w:lvlJc w:val="left"/>
        <w:pPr>
          <w:tabs>
            <w:tab w:val="num" w:pos="340"/>
          </w:tabs>
          <w:ind w:left="340" w:hanging="340"/>
        </w:pPr>
        <w:rPr>
          <w:rFonts w:hint="default"/>
        </w:rPr>
      </w:lvl>
    </w:lvlOverride>
    <w:lvlOverride w:ilvl="1">
      <w:lvl w:ilvl="1">
        <w:start w:val="1"/>
        <w:numFmt w:val="lowerLetter"/>
        <w:pStyle w:val="JuLista"/>
        <w:lvlText w:val="(%2)"/>
        <w:lvlJc w:val="left"/>
        <w:pPr>
          <w:tabs>
            <w:tab w:val="num" w:pos="680"/>
          </w:tabs>
          <w:ind w:left="680" w:hanging="340"/>
        </w:pPr>
        <w:rPr>
          <w:rFonts w:hint="default"/>
        </w:rPr>
      </w:lvl>
    </w:lvlOverride>
    <w:lvlOverride w:ilvl="2">
      <w:lvl w:ilvl="2">
        <w:start w:val="1"/>
        <w:numFmt w:val="lowerRoman"/>
        <w:pStyle w:val="JuListi"/>
        <w:suff w:val="space"/>
        <w:lvlText w:val="(%3)"/>
        <w:lvlJc w:val="left"/>
        <w:pPr>
          <w:ind w:left="1021" w:hanging="341"/>
        </w:pPr>
        <w:rPr>
          <w:rFonts w:hint="default"/>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12"/>
  </w:num>
  <w:num w:numId="6">
    <w:abstractNumId w:val="11"/>
  </w:num>
  <w:num w:numId="7">
    <w:abstractNumId w:val="15"/>
  </w:num>
  <w:num w:numId="8">
    <w:abstractNumId w:val="13"/>
  </w:num>
  <w:num w:numId="9">
    <w:abstractNumId w:val="16"/>
  </w:num>
  <w:num w:numId="10">
    <w:abstractNumId w:val="15"/>
  </w:num>
  <w:num w:numId="11">
    <w:abstractNumId w:val="16"/>
  </w:num>
  <w:num w:numId="12">
    <w:abstractNumId w:val="10"/>
  </w:num>
  <w:num w:numId="13">
    <w:abstractNumId w:val="9"/>
  </w:num>
  <w:num w:numId="14">
    <w:abstractNumId w:val="17"/>
  </w:num>
  <w:num w:numId="15">
    <w:abstractNumId w:val="7"/>
  </w:num>
  <w:num w:numId="16">
    <w:abstractNumId w:val="6"/>
  </w:num>
  <w:num w:numId="17">
    <w:abstractNumId w:val="5"/>
  </w:num>
  <w:num w:numId="18">
    <w:abstractNumId w:val="4"/>
  </w:num>
  <w:num w:numId="19">
    <w:abstractNumId w:val="8"/>
  </w:num>
  <w:num w:numId="20">
    <w:abstractNumId w:val="3"/>
  </w:num>
  <w:num w:numId="21">
    <w:abstractNumId w:val="2"/>
  </w:num>
  <w:num w:numId="22">
    <w:abstractNumId w:val="1"/>
  </w:num>
  <w:num w:numId="23">
    <w:abstractNumId w:val="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4577"/>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 w:name="Plural" w:val="0"/>
  </w:docVars>
  <w:rsids>
    <w:rsidRoot w:val="00DA2FAE"/>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259F"/>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3B0F"/>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18B0"/>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5D3A"/>
    <w:rsid w:val="006B1942"/>
    <w:rsid w:val="006C23D4"/>
    <w:rsid w:val="006C7BB0"/>
    <w:rsid w:val="006D3237"/>
    <w:rsid w:val="006E2E37"/>
    <w:rsid w:val="006E3CF1"/>
    <w:rsid w:val="006E68A3"/>
    <w:rsid w:val="006E7E80"/>
    <w:rsid w:val="006F1C2D"/>
    <w:rsid w:val="006F3D6C"/>
    <w:rsid w:val="006F48CA"/>
    <w:rsid w:val="006F64DD"/>
    <w:rsid w:val="006F712D"/>
    <w:rsid w:val="006F7F4F"/>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86F89"/>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781"/>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5CA4"/>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2C11"/>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049D1"/>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09E"/>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5BFB"/>
    <w:rsid w:val="00D66471"/>
    <w:rsid w:val="00D70641"/>
    <w:rsid w:val="00D74888"/>
    <w:rsid w:val="00D7488B"/>
    <w:rsid w:val="00D75E28"/>
    <w:rsid w:val="00D772C2"/>
    <w:rsid w:val="00D8008E"/>
    <w:rsid w:val="00D82C45"/>
    <w:rsid w:val="00D908A8"/>
    <w:rsid w:val="00D977B6"/>
    <w:rsid w:val="00DA1223"/>
    <w:rsid w:val="00DA2FAE"/>
    <w:rsid w:val="00DA4A31"/>
    <w:rsid w:val="00DA7B04"/>
    <w:rsid w:val="00DB36C2"/>
    <w:rsid w:val="00DC169B"/>
    <w:rsid w:val="00DC2AB9"/>
    <w:rsid w:val="00DC63F0"/>
    <w:rsid w:val="00DD37EA"/>
    <w:rsid w:val="00DD6EE5"/>
    <w:rsid w:val="00DE386C"/>
    <w:rsid w:val="00DE4D35"/>
    <w:rsid w:val="00DE6494"/>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5EE5"/>
    <w:rsid w:val="00E57162"/>
    <w:rsid w:val="00E63EC7"/>
    <w:rsid w:val="00E64915"/>
    <w:rsid w:val="00E64D3A"/>
    <w:rsid w:val="00E661D4"/>
    <w:rsid w:val="00E67565"/>
    <w:rsid w:val="00E70091"/>
    <w:rsid w:val="00E70D2E"/>
    <w:rsid w:val="00E720F5"/>
    <w:rsid w:val="00E76D47"/>
    <w:rsid w:val="00E827BC"/>
    <w:rsid w:val="00E849F7"/>
    <w:rsid w:val="00E90302"/>
    <w:rsid w:val="00E91A3A"/>
    <w:rsid w:val="00E91D05"/>
    <w:rsid w:val="00E9262D"/>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B14"/>
    <w:rsid w:val="00F7349B"/>
    <w:rsid w:val="00F8765F"/>
    <w:rsid w:val="00F90767"/>
    <w:rsid w:val="00F9263C"/>
    <w:rsid w:val="00FA1637"/>
    <w:rsid w:val="00FA685B"/>
    <w:rsid w:val="00FB0C01"/>
    <w:rsid w:val="00FB5934"/>
    <w:rsid w:val="00FC18F2"/>
    <w:rsid w:val="00FC1B19"/>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577"/>
    <o:shapelayout v:ext="edit">
      <o:idmap v:ext="edit" data="1"/>
    </o:shapelayout>
  </w:shapeDefaults>
  <w:decimalSymbol w:val=","/>
  <w:listSeparator w:val=";"/>
  <w14:docId w14:val="655D5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8F5CA4"/>
    <w:rPr>
      <w:sz w:val="24"/>
      <w:szCs w:val="24"/>
      <w:lang w:val="en-GB"/>
    </w:rPr>
  </w:style>
  <w:style w:type="paragraph" w:styleId="Heading1">
    <w:name w:val="heading 1"/>
    <w:basedOn w:val="Normal"/>
    <w:next w:val="Normal"/>
    <w:link w:val="Heading1Char"/>
    <w:uiPriority w:val="98"/>
    <w:semiHidden/>
    <w:rsid w:val="008F5CA4"/>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8F5CA4"/>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8F5CA4"/>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8F5CA4"/>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8F5CA4"/>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8F5CA4"/>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8F5CA4"/>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8F5CA4"/>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8F5CA4"/>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8F5CA4"/>
    <w:rPr>
      <w:rFonts w:ascii="Tahoma" w:hAnsi="Tahoma" w:cs="Tahoma"/>
      <w:sz w:val="16"/>
      <w:szCs w:val="16"/>
    </w:rPr>
  </w:style>
  <w:style w:type="character" w:customStyle="1" w:styleId="BalloonTextChar">
    <w:name w:val="Balloon Text Char"/>
    <w:basedOn w:val="DefaultParagraphFont"/>
    <w:link w:val="BalloonText"/>
    <w:uiPriority w:val="98"/>
    <w:semiHidden/>
    <w:rsid w:val="008F5CA4"/>
    <w:rPr>
      <w:rFonts w:ascii="Tahoma" w:hAnsi="Tahoma" w:cs="Tahoma"/>
      <w:sz w:val="16"/>
      <w:szCs w:val="16"/>
      <w:lang w:val="en-GB"/>
    </w:rPr>
  </w:style>
  <w:style w:type="character" w:styleId="BookTitle">
    <w:name w:val="Book Title"/>
    <w:uiPriority w:val="98"/>
    <w:semiHidden/>
    <w:qFormat/>
    <w:rsid w:val="008F5CA4"/>
    <w:rPr>
      <w:i/>
      <w:iCs/>
      <w:smallCaps/>
      <w:spacing w:val="5"/>
    </w:rPr>
  </w:style>
  <w:style w:type="paragraph" w:customStyle="1" w:styleId="JuHeader">
    <w:name w:val="Ju_Header"/>
    <w:aliases w:val="_Header"/>
    <w:basedOn w:val="Header"/>
    <w:uiPriority w:val="29"/>
    <w:qFormat/>
    <w:rsid w:val="008F5CA4"/>
    <w:pPr>
      <w:tabs>
        <w:tab w:val="clear" w:pos="4536"/>
        <w:tab w:val="clear" w:pos="9072"/>
      </w:tabs>
      <w:jc w:val="center"/>
    </w:pPr>
    <w:rPr>
      <w:sz w:val="18"/>
    </w:rPr>
  </w:style>
  <w:style w:type="paragraph" w:customStyle="1" w:styleId="NormalJustified">
    <w:name w:val="Normal_Justified"/>
    <w:basedOn w:val="Normal"/>
    <w:semiHidden/>
    <w:rsid w:val="008F5CA4"/>
    <w:pPr>
      <w:jc w:val="both"/>
    </w:pPr>
  </w:style>
  <w:style w:type="character" w:styleId="Strong">
    <w:name w:val="Strong"/>
    <w:uiPriority w:val="98"/>
    <w:semiHidden/>
    <w:qFormat/>
    <w:rsid w:val="008F5CA4"/>
    <w:rPr>
      <w:b/>
      <w:bCs/>
    </w:rPr>
  </w:style>
  <w:style w:type="paragraph" w:styleId="NoSpacing">
    <w:name w:val="No Spacing"/>
    <w:basedOn w:val="Normal"/>
    <w:link w:val="NoSpacingChar"/>
    <w:uiPriority w:val="98"/>
    <w:semiHidden/>
    <w:qFormat/>
    <w:rsid w:val="008F5CA4"/>
  </w:style>
  <w:style w:type="character" w:customStyle="1" w:styleId="NoSpacingChar">
    <w:name w:val="No Spacing Char"/>
    <w:basedOn w:val="DefaultParagraphFont"/>
    <w:link w:val="NoSpacing"/>
    <w:uiPriority w:val="98"/>
    <w:semiHidden/>
    <w:rsid w:val="008F5CA4"/>
    <w:rPr>
      <w:sz w:val="24"/>
      <w:szCs w:val="24"/>
      <w:lang w:val="en-GB"/>
    </w:rPr>
  </w:style>
  <w:style w:type="paragraph" w:customStyle="1" w:styleId="JuQuot">
    <w:name w:val="Ju_Quot"/>
    <w:aliases w:val="_Quote"/>
    <w:basedOn w:val="NormalJustified"/>
    <w:uiPriority w:val="20"/>
    <w:qFormat/>
    <w:rsid w:val="008F5CA4"/>
    <w:pPr>
      <w:spacing w:before="120" w:after="120"/>
      <w:ind w:left="425" w:firstLine="142"/>
    </w:pPr>
    <w:rPr>
      <w:sz w:val="20"/>
    </w:rPr>
  </w:style>
  <w:style w:type="paragraph" w:customStyle="1" w:styleId="DummyStyle">
    <w:name w:val="Dummy_Style"/>
    <w:aliases w:val="_Dummy"/>
    <w:basedOn w:val="Normal"/>
    <w:semiHidden/>
    <w:qFormat/>
    <w:rsid w:val="008F5CA4"/>
    <w:rPr>
      <w:color w:val="00B050"/>
      <w:sz w:val="22"/>
    </w:rPr>
  </w:style>
  <w:style w:type="paragraph" w:customStyle="1" w:styleId="JuList">
    <w:name w:val="Ju_List"/>
    <w:aliases w:val="_List_1"/>
    <w:basedOn w:val="NormalJustified"/>
    <w:uiPriority w:val="23"/>
    <w:qFormat/>
    <w:rsid w:val="008F5CA4"/>
    <w:pPr>
      <w:numPr>
        <w:numId w:val="13"/>
      </w:numPr>
      <w:spacing w:before="280" w:after="60"/>
    </w:pPr>
  </w:style>
  <w:style w:type="paragraph" w:customStyle="1" w:styleId="JuLista">
    <w:name w:val="Ju_List_a"/>
    <w:aliases w:val="_List_2"/>
    <w:basedOn w:val="NormalJustified"/>
    <w:uiPriority w:val="23"/>
    <w:rsid w:val="008F5CA4"/>
    <w:pPr>
      <w:numPr>
        <w:ilvl w:val="1"/>
        <w:numId w:val="13"/>
      </w:numPr>
    </w:pPr>
  </w:style>
  <w:style w:type="paragraph" w:customStyle="1" w:styleId="JuListi">
    <w:name w:val="Ju_List_i"/>
    <w:aliases w:val="_List_3"/>
    <w:basedOn w:val="NormalJustified"/>
    <w:uiPriority w:val="23"/>
    <w:rsid w:val="008F5CA4"/>
    <w:pPr>
      <w:numPr>
        <w:ilvl w:val="2"/>
        <w:numId w:val="13"/>
      </w:numPr>
    </w:pPr>
  </w:style>
  <w:style w:type="paragraph" w:customStyle="1" w:styleId="JuHArticle">
    <w:name w:val="Ju_H_Article"/>
    <w:aliases w:val="_Title_Quote"/>
    <w:basedOn w:val="Normal"/>
    <w:next w:val="JuQuot"/>
    <w:uiPriority w:val="19"/>
    <w:qFormat/>
    <w:rsid w:val="008F5CA4"/>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8F5CA4"/>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8F5CA4"/>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8F5CA4"/>
    <w:pPr>
      <w:keepNext/>
      <w:keepLines/>
      <w:numPr>
        <w:numId w:val="12"/>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8F5CA4"/>
    <w:pPr>
      <w:numPr>
        <w:numId w:val="7"/>
      </w:numPr>
    </w:pPr>
  </w:style>
  <w:style w:type="paragraph" w:customStyle="1" w:styleId="JuSigned">
    <w:name w:val="Ju_Signed"/>
    <w:aliases w:val="_Signature"/>
    <w:basedOn w:val="Normal"/>
    <w:next w:val="JuPara"/>
    <w:uiPriority w:val="31"/>
    <w:qFormat/>
    <w:rsid w:val="008F5CA4"/>
    <w:pPr>
      <w:tabs>
        <w:tab w:val="center" w:pos="1418"/>
        <w:tab w:val="center" w:pos="5954"/>
      </w:tabs>
      <w:spacing w:before="720"/>
    </w:pPr>
  </w:style>
  <w:style w:type="paragraph" w:styleId="Title">
    <w:name w:val="Title"/>
    <w:basedOn w:val="Normal"/>
    <w:next w:val="Normal"/>
    <w:link w:val="TitleChar"/>
    <w:uiPriority w:val="98"/>
    <w:semiHidden/>
    <w:qFormat/>
    <w:rsid w:val="008F5CA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8F5CA4"/>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8F5CA4"/>
    <w:pPr>
      <w:numPr>
        <w:numId w:val="8"/>
      </w:numPr>
    </w:pPr>
  </w:style>
  <w:style w:type="numbering" w:customStyle="1" w:styleId="ECHRA1StyleNumberedList">
    <w:name w:val="ECHR_A1_Style_Numbered_List"/>
    <w:basedOn w:val="NoList"/>
    <w:rsid w:val="008F5CA4"/>
    <w:pPr>
      <w:numPr>
        <w:numId w:val="9"/>
      </w:numPr>
    </w:pPr>
  </w:style>
  <w:style w:type="table" w:customStyle="1" w:styleId="ECHRTable2019">
    <w:name w:val="ECHR_Table_2019"/>
    <w:basedOn w:val="TableNormal"/>
    <w:uiPriority w:val="99"/>
    <w:rsid w:val="008F5CA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8F5CA4"/>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8F5CA4"/>
    <w:pPr>
      <w:keepNext/>
      <w:keepLines/>
      <w:numPr>
        <w:ilvl w:val="1"/>
        <w:numId w:val="12"/>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8F5CA4"/>
    <w:pPr>
      <w:keepNext/>
      <w:keepLines/>
      <w:numPr>
        <w:ilvl w:val="2"/>
        <w:numId w:val="12"/>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8F5CA4"/>
    <w:pPr>
      <w:keepNext/>
      <w:keepLines/>
      <w:numPr>
        <w:ilvl w:val="3"/>
        <w:numId w:val="12"/>
      </w:numPr>
      <w:spacing w:before="100" w:beforeAutospacing="1" w:after="120"/>
      <w:jc w:val="both"/>
    </w:pPr>
    <w:rPr>
      <w:b w:val="0"/>
      <w:color w:val="auto"/>
      <w:sz w:val="24"/>
    </w:rPr>
  </w:style>
  <w:style w:type="paragraph" w:styleId="Header">
    <w:name w:val="header"/>
    <w:basedOn w:val="Normal"/>
    <w:link w:val="HeaderChar"/>
    <w:uiPriority w:val="98"/>
    <w:semiHidden/>
    <w:rsid w:val="008F5CA4"/>
    <w:pPr>
      <w:tabs>
        <w:tab w:val="center" w:pos="4536"/>
        <w:tab w:val="right" w:pos="9072"/>
      </w:tabs>
    </w:pPr>
  </w:style>
  <w:style w:type="character" w:customStyle="1" w:styleId="HeaderChar">
    <w:name w:val="Header Char"/>
    <w:basedOn w:val="DefaultParagraphFont"/>
    <w:link w:val="Header"/>
    <w:uiPriority w:val="98"/>
    <w:semiHidden/>
    <w:rsid w:val="008F5CA4"/>
    <w:rPr>
      <w:sz w:val="24"/>
      <w:szCs w:val="24"/>
      <w:lang w:val="en-GB"/>
    </w:rPr>
  </w:style>
  <w:style w:type="character" w:customStyle="1" w:styleId="Heading1Char">
    <w:name w:val="Heading 1 Char"/>
    <w:basedOn w:val="DefaultParagraphFont"/>
    <w:link w:val="Heading1"/>
    <w:uiPriority w:val="98"/>
    <w:semiHidden/>
    <w:rsid w:val="008F5CA4"/>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8F5CA4"/>
    <w:pPr>
      <w:keepNext/>
      <w:keepLines/>
      <w:numPr>
        <w:ilvl w:val="4"/>
        <w:numId w:val="12"/>
      </w:numPr>
      <w:spacing w:before="100" w:beforeAutospacing="1" w:after="120"/>
      <w:jc w:val="both"/>
    </w:pPr>
    <w:rPr>
      <w:color w:val="auto"/>
      <w:sz w:val="20"/>
    </w:rPr>
  </w:style>
  <w:style w:type="paragraph" w:customStyle="1" w:styleId="JuHi">
    <w:name w:val="Ju_H_i"/>
    <w:aliases w:val="_Head_6"/>
    <w:basedOn w:val="Heading6"/>
    <w:next w:val="JuPara"/>
    <w:uiPriority w:val="17"/>
    <w:rsid w:val="008F5CA4"/>
    <w:pPr>
      <w:keepNext/>
      <w:keepLines/>
      <w:numPr>
        <w:ilvl w:val="5"/>
        <w:numId w:val="12"/>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8F5CA4"/>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8F5CA4"/>
    <w:pPr>
      <w:keepNext/>
      <w:keepLines/>
      <w:numPr>
        <w:ilvl w:val="6"/>
        <w:numId w:val="12"/>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8F5CA4"/>
    <w:pPr>
      <w:keepNext/>
      <w:keepLines/>
      <w:numPr>
        <w:ilvl w:val="7"/>
        <w:numId w:val="12"/>
      </w:numPr>
      <w:spacing w:before="100" w:beforeAutospacing="1" w:after="120"/>
      <w:jc w:val="both"/>
    </w:pPr>
    <w:rPr>
      <w:i/>
    </w:rPr>
  </w:style>
  <w:style w:type="character" w:customStyle="1" w:styleId="Heading3Char">
    <w:name w:val="Heading 3 Char"/>
    <w:basedOn w:val="DefaultParagraphFont"/>
    <w:link w:val="Heading3"/>
    <w:uiPriority w:val="98"/>
    <w:semiHidden/>
    <w:rsid w:val="008F5CA4"/>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8F5CA4"/>
    <w:pPr>
      <w:keepNext/>
      <w:keepLines/>
      <w:spacing w:before="240" w:after="240"/>
      <w:ind w:firstLine="284"/>
    </w:pPr>
  </w:style>
  <w:style w:type="paragraph" w:customStyle="1" w:styleId="JuJudges">
    <w:name w:val="Ju_Judges"/>
    <w:aliases w:val="_Judges"/>
    <w:basedOn w:val="Normal"/>
    <w:uiPriority w:val="32"/>
    <w:qFormat/>
    <w:rsid w:val="008F5CA4"/>
    <w:pPr>
      <w:tabs>
        <w:tab w:val="left" w:pos="567"/>
        <w:tab w:val="left" w:pos="1134"/>
      </w:tabs>
    </w:pPr>
  </w:style>
  <w:style w:type="character" w:customStyle="1" w:styleId="Heading4Char">
    <w:name w:val="Heading 4 Char"/>
    <w:basedOn w:val="DefaultParagraphFont"/>
    <w:link w:val="Heading4"/>
    <w:uiPriority w:val="98"/>
    <w:semiHidden/>
    <w:rsid w:val="008F5CA4"/>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8F5CA4"/>
    <w:pPr>
      <w:tabs>
        <w:tab w:val="center" w:pos="6407"/>
      </w:tabs>
      <w:spacing w:before="720"/>
      <w:jc w:val="right"/>
    </w:pPr>
  </w:style>
  <w:style w:type="character" w:customStyle="1" w:styleId="Heading5Char">
    <w:name w:val="Heading 5 Char"/>
    <w:basedOn w:val="DefaultParagraphFont"/>
    <w:link w:val="Heading5"/>
    <w:uiPriority w:val="98"/>
    <w:semiHidden/>
    <w:rsid w:val="008F5CA4"/>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8F5CA4"/>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8F5CA4"/>
    <w:rPr>
      <w:caps w:val="0"/>
      <w:smallCaps/>
    </w:rPr>
  </w:style>
  <w:style w:type="character" w:styleId="SubtleEmphasis">
    <w:name w:val="Subtle Emphasis"/>
    <w:uiPriority w:val="98"/>
    <w:semiHidden/>
    <w:qFormat/>
    <w:rsid w:val="008F5CA4"/>
    <w:rPr>
      <w:i/>
      <w:iCs/>
    </w:rPr>
  </w:style>
  <w:style w:type="table" w:customStyle="1" w:styleId="ECHRTable">
    <w:name w:val="ECHR_Table"/>
    <w:basedOn w:val="TableNormal"/>
    <w:rsid w:val="008F5CA4"/>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8F5CA4"/>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8F5CA4"/>
    <w:rPr>
      <w:b/>
      <w:bCs/>
      <w:i/>
      <w:iCs/>
      <w:spacing w:val="10"/>
      <w:bdr w:val="none" w:sz="0" w:space="0" w:color="auto"/>
      <w:shd w:val="clear" w:color="auto" w:fill="auto"/>
    </w:rPr>
  </w:style>
  <w:style w:type="paragraph" w:styleId="Footer0">
    <w:name w:val="footer"/>
    <w:basedOn w:val="Normal"/>
    <w:link w:val="FooterChar"/>
    <w:uiPriority w:val="98"/>
    <w:semiHidden/>
    <w:rsid w:val="008F5CA4"/>
    <w:pPr>
      <w:tabs>
        <w:tab w:val="center" w:pos="3686"/>
        <w:tab w:val="right" w:pos="7371"/>
      </w:tabs>
    </w:pPr>
  </w:style>
  <w:style w:type="character" w:customStyle="1" w:styleId="FooterChar">
    <w:name w:val="Footer Char"/>
    <w:basedOn w:val="DefaultParagraphFont"/>
    <w:link w:val="Footer0"/>
    <w:uiPriority w:val="98"/>
    <w:semiHidden/>
    <w:rsid w:val="008F5CA4"/>
    <w:rPr>
      <w:sz w:val="24"/>
      <w:szCs w:val="24"/>
      <w:lang w:val="en-GB"/>
    </w:rPr>
  </w:style>
  <w:style w:type="character" w:styleId="FootnoteReference">
    <w:name w:val="footnote reference"/>
    <w:basedOn w:val="DefaultParagraphFont"/>
    <w:uiPriority w:val="98"/>
    <w:semiHidden/>
    <w:rsid w:val="008F5CA4"/>
    <w:rPr>
      <w:vertAlign w:val="superscript"/>
    </w:rPr>
  </w:style>
  <w:style w:type="paragraph" w:styleId="FootnoteText">
    <w:name w:val="footnote text"/>
    <w:basedOn w:val="NormalJustified"/>
    <w:link w:val="FootnoteTextChar"/>
    <w:uiPriority w:val="98"/>
    <w:semiHidden/>
    <w:rsid w:val="008F5CA4"/>
    <w:rPr>
      <w:sz w:val="20"/>
      <w:szCs w:val="20"/>
    </w:rPr>
  </w:style>
  <w:style w:type="character" w:customStyle="1" w:styleId="FootnoteTextChar">
    <w:name w:val="Footnote Text Char"/>
    <w:basedOn w:val="DefaultParagraphFont"/>
    <w:link w:val="FootnoteText"/>
    <w:uiPriority w:val="98"/>
    <w:semiHidden/>
    <w:rsid w:val="008F5CA4"/>
    <w:rPr>
      <w:sz w:val="20"/>
      <w:szCs w:val="20"/>
      <w:lang w:val="en-GB"/>
    </w:rPr>
  </w:style>
  <w:style w:type="character" w:customStyle="1" w:styleId="Heading6Char">
    <w:name w:val="Heading 6 Char"/>
    <w:basedOn w:val="DefaultParagraphFont"/>
    <w:link w:val="Heading6"/>
    <w:uiPriority w:val="98"/>
    <w:semiHidden/>
    <w:rsid w:val="008F5CA4"/>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8F5CA4"/>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8F5CA4"/>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8F5CA4"/>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8F5CA4"/>
    <w:rPr>
      <w:color w:val="0072BC" w:themeColor="hyperlink"/>
      <w:u w:val="single"/>
    </w:rPr>
  </w:style>
  <w:style w:type="character" w:styleId="IntenseEmphasis">
    <w:name w:val="Intense Emphasis"/>
    <w:uiPriority w:val="98"/>
    <w:semiHidden/>
    <w:qFormat/>
    <w:rsid w:val="008F5CA4"/>
    <w:rPr>
      <w:b/>
      <w:bCs/>
    </w:rPr>
  </w:style>
  <w:style w:type="paragraph" w:styleId="IntenseQuote">
    <w:name w:val="Intense Quote"/>
    <w:basedOn w:val="Normal"/>
    <w:next w:val="Normal"/>
    <w:link w:val="IntenseQuoteChar"/>
    <w:uiPriority w:val="98"/>
    <w:semiHidden/>
    <w:qFormat/>
    <w:rsid w:val="008F5CA4"/>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8F5CA4"/>
    <w:rPr>
      <w:b/>
      <w:bCs/>
      <w:i/>
      <w:iCs/>
      <w:sz w:val="24"/>
      <w:szCs w:val="24"/>
      <w:lang w:val="en-GB" w:bidi="en-US"/>
    </w:rPr>
  </w:style>
  <w:style w:type="character" w:styleId="IntenseReference">
    <w:name w:val="Intense Reference"/>
    <w:uiPriority w:val="98"/>
    <w:semiHidden/>
    <w:qFormat/>
    <w:rsid w:val="008F5CA4"/>
    <w:rPr>
      <w:smallCaps/>
      <w:spacing w:val="5"/>
      <w:u w:val="single"/>
    </w:rPr>
  </w:style>
  <w:style w:type="paragraph" w:styleId="ListParagraph">
    <w:name w:val="List Paragraph"/>
    <w:basedOn w:val="Normal"/>
    <w:uiPriority w:val="98"/>
    <w:semiHidden/>
    <w:qFormat/>
    <w:rsid w:val="008F5CA4"/>
    <w:pPr>
      <w:ind w:left="720"/>
      <w:contextualSpacing/>
    </w:pPr>
  </w:style>
  <w:style w:type="table" w:customStyle="1" w:styleId="LtrTableAddress">
    <w:name w:val="Ltr_Table_Address"/>
    <w:aliases w:val="ECHR_Ltr_Table_Address"/>
    <w:basedOn w:val="TableNormal"/>
    <w:uiPriority w:val="99"/>
    <w:rsid w:val="008F5CA4"/>
    <w:rPr>
      <w:sz w:val="24"/>
      <w:szCs w:val="24"/>
    </w:rPr>
    <w:tblPr>
      <w:tblInd w:w="5103" w:type="dxa"/>
    </w:tblPr>
  </w:style>
  <w:style w:type="paragraph" w:styleId="Quote">
    <w:name w:val="Quote"/>
    <w:basedOn w:val="Normal"/>
    <w:next w:val="Normal"/>
    <w:link w:val="QuoteChar"/>
    <w:uiPriority w:val="98"/>
    <w:semiHidden/>
    <w:qFormat/>
    <w:rsid w:val="008F5CA4"/>
    <w:pPr>
      <w:spacing w:before="200"/>
      <w:ind w:left="360" w:right="360"/>
    </w:pPr>
    <w:rPr>
      <w:i/>
      <w:iCs/>
      <w:lang w:bidi="en-US"/>
    </w:rPr>
  </w:style>
  <w:style w:type="character" w:customStyle="1" w:styleId="QuoteChar">
    <w:name w:val="Quote Char"/>
    <w:basedOn w:val="DefaultParagraphFont"/>
    <w:link w:val="Quote"/>
    <w:uiPriority w:val="98"/>
    <w:semiHidden/>
    <w:rsid w:val="008F5CA4"/>
    <w:rPr>
      <w:i/>
      <w:iCs/>
      <w:sz w:val="24"/>
      <w:szCs w:val="24"/>
      <w:lang w:val="en-GB" w:bidi="en-US"/>
    </w:rPr>
  </w:style>
  <w:style w:type="character" w:styleId="SubtleReference">
    <w:name w:val="Subtle Reference"/>
    <w:uiPriority w:val="98"/>
    <w:semiHidden/>
    <w:qFormat/>
    <w:rsid w:val="008F5CA4"/>
    <w:rPr>
      <w:smallCaps/>
    </w:rPr>
  </w:style>
  <w:style w:type="table" w:styleId="TableGrid">
    <w:name w:val="Table Grid"/>
    <w:basedOn w:val="TableNormal"/>
    <w:uiPriority w:val="59"/>
    <w:semiHidden/>
    <w:rsid w:val="008F5CA4"/>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8F5CA4"/>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8F5CA4"/>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8F5CA4"/>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8F5CA4"/>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8F5CA4"/>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8F5CA4"/>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8F5CA4"/>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8F5CA4"/>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8F5CA4"/>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F5CA4"/>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8F5CA4"/>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8F5CA4"/>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8F5CA4"/>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8F5CA4"/>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8F5CA4"/>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8F5CA4"/>
    <w:pPr>
      <w:numPr>
        <w:numId w:val="4"/>
      </w:numPr>
    </w:pPr>
  </w:style>
  <w:style w:type="paragraph" w:customStyle="1" w:styleId="JuPara">
    <w:name w:val="Ju_Para"/>
    <w:aliases w:val="_Para"/>
    <w:basedOn w:val="NormalJustified"/>
    <w:link w:val="JuParaChar"/>
    <w:uiPriority w:val="4"/>
    <w:qFormat/>
    <w:rsid w:val="008F5CA4"/>
    <w:pPr>
      <w:ind w:firstLine="284"/>
    </w:pPr>
  </w:style>
  <w:style w:type="numbering" w:styleId="1ai">
    <w:name w:val="Outline List 1"/>
    <w:basedOn w:val="NoList"/>
    <w:uiPriority w:val="99"/>
    <w:semiHidden/>
    <w:unhideWhenUsed/>
    <w:rsid w:val="008F5CA4"/>
    <w:pPr>
      <w:numPr>
        <w:numId w:val="5"/>
      </w:numPr>
    </w:pPr>
  </w:style>
  <w:style w:type="table" w:customStyle="1" w:styleId="ECHRTableSimpleBox">
    <w:name w:val="ECHR_Table_Simple_Box"/>
    <w:basedOn w:val="TableNormal"/>
    <w:uiPriority w:val="99"/>
    <w:rsid w:val="008F5CA4"/>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8F5CA4"/>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8F5CA4"/>
    <w:pPr>
      <w:numPr>
        <w:numId w:val="6"/>
      </w:numPr>
    </w:pPr>
  </w:style>
  <w:style w:type="table" w:customStyle="1" w:styleId="ECHRTableForInternalUse">
    <w:name w:val="ECHR_Table_For_Internal_Use"/>
    <w:basedOn w:val="TableNormal"/>
    <w:uiPriority w:val="99"/>
    <w:rsid w:val="008F5CA4"/>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8F5CA4"/>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8F5CA4"/>
  </w:style>
  <w:style w:type="paragraph" w:styleId="BlockText">
    <w:name w:val="Block Text"/>
    <w:basedOn w:val="Normal"/>
    <w:uiPriority w:val="98"/>
    <w:semiHidden/>
    <w:rsid w:val="008F5CA4"/>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8F5CA4"/>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8F5CA4"/>
    <w:pPr>
      <w:spacing w:after="120"/>
    </w:pPr>
  </w:style>
  <w:style w:type="character" w:customStyle="1" w:styleId="BodyTextChar">
    <w:name w:val="Body Text Char"/>
    <w:basedOn w:val="DefaultParagraphFont"/>
    <w:link w:val="BodyText"/>
    <w:uiPriority w:val="98"/>
    <w:semiHidden/>
    <w:rsid w:val="008F5CA4"/>
    <w:rPr>
      <w:sz w:val="24"/>
      <w:szCs w:val="24"/>
      <w:lang w:val="en-GB"/>
    </w:rPr>
  </w:style>
  <w:style w:type="table" w:customStyle="1" w:styleId="ECHRTableOddBanded">
    <w:name w:val="ECHR_Table_Odd_Banded"/>
    <w:basedOn w:val="TableNormal"/>
    <w:uiPriority w:val="99"/>
    <w:rsid w:val="008F5CA4"/>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8F5CA4"/>
    <w:pPr>
      <w:spacing w:after="120" w:line="480" w:lineRule="auto"/>
    </w:pPr>
  </w:style>
  <w:style w:type="table" w:customStyle="1" w:styleId="ECHRHeaderTableReduced">
    <w:name w:val="ECHR_Header_Table_Reduced"/>
    <w:basedOn w:val="TableNormal"/>
    <w:uiPriority w:val="99"/>
    <w:rsid w:val="008F5CA4"/>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8F5CA4"/>
    <w:pPr>
      <w:ind w:firstLine="284"/>
    </w:pPr>
    <w:rPr>
      <w:b/>
    </w:rPr>
  </w:style>
  <w:style w:type="character" w:styleId="PageNumber">
    <w:name w:val="page number"/>
    <w:uiPriority w:val="98"/>
    <w:semiHidden/>
    <w:rsid w:val="008F5CA4"/>
    <w:rPr>
      <w:sz w:val="18"/>
    </w:rPr>
  </w:style>
  <w:style w:type="paragraph" w:styleId="ListBullet">
    <w:name w:val="List Bullet"/>
    <w:basedOn w:val="Normal"/>
    <w:uiPriority w:val="98"/>
    <w:semiHidden/>
    <w:rsid w:val="008F5CA4"/>
    <w:pPr>
      <w:numPr>
        <w:numId w:val="14"/>
      </w:numPr>
    </w:pPr>
  </w:style>
  <w:style w:type="paragraph" w:styleId="ListBullet3">
    <w:name w:val="List Bullet 3"/>
    <w:basedOn w:val="Normal"/>
    <w:uiPriority w:val="98"/>
    <w:semiHidden/>
    <w:rsid w:val="008F5CA4"/>
    <w:pPr>
      <w:numPr>
        <w:numId w:val="16"/>
      </w:numPr>
      <w:contextualSpacing/>
    </w:pPr>
  </w:style>
  <w:style w:type="character" w:customStyle="1" w:styleId="BodyText2Char">
    <w:name w:val="Body Text 2 Char"/>
    <w:basedOn w:val="DefaultParagraphFont"/>
    <w:link w:val="BodyText2"/>
    <w:uiPriority w:val="98"/>
    <w:semiHidden/>
    <w:rsid w:val="008F5CA4"/>
    <w:rPr>
      <w:sz w:val="24"/>
      <w:szCs w:val="24"/>
      <w:lang w:val="en-GB"/>
    </w:rPr>
  </w:style>
  <w:style w:type="paragraph" w:styleId="BodyText3">
    <w:name w:val="Body Text 3"/>
    <w:basedOn w:val="Normal"/>
    <w:link w:val="BodyText3Char"/>
    <w:uiPriority w:val="98"/>
    <w:semiHidden/>
    <w:rsid w:val="008F5CA4"/>
    <w:pPr>
      <w:spacing w:after="120"/>
    </w:pPr>
    <w:rPr>
      <w:sz w:val="16"/>
      <w:szCs w:val="16"/>
    </w:rPr>
  </w:style>
  <w:style w:type="character" w:customStyle="1" w:styleId="BodyText3Char">
    <w:name w:val="Body Text 3 Char"/>
    <w:basedOn w:val="DefaultParagraphFont"/>
    <w:link w:val="BodyText3"/>
    <w:uiPriority w:val="98"/>
    <w:semiHidden/>
    <w:rsid w:val="008F5CA4"/>
    <w:rPr>
      <w:sz w:val="16"/>
      <w:szCs w:val="16"/>
      <w:lang w:val="en-GB"/>
    </w:rPr>
  </w:style>
  <w:style w:type="paragraph" w:styleId="BodyTextFirstIndent">
    <w:name w:val="Body Text First Indent"/>
    <w:basedOn w:val="BodyText"/>
    <w:link w:val="BodyTextFirstIndentChar"/>
    <w:uiPriority w:val="98"/>
    <w:semiHidden/>
    <w:rsid w:val="008F5CA4"/>
    <w:pPr>
      <w:spacing w:after="0"/>
      <w:ind w:firstLine="360"/>
    </w:pPr>
  </w:style>
  <w:style w:type="character" w:customStyle="1" w:styleId="BodyTextFirstIndentChar">
    <w:name w:val="Body Text First Indent Char"/>
    <w:basedOn w:val="BodyTextChar"/>
    <w:link w:val="BodyTextFirstIndent"/>
    <w:uiPriority w:val="98"/>
    <w:semiHidden/>
    <w:rsid w:val="008F5CA4"/>
    <w:rPr>
      <w:sz w:val="24"/>
      <w:szCs w:val="24"/>
      <w:lang w:val="en-GB"/>
    </w:rPr>
  </w:style>
  <w:style w:type="paragraph" w:styleId="BodyTextIndent">
    <w:name w:val="Body Text Indent"/>
    <w:basedOn w:val="Normal"/>
    <w:link w:val="BodyTextIndentChar"/>
    <w:uiPriority w:val="98"/>
    <w:semiHidden/>
    <w:rsid w:val="008F5CA4"/>
    <w:pPr>
      <w:spacing w:after="120"/>
      <w:ind w:left="283"/>
    </w:pPr>
  </w:style>
  <w:style w:type="character" w:customStyle="1" w:styleId="BodyTextIndentChar">
    <w:name w:val="Body Text Indent Char"/>
    <w:basedOn w:val="DefaultParagraphFont"/>
    <w:link w:val="BodyTextIndent"/>
    <w:uiPriority w:val="98"/>
    <w:semiHidden/>
    <w:rsid w:val="008F5CA4"/>
    <w:rPr>
      <w:sz w:val="24"/>
      <w:szCs w:val="24"/>
      <w:lang w:val="en-GB"/>
    </w:rPr>
  </w:style>
  <w:style w:type="paragraph" w:styleId="BodyTextFirstIndent2">
    <w:name w:val="Body Text First Indent 2"/>
    <w:basedOn w:val="BodyTextIndent"/>
    <w:link w:val="BodyTextFirstIndent2Char"/>
    <w:uiPriority w:val="98"/>
    <w:semiHidden/>
    <w:rsid w:val="008F5CA4"/>
    <w:pPr>
      <w:spacing w:after="0"/>
      <w:ind w:left="360" w:firstLine="360"/>
    </w:pPr>
  </w:style>
  <w:style w:type="character" w:customStyle="1" w:styleId="BodyTextFirstIndent2Char">
    <w:name w:val="Body Text First Indent 2 Char"/>
    <w:basedOn w:val="BodyTextIndentChar"/>
    <w:link w:val="BodyTextFirstIndent2"/>
    <w:uiPriority w:val="98"/>
    <w:semiHidden/>
    <w:rsid w:val="008F5CA4"/>
    <w:rPr>
      <w:sz w:val="24"/>
      <w:szCs w:val="24"/>
      <w:lang w:val="en-GB"/>
    </w:rPr>
  </w:style>
  <w:style w:type="paragraph" w:styleId="BodyTextIndent2">
    <w:name w:val="Body Text Indent 2"/>
    <w:basedOn w:val="Normal"/>
    <w:link w:val="BodyTextIndent2Char"/>
    <w:uiPriority w:val="98"/>
    <w:semiHidden/>
    <w:rsid w:val="008F5CA4"/>
    <w:pPr>
      <w:spacing w:after="120" w:line="480" w:lineRule="auto"/>
      <w:ind w:left="283"/>
    </w:pPr>
  </w:style>
  <w:style w:type="character" w:customStyle="1" w:styleId="BodyTextIndent2Char">
    <w:name w:val="Body Text Indent 2 Char"/>
    <w:basedOn w:val="DefaultParagraphFont"/>
    <w:link w:val="BodyTextIndent2"/>
    <w:uiPriority w:val="98"/>
    <w:semiHidden/>
    <w:rsid w:val="008F5CA4"/>
    <w:rPr>
      <w:sz w:val="24"/>
      <w:szCs w:val="24"/>
      <w:lang w:val="en-GB"/>
    </w:rPr>
  </w:style>
  <w:style w:type="paragraph" w:styleId="BodyTextIndent3">
    <w:name w:val="Body Text Indent 3"/>
    <w:basedOn w:val="Normal"/>
    <w:link w:val="BodyTextIndent3Char"/>
    <w:uiPriority w:val="98"/>
    <w:semiHidden/>
    <w:rsid w:val="008F5CA4"/>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8F5CA4"/>
    <w:rPr>
      <w:sz w:val="16"/>
      <w:szCs w:val="16"/>
      <w:lang w:val="en-GB"/>
    </w:rPr>
  </w:style>
  <w:style w:type="paragraph" w:styleId="Caption">
    <w:name w:val="caption"/>
    <w:basedOn w:val="Normal"/>
    <w:next w:val="Normal"/>
    <w:uiPriority w:val="98"/>
    <w:semiHidden/>
    <w:qFormat/>
    <w:rsid w:val="008F5CA4"/>
    <w:pPr>
      <w:spacing w:after="200"/>
    </w:pPr>
    <w:rPr>
      <w:b/>
      <w:bCs/>
      <w:color w:val="0072BC" w:themeColor="accent1"/>
      <w:sz w:val="18"/>
      <w:szCs w:val="18"/>
    </w:rPr>
  </w:style>
  <w:style w:type="paragraph" w:styleId="Closing">
    <w:name w:val="Closing"/>
    <w:basedOn w:val="Normal"/>
    <w:link w:val="ClosingChar"/>
    <w:uiPriority w:val="98"/>
    <w:semiHidden/>
    <w:rsid w:val="008F5CA4"/>
    <w:pPr>
      <w:ind w:left="4252"/>
    </w:pPr>
  </w:style>
  <w:style w:type="character" w:customStyle="1" w:styleId="ClosingChar">
    <w:name w:val="Closing Char"/>
    <w:basedOn w:val="DefaultParagraphFont"/>
    <w:link w:val="Closing"/>
    <w:uiPriority w:val="98"/>
    <w:semiHidden/>
    <w:rsid w:val="008F5CA4"/>
    <w:rPr>
      <w:sz w:val="24"/>
      <w:szCs w:val="24"/>
      <w:lang w:val="en-GB"/>
    </w:rPr>
  </w:style>
  <w:style w:type="table" w:styleId="ColorfulGrid">
    <w:name w:val="Colorful Grid"/>
    <w:basedOn w:val="TableNormal"/>
    <w:uiPriority w:val="73"/>
    <w:semiHidden/>
    <w:rsid w:val="008F5CA4"/>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8F5CA4"/>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8F5CA4"/>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8F5CA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8F5CA4"/>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8F5CA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8F5CA4"/>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8F5CA4"/>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8F5CA4"/>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8F5CA4"/>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8F5CA4"/>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8F5CA4"/>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8F5CA4"/>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8F5CA4"/>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8F5CA4"/>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8F5CA4"/>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8F5CA4"/>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8F5CA4"/>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8F5CA4"/>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8F5CA4"/>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8F5CA4"/>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8F5CA4"/>
    <w:rPr>
      <w:sz w:val="16"/>
      <w:szCs w:val="16"/>
    </w:rPr>
  </w:style>
  <w:style w:type="paragraph" w:styleId="CommentText">
    <w:name w:val="annotation text"/>
    <w:basedOn w:val="Normal"/>
    <w:link w:val="CommentTextChar"/>
    <w:uiPriority w:val="98"/>
    <w:semiHidden/>
    <w:rsid w:val="008F5CA4"/>
    <w:rPr>
      <w:sz w:val="20"/>
      <w:szCs w:val="20"/>
    </w:rPr>
  </w:style>
  <w:style w:type="character" w:customStyle="1" w:styleId="CommentTextChar">
    <w:name w:val="Comment Text Char"/>
    <w:basedOn w:val="DefaultParagraphFont"/>
    <w:link w:val="CommentText"/>
    <w:uiPriority w:val="98"/>
    <w:semiHidden/>
    <w:rsid w:val="008F5CA4"/>
    <w:rPr>
      <w:sz w:val="20"/>
      <w:szCs w:val="20"/>
      <w:lang w:val="en-GB"/>
    </w:rPr>
  </w:style>
  <w:style w:type="paragraph" w:styleId="CommentSubject">
    <w:name w:val="annotation subject"/>
    <w:basedOn w:val="CommentText"/>
    <w:next w:val="CommentText"/>
    <w:link w:val="CommentSubjectChar"/>
    <w:uiPriority w:val="98"/>
    <w:semiHidden/>
    <w:rsid w:val="008F5CA4"/>
    <w:rPr>
      <w:b/>
      <w:bCs/>
    </w:rPr>
  </w:style>
  <w:style w:type="character" w:customStyle="1" w:styleId="CommentSubjectChar">
    <w:name w:val="Comment Subject Char"/>
    <w:basedOn w:val="CommentTextChar"/>
    <w:link w:val="CommentSubject"/>
    <w:uiPriority w:val="98"/>
    <w:semiHidden/>
    <w:rsid w:val="008F5CA4"/>
    <w:rPr>
      <w:b/>
      <w:bCs/>
      <w:sz w:val="20"/>
      <w:szCs w:val="20"/>
      <w:lang w:val="en-GB"/>
    </w:rPr>
  </w:style>
  <w:style w:type="table" w:styleId="DarkList">
    <w:name w:val="Dark List"/>
    <w:basedOn w:val="TableNormal"/>
    <w:uiPriority w:val="70"/>
    <w:semiHidden/>
    <w:rsid w:val="008F5CA4"/>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8F5CA4"/>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8F5CA4"/>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8F5CA4"/>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8F5CA4"/>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8F5CA4"/>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8F5CA4"/>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8F5CA4"/>
  </w:style>
  <w:style w:type="character" w:customStyle="1" w:styleId="DateChar">
    <w:name w:val="Date Char"/>
    <w:basedOn w:val="DefaultParagraphFont"/>
    <w:link w:val="Date"/>
    <w:uiPriority w:val="98"/>
    <w:semiHidden/>
    <w:rsid w:val="008F5CA4"/>
    <w:rPr>
      <w:sz w:val="24"/>
      <w:szCs w:val="24"/>
      <w:lang w:val="en-GB"/>
    </w:rPr>
  </w:style>
  <w:style w:type="paragraph" w:styleId="DocumentMap">
    <w:name w:val="Document Map"/>
    <w:basedOn w:val="Normal"/>
    <w:link w:val="DocumentMapChar"/>
    <w:uiPriority w:val="98"/>
    <w:semiHidden/>
    <w:rsid w:val="008F5CA4"/>
    <w:rPr>
      <w:rFonts w:ascii="Tahoma" w:hAnsi="Tahoma" w:cs="Tahoma"/>
      <w:sz w:val="16"/>
      <w:szCs w:val="16"/>
    </w:rPr>
  </w:style>
  <w:style w:type="character" w:customStyle="1" w:styleId="DocumentMapChar">
    <w:name w:val="Document Map Char"/>
    <w:basedOn w:val="DefaultParagraphFont"/>
    <w:link w:val="DocumentMap"/>
    <w:uiPriority w:val="98"/>
    <w:semiHidden/>
    <w:rsid w:val="008F5CA4"/>
    <w:rPr>
      <w:rFonts w:ascii="Tahoma" w:hAnsi="Tahoma" w:cs="Tahoma"/>
      <w:sz w:val="16"/>
      <w:szCs w:val="16"/>
      <w:lang w:val="en-GB"/>
    </w:rPr>
  </w:style>
  <w:style w:type="paragraph" w:styleId="E-mailSignature">
    <w:name w:val="E-mail Signature"/>
    <w:basedOn w:val="Normal"/>
    <w:link w:val="E-mailSignatureChar"/>
    <w:uiPriority w:val="98"/>
    <w:semiHidden/>
    <w:rsid w:val="008F5CA4"/>
  </w:style>
  <w:style w:type="character" w:customStyle="1" w:styleId="E-mailSignatureChar">
    <w:name w:val="E-mail Signature Char"/>
    <w:basedOn w:val="DefaultParagraphFont"/>
    <w:link w:val="E-mailSignature"/>
    <w:uiPriority w:val="98"/>
    <w:semiHidden/>
    <w:rsid w:val="008F5CA4"/>
    <w:rPr>
      <w:sz w:val="24"/>
      <w:szCs w:val="24"/>
      <w:lang w:val="en-GB"/>
    </w:rPr>
  </w:style>
  <w:style w:type="character" w:styleId="EndnoteReference">
    <w:name w:val="endnote reference"/>
    <w:basedOn w:val="DefaultParagraphFont"/>
    <w:uiPriority w:val="98"/>
    <w:semiHidden/>
    <w:rsid w:val="008F5CA4"/>
    <w:rPr>
      <w:vertAlign w:val="superscript"/>
    </w:rPr>
  </w:style>
  <w:style w:type="paragraph" w:styleId="EndnoteText">
    <w:name w:val="endnote text"/>
    <w:basedOn w:val="Normal"/>
    <w:link w:val="EndnoteTextChar"/>
    <w:uiPriority w:val="98"/>
    <w:semiHidden/>
    <w:rsid w:val="008F5CA4"/>
    <w:rPr>
      <w:sz w:val="20"/>
      <w:szCs w:val="20"/>
    </w:rPr>
  </w:style>
  <w:style w:type="character" w:customStyle="1" w:styleId="EndnoteTextChar">
    <w:name w:val="Endnote Text Char"/>
    <w:basedOn w:val="DefaultParagraphFont"/>
    <w:link w:val="EndnoteText"/>
    <w:uiPriority w:val="98"/>
    <w:semiHidden/>
    <w:rsid w:val="008F5CA4"/>
    <w:rPr>
      <w:sz w:val="20"/>
      <w:szCs w:val="20"/>
      <w:lang w:val="en-GB"/>
    </w:rPr>
  </w:style>
  <w:style w:type="paragraph" w:styleId="EnvelopeAddress">
    <w:name w:val="envelope address"/>
    <w:basedOn w:val="Normal"/>
    <w:uiPriority w:val="98"/>
    <w:semiHidden/>
    <w:rsid w:val="008F5CA4"/>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8F5CA4"/>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8F5CA4"/>
    <w:rPr>
      <w:color w:val="7030A0" w:themeColor="followedHyperlink"/>
      <w:u w:val="single"/>
    </w:rPr>
  </w:style>
  <w:style w:type="character" w:styleId="HTMLAcronym">
    <w:name w:val="HTML Acronym"/>
    <w:basedOn w:val="DefaultParagraphFont"/>
    <w:uiPriority w:val="98"/>
    <w:semiHidden/>
    <w:rsid w:val="008F5CA4"/>
  </w:style>
  <w:style w:type="paragraph" w:styleId="HTMLAddress">
    <w:name w:val="HTML Address"/>
    <w:basedOn w:val="Normal"/>
    <w:link w:val="HTMLAddressChar"/>
    <w:uiPriority w:val="98"/>
    <w:semiHidden/>
    <w:rsid w:val="008F5CA4"/>
    <w:rPr>
      <w:i/>
      <w:iCs/>
    </w:rPr>
  </w:style>
  <w:style w:type="character" w:customStyle="1" w:styleId="HTMLAddressChar">
    <w:name w:val="HTML Address Char"/>
    <w:basedOn w:val="DefaultParagraphFont"/>
    <w:link w:val="HTMLAddress"/>
    <w:uiPriority w:val="98"/>
    <w:semiHidden/>
    <w:rsid w:val="008F5CA4"/>
    <w:rPr>
      <w:i/>
      <w:iCs/>
      <w:sz w:val="24"/>
      <w:szCs w:val="24"/>
      <w:lang w:val="en-GB"/>
    </w:rPr>
  </w:style>
  <w:style w:type="character" w:styleId="HTMLCite">
    <w:name w:val="HTML Cite"/>
    <w:basedOn w:val="DefaultParagraphFont"/>
    <w:uiPriority w:val="98"/>
    <w:semiHidden/>
    <w:rsid w:val="008F5CA4"/>
    <w:rPr>
      <w:i/>
      <w:iCs/>
    </w:rPr>
  </w:style>
  <w:style w:type="character" w:styleId="HTMLCode">
    <w:name w:val="HTML Code"/>
    <w:basedOn w:val="DefaultParagraphFont"/>
    <w:uiPriority w:val="98"/>
    <w:semiHidden/>
    <w:rsid w:val="008F5CA4"/>
    <w:rPr>
      <w:rFonts w:ascii="Consolas" w:hAnsi="Consolas" w:cs="Consolas"/>
      <w:sz w:val="20"/>
      <w:szCs w:val="20"/>
    </w:rPr>
  </w:style>
  <w:style w:type="character" w:styleId="HTMLDefinition">
    <w:name w:val="HTML Definition"/>
    <w:basedOn w:val="DefaultParagraphFont"/>
    <w:uiPriority w:val="98"/>
    <w:semiHidden/>
    <w:rsid w:val="008F5CA4"/>
    <w:rPr>
      <w:i/>
      <w:iCs/>
    </w:rPr>
  </w:style>
  <w:style w:type="character" w:styleId="HTMLKeyboard">
    <w:name w:val="HTML Keyboard"/>
    <w:basedOn w:val="DefaultParagraphFont"/>
    <w:uiPriority w:val="98"/>
    <w:semiHidden/>
    <w:rsid w:val="008F5CA4"/>
    <w:rPr>
      <w:rFonts w:ascii="Consolas" w:hAnsi="Consolas" w:cs="Consolas"/>
      <w:sz w:val="20"/>
      <w:szCs w:val="20"/>
    </w:rPr>
  </w:style>
  <w:style w:type="paragraph" w:styleId="HTMLPreformatted">
    <w:name w:val="HTML Preformatted"/>
    <w:basedOn w:val="Normal"/>
    <w:link w:val="HTMLPreformattedChar"/>
    <w:uiPriority w:val="98"/>
    <w:semiHidden/>
    <w:rsid w:val="008F5CA4"/>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8F5CA4"/>
    <w:rPr>
      <w:rFonts w:ascii="Consolas" w:hAnsi="Consolas" w:cs="Consolas"/>
      <w:sz w:val="20"/>
      <w:szCs w:val="20"/>
      <w:lang w:val="en-GB"/>
    </w:rPr>
  </w:style>
  <w:style w:type="character" w:styleId="HTMLSample">
    <w:name w:val="HTML Sample"/>
    <w:basedOn w:val="DefaultParagraphFont"/>
    <w:uiPriority w:val="98"/>
    <w:semiHidden/>
    <w:rsid w:val="008F5CA4"/>
    <w:rPr>
      <w:rFonts w:ascii="Consolas" w:hAnsi="Consolas" w:cs="Consolas"/>
      <w:sz w:val="24"/>
      <w:szCs w:val="24"/>
    </w:rPr>
  </w:style>
  <w:style w:type="character" w:styleId="HTMLTypewriter">
    <w:name w:val="HTML Typewriter"/>
    <w:basedOn w:val="DefaultParagraphFont"/>
    <w:uiPriority w:val="98"/>
    <w:semiHidden/>
    <w:rsid w:val="008F5CA4"/>
    <w:rPr>
      <w:rFonts w:ascii="Consolas" w:hAnsi="Consolas" w:cs="Consolas"/>
      <w:sz w:val="20"/>
      <w:szCs w:val="20"/>
    </w:rPr>
  </w:style>
  <w:style w:type="character" w:styleId="HTMLVariable">
    <w:name w:val="HTML Variable"/>
    <w:basedOn w:val="DefaultParagraphFont"/>
    <w:uiPriority w:val="98"/>
    <w:semiHidden/>
    <w:rsid w:val="008F5CA4"/>
    <w:rPr>
      <w:i/>
      <w:iCs/>
    </w:rPr>
  </w:style>
  <w:style w:type="paragraph" w:styleId="Index1">
    <w:name w:val="index 1"/>
    <w:basedOn w:val="Normal"/>
    <w:next w:val="Normal"/>
    <w:autoRedefine/>
    <w:uiPriority w:val="98"/>
    <w:semiHidden/>
    <w:rsid w:val="008F5CA4"/>
    <w:pPr>
      <w:ind w:left="240" w:hanging="240"/>
    </w:pPr>
  </w:style>
  <w:style w:type="paragraph" w:styleId="Index2">
    <w:name w:val="index 2"/>
    <w:basedOn w:val="Normal"/>
    <w:next w:val="Normal"/>
    <w:autoRedefine/>
    <w:uiPriority w:val="98"/>
    <w:semiHidden/>
    <w:rsid w:val="008F5CA4"/>
    <w:pPr>
      <w:ind w:left="480" w:hanging="240"/>
    </w:pPr>
  </w:style>
  <w:style w:type="paragraph" w:styleId="Index3">
    <w:name w:val="index 3"/>
    <w:basedOn w:val="Normal"/>
    <w:next w:val="Normal"/>
    <w:autoRedefine/>
    <w:uiPriority w:val="98"/>
    <w:semiHidden/>
    <w:rsid w:val="008F5CA4"/>
    <w:pPr>
      <w:ind w:left="720" w:hanging="240"/>
    </w:pPr>
  </w:style>
  <w:style w:type="paragraph" w:styleId="Index4">
    <w:name w:val="index 4"/>
    <w:basedOn w:val="Normal"/>
    <w:next w:val="Normal"/>
    <w:autoRedefine/>
    <w:uiPriority w:val="98"/>
    <w:semiHidden/>
    <w:rsid w:val="008F5CA4"/>
    <w:pPr>
      <w:ind w:left="960" w:hanging="240"/>
    </w:pPr>
  </w:style>
  <w:style w:type="paragraph" w:styleId="Index5">
    <w:name w:val="index 5"/>
    <w:basedOn w:val="Normal"/>
    <w:next w:val="Normal"/>
    <w:autoRedefine/>
    <w:uiPriority w:val="98"/>
    <w:semiHidden/>
    <w:rsid w:val="008F5CA4"/>
    <w:pPr>
      <w:ind w:left="1200" w:hanging="240"/>
    </w:pPr>
  </w:style>
  <w:style w:type="paragraph" w:styleId="Index6">
    <w:name w:val="index 6"/>
    <w:basedOn w:val="Normal"/>
    <w:next w:val="Normal"/>
    <w:autoRedefine/>
    <w:uiPriority w:val="98"/>
    <w:semiHidden/>
    <w:rsid w:val="008F5CA4"/>
    <w:pPr>
      <w:ind w:left="1440" w:hanging="240"/>
    </w:pPr>
  </w:style>
  <w:style w:type="paragraph" w:styleId="Index7">
    <w:name w:val="index 7"/>
    <w:basedOn w:val="Normal"/>
    <w:next w:val="Normal"/>
    <w:autoRedefine/>
    <w:uiPriority w:val="98"/>
    <w:semiHidden/>
    <w:rsid w:val="008F5CA4"/>
    <w:pPr>
      <w:ind w:left="1680" w:hanging="240"/>
    </w:pPr>
  </w:style>
  <w:style w:type="paragraph" w:styleId="Index8">
    <w:name w:val="index 8"/>
    <w:basedOn w:val="Normal"/>
    <w:next w:val="Normal"/>
    <w:autoRedefine/>
    <w:uiPriority w:val="98"/>
    <w:semiHidden/>
    <w:rsid w:val="008F5CA4"/>
    <w:pPr>
      <w:ind w:left="1920" w:hanging="240"/>
    </w:pPr>
  </w:style>
  <w:style w:type="paragraph" w:styleId="Index9">
    <w:name w:val="index 9"/>
    <w:basedOn w:val="Normal"/>
    <w:next w:val="Normal"/>
    <w:autoRedefine/>
    <w:uiPriority w:val="98"/>
    <w:semiHidden/>
    <w:rsid w:val="008F5CA4"/>
    <w:pPr>
      <w:ind w:left="2160" w:hanging="240"/>
    </w:pPr>
  </w:style>
  <w:style w:type="paragraph" w:styleId="IndexHeading">
    <w:name w:val="index heading"/>
    <w:basedOn w:val="Normal"/>
    <w:next w:val="Index1"/>
    <w:uiPriority w:val="98"/>
    <w:semiHidden/>
    <w:rsid w:val="008F5CA4"/>
    <w:rPr>
      <w:rFonts w:asciiTheme="majorHAnsi" w:eastAsiaTheme="majorEastAsia" w:hAnsiTheme="majorHAnsi" w:cstheme="majorBidi"/>
      <w:b/>
      <w:bCs/>
    </w:rPr>
  </w:style>
  <w:style w:type="table" w:styleId="LightGrid">
    <w:name w:val="Light Grid"/>
    <w:basedOn w:val="TableNormal"/>
    <w:uiPriority w:val="62"/>
    <w:semiHidden/>
    <w:rsid w:val="008F5CA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8F5CA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8F5CA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8F5CA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8F5CA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8F5CA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8F5CA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8F5CA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8F5CA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8F5CA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8F5CA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8F5CA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8F5CA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8F5CA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8F5CA4"/>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8F5CA4"/>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8F5CA4"/>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8F5CA4"/>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8F5CA4"/>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8F5CA4"/>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8F5CA4"/>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8F5CA4"/>
  </w:style>
  <w:style w:type="paragraph" w:styleId="List">
    <w:name w:val="List"/>
    <w:basedOn w:val="Normal"/>
    <w:uiPriority w:val="98"/>
    <w:semiHidden/>
    <w:rsid w:val="008F5CA4"/>
    <w:pPr>
      <w:ind w:left="283" w:hanging="283"/>
      <w:contextualSpacing/>
    </w:pPr>
  </w:style>
  <w:style w:type="paragraph" w:styleId="List2">
    <w:name w:val="List 2"/>
    <w:basedOn w:val="Normal"/>
    <w:uiPriority w:val="98"/>
    <w:semiHidden/>
    <w:rsid w:val="008F5CA4"/>
    <w:pPr>
      <w:ind w:left="566" w:hanging="283"/>
      <w:contextualSpacing/>
    </w:pPr>
  </w:style>
  <w:style w:type="paragraph" w:styleId="List3">
    <w:name w:val="List 3"/>
    <w:basedOn w:val="Normal"/>
    <w:uiPriority w:val="98"/>
    <w:semiHidden/>
    <w:rsid w:val="008F5CA4"/>
    <w:pPr>
      <w:ind w:left="849" w:hanging="283"/>
      <w:contextualSpacing/>
    </w:pPr>
  </w:style>
  <w:style w:type="paragraph" w:styleId="List4">
    <w:name w:val="List 4"/>
    <w:basedOn w:val="Normal"/>
    <w:uiPriority w:val="98"/>
    <w:semiHidden/>
    <w:rsid w:val="008F5CA4"/>
    <w:pPr>
      <w:ind w:left="1132" w:hanging="283"/>
      <w:contextualSpacing/>
    </w:pPr>
  </w:style>
  <w:style w:type="paragraph" w:styleId="List5">
    <w:name w:val="List 5"/>
    <w:basedOn w:val="Normal"/>
    <w:uiPriority w:val="98"/>
    <w:semiHidden/>
    <w:rsid w:val="008F5CA4"/>
    <w:pPr>
      <w:ind w:left="1415" w:hanging="283"/>
      <w:contextualSpacing/>
    </w:pPr>
  </w:style>
  <w:style w:type="paragraph" w:styleId="ListBullet2">
    <w:name w:val="List Bullet 2"/>
    <w:basedOn w:val="Normal"/>
    <w:uiPriority w:val="98"/>
    <w:semiHidden/>
    <w:rsid w:val="008F5CA4"/>
    <w:pPr>
      <w:numPr>
        <w:numId w:val="15"/>
      </w:numPr>
      <w:contextualSpacing/>
    </w:pPr>
  </w:style>
  <w:style w:type="paragraph" w:styleId="ListBullet4">
    <w:name w:val="List Bullet 4"/>
    <w:basedOn w:val="Normal"/>
    <w:uiPriority w:val="98"/>
    <w:semiHidden/>
    <w:rsid w:val="008F5CA4"/>
    <w:pPr>
      <w:numPr>
        <w:numId w:val="17"/>
      </w:numPr>
      <w:contextualSpacing/>
    </w:pPr>
  </w:style>
  <w:style w:type="paragraph" w:styleId="ListBullet5">
    <w:name w:val="List Bullet 5"/>
    <w:basedOn w:val="Normal"/>
    <w:uiPriority w:val="98"/>
    <w:semiHidden/>
    <w:rsid w:val="008F5CA4"/>
    <w:pPr>
      <w:numPr>
        <w:numId w:val="18"/>
      </w:numPr>
      <w:contextualSpacing/>
    </w:pPr>
  </w:style>
  <w:style w:type="paragraph" w:styleId="ListContinue">
    <w:name w:val="List Continue"/>
    <w:basedOn w:val="Normal"/>
    <w:uiPriority w:val="98"/>
    <w:semiHidden/>
    <w:rsid w:val="008F5CA4"/>
    <w:pPr>
      <w:spacing w:after="120"/>
      <w:ind w:left="283"/>
      <w:contextualSpacing/>
    </w:pPr>
  </w:style>
  <w:style w:type="paragraph" w:styleId="ListContinue2">
    <w:name w:val="List Continue 2"/>
    <w:basedOn w:val="Normal"/>
    <w:uiPriority w:val="98"/>
    <w:semiHidden/>
    <w:rsid w:val="008F5CA4"/>
    <w:pPr>
      <w:spacing w:after="120"/>
      <w:ind w:left="566"/>
      <w:contextualSpacing/>
    </w:pPr>
  </w:style>
  <w:style w:type="paragraph" w:styleId="ListContinue3">
    <w:name w:val="List Continue 3"/>
    <w:basedOn w:val="Normal"/>
    <w:uiPriority w:val="98"/>
    <w:semiHidden/>
    <w:rsid w:val="008F5CA4"/>
    <w:pPr>
      <w:spacing w:after="120"/>
      <w:ind w:left="849"/>
      <w:contextualSpacing/>
    </w:pPr>
  </w:style>
  <w:style w:type="paragraph" w:styleId="ListContinue4">
    <w:name w:val="List Continue 4"/>
    <w:basedOn w:val="Normal"/>
    <w:uiPriority w:val="98"/>
    <w:semiHidden/>
    <w:rsid w:val="008F5CA4"/>
    <w:pPr>
      <w:spacing w:after="120"/>
      <w:ind w:left="1132"/>
      <w:contextualSpacing/>
    </w:pPr>
  </w:style>
  <w:style w:type="paragraph" w:styleId="ListContinue5">
    <w:name w:val="List Continue 5"/>
    <w:basedOn w:val="Normal"/>
    <w:uiPriority w:val="98"/>
    <w:semiHidden/>
    <w:rsid w:val="008F5CA4"/>
    <w:pPr>
      <w:spacing w:after="120"/>
      <w:ind w:left="1415"/>
      <w:contextualSpacing/>
    </w:pPr>
  </w:style>
  <w:style w:type="paragraph" w:styleId="ListNumber">
    <w:name w:val="List Number"/>
    <w:basedOn w:val="Normal"/>
    <w:uiPriority w:val="98"/>
    <w:semiHidden/>
    <w:rsid w:val="008F5CA4"/>
    <w:pPr>
      <w:numPr>
        <w:numId w:val="19"/>
      </w:numPr>
      <w:contextualSpacing/>
    </w:pPr>
  </w:style>
  <w:style w:type="paragraph" w:styleId="ListNumber2">
    <w:name w:val="List Number 2"/>
    <w:basedOn w:val="Normal"/>
    <w:uiPriority w:val="98"/>
    <w:semiHidden/>
    <w:rsid w:val="008F5CA4"/>
    <w:pPr>
      <w:numPr>
        <w:numId w:val="20"/>
      </w:numPr>
      <w:contextualSpacing/>
    </w:pPr>
  </w:style>
  <w:style w:type="paragraph" w:styleId="ListNumber3">
    <w:name w:val="List Number 3"/>
    <w:basedOn w:val="Normal"/>
    <w:uiPriority w:val="98"/>
    <w:semiHidden/>
    <w:rsid w:val="008F5CA4"/>
    <w:pPr>
      <w:numPr>
        <w:numId w:val="21"/>
      </w:numPr>
      <w:contextualSpacing/>
    </w:pPr>
  </w:style>
  <w:style w:type="paragraph" w:styleId="ListNumber4">
    <w:name w:val="List Number 4"/>
    <w:basedOn w:val="Normal"/>
    <w:uiPriority w:val="98"/>
    <w:semiHidden/>
    <w:rsid w:val="008F5CA4"/>
    <w:pPr>
      <w:numPr>
        <w:numId w:val="22"/>
      </w:numPr>
      <w:contextualSpacing/>
    </w:pPr>
  </w:style>
  <w:style w:type="paragraph" w:styleId="ListNumber5">
    <w:name w:val="List Number 5"/>
    <w:basedOn w:val="Normal"/>
    <w:uiPriority w:val="98"/>
    <w:semiHidden/>
    <w:rsid w:val="008F5CA4"/>
    <w:pPr>
      <w:numPr>
        <w:numId w:val="23"/>
      </w:numPr>
      <w:contextualSpacing/>
    </w:pPr>
  </w:style>
  <w:style w:type="paragraph" w:styleId="MacroText">
    <w:name w:val="macro"/>
    <w:link w:val="MacroTextChar"/>
    <w:uiPriority w:val="98"/>
    <w:semiHidden/>
    <w:rsid w:val="008F5CA4"/>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8F5CA4"/>
    <w:rPr>
      <w:rFonts w:ascii="Consolas" w:eastAsiaTheme="minorEastAsia" w:hAnsi="Consolas" w:cs="Consolas"/>
      <w:sz w:val="20"/>
      <w:szCs w:val="20"/>
    </w:rPr>
  </w:style>
  <w:style w:type="table" w:styleId="MediumGrid1">
    <w:name w:val="Medium Grid 1"/>
    <w:basedOn w:val="TableNormal"/>
    <w:uiPriority w:val="67"/>
    <w:semiHidden/>
    <w:rsid w:val="008F5CA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8F5CA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8F5CA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8F5CA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8F5CA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8F5CA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8F5CA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8F5CA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8F5CA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8F5CA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8F5CA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8F5CA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8F5CA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8F5CA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8F5CA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8F5CA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8F5CA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8F5CA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8F5CA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8F5CA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8F5CA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8F5CA4"/>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8F5CA4"/>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8F5CA4"/>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8F5CA4"/>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8F5CA4"/>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8F5CA4"/>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8F5CA4"/>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8F5CA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8F5CA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8F5CA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8F5CA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8F5CA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8F5CA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8F5CA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8F5CA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8F5CA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8F5CA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8F5CA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8F5CA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8F5CA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8F5CA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8F5CA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8F5CA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8F5CA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8F5CA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8F5CA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8F5CA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8F5CA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8F5CA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8F5CA4"/>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8F5CA4"/>
    <w:rPr>
      <w:rFonts w:ascii="Times New Roman" w:hAnsi="Times New Roman" w:cs="Times New Roman"/>
    </w:rPr>
  </w:style>
  <w:style w:type="paragraph" w:styleId="NormalIndent">
    <w:name w:val="Normal Indent"/>
    <w:basedOn w:val="Normal"/>
    <w:uiPriority w:val="98"/>
    <w:semiHidden/>
    <w:rsid w:val="008F5CA4"/>
    <w:pPr>
      <w:ind w:left="720"/>
    </w:pPr>
  </w:style>
  <w:style w:type="paragraph" w:styleId="NoteHeading">
    <w:name w:val="Note Heading"/>
    <w:basedOn w:val="Normal"/>
    <w:next w:val="Normal"/>
    <w:link w:val="NoteHeadingChar"/>
    <w:uiPriority w:val="98"/>
    <w:semiHidden/>
    <w:rsid w:val="008F5CA4"/>
  </w:style>
  <w:style w:type="character" w:customStyle="1" w:styleId="NoteHeadingChar">
    <w:name w:val="Note Heading Char"/>
    <w:basedOn w:val="DefaultParagraphFont"/>
    <w:link w:val="NoteHeading"/>
    <w:uiPriority w:val="98"/>
    <w:semiHidden/>
    <w:rsid w:val="008F5CA4"/>
    <w:rPr>
      <w:sz w:val="24"/>
      <w:szCs w:val="24"/>
      <w:lang w:val="en-GB"/>
    </w:rPr>
  </w:style>
  <w:style w:type="character" w:styleId="PlaceholderText">
    <w:name w:val="Placeholder Text"/>
    <w:basedOn w:val="DefaultParagraphFont"/>
    <w:uiPriority w:val="98"/>
    <w:semiHidden/>
    <w:rsid w:val="008F5CA4"/>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8F5CA4"/>
    <w:rPr>
      <w:rFonts w:ascii="Consolas" w:hAnsi="Consolas" w:cs="Consolas"/>
      <w:sz w:val="21"/>
      <w:szCs w:val="21"/>
    </w:rPr>
  </w:style>
  <w:style w:type="character" w:customStyle="1" w:styleId="PlainTextChar">
    <w:name w:val="Plain Text Char"/>
    <w:basedOn w:val="DefaultParagraphFont"/>
    <w:link w:val="PlainText"/>
    <w:uiPriority w:val="98"/>
    <w:semiHidden/>
    <w:rsid w:val="008F5CA4"/>
    <w:rPr>
      <w:rFonts w:ascii="Consolas" w:hAnsi="Consolas" w:cs="Consolas"/>
      <w:sz w:val="21"/>
      <w:szCs w:val="21"/>
      <w:lang w:val="en-GB"/>
    </w:rPr>
  </w:style>
  <w:style w:type="paragraph" w:styleId="Salutation">
    <w:name w:val="Salutation"/>
    <w:basedOn w:val="Normal"/>
    <w:next w:val="Normal"/>
    <w:link w:val="SalutationChar"/>
    <w:uiPriority w:val="98"/>
    <w:semiHidden/>
    <w:rsid w:val="008F5CA4"/>
  </w:style>
  <w:style w:type="character" w:customStyle="1" w:styleId="SalutationChar">
    <w:name w:val="Salutation Char"/>
    <w:basedOn w:val="DefaultParagraphFont"/>
    <w:link w:val="Salutation"/>
    <w:uiPriority w:val="98"/>
    <w:semiHidden/>
    <w:rsid w:val="008F5CA4"/>
    <w:rPr>
      <w:sz w:val="24"/>
      <w:szCs w:val="24"/>
      <w:lang w:val="en-GB"/>
    </w:rPr>
  </w:style>
  <w:style w:type="paragraph" w:styleId="Signature">
    <w:name w:val="Signature"/>
    <w:basedOn w:val="Normal"/>
    <w:link w:val="SignatureChar"/>
    <w:uiPriority w:val="98"/>
    <w:semiHidden/>
    <w:rsid w:val="008F5CA4"/>
    <w:pPr>
      <w:ind w:left="4252"/>
    </w:pPr>
  </w:style>
  <w:style w:type="character" w:customStyle="1" w:styleId="SignatureChar">
    <w:name w:val="Signature Char"/>
    <w:basedOn w:val="DefaultParagraphFont"/>
    <w:link w:val="Signature"/>
    <w:uiPriority w:val="98"/>
    <w:semiHidden/>
    <w:rsid w:val="008F5CA4"/>
    <w:rPr>
      <w:sz w:val="24"/>
      <w:szCs w:val="24"/>
      <w:lang w:val="en-GB"/>
    </w:rPr>
  </w:style>
  <w:style w:type="table" w:styleId="Table3Deffects1">
    <w:name w:val="Table 3D effects 1"/>
    <w:basedOn w:val="TableNormal"/>
    <w:uiPriority w:val="99"/>
    <w:semiHidden/>
    <w:unhideWhenUsed/>
    <w:rsid w:val="008F5CA4"/>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8F5CA4"/>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8F5CA4"/>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8F5CA4"/>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8F5CA4"/>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8F5CA4"/>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8F5CA4"/>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8F5CA4"/>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8F5CA4"/>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8F5CA4"/>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8F5CA4"/>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8F5CA4"/>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8F5CA4"/>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8F5CA4"/>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8F5CA4"/>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8F5CA4"/>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8F5CA4"/>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8F5CA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8F5CA4"/>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8F5CA4"/>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8F5CA4"/>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8F5CA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8F5CA4"/>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8F5CA4"/>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8F5CA4"/>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8F5CA4"/>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8F5CA4"/>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8F5CA4"/>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8F5CA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8F5CA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8F5CA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8F5CA4"/>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8F5CA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8F5CA4"/>
    <w:pPr>
      <w:ind w:left="240" w:hanging="240"/>
    </w:pPr>
  </w:style>
  <w:style w:type="paragraph" w:styleId="TableofFigures">
    <w:name w:val="table of figures"/>
    <w:basedOn w:val="Normal"/>
    <w:next w:val="Normal"/>
    <w:uiPriority w:val="98"/>
    <w:semiHidden/>
    <w:rsid w:val="008F5CA4"/>
  </w:style>
  <w:style w:type="table" w:styleId="TableProfessional">
    <w:name w:val="Table Professional"/>
    <w:basedOn w:val="TableNormal"/>
    <w:uiPriority w:val="99"/>
    <w:semiHidden/>
    <w:unhideWhenUsed/>
    <w:rsid w:val="008F5CA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8F5CA4"/>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8F5CA4"/>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8F5CA4"/>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8F5CA4"/>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8F5CA4"/>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8F5CA4"/>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8F5CA4"/>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8F5CA4"/>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8F5CA4"/>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8F5CA4"/>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8F5CA4"/>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8F5CA4"/>
    <w:pPr>
      <w:spacing w:after="100"/>
      <w:ind w:left="1680"/>
    </w:pPr>
  </w:style>
  <w:style w:type="paragraph" w:styleId="TOC9">
    <w:name w:val="toc 9"/>
    <w:basedOn w:val="Normal"/>
    <w:next w:val="Normal"/>
    <w:autoRedefine/>
    <w:uiPriority w:val="98"/>
    <w:semiHidden/>
    <w:rsid w:val="008F5CA4"/>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
    <w:basedOn w:val="Normal"/>
    <w:next w:val="Normal"/>
    <w:uiPriority w:val="30"/>
    <w:semiHidden/>
    <w:rsid w:val="008F5CA4"/>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8F5CA4"/>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8F5CA4"/>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8F5CA4"/>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8F5CA4"/>
    <w:pPr>
      <w:numPr>
        <w:numId w:val="10"/>
      </w:numPr>
      <w:spacing w:before="60" w:after="60"/>
    </w:pPr>
  </w:style>
  <w:style w:type="paragraph" w:customStyle="1" w:styleId="ECHRBullet2">
    <w:name w:val="ECHR_Bullet_2"/>
    <w:aliases w:val="_Bul_2"/>
    <w:basedOn w:val="ECHRBullet1"/>
    <w:uiPriority w:val="23"/>
    <w:semiHidden/>
    <w:rsid w:val="008F5CA4"/>
    <w:pPr>
      <w:numPr>
        <w:ilvl w:val="1"/>
      </w:numPr>
    </w:pPr>
  </w:style>
  <w:style w:type="paragraph" w:customStyle="1" w:styleId="ECHRBullet3">
    <w:name w:val="ECHR_Bullet_3"/>
    <w:aliases w:val="_Bul_3"/>
    <w:basedOn w:val="ECHRBullet2"/>
    <w:uiPriority w:val="23"/>
    <w:semiHidden/>
    <w:rsid w:val="008F5CA4"/>
    <w:pPr>
      <w:numPr>
        <w:ilvl w:val="2"/>
      </w:numPr>
    </w:pPr>
  </w:style>
  <w:style w:type="paragraph" w:customStyle="1" w:styleId="ECHRBullet4">
    <w:name w:val="ECHR_Bullet_4"/>
    <w:aliases w:val="_Bul_4"/>
    <w:basedOn w:val="ECHRBullet3"/>
    <w:uiPriority w:val="23"/>
    <w:semiHidden/>
    <w:rsid w:val="008F5CA4"/>
    <w:pPr>
      <w:numPr>
        <w:ilvl w:val="3"/>
      </w:numPr>
    </w:pPr>
  </w:style>
  <w:style w:type="paragraph" w:customStyle="1" w:styleId="ECHRConfidential">
    <w:name w:val="ECHR_Confidential"/>
    <w:aliases w:val="_Confidential"/>
    <w:basedOn w:val="Normal"/>
    <w:next w:val="Normal"/>
    <w:uiPriority w:val="42"/>
    <w:semiHidden/>
    <w:qFormat/>
    <w:rsid w:val="008F5CA4"/>
    <w:pPr>
      <w:jc w:val="right"/>
    </w:pPr>
    <w:rPr>
      <w:color w:val="C00000"/>
      <w:sz w:val="20"/>
    </w:rPr>
  </w:style>
  <w:style w:type="paragraph" w:customStyle="1" w:styleId="ECHRDecisionBody">
    <w:name w:val="ECHR_Decision_Body"/>
    <w:aliases w:val="_Decision_Body"/>
    <w:basedOn w:val="NormalJustified"/>
    <w:uiPriority w:val="54"/>
    <w:semiHidden/>
    <w:rsid w:val="008F5CA4"/>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8F5CA4"/>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8F5CA4"/>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8F5CA4"/>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8F5CA4"/>
    <w:pPr>
      <w:jc w:val="right"/>
    </w:pPr>
    <w:rPr>
      <w:sz w:val="20"/>
    </w:rPr>
  </w:style>
  <w:style w:type="paragraph" w:customStyle="1" w:styleId="ECHRHeaderRefIt">
    <w:name w:val="ECHR_Header_Ref_It"/>
    <w:aliases w:val="_Ref_Ital"/>
    <w:basedOn w:val="Normal"/>
    <w:next w:val="ECHRHeaderDate"/>
    <w:uiPriority w:val="43"/>
    <w:semiHidden/>
    <w:qFormat/>
    <w:rsid w:val="008F5CA4"/>
    <w:pPr>
      <w:jc w:val="right"/>
    </w:pPr>
    <w:rPr>
      <w:i/>
      <w:sz w:val="20"/>
    </w:rPr>
  </w:style>
  <w:style w:type="paragraph" w:customStyle="1" w:styleId="ECHRHeading9">
    <w:name w:val="ECHR_Heading_9"/>
    <w:aliases w:val="_Head_9"/>
    <w:basedOn w:val="Heading9"/>
    <w:uiPriority w:val="17"/>
    <w:semiHidden/>
    <w:rsid w:val="008F5CA4"/>
    <w:pPr>
      <w:keepNext/>
      <w:keepLines/>
      <w:numPr>
        <w:ilvl w:val="8"/>
        <w:numId w:val="12"/>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8F5CA4"/>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8F5CA4"/>
    <w:pPr>
      <w:numPr>
        <w:numId w:val="11"/>
      </w:numPr>
      <w:spacing w:before="60" w:after="60"/>
    </w:pPr>
  </w:style>
  <w:style w:type="paragraph" w:customStyle="1" w:styleId="ECHRNumberedList2">
    <w:name w:val="ECHR_Numbered_List_2"/>
    <w:aliases w:val="_Num_2"/>
    <w:basedOn w:val="ECHRNumberedList1"/>
    <w:uiPriority w:val="23"/>
    <w:semiHidden/>
    <w:rsid w:val="008F5CA4"/>
    <w:pPr>
      <w:numPr>
        <w:ilvl w:val="1"/>
      </w:numPr>
    </w:pPr>
  </w:style>
  <w:style w:type="paragraph" w:customStyle="1" w:styleId="ECHRNumberedList3">
    <w:name w:val="ECHR_Numbered_List_3"/>
    <w:aliases w:val="_Num_3"/>
    <w:basedOn w:val="ECHRNumberedList2"/>
    <w:uiPriority w:val="23"/>
    <w:semiHidden/>
    <w:rsid w:val="008F5CA4"/>
    <w:pPr>
      <w:numPr>
        <w:ilvl w:val="2"/>
      </w:numPr>
    </w:pPr>
  </w:style>
  <w:style w:type="paragraph" w:customStyle="1" w:styleId="ECHRParaHanging">
    <w:name w:val="ECHR_Para_Hanging"/>
    <w:aliases w:val="_Hanging"/>
    <w:basedOn w:val="NormalJustified"/>
    <w:uiPriority w:val="8"/>
    <w:semiHidden/>
    <w:qFormat/>
    <w:rsid w:val="008F5CA4"/>
    <w:pPr>
      <w:ind w:left="567" w:hanging="567"/>
    </w:pPr>
  </w:style>
  <w:style w:type="paragraph" w:customStyle="1" w:styleId="ECHRParaIndent">
    <w:name w:val="ECHR_Para_Indent"/>
    <w:aliases w:val="_Indent"/>
    <w:basedOn w:val="NormalJustified"/>
    <w:uiPriority w:val="7"/>
    <w:semiHidden/>
    <w:qFormat/>
    <w:rsid w:val="008F5CA4"/>
    <w:pPr>
      <w:spacing w:before="120" w:after="120"/>
      <w:ind w:left="284"/>
    </w:pPr>
  </w:style>
  <w:style w:type="character" w:customStyle="1" w:styleId="ECHRRed">
    <w:name w:val="ECHR_Red"/>
    <w:aliases w:val="_Red"/>
    <w:basedOn w:val="DefaultParagraphFont"/>
    <w:uiPriority w:val="15"/>
    <w:semiHidden/>
    <w:qFormat/>
    <w:rsid w:val="008F5CA4"/>
    <w:rPr>
      <w:color w:val="C00000" w:themeColor="accent2"/>
    </w:rPr>
  </w:style>
  <w:style w:type="paragraph" w:customStyle="1" w:styleId="DecList">
    <w:name w:val="Dec_List"/>
    <w:aliases w:val="_List"/>
    <w:basedOn w:val="JuList"/>
    <w:uiPriority w:val="22"/>
    <w:rsid w:val="008F5CA4"/>
    <w:pPr>
      <w:numPr>
        <w:numId w:val="0"/>
      </w:numPr>
      <w:ind w:left="284"/>
    </w:pPr>
  </w:style>
  <w:style w:type="table" w:customStyle="1" w:styleId="ECHRTable2">
    <w:name w:val="ECHR_Table_2"/>
    <w:basedOn w:val="TableNormal"/>
    <w:uiPriority w:val="99"/>
    <w:rsid w:val="008F5CA4"/>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8F5CA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8F5CA4"/>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8F5CA4"/>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8F5CA4"/>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8F5CA4"/>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8F5CA4"/>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8F5CA4"/>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8F5CA4"/>
    <w:pPr>
      <w:outlineLvl w:val="0"/>
    </w:pPr>
  </w:style>
  <w:style w:type="paragraph" w:customStyle="1" w:styleId="ECHRTitleTOC1">
    <w:name w:val="ECHR_Title_TOC_1"/>
    <w:aliases w:val="_Title_L_TOC"/>
    <w:basedOn w:val="ECHRTitle1"/>
    <w:next w:val="Normal"/>
    <w:uiPriority w:val="27"/>
    <w:semiHidden/>
    <w:qFormat/>
    <w:rsid w:val="008F5CA4"/>
    <w:pPr>
      <w:outlineLvl w:val="0"/>
    </w:pPr>
  </w:style>
  <w:style w:type="paragraph" w:customStyle="1" w:styleId="ECHRPlaceholder">
    <w:name w:val="ECHR_Placeholder"/>
    <w:aliases w:val="_Placeholder"/>
    <w:basedOn w:val="JuSigned"/>
    <w:uiPriority w:val="31"/>
    <w:rsid w:val="008F5CA4"/>
    <w:rPr>
      <w:color w:val="FFFFFF"/>
    </w:rPr>
  </w:style>
  <w:style w:type="paragraph" w:customStyle="1" w:styleId="ECHRSpacer">
    <w:name w:val="ECHR_Spacer"/>
    <w:aliases w:val="_Spacer"/>
    <w:basedOn w:val="Normal"/>
    <w:uiPriority w:val="45"/>
    <w:semiHidden/>
    <w:rsid w:val="008F5CA4"/>
    <w:rPr>
      <w:sz w:val="4"/>
    </w:rPr>
  </w:style>
  <w:style w:type="table" w:customStyle="1" w:styleId="ECHRTableGrey">
    <w:name w:val="ECHR_Table_Grey"/>
    <w:basedOn w:val="TableNormal"/>
    <w:uiPriority w:val="99"/>
    <w:rsid w:val="008F5CA4"/>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8F5CA4"/>
    <w:rPr>
      <w:color w:val="605E5C"/>
      <w:shd w:val="clear" w:color="auto" w:fill="E1DFDD"/>
    </w:rPr>
  </w:style>
  <w:style w:type="character" w:customStyle="1" w:styleId="JuParaChar">
    <w:name w:val="Ju_Para Char"/>
    <w:aliases w:val="_Para Char"/>
    <w:link w:val="JuPara"/>
    <w:uiPriority w:val="4"/>
    <w:rsid w:val="00DA2FAE"/>
    <w:rPr>
      <w:sz w:val="24"/>
      <w:szCs w:val="24"/>
      <w:lang w:val="en-GB"/>
    </w:rPr>
  </w:style>
  <w:style w:type="table" w:styleId="GridTable1Light">
    <w:name w:val="Grid Table 1 Light"/>
    <w:basedOn w:val="TableNormal"/>
    <w:uiPriority w:val="46"/>
    <w:semiHidden/>
    <w:rsid w:val="00FC1B1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FC1B19"/>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FC1B19"/>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FC1B19"/>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FC1B19"/>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FC1B19"/>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FC1B19"/>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FC1B19"/>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FC1B19"/>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FC1B19"/>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FC1B19"/>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FC1B19"/>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FC1B19"/>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FC1B19"/>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FC1B1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FC1B19"/>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FC1B19"/>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FC1B19"/>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FC1B19"/>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FC1B19"/>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FC1B19"/>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FC1B1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FC1B19"/>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FC1B19"/>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FC1B19"/>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FC1B19"/>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FC1B19"/>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FC1B19"/>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FC1B1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FC1B1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FC1B1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FC1B1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FC1B1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FC1B1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FC1B1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FC1B1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FC1B19"/>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FC1B19"/>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FC1B19"/>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FC1B19"/>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FC1B19"/>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FC1B19"/>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FC1B1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FC1B19"/>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FC1B19"/>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FC1B19"/>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FC1B19"/>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FC1B19"/>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FC1B19"/>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FC1B19"/>
    <w:rPr>
      <w:color w:val="2B579A"/>
      <w:shd w:val="clear" w:color="auto" w:fill="E1DFDD"/>
    </w:rPr>
  </w:style>
  <w:style w:type="table" w:styleId="ListTable1Light">
    <w:name w:val="List Table 1 Light"/>
    <w:basedOn w:val="TableNormal"/>
    <w:uiPriority w:val="46"/>
    <w:semiHidden/>
    <w:rsid w:val="00FC1B19"/>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FC1B19"/>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FC1B19"/>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FC1B19"/>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FC1B19"/>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FC1B19"/>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FC1B19"/>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FC1B19"/>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FC1B19"/>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FC1B19"/>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FC1B19"/>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FC1B19"/>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FC1B19"/>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FC1B19"/>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FC1B1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FC1B19"/>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FC1B19"/>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FC1B19"/>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FC1B19"/>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FC1B19"/>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FC1B19"/>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FC1B1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FC1B19"/>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FC1B19"/>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FC1B19"/>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FC1B19"/>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FC1B19"/>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FC1B19"/>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FC1B19"/>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FC1B19"/>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FC1B19"/>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FC1B19"/>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FC1B19"/>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FC1B19"/>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FC1B19"/>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FC1B19"/>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FC1B19"/>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FC1B19"/>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FC1B19"/>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FC1B19"/>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FC1B19"/>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FC1B19"/>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FC1B19"/>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FC1B19"/>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FC1B19"/>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FC1B19"/>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FC1B19"/>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FC1B19"/>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FC1B19"/>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FC1B19"/>
    <w:rPr>
      <w:color w:val="2B579A"/>
      <w:shd w:val="clear" w:color="auto" w:fill="E1DFDD"/>
    </w:rPr>
  </w:style>
  <w:style w:type="table" w:styleId="PlainTable1">
    <w:name w:val="Plain Table 1"/>
    <w:basedOn w:val="TableNormal"/>
    <w:uiPriority w:val="41"/>
    <w:semiHidden/>
    <w:rsid w:val="00FC1B19"/>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FC1B19"/>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FC1B19"/>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FC1B19"/>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FC1B19"/>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FC1B19"/>
    <w:rPr>
      <w:u w:val="dotted"/>
    </w:rPr>
  </w:style>
  <w:style w:type="character" w:customStyle="1" w:styleId="SmartLink">
    <w:name w:val="Smart Link"/>
    <w:basedOn w:val="DefaultParagraphFont"/>
    <w:uiPriority w:val="99"/>
    <w:semiHidden/>
    <w:unhideWhenUsed/>
    <w:rsid w:val="00FC1B19"/>
    <w:rPr>
      <w:color w:val="0000FF"/>
      <w:u w:val="single"/>
      <w:shd w:val="clear" w:color="auto" w:fill="F3F2F1"/>
    </w:rPr>
  </w:style>
  <w:style w:type="table" w:styleId="TableGridLight">
    <w:name w:val="Grid Table Light"/>
    <w:basedOn w:val="TableNormal"/>
    <w:uiPriority w:val="40"/>
    <w:semiHidden/>
    <w:rsid w:val="00FC1B19"/>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3FAE3B-E2BE-433A-8BDA-B645B6B38FA4}">
  <ds:schemaRefs>
    <ds:schemaRef ds:uri="http://schemas.openxmlformats.org/officeDocument/2006/bibliography"/>
  </ds:schemaRefs>
</ds:datastoreItem>
</file>

<file path=customXml/itemProps2.xml><?xml version="1.0" encoding="utf-8"?>
<ds:datastoreItem xmlns:ds="http://schemas.openxmlformats.org/officeDocument/2006/customXml" ds:itemID="{EF9EFFBD-74C2-4F76-9D24-DA5F9D910153}"/>
</file>

<file path=customXml/itemProps3.xml><?xml version="1.0" encoding="utf-8"?>
<ds:datastoreItem xmlns:ds="http://schemas.openxmlformats.org/officeDocument/2006/customXml" ds:itemID="{021D2B20-457F-4728-B22B-83B4875977CF}"/>
</file>

<file path=customXml/itemProps4.xml><?xml version="1.0" encoding="utf-8"?>
<ds:datastoreItem xmlns:ds="http://schemas.openxmlformats.org/officeDocument/2006/customXml" ds:itemID="{B7E87F61-BFCA-4743-901F-F5AE45910C98}"/>
</file>

<file path=docProps/app.xml><?xml version="1.0" encoding="utf-8"?>
<Properties xmlns="http://schemas.openxmlformats.org/officeDocument/2006/extended-properties" xmlns:vt="http://schemas.openxmlformats.org/officeDocument/2006/docPropsVTypes">
  <Template>Normal.dotm</Template>
  <TotalTime>0</TotalTime>
  <Pages>1</Pages>
  <Words>3214</Words>
  <Characters>18325</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21497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2022-02-03T08:50:00Z</dcterms:created>
  <dcterms:modified xsi:type="dcterms:W3CDTF">2022-02-03T08:50:00Z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22647/19</vt:lpwstr>
  </property>
  <property fmtid="{D5CDD505-2E9C-101B-9397-08002B2CF9AE}" pid="4" name="CASEID">
    <vt:lpwstr>1450672</vt:lpwstr>
  </property>
  <property fmtid="{D5CDD505-2E9C-101B-9397-08002B2CF9AE}" pid="5" name="ContentTypeId">
    <vt:lpwstr>0x010100558EB02BDB9E204AB350EDD385B68E10</vt:lpwstr>
  </property>
</Properties>
</file>