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E7416" w:rsidR="0028589D" w:rsidP="00EE7416" w:rsidRDefault="0028589D" w14:paraId="176053A7" w14:textId="77777777">
      <w:pPr>
        <w:pStyle w:val="ECHRDecisionBody"/>
      </w:pPr>
    </w:p>
    <w:p w:rsidRPr="00EE7416" w:rsidR="00B51E2C" w:rsidP="00EE7416" w:rsidRDefault="00FA38BD" w14:paraId="565EF914" w14:textId="77777777">
      <w:pPr>
        <w:pStyle w:val="DecHTitle"/>
        <w:keepNext w:val="0"/>
        <w:keepLines w:val="0"/>
      </w:pPr>
      <w:r w:rsidRPr="00EE7416">
        <w:t>FIRST SECTION</w:t>
      </w:r>
    </w:p>
    <w:p w:rsidRPr="00EE7416" w:rsidR="00B51E2C" w:rsidP="00EE7416" w:rsidRDefault="00B51E2C" w14:paraId="4FBCF77D" w14:textId="77777777">
      <w:pPr>
        <w:pStyle w:val="JuTitle"/>
        <w:keepNext w:val="0"/>
        <w:keepLines w:val="0"/>
      </w:pPr>
      <w:bookmarkStart w:name="To" w:id="0"/>
      <w:r w:rsidRPr="00EE7416">
        <w:t xml:space="preserve">CASE OF </w:t>
      </w:r>
      <w:bookmarkEnd w:id="0"/>
      <w:r w:rsidRPr="00EE7416" w:rsidR="00FA38BD">
        <w:t>WYSZYŃSKI v. POLAND</w:t>
      </w:r>
    </w:p>
    <w:p w:rsidRPr="00EE7416" w:rsidR="00B51E2C" w:rsidP="00EE7416" w:rsidRDefault="00B51E2C" w14:paraId="0F54B72C" w14:textId="77777777">
      <w:pPr>
        <w:pStyle w:val="ECHRCoverTitle4"/>
        <w:keepNext w:val="0"/>
        <w:keepLines w:val="0"/>
      </w:pPr>
      <w:r w:rsidRPr="00EE7416">
        <w:t>(</w:t>
      </w:r>
      <w:r w:rsidRPr="00EE7416" w:rsidR="00FA38BD">
        <w:t>Application no. 66/12</w:t>
      </w:r>
      <w:r w:rsidRPr="00EE7416">
        <w:t>)</w:t>
      </w:r>
    </w:p>
    <w:p w:rsidRPr="00EE7416" w:rsidR="00B51E2C" w:rsidP="00EE7416" w:rsidRDefault="00B51E2C" w14:paraId="4003C496" w14:textId="77777777">
      <w:pPr>
        <w:pStyle w:val="DecHCase"/>
        <w:keepNext w:val="0"/>
        <w:keepLines w:val="0"/>
      </w:pPr>
    </w:p>
    <w:p w:rsidRPr="00EE7416" w:rsidR="00B51E2C" w:rsidP="00EE7416" w:rsidRDefault="00B51E2C" w14:paraId="6B9991C5" w14:textId="77777777">
      <w:pPr>
        <w:pStyle w:val="DecHCase"/>
        <w:keepNext w:val="0"/>
        <w:keepLines w:val="0"/>
      </w:pPr>
    </w:p>
    <w:p w:rsidRPr="00EE7416" w:rsidR="00B51E2C" w:rsidP="00EE7416" w:rsidRDefault="00B51E2C" w14:paraId="7D7A2641" w14:textId="0FC6F0F9">
      <w:pPr>
        <w:pStyle w:val="DecHCase"/>
        <w:keepNext w:val="0"/>
        <w:keepLines w:val="0"/>
      </w:pPr>
    </w:p>
    <w:p w:rsidRPr="00EE7416" w:rsidR="00E0703E" w:rsidP="00EE7416" w:rsidRDefault="00E0703E" w14:paraId="5E1729AB" w14:textId="39A65B37">
      <w:pPr>
        <w:pStyle w:val="DecHCase"/>
        <w:keepNext w:val="0"/>
        <w:keepLines w:val="0"/>
      </w:pPr>
    </w:p>
    <w:p w:rsidRPr="00EE7416" w:rsidR="00EE7416" w:rsidP="00EE7416" w:rsidRDefault="00EE7416" w14:paraId="04972B59" w14:textId="77777777">
      <w:pPr>
        <w:pStyle w:val="DecHCase"/>
        <w:keepNext w:val="0"/>
        <w:keepLines w:val="0"/>
      </w:pPr>
    </w:p>
    <w:p w:rsidRPr="00EE7416" w:rsidR="00E0703E" w:rsidP="00EE7416" w:rsidRDefault="004E6A48" w14:paraId="3E061B81" w14:textId="56CCA9B3">
      <w:pPr>
        <w:pStyle w:val="DecHCase"/>
        <w:keepNext w:val="0"/>
        <w:keepLines w:val="0"/>
      </w:pPr>
      <w:r w:rsidRPr="00EE7416">
        <w:t>JUDGMENT</w:t>
      </w:r>
    </w:p>
    <w:p w:rsidRPr="00EE7416" w:rsidR="00E0703E" w:rsidP="00EE7416" w:rsidRDefault="00EE7416" w14:paraId="562C33CD" w14:textId="4B4581F9">
      <w:pPr>
        <w:pBdr>
          <w:top w:val="single" w:color="auto" w:sz="4" w:space="1"/>
          <w:left w:val="single" w:color="auto" w:sz="4" w:space="4"/>
          <w:bottom w:val="single" w:color="auto" w:sz="4" w:space="1"/>
          <w:right w:val="single" w:color="auto" w:sz="4" w:space="4"/>
        </w:pBdr>
        <w:jc w:val="both"/>
      </w:pPr>
      <w:r w:rsidRPr="00EE7416">
        <w:t>Art 1 P1 • Control of the use of property • Excessive burden on applicant, whose compensation claim for a tenant who occupied his flat without valid legal title was arbitrarily dismissed • Domestic court’s imposition of requirements that were very difficult for applicant to fulfil, essentially depriving him of right to be redressed for damage</w:t>
      </w:r>
    </w:p>
    <w:p w:rsidRPr="00EE7416" w:rsidR="00EE7416" w:rsidP="00EE7416" w:rsidRDefault="00EE7416" w14:paraId="253ECA5E" w14:textId="77777777">
      <w:pPr>
        <w:pStyle w:val="DecHCase"/>
        <w:keepNext w:val="0"/>
        <w:keepLines w:val="0"/>
      </w:pPr>
    </w:p>
    <w:p w:rsidRPr="00EE7416" w:rsidR="00E0703E" w:rsidP="00EE7416" w:rsidRDefault="00E0703E" w14:paraId="78CC3482" w14:textId="47EB3436">
      <w:pPr>
        <w:pStyle w:val="DecHCase"/>
        <w:keepNext w:val="0"/>
        <w:keepLines w:val="0"/>
      </w:pPr>
      <w:r w:rsidRPr="00EE7416">
        <w:t>STRASBOURG</w:t>
      </w:r>
    </w:p>
    <w:p w:rsidRPr="00EE7416" w:rsidR="00E0703E" w:rsidP="00EE7416" w:rsidRDefault="00E0703E" w14:paraId="2D4CA313" w14:textId="1CD137A6">
      <w:pPr>
        <w:pStyle w:val="DecHCase"/>
        <w:keepNext w:val="0"/>
        <w:keepLines w:val="0"/>
      </w:pPr>
      <w:r w:rsidRPr="00EE7416">
        <w:t>24 March 2022</w:t>
      </w:r>
    </w:p>
    <w:p w:rsidRPr="00EE7416" w:rsidR="00E0703E" w:rsidP="00EE7416" w:rsidRDefault="00E0703E" w14:paraId="55825320" w14:textId="77777777">
      <w:pPr>
        <w:jc w:val="center"/>
      </w:pPr>
    </w:p>
    <w:p w:rsidRPr="00EE7416" w:rsidR="00E0703E" w:rsidP="00EE7416" w:rsidRDefault="00E0703E" w14:paraId="45935362" w14:textId="3666975A">
      <w:pPr>
        <w:jc w:val="both"/>
      </w:pPr>
      <w:r w:rsidRPr="00EE7416">
        <w:rPr>
          <w:i/>
          <w:sz w:val="22"/>
        </w:rPr>
        <w:t>This judgment will become final in the circumstances set out in Article 44 § 2 of the Convention. It may be subject to editorial revision.</w:t>
      </w:r>
    </w:p>
    <w:p w:rsidRPr="00EE7416" w:rsidR="0028589D" w:rsidP="00EE7416" w:rsidRDefault="0028589D" w14:paraId="000D3D37" w14:textId="77777777">
      <w:pPr>
        <w:sectPr w:rsidRPr="00EE7416" w:rsidR="0028589D" w:rsidSect="0028589D">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rsidRPr="00EE7416" w:rsidR="00B51E2C" w:rsidP="00EE7416" w:rsidRDefault="00B51E2C" w14:paraId="2C2FEDF5" w14:textId="702EA1F4">
      <w:pPr>
        <w:pStyle w:val="JuCase"/>
        <w:ind w:firstLine="0"/>
        <w:rPr>
          <w:bCs/>
        </w:rPr>
      </w:pPr>
      <w:r w:rsidRPr="00EE7416">
        <w:t xml:space="preserve">In the case of </w:t>
      </w:r>
      <w:r w:rsidRPr="00EE7416" w:rsidR="00FA38BD">
        <w:t>Wyszyński v. Poland</w:t>
      </w:r>
      <w:r w:rsidRPr="00EE7416">
        <w:t>,</w:t>
      </w:r>
    </w:p>
    <w:p w:rsidRPr="00EE7416" w:rsidR="00B51E2C" w:rsidP="00EE7416" w:rsidRDefault="00B51E2C" w14:paraId="45C89C35" w14:textId="77777777">
      <w:pPr>
        <w:pStyle w:val="JuPara"/>
      </w:pPr>
      <w:r w:rsidRPr="00EE7416">
        <w:t>The European Court of Human Rights (</w:t>
      </w:r>
      <w:r w:rsidRPr="00EE7416" w:rsidR="00FA38BD">
        <w:t>First Section</w:t>
      </w:r>
      <w:r w:rsidRPr="00EE7416">
        <w:t xml:space="preserve">), sitting as a </w:t>
      </w:r>
      <w:r w:rsidRPr="00EE7416" w:rsidR="00FA38BD">
        <w:t>Chamber</w:t>
      </w:r>
      <w:r w:rsidRPr="00EE7416">
        <w:t xml:space="preserve"> composed of:</w:t>
      </w:r>
    </w:p>
    <w:p w:rsidRPr="00EE7416" w:rsidR="00B51E2C" w:rsidP="00EE7416" w:rsidRDefault="00E1190E" w14:paraId="3C1D6CAE" w14:textId="1CC84825">
      <w:pPr>
        <w:pStyle w:val="JuJudges"/>
      </w:pPr>
      <w:r w:rsidRPr="00EE7416">
        <w:tab/>
        <w:t>Marko Bošnjak, President,</w:t>
      </w:r>
      <w:r w:rsidRPr="00EE7416">
        <w:br/>
      </w:r>
      <w:r w:rsidRPr="00EE7416">
        <w:tab/>
        <w:t>Péter Paczolay,</w:t>
      </w:r>
      <w:r w:rsidRPr="00EE7416">
        <w:br/>
      </w:r>
      <w:r w:rsidRPr="00EE7416">
        <w:tab/>
        <w:t>Krzysztof Wojtyczek,</w:t>
      </w:r>
      <w:r w:rsidRPr="00EE7416">
        <w:br/>
      </w:r>
      <w:r w:rsidRPr="00EE7416">
        <w:tab/>
        <w:t>Alena Poláčková,</w:t>
      </w:r>
      <w:r w:rsidRPr="00EE7416">
        <w:br/>
      </w:r>
      <w:r w:rsidRPr="00EE7416">
        <w:tab/>
        <w:t>Erik Wennerström,</w:t>
      </w:r>
      <w:r w:rsidRPr="00EE7416">
        <w:br/>
      </w:r>
      <w:r w:rsidRPr="00EE7416">
        <w:tab/>
        <w:t>Raffaele Sabato,</w:t>
      </w:r>
      <w:r w:rsidRPr="00EE7416">
        <w:br/>
      </w:r>
      <w:r w:rsidRPr="00EE7416">
        <w:tab/>
        <w:t>Davor Derenčinović, judges,</w:t>
      </w:r>
      <w:r w:rsidRPr="00EE7416">
        <w:br/>
      </w:r>
      <w:r w:rsidRPr="00EE7416" w:rsidR="00B51E2C">
        <w:t xml:space="preserve">and </w:t>
      </w:r>
      <w:r w:rsidRPr="00EE7416" w:rsidR="00E0703E">
        <w:t>Liv Tigerstedt</w:t>
      </w:r>
      <w:r w:rsidRPr="00EE7416" w:rsidR="00B51E2C">
        <w:t xml:space="preserve">, </w:t>
      </w:r>
      <w:r w:rsidRPr="00EE7416" w:rsidR="00E0703E">
        <w:t>Deputy S</w:t>
      </w:r>
      <w:r w:rsidRPr="00EE7416" w:rsidR="00FA38BD">
        <w:t>ection Registrar</w:t>
      </w:r>
      <w:r w:rsidRPr="00EE7416" w:rsidR="00B51E2C">
        <w:t>,</w:t>
      </w:r>
    </w:p>
    <w:p w:rsidRPr="00EE7416" w:rsidR="00CB7E6A" w:rsidP="00EE7416" w:rsidRDefault="00CB7E6A" w14:paraId="4FDF175E" w14:textId="1CB1F9E5">
      <w:pPr>
        <w:pStyle w:val="JuPara"/>
        <w:rPr>
          <w:sz w:val="14"/>
        </w:rPr>
      </w:pPr>
      <w:r w:rsidRPr="00EE7416">
        <w:t>Having regard to:</w:t>
      </w:r>
    </w:p>
    <w:p w:rsidRPr="00EE7416" w:rsidR="00CB7E6A" w:rsidP="00EE7416" w:rsidRDefault="00CB7E6A" w14:paraId="3C9047EA" w14:textId="57773FEC">
      <w:pPr>
        <w:pStyle w:val="JuPara"/>
      </w:pPr>
      <w:r w:rsidRPr="00EE7416">
        <w:t>the application (no. 66/12) against the Republic of Poland lodged with the Court under Article 34 of the Convention for the Protection of Human Rights and Fundamental Freedoms (“the Convention”) by a Polish national, Mr</w:t>
      </w:r>
      <w:r w:rsidRPr="00EE7416" w:rsidR="008D4F22">
        <w:t> </w:t>
      </w:r>
      <w:r w:rsidRPr="00EE7416">
        <w:t>Antoni Wyszyński (“the applicant”), on 29 December 2011;</w:t>
      </w:r>
    </w:p>
    <w:p w:rsidRPr="00EE7416" w:rsidR="00CB7E6A" w:rsidP="00EE7416" w:rsidRDefault="00CB7E6A" w14:paraId="0623C2E3" w14:textId="77777777">
      <w:pPr>
        <w:pStyle w:val="JuPara"/>
      </w:pPr>
      <w:r w:rsidRPr="00EE7416">
        <w:t xml:space="preserve">the decision to give notice to the Polish Government (“the Government”) of the complaint concerning </w:t>
      </w:r>
      <w:r w:rsidRPr="00EE7416" w:rsidR="00D0138C">
        <w:t>Article 1 of Protocol</w:t>
      </w:r>
      <w:r w:rsidRPr="00EE7416" w:rsidR="00D66AAC">
        <w:t xml:space="preserve"> No.</w:t>
      </w:r>
      <w:r w:rsidRPr="00EE7416" w:rsidR="00D0138C">
        <w:t xml:space="preserve"> 1</w:t>
      </w:r>
      <w:r w:rsidRPr="00EE7416">
        <w:t xml:space="preserve"> and to declare inadmissible the remainder of the application;</w:t>
      </w:r>
    </w:p>
    <w:p w:rsidRPr="00EE7416" w:rsidR="00CB7E6A" w:rsidP="00EE7416" w:rsidRDefault="00CB7E6A" w14:paraId="24F84101" w14:textId="6E9385BD">
      <w:pPr>
        <w:pStyle w:val="JuPara"/>
      </w:pPr>
      <w:r w:rsidRPr="00EE7416">
        <w:rPr>
          <w:rStyle w:val="JuParaChar"/>
        </w:rPr>
        <w:t>the parties</w:t>
      </w:r>
      <w:r w:rsidRPr="00EE7416" w:rsidR="00EE7416">
        <w:rPr>
          <w:rStyle w:val="JuParaChar"/>
        </w:rPr>
        <w:t>’</w:t>
      </w:r>
      <w:r w:rsidRPr="00EE7416">
        <w:rPr>
          <w:rStyle w:val="JuParaChar"/>
        </w:rPr>
        <w:t xml:space="preserve"> observations;</w:t>
      </w:r>
    </w:p>
    <w:p w:rsidRPr="00EE7416" w:rsidR="00BD16F4" w:rsidP="00EE7416" w:rsidRDefault="00CB7E6A" w14:paraId="192EB7BC" w14:textId="580E35EB">
      <w:pPr>
        <w:pStyle w:val="JuPara"/>
      </w:pPr>
      <w:r w:rsidRPr="00EE7416">
        <w:t xml:space="preserve">Having deliberated in private on </w:t>
      </w:r>
      <w:r w:rsidRPr="00EE7416" w:rsidR="00E0703E">
        <w:t>1 March 2022</w:t>
      </w:r>
      <w:r w:rsidRPr="00EE7416">
        <w:t>,</w:t>
      </w:r>
    </w:p>
    <w:p w:rsidRPr="00EE7416" w:rsidR="00CA596D" w:rsidP="00EE7416" w:rsidRDefault="00CB7E6A" w14:paraId="26AAD41F" w14:textId="42ED8524">
      <w:pPr>
        <w:pStyle w:val="JuPara"/>
      </w:pPr>
      <w:r w:rsidRPr="00EE7416">
        <w:t>Delivers the following judgment, which was adopted on that date</w:t>
      </w:r>
      <w:r w:rsidRPr="00EE7416" w:rsidR="00834E2D">
        <w:t>:</w:t>
      </w:r>
    </w:p>
    <w:p w:rsidRPr="00EE7416" w:rsidR="00834E2D" w:rsidP="00EE7416" w:rsidRDefault="00834E2D" w14:paraId="095DC38E" w14:textId="4C015824">
      <w:pPr>
        <w:pStyle w:val="JuHHead"/>
      </w:pPr>
      <w:r w:rsidRPr="00EE7416">
        <w:t>INTRODUCTION</w:t>
      </w:r>
    </w:p>
    <w:p w:rsidRPr="00EE7416" w:rsidR="00834E2D" w:rsidP="00EE7416" w:rsidRDefault="00EE7416" w14:paraId="6A9F3A96" w14:textId="0D19F862">
      <w:pPr>
        <w:pStyle w:val="JuPara"/>
      </w:pPr>
      <w:fldSimple w:instr=" SEQ level0 \*arabic \* MERGEFORMAT ">
        <w:r w:rsidRPr="00EE7416">
          <w:rPr>
            <w:noProof/>
          </w:rPr>
          <w:t>1</w:t>
        </w:r>
      </w:fldSimple>
      <w:bookmarkStart w:name="_Hlk93326384" w:id="1"/>
      <w:r w:rsidRPr="00EE7416" w:rsidR="00834E2D">
        <w:t xml:space="preserve">.  The case concerns the </w:t>
      </w:r>
      <w:r w:rsidRPr="00EE7416" w:rsidR="004A5EC7">
        <w:t>domestic authorities</w:t>
      </w:r>
      <w:r w:rsidRPr="00EE7416">
        <w:t>’</w:t>
      </w:r>
      <w:r w:rsidRPr="00EE7416" w:rsidR="004A5EC7">
        <w:t xml:space="preserve"> refusal to grant the applicant compensation </w:t>
      </w:r>
      <w:r w:rsidRPr="00EE7416" w:rsidR="0065674A">
        <w:t xml:space="preserve">for </w:t>
      </w:r>
      <w:r w:rsidRPr="00EE7416" w:rsidR="004A5EC7">
        <w:t>a tenant who had occupied his flat without a valid legal title, which the applicant claimed amounted to interference with his right to peaceful enjoyment of his possessions under Article 1 of Protocol No. 1 to the Convention.</w:t>
      </w:r>
      <w:bookmarkEnd w:id="1"/>
    </w:p>
    <w:p w:rsidRPr="00EE7416" w:rsidR="00B51E2C" w:rsidP="00EE7416" w:rsidRDefault="00B51E2C" w14:paraId="036FEECB" w14:textId="77777777">
      <w:pPr>
        <w:pStyle w:val="JuHHead"/>
      </w:pPr>
      <w:r w:rsidRPr="00EE7416">
        <w:t>THE FACTS</w:t>
      </w:r>
    </w:p>
    <w:p w:rsidRPr="00EE7416" w:rsidR="00B51E2C" w:rsidP="00EE7416" w:rsidRDefault="00FA38BD" w14:paraId="46259212" w14:textId="4CA20357">
      <w:pPr>
        <w:pStyle w:val="JuPara"/>
      </w:pPr>
      <w:r w:rsidRPr="00EE7416">
        <w:fldChar w:fldCharType="begin"/>
      </w:r>
      <w:r w:rsidRPr="00EE7416">
        <w:instrText xml:space="preserve"> SEQ level0 \*arabic </w:instrText>
      </w:r>
      <w:r w:rsidRPr="00EE7416">
        <w:fldChar w:fldCharType="separate"/>
      </w:r>
      <w:r w:rsidRPr="00EE7416" w:rsidR="00EE7416">
        <w:rPr>
          <w:noProof/>
        </w:rPr>
        <w:t>2</w:t>
      </w:r>
      <w:r w:rsidRPr="00EE7416">
        <w:fldChar w:fldCharType="end"/>
      </w:r>
      <w:r w:rsidRPr="00EE7416" w:rsidR="00B51E2C">
        <w:t xml:space="preserve">.  The </w:t>
      </w:r>
      <w:r w:rsidRPr="00EE7416">
        <w:t>applicant was born in 1946 and lives</w:t>
      </w:r>
      <w:r w:rsidRPr="00EE7416" w:rsidR="00B51E2C">
        <w:t xml:space="preserve"> in </w:t>
      </w:r>
      <w:r w:rsidRPr="00EE7416">
        <w:t>Pozna</w:t>
      </w:r>
      <w:r w:rsidRPr="00EE7416" w:rsidR="00255532">
        <w:t>ń</w:t>
      </w:r>
      <w:r w:rsidRPr="00EE7416" w:rsidR="00B51E2C">
        <w:t>.</w:t>
      </w:r>
      <w:r w:rsidRPr="00EE7416" w:rsidR="00834E2D">
        <w:t xml:space="preserve"> He was represented by Mr A. Zielonacki, a lawyer practising in Poznań.</w:t>
      </w:r>
    </w:p>
    <w:p w:rsidRPr="00EE7416" w:rsidR="00834E2D" w:rsidP="00EE7416" w:rsidRDefault="00EE7416" w14:paraId="3F796CD6" w14:textId="102EDF6D">
      <w:pPr>
        <w:pStyle w:val="JuPara"/>
      </w:pPr>
      <w:fldSimple w:instr=" SEQ level0 \*arabic \* MERGEFORMAT ">
        <w:r w:rsidRPr="00EE7416">
          <w:rPr>
            <w:noProof/>
          </w:rPr>
          <w:t>3</w:t>
        </w:r>
      </w:fldSimple>
      <w:r w:rsidRPr="00EE7416" w:rsidR="00834E2D">
        <w:t>.  The Government were represented by their Agent, Ms</w:t>
      </w:r>
      <w:r w:rsidRPr="00EE7416" w:rsidR="00E1190E">
        <w:t> </w:t>
      </w:r>
      <w:r w:rsidRPr="00EE7416" w:rsidR="00834E2D">
        <w:t>J.</w:t>
      </w:r>
      <w:r w:rsidRPr="00EE7416" w:rsidR="00E1190E">
        <w:t> </w:t>
      </w:r>
      <w:r w:rsidRPr="00EE7416" w:rsidR="00834E2D">
        <w:t>Chrzanowska, and subsequently by Mr J. Sobczak, of the Ministry of Foreign Affairs.</w:t>
      </w:r>
    </w:p>
    <w:p w:rsidRPr="00EE7416" w:rsidR="00B51E2C" w:rsidP="00EE7416" w:rsidRDefault="00B51E2C" w14:paraId="2A619D46" w14:textId="3DEBD67F">
      <w:pPr>
        <w:pStyle w:val="JuPara"/>
      </w:pPr>
      <w:r w:rsidRPr="00EE7416">
        <w:fldChar w:fldCharType="begin"/>
      </w:r>
      <w:r w:rsidRPr="00EE7416">
        <w:instrText xml:space="preserve"> SEQ level0 \*arabic </w:instrText>
      </w:r>
      <w:r w:rsidRPr="00EE7416">
        <w:fldChar w:fldCharType="separate"/>
      </w:r>
      <w:r w:rsidRPr="00EE7416" w:rsidR="00EE7416">
        <w:rPr>
          <w:noProof/>
        </w:rPr>
        <w:t>4</w:t>
      </w:r>
      <w:r w:rsidRPr="00EE7416">
        <w:fldChar w:fldCharType="end"/>
      </w:r>
      <w:r w:rsidRPr="00EE7416">
        <w:t>.  The facts of the case may be summarised as follows.</w:t>
      </w:r>
    </w:p>
    <w:p w:rsidRPr="00EE7416" w:rsidR="00B51E2C" w:rsidP="00EE7416" w:rsidRDefault="00B51E2C" w14:paraId="7DDB4D02" w14:textId="63714C5B">
      <w:pPr>
        <w:pStyle w:val="JuHIRoman"/>
      </w:pPr>
      <w:r w:rsidRPr="00EE7416">
        <w:t>Background to the case</w:t>
      </w:r>
    </w:p>
    <w:p w:rsidRPr="00EE7416" w:rsidR="00B51E2C" w:rsidP="00EE7416" w:rsidRDefault="00D44011" w14:paraId="612649F9" w14:textId="732AC305">
      <w:pPr>
        <w:pStyle w:val="JuPara"/>
      </w:pPr>
      <w:r w:rsidRPr="00EE7416">
        <w:fldChar w:fldCharType="begin"/>
      </w:r>
      <w:r w:rsidRPr="00EE7416">
        <w:instrText xml:space="preserve"> SEQ level0 \*arabic </w:instrText>
      </w:r>
      <w:r w:rsidRPr="00EE7416">
        <w:fldChar w:fldCharType="separate"/>
      </w:r>
      <w:r w:rsidRPr="00EE7416" w:rsidR="00EE7416">
        <w:rPr>
          <w:noProof/>
        </w:rPr>
        <w:t>5</w:t>
      </w:r>
      <w:r w:rsidRPr="00EE7416">
        <w:rPr>
          <w:noProof/>
        </w:rPr>
        <w:fldChar w:fldCharType="end"/>
      </w:r>
      <w:r w:rsidRPr="00EE7416" w:rsidR="00B51E2C">
        <w:t xml:space="preserve">.  The applicant is </w:t>
      </w:r>
      <w:r w:rsidRPr="00EE7416" w:rsidR="00210E9E">
        <w:t>the</w:t>
      </w:r>
      <w:r w:rsidRPr="00EE7416" w:rsidR="00B51E2C">
        <w:t xml:space="preserve"> owner of several </w:t>
      </w:r>
      <w:r w:rsidRPr="00EE7416" w:rsidR="00210E9E">
        <w:t xml:space="preserve">flats </w:t>
      </w:r>
      <w:r w:rsidRPr="00EE7416" w:rsidR="00B51E2C">
        <w:t xml:space="preserve">situated in the same building in Poznań. The present case concerns one of the </w:t>
      </w:r>
      <w:r w:rsidRPr="00EE7416" w:rsidR="00210E9E">
        <w:t>flats</w:t>
      </w:r>
      <w:r w:rsidRPr="00EE7416" w:rsidR="00B51E2C">
        <w:t>, no.</w:t>
      </w:r>
      <w:r w:rsidRPr="00EE7416" w:rsidR="00210E9E">
        <w:t> </w:t>
      </w:r>
      <w:r w:rsidRPr="00EE7416" w:rsidR="00B51E2C">
        <w:t>11.</w:t>
      </w:r>
    </w:p>
    <w:p w:rsidRPr="00EE7416" w:rsidR="00B51E2C" w:rsidP="00EE7416" w:rsidRDefault="00D44011" w14:paraId="14F0C63A" w14:textId="63AEE529">
      <w:pPr>
        <w:pStyle w:val="JuPara"/>
      </w:pPr>
      <w:r w:rsidRPr="00EE7416">
        <w:fldChar w:fldCharType="begin"/>
      </w:r>
      <w:r w:rsidRPr="00EE7416">
        <w:instrText xml:space="preserve"> SEQ level0 \*arabic </w:instrText>
      </w:r>
      <w:r w:rsidRPr="00EE7416">
        <w:fldChar w:fldCharType="separate"/>
      </w:r>
      <w:r w:rsidRPr="00EE7416" w:rsidR="00EE7416">
        <w:rPr>
          <w:noProof/>
        </w:rPr>
        <w:t>6</w:t>
      </w:r>
      <w:r w:rsidRPr="00EE7416">
        <w:rPr>
          <w:noProof/>
        </w:rPr>
        <w:fldChar w:fldCharType="end"/>
      </w:r>
      <w:r w:rsidRPr="00EE7416" w:rsidR="00B51E2C">
        <w:t xml:space="preserve">.  The </w:t>
      </w:r>
      <w:r w:rsidRPr="00EE7416" w:rsidR="00210E9E">
        <w:t xml:space="preserve">flat </w:t>
      </w:r>
      <w:r w:rsidRPr="00EE7416" w:rsidR="00B51E2C">
        <w:t>had been occupied by a tenant</w:t>
      </w:r>
      <w:r w:rsidRPr="00EE7416" w:rsidR="00210E9E">
        <w:t>,</w:t>
      </w:r>
      <w:r w:rsidRPr="00EE7416" w:rsidR="00B51E2C">
        <w:t xml:space="preserve"> R.S.</w:t>
      </w:r>
      <w:r w:rsidRPr="00EE7416" w:rsidR="00210E9E">
        <w:t>,</w:t>
      </w:r>
      <w:r w:rsidRPr="00EE7416" w:rsidR="00B51E2C">
        <w:t xml:space="preserve"> who, for several years failed to pay the</w:t>
      </w:r>
      <w:r w:rsidRPr="00EE7416" w:rsidR="003C5ECC">
        <w:t xml:space="preserve"> rent and service charges</w:t>
      </w:r>
      <w:r w:rsidRPr="00EE7416" w:rsidR="00B51E2C">
        <w:t>.</w:t>
      </w:r>
    </w:p>
    <w:p w:rsidRPr="00EE7416" w:rsidR="00B51E2C" w:rsidP="00EE7416" w:rsidRDefault="00D44011" w14:paraId="73F160B4" w14:textId="1FAC059D">
      <w:pPr>
        <w:pStyle w:val="JuPara"/>
      </w:pPr>
      <w:r w:rsidRPr="00EE7416">
        <w:fldChar w:fldCharType="begin"/>
      </w:r>
      <w:r w:rsidRPr="00EE7416">
        <w:instrText xml:space="preserve"> SEQ level0 \*arabic </w:instrText>
      </w:r>
      <w:r w:rsidRPr="00EE7416">
        <w:fldChar w:fldCharType="separate"/>
      </w:r>
      <w:r w:rsidRPr="00EE7416" w:rsidR="00EE7416">
        <w:rPr>
          <w:noProof/>
        </w:rPr>
        <w:t>7</w:t>
      </w:r>
      <w:r w:rsidRPr="00EE7416">
        <w:rPr>
          <w:noProof/>
        </w:rPr>
        <w:fldChar w:fldCharType="end"/>
      </w:r>
      <w:r w:rsidRPr="00EE7416" w:rsidR="00B51E2C">
        <w:t>.  On 24 August 2007 the Poznań District Court (</w:t>
      </w:r>
      <w:r w:rsidRPr="00EE7416" w:rsidR="00B51E2C">
        <w:rPr>
          <w:i/>
        </w:rPr>
        <w:t>S</w:t>
      </w:r>
      <w:r w:rsidRPr="00EE7416" w:rsidR="00B51E2C">
        <w:rPr>
          <w:rFonts w:cstheme="minorHAnsi"/>
          <w:i/>
        </w:rPr>
        <w:t>ą</w:t>
      </w:r>
      <w:r w:rsidRPr="00EE7416" w:rsidR="00B51E2C">
        <w:rPr>
          <w:i/>
        </w:rPr>
        <w:t>d Rejonowy</w:t>
      </w:r>
      <w:r w:rsidRPr="00EE7416" w:rsidR="00B51E2C">
        <w:t>) gave a judgment against R.S.</w:t>
      </w:r>
      <w:r w:rsidRPr="00EE7416" w:rsidR="00210E9E">
        <w:t>,</w:t>
      </w:r>
      <w:r w:rsidRPr="00EE7416" w:rsidR="00B51E2C">
        <w:t xml:space="preserve"> who was ordered to leave the </w:t>
      </w:r>
      <w:r w:rsidRPr="00EE7416" w:rsidR="00210E9E">
        <w:t xml:space="preserve">flat </w:t>
      </w:r>
      <w:r w:rsidRPr="00EE7416" w:rsidR="00B51E2C">
        <w:t xml:space="preserve">and to take all his belongings with him. At the same time the District Court granted R.S. a right to </w:t>
      </w:r>
      <w:r w:rsidRPr="00EE7416" w:rsidR="00210E9E">
        <w:t xml:space="preserve">be granted </w:t>
      </w:r>
      <w:r w:rsidRPr="00EE7416" w:rsidR="00B51E2C">
        <w:t xml:space="preserve">social </w:t>
      </w:r>
      <w:r w:rsidRPr="00EE7416" w:rsidR="00210E9E">
        <w:t xml:space="preserve">housing </w:t>
      </w:r>
      <w:r w:rsidRPr="00EE7416" w:rsidR="00B51E2C">
        <w:t xml:space="preserve">from the </w:t>
      </w:r>
      <w:r w:rsidRPr="00EE7416" w:rsidR="000C4691">
        <w:t xml:space="preserve">Municipality of </w:t>
      </w:r>
      <w:r w:rsidRPr="00EE7416" w:rsidR="00B51E2C">
        <w:t>Poznań and decided that R.S.</w:t>
      </w:r>
      <w:r w:rsidRPr="00EE7416" w:rsidR="00EE7416">
        <w:t>’</w:t>
      </w:r>
      <w:r w:rsidRPr="00EE7416" w:rsidR="00B51E2C">
        <w:t xml:space="preserve">s obligation to leave the </w:t>
      </w:r>
      <w:r w:rsidRPr="00EE7416" w:rsidR="00210E9E">
        <w:t>flat</w:t>
      </w:r>
      <w:r w:rsidRPr="00EE7416" w:rsidR="007341EB">
        <w:t xml:space="preserve"> should</w:t>
      </w:r>
      <w:r w:rsidRPr="00EE7416" w:rsidR="00210E9E">
        <w:t xml:space="preserve"> </w:t>
      </w:r>
      <w:r w:rsidRPr="00EE7416" w:rsidR="00B51E2C">
        <w:t xml:space="preserve">be suspended until </w:t>
      </w:r>
      <w:r w:rsidRPr="00EE7416" w:rsidR="00210E9E">
        <w:t xml:space="preserve">such time as </w:t>
      </w:r>
      <w:r w:rsidRPr="00EE7416" w:rsidR="00B51E2C">
        <w:t xml:space="preserve">the municipality </w:t>
      </w:r>
      <w:r w:rsidRPr="00EE7416" w:rsidR="000C4691">
        <w:t xml:space="preserve">had </w:t>
      </w:r>
      <w:r w:rsidRPr="00EE7416" w:rsidR="00B51E2C">
        <w:t>provide</w:t>
      </w:r>
      <w:r w:rsidRPr="00EE7416" w:rsidR="00210E9E">
        <w:t>d</w:t>
      </w:r>
      <w:r w:rsidRPr="00EE7416" w:rsidR="00B51E2C">
        <w:t xml:space="preserve"> R.S. with social </w:t>
      </w:r>
      <w:r w:rsidRPr="00EE7416" w:rsidR="00210E9E">
        <w:t>housing</w:t>
      </w:r>
      <w:r w:rsidRPr="00EE7416" w:rsidR="00B51E2C">
        <w:t>.</w:t>
      </w:r>
      <w:r w:rsidRPr="00EE7416" w:rsidR="0095202B">
        <w:t xml:space="preserve"> Th</w:t>
      </w:r>
      <w:r w:rsidRPr="00EE7416" w:rsidR="00210E9E">
        <w:t>at</w:t>
      </w:r>
      <w:r w:rsidRPr="00EE7416" w:rsidR="0095202B">
        <w:t xml:space="preserve"> judgment became final on 15 September 2007.</w:t>
      </w:r>
    </w:p>
    <w:p w:rsidRPr="00EE7416" w:rsidR="00B51E2C" w:rsidP="00EE7416" w:rsidRDefault="00D44011" w14:paraId="0E17DE18" w14:textId="74A45449">
      <w:pPr>
        <w:pStyle w:val="JuPara"/>
      </w:pPr>
      <w:r w:rsidRPr="00EE7416">
        <w:fldChar w:fldCharType="begin"/>
      </w:r>
      <w:r w:rsidRPr="00EE7416">
        <w:instrText xml:space="preserve"> SEQ level0 \*arabic </w:instrText>
      </w:r>
      <w:r w:rsidRPr="00EE7416">
        <w:fldChar w:fldCharType="separate"/>
      </w:r>
      <w:r w:rsidRPr="00EE7416" w:rsidR="00EE7416">
        <w:rPr>
          <w:noProof/>
        </w:rPr>
        <w:t>8</w:t>
      </w:r>
      <w:r w:rsidRPr="00EE7416">
        <w:rPr>
          <w:noProof/>
        </w:rPr>
        <w:fldChar w:fldCharType="end"/>
      </w:r>
      <w:r w:rsidRPr="00EE7416" w:rsidR="00B51E2C">
        <w:t xml:space="preserve">.  R.S. continued to occupy the </w:t>
      </w:r>
      <w:r w:rsidRPr="00EE7416" w:rsidR="00210E9E">
        <w:t xml:space="preserve">flat </w:t>
      </w:r>
      <w:r w:rsidRPr="00EE7416" w:rsidR="00B51E2C">
        <w:t>until 22 June 2012</w:t>
      </w:r>
      <w:r w:rsidRPr="00EE7416" w:rsidR="00210E9E">
        <w:t>, at which point</w:t>
      </w:r>
      <w:r w:rsidRPr="00EE7416" w:rsidR="00B51E2C">
        <w:t xml:space="preserve"> the Municipality</w:t>
      </w:r>
      <w:r w:rsidRPr="00EE7416" w:rsidR="0049678B">
        <w:t xml:space="preserve"> of Poznań</w:t>
      </w:r>
      <w:r w:rsidRPr="00EE7416" w:rsidR="00B51E2C">
        <w:t xml:space="preserve"> offered </w:t>
      </w:r>
      <w:r w:rsidRPr="00EE7416" w:rsidR="007341EB">
        <w:t>him</w:t>
      </w:r>
      <w:r w:rsidRPr="00EE7416" w:rsidR="00B51E2C">
        <w:t xml:space="preserve"> social </w:t>
      </w:r>
      <w:r w:rsidRPr="00EE7416" w:rsidR="000C4691">
        <w:t>housing</w:t>
      </w:r>
      <w:r w:rsidRPr="00EE7416" w:rsidR="00210E9E">
        <w:t>. Consequently,</w:t>
      </w:r>
      <w:r w:rsidRPr="00EE7416" w:rsidR="00B51E2C">
        <w:t xml:space="preserve"> R.S. moved out of the applicant</w:t>
      </w:r>
      <w:r w:rsidRPr="00EE7416" w:rsidR="00EE7416">
        <w:t>’</w:t>
      </w:r>
      <w:r w:rsidRPr="00EE7416" w:rsidR="00B51E2C">
        <w:t xml:space="preserve">s </w:t>
      </w:r>
      <w:r w:rsidRPr="00EE7416" w:rsidR="000C4691">
        <w:t>flat</w:t>
      </w:r>
      <w:r w:rsidRPr="00EE7416" w:rsidR="00B51E2C">
        <w:t>.</w:t>
      </w:r>
    </w:p>
    <w:p w:rsidRPr="00EE7416" w:rsidR="00B51E2C" w:rsidP="00EE7416" w:rsidRDefault="00895E56" w14:paraId="44AFE635" w14:textId="5EF1E039">
      <w:pPr>
        <w:pStyle w:val="JuHIRoman"/>
      </w:pPr>
      <w:r w:rsidRPr="00EE7416">
        <w:t xml:space="preserve">Proceedings for </w:t>
      </w:r>
      <w:r w:rsidRPr="00EE7416" w:rsidR="00B51E2C">
        <w:t>compensation</w:t>
      </w:r>
    </w:p>
    <w:p w:rsidRPr="00EE7416" w:rsidR="00B51E2C" w:rsidP="00EE7416" w:rsidRDefault="00B51E2C" w14:paraId="2B1F4E88" w14:textId="4D486828">
      <w:pPr>
        <w:pStyle w:val="JuPara"/>
      </w:pPr>
      <w:r w:rsidRPr="00EE7416">
        <w:fldChar w:fldCharType="begin"/>
      </w:r>
      <w:r w:rsidRPr="00EE7416">
        <w:instrText xml:space="preserve"> SEQ level0 \*arabic </w:instrText>
      </w:r>
      <w:r w:rsidRPr="00EE7416">
        <w:fldChar w:fldCharType="separate"/>
      </w:r>
      <w:r w:rsidRPr="00EE7416" w:rsidR="00EE7416">
        <w:rPr>
          <w:noProof/>
        </w:rPr>
        <w:t>9</w:t>
      </w:r>
      <w:r w:rsidRPr="00EE7416">
        <w:fldChar w:fldCharType="end"/>
      </w:r>
      <w:r w:rsidRPr="00EE7416">
        <w:t xml:space="preserve">.  On 13 August 2008 the applicant lodged a claim for compensation against the </w:t>
      </w:r>
      <w:r w:rsidRPr="00EE7416" w:rsidR="000C4691">
        <w:t xml:space="preserve">Municipality of </w:t>
      </w:r>
      <w:r w:rsidRPr="00EE7416">
        <w:t>Pozna</w:t>
      </w:r>
      <w:r w:rsidRPr="00EE7416">
        <w:rPr>
          <w:rFonts w:cstheme="minorHAnsi"/>
        </w:rPr>
        <w:t>ń</w:t>
      </w:r>
      <w:r w:rsidRPr="00EE7416">
        <w:t xml:space="preserve">. He relied on </w:t>
      </w:r>
      <w:r w:rsidRPr="00EE7416" w:rsidR="00D23672">
        <w:t>s</w:t>
      </w:r>
      <w:r w:rsidRPr="00EE7416">
        <w:t>ection 18(5) of the Act of 21</w:t>
      </w:r>
      <w:r w:rsidRPr="00EE7416" w:rsidR="00706308">
        <w:t> </w:t>
      </w:r>
      <w:r w:rsidRPr="00EE7416">
        <w:t>June 2001 on the protection of the rights of tenants, housing resources of municipalities and on amendments to the Civil Code (</w:t>
      </w:r>
      <w:r w:rsidRPr="00EE7416">
        <w:rPr>
          <w:i/>
        </w:rPr>
        <w:t>Ustawa o ochronie praw lokatorów, mieszkaniowym zasobie gminy i o zmianie Kodeksu cywilnego</w:t>
      </w:r>
      <w:r w:rsidRPr="00EE7416">
        <w:t xml:space="preserve"> – “the 2001 Act”).</w:t>
      </w:r>
    </w:p>
    <w:p w:rsidRPr="00EE7416" w:rsidR="0095202B" w:rsidP="00EE7416" w:rsidRDefault="00B51E2C" w14:paraId="6B1471A0" w14:textId="4530595C">
      <w:pPr>
        <w:pStyle w:val="JuPara"/>
      </w:pPr>
      <w:r w:rsidRPr="00EE7416">
        <w:fldChar w:fldCharType="begin"/>
      </w:r>
      <w:r w:rsidRPr="00EE7416">
        <w:instrText xml:space="preserve"> SEQ level0 \*arabic </w:instrText>
      </w:r>
      <w:r w:rsidRPr="00EE7416">
        <w:fldChar w:fldCharType="separate"/>
      </w:r>
      <w:bookmarkStart w:name="paragraph00010" w:id="2"/>
      <w:r w:rsidRPr="00EE7416" w:rsidR="00EE7416">
        <w:rPr>
          <w:noProof/>
        </w:rPr>
        <w:t>10</w:t>
      </w:r>
      <w:bookmarkEnd w:id="2"/>
      <w:r w:rsidRPr="00EE7416">
        <w:fldChar w:fldCharType="end"/>
      </w:r>
      <w:r w:rsidRPr="00EE7416">
        <w:t>.  On 16 September 2009 the Pozna</w:t>
      </w:r>
      <w:r w:rsidRPr="00EE7416">
        <w:rPr>
          <w:rFonts w:cstheme="minorHAnsi"/>
        </w:rPr>
        <w:t>ń District Court granted the applicant</w:t>
      </w:r>
      <w:r w:rsidRPr="00EE7416" w:rsidR="00EE7416">
        <w:rPr>
          <w:rFonts w:cstheme="minorHAnsi"/>
        </w:rPr>
        <w:t>’</w:t>
      </w:r>
      <w:r w:rsidRPr="00EE7416">
        <w:rPr>
          <w:rFonts w:cstheme="minorHAnsi"/>
        </w:rPr>
        <w:t xml:space="preserve">s claim in part and ordered the </w:t>
      </w:r>
      <w:r w:rsidRPr="00EE7416" w:rsidR="000C4691">
        <w:t xml:space="preserve">Municipality of </w:t>
      </w:r>
      <w:r w:rsidRPr="00EE7416">
        <w:t>Pozna</w:t>
      </w:r>
      <w:r w:rsidRPr="00EE7416">
        <w:rPr>
          <w:rFonts w:cstheme="minorHAnsi"/>
        </w:rPr>
        <w:t>ń</w:t>
      </w:r>
      <w:r w:rsidRPr="00EE7416">
        <w:t xml:space="preserve"> to pay the applicant 21,971 </w:t>
      </w:r>
      <w:r w:rsidRPr="00EE7416" w:rsidR="007341EB">
        <w:t xml:space="preserve">Polish </w:t>
      </w:r>
      <w:r w:rsidRPr="00EE7416" w:rsidR="006C7D50">
        <w:t>z</w:t>
      </w:r>
      <w:r w:rsidRPr="00EE7416">
        <w:t>lotys in compensation.</w:t>
      </w:r>
      <w:r w:rsidRPr="00EE7416" w:rsidR="0095202B">
        <w:t xml:space="preserve"> The court dismissed the remainder of the applicant</w:t>
      </w:r>
      <w:r w:rsidRPr="00EE7416" w:rsidR="00EE7416">
        <w:t>’</w:t>
      </w:r>
      <w:r w:rsidRPr="00EE7416" w:rsidR="0095202B">
        <w:t>s claim. In the course of the proceedings</w:t>
      </w:r>
      <w:r w:rsidRPr="00EE7416" w:rsidR="00210E9E">
        <w:t>,</w:t>
      </w:r>
      <w:r w:rsidRPr="00EE7416" w:rsidR="0095202B">
        <w:t xml:space="preserve"> the court obtained two expert opinions </w:t>
      </w:r>
      <w:r w:rsidRPr="00EE7416" w:rsidR="00E97BD9">
        <w:t xml:space="preserve">which outlined how much </w:t>
      </w:r>
      <w:r w:rsidRPr="00EE7416" w:rsidR="0095202B">
        <w:t xml:space="preserve">rent the applicant might </w:t>
      </w:r>
      <w:r w:rsidRPr="00EE7416" w:rsidR="00E97BD9">
        <w:t xml:space="preserve">expect to </w:t>
      </w:r>
      <w:r w:rsidRPr="00EE7416" w:rsidR="0095202B">
        <w:t xml:space="preserve">receive if he rented </w:t>
      </w:r>
      <w:r w:rsidRPr="00EE7416" w:rsidR="0084386B">
        <w:t xml:space="preserve">out </w:t>
      </w:r>
      <w:r w:rsidRPr="00EE7416" w:rsidR="0095202B">
        <w:t xml:space="preserve">the </w:t>
      </w:r>
      <w:r w:rsidRPr="00EE7416" w:rsidR="00E97BD9">
        <w:t xml:space="preserve">flat </w:t>
      </w:r>
      <w:r w:rsidRPr="00EE7416" w:rsidR="0095202B">
        <w:t xml:space="preserve">on </w:t>
      </w:r>
      <w:r w:rsidRPr="00EE7416" w:rsidR="00210E9E">
        <w:t>the open</w:t>
      </w:r>
      <w:r w:rsidRPr="00EE7416" w:rsidR="0095202B">
        <w:t xml:space="preserve"> market. The first opinion took into account the state of the </w:t>
      </w:r>
      <w:r w:rsidRPr="00EE7416" w:rsidR="00E97BD9">
        <w:t>flat as it stood at the time</w:t>
      </w:r>
      <w:r w:rsidRPr="00EE7416" w:rsidR="0084386B">
        <w:t>,</w:t>
      </w:r>
      <w:r w:rsidRPr="00EE7416" w:rsidR="00E97BD9">
        <w:t xml:space="preserve"> </w:t>
      </w:r>
      <w:r w:rsidRPr="00EE7416" w:rsidR="0095202B">
        <w:t>while the calculation</w:t>
      </w:r>
      <w:r w:rsidRPr="00EE7416" w:rsidR="00E97BD9">
        <w:t>s</w:t>
      </w:r>
      <w:r w:rsidRPr="00EE7416" w:rsidR="0095202B">
        <w:t xml:space="preserve"> </w:t>
      </w:r>
      <w:r w:rsidRPr="00EE7416" w:rsidR="00E97BD9">
        <w:t>in</w:t>
      </w:r>
      <w:r w:rsidRPr="00EE7416" w:rsidR="0095202B">
        <w:t xml:space="preserve"> the second opinion </w:t>
      </w:r>
      <w:r w:rsidRPr="00EE7416" w:rsidR="00E97BD9">
        <w:t>were based on</w:t>
      </w:r>
      <w:r w:rsidRPr="00EE7416" w:rsidR="0095202B">
        <w:t xml:space="preserve"> </w:t>
      </w:r>
      <w:r w:rsidRPr="00EE7416" w:rsidR="00210E9E">
        <w:t xml:space="preserve">the </w:t>
      </w:r>
      <w:r w:rsidRPr="00EE7416" w:rsidR="0095202B">
        <w:t xml:space="preserve">assumption that the </w:t>
      </w:r>
      <w:r w:rsidRPr="00EE7416" w:rsidR="00E97BD9">
        <w:t xml:space="preserve">flat </w:t>
      </w:r>
      <w:r w:rsidRPr="00EE7416" w:rsidR="0095202B">
        <w:t>would be renovated</w:t>
      </w:r>
      <w:r w:rsidRPr="00EE7416" w:rsidR="0084386B">
        <w:t xml:space="preserve"> in due course</w:t>
      </w:r>
      <w:r w:rsidRPr="00EE7416" w:rsidR="0095202B">
        <w:t xml:space="preserve">; the applicant had </w:t>
      </w:r>
      <w:r w:rsidRPr="00EE7416" w:rsidR="00E97BD9">
        <w:t xml:space="preserve">made clear </w:t>
      </w:r>
      <w:r w:rsidRPr="00EE7416" w:rsidR="00210E9E">
        <w:t>his intention</w:t>
      </w:r>
      <w:r w:rsidRPr="00EE7416" w:rsidR="0095202B">
        <w:t xml:space="preserve"> to renovate the </w:t>
      </w:r>
      <w:r w:rsidRPr="00EE7416" w:rsidR="00E97BD9">
        <w:t xml:space="preserve">flat </w:t>
      </w:r>
      <w:r w:rsidRPr="00EE7416" w:rsidR="0095202B">
        <w:t xml:space="preserve">before </w:t>
      </w:r>
      <w:r w:rsidRPr="00EE7416" w:rsidR="00E97BD9">
        <w:t>renting it out</w:t>
      </w:r>
      <w:r w:rsidRPr="00EE7416" w:rsidR="0095202B">
        <w:t xml:space="preserve">. </w:t>
      </w:r>
      <w:r w:rsidRPr="00EE7416">
        <w:t>As regards the amount of compensation</w:t>
      </w:r>
      <w:r w:rsidRPr="00EE7416" w:rsidR="00210E9E">
        <w:t>,</w:t>
      </w:r>
      <w:r w:rsidRPr="00EE7416">
        <w:t xml:space="preserve"> the court relied on </w:t>
      </w:r>
      <w:r w:rsidRPr="00EE7416" w:rsidR="0095202B">
        <w:t xml:space="preserve">the second </w:t>
      </w:r>
      <w:r w:rsidRPr="00EE7416">
        <w:t>opinion.</w:t>
      </w:r>
    </w:p>
    <w:p w:rsidRPr="00EE7416" w:rsidR="00B51E2C" w:rsidP="00EE7416" w:rsidRDefault="00B51E2C" w14:paraId="0A57E623" w14:textId="756584C8">
      <w:pPr>
        <w:pStyle w:val="JuPara"/>
      </w:pPr>
      <w:r w:rsidRPr="00EE7416">
        <w:fldChar w:fldCharType="begin"/>
      </w:r>
      <w:r w:rsidRPr="00EE7416">
        <w:instrText xml:space="preserve"> SEQ level0 \*arabic </w:instrText>
      </w:r>
      <w:r w:rsidRPr="00EE7416">
        <w:fldChar w:fldCharType="separate"/>
      </w:r>
      <w:r w:rsidRPr="00EE7416" w:rsidR="00EE7416">
        <w:rPr>
          <w:noProof/>
        </w:rPr>
        <w:t>11</w:t>
      </w:r>
      <w:r w:rsidRPr="00EE7416">
        <w:fldChar w:fldCharType="end"/>
      </w:r>
      <w:r w:rsidRPr="00EE7416">
        <w:t xml:space="preserve">.  Both parties appealed against </w:t>
      </w:r>
      <w:r w:rsidRPr="00EE7416" w:rsidR="00210E9E">
        <w:t xml:space="preserve">that </w:t>
      </w:r>
      <w:r w:rsidRPr="00EE7416">
        <w:t>judgment.</w:t>
      </w:r>
    </w:p>
    <w:p w:rsidRPr="00EE7416" w:rsidR="00B51E2C" w:rsidP="00EE7416" w:rsidRDefault="00B51E2C" w14:paraId="69248C7A" w14:textId="5117513D">
      <w:pPr>
        <w:pStyle w:val="JuPara"/>
        <w:rPr>
          <w:rFonts w:cstheme="minorHAnsi"/>
        </w:rPr>
      </w:pPr>
      <w:r w:rsidRPr="00EE7416">
        <w:fldChar w:fldCharType="begin"/>
      </w:r>
      <w:r w:rsidRPr="00EE7416">
        <w:instrText xml:space="preserve"> SEQ level0 \*arabic </w:instrText>
      </w:r>
      <w:r w:rsidRPr="00EE7416">
        <w:fldChar w:fldCharType="separate"/>
      </w:r>
      <w:bookmarkStart w:name="paragraph00012" w:id="3"/>
      <w:r w:rsidRPr="00EE7416" w:rsidR="00EE7416">
        <w:rPr>
          <w:noProof/>
        </w:rPr>
        <w:t>12</w:t>
      </w:r>
      <w:bookmarkEnd w:id="3"/>
      <w:r w:rsidRPr="00EE7416">
        <w:fldChar w:fldCharType="end"/>
      </w:r>
      <w:r w:rsidRPr="00EE7416">
        <w:t>.  On 11 May 2011 the Pozna</w:t>
      </w:r>
      <w:r w:rsidRPr="00EE7416">
        <w:rPr>
          <w:rFonts w:cstheme="minorHAnsi"/>
        </w:rPr>
        <w:t>ń Regional Court</w:t>
      </w:r>
      <w:r w:rsidRPr="00EE7416" w:rsidR="008545DC">
        <w:rPr>
          <w:rFonts w:cstheme="minorHAnsi"/>
        </w:rPr>
        <w:t xml:space="preserve"> (</w:t>
      </w:r>
      <w:r w:rsidRPr="00EE7416" w:rsidR="008545DC">
        <w:rPr>
          <w:rFonts w:cstheme="minorHAnsi"/>
          <w:i/>
        </w:rPr>
        <w:t>Sąd Okręgowy</w:t>
      </w:r>
      <w:r w:rsidRPr="00EE7416" w:rsidR="008545DC">
        <w:rPr>
          <w:rFonts w:cstheme="minorHAnsi"/>
        </w:rPr>
        <w:t>)</w:t>
      </w:r>
      <w:r w:rsidRPr="00EE7416">
        <w:rPr>
          <w:rFonts w:cstheme="minorHAnsi"/>
        </w:rPr>
        <w:t xml:space="preserve"> amended the first-instance judgment and dismissed the applicant</w:t>
      </w:r>
      <w:r w:rsidRPr="00EE7416" w:rsidR="00EE7416">
        <w:rPr>
          <w:rFonts w:cstheme="minorHAnsi"/>
        </w:rPr>
        <w:t>’</w:t>
      </w:r>
      <w:r w:rsidRPr="00EE7416">
        <w:rPr>
          <w:rFonts w:cstheme="minorHAnsi"/>
        </w:rPr>
        <w:t xml:space="preserve">s </w:t>
      </w:r>
      <w:r w:rsidRPr="00EE7416" w:rsidR="00365C36">
        <w:rPr>
          <w:rFonts w:cstheme="minorHAnsi"/>
        </w:rPr>
        <w:t>claim</w:t>
      </w:r>
      <w:r w:rsidRPr="00EE7416">
        <w:rPr>
          <w:rFonts w:cstheme="minorHAnsi"/>
        </w:rPr>
        <w:t>. The court</w:t>
      </w:r>
      <w:r w:rsidRPr="00EE7416" w:rsidR="00A96563">
        <w:rPr>
          <w:rFonts w:cstheme="minorHAnsi"/>
        </w:rPr>
        <w:t xml:space="preserve"> held that on the basis of the provision relied on by the applicant</w:t>
      </w:r>
      <w:r w:rsidRPr="00EE7416" w:rsidR="002D4F33">
        <w:rPr>
          <w:rFonts w:cstheme="minorHAnsi"/>
        </w:rPr>
        <w:t>,</w:t>
      </w:r>
      <w:r w:rsidRPr="00EE7416" w:rsidR="00A96563">
        <w:rPr>
          <w:rFonts w:cstheme="minorHAnsi"/>
        </w:rPr>
        <w:t xml:space="preserve"> compensation could only be </w:t>
      </w:r>
      <w:r w:rsidRPr="00EE7416" w:rsidR="002D4F33">
        <w:rPr>
          <w:rFonts w:cstheme="minorHAnsi"/>
        </w:rPr>
        <w:t xml:space="preserve">awarded </w:t>
      </w:r>
      <w:r w:rsidRPr="00EE7416" w:rsidR="00A96563">
        <w:rPr>
          <w:rFonts w:cstheme="minorHAnsi"/>
        </w:rPr>
        <w:t xml:space="preserve">if an applicant </w:t>
      </w:r>
      <w:r w:rsidRPr="00EE7416" w:rsidR="00E91D52">
        <w:rPr>
          <w:rFonts w:cstheme="minorHAnsi"/>
        </w:rPr>
        <w:t xml:space="preserve">could </w:t>
      </w:r>
      <w:r w:rsidRPr="00EE7416" w:rsidR="00A96563">
        <w:rPr>
          <w:rFonts w:cstheme="minorHAnsi"/>
        </w:rPr>
        <w:t xml:space="preserve">prove </w:t>
      </w:r>
      <w:r w:rsidRPr="00EE7416" w:rsidR="007341EB">
        <w:rPr>
          <w:rFonts w:cstheme="minorHAnsi"/>
        </w:rPr>
        <w:t xml:space="preserve">that </w:t>
      </w:r>
      <w:r w:rsidRPr="00EE7416" w:rsidR="00A96563">
        <w:rPr>
          <w:rFonts w:cstheme="minorHAnsi"/>
        </w:rPr>
        <w:t xml:space="preserve">all </w:t>
      </w:r>
      <w:r w:rsidRPr="00EE7416" w:rsidR="007341EB">
        <w:rPr>
          <w:rFonts w:cstheme="minorHAnsi"/>
        </w:rPr>
        <w:t xml:space="preserve">the relevant </w:t>
      </w:r>
      <w:r w:rsidRPr="00EE7416" w:rsidR="00A96563">
        <w:rPr>
          <w:rFonts w:cstheme="minorHAnsi"/>
        </w:rPr>
        <w:t xml:space="preserve">conditions </w:t>
      </w:r>
      <w:r w:rsidRPr="00EE7416" w:rsidR="007341EB">
        <w:rPr>
          <w:rFonts w:cstheme="minorHAnsi"/>
        </w:rPr>
        <w:t>had been met</w:t>
      </w:r>
      <w:r w:rsidRPr="00EE7416" w:rsidR="002D4F33">
        <w:rPr>
          <w:rFonts w:cstheme="minorHAnsi"/>
        </w:rPr>
        <w:t>,</w:t>
      </w:r>
      <w:r w:rsidRPr="00EE7416" w:rsidR="00A96563">
        <w:rPr>
          <w:rFonts w:cstheme="minorHAnsi"/>
        </w:rPr>
        <w:t xml:space="preserve"> that is</w:t>
      </w:r>
      <w:r w:rsidRPr="00EE7416" w:rsidR="00FC471C">
        <w:rPr>
          <w:rFonts w:cstheme="minorHAnsi"/>
        </w:rPr>
        <w:t>,</w:t>
      </w:r>
      <w:r w:rsidRPr="00EE7416" w:rsidR="00A96563">
        <w:rPr>
          <w:rFonts w:cstheme="minorHAnsi"/>
        </w:rPr>
        <w:t xml:space="preserve"> the existence of a </w:t>
      </w:r>
      <w:r w:rsidRPr="00EE7416" w:rsidR="001A1A5B">
        <w:rPr>
          <w:rFonts w:cstheme="minorHAnsi"/>
        </w:rPr>
        <w:t>damage</w:t>
      </w:r>
      <w:r w:rsidRPr="00EE7416" w:rsidR="00A96563">
        <w:rPr>
          <w:rFonts w:cstheme="minorHAnsi"/>
        </w:rPr>
        <w:t>, its exact amount</w:t>
      </w:r>
      <w:r w:rsidRPr="00EE7416" w:rsidR="002D4F33">
        <w:rPr>
          <w:rFonts w:cstheme="minorHAnsi"/>
        </w:rPr>
        <w:t>,</w:t>
      </w:r>
      <w:r w:rsidRPr="00EE7416" w:rsidR="00A96563">
        <w:rPr>
          <w:rFonts w:cstheme="minorHAnsi"/>
        </w:rPr>
        <w:t xml:space="preserve"> and </w:t>
      </w:r>
      <w:r w:rsidRPr="00EE7416" w:rsidR="00E97BD9">
        <w:rPr>
          <w:rFonts w:cstheme="minorHAnsi"/>
        </w:rPr>
        <w:t xml:space="preserve">the existence of </w:t>
      </w:r>
      <w:r w:rsidRPr="00EE7416" w:rsidR="002D4F33">
        <w:rPr>
          <w:rFonts w:cstheme="minorHAnsi"/>
        </w:rPr>
        <w:t xml:space="preserve">a </w:t>
      </w:r>
      <w:r w:rsidRPr="00EE7416" w:rsidR="00255532">
        <w:rPr>
          <w:rFonts w:cstheme="minorHAnsi"/>
        </w:rPr>
        <w:t>causal link between the event in</w:t>
      </w:r>
      <w:r w:rsidRPr="00EE7416" w:rsidR="00521D9E">
        <w:rPr>
          <w:rFonts w:cstheme="minorHAnsi"/>
        </w:rPr>
        <w:t xml:space="preserve"> question and the</w:t>
      </w:r>
      <w:r w:rsidRPr="00EE7416" w:rsidR="001A1A5B">
        <w:rPr>
          <w:rFonts w:cstheme="minorHAnsi"/>
        </w:rPr>
        <w:t xml:space="preserve"> damage</w:t>
      </w:r>
      <w:r w:rsidRPr="00EE7416" w:rsidR="00521D9E">
        <w:rPr>
          <w:rFonts w:cstheme="minorHAnsi"/>
        </w:rPr>
        <w:t xml:space="preserve"> incurred. The court further considered that</w:t>
      </w:r>
      <w:r w:rsidRPr="00EE7416" w:rsidR="00FC471C">
        <w:rPr>
          <w:rFonts w:cstheme="minorHAnsi"/>
        </w:rPr>
        <w:t>, even if R.S. were to move out,</w:t>
      </w:r>
      <w:r w:rsidRPr="00EE7416" w:rsidR="00521D9E">
        <w:rPr>
          <w:rFonts w:cstheme="minorHAnsi"/>
        </w:rPr>
        <w:t xml:space="preserve"> </w:t>
      </w:r>
      <w:r w:rsidRPr="00EE7416">
        <w:rPr>
          <w:rFonts w:cstheme="minorHAnsi"/>
        </w:rPr>
        <w:t>the applicant had failed to prove that</w:t>
      </w:r>
      <w:r w:rsidRPr="00EE7416" w:rsidR="00FC471C">
        <w:rPr>
          <w:rFonts w:cstheme="minorHAnsi"/>
        </w:rPr>
        <w:t xml:space="preserve"> he would </w:t>
      </w:r>
      <w:r w:rsidRPr="00EE7416" w:rsidR="00E97BD9">
        <w:rPr>
          <w:rFonts w:cstheme="minorHAnsi"/>
        </w:rPr>
        <w:t xml:space="preserve">manage to find </w:t>
      </w:r>
      <w:r w:rsidRPr="00EE7416" w:rsidR="00FC471C">
        <w:rPr>
          <w:rFonts w:cstheme="minorHAnsi"/>
        </w:rPr>
        <w:t>a new tenant</w:t>
      </w:r>
      <w:r w:rsidRPr="00EE7416">
        <w:rPr>
          <w:rFonts w:cstheme="minorHAnsi"/>
        </w:rPr>
        <w:t xml:space="preserve"> </w:t>
      </w:r>
      <w:r w:rsidRPr="00EE7416" w:rsidR="00FC471C">
        <w:rPr>
          <w:rFonts w:cstheme="minorHAnsi"/>
        </w:rPr>
        <w:t>from whom he would receive a rental income</w:t>
      </w:r>
      <w:r w:rsidRPr="00EE7416">
        <w:rPr>
          <w:rFonts w:cstheme="minorHAnsi"/>
        </w:rPr>
        <w:t xml:space="preserve">. The court underlined that the </w:t>
      </w:r>
      <w:r w:rsidRPr="00EE7416" w:rsidR="00E97BD9">
        <w:rPr>
          <w:rFonts w:cstheme="minorHAnsi"/>
        </w:rPr>
        <w:t xml:space="preserve">flat </w:t>
      </w:r>
      <w:r w:rsidRPr="00EE7416" w:rsidR="002D4F33">
        <w:rPr>
          <w:rFonts w:cstheme="minorHAnsi"/>
        </w:rPr>
        <w:t xml:space="preserve">was in need of </w:t>
      </w:r>
      <w:r w:rsidRPr="00EE7416">
        <w:rPr>
          <w:rFonts w:cstheme="minorHAnsi"/>
        </w:rPr>
        <w:t>renovation and, in any event</w:t>
      </w:r>
      <w:r w:rsidRPr="00EE7416" w:rsidR="00E97BD9">
        <w:rPr>
          <w:rFonts w:cstheme="minorHAnsi"/>
        </w:rPr>
        <w:t>,</w:t>
      </w:r>
      <w:r w:rsidRPr="00EE7416">
        <w:rPr>
          <w:rFonts w:cstheme="minorHAnsi"/>
        </w:rPr>
        <w:t xml:space="preserve"> it would not be rented </w:t>
      </w:r>
      <w:r w:rsidRPr="00EE7416" w:rsidR="00E97BD9">
        <w:rPr>
          <w:rFonts w:cstheme="minorHAnsi"/>
        </w:rPr>
        <w:t xml:space="preserve">out </w:t>
      </w:r>
      <w:r w:rsidRPr="00EE7416">
        <w:rPr>
          <w:rFonts w:cstheme="minorHAnsi"/>
        </w:rPr>
        <w:t xml:space="preserve">immediately after R.S. </w:t>
      </w:r>
      <w:r w:rsidRPr="00EE7416" w:rsidR="002D4F33">
        <w:rPr>
          <w:rFonts w:cstheme="minorHAnsi"/>
        </w:rPr>
        <w:t xml:space="preserve">had </w:t>
      </w:r>
      <w:r w:rsidRPr="00EE7416" w:rsidR="00E97BD9">
        <w:rPr>
          <w:rFonts w:cstheme="minorHAnsi"/>
        </w:rPr>
        <w:t>left it. Moreover,</w:t>
      </w:r>
      <w:r w:rsidRPr="00EE7416" w:rsidR="008545DC">
        <w:rPr>
          <w:rFonts w:cstheme="minorHAnsi"/>
        </w:rPr>
        <w:t xml:space="preserve"> the applicant had </w:t>
      </w:r>
      <w:r w:rsidRPr="00EE7416" w:rsidR="00E97BD9">
        <w:rPr>
          <w:rFonts w:cstheme="minorHAnsi"/>
        </w:rPr>
        <w:t>not shown</w:t>
      </w:r>
      <w:r w:rsidRPr="00EE7416" w:rsidR="008545DC">
        <w:rPr>
          <w:rFonts w:cstheme="minorHAnsi"/>
        </w:rPr>
        <w:t xml:space="preserve"> how long the renovation work would take and </w:t>
      </w:r>
      <w:r w:rsidRPr="00EE7416" w:rsidR="00E97BD9">
        <w:rPr>
          <w:rFonts w:cstheme="minorHAnsi"/>
        </w:rPr>
        <w:t xml:space="preserve">when the flat would be ready </w:t>
      </w:r>
      <w:r w:rsidRPr="00EE7416" w:rsidR="004F702F">
        <w:rPr>
          <w:rFonts w:cstheme="minorHAnsi"/>
        </w:rPr>
        <w:t xml:space="preserve">for renting </w:t>
      </w:r>
      <w:r w:rsidRPr="00EE7416" w:rsidR="00E97BD9">
        <w:rPr>
          <w:rFonts w:cstheme="minorHAnsi"/>
        </w:rPr>
        <w:t>out</w:t>
      </w:r>
      <w:r w:rsidRPr="00EE7416">
        <w:rPr>
          <w:rFonts w:cstheme="minorHAnsi"/>
        </w:rPr>
        <w:t>.</w:t>
      </w:r>
    </w:p>
    <w:p w:rsidRPr="00EE7416" w:rsidR="00B51E2C" w:rsidP="00EE7416" w:rsidRDefault="008545DC" w14:paraId="3A2E1444" w14:textId="3AC0EC6E">
      <w:pPr>
        <w:pStyle w:val="JuPara"/>
        <w:rPr>
          <w:rFonts w:cstheme="minorHAnsi"/>
        </w:rPr>
      </w:pPr>
      <w:r w:rsidRPr="00EE7416">
        <w:rPr>
          <w:rFonts w:cstheme="minorHAnsi"/>
        </w:rPr>
        <w:fldChar w:fldCharType="begin"/>
      </w:r>
      <w:r w:rsidRPr="00EE7416">
        <w:rPr>
          <w:rFonts w:cstheme="minorHAnsi"/>
        </w:rPr>
        <w:instrText xml:space="preserve"> SEQ level0 \*arabic </w:instrText>
      </w:r>
      <w:r w:rsidRPr="00EE7416">
        <w:rPr>
          <w:rFonts w:cstheme="minorHAnsi"/>
        </w:rPr>
        <w:fldChar w:fldCharType="separate"/>
      </w:r>
      <w:r w:rsidRPr="00EE7416" w:rsidR="00EE7416">
        <w:rPr>
          <w:rFonts w:cstheme="minorHAnsi"/>
          <w:noProof/>
        </w:rPr>
        <w:t>13</w:t>
      </w:r>
      <w:r w:rsidRPr="00EE7416">
        <w:rPr>
          <w:rFonts w:cstheme="minorHAnsi"/>
        </w:rPr>
        <w:fldChar w:fldCharType="end"/>
      </w:r>
      <w:r w:rsidRPr="00EE7416">
        <w:rPr>
          <w:rFonts w:cstheme="minorHAnsi"/>
        </w:rPr>
        <w:t>.  </w:t>
      </w:r>
      <w:r w:rsidRPr="00EE7416" w:rsidR="00B51E2C">
        <w:rPr>
          <w:rFonts w:cstheme="minorHAnsi"/>
        </w:rPr>
        <w:t xml:space="preserve">The applicant lodged a cassation appeal. He relied, among other things, on the fact that in other sets of proceedings against the </w:t>
      </w:r>
      <w:r w:rsidRPr="00EE7416" w:rsidR="002E1940">
        <w:t xml:space="preserve">Municipality of </w:t>
      </w:r>
      <w:r w:rsidRPr="00EE7416" w:rsidR="00B51E2C">
        <w:t>Pozna</w:t>
      </w:r>
      <w:r w:rsidRPr="00EE7416" w:rsidR="00B51E2C">
        <w:rPr>
          <w:rFonts w:cstheme="minorHAnsi"/>
        </w:rPr>
        <w:t>ń</w:t>
      </w:r>
      <w:r w:rsidRPr="00EE7416" w:rsidR="00B51E2C">
        <w:t xml:space="preserve">, </w:t>
      </w:r>
      <w:r w:rsidRPr="00EE7416" w:rsidR="00B51E2C">
        <w:rPr>
          <w:rFonts w:cstheme="minorHAnsi"/>
        </w:rPr>
        <w:t xml:space="preserve">with </w:t>
      </w:r>
      <w:r w:rsidRPr="00EE7416" w:rsidR="002E1940">
        <w:rPr>
          <w:rFonts w:cstheme="minorHAnsi"/>
        </w:rPr>
        <w:t xml:space="preserve">the same </w:t>
      </w:r>
      <w:r w:rsidRPr="00EE7416" w:rsidR="00B51E2C">
        <w:rPr>
          <w:rFonts w:cstheme="minorHAnsi"/>
        </w:rPr>
        <w:t>factual circumstances, the courts had in the past ruled in his favour.</w:t>
      </w:r>
    </w:p>
    <w:p w:rsidRPr="00EE7416" w:rsidR="00B51E2C" w:rsidP="00EE7416" w:rsidRDefault="008545DC" w14:paraId="14CC366B" w14:textId="5C35EE2D">
      <w:pPr>
        <w:pStyle w:val="JuPara"/>
      </w:pPr>
      <w:r w:rsidRPr="00EE7416">
        <w:rPr>
          <w:rFonts w:cstheme="minorHAnsi"/>
        </w:rPr>
        <w:fldChar w:fldCharType="begin"/>
      </w:r>
      <w:r w:rsidRPr="00EE7416">
        <w:rPr>
          <w:rFonts w:cstheme="minorHAnsi"/>
        </w:rPr>
        <w:instrText xml:space="preserve"> SEQ level0 \*arabic </w:instrText>
      </w:r>
      <w:r w:rsidRPr="00EE7416">
        <w:rPr>
          <w:rFonts w:cstheme="minorHAnsi"/>
        </w:rPr>
        <w:fldChar w:fldCharType="separate"/>
      </w:r>
      <w:r w:rsidRPr="00EE7416" w:rsidR="00EE7416">
        <w:rPr>
          <w:rFonts w:cstheme="minorHAnsi"/>
          <w:noProof/>
        </w:rPr>
        <w:t>14</w:t>
      </w:r>
      <w:r w:rsidRPr="00EE7416">
        <w:rPr>
          <w:rFonts w:cstheme="minorHAnsi"/>
        </w:rPr>
        <w:fldChar w:fldCharType="end"/>
      </w:r>
      <w:r w:rsidRPr="00EE7416">
        <w:rPr>
          <w:rFonts w:cstheme="minorHAnsi"/>
        </w:rPr>
        <w:t>.  </w:t>
      </w:r>
      <w:r w:rsidRPr="00EE7416" w:rsidR="00B51E2C">
        <w:rPr>
          <w:rFonts w:cstheme="minorHAnsi"/>
        </w:rPr>
        <w:t>On 3 June 2011 the Supreme Court refused to examine the applicant</w:t>
      </w:r>
      <w:r w:rsidRPr="00EE7416" w:rsidR="00EE7416">
        <w:rPr>
          <w:rFonts w:cstheme="minorHAnsi"/>
        </w:rPr>
        <w:t>’</w:t>
      </w:r>
      <w:r w:rsidRPr="00EE7416" w:rsidR="00B51E2C">
        <w:rPr>
          <w:rFonts w:cstheme="minorHAnsi"/>
        </w:rPr>
        <w:t>s cassation appeal. Th</w:t>
      </w:r>
      <w:r w:rsidRPr="00EE7416" w:rsidR="00AE4749">
        <w:rPr>
          <w:rFonts w:cstheme="minorHAnsi"/>
        </w:rPr>
        <w:t>at</w:t>
      </w:r>
      <w:r w:rsidRPr="00EE7416" w:rsidR="00B51E2C">
        <w:rPr>
          <w:rFonts w:cstheme="minorHAnsi"/>
        </w:rPr>
        <w:t xml:space="preserve"> decision was served on the applicant</w:t>
      </w:r>
      <w:r w:rsidRPr="00EE7416" w:rsidR="00EE7416">
        <w:rPr>
          <w:rFonts w:cstheme="minorHAnsi"/>
        </w:rPr>
        <w:t>’</w:t>
      </w:r>
      <w:r w:rsidRPr="00EE7416" w:rsidR="00B51E2C">
        <w:rPr>
          <w:rFonts w:cstheme="minorHAnsi"/>
        </w:rPr>
        <w:t>s lawyer on 30 June 2011.</w:t>
      </w:r>
    </w:p>
    <w:p w:rsidRPr="00EE7416" w:rsidR="00B51E2C" w:rsidP="00EE7416" w:rsidRDefault="004A5EC7" w14:paraId="795065CF" w14:textId="5B6B6901">
      <w:pPr>
        <w:pStyle w:val="JuHHead"/>
      </w:pPr>
      <w:r w:rsidRPr="00EE7416">
        <w:t>RELEVANT LEGAL FRAMEWORK AND PRACTICE</w:t>
      </w:r>
    </w:p>
    <w:p w:rsidRPr="00EE7416" w:rsidR="00A96563" w:rsidP="00EE7416" w:rsidRDefault="00FA38BD" w14:paraId="1C5EA638" w14:textId="70012B9A">
      <w:pPr>
        <w:pStyle w:val="JuPara"/>
      </w:pPr>
      <w:r w:rsidRPr="00EE7416">
        <w:fldChar w:fldCharType="begin"/>
      </w:r>
      <w:r w:rsidRPr="00EE7416">
        <w:instrText xml:space="preserve"> SEQ level0 \*arabic </w:instrText>
      </w:r>
      <w:r w:rsidRPr="00EE7416">
        <w:fldChar w:fldCharType="separate"/>
      </w:r>
      <w:bookmarkStart w:name="paragraph00015" w:id="4"/>
      <w:r w:rsidRPr="00EE7416" w:rsidR="00EE7416">
        <w:rPr>
          <w:noProof/>
        </w:rPr>
        <w:t>15</w:t>
      </w:r>
      <w:bookmarkEnd w:id="4"/>
      <w:r w:rsidRPr="00EE7416">
        <w:fldChar w:fldCharType="end"/>
      </w:r>
      <w:r w:rsidRPr="00EE7416" w:rsidR="00B51E2C">
        <w:t>.  </w:t>
      </w:r>
      <w:r w:rsidRPr="00EE7416" w:rsidR="005712FD">
        <w:t>Section 18 of t</w:t>
      </w:r>
      <w:r w:rsidRPr="00EE7416" w:rsidR="00D23672">
        <w:t xml:space="preserve">he </w:t>
      </w:r>
      <w:r w:rsidRPr="00EE7416" w:rsidR="0089540C">
        <w:t>2001 Act</w:t>
      </w:r>
      <w:r w:rsidRPr="00EE7416" w:rsidR="00A96563">
        <w:t xml:space="preserve"> provide</w:t>
      </w:r>
      <w:r w:rsidRPr="00EE7416" w:rsidR="00E83CA0">
        <w:t>d</w:t>
      </w:r>
      <w:r w:rsidRPr="00EE7416" w:rsidR="00A96563">
        <w:t xml:space="preserve">, </w:t>
      </w:r>
      <w:r w:rsidRPr="00EE7416" w:rsidR="00C771EE">
        <w:t>at</w:t>
      </w:r>
      <w:r w:rsidRPr="00EE7416" w:rsidR="00A96563">
        <w:t xml:space="preserve"> </w:t>
      </w:r>
      <w:r w:rsidRPr="00EE7416" w:rsidR="00E83CA0">
        <w:t>the relevant time</w:t>
      </w:r>
      <w:r w:rsidRPr="00EE7416" w:rsidR="00A96563">
        <w:t>, as follows:</w:t>
      </w:r>
    </w:p>
    <w:p w:rsidRPr="00EE7416" w:rsidR="00A96563" w:rsidP="00EE7416" w:rsidRDefault="00A96563" w14:paraId="761B7B19" w14:textId="77777777">
      <w:pPr>
        <w:pStyle w:val="JuQuot"/>
      </w:pPr>
      <w:r w:rsidRPr="00EE7416">
        <w:t>“</w:t>
      </w:r>
      <w:r w:rsidRPr="00EE7416" w:rsidR="00276ACB">
        <w:t>(</w:t>
      </w:r>
      <w:r w:rsidRPr="00EE7416">
        <w:t>1</w:t>
      </w:r>
      <w:r w:rsidRPr="00EE7416" w:rsidR="00276ACB">
        <w:t>)</w:t>
      </w:r>
      <w:r w:rsidRPr="00EE7416" w:rsidR="00D44011">
        <w:t>  </w:t>
      </w:r>
      <w:r w:rsidRPr="00EE7416">
        <w:t xml:space="preserve">Persons occupying </w:t>
      </w:r>
      <w:r w:rsidRPr="00EE7416" w:rsidR="00145D1F">
        <w:t>a flat</w:t>
      </w:r>
      <w:r w:rsidRPr="00EE7416">
        <w:t xml:space="preserve"> without legal title must pay compensation for </w:t>
      </w:r>
      <w:r w:rsidRPr="00EE7416" w:rsidR="0087685D">
        <w:t xml:space="preserve">each </w:t>
      </w:r>
      <w:r w:rsidRPr="00EE7416">
        <w:t xml:space="preserve">month until they vacate the </w:t>
      </w:r>
      <w:r w:rsidRPr="00EE7416" w:rsidR="00145D1F">
        <w:t>flat</w:t>
      </w:r>
      <w:r w:rsidRPr="00EE7416">
        <w:t>.</w:t>
      </w:r>
    </w:p>
    <w:p w:rsidRPr="00EE7416" w:rsidR="00A96563" w:rsidP="00EE7416" w:rsidRDefault="00276ACB" w14:paraId="174E563C" w14:textId="77777777">
      <w:pPr>
        <w:pStyle w:val="JuQuot"/>
      </w:pPr>
      <w:r w:rsidRPr="00EE7416">
        <w:t>(</w:t>
      </w:r>
      <w:r w:rsidRPr="00EE7416" w:rsidR="00A96563">
        <w:t>2</w:t>
      </w:r>
      <w:r w:rsidRPr="00EE7416">
        <w:t>)</w:t>
      </w:r>
      <w:r w:rsidRPr="00EE7416" w:rsidR="00D44011">
        <w:t>  </w:t>
      </w:r>
      <w:r w:rsidRPr="00EE7416" w:rsidR="00A96563">
        <w:t xml:space="preserve">Subject to </w:t>
      </w:r>
      <w:r w:rsidRPr="00EE7416" w:rsidR="007341EB">
        <w:t xml:space="preserve">subsection </w:t>
      </w:r>
      <w:r w:rsidRPr="00EE7416" w:rsidR="00A96563">
        <w:t xml:space="preserve">3, </w:t>
      </w:r>
      <w:r w:rsidRPr="00EE7416" w:rsidR="0087685D">
        <w:t xml:space="preserve">such </w:t>
      </w:r>
      <w:r w:rsidRPr="00EE7416" w:rsidR="00A96563">
        <w:t xml:space="preserve">compensation </w:t>
      </w:r>
      <w:r w:rsidRPr="00EE7416" w:rsidR="00145D1F">
        <w:t xml:space="preserve">shall </w:t>
      </w:r>
      <w:r w:rsidRPr="00EE7416" w:rsidR="0087685D">
        <w:t xml:space="preserve">be </w:t>
      </w:r>
      <w:r w:rsidRPr="00EE7416" w:rsidR="00A96563">
        <w:t xml:space="preserve">equal </w:t>
      </w:r>
      <w:r w:rsidRPr="00EE7416" w:rsidR="0087685D">
        <w:t xml:space="preserve">to </w:t>
      </w:r>
      <w:r w:rsidRPr="00EE7416" w:rsidR="00A96563">
        <w:t xml:space="preserve">the amount of rent the owner </w:t>
      </w:r>
      <w:r w:rsidRPr="00EE7416" w:rsidR="0087685D">
        <w:t xml:space="preserve">could </w:t>
      </w:r>
      <w:r w:rsidRPr="00EE7416" w:rsidR="00A96563">
        <w:t xml:space="preserve">obtain if the </w:t>
      </w:r>
      <w:r w:rsidRPr="00EE7416" w:rsidR="00145D1F">
        <w:t xml:space="preserve">flat were </w:t>
      </w:r>
      <w:r w:rsidRPr="00EE7416" w:rsidR="00A96563">
        <w:t>rented</w:t>
      </w:r>
      <w:r w:rsidRPr="00EE7416" w:rsidR="002E1940">
        <w:t xml:space="preserve"> out</w:t>
      </w:r>
      <w:r w:rsidRPr="00EE7416" w:rsidR="00A96563">
        <w:t xml:space="preserve"> ...</w:t>
      </w:r>
    </w:p>
    <w:p w:rsidRPr="00EE7416" w:rsidR="00A96563" w:rsidP="00EE7416" w:rsidRDefault="00276ACB" w14:paraId="334F01DB" w14:textId="77777777">
      <w:pPr>
        <w:pStyle w:val="JuQuot"/>
      </w:pPr>
      <w:r w:rsidRPr="00EE7416">
        <w:t>(</w:t>
      </w:r>
      <w:r w:rsidRPr="00EE7416" w:rsidR="00A96563">
        <w:t>3</w:t>
      </w:r>
      <w:r w:rsidRPr="00EE7416">
        <w:t>)</w:t>
      </w:r>
      <w:r w:rsidRPr="00EE7416" w:rsidR="00D44011">
        <w:t>  </w:t>
      </w:r>
      <w:r w:rsidRPr="00EE7416" w:rsidR="0087685D">
        <w:t>Where p</w:t>
      </w:r>
      <w:r w:rsidRPr="00EE7416" w:rsidR="00A96563">
        <w:t>ersons</w:t>
      </w:r>
      <w:r w:rsidRPr="00EE7416" w:rsidR="0087685D">
        <w:t xml:space="preserve"> are</w:t>
      </w:r>
      <w:r w:rsidRPr="00EE7416" w:rsidR="00A96563">
        <w:t xml:space="preserve"> entitled to social </w:t>
      </w:r>
      <w:r w:rsidRPr="00EE7416" w:rsidR="002E1940">
        <w:t>housing</w:t>
      </w:r>
      <w:r w:rsidRPr="00EE7416" w:rsidR="00A96563">
        <w:t xml:space="preserve"> </w:t>
      </w:r>
      <w:r w:rsidRPr="00EE7416" w:rsidR="0087685D">
        <w:t>and</w:t>
      </w:r>
      <w:r w:rsidRPr="00EE7416" w:rsidR="00A96563">
        <w:t xml:space="preserve"> a court </w:t>
      </w:r>
      <w:r w:rsidRPr="00EE7416" w:rsidR="0087685D">
        <w:t xml:space="preserve">has </w:t>
      </w:r>
      <w:r w:rsidRPr="00EE7416" w:rsidR="00A96563">
        <w:t xml:space="preserve">decided to suspend their obligation to leave the </w:t>
      </w:r>
      <w:r w:rsidRPr="00EE7416" w:rsidR="00145D1F">
        <w:t xml:space="preserve">flat </w:t>
      </w:r>
      <w:r w:rsidRPr="00EE7416" w:rsidR="00A96563">
        <w:t xml:space="preserve">until they </w:t>
      </w:r>
      <w:r w:rsidRPr="00EE7416" w:rsidR="0087685D">
        <w:t>have been</w:t>
      </w:r>
      <w:r w:rsidRPr="00EE7416" w:rsidR="00A96563">
        <w:t xml:space="preserve"> offered social </w:t>
      </w:r>
      <w:r w:rsidRPr="00EE7416" w:rsidR="002E1940">
        <w:t>housing</w:t>
      </w:r>
      <w:r w:rsidRPr="00EE7416" w:rsidR="0087685D">
        <w:t>, they</w:t>
      </w:r>
      <w:r w:rsidRPr="00EE7416" w:rsidR="00A96563">
        <w:t xml:space="preserve"> shall pay compensation </w:t>
      </w:r>
      <w:r w:rsidRPr="00EE7416" w:rsidR="0087685D">
        <w:t>equal to</w:t>
      </w:r>
      <w:r w:rsidRPr="00EE7416" w:rsidR="00A96563">
        <w:t xml:space="preserve"> the amount of rent or other fees for using the </w:t>
      </w:r>
      <w:r w:rsidRPr="00EE7416" w:rsidR="00145D1F">
        <w:t xml:space="preserve">flat </w:t>
      </w:r>
      <w:r w:rsidRPr="00EE7416" w:rsidR="00A96563">
        <w:t>which they would have to pay if the legal relation</w:t>
      </w:r>
      <w:r w:rsidRPr="00EE7416" w:rsidR="0087685D">
        <w:t>ship</w:t>
      </w:r>
      <w:r w:rsidRPr="00EE7416" w:rsidR="00A96563">
        <w:t xml:space="preserve"> still existed.</w:t>
      </w:r>
    </w:p>
    <w:p w:rsidRPr="00EE7416" w:rsidR="00A96563" w:rsidP="00EE7416" w:rsidRDefault="00276ACB" w14:paraId="79070207" w14:textId="77777777">
      <w:pPr>
        <w:pStyle w:val="JuQuot"/>
      </w:pPr>
      <w:r w:rsidRPr="00EE7416">
        <w:t>(</w:t>
      </w:r>
      <w:r w:rsidRPr="00EE7416" w:rsidR="00A96563">
        <w:t>4</w:t>
      </w:r>
      <w:r w:rsidRPr="00EE7416">
        <w:t>)</w:t>
      </w:r>
      <w:r w:rsidRPr="00EE7416" w:rsidR="00D44011">
        <w:t>  </w:t>
      </w:r>
      <w:r w:rsidRPr="00EE7416" w:rsidR="00A96563">
        <w:t>[repealed]</w:t>
      </w:r>
    </w:p>
    <w:p w:rsidRPr="00EE7416" w:rsidR="00A96563" w:rsidP="00EE7416" w:rsidRDefault="00276ACB" w14:paraId="1CE5ADB9" w14:textId="77777777">
      <w:pPr>
        <w:pStyle w:val="JuQuot"/>
      </w:pPr>
      <w:r w:rsidRPr="00EE7416">
        <w:t>(</w:t>
      </w:r>
      <w:r w:rsidRPr="00EE7416" w:rsidR="00A96563">
        <w:t>5</w:t>
      </w:r>
      <w:r w:rsidRPr="00EE7416">
        <w:t>)</w:t>
      </w:r>
      <w:r w:rsidRPr="00EE7416" w:rsidR="00D44011">
        <w:t>  </w:t>
      </w:r>
      <w:r w:rsidRPr="00EE7416" w:rsidR="00A96563">
        <w:t xml:space="preserve">If </w:t>
      </w:r>
      <w:r w:rsidRPr="00EE7416" w:rsidR="0087685D">
        <w:t xml:space="preserve">a </w:t>
      </w:r>
      <w:r w:rsidRPr="00EE7416" w:rsidR="00A96563">
        <w:t xml:space="preserve">municipality fails to provide social </w:t>
      </w:r>
      <w:r w:rsidRPr="00EE7416" w:rsidR="002E1940">
        <w:t xml:space="preserve">housing </w:t>
      </w:r>
      <w:r w:rsidRPr="00EE7416" w:rsidR="00A96563">
        <w:t xml:space="preserve">to a person entitled to it </w:t>
      </w:r>
      <w:r w:rsidRPr="00EE7416" w:rsidR="007341EB">
        <w:t>in accordance with</w:t>
      </w:r>
      <w:r w:rsidRPr="00EE7416" w:rsidR="00A96563">
        <w:t xml:space="preserve"> a final court judgment, </w:t>
      </w:r>
      <w:r w:rsidRPr="00EE7416" w:rsidR="00145D1F">
        <w:t>the</w:t>
      </w:r>
      <w:r w:rsidRPr="00EE7416" w:rsidR="00A96563">
        <w:t xml:space="preserve"> owner [of the </w:t>
      </w:r>
      <w:r w:rsidRPr="00EE7416" w:rsidR="00145D1F">
        <w:t>flat</w:t>
      </w:r>
      <w:r w:rsidRPr="00EE7416" w:rsidR="00A96563">
        <w:t>] has the right to claim compensation from the municipality, on the basis of Article 417 of the Civil Code.”</w:t>
      </w:r>
    </w:p>
    <w:p w:rsidRPr="00EE7416" w:rsidR="00E83CA0" w:rsidP="00EE7416" w:rsidRDefault="00680EB0" w14:paraId="32464A54" w14:textId="3F481FF1">
      <w:pPr>
        <w:pStyle w:val="JuPara"/>
      </w:pPr>
      <w:r w:rsidRPr="00EE7416">
        <w:rPr>
          <w:rFonts w:eastAsiaTheme="majorEastAsia"/>
        </w:rPr>
        <w:fldChar w:fldCharType="begin"/>
      </w:r>
      <w:r w:rsidRPr="00EE7416">
        <w:rPr>
          <w:rFonts w:eastAsiaTheme="majorEastAsia"/>
        </w:rPr>
        <w:instrText xml:space="preserve"> SEQ level0 \*arabic </w:instrText>
      </w:r>
      <w:r w:rsidRPr="00EE7416">
        <w:rPr>
          <w:rFonts w:eastAsiaTheme="majorEastAsia"/>
        </w:rPr>
        <w:fldChar w:fldCharType="separate"/>
      </w:r>
      <w:r w:rsidRPr="00EE7416" w:rsidR="00EE7416">
        <w:rPr>
          <w:rFonts w:eastAsiaTheme="majorEastAsia"/>
          <w:noProof/>
        </w:rPr>
        <w:t>16</w:t>
      </w:r>
      <w:r w:rsidRPr="00EE7416">
        <w:rPr>
          <w:rFonts w:eastAsiaTheme="majorEastAsia"/>
        </w:rPr>
        <w:fldChar w:fldCharType="end"/>
      </w:r>
      <w:r w:rsidRPr="00EE7416">
        <w:rPr>
          <w:rFonts w:eastAsiaTheme="majorEastAsia"/>
        </w:rPr>
        <w:t>.  </w:t>
      </w:r>
      <w:r w:rsidRPr="00EE7416" w:rsidR="00E83CA0">
        <w:rPr>
          <w:rFonts w:eastAsiaTheme="majorEastAsia"/>
        </w:rPr>
        <w:t xml:space="preserve">Article </w:t>
      </w:r>
      <w:bookmarkStart w:name="HIT10" w:id="5"/>
      <w:bookmarkEnd w:id="5"/>
      <w:r w:rsidRPr="00EE7416" w:rsidR="00E83CA0">
        <w:rPr>
          <w:rFonts w:eastAsiaTheme="majorEastAsia"/>
        </w:rPr>
        <w:t>417 § 1 of the Civil Code provides:</w:t>
      </w:r>
    </w:p>
    <w:p w:rsidRPr="00EE7416" w:rsidR="00E83CA0" w:rsidP="00EE7416" w:rsidRDefault="00E83CA0" w14:paraId="4D9E543A" w14:textId="77777777">
      <w:pPr>
        <w:pStyle w:val="JuQuot"/>
      </w:pPr>
      <w:r w:rsidRPr="00EE7416">
        <w:t xml:space="preserve">“The State Treasury, or [as the case may be] a self-government entity or other legal person responsible for exercising public authority, shall be liable for any </w:t>
      </w:r>
      <w:r w:rsidRPr="00EE7416" w:rsidR="00680EB0">
        <w:t>damage</w:t>
      </w:r>
      <w:r w:rsidRPr="00EE7416">
        <w:t xml:space="preserve"> </w:t>
      </w:r>
      <w:r w:rsidRPr="00EE7416">
        <w:rPr>
          <w:i/>
        </w:rPr>
        <w:t>(szkoda)</w:t>
      </w:r>
      <w:r w:rsidRPr="00EE7416">
        <w:t xml:space="preserve"> caused by an unlawful act or omission [committed] in connection with the exercise of public authority.”</w:t>
      </w:r>
    </w:p>
    <w:p w:rsidRPr="00EE7416" w:rsidR="00624E61" w:rsidP="00EE7416" w:rsidRDefault="00624E61" w14:paraId="4E121B7F" w14:textId="5CE4E8E1">
      <w:pPr>
        <w:pStyle w:val="JuPara"/>
      </w:pPr>
      <w:r w:rsidRPr="00EE7416">
        <w:fldChar w:fldCharType="begin"/>
      </w:r>
      <w:r w:rsidRPr="00EE7416">
        <w:instrText xml:space="preserve"> SEQ level0 \*arabic </w:instrText>
      </w:r>
      <w:r w:rsidRPr="00EE7416">
        <w:fldChar w:fldCharType="separate"/>
      </w:r>
      <w:r w:rsidRPr="00EE7416" w:rsidR="00EE7416">
        <w:rPr>
          <w:noProof/>
        </w:rPr>
        <w:t>17</w:t>
      </w:r>
      <w:r w:rsidRPr="00EE7416">
        <w:fldChar w:fldCharType="end"/>
      </w:r>
      <w:r w:rsidRPr="00EE7416">
        <w:t>.  </w:t>
      </w:r>
      <w:r w:rsidRPr="00EE7416" w:rsidR="00BA27B4">
        <w:t xml:space="preserve">On 7 April 2006 the Supreme Court </w:t>
      </w:r>
      <w:r w:rsidRPr="00EE7416">
        <w:t xml:space="preserve">issued </w:t>
      </w:r>
      <w:r w:rsidRPr="00EE7416" w:rsidR="00BA27B4">
        <w:t>a resolution</w:t>
      </w:r>
      <w:r w:rsidRPr="00EE7416">
        <w:t xml:space="preserve"> (III CZP 21/06) which read as follows</w:t>
      </w:r>
      <w:r w:rsidRPr="00EE7416" w:rsidR="00C771EE">
        <w:t>:</w:t>
      </w:r>
    </w:p>
    <w:p w:rsidRPr="00EE7416" w:rsidR="00BA27B4" w:rsidP="00EE7416" w:rsidRDefault="00624E61" w14:paraId="27B5BC97" w14:textId="77777777">
      <w:pPr>
        <w:pStyle w:val="JuQuot"/>
      </w:pPr>
      <w:r w:rsidRPr="00EE7416">
        <w:t xml:space="preserve">“A claim of an owner of a flat against a municipality referred to in Section 18(4) </w:t>
      </w:r>
      <w:r w:rsidRPr="00EE7416" w:rsidR="00680EB0">
        <w:t>[current 18(5)]</w:t>
      </w:r>
      <w:r w:rsidRPr="00EE7416" w:rsidR="00011835">
        <w:t xml:space="preserve"> </w:t>
      </w:r>
      <w:r w:rsidRPr="00EE7416">
        <w:t xml:space="preserve">of the 2001 Act is of a compensatory nature. A municipality is under an obligation to pay compensation on the basis of that provision only if the owner shows that in result of the flat being occupied by a third party without a legal title, he or she suffered </w:t>
      </w:r>
      <w:r w:rsidRPr="00EE7416" w:rsidR="00680EB0">
        <w:t>damage</w:t>
      </w:r>
      <w:r w:rsidRPr="00EE7416">
        <w:t>.”</w:t>
      </w:r>
    </w:p>
    <w:p w:rsidRPr="00EE7416" w:rsidR="00B51E2C" w:rsidP="00EE7416" w:rsidRDefault="00B51E2C" w14:paraId="0210C473" w14:textId="77777777">
      <w:pPr>
        <w:pStyle w:val="JuHHead"/>
      </w:pPr>
      <w:r w:rsidRPr="00EE7416">
        <w:t>THE LAW</w:t>
      </w:r>
    </w:p>
    <w:p w:rsidRPr="00EE7416" w:rsidR="000C2B06" w:rsidP="00EE7416" w:rsidRDefault="00B51E2C" w14:paraId="584D3037" w14:textId="048C304D">
      <w:pPr>
        <w:pStyle w:val="JuHIRoman"/>
      </w:pPr>
      <w:r w:rsidRPr="00EE7416">
        <w:t xml:space="preserve">ALLEGED VIOLATION OF ARTICLE </w:t>
      </w:r>
      <w:r w:rsidRPr="00EE7416" w:rsidR="00092DC4">
        <w:t xml:space="preserve">1 </w:t>
      </w:r>
      <w:r w:rsidRPr="00EE7416" w:rsidR="00737912">
        <w:t>OF PROTOCOL</w:t>
      </w:r>
      <w:r w:rsidRPr="00EE7416" w:rsidR="00092DC4">
        <w:t xml:space="preserve"> No. 1</w:t>
      </w:r>
    </w:p>
    <w:p w:rsidRPr="00EE7416" w:rsidR="00B51E2C" w:rsidP="00EE7416" w:rsidRDefault="00FA38BD" w14:paraId="243F8FEB" w14:textId="51A0E625">
      <w:pPr>
        <w:pStyle w:val="JuPara"/>
      </w:pPr>
      <w:r w:rsidRPr="00EE7416">
        <w:fldChar w:fldCharType="begin"/>
      </w:r>
      <w:r w:rsidRPr="00EE7416">
        <w:instrText xml:space="preserve"> SEQ level0 \*arabic </w:instrText>
      </w:r>
      <w:r w:rsidRPr="00EE7416">
        <w:fldChar w:fldCharType="separate"/>
      </w:r>
      <w:r w:rsidRPr="00EE7416" w:rsidR="00EE7416">
        <w:rPr>
          <w:noProof/>
        </w:rPr>
        <w:t>18</w:t>
      </w:r>
      <w:r w:rsidRPr="00EE7416">
        <w:fldChar w:fldCharType="end"/>
      </w:r>
      <w:r w:rsidRPr="00EE7416" w:rsidR="00B51E2C">
        <w:t xml:space="preserve">.  The applicant complained that </w:t>
      </w:r>
      <w:r w:rsidRPr="00EE7416" w:rsidR="00365C36">
        <w:t xml:space="preserve">the refusal to grant him compensation from a tenant who had occupied his </w:t>
      </w:r>
      <w:r w:rsidRPr="00EE7416" w:rsidR="002E1940">
        <w:t xml:space="preserve">flat </w:t>
      </w:r>
      <w:r w:rsidRPr="00EE7416" w:rsidR="00365C36">
        <w:t>without a valid legal title amounted to</w:t>
      </w:r>
      <w:r w:rsidRPr="00EE7416" w:rsidR="00C771EE">
        <w:t xml:space="preserve"> an</w:t>
      </w:r>
      <w:r w:rsidRPr="00EE7416" w:rsidR="00365C36">
        <w:t xml:space="preserve"> </w:t>
      </w:r>
      <w:r w:rsidRPr="00EE7416" w:rsidR="00FD5FEF">
        <w:t>interference with his right to peaceful enjoyment of his possessions in breach of</w:t>
      </w:r>
      <w:r w:rsidRPr="00EE7416" w:rsidR="00B51E2C">
        <w:t xml:space="preserve"> Article </w:t>
      </w:r>
      <w:r w:rsidRPr="00EE7416" w:rsidR="00EF151A">
        <w:t>1 of Protocol No. 1</w:t>
      </w:r>
      <w:r w:rsidRPr="00EE7416" w:rsidR="00B51E2C">
        <w:t>, which reads as follows:</w:t>
      </w:r>
    </w:p>
    <w:p w:rsidRPr="00EE7416" w:rsidR="00521D9E" w:rsidP="00EE7416" w:rsidRDefault="00521D9E" w14:paraId="3580DDFF" w14:textId="77777777">
      <w:pPr>
        <w:pStyle w:val="JuQuot"/>
      </w:pPr>
      <w:r w:rsidRPr="00EE7416">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EE7416" w:rsidR="00521D9E" w:rsidP="00EE7416" w:rsidRDefault="00521D9E" w14:paraId="2BD15F3F" w14:textId="77777777">
      <w:pPr>
        <w:pStyle w:val="JuQuot"/>
      </w:pPr>
      <w:r w:rsidRPr="00EE7416">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EE7416" w:rsidR="00B51E2C" w:rsidP="00EE7416" w:rsidRDefault="00B51E2C" w14:paraId="1A3FC509" w14:textId="6BE0D8F1">
      <w:pPr>
        <w:pStyle w:val="JuHA"/>
      </w:pPr>
      <w:r w:rsidRPr="00EE7416">
        <w:t>Admissibility</w:t>
      </w:r>
    </w:p>
    <w:p w:rsidRPr="00EE7416" w:rsidR="00BD16F4" w:rsidP="00EE7416" w:rsidRDefault="007D7B43" w14:paraId="3CF7FE49" w14:textId="23AA8F48">
      <w:pPr>
        <w:pStyle w:val="JuH1"/>
      </w:pPr>
      <w:r w:rsidRPr="00EE7416">
        <w:t>The applicant</w:t>
      </w:r>
      <w:r w:rsidRPr="00EE7416" w:rsidR="00EE7416">
        <w:t>’</w:t>
      </w:r>
      <w:r w:rsidRPr="00EE7416">
        <w:t>s v</w:t>
      </w:r>
      <w:r w:rsidRPr="00EE7416" w:rsidR="001C5D50">
        <w:t>ictim status</w:t>
      </w:r>
    </w:p>
    <w:p w:rsidRPr="00EE7416" w:rsidR="000C2B06" w:rsidP="00EE7416" w:rsidRDefault="00DF78B6" w14:paraId="34AD6A99" w14:textId="6BEA3D3D">
      <w:pPr>
        <w:pStyle w:val="JuPara"/>
      </w:pPr>
      <w:r w:rsidRPr="00EE7416">
        <w:fldChar w:fldCharType="begin"/>
      </w:r>
      <w:r w:rsidRPr="00EE7416">
        <w:instrText xml:space="preserve"> SEQ level0 \*arabic </w:instrText>
      </w:r>
      <w:r w:rsidRPr="00EE7416">
        <w:fldChar w:fldCharType="separate"/>
      </w:r>
      <w:r w:rsidRPr="00EE7416" w:rsidR="00EE7416">
        <w:rPr>
          <w:noProof/>
        </w:rPr>
        <w:t>19</w:t>
      </w:r>
      <w:r w:rsidRPr="00EE7416">
        <w:fldChar w:fldCharType="end"/>
      </w:r>
      <w:r w:rsidRPr="00EE7416">
        <w:t>.  </w:t>
      </w:r>
      <w:r w:rsidRPr="00EE7416" w:rsidR="00587D81">
        <w:t xml:space="preserve">The Government submitted that the applicant had lost his victim status since on 22 June 2012 the </w:t>
      </w:r>
      <w:r w:rsidRPr="00EE7416" w:rsidR="002E1940">
        <w:t xml:space="preserve">Municipality of </w:t>
      </w:r>
      <w:r w:rsidRPr="00EE7416" w:rsidR="00587D81">
        <w:t>Pozna</w:t>
      </w:r>
      <w:r w:rsidRPr="00EE7416" w:rsidR="00587D81">
        <w:rPr>
          <w:rFonts w:cstheme="minorHAnsi"/>
        </w:rPr>
        <w:t>ń</w:t>
      </w:r>
      <w:r w:rsidRPr="00EE7416" w:rsidR="00587D81">
        <w:t xml:space="preserve"> had informed the applicant</w:t>
      </w:r>
      <w:r w:rsidRPr="00EE7416" w:rsidR="00EE7416">
        <w:t>’</w:t>
      </w:r>
      <w:r w:rsidRPr="00EE7416" w:rsidR="00587D81">
        <w:t xml:space="preserve">s tenant of the social </w:t>
      </w:r>
      <w:r w:rsidRPr="00EE7416" w:rsidR="002E1940">
        <w:t xml:space="preserve">housing </w:t>
      </w:r>
      <w:r w:rsidRPr="00EE7416" w:rsidR="00587D81">
        <w:t xml:space="preserve">granted to him. In this way the domestic authorities </w:t>
      </w:r>
      <w:r w:rsidRPr="00EE7416" w:rsidR="00AE4749">
        <w:t xml:space="preserve">had </w:t>
      </w:r>
      <w:r w:rsidRPr="00EE7416" w:rsidR="00587D81">
        <w:t>fulfilled the obligation imposed on them by the Poznań District Court in its judgment of 24 August 2007. The applicant</w:t>
      </w:r>
      <w:r w:rsidRPr="00EE7416" w:rsidR="00EE7416">
        <w:t>’</w:t>
      </w:r>
      <w:r w:rsidRPr="00EE7416" w:rsidR="00587D81">
        <w:t xml:space="preserve">s tenant </w:t>
      </w:r>
      <w:r w:rsidRPr="00EE7416" w:rsidR="00A53671">
        <w:t xml:space="preserve">had </w:t>
      </w:r>
      <w:r w:rsidRPr="00EE7416" w:rsidR="00587D81">
        <w:t xml:space="preserve">moved out of the </w:t>
      </w:r>
      <w:r w:rsidRPr="00EE7416" w:rsidR="002E1940">
        <w:t xml:space="preserve">flat </w:t>
      </w:r>
      <w:r w:rsidRPr="00EE7416" w:rsidR="00587D81">
        <w:t>and, therefore</w:t>
      </w:r>
      <w:r w:rsidRPr="00EE7416" w:rsidR="00AE4749">
        <w:t>,</w:t>
      </w:r>
      <w:r w:rsidRPr="00EE7416" w:rsidR="00587D81">
        <w:t xml:space="preserve"> the applicant</w:t>
      </w:r>
      <w:r w:rsidRPr="00EE7416" w:rsidR="00EE7416">
        <w:t>’</w:t>
      </w:r>
      <w:r w:rsidRPr="00EE7416" w:rsidR="00587D81">
        <w:t xml:space="preserve">s situation </w:t>
      </w:r>
      <w:r w:rsidRPr="00EE7416" w:rsidR="007341EB">
        <w:t xml:space="preserve">had been </w:t>
      </w:r>
      <w:r w:rsidRPr="00EE7416" w:rsidR="00587D81">
        <w:t xml:space="preserve">redressed. Consequently, the Government invited the Court to declare the present application inadmissible as incompatible </w:t>
      </w:r>
      <w:r w:rsidRPr="00EE7416" w:rsidR="00587D81">
        <w:rPr>
          <w:i/>
        </w:rPr>
        <w:t>ratione personae</w:t>
      </w:r>
      <w:r w:rsidRPr="00EE7416" w:rsidR="00587D81">
        <w:t xml:space="preserve"> with Article 1 of Protocol No. 1.</w:t>
      </w:r>
    </w:p>
    <w:p w:rsidRPr="00EE7416" w:rsidR="00F52772" w:rsidP="00EE7416" w:rsidRDefault="00587D81" w14:paraId="7BDF38B5" w14:textId="65FE16B9">
      <w:pPr>
        <w:pStyle w:val="JuPara"/>
      </w:pPr>
      <w:r w:rsidRPr="00EE7416">
        <w:fldChar w:fldCharType="begin"/>
      </w:r>
      <w:r w:rsidRPr="00EE7416">
        <w:instrText xml:space="preserve"> SEQ level0 \*arabic </w:instrText>
      </w:r>
      <w:r w:rsidRPr="00EE7416">
        <w:fldChar w:fldCharType="separate"/>
      </w:r>
      <w:r w:rsidRPr="00EE7416" w:rsidR="00EE7416">
        <w:rPr>
          <w:noProof/>
        </w:rPr>
        <w:t>20</w:t>
      </w:r>
      <w:r w:rsidRPr="00EE7416">
        <w:fldChar w:fldCharType="end"/>
      </w:r>
      <w:r w:rsidRPr="00EE7416">
        <w:t xml:space="preserve">.  The applicant submitted that in order to be able to conclude that an applicant </w:t>
      </w:r>
      <w:r w:rsidRPr="00EE7416" w:rsidR="00AE4749">
        <w:t xml:space="preserve">had </w:t>
      </w:r>
      <w:r w:rsidRPr="00EE7416">
        <w:t>lost victim status</w:t>
      </w:r>
      <w:r w:rsidRPr="00EE7416" w:rsidR="00AE4749">
        <w:t>,</w:t>
      </w:r>
      <w:r w:rsidRPr="00EE7416">
        <w:t xml:space="preserve"> the domestic authorities firstly </w:t>
      </w:r>
      <w:r w:rsidRPr="00EE7416" w:rsidR="00AE4749">
        <w:t xml:space="preserve">had to </w:t>
      </w:r>
      <w:r w:rsidRPr="00EE7416">
        <w:t xml:space="preserve">recognise that there </w:t>
      </w:r>
      <w:r w:rsidRPr="00EE7416" w:rsidR="00A53671">
        <w:t xml:space="preserve">had been </w:t>
      </w:r>
      <w:r w:rsidRPr="00EE7416">
        <w:t>a violation of the Convention and, secondly</w:t>
      </w:r>
      <w:r w:rsidRPr="00EE7416" w:rsidR="002E1940">
        <w:t>,</w:t>
      </w:r>
      <w:r w:rsidRPr="00EE7416">
        <w:t xml:space="preserve"> they should award adequate compensation. </w:t>
      </w:r>
      <w:r w:rsidRPr="00EE7416" w:rsidR="00BB04BC">
        <w:t>He</w:t>
      </w:r>
      <w:r w:rsidRPr="00EE7416" w:rsidR="00C54D9C">
        <w:t xml:space="preserve"> further submitted that, on 22</w:t>
      </w:r>
      <w:r w:rsidRPr="00EE7416" w:rsidR="00BB04BC">
        <w:t> </w:t>
      </w:r>
      <w:r w:rsidRPr="00EE7416" w:rsidR="00C54D9C">
        <w:t xml:space="preserve">June 2012, his tenant had indeed been granted social </w:t>
      </w:r>
      <w:r w:rsidRPr="00EE7416" w:rsidR="002E1940">
        <w:t>housing</w:t>
      </w:r>
      <w:r w:rsidRPr="00EE7416" w:rsidR="00C54D9C">
        <w:t>. However, between 15 September 2007 and 22 June 2012 the applicant had been unable to enjoy his property</w:t>
      </w:r>
      <w:r w:rsidRPr="00EE7416" w:rsidR="002E1940">
        <w:t>,</w:t>
      </w:r>
      <w:r w:rsidRPr="00EE7416" w:rsidR="00C54D9C">
        <w:t xml:space="preserve"> and his claim for compensation for that period </w:t>
      </w:r>
      <w:r w:rsidRPr="00EE7416" w:rsidR="00A53671">
        <w:t xml:space="preserve">had been </w:t>
      </w:r>
      <w:r w:rsidRPr="00EE7416" w:rsidR="00C54D9C">
        <w:t>dismissed by the domestic courts.</w:t>
      </w:r>
      <w:r w:rsidRPr="00EE7416" w:rsidR="008A0E41">
        <w:t xml:space="preserve"> In the applicant</w:t>
      </w:r>
      <w:r w:rsidRPr="00EE7416" w:rsidR="00EE7416">
        <w:t>’</w:t>
      </w:r>
      <w:r w:rsidRPr="00EE7416" w:rsidR="008A0E41">
        <w:t xml:space="preserve">s view the authorities </w:t>
      </w:r>
      <w:r w:rsidRPr="00EE7416" w:rsidR="002E1940">
        <w:t xml:space="preserve">had </w:t>
      </w:r>
      <w:r w:rsidRPr="00EE7416" w:rsidR="008A0E41">
        <w:t xml:space="preserve">failed to redress the interference with his Convention rights. Therefore, </w:t>
      </w:r>
      <w:r w:rsidRPr="00EE7416" w:rsidR="00C54D9C">
        <w:t>he conclu</w:t>
      </w:r>
      <w:r w:rsidRPr="00EE7416" w:rsidR="00532FD8">
        <w:t>ded that he remained a victim of a violation of his rights under Article 1 of Protocol No.</w:t>
      </w:r>
      <w:r w:rsidRPr="00EE7416" w:rsidR="002E1940">
        <w:t> </w:t>
      </w:r>
      <w:r w:rsidRPr="00EE7416" w:rsidR="00532FD8">
        <w:t>1.</w:t>
      </w:r>
    </w:p>
    <w:p w:rsidRPr="00EE7416" w:rsidR="000C2B06" w:rsidP="00EE7416" w:rsidRDefault="00F52772" w14:paraId="3D8F82BF" w14:textId="16BC841B">
      <w:pPr>
        <w:pStyle w:val="JuPara"/>
      </w:pPr>
      <w:r w:rsidRPr="00EE7416">
        <w:fldChar w:fldCharType="begin"/>
      </w:r>
      <w:r w:rsidRPr="00EE7416">
        <w:instrText xml:space="preserve"> SEQ level0 \*arabic </w:instrText>
      </w:r>
      <w:r w:rsidRPr="00EE7416">
        <w:fldChar w:fldCharType="separate"/>
      </w:r>
      <w:r w:rsidRPr="00EE7416" w:rsidR="00EE7416">
        <w:rPr>
          <w:noProof/>
        </w:rPr>
        <w:t>21</w:t>
      </w:r>
      <w:r w:rsidRPr="00EE7416">
        <w:fldChar w:fldCharType="end"/>
      </w:r>
      <w:r w:rsidRPr="00EE7416">
        <w:t>.  </w:t>
      </w:r>
      <w:r w:rsidRPr="00EE7416" w:rsidR="00141CAE">
        <w:t xml:space="preserve">The Court notes that it is </w:t>
      </w:r>
      <w:r w:rsidRPr="00EE7416" w:rsidR="008A0E41">
        <w:t xml:space="preserve">beyond dispute </w:t>
      </w:r>
      <w:r w:rsidRPr="00EE7416" w:rsidR="00141CAE">
        <w:t>that the applicant</w:t>
      </w:r>
      <w:r w:rsidRPr="00EE7416" w:rsidR="00EE7416">
        <w:t>’</w:t>
      </w:r>
      <w:r w:rsidRPr="00EE7416" w:rsidR="00141CAE">
        <w:t xml:space="preserve">s tenant moved out of the </w:t>
      </w:r>
      <w:r w:rsidRPr="00EE7416" w:rsidR="002E1940">
        <w:t xml:space="preserve">flat </w:t>
      </w:r>
      <w:r w:rsidRPr="00EE7416" w:rsidR="00141CAE">
        <w:t xml:space="preserve">after having been granted social </w:t>
      </w:r>
      <w:r w:rsidRPr="00EE7416" w:rsidR="002E1940">
        <w:t xml:space="preserve">housing </w:t>
      </w:r>
      <w:r w:rsidRPr="00EE7416" w:rsidR="00141CAE">
        <w:t>from the municipality. However,</w:t>
      </w:r>
      <w:r w:rsidRPr="00EE7416" w:rsidR="00BB04BC">
        <w:t xml:space="preserve"> this </w:t>
      </w:r>
      <w:r w:rsidRPr="00EE7416" w:rsidR="00E805EF">
        <w:t>occurred</w:t>
      </w:r>
      <w:r w:rsidRPr="00EE7416" w:rsidR="002E1940">
        <w:t xml:space="preserve"> </w:t>
      </w:r>
      <w:r w:rsidRPr="00EE7416" w:rsidR="00BB04BC">
        <w:t xml:space="preserve">almost five years after the eviction </w:t>
      </w:r>
      <w:r w:rsidRPr="00EE7416" w:rsidR="002E1940">
        <w:t xml:space="preserve">order </w:t>
      </w:r>
      <w:r w:rsidRPr="00EE7416" w:rsidR="00BB04BC">
        <w:t>became final</w:t>
      </w:r>
      <w:r w:rsidRPr="00EE7416" w:rsidR="002E1940">
        <w:t>;</w:t>
      </w:r>
      <w:r w:rsidRPr="00EE7416" w:rsidR="00141CAE">
        <w:t xml:space="preserve"> indeed, from 15</w:t>
      </w:r>
      <w:r w:rsidRPr="00EE7416" w:rsidR="008A0E41">
        <w:t> </w:t>
      </w:r>
      <w:r w:rsidRPr="00EE7416" w:rsidR="00141CAE">
        <w:t xml:space="preserve">September 2007 </w:t>
      </w:r>
      <w:r w:rsidRPr="00EE7416" w:rsidR="002E1940">
        <w:t xml:space="preserve">to </w:t>
      </w:r>
      <w:r w:rsidRPr="00EE7416" w:rsidR="00141CAE">
        <w:t>22 June 2012</w:t>
      </w:r>
      <w:r w:rsidRPr="00EE7416" w:rsidR="002E1940">
        <w:t>,</w:t>
      </w:r>
      <w:r w:rsidRPr="00EE7416" w:rsidR="00141CAE">
        <w:t xml:space="preserve"> the applicant could not freely make use of his property and he was refused compensation </w:t>
      </w:r>
      <w:r w:rsidRPr="00EE7416" w:rsidR="00A53671">
        <w:t xml:space="preserve">on that account </w:t>
      </w:r>
      <w:r w:rsidRPr="00EE7416" w:rsidR="00141CAE">
        <w:t>by the domestic authorities. It follows that</w:t>
      </w:r>
      <w:r w:rsidRPr="00EE7416" w:rsidR="00C771EE">
        <w:t>,</w:t>
      </w:r>
      <w:r w:rsidRPr="00EE7416" w:rsidR="00141CAE">
        <w:t xml:space="preserve"> as regards that period, the applicant remains a victim of the alleged violation of his rights under the Convention</w:t>
      </w:r>
      <w:r w:rsidRPr="00EE7416" w:rsidR="00C771EE">
        <w:t xml:space="preserve"> and its Protocols</w:t>
      </w:r>
      <w:r w:rsidRPr="00EE7416" w:rsidR="00141CAE">
        <w:t>.</w:t>
      </w:r>
    </w:p>
    <w:p w:rsidRPr="00EE7416" w:rsidR="000C2B06" w:rsidP="00EE7416" w:rsidRDefault="00141CAE" w14:paraId="4597B121" w14:textId="73C1BDDD">
      <w:pPr>
        <w:pStyle w:val="JuPara"/>
      </w:pPr>
      <w:r w:rsidRPr="00EE7416">
        <w:t xml:space="preserve">Consequently, the Court </w:t>
      </w:r>
      <w:r w:rsidRPr="00EE7416" w:rsidR="00A53671">
        <w:t xml:space="preserve">dismisses </w:t>
      </w:r>
      <w:r w:rsidRPr="00EE7416">
        <w:t>the Government</w:t>
      </w:r>
      <w:r w:rsidRPr="00EE7416" w:rsidR="00EE7416">
        <w:t>’</w:t>
      </w:r>
      <w:r w:rsidRPr="00EE7416">
        <w:t>s objection.</w:t>
      </w:r>
    </w:p>
    <w:p w:rsidRPr="00EE7416" w:rsidR="001C5D50" w:rsidP="00EE7416" w:rsidRDefault="001C5D50" w14:paraId="67730D5C" w14:textId="268DFB93">
      <w:pPr>
        <w:pStyle w:val="JuH1"/>
      </w:pPr>
      <w:r w:rsidRPr="00EE7416">
        <w:t>Exhaustion of domestic remedies</w:t>
      </w:r>
    </w:p>
    <w:p w:rsidRPr="00EE7416" w:rsidR="008A4965" w:rsidP="00EE7416" w:rsidRDefault="008A4965" w14:paraId="43D48279" w14:textId="41FDB7F4">
      <w:pPr>
        <w:pStyle w:val="JuHa0"/>
      </w:pPr>
      <w:r w:rsidRPr="00EE7416">
        <w:t>The parties</w:t>
      </w:r>
      <w:r w:rsidRPr="00EE7416" w:rsidR="00EE7416">
        <w:t>’</w:t>
      </w:r>
      <w:r w:rsidRPr="00EE7416">
        <w:t xml:space="preserve"> submissions</w:t>
      </w:r>
    </w:p>
    <w:p w:rsidRPr="00EE7416" w:rsidR="00F52772" w:rsidP="00EE7416" w:rsidRDefault="008A0E41" w14:paraId="4A9E460E" w14:textId="5800CA95">
      <w:pPr>
        <w:pStyle w:val="JuPara"/>
      </w:pPr>
      <w:r w:rsidRPr="00EE7416">
        <w:fldChar w:fldCharType="begin"/>
      </w:r>
      <w:r w:rsidRPr="00EE7416">
        <w:instrText xml:space="preserve"> SEQ level0 \*arabic </w:instrText>
      </w:r>
      <w:r w:rsidRPr="00EE7416">
        <w:fldChar w:fldCharType="separate"/>
      </w:r>
      <w:r w:rsidRPr="00EE7416" w:rsidR="00EE7416">
        <w:rPr>
          <w:noProof/>
        </w:rPr>
        <w:t>22</w:t>
      </w:r>
      <w:r w:rsidRPr="00EE7416">
        <w:fldChar w:fldCharType="end"/>
      </w:r>
      <w:r w:rsidRPr="00EE7416">
        <w:t>.  </w:t>
      </w:r>
      <w:r w:rsidRPr="00EE7416" w:rsidR="00F52772">
        <w:t xml:space="preserve">The Government further submitted that the present application should be declared inadmissible </w:t>
      </w:r>
      <w:r w:rsidRPr="00EE7416" w:rsidR="00AE4749">
        <w:t>on account of</w:t>
      </w:r>
      <w:r w:rsidRPr="00EE7416" w:rsidR="00F52772">
        <w:t xml:space="preserve"> the applicant</w:t>
      </w:r>
      <w:r w:rsidRPr="00EE7416" w:rsidR="00EE7416">
        <w:t>’</w:t>
      </w:r>
      <w:r w:rsidRPr="00EE7416" w:rsidR="00F52772">
        <w:t xml:space="preserve">s failure to exhaust domestic remedies. They argued, firstly, </w:t>
      </w:r>
      <w:r w:rsidRPr="00EE7416" w:rsidR="00A67E0D">
        <w:t xml:space="preserve">that </w:t>
      </w:r>
      <w:r w:rsidRPr="00EE7416" w:rsidR="00F52772">
        <w:t>the applicant</w:t>
      </w:r>
      <w:r w:rsidRPr="00EE7416" w:rsidR="00EE7416">
        <w:t>’</w:t>
      </w:r>
      <w:r w:rsidRPr="00EE7416" w:rsidR="00F52772">
        <w:t>s claim</w:t>
      </w:r>
      <w:r w:rsidRPr="00EE7416" w:rsidR="0089540C">
        <w:t xml:space="preserve"> against the </w:t>
      </w:r>
      <w:r w:rsidRPr="00EE7416" w:rsidR="005712FD">
        <w:t xml:space="preserve">Municipality of </w:t>
      </w:r>
      <w:r w:rsidRPr="00EE7416" w:rsidR="0089540C">
        <w:t>Pozna</w:t>
      </w:r>
      <w:r w:rsidRPr="00EE7416" w:rsidR="0089540C">
        <w:rPr>
          <w:rFonts w:cstheme="minorHAnsi"/>
        </w:rPr>
        <w:t>ń</w:t>
      </w:r>
      <w:r w:rsidRPr="00EE7416" w:rsidR="0089540C">
        <w:t xml:space="preserve"> </w:t>
      </w:r>
      <w:r w:rsidRPr="00EE7416" w:rsidR="00F52772">
        <w:t xml:space="preserve">had been dismissed by the national courts </w:t>
      </w:r>
      <w:r w:rsidRPr="00EE7416" w:rsidR="00AE4749">
        <w:t xml:space="preserve">owing </w:t>
      </w:r>
      <w:r w:rsidRPr="00EE7416" w:rsidR="00F52772">
        <w:t>to the applicant</w:t>
      </w:r>
      <w:r w:rsidRPr="00EE7416" w:rsidR="00EE7416">
        <w:t>’</w:t>
      </w:r>
      <w:r w:rsidRPr="00EE7416" w:rsidR="00F52772">
        <w:t xml:space="preserve">s failure to </w:t>
      </w:r>
      <w:r w:rsidRPr="00EE7416" w:rsidR="0089540C">
        <w:t xml:space="preserve">provide relevant evidence in support of his demands. Secondly, they argued that under </w:t>
      </w:r>
      <w:r w:rsidRPr="00EE7416" w:rsidR="00D23672">
        <w:t>s</w:t>
      </w:r>
      <w:r w:rsidRPr="00EE7416" w:rsidR="0089540C">
        <w:t>ection 18(</w:t>
      </w:r>
      <w:r w:rsidRPr="00EE7416" w:rsidR="002C2038">
        <w:t>5</w:t>
      </w:r>
      <w:r w:rsidRPr="00EE7416" w:rsidR="0089540C">
        <w:t>) of the 2001 Act he had had at his disposal a further claim for compensation against the tenant, whic</w:t>
      </w:r>
      <w:r w:rsidRPr="00EE7416" w:rsidR="00E9791E">
        <w:t>h he had failed to make use of.</w:t>
      </w:r>
    </w:p>
    <w:p w:rsidRPr="00EE7416" w:rsidR="00A84680" w:rsidP="00EE7416" w:rsidRDefault="00937865" w14:paraId="34F268B8" w14:textId="1495D831">
      <w:pPr>
        <w:pStyle w:val="JuPara"/>
      </w:pPr>
      <w:r w:rsidRPr="00EE7416">
        <w:fldChar w:fldCharType="begin"/>
      </w:r>
      <w:r w:rsidRPr="00EE7416">
        <w:instrText xml:space="preserve"> SEQ level0 \*arabic </w:instrText>
      </w:r>
      <w:r w:rsidRPr="00EE7416">
        <w:fldChar w:fldCharType="separate"/>
      </w:r>
      <w:r w:rsidRPr="00EE7416" w:rsidR="00EE7416">
        <w:rPr>
          <w:noProof/>
        </w:rPr>
        <w:t>23</w:t>
      </w:r>
      <w:r w:rsidRPr="00EE7416">
        <w:fldChar w:fldCharType="end"/>
      </w:r>
      <w:r w:rsidRPr="00EE7416">
        <w:t>.  The applicant submitted that he had</w:t>
      </w:r>
      <w:r w:rsidRPr="00EE7416" w:rsidR="007D7B43">
        <w:t xml:space="preserve"> exhausted the available domestic remedies and</w:t>
      </w:r>
      <w:r w:rsidRPr="00EE7416">
        <w:t xml:space="preserve"> satisfied all conditions to be granted compensation referred to in </w:t>
      </w:r>
      <w:r w:rsidRPr="00EE7416" w:rsidR="00D23672">
        <w:t>s</w:t>
      </w:r>
      <w:r w:rsidRPr="00EE7416">
        <w:t>ection 18(</w:t>
      </w:r>
      <w:r w:rsidRPr="00EE7416" w:rsidR="002C2038">
        <w:t>5</w:t>
      </w:r>
      <w:r w:rsidRPr="00EE7416">
        <w:t>) of the 2001 Act</w:t>
      </w:r>
      <w:r w:rsidRPr="00EE7416" w:rsidR="007D7B43">
        <w:t>.</w:t>
      </w:r>
      <w:r w:rsidRPr="00EE7416" w:rsidR="00A84680">
        <w:t xml:space="preserve"> As regards the Government</w:t>
      </w:r>
      <w:r w:rsidRPr="00EE7416" w:rsidR="00EE7416">
        <w:t>’</w:t>
      </w:r>
      <w:r w:rsidRPr="00EE7416" w:rsidR="00A84680">
        <w:t xml:space="preserve">s argument that </w:t>
      </w:r>
      <w:r w:rsidRPr="00EE7416" w:rsidR="007D4458">
        <w:t>he</w:t>
      </w:r>
      <w:r w:rsidRPr="00EE7416" w:rsidR="00A84680">
        <w:t xml:space="preserve"> should have lodged a claim against R.S., he maintained that such a remedy, even assuming a positive outcome of the judicial proceedings, would not be effective because R.S. had been insolvent: not only had he failed to pay the applicant the rent due, he had also neglected to pay the service charges for the flat in question.</w:t>
      </w:r>
    </w:p>
    <w:p w:rsidRPr="00EE7416" w:rsidR="007D0CD0" w:rsidP="00EE7416" w:rsidRDefault="007D0CD0" w14:paraId="52A82852" w14:textId="5FD7AD2B">
      <w:pPr>
        <w:pStyle w:val="JuHa0"/>
      </w:pPr>
      <w:r w:rsidRPr="00EE7416">
        <w:t>The Court</w:t>
      </w:r>
      <w:r w:rsidRPr="00EE7416" w:rsidR="00EE7416">
        <w:t>’</w:t>
      </w:r>
      <w:r w:rsidRPr="00EE7416">
        <w:t>s assessment</w:t>
      </w:r>
    </w:p>
    <w:p w:rsidRPr="00EE7416" w:rsidR="00D65293" w:rsidP="00EE7416" w:rsidRDefault="007D0CD0" w14:paraId="181FA496" w14:textId="3216B0F2">
      <w:pPr>
        <w:pStyle w:val="JuPara"/>
      </w:pPr>
      <w:r w:rsidRPr="00EE7416">
        <w:fldChar w:fldCharType="begin"/>
      </w:r>
      <w:r w:rsidRPr="00EE7416">
        <w:instrText xml:space="preserve"> SEQ level0 \*arabic </w:instrText>
      </w:r>
      <w:r w:rsidRPr="00EE7416">
        <w:fldChar w:fldCharType="separate"/>
      </w:r>
      <w:r w:rsidRPr="00EE7416" w:rsidR="00EE7416">
        <w:rPr>
          <w:noProof/>
        </w:rPr>
        <w:t>24</w:t>
      </w:r>
      <w:r w:rsidRPr="00EE7416">
        <w:fldChar w:fldCharType="end"/>
      </w:r>
      <w:r w:rsidRPr="00EE7416">
        <w:t>.  </w:t>
      </w:r>
      <w:r w:rsidRPr="00EE7416" w:rsidR="00D65293">
        <w:t xml:space="preserve">The Court reiterates that the rule of exhaustion of domestic remedies in Article 35 § 1 of the Convention requires applicants to </w:t>
      </w:r>
      <w:r w:rsidRPr="00EE7416" w:rsidR="00EB7117">
        <w:t xml:space="preserve">first </w:t>
      </w:r>
      <w:r w:rsidRPr="00EE7416" w:rsidR="00D65293">
        <w:t xml:space="preserve">use the remedies provided by the national legal system, thus </w:t>
      </w:r>
      <w:r w:rsidRPr="00EE7416" w:rsidR="00A67E0D">
        <w:t xml:space="preserve">exempting </w:t>
      </w:r>
      <w:r w:rsidRPr="00EE7416" w:rsidR="00D65293">
        <w:t>States from answering before the Court for their acts before they have had an opportunity to put matters right through their own legal system. Recourse should therefore be had by an applicant to remedies which are available and sufficient to afford redress in respect of the breaches alleged. As a consequence, complaints intended to be made before the Court should have first been made to the appropriate domestic body, at least in substance and in compliance with the formal requirements and time-limits laid down in domestic law, and any procedural means that might prevent a breach of the Convention should have been used (see</w:t>
      </w:r>
      <w:r w:rsidRPr="00EE7416" w:rsidR="00A06A4C">
        <w:rPr>
          <w:i/>
        </w:rPr>
        <w:t xml:space="preserve"> Vučković and Others v. Serbia </w:t>
      </w:r>
      <w:r w:rsidRPr="00EE7416" w:rsidR="00A06A4C">
        <w:t>(preliminary objection) [GC], nos. 17153/11 and 29 others, § 72, 25</w:t>
      </w:r>
      <w:r w:rsidRPr="00EE7416" w:rsidR="00E1190E">
        <w:t> </w:t>
      </w:r>
      <w:r w:rsidRPr="00EE7416" w:rsidR="00A06A4C">
        <w:t>March 2014</w:t>
      </w:r>
      <w:r w:rsidRPr="00EE7416" w:rsidR="00D65293">
        <w:t>).</w:t>
      </w:r>
    </w:p>
    <w:p w:rsidRPr="00EE7416" w:rsidR="00B74EE3" w:rsidP="00EE7416" w:rsidRDefault="00E87AF0" w14:paraId="10F9DD52" w14:textId="5C47150E">
      <w:pPr>
        <w:pStyle w:val="JuPara"/>
      </w:pPr>
      <w:r w:rsidRPr="00EE7416">
        <w:fldChar w:fldCharType="begin"/>
      </w:r>
      <w:r w:rsidRPr="00EE7416">
        <w:instrText xml:space="preserve"> SEQ level0 \*arabic </w:instrText>
      </w:r>
      <w:r w:rsidRPr="00EE7416">
        <w:fldChar w:fldCharType="separate"/>
      </w:r>
      <w:r w:rsidRPr="00EE7416" w:rsidR="00EE7416">
        <w:rPr>
          <w:noProof/>
        </w:rPr>
        <w:t>25</w:t>
      </w:r>
      <w:r w:rsidRPr="00EE7416">
        <w:fldChar w:fldCharType="end"/>
      </w:r>
      <w:r w:rsidRPr="00EE7416">
        <w:t>.  As regards the claim for damages against the municipality under section 18(5) of the 2001 Act read in conjunction with Article 417 of the Civil Code, the Court has already examined this remedy and found it effective in that it had enabled landlords to obtain compensation for losses incurred owing to the municipal authorities</w:t>
      </w:r>
      <w:r w:rsidRPr="00EE7416" w:rsidR="00EE7416">
        <w:t>’</w:t>
      </w:r>
      <w:r w:rsidRPr="00EE7416">
        <w:t xml:space="preserve"> failure to provide social housing to tenants (see </w:t>
      </w:r>
      <w:r w:rsidRPr="00EE7416">
        <w:rPr>
          <w:i/>
        </w:rPr>
        <w:t>Wasiewska v. Poland</w:t>
      </w:r>
      <w:r w:rsidRPr="00EE7416">
        <w:t xml:space="preserve"> (dec.), no. 9873/11, §</w:t>
      </w:r>
      <w:r w:rsidRPr="00EE7416" w:rsidR="00E1190E">
        <w:t> </w:t>
      </w:r>
      <w:r w:rsidRPr="00EE7416">
        <w:t xml:space="preserve">31, 2 December 2014, and </w:t>
      </w:r>
      <w:r w:rsidRPr="00EE7416">
        <w:rPr>
          <w:i/>
        </w:rPr>
        <w:t>Strzelecka v. Poland</w:t>
      </w:r>
      <w:r w:rsidRPr="00EE7416">
        <w:t xml:space="preserve"> (dec.), no.</w:t>
      </w:r>
      <w:r w:rsidRPr="00EE7416" w:rsidR="00E1190E">
        <w:t> </w:t>
      </w:r>
      <w:r w:rsidRPr="00EE7416">
        <w:t>14217/10, §</w:t>
      </w:r>
      <w:r w:rsidRPr="00EE7416" w:rsidR="00E1190E">
        <w:t> </w:t>
      </w:r>
      <w:r w:rsidRPr="00EE7416">
        <w:t>44, 2 December 2014).</w:t>
      </w:r>
    </w:p>
    <w:p w:rsidRPr="00EE7416" w:rsidR="001C5D50" w:rsidP="00EE7416" w:rsidRDefault="001C5D50" w14:paraId="5CAC498F" w14:textId="1121C717">
      <w:pPr>
        <w:pStyle w:val="JuPara"/>
      </w:pPr>
      <w:r w:rsidRPr="00EE7416">
        <w:fldChar w:fldCharType="begin"/>
      </w:r>
      <w:r w:rsidRPr="00EE7416">
        <w:instrText xml:space="preserve"> SEQ level0 \*arabic </w:instrText>
      </w:r>
      <w:r w:rsidRPr="00EE7416">
        <w:fldChar w:fldCharType="separate"/>
      </w:r>
      <w:r w:rsidRPr="00EE7416" w:rsidR="00EE7416">
        <w:rPr>
          <w:noProof/>
        </w:rPr>
        <w:t>26</w:t>
      </w:r>
      <w:r w:rsidRPr="00EE7416">
        <w:fldChar w:fldCharType="end"/>
      </w:r>
      <w:r w:rsidRPr="00EE7416">
        <w:t>.  </w:t>
      </w:r>
      <w:r w:rsidRPr="00EE7416" w:rsidR="00E87AF0">
        <w:t>It follows that, in the present case, the applicant was under an obligation to make use of that remedy and he did so. He</w:t>
      </w:r>
      <w:r w:rsidRPr="00EE7416">
        <w:t xml:space="preserve"> made his complaint to the competent domestic court in compliance with the procedural requirements and</w:t>
      </w:r>
      <w:r w:rsidRPr="00EE7416" w:rsidR="007D7B43">
        <w:t xml:space="preserve"> within</w:t>
      </w:r>
      <w:r w:rsidRPr="00EE7416">
        <w:t xml:space="preserve"> the relevant time-limits. His claim was not time-barred or rejected on formal grounds. On the contrary, it was examined on the merits at two judicial instances. It follows that the applicant properly exhausted the available domestic remedies.</w:t>
      </w:r>
    </w:p>
    <w:p w:rsidRPr="00EE7416" w:rsidR="000C2B06" w:rsidP="00EE7416" w:rsidRDefault="00D65293" w14:paraId="588EEAAF" w14:textId="3876F307">
      <w:pPr>
        <w:pStyle w:val="JuPara"/>
      </w:pPr>
      <w:r w:rsidRPr="00EE7416">
        <w:fldChar w:fldCharType="begin"/>
      </w:r>
      <w:r w:rsidRPr="00EE7416">
        <w:instrText xml:space="preserve"> SEQ level0 \*arabic </w:instrText>
      </w:r>
      <w:r w:rsidRPr="00EE7416">
        <w:fldChar w:fldCharType="separate"/>
      </w:r>
      <w:r w:rsidRPr="00EE7416" w:rsidR="00EE7416">
        <w:rPr>
          <w:noProof/>
        </w:rPr>
        <w:t>27</w:t>
      </w:r>
      <w:r w:rsidRPr="00EE7416">
        <w:fldChar w:fldCharType="end"/>
      </w:r>
      <w:r w:rsidRPr="00EE7416">
        <w:t>.  </w:t>
      </w:r>
      <w:r w:rsidRPr="00EE7416" w:rsidR="0089540C">
        <w:t>As regards the Government</w:t>
      </w:r>
      <w:r w:rsidRPr="00EE7416" w:rsidR="00EE7416">
        <w:t>’</w:t>
      </w:r>
      <w:r w:rsidRPr="00EE7416" w:rsidR="0089540C">
        <w:t xml:space="preserve">s </w:t>
      </w:r>
      <w:r w:rsidRPr="00EE7416" w:rsidR="00E9791E">
        <w:t xml:space="preserve">second argument, the Court notes that in another similar case (see </w:t>
      </w:r>
      <w:r w:rsidRPr="00EE7416" w:rsidR="00E9791E">
        <w:rPr>
          <w:i/>
        </w:rPr>
        <w:t>Ko</w:t>
      </w:r>
      <w:r w:rsidRPr="00EE7416" w:rsidR="00E9791E">
        <w:rPr>
          <w:rFonts w:cstheme="minorHAnsi"/>
          <w:i/>
        </w:rPr>
        <w:t>ł</w:t>
      </w:r>
      <w:r w:rsidRPr="00EE7416" w:rsidR="00E9791E">
        <w:rPr>
          <w:i/>
        </w:rPr>
        <w:t xml:space="preserve">paczewska v. </w:t>
      </w:r>
      <w:r w:rsidRPr="00EE7416" w:rsidR="00E9791E">
        <w:t>Poland</w:t>
      </w:r>
      <w:r w:rsidRPr="00EE7416" w:rsidR="006C7D50">
        <w:t xml:space="preserve"> (dec.)</w:t>
      </w:r>
      <w:r w:rsidRPr="00EE7416">
        <w:t>,</w:t>
      </w:r>
      <w:r w:rsidRPr="00EE7416" w:rsidR="00E9791E">
        <w:t xml:space="preserve"> </w:t>
      </w:r>
      <w:r w:rsidRPr="00EE7416" w:rsidR="006C7D50">
        <w:t>no. </w:t>
      </w:r>
      <w:r w:rsidRPr="00EE7416" w:rsidR="00E9791E">
        <w:t>10872/11</w:t>
      </w:r>
      <w:r w:rsidRPr="00EE7416" w:rsidR="006C7D50">
        <w:t>, 6 December 2016</w:t>
      </w:r>
      <w:r w:rsidRPr="00EE7416" w:rsidR="00E9791E">
        <w:t xml:space="preserve">) the Government argued that the claim against the tenant was not an effective remedy and that an applicant should claim compensation from </w:t>
      </w:r>
      <w:r w:rsidRPr="00EE7416" w:rsidR="00EB7117">
        <w:t xml:space="preserve">the </w:t>
      </w:r>
      <w:r w:rsidRPr="00EE7416" w:rsidR="00E9791E">
        <w:t>municipality. In that case</w:t>
      </w:r>
      <w:r w:rsidRPr="00EE7416" w:rsidR="00EB7117">
        <w:t>,</w:t>
      </w:r>
      <w:r w:rsidRPr="00EE7416" w:rsidR="00E9791E">
        <w:t xml:space="preserve"> the Court agreed with the Government and declared the application inadmissible</w:t>
      </w:r>
      <w:r w:rsidRPr="00EE7416" w:rsidR="00A750A2">
        <w:t xml:space="preserve"> for failure to exhaust domestic remedies.</w:t>
      </w:r>
      <w:r w:rsidRPr="00EE7416" w:rsidR="00E9791E">
        <w:t xml:space="preserve"> The </w:t>
      </w:r>
      <w:r w:rsidRPr="00EE7416" w:rsidR="00B0136D">
        <w:t xml:space="preserve">Government has not submitted evidence showing that a lawsuit against the tenant would have been an effective </w:t>
      </w:r>
      <w:r w:rsidRPr="00EE7416" w:rsidR="008A0E41">
        <w:t>remedy</w:t>
      </w:r>
      <w:r w:rsidRPr="00EE7416" w:rsidR="00B0136D">
        <w:t xml:space="preserve"> in the present case. As a result,</w:t>
      </w:r>
      <w:r w:rsidRPr="00EE7416" w:rsidR="008A0E41">
        <w:t xml:space="preserve"> the Court </w:t>
      </w:r>
      <w:r w:rsidRPr="00EE7416" w:rsidR="00A67E0D">
        <w:t xml:space="preserve">dismisses </w:t>
      </w:r>
      <w:r w:rsidRPr="00EE7416" w:rsidR="008A0E41">
        <w:t>the Government</w:t>
      </w:r>
      <w:r w:rsidRPr="00EE7416" w:rsidR="00EE7416">
        <w:t>’</w:t>
      </w:r>
      <w:r w:rsidRPr="00EE7416" w:rsidR="008A0E41">
        <w:t>s objection in this respect.</w:t>
      </w:r>
    </w:p>
    <w:p w:rsidRPr="00EE7416" w:rsidR="001C5D50" w:rsidP="00EE7416" w:rsidRDefault="00EE7416" w14:paraId="679983D9" w14:textId="256837FB">
      <w:pPr>
        <w:pStyle w:val="JuPara"/>
        <w:rPr>
          <w:lang w:val="en-US"/>
        </w:rPr>
      </w:pPr>
      <w:fldSimple w:instr=" SEQ level0 \*arabic \* MERGEFORMAT ">
        <w:bookmarkStart w:name="paragraph00028" w:id="6"/>
        <w:r w:rsidRPr="00EE7416">
          <w:rPr>
            <w:noProof/>
          </w:rPr>
          <w:t>28</w:t>
        </w:r>
        <w:bookmarkEnd w:id="6"/>
      </w:fldSimple>
      <w:r w:rsidRPr="00EE7416" w:rsidR="00B1447E">
        <w:t>.  </w:t>
      </w:r>
      <w:r w:rsidRPr="00EE7416" w:rsidR="000D101D">
        <w:t xml:space="preserve">Turning to the </w:t>
      </w:r>
      <w:r w:rsidRPr="00EE7416" w:rsidR="008A0E41">
        <w:t>Government</w:t>
      </w:r>
      <w:r w:rsidRPr="00EE7416">
        <w:t>’</w:t>
      </w:r>
      <w:r w:rsidRPr="00EE7416" w:rsidR="008A0E41">
        <w:t xml:space="preserve">s argument concerning </w:t>
      </w:r>
      <w:bookmarkStart w:name="_Hlk93324020" w:id="7"/>
      <w:r w:rsidRPr="00EE7416" w:rsidR="008A0E41">
        <w:t xml:space="preserve">the alleged non-fulfilment of </w:t>
      </w:r>
      <w:r w:rsidRPr="00EE7416" w:rsidR="00A67E0D">
        <w:t xml:space="preserve">the </w:t>
      </w:r>
      <w:r w:rsidRPr="00EE7416" w:rsidR="008A0E41">
        <w:t>statutory requirements of a claim for compensation</w:t>
      </w:r>
      <w:bookmarkEnd w:id="7"/>
      <w:r w:rsidRPr="00EE7416" w:rsidR="008A0E41">
        <w:t>, the Court</w:t>
      </w:r>
      <w:r w:rsidRPr="00EE7416" w:rsidR="001C5D50">
        <w:t xml:space="preserve"> considers that this argument is </w:t>
      </w:r>
      <w:r w:rsidRPr="00EE7416" w:rsidR="001C5D50">
        <w:rPr>
          <w:lang w:val="en-US"/>
        </w:rPr>
        <w:t>closely linked to the merits of the applicant</w:t>
      </w:r>
      <w:r w:rsidRPr="00EE7416">
        <w:rPr>
          <w:lang w:val="en-US"/>
        </w:rPr>
        <w:t>’</w:t>
      </w:r>
      <w:r w:rsidRPr="00EE7416" w:rsidR="001C5D50">
        <w:rPr>
          <w:lang w:val="en-US"/>
        </w:rPr>
        <w:t xml:space="preserve">s complaint. The Court therefore considers that </w:t>
      </w:r>
      <w:r w:rsidRPr="00EE7416" w:rsidR="008A4965">
        <w:rPr>
          <w:lang w:val="en-US"/>
        </w:rPr>
        <w:t xml:space="preserve">it </w:t>
      </w:r>
      <w:r w:rsidRPr="00EE7416" w:rsidR="001C5D50">
        <w:rPr>
          <w:lang w:val="en-US"/>
        </w:rPr>
        <w:t xml:space="preserve">should be examined under the substantive provision of the Convention relied upon by the applicant (see, in particular, </w:t>
      </w:r>
      <w:r w:rsidRPr="00EE7416" w:rsidR="001C5D50">
        <w:rPr>
          <w:i/>
          <w:lang w:val="en-US"/>
        </w:rPr>
        <w:t>Airey v. Ireland</w:t>
      </w:r>
      <w:r w:rsidRPr="00EE7416" w:rsidR="001C5D50">
        <w:rPr>
          <w:lang w:val="en-US"/>
        </w:rPr>
        <w:t>, judgment of 9</w:t>
      </w:r>
      <w:r w:rsidRPr="00EE7416" w:rsidR="00E1190E">
        <w:rPr>
          <w:lang w:val="en-US"/>
        </w:rPr>
        <w:t> </w:t>
      </w:r>
      <w:r w:rsidRPr="00EE7416" w:rsidR="001C5D50">
        <w:rPr>
          <w:lang w:val="en-US"/>
        </w:rPr>
        <w:t xml:space="preserve">October 1979, Series A no. 32; </w:t>
      </w:r>
      <w:r w:rsidRPr="00EE7416" w:rsidR="001C5D50">
        <w:rPr>
          <w:i/>
          <w:lang w:val="en-US"/>
        </w:rPr>
        <w:t>Gnahoré v. France</w:t>
      </w:r>
      <w:r w:rsidRPr="00EE7416" w:rsidR="001C5D50">
        <w:rPr>
          <w:lang w:val="en-US"/>
        </w:rPr>
        <w:t>, no.</w:t>
      </w:r>
      <w:r w:rsidRPr="00EE7416" w:rsidR="00B02721">
        <w:rPr>
          <w:lang w:val="en-US"/>
        </w:rPr>
        <w:t xml:space="preserve"> 40031/98</w:t>
      </w:r>
      <w:r w:rsidRPr="00EE7416" w:rsidR="001C5D50">
        <w:rPr>
          <w:lang w:val="en-US"/>
        </w:rPr>
        <w:t>, §</w:t>
      </w:r>
      <w:r w:rsidRPr="00EE7416" w:rsidR="00E1190E">
        <w:rPr>
          <w:lang w:val="en-US"/>
        </w:rPr>
        <w:t> </w:t>
      </w:r>
      <w:r w:rsidRPr="00EE7416" w:rsidR="001C5D50">
        <w:rPr>
          <w:lang w:val="en-US"/>
        </w:rPr>
        <w:t>26, ECHR</w:t>
      </w:r>
      <w:r w:rsidRPr="00EE7416">
        <w:rPr>
          <w:lang w:val="en-US"/>
        </w:rPr>
        <w:t> </w:t>
      </w:r>
      <w:r w:rsidRPr="00EE7416" w:rsidR="001C5D50">
        <w:rPr>
          <w:lang w:val="en-US"/>
        </w:rPr>
        <w:t>2000</w:t>
      </w:r>
      <w:r w:rsidRPr="00EE7416" w:rsidR="001C5D50">
        <w:rPr>
          <w:lang w:val="en-US"/>
        </w:rPr>
        <w:noBreakHyphen/>
        <w:t xml:space="preserve">IX; and </w:t>
      </w:r>
      <w:r w:rsidRPr="00EE7416" w:rsidR="001C5D50">
        <w:rPr>
          <w:i/>
          <w:lang w:val="en-US"/>
        </w:rPr>
        <w:t>Isayeva v. Russia</w:t>
      </w:r>
      <w:r w:rsidRPr="00EE7416" w:rsidR="001C5D50">
        <w:rPr>
          <w:lang w:val="en-US"/>
        </w:rPr>
        <w:t>, no.</w:t>
      </w:r>
      <w:r w:rsidRPr="00EE7416" w:rsidR="00B02721">
        <w:rPr>
          <w:lang w:val="en-US"/>
        </w:rPr>
        <w:t xml:space="preserve"> 57950/00</w:t>
      </w:r>
      <w:r w:rsidRPr="00EE7416" w:rsidR="001C5D50">
        <w:rPr>
          <w:lang w:val="en-US"/>
        </w:rPr>
        <w:t>, § 161, 24 February 2005). It accordingly joins the Government</w:t>
      </w:r>
      <w:r w:rsidRPr="00EE7416">
        <w:rPr>
          <w:lang w:val="en-US"/>
        </w:rPr>
        <w:t>’</w:t>
      </w:r>
      <w:r w:rsidRPr="00EE7416" w:rsidR="001C5D50">
        <w:rPr>
          <w:lang w:val="en-US"/>
        </w:rPr>
        <w:t>s objection to the merits of the case.</w:t>
      </w:r>
    </w:p>
    <w:p w:rsidRPr="00EE7416" w:rsidR="00CF1E22" w:rsidP="00EE7416" w:rsidRDefault="00CF1E22" w14:paraId="5B2AB41F" w14:textId="12CEEB04">
      <w:pPr>
        <w:pStyle w:val="JuPara"/>
        <w:rPr>
          <w:lang w:val="en-US"/>
        </w:rPr>
      </w:pPr>
      <w:r w:rsidRPr="00EE7416">
        <w:rPr>
          <w:lang w:val="en-US"/>
        </w:rPr>
        <w:fldChar w:fldCharType="begin"/>
      </w:r>
      <w:r w:rsidRPr="00EE7416">
        <w:rPr>
          <w:lang w:val="en-US"/>
        </w:rPr>
        <w:instrText xml:space="preserve"> SEQ level0 \*arabic \* MERGEFORMAT </w:instrText>
      </w:r>
      <w:r w:rsidRPr="00EE7416">
        <w:rPr>
          <w:lang w:val="en-US"/>
        </w:rPr>
        <w:fldChar w:fldCharType="separate"/>
      </w:r>
      <w:r w:rsidRPr="00EE7416" w:rsidR="00EE7416">
        <w:rPr>
          <w:noProof/>
          <w:lang w:val="en-US"/>
        </w:rPr>
        <w:t>29</w:t>
      </w:r>
      <w:r w:rsidRPr="00EE7416">
        <w:rPr>
          <w:lang w:val="en-US"/>
        </w:rPr>
        <w:fldChar w:fldCharType="end"/>
      </w:r>
      <w:r w:rsidRPr="00EE7416">
        <w:rPr>
          <w:lang w:val="en-US"/>
        </w:rPr>
        <w:t>.  </w:t>
      </w:r>
      <w:r w:rsidRPr="00EE7416">
        <w:t>The Court further notes that the application is not manifestly ill-founded within the meaning of Article 35 § 3 (a) of the Convention. It further notes that it is not inadmissible on any other grounds. It must therefore be declared admissible.</w:t>
      </w:r>
    </w:p>
    <w:p w:rsidRPr="00EE7416" w:rsidR="00B51E2C" w:rsidP="00EE7416" w:rsidRDefault="00B51E2C" w14:paraId="07640C74" w14:textId="1E1EE662">
      <w:pPr>
        <w:pStyle w:val="JuHA"/>
      </w:pPr>
      <w:r w:rsidRPr="00EE7416">
        <w:t>Merits</w:t>
      </w:r>
    </w:p>
    <w:p w:rsidRPr="00EE7416" w:rsidR="00FB428A" w:rsidP="00EE7416" w:rsidRDefault="00FB428A" w14:paraId="243E71D8" w14:textId="4E846F81">
      <w:pPr>
        <w:pStyle w:val="JuH1"/>
      </w:pPr>
      <w:r w:rsidRPr="00EE7416">
        <w:t>The parties</w:t>
      </w:r>
      <w:r w:rsidRPr="00EE7416" w:rsidR="00EE7416">
        <w:t>’</w:t>
      </w:r>
      <w:r w:rsidRPr="00EE7416">
        <w:t xml:space="preserve"> submissions</w:t>
      </w:r>
    </w:p>
    <w:p w:rsidRPr="00EE7416" w:rsidR="00B51E2C" w:rsidP="00EE7416" w:rsidRDefault="00FA38BD" w14:paraId="0AA22BB0" w14:textId="06AB832E">
      <w:pPr>
        <w:pStyle w:val="JuPara"/>
      </w:pPr>
      <w:r w:rsidRPr="00EE7416">
        <w:fldChar w:fldCharType="begin"/>
      </w:r>
      <w:r w:rsidRPr="00EE7416">
        <w:instrText xml:space="preserve"> SEQ level0 \*arabic </w:instrText>
      </w:r>
      <w:r w:rsidRPr="00EE7416">
        <w:fldChar w:fldCharType="separate"/>
      </w:r>
      <w:r w:rsidRPr="00EE7416" w:rsidR="00EE7416">
        <w:rPr>
          <w:noProof/>
        </w:rPr>
        <w:t>30</w:t>
      </w:r>
      <w:r w:rsidRPr="00EE7416">
        <w:fldChar w:fldCharType="end"/>
      </w:r>
      <w:r w:rsidRPr="00EE7416" w:rsidR="00B51E2C">
        <w:t xml:space="preserve">.  The applicant </w:t>
      </w:r>
      <w:r w:rsidRPr="00EE7416" w:rsidR="0055719B">
        <w:t xml:space="preserve">complained that the refusal to grant him compensation from a tenant who had occupied his </w:t>
      </w:r>
      <w:r w:rsidRPr="00EE7416" w:rsidR="00AF09D5">
        <w:t xml:space="preserve">flat </w:t>
      </w:r>
      <w:r w:rsidRPr="00EE7416" w:rsidR="0055719B">
        <w:t>without a valid legal title amounted to interference with his right to peaceful enjoyment of his possessions in breach of Article 1 of Protocol No. 1.</w:t>
      </w:r>
    </w:p>
    <w:p w:rsidRPr="00EE7416" w:rsidR="00B74EE3" w:rsidP="00EE7416" w:rsidRDefault="00E87AF0" w14:paraId="0A72A59B" w14:textId="186BAABD">
      <w:pPr>
        <w:pStyle w:val="JuPara"/>
      </w:pPr>
      <w:r w:rsidRPr="00EE7416">
        <w:fldChar w:fldCharType="begin"/>
      </w:r>
      <w:r w:rsidRPr="00EE7416">
        <w:instrText xml:space="preserve"> SEQ level0 \*arabic </w:instrText>
      </w:r>
      <w:r w:rsidRPr="00EE7416">
        <w:fldChar w:fldCharType="separate"/>
      </w:r>
      <w:r w:rsidRPr="00EE7416" w:rsidR="00EE7416">
        <w:rPr>
          <w:noProof/>
        </w:rPr>
        <w:t>31</w:t>
      </w:r>
      <w:r w:rsidRPr="00EE7416">
        <w:fldChar w:fldCharType="end"/>
      </w:r>
      <w:r w:rsidRPr="00EE7416">
        <w:t>.  </w:t>
      </w:r>
      <w:r w:rsidRPr="00EE7416" w:rsidR="007D7B43">
        <w:t>The applicant further submitted that he had satisfied all conditions to be granted the compensation referred to in section 18(5) of the 2001 Act, in that the tenant occupying his flat had been granted a right to social housing and the municipality had failed to provide the tenant with social housing for more than four years. In the applicant</w:t>
      </w:r>
      <w:r w:rsidRPr="00EE7416" w:rsidR="00EE7416">
        <w:t>’</w:t>
      </w:r>
      <w:r w:rsidRPr="00EE7416" w:rsidR="007D7B43">
        <w:t xml:space="preserve">s view, the question whether he would renovate the flat and how long the work would take was irrelevant </w:t>
      </w:r>
      <w:r w:rsidRPr="00EE7416" w:rsidR="007D7B43">
        <w:rPr>
          <w:i/>
        </w:rPr>
        <w:t>vis-</w:t>
      </w:r>
      <w:r w:rsidRPr="00EE7416" w:rsidR="007D7B43">
        <w:rPr>
          <w:rFonts w:cstheme="minorHAnsi"/>
          <w:i/>
        </w:rPr>
        <w:t>à</w:t>
      </w:r>
      <w:r w:rsidRPr="00EE7416" w:rsidR="007D7B43">
        <w:rPr>
          <w:i/>
        </w:rPr>
        <w:t>-vis</w:t>
      </w:r>
      <w:r w:rsidRPr="00EE7416" w:rsidR="007D7B43">
        <w:t xml:space="preserve"> the municipality</w:t>
      </w:r>
      <w:r w:rsidRPr="00EE7416" w:rsidR="00EE7416">
        <w:t>’</w:t>
      </w:r>
      <w:r w:rsidRPr="00EE7416" w:rsidR="007D7B43">
        <w:t>s obligation to pay compensation.</w:t>
      </w:r>
    </w:p>
    <w:p w:rsidRPr="00EE7416" w:rsidR="000C2B06" w:rsidP="00EE7416" w:rsidRDefault="00FA38BD" w14:paraId="6B47D44B" w14:textId="10B3A3B3">
      <w:pPr>
        <w:pStyle w:val="JuPara"/>
      </w:pPr>
      <w:r w:rsidRPr="00EE7416">
        <w:fldChar w:fldCharType="begin"/>
      </w:r>
      <w:r w:rsidRPr="00EE7416">
        <w:instrText xml:space="preserve"> SEQ level0 \*arabic </w:instrText>
      </w:r>
      <w:r w:rsidRPr="00EE7416">
        <w:fldChar w:fldCharType="separate"/>
      </w:r>
      <w:bookmarkStart w:name="paragraph00032" w:id="8"/>
      <w:r w:rsidRPr="00EE7416" w:rsidR="00EE7416">
        <w:rPr>
          <w:noProof/>
        </w:rPr>
        <w:t>32</w:t>
      </w:r>
      <w:bookmarkEnd w:id="8"/>
      <w:r w:rsidRPr="00EE7416">
        <w:fldChar w:fldCharType="end"/>
      </w:r>
      <w:r w:rsidRPr="00EE7416" w:rsidR="00B51E2C">
        <w:t xml:space="preserve">.  The Government </w:t>
      </w:r>
      <w:r w:rsidRPr="00EE7416" w:rsidR="0055719B">
        <w:t xml:space="preserve">did not contest that there </w:t>
      </w:r>
      <w:r w:rsidRPr="00EE7416" w:rsidR="007523AB">
        <w:t xml:space="preserve">had been </w:t>
      </w:r>
      <w:r w:rsidRPr="00EE7416" w:rsidR="0055719B">
        <w:t>an interference with the applicant</w:t>
      </w:r>
      <w:r w:rsidRPr="00EE7416" w:rsidR="00EE7416">
        <w:t>’</w:t>
      </w:r>
      <w:r w:rsidRPr="00EE7416" w:rsidR="0055719B">
        <w:t xml:space="preserve">s peaceful enjoyment of his property. They </w:t>
      </w:r>
      <w:r w:rsidRPr="00EE7416" w:rsidR="007523AB">
        <w:t>submitted</w:t>
      </w:r>
      <w:r w:rsidRPr="00EE7416" w:rsidR="00355F15">
        <w:t>,</w:t>
      </w:r>
      <w:r w:rsidRPr="00EE7416" w:rsidR="0055719B">
        <w:t xml:space="preserve"> however, that th</w:t>
      </w:r>
      <w:r w:rsidRPr="00EE7416" w:rsidR="00F261B0">
        <w:t>e</w:t>
      </w:r>
      <w:r w:rsidRPr="00EE7416" w:rsidR="0055719B">
        <w:t xml:space="preserve"> interference </w:t>
      </w:r>
      <w:r w:rsidRPr="00EE7416" w:rsidR="007523AB">
        <w:t xml:space="preserve">had been </w:t>
      </w:r>
      <w:r w:rsidRPr="00EE7416" w:rsidR="0055719B">
        <w:t xml:space="preserve">in accordance with the law and </w:t>
      </w:r>
      <w:r w:rsidRPr="00EE7416" w:rsidR="006537E9">
        <w:t xml:space="preserve">had </w:t>
      </w:r>
      <w:r w:rsidRPr="00EE7416" w:rsidR="0055719B">
        <w:t xml:space="preserve">pursued a legitimate aim, namely </w:t>
      </w:r>
      <w:r w:rsidRPr="00EE7416" w:rsidR="00355F15">
        <w:t xml:space="preserve">the </w:t>
      </w:r>
      <w:r w:rsidRPr="00EE7416" w:rsidR="0055719B">
        <w:t xml:space="preserve">protection of </w:t>
      </w:r>
      <w:r w:rsidRPr="00EE7416" w:rsidR="00355F15">
        <w:t xml:space="preserve">the </w:t>
      </w:r>
      <w:r w:rsidRPr="00EE7416" w:rsidR="0055719B">
        <w:t>public interest</w:t>
      </w:r>
      <w:r w:rsidRPr="00EE7416" w:rsidR="004C25F3">
        <w:t xml:space="preserve"> and </w:t>
      </w:r>
      <w:r w:rsidRPr="00EE7416" w:rsidR="006537E9">
        <w:t xml:space="preserve">the need to </w:t>
      </w:r>
      <w:r w:rsidRPr="00EE7416" w:rsidR="004C25F3">
        <w:t>counter evictions onto the street. They further submitted that</w:t>
      </w:r>
      <w:r w:rsidRPr="00EE7416" w:rsidR="00D65293">
        <w:t xml:space="preserve"> the interference complained of had been </w:t>
      </w:r>
      <w:r w:rsidRPr="00EE7416" w:rsidR="006537E9">
        <w:t xml:space="preserve">offset </w:t>
      </w:r>
      <w:r w:rsidRPr="00EE7416" w:rsidR="00D65293">
        <w:t xml:space="preserve">by the possibility </w:t>
      </w:r>
      <w:r w:rsidRPr="00EE7416" w:rsidR="006537E9">
        <w:t>of seeking</w:t>
      </w:r>
      <w:r w:rsidRPr="00EE7416" w:rsidR="00D65293">
        <w:t xml:space="preserve"> compensation and that the individual burden imposed on the applicant might have been minimi</w:t>
      </w:r>
      <w:r w:rsidRPr="00EE7416" w:rsidR="00355F15">
        <w:t>s</w:t>
      </w:r>
      <w:r w:rsidRPr="00EE7416" w:rsidR="00D65293">
        <w:t>ed or eliminated had he properly prove</w:t>
      </w:r>
      <w:r w:rsidRPr="00EE7416" w:rsidR="00AF09D5">
        <w:t>d</w:t>
      </w:r>
      <w:r w:rsidRPr="00EE7416" w:rsidR="00D65293">
        <w:t xml:space="preserve"> certain circumstances before the domestic courts.</w:t>
      </w:r>
    </w:p>
    <w:p w:rsidRPr="00EE7416" w:rsidR="00F52162" w:rsidP="00EE7416" w:rsidRDefault="00F52162" w14:paraId="3DA828CC" w14:textId="2EA25C78">
      <w:pPr>
        <w:pStyle w:val="JuH1"/>
      </w:pPr>
      <w:r w:rsidRPr="00EE7416">
        <w:t>The Court</w:t>
      </w:r>
      <w:r w:rsidRPr="00EE7416" w:rsidR="00EE7416">
        <w:t>’</w:t>
      </w:r>
      <w:r w:rsidRPr="00EE7416">
        <w:t>s assessment</w:t>
      </w:r>
    </w:p>
    <w:p w:rsidRPr="00EE7416" w:rsidR="00B51E2C" w:rsidP="00EE7416" w:rsidRDefault="00FB428A" w14:paraId="7731F525" w14:textId="23BA364B">
      <w:pPr>
        <w:pStyle w:val="JuHa0"/>
      </w:pPr>
      <w:r w:rsidRPr="00EE7416">
        <w:t>General principles</w:t>
      </w:r>
    </w:p>
    <w:p w:rsidRPr="00EE7416" w:rsidR="002C2038" w:rsidP="00EE7416" w:rsidRDefault="00FA38BD" w14:paraId="529680E1" w14:textId="76A14C9E">
      <w:pPr>
        <w:pStyle w:val="JuPara"/>
      </w:pPr>
      <w:r w:rsidRPr="00EE7416">
        <w:fldChar w:fldCharType="begin"/>
      </w:r>
      <w:r w:rsidRPr="00EE7416">
        <w:instrText xml:space="preserve"> SEQ level0 \*arabic </w:instrText>
      </w:r>
      <w:r w:rsidRPr="00EE7416">
        <w:fldChar w:fldCharType="separate"/>
      </w:r>
      <w:r w:rsidRPr="00EE7416" w:rsidR="00EE7416">
        <w:rPr>
          <w:noProof/>
        </w:rPr>
        <w:t>33</w:t>
      </w:r>
      <w:r w:rsidRPr="00EE7416">
        <w:fldChar w:fldCharType="end"/>
      </w:r>
      <w:r w:rsidRPr="00EE7416" w:rsidR="00B51E2C">
        <w:t xml:space="preserve">.  The Court reiterates that </w:t>
      </w:r>
      <w:r w:rsidRPr="00EE7416" w:rsidR="002C2038">
        <w:t xml:space="preserve">Article 1 of Protocol No. 1 comprises three distinct rules: the first rule, set out in the first sentence of the first paragraph, is of a general nature and enunciates the principle of the peaceful enjoyment of property; the second rule, contained in the second sentence of the first paragraph, covers deprivation of possessions and subjects it to certain conditions; the third rule, stated in the second paragraph, recognises that the Contracting States are entitled, </w:t>
      </w:r>
      <w:r w:rsidRPr="00EE7416" w:rsidR="002C2038">
        <w:rPr>
          <w:i/>
        </w:rPr>
        <w:t>inter alia</w:t>
      </w:r>
      <w:r w:rsidRPr="00EE7416" w:rsidR="002C2038">
        <w:t xml:space="preserve">, to control the use of property in accordance with the general interest. The three rules are not, however,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among other authorities, </w:t>
      </w:r>
      <w:r w:rsidRPr="00EE7416" w:rsidR="002C2038">
        <w:rPr>
          <w:i/>
        </w:rPr>
        <w:t>James and Others v. the United Kingdom</w:t>
      </w:r>
      <w:r w:rsidRPr="00EE7416" w:rsidR="002C2038">
        <w:t>, 21 February 1986, § 37, Series</w:t>
      </w:r>
      <w:r w:rsidRPr="00EE7416" w:rsidR="00785B90">
        <w:t> </w:t>
      </w:r>
      <w:r w:rsidRPr="00EE7416" w:rsidR="002C2038">
        <w:t>A</w:t>
      </w:r>
      <w:r w:rsidRPr="00EE7416" w:rsidR="00706308">
        <w:t xml:space="preserve">, </w:t>
      </w:r>
      <w:r w:rsidRPr="00EE7416" w:rsidR="002C2038">
        <w:t>no.</w:t>
      </w:r>
      <w:r w:rsidRPr="00EE7416" w:rsidR="00706308">
        <w:t> </w:t>
      </w:r>
      <w:r w:rsidRPr="00EE7416" w:rsidR="002C2038">
        <w:t xml:space="preserve">98, which reiterates in part the principles laid down by the Court in </w:t>
      </w:r>
      <w:r w:rsidRPr="00EE7416" w:rsidR="002C2038">
        <w:rPr>
          <w:i/>
        </w:rPr>
        <w:t>Sporrong and Lönnroth v. Sweden</w:t>
      </w:r>
      <w:r w:rsidRPr="00EE7416" w:rsidR="002C2038">
        <w:t>, 23 September 1982, § 61, Series</w:t>
      </w:r>
      <w:r w:rsidRPr="00EE7416" w:rsidR="00785B90">
        <w:t> </w:t>
      </w:r>
      <w:r w:rsidRPr="00EE7416" w:rsidR="002C2038">
        <w:t>A no.</w:t>
      </w:r>
      <w:r w:rsidRPr="00EE7416" w:rsidR="00D44011">
        <w:t> </w:t>
      </w:r>
      <w:r w:rsidRPr="00EE7416" w:rsidR="002C2038">
        <w:t xml:space="preserve">52; see also </w:t>
      </w:r>
      <w:r w:rsidRPr="00EE7416" w:rsidR="002C2038">
        <w:rPr>
          <w:i/>
        </w:rPr>
        <w:t>Broniowski v. Poland</w:t>
      </w:r>
      <w:r w:rsidRPr="00EE7416" w:rsidR="002C2038">
        <w:t xml:space="preserve"> [GC], no.</w:t>
      </w:r>
      <w:r w:rsidRPr="00EE7416" w:rsidR="0023700F">
        <w:t xml:space="preserve"> 31443/96</w:t>
      </w:r>
      <w:r w:rsidRPr="00EE7416" w:rsidR="002C2038">
        <w:t>, §</w:t>
      </w:r>
      <w:r w:rsidRPr="00EE7416" w:rsidR="00E1190E">
        <w:t> </w:t>
      </w:r>
      <w:r w:rsidRPr="00EE7416" w:rsidR="002C2038">
        <w:t>134, ECHR</w:t>
      </w:r>
      <w:r w:rsidRPr="00EE7416" w:rsidR="00EE7416">
        <w:t> </w:t>
      </w:r>
      <w:r w:rsidRPr="00EE7416" w:rsidR="002C2038">
        <w:t>2004</w:t>
      </w:r>
      <w:r w:rsidRPr="00EE7416" w:rsidR="00D44011">
        <w:noBreakHyphen/>
      </w:r>
      <w:r w:rsidRPr="00EE7416" w:rsidR="002C2038">
        <w:t>V).</w:t>
      </w:r>
    </w:p>
    <w:p w:rsidRPr="00EE7416" w:rsidR="00FB428A" w:rsidP="00EE7416" w:rsidRDefault="00FB428A" w14:paraId="72DB1C11" w14:textId="6D5DBCF1">
      <w:pPr>
        <w:pStyle w:val="JuPara"/>
      </w:pPr>
      <w:r w:rsidRPr="00EE7416">
        <w:fldChar w:fldCharType="begin"/>
      </w:r>
      <w:r w:rsidRPr="00EE7416">
        <w:instrText xml:space="preserve"> SEQ level0 \*arabic </w:instrText>
      </w:r>
      <w:r w:rsidRPr="00EE7416">
        <w:fldChar w:fldCharType="separate"/>
      </w:r>
      <w:r w:rsidRPr="00EE7416" w:rsidR="00EE7416">
        <w:rPr>
          <w:noProof/>
        </w:rPr>
        <w:t>34</w:t>
      </w:r>
      <w:r w:rsidRPr="00EE7416">
        <w:fldChar w:fldCharType="end"/>
      </w:r>
      <w:r w:rsidRPr="00EE7416">
        <w:t>.  The first and most important requirement of Article 1 of Protocol No. 1 is that any interference by a public authority with the peaceful enjoyment of possessions should be lawful. In particular, the second paragraph of Article 1, while recognising that States have the right to control the use of property, subjects their right to the condition that it be exercised by enforcing “laws”.</w:t>
      </w:r>
    </w:p>
    <w:p w:rsidRPr="00EE7416" w:rsidR="00FB428A" w:rsidP="00EE7416" w:rsidRDefault="00FB428A" w14:paraId="0FBD86EC" w14:textId="3170FECA">
      <w:pPr>
        <w:pStyle w:val="JuPara"/>
      </w:pPr>
      <w:r w:rsidRPr="00EE7416">
        <w:fldChar w:fldCharType="begin"/>
      </w:r>
      <w:r w:rsidRPr="00EE7416">
        <w:instrText xml:space="preserve"> SEQ level0 \*arabic </w:instrText>
      </w:r>
      <w:r w:rsidRPr="00EE7416">
        <w:fldChar w:fldCharType="separate"/>
      </w:r>
      <w:r w:rsidRPr="00EE7416" w:rsidR="00EE7416">
        <w:rPr>
          <w:noProof/>
        </w:rPr>
        <w:t>35</w:t>
      </w:r>
      <w:r w:rsidRPr="00EE7416">
        <w:fldChar w:fldCharType="end"/>
      </w:r>
      <w:r w:rsidRPr="00EE7416">
        <w:t>.  Not only must an interference with the right of property pursue, on the facts as well as in principle, a “legitimate aim” in the “general interest”, but there must also be a reasonable relation of proportionality between the means employed and the aim sought to be realised by any measures applied by the State, including measures designed to control the use of the individual</w:t>
      </w:r>
      <w:r w:rsidRPr="00EE7416" w:rsidR="00EE7416">
        <w:t>’</w:t>
      </w:r>
      <w:r w:rsidRPr="00EE7416">
        <w:t>s property. That requirement is expressed by the notion of a “fair balance” that must be struck between the demands of the general interest of the community and the requirements of the protection of the individual</w:t>
      </w:r>
      <w:r w:rsidRPr="00EE7416" w:rsidR="00EE7416">
        <w:t>’</w:t>
      </w:r>
      <w:r w:rsidRPr="00EE7416">
        <w:t>s fundamental rights</w:t>
      </w:r>
      <w:r w:rsidRPr="00EE7416" w:rsidR="00967B27">
        <w:t xml:space="preserve"> (</w:t>
      </w:r>
      <w:r w:rsidRPr="00EE7416" w:rsidR="006A4F72">
        <w:rPr>
          <w:i/>
        </w:rPr>
        <w:t>Hutten-Czapska v. Poland</w:t>
      </w:r>
      <w:r w:rsidRPr="00EE7416" w:rsidR="006A4F72">
        <w:t xml:space="preserve"> [GC], no. 35014/97, §</w:t>
      </w:r>
      <w:r w:rsidRPr="00EE7416" w:rsidR="00E1190E">
        <w:t> </w:t>
      </w:r>
      <w:r w:rsidRPr="00EE7416" w:rsidR="006A4F72">
        <w:t>167, ECHR 2006</w:t>
      </w:r>
      <w:r w:rsidRPr="00EE7416" w:rsidR="006A4F72">
        <w:noBreakHyphen/>
        <w:t>VIII)</w:t>
      </w:r>
      <w:r w:rsidRPr="00EE7416">
        <w:t>.</w:t>
      </w:r>
    </w:p>
    <w:p w:rsidRPr="00EE7416" w:rsidR="00EC33F7" w:rsidP="00EE7416" w:rsidRDefault="00F52162" w14:paraId="17098CF2" w14:textId="57E8140B">
      <w:pPr>
        <w:pStyle w:val="JuHa0"/>
      </w:pPr>
      <w:r w:rsidRPr="00EE7416">
        <w:t>A</w:t>
      </w:r>
      <w:r w:rsidRPr="00EE7416" w:rsidR="00FB428A">
        <w:t>pplication of these principles to the present case</w:t>
      </w:r>
    </w:p>
    <w:p w:rsidRPr="00EE7416" w:rsidR="000C2B06" w:rsidP="00EE7416" w:rsidRDefault="00FA38BD" w14:paraId="6242CFF7" w14:textId="4B277C28">
      <w:pPr>
        <w:pStyle w:val="JuPara"/>
      </w:pPr>
      <w:r w:rsidRPr="00EE7416">
        <w:fldChar w:fldCharType="begin"/>
      </w:r>
      <w:r w:rsidRPr="00EE7416">
        <w:instrText xml:space="preserve"> SEQ level0 \*arabic </w:instrText>
      </w:r>
      <w:r w:rsidRPr="00EE7416">
        <w:fldChar w:fldCharType="separate"/>
      </w:r>
      <w:r w:rsidRPr="00EE7416" w:rsidR="00EE7416">
        <w:rPr>
          <w:noProof/>
        </w:rPr>
        <w:t>36</w:t>
      </w:r>
      <w:r w:rsidRPr="00EE7416">
        <w:fldChar w:fldCharType="end"/>
      </w:r>
      <w:r w:rsidRPr="00EE7416" w:rsidR="00B51E2C">
        <w:t xml:space="preserve">.  The </w:t>
      </w:r>
      <w:r w:rsidRPr="00EE7416" w:rsidR="00263E55">
        <w:t xml:space="preserve">Government </w:t>
      </w:r>
      <w:r w:rsidRPr="00EE7416" w:rsidR="00FB428A">
        <w:t>did not contest the fact that in the present case there was an interference with the peaceful enjoyment of the applicant</w:t>
      </w:r>
      <w:r w:rsidRPr="00EE7416" w:rsidR="00EE7416">
        <w:t>’</w:t>
      </w:r>
      <w:r w:rsidRPr="00EE7416" w:rsidR="00FB428A">
        <w:t xml:space="preserve">s possessions. </w:t>
      </w:r>
      <w:r w:rsidRPr="00EE7416" w:rsidR="003B43AC">
        <w:t>Indeed, the fact that the tenant was allowed to remain in the applicant</w:t>
      </w:r>
      <w:r w:rsidRPr="00EE7416" w:rsidR="00EE7416">
        <w:t>’</w:t>
      </w:r>
      <w:r w:rsidRPr="00EE7416" w:rsidR="003B43AC">
        <w:t xml:space="preserve">s </w:t>
      </w:r>
      <w:r w:rsidRPr="00EE7416" w:rsidR="005D0382">
        <w:t xml:space="preserve">flat </w:t>
      </w:r>
      <w:r w:rsidRPr="00EE7416" w:rsidR="003B43AC">
        <w:t xml:space="preserve">for </w:t>
      </w:r>
      <w:r w:rsidRPr="00EE7416" w:rsidR="0023700F">
        <w:t>more than four and a half</w:t>
      </w:r>
      <w:r w:rsidRPr="00EE7416" w:rsidR="003B43AC">
        <w:t xml:space="preserve"> years following the eviction </w:t>
      </w:r>
      <w:r w:rsidRPr="00EE7416" w:rsidR="00355F15">
        <w:t xml:space="preserve">order </w:t>
      </w:r>
      <w:r w:rsidRPr="00EE7416" w:rsidR="003B43AC">
        <w:t xml:space="preserve">must be </w:t>
      </w:r>
      <w:r w:rsidRPr="00EE7416" w:rsidR="006537E9">
        <w:t xml:space="preserve">classified </w:t>
      </w:r>
      <w:r w:rsidRPr="00EE7416" w:rsidR="003B43AC">
        <w:t>as interference with the applicant</w:t>
      </w:r>
      <w:r w:rsidRPr="00EE7416" w:rsidR="00EE7416">
        <w:t>’</w:t>
      </w:r>
      <w:r w:rsidRPr="00EE7416" w:rsidR="00355F15">
        <w:t>s</w:t>
      </w:r>
      <w:r w:rsidRPr="00EE7416" w:rsidR="003B43AC">
        <w:t xml:space="preserve"> property rights.</w:t>
      </w:r>
      <w:r w:rsidRPr="00EE7416" w:rsidR="00EF425B">
        <w:t xml:space="preserve"> The measure in question amounted to a control of the use of property to be examined under the second paragraph of Article 1 of Protocol No.</w:t>
      </w:r>
      <w:r w:rsidRPr="00EE7416" w:rsidR="00E1190E">
        <w:t> </w:t>
      </w:r>
      <w:r w:rsidRPr="00EE7416" w:rsidR="00EF425B">
        <w:t xml:space="preserve">1 and with reference to the case-law concerning similar context (see </w:t>
      </w:r>
      <w:r w:rsidRPr="00EE7416" w:rsidR="00344F25">
        <w:rPr>
          <w:i/>
        </w:rPr>
        <w:t>Immobiliare</w:t>
      </w:r>
      <w:r w:rsidRPr="00EE7416" w:rsidR="00EE7416">
        <w:rPr>
          <w:i/>
        </w:rPr>
        <w:t> </w:t>
      </w:r>
      <w:r w:rsidRPr="00EE7416" w:rsidR="00344F25">
        <w:rPr>
          <w:i/>
        </w:rPr>
        <w:t>Saffi v. Italy</w:t>
      </w:r>
      <w:r w:rsidRPr="00EE7416" w:rsidR="00344F25">
        <w:t xml:space="preserve"> [GC], no. 22774/93, § 46, ECHR 1999</w:t>
      </w:r>
      <w:r w:rsidRPr="00EE7416" w:rsidR="00344F25">
        <w:noBreakHyphen/>
        <w:t>V</w:t>
      </w:r>
      <w:r w:rsidRPr="00EE7416" w:rsidR="00325242">
        <w:t>;</w:t>
      </w:r>
      <w:r w:rsidRPr="00EE7416" w:rsidR="00826AB4">
        <w:t xml:space="preserve"> </w:t>
      </w:r>
      <w:r w:rsidRPr="00EE7416" w:rsidR="00007EB4">
        <w:rPr>
          <w:i/>
        </w:rPr>
        <w:t>Ghigo v.</w:t>
      </w:r>
      <w:r w:rsidRPr="00EE7416" w:rsidR="00E1190E">
        <w:rPr>
          <w:i/>
        </w:rPr>
        <w:t> </w:t>
      </w:r>
      <w:r w:rsidRPr="00EE7416" w:rsidR="00007EB4">
        <w:rPr>
          <w:i/>
        </w:rPr>
        <w:t>Malta</w:t>
      </w:r>
      <w:r w:rsidRPr="00EE7416" w:rsidR="00007EB4">
        <w:t>, no.</w:t>
      </w:r>
      <w:r w:rsidRPr="00EE7416" w:rsidR="00E0703E">
        <w:t> </w:t>
      </w:r>
      <w:r w:rsidRPr="00EE7416" w:rsidR="00007EB4">
        <w:t>31122/05, § 50, 26 September 2006;</w:t>
      </w:r>
      <w:r w:rsidRPr="00EE7416" w:rsidR="00B3079F">
        <w:t xml:space="preserve"> and</w:t>
      </w:r>
      <w:r w:rsidRPr="00EE7416" w:rsidR="00325242">
        <w:t xml:space="preserve"> </w:t>
      </w:r>
      <w:r w:rsidRPr="00EE7416" w:rsidR="00826AB4">
        <w:rPr>
          <w:i/>
        </w:rPr>
        <w:t>Kasmi v.</w:t>
      </w:r>
      <w:r w:rsidRPr="00EE7416" w:rsidR="00E1190E">
        <w:rPr>
          <w:i/>
        </w:rPr>
        <w:t> </w:t>
      </w:r>
      <w:r w:rsidRPr="00EE7416" w:rsidR="00826AB4">
        <w:rPr>
          <w:i/>
        </w:rPr>
        <w:t>Albania</w:t>
      </w:r>
      <w:r w:rsidRPr="00EE7416" w:rsidR="00826AB4">
        <w:t>, no.</w:t>
      </w:r>
      <w:r w:rsidRPr="00EE7416" w:rsidR="00E1190E">
        <w:t> </w:t>
      </w:r>
      <w:r w:rsidRPr="00EE7416" w:rsidR="00826AB4">
        <w:t>1175/06, §</w:t>
      </w:r>
      <w:r w:rsidRPr="00EE7416" w:rsidR="00E0703E">
        <w:t> </w:t>
      </w:r>
      <w:r w:rsidRPr="00EE7416" w:rsidR="00826AB4">
        <w:t>72, 23 June 2020</w:t>
      </w:r>
      <w:r w:rsidRPr="00EE7416" w:rsidR="00B3079F">
        <w:t>)</w:t>
      </w:r>
      <w:r w:rsidRPr="00EE7416" w:rsidR="00007EB4">
        <w:t xml:space="preserve">. </w:t>
      </w:r>
      <w:r w:rsidRPr="00EE7416" w:rsidR="00FB428A">
        <w:t xml:space="preserve">The Court accepts that the interference in question had </w:t>
      </w:r>
      <w:r w:rsidRPr="00EE7416" w:rsidR="006537E9">
        <w:t xml:space="preserve">a </w:t>
      </w:r>
      <w:r w:rsidRPr="00EE7416" w:rsidR="00FB428A">
        <w:t>basis in domestic law and pursued a legitimate aim</w:t>
      </w:r>
      <w:r w:rsidRPr="00EE7416" w:rsidR="003B43AC">
        <w:t xml:space="preserve">, namely </w:t>
      </w:r>
      <w:r w:rsidRPr="00EE7416" w:rsidR="00355F15">
        <w:t xml:space="preserve">the </w:t>
      </w:r>
      <w:r w:rsidRPr="00EE7416" w:rsidR="0023700F">
        <w:t xml:space="preserve">protection of </w:t>
      </w:r>
      <w:r w:rsidRPr="00EE7416" w:rsidR="00B40E45">
        <w:t xml:space="preserve">the </w:t>
      </w:r>
      <w:r w:rsidRPr="00EE7416" w:rsidR="0023700F">
        <w:t xml:space="preserve">public interest and </w:t>
      </w:r>
      <w:r w:rsidRPr="00EE7416" w:rsidR="00355F15">
        <w:t xml:space="preserve">the </w:t>
      </w:r>
      <w:r w:rsidRPr="00EE7416" w:rsidR="006537E9">
        <w:t>need to prevent</w:t>
      </w:r>
      <w:r w:rsidRPr="00EE7416" w:rsidR="0023700F">
        <w:t xml:space="preserve"> evictions onto the street. </w:t>
      </w:r>
      <w:r w:rsidRPr="00EE7416" w:rsidR="00FB428A">
        <w:t>It remains to</w:t>
      </w:r>
      <w:r w:rsidRPr="00EE7416" w:rsidR="003B43AC">
        <w:t xml:space="preserve"> be</w:t>
      </w:r>
      <w:r w:rsidRPr="00EE7416" w:rsidR="00FB428A">
        <w:t xml:space="preserve"> examine</w:t>
      </w:r>
      <w:r w:rsidRPr="00EE7416" w:rsidR="003B43AC">
        <w:t>d</w:t>
      </w:r>
      <w:r w:rsidRPr="00EE7416" w:rsidR="00FB428A">
        <w:t xml:space="preserve"> whether</w:t>
      </w:r>
      <w:r w:rsidRPr="00EE7416" w:rsidR="00A84680">
        <w:t xml:space="preserve"> in the proceedings for compensation</w:t>
      </w:r>
      <w:r w:rsidRPr="00EE7416" w:rsidR="003B43AC">
        <w:t xml:space="preserve"> a fair balance</w:t>
      </w:r>
      <w:r w:rsidRPr="00EE7416" w:rsidR="00A84680">
        <w:t xml:space="preserve"> was struck by the domestic authorities and whether an excessive burden was imposed on the applicant.</w:t>
      </w:r>
    </w:p>
    <w:p w:rsidRPr="00EE7416" w:rsidR="008A4965" w:rsidP="00EE7416" w:rsidRDefault="007D7B43" w14:paraId="38312267" w14:textId="404BAAAB">
      <w:pPr>
        <w:pStyle w:val="JuPara"/>
        <w:rPr>
          <w:rFonts w:cstheme="minorHAnsi"/>
        </w:rPr>
      </w:pPr>
      <w:r w:rsidRPr="00EE7416">
        <w:fldChar w:fldCharType="begin"/>
      </w:r>
      <w:r w:rsidRPr="00EE7416">
        <w:instrText xml:space="preserve"> SEQ level0 \*arabic </w:instrText>
      </w:r>
      <w:r w:rsidRPr="00EE7416">
        <w:fldChar w:fldCharType="separate"/>
      </w:r>
      <w:r w:rsidRPr="00EE7416" w:rsidR="00EE7416">
        <w:rPr>
          <w:noProof/>
        </w:rPr>
        <w:t>37</w:t>
      </w:r>
      <w:r w:rsidRPr="00EE7416">
        <w:fldChar w:fldCharType="end"/>
      </w:r>
      <w:r w:rsidRPr="00EE7416">
        <w:t xml:space="preserve">.  In this respect the Court </w:t>
      </w:r>
      <w:r w:rsidRPr="00EE7416" w:rsidR="008A4965">
        <w:t xml:space="preserve">notes that the applicant relied on a clear provision of the 2001 Act providing for a right to compensation in the event of the municipality failing to secure social housing to an entitled person (see paragraph </w:t>
      </w:r>
      <w:r w:rsidRPr="00EE7416" w:rsidR="00B773AF">
        <w:fldChar w:fldCharType="begin"/>
      </w:r>
      <w:r w:rsidRPr="00EE7416" w:rsidR="00B773AF">
        <w:instrText xml:space="preserve"> REF paragraph00015 \h  \* CharFormat </w:instrText>
      </w:r>
      <w:r w:rsidRPr="00EE7416" w:rsidR="00B773AF">
        <w:fldChar w:fldCharType="separate"/>
      </w:r>
      <w:r w:rsidRPr="00EE7416" w:rsidR="00EE7416">
        <w:t>15</w:t>
      </w:r>
      <w:r w:rsidRPr="00EE7416" w:rsidR="00B773AF">
        <w:fldChar w:fldCharType="end"/>
      </w:r>
      <w:r w:rsidRPr="00EE7416" w:rsidR="008A4965">
        <w:t xml:space="preserve"> above). The claim based on that provision requires</w:t>
      </w:r>
      <w:r w:rsidRPr="00EE7416" w:rsidR="00E75742">
        <w:t xml:space="preserve"> that</w:t>
      </w:r>
      <w:r w:rsidRPr="00EE7416" w:rsidR="008A4965">
        <w:t xml:space="preserve"> all conditions of eligibility for compensation have to be fulfilled. In this connection the Court notes that according to the Regional Court</w:t>
      </w:r>
      <w:r w:rsidRPr="00EE7416" w:rsidR="00EE7416">
        <w:t>’</w:t>
      </w:r>
      <w:r w:rsidRPr="00EE7416" w:rsidR="008A4965">
        <w:t xml:space="preserve">s judgment, the applicant had failed to prove that his </w:t>
      </w:r>
      <w:r w:rsidRPr="00EE7416" w:rsidR="001A1A5B">
        <w:t>damage</w:t>
      </w:r>
      <w:r w:rsidRPr="00EE7416" w:rsidR="008A4965">
        <w:t xml:space="preserve"> had been a normal consequence of the municipality</w:t>
      </w:r>
      <w:r w:rsidRPr="00EE7416" w:rsidR="00EE7416">
        <w:t>’</w:t>
      </w:r>
      <w:r w:rsidRPr="00EE7416" w:rsidR="008A4965">
        <w:t>s unlawful inactivity. In the court</w:t>
      </w:r>
      <w:r w:rsidRPr="00EE7416" w:rsidR="00EE7416">
        <w:t>’</w:t>
      </w:r>
      <w:r w:rsidRPr="00EE7416" w:rsidR="008A4965">
        <w:t xml:space="preserve">s view, not only had he failed to prove that he </w:t>
      </w:r>
      <w:r w:rsidRPr="00EE7416" w:rsidR="008A4965">
        <w:rPr>
          <w:rFonts w:cstheme="minorHAnsi"/>
        </w:rPr>
        <w:t xml:space="preserve">would be able to rent the flat out to someone else and earn profits therefrom, but also when the flat would actually be ready for renting out, bearing in mind that it needed renovation (see paragraph </w:t>
      </w:r>
      <w:r w:rsidRPr="00EE7416" w:rsidR="00B773AF">
        <w:rPr>
          <w:rFonts w:cstheme="minorHAnsi"/>
        </w:rPr>
        <w:fldChar w:fldCharType="begin"/>
      </w:r>
      <w:r w:rsidRPr="00EE7416" w:rsidR="00B773AF">
        <w:rPr>
          <w:rFonts w:cstheme="minorHAnsi"/>
        </w:rPr>
        <w:instrText xml:space="preserve"> REF paragraph00012 \h  \* CharFormat </w:instrText>
      </w:r>
      <w:r w:rsidRPr="00EE7416" w:rsidR="00B773AF">
        <w:rPr>
          <w:rFonts w:cstheme="minorHAnsi"/>
        </w:rPr>
      </w:r>
      <w:r w:rsidRPr="00EE7416" w:rsidR="00B773AF">
        <w:rPr>
          <w:rFonts w:cstheme="minorHAnsi"/>
        </w:rPr>
        <w:fldChar w:fldCharType="separate"/>
      </w:r>
      <w:r w:rsidRPr="00EE7416" w:rsidR="00EE7416">
        <w:rPr>
          <w:rFonts w:cstheme="minorHAnsi"/>
        </w:rPr>
        <w:t>12</w:t>
      </w:r>
      <w:r w:rsidRPr="00EE7416" w:rsidR="00B773AF">
        <w:rPr>
          <w:rFonts w:cstheme="minorHAnsi"/>
        </w:rPr>
        <w:fldChar w:fldCharType="end"/>
      </w:r>
      <w:r w:rsidRPr="00EE7416" w:rsidR="008A4965">
        <w:rPr>
          <w:rFonts w:cstheme="minorHAnsi"/>
        </w:rPr>
        <w:t xml:space="preserve"> above).</w:t>
      </w:r>
    </w:p>
    <w:p w:rsidRPr="00EE7416" w:rsidR="008A4965" w:rsidP="00EE7416" w:rsidRDefault="008A4965" w14:paraId="5001A3EE" w14:textId="4276B8FD">
      <w:pPr>
        <w:pStyle w:val="JuPara"/>
      </w:pPr>
      <w:r w:rsidRPr="00EE7416">
        <w:rPr>
          <w:rFonts w:eastAsia="Times New Roman"/>
          <w:lang w:eastAsia="pl-PL"/>
        </w:rPr>
        <w:fldChar w:fldCharType="begin"/>
      </w:r>
      <w:r w:rsidRPr="00EE7416">
        <w:rPr>
          <w:rFonts w:eastAsia="Times New Roman"/>
          <w:lang w:eastAsia="pl-PL"/>
        </w:rPr>
        <w:instrText xml:space="preserve"> SEQ level0 \*arabic </w:instrText>
      </w:r>
      <w:r w:rsidRPr="00EE7416">
        <w:rPr>
          <w:rFonts w:eastAsia="Times New Roman"/>
          <w:lang w:eastAsia="pl-PL"/>
        </w:rPr>
        <w:fldChar w:fldCharType="separate"/>
      </w:r>
      <w:r w:rsidRPr="00EE7416" w:rsidR="00EE7416">
        <w:rPr>
          <w:rFonts w:eastAsia="Times New Roman"/>
          <w:noProof/>
          <w:lang w:eastAsia="pl-PL"/>
        </w:rPr>
        <w:t>38</w:t>
      </w:r>
      <w:r w:rsidRPr="00EE7416">
        <w:rPr>
          <w:rFonts w:eastAsia="Times New Roman"/>
          <w:lang w:eastAsia="pl-PL"/>
        </w:rPr>
        <w:fldChar w:fldCharType="end"/>
      </w:r>
      <w:r w:rsidRPr="00EE7416">
        <w:rPr>
          <w:rFonts w:eastAsia="Times New Roman"/>
          <w:lang w:eastAsia="pl-PL"/>
        </w:rPr>
        <w:t>.  The Court reiterates that it is in the first place for the national authorities, and notably the courts, to interpret domestic law</w:t>
      </w:r>
      <w:r w:rsidRPr="00EE7416" w:rsidR="006D43FD">
        <w:rPr>
          <w:rFonts w:eastAsia="Times New Roman"/>
          <w:lang w:eastAsia="pl-PL"/>
        </w:rPr>
        <w:t>. The Court will not question the i</w:t>
      </w:r>
      <w:r w:rsidRPr="00EE7416">
        <w:rPr>
          <w:rFonts w:eastAsia="Times New Roman"/>
          <w:lang w:eastAsia="pl-PL"/>
        </w:rPr>
        <w:t xml:space="preserve">nterpretation </w:t>
      </w:r>
      <w:r w:rsidRPr="00EE7416" w:rsidR="006D43FD">
        <w:rPr>
          <w:rFonts w:eastAsia="Times New Roman"/>
          <w:lang w:eastAsia="pl-PL"/>
        </w:rPr>
        <w:t>of domestic law by the domestic courts unless such an interpretation can be regarded as arbitrary or manifestly unreasonable</w:t>
      </w:r>
      <w:r w:rsidRPr="00EE7416">
        <w:rPr>
          <w:rFonts w:eastAsia="Times New Roman"/>
          <w:lang w:eastAsia="pl-PL"/>
        </w:rPr>
        <w:t xml:space="preserve"> (see</w:t>
      </w:r>
      <w:r w:rsidRPr="00EE7416" w:rsidR="006D43FD">
        <w:rPr>
          <w:rFonts w:eastAsia="Times New Roman"/>
          <w:lang w:eastAsia="pl-PL"/>
        </w:rPr>
        <w:t xml:space="preserve"> </w:t>
      </w:r>
      <w:r w:rsidRPr="00EE7416" w:rsidR="008B05E0">
        <w:rPr>
          <w:i/>
        </w:rPr>
        <w:t>Lupeni Greek Catholic Parish and Others v.</w:t>
      </w:r>
      <w:r w:rsidRPr="00EE7416" w:rsidR="00E0703E">
        <w:rPr>
          <w:i/>
        </w:rPr>
        <w:t> </w:t>
      </w:r>
      <w:r w:rsidRPr="00EE7416" w:rsidR="008B05E0">
        <w:rPr>
          <w:i/>
        </w:rPr>
        <w:t>Romania</w:t>
      </w:r>
      <w:r w:rsidRPr="00EE7416" w:rsidR="008B05E0">
        <w:t xml:space="preserve"> [GC], no. 76943/11, § </w:t>
      </w:r>
      <w:r w:rsidRPr="00EE7416" w:rsidR="001F0FE6">
        <w:t>90</w:t>
      </w:r>
      <w:r w:rsidRPr="00EE7416" w:rsidR="008B05E0">
        <w:t>, 29 November 2016</w:t>
      </w:r>
      <w:r w:rsidRPr="00EE7416" w:rsidR="00263E55">
        <w:t>,</w:t>
      </w:r>
      <w:r w:rsidRPr="00EE7416" w:rsidR="001F0FE6">
        <w:t xml:space="preserve"> and </w:t>
      </w:r>
      <w:r w:rsidRPr="00EE7416" w:rsidR="002E6296">
        <w:rPr>
          <w:i/>
        </w:rPr>
        <w:t>Anđelković v.</w:t>
      </w:r>
      <w:r w:rsidRPr="00EE7416" w:rsidR="00E0703E">
        <w:rPr>
          <w:i/>
        </w:rPr>
        <w:t> </w:t>
      </w:r>
      <w:r w:rsidRPr="00EE7416" w:rsidR="002E6296">
        <w:rPr>
          <w:i/>
        </w:rPr>
        <w:t>Serbia</w:t>
      </w:r>
      <w:r w:rsidRPr="00EE7416" w:rsidR="002E6296">
        <w:t>, no.</w:t>
      </w:r>
      <w:r w:rsidRPr="00EE7416" w:rsidR="00706308">
        <w:t> </w:t>
      </w:r>
      <w:r w:rsidRPr="00EE7416" w:rsidR="002E6296">
        <w:t>1401/08, § 24, 9 April 2013</w:t>
      </w:r>
      <w:r w:rsidRPr="00EE7416">
        <w:rPr>
          <w:rFonts w:eastAsia="Times New Roman"/>
          <w:lang w:eastAsia="pl-PL"/>
        </w:rPr>
        <w:t>).</w:t>
      </w:r>
    </w:p>
    <w:p w:rsidRPr="00EE7416" w:rsidR="00B74EE3" w:rsidP="00EE7416" w:rsidRDefault="00DD3F02" w14:paraId="69FACB7B" w14:textId="36169DC3">
      <w:pPr>
        <w:pStyle w:val="JuPara"/>
      </w:pPr>
      <w:r w:rsidRPr="00EE7416">
        <w:fldChar w:fldCharType="begin"/>
      </w:r>
      <w:r w:rsidRPr="00EE7416">
        <w:instrText xml:space="preserve"> SEQ level0 \*arabic </w:instrText>
      </w:r>
      <w:r w:rsidRPr="00EE7416">
        <w:fldChar w:fldCharType="separate"/>
      </w:r>
      <w:r w:rsidRPr="00EE7416" w:rsidR="00EE7416">
        <w:rPr>
          <w:noProof/>
        </w:rPr>
        <w:t>39</w:t>
      </w:r>
      <w:r w:rsidRPr="00EE7416">
        <w:fldChar w:fldCharType="end"/>
      </w:r>
      <w:r w:rsidRPr="00EE7416">
        <w:t>.  </w:t>
      </w:r>
      <w:r w:rsidRPr="00EE7416" w:rsidR="00803D51">
        <w:t>The Government submitted that the individual burden imposed on the applicant by delaying the eviction of his tenant could be minimised or even eliminated by the possibility of seeking compensation from the municipality. The Court would agree that had the applicant received adequate compensation for the period in which his tenant occupied his flat after the eviction order became final, the interference with the applicant</w:t>
      </w:r>
      <w:r w:rsidRPr="00EE7416" w:rsidR="00EE7416">
        <w:t>’</w:t>
      </w:r>
      <w:r w:rsidRPr="00EE7416" w:rsidR="00803D51">
        <w:t xml:space="preserve">s right would </w:t>
      </w:r>
      <w:r w:rsidRPr="00EE7416" w:rsidR="00592F90">
        <w:t xml:space="preserve">not </w:t>
      </w:r>
      <w:r w:rsidRPr="00EE7416" w:rsidR="00803D51">
        <w:t xml:space="preserve">have </w:t>
      </w:r>
      <w:r w:rsidRPr="00EE7416" w:rsidR="00EF425B">
        <w:t>been excessive</w:t>
      </w:r>
      <w:r w:rsidRPr="00EE7416" w:rsidR="00803D51">
        <w:t>. The applicant</w:t>
      </w:r>
      <w:r w:rsidRPr="00EE7416" w:rsidR="00EE7416">
        <w:t>’</w:t>
      </w:r>
      <w:r w:rsidRPr="00EE7416" w:rsidR="00803D51">
        <w:t xml:space="preserve">s claim for compensation was however dismissed. In these circumstances the Court has to examine the judgments given by the domestic courts and analyse whether the reasoning </w:t>
      </w:r>
      <w:r w:rsidRPr="00EE7416" w:rsidR="00A030B4">
        <w:t xml:space="preserve">adopted by them </w:t>
      </w:r>
      <w:r w:rsidRPr="00EE7416" w:rsidR="00EF425B">
        <w:t>was not arbitrary or manifestly unreasonable</w:t>
      </w:r>
      <w:r w:rsidRPr="00EE7416" w:rsidR="00A030B4">
        <w:t>.</w:t>
      </w:r>
    </w:p>
    <w:p w:rsidRPr="00EE7416" w:rsidR="00B74EE3" w:rsidP="00EE7416" w:rsidRDefault="00DD3F02" w14:paraId="555D2EB6" w14:textId="2804218A">
      <w:pPr>
        <w:pStyle w:val="JuPara"/>
      </w:pPr>
      <w:r w:rsidRPr="00EE7416">
        <w:fldChar w:fldCharType="begin"/>
      </w:r>
      <w:r w:rsidRPr="00EE7416">
        <w:instrText xml:space="preserve"> SEQ level0 \*arabic </w:instrText>
      </w:r>
      <w:r w:rsidRPr="00EE7416">
        <w:fldChar w:fldCharType="separate"/>
      </w:r>
      <w:r w:rsidRPr="00EE7416" w:rsidR="00EE7416">
        <w:rPr>
          <w:noProof/>
        </w:rPr>
        <w:t>40</w:t>
      </w:r>
      <w:r w:rsidRPr="00EE7416">
        <w:fldChar w:fldCharType="end"/>
      </w:r>
      <w:r w:rsidRPr="00EE7416">
        <w:t>.  </w:t>
      </w:r>
      <w:r w:rsidRPr="00EE7416" w:rsidR="00C42106">
        <w:t>The domestic courts found that in order to grant compensation, all criteria of compensational liability had to be fulfilled namely</w:t>
      </w:r>
      <w:r w:rsidRPr="00EE7416" w:rsidR="007D6A34">
        <w:t>,</w:t>
      </w:r>
      <w:r w:rsidRPr="00EE7416" w:rsidR="00C42106">
        <w:t xml:space="preserve"> the defendant</w:t>
      </w:r>
      <w:r w:rsidRPr="00EE7416" w:rsidR="00EE7416">
        <w:t>’</w:t>
      </w:r>
      <w:r w:rsidRPr="00EE7416" w:rsidR="00C42106">
        <w:t xml:space="preserve">s illegal act or </w:t>
      </w:r>
      <w:r w:rsidRPr="00EE7416" w:rsidR="00BA6A00">
        <w:t>inactivity</w:t>
      </w:r>
      <w:r w:rsidRPr="00EE7416" w:rsidR="00C42106">
        <w:t xml:space="preserve">, </w:t>
      </w:r>
      <w:r w:rsidRPr="00EE7416" w:rsidR="00680EB0">
        <w:t>damage</w:t>
      </w:r>
      <w:r w:rsidRPr="00EE7416" w:rsidR="00C42106">
        <w:t xml:space="preserve"> and causal link between the act or</w:t>
      </w:r>
      <w:r w:rsidRPr="00EE7416" w:rsidR="00BA6A00">
        <w:t xml:space="preserve"> inactivity</w:t>
      </w:r>
      <w:r w:rsidRPr="00EE7416" w:rsidR="00C42106">
        <w:t xml:space="preserve"> and the</w:t>
      </w:r>
      <w:r w:rsidRPr="00EE7416" w:rsidR="001A1A5B">
        <w:t xml:space="preserve"> damage</w:t>
      </w:r>
      <w:r w:rsidRPr="00EE7416" w:rsidR="00C42106">
        <w:t xml:space="preserve">. They further agreed that failure on the part of the municipality to </w:t>
      </w:r>
      <w:r w:rsidRPr="00EE7416" w:rsidR="00263E55">
        <w:t xml:space="preserve">provide </w:t>
      </w:r>
      <w:r w:rsidRPr="00EE7416" w:rsidR="00C42106">
        <w:t xml:space="preserve">a social accommodation to the </w:t>
      </w:r>
      <w:r w:rsidRPr="00EE7416" w:rsidR="00263E55">
        <w:t xml:space="preserve">tenant </w:t>
      </w:r>
      <w:r w:rsidRPr="00EE7416" w:rsidR="00C42106">
        <w:t xml:space="preserve">as ordered by a final domestic judgment constituted an illegal </w:t>
      </w:r>
      <w:r w:rsidRPr="00EE7416">
        <w:t>inactivity</w:t>
      </w:r>
      <w:r w:rsidRPr="00EE7416" w:rsidR="00C42106">
        <w:t xml:space="preserve"> that could be the basis of compensational liability. </w:t>
      </w:r>
      <w:r w:rsidRPr="00EE7416" w:rsidR="00BA6A00">
        <w:t xml:space="preserve">In these circumstances it remained to establish whether the </w:t>
      </w:r>
      <w:r w:rsidRPr="00EE7416" w:rsidR="001A1A5B">
        <w:t>damage</w:t>
      </w:r>
      <w:r w:rsidRPr="00EE7416" w:rsidR="00BA6A00">
        <w:t xml:space="preserve"> complained of was a normal consequence of the municipality</w:t>
      </w:r>
      <w:r w:rsidRPr="00EE7416" w:rsidR="00EE7416">
        <w:t>’</w:t>
      </w:r>
      <w:r w:rsidRPr="00EE7416" w:rsidR="00BA6A00">
        <w:t xml:space="preserve">s inactivity. The Regional Court found that the applicant had failed to prove that, had the municipality delivered the social accommodation, he would have received rent from his flat, because he had failed to prove that he would renovate and rent it. The court further held that even assuming that the flat would be renovated and rented, the applicant had failed to indicate the date from which he could receive the rent. The </w:t>
      </w:r>
      <w:r w:rsidRPr="00EE7416" w:rsidR="00680EB0">
        <w:t>damage</w:t>
      </w:r>
      <w:r w:rsidRPr="00EE7416" w:rsidR="00BA6A00">
        <w:t xml:space="preserve"> complained of could occur only once the renovation works would be finished</w:t>
      </w:r>
      <w:r w:rsidRPr="00EE7416" w:rsidR="00B365DA">
        <w:t xml:space="preserve"> (see paragraph </w:t>
      </w:r>
      <w:r w:rsidRPr="00EE7416" w:rsidR="00B773AF">
        <w:fldChar w:fldCharType="begin"/>
      </w:r>
      <w:r w:rsidRPr="00EE7416" w:rsidR="00B773AF">
        <w:instrText xml:space="preserve"> REF paragraph00012 \h  \* CharFormat </w:instrText>
      </w:r>
      <w:r w:rsidRPr="00EE7416" w:rsidR="00B773AF">
        <w:fldChar w:fldCharType="separate"/>
      </w:r>
      <w:r w:rsidRPr="00EE7416" w:rsidR="00EE7416">
        <w:t>12</w:t>
      </w:r>
      <w:r w:rsidRPr="00EE7416" w:rsidR="00B773AF">
        <w:fldChar w:fldCharType="end"/>
      </w:r>
      <w:r w:rsidRPr="00EE7416" w:rsidR="00B365DA">
        <w:t xml:space="preserve"> above)</w:t>
      </w:r>
      <w:r w:rsidRPr="00EE7416" w:rsidR="00BA6A00">
        <w:t xml:space="preserve">. </w:t>
      </w:r>
      <w:r w:rsidRPr="00EE7416" w:rsidR="00803D51">
        <w:t xml:space="preserve">As regards the amount of </w:t>
      </w:r>
      <w:r w:rsidRPr="00EE7416" w:rsidR="001A1A5B">
        <w:t>damage</w:t>
      </w:r>
      <w:r w:rsidRPr="00EE7416" w:rsidR="00803D51">
        <w:t xml:space="preserve">, the Court notes that in the course of the domestic proceedings two expert opinions had been produced, specifying the amount of rent that the applicant could expect to ask for before and after the renovation of the flat in question (see paragraph </w:t>
      </w:r>
      <w:r w:rsidRPr="00EE7416" w:rsidR="00B773AF">
        <w:fldChar w:fldCharType="begin"/>
      </w:r>
      <w:r w:rsidRPr="00EE7416" w:rsidR="00B773AF">
        <w:instrText xml:space="preserve"> REF paragraph00010 \h  \* CharFormat </w:instrText>
      </w:r>
      <w:r w:rsidRPr="00EE7416" w:rsidR="00B773AF">
        <w:fldChar w:fldCharType="separate"/>
      </w:r>
      <w:r w:rsidRPr="00EE7416" w:rsidR="00EE7416">
        <w:t>10</w:t>
      </w:r>
      <w:r w:rsidRPr="00EE7416" w:rsidR="00B773AF">
        <w:fldChar w:fldCharType="end"/>
      </w:r>
      <w:r w:rsidRPr="00EE7416" w:rsidR="00803D51">
        <w:t xml:space="preserve"> above). The domestic court considered that the applicant had failed to prove</w:t>
      </w:r>
      <w:r w:rsidRPr="00EE7416" w:rsidR="00E51821">
        <w:t xml:space="preserve"> whether and from which moment </w:t>
      </w:r>
      <w:r w:rsidRPr="00EE7416" w:rsidR="00803D51">
        <w:t>he would be able to obtain the amount of rent calculated by an expert for the flat once renovated. However, the reasoning of the Regional Court</w:t>
      </w:r>
      <w:r w:rsidRPr="00EE7416" w:rsidR="00EE7416">
        <w:t>’</w:t>
      </w:r>
      <w:r w:rsidRPr="00EE7416" w:rsidR="00803D51">
        <w:t>s judgment does not explain on what grounds that court refused to grant the applicant the compensation equivalent to the lower amount calculated for the flat before renovation.</w:t>
      </w:r>
    </w:p>
    <w:p w:rsidRPr="00EE7416" w:rsidR="00B74EE3" w:rsidP="00EE7416" w:rsidRDefault="00F31876" w14:paraId="72D5CDB6" w14:textId="47986B26">
      <w:pPr>
        <w:pStyle w:val="JuPara"/>
      </w:pPr>
      <w:r w:rsidRPr="00EE7416">
        <w:fldChar w:fldCharType="begin"/>
      </w:r>
      <w:r w:rsidRPr="00EE7416">
        <w:instrText xml:space="preserve"> SEQ level0 \*arabic </w:instrText>
      </w:r>
      <w:r w:rsidRPr="00EE7416">
        <w:fldChar w:fldCharType="separate"/>
      </w:r>
      <w:r w:rsidRPr="00EE7416" w:rsidR="00EE7416">
        <w:rPr>
          <w:noProof/>
        </w:rPr>
        <w:t>41</w:t>
      </w:r>
      <w:r w:rsidRPr="00EE7416">
        <w:fldChar w:fldCharType="end"/>
      </w:r>
      <w:r w:rsidRPr="00EE7416">
        <w:t>.  </w:t>
      </w:r>
      <w:r w:rsidRPr="00EE7416" w:rsidR="00803D51">
        <w:t>The Court considers that the requirements that the Regional Court expected the applicant to have met</w:t>
      </w:r>
      <w:r w:rsidRPr="00EE7416" w:rsidR="00DD3F02">
        <w:t>,</w:t>
      </w:r>
      <w:r w:rsidRPr="00EE7416" w:rsidR="004874A1">
        <w:t xml:space="preserve"> as formulated in its judgment,</w:t>
      </w:r>
      <w:r w:rsidRPr="00EE7416" w:rsidR="00DD3F02">
        <w:t xml:space="preserve"> namely to prove that he would renovate the flat, how long the renovation works would take and that he would rent the flat after renovation</w:t>
      </w:r>
      <w:r w:rsidRPr="00EE7416" w:rsidR="00803D51">
        <w:t xml:space="preserve"> were</w:t>
      </w:r>
      <w:r w:rsidRPr="00EE7416" w:rsidR="00DD3F02">
        <w:t xml:space="preserve"> in fact</w:t>
      </w:r>
      <w:r w:rsidRPr="00EE7416" w:rsidR="00803D51">
        <w:t xml:space="preserve"> </w:t>
      </w:r>
      <w:r w:rsidRPr="00EE7416" w:rsidR="004874A1">
        <w:t xml:space="preserve">very difficult </w:t>
      </w:r>
      <w:r w:rsidRPr="00EE7416" w:rsidR="00803D51">
        <w:t xml:space="preserve">to fulfil and that their imposition amounted to an excessive </w:t>
      </w:r>
      <w:r w:rsidRPr="00EE7416" w:rsidR="004874A1">
        <w:t>burden</w:t>
      </w:r>
      <w:r w:rsidRPr="00EE7416" w:rsidR="00803D51">
        <w:t xml:space="preserve"> which, in consequence, led to the arbitrary dismissal of his compensation claim.</w:t>
      </w:r>
    </w:p>
    <w:p w:rsidRPr="00EE7416" w:rsidR="00803D51" w:rsidP="00EE7416" w:rsidRDefault="00DD3F02" w14:paraId="0F41B7E8" w14:textId="7D3CFC02">
      <w:pPr>
        <w:pStyle w:val="JuPara"/>
      </w:pPr>
      <w:r w:rsidRPr="00EE7416">
        <w:fldChar w:fldCharType="begin"/>
      </w:r>
      <w:r w:rsidRPr="00EE7416">
        <w:instrText xml:space="preserve"> SEQ level0 \*arabic </w:instrText>
      </w:r>
      <w:r w:rsidRPr="00EE7416">
        <w:fldChar w:fldCharType="separate"/>
      </w:r>
      <w:r w:rsidRPr="00EE7416" w:rsidR="00EE7416">
        <w:rPr>
          <w:noProof/>
        </w:rPr>
        <w:t>42</w:t>
      </w:r>
      <w:r w:rsidRPr="00EE7416">
        <w:fldChar w:fldCharType="end"/>
      </w:r>
      <w:r w:rsidRPr="00EE7416">
        <w:t>.  T</w:t>
      </w:r>
      <w:r w:rsidRPr="00EE7416" w:rsidR="00803D51">
        <w:t>he</w:t>
      </w:r>
      <w:r w:rsidRPr="00EE7416" w:rsidR="007340A6">
        <w:t xml:space="preserve"> Court considers that the</w:t>
      </w:r>
      <w:r w:rsidRPr="00EE7416" w:rsidR="00803D51">
        <w:t xml:space="preserve"> requirements imposed on the applicant by the domestic courts in the course of the proceedings for compensation essentially deprived the applicant of the right to be redressed for the </w:t>
      </w:r>
      <w:r w:rsidRPr="00EE7416" w:rsidR="001A1A5B">
        <w:t xml:space="preserve">damage </w:t>
      </w:r>
      <w:r w:rsidRPr="00EE7416" w:rsidR="00803D51">
        <w:t>he had suffered. It follows that the interference complained of cannot be considered to have struck a “fair balance” between the means employed and the aims sought to be realised.</w:t>
      </w:r>
    </w:p>
    <w:p w:rsidRPr="00EE7416" w:rsidR="00B51E2C" w:rsidP="00EE7416" w:rsidRDefault="00B365DA" w14:paraId="6738EB43" w14:textId="057B47DA">
      <w:pPr>
        <w:pStyle w:val="JuPara"/>
      </w:pPr>
      <w:r w:rsidRPr="00EE7416">
        <w:fldChar w:fldCharType="begin"/>
      </w:r>
      <w:r w:rsidRPr="00EE7416">
        <w:instrText xml:space="preserve"> SEQ level0 \*arabic </w:instrText>
      </w:r>
      <w:r w:rsidRPr="00EE7416">
        <w:fldChar w:fldCharType="separate"/>
      </w:r>
      <w:r w:rsidRPr="00EE7416" w:rsidR="00EE7416">
        <w:rPr>
          <w:noProof/>
        </w:rPr>
        <w:t>43</w:t>
      </w:r>
      <w:r w:rsidRPr="00EE7416">
        <w:fldChar w:fldCharType="end"/>
      </w:r>
      <w:r w:rsidRPr="00EE7416">
        <w:t>.  </w:t>
      </w:r>
      <w:r w:rsidRPr="00EE7416" w:rsidR="00B51E2C">
        <w:t xml:space="preserve">The foregoing considerations are sufficient to enable the Court to conclude that </w:t>
      </w:r>
      <w:r w:rsidRPr="00EE7416" w:rsidR="00A6000F">
        <w:t>t</w:t>
      </w:r>
      <w:r w:rsidRPr="00EE7416" w:rsidR="00B51E2C">
        <w:t xml:space="preserve">here has been a violation of Article </w:t>
      </w:r>
      <w:r w:rsidRPr="00EE7416" w:rsidR="00A6000F">
        <w:t xml:space="preserve">1 of Protocol </w:t>
      </w:r>
      <w:r w:rsidRPr="00EE7416" w:rsidR="005D0382">
        <w:t>No. </w:t>
      </w:r>
      <w:r w:rsidRPr="00EE7416" w:rsidR="00A6000F">
        <w:t>1</w:t>
      </w:r>
      <w:r w:rsidRPr="00EE7416" w:rsidR="00BE0708">
        <w:t xml:space="preserve"> to the Convention</w:t>
      </w:r>
      <w:r w:rsidRPr="00EE7416" w:rsidR="00B51E2C">
        <w:t>.</w:t>
      </w:r>
      <w:r w:rsidRPr="00EE7416" w:rsidR="00755340">
        <w:t xml:space="preserve"> The Government</w:t>
      </w:r>
      <w:r w:rsidRPr="00EE7416" w:rsidR="00EE7416">
        <w:t>’</w:t>
      </w:r>
      <w:r w:rsidRPr="00EE7416" w:rsidR="00755340">
        <w:t>s objection in this respect (see paragraph</w:t>
      </w:r>
      <w:r w:rsidRPr="00EE7416" w:rsidR="00E0703E">
        <w:t> </w:t>
      </w:r>
      <w:r w:rsidRPr="00EE7416" w:rsidR="00B773AF">
        <w:fldChar w:fldCharType="begin"/>
      </w:r>
      <w:r w:rsidRPr="00EE7416" w:rsidR="00B773AF">
        <w:instrText xml:space="preserve"> REF paragraph00028 \h  \* CharFormat </w:instrText>
      </w:r>
      <w:r w:rsidRPr="00EE7416" w:rsidR="00B773AF">
        <w:fldChar w:fldCharType="separate"/>
      </w:r>
      <w:r w:rsidRPr="00EE7416" w:rsidR="00EE7416">
        <w:t>28</w:t>
      </w:r>
      <w:r w:rsidRPr="00EE7416" w:rsidR="00B773AF">
        <w:fldChar w:fldCharType="end"/>
      </w:r>
      <w:r w:rsidRPr="00EE7416" w:rsidR="001A1A5B">
        <w:t xml:space="preserve"> </w:t>
      </w:r>
      <w:r w:rsidRPr="00EE7416" w:rsidR="00755340">
        <w:t>above) should be therefore dismissed.</w:t>
      </w:r>
    </w:p>
    <w:p w:rsidRPr="00EE7416" w:rsidR="00B51E2C" w:rsidP="00EE7416" w:rsidRDefault="00B51E2C" w14:paraId="0DA65B16" w14:textId="1CF58101">
      <w:pPr>
        <w:pStyle w:val="JuHIRoman"/>
      </w:pPr>
      <w:r w:rsidRPr="00EE7416">
        <w:t>APPLICATION OF ARTICLE 41 OF THE CONVENTION</w:t>
      </w:r>
    </w:p>
    <w:p w:rsidRPr="00EE7416" w:rsidR="00B51E2C" w:rsidP="00EE7416" w:rsidRDefault="00FA38BD" w14:paraId="42010421" w14:textId="707DA6A8">
      <w:pPr>
        <w:pStyle w:val="JuPara"/>
      </w:pPr>
      <w:r w:rsidRPr="00EE7416">
        <w:fldChar w:fldCharType="begin"/>
      </w:r>
      <w:r w:rsidRPr="00EE7416">
        <w:instrText xml:space="preserve"> SEQ level0 \*arabic </w:instrText>
      </w:r>
      <w:r w:rsidRPr="00EE7416">
        <w:fldChar w:fldCharType="separate"/>
      </w:r>
      <w:r w:rsidRPr="00EE7416" w:rsidR="00EE7416">
        <w:rPr>
          <w:noProof/>
        </w:rPr>
        <w:t>44</w:t>
      </w:r>
      <w:r w:rsidRPr="00EE7416">
        <w:fldChar w:fldCharType="end"/>
      </w:r>
      <w:r w:rsidRPr="00EE7416" w:rsidR="00B51E2C">
        <w:t>.  Article 41 of the Convention provides:</w:t>
      </w:r>
    </w:p>
    <w:p w:rsidRPr="00EE7416" w:rsidR="00B51E2C" w:rsidP="00EE7416" w:rsidRDefault="00B51E2C" w14:paraId="3C08351D" w14:textId="77777777">
      <w:pPr>
        <w:pStyle w:val="JuQuot"/>
        <w:keepNext/>
        <w:keepLines/>
      </w:pPr>
      <w:r w:rsidRPr="00EE741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E7416" w:rsidR="00B51E2C" w:rsidP="00EE7416" w:rsidRDefault="00B51E2C" w14:paraId="21EA6C2F" w14:textId="025766F1">
      <w:pPr>
        <w:pStyle w:val="JuHA"/>
      </w:pPr>
      <w:r w:rsidRPr="00EE7416">
        <w:t>Damage</w:t>
      </w:r>
    </w:p>
    <w:p w:rsidRPr="00EE7416" w:rsidR="00B51E2C" w:rsidP="00EE7416" w:rsidRDefault="00FA38BD" w14:paraId="394507F6" w14:textId="586F658D">
      <w:pPr>
        <w:pStyle w:val="JuPara"/>
      </w:pPr>
      <w:r w:rsidRPr="00EE7416">
        <w:fldChar w:fldCharType="begin"/>
      </w:r>
      <w:r w:rsidRPr="00EE7416">
        <w:instrText xml:space="preserve"> SEQ level0 \*arabic </w:instrText>
      </w:r>
      <w:r w:rsidRPr="00EE7416">
        <w:fldChar w:fldCharType="separate"/>
      </w:r>
      <w:r w:rsidRPr="00EE7416" w:rsidR="00EE7416">
        <w:rPr>
          <w:noProof/>
        </w:rPr>
        <w:t>45</w:t>
      </w:r>
      <w:r w:rsidRPr="00EE7416">
        <w:fldChar w:fldCharType="end"/>
      </w:r>
      <w:r w:rsidRPr="00EE7416" w:rsidR="00B51E2C">
        <w:t>.  </w:t>
      </w:r>
      <w:bookmarkStart w:name="_Hlk93326222" w:id="9"/>
      <w:r w:rsidRPr="00EE7416" w:rsidR="00B51E2C">
        <w:t xml:space="preserve">The applicant claimed </w:t>
      </w:r>
      <w:r w:rsidRPr="00EE7416" w:rsidR="0023700F">
        <w:t>13</w:t>
      </w:r>
      <w:r w:rsidRPr="00EE7416" w:rsidR="00D23672">
        <w:t>,</w:t>
      </w:r>
      <w:r w:rsidRPr="00EE7416" w:rsidR="0023700F">
        <w:t>189</w:t>
      </w:r>
      <w:r w:rsidRPr="00EE7416" w:rsidR="00B51E2C">
        <w:t xml:space="preserve"> euros (EUR) in respect of pecuniary</w:t>
      </w:r>
      <w:r w:rsidRPr="00EE7416" w:rsidR="00F476AF">
        <w:t xml:space="preserve"> damage</w:t>
      </w:r>
      <w:r w:rsidRPr="00EE7416" w:rsidR="00B51E2C">
        <w:t xml:space="preserve"> and</w:t>
      </w:r>
      <w:r w:rsidRPr="00EE7416" w:rsidR="0023700F">
        <w:t xml:space="preserve"> EUR 6</w:t>
      </w:r>
      <w:r w:rsidRPr="00EE7416" w:rsidR="00D23672">
        <w:t>,</w:t>
      </w:r>
      <w:r w:rsidRPr="00EE7416" w:rsidR="0023700F">
        <w:t>091 in respect of</w:t>
      </w:r>
      <w:r w:rsidRPr="00EE7416" w:rsidR="00B51E2C">
        <w:t xml:space="preserve"> non-pecuniary damage.</w:t>
      </w:r>
      <w:r w:rsidRPr="00EE7416" w:rsidR="0008697A">
        <w:t xml:space="preserve"> As regards the pecuniary damage</w:t>
      </w:r>
      <w:r w:rsidRPr="00EE7416" w:rsidR="00F476AF">
        <w:t>,</w:t>
      </w:r>
      <w:r w:rsidRPr="00EE7416" w:rsidR="0008697A">
        <w:t xml:space="preserve"> the applicant relied on the</w:t>
      </w:r>
      <w:r w:rsidRPr="00EE7416" w:rsidR="008547CE">
        <w:t xml:space="preserve"> calculation method adopted in the</w:t>
      </w:r>
      <w:r w:rsidRPr="00EE7416" w:rsidR="0008697A">
        <w:t xml:space="preserve"> judgment of the first</w:t>
      </w:r>
      <w:r w:rsidRPr="00EE7416" w:rsidR="00F476AF">
        <w:t>-</w:t>
      </w:r>
      <w:r w:rsidRPr="00EE7416" w:rsidR="0008697A">
        <w:t>instance court</w:t>
      </w:r>
      <w:r w:rsidRPr="00EE7416" w:rsidR="00904978">
        <w:t>.</w:t>
      </w:r>
      <w:bookmarkEnd w:id="9"/>
    </w:p>
    <w:p w:rsidRPr="00EE7416" w:rsidR="000C2B06" w:rsidP="00EE7416" w:rsidRDefault="00FA38BD" w14:paraId="284F4DBF" w14:textId="4FBE888F">
      <w:pPr>
        <w:pStyle w:val="JuPara"/>
      </w:pPr>
      <w:r w:rsidRPr="00EE7416">
        <w:fldChar w:fldCharType="begin"/>
      </w:r>
      <w:r w:rsidRPr="00EE7416">
        <w:instrText xml:space="preserve"> SEQ level0 \*arabic </w:instrText>
      </w:r>
      <w:r w:rsidRPr="00EE7416">
        <w:fldChar w:fldCharType="separate"/>
      </w:r>
      <w:r w:rsidRPr="00EE7416" w:rsidR="00EE7416">
        <w:rPr>
          <w:noProof/>
        </w:rPr>
        <w:t>46</w:t>
      </w:r>
      <w:r w:rsidRPr="00EE7416">
        <w:fldChar w:fldCharType="end"/>
      </w:r>
      <w:r w:rsidRPr="00EE7416" w:rsidR="00B51E2C">
        <w:t xml:space="preserve">.  The Government </w:t>
      </w:r>
      <w:r w:rsidRPr="00EE7416" w:rsidR="0008697A">
        <w:t>considered these claims exorbitant.</w:t>
      </w:r>
    </w:p>
    <w:p w:rsidRPr="00EE7416" w:rsidR="00B51E2C" w:rsidP="00EE7416" w:rsidRDefault="00FA38BD" w14:paraId="05666903" w14:textId="1555FB57">
      <w:pPr>
        <w:pStyle w:val="JuPara"/>
      </w:pPr>
      <w:r w:rsidRPr="00EE7416">
        <w:fldChar w:fldCharType="begin"/>
      </w:r>
      <w:r w:rsidRPr="00EE7416">
        <w:instrText xml:space="preserve"> SEQ level0 \*arabic </w:instrText>
      </w:r>
      <w:r w:rsidRPr="00EE7416">
        <w:fldChar w:fldCharType="separate"/>
      </w:r>
      <w:r w:rsidRPr="00EE7416" w:rsidR="00EE7416">
        <w:rPr>
          <w:noProof/>
        </w:rPr>
        <w:t>47</w:t>
      </w:r>
      <w:r w:rsidRPr="00EE7416">
        <w:fldChar w:fldCharType="end"/>
      </w:r>
      <w:r w:rsidRPr="00EE7416" w:rsidR="00B51E2C">
        <w:t>.  </w:t>
      </w:r>
      <w:r w:rsidRPr="00EE7416" w:rsidR="00585131">
        <w:t xml:space="preserve">The Court finds that the applicant was deprived of the compensation which was due to him under domestic law and must take into account the fact that </w:t>
      </w:r>
      <w:r w:rsidRPr="00EE7416" w:rsidR="00EE4729">
        <w:t>he</w:t>
      </w:r>
      <w:r w:rsidRPr="00EE7416" w:rsidR="00585131">
        <w:t xml:space="preserve"> undoubtedly suffered some pecuniary and non-pecuniary damage. Making an assessment on an equitable basis, as is required by Article 41 of the Convention, the Court awards the applicant EUR</w:t>
      </w:r>
      <w:r w:rsidRPr="00EE7416" w:rsidR="00E0703E">
        <w:t> </w:t>
      </w:r>
      <w:r w:rsidRPr="00EE7416" w:rsidR="00AC369C">
        <w:t>1</w:t>
      </w:r>
      <w:r w:rsidRPr="00EE7416" w:rsidR="009B2561">
        <w:t>4</w:t>
      </w:r>
      <w:r w:rsidRPr="00EE7416" w:rsidR="00AC369C">
        <w:t>,</w:t>
      </w:r>
      <w:r w:rsidRPr="00EE7416" w:rsidR="009B2561">
        <w:t>6</w:t>
      </w:r>
      <w:r w:rsidRPr="00EE7416" w:rsidR="00AC369C">
        <w:t xml:space="preserve">00 </w:t>
      </w:r>
      <w:r w:rsidRPr="00EE7416" w:rsidR="00585131">
        <w:t xml:space="preserve">to cover </w:t>
      </w:r>
      <w:r w:rsidRPr="00EE7416" w:rsidR="00BE0708">
        <w:t>both</w:t>
      </w:r>
      <w:r w:rsidRPr="00EE7416" w:rsidR="00585131">
        <w:t xml:space="preserve"> heads of damage</w:t>
      </w:r>
      <w:r w:rsidRPr="00EE7416" w:rsidR="00B51E2C">
        <w:t>.</w:t>
      </w:r>
    </w:p>
    <w:p w:rsidRPr="00EE7416" w:rsidR="00B51E2C" w:rsidP="00EE7416" w:rsidRDefault="00B51E2C" w14:paraId="44D75CA6" w14:textId="41E38E66">
      <w:pPr>
        <w:pStyle w:val="JuHA"/>
      </w:pPr>
      <w:r w:rsidRPr="00EE7416">
        <w:t>Costs and expenses</w:t>
      </w:r>
    </w:p>
    <w:p w:rsidRPr="00EE7416" w:rsidR="00B51E2C" w:rsidP="00EE7416" w:rsidRDefault="00FA38BD" w14:paraId="150A2DDD" w14:textId="1AE345BF">
      <w:pPr>
        <w:pStyle w:val="JuPara"/>
      </w:pPr>
      <w:r w:rsidRPr="00EE7416">
        <w:fldChar w:fldCharType="begin"/>
      </w:r>
      <w:r w:rsidRPr="00EE7416">
        <w:instrText xml:space="preserve"> SEQ level0 \*arabic </w:instrText>
      </w:r>
      <w:r w:rsidRPr="00EE7416">
        <w:fldChar w:fldCharType="separate"/>
      </w:r>
      <w:r w:rsidRPr="00EE7416" w:rsidR="00EE7416">
        <w:rPr>
          <w:noProof/>
        </w:rPr>
        <w:t>48</w:t>
      </w:r>
      <w:r w:rsidRPr="00EE7416">
        <w:fldChar w:fldCharType="end"/>
      </w:r>
      <w:r w:rsidRPr="00EE7416" w:rsidR="00B51E2C">
        <w:t>.  The applicant also claimed EUR</w:t>
      </w:r>
      <w:r w:rsidRPr="00EE7416" w:rsidR="0023700F">
        <w:t xml:space="preserve"> 5,720</w:t>
      </w:r>
      <w:r w:rsidRPr="00EE7416" w:rsidR="00B51E2C">
        <w:t xml:space="preserve"> for the costs and expenses incurred before the domestic courts and before the Court.</w:t>
      </w:r>
    </w:p>
    <w:p w:rsidRPr="00EE7416" w:rsidR="00B51E2C" w:rsidP="00EE7416" w:rsidRDefault="00FA38BD" w14:paraId="428E3DCB" w14:textId="58FB06E6">
      <w:pPr>
        <w:pStyle w:val="JuPara"/>
      </w:pPr>
      <w:r w:rsidRPr="00EE7416">
        <w:fldChar w:fldCharType="begin"/>
      </w:r>
      <w:r w:rsidRPr="00EE7416">
        <w:instrText xml:space="preserve"> SEQ level0 \*arabic </w:instrText>
      </w:r>
      <w:r w:rsidRPr="00EE7416">
        <w:fldChar w:fldCharType="separate"/>
      </w:r>
      <w:r w:rsidRPr="00EE7416" w:rsidR="00EE7416">
        <w:rPr>
          <w:noProof/>
        </w:rPr>
        <w:t>49</w:t>
      </w:r>
      <w:r w:rsidRPr="00EE7416">
        <w:fldChar w:fldCharType="end"/>
      </w:r>
      <w:r w:rsidRPr="00EE7416" w:rsidR="00B51E2C">
        <w:t xml:space="preserve">.  The Government </w:t>
      </w:r>
      <w:r w:rsidRPr="00EE7416" w:rsidR="00A06F15">
        <w:t xml:space="preserve">submitted </w:t>
      </w:r>
      <w:r w:rsidRPr="00EE7416" w:rsidR="0008697A">
        <w:t xml:space="preserve">that in spite of the fact that the applicant </w:t>
      </w:r>
      <w:r w:rsidRPr="00EE7416" w:rsidR="00A06F15">
        <w:t xml:space="preserve">had </w:t>
      </w:r>
      <w:r w:rsidRPr="00EE7416" w:rsidR="0008697A">
        <w:t>submitted certain documents supporting his claim, the amount claimed was exorbitant and part</w:t>
      </w:r>
      <w:r w:rsidRPr="00EE7416" w:rsidR="00A06F15">
        <w:t>ly</w:t>
      </w:r>
      <w:r w:rsidRPr="00EE7416" w:rsidR="0008697A">
        <w:t xml:space="preserve"> </w:t>
      </w:r>
      <w:r w:rsidRPr="00EE7416" w:rsidR="00A06F15">
        <w:t>irrelevant to any damage sustained</w:t>
      </w:r>
      <w:r w:rsidRPr="00EE7416" w:rsidR="0008697A">
        <w:t>.</w:t>
      </w:r>
    </w:p>
    <w:p w:rsidRPr="00EE7416" w:rsidR="00B51E2C" w:rsidP="00EE7416" w:rsidRDefault="00FA38BD" w14:paraId="65E56BA9" w14:textId="7F1970AE">
      <w:pPr>
        <w:pStyle w:val="JuPara"/>
      </w:pPr>
      <w:r w:rsidRPr="00EE7416">
        <w:fldChar w:fldCharType="begin"/>
      </w:r>
      <w:r w:rsidRPr="00EE7416">
        <w:instrText xml:space="preserve"> SEQ level0 \*arabic </w:instrText>
      </w:r>
      <w:r w:rsidRPr="00EE7416">
        <w:fldChar w:fldCharType="separate"/>
      </w:r>
      <w:r w:rsidRPr="00EE7416" w:rsidR="00EE7416">
        <w:rPr>
          <w:noProof/>
        </w:rPr>
        <w:t>50</w:t>
      </w:r>
      <w:r w:rsidRPr="00EE7416">
        <w:fldChar w:fldCharType="end"/>
      </w:r>
      <w:r w:rsidRPr="00EE7416" w:rsidR="00B51E2C">
        <w:t>.  </w:t>
      </w:r>
      <w:r w:rsidRPr="00EE7416">
        <w:t>According to the Court</w:t>
      </w:r>
      <w:r w:rsidRPr="00EE7416" w:rsidR="00EE7416">
        <w:t>’</w:t>
      </w:r>
      <w:r w:rsidRPr="00EE7416">
        <w:t>s case-law, an applicant is entitled to the reimbursement of costs and expenses only in so far as it has been shown that these have been actually and necessarily incurred and are reasonable as to quantum. In the present case, regard</w:t>
      </w:r>
      <w:r w:rsidRPr="00EE7416" w:rsidR="00B51E2C">
        <w:t xml:space="preserve"> being had to the documents in its possession and </w:t>
      </w:r>
      <w:r w:rsidRPr="00EE7416">
        <w:t>the above criteria</w:t>
      </w:r>
      <w:r w:rsidRPr="00EE7416" w:rsidR="00B51E2C">
        <w:t>, the Court considers it reasonable to award the</w:t>
      </w:r>
      <w:r w:rsidRPr="00EE7416" w:rsidR="006729B6">
        <w:t xml:space="preserve"> whole</w:t>
      </w:r>
      <w:r w:rsidRPr="00EE7416" w:rsidR="00B51E2C">
        <w:t xml:space="preserve"> sum </w:t>
      </w:r>
      <w:r w:rsidRPr="00EE7416" w:rsidR="006729B6">
        <w:t xml:space="preserve">claimed, </w:t>
      </w:r>
      <w:r w:rsidRPr="00EE7416" w:rsidR="00B51E2C">
        <w:t>covering costs under all heads.</w:t>
      </w:r>
    </w:p>
    <w:p w:rsidRPr="00EE7416" w:rsidR="00B51E2C" w:rsidP="00EE7416" w:rsidRDefault="00B51E2C" w14:paraId="2D602736" w14:textId="6F8CCA57">
      <w:pPr>
        <w:pStyle w:val="JuHA"/>
      </w:pPr>
      <w:r w:rsidRPr="00EE7416">
        <w:t>Default interest</w:t>
      </w:r>
    </w:p>
    <w:p w:rsidRPr="00EE7416" w:rsidR="00B51E2C" w:rsidP="00EE7416" w:rsidRDefault="00FA38BD" w14:paraId="5CCCFCE9" w14:textId="12ADC3B4">
      <w:pPr>
        <w:pStyle w:val="JuPara"/>
      </w:pPr>
      <w:r w:rsidRPr="00EE7416">
        <w:fldChar w:fldCharType="begin"/>
      </w:r>
      <w:r w:rsidRPr="00EE7416">
        <w:instrText xml:space="preserve"> SEQ level0 \*arabic </w:instrText>
      </w:r>
      <w:r w:rsidRPr="00EE7416">
        <w:fldChar w:fldCharType="separate"/>
      </w:r>
      <w:r w:rsidRPr="00EE7416" w:rsidR="00EE7416">
        <w:rPr>
          <w:noProof/>
        </w:rPr>
        <w:t>51</w:t>
      </w:r>
      <w:r w:rsidRPr="00EE7416">
        <w:fldChar w:fldCharType="end"/>
      </w:r>
      <w:r w:rsidRPr="00EE7416" w:rsidR="00B51E2C">
        <w:t>.  The Court considers it appropriate that the default interest rate should be based on the marginal lending rate of the European Central Bank, to which should be added three percentage points.</w:t>
      </w:r>
    </w:p>
    <w:p w:rsidRPr="00EE7416" w:rsidR="00B51E2C" w:rsidP="00EE7416" w:rsidRDefault="00B51E2C" w14:paraId="3F0F5C9F" w14:textId="17352963">
      <w:pPr>
        <w:pStyle w:val="JuHHead"/>
      </w:pPr>
      <w:r w:rsidRPr="00EE7416">
        <w:t>FOR THESE REASONS, THE COURT</w:t>
      </w:r>
      <w:r w:rsidRPr="00EE7416" w:rsidR="00FA38BD">
        <w:t>, UNANIMOUSLY,</w:t>
      </w:r>
    </w:p>
    <w:p w:rsidRPr="00EE7416" w:rsidR="00B02721" w:rsidP="00EE7416" w:rsidRDefault="00B02721" w14:paraId="4B6121C4" w14:textId="68FD1D7D">
      <w:pPr>
        <w:pStyle w:val="JuList"/>
      </w:pPr>
      <w:r w:rsidRPr="00EE7416">
        <w:rPr>
          <w:i/>
        </w:rPr>
        <w:t xml:space="preserve">Decides </w:t>
      </w:r>
      <w:r w:rsidRPr="00EE7416">
        <w:t>to join to the merits the Government</w:t>
      </w:r>
      <w:r w:rsidRPr="00EE7416" w:rsidR="00EE7416">
        <w:t>’</w:t>
      </w:r>
      <w:r w:rsidRPr="00EE7416">
        <w:t>s preliminary objection</w:t>
      </w:r>
      <w:r w:rsidRPr="00EE7416" w:rsidR="00AC369C">
        <w:t xml:space="preserve"> concerning non-exhaustion of domestic remedies </w:t>
      </w:r>
      <w:r w:rsidRPr="00EE7416" w:rsidR="009B2561">
        <w:t>due to</w:t>
      </w:r>
      <w:r w:rsidRPr="00EE7416" w:rsidR="00AC369C">
        <w:t xml:space="preserve"> the alleged non-fulfilment of the statutory requirements of a claim for compensation</w:t>
      </w:r>
      <w:r w:rsidRPr="00EE7416">
        <w:t xml:space="preserve"> and </w:t>
      </w:r>
      <w:r w:rsidRPr="00EE7416">
        <w:rPr>
          <w:i/>
          <w:iCs/>
        </w:rPr>
        <w:t>dismisses</w:t>
      </w:r>
      <w:r w:rsidRPr="00EE7416">
        <w:t xml:space="preserve"> it;</w:t>
      </w:r>
    </w:p>
    <w:p w:rsidRPr="00EE7416" w:rsidR="00B51E2C" w:rsidP="00EE7416" w:rsidRDefault="00B51E2C" w14:paraId="44D96EDF" w14:textId="6D818285">
      <w:pPr>
        <w:pStyle w:val="JuList"/>
      </w:pPr>
      <w:r w:rsidRPr="00EE7416">
        <w:rPr>
          <w:i/>
        </w:rPr>
        <w:t>Declares</w:t>
      </w:r>
      <w:r w:rsidRPr="00EE7416" w:rsidR="00FA38BD">
        <w:t xml:space="preserve"> </w:t>
      </w:r>
      <w:r w:rsidRPr="00EE7416">
        <w:t xml:space="preserve">the </w:t>
      </w:r>
      <w:r w:rsidRPr="00EE7416" w:rsidR="00FA38BD">
        <w:t>application</w:t>
      </w:r>
      <w:r w:rsidRPr="00EE7416">
        <w:t xml:space="preserve"> admissible;</w:t>
      </w:r>
    </w:p>
    <w:p w:rsidRPr="00EE7416" w:rsidR="00B51E2C" w:rsidP="00EE7416" w:rsidRDefault="00B51E2C" w14:paraId="7EA2DEA4" w14:textId="1C791411">
      <w:pPr>
        <w:pStyle w:val="JuList"/>
      </w:pPr>
      <w:r w:rsidRPr="00EE7416">
        <w:rPr>
          <w:i/>
        </w:rPr>
        <w:t>Holds</w:t>
      </w:r>
      <w:r w:rsidRPr="00EE7416" w:rsidR="00FA38BD">
        <w:t xml:space="preserve"> </w:t>
      </w:r>
      <w:r w:rsidRPr="00EE7416">
        <w:t xml:space="preserve">that there has been a violation of Article </w:t>
      </w:r>
      <w:r w:rsidRPr="00EE7416" w:rsidR="00BB04BC">
        <w:t>1 of Protocol No. 1</w:t>
      </w:r>
      <w:r w:rsidRPr="00EE7416" w:rsidR="007A6C9E">
        <w:t xml:space="preserve"> to the Convention</w:t>
      </w:r>
      <w:r w:rsidRPr="00EE7416">
        <w:t>;</w:t>
      </w:r>
    </w:p>
    <w:p w:rsidRPr="00EE7416" w:rsidR="00D03556" w:rsidP="00EE7416" w:rsidRDefault="00B51E2C" w14:paraId="5CCFA9C2" w14:textId="77777777">
      <w:pPr>
        <w:pStyle w:val="JuList"/>
      </w:pPr>
      <w:r w:rsidRPr="00EE7416">
        <w:rPr>
          <w:i/>
        </w:rPr>
        <w:t>Holds</w:t>
      </w:r>
    </w:p>
    <w:p w:rsidRPr="00EE7416" w:rsidR="00B51E2C" w:rsidP="00EE7416" w:rsidRDefault="00B51E2C" w14:paraId="6C7D4D86" w14:textId="02B45FE6">
      <w:pPr>
        <w:pStyle w:val="JuLista"/>
      </w:pPr>
      <w:r w:rsidRPr="00EE7416">
        <w:t>that the respondent State is to pay the applicant, within three months</w:t>
      </w:r>
      <w:r w:rsidRPr="00EE7416" w:rsidR="00FA38BD">
        <w:t xml:space="preserve"> from the date on which the judgment becomes final in accordance with Article 44</w:t>
      </w:r>
      <w:r w:rsidRPr="00EE7416" w:rsidR="00D23672">
        <w:t xml:space="preserve"> </w:t>
      </w:r>
      <w:r w:rsidRPr="00EE7416" w:rsidR="00FA38BD">
        <w:t>§ 2 of the Convention,</w:t>
      </w:r>
      <w:r w:rsidRPr="00EE7416">
        <w:t xml:space="preserve"> the following amounts, to be converted into </w:t>
      </w:r>
      <w:r w:rsidRPr="00EE7416">
        <w:rPr>
          <w:color w:val="000000"/>
        </w:rPr>
        <w:t>the currency of the respondent State</w:t>
      </w:r>
      <w:r w:rsidRPr="00EE7416">
        <w:t xml:space="preserve"> at the rate applicable at the date of settlement:</w:t>
      </w:r>
    </w:p>
    <w:p w:rsidRPr="00EE7416" w:rsidR="00B51E2C" w:rsidP="00EE7416" w:rsidRDefault="00B51E2C" w14:paraId="1E141022" w14:textId="09F42BD6">
      <w:pPr>
        <w:pStyle w:val="JuListi"/>
      </w:pPr>
      <w:r w:rsidRPr="00EE7416">
        <w:t xml:space="preserve">EUR </w:t>
      </w:r>
      <w:r w:rsidRPr="00EE7416" w:rsidR="00AC369C">
        <w:t>14,</w:t>
      </w:r>
      <w:r w:rsidRPr="00EE7416" w:rsidR="009B2561">
        <w:t>6</w:t>
      </w:r>
      <w:r w:rsidRPr="00EE7416" w:rsidR="00AC369C">
        <w:t>00</w:t>
      </w:r>
      <w:r w:rsidRPr="00EE7416">
        <w:t xml:space="preserve"> (</w:t>
      </w:r>
      <w:r w:rsidRPr="00EE7416" w:rsidR="00AC369C">
        <w:t xml:space="preserve">fourteen </w:t>
      </w:r>
      <w:r w:rsidRPr="00EE7416" w:rsidR="00A46CDF">
        <w:t>thousand</w:t>
      </w:r>
      <w:r w:rsidRPr="00EE7416" w:rsidR="00AC369C">
        <w:t xml:space="preserve"> </w:t>
      </w:r>
      <w:r w:rsidRPr="00EE7416" w:rsidR="009B2561">
        <w:t>six</w:t>
      </w:r>
      <w:r w:rsidRPr="00EE7416" w:rsidR="00AC369C">
        <w:t xml:space="preserve"> hundred</w:t>
      </w:r>
      <w:r w:rsidRPr="00EE7416" w:rsidR="00A46CDF">
        <w:t xml:space="preserve"> euros)</w:t>
      </w:r>
      <w:r w:rsidRPr="00EE7416">
        <w:t>, plus any tax that may be chargeable,</w:t>
      </w:r>
      <w:r w:rsidRPr="00EE7416" w:rsidR="00A46CDF">
        <w:t xml:space="preserve"> </w:t>
      </w:r>
      <w:r w:rsidRPr="00EE7416">
        <w:t xml:space="preserve">in respect of pecuniary </w:t>
      </w:r>
      <w:r w:rsidRPr="00EE7416" w:rsidR="00A46CDF">
        <w:t>and non-pecuniary damage</w:t>
      </w:r>
      <w:r w:rsidRPr="00EE7416">
        <w:t>;</w:t>
      </w:r>
    </w:p>
    <w:p w:rsidRPr="00EE7416" w:rsidR="00B51E2C" w:rsidP="00EE7416" w:rsidRDefault="00B51E2C" w14:paraId="02BBA4F9" w14:textId="49BF14E5">
      <w:pPr>
        <w:pStyle w:val="JuListi"/>
      </w:pPr>
      <w:r w:rsidRPr="00EE7416">
        <w:t xml:space="preserve">EUR </w:t>
      </w:r>
      <w:r w:rsidRPr="00EE7416" w:rsidR="00A46CDF">
        <w:t>5,720</w:t>
      </w:r>
      <w:r w:rsidRPr="00EE7416">
        <w:t xml:space="preserve"> (</w:t>
      </w:r>
      <w:r w:rsidRPr="00EE7416" w:rsidR="00A46CDF">
        <w:t>five thousand seven hundred and twenty</w:t>
      </w:r>
      <w:r w:rsidRPr="00EE7416">
        <w:t xml:space="preserve"> euros), plus any tax that may be chargeable to the applicant, in respect of costs and expenses;</w:t>
      </w:r>
    </w:p>
    <w:p w:rsidRPr="00EE7416" w:rsidR="00B51E2C" w:rsidP="00EE7416" w:rsidRDefault="00B51E2C" w14:paraId="73B495E8" w14:textId="429179BF">
      <w:pPr>
        <w:pStyle w:val="JuLista"/>
      </w:pPr>
      <w:r w:rsidRPr="00EE741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E7416" w:rsidR="00B51E2C" w:rsidP="00EE7416" w:rsidRDefault="00B51E2C" w14:paraId="67AF367B" w14:textId="1AC03626">
      <w:pPr>
        <w:pStyle w:val="JuList"/>
      </w:pPr>
      <w:r w:rsidRPr="00EE7416">
        <w:rPr>
          <w:i/>
        </w:rPr>
        <w:t>Dismisses</w:t>
      </w:r>
      <w:r w:rsidRPr="00EE7416" w:rsidR="00FA38BD">
        <w:t xml:space="preserve"> </w:t>
      </w:r>
      <w:r w:rsidRPr="00EE7416">
        <w:t>the remainder of the applicant</w:t>
      </w:r>
      <w:r w:rsidRPr="00EE7416" w:rsidR="00EE7416">
        <w:t>’</w:t>
      </w:r>
      <w:r w:rsidRPr="00EE7416" w:rsidR="00FA38BD">
        <w:t>s</w:t>
      </w:r>
      <w:r w:rsidRPr="00EE7416">
        <w:t xml:space="preserve"> claim for just satisfaction.</w:t>
      </w:r>
    </w:p>
    <w:p w:rsidRPr="00EE7416" w:rsidR="00B51E2C" w:rsidP="00EE7416" w:rsidRDefault="00B51E2C" w14:paraId="47C9EE2A" w14:textId="575B554A">
      <w:pPr>
        <w:pStyle w:val="JuParaLast"/>
      </w:pPr>
      <w:r w:rsidRPr="00EE7416">
        <w:t xml:space="preserve">Done in English, and notified in writing on </w:t>
      </w:r>
      <w:r w:rsidRPr="00EE7416" w:rsidR="00E0703E">
        <w:t xml:space="preserve">24 </w:t>
      </w:r>
      <w:r w:rsidRPr="00EE7416" w:rsidR="004B5E8B">
        <w:t>M</w:t>
      </w:r>
      <w:r w:rsidRPr="00EE7416" w:rsidR="00E0703E">
        <w:t>arch 2022</w:t>
      </w:r>
      <w:r w:rsidRPr="00EE7416">
        <w:t>, pursuant to Rule 77</w:t>
      </w:r>
      <w:r w:rsidRPr="00EE7416" w:rsidR="00D23672">
        <w:t xml:space="preserve"> </w:t>
      </w:r>
      <w:r w:rsidRPr="00EE7416">
        <w:t>§§ 2 and 3 of the Rules of Court.</w:t>
      </w:r>
    </w:p>
    <w:p w:rsidRPr="00EE7416" w:rsidR="00B51E2C" w:rsidP="00EE7416" w:rsidRDefault="00B51E2C" w14:paraId="4E93AAEF" w14:textId="4B8C22EF">
      <w:pPr>
        <w:pStyle w:val="JuSigned"/>
        <w:rPr>
          <w:lang w:val="it-IT"/>
        </w:rPr>
      </w:pPr>
      <w:r w:rsidRPr="00EE7416">
        <w:tab/>
      </w:r>
      <w:r w:rsidRPr="00EE7416" w:rsidR="00E0703E">
        <w:t>Liv Tigerstedt</w:t>
      </w:r>
      <w:r w:rsidRPr="00EE7416">
        <w:rPr>
          <w:lang w:val="it-IT"/>
        </w:rPr>
        <w:tab/>
      </w:r>
      <w:r w:rsidRPr="00EE7416" w:rsidR="000D7BD7">
        <w:rPr>
          <w:lang w:val="it-IT"/>
        </w:rPr>
        <w:t>Marko Bosnjak</w:t>
      </w:r>
      <w:r w:rsidRPr="00EE7416" w:rsidDel="000D7BD7" w:rsidR="000D7BD7">
        <w:rPr>
          <w:lang w:val="it-IT"/>
        </w:rPr>
        <w:t xml:space="preserve"> </w:t>
      </w:r>
      <w:r w:rsidRPr="00EE7416">
        <w:rPr>
          <w:lang w:val="it-IT"/>
        </w:rPr>
        <w:br/>
      </w:r>
      <w:r w:rsidRPr="00EE7416">
        <w:rPr>
          <w:lang w:val="it-IT"/>
        </w:rPr>
        <w:tab/>
      </w:r>
      <w:r w:rsidRPr="00EE7416" w:rsidR="00E0703E">
        <w:rPr>
          <w:lang w:val="it-IT"/>
        </w:rPr>
        <w:t xml:space="preserve">Deputy </w:t>
      </w:r>
      <w:r w:rsidRPr="00EE7416" w:rsidR="00FA38BD">
        <w:rPr>
          <w:iCs/>
          <w:lang w:val="it-IT"/>
        </w:rPr>
        <w:t>Registrar</w:t>
      </w:r>
      <w:r w:rsidRPr="00EE7416">
        <w:rPr>
          <w:lang w:val="it-IT"/>
        </w:rPr>
        <w:tab/>
        <w:t>President</w:t>
      </w:r>
    </w:p>
    <w:sectPr w:rsidRPr="00EE7416" w:rsidR="00B51E2C" w:rsidSect="0028589D">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E2568E" w14:textId="77777777" w:rsidR="00CB4EC8" w:rsidRDefault="00CB4EC8">
      <w:r>
        <w:separator/>
      </w:r>
    </w:p>
  </w:endnote>
  <w:endnote w:type="continuationSeparator" w:id="0">
    <w:p w14:paraId="0868EC9A" w14:textId="77777777" w:rsidR="00CB4EC8" w:rsidRDefault="00CB4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1566068"/>
      <w:docPartObj>
        <w:docPartGallery w:val="Page Numbers (Bottom of Page)"/>
        <w:docPartUnique/>
      </w:docPartObj>
    </w:sdtPr>
    <w:sdtEndPr>
      <w:rPr>
        <w:lang w:val="fr-FR"/>
      </w:rPr>
    </w:sdtEndPr>
    <w:sdtContent>
      <w:p w14:paraId="3A2D0905" w14:textId="38DD2F6B" w:rsidR="00CB4EC8" w:rsidRDefault="00CB4EC8" w:rsidP="00EE7416">
        <w:pPr>
          <w:pStyle w:val="Footer"/>
          <w:jc w:val="center"/>
        </w:pPr>
        <w:r w:rsidRPr="00834E2D">
          <w:rPr>
            <w:sz w:val="18"/>
            <w:szCs w:val="18"/>
            <w:lang w:val="fr-FR"/>
          </w:rPr>
          <w:fldChar w:fldCharType="begin"/>
        </w:r>
        <w:r w:rsidRPr="00834E2D">
          <w:rPr>
            <w:sz w:val="18"/>
            <w:szCs w:val="18"/>
          </w:rPr>
          <w:instrText xml:space="preserve"> PAGE </w:instrText>
        </w:r>
        <w:r w:rsidRPr="00834E2D">
          <w:rPr>
            <w:sz w:val="18"/>
            <w:szCs w:val="18"/>
            <w:lang w:val="fr-FR"/>
          </w:rPr>
          <w:fldChar w:fldCharType="separate"/>
        </w:r>
        <w:r>
          <w:rPr>
            <w:noProof/>
            <w:sz w:val="18"/>
            <w:szCs w:val="18"/>
          </w:rPr>
          <w:t>12</w:t>
        </w:r>
        <w:r w:rsidRPr="00834E2D">
          <w:rPr>
            <w:sz w:val="18"/>
            <w:szCs w:val="18"/>
            <w:lang w:val="fr-FR"/>
          </w:rPr>
          <w:fldChar w:fldCharType="end"/>
        </w:r>
      </w:p>
    </w:sdtContent>
  </w:sdt>
  <w:p w14:paraId="6CBFC644" w14:textId="77777777" w:rsidR="00CB4EC8" w:rsidRDefault="00CB4E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5037768"/>
      <w:docPartObj>
        <w:docPartGallery w:val="Page Numbers (Bottom of Page)"/>
        <w:docPartUnique/>
      </w:docPartObj>
    </w:sdtPr>
    <w:sdtEndPr>
      <w:rPr>
        <w:lang w:val="fr-FR"/>
      </w:rPr>
    </w:sdtEndPr>
    <w:sdtContent>
      <w:p w14:paraId="10AB5396" w14:textId="0ACAEE27" w:rsidR="00CB4EC8" w:rsidRDefault="00CB4EC8" w:rsidP="00EE7416">
        <w:pPr>
          <w:pStyle w:val="Footer"/>
          <w:jc w:val="center"/>
        </w:pPr>
        <w:r w:rsidRPr="00834E2D">
          <w:rPr>
            <w:sz w:val="18"/>
            <w:szCs w:val="18"/>
            <w:lang w:val="fr-FR"/>
          </w:rPr>
          <w:fldChar w:fldCharType="begin"/>
        </w:r>
        <w:r w:rsidRPr="00834E2D">
          <w:rPr>
            <w:sz w:val="18"/>
            <w:szCs w:val="18"/>
          </w:rPr>
          <w:instrText xml:space="preserve"> PAGE </w:instrText>
        </w:r>
        <w:r w:rsidRPr="00834E2D">
          <w:rPr>
            <w:sz w:val="18"/>
            <w:szCs w:val="18"/>
            <w:lang w:val="fr-FR"/>
          </w:rPr>
          <w:fldChar w:fldCharType="separate"/>
        </w:r>
        <w:r>
          <w:rPr>
            <w:noProof/>
            <w:sz w:val="18"/>
            <w:szCs w:val="18"/>
          </w:rPr>
          <w:t>13</w:t>
        </w:r>
        <w:r w:rsidRPr="00834E2D">
          <w:rPr>
            <w:sz w:val="18"/>
            <w:szCs w:val="18"/>
            <w:lang w:val="fr-FR"/>
          </w:rPr>
          <w:fldChar w:fldCharType="end"/>
        </w:r>
      </w:p>
    </w:sdtContent>
  </w:sdt>
  <w:p w14:paraId="17B265AE" w14:textId="77777777" w:rsidR="00CB4EC8" w:rsidRDefault="00CB4E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7D34F" w14:textId="4DC11A4D" w:rsidR="0028589D" w:rsidRPr="00150BFA" w:rsidRDefault="0028589D" w:rsidP="0020718E">
    <w:pPr>
      <w:jc w:val="center"/>
    </w:pPr>
    <w:r>
      <w:rPr>
        <w:noProof/>
        <w:lang w:val="en-US" w:eastAsia="ja-JP"/>
      </w:rPr>
      <w:drawing>
        <wp:inline distT="0" distB="0" distL="0" distR="0" wp14:anchorId="7846D227" wp14:editId="4FF9210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9FE493C" w14:textId="2374AA97" w:rsidR="0028589D" w:rsidRDefault="002858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160E7" w14:textId="77777777" w:rsidR="00CB4EC8" w:rsidRPr="003152BA" w:rsidRDefault="00CB4EC8" w:rsidP="00B51E2C">
      <w:r w:rsidRPr="003152BA">
        <w:separator/>
      </w:r>
    </w:p>
  </w:footnote>
  <w:footnote w:type="continuationSeparator" w:id="0">
    <w:p w14:paraId="26636F85" w14:textId="77777777" w:rsidR="00CB4EC8" w:rsidRPr="003152BA" w:rsidRDefault="00CB4EC8" w:rsidP="00B51E2C">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7BFD9" w14:textId="5C804B6E" w:rsidR="00CB4EC8" w:rsidRPr="0028589D" w:rsidRDefault="00CB4EC8" w:rsidP="0028589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6B019" w14:textId="2EBB7D88" w:rsidR="0028589D" w:rsidRPr="00A45145" w:rsidRDefault="0028589D" w:rsidP="00A45145">
    <w:pPr>
      <w:jc w:val="center"/>
    </w:pPr>
    <w:r>
      <w:rPr>
        <w:noProof/>
        <w:lang w:val="en-US" w:eastAsia="ja-JP"/>
      </w:rPr>
      <w:drawing>
        <wp:inline distT="0" distB="0" distL="0" distR="0" wp14:anchorId="12A14ABC" wp14:editId="50BCD37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5F29935" w14:textId="7708FC14" w:rsidR="00CB4EC8" w:rsidRDefault="00CB4E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DE9B" w14:textId="677293B2" w:rsidR="0028589D" w:rsidRPr="003152BA" w:rsidRDefault="0028589D" w:rsidP="00B51E2C">
    <w:pPr>
      <w:pStyle w:val="JuHeader"/>
    </w:pPr>
    <w:r>
      <w:t>WYSZYŃSKI v. POLAND</w:t>
    </w:r>
    <w:r w:rsidRPr="003152BA">
      <w:t xml:space="preserve"> </w:t>
    </w:r>
    <w:r w:rsidR="00EE7416">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DFC5B" w14:textId="20EEFAD0" w:rsidR="0028589D" w:rsidRPr="003152BA" w:rsidRDefault="0028589D" w:rsidP="00EE7416">
    <w:pPr>
      <w:pStyle w:val="JuHeader"/>
    </w:pPr>
    <w:r>
      <w:t>WYSZYŃSKI v. POLAND</w:t>
    </w:r>
    <w:r w:rsidR="00EE7416">
      <w:t xml:space="preserve"> J</w:t>
    </w:r>
    <w:r w:rsidR="00EE7416">
      <w:rPr>
        <w:noProof/>
      </w:rPr>
      <w:t>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9BAC578">
      <w:start w:val="1"/>
      <w:numFmt w:val="bullet"/>
      <w:pStyle w:val="ListBullet"/>
      <w:lvlText w:val=""/>
      <w:lvlJc w:val="left"/>
      <w:pPr>
        <w:tabs>
          <w:tab w:val="num" w:pos="851"/>
        </w:tabs>
        <w:ind w:left="568" w:firstLine="0"/>
      </w:pPr>
      <w:rPr>
        <w:rFonts w:ascii="Wingdings" w:hAnsi="Wingdings" w:hint="default"/>
        <w:color w:val="808080"/>
        <w:sz w:val="16"/>
      </w:rPr>
    </w:lvl>
    <w:lvl w:ilvl="1" w:tplc="02C81818" w:tentative="1">
      <w:start w:val="1"/>
      <w:numFmt w:val="bullet"/>
      <w:lvlText w:val="o"/>
      <w:lvlJc w:val="left"/>
      <w:pPr>
        <w:tabs>
          <w:tab w:val="num" w:pos="1724"/>
        </w:tabs>
        <w:ind w:left="1724" w:hanging="360"/>
      </w:pPr>
      <w:rPr>
        <w:rFonts w:ascii="Courier New" w:hAnsi="Courier New" w:cs="Courier New" w:hint="default"/>
      </w:rPr>
    </w:lvl>
    <w:lvl w:ilvl="2" w:tplc="A9FCA302" w:tentative="1">
      <w:start w:val="1"/>
      <w:numFmt w:val="bullet"/>
      <w:lvlText w:val=""/>
      <w:lvlJc w:val="left"/>
      <w:pPr>
        <w:tabs>
          <w:tab w:val="num" w:pos="2444"/>
        </w:tabs>
        <w:ind w:left="2444" w:hanging="360"/>
      </w:pPr>
      <w:rPr>
        <w:rFonts w:ascii="Wingdings" w:hAnsi="Wingdings" w:hint="default"/>
      </w:rPr>
    </w:lvl>
    <w:lvl w:ilvl="3" w:tplc="2662E586" w:tentative="1">
      <w:start w:val="1"/>
      <w:numFmt w:val="bullet"/>
      <w:lvlText w:val=""/>
      <w:lvlJc w:val="left"/>
      <w:pPr>
        <w:tabs>
          <w:tab w:val="num" w:pos="3164"/>
        </w:tabs>
        <w:ind w:left="3164" w:hanging="360"/>
      </w:pPr>
      <w:rPr>
        <w:rFonts w:ascii="Symbol" w:hAnsi="Symbol" w:hint="default"/>
      </w:rPr>
    </w:lvl>
    <w:lvl w:ilvl="4" w:tplc="CB5873C4" w:tentative="1">
      <w:start w:val="1"/>
      <w:numFmt w:val="bullet"/>
      <w:lvlText w:val="o"/>
      <w:lvlJc w:val="left"/>
      <w:pPr>
        <w:tabs>
          <w:tab w:val="num" w:pos="3884"/>
        </w:tabs>
        <w:ind w:left="3884" w:hanging="360"/>
      </w:pPr>
      <w:rPr>
        <w:rFonts w:ascii="Courier New" w:hAnsi="Courier New" w:cs="Courier New" w:hint="default"/>
      </w:rPr>
    </w:lvl>
    <w:lvl w:ilvl="5" w:tplc="C0889D1C" w:tentative="1">
      <w:start w:val="1"/>
      <w:numFmt w:val="bullet"/>
      <w:lvlText w:val=""/>
      <w:lvlJc w:val="left"/>
      <w:pPr>
        <w:tabs>
          <w:tab w:val="num" w:pos="4604"/>
        </w:tabs>
        <w:ind w:left="4604" w:hanging="360"/>
      </w:pPr>
      <w:rPr>
        <w:rFonts w:ascii="Wingdings" w:hAnsi="Wingdings" w:hint="default"/>
      </w:rPr>
    </w:lvl>
    <w:lvl w:ilvl="6" w:tplc="DAFEF286" w:tentative="1">
      <w:start w:val="1"/>
      <w:numFmt w:val="bullet"/>
      <w:lvlText w:val=""/>
      <w:lvlJc w:val="left"/>
      <w:pPr>
        <w:tabs>
          <w:tab w:val="num" w:pos="5324"/>
        </w:tabs>
        <w:ind w:left="5324" w:hanging="360"/>
      </w:pPr>
      <w:rPr>
        <w:rFonts w:ascii="Symbol" w:hAnsi="Symbol" w:hint="default"/>
      </w:rPr>
    </w:lvl>
    <w:lvl w:ilvl="7" w:tplc="AD54EF9C" w:tentative="1">
      <w:start w:val="1"/>
      <w:numFmt w:val="bullet"/>
      <w:lvlText w:val="o"/>
      <w:lvlJc w:val="left"/>
      <w:pPr>
        <w:tabs>
          <w:tab w:val="num" w:pos="6044"/>
        </w:tabs>
        <w:ind w:left="6044" w:hanging="360"/>
      </w:pPr>
      <w:rPr>
        <w:rFonts w:ascii="Courier New" w:hAnsi="Courier New" w:cs="Courier New" w:hint="default"/>
      </w:rPr>
    </w:lvl>
    <w:lvl w:ilvl="8" w:tplc="D0A27824"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75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A38BD"/>
    <w:rsid w:val="00002224"/>
    <w:rsid w:val="00004E88"/>
    <w:rsid w:val="00007EB4"/>
    <w:rsid w:val="00011835"/>
    <w:rsid w:val="00037E67"/>
    <w:rsid w:val="00042120"/>
    <w:rsid w:val="0004476F"/>
    <w:rsid w:val="00051917"/>
    <w:rsid w:val="0005490D"/>
    <w:rsid w:val="0008697A"/>
    <w:rsid w:val="00092CF3"/>
    <w:rsid w:val="00092DC4"/>
    <w:rsid w:val="000A0AFE"/>
    <w:rsid w:val="000C2B06"/>
    <w:rsid w:val="000C4691"/>
    <w:rsid w:val="000D101D"/>
    <w:rsid w:val="000D7BD7"/>
    <w:rsid w:val="000E2297"/>
    <w:rsid w:val="00104910"/>
    <w:rsid w:val="00120C7F"/>
    <w:rsid w:val="00123EBC"/>
    <w:rsid w:val="00141CAE"/>
    <w:rsid w:val="00145D1F"/>
    <w:rsid w:val="0014712C"/>
    <w:rsid w:val="00153786"/>
    <w:rsid w:val="0017184F"/>
    <w:rsid w:val="00173039"/>
    <w:rsid w:val="00180CC4"/>
    <w:rsid w:val="001846FA"/>
    <w:rsid w:val="001A1A5B"/>
    <w:rsid w:val="001C3E1F"/>
    <w:rsid w:val="001C5D50"/>
    <w:rsid w:val="001E0EBE"/>
    <w:rsid w:val="001F0FE6"/>
    <w:rsid w:val="00210E9E"/>
    <w:rsid w:val="00214243"/>
    <w:rsid w:val="0022012A"/>
    <w:rsid w:val="002265ED"/>
    <w:rsid w:val="0023700F"/>
    <w:rsid w:val="00246988"/>
    <w:rsid w:val="002512E5"/>
    <w:rsid w:val="00255532"/>
    <w:rsid w:val="00263E55"/>
    <w:rsid w:val="0027599F"/>
    <w:rsid w:val="00276ACB"/>
    <w:rsid w:val="0028589D"/>
    <w:rsid w:val="00286FC6"/>
    <w:rsid w:val="002960A4"/>
    <w:rsid w:val="002A3182"/>
    <w:rsid w:val="002A493F"/>
    <w:rsid w:val="002B2606"/>
    <w:rsid w:val="002C2038"/>
    <w:rsid w:val="002D4F33"/>
    <w:rsid w:val="002E1940"/>
    <w:rsid w:val="002E6296"/>
    <w:rsid w:val="002F0EC6"/>
    <w:rsid w:val="002F32DA"/>
    <w:rsid w:val="00325242"/>
    <w:rsid w:val="00344F25"/>
    <w:rsid w:val="00355F15"/>
    <w:rsid w:val="003608C6"/>
    <w:rsid w:val="00365C36"/>
    <w:rsid w:val="0038169E"/>
    <w:rsid w:val="00382CEE"/>
    <w:rsid w:val="00383D75"/>
    <w:rsid w:val="0039317B"/>
    <w:rsid w:val="003A072A"/>
    <w:rsid w:val="003A5BC9"/>
    <w:rsid w:val="003B43AC"/>
    <w:rsid w:val="003B5C18"/>
    <w:rsid w:val="003B5D35"/>
    <w:rsid w:val="003C5ECC"/>
    <w:rsid w:val="003E4FF0"/>
    <w:rsid w:val="004547FC"/>
    <w:rsid w:val="00456FA4"/>
    <w:rsid w:val="004630B5"/>
    <w:rsid w:val="004710F1"/>
    <w:rsid w:val="00481C05"/>
    <w:rsid w:val="00484277"/>
    <w:rsid w:val="004874A1"/>
    <w:rsid w:val="0049678B"/>
    <w:rsid w:val="00496932"/>
    <w:rsid w:val="004A5EC7"/>
    <w:rsid w:val="004B47D5"/>
    <w:rsid w:val="004B5E8B"/>
    <w:rsid w:val="004B72AA"/>
    <w:rsid w:val="004C032D"/>
    <w:rsid w:val="004C25F3"/>
    <w:rsid w:val="004D0198"/>
    <w:rsid w:val="004D7F52"/>
    <w:rsid w:val="004E06AC"/>
    <w:rsid w:val="004E6A48"/>
    <w:rsid w:val="004F1F2D"/>
    <w:rsid w:val="004F702F"/>
    <w:rsid w:val="00511709"/>
    <w:rsid w:val="005148B7"/>
    <w:rsid w:val="00521D9E"/>
    <w:rsid w:val="00532FD8"/>
    <w:rsid w:val="005418CB"/>
    <w:rsid w:val="0055719B"/>
    <w:rsid w:val="00564DEF"/>
    <w:rsid w:val="005712FD"/>
    <w:rsid w:val="00585131"/>
    <w:rsid w:val="00586F28"/>
    <w:rsid w:val="00587D81"/>
    <w:rsid w:val="00592F90"/>
    <w:rsid w:val="005A33F6"/>
    <w:rsid w:val="005B173B"/>
    <w:rsid w:val="005B7890"/>
    <w:rsid w:val="005D0382"/>
    <w:rsid w:val="005F7925"/>
    <w:rsid w:val="0060611C"/>
    <w:rsid w:val="006143FA"/>
    <w:rsid w:val="0062056B"/>
    <w:rsid w:val="00621223"/>
    <w:rsid w:val="006225F9"/>
    <w:rsid w:val="00624E61"/>
    <w:rsid w:val="006256AA"/>
    <w:rsid w:val="00632408"/>
    <w:rsid w:val="006537E9"/>
    <w:rsid w:val="0065674A"/>
    <w:rsid w:val="006729B6"/>
    <w:rsid w:val="00680EB0"/>
    <w:rsid w:val="00683408"/>
    <w:rsid w:val="006A4F72"/>
    <w:rsid w:val="006B2F62"/>
    <w:rsid w:val="006B73BA"/>
    <w:rsid w:val="006C10C0"/>
    <w:rsid w:val="006C60D4"/>
    <w:rsid w:val="006C7D50"/>
    <w:rsid w:val="006D43FD"/>
    <w:rsid w:val="007016F1"/>
    <w:rsid w:val="00705FE8"/>
    <w:rsid w:val="00706308"/>
    <w:rsid w:val="007340A6"/>
    <w:rsid w:val="007341EB"/>
    <w:rsid w:val="00737912"/>
    <w:rsid w:val="007523AB"/>
    <w:rsid w:val="00755340"/>
    <w:rsid w:val="00765235"/>
    <w:rsid w:val="007673F5"/>
    <w:rsid w:val="007721C5"/>
    <w:rsid w:val="00785B90"/>
    <w:rsid w:val="00787FD3"/>
    <w:rsid w:val="007A0CD7"/>
    <w:rsid w:val="007A6C9E"/>
    <w:rsid w:val="007B3789"/>
    <w:rsid w:val="007D0CD0"/>
    <w:rsid w:val="007D4458"/>
    <w:rsid w:val="007D6A34"/>
    <w:rsid w:val="007D7B43"/>
    <w:rsid w:val="007E1779"/>
    <w:rsid w:val="00803D51"/>
    <w:rsid w:val="00826AB4"/>
    <w:rsid w:val="00834E2D"/>
    <w:rsid w:val="0084386B"/>
    <w:rsid w:val="008545DC"/>
    <w:rsid w:val="008547CE"/>
    <w:rsid w:val="008563F7"/>
    <w:rsid w:val="0087685D"/>
    <w:rsid w:val="0088351E"/>
    <w:rsid w:val="0089540C"/>
    <w:rsid w:val="00895E56"/>
    <w:rsid w:val="008A0E41"/>
    <w:rsid w:val="008A10A7"/>
    <w:rsid w:val="008A3999"/>
    <w:rsid w:val="008A4965"/>
    <w:rsid w:val="008B05E0"/>
    <w:rsid w:val="008D4F22"/>
    <w:rsid w:val="00904978"/>
    <w:rsid w:val="00913DE5"/>
    <w:rsid w:val="00927711"/>
    <w:rsid w:val="00937865"/>
    <w:rsid w:val="0095202B"/>
    <w:rsid w:val="00967B27"/>
    <w:rsid w:val="00981F64"/>
    <w:rsid w:val="00986676"/>
    <w:rsid w:val="009B2561"/>
    <w:rsid w:val="009C2698"/>
    <w:rsid w:val="009C6E32"/>
    <w:rsid w:val="009D1E43"/>
    <w:rsid w:val="00A030B4"/>
    <w:rsid w:val="00A06A4C"/>
    <w:rsid w:val="00A06F15"/>
    <w:rsid w:val="00A27175"/>
    <w:rsid w:val="00A33B55"/>
    <w:rsid w:val="00A46CDF"/>
    <w:rsid w:val="00A53671"/>
    <w:rsid w:val="00A6000F"/>
    <w:rsid w:val="00A6392A"/>
    <w:rsid w:val="00A67E0D"/>
    <w:rsid w:val="00A67E11"/>
    <w:rsid w:val="00A750A2"/>
    <w:rsid w:val="00A84680"/>
    <w:rsid w:val="00A85A77"/>
    <w:rsid w:val="00A87143"/>
    <w:rsid w:val="00A872A4"/>
    <w:rsid w:val="00A90D1F"/>
    <w:rsid w:val="00A96563"/>
    <w:rsid w:val="00AA3DA9"/>
    <w:rsid w:val="00AC369C"/>
    <w:rsid w:val="00AE4749"/>
    <w:rsid w:val="00AF09D5"/>
    <w:rsid w:val="00AF230E"/>
    <w:rsid w:val="00AF48F9"/>
    <w:rsid w:val="00AF49C9"/>
    <w:rsid w:val="00B0136D"/>
    <w:rsid w:val="00B02135"/>
    <w:rsid w:val="00B02721"/>
    <w:rsid w:val="00B1447E"/>
    <w:rsid w:val="00B201BD"/>
    <w:rsid w:val="00B23DC6"/>
    <w:rsid w:val="00B26897"/>
    <w:rsid w:val="00B3079F"/>
    <w:rsid w:val="00B3327F"/>
    <w:rsid w:val="00B365DA"/>
    <w:rsid w:val="00B40E45"/>
    <w:rsid w:val="00B51E2C"/>
    <w:rsid w:val="00B53099"/>
    <w:rsid w:val="00B66B5F"/>
    <w:rsid w:val="00B74EE3"/>
    <w:rsid w:val="00B773AF"/>
    <w:rsid w:val="00B84546"/>
    <w:rsid w:val="00BA27B4"/>
    <w:rsid w:val="00BA6A00"/>
    <w:rsid w:val="00BB04BC"/>
    <w:rsid w:val="00BC2D00"/>
    <w:rsid w:val="00BD16F4"/>
    <w:rsid w:val="00BE0708"/>
    <w:rsid w:val="00C37809"/>
    <w:rsid w:val="00C42106"/>
    <w:rsid w:val="00C52A9D"/>
    <w:rsid w:val="00C54D9C"/>
    <w:rsid w:val="00C645B0"/>
    <w:rsid w:val="00C771EE"/>
    <w:rsid w:val="00C879A8"/>
    <w:rsid w:val="00C93896"/>
    <w:rsid w:val="00CA335A"/>
    <w:rsid w:val="00CA596D"/>
    <w:rsid w:val="00CB4EC8"/>
    <w:rsid w:val="00CB59F7"/>
    <w:rsid w:val="00CB7E6A"/>
    <w:rsid w:val="00CF1E22"/>
    <w:rsid w:val="00D0138C"/>
    <w:rsid w:val="00D03556"/>
    <w:rsid w:val="00D16AF6"/>
    <w:rsid w:val="00D23672"/>
    <w:rsid w:val="00D44011"/>
    <w:rsid w:val="00D4714A"/>
    <w:rsid w:val="00D65293"/>
    <w:rsid w:val="00D66AAC"/>
    <w:rsid w:val="00D762BC"/>
    <w:rsid w:val="00D87DA3"/>
    <w:rsid w:val="00DD3747"/>
    <w:rsid w:val="00DD3F02"/>
    <w:rsid w:val="00DE412E"/>
    <w:rsid w:val="00DF455C"/>
    <w:rsid w:val="00DF78B6"/>
    <w:rsid w:val="00E0703E"/>
    <w:rsid w:val="00E1190E"/>
    <w:rsid w:val="00E51821"/>
    <w:rsid w:val="00E75742"/>
    <w:rsid w:val="00E805EF"/>
    <w:rsid w:val="00E83CA0"/>
    <w:rsid w:val="00E87AF0"/>
    <w:rsid w:val="00E91D52"/>
    <w:rsid w:val="00E9791E"/>
    <w:rsid w:val="00E97BD9"/>
    <w:rsid w:val="00EA15D2"/>
    <w:rsid w:val="00EB6568"/>
    <w:rsid w:val="00EB7117"/>
    <w:rsid w:val="00EC33F7"/>
    <w:rsid w:val="00EE4729"/>
    <w:rsid w:val="00EE7416"/>
    <w:rsid w:val="00EF151A"/>
    <w:rsid w:val="00EF425B"/>
    <w:rsid w:val="00EF52FE"/>
    <w:rsid w:val="00F261B0"/>
    <w:rsid w:val="00F26F2A"/>
    <w:rsid w:val="00F31876"/>
    <w:rsid w:val="00F476AF"/>
    <w:rsid w:val="00F51DB9"/>
    <w:rsid w:val="00F52162"/>
    <w:rsid w:val="00F52772"/>
    <w:rsid w:val="00F52C2B"/>
    <w:rsid w:val="00F75DED"/>
    <w:rsid w:val="00F85FD8"/>
    <w:rsid w:val="00F94459"/>
    <w:rsid w:val="00FA38BD"/>
    <w:rsid w:val="00FB428A"/>
    <w:rsid w:val="00FC471C"/>
    <w:rsid w:val="00FD5FE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7585"/>
    <o:shapelayout v:ext="edit">
      <o:idmap v:ext="edit" data="1"/>
    </o:shapelayout>
  </w:shapeDefaults>
  <w:decimalSymbol w:val=","/>
  <w:listSeparator w:val=";"/>
  <w14:docId w14:val="1807A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E7416"/>
    <w:rPr>
      <w:sz w:val="24"/>
      <w:szCs w:val="24"/>
      <w:lang w:val="en-GB"/>
    </w:rPr>
  </w:style>
  <w:style w:type="paragraph" w:styleId="Heading1">
    <w:name w:val="heading 1"/>
    <w:basedOn w:val="Normal"/>
    <w:next w:val="Normal"/>
    <w:link w:val="Heading1Char"/>
    <w:uiPriority w:val="98"/>
    <w:semiHidden/>
    <w:rsid w:val="00D0355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0355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0355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0355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0355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0355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0355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0355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0355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03556"/>
    <w:rPr>
      <w:rFonts w:ascii="Tahoma" w:hAnsi="Tahoma" w:cs="Tahoma"/>
      <w:sz w:val="16"/>
      <w:szCs w:val="16"/>
    </w:rPr>
  </w:style>
  <w:style w:type="character" w:customStyle="1" w:styleId="BalloonTextChar">
    <w:name w:val="Balloon Text Char"/>
    <w:basedOn w:val="DefaultParagraphFont"/>
    <w:link w:val="BalloonText"/>
    <w:uiPriority w:val="98"/>
    <w:semiHidden/>
    <w:rsid w:val="00D03556"/>
    <w:rPr>
      <w:rFonts w:ascii="Tahoma" w:hAnsi="Tahoma" w:cs="Tahoma"/>
      <w:sz w:val="16"/>
      <w:szCs w:val="16"/>
      <w:lang w:val="en-GB"/>
    </w:rPr>
  </w:style>
  <w:style w:type="character" w:styleId="BookTitle">
    <w:name w:val="Book Title"/>
    <w:uiPriority w:val="98"/>
    <w:semiHidden/>
    <w:qFormat/>
    <w:rsid w:val="00D03556"/>
    <w:rPr>
      <w:i/>
      <w:iCs/>
      <w:smallCaps/>
      <w:spacing w:val="5"/>
    </w:rPr>
  </w:style>
  <w:style w:type="paragraph" w:customStyle="1" w:styleId="JuHeader">
    <w:name w:val="Ju_Header"/>
    <w:aliases w:val="_Header"/>
    <w:basedOn w:val="Header"/>
    <w:uiPriority w:val="29"/>
    <w:qFormat/>
    <w:rsid w:val="00D03556"/>
    <w:pPr>
      <w:tabs>
        <w:tab w:val="clear" w:pos="4536"/>
        <w:tab w:val="clear" w:pos="9072"/>
      </w:tabs>
      <w:jc w:val="center"/>
    </w:pPr>
    <w:rPr>
      <w:sz w:val="18"/>
    </w:rPr>
  </w:style>
  <w:style w:type="paragraph" w:customStyle="1" w:styleId="ECHRFooter">
    <w:name w:val="ECHR_Footer"/>
    <w:aliases w:val="Footer_ECHR"/>
    <w:basedOn w:val="Footer"/>
    <w:uiPriority w:val="57"/>
    <w:semiHidden/>
    <w:rsid w:val="00000067"/>
    <w:rPr>
      <w:sz w:val="8"/>
    </w:rPr>
  </w:style>
  <w:style w:type="character" w:styleId="Strong">
    <w:name w:val="Strong"/>
    <w:uiPriority w:val="98"/>
    <w:semiHidden/>
    <w:qFormat/>
    <w:rsid w:val="00D03556"/>
    <w:rPr>
      <w:b/>
      <w:bCs/>
    </w:rPr>
  </w:style>
  <w:style w:type="paragraph" w:styleId="NoSpacing">
    <w:name w:val="No Spacing"/>
    <w:basedOn w:val="Normal"/>
    <w:link w:val="NoSpacingChar"/>
    <w:uiPriority w:val="98"/>
    <w:semiHidden/>
    <w:qFormat/>
    <w:rsid w:val="00D03556"/>
  </w:style>
  <w:style w:type="character" w:customStyle="1" w:styleId="NoSpacingChar">
    <w:name w:val="No Spacing Char"/>
    <w:basedOn w:val="DefaultParagraphFont"/>
    <w:link w:val="NoSpacing"/>
    <w:uiPriority w:val="98"/>
    <w:semiHidden/>
    <w:rsid w:val="00D03556"/>
    <w:rPr>
      <w:sz w:val="24"/>
      <w:szCs w:val="24"/>
      <w:lang w:val="en-GB"/>
    </w:rPr>
  </w:style>
  <w:style w:type="paragraph" w:customStyle="1" w:styleId="ECHRFooterLine">
    <w:name w:val="ECHR_Footer_Line"/>
    <w:aliases w:val="_Footer_Line"/>
    <w:basedOn w:val="Normal"/>
    <w:next w:val="Normal"/>
    <w:uiPriority w:val="30"/>
    <w:semiHidden/>
    <w:rsid w:val="00D03556"/>
    <w:pPr>
      <w:pBdr>
        <w:top w:val="single" w:sz="6" w:space="1" w:color="5F5F5F"/>
      </w:pBdr>
      <w:tabs>
        <w:tab w:val="center" w:pos="3686"/>
        <w:tab w:val="right" w:pos="7371"/>
      </w:tabs>
      <w:ind w:left="-1474" w:right="-1474"/>
    </w:pPr>
    <w:rPr>
      <w:color w:val="5F5F5F"/>
    </w:rPr>
  </w:style>
  <w:style w:type="paragraph" w:customStyle="1" w:styleId="ECHRBullet1">
    <w:name w:val="ECHR_Bullet_1"/>
    <w:aliases w:val="_Bul_1"/>
    <w:basedOn w:val="NormalJustified"/>
    <w:uiPriority w:val="23"/>
    <w:semiHidden/>
    <w:qFormat/>
    <w:rsid w:val="00D03556"/>
    <w:pPr>
      <w:numPr>
        <w:numId w:val="7"/>
      </w:numPr>
      <w:spacing w:before="60" w:after="60"/>
    </w:pPr>
  </w:style>
  <w:style w:type="paragraph" w:customStyle="1" w:styleId="NormalJustified">
    <w:name w:val="Normal_Justified"/>
    <w:basedOn w:val="Normal"/>
    <w:semiHidden/>
    <w:rsid w:val="00D03556"/>
    <w:pPr>
      <w:jc w:val="both"/>
    </w:pPr>
  </w:style>
  <w:style w:type="paragraph" w:customStyle="1" w:styleId="ECHRBullet2">
    <w:name w:val="ECHR_Bullet_2"/>
    <w:aliases w:val="_Bul_2"/>
    <w:basedOn w:val="ECHRBullet1"/>
    <w:uiPriority w:val="23"/>
    <w:semiHidden/>
    <w:rsid w:val="00D03556"/>
    <w:pPr>
      <w:numPr>
        <w:ilvl w:val="1"/>
      </w:numPr>
    </w:pPr>
  </w:style>
  <w:style w:type="paragraph" w:customStyle="1" w:styleId="JuHArticle">
    <w:name w:val="Ju_H_Article"/>
    <w:aliases w:val="_Title_Quote"/>
    <w:basedOn w:val="Normal"/>
    <w:next w:val="JuQuot"/>
    <w:uiPriority w:val="19"/>
    <w:qFormat/>
    <w:rsid w:val="00D03556"/>
    <w:pPr>
      <w:keepNext/>
      <w:spacing w:before="100" w:beforeAutospacing="1" w:after="120"/>
      <w:contextualSpacing/>
      <w:jc w:val="center"/>
    </w:pPr>
    <w:rPr>
      <w:b/>
      <w:sz w:val="20"/>
    </w:rPr>
  </w:style>
  <w:style w:type="paragraph" w:customStyle="1" w:styleId="ECHRBullet3">
    <w:name w:val="ECHR_Bullet_3"/>
    <w:aliases w:val="_Bul_3"/>
    <w:basedOn w:val="ECHRBullet2"/>
    <w:uiPriority w:val="23"/>
    <w:semiHidden/>
    <w:rsid w:val="00D03556"/>
    <w:pPr>
      <w:numPr>
        <w:ilvl w:val="2"/>
      </w:numPr>
    </w:pPr>
  </w:style>
  <w:style w:type="paragraph" w:customStyle="1" w:styleId="ECHRBullet4">
    <w:name w:val="ECHR_Bullet_4"/>
    <w:aliases w:val="_Bul_4"/>
    <w:basedOn w:val="ECHRBullet3"/>
    <w:uiPriority w:val="23"/>
    <w:semiHidden/>
    <w:rsid w:val="00D03556"/>
    <w:pPr>
      <w:numPr>
        <w:ilvl w:val="3"/>
      </w:numPr>
    </w:pPr>
  </w:style>
  <w:style w:type="paragraph" w:customStyle="1" w:styleId="ECHRConfidential">
    <w:name w:val="ECHR_Confidential"/>
    <w:aliases w:val="_Confidential"/>
    <w:basedOn w:val="Normal"/>
    <w:next w:val="Normal"/>
    <w:uiPriority w:val="42"/>
    <w:semiHidden/>
    <w:qFormat/>
    <w:rsid w:val="00D03556"/>
    <w:pPr>
      <w:jc w:val="right"/>
    </w:pPr>
    <w:rPr>
      <w:color w:val="C00000"/>
      <w:sz w:val="20"/>
    </w:rPr>
  </w:style>
  <w:style w:type="paragraph" w:customStyle="1" w:styleId="ECHRDivisionName">
    <w:name w:val="ECHR_DivisionName"/>
    <w:aliases w:val="_Div_Name"/>
    <w:basedOn w:val="Normal"/>
    <w:link w:val="ECHRDivisionNameChar"/>
    <w:uiPriority w:val="41"/>
    <w:semiHidden/>
    <w:qFormat/>
    <w:rsid w:val="00D03556"/>
    <w:pPr>
      <w:contextualSpacing/>
      <w:jc w:val="center"/>
    </w:pPr>
    <w:rPr>
      <w:rFonts w:ascii="Arial" w:hAnsi="Arial"/>
      <w:i/>
      <w:color w:val="002856"/>
      <w:sz w:val="32"/>
    </w:rPr>
  </w:style>
  <w:style w:type="paragraph" w:customStyle="1" w:styleId="DecHCase">
    <w:name w:val="Dec_H_Case"/>
    <w:aliases w:val="_Title_3"/>
    <w:basedOn w:val="JuPara"/>
    <w:next w:val="JuPara"/>
    <w:uiPriority w:val="38"/>
    <w:qFormat/>
    <w:rsid w:val="00D0355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03556"/>
    <w:pPr>
      <w:keepNext/>
      <w:keepLines/>
      <w:spacing w:before="1320" w:after="280"/>
      <w:contextualSpacing/>
      <w:jc w:val="center"/>
    </w:pPr>
    <w:rPr>
      <w:b/>
    </w:rPr>
  </w:style>
  <w:style w:type="paragraph" w:styleId="Title">
    <w:name w:val="Title"/>
    <w:basedOn w:val="Normal"/>
    <w:next w:val="Normal"/>
    <w:link w:val="TitleChar"/>
    <w:uiPriority w:val="98"/>
    <w:semiHidden/>
    <w:qFormat/>
    <w:rsid w:val="00D0355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03556"/>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Heading4"/>
    <w:next w:val="JuPara"/>
    <w:uiPriority w:val="17"/>
    <w:rsid w:val="00D03556"/>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D03556"/>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D03556"/>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D03556"/>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03556"/>
    <w:pPr>
      <w:keepNext/>
      <w:keepLines/>
      <w:numPr>
        <w:ilvl w:val="7"/>
        <w:numId w:val="9"/>
      </w:numPr>
      <w:spacing w:before="100" w:beforeAutospacing="1" w:after="120"/>
      <w:jc w:val="both"/>
    </w:pPr>
    <w:rPr>
      <w:i/>
    </w:rPr>
  </w:style>
  <w:style w:type="character" w:customStyle="1" w:styleId="ECHRDivisionNameChar">
    <w:name w:val="ECHR_DivisionName Char"/>
    <w:aliases w:val="_Div_Name Char"/>
    <w:basedOn w:val="DefaultParagraphFont"/>
    <w:link w:val="ECHRDivisionName"/>
    <w:uiPriority w:val="41"/>
    <w:semiHidden/>
    <w:rsid w:val="00D03556"/>
    <w:rPr>
      <w:rFonts w:ascii="Arial" w:hAnsi="Arial"/>
      <w:i/>
      <w:color w:val="002856"/>
      <w:sz w:val="32"/>
      <w:szCs w:val="24"/>
      <w:lang w:val="en-GB"/>
    </w:rPr>
  </w:style>
  <w:style w:type="paragraph" w:customStyle="1" w:styleId="JuInitialled">
    <w:name w:val="Ju_Initialled"/>
    <w:aliases w:val="_Right"/>
    <w:basedOn w:val="Normal"/>
    <w:uiPriority w:val="30"/>
    <w:qFormat/>
    <w:rsid w:val="00D03556"/>
    <w:pPr>
      <w:tabs>
        <w:tab w:val="center" w:pos="6407"/>
      </w:tabs>
      <w:spacing w:before="720"/>
      <w:jc w:val="right"/>
    </w:pPr>
  </w:style>
  <w:style w:type="paragraph" w:customStyle="1" w:styleId="DummyStyle">
    <w:name w:val="Dummy_Style"/>
    <w:aliases w:val="_Dummy"/>
    <w:basedOn w:val="Normal"/>
    <w:semiHidden/>
    <w:qFormat/>
    <w:rsid w:val="00D03556"/>
    <w:rPr>
      <w:color w:val="00B050"/>
      <w:sz w:val="22"/>
    </w:rPr>
  </w:style>
  <w:style w:type="paragraph" w:styleId="Header">
    <w:name w:val="header"/>
    <w:basedOn w:val="Normal"/>
    <w:link w:val="HeaderChar"/>
    <w:uiPriority w:val="98"/>
    <w:semiHidden/>
    <w:rsid w:val="00D03556"/>
    <w:pPr>
      <w:tabs>
        <w:tab w:val="center" w:pos="4536"/>
        <w:tab w:val="right" w:pos="9072"/>
      </w:tabs>
    </w:pPr>
  </w:style>
  <w:style w:type="character" w:customStyle="1" w:styleId="HeaderChar">
    <w:name w:val="Header Char"/>
    <w:basedOn w:val="DefaultParagraphFont"/>
    <w:link w:val="Header"/>
    <w:uiPriority w:val="98"/>
    <w:semiHidden/>
    <w:rsid w:val="00D03556"/>
    <w:rPr>
      <w:sz w:val="24"/>
      <w:szCs w:val="24"/>
      <w:lang w:val="en-GB"/>
    </w:rPr>
  </w:style>
  <w:style w:type="character" w:customStyle="1" w:styleId="Heading1Char">
    <w:name w:val="Heading 1 Char"/>
    <w:basedOn w:val="DefaultParagraphFont"/>
    <w:link w:val="Heading1"/>
    <w:uiPriority w:val="98"/>
    <w:semiHidden/>
    <w:rsid w:val="00D03556"/>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Heading2"/>
    <w:next w:val="JuPara"/>
    <w:uiPriority w:val="17"/>
    <w:qFormat/>
    <w:rsid w:val="00D03556"/>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03556"/>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D03556"/>
    <w:rPr>
      <w:rFonts w:asciiTheme="majorHAnsi" w:eastAsiaTheme="majorEastAsia" w:hAnsiTheme="majorHAnsi" w:cstheme="majorBidi"/>
      <w:b/>
      <w:bCs/>
      <w:color w:val="4D4D4D"/>
      <w:sz w:val="26"/>
      <w:szCs w:val="26"/>
      <w:lang w:val="en-GB"/>
    </w:rPr>
  </w:style>
  <w:style w:type="character" w:customStyle="1" w:styleId="JUNAMES">
    <w:name w:val="JU_NAMES"/>
    <w:aliases w:val="_Ju_Names"/>
    <w:uiPriority w:val="33"/>
    <w:qFormat/>
    <w:rsid w:val="00D03556"/>
    <w:rPr>
      <w:caps w:val="0"/>
      <w:smallCaps/>
    </w:rPr>
  </w:style>
  <w:style w:type="paragraph" w:customStyle="1" w:styleId="JuCase">
    <w:name w:val="Ju_Case"/>
    <w:aliases w:val="_Case_Name"/>
    <w:basedOn w:val="NormalJustified"/>
    <w:next w:val="JuPara"/>
    <w:uiPriority w:val="32"/>
    <w:rsid w:val="00D03556"/>
    <w:pPr>
      <w:ind w:firstLine="284"/>
    </w:pPr>
    <w:rPr>
      <w:b/>
    </w:rPr>
  </w:style>
  <w:style w:type="character" w:customStyle="1" w:styleId="Heading3Char">
    <w:name w:val="Heading 3 Char"/>
    <w:basedOn w:val="DefaultParagraphFont"/>
    <w:link w:val="Heading3"/>
    <w:uiPriority w:val="98"/>
    <w:semiHidden/>
    <w:rsid w:val="00D03556"/>
    <w:rPr>
      <w:rFonts w:asciiTheme="majorHAnsi" w:eastAsiaTheme="majorEastAsia" w:hAnsiTheme="majorHAnsi" w:cstheme="majorBidi"/>
      <w:b/>
      <w:bCs/>
      <w:color w:val="5F5F5F"/>
      <w:lang w:val="en-GB"/>
    </w:rPr>
  </w:style>
  <w:style w:type="character" w:customStyle="1" w:styleId="Heading4Char">
    <w:name w:val="Heading 4 Char"/>
    <w:basedOn w:val="DefaultParagraphFont"/>
    <w:link w:val="Heading4"/>
    <w:uiPriority w:val="98"/>
    <w:semiHidden/>
    <w:rsid w:val="00D03556"/>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D03556"/>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D03556"/>
    <w:rPr>
      <w:i/>
      <w:iCs/>
    </w:rPr>
  </w:style>
  <w:style w:type="table" w:customStyle="1" w:styleId="ECHRTable">
    <w:name w:val="ECHR_Table"/>
    <w:basedOn w:val="TableNormal"/>
    <w:rsid w:val="00D0355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0355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D03556"/>
    <w:pPr>
      <w:keepNext/>
      <w:keepLines/>
      <w:numPr>
        <w:numId w:val="9"/>
      </w:numPr>
      <w:spacing w:before="100" w:beforeAutospacing="1" w:after="240"/>
      <w:contextualSpacing w:val="0"/>
      <w:jc w:val="both"/>
    </w:pPr>
    <w:rPr>
      <w:b w:val="0"/>
      <w:caps/>
      <w:color w:val="auto"/>
    </w:rPr>
  </w:style>
  <w:style w:type="character" w:styleId="Emphasis">
    <w:name w:val="Emphasis"/>
    <w:uiPriority w:val="98"/>
    <w:semiHidden/>
    <w:qFormat/>
    <w:rsid w:val="00D03556"/>
    <w:rPr>
      <w:b/>
      <w:bCs/>
      <w:i/>
      <w:iCs/>
      <w:spacing w:val="10"/>
      <w:bdr w:val="none" w:sz="0" w:space="0" w:color="auto"/>
      <w:shd w:val="clear" w:color="auto" w:fill="auto"/>
    </w:rPr>
  </w:style>
  <w:style w:type="paragraph" w:styleId="Footer">
    <w:name w:val="footer"/>
    <w:basedOn w:val="Normal"/>
    <w:link w:val="FooterChar"/>
    <w:uiPriority w:val="98"/>
    <w:semiHidden/>
    <w:rsid w:val="00D03556"/>
    <w:pPr>
      <w:tabs>
        <w:tab w:val="center" w:pos="3686"/>
        <w:tab w:val="right" w:pos="7371"/>
      </w:tabs>
    </w:pPr>
  </w:style>
  <w:style w:type="character" w:customStyle="1" w:styleId="FooterChar">
    <w:name w:val="Footer Char"/>
    <w:basedOn w:val="DefaultParagraphFont"/>
    <w:link w:val="Footer"/>
    <w:uiPriority w:val="98"/>
    <w:semiHidden/>
    <w:rsid w:val="00D03556"/>
    <w:rPr>
      <w:sz w:val="24"/>
      <w:szCs w:val="24"/>
      <w:lang w:val="en-GB"/>
    </w:rPr>
  </w:style>
  <w:style w:type="character" w:styleId="FootnoteReference">
    <w:name w:val="footnote reference"/>
    <w:basedOn w:val="DefaultParagraphFont"/>
    <w:uiPriority w:val="98"/>
    <w:semiHidden/>
    <w:rsid w:val="00D03556"/>
    <w:rPr>
      <w:vertAlign w:val="superscript"/>
    </w:rPr>
  </w:style>
  <w:style w:type="paragraph" w:styleId="FootnoteText">
    <w:name w:val="footnote text"/>
    <w:basedOn w:val="NormalJustified"/>
    <w:link w:val="FootnoteTextChar"/>
    <w:uiPriority w:val="98"/>
    <w:semiHidden/>
    <w:rsid w:val="00D03556"/>
    <w:rPr>
      <w:sz w:val="20"/>
      <w:szCs w:val="20"/>
    </w:rPr>
  </w:style>
  <w:style w:type="character" w:customStyle="1" w:styleId="FootnoteTextChar">
    <w:name w:val="Footnote Text Char"/>
    <w:basedOn w:val="DefaultParagraphFont"/>
    <w:link w:val="FootnoteText"/>
    <w:uiPriority w:val="98"/>
    <w:semiHidden/>
    <w:rsid w:val="00D03556"/>
    <w:rPr>
      <w:sz w:val="20"/>
      <w:szCs w:val="20"/>
      <w:lang w:val="en-GB"/>
    </w:rPr>
  </w:style>
  <w:style w:type="character" w:customStyle="1" w:styleId="Heading6Char">
    <w:name w:val="Heading 6 Char"/>
    <w:basedOn w:val="DefaultParagraphFont"/>
    <w:link w:val="Heading6"/>
    <w:uiPriority w:val="98"/>
    <w:semiHidden/>
    <w:rsid w:val="00D0355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0355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0355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0355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03556"/>
    <w:rPr>
      <w:color w:val="0072BC" w:themeColor="hyperlink"/>
      <w:u w:val="single"/>
    </w:rPr>
  </w:style>
  <w:style w:type="character" w:styleId="IntenseEmphasis">
    <w:name w:val="Intense Emphasis"/>
    <w:uiPriority w:val="98"/>
    <w:semiHidden/>
    <w:qFormat/>
    <w:rsid w:val="00D03556"/>
    <w:rPr>
      <w:b/>
      <w:bCs/>
    </w:rPr>
  </w:style>
  <w:style w:type="paragraph" w:styleId="IntenseQuote">
    <w:name w:val="Intense Quote"/>
    <w:basedOn w:val="Normal"/>
    <w:next w:val="Normal"/>
    <w:link w:val="IntenseQuoteChar"/>
    <w:uiPriority w:val="98"/>
    <w:semiHidden/>
    <w:qFormat/>
    <w:rsid w:val="00D0355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03556"/>
    <w:rPr>
      <w:b/>
      <w:bCs/>
      <w:i/>
      <w:iCs/>
      <w:sz w:val="24"/>
      <w:szCs w:val="24"/>
      <w:lang w:val="en-GB" w:bidi="en-US"/>
    </w:rPr>
  </w:style>
  <w:style w:type="character" w:styleId="IntenseReference">
    <w:name w:val="Intense Reference"/>
    <w:uiPriority w:val="98"/>
    <w:semiHidden/>
    <w:qFormat/>
    <w:rsid w:val="00D03556"/>
    <w:rPr>
      <w:smallCaps/>
      <w:spacing w:val="5"/>
      <w:u w:val="single"/>
    </w:rPr>
  </w:style>
  <w:style w:type="paragraph" w:styleId="ListParagraph">
    <w:name w:val="List Paragraph"/>
    <w:basedOn w:val="Normal"/>
    <w:uiPriority w:val="98"/>
    <w:semiHidden/>
    <w:qFormat/>
    <w:rsid w:val="00D03556"/>
    <w:pPr>
      <w:ind w:left="720"/>
      <w:contextualSpacing/>
    </w:pPr>
  </w:style>
  <w:style w:type="table" w:customStyle="1" w:styleId="LtrTableAddress">
    <w:name w:val="Ltr_Table_Address"/>
    <w:aliases w:val="ECHR_Ltr_Table_Address"/>
    <w:basedOn w:val="TableNormal"/>
    <w:uiPriority w:val="99"/>
    <w:rsid w:val="00D03556"/>
    <w:rPr>
      <w:sz w:val="24"/>
      <w:szCs w:val="24"/>
    </w:rPr>
    <w:tblPr>
      <w:tblInd w:w="5103" w:type="dxa"/>
    </w:tblPr>
  </w:style>
  <w:style w:type="paragraph" w:styleId="Quote">
    <w:name w:val="Quote"/>
    <w:basedOn w:val="Normal"/>
    <w:next w:val="Normal"/>
    <w:link w:val="QuoteChar"/>
    <w:uiPriority w:val="98"/>
    <w:semiHidden/>
    <w:qFormat/>
    <w:rsid w:val="00D03556"/>
    <w:pPr>
      <w:spacing w:before="200"/>
      <w:ind w:left="360" w:right="360"/>
    </w:pPr>
    <w:rPr>
      <w:i/>
      <w:iCs/>
      <w:lang w:bidi="en-US"/>
    </w:rPr>
  </w:style>
  <w:style w:type="character" w:customStyle="1" w:styleId="QuoteChar">
    <w:name w:val="Quote Char"/>
    <w:basedOn w:val="DefaultParagraphFont"/>
    <w:link w:val="Quote"/>
    <w:uiPriority w:val="98"/>
    <w:semiHidden/>
    <w:rsid w:val="00D03556"/>
    <w:rPr>
      <w:i/>
      <w:iCs/>
      <w:sz w:val="24"/>
      <w:szCs w:val="24"/>
      <w:lang w:val="en-GB" w:bidi="en-US"/>
    </w:rPr>
  </w:style>
  <w:style w:type="character" w:styleId="SubtleReference">
    <w:name w:val="Subtle Reference"/>
    <w:uiPriority w:val="98"/>
    <w:semiHidden/>
    <w:qFormat/>
    <w:rsid w:val="00D03556"/>
    <w:rPr>
      <w:smallCaps/>
    </w:rPr>
  </w:style>
  <w:style w:type="table" w:styleId="TableGrid">
    <w:name w:val="Table Grid"/>
    <w:basedOn w:val="TableNormal"/>
    <w:uiPriority w:val="59"/>
    <w:semiHidden/>
    <w:rsid w:val="00D0355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0355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0355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0355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0355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0355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0355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0355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0355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0355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0355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0355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0355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0355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D03556"/>
    <w:pPr>
      <w:spacing w:before="120" w:after="120"/>
      <w:ind w:left="425" w:firstLine="142"/>
    </w:pPr>
    <w:rPr>
      <w:sz w:val="20"/>
    </w:rPr>
  </w:style>
  <w:style w:type="paragraph" w:customStyle="1" w:styleId="JuPara">
    <w:name w:val="Ju_Para"/>
    <w:aliases w:val="_Para"/>
    <w:basedOn w:val="NormalJustified"/>
    <w:link w:val="JuParaChar"/>
    <w:uiPriority w:val="4"/>
    <w:qFormat/>
    <w:rsid w:val="00D03556"/>
    <w:pPr>
      <w:ind w:firstLine="284"/>
    </w:pPr>
  </w:style>
  <w:style w:type="table" w:customStyle="1" w:styleId="ECHRTableSimpleBox">
    <w:name w:val="ECHR_Table_Simple_Box"/>
    <w:basedOn w:val="TableNormal"/>
    <w:uiPriority w:val="99"/>
    <w:rsid w:val="00D0355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0355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D0355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0355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D0355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D0355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D03556"/>
    <w:pPr>
      <w:tabs>
        <w:tab w:val="left" w:pos="567"/>
        <w:tab w:val="left" w:pos="1134"/>
      </w:tabs>
      <w:spacing w:line="240" w:lineRule="exact"/>
      <w:jc w:val="left"/>
    </w:pPr>
  </w:style>
  <w:style w:type="table" w:customStyle="1" w:styleId="ECHRHeaderTableReduced">
    <w:name w:val="ECHR_Header_Table_Reduced"/>
    <w:basedOn w:val="TableNormal"/>
    <w:uiPriority w:val="99"/>
    <w:rsid w:val="00D0355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D03556"/>
    <w:pPr>
      <w:numPr>
        <w:numId w:val="10"/>
      </w:numPr>
      <w:spacing w:before="280" w:after="60"/>
    </w:pPr>
  </w:style>
  <w:style w:type="paragraph" w:customStyle="1" w:styleId="JuSigned">
    <w:name w:val="Ju_Signed"/>
    <w:aliases w:val="_Signature"/>
    <w:basedOn w:val="Normal"/>
    <w:next w:val="JuPara"/>
    <w:uiPriority w:val="31"/>
    <w:qFormat/>
    <w:rsid w:val="00D03556"/>
    <w:pPr>
      <w:tabs>
        <w:tab w:val="center" w:pos="1418"/>
        <w:tab w:val="center" w:pos="5954"/>
      </w:tabs>
      <w:spacing w:before="720"/>
    </w:pPr>
  </w:style>
  <w:style w:type="paragraph" w:customStyle="1" w:styleId="JuParaLast">
    <w:name w:val="Ju_Para_Last"/>
    <w:aliases w:val="_Para_Spaced"/>
    <w:basedOn w:val="NormalJustified"/>
    <w:uiPriority w:val="5"/>
    <w:qFormat/>
    <w:rsid w:val="00D03556"/>
    <w:pPr>
      <w:keepNext/>
      <w:keepLines/>
      <w:spacing w:before="240" w:after="240"/>
      <w:ind w:firstLine="284"/>
    </w:pPr>
  </w:style>
  <w:style w:type="paragraph" w:customStyle="1" w:styleId="JuCourt">
    <w:name w:val="Ju_Court"/>
    <w:aliases w:val="_Court_Names"/>
    <w:basedOn w:val="Normal"/>
    <w:next w:val="Normal"/>
    <w:uiPriority w:val="32"/>
    <w:qFormat/>
    <w:rsid w:val="00D03556"/>
    <w:pPr>
      <w:tabs>
        <w:tab w:val="left" w:pos="907"/>
        <w:tab w:val="left" w:pos="1701"/>
        <w:tab w:val="right" w:pos="7371"/>
      </w:tabs>
      <w:spacing w:before="240"/>
      <w:ind w:left="397" w:hanging="397"/>
    </w:pPr>
    <w:rPr>
      <w:lang w:bidi="en-US"/>
    </w:rPr>
  </w:style>
  <w:style w:type="character" w:styleId="PageNumber">
    <w:name w:val="page number"/>
    <w:uiPriority w:val="98"/>
    <w:semiHidden/>
    <w:rsid w:val="00D03556"/>
    <w:rPr>
      <w:sz w:val="18"/>
    </w:rPr>
  </w:style>
  <w:style w:type="paragraph" w:customStyle="1" w:styleId="JuLista">
    <w:name w:val="Ju_List_a"/>
    <w:aliases w:val="_List_2"/>
    <w:basedOn w:val="NormalJustified"/>
    <w:uiPriority w:val="23"/>
    <w:rsid w:val="00D03556"/>
    <w:pPr>
      <w:numPr>
        <w:ilvl w:val="1"/>
        <w:numId w:val="10"/>
      </w:numPr>
    </w:pPr>
  </w:style>
  <w:style w:type="paragraph" w:customStyle="1" w:styleId="JuListi">
    <w:name w:val="Ju_List_i"/>
    <w:aliases w:val="_List_3"/>
    <w:basedOn w:val="NormalJustified"/>
    <w:uiPriority w:val="23"/>
    <w:rsid w:val="00D03556"/>
    <w:pPr>
      <w:numPr>
        <w:ilvl w:val="2"/>
        <w:numId w:val="10"/>
      </w:numPr>
    </w:pPr>
  </w:style>
  <w:style w:type="character" w:styleId="CommentReference">
    <w:name w:val="annotation reference"/>
    <w:basedOn w:val="DefaultParagraphFont"/>
    <w:uiPriority w:val="98"/>
    <w:semiHidden/>
    <w:rsid w:val="00D03556"/>
    <w:rPr>
      <w:sz w:val="16"/>
      <w:szCs w:val="16"/>
    </w:rPr>
  </w:style>
  <w:style w:type="paragraph" w:styleId="CommentText">
    <w:name w:val="annotation text"/>
    <w:basedOn w:val="Normal"/>
    <w:link w:val="CommentTextChar"/>
    <w:uiPriority w:val="98"/>
    <w:semiHidden/>
    <w:rsid w:val="00D03556"/>
    <w:rPr>
      <w:sz w:val="20"/>
      <w:szCs w:val="20"/>
    </w:rPr>
  </w:style>
  <w:style w:type="character" w:customStyle="1" w:styleId="CommentTextChar">
    <w:name w:val="Comment Text Char"/>
    <w:basedOn w:val="DefaultParagraphFont"/>
    <w:link w:val="CommentText"/>
    <w:uiPriority w:val="98"/>
    <w:semiHidden/>
    <w:rsid w:val="00D03556"/>
    <w:rPr>
      <w:sz w:val="20"/>
      <w:szCs w:val="20"/>
      <w:lang w:val="en-GB"/>
    </w:rPr>
  </w:style>
  <w:style w:type="paragraph" w:styleId="CommentSubject">
    <w:name w:val="annotation subject"/>
    <w:basedOn w:val="CommentText"/>
    <w:next w:val="CommentText"/>
    <w:link w:val="CommentSubjectChar"/>
    <w:uiPriority w:val="98"/>
    <w:semiHidden/>
    <w:rsid w:val="00D03556"/>
    <w:rPr>
      <w:b/>
      <w:bCs/>
    </w:rPr>
  </w:style>
  <w:style w:type="character" w:customStyle="1" w:styleId="CommentSubjectChar">
    <w:name w:val="Comment Subject Char"/>
    <w:basedOn w:val="CommentTextChar"/>
    <w:link w:val="CommentSubject"/>
    <w:uiPriority w:val="98"/>
    <w:semiHidden/>
    <w:rsid w:val="00D03556"/>
    <w:rPr>
      <w:b/>
      <w:bCs/>
      <w:sz w:val="20"/>
      <w:szCs w:val="20"/>
      <w:lang w:val="en-GB"/>
    </w:rPr>
  </w:style>
  <w:style w:type="character" w:styleId="EndnoteReference">
    <w:name w:val="endnote reference"/>
    <w:basedOn w:val="DefaultParagraphFont"/>
    <w:uiPriority w:val="98"/>
    <w:semiHidden/>
    <w:rsid w:val="00D03556"/>
    <w:rPr>
      <w:vertAlign w:val="superscript"/>
    </w:rPr>
  </w:style>
  <w:style w:type="paragraph" w:styleId="EndnoteText">
    <w:name w:val="endnote text"/>
    <w:basedOn w:val="Normal"/>
    <w:link w:val="EndnoteTextChar"/>
    <w:uiPriority w:val="98"/>
    <w:semiHidden/>
    <w:rsid w:val="00D03556"/>
    <w:rPr>
      <w:sz w:val="20"/>
      <w:szCs w:val="20"/>
    </w:rPr>
  </w:style>
  <w:style w:type="character" w:customStyle="1" w:styleId="EndnoteTextChar">
    <w:name w:val="Endnote Text Char"/>
    <w:basedOn w:val="DefaultParagraphFont"/>
    <w:link w:val="EndnoteText"/>
    <w:uiPriority w:val="98"/>
    <w:semiHidden/>
    <w:rsid w:val="00D03556"/>
    <w:rPr>
      <w:sz w:val="20"/>
      <w:szCs w:val="20"/>
      <w:lang w:val="en-GB"/>
    </w:rPr>
  </w:style>
  <w:style w:type="character" w:styleId="FollowedHyperlink">
    <w:name w:val="FollowedHyperlink"/>
    <w:basedOn w:val="DefaultParagraphFont"/>
    <w:uiPriority w:val="98"/>
    <w:semiHidden/>
    <w:rsid w:val="00D03556"/>
    <w:rPr>
      <w:color w:val="7030A0" w:themeColor="followedHyperlink"/>
      <w:u w:val="single"/>
    </w:rPr>
  </w:style>
  <w:style w:type="paragraph" w:styleId="DocumentMap">
    <w:name w:val="Document Map"/>
    <w:basedOn w:val="Normal"/>
    <w:link w:val="DocumentMapChar"/>
    <w:uiPriority w:val="98"/>
    <w:semiHidden/>
    <w:rsid w:val="00D03556"/>
    <w:rPr>
      <w:rFonts w:ascii="Tahoma" w:hAnsi="Tahoma" w:cs="Tahoma"/>
      <w:sz w:val="16"/>
      <w:szCs w:val="16"/>
    </w:rPr>
  </w:style>
  <w:style w:type="character" w:customStyle="1" w:styleId="DocumentMapChar">
    <w:name w:val="Document Map Char"/>
    <w:basedOn w:val="DefaultParagraphFont"/>
    <w:link w:val="DocumentMap"/>
    <w:uiPriority w:val="98"/>
    <w:semiHidden/>
    <w:rsid w:val="00D03556"/>
    <w:rPr>
      <w:rFonts w:ascii="Tahoma" w:hAnsi="Tahoma" w:cs="Tahoma"/>
      <w:sz w:val="16"/>
      <w:szCs w:val="16"/>
      <w:lang w:val="en-GB"/>
    </w:rPr>
  </w:style>
  <w:style w:type="character" w:customStyle="1" w:styleId="JuNames0">
    <w:name w:val="Ju_Names"/>
    <w:rsid w:val="00014566"/>
    <w:rPr>
      <w:smallCaps/>
    </w:rPr>
  </w:style>
  <w:style w:type="paragraph" w:styleId="ListBullet">
    <w:name w:val="List Bullet"/>
    <w:basedOn w:val="Normal"/>
    <w:uiPriority w:val="98"/>
    <w:semiHidden/>
    <w:rsid w:val="00D03556"/>
    <w:pPr>
      <w:numPr>
        <w:numId w:val="11"/>
      </w:numPr>
    </w:pPr>
  </w:style>
  <w:style w:type="character" w:customStyle="1" w:styleId="JuITMark">
    <w:name w:val="Ju_ITMark"/>
    <w:aliases w:val="_ITMark"/>
    <w:basedOn w:val="DefaultParagraphFont"/>
    <w:uiPriority w:val="54"/>
    <w:qFormat/>
    <w:rsid w:val="00D03556"/>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8"/>
    <w:semiHidden/>
    <w:qFormat/>
    <w:rsid w:val="00D0355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0355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03556"/>
    <w:pPr>
      <w:numPr>
        <w:numId w:val="1"/>
      </w:numPr>
    </w:pPr>
  </w:style>
  <w:style w:type="numbering" w:styleId="1ai">
    <w:name w:val="Outline List 1"/>
    <w:basedOn w:val="NoList"/>
    <w:uiPriority w:val="99"/>
    <w:semiHidden/>
    <w:unhideWhenUsed/>
    <w:rsid w:val="00D03556"/>
    <w:pPr>
      <w:numPr>
        <w:numId w:val="2"/>
      </w:numPr>
    </w:pPr>
  </w:style>
  <w:style w:type="numbering" w:styleId="ArticleSection">
    <w:name w:val="Outline List 3"/>
    <w:basedOn w:val="NoList"/>
    <w:uiPriority w:val="99"/>
    <w:semiHidden/>
    <w:unhideWhenUsed/>
    <w:rsid w:val="00D03556"/>
    <w:pPr>
      <w:numPr>
        <w:numId w:val="3"/>
      </w:numPr>
    </w:pPr>
  </w:style>
  <w:style w:type="paragraph" w:styleId="Bibliography">
    <w:name w:val="Bibliography"/>
    <w:basedOn w:val="Normal"/>
    <w:next w:val="Normal"/>
    <w:uiPriority w:val="98"/>
    <w:semiHidden/>
    <w:rsid w:val="00D03556"/>
  </w:style>
  <w:style w:type="paragraph" w:styleId="BlockText">
    <w:name w:val="Block Text"/>
    <w:basedOn w:val="Normal"/>
    <w:uiPriority w:val="98"/>
    <w:semiHidden/>
    <w:rsid w:val="00D0355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D03556"/>
    <w:pPr>
      <w:spacing w:after="120"/>
    </w:pPr>
  </w:style>
  <w:style w:type="character" w:customStyle="1" w:styleId="BodyTextChar">
    <w:name w:val="Body Text Char"/>
    <w:basedOn w:val="DefaultParagraphFont"/>
    <w:link w:val="BodyText"/>
    <w:uiPriority w:val="98"/>
    <w:semiHidden/>
    <w:rsid w:val="00D03556"/>
    <w:rPr>
      <w:sz w:val="24"/>
      <w:szCs w:val="24"/>
      <w:lang w:val="en-GB"/>
    </w:rPr>
  </w:style>
  <w:style w:type="paragraph" w:styleId="BodyText2">
    <w:name w:val="Body Text 2"/>
    <w:basedOn w:val="Normal"/>
    <w:link w:val="BodyText2Char"/>
    <w:uiPriority w:val="98"/>
    <w:semiHidden/>
    <w:rsid w:val="00D03556"/>
    <w:pPr>
      <w:spacing w:after="120" w:line="480" w:lineRule="auto"/>
    </w:pPr>
  </w:style>
  <w:style w:type="character" w:customStyle="1" w:styleId="BodyText2Char">
    <w:name w:val="Body Text 2 Char"/>
    <w:basedOn w:val="DefaultParagraphFont"/>
    <w:link w:val="BodyText2"/>
    <w:uiPriority w:val="98"/>
    <w:semiHidden/>
    <w:rsid w:val="00D03556"/>
    <w:rPr>
      <w:sz w:val="24"/>
      <w:szCs w:val="24"/>
      <w:lang w:val="en-GB"/>
    </w:rPr>
  </w:style>
  <w:style w:type="paragraph" w:styleId="BodyText3">
    <w:name w:val="Body Text 3"/>
    <w:basedOn w:val="Normal"/>
    <w:link w:val="BodyText3Char"/>
    <w:uiPriority w:val="98"/>
    <w:semiHidden/>
    <w:rsid w:val="00D03556"/>
    <w:pPr>
      <w:spacing w:after="120"/>
    </w:pPr>
    <w:rPr>
      <w:sz w:val="16"/>
      <w:szCs w:val="16"/>
    </w:rPr>
  </w:style>
  <w:style w:type="character" w:customStyle="1" w:styleId="BodyText3Char">
    <w:name w:val="Body Text 3 Char"/>
    <w:basedOn w:val="DefaultParagraphFont"/>
    <w:link w:val="BodyText3"/>
    <w:uiPriority w:val="98"/>
    <w:semiHidden/>
    <w:rsid w:val="00D03556"/>
    <w:rPr>
      <w:sz w:val="16"/>
      <w:szCs w:val="16"/>
      <w:lang w:val="en-GB"/>
    </w:rPr>
  </w:style>
  <w:style w:type="paragraph" w:styleId="BodyTextFirstIndent">
    <w:name w:val="Body Text First Indent"/>
    <w:basedOn w:val="BodyText"/>
    <w:link w:val="BodyTextFirstIndentChar"/>
    <w:uiPriority w:val="98"/>
    <w:semiHidden/>
    <w:rsid w:val="00D03556"/>
    <w:pPr>
      <w:spacing w:after="0"/>
      <w:ind w:firstLine="360"/>
    </w:pPr>
  </w:style>
  <w:style w:type="character" w:customStyle="1" w:styleId="BodyTextFirstIndentChar">
    <w:name w:val="Body Text First Indent Char"/>
    <w:basedOn w:val="BodyTextChar"/>
    <w:link w:val="BodyTextFirstIndent"/>
    <w:uiPriority w:val="98"/>
    <w:semiHidden/>
    <w:rsid w:val="00D03556"/>
    <w:rPr>
      <w:sz w:val="24"/>
      <w:szCs w:val="24"/>
      <w:lang w:val="en-GB"/>
    </w:rPr>
  </w:style>
  <w:style w:type="paragraph" w:styleId="BodyTextIndent">
    <w:name w:val="Body Text Indent"/>
    <w:basedOn w:val="Normal"/>
    <w:link w:val="BodyTextIndentChar"/>
    <w:uiPriority w:val="98"/>
    <w:semiHidden/>
    <w:rsid w:val="00D03556"/>
    <w:pPr>
      <w:spacing w:after="120"/>
      <w:ind w:left="283"/>
    </w:pPr>
  </w:style>
  <w:style w:type="character" w:customStyle="1" w:styleId="BodyTextIndentChar">
    <w:name w:val="Body Text Indent Char"/>
    <w:basedOn w:val="DefaultParagraphFont"/>
    <w:link w:val="BodyTextIndent"/>
    <w:uiPriority w:val="98"/>
    <w:semiHidden/>
    <w:rsid w:val="00D03556"/>
    <w:rPr>
      <w:sz w:val="24"/>
      <w:szCs w:val="24"/>
      <w:lang w:val="en-GB"/>
    </w:rPr>
  </w:style>
  <w:style w:type="paragraph" w:styleId="BodyTextFirstIndent2">
    <w:name w:val="Body Text First Indent 2"/>
    <w:basedOn w:val="BodyTextIndent"/>
    <w:link w:val="BodyTextFirstIndent2Char"/>
    <w:uiPriority w:val="98"/>
    <w:semiHidden/>
    <w:rsid w:val="00D03556"/>
    <w:pPr>
      <w:spacing w:after="0"/>
      <w:ind w:left="360" w:firstLine="360"/>
    </w:pPr>
  </w:style>
  <w:style w:type="character" w:customStyle="1" w:styleId="BodyTextFirstIndent2Char">
    <w:name w:val="Body Text First Indent 2 Char"/>
    <w:basedOn w:val="BodyTextIndentChar"/>
    <w:link w:val="BodyTextFirstIndent2"/>
    <w:uiPriority w:val="98"/>
    <w:semiHidden/>
    <w:rsid w:val="00D03556"/>
    <w:rPr>
      <w:sz w:val="24"/>
      <w:szCs w:val="24"/>
      <w:lang w:val="en-GB"/>
    </w:rPr>
  </w:style>
  <w:style w:type="paragraph" w:styleId="BodyTextIndent2">
    <w:name w:val="Body Text Indent 2"/>
    <w:basedOn w:val="Normal"/>
    <w:link w:val="BodyTextIndent2Char"/>
    <w:uiPriority w:val="98"/>
    <w:semiHidden/>
    <w:rsid w:val="00D03556"/>
    <w:pPr>
      <w:spacing w:after="120" w:line="480" w:lineRule="auto"/>
      <w:ind w:left="283"/>
    </w:pPr>
  </w:style>
  <w:style w:type="character" w:customStyle="1" w:styleId="BodyTextIndent2Char">
    <w:name w:val="Body Text Indent 2 Char"/>
    <w:basedOn w:val="DefaultParagraphFont"/>
    <w:link w:val="BodyTextIndent2"/>
    <w:uiPriority w:val="98"/>
    <w:semiHidden/>
    <w:rsid w:val="00D03556"/>
    <w:rPr>
      <w:sz w:val="24"/>
      <w:szCs w:val="24"/>
      <w:lang w:val="en-GB"/>
    </w:rPr>
  </w:style>
  <w:style w:type="paragraph" w:styleId="BodyTextIndent3">
    <w:name w:val="Body Text Indent 3"/>
    <w:basedOn w:val="Normal"/>
    <w:link w:val="BodyTextIndent3Char"/>
    <w:uiPriority w:val="98"/>
    <w:semiHidden/>
    <w:rsid w:val="00D0355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03556"/>
    <w:rPr>
      <w:sz w:val="16"/>
      <w:szCs w:val="16"/>
      <w:lang w:val="en-GB"/>
    </w:rPr>
  </w:style>
  <w:style w:type="paragraph" w:styleId="Caption">
    <w:name w:val="caption"/>
    <w:basedOn w:val="Normal"/>
    <w:next w:val="Normal"/>
    <w:uiPriority w:val="98"/>
    <w:semiHidden/>
    <w:qFormat/>
    <w:rsid w:val="00D03556"/>
    <w:pPr>
      <w:spacing w:after="200"/>
    </w:pPr>
    <w:rPr>
      <w:b/>
      <w:bCs/>
      <w:color w:val="0072BC" w:themeColor="accent1"/>
      <w:sz w:val="18"/>
      <w:szCs w:val="18"/>
    </w:rPr>
  </w:style>
  <w:style w:type="paragraph" w:styleId="Closing">
    <w:name w:val="Closing"/>
    <w:basedOn w:val="Normal"/>
    <w:link w:val="ClosingChar"/>
    <w:uiPriority w:val="98"/>
    <w:semiHidden/>
    <w:rsid w:val="00D03556"/>
    <w:pPr>
      <w:ind w:left="4252"/>
    </w:pPr>
  </w:style>
  <w:style w:type="character" w:customStyle="1" w:styleId="ClosingChar">
    <w:name w:val="Closing Char"/>
    <w:basedOn w:val="DefaultParagraphFont"/>
    <w:link w:val="Closing"/>
    <w:uiPriority w:val="98"/>
    <w:semiHidden/>
    <w:rsid w:val="00D03556"/>
    <w:rPr>
      <w:sz w:val="24"/>
      <w:szCs w:val="24"/>
      <w:lang w:val="en-GB"/>
    </w:rPr>
  </w:style>
  <w:style w:type="table" w:styleId="ColorfulGrid">
    <w:name w:val="Colorful Grid"/>
    <w:basedOn w:val="TableNormal"/>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0355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0355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0355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0355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0355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0355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0355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0355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0355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0355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0355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D0355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0355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0355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0355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0355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0355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0355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03556"/>
  </w:style>
  <w:style w:type="character" w:customStyle="1" w:styleId="DateChar">
    <w:name w:val="Date Char"/>
    <w:basedOn w:val="DefaultParagraphFont"/>
    <w:link w:val="Date"/>
    <w:uiPriority w:val="98"/>
    <w:semiHidden/>
    <w:rsid w:val="00D03556"/>
    <w:rPr>
      <w:sz w:val="24"/>
      <w:szCs w:val="24"/>
      <w:lang w:val="en-GB"/>
    </w:rPr>
  </w:style>
  <w:style w:type="paragraph" w:styleId="E-mailSignature">
    <w:name w:val="E-mail Signature"/>
    <w:basedOn w:val="Normal"/>
    <w:link w:val="E-mailSignatureChar"/>
    <w:uiPriority w:val="98"/>
    <w:semiHidden/>
    <w:rsid w:val="00D03556"/>
  </w:style>
  <w:style w:type="character" w:customStyle="1" w:styleId="E-mailSignatureChar">
    <w:name w:val="E-mail Signature Char"/>
    <w:basedOn w:val="DefaultParagraphFont"/>
    <w:link w:val="E-mailSignature"/>
    <w:uiPriority w:val="98"/>
    <w:semiHidden/>
    <w:rsid w:val="00D03556"/>
    <w:rPr>
      <w:sz w:val="24"/>
      <w:szCs w:val="24"/>
      <w:lang w:val="en-GB"/>
    </w:rPr>
  </w:style>
  <w:style w:type="paragraph" w:styleId="EnvelopeAddress">
    <w:name w:val="envelope address"/>
    <w:basedOn w:val="Normal"/>
    <w:uiPriority w:val="98"/>
    <w:semiHidden/>
    <w:rsid w:val="00D0355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03556"/>
    <w:rPr>
      <w:rFonts w:asciiTheme="majorHAnsi" w:eastAsiaTheme="majorEastAsia" w:hAnsiTheme="majorHAnsi" w:cstheme="majorBidi"/>
      <w:sz w:val="20"/>
      <w:szCs w:val="20"/>
    </w:rPr>
  </w:style>
  <w:style w:type="character" w:styleId="HTMLAcronym">
    <w:name w:val="HTML Acronym"/>
    <w:basedOn w:val="DefaultParagraphFont"/>
    <w:uiPriority w:val="98"/>
    <w:semiHidden/>
    <w:rsid w:val="00D03556"/>
  </w:style>
  <w:style w:type="paragraph" w:styleId="HTMLAddress">
    <w:name w:val="HTML Address"/>
    <w:basedOn w:val="Normal"/>
    <w:link w:val="HTMLAddressChar"/>
    <w:uiPriority w:val="98"/>
    <w:semiHidden/>
    <w:rsid w:val="00D03556"/>
    <w:rPr>
      <w:i/>
      <w:iCs/>
    </w:rPr>
  </w:style>
  <w:style w:type="character" w:customStyle="1" w:styleId="HTMLAddressChar">
    <w:name w:val="HTML Address Char"/>
    <w:basedOn w:val="DefaultParagraphFont"/>
    <w:link w:val="HTMLAddress"/>
    <w:uiPriority w:val="98"/>
    <w:semiHidden/>
    <w:rsid w:val="00D03556"/>
    <w:rPr>
      <w:i/>
      <w:iCs/>
      <w:sz w:val="24"/>
      <w:szCs w:val="24"/>
      <w:lang w:val="en-GB"/>
    </w:rPr>
  </w:style>
  <w:style w:type="character" w:styleId="HTMLCite">
    <w:name w:val="HTML Cite"/>
    <w:basedOn w:val="DefaultParagraphFont"/>
    <w:uiPriority w:val="98"/>
    <w:semiHidden/>
    <w:rsid w:val="00D03556"/>
    <w:rPr>
      <w:i/>
      <w:iCs/>
    </w:rPr>
  </w:style>
  <w:style w:type="character" w:styleId="HTMLCode">
    <w:name w:val="HTML Code"/>
    <w:basedOn w:val="DefaultParagraphFont"/>
    <w:uiPriority w:val="98"/>
    <w:semiHidden/>
    <w:rsid w:val="00D03556"/>
    <w:rPr>
      <w:rFonts w:ascii="Consolas" w:hAnsi="Consolas" w:cs="Consolas"/>
      <w:sz w:val="20"/>
      <w:szCs w:val="20"/>
    </w:rPr>
  </w:style>
  <w:style w:type="character" w:styleId="HTMLDefinition">
    <w:name w:val="HTML Definition"/>
    <w:basedOn w:val="DefaultParagraphFont"/>
    <w:uiPriority w:val="98"/>
    <w:semiHidden/>
    <w:rsid w:val="00D03556"/>
    <w:rPr>
      <w:i/>
      <w:iCs/>
    </w:rPr>
  </w:style>
  <w:style w:type="character" w:styleId="HTMLKeyboard">
    <w:name w:val="HTML Keyboard"/>
    <w:basedOn w:val="DefaultParagraphFont"/>
    <w:uiPriority w:val="98"/>
    <w:semiHidden/>
    <w:rsid w:val="00D03556"/>
    <w:rPr>
      <w:rFonts w:ascii="Consolas" w:hAnsi="Consolas" w:cs="Consolas"/>
      <w:sz w:val="20"/>
      <w:szCs w:val="20"/>
    </w:rPr>
  </w:style>
  <w:style w:type="paragraph" w:styleId="HTMLPreformatted">
    <w:name w:val="HTML Preformatted"/>
    <w:basedOn w:val="Normal"/>
    <w:link w:val="HTMLPreformattedChar"/>
    <w:uiPriority w:val="98"/>
    <w:semiHidden/>
    <w:rsid w:val="00D0355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03556"/>
    <w:rPr>
      <w:rFonts w:ascii="Consolas" w:hAnsi="Consolas" w:cs="Consolas"/>
      <w:sz w:val="20"/>
      <w:szCs w:val="20"/>
      <w:lang w:val="en-GB"/>
    </w:rPr>
  </w:style>
  <w:style w:type="character" w:styleId="HTMLSample">
    <w:name w:val="HTML Sample"/>
    <w:basedOn w:val="DefaultParagraphFont"/>
    <w:uiPriority w:val="98"/>
    <w:semiHidden/>
    <w:rsid w:val="00D03556"/>
    <w:rPr>
      <w:rFonts w:ascii="Consolas" w:hAnsi="Consolas" w:cs="Consolas"/>
      <w:sz w:val="24"/>
      <w:szCs w:val="24"/>
    </w:rPr>
  </w:style>
  <w:style w:type="character" w:styleId="HTMLTypewriter">
    <w:name w:val="HTML Typewriter"/>
    <w:basedOn w:val="DefaultParagraphFont"/>
    <w:uiPriority w:val="98"/>
    <w:semiHidden/>
    <w:rsid w:val="00D03556"/>
    <w:rPr>
      <w:rFonts w:ascii="Consolas" w:hAnsi="Consolas" w:cs="Consolas"/>
      <w:sz w:val="20"/>
      <w:szCs w:val="20"/>
    </w:rPr>
  </w:style>
  <w:style w:type="character" w:styleId="HTMLVariable">
    <w:name w:val="HTML Variable"/>
    <w:basedOn w:val="DefaultParagraphFont"/>
    <w:uiPriority w:val="98"/>
    <w:semiHidden/>
    <w:rsid w:val="00D03556"/>
    <w:rPr>
      <w:i/>
      <w:iCs/>
    </w:rPr>
  </w:style>
  <w:style w:type="paragraph" w:styleId="Index1">
    <w:name w:val="index 1"/>
    <w:basedOn w:val="Normal"/>
    <w:next w:val="Normal"/>
    <w:autoRedefine/>
    <w:uiPriority w:val="98"/>
    <w:semiHidden/>
    <w:rsid w:val="00D03556"/>
    <w:pPr>
      <w:ind w:left="240" w:hanging="240"/>
    </w:pPr>
  </w:style>
  <w:style w:type="paragraph" w:styleId="Index2">
    <w:name w:val="index 2"/>
    <w:basedOn w:val="Normal"/>
    <w:next w:val="Normal"/>
    <w:autoRedefine/>
    <w:uiPriority w:val="98"/>
    <w:semiHidden/>
    <w:rsid w:val="00D03556"/>
    <w:pPr>
      <w:ind w:left="480" w:hanging="240"/>
    </w:pPr>
  </w:style>
  <w:style w:type="paragraph" w:styleId="Index3">
    <w:name w:val="index 3"/>
    <w:basedOn w:val="Normal"/>
    <w:next w:val="Normal"/>
    <w:autoRedefine/>
    <w:uiPriority w:val="98"/>
    <w:semiHidden/>
    <w:rsid w:val="00D03556"/>
    <w:pPr>
      <w:ind w:left="720" w:hanging="240"/>
    </w:pPr>
  </w:style>
  <w:style w:type="paragraph" w:styleId="Index4">
    <w:name w:val="index 4"/>
    <w:basedOn w:val="Normal"/>
    <w:next w:val="Normal"/>
    <w:autoRedefine/>
    <w:uiPriority w:val="98"/>
    <w:semiHidden/>
    <w:rsid w:val="00D03556"/>
    <w:pPr>
      <w:ind w:left="960" w:hanging="240"/>
    </w:pPr>
  </w:style>
  <w:style w:type="paragraph" w:styleId="Index5">
    <w:name w:val="index 5"/>
    <w:basedOn w:val="Normal"/>
    <w:next w:val="Normal"/>
    <w:autoRedefine/>
    <w:uiPriority w:val="98"/>
    <w:semiHidden/>
    <w:rsid w:val="00D03556"/>
    <w:pPr>
      <w:ind w:left="1200" w:hanging="240"/>
    </w:pPr>
  </w:style>
  <w:style w:type="paragraph" w:styleId="Index6">
    <w:name w:val="index 6"/>
    <w:basedOn w:val="Normal"/>
    <w:next w:val="Normal"/>
    <w:autoRedefine/>
    <w:uiPriority w:val="98"/>
    <w:semiHidden/>
    <w:rsid w:val="00D03556"/>
    <w:pPr>
      <w:ind w:left="1440" w:hanging="240"/>
    </w:pPr>
  </w:style>
  <w:style w:type="paragraph" w:styleId="Index7">
    <w:name w:val="index 7"/>
    <w:basedOn w:val="Normal"/>
    <w:next w:val="Normal"/>
    <w:autoRedefine/>
    <w:uiPriority w:val="98"/>
    <w:semiHidden/>
    <w:rsid w:val="00D03556"/>
    <w:pPr>
      <w:ind w:left="1680" w:hanging="240"/>
    </w:pPr>
  </w:style>
  <w:style w:type="paragraph" w:styleId="Index8">
    <w:name w:val="index 8"/>
    <w:basedOn w:val="Normal"/>
    <w:next w:val="Normal"/>
    <w:autoRedefine/>
    <w:uiPriority w:val="98"/>
    <w:semiHidden/>
    <w:rsid w:val="00D03556"/>
    <w:pPr>
      <w:ind w:left="1920" w:hanging="240"/>
    </w:pPr>
  </w:style>
  <w:style w:type="paragraph" w:styleId="Index9">
    <w:name w:val="index 9"/>
    <w:basedOn w:val="Normal"/>
    <w:next w:val="Normal"/>
    <w:autoRedefine/>
    <w:uiPriority w:val="98"/>
    <w:semiHidden/>
    <w:rsid w:val="00D03556"/>
    <w:pPr>
      <w:ind w:left="2160" w:hanging="240"/>
    </w:pPr>
  </w:style>
  <w:style w:type="paragraph" w:styleId="IndexHeading">
    <w:name w:val="index heading"/>
    <w:basedOn w:val="Normal"/>
    <w:next w:val="Index1"/>
    <w:uiPriority w:val="98"/>
    <w:semiHidden/>
    <w:rsid w:val="00D03556"/>
    <w:rPr>
      <w:rFonts w:asciiTheme="majorHAnsi" w:eastAsiaTheme="majorEastAsia" w:hAnsiTheme="majorHAnsi" w:cstheme="majorBidi"/>
      <w:b/>
      <w:bCs/>
    </w:rPr>
  </w:style>
  <w:style w:type="table" w:styleId="LightGrid">
    <w:name w:val="Light Grid"/>
    <w:basedOn w:val="TableNormal"/>
    <w:uiPriority w:val="62"/>
    <w:semiHidden/>
    <w:rsid w:val="00D035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035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035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0355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035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035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035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035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035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035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0355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035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035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035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0355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0355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0355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0355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0355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0355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0355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03556"/>
  </w:style>
  <w:style w:type="paragraph" w:styleId="List">
    <w:name w:val="List"/>
    <w:basedOn w:val="Normal"/>
    <w:uiPriority w:val="98"/>
    <w:semiHidden/>
    <w:rsid w:val="00D03556"/>
    <w:pPr>
      <w:ind w:left="283" w:hanging="283"/>
      <w:contextualSpacing/>
    </w:pPr>
  </w:style>
  <w:style w:type="paragraph" w:styleId="List2">
    <w:name w:val="List 2"/>
    <w:basedOn w:val="Normal"/>
    <w:uiPriority w:val="98"/>
    <w:semiHidden/>
    <w:rsid w:val="00D03556"/>
    <w:pPr>
      <w:ind w:left="566" w:hanging="283"/>
      <w:contextualSpacing/>
    </w:pPr>
  </w:style>
  <w:style w:type="paragraph" w:styleId="List3">
    <w:name w:val="List 3"/>
    <w:basedOn w:val="Normal"/>
    <w:uiPriority w:val="98"/>
    <w:semiHidden/>
    <w:rsid w:val="00D03556"/>
    <w:pPr>
      <w:ind w:left="849" w:hanging="283"/>
      <w:contextualSpacing/>
    </w:pPr>
  </w:style>
  <w:style w:type="paragraph" w:styleId="List4">
    <w:name w:val="List 4"/>
    <w:basedOn w:val="Normal"/>
    <w:uiPriority w:val="98"/>
    <w:semiHidden/>
    <w:rsid w:val="00D03556"/>
    <w:pPr>
      <w:ind w:left="1132" w:hanging="283"/>
      <w:contextualSpacing/>
    </w:pPr>
  </w:style>
  <w:style w:type="paragraph" w:styleId="List5">
    <w:name w:val="List 5"/>
    <w:basedOn w:val="Normal"/>
    <w:uiPriority w:val="98"/>
    <w:semiHidden/>
    <w:rsid w:val="00D03556"/>
    <w:pPr>
      <w:ind w:left="1415" w:hanging="283"/>
      <w:contextualSpacing/>
    </w:pPr>
  </w:style>
  <w:style w:type="paragraph" w:styleId="ListBullet2">
    <w:name w:val="List Bullet 2"/>
    <w:basedOn w:val="Normal"/>
    <w:uiPriority w:val="98"/>
    <w:semiHidden/>
    <w:rsid w:val="00D03556"/>
    <w:pPr>
      <w:numPr>
        <w:numId w:val="12"/>
      </w:numPr>
      <w:contextualSpacing/>
    </w:pPr>
  </w:style>
  <w:style w:type="paragraph" w:styleId="ListBullet3">
    <w:name w:val="List Bullet 3"/>
    <w:basedOn w:val="Normal"/>
    <w:uiPriority w:val="98"/>
    <w:semiHidden/>
    <w:rsid w:val="00D03556"/>
    <w:pPr>
      <w:numPr>
        <w:numId w:val="13"/>
      </w:numPr>
      <w:contextualSpacing/>
    </w:pPr>
  </w:style>
  <w:style w:type="paragraph" w:styleId="ListBullet4">
    <w:name w:val="List Bullet 4"/>
    <w:basedOn w:val="Normal"/>
    <w:uiPriority w:val="98"/>
    <w:semiHidden/>
    <w:rsid w:val="00D03556"/>
    <w:pPr>
      <w:numPr>
        <w:numId w:val="14"/>
      </w:numPr>
      <w:contextualSpacing/>
    </w:pPr>
  </w:style>
  <w:style w:type="paragraph" w:styleId="ListBullet5">
    <w:name w:val="List Bullet 5"/>
    <w:basedOn w:val="Normal"/>
    <w:uiPriority w:val="98"/>
    <w:semiHidden/>
    <w:rsid w:val="00D03556"/>
    <w:pPr>
      <w:numPr>
        <w:numId w:val="15"/>
      </w:numPr>
      <w:contextualSpacing/>
    </w:pPr>
  </w:style>
  <w:style w:type="paragraph" w:styleId="ListContinue">
    <w:name w:val="List Continue"/>
    <w:basedOn w:val="Normal"/>
    <w:uiPriority w:val="98"/>
    <w:semiHidden/>
    <w:rsid w:val="00D03556"/>
    <w:pPr>
      <w:spacing w:after="120"/>
      <w:ind w:left="283"/>
      <w:contextualSpacing/>
    </w:pPr>
  </w:style>
  <w:style w:type="paragraph" w:styleId="ListContinue2">
    <w:name w:val="List Continue 2"/>
    <w:basedOn w:val="Normal"/>
    <w:uiPriority w:val="98"/>
    <w:semiHidden/>
    <w:rsid w:val="00D03556"/>
    <w:pPr>
      <w:spacing w:after="120"/>
      <w:ind w:left="566"/>
      <w:contextualSpacing/>
    </w:pPr>
  </w:style>
  <w:style w:type="paragraph" w:styleId="ListContinue3">
    <w:name w:val="List Continue 3"/>
    <w:basedOn w:val="Normal"/>
    <w:uiPriority w:val="98"/>
    <w:semiHidden/>
    <w:rsid w:val="00D03556"/>
    <w:pPr>
      <w:spacing w:after="120"/>
      <w:ind w:left="849"/>
      <w:contextualSpacing/>
    </w:pPr>
  </w:style>
  <w:style w:type="paragraph" w:styleId="ListContinue4">
    <w:name w:val="List Continue 4"/>
    <w:basedOn w:val="Normal"/>
    <w:uiPriority w:val="98"/>
    <w:semiHidden/>
    <w:rsid w:val="00D03556"/>
    <w:pPr>
      <w:spacing w:after="120"/>
      <w:ind w:left="1132"/>
      <w:contextualSpacing/>
    </w:pPr>
  </w:style>
  <w:style w:type="paragraph" w:styleId="ListContinue5">
    <w:name w:val="List Continue 5"/>
    <w:basedOn w:val="Normal"/>
    <w:uiPriority w:val="98"/>
    <w:semiHidden/>
    <w:rsid w:val="00D03556"/>
    <w:pPr>
      <w:spacing w:after="120"/>
      <w:ind w:left="1415"/>
      <w:contextualSpacing/>
    </w:pPr>
  </w:style>
  <w:style w:type="paragraph" w:styleId="ListNumber">
    <w:name w:val="List Number"/>
    <w:basedOn w:val="Normal"/>
    <w:uiPriority w:val="98"/>
    <w:semiHidden/>
    <w:rsid w:val="00D03556"/>
    <w:pPr>
      <w:numPr>
        <w:numId w:val="16"/>
      </w:numPr>
      <w:contextualSpacing/>
    </w:pPr>
  </w:style>
  <w:style w:type="paragraph" w:styleId="ListNumber2">
    <w:name w:val="List Number 2"/>
    <w:basedOn w:val="Normal"/>
    <w:uiPriority w:val="98"/>
    <w:semiHidden/>
    <w:rsid w:val="00D03556"/>
    <w:pPr>
      <w:numPr>
        <w:numId w:val="17"/>
      </w:numPr>
      <w:contextualSpacing/>
    </w:pPr>
  </w:style>
  <w:style w:type="paragraph" w:styleId="ListNumber3">
    <w:name w:val="List Number 3"/>
    <w:basedOn w:val="Normal"/>
    <w:uiPriority w:val="98"/>
    <w:semiHidden/>
    <w:rsid w:val="00D03556"/>
    <w:pPr>
      <w:numPr>
        <w:numId w:val="18"/>
      </w:numPr>
      <w:contextualSpacing/>
    </w:pPr>
  </w:style>
  <w:style w:type="paragraph" w:styleId="ListNumber4">
    <w:name w:val="List Number 4"/>
    <w:basedOn w:val="Normal"/>
    <w:uiPriority w:val="98"/>
    <w:semiHidden/>
    <w:rsid w:val="00D03556"/>
    <w:pPr>
      <w:numPr>
        <w:numId w:val="19"/>
      </w:numPr>
      <w:contextualSpacing/>
    </w:pPr>
  </w:style>
  <w:style w:type="paragraph" w:styleId="ListNumber5">
    <w:name w:val="List Number 5"/>
    <w:basedOn w:val="Normal"/>
    <w:uiPriority w:val="98"/>
    <w:semiHidden/>
    <w:rsid w:val="00D03556"/>
    <w:pPr>
      <w:numPr>
        <w:numId w:val="20"/>
      </w:numPr>
      <w:contextualSpacing/>
    </w:pPr>
  </w:style>
  <w:style w:type="paragraph" w:styleId="MacroText">
    <w:name w:val="macro"/>
    <w:link w:val="MacroTextChar"/>
    <w:uiPriority w:val="98"/>
    <w:semiHidden/>
    <w:rsid w:val="00D0355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03556"/>
    <w:rPr>
      <w:rFonts w:ascii="Consolas" w:eastAsiaTheme="minorEastAsia" w:hAnsi="Consolas" w:cs="Consolas"/>
      <w:sz w:val="20"/>
      <w:szCs w:val="20"/>
    </w:rPr>
  </w:style>
  <w:style w:type="table" w:styleId="MediumGrid1">
    <w:name w:val="Medium Grid 1"/>
    <w:basedOn w:val="TableNormal"/>
    <w:uiPriority w:val="67"/>
    <w:semiHidden/>
    <w:rsid w:val="00D035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035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035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0355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035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035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035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0355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0355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0355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0355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0355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0355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0355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035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035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035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0355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035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035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035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0355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0355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03556"/>
    <w:rPr>
      <w:rFonts w:ascii="Times New Roman" w:hAnsi="Times New Roman" w:cs="Times New Roman"/>
    </w:rPr>
  </w:style>
  <w:style w:type="paragraph" w:styleId="NormalIndent">
    <w:name w:val="Normal Indent"/>
    <w:basedOn w:val="Normal"/>
    <w:uiPriority w:val="98"/>
    <w:semiHidden/>
    <w:rsid w:val="00D03556"/>
    <w:pPr>
      <w:ind w:left="720"/>
    </w:pPr>
  </w:style>
  <w:style w:type="paragraph" w:customStyle="1" w:styleId="ECHRFooterLineLandscape">
    <w:name w:val="ECHR_Footer_Line_Landscape"/>
    <w:aliases w:val="_Footer_Line_Landscape"/>
    <w:basedOn w:val="Normal"/>
    <w:uiPriority w:val="30"/>
    <w:semiHidden/>
    <w:rsid w:val="00D0355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Justified"/>
    <w:uiPriority w:val="8"/>
    <w:semiHidden/>
    <w:qFormat/>
    <w:rsid w:val="00D03556"/>
    <w:pPr>
      <w:ind w:left="567" w:hanging="567"/>
    </w:pPr>
  </w:style>
  <w:style w:type="character" w:styleId="PlaceholderText">
    <w:name w:val="Placeholder Text"/>
    <w:basedOn w:val="DefaultParagraphFont"/>
    <w:uiPriority w:val="98"/>
    <w:semiHidden/>
    <w:rsid w:val="00D0355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03556"/>
    <w:rPr>
      <w:rFonts w:ascii="Consolas" w:hAnsi="Consolas" w:cs="Consolas"/>
      <w:sz w:val="21"/>
      <w:szCs w:val="21"/>
    </w:rPr>
  </w:style>
  <w:style w:type="character" w:customStyle="1" w:styleId="PlainTextChar">
    <w:name w:val="Plain Text Char"/>
    <w:basedOn w:val="DefaultParagraphFont"/>
    <w:link w:val="PlainText"/>
    <w:uiPriority w:val="98"/>
    <w:semiHidden/>
    <w:rsid w:val="00D03556"/>
    <w:rPr>
      <w:rFonts w:ascii="Consolas" w:hAnsi="Consolas" w:cs="Consolas"/>
      <w:sz w:val="21"/>
      <w:szCs w:val="21"/>
      <w:lang w:val="en-GB"/>
    </w:rPr>
  </w:style>
  <w:style w:type="paragraph" w:styleId="Salutation">
    <w:name w:val="Salutation"/>
    <w:basedOn w:val="Normal"/>
    <w:next w:val="Normal"/>
    <w:link w:val="SalutationChar"/>
    <w:uiPriority w:val="98"/>
    <w:semiHidden/>
    <w:rsid w:val="00D03556"/>
  </w:style>
  <w:style w:type="character" w:customStyle="1" w:styleId="SalutationChar">
    <w:name w:val="Salutation Char"/>
    <w:basedOn w:val="DefaultParagraphFont"/>
    <w:link w:val="Salutation"/>
    <w:uiPriority w:val="98"/>
    <w:semiHidden/>
    <w:rsid w:val="00D03556"/>
    <w:rPr>
      <w:sz w:val="24"/>
      <w:szCs w:val="24"/>
      <w:lang w:val="en-GB"/>
    </w:rPr>
  </w:style>
  <w:style w:type="paragraph" w:styleId="Signature">
    <w:name w:val="Signature"/>
    <w:basedOn w:val="Normal"/>
    <w:link w:val="SignatureChar"/>
    <w:uiPriority w:val="98"/>
    <w:semiHidden/>
    <w:rsid w:val="00D03556"/>
    <w:pPr>
      <w:ind w:left="4252"/>
    </w:pPr>
  </w:style>
  <w:style w:type="character" w:customStyle="1" w:styleId="SignatureChar">
    <w:name w:val="Signature Char"/>
    <w:basedOn w:val="DefaultParagraphFont"/>
    <w:link w:val="Signature"/>
    <w:uiPriority w:val="98"/>
    <w:semiHidden/>
    <w:rsid w:val="00D03556"/>
    <w:rPr>
      <w:sz w:val="24"/>
      <w:szCs w:val="24"/>
      <w:lang w:val="en-GB"/>
    </w:rPr>
  </w:style>
  <w:style w:type="table" w:styleId="Table3Deffects1">
    <w:name w:val="Table 3D effects 1"/>
    <w:basedOn w:val="TableNormal"/>
    <w:uiPriority w:val="99"/>
    <w:semiHidden/>
    <w:unhideWhenUsed/>
    <w:rsid w:val="00D0355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0355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0355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0355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0355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0355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0355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0355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0355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0355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0355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0355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0355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0355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0355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0355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0355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0355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0355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0355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0355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0355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0355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0355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0355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035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0355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035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03556"/>
    <w:pPr>
      <w:ind w:left="240" w:hanging="240"/>
    </w:pPr>
  </w:style>
  <w:style w:type="paragraph" w:styleId="TableofFigures">
    <w:name w:val="table of figures"/>
    <w:basedOn w:val="Normal"/>
    <w:next w:val="Normal"/>
    <w:uiPriority w:val="98"/>
    <w:semiHidden/>
    <w:rsid w:val="00D03556"/>
  </w:style>
  <w:style w:type="table" w:styleId="TableProfessional">
    <w:name w:val="Table Professional"/>
    <w:basedOn w:val="TableNormal"/>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0355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0355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0355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0355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0355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0355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0355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0355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0355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0355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03556"/>
    <w:pPr>
      <w:spacing w:after="100"/>
      <w:ind w:left="1680"/>
    </w:pPr>
  </w:style>
  <w:style w:type="paragraph" w:styleId="TOC9">
    <w:name w:val="toc 9"/>
    <w:basedOn w:val="Normal"/>
    <w:next w:val="Normal"/>
    <w:autoRedefine/>
    <w:uiPriority w:val="98"/>
    <w:semiHidden/>
    <w:rsid w:val="00D03556"/>
    <w:pPr>
      <w:spacing w:after="100"/>
      <w:ind w:left="1920"/>
    </w:pPr>
  </w:style>
  <w:style w:type="paragraph" w:customStyle="1" w:styleId="ECHRHeading9">
    <w:name w:val="ECHR_Heading_9"/>
    <w:aliases w:val="_Head_9"/>
    <w:basedOn w:val="Heading9"/>
    <w:uiPriority w:val="17"/>
    <w:semiHidden/>
    <w:rsid w:val="00D03556"/>
    <w:pPr>
      <w:keepNext/>
      <w:keepLines/>
      <w:numPr>
        <w:ilvl w:val="8"/>
        <w:numId w:val="9"/>
      </w:numPr>
      <w:spacing w:before="100" w:beforeAutospacing="1"/>
      <w:contextualSpacing/>
      <w:jc w:val="both"/>
    </w:pPr>
    <w:rPr>
      <w:i w:val="0"/>
      <w:sz w:val="18"/>
    </w:rPr>
  </w:style>
  <w:style w:type="paragraph" w:customStyle="1" w:styleId="DecHTitle">
    <w:name w:val="Dec_H_Title"/>
    <w:aliases w:val="_Title_1"/>
    <w:basedOn w:val="JuPara"/>
    <w:next w:val="JuPara"/>
    <w:uiPriority w:val="38"/>
    <w:qFormat/>
    <w:rsid w:val="00D03556"/>
    <w:pPr>
      <w:keepNext/>
      <w:keepLines/>
      <w:spacing w:after="240"/>
      <w:ind w:firstLine="0"/>
      <w:jc w:val="center"/>
      <w:outlineLvl w:val="0"/>
    </w:pPr>
    <w:rPr>
      <w:rFonts w:asciiTheme="majorHAnsi" w:hAnsiTheme="majorHAnsi"/>
      <w:sz w:val="28"/>
    </w:rPr>
  </w:style>
  <w:style w:type="paragraph" w:customStyle="1" w:styleId="ECHRParaIndent">
    <w:name w:val="ECHR_Para_Indent"/>
    <w:aliases w:val="_Indent"/>
    <w:basedOn w:val="NormalJustified"/>
    <w:uiPriority w:val="7"/>
    <w:semiHidden/>
    <w:qFormat/>
    <w:rsid w:val="00D03556"/>
    <w:pPr>
      <w:spacing w:before="120" w:after="120"/>
      <w:ind w:left="284"/>
    </w:pPr>
  </w:style>
  <w:style w:type="paragraph" w:customStyle="1" w:styleId="JuJudges">
    <w:name w:val="Ju_Judges"/>
    <w:aliases w:val="_Judges"/>
    <w:basedOn w:val="Normal"/>
    <w:uiPriority w:val="32"/>
    <w:qFormat/>
    <w:rsid w:val="00D03556"/>
    <w:pPr>
      <w:tabs>
        <w:tab w:val="left" w:pos="567"/>
        <w:tab w:val="left" w:pos="1134"/>
      </w:tabs>
    </w:pPr>
  </w:style>
  <w:style w:type="paragraph" w:customStyle="1" w:styleId="ECHRLine">
    <w:name w:val="ECHR_Line"/>
    <w:aliases w:val="_Line"/>
    <w:basedOn w:val="NormalJustified"/>
    <w:next w:val="Normal"/>
    <w:uiPriority w:val="46"/>
    <w:semiHidden/>
    <w:rsid w:val="00D03556"/>
    <w:pPr>
      <w:pBdr>
        <w:bottom w:val="single" w:sz="12" w:space="1" w:color="949494" w:themeColor="text2" w:themeShade="BF"/>
      </w:pBdr>
      <w:spacing w:after="120"/>
    </w:pPr>
    <w:rPr>
      <w:sz w:val="12"/>
    </w:rPr>
  </w:style>
  <w:style w:type="paragraph" w:styleId="NoteHeading">
    <w:name w:val="Note Heading"/>
    <w:basedOn w:val="Normal"/>
    <w:next w:val="Normal"/>
    <w:link w:val="NoteHeadingChar"/>
    <w:uiPriority w:val="98"/>
    <w:semiHidden/>
    <w:rsid w:val="00D03556"/>
  </w:style>
  <w:style w:type="character" w:customStyle="1" w:styleId="NoteHeadingChar">
    <w:name w:val="Note Heading Char"/>
    <w:basedOn w:val="DefaultParagraphFont"/>
    <w:link w:val="NoteHeading"/>
    <w:uiPriority w:val="98"/>
    <w:semiHidden/>
    <w:rsid w:val="00D03556"/>
    <w:rPr>
      <w:sz w:val="24"/>
      <w:szCs w:val="24"/>
      <w:lang w:val="en-GB"/>
    </w:rPr>
  </w:style>
  <w:style w:type="paragraph" w:customStyle="1" w:styleId="JuHeaderLandscape">
    <w:name w:val="Ju_Header_Landscape"/>
    <w:basedOn w:val="JuHeader"/>
    <w:uiPriority w:val="4"/>
    <w:rsid w:val="00464097"/>
    <w:pPr>
      <w:tabs>
        <w:tab w:val="center" w:pos="6146"/>
        <w:tab w:val="right" w:pos="12293"/>
      </w:tabs>
    </w:pPr>
  </w:style>
  <w:style w:type="character" w:customStyle="1" w:styleId="JuParaChar">
    <w:name w:val="Ju_Para Char"/>
    <w:aliases w:val="_Para Char"/>
    <w:link w:val="JuPara"/>
    <w:uiPriority w:val="4"/>
    <w:rsid w:val="00B51E2C"/>
    <w:rPr>
      <w:sz w:val="24"/>
      <w:szCs w:val="24"/>
      <w:lang w:val="en-GB"/>
    </w:rPr>
  </w:style>
  <w:style w:type="paragraph" w:styleId="Revision">
    <w:name w:val="Revision"/>
    <w:hidden/>
    <w:uiPriority w:val="99"/>
    <w:semiHidden/>
    <w:rsid w:val="0088351E"/>
    <w:rPr>
      <w:rFonts w:eastAsiaTheme="minorEastAsia"/>
      <w:sz w:val="24"/>
    </w:rPr>
  </w:style>
  <w:style w:type="paragraph" w:customStyle="1" w:styleId="DecList">
    <w:name w:val="Dec_List"/>
    <w:aliases w:val="_List"/>
    <w:basedOn w:val="JuList"/>
    <w:uiPriority w:val="22"/>
    <w:rsid w:val="00D03556"/>
    <w:pPr>
      <w:numPr>
        <w:numId w:val="0"/>
      </w:numPr>
      <w:ind w:left="284"/>
    </w:pPr>
  </w:style>
  <w:style w:type="paragraph" w:customStyle="1" w:styleId="ECHRNumberedList1">
    <w:name w:val="ECHR_Numbered_List_1"/>
    <w:aliases w:val="_Num_1"/>
    <w:basedOn w:val="NormalJustified"/>
    <w:uiPriority w:val="23"/>
    <w:semiHidden/>
    <w:qFormat/>
    <w:rsid w:val="00D03556"/>
    <w:pPr>
      <w:numPr>
        <w:numId w:val="8"/>
      </w:numPr>
      <w:spacing w:before="60" w:after="60"/>
    </w:pPr>
  </w:style>
  <w:style w:type="paragraph" w:customStyle="1" w:styleId="ECHRNumberedList2">
    <w:name w:val="ECHR_Numbered_List_2"/>
    <w:aliases w:val="_Num_2"/>
    <w:basedOn w:val="ECHRNumberedList1"/>
    <w:uiPriority w:val="23"/>
    <w:semiHidden/>
    <w:rsid w:val="00D03556"/>
    <w:pPr>
      <w:numPr>
        <w:ilvl w:val="1"/>
      </w:numPr>
    </w:pPr>
  </w:style>
  <w:style w:type="paragraph" w:customStyle="1" w:styleId="ECHRNumberedList3">
    <w:name w:val="ECHR_Numbered_List_3"/>
    <w:aliases w:val="_Num_3"/>
    <w:basedOn w:val="ECHRNumberedList2"/>
    <w:uiPriority w:val="23"/>
    <w:semiHidden/>
    <w:rsid w:val="00D03556"/>
    <w:pPr>
      <w:numPr>
        <w:ilvl w:val="2"/>
      </w:numPr>
    </w:pPr>
  </w:style>
  <w:style w:type="character" w:customStyle="1" w:styleId="ECHRRed">
    <w:name w:val="ECHR_Red"/>
    <w:aliases w:val="_Red"/>
    <w:basedOn w:val="DefaultParagraphFont"/>
    <w:uiPriority w:val="15"/>
    <w:semiHidden/>
    <w:qFormat/>
    <w:rsid w:val="00D03556"/>
    <w:rPr>
      <w:color w:val="C00000" w:themeColor="accent2"/>
    </w:rPr>
  </w:style>
  <w:style w:type="paragraph" w:customStyle="1" w:styleId="ECHRHeaderDate">
    <w:name w:val="ECHR_Header_Date"/>
    <w:aliases w:val="_Ref_Date"/>
    <w:basedOn w:val="Normal"/>
    <w:uiPriority w:val="44"/>
    <w:semiHidden/>
    <w:qFormat/>
    <w:rsid w:val="00D03556"/>
    <w:pPr>
      <w:jc w:val="right"/>
    </w:pPr>
    <w:rPr>
      <w:sz w:val="20"/>
    </w:rPr>
  </w:style>
  <w:style w:type="paragraph" w:customStyle="1" w:styleId="ECHRHeaderRefIt">
    <w:name w:val="ECHR_Header_Ref_It"/>
    <w:aliases w:val="_Ref_Ital"/>
    <w:basedOn w:val="Normal"/>
    <w:next w:val="ECHRHeaderDate"/>
    <w:uiPriority w:val="43"/>
    <w:semiHidden/>
    <w:qFormat/>
    <w:rsid w:val="00D03556"/>
    <w:pPr>
      <w:jc w:val="right"/>
    </w:pPr>
    <w:rPr>
      <w:i/>
      <w:sz w:val="20"/>
    </w:rPr>
  </w:style>
  <w:style w:type="table" w:customStyle="1" w:styleId="ECHRHeaderTableReduced1">
    <w:name w:val="ECHR_Header_Table_Reduced1"/>
    <w:basedOn w:val="TableNormal"/>
    <w:uiPriority w:val="99"/>
    <w:rsid w:val="00CB7E6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Spacer">
    <w:name w:val="ECHR_Spacer"/>
    <w:aliases w:val="_Spacer"/>
    <w:basedOn w:val="Normal"/>
    <w:uiPriority w:val="45"/>
    <w:semiHidden/>
    <w:rsid w:val="00D03556"/>
    <w:rPr>
      <w:sz w:val="4"/>
    </w:rPr>
  </w:style>
  <w:style w:type="paragraph" w:customStyle="1" w:styleId="ECHRCoverTitle4">
    <w:name w:val="ECHR_Cover_Title_4"/>
    <w:aliases w:val="_Title_4"/>
    <w:basedOn w:val="JuPara"/>
    <w:next w:val="JuPara"/>
    <w:uiPriority w:val="38"/>
    <w:qFormat/>
    <w:rsid w:val="00D03556"/>
    <w:pPr>
      <w:keepNext/>
      <w:keepLines/>
      <w:tabs>
        <w:tab w:val="right" w:pos="7938"/>
      </w:tabs>
      <w:ind w:firstLine="0"/>
      <w:jc w:val="center"/>
    </w:pPr>
    <w:rPr>
      <w:i/>
    </w:rPr>
  </w:style>
  <w:style w:type="paragraph" w:customStyle="1" w:styleId="ECHRTitleCentre1">
    <w:name w:val="ECHR_Title_Centre_1"/>
    <w:aliases w:val="_Title_C_1"/>
    <w:basedOn w:val="Normal"/>
    <w:next w:val="Normal"/>
    <w:uiPriority w:val="26"/>
    <w:semiHidden/>
    <w:qFormat/>
    <w:rsid w:val="00D0355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0355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0355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03556"/>
    <w:pPr>
      <w:outlineLvl w:val="0"/>
    </w:pPr>
  </w:style>
  <w:style w:type="paragraph" w:customStyle="1" w:styleId="ECHRTitle1">
    <w:name w:val="ECHR_Title_1"/>
    <w:aliases w:val="_Title_L_1"/>
    <w:basedOn w:val="Normal"/>
    <w:next w:val="Normal"/>
    <w:uiPriority w:val="28"/>
    <w:semiHidden/>
    <w:qFormat/>
    <w:rsid w:val="00D0355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0355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03556"/>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D03556"/>
    <w:pPr>
      <w:outlineLvl w:val="0"/>
    </w:pPr>
  </w:style>
  <w:style w:type="numbering" w:customStyle="1" w:styleId="ECHRA1StyleBulletedSquare">
    <w:name w:val="ECHR_A1_Style_Bulleted_Square"/>
    <w:basedOn w:val="NoList"/>
    <w:rsid w:val="00D03556"/>
    <w:pPr>
      <w:numPr>
        <w:numId w:val="4"/>
      </w:numPr>
    </w:pPr>
  </w:style>
  <w:style w:type="numbering" w:customStyle="1" w:styleId="ECHRA1StyleList">
    <w:name w:val="ECHR_A1_Style_List"/>
    <w:basedOn w:val="NoList"/>
    <w:uiPriority w:val="99"/>
    <w:rsid w:val="00D03556"/>
    <w:pPr>
      <w:numPr>
        <w:numId w:val="5"/>
      </w:numPr>
    </w:pPr>
  </w:style>
  <w:style w:type="numbering" w:customStyle="1" w:styleId="ECHRA1StyleNumberedList">
    <w:name w:val="ECHR_A1_Style_Numbered_List"/>
    <w:basedOn w:val="NoList"/>
    <w:rsid w:val="00D03556"/>
    <w:pPr>
      <w:numPr>
        <w:numId w:val="6"/>
      </w:numPr>
    </w:pPr>
  </w:style>
  <w:style w:type="table" w:customStyle="1" w:styleId="ECHRTable2">
    <w:name w:val="ECHR_Table_2"/>
    <w:basedOn w:val="TableNormal"/>
    <w:uiPriority w:val="99"/>
    <w:rsid w:val="00D0355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0355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D0355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0">
    <w:name w:val="_Footer"/>
    <w:aliases w:val="Footer_"/>
    <w:basedOn w:val="Footer"/>
    <w:uiPriority w:val="57"/>
    <w:semiHidden/>
    <w:rsid w:val="00B66B5F"/>
    <w:rPr>
      <w:sz w:val="8"/>
    </w:rPr>
  </w:style>
  <w:style w:type="paragraph" w:customStyle="1" w:styleId="ECHRHeaderLandscape">
    <w:name w:val="ECHR_Header_Landscape"/>
    <w:aliases w:val="_Header_Landscape"/>
    <w:basedOn w:val="JuHeader"/>
    <w:uiPriority w:val="29"/>
    <w:semiHidden/>
    <w:rsid w:val="00D03556"/>
    <w:pPr>
      <w:tabs>
        <w:tab w:val="center" w:pos="6146"/>
        <w:tab w:val="right" w:pos="13778"/>
      </w:tabs>
      <w:ind w:left="-1474" w:right="-1474"/>
    </w:pPr>
  </w:style>
  <w:style w:type="paragraph" w:customStyle="1" w:styleId="ECHRPlaceholder">
    <w:name w:val="ECHR_Placeholder"/>
    <w:aliases w:val="_Placeholder"/>
    <w:basedOn w:val="JuSigned"/>
    <w:uiPriority w:val="31"/>
    <w:rsid w:val="00D03556"/>
    <w:rPr>
      <w:color w:val="FFFFFF"/>
    </w:rPr>
  </w:style>
  <w:style w:type="table" w:customStyle="1" w:styleId="ECHRTableGrey">
    <w:name w:val="ECHR_Table_Grey"/>
    <w:basedOn w:val="TableNormal"/>
    <w:uiPriority w:val="99"/>
    <w:rsid w:val="00D0355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D03556"/>
    <w:rPr>
      <w:color w:val="605E5C"/>
      <w:shd w:val="clear" w:color="auto" w:fill="E1DFDD"/>
    </w:rPr>
  </w:style>
  <w:style w:type="table" w:styleId="GridTable1Light">
    <w:name w:val="Grid Table 1 Light"/>
    <w:basedOn w:val="TableNormal"/>
    <w:uiPriority w:val="46"/>
    <w:semiHidden/>
    <w:rsid w:val="00BD16F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D16F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D16F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D16F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D16F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D16F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D16F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D16F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D16F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D16F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D16F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D16F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D16F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D16F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D16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D16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D16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D16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D16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D16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D16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D16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D16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D16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D16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D16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D16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D16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D16F4"/>
    <w:rPr>
      <w:color w:val="2B579A"/>
      <w:shd w:val="clear" w:color="auto" w:fill="E1DFDD"/>
    </w:rPr>
  </w:style>
  <w:style w:type="table" w:styleId="ListTable1Light">
    <w:name w:val="List Table 1 Light"/>
    <w:basedOn w:val="TableNormal"/>
    <w:uiPriority w:val="46"/>
    <w:semiHidden/>
    <w:rsid w:val="00BD16F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D16F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D16F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D16F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D16F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D16F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D16F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D16F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D16F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D16F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D16F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D16F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D16F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D16F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D16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D16F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D16F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D16F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D16F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D16F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D16F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D16F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D16F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D16F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D16F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D16F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D16F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D16F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D16F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D16F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D16F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D16F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D16F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D16F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D16F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D16F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D16F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D16F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D16F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D16F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D16F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D16F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D16F4"/>
    <w:rPr>
      <w:color w:val="2B579A"/>
      <w:shd w:val="clear" w:color="auto" w:fill="E1DFDD"/>
    </w:rPr>
  </w:style>
  <w:style w:type="table" w:styleId="PlainTable1">
    <w:name w:val="Plain Table 1"/>
    <w:basedOn w:val="TableNormal"/>
    <w:uiPriority w:val="41"/>
    <w:semiHidden/>
    <w:rsid w:val="00BD16F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D16F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D16F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D16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D16F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D16F4"/>
    <w:rPr>
      <w:u w:val="dotted"/>
    </w:rPr>
  </w:style>
  <w:style w:type="character" w:customStyle="1" w:styleId="SmartLink">
    <w:name w:val="Smart Link"/>
    <w:basedOn w:val="DefaultParagraphFont"/>
    <w:uiPriority w:val="99"/>
    <w:semiHidden/>
    <w:unhideWhenUsed/>
    <w:rsid w:val="00BD16F4"/>
    <w:rPr>
      <w:color w:val="0000FF"/>
      <w:u w:val="single"/>
      <w:shd w:val="clear" w:color="auto" w:fill="F3F2F1"/>
    </w:rPr>
  </w:style>
  <w:style w:type="table" w:styleId="TableGridLight">
    <w:name w:val="Grid Table Light"/>
    <w:basedOn w:val="TableNormal"/>
    <w:uiPriority w:val="40"/>
    <w:semiHidden/>
    <w:rsid w:val="00BD16F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255581">
      <w:bodyDiv w:val="1"/>
      <w:marLeft w:val="0"/>
      <w:marRight w:val="0"/>
      <w:marTop w:val="0"/>
      <w:marBottom w:val="0"/>
      <w:divBdr>
        <w:top w:val="none" w:sz="0" w:space="0" w:color="auto"/>
        <w:left w:val="none" w:sz="0" w:space="0" w:color="auto"/>
        <w:bottom w:val="none" w:sz="0" w:space="0" w:color="auto"/>
        <w:right w:val="none" w:sz="0" w:space="0" w:color="auto"/>
      </w:divBdr>
      <w:divsChild>
        <w:div w:id="1616402395">
          <w:marLeft w:val="0"/>
          <w:marRight w:val="0"/>
          <w:marTop w:val="0"/>
          <w:marBottom w:val="0"/>
          <w:divBdr>
            <w:top w:val="none" w:sz="0" w:space="0" w:color="auto"/>
            <w:left w:val="none" w:sz="0" w:space="0" w:color="auto"/>
            <w:bottom w:val="none" w:sz="0" w:space="0" w:color="auto"/>
            <w:right w:val="none" w:sz="0" w:space="0" w:color="auto"/>
          </w:divBdr>
          <w:divsChild>
            <w:div w:id="127668247">
              <w:marLeft w:val="0"/>
              <w:marRight w:val="0"/>
              <w:marTop w:val="0"/>
              <w:marBottom w:val="0"/>
              <w:divBdr>
                <w:top w:val="none" w:sz="0" w:space="0" w:color="auto"/>
                <w:left w:val="none" w:sz="0" w:space="0" w:color="auto"/>
                <w:bottom w:val="none" w:sz="0" w:space="0" w:color="auto"/>
                <w:right w:val="none" w:sz="0" w:space="0" w:color="auto"/>
              </w:divBdr>
              <w:divsChild>
                <w:div w:id="1232619515">
                  <w:marLeft w:val="0"/>
                  <w:marRight w:val="0"/>
                  <w:marTop w:val="0"/>
                  <w:marBottom w:val="0"/>
                  <w:divBdr>
                    <w:top w:val="none" w:sz="0" w:space="0" w:color="auto"/>
                    <w:left w:val="none" w:sz="0" w:space="0" w:color="auto"/>
                    <w:bottom w:val="none" w:sz="0" w:space="0" w:color="auto"/>
                    <w:right w:val="none" w:sz="0" w:space="0" w:color="auto"/>
                  </w:divBdr>
                  <w:divsChild>
                    <w:div w:id="233705778">
                      <w:marLeft w:val="0"/>
                      <w:marRight w:val="0"/>
                      <w:marTop w:val="0"/>
                      <w:marBottom w:val="0"/>
                      <w:divBdr>
                        <w:top w:val="none" w:sz="0" w:space="0" w:color="auto"/>
                        <w:left w:val="none" w:sz="0" w:space="0" w:color="auto"/>
                        <w:bottom w:val="none" w:sz="0" w:space="0" w:color="auto"/>
                        <w:right w:val="none" w:sz="0" w:space="0" w:color="auto"/>
                      </w:divBdr>
                      <w:divsChild>
                        <w:div w:id="729228311">
                          <w:marLeft w:val="0"/>
                          <w:marRight w:val="0"/>
                          <w:marTop w:val="0"/>
                          <w:marBottom w:val="0"/>
                          <w:divBdr>
                            <w:top w:val="none" w:sz="0" w:space="0" w:color="auto"/>
                            <w:left w:val="none" w:sz="0" w:space="0" w:color="auto"/>
                            <w:bottom w:val="none" w:sz="0" w:space="0" w:color="auto"/>
                            <w:right w:val="none" w:sz="0" w:space="0" w:color="auto"/>
                          </w:divBdr>
                          <w:divsChild>
                            <w:div w:id="8593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168847">
      <w:bodyDiv w:val="1"/>
      <w:marLeft w:val="0"/>
      <w:marRight w:val="0"/>
      <w:marTop w:val="0"/>
      <w:marBottom w:val="0"/>
      <w:divBdr>
        <w:top w:val="none" w:sz="0" w:space="0" w:color="auto"/>
        <w:left w:val="none" w:sz="0" w:space="0" w:color="auto"/>
        <w:bottom w:val="none" w:sz="0" w:space="0" w:color="auto"/>
        <w:right w:val="none" w:sz="0" w:space="0" w:color="auto"/>
      </w:divBdr>
      <w:divsChild>
        <w:div w:id="679965524">
          <w:marLeft w:val="0"/>
          <w:marRight w:val="0"/>
          <w:marTop w:val="0"/>
          <w:marBottom w:val="0"/>
          <w:divBdr>
            <w:top w:val="none" w:sz="0" w:space="0" w:color="auto"/>
            <w:left w:val="none" w:sz="0" w:space="0" w:color="auto"/>
            <w:bottom w:val="none" w:sz="0" w:space="0" w:color="auto"/>
            <w:right w:val="none" w:sz="0" w:space="0" w:color="auto"/>
          </w:divBdr>
          <w:divsChild>
            <w:div w:id="621375767">
              <w:marLeft w:val="0"/>
              <w:marRight w:val="0"/>
              <w:marTop w:val="0"/>
              <w:marBottom w:val="0"/>
              <w:divBdr>
                <w:top w:val="none" w:sz="0" w:space="0" w:color="auto"/>
                <w:left w:val="none" w:sz="0" w:space="0" w:color="auto"/>
                <w:bottom w:val="none" w:sz="0" w:space="0" w:color="auto"/>
                <w:right w:val="none" w:sz="0" w:space="0" w:color="auto"/>
              </w:divBdr>
              <w:divsChild>
                <w:div w:id="1103379204">
                  <w:marLeft w:val="0"/>
                  <w:marRight w:val="0"/>
                  <w:marTop w:val="0"/>
                  <w:marBottom w:val="0"/>
                  <w:divBdr>
                    <w:top w:val="none" w:sz="0" w:space="0" w:color="auto"/>
                    <w:left w:val="none" w:sz="0" w:space="0" w:color="auto"/>
                    <w:bottom w:val="none" w:sz="0" w:space="0" w:color="auto"/>
                    <w:right w:val="none" w:sz="0" w:space="0" w:color="auto"/>
                  </w:divBdr>
                  <w:divsChild>
                    <w:div w:id="106780423">
                      <w:marLeft w:val="0"/>
                      <w:marRight w:val="0"/>
                      <w:marTop w:val="0"/>
                      <w:marBottom w:val="0"/>
                      <w:divBdr>
                        <w:top w:val="none" w:sz="0" w:space="0" w:color="auto"/>
                        <w:left w:val="none" w:sz="0" w:space="0" w:color="auto"/>
                        <w:bottom w:val="none" w:sz="0" w:space="0" w:color="auto"/>
                        <w:right w:val="none" w:sz="0" w:space="0" w:color="auto"/>
                      </w:divBdr>
                      <w:divsChild>
                        <w:div w:id="1323312591">
                          <w:marLeft w:val="0"/>
                          <w:marRight w:val="0"/>
                          <w:marTop w:val="0"/>
                          <w:marBottom w:val="0"/>
                          <w:divBdr>
                            <w:top w:val="none" w:sz="0" w:space="0" w:color="auto"/>
                            <w:left w:val="none" w:sz="0" w:space="0" w:color="auto"/>
                            <w:bottom w:val="none" w:sz="0" w:space="0" w:color="auto"/>
                            <w:right w:val="none" w:sz="0" w:space="0" w:color="auto"/>
                          </w:divBdr>
                          <w:divsChild>
                            <w:div w:id="195097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519264">
      <w:bodyDiv w:val="1"/>
      <w:marLeft w:val="0"/>
      <w:marRight w:val="0"/>
      <w:marTop w:val="0"/>
      <w:marBottom w:val="0"/>
      <w:divBdr>
        <w:top w:val="none" w:sz="0" w:space="0" w:color="auto"/>
        <w:left w:val="none" w:sz="0" w:space="0" w:color="auto"/>
        <w:bottom w:val="none" w:sz="0" w:space="0" w:color="auto"/>
        <w:right w:val="none" w:sz="0" w:space="0" w:color="auto"/>
      </w:divBdr>
    </w:div>
    <w:div w:id="1283800657">
      <w:bodyDiv w:val="1"/>
      <w:marLeft w:val="0"/>
      <w:marRight w:val="0"/>
      <w:marTop w:val="0"/>
      <w:marBottom w:val="0"/>
      <w:divBdr>
        <w:top w:val="none" w:sz="0" w:space="0" w:color="auto"/>
        <w:left w:val="none" w:sz="0" w:space="0" w:color="auto"/>
        <w:bottom w:val="none" w:sz="0" w:space="0" w:color="auto"/>
        <w:right w:val="none" w:sz="0" w:space="0" w:color="auto"/>
      </w:divBdr>
      <w:divsChild>
        <w:div w:id="2116244588">
          <w:marLeft w:val="0"/>
          <w:marRight w:val="0"/>
          <w:marTop w:val="0"/>
          <w:marBottom w:val="0"/>
          <w:divBdr>
            <w:top w:val="none" w:sz="0" w:space="0" w:color="auto"/>
            <w:left w:val="none" w:sz="0" w:space="0" w:color="auto"/>
            <w:bottom w:val="none" w:sz="0" w:space="0" w:color="auto"/>
            <w:right w:val="none" w:sz="0" w:space="0" w:color="auto"/>
          </w:divBdr>
          <w:divsChild>
            <w:div w:id="296300264">
              <w:marLeft w:val="0"/>
              <w:marRight w:val="0"/>
              <w:marTop w:val="0"/>
              <w:marBottom w:val="0"/>
              <w:divBdr>
                <w:top w:val="none" w:sz="0" w:space="0" w:color="auto"/>
                <w:left w:val="none" w:sz="0" w:space="0" w:color="auto"/>
                <w:bottom w:val="none" w:sz="0" w:space="0" w:color="auto"/>
                <w:right w:val="none" w:sz="0" w:space="0" w:color="auto"/>
              </w:divBdr>
              <w:divsChild>
                <w:div w:id="769738113">
                  <w:marLeft w:val="0"/>
                  <w:marRight w:val="0"/>
                  <w:marTop w:val="0"/>
                  <w:marBottom w:val="0"/>
                  <w:divBdr>
                    <w:top w:val="none" w:sz="0" w:space="0" w:color="auto"/>
                    <w:left w:val="none" w:sz="0" w:space="0" w:color="auto"/>
                    <w:bottom w:val="none" w:sz="0" w:space="0" w:color="auto"/>
                    <w:right w:val="none" w:sz="0" w:space="0" w:color="auto"/>
                  </w:divBdr>
                  <w:divsChild>
                    <w:div w:id="157696109">
                      <w:marLeft w:val="0"/>
                      <w:marRight w:val="0"/>
                      <w:marTop w:val="0"/>
                      <w:marBottom w:val="0"/>
                      <w:divBdr>
                        <w:top w:val="none" w:sz="0" w:space="0" w:color="auto"/>
                        <w:left w:val="none" w:sz="0" w:space="0" w:color="auto"/>
                        <w:bottom w:val="none" w:sz="0" w:space="0" w:color="auto"/>
                        <w:right w:val="none" w:sz="0" w:space="0" w:color="auto"/>
                      </w:divBdr>
                      <w:divsChild>
                        <w:div w:id="2029526502">
                          <w:marLeft w:val="0"/>
                          <w:marRight w:val="0"/>
                          <w:marTop w:val="0"/>
                          <w:marBottom w:val="0"/>
                          <w:divBdr>
                            <w:top w:val="none" w:sz="0" w:space="0" w:color="auto"/>
                            <w:left w:val="none" w:sz="0" w:space="0" w:color="auto"/>
                            <w:bottom w:val="none" w:sz="0" w:space="0" w:color="auto"/>
                            <w:right w:val="none" w:sz="0" w:space="0" w:color="auto"/>
                          </w:divBdr>
                          <w:divsChild>
                            <w:div w:id="153095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54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E4981A-EEB7-417F-91DA-CD38FF96C4CF}">
  <ds:schemaRefs>
    <ds:schemaRef ds:uri="http://schemas.openxmlformats.org/officeDocument/2006/bibliography"/>
  </ds:schemaRefs>
</ds:datastoreItem>
</file>

<file path=customXml/itemProps2.xml><?xml version="1.0" encoding="utf-8"?>
<ds:datastoreItem xmlns:ds="http://schemas.openxmlformats.org/officeDocument/2006/customXml" ds:itemID="{9D292DB4-CA16-493B-937D-520B8BF0416D}"/>
</file>

<file path=customXml/itemProps3.xml><?xml version="1.0" encoding="utf-8"?>
<ds:datastoreItem xmlns:ds="http://schemas.openxmlformats.org/officeDocument/2006/customXml" ds:itemID="{4EB63C0C-E501-4E98-8CE0-FDC3E98AECDA}"/>
</file>

<file path=customXml/itemProps4.xml><?xml version="1.0" encoding="utf-8"?>
<ds:datastoreItem xmlns:ds="http://schemas.openxmlformats.org/officeDocument/2006/customXml" ds:itemID="{0EF0881A-1799-4910-AF98-07F61F71C237}"/>
</file>

<file path=docProps/app.xml><?xml version="1.0" encoding="utf-8"?>
<Properties xmlns="http://schemas.openxmlformats.org/officeDocument/2006/extended-properties" xmlns:vt="http://schemas.openxmlformats.org/officeDocument/2006/docPropsVTypes">
  <Template>Normal.dotm</Template>
  <TotalTime>0</TotalTime>
  <Pages>1</Pages>
  <Words>4512</Words>
  <Characters>25721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30173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2022-03-25T13:54:00Z</dcterms:created>
  <dcterms:modified xsi:type="dcterms:W3CDTF">2022-03-25T13:54:00Z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66/12</vt:lpwstr>
  </property>
  <property fmtid="{D5CDD505-2E9C-101B-9397-08002B2CF9AE}" pid="4" name="CASEID">
    <vt:lpwstr>768707</vt:lpwstr>
  </property>
  <property fmtid="{D5CDD505-2E9C-101B-9397-08002B2CF9AE}" pid="5" name="ContentTypeId">
    <vt:lpwstr>0x010100558EB02BDB9E204AB350EDD385B68E10</vt:lpwstr>
  </property>
</Properties>
</file>