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23EE5" w14:textId="1F6D1CF3" w:rsidR="00713568" w:rsidRPr="004E1F29" w:rsidRDefault="00D203F0" w:rsidP="007D46A6">
      <w:pPr>
        <w:jc w:val="center"/>
        <w:rPr>
          <w:rFonts w:ascii="Times New Roman" w:hAnsi="Times New Roman" w:cs="Times New Roman"/>
          <w:noProof/>
          <w:sz w:val="26"/>
        </w:rPr>
      </w:pPr>
      <w:r w:rsidRPr="004E1F29">
        <w:rPr>
          <w:rFonts w:ascii="Times New Roman" w:hAnsi="Times New Roman" w:cs="Times New Roman"/>
          <w:noProof/>
          <w:sz w:val="26"/>
        </w:rPr>
        <w:t>EUROPEJSKI TRYBUNAŁ PRAW CZŁOWIEKA</w:t>
      </w:r>
    </w:p>
    <w:p w14:paraId="4EA232F2" w14:textId="77777777" w:rsidR="0098410D" w:rsidRPr="007D46A6" w:rsidRDefault="0098410D" w:rsidP="007D46A6">
      <w:pPr>
        <w:jc w:val="center"/>
      </w:pPr>
    </w:p>
    <w:p w14:paraId="3F895F0E" w14:textId="66461ECC" w:rsidR="0098410D" w:rsidRPr="007D46A6" w:rsidRDefault="00713568" w:rsidP="007D46A6">
      <w:pPr>
        <w:pStyle w:val="DecHTitle"/>
      </w:pPr>
      <w:r>
        <w:t>SEKCJA PIERWSZA</w:t>
      </w:r>
    </w:p>
    <w:p w14:paraId="14108091" w14:textId="6384B57A" w:rsidR="008E6217" w:rsidRPr="007D46A6" w:rsidRDefault="008E6217" w:rsidP="007D46A6">
      <w:pPr>
        <w:pStyle w:val="JuTitle"/>
      </w:pPr>
      <w:bookmarkStart w:id="0" w:name="To"/>
      <w:r>
        <w:t xml:space="preserve">SPRAWA </w:t>
      </w:r>
      <w:bookmarkEnd w:id="0"/>
      <w:r>
        <w:t>ŁAKATOSZ przeciwko POLSCE</w:t>
      </w:r>
    </w:p>
    <w:p w14:paraId="58210467" w14:textId="6ABB5FA3" w:rsidR="00D74888" w:rsidRPr="007D46A6" w:rsidRDefault="008E6217" w:rsidP="007D46A6">
      <w:pPr>
        <w:pStyle w:val="ECHRCoverTitle4"/>
      </w:pPr>
      <w:r>
        <w:t>(Skarga nr</w:t>
      </w:r>
      <w:r w:rsidR="00D203F0">
        <w:t xml:space="preserve"> </w:t>
      </w:r>
      <w:r>
        <w:t>27318/19)</w:t>
      </w:r>
    </w:p>
    <w:p w14:paraId="05B2D96F" w14:textId="77777777" w:rsidR="0098410D" w:rsidRPr="007D46A6" w:rsidRDefault="0098410D" w:rsidP="007D46A6">
      <w:pPr>
        <w:pStyle w:val="DecHCase"/>
      </w:pPr>
    </w:p>
    <w:p w14:paraId="394C2E06" w14:textId="77777777" w:rsidR="0098410D" w:rsidRPr="007D46A6" w:rsidRDefault="0098410D" w:rsidP="007D46A6">
      <w:pPr>
        <w:pStyle w:val="DecHCase"/>
      </w:pPr>
    </w:p>
    <w:p w14:paraId="3A8E6696" w14:textId="77777777" w:rsidR="00AC4CD4" w:rsidRPr="007D46A6" w:rsidRDefault="00AC4CD4" w:rsidP="007D46A6">
      <w:pPr>
        <w:pStyle w:val="DecHCase"/>
      </w:pPr>
    </w:p>
    <w:p w14:paraId="04024A22" w14:textId="77777777" w:rsidR="0098410D" w:rsidRPr="007D46A6" w:rsidRDefault="0098410D" w:rsidP="007D46A6">
      <w:pPr>
        <w:pStyle w:val="DecHCase"/>
      </w:pPr>
    </w:p>
    <w:p w14:paraId="4AAF66FF" w14:textId="77777777" w:rsidR="002F7547" w:rsidRPr="007D46A6" w:rsidRDefault="002F7547" w:rsidP="007D46A6">
      <w:pPr>
        <w:pStyle w:val="DecHCase"/>
      </w:pPr>
    </w:p>
    <w:p w14:paraId="4BAF6FE6" w14:textId="77777777" w:rsidR="002F7547" w:rsidRPr="007D46A6" w:rsidRDefault="002F7547" w:rsidP="007D46A6">
      <w:pPr>
        <w:pStyle w:val="DecHCase"/>
      </w:pPr>
    </w:p>
    <w:p w14:paraId="66E2B252" w14:textId="460F1542" w:rsidR="0098410D" w:rsidRPr="007D46A6" w:rsidRDefault="0098410D" w:rsidP="007D46A6">
      <w:pPr>
        <w:pStyle w:val="DecHCase"/>
      </w:pPr>
      <w:r>
        <w:t>WYROK</w:t>
      </w:r>
      <w:r>
        <w:br/>
      </w:r>
    </w:p>
    <w:p w14:paraId="21DFE7EE" w14:textId="77777777" w:rsidR="0098410D" w:rsidRPr="007D46A6" w:rsidRDefault="0098410D" w:rsidP="007D46A6">
      <w:pPr>
        <w:pStyle w:val="DecHCase"/>
      </w:pPr>
      <w:r>
        <w:t>STRASBURG</w:t>
      </w:r>
    </w:p>
    <w:p w14:paraId="25D15DC5" w14:textId="3150E578" w:rsidR="0098410D" w:rsidRPr="007D46A6" w:rsidRDefault="00713568" w:rsidP="007D46A6">
      <w:pPr>
        <w:pStyle w:val="DecHCase"/>
      </w:pPr>
      <w:r>
        <w:rPr>
          <w:rFonts w:ascii="Times New Roman" w:hAnsi="Times New Roman"/>
        </w:rPr>
        <w:t>3 lutego 2022</w:t>
      </w:r>
      <w:r w:rsidR="00D203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</w:p>
    <w:p w14:paraId="6C070CE8" w14:textId="77777777" w:rsidR="00AC4CD4" w:rsidRPr="007D46A6" w:rsidRDefault="00AC4CD4" w:rsidP="007D46A6">
      <w:pPr>
        <w:pStyle w:val="JuPara"/>
      </w:pPr>
    </w:p>
    <w:p w14:paraId="6586FEEA" w14:textId="7929354D" w:rsidR="002422B6" w:rsidRPr="007D46A6" w:rsidRDefault="0098410D" w:rsidP="007D46A6">
      <w:pPr>
        <w:rPr>
          <w:i/>
          <w:sz w:val="22"/>
        </w:rPr>
      </w:pPr>
      <w:r>
        <w:rPr>
          <w:i/>
          <w:sz w:val="22"/>
        </w:rPr>
        <w:t xml:space="preserve">Niniejszy wyrok jest ostateczny, ale może podlegać korekcie </w:t>
      </w:r>
      <w:r w:rsidR="008421F5">
        <w:rPr>
          <w:i/>
          <w:sz w:val="22"/>
        </w:rPr>
        <w:t>wydawniczej</w:t>
      </w:r>
      <w:r>
        <w:rPr>
          <w:i/>
          <w:sz w:val="22"/>
        </w:rPr>
        <w:t>.</w:t>
      </w:r>
    </w:p>
    <w:p w14:paraId="06EE40BC" w14:textId="77777777" w:rsidR="0098410D" w:rsidRPr="007D46A6" w:rsidRDefault="0098410D" w:rsidP="007D46A6">
      <w:pPr>
        <w:sectPr w:rsidR="0098410D" w:rsidRPr="007D46A6" w:rsidSect="00D6647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7D362B15" w14:textId="01E29C79" w:rsidR="0098410D" w:rsidRPr="007D46A6" w:rsidRDefault="0098410D" w:rsidP="007D46A6">
      <w:pPr>
        <w:pStyle w:val="JuCase"/>
      </w:pPr>
      <w:r>
        <w:lastRenderedPageBreak/>
        <w:t>W sprawie Łakatosz przeciwko Polsce</w:t>
      </w:r>
    </w:p>
    <w:p w14:paraId="221FCD13" w14:textId="176C7AAE" w:rsidR="009F4C8F" w:rsidRPr="007D46A6" w:rsidRDefault="009F4C8F" w:rsidP="007D46A6">
      <w:pPr>
        <w:pStyle w:val="JuPara"/>
      </w:pPr>
      <w:r>
        <w:t>Europejski Trybunał Praw Człowieka (</w:t>
      </w:r>
      <w:r w:rsidR="00D203F0">
        <w:t>Sekcja Pierwsza</w:t>
      </w:r>
      <w:r>
        <w:t>), zasiadając jako komitet w składzie:</w:t>
      </w:r>
    </w:p>
    <w:p w14:paraId="390B22E7" w14:textId="3B648507" w:rsidR="009F4C8F" w:rsidRPr="007D46A6" w:rsidRDefault="00497905" w:rsidP="007D46A6">
      <w:pPr>
        <w:pStyle w:val="JuJudges"/>
      </w:pPr>
      <w:r>
        <w:tab/>
        <w:t>Péter Paczolay</w:t>
      </w:r>
      <w:r>
        <w:rPr>
          <w:i/>
        </w:rPr>
        <w:t xml:space="preserve">, </w:t>
      </w:r>
      <w:r w:rsidR="00534A10">
        <w:rPr>
          <w:i/>
        </w:rPr>
        <w:t>P</w:t>
      </w:r>
      <w:r>
        <w:rPr>
          <w:i/>
        </w:rPr>
        <w:t>rzewodniczący</w:t>
      </w:r>
      <w:r>
        <w:rPr>
          <w:i/>
          <w:iCs/>
        </w:rPr>
        <w:t>,</w:t>
      </w:r>
      <w:r>
        <w:rPr>
          <w:i/>
        </w:rPr>
        <w:br/>
      </w:r>
      <w:r>
        <w:tab/>
        <w:t>Alena Poláčková,</w:t>
      </w:r>
      <w:r>
        <w:rPr>
          <w:i/>
        </w:rPr>
        <w:br/>
      </w:r>
      <w:r>
        <w:tab/>
        <w:t>Davor Derenčinović,</w:t>
      </w:r>
      <w:r>
        <w:rPr>
          <w:i/>
        </w:rPr>
        <w:t xml:space="preserve"> sędziowie</w:t>
      </w:r>
      <w:r>
        <w:rPr>
          <w:i/>
          <w:iCs/>
        </w:rPr>
        <w:t>,</w:t>
      </w:r>
      <w:r>
        <w:br/>
        <w:t xml:space="preserve">oraz Liv Tigerstedt, </w:t>
      </w:r>
      <w:r w:rsidR="00534A10">
        <w:rPr>
          <w:i/>
        </w:rPr>
        <w:t>Z</w:t>
      </w:r>
      <w:r>
        <w:rPr>
          <w:i/>
        </w:rPr>
        <w:t xml:space="preserve">astępca </w:t>
      </w:r>
      <w:r w:rsidR="00534A10">
        <w:rPr>
          <w:i/>
        </w:rPr>
        <w:t>K</w:t>
      </w:r>
      <w:r>
        <w:rPr>
          <w:i/>
        </w:rPr>
        <w:t xml:space="preserve">anclerza </w:t>
      </w:r>
      <w:r w:rsidR="00534A10">
        <w:rPr>
          <w:i/>
        </w:rPr>
        <w:t>S</w:t>
      </w:r>
      <w:r>
        <w:rPr>
          <w:i/>
        </w:rPr>
        <w:t>ekcji</w:t>
      </w:r>
      <w:r>
        <w:t>,</w:t>
      </w:r>
    </w:p>
    <w:p w14:paraId="7B46B8F4" w14:textId="1B44D5B0" w:rsidR="00713568" w:rsidRPr="007D46A6" w:rsidRDefault="00713568" w:rsidP="007D46A6">
      <w:pPr>
        <w:pStyle w:val="JuPara"/>
      </w:pPr>
      <w:r>
        <w:t>mając na uwadze</w:t>
      </w:r>
      <w:r w:rsidR="00534A10">
        <w:t>:</w:t>
      </w:r>
    </w:p>
    <w:p w14:paraId="63325BF4" w14:textId="6F49EB08" w:rsidR="00713568" w:rsidRPr="007D46A6" w:rsidRDefault="00713568" w:rsidP="007D46A6">
      <w:pPr>
        <w:pStyle w:val="JuPara"/>
      </w:pPr>
      <w:r>
        <w:t>skargę (nr</w:t>
      </w:r>
      <w:r w:rsidR="00D203F0">
        <w:t xml:space="preserve"> </w:t>
      </w:r>
      <w:r>
        <w:t>27318/19) przeciwko Rzeczypospolitej Polskiej wniesioną do</w:t>
      </w:r>
      <w:r w:rsidR="004E1F29">
        <w:t> </w:t>
      </w:r>
      <w:r>
        <w:t xml:space="preserve">Trybunału </w:t>
      </w:r>
      <w:r w:rsidR="009731D6">
        <w:t>na podstawie art.</w:t>
      </w:r>
      <w:r w:rsidR="00D203F0">
        <w:t xml:space="preserve"> </w:t>
      </w:r>
      <w:r w:rsidR="009731D6">
        <w:t>34 Konwencji o</w:t>
      </w:r>
      <w:r w:rsidR="00D203F0">
        <w:t xml:space="preserve"> </w:t>
      </w:r>
      <w:r w:rsidR="009731D6">
        <w:t>ochronie praw człowieka i</w:t>
      </w:r>
      <w:r w:rsidR="004E1F29">
        <w:t> </w:t>
      </w:r>
      <w:r w:rsidR="009731D6">
        <w:t xml:space="preserve">podstawowych wolności („Konwencja”) </w:t>
      </w:r>
      <w:r>
        <w:t>w dniu 10 maja 2019</w:t>
      </w:r>
      <w:r w:rsidR="00D203F0">
        <w:t xml:space="preserve"> </w:t>
      </w:r>
      <w:r>
        <w:t>r. przez obywatela polskiego Arkadiusza Łakatosza, urodzonego w 1968</w:t>
      </w:r>
      <w:r w:rsidR="00D203F0">
        <w:t xml:space="preserve"> </w:t>
      </w:r>
      <w:r>
        <w:t>r. i</w:t>
      </w:r>
      <w:r w:rsidR="004E1F29">
        <w:t> </w:t>
      </w:r>
      <w:r w:rsidR="009731D6" w:rsidRPr="00CE46A3">
        <w:t>osadzonego</w:t>
      </w:r>
      <w:r>
        <w:t xml:space="preserve"> w Poznaniu („skarżący”), reprezentowanego przez P.</w:t>
      </w:r>
      <w:r w:rsidR="004E1F29">
        <w:t> </w:t>
      </w:r>
      <w:r>
        <w:t>Sołtysiaka, prawnika praktykującego w Poznaniu;</w:t>
      </w:r>
    </w:p>
    <w:p w14:paraId="1DFE8E76" w14:textId="668C9D8A" w:rsidR="00713568" w:rsidRPr="007D46A6" w:rsidRDefault="00713568" w:rsidP="007D46A6">
      <w:pPr>
        <w:pStyle w:val="JuPara"/>
      </w:pPr>
      <w:r>
        <w:t xml:space="preserve">decyzję o zakomunikowaniu Rządowi </w:t>
      </w:r>
      <w:r w:rsidR="00534A10">
        <w:t xml:space="preserve">RP </w:t>
      </w:r>
      <w:r>
        <w:t xml:space="preserve">(„Rząd”), reprezentowanemu przez swojego pełnomocnika J. Sobczaka z Ministerstwa Spraw Zagranicznych, </w:t>
      </w:r>
      <w:r w:rsidR="00CE46A3">
        <w:t xml:space="preserve">zarzutów </w:t>
      </w:r>
      <w:r>
        <w:t>dotyczących art.</w:t>
      </w:r>
      <w:r w:rsidR="00D203F0">
        <w:t xml:space="preserve"> </w:t>
      </w:r>
      <w:r>
        <w:t>5 ust.</w:t>
      </w:r>
      <w:r w:rsidR="00D203F0">
        <w:t xml:space="preserve"> </w:t>
      </w:r>
      <w:r>
        <w:t>3 i</w:t>
      </w:r>
      <w:r w:rsidR="00D203F0">
        <w:t xml:space="preserve"> </w:t>
      </w:r>
      <w:r>
        <w:t>4 Konwencji, oraz o</w:t>
      </w:r>
      <w:r w:rsidR="004E1F29">
        <w:t> </w:t>
      </w:r>
      <w:r>
        <w:t>uznaniu za niedopuszczalną pozostałej części skargi;</w:t>
      </w:r>
    </w:p>
    <w:p w14:paraId="49AC1125" w14:textId="787FD279" w:rsidR="00713568" w:rsidRPr="007D46A6" w:rsidRDefault="00713568" w:rsidP="007D46A6">
      <w:pPr>
        <w:pStyle w:val="JuPara"/>
      </w:pPr>
      <w:r>
        <w:t>uwagi przedstawione przez strony;</w:t>
      </w:r>
    </w:p>
    <w:p w14:paraId="691A8ED5" w14:textId="3B84AE1F" w:rsidR="009F4C8F" w:rsidRPr="007D46A6" w:rsidRDefault="009F4C8F" w:rsidP="007D46A6">
      <w:pPr>
        <w:pStyle w:val="JuPara"/>
      </w:pPr>
      <w:r>
        <w:t>obradując na posiedzeniu niejawnym w dniu 11 stycznia 2022</w:t>
      </w:r>
      <w:r w:rsidR="00D203F0">
        <w:t xml:space="preserve"> </w:t>
      </w:r>
      <w:r>
        <w:t>r.,</w:t>
      </w:r>
    </w:p>
    <w:p w14:paraId="3AE66BC7" w14:textId="77777777" w:rsidR="009F4C8F" w:rsidRPr="007D46A6" w:rsidRDefault="009F4C8F" w:rsidP="007D46A6">
      <w:pPr>
        <w:pStyle w:val="JuPara"/>
      </w:pPr>
      <w:r>
        <w:t>wydaje następujący wyrok, który został przyjęty w tym dniu:</w:t>
      </w:r>
    </w:p>
    <w:p w14:paraId="7F9BEDAD" w14:textId="5891EC9D" w:rsidR="00713568" w:rsidRPr="007D46A6" w:rsidRDefault="000B162C" w:rsidP="007D46A6">
      <w:pPr>
        <w:pStyle w:val="JuHHead"/>
        <w:numPr>
          <w:ilvl w:val="0"/>
          <w:numId w:val="0"/>
        </w:numPr>
      </w:pPr>
      <w:r>
        <w:t xml:space="preserve">OKOLICZNOŚCI </w:t>
      </w:r>
      <w:r w:rsidR="00713568">
        <w:t>SPRAWY</w:t>
      </w:r>
    </w:p>
    <w:p w14:paraId="1BFA0082" w14:textId="3D37777D" w:rsidR="00713568" w:rsidRPr="007D46A6" w:rsidRDefault="009731D6" w:rsidP="007D46A6">
      <w:pPr>
        <w:pStyle w:val="JuPara"/>
      </w:pPr>
      <w:r>
        <w:rPr>
          <w:noProof/>
        </w:rPr>
        <w:t>1</w:t>
      </w:r>
      <w:r w:rsidR="00713568">
        <w:t>.</w:t>
      </w:r>
      <w:r w:rsidR="00CD0C01">
        <w:t xml:space="preserve"> </w:t>
      </w:r>
      <w:bookmarkStart w:id="1" w:name="_Hlk86049361"/>
      <w:r w:rsidR="00713568">
        <w:t>Skarżący został tymczasowo aresztowany w toku śledztwa dotyczącego zakrojonych na dużą skalę oszustw na terytorium czterech różnych państw europejskich. Początkowo śledztwo dotyczyło jedenastu podejrzanych. W</w:t>
      </w:r>
      <w:r w:rsidR="004E1F29">
        <w:t> </w:t>
      </w:r>
      <w:r w:rsidR="00713568">
        <w:t>dniu 4 kwietnia 2016</w:t>
      </w:r>
      <w:r w:rsidR="00D203F0">
        <w:t xml:space="preserve"> </w:t>
      </w:r>
      <w:r w:rsidR="00713568">
        <w:t xml:space="preserve">r. </w:t>
      </w:r>
      <w:r w:rsidR="00CE46A3">
        <w:t xml:space="preserve">skarżącego </w:t>
      </w:r>
      <w:r w:rsidR="00713568">
        <w:t xml:space="preserve">oskarżono o popełnienie trzech przestępstw dotyczących oszustwa. Rzekomo działał </w:t>
      </w:r>
      <w:r w:rsidR="00CE46A3">
        <w:t xml:space="preserve">w ramach </w:t>
      </w:r>
      <w:r w:rsidR="00713568">
        <w:t>zorganizowanej grup</w:t>
      </w:r>
      <w:r w:rsidR="00CE46A3">
        <w:t>y</w:t>
      </w:r>
      <w:r w:rsidR="00713568">
        <w:t xml:space="preserve"> przestępczej. Następnie kilkukrotnie zmieniano postawione mu zarzuty. Ostateczny akt oskarżenia dotyczył dziewięciu zarzutów oszustwa.</w:t>
      </w:r>
      <w:r w:rsidR="00713568">
        <w:rPr>
          <w:rStyle w:val="JuParaChar"/>
        </w:rPr>
        <w:t xml:space="preserve"> Akta sprawy liczyły w końcu 236 tomów. Śledztwo wymagało współpracy czterech różnych jurysdykcji i opracowania licznych</w:t>
      </w:r>
      <w:r w:rsidR="00CE46A3">
        <w:rPr>
          <w:rStyle w:val="JuParaChar"/>
        </w:rPr>
        <w:t xml:space="preserve"> </w:t>
      </w:r>
      <w:r w:rsidR="00713568">
        <w:rPr>
          <w:rStyle w:val="JuParaChar"/>
        </w:rPr>
        <w:t>tłumaczeń wielojęzycznych (pierwotnie dowody sporządzono w języku niemieckim, polskim lub romskim).</w:t>
      </w:r>
    </w:p>
    <w:p w14:paraId="60F23C0A" w14:textId="43E31F17" w:rsidR="00713568" w:rsidRPr="007D46A6" w:rsidRDefault="009731D6" w:rsidP="007D46A6">
      <w:pPr>
        <w:pStyle w:val="JuPara"/>
      </w:pPr>
      <w:bookmarkStart w:id="2" w:name="det_beg"/>
      <w:r>
        <w:rPr>
          <w:noProof/>
        </w:rPr>
        <w:t>2</w:t>
      </w:r>
      <w:bookmarkEnd w:id="2"/>
      <w:r w:rsidR="00713568">
        <w:t>.</w:t>
      </w:r>
      <w:r w:rsidR="00CD0C01">
        <w:t xml:space="preserve"> </w:t>
      </w:r>
      <w:r w:rsidR="00713568">
        <w:t>W dniu 5 lutego 2017</w:t>
      </w:r>
      <w:r w:rsidR="00D203F0">
        <w:t xml:space="preserve"> </w:t>
      </w:r>
      <w:r w:rsidR="00713568">
        <w:t>r. sąd krajowy ustanowił poręczenie majątkowe w wysokości 300</w:t>
      </w:r>
      <w:r w:rsidR="00D203F0">
        <w:t xml:space="preserve"> </w:t>
      </w:r>
      <w:r w:rsidR="00713568">
        <w:t>000 polskich złotych (PLN) (około 75</w:t>
      </w:r>
      <w:r w:rsidR="00D203F0">
        <w:t xml:space="preserve"> </w:t>
      </w:r>
      <w:r w:rsidR="00713568">
        <w:t>000 euro (EUR)). W</w:t>
      </w:r>
      <w:r w:rsidR="004E1F29">
        <w:t> </w:t>
      </w:r>
      <w:r w:rsidR="00713568">
        <w:t>dniu 16 lutego 2017</w:t>
      </w:r>
      <w:r w:rsidR="00D203F0">
        <w:t xml:space="preserve"> </w:t>
      </w:r>
      <w:r w:rsidR="00713568">
        <w:t>r. sąd drugiej instancji zmienił postanowienie i</w:t>
      </w:r>
      <w:r w:rsidR="004E1F29">
        <w:t> </w:t>
      </w:r>
      <w:r w:rsidR="00713568">
        <w:t xml:space="preserve">zastosował wobec skarżącego środek tymczasowego aresztowania na okres trzech miesięcy, licząc od dnia zatrzymania. </w:t>
      </w:r>
      <w:r w:rsidR="00182555">
        <w:t xml:space="preserve">Skarżący </w:t>
      </w:r>
      <w:r w:rsidR="00713568">
        <w:t>ukrył się. Został zatrzymany w dniu 16 marca 2017</w:t>
      </w:r>
      <w:r w:rsidR="00D203F0">
        <w:t xml:space="preserve"> </w:t>
      </w:r>
      <w:r w:rsidR="00713568">
        <w:t>r. W dniu 27 marca 2017</w:t>
      </w:r>
      <w:r w:rsidR="00D203F0">
        <w:t xml:space="preserve"> </w:t>
      </w:r>
      <w:r w:rsidR="00713568">
        <w:t>r. Sąd Rejonowy dla Warszawy-Mokotowa utrzymał tymczasowe aresztowanie skarżącego w</w:t>
      </w:r>
      <w:r w:rsidR="004E1F29">
        <w:t> </w:t>
      </w:r>
      <w:r w:rsidR="00713568">
        <w:t>mocy.</w:t>
      </w:r>
    </w:p>
    <w:p w14:paraId="47F62A0B" w14:textId="3A5CEE05" w:rsidR="00713568" w:rsidRPr="007D46A6" w:rsidRDefault="009731D6" w:rsidP="007D46A6">
      <w:pPr>
        <w:pStyle w:val="JuPara"/>
        <w:rPr>
          <w:color w:val="000000"/>
        </w:rPr>
      </w:pPr>
      <w:bookmarkStart w:id="3" w:name="remittal"/>
      <w:r>
        <w:rPr>
          <w:noProof/>
          <w:color w:val="000000"/>
        </w:rPr>
        <w:lastRenderedPageBreak/>
        <w:t>3</w:t>
      </w:r>
      <w:bookmarkEnd w:id="3"/>
      <w:r w:rsidR="00713568">
        <w:rPr>
          <w:color w:val="000000"/>
        </w:rPr>
        <w:t>.</w:t>
      </w:r>
      <w:r w:rsidR="00CD0C01">
        <w:rPr>
          <w:color w:val="000000"/>
        </w:rPr>
        <w:t xml:space="preserve"> </w:t>
      </w:r>
      <w:r w:rsidR="00713568">
        <w:rPr>
          <w:color w:val="000000"/>
        </w:rPr>
        <w:t>Akt oskarżenia przeciwko skarżącemu wniesiono do sądu w dniu 27</w:t>
      </w:r>
      <w:r w:rsidR="004E1F29">
        <w:rPr>
          <w:color w:val="000000"/>
        </w:rPr>
        <w:t> </w:t>
      </w:r>
      <w:r w:rsidR="00713568">
        <w:rPr>
          <w:color w:val="000000"/>
        </w:rPr>
        <w:t xml:space="preserve">sierpnia </w:t>
      </w:r>
      <w:r w:rsidR="00713568" w:rsidRPr="00963492">
        <w:t>2018</w:t>
      </w:r>
      <w:r w:rsidR="00D203F0">
        <w:t xml:space="preserve"> </w:t>
      </w:r>
      <w:r w:rsidR="00713568" w:rsidRPr="00963492">
        <w:t>r</w:t>
      </w:r>
      <w:r w:rsidR="00713568">
        <w:rPr>
          <w:color w:val="000000"/>
        </w:rPr>
        <w:t>. W dniu 18 września 2018</w:t>
      </w:r>
      <w:r w:rsidR="00D203F0">
        <w:rPr>
          <w:color w:val="000000"/>
        </w:rPr>
        <w:t xml:space="preserve"> </w:t>
      </w:r>
      <w:r w:rsidR="00713568">
        <w:rPr>
          <w:color w:val="000000"/>
        </w:rPr>
        <w:t>r. zwrócono go prokuratorowi z</w:t>
      </w:r>
      <w:r w:rsidR="00D203F0">
        <w:rPr>
          <w:color w:val="000000"/>
        </w:rPr>
        <w:t xml:space="preserve"> </w:t>
      </w:r>
      <w:r w:rsidR="00713568">
        <w:rPr>
          <w:color w:val="000000"/>
        </w:rPr>
        <w:t>uwagi na brak różnych dokument</w:t>
      </w:r>
      <w:r w:rsidR="00CE46A3">
        <w:rPr>
          <w:color w:val="000000"/>
        </w:rPr>
        <w:t>ów</w:t>
      </w:r>
      <w:r w:rsidR="00713568">
        <w:rPr>
          <w:color w:val="000000"/>
        </w:rPr>
        <w:t xml:space="preserve"> niezbędnych do rozpoznania sprawy. W dniu 18 grudnia 2018</w:t>
      </w:r>
      <w:r w:rsidR="00D203F0">
        <w:rPr>
          <w:color w:val="000000"/>
        </w:rPr>
        <w:t xml:space="preserve"> </w:t>
      </w:r>
      <w:r w:rsidR="00713568">
        <w:rPr>
          <w:color w:val="000000"/>
        </w:rPr>
        <w:t xml:space="preserve">r. Sąd Apelacyjny w Warszawie </w:t>
      </w:r>
      <w:r w:rsidR="00047B5D">
        <w:rPr>
          <w:color w:val="000000"/>
        </w:rPr>
        <w:t>u</w:t>
      </w:r>
      <w:r w:rsidR="00713568">
        <w:rPr>
          <w:color w:val="000000"/>
        </w:rPr>
        <w:t>trzyma</w:t>
      </w:r>
      <w:r w:rsidR="00BC706B">
        <w:rPr>
          <w:color w:val="000000"/>
        </w:rPr>
        <w:t>ł</w:t>
      </w:r>
      <w:r w:rsidR="00047B5D">
        <w:rPr>
          <w:color w:val="000000"/>
        </w:rPr>
        <w:t xml:space="preserve"> w mocy</w:t>
      </w:r>
      <w:r w:rsidR="00CD0C01">
        <w:rPr>
          <w:color w:val="000000"/>
        </w:rPr>
        <w:t xml:space="preserve"> </w:t>
      </w:r>
      <w:r w:rsidR="00BC706B">
        <w:rPr>
          <w:color w:val="000000"/>
        </w:rPr>
        <w:t>to</w:t>
      </w:r>
      <w:r w:rsidR="00D203F0">
        <w:rPr>
          <w:color w:val="000000"/>
        </w:rPr>
        <w:t xml:space="preserve"> </w:t>
      </w:r>
      <w:r w:rsidR="00BC706B">
        <w:rPr>
          <w:color w:val="000000"/>
        </w:rPr>
        <w:t>postanowienie</w:t>
      </w:r>
      <w:r w:rsidR="00713568">
        <w:rPr>
          <w:color w:val="000000"/>
        </w:rPr>
        <w:t>. Nowy akt oskarżenia wniesiono do właściwego sądu krajowego w dniu 19 listopada 2019</w:t>
      </w:r>
      <w:r w:rsidR="00D203F0">
        <w:rPr>
          <w:color w:val="000000"/>
        </w:rPr>
        <w:t xml:space="preserve"> </w:t>
      </w:r>
      <w:r w:rsidR="00713568">
        <w:rPr>
          <w:color w:val="000000"/>
        </w:rPr>
        <w:t>r.</w:t>
      </w:r>
    </w:p>
    <w:p w14:paraId="49B7BCBD" w14:textId="39115553" w:rsidR="00713568" w:rsidRPr="007D46A6" w:rsidRDefault="009731D6" w:rsidP="007D46A6">
      <w:pPr>
        <w:pStyle w:val="JuPara"/>
        <w:rPr>
          <w:color w:val="000000"/>
        </w:rPr>
      </w:pPr>
      <w:bookmarkStart w:id="4" w:name="det_end"/>
      <w:r>
        <w:rPr>
          <w:noProof/>
          <w:color w:val="000000"/>
        </w:rPr>
        <w:t>4</w:t>
      </w:r>
      <w:bookmarkEnd w:id="4"/>
      <w:r w:rsidR="00713568">
        <w:rPr>
          <w:color w:val="000000"/>
        </w:rPr>
        <w:t>.</w:t>
      </w:r>
      <w:r w:rsidR="00CD0C01">
        <w:rPr>
          <w:color w:val="000000"/>
        </w:rPr>
        <w:t xml:space="preserve"> </w:t>
      </w:r>
      <w:r w:rsidR="00713568">
        <w:rPr>
          <w:color w:val="000000"/>
        </w:rPr>
        <w:t>W dniu 3 września 2019</w:t>
      </w:r>
      <w:r w:rsidR="00D203F0">
        <w:rPr>
          <w:color w:val="000000"/>
        </w:rPr>
        <w:t xml:space="preserve"> </w:t>
      </w:r>
      <w:r w:rsidR="00713568" w:rsidRPr="00F47928">
        <w:rPr>
          <w:color w:val="000000"/>
        </w:rPr>
        <w:t xml:space="preserve">r. w </w:t>
      </w:r>
      <w:r w:rsidR="00D203F0" w:rsidRPr="00F47928">
        <w:rPr>
          <w:color w:val="000000"/>
        </w:rPr>
        <w:t xml:space="preserve">innym </w:t>
      </w:r>
      <w:r w:rsidR="00713568" w:rsidRPr="00F47928">
        <w:rPr>
          <w:color w:val="000000"/>
        </w:rPr>
        <w:t>postępowaniu</w:t>
      </w:r>
      <w:r w:rsidR="0060044C">
        <w:rPr>
          <w:color w:val="000000"/>
        </w:rPr>
        <w:t xml:space="preserve"> </w:t>
      </w:r>
      <w:r w:rsidR="00713568">
        <w:rPr>
          <w:color w:val="000000"/>
        </w:rPr>
        <w:t>Sąd Okręgowy w</w:t>
      </w:r>
      <w:r w:rsidR="004E1F29">
        <w:rPr>
          <w:color w:val="000000"/>
        </w:rPr>
        <w:t> </w:t>
      </w:r>
      <w:r w:rsidR="00713568">
        <w:rPr>
          <w:color w:val="000000"/>
        </w:rPr>
        <w:t>Poznaniu skazał skarżącego i wymierzył mu karę siedmiu lat pozbawienia wolności.</w:t>
      </w:r>
    </w:p>
    <w:p w14:paraId="28D08936" w14:textId="39B7A265" w:rsidR="00713568" w:rsidRPr="007D46A6" w:rsidRDefault="009731D6" w:rsidP="007D46A6">
      <w:pPr>
        <w:pStyle w:val="JuPara"/>
        <w:rPr>
          <w:color w:val="000000"/>
        </w:rPr>
      </w:pPr>
      <w:r>
        <w:rPr>
          <w:noProof/>
          <w:color w:val="000000"/>
        </w:rPr>
        <w:t>5</w:t>
      </w:r>
      <w:r w:rsidR="00713568">
        <w:rPr>
          <w:color w:val="000000"/>
        </w:rPr>
        <w:t>.</w:t>
      </w:r>
      <w:r w:rsidR="00CD0C01">
        <w:rPr>
          <w:color w:val="000000"/>
        </w:rPr>
        <w:t xml:space="preserve"> </w:t>
      </w:r>
      <w:r w:rsidR="00713568">
        <w:rPr>
          <w:color w:val="000000"/>
        </w:rPr>
        <w:t>W trakcie postępowania opisanego w paragrafach 2-3 powyżej systematycznie przedłużano</w:t>
      </w:r>
      <w:r w:rsidR="005A3E1A">
        <w:rPr>
          <w:color w:val="000000"/>
        </w:rPr>
        <w:t xml:space="preserve"> okres</w:t>
      </w:r>
      <w:r w:rsidR="00713568">
        <w:rPr>
          <w:color w:val="000000"/>
        </w:rPr>
        <w:t xml:space="preserve"> tymczasowe</w:t>
      </w:r>
      <w:r w:rsidR="005A3E1A">
        <w:rPr>
          <w:color w:val="000000"/>
        </w:rPr>
        <w:t>go</w:t>
      </w:r>
      <w:r w:rsidR="00713568">
        <w:rPr>
          <w:color w:val="000000"/>
        </w:rPr>
        <w:t xml:space="preserve"> aresztowani</w:t>
      </w:r>
      <w:r w:rsidR="005A3E1A">
        <w:rPr>
          <w:color w:val="000000"/>
        </w:rPr>
        <w:t>a</w:t>
      </w:r>
      <w:r w:rsidR="00713568">
        <w:rPr>
          <w:color w:val="000000"/>
        </w:rPr>
        <w:t xml:space="preserve"> skarżącego. </w:t>
      </w:r>
      <w:r w:rsidR="00713568">
        <w:t>Sądy krajowe powoływały się na surowość kary, jaka groziła skarżącemu, ryzyko ucieczki, ryzyko zakłócenia prawidłowego przebiegu postępowania oraz na skomplikowany, międzynarodowy charakter sprawy</w:t>
      </w:r>
      <w:r w:rsidR="00713568">
        <w:rPr>
          <w:color w:val="000000"/>
        </w:rPr>
        <w:t xml:space="preserve">. Skarżący bezskutecznie odwoływał się od wszystkich </w:t>
      </w:r>
      <w:r w:rsidR="005A3E1A">
        <w:rPr>
          <w:color w:val="000000"/>
        </w:rPr>
        <w:t>postanowień</w:t>
      </w:r>
      <w:r w:rsidR="00713568">
        <w:rPr>
          <w:color w:val="000000"/>
        </w:rPr>
        <w:t xml:space="preserve"> przedłużających aresztowanie. </w:t>
      </w:r>
      <w:r w:rsidR="00713568">
        <w:t>Podnosił, iż sądy krajowe opierały się na dowodach (przechwyconych rozmowach telefonicznych i tłumaczeniach ich transkryptów), które należ</w:t>
      </w:r>
      <w:r w:rsidR="00544FED">
        <w:t>ało</w:t>
      </w:r>
      <w:r w:rsidR="00713568">
        <w:t xml:space="preserve"> odrzucić z</w:t>
      </w:r>
      <w:r w:rsidR="005A3E1A">
        <w:t xml:space="preserve">e względu </w:t>
      </w:r>
      <w:r w:rsidR="00713568">
        <w:t xml:space="preserve">na to, że </w:t>
      </w:r>
      <w:r w:rsidR="005A3E1A">
        <w:t>uzyskano je</w:t>
      </w:r>
      <w:r w:rsidR="004E1F29">
        <w:t> </w:t>
      </w:r>
      <w:r w:rsidR="00713568">
        <w:t>niezgodnie z obowiązującymi procedurami. Sądy uznały, że uzasadnione podejrzenie wobec skarżącego opierało się na szeregu dowodów (w tym</w:t>
      </w:r>
      <w:r w:rsidR="005A3E1A">
        <w:t xml:space="preserve"> na</w:t>
      </w:r>
      <w:r w:rsidR="004E1F29">
        <w:t> </w:t>
      </w:r>
      <w:r w:rsidR="00713568">
        <w:t xml:space="preserve">zeznaniach skarżącego), a nie tylko </w:t>
      </w:r>
      <w:r w:rsidR="005A3E1A">
        <w:t>na tych dowodach</w:t>
      </w:r>
      <w:r w:rsidR="00713568">
        <w:t xml:space="preserve">, które </w:t>
      </w:r>
      <w:r w:rsidR="005A3E1A">
        <w:t>obrona kwestionowała</w:t>
      </w:r>
      <w:r w:rsidR="00713568">
        <w:t xml:space="preserve"> ze względów formalnych.</w:t>
      </w:r>
    </w:p>
    <w:p w14:paraId="632C9B55" w14:textId="23333152" w:rsidR="00713568" w:rsidRPr="007D46A6" w:rsidRDefault="009731D6" w:rsidP="007D46A6">
      <w:pPr>
        <w:pStyle w:val="JuPara"/>
        <w:rPr>
          <w:color w:val="000000"/>
        </w:rPr>
      </w:pPr>
      <w:bookmarkStart w:id="5" w:name="appeals"/>
      <w:r>
        <w:rPr>
          <w:noProof/>
          <w:color w:val="000000"/>
        </w:rPr>
        <w:t>6</w:t>
      </w:r>
      <w:bookmarkEnd w:id="5"/>
      <w:r w:rsidR="00713568">
        <w:rPr>
          <w:color w:val="000000"/>
        </w:rPr>
        <w:t>.</w:t>
      </w:r>
      <w:r w:rsidR="00CD0C01">
        <w:rPr>
          <w:color w:val="000000"/>
        </w:rPr>
        <w:t xml:space="preserve"> </w:t>
      </w:r>
      <w:r w:rsidR="00713568">
        <w:rPr>
          <w:color w:val="000000"/>
        </w:rPr>
        <w:t>W dniu 9 lipca 2019</w:t>
      </w:r>
      <w:r w:rsidR="00D203F0">
        <w:rPr>
          <w:color w:val="000000"/>
        </w:rPr>
        <w:t xml:space="preserve"> </w:t>
      </w:r>
      <w:r w:rsidR="00713568">
        <w:rPr>
          <w:color w:val="000000"/>
        </w:rPr>
        <w:t>r. skarżący odwołał się od postanowienia przedłużającego z dnia 3 lipca 2019</w:t>
      </w:r>
      <w:r w:rsidR="00D203F0">
        <w:rPr>
          <w:color w:val="000000"/>
        </w:rPr>
        <w:t xml:space="preserve"> </w:t>
      </w:r>
      <w:r w:rsidR="00713568">
        <w:rPr>
          <w:color w:val="000000"/>
        </w:rPr>
        <w:t>r. Odwołał się również od postanowienia wydanego w dniu 1 października 2019</w:t>
      </w:r>
      <w:r w:rsidR="00D203F0">
        <w:rPr>
          <w:color w:val="000000"/>
        </w:rPr>
        <w:t xml:space="preserve"> </w:t>
      </w:r>
      <w:r w:rsidR="00713568">
        <w:rPr>
          <w:color w:val="000000"/>
        </w:rPr>
        <w:t xml:space="preserve">r. Jego </w:t>
      </w:r>
      <w:r w:rsidR="000D7AAB">
        <w:rPr>
          <w:color w:val="000000"/>
        </w:rPr>
        <w:t>zażalenia</w:t>
      </w:r>
      <w:r w:rsidR="00713568">
        <w:rPr>
          <w:color w:val="000000"/>
        </w:rPr>
        <w:t xml:space="preserve"> oddalono odpowiednio w dniach 13 i 27 listopada 2019</w:t>
      </w:r>
      <w:r w:rsidR="00D203F0">
        <w:rPr>
          <w:color w:val="000000"/>
        </w:rPr>
        <w:t xml:space="preserve"> </w:t>
      </w:r>
      <w:r w:rsidR="00713568">
        <w:rPr>
          <w:color w:val="000000"/>
        </w:rPr>
        <w:t>r.</w:t>
      </w:r>
    </w:p>
    <w:p w14:paraId="414FE6FE" w14:textId="7A608125" w:rsidR="00713568" w:rsidRPr="007D46A6" w:rsidRDefault="009731D6" w:rsidP="007D46A6">
      <w:pPr>
        <w:pStyle w:val="JuPara"/>
      </w:pPr>
      <w:r>
        <w:rPr>
          <w:noProof/>
        </w:rPr>
        <w:t>7</w:t>
      </w:r>
      <w:r w:rsidR="005A3E1A">
        <w:rPr>
          <w:noProof/>
        </w:rPr>
        <w:t>.</w:t>
      </w:r>
      <w:r w:rsidR="00CD0C01">
        <w:t xml:space="preserve"> </w:t>
      </w:r>
      <w:r w:rsidR="005A3E1A">
        <w:t>N</w:t>
      </w:r>
      <w:r w:rsidR="00CF3710">
        <w:t>a podstawie art.</w:t>
      </w:r>
      <w:r w:rsidR="00D203F0">
        <w:t xml:space="preserve"> </w:t>
      </w:r>
      <w:r w:rsidR="00CF3710">
        <w:t>5 ust.</w:t>
      </w:r>
      <w:r w:rsidR="00D203F0">
        <w:t xml:space="preserve"> </w:t>
      </w:r>
      <w:r w:rsidR="00CF3710">
        <w:t xml:space="preserve">3 Konwencji </w:t>
      </w:r>
      <w:r w:rsidR="005A3E1A">
        <w:t>skarżący zarzucił nieuzasadnioną długość jego tymczasowego aresztowania, a n</w:t>
      </w:r>
      <w:r w:rsidR="00CF3710">
        <w:t>a podstawie art.</w:t>
      </w:r>
      <w:r w:rsidR="00D203F0">
        <w:t xml:space="preserve"> </w:t>
      </w:r>
      <w:r w:rsidR="00CF3710">
        <w:t>5 ust.</w:t>
      </w:r>
      <w:r w:rsidR="00D203F0">
        <w:t xml:space="preserve"> </w:t>
      </w:r>
      <w:r w:rsidR="00CF3710">
        <w:t>4</w:t>
      </w:r>
      <w:r w:rsidR="005A3E1A">
        <w:t xml:space="preserve">, </w:t>
      </w:r>
      <w:r w:rsidR="00CF3710">
        <w:t>że sądy krajowe nie r</w:t>
      </w:r>
      <w:r w:rsidR="007A6333">
        <w:t xml:space="preserve">ozpatrzyły „bezzwłocznie” jego </w:t>
      </w:r>
      <w:bookmarkStart w:id="6" w:name="_GoBack"/>
      <w:bookmarkEnd w:id="6"/>
      <w:r w:rsidR="007A6333">
        <w:t>zażaleń</w:t>
      </w:r>
      <w:r w:rsidR="005A3E1A">
        <w:t>,</w:t>
      </w:r>
      <w:r w:rsidR="00CF3710">
        <w:t xml:space="preserve"> o których mowa w</w:t>
      </w:r>
      <w:r w:rsidR="004E1F29">
        <w:t> </w:t>
      </w:r>
      <w:r w:rsidR="00CF3710">
        <w:t>paragrafie 6 powyżej.</w:t>
      </w:r>
      <w:bookmarkEnd w:id="1"/>
    </w:p>
    <w:p w14:paraId="315D7351" w14:textId="0405163B" w:rsidR="00713568" w:rsidRPr="007D46A6" w:rsidRDefault="00713568" w:rsidP="007D46A6">
      <w:pPr>
        <w:pStyle w:val="JuHHead"/>
      </w:pPr>
      <w:r>
        <w:t>OCENA TRYBUNAŁU</w:t>
      </w:r>
    </w:p>
    <w:p w14:paraId="691DCA7B" w14:textId="3169D1A6" w:rsidR="00713568" w:rsidRPr="007D46A6" w:rsidRDefault="00713568" w:rsidP="007D46A6">
      <w:pPr>
        <w:pStyle w:val="JuHIRoman"/>
      </w:pPr>
      <w:r>
        <w:t>ZARZUCANE NARUSZENIE ART.</w:t>
      </w:r>
      <w:r w:rsidR="00D203F0">
        <w:t xml:space="preserve"> </w:t>
      </w:r>
      <w:r>
        <w:t>5 UST.</w:t>
      </w:r>
      <w:r w:rsidR="00D203F0">
        <w:t xml:space="preserve"> </w:t>
      </w:r>
      <w:r>
        <w:t>3 KONWENCJI</w:t>
      </w:r>
    </w:p>
    <w:p w14:paraId="36EDCBA4" w14:textId="694CA490" w:rsidR="00713568" w:rsidRPr="007D46A6" w:rsidRDefault="009731D6" w:rsidP="007D46A6">
      <w:pPr>
        <w:pStyle w:val="JuPara"/>
      </w:pPr>
      <w:r>
        <w:rPr>
          <w:noProof/>
        </w:rPr>
        <w:t>8</w:t>
      </w:r>
      <w:r w:rsidR="005A3E1A">
        <w:t>.</w:t>
      </w:r>
      <w:r w:rsidR="00CD0C01">
        <w:t xml:space="preserve"> </w:t>
      </w:r>
      <w:r w:rsidR="00713568">
        <w:t>Skarżący zarzucił</w:t>
      </w:r>
      <w:r w:rsidR="00884FCE">
        <w:t xml:space="preserve"> nieuzasadnioną długość jego tymczasowego aresztowania.</w:t>
      </w:r>
    </w:p>
    <w:p w14:paraId="5BAA2F30" w14:textId="2B4D3127" w:rsidR="00713568" w:rsidRPr="007D46A6" w:rsidRDefault="009731D6" w:rsidP="007D46A6">
      <w:pPr>
        <w:pStyle w:val="JuPara"/>
      </w:pPr>
      <w:r>
        <w:rPr>
          <w:noProof/>
        </w:rPr>
        <w:t>9</w:t>
      </w:r>
      <w:r w:rsidR="005A3E1A">
        <w:rPr>
          <w:noProof/>
        </w:rPr>
        <w:t>.</w:t>
      </w:r>
      <w:r w:rsidR="00CD0C01">
        <w:t xml:space="preserve"> </w:t>
      </w:r>
      <w:r w:rsidR="00CF3710">
        <w:t>Rząd zgłosił zastrzeżenie wstępne dotyczące</w:t>
      </w:r>
      <w:r w:rsidR="00884FCE">
        <w:t xml:space="preserve"> </w:t>
      </w:r>
      <w:r w:rsidR="00CF3710">
        <w:t>niewyczerpania krajowych środków prawnych, jako że skarżący nie odwołał się od</w:t>
      </w:r>
      <w:r w:rsidR="00D203F0">
        <w:t xml:space="preserve"> </w:t>
      </w:r>
      <w:r w:rsidR="00CF3710">
        <w:t>postanowień z dnia 27 listopada 2019</w:t>
      </w:r>
      <w:r w:rsidR="00D203F0">
        <w:t xml:space="preserve"> </w:t>
      </w:r>
      <w:r w:rsidR="00CF3710">
        <w:t xml:space="preserve">r. i </w:t>
      </w:r>
      <w:r w:rsidR="00901D6C">
        <w:t xml:space="preserve">z </w:t>
      </w:r>
      <w:r w:rsidR="003A030D">
        <w:t xml:space="preserve">dnia </w:t>
      </w:r>
      <w:r w:rsidR="00CF3710">
        <w:t>25 lutego 2020</w:t>
      </w:r>
      <w:r w:rsidR="00D203F0">
        <w:t xml:space="preserve"> </w:t>
      </w:r>
      <w:r w:rsidR="00CF3710">
        <w:t xml:space="preserve">r. </w:t>
      </w:r>
      <w:r w:rsidR="00884FCE">
        <w:t xml:space="preserve">przedłużających stosowanie </w:t>
      </w:r>
      <w:r w:rsidR="00CF3710">
        <w:t>tymczasowego aresztowania. Przedmiotowe postanowienia wydano jednak po tym, jak skarżący został „skazany przez właściwy sąd” w rozumieniu art.</w:t>
      </w:r>
      <w:r w:rsidR="004E1F29">
        <w:t> </w:t>
      </w:r>
      <w:r w:rsidR="00CF3710">
        <w:t>5 ust.</w:t>
      </w:r>
      <w:r w:rsidR="00D203F0">
        <w:t xml:space="preserve"> </w:t>
      </w:r>
      <w:r w:rsidR="00CF3710">
        <w:t>1 lit.</w:t>
      </w:r>
      <w:r w:rsidR="00D203F0">
        <w:t xml:space="preserve"> </w:t>
      </w:r>
      <w:r w:rsidR="00CF3710">
        <w:t>a Konwencji (zob. paragraf 12). Wynika z tego,</w:t>
      </w:r>
      <w:r w:rsidR="00884FCE">
        <w:t xml:space="preserve"> że</w:t>
      </w:r>
      <w:r w:rsidR="00CF3710">
        <w:t xml:space="preserve"> należy odrzucić rzeczone zastrzeżenie wstępne.</w:t>
      </w:r>
    </w:p>
    <w:p w14:paraId="2AE131C2" w14:textId="27EED949" w:rsidR="00713568" w:rsidRPr="007D46A6" w:rsidRDefault="009731D6" w:rsidP="007D46A6">
      <w:pPr>
        <w:pStyle w:val="JuPara"/>
      </w:pPr>
      <w:r>
        <w:rPr>
          <w:noProof/>
        </w:rPr>
        <w:lastRenderedPageBreak/>
        <w:t>10</w:t>
      </w:r>
      <w:r w:rsidR="007B4779">
        <w:rPr>
          <w:noProof/>
        </w:rPr>
        <w:t>.</w:t>
      </w:r>
      <w:r w:rsidR="00CD0C01">
        <w:t xml:space="preserve"> </w:t>
      </w:r>
      <w:r w:rsidR="00CF3710">
        <w:t>Rząd podniósł dalej, iż skarga jest w sposób oczywisty</w:t>
      </w:r>
      <w:r w:rsidR="00884FCE">
        <w:t xml:space="preserve"> </w:t>
      </w:r>
      <w:r w:rsidR="00CF3710">
        <w:t>nieuzasadniona w rozumieniu art.</w:t>
      </w:r>
      <w:r w:rsidR="00D203F0">
        <w:t xml:space="preserve"> </w:t>
      </w:r>
      <w:r w:rsidR="00CF3710">
        <w:t>35 ust.</w:t>
      </w:r>
      <w:r w:rsidR="00D203F0">
        <w:t xml:space="preserve"> </w:t>
      </w:r>
      <w:r w:rsidR="00CF3710">
        <w:t>3 lit.</w:t>
      </w:r>
      <w:r w:rsidR="00D203F0">
        <w:t xml:space="preserve"> </w:t>
      </w:r>
      <w:r w:rsidR="00CF3710">
        <w:t>a Konwencji.</w:t>
      </w:r>
    </w:p>
    <w:p w14:paraId="1C3EB9D8" w14:textId="2F8F1E4D" w:rsidR="00713568" w:rsidRPr="007D46A6" w:rsidRDefault="009731D6" w:rsidP="007D46A6">
      <w:pPr>
        <w:pStyle w:val="JuPara"/>
      </w:pPr>
      <w:r>
        <w:rPr>
          <w:noProof/>
        </w:rPr>
        <w:t>11</w:t>
      </w:r>
      <w:r w:rsidR="007B4779">
        <w:t>.</w:t>
      </w:r>
      <w:r w:rsidR="00CD0C01">
        <w:t xml:space="preserve"> </w:t>
      </w:r>
      <w:r w:rsidR="007019E2">
        <w:t>Z</w:t>
      </w:r>
      <w:r w:rsidR="00713568">
        <w:t xml:space="preserve">asady </w:t>
      </w:r>
      <w:r w:rsidR="007019E2">
        <w:t xml:space="preserve">ogólne </w:t>
      </w:r>
      <w:r w:rsidR="00713568">
        <w:t>dotyczące prawa do bycia „sądzonym w rozsądnym terminie” lub zwolnionym na czas postępowania, gwarantowane</w:t>
      </w:r>
      <w:r w:rsidR="007019E2">
        <w:t>go</w:t>
      </w:r>
      <w:r w:rsidR="00713568">
        <w:t xml:space="preserve"> przez art.</w:t>
      </w:r>
      <w:r w:rsidR="00D203F0">
        <w:t xml:space="preserve"> </w:t>
      </w:r>
      <w:r w:rsidR="00713568">
        <w:t>5 ust.</w:t>
      </w:r>
      <w:r w:rsidR="00D203F0">
        <w:t xml:space="preserve"> </w:t>
      </w:r>
      <w:r w:rsidR="00713568">
        <w:t xml:space="preserve">3 Konwencji, zostały podsumowane w sprawie </w:t>
      </w:r>
      <w:r w:rsidR="00713568">
        <w:rPr>
          <w:i/>
          <w:iCs/>
        </w:rPr>
        <w:t>Kudła przeciwko Polsce</w:t>
      </w:r>
      <w:r w:rsidR="00713568">
        <w:t xml:space="preserve"> [WI], skarga nr 30210/96, § 110, ETPC 2000-XI.</w:t>
      </w:r>
    </w:p>
    <w:p w14:paraId="2D6C4932" w14:textId="5B42405F" w:rsidR="00713568" w:rsidRPr="007D46A6" w:rsidRDefault="009731D6" w:rsidP="007D46A6">
      <w:pPr>
        <w:pStyle w:val="JuPara"/>
        <w:rPr>
          <w:rStyle w:val="JuParaChar"/>
        </w:rPr>
      </w:pPr>
      <w:bookmarkStart w:id="7" w:name="period"/>
      <w:r>
        <w:rPr>
          <w:noProof/>
        </w:rPr>
        <w:t>12</w:t>
      </w:r>
      <w:bookmarkEnd w:id="7"/>
      <w:r w:rsidR="00713568">
        <w:t>.</w:t>
      </w:r>
      <w:r w:rsidR="00CD0C01">
        <w:t xml:space="preserve"> </w:t>
      </w:r>
      <w:r w:rsidR="00713568">
        <w:t>Okres tymczasowego aresztowania skarżącego trwał od dnia 16 marca 2017</w:t>
      </w:r>
      <w:r w:rsidR="00D203F0">
        <w:t xml:space="preserve"> </w:t>
      </w:r>
      <w:r w:rsidR="00713568">
        <w:t>r. do dnia</w:t>
      </w:r>
      <w:r w:rsidR="00F0311E">
        <w:t xml:space="preserve"> </w:t>
      </w:r>
      <w:r w:rsidR="00713568">
        <w:rPr>
          <w:rStyle w:val="JuParaChar"/>
        </w:rPr>
        <w:t>3 września 2019</w:t>
      </w:r>
      <w:r w:rsidR="00D203F0">
        <w:rPr>
          <w:rStyle w:val="JuParaChar"/>
        </w:rPr>
        <w:t xml:space="preserve"> </w:t>
      </w:r>
      <w:r w:rsidR="00713568">
        <w:rPr>
          <w:rStyle w:val="JuParaChar"/>
        </w:rPr>
        <w:t>r., kiedy</w:t>
      </w:r>
      <w:r w:rsidR="00F0311E">
        <w:rPr>
          <w:rStyle w:val="JuParaChar"/>
        </w:rPr>
        <w:t xml:space="preserve"> skarżący</w:t>
      </w:r>
      <w:r w:rsidR="00713568">
        <w:rPr>
          <w:rStyle w:val="JuParaChar"/>
        </w:rPr>
        <w:t xml:space="preserve"> został skazany przez Sąd Okręgowy w Poznaniu w</w:t>
      </w:r>
      <w:r w:rsidR="007019E2">
        <w:rPr>
          <w:rStyle w:val="JuParaChar"/>
        </w:rPr>
        <w:t xml:space="preserve"> innym</w:t>
      </w:r>
      <w:r w:rsidR="00713568">
        <w:rPr>
          <w:rStyle w:val="JuParaChar"/>
        </w:rPr>
        <w:t xml:space="preserve"> postępowaniu (zob. paragraf 4 powyżej)</w:t>
      </w:r>
      <w:r w:rsidR="00713568">
        <w:t>.</w:t>
      </w:r>
      <w:r w:rsidR="00713568">
        <w:rPr>
          <w:rStyle w:val="JuParaChar"/>
        </w:rPr>
        <w:t xml:space="preserve"> Wynika z tego, że okres, który należy wziąć pod uwagę, wynosi dwa lata, pięć miesięcy i dziewiętnaście dni.</w:t>
      </w:r>
    </w:p>
    <w:p w14:paraId="2E40BFB5" w14:textId="1D331F11" w:rsidR="00713568" w:rsidRPr="007D46A6" w:rsidRDefault="009731D6" w:rsidP="007D46A6">
      <w:pPr>
        <w:pStyle w:val="JuPara"/>
      </w:pPr>
      <w:r>
        <w:rPr>
          <w:noProof/>
        </w:rPr>
        <w:t>13</w:t>
      </w:r>
      <w:r w:rsidR="007B4779">
        <w:rPr>
          <w:noProof/>
        </w:rPr>
        <w:t>.</w:t>
      </w:r>
      <w:r w:rsidR="00CD0C01">
        <w:t xml:space="preserve"> </w:t>
      </w:r>
      <w:r w:rsidR="00CF3710">
        <w:t>Podejrzenie, że skarżący dopuścił się oszustwa na szeroką skalę</w:t>
      </w:r>
      <w:r w:rsidR="00BB7C7E">
        <w:t>,</w:t>
      </w:r>
      <w:r w:rsidR="00CF3710">
        <w:t xml:space="preserve"> zostało poparte dowodami, na które powołały się sądy krajowe (w tym dowodami, których skarżący nie kwestionował ze względów formalnych) i</w:t>
      </w:r>
      <w:r w:rsidR="004E1F29">
        <w:t> </w:t>
      </w:r>
      <w:r w:rsidR="00CF3710">
        <w:t>które początkowo uzasadniały jego aresztowanie.</w:t>
      </w:r>
    </w:p>
    <w:p w14:paraId="0507539B" w14:textId="303DFE6C" w:rsidR="00713568" w:rsidRPr="007D46A6" w:rsidRDefault="009731D6" w:rsidP="007D46A6">
      <w:pPr>
        <w:pStyle w:val="JuPara"/>
      </w:pPr>
      <w:r>
        <w:rPr>
          <w:noProof/>
        </w:rPr>
        <w:t>14</w:t>
      </w:r>
      <w:r w:rsidR="007B4779">
        <w:rPr>
          <w:noProof/>
        </w:rPr>
        <w:t>.</w:t>
      </w:r>
      <w:r w:rsidR="00CD0C01">
        <w:t xml:space="preserve"> </w:t>
      </w:r>
      <w:r w:rsidR="00CF3710">
        <w:t>Ryzyko ucieczki było uzasadnione faktem, iż skarżący ukrył się po</w:t>
      </w:r>
      <w:r w:rsidR="004E1F29">
        <w:t> </w:t>
      </w:r>
      <w:r w:rsidR="00CF3710">
        <w:t>ustanowieniu poręczenia majątkowego na wczesnym etapie postępowania (zob. paragraf 2 powyżej). M</w:t>
      </w:r>
      <w:r w:rsidR="00CF3710">
        <w:rPr>
          <w:rStyle w:val="JuParaChar"/>
        </w:rPr>
        <w:t xml:space="preserve">iędzynarodowy charakter zarzucanego przestępstwa oraz zarzut działania w zorganizowanej grupie przestępczej były istotnymi czynnikami budzącymi </w:t>
      </w:r>
      <w:r w:rsidR="00AB764D">
        <w:rPr>
          <w:rStyle w:val="JuParaChar"/>
        </w:rPr>
        <w:t xml:space="preserve">zaniepokojenie i </w:t>
      </w:r>
      <w:r w:rsidR="00CF3710">
        <w:rPr>
          <w:rStyle w:val="JuParaChar"/>
        </w:rPr>
        <w:t>obawy, że skarżący może zakłócić prawidłowy przebieg postępowania</w:t>
      </w:r>
      <w:r w:rsidR="00685400">
        <w:rPr>
          <w:rStyle w:val="JuParaChar"/>
        </w:rPr>
        <w:t>,</w:t>
      </w:r>
      <w:r w:rsidR="00CF3710">
        <w:rPr>
          <w:rStyle w:val="JuParaChar"/>
        </w:rPr>
        <w:t xml:space="preserve"> jeżeli zostanie zwolniony. Ponadto władze stanęły przed trudnym zadaniem przeprowadzenia międzynarodowego śledztwa w sprawie zorganizowanej grupy przestępczej, która od kilku lat działała w różnych krajach. </w:t>
      </w:r>
      <w:r w:rsidR="00CF3710">
        <w:t>Wynika z</w:t>
      </w:r>
      <w:r w:rsidR="004E1F29">
        <w:t> </w:t>
      </w:r>
      <w:r w:rsidR="00CF3710">
        <w:t>tego, że dalsze aresztowanie skarżącego było uzasadnione „istotnymi” i</w:t>
      </w:r>
      <w:r w:rsidR="004E1F29">
        <w:t> </w:t>
      </w:r>
      <w:r w:rsidR="00CF3710">
        <w:t>„wystarczającymi” przesłankami.</w:t>
      </w:r>
    </w:p>
    <w:p w14:paraId="051F146A" w14:textId="69F61665" w:rsidR="00713568" w:rsidRPr="007D46A6" w:rsidRDefault="009731D6" w:rsidP="007D46A6">
      <w:pPr>
        <w:pStyle w:val="JuPara"/>
        <w:rPr>
          <w:rStyle w:val="JuParaChar"/>
        </w:rPr>
      </w:pPr>
      <w:r>
        <w:rPr>
          <w:rStyle w:val="JuParaChar"/>
          <w:noProof/>
        </w:rPr>
        <w:t>15</w:t>
      </w:r>
      <w:r w:rsidR="00713568">
        <w:rPr>
          <w:rStyle w:val="JuParaChar"/>
        </w:rPr>
        <w:t>.</w:t>
      </w:r>
      <w:r w:rsidR="00CD0C01">
        <w:rPr>
          <w:rStyle w:val="JuParaChar"/>
        </w:rPr>
        <w:t xml:space="preserve"> </w:t>
      </w:r>
      <w:r w:rsidR="00713568">
        <w:rPr>
          <w:rStyle w:val="JuParaChar"/>
        </w:rPr>
        <w:t xml:space="preserve">Skarżący twierdził również, że śledztwo </w:t>
      </w:r>
      <w:r w:rsidR="00D12D4A">
        <w:rPr>
          <w:rStyle w:val="JuParaChar"/>
        </w:rPr>
        <w:t>przeprowadzono</w:t>
      </w:r>
      <w:r w:rsidR="00713568">
        <w:rPr>
          <w:rStyle w:val="JuParaChar"/>
        </w:rPr>
        <w:t xml:space="preserve"> bez</w:t>
      </w:r>
      <w:r w:rsidR="004E1F29">
        <w:rPr>
          <w:rStyle w:val="JuParaChar"/>
        </w:rPr>
        <w:t> </w:t>
      </w:r>
      <w:r w:rsidR="00713568">
        <w:rPr>
          <w:rStyle w:val="JuParaChar"/>
        </w:rPr>
        <w:t xml:space="preserve">zachowania należytej staranności, co skutkowało zwrotem aktu oskarżenia prokuratorowi (patrz paragraf 3 powyżej). O ile prawdą jest, </w:t>
      </w:r>
      <w:r w:rsidR="00713568">
        <w:t>że</w:t>
      </w:r>
      <w:r w:rsidR="004E1F29">
        <w:t> </w:t>
      </w:r>
      <w:r w:rsidR="00713568">
        <w:t>wspomniane niedociągnięcie</w:t>
      </w:r>
      <w:r w:rsidR="00713568">
        <w:rPr>
          <w:rFonts w:ascii="Calibri" w:hAnsi="Calibri"/>
          <w:b/>
          <w:bCs/>
          <w:sz w:val="22"/>
          <w:szCs w:val="22"/>
        </w:rPr>
        <w:t xml:space="preserve"> </w:t>
      </w:r>
      <w:r w:rsidR="00713568">
        <w:t>przyczyniło się do wydłużenia czasu trwania śledztwa i</w:t>
      </w:r>
      <w:r w:rsidR="00D203F0">
        <w:t xml:space="preserve"> </w:t>
      </w:r>
      <w:r w:rsidR="00713568">
        <w:t>okresu aresztowania skarżącego, nie kwestionuje się, że złożone śledztwa o</w:t>
      </w:r>
      <w:r w:rsidR="00D203F0">
        <w:t xml:space="preserve"> </w:t>
      </w:r>
      <w:r w:rsidR="00713568">
        <w:t>charakterze międzynarodow</w:t>
      </w:r>
      <w:r w:rsidR="007B4779">
        <w:t>ym</w:t>
      </w:r>
      <w:r w:rsidR="00713568">
        <w:t xml:space="preserve"> są nieuchronnie czasochłonne. </w:t>
      </w:r>
      <w:r w:rsidR="007B4779">
        <w:t>Rzeczon</w:t>
      </w:r>
      <w:r w:rsidR="00713568">
        <w:t>e śledztwo początkowo dotyczyło jedenastu podejrzanych, a</w:t>
      </w:r>
      <w:r w:rsidR="004E1F29">
        <w:t> </w:t>
      </w:r>
      <w:r w:rsidR="00713568">
        <w:t>na</w:t>
      </w:r>
      <w:r w:rsidR="004E1F29">
        <w:t> </w:t>
      </w:r>
      <w:r w:rsidR="00713568">
        <w:t>późniejszym etapie sprawa skarżącego została wyłączona do odrębnego postępowania, co</w:t>
      </w:r>
      <w:r w:rsidR="00D203F0">
        <w:t xml:space="preserve"> </w:t>
      </w:r>
      <w:r w:rsidR="00713568">
        <w:t>z pewnością umożliwiło szybsze sporządzenie aktu oskarżenia. W</w:t>
      </w:r>
      <w:r w:rsidR="00D203F0">
        <w:t xml:space="preserve"> </w:t>
      </w:r>
      <w:r w:rsidR="00713568">
        <w:t>związku z tym Trybunał stwierdza, że śledztwo przeprowadzono z</w:t>
      </w:r>
      <w:r w:rsidR="00D203F0">
        <w:t xml:space="preserve"> </w:t>
      </w:r>
      <w:r w:rsidR="00713568">
        <w:t>zachowaniem należytej staranności.</w:t>
      </w:r>
    </w:p>
    <w:p w14:paraId="145ED557" w14:textId="1A22C04E" w:rsidR="00713568" w:rsidRPr="007D46A6" w:rsidRDefault="009731D6" w:rsidP="007D46A6">
      <w:pPr>
        <w:pStyle w:val="JuPara"/>
      </w:pPr>
      <w:r>
        <w:rPr>
          <w:noProof/>
        </w:rPr>
        <w:t>16</w:t>
      </w:r>
      <w:r w:rsidR="007B4779">
        <w:rPr>
          <w:noProof/>
        </w:rPr>
        <w:t>.</w:t>
      </w:r>
      <w:r w:rsidR="00CD0C01">
        <w:t xml:space="preserve"> </w:t>
      </w:r>
      <w:r w:rsidR="00CF3710">
        <w:t xml:space="preserve">Z tego wynika, że </w:t>
      </w:r>
      <w:r w:rsidR="007B4779">
        <w:t>zarzut ten</w:t>
      </w:r>
      <w:r w:rsidR="00CF3710">
        <w:t xml:space="preserve"> jest w sposób oczywisty nieuzasadnion</w:t>
      </w:r>
      <w:r w:rsidR="007B4779">
        <w:t>y</w:t>
      </w:r>
      <w:r w:rsidR="00CF3710">
        <w:t xml:space="preserve"> i musi zostać odrzucon</w:t>
      </w:r>
      <w:r w:rsidR="007B4779">
        <w:t>y</w:t>
      </w:r>
      <w:r w:rsidR="00CF3710">
        <w:t xml:space="preserve"> zgodnie z art.</w:t>
      </w:r>
      <w:r w:rsidR="00D203F0">
        <w:t xml:space="preserve"> </w:t>
      </w:r>
      <w:r w:rsidR="00CF3710">
        <w:t>35 ust.</w:t>
      </w:r>
      <w:r w:rsidR="00D203F0">
        <w:t xml:space="preserve"> </w:t>
      </w:r>
      <w:r w:rsidR="00CF3710">
        <w:t>3 lit.</w:t>
      </w:r>
      <w:r w:rsidR="00D203F0">
        <w:t xml:space="preserve"> </w:t>
      </w:r>
      <w:r w:rsidR="00CF3710">
        <w:t xml:space="preserve">a i </w:t>
      </w:r>
      <w:r w:rsidR="00E23C96">
        <w:t>art.</w:t>
      </w:r>
      <w:r w:rsidR="00D203F0">
        <w:t xml:space="preserve"> </w:t>
      </w:r>
      <w:r w:rsidR="00E23C96">
        <w:t xml:space="preserve">35 </w:t>
      </w:r>
      <w:r w:rsidR="00CF3710">
        <w:t>ust.</w:t>
      </w:r>
      <w:r w:rsidR="00D203F0">
        <w:t xml:space="preserve"> </w:t>
      </w:r>
      <w:r w:rsidR="00CF3710">
        <w:t>4 Konwencji.</w:t>
      </w:r>
    </w:p>
    <w:p w14:paraId="152B323D" w14:textId="7F9D2A67" w:rsidR="00713568" w:rsidRPr="007D46A6" w:rsidRDefault="00713568" w:rsidP="007D46A6">
      <w:pPr>
        <w:pStyle w:val="JuHIRoman"/>
      </w:pPr>
      <w:r>
        <w:t>ZARZUCANE NARUSZENIE ART.</w:t>
      </w:r>
      <w:r w:rsidR="00D203F0">
        <w:t xml:space="preserve"> </w:t>
      </w:r>
      <w:r>
        <w:t>5 UST.</w:t>
      </w:r>
      <w:r w:rsidR="00D203F0">
        <w:t xml:space="preserve"> </w:t>
      </w:r>
      <w:r>
        <w:t>4 KONWENCJI</w:t>
      </w:r>
    </w:p>
    <w:p w14:paraId="35331A83" w14:textId="0B9D994F" w:rsidR="00713568" w:rsidRPr="007D46A6" w:rsidRDefault="009731D6" w:rsidP="007D46A6">
      <w:pPr>
        <w:pStyle w:val="JuPara"/>
      </w:pPr>
      <w:r>
        <w:rPr>
          <w:noProof/>
        </w:rPr>
        <w:t>17</w:t>
      </w:r>
      <w:r w:rsidR="009B10A7">
        <w:rPr>
          <w:noProof/>
        </w:rPr>
        <w:t>.</w:t>
      </w:r>
      <w:r w:rsidR="00CD0C01">
        <w:t xml:space="preserve"> </w:t>
      </w:r>
      <w:r w:rsidR="00CF3710">
        <w:t>Skarżący</w:t>
      </w:r>
      <w:r w:rsidR="007B4779">
        <w:t xml:space="preserve"> ponadto</w:t>
      </w:r>
      <w:r w:rsidR="00CF3710">
        <w:t xml:space="preserve"> zarzucił, że jego </w:t>
      </w:r>
      <w:r w:rsidR="00AB764D">
        <w:t>zażalenia</w:t>
      </w:r>
      <w:r w:rsidR="00CF3710">
        <w:t xml:space="preserve"> </w:t>
      </w:r>
      <w:r w:rsidR="00CF3710">
        <w:rPr>
          <w:color w:val="000000"/>
        </w:rPr>
        <w:t>od postanowień z dnia 3</w:t>
      </w:r>
      <w:r w:rsidR="004E1F29">
        <w:rPr>
          <w:color w:val="000000"/>
        </w:rPr>
        <w:t> </w:t>
      </w:r>
      <w:r w:rsidR="00CF3710">
        <w:rPr>
          <w:color w:val="000000"/>
        </w:rPr>
        <w:t xml:space="preserve">lipca </w:t>
      </w:r>
      <w:r w:rsidR="00822DD9">
        <w:rPr>
          <w:color w:val="000000"/>
        </w:rPr>
        <w:t>2019</w:t>
      </w:r>
      <w:r w:rsidR="00D203F0">
        <w:rPr>
          <w:color w:val="000000"/>
        </w:rPr>
        <w:t xml:space="preserve"> </w:t>
      </w:r>
      <w:r w:rsidR="00822DD9">
        <w:rPr>
          <w:color w:val="000000"/>
        </w:rPr>
        <w:t>r. oraz z dnia</w:t>
      </w:r>
      <w:r w:rsidR="00CF3710">
        <w:rPr>
          <w:color w:val="000000"/>
        </w:rPr>
        <w:t xml:space="preserve"> 1 października 2019</w:t>
      </w:r>
      <w:r w:rsidR="00D203F0">
        <w:rPr>
          <w:color w:val="000000"/>
        </w:rPr>
        <w:t xml:space="preserve"> </w:t>
      </w:r>
      <w:r w:rsidR="00CF3710">
        <w:rPr>
          <w:color w:val="000000"/>
        </w:rPr>
        <w:t>r. przedłużając</w:t>
      </w:r>
      <w:r w:rsidR="002507C7">
        <w:rPr>
          <w:color w:val="000000"/>
        </w:rPr>
        <w:t>ych</w:t>
      </w:r>
      <w:r w:rsidR="00CF3710">
        <w:rPr>
          <w:color w:val="000000"/>
        </w:rPr>
        <w:t xml:space="preserve"> stosowanie </w:t>
      </w:r>
      <w:r w:rsidR="00CF3710">
        <w:rPr>
          <w:color w:val="000000"/>
        </w:rPr>
        <w:lastRenderedPageBreak/>
        <w:t>tymczasowego aresztowania nie zostały rozpatrzone „bezzwłocznie”, jak</w:t>
      </w:r>
      <w:r w:rsidR="004E1F29">
        <w:rPr>
          <w:color w:val="000000"/>
        </w:rPr>
        <w:t> </w:t>
      </w:r>
      <w:r w:rsidR="00CF3710">
        <w:rPr>
          <w:color w:val="000000"/>
        </w:rPr>
        <w:t>wymaga tego art.</w:t>
      </w:r>
      <w:r w:rsidR="00D203F0">
        <w:rPr>
          <w:color w:val="000000"/>
        </w:rPr>
        <w:t xml:space="preserve"> </w:t>
      </w:r>
      <w:r w:rsidR="00CF3710">
        <w:t>5 ust.</w:t>
      </w:r>
      <w:r w:rsidR="00D203F0">
        <w:t xml:space="preserve"> </w:t>
      </w:r>
      <w:r w:rsidR="00CF3710">
        <w:t>4 Konwencji.</w:t>
      </w:r>
    </w:p>
    <w:p w14:paraId="048CF0F4" w14:textId="727BB16B" w:rsidR="00713568" w:rsidRPr="007D46A6" w:rsidRDefault="009731D6" w:rsidP="007D46A6">
      <w:pPr>
        <w:pStyle w:val="JuPara"/>
      </w:pPr>
      <w:r>
        <w:rPr>
          <w:noProof/>
        </w:rPr>
        <w:t>18</w:t>
      </w:r>
      <w:r w:rsidR="007B4779">
        <w:rPr>
          <w:noProof/>
        </w:rPr>
        <w:t>.</w:t>
      </w:r>
      <w:r w:rsidR="00CD0C01">
        <w:t xml:space="preserve"> </w:t>
      </w:r>
      <w:r w:rsidR="00CF3710">
        <w:t>Postanowienie z dnia 1 października 2019</w:t>
      </w:r>
      <w:r w:rsidR="00D203F0">
        <w:t xml:space="preserve"> </w:t>
      </w:r>
      <w:r w:rsidR="00CF3710">
        <w:t>r. wydano po tym, jak</w:t>
      </w:r>
      <w:r w:rsidR="004E1F29">
        <w:t> </w:t>
      </w:r>
      <w:r w:rsidR="00CF3710">
        <w:t>skarżący został skazany w równolegle prowadzonym postępowaniu (zob.</w:t>
      </w:r>
      <w:r w:rsidR="004E1F29">
        <w:t> </w:t>
      </w:r>
      <w:r w:rsidR="00CF3710">
        <w:t>paragraf 4 powyżej), a pozbawienie</w:t>
      </w:r>
      <w:r w:rsidR="009B10A7">
        <w:t xml:space="preserve"> go</w:t>
      </w:r>
      <w:r w:rsidR="00CF3710">
        <w:t xml:space="preserve"> wolności stało się zgodne z</w:t>
      </w:r>
      <w:r w:rsidR="004E1F29">
        <w:t> </w:t>
      </w:r>
      <w:r w:rsidR="00CF3710">
        <w:t>prawem na podstawie art.</w:t>
      </w:r>
      <w:r w:rsidR="00D203F0">
        <w:t xml:space="preserve"> </w:t>
      </w:r>
      <w:r w:rsidR="00CF3710">
        <w:t>5 ust.</w:t>
      </w:r>
      <w:r w:rsidR="00D203F0">
        <w:t xml:space="preserve"> </w:t>
      </w:r>
      <w:r w:rsidR="00CF3710">
        <w:t>1 lit.</w:t>
      </w:r>
      <w:r w:rsidR="00D203F0">
        <w:t xml:space="preserve"> </w:t>
      </w:r>
      <w:r w:rsidR="00CF3710">
        <w:t xml:space="preserve">a Konwencji (zob. paragraf 12 powyżej). Zarzut skarżącego, że </w:t>
      </w:r>
      <w:r w:rsidR="00E55306">
        <w:t>zażalenie</w:t>
      </w:r>
      <w:r w:rsidR="00CF3710">
        <w:t xml:space="preserve"> od przedmiotowego postanowienia rozpatrzono z</w:t>
      </w:r>
      <w:r w:rsidR="00D203F0">
        <w:t xml:space="preserve"> </w:t>
      </w:r>
      <w:r w:rsidR="00CF3710">
        <w:t>naruszeniem standardów przewidzianych w</w:t>
      </w:r>
      <w:r w:rsidR="004E1F29">
        <w:t> </w:t>
      </w:r>
      <w:r w:rsidR="00CF3710">
        <w:t>art.</w:t>
      </w:r>
      <w:r w:rsidR="004E1F29">
        <w:t> </w:t>
      </w:r>
      <w:r w:rsidR="00CF3710">
        <w:t xml:space="preserve">5 ust. 4, należy zatem uznać za niedopuszczalny jako niezgodny </w:t>
      </w:r>
      <w:r w:rsidR="00CF3710">
        <w:rPr>
          <w:i/>
          <w:iCs/>
        </w:rPr>
        <w:t>ratione materiae</w:t>
      </w:r>
      <w:r w:rsidR="00CF3710">
        <w:t xml:space="preserve"> z art.</w:t>
      </w:r>
      <w:r w:rsidR="00D203F0">
        <w:t xml:space="preserve"> </w:t>
      </w:r>
      <w:r w:rsidR="00CF3710">
        <w:t>5 ust.</w:t>
      </w:r>
      <w:r w:rsidR="00D203F0">
        <w:t xml:space="preserve"> </w:t>
      </w:r>
      <w:r w:rsidR="00CF3710">
        <w:t>4.</w:t>
      </w:r>
    </w:p>
    <w:p w14:paraId="2E04808E" w14:textId="5D1BCB02" w:rsidR="00713568" w:rsidRPr="007D46A6" w:rsidRDefault="009731D6" w:rsidP="007D46A6">
      <w:pPr>
        <w:pStyle w:val="JuPara"/>
      </w:pPr>
      <w:r>
        <w:rPr>
          <w:noProof/>
        </w:rPr>
        <w:t>19</w:t>
      </w:r>
      <w:r w:rsidR="007B4779">
        <w:rPr>
          <w:noProof/>
        </w:rPr>
        <w:t>.</w:t>
      </w:r>
      <w:r w:rsidR="00CD0C01">
        <w:t xml:space="preserve"> </w:t>
      </w:r>
      <w:r w:rsidR="00CF3710">
        <w:t xml:space="preserve">Przechodząc do zarzutu dotyczącego postanowienia z </w:t>
      </w:r>
      <w:r w:rsidR="005A23A3">
        <w:t xml:space="preserve">dnia </w:t>
      </w:r>
      <w:r w:rsidR="00CF3710">
        <w:t>3 lipca 2019</w:t>
      </w:r>
      <w:r w:rsidR="00D203F0">
        <w:t xml:space="preserve"> </w:t>
      </w:r>
      <w:r w:rsidR="00CF3710">
        <w:t xml:space="preserve">r., Rząd złożył </w:t>
      </w:r>
      <w:r w:rsidR="00E55306">
        <w:t>deklarację jednostronną obejmującą</w:t>
      </w:r>
      <w:r w:rsidR="00CF3710">
        <w:t xml:space="preserve"> ten zarzut. Skarżący nie przedstawił uwag.</w:t>
      </w:r>
      <w:r w:rsidR="00CF3710">
        <w:rPr>
          <w:rFonts w:ascii="Arial" w:hAnsi="Arial"/>
          <w:color w:val="000000"/>
        </w:rPr>
        <w:t xml:space="preserve"> </w:t>
      </w:r>
      <w:r w:rsidR="00CF3710">
        <w:t xml:space="preserve">Trybunał </w:t>
      </w:r>
      <w:r w:rsidR="009B10A7">
        <w:t>zauważa</w:t>
      </w:r>
      <w:r w:rsidR="00CF3710">
        <w:t xml:space="preserve">, że </w:t>
      </w:r>
      <w:r w:rsidR="00E55306">
        <w:t>ta deklaracja jednostronna nie</w:t>
      </w:r>
      <w:r w:rsidR="004E1F29">
        <w:t> </w:t>
      </w:r>
      <w:r w:rsidR="00E55306">
        <w:t>stanowiła</w:t>
      </w:r>
      <w:r w:rsidR="00CF3710">
        <w:t xml:space="preserve"> wystarczającej podstawy do stwierdzenia, </w:t>
      </w:r>
      <w:r w:rsidR="005A4CBD">
        <w:t>iż</w:t>
      </w:r>
      <w:r w:rsidR="00CF3710">
        <w:t xml:space="preserve"> poszanowanie praw człowieka określonych w Konwencji nie wymaga dalszego rozpatrywania sprawy przez Trybunał (art.</w:t>
      </w:r>
      <w:r w:rsidR="00D203F0">
        <w:t xml:space="preserve"> </w:t>
      </w:r>
      <w:r w:rsidR="00CF3710">
        <w:t>37 ust.</w:t>
      </w:r>
      <w:r w:rsidR="00D203F0">
        <w:t xml:space="preserve"> </w:t>
      </w:r>
      <w:r w:rsidR="00CF3710">
        <w:t xml:space="preserve">1 </w:t>
      </w:r>
      <w:r w:rsidR="00CF3710">
        <w:rPr>
          <w:i/>
          <w:iCs/>
        </w:rPr>
        <w:t>in fine</w:t>
      </w:r>
      <w:r w:rsidR="00CF3710">
        <w:t xml:space="preserve">). Dlatego też Trybunał odrzuca wniosek Rządu o skreślenie </w:t>
      </w:r>
      <w:r w:rsidR="00E55306">
        <w:t xml:space="preserve">zarzutu </w:t>
      </w:r>
      <w:r w:rsidR="00CF3710">
        <w:t xml:space="preserve">i w związku z tym będzie dalej rozpatrywał sprawę (zob. </w:t>
      </w:r>
      <w:r w:rsidR="00CF3710">
        <w:rPr>
          <w:i/>
          <w:iCs/>
        </w:rPr>
        <w:t>Tahsin Acar</w:t>
      </w:r>
      <w:r w:rsidR="00CF3710">
        <w:rPr>
          <w:rFonts w:ascii="Arial" w:hAnsi="Arial"/>
          <w:i/>
          <w:iCs/>
          <w:color w:val="000000"/>
        </w:rPr>
        <w:t xml:space="preserve"> </w:t>
      </w:r>
      <w:r w:rsidR="00CF3710">
        <w:rPr>
          <w:i/>
          <w:iCs/>
        </w:rPr>
        <w:t xml:space="preserve">przeciwko Turcji </w:t>
      </w:r>
      <w:r w:rsidR="00CF3710">
        <w:t>(kwestia wstępna) [WI], skarga nr 26307/95, § 75, ETPC 2003-VI).</w:t>
      </w:r>
    </w:p>
    <w:p w14:paraId="7DC49F19" w14:textId="270E1BEA" w:rsidR="00713568" w:rsidRPr="007D46A6" w:rsidRDefault="009731D6" w:rsidP="007D46A6">
      <w:pPr>
        <w:pStyle w:val="JuPara"/>
      </w:pPr>
      <w:r>
        <w:rPr>
          <w:noProof/>
        </w:rPr>
        <w:t>20</w:t>
      </w:r>
      <w:r w:rsidR="009B10A7">
        <w:rPr>
          <w:noProof/>
        </w:rPr>
        <w:t>.</w:t>
      </w:r>
      <w:r w:rsidR="00CD0C01">
        <w:t xml:space="preserve"> </w:t>
      </w:r>
      <w:r w:rsidR="00CF3710">
        <w:t xml:space="preserve">Ponieważ </w:t>
      </w:r>
      <w:r w:rsidR="009B10A7">
        <w:rPr>
          <w:color w:val="000000"/>
        </w:rPr>
        <w:t>zarzut ten</w:t>
      </w:r>
      <w:r w:rsidR="00CF3710">
        <w:rPr>
          <w:color w:val="000000"/>
        </w:rPr>
        <w:t xml:space="preserve"> </w:t>
      </w:r>
      <w:r w:rsidR="00CF3710">
        <w:t>nie jest ani w sposób oczywisty nieuzasadnion</w:t>
      </w:r>
      <w:r w:rsidR="009B10A7">
        <w:t>y</w:t>
      </w:r>
      <w:r w:rsidR="00CF3710">
        <w:t xml:space="preserve"> w rozumieniu art.</w:t>
      </w:r>
      <w:r w:rsidR="00D203F0">
        <w:t xml:space="preserve"> </w:t>
      </w:r>
      <w:r w:rsidR="00CF3710">
        <w:t>35 ust.</w:t>
      </w:r>
      <w:r w:rsidR="00D203F0">
        <w:t xml:space="preserve"> </w:t>
      </w:r>
      <w:r w:rsidR="00CF3710">
        <w:t>3 lit.</w:t>
      </w:r>
      <w:r w:rsidR="00D203F0">
        <w:t xml:space="preserve"> </w:t>
      </w:r>
      <w:r w:rsidR="00CF3710">
        <w:t>a Konwencji</w:t>
      </w:r>
      <w:r w:rsidR="00547A17">
        <w:t>,</w:t>
      </w:r>
      <w:r w:rsidR="00CF3710">
        <w:t xml:space="preserve"> ani niedopuszczaln</w:t>
      </w:r>
      <w:r w:rsidR="009B10A7">
        <w:t>y</w:t>
      </w:r>
      <w:r w:rsidR="00CF3710">
        <w:t xml:space="preserve"> z</w:t>
      </w:r>
      <w:r w:rsidR="004E1F29">
        <w:t> </w:t>
      </w:r>
      <w:r w:rsidR="00CF3710">
        <w:t xml:space="preserve">jakichkolwiek innych względów, należy uznać </w:t>
      </w:r>
      <w:r w:rsidR="009B10A7">
        <w:t>go</w:t>
      </w:r>
      <w:r w:rsidR="00CF3710">
        <w:t xml:space="preserve"> </w:t>
      </w:r>
      <w:r w:rsidR="006F58A4">
        <w:t xml:space="preserve">za </w:t>
      </w:r>
      <w:r w:rsidR="00CF3710">
        <w:t>dopuszczaln</w:t>
      </w:r>
      <w:r w:rsidR="009B10A7">
        <w:t>y</w:t>
      </w:r>
      <w:r w:rsidR="00CF3710">
        <w:t>.</w:t>
      </w:r>
    </w:p>
    <w:p w14:paraId="7B188846" w14:textId="7EFE0501" w:rsidR="00713568" w:rsidRPr="007D46A6" w:rsidRDefault="009731D6" w:rsidP="007D46A6">
      <w:pPr>
        <w:pStyle w:val="JuPara"/>
      </w:pPr>
      <w:r>
        <w:rPr>
          <w:noProof/>
        </w:rPr>
        <w:t>21</w:t>
      </w:r>
      <w:r w:rsidR="009B10A7">
        <w:rPr>
          <w:noProof/>
        </w:rPr>
        <w:t>.</w:t>
      </w:r>
      <w:r w:rsidR="00CD0C01">
        <w:t xml:space="preserve"> </w:t>
      </w:r>
      <w:r w:rsidR="00E55306">
        <w:t>Zażalenie</w:t>
      </w:r>
      <w:r w:rsidR="00CF3710">
        <w:t xml:space="preserve"> skarżącego z dnia 9 lipca 2019</w:t>
      </w:r>
      <w:r w:rsidR="00D203F0">
        <w:t xml:space="preserve"> </w:t>
      </w:r>
      <w:r w:rsidR="00D00A48">
        <w:t>r. rozpoznano w dniu 13</w:t>
      </w:r>
      <w:r w:rsidR="004E1F29">
        <w:t> </w:t>
      </w:r>
      <w:r w:rsidR="00CF3710">
        <w:t>listopada 2019</w:t>
      </w:r>
      <w:r w:rsidR="00D203F0">
        <w:t xml:space="preserve"> </w:t>
      </w:r>
      <w:r w:rsidR="00CF3710">
        <w:t>r., czyli cztery miesiące i pięć dni po jego wniesieniu (zob.</w:t>
      </w:r>
      <w:r w:rsidR="004E1F29">
        <w:t> </w:t>
      </w:r>
      <w:r w:rsidR="00CF3710">
        <w:t>p</w:t>
      </w:r>
      <w:r w:rsidR="00701E0D">
        <w:t>aragraf</w:t>
      </w:r>
      <w:r w:rsidR="00CF3710">
        <w:t xml:space="preserve"> 6 powyżej). W świetle ugruntowanego orzecznictwa Trybunału (zob. m.in. </w:t>
      </w:r>
      <w:r w:rsidR="00CF3710">
        <w:rPr>
          <w:i/>
          <w:iCs/>
        </w:rPr>
        <w:t>Stettner przeciwko Polsce</w:t>
      </w:r>
      <w:r w:rsidR="00CF3710">
        <w:t xml:space="preserve">, skarga nr 38510/06, §§ 92-97, 24 marca 2015 r., oraz </w:t>
      </w:r>
      <w:r w:rsidR="00CF3710">
        <w:rPr>
          <w:i/>
          <w:iCs/>
        </w:rPr>
        <w:t>Baranowski przeciwko Polsce</w:t>
      </w:r>
      <w:r w:rsidR="00CF3710">
        <w:t xml:space="preserve">, skarga nr 28358/95, §§ 68-77, ETPC 2000-III) oraz po zbadaniu </w:t>
      </w:r>
      <w:r w:rsidR="006F58A4">
        <w:t xml:space="preserve">materiału </w:t>
      </w:r>
      <w:r w:rsidR="00CF3710">
        <w:t>przedłożonego Trybunał</w:t>
      </w:r>
      <w:r w:rsidR="009B10A7">
        <w:t>owi</w:t>
      </w:r>
      <w:r w:rsidR="00CF3710">
        <w:t xml:space="preserve">, Trybunał stwierdza, iż zarzut wskazuje </w:t>
      </w:r>
      <w:r w:rsidR="009B10A7">
        <w:t xml:space="preserve">na </w:t>
      </w:r>
      <w:r w:rsidR="00CF3710">
        <w:t xml:space="preserve">faktyczne naruszenie </w:t>
      </w:r>
      <w:r w:rsidR="00CF3710">
        <w:rPr>
          <w:color w:val="000000"/>
        </w:rPr>
        <w:t>art.</w:t>
      </w:r>
      <w:r w:rsidR="00D203F0">
        <w:rPr>
          <w:color w:val="000000"/>
        </w:rPr>
        <w:t xml:space="preserve"> </w:t>
      </w:r>
      <w:r w:rsidR="00CF3710">
        <w:rPr>
          <w:color w:val="000000"/>
        </w:rPr>
        <w:t>5</w:t>
      </w:r>
      <w:r w:rsidR="008318E1">
        <w:rPr>
          <w:color w:val="000000"/>
        </w:rPr>
        <w:t xml:space="preserve"> </w:t>
      </w:r>
      <w:r w:rsidR="00CF3710">
        <w:t>ust.</w:t>
      </w:r>
      <w:r w:rsidR="00D203F0">
        <w:t xml:space="preserve"> </w:t>
      </w:r>
      <w:r w:rsidR="00CF3710">
        <w:t>4 Konwencji.</w:t>
      </w:r>
    </w:p>
    <w:p w14:paraId="7730F1EB" w14:textId="7212F205" w:rsidR="00713568" w:rsidRPr="007D46A6" w:rsidRDefault="00713568" w:rsidP="007D46A6">
      <w:pPr>
        <w:pStyle w:val="JuHIRoman"/>
      </w:pPr>
      <w:r>
        <w:t>ZASTOSOWANIE ART.</w:t>
      </w:r>
      <w:r w:rsidR="00D203F0">
        <w:t xml:space="preserve"> </w:t>
      </w:r>
      <w:r>
        <w:t>41 KONWENCJI</w:t>
      </w:r>
    </w:p>
    <w:p w14:paraId="2BBDB464" w14:textId="3D203BDD" w:rsidR="00713568" w:rsidRPr="007D46A6" w:rsidRDefault="009731D6" w:rsidP="007D46A6">
      <w:pPr>
        <w:pStyle w:val="JuPara"/>
      </w:pPr>
      <w:r>
        <w:rPr>
          <w:noProof/>
        </w:rPr>
        <w:t>22</w:t>
      </w:r>
      <w:r w:rsidR="009B10A7">
        <w:t>.</w:t>
      </w:r>
      <w:r w:rsidR="00CD0C01">
        <w:t xml:space="preserve"> </w:t>
      </w:r>
      <w:r w:rsidR="00713568">
        <w:t>Skarżący domagał się kwoty 8</w:t>
      </w:r>
      <w:r w:rsidR="00D203F0">
        <w:t xml:space="preserve"> </w:t>
      </w:r>
      <w:r w:rsidR="00713568">
        <w:t>000</w:t>
      </w:r>
      <w:r w:rsidR="00D203F0">
        <w:t xml:space="preserve"> </w:t>
      </w:r>
      <w:r w:rsidR="00713568">
        <w:t>000 euro (EUR) z tytułu szkody niemajątkowej.</w:t>
      </w:r>
    </w:p>
    <w:p w14:paraId="27CAC553" w14:textId="1E2F9441" w:rsidR="00713568" w:rsidRPr="007D46A6" w:rsidRDefault="009731D6" w:rsidP="007D46A6">
      <w:pPr>
        <w:pStyle w:val="JuPara"/>
      </w:pPr>
      <w:r>
        <w:rPr>
          <w:noProof/>
        </w:rPr>
        <w:t>23</w:t>
      </w:r>
      <w:r w:rsidR="009B10A7">
        <w:t>.</w:t>
      </w:r>
      <w:r w:rsidR="00CD0C01">
        <w:t xml:space="preserve"> </w:t>
      </w:r>
      <w:r w:rsidR="00713568">
        <w:t>Rząd uznał, że przedmiotowa kwota jest wygórowana.</w:t>
      </w:r>
    </w:p>
    <w:p w14:paraId="453AF2C7" w14:textId="088DCEA8" w:rsidR="00713568" w:rsidRPr="007D46A6" w:rsidRDefault="009731D6" w:rsidP="007D46A6">
      <w:pPr>
        <w:pStyle w:val="JuPara"/>
      </w:pPr>
      <w:r>
        <w:rPr>
          <w:noProof/>
        </w:rPr>
        <w:t>24</w:t>
      </w:r>
      <w:r w:rsidR="009B10A7">
        <w:t>.</w:t>
      </w:r>
      <w:r w:rsidR="00CD0C01">
        <w:t xml:space="preserve"> </w:t>
      </w:r>
      <w:r w:rsidR="00713568">
        <w:t>Trybunał zasądza na rzecz skarżącego kwotę 2000 EUR z tytułu szkody niemajątkowej, powiększoną o wszelkie należne podatki.</w:t>
      </w:r>
    </w:p>
    <w:p w14:paraId="0180A892" w14:textId="33E27021" w:rsidR="00713568" w:rsidRPr="007D46A6" w:rsidRDefault="009731D6" w:rsidP="007D46A6">
      <w:pPr>
        <w:pStyle w:val="JuPara"/>
      </w:pPr>
      <w:r>
        <w:rPr>
          <w:noProof/>
        </w:rPr>
        <w:t>25</w:t>
      </w:r>
      <w:r w:rsidR="009B10A7">
        <w:t>.</w:t>
      </w:r>
      <w:r w:rsidR="00CD0C01">
        <w:t xml:space="preserve"> </w:t>
      </w:r>
      <w:r w:rsidR="00713568">
        <w:t xml:space="preserve">Trybunał </w:t>
      </w:r>
      <w:r w:rsidR="006923B3">
        <w:t>nadto za słuszne uznaje wyznaczenie wysokości odsetek za</w:t>
      </w:r>
      <w:r w:rsidR="004E1F29">
        <w:t> </w:t>
      </w:r>
      <w:r w:rsidR="006923B3">
        <w:t xml:space="preserve">zwłokę na podstawie marginalnej stopy procentowej </w:t>
      </w:r>
      <w:r w:rsidR="00713568">
        <w:t>Europejskiego Banku Centralnego powiększonej o trzy punkty procentowe.</w:t>
      </w:r>
    </w:p>
    <w:p w14:paraId="3FCF8836" w14:textId="77777777" w:rsidR="00713568" w:rsidRPr="007D46A6" w:rsidRDefault="00713568" w:rsidP="007D46A6">
      <w:pPr>
        <w:pStyle w:val="JuHHead"/>
      </w:pPr>
      <w:r>
        <w:lastRenderedPageBreak/>
        <w:t>Z POWYŻSZYCH WZGLĘDÓW TRYBUNAŁ JEDNOGŁOŚNIE</w:t>
      </w:r>
    </w:p>
    <w:p w14:paraId="17A948AD" w14:textId="7772C236" w:rsidR="00713568" w:rsidRPr="007D46A6" w:rsidRDefault="00713568" w:rsidP="007D46A6">
      <w:pPr>
        <w:pStyle w:val="JuList"/>
      </w:pPr>
      <w:r>
        <w:rPr>
          <w:i/>
          <w:iCs/>
        </w:rPr>
        <w:t>odrzuca</w:t>
      </w:r>
      <w:r>
        <w:t xml:space="preserve"> wniosek Rządu o </w:t>
      </w:r>
      <w:r w:rsidR="009B10A7">
        <w:t>s</w:t>
      </w:r>
      <w:r>
        <w:t xml:space="preserve">kreślenie </w:t>
      </w:r>
      <w:r w:rsidR="009B10A7">
        <w:t xml:space="preserve">z listy spraw zarzutu </w:t>
      </w:r>
      <w:r w:rsidR="006F58A4">
        <w:t>z</w:t>
      </w:r>
      <w:r w:rsidR="009B10A7">
        <w:t xml:space="preserve"> art.</w:t>
      </w:r>
      <w:r w:rsidR="00D203F0">
        <w:t xml:space="preserve"> </w:t>
      </w:r>
      <w:r w:rsidR="009B10A7">
        <w:t>5 ust.</w:t>
      </w:r>
      <w:r w:rsidR="00D203F0">
        <w:t xml:space="preserve"> </w:t>
      </w:r>
      <w:r w:rsidR="009B10A7">
        <w:t xml:space="preserve">4 </w:t>
      </w:r>
      <w:r>
        <w:t>dotyczące</w:t>
      </w:r>
      <w:r w:rsidR="00C45766">
        <w:t>go postanowienia</w:t>
      </w:r>
      <w:r>
        <w:t xml:space="preserve"> z dnia 3 lipca 2019</w:t>
      </w:r>
      <w:r w:rsidR="00D203F0">
        <w:t xml:space="preserve"> </w:t>
      </w:r>
      <w:r>
        <w:t>r;</w:t>
      </w:r>
    </w:p>
    <w:p w14:paraId="5455D79C" w14:textId="1C6E763A" w:rsidR="00713568" w:rsidRPr="007D46A6" w:rsidRDefault="00713568" w:rsidP="007D46A6">
      <w:pPr>
        <w:pStyle w:val="JuList"/>
      </w:pPr>
      <w:r>
        <w:rPr>
          <w:i/>
        </w:rPr>
        <w:t>uznaje</w:t>
      </w:r>
      <w:r>
        <w:t xml:space="preserve"> </w:t>
      </w:r>
      <w:r w:rsidR="006F58A4">
        <w:t xml:space="preserve">za dopuszczalny </w:t>
      </w:r>
      <w:r>
        <w:t xml:space="preserve">zarzut </w:t>
      </w:r>
      <w:r w:rsidR="006F58A4">
        <w:t>z</w:t>
      </w:r>
      <w:r>
        <w:t xml:space="preserve"> art.</w:t>
      </w:r>
      <w:r w:rsidR="00D203F0">
        <w:t xml:space="preserve"> </w:t>
      </w:r>
      <w:r>
        <w:t>5 ust.</w:t>
      </w:r>
      <w:r w:rsidR="00D203F0">
        <w:t xml:space="preserve"> </w:t>
      </w:r>
      <w:r>
        <w:t xml:space="preserve">4 Konwencji dotyczący </w:t>
      </w:r>
      <w:r w:rsidR="000D7AAB">
        <w:t>zażalenia</w:t>
      </w:r>
      <w:r>
        <w:t xml:space="preserve"> skarżącego od </w:t>
      </w:r>
      <w:r w:rsidR="00C45766">
        <w:t>postanowienia</w:t>
      </w:r>
      <w:r>
        <w:t xml:space="preserve"> z dnia </w:t>
      </w:r>
      <w:r>
        <w:rPr>
          <w:color w:val="000000"/>
        </w:rPr>
        <w:t>3 lipca 2019</w:t>
      </w:r>
      <w:r w:rsidR="00D203F0">
        <w:rPr>
          <w:color w:val="000000"/>
        </w:rPr>
        <w:t xml:space="preserve"> </w:t>
      </w:r>
      <w:r>
        <w:t>r.</w:t>
      </w:r>
      <w:r w:rsidR="006F58A4">
        <w:t>, a</w:t>
      </w:r>
      <w:r w:rsidR="004E1F29">
        <w:t> </w:t>
      </w:r>
      <w:r w:rsidR="006F58A4">
        <w:t>za</w:t>
      </w:r>
      <w:r w:rsidR="004E1F29">
        <w:t> </w:t>
      </w:r>
      <w:r w:rsidR="006F58A4">
        <w:t xml:space="preserve">niedopuszczalną </w:t>
      </w:r>
      <w:r>
        <w:t>pozostałą część skargi;</w:t>
      </w:r>
    </w:p>
    <w:p w14:paraId="7C3D4F70" w14:textId="09865BCD" w:rsidR="00713568" w:rsidRPr="007D46A6" w:rsidRDefault="00713568" w:rsidP="007D46A6">
      <w:pPr>
        <w:pStyle w:val="JuList"/>
      </w:pPr>
      <w:r>
        <w:rPr>
          <w:i/>
        </w:rPr>
        <w:t>orzeka</w:t>
      </w:r>
      <w:r>
        <w:t>, że doszło do naruszenia art.</w:t>
      </w:r>
      <w:r w:rsidR="00D203F0">
        <w:t xml:space="preserve"> </w:t>
      </w:r>
      <w:r>
        <w:t>5 ust.</w:t>
      </w:r>
      <w:r w:rsidR="00D203F0">
        <w:t xml:space="preserve"> </w:t>
      </w:r>
      <w:r>
        <w:t>4 Konwencji;</w:t>
      </w:r>
    </w:p>
    <w:p w14:paraId="571D7EBC" w14:textId="77777777" w:rsidR="00713568" w:rsidRPr="007D46A6" w:rsidRDefault="00713568" w:rsidP="007D46A6">
      <w:pPr>
        <w:pStyle w:val="JuList"/>
      </w:pPr>
      <w:r>
        <w:rPr>
          <w:i/>
          <w:iCs/>
        </w:rPr>
        <w:t>orzeka,</w:t>
      </w:r>
    </w:p>
    <w:p w14:paraId="2193E6AA" w14:textId="53E22E80" w:rsidR="00713568" w:rsidRPr="007D46A6" w:rsidRDefault="00713568" w:rsidP="007D46A6">
      <w:pPr>
        <w:pStyle w:val="JuListi"/>
        <w:numPr>
          <w:ilvl w:val="0"/>
          <w:numId w:val="21"/>
        </w:numPr>
        <w:ind w:left="851"/>
      </w:pPr>
      <w:r>
        <w:t xml:space="preserve">że pozwane </w:t>
      </w:r>
      <w:r w:rsidR="00701E0D">
        <w:t xml:space="preserve">państwo </w:t>
      </w:r>
      <w:r>
        <w:t>winno, w terminie trzech miesięcy, uiścić na</w:t>
      </w:r>
      <w:r w:rsidR="004E1F29">
        <w:t> </w:t>
      </w:r>
      <w:r>
        <w:t xml:space="preserve">rzecz skarżącego </w:t>
      </w:r>
      <w:r w:rsidR="00C45766">
        <w:t xml:space="preserve">kwotę </w:t>
      </w:r>
      <w:r>
        <w:t>2000 EUR (dwa tysiące euro), przeliczoną na walutę pozwanego państwa i powiększoną o wszelkie należne podatki</w:t>
      </w:r>
      <w:r w:rsidR="00C45766">
        <w:t>, z tytułu szkody niemajątkowej</w:t>
      </w:r>
      <w:r>
        <w:t>;</w:t>
      </w:r>
    </w:p>
    <w:p w14:paraId="4204BE9B" w14:textId="053C9E8C" w:rsidR="00713568" w:rsidRPr="007D46A6" w:rsidRDefault="00713568" w:rsidP="007D46A6">
      <w:pPr>
        <w:pStyle w:val="JuLista"/>
        <w:numPr>
          <w:ilvl w:val="0"/>
          <w:numId w:val="21"/>
        </w:numPr>
        <w:ind w:left="851"/>
      </w:pPr>
      <w:r>
        <w:t>że od momentu upływu wyżej wskazanego terminu trzech miesięcy aż do momentu uregulowania należności należne będą odsetki zwykłe od określon</w:t>
      </w:r>
      <w:r w:rsidR="00C45766">
        <w:t>ej</w:t>
      </w:r>
      <w:r>
        <w:t xml:space="preserve"> powyżej kwot</w:t>
      </w:r>
      <w:r w:rsidR="00C45766">
        <w:t>y</w:t>
      </w:r>
      <w:r>
        <w:t>, naliczone według stopy równej marginalnej stopie procentowej Europejskiego Banku Centralnego obowiązującej w tym okresie, powiększonej o trzy punkty procentowe;</w:t>
      </w:r>
    </w:p>
    <w:p w14:paraId="4B1118A6" w14:textId="6BFCA510" w:rsidR="004D0EC7" w:rsidRPr="007D46A6" w:rsidRDefault="00713568" w:rsidP="007D46A6">
      <w:pPr>
        <w:pStyle w:val="JuList"/>
      </w:pPr>
      <w:r>
        <w:rPr>
          <w:i/>
          <w:iCs/>
        </w:rPr>
        <w:t>oddala</w:t>
      </w:r>
      <w:r>
        <w:t xml:space="preserve"> </w:t>
      </w:r>
      <w:r w:rsidR="000D7AAB">
        <w:t xml:space="preserve">pozostałe </w:t>
      </w:r>
      <w:r>
        <w:t>żądanie skarżącego dotyczące słusznego zadośćuczynienia.</w:t>
      </w:r>
    </w:p>
    <w:p w14:paraId="69EB7810" w14:textId="1AD0CAA0" w:rsidR="008E3A08" w:rsidRPr="007D46A6" w:rsidRDefault="007E2C8C" w:rsidP="007D46A6">
      <w:pPr>
        <w:pStyle w:val="JuParaLast"/>
      </w:pPr>
      <w:r>
        <w:t>Sporządzono w języku angielskim i obwieszczono pisemnie dnia</w:t>
      </w:r>
      <w:r>
        <w:rPr>
          <w:rFonts w:ascii="Times New Roman" w:hAnsi="Times New Roman"/>
        </w:rPr>
        <w:t xml:space="preserve"> 3 lutego 2022</w:t>
      </w:r>
      <w:r w:rsidR="00D203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  <w:r>
        <w:t>, zgodnie z Regułą</w:t>
      </w:r>
      <w:r w:rsidR="00D203F0">
        <w:t xml:space="preserve"> </w:t>
      </w:r>
      <w:r>
        <w:t>77</w:t>
      </w:r>
      <w:r w:rsidR="00D203F0">
        <w:t xml:space="preserve"> </w:t>
      </w:r>
      <w:r>
        <w:t>§§</w:t>
      </w:r>
      <w:r w:rsidR="00D203F0">
        <w:t xml:space="preserve"> </w:t>
      </w:r>
      <w:r>
        <w:t>2 i 3 Regulaminu Trybunału.</w:t>
      </w:r>
    </w:p>
    <w:p w14:paraId="3D4C2A4A" w14:textId="577AECDD" w:rsidR="001C055B" w:rsidRPr="007D46A6" w:rsidRDefault="002E7764" w:rsidP="00C45766">
      <w:pPr>
        <w:pStyle w:val="JuSigned"/>
        <w:tabs>
          <w:tab w:val="clear" w:pos="1418"/>
          <w:tab w:val="center" w:pos="993"/>
        </w:tabs>
      </w:pPr>
      <w:r>
        <w:tab/>
        <w:t xml:space="preserve">Liv Tigerstedt </w:t>
      </w:r>
      <w:r>
        <w:tab/>
        <w:t>Péter Paczolay</w:t>
      </w:r>
      <w:r>
        <w:br/>
        <w:t>Zastępca Kanclerza</w:t>
      </w:r>
      <w:r>
        <w:tab/>
        <w:t>Przewodniczący</w:t>
      </w:r>
    </w:p>
    <w:sectPr w:rsidR="001C055B" w:rsidRPr="007D46A6" w:rsidSect="007D3701">
      <w:headerReference w:type="even" r:id="rId17"/>
      <w:headerReference w:type="default" r:id="rId18"/>
      <w:footerReference w:type="even" r:id="rId19"/>
      <w:footerReference w:type="default" r:id="rId20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CE7DA" w14:textId="77777777" w:rsidR="007F005B" w:rsidRPr="00713568" w:rsidRDefault="007F005B" w:rsidP="0098410D">
      <w:r w:rsidRPr="00713568">
        <w:separator/>
      </w:r>
    </w:p>
  </w:endnote>
  <w:endnote w:type="continuationSeparator" w:id="0">
    <w:p w14:paraId="6566510E" w14:textId="77777777" w:rsidR="007F005B" w:rsidRPr="00713568" w:rsidRDefault="007F005B" w:rsidP="0098410D">
      <w:r w:rsidRPr="00713568">
        <w:continuationSeparator/>
      </w:r>
    </w:p>
  </w:endnote>
  <w:endnote w:type="continuationNotice" w:id="1">
    <w:p w14:paraId="3FBAE11A" w14:textId="77777777" w:rsidR="007F005B" w:rsidRDefault="007F00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5FDE9" w14:textId="77777777" w:rsidR="0055764E" w:rsidRDefault="005576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7B65D" w14:textId="31E6733F" w:rsidR="00713568" w:rsidRPr="00150BFA" w:rsidRDefault="00713568" w:rsidP="0020718E">
    <w:pPr>
      <w:jc w:val="center"/>
    </w:pPr>
    <w:r>
      <w:rPr>
        <w:noProof/>
        <w:lang w:eastAsia="pl-PL"/>
      </w:rPr>
      <w:drawing>
        <wp:inline distT="0" distB="0" distL="0" distR="0" wp14:anchorId="258D4B29" wp14:editId="3889386A">
          <wp:extent cx="771525" cy="619125"/>
          <wp:effectExtent l="0" t="0" r="9525" b="9525"/>
          <wp:docPr id="46" name="Picture 4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14EB15" w14:textId="03461028" w:rsidR="0098410D" w:rsidRPr="00713568" w:rsidRDefault="0098410D" w:rsidP="00AF12C5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F69AD" w14:textId="270B35D1" w:rsidR="00713568" w:rsidRPr="00150BFA" w:rsidRDefault="00713568" w:rsidP="0020718E">
    <w:pPr>
      <w:jc w:val="center"/>
    </w:pPr>
    <w:r>
      <w:rPr>
        <w:noProof/>
        <w:lang w:eastAsia="pl-PL"/>
      </w:rPr>
      <w:drawing>
        <wp:inline distT="0" distB="0" distL="0" distR="0" wp14:anchorId="2C6DBE4E" wp14:editId="092A719C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0810A7" w14:textId="3C5514C9" w:rsidR="009E7A6F" w:rsidRPr="00713568" w:rsidRDefault="009E7A6F" w:rsidP="009E7A6F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67D39" w14:textId="6DF28D97" w:rsidR="00182EBA" w:rsidRDefault="00713568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B0B7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D043D" w14:textId="56A1A387" w:rsidR="00182EBA" w:rsidRPr="000B7195" w:rsidRDefault="00713568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6B0B7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33D37" w14:textId="77777777" w:rsidR="007F005B" w:rsidRPr="00713568" w:rsidRDefault="007F005B" w:rsidP="0098410D">
      <w:r w:rsidRPr="00713568">
        <w:separator/>
      </w:r>
    </w:p>
  </w:footnote>
  <w:footnote w:type="continuationSeparator" w:id="0">
    <w:p w14:paraId="5216BEAF" w14:textId="77777777" w:rsidR="007F005B" w:rsidRPr="00713568" w:rsidRDefault="007F005B" w:rsidP="0098410D">
      <w:r w:rsidRPr="00713568">
        <w:continuationSeparator/>
      </w:r>
    </w:p>
  </w:footnote>
  <w:footnote w:type="continuationNotice" w:id="1">
    <w:p w14:paraId="45FCA0C6" w14:textId="77777777" w:rsidR="007F005B" w:rsidRDefault="007F00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DACCE2" w14:textId="77777777" w:rsidR="0055764E" w:rsidRDefault="00557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9ACAF" w14:textId="38060667" w:rsidR="00713568" w:rsidRPr="00A45145" w:rsidRDefault="00713568" w:rsidP="00A45145">
    <w:pPr>
      <w:jc w:val="center"/>
    </w:pPr>
    <w:r>
      <w:rPr>
        <w:noProof/>
        <w:lang w:eastAsia="pl-PL"/>
      </w:rPr>
      <w:drawing>
        <wp:inline distT="0" distB="0" distL="0" distR="0" wp14:anchorId="579CAF75" wp14:editId="3103F04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D97A28" w14:textId="7F248B6E" w:rsidR="0098410D" w:rsidRPr="00713568" w:rsidRDefault="0098410D" w:rsidP="00B1479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A4203" w14:textId="23C10878" w:rsidR="00713568" w:rsidRPr="00A45145" w:rsidRDefault="00713568" w:rsidP="00A45145">
    <w:pPr>
      <w:jc w:val="center"/>
    </w:pPr>
    <w:r>
      <w:rPr>
        <w:noProof/>
        <w:lang w:eastAsia="pl-PL"/>
      </w:rPr>
      <w:drawing>
        <wp:inline distT="0" distB="0" distL="0" distR="0" wp14:anchorId="24604442" wp14:editId="1C2765D4">
          <wp:extent cx="2962275" cy="1219200"/>
          <wp:effectExtent l="0" t="0" r="9525" b="0"/>
          <wp:docPr id="39" name="Picture 39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86AD03" w14:textId="2E7A454B" w:rsidR="0098410D" w:rsidRPr="00713568" w:rsidRDefault="0098410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81112" w14:textId="0819757B" w:rsidR="00182EBA" w:rsidRPr="004D0EC7" w:rsidRDefault="00713568" w:rsidP="004D0EC7">
    <w:pPr>
      <w:pStyle w:val="JuHeader"/>
    </w:pPr>
    <w:r>
      <w:t>WYROK w sprawie ŁAKATOSZ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0D347" w14:textId="4B63E44D" w:rsidR="00182EBA" w:rsidRPr="00882CD5" w:rsidRDefault="00713568" w:rsidP="007D3701">
    <w:pPr>
      <w:pStyle w:val="JuHeader"/>
    </w:pPr>
    <w:r>
      <w:t>WYROK w sprawie ŁAKATOSZ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AE22908"/>
    <w:multiLevelType w:val="hybridMultilevel"/>
    <w:tmpl w:val="A5E6FBA2"/>
    <w:lvl w:ilvl="0" w:tplc="2A0A3588">
      <w:start w:val="1"/>
      <w:numFmt w:val="lowerLetter"/>
      <w:lvlText w:val="(%1)"/>
      <w:lvlJc w:val="left"/>
      <w:pPr>
        <w:ind w:left="14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2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16"/>
  </w:num>
  <w:num w:numId="5">
    <w:abstractNumId w:val="14"/>
  </w:num>
  <w:num w:numId="6">
    <w:abstractNumId w:val="17"/>
  </w:num>
  <w:num w:numId="7">
    <w:abstractNumId w:val="16"/>
  </w:num>
  <w:num w:numId="8">
    <w:abstractNumId w:val="17"/>
  </w:num>
  <w:num w:numId="9">
    <w:abstractNumId w:val="11"/>
  </w:num>
  <w:num w:numId="10">
    <w:abstractNumId w:val="9"/>
  </w:num>
  <w:num w:numId="11">
    <w:abstractNumId w:val="18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0"/>
    <w:docVar w:name="SignForeName" w:val="0"/>
    <w:docVar w:name="SndCaseNumber" w:val="Error!Nodocumentvariablesupplied."/>
  </w:docVars>
  <w:rsids>
    <w:rsidRoot w:val="00713568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34B80"/>
    <w:rsid w:val="00041560"/>
    <w:rsid w:val="00047B5D"/>
    <w:rsid w:val="000602DF"/>
    <w:rsid w:val="00061B05"/>
    <w:rsid w:val="000632D5"/>
    <w:rsid w:val="000644EE"/>
    <w:rsid w:val="0007780A"/>
    <w:rsid w:val="00085457"/>
    <w:rsid w:val="00090C4E"/>
    <w:rsid w:val="000925AD"/>
    <w:rsid w:val="00096FE1"/>
    <w:rsid w:val="00097A62"/>
    <w:rsid w:val="000A24EB"/>
    <w:rsid w:val="000B162C"/>
    <w:rsid w:val="000B58EA"/>
    <w:rsid w:val="000B686A"/>
    <w:rsid w:val="000B6923"/>
    <w:rsid w:val="000B7195"/>
    <w:rsid w:val="000C5F3C"/>
    <w:rsid w:val="000C6DCC"/>
    <w:rsid w:val="000D2D45"/>
    <w:rsid w:val="000D47AA"/>
    <w:rsid w:val="000D721F"/>
    <w:rsid w:val="000D7AAB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10DA8"/>
    <w:rsid w:val="00111B0C"/>
    <w:rsid w:val="00120D6C"/>
    <w:rsid w:val="001257EC"/>
    <w:rsid w:val="001263D7"/>
    <w:rsid w:val="0012684F"/>
    <w:rsid w:val="00131080"/>
    <w:rsid w:val="00133D33"/>
    <w:rsid w:val="00134B6A"/>
    <w:rsid w:val="00134D64"/>
    <w:rsid w:val="00135A30"/>
    <w:rsid w:val="0013612C"/>
    <w:rsid w:val="00137FF6"/>
    <w:rsid w:val="00141650"/>
    <w:rsid w:val="001561B6"/>
    <w:rsid w:val="00157001"/>
    <w:rsid w:val="00162A12"/>
    <w:rsid w:val="00166530"/>
    <w:rsid w:val="00170027"/>
    <w:rsid w:val="00182555"/>
    <w:rsid w:val="00182EBA"/>
    <w:rsid w:val="001832BD"/>
    <w:rsid w:val="00191A9D"/>
    <w:rsid w:val="001932D2"/>
    <w:rsid w:val="001943B5"/>
    <w:rsid w:val="00195134"/>
    <w:rsid w:val="001A020C"/>
    <w:rsid w:val="001A1347"/>
    <w:rsid w:val="001A145B"/>
    <w:rsid w:val="001A3E09"/>
    <w:rsid w:val="001A5CC5"/>
    <w:rsid w:val="001A674C"/>
    <w:rsid w:val="001B3B24"/>
    <w:rsid w:val="001C055B"/>
    <w:rsid w:val="001C0F98"/>
    <w:rsid w:val="001C2A42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08B5"/>
    <w:rsid w:val="0021093F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07C7"/>
    <w:rsid w:val="00252C4E"/>
    <w:rsid w:val="002532C5"/>
    <w:rsid w:val="00254DF2"/>
    <w:rsid w:val="00260C03"/>
    <w:rsid w:val="0026439A"/>
    <w:rsid w:val="0026540E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547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7EE4"/>
    <w:rsid w:val="00340FFD"/>
    <w:rsid w:val="003415C1"/>
    <w:rsid w:val="00345C41"/>
    <w:rsid w:val="003506B1"/>
    <w:rsid w:val="00355877"/>
    <w:rsid w:val="00356AC7"/>
    <w:rsid w:val="003609FA"/>
    <w:rsid w:val="003710C8"/>
    <w:rsid w:val="003750BE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A030D"/>
    <w:rsid w:val="003B4941"/>
    <w:rsid w:val="003B4D6E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4C45"/>
    <w:rsid w:val="003F5C24"/>
    <w:rsid w:val="003F5F7B"/>
    <w:rsid w:val="003F7D64"/>
    <w:rsid w:val="0040433A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61DB0"/>
    <w:rsid w:val="00463926"/>
    <w:rsid w:val="00464AB7"/>
    <w:rsid w:val="00464C9A"/>
    <w:rsid w:val="004715A8"/>
    <w:rsid w:val="00474F3D"/>
    <w:rsid w:val="00477E3A"/>
    <w:rsid w:val="00483E5F"/>
    <w:rsid w:val="004847F5"/>
    <w:rsid w:val="00485FF9"/>
    <w:rsid w:val="0049049B"/>
    <w:rsid w:val="004907F0"/>
    <w:rsid w:val="0049140B"/>
    <w:rsid w:val="004923A5"/>
    <w:rsid w:val="0049310E"/>
    <w:rsid w:val="004950E2"/>
    <w:rsid w:val="00496BFB"/>
    <w:rsid w:val="00497905"/>
    <w:rsid w:val="004A15C7"/>
    <w:rsid w:val="004A3201"/>
    <w:rsid w:val="004A7044"/>
    <w:rsid w:val="004B013B"/>
    <w:rsid w:val="004B112B"/>
    <w:rsid w:val="004B30BE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92C"/>
    <w:rsid w:val="004D4EF1"/>
    <w:rsid w:val="004D5311"/>
    <w:rsid w:val="004D5DCC"/>
    <w:rsid w:val="004D7E45"/>
    <w:rsid w:val="004E1F29"/>
    <w:rsid w:val="004E5C7F"/>
    <w:rsid w:val="004F10AF"/>
    <w:rsid w:val="004F11A4"/>
    <w:rsid w:val="004F2389"/>
    <w:rsid w:val="004F304D"/>
    <w:rsid w:val="004F4290"/>
    <w:rsid w:val="004F61BE"/>
    <w:rsid w:val="004F66B1"/>
    <w:rsid w:val="00511C07"/>
    <w:rsid w:val="005125CB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4A10"/>
    <w:rsid w:val="00537476"/>
    <w:rsid w:val="005442EE"/>
    <w:rsid w:val="00544FED"/>
    <w:rsid w:val="00545DA6"/>
    <w:rsid w:val="00547353"/>
    <w:rsid w:val="005474E7"/>
    <w:rsid w:val="00547A17"/>
    <w:rsid w:val="005512A3"/>
    <w:rsid w:val="0055764E"/>
    <w:rsid w:val="005578CE"/>
    <w:rsid w:val="00562781"/>
    <w:rsid w:val="00562B6C"/>
    <w:rsid w:val="0057271C"/>
    <w:rsid w:val="00572845"/>
    <w:rsid w:val="005879A2"/>
    <w:rsid w:val="00591AC3"/>
    <w:rsid w:val="00592772"/>
    <w:rsid w:val="0059574A"/>
    <w:rsid w:val="005A1B9B"/>
    <w:rsid w:val="005A23A3"/>
    <w:rsid w:val="005A2E79"/>
    <w:rsid w:val="005A3E1A"/>
    <w:rsid w:val="005A4CBD"/>
    <w:rsid w:val="005A6751"/>
    <w:rsid w:val="005B092E"/>
    <w:rsid w:val="005B152C"/>
    <w:rsid w:val="005B1A19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60044C"/>
    <w:rsid w:val="00611C80"/>
    <w:rsid w:val="00620692"/>
    <w:rsid w:val="006242CA"/>
    <w:rsid w:val="00627507"/>
    <w:rsid w:val="00633717"/>
    <w:rsid w:val="006344E1"/>
    <w:rsid w:val="00643524"/>
    <w:rsid w:val="0064393B"/>
    <w:rsid w:val="00645CF2"/>
    <w:rsid w:val="006545C4"/>
    <w:rsid w:val="00661971"/>
    <w:rsid w:val="00661CE8"/>
    <w:rsid w:val="006623D9"/>
    <w:rsid w:val="006642A5"/>
    <w:rsid w:val="0066550C"/>
    <w:rsid w:val="00665BD2"/>
    <w:rsid w:val="006716F2"/>
    <w:rsid w:val="00675AF2"/>
    <w:rsid w:val="00682BF2"/>
    <w:rsid w:val="00685400"/>
    <w:rsid w:val="0068573E"/>
    <w:rsid w:val="006859CE"/>
    <w:rsid w:val="00691270"/>
    <w:rsid w:val="006923B3"/>
    <w:rsid w:val="00694BA8"/>
    <w:rsid w:val="006A037C"/>
    <w:rsid w:val="006A0C84"/>
    <w:rsid w:val="006A36F4"/>
    <w:rsid w:val="006A406F"/>
    <w:rsid w:val="006A5D3A"/>
    <w:rsid w:val="006B0B7E"/>
    <w:rsid w:val="006B1942"/>
    <w:rsid w:val="006C23D4"/>
    <w:rsid w:val="006C7BB0"/>
    <w:rsid w:val="006D3237"/>
    <w:rsid w:val="006D6032"/>
    <w:rsid w:val="006D6A6D"/>
    <w:rsid w:val="006E2E37"/>
    <w:rsid w:val="006E3CF1"/>
    <w:rsid w:val="006E68A3"/>
    <w:rsid w:val="006E7E80"/>
    <w:rsid w:val="006F1C2D"/>
    <w:rsid w:val="006F48CA"/>
    <w:rsid w:val="006F58A4"/>
    <w:rsid w:val="006F64DD"/>
    <w:rsid w:val="006F712D"/>
    <w:rsid w:val="007019E2"/>
    <w:rsid w:val="00701E0D"/>
    <w:rsid w:val="00707531"/>
    <w:rsid w:val="00713568"/>
    <w:rsid w:val="00715127"/>
    <w:rsid w:val="00715E8E"/>
    <w:rsid w:val="00715FE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0314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26FD"/>
    <w:rsid w:val="00793366"/>
    <w:rsid w:val="0079666C"/>
    <w:rsid w:val="007A6333"/>
    <w:rsid w:val="007A716F"/>
    <w:rsid w:val="007B270A"/>
    <w:rsid w:val="007B4182"/>
    <w:rsid w:val="007B4779"/>
    <w:rsid w:val="007C0695"/>
    <w:rsid w:val="007C419A"/>
    <w:rsid w:val="007C4CC8"/>
    <w:rsid w:val="007C5426"/>
    <w:rsid w:val="007C5798"/>
    <w:rsid w:val="007D1ECD"/>
    <w:rsid w:val="007D3701"/>
    <w:rsid w:val="007D46A6"/>
    <w:rsid w:val="007D4832"/>
    <w:rsid w:val="007E21B2"/>
    <w:rsid w:val="007E2C4E"/>
    <w:rsid w:val="007E2C8C"/>
    <w:rsid w:val="007E51BA"/>
    <w:rsid w:val="007E73D7"/>
    <w:rsid w:val="007F005B"/>
    <w:rsid w:val="007F1905"/>
    <w:rsid w:val="007F27E4"/>
    <w:rsid w:val="007F3437"/>
    <w:rsid w:val="00802C64"/>
    <w:rsid w:val="00805AAF"/>
    <w:rsid w:val="00805E52"/>
    <w:rsid w:val="008061D0"/>
    <w:rsid w:val="00806C9B"/>
    <w:rsid w:val="00810B38"/>
    <w:rsid w:val="008204C7"/>
    <w:rsid w:val="00820992"/>
    <w:rsid w:val="00822DD9"/>
    <w:rsid w:val="00823602"/>
    <w:rsid w:val="008255F5"/>
    <w:rsid w:val="00826890"/>
    <w:rsid w:val="0083014E"/>
    <w:rsid w:val="008318E1"/>
    <w:rsid w:val="0083214A"/>
    <w:rsid w:val="00834220"/>
    <w:rsid w:val="008421F5"/>
    <w:rsid w:val="00845723"/>
    <w:rsid w:val="008519E7"/>
    <w:rsid w:val="00851E63"/>
    <w:rsid w:val="00851EF9"/>
    <w:rsid w:val="008577FD"/>
    <w:rsid w:val="00860B03"/>
    <w:rsid w:val="0086497A"/>
    <w:rsid w:val="00867066"/>
    <w:rsid w:val="008713A1"/>
    <w:rsid w:val="00872584"/>
    <w:rsid w:val="008748F9"/>
    <w:rsid w:val="008754AB"/>
    <w:rsid w:val="0088060C"/>
    <w:rsid w:val="00882CD5"/>
    <w:rsid w:val="00883151"/>
    <w:rsid w:val="00884FCE"/>
    <w:rsid w:val="00893576"/>
    <w:rsid w:val="00893E73"/>
    <w:rsid w:val="008A000E"/>
    <w:rsid w:val="008B02DC"/>
    <w:rsid w:val="008B092C"/>
    <w:rsid w:val="008B57CE"/>
    <w:rsid w:val="008C26DE"/>
    <w:rsid w:val="008D2225"/>
    <w:rsid w:val="008D3BD2"/>
    <w:rsid w:val="008D4752"/>
    <w:rsid w:val="008D5A13"/>
    <w:rsid w:val="008E271C"/>
    <w:rsid w:val="008E3A08"/>
    <w:rsid w:val="008E418E"/>
    <w:rsid w:val="008E5BC6"/>
    <w:rsid w:val="008E6217"/>
    <w:rsid w:val="008E6A25"/>
    <w:rsid w:val="008F1AF5"/>
    <w:rsid w:val="008F2554"/>
    <w:rsid w:val="008F3AEC"/>
    <w:rsid w:val="008F4D80"/>
    <w:rsid w:val="008F5193"/>
    <w:rsid w:val="008F6B36"/>
    <w:rsid w:val="009013A7"/>
    <w:rsid w:val="009017FB"/>
    <w:rsid w:val="009017FC"/>
    <w:rsid w:val="00901D6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B1D"/>
    <w:rsid w:val="00941EFB"/>
    <w:rsid w:val="00947AFB"/>
    <w:rsid w:val="00951AA3"/>
    <w:rsid w:val="00951D7D"/>
    <w:rsid w:val="00956D0C"/>
    <w:rsid w:val="00961EDA"/>
    <w:rsid w:val="009630C7"/>
    <w:rsid w:val="00963492"/>
    <w:rsid w:val="00972B55"/>
    <w:rsid w:val="009731D6"/>
    <w:rsid w:val="009743B7"/>
    <w:rsid w:val="0098228B"/>
    <w:rsid w:val="009828DA"/>
    <w:rsid w:val="0098410D"/>
    <w:rsid w:val="00985BAB"/>
    <w:rsid w:val="00986B3C"/>
    <w:rsid w:val="00993E9F"/>
    <w:rsid w:val="009965F2"/>
    <w:rsid w:val="009A115C"/>
    <w:rsid w:val="009A7FC1"/>
    <w:rsid w:val="009B10A7"/>
    <w:rsid w:val="009B1606"/>
    <w:rsid w:val="009B1B5F"/>
    <w:rsid w:val="009B57B9"/>
    <w:rsid w:val="009B6673"/>
    <w:rsid w:val="009C0C8F"/>
    <w:rsid w:val="009C191B"/>
    <w:rsid w:val="009C2BD6"/>
    <w:rsid w:val="009D57AA"/>
    <w:rsid w:val="009E003A"/>
    <w:rsid w:val="009E1F32"/>
    <w:rsid w:val="009E2CC2"/>
    <w:rsid w:val="009E47A2"/>
    <w:rsid w:val="009E776C"/>
    <w:rsid w:val="009E7A6F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51D0F"/>
    <w:rsid w:val="00A523EB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75AB5"/>
    <w:rsid w:val="00A82359"/>
    <w:rsid w:val="00A865D2"/>
    <w:rsid w:val="00A875C2"/>
    <w:rsid w:val="00A90BCD"/>
    <w:rsid w:val="00A94C20"/>
    <w:rsid w:val="00AA1B09"/>
    <w:rsid w:val="00AA227F"/>
    <w:rsid w:val="00AA3BC7"/>
    <w:rsid w:val="00AA754A"/>
    <w:rsid w:val="00AB099E"/>
    <w:rsid w:val="00AB4328"/>
    <w:rsid w:val="00AB55D8"/>
    <w:rsid w:val="00AB764D"/>
    <w:rsid w:val="00AC4CD4"/>
    <w:rsid w:val="00AE0A2E"/>
    <w:rsid w:val="00AE354C"/>
    <w:rsid w:val="00AF4B07"/>
    <w:rsid w:val="00AF4C3D"/>
    <w:rsid w:val="00AF6186"/>
    <w:rsid w:val="00AF7A3A"/>
    <w:rsid w:val="00B02587"/>
    <w:rsid w:val="00B049D1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55EA2"/>
    <w:rsid w:val="00B63EFA"/>
    <w:rsid w:val="00B701E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B7C7E"/>
    <w:rsid w:val="00BC0B99"/>
    <w:rsid w:val="00BC1C27"/>
    <w:rsid w:val="00BC6BBF"/>
    <w:rsid w:val="00BC706B"/>
    <w:rsid w:val="00BD1572"/>
    <w:rsid w:val="00BE14E3"/>
    <w:rsid w:val="00BE3774"/>
    <w:rsid w:val="00BE41E5"/>
    <w:rsid w:val="00BF118F"/>
    <w:rsid w:val="00BF138F"/>
    <w:rsid w:val="00BF4109"/>
    <w:rsid w:val="00BF4CC3"/>
    <w:rsid w:val="00C054C7"/>
    <w:rsid w:val="00C057B5"/>
    <w:rsid w:val="00C07D0E"/>
    <w:rsid w:val="00C115C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5766"/>
    <w:rsid w:val="00C477F7"/>
    <w:rsid w:val="00C479DE"/>
    <w:rsid w:val="00C509A6"/>
    <w:rsid w:val="00C53272"/>
    <w:rsid w:val="00C53F4A"/>
    <w:rsid w:val="00C54125"/>
    <w:rsid w:val="00C55B54"/>
    <w:rsid w:val="00C6098E"/>
    <w:rsid w:val="00C6152C"/>
    <w:rsid w:val="00C74810"/>
    <w:rsid w:val="00C90D68"/>
    <w:rsid w:val="00C939FE"/>
    <w:rsid w:val="00C96CE5"/>
    <w:rsid w:val="00CA4BDA"/>
    <w:rsid w:val="00CB13E3"/>
    <w:rsid w:val="00CB1F66"/>
    <w:rsid w:val="00CB232C"/>
    <w:rsid w:val="00CB2951"/>
    <w:rsid w:val="00CB4277"/>
    <w:rsid w:val="00CC5067"/>
    <w:rsid w:val="00CD0C01"/>
    <w:rsid w:val="00CD11D3"/>
    <w:rsid w:val="00CD282B"/>
    <w:rsid w:val="00CD447B"/>
    <w:rsid w:val="00CD4C35"/>
    <w:rsid w:val="00CD7369"/>
    <w:rsid w:val="00CE0B0E"/>
    <w:rsid w:val="00CE3831"/>
    <w:rsid w:val="00CE46A3"/>
    <w:rsid w:val="00CF2397"/>
    <w:rsid w:val="00CF3710"/>
    <w:rsid w:val="00D00A48"/>
    <w:rsid w:val="00D00ABB"/>
    <w:rsid w:val="00D02EEC"/>
    <w:rsid w:val="00D03551"/>
    <w:rsid w:val="00D06A63"/>
    <w:rsid w:val="00D07E0E"/>
    <w:rsid w:val="00D10CD6"/>
    <w:rsid w:val="00D11478"/>
    <w:rsid w:val="00D12D4A"/>
    <w:rsid w:val="00D15ED0"/>
    <w:rsid w:val="00D164BF"/>
    <w:rsid w:val="00D203F0"/>
    <w:rsid w:val="00D21B3E"/>
    <w:rsid w:val="00D21FED"/>
    <w:rsid w:val="00D23048"/>
    <w:rsid w:val="00D24251"/>
    <w:rsid w:val="00D24D02"/>
    <w:rsid w:val="00D26E72"/>
    <w:rsid w:val="00D343E2"/>
    <w:rsid w:val="00D361A2"/>
    <w:rsid w:val="00D37272"/>
    <w:rsid w:val="00D44C2E"/>
    <w:rsid w:val="00D45414"/>
    <w:rsid w:val="00D50A0A"/>
    <w:rsid w:val="00D53548"/>
    <w:rsid w:val="00D5576B"/>
    <w:rsid w:val="00D566BD"/>
    <w:rsid w:val="00D57018"/>
    <w:rsid w:val="00D57A4D"/>
    <w:rsid w:val="00D60AA7"/>
    <w:rsid w:val="00D6435F"/>
    <w:rsid w:val="00D66471"/>
    <w:rsid w:val="00D70641"/>
    <w:rsid w:val="00D74888"/>
    <w:rsid w:val="00D7488B"/>
    <w:rsid w:val="00D75E28"/>
    <w:rsid w:val="00D772C2"/>
    <w:rsid w:val="00D8008E"/>
    <w:rsid w:val="00D82C45"/>
    <w:rsid w:val="00D908A8"/>
    <w:rsid w:val="00D977B6"/>
    <w:rsid w:val="00DA1223"/>
    <w:rsid w:val="00DA4A31"/>
    <w:rsid w:val="00DA7B04"/>
    <w:rsid w:val="00DB36C2"/>
    <w:rsid w:val="00DC169B"/>
    <w:rsid w:val="00DC2AB9"/>
    <w:rsid w:val="00DC63F0"/>
    <w:rsid w:val="00DD2262"/>
    <w:rsid w:val="00DD37EA"/>
    <w:rsid w:val="00DD6EE5"/>
    <w:rsid w:val="00DE386C"/>
    <w:rsid w:val="00DE4D35"/>
    <w:rsid w:val="00DE64D7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3C96"/>
    <w:rsid w:val="00E275D7"/>
    <w:rsid w:val="00E27DBE"/>
    <w:rsid w:val="00E32AB1"/>
    <w:rsid w:val="00E36C71"/>
    <w:rsid w:val="00E3720F"/>
    <w:rsid w:val="00E40404"/>
    <w:rsid w:val="00E4126A"/>
    <w:rsid w:val="00E42A06"/>
    <w:rsid w:val="00E459C6"/>
    <w:rsid w:val="00E47589"/>
    <w:rsid w:val="00E55306"/>
    <w:rsid w:val="00E63EC7"/>
    <w:rsid w:val="00E64915"/>
    <w:rsid w:val="00E64D3A"/>
    <w:rsid w:val="00E661D4"/>
    <w:rsid w:val="00E67565"/>
    <w:rsid w:val="00E70091"/>
    <w:rsid w:val="00E70D2E"/>
    <w:rsid w:val="00E720F5"/>
    <w:rsid w:val="00E76D47"/>
    <w:rsid w:val="00E827BC"/>
    <w:rsid w:val="00E849F7"/>
    <w:rsid w:val="00E90302"/>
    <w:rsid w:val="00E91D05"/>
    <w:rsid w:val="00E9262D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18C1"/>
    <w:rsid w:val="00F0311E"/>
    <w:rsid w:val="00F036A2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26D3A"/>
    <w:rsid w:val="00F32269"/>
    <w:rsid w:val="00F35B7A"/>
    <w:rsid w:val="00F47928"/>
    <w:rsid w:val="00F56A6F"/>
    <w:rsid w:val="00F5709C"/>
    <w:rsid w:val="00F60B85"/>
    <w:rsid w:val="00F60CD5"/>
    <w:rsid w:val="00F64EF1"/>
    <w:rsid w:val="00F65640"/>
    <w:rsid w:val="00F67E31"/>
    <w:rsid w:val="00F72B14"/>
    <w:rsid w:val="00F7349B"/>
    <w:rsid w:val="00F8765F"/>
    <w:rsid w:val="00F90767"/>
    <w:rsid w:val="00F9263C"/>
    <w:rsid w:val="00FA1637"/>
    <w:rsid w:val="00FA3D00"/>
    <w:rsid w:val="00FA685B"/>
    <w:rsid w:val="00FB0C01"/>
    <w:rsid w:val="00FB5934"/>
    <w:rsid w:val="00FC18F2"/>
    <w:rsid w:val="00FC2A17"/>
    <w:rsid w:val="00FC3591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108C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2643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26439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26439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26439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26439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26439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26439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26439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26439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26439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26439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26439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26439A"/>
    <w:pPr>
      <w:jc w:val="both"/>
    </w:pPr>
  </w:style>
  <w:style w:type="character" w:styleId="Pogrubienie">
    <w:name w:val="Strong"/>
    <w:uiPriority w:val="98"/>
    <w:semiHidden/>
    <w:qFormat/>
    <w:rsid w:val="0026439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26439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26439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26439A"/>
    <w:pPr>
      <w:spacing w:before="120" w:after="120"/>
      <w:ind w:left="425" w:firstLine="142"/>
    </w:pPr>
    <w:rPr>
      <w:sz w:val="20"/>
    </w:rPr>
  </w:style>
  <w:style w:type="paragraph" w:customStyle="1" w:styleId="DummyStyle">
    <w:name w:val="Dummy_Style"/>
    <w:aliases w:val="_Dummy"/>
    <w:basedOn w:val="Normalny"/>
    <w:semiHidden/>
    <w:qFormat/>
    <w:rsid w:val="0026439A"/>
    <w:rPr>
      <w:color w:val="00B050"/>
      <w:sz w:val="22"/>
    </w:rPr>
  </w:style>
  <w:style w:type="paragraph" w:customStyle="1" w:styleId="JuList">
    <w:name w:val="Ju_List"/>
    <w:aliases w:val="_List_1"/>
    <w:basedOn w:val="NormalJustified"/>
    <w:uiPriority w:val="23"/>
    <w:qFormat/>
    <w:rsid w:val="0026439A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26439A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26439A"/>
    <w:pPr>
      <w:numPr>
        <w:ilvl w:val="2"/>
        <w:numId w:val="1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26439A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26439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26439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26439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26439A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26439A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26439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26439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26439A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26439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26439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26439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26439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26439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2643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26439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26439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26439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26439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26439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26439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26439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26439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26439A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26439A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26439A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26439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26439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26439A"/>
    <w:rPr>
      <w:caps w:val="0"/>
      <w:smallCaps/>
    </w:rPr>
  </w:style>
  <w:style w:type="character" w:styleId="Wyrnieniedelikatne">
    <w:name w:val="Subtle Emphasis"/>
    <w:uiPriority w:val="98"/>
    <w:semiHidden/>
    <w:qFormat/>
    <w:rsid w:val="0026439A"/>
    <w:rPr>
      <w:i/>
      <w:iCs/>
    </w:rPr>
  </w:style>
  <w:style w:type="table" w:customStyle="1" w:styleId="ECHRTable">
    <w:name w:val="ECHR_Table"/>
    <w:basedOn w:val="Standardowy"/>
    <w:rsid w:val="0026439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26439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26439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26439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26439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26439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26439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26439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26439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26439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26439A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26439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26439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26439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26439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26439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26439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26439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26439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26439A"/>
    <w:rPr>
      <w:smallCaps/>
    </w:rPr>
  </w:style>
  <w:style w:type="table" w:styleId="Tabela-Siatka">
    <w:name w:val="Table Grid"/>
    <w:basedOn w:val="Standardowy"/>
    <w:uiPriority w:val="59"/>
    <w:semiHidden/>
    <w:rsid w:val="0026439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26439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26439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26439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26439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6439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26439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26439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26439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26439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26439A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26439A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26439A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26439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26439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26439A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26439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6439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26439A"/>
  </w:style>
  <w:style w:type="paragraph" w:styleId="Tekstblokowy">
    <w:name w:val="Block Text"/>
    <w:basedOn w:val="Normalny"/>
    <w:uiPriority w:val="98"/>
    <w:semiHidden/>
    <w:rsid w:val="0026439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26439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264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26439A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26439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26439A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26439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26439A"/>
    <w:pPr>
      <w:ind w:firstLine="284"/>
      <w:jc w:val="both"/>
    </w:pPr>
    <w:rPr>
      <w:b/>
    </w:rPr>
  </w:style>
  <w:style w:type="character" w:styleId="Numerstrony">
    <w:name w:val="page number"/>
    <w:uiPriority w:val="98"/>
    <w:semiHidden/>
    <w:rsid w:val="0026439A"/>
    <w:rPr>
      <w:sz w:val="18"/>
    </w:rPr>
  </w:style>
  <w:style w:type="paragraph" w:styleId="Listapunktowana">
    <w:name w:val="List Bullet"/>
    <w:basedOn w:val="Normalny"/>
    <w:uiPriority w:val="98"/>
    <w:semiHidden/>
    <w:rsid w:val="0026439A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26439A"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26439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26439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26439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26439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26439A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26439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26439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26439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26439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26439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26439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2643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26439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26439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26439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26439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2643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2643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26439A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2643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26439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26439A"/>
  </w:style>
  <w:style w:type="character" w:customStyle="1" w:styleId="DataZnak">
    <w:name w:val="Data Znak"/>
    <w:basedOn w:val="Domylnaczcionkaakapitu"/>
    <w:link w:val="Data"/>
    <w:uiPriority w:val="98"/>
    <w:semiHidden/>
    <w:rsid w:val="0026439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26439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26439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2643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26439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26439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26439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26439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26439A"/>
  </w:style>
  <w:style w:type="paragraph" w:styleId="HTML-adres">
    <w:name w:val="HTML Address"/>
    <w:basedOn w:val="Normalny"/>
    <w:link w:val="HTML-adresZnak"/>
    <w:uiPriority w:val="98"/>
    <w:semiHidden/>
    <w:rsid w:val="0026439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26439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26439A"/>
    <w:rPr>
      <w:i/>
      <w:iCs/>
    </w:rPr>
  </w:style>
  <w:style w:type="character" w:styleId="HTML-kod">
    <w:name w:val="HTML Code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26439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26439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26439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26439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26439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26439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26439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26439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26439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26439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26439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26439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26439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26439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26439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26439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26439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26439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26439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26439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26439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26439A"/>
  </w:style>
  <w:style w:type="paragraph" w:styleId="Lista">
    <w:name w:val="List"/>
    <w:basedOn w:val="Normalny"/>
    <w:uiPriority w:val="98"/>
    <w:semiHidden/>
    <w:rsid w:val="0026439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26439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26439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26439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26439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26439A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26439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26439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26439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26439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26439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26439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26439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26439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26439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26439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26439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26439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26439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26439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26439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26439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26439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26439A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26439A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26439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26439A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26439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26439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26439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26439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26439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26439A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6439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6439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26439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26439A"/>
  </w:style>
  <w:style w:type="table" w:styleId="Tabela-Profesjonalny">
    <w:name w:val="Table Professional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26439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26439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26439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26439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26439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26439A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26439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26439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26439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26439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26439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26439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26439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26439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26439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26439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26439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26439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26439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26439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26439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26439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26439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26439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26439A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26439A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26439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26439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26439A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26439A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26439A"/>
    <w:rPr>
      <w:sz w:val="4"/>
    </w:rPr>
  </w:style>
  <w:style w:type="table" w:customStyle="1" w:styleId="ECHRTableGrey">
    <w:name w:val="ECHR_Table_Grey"/>
    <w:basedOn w:val="Standardowy"/>
    <w:uiPriority w:val="99"/>
    <w:rsid w:val="0026439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FC1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713568"/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C9130-A292-4E6A-A07B-CA10EAE0A5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E855D6-83EC-4CB1-954D-88DD180A66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07BB77-FD2D-4BD3-8619-9029B87BD1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971E8B-DE16-4CF8-8D70-AE20E1928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1559</Words>
  <Characters>9844</Characters>
  <Application>Microsoft Office Word</Application>
  <DocSecurity>0</DocSecurity>
  <Lines>172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2022-07-18T10:51:00Z</dcterms:created>
  <dcterms:modified xsi:type="dcterms:W3CDTF">2022-07-18T10:51:00Z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27318/19</vt:lpwstr>
  </property>
  <property fmtid="{D5CDD505-2E9C-101B-9397-08002B2CF9AE}" pid="4" name="CASEID">
    <vt:lpwstr>1455343</vt:lpwstr>
  </property>
  <property fmtid="{D5CDD505-2E9C-101B-9397-08002B2CF9AE}" pid="5" name="ContentTypeId">
    <vt:lpwstr>0x010100558EB02BDB9E204AB350EDD385B68E10</vt:lpwstr>
  </property>
</Properties>
</file>