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7D46A6" w:rsidR="00713568" w:rsidP="007D46A6" w:rsidRDefault="00713568" w14:paraId="49323EE5" w14:textId="77777777">
      <w:pPr>
        <w:jc w:val="center"/>
        <w:rPr>
          <w:rFonts w:ascii="Times New Roman" w:hAnsi="Times New Roman" w:cs="Times New Roman"/>
          <w:noProof/>
        </w:rPr>
      </w:pPr>
    </w:p>
    <w:p w:rsidRPr="007D46A6" w:rsidR="0098410D" w:rsidP="007D46A6" w:rsidRDefault="0098410D" w14:paraId="4EA232F2" w14:textId="77777777">
      <w:pPr>
        <w:jc w:val="center"/>
      </w:pPr>
    </w:p>
    <w:p w:rsidRPr="007D46A6" w:rsidR="0098410D" w:rsidP="007D46A6" w:rsidRDefault="00713568" w14:paraId="3F895F0E" w14:textId="66461ECC">
      <w:pPr>
        <w:pStyle w:val="DecHTitle"/>
      </w:pPr>
      <w:r w:rsidRPr="007D46A6">
        <w:t>FIRST SECTION</w:t>
      </w:r>
    </w:p>
    <w:p w:rsidRPr="007D46A6" w:rsidR="008E6217" w:rsidP="007D46A6" w:rsidRDefault="008E6217" w14:paraId="14108091" w14:textId="6384B57A">
      <w:pPr>
        <w:pStyle w:val="JuTitle"/>
      </w:pPr>
      <w:bookmarkStart w:name="To" w:id="0"/>
      <w:r w:rsidRPr="007D46A6">
        <w:rPr>
          <w:color w:val="000000" w:themeColor="text1"/>
        </w:rPr>
        <w:t xml:space="preserve">CASE OF </w:t>
      </w:r>
      <w:bookmarkEnd w:id="0"/>
      <w:r w:rsidRPr="007D46A6" w:rsidR="00713568">
        <w:t>ŁAKATOSZ v. POLAND</w:t>
      </w:r>
    </w:p>
    <w:p w:rsidRPr="007D46A6" w:rsidR="00D74888" w:rsidP="007D46A6" w:rsidRDefault="008E6217" w14:paraId="58210467" w14:textId="006FA576">
      <w:pPr>
        <w:pStyle w:val="ECHRCoverTitle4"/>
      </w:pPr>
      <w:r w:rsidRPr="007D46A6">
        <w:t>(</w:t>
      </w:r>
      <w:r w:rsidRPr="007D46A6" w:rsidR="00713568">
        <w:rPr>
          <w:noProof/>
        </w:rPr>
        <w:t>Application no.</w:t>
      </w:r>
      <w:r w:rsidRPr="007D46A6">
        <w:t xml:space="preserve"> </w:t>
      </w:r>
      <w:r w:rsidRPr="007D46A6" w:rsidR="00713568">
        <w:t>27318/19</w:t>
      </w:r>
      <w:r w:rsidRPr="007D46A6">
        <w:t>)</w:t>
      </w:r>
    </w:p>
    <w:p w:rsidRPr="007D46A6" w:rsidR="0098410D" w:rsidP="007D46A6" w:rsidRDefault="0098410D" w14:paraId="05B2D96F" w14:textId="77777777">
      <w:pPr>
        <w:pStyle w:val="DecHCase"/>
      </w:pPr>
    </w:p>
    <w:p w:rsidRPr="007D46A6" w:rsidR="0098410D" w:rsidP="007D46A6" w:rsidRDefault="0098410D" w14:paraId="394C2E06" w14:textId="77777777">
      <w:pPr>
        <w:pStyle w:val="DecHCase"/>
      </w:pPr>
    </w:p>
    <w:p w:rsidRPr="007D46A6" w:rsidR="00AC4CD4" w:rsidP="007D46A6" w:rsidRDefault="00AC4CD4" w14:paraId="3A8E6696" w14:textId="77777777">
      <w:pPr>
        <w:pStyle w:val="DecHCase"/>
      </w:pPr>
    </w:p>
    <w:p w:rsidRPr="007D46A6" w:rsidR="0098410D" w:rsidP="007D46A6" w:rsidRDefault="0098410D" w14:paraId="04024A22" w14:textId="77777777">
      <w:pPr>
        <w:pStyle w:val="DecHCase"/>
      </w:pPr>
    </w:p>
    <w:p w:rsidRPr="007D46A6" w:rsidR="002F7547" w:rsidP="007D46A6" w:rsidRDefault="002F7547" w14:paraId="4AAF66FF" w14:textId="77777777">
      <w:pPr>
        <w:pStyle w:val="DecHCase"/>
      </w:pPr>
    </w:p>
    <w:p w:rsidRPr="007D46A6" w:rsidR="002F7547" w:rsidP="007D46A6" w:rsidRDefault="002F7547" w14:paraId="4BAF6FE6" w14:textId="77777777">
      <w:pPr>
        <w:pStyle w:val="DecHCase"/>
      </w:pPr>
    </w:p>
    <w:p w:rsidRPr="007D46A6" w:rsidR="0098410D" w:rsidP="007D46A6" w:rsidRDefault="0098410D" w14:paraId="66E2B252" w14:textId="460F1542">
      <w:pPr>
        <w:pStyle w:val="DecHCase"/>
      </w:pPr>
      <w:r w:rsidRPr="007D46A6">
        <w:t>JUDGMENT</w:t>
      </w:r>
      <w:r w:rsidRPr="007D46A6" w:rsidR="00AC4CD4">
        <w:br/>
      </w:r>
    </w:p>
    <w:p w:rsidRPr="007D46A6" w:rsidR="0098410D" w:rsidP="007D46A6" w:rsidRDefault="0098410D" w14:paraId="21DFE7EE" w14:textId="77777777">
      <w:pPr>
        <w:pStyle w:val="DecHCase"/>
      </w:pPr>
      <w:r w:rsidRPr="007D46A6">
        <w:t>STRASBOURG</w:t>
      </w:r>
    </w:p>
    <w:p w:rsidRPr="007D46A6" w:rsidR="0098410D" w:rsidP="007D46A6" w:rsidRDefault="00713568" w14:paraId="25D15DC5" w14:textId="2BD55C5D">
      <w:pPr>
        <w:pStyle w:val="DecHCase"/>
      </w:pPr>
      <w:r w:rsidRPr="007D46A6">
        <w:rPr>
          <w:rFonts w:ascii="Times New Roman" w:hAnsi="Times New Roman" w:cs="Times New Roman"/>
        </w:rPr>
        <w:t>3 February 2022</w:t>
      </w:r>
    </w:p>
    <w:p w:rsidRPr="007D46A6" w:rsidR="00AC4CD4" w:rsidP="007D46A6" w:rsidRDefault="00AC4CD4" w14:paraId="6C070CE8" w14:textId="77777777">
      <w:pPr>
        <w:pStyle w:val="JuPara"/>
      </w:pPr>
    </w:p>
    <w:p w:rsidRPr="007D46A6" w:rsidR="002422B6" w:rsidP="007D46A6" w:rsidRDefault="0098410D" w14:paraId="6586FEEA" w14:textId="079FB9BD">
      <w:pPr>
        <w:rPr>
          <w:i/>
          <w:sz w:val="22"/>
        </w:rPr>
      </w:pPr>
      <w:r w:rsidRPr="007D46A6">
        <w:rPr>
          <w:i/>
          <w:sz w:val="22"/>
        </w:rPr>
        <w:t xml:space="preserve">This judgment </w:t>
      </w:r>
      <w:r w:rsidRPr="007D46A6" w:rsidR="00713568">
        <w:rPr>
          <w:i/>
          <w:noProof/>
          <w:sz w:val="22"/>
        </w:rPr>
        <w:t>is final but it</w:t>
      </w:r>
      <w:r w:rsidRPr="007D46A6">
        <w:rPr>
          <w:i/>
          <w:sz w:val="22"/>
        </w:rPr>
        <w:t xml:space="preserve"> may be subject to editorial revision.</w:t>
      </w:r>
    </w:p>
    <w:p w:rsidRPr="007D46A6" w:rsidR="0098410D" w:rsidP="007D46A6" w:rsidRDefault="0098410D" w14:paraId="06EE40BC" w14:textId="77777777">
      <w:pPr>
        <w:sectPr w:rsidRPr="007D46A6"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7D46A6" w:rsidR="0098410D" w:rsidP="007D46A6" w:rsidRDefault="0098410D" w14:paraId="7D362B15" w14:textId="01E29C79">
      <w:pPr>
        <w:pStyle w:val="JuCase"/>
      </w:pPr>
      <w:r w:rsidRPr="007D46A6">
        <w:t xml:space="preserve">In the case of </w:t>
      </w:r>
      <w:proofErr w:type="spellStart"/>
      <w:r w:rsidRPr="007D46A6" w:rsidR="00713568">
        <w:t>Łakatosz</w:t>
      </w:r>
      <w:proofErr w:type="spellEnd"/>
      <w:r w:rsidRPr="007D46A6" w:rsidR="00713568">
        <w:t xml:space="preserve"> v. Poland</w:t>
      </w:r>
      <w:r w:rsidRPr="007D46A6">
        <w:t>,</w:t>
      </w:r>
    </w:p>
    <w:p w:rsidRPr="007D46A6" w:rsidR="009F4C8F" w:rsidP="007D46A6" w:rsidRDefault="009F4C8F" w14:paraId="221FCD13" w14:textId="35F520BF">
      <w:pPr>
        <w:pStyle w:val="JuPara"/>
      </w:pPr>
      <w:r w:rsidRPr="007D46A6">
        <w:t>The European Court of Human Rights (</w:t>
      </w:r>
      <w:r w:rsidRPr="007D46A6" w:rsidR="00713568">
        <w:t>First Section</w:t>
      </w:r>
      <w:r w:rsidRPr="007D46A6">
        <w:t xml:space="preserve">), sitting as a </w:t>
      </w:r>
      <w:r w:rsidRPr="007D46A6" w:rsidR="00713568">
        <w:rPr>
          <w:noProof/>
        </w:rPr>
        <w:t>Committee</w:t>
      </w:r>
      <w:r w:rsidRPr="007D46A6">
        <w:t xml:space="preserve"> composed of:</w:t>
      </w:r>
    </w:p>
    <w:p w:rsidRPr="007D46A6" w:rsidR="009F4C8F" w:rsidP="007D46A6" w:rsidRDefault="00497905" w14:paraId="390B22E7" w14:textId="1D3B1D44">
      <w:pPr>
        <w:pStyle w:val="JuJudges"/>
      </w:pPr>
      <w:r w:rsidRPr="007D46A6">
        <w:tab/>
      </w:r>
      <w:proofErr w:type="spellStart"/>
      <w:r w:rsidRPr="007D46A6">
        <w:t>Péter</w:t>
      </w:r>
      <w:proofErr w:type="spellEnd"/>
      <w:r w:rsidRPr="007D46A6">
        <w:t xml:space="preserve"> </w:t>
      </w:r>
      <w:proofErr w:type="spellStart"/>
      <w:r w:rsidRPr="007D46A6">
        <w:t>Paczolay</w:t>
      </w:r>
      <w:proofErr w:type="spellEnd"/>
      <w:r w:rsidRPr="007D46A6">
        <w:t>,</w:t>
      </w:r>
      <w:r w:rsidRPr="007D46A6">
        <w:rPr>
          <w:i/>
        </w:rPr>
        <w:t xml:space="preserve"> President,</w:t>
      </w:r>
      <w:r w:rsidRPr="007D46A6">
        <w:rPr>
          <w:i/>
        </w:rPr>
        <w:br/>
      </w:r>
      <w:r w:rsidRPr="007D46A6">
        <w:tab/>
        <w:t xml:space="preserve">Alena </w:t>
      </w:r>
      <w:proofErr w:type="spellStart"/>
      <w:r w:rsidRPr="007D46A6">
        <w:t>Poláčková</w:t>
      </w:r>
      <w:proofErr w:type="spellEnd"/>
      <w:r w:rsidRPr="007D46A6">
        <w:t>,</w:t>
      </w:r>
      <w:r w:rsidRPr="007D46A6">
        <w:rPr>
          <w:i/>
        </w:rPr>
        <w:br/>
      </w:r>
      <w:r w:rsidRPr="007D46A6">
        <w:tab/>
        <w:t xml:space="preserve">Davor </w:t>
      </w:r>
      <w:proofErr w:type="spellStart"/>
      <w:r w:rsidRPr="007D46A6">
        <w:t>Derenčinović</w:t>
      </w:r>
      <w:proofErr w:type="spellEnd"/>
      <w:r w:rsidRPr="007D46A6">
        <w:t>,</w:t>
      </w:r>
      <w:r w:rsidRPr="007D46A6">
        <w:rPr>
          <w:i/>
        </w:rPr>
        <w:t xml:space="preserve"> judges,</w:t>
      </w:r>
      <w:r w:rsidRPr="007D46A6" w:rsidR="009F4C8F">
        <w:br/>
        <w:t xml:space="preserve">and </w:t>
      </w:r>
      <w:r w:rsidRPr="007D46A6" w:rsidR="00713568">
        <w:rPr>
          <w:noProof/>
        </w:rPr>
        <w:t>Liv Tigerstedt</w:t>
      </w:r>
      <w:r w:rsidRPr="007D46A6" w:rsidR="009F4C8F">
        <w:t xml:space="preserve">, </w:t>
      </w:r>
      <w:r w:rsidRPr="007D46A6" w:rsidR="00713568">
        <w:rPr>
          <w:i/>
          <w:noProof/>
        </w:rPr>
        <w:t xml:space="preserve">Deputy Section </w:t>
      </w:r>
      <w:r w:rsidRPr="007D46A6" w:rsidR="00713568">
        <w:rPr>
          <w:i/>
          <w:iCs/>
          <w:noProof/>
        </w:rPr>
        <w:t>Registrar</w:t>
      </w:r>
      <w:r w:rsidRPr="007D46A6" w:rsidR="009F4C8F">
        <w:rPr>
          <w:i/>
        </w:rPr>
        <w:t>,</w:t>
      </w:r>
    </w:p>
    <w:p w:rsidRPr="007D46A6" w:rsidR="00713568" w:rsidP="007D46A6" w:rsidRDefault="00713568" w14:paraId="7B46B8F4" w14:textId="77777777">
      <w:pPr>
        <w:pStyle w:val="JuPara"/>
      </w:pPr>
      <w:r w:rsidRPr="007D46A6">
        <w:t>Having regard to:</w:t>
      </w:r>
    </w:p>
    <w:p w:rsidRPr="007D46A6" w:rsidR="00713568" w:rsidP="007D46A6" w:rsidRDefault="00713568" w14:paraId="63325BF4" w14:textId="77777777">
      <w:pPr>
        <w:pStyle w:val="JuPara"/>
      </w:pPr>
      <w:r w:rsidRPr="007D46A6">
        <w:t xml:space="preserve">the application (no. 27318/19) against the Republic of Poland lodged with the Court under Article 34 of the Convention for the Protection of Human Rights and Fundamental Freedoms (“the Convention”) on 10 May 2019 by a Polish national, Mr Arkadiusz </w:t>
      </w:r>
      <w:proofErr w:type="spellStart"/>
      <w:r w:rsidRPr="007D46A6">
        <w:t>Łakatosz</w:t>
      </w:r>
      <w:proofErr w:type="spellEnd"/>
      <w:r w:rsidRPr="007D46A6">
        <w:t xml:space="preserve">, born in 1968 and detained in </w:t>
      </w:r>
      <w:proofErr w:type="spellStart"/>
      <w:r w:rsidRPr="007D46A6">
        <w:t>Poznań</w:t>
      </w:r>
      <w:proofErr w:type="spellEnd"/>
      <w:r w:rsidRPr="007D46A6">
        <w:t xml:space="preserve"> (“the applicant”) who was represented by Mr P. </w:t>
      </w:r>
      <w:proofErr w:type="spellStart"/>
      <w:r w:rsidRPr="007D46A6">
        <w:t>Sołtysiak</w:t>
      </w:r>
      <w:proofErr w:type="spellEnd"/>
      <w:r w:rsidRPr="007D46A6">
        <w:t xml:space="preserve">, a lawyer practising in </w:t>
      </w:r>
      <w:proofErr w:type="spellStart"/>
      <w:r w:rsidRPr="007D46A6">
        <w:t>Poznań</w:t>
      </w:r>
      <w:proofErr w:type="spellEnd"/>
      <w:r w:rsidRPr="007D46A6">
        <w:t>;</w:t>
      </w:r>
    </w:p>
    <w:p w:rsidRPr="007D46A6" w:rsidR="00713568" w:rsidP="007D46A6" w:rsidRDefault="00713568" w14:paraId="1DFE8E76" w14:textId="77777777">
      <w:pPr>
        <w:pStyle w:val="JuPara"/>
      </w:pPr>
      <w:r w:rsidRPr="007D46A6">
        <w:t xml:space="preserve">the decision to give notice of the complaints under Article 5 §§ 3 and 4 of the Convention to the Polish Government (“the Government”), represented by their Agent, Mr J. </w:t>
      </w:r>
      <w:proofErr w:type="spellStart"/>
      <w:r w:rsidRPr="007D46A6">
        <w:t>Sobczak</w:t>
      </w:r>
      <w:proofErr w:type="spellEnd"/>
      <w:r w:rsidRPr="007D46A6">
        <w:t>, of the Ministry of Foreign Affairs, and to declare inadmissible the remainder of the application;</w:t>
      </w:r>
    </w:p>
    <w:p w:rsidRPr="007D46A6" w:rsidR="00713568" w:rsidP="007D46A6" w:rsidRDefault="00713568" w14:paraId="49AC1125" w14:textId="787FD279">
      <w:pPr>
        <w:pStyle w:val="JuPara"/>
      </w:pPr>
      <w:r w:rsidRPr="007D46A6">
        <w:t>the parties</w:t>
      </w:r>
      <w:r w:rsidRPr="007D46A6" w:rsidR="007D46A6">
        <w:t>’</w:t>
      </w:r>
      <w:r w:rsidRPr="007D46A6">
        <w:t xml:space="preserve"> </w:t>
      </w:r>
      <w:proofErr w:type="gramStart"/>
      <w:r w:rsidRPr="007D46A6">
        <w:t>observations;</w:t>
      </w:r>
      <w:proofErr w:type="gramEnd"/>
    </w:p>
    <w:p w:rsidRPr="007D46A6" w:rsidR="009F4C8F" w:rsidP="007D46A6" w:rsidRDefault="009F4C8F" w14:paraId="691A8ED5" w14:textId="20E4587F">
      <w:pPr>
        <w:pStyle w:val="JuPara"/>
      </w:pPr>
      <w:r w:rsidRPr="007D46A6">
        <w:t xml:space="preserve">Having deliberated in private on </w:t>
      </w:r>
      <w:r w:rsidRPr="007D46A6" w:rsidR="00713568">
        <w:t>11 January 2022</w:t>
      </w:r>
      <w:r w:rsidRPr="007D46A6">
        <w:t>,</w:t>
      </w:r>
    </w:p>
    <w:p w:rsidRPr="007D46A6" w:rsidR="009F4C8F" w:rsidP="007D46A6" w:rsidRDefault="009F4C8F" w14:paraId="3AE66BC7" w14:textId="77777777">
      <w:pPr>
        <w:pStyle w:val="JuPara"/>
      </w:pPr>
      <w:r w:rsidRPr="007D46A6">
        <w:t>Delivers the following judgment, which was adopted on that date:</w:t>
      </w:r>
    </w:p>
    <w:p w:rsidRPr="007D46A6" w:rsidR="00713568" w:rsidP="007D46A6" w:rsidRDefault="00713568" w14:paraId="7F9BEDAD" w14:textId="61D1CAED">
      <w:pPr>
        <w:pStyle w:val="JuHHead"/>
        <w:numPr>
          <w:ilvl w:val="0"/>
          <w:numId w:val="0"/>
        </w:numPr>
      </w:pPr>
      <w:r w:rsidRPr="007D46A6">
        <w:t>SUBJECT-MATTER OF THE CASE</w:t>
      </w:r>
    </w:p>
    <w:p w:rsidRPr="007D46A6" w:rsidR="00713568" w:rsidP="007D46A6" w:rsidRDefault="00713568" w14:paraId="1BFA0082" w14:textId="21354435">
      <w:pPr>
        <w:pStyle w:val="JuPara"/>
      </w:pPr>
      <w:r w:rsidRPr="007D46A6">
        <w:fldChar w:fldCharType="begin"/>
      </w:r>
      <w:r w:rsidRPr="007D46A6">
        <w:instrText xml:space="preserve"> SEQ level0 \*arabic </w:instrText>
      </w:r>
      <w:r w:rsidRPr="007D46A6">
        <w:fldChar w:fldCharType="separate"/>
      </w:r>
      <w:r w:rsidRPr="007D46A6" w:rsidR="007D46A6">
        <w:rPr>
          <w:noProof/>
        </w:rPr>
        <w:t>1</w:t>
      </w:r>
      <w:r w:rsidRPr="007D46A6">
        <w:fldChar w:fldCharType="end"/>
      </w:r>
      <w:r w:rsidRPr="007D46A6">
        <w:t>.  </w:t>
      </w:r>
      <w:bookmarkStart w:name="_Hlk86049361" w:id="1"/>
      <w:r w:rsidRPr="007D46A6">
        <w:t xml:space="preserve">The applicant was detained </w:t>
      </w:r>
      <w:proofErr w:type="gramStart"/>
      <w:r w:rsidRPr="007D46A6">
        <w:t>in the course of</w:t>
      </w:r>
      <w:proofErr w:type="gramEnd"/>
      <w:r w:rsidRPr="007D46A6">
        <w:t xml:space="preserve"> the investigation which concerned large-scale fraud in four different European countries. Initially, the investigation concerned eleven suspects. On 4</w:t>
      </w:r>
      <w:r w:rsidRPr="007D46A6" w:rsidR="00090C4E">
        <w:t xml:space="preserve"> </w:t>
      </w:r>
      <w:r w:rsidRPr="007D46A6">
        <w:t>April 2016 the applicant was charged with three counts of fraud. Allegedly, he acted in an organised criminal group. Subsequently, charges against him were changed several times. The final bill of indictment referred to nine charges of fraud.</w:t>
      </w:r>
      <w:r w:rsidRPr="007D46A6">
        <w:rPr>
          <w:rStyle w:val="JuParaChar"/>
        </w:rPr>
        <w:t xml:space="preserve"> The case files eventually consisted of 236 volumes. The investigation required the cooperation of four different jurisdictions and gathering of numerous multilateral translations (the pieces of evidence were originally drawn up in German, Polish or Romani).</w:t>
      </w:r>
    </w:p>
    <w:bookmarkStart w:name="det_beg" w:id="2"/>
    <w:p w:rsidRPr="007D46A6" w:rsidR="00713568" w:rsidP="007D46A6" w:rsidRDefault="00713568" w14:paraId="60F23C0A" w14:textId="3D94CA0D">
      <w:pPr>
        <w:pStyle w:val="JuPara"/>
      </w:pPr>
      <w:r w:rsidRPr="007D46A6">
        <w:fldChar w:fldCharType="begin"/>
      </w:r>
      <w:r w:rsidRPr="007D46A6">
        <w:instrText xml:space="preserve"> SEQ level0 \*arabic \* MERGEFORMAT </w:instrText>
      </w:r>
      <w:r w:rsidRPr="007D46A6">
        <w:fldChar w:fldCharType="separate"/>
      </w:r>
      <w:r w:rsidRPr="007D46A6" w:rsidR="007D46A6">
        <w:rPr>
          <w:noProof/>
        </w:rPr>
        <w:t>2</w:t>
      </w:r>
      <w:r w:rsidRPr="007D46A6">
        <w:fldChar w:fldCharType="end"/>
      </w:r>
      <w:bookmarkEnd w:id="2"/>
      <w:r w:rsidRPr="007D46A6">
        <w:t>.  On 5 February 2017 a domestic court set bail for the sum of 300,000 Polish zlotys (PLN) (approximately 75,000 euros (EUR)). On 16 February 2017 a second instance court altered this decision and detained the applicant on remand for three months starting from the date of his arrest. The applicant went into hiding. He was arrested on 16</w:t>
      </w:r>
      <w:r w:rsidRPr="007D46A6" w:rsidR="00090C4E">
        <w:t xml:space="preserve"> </w:t>
      </w:r>
      <w:r w:rsidRPr="007D46A6">
        <w:t>March 2017. On 27 March 2017 the Warszawa–</w:t>
      </w:r>
      <w:proofErr w:type="spellStart"/>
      <w:r w:rsidRPr="007D46A6">
        <w:t>Mokotów</w:t>
      </w:r>
      <w:proofErr w:type="spellEnd"/>
      <w:r w:rsidRPr="007D46A6">
        <w:t xml:space="preserve"> District Court upheld the applicant</w:t>
      </w:r>
      <w:r w:rsidRPr="007D46A6" w:rsidR="007D46A6">
        <w:t>’</w:t>
      </w:r>
      <w:r w:rsidRPr="007D46A6">
        <w:t>s detention.</w:t>
      </w:r>
    </w:p>
    <w:bookmarkStart w:name="remittal" w:id="3"/>
    <w:p w:rsidRPr="007D46A6" w:rsidR="00713568" w:rsidP="007D46A6" w:rsidRDefault="00713568" w14:paraId="47F62A0B" w14:textId="0A54F610">
      <w:pPr>
        <w:pStyle w:val="JuPara"/>
        <w:rPr>
          <w:color w:val="000000"/>
        </w:rPr>
      </w:pPr>
      <w:r w:rsidRPr="007D46A6">
        <w:rPr>
          <w:color w:val="000000"/>
        </w:rPr>
        <w:fldChar w:fldCharType="begin"/>
      </w:r>
      <w:r w:rsidRPr="007D46A6">
        <w:rPr>
          <w:color w:val="000000"/>
        </w:rPr>
        <w:instrText xml:space="preserve"> SEQ level0 \*arabic \* MERGEFORMAT </w:instrText>
      </w:r>
      <w:r w:rsidRPr="007D46A6">
        <w:rPr>
          <w:color w:val="000000"/>
        </w:rPr>
        <w:fldChar w:fldCharType="separate"/>
      </w:r>
      <w:r w:rsidRPr="007D46A6" w:rsidR="007D46A6">
        <w:rPr>
          <w:noProof/>
          <w:color w:val="000000"/>
        </w:rPr>
        <w:t>3</w:t>
      </w:r>
      <w:r w:rsidRPr="007D46A6">
        <w:rPr>
          <w:color w:val="000000"/>
        </w:rPr>
        <w:fldChar w:fldCharType="end"/>
      </w:r>
      <w:bookmarkEnd w:id="3"/>
      <w:r w:rsidRPr="007D46A6">
        <w:rPr>
          <w:color w:val="000000"/>
        </w:rPr>
        <w:t>.  The bill of indictment against the applicant was lodged with a court on 27 August 2018. On 18 September 2018 it was remitted to the prosecutor because the case file had not included various documents necessary to examine the case. On 18 December 2018 the Warsaw Court of Appeal upheld this decision. A new bill of indictment was lodged with the relevant domestic court on 19</w:t>
      </w:r>
      <w:r w:rsidRPr="007D46A6" w:rsidR="00090C4E">
        <w:rPr>
          <w:color w:val="000000"/>
        </w:rPr>
        <w:t xml:space="preserve"> </w:t>
      </w:r>
      <w:r w:rsidRPr="007D46A6">
        <w:rPr>
          <w:color w:val="000000"/>
        </w:rPr>
        <w:t>November 2019.</w:t>
      </w:r>
    </w:p>
    <w:bookmarkStart w:name="det_end" w:id="4"/>
    <w:p w:rsidRPr="007D46A6" w:rsidR="00713568" w:rsidP="007D46A6" w:rsidRDefault="00713568" w14:paraId="49B7BCBD" w14:textId="0BA231C5">
      <w:pPr>
        <w:pStyle w:val="JuPara"/>
        <w:rPr>
          <w:color w:val="000000"/>
        </w:rPr>
      </w:pPr>
      <w:r w:rsidRPr="007D46A6">
        <w:rPr>
          <w:color w:val="000000"/>
        </w:rPr>
        <w:fldChar w:fldCharType="begin"/>
      </w:r>
      <w:r w:rsidRPr="007D46A6">
        <w:rPr>
          <w:color w:val="000000"/>
        </w:rPr>
        <w:instrText xml:space="preserve"> SEQ level0 \*arabic \* MERGEFORMAT </w:instrText>
      </w:r>
      <w:r w:rsidRPr="007D46A6">
        <w:rPr>
          <w:color w:val="000000"/>
        </w:rPr>
        <w:fldChar w:fldCharType="separate"/>
      </w:r>
      <w:r w:rsidRPr="007D46A6" w:rsidR="007D46A6">
        <w:rPr>
          <w:noProof/>
          <w:color w:val="000000"/>
        </w:rPr>
        <w:t>4</w:t>
      </w:r>
      <w:r w:rsidRPr="007D46A6">
        <w:rPr>
          <w:color w:val="000000"/>
        </w:rPr>
        <w:fldChar w:fldCharType="end"/>
      </w:r>
      <w:bookmarkEnd w:id="4"/>
      <w:r w:rsidRPr="007D46A6">
        <w:rPr>
          <w:color w:val="000000"/>
        </w:rPr>
        <w:t xml:space="preserve">.  On 3 September 2019, in a different set of proceedings, the </w:t>
      </w:r>
      <w:proofErr w:type="spellStart"/>
      <w:r w:rsidRPr="007D46A6">
        <w:rPr>
          <w:color w:val="000000"/>
        </w:rPr>
        <w:t>Poznań</w:t>
      </w:r>
      <w:proofErr w:type="spellEnd"/>
      <w:r w:rsidRPr="007D46A6">
        <w:rPr>
          <w:color w:val="000000"/>
        </w:rPr>
        <w:t xml:space="preserve"> Regional Court convicted the applicant and sentenced him to seven years</w:t>
      </w:r>
      <w:r w:rsidRPr="007D46A6" w:rsidR="007D46A6">
        <w:rPr>
          <w:color w:val="000000"/>
        </w:rPr>
        <w:t>’</w:t>
      </w:r>
      <w:r w:rsidRPr="007D46A6">
        <w:rPr>
          <w:color w:val="000000"/>
        </w:rPr>
        <w:t xml:space="preserve"> imprisonment.</w:t>
      </w:r>
    </w:p>
    <w:p w:rsidRPr="007D46A6" w:rsidR="00713568" w:rsidP="007D46A6" w:rsidRDefault="00713568" w14:paraId="28D08936" w14:textId="135F75EE">
      <w:pPr>
        <w:pStyle w:val="JuPara"/>
        <w:rPr>
          <w:color w:val="000000"/>
        </w:rPr>
      </w:pPr>
      <w:r w:rsidRPr="007D46A6">
        <w:rPr>
          <w:color w:val="000000"/>
        </w:rPr>
        <w:fldChar w:fldCharType="begin"/>
      </w:r>
      <w:r w:rsidRPr="007D46A6">
        <w:rPr>
          <w:color w:val="000000"/>
        </w:rPr>
        <w:instrText xml:space="preserve"> SEQ level0 \*arabic \* MERGEFORMAT </w:instrText>
      </w:r>
      <w:r w:rsidRPr="007D46A6">
        <w:rPr>
          <w:color w:val="000000"/>
        </w:rPr>
        <w:fldChar w:fldCharType="separate"/>
      </w:r>
      <w:r w:rsidRPr="007D46A6" w:rsidR="007D46A6">
        <w:rPr>
          <w:noProof/>
          <w:color w:val="000000"/>
        </w:rPr>
        <w:t>5</w:t>
      </w:r>
      <w:r w:rsidRPr="007D46A6">
        <w:rPr>
          <w:color w:val="000000"/>
        </w:rPr>
        <w:fldChar w:fldCharType="end"/>
      </w:r>
      <w:r w:rsidRPr="007D46A6">
        <w:rPr>
          <w:color w:val="000000"/>
        </w:rPr>
        <w:t>.  </w:t>
      </w:r>
      <w:proofErr w:type="gramStart"/>
      <w:r w:rsidRPr="007D46A6">
        <w:rPr>
          <w:color w:val="000000"/>
        </w:rPr>
        <w:t>In the course of</w:t>
      </w:r>
      <w:proofErr w:type="gramEnd"/>
      <w:r w:rsidRPr="007D46A6">
        <w:rPr>
          <w:color w:val="000000"/>
        </w:rPr>
        <w:t xml:space="preserve"> the proceedings described in paragraphs </w:t>
      </w:r>
      <w:r w:rsidRPr="007D46A6" w:rsidR="001A5CC5">
        <w:rPr>
          <w:color w:val="000000"/>
        </w:rPr>
        <w:t>2-3</w:t>
      </w:r>
      <w:r w:rsidRPr="007D46A6">
        <w:rPr>
          <w:color w:val="000000"/>
        </w:rPr>
        <w:t xml:space="preserve"> above, the applicant</w:t>
      </w:r>
      <w:r w:rsidRPr="007D46A6" w:rsidR="007D46A6">
        <w:rPr>
          <w:color w:val="000000"/>
        </w:rPr>
        <w:t>’</w:t>
      </w:r>
      <w:r w:rsidRPr="007D46A6">
        <w:rPr>
          <w:color w:val="000000"/>
        </w:rPr>
        <w:t xml:space="preserve">s detention was systematically extended. </w:t>
      </w:r>
      <w:r w:rsidRPr="007D46A6">
        <w:t>The domestic courts relied on the severity of the penalty to which he was liable, the risk of absconding, the risk of interference with the proper conduct of proceedings and the complicated international nature of the case</w:t>
      </w:r>
      <w:r w:rsidRPr="007D46A6">
        <w:rPr>
          <w:color w:val="000000"/>
        </w:rPr>
        <w:t xml:space="preserve">. The applicant unsuccessfully appealed against </w:t>
      </w:r>
      <w:proofErr w:type="gramStart"/>
      <w:r w:rsidRPr="007D46A6">
        <w:rPr>
          <w:color w:val="000000"/>
        </w:rPr>
        <w:t>all of</w:t>
      </w:r>
      <w:proofErr w:type="gramEnd"/>
      <w:r w:rsidRPr="007D46A6">
        <w:rPr>
          <w:color w:val="000000"/>
        </w:rPr>
        <w:t xml:space="preserve"> the decisions extending his detention. He argued </w:t>
      </w:r>
      <w:r w:rsidRPr="007D46A6">
        <w:t xml:space="preserve">that the domestic courts relied on evidence (intercepted phone calls and translations of their transcripts) which should be dismissed as gathered contrary to the relevant procedures. The courts considered that reasonable suspicion against the applicant was based on </w:t>
      </w:r>
      <w:proofErr w:type="gramStart"/>
      <w:r w:rsidRPr="007D46A6">
        <w:t>a number of</w:t>
      </w:r>
      <w:proofErr w:type="gramEnd"/>
      <w:r w:rsidRPr="007D46A6">
        <w:t xml:space="preserve"> pieces of evidence (including the applicant</w:t>
      </w:r>
      <w:r w:rsidRPr="007D46A6" w:rsidR="007D46A6">
        <w:t>’</w:t>
      </w:r>
      <w:r w:rsidRPr="007D46A6">
        <w:t>s testimony), not only those which had been questioned by the defence on formal grounds.</w:t>
      </w:r>
    </w:p>
    <w:bookmarkStart w:name="appeals" w:id="5"/>
    <w:p w:rsidRPr="007D46A6" w:rsidR="00713568" w:rsidP="007D46A6" w:rsidRDefault="00713568" w14:paraId="632C9B55" w14:textId="3A434A4F">
      <w:pPr>
        <w:pStyle w:val="JuPara"/>
        <w:rPr>
          <w:color w:val="000000"/>
        </w:rPr>
      </w:pPr>
      <w:r w:rsidRPr="007D46A6">
        <w:rPr>
          <w:color w:val="000000"/>
        </w:rPr>
        <w:fldChar w:fldCharType="begin"/>
      </w:r>
      <w:r w:rsidRPr="007D46A6">
        <w:rPr>
          <w:color w:val="000000"/>
        </w:rPr>
        <w:instrText xml:space="preserve"> SEQ level0 \*arabic \* MERGEFORMAT </w:instrText>
      </w:r>
      <w:r w:rsidRPr="007D46A6">
        <w:rPr>
          <w:color w:val="000000"/>
        </w:rPr>
        <w:fldChar w:fldCharType="separate"/>
      </w:r>
      <w:r w:rsidRPr="007D46A6" w:rsidR="007D46A6">
        <w:rPr>
          <w:noProof/>
          <w:color w:val="000000"/>
        </w:rPr>
        <w:t>6</w:t>
      </w:r>
      <w:r w:rsidRPr="007D46A6">
        <w:rPr>
          <w:color w:val="000000"/>
        </w:rPr>
        <w:fldChar w:fldCharType="end"/>
      </w:r>
      <w:bookmarkEnd w:id="5"/>
      <w:r w:rsidRPr="007D46A6">
        <w:rPr>
          <w:color w:val="000000"/>
        </w:rPr>
        <w:t>.  On 9</w:t>
      </w:r>
      <w:r w:rsidRPr="007D46A6" w:rsidR="00090C4E">
        <w:rPr>
          <w:color w:val="000000"/>
        </w:rPr>
        <w:t xml:space="preserve"> </w:t>
      </w:r>
      <w:r w:rsidRPr="007D46A6">
        <w:rPr>
          <w:color w:val="000000"/>
        </w:rPr>
        <w:t>July 2019 the applicant appealed against an extension decision made on 3</w:t>
      </w:r>
      <w:r w:rsidRPr="007D46A6" w:rsidR="00090C4E">
        <w:rPr>
          <w:color w:val="000000"/>
        </w:rPr>
        <w:t xml:space="preserve"> </w:t>
      </w:r>
      <w:r w:rsidRPr="007D46A6">
        <w:rPr>
          <w:color w:val="000000"/>
        </w:rPr>
        <w:t>July 2019. He also appealed against a decision made on 1 October 2019. His appeals were dismissed on 13 and 27</w:t>
      </w:r>
      <w:r w:rsidRPr="007D46A6" w:rsidR="00090C4E">
        <w:rPr>
          <w:color w:val="000000"/>
        </w:rPr>
        <w:t xml:space="preserve"> </w:t>
      </w:r>
      <w:r w:rsidRPr="007D46A6">
        <w:rPr>
          <w:color w:val="000000"/>
        </w:rPr>
        <w:t>November 2019 respectively.</w:t>
      </w:r>
    </w:p>
    <w:p w:rsidRPr="007D46A6" w:rsidR="00713568" w:rsidP="007D46A6" w:rsidRDefault="007D46A6" w14:paraId="414FE6FE" w14:textId="1B7DE1CF">
      <w:pPr>
        <w:pStyle w:val="JuPara"/>
      </w:pPr>
      <w:fldSimple w:instr=" SEQ level0 \*arabic \* MERGEFORMAT ">
        <w:r w:rsidRPr="007D46A6">
          <w:rPr>
            <w:noProof/>
          </w:rPr>
          <w:t>7</w:t>
        </w:r>
      </w:fldSimple>
      <w:r w:rsidRPr="007D46A6" w:rsidR="00713568">
        <w:t>.  The applicant complained under Article 5 §</w:t>
      </w:r>
      <w:r w:rsidRPr="007D46A6" w:rsidR="00090C4E">
        <w:t xml:space="preserve"> </w:t>
      </w:r>
      <w:r w:rsidRPr="007D46A6" w:rsidR="00713568">
        <w:t xml:space="preserve">3 of the Convention about the unreasonable length of his detention on remand and under Article 5 § 4 that the domestic courts had failed to examine “speedily” his appeals referred to in paragraph </w:t>
      </w:r>
      <w:r w:rsidRPr="007D46A6" w:rsidR="001A5CC5">
        <w:t xml:space="preserve">6 </w:t>
      </w:r>
      <w:r w:rsidRPr="007D46A6" w:rsidR="00713568">
        <w:t>above.</w:t>
      </w:r>
      <w:bookmarkEnd w:id="1"/>
    </w:p>
    <w:p w:rsidRPr="007D46A6" w:rsidR="00713568" w:rsidP="007D46A6" w:rsidRDefault="00713568" w14:paraId="315D7351" w14:textId="0405163B">
      <w:pPr>
        <w:pStyle w:val="JuHHead"/>
      </w:pPr>
      <w:r w:rsidRPr="007D46A6">
        <w:t>THE COURT</w:t>
      </w:r>
      <w:r w:rsidRPr="007D46A6" w:rsidR="007D46A6">
        <w:t>’</w:t>
      </w:r>
      <w:r w:rsidRPr="007D46A6">
        <w:t>S ASSESSMENT</w:t>
      </w:r>
    </w:p>
    <w:p w:rsidRPr="007D46A6" w:rsidR="00713568" w:rsidP="007D46A6" w:rsidRDefault="00713568" w14:paraId="691DCA7B" w14:textId="77777777">
      <w:pPr>
        <w:pStyle w:val="JuHIRoman"/>
      </w:pPr>
      <w:r w:rsidRPr="007D46A6">
        <w:t>ALLEGED VIOLATION OF ARTICLE 5 § 3 OF THE CONVENTION</w:t>
      </w:r>
    </w:p>
    <w:p w:rsidRPr="007D46A6" w:rsidR="00713568" w:rsidP="007D46A6" w:rsidRDefault="00713568" w14:paraId="36EDCBA4" w14:textId="74ED34E2">
      <w:pPr>
        <w:pStyle w:val="JuPara"/>
      </w:pPr>
      <w:r w:rsidRPr="007D46A6">
        <w:fldChar w:fldCharType="begin"/>
      </w:r>
      <w:r w:rsidRPr="007D46A6">
        <w:instrText xml:space="preserve"> SEQ level0 \*arabic </w:instrText>
      </w:r>
      <w:r w:rsidRPr="007D46A6">
        <w:fldChar w:fldCharType="separate"/>
      </w:r>
      <w:r w:rsidRPr="007D46A6" w:rsidR="007D46A6">
        <w:rPr>
          <w:noProof/>
        </w:rPr>
        <w:t>8</w:t>
      </w:r>
      <w:r w:rsidRPr="007D46A6">
        <w:fldChar w:fldCharType="end"/>
      </w:r>
      <w:r w:rsidRPr="007D46A6">
        <w:t>.  The applicant complained that the length of his detention was unreasonable.</w:t>
      </w:r>
    </w:p>
    <w:p w:rsidRPr="007D46A6" w:rsidR="00713568" w:rsidP="007D46A6" w:rsidRDefault="007D46A6" w14:paraId="5BAA2F30" w14:textId="653D510F">
      <w:pPr>
        <w:pStyle w:val="JuPara"/>
      </w:pPr>
      <w:fldSimple w:instr=" SEQ level0 \*arabic \* MERGEFORMAT ">
        <w:r w:rsidRPr="007D46A6">
          <w:rPr>
            <w:noProof/>
          </w:rPr>
          <w:t>9</w:t>
        </w:r>
      </w:fldSimple>
      <w:r w:rsidRPr="007D46A6" w:rsidR="00713568">
        <w:t>.  The Government raised a preliminary objection of non</w:t>
      </w:r>
      <w:r w:rsidRPr="007D46A6" w:rsidR="001A5CC5">
        <w:noBreakHyphen/>
      </w:r>
      <w:r w:rsidRPr="007D46A6" w:rsidR="00713568">
        <w:t>exhaustion of domestic remedies, as the applicant failed to appeal against the decisions of 27 November 2019 and 25 February 2020 extending his detention. However, those decisions were issued after the applicant had been “convicted by a competent court” within the meaning of Article 5 §</w:t>
      </w:r>
      <w:r w:rsidRPr="007D46A6" w:rsidR="00090C4E">
        <w:t xml:space="preserve"> </w:t>
      </w:r>
      <w:r w:rsidRPr="007D46A6" w:rsidR="00713568">
        <w:t>1</w:t>
      </w:r>
      <w:r w:rsidRPr="007D46A6" w:rsidR="00090C4E">
        <w:t xml:space="preserve"> </w:t>
      </w:r>
      <w:r w:rsidRPr="007D46A6" w:rsidR="00713568">
        <w:t>(a) of the Convention (see paragraph</w:t>
      </w:r>
      <w:r w:rsidRPr="007D46A6" w:rsidR="001A5CC5">
        <w:t xml:space="preserve"> 12</w:t>
      </w:r>
      <w:r w:rsidRPr="007D46A6" w:rsidR="00713568">
        <w:t>). It follows that this preliminary objection must be dismissed.</w:t>
      </w:r>
    </w:p>
    <w:p w:rsidRPr="007D46A6" w:rsidR="00713568" w:rsidP="007D46A6" w:rsidRDefault="007D46A6" w14:paraId="2AE131C2" w14:textId="4F7328E8">
      <w:pPr>
        <w:pStyle w:val="JuPara"/>
      </w:pPr>
      <w:fldSimple w:instr=" SEQ level0 \*arabic \* MERGEFORMAT ">
        <w:r w:rsidRPr="007D46A6">
          <w:rPr>
            <w:noProof/>
          </w:rPr>
          <w:t>10</w:t>
        </w:r>
      </w:fldSimple>
      <w:r w:rsidRPr="007D46A6" w:rsidR="00713568">
        <w:t>.  The Government further argued that the application was manifestly ill</w:t>
      </w:r>
      <w:r w:rsidRPr="007D46A6" w:rsidR="00713568">
        <w:noBreakHyphen/>
        <w:t>founded within the meaning of Article 35 §</w:t>
      </w:r>
      <w:r w:rsidRPr="007D46A6" w:rsidR="00090C4E">
        <w:t xml:space="preserve"> </w:t>
      </w:r>
      <w:r w:rsidRPr="007D46A6" w:rsidR="00713568">
        <w:t>3</w:t>
      </w:r>
      <w:r w:rsidRPr="007D46A6" w:rsidR="00090C4E">
        <w:t xml:space="preserve"> </w:t>
      </w:r>
      <w:r w:rsidRPr="007D46A6" w:rsidR="00713568">
        <w:t>(a) of the Convention.</w:t>
      </w:r>
    </w:p>
    <w:p w:rsidRPr="007D46A6" w:rsidR="00713568" w:rsidP="007D46A6" w:rsidRDefault="00713568" w14:paraId="1C3EB9D8" w14:textId="4E82E613">
      <w:pPr>
        <w:pStyle w:val="JuPara"/>
      </w:pPr>
      <w:r w:rsidRPr="007D46A6">
        <w:fldChar w:fldCharType="begin"/>
      </w:r>
      <w:r w:rsidRPr="007D46A6">
        <w:instrText xml:space="preserve"> SEQ level0 \*arabic </w:instrText>
      </w:r>
      <w:r w:rsidRPr="007D46A6">
        <w:fldChar w:fldCharType="separate"/>
      </w:r>
      <w:r w:rsidRPr="007D46A6" w:rsidR="007D46A6">
        <w:rPr>
          <w:noProof/>
        </w:rPr>
        <w:t>11</w:t>
      </w:r>
      <w:r w:rsidRPr="007D46A6">
        <w:fldChar w:fldCharType="end"/>
      </w:r>
      <w:r w:rsidRPr="007D46A6">
        <w:t xml:space="preserve">.  The general principles concerning the right “to trial within a reasonable time” or to release pending trial, as guaranteed by Article 5 § 3 of the Convention have been summarized in </w:t>
      </w:r>
      <w:proofErr w:type="spellStart"/>
      <w:r w:rsidRPr="007D46A6">
        <w:rPr>
          <w:i/>
          <w:iCs/>
        </w:rPr>
        <w:t>Kudła</w:t>
      </w:r>
      <w:proofErr w:type="spellEnd"/>
      <w:r w:rsidRPr="007D46A6">
        <w:rPr>
          <w:i/>
          <w:iCs/>
        </w:rPr>
        <w:t xml:space="preserve"> v.</w:t>
      </w:r>
      <w:r w:rsidRPr="007D46A6" w:rsidR="00090C4E">
        <w:rPr>
          <w:i/>
          <w:iCs/>
        </w:rPr>
        <w:t xml:space="preserve"> </w:t>
      </w:r>
      <w:r w:rsidRPr="007D46A6">
        <w:rPr>
          <w:i/>
          <w:iCs/>
        </w:rPr>
        <w:t>Poland</w:t>
      </w:r>
      <w:r w:rsidRPr="007D46A6">
        <w:t xml:space="preserve"> [GC], no. 30210/96, § 110, ECHR 2000-XI.</w:t>
      </w:r>
    </w:p>
    <w:bookmarkStart w:name="period" w:id="6"/>
    <w:p w:rsidRPr="007D46A6" w:rsidR="00713568" w:rsidP="007D46A6" w:rsidRDefault="00713568" w14:paraId="2D6C4932" w14:textId="78EEB67A">
      <w:pPr>
        <w:pStyle w:val="JuPara"/>
        <w:rPr>
          <w:rStyle w:val="JuParaChar"/>
        </w:rPr>
      </w:pPr>
      <w:r w:rsidRPr="007D46A6">
        <w:fldChar w:fldCharType="begin"/>
      </w:r>
      <w:r w:rsidRPr="007D46A6">
        <w:instrText xml:space="preserve"> SEQ level0 \*arabic \* MERGEFORMAT </w:instrText>
      </w:r>
      <w:r w:rsidRPr="007D46A6">
        <w:fldChar w:fldCharType="separate"/>
      </w:r>
      <w:r w:rsidRPr="007D46A6" w:rsidR="007D46A6">
        <w:rPr>
          <w:noProof/>
        </w:rPr>
        <w:t>12</w:t>
      </w:r>
      <w:r w:rsidRPr="007D46A6">
        <w:fldChar w:fldCharType="end"/>
      </w:r>
      <w:bookmarkEnd w:id="6"/>
      <w:r w:rsidRPr="007D46A6">
        <w:t>.  The applicant</w:t>
      </w:r>
      <w:r w:rsidRPr="007D46A6" w:rsidR="007D46A6">
        <w:t>’</w:t>
      </w:r>
      <w:r w:rsidRPr="007D46A6">
        <w:t>s detention started on 16</w:t>
      </w:r>
      <w:r w:rsidRPr="007D46A6" w:rsidR="00090C4E">
        <w:t xml:space="preserve"> </w:t>
      </w:r>
      <w:r w:rsidRPr="007D46A6">
        <w:t xml:space="preserve">March 2017 and ended on </w:t>
      </w:r>
      <w:r w:rsidRPr="007D46A6">
        <w:rPr>
          <w:rStyle w:val="JuParaChar"/>
        </w:rPr>
        <w:t xml:space="preserve">3 September 2019 when he was convicted by the </w:t>
      </w:r>
      <w:proofErr w:type="spellStart"/>
      <w:r w:rsidRPr="007D46A6">
        <w:rPr>
          <w:rStyle w:val="JuParaChar"/>
        </w:rPr>
        <w:t>Poznań</w:t>
      </w:r>
      <w:proofErr w:type="spellEnd"/>
      <w:r w:rsidRPr="007D46A6">
        <w:rPr>
          <w:rStyle w:val="JuParaChar"/>
        </w:rPr>
        <w:t xml:space="preserve"> Regional Court in another set of proceedings (see paragraph </w:t>
      </w:r>
      <w:r w:rsidRPr="007D46A6" w:rsidR="00707531">
        <w:rPr>
          <w:rStyle w:val="JuParaChar"/>
        </w:rPr>
        <w:t>4</w:t>
      </w:r>
      <w:r w:rsidRPr="007D46A6">
        <w:rPr>
          <w:rStyle w:val="JuParaChar"/>
        </w:rPr>
        <w:t xml:space="preserve"> above). It follows that the period to be </w:t>
      </w:r>
      <w:proofErr w:type="gramStart"/>
      <w:r w:rsidRPr="007D46A6">
        <w:rPr>
          <w:rStyle w:val="JuParaChar"/>
        </w:rPr>
        <w:t>taken into account</w:t>
      </w:r>
      <w:proofErr w:type="gramEnd"/>
      <w:r w:rsidRPr="007D46A6">
        <w:rPr>
          <w:rStyle w:val="JuParaChar"/>
        </w:rPr>
        <w:t xml:space="preserve"> amounts to two years, five months and nineteen days.</w:t>
      </w:r>
    </w:p>
    <w:p w:rsidRPr="007D46A6" w:rsidR="00713568" w:rsidP="007D46A6" w:rsidRDefault="007D46A6" w14:paraId="2E40BFB5" w14:textId="5F6E7650">
      <w:pPr>
        <w:pStyle w:val="JuPara"/>
      </w:pPr>
      <w:fldSimple w:instr=" SEQ level0 \*arabic \* MERGEFORMAT ">
        <w:r w:rsidRPr="007D46A6">
          <w:rPr>
            <w:noProof/>
          </w:rPr>
          <w:t>13</w:t>
        </w:r>
      </w:fldSimple>
      <w:r w:rsidRPr="007D46A6" w:rsidR="00713568">
        <w:t>.  The suspicion that the applicant had committed large-scale fraud was supported by evidence relied on by the domestic courts (including evidence which was not contested by the applicant on formal grounds) and which initially warranted his detention.</w:t>
      </w:r>
    </w:p>
    <w:p w:rsidRPr="007D46A6" w:rsidR="00713568" w:rsidP="007D46A6" w:rsidRDefault="007D46A6" w14:paraId="0507539B" w14:textId="111075DA">
      <w:pPr>
        <w:pStyle w:val="JuPara"/>
      </w:pPr>
      <w:fldSimple w:instr=" SEQ level0 \*arabic \* MERGEFORMAT ">
        <w:r w:rsidRPr="007D46A6">
          <w:rPr>
            <w:noProof/>
          </w:rPr>
          <w:t>14</w:t>
        </w:r>
      </w:fldSimple>
      <w:r w:rsidRPr="007D46A6" w:rsidR="00713568">
        <w:t>.  The risk of absconding was substantiated by the fact that the applicant, when granted bail at an early stage of the proceedings, had gone into hiding (see paragraph</w:t>
      </w:r>
      <w:r w:rsidRPr="007D46A6" w:rsidR="00707531">
        <w:t xml:space="preserve"> 2</w:t>
      </w:r>
      <w:r w:rsidRPr="007D46A6" w:rsidR="00713568">
        <w:t xml:space="preserve"> above). The i</w:t>
      </w:r>
      <w:r w:rsidRPr="007D46A6" w:rsidR="00713568">
        <w:rPr>
          <w:rStyle w:val="JuParaChar"/>
        </w:rPr>
        <w:t xml:space="preserve">nternational character of the alleged crime and the allegation that he had acted in an organised criminal group were important factors of concern, as was the fear that the applicant, if released, might interfere with the proper course of the proceedings. Moreover, the authorities were faced with the difficult task of conducting an international investigation concerning an organised criminal group which had been operating in various countries for several years. </w:t>
      </w:r>
      <w:r w:rsidRPr="007D46A6" w:rsidR="00713568">
        <w:t>It follows that the continuation of the applicant</w:t>
      </w:r>
      <w:r w:rsidRPr="007D46A6">
        <w:t>’</w:t>
      </w:r>
      <w:r w:rsidRPr="007D46A6" w:rsidR="00713568">
        <w:t>s detention was warranted by “relevant” and “sufficient” reasons.</w:t>
      </w:r>
    </w:p>
    <w:p w:rsidRPr="007D46A6" w:rsidR="00713568" w:rsidP="007D46A6" w:rsidRDefault="00713568" w14:paraId="051F146A" w14:textId="58AEE67E">
      <w:pPr>
        <w:pStyle w:val="JuPara"/>
        <w:rPr>
          <w:rStyle w:val="JuParaChar"/>
        </w:rPr>
      </w:pPr>
      <w:r w:rsidRPr="007D46A6">
        <w:rPr>
          <w:rStyle w:val="JuParaChar"/>
        </w:rPr>
        <w:fldChar w:fldCharType="begin"/>
      </w:r>
      <w:r w:rsidRPr="007D46A6">
        <w:rPr>
          <w:rStyle w:val="JuParaChar"/>
        </w:rPr>
        <w:instrText xml:space="preserve"> SEQ level0 \*arabic \* MERGEFORMAT </w:instrText>
      </w:r>
      <w:r w:rsidRPr="007D46A6">
        <w:rPr>
          <w:rStyle w:val="JuParaChar"/>
        </w:rPr>
        <w:fldChar w:fldCharType="separate"/>
      </w:r>
      <w:r w:rsidRPr="007D46A6" w:rsidR="007D46A6">
        <w:rPr>
          <w:rStyle w:val="JuParaChar"/>
          <w:noProof/>
        </w:rPr>
        <w:t>15</w:t>
      </w:r>
      <w:r w:rsidRPr="007D46A6">
        <w:rPr>
          <w:rStyle w:val="JuParaChar"/>
        </w:rPr>
        <w:fldChar w:fldCharType="end"/>
      </w:r>
      <w:r w:rsidRPr="007D46A6">
        <w:rPr>
          <w:rStyle w:val="JuParaChar"/>
        </w:rPr>
        <w:t xml:space="preserve">.  The applicant argued also that the investigation had been conducted without due diligence, which resulted in remitting the bill of indictment to the prosecutor (see paragraph </w:t>
      </w:r>
      <w:r w:rsidRPr="007D46A6" w:rsidR="00707531">
        <w:rPr>
          <w:rStyle w:val="JuParaChar"/>
        </w:rPr>
        <w:t>3</w:t>
      </w:r>
      <w:r w:rsidRPr="007D46A6">
        <w:rPr>
          <w:rStyle w:val="JuParaChar"/>
        </w:rPr>
        <w:t xml:space="preserve"> above). While it is true </w:t>
      </w:r>
      <w:r w:rsidRPr="007D46A6">
        <w:t>that the said shortcoming</w:t>
      </w:r>
      <w:r w:rsidRPr="007D46A6">
        <w:rPr>
          <w:rFonts w:ascii="Calibri" w:hAnsi="Calibri"/>
          <w:b/>
          <w:bCs/>
          <w:sz w:val="22"/>
          <w:szCs w:val="22"/>
        </w:rPr>
        <w:t xml:space="preserve"> </w:t>
      </w:r>
      <w:r w:rsidRPr="007D46A6">
        <w:t>contributed to the length of the investigation and the applicant</w:t>
      </w:r>
      <w:r w:rsidRPr="007D46A6" w:rsidR="007D46A6">
        <w:t>’</w:t>
      </w:r>
      <w:r w:rsidRPr="007D46A6">
        <w:t>s detention, it remains undisputed that complex and international investigations are inevitably time-consuming. The present investigation initially concerned eleven suspects and at a later stage the applicant</w:t>
      </w:r>
      <w:r w:rsidRPr="007D46A6" w:rsidR="007D46A6">
        <w:t>’</w:t>
      </w:r>
      <w:r w:rsidRPr="007D46A6">
        <w:t>s case was excluded and became a separate set of proceedings which certainly enabled the indictment to be drafted more promptly. Consequently, the Court concludes that the investigation was conducted with due diligence.</w:t>
      </w:r>
    </w:p>
    <w:p w:rsidRPr="007D46A6" w:rsidR="00713568" w:rsidP="007D46A6" w:rsidRDefault="007D46A6" w14:paraId="145ED557" w14:textId="525F5F81">
      <w:pPr>
        <w:pStyle w:val="JuPara"/>
      </w:pPr>
      <w:fldSimple w:instr=" SEQ level0 \*arabic \* MERGEFORMAT ">
        <w:r w:rsidRPr="007D46A6">
          <w:rPr>
            <w:noProof/>
          </w:rPr>
          <w:t>16</w:t>
        </w:r>
      </w:fldSimple>
      <w:r w:rsidRPr="007D46A6" w:rsidR="00713568">
        <w:t>.  It follows that this complaint is manifestly ill-founded and must be rejected in accordance with Article</w:t>
      </w:r>
      <w:r w:rsidRPr="007D46A6" w:rsidR="00090C4E">
        <w:t xml:space="preserve"> </w:t>
      </w:r>
      <w:r w:rsidRPr="007D46A6" w:rsidR="00713568">
        <w:t>35 §§</w:t>
      </w:r>
      <w:r w:rsidRPr="007D46A6" w:rsidR="00090C4E">
        <w:t xml:space="preserve"> </w:t>
      </w:r>
      <w:r w:rsidRPr="007D46A6" w:rsidR="00713568">
        <w:t>3</w:t>
      </w:r>
      <w:r w:rsidRPr="007D46A6" w:rsidR="00090C4E">
        <w:t xml:space="preserve"> </w:t>
      </w:r>
      <w:r w:rsidRPr="007D46A6" w:rsidR="00713568">
        <w:t>(a) and</w:t>
      </w:r>
      <w:r w:rsidRPr="007D46A6" w:rsidR="00090C4E">
        <w:t xml:space="preserve"> </w:t>
      </w:r>
      <w:r w:rsidRPr="007D46A6" w:rsidR="00713568">
        <w:t>4 of the Convention.</w:t>
      </w:r>
    </w:p>
    <w:p w:rsidRPr="007D46A6" w:rsidR="00713568" w:rsidP="007D46A6" w:rsidRDefault="00713568" w14:paraId="152B323D" w14:textId="77777777">
      <w:pPr>
        <w:pStyle w:val="JuHIRoman"/>
      </w:pPr>
      <w:r w:rsidRPr="007D46A6">
        <w:t>ALLEGED VIOLATION OF ARTICLE 5 § 4 OF THE CONVENTION</w:t>
      </w:r>
    </w:p>
    <w:p w:rsidRPr="007D46A6" w:rsidR="00713568" w:rsidP="007D46A6" w:rsidRDefault="007D46A6" w14:paraId="35331A83" w14:textId="751484B4">
      <w:pPr>
        <w:pStyle w:val="JuPara"/>
      </w:pPr>
      <w:fldSimple w:instr=" SEQ level0 \*arabic \* MERGEFORMAT ">
        <w:r w:rsidRPr="007D46A6">
          <w:rPr>
            <w:noProof/>
          </w:rPr>
          <w:t>17</w:t>
        </w:r>
      </w:fldSimple>
      <w:r w:rsidRPr="007D46A6" w:rsidR="00713568">
        <w:t xml:space="preserve">.  The applicant further complained that his appeals </w:t>
      </w:r>
      <w:r w:rsidRPr="007D46A6" w:rsidR="00713568">
        <w:rPr>
          <w:color w:val="000000"/>
        </w:rPr>
        <w:t>against the decisions of 3 July and 1</w:t>
      </w:r>
      <w:r w:rsidRPr="007D46A6" w:rsidR="00090C4E">
        <w:rPr>
          <w:color w:val="000000"/>
        </w:rPr>
        <w:t xml:space="preserve"> </w:t>
      </w:r>
      <w:r w:rsidRPr="007D46A6" w:rsidR="00713568">
        <w:rPr>
          <w:color w:val="000000"/>
        </w:rPr>
        <w:t xml:space="preserve">October 2019 extending his detention were not examined “speedily” as required by Article </w:t>
      </w:r>
      <w:r w:rsidRPr="007D46A6" w:rsidR="00713568">
        <w:t>5 §</w:t>
      </w:r>
      <w:r w:rsidRPr="007D46A6" w:rsidR="00090C4E">
        <w:t xml:space="preserve"> </w:t>
      </w:r>
      <w:r w:rsidRPr="007D46A6" w:rsidR="00713568">
        <w:t>4 of the Convention.</w:t>
      </w:r>
    </w:p>
    <w:p w:rsidRPr="007D46A6" w:rsidR="00713568" w:rsidP="007D46A6" w:rsidRDefault="007D46A6" w14:paraId="048CF0F4" w14:textId="091D4039">
      <w:pPr>
        <w:pStyle w:val="JuPara"/>
      </w:pPr>
      <w:fldSimple w:instr=" SEQ level0 \*arabic \* MERGEFORMAT ">
        <w:r w:rsidRPr="007D46A6">
          <w:rPr>
            <w:noProof/>
          </w:rPr>
          <w:t>18</w:t>
        </w:r>
      </w:fldSimple>
      <w:r w:rsidRPr="007D46A6" w:rsidR="00713568">
        <w:t>.  The decision of 1</w:t>
      </w:r>
      <w:r w:rsidRPr="007D46A6" w:rsidR="00090C4E">
        <w:t xml:space="preserve"> </w:t>
      </w:r>
      <w:r w:rsidRPr="007D46A6" w:rsidR="00713568">
        <w:t xml:space="preserve">October 2019 was issued after the applicant had been convicted in parallel proceedings (see paragraph 4 above) and his detention thus had become lawful under Article 5 § 1 (a) of the Convention (see paragraph </w:t>
      </w:r>
      <w:r w:rsidRPr="007D46A6" w:rsidR="00707531">
        <w:t xml:space="preserve">12 </w:t>
      </w:r>
      <w:r w:rsidRPr="007D46A6" w:rsidR="00713568">
        <w:t>above). The applicant</w:t>
      </w:r>
      <w:r w:rsidRPr="007D46A6">
        <w:t>’</w:t>
      </w:r>
      <w:r w:rsidRPr="007D46A6" w:rsidR="00713568">
        <w:t xml:space="preserve">s complaint that his appeal against it was examined in breach of standards provided by Article 5 § 4 must therefore be declared inadmissible as incompatible </w:t>
      </w:r>
      <w:proofErr w:type="spellStart"/>
      <w:r w:rsidRPr="007D46A6" w:rsidR="00713568">
        <w:rPr>
          <w:i/>
          <w:iCs/>
        </w:rPr>
        <w:t>ratione</w:t>
      </w:r>
      <w:proofErr w:type="spellEnd"/>
      <w:r w:rsidRPr="007D46A6" w:rsidR="00713568">
        <w:rPr>
          <w:i/>
          <w:iCs/>
        </w:rPr>
        <w:t xml:space="preserve"> </w:t>
      </w:r>
      <w:proofErr w:type="spellStart"/>
      <w:r w:rsidRPr="007D46A6" w:rsidR="00713568">
        <w:rPr>
          <w:i/>
          <w:iCs/>
        </w:rPr>
        <w:t>materiae</w:t>
      </w:r>
      <w:proofErr w:type="spellEnd"/>
      <w:r w:rsidRPr="007D46A6" w:rsidR="00713568">
        <w:t xml:space="preserve"> with the Article</w:t>
      </w:r>
      <w:r w:rsidRPr="007D46A6" w:rsidR="00707531">
        <w:t> </w:t>
      </w:r>
      <w:r w:rsidRPr="007D46A6" w:rsidR="00713568">
        <w:t>5 §</w:t>
      </w:r>
      <w:r w:rsidRPr="007D46A6" w:rsidR="00707531">
        <w:t> </w:t>
      </w:r>
      <w:r w:rsidRPr="007D46A6" w:rsidR="00713568">
        <w:t>4.</w:t>
      </w:r>
    </w:p>
    <w:p w:rsidRPr="007D46A6" w:rsidR="00713568" w:rsidP="007D46A6" w:rsidRDefault="007D46A6" w14:paraId="2E04808E" w14:textId="1C10C1E6">
      <w:pPr>
        <w:pStyle w:val="JuPara"/>
      </w:pPr>
      <w:fldSimple w:instr=" SEQ level0 \*arabic \* MERGEFORMAT ">
        <w:r w:rsidRPr="007D46A6">
          <w:rPr>
            <w:noProof/>
          </w:rPr>
          <w:t>19</w:t>
        </w:r>
      </w:fldSimple>
      <w:r w:rsidRPr="007D46A6" w:rsidR="00713568">
        <w:t>.  Turning to the complaint concerning the decision of 3</w:t>
      </w:r>
      <w:r w:rsidRPr="007D46A6" w:rsidR="00090C4E">
        <w:t xml:space="preserve"> </w:t>
      </w:r>
      <w:r w:rsidRPr="007D46A6" w:rsidR="00713568">
        <w:t>July 2019, the Government submitted a unilateral declaration covering this complaint. The applicant did not comment on it.</w:t>
      </w:r>
      <w:r w:rsidRPr="007D46A6" w:rsidR="00713568">
        <w:rPr>
          <w:rFonts w:ascii="Arial" w:hAnsi="Arial" w:cs="Arial"/>
          <w:color w:val="000000"/>
        </w:rPr>
        <w:t xml:space="preserve"> </w:t>
      </w:r>
      <w:r w:rsidRPr="007D46A6" w:rsidR="00713568">
        <w:rPr>
          <w:rFonts w:cstheme="minorHAnsi"/>
          <w:color w:val="000000"/>
        </w:rPr>
        <w:t>T</w:t>
      </w:r>
      <w:r w:rsidRPr="007D46A6" w:rsidR="00713568">
        <w:t>he Court notes that the unilateral declaration did not offer a sufficient basis for finding that respect for human rights as defined in the Convention does not require the Court to continue its examination of the case (Article 37 § 1</w:t>
      </w:r>
      <w:r w:rsidRPr="007D46A6" w:rsidR="00090C4E">
        <w:t xml:space="preserve"> </w:t>
      </w:r>
      <w:r w:rsidRPr="007D46A6" w:rsidR="00713568">
        <w:rPr>
          <w:i/>
          <w:iCs/>
        </w:rPr>
        <w:t>in fine</w:t>
      </w:r>
      <w:r w:rsidRPr="007D46A6" w:rsidR="00713568">
        <w:t>). It therefore rejects the Government</w:t>
      </w:r>
      <w:r w:rsidRPr="007D46A6">
        <w:t>’</w:t>
      </w:r>
      <w:r w:rsidRPr="007D46A6" w:rsidR="00713568">
        <w:t>s request to strike the complaint out and will accordingly pursue its examination of the case (see</w:t>
      </w:r>
      <w:r w:rsidRPr="007D46A6" w:rsidR="00090C4E">
        <w:t xml:space="preserve"> </w:t>
      </w:r>
      <w:r w:rsidRPr="007D46A6" w:rsidR="00713568">
        <w:rPr>
          <w:i/>
          <w:iCs/>
        </w:rPr>
        <w:t>Tahsin</w:t>
      </w:r>
      <w:r w:rsidRPr="007D46A6" w:rsidR="00090C4E">
        <w:rPr>
          <w:i/>
          <w:iCs/>
        </w:rPr>
        <w:t xml:space="preserve"> </w:t>
      </w:r>
      <w:r w:rsidRPr="007D46A6" w:rsidR="00713568">
        <w:rPr>
          <w:i/>
          <w:iCs/>
        </w:rPr>
        <w:t>Acar</w:t>
      </w:r>
      <w:r w:rsidRPr="007D46A6" w:rsidR="00713568">
        <w:rPr>
          <w:rFonts w:ascii="Arial" w:hAnsi="Arial" w:cs="Arial"/>
          <w:i/>
          <w:iCs/>
          <w:color w:val="000000"/>
        </w:rPr>
        <w:t xml:space="preserve"> </w:t>
      </w:r>
      <w:r w:rsidRPr="007D46A6" w:rsidR="00713568">
        <w:rPr>
          <w:i/>
          <w:iCs/>
        </w:rPr>
        <w:t>v. Turkey</w:t>
      </w:r>
      <w:r w:rsidRPr="007D46A6" w:rsidR="00090C4E">
        <w:rPr>
          <w:i/>
          <w:iCs/>
        </w:rPr>
        <w:t xml:space="preserve"> </w:t>
      </w:r>
      <w:r w:rsidRPr="007D46A6" w:rsidR="00713568">
        <w:t>(preliminary issue) [GC],</w:t>
      </w:r>
      <w:r w:rsidRPr="007D46A6" w:rsidR="00090C4E">
        <w:t xml:space="preserve"> </w:t>
      </w:r>
      <w:r w:rsidRPr="007D46A6" w:rsidR="00713568">
        <w:t>no. 26307/95,</w:t>
      </w:r>
      <w:r w:rsidRPr="007D46A6" w:rsidR="00090C4E">
        <w:t xml:space="preserve"> </w:t>
      </w:r>
      <w:r w:rsidRPr="007D46A6" w:rsidR="00713568">
        <w:t>§ 75, ECHR 2003-VI).</w:t>
      </w:r>
    </w:p>
    <w:p w:rsidRPr="007D46A6" w:rsidR="00713568" w:rsidP="007D46A6" w:rsidRDefault="007D46A6" w14:paraId="7DC49F19" w14:textId="7C488F77">
      <w:pPr>
        <w:pStyle w:val="JuPara"/>
      </w:pPr>
      <w:fldSimple w:instr=" SEQ level0 \*arabic \* MERGEFORMAT ">
        <w:r w:rsidRPr="007D46A6">
          <w:rPr>
            <w:noProof/>
          </w:rPr>
          <w:t>20</w:t>
        </w:r>
      </w:fldSimple>
      <w:r w:rsidRPr="007D46A6" w:rsidR="00713568">
        <w:t>.  Since t</w:t>
      </w:r>
      <w:r w:rsidRPr="007D46A6" w:rsidR="00713568">
        <w:rPr>
          <w:color w:val="000000"/>
        </w:rPr>
        <w:t xml:space="preserve">his complaint </w:t>
      </w:r>
      <w:r w:rsidRPr="007D46A6" w:rsidR="00713568">
        <w:t>is neither manifestly ill-founded within the meaning of Article</w:t>
      </w:r>
      <w:r w:rsidRPr="007D46A6" w:rsidR="00090C4E">
        <w:t xml:space="preserve"> </w:t>
      </w:r>
      <w:r w:rsidRPr="007D46A6" w:rsidR="00713568">
        <w:t>35 §</w:t>
      </w:r>
      <w:r w:rsidRPr="007D46A6" w:rsidR="00090C4E">
        <w:t xml:space="preserve"> </w:t>
      </w:r>
      <w:r w:rsidRPr="007D46A6" w:rsidR="00713568">
        <w:t>3</w:t>
      </w:r>
      <w:r w:rsidRPr="007D46A6" w:rsidR="00090C4E">
        <w:t xml:space="preserve"> </w:t>
      </w:r>
      <w:r w:rsidRPr="007D46A6" w:rsidR="00713568">
        <w:t>(a) of the Convention, nor inadmissible on any other grounds, it must be declared admissible.</w:t>
      </w:r>
    </w:p>
    <w:p w:rsidRPr="007D46A6" w:rsidR="00713568" w:rsidP="007D46A6" w:rsidRDefault="007D46A6" w14:paraId="7B188846" w14:textId="79F4ACC0">
      <w:pPr>
        <w:pStyle w:val="JuPara"/>
      </w:pPr>
      <w:fldSimple w:instr=" SEQ level0 \*arabic \* MERGEFORMAT ">
        <w:r w:rsidRPr="007D46A6">
          <w:rPr>
            <w:noProof/>
          </w:rPr>
          <w:t>21</w:t>
        </w:r>
      </w:fldSimple>
      <w:r w:rsidRPr="007D46A6" w:rsidR="00713568">
        <w:t>.  The applicant</w:t>
      </w:r>
      <w:r w:rsidRPr="007D46A6">
        <w:t>’</w:t>
      </w:r>
      <w:r w:rsidRPr="007D46A6" w:rsidR="00713568">
        <w:t>s appeal of 9</w:t>
      </w:r>
      <w:r w:rsidRPr="007D46A6" w:rsidR="00090C4E">
        <w:t xml:space="preserve"> </w:t>
      </w:r>
      <w:r w:rsidRPr="007D46A6" w:rsidR="00713568">
        <w:t>July 2019 was examined on 13 November 2019 that is four months and five days after it had been lodged (see paragraph</w:t>
      </w:r>
      <w:r w:rsidRPr="007D46A6" w:rsidR="00090C4E">
        <w:t> </w:t>
      </w:r>
      <w:r w:rsidRPr="007D46A6" w:rsidR="00713568">
        <w:t>6 above). In the light of the Court</w:t>
      </w:r>
      <w:r w:rsidRPr="007D46A6">
        <w:t>’</w:t>
      </w:r>
      <w:r w:rsidRPr="007D46A6" w:rsidR="00713568">
        <w:t xml:space="preserve">s well-established case-law (see, among many others, </w:t>
      </w:r>
      <w:proofErr w:type="spellStart"/>
      <w:r w:rsidRPr="007D46A6" w:rsidR="00713568">
        <w:rPr>
          <w:i/>
          <w:iCs/>
        </w:rPr>
        <w:t>Stettner</w:t>
      </w:r>
      <w:proofErr w:type="spellEnd"/>
      <w:r w:rsidRPr="007D46A6" w:rsidR="00713568">
        <w:rPr>
          <w:i/>
          <w:iCs/>
        </w:rPr>
        <w:t xml:space="preserve"> v.</w:t>
      </w:r>
      <w:r w:rsidRPr="007D46A6" w:rsidR="00090C4E">
        <w:rPr>
          <w:i/>
          <w:iCs/>
        </w:rPr>
        <w:t xml:space="preserve"> </w:t>
      </w:r>
      <w:r w:rsidRPr="007D46A6" w:rsidR="00713568">
        <w:rPr>
          <w:i/>
          <w:iCs/>
        </w:rPr>
        <w:t>Poland</w:t>
      </w:r>
      <w:r w:rsidRPr="007D46A6" w:rsidR="00713568">
        <w:t>, no. 38510/06, §§ 92-97, 24</w:t>
      </w:r>
      <w:r w:rsidRPr="007D46A6" w:rsidR="00090C4E">
        <w:t> </w:t>
      </w:r>
      <w:r w:rsidRPr="007D46A6" w:rsidR="00713568">
        <w:t xml:space="preserve">March 2015, and </w:t>
      </w:r>
      <w:r w:rsidRPr="007D46A6" w:rsidR="00713568">
        <w:rPr>
          <w:i/>
          <w:iCs/>
        </w:rPr>
        <w:t>Baranowski v.</w:t>
      </w:r>
      <w:r w:rsidRPr="007D46A6" w:rsidR="00090C4E">
        <w:rPr>
          <w:i/>
          <w:iCs/>
        </w:rPr>
        <w:t xml:space="preserve"> </w:t>
      </w:r>
      <w:r w:rsidRPr="007D46A6" w:rsidR="00713568">
        <w:rPr>
          <w:i/>
          <w:iCs/>
        </w:rPr>
        <w:t>Poland</w:t>
      </w:r>
      <w:r w:rsidRPr="007D46A6" w:rsidR="00713568">
        <w:t xml:space="preserve">, no. 28358/95, §§ 68-77, ECHR 2000-III) and having examined all the material before it, the Court concludes that this complaint discloses a violation of </w:t>
      </w:r>
      <w:r w:rsidRPr="007D46A6" w:rsidR="00713568">
        <w:rPr>
          <w:color w:val="000000"/>
        </w:rPr>
        <w:t>Article 5</w:t>
      </w:r>
      <w:r w:rsidRPr="007D46A6" w:rsidR="00090C4E">
        <w:rPr>
          <w:color w:val="000000"/>
        </w:rPr>
        <w:t> </w:t>
      </w:r>
      <w:r w:rsidRPr="007D46A6" w:rsidR="00713568">
        <w:t>§ 4 of the Convention.</w:t>
      </w:r>
    </w:p>
    <w:p w:rsidRPr="007D46A6" w:rsidR="00713568" w:rsidP="007D46A6" w:rsidRDefault="00713568" w14:paraId="7730F1EB" w14:textId="77777777">
      <w:pPr>
        <w:pStyle w:val="JuHIRoman"/>
      </w:pPr>
      <w:r w:rsidRPr="007D46A6">
        <w:t>APPLICATION OF ARTICLE 41 OF THE CONVENTION</w:t>
      </w:r>
    </w:p>
    <w:p w:rsidRPr="007D46A6" w:rsidR="00713568" w:rsidP="007D46A6" w:rsidRDefault="00713568" w14:paraId="2BBDB464" w14:textId="1CAE32C4">
      <w:pPr>
        <w:pStyle w:val="JuPara"/>
      </w:pPr>
      <w:r w:rsidRPr="007D46A6">
        <w:fldChar w:fldCharType="begin"/>
      </w:r>
      <w:r w:rsidRPr="007D46A6">
        <w:instrText xml:space="preserve"> SEQ level0 \*arabic </w:instrText>
      </w:r>
      <w:r w:rsidRPr="007D46A6">
        <w:fldChar w:fldCharType="separate"/>
      </w:r>
      <w:r w:rsidRPr="007D46A6" w:rsidR="007D46A6">
        <w:rPr>
          <w:noProof/>
        </w:rPr>
        <w:t>22</w:t>
      </w:r>
      <w:r w:rsidRPr="007D46A6">
        <w:fldChar w:fldCharType="end"/>
      </w:r>
      <w:r w:rsidRPr="007D46A6">
        <w:t>.  The applicant claimed 8,000,000 euros (EUR) in respect of non</w:t>
      </w:r>
      <w:r w:rsidRPr="007D46A6">
        <w:noBreakHyphen/>
        <w:t>pecuniary damage.</w:t>
      </w:r>
    </w:p>
    <w:p w:rsidRPr="007D46A6" w:rsidR="00713568" w:rsidP="007D46A6" w:rsidRDefault="00713568" w14:paraId="27CAC553" w14:textId="500DEE80">
      <w:pPr>
        <w:pStyle w:val="JuPara"/>
      </w:pPr>
      <w:r w:rsidRPr="007D46A6">
        <w:fldChar w:fldCharType="begin"/>
      </w:r>
      <w:r w:rsidRPr="007D46A6">
        <w:instrText xml:space="preserve"> SEQ level0 \*arabic </w:instrText>
      </w:r>
      <w:r w:rsidRPr="007D46A6">
        <w:fldChar w:fldCharType="separate"/>
      </w:r>
      <w:r w:rsidRPr="007D46A6" w:rsidR="007D46A6">
        <w:rPr>
          <w:noProof/>
        </w:rPr>
        <w:t>23</w:t>
      </w:r>
      <w:r w:rsidRPr="007D46A6">
        <w:fldChar w:fldCharType="end"/>
      </w:r>
      <w:r w:rsidRPr="007D46A6">
        <w:t>.  The Government considered that the sum in question was exorbitant.</w:t>
      </w:r>
    </w:p>
    <w:p w:rsidRPr="007D46A6" w:rsidR="00713568" w:rsidP="007D46A6" w:rsidRDefault="00713568" w14:paraId="453AF2C7" w14:textId="24726C39">
      <w:pPr>
        <w:pStyle w:val="JuPara"/>
      </w:pPr>
      <w:r w:rsidRPr="007D46A6">
        <w:fldChar w:fldCharType="begin"/>
      </w:r>
      <w:r w:rsidRPr="007D46A6">
        <w:instrText xml:space="preserve"> SEQ level0 \*arabic </w:instrText>
      </w:r>
      <w:r w:rsidRPr="007D46A6">
        <w:fldChar w:fldCharType="separate"/>
      </w:r>
      <w:r w:rsidRPr="007D46A6" w:rsidR="007D46A6">
        <w:rPr>
          <w:noProof/>
        </w:rPr>
        <w:t>24</w:t>
      </w:r>
      <w:r w:rsidRPr="007D46A6">
        <w:fldChar w:fldCharType="end"/>
      </w:r>
      <w:r w:rsidRPr="007D46A6">
        <w:t>.  The Court awards the applicant EUR 2,000 in respect of non-pecuniary damage, plus any tax that may be chargeable.</w:t>
      </w:r>
    </w:p>
    <w:p w:rsidRPr="007D46A6" w:rsidR="00713568" w:rsidP="007D46A6" w:rsidRDefault="00713568" w14:paraId="0180A892" w14:textId="6EC2A874">
      <w:pPr>
        <w:pStyle w:val="JuPara"/>
      </w:pPr>
      <w:r w:rsidRPr="007D46A6">
        <w:fldChar w:fldCharType="begin"/>
      </w:r>
      <w:r w:rsidRPr="007D46A6">
        <w:instrText xml:space="preserve"> SEQ level0 \*arabic </w:instrText>
      </w:r>
      <w:r w:rsidRPr="007D46A6">
        <w:fldChar w:fldCharType="separate"/>
      </w:r>
      <w:r w:rsidRPr="007D46A6" w:rsidR="007D46A6">
        <w:rPr>
          <w:noProof/>
        </w:rPr>
        <w:t>25</w:t>
      </w:r>
      <w:r w:rsidRPr="007D46A6">
        <w:fldChar w:fldCharType="end"/>
      </w:r>
      <w:r w:rsidRPr="007D46A6">
        <w:t>.  The Court further considers it appropriate that the default interest rate should be based on the marginal lending rate of the European Central Bank, to which should be added three percentage points.</w:t>
      </w:r>
    </w:p>
    <w:p w:rsidRPr="007D46A6" w:rsidR="00713568" w:rsidP="007D46A6" w:rsidRDefault="00713568" w14:paraId="3FCF8836" w14:textId="77777777">
      <w:pPr>
        <w:pStyle w:val="JuHHead"/>
      </w:pPr>
      <w:r w:rsidRPr="007D46A6">
        <w:t>FOR THESE REASONS, THE COURT, UNANIMOUSLY,</w:t>
      </w:r>
    </w:p>
    <w:p w:rsidRPr="007D46A6" w:rsidR="00713568" w:rsidP="007D46A6" w:rsidRDefault="00713568" w14:paraId="17A948AD" w14:textId="62519ACD">
      <w:pPr>
        <w:pStyle w:val="JuList"/>
      </w:pPr>
      <w:r w:rsidRPr="007D46A6">
        <w:rPr>
          <w:i/>
          <w:iCs/>
        </w:rPr>
        <w:t>Rejects</w:t>
      </w:r>
      <w:r w:rsidRPr="007D46A6">
        <w:t xml:space="preserve"> the Government</w:t>
      </w:r>
      <w:r w:rsidRPr="007D46A6" w:rsidR="007D46A6">
        <w:t>’</w:t>
      </w:r>
      <w:r w:rsidRPr="007D46A6">
        <w:t>s request to strike the complaint under Article</w:t>
      </w:r>
      <w:r w:rsidRPr="007D46A6" w:rsidR="00707531">
        <w:t> </w:t>
      </w:r>
      <w:r w:rsidRPr="007D46A6">
        <w:t xml:space="preserve">5 § 4, relating to the decision of </w:t>
      </w:r>
      <w:r w:rsidRPr="007D46A6" w:rsidR="00F67E31">
        <w:t>3 July</w:t>
      </w:r>
      <w:r w:rsidRPr="007D46A6">
        <w:t xml:space="preserve"> 2019, out of its list of </w:t>
      </w:r>
      <w:proofErr w:type="gramStart"/>
      <w:r w:rsidRPr="007D46A6">
        <w:t>cases;</w:t>
      </w:r>
      <w:proofErr w:type="gramEnd"/>
    </w:p>
    <w:p w:rsidRPr="007D46A6" w:rsidR="00713568" w:rsidP="007D46A6" w:rsidRDefault="00713568" w14:paraId="5455D79C" w14:textId="4DC92445">
      <w:pPr>
        <w:pStyle w:val="JuList"/>
      </w:pPr>
      <w:r w:rsidRPr="007D46A6">
        <w:rPr>
          <w:i/>
        </w:rPr>
        <w:t>Declares</w:t>
      </w:r>
      <w:r w:rsidRPr="007D46A6">
        <w:t xml:space="preserve"> the complaint under Article 5 § 4 of the Convention concerning the applicant</w:t>
      </w:r>
      <w:r w:rsidRPr="007D46A6" w:rsidR="007D46A6">
        <w:t>’</w:t>
      </w:r>
      <w:r w:rsidRPr="007D46A6">
        <w:t xml:space="preserve">s appeal against the decision of </w:t>
      </w:r>
      <w:r w:rsidRPr="007D46A6">
        <w:rPr>
          <w:color w:val="000000"/>
        </w:rPr>
        <w:t xml:space="preserve">3 July 2019 </w:t>
      </w:r>
      <w:r w:rsidRPr="007D46A6">
        <w:t xml:space="preserve">admissible and the remainder of the application </w:t>
      </w:r>
      <w:proofErr w:type="gramStart"/>
      <w:r w:rsidRPr="007D46A6">
        <w:t>inadmissible;</w:t>
      </w:r>
      <w:proofErr w:type="gramEnd"/>
    </w:p>
    <w:p w:rsidRPr="007D46A6" w:rsidR="00713568" w:rsidP="007D46A6" w:rsidRDefault="00713568" w14:paraId="7C3D4F70" w14:textId="77777777">
      <w:pPr>
        <w:pStyle w:val="JuList"/>
      </w:pPr>
      <w:r w:rsidRPr="007D46A6">
        <w:rPr>
          <w:i/>
        </w:rPr>
        <w:t>Holds</w:t>
      </w:r>
      <w:r w:rsidRPr="007D46A6">
        <w:t xml:space="preserve"> that there has been a violation of Article 5 § 4 of the </w:t>
      </w:r>
      <w:proofErr w:type="gramStart"/>
      <w:r w:rsidRPr="007D46A6">
        <w:t>Convention;</w:t>
      </w:r>
      <w:proofErr w:type="gramEnd"/>
    </w:p>
    <w:p w:rsidRPr="007D46A6" w:rsidR="00713568" w:rsidP="007D46A6" w:rsidRDefault="00713568" w14:paraId="571D7EBC" w14:textId="77777777">
      <w:pPr>
        <w:pStyle w:val="JuList"/>
      </w:pPr>
      <w:r w:rsidRPr="007D46A6">
        <w:rPr>
          <w:i/>
          <w:iCs/>
        </w:rPr>
        <w:t>Holds</w:t>
      </w:r>
    </w:p>
    <w:p w:rsidRPr="007D46A6" w:rsidR="00713568" w:rsidP="007D46A6" w:rsidRDefault="00713568" w14:paraId="2193E6AA" w14:textId="77777777">
      <w:pPr>
        <w:pStyle w:val="JuListi"/>
        <w:numPr>
          <w:ilvl w:val="0"/>
          <w:numId w:val="21"/>
        </w:numPr>
        <w:ind w:left="851"/>
      </w:pPr>
      <w:r w:rsidRPr="007D46A6">
        <w:t xml:space="preserve">that the respondent State is to pay the applicant, within three months, EUR 2,000 (two thousand euros) </w:t>
      </w:r>
      <w:r w:rsidRPr="007D46A6">
        <w:rPr>
          <w:bCs/>
        </w:rPr>
        <w:t xml:space="preserve">to be converted into </w:t>
      </w:r>
      <w:r w:rsidRPr="007D46A6">
        <w:rPr>
          <w:bCs/>
          <w:color w:val="000000"/>
        </w:rPr>
        <w:t>the currency of the respondent State</w:t>
      </w:r>
      <w:r w:rsidRPr="007D46A6">
        <w:rPr>
          <w:b/>
          <w:color w:val="000000"/>
        </w:rPr>
        <w:t xml:space="preserve"> </w:t>
      </w:r>
      <w:r w:rsidRPr="007D46A6">
        <w:t>at the rate applicable at the date of settlement, plus any tax that may be chargeable, in respect of non-pecuniary damage;</w:t>
      </w:r>
    </w:p>
    <w:p w:rsidRPr="007D46A6" w:rsidR="00713568" w:rsidP="007D46A6" w:rsidRDefault="00713568" w14:paraId="4204BE9B" w14:textId="77777777">
      <w:pPr>
        <w:pStyle w:val="JuLista"/>
        <w:numPr>
          <w:ilvl w:val="0"/>
          <w:numId w:val="21"/>
        </w:numPr>
        <w:ind w:left="851"/>
      </w:pPr>
      <w:r w:rsidRPr="007D46A6">
        <w:t xml:space="preserve">that from the expiry of the above-mentioned three months until settlement simple interest shall be payable on the above amount at a rate equal to the marginal lending rate of the European Central Bank during the default period plus three percentage </w:t>
      </w:r>
      <w:proofErr w:type="gramStart"/>
      <w:r w:rsidRPr="007D46A6">
        <w:t>points;</w:t>
      </w:r>
      <w:proofErr w:type="gramEnd"/>
    </w:p>
    <w:p w:rsidRPr="007D46A6" w:rsidR="004D0EC7" w:rsidP="007D46A6" w:rsidRDefault="00713568" w14:paraId="4B1118A6" w14:textId="52D882F8">
      <w:pPr>
        <w:pStyle w:val="JuList"/>
      </w:pPr>
      <w:r w:rsidRPr="007D46A6">
        <w:rPr>
          <w:i/>
        </w:rPr>
        <w:t xml:space="preserve">Dismisses </w:t>
      </w:r>
      <w:r w:rsidRPr="007D46A6">
        <w:t>the remainder of the applicant</w:t>
      </w:r>
      <w:r w:rsidRPr="007D46A6" w:rsidR="007D46A6">
        <w:t>’</w:t>
      </w:r>
      <w:r w:rsidRPr="007D46A6">
        <w:t>s claim for just satisfaction.</w:t>
      </w:r>
    </w:p>
    <w:p w:rsidRPr="007D46A6" w:rsidR="008E3A08" w:rsidP="007D46A6" w:rsidRDefault="007E2C8C" w14:paraId="69EB7810" w14:textId="3E99BE15">
      <w:pPr>
        <w:pStyle w:val="JuParaLast"/>
      </w:pPr>
      <w:r w:rsidRPr="007D46A6">
        <w:t xml:space="preserve">Done in English, and notified in writing on </w:t>
      </w:r>
      <w:r w:rsidRPr="007D46A6" w:rsidR="00713568">
        <w:rPr>
          <w:rFonts w:ascii="Times New Roman" w:hAnsi="Times New Roman" w:cs="Times New Roman"/>
        </w:rPr>
        <w:t>3 February 2022</w:t>
      </w:r>
      <w:r w:rsidRPr="007D46A6">
        <w:t>, pursuant to Rule 77 §§ 2 and 3 of the Rules of Court.</w:t>
      </w:r>
    </w:p>
    <w:p w:rsidRPr="007D46A6" w:rsidR="001C055B" w:rsidP="007D46A6" w:rsidRDefault="002E7764" w14:paraId="3D4C2A4A" w14:textId="577AECDD">
      <w:pPr>
        <w:pStyle w:val="JuSigned"/>
      </w:pPr>
      <w:r w:rsidRPr="007D46A6">
        <w:tab/>
      </w:r>
      <w:r w:rsidRPr="007D46A6" w:rsidR="00713568">
        <w:rPr>
          <w:noProof/>
        </w:rPr>
        <w:t>Liv Tigerstedt</w:t>
      </w:r>
      <w:r w:rsidRPr="007D46A6" w:rsidR="005879A2">
        <w:t xml:space="preserve"> </w:t>
      </w:r>
      <w:r w:rsidRPr="007D46A6" w:rsidR="009F4C8F">
        <w:tab/>
      </w:r>
      <w:r w:rsidRPr="007D46A6" w:rsidR="00713568">
        <w:rPr>
          <w:noProof/>
        </w:rPr>
        <w:t>Péter Paczolay</w:t>
      </w:r>
      <w:r w:rsidRPr="007D46A6" w:rsidR="009F4C8F">
        <w:br/>
      </w:r>
      <w:r w:rsidRPr="007D46A6" w:rsidR="009F4C8F">
        <w:tab/>
      </w:r>
      <w:r w:rsidRPr="007D46A6" w:rsidR="00713568">
        <w:rPr>
          <w:noProof/>
        </w:rPr>
        <w:t xml:space="preserve">Deputy </w:t>
      </w:r>
      <w:r w:rsidRPr="007D46A6" w:rsidR="00713568">
        <w:rPr>
          <w:iCs/>
          <w:noProof/>
        </w:rPr>
        <w:t>Registrar</w:t>
      </w:r>
      <w:r w:rsidRPr="007D46A6" w:rsidR="009F4C8F">
        <w:tab/>
        <w:t>President</w:t>
      </w:r>
    </w:p>
    <w:sectPr w:rsidRPr="007D46A6" w:rsidR="001C055B"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5329D6" w14:textId="77777777" w:rsidR="00713568" w:rsidRPr="00713568" w:rsidRDefault="00713568" w:rsidP="0098410D">
      <w:r w:rsidRPr="00713568">
        <w:separator/>
      </w:r>
    </w:p>
  </w:endnote>
  <w:endnote w:type="continuationSeparator" w:id="0">
    <w:p w14:paraId="2637B4B6" w14:textId="77777777" w:rsidR="00713568" w:rsidRPr="00713568" w:rsidRDefault="00713568" w:rsidP="0098410D">
      <w:r w:rsidRPr="0071356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A7B65D" w14:textId="31E6733F" w:rsidR="00713568" w:rsidRPr="00150BFA" w:rsidRDefault="00713568" w:rsidP="0020718E">
    <w:pPr>
      <w:jc w:val="center"/>
    </w:pPr>
    <w:r>
      <w:rPr>
        <w:noProof/>
        <w:lang w:val="en-US" w:eastAsia="ja-JP"/>
      </w:rPr>
      <w:drawing>
        <wp:inline distT="0" distB="0" distL="0" distR="0" wp14:anchorId="258D4B29" wp14:editId="3889386A">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B14EB15" w14:textId="03461028" w:rsidR="0098410D" w:rsidRPr="00713568"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5F69AD" w14:textId="270B35D1" w:rsidR="00713568" w:rsidRPr="00150BFA" w:rsidRDefault="00713568" w:rsidP="0020718E">
    <w:pPr>
      <w:jc w:val="center"/>
    </w:pPr>
    <w:r>
      <w:rPr>
        <w:noProof/>
        <w:lang w:val="en-US" w:eastAsia="ja-JP"/>
      </w:rPr>
      <w:drawing>
        <wp:inline distT="0" distB="0" distL="0" distR="0" wp14:anchorId="2C6DBE4E" wp14:editId="092A719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80810A7" w14:textId="3C5514C9" w:rsidR="009E7A6F" w:rsidRPr="00713568"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067D39" w14:textId="0DDEDCFB" w:rsidR="00182EBA" w:rsidRDefault="00713568"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3D043D" w14:textId="79FD2CDE" w:rsidR="00182EBA" w:rsidRPr="000B7195" w:rsidRDefault="00713568" w:rsidP="007D3701">
    <w:pPr>
      <w:pStyle w:val="JuHeader"/>
    </w:pP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6BAB24" w14:textId="77777777" w:rsidR="00713568" w:rsidRPr="00713568" w:rsidRDefault="00713568" w:rsidP="0098410D">
      <w:r w:rsidRPr="00713568">
        <w:separator/>
      </w:r>
    </w:p>
  </w:footnote>
  <w:footnote w:type="continuationSeparator" w:id="0">
    <w:p w14:paraId="5EDC8D7A" w14:textId="77777777" w:rsidR="00713568" w:rsidRPr="00713568" w:rsidRDefault="00713568" w:rsidP="0098410D">
      <w:r w:rsidRPr="00713568">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A9ACAF" w14:textId="38060667" w:rsidR="00713568" w:rsidRPr="00A45145" w:rsidRDefault="00713568" w:rsidP="00A45145">
    <w:pPr>
      <w:jc w:val="center"/>
    </w:pPr>
    <w:r>
      <w:rPr>
        <w:noProof/>
        <w:lang w:val="en-US" w:eastAsia="ja-JP"/>
      </w:rPr>
      <w:drawing>
        <wp:inline distT="0" distB="0" distL="0" distR="0" wp14:anchorId="579CAF75" wp14:editId="3103F04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2D97A28" w14:textId="7F248B6E" w:rsidR="0098410D" w:rsidRPr="00713568"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1A4203" w14:textId="23C10878" w:rsidR="00713568" w:rsidRPr="00A45145" w:rsidRDefault="00713568" w:rsidP="00A45145">
    <w:pPr>
      <w:jc w:val="center"/>
    </w:pPr>
    <w:r>
      <w:rPr>
        <w:noProof/>
        <w:lang w:val="en-US" w:eastAsia="ja-JP"/>
      </w:rPr>
      <w:drawing>
        <wp:inline distT="0" distB="0" distL="0" distR="0" wp14:anchorId="24604442" wp14:editId="1C2765D4">
          <wp:extent cx="2962275" cy="1219200"/>
          <wp:effectExtent l="0" t="0" r="9525" b="0"/>
          <wp:docPr id="39" name="Picture 3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D86AD03" w14:textId="2E7A454B" w:rsidR="0098410D" w:rsidRPr="00713568"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481112" w14:textId="0819757B" w:rsidR="00182EBA" w:rsidRPr="004D0EC7" w:rsidRDefault="00713568" w:rsidP="004D0EC7">
    <w:pPr>
      <w:pStyle w:val="JuHeader"/>
    </w:pPr>
    <w:r>
      <w:t>ŁAKATOSZ v. POLAND</w:t>
    </w:r>
    <w:r w:rsidR="00182EBA" w:rsidRPr="004D0EC7">
      <w:t xml:space="preserve"> </w:t>
    </w:r>
    <w:r w:rsidR="00182EBA">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60D347" w14:textId="4B63E44D" w:rsidR="00182EBA" w:rsidRPr="00882CD5" w:rsidRDefault="00713568" w:rsidP="007D3701">
    <w:pPr>
      <w:pStyle w:val="JuHeader"/>
    </w:pPr>
    <w:r>
      <w:t>ŁAKATOSZ v. POLAND</w:t>
    </w:r>
    <w:r w:rsidR="00182EBA"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AE22908"/>
    <w:multiLevelType w:val="hybridMultilevel"/>
    <w:tmpl w:val="A5E6FBA2"/>
    <w:lvl w:ilvl="0" w:tplc="2A0A3588">
      <w:start w:val="1"/>
      <w:numFmt w:val="lowerLetter"/>
      <w:lvlText w:val="(%1)"/>
      <w:lvlJc w:val="left"/>
      <w:pPr>
        <w:ind w:left="140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2"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5"/>
  </w:num>
  <w:num w:numId="2">
    <w:abstractNumId w:val="13"/>
  </w:num>
  <w:num w:numId="3">
    <w:abstractNumId w:val="12"/>
  </w:num>
  <w:num w:numId="4">
    <w:abstractNumId w:val="16"/>
  </w:num>
  <w:num w:numId="5">
    <w:abstractNumId w:val="14"/>
  </w:num>
  <w:num w:numId="6">
    <w:abstractNumId w:val="17"/>
  </w:num>
  <w:num w:numId="7">
    <w:abstractNumId w:val="16"/>
  </w:num>
  <w:num w:numId="8">
    <w:abstractNumId w:val="17"/>
  </w:num>
  <w:num w:numId="9">
    <w:abstractNumId w:val="11"/>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w:rsids>
    <w:rsidRoot w:val="00713568"/>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0C4E"/>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347"/>
    <w:rsid w:val="001A145B"/>
    <w:rsid w:val="001A3E09"/>
    <w:rsid w:val="001A5CC5"/>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547"/>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97905"/>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D6A6D"/>
    <w:rsid w:val="006E2E37"/>
    <w:rsid w:val="006E3CF1"/>
    <w:rsid w:val="006E68A3"/>
    <w:rsid w:val="006E7E80"/>
    <w:rsid w:val="006F1C2D"/>
    <w:rsid w:val="006F48CA"/>
    <w:rsid w:val="006F64DD"/>
    <w:rsid w:val="006F712D"/>
    <w:rsid w:val="00707531"/>
    <w:rsid w:val="00713568"/>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6A6"/>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23EB"/>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67E3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67108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6439A"/>
    <w:rPr>
      <w:sz w:val="24"/>
      <w:szCs w:val="24"/>
      <w:lang w:val="en-GB"/>
    </w:rPr>
  </w:style>
  <w:style w:type="paragraph" w:styleId="Heading1">
    <w:name w:val="heading 1"/>
    <w:basedOn w:val="Normal"/>
    <w:next w:val="Normal"/>
    <w:link w:val="Heading1Char"/>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6439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6439A"/>
    <w:rPr>
      <w:rFonts w:ascii="Tahoma" w:hAnsi="Tahoma" w:cs="Tahoma"/>
      <w:sz w:val="16"/>
      <w:szCs w:val="16"/>
    </w:rPr>
  </w:style>
  <w:style w:type="character" w:customStyle="1" w:styleId="BalloonTextChar">
    <w:name w:val="Balloon Text Char"/>
    <w:basedOn w:val="DefaultParagraphFont"/>
    <w:link w:val="BalloonText"/>
    <w:uiPriority w:val="98"/>
    <w:semiHidden/>
    <w:rsid w:val="0026439A"/>
    <w:rPr>
      <w:rFonts w:ascii="Tahoma" w:hAnsi="Tahoma" w:cs="Tahoma"/>
      <w:sz w:val="16"/>
      <w:szCs w:val="16"/>
      <w:lang w:val="en-GB"/>
    </w:rPr>
  </w:style>
  <w:style w:type="character" w:styleId="BookTitle">
    <w:name w:val="Book Title"/>
    <w:uiPriority w:val="98"/>
    <w:semiHidden/>
    <w:qFormat/>
    <w:rsid w:val="0026439A"/>
    <w:rPr>
      <w:i/>
      <w:iCs/>
      <w:smallCaps/>
      <w:spacing w:val="5"/>
    </w:rPr>
  </w:style>
  <w:style w:type="paragraph" w:customStyle="1" w:styleId="JuHeader">
    <w:name w:val="Ju_Header"/>
    <w:aliases w:val="_Header"/>
    <w:basedOn w:val="Header"/>
    <w:uiPriority w:val="29"/>
    <w:qFormat/>
    <w:rsid w:val="0026439A"/>
    <w:pPr>
      <w:tabs>
        <w:tab w:val="clear" w:pos="4536"/>
        <w:tab w:val="clear" w:pos="9072"/>
      </w:tabs>
      <w:jc w:val="center"/>
    </w:pPr>
    <w:rPr>
      <w:sz w:val="18"/>
    </w:rPr>
  </w:style>
  <w:style w:type="paragraph" w:customStyle="1" w:styleId="NormalJustified">
    <w:name w:val="Normal_Justified"/>
    <w:basedOn w:val="Normal"/>
    <w:semiHidden/>
    <w:rsid w:val="0026439A"/>
    <w:pPr>
      <w:jc w:val="both"/>
    </w:pPr>
  </w:style>
  <w:style w:type="character" w:styleId="Strong">
    <w:name w:val="Strong"/>
    <w:uiPriority w:val="98"/>
    <w:semiHidden/>
    <w:qFormat/>
    <w:rsid w:val="0026439A"/>
    <w:rPr>
      <w:b/>
      <w:bCs/>
    </w:rPr>
  </w:style>
  <w:style w:type="paragraph" w:styleId="NoSpacing">
    <w:name w:val="No Spacing"/>
    <w:basedOn w:val="Normal"/>
    <w:link w:val="NoSpacingChar"/>
    <w:uiPriority w:val="98"/>
    <w:semiHidden/>
    <w:qFormat/>
    <w:rsid w:val="0026439A"/>
  </w:style>
  <w:style w:type="character" w:customStyle="1" w:styleId="NoSpacingChar">
    <w:name w:val="No Spacing Char"/>
    <w:basedOn w:val="DefaultParagraphFont"/>
    <w:link w:val="NoSpacing"/>
    <w:uiPriority w:val="98"/>
    <w:semiHidden/>
    <w:rsid w:val="0026439A"/>
    <w:rPr>
      <w:sz w:val="24"/>
      <w:szCs w:val="24"/>
      <w:lang w:val="en-GB"/>
    </w:rPr>
  </w:style>
  <w:style w:type="paragraph" w:customStyle="1" w:styleId="JuQuot">
    <w:name w:val="Ju_Quot"/>
    <w:aliases w:val="_Quote"/>
    <w:basedOn w:val="NormalJustified"/>
    <w:uiPriority w:val="20"/>
    <w:qFormat/>
    <w:rsid w:val="0026439A"/>
    <w:pPr>
      <w:spacing w:before="120" w:after="120"/>
      <w:ind w:left="425" w:firstLine="142"/>
    </w:pPr>
    <w:rPr>
      <w:sz w:val="20"/>
    </w:rPr>
  </w:style>
  <w:style w:type="paragraph" w:customStyle="1" w:styleId="DummyStyle">
    <w:name w:val="Dummy_Style"/>
    <w:aliases w:val="_Dummy"/>
    <w:basedOn w:val="Normal"/>
    <w:semiHidden/>
    <w:qFormat/>
    <w:rsid w:val="0026439A"/>
    <w:rPr>
      <w:color w:val="00B050"/>
      <w:sz w:val="22"/>
    </w:r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6439A"/>
    <w:pPr>
      <w:numPr>
        <w:numId w:val="4"/>
      </w:numPr>
    </w:pPr>
  </w:style>
  <w:style w:type="paragraph" w:customStyle="1" w:styleId="JuSigned">
    <w:name w:val="Ju_Signed"/>
    <w:aliases w:val="_Signature"/>
    <w:basedOn w:val="Normal"/>
    <w:next w:val="JuPara"/>
    <w:uiPriority w:val="31"/>
    <w:qFormat/>
    <w:rsid w:val="0026439A"/>
    <w:pPr>
      <w:tabs>
        <w:tab w:val="center" w:pos="1418"/>
        <w:tab w:val="center" w:pos="5954"/>
      </w:tabs>
      <w:spacing w:before="720"/>
    </w:pPr>
  </w:style>
  <w:style w:type="paragraph" w:styleId="Title">
    <w:name w:val="Title"/>
    <w:basedOn w:val="Normal"/>
    <w:next w:val="Normal"/>
    <w:link w:val="TitleChar"/>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643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6439A"/>
    <w:pPr>
      <w:numPr>
        <w:numId w:val="5"/>
      </w:numPr>
    </w:pPr>
  </w:style>
  <w:style w:type="numbering" w:customStyle="1" w:styleId="ECHRA1StyleNumberedList">
    <w:name w:val="ECHR_A1_Style_Numbered_List"/>
    <w:basedOn w:val="NoList"/>
    <w:rsid w:val="0026439A"/>
    <w:pPr>
      <w:numPr>
        <w:numId w:val="6"/>
      </w:numPr>
    </w:pPr>
  </w:style>
  <w:style w:type="table" w:customStyle="1" w:styleId="ECHRTable2019">
    <w:name w:val="ECHR_Table_2019"/>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6439A"/>
    <w:pPr>
      <w:keepNext/>
      <w:keepLines/>
      <w:numPr>
        <w:ilvl w:val="3"/>
        <w:numId w:val="9"/>
      </w:numPr>
      <w:spacing w:before="100" w:beforeAutospacing="1" w:after="120"/>
      <w:jc w:val="both"/>
    </w:pPr>
    <w:rPr>
      <w:b w:val="0"/>
      <w:color w:val="auto"/>
      <w:sz w:val="24"/>
    </w:rPr>
  </w:style>
  <w:style w:type="paragraph" w:styleId="Header">
    <w:name w:val="header"/>
    <w:basedOn w:val="Normal"/>
    <w:link w:val="HeaderChar"/>
    <w:uiPriority w:val="98"/>
    <w:semiHidden/>
    <w:rsid w:val="0026439A"/>
    <w:pPr>
      <w:tabs>
        <w:tab w:val="center" w:pos="4536"/>
        <w:tab w:val="right" w:pos="9072"/>
      </w:tabs>
    </w:pPr>
  </w:style>
  <w:style w:type="character" w:customStyle="1" w:styleId="HeaderChar">
    <w:name w:val="Header Char"/>
    <w:basedOn w:val="DefaultParagraphFont"/>
    <w:link w:val="Header"/>
    <w:uiPriority w:val="98"/>
    <w:semiHidden/>
    <w:rsid w:val="0026439A"/>
    <w:rPr>
      <w:sz w:val="24"/>
      <w:szCs w:val="24"/>
      <w:lang w:val="en-GB"/>
    </w:rPr>
  </w:style>
  <w:style w:type="character" w:customStyle="1" w:styleId="Heading1Char">
    <w:name w:val="Heading 1 Char"/>
    <w:basedOn w:val="DefaultParagraphFont"/>
    <w:link w:val="Heading1"/>
    <w:uiPriority w:val="98"/>
    <w:semiHidden/>
    <w:rsid w:val="0026439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6439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6439A"/>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6439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
    <w:uiPriority w:val="32"/>
    <w:qFormat/>
    <w:rsid w:val="0026439A"/>
    <w:pPr>
      <w:tabs>
        <w:tab w:val="left" w:pos="567"/>
        <w:tab w:val="left" w:pos="1134"/>
      </w:tabs>
    </w:pPr>
  </w:style>
  <w:style w:type="character" w:customStyle="1" w:styleId="Heading4Char">
    <w:name w:val="Heading 4 Char"/>
    <w:basedOn w:val="DefaultParagraphFont"/>
    <w:link w:val="Heading4"/>
    <w:uiPriority w:val="98"/>
    <w:semiHidden/>
    <w:rsid w:val="002643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6439A"/>
    <w:pPr>
      <w:tabs>
        <w:tab w:val="center" w:pos="6407"/>
      </w:tabs>
      <w:spacing w:before="720"/>
      <w:jc w:val="right"/>
    </w:pPr>
  </w:style>
  <w:style w:type="character" w:customStyle="1" w:styleId="Heading5Char">
    <w:name w:val="Heading 5 Char"/>
    <w:basedOn w:val="DefaultParagraphFont"/>
    <w:link w:val="Heading5"/>
    <w:uiPriority w:val="98"/>
    <w:semiHidden/>
    <w:rsid w:val="0026439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SubtleEmphasis">
    <w:name w:val="Subtle Emphasis"/>
    <w:uiPriority w:val="98"/>
    <w:semiHidden/>
    <w:qFormat/>
    <w:rsid w:val="0026439A"/>
    <w:rPr>
      <w:i/>
      <w:iCs/>
    </w:rPr>
  </w:style>
  <w:style w:type="table" w:customStyle="1" w:styleId="ECHRTable">
    <w:name w:val="ECHR_Table"/>
    <w:basedOn w:val="TableNormal"/>
    <w:rsid w:val="0026439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643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6439A"/>
    <w:rPr>
      <w:b/>
      <w:bCs/>
      <w:i/>
      <w:iCs/>
      <w:spacing w:val="10"/>
      <w:bdr w:val="none" w:sz="0" w:space="0" w:color="auto"/>
      <w:shd w:val="clear" w:color="auto" w:fill="auto"/>
    </w:rPr>
  </w:style>
  <w:style w:type="paragraph" w:styleId="Footer0">
    <w:name w:val="footer"/>
    <w:basedOn w:val="Normal"/>
    <w:link w:val="FooterChar"/>
    <w:uiPriority w:val="98"/>
    <w:semiHidden/>
    <w:rsid w:val="0026439A"/>
    <w:pPr>
      <w:tabs>
        <w:tab w:val="center" w:pos="3686"/>
        <w:tab w:val="right" w:pos="7371"/>
      </w:tabs>
    </w:pPr>
  </w:style>
  <w:style w:type="character" w:customStyle="1" w:styleId="FooterChar">
    <w:name w:val="Footer Char"/>
    <w:basedOn w:val="DefaultParagraphFont"/>
    <w:link w:val="Footer0"/>
    <w:uiPriority w:val="98"/>
    <w:semiHidden/>
    <w:rsid w:val="0026439A"/>
    <w:rPr>
      <w:sz w:val="24"/>
      <w:szCs w:val="24"/>
      <w:lang w:val="en-GB"/>
    </w:rPr>
  </w:style>
  <w:style w:type="character" w:styleId="FootnoteReference">
    <w:name w:val="footnote reference"/>
    <w:basedOn w:val="DefaultParagraphFont"/>
    <w:uiPriority w:val="98"/>
    <w:semiHidden/>
    <w:rsid w:val="0026439A"/>
    <w:rPr>
      <w:vertAlign w:val="superscript"/>
    </w:rPr>
  </w:style>
  <w:style w:type="paragraph" w:styleId="FootnoteText">
    <w:name w:val="footnote text"/>
    <w:basedOn w:val="Normal"/>
    <w:link w:val="FootnoteTextChar"/>
    <w:uiPriority w:val="98"/>
    <w:semiHidden/>
    <w:rsid w:val="0026439A"/>
    <w:rPr>
      <w:sz w:val="20"/>
      <w:szCs w:val="20"/>
    </w:rPr>
  </w:style>
  <w:style w:type="character" w:customStyle="1" w:styleId="FootnoteTextChar">
    <w:name w:val="Footnote Text Char"/>
    <w:basedOn w:val="DefaultParagraphFont"/>
    <w:link w:val="FootnoteText"/>
    <w:uiPriority w:val="98"/>
    <w:semiHidden/>
    <w:rsid w:val="0026439A"/>
    <w:rPr>
      <w:sz w:val="20"/>
      <w:szCs w:val="20"/>
      <w:lang w:val="en-GB"/>
    </w:rPr>
  </w:style>
  <w:style w:type="character" w:customStyle="1" w:styleId="Heading6Char">
    <w:name w:val="Heading 6 Char"/>
    <w:basedOn w:val="DefaultParagraphFont"/>
    <w:link w:val="Heading6"/>
    <w:uiPriority w:val="98"/>
    <w:semiHidden/>
    <w:rsid w:val="0026439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6439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6439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6439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6439A"/>
    <w:rPr>
      <w:color w:val="0072BC" w:themeColor="hyperlink"/>
      <w:u w:val="single"/>
    </w:rPr>
  </w:style>
  <w:style w:type="character" w:styleId="IntenseEmphasis">
    <w:name w:val="Intense Emphasis"/>
    <w:uiPriority w:val="98"/>
    <w:semiHidden/>
    <w:qFormat/>
    <w:rsid w:val="0026439A"/>
    <w:rPr>
      <w:b/>
      <w:bCs/>
    </w:rPr>
  </w:style>
  <w:style w:type="paragraph" w:styleId="IntenseQuote">
    <w:name w:val="Intense Quote"/>
    <w:basedOn w:val="Normal"/>
    <w:next w:val="Normal"/>
    <w:link w:val="IntenseQuoteChar"/>
    <w:uiPriority w:val="98"/>
    <w:semiHidden/>
    <w:qFormat/>
    <w:rsid w:val="0026439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6439A"/>
    <w:rPr>
      <w:b/>
      <w:bCs/>
      <w:i/>
      <w:iCs/>
      <w:sz w:val="24"/>
      <w:szCs w:val="24"/>
      <w:lang w:val="en-GB" w:bidi="en-US"/>
    </w:rPr>
  </w:style>
  <w:style w:type="character" w:styleId="IntenseReference">
    <w:name w:val="Intense Reference"/>
    <w:uiPriority w:val="98"/>
    <w:semiHidden/>
    <w:qFormat/>
    <w:rsid w:val="0026439A"/>
    <w:rPr>
      <w:smallCaps/>
      <w:spacing w:val="5"/>
      <w:u w:val="single"/>
    </w:rPr>
  </w:style>
  <w:style w:type="paragraph" w:styleId="ListParagraph">
    <w:name w:val="List Paragraph"/>
    <w:basedOn w:val="Normal"/>
    <w:uiPriority w:val="98"/>
    <w:semiHidden/>
    <w:qFormat/>
    <w:rsid w:val="0026439A"/>
    <w:pPr>
      <w:ind w:left="720"/>
      <w:contextualSpacing/>
    </w:pPr>
  </w:style>
  <w:style w:type="table" w:customStyle="1" w:styleId="LtrTableAddress">
    <w:name w:val="Ltr_Table_Address"/>
    <w:aliases w:val="ECHR_Ltr_Table_Address"/>
    <w:basedOn w:val="TableNormal"/>
    <w:uiPriority w:val="99"/>
    <w:rsid w:val="0026439A"/>
    <w:rPr>
      <w:sz w:val="24"/>
      <w:szCs w:val="24"/>
    </w:rPr>
    <w:tblPr>
      <w:tblInd w:w="5103" w:type="dxa"/>
    </w:tblPr>
  </w:style>
  <w:style w:type="paragraph" w:styleId="Quote">
    <w:name w:val="Quote"/>
    <w:basedOn w:val="Normal"/>
    <w:next w:val="Normal"/>
    <w:link w:val="QuoteChar"/>
    <w:uiPriority w:val="98"/>
    <w:semiHidden/>
    <w:qFormat/>
    <w:rsid w:val="0026439A"/>
    <w:pPr>
      <w:spacing w:before="200"/>
      <w:ind w:left="360" w:right="360"/>
    </w:pPr>
    <w:rPr>
      <w:i/>
      <w:iCs/>
      <w:lang w:bidi="en-US"/>
    </w:rPr>
  </w:style>
  <w:style w:type="character" w:customStyle="1" w:styleId="QuoteChar">
    <w:name w:val="Quote Char"/>
    <w:basedOn w:val="DefaultParagraphFont"/>
    <w:link w:val="Quote"/>
    <w:uiPriority w:val="98"/>
    <w:semiHidden/>
    <w:rsid w:val="0026439A"/>
    <w:rPr>
      <w:i/>
      <w:iCs/>
      <w:sz w:val="24"/>
      <w:szCs w:val="24"/>
      <w:lang w:val="en-GB" w:bidi="en-US"/>
    </w:rPr>
  </w:style>
  <w:style w:type="character" w:styleId="SubtleReference">
    <w:name w:val="Subtle Reference"/>
    <w:uiPriority w:val="98"/>
    <w:semiHidden/>
    <w:qFormat/>
    <w:rsid w:val="0026439A"/>
    <w:rPr>
      <w:smallCaps/>
    </w:rPr>
  </w:style>
  <w:style w:type="table" w:styleId="TableGrid">
    <w:name w:val="Table Grid"/>
    <w:basedOn w:val="TableNormal"/>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6439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6439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6439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6439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643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643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6439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6439A"/>
    <w:pPr>
      <w:numPr>
        <w:numId w:val="1"/>
      </w:numPr>
    </w:pPr>
  </w:style>
  <w:style w:type="paragraph" w:customStyle="1" w:styleId="JuPara">
    <w:name w:val="Ju_Para"/>
    <w:aliases w:val="_Para"/>
    <w:basedOn w:val="NormalJustified"/>
    <w:link w:val="JuParaChar"/>
    <w:uiPriority w:val="4"/>
    <w:qFormat/>
    <w:rsid w:val="0026439A"/>
    <w:pPr>
      <w:ind w:firstLine="284"/>
    </w:pPr>
  </w:style>
  <w:style w:type="numbering" w:styleId="1ai">
    <w:name w:val="Outline List 1"/>
    <w:basedOn w:val="NoList"/>
    <w:uiPriority w:val="99"/>
    <w:semiHidden/>
    <w:unhideWhenUsed/>
    <w:rsid w:val="0026439A"/>
    <w:pPr>
      <w:numPr>
        <w:numId w:val="2"/>
      </w:numPr>
    </w:pPr>
  </w:style>
  <w:style w:type="table" w:customStyle="1" w:styleId="ECHRTableSimpleBox">
    <w:name w:val="ECHR_Table_Simple_Box"/>
    <w:basedOn w:val="TableNormal"/>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6439A"/>
    <w:pPr>
      <w:numPr>
        <w:numId w:val="3"/>
      </w:numPr>
    </w:pPr>
  </w:style>
  <w:style w:type="table" w:customStyle="1" w:styleId="ECHRTableForInternalUse">
    <w:name w:val="ECHR_Table_For_Internal_Use"/>
    <w:basedOn w:val="TableNormal"/>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6439A"/>
  </w:style>
  <w:style w:type="paragraph" w:styleId="BlockText">
    <w:name w:val="Block Text"/>
    <w:basedOn w:val="Normal"/>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6439A"/>
    <w:pPr>
      <w:spacing w:after="120"/>
    </w:pPr>
  </w:style>
  <w:style w:type="character" w:customStyle="1" w:styleId="BodyTextChar">
    <w:name w:val="Body Text Char"/>
    <w:basedOn w:val="DefaultParagraphFont"/>
    <w:link w:val="BodyText"/>
    <w:uiPriority w:val="98"/>
    <w:semiHidden/>
    <w:rsid w:val="0026439A"/>
    <w:rPr>
      <w:sz w:val="24"/>
      <w:szCs w:val="24"/>
      <w:lang w:val="en-GB"/>
    </w:rPr>
  </w:style>
  <w:style w:type="table" w:customStyle="1" w:styleId="ECHRTableOddBanded">
    <w:name w:val="ECHR_Table_Odd_Banded"/>
    <w:basedOn w:val="TableNormal"/>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6439A"/>
    <w:pPr>
      <w:spacing w:after="120" w:line="480" w:lineRule="auto"/>
    </w:pPr>
  </w:style>
  <w:style w:type="table" w:customStyle="1" w:styleId="ECHRHeaderTableReduced">
    <w:name w:val="ECHR_Header_Table_Reduced"/>
    <w:basedOn w:val="TableNormal"/>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6439A"/>
    <w:pPr>
      <w:ind w:firstLine="284"/>
      <w:jc w:val="both"/>
    </w:pPr>
    <w:rPr>
      <w:b/>
    </w:rPr>
  </w:style>
  <w:style w:type="character" w:styleId="PageNumber">
    <w:name w:val="page number"/>
    <w:uiPriority w:val="98"/>
    <w:semiHidden/>
    <w:rsid w:val="0026439A"/>
    <w:rPr>
      <w:sz w:val="18"/>
    </w:rPr>
  </w:style>
  <w:style w:type="paragraph" w:styleId="ListBullet">
    <w:name w:val="List Bullet"/>
    <w:basedOn w:val="Normal"/>
    <w:uiPriority w:val="98"/>
    <w:semiHidden/>
    <w:rsid w:val="0026439A"/>
    <w:pPr>
      <w:numPr>
        <w:numId w:val="11"/>
      </w:numPr>
    </w:pPr>
  </w:style>
  <w:style w:type="paragraph" w:styleId="ListBullet3">
    <w:name w:val="List Bullet 3"/>
    <w:basedOn w:val="Normal"/>
    <w:uiPriority w:val="98"/>
    <w:semiHidden/>
    <w:rsid w:val="0026439A"/>
    <w:pPr>
      <w:numPr>
        <w:numId w:val="13"/>
      </w:numPr>
      <w:contextualSpacing/>
    </w:pPr>
  </w:style>
  <w:style w:type="character" w:customStyle="1" w:styleId="BodyText2Char">
    <w:name w:val="Body Text 2 Char"/>
    <w:basedOn w:val="DefaultParagraphFont"/>
    <w:link w:val="BodyText2"/>
    <w:uiPriority w:val="98"/>
    <w:semiHidden/>
    <w:rsid w:val="0026439A"/>
    <w:rPr>
      <w:sz w:val="24"/>
      <w:szCs w:val="24"/>
      <w:lang w:val="en-GB"/>
    </w:rPr>
  </w:style>
  <w:style w:type="paragraph" w:styleId="BodyText3">
    <w:name w:val="Body Text 3"/>
    <w:basedOn w:val="Normal"/>
    <w:link w:val="BodyText3Char"/>
    <w:uiPriority w:val="98"/>
    <w:semiHidden/>
    <w:rsid w:val="0026439A"/>
    <w:pPr>
      <w:spacing w:after="120"/>
    </w:pPr>
    <w:rPr>
      <w:sz w:val="16"/>
      <w:szCs w:val="16"/>
    </w:rPr>
  </w:style>
  <w:style w:type="character" w:customStyle="1" w:styleId="BodyText3Char">
    <w:name w:val="Body Text 3 Char"/>
    <w:basedOn w:val="DefaultParagraphFont"/>
    <w:link w:val="BodyText3"/>
    <w:uiPriority w:val="98"/>
    <w:semiHidden/>
    <w:rsid w:val="0026439A"/>
    <w:rPr>
      <w:sz w:val="16"/>
      <w:szCs w:val="16"/>
      <w:lang w:val="en-GB"/>
    </w:rPr>
  </w:style>
  <w:style w:type="paragraph" w:styleId="BodyTextFirstIndent">
    <w:name w:val="Body Text First Indent"/>
    <w:basedOn w:val="BodyText"/>
    <w:link w:val="BodyTextFirstIndentChar"/>
    <w:uiPriority w:val="98"/>
    <w:semiHidden/>
    <w:rsid w:val="0026439A"/>
    <w:pPr>
      <w:spacing w:after="0"/>
      <w:ind w:firstLine="360"/>
    </w:pPr>
  </w:style>
  <w:style w:type="character" w:customStyle="1" w:styleId="BodyTextFirstIndentChar">
    <w:name w:val="Body Text First Indent Char"/>
    <w:basedOn w:val="BodyTextChar"/>
    <w:link w:val="BodyTextFirstIndent"/>
    <w:uiPriority w:val="98"/>
    <w:semiHidden/>
    <w:rsid w:val="0026439A"/>
    <w:rPr>
      <w:sz w:val="24"/>
      <w:szCs w:val="24"/>
      <w:lang w:val="en-GB"/>
    </w:rPr>
  </w:style>
  <w:style w:type="paragraph" w:styleId="BodyTextIndent">
    <w:name w:val="Body Text Indent"/>
    <w:basedOn w:val="Normal"/>
    <w:link w:val="BodyTextIndentChar"/>
    <w:uiPriority w:val="98"/>
    <w:semiHidden/>
    <w:rsid w:val="0026439A"/>
    <w:pPr>
      <w:spacing w:after="120"/>
      <w:ind w:left="283"/>
    </w:pPr>
  </w:style>
  <w:style w:type="character" w:customStyle="1" w:styleId="BodyTextIndentChar">
    <w:name w:val="Body Text Indent Char"/>
    <w:basedOn w:val="DefaultParagraphFont"/>
    <w:link w:val="BodyTextIndent"/>
    <w:uiPriority w:val="98"/>
    <w:semiHidden/>
    <w:rsid w:val="0026439A"/>
    <w:rPr>
      <w:sz w:val="24"/>
      <w:szCs w:val="24"/>
      <w:lang w:val="en-GB"/>
    </w:rPr>
  </w:style>
  <w:style w:type="paragraph" w:styleId="BodyTextFirstIndent2">
    <w:name w:val="Body Text First Indent 2"/>
    <w:basedOn w:val="BodyTextIndent"/>
    <w:link w:val="BodyTextFirstIndent2Char"/>
    <w:uiPriority w:val="98"/>
    <w:semiHidden/>
    <w:rsid w:val="0026439A"/>
    <w:pPr>
      <w:spacing w:after="0"/>
      <w:ind w:left="360" w:firstLine="360"/>
    </w:pPr>
  </w:style>
  <w:style w:type="character" w:customStyle="1" w:styleId="BodyTextFirstIndent2Char">
    <w:name w:val="Body Text First Indent 2 Char"/>
    <w:basedOn w:val="BodyTextIndentChar"/>
    <w:link w:val="BodyTextFirstIndent2"/>
    <w:uiPriority w:val="98"/>
    <w:semiHidden/>
    <w:rsid w:val="0026439A"/>
    <w:rPr>
      <w:sz w:val="24"/>
      <w:szCs w:val="24"/>
      <w:lang w:val="en-GB"/>
    </w:rPr>
  </w:style>
  <w:style w:type="paragraph" w:styleId="BodyTextIndent2">
    <w:name w:val="Body Text Indent 2"/>
    <w:basedOn w:val="Normal"/>
    <w:link w:val="BodyTextIndent2Char"/>
    <w:uiPriority w:val="98"/>
    <w:semiHidden/>
    <w:rsid w:val="0026439A"/>
    <w:pPr>
      <w:spacing w:after="120" w:line="480" w:lineRule="auto"/>
      <w:ind w:left="283"/>
    </w:pPr>
  </w:style>
  <w:style w:type="character" w:customStyle="1" w:styleId="BodyTextIndent2Char">
    <w:name w:val="Body Text Indent 2 Char"/>
    <w:basedOn w:val="DefaultParagraphFont"/>
    <w:link w:val="BodyTextIndent2"/>
    <w:uiPriority w:val="98"/>
    <w:semiHidden/>
    <w:rsid w:val="0026439A"/>
    <w:rPr>
      <w:sz w:val="24"/>
      <w:szCs w:val="24"/>
      <w:lang w:val="en-GB"/>
    </w:rPr>
  </w:style>
  <w:style w:type="paragraph" w:styleId="BodyTextIndent3">
    <w:name w:val="Body Text Indent 3"/>
    <w:basedOn w:val="Normal"/>
    <w:link w:val="BodyTextIndent3Char"/>
    <w:uiPriority w:val="98"/>
    <w:semiHidden/>
    <w:rsid w:val="0026439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6439A"/>
    <w:rPr>
      <w:sz w:val="16"/>
      <w:szCs w:val="16"/>
      <w:lang w:val="en-GB"/>
    </w:rPr>
  </w:style>
  <w:style w:type="paragraph" w:styleId="Caption">
    <w:name w:val="caption"/>
    <w:basedOn w:val="Normal"/>
    <w:next w:val="Normal"/>
    <w:uiPriority w:val="98"/>
    <w:semiHidden/>
    <w:qFormat/>
    <w:rsid w:val="0026439A"/>
    <w:pPr>
      <w:spacing w:after="200"/>
    </w:pPr>
    <w:rPr>
      <w:b/>
      <w:bCs/>
      <w:color w:val="0072BC" w:themeColor="accent1"/>
      <w:sz w:val="18"/>
      <w:szCs w:val="18"/>
    </w:rPr>
  </w:style>
  <w:style w:type="paragraph" w:styleId="Closing">
    <w:name w:val="Closing"/>
    <w:basedOn w:val="Normal"/>
    <w:link w:val="ClosingChar"/>
    <w:uiPriority w:val="98"/>
    <w:semiHidden/>
    <w:rsid w:val="0026439A"/>
    <w:pPr>
      <w:ind w:left="4252"/>
    </w:pPr>
  </w:style>
  <w:style w:type="character" w:customStyle="1" w:styleId="ClosingChar">
    <w:name w:val="Closing Char"/>
    <w:basedOn w:val="DefaultParagraphFont"/>
    <w:link w:val="Closing"/>
    <w:uiPriority w:val="98"/>
    <w:semiHidden/>
    <w:rsid w:val="0026439A"/>
    <w:rPr>
      <w:sz w:val="24"/>
      <w:szCs w:val="24"/>
      <w:lang w:val="en-GB"/>
    </w:rPr>
  </w:style>
  <w:style w:type="table" w:styleId="ColorfulGrid">
    <w:name w:val="Colorful Grid"/>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6439A"/>
    <w:rPr>
      <w:sz w:val="16"/>
      <w:szCs w:val="16"/>
    </w:rPr>
  </w:style>
  <w:style w:type="paragraph" w:styleId="CommentText">
    <w:name w:val="annotation text"/>
    <w:basedOn w:val="Normal"/>
    <w:link w:val="CommentTextChar"/>
    <w:uiPriority w:val="98"/>
    <w:semiHidden/>
    <w:rsid w:val="0026439A"/>
    <w:rPr>
      <w:sz w:val="20"/>
      <w:szCs w:val="20"/>
    </w:rPr>
  </w:style>
  <w:style w:type="character" w:customStyle="1" w:styleId="CommentTextChar">
    <w:name w:val="Comment Text Char"/>
    <w:basedOn w:val="DefaultParagraphFont"/>
    <w:link w:val="CommentText"/>
    <w:uiPriority w:val="98"/>
    <w:semiHidden/>
    <w:rsid w:val="0026439A"/>
    <w:rPr>
      <w:sz w:val="20"/>
      <w:szCs w:val="20"/>
      <w:lang w:val="en-GB"/>
    </w:rPr>
  </w:style>
  <w:style w:type="paragraph" w:styleId="CommentSubject">
    <w:name w:val="annotation subject"/>
    <w:basedOn w:val="CommentText"/>
    <w:next w:val="CommentText"/>
    <w:link w:val="CommentSubjectChar"/>
    <w:uiPriority w:val="98"/>
    <w:semiHidden/>
    <w:rsid w:val="0026439A"/>
    <w:rPr>
      <w:b/>
      <w:bCs/>
    </w:rPr>
  </w:style>
  <w:style w:type="character" w:customStyle="1" w:styleId="CommentSubjectChar">
    <w:name w:val="Comment Subject Char"/>
    <w:basedOn w:val="CommentTextChar"/>
    <w:link w:val="CommentSubject"/>
    <w:uiPriority w:val="98"/>
    <w:semiHidden/>
    <w:rsid w:val="0026439A"/>
    <w:rPr>
      <w:b/>
      <w:bCs/>
      <w:sz w:val="20"/>
      <w:szCs w:val="20"/>
      <w:lang w:val="en-GB"/>
    </w:rPr>
  </w:style>
  <w:style w:type="table" w:styleId="DarkList">
    <w:name w:val="Dark List"/>
    <w:basedOn w:val="TableNormal"/>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6439A"/>
  </w:style>
  <w:style w:type="character" w:customStyle="1" w:styleId="DateChar">
    <w:name w:val="Date Char"/>
    <w:basedOn w:val="DefaultParagraphFont"/>
    <w:link w:val="Date"/>
    <w:uiPriority w:val="98"/>
    <w:semiHidden/>
    <w:rsid w:val="0026439A"/>
    <w:rPr>
      <w:sz w:val="24"/>
      <w:szCs w:val="24"/>
      <w:lang w:val="en-GB"/>
    </w:rPr>
  </w:style>
  <w:style w:type="paragraph" w:styleId="DocumentMap">
    <w:name w:val="Document Map"/>
    <w:basedOn w:val="Normal"/>
    <w:link w:val="DocumentMapChar"/>
    <w:uiPriority w:val="98"/>
    <w:semiHidden/>
    <w:rsid w:val="0026439A"/>
    <w:rPr>
      <w:rFonts w:ascii="Tahoma" w:hAnsi="Tahoma" w:cs="Tahoma"/>
      <w:sz w:val="16"/>
      <w:szCs w:val="16"/>
    </w:rPr>
  </w:style>
  <w:style w:type="character" w:customStyle="1" w:styleId="DocumentMapChar">
    <w:name w:val="Document Map Char"/>
    <w:basedOn w:val="DefaultParagraphFont"/>
    <w:link w:val="DocumentMap"/>
    <w:uiPriority w:val="98"/>
    <w:semiHidden/>
    <w:rsid w:val="0026439A"/>
    <w:rPr>
      <w:rFonts w:ascii="Tahoma" w:hAnsi="Tahoma" w:cs="Tahoma"/>
      <w:sz w:val="16"/>
      <w:szCs w:val="16"/>
      <w:lang w:val="en-GB"/>
    </w:rPr>
  </w:style>
  <w:style w:type="paragraph" w:styleId="E-mailSignature">
    <w:name w:val="E-mail Signature"/>
    <w:basedOn w:val="Normal"/>
    <w:link w:val="E-mailSignatureChar"/>
    <w:uiPriority w:val="98"/>
    <w:semiHidden/>
    <w:rsid w:val="0026439A"/>
  </w:style>
  <w:style w:type="character" w:customStyle="1" w:styleId="E-mailSignatureChar">
    <w:name w:val="E-mail Signature Char"/>
    <w:basedOn w:val="DefaultParagraphFont"/>
    <w:link w:val="E-mailSignature"/>
    <w:uiPriority w:val="98"/>
    <w:semiHidden/>
    <w:rsid w:val="0026439A"/>
    <w:rPr>
      <w:sz w:val="24"/>
      <w:szCs w:val="24"/>
      <w:lang w:val="en-GB"/>
    </w:rPr>
  </w:style>
  <w:style w:type="character" w:styleId="EndnoteReference">
    <w:name w:val="endnote reference"/>
    <w:basedOn w:val="DefaultParagraphFont"/>
    <w:uiPriority w:val="98"/>
    <w:semiHidden/>
    <w:rsid w:val="0026439A"/>
    <w:rPr>
      <w:vertAlign w:val="superscript"/>
    </w:rPr>
  </w:style>
  <w:style w:type="paragraph" w:styleId="EndnoteText">
    <w:name w:val="endnote text"/>
    <w:basedOn w:val="Normal"/>
    <w:link w:val="EndnoteTextChar"/>
    <w:uiPriority w:val="98"/>
    <w:semiHidden/>
    <w:rsid w:val="0026439A"/>
    <w:rPr>
      <w:sz w:val="20"/>
      <w:szCs w:val="20"/>
    </w:rPr>
  </w:style>
  <w:style w:type="character" w:customStyle="1" w:styleId="EndnoteTextChar">
    <w:name w:val="Endnote Text Char"/>
    <w:basedOn w:val="DefaultParagraphFont"/>
    <w:link w:val="EndnoteText"/>
    <w:uiPriority w:val="98"/>
    <w:semiHidden/>
    <w:rsid w:val="0026439A"/>
    <w:rPr>
      <w:sz w:val="20"/>
      <w:szCs w:val="20"/>
      <w:lang w:val="en-GB"/>
    </w:rPr>
  </w:style>
  <w:style w:type="paragraph" w:styleId="EnvelopeAddress">
    <w:name w:val="envelope address"/>
    <w:basedOn w:val="Normal"/>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6439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6439A"/>
    <w:rPr>
      <w:color w:val="7030A0" w:themeColor="followedHyperlink"/>
      <w:u w:val="single"/>
    </w:rPr>
  </w:style>
  <w:style w:type="character" w:styleId="HTMLAcronym">
    <w:name w:val="HTML Acronym"/>
    <w:basedOn w:val="DefaultParagraphFont"/>
    <w:uiPriority w:val="98"/>
    <w:semiHidden/>
    <w:rsid w:val="0026439A"/>
  </w:style>
  <w:style w:type="paragraph" w:styleId="HTMLAddress">
    <w:name w:val="HTML Address"/>
    <w:basedOn w:val="Normal"/>
    <w:link w:val="HTMLAddressChar"/>
    <w:uiPriority w:val="98"/>
    <w:semiHidden/>
    <w:rsid w:val="0026439A"/>
    <w:rPr>
      <w:i/>
      <w:iCs/>
    </w:rPr>
  </w:style>
  <w:style w:type="character" w:customStyle="1" w:styleId="HTMLAddressChar">
    <w:name w:val="HTML Address Char"/>
    <w:basedOn w:val="DefaultParagraphFont"/>
    <w:link w:val="HTMLAddress"/>
    <w:uiPriority w:val="98"/>
    <w:semiHidden/>
    <w:rsid w:val="0026439A"/>
    <w:rPr>
      <w:i/>
      <w:iCs/>
      <w:sz w:val="24"/>
      <w:szCs w:val="24"/>
      <w:lang w:val="en-GB"/>
    </w:rPr>
  </w:style>
  <w:style w:type="character" w:styleId="HTMLCite">
    <w:name w:val="HTML Cite"/>
    <w:basedOn w:val="DefaultParagraphFont"/>
    <w:uiPriority w:val="98"/>
    <w:semiHidden/>
    <w:rsid w:val="0026439A"/>
    <w:rPr>
      <w:i/>
      <w:iCs/>
    </w:rPr>
  </w:style>
  <w:style w:type="character" w:styleId="HTMLCode">
    <w:name w:val="HTML Code"/>
    <w:basedOn w:val="DefaultParagraphFont"/>
    <w:uiPriority w:val="98"/>
    <w:semiHidden/>
    <w:rsid w:val="0026439A"/>
    <w:rPr>
      <w:rFonts w:ascii="Consolas" w:hAnsi="Consolas" w:cs="Consolas"/>
      <w:sz w:val="20"/>
      <w:szCs w:val="20"/>
    </w:rPr>
  </w:style>
  <w:style w:type="character" w:styleId="HTMLDefinition">
    <w:name w:val="HTML Definition"/>
    <w:basedOn w:val="DefaultParagraphFont"/>
    <w:uiPriority w:val="98"/>
    <w:semiHidden/>
    <w:rsid w:val="0026439A"/>
    <w:rPr>
      <w:i/>
      <w:iCs/>
    </w:rPr>
  </w:style>
  <w:style w:type="character" w:styleId="HTMLKeyboard">
    <w:name w:val="HTML Keyboard"/>
    <w:basedOn w:val="DefaultParagraphFont"/>
    <w:uiPriority w:val="98"/>
    <w:semiHidden/>
    <w:rsid w:val="0026439A"/>
    <w:rPr>
      <w:rFonts w:ascii="Consolas" w:hAnsi="Consolas" w:cs="Consolas"/>
      <w:sz w:val="20"/>
      <w:szCs w:val="20"/>
    </w:rPr>
  </w:style>
  <w:style w:type="paragraph" w:styleId="HTMLPreformatted">
    <w:name w:val="HTML Preformatted"/>
    <w:basedOn w:val="Normal"/>
    <w:link w:val="HTMLPreformattedChar"/>
    <w:uiPriority w:val="98"/>
    <w:semiHidden/>
    <w:rsid w:val="0026439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6439A"/>
    <w:rPr>
      <w:rFonts w:ascii="Consolas" w:hAnsi="Consolas" w:cs="Consolas"/>
      <w:sz w:val="20"/>
      <w:szCs w:val="20"/>
      <w:lang w:val="en-GB"/>
    </w:rPr>
  </w:style>
  <w:style w:type="character" w:styleId="HTMLSample">
    <w:name w:val="HTML Sample"/>
    <w:basedOn w:val="DefaultParagraphFont"/>
    <w:uiPriority w:val="98"/>
    <w:semiHidden/>
    <w:rsid w:val="0026439A"/>
    <w:rPr>
      <w:rFonts w:ascii="Consolas" w:hAnsi="Consolas" w:cs="Consolas"/>
      <w:sz w:val="24"/>
      <w:szCs w:val="24"/>
    </w:rPr>
  </w:style>
  <w:style w:type="character" w:styleId="HTMLTypewriter">
    <w:name w:val="HTML Typewriter"/>
    <w:basedOn w:val="DefaultParagraphFont"/>
    <w:uiPriority w:val="98"/>
    <w:semiHidden/>
    <w:rsid w:val="0026439A"/>
    <w:rPr>
      <w:rFonts w:ascii="Consolas" w:hAnsi="Consolas" w:cs="Consolas"/>
      <w:sz w:val="20"/>
      <w:szCs w:val="20"/>
    </w:rPr>
  </w:style>
  <w:style w:type="character" w:styleId="HTMLVariable">
    <w:name w:val="HTML Variable"/>
    <w:basedOn w:val="DefaultParagraphFont"/>
    <w:uiPriority w:val="98"/>
    <w:semiHidden/>
    <w:rsid w:val="0026439A"/>
    <w:rPr>
      <w:i/>
      <w:iCs/>
    </w:rPr>
  </w:style>
  <w:style w:type="paragraph" w:styleId="Index1">
    <w:name w:val="index 1"/>
    <w:basedOn w:val="Normal"/>
    <w:next w:val="Normal"/>
    <w:autoRedefine/>
    <w:uiPriority w:val="98"/>
    <w:semiHidden/>
    <w:rsid w:val="0026439A"/>
    <w:pPr>
      <w:ind w:left="240" w:hanging="240"/>
    </w:pPr>
  </w:style>
  <w:style w:type="paragraph" w:styleId="Index2">
    <w:name w:val="index 2"/>
    <w:basedOn w:val="Normal"/>
    <w:next w:val="Normal"/>
    <w:autoRedefine/>
    <w:uiPriority w:val="98"/>
    <w:semiHidden/>
    <w:rsid w:val="0026439A"/>
    <w:pPr>
      <w:ind w:left="480" w:hanging="240"/>
    </w:pPr>
  </w:style>
  <w:style w:type="paragraph" w:styleId="Index3">
    <w:name w:val="index 3"/>
    <w:basedOn w:val="Normal"/>
    <w:next w:val="Normal"/>
    <w:autoRedefine/>
    <w:uiPriority w:val="98"/>
    <w:semiHidden/>
    <w:rsid w:val="0026439A"/>
    <w:pPr>
      <w:ind w:left="720" w:hanging="240"/>
    </w:pPr>
  </w:style>
  <w:style w:type="paragraph" w:styleId="Index4">
    <w:name w:val="index 4"/>
    <w:basedOn w:val="Normal"/>
    <w:next w:val="Normal"/>
    <w:autoRedefine/>
    <w:uiPriority w:val="98"/>
    <w:semiHidden/>
    <w:rsid w:val="0026439A"/>
    <w:pPr>
      <w:ind w:left="960" w:hanging="240"/>
    </w:pPr>
  </w:style>
  <w:style w:type="paragraph" w:styleId="Index5">
    <w:name w:val="index 5"/>
    <w:basedOn w:val="Normal"/>
    <w:next w:val="Normal"/>
    <w:autoRedefine/>
    <w:uiPriority w:val="98"/>
    <w:semiHidden/>
    <w:rsid w:val="0026439A"/>
    <w:pPr>
      <w:ind w:left="1200" w:hanging="240"/>
    </w:pPr>
  </w:style>
  <w:style w:type="paragraph" w:styleId="Index6">
    <w:name w:val="index 6"/>
    <w:basedOn w:val="Normal"/>
    <w:next w:val="Normal"/>
    <w:autoRedefine/>
    <w:uiPriority w:val="98"/>
    <w:semiHidden/>
    <w:rsid w:val="0026439A"/>
    <w:pPr>
      <w:ind w:left="1440" w:hanging="240"/>
    </w:pPr>
  </w:style>
  <w:style w:type="paragraph" w:styleId="Index7">
    <w:name w:val="index 7"/>
    <w:basedOn w:val="Normal"/>
    <w:next w:val="Normal"/>
    <w:autoRedefine/>
    <w:uiPriority w:val="98"/>
    <w:semiHidden/>
    <w:rsid w:val="0026439A"/>
    <w:pPr>
      <w:ind w:left="1680" w:hanging="240"/>
    </w:pPr>
  </w:style>
  <w:style w:type="paragraph" w:styleId="Index8">
    <w:name w:val="index 8"/>
    <w:basedOn w:val="Normal"/>
    <w:next w:val="Normal"/>
    <w:autoRedefine/>
    <w:uiPriority w:val="98"/>
    <w:semiHidden/>
    <w:rsid w:val="0026439A"/>
    <w:pPr>
      <w:ind w:left="1920" w:hanging="240"/>
    </w:pPr>
  </w:style>
  <w:style w:type="paragraph" w:styleId="Index9">
    <w:name w:val="index 9"/>
    <w:basedOn w:val="Normal"/>
    <w:next w:val="Normal"/>
    <w:autoRedefine/>
    <w:uiPriority w:val="98"/>
    <w:semiHidden/>
    <w:rsid w:val="0026439A"/>
    <w:pPr>
      <w:ind w:left="2160" w:hanging="240"/>
    </w:pPr>
  </w:style>
  <w:style w:type="paragraph" w:styleId="IndexHeading">
    <w:name w:val="index heading"/>
    <w:basedOn w:val="Normal"/>
    <w:next w:val="Index1"/>
    <w:uiPriority w:val="98"/>
    <w:semiHidden/>
    <w:rsid w:val="0026439A"/>
    <w:rPr>
      <w:rFonts w:asciiTheme="majorHAnsi" w:eastAsiaTheme="majorEastAsia" w:hAnsiTheme="majorHAnsi" w:cstheme="majorBidi"/>
      <w:b/>
      <w:bCs/>
    </w:rPr>
  </w:style>
  <w:style w:type="table" w:styleId="LightGrid">
    <w:name w:val="Light Grid"/>
    <w:basedOn w:val="TableNormal"/>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6439A"/>
  </w:style>
  <w:style w:type="paragraph" w:styleId="List">
    <w:name w:val="List"/>
    <w:basedOn w:val="Normal"/>
    <w:uiPriority w:val="98"/>
    <w:semiHidden/>
    <w:rsid w:val="0026439A"/>
    <w:pPr>
      <w:ind w:left="283" w:hanging="283"/>
      <w:contextualSpacing/>
    </w:pPr>
  </w:style>
  <w:style w:type="paragraph" w:styleId="List2">
    <w:name w:val="List 2"/>
    <w:basedOn w:val="Normal"/>
    <w:uiPriority w:val="98"/>
    <w:semiHidden/>
    <w:rsid w:val="0026439A"/>
    <w:pPr>
      <w:ind w:left="566" w:hanging="283"/>
      <w:contextualSpacing/>
    </w:pPr>
  </w:style>
  <w:style w:type="paragraph" w:styleId="List3">
    <w:name w:val="List 3"/>
    <w:basedOn w:val="Normal"/>
    <w:uiPriority w:val="98"/>
    <w:semiHidden/>
    <w:rsid w:val="0026439A"/>
    <w:pPr>
      <w:ind w:left="849" w:hanging="283"/>
      <w:contextualSpacing/>
    </w:pPr>
  </w:style>
  <w:style w:type="paragraph" w:styleId="List4">
    <w:name w:val="List 4"/>
    <w:basedOn w:val="Normal"/>
    <w:uiPriority w:val="98"/>
    <w:semiHidden/>
    <w:rsid w:val="0026439A"/>
    <w:pPr>
      <w:ind w:left="1132" w:hanging="283"/>
      <w:contextualSpacing/>
    </w:pPr>
  </w:style>
  <w:style w:type="paragraph" w:styleId="List5">
    <w:name w:val="List 5"/>
    <w:basedOn w:val="Normal"/>
    <w:uiPriority w:val="98"/>
    <w:semiHidden/>
    <w:rsid w:val="0026439A"/>
    <w:pPr>
      <w:ind w:left="1415" w:hanging="283"/>
      <w:contextualSpacing/>
    </w:pPr>
  </w:style>
  <w:style w:type="paragraph" w:styleId="ListBullet2">
    <w:name w:val="List Bullet 2"/>
    <w:basedOn w:val="Normal"/>
    <w:uiPriority w:val="98"/>
    <w:semiHidden/>
    <w:rsid w:val="0026439A"/>
    <w:pPr>
      <w:numPr>
        <w:numId w:val="12"/>
      </w:numPr>
      <w:contextualSpacing/>
    </w:pPr>
  </w:style>
  <w:style w:type="paragraph" w:styleId="ListBullet4">
    <w:name w:val="List Bullet 4"/>
    <w:basedOn w:val="Normal"/>
    <w:uiPriority w:val="98"/>
    <w:semiHidden/>
    <w:rsid w:val="0026439A"/>
    <w:pPr>
      <w:numPr>
        <w:numId w:val="14"/>
      </w:numPr>
      <w:contextualSpacing/>
    </w:pPr>
  </w:style>
  <w:style w:type="paragraph" w:styleId="ListBullet5">
    <w:name w:val="List Bullet 5"/>
    <w:basedOn w:val="Normal"/>
    <w:uiPriority w:val="98"/>
    <w:semiHidden/>
    <w:rsid w:val="0026439A"/>
    <w:pPr>
      <w:numPr>
        <w:numId w:val="15"/>
      </w:numPr>
      <w:contextualSpacing/>
    </w:pPr>
  </w:style>
  <w:style w:type="paragraph" w:styleId="ListContinue">
    <w:name w:val="List Continue"/>
    <w:basedOn w:val="Normal"/>
    <w:uiPriority w:val="98"/>
    <w:semiHidden/>
    <w:rsid w:val="0026439A"/>
    <w:pPr>
      <w:spacing w:after="120"/>
      <w:ind w:left="283"/>
      <w:contextualSpacing/>
    </w:pPr>
  </w:style>
  <w:style w:type="paragraph" w:styleId="ListContinue2">
    <w:name w:val="List Continue 2"/>
    <w:basedOn w:val="Normal"/>
    <w:uiPriority w:val="98"/>
    <w:semiHidden/>
    <w:rsid w:val="0026439A"/>
    <w:pPr>
      <w:spacing w:after="120"/>
      <w:ind w:left="566"/>
      <w:contextualSpacing/>
    </w:pPr>
  </w:style>
  <w:style w:type="paragraph" w:styleId="ListContinue3">
    <w:name w:val="List Continue 3"/>
    <w:basedOn w:val="Normal"/>
    <w:uiPriority w:val="98"/>
    <w:semiHidden/>
    <w:rsid w:val="0026439A"/>
    <w:pPr>
      <w:spacing w:after="120"/>
      <w:ind w:left="849"/>
      <w:contextualSpacing/>
    </w:pPr>
  </w:style>
  <w:style w:type="paragraph" w:styleId="ListContinue4">
    <w:name w:val="List Continue 4"/>
    <w:basedOn w:val="Normal"/>
    <w:uiPriority w:val="98"/>
    <w:semiHidden/>
    <w:rsid w:val="0026439A"/>
    <w:pPr>
      <w:spacing w:after="120"/>
      <w:ind w:left="1132"/>
      <w:contextualSpacing/>
    </w:pPr>
  </w:style>
  <w:style w:type="paragraph" w:styleId="ListContinue5">
    <w:name w:val="List Continue 5"/>
    <w:basedOn w:val="Normal"/>
    <w:uiPriority w:val="98"/>
    <w:semiHidden/>
    <w:rsid w:val="0026439A"/>
    <w:pPr>
      <w:spacing w:after="120"/>
      <w:ind w:left="1415"/>
      <w:contextualSpacing/>
    </w:pPr>
  </w:style>
  <w:style w:type="paragraph" w:styleId="ListNumber">
    <w:name w:val="List Number"/>
    <w:basedOn w:val="Normal"/>
    <w:uiPriority w:val="98"/>
    <w:semiHidden/>
    <w:rsid w:val="0026439A"/>
    <w:pPr>
      <w:numPr>
        <w:numId w:val="16"/>
      </w:numPr>
      <w:contextualSpacing/>
    </w:pPr>
  </w:style>
  <w:style w:type="paragraph" w:styleId="ListNumber2">
    <w:name w:val="List Number 2"/>
    <w:basedOn w:val="Normal"/>
    <w:uiPriority w:val="98"/>
    <w:semiHidden/>
    <w:rsid w:val="0026439A"/>
    <w:pPr>
      <w:numPr>
        <w:numId w:val="17"/>
      </w:numPr>
      <w:contextualSpacing/>
    </w:pPr>
  </w:style>
  <w:style w:type="paragraph" w:styleId="ListNumber3">
    <w:name w:val="List Number 3"/>
    <w:basedOn w:val="Normal"/>
    <w:uiPriority w:val="98"/>
    <w:semiHidden/>
    <w:rsid w:val="0026439A"/>
    <w:pPr>
      <w:numPr>
        <w:numId w:val="18"/>
      </w:numPr>
      <w:contextualSpacing/>
    </w:pPr>
  </w:style>
  <w:style w:type="paragraph" w:styleId="ListNumber4">
    <w:name w:val="List Number 4"/>
    <w:basedOn w:val="Normal"/>
    <w:uiPriority w:val="98"/>
    <w:semiHidden/>
    <w:rsid w:val="0026439A"/>
    <w:pPr>
      <w:numPr>
        <w:numId w:val="19"/>
      </w:numPr>
      <w:contextualSpacing/>
    </w:pPr>
  </w:style>
  <w:style w:type="paragraph" w:styleId="ListNumber5">
    <w:name w:val="List Number 5"/>
    <w:basedOn w:val="Normal"/>
    <w:uiPriority w:val="98"/>
    <w:semiHidden/>
    <w:rsid w:val="0026439A"/>
    <w:pPr>
      <w:numPr>
        <w:numId w:val="20"/>
      </w:numPr>
      <w:contextualSpacing/>
    </w:pPr>
  </w:style>
  <w:style w:type="paragraph" w:styleId="MacroText">
    <w:name w:val="macro"/>
    <w:link w:val="MacroTextChar"/>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26439A"/>
    <w:rPr>
      <w:rFonts w:ascii="Consolas" w:eastAsiaTheme="minorEastAsia" w:hAnsi="Consolas" w:cs="Consolas"/>
      <w:sz w:val="20"/>
      <w:szCs w:val="20"/>
    </w:rPr>
  </w:style>
  <w:style w:type="table" w:styleId="MediumGrid1">
    <w:name w:val="Medium Grid 1"/>
    <w:basedOn w:val="TableNormal"/>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6439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6439A"/>
    <w:rPr>
      <w:rFonts w:ascii="Times New Roman" w:hAnsi="Times New Roman" w:cs="Times New Roman"/>
    </w:rPr>
  </w:style>
  <w:style w:type="paragraph" w:styleId="NormalIndent">
    <w:name w:val="Normal Indent"/>
    <w:basedOn w:val="Normal"/>
    <w:uiPriority w:val="98"/>
    <w:semiHidden/>
    <w:rsid w:val="0026439A"/>
    <w:pPr>
      <w:ind w:left="720"/>
    </w:pPr>
  </w:style>
  <w:style w:type="paragraph" w:styleId="NoteHeading">
    <w:name w:val="Note Heading"/>
    <w:basedOn w:val="Normal"/>
    <w:next w:val="Normal"/>
    <w:link w:val="NoteHeadingChar"/>
    <w:uiPriority w:val="98"/>
    <w:semiHidden/>
    <w:rsid w:val="0026439A"/>
  </w:style>
  <w:style w:type="character" w:customStyle="1" w:styleId="NoteHeadingChar">
    <w:name w:val="Note Heading Char"/>
    <w:basedOn w:val="DefaultParagraphFont"/>
    <w:link w:val="NoteHeading"/>
    <w:uiPriority w:val="98"/>
    <w:semiHidden/>
    <w:rsid w:val="0026439A"/>
    <w:rPr>
      <w:sz w:val="24"/>
      <w:szCs w:val="24"/>
      <w:lang w:val="en-GB"/>
    </w:rPr>
  </w:style>
  <w:style w:type="character" w:styleId="PlaceholderText">
    <w:name w:val="Placeholder Text"/>
    <w:basedOn w:val="DefaultParagraphFont"/>
    <w:uiPriority w:val="98"/>
    <w:semiHidden/>
    <w:rsid w:val="0026439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6439A"/>
    <w:rPr>
      <w:rFonts w:ascii="Consolas" w:hAnsi="Consolas" w:cs="Consolas"/>
      <w:sz w:val="21"/>
      <w:szCs w:val="21"/>
    </w:rPr>
  </w:style>
  <w:style w:type="character" w:customStyle="1" w:styleId="PlainTextChar">
    <w:name w:val="Plain Text Char"/>
    <w:basedOn w:val="DefaultParagraphFont"/>
    <w:link w:val="PlainText"/>
    <w:uiPriority w:val="98"/>
    <w:semiHidden/>
    <w:rsid w:val="0026439A"/>
    <w:rPr>
      <w:rFonts w:ascii="Consolas" w:hAnsi="Consolas" w:cs="Consolas"/>
      <w:sz w:val="21"/>
      <w:szCs w:val="21"/>
      <w:lang w:val="en-GB"/>
    </w:rPr>
  </w:style>
  <w:style w:type="paragraph" w:styleId="Salutation">
    <w:name w:val="Salutation"/>
    <w:basedOn w:val="Normal"/>
    <w:next w:val="Normal"/>
    <w:link w:val="SalutationChar"/>
    <w:uiPriority w:val="98"/>
    <w:semiHidden/>
    <w:rsid w:val="0026439A"/>
  </w:style>
  <w:style w:type="character" w:customStyle="1" w:styleId="SalutationChar">
    <w:name w:val="Salutation Char"/>
    <w:basedOn w:val="DefaultParagraphFont"/>
    <w:link w:val="Salutation"/>
    <w:uiPriority w:val="98"/>
    <w:semiHidden/>
    <w:rsid w:val="0026439A"/>
    <w:rPr>
      <w:sz w:val="24"/>
      <w:szCs w:val="24"/>
      <w:lang w:val="en-GB"/>
    </w:rPr>
  </w:style>
  <w:style w:type="paragraph" w:styleId="Signature">
    <w:name w:val="Signature"/>
    <w:basedOn w:val="Normal"/>
    <w:link w:val="SignatureChar"/>
    <w:uiPriority w:val="98"/>
    <w:semiHidden/>
    <w:rsid w:val="0026439A"/>
    <w:pPr>
      <w:ind w:left="4252"/>
    </w:pPr>
  </w:style>
  <w:style w:type="character" w:customStyle="1" w:styleId="SignatureChar">
    <w:name w:val="Signature Char"/>
    <w:basedOn w:val="DefaultParagraphFont"/>
    <w:link w:val="Signature"/>
    <w:uiPriority w:val="98"/>
    <w:semiHidden/>
    <w:rsid w:val="0026439A"/>
    <w:rPr>
      <w:sz w:val="24"/>
      <w:szCs w:val="24"/>
      <w:lang w:val="en-GB"/>
    </w:rPr>
  </w:style>
  <w:style w:type="table" w:styleId="Table3Deffects1">
    <w:name w:val="Table 3D effects 1"/>
    <w:basedOn w:val="TableNormal"/>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6439A"/>
    <w:pPr>
      <w:ind w:left="240" w:hanging="240"/>
    </w:pPr>
  </w:style>
  <w:style w:type="paragraph" w:styleId="TableofFigures">
    <w:name w:val="table of figures"/>
    <w:basedOn w:val="Normal"/>
    <w:next w:val="Normal"/>
    <w:uiPriority w:val="98"/>
    <w:semiHidden/>
    <w:rsid w:val="0026439A"/>
  </w:style>
  <w:style w:type="table" w:styleId="TableProfessional">
    <w:name w:val="Table Professional"/>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6439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6439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6439A"/>
    <w:pPr>
      <w:spacing w:after="100"/>
      <w:ind w:left="1680"/>
    </w:pPr>
  </w:style>
  <w:style w:type="paragraph" w:styleId="TOC9">
    <w:name w:val="toc 9"/>
    <w:basedOn w:val="Normal"/>
    <w:next w:val="Normal"/>
    <w:autoRedefine/>
    <w:uiPriority w:val="98"/>
    <w:semiHidden/>
    <w:rsid w:val="0026439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
    <w:next w:val="Normal"/>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6439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6439A"/>
    <w:pPr>
      <w:jc w:val="right"/>
    </w:pPr>
    <w:rPr>
      <w:sz w:val="20"/>
    </w:rPr>
  </w:style>
  <w:style w:type="paragraph" w:customStyle="1" w:styleId="ECHRHeaderRefIt">
    <w:name w:val="ECHR_Header_Ref_It"/>
    <w:aliases w:val="_Ref_Ital"/>
    <w:basedOn w:val="Normal"/>
    <w:next w:val="ECHRHeaderDate"/>
    <w:uiPriority w:val="43"/>
    <w:semiHidden/>
    <w:qFormat/>
    <w:rsid w:val="0026439A"/>
    <w:pPr>
      <w:jc w:val="right"/>
    </w:pPr>
    <w:rPr>
      <w:i/>
      <w:sz w:val="20"/>
    </w:rPr>
  </w:style>
  <w:style w:type="paragraph" w:customStyle="1" w:styleId="ECHRHeading9">
    <w:name w:val="ECHR_Heading_9"/>
    <w:aliases w:val="_Head_9"/>
    <w:basedOn w:val="Heading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
    <w:uiPriority w:val="8"/>
    <w:semiHidden/>
    <w:qFormat/>
    <w:rsid w:val="0026439A"/>
    <w:pPr>
      <w:ind w:left="567" w:hanging="567"/>
      <w:jc w:val="both"/>
    </w:pPr>
  </w:style>
  <w:style w:type="paragraph" w:customStyle="1" w:styleId="ECHRParaIndent">
    <w:name w:val="ECHR_Para_Indent"/>
    <w:aliases w:val="_Indent"/>
    <w:basedOn w:val="Normal"/>
    <w:uiPriority w:val="7"/>
    <w:semiHidden/>
    <w:qFormat/>
    <w:rsid w:val="0026439A"/>
    <w:pPr>
      <w:spacing w:before="120" w:after="120"/>
      <w:ind w:left="284"/>
      <w:jc w:val="both"/>
    </w:pPr>
  </w:style>
  <w:style w:type="character" w:customStyle="1" w:styleId="ECHRRed">
    <w:name w:val="ECHR_Red"/>
    <w:aliases w:val="_Red"/>
    <w:basedOn w:val="DefaultParagraphFont"/>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TableNormal"/>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6439A"/>
    <w:pPr>
      <w:outlineLvl w:val="0"/>
    </w:pPr>
  </w:style>
  <w:style w:type="paragraph" w:customStyle="1" w:styleId="ECHRTitleTOC1">
    <w:name w:val="ECHR_Title_TOC_1"/>
    <w:aliases w:val="_Title_L_TOC"/>
    <w:basedOn w:val="ECHRTitle1"/>
    <w:next w:val="Normal"/>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
    <w:uiPriority w:val="45"/>
    <w:semiHidden/>
    <w:rsid w:val="0026439A"/>
    <w:rPr>
      <w:sz w:val="4"/>
    </w:rPr>
  </w:style>
  <w:style w:type="table" w:customStyle="1" w:styleId="ECHRTableGrey">
    <w:name w:val="ECHR_Table_Grey"/>
    <w:basedOn w:val="TableNormal"/>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713568"/>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D276CB-5620-496F-80A5-227653304094}">
  <ds:schemaRefs>
    <ds:schemaRef ds:uri="http://schemas.openxmlformats.org/officeDocument/2006/bibliography"/>
  </ds:schemaRefs>
</ds:datastoreItem>
</file>

<file path=customXml/itemProps2.xml><?xml version="1.0" encoding="utf-8"?>
<ds:datastoreItem xmlns:ds="http://schemas.openxmlformats.org/officeDocument/2006/customXml" ds:itemID="{8FE855D6-83EC-4CB1-954D-88DD180A666E}"/>
</file>

<file path=customXml/itemProps3.xml><?xml version="1.0" encoding="utf-8"?>
<ds:datastoreItem xmlns:ds="http://schemas.openxmlformats.org/officeDocument/2006/customXml" ds:itemID="{2807BB77-FD2D-4BD3-8619-9029B87BD1CD}"/>
</file>

<file path=customXml/itemProps4.xml><?xml version="1.0" encoding="utf-8"?>
<ds:datastoreItem xmlns:ds="http://schemas.openxmlformats.org/officeDocument/2006/customXml" ds:itemID="{130C9130-A292-4E6A-A07B-CA10EAE0A52C}"/>
</file>

<file path=docProps/app.xml><?xml version="1.0" encoding="utf-8"?>
<Properties xmlns="http://schemas.openxmlformats.org/officeDocument/2006/extended-properties" xmlns:vt="http://schemas.openxmlformats.org/officeDocument/2006/docPropsVTypes">
  <Template>Normal.dotm</Template>
  <TotalTime>0</TotalTime>
  <Pages>1</Pages>
  <Words>1819</Words>
  <Characters>10371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12166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2022-02-03T08:50:00Z</dcterms:created>
  <dcterms:modified xsi:type="dcterms:W3CDTF">2022-02-03T08:50:00Z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27318/19</vt:lpwstr>
  </property>
  <property fmtid="{D5CDD505-2E9C-101B-9397-08002B2CF9AE}" pid="4" name="CASEID">
    <vt:lpwstr>1455343</vt:lpwstr>
  </property>
  <property fmtid="{D5CDD505-2E9C-101B-9397-08002B2CF9AE}" pid="5" name="ContentTypeId">
    <vt:lpwstr>0x010100558EB02BDB9E204AB350EDD385B68E10</vt:lpwstr>
  </property>
</Properties>
</file>