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4651" w14:textId="77777777" w:rsidR="009C128A" w:rsidRDefault="009C128A">
      <w:pPr>
        <w:jc w:val="center"/>
        <w:rPr>
          <w:rFonts w:ascii="Times New Roman" w:hAnsi="Times New Roman" w:cs="Times New Roman"/>
        </w:rPr>
      </w:pPr>
    </w:p>
    <w:p w14:paraId="1C0378FB" w14:textId="77777777" w:rsidR="009C128A" w:rsidRDefault="009C128A">
      <w:pPr>
        <w:jc w:val="center"/>
      </w:pPr>
    </w:p>
    <w:p w14:paraId="4C44E9DC" w14:textId="77777777" w:rsidR="009C128A" w:rsidRDefault="00263167">
      <w:pPr>
        <w:pStyle w:val="DecHCase"/>
      </w:pPr>
      <w:r>
        <w:t>SEKCJA PIĄTA</w:t>
      </w:r>
    </w:p>
    <w:p w14:paraId="0ACC6B00" w14:textId="77777777" w:rsidR="009C128A" w:rsidRDefault="00263167">
      <w:pPr>
        <w:pStyle w:val="JuTitle"/>
        <w:spacing w:before="1200"/>
      </w:pPr>
      <w:bookmarkStart w:id="0" w:name="To"/>
      <w:r>
        <w:rPr>
          <w:color w:val="000000" w:themeColor="text1"/>
        </w:rPr>
        <w:t xml:space="preserve">SPRAWA </w:t>
      </w:r>
      <w:bookmarkEnd w:id="0"/>
      <w:r>
        <w:t>SABER przeciwko NORWEGII</w:t>
      </w:r>
    </w:p>
    <w:p w14:paraId="5F319CD0" w14:textId="77777777" w:rsidR="009C128A" w:rsidRDefault="00263167">
      <w:pPr>
        <w:pStyle w:val="ECHRCoverTitle4"/>
      </w:pPr>
      <w:r>
        <w:t>(Skarga nr 459/18)</w:t>
      </w:r>
    </w:p>
    <w:p w14:paraId="0D59D226" w14:textId="77777777" w:rsidR="009C128A" w:rsidRDefault="009C128A">
      <w:pPr>
        <w:pStyle w:val="DecHCase"/>
      </w:pPr>
    </w:p>
    <w:p w14:paraId="49DFB593" w14:textId="77777777" w:rsidR="009C128A" w:rsidRDefault="009C128A">
      <w:pPr>
        <w:pStyle w:val="DecHCase"/>
        <w:spacing w:after="480"/>
      </w:pPr>
    </w:p>
    <w:p w14:paraId="2645A3F7" w14:textId="77777777" w:rsidR="009C128A" w:rsidRDefault="00263167">
      <w:pPr>
        <w:pStyle w:val="DecHCase"/>
      </w:pPr>
      <w:r>
        <w:t>WYROK</w:t>
      </w:r>
      <w:r>
        <w:br/>
      </w:r>
    </w:p>
    <w:p w14:paraId="58B01338" w14:textId="77777777" w:rsidR="009C128A" w:rsidRDefault="00263167">
      <w:pPr>
        <w:pStyle w:val="DecHCase"/>
        <w:pBdr>
          <w:top w:val="single" w:sz="4" w:space="1" w:color="auto"/>
          <w:left w:val="single" w:sz="4" w:space="4" w:color="auto"/>
          <w:bottom w:val="single" w:sz="4" w:space="1" w:color="auto"/>
          <w:right w:val="single" w:sz="4" w:space="4" w:color="auto"/>
        </w:pBdr>
        <w:jc w:val="both"/>
      </w:pPr>
      <w:r>
        <w:t xml:space="preserve">Art. 8 – Poszanowanie korespondencji – Niewystarczające ramy prawne i gwarancje w zakresie ochrony danych objętych prawniczą tajemnicą zawodową w odniesieniu do zajęcia przez policję </w:t>
      </w:r>
      <w:proofErr w:type="spellStart"/>
      <w:r>
        <w:t>smartfona</w:t>
      </w:r>
      <w:proofErr w:type="spellEnd"/>
      <w:r>
        <w:t xml:space="preserve"> i przeszukania jego kopii lustrzanej</w:t>
      </w:r>
    </w:p>
    <w:p w14:paraId="75DE3909" w14:textId="77777777" w:rsidR="009C128A" w:rsidRDefault="009C128A">
      <w:pPr>
        <w:pStyle w:val="DecHCase"/>
        <w:spacing w:after="120"/>
      </w:pPr>
    </w:p>
    <w:p w14:paraId="693F0B79" w14:textId="77777777" w:rsidR="009C128A" w:rsidRDefault="00263167">
      <w:pPr>
        <w:pStyle w:val="DecHCase"/>
      </w:pPr>
      <w:r>
        <w:t>STRASBURG</w:t>
      </w:r>
    </w:p>
    <w:p w14:paraId="32A80EE1" w14:textId="77777777" w:rsidR="009C128A" w:rsidRDefault="00263167">
      <w:pPr>
        <w:pStyle w:val="DecHCase"/>
        <w:spacing w:after="600"/>
      </w:pPr>
      <w:r>
        <w:rPr>
          <w:rFonts w:ascii="Times New Roman" w:hAnsi="Times New Roman"/>
        </w:rPr>
        <w:t>17 grudnia 2020 r.</w:t>
      </w:r>
    </w:p>
    <w:p w14:paraId="744F931E" w14:textId="7684324A" w:rsidR="009C128A" w:rsidRDefault="00263167">
      <w:pPr>
        <w:pStyle w:val="jucase0"/>
        <w:ind w:firstLine="0"/>
        <w:jc w:val="center"/>
        <w:rPr>
          <w:color w:val="FF0000"/>
          <w:sz w:val="28"/>
          <w:szCs w:val="28"/>
          <w:u w:val="single"/>
        </w:rPr>
      </w:pPr>
      <w:bookmarkStart w:id="1" w:name="_Hlk59706592"/>
      <w:bookmarkStart w:id="2" w:name="_Hlk59704667"/>
      <w:r>
        <w:rPr>
          <w:color w:val="FF0000"/>
          <w:sz w:val="28"/>
          <w:szCs w:val="28"/>
          <w:u w:val="single"/>
        </w:rPr>
        <w:t>OSTATECZNY</w:t>
      </w:r>
    </w:p>
    <w:p w14:paraId="2BCBEDBF" w14:textId="77777777" w:rsidR="009C128A" w:rsidRDefault="009C128A">
      <w:pPr>
        <w:pStyle w:val="jucase0"/>
        <w:ind w:firstLine="0"/>
        <w:jc w:val="center"/>
        <w:rPr>
          <w:b w:val="0"/>
          <w:bCs w:val="0"/>
          <w:color w:val="FF0000"/>
          <w:u w:val="single"/>
        </w:rPr>
      </w:pPr>
    </w:p>
    <w:p w14:paraId="496C7800" w14:textId="77777777" w:rsidR="009C128A" w:rsidRDefault="00263167">
      <w:pPr>
        <w:pStyle w:val="jucase0"/>
        <w:ind w:firstLine="0"/>
        <w:jc w:val="center"/>
        <w:rPr>
          <w:b w:val="0"/>
          <w:color w:val="FF0000"/>
          <w:sz w:val="28"/>
          <w:szCs w:val="28"/>
        </w:rPr>
      </w:pPr>
      <w:r>
        <w:rPr>
          <w:b w:val="0"/>
          <w:color w:val="FF0000"/>
          <w:sz w:val="28"/>
          <w:szCs w:val="28"/>
        </w:rPr>
        <w:t>17.03.2021 r.</w:t>
      </w:r>
    </w:p>
    <w:p w14:paraId="61447A01" w14:textId="77777777" w:rsidR="009C128A" w:rsidRDefault="009C128A">
      <w:pPr>
        <w:pStyle w:val="jupara0"/>
        <w:ind w:firstLine="0"/>
        <w:jc w:val="center"/>
      </w:pPr>
    </w:p>
    <w:p w14:paraId="1B0968AF" w14:textId="77777777" w:rsidR="009C128A" w:rsidRDefault="009C128A">
      <w:pPr>
        <w:pStyle w:val="jupara0"/>
        <w:ind w:firstLine="0"/>
        <w:jc w:val="center"/>
      </w:pPr>
    </w:p>
    <w:p w14:paraId="5301BFC4" w14:textId="77777777" w:rsidR="009C128A" w:rsidRDefault="00263167">
      <w:pPr>
        <w:jc w:val="both"/>
        <w:rPr>
          <w:i/>
          <w:iCs/>
          <w:sz w:val="22"/>
          <w:szCs w:val="22"/>
        </w:rPr>
      </w:pPr>
      <w:r>
        <w:rPr>
          <w:i/>
          <w:iCs/>
          <w:sz w:val="22"/>
          <w:szCs w:val="22"/>
        </w:rPr>
        <w:t>Wyrok stał się ostateczny zgodnie z warunkami określonymi w art. 44 ust. 2 Konwencji. Może podlegać korekcie wydawniczej.</w:t>
      </w:r>
      <w:bookmarkEnd w:id="1"/>
    </w:p>
    <w:bookmarkEnd w:id="2"/>
    <w:p w14:paraId="052692E8" w14:textId="77777777" w:rsidR="009C128A" w:rsidRDefault="009C128A">
      <w:pPr>
        <w:pStyle w:val="JuPara"/>
        <w:ind w:firstLine="0"/>
        <w:rPr>
          <w:i/>
          <w:iCs/>
          <w:sz w:val="22"/>
          <w:szCs w:val="22"/>
        </w:rPr>
      </w:pPr>
    </w:p>
    <w:p w14:paraId="33DE7372" w14:textId="77777777" w:rsidR="009C128A" w:rsidRDefault="009C128A">
      <w:pPr>
        <w:pStyle w:val="JuPara"/>
        <w:rPr>
          <w:i/>
          <w:iCs/>
          <w:sz w:val="22"/>
          <w:szCs w:val="22"/>
        </w:rPr>
        <w:sectPr w:rsidR="009C128A">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7FFB9D9" w14:textId="77777777" w:rsidR="009C128A" w:rsidRDefault="00263167">
      <w:pPr>
        <w:pStyle w:val="JuCase"/>
      </w:pPr>
      <w:r>
        <w:lastRenderedPageBreak/>
        <w:t xml:space="preserve">W sprawie </w:t>
      </w:r>
      <w:proofErr w:type="spellStart"/>
      <w:r>
        <w:t>Saber</w:t>
      </w:r>
      <w:proofErr w:type="spellEnd"/>
      <w:r>
        <w:t xml:space="preserve"> przeciwko Norwegii</w:t>
      </w:r>
    </w:p>
    <w:p w14:paraId="2889A714" w14:textId="77777777" w:rsidR="009C128A" w:rsidRDefault="00263167">
      <w:pPr>
        <w:pStyle w:val="JuPara"/>
      </w:pPr>
      <w:r>
        <w:t>Europejski Trybunał Praw Człowieka (Sekcja Piąta), zasiadając jako Izba w składzie:</w:t>
      </w:r>
    </w:p>
    <w:p w14:paraId="43DB7DD0" w14:textId="790150FB" w:rsidR="009C128A" w:rsidRDefault="00263167">
      <w:pPr>
        <w:pStyle w:val="JuJudges"/>
      </w:pPr>
      <w:r>
        <w:tab/>
      </w:r>
      <w:proofErr w:type="spellStart"/>
      <w:r>
        <w:t>Síofra</w:t>
      </w:r>
      <w:proofErr w:type="spellEnd"/>
      <w:r>
        <w:t xml:space="preserve"> </w:t>
      </w:r>
      <w:proofErr w:type="spellStart"/>
      <w:r>
        <w:t>O’Leary</w:t>
      </w:r>
      <w:proofErr w:type="spellEnd"/>
      <w:r>
        <w:t>,</w:t>
      </w:r>
      <w:r>
        <w:rPr>
          <w:i/>
        </w:rPr>
        <w:t xml:space="preserve"> Przewodnicząca,</w:t>
      </w:r>
      <w:r>
        <w:rPr>
          <w:i/>
        </w:rPr>
        <w:br/>
      </w:r>
      <w:r>
        <w:tab/>
      </w:r>
      <w:proofErr w:type="spellStart"/>
      <w:r>
        <w:t>Mārtiņš</w:t>
      </w:r>
      <w:proofErr w:type="spellEnd"/>
      <w:r>
        <w:t xml:space="preserve"> </w:t>
      </w:r>
      <w:proofErr w:type="spellStart"/>
      <w:r>
        <w:t>Mits</w:t>
      </w:r>
      <w:proofErr w:type="spellEnd"/>
      <w:r>
        <w:t>,</w:t>
      </w:r>
      <w:r>
        <w:rPr>
          <w:i/>
        </w:rPr>
        <w:br/>
      </w:r>
      <w:r>
        <w:tab/>
      </w:r>
      <w:proofErr w:type="spellStart"/>
      <w:r>
        <w:t>Ganna</w:t>
      </w:r>
      <w:proofErr w:type="spellEnd"/>
      <w:r>
        <w:t xml:space="preserve"> </w:t>
      </w:r>
      <w:proofErr w:type="spellStart"/>
      <w:r>
        <w:t>Yudkivska</w:t>
      </w:r>
      <w:proofErr w:type="spellEnd"/>
      <w:r>
        <w:t>,</w:t>
      </w:r>
      <w:r>
        <w:rPr>
          <w:i/>
        </w:rPr>
        <w:br/>
      </w:r>
      <w:r>
        <w:tab/>
      </w:r>
      <w:proofErr w:type="spellStart"/>
      <w:r>
        <w:t>Stéphanie</w:t>
      </w:r>
      <w:proofErr w:type="spellEnd"/>
      <w:r>
        <w:t xml:space="preserve"> </w:t>
      </w:r>
      <w:proofErr w:type="spellStart"/>
      <w:r>
        <w:t>Mourou-Vikström</w:t>
      </w:r>
      <w:proofErr w:type="spellEnd"/>
      <w:r>
        <w:t>,</w:t>
      </w:r>
      <w:r>
        <w:rPr>
          <w:i/>
        </w:rPr>
        <w:br/>
      </w:r>
      <w:r>
        <w:tab/>
        <w:t xml:space="preserve">Ivana </w:t>
      </w:r>
      <w:proofErr w:type="spellStart"/>
      <w:r>
        <w:t>Jelić</w:t>
      </w:r>
      <w:proofErr w:type="spellEnd"/>
      <w:r>
        <w:t>,</w:t>
      </w:r>
      <w:r>
        <w:rPr>
          <w:i/>
        </w:rPr>
        <w:br/>
      </w:r>
      <w:r>
        <w:tab/>
      </w:r>
      <w:proofErr w:type="spellStart"/>
      <w:r>
        <w:t>Arnfinn</w:t>
      </w:r>
      <w:proofErr w:type="spellEnd"/>
      <w:r>
        <w:t xml:space="preserve"> </w:t>
      </w:r>
      <w:proofErr w:type="spellStart"/>
      <w:r>
        <w:t>Bårdsen</w:t>
      </w:r>
      <w:proofErr w:type="spellEnd"/>
      <w:r>
        <w:t>,</w:t>
      </w:r>
      <w:r>
        <w:rPr>
          <w:i/>
        </w:rPr>
        <w:br/>
      </w:r>
      <w:r>
        <w:tab/>
      </w:r>
      <w:proofErr w:type="spellStart"/>
      <w:r>
        <w:t>Mattias</w:t>
      </w:r>
      <w:proofErr w:type="spellEnd"/>
      <w:r>
        <w:t xml:space="preserve"> </w:t>
      </w:r>
      <w:proofErr w:type="spellStart"/>
      <w:r>
        <w:t>Guyomar</w:t>
      </w:r>
      <w:proofErr w:type="spellEnd"/>
      <w:r>
        <w:t>,</w:t>
      </w:r>
      <w:r>
        <w:rPr>
          <w:i/>
        </w:rPr>
        <w:t xml:space="preserve"> </w:t>
      </w:r>
      <w:r w:rsidR="00855908">
        <w:rPr>
          <w:i/>
        </w:rPr>
        <w:t>s</w:t>
      </w:r>
      <w:r>
        <w:rPr>
          <w:i/>
        </w:rPr>
        <w:t>ędziowie,</w:t>
      </w:r>
      <w:r>
        <w:br/>
        <w:t xml:space="preserve">i Victor </w:t>
      </w:r>
      <w:proofErr w:type="spellStart"/>
      <w:r>
        <w:t>Soloveytchik</w:t>
      </w:r>
      <w:proofErr w:type="spellEnd"/>
      <w:r>
        <w:t xml:space="preserve">, </w:t>
      </w:r>
      <w:r>
        <w:rPr>
          <w:i/>
        </w:rPr>
        <w:t xml:space="preserve">Kanclerz </w:t>
      </w:r>
      <w:r>
        <w:rPr>
          <w:i/>
          <w:iCs/>
        </w:rPr>
        <w:t>Sekcji</w:t>
      </w:r>
      <w:r>
        <w:rPr>
          <w:i/>
        </w:rPr>
        <w:t>,</w:t>
      </w:r>
    </w:p>
    <w:p w14:paraId="56765C58" w14:textId="77777777" w:rsidR="009C128A" w:rsidRDefault="00263167">
      <w:pPr>
        <w:pStyle w:val="JuPara"/>
      </w:pPr>
      <w:bookmarkStart w:id="3" w:name="ITMARKHavingStart"/>
      <w:bookmarkEnd w:id="3"/>
      <w:r>
        <w:t>mając na uwadze:</w:t>
      </w:r>
    </w:p>
    <w:p w14:paraId="15C17643" w14:textId="77777777" w:rsidR="009C128A" w:rsidRDefault="00263167">
      <w:pPr>
        <w:pStyle w:val="JuPara"/>
      </w:pPr>
      <w:r>
        <w:t xml:space="preserve">skargę przeciwko Królestwu Norwegii wniesioną do Trybunału w dniu 27 grudnia 2017 r. na podstawie art. 34 Konwencji o ochronie praw człowieka i podstawowych wolności („Konwencja”) przez obywatela norweskiego p. Mohammeda </w:t>
      </w:r>
      <w:proofErr w:type="spellStart"/>
      <w:r>
        <w:t>Imrana</w:t>
      </w:r>
      <w:proofErr w:type="spellEnd"/>
      <w:r>
        <w:t xml:space="preserve"> </w:t>
      </w:r>
      <w:proofErr w:type="spellStart"/>
      <w:r>
        <w:t>Sabera</w:t>
      </w:r>
      <w:proofErr w:type="spellEnd"/>
      <w:r>
        <w:t xml:space="preserve"> („skarżący”);</w:t>
      </w:r>
    </w:p>
    <w:p w14:paraId="39E29719" w14:textId="428C9FD3" w:rsidR="009C128A" w:rsidRDefault="00263167">
      <w:pPr>
        <w:pStyle w:val="JuPara"/>
      </w:pPr>
      <w:r>
        <w:t xml:space="preserve">decyzję o zakomunikowaniu </w:t>
      </w:r>
      <w:r w:rsidR="00855908">
        <w:t xml:space="preserve">skargi dotyczącej zarzutów naruszenia art. 6 i 8 Konwencji </w:t>
      </w:r>
      <w:r>
        <w:t>rządowi norweskiemu („Rząd”);</w:t>
      </w:r>
    </w:p>
    <w:p w14:paraId="44CB5ABF" w14:textId="27DC3832" w:rsidR="009C128A" w:rsidRDefault="00855908">
      <w:pPr>
        <w:pStyle w:val="JuPara"/>
      </w:pPr>
      <w:r>
        <w:t xml:space="preserve">stanowiska </w:t>
      </w:r>
      <w:r w:rsidR="00263167">
        <w:t>stron;</w:t>
      </w:r>
    </w:p>
    <w:p w14:paraId="486521DC" w14:textId="77777777" w:rsidR="009C128A" w:rsidRDefault="00263167">
      <w:pPr>
        <w:pStyle w:val="JuPara"/>
      </w:pPr>
      <w:r>
        <w:t>obradując na posiedzeniu niejawnym w dniu 10 listopada 2020 r.,</w:t>
      </w:r>
    </w:p>
    <w:p w14:paraId="6AD0D1E8" w14:textId="77777777" w:rsidR="009C128A" w:rsidRDefault="00263167">
      <w:pPr>
        <w:pStyle w:val="JuPara"/>
      </w:pPr>
      <w:r>
        <w:t>wydaje następujący wyrok, który został przyjęty w tym dniu:</w:t>
      </w:r>
    </w:p>
    <w:p w14:paraId="68119B14" w14:textId="77777777" w:rsidR="009C128A" w:rsidRDefault="00263167">
      <w:pPr>
        <w:pStyle w:val="JuHHead"/>
        <w:numPr>
          <w:ilvl w:val="0"/>
          <w:numId w:val="0"/>
        </w:numPr>
      </w:pPr>
      <w:r>
        <w:t>WPROWADZENIE</w:t>
      </w:r>
    </w:p>
    <w:p w14:paraId="06773A64" w14:textId="4664A823" w:rsidR="009C128A" w:rsidRDefault="00B23E9C">
      <w:pPr>
        <w:pStyle w:val="JuPara"/>
      </w:pPr>
      <w:fldSimple w:instr=" SEQ level0 \*arabic ">
        <w:r w:rsidR="00263167">
          <w:rPr>
            <w:noProof/>
          </w:rPr>
          <w:t>1</w:t>
        </w:r>
      </w:fldSimple>
      <w:r w:rsidR="00263167">
        <w:t xml:space="preserve">.  Przedmiotem skargi jest zarzut skarżącego, iż w postępowaniu dotyczącym przeszukania i zajęcia danych z jego </w:t>
      </w:r>
      <w:proofErr w:type="spellStart"/>
      <w:r w:rsidR="00263167">
        <w:t>smartfona</w:t>
      </w:r>
      <w:proofErr w:type="spellEnd"/>
      <w:r w:rsidR="00263167">
        <w:t>, które umożliwiły dostęp do korespondencji między nim a jego prawnikami, doszło do naruszenia art. 6 i 8 Konwencji.</w:t>
      </w:r>
    </w:p>
    <w:p w14:paraId="2707C5ED" w14:textId="77777777" w:rsidR="009C128A" w:rsidRDefault="00263167">
      <w:pPr>
        <w:pStyle w:val="JuHHead"/>
      </w:pPr>
      <w:r>
        <w:t>FAKTY</w:t>
      </w:r>
    </w:p>
    <w:p w14:paraId="7040E664" w14:textId="222B8E55" w:rsidR="009C128A" w:rsidRDefault="00B23E9C">
      <w:pPr>
        <w:pStyle w:val="JuPara"/>
      </w:pPr>
      <w:fldSimple w:instr=" SEQ level0 \*arabic ">
        <w:r w:rsidR="00263167">
          <w:rPr>
            <w:noProof/>
          </w:rPr>
          <w:t>2</w:t>
        </w:r>
      </w:fldSimple>
      <w:r w:rsidR="00263167">
        <w:t>.  Skarżący, p</w:t>
      </w:r>
      <w:r w:rsidR="00902F5A">
        <w:t xml:space="preserve">. </w:t>
      </w:r>
      <w:r w:rsidR="00263167">
        <w:t xml:space="preserve">Mohammed </w:t>
      </w:r>
      <w:proofErr w:type="spellStart"/>
      <w:r w:rsidR="00263167">
        <w:t>Imran</w:t>
      </w:r>
      <w:proofErr w:type="spellEnd"/>
      <w:r w:rsidR="00263167">
        <w:t xml:space="preserve"> </w:t>
      </w:r>
      <w:proofErr w:type="spellStart"/>
      <w:r w:rsidR="00263167">
        <w:t>Saber</w:t>
      </w:r>
      <w:proofErr w:type="spellEnd"/>
      <w:r w:rsidR="00263167">
        <w:t xml:space="preserve">, jest obywatelem norweskim, </w:t>
      </w:r>
      <w:r w:rsidR="00902F5A">
        <w:t xml:space="preserve">który </w:t>
      </w:r>
      <w:r w:rsidR="00263167">
        <w:t>urodził się w 1978</w:t>
      </w:r>
      <w:r w:rsidR="00902F5A">
        <w:t xml:space="preserve"> r.</w:t>
      </w:r>
      <w:r w:rsidR="00263167">
        <w:t xml:space="preserve"> i mieszka w Oslo. Przed Trybunałem reprezentował go p</w:t>
      </w:r>
      <w:r w:rsidR="00902F5A">
        <w:t>.</w:t>
      </w:r>
      <w:r w:rsidR="00263167">
        <w:t xml:space="preserve"> J.C. </w:t>
      </w:r>
      <w:proofErr w:type="spellStart"/>
      <w:r w:rsidR="00263167">
        <w:t>Elden</w:t>
      </w:r>
      <w:proofErr w:type="spellEnd"/>
      <w:r w:rsidR="00263167">
        <w:t>, prawnik praktykujący w Oslo.</w:t>
      </w:r>
    </w:p>
    <w:p w14:paraId="04D38D9B" w14:textId="1297DF70" w:rsidR="009C128A" w:rsidRDefault="00B23E9C">
      <w:pPr>
        <w:pStyle w:val="JuPara"/>
      </w:pPr>
      <w:fldSimple w:instr=" SEQ level0 \*arabic ">
        <w:r w:rsidR="00263167">
          <w:rPr>
            <w:noProof/>
          </w:rPr>
          <w:t>3</w:t>
        </w:r>
      </w:fldSimple>
      <w:r w:rsidR="00263167">
        <w:t>.  Rząd był reprezentowany przez swojego pełnomocnika, p</w:t>
      </w:r>
      <w:r w:rsidR="00902F5A">
        <w:t>.</w:t>
      </w:r>
      <w:r w:rsidR="00263167">
        <w:t xml:space="preserve"> H. Busch z Urzędu Prokuratora Generalnego (do spraw cywilnych), </w:t>
      </w:r>
      <w:r w:rsidR="00902F5A">
        <w:t>wspomaganą przez</w:t>
      </w:r>
      <w:r w:rsidR="00263167">
        <w:t xml:space="preserve"> p</w:t>
      </w:r>
      <w:r w:rsidR="00902F5A">
        <w:t>.</w:t>
      </w:r>
      <w:r w:rsidR="00263167">
        <w:t xml:space="preserve"> L. </w:t>
      </w:r>
      <w:proofErr w:type="spellStart"/>
      <w:r w:rsidR="00263167">
        <w:t>Tvedt</w:t>
      </w:r>
      <w:proofErr w:type="spellEnd"/>
      <w:r w:rsidR="00263167">
        <w:t>, współpracowni</w:t>
      </w:r>
      <w:r w:rsidR="00902F5A">
        <w:t>czkę</w:t>
      </w:r>
      <w:r w:rsidR="00263167">
        <w:t xml:space="preserve"> z tego samego urzędu.</w:t>
      </w:r>
    </w:p>
    <w:p w14:paraId="42EC2FC7" w14:textId="77777777" w:rsidR="009C128A" w:rsidRDefault="00263167">
      <w:pPr>
        <w:pStyle w:val="JuHA"/>
        <w:numPr>
          <w:ilvl w:val="0"/>
          <w:numId w:val="0"/>
        </w:numPr>
        <w:ind w:left="510"/>
      </w:pPr>
      <w:r>
        <w:t>Okoliczności sprawy</w:t>
      </w:r>
    </w:p>
    <w:p w14:paraId="79F1AF2B" w14:textId="77777777" w:rsidR="009C128A" w:rsidRDefault="00B23E9C">
      <w:pPr>
        <w:pStyle w:val="JuPara"/>
      </w:pPr>
      <w:fldSimple w:instr=" SEQ level0 \*arabic ">
        <w:r w:rsidR="00263167">
          <w:rPr>
            <w:noProof/>
          </w:rPr>
          <w:t>4</w:t>
        </w:r>
      </w:fldSimple>
      <w:r w:rsidR="00263167">
        <w:t>.  Stan faktyczny sprawy, przedstawiony przez strony, można streścić następująco.</w:t>
      </w:r>
    </w:p>
    <w:p w14:paraId="47DA0892" w14:textId="61F58632" w:rsidR="009C128A" w:rsidRDefault="00B23E9C">
      <w:pPr>
        <w:pStyle w:val="JuPara"/>
      </w:pPr>
      <w:fldSimple w:instr=" SEQ level0 \*arabic ">
        <w:r w:rsidR="00263167">
          <w:rPr>
            <w:noProof/>
          </w:rPr>
          <w:t>5</w:t>
        </w:r>
      </w:fldSimple>
      <w:r w:rsidR="00263167">
        <w:t xml:space="preserve">.  W związku ze śledztwem w sprawie karnej przeciwko dwóm osobom, dotyczącym między innymi zmowy w celu dokonania zabójstwa skarżącego </w:t>
      </w:r>
      <w:r w:rsidR="00263167">
        <w:lastRenderedPageBreak/>
        <w:t xml:space="preserve">– który jako potencjalna ofiara </w:t>
      </w:r>
      <w:r w:rsidR="001E4F05">
        <w:t xml:space="preserve">zarzucanego </w:t>
      </w:r>
      <w:r w:rsidR="00263167">
        <w:t xml:space="preserve">przestępstwa był </w:t>
      </w:r>
      <w:r w:rsidR="001E4F05">
        <w:t xml:space="preserve">w związku z tym </w:t>
      </w:r>
      <w:r w:rsidR="00263167">
        <w:t>„pokrzywdzonym” (</w:t>
      </w:r>
      <w:proofErr w:type="spellStart"/>
      <w:r w:rsidR="00263167">
        <w:rPr>
          <w:i/>
          <w:iCs/>
        </w:rPr>
        <w:t>fornærmet</w:t>
      </w:r>
      <w:proofErr w:type="spellEnd"/>
      <w:r w:rsidR="00263167">
        <w:t xml:space="preserve">) w znaczeniu stosowanym w krajowym prawie karnym procesowym – policja zajęła smartfon skarżącego w dniu 23 listopada 2015 r. </w:t>
      </w:r>
      <w:r w:rsidR="001E4F05">
        <w:t>Wykonano</w:t>
      </w:r>
      <w:r w:rsidR="00263167">
        <w:t xml:space="preserve"> kopię lustrzaną telefonu, </w:t>
      </w:r>
      <w:r w:rsidR="001E4F05">
        <w:t>ponieważ policja chciała go przeszukać</w:t>
      </w:r>
      <w:r w:rsidR="00263167">
        <w:t xml:space="preserve">, tak aby rzucić światło na możliwe konflikty między podejrzanymi a skarżącym. </w:t>
      </w:r>
      <w:r w:rsidR="001E4F05">
        <w:t>Telefon zwrócono s</w:t>
      </w:r>
      <w:r w:rsidR="00263167">
        <w:t xml:space="preserve">karżącemu. </w:t>
      </w:r>
      <w:r w:rsidR="0095780D">
        <w:t>W</w:t>
      </w:r>
      <w:r w:rsidR="00263167">
        <w:t> chwili zajęcia telefonu</w:t>
      </w:r>
      <w:r w:rsidR="0095780D">
        <w:t xml:space="preserve"> skarżący</w:t>
      </w:r>
      <w:r w:rsidR="00263167">
        <w:t xml:space="preserve"> poinformował, że znajdowała się na nim korespondencja z dwoma prawnikami broniącymi go (</w:t>
      </w:r>
      <w:proofErr w:type="spellStart"/>
      <w:r w:rsidR="00263167">
        <w:rPr>
          <w:i/>
          <w:iCs/>
        </w:rPr>
        <w:t>forsvarsadvokater</w:t>
      </w:r>
      <w:proofErr w:type="spellEnd"/>
      <w:r w:rsidR="00263167">
        <w:t>) w </w:t>
      </w:r>
      <w:r w:rsidR="0095780D">
        <w:t xml:space="preserve">innym </w:t>
      </w:r>
      <w:r w:rsidR="00263167">
        <w:t>postępowaniu karnym, w którym był podejrzanym.</w:t>
      </w:r>
    </w:p>
    <w:p w14:paraId="12879DF0" w14:textId="5A2828AD" w:rsidR="009C128A" w:rsidRDefault="00B23E9C">
      <w:pPr>
        <w:pStyle w:val="JuPara"/>
      </w:pPr>
      <w:fldSimple w:instr=" SEQ level0 \*arabic ">
        <w:r w:rsidR="00263167">
          <w:rPr>
            <w:noProof/>
          </w:rPr>
          <w:t>6</w:t>
        </w:r>
      </w:fldSimple>
      <w:r w:rsidR="00263167">
        <w:t xml:space="preserve">.  Jako że skarżący udzielił informacji, że na telefonie znajdują się wiadomości przesyłane między nim a jego prawnikami, istniały przesłanki, aby sądzić, że niektóre treści w kopii lustrzanej będą zwolnione z zajęcia na mocy art. 204 i 119 </w:t>
      </w:r>
      <w:r w:rsidR="006C5926">
        <w:t>K</w:t>
      </w:r>
      <w:r w:rsidR="00263167">
        <w:t xml:space="preserve">odeksu postępowania karnego (zob. pkt 29 poniżej). </w:t>
      </w:r>
      <w:r w:rsidR="006C5926">
        <w:t xml:space="preserve">Z tego względu w </w:t>
      </w:r>
      <w:r w:rsidR="00263167">
        <w:t xml:space="preserve">dniu 4 stycznia 2016 r. </w:t>
      </w:r>
      <w:r w:rsidR="006C5926">
        <w:t>prokurator</w:t>
      </w:r>
      <w:r w:rsidR="00263167">
        <w:t xml:space="preserve"> postanowił przedłożyć kopię lustrzaną do Sądu Rejonowego w Oslo (</w:t>
      </w:r>
      <w:proofErr w:type="spellStart"/>
      <w:r w:rsidR="00263167">
        <w:rPr>
          <w:i/>
          <w:iCs/>
        </w:rPr>
        <w:t>tingrett</w:t>
      </w:r>
      <w:proofErr w:type="spellEnd"/>
      <w:r w:rsidR="00263167">
        <w:t xml:space="preserve">) zgodnie z procedurą określoną w ostatnim </w:t>
      </w:r>
      <w:r w:rsidR="006C5926">
        <w:t xml:space="preserve">paragrafie </w:t>
      </w:r>
      <w:r w:rsidR="00263167">
        <w:t xml:space="preserve">art. 205, który zdaniem organu stosowało się przez analogię. </w:t>
      </w:r>
      <w:r w:rsidR="006C5926">
        <w:t>Prokurator</w:t>
      </w:r>
      <w:r w:rsidR="00263167">
        <w:t xml:space="preserve"> wniósł do Sądu Rejonowego, aby ten dokonał przeglądu kopii lustrzanej i zadecydował, które dane podlegają prawniczej tajemnicy zawodowej</w:t>
      </w:r>
      <w:r w:rsidR="000B23E1">
        <w:t xml:space="preserve"> (PTZ)</w:t>
      </w:r>
      <w:r w:rsidR="00263167">
        <w:t>, a które można przekazać policji celem przeszukania. Jednocześnie organ oświadczył, że odstępuje od zajęcia tych materiałów, które zawierały korespondencję z dwoma wyżej wspomnianymi obrońcami lub z innymi obrońcami, którzy wspomagali skarżącego w jego roli pokrzywdzonego w sprawie dotyczącej zmowy w celu dokonania zabójstwa (</w:t>
      </w:r>
      <w:proofErr w:type="spellStart"/>
      <w:r w:rsidR="00263167">
        <w:rPr>
          <w:i/>
        </w:rPr>
        <w:t>bistandsadvokat</w:t>
      </w:r>
      <w:proofErr w:type="spellEnd"/>
      <w:r w:rsidR="00263167">
        <w:t>).</w:t>
      </w:r>
    </w:p>
    <w:p w14:paraId="77C2ABF1" w14:textId="72FB34AB" w:rsidR="009C128A" w:rsidRDefault="00B23E9C">
      <w:pPr>
        <w:pStyle w:val="JuPara"/>
      </w:pPr>
      <w:fldSimple w:instr=" SEQ level0 \*arabic ">
        <w:r w:rsidR="00263167">
          <w:rPr>
            <w:noProof/>
          </w:rPr>
          <w:t>7</w:t>
        </w:r>
      </w:fldSimple>
      <w:r w:rsidR="00263167">
        <w:t xml:space="preserve">.  W toku dalej prowadzonego postępowania przed Sądem Rejonowym uzyskano stanowiska stron. </w:t>
      </w:r>
      <w:r w:rsidR="004D5557">
        <w:t>Prokuratura</w:t>
      </w:r>
      <w:r w:rsidR="00263167">
        <w:t xml:space="preserve">, prawnicy reprezentujący skarżącego </w:t>
      </w:r>
      <w:r w:rsidR="004D5557">
        <w:t>jako</w:t>
      </w:r>
      <w:r w:rsidR="00263167">
        <w:t xml:space="preserve"> pokrzywdzonego, jak też obrońcy podejrzanych w sprawie dotyczącej zmowy w celu dokonania zabójstwa otrzymali możliwość złożenia oświadczeń. Prawnicy reprezentujący skarżącego </w:t>
      </w:r>
      <w:r w:rsidR="004D5557">
        <w:t>jako</w:t>
      </w:r>
      <w:r w:rsidR="00263167">
        <w:t xml:space="preserve"> pokrzywdzonego stwierdzili, że w kopii lustrzanej znajdowała się także poufna korespondencja z innymi prawnikami.</w:t>
      </w:r>
    </w:p>
    <w:p w14:paraId="024B3FC1" w14:textId="09571386" w:rsidR="009C128A" w:rsidRDefault="00B23E9C">
      <w:pPr>
        <w:pStyle w:val="JuPara"/>
      </w:pPr>
      <w:fldSimple w:instr=" SEQ level0 \*arabic ">
        <w:r w:rsidR="00263167">
          <w:rPr>
            <w:noProof/>
          </w:rPr>
          <w:t>8</w:t>
        </w:r>
      </w:fldSimple>
      <w:r w:rsidR="00263167">
        <w:t xml:space="preserve">.  W piśmie z dnia 5 kwietnia 2016 r. Sąd Rejonowy w Oslo </w:t>
      </w:r>
      <w:r w:rsidR="004D5557">
        <w:t>wymienił</w:t>
      </w:r>
      <w:r w:rsidR="00263167">
        <w:t xml:space="preserve"> sł</w:t>
      </w:r>
      <w:r w:rsidR="004D5557">
        <w:t>owa</w:t>
      </w:r>
      <w:r w:rsidR="00263167">
        <w:t xml:space="preserve"> kluczow</w:t>
      </w:r>
      <w:r w:rsidR="004D5557">
        <w:t>e, których użycie zaproponował</w:t>
      </w:r>
      <w:r w:rsidR="00263167">
        <w:t xml:space="preserve"> na potrzeby przeglądu kopii lustrzanej, </w:t>
      </w:r>
      <w:r w:rsidR="004D5557">
        <w:t>w celu</w:t>
      </w:r>
      <w:r w:rsidR="00263167">
        <w:t xml:space="preserve"> odfiltrowa</w:t>
      </w:r>
      <w:r w:rsidR="004D5557">
        <w:t>nia</w:t>
      </w:r>
      <w:r w:rsidR="00263167">
        <w:t xml:space="preserve"> dan</w:t>
      </w:r>
      <w:r w:rsidR="004D5557">
        <w:t>ych</w:t>
      </w:r>
      <w:r w:rsidR="00263167">
        <w:t xml:space="preserve"> objęt</w:t>
      </w:r>
      <w:r w:rsidR="004D5557">
        <w:t>ych</w:t>
      </w:r>
      <w:r w:rsidR="00263167">
        <w:t xml:space="preserve"> </w:t>
      </w:r>
      <w:r w:rsidR="000B23E1">
        <w:t>PTZ</w:t>
      </w:r>
      <w:r w:rsidR="00263167">
        <w:t xml:space="preserve">. Sąd jednocześnie zaproponował, aby wsparcia udzielił mu biegły </w:t>
      </w:r>
      <w:r w:rsidR="004D5557">
        <w:t xml:space="preserve">z zakresu techniki </w:t>
      </w:r>
      <w:r w:rsidR="00263167">
        <w:t>z policji w Oslo. Podkreślono, że nie powinien być on związany ze śledztwem i będzie musiał podpisać deklarację o zachowaniu poufności.</w:t>
      </w:r>
    </w:p>
    <w:p w14:paraId="1BD984B1" w14:textId="3ADF272A" w:rsidR="009C128A" w:rsidRDefault="00B23E9C">
      <w:pPr>
        <w:pStyle w:val="JuPara"/>
      </w:pPr>
      <w:fldSimple w:instr=" SEQ level0 \*arabic ">
        <w:r w:rsidR="00263167">
          <w:rPr>
            <w:noProof/>
          </w:rPr>
          <w:t>9</w:t>
        </w:r>
      </w:fldSimple>
      <w:r w:rsidR="00263167">
        <w:t xml:space="preserve">.  W odpowiedzi z dnia 9 kwietnia 2016 r. prawnik reprezentująca skarżącego </w:t>
      </w:r>
      <w:r w:rsidR="004D5557">
        <w:t>jako</w:t>
      </w:r>
      <w:r w:rsidR="00263167">
        <w:t xml:space="preserve"> pokrzywdzonego zgłosiła sprzeciw. Zażądała, aby wydano formalne postanowienie w przedmiocie sposobu przeszukiwania danych w kopii lustrzanej. Ponadto podniosła, że </w:t>
      </w:r>
      <w:r w:rsidR="00603688">
        <w:t>istnieją szczególne ograniczenia w zakresie prawa do zajęcia danych przez organ śledczy</w:t>
      </w:r>
      <w:r w:rsidR="00263167">
        <w:t xml:space="preserve"> w przypadku, w którym należą one do świadków (a był to formalny status skarżącego </w:t>
      </w:r>
      <w:r w:rsidR="00263167">
        <w:lastRenderedPageBreak/>
        <w:t>w sprawie dotyczącej zmowy w celu dokonania zabójstwa), a nie do oskarżonych.</w:t>
      </w:r>
    </w:p>
    <w:p w14:paraId="02C428EA" w14:textId="1DEE4981" w:rsidR="009C128A" w:rsidRDefault="00B23E9C">
      <w:pPr>
        <w:pStyle w:val="JuPara"/>
      </w:pPr>
      <w:fldSimple w:instr=" SEQ level0 \*arabic ">
        <w:r w:rsidR="00263167">
          <w:rPr>
            <w:noProof/>
          </w:rPr>
          <w:t>10</w:t>
        </w:r>
      </w:fldSimple>
      <w:r w:rsidR="00263167">
        <w:t xml:space="preserve">.  W piśmie z dnia 8 sierpnia 2016 r. Sąd Rejonowy w Oslo stwierdził, że </w:t>
      </w:r>
      <w:r w:rsidR="00507564">
        <w:t>ze względu na powyższe</w:t>
      </w:r>
      <w:r w:rsidR="00263167">
        <w:t xml:space="preserve"> nie skorzysta z pomocy technika z policji w Oslo przy przeglądzie kopii lustrzanej. Zamiast tego Sąd Rejonowy miał skorzystać z pomocy technicznej osoby trzeciej.</w:t>
      </w:r>
    </w:p>
    <w:p w14:paraId="3A623C60" w14:textId="1951054D" w:rsidR="009C128A" w:rsidRDefault="00B23E9C">
      <w:pPr>
        <w:pStyle w:val="JuPara"/>
      </w:pPr>
      <w:fldSimple w:instr=" SEQ level0 \*arabic ">
        <w:r w:rsidR="00263167">
          <w:rPr>
            <w:noProof/>
          </w:rPr>
          <w:t>11</w:t>
        </w:r>
      </w:fldSimple>
      <w:r w:rsidR="00263167">
        <w:t xml:space="preserve">.  W pismach z  30 sierpnia i 2 września 2016 r. organ prowadzący śledztwo wniósł sprzeciw </w:t>
      </w:r>
      <w:r w:rsidR="0037607A">
        <w:t>przeciwko</w:t>
      </w:r>
      <w:r w:rsidR="00263167">
        <w:t xml:space="preserve"> skorzystani</w:t>
      </w:r>
      <w:r w:rsidR="0037607A">
        <w:t>u</w:t>
      </w:r>
      <w:r w:rsidR="00263167">
        <w:t xml:space="preserve"> przez Sąd Rejonowy z pomocy zewnętrznej, </w:t>
      </w:r>
      <w:r w:rsidR="0037607A">
        <w:t>obawiając się, że</w:t>
      </w:r>
      <w:r w:rsidR="00263167">
        <w:t xml:space="preserve"> mogłoby to doprowadzić do zniszczenia dowodów. </w:t>
      </w:r>
      <w:r w:rsidR="003944B7">
        <w:t>W piśmie z 29 września 2016 r. p</w:t>
      </w:r>
      <w:r w:rsidR="00263167">
        <w:t>rawnik reprezentujący skarżącego jako pokrzywdzonego stwierdził</w:t>
      </w:r>
      <w:r w:rsidR="003944B7">
        <w:t>,</w:t>
      </w:r>
      <w:r w:rsidR="00263167">
        <w:t xml:space="preserve"> że próba zwrócenia się przez Sąd Rejonowy do policji o pomoc przy przeglądzie kopii lustrzanej stanowiłaby naruszenie art. 8 Konwencji.</w:t>
      </w:r>
    </w:p>
    <w:p w14:paraId="65B2FE86" w14:textId="1DAB6903" w:rsidR="009C128A" w:rsidRDefault="00B23E9C">
      <w:pPr>
        <w:pStyle w:val="JuPara"/>
      </w:pPr>
      <w:fldSimple w:instr=" SEQ level0 \*arabic ">
        <w:r w:rsidR="00263167">
          <w:rPr>
            <w:noProof/>
          </w:rPr>
          <w:t>12</w:t>
        </w:r>
      </w:fldSimple>
      <w:r w:rsidR="00263167">
        <w:t xml:space="preserve">.  W piśmie z 20 stycznia 2017 r. do Sądu Rejonowego w Oslo organ prowadzący śledztwo powołał się na </w:t>
      </w:r>
      <w:r w:rsidR="003944B7">
        <w:t xml:space="preserve">orzeczenie </w:t>
      </w:r>
      <w:r w:rsidR="00263167">
        <w:t>Sądu Najwyższego (</w:t>
      </w:r>
      <w:proofErr w:type="spellStart"/>
      <w:r w:rsidR="00263167">
        <w:rPr>
          <w:i/>
        </w:rPr>
        <w:t>Høyesterett</w:t>
      </w:r>
      <w:proofErr w:type="spellEnd"/>
      <w:r w:rsidR="00263167">
        <w:t xml:space="preserve">) </w:t>
      </w:r>
      <w:r w:rsidR="003944B7">
        <w:t xml:space="preserve">- </w:t>
      </w:r>
      <w:r w:rsidR="00263167">
        <w:t xml:space="preserve">w niepowiązanej sprawie </w:t>
      </w:r>
      <w:r w:rsidR="003944B7">
        <w:t xml:space="preserve">- </w:t>
      </w:r>
      <w:r w:rsidR="00263167">
        <w:t>sprzed czterech dni</w:t>
      </w:r>
      <w:r w:rsidR="003944B7">
        <w:t>;</w:t>
      </w:r>
      <w:r w:rsidR="00263167">
        <w:t xml:space="preserve"> 16 stycznia 2017 r. (zob. pkt 30–40 poniżej). Opierając się na </w:t>
      </w:r>
      <w:r w:rsidR="003944B7">
        <w:t>tym orzeczeniu</w:t>
      </w:r>
      <w:r w:rsidR="00263167">
        <w:t xml:space="preserve"> organ prowadzący śledztwo zażądał zwrotu kopii lustrzanej, tak aby sam mógł ją zbadać</w:t>
      </w:r>
      <w:r w:rsidR="003944B7">
        <w:t xml:space="preserve"> w celu oceny</w:t>
      </w:r>
      <w:r w:rsidR="00263167">
        <w:t xml:space="preserve">, które dane są zwolnione z zajęcia. W piśmie z dnia 10 lutego 2017 r. prawnik reprezentujący skarżącego </w:t>
      </w:r>
      <w:r w:rsidR="003944B7">
        <w:t>jako</w:t>
      </w:r>
      <w:r w:rsidR="00263167">
        <w:t xml:space="preserve"> pokrzywdzonego </w:t>
      </w:r>
      <w:r w:rsidR="003944B7">
        <w:t>sprzeciwił się procedurze</w:t>
      </w:r>
      <w:r w:rsidR="00263167">
        <w:t xml:space="preserve"> proponowanej przez organ prowadzący śledztwo, mając na uwadze, że to </w:t>
      </w:r>
      <w:r w:rsidR="000B23E1">
        <w:t xml:space="preserve">do </w:t>
      </w:r>
      <w:r w:rsidR="00263167">
        <w:t>Sąd</w:t>
      </w:r>
      <w:r w:rsidR="000B23E1">
        <w:t>u</w:t>
      </w:r>
      <w:r w:rsidR="00263167">
        <w:t xml:space="preserve"> Rejonow</w:t>
      </w:r>
      <w:r w:rsidR="000B23E1">
        <w:t>ego należało</w:t>
      </w:r>
      <w:r w:rsidR="00263167">
        <w:t xml:space="preserve"> </w:t>
      </w:r>
      <w:r w:rsidR="000B23E1">
        <w:t>zbadanie</w:t>
      </w:r>
      <w:r w:rsidR="00263167">
        <w:t xml:space="preserve"> kopi</w:t>
      </w:r>
      <w:r w:rsidR="000B23E1">
        <w:t>i</w:t>
      </w:r>
      <w:r w:rsidR="00263167">
        <w:t xml:space="preserve"> lustrzan</w:t>
      </w:r>
      <w:r w:rsidR="000B23E1">
        <w:t>ej</w:t>
      </w:r>
      <w:r w:rsidR="00263167">
        <w:t xml:space="preserve"> i odfiltrowa</w:t>
      </w:r>
      <w:r w:rsidR="000B23E1">
        <w:t>nie</w:t>
      </w:r>
      <w:r w:rsidR="00263167">
        <w:t xml:space="preserve"> dan</w:t>
      </w:r>
      <w:r w:rsidR="000B23E1">
        <w:t>ych</w:t>
      </w:r>
      <w:r w:rsidR="00263167">
        <w:t xml:space="preserve">, które powinny być zwolnione z zajęcia ze względu na </w:t>
      </w:r>
      <w:r w:rsidR="000B23E1">
        <w:t>PTZ</w:t>
      </w:r>
      <w:r w:rsidR="00263167">
        <w:t>.</w:t>
      </w:r>
    </w:p>
    <w:p w14:paraId="1EDB4EBF" w14:textId="616A3F04" w:rsidR="009C128A" w:rsidRDefault="00B23E9C">
      <w:pPr>
        <w:pStyle w:val="JuPara"/>
      </w:pPr>
      <w:fldSimple w:instr=" SEQ level0 \*arabic ">
        <w:r w:rsidR="00263167">
          <w:rPr>
            <w:noProof/>
          </w:rPr>
          <w:t>13</w:t>
        </w:r>
      </w:fldSimple>
      <w:r w:rsidR="00263167">
        <w:t xml:space="preserve">.  Dnia 6 marca 2017 r. Sąd Rejonowy w Oslo stwierdził </w:t>
      </w:r>
      <w:r w:rsidR="000B23E1">
        <w:t>swoją niewłaściwość</w:t>
      </w:r>
      <w:r w:rsidR="00263167">
        <w:t xml:space="preserve"> w odniesieniu do badania kopii lustrzanej celem oceny, które dane nie powinny podlegać zajęciu. Sąd Rejonowy przypisał decydujące znaczenie postanowieniu Sądu Najwyższego z dnia 16 stycznia 2017 r. i stwierdził, że nakazywało ono, aby policja przeprowadziła takie filtrowanie. Sąd stosownie zwrócił kopię lustrzaną policji, tak aby mogła zbadać i ocenić, czy poszczególne dane mogą zostać zajęte zgodnie z art. 203 i </w:t>
      </w:r>
      <w:proofErr w:type="spellStart"/>
      <w:r w:rsidR="00263167">
        <w:t>nast.</w:t>
      </w:r>
      <w:r w:rsidR="008B7481">
        <w:t>K</w:t>
      </w:r>
      <w:r w:rsidR="00263167">
        <w:t>odeksu</w:t>
      </w:r>
      <w:proofErr w:type="spellEnd"/>
      <w:r w:rsidR="00263167">
        <w:t xml:space="preserve"> postępowania karnego (zob. pkt 29 poniżej).</w:t>
      </w:r>
    </w:p>
    <w:p w14:paraId="5E68B6B9" w14:textId="4400692D" w:rsidR="009C128A" w:rsidRDefault="00B23E9C">
      <w:pPr>
        <w:pStyle w:val="JuPara"/>
      </w:pPr>
      <w:fldSimple w:instr=" SEQ level0 \*arabic ">
        <w:r w:rsidR="00263167">
          <w:rPr>
            <w:noProof/>
          </w:rPr>
          <w:t>14</w:t>
        </w:r>
      </w:fldSimple>
      <w:r w:rsidR="00263167">
        <w:t xml:space="preserve">.  Skarżący wniósł odwołanie od postanowienia Sądu Rejonowego do Sądu Apelacyjnego </w:t>
      </w:r>
      <w:proofErr w:type="spellStart"/>
      <w:r w:rsidR="00263167">
        <w:t>Borgarting</w:t>
      </w:r>
      <w:proofErr w:type="spellEnd"/>
      <w:r w:rsidR="00263167">
        <w:t xml:space="preserve"> (</w:t>
      </w:r>
      <w:proofErr w:type="spellStart"/>
      <w:r w:rsidR="00263167">
        <w:rPr>
          <w:i/>
        </w:rPr>
        <w:t>lagmannsrett</w:t>
      </w:r>
      <w:proofErr w:type="spellEnd"/>
      <w:r w:rsidR="00263167">
        <w:t xml:space="preserve">). Zażądał również wstrzymania wykonania postanowienia Sądu Rejonowego do czasu </w:t>
      </w:r>
      <w:r w:rsidR="008B7481">
        <w:t xml:space="preserve">rozpoznania </w:t>
      </w:r>
      <w:r w:rsidR="00263167">
        <w:t>odwołania. Sąd Rejonowy oddalił to żądanie.</w:t>
      </w:r>
    </w:p>
    <w:p w14:paraId="7236C007" w14:textId="2F5C19E7" w:rsidR="009C128A" w:rsidRDefault="00B23E9C">
      <w:pPr>
        <w:pStyle w:val="JuPara"/>
      </w:pPr>
      <w:fldSimple w:instr=" SEQ level0 \*arabic ">
        <w:r w:rsidR="00263167">
          <w:rPr>
            <w:noProof/>
          </w:rPr>
          <w:t>15</w:t>
        </w:r>
      </w:fldSimple>
      <w:r w:rsidR="00263167">
        <w:t>.  W </w:t>
      </w:r>
      <w:r w:rsidR="008B7481">
        <w:t xml:space="preserve">swoim orzeczeniu </w:t>
      </w:r>
      <w:r w:rsidR="00263167">
        <w:t xml:space="preserve">z 12 czerwca 2017 r. Sąd Apelacyjny zwrócił wstępnie uwagę, że sprawa dotyczyła procedury przeglądu nośnika danych, który został już zajęty przez policję. Konkretnie organ prowadzący śledztwo, </w:t>
      </w:r>
      <w:r w:rsidR="008B7481">
        <w:t xml:space="preserve">odpowiednio </w:t>
      </w:r>
      <w:r w:rsidR="00263167">
        <w:t xml:space="preserve">do </w:t>
      </w:r>
      <w:r w:rsidR="008B7481">
        <w:t xml:space="preserve">paragrafu </w:t>
      </w:r>
      <w:r w:rsidR="00263167">
        <w:t xml:space="preserve">trzeciego art. 205 </w:t>
      </w:r>
      <w:r w:rsidR="008B7481">
        <w:t>K</w:t>
      </w:r>
      <w:r w:rsidR="00263167">
        <w:t xml:space="preserve">odeksu postępowania karnego (zob. pkt 29 poniżej), zażądał, aby Sąd Rejonowy przeprowadził badanie celem odfiltrowania danych objętych </w:t>
      </w:r>
      <w:r w:rsidR="008B7481">
        <w:t>PTZ</w:t>
      </w:r>
      <w:r w:rsidR="00263167">
        <w:t xml:space="preserve"> i tym samym niepodlegających zajęciu (co wiązałoby się z tym, że policja nie miałaby także prawa </w:t>
      </w:r>
      <w:r w:rsidR="008B7481">
        <w:t>przeszukiwać</w:t>
      </w:r>
      <w:r w:rsidR="00263167">
        <w:t xml:space="preserve"> danych, ewentualnie </w:t>
      </w:r>
      <w:r w:rsidR="008B7481">
        <w:t xml:space="preserve">decydując </w:t>
      </w:r>
      <w:r w:rsidR="00263167">
        <w:t xml:space="preserve">następnie o ich zajęciu); </w:t>
      </w:r>
      <w:r w:rsidR="00263167">
        <w:lastRenderedPageBreak/>
        <w:t>w sprawie nie postanowiono wcześniej o zajęciu</w:t>
      </w:r>
      <w:r w:rsidR="008566ED">
        <w:t xml:space="preserve">, a zatem </w:t>
      </w:r>
      <w:r w:rsidR="00263167">
        <w:t xml:space="preserve">skarżący nie domagał się </w:t>
      </w:r>
      <w:r w:rsidR="008566ED">
        <w:t>uchylenia</w:t>
      </w:r>
      <w:r w:rsidR="00263167">
        <w:t xml:space="preserve"> tego środka zgodnie z art. 208 (ibid.).</w:t>
      </w:r>
    </w:p>
    <w:p w14:paraId="3971D12B" w14:textId="36CBDC78" w:rsidR="009C128A" w:rsidRDefault="00B23E9C">
      <w:pPr>
        <w:pStyle w:val="JuPara"/>
      </w:pPr>
      <w:fldSimple w:instr=" SEQ level0 \*arabic ">
        <w:r w:rsidR="00263167">
          <w:rPr>
            <w:noProof/>
          </w:rPr>
          <w:t>16</w:t>
        </w:r>
      </w:fldSimple>
      <w:r w:rsidR="00263167">
        <w:t xml:space="preserve">.  Skarżący twierdził przede wszystkim, że na mocy pism wysłanych początkowo z Sądu Rejonowego w Oslo, w których to pismach </w:t>
      </w:r>
      <w:r w:rsidR="00F600BA">
        <w:t>s</w:t>
      </w:r>
      <w:r w:rsidR="00263167">
        <w:t xml:space="preserve">ąd </w:t>
      </w:r>
      <w:r w:rsidR="00CB22CC">
        <w:t>stwierdził</w:t>
      </w:r>
      <w:r w:rsidR="00263167">
        <w:t xml:space="preserve">, </w:t>
      </w:r>
      <w:r w:rsidR="00CB22CC">
        <w:t>że jest</w:t>
      </w:r>
      <w:r w:rsidR="00263167">
        <w:t xml:space="preserve"> właściw</w:t>
      </w:r>
      <w:r w:rsidR="00CB22CC">
        <w:t>y</w:t>
      </w:r>
      <w:r w:rsidR="00263167">
        <w:t xml:space="preserve"> do przeglądu kopii lustrzanej przy pomocy zewnętrznego technika, miał prawo do zastosowania </w:t>
      </w:r>
      <w:r w:rsidR="00CB22CC">
        <w:t xml:space="preserve">tej </w:t>
      </w:r>
      <w:r w:rsidR="00263167">
        <w:t xml:space="preserve">procedury. Sąd Apelacyjny uznał w tym względzie, że Sąd Rejonowy nie wydał żadnych </w:t>
      </w:r>
      <w:r w:rsidR="00CB22CC">
        <w:t>decyzji</w:t>
      </w:r>
      <w:r w:rsidR="00263167">
        <w:t xml:space="preserve">, na mocy których skarżący uzyskałby jakiekolwiek prawa </w:t>
      </w:r>
      <w:r w:rsidR="00CB22CC">
        <w:t>proceduralne</w:t>
      </w:r>
      <w:r w:rsidR="00263167">
        <w:t>. Tym samym na Sądzie Apelacyjnym ciążył obowiązek podjęcia decyzji co do właściwej procedury.</w:t>
      </w:r>
    </w:p>
    <w:p w14:paraId="5E722594" w14:textId="13961862" w:rsidR="009C128A" w:rsidRDefault="00B23E9C">
      <w:pPr>
        <w:pStyle w:val="JuPara"/>
      </w:pPr>
      <w:fldSimple w:instr=" SEQ level0 \*arabic ">
        <w:r w:rsidR="00263167">
          <w:rPr>
            <w:noProof/>
          </w:rPr>
          <w:t>17</w:t>
        </w:r>
      </w:fldSimple>
      <w:r w:rsidR="00263167">
        <w:t xml:space="preserve">.  Odnosząc się do kwestii właściwej procedury, Sąd Apelacyjny obrał jako punkt wyjścia pierwszy akapit art. 204 </w:t>
      </w:r>
      <w:r w:rsidR="00CB22CC">
        <w:t>K</w:t>
      </w:r>
      <w:r w:rsidR="00263167">
        <w:t xml:space="preserve">odeksu postępowania karnego, zgodnie z którym dokumenty, </w:t>
      </w:r>
      <w:r w:rsidR="00CB22CC">
        <w:t>c</w:t>
      </w:r>
      <w:r w:rsidR="00263167">
        <w:t>o</w:t>
      </w:r>
      <w:r w:rsidR="00CB22CC">
        <w:t xml:space="preserve"> do treści</w:t>
      </w:r>
      <w:r w:rsidR="00263167">
        <w:t xml:space="preserve"> których świadek ma prawo </w:t>
      </w:r>
      <w:r w:rsidR="00CB22CC">
        <w:t>odmowy składania zeznań</w:t>
      </w:r>
      <w:r w:rsidR="00263167">
        <w:t xml:space="preserve">, są zwolnione z zajęcia (zob. pkt 29 poniżej). Zgodnie z art. 119 sąd nie jest uprawniony przyjmować oświadczenia od prawników w sprawach, które zostały im powierzone </w:t>
      </w:r>
      <w:r w:rsidR="00A55B5A">
        <w:t>jako prawnikom</w:t>
      </w:r>
      <w:r w:rsidR="00263167">
        <w:t xml:space="preserve">. Sąd Apelacyjny zauważył, że rozmowy i wiadomości między prawnikami </w:t>
      </w:r>
      <w:r w:rsidR="00A55B5A">
        <w:t>i</w:t>
      </w:r>
      <w:r w:rsidR="00263167">
        <w:t xml:space="preserve"> ich klientami objęte są solidną ochroną na mocy </w:t>
      </w:r>
      <w:r w:rsidR="00A55B5A">
        <w:t>K</w:t>
      </w:r>
      <w:r w:rsidR="00263167">
        <w:t>odeksu postępowania karnego i art. 8 Konwencji.</w:t>
      </w:r>
    </w:p>
    <w:p w14:paraId="5C187921" w14:textId="6E03B49A" w:rsidR="009C128A" w:rsidRDefault="00B23E9C">
      <w:pPr>
        <w:pStyle w:val="JuPara"/>
      </w:pPr>
      <w:fldSimple w:instr=" SEQ level0 \*arabic ">
        <w:r w:rsidR="00263167">
          <w:rPr>
            <w:noProof/>
          </w:rPr>
          <w:t>18</w:t>
        </w:r>
      </w:fldSimple>
      <w:r w:rsidR="00263167">
        <w:t>.  Sąd Apelacyjny następnie rozważył właściwe orzecznictwo Sądu Najwyższego, szczególnie postanowienia z 27 marca 2013 r. (ogłoszone w </w:t>
      </w:r>
      <w:proofErr w:type="spellStart"/>
      <w:r w:rsidR="00263167">
        <w:rPr>
          <w:i/>
        </w:rPr>
        <w:t>Norsk</w:t>
      </w:r>
      <w:proofErr w:type="spellEnd"/>
      <w:r w:rsidR="00A55B5A">
        <w:rPr>
          <w:i/>
        </w:rPr>
        <w:t xml:space="preserve"> </w:t>
      </w:r>
      <w:proofErr w:type="spellStart"/>
      <w:r w:rsidR="00263167">
        <w:rPr>
          <w:i/>
        </w:rPr>
        <w:t>Retstidende</w:t>
      </w:r>
      <w:proofErr w:type="spellEnd"/>
      <w:r w:rsidR="00A55B5A">
        <w:rPr>
          <w:i/>
        </w:rPr>
        <w:t xml:space="preserve"> </w:t>
      </w:r>
      <w:r w:rsidR="00263167">
        <w:t>(</w:t>
      </w:r>
      <w:proofErr w:type="spellStart"/>
      <w:r w:rsidR="00263167">
        <w:rPr>
          <w:i/>
        </w:rPr>
        <w:t>Rt</w:t>
      </w:r>
      <w:proofErr w:type="spellEnd"/>
      <w:r w:rsidR="00263167">
        <w:t>) 2013-968); 11 października 2013 r. (Rt</w:t>
      </w:r>
      <w:r w:rsidR="00263167">
        <w:noBreakHyphen/>
        <w:t>2013</w:t>
      </w:r>
      <w:r w:rsidR="00263167">
        <w:noBreakHyphen/>
        <w:t>1282); 27 stycznia 2015 r. (Rt-2015-81) i 16 stycznia 2017 r. (zob. pkt 30–40 poniżej).</w:t>
      </w:r>
    </w:p>
    <w:p w14:paraId="31EBC314" w14:textId="1F345D07" w:rsidR="009C128A" w:rsidRDefault="00B23E9C">
      <w:pPr>
        <w:pStyle w:val="JuPara"/>
      </w:pPr>
      <w:fldSimple w:instr=" SEQ level0 \*arabic ">
        <w:r w:rsidR="00263167">
          <w:rPr>
            <w:noProof/>
          </w:rPr>
          <w:t>19</w:t>
        </w:r>
      </w:fldSimple>
      <w:r w:rsidR="00263167">
        <w:t xml:space="preserve">.  Jak zauważył Sąd Apelacyjny </w:t>
      </w:r>
      <w:r w:rsidR="00A55B5A">
        <w:t xml:space="preserve">niniejsza </w:t>
      </w:r>
      <w:r w:rsidR="00263167">
        <w:t>sprawa nie dotyczyła zajęcia dokumentów w kancelarii lub lokalu prawnika. Prawdopodobnym było niemniej, iż w kopii lustrzanej znajdowały się wiadomości okazjonalnie przesyłane między skarżącym a jego prawnikami. Wciąż brakowało informacji, czy takie wiadomości stanowiły znaczącą część danych zawartych w kopii.</w:t>
      </w:r>
    </w:p>
    <w:p w14:paraId="3CA792CF" w14:textId="1A3C1385" w:rsidR="009C128A" w:rsidRDefault="00B23E9C">
      <w:pPr>
        <w:pStyle w:val="JuPara"/>
      </w:pPr>
      <w:fldSimple w:instr=" SEQ level0 \*arabic ">
        <w:r w:rsidR="00263167">
          <w:rPr>
            <w:noProof/>
          </w:rPr>
          <w:t>20</w:t>
        </w:r>
      </w:fldSimple>
      <w:r w:rsidR="00263167">
        <w:t xml:space="preserve">.  Zdaniem Sądu Apelacyjnego to </w:t>
      </w:r>
      <w:r w:rsidR="00C83129">
        <w:t xml:space="preserve">przede wszystkim </w:t>
      </w:r>
      <w:r w:rsidR="00263167">
        <w:t xml:space="preserve">w kompetencji organu prowadzącego śledztwo leżało podjęcie decyzji o zajęciu, jak też jego głównym obowiązkiem było zapewnienie, aby nie zajęto danych zwolnionych z zajęcia na mocy </w:t>
      </w:r>
      <w:r w:rsidR="00C83129">
        <w:t>K</w:t>
      </w:r>
      <w:r w:rsidR="00263167">
        <w:t xml:space="preserve">odeksu postępowania karnego. Sąd stwierdził, że Sąd Najwyższy </w:t>
      </w:r>
      <w:r w:rsidR="00C83129">
        <w:t>w swoim orzeczeniu</w:t>
      </w:r>
      <w:r w:rsidR="00263167">
        <w:t xml:space="preserve"> z 16 stycznia 2017 r. </w:t>
      </w:r>
      <w:r w:rsidR="00C83129">
        <w:t xml:space="preserve">przeprowadził </w:t>
      </w:r>
      <w:r w:rsidR="00263167">
        <w:t>dokładn</w:t>
      </w:r>
      <w:r w:rsidR="00C83129">
        <w:t>ą</w:t>
      </w:r>
      <w:r w:rsidR="00263167">
        <w:t xml:space="preserve"> analiz</w:t>
      </w:r>
      <w:r w:rsidR="00C83129">
        <w:t>ę</w:t>
      </w:r>
      <w:r w:rsidR="00263167">
        <w:t xml:space="preserve"> właściwych źródeł prawa, w tym orzecznictwa niniejszego Trybunału dotyczącego art. 8 Konwencji.</w:t>
      </w:r>
    </w:p>
    <w:p w14:paraId="03B7E00D" w14:textId="62294D65" w:rsidR="009C128A" w:rsidRDefault="00B23E9C">
      <w:pPr>
        <w:pStyle w:val="JuPara"/>
      </w:pPr>
      <w:fldSimple w:instr=" SEQ level0 \*arabic ">
        <w:r w:rsidR="00263167">
          <w:rPr>
            <w:noProof/>
          </w:rPr>
          <w:t>21</w:t>
        </w:r>
      </w:fldSimple>
      <w:r w:rsidR="00263167">
        <w:t xml:space="preserve">.  Zdaniem Sądu Apelacyjnego Sąd Rejonowy doszedł do właściwego wniosku, iż </w:t>
      </w:r>
      <w:r w:rsidR="00C83129">
        <w:t xml:space="preserve">to </w:t>
      </w:r>
      <w:r w:rsidR="00263167">
        <w:t>organ prowadzący śledztwo miał kompetencje do przeglądu danych w kopii lustrzanej. W toku takiego badania organ prowadzący śledztwo musiałby odfiltrować dane, które mogłyby być zwolnione z zajęcia. Wszelkie takie dane należałoby zwrócić skarżącemu lub usunąć</w:t>
      </w:r>
      <w:r w:rsidR="00236ADE">
        <w:t>,</w:t>
      </w:r>
      <w:r w:rsidR="00263167">
        <w:t xml:space="preserve"> bez dalszego przegląd</w:t>
      </w:r>
      <w:r w:rsidR="00236ADE">
        <w:t>ania</w:t>
      </w:r>
      <w:r w:rsidR="00263167">
        <w:t xml:space="preserve">. Dane, w odniesieniu do których </w:t>
      </w:r>
      <w:proofErr w:type="spellStart"/>
      <w:r w:rsidR="00263167">
        <w:t>można</w:t>
      </w:r>
      <w:r w:rsidR="00236ADE">
        <w:t>by</w:t>
      </w:r>
      <w:proofErr w:type="spellEnd"/>
      <w:r w:rsidR="00263167">
        <w:t xml:space="preserve"> podnieść kwestię zwolnienia z zajęcia, należałoby przekazać </w:t>
      </w:r>
      <w:r w:rsidR="00236ADE">
        <w:t xml:space="preserve">bez badania </w:t>
      </w:r>
      <w:r w:rsidR="00263167">
        <w:t xml:space="preserve">do Sądu </w:t>
      </w:r>
      <w:r w:rsidR="00263167">
        <w:lastRenderedPageBreak/>
        <w:t xml:space="preserve">Rejonowego, tak aby przeglądu mógł dokonać </w:t>
      </w:r>
      <w:r w:rsidR="00236ADE">
        <w:t>ten s</w:t>
      </w:r>
      <w:r w:rsidR="00263167">
        <w:t>ąd</w:t>
      </w:r>
      <w:r w:rsidR="00236ADE">
        <w:t>, zgodnie z zastosowanym odpowiednio</w:t>
      </w:r>
      <w:r w:rsidR="00263167">
        <w:t xml:space="preserve"> akapit</w:t>
      </w:r>
      <w:r w:rsidR="00236ADE">
        <w:t>em</w:t>
      </w:r>
      <w:r w:rsidR="00263167">
        <w:t xml:space="preserve"> trzeci</w:t>
      </w:r>
      <w:r w:rsidR="00236ADE">
        <w:t>m</w:t>
      </w:r>
      <w:r w:rsidR="00263167">
        <w:t xml:space="preserve"> art. 205 </w:t>
      </w:r>
      <w:r w:rsidR="00236ADE">
        <w:t>K</w:t>
      </w:r>
      <w:r w:rsidR="00263167">
        <w:t xml:space="preserve">odeksu postępowania karnego (zob. </w:t>
      </w:r>
      <w:r w:rsidR="00236ADE">
        <w:t>pkt </w:t>
      </w:r>
      <w:r w:rsidR="00263167">
        <w:t>29 poniżej).</w:t>
      </w:r>
    </w:p>
    <w:p w14:paraId="401B05D3" w14:textId="207072C1" w:rsidR="009C128A" w:rsidRDefault="00B23E9C">
      <w:pPr>
        <w:pStyle w:val="JuPara"/>
      </w:pPr>
      <w:fldSimple w:instr=" SEQ level0 \*arabic ">
        <w:r w:rsidR="00263167">
          <w:rPr>
            <w:noProof/>
          </w:rPr>
          <w:t>22</w:t>
        </w:r>
      </w:fldSimple>
      <w:r w:rsidR="00263167">
        <w:t xml:space="preserve">.  Co więcej, Sąd Apelacyjny zauważył, że zwolnienie z zajęcia wynikające z art. 204 i 119 </w:t>
      </w:r>
      <w:r w:rsidR="00482612">
        <w:t>K</w:t>
      </w:r>
      <w:r w:rsidR="00263167">
        <w:t>odeksu postępowania karnego (zob. pkt 29 poniżej) miało charakter bezwzględny,</w:t>
      </w:r>
      <w:r w:rsidR="00482612">
        <w:t xml:space="preserve"> i miało</w:t>
      </w:r>
      <w:r w:rsidR="00263167">
        <w:t xml:space="preserve"> zastosowanie niezależnie od właściciela danego przedmiotu. Tym samym fakt, że smartfon </w:t>
      </w:r>
      <w:r w:rsidR="00482612">
        <w:t xml:space="preserve">w niniejszej sprawie </w:t>
      </w:r>
      <w:r w:rsidR="00263167">
        <w:t>należał do pokrzywdzonego, a nie na przykład do oskarżonego, nie mógł prowadzić do innego wniosku niż ten, który wynikał z postanowienia Sądu Najwyższego z 16 stycznia 2017 r. (zob. pkt 30–40 poniżej).</w:t>
      </w:r>
    </w:p>
    <w:p w14:paraId="67BB44D8" w14:textId="096B3AD0" w:rsidR="009C128A" w:rsidRDefault="00B23E9C">
      <w:pPr>
        <w:pStyle w:val="JuPara"/>
      </w:pPr>
      <w:fldSimple w:instr=" SEQ level0 \*arabic ">
        <w:r w:rsidR="00263167">
          <w:rPr>
            <w:noProof/>
          </w:rPr>
          <w:t>23</w:t>
        </w:r>
      </w:fldSimple>
      <w:r w:rsidR="00263167">
        <w:t xml:space="preserve">.  Wreszcie Sąd Apelacyjny zważył, że postanowienie Sądu Rejonowego z 6 marca 2017 r. (zob. pkt 13 powyżej) oparte było na fakcie, że organ prowadzący śledztwo wstępnie przekazał kopię lustrzaną Sądowi Rejonowemu, tak aby ten mógł dokonać przeglądu danych w niej zawartych. Czyniąc to, Sąd Rejonowy nie podjął żadnej decyzji o ewentualnym zajęciu przedmiotów czy </w:t>
      </w:r>
      <w:r w:rsidR="00482612">
        <w:t xml:space="preserve">o szczegółach dotyczących </w:t>
      </w:r>
      <w:r w:rsidR="00263167">
        <w:t xml:space="preserve">ich badania. Tym samym takie kwestie wykraczały poza zakres postępowania odwoławczego. Sąd Apelacyjny niemniej jednak zważył, że nie wykazano, iż </w:t>
      </w:r>
      <w:r w:rsidR="00482612">
        <w:t>przeszukiwanie m</w:t>
      </w:r>
      <w:r w:rsidR="00FC7968">
        <w:t>o</w:t>
      </w:r>
      <w:r w:rsidR="00482612">
        <w:t>gł</w:t>
      </w:r>
      <w:r w:rsidR="00FC7968">
        <w:t>o</w:t>
      </w:r>
      <w:r w:rsidR="00482612">
        <w:t xml:space="preserve">by </w:t>
      </w:r>
      <w:r w:rsidR="00FC7968">
        <w:t xml:space="preserve">się </w:t>
      </w:r>
      <w:r w:rsidR="00263167">
        <w:t xml:space="preserve">odbywać </w:t>
      </w:r>
      <w:r w:rsidR="00FC7968">
        <w:t>jedynie</w:t>
      </w:r>
      <w:r w:rsidR="00263167">
        <w:t xml:space="preserve"> poprzez wyszukiwanie </w:t>
      </w:r>
      <w:r w:rsidR="00FC7968">
        <w:t xml:space="preserve">poszczególnych </w:t>
      </w:r>
      <w:r w:rsidR="00263167">
        <w:t xml:space="preserve">słów kluczowych. Należałoby jednak je przeprowadzić, aby ustalić, które dane podlegają zwolnieniu z zajęcia. Odniesiono się między innymi do postanowienia Sądu Najwyższego z 16 stycznia 2017 r., </w:t>
      </w:r>
      <w:r w:rsidR="00FC7968">
        <w:t>z</w:t>
      </w:r>
      <w:r w:rsidR="00263167">
        <w:t xml:space="preserve"> dalszym </w:t>
      </w:r>
      <w:r w:rsidR="00FC7968">
        <w:t xml:space="preserve">odniesieniem, </w:t>
      </w:r>
      <w:r w:rsidR="00263167">
        <w:t>między innymi</w:t>
      </w:r>
      <w:r w:rsidR="00FC7968">
        <w:t>,</w:t>
      </w:r>
      <w:r w:rsidR="00263167">
        <w:t xml:space="preserve"> do postanowienia w sprawie Rt-2015-81 (zob. pkt 30–40 poniżej).</w:t>
      </w:r>
    </w:p>
    <w:p w14:paraId="164D0077" w14:textId="77777777" w:rsidR="009C128A" w:rsidRDefault="00B23E9C">
      <w:pPr>
        <w:pStyle w:val="JuPara"/>
      </w:pPr>
      <w:fldSimple w:instr=" SEQ level0 \*arabic ">
        <w:r w:rsidR="00263167">
          <w:rPr>
            <w:noProof/>
          </w:rPr>
          <w:t>24</w:t>
        </w:r>
      </w:fldSimple>
      <w:r w:rsidR="00263167">
        <w:t>.  Mając powyższe na uwadze, Sąd Apelacyjny jednogłośnie odrzucił odwołanie.</w:t>
      </w:r>
    </w:p>
    <w:p w14:paraId="2317A196" w14:textId="71BBFEE6" w:rsidR="009C128A" w:rsidRDefault="00B23E9C">
      <w:pPr>
        <w:pStyle w:val="JuPara"/>
      </w:pPr>
      <w:fldSimple w:instr=" SEQ level0 \*arabic ">
        <w:r w:rsidR="00263167">
          <w:rPr>
            <w:noProof/>
          </w:rPr>
          <w:t>25</w:t>
        </w:r>
      </w:fldSimple>
      <w:r w:rsidR="00263167">
        <w:t xml:space="preserve">.  W dniu 25 czerwca 2017 r. skarżący wniósł odwołanie od postanowienia Sądu Apelacyjnego do Sądu Najwyższego. Zażądał również wstrzymania wykonania postanowienia Sądu Apelacyjnego do czasu </w:t>
      </w:r>
      <w:r w:rsidR="00FC7968">
        <w:t xml:space="preserve">rozpoznania </w:t>
      </w:r>
      <w:r w:rsidR="00263167">
        <w:t>odwołania. Sąd Rejonowy oddalił to żądanie.</w:t>
      </w:r>
    </w:p>
    <w:p w14:paraId="5C9EAE7D" w14:textId="67812B04" w:rsidR="009C128A" w:rsidRDefault="00B23E9C">
      <w:pPr>
        <w:pStyle w:val="JuPara"/>
      </w:pPr>
      <w:fldSimple w:instr=" SEQ level0 \*arabic ">
        <w:r w:rsidR="00263167">
          <w:rPr>
            <w:noProof/>
          </w:rPr>
          <w:t>26</w:t>
        </w:r>
      </w:fldSimple>
      <w:r w:rsidR="00263167">
        <w:t xml:space="preserve">.  W dniu 30 czerwca 2017 r. </w:t>
      </w:r>
      <w:r w:rsidR="002B2FA2">
        <w:t xml:space="preserve">komisja </w:t>
      </w:r>
      <w:r w:rsidR="00263167">
        <w:t>apelacyjn</w:t>
      </w:r>
      <w:r w:rsidR="002B2FA2">
        <w:t>a</w:t>
      </w:r>
      <w:r w:rsidR="00263167">
        <w:t xml:space="preserve"> przy Sądzie Najwyższym (</w:t>
      </w:r>
      <w:proofErr w:type="spellStart"/>
      <w:r w:rsidR="00263167">
        <w:rPr>
          <w:i/>
          <w:iCs/>
        </w:rPr>
        <w:t>Høyesteretts</w:t>
      </w:r>
      <w:proofErr w:type="spellEnd"/>
      <w:r w:rsidR="00263167">
        <w:rPr>
          <w:i/>
          <w:iCs/>
        </w:rPr>
        <w:t xml:space="preserve"> </w:t>
      </w:r>
      <w:proofErr w:type="spellStart"/>
      <w:r w:rsidR="00263167">
        <w:rPr>
          <w:i/>
          <w:iCs/>
        </w:rPr>
        <w:t>ankeutvalg</w:t>
      </w:r>
      <w:proofErr w:type="spellEnd"/>
      <w:r w:rsidR="00263167">
        <w:t>) w </w:t>
      </w:r>
      <w:r w:rsidR="002B2FA2">
        <w:t xml:space="preserve">orzeczeniu </w:t>
      </w:r>
      <w:proofErr w:type="spellStart"/>
      <w:r w:rsidR="002B2FA2">
        <w:t>podsumowujacym</w:t>
      </w:r>
      <w:proofErr w:type="spellEnd"/>
      <w:r w:rsidR="00263167">
        <w:t xml:space="preserve"> jednogłośnie stwierdził</w:t>
      </w:r>
      <w:r w:rsidR="002B2FA2">
        <w:t>a</w:t>
      </w:r>
      <w:r w:rsidR="00263167">
        <w:t>, iż odwołanie od postanowienia Sądu Apelacyjnego w sposób oczywisty nie miało szans na powodzenie i dlatego je odrzucił.</w:t>
      </w:r>
    </w:p>
    <w:p w14:paraId="4E98D7B0" w14:textId="5FD5676E" w:rsidR="009C128A" w:rsidRDefault="00B23E9C">
      <w:pPr>
        <w:pStyle w:val="JuPara"/>
      </w:pPr>
      <w:fldSimple w:instr=" SEQ level0 \*arabic ">
        <w:r w:rsidR="00263167">
          <w:rPr>
            <w:noProof/>
          </w:rPr>
          <w:t>27</w:t>
        </w:r>
      </w:fldSimple>
      <w:r w:rsidR="00263167">
        <w:t>.  Kopia lustrzana została następnie zwrócona policji celem przeszukania. W dalszym toku policja samodzielnie dokonała przeszukania, nie podlegając na tym etapie jakiejkolwiek kontroli ze strony sądu . Procedur</w:t>
      </w:r>
      <w:r w:rsidR="002B2FA2">
        <w:t>a została</w:t>
      </w:r>
      <w:r w:rsidR="00263167">
        <w:t xml:space="preserve"> opisa</w:t>
      </w:r>
      <w:r w:rsidR="002B2FA2">
        <w:t>na</w:t>
      </w:r>
      <w:r w:rsidR="00263167">
        <w:t xml:space="preserve"> </w:t>
      </w:r>
      <w:r w:rsidR="002B2FA2">
        <w:t xml:space="preserve">w sprawozdaniu </w:t>
      </w:r>
      <w:r w:rsidR="00263167">
        <w:t>funkcjonariusz</w:t>
      </w:r>
      <w:r w:rsidR="002B2FA2">
        <w:t>a</w:t>
      </w:r>
      <w:r w:rsidR="00263167">
        <w:t xml:space="preserve"> </w:t>
      </w:r>
      <w:r w:rsidR="002B2FA2">
        <w:t>P</w:t>
      </w:r>
      <w:r w:rsidR="00263167">
        <w:t>olicji E.S.R. z dnia 9 listopada 2017 r. W sprawozdaniu stwierdzono między innymi, co następuje:</w:t>
      </w:r>
    </w:p>
    <w:p w14:paraId="58975274" w14:textId="786597F7" w:rsidR="009C128A" w:rsidRDefault="00263167">
      <w:pPr>
        <w:pStyle w:val="JuQuot"/>
      </w:pPr>
      <w:r>
        <w:t xml:space="preserve">„Zajęcie było przedmiotem postępowania sądowego, jako że p. </w:t>
      </w:r>
      <w:proofErr w:type="spellStart"/>
      <w:r>
        <w:t>Saber</w:t>
      </w:r>
      <w:proofErr w:type="spellEnd"/>
      <w:r>
        <w:t xml:space="preserve"> [(skarżący)] twierdził, że w telefonie znajdują się dane zwolnione z zajęcia, w tym korespondencja prawna z </w:t>
      </w:r>
      <w:r w:rsidR="002B2FA2">
        <w:t xml:space="preserve">jego </w:t>
      </w:r>
      <w:r>
        <w:t xml:space="preserve">obrońcami, prawnikiem [Ø.S.] oraz prawnikiem [P.D.]. Ponadto dnia 30 września 2015 r. prawnik [S.E.] </w:t>
      </w:r>
      <w:r w:rsidR="002B2FA2">
        <w:t xml:space="preserve">została </w:t>
      </w:r>
      <w:r>
        <w:t>wyznaczon</w:t>
      </w:r>
      <w:r w:rsidR="002B2FA2">
        <w:t>a</w:t>
      </w:r>
      <w:r>
        <w:t xml:space="preserve"> </w:t>
      </w:r>
      <w:r w:rsidR="00702F66">
        <w:t>na</w:t>
      </w:r>
      <w:r w:rsidR="002B2FA2">
        <w:t xml:space="preserve"> pełnomocnik</w:t>
      </w:r>
      <w:r w:rsidR="00702F66">
        <w:t>a</w:t>
      </w:r>
      <w:r>
        <w:t xml:space="preserve"> p. </w:t>
      </w:r>
      <w:proofErr w:type="spellStart"/>
      <w:r>
        <w:t>Sabera</w:t>
      </w:r>
      <w:proofErr w:type="spellEnd"/>
      <w:r>
        <w:t xml:space="preserve"> jako pokrzywdzonego i okazało się również, że korespondencja z nią znajdowała się na telefonie p. </w:t>
      </w:r>
      <w:proofErr w:type="spellStart"/>
      <w:r>
        <w:t>Sabera</w:t>
      </w:r>
      <w:proofErr w:type="spellEnd"/>
      <w:r>
        <w:t>.</w:t>
      </w:r>
    </w:p>
    <w:p w14:paraId="40430BF9" w14:textId="6C83C468" w:rsidR="009C128A" w:rsidRDefault="00263167">
      <w:pPr>
        <w:pStyle w:val="JuQuot"/>
      </w:pPr>
      <w:r>
        <w:lastRenderedPageBreak/>
        <w:t xml:space="preserve">Opierając się na postanowieniach sądów, podjęto decyzję, </w:t>
      </w:r>
      <w:r w:rsidR="00702F66">
        <w:t>w porozumieniu</w:t>
      </w:r>
      <w:r>
        <w:t xml:space="preserve"> z [L.P.], osobą odpowiedzialną za oskarżenie (</w:t>
      </w:r>
      <w:proofErr w:type="spellStart"/>
      <w:r>
        <w:rPr>
          <w:i/>
        </w:rPr>
        <w:t>påtaleansvarlig</w:t>
      </w:r>
      <w:proofErr w:type="spellEnd"/>
      <w:r>
        <w:t>), iż korespondencja z wyżej wymienionymi prawnikami i kancelariami prawnymi winna zostać usunięta z kopii lustrzanej podlegającej badaniu policji. Postanowiono również, że jeżeli podczas badania zostanie ujawniony kontakt, który nie został przechwycony (</w:t>
      </w:r>
      <w:proofErr w:type="spellStart"/>
      <w:r>
        <w:rPr>
          <w:i/>
          <w:iCs/>
        </w:rPr>
        <w:t>fanget</w:t>
      </w:r>
      <w:proofErr w:type="spellEnd"/>
      <w:r>
        <w:rPr>
          <w:i/>
          <w:iCs/>
        </w:rPr>
        <w:t xml:space="preserve"> </w:t>
      </w:r>
      <w:proofErr w:type="spellStart"/>
      <w:r>
        <w:rPr>
          <w:i/>
          <w:iCs/>
        </w:rPr>
        <w:t>opp</w:t>
      </w:r>
      <w:proofErr w:type="spellEnd"/>
      <w:r>
        <w:rPr>
          <w:i/>
          <w:iCs/>
        </w:rPr>
        <w:t>)</w:t>
      </w:r>
      <w:r>
        <w:t>, nie będzie on badany.”</w:t>
      </w:r>
    </w:p>
    <w:p w14:paraId="672F3582" w14:textId="4D1F7EF5" w:rsidR="009C128A" w:rsidRDefault="00263167">
      <w:pPr>
        <w:pStyle w:val="JuPara"/>
      </w:pPr>
      <w:r>
        <w:t>W sprawozdaniu co więcej podano, że pracę związaną z odfiltrowywaniem korespondencji przeprowadził</w:t>
      </w:r>
      <w:r w:rsidR="00EB2480">
        <w:t>a</w:t>
      </w:r>
      <w:r>
        <w:t xml:space="preserve"> funkcjonariusz</w:t>
      </w:r>
      <w:r w:rsidR="00EB2480">
        <w:t>ka</w:t>
      </w:r>
      <w:r>
        <w:t xml:space="preserve"> </w:t>
      </w:r>
      <w:r w:rsidR="00EB2480">
        <w:t>P</w:t>
      </w:r>
      <w:r>
        <w:t>olicji A.K. w </w:t>
      </w:r>
      <w:r w:rsidR="00EB2480">
        <w:t xml:space="preserve">Sekcji </w:t>
      </w:r>
      <w:r>
        <w:t>Cyfrowej Policji (</w:t>
      </w:r>
      <w:proofErr w:type="spellStart"/>
      <w:r>
        <w:rPr>
          <w:i/>
          <w:iCs/>
        </w:rPr>
        <w:t>Seksjon</w:t>
      </w:r>
      <w:proofErr w:type="spellEnd"/>
      <w:r>
        <w:rPr>
          <w:i/>
          <w:iCs/>
        </w:rPr>
        <w:t xml:space="preserve"> for </w:t>
      </w:r>
      <w:proofErr w:type="spellStart"/>
      <w:r>
        <w:rPr>
          <w:i/>
          <w:iCs/>
        </w:rPr>
        <w:t>digitalt</w:t>
      </w:r>
      <w:proofErr w:type="spellEnd"/>
      <w:r>
        <w:rPr>
          <w:i/>
          <w:iCs/>
        </w:rPr>
        <w:t xml:space="preserve"> </w:t>
      </w:r>
      <w:proofErr w:type="spellStart"/>
      <w:r>
        <w:rPr>
          <w:i/>
          <w:iCs/>
        </w:rPr>
        <w:t>politiarbeid</w:t>
      </w:r>
      <w:proofErr w:type="spellEnd"/>
      <w:r>
        <w:t>), oraz określono metody zastosowane przez nią w tym celu.</w:t>
      </w:r>
    </w:p>
    <w:p w14:paraId="1924A534" w14:textId="4C56612F" w:rsidR="009C128A" w:rsidRDefault="00B23E9C">
      <w:pPr>
        <w:pStyle w:val="JuPara"/>
      </w:pPr>
      <w:fldSimple w:instr=" SEQ level0 \*arabic ">
        <w:r w:rsidR="00263167">
          <w:rPr>
            <w:noProof/>
          </w:rPr>
          <w:t>28</w:t>
        </w:r>
      </w:fldSimple>
      <w:r w:rsidR="00263167">
        <w:t>.  Strony nie poinformowały Trybunału o </w:t>
      </w:r>
      <w:r w:rsidR="00EB2480">
        <w:t xml:space="preserve">jakimkolwiek </w:t>
      </w:r>
      <w:r w:rsidR="00263167">
        <w:t>dalszym postępowaniu dotyczącym danych znajdujących się na smartfonie skarżącego czy dalszym postępowaniu w sprawie, w której skarżący był pokrzywdzonym. Postępowanie karne przeciwko skarżącemu zakończyło się jego uniewinnieniem 11 marca 2019 r.</w:t>
      </w:r>
    </w:p>
    <w:p w14:paraId="2DE281BA" w14:textId="77777777" w:rsidR="009C128A" w:rsidRDefault="00263167">
      <w:pPr>
        <w:pStyle w:val="JuHHead"/>
      </w:pPr>
      <w:r>
        <w:t>WŁAŚCIWE RAMY PRAWNE I PRAKTYKA</w:t>
      </w:r>
    </w:p>
    <w:p w14:paraId="65977B22" w14:textId="77777777" w:rsidR="009C128A" w:rsidRDefault="00263167">
      <w:pPr>
        <w:pStyle w:val="JuHA"/>
      </w:pPr>
      <w:r>
        <w:t>Kodeks postępowania karnego</w:t>
      </w:r>
    </w:p>
    <w:bookmarkStart w:id="4" w:name="AVSNITT_41"/>
    <w:bookmarkEnd w:id="4"/>
    <w:p w14:paraId="7F5BBAE3" w14:textId="28DB1C4C" w:rsidR="009C128A" w:rsidRDefault="00263167">
      <w:pPr>
        <w:pStyle w:val="JuPara"/>
        <w:rPr>
          <w:rFonts w:ascii="Times New Roman" w:eastAsia="Times New Roman" w:hAnsi="Times New Roman" w:cs="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Pr>
          <w:rFonts w:eastAsia="Times New Roman"/>
          <w:noProof/>
        </w:rPr>
        <w:t>29</w:t>
      </w:r>
      <w:r>
        <w:rPr>
          <w:rFonts w:eastAsia="Times New Roman"/>
        </w:rPr>
        <w:fldChar w:fldCharType="end"/>
      </w:r>
      <w:r>
        <w:t>.  W </w:t>
      </w:r>
      <w:r w:rsidR="00EB2480">
        <w:t>K</w:t>
      </w:r>
      <w:r>
        <w:t>odeksie postępowania karnego z 1981 roku (</w:t>
      </w:r>
      <w:proofErr w:type="spellStart"/>
      <w:r>
        <w:rPr>
          <w:i/>
          <w:iCs/>
        </w:rPr>
        <w:t>straffeprosessloven</w:t>
      </w:r>
      <w:proofErr w:type="spellEnd"/>
      <w:r>
        <w:t>)</w:t>
      </w:r>
      <w:r w:rsidR="00EB2480">
        <w:t>,</w:t>
      </w:r>
      <w:r>
        <w:t xml:space="preserve"> w wersji obowiązującej w okresie właściwym dla niniejszej sprawy</w:t>
      </w:r>
      <w:r w:rsidR="00EB2480">
        <w:t>,</w:t>
      </w:r>
      <w:r>
        <w:t xml:space="preserve"> znajdowały się następujące przepisy:</w:t>
      </w:r>
    </w:p>
    <w:p w14:paraId="7D1D9A1C" w14:textId="77777777" w:rsidR="009C128A" w:rsidRDefault="00263167">
      <w:pPr>
        <w:pStyle w:val="JuHArticle"/>
        <w:rPr>
          <w:rFonts w:ascii="Times New Roman" w:eastAsia="Times New Roman" w:hAnsi="Times New Roman" w:cs="Times New Roman"/>
        </w:rPr>
      </w:pPr>
      <w:r>
        <w:t>Artykuł 119</w:t>
      </w:r>
    </w:p>
    <w:p w14:paraId="73AE29EB" w14:textId="77777777" w:rsidR="009C128A" w:rsidRDefault="00263167">
      <w:pPr>
        <w:pStyle w:val="JuQuot"/>
        <w:rPr>
          <w:rFonts w:ascii="Times New Roman" w:eastAsia="Times New Roman" w:hAnsi="Times New Roman" w:cs="Times New Roman"/>
        </w:rPr>
      </w:pPr>
      <w:r>
        <w:t>„Bez zgody osoby uprawnionej do zachowania tajemnicy sąd nie może przyjmować żadnych oświadczeń od duchownych kościoła państwowego, księży i pastorów zarejestrowanych wspólnot wyznaniowych, prawników, obrońców w sprawach karnych, mediatorów w sprawach małżeńskich, lekarzy, psychologów, aptekarzy, położnych lub pielęgniarzy na temat czegokolwiek, co zostało im powierzone w związku z pełnieniem obowiązków służbowych. [...]</w:t>
      </w:r>
    </w:p>
    <w:p w14:paraId="7B8AFF0C" w14:textId="77777777" w:rsidR="009C128A" w:rsidRDefault="00263167">
      <w:pPr>
        <w:pStyle w:val="JuQuot"/>
        <w:rPr>
          <w:rFonts w:ascii="Times New Roman" w:eastAsia="Times New Roman" w:hAnsi="Times New Roman" w:cs="Times New Roman"/>
        </w:rPr>
      </w:pPr>
      <w:r>
        <w:t>Niniejszy zakaz nie ma zastosowania do oświadczeń potrzebnych do tego, aby zapobiec ukaraniu niewinnej osoby. [...]”</w:t>
      </w:r>
    </w:p>
    <w:p w14:paraId="1E67781B" w14:textId="77777777" w:rsidR="009C128A" w:rsidRDefault="00263167">
      <w:pPr>
        <w:pStyle w:val="JuHArticle"/>
        <w:rPr>
          <w:rFonts w:ascii="Times New Roman" w:eastAsia="Times New Roman" w:hAnsi="Times New Roman" w:cs="Times New Roman"/>
        </w:rPr>
      </w:pPr>
      <w:r>
        <w:t>Artykuł 203</w:t>
      </w:r>
    </w:p>
    <w:p w14:paraId="02776A52" w14:textId="77777777" w:rsidR="009C128A" w:rsidRDefault="00263167">
      <w:pPr>
        <w:pStyle w:val="JuQuot"/>
        <w:rPr>
          <w:rFonts w:ascii="Times New Roman" w:eastAsia="Times New Roman" w:hAnsi="Times New Roman" w:cs="Times New Roman"/>
        </w:rPr>
      </w:pPr>
      <w:r>
        <w:t>„Przedmioty, które zostaną uznane za istotne jako dowody, mogą zostać zajęte do czasu wejścia w życie prawomocnego wyroku. Niniejszy przepis stosuje się również do przedmiotów uznanych za podlegające konfiskacie lub żądaniu wydania ze strony pokrzywdzonego. [...]”</w:t>
      </w:r>
    </w:p>
    <w:p w14:paraId="3A367C58" w14:textId="77777777" w:rsidR="009C128A" w:rsidRDefault="00263167">
      <w:pPr>
        <w:pStyle w:val="JuHArticle"/>
        <w:rPr>
          <w:rFonts w:ascii="Times New Roman" w:eastAsia="Times New Roman" w:hAnsi="Times New Roman" w:cs="Times New Roman"/>
        </w:rPr>
      </w:pPr>
      <w:r>
        <w:t>Artykuł 204</w:t>
      </w:r>
    </w:p>
    <w:p w14:paraId="574D0A6B" w14:textId="42E0E9CD" w:rsidR="009C128A" w:rsidRDefault="00263167">
      <w:pPr>
        <w:pStyle w:val="JuQuot"/>
        <w:rPr>
          <w:rFonts w:ascii="Times New Roman" w:eastAsia="Times New Roman" w:hAnsi="Times New Roman" w:cs="Times New Roman"/>
        </w:rPr>
      </w:pPr>
      <w:r>
        <w:t xml:space="preserve">„Nie podlegają zajęciu </w:t>
      </w:r>
      <w:r w:rsidR="00D71260">
        <w:t xml:space="preserve">jakiekolwiek </w:t>
      </w:r>
      <w:r>
        <w:t xml:space="preserve">dokumenty i inne przedmioty, o których treści świadek ma prawo nie zeznawać na mocy art. 117–121 i 124–125 i które znajdują się w posiadaniu osoby mogącej odmówić składania zeznań lub mającej interes prawny w utrzymaniu ich w tajemnicy. O ile w konkretnych przypadkach objętych </w:t>
      </w:r>
      <w:r w:rsidR="00D71260">
        <w:t xml:space="preserve">niniejszymi </w:t>
      </w:r>
      <w:r>
        <w:lastRenderedPageBreak/>
        <w:t>przepisami może zostać nałożony obowiązek składania zeznań, stosuje się odpowiedni nakaz zajęcia dokumentów lub przedmiotów.</w:t>
      </w:r>
    </w:p>
    <w:p w14:paraId="4195A288" w14:textId="77777777" w:rsidR="009C128A" w:rsidRDefault="00263167">
      <w:pPr>
        <w:pStyle w:val="JuQuot"/>
        <w:rPr>
          <w:rFonts w:ascii="Times New Roman" w:eastAsia="Times New Roman" w:hAnsi="Times New Roman" w:cs="Times New Roman"/>
        </w:rPr>
      </w:pPr>
      <w:r>
        <w:t>Zakaz, o którym mowa w akapicie pierwszym, nie dotyczy dokumentów i innych przedmiotów zawierających informacje poufne, wymienianych między osobami podejrzanymi o współuczestnictwo w [danym] przestępstwie. Jednocześnie zakaz ten nie stanowi przeszkody w odebraniu dokumentów i innych przedmiotów bezprawnemu posiadaczowi, tak aby umożliwić przekazanie ich osobie uprawnionej do ich posiadania”.</w:t>
      </w:r>
    </w:p>
    <w:p w14:paraId="24891852" w14:textId="77777777" w:rsidR="009C128A" w:rsidRDefault="00263167">
      <w:pPr>
        <w:pStyle w:val="JuHArticle"/>
        <w:rPr>
          <w:rFonts w:ascii="Times New Roman" w:eastAsia="Times New Roman" w:hAnsi="Times New Roman" w:cs="Times New Roman"/>
        </w:rPr>
      </w:pPr>
      <w:r>
        <w:t>Artykuł 205</w:t>
      </w:r>
    </w:p>
    <w:p w14:paraId="3A76BE42" w14:textId="77777777" w:rsidR="009C128A" w:rsidRDefault="00263167">
      <w:pPr>
        <w:pStyle w:val="JuQuot"/>
        <w:rPr>
          <w:rFonts w:ascii="Times New Roman" w:eastAsia="Times New Roman" w:hAnsi="Times New Roman" w:cs="Times New Roman"/>
        </w:rPr>
      </w:pPr>
      <w:r>
        <w:t>„Postanowienie w przedmiocie zajęcia przedmiotu, którego posiadacz dobrowolnie nie wydaje, może podjąć organ prowadzący śledztwo. O ile to możliwe, należy sporządzić je w formie pisemnej i określić w nim charakter sprawy, cel zajęcia i jego zakres. Postanowienie ustne należy wydać w formie pisemnej najszybciej, jak to możliwe. Artykuł 200 akapit pierwszy stosuje się odpowiednio.</w:t>
      </w:r>
    </w:p>
    <w:p w14:paraId="786DB3DA" w14:textId="77777777" w:rsidR="009C128A" w:rsidRDefault="00263167">
      <w:pPr>
        <w:pStyle w:val="JuQuot"/>
        <w:rPr>
          <w:rFonts w:ascii="Times New Roman" w:eastAsia="Times New Roman" w:hAnsi="Times New Roman" w:cs="Times New Roman"/>
        </w:rPr>
      </w:pPr>
      <w:r>
        <w:t>Organ prowadzący śledztwo może skierować kwestię zajęcia do sądu, jeżeli uzna, że istnieją ku temu szczególne przesłanki. Zdania od drugiego do czwartego w akapicie pierwszym niniejszego artykułu, jak i przepisy art. 209 stosuje się odpowiednio do orzeczeń sądu dotyczących zajęcia. Przepisy akapitów pierwszego i trzeciego art. 208 również stosuje się w przypadku, gdy o zajęciu decyduje sąd zgodnie z niniejszym akapitem.</w:t>
      </w:r>
    </w:p>
    <w:p w14:paraId="2399B625" w14:textId="77777777" w:rsidR="009C128A" w:rsidRDefault="00263167">
      <w:pPr>
        <w:pStyle w:val="JuQuot"/>
        <w:rPr>
          <w:rFonts w:ascii="Times New Roman" w:eastAsia="Times New Roman" w:hAnsi="Times New Roman" w:cs="Times New Roman"/>
        </w:rPr>
      </w:pPr>
      <w:r>
        <w:t>Dokumenty i inne przedmioty, o których posiadacz ma prawo nie zeznawać, o ile nie zostanie do tego zobowiązany w drodze szczególnego nakazu sądowego, nie podlegają zajęciu bez nakazu sądowego, chyba że taki szczególny nakaz został już wydany. Jeżeli policja pragnie przedłożyć dokumenty sądowi, aby ten podjął decyzję o ich zajęciu, dokumenty należy przekazać w zamkniętej, zapieczętowanej kopercie w obecności przedstawiciela ich posiadacza”.</w:t>
      </w:r>
    </w:p>
    <w:p w14:paraId="5AED7E55" w14:textId="77777777" w:rsidR="009C128A" w:rsidRDefault="00263167">
      <w:pPr>
        <w:pStyle w:val="JuHArticle"/>
        <w:rPr>
          <w:rFonts w:ascii="Times New Roman" w:eastAsia="Times New Roman" w:hAnsi="Times New Roman" w:cs="Times New Roman"/>
        </w:rPr>
      </w:pPr>
      <w:r>
        <w:t>Artykuł 208</w:t>
      </w:r>
    </w:p>
    <w:p w14:paraId="64147B5D" w14:textId="77777777" w:rsidR="009C128A" w:rsidRDefault="00263167">
      <w:pPr>
        <w:pStyle w:val="JuQuot"/>
        <w:rPr>
          <w:rFonts w:ascii="Times New Roman" w:eastAsia="Times New Roman" w:hAnsi="Times New Roman" w:cs="Times New Roman"/>
        </w:rPr>
      </w:pPr>
      <w:r>
        <w:t>„Ktokolwiek, kogo dotyczy zajęcie, może niezwłocznie lub w późniejszym terminie zażądać, aby kwestia utrzymania zajęcia w mocy została poddana pod rozstrzygnięcie sądu. Organ prowadzący śledztwo zapewnia, aby każda taka osoba była poinformowana o rzeczonym prawie.</w:t>
      </w:r>
    </w:p>
    <w:p w14:paraId="00CD7BA0" w14:textId="77777777" w:rsidR="009C128A" w:rsidRDefault="00263167">
      <w:pPr>
        <w:pStyle w:val="JuQuot"/>
        <w:rPr>
          <w:rFonts w:ascii="Times New Roman" w:eastAsia="Times New Roman" w:hAnsi="Times New Roman" w:cs="Times New Roman"/>
        </w:rPr>
      </w:pPr>
      <w:r>
        <w:t>Przepis zawarty w pierwszym zdaniu akapitu pierwszego stosuje się odpowiednio w przypadku, gdy osoba, która dobrowolnie wydała przedmiot celem zajęcia, żąda jego zwrotu.</w:t>
      </w:r>
    </w:p>
    <w:p w14:paraId="660C5E9F" w14:textId="77777777" w:rsidR="009C128A" w:rsidRDefault="00263167">
      <w:pPr>
        <w:pStyle w:val="JuQuot"/>
        <w:rPr>
          <w:rFonts w:ascii="Times New Roman" w:eastAsia="Times New Roman" w:hAnsi="Times New Roman" w:cs="Times New Roman"/>
        </w:rPr>
      </w:pPr>
      <w:r>
        <w:t>Postanowienie sądu wydaje się w formie zarządzenia”.</w:t>
      </w:r>
    </w:p>
    <w:p w14:paraId="0396EE21" w14:textId="4976361D" w:rsidR="009C128A" w:rsidRDefault="00263167">
      <w:pPr>
        <w:pStyle w:val="JuHA"/>
      </w:pPr>
      <w:r>
        <w:t>Postanowienie Sądu Najwyższego z 16 stycznia 2017 r.</w:t>
      </w:r>
    </w:p>
    <w:p w14:paraId="503A2A4D" w14:textId="1267BB91" w:rsidR="009C128A" w:rsidRDefault="00B23E9C">
      <w:pPr>
        <w:pStyle w:val="JuPara"/>
      </w:pPr>
      <w:fldSimple w:instr=" SEQ level0 \*arabic ">
        <w:r w:rsidR="00263167">
          <w:rPr>
            <w:noProof/>
          </w:rPr>
          <w:t>30</w:t>
        </w:r>
      </w:fldSimple>
      <w:r w:rsidR="00263167">
        <w:t xml:space="preserve">.  W postanowieniu z 16 stycznia 2017 r. Sąd Najwyższy zbadał procedury regulujące przeszukanie obszernego zbioru wiadomości elektronicznych </w:t>
      </w:r>
      <w:r w:rsidR="00734FFE">
        <w:t>zatrzymanych u</w:t>
      </w:r>
      <w:r w:rsidR="00263167">
        <w:t xml:space="preserve"> oskarżonego. Rozstrzygnąwszy konkretną sprawę, Sąd Najwyższy podjął próbę ogólnego </w:t>
      </w:r>
      <w:r w:rsidR="00734FFE">
        <w:t>ob</w:t>
      </w:r>
      <w:r w:rsidR="00263167">
        <w:t xml:space="preserve">jaśnienia sposobu, w jaki pod względem proceduralnym należy postępować w sytuacjach, w których policja bada zajęte dane, </w:t>
      </w:r>
      <w:r w:rsidR="00734FFE">
        <w:t>tylko po to by odkryć</w:t>
      </w:r>
      <w:r w:rsidR="00263167">
        <w:t>, że zawierają one korespondencję z prawnikami.</w:t>
      </w:r>
    </w:p>
    <w:p w14:paraId="62759C4B" w14:textId="29DC70E0" w:rsidR="009C128A" w:rsidRDefault="00B23E9C">
      <w:pPr>
        <w:pStyle w:val="JuPara"/>
      </w:pPr>
      <w:fldSimple w:instr=" SEQ level0 \*arabic ">
        <w:r w:rsidR="00263167">
          <w:rPr>
            <w:noProof/>
          </w:rPr>
          <w:t>31</w:t>
        </w:r>
      </w:fldSimple>
      <w:r w:rsidR="00263167">
        <w:t xml:space="preserve">.  Sąd Najwyższy stwierdził, iż obrońca w badanej sprawie argumentował, że jeżeli policja natknie się na korespondencję z prawnikami w trakcie przeglądu danych, musi niezwłocznie zakończyć przegląd i przekazać wszystkie dane na </w:t>
      </w:r>
      <w:r w:rsidR="00734FFE">
        <w:t xml:space="preserve">przedmiotowych </w:t>
      </w:r>
      <w:r w:rsidR="00263167">
        <w:t>nośnikach danych do Sądu Rejonowego, tak aby</w:t>
      </w:r>
      <w:r w:rsidR="00940942">
        <w:t xml:space="preserve"> ten</w:t>
      </w:r>
      <w:r w:rsidR="00263167">
        <w:t xml:space="preserve"> sąd mógł oddzielić dane zwolnione z zajęcia od tych, które </w:t>
      </w:r>
      <w:r w:rsidR="00940942">
        <w:t xml:space="preserve">mogą podlegać </w:t>
      </w:r>
      <w:r w:rsidR="00263167">
        <w:t xml:space="preserve">przeszukaniu </w:t>
      </w:r>
      <w:r w:rsidR="00940942">
        <w:t>przez</w:t>
      </w:r>
      <w:r w:rsidR="00263167">
        <w:t xml:space="preserve"> organ prowadzą</w:t>
      </w:r>
      <w:r w:rsidR="00940942">
        <w:t>cy</w:t>
      </w:r>
      <w:r w:rsidR="00263167">
        <w:t xml:space="preserve"> śledztwo i ewentualnemu zajęciu, jeżeli zostałyby uznane za zawierające </w:t>
      </w:r>
      <w:r w:rsidR="00940942">
        <w:t xml:space="preserve">istotne </w:t>
      </w:r>
      <w:r w:rsidR="00263167">
        <w:t>dowody. Obrońca ponadto podniósł, że ta druga procedura musiałaby być zastosowana również w przypadku, gdy oskarżony twierdzi, iż w </w:t>
      </w:r>
      <w:r w:rsidR="00940942">
        <w:t xml:space="preserve">zatrzymanych </w:t>
      </w:r>
      <w:r w:rsidR="00263167">
        <w:t>materiałach znajdują się dane zwolnione z zajęcia.</w:t>
      </w:r>
    </w:p>
    <w:p w14:paraId="54F9DEA8" w14:textId="65FA2419" w:rsidR="009C128A" w:rsidRDefault="00B23E9C">
      <w:pPr>
        <w:pStyle w:val="JuPara"/>
      </w:pPr>
      <w:fldSimple w:instr=" SEQ level0 \*arabic ">
        <w:r w:rsidR="00263167">
          <w:rPr>
            <w:noProof/>
          </w:rPr>
          <w:t>32</w:t>
        </w:r>
      </w:fldSimple>
      <w:r w:rsidR="00263167">
        <w:t xml:space="preserve">.  Sąd Najwyższy nie przychylił się do stanowiska obrońcy. W opinii Sądu Najwyższego nie można ustanowić ogólnej zasady stanowiącej, iż każdy przypadek odkrycia danych </w:t>
      </w:r>
      <w:r w:rsidR="00940942">
        <w:t xml:space="preserve">niepodlegających </w:t>
      </w:r>
      <w:r w:rsidR="00263167">
        <w:t>zajęci</w:t>
      </w:r>
      <w:r w:rsidR="00940942">
        <w:t>u</w:t>
      </w:r>
      <w:r w:rsidR="00263167">
        <w:t xml:space="preserve"> lub stwierdzenia, że takie dane znajdują się w zgromadzonych materiałach, zawsze i automatycznie (</w:t>
      </w:r>
      <w:proofErr w:type="spellStart"/>
      <w:r w:rsidR="00263167">
        <w:rPr>
          <w:i/>
          <w:iCs/>
        </w:rPr>
        <w:t>uten</w:t>
      </w:r>
      <w:proofErr w:type="spellEnd"/>
      <w:r w:rsidR="00263167">
        <w:rPr>
          <w:i/>
          <w:iCs/>
        </w:rPr>
        <w:t xml:space="preserve"> </w:t>
      </w:r>
      <w:proofErr w:type="spellStart"/>
      <w:r w:rsidR="00263167">
        <w:rPr>
          <w:i/>
          <w:iCs/>
        </w:rPr>
        <w:t>videre</w:t>
      </w:r>
      <w:proofErr w:type="spellEnd"/>
      <w:r w:rsidR="00263167">
        <w:t>) prowadzi</w:t>
      </w:r>
      <w:r w:rsidR="00800B39">
        <w:t>łby</w:t>
      </w:r>
      <w:r w:rsidR="00263167">
        <w:t xml:space="preserve"> do tego, że organ prowadzący śledztwo musi</w:t>
      </w:r>
      <w:r w:rsidR="00800B39">
        <w:t>ałby</w:t>
      </w:r>
      <w:r w:rsidR="00263167">
        <w:t xml:space="preserve"> </w:t>
      </w:r>
      <w:r w:rsidR="00800B39">
        <w:t>zaprzestać przeglądu</w:t>
      </w:r>
      <w:r w:rsidR="00263167">
        <w:t xml:space="preserve"> zgromadzonych danych.</w:t>
      </w:r>
    </w:p>
    <w:p w14:paraId="10DFC513" w14:textId="406B1EED" w:rsidR="009C128A" w:rsidRDefault="00B23E9C">
      <w:pPr>
        <w:pStyle w:val="JuPara"/>
      </w:pPr>
      <w:fldSimple w:instr=" SEQ level0 \*arabic ">
        <w:r w:rsidR="00263167">
          <w:rPr>
            <w:noProof/>
          </w:rPr>
          <w:t>33</w:t>
        </w:r>
      </w:fldSimple>
      <w:r w:rsidR="00263167">
        <w:t xml:space="preserve">.  Zwrócono uwagę na fakt, że podstawowe kompetencje w zakresie </w:t>
      </w:r>
      <w:r w:rsidR="00800B39">
        <w:t xml:space="preserve">orzekania </w:t>
      </w:r>
      <w:r w:rsidR="00263167">
        <w:t xml:space="preserve">o zajęciu należą do organu prowadzącego śledztwo. Tym samym to organ prowadzący śledztwo był głównie odpowiedzialny za zapewnienie, aby nie dokonano zajęcia wykraczającego poza zakres dozwolony </w:t>
      </w:r>
      <w:r w:rsidR="00800B39">
        <w:t>Kodeksem</w:t>
      </w:r>
      <w:r w:rsidR="00263167">
        <w:t xml:space="preserve"> postępowania karnego. Z tego wywnioskowano, że </w:t>
      </w:r>
      <w:r w:rsidR="00800B39">
        <w:t xml:space="preserve">także to </w:t>
      </w:r>
      <w:r w:rsidR="00263167">
        <w:t xml:space="preserve">organ prowadzący śledztwo przede wszystkim </w:t>
      </w:r>
      <w:r w:rsidR="00800B39">
        <w:t>miał</w:t>
      </w:r>
      <w:r w:rsidR="00263167">
        <w:t xml:space="preserve"> prawo zbadać wszelkie zgromadzone dane, czego oczywistym warunkiem wstępnym było jednak to, że organ musiał odfiltrować i zwrócić lub usunąć </w:t>
      </w:r>
      <w:r w:rsidR="009F7536">
        <w:t>wszelkie</w:t>
      </w:r>
      <w:r w:rsidR="00263167">
        <w:t xml:space="preserve"> dane, których nie mógł </w:t>
      </w:r>
      <w:r w:rsidR="009F7536">
        <w:t xml:space="preserve">zgodnie z prawem </w:t>
      </w:r>
      <w:r w:rsidR="00263167">
        <w:t>przechowywać.</w:t>
      </w:r>
    </w:p>
    <w:p w14:paraId="73982EE9" w14:textId="4DC5B7B9" w:rsidR="009C128A" w:rsidRDefault="00B23E9C">
      <w:pPr>
        <w:pStyle w:val="JuPara"/>
      </w:pPr>
      <w:fldSimple w:instr=" SEQ level0 \*arabic ">
        <w:r w:rsidR="00263167">
          <w:rPr>
            <w:noProof/>
          </w:rPr>
          <w:t>34</w:t>
        </w:r>
      </w:fldSimple>
      <w:r w:rsidR="00050D1B">
        <w:rPr>
          <w:noProof/>
        </w:rPr>
        <w:t xml:space="preserve">. </w:t>
      </w:r>
      <w:r w:rsidR="00050D1B">
        <w:t>Podczas prac przygotowawczych nad</w:t>
      </w:r>
      <w:r w:rsidR="00263167">
        <w:t xml:space="preserve"> </w:t>
      </w:r>
      <w:r w:rsidR="00050D1B">
        <w:t>K</w:t>
      </w:r>
      <w:r w:rsidR="00263167">
        <w:t>odeks</w:t>
      </w:r>
      <w:r w:rsidR="00050D1B">
        <w:t>em</w:t>
      </w:r>
      <w:r w:rsidR="00263167">
        <w:t xml:space="preserve"> postępowania karnego stwierdzono, ż</w:t>
      </w:r>
      <w:r w:rsidR="00050D1B">
        <w:t>e</w:t>
      </w:r>
      <w:r w:rsidR="00263167">
        <w:t xml:space="preserve"> dokonując przeszukania, policja musi przejrzeć dokumenty, tak aby móc podjąć decyzję</w:t>
      </w:r>
      <w:r w:rsidR="00050D1B">
        <w:t>, czy powinny zostać zajęte</w:t>
      </w:r>
      <w:r w:rsidR="00263167">
        <w:t xml:space="preserve"> i że nieuniknionym jest, że może w </w:t>
      </w:r>
      <w:r w:rsidR="00050D1B">
        <w:t>związku z tym</w:t>
      </w:r>
      <w:r w:rsidR="00263167">
        <w:t xml:space="preserve"> przeglądać dokumenty niepodlegające zajęciu.</w:t>
      </w:r>
    </w:p>
    <w:p w14:paraId="304C85A6" w14:textId="44AE4141" w:rsidR="009C128A" w:rsidRDefault="00B23E9C">
      <w:pPr>
        <w:pStyle w:val="JuPara"/>
      </w:pPr>
      <w:fldSimple w:instr=" SEQ level0 \*arabic ">
        <w:r w:rsidR="00263167">
          <w:rPr>
            <w:noProof/>
          </w:rPr>
          <w:t>35</w:t>
        </w:r>
      </w:fldSimple>
      <w:r w:rsidR="00263167">
        <w:t xml:space="preserve">.  Sąd Najwyższy powtórzył, że w swoim postanowieniu z 27 marca 2013 r. (w sprawie Rt-2013-968) </w:t>
      </w:r>
      <w:r w:rsidR="00050D1B">
        <w:t>stwierdził, że</w:t>
      </w:r>
      <w:r w:rsidR="00263167">
        <w:t xml:space="preserve"> wyżej </w:t>
      </w:r>
      <w:r w:rsidR="00050D1B">
        <w:t xml:space="preserve">wspomniane tezy </w:t>
      </w:r>
      <w:r w:rsidR="00263167">
        <w:t xml:space="preserve">z prac przygotowawczych </w:t>
      </w:r>
      <w:r w:rsidR="00050D1B">
        <w:t>nie mogą mieć</w:t>
      </w:r>
      <w:r w:rsidR="00263167">
        <w:t xml:space="preserve"> zastosowania do sytuacji, w których dokonuje się przeszukania kancelarii prawnej i w których prawnik stwierdza, że dokumenty w kancelarii podlegają prawniczej tajemnicy zawodowej. W takich okolicznościach istniałoby domniemanie, że dokumenty i inne dane objęte są tajemnicą i należy je zatem przekazać Sądowi Rejonowemu bez uprzedniego przeglądu lub filtrowania.</w:t>
      </w:r>
    </w:p>
    <w:p w14:paraId="02B00574" w14:textId="44CB4B8F" w:rsidR="009C128A" w:rsidRDefault="00B23E9C">
      <w:pPr>
        <w:pStyle w:val="JuPara"/>
      </w:pPr>
      <w:fldSimple w:instr=" SEQ level0 \*arabic ">
        <w:r w:rsidR="00263167">
          <w:rPr>
            <w:noProof/>
          </w:rPr>
          <w:t>36</w:t>
        </w:r>
      </w:fldSimple>
      <w:r w:rsidR="00263167">
        <w:t>.  Zdaniem Sądu Najwyższego jednak procedur</w:t>
      </w:r>
      <w:r w:rsidR="00BD31F8">
        <w:t>y</w:t>
      </w:r>
      <w:r w:rsidR="00263167">
        <w:t xml:space="preserve"> ustanowionej w odniesieniu do przeszu</w:t>
      </w:r>
      <w:r w:rsidR="00BD31F8">
        <w:t>kania i zajęcia danych w</w:t>
      </w:r>
      <w:r w:rsidR="00263167">
        <w:t xml:space="preserve"> kancelari</w:t>
      </w:r>
      <w:r w:rsidR="00BD31F8">
        <w:t>ach</w:t>
      </w:r>
      <w:r w:rsidR="00263167">
        <w:t xml:space="preserve"> prawnych nie można przenieść na grunt jakiejkolwiek sytuacji, w której odkryto, że korespondencja prawnicza stanowi część większego zbioru danych, lub </w:t>
      </w:r>
      <w:r w:rsidR="00BD31F8">
        <w:t>gdy ktoś zarzucił</w:t>
      </w:r>
      <w:r w:rsidR="00263167">
        <w:t xml:space="preserve">, że </w:t>
      </w:r>
      <w:r w:rsidR="00BD31F8">
        <w:t xml:space="preserve">zajęte dane zawierają taką </w:t>
      </w:r>
      <w:r w:rsidR="00263167">
        <w:t>korespondencj</w:t>
      </w:r>
      <w:r w:rsidR="00BD31F8">
        <w:t>ę.</w:t>
      </w:r>
      <w:r w:rsidR="00263167">
        <w:t xml:space="preserve"> W takich </w:t>
      </w:r>
      <w:r w:rsidR="00263167">
        <w:lastRenderedPageBreak/>
        <w:t>sytuacjach</w:t>
      </w:r>
      <w:r w:rsidR="003771BD">
        <w:t>,</w:t>
      </w:r>
      <w:r w:rsidR="00263167">
        <w:t xml:space="preserve"> zdaniem Sądu Najwyższego</w:t>
      </w:r>
      <w:r w:rsidR="003771BD">
        <w:t>,</w:t>
      </w:r>
      <w:r w:rsidR="00263167">
        <w:t xml:space="preserve"> bardziej naturalnym byłoby stosowanie procedur opartych na wytycznych, które </w:t>
      </w:r>
      <w:r w:rsidR="003771BD">
        <w:t>wy</w:t>
      </w:r>
      <w:r w:rsidR="00263167">
        <w:t xml:space="preserve">pracował w odniesieniu do rozmów rejestrowanych </w:t>
      </w:r>
      <w:r w:rsidR="003771BD">
        <w:t>podczas inwigilacji</w:t>
      </w:r>
      <w:r w:rsidR="00263167">
        <w:t>.</w:t>
      </w:r>
    </w:p>
    <w:p w14:paraId="35CDE5F1" w14:textId="018EBC27" w:rsidR="009C128A" w:rsidRDefault="00B23E9C">
      <w:pPr>
        <w:pStyle w:val="JuPara"/>
      </w:pPr>
      <w:fldSimple w:instr=" SEQ level0 \*arabic ">
        <w:r w:rsidR="00263167">
          <w:rPr>
            <w:noProof/>
          </w:rPr>
          <w:t>37</w:t>
        </w:r>
      </w:fldSimple>
      <w:r w:rsidR="00263167">
        <w:t>.  Konkretnie w postanowieniu z 27 stycznia 2015 r. (w sprawie Rt-2015-81) Sąd Najwyższy wskazał, ż</w:t>
      </w:r>
      <w:r w:rsidR="003771BD">
        <w:t>e</w:t>
      </w:r>
      <w:r w:rsidR="00263167">
        <w:t xml:space="preserve"> w sytuacjach, w których organ prowadzący śledztwo </w:t>
      </w:r>
      <w:r w:rsidR="003771BD">
        <w:t>badając dane pochodzące z inwigilacji dowiedział się</w:t>
      </w:r>
      <w:r w:rsidR="00263167">
        <w:t>, że konwersacja dotyczy</w:t>
      </w:r>
      <w:r w:rsidR="003771BD">
        <w:t>ła</w:t>
      </w:r>
      <w:r w:rsidR="00263167">
        <w:t xml:space="preserve"> lub może dotyczyć prawnika i jego klienta, </w:t>
      </w:r>
      <w:r w:rsidR="003771BD">
        <w:t>nie mógł</w:t>
      </w:r>
      <w:r w:rsidR="00263167">
        <w:t xml:space="preserve"> samodzielnie słuchać rozmowy </w:t>
      </w:r>
      <w:r w:rsidR="003771BD">
        <w:t>ani</w:t>
      </w:r>
      <w:r w:rsidR="00263167">
        <w:t xml:space="preserve"> </w:t>
      </w:r>
      <w:r w:rsidR="003771BD">
        <w:t>czytać jej stenogramu</w:t>
      </w:r>
      <w:r w:rsidR="009B6ED8">
        <w:t xml:space="preserve"> w celu</w:t>
      </w:r>
      <w:r w:rsidR="00263167">
        <w:t xml:space="preserve"> ocen</w:t>
      </w:r>
      <w:r w:rsidR="009B6ED8">
        <w:t>y</w:t>
      </w:r>
      <w:r w:rsidR="00263167">
        <w:t xml:space="preserve">, czy rozmowa objęta jest </w:t>
      </w:r>
      <w:r w:rsidR="009B6ED8">
        <w:t>PTZ</w:t>
      </w:r>
      <w:r w:rsidR="00263167">
        <w:t>. Sąd Najwyższy stwierdził</w:t>
      </w:r>
      <w:r w:rsidR="009B6ED8">
        <w:t xml:space="preserve"> w</w:t>
      </w:r>
      <w:r w:rsidR="00263167">
        <w:t> tej sprawie</w:t>
      </w:r>
      <w:r w:rsidR="009B6ED8">
        <w:t>, że</w:t>
      </w:r>
      <w:r w:rsidR="00263167">
        <w:t xml:space="preserve"> system </w:t>
      </w:r>
      <w:r w:rsidR="009B6ED8">
        <w:t xml:space="preserve">wymagający </w:t>
      </w:r>
      <w:r w:rsidR="00263167">
        <w:t>przesłani</w:t>
      </w:r>
      <w:r w:rsidR="009B6ED8">
        <w:t>a</w:t>
      </w:r>
      <w:r w:rsidR="00263167">
        <w:t xml:space="preserve"> przedmiotowych danych w takich okolicznościach do sądu rejonowego celem ich zbadania byłby zgodny z art. 8 Konwencji. Nie określił, czy można byłoby zastosować inne rodzaje rozwiązań w zakresie filtrowania, które spełniałyby wymagania tego przepisu.</w:t>
      </w:r>
    </w:p>
    <w:p w14:paraId="36FB2E3D" w14:textId="3E8A6DA3" w:rsidR="009C128A" w:rsidRDefault="00B23E9C">
      <w:pPr>
        <w:pStyle w:val="JuPara"/>
      </w:pPr>
      <w:fldSimple w:instr=" SEQ level0 \*arabic ">
        <w:r w:rsidR="00263167">
          <w:rPr>
            <w:noProof/>
          </w:rPr>
          <w:t>38</w:t>
        </w:r>
      </w:fldSimple>
      <w:r w:rsidR="00263167">
        <w:t xml:space="preserve">.  Wracając do badanej sprawy dotyczącej wiadomości elektronicznych, Sąd Najwyższy przyjął, że rozwiązanie w zakresie filtrowania danych objętych </w:t>
      </w:r>
      <w:r w:rsidR="009B6ED8">
        <w:t>PTZ</w:t>
      </w:r>
      <w:r w:rsidR="00263167">
        <w:t xml:space="preserve"> oparte na wytycznych </w:t>
      </w:r>
      <w:r w:rsidR="00642E20">
        <w:t>wy</w:t>
      </w:r>
      <w:r w:rsidR="00263167">
        <w:t xml:space="preserve">pracowanych </w:t>
      </w:r>
      <w:r w:rsidR="00642E20">
        <w:t>odnośnie do</w:t>
      </w:r>
      <w:r w:rsidR="00263167">
        <w:t xml:space="preserve"> danych uzyskanych z </w:t>
      </w:r>
      <w:r w:rsidR="00642E20">
        <w:t>inwigilacji</w:t>
      </w:r>
      <w:r w:rsidR="00263167">
        <w:t xml:space="preserve">, zawartych w wyżej wspomnianym postanowieniu, spełniałoby wymagania wynikające z orzecznictwa Trybunału </w:t>
      </w:r>
      <w:r w:rsidR="00642E20">
        <w:t>dotyczącego</w:t>
      </w:r>
      <w:r w:rsidR="00263167">
        <w:t xml:space="preserve"> art. 8 Konwencji. Jeżeli przyjąć, że </w:t>
      </w:r>
      <w:r w:rsidR="00642E20">
        <w:t xml:space="preserve">to </w:t>
      </w:r>
      <w:r w:rsidR="00263167">
        <w:t xml:space="preserve">policja jako pierwsza przeglądała przedmiotowe dane, zadanie sądów krajowych ograniczałoby się do badania danych przekazanych </w:t>
      </w:r>
      <w:r w:rsidR="00642E20">
        <w:t xml:space="preserve">im </w:t>
      </w:r>
      <w:r w:rsidR="00263167">
        <w:t>przez policję.</w:t>
      </w:r>
    </w:p>
    <w:p w14:paraId="5D29A2EA" w14:textId="0D8DD32D" w:rsidR="009C128A" w:rsidRDefault="00B23E9C">
      <w:pPr>
        <w:pStyle w:val="JuPara"/>
      </w:pPr>
      <w:fldSimple w:instr=" SEQ level0 \*arabic ">
        <w:r w:rsidR="00263167">
          <w:rPr>
            <w:noProof/>
          </w:rPr>
          <w:t>39</w:t>
        </w:r>
      </w:fldSimple>
      <w:r w:rsidR="00263167">
        <w:t xml:space="preserve">.  Sąd Najwyższy wstrzymał się od określenia, jak policja mogłaby </w:t>
      </w:r>
      <w:r w:rsidR="00642E20">
        <w:t xml:space="preserve">sortować </w:t>
      </w:r>
      <w:r w:rsidR="00263167">
        <w:t>dane, czy to w badanej sprawie czy ogólnie, wskazując jedynie, że kryteria przeszukiwania danych powinny być dob</w:t>
      </w:r>
      <w:r w:rsidR="00642E20">
        <w:t>ie</w:t>
      </w:r>
      <w:r w:rsidR="00263167">
        <w:t xml:space="preserve">rane we współpracy z obrońcą lub </w:t>
      </w:r>
      <w:r w:rsidR="00642E20">
        <w:t xml:space="preserve">pełnomocnikiem </w:t>
      </w:r>
      <w:r w:rsidR="00263167">
        <w:t xml:space="preserve">wyznaczonym do ochrony interesów osób nieświadomych, że </w:t>
      </w:r>
      <w:r w:rsidR="00642E20">
        <w:t xml:space="preserve">przeprowadzono </w:t>
      </w:r>
      <w:r w:rsidR="00263167">
        <w:t>przeszuk</w:t>
      </w:r>
      <w:r w:rsidR="000D432E">
        <w:t>anie</w:t>
      </w:r>
      <w:r w:rsidR="00263167">
        <w:t>, w przypadku takiej procedury.</w:t>
      </w:r>
    </w:p>
    <w:p w14:paraId="215BD329" w14:textId="0FBBF141" w:rsidR="009C128A" w:rsidRDefault="00B23E9C">
      <w:pPr>
        <w:pStyle w:val="JuPara"/>
      </w:pPr>
      <w:fldSimple w:instr=" SEQ level0 \*arabic ">
        <w:r w:rsidR="00263167">
          <w:rPr>
            <w:noProof/>
          </w:rPr>
          <w:t>40</w:t>
        </w:r>
      </w:fldSimple>
      <w:r w:rsidR="00263167">
        <w:t xml:space="preserve">.  Wreszcie Sąd Najwyższy stwierdził, że istniejące regulacje prawne </w:t>
      </w:r>
      <w:r w:rsidR="000D432E">
        <w:t xml:space="preserve">nie </w:t>
      </w:r>
      <w:r w:rsidR="00263167">
        <w:t>były dostosowane do rozwoju technologicznego, który umożliwi</w:t>
      </w:r>
      <w:r w:rsidR="000D432E">
        <w:t>a</w:t>
      </w:r>
      <w:r w:rsidR="00263167">
        <w:t xml:space="preserve">ł zajmowanie obszernych zbiorów danych zapisanych przykładowo na komputerach, telefonach komórkowych czy </w:t>
      </w:r>
      <w:r w:rsidR="000D432E">
        <w:t>kartach pamięci</w:t>
      </w:r>
      <w:r w:rsidR="00263167">
        <w:t>. Sąd Najwyższy zauważył, że niektóre z tych trudności zostały omówione</w:t>
      </w:r>
      <w:r w:rsidR="00263167">
        <w:rPr>
          <w:i/>
        </w:rPr>
        <w:t xml:space="preserve"> </w:t>
      </w:r>
      <w:r w:rsidR="000D432E">
        <w:t>podczas </w:t>
      </w:r>
      <w:r w:rsidR="00263167">
        <w:t xml:space="preserve">prac przygotowawczych </w:t>
      </w:r>
      <w:r w:rsidR="000D432E">
        <w:t>nad projektem</w:t>
      </w:r>
      <w:r w:rsidR="00263167">
        <w:t xml:space="preserve"> nowego </w:t>
      </w:r>
      <w:r w:rsidR="000D432E">
        <w:t>K</w:t>
      </w:r>
      <w:r w:rsidR="00263167">
        <w:t xml:space="preserve">odeksu karnego </w:t>
      </w:r>
      <w:r w:rsidR="000D432E">
        <w:t xml:space="preserve">i </w:t>
      </w:r>
      <w:r w:rsidR="00263167">
        <w:t>jego zdaniem bardziej szczegółowe uregulowanie tej kwestii wyda</w:t>
      </w:r>
      <w:r w:rsidR="000D432E">
        <w:t>je</w:t>
      </w:r>
      <w:r w:rsidR="00263167">
        <w:t xml:space="preserve"> się właściwe (</w:t>
      </w:r>
      <w:proofErr w:type="spellStart"/>
      <w:r w:rsidR="00263167">
        <w:rPr>
          <w:i/>
        </w:rPr>
        <w:t>synes</w:t>
      </w:r>
      <w:proofErr w:type="spellEnd"/>
      <w:r w:rsidR="00263167">
        <w:rPr>
          <w:i/>
        </w:rPr>
        <w:t xml:space="preserve"> </w:t>
      </w:r>
      <w:proofErr w:type="spellStart"/>
      <w:r w:rsidR="00263167">
        <w:rPr>
          <w:i/>
        </w:rPr>
        <w:t>nærliggende</w:t>
      </w:r>
      <w:proofErr w:type="spellEnd"/>
      <w:r w:rsidR="00263167">
        <w:t>).</w:t>
      </w:r>
    </w:p>
    <w:p w14:paraId="5AC091CD" w14:textId="77777777" w:rsidR="009C128A" w:rsidRDefault="00263167">
      <w:pPr>
        <w:pStyle w:val="JuHHead"/>
      </w:pPr>
      <w:r>
        <w:t>PRAWO</w:t>
      </w:r>
    </w:p>
    <w:p w14:paraId="28A6515F" w14:textId="77777777" w:rsidR="009C128A" w:rsidRDefault="00263167">
      <w:pPr>
        <w:pStyle w:val="JuHIRoman"/>
      </w:pPr>
      <w:r>
        <w:t>ZARZUCANE NARUSZENIE ART. 8 KONWENCJI</w:t>
      </w:r>
    </w:p>
    <w:p w14:paraId="0F8C7292" w14:textId="23882F76" w:rsidR="009C128A" w:rsidRDefault="00B23E9C">
      <w:pPr>
        <w:pStyle w:val="JuPara"/>
      </w:pPr>
      <w:fldSimple w:instr=" SEQ level0 \*arabic ">
        <w:r w:rsidR="00263167">
          <w:rPr>
            <w:noProof/>
          </w:rPr>
          <w:t>41</w:t>
        </w:r>
      </w:fldSimple>
      <w:r w:rsidR="00263167">
        <w:t xml:space="preserve">.  Skarżący zarzucił, że </w:t>
      </w:r>
      <w:r w:rsidR="00D6081A">
        <w:t xml:space="preserve">zezwolenie policji </w:t>
      </w:r>
      <w:r w:rsidR="00263167">
        <w:t xml:space="preserve">na dokonanie wstępnego badania jego </w:t>
      </w:r>
      <w:proofErr w:type="spellStart"/>
      <w:r w:rsidR="00263167">
        <w:t>smartfona</w:t>
      </w:r>
      <w:proofErr w:type="spellEnd"/>
      <w:r w:rsidR="00263167">
        <w:t xml:space="preserve"> celem odfiltrowania danych, które mogą być </w:t>
      </w:r>
      <w:r w:rsidR="00263167">
        <w:lastRenderedPageBreak/>
        <w:t>zwolnione z zajęcia w związku z </w:t>
      </w:r>
      <w:r w:rsidR="00D6081A">
        <w:t>PTZ</w:t>
      </w:r>
      <w:r w:rsidR="00263167">
        <w:t>, stanowiło naruszenie art. 8 Konwencji, który stanowi:</w:t>
      </w:r>
    </w:p>
    <w:p w14:paraId="1A140257" w14:textId="77777777" w:rsidR="009C128A" w:rsidRDefault="00263167">
      <w:pPr>
        <w:pStyle w:val="JuQuot"/>
      </w:pPr>
      <w:r>
        <w:t>“1.  Każdy ma prawo do poszanowania swojego życia prywatnego i rodzinnego, swojego mieszkania i swojej korespondencji.</w:t>
      </w:r>
    </w:p>
    <w:p w14:paraId="0CAA7908" w14:textId="77777777" w:rsidR="009C128A" w:rsidRDefault="00263167">
      <w:pPr>
        <w:pStyle w:val="JuQuot"/>
      </w:pPr>
      <w: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14:paraId="02F1EEF1" w14:textId="77777777" w:rsidR="009C128A" w:rsidRDefault="00263167">
      <w:pPr>
        <w:pStyle w:val="JuHA"/>
      </w:pPr>
      <w:r>
        <w:t>Stanowiska stron</w:t>
      </w:r>
    </w:p>
    <w:p w14:paraId="16684E86" w14:textId="3A91956A" w:rsidR="009C128A" w:rsidRDefault="00B23E9C">
      <w:pPr>
        <w:pStyle w:val="JuPara"/>
      </w:pPr>
      <w:fldSimple w:instr=" SEQ level0 \*arabic ">
        <w:r w:rsidR="00263167">
          <w:rPr>
            <w:noProof/>
          </w:rPr>
          <w:t>42</w:t>
        </w:r>
      </w:fldSimple>
      <w:r w:rsidR="00263167">
        <w:t xml:space="preserve">.  Rząd </w:t>
      </w:r>
      <w:r w:rsidR="00D6081A">
        <w:t>zgodził się</w:t>
      </w:r>
      <w:r w:rsidR="00263167">
        <w:t xml:space="preserve">, że przeszukanie i zajęcie </w:t>
      </w:r>
      <w:proofErr w:type="spellStart"/>
      <w:r w:rsidR="00263167">
        <w:t>smartfona</w:t>
      </w:r>
      <w:proofErr w:type="spellEnd"/>
      <w:r w:rsidR="00263167">
        <w:t xml:space="preserve"> skarżącego stanowiło ingerencję w jego prawo do poszanowania korespondencji wynikające z art. 8 Konwencji.</w:t>
      </w:r>
    </w:p>
    <w:p w14:paraId="3A991C49" w14:textId="14B72FEE" w:rsidR="009C128A" w:rsidRDefault="00B23E9C">
      <w:pPr>
        <w:pStyle w:val="JuPara"/>
      </w:pPr>
      <w:fldSimple w:instr=" SEQ level0 \*arabic ">
        <w:r w:rsidR="00263167">
          <w:rPr>
            <w:noProof/>
          </w:rPr>
          <w:t>43</w:t>
        </w:r>
      </w:fldSimple>
      <w:r w:rsidR="00263167">
        <w:t xml:space="preserve">.  Odnosząc się do kwestii, czy ingerencja </w:t>
      </w:r>
      <w:r w:rsidR="00D6081A">
        <w:t xml:space="preserve">ta </w:t>
      </w:r>
      <w:r w:rsidR="00263167">
        <w:t>była przewidziana przez ustawę, Rząd utrzymywał, że przeszukanie i zajęcie miało podstawę prawną w </w:t>
      </w:r>
      <w:r w:rsidR="00D6081A">
        <w:t>K</w:t>
      </w:r>
      <w:r w:rsidR="00263167">
        <w:t xml:space="preserve">odeksie postępowania karnego i że prawo było dla skarżącego dostępne i przewidywalne. Stosowne przepisy </w:t>
      </w:r>
      <w:r w:rsidR="00D6081A">
        <w:t>K</w:t>
      </w:r>
      <w:r w:rsidR="00263167">
        <w:t>odeksu postępowania karnego sformułowano z wystarczającą dokładnością. Choć odpowiednich przepisów nie stosowano, tak jak w niniejszej sprawie, do czasu wydania przez Sąd Najwyższy postanowienia z </w:t>
      </w:r>
      <w:r w:rsidR="00D6081A">
        <w:t>1</w:t>
      </w:r>
      <w:r w:rsidR="00263167">
        <w:t xml:space="preserve">6 stycznia 2017 r., procedury </w:t>
      </w:r>
      <w:r w:rsidR="00D6081A">
        <w:t>opisane w tymże</w:t>
      </w:r>
      <w:r w:rsidR="00263167">
        <w:t xml:space="preserve"> postanowieniu nie stały w sprzeczności z </w:t>
      </w:r>
      <w:r w:rsidR="00DF55D0">
        <w:t xml:space="preserve">jakimkolwiek wcześniejszym </w:t>
      </w:r>
      <w:r w:rsidR="00263167">
        <w:t xml:space="preserve">orzecznictwem Sądu Najwyższego. Wykładnię prawa rozwinięto poprzez orzecznictwo i dla sądów krajowych istotne było to, aby umożliwić taki rozwój celem </w:t>
      </w:r>
      <w:r w:rsidR="00DF55D0">
        <w:t>zapewnienia, że prawo będzie stosowane prawidłowo</w:t>
      </w:r>
      <w:r w:rsidR="00263167">
        <w:t xml:space="preserve"> w przypadkach nieuregulowanych szczegółowo w odpowiednich przepisach. Było to szczególnie istotne w takiej sprawie jak niniejsza, w której przepisy nie regulowały omawianej kwestii z powodu nieprzewidzianego przez ustawodawcę rozwoju technologicznego.</w:t>
      </w:r>
    </w:p>
    <w:p w14:paraId="1EDEF071" w14:textId="5F413E2A" w:rsidR="009C128A" w:rsidRDefault="00B23E9C">
      <w:pPr>
        <w:pStyle w:val="JuPara"/>
      </w:pPr>
      <w:fldSimple w:instr=" SEQ level0 \*arabic ">
        <w:r w:rsidR="00263167">
          <w:rPr>
            <w:noProof/>
          </w:rPr>
          <w:t>44</w:t>
        </w:r>
      </w:fldSimple>
      <w:r w:rsidR="00263167">
        <w:t>.  Ponadto Rząd argumentował, że przeszukani</w:t>
      </w:r>
      <w:r w:rsidR="00DF55D0">
        <w:t>e</w:t>
      </w:r>
      <w:r w:rsidR="00263167">
        <w:t xml:space="preserve"> i zajęci</w:t>
      </w:r>
      <w:r w:rsidR="00DF55D0">
        <w:t>e</w:t>
      </w:r>
      <w:r w:rsidR="00263167">
        <w:t xml:space="preserve"> </w:t>
      </w:r>
      <w:proofErr w:type="spellStart"/>
      <w:r w:rsidR="00263167">
        <w:t>smartfona</w:t>
      </w:r>
      <w:proofErr w:type="spellEnd"/>
      <w:r w:rsidR="00263167">
        <w:t xml:space="preserve"> skarżącego </w:t>
      </w:r>
      <w:r w:rsidR="00DF55D0">
        <w:t>służyło</w:t>
      </w:r>
      <w:r w:rsidR="00263167">
        <w:t xml:space="preserve"> realizacji uzasadnionego celu, jakim jest zapobieganie zakłócaniu porządku i przestępczości i że był</w:t>
      </w:r>
      <w:r w:rsidR="00DF55D0">
        <w:t>o konieczne</w:t>
      </w:r>
      <w:r w:rsidR="00263167">
        <w:t xml:space="preserve"> do uzyskania dowodów w śledztwie, w którym skarżący był pokrzywdzonym. </w:t>
      </w:r>
      <w:r w:rsidR="00D17CB6">
        <w:t>Nadto</w:t>
      </w:r>
      <w:r w:rsidR="00263167">
        <w:t xml:space="preserve"> Rząd podniósł, że </w:t>
      </w:r>
      <w:r w:rsidR="00D17CB6">
        <w:t>K</w:t>
      </w:r>
      <w:r w:rsidR="00263167">
        <w:t xml:space="preserve">odeks postępowania karnego </w:t>
      </w:r>
      <w:r w:rsidR="00D17CB6">
        <w:t>zawiera odpowiednie</w:t>
      </w:r>
      <w:r w:rsidR="00263167">
        <w:t xml:space="preserve"> i skuteczne zabezpieczenia przed nadużyciami w odniesieniu do postanowień </w:t>
      </w:r>
      <w:r w:rsidR="00D17CB6">
        <w:t xml:space="preserve">o </w:t>
      </w:r>
      <w:r w:rsidR="00263167">
        <w:t>przeszukani</w:t>
      </w:r>
      <w:r w:rsidR="00D17CB6">
        <w:t>u</w:t>
      </w:r>
      <w:r w:rsidR="00263167">
        <w:t xml:space="preserve"> i zajęci</w:t>
      </w:r>
      <w:r w:rsidR="00D17CB6">
        <w:t>u</w:t>
      </w:r>
      <w:r w:rsidR="00263167">
        <w:t xml:space="preserve"> przedmiotów. Wstępnego odfiltrowania i usunięcia danych objętych </w:t>
      </w:r>
      <w:r w:rsidR="00D17CB6">
        <w:t>PTZ</w:t>
      </w:r>
      <w:r w:rsidR="00263167">
        <w:t xml:space="preserve"> dokonała funkcjonariusz</w:t>
      </w:r>
      <w:r w:rsidR="00D17CB6">
        <w:t>ka</w:t>
      </w:r>
      <w:r w:rsidR="00263167">
        <w:t xml:space="preserve"> </w:t>
      </w:r>
      <w:r w:rsidR="00D17CB6">
        <w:t>P</w:t>
      </w:r>
      <w:r w:rsidR="00263167">
        <w:t>olicji niezwiązana ze śledztwem w tej sprawie.</w:t>
      </w:r>
    </w:p>
    <w:p w14:paraId="69BAE34F" w14:textId="224E32EE" w:rsidR="009C128A" w:rsidRDefault="00B23E9C">
      <w:pPr>
        <w:pStyle w:val="JuPara"/>
      </w:pPr>
      <w:fldSimple w:instr=" SEQ level0 \*arabic ">
        <w:r w:rsidR="00263167">
          <w:rPr>
            <w:noProof/>
          </w:rPr>
          <w:t>45</w:t>
        </w:r>
      </w:fldSimple>
      <w:r w:rsidR="00263167">
        <w:t>.  Skarżący stwierdził, że postanowienie Sądu Najwyższego w </w:t>
      </w:r>
      <w:r w:rsidR="00D17CB6">
        <w:t xml:space="preserve">niniejszej </w:t>
      </w:r>
      <w:r w:rsidR="00263167">
        <w:t xml:space="preserve">sprawie stanowiło odejście od </w:t>
      </w:r>
      <w:r w:rsidR="00D17CB6">
        <w:t xml:space="preserve">ugruntowanej </w:t>
      </w:r>
      <w:r w:rsidR="00263167">
        <w:t xml:space="preserve">praktyki w zakresie odfiltrowywania danych objętych </w:t>
      </w:r>
      <w:r w:rsidR="00D17CB6">
        <w:t>PTZ</w:t>
      </w:r>
      <w:r w:rsidR="00263167">
        <w:t>, w związku z </w:t>
      </w:r>
      <w:r w:rsidR="00D17CB6">
        <w:t xml:space="preserve">czym </w:t>
      </w:r>
      <w:r w:rsidR="00263167">
        <w:t xml:space="preserve">nie mógł </w:t>
      </w:r>
      <w:r w:rsidR="00D17CB6">
        <w:t xml:space="preserve">on </w:t>
      </w:r>
      <w:r w:rsidR="00263167">
        <w:t>w rozsądnym stopniu przewidzieć konsekwencji</w:t>
      </w:r>
      <w:r w:rsidR="00D17CB6">
        <w:t>, a prawo nie było dla niego również dostępne.</w:t>
      </w:r>
    </w:p>
    <w:p w14:paraId="41AF39BF" w14:textId="23A03FB0" w:rsidR="009C128A" w:rsidRDefault="00B23E9C">
      <w:pPr>
        <w:pStyle w:val="JuPara"/>
      </w:pPr>
      <w:fldSimple w:instr=" SEQ level0 \*arabic ">
        <w:r w:rsidR="00263167">
          <w:rPr>
            <w:noProof/>
          </w:rPr>
          <w:t>46</w:t>
        </w:r>
      </w:fldSimple>
      <w:r w:rsidR="00263167">
        <w:t xml:space="preserve">.  Ponadto skarżący </w:t>
      </w:r>
      <w:r w:rsidR="00D17CB6">
        <w:t>podniósł</w:t>
      </w:r>
      <w:r w:rsidR="00263167">
        <w:t xml:space="preserve">, że </w:t>
      </w:r>
      <w:r w:rsidR="000674F2">
        <w:t xml:space="preserve">kwestionowany </w:t>
      </w:r>
      <w:r w:rsidR="00263167">
        <w:t xml:space="preserve">środek nie był konieczny w demokratycznym społeczeństwie z uwagi na fakt, iż właściwe ustawodawstwo i praktyka nie zapewniały mu odpowiednich i skutecznych zabezpieczeń przed nadużyciami. Skarżący utrzymywał, że sprawa dotyczyła nie zezwolenia sądowego udzielonego przed zajęciem danych, lecz procedury dotyczącej zajęcia zbioru danych częściowo obejmującego informacje zwolnione z zajęcia oraz </w:t>
      </w:r>
      <w:r w:rsidR="000674F2">
        <w:t xml:space="preserve">sposobu </w:t>
      </w:r>
      <w:r w:rsidR="00263167">
        <w:t>odfiltrowania tych informacji.</w:t>
      </w:r>
    </w:p>
    <w:p w14:paraId="7A472B60" w14:textId="77777777" w:rsidR="009C128A" w:rsidRDefault="00263167">
      <w:pPr>
        <w:pStyle w:val="JuHA"/>
      </w:pPr>
      <w:r>
        <w:t>Dopuszczalność</w:t>
      </w:r>
    </w:p>
    <w:p w14:paraId="1757FDA9" w14:textId="77777777" w:rsidR="009C128A" w:rsidRDefault="00B23E9C">
      <w:pPr>
        <w:pStyle w:val="JuPara"/>
      </w:pPr>
      <w:fldSimple w:instr=" SEQ level0 \*arabic ">
        <w:r w:rsidR="00263167">
          <w:rPr>
            <w:noProof/>
          </w:rPr>
          <w:t>47</w:t>
        </w:r>
      </w:fldSimple>
      <w:r w:rsidR="00263167">
        <w:t>.  Trybunał stwierdza, że skarga nie jest ani w sposób oczywisty nieuzasadniona, ani niedopuszczalna z innych powodów wymienionych w art. 35 Konwencji. Należy ją zatem uznać za dopuszczalną.</w:t>
      </w:r>
    </w:p>
    <w:p w14:paraId="25AAF292" w14:textId="55B7FF41" w:rsidR="009C128A" w:rsidRDefault="000674F2">
      <w:pPr>
        <w:pStyle w:val="JuHA"/>
      </w:pPr>
      <w:r>
        <w:t>Meritum</w:t>
      </w:r>
    </w:p>
    <w:p w14:paraId="2A288B08" w14:textId="4A9BE0E8" w:rsidR="009C128A" w:rsidRDefault="00B23E9C">
      <w:pPr>
        <w:pStyle w:val="JuPara"/>
      </w:pPr>
      <w:fldSimple w:instr=" SEQ level0 \*arabic ">
        <w:r w:rsidR="00263167">
          <w:rPr>
            <w:noProof/>
          </w:rPr>
          <w:t>48</w:t>
        </w:r>
      </w:fldSimple>
      <w:r w:rsidR="00263167">
        <w:t xml:space="preserve">.  Trybunał zauważa na wstępie, iż dla stron bezspornym jest, że przeszukanie </w:t>
      </w:r>
      <w:proofErr w:type="spellStart"/>
      <w:r w:rsidR="00263167">
        <w:t>smartfona</w:t>
      </w:r>
      <w:proofErr w:type="spellEnd"/>
      <w:r w:rsidR="00263167">
        <w:t xml:space="preserve"> skarżącego </w:t>
      </w:r>
      <w:r w:rsidR="001864C6">
        <w:t>i/</w:t>
      </w:r>
      <w:r w:rsidR="00263167">
        <w:t xml:space="preserve">lub jego kopii lustrzanej </w:t>
      </w:r>
      <w:r w:rsidR="001864C6">
        <w:t>stanowiło</w:t>
      </w:r>
      <w:r w:rsidR="00263167">
        <w:t xml:space="preserve"> ingerencj</w:t>
      </w:r>
      <w:r w:rsidR="001864C6">
        <w:t>ę</w:t>
      </w:r>
      <w:r w:rsidR="00263167">
        <w:t xml:space="preserve"> w jego prawo do poszanowania korespondencji wynikające z art. 8 ust. 1 Konwencji i uznaje, że </w:t>
      </w:r>
      <w:r w:rsidR="001864C6">
        <w:t>nie może to być kwestionowane</w:t>
      </w:r>
      <w:r w:rsidR="00263167">
        <w:t xml:space="preserve"> (zob. na przykład, </w:t>
      </w:r>
      <w:r w:rsidR="00263167">
        <w:rPr>
          <w:i/>
          <w:iCs/>
        </w:rPr>
        <w:t>mutatis mutandis</w:t>
      </w:r>
      <w:r w:rsidR="00263167">
        <w:t xml:space="preserve">, </w:t>
      </w:r>
      <w:r w:rsidR="00263167">
        <w:rPr>
          <w:i/>
          <w:iCs/>
        </w:rPr>
        <w:t>Laurent przeciwko Francji</w:t>
      </w:r>
      <w:r w:rsidR="00263167">
        <w:t>, nr 28798/13, pkt 36, 24 maja 2018 r.). Ponadto Trybunał zauważa, że przeszukani</w:t>
      </w:r>
      <w:r w:rsidR="001864C6">
        <w:t>e</w:t>
      </w:r>
      <w:r w:rsidR="00263167">
        <w:t xml:space="preserve"> </w:t>
      </w:r>
      <w:r w:rsidR="001864C6">
        <w:t>przeprowadzono u</w:t>
      </w:r>
      <w:r w:rsidR="00263167">
        <w:t xml:space="preserve"> skarżącego </w:t>
      </w:r>
      <w:r w:rsidR="001864C6">
        <w:t>jako</w:t>
      </w:r>
      <w:r w:rsidR="00263167">
        <w:t xml:space="preserve"> pokrzywdzonego w </w:t>
      </w:r>
      <w:r w:rsidR="001864C6">
        <w:t xml:space="preserve">odpowiednim </w:t>
      </w:r>
      <w:r w:rsidR="00263167">
        <w:t>śledztwie (zob. pkt 5 powyżej).</w:t>
      </w:r>
    </w:p>
    <w:p w14:paraId="706A6A06" w14:textId="01286D53" w:rsidR="009C128A" w:rsidRDefault="00B23E9C">
      <w:pPr>
        <w:pStyle w:val="JuPara"/>
      </w:pPr>
      <w:fldSimple w:instr=" SEQ level0 \*arabic ">
        <w:r w:rsidR="00263167">
          <w:rPr>
            <w:noProof/>
          </w:rPr>
          <w:t>49</w:t>
        </w:r>
      </w:fldSimple>
      <w:r w:rsidR="00263167">
        <w:t xml:space="preserve">.  Jeżeli chodzi o kwestię, czy ingerencja była przewidziana przez </w:t>
      </w:r>
      <w:r w:rsidR="001864C6">
        <w:t xml:space="preserve">prawo </w:t>
      </w:r>
      <w:r w:rsidR="00263167">
        <w:t xml:space="preserve">zgodnie z ustępem drugim </w:t>
      </w:r>
      <w:r w:rsidR="001864C6">
        <w:t xml:space="preserve">powyższego </w:t>
      </w:r>
      <w:r w:rsidR="00263167">
        <w:t xml:space="preserve">przepisu, Trybunał zauważa, że postanowienia </w:t>
      </w:r>
      <w:r w:rsidR="001864C6">
        <w:t>dotyczące</w:t>
      </w:r>
      <w:r w:rsidR="00263167">
        <w:t xml:space="preserve"> przeszukania jako takiego i ostatecznie </w:t>
      </w:r>
      <w:r w:rsidR="001864C6">
        <w:t xml:space="preserve">jakiekolwiek </w:t>
      </w:r>
      <w:r w:rsidR="00263167">
        <w:t>zajęci</w:t>
      </w:r>
      <w:r w:rsidR="001864C6">
        <w:t>e</w:t>
      </w:r>
      <w:r w:rsidR="00263167">
        <w:t xml:space="preserve"> danych ze </w:t>
      </w:r>
      <w:proofErr w:type="spellStart"/>
      <w:r w:rsidR="00263167">
        <w:t>smartfona</w:t>
      </w:r>
      <w:proofErr w:type="spellEnd"/>
      <w:r w:rsidR="00263167">
        <w:t xml:space="preserve"> skarżącego miały formalną podstawę prawną, mianowicie przepis</w:t>
      </w:r>
      <w:r w:rsidR="001864C6">
        <w:t>y</w:t>
      </w:r>
      <w:r w:rsidR="00263167">
        <w:t xml:space="preserve"> dotycząc</w:t>
      </w:r>
      <w:r w:rsidR="001864C6">
        <w:t>e</w:t>
      </w:r>
      <w:r w:rsidR="00263167">
        <w:t xml:space="preserve"> przeszukania w Rozdziale 15 i t</w:t>
      </w:r>
      <w:r w:rsidR="001864C6">
        <w:t>e</w:t>
      </w:r>
      <w:r w:rsidR="00263167">
        <w:t xml:space="preserve"> dotycząc</w:t>
      </w:r>
      <w:r w:rsidR="001864C6">
        <w:t>e</w:t>
      </w:r>
      <w:r w:rsidR="00263167">
        <w:t xml:space="preserve"> zajęcia w Rozdziale 16 </w:t>
      </w:r>
      <w:r w:rsidR="00F77A57">
        <w:t>K</w:t>
      </w:r>
      <w:r w:rsidR="00263167">
        <w:t xml:space="preserve">odeksu postępowania karnego (zob. pkt 29 powyżej). W zakresie, w jakim ustalono, że dostęp do korespondencji między skarżącym a jego prawnikami można było uzyskać </w:t>
      </w:r>
      <w:r w:rsidR="00F77A57">
        <w:t>poprzez</w:t>
      </w:r>
      <w:r w:rsidR="00263167">
        <w:t xml:space="preserve"> kopi</w:t>
      </w:r>
      <w:r w:rsidR="00F77A57">
        <w:t>ę</w:t>
      </w:r>
      <w:r w:rsidR="00263167">
        <w:t xml:space="preserve"> lustrzan</w:t>
      </w:r>
      <w:r w:rsidR="00F77A57">
        <w:t>ą</w:t>
      </w:r>
      <w:r w:rsidR="00263167">
        <w:t xml:space="preserve"> jego </w:t>
      </w:r>
      <w:proofErr w:type="spellStart"/>
      <w:r w:rsidR="00263167">
        <w:t>smartfona</w:t>
      </w:r>
      <w:proofErr w:type="spellEnd"/>
      <w:r w:rsidR="00263167">
        <w:t>, sedno sprawy dotyczyło jednak tego, czy przedmiotowe prawo było wystarczająco wysokiej jakości i </w:t>
      </w:r>
      <w:r w:rsidR="00F77A57">
        <w:t xml:space="preserve">zawierało </w:t>
      </w:r>
      <w:r w:rsidR="00263167">
        <w:t xml:space="preserve">odpowiednie gwarancje zapewniające nienaruszalność </w:t>
      </w:r>
      <w:r w:rsidR="00F77A57">
        <w:t>PTZ</w:t>
      </w:r>
      <w:r w:rsidR="00263167">
        <w:t xml:space="preserve"> </w:t>
      </w:r>
      <w:r w:rsidR="00F77A57">
        <w:t>podczas</w:t>
      </w:r>
      <w:r w:rsidR="00263167">
        <w:t xml:space="preserve"> przeszukania i zajęcia.</w:t>
      </w:r>
    </w:p>
    <w:bookmarkStart w:id="5" w:name="_Hlk55900330"/>
    <w:p w14:paraId="3D726A41" w14:textId="097FBD8C" w:rsidR="009C128A" w:rsidRDefault="00263167">
      <w:pPr>
        <w:pStyle w:val="JuPara"/>
      </w:pPr>
      <w:r>
        <w:fldChar w:fldCharType="begin"/>
      </w:r>
      <w:r>
        <w:instrText xml:space="preserve"> SEQ level0 \*arabic </w:instrText>
      </w:r>
      <w:r>
        <w:fldChar w:fldCharType="separate"/>
      </w:r>
      <w:r>
        <w:rPr>
          <w:noProof/>
        </w:rPr>
        <w:t>50</w:t>
      </w:r>
      <w:r>
        <w:fldChar w:fldCharType="end"/>
      </w:r>
      <w:r>
        <w:t xml:space="preserve">.  W tym kontekście Trybunał powtarza, że art. 8 ust. 2 Konwencji wymaga, aby dana ustawa była „zgodna z zasadą praworządności”. W kontekście przeszukania i zajęcia prawo krajowe musi zapewniać jednostce pewną ochronę przed arbitralną ingerencją w prawa wynikające z art. 8. Tym samym prawo krajowe musi być wystarczająco </w:t>
      </w:r>
      <w:r w:rsidR="00F77A57">
        <w:t>jasne w swojej terminologii</w:t>
      </w:r>
      <w:r>
        <w:t>, tak aby obywatelom odpowiednio wskazano okoliczności i warunki, w </w:t>
      </w:r>
      <w:r w:rsidR="00D07AB3">
        <w:t xml:space="preserve">jakich </w:t>
      </w:r>
      <w:r>
        <w:t xml:space="preserve">władza publiczna jest uprawniona do stosowania takich środków. Ponadto przeszukanie i zajęcie stanowią poważną ingerencję </w:t>
      </w:r>
      <w:r>
        <w:lastRenderedPageBreak/>
        <w:t>w </w:t>
      </w:r>
      <w:r w:rsidR="00D07AB3">
        <w:t>życie</w:t>
      </w:r>
      <w:r>
        <w:t xml:space="preserve"> prywatne, mieszkani</w:t>
      </w:r>
      <w:r w:rsidR="00D07AB3">
        <w:t>e</w:t>
      </w:r>
      <w:r>
        <w:t xml:space="preserve"> i korespondencj</w:t>
      </w:r>
      <w:r w:rsidR="00D07AB3">
        <w:t>ę</w:t>
      </w:r>
      <w:r>
        <w:t>, a </w:t>
      </w:r>
      <w:r w:rsidR="00D07AB3">
        <w:t>zatem</w:t>
      </w:r>
      <w:r>
        <w:t xml:space="preserve"> muszą być oparte na szczególnie precyzyjnie sformułowan</w:t>
      </w:r>
      <w:r w:rsidR="00D07AB3">
        <w:t>ym</w:t>
      </w:r>
      <w:r>
        <w:t xml:space="preserve"> „</w:t>
      </w:r>
      <w:r w:rsidR="00D07AB3">
        <w:t>prawie</w:t>
      </w:r>
      <w:r>
        <w:t xml:space="preserve">”. </w:t>
      </w:r>
      <w:r w:rsidR="00D07AB3">
        <w:t>Niezbędne jest posiadanie</w:t>
      </w:r>
      <w:r>
        <w:t xml:space="preserve"> </w:t>
      </w:r>
      <w:r w:rsidR="00D07AB3">
        <w:t>jasnych</w:t>
      </w:r>
      <w:r>
        <w:t>, szczegółow</w:t>
      </w:r>
      <w:r w:rsidR="00D07AB3">
        <w:t>ych</w:t>
      </w:r>
      <w:r>
        <w:t xml:space="preserve"> przepis</w:t>
      </w:r>
      <w:r w:rsidR="00D07AB3">
        <w:t>ów w tej materii</w:t>
      </w:r>
      <w:r>
        <w:t xml:space="preserve"> (zob. </w:t>
      </w:r>
      <w:proofErr w:type="spellStart"/>
      <w:r>
        <w:rPr>
          <w:i/>
        </w:rPr>
        <w:t>Sallinen</w:t>
      </w:r>
      <w:proofErr w:type="spellEnd"/>
      <w:r>
        <w:rPr>
          <w:i/>
        </w:rPr>
        <w:t xml:space="preserve"> i Inni przeciwko Finlandii</w:t>
      </w:r>
      <w:r>
        <w:t>, nr 50882/99, pkt 82 i 90, 27 września 2005 r.).</w:t>
      </w:r>
    </w:p>
    <w:bookmarkStart w:id="6" w:name="_Hlk55901612"/>
    <w:bookmarkEnd w:id="5"/>
    <w:p w14:paraId="6963260A" w14:textId="02F2F71A" w:rsidR="009C128A" w:rsidRDefault="00263167">
      <w:pPr>
        <w:pStyle w:val="JuPara"/>
      </w:pPr>
      <w:r>
        <w:fldChar w:fldCharType="begin"/>
      </w:r>
      <w:r>
        <w:instrText xml:space="preserve"> SEQ level0 \*arabic </w:instrText>
      </w:r>
      <w:r>
        <w:fldChar w:fldCharType="separate"/>
      </w:r>
      <w:r>
        <w:rPr>
          <w:noProof/>
        </w:rPr>
        <w:t>51</w:t>
      </w:r>
      <w:r>
        <w:fldChar w:fldCharType="end"/>
      </w:r>
      <w:r>
        <w:t xml:space="preserve">.  Co więcej, Trybunał uznał znaczenie szczególnych gwarancji proceduralnych w zakresie ochrony poufności korespondencji między prawnikami </w:t>
      </w:r>
      <w:r w:rsidR="00D07AB3">
        <w:t>i</w:t>
      </w:r>
      <w:r>
        <w:t xml:space="preserve"> ich klientami oraz </w:t>
      </w:r>
      <w:r w:rsidR="00D07AB3">
        <w:t>PTZ</w:t>
      </w:r>
      <w:r>
        <w:t xml:space="preserve"> (zob. między innymi </w:t>
      </w:r>
      <w:r>
        <w:rPr>
          <w:i/>
        </w:rPr>
        <w:t>Sommer przeciwko Niemcom</w:t>
      </w:r>
      <w:r>
        <w:t xml:space="preserve">, nr 73607/13, pkt 56, 27 kwietnia 2017 r. oraz </w:t>
      </w:r>
      <w:proofErr w:type="spellStart"/>
      <w:r>
        <w:rPr>
          <w:i/>
        </w:rPr>
        <w:t>Michaud</w:t>
      </w:r>
      <w:proofErr w:type="spellEnd"/>
      <w:r>
        <w:rPr>
          <w:i/>
        </w:rPr>
        <w:t xml:space="preserve"> przeciwko Francji</w:t>
      </w:r>
      <w:r>
        <w:t>, nr 12323/11, pkt 130, ETPC 2012). Podkreślił, że tajemnica zawodowa jest podstawą stosunku zaufani</w:t>
      </w:r>
      <w:r w:rsidR="00D07AB3">
        <w:t>a</w:t>
      </w:r>
      <w:r w:rsidR="005B36A7">
        <w:t xml:space="preserve"> istniejącego</w:t>
      </w:r>
      <w:r>
        <w:t xml:space="preserve"> między prawnikiem a jego klientem i że ochrona tajemnicy zawodowej jest w szczególności następstwem prawa klienta do nieobciążania siebie samego, w ramach którego zakłada się, że organy ścigania dążą do udowodnienia zarzutów, nie powołując się na dowody uzyskane metodami przymusu lub nacisku wbrew woli „</w:t>
      </w:r>
      <w:r w:rsidR="0064414B">
        <w:t xml:space="preserve">osoby </w:t>
      </w:r>
      <w:r>
        <w:t>oskarżone</w:t>
      </w:r>
      <w:r w:rsidR="0064414B">
        <w:t>j</w:t>
      </w:r>
      <w:r>
        <w:t xml:space="preserve">” (zob. na przykład </w:t>
      </w:r>
      <w:proofErr w:type="spellStart"/>
      <w:r>
        <w:rPr>
          <w:i/>
        </w:rPr>
        <w:t>André</w:t>
      </w:r>
      <w:proofErr w:type="spellEnd"/>
      <w:r>
        <w:rPr>
          <w:i/>
        </w:rPr>
        <w:t xml:space="preserve"> i Inni przeciwko Francji</w:t>
      </w:r>
      <w:r>
        <w:t xml:space="preserve">, nr 18603/03, pkt 41, 24 lipca 2008 r.). Jednakże we własnym orzecznictwie Trybunał odróżnił kwestię naruszenia art. 8 w odniesieniu do czynności dochodzeniowo-śledczych od kwestii </w:t>
      </w:r>
      <w:r w:rsidR="0064414B">
        <w:t xml:space="preserve">możliwych </w:t>
      </w:r>
      <w:r>
        <w:t xml:space="preserve">konsekwencji, jakie ustalenie takiego naruszenia może mieć </w:t>
      </w:r>
      <w:r w:rsidR="0064414B">
        <w:t xml:space="preserve">dla </w:t>
      </w:r>
      <w:r>
        <w:t xml:space="preserve">praw gwarantowanych na </w:t>
      </w:r>
      <w:r w:rsidR="0064414B">
        <w:t xml:space="preserve">mocy </w:t>
      </w:r>
      <w:r>
        <w:t>art. 6 (zob. między innymi</w:t>
      </w:r>
      <w:r w:rsidR="0064414B">
        <w:t xml:space="preserve">, </w:t>
      </w:r>
      <w:proofErr w:type="spellStart"/>
      <w:r>
        <w:rPr>
          <w:i/>
          <w:iCs/>
        </w:rPr>
        <w:t>Dragoș</w:t>
      </w:r>
      <w:proofErr w:type="spellEnd"/>
      <w:r>
        <w:rPr>
          <w:i/>
          <w:iCs/>
        </w:rPr>
        <w:t xml:space="preserve"> </w:t>
      </w:r>
      <w:proofErr w:type="spellStart"/>
      <w:r>
        <w:rPr>
          <w:i/>
          <w:iCs/>
        </w:rPr>
        <w:t>Ioan</w:t>
      </w:r>
      <w:proofErr w:type="spellEnd"/>
      <w:r>
        <w:rPr>
          <w:i/>
          <w:iCs/>
        </w:rPr>
        <w:t xml:space="preserve"> </w:t>
      </w:r>
      <w:proofErr w:type="spellStart"/>
      <w:r>
        <w:rPr>
          <w:i/>
          <w:iCs/>
        </w:rPr>
        <w:t>Rusu</w:t>
      </w:r>
      <w:proofErr w:type="spellEnd"/>
      <w:r>
        <w:rPr>
          <w:i/>
          <w:iCs/>
        </w:rPr>
        <w:t xml:space="preserve"> przeciwko Rumunii</w:t>
      </w:r>
      <w:r>
        <w:t>, nr 22767/08, pkt 52, 31 października 2017 r. i </w:t>
      </w:r>
      <w:proofErr w:type="spellStart"/>
      <w:r>
        <w:rPr>
          <w:i/>
          <w:iCs/>
        </w:rPr>
        <w:t>Dumitru</w:t>
      </w:r>
      <w:proofErr w:type="spellEnd"/>
      <w:r>
        <w:rPr>
          <w:i/>
          <w:iCs/>
        </w:rPr>
        <w:t xml:space="preserve"> </w:t>
      </w:r>
      <w:proofErr w:type="spellStart"/>
      <w:r>
        <w:rPr>
          <w:i/>
          <w:iCs/>
        </w:rPr>
        <w:t>Popescu</w:t>
      </w:r>
      <w:proofErr w:type="spellEnd"/>
      <w:r>
        <w:rPr>
          <w:i/>
          <w:iCs/>
        </w:rPr>
        <w:t xml:space="preserve"> przeciwko Rumunii</w:t>
      </w:r>
      <w:r>
        <w:t xml:space="preserve"> (nr 2), nr 71525/01, pkt 106, 26 kwietnia 2007 r. z dalszymi odniesieniami).</w:t>
      </w:r>
      <w:r>
        <w:rPr>
          <w:b/>
          <w:bCs/>
        </w:rPr>
        <w:t xml:space="preserve"> </w:t>
      </w:r>
      <w:r w:rsidR="0064414B">
        <w:t xml:space="preserve">Co więcej, </w:t>
      </w:r>
      <w:r>
        <w:t>Trybunał podkreśl</w:t>
      </w:r>
      <w:r w:rsidR="0064414B">
        <w:t>i</w:t>
      </w:r>
      <w:r>
        <w:t>ł, że w interesie ogólnym wyraźnie leży, aby każda osoba, która chce się skonsultować z </w:t>
      </w:r>
      <w:r w:rsidR="0064414B">
        <w:t>prawnikiem</w:t>
      </w:r>
      <w:r>
        <w:t>, mogła to uczynić w warunkach sprzyjających pełnej i nieskrępowanej dyskusji i </w:t>
      </w:r>
      <w:r w:rsidR="0054500E">
        <w:t xml:space="preserve">że właśnie </w:t>
      </w:r>
      <w:r>
        <w:t xml:space="preserve">z tego powodu </w:t>
      </w:r>
      <w:r w:rsidR="0054500E">
        <w:t>relacja prawnik - klient</w:t>
      </w:r>
      <w:r>
        <w:t xml:space="preserve"> podlega z zasady ochronie. Nie ograniczył tego stwierdzenia do </w:t>
      </w:r>
      <w:r w:rsidR="0054500E">
        <w:t xml:space="preserve">kwestii </w:t>
      </w:r>
      <w:r>
        <w:t xml:space="preserve">związanych </w:t>
      </w:r>
      <w:r w:rsidR="0054500E">
        <w:t xml:space="preserve">tylko </w:t>
      </w:r>
      <w:r>
        <w:t xml:space="preserve">z toczącymi się </w:t>
      </w:r>
      <w:r w:rsidR="0054500E">
        <w:t xml:space="preserve">postępowaniami sądowymi </w:t>
      </w:r>
      <w:r>
        <w:t xml:space="preserve">i podkreślił, że </w:t>
      </w:r>
      <w:r w:rsidR="0054500E">
        <w:t xml:space="preserve">zarówno </w:t>
      </w:r>
      <w:r>
        <w:t>w kontekście pomocy w sprawie cywilnej lub karnej</w:t>
      </w:r>
      <w:r w:rsidR="0054500E">
        <w:t>, jak i w kontekście</w:t>
      </w:r>
      <w:r>
        <w:t xml:space="preserve"> ogólnego doradztwa prawnego</w:t>
      </w:r>
      <w:r w:rsidR="0054500E">
        <w:t>,</w:t>
      </w:r>
      <w:r>
        <w:t xml:space="preserve"> jednostki korzystające z usług prawnika mogą zasadnie oczekiwać, że ich komunikacja jest prywatna i poufna (zob. na przykład </w:t>
      </w:r>
      <w:proofErr w:type="spellStart"/>
      <w:r>
        <w:rPr>
          <w:i/>
          <w:iCs/>
        </w:rPr>
        <w:t>Altay</w:t>
      </w:r>
      <w:proofErr w:type="spellEnd"/>
      <w:r>
        <w:rPr>
          <w:i/>
          <w:iCs/>
        </w:rPr>
        <w:t xml:space="preserve"> przeciwko Turcji (nr 2)</w:t>
      </w:r>
      <w:r>
        <w:t>, nr 11236/06, pkt 49–51, 9 kwietnia 2019 r. i odniesienia zawarte w tym wyroku).</w:t>
      </w:r>
    </w:p>
    <w:bookmarkEnd w:id="6"/>
    <w:p w14:paraId="1BB73317" w14:textId="639E4270" w:rsidR="009C128A" w:rsidRDefault="00263167">
      <w:pPr>
        <w:pStyle w:val="JuPara"/>
      </w:pPr>
      <w:r>
        <w:fldChar w:fldCharType="begin"/>
      </w:r>
      <w:r>
        <w:instrText xml:space="preserve"> SEQ level0 \*arabic </w:instrText>
      </w:r>
      <w:r>
        <w:fldChar w:fldCharType="separate"/>
      </w:r>
      <w:r>
        <w:rPr>
          <w:noProof/>
        </w:rPr>
        <w:t>52</w:t>
      </w:r>
      <w:r>
        <w:fldChar w:fldCharType="end"/>
      </w:r>
      <w:r>
        <w:t>.  Przechodząc do okoliczności niniejszej sprawy, Trybunał przede wszystkim zauważa, że istniała zgod</w:t>
      </w:r>
      <w:r w:rsidR="0054500E">
        <w:t>a</w:t>
      </w:r>
      <w:r>
        <w:t xml:space="preserve"> co do tego, że kopia lustrzana </w:t>
      </w:r>
      <w:proofErr w:type="spellStart"/>
      <w:r>
        <w:t>smartfona</w:t>
      </w:r>
      <w:proofErr w:type="spellEnd"/>
      <w:r>
        <w:t xml:space="preserve"> skarżącego zawierała korespondencję między nim a jego prawnikami (zob. pkt 6 powyżej). Zauważa również, że w </w:t>
      </w:r>
      <w:r w:rsidR="00D30F24">
        <w:t>K</w:t>
      </w:r>
      <w:r>
        <w:t xml:space="preserve">odeksie postępowania karnego nie zawarto </w:t>
      </w:r>
      <w:r w:rsidR="00D30F24">
        <w:t xml:space="preserve">jakichkolwiek </w:t>
      </w:r>
      <w:r>
        <w:t xml:space="preserve">wyraźnych przepisów, które pierwotnie miałyby określać sposób działania w takich sytuacjach, </w:t>
      </w:r>
      <w:r w:rsidR="00D30F24">
        <w:t xml:space="preserve">w których zagrożona </w:t>
      </w:r>
      <w:r>
        <w:t xml:space="preserve">jest </w:t>
      </w:r>
      <w:r w:rsidR="00D30F24">
        <w:t>PTZ</w:t>
      </w:r>
      <w:r>
        <w:t xml:space="preserve">. </w:t>
      </w:r>
      <w:r w:rsidR="00D30F24">
        <w:t>Istniał jednak</w:t>
      </w:r>
      <w:r>
        <w:t xml:space="preserve"> wstępne</w:t>
      </w:r>
      <w:r w:rsidR="00D30F24">
        <w:t xml:space="preserve"> </w:t>
      </w:r>
      <w:r>
        <w:t>porozumieni</w:t>
      </w:r>
      <w:r w:rsidR="00D30F24">
        <w:t>e pomiędzy policją i skarżącym</w:t>
      </w:r>
      <w:r>
        <w:t xml:space="preserve">, że aby zapewnić nienaruszalność </w:t>
      </w:r>
      <w:r w:rsidR="00D30F24">
        <w:t>PTZ</w:t>
      </w:r>
      <w:r>
        <w:t>, dane w kopii lustrzanej mus</w:t>
      </w:r>
      <w:r w:rsidR="00D30F24">
        <w:t>iały</w:t>
      </w:r>
      <w:r>
        <w:t xml:space="preserve"> zostać odfiltrowane przez Sąd Rejonowy, a </w:t>
      </w:r>
      <w:r w:rsidR="00D30F24">
        <w:t xml:space="preserve">wszelkie </w:t>
      </w:r>
      <w:r>
        <w:t xml:space="preserve">dane objęte </w:t>
      </w:r>
      <w:r w:rsidR="00D30F24">
        <w:t>PTZ</w:t>
      </w:r>
      <w:r>
        <w:t xml:space="preserve"> usunięte, zanim policja przeszuka pozostałe dane. Podstawą prawną tej procedury </w:t>
      </w:r>
      <w:r w:rsidR="00D30F24">
        <w:t>byłoby</w:t>
      </w:r>
      <w:r>
        <w:t xml:space="preserve"> zastosowanie w drodze analogii art. 205 </w:t>
      </w:r>
      <w:r w:rsidR="00A3736E">
        <w:rPr>
          <w:rFonts w:ascii="Times New Roman" w:hAnsi="Times New Roman" w:cs="Times New Roman"/>
        </w:rPr>
        <w:t>§</w:t>
      </w:r>
      <w:r w:rsidR="00A3736E">
        <w:t xml:space="preserve"> 3 </w:t>
      </w:r>
      <w:r w:rsidR="00A3736E">
        <w:lastRenderedPageBreak/>
        <w:t>K</w:t>
      </w:r>
      <w:r>
        <w:t xml:space="preserve">odeksu postępowania karnego (zob. pkt 6 i 29 powyżej). Sąd Rejonowy zdaje się podzielać to rozumowanie i podjął odpowiednie kroki w celu odfiltrowania danych (zob. pkt 6–7 powyżej). Niemniej jednak wobec braku wyraźnych i szczegółowych przepisów w tym zakresie doszło następnie do sporu co do </w:t>
      </w:r>
      <w:r w:rsidR="00A3736E">
        <w:t>tego</w:t>
      </w:r>
      <w:r>
        <w:t xml:space="preserve">, w jaki </w:t>
      </w:r>
      <w:r w:rsidR="00A3736E">
        <w:t xml:space="preserve">sposób </w:t>
      </w:r>
      <w:r>
        <w:t xml:space="preserve">Sąd Rejonowy winien postąpić w praktyce, w tym co do tego, czy </w:t>
      </w:r>
      <w:r w:rsidR="00A3736E">
        <w:t xml:space="preserve">mógłby </w:t>
      </w:r>
      <w:r>
        <w:t xml:space="preserve">zwrócić się o pomoc </w:t>
      </w:r>
      <w:r w:rsidR="00A3736E">
        <w:t xml:space="preserve">do </w:t>
      </w:r>
      <w:r>
        <w:t>policji (zob. pkt 8–11 powyżej).</w:t>
      </w:r>
    </w:p>
    <w:p w14:paraId="5E2FAA95" w14:textId="5D0542B3" w:rsidR="009C128A" w:rsidRDefault="00B23E9C">
      <w:pPr>
        <w:pStyle w:val="JuPara"/>
      </w:pPr>
      <w:fldSimple w:instr=" SEQ level0 \*arabic ">
        <w:r w:rsidR="00263167">
          <w:rPr>
            <w:noProof/>
          </w:rPr>
          <w:t>53</w:t>
        </w:r>
      </w:fldSimple>
      <w:r w:rsidR="00263167">
        <w:t>.  Na</w:t>
      </w:r>
      <w:r w:rsidR="00871A64">
        <w:t>stępn</w:t>
      </w:r>
      <w:r w:rsidR="00263167">
        <w:t xml:space="preserve">ie, podczas gdy Sąd Rejonowy przystępował do odfiltrowania danych objętych </w:t>
      </w:r>
      <w:r w:rsidR="00871A64">
        <w:t>PTZ</w:t>
      </w:r>
      <w:r w:rsidR="00263167">
        <w:t xml:space="preserve"> w sprawie skarżącego, Sąd Najwyższy wydał postanowienie w zupełnie niepowiązanej sprawie, w której skarżący nie </w:t>
      </w:r>
      <w:r w:rsidR="00871A64">
        <w:t>był stroną</w:t>
      </w:r>
      <w:r w:rsidR="00263167">
        <w:t xml:space="preserve">, w którym to postanowieniu wskazano, że </w:t>
      </w:r>
      <w:r w:rsidR="00D4584F">
        <w:t xml:space="preserve">to – sprzecznie z </w:t>
      </w:r>
      <w:r w:rsidR="00263167">
        <w:t>założeni</w:t>
      </w:r>
      <w:r w:rsidR="00D4584F">
        <w:t>a</w:t>
      </w:r>
      <w:r w:rsidR="00263167">
        <w:t>m</w:t>
      </w:r>
      <w:r w:rsidR="00D4584F">
        <w:t>i</w:t>
      </w:r>
      <w:r w:rsidR="00263167">
        <w:t xml:space="preserve"> skarżącego, policji i Sądu Rejonowego </w:t>
      </w:r>
      <w:r w:rsidR="00D4584F">
        <w:t xml:space="preserve">– sama </w:t>
      </w:r>
      <w:r w:rsidR="00263167">
        <w:t xml:space="preserve">policja miała dokonać odfiltrowania danych, najwyraźniej dlatego, że Sąd Najwyższy uznał, iż bardziej stosowna była inna analogia niż ta uznawana uprzednio za prawidłową w niniejszej sprawie, mianowicie zastosowanie </w:t>
      </w:r>
      <w:r w:rsidR="002360A2">
        <w:t xml:space="preserve">przez analogię </w:t>
      </w:r>
      <w:r w:rsidR="00263167">
        <w:t>procedur dotyczących danych z </w:t>
      </w:r>
      <w:r w:rsidR="002360A2">
        <w:t xml:space="preserve">inwigilacji </w:t>
      </w:r>
      <w:r w:rsidR="00263167">
        <w:t>(zob. pkt 37–38 powyżej). Uzyskawszy opinie osób zaangażowanych w sprawę skarżącego w przedmiocie nowego postanowienia, Sąd Rejonowy doszedł do wniosku, że ze względu na nowe wytyczne Sądu Najwyższego należy zakończyć procedurę filtrowania i z powrotem odesłać kopię lustrzaną do policji. Następnie policja samodzielnie zbadała ją w sposób opisany w sprawozdaniu z  9 listopada 2017 r. (zob. pkt 27 powyżej).</w:t>
      </w:r>
    </w:p>
    <w:p w14:paraId="65AFFCEE" w14:textId="5B6EF5D3" w:rsidR="009C128A" w:rsidRDefault="00B23E9C">
      <w:pPr>
        <w:pStyle w:val="JuPara"/>
      </w:pPr>
      <w:fldSimple w:instr=" SEQ level0 \*arabic ">
        <w:r w:rsidR="00263167">
          <w:rPr>
            <w:noProof/>
          </w:rPr>
          <w:t>54</w:t>
        </w:r>
      </w:fldSimple>
      <w:r w:rsidR="00263167">
        <w:t xml:space="preserve">.  Uwzględniając powyższe, Trybunał nie uważa za konieczne, aby w niniejszej sprawie rozważyć, czy lub w jakich okolicznościach wiarygodne </w:t>
      </w:r>
      <w:r w:rsidR="005C418F">
        <w:t xml:space="preserve">zarzuty </w:t>
      </w:r>
      <w:r w:rsidR="00263167">
        <w:t xml:space="preserve">dotyczące </w:t>
      </w:r>
      <w:r w:rsidR="005C418F">
        <w:t>PTZ</w:t>
      </w:r>
      <w:r w:rsidR="00263167">
        <w:t xml:space="preserve"> </w:t>
      </w:r>
      <w:r w:rsidR="005C418F">
        <w:t xml:space="preserve">w odniesieniu do </w:t>
      </w:r>
      <w:r w:rsidR="00263167">
        <w:t>konkretn</w:t>
      </w:r>
      <w:r w:rsidR="005C418F">
        <w:t>ych</w:t>
      </w:r>
      <w:r w:rsidR="00263167">
        <w:t xml:space="preserve"> nośnik</w:t>
      </w:r>
      <w:r w:rsidR="005C418F">
        <w:t>ów</w:t>
      </w:r>
      <w:r w:rsidR="00263167">
        <w:t xml:space="preserve"> danych pociągały za sobą konieczność przesłania ich do sądu lub innej osoby trzeciej działającej niezależn</w:t>
      </w:r>
      <w:r w:rsidR="005C418F">
        <w:t>i</w:t>
      </w:r>
      <w:r w:rsidR="00263167">
        <w:t>e od policji i prokuratury</w:t>
      </w:r>
      <w:r w:rsidR="005C418F">
        <w:t xml:space="preserve"> w celu </w:t>
      </w:r>
      <w:r w:rsidR="00263167">
        <w:t>usunię</w:t>
      </w:r>
      <w:r w:rsidR="005C418F">
        <w:t>cia</w:t>
      </w:r>
      <w:r w:rsidR="00263167">
        <w:t xml:space="preserve"> wszelki</w:t>
      </w:r>
      <w:r w:rsidR="005C418F">
        <w:t>ch</w:t>
      </w:r>
      <w:r w:rsidR="00263167">
        <w:t xml:space="preserve"> dan</w:t>
      </w:r>
      <w:r w:rsidR="005C418F">
        <w:t>ych</w:t>
      </w:r>
      <w:r w:rsidR="00263167">
        <w:t xml:space="preserve"> objęt</w:t>
      </w:r>
      <w:r w:rsidR="005C418F">
        <w:t>ych PTZ</w:t>
      </w:r>
      <w:r w:rsidR="00263167">
        <w:t>, zanim ten ostatni organ mógłby przystąpić do przeszukania nośników danych. W </w:t>
      </w:r>
      <w:r w:rsidR="005C418F">
        <w:t xml:space="preserve">niniejszej </w:t>
      </w:r>
      <w:r w:rsidR="00263167">
        <w:t>sprawie wystarczy, aby Trybunał poczynił następujące uwagi.</w:t>
      </w:r>
    </w:p>
    <w:p w14:paraId="2B871865" w14:textId="70BF7280" w:rsidR="009C128A" w:rsidRDefault="00B23E9C">
      <w:pPr>
        <w:pStyle w:val="JuPara"/>
      </w:pPr>
      <w:fldSimple w:instr=" SEQ level0 \*arabic ">
        <w:r w:rsidR="00263167">
          <w:rPr>
            <w:noProof/>
          </w:rPr>
          <w:t>55</w:t>
        </w:r>
      </w:fldSimple>
      <w:r w:rsidR="00263167">
        <w:t xml:space="preserve">.  Po pierwsze Trybunał odnotowuje </w:t>
      </w:r>
      <w:r w:rsidR="005C418F">
        <w:t>okoliczność</w:t>
      </w:r>
      <w:r w:rsidR="00263167">
        <w:t xml:space="preserve">, że procedura związana z filtrowaniem danych objętych </w:t>
      </w:r>
      <w:r w:rsidR="005C418F">
        <w:t>PTZ</w:t>
      </w:r>
      <w:r w:rsidR="00263167">
        <w:t xml:space="preserve"> w sprawach takich, jak </w:t>
      </w:r>
      <w:r w:rsidR="005C418F">
        <w:t>niniejsza</w:t>
      </w:r>
      <w:r w:rsidR="00263167">
        <w:t>, od początku nie miała wyraźnej podstawy w </w:t>
      </w:r>
      <w:r w:rsidR="005C418F">
        <w:t>K</w:t>
      </w:r>
      <w:r w:rsidR="00263167">
        <w:t xml:space="preserve">odeksie postępowania karnego, co </w:t>
      </w:r>
      <w:r w:rsidR="0041371D">
        <w:t>powodowało spory</w:t>
      </w:r>
      <w:r w:rsidR="00263167">
        <w:t>, tak</w:t>
      </w:r>
      <w:r w:rsidR="0041371D">
        <w:t>ie</w:t>
      </w:r>
      <w:r w:rsidR="00263167">
        <w:t xml:space="preserve"> jak ten, który powstał w następstwie postanowienia Sądu Najwyższego z 16 stycznia 2017 r. Po drugie skarżący nie był w stanie przewidzieć rzeczywistej formy procedury, niezależnie od tego, iż mógł wnieść wobec niej sprzeciw (zob. pkt 12 powyżej), zważywszy, że została ona faktycznie przekształcona po wydaniu </w:t>
      </w:r>
      <w:r w:rsidR="0041371D">
        <w:t xml:space="preserve">wskazanego </w:t>
      </w:r>
      <w:r w:rsidR="00263167">
        <w:t xml:space="preserve">postanowienia. </w:t>
      </w:r>
      <w:r w:rsidR="0041371D">
        <w:t>Po trzecie i</w:t>
      </w:r>
      <w:r w:rsidR="00263167">
        <w:t xml:space="preserve"> najważniejsze, Trybunał </w:t>
      </w:r>
      <w:r w:rsidR="0041371D">
        <w:t>stwierdza</w:t>
      </w:r>
      <w:r w:rsidR="00263167">
        <w:t xml:space="preserve">, że Rząd nie podważył twierdzenia skarżącego, iż w następstwie uznania przez Sąd Najwyższy w postanowieniu z 16 stycznia 2017 r., że to policja powinna </w:t>
      </w:r>
      <w:r w:rsidR="0041371D">
        <w:t xml:space="preserve">sama </w:t>
      </w:r>
      <w:r w:rsidR="00263167">
        <w:t xml:space="preserve">zbadać nośniki danych w sprawach takich jak </w:t>
      </w:r>
      <w:r w:rsidR="0041371D">
        <w:t>niniejsza</w:t>
      </w:r>
      <w:r w:rsidR="00263167">
        <w:t xml:space="preserve">, </w:t>
      </w:r>
      <w:r w:rsidR="00E371B7">
        <w:t xml:space="preserve">decyzja </w:t>
      </w:r>
      <w:r w:rsidR="00263167">
        <w:t xml:space="preserve">o zastosowaniu </w:t>
      </w:r>
      <w:r w:rsidR="00E371B7">
        <w:t xml:space="preserve">tych </w:t>
      </w:r>
      <w:r w:rsidR="00263167">
        <w:t xml:space="preserve">wytycznych w toczącej się sprawie skarżącego, ostatecznie zakończonej postanowieniem Sądu Najwyższego z 30 czerwca </w:t>
      </w:r>
      <w:r w:rsidR="00263167">
        <w:lastRenderedPageBreak/>
        <w:t xml:space="preserve">2017 r. (zob. pkt 26 powyżej), </w:t>
      </w:r>
      <w:r w:rsidR="00E371B7">
        <w:t>oznaczała</w:t>
      </w:r>
      <w:r w:rsidR="00263167">
        <w:t xml:space="preserve">, że nie </w:t>
      </w:r>
      <w:r w:rsidR="00E371B7">
        <w:t xml:space="preserve">istniały </w:t>
      </w:r>
      <w:r w:rsidR="00263167">
        <w:t xml:space="preserve">jasne i szczegółowe gwarancje proceduralne, które zapobiegałyby narażeniu </w:t>
      </w:r>
      <w:r w:rsidR="00E371B7">
        <w:t>PTZ</w:t>
      </w:r>
      <w:r w:rsidR="00263167">
        <w:t xml:space="preserve"> na naruszenie w toku przeszukania kopii lustrzanej telefonu. Sąd Najwyższy nie </w:t>
      </w:r>
      <w:r w:rsidR="00E371B7">
        <w:t xml:space="preserve">określił </w:t>
      </w:r>
      <w:r w:rsidR="00263167">
        <w:t xml:space="preserve">żadnych wytycznych co do sposobu, w jaki policja miała zrealizować zadanie odfiltrowania danych objętych </w:t>
      </w:r>
      <w:r w:rsidR="00E371B7">
        <w:t>PTZ</w:t>
      </w:r>
      <w:r w:rsidR="00263167">
        <w:t xml:space="preserve"> poza wskazaniem, że słowa, za pomocą których należy przeszukać dane, należało ustalić w porozumieniu z obrońcami – mimo</w:t>
      </w:r>
      <w:r w:rsidR="00E371B7">
        <w:t>,</w:t>
      </w:r>
      <w:r w:rsidR="00263167">
        <w:t xml:space="preserve"> że </w:t>
      </w:r>
      <w:r w:rsidR="00E371B7">
        <w:t>zarzut</w:t>
      </w:r>
      <w:r w:rsidR="00E8095F">
        <w:t xml:space="preserve"> dotyczący</w:t>
      </w:r>
      <w:r w:rsidR="00E371B7">
        <w:t xml:space="preserve"> </w:t>
      </w:r>
      <w:r w:rsidR="00E8095F">
        <w:t>PTZ w niniejszej</w:t>
      </w:r>
      <w:r w:rsidR="00263167">
        <w:t xml:space="preserve"> sprawie był</w:t>
      </w:r>
      <w:r w:rsidR="00E8095F">
        <w:t xml:space="preserve"> bezspornie zasadny</w:t>
      </w:r>
      <w:r w:rsidR="00263167">
        <w:t xml:space="preserve">, kopia lustrzana została w rzeczywistości skutecznie zwrócona policji celem zbadania bez żadnego praktycznego planu proceduralnego służącego temu celowi. W sprawozdaniu z 9 listopada 2017 r. (zob. pkt 27 powyżej) opisano usunięcie danych w sprawie skarżącego, lecz nie </w:t>
      </w:r>
      <w:r w:rsidR="00E8095F">
        <w:t xml:space="preserve">opisano jakiejkolwiek </w:t>
      </w:r>
      <w:r w:rsidR="00263167">
        <w:t>wyraźn</w:t>
      </w:r>
      <w:r w:rsidR="00E8095F">
        <w:t>ej</w:t>
      </w:r>
      <w:r w:rsidR="00263167">
        <w:t xml:space="preserve"> podstawy ani formy </w:t>
      </w:r>
      <w:r w:rsidR="00E8095F">
        <w:t xml:space="preserve">tej </w:t>
      </w:r>
      <w:r w:rsidR="00263167">
        <w:t>procedury.</w:t>
      </w:r>
    </w:p>
    <w:bookmarkStart w:id="7" w:name="_Hlk55899735"/>
    <w:p w14:paraId="78BF9DAD" w14:textId="65ED26C6" w:rsidR="009C128A" w:rsidRDefault="00263167">
      <w:pPr>
        <w:pStyle w:val="JuPara"/>
      </w:pPr>
      <w:r>
        <w:fldChar w:fldCharType="begin"/>
      </w:r>
      <w:r>
        <w:instrText xml:space="preserve"> SEQ level0 \*arabic </w:instrText>
      </w:r>
      <w:r>
        <w:fldChar w:fldCharType="separate"/>
      </w:r>
      <w:r>
        <w:rPr>
          <w:noProof/>
        </w:rPr>
        <w:t>56</w:t>
      </w:r>
      <w:r>
        <w:fldChar w:fldCharType="end"/>
      </w:r>
      <w:r>
        <w:t xml:space="preserve">.  W tym kontekście Trybunał podkreśla, że odnotował, iż Rząd </w:t>
      </w:r>
      <w:r w:rsidR="00E8095F">
        <w:t xml:space="preserve">istotnie </w:t>
      </w:r>
      <w:r>
        <w:t xml:space="preserve">wskazał na gwarancje proceduralne ogólnie obowiązujące w odniesieniu do przeszukania i zatrzymania; wątpliwości Trybunału budzi jednak brak ustalonych ram ochrony </w:t>
      </w:r>
      <w:r w:rsidR="00E8095F">
        <w:t>PTZ</w:t>
      </w:r>
      <w:r>
        <w:t xml:space="preserve"> w sprawach takich jak </w:t>
      </w:r>
      <w:r w:rsidR="00E8095F">
        <w:t>niniejsza</w:t>
      </w:r>
      <w:r>
        <w:t xml:space="preserve">. Trybunał w tym względzie zauważa na marginesie, że w postanowieniu z 16 stycznia 2017 r. Sąd Najwyższy </w:t>
      </w:r>
      <w:r>
        <w:rPr>
          <w:i/>
          <w:iCs/>
        </w:rPr>
        <w:t xml:space="preserve">in fine </w:t>
      </w:r>
      <w:r>
        <w:t xml:space="preserve">wskazał </w:t>
      </w:r>
      <w:r w:rsidR="000213C4">
        <w:t xml:space="preserve">również </w:t>
      </w:r>
      <w:r>
        <w:t xml:space="preserve">na brak przepisów dostosowanych do sytuacji, w których dane objęte </w:t>
      </w:r>
      <w:r w:rsidR="000213C4">
        <w:t>PTZ</w:t>
      </w:r>
      <w:r>
        <w:t xml:space="preserve"> stanowią część zbioru cyfrowo przechowywanych danych i wskazał, że naturalnym byłoby uregulowa</w:t>
      </w:r>
      <w:r w:rsidR="000213C4">
        <w:t>nie</w:t>
      </w:r>
      <w:r>
        <w:t xml:space="preserve"> konkretn</w:t>
      </w:r>
      <w:r w:rsidR="000213C4">
        <w:t>ej</w:t>
      </w:r>
      <w:r>
        <w:t xml:space="preserve"> kwesti</w:t>
      </w:r>
      <w:r w:rsidR="000213C4">
        <w:t>i</w:t>
      </w:r>
      <w:r>
        <w:t>, która pojawiła się w niniejszej sprawie w drodze formalnych przepisów prawa (zob. pkt 40 powyżej).</w:t>
      </w:r>
      <w:r>
        <w:rPr>
          <w:b/>
          <w:bCs/>
        </w:rPr>
        <w:t xml:space="preserve"> </w:t>
      </w:r>
      <w:r>
        <w:t xml:space="preserve">Trybunał odnotowuje zatem, że kwestia, która </w:t>
      </w:r>
      <w:r w:rsidR="000213C4">
        <w:t xml:space="preserve">pojawiła się </w:t>
      </w:r>
      <w:r>
        <w:t xml:space="preserve">w niniejszej sprawie, nie </w:t>
      </w:r>
      <w:r w:rsidR="000213C4">
        <w:t>wynikała jako tako</w:t>
      </w:r>
      <w:r>
        <w:t xml:space="preserve"> z ustale</w:t>
      </w:r>
      <w:r w:rsidR="007727E2">
        <w:t>ń</w:t>
      </w:r>
      <w:r>
        <w:t xml:space="preserve"> Sądu Najwyższego w tej sprawie, lecz miała swoje źródło w braku odpowiednich regulacji, na co zwrócił uwagę ten sąd.</w:t>
      </w:r>
    </w:p>
    <w:bookmarkEnd w:id="7"/>
    <w:p w14:paraId="6A10DE85" w14:textId="3BBFCC26" w:rsidR="009C128A" w:rsidRDefault="00263167">
      <w:pPr>
        <w:pStyle w:val="JuPara"/>
      </w:pPr>
      <w:r>
        <w:fldChar w:fldCharType="begin"/>
      </w:r>
      <w:r>
        <w:instrText xml:space="preserve"> SEQ level0 \*arabic </w:instrText>
      </w:r>
      <w:r>
        <w:fldChar w:fldCharType="separate"/>
      </w:r>
      <w:r>
        <w:rPr>
          <w:noProof/>
        </w:rPr>
        <w:t>57</w:t>
      </w:r>
      <w:r>
        <w:fldChar w:fldCharType="end"/>
      </w:r>
      <w:r>
        <w:t>.  Mimo</w:t>
      </w:r>
      <w:r w:rsidR="007727E2">
        <w:t>,</w:t>
      </w:r>
      <w:r>
        <w:t xml:space="preserve"> że w sprawie skarżącego nie obowiązywały takie regulacje, Trybunał nie ma podstaw do rozstrzygnięcia, czy w jego sprawie rzeczywiście doszło do naruszenia </w:t>
      </w:r>
      <w:r w:rsidR="007727E2">
        <w:t>PTZ czy nie</w:t>
      </w:r>
      <w:r>
        <w:t xml:space="preserve">, a skarżący też nie podnosił, że do takiego naruszenia doszło. W opinii Trybunału jednak nieprzewidywalność w niniejszej sprawie z powodu braku jasnych ram prawnych i gwarancji proceduralnych odnoszących się konkretnie do ochrony </w:t>
      </w:r>
      <w:r w:rsidR="007727E2">
        <w:t>PTZ</w:t>
      </w:r>
      <w:r>
        <w:t xml:space="preserve"> sama w sobie stanowiła uchybienie wymogom wynikającym z kryterium</w:t>
      </w:r>
      <w:r w:rsidR="007727E2">
        <w:t>, że</w:t>
      </w:r>
      <w:r>
        <w:t xml:space="preserve"> ingerencj</w:t>
      </w:r>
      <w:r w:rsidR="007727E2">
        <w:t>a musi być</w:t>
      </w:r>
      <w:r>
        <w:t xml:space="preserve"> przewidziane ustawą w rozumieniu art. 8 ust. 2 Konwencji. Wyciągnąwszy taki wniosek, Trybunał nie musi badać zgodności z pozostałymi wymogami tego przepisu.</w:t>
      </w:r>
    </w:p>
    <w:p w14:paraId="24358B14" w14:textId="77777777" w:rsidR="009C128A" w:rsidRDefault="00B23E9C">
      <w:pPr>
        <w:pStyle w:val="JuPara"/>
      </w:pPr>
      <w:fldSimple w:instr=" SEQ level0 \*arabic ">
        <w:r w:rsidR="00263167">
          <w:rPr>
            <w:noProof/>
          </w:rPr>
          <w:t>58</w:t>
        </w:r>
      </w:fldSimple>
      <w:r w:rsidR="00263167">
        <w:t>.  W świetle powyższych rozważań Trybunał uznaje, że doszło do naruszenia art. 8 Konwencji.</w:t>
      </w:r>
    </w:p>
    <w:p w14:paraId="35255449" w14:textId="77777777" w:rsidR="009C128A" w:rsidRDefault="00263167">
      <w:pPr>
        <w:pStyle w:val="JuHIRoman"/>
      </w:pPr>
      <w:r>
        <w:t>ZARZUCANE NARUSZENIE ART. 6 KONWENCJI</w:t>
      </w:r>
    </w:p>
    <w:p w14:paraId="741F3C13" w14:textId="77777777" w:rsidR="009C128A" w:rsidRDefault="00B23E9C">
      <w:pPr>
        <w:pStyle w:val="JuPara"/>
      </w:pPr>
      <w:fldSimple w:instr=" SEQ level0 \*arabic ">
        <w:r w:rsidR="00263167">
          <w:rPr>
            <w:noProof/>
          </w:rPr>
          <w:t>59</w:t>
        </w:r>
      </w:fldSimple>
      <w:r w:rsidR="00263167">
        <w:t xml:space="preserve">.  W skardze do Trybunału skarżący zarzucił, że postępowanie dotyczące przeszukania jego </w:t>
      </w:r>
      <w:proofErr w:type="spellStart"/>
      <w:r w:rsidR="00263167">
        <w:t>smartfona</w:t>
      </w:r>
      <w:proofErr w:type="spellEnd"/>
      <w:r w:rsidR="00263167">
        <w:t xml:space="preserve"> stanowiło naruszenie praw przyznanych mu na podstawie art. 6 ust. 3 Konwencji. W dalszych uwagach </w:t>
      </w:r>
      <w:r w:rsidR="00263167">
        <w:lastRenderedPageBreak/>
        <w:t>skarżący poinformował Trybunał, iż w międzyczasie został uniewinniony od stawianych mu zarzutów karnych (zob. pkt 28 powyżej), i przyznał, że w związku z tym nie może już twierdzić, że jest ofiarą naruszenia art. 6. Trybunał nie znajduje podstaw, aby kwestionować powyższe stwierdzenie, i stosownie uznaje, że skarga na podstawie art. 6 musi zostać uznana za niedopuszczalną zgodnie z art. 35 ust. 3 lit. a) i art. 35 ust. 4 Konwencji.</w:t>
      </w:r>
    </w:p>
    <w:p w14:paraId="6D5090A6" w14:textId="77777777" w:rsidR="009C128A" w:rsidRDefault="00263167">
      <w:pPr>
        <w:pStyle w:val="JuHIRoman"/>
      </w:pPr>
      <w:r>
        <w:t>ZASTOSOWANIE ART. 41 KONWENCJI</w:t>
      </w:r>
    </w:p>
    <w:p w14:paraId="46CA11F0" w14:textId="77777777" w:rsidR="009C128A" w:rsidRDefault="00B23E9C">
      <w:pPr>
        <w:pStyle w:val="JuPara"/>
      </w:pPr>
      <w:fldSimple w:instr=" SEQ level0 \*arabic ">
        <w:r w:rsidR="00263167">
          <w:rPr>
            <w:noProof/>
          </w:rPr>
          <w:t>60</w:t>
        </w:r>
      </w:fldSimple>
      <w:r w:rsidR="00263167">
        <w:t>.  Artykuł 41 Konwencji stanowi:</w:t>
      </w:r>
    </w:p>
    <w:p w14:paraId="511EF1BD" w14:textId="77777777" w:rsidR="009C128A" w:rsidRDefault="00263167">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2B2CB96D" w14:textId="77777777" w:rsidR="009C128A" w:rsidRDefault="00263167">
      <w:pPr>
        <w:pStyle w:val="JuHA"/>
      </w:pPr>
      <w:r>
        <w:t>Szkoda</w:t>
      </w:r>
    </w:p>
    <w:p w14:paraId="6DD2554C" w14:textId="480792E3" w:rsidR="009C128A" w:rsidRDefault="00B23E9C">
      <w:pPr>
        <w:pStyle w:val="JuPara"/>
      </w:pPr>
      <w:fldSimple w:instr=" SEQ level0 \*arabic ">
        <w:r w:rsidR="00263167">
          <w:rPr>
            <w:noProof/>
          </w:rPr>
          <w:t>61</w:t>
        </w:r>
      </w:fldSimple>
      <w:r w:rsidR="00263167">
        <w:t xml:space="preserve">.  Skarżący domagał się </w:t>
      </w:r>
      <w:r w:rsidR="000A0DE7">
        <w:t xml:space="preserve">zadośćuczynienia </w:t>
      </w:r>
      <w:r w:rsidR="00263167">
        <w:t>za szkodę niemajątkową w wysokości ustalonej według uznania Trybunału. Nie domagał się odszkodowania za szkodę majątkową.</w:t>
      </w:r>
    </w:p>
    <w:p w14:paraId="391F487C" w14:textId="77777777" w:rsidR="009C128A" w:rsidRDefault="00B23E9C">
      <w:pPr>
        <w:pStyle w:val="JuPara"/>
      </w:pPr>
      <w:fldSimple w:instr=" SEQ level0 \*arabic ">
        <w:r w:rsidR="00263167">
          <w:rPr>
            <w:noProof/>
          </w:rPr>
          <w:t>62</w:t>
        </w:r>
      </w:fldSimple>
      <w:r w:rsidR="00263167">
        <w:t>.  Rząd nie kwestionował, że w przypadku stwierdzenia przez Trybunał naruszenia art. 8 Konwencji mogą istnieć podstawy do przyznania słusznego zadośćuczynienia za szkodę niemajątkową.</w:t>
      </w:r>
    </w:p>
    <w:p w14:paraId="002C8AE7" w14:textId="659AFA6F" w:rsidR="009C128A" w:rsidRDefault="00B23E9C">
      <w:pPr>
        <w:pStyle w:val="JuPara"/>
      </w:pPr>
      <w:fldSimple w:instr=" SEQ level0 \*arabic ">
        <w:r w:rsidR="00263167">
          <w:rPr>
            <w:noProof/>
          </w:rPr>
          <w:t>63</w:t>
        </w:r>
      </w:fldSimple>
      <w:r w:rsidR="00263167">
        <w:t xml:space="preserve">.  Mając na uwadze stosunkowo techniczny wymiar stwierdzonego naruszenia oraz okoliczności sprawy, Trybunał uważa, że stwierdzenie naruszenia samo w sobie stanowi wystarczające słuszne zadośćuczynienie za </w:t>
      </w:r>
      <w:r w:rsidR="000A0DE7">
        <w:t xml:space="preserve">jakąkolwiek </w:t>
      </w:r>
      <w:r w:rsidR="00263167">
        <w:t>szkodę niemajątkową, jaką skarżący mógł ponieść.</w:t>
      </w:r>
    </w:p>
    <w:p w14:paraId="47D968D4" w14:textId="77777777" w:rsidR="009C128A" w:rsidRDefault="00263167">
      <w:pPr>
        <w:pStyle w:val="JuHA"/>
      </w:pPr>
      <w:r>
        <w:t>Koszty i wydatki</w:t>
      </w:r>
    </w:p>
    <w:p w14:paraId="7A976D99" w14:textId="05866AB7" w:rsidR="009C128A" w:rsidRDefault="00B23E9C">
      <w:pPr>
        <w:pStyle w:val="JuPara"/>
      </w:pPr>
      <w:fldSimple w:instr=" SEQ level0 \*arabic ">
        <w:r w:rsidR="00263167">
          <w:rPr>
            <w:noProof/>
          </w:rPr>
          <w:t>64</w:t>
        </w:r>
      </w:fldSimple>
      <w:r w:rsidR="00263167">
        <w:t>.  Skarżący zażądał również kwot</w:t>
      </w:r>
      <w:r w:rsidR="000A0DE7">
        <w:t>y</w:t>
      </w:r>
      <w:r w:rsidR="00263167">
        <w:t xml:space="preserve"> 101 937,50 koron norweskich – około 9 500 euro – z tytułu kosztów poniesionych przed Trybunałem.</w:t>
      </w:r>
    </w:p>
    <w:p w14:paraId="1E5473FB" w14:textId="161E8632" w:rsidR="009C128A" w:rsidRDefault="00B23E9C">
      <w:pPr>
        <w:pStyle w:val="JuPara"/>
      </w:pPr>
      <w:fldSimple w:instr=" SEQ level0 \*arabic ">
        <w:r w:rsidR="00263167">
          <w:rPr>
            <w:noProof/>
          </w:rPr>
          <w:t>65</w:t>
        </w:r>
      </w:fldSimple>
      <w:r w:rsidR="00263167">
        <w:t xml:space="preserve">.  Rząd przyznał, że skarżący winien być uprawniony do odzyskania kosztów w przypadku stwierdzenia przez Trybunał naruszenia art. 8 Konwencji, ale utrzymywał, że kwota ta winna być obniżona, ponieważ skarżący </w:t>
      </w:r>
      <w:r w:rsidR="000A0DE7">
        <w:t>przyznał</w:t>
      </w:r>
      <w:r w:rsidR="00263167">
        <w:t xml:space="preserve">, że zarzut na podstawie art. 6 </w:t>
      </w:r>
      <w:r w:rsidR="000A0DE7">
        <w:t xml:space="preserve">nie </w:t>
      </w:r>
      <w:r w:rsidR="00263167">
        <w:t xml:space="preserve">jest </w:t>
      </w:r>
      <w:r w:rsidR="000A0DE7">
        <w:t>zasadny</w:t>
      </w:r>
      <w:r w:rsidR="00263167">
        <w:t>.</w:t>
      </w:r>
    </w:p>
    <w:p w14:paraId="28F21F27" w14:textId="6346AF67" w:rsidR="009C128A" w:rsidRDefault="00B23E9C">
      <w:pPr>
        <w:pStyle w:val="JuPara"/>
      </w:pPr>
      <w:fldSimple w:instr=" SEQ level0 \*arabic ">
        <w:r w:rsidR="00263167">
          <w:rPr>
            <w:noProof/>
          </w:rPr>
          <w:t>66</w:t>
        </w:r>
      </w:fldSimple>
      <w:r w:rsidR="00263167">
        <w:t>.  Trybunał zauważa również, że skarżący zwrócił się o pomoc prawną, ale nie przedstawił na żądanie wymaganych informacji. Zgodnie z orzecznictwem Trybunału skarżący jest uprawniony do zwrotu kosztów i wydatków tylko w zakresie, w jakim zostało wykazane, że zostały one rzeczywiście i w sposób konieczny poniesione oraz są rozsądn</w:t>
      </w:r>
      <w:r w:rsidR="000A0DE7">
        <w:t>e co do</w:t>
      </w:r>
      <w:r w:rsidR="00263167">
        <w:t xml:space="preserve"> kwoty. W </w:t>
      </w:r>
      <w:r w:rsidR="000A0DE7">
        <w:t xml:space="preserve">niniejszej </w:t>
      </w:r>
      <w:r w:rsidR="00263167">
        <w:t xml:space="preserve">sprawie, mając na uwadze posiadane dokumenty, stanowiska stron oraz powyższe kryteria, Trybunał uznaje za uzasadnione </w:t>
      </w:r>
      <w:r w:rsidR="000A0DE7">
        <w:t xml:space="preserve">przyznać </w:t>
      </w:r>
      <w:r w:rsidR="00263167">
        <w:t xml:space="preserve">kwotę 7 000 EUR tytułem zwrotu kosztów postępowania przed Trybunałem, </w:t>
      </w:r>
      <w:r w:rsidR="00263167">
        <w:lastRenderedPageBreak/>
        <w:t>powiększoną o </w:t>
      </w:r>
      <w:r w:rsidR="000A0DE7">
        <w:t xml:space="preserve">jakiekolwiek </w:t>
      </w:r>
      <w:r w:rsidR="00263167">
        <w:t>podatki, jakie mogą zostać naliczone wobec skarżącego.</w:t>
      </w:r>
    </w:p>
    <w:p w14:paraId="6BA1F322" w14:textId="77777777" w:rsidR="009C128A" w:rsidRDefault="00263167">
      <w:pPr>
        <w:pStyle w:val="JuHA"/>
      </w:pPr>
      <w:r>
        <w:t>Odsetki za zwłokę</w:t>
      </w:r>
    </w:p>
    <w:p w14:paraId="3EF942A2" w14:textId="77777777" w:rsidR="009C128A" w:rsidRDefault="00B23E9C">
      <w:pPr>
        <w:pStyle w:val="JuPara"/>
      </w:pPr>
      <w:fldSimple w:instr=" SEQ level0 \*arabic ">
        <w:r w:rsidR="00263167">
          <w:rPr>
            <w:noProof/>
          </w:rPr>
          <w:t>67</w:t>
        </w:r>
      </w:fldSimple>
      <w:r w:rsidR="00263167">
        <w:t>.  Trybunał uznaje za właściwe, aby odsetki za zwłokę były oparte na marginalnej stopie procentowej Europejskiego Banku Centralnego, powiększonej o trzy punkty procentowe.</w:t>
      </w:r>
    </w:p>
    <w:p w14:paraId="7B7E0E40" w14:textId="77777777" w:rsidR="009C128A" w:rsidRDefault="00263167">
      <w:pPr>
        <w:pStyle w:val="JuHHead"/>
      </w:pPr>
      <w:r>
        <w:t>Z TYCH WZGLĘDÓW TRYBUNAŁ</w:t>
      </w:r>
    </w:p>
    <w:p w14:paraId="2DF59F71" w14:textId="77777777" w:rsidR="009C128A" w:rsidRDefault="00263167">
      <w:pPr>
        <w:pStyle w:val="JuList"/>
      </w:pPr>
      <w:r>
        <w:rPr>
          <w:i/>
        </w:rPr>
        <w:t>uznaje</w:t>
      </w:r>
      <w:r>
        <w:t xml:space="preserve"> większością głosów skargę wniesioną na podstawie art. 8 Konwencji za dopuszczalną, zaś pozostałą część skargi za niedopuszczalną;</w:t>
      </w:r>
    </w:p>
    <w:p w14:paraId="42F284FF" w14:textId="77777777" w:rsidR="009C128A" w:rsidRDefault="00263167">
      <w:pPr>
        <w:pStyle w:val="JuList"/>
      </w:pPr>
      <w:r>
        <w:rPr>
          <w:i/>
          <w:iCs/>
        </w:rPr>
        <w:t>orzeka</w:t>
      </w:r>
      <w:r>
        <w:t>, sześcioma głosami do jednego, że doszło do naruszenia art. 8 Konwencji;</w:t>
      </w:r>
    </w:p>
    <w:p w14:paraId="6CE50765" w14:textId="77777777" w:rsidR="009C128A" w:rsidRDefault="00263167">
      <w:pPr>
        <w:pStyle w:val="JuList"/>
      </w:pPr>
      <w:r>
        <w:rPr>
          <w:i/>
        </w:rPr>
        <w:t>orzeka</w:t>
      </w:r>
      <w:r>
        <w:t xml:space="preserve"> sześcioma głosami do jednego,</w:t>
      </w:r>
    </w:p>
    <w:p w14:paraId="2959A8F3" w14:textId="77777777" w:rsidR="009C128A" w:rsidRDefault="00263167">
      <w:pPr>
        <w:pStyle w:val="JuLista"/>
        <w:numPr>
          <w:ilvl w:val="1"/>
          <w:numId w:val="1"/>
        </w:numPr>
        <w:tabs>
          <w:tab w:val="clear" w:pos="340"/>
          <w:tab w:val="num" w:pos="680"/>
        </w:tabs>
        <w:ind w:left="680"/>
      </w:pPr>
      <w:bookmarkStart w:id="8" w:name="_Hlk57042834"/>
      <w:r>
        <w:t xml:space="preserve">że pozwane państwo winno, w terminie trzech miesięcy od daty, w której niniejszy wyrok stanie się ostateczny zgodnie z art. 44 ust. 2 Konwencji, uiścić na rzecz skarżącego następującą kwotę, przeliczoną na </w:t>
      </w:r>
      <w:r>
        <w:rPr>
          <w:color w:val="000000"/>
        </w:rPr>
        <w:t>walutę pozwanego państwa</w:t>
      </w:r>
      <w:r>
        <w:t xml:space="preserve"> według kursu obowiązującego w dniu płatności:</w:t>
      </w:r>
    </w:p>
    <w:p w14:paraId="6FB34479" w14:textId="77777777" w:rsidR="009C128A" w:rsidRDefault="00263167">
      <w:pPr>
        <w:pStyle w:val="JuLista"/>
        <w:numPr>
          <w:ilvl w:val="0"/>
          <w:numId w:val="0"/>
        </w:numPr>
        <w:ind w:left="680"/>
      </w:pPr>
      <w:r>
        <w:t>7 000 EUR (siedem tysięcy euro) plus wszelkie podatki, którymi może zostać obciążony skarżący, tytułem kosztów i wydatków;</w:t>
      </w:r>
    </w:p>
    <w:p w14:paraId="4B56B9C3" w14:textId="77777777" w:rsidR="009C128A" w:rsidRDefault="00263167">
      <w:pPr>
        <w:pStyle w:val="JuLista"/>
        <w:numPr>
          <w:ilvl w:val="1"/>
          <w:numId w:val="1"/>
        </w:numPr>
        <w:tabs>
          <w:tab w:val="clear" w:pos="340"/>
          <w:tab w:val="num" w:pos="680"/>
        </w:tabs>
        <w:ind w:left="680"/>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bookmarkEnd w:id="8"/>
    <w:p w14:paraId="59214594" w14:textId="77777777" w:rsidR="009C128A" w:rsidRDefault="00263167">
      <w:pPr>
        <w:pStyle w:val="JuList"/>
      </w:pPr>
      <w:r>
        <w:rPr>
          <w:i/>
        </w:rPr>
        <w:t xml:space="preserve">oddala </w:t>
      </w:r>
      <w:r>
        <w:t>jednogłośnie pozostałą część roszczenia skarżącego dotyczącą słusznego zadośćuczynienia.</w:t>
      </w:r>
    </w:p>
    <w:p w14:paraId="6C773380" w14:textId="29C3E34D" w:rsidR="009C128A" w:rsidRDefault="00263167">
      <w:pPr>
        <w:pStyle w:val="JuParaLast"/>
      </w:pPr>
      <w:r>
        <w:t xml:space="preserve">Sporządzono w języku angielskim i obwieszczono pisemnie </w:t>
      </w:r>
      <w:r>
        <w:rPr>
          <w:rFonts w:ascii="Times New Roman" w:hAnsi="Times New Roman"/>
        </w:rPr>
        <w:t>17 grudnia 2020 r.</w:t>
      </w:r>
      <w:r>
        <w:t>, zgodnie z Regułą 77 §§ 2 i 3 Regulaminu Trybunału.</w:t>
      </w:r>
    </w:p>
    <w:p w14:paraId="33FFB58E" w14:textId="77777777" w:rsidR="009C128A" w:rsidRDefault="00263167">
      <w:pPr>
        <w:pStyle w:val="JuSigned"/>
      </w:pPr>
      <w:r>
        <w:t xml:space="preserve">Victor </w:t>
      </w:r>
      <w:proofErr w:type="spellStart"/>
      <w:r>
        <w:t>Soloveytchik</w:t>
      </w:r>
      <w:proofErr w:type="spellEnd"/>
      <w:r>
        <w:t xml:space="preserve"> </w:t>
      </w:r>
      <w:r>
        <w:tab/>
      </w:r>
      <w:proofErr w:type="spellStart"/>
      <w:r>
        <w:t>Síofra</w:t>
      </w:r>
      <w:proofErr w:type="spellEnd"/>
      <w:r>
        <w:t xml:space="preserve"> </w:t>
      </w:r>
      <w:proofErr w:type="spellStart"/>
      <w:r>
        <w:t>O’Leary</w:t>
      </w:r>
      <w:proofErr w:type="spellEnd"/>
      <w:r>
        <w:br/>
      </w:r>
      <w:r>
        <w:tab/>
        <w:t>Kanclerz</w:t>
      </w:r>
      <w:r>
        <w:tab/>
        <w:t>Przewodnicząca</w:t>
      </w:r>
    </w:p>
    <w:p w14:paraId="73E4CC65" w14:textId="77777777" w:rsidR="009C128A" w:rsidRDefault="009C128A"/>
    <w:p w14:paraId="2B82274B" w14:textId="77777777" w:rsidR="009C128A" w:rsidRDefault="00263167">
      <w:pPr>
        <w:pStyle w:val="JuParaLast"/>
      </w:pPr>
      <w:r>
        <w:lastRenderedPageBreak/>
        <w:t xml:space="preserve">Zgodnie z art. 45 ust. 2 Konwencji i Regułą 74 § 2 Regulaminu Trybunału do wyroku załączono opinię odrębną sędzi </w:t>
      </w:r>
      <w:proofErr w:type="spellStart"/>
      <w:r>
        <w:t>Yudkivskiej</w:t>
      </w:r>
      <w:proofErr w:type="spellEnd"/>
      <w:r>
        <w:t>.</w:t>
      </w:r>
    </w:p>
    <w:p w14:paraId="3B2A319A" w14:textId="77777777" w:rsidR="009C128A" w:rsidRDefault="00263167">
      <w:pPr>
        <w:pStyle w:val="JuInitialled"/>
      </w:pPr>
      <w:r>
        <w:t>S.O.L.</w:t>
      </w:r>
      <w:r>
        <w:br/>
        <w:t>V.S.</w:t>
      </w:r>
    </w:p>
    <w:p w14:paraId="5CBDB41D" w14:textId="77777777" w:rsidR="009C128A" w:rsidRDefault="009C128A">
      <w:pPr>
        <w:pStyle w:val="JuInitialled"/>
        <w:sectPr w:rsidR="009C128A">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74B3AE33" w14:textId="77777777" w:rsidR="009C128A" w:rsidRDefault="00263167">
      <w:pPr>
        <w:pStyle w:val="DecHTitle"/>
        <w:rPr>
          <w:rFonts w:eastAsia="Times New Roman"/>
        </w:rPr>
      </w:pPr>
      <w:r>
        <w:lastRenderedPageBreak/>
        <w:t>OPINIA ODRĘBNA SĘDZI YUDKIVSKIEJ</w:t>
      </w:r>
    </w:p>
    <w:p w14:paraId="2C2EC96C" w14:textId="4F28C344" w:rsidR="009C128A" w:rsidRDefault="00263167">
      <w:pPr>
        <w:pStyle w:val="JuPara"/>
        <w:rPr>
          <w:rFonts w:eastAsia="Times New Roman"/>
        </w:rPr>
      </w:pPr>
      <w:r>
        <w:t>Nie zagłosowałam wraz z </w:t>
      </w:r>
      <w:r w:rsidR="004163E7">
        <w:t xml:space="preserve">moimi </w:t>
      </w:r>
      <w:r>
        <w:t xml:space="preserve">szanownymi </w:t>
      </w:r>
      <w:r w:rsidR="004163E7">
        <w:t xml:space="preserve">kolegami </w:t>
      </w:r>
      <w:r>
        <w:t xml:space="preserve">za stwierdzeniem naruszenia art. 8 Konwencji nie dlatego, iż uznałam, że ramy prawne będące przedmiotem niniejszej sprawy spełniają wymogi art. 8, czy też dlatego, że </w:t>
      </w:r>
      <w:r w:rsidR="004163E7">
        <w:t xml:space="preserve">istniały </w:t>
      </w:r>
      <w:r>
        <w:t>odpowiednie gwarancje proceduralne. W rzecz</w:t>
      </w:r>
      <w:r w:rsidR="004163E7">
        <w:t xml:space="preserve">ywistości </w:t>
      </w:r>
      <w:r>
        <w:t>z łatwością mogłabym zgodzić się z </w:t>
      </w:r>
      <w:r w:rsidR="004163E7">
        <w:t xml:space="preserve">ich </w:t>
      </w:r>
      <w:r>
        <w:t>argumentacją w tym zakresie.</w:t>
      </w:r>
    </w:p>
    <w:p w14:paraId="19F2077B" w14:textId="1AD1B936" w:rsidR="009C128A" w:rsidRDefault="00263167">
      <w:pPr>
        <w:pStyle w:val="JuPara"/>
        <w:rPr>
          <w:rFonts w:eastAsia="Times New Roman"/>
        </w:rPr>
      </w:pPr>
      <w:r>
        <w:t xml:space="preserve">Uważam jednak, że niniejsza skarga jest niedopuszczalna, ponieważ skarżący został uniewinniony </w:t>
      </w:r>
      <w:r>
        <w:rPr>
          <w:color w:val="000000"/>
        </w:rPr>
        <w:t xml:space="preserve">w postępowaniu, w odniesieniu do którego twierdził, że naruszono przysługującą mu </w:t>
      </w:r>
      <w:r w:rsidR="004163E7">
        <w:rPr>
          <w:color w:val="000000"/>
        </w:rPr>
        <w:t>PTZ.</w:t>
      </w:r>
      <w:r>
        <w:rPr>
          <w:color w:val="000000"/>
        </w:rPr>
        <w:t xml:space="preserve"> Jako że został uniewinniony,</w:t>
      </w:r>
      <w:r>
        <w:t xml:space="preserve"> nie może dalej podnosić zarzutu </w:t>
      </w:r>
      <w:r w:rsidR="004163E7">
        <w:t xml:space="preserve">jakiegokolwiek </w:t>
      </w:r>
      <w:r>
        <w:t xml:space="preserve">naruszenia prawa do rzetelnego procesu sądowego – w tym prawa do obrony obejmującego </w:t>
      </w:r>
      <w:r w:rsidR="004163E7">
        <w:t>PTZ</w:t>
      </w:r>
      <w:r>
        <w:t>, w związku z utratą statusu ofiary. Trybunał doszedł do tego wniosku w pkt 59 wyroku.</w:t>
      </w:r>
    </w:p>
    <w:p w14:paraId="7515CBF4" w14:textId="771E5AED" w:rsidR="009C128A" w:rsidRDefault="00263167">
      <w:pPr>
        <w:pStyle w:val="JuPara"/>
        <w:rPr>
          <w:rFonts w:eastAsia="Times New Roman"/>
        </w:rPr>
      </w:pPr>
      <w:r>
        <w:t xml:space="preserve">Przyjąwszy, że skarżący może nadal być ofiarą naruszenia przysługującej mu </w:t>
      </w:r>
      <w:r w:rsidR="00B47C00">
        <w:t>PTZ</w:t>
      </w:r>
      <w:r>
        <w:t>, większość sędziów zignorowała moim zdaniem sam</w:t>
      </w:r>
      <w:r w:rsidR="00B47C00">
        <w:t>ą</w:t>
      </w:r>
      <w:r>
        <w:t xml:space="preserve"> </w:t>
      </w:r>
      <w:r w:rsidR="00B47C00">
        <w:t xml:space="preserve">istotę </w:t>
      </w:r>
      <w:r>
        <w:t>tej tajemnicy.</w:t>
      </w:r>
    </w:p>
    <w:p w14:paraId="603E3A69" w14:textId="414E2AD9" w:rsidR="009C128A" w:rsidRDefault="00B47C00">
      <w:pPr>
        <w:pStyle w:val="JuPara"/>
        <w:rPr>
          <w:rFonts w:eastAsia="Times New Roman"/>
        </w:rPr>
      </w:pPr>
      <w:r>
        <w:t xml:space="preserve">Poufność </w:t>
      </w:r>
      <w:r w:rsidR="00263167">
        <w:t xml:space="preserve">stosunku między prawnikiem a klientem nie może być traktowana jako </w:t>
      </w:r>
      <w:r>
        <w:t xml:space="preserve">prawo </w:t>
      </w:r>
      <w:r w:rsidR="00263167">
        <w:t xml:space="preserve">autonomiczne. Uznawana w wielu instrumentach międzynarodowych i ustawodawstwie wewnętrznym wielu krajów, wynika z prawa do obrony i wyjaśnia się ją, zarówno w doktrynie, jak i orzecznictwie, poprzez prawo do </w:t>
      </w:r>
      <w:r>
        <w:t>nieobciążania samego siebie</w:t>
      </w:r>
      <w:r w:rsidR="00263167">
        <w:t>.</w:t>
      </w:r>
    </w:p>
    <w:p w14:paraId="4E53C834" w14:textId="03353F19" w:rsidR="009C128A" w:rsidRDefault="00B47C00">
      <w:pPr>
        <w:pStyle w:val="JuPara"/>
        <w:rPr>
          <w:rFonts w:eastAsia="Times New Roman"/>
        </w:rPr>
      </w:pPr>
      <w:r>
        <w:t xml:space="preserve">Ten </w:t>
      </w:r>
      <w:r w:rsidR="00263167">
        <w:t>Trybunał wielokrotnie uznawał, ż</w:t>
      </w:r>
      <w:r>
        <w:t>e</w:t>
      </w:r>
      <w:r w:rsidR="00263167">
        <w:t xml:space="preserve"> poufna komunikacja z prawnikiem podlega ochronie na mocy Konwencji jako ważna gwarancja prawa do obrony</w:t>
      </w:r>
      <w:bookmarkStart w:id="9" w:name="_ftnref5"/>
      <w:bookmarkEnd w:id="9"/>
      <w:r>
        <w:t xml:space="preserve"> jako takiego</w:t>
      </w:r>
      <w:r w:rsidR="00263167">
        <w:rPr>
          <w:rFonts w:eastAsia="Times New Roman"/>
          <w:color w:val="000000"/>
          <w:vertAlign w:val="superscript"/>
        </w:rPr>
        <w:footnoteReference w:id="1"/>
      </w:r>
      <w:r w:rsidR="00263167">
        <w:t xml:space="preserve">. </w:t>
      </w:r>
      <w:r w:rsidR="006D0C66">
        <w:t xml:space="preserve">Poufność </w:t>
      </w:r>
      <w:r w:rsidR="00263167">
        <w:t xml:space="preserve">stosunku między prawnikiem a klientem </w:t>
      </w:r>
      <w:r w:rsidR="006D0C66">
        <w:t>chroni</w:t>
      </w:r>
      <w:r w:rsidR="00263167">
        <w:t xml:space="preserve"> integralnoś</w:t>
      </w:r>
      <w:r w:rsidR="006D0C66">
        <w:t>ć</w:t>
      </w:r>
      <w:r w:rsidR="00263167">
        <w:t xml:space="preserve"> reprezentacji prawnej</w:t>
      </w:r>
      <w:r w:rsidR="006D0C66">
        <w:t xml:space="preserve"> jako takiej</w:t>
      </w:r>
      <w:r w:rsidR="00263167">
        <w:rPr>
          <w:rFonts w:eastAsia="Times New Roman"/>
          <w:color w:val="000000"/>
          <w:vertAlign w:val="superscript"/>
        </w:rPr>
        <w:footnoteReference w:id="2"/>
      </w:r>
      <w:r w:rsidR="00263167">
        <w:t>. Jak zauważono w doktrynie, ochrona ta ma „uzasadnienie wynikające z zasady praworządności”</w:t>
      </w:r>
      <w:r w:rsidR="00263167">
        <w:rPr>
          <w:rFonts w:eastAsia="Times New Roman"/>
          <w:vertAlign w:val="superscript"/>
        </w:rPr>
        <w:footnoteReference w:id="3"/>
      </w:r>
      <w:r w:rsidR="00263167">
        <w:t xml:space="preserve">, a prawo do poufności komunikacji między prawnikiem a klientem wynika z prawa do rzetelnego procesu sądowego i do </w:t>
      </w:r>
      <w:r w:rsidR="006D0C66">
        <w:t xml:space="preserve">reprezentacji </w:t>
      </w:r>
      <w:r w:rsidR="00263167">
        <w:t>prawne</w:t>
      </w:r>
      <w:r w:rsidR="006D0C66">
        <w:t>j</w:t>
      </w:r>
      <w:r w:rsidR="00263167">
        <w:rPr>
          <w:rFonts w:eastAsia="Times New Roman"/>
          <w:vertAlign w:val="superscript"/>
        </w:rPr>
        <w:footnoteReference w:id="4"/>
      </w:r>
      <w:r w:rsidR="00263167">
        <w:t xml:space="preserve">. Twierdzi się również, że „Europejski Trybunał Praw Człowieka jasno wyraził swoje stanowisko, iż poufność komunikacji między prawnikiem a klientem jest konieczna, aby zagwarantować skuteczność prawa do </w:t>
      </w:r>
      <w:r w:rsidR="006D0C66">
        <w:t xml:space="preserve">reprezentacji </w:t>
      </w:r>
      <w:r w:rsidR="00263167">
        <w:t>prawne</w:t>
      </w:r>
      <w:r w:rsidR="006D0C66">
        <w:t>j</w:t>
      </w:r>
      <w:r w:rsidR="00263167">
        <w:t>”</w:t>
      </w:r>
      <w:r w:rsidR="00263167">
        <w:rPr>
          <w:rFonts w:eastAsia="Times New Roman"/>
          <w:vertAlign w:val="superscript"/>
        </w:rPr>
        <w:footnoteReference w:id="5"/>
      </w:r>
      <w:r w:rsidR="00263167">
        <w:t>.</w:t>
      </w:r>
    </w:p>
    <w:p w14:paraId="7F34489B" w14:textId="2CC25376" w:rsidR="009C128A" w:rsidRDefault="00263167">
      <w:pPr>
        <w:pStyle w:val="JuPara"/>
        <w:rPr>
          <w:rFonts w:ascii="Times New Roman" w:eastAsia="Times New Roman" w:hAnsi="Times New Roman" w:cs="Times New Roman"/>
        </w:rPr>
      </w:pPr>
      <w:r>
        <w:rPr>
          <w:rFonts w:ascii="Times New Roman" w:hAnsi="Times New Roman"/>
        </w:rPr>
        <w:t xml:space="preserve">Trybunał zawsze poważnie traktował ochronę stosunku między prawnikiem a klientem poważnie i skrupulatnie ją </w:t>
      </w:r>
      <w:r w:rsidR="006D0C66">
        <w:rPr>
          <w:rFonts w:ascii="Times New Roman" w:hAnsi="Times New Roman"/>
        </w:rPr>
        <w:t>analizował</w:t>
      </w:r>
      <w:r>
        <w:rPr>
          <w:rFonts w:ascii="Times New Roman" w:hAnsi="Times New Roman"/>
        </w:rPr>
        <w:t xml:space="preserve">. W pkt 38 </w:t>
      </w:r>
      <w:r>
        <w:t xml:space="preserve">wyroku w sprawie </w:t>
      </w:r>
      <w:proofErr w:type="spellStart"/>
      <w:r>
        <w:rPr>
          <w:i/>
          <w:iCs/>
        </w:rPr>
        <w:t>Kopp</w:t>
      </w:r>
      <w:proofErr w:type="spellEnd"/>
      <w:r>
        <w:rPr>
          <w:i/>
          <w:iCs/>
        </w:rPr>
        <w:t xml:space="preserve"> przeciwko Szwajcarii</w:t>
      </w:r>
      <w:r>
        <w:rPr>
          <w:rFonts w:ascii="Times New Roman" w:hAnsi="Times New Roman"/>
        </w:rPr>
        <w:t xml:space="preserve"> </w:t>
      </w:r>
      <w:r>
        <w:rPr>
          <w:vertAlign w:val="superscript"/>
        </w:rPr>
        <w:footnoteReference w:id="6"/>
      </w:r>
      <w:r>
        <w:t xml:space="preserve"> Trybunał zacytował opinię </w:t>
      </w:r>
      <w:r>
        <w:lastRenderedPageBreak/>
        <w:t>badaczy akademickich, zgodnie z którą informacje</w:t>
      </w:r>
      <w:r>
        <w:rPr>
          <w:rFonts w:ascii="Times New Roman" w:hAnsi="Times New Roman"/>
          <w:bCs/>
        </w:rPr>
        <w:t xml:space="preserve"> niezwiązane konkretnie z pracą prawnika wykonywaną na polecenie strony postępowania nie są objęte tajemnicą zawodową</w:t>
      </w:r>
      <w:r>
        <w:rPr>
          <w:rFonts w:ascii="Times New Roman" w:eastAsia="Times New Roman" w:hAnsi="Times New Roman" w:cs="Times New Roman"/>
          <w:bCs/>
          <w:vertAlign w:val="superscript"/>
        </w:rPr>
        <w:footnoteReference w:id="7"/>
      </w:r>
      <w:r>
        <w:rPr>
          <w:rFonts w:ascii="Times New Roman" w:hAnsi="Times New Roman"/>
          <w:bCs/>
        </w:rPr>
        <w:t>.</w:t>
      </w:r>
      <w:r>
        <w:rPr>
          <w:rFonts w:ascii="Times New Roman" w:hAnsi="Times New Roman"/>
        </w:rPr>
        <w:t xml:space="preserve"> Następnie stwierdził, że „</w:t>
      </w:r>
      <w:r>
        <w:rPr>
          <w:rFonts w:ascii="Times New Roman" w:hAnsi="Times New Roman"/>
          <w:bCs/>
        </w:rPr>
        <w:t>wrażliwy obszar poufnych relacji między prawnikiem a jego klientami [...] bezpośrednio dotyczy prawa od obrony</w:t>
      </w:r>
      <w:r>
        <w:rPr>
          <w:rFonts w:ascii="Times New Roman" w:hAnsi="Times New Roman"/>
        </w:rPr>
        <w:t>”.</w:t>
      </w:r>
    </w:p>
    <w:p w14:paraId="13D25AB9" w14:textId="2340F741" w:rsidR="009C128A" w:rsidRDefault="00263167">
      <w:pPr>
        <w:pStyle w:val="JuPara"/>
        <w:rPr>
          <w:rFonts w:eastAsia="Times New Roman"/>
          <w:bCs/>
        </w:rPr>
      </w:pPr>
      <w:r>
        <w:t xml:space="preserve">W sprawie </w:t>
      </w:r>
      <w:proofErr w:type="spellStart"/>
      <w:r>
        <w:rPr>
          <w:i/>
          <w:iCs/>
        </w:rPr>
        <w:t>Versini-Campinchi</w:t>
      </w:r>
      <w:proofErr w:type="spellEnd"/>
      <w:r>
        <w:rPr>
          <w:i/>
          <w:iCs/>
        </w:rPr>
        <w:t xml:space="preserve"> i </w:t>
      </w:r>
      <w:proofErr w:type="spellStart"/>
      <w:r>
        <w:rPr>
          <w:i/>
          <w:iCs/>
        </w:rPr>
        <w:t>Crasnianski</w:t>
      </w:r>
      <w:proofErr w:type="spellEnd"/>
      <w:r>
        <w:rPr>
          <w:i/>
          <w:iCs/>
        </w:rPr>
        <w:t xml:space="preserve"> przeciwko Francji</w:t>
      </w:r>
      <w:r>
        <w:rPr>
          <w:rFonts w:eastAsia="Times New Roman"/>
          <w:bCs/>
          <w:vertAlign w:val="superscript"/>
        </w:rPr>
        <w:footnoteReference w:id="8"/>
      </w:r>
      <w:r>
        <w:rPr>
          <w:i/>
          <w:iCs/>
        </w:rPr>
        <w:t xml:space="preserve"> </w:t>
      </w:r>
      <w:r w:rsidR="008F1AFE">
        <w:t xml:space="preserve">transkrypcja </w:t>
      </w:r>
      <w:r>
        <w:t xml:space="preserve">rozmowy telefonicznej, którą skarżąca (prawnik) przeprowadziła ze swoim klientem, został wykorzystany jako materiał dowodowy w prowadzonym przeciwko niej postępowaniu dyscyplinarnym. Trybunał nie dopatrzył się naruszenia art. 8 Konwencji, </w:t>
      </w:r>
      <w:r w:rsidR="008F1AFE">
        <w:t>ponieważ</w:t>
      </w:r>
      <w:r>
        <w:t xml:space="preserve"> sądy krajowe uznały, ż</w:t>
      </w:r>
      <w:r w:rsidR="008F1AFE">
        <w:t>e</w:t>
      </w:r>
      <w:r>
        <w:t xml:space="preserve"> transkryp</w:t>
      </w:r>
      <w:r w:rsidR="008F1AFE">
        <w:t>cja</w:t>
      </w:r>
      <w:r>
        <w:t xml:space="preserve"> </w:t>
      </w:r>
      <w:r>
        <w:rPr>
          <w:b/>
          <w:bCs/>
          <w:i/>
          <w:iCs/>
        </w:rPr>
        <w:t>nie narusz</w:t>
      </w:r>
      <w:r w:rsidR="008F1AFE">
        <w:rPr>
          <w:b/>
          <w:bCs/>
          <w:i/>
          <w:iCs/>
        </w:rPr>
        <w:t>ała</w:t>
      </w:r>
      <w:r>
        <w:rPr>
          <w:b/>
          <w:bCs/>
          <w:i/>
          <w:iCs/>
        </w:rPr>
        <w:t xml:space="preserve"> prawa klienta skarżącej do obrony</w:t>
      </w:r>
      <w:r>
        <w:t xml:space="preserve">, a fakt, że skarżąca była prawnikiem </w:t>
      </w:r>
      <w:r w:rsidR="00A43462">
        <w:t>tego ostatniego</w:t>
      </w:r>
      <w:r>
        <w:t xml:space="preserve">, nie był wystarczający, aby nastąpiło naruszenie art. 8 Konwencji. Ponadto w sprawie </w:t>
      </w:r>
      <w:bookmarkStart w:id="10" w:name="_Hlk57710602"/>
      <w:proofErr w:type="spellStart"/>
      <w:r>
        <w:rPr>
          <w:bCs/>
          <w:i/>
          <w:iCs/>
        </w:rPr>
        <w:t>Michaud</w:t>
      </w:r>
      <w:proofErr w:type="spellEnd"/>
      <w:r>
        <w:rPr>
          <w:bCs/>
          <w:i/>
          <w:iCs/>
        </w:rPr>
        <w:t xml:space="preserve"> przeciwko Francji</w:t>
      </w:r>
      <w:bookmarkEnd w:id="10"/>
      <w:r>
        <w:rPr>
          <w:rFonts w:eastAsia="Times New Roman"/>
          <w:bCs/>
          <w:i/>
          <w:iCs/>
          <w:vertAlign w:val="superscript"/>
          <w:lang w:val="en-AU"/>
        </w:rPr>
        <w:footnoteReference w:id="9"/>
      </w:r>
      <w:r>
        <w:t xml:space="preserve"> Trybunał doszedł do wniosku, że „rola prawnika jako obrońcy [...] </w:t>
      </w:r>
      <w:r w:rsidR="00A43462">
        <w:t xml:space="preserve">tworzy </w:t>
      </w:r>
      <w:r>
        <w:t xml:space="preserve">podstawę prawniczej tajemnicy zawodowej”, co oznacza, że jeżeli nie doszło do naruszenia roli prawnika jako obrońcy (co można tłumaczyć jako prawo skarżącego do obrony), nie można stwierdzić naruszenia </w:t>
      </w:r>
      <w:r w:rsidR="00A43462">
        <w:t>ZTP</w:t>
      </w:r>
      <w:r>
        <w:t>. Jest więc jasne, że ochrona stosunków między prawnikiem a klientem nie jest rozpatrywana w oderwaniu od prawa do obrony.</w:t>
      </w:r>
    </w:p>
    <w:p w14:paraId="07EF1ACA" w14:textId="3E2A5342" w:rsidR="009C128A" w:rsidRDefault="00263167">
      <w:pPr>
        <w:pStyle w:val="JuPara"/>
        <w:rPr>
          <w:rFonts w:eastAsia="Times New Roman"/>
        </w:rPr>
      </w:pPr>
      <w:r>
        <w:t xml:space="preserve">W istocie Trybunał uprzednio </w:t>
      </w:r>
      <w:r w:rsidR="00A43462">
        <w:t xml:space="preserve">zbadał </w:t>
      </w:r>
      <w:r>
        <w:t xml:space="preserve">wiele skarg dotyczących naruszenia tej ochrony. Ilekroć skargę dotyczącą takiego zarzutu naruszenia wnosił prawnik, Trybunał wyraźnie badał ją z punktu widzenia art. 8 (zob. między innymi </w:t>
      </w:r>
      <w:r>
        <w:rPr>
          <w:i/>
          <w:iCs/>
        </w:rPr>
        <w:t xml:space="preserve">Petri </w:t>
      </w:r>
      <w:proofErr w:type="spellStart"/>
      <w:r>
        <w:rPr>
          <w:i/>
          <w:iCs/>
        </w:rPr>
        <w:t>Sallinen</w:t>
      </w:r>
      <w:proofErr w:type="spellEnd"/>
      <w:r>
        <w:rPr>
          <w:i/>
          <w:iCs/>
        </w:rPr>
        <w:t xml:space="preserve"> i Inni przeciwko Finlandii </w:t>
      </w:r>
      <w:r>
        <w:t>(nr 50882/99, 27 września 2005 r.)</w:t>
      </w:r>
      <w:r w:rsidR="00A43462">
        <w:t>,</w:t>
      </w:r>
      <w:r>
        <w:rPr>
          <w:i/>
          <w:iCs/>
        </w:rPr>
        <w:t xml:space="preserve"> </w:t>
      </w:r>
      <w:proofErr w:type="spellStart"/>
      <w:r>
        <w:rPr>
          <w:i/>
          <w:iCs/>
        </w:rPr>
        <w:t>Kruglov</w:t>
      </w:r>
      <w:proofErr w:type="spellEnd"/>
      <w:r>
        <w:rPr>
          <w:i/>
          <w:iCs/>
        </w:rPr>
        <w:t xml:space="preserve"> i Inni przeciwko Rosji</w:t>
      </w:r>
      <w:r>
        <w:t xml:space="preserve">, (nr 11264/04 i 15 pozostałych, 4 lutego 2020 r.) oraz </w:t>
      </w:r>
      <w:proofErr w:type="spellStart"/>
      <w:r>
        <w:rPr>
          <w:i/>
          <w:iCs/>
        </w:rPr>
        <w:t>Golovan</w:t>
      </w:r>
      <w:proofErr w:type="spellEnd"/>
      <w:r>
        <w:rPr>
          <w:i/>
          <w:iCs/>
        </w:rPr>
        <w:t xml:space="preserve"> przeciwko Ukrainie, </w:t>
      </w:r>
      <w:r>
        <w:t xml:space="preserve">(nr 41716/06, 5 lipca 2012 r.)). Podobne skargi składane przez podejrzanych w większości były rozpatrywane na podstawie art. 6 ust. 3 lit. c) Konwencji (zob. między innymi </w:t>
      </w:r>
      <w:proofErr w:type="spellStart"/>
      <w:r>
        <w:rPr>
          <w:i/>
          <w:iCs/>
        </w:rPr>
        <w:t>Khodorkovskiy</w:t>
      </w:r>
      <w:proofErr w:type="spellEnd"/>
      <w:r>
        <w:rPr>
          <w:i/>
          <w:iCs/>
        </w:rPr>
        <w:t xml:space="preserve"> przeciwko Rosji</w:t>
      </w:r>
      <w:r>
        <w:t>, nr 5829/04, 31 maja 2011 r.</w:t>
      </w:r>
      <w:r w:rsidR="00A43462">
        <w:t>,</w:t>
      </w:r>
      <w:r>
        <w:t xml:space="preserve"> </w:t>
      </w:r>
      <w:proofErr w:type="spellStart"/>
      <w:r>
        <w:rPr>
          <w:i/>
          <w:iCs/>
        </w:rPr>
        <w:t>Khodorkovskiy</w:t>
      </w:r>
      <w:proofErr w:type="spellEnd"/>
      <w:r>
        <w:rPr>
          <w:i/>
          <w:iCs/>
        </w:rPr>
        <w:t xml:space="preserve"> i </w:t>
      </w:r>
      <w:proofErr w:type="spellStart"/>
      <w:r>
        <w:rPr>
          <w:i/>
          <w:iCs/>
        </w:rPr>
        <w:t>Lebedev</w:t>
      </w:r>
      <w:proofErr w:type="spellEnd"/>
      <w:r>
        <w:rPr>
          <w:i/>
          <w:iCs/>
        </w:rPr>
        <w:t xml:space="preserve"> przeciwko Rosji</w:t>
      </w:r>
      <w:r>
        <w:t>, nr 11082/06 i 13772/05, 25 lipca 2013 r. i </w:t>
      </w:r>
      <w:r>
        <w:rPr>
          <w:i/>
          <w:iCs/>
        </w:rPr>
        <w:t xml:space="preserve">M. przeciwko Holandii, </w:t>
      </w:r>
      <w:r>
        <w:t xml:space="preserve">nr 2156/10, 25 lipca 2017 r.), czasem na podstawie art. 5 ust. 4 (zob. </w:t>
      </w:r>
      <w:proofErr w:type="spellStart"/>
      <w:r>
        <w:rPr>
          <w:i/>
          <w:iCs/>
        </w:rPr>
        <w:t>Castravet</w:t>
      </w:r>
      <w:proofErr w:type="spellEnd"/>
      <w:r>
        <w:rPr>
          <w:i/>
          <w:iCs/>
        </w:rPr>
        <w:t xml:space="preserve"> przeciwko Mołdawii, </w:t>
      </w:r>
      <w:r>
        <w:t>nr 23393/05, 13 marca 2007 r.)</w:t>
      </w:r>
      <w:r w:rsidR="006C331C">
        <w:t>, a czasem</w:t>
      </w:r>
      <w:r>
        <w:t xml:space="preserve"> art. 8 (zob. między innymi </w:t>
      </w:r>
      <w:r>
        <w:rPr>
          <w:i/>
          <w:iCs/>
        </w:rPr>
        <w:t xml:space="preserve">Piechowicz przeciwko Polsce, </w:t>
      </w:r>
      <w:r>
        <w:t>nr 20071/07, 17 kwietnia 2012 r. i</w:t>
      </w:r>
      <w:r>
        <w:rPr>
          <w:i/>
          <w:iCs/>
        </w:rPr>
        <w:t> </w:t>
      </w:r>
      <w:proofErr w:type="spellStart"/>
      <w:r>
        <w:rPr>
          <w:i/>
          <w:iCs/>
        </w:rPr>
        <w:t>Sorvisto</w:t>
      </w:r>
      <w:proofErr w:type="spellEnd"/>
      <w:r>
        <w:rPr>
          <w:i/>
          <w:iCs/>
        </w:rPr>
        <w:t xml:space="preserve"> przeciwko Finlandii, </w:t>
      </w:r>
      <w:r>
        <w:t>nr 19348/04, 13 stycznia 2009 r.) – zależnie od okoliczności i wstępnej klasyfikacji skarżącego.</w:t>
      </w:r>
    </w:p>
    <w:p w14:paraId="7AE377F8" w14:textId="78C8DEBE" w:rsidR="009C128A" w:rsidRDefault="00263167">
      <w:pPr>
        <w:pStyle w:val="JuPara"/>
        <w:rPr>
          <w:rFonts w:eastAsia="Times New Roman"/>
        </w:rPr>
      </w:pPr>
      <w:r>
        <w:t xml:space="preserve">Nie ulega wątpliwości, że charakter ingerencji w tajemnicę </w:t>
      </w:r>
      <w:r w:rsidR="006C331C">
        <w:t xml:space="preserve">prawniczą </w:t>
      </w:r>
      <w:r>
        <w:t>jest inny w sprawach dotyczących prawników i ich klientów.</w:t>
      </w:r>
    </w:p>
    <w:p w14:paraId="037E54F7" w14:textId="4D162213" w:rsidR="009C128A" w:rsidRDefault="00263167">
      <w:pPr>
        <w:pStyle w:val="JuPara"/>
        <w:rPr>
          <w:rFonts w:eastAsia="Times New Roman"/>
        </w:rPr>
      </w:pPr>
      <w:r>
        <w:t xml:space="preserve">Wyjaśniając zakres prawniczej tajemnicy zawodowej w przypadku przeszukania kancelarii i zajęcia dokumentów, Trybunał stwierdził: </w:t>
      </w:r>
      <w:r>
        <w:lastRenderedPageBreak/>
        <w:t xml:space="preserve">„Zaskarżone środki stanowiły ingerencję w życie zawodowe pierwszego skarżącego: miały negatywny wpływ na jego reputację </w:t>
      </w:r>
      <w:r w:rsidR="006C331C">
        <w:t>jako</w:t>
      </w:r>
      <w:r>
        <w:t xml:space="preserve"> prawnika i musiały wpłynąć na jego lub jej szeroki zakres kontaktów osobistych [...]”</w:t>
      </w:r>
      <w:r>
        <w:rPr>
          <w:rFonts w:eastAsia="Times New Roman"/>
          <w:color w:val="000000"/>
          <w:vertAlign w:val="superscript"/>
        </w:rPr>
        <w:footnoteReference w:id="10"/>
      </w:r>
      <w:r>
        <w:t xml:space="preserve">. Trybunał także „przywiązał szczególną wagę do tego obszaru ryzyka, jako że mógł mieć wpływ na </w:t>
      </w:r>
      <w:r>
        <w:rPr>
          <w:i/>
          <w:iCs/>
          <w:u w:val="single"/>
        </w:rPr>
        <w:t>prawidłowe funkcjonowanie wymiaru sprawiedliwości</w:t>
      </w:r>
      <w:r>
        <w:t>”</w:t>
      </w:r>
      <w:r>
        <w:rPr>
          <w:rFonts w:eastAsia="Times New Roman"/>
          <w:color w:val="000000"/>
          <w:vertAlign w:val="superscript"/>
        </w:rPr>
        <w:footnoteReference w:id="11"/>
      </w:r>
      <w:r>
        <w:t>.</w:t>
      </w:r>
    </w:p>
    <w:p w14:paraId="208E428D" w14:textId="7DFD7B20" w:rsidR="009C128A" w:rsidRDefault="00263167">
      <w:pPr>
        <w:pStyle w:val="JuPara"/>
        <w:rPr>
          <w:rFonts w:eastAsia="Times New Roman"/>
        </w:rPr>
      </w:pPr>
      <w:r>
        <w:t xml:space="preserve">W odniesieniu do podejrzanych Trybunał wyjaśnił pierwotne przesłanki ochrony stosunku między prawnikiem a klientem – niezależnie od tego, czy dana skarga </w:t>
      </w:r>
      <w:r w:rsidR="00A6271D">
        <w:t>została złożona</w:t>
      </w:r>
      <w:r>
        <w:t xml:space="preserve"> na podstawie art. 8 czy art. 6 ust. 3 lit. c) – poprzez </w:t>
      </w:r>
      <w:r w:rsidR="00A6271D">
        <w:t xml:space="preserve">odwołanie do </w:t>
      </w:r>
      <w:r>
        <w:rPr>
          <w:b/>
          <w:bCs/>
          <w:i/>
          <w:iCs/>
        </w:rPr>
        <w:t>praw</w:t>
      </w:r>
      <w:r w:rsidR="00A6271D">
        <w:rPr>
          <w:b/>
          <w:bCs/>
          <w:i/>
          <w:iCs/>
        </w:rPr>
        <w:t>a</w:t>
      </w:r>
      <w:r>
        <w:rPr>
          <w:b/>
          <w:bCs/>
          <w:i/>
          <w:iCs/>
        </w:rPr>
        <w:t xml:space="preserve"> do rzetelnego procesu sądowego</w:t>
      </w:r>
      <w:r>
        <w:t xml:space="preserve">: „Jednym z kluczowych elementów skutecznej reprezentacji interesów klienta przez prawnika jest zasada ochrony poufności wymienianych między nimi informacji. Ochrona ta sprzyja otwartej i uczciwej komunikacji między klientami a prawnikami. Trybunał wielokrotnie stwierdzał </w:t>
      </w:r>
      <w:r>
        <w:rPr>
          <w:u w:val="single"/>
        </w:rPr>
        <w:t>w kontekście art. 8 i 6</w:t>
      </w:r>
      <w:r>
        <w:t xml:space="preserve">, iż poufna komunikacja z prawnikiem podlega ochronie na mocy Konwencji jako istotna </w:t>
      </w:r>
      <w:r>
        <w:rPr>
          <w:u w:val="single"/>
        </w:rPr>
        <w:t>gwarancja prawa do obrony</w:t>
      </w:r>
      <w:r>
        <w:t>”</w:t>
      </w:r>
      <w:r>
        <w:rPr>
          <w:rFonts w:eastAsia="Times New Roman"/>
          <w:color w:val="000000"/>
          <w:vertAlign w:val="superscript"/>
        </w:rPr>
        <w:footnoteReference w:id="12"/>
      </w:r>
      <w:r>
        <w:t>.</w:t>
      </w:r>
    </w:p>
    <w:p w14:paraId="0C9BE541" w14:textId="69606B59" w:rsidR="009C128A" w:rsidRDefault="00263167">
      <w:pPr>
        <w:pStyle w:val="JuPara"/>
        <w:rPr>
          <w:rFonts w:eastAsia="Times New Roman"/>
        </w:rPr>
      </w:pPr>
      <w:r>
        <w:t>Badając skargę dotyczącą art. 8, Trybunał przypomniał, że „każda osoba, która chce się skonsultować z </w:t>
      </w:r>
      <w:r w:rsidR="00A6271D">
        <w:t>prawnikiem</w:t>
      </w:r>
      <w:r>
        <w:t>, winna to uczynić w warunkach sprzyjających pełnej i nieskrępowanej dyskusji. Z tego powodu stosunek między prawnikiem a klientem podlega z zasady ochronie. [...] W istocie gdyby prawnik nie był w stanie porozumiewać się z klientem i otrzymywać od niego poufnych poleceń bez takie</w:t>
      </w:r>
      <w:r w:rsidR="008E20FD">
        <w:t>go nadzoru</w:t>
      </w:r>
      <w:r>
        <w:t xml:space="preserve">, jego </w:t>
      </w:r>
      <w:r>
        <w:rPr>
          <w:i/>
          <w:iCs/>
        </w:rPr>
        <w:t xml:space="preserve">pomoc </w:t>
      </w:r>
      <w:r>
        <w:t>straciłaby wiele na swej użyteczności [...]”</w:t>
      </w:r>
      <w:r>
        <w:rPr>
          <w:rFonts w:eastAsia="Times New Roman"/>
          <w:color w:val="000000"/>
          <w:vertAlign w:val="superscript"/>
        </w:rPr>
        <w:footnoteReference w:id="13"/>
      </w:r>
      <w:r>
        <w:t>.</w:t>
      </w:r>
    </w:p>
    <w:p w14:paraId="53B6B3C5" w14:textId="193E75F7" w:rsidR="009C128A" w:rsidRDefault="00263167">
      <w:pPr>
        <w:pStyle w:val="JuPara"/>
        <w:rPr>
          <w:rFonts w:eastAsia="Times New Roman"/>
        </w:rPr>
      </w:pPr>
      <w:r>
        <w:t xml:space="preserve">Trybunał </w:t>
      </w:r>
      <w:r w:rsidR="008E20FD">
        <w:t xml:space="preserve">podsumował swoje podejście </w:t>
      </w:r>
      <w:r>
        <w:t xml:space="preserve">również w sprawie </w:t>
      </w:r>
      <w:r>
        <w:rPr>
          <w:i/>
          <w:iCs/>
        </w:rPr>
        <w:t>M. przeciwko Holandii</w:t>
      </w:r>
      <w:r>
        <w:t>:</w:t>
      </w:r>
    </w:p>
    <w:p w14:paraId="231B7F82" w14:textId="18C16385" w:rsidR="009C128A" w:rsidRDefault="00263167">
      <w:pPr>
        <w:pStyle w:val="JuQuot"/>
        <w:rPr>
          <w:rFonts w:eastAsia="Times New Roman"/>
        </w:rPr>
      </w:pPr>
      <w:r>
        <w:t xml:space="preserve">“85.  Trybunał orzekł, że prawo oskarżonego do komunikowania się z przedstawicielem prawnym poza zasięgiem słuchu osoby trzeciej </w:t>
      </w:r>
      <w:r>
        <w:rPr>
          <w:u w:val="single"/>
        </w:rPr>
        <w:t>stanowi jeden z podstawowych wymogów rzetelnego procesu sądowego</w:t>
      </w:r>
      <w:r>
        <w:t xml:space="preserve"> w społeczeństwie demokratycznym i wynika z art. 6 ust. 3 lit. c) Konwencji. Gdyby prawnik nie był w stanie porozumiewać się z klientem i otrzymywać od niego poufnych poleceń bez takie</w:t>
      </w:r>
      <w:r w:rsidR="008E20FD">
        <w:t>go nadzoru</w:t>
      </w:r>
      <w:r>
        <w:t>, jego pomoc straciłaby wiele na swojej użyteczności [...]”.</w:t>
      </w:r>
    </w:p>
    <w:p w14:paraId="70F76A20" w14:textId="63FB7156" w:rsidR="009C128A" w:rsidRDefault="00263167">
      <w:pPr>
        <w:pStyle w:val="JuQuot"/>
        <w:rPr>
          <w:rFonts w:eastAsia="Times New Roman"/>
        </w:rPr>
      </w:pPr>
      <w:r>
        <w:t xml:space="preserve">86.  W kontekście art. 5 ust. 4 Trybunał orzekł również, że </w:t>
      </w:r>
      <w:r>
        <w:rPr>
          <w:i/>
          <w:iCs/>
        </w:rPr>
        <w:t>ingerencja w </w:t>
      </w:r>
      <w:r w:rsidR="008E20FD">
        <w:rPr>
          <w:i/>
          <w:iCs/>
        </w:rPr>
        <w:t xml:space="preserve">poufność </w:t>
      </w:r>
      <w:r>
        <w:rPr>
          <w:i/>
          <w:iCs/>
        </w:rPr>
        <w:t>relacji między prawnikiem a klientem</w:t>
      </w:r>
      <w:r w:rsidR="008E20FD">
        <w:rPr>
          <w:i/>
          <w:iCs/>
        </w:rPr>
        <w:t>,</w:t>
      </w:r>
      <w:r>
        <w:rPr>
          <w:i/>
          <w:iCs/>
        </w:rPr>
        <w:t xml:space="preserve"> a tym samym prawo zatrzymanego do obrony</w:t>
      </w:r>
      <w:r>
        <w:t xml:space="preserve"> nie wiąż</w:t>
      </w:r>
      <w:r w:rsidR="008E20FD">
        <w:t>e</w:t>
      </w:r>
      <w:r>
        <w:t xml:space="preserve"> się konieczn</w:t>
      </w:r>
      <w:r w:rsidR="008E20FD">
        <w:t>i</w:t>
      </w:r>
      <w:r>
        <w:t>e z faktycznym aktem przechwycenia lub podsłuchu [...]</w:t>
      </w:r>
    </w:p>
    <w:p w14:paraId="5EAF4DE7" w14:textId="4037CAC2" w:rsidR="009C128A" w:rsidRDefault="00263167">
      <w:pPr>
        <w:pStyle w:val="JuQuot"/>
        <w:rPr>
          <w:rFonts w:eastAsia="Times New Roman"/>
        </w:rPr>
      </w:pPr>
      <w:r>
        <w:t>87.  Trybunał ponadto uznał w kontekście art. 8 Konwencji, że w interesie ogólnym wyraźnie leży, aby każda osoba, która chce się skonsultować z </w:t>
      </w:r>
      <w:r w:rsidR="009521CD">
        <w:t>prawnikiem</w:t>
      </w:r>
      <w:r>
        <w:t>, mogła to uczynić w warunkach sprzyjających pełnej i nieskrępowanej dyskusji. To z tego powodu stosunek między prawnikiem a klientem podlega z zasady ochronie.”</w:t>
      </w:r>
    </w:p>
    <w:p w14:paraId="064C6F90" w14:textId="0588A505" w:rsidR="009C128A" w:rsidRDefault="00263167">
      <w:pPr>
        <w:pStyle w:val="JuPara"/>
        <w:rPr>
          <w:rFonts w:eastAsia="Times New Roman"/>
        </w:rPr>
      </w:pPr>
      <w:r>
        <w:lastRenderedPageBreak/>
        <w:t xml:space="preserve">Pierwotna logika ochrony </w:t>
      </w:r>
      <w:r w:rsidR="00A6742E">
        <w:t xml:space="preserve">poufności </w:t>
      </w:r>
      <w:r>
        <w:t>stosunku prawnik</w:t>
      </w:r>
      <w:r w:rsidR="00A6742E">
        <w:t xml:space="preserve"> -</w:t>
      </w:r>
      <w:r>
        <w:t> klient</w:t>
      </w:r>
      <w:r w:rsidR="00A6742E">
        <w:t xml:space="preserve"> wymaga </w:t>
      </w:r>
      <w:r>
        <w:t xml:space="preserve"> by w toku prowadzonych przeciwko nim postępowań podejrzani byli w stanie swobodnie porozumiewać się ze swoimi prawnikami, bez obawy o ujawnienie wszystkich informacji istotnych z punktu widzenia pomocy, </w:t>
      </w:r>
      <w:r w:rsidR="00A6742E">
        <w:t>której szukają</w:t>
      </w:r>
      <w:r>
        <w:t xml:space="preserve">. </w:t>
      </w:r>
      <w:r>
        <w:rPr>
          <w:u w:val="single"/>
        </w:rPr>
        <w:t xml:space="preserve">Ochrona ta </w:t>
      </w:r>
      <w:r>
        <w:rPr>
          <w:b/>
          <w:u w:val="single"/>
        </w:rPr>
        <w:t>ugruntowana</w:t>
      </w:r>
      <w:r>
        <w:rPr>
          <w:u w:val="single"/>
        </w:rPr>
        <w:t xml:space="preserve"> jest w wolności od samooskarż</w:t>
      </w:r>
      <w:r w:rsidR="00A6742E">
        <w:rPr>
          <w:u w:val="single"/>
        </w:rPr>
        <w:t>a</w:t>
      </w:r>
      <w:r>
        <w:rPr>
          <w:u w:val="single"/>
        </w:rPr>
        <w:t>nia.</w:t>
      </w:r>
    </w:p>
    <w:p w14:paraId="3D609638" w14:textId="5265938E" w:rsidR="009C128A" w:rsidRDefault="00263167">
      <w:pPr>
        <w:pStyle w:val="JuPara"/>
        <w:rPr>
          <w:rFonts w:eastAsia="Times New Roman"/>
        </w:rPr>
      </w:pPr>
      <w:r>
        <w:t xml:space="preserve">Trybunał podkreślił to powiązanie w wyżej cytowanym pkt 86 wyroku w sprawie </w:t>
      </w:r>
      <w:r>
        <w:rPr>
          <w:i/>
          <w:iCs/>
        </w:rPr>
        <w:t>M. przeciwko Holandii</w:t>
      </w:r>
      <w:r>
        <w:t xml:space="preserve"> – „ingerencja w ochronę </w:t>
      </w:r>
      <w:r w:rsidR="00A6742E">
        <w:t xml:space="preserve">poufności </w:t>
      </w:r>
      <w:r>
        <w:t>relacji między prawnikiem a klientem</w:t>
      </w:r>
      <w:r w:rsidR="00A6742E">
        <w:t>,</w:t>
      </w:r>
      <w:r>
        <w:t xml:space="preserve"> a </w:t>
      </w:r>
      <w:r>
        <w:rPr>
          <w:b/>
          <w:bCs/>
          <w:i/>
          <w:iCs/>
        </w:rPr>
        <w:t>tym samym prawo</w:t>
      </w:r>
      <w:r>
        <w:t xml:space="preserve"> zatrzymanego </w:t>
      </w:r>
      <w:r>
        <w:rPr>
          <w:b/>
          <w:bCs/>
          <w:i/>
          <w:iCs/>
        </w:rPr>
        <w:t>do obrony</w:t>
      </w:r>
      <w:r>
        <w:t>”.</w:t>
      </w:r>
    </w:p>
    <w:p w14:paraId="3D6FB0F2" w14:textId="35E38FE2" w:rsidR="009C128A" w:rsidRDefault="00263167">
      <w:pPr>
        <w:pStyle w:val="JuPara"/>
        <w:rPr>
          <w:rFonts w:eastAsia="Times New Roman"/>
        </w:rPr>
      </w:pPr>
      <w:r>
        <w:t xml:space="preserve">W decyzji w sprawie </w:t>
      </w:r>
      <w:proofErr w:type="spellStart"/>
      <w:r>
        <w:rPr>
          <w:i/>
          <w:iCs/>
        </w:rPr>
        <w:t>Mirmotahari</w:t>
      </w:r>
      <w:proofErr w:type="spellEnd"/>
      <w:r>
        <w:rPr>
          <w:i/>
          <w:iCs/>
        </w:rPr>
        <w:t xml:space="preserve"> przeciwko Norwegii</w:t>
      </w:r>
      <w:r>
        <w:rPr>
          <w:rFonts w:eastAsia="Times New Roman"/>
          <w:color w:val="000000"/>
          <w:vertAlign w:val="superscript"/>
        </w:rPr>
        <w:footnoteReference w:id="14"/>
      </w:r>
      <w:r>
        <w:t xml:space="preserve">, w której sądy krajowe dokonały takiego samego analogicznego zastosowania </w:t>
      </w:r>
      <w:r w:rsidR="00A6742E">
        <w:t xml:space="preserve">art. 205 </w:t>
      </w:r>
      <w:r w:rsidR="00A6742E">
        <w:rPr>
          <w:rFonts w:ascii="Times New Roman" w:hAnsi="Times New Roman" w:cs="Times New Roman"/>
        </w:rPr>
        <w:t>§</w:t>
      </w:r>
      <w:r w:rsidR="00A6742E">
        <w:t xml:space="preserve"> 3 </w:t>
      </w:r>
      <w:r>
        <w:t xml:space="preserve">jak w niniejszej sprawie, </w:t>
      </w:r>
      <w:r w:rsidR="00046303">
        <w:t xml:space="preserve">nakazując </w:t>
      </w:r>
      <w:r>
        <w:t>Sąd</w:t>
      </w:r>
      <w:r w:rsidR="00046303">
        <w:t>owi</w:t>
      </w:r>
      <w:r>
        <w:t xml:space="preserve"> Rejonow</w:t>
      </w:r>
      <w:r w:rsidR="00046303">
        <w:t>emu</w:t>
      </w:r>
      <w:r>
        <w:t xml:space="preserve"> odfiltrowani</w:t>
      </w:r>
      <w:r w:rsidR="00046303">
        <w:t>e</w:t>
      </w:r>
      <w:r>
        <w:t xml:space="preserve"> materiałów przed przeszukaniem ich przez Prokuraturę, Trybunał odrzucił </w:t>
      </w:r>
      <w:r w:rsidR="00046303">
        <w:t>zarzut</w:t>
      </w:r>
      <w:r>
        <w:t xml:space="preserve"> skarżącego dotycząc</w:t>
      </w:r>
      <w:r w:rsidR="00046303">
        <w:t>y</w:t>
      </w:r>
      <w:r>
        <w:t xml:space="preserve"> naruszenia art. 8, podkreślając między innymi, że „skarżący nie </w:t>
      </w:r>
      <w:r w:rsidR="00046303">
        <w:t xml:space="preserve">podniósł </w:t>
      </w:r>
      <w:r>
        <w:t xml:space="preserve">żadnych zarzutów wskazujących na to, że początkowo stosowana procedura kontradyktoryjna musiała być kontynuowana </w:t>
      </w:r>
      <w:r>
        <w:rPr>
          <w:i/>
          <w:iCs/>
        </w:rPr>
        <w:t>ze względów związanych z jego własną obroną</w:t>
      </w:r>
      <w:r>
        <w:t>.”</w:t>
      </w:r>
    </w:p>
    <w:p w14:paraId="00E3FC26" w14:textId="67C33D10" w:rsidR="009C128A" w:rsidRDefault="00263167">
      <w:pPr>
        <w:pStyle w:val="JuPara"/>
        <w:rPr>
          <w:rFonts w:eastAsia="Times New Roman"/>
        </w:rPr>
      </w:pPr>
      <w:r>
        <w:t xml:space="preserve">Moim zdaniem to samo </w:t>
      </w:r>
      <w:r w:rsidR="00046303">
        <w:t xml:space="preserve">ma zastosowanie do niniejszego </w:t>
      </w:r>
      <w:r>
        <w:t xml:space="preserve">bardzo szczegółowego zarzutu skarżącego na podstawie art. 8, jako że ochrona stosunku między prawnikiem a klientem jest </w:t>
      </w:r>
      <w:r>
        <w:rPr>
          <w:b/>
          <w:bCs/>
          <w:i/>
          <w:iCs/>
        </w:rPr>
        <w:t>nieodłączną częścią prawa do obrony</w:t>
      </w:r>
      <w:r>
        <w:t>.</w:t>
      </w:r>
    </w:p>
    <w:p w14:paraId="454CF52D" w14:textId="23C9E90A" w:rsidR="009C128A" w:rsidRDefault="00263167">
      <w:pPr>
        <w:pStyle w:val="JuPara"/>
        <w:rPr>
          <w:rFonts w:eastAsia="Times New Roman"/>
        </w:rPr>
      </w:pPr>
      <w:r>
        <w:t>Dzięki niej można byłoby uniknąć ryzyka, że odfiltrowanie informacji odbędzie się z zamiarem umożliwienia policj</w:t>
      </w:r>
      <w:r w:rsidR="00FD67AD">
        <w:t>i</w:t>
      </w:r>
      <w:r>
        <w:t xml:space="preserve"> znal</w:t>
      </w:r>
      <w:r w:rsidR="00FD67AD">
        <w:t>ezienia</w:t>
      </w:r>
      <w:r>
        <w:t xml:space="preserve"> dowod</w:t>
      </w:r>
      <w:r w:rsidR="00FD67AD">
        <w:t>ów</w:t>
      </w:r>
      <w:r>
        <w:t xml:space="preserve"> </w:t>
      </w:r>
      <w:r w:rsidR="00FD67AD">
        <w:t xml:space="preserve">w celu wykorzystania </w:t>
      </w:r>
      <w:r>
        <w:t>w procesie przeciwko skarżącemu, mimo że większość sędziów uznała, że nie istniały gwarancje proceduralne.</w:t>
      </w:r>
    </w:p>
    <w:p w14:paraId="3466A21B" w14:textId="4AD347C3" w:rsidR="009C128A" w:rsidRDefault="00263167">
      <w:pPr>
        <w:pStyle w:val="JuPara"/>
        <w:rPr>
          <w:rFonts w:eastAsia="Times New Roman"/>
        </w:rPr>
      </w:pPr>
      <w:r>
        <w:t xml:space="preserve">W pkt 51 wyroku większość wydaje się traktować </w:t>
      </w:r>
      <w:r w:rsidR="00882B9A">
        <w:t>PTZ</w:t>
      </w:r>
      <w:r>
        <w:t xml:space="preserve"> jako autonomiczne prawo, cytuj</w:t>
      </w:r>
      <w:r w:rsidR="00882B9A">
        <w:t>ąc</w:t>
      </w:r>
      <w:r>
        <w:t xml:space="preserve"> wyrok w sprawie </w:t>
      </w:r>
      <w:proofErr w:type="spellStart"/>
      <w:r>
        <w:rPr>
          <w:i/>
          <w:iCs/>
        </w:rPr>
        <w:t>Altay</w:t>
      </w:r>
      <w:proofErr w:type="spellEnd"/>
      <w:r>
        <w:rPr>
          <w:i/>
          <w:iCs/>
        </w:rPr>
        <w:t xml:space="preserve"> przeciwko Turcji (nr 2)</w:t>
      </w:r>
      <w:r>
        <w:t xml:space="preserve"> i sugeruj</w:t>
      </w:r>
      <w:r w:rsidR="00882B9A">
        <w:t>ąc</w:t>
      </w:r>
      <w:r>
        <w:t xml:space="preserve">, że </w:t>
      </w:r>
      <w:r w:rsidR="00882B9A">
        <w:t xml:space="preserve">poufność </w:t>
      </w:r>
      <w:r>
        <w:t xml:space="preserve">nie ogranicza się wyłącznie do </w:t>
      </w:r>
      <w:r w:rsidR="00882B9A">
        <w:t xml:space="preserve">kwestii </w:t>
      </w:r>
      <w:r>
        <w:t xml:space="preserve">związanych z toczącym się postępowaniem sądowym i że osoby korzystające z pomocy prawnika mogą w uzasadniony sposób oczekiwać, iż komunikacja z prawnikiem będzie prywatna i poufna, niezależnie od tego, czy chodzi o pomoc w postępowaniu w sprawie cywilnej lub karnej czy też o ogólną poradę prawną. Niemniej </w:t>
      </w:r>
      <w:r w:rsidR="00596571">
        <w:t xml:space="preserve">wskazany </w:t>
      </w:r>
      <w:r>
        <w:t xml:space="preserve">cytat ze sprawy </w:t>
      </w:r>
      <w:proofErr w:type="spellStart"/>
      <w:r>
        <w:rPr>
          <w:i/>
          <w:iCs/>
        </w:rPr>
        <w:t>Altay</w:t>
      </w:r>
      <w:proofErr w:type="spellEnd"/>
      <w:r>
        <w:rPr>
          <w:i/>
          <w:iCs/>
        </w:rPr>
        <w:t xml:space="preserve"> przeciwko Turcji (nr 2)</w:t>
      </w:r>
      <w:r>
        <w:t xml:space="preserve"> należy rozpatrywać w kontekście tej sprawy, która dotyczyła orzeczenia sądowego, w którym stwierdzono, że funkcjonariusz miał nadzorować wszystkie spotkania zatrzymanego z prawnikiem; pełny cytat brzmi następująco: „[...] nie tylko [...] </w:t>
      </w:r>
      <w:r w:rsidR="00596571">
        <w:t xml:space="preserve">kwestie </w:t>
      </w:r>
      <w:r>
        <w:t>związan</w:t>
      </w:r>
      <w:r w:rsidR="00596571">
        <w:t>e</w:t>
      </w:r>
      <w:r>
        <w:t xml:space="preserve"> z toczącym się postępowaniem sądowym, ale też zgłaszanie nadużyć, których mogą doświadczać, z obawy przed odwetem” (pkt 50 wyroku). Jest to w oczywisty sposób logiczne i niezwykle ważne stanowisko </w:t>
      </w:r>
      <w:r w:rsidR="00596571">
        <w:t xml:space="preserve">w </w:t>
      </w:r>
      <w:r>
        <w:t>okolicznościach,</w:t>
      </w:r>
      <w:r w:rsidR="00596571">
        <w:t xml:space="preserve"> które</w:t>
      </w:r>
      <w:r>
        <w:t xml:space="preserve"> odzwierciedlaj</w:t>
      </w:r>
      <w:r w:rsidR="00596571">
        <w:t>ą</w:t>
      </w:r>
      <w:r>
        <w:t xml:space="preserve"> rolę, jaką powinien odgrywać prawnik </w:t>
      </w:r>
      <w:r w:rsidR="00596571">
        <w:t>na</w:t>
      </w:r>
      <w:r>
        <w:t> początkowych etapach postępowania –</w:t>
      </w:r>
      <w:r w:rsidR="00596571">
        <w:t xml:space="preserve"> </w:t>
      </w:r>
      <w:r>
        <w:t xml:space="preserve">gdy podejrzany jest zatrzymany (zob. </w:t>
      </w:r>
      <w:r>
        <w:rPr>
          <w:i/>
          <w:iCs/>
        </w:rPr>
        <w:t>A.T. przeciwko Luksemburgowi</w:t>
      </w:r>
      <w:r>
        <w:t>, pkt 64).</w:t>
      </w:r>
    </w:p>
    <w:p w14:paraId="6065B42F" w14:textId="4CBFE12D" w:rsidR="009C128A" w:rsidRDefault="00263167">
      <w:pPr>
        <w:pStyle w:val="JuPara"/>
        <w:rPr>
          <w:rFonts w:eastAsia="Times New Roman"/>
          <w:sz w:val="20"/>
          <w:szCs w:val="20"/>
        </w:rPr>
      </w:pPr>
      <w:r>
        <w:lastRenderedPageBreak/>
        <w:t>Powyższe</w:t>
      </w:r>
      <w:r w:rsidR="00596571">
        <w:t xml:space="preserve"> rozważania</w:t>
      </w:r>
      <w:r>
        <w:t xml:space="preserve"> nie </w:t>
      </w:r>
      <w:r w:rsidR="00596571">
        <w:t xml:space="preserve">znajdują </w:t>
      </w:r>
      <w:r>
        <w:t xml:space="preserve">zastosowania w niniejszej sprawie. Pan </w:t>
      </w:r>
      <w:proofErr w:type="spellStart"/>
      <w:r>
        <w:t>Saber</w:t>
      </w:r>
      <w:proofErr w:type="spellEnd"/>
      <w:r>
        <w:t xml:space="preserve"> był oskarżonym i zarzuca</w:t>
      </w:r>
      <w:r w:rsidR="00596571">
        <w:t>ł</w:t>
      </w:r>
      <w:r>
        <w:t xml:space="preserve"> naruszenie praw wynikających z art. 8 w związku z korespondencją z jego prawnikiem w toku prowadzonego przeciwko niemu postępowania </w:t>
      </w:r>
      <w:r w:rsidR="00596571">
        <w:t>karnego</w:t>
      </w:r>
      <w:r>
        <w:t xml:space="preserve">. </w:t>
      </w:r>
      <w:r w:rsidR="00596571">
        <w:t>Potencjalnie mogło</w:t>
      </w:r>
      <w:r>
        <w:t xml:space="preserve"> to oczywiście stanowić naruszenie jego prawa do obrony. Trybunał od dawna stoi jednak na stanowisku, iż „</w:t>
      </w:r>
      <w:r w:rsidR="00981C3A">
        <w:t xml:space="preserve">uniewinniony </w:t>
      </w:r>
      <w:r>
        <w:t>oskarżony nie może twierdzić, że jest ofiarą naruszenia Konwencji, które jego zdaniem miało miejsce w toku prowadzonego przeciwko niemu postępowania (zob. między innymi decyzja Europejskiej Komisji Praw Człowieka, nr </w:t>
      </w:r>
      <w:hyperlink r:id="rId16" w:anchor="{%22appno%22:[%2213156/87%22]}" w:tgtFrame="_blank" w:history="1">
        <w:r>
          <w:rPr>
            <w:color w:val="0000FF"/>
            <w:u w:val="single"/>
          </w:rPr>
          <w:t>13156/87</w:t>
        </w:r>
      </w:hyperlink>
      <w:r>
        <w:t>, 1 lipca 1992 r., D.R. 73, s. 5).</w:t>
      </w:r>
    </w:p>
    <w:p w14:paraId="38BE48C4" w14:textId="206DF6EA" w:rsidR="009C128A" w:rsidRDefault="00263167">
      <w:pPr>
        <w:pStyle w:val="JuPara"/>
        <w:rPr>
          <w:rFonts w:eastAsia="Times New Roman"/>
        </w:rPr>
      </w:pPr>
      <w:r>
        <w:t xml:space="preserve">Uniewinnienie </w:t>
      </w:r>
      <w:r w:rsidR="00981C3A">
        <w:t>powoduje</w:t>
      </w:r>
      <w:r>
        <w:t xml:space="preserve">, że </w:t>
      </w:r>
      <w:r w:rsidR="00981C3A">
        <w:t xml:space="preserve">jakiekolwiek </w:t>
      </w:r>
      <w:r>
        <w:t xml:space="preserve">naruszenie prawa do obrony, w tym tajemnicy </w:t>
      </w:r>
      <w:r w:rsidR="00981C3A">
        <w:t>prawniczej</w:t>
      </w:r>
      <w:r>
        <w:t>, staje się nieaktualne.</w:t>
      </w:r>
    </w:p>
    <w:sectPr w:rsidR="009C128A">
      <w:headerReference w:type="even" r:id="rId17"/>
      <w:headerReference w:type="default" r:id="rId18"/>
      <w:footnotePr>
        <w:numRestart w:val="eachSect"/>
      </w:footnotePr>
      <w:pgSz w:w="11906" w:h="16838" w:code="9"/>
      <w:pgMar w:top="2274" w:right="2274" w:bottom="2127"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0EE16" w14:textId="77777777" w:rsidR="00BF6A21" w:rsidRDefault="00BF6A21">
      <w:r>
        <w:separator/>
      </w:r>
    </w:p>
  </w:endnote>
  <w:endnote w:type="continuationSeparator" w:id="0">
    <w:p w14:paraId="4E924753" w14:textId="77777777" w:rsidR="00BF6A21" w:rsidRDefault="00BF6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9FBD5" w14:textId="77777777" w:rsidR="00871A64" w:rsidRDefault="00871A64">
    <w:pPr>
      <w:jc w:val="center"/>
    </w:pPr>
    <w:r>
      <w:rPr>
        <w:noProof/>
      </w:rPr>
      <w:drawing>
        <wp:inline distT="0" distB="0" distL="0" distR="0" wp14:anchorId="4F6C2AFE" wp14:editId="03BA369B">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26F10D6" w14:textId="77777777" w:rsidR="00871A64" w:rsidRDefault="00871A64">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22AAF" w14:textId="77777777" w:rsidR="00871A64" w:rsidRDefault="00871A64">
    <w:pPr>
      <w:jc w:val="center"/>
    </w:pPr>
    <w:r>
      <w:rPr>
        <w:noProof/>
      </w:rPr>
      <w:drawing>
        <wp:inline distT="0" distB="0" distL="0" distR="0" wp14:anchorId="60E99C8D" wp14:editId="7D27C508">
          <wp:extent cx="771525" cy="619125"/>
          <wp:effectExtent l="0" t="0" r="9525" b="9525"/>
          <wp:docPr id="10" name="Picture 1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2C36FD" w14:textId="77777777" w:rsidR="00871A64" w:rsidRDefault="00871A64">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A0C3" w14:textId="77777777" w:rsidR="00871A64" w:rsidRDefault="00871A64">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20</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CA5F" w14:textId="77777777" w:rsidR="00871A64" w:rsidRDefault="00871A64">
    <w:pPr>
      <w:pStyle w:val="JuHeader"/>
    </w:pPr>
    <w:r>
      <w:fldChar w:fldCharType="begin"/>
    </w:r>
    <w:r>
      <w:instrText xml:space="preserve"> PAGE </w:instrText>
    </w:r>
    <w:r>
      <w:fldChar w:fldCharType="separate"/>
    </w:r>
    <w: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96CB0" w14:textId="77777777" w:rsidR="00BF6A21" w:rsidRDefault="00BF6A21">
      <w:r>
        <w:separator/>
      </w:r>
    </w:p>
  </w:footnote>
  <w:footnote w:type="continuationSeparator" w:id="0">
    <w:p w14:paraId="13DC5AD3" w14:textId="77777777" w:rsidR="00BF6A21" w:rsidRDefault="00BF6A21">
      <w:r>
        <w:continuationSeparator/>
      </w:r>
    </w:p>
  </w:footnote>
  <w:footnote w:id="1">
    <w:p w14:paraId="79BEAEC0" w14:textId="77777777" w:rsidR="00871A64" w:rsidRDefault="00871A64">
      <w:pPr>
        <w:pStyle w:val="Tekstprzypisudolnego"/>
        <w:jc w:val="both"/>
      </w:pPr>
      <w:r>
        <w:rPr>
          <w:rStyle w:val="Odwoanieprzypisudolnego"/>
        </w:rPr>
        <w:footnoteRef/>
      </w:r>
      <w:r>
        <w:rPr>
          <w:rStyle w:val="Odwoanieprzypisudolnego"/>
        </w:rPr>
        <w:t xml:space="preserve"> </w:t>
      </w:r>
      <w:r>
        <w:t xml:space="preserve">Zob. </w:t>
      </w:r>
      <w:r>
        <w:rPr>
          <w:i/>
          <w:iCs/>
        </w:rPr>
        <w:t>Apostu przeciwko Rumunii</w:t>
      </w:r>
      <w:r>
        <w:t>, nr 22765/12, pkt 96, 3 lutego 2015 r.</w:t>
      </w:r>
    </w:p>
  </w:footnote>
  <w:footnote w:id="2">
    <w:p w14:paraId="2342FCDB" w14:textId="77777777" w:rsidR="00871A64" w:rsidRDefault="00871A64">
      <w:pPr>
        <w:pStyle w:val="Tekstprzypisudolnego"/>
        <w:jc w:val="both"/>
        <w:rPr>
          <w:lang w:val="en-GB"/>
        </w:rPr>
      </w:pPr>
      <w:r>
        <w:rPr>
          <w:rStyle w:val="Odwoanieprzypisudolnego"/>
        </w:rPr>
        <w:footnoteRef/>
      </w:r>
      <w:r>
        <w:rPr>
          <w:rStyle w:val="Odwoanieprzypisudolnego"/>
          <w:lang w:val="en-GB"/>
        </w:rPr>
        <w:t xml:space="preserve"> </w:t>
      </w:r>
      <w:r>
        <w:rPr>
          <w:lang w:val="en-GB"/>
        </w:rPr>
        <w:t>H.L Ho, „Legal Professional Privilege and the Integrity of Legal Representation” (2006), 9(2) Legal Ethics, 174.</w:t>
      </w:r>
    </w:p>
  </w:footnote>
  <w:footnote w:id="3">
    <w:p w14:paraId="5BEB0FD6" w14:textId="77777777" w:rsidR="00871A64" w:rsidRDefault="00871A64">
      <w:pPr>
        <w:jc w:val="both"/>
        <w:rPr>
          <w:sz w:val="20"/>
          <w:szCs w:val="20"/>
          <w:lang w:val="en-GB"/>
        </w:rPr>
      </w:pPr>
      <w:r>
        <w:rPr>
          <w:rStyle w:val="Odwoanieprzypisudolnego"/>
        </w:rPr>
        <w:footnoteRef/>
      </w:r>
      <w:r>
        <w:rPr>
          <w:rStyle w:val="Odwoanieprzypisudolnego"/>
          <w:lang w:val="en-GB"/>
        </w:rPr>
        <w:t xml:space="preserve"> </w:t>
      </w:r>
      <w:r>
        <w:rPr>
          <w:sz w:val="20"/>
          <w:szCs w:val="20"/>
          <w:lang w:val="en-GB"/>
        </w:rPr>
        <w:t>Zuckerman, Civil Procedure (2003), [15.8]–[15.10].</w:t>
      </w:r>
    </w:p>
  </w:footnote>
  <w:footnote w:id="4">
    <w:p w14:paraId="63CB5A02" w14:textId="77777777" w:rsidR="00871A64" w:rsidRDefault="00871A64">
      <w:pPr>
        <w:pStyle w:val="Tekstprzypisudolnego"/>
        <w:jc w:val="both"/>
        <w:rPr>
          <w:lang w:val="en-GB"/>
        </w:rPr>
      </w:pPr>
      <w:r>
        <w:rPr>
          <w:rStyle w:val="Odwoanieprzypisudolnego"/>
        </w:rPr>
        <w:footnoteRef/>
      </w:r>
      <w:r>
        <w:rPr>
          <w:rStyle w:val="Odwoanieprzypisudolnego"/>
          <w:lang w:val="en-GB"/>
        </w:rPr>
        <w:t xml:space="preserve"> </w:t>
      </w:r>
      <w:r>
        <w:rPr>
          <w:lang w:val="en-GB"/>
        </w:rPr>
        <w:t>Ho, op. cit., 163.</w:t>
      </w:r>
    </w:p>
  </w:footnote>
  <w:footnote w:id="5">
    <w:p w14:paraId="0B48F3B1" w14:textId="77777777" w:rsidR="00871A64" w:rsidRDefault="00871A64">
      <w:pPr>
        <w:jc w:val="both"/>
        <w:rPr>
          <w:sz w:val="20"/>
          <w:szCs w:val="20"/>
        </w:rPr>
      </w:pPr>
      <w:r>
        <w:rPr>
          <w:rStyle w:val="Odwoanieprzypisudolnego"/>
        </w:rPr>
        <w:footnoteRef/>
      </w:r>
      <w:r>
        <w:rPr>
          <w:rStyle w:val="Odwoanieprzypisudolnego"/>
        </w:rPr>
        <w:t xml:space="preserve"> </w:t>
      </w:r>
      <w:r>
        <w:rPr>
          <w:sz w:val="20"/>
          <w:szCs w:val="20"/>
        </w:rPr>
        <w:t xml:space="preserve">Ibid., z odniesieniem do </w:t>
      </w:r>
      <w:r>
        <w:rPr>
          <w:sz w:val="20"/>
          <w:szCs w:val="20"/>
          <w:shd w:val="clear" w:color="auto" w:fill="FFFFFF"/>
        </w:rPr>
        <w:t>Dennis, „The Law of Evidence”, wydanie V, Sweet &amp; Maxwell, 2013, s. 397.</w:t>
      </w:r>
    </w:p>
  </w:footnote>
  <w:footnote w:id="6">
    <w:p w14:paraId="08B99589" w14:textId="77777777" w:rsidR="00871A64" w:rsidRDefault="00871A64">
      <w:pPr>
        <w:jc w:val="both"/>
        <w:rPr>
          <w:sz w:val="20"/>
          <w:szCs w:val="20"/>
        </w:rPr>
      </w:pPr>
      <w:r>
        <w:rPr>
          <w:rStyle w:val="Odwoanieprzypisudolnego"/>
        </w:rPr>
        <w:footnoteRef/>
      </w:r>
      <w:r>
        <w:rPr>
          <w:rStyle w:val="Odwoanieprzypisudolnego"/>
        </w:rPr>
        <w:t xml:space="preserve"> </w:t>
      </w:r>
      <w:r>
        <w:rPr>
          <w:i/>
          <w:sz w:val="20"/>
          <w:szCs w:val="20"/>
        </w:rPr>
        <w:t>Kopp przeciwko Szwajcarii,</w:t>
      </w:r>
      <w:r>
        <w:rPr>
          <w:color w:val="000000"/>
          <w:sz w:val="20"/>
          <w:szCs w:val="20"/>
          <w:shd w:val="clear" w:color="auto" w:fill="FFFFFF"/>
        </w:rPr>
        <w:t xml:space="preserve"> 25 marca 1998 r., </w:t>
      </w:r>
      <w:r>
        <w:rPr>
          <w:i/>
          <w:iCs/>
          <w:color w:val="000000"/>
          <w:sz w:val="20"/>
          <w:szCs w:val="20"/>
          <w:shd w:val="clear" w:color="auto" w:fill="FFFFFF"/>
        </w:rPr>
        <w:t>Zbiór Wyroków i Decyzji</w:t>
      </w:r>
      <w:r>
        <w:rPr>
          <w:color w:val="000000"/>
          <w:sz w:val="20"/>
          <w:szCs w:val="20"/>
          <w:shd w:val="clear" w:color="auto" w:fill="FFFFFF"/>
        </w:rPr>
        <w:t> 1998-II.</w:t>
      </w:r>
    </w:p>
  </w:footnote>
  <w:footnote w:id="7">
    <w:p w14:paraId="52AA6024" w14:textId="77777777" w:rsidR="00871A64" w:rsidRDefault="00871A64">
      <w:pPr>
        <w:pStyle w:val="Tekstprzypisudolnego"/>
        <w:jc w:val="both"/>
        <w:rPr>
          <w:lang w:val="fr-FR"/>
        </w:rPr>
      </w:pPr>
      <w:r>
        <w:rPr>
          <w:rStyle w:val="Odwoanieprzypisudolnego"/>
        </w:rPr>
        <w:footnoteRef/>
      </w:r>
      <w:r>
        <w:rPr>
          <w:rStyle w:val="Odwoanieprzypisudolnego"/>
          <w:lang w:val="fr-FR"/>
        </w:rPr>
        <w:t xml:space="preserve"> </w:t>
      </w:r>
      <w:r>
        <w:rPr>
          <w:lang w:val="fr-FR"/>
        </w:rPr>
        <w:t>W odniesieniu do G. Piquerez, </w:t>
      </w:r>
      <w:r>
        <w:rPr>
          <w:i/>
          <w:iCs/>
          <w:lang w:val="fr-FR"/>
        </w:rPr>
        <w:t>Précis de procédure pénale suisse</w:t>
      </w:r>
      <w:r>
        <w:rPr>
          <w:lang w:val="fr-FR"/>
        </w:rPr>
        <w:t xml:space="preserve">, Lozanna, 1994, s. 251, nr 1264 i B. Corboz, </w:t>
      </w:r>
      <w:r>
        <w:rPr>
          <w:i/>
          <w:iCs/>
          <w:lang w:val="fr-FR"/>
        </w:rPr>
        <w:t>Le secret professionnel de l’avocat selon l’article 321 CP</w:t>
      </w:r>
      <w:r>
        <w:rPr>
          <w:lang w:val="fr-FR"/>
        </w:rPr>
        <w:t>, </w:t>
      </w:r>
      <w:r>
        <w:rPr>
          <w:i/>
          <w:iCs/>
          <w:lang w:val="fr-FR"/>
        </w:rPr>
        <w:t>Semaine judiciaire</w:t>
      </w:r>
      <w:r>
        <w:rPr>
          <w:lang w:val="fr-FR"/>
        </w:rPr>
        <w:t>, Genewa, 1993, s. 85–87.</w:t>
      </w:r>
    </w:p>
  </w:footnote>
  <w:footnote w:id="8">
    <w:p w14:paraId="6D3727D5" w14:textId="77777777" w:rsidR="00871A64" w:rsidRDefault="00871A64">
      <w:pPr>
        <w:jc w:val="both"/>
        <w:rPr>
          <w:sz w:val="20"/>
          <w:szCs w:val="20"/>
        </w:rPr>
      </w:pPr>
      <w:r>
        <w:rPr>
          <w:rStyle w:val="Odwoanieprzypisudolnego"/>
        </w:rPr>
        <w:footnoteRef/>
      </w:r>
      <w:r>
        <w:rPr>
          <w:rStyle w:val="Odwoanieprzypisudolnego"/>
        </w:rPr>
        <w:t xml:space="preserve"> </w:t>
      </w:r>
      <w:r>
        <w:rPr>
          <w:i/>
          <w:iCs/>
          <w:sz w:val="20"/>
          <w:szCs w:val="20"/>
          <w:shd w:val="clear" w:color="auto" w:fill="FFFFFF"/>
        </w:rPr>
        <w:t>Versini-Campinchi i Crasnianski</w:t>
      </w:r>
      <w:r>
        <w:rPr>
          <w:sz w:val="20"/>
          <w:szCs w:val="20"/>
          <w:shd w:val="clear" w:color="auto" w:fill="FFFFFF"/>
        </w:rPr>
        <w:t> </w:t>
      </w:r>
      <w:r>
        <w:rPr>
          <w:i/>
          <w:iCs/>
          <w:sz w:val="20"/>
          <w:szCs w:val="20"/>
          <w:shd w:val="clear" w:color="auto" w:fill="FFFFFF"/>
        </w:rPr>
        <w:t>przeciwko Francji</w:t>
      </w:r>
      <w:r>
        <w:rPr>
          <w:sz w:val="20"/>
          <w:szCs w:val="20"/>
          <w:shd w:val="clear" w:color="auto" w:fill="FFFFFF"/>
        </w:rPr>
        <w:t>, nr </w:t>
      </w:r>
      <w:r>
        <w:rPr>
          <w:sz w:val="20"/>
          <w:szCs w:val="20"/>
        </w:rPr>
        <w:t>49176/11</w:t>
      </w:r>
      <w:r>
        <w:rPr>
          <w:sz w:val="20"/>
          <w:szCs w:val="20"/>
          <w:shd w:val="clear" w:color="auto" w:fill="FFFFFF"/>
        </w:rPr>
        <w:t>, 16 czerwca 2016 r.</w:t>
      </w:r>
    </w:p>
  </w:footnote>
  <w:footnote w:id="9">
    <w:p w14:paraId="77FFFFA6" w14:textId="77777777" w:rsidR="00871A64" w:rsidRDefault="00871A64">
      <w:pPr>
        <w:pStyle w:val="Tekstprzypisudolnego"/>
      </w:pPr>
      <w:r>
        <w:rPr>
          <w:rStyle w:val="Odwoanieprzypisudolnego"/>
        </w:rPr>
        <w:footnoteRef/>
      </w:r>
      <w:r>
        <w:rPr>
          <w:rStyle w:val="Odwoanieprzypisudolnego"/>
        </w:rPr>
        <w:t xml:space="preserve"> </w:t>
      </w:r>
      <w:r>
        <w:rPr>
          <w:i/>
          <w:iCs/>
          <w:color w:val="000000"/>
          <w:shd w:val="clear" w:color="auto" w:fill="FFFFFF"/>
        </w:rPr>
        <w:t xml:space="preserve">Michaud przeciwko Francji, </w:t>
      </w:r>
      <w:r>
        <w:rPr>
          <w:color w:val="000000"/>
          <w:shd w:val="clear" w:color="auto" w:fill="FFFFFF"/>
        </w:rPr>
        <w:t>nr 12323/11, 6 grudnia 2012 r.</w:t>
      </w:r>
    </w:p>
  </w:footnote>
  <w:footnote w:id="10">
    <w:p w14:paraId="32FF8B73" w14:textId="77777777" w:rsidR="00871A64" w:rsidRDefault="00871A64">
      <w:pPr>
        <w:jc w:val="both"/>
        <w:rPr>
          <w:sz w:val="20"/>
          <w:szCs w:val="20"/>
        </w:rPr>
      </w:pPr>
      <w:r>
        <w:rPr>
          <w:rStyle w:val="Odwoanieprzypisudolnego"/>
        </w:rPr>
        <w:footnoteRef/>
      </w:r>
      <w:r>
        <w:rPr>
          <w:rStyle w:val="Odwoanieprzypisudolnego"/>
        </w:rPr>
        <w:t xml:space="preserve"> </w:t>
      </w:r>
      <w:r>
        <w:rPr>
          <w:i/>
          <w:iCs/>
          <w:sz w:val="20"/>
          <w:szCs w:val="20"/>
          <w:shd w:val="clear" w:color="auto" w:fill="FFFFFF"/>
        </w:rPr>
        <w:t>Golovan przeciwko Ukrainie</w:t>
      </w:r>
      <w:r>
        <w:rPr>
          <w:sz w:val="20"/>
          <w:szCs w:val="20"/>
          <w:shd w:val="clear" w:color="auto" w:fill="FFFFFF"/>
        </w:rPr>
        <w:t>, nr </w:t>
      </w:r>
      <w:r>
        <w:rPr>
          <w:sz w:val="20"/>
          <w:szCs w:val="20"/>
        </w:rPr>
        <w:t>41716/06</w:t>
      </w:r>
      <w:r>
        <w:rPr>
          <w:sz w:val="20"/>
          <w:szCs w:val="20"/>
          <w:shd w:val="clear" w:color="auto" w:fill="FFFFFF"/>
        </w:rPr>
        <w:t>, pkt 53, 5 lipca 2012 r.</w:t>
      </w:r>
    </w:p>
  </w:footnote>
  <w:footnote w:id="11">
    <w:p w14:paraId="10959645" w14:textId="77777777" w:rsidR="00871A64" w:rsidRDefault="00871A64">
      <w:pPr>
        <w:jc w:val="both"/>
        <w:rPr>
          <w:sz w:val="20"/>
          <w:szCs w:val="20"/>
        </w:rPr>
      </w:pPr>
      <w:r>
        <w:rPr>
          <w:rStyle w:val="Odwoanieprzypisudolnego"/>
        </w:rPr>
        <w:footnoteRef/>
      </w:r>
      <w:r>
        <w:rPr>
          <w:rStyle w:val="Odwoanieprzypisudolnego"/>
        </w:rPr>
        <w:t xml:space="preserve"> </w:t>
      </w:r>
      <w:r>
        <w:rPr>
          <w:i/>
          <w:iCs/>
          <w:sz w:val="20"/>
          <w:szCs w:val="20"/>
        </w:rPr>
        <w:t>Wieser i Bicos Beteiligungen GmbH przeciwko Austrii</w:t>
      </w:r>
      <w:r>
        <w:rPr>
          <w:sz w:val="20"/>
          <w:szCs w:val="20"/>
        </w:rPr>
        <w:t xml:space="preserve">, </w:t>
      </w:r>
      <w:r>
        <w:rPr>
          <w:sz w:val="20"/>
          <w:szCs w:val="20"/>
          <w:shd w:val="clear" w:color="auto" w:fill="FFFFFF"/>
        </w:rPr>
        <w:t xml:space="preserve">nr 74336/01, ETPC 2007-IV, </w:t>
      </w:r>
      <w:r>
        <w:rPr>
          <w:sz w:val="20"/>
          <w:szCs w:val="20"/>
        </w:rPr>
        <w:t>pkt 65.</w:t>
      </w:r>
    </w:p>
  </w:footnote>
  <w:footnote w:id="12">
    <w:p w14:paraId="55B28039" w14:textId="77777777" w:rsidR="00871A64" w:rsidRDefault="00871A64">
      <w:pPr>
        <w:pStyle w:val="Tekstprzypisudolnego"/>
        <w:jc w:val="both"/>
      </w:pPr>
      <w:r>
        <w:rPr>
          <w:rStyle w:val="Odwoanieprzypisudolnego"/>
        </w:rPr>
        <w:footnoteRef/>
      </w:r>
      <w:r>
        <w:rPr>
          <w:rStyle w:val="Odwoanieprzypisudolnego"/>
        </w:rPr>
        <w:t xml:space="preserve"> </w:t>
      </w:r>
      <w:r>
        <w:rPr>
          <w:color w:val="000000"/>
        </w:rPr>
        <w:t>Zob. przypis nr 1.</w:t>
      </w:r>
    </w:p>
  </w:footnote>
  <w:footnote w:id="13">
    <w:p w14:paraId="3BEDFC86" w14:textId="77777777" w:rsidR="00871A64" w:rsidRDefault="00871A64">
      <w:pPr>
        <w:jc w:val="both"/>
        <w:rPr>
          <w:sz w:val="20"/>
          <w:szCs w:val="20"/>
        </w:rPr>
      </w:pPr>
      <w:r>
        <w:rPr>
          <w:rStyle w:val="Odwoanieprzypisudolnego"/>
        </w:rPr>
        <w:footnoteRef/>
      </w:r>
      <w:r>
        <w:rPr>
          <w:rStyle w:val="Odwoanieprzypisudolnego"/>
        </w:rPr>
        <w:t xml:space="preserve"> </w:t>
      </w:r>
      <w:r>
        <w:rPr>
          <w:i/>
          <w:iCs/>
          <w:color w:val="000000"/>
          <w:sz w:val="20"/>
          <w:szCs w:val="20"/>
        </w:rPr>
        <w:t xml:space="preserve">Piechowicz przeciwko Polsce, </w:t>
      </w:r>
      <w:r>
        <w:rPr>
          <w:color w:val="000000"/>
          <w:sz w:val="20"/>
          <w:szCs w:val="20"/>
          <w:shd w:val="clear" w:color="auto" w:fill="FFFFFF"/>
        </w:rPr>
        <w:t>nr 20071/07, pkt 239, 17 kwietnia 2012 r.</w:t>
      </w:r>
    </w:p>
  </w:footnote>
  <w:footnote w:id="14">
    <w:p w14:paraId="33FD7726" w14:textId="77777777" w:rsidR="00871A64" w:rsidRDefault="00871A64">
      <w:pPr>
        <w:jc w:val="both"/>
        <w:rPr>
          <w:sz w:val="20"/>
          <w:szCs w:val="20"/>
        </w:rPr>
      </w:pPr>
      <w:r>
        <w:rPr>
          <w:rStyle w:val="Odwoanieprzypisudolnego"/>
        </w:rPr>
        <w:footnoteRef/>
      </w:r>
      <w:r>
        <w:rPr>
          <w:rStyle w:val="Odwoanieprzypisudolnego"/>
        </w:rPr>
        <w:t xml:space="preserve"> </w:t>
      </w:r>
      <w:r>
        <w:rPr>
          <w:i/>
          <w:iCs/>
          <w:sz w:val="20"/>
          <w:szCs w:val="20"/>
        </w:rPr>
        <w:t>Mirmotahari przeciwko Norwegii</w:t>
      </w:r>
      <w:r>
        <w:rPr>
          <w:sz w:val="20"/>
          <w:szCs w:val="20"/>
        </w:rPr>
        <w:t>, nr </w:t>
      </w:r>
      <w:r>
        <w:rPr>
          <w:color w:val="000000"/>
          <w:sz w:val="20"/>
          <w:szCs w:val="20"/>
          <w:shd w:val="clear" w:color="auto" w:fill="FFFFFF"/>
        </w:rPr>
        <w:t>30149/19, 8 października 2019 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35357" w14:textId="77777777" w:rsidR="00871A64" w:rsidRDefault="00871A64">
    <w:pPr>
      <w:jc w:val="center"/>
    </w:pPr>
    <w:r>
      <w:rPr>
        <w:noProof/>
      </w:rPr>
      <w:drawing>
        <wp:inline distT="0" distB="0" distL="0" distR="0" wp14:anchorId="7EA3E907" wp14:editId="712FBCD5">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B210AD1" w14:textId="77777777" w:rsidR="00871A64" w:rsidRDefault="00871A6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C8705" w14:textId="77777777" w:rsidR="00871A64" w:rsidRDefault="00871A64">
    <w:pPr>
      <w:jc w:val="center"/>
    </w:pPr>
    <w:r>
      <w:rPr>
        <w:noProof/>
      </w:rPr>
      <w:drawing>
        <wp:inline distT="0" distB="0" distL="0" distR="0" wp14:anchorId="19CD941B" wp14:editId="7EB78155">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574B7EA" w14:textId="77777777" w:rsidR="00871A64" w:rsidRDefault="00871A6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CEF7E" w14:textId="77777777" w:rsidR="00871A64" w:rsidRDefault="00871A64">
    <w:pPr>
      <w:pStyle w:val="JuHeader"/>
    </w:pPr>
    <w:r>
      <w:t xml:space="preserve">WYROK W SPRAWIE SABER PRZECIWKO NORWEGII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E206C" w14:textId="77777777" w:rsidR="00871A64" w:rsidRDefault="00871A64">
    <w:pPr>
      <w:pStyle w:val="JuHeader"/>
    </w:pPr>
    <w:r>
      <w:t>WYROK W SPRAWIE SABER PRZECIWKO NORWEGII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CB77" w14:textId="77777777" w:rsidR="00871A64" w:rsidRDefault="00871A64">
    <w:pPr>
      <w:pStyle w:val="JuHeader"/>
    </w:pPr>
    <w:r>
      <w:t>WYROK W SPRAWIE SABER PRZECIWKO NORWEGII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0F88" w14:textId="77777777" w:rsidR="00871A64" w:rsidRDefault="00871A64">
    <w:pPr>
      <w:pStyle w:val="JuHeader"/>
    </w:pPr>
    <w:r>
      <w:t>SABER PRZECIWKO NORWEGII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340"/>
        </w:tabs>
        <w:ind w:left="34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9C128A"/>
    <w:rsid w:val="00000824"/>
    <w:rsid w:val="000213C4"/>
    <w:rsid w:val="00046303"/>
    <w:rsid w:val="00050D1B"/>
    <w:rsid w:val="000674F2"/>
    <w:rsid w:val="00086ECD"/>
    <w:rsid w:val="000A0DE7"/>
    <w:rsid w:val="000B23E1"/>
    <w:rsid w:val="000D432E"/>
    <w:rsid w:val="001864C6"/>
    <w:rsid w:val="00187EF7"/>
    <w:rsid w:val="001E4F05"/>
    <w:rsid w:val="002360A2"/>
    <w:rsid w:val="00236ADE"/>
    <w:rsid w:val="00263167"/>
    <w:rsid w:val="002B2FA2"/>
    <w:rsid w:val="0037607A"/>
    <w:rsid w:val="003771BD"/>
    <w:rsid w:val="003944B7"/>
    <w:rsid w:val="0041371D"/>
    <w:rsid w:val="004163E7"/>
    <w:rsid w:val="00482612"/>
    <w:rsid w:val="004D5557"/>
    <w:rsid w:val="00507564"/>
    <w:rsid w:val="0054500E"/>
    <w:rsid w:val="00596571"/>
    <w:rsid w:val="005B36A7"/>
    <w:rsid w:val="005C418F"/>
    <w:rsid w:val="00603688"/>
    <w:rsid w:val="00642E20"/>
    <w:rsid w:val="0064414B"/>
    <w:rsid w:val="006C331C"/>
    <w:rsid w:val="006C5926"/>
    <w:rsid w:val="006D0C66"/>
    <w:rsid w:val="00702F66"/>
    <w:rsid w:val="00734FFE"/>
    <w:rsid w:val="007727E2"/>
    <w:rsid w:val="007967F2"/>
    <w:rsid w:val="00800B39"/>
    <w:rsid w:val="008408BA"/>
    <w:rsid w:val="00855908"/>
    <w:rsid w:val="008566ED"/>
    <w:rsid w:val="00871A64"/>
    <w:rsid w:val="00882B9A"/>
    <w:rsid w:val="008B7481"/>
    <w:rsid w:val="008C49BD"/>
    <w:rsid w:val="008E20FD"/>
    <w:rsid w:val="008F1AFE"/>
    <w:rsid w:val="00902F5A"/>
    <w:rsid w:val="00940942"/>
    <w:rsid w:val="009521CD"/>
    <w:rsid w:val="0095780D"/>
    <w:rsid w:val="00981C3A"/>
    <w:rsid w:val="009B6ED8"/>
    <w:rsid w:val="009C128A"/>
    <w:rsid w:val="009F7536"/>
    <w:rsid w:val="00A3736E"/>
    <w:rsid w:val="00A43462"/>
    <w:rsid w:val="00A55B5A"/>
    <w:rsid w:val="00A6271D"/>
    <w:rsid w:val="00A6742E"/>
    <w:rsid w:val="00B23E9C"/>
    <w:rsid w:val="00B47C00"/>
    <w:rsid w:val="00BD31F8"/>
    <w:rsid w:val="00BF6A21"/>
    <w:rsid w:val="00C83129"/>
    <w:rsid w:val="00CB22CC"/>
    <w:rsid w:val="00D07AB3"/>
    <w:rsid w:val="00D17CB6"/>
    <w:rsid w:val="00D30F24"/>
    <w:rsid w:val="00D4584F"/>
    <w:rsid w:val="00D6081A"/>
    <w:rsid w:val="00D71260"/>
    <w:rsid w:val="00D878C8"/>
    <w:rsid w:val="00D95809"/>
    <w:rsid w:val="00DF55D0"/>
    <w:rsid w:val="00E371B7"/>
    <w:rsid w:val="00E8095F"/>
    <w:rsid w:val="00EB2480"/>
    <w:rsid w:val="00F600BA"/>
    <w:rsid w:val="00F77A57"/>
    <w:rsid w:val="00FC7968"/>
    <w:rsid w:val="00FD67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0D6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Pr>
      <w:sz w:val="24"/>
      <w:szCs w:val="24"/>
    </w:rPr>
  </w:style>
  <w:style w:type="paragraph" w:styleId="Nagwek1">
    <w:name w:val="heading 1"/>
    <w:basedOn w:val="Normalny"/>
    <w:next w:val="Normalny"/>
    <w:link w:val="Nagwek1Znak"/>
    <w:uiPriority w:val="98"/>
    <w:semiHidden/>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Pr>
      <w:rFonts w:ascii="Tahoma" w:hAnsi="Tahoma" w:cs="Tahoma"/>
      <w:sz w:val="16"/>
      <w:szCs w:val="16"/>
    </w:rPr>
  </w:style>
  <w:style w:type="character" w:customStyle="1" w:styleId="TekstdymkaZnak">
    <w:name w:val="Tekst dymka Znak"/>
    <w:basedOn w:val="Domylnaczcionkaakapitu"/>
    <w:link w:val="Tekstdymka"/>
    <w:uiPriority w:val="98"/>
    <w:semiHidden/>
    <w:rPr>
      <w:rFonts w:ascii="Tahoma" w:hAnsi="Tahoma" w:cs="Tahoma"/>
      <w:sz w:val="16"/>
      <w:szCs w:val="16"/>
      <w:lang w:val="pl-PL"/>
    </w:rPr>
  </w:style>
  <w:style w:type="character" w:styleId="Tytuksiki">
    <w:name w:val="Book Title"/>
    <w:uiPriority w:val="98"/>
    <w:semiHidden/>
    <w:qFormat/>
    <w:rPr>
      <w:i/>
      <w:iCs/>
      <w:smallCaps/>
      <w:spacing w:val="5"/>
    </w:rPr>
  </w:style>
  <w:style w:type="paragraph" w:customStyle="1" w:styleId="JuHeader">
    <w:name w:val="Ju_Header"/>
    <w:aliases w:val="_Header"/>
    <w:basedOn w:val="Nagwek"/>
    <w:uiPriority w:val="29"/>
    <w:qFormat/>
    <w:pPr>
      <w:tabs>
        <w:tab w:val="clear" w:pos="4536"/>
        <w:tab w:val="clear" w:pos="9072"/>
      </w:tabs>
      <w:jc w:val="center"/>
    </w:pPr>
    <w:rPr>
      <w:sz w:val="18"/>
    </w:rPr>
  </w:style>
  <w:style w:type="paragraph" w:customStyle="1" w:styleId="NormalJustified">
    <w:name w:val="Normal_Justified"/>
    <w:basedOn w:val="Normalny"/>
    <w:semiHidden/>
    <w:pPr>
      <w:jc w:val="both"/>
    </w:pPr>
  </w:style>
  <w:style w:type="character" w:styleId="Pogrubienie">
    <w:name w:val="Strong"/>
    <w:uiPriority w:val="98"/>
    <w:semiHidden/>
    <w:qFormat/>
    <w:rPr>
      <w:b/>
      <w:bCs/>
    </w:rPr>
  </w:style>
  <w:style w:type="paragraph" w:styleId="Bezodstpw">
    <w:name w:val="No Spacing"/>
    <w:basedOn w:val="Normalny"/>
    <w:link w:val="BezodstpwZnak"/>
    <w:uiPriority w:val="98"/>
    <w:semiHidden/>
    <w:qFormat/>
  </w:style>
  <w:style w:type="character" w:customStyle="1" w:styleId="BezodstpwZnak">
    <w:name w:val="Bez odstępów Znak"/>
    <w:basedOn w:val="Domylnaczcionkaakapitu"/>
    <w:link w:val="Bezodstpw"/>
    <w:uiPriority w:val="98"/>
    <w:semiHidden/>
    <w:rPr>
      <w:sz w:val="24"/>
      <w:szCs w:val="24"/>
      <w:lang w:val="pl-PL"/>
    </w:rPr>
  </w:style>
  <w:style w:type="paragraph" w:customStyle="1" w:styleId="JuQuot">
    <w:name w:val="Ju_Quot"/>
    <w:aliases w:val="_Quote"/>
    <w:basedOn w:val="NormalJustified"/>
    <w:uiPriority w:val="20"/>
    <w:qFormat/>
    <w:pPr>
      <w:spacing w:before="120" w:after="120"/>
      <w:ind w:left="425" w:firstLine="142"/>
    </w:pPr>
    <w:rPr>
      <w:sz w:val="20"/>
    </w:rPr>
  </w:style>
  <w:style w:type="paragraph" w:customStyle="1" w:styleId="DecList">
    <w:name w:val="Dec_List"/>
    <w:aliases w:val="_List"/>
    <w:basedOn w:val="JuList"/>
    <w:uiPriority w:val="22"/>
    <w:pPr>
      <w:numPr>
        <w:numId w:val="0"/>
      </w:numPr>
      <w:ind w:left="284"/>
    </w:pPr>
  </w:style>
  <w:style w:type="paragraph" w:customStyle="1" w:styleId="JuList">
    <w:name w:val="Ju_List"/>
    <w:aliases w:val="_List_1"/>
    <w:basedOn w:val="NormalJustified"/>
    <w:uiPriority w:val="23"/>
    <w:qFormat/>
    <w:pPr>
      <w:numPr>
        <w:numId w:val="7"/>
      </w:numPr>
      <w:spacing w:before="280" w:after="60"/>
    </w:pPr>
  </w:style>
  <w:style w:type="paragraph" w:customStyle="1" w:styleId="JuLista">
    <w:name w:val="Ju_List_a"/>
    <w:aliases w:val="_List_2"/>
    <w:basedOn w:val="NormalJustified"/>
    <w:uiPriority w:val="23"/>
    <w:pPr>
      <w:numPr>
        <w:ilvl w:val="1"/>
        <w:numId w:val="7"/>
      </w:numPr>
    </w:pPr>
  </w:style>
  <w:style w:type="paragraph" w:customStyle="1" w:styleId="JuListi">
    <w:name w:val="Ju_List_i"/>
    <w:aliases w:val="_List_3"/>
    <w:basedOn w:val="NormalJustified"/>
    <w:uiPriority w:val="23"/>
    <w:pPr>
      <w:numPr>
        <w:ilvl w:val="2"/>
        <w:numId w:val="7"/>
      </w:numPr>
    </w:pPr>
  </w:style>
  <w:style w:type="paragraph" w:customStyle="1" w:styleId="JuHArticle">
    <w:name w:val="Ju_H_Article"/>
    <w:aliases w:val="_Title_Quote"/>
    <w:basedOn w:val="Normalny"/>
    <w:next w:val="JuQuot"/>
    <w:uiPriority w:val="19"/>
    <w:qFormat/>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pPr>
      <w:numPr>
        <w:numId w:val="6"/>
      </w:numPr>
    </w:pPr>
  </w:style>
  <w:style w:type="paragraph" w:customStyle="1" w:styleId="JuSigned">
    <w:name w:val="Ju_Signed"/>
    <w:aliases w:val="_Signature"/>
    <w:basedOn w:val="Normalny"/>
    <w:next w:val="JuPara"/>
    <w:uiPriority w:val="31"/>
    <w:qFormat/>
    <w:pPr>
      <w:tabs>
        <w:tab w:val="center" w:pos="851"/>
        <w:tab w:val="center" w:pos="6407"/>
      </w:tabs>
      <w:spacing w:before="720"/>
    </w:pPr>
  </w:style>
  <w:style w:type="paragraph" w:styleId="Tytu">
    <w:name w:val="Title"/>
    <w:basedOn w:val="Normalny"/>
    <w:next w:val="Normalny"/>
    <w:link w:val="TytuZnak"/>
    <w:uiPriority w:val="98"/>
    <w:semiHidden/>
    <w:qFormat/>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pPr>
      <w:numPr>
        <w:numId w:val="7"/>
      </w:numPr>
    </w:pPr>
  </w:style>
  <w:style w:type="numbering" w:customStyle="1" w:styleId="ECHRA1StyleNumberedList">
    <w:name w:val="ECHR_A1_Style_Numbered_List"/>
    <w:basedOn w:val="Bezlisty"/>
    <w:pPr>
      <w:numPr>
        <w:numId w:val="8"/>
      </w:numPr>
    </w:pPr>
  </w:style>
  <w:style w:type="table" w:customStyle="1" w:styleId="ECHRTable2019">
    <w:name w:val="ECHR_Table_2019"/>
    <w:basedOn w:val="Standardowy"/>
    <w:uiPriority w:val="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Pr>
      <w:sz w:val="8"/>
    </w:rPr>
  </w:style>
  <w:style w:type="paragraph" w:customStyle="1" w:styleId="JuCourt">
    <w:name w:val="Ju_Court"/>
    <w:aliases w:val="_Court_Names"/>
    <w:basedOn w:val="Normalny"/>
    <w:next w:val="Normalny"/>
    <w:uiPriority w:val="32"/>
    <w:qFormat/>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pPr>
      <w:keepNext/>
      <w:keepLines/>
      <w:numPr>
        <w:ilvl w:val="3"/>
        <w:numId w:val="2"/>
      </w:numPr>
      <w:spacing w:before="100" w:beforeAutospacing="1" w:after="120"/>
      <w:jc w:val="both"/>
    </w:pPr>
    <w:rPr>
      <w:b w:val="0"/>
      <w:color w:val="auto"/>
      <w:sz w:val="24"/>
    </w:rPr>
  </w:style>
  <w:style w:type="paragraph" w:styleId="Nagwek">
    <w:name w:val="header"/>
    <w:basedOn w:val="Normalny"/>
    <w:link w:val="NagwekZnak"/>
    <w:uiPriority w:val="98"/>
    <w:semiHidden/>
    <w:pPr>
      <w:tabs>
        <w:tab w:val="center" w:pos="4536"/>
        <w:tab w:val="right" w:pos="9072"/>
      </w:tabs>
    </w:pPr>
  </w:style>
  <w:style w:type="character" w:customStyle="1" w:styleId="NagwekZnak">
    <w:name w:val="Nagłówek Znak"/>
    <w:basedOn w:val="Domylnaczcionkaakapitu"/>
    <w:link w:val="Nagwek"/>
    <w:uiPriority w:val="98"/>
    <w:semiHidden/>
    <w:rPr>
      <w:sz w:val="24"/>
      <w:szCs w:val="24"/>
      <w:lang w:val="pl-PL"/>
    </w:rPr>
  </w:style>
  <w:style w:type="character" w:customStyle="1" w:styleId="Nagwek1Znak">
    <w:name w:val="Nagłówek 1 Znak"/>
    <w:basedOn w:val="Domylnaczcionkaakapitu"/>
    <w:link w:val="Nagwek1"/>
    <w:uiPriority w:val="98"/>
    <w:semiHidden/>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pPr>
      <w:keepNext/>
      <w:keepLines/>
      <w:numPr>
        <w:ilvl w:val="4"/>
        <w:numId w:val="2"/>
      </w:numPr>
      <w:spacing w:before="100" w:beforeAutospacing="1" w:after="120"/>
      <w:jc w:val="both"/>
    </w:pPr>
    <w:rPr>
      <w:color w:val="auto"/>
      <w:sz w:val="20"/>
    </w:rPr>
  </w:style>
  <w:style w:type="paragraph" w:customStyle="1" w:styleId="JuHi">
    <w:name w:val="Ju_H_i"/>
    <w:aliases w:val="_Head_6"/>
    <w:basedOn w:val="Nagwek6"/>
    <w:next w:val="JuPara"/>
    <w:uiPriority w:val="17"/>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pPr>
      <w:keepNext/>
      <w:keepLines/>
      <w:numPr>
        <w:ilvl w:val="7"/>
        <w:numId w:val="2"/>
      </w:numPr>
      <w:spacing w:before="100" w:beforeAutospacing="1" w:after="120"/>
      <w:jc w:val="both"/>
    </w:pPr>
    <w:rPr>
      <w:i/>
    </w:rPr>
  </w:style>
  <w:style w:type="character" w:customStyle="1" w:styleId="Nagwek3Znak">
    <w:name w:val="Nagłówek 3 Znak"/>
    <w:basedOn w:val="Domylnaczcionkaakapitu"/>
    <w:link w:val="Nagwek3"/>
    <w:uiPriority w:val="98"/>
    <w:semiHidden/>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pPr>
      <w:keepNext/>
      <w:keepLines/>
      <w:spacing w:before="240" w:after="240"/>
      <w:ind w:firstLine="284"/>
    </w:pPr>
  </w:style>
  <w:style w:type="paragraph" w:customStyle="1" w:styleId="JuJudges">
    <w:name w:val="Ju_Judges"/>
    <w:aliases w:val="_Judges"/>
    <w:basedOn w:val="Normalny"/>
    <w:uiPriority w:val="32"/>
    <w:qFormat/>
    <w:pPr>
      <w:tabs>
        <w:tab w:val="left" w:pos="567"/>
        <w:tab w:val="left" w:pos="1134"/>
      </w:tabs>
    </w:pPr>
  </w:style>
  <w:style w:type="character" w:customStyle="1" w:styleId="Nagwek4Znak">
    <w:name w:val="Nagłówek 4 Znak"/>
    <w:basedOn w:val="Domylnaczcionkaakapitu"/>
    <w:link w:val="Nagwek4"/>
    <w:uiPriority w:val="98"/>
    <w:semiHidden/>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pPr>
      <w:tabs>
        <w:tab w:val="center" w:pos="6407"/>
      </w:tabs>
      <w:spacing w:before="720"/>
      <w:jc w:val="right"/>
    </w:pPr>
  </w:style>
  <w:style w:type="character" w:customStyle="1" w:styleId="Nagwek5Znak">
    <w:name w:val="Nagłówek 5 Znak"/>
    <w:basedOn w:val="Domylnaczcionkaakapitu"/>
    <w:link w:val="Nagwek5"/>
    <w:uiPriority w:val="98"/>
    <w:semiHidden/>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Pr>
      <w:caps w:val="0"/>
      <w:smallCaps/>
    </w:rPr>
  </w:style>
  <w:style w:type="character" w:styleId="Wyrnieniedelikatne">
    <w:name w:val="Subtle Emphasis"/>
    <w:uiPriority w:val="98"/>
    <w:semiHidden/>
    <w:qFormat/>
    <w:rPr>
      <w:i/>
      <w:iCs/>
    </w:rPr>
  </w:style>
  <w:style w:type="table" w:customStyle="1" w:styleId="ECHRTable">
    <w:name w:val="ECHR_Table"/>
    <w:basedOn w:val="Standardowy"/>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Pr>
      <w:b/>
      <w:bCs/>
      <w:i/>
      <w:iCs/>
      <w:spacing w:val="10"/>
      <w:bdr w:val="none" w:sz="0" w:space="0" w:color="auto"/>
      <w:shd w:val="clear" w:color="auto" w:fill="auto"/>
    </w:rPr>
  </w:style>
  <w:style w:type="paragraph" w:styleId="Stopka">
    <w:name w:val="footer"/>
    <w:basedOn w:val="Normalny"/>
    <w:link w:val="StopkaZnak"/>
    <w:uiPriority w:val="98"/>
    <w:semiHidden/>
    <w:pPr>
      <w:tabs>
        <w:tab w:val="center" w:pos="3686"/>
        <w:tab w:val="right" w:pos="7371"/>
      </w:tabs>
    </w:pPr>
  </w:style>
  <w:style w:type="character" w:customStyle="1" w:styleId="StopkaZnak">
    <w:name w:val="Stopka Znak"/>
    <w:basedOn w:val="Domylnaczcionkaakapitu"/>
    <w:link w:val="Stopka"/>
    <w:uiPriority w:val="98"/>
    <w:semiHidden/>
    <w:rPr>
      <w:sz w:val="24"/>
      <w:szCs w:val="24"/>
      <w:lang w:val="pl-PL"/>
    </w:rPr>
  </w:style>
  <w:style w:type="character" w:styleId="Odwoanieprzypisudolnego">
    <w:name w:val="footnote reference"/>
    <w:basedOn w:val="Domylnaczcionkaakapitu"/>
    <w:uiPriority w:val="98"/>
    <w:semiHidden/>
    <w:rPr>
      <w:vertAlign w:val="superscript"/>
    </w:rPr>
  </w:style>
  <w:style w:type="paragraph" w:styleId="Tekstprzypisudolnego">
    <w:name w:val="footnote text"/>
    <w:basedOn w:val="Normalny"/>
    <w:link w:val="TekstprzypisudolnegoZnak"/>
    <w:uiPriority w:val="98"/>
    <w:semiHidden/>
    <w:rPr>
      <w:sz w:val="20"/>
      <w:szCs w:val="20"/>
    </w:rPr>
  </w:style>
  <w:style w:type="character" w:customStyle="1" w:styleId="TekstprzypisudolnegoZnak">
    <w:name w:val="Tekst przypisu dolnego Znak"/>
    <w:basedOn w:val="Domylnaczcionkaakapitu"/>
    <w:link w:val="Tekstprzypisudolnego"/>
    <w:uiPriority w:val="98"/>
    <w:semiHidden/>
    <w:rPr>
      <w:sz w:val="20"/>
      <w:szCs w:val="20"/>
      <w:lang w:val="pl-PL"/>
    </w:rPr>
  </w:style>
  <w:style w:type="character" w:customStyle="1" w:styleId="Nagwek6Znak">
    <w:name w:val="Nagłówek 6 Znak"/>
    <w:basedOn w:val="Domylnaczcionkaakapitu"/>
    <w:link w:val="Nagwek6"/>
    <w:uiPriority w:val="98"/>
    <w:semiHidden/>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Pr>
      <w:color w:val="0072BC" w:themeColor="hyperlink"/>
      <w:u w:val="single"/>
    </w:rPr>
  </w:style>
  <w:style w:type="character" w:styleId="Wyrnienieintensywne">
    <w:name w:val="Intense Emphasis"/>
    <w:uiPriority w:val="98"/>
    <w:semiHidden/>
    <w:qFormat/>
    <w:rPr>
      <w:b/>
      <w:bCs/>
    </w:rPr>
  </w:style>
  <w:style w:type="paragraph" w:styleId="Cytatintensywny">
    <w:name w:val="Intense Quote"/>
    <w:basedOn w:val="Normalny"/>
    <w:next w:val="Normalny"/>
    <w:link w:val="CytatintensywnyZnak"/>
    <w:uiPriority w:val="98"/>
    <w:semiHidden/>
    <w:qFormat/>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Pr>
      <w:b/>
      <w:bCs/>
      <w:i/>
      <w:iCs/>
      <w:sz w:val="24"/>
      <w:szCs w:val="24"/>
      <w:lang w:val="pl-PL" w:bidi="en-US"/>
    </w:rPr>
  </w:style>
  <w:style w:type="character" w:styleId="Odwoanieintensywne">
    <w:name w:val="Intense Reference"/>
    <w:uiPriority w:val="98"/>
    <w:semiHidden/>
    <w:qFormat/>
    <w:rPr>
      <w:smallCaps/>
      <w:spacing w:val="5"/>
      <w:u w:val="single"/>
    </w:rPr>
  </w:style>
  <w:style w:type="paragraph" w:styleId="Akapitzlist">
    <w:name w:val="List Paragraph"/>
    <w:basedOn w:val="Normalny"/>
    <w:uiPriority w:val="98"/>
    <w:semiHidden/>
    <w:qFormat/>
    <w:pPr>
      <w:ind w:left="720"/>
      <w:contextualSpacing/>
    </w:pPr>
  </w:style>
  <w:style w:type="table" w:customStyle="1" w:styleId="LtrTableAddress">
    <w:name w:val="Ltr_Table_Address"/>
    <w:aliases w:val="ECHR_Ltr_Table_Address"/>
    <w:basedOn w:val="Standardowy"/>
    <w:uiPriority w:val="99"/>
    <w:rPr>
      <w:sz w:val="24"/>
      <w:szCs w:val="24"/>
    </w:rPr>
    <w:tblPr>
      <w:tblInd w:w="5103" w:type="dxa"/>
    </w:tblPr>
  </w:style>
  <w:style w:type="paragraph" w:styleId="Cytat">
    <w:name w:val="Quote"/>
    <w:basedOn w:val="Normalny"/>
    <w:next w:val="Normalny"/>
    <w:link w:val="CytatZnak"/>
    <w:uiPriority w:val="98"/>
    <w:semiHidden/>
    <w:qFormat/>
    <w:pPr>
      <w:spacing w:before="200"/>
      <w:ind w:left="360" w:right="360"/>
    </w:pPr>
    <w:rPr>
      <w:i/>
      <w:iCs/>
      <w:lang w:bidi="en-US"/>
    </w:rPr>
  </w:style>
  <w:style w:type="character" w:customStyle="1" w:styleId="CytatZnak">
    <w:name w:val="Cytat Znak"/>
    <w:basedOn w:val="Domylnaczcionkaakapitu"/>
    <w:link w:val="Cytat"/>
    <w:uiPriority w:val="98"/>
    <w:semiHidden/>
    <w:rPr>
      <w:i/>
      <w:iCs/>
      <w:sz w:val="24"/>
      <w:szCs w:val="24"/>
      <w:lang w:val="pl-PL" w:bidi="en-US"/>
    </w:rPr>
  </w:style>
  <w:style w:type="character" w:styleId="Odwoaniedelikatne">
    <w:name w:val="Subtle Reference"/>
    <w:uiPriority w:val="98"/>
    <w:semiHidden/>
    <w:qFormat/>
    <w:rPr>
      <w:smallCaps/>
    </w:rPr>
  </w:style>
  <w:style w:type="table" w:styleId="Tabela-Siatka">
    <w:name w:val="Table Grid"/>
    <w:basedOn w:val="Standardowy"/>
    <w:uiPriority w:val="59"/>
    <w:semiHidden/>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pPr>
      <w:numPr>
        <w:numId w:val="3"/>
      </w:numPr>
    </w:pPr>
  </w:style>
  <w:style w:type="paragraph" w:customStyle="1" w:styleId="JuPara">
    <w:name w:val="Ju_Para"/>
    <w:aliases w:val="_Para"/>
    <w:basedOn w:val="NormalJustified"/>
    <w:link w:val="JuParaChar"/>
    <w:uiPriority w:val="4"/>
    <w:qFormat/>
    <w:pPr>
      <w:ind w:firstLine="284"/>
    </w:pPr>
  </w:style>
  <w:style w:type="numbering" w:styleId="1ai">
    <w:name w:val="Outline List 1"/>
    <w:basedOn w:val="Bezlisty"/>
    <w:uiPriority w:val="99"/>
    <w:semiHidden/>
    <w:unhideWhenUsed/>
    <w:pPr>
      <w:numPr>
        <w:numId w:val="4"/>
      </w:numPr>
    </w:pPr>
  </w:style>
  <w:style w:type="table" w:customStyle="1" w:styleId="ECHRTableSimpleBox">
    <w:name w:val="ECHR_Table_Simple_Box"/>
    <w:basedOn w:val="Standardowy"/>
    <w:uiPriority w:val="9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pPr>
      <w:numPr>
        <w:numId w:val="5"/>
      </w:numPr>
    </w:pPr>
  </w:style>
  <w:style w:type="table" w:customStyle="1" w:styleId="ECHRTableForInternalUse">
    <w:name w:val="ECHR_Table_For_Internal_Use"/>
    <w:basedOn w:val="Standardowy"/>
    <w:uiPriority w:val="9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style>
  <w:style w:type="paragraph" w:styleId="Tekstblokowy">
    <w:name w:val="Block Text"/>
    <w:basedOn w:val="Normalny"/>
    <w:uiPriority w:val="98"/>
    <w:semiHidden/>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pPr>
      <w:spacing w:after="120"/>
    </w:pPr>
  </w:style>
  <w:style w:type="character" w:customStyle="1" w:styleId="TekstpodstawowyZnak">
    <w:name w:val="Tekst podstawowy Znak"/>
    <w:basedOn w:val="Domylnaczcionkaakapitu"/>
    <w:link w:val="Tekstpodstawowy"/>
    <w:uiPriority w:val="98"/>
    <w:semiHidden/>
    <w:rPr>
      <w:sz w:val="24"/>
      <w:szCs w:val="24"/>
      <w:lang w:val="pl-PL"/>
    </w:rPr>
  </w:style>
  <w:style w:type="table" w:customStyle="1" w:styleId="ECHRTableOddBanded">
    <w:name w:val="ECHR_Table_Odd_Banded"/>
    <w:basedOn w:val="Standardowy"/>
    <w:uiPriority w:val="9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pPr>
      <w:spacing w:after="120" w:line="480" w:lineRule="auto"/>
    </w:pPr>
  </w:style>
  <w:style w:type="table" w:customStyle="1" w:styleId="ECHRHeaderTableReduced">
    <w:name w:val="ECHR_Header_Table_Reduced"/>
    <w:basedOn w:val="Standardowy"/>
    <w:uiPriority w:val="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pPr>
      <w:ind w:firstLine="284"/>
    </w:pPr>
    <w:rPr>
      <w:b/>
    </w:rPr>
  </w:style>
  <w:style w:type="character" w:styleId="Numerstrony">
    <w:name w:val="page number"/>
    <w:uiPriority w:val="98"/>
    <w:semiHidden/>
    <w:rPr>
      <w:sz w:val="18"/>
    </w:rPr>
  </w:style>
  <w:style w:type="paragraph" w:styleId="Listapunktowana">
    <w:name w:val="List Bullet"/>
    <w:basedOn w:val="Normalny"/>
    <w:uiPriority w:val="98"/>
    <w:semiHidden/>
    <w:pPr>
      <w:numPr>
        <w:numId w:val="9"/>
      </w:numPr>
    </w:pPr>
  </w:style>
  <w:style w:type="paragraph" w:styleId="Listapunktowana3">
    <w:name w:val="List Bullet 3"/>
    <w:basedOn w:val="Normalny"/>
    <w:uiPriority w:val="98"/>
    <w:semiHidden/>
    <w:pPr>
      <w:numPr>
        <w:numId w:val="11"/>
      </w:numPr>
      <w:contextualSpacing/>
    </w:pPr>
  </w:style>
  <w:style w:type="character" w:customStyle="1" w:styleId="Tekstpodstawowy2Znak">
    <w:name w:val="Tekst podstawowy 2 Znak"/>
    <w:basedOn w:val="Domylnaczcionkaakapitu"/>
    <w:link w:val="Tekstpodstawowy2"/>
    <w:uiPriority w:val="98"/>
    <w:semiHidden/>
    <w:rPr>
      <w:sz w:val="24"/>
      <w:szCs w:val="24"/>
      <w:lang w:val="pl-PL"/>
    </w:rPr>
  </w:style>
  <w:style w:type="paragraph" w:styleId="Tekstpodstawowy3">
    <w:name w:val="Body Text 3"/>
    <w:basedOn w:val="Normalny"/>
    <w:link w:val="Tekstpodstawowy3Znak"/>
    <w:uiPriority w:val="98"/>
    <w:semiHidden/>
    <w:pPr>
      <w:spacing w:after="120"/>
    </w:pPr>
    <w:rPr>
      <w:sz w:val="16"/>
      <w:szCs w:val="16"/>
    </w:rPr>
  </w:style>
  <w:style w:type="character" w:customStyle="1" w:styleId="Tekstpodstawowy3Znak">
    <w:name w:val="Tekst podstawowy 3 Znak"/>
    <w:basedOn w:val="Domylnaczcionkaakapitu"/>
    <w:link w:val="Tekstpodstawowy3"/>
    <w:uiPriority w:val="98"/>
    <w:semiHidden/>
    <w:rPr>
      <w:sz w:val="16"/>
      <w:szCs w:val="16"/>
      <w:lang w:val="pl-PL"/>
    </w:rPr>
  </w:style>
  <w:style w:type="paragraph" w:styleId="Tekstpodstawowyzwciciem">
    <w:name w:val="Body Text First Indent"/>
    <w:basedOn w:val="Tekstpodstawowy"/>
    <w:link w:val="TekstpodstawowyzwciciemZnak"/>
    <w:uiPriority w:val="98"/>
    <w:semiHidden/>
    <w:pPr>
      <w:spacing w:after="0"/>
      <w:ind w:firstLine="360"/>
    </w:pPr>
  </w:style>
  <w:style w:type="character" w:customStyle="1" w:styleId="TekstpodstawowyzwciciemZnak">
    <w:name w:val="Tekst podstawowy z wcięciem Znak"/>
    <w:basedOn w:val="TekstpodstawowyZnak"/>
    <w:link w:val="Tekstpodstawowyzwciciem"/>
    <w:uiPriority w:val="98"/>
    <w:semiHidden/>
    <w:rPr>
      <w:sz w:val="24"/>
      <w:szCs w:val="24"/>
      <w:lang w:val="pl-PL"/>
    </w:rPr>
  </w:style>
  <w:style w:type="paragraph" w:styleId="Tekstpodstawowywcity">
    <w:name w:val="Body Text Indent"/>
    <w:basedOn w:val="Normalny"/>
    <w:link w:val="TekstpodstawowywcityZnak"/>
    <w:uiPriority w:val="98"/>
    <w:semiHidden/>
    <w:pPr>
      <w:spacing w:after="120"/>
      <w:ind w:left="283"/>
    </w:pPr>
  </w:style>
  <w:style w:type="character" w:customStyle="1" w:styleId="TekstpodstawowywcityZnak">
    <w:name w:val="Tekst podstawowy wcięty Znak"/>
    <w:basedOn w:val="Domylnaczcionkaakapitu"/>
    <w:link w:val="Tekstpodstawowywcity"/>
    <w:uiPriority w:val="98"/>
    <w:semiHidden/>
    <w:rPr>
      <w:sz w:val="24"/>
      <w:szCs w:val="24"/>
      <w:lang w:val="pl-PL"/>
    </w:rPr>
  </w:style>
  <w:style w:type="paragraph" w:styleId="Tekstpodstawowyzwciciem2">
    <w:name w:val="Body Text First Indent 2"/>
    <w:basedOn w:val="Tekstpodstawowywcity"/>
    <w:link w:val="Tekstpodstawowyzwciciem2Znak"/>
    <w:uiPriority w:val="98"/>
    <w:semiHidden/>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Pr>
      <w:sz w:val="24"/>
      <w:szCs w:val="24"/>
      <w:lang w:val="pl-PL"/>
    </w:rPr>
  </w:style>
  <w:style w:type="paragraph" w:styleId="Tekstpodstawowywcity2">
    <w:name w:val="Body Text Indent 2"/>
    <w:basedOn w:val="Normalny"/>
    <w:link w:val="Tekstpodstawowywcity2Znak"/>
    <w:uiPriority w:val="98"/>
    <w:semiHidden/>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Pr>
      <w:sz w:val="24"/>
      <w:szCs w:val="24"/>
      <w:lang w:val="pl-PL"/>
    </w:rPr>
  </w:style>
  <w:style w:type="paragraph" w:styleId="Tekstpodstawowywcity3">
    <w:name w:val="Body Text Indent 3"/>
    <w:basedOn w:val="Normalny"/>
    <w:link w:val="Tekstpodstawowywcity3Znak"/>
    <w:uiPriority w:val="98"/>
    <w:semiHidden/>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Pr>
      <w:sz w:val="16"/>
      <w:szCs w:val="16"/>
      <w:lang w:val="pl-PL"/>
    </w:rPr>
  </w:style>
  <w:style w:type="paragraph" w:styleId="Legenda">
    <w:name w:val="caption"/>
    <w:basedOn w:val="Normalny"/>
    <w:next w:val="Normalny"/>
    <w:uiPriority w:val="98"/>
    <w:semiHidden/>
    <w:qFormat/>
    <w:pPr>
      <w:spacing w:after="200"/>
    </w:pPr>
    <w:rPr>
      <w:b/>
      <w:bCs/>
      <w:color w:val="0072BC" w:themeColor="accent1"/>
      <w:sz w:val="18"/>
      <w:szCs w:val="18"/>
    </w:rPr>
  </w:style>
  <w:style w:type="paragraph" w:styleId="Zwrotpoegnalny">
    <w:name w:val="Closing"/>
    <w:basedOn w:val="Normalny"/>
    <w:link w:val="ZwrotpoegnalnyZnak"/>
    <w:uiPriority w:val="98"/>
    <w:semiHidden/>
    <w:pPr>
      <w:ind w:left="4252"/>
    </w:pPr>
  </w:style>
  <w:style w:type="character" w:customStyle="1" w:styleId="ZwrotpoegnalnyZnak">
    <w:name w:val="Zwrot pożegnalny Znak"/>
    <w:basedOn w:val="Domylnaczcionkaakapitu"/>
    <w:link w:val="Zwrotpoegnalny"/>
    <w:uiPriority w:val="98"/>
    <w:semiHidden/>
    <w:rPr>
      <w:sz w:val="24"/>
      <w:szCs w:val="24"/>
      <w:lang w:val="pl-PL"/>
    </w:rPr>
  </w:style>
  <w:style w:type="table" w:styleId="Kolorowasiatka">
    <w:name w:val="Colorful Grid"/>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Pr>
      <w:sz w:val="16"/>
      <w:szCs w:val="16"/>
    </w:rPr>
  </w:style>
  <w:style w:type="paragraph" w:styleId="Tekstkomentarza">
    <w:name w:val="annotation text"/>
    <w:basedOn w:val="Normalny"/>
    <w:link w:val="TekstkomentarzaZnak"/>
    <w:uiPriority w:val="98"/>
    <w:semiHidden/>
    <w:rPr>
      <w:sz w:val="20"/>
      <w:szCs w:val="20"/>
    </w:rPr>
  </w:style>
  <w:style w:type="character" w:customStyle="1" w:styleId="TekstkomentarzaZnak">
    <w:name w:val="Tekst komentarza Znak"/>
    <w:basedOn w:val="Domylnaczcionkaakapitu"/>
    <w:link w:val="Tekstkomentarza"/>
    <w:uiPriority w:val="98"/>
    <w:semiHidden/>
    <w:rPr>
      <w:sz w:val="20"/>
      <w:szCs w:val="20"/>
      <w:lang w:val="pl-PL"/>
    </w:rPr>
  </w:style>
  <w:style w:type="paragraph" w:styleId="Tematkomentarza">
    <w:name w:val="annotation subject"/>
    <w:basedOn w:val="Tekstkomentarza"/>
    <w:next w:val="Tekstkomentarza"/>
    <w:link w:val="TematkomentarzaZnak"/>
    <w:uiPriority w:val="98"/>
    <w:semiHidden/>
    <w:rPr>
      <w:b/>
      <w:bCs/>
    </w:rPr>
  </w:style>
  <w:style w:type="character" w:customStyle="1" w:styleId="TematkomentarzaZnak">
    <w:name w:val="Temat komentarza Znak"/>
    <w:basedOn w:val="TekstkomentarzaZnak"/>
    <w:link w:val="Tematkomentarza"/>
    <w:uiPriority w:val="98"/>
    <w:semiHidden/>
    <w:rPr>
      <w:b/>
      <w:bCs/>
      <w:sz w:val="20"/>
      <w:szCs w:val="20"/>
      <w:lang w:val="pl-PL"/>
    </w:rPr>
  </w:style>
  <w:style w:type="table" w:styleId="Ciemnalista">
    <w:name w:val="Dark List"/>
    <w:basedOn w:val="Standardowy"/>
    <w:uiPriority w:val="70"/>
    <w:semiHidden/>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style>
  <w:style w:type="character" w:customStyle="1" w:styleId="DataZnak">
    <w:name w:val="Data Znak"/>
    <w:basedOn w:val="Domylnaczcionkaakapitu"/>
    <w:link w:val="Data"/>
    <w:uiPriority w:val="98"/>
    <w:semiHidden/>
    <w:rPr>
      <w:sz w:val="24"/>
      <w:szCs w:val="24"/>
      <w:lang w:val="pl-PL"/>
    </w:rPr>
  </w:style>
  <w:style w:type="paragraph" w:styleId="Mapadokumentu">
    <w:name w:val="Document Map"/>
    <w:basedOn w:val="Normalny"/>
    <w:link w:val="MapadokumentuZnak"/>
    <w:uiPriority w:val="98"/>
    <w:semiHidden/>
    <w:rPr>
      <w:rFonts w:ascii="Tahoma" w:hAnsi="Tahoma" w:cs="Tahoma"/>
      <w:sz w:val="16"/>
      <w:szCs w:val="16"/>
    </w:rPr>
  </w:style>
  <w:style w:type="character" w:customStyle="1" w:styleId="MapadokumentuZnak">
    <w:name w:val="Mapa dokumentu Znak"/>
    <w:basedOn w:val="Domylnaczcionkaakapitu"/>
    <w:link w:val="Mapadokumentu"/>
    <w:uiPriority w:val="98"/>
    <w:semiHidden/>
    <w:rPr>
      <w:rFonts w:ascii="Tahoma" w:hAnsi="Tahoma" w:cs="Tahoma"/>
      <w:sz w:val="16"/>
      <w:szCs w:val="16"/>
      <w:lang w:val="pl-PL"/>
    </w:rPr>
  </w:style>
  <w:style w:type="paragraph" w:styleId="Podpise-mail">
    <w:name w:val="E-mail Signature"/>
    <w:basedOn w:val="Normalny"/>
    <w:link w:val="Podpise-mailZnak"/>
    <w:uiPriority w:val="98"/>
    <w:semiHidden/>
  </w:style>
  <w:style w:type="character" w:customStyle="1" w:styleId="Podpise-mailZnak">
    <w:name w:val="Podpis e-mail Znak"/>
    <w:basedOn w:val="Domylnaczcionkaakapitu"/>
    <w:link w:val="Podpise-mail"/>
    <w:uiPriority w:val="98"/>
    <w:semiHidden/>
    <w:rPr>
      <w:sz w:val="24"/>
      <w:szCs w:val="24"/>
      <w:lang w:val="pl-PL"/>
    </w:rPr>
  </w:style>
  <w:style w:type="character" w:styleId="Odwoanieprzypisukocowego">
    <w:name w:val="endnote reference"/>
    <w:basedOn w:val="Domylnaczcionkaakapitu"/>
    <w:uiPriority w:val="98"/>
    <w:semiHidden/>
    <w:rPr>
      <w:vertAlign w:val="superscript"/>
    </w:rPr>
  </w:style>
  <w:style w:type="paragraph" w:styleId="Tekstprzypisukocowego">
    <w:name w:val="endnote text"/>
    <w:basedOn w:val="Normalny"/>
    <w:link w:val="TekstprzypisukocowegoZnak"/>
    <w:uiPriority w:val="98"/>
    <w:semiHidden/>
    <w:rPr>
      <w:sz w:val="20"/>
      <w:szCs w:val="20"/>
    </w:rPr>
  </w:style>
  <w:style w:type="character" w:customStyle="1" w:styleId="TekstprzypisukocowegoZnak">
    <w:name w:val="Tekst przypisu końcowego Znak"/>
    <w:basedOn w:val="Domylnaczcionkaakapitu"/>
    <w:link w:val="Tekstprzypisukocowego"/>
    <w:uiPriority w:val="98"/>
    <w:semiHidden/>
    <w:rPr>
      <w:sz w:val="20"/>
      <w:szCs w:val="20"/>
      <w:lang w:val="pl-PL"/>
    </w:rPr>
  </w:style>
  <w:style w:type="paragraph" w:styleId="Adresnakopercie">
    <w:name w:val="envelope address"/>
    <w:basedOn w:val="Normalny"/>
    <w:uiPriority w:val="98"/>
    <w:semiHidden/>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Pr>
      <w:color w:val="7030A0" w:themeColor="followedHyperlink"/>
      <w:u w:val="single"/>
    </w:rPr>
  </w:style>
  <w:style w:type="character" w:styleId="HTML-akronim">
    <w:name w:val="HTML Acronym"/>
    <w:basedOn w:val="Domylnaczcionkaakapitu"/>
    <w:uiPriority w:val="98"/>
    <w:semiHidden/>
  </w:style>
  <w:style w:type="paragraph" w:styleId="HTML-adres">
    <w:name w:val="HTML Address"/>
    <w:basedOn w:val="Normalny"/>
    <w:link w:val="HTML-adresZnak"/>
    <w:uiPriority w:val="98"/>
    <w:semiHidden/>
    <w:rPr>
      <w:i/>
      <w:iCs/>
    </w:rPr>
  </w:style>
  <w:style w:type="character" w:customStyle="1" w:styleId="HTML-adresZnak">
    <w:name w:val="HTML - adres Znak"/>
    <w:basedOn w:val="Domylnaczcionkaakapitu"/>
    <w:link w:val="HTML-adres"/>
    <w:uiPriority w:val="98"/>
    <w:semiHidden/>
    <w:rPr>
      <w:i/>
      <w:iCs/>
      <w:sz w:val="24"/>
      <w:szCs w:val="24"/>
      <w:lang w:val="pl-PL"/>
    </w:rPr>
  </w:style>
  <w:style w:type="character" w:styleId="HTML-cytat">
    <w:name w:val="HTML Cite"/>
    <w:basedOn w:val="Domylnaczcionkaakapitu"/>
    <w:uiPriority w:val="98"/>
    <w:semiHidden/>
    <w:rPr>
      <w:i/>
      <w:iCs/>
    </w:rPr>
  </w:style>
  <w:style w:type="character" w:styleId="HTML-kod">
    <w:name w:val="HTML Code"/>
    <w:basedOn w:val="Domylnaczcionkaakapitu"/>
    <w:uiPriority w:val="98"/>
    <w:semiHidden/>
    <w:rPr>
      <w:rFonts w:ascii="Consolas" w:hAnsi="Consolas" w:cs="Consolas"/>
      <w:sz w:val="20"/>
      <w:szCs w:val="20"/>
    </w:rPr>
  </w:style>
  <w:style w:type="character" w:styleId="HTML-definicja">
    <w:name w:val="HTML Definition"/>
    <w:basedOn w:val="Domylnaczcionkaakapitu"/>
    <w:uiPriority w:val="98"/>
    <w:semiHidden/>
    <w:rPr>
      <w:i/>
      <w:iCs/>
    </w:rPr>
  </w:style>
  <w:style w:type="character" w:styleId="HTML-klawiatura">
    <w:name w:val="HTML Keyboard"/>
    <w:basedOn w:val="Domylnaczcionkaakapitu"/>
    <w:uiPriority w:val="98"/>
    <w:semiHidden/>
    <w:rPr>
      <w:rFonts w:ascii="Consolas" w:hAnsi="Consolas" w:cs="Consolas"/>
      <w:sz w:val="20"/>
      <w:szCs w:val="20"/>
    </w:rPr>
  </w:style>
  <w:style w:type="paragraph" w:styleId="HTML-wstpniesformatowany">
    <w:name w:val="HTML Preformatted"/>
    <w:basedOn w:val="Normalny"/>
    <w:link w:val="HTML-wstpniesformatowanyZnak"/>
    <w:uiPriority w:val="98"/>
    <w:semiHidden/>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Pr>
      <w:rFonts w:ascii="Consolas" w:hAnsi="Consolas" w:cs="Consolas"/>
      <w:sz w:val="20"/>
      <w:szCs w:val="20"/>
      <w:lang w:val="pl-PL"/>
    </w:rPr>
  </w:style>
  <w:style w:type="character" w:styleId="HTML-przykad">
    <w:name w:val="HTML Sample"/>
    <w:basedOn w:val="Domylnaczcionkaakapitu"/>
    <w:uiPriority w:val="98"/>
    <w:semiHidden/>
    <w:rPr>
      <w:rFonts w:ascii="Consolas" w:hAnsi="Consolas" w:cs="Consolas"/>
      <w:sz w:val="24"/>
      <w:szCs w:val="24"/>
    </w:rPr>
  </w:style>
  <w:style w:type="character" w:styleId="HTML-staaszeroko">
    <w:name w:val="HTML Typewriter"/>
    <w:basedOn w:val="Domylnaczcionkaakapitu"/>
    <w:uiPriority w:val="98"/>
    <w:semiHidden/>
    <w:rPr>
      <w:rFonts w:ascii="Consolas" w:hAnsi="Consolas" w:cs="Consolas"/>
      <w:sz w:val="20"/>
      <w:szCs w:val="20"/>
    </w:rPr>
  </w:style>
  <w:style w:type="character" w:styleId="HTML-zmienna">
    <w:name w:val="HTML Variable"/>
    <w:basedOn w:val="Domylnaczcionkaakapitu"/>
    <w:uiPriority w:val="98"/>
    <w:semiHidden/>
    <w:rPr>
      <w:i/>
      <w:iCs/>
    </w:rPr>
  </w:style>
  <w:style w:type="paragraph" w:styleId="Indeks1">
    <w:name w:val="index 1"/>
    <w:basedOn w:val="Normalny"/>
    <w:next w:val="Normalny"/>
    <w:autoRedefine/>
    <w:uiPriority w:val="98"/>
    <w:semiHidden/>
    <w:pPr>
      <w:ind w:left="240" w:hanging="240"/>
    </w:pPr>
  </w:style>
  <w:style w:type="paragraph" w:styleId="Indeks2">
    <w:name w:val="index 2"/>
    <w:basedOn w:val="Normalny"/>
    <w:next w:val="Normalny"/>
    <w:autoRedefine/>
    <w:uiPriority w:val="98"/>
    <w:semiHidden/>
    <w:pPr>
      <w:ind w:left="480" w:hanging="240"/>
    </w:pPr>
  </w:style>
  <w:style w:type="paragraph" w:styleId="Indeks3">
    <w:name w:val="index 3"/>
    <w:basedOn w:val="Normalny"/>
    <w:next w:val="Normalny"/>
    <w:autoRedefine/>
    <w:uiPriority w:val="98"/>
    <w:semiHidden/>
    <w:pPr>
      <w:ind w:left="720" w:hanging="240"/>
    </w:pPr>
  </w:style>
  <w:style w:type="paragraph" w:styleId="Indeks4">
    <w:name w:val="index 4"/>
    <w:basedOn w:val="Normalny"/>
    <w:next w:val="Normalny"/>
    <w:autoRedefine/>
    <w:uiPriority w:val="98"/>
    <w:semiHidden/>
    <w:pPr>
      <w:ind w:left="960" w:hanging="240"/>
    </w:pPr>
  </w:style>
  <w:style w:type="paragraph" w:styleId="Indeks5">
    <w:name w:val="index 5"/>
    <w:basedOn w:val="Normalny"/>
    <w:next w:val="Normalny"/>
    <w:autoRedefine/>
    <w:uiPriority w:val="98"/>
    <w:semiHidden/>
    <w:pPr>
      <w:ind w:left="1200" w:hanging="240"/>
    </w:pPr>
  </w:style>
  <w:style w:type="paragraph" w:styleId="Indeks6">
    <w:name w:val="index 6"/>
    <w:basedOn w:val="Normalny"/>
    <w:next w:val="Normalny"/>
    <w:autoRedefine/>
    <w:uiPriority w:val="98"/>
    <w:semiHidden/>
    <w:pPr>
      <w:ind w:left="1440" w:hanging="240"/>
    </w:pPr>
  </w:style>
  <w:style w:type="paragraph" w:styleId="Indeks7">
    <w:name w:val="index 7"/>
    <w:basedOn w:val="Normalny"/>
    <w:next w:val="Normalny"/>
    <w:autoRedefine/>
    <w:uiPriority w:val="98"/>
    <w:semiHidden/>
    <w:pPr>
      <w:ind w:left="1680" w:hanging="240"/>
    </w:pPr>
  </w:style>
  <w:style w:type="paragraph" w:styleId="Indeks8">
    <w:name w:val="index 8"/>
    <w:basedOn w:val="Normalny"/>
    <w:next w:val="Normalny"/>
    <w:autoRedefine/>
    <w:uiPriority w:val="98"/>
    <w:semiHidden/>
    <w:pPr>
      <w:ind w:left="1920" w:hanging="240"/>
    </w:pPr>
  </w:style>
  <w:style w:type="paragraph" w:styleId="Indeks9">
    <w:name w:val="index 9"/>
    <w:basedOn w:val="Normalny"/>
    <w:next w:val="Normalny"/>
    <w:autoRedefine/>
    <w:uiPriority w:val="98"/>
    <w:semiHidden/>
    <w:pPr>
      <w:ind w:left="2160" w:hanging="240"/>
    </w:pPr>
  </w:style>
  <w:style w:type="paragraph" w:styleId="Nagwekindeksu">
    <w:name w:val="index heading"/>
    <w:basedOn w:val="Normalny"/>
    <w:next w:val="Indeks1"/>
    <w:uiPriority w:val="98"/>
    <w:semiHidden/>
    <w:rPr>
      <w:rFonts w:asciiTheme="majorHAnsi" w:eastAsiaTheme="majorEastAsia" w:hAnsiTheme="majorHAnsi" w:cstheme="majorBidi"/>
      <w:b/>
      <w:bCs/>
    </w:rPr>
  </w:style>
  <w:style w:type="table" w:styleId="Jasnasiatka">
    <w:name w:val="Light Grid"/>
    <w:basedOn w:val="Standardowy"/>
    <w:uiPriority w:val="62"/>
    <w:semiHidden/>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style>
  <w:style w:type="paragraph" w:styleId="Lista">
    <w:name w:val="List"/>
    <w:basedOn w:val="Normalny"/>
    <w:uiPriority w:val="98"/>
    <w:semiHidden/>
    <w:pPr>
      <w:ind w:left="283" w:hanging="283"/>
      <w:contextualSpacing/>
    </w:pPr>
  </w:style>
  <w:style w:type="paragraph" w:styleId="Lista2">
    <w:name w:val="List 2"/>
    <w:basedOn w:val="Normalny"/>
    <w:uiPriority w:val="98"/>
    <w:semiHidden/>
    <w:pPr>
      <w:ind w:left="566" w:hanging="283"/>
      <w:contextualSpacing/>
    </w:pPr>
  </w:style>
  <w:style w:type="paragraph" w:styleId="Lista3">
    <w:name w:val="List 3"/>
    <w:basedOn w:val="Normalny"/>
    <w:uiPriority w:val="98"/>
    <w:semiHidden/>
    <w:pPr>
      <w:ind w:left="849" w:hanging="283"/>
      <w:contextualSpacing/>
    </w:pPr>
  </w:style>
  <w:style w:type="paragraph" w:styleId="Lista4">
    <w:name w:val="List 4"/>
    <w:basedOn w:val="Normalny"/>
    <w:uiPriority w:val="98"/>
    <w:semiHidden/>
    <w:pPr>
      <w:ind w:left="1132" w:hanging="283"/>
      <w:contextualSpacing/>
    </w:pPr>
  </w:style>
  <w:style w:type="paragraph" w:styleId="Lista5">
    <w:name w:val="List 5"/>
    <w:basedOn w:val="Normalny"/>
    <w:uiPriority w:val="98"/>
    <w:semiHidden/>
    <w:pPr>
      <w:ind w:left="1415" w:hanging="283"/>
      <w:contextualSpacing/>
    </w:pPr>
  </w:style>
  <w:style w:type="paragraph" w:styleId="Listapunktowana2">
    <w:name w:val="List Bullet 2"/>
    <w:basedOn w:val="Normalny"/>
    <w:uiPriority w:val="98"/>
    <w:semiHidden/>
    <w:pPr>
      <w:numPr>
        <w:numId w:val="10"/>
      </w:numPr>
      <w:contextualSpacing/>
    </w:pPr>
  </w:style>
  <w:style w:type="paragraph" w:styleId="Listapunktowana4">
    <w:name w:val="List Bullet 4"/>
    <w:basedOn w:val="Normalny"/>
    <w:uiPriority w:val="98"/>
    <w:semiHidden/>
    <w:pPr>
      <w:numPr>
        <w:numId w:val="12"/>
      </w:numPr>
      <w:contextualSpacing/>
    </w:pPr>
  </w:style>
  <w:style w:type="paragraph" w:styleId="Listapunktowana5">
    <w:name w:val="List Bullet 5"/>
    <w:basedOn w:val="Normalny"/>
    <w:uiPriority w:val="98"/>
    <w:semiHidden/>
    <w:pPr>
      <w:numPr>
        <w:numId w:val="13"/>
      </w:numPr>
      <w:contextualSpacing/>
    </w:pPr>
  </w:style>
  <w:style w:type="paragraph" w:styleId="Lista-kontynuacja">
    <w:name w:val="List Continue"/>
    <w:basedOn w:val="Normalny"/>
    <w:uiPriority w:val="98"/>
    <w:semiHidden/>
    <w:pPr>
      <w:spacing w:after="120"/>
      <w:ind w:left="283"/>
      <w:contextualSpacing/>
    </w:pPr>
  </w:style>
  <w:style w:type="paragraph" w:styleId="Lista-kontynuacja2">
    <w:name w:val="List Continue 2"/>
    <w:basedOn w:val="Normalny"/>
    <w:uiPriority w:val="98"/>
    <w:semiHidden/>
    <w:pPr>
      <w:spacing w:after="120"/>
      <w:ind w:left="566"/>
      <w:contextualSpacing/>
    </w:pPr>
  </w:style>
  <w:style w:type="paragraph" w:styleId="Lista-kontynuacja3">
    <w:name w:val="List Continue 3"/>
    <w:basedOn w:val="Normalny"/>
    <w:uiPriority w:val="98"/>
    <w:semiHidden/>
    <w:pPr>
      <w:spacing w:after="120"/>
      <w:ind w:left="849"/>
      <w:contextualSpacing/>
    </w:pPr>
  </w:style>
  <w:style w:type="paragraph" w:styleId="Lista-kontynuacja4">
    <w:name w:val="List Continue 4"/>
    <w:basedOn w:val="Normalny"/>
    <w:uiPriority w:val="98"/>
    <w:semiHidden/>
    <w:pPr>
      <w:spacing w:after="120"/>
      <w:ind w:left="1132"/>
      <w:contextualSpacing/>
    </w:pPr>
  </w:style>
  <w:style w:type="paragraph" w:styleId="Lista-kontynuacja5">
    <w:name w:val="List Continue 5"/>
    <w:basedOn w:val="Normalny"/>
    <w:uiPriority w:val="98"/>
    <w:semiHidden/>
    <w:pPr>
      <w:spacing w:after="120"/>
      <w:ind w:left="1415"/>
      <w:contextualSpacing/>
    </w:pPr>
  </w:style>
  <w:style w:type="paragraph" w:styleId="Listanumerowana">
    <w:name w:val="List Number"/>
    <w:basedOn w:val="Normalny"/>
    <w:uiPriority w:val="98"/>
    <w:semiHidden/>
    <w:pPr>
      <w:numPr>
        <w:numId w:val="14"/>
      </w:numPr>
      <w:contextualSpacing/>
    </w:pPr>
  </w:style>
  <w:style w:type="paragraph" w:styleId="Listanumerowana2">
    <w:name w:val="List Number 2"/>
    <w:basedOn w:val="Normalny"/>
    <w:uiPriority w:val="98"/>
    <w:semiHidden/>
    <w:pPr>
      <w:numPr>
        <w:numId w:val="15"/>
      </w:numPr>
      <w:contextualSpacing/>
    </w:pPr>
  </w:style>
  <w:style w:type="paragraph" w:styleId="Listanumerowana3">
    <w:name w:val="List Number 3"/>
    <w:basedOn w:val="Normalny"/>
    <w:uiPriority w:val="98"/>
    <w:semiHidden/>
    <w:pPr>
      <w:numPr>
        <w:numId w:val="16"/>
      </w:numPr>
      <w:contextualSpacing/>
    </w:pPr>
  </w:style>
  <w:style w:type="paragraph" w:styleId="Listanumerowana4">
    <w:name w:val="List Number 4"/>
    <w:basedOn w:val="Normalny"/>
    <w:uiPriority w:val="98"/>
    <w:semiHidden/>
    <w:pPr>
      <w:numPr>
        <w:numId w:val="17"/>
      </w:numPr>
      <w:contextualSpacing/>
    </w:pPr>
  </w:style>
  <w:style w:type="paragraph" w:styleId="Listanumerowana5">
    <w:name w:val="List Number 5"/>
    <w:basedOn w:val="Normalny"/>
    <w:uiPriority w:val="98"/>
    <w:semiHidden/>
    <w:pPr>
      <w:numPr>
        <w:numId w:val="18"/>
      </w:numPr>
      <w:contextualSpacing/>
    </w:pPr>
  </w:style>
  <w:style w:type="paragraph" w:styleId="Tekstmakra">
    <w:name w:val="macro"/>
    <w:link w:val="TekstmakraZnak"/>
    <w:uiPriority w:val="98"/>
    <w:semiHidden/>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Pr>
      <w:rFonts w:ascii="Consolas" w:eastAsiaTheme="minorEastAsia" w:hAnsi="Consolas" w:cs="Consolas"/>
      <w:sz w:val="20"/>
      <w:szCs w:val="20"/>
    </w:rPr>
  </w:style>
  <w:style w:type="table" w:styleId="redniasiatka1">
    <w:name w:val="Medium Grid 1"/>
    <w:basedOn w:val="Standardowy"/>
    <w:uiPriority w:val="67"/>
    <w:semiHidden/>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Pr>
      <w:rFonts w:ascii="Times New Roman" w:hAnsi="Times New Roman" w:cs="Times New Roman"/>
    </w:rPr>
  </w:style>
  <w:style w:type="paragraph" w:styleId="Wcicienormalne">
    <w:name w:val="Normal Indent"/>
    <w:basedOn w:val="Normalny"/>
    <w:uiPriority w:val="98"/>
    <w:semiHidden/>
    <w:pPr>
      <w:ind w:left="720"/>
    </w:pPr>
  </w:style>
  <w:style w:type="paragraph" w:styleId="Nagweknotatki">
    <w:name w:val="Note Heading"/>
    <w:basedOn w:val="Normalny"/>
    <w:next w:val="Normalny"/>
    <w:link w:val="NagweknotatkiZnak"/>
    <w:uiPriority w:val="98"/>
    <w:semiHidden/>
  </w:style>
  <w:style w:type="character" w:customStyle="1" w:styleId="NagweknotatkiZnak">
    <w:name w:val="Nagłówek notatki Znak"/>
    <w:basedOn w:val="Domylnaczcionkaakapitu"/>
    <w:link w:val="Nagweknotatki"/>
    <w:uiPriority w:val="98"/>
    <w:semiHidden/>
    <w:rPr>
      <w:sz w:val="24"/>
      <w:szCs w:val="24"/>
      <w:lang w:val="pl-PL"/>
    </w:rPr>
  </w:style>
  <w:style w:type="character" w:styleId="Tekstzastpczy">
    <w:name w:val="Placeholder Text"/>
    <w:basedOn w:val="Domylnaczcionkaakapitu"/>
    <w:uiPriority w:val="98"/>
    <w:semiHidden/>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Pr>
      <w:rFonts w:ascii="Consolas" w:hAnsi="Consolas" w:cs="Consolas"/>
      <w:sz w:val="21"/>
      <w:szCs w:val="21"/>
    </w:rPr>
  </w:style>
  <w:style w:type="character" w:customStyle="1" w:styleId="ZwykytekstZnak">
    <w:name w:val="Zwykły tekst Znak"/>
    <w:basedOn w:val="Domylnaczcionkaakapitu"/>
    <w:link w:val="Zwykytekst"/>
    <w:uiPriority w:val="98"/>
    <w:semiHidden/>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style>
  <w:style w:type="character" w:customStyle="1" w:styleId="ZwrotgrzecznociowyZnak">
    <w:name w:val="Zwrot grzecznościowy Znak"/>
    <w:basedOn w:val="Domylnaczcionkaakapitu"/>
    <w:link w:val="Zwrotgrzecznociowy"/>
    <w:uiPriority w:val="98"/>
    <w:semiHidden/>
    <w:rPr>
      <w:sz w:val="24"/>
      <w:szCs w:val="24"/>
      <w:lang w:val="pl-PL"/>
    </w:rPr>
  </w:style>
  <w:style w:type="paragraph" w:styleId="Podpis">
    <w:name w:val="Signature"/>
    <w:basedOn w:val="Normalny"/>
    <w:link w:val="PodpisZnak"/>
    <w:uiPriority w:val="98"/>
    <w:semiHidden/>
    <w:pPr>
      <w:ind w:left="4252"/>
    </w:pPr>
  </w:style>
  <w:style w:type="character" w:customStyle="1" w:styleId="PodpisZnak">
    <w:name w:val="Podpis Znak"/>
    <w:basedOn w:val="Domylnaczcionkaakapitu"/>
    <w:link w:val="Podpis"/>
    <w:uiPriority w:val="98"/>
    <w:semiHidden/>
    <w:rPr>
      <w:sz w:val="24"/>
      <w:szCs w:val="24"/>
      <w:lang w:val="pl-PL"/>
    </w:rPr>
  </w:style>
  <w:style w:type="table" w:styleId="Tabela-Efekty3D1">
    <w:name w:val="Table 3D effects 1"/>
    <w:basedOn w:val="Standardowy"/>
    <w:uiPriority w:val="99"/>
    <w:semiHidden/>
    <w:unhideWhenUse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pPr>
      <w:ind w:left="240" w:hanging="240"/>
    </w:pPr>
  </w:style>
  <w:style w:type="paragraph" w:styleId="Spisilustracji">
    <w:name w:val="table of figures"/>
    <w:basedOn w:val="Normalny"/>
    <w:next w:val="Normalny"/>
    <w:uiPriority w:val="98"/>
    <w:semiHidden/>
  </w:style>
  <w:style w:type="table" w:styleId="Tabela-Profesjonalny">
    <w:name w:val="Table Professional"/>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pPr>
      <w:spacing w:after="100"/>
      <w:ind w:left="1680"/>
    </w:pPr>
  </w:style>
  <w:style w:type="paragraph" w:styleId="Spistreci9">
    <w:name w:val="toc 9"/>
    <w:basedOn w:val="Normalny"/>
    <w:next w:val="Normalny"/>
    <w:autoRedefine/>
    <w:uiPriority w:val="98"/>
    <w:semiHidden/>
    <w:pPr>
      <w:spacing w:after="100"/>
      <w:ind w:left="1920"/>
    </w:pPr>
  </w:style>
  <w:style w:type="paragraph" w:customStyle="1" w:styleId="ECHRFooter">
    <w:name w:val="ECHR_Footer"/>
    <w:aliases w:val="Footer_ECHR"/>
    <w:basedOn w:val="Stopka"/>
    <w:uiPriority w:val="57"/>
    <w:semiHidden/>
    <w:rPr>
      <w:sz w:val="8"/>
    </w:rPr>
  </w:style>
  <w:style w:type="paragraph" w:customStyle="1" w:styleId="ECHRFooterLine">
    <w:name w:val="ECHR_Footer_Line"/>
    <w:aliases w:val="_Footer_Line"/>
    <w:basedOn w:val="Normalny"/>
    <w:next w:val="Normalny"/>
    <w:uiPriority w:val="30"/>
    <w:semiHidden/>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pPr>
      <w:keepNext/>
      <w:keepLines/>
      <w:spacing w:before="1320" w:after="280"/>
      <w:contextualSpacing/>
      <w:jc w:val="center"/>
    </w:pPr>
    <w:rPr>
      <w:b/>
    </w:rPr>
  </w:style>
  <w:style w:type="paragraph" w:customStyle="1" w:styleId="DummyStyle">
    <w:name w:val="Dummy_Style"/>
    <w:aliases w:val="_Dummy"/>
    <w:basedOn w:val="Normalny"/>
    <w:semiHidden/>
    <w:qFormat/>
    <w:rPr>
      <w:color w:val="00B050"/>
      <w:sz w:val="22"/>
    </w:rPr>
  </w:style>
  <w:style w:type="paragraph" w:customStyle="1" w:styleId="ECHRBullet1">
    <w:name w:val="ECHR_Bullet_1"/>
    <w:aliases w:val="_Bul_1"/>
    <w:basedOn w:val="NormalJustified"/>
    <w:uiPriority w:val="23"/>
    <w:semiHidden/>
    <w:qFormat/>
    <w:pPr>
      <w:numPr>
        <w:numId w:val="6"/>
      </w:numPr>
      <w:spacing w:before="60" w:after="60"/>
    </w:pPr>
  </w:style>
  <w:style w:type="paragraph" w:customStyle="1" w:styleId="ECHRBullet2">
    <w:name w:val="ECHR_Bullet_2"/>
    <w:aliases w:val="_Bul_2"/>
    <w:basedOn w:val="ECHRBullet1"/>
    <w:uiPriority w:val="23"/>
    <w:semiHidden/>
    <w:pPr>
      <w:numPr>
        <w:ilvl w:val="1"/>
      </w:numPr>
    </w:pPr>
  </w:style>
  <w:style w:type="paragraph" w:customStyle="1" w:styleId="ECHRBullet3">
    <w:name w:val="ECHR_Bullet_3"/>
    <w:aliases w:val="_Bul_3"/>
    <w:basedOn w:val="ECHRBullet2"/>
    <w:uiPriority w:val="23"/>
    <w:semiHidden/>
    <w:pPr>
      <w:numPr>
        <w:ilvl w:val="2"/>
      </w:numPr>
    </w:pPr>
  </w:style>
  <w:style w:type="paragraph" w:customStyle="1" w:styleId="ECHRBullet4">
    <w:name w:val="ECHR_Bullet_4"/>
    <w:aliases w:val="_Bul_4"/>
    <w:basedOn w:val="ECHRBullet3"/>
    <w:uiPriority w:val="23"/>
    <w:semiHidden/>
    <w:pPr>
      <w:numPr>
        <w:ilvl w:val="3"/>
      </w:numPr>
    </w:pPr>
  </w:style>
  <w:style w:type="paragraph" w:customStyle="1" w:styleId="ECHRConfidential">
    <w:name w:val="ECHR_Confidential"/>
    <w:aliases w:val="_Confidential"/>
    <w:basedOn w:val="Normalny"/>
    <w:next w:val="Normalny"/>
    <w:uiPriority w:val="42"/>
    <w:semiHidden/>
    <w:qFormat/>
    <w:pPr>
      <w:jc w:val="right"/>
    </w:pPr>
    <w:rPr>
      <w:color w:val="C00000"/>
      <w:sz w:val="20"/>
    </w:rPr>
  </w:style>
  <w:style w:type="paragraph" w:customStyle="1" w:styleId="ECHRDecisionBody">
    <w:name w:val="ECHR_Decision_Body"/>
    <w:aliases w:val="_Decision_Body"/>
    <w:basedOn w:val="NormalJustified"/>
    <w:uiPriority w:val="54"/>
    <w:semiHidden/>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pPr>
      <w:jc w:val="right"/>
    </w:pPr>
    <w:rPr>
      <w:sz w:val="20"/>
    </w:rPr>
  </w:style>
  <w:style w:type="paragraph" w:customStyle="1" w:styleId="ECHRHeaderRefIt">
    <w:name w:val="ECHR_Header_Ref_It"/>
    <w:aliases w:val="_Ref_Ital"/>
    <w:basedOn w:val="Normalny"/>
    <w:next w:val="ECHRHeaderDate"/>
    <w:uiPriority w:val="43"/>
    <w:qFormat/>
    <w:pPr>
      <w:jc w:val="right"/>
    </w:pPr>
    <w:rPr>
      <w:i/>
      <w:sz w:val="20"/>
    </w:rPr>
  </w:style>
  <w:style w:type="paragraph" w:customStyle="1" w:styleId="ECHRHeading9">
    <w:name w:val="ECHR_Heading_9"/>
    <w:aliases w:val="_Head_9"/>
    <w:basedOn w:val="Nagwek9"/>
    <w:uiPriority w:val="17"/>
    <w:semiHidden/>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pPr>
      <w:numPr>
        <w:numId w:val="8"/>
      </w:numPr>
      <w:spacing w:before="60" w:after="60"/>
    </w:pPr>
  </w:style>
  <w:style w:type="paragraph" w:customStyle="1" w:styleId="ECHRNumberedList2">
    <w:name w:val="ECHR_Numbered_List_2"/>
    <w:aliases w:val="_Num_2"/>
    <w:basedOn w:val="ECHRNumberedList1"/>
    <w:uiPriority w:val="23"/>
    <w:semiHidden/>
    <w:pPr>
      <w:numPr>
        <w:ilvl w:val="1"/>
      </w:numPr>
    </w:pPr>
  </w:style>
  <w:style w:type="paragraph" w:customStyle="1" w:styleId="ECHRNumberedList3">
    <w:name w:val="ECHR_Numbered_List_3"/>
    <w:aliases w:val="_Num_3"/>
    <w:basedOn w:val="ECHRNumberedList2"/>
    <w:uiPriority w:val="23"/>
    <w:semiHidden/>
    <w:pPr>
      <w:numPr>
        <w:ilvl w:val="2"/>
      </w:numPr>
    </w:pPr>
  </w:style>
  <w:style w:type="paragraph" w:customStyle="1" w:styleId="ECHRParaHanging">
    <w:name w:val="ECHR_Para_Hanging"/>
    <w:aliases w:val="_Hanging"/>
    <w:basedOn w:val="Normalny"/>
    <w:uiPriority w:val="8"/>
    <w:semiHidden/>
    <w:qFormat/>
    <w:pPr>
      <w:ind w:left="567" w:hanging="567"/>
      <w:jc w:val="both"/>
    </w:pPr>
  </w:style>
  <w:style w:type="paragraph" w:customStyle="1" w:styleId="ECHRParaIndent">
    <w:name w:val="ECHR_Para_Indent"/>
    <w:aliases w:val="_Indent"/>
    <w:basedOn w:val="Normalny"/>
    <w:uiPriority w:val="7"/>
    <w:semiHidden/>
    <w:qFormat/>
    <w:pPr>
      <w:spacing w:before="120" w:after="120"/>
      <w:ind w:left="284"/>
      <w:jc w:val="both"/>
    </w:pPr>
  </w:style>
  <w:style w:type="character" w:customStyle="1" w:styleId="ECHRRed">
    <w:name w:val="ECHR_Red"/>
    <w:aliases w:val="_Red"/>
    <w:basedOn w:val="Domylnaczcionkaakapitu"/>
    <w:uiPriority w:val="15"/>
    <w:semiHidden/>
    <w:qFormat/>
    <w:rPr>
      <w:color w:val="C00000" w:themeColor="accent2"/>
    </w:rPr>
  </w:style>
  <w:style w:type="paragraph" w:customStyle="1" w:styleId="ECHRSpacer">
    <w:name w:val="ECHR_Spacer"/>
    <w:aliases w:val="_Spacer"/>
    <w:basedOn w:val="Normalny"/>
    <w:uiPriority w:val="45"/>
    <w:semiHidden/>
    <w:rPr>
      <w:sz w:val="4"/>
    </w:rPr>
  </w:style>
  <w:style w:type="table" w:customStyle="1" w:styleId="ECHRTable2">
    <w:name w:val="ECHR_Table_2"/>
    <w:basedOn w:val="Standardowy"/>
    <w:uiPriority w:val="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pPr>
      <w:outlineLvl w:val="0"/>
    </w:pPr>
  </w:style>
  <w:style w:type="paragraph" w:customStyle="1" w:styleId="ECHRTitleTOC1">
    <w:name w:val="ECHR_Title_TOC_1"/>
    <w:aliases w:val="_Title_L_TOC"/>
    <w:basedOn w:val="ECHRTitle1"/>
    <w:next w:val="Normalny"/>
    <w:uiPriority w:val="27"/>
    <w:semiHidden/>
    <w:qFormat/>
    <w:pPr>
      <w:outlineLvl w:val="0"/>
    </w:pPr>
  </w:style>
  <w:style w:type="character" w:customStyle="1" w:styleId="JuParaChar">
    <w:name w:val="Ju_Para Char"/>
    <w:aliases w:val="_Para Char"/>
    <w:link w:val="JuPara"/>
    <w:uiPriority w:val="4"/>
    <w:rPr>
      <w:sz w:val="24"/>
      <w:szCs w:val="24"/>
      <w:lang w:val="pl-PL"/>
    </w:rPr>
  </w:style>
  <w:style w:type="character" w:customStyle="1" w:styleId="JuNames0">
    <w:name w:val="Ju_Names"/>
    <w:rPr>
      <w:smallCaps/>
    </w:rPr>
  </w:style>
  <w:style w:type="paragraph" w:customStyle="1" w:styleId="JuList4">
    <w:name w:val="Ju_List_4"/>
    <w:aliases w:val="N_Bul_4"/>
    <w:basedOn w:val="JuListi"/>
    <w:uiPriority w:val="19"/>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1">
    <w:name w:val="Grid Table 1 Light1"/>
    <w:basedOn w:val="Standardowy"/>
    <w:uiPriority w:val="46"/>
    <w:semiHidden/>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ECHRHeaderLandscape">
    <w:name w:val="ECHR_Header_Landscape"/>
    <w:aliases w:val="_Header_Landscape"/>
    <w:basedOn w:val="JuHeader"/>
    <w:uiPriority w:val="29"/>
    <w:semiHidden/>
    <w:pPr>
      <w:tabs>
        <w:tab w:val="center" w:pos="6146"/>
        <w:tab w:val="right" w:pos="13778"/>
      </w:tabs>
      <w:ind w:left="-1474" w:right="-1474"/>
    </w:pPr>
  </w:style>
  <w:style w:type="paragraph" w:customStyle="1" w:styleId="ECHRPlaceholder">
    <w:name w:val="ECHR_Placeholder"/>
    <w:aliases w:val="_Placeholder"/>
    <w:basedOn w:val="JuSigned"/>
    <w:uiPriority w:val="31"/>
    <w:rPr>
      <w:color w:val="FFFFFF"/>
    </w:rPr>
  </w:style>
  <w:style w:type="table" w:customStyle="1" w:styleId="ECHRTableGrey">
    <w:name w:val="ECHR_Table_Grey"/>
    <w:basedOn w:val="Standardowy"/>
    <w:uiPriority w:val="9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paragraph" w:customStyle="1" w:styleId="jupara0">
    <w:name w:val="jupara"/>
    <w:basedOn w:val="Normalny"/>
    <w:pPr>
      <w:ind w:firstLine="284"/>
      <w:jc w:val="both"/>
    </w:pPr>
    <w:rPr>
      <w:rFonts w:ascii="Times New Roman" w:eastAsia="Times New Roman" w:hAnsi="Times New Roman" w:cs="Times New Roman"/>
      <w:lang w:eastAsia="en-GB"/>
    </w:rPr>
  </w:style>
  <w:style w:type="paragraph" w:customStyle="1" w:styleId="jucase0">
    <w:name w:val="jucase"/>
    <w:basedOn w:val="Normalny"/>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99652">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762066285">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697C7-FDEA-42DB-A820-E8E2FF8A1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7861</Words>
  <Characters>47171</Characters>
  <Application>Microsoft Office Word</Application>
  <DocSecurity>0</DocSecurity>
  <Lines>393</Lines>
  <Paragraphs>109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54923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2022-05-11T12:53:00Z</dcterms:created>
  <dcterms:modified xsi:type="dcterms:W3CDTF">2022-05-25T12:34:00Z</dcterms:modified>
  <cp:category/>
</cp:coreProperties>
</file>