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59BE0" w14:textId="77777777" w:rsidR="00E107C0" w:rsidRDefault="00E107C0">
      <w:pPr>
        <w:pStyle w:val="ECHRDecisionBody"/>
      </w:pPr>
    </w:p>
    <w:p w14:paraId="76F9CD05" w14:textId="0CE77AD3" w:rsidR="00E107C0" w:rsidRDefault="00FD69C2">
      <w:pPr>
        <w:pStyle w:val="DecHTitle"/>
        <w:keepNext w:val="0"/>
        <w:keepLines w:val="0"/>
      </w:pPr>
      <w:r>
        <w:t>SEKCJA</w:t>
      </w:r>
      <w:r w:rsidR="001E5BB2">
        <w:t xml:space="preserve"> PIERWSZA</w:t>
      </w:r>
    </w:p>
    <w:p w14:paraId="683B2130" w14:textId="77777777" w:rsidR="00E107C0" w:rsidRDefault="00FD69C2">
      <w:pPr>
        <w:pStyle w:val="JuTitle"/>
        <w:keepNext w:val="0"/>
        <w:keepLines w:val="0"/>
      </w:pPr>
      <w:bookmarkStart w:id="0" w:name="To"/>
      <w:r>
        <w:rPr>
          <w:bCs/>
        </w:rPr>
        <w:t xml:space="preserve">SPRAWA </w:t>
      </w:r>
      <w:bookmarkEnd w:id="0"/>
      <w:r>
        <w:rPr>
          <w:bCs/>
        </w:rPr>
        <w:t>WYSZYŃSKI PRZECIWKO POLSCE</w:t>
      </w:r>
    </w:p>
    <w:p w14:paraId="3F752FB0" w14:textId="77777777" w:rsidR="00E107C0" w:rsidRDefault="00FD69C2">
      <w:pPr>
        <w:pStyle w:val="ECHRCoverTitle4"/>
        <w:keepNext w:val="0"/>
        <w:keepLines w:val="0"/>
      </w:pPr>
      <w:r>
        <w:rPr>
          <w:iCs/>
        </w:rPr>
        <w:t>(Skarga nr 66/12)</w:t>
      </w:r>
    </w:p>
    <w:p w14:paraId="0DB35971" w14:textId="77777777" w:rsidR="00E107C0" w:rsidRDefault="00E107C0">
      <w:pPr>
        <w:pStyle w:val="DecHCase"/>
        <w:keepNext w:val="0"/>
        <w:keepLines w:val="0"/>
      </w:pPr>
    </w:p>
    <w:p w14:paraId="347B0A1C" w14:textId="77777777" w:rsidR="00E107C0" w:rsidRDefault="00E107C0">
      <w:pPr>
        <w:pStyle w:val="DecHCase"/>
        <w:keepNext w:val="0"/>
        <w:keepLines w:val="0"/>
      </w:pPr>
    </w:p>
    <w:p w14:paraId="6F3FA7A4" w14:textId="77777777" w:rsidR="00E107C0" w:rsidRDefault="00E107C0">
      <w:pPr>
        <w:pStyle w:val="DecHCase"/>
        <w:keepNext w:val="0"/>
        <w:keepLines w:val="0"/>
      </w:pPr>
    </w:p>
    <w:p w14:paraId="780F25C0" w14:textId="77777777" w:rsidR="00E107C0" w:rsidRDefault="00E107C0">
      <w:pPr>
        <w:pStyle w:val="DecHCase"/>
        <w:keepNext w:val="0"/>
        <w:keepLines w:val="0"/>
      </w:pPr>
    </w:p>
    <w:p w14:paraId="78283B98" w14:textId="77777777" w:rsidR="00E107C0" w:rsidRDefault="00E107C0">
      <w:pPr>
        <w:pStyle w:val="DecHCase"/>
        <w:keepNext w:val="0"/>
        <w:keepLines w:val="0"/>
      </w:pPr>
    </w:p>
    <w:p w14:paraId="3A83385F" w14:textId="77777777" w:rsidR="00E107C0" w:rsidRDefault="00FD69C2">
      <w:pPr>
        <w:pStyle w:val="DecHCase"/>
        <w:keepNext w:val="0"/>
        <w:keepLines w:val="0"/>
      </w:pPr>
      <w:r>
        <w:t>WYROK</w:t>
      </w:r>
    </w:p>
    <w:p w14:paraId="57165B9E" w14:textId="275FB583" w:rsidR="00E107C0" w:rsidRDefault="00FD69C2">
      <w:pPr>
        <w:pBdr>
          <w:top w:val="single" w:sz="4" w:space="1" w:color="000000"/>
          <w:left w:val="single" w:sz="4" w:space="4" w:color="000000"/>
          <w:bottom w:val="single" w:sz="4" w:space="1" w:color="000000"/>
          <w:right w:val="single" w:sz="4" w:space="4" w:color="000000"/>
        </w:pBdr>
        <w:jc w:val="both"/>
      </w:pPr>
      <w:r>
        <w:t>Art. 1 Protokołu nr 1 • Kontrola korzystania z własności • Nadmierne obciążenie skarżącego, którego roszczenie odszkodowawcze za to, że lokator zajmował jego mieszkanie bez ważnego tytułu prawnego, zostało arbitralnie oddalone • Narzucenie przez sąd krajowy wymogów, które były bardzo trudne do spełnienia przez skarżącego, co w istocie pozbawiło go prawa do</w:t>
      </w:r>
      <w:r w:rsidR="001E5BB2">
        <w:t> </w:t>
      </w:r>
      <w:r>
        <w:t>uzyskania naprawienia szkody</w:t>
      </w:r>
    </w:p>
    <w:p w14:paraId="0FC5A4B4" w14:textId="77777777" w:rsidR="00E107C0" w:rsidRDefault="00E107C0">
      <w:pPr>
        <w:pStyle w:val="DecHCase"/>
        <w:keepNext w:val="0"/>
        <w:keepLines w:val="0"/>
      </w:pPr>
    </w:p>
    <w:p w14:paraId="2C4C3AE0" w14:textId="77777777" w:rsidR="00E107C0" w:rsidRDefault="00FD69C2">
      <w:pPr>
        <w:pStyle w:val="DecHCase"/>
        <w:keepNext w:val="0"/>
        <w:keepLines w:val="0"/>
      </w:pPr>
      <w:r>
        <w:t>STRASBURG</w:t>
      </w:r>
    </w:p>
    <w:p w14:paraId="037B60AC" w14:textId="77777777" w:rsidR="00E107C0" w:rsidRDefault="00FD69C2">
      <w:pPr>
        <w:pStyle w:val="DecHCase"/>
        <w:keepNext w:val="0"/>
        <w:keepLines w:val="0"/>
      </w:pPr>
      <w:r>
        <w:t>24 marca 2022 r.</w:t>
      </w:r>
    </w:p>
    <w:p w14:paraId="2F3849ED" w14:textId="77777777" w:rsidR="00E107C0" w:rsidRDefault="00E107C0">
      <w:pPr>
        <w:jc w:val="center"/>
      </w:pPr>
    </w:p>
    <w:p w14:paraId="1D78DFB8" w14:textId="77777777" w:rsidR="00E107C0" w:rsidRDefault="00FD69C2">
      <w:pPr>
        <w:jc w:val="both"/>
        <w:sectPr w:rsidR="00E107C0">
          <w:headerReference w:type="default" r:id="rId11"/>
          <w:footerReference w:type="default" r:id="rId12"/>
          <w:pgSz w:w="11906" w:h="16838"/>
          <w:pgMar w:top="2274" w:right="2274" w:bottom="2274" w:left="2274" w:header="1701" w:footer="720" w:gutter="0"/>
          <w:pgNumType w:start="1"/>
          <w:cols w:space="720"/>
          <w:formProt w:val="0"/>
          <w:docGrid w:linePitch="326"/>
        </w:sectPr>
      </w:pPr>
      <w:r>
        <w:rPr>
          <w:i/>
          <w:iCs/>
          <w:sz w:val="22"/>
        </w:rPr>
        <w:t>Wyrok ten stanie się ostateczny zgodnie z warunkami określonymi w art. 44 ust. 2 Konwencji. Wyrok może podlegać korekcie wydawniczej.</w:t>
      </w:r>
    </w:p>
    <w:p w14:paraId="412B486C" w14:textId="6587BE6A" w:rsidR="00E107C0" w:rsidRDefault="00FD69C2">
      <w:pPr>
        <w:pStyle w:val="JuCase"/>
        <w:ind w:firstLine="0"/>
      </w:pPr>
      <w:r>
        <w:rPr>
          <w:bCs/>
        </w:rPr>
        <w:lastRenderedPageBreak/>
        <w:t>W sprawie Wyszyński przeciwko Polsce</w:t>
      </w:r>
    </w:p>
    <w:p w14:paraId="34862204" w14:textId="6ED5C23E" w:rsidR="00E107C0" w:rsidRDefault="00FD69C2">
      <w:pPr>
        <w:pStyle w:val="JuPara"/>
      </w:pPr>
      <w:r>
        <w:t>Europejski Trybunał Praw Człowieka (</w:t>
      </w:r>
      <w:r w:rsidR="001E5BB2">
        <w:t>Sekcja P</w:t>
      </w:r>
      <w:r>
        <w:t>ierwsza), zasiadając jako Izba w składzie:</w:t>
      </w:r>
    </w:p>
    <w:p w14:paraId="18D3B192" w14:textId="131C9735" w:rsidR="00E107C0" w:rsidRDefault="00FD69C2">
      <w:pPr>
        <w:pStyle w:val="JuJudges"/>
      </w:pPr>
      <w:r>
        <w:tab/>
        <w:t>Marko Bošnjak, Przewodniczący,</w:t>
      </w:r>
      <w:r>
        <w:br/>
      </w:r>
      <w:r>
        <w:tab/>
        <w:t>Péter Paczolay,</w:t>
      </w:r>
      <w:r>
        <w:br/>
      </w:r>
      <w:r>
        <w:tab/>
        <w:t>Krzysztof Wojtyczek,</w:t>
      </w:r>
      <w:r>
        <w:br/>
      </w:r>
      <w:r>
        <w:tab/>
        <w:t>Alena Poláčková,</w:t>
      </w:r>
      <w:r>
        <w:br/>
      </w:r>
      <w:r>
        <w:tab/>
        <w:t>Erik Wennerström,</w:t>
      </w:r>
      <w:r>
        <w:br/>
      </w:r>
      <w:r>
        <w:tab/>
        <w:t>Raffaele Sabato,</w:t>
      </w:r>
      <w:r>
        <w:br/>
      </w:r>
      <w:r>
        <w:tab/>
        <w:t>Davor Derenčinović, Sędziowie,</w:t>
      </w:r>
      <w:r>
        <w:br/>
        <w:t>ora</w:t>
      </w:r>
      <w:r w:rsidR="00A5423F">
        <w:t>z</w:t>
      </w:r>
      <w:r w:rsidR="005633D2">
        <w:t xml:space="preserve"> </w:t>
      </w:r>
      <w:r>
        <w:t>Liv Tigerstedt, Zastępc</w:t>
      </w:r>
      <w:r w:rsidR="001E5BB2">
        <w:t>a</w:t>
      </w:r>
      <w:r>
        <w:t xml:space="preserve"> Kanclerza Sekcji,</w:t>
      </w:r>
    </w:p>
    <w:p w14:paraId="0C4FF7C6" w14:textId="77777777" w:rsidR="00E107C0" w:rsidRDefault="00FD69C2">
      <w:pPr>
        <w:pStyle w:val="JuPara"/>
      </w:pPr>
      <w:r>
        <w:t>mając na uwadze:</w:t>
      </w:r>
    </w:p>
    <w:p w14:paraId="72E11036" w14:textId="78294903" w:rsidR="00E107C0" w:rsidRDefault="00FD69C2">
      <w:pPr>
        <w:pStyle w:val="JuPara"/>
      </w:pPr>
      <w:r>
        <w:t>skargę (nr 66/12) przeciwko Rzeczypospolitej Polskiej wniesioną do</w:t>
      </w:r>
      <w:r w:rsidR="00054F81">
        <w:t> </w:t>
      </w:r>
      <w:r>
        <w:t>Trybunału w dniu 29 grudnia 2011 r. na podstawie art. 34 Konwencji o ochronie praw człowieka i podstawowych wolności („Konwencja”) przez obywatela polskiego, Antoniego Wyszyńskiego („skarżący”);</w:t>
      </w:r>
    </w:p>
    <w:p w14:paraId="3F37EB0B" w14:textId="6A0E2767" w:rsidR="00E107C0" w:rsidRDefault="00FD69C2">
      <w:pPr>
        <w:pStyle w:val="JuPara"/>
      </w:pPr>
      <w:r>
        <w:t>decyzję o za</w:t>
      </w:r>
      <w:r w:rsidR="00054F81">
        <w:t xml:space="preserve">komunikowaniu </w:t>
      </w:r>
      <w:r>
        <w:t>Rząd</w:t>
      </w:r>
      <w:r w:rsidR="00054F81">
        <w:t>owi</w:t>
      </w:r>
      <w:r>
        <w:t xml:space="preserve"> Rzeczypospolitej Polskiej („Rząd”) </w:t>
      </w:r>
      <w:r w:rsidR="00054F81">
        <w:t>sprawy</w:t>
      </w:r>
      <w:r>
        <w:t xml:space="preserve"> dotyczącej art. 1 Protokołu nr 1 oraz o uznaniu pozostałej części skargi za niedopuszczalną;</w:t>
      </w:r>
    </w:p>
    <w:p w14:paraId="5F40CF8C" w14:textId="3C0A906E" w:rsidR="00E107C0" w:rsidRDefault="00054F81">
      <w:pPr>
        <w:pStyle w:val="JuPara"/>
      </w:pPr>
      <w:r>
        <w:rPr>
          <w:rStyle w:val="JuParaChar"/>
        </w:rPr>
        <w:t xml:space="preserve">uwagi </w:t>
      </w:r>
      <w:r w:rsidR="00FD69C2">
        <w:rPr>
          <w:rStyle w:val="JuParaChar"/>
        </w:rPr>
        <w:t>stron;</w:t>
      </w:r>
    </w:p>
    <w:p w14:paraId="546723CC" w14:textId="77777777" w:rsidR="00E107C0" w:rsidRDefault="00FD69C2">
      <w:pPr>
        <w:pStyle w:val="JuPara"/>
      </w:pPr>
      <w:r>
        <w:t>obradując na posiedzeniu niejawnym w dniu 1 marca 2022 r.,</w:t>
      </w:r>
    </w:p>
    <w:p w14:paraId="13D51F34" w14:textId="77777777" w:rsidR="00E107C0" w:rsidRDefault="00FD69C2">
      <w:pPr>
        <w:pStyle w:val="JuPara"/>
      </w:pPr>
      <w:r>
        <w:t>wydaje następujący wyrok, który został przyjęty w tym dniu:</w:t>
      </w:r>
    </w:p>
    <w:p w14:paraId="721ADC6A" w14:textId="77777777" w:rsidR="00E107C0" w:rsidRDefault="00FD69C2">
      <w:pPr>
        <w:pStyle w:val="JuHHead"/>
        <w:numPr>
          <w:ilvl w:val="0"/>
          <w:numId w:val="1"/>
        </w:numPr>
        <w:spacing w:before="280"/>
      </w:pPr>
      <w:r>
        <w:rPr>
          <w:bCs w:val="0"/>
        </w:rPr>
        <w:t>WPROWADZENIE</w:t>
      </w:r>
    </w:p>
    <w:p w14:paraId="0B86B623" w14:textId="30881596" w:rsidR="00E107C0" w:rsidRDefault="00FD69C2">
      <w:pPr>
        <w:pStyle w:val="JuPara"/>
      </w:pPr>
      <w:r>
        <w:fldChar w:fldCharType="begin"/>
      </w:r>
      <w:r>
        <w:instrText>SEQ level0 \* ARABIC</w:instrText>
      </w:r>
      <w:r>
        <w:fldChar w:fldCharType="separate"/>
      </w:r>
      <w:r>
        <w:t>1</w:t>
      </w:r>
      <w:r>
        <w:fldChar w:fldCharType="end"/>
      </w:r>
      <w:bookmarkStart w:id="1" w:name="_Hlk93326384"/>
      <w:r>
        <w:t>.  Sprawa dotyczy odmowy przyznania</w:t>
      </w:r>
      <w:r w:rsidR="00054F81">
        <w:t xml:space="preserve"> skarżącemu</w:t>
      </w:r>
      <w:r>
        <w:t xml:space="preserve"> przez władze krajowe odszkodowania za lokatora, który zajmował jego mieszkanie bez ważnego tytułu prawnego, co zdaniem skarżącego stanowiło ingerencję w jego prawo do poszanowania jego mienia na gruncie art. 1 Protokołu nr 1 do Konwencji.</w:t>
      </w:r>
      <w:bookmarkEnd w:id="1"/>
    </w:p>
    <w:p w14:paraId="4A061848" w14:textId="77777777" w:rsidR="00E107C0" w:rsidRDefault="00FD69C2">
      <w:pPr>
        <w:pStyle w:val="JuHHead"/>
        <w:numPr>
          <w:ilvl w:val="0"/>
          <w:numId w:val="1"/>
        </w:numPr>
        <w:spacing w:before="280"/>
      </w:pPr>
      <w:r>
        <w:rPr>
          <w:bCs w:val="0"/>
        </w:rPr>
        <w:t>FAKTY</w:t>
      </w:r>
    </w:p>
    <w:p w14:paraId="66DE6B81" w14:textId="77777777" w:rsidR="00E107C0" w:rsidRDefault="00FD69C2">
      <w:pPr>
        <w:pStyle w:val="JuPara"/>
      </w:pPr>
      <w:r>
        <w:fldChar w:fldCharType="begin"/>
      </w:r>
      <w:r>
        <w:instrText>SEQ level0 \* ARABIC</w:instrText>
      </w:r>
      <w:r>
        <w:fldChar w:fldCharType="separate"/>
      </w:r>
      <w:r>
        <w:t>2</w:t>
      </w:r>
      <w:r>
        <w:fldChar w:fldCharType="end"/>
      </w:r>
      <w:r>
        <w:t>.  Skarżący urodził się w 1946 r. i mieszka w Poznaniu. Był reprezentowany przez A. Zielonackiego, prawnika praktykującego w Poznaniu.</w:t>
      </w:r>
    </w:p>
    <w:p w14:paraId="7DCF1C89" w14:textId="77777777" w:rsidR="00E107C0" w:rsidRDefault="00FD69C2">
      <w:pPr>
        <w:pStyle w:val="JuPara"/>
      </w:pPr>
      <w:r>
        <w:fldChar w:fldCharType="begin"/>
      </w:r>
      <w:r>
        <w:instrText>SEQ level0 \* ARABIC</w:instrText>
      </w:r>
      <w:r>
        <w:fldChar w:fldCharType="separate"/>
      </w:r>
      <w:r>
        <w:t>3</w:t>
      </w:r>
      <w:r>
        <w:fldChar w:fldCharType="end"/>
      </w:r>
      <w:r>
        <w:t>.  Rząd reprezentowany był przez swojego pełnomocnika, J. Chrzanowską, a następnie przez J. Sobczaka z Ministerstwa Spraw Zagranicznych.</w:t>
      </w:r>
    </w:p>
    <w:p w14:paraId="0D86AA76" w14:textId="77777777" w:rsidR="00E107C0" w:rsidRDefault="00FD69C2">
      <w:pPr>
        <w:pStyle w:val="JuPara"/>
      </w:pPr>
      <w:r>
        <w:fldChar w:fldCharType="begin"/>
      </w:r>
      <w:r>
        <w:instrText>SEQ level0 \* ARABIC</w:instrText>
      </w:r>
      <w:r>
        <w:fldChar w:fldCharType="separate"/>
      </w:r>
      <w:r>
        <w:t>4</w:t>
      </w:r>
      <w:r>
        <w:fldChar w:fldCharType="end"/>
      </w:r>
      <w:r>
        <w:t>.  Okoliczności faktyczne sprawy można streścić następująco.</w:t>
      </w:r>
    </w:p>
    <w:p w14:paraId="0246198F" w14:textId="77777777" w:rsidR="00E107C0" w:rsidRDefault="00FD69C2">
      <w:pPr>
        <w:pStyle w:val="JuHIRoman"/>
        <w:numPr>
          <w:ilvl w:val="1"/>
          <w:numId w:val="1"/>
        </w:numPr>
        <w:spacing w:before="280"/>
      </w:pPr>
      <w:r>
        <w:rPr>
          <w:bCs w:val="0"/>
        </w:rPr>
        <w:lastRenderedPageBreak/>
        <w:t>Kontekst sprawy</w:t>
      </w:r>
    </w:p>
    <w:p w14:paraId="564F2843" w14:textId="77777777" w:rsidR="00E107C0" w:rsidRDefault="00FD69C2">
      <w:pPr>
        <w:pStyle w:val="JuPara"/>
      </w:pPr>
      <w:r>
        <w:fldChar w:fldCharType="begin"/>
      </w:r>
      <w:r>
        <w:instrText>SEQ level0 \* ARABIC</w:instrText>
      </w:r>
      <w:r>
        <w:fldChar w:fldCharType="separate"/>
      </w:r>
      <w:r>
        <w:t>5</w:t>
      </w:r>
      <w:r>
        <w:fldChar w:fldCharType="end"/>
      </w:r>
      <w:r>
        <w:t>.  Skarżący jest właścicielem kilku mieszkań znajdujących się w tym samym budynku w Poznaniu. Rozpatrywana sprawa dotyczy jednego z tych mieszkań, nr 11.</w:t>
      </w:r>
    </w:p>
    <w:p w14:paraId="35C87DB7" w14:textId="3FCBAC17" w:rsidR="00E107C0" w:rsidRDefault="00FD69C2">
      <w:pPr>
        <w:pStyle w:val="JuPara"/>
      </w:pPr>
      <w:r>
        <w:fldChar w:fldCharType="begin"/>
      </w:r>
      <w:r>
        <w:instrText>SEQ level0 \* ARABIC</w:instrText>
      </w:r>
      <w:r>
        <w:fldChar w:fldCharType="separate"/>
      </w:r>
      <w:r>
        <w:t>6</w:t>
      </w:r>
      <w:r>
        <w:fldChar w:fldCharType="end"/>
      </w:r>
      <w:r>
        <w:t xml:space="preserve">.  Mieszkanie </w:t>
      </w:r>
      <w:r w:rsidR="000C0002">
        <w:t>zajmował</w:t>
      </w:r>
      <w:r>
        <w:t xml:space="preserve"> lokator, R.S., który przez kilka lat nie płacił czynszu i opłat eksploatacyjnych.</w:t>
      </w:r>
    </w:p>
    <w:p w14:paraId="678BAB1F" w14:textId="5D0116E8" w:rsidR="00E107C0" w:rsidRDefault="00FD69C2">
      <w:pPr>
        <w:pStyle w:val="JuPara"/>
      </w:pPr>
      <w:r>
        <w:fldChar w:fldCharType="begin"/>
      </w:r>
      <w:r>
        <w:instrText>SEQ level0 \* ARABIC</w:instrText>
      </w:r>
      <w:r>
        <w:fldChar w:fldCharType="separate"/>
      </w:r>
      <w:r>
        <w:t>7</w:t>
      </w:r>
      <w:r>
        <w:fldChar w:fldCharType="end"/>
      </w:r>
      <w:r>
        <w:t xml:space="preserve">.  W dniu 24 sierpnia 2007 r. Sąd Rejonowy w Poznaniu wydał wyrok przeciwko R.S., któremu nakazano </w:t>
      </w:r>
      <w:r w:rsidR="000C0002">
        <w:t xml:space="preserve">opróżnienie </w:t>
      </w:r>
      <w:r>
        <w:t>mieszkania i zabranie ze</w:t>
      </w:r>
      <w:r w:rsidR="000C0002">
        <w:t> </w:t>
      </w:r>
      <w:r>
        <w:t>sobą całego swojego dobytku. Jednocześnie Sąd Rejonowy przyznał R.S. prawo do uzyskania lokalu socjalnego od gminy Poznań i postanowił</w:t>
      </w:r>
      <w:r w:rsidR="007231C2">
        <w:t xml:space="preserve"> wstrzymać</w:t>
      </w:r>
      <w:r w:rsidR="000C0002">
        <w:t> wykonanie</w:t>
      </w:r>
      <w:r>
        <w:t xml:space="preserve"> </w:t>
      </w:r>
      <w:r w:rsidR="000C0002">
        <w:t>opróżnienia lokalu</w:t>
      </w:r>
      <w:r w:rsidR="0043650C">
        <w:t>,</w:t>
      </w:r>
      <w:r>
        <w:t xml:space="preserve"> dopóki gmina nie zapewni R.S. lokalu socjalnego. Wyrok ten stał się ostateczny w dniu 15 września 2007 r.</w:t>
      </w:r>
    </w:p>
    <w:p w14:paraId="7430B5B3" w14:textId="77777777" w:rsidR="00E107C0" w:rsidRDefault="00FD69C2">
      <w:pPr>
        <w:pStyle w:val="JuPara"/>
      </w:pPr>
      <w:r>
        <w:fldChar w:fldCharType="begin"/>
      </w:r>
      <w:r>
        <w:instrText>SEQ level0 \* ARABIC</w:instrText>
      </w:r>
      <w:r>
        <w:fldChar w:fldCharType="separate"/>
      </w:r>
      <w:r>
        <w:t>8</w:t>
      </w:r>
      <w:r>
        <w:fldChar w:fldCharType="end"/>
      </w:r>
      <w:r>
        <w:t>.  R.S. nadal zajmował mieszkanie do 22 czerwca 2012 r., kiedy to gmina Poznań zaoferowała mu lokal socjalny. W związku z tym R.S. wyprowadził się z mieszkania skarżącego.</w:t>
      </w:r>
    </w:p>
    <w:p w14:paraId="0BB79462" w14:textId="35B6AA8C" w:rsidR="00E107C0" w:rsidRDefault="00FD69C2">
      <w:pPr>
        <w:pStyle w:val="JuHIRoman"/>
        <w:numPr>
          <w:ilvl w:val="1"/>
          <w:numId w:val="1"/>
        </w:numPr>
        <w:spacing w:before="280"/>
      </w:pPr>
      <w:r>
        <w:rPr>
          <w:bCs w:val="0"/>
        </w:rPr>
        <w:t xml:space="preserve">Postępowanie </w:t>
      </w:r>
      <w:r w:rsidR="000C0002">
        <w:rPr>
          <w:bCs w:val="0"/>
        </w:rPr>
        <w:t>W SPRAWIE</w:t>
      </w:r>
      <w:r>
        <w:rPr>
          <w:bCs w:val="0"/>
        </w:rPr>
        <w:t> odszkodowani</w:t>
      </w:r>
      <w:r w:rsidR="000C0002">
        <w:rPr>
          <w:bCs w:val="0"/>
        </w:rPr>
        <w:t>A</w:t>
      </w:r>
    </w:p>
    <w:p w14:paraId="1CC42CED" w14:textId="586FD2DD" w:rsidR="00E107C0" w:rsidRDefault="00FD69C2">
      <w:pPr>
        <w:pStyle w:val="JuPara"/>
      </w:pPr>
      <w:r>
        <w:fldChar w:fldCharType="begin"/>
      </w:r>
      <w:r>
        <w:instrText>SEQ level0 \* ARABIC</w:instrText>
      </w:r>
      <w:r>
        <w:fldChar w:fldCharType="separate"/>
      </w:r>
      <w:r>
        <w:t>9</w:t>
      </w:r>
      <w:r>
        <w:fldChar w:fldCharType="end"/>
      </w:r>
      <w:r>
        <w:t>.  W dniu 13 sierpnia 2008 r. skarżący wystąpił z roszczeniem o</w:t>
      </w:r>
      <w:r w:rsidR="000C0002">
        <w:t>dszkodowawczym</w:t>
      </w:r>
      <w:r>
        <w:t xml:space="preserve"> </w:t>
      </w:r>
      <w:r w:rsidR="007231C2">
        <w:t>do gminy</w:t>
      </w:r>
      <w:r>
        <w:t xml:space="preserve"> Poznań. Powołał się na art. 18 ust. 5 ustawy z dnia 21 czerwca 2001 r. o ochronie praw lokatorów, mieszkaniowym zasobie gminy i o zmianie Kodeksu cywilnego („ustawa z 2001 r.”).</w:t>
      </w:r>
    </w:p>
    <w:bookmarkStart w:id="2" w:name="paragraph00010"/>
    <w:bookmarkEnd w:id="2"/>
    <w:p w14:paraId="2CFC31DA" w14:textId="77777777" w:rsidR="00E107C0" w:rsidRDefault="00FD69C2">
      <w:pPr>
        <w:pStyle w:val="JuPara"/>
      </w:pPr>
      <w:r>
        <w:fldChar w:fldCharType="begin"/>
      </w:r>
      <w:r>
        <w:instrText>SEQ level0 \* ARABIC</w:instrText>
      </w:r>
      <w:r>
        <w:fldChar w:fldCharType="separate"/>
      </w:r>
      <w:r>
        <w:t>10</w:t>
      </w:r>
      <w:r>
        <w:fldChar w:fldCharType="end"/>
      </w:r>
      <w:r>
        <w:t>.  W dniu 16 września 2009 r. Sąd Rejonowy w Poznaniu częściowo uznał roszczenie skarżącego i nakazał gminie Poznań wypłacić skarżącemu odszkodowanie w wysokości 21 971 PLN. Sąd oddalił pozostałą część roszczenia skarżącego. W toku postępowania sąd uzyskał dwie opinie biegłych, w których wskazano wysokość czynszu, jakiej skarżący mógłby oczekiwać, gdyby wynajął mieszkanie na wolnym rynku. W pierwszej opinii uwzględniono stan mieszkania w tamtym czasie, podczas gdy obliczenia w drugiej opinii opierały się na założeniu, że mieszkanie zostanie wyremontowane w odpowiednim czasie; skarżący jasno wyraził zamiar wyremontowania mieszkania przed jego wynajęciem. W kwestii wysokości odszkodowania sąd oparł się na drugiej opinii.</w:t>
      </w:r>
    </w:p>
    <w:p w14:paraId="6211430C" w14:textId="77777777" w:rsidR="00E107C0" w:rsidRDefault="00FD69C2">
      <w:pPr>
        <w:pStyle w:val="JuPara"/>
      </w:pPr>
      <w:r>
        <w:fldChar w:fldCharType="begin"/>
      </w:r>
      <w:r>
        <w:instrText>SEQ level0 \* ARABIC</w:instrText>
      </w:r>
      <w:r>
        <w:fldChar w:fldCharType="separate"/>
      </w:r>
      <w:r>
        <w:t>11</w:t>
      </w:r>
      <w:r>
        <w:fldChar w:fldCharType="end"/>
      </w:r>
      <w:r>
        <w:t>.  Obie strony odwołały się od tego wyroku.</w:t>
      </w:r>
    </w:p>
    <w:bookmarkStart w:id="3" w:name="paragraph00012"/>
    <w:bookmarkEnd w:id="3"/>
    <w:p w14:paraId="4B460ECE" w14:textId="7263433B" w:rsidR="00E107C0" w:rsidRDefault="00FD69C2">
      <w:pPr>
        <w:pStyle w:val="JuPara"/>
      </w:pPr>
      <w:r>
        <w:fldChar w:fldCharType="begin"/>
      </w:r>
      <w:r>
        <w:instrText>SEQ level0 \* ARABIC</w:instrText>
      </w:r>
      <w:r>
        <w:fldChar w:fldCharType="separate"/>
      </w:r>
      <w:r>
        <w:t>12</w:t>
      </w:r>
      <w:r>
        <w:fldChar w:fldCharType="end"/>
      </w:r>
      <w:r>
        <w:t xml:space="preserve">.  W dniu 11 maja 2011 r. Sąd Okręgowy w Poznaniu zmienił wyrok pierwszej instancji i oddalił roszczenie skarżącego. </w:t>
      </w:r>
      <w:r w:rsidR="000A0535">
        <w:tab/>
      </w:r>
      <w:r>
        <w:t>Sąd uznał, że</w:t>
      </w:r>
      <w:r w:rsidR="005168E5">
        <w:t> </w:t>
      </w:r>
      <w:r>
        <w:t>na</w:t>
      </w:r>
      <w:r w:rsidR="005168E5">
        <w:t> </w:t>
      </w:r>
      <w:r>
        <w:t>podstawie przepisu, na który powołuje się skarżący, odszkodowanie można przyznać tylko wtedy, gdy skarżący zdoła udowodnić, że spełnione zostały wszystkie istotne przesłanki, to znaczy istnienie szkody, jej dokładna wysokość oraz istnienie związku przyczynowego między danym zdarzeniem a poniesioną szkodą. Sąd uznał ponadto, że skarżący nie udowodnił, że nawet gdyby R.S. wyprowadził się, skarżący zdołałby znaleźć nowego lokatora, od</w:t>
      </w:r>
      <w:r w:rsidR="005168E5">
        <w:t> </w:t>
      </w:r>
      <w:r>
        <w:t xml:space="preserve">którego uzyskiwałby dochód z najmu. Sąd podkreślił, że mieszkanie </w:t>
      </w:r>
      <w:r>
        <w:lastRenderedPageBreak/>
        <w:t>wymagało remontu i w żadnym wypadku nie zostałoby wynajęte natychmiast po opuszczeniu go przez R.S. Ponadto skarżący nie wykazał, jak długo trwałyby prace remontowe i kiedy mieszkanie byłoby gotowe do wynajęcia.</w:t>
      </w:r>
    </w:p>
    <w:p w14:paraId="59B2E0CE" w14:textId="79934190" w:rsidR="00E107C0" w:rsidRDefault="00FD69C2">
      <w:pPr>
        <w:pStyle w:val="JuPara"/>
      </w:pPr>
      <w:r>
        <w:fldChar w:fldCharType="begin"/>
      </w:r>
      <w:r>
        <w:instrText>SEQ level0 \* ARABIC</w:instrText>
      </w:r>
      <w:r>
        <w:fldChar w:fldCharType="separate"/>
      </w:r>
      <w:r>
        <w:t>13</w:t>
      </w:r>
      <w:r>
        <w:fldChar w:fldCharType="end"/>
      </w:r>
      <w:r>
        <w:t>.  Skarżący wniósł skargę kasacyjną. Powołał się m.in. na fakt, że</w:t>
      </w:r>
      <w:r w:rsidR="005168E5">
        <w:t> </w:t>
      </w:r>
      <w:r>
        <w:t>w innych postępowaniach przeciwko gminie Poznań przy takich samych okolicznościach faktycznych sądy w przeszłości orzekały na jego korzyść.</w:t>
      </w:r>
    </w:p>
    <w:p w14:paraId="3E673539" w14:textId="77777777" w:rsidR="00E107C0" w:rsidRDefault="00FD69C2">
      <w:pPr>
        <w:pStyle w:val="JuPara"/>
      </w:pPr>
      <w:r>
        <w:rPr>
          <w:rFonts w:cstheme="minorHAnsi"/>
        </w:rPr>
        <w:fldChar w:fldCharType="begin"/>
      </w:r>
      <w:r>
        <w:rPr>
          <w:rFonts w:cs="Times New Roman"/>
        </w:rPr>
        <w:instrText>SEQ level0 \* ARABIC</w:instrText>
      </w:r>
      <w:r>
        <w:rPr>
          <w:rFonts w:cs="Times New Roman"/>
        </w:rPr>
        <w:fldChar w:fldCharType="separate"/>
      </w:r>
      <w:r>
        <w:rPr>
          <w:rFonts w:cs="Times New Roman"/>
        </w:rPr>
        <w:t>14</w:t>
      </w:r>
      <w:r>
        <w:rPr>
          <w:rFonts w:cs="Times New Roman"/>
        </w:rPr>
        <w:fldChar w:fldCharType="end"/>
      </w:r>
      <w:r>
        <w:rPr>
          <w:rFonts w:cstheme="minorHAnsi"/>
        </w:rPr>
        <w:t>.  W dniu 3 czerwca 2011 r. Sąd Najwyższy odmówił rozpoznania skargi kasacyjnej skarżącego. Orzeczenie to doręczono prawnikowi skarżącego w dniu 30 czerwca 2011 r.</w:t>
      </w:r>
    </w:p>
    <w:p w14:paraId="1871A540" w14:textId="77777777" w:rsidR="00E107C0" w:rsidRDefault="00FD69C2">
      <w:pPr>
        <w:pStyle w:val="JuHHead"/>
        <w:numPr>
          <w:ilvl w:val="0"/>
          <w:numId w:val="1"/>
        </w:numPr>
        <w:spacing w:before="280"/>
      </w:pPr>
      <w:r>
        <w:rPr>
          <w:bCs w:val="0"/>
        </w:rPr>
        <w:t>WŁAŚCIWE RAMY PRAWNE I PRAKTYKA</w:t>
      </w:r>
    </w:p>
    <w:bookmarkStart w:id="4" w:name="paragraph00015"/>
    <w:bookmarkEnd w:id="4"/>
    <w:p w14:paraId="5ADD3E0C" w14:textId="40102BA2" w:rsidR="00E107C0" w:rsidRDefault="00FD69C2">
      <w:pPr>
        <w:pStyle w:val="JuPara"/>
      </w:pPr>
      <w:r>
        <w:fldChar w:fldCharType="begin"/>
      </w:r>
      <w:r>
        <w:instrText>SEQ level0 \* ARABIC</w:instrText>
      </w:r>
      <w:r>
        <w:fldChar w:fldCharType="separate"/>
      </w:r>
      <w:r>
        <w:t>15</w:t>
      </w:r>
      <w:r>
        <w:fldChar w:fldCharType="end"/>
      </w:r>
      <w:r>
        <w:t xml:space="preserve">.  Art. 18 ustawy z 2001 r. w okresie mającym znaczenie </w:t>
      </w:r>
      <w:r w:rsidR="008110C9">
        <w:t xml:space="preserve">dla </w:t>
      </w:r>
      <w:r>
        <w:t>sprawy stanowił, co następuje:</w:t>
      </w:r>
    </w:p>
    <w:p w14:paraId="74A23C3B" w14:textId="77777777" w:rsidR="00E107C0" w:rsidRDefault="00FD69C2">
      <w:pPr>
        <w:pStyle w:val="JuQuot"/>
      </w:pPr>
      <w:r>
        <w:t>„1.  Osoby zajmujące lokal bez tytułu prawnego są obowiązane do dnia opróżnienia lokalu co miesiąc uiszczać odszkodowanie.</w:t>
      </w:r>
    </w:p>
    <w:p w14:paraId="0EED9687" w14:textId="77777777" w:rsidR="00E107C0" w:rsidRDefault="00FD69C2">
      <w:pPr>
        <w:pStyle w:val="JuQuot"/>
      </w:pPr>
      <w:r>
        <w:t>2.  Z zastrzeżeniem ust. 3, odszkodowanie, o którym mowa w ust. 1, odpowiada wysokości czynszu, jaki właściciel mógłby otrzymać z tytułu najmu lokalu. [...]</w:t>
      </w:r>
    </w:p>
    <w:p w14:paraId="4BB46C85" w14:textId="77777777" w:rsidR="00E107C0" w:rsidRDefault="00FD69C2">
      <w:pPr>
        <w:pStyle w:val="JuQuot"/>
      </w:pPr>
      <w:r>
        <w:t>3.  Osoby uprawnione do lokalu zamiennego albo socjalnego, jeżeli sąd orzekł o wstrzymaniu wykonania opróżnienia lokalu do czasu dostarczenia im takiego lokalu, opłacają odszkodowanie w wysokości czynszu albo innych opłat za używanie lokalu, jakie byłyby obowiązane opłacać, gdyby stosunek prawny nie wygasł.</w:t>
      </w:r>
    </w:p>
    <w:p w14:paraId="63B3FBFD" w14:textId="77777777" w:rsidR="00E107C0" w:rsidRDefault="00FD69C2">
      <w:pPr>
        <w:pStyle w:val="JuQuot"/>
      </w:pPr>
      <w:proofErr w:type="gramStart"/>
      <w:r>
        <w:t>4.  [</w:t>
      </w:r>
      <w:proofErr w:type="gramEnd"/>
      <w:r>
        <w:t>uchylony]</w:t>
      </w:r>
    </w:p>
    <w:p w14:paraId="0AD6F24E" w14:textId="4766BE6B" w:rsidR="00E107C0" w:rsidRDefault="00FD69C2">
      <w:pPr>
        <w:pStyle w:val="JuQuot"/>
      </w:pPr>
      <w:r>
        <w:t>5.  Jeżeli gmina nie dostarczyła lokalu socjalnego osobie uprawnionej do niego z mocy wyroku, właścicielowi [lokalu] przysługuje roszczenie odszkodowawcze do</w:t>
      </w:r>
      <w:r w:rsidR="008110C9">
        <w:t> </w:t>
      </w:r>
      <w:r>
        <w:t>gminy, na podstawie art. 417 [Kodeksu cywilnego]”.</w:t>
      </w:r>
    </w:p>
    <w:p w14:paraId="731A4232" w14:textId="77777777" w:rsidR="00E107C0" w:rsidRDefault="00FD69C2">
      <w:pPr>
        <w:pStyle w:val="JuPara"/>
      </w:pPr>
      <w:r>
        <w:rPr>
          <w:rFonts w:eastAsiaTheme="majorEastAsia"/>
        </w:rPr>
        <w:fldChar w:fldCharType="begin"/>
      </w:r>
      <w:r>
        <w:instrText>SEQ level0 \* ARABIC</w:instrText>
      </w:r>
      <w:r>
        <w:fldChar w:fldCharType="separate"/>
      </w:r>
      <w:r>
        <w:t>16</w:t>
      </w:r>
      <w:r>
        <w:fldChar w:fldCharType="end"/>
      </w:r>
      <w:r>
        <w:rPr>
          <w:rFonts w:eastAsiaTheme="majorEastAsia"/>
        </w:rPr>
        <w:t>.  Art. </w:t>
      </w:r>
      <w:bookmarkStart w:id="5" w:name="HIT10"/>
      <w:bookmarkEnd w:id="5"/>
      <w:r>
        <w:rPr>
          <w:rFonts w:eastAsiaTheme="majorEastAsia"/>
        </w:rPr>
        <w:t>417 § 1 Kodeksu cywilnego stanowi:</w:t>
      </w:r>
    </w:p>
    <w:p w14:paraId="516A6A47" w14:textId="77777777" w:rsidR="00E107C0" w:rsidRDefault="00FD69C2">
      <w:pPr>
        <w:pStyle w:val="JuQuot"/>
      </w:pPr>
      <w:r>
        <w:t>„Za szkodę wyrządzoną przez niezgodne z prawem działanie lub zaniechanie przy wykonywaniu władzy publicznej ponosi odpowiedzialność Skarb Państwa lub jednostka samorządu terytorialnego lub inna osoba prawna wykonująca tę władzę z mocy prawa”.</w:t>
      </w:r>
    </w:p>
    <w:p w14:paraId="7A7C1835" w14:textId="77777777" w:rsidR="00E107C0" w:rsidRDefault="00FD69C2">
      <w:pPr>
        <w:pStyle w:val="JuPara"/>
      </w:pPr>
      <w:r>
        <w:fldChar w:fldCharType="begin"/>
      </w:r>
      <w:r>
        <w:instrText>SEQ level0 \* ARABIC</w:instrText>
      </w:r>
      <w:r>
        <w:fldChar w:fldCharType="separate"/>
      </w:r>
      <w:r>
        <w:t>17</w:t>
      </w:r>
      <w:r>
        <w:fldChar w:fldCharType="end"/>
      </w:r>
      <w:r>
        <w:t>.  W dniu 7 kwietnia 2006 r. Sąd Najwyższy wydał uchwałę (III CZP 21/06), która stanowi, co następuje:</w:t>
      </w:r>
    </w:p>
    <w:p w14:paraId="05B9911C" w14:textId="77777777" w:rsidR="00E107C0" w:rsidRDefault="00FD69C2">
      <w:pPr>
        <w:pStyle w:val="JuQuot"/>
      </w:pPr>
      <w:r>
        <w:t>„Roszczenie właściciela lokalu przeciwko gminie, o którym mowa w art. 18 ust. 4 [obecnie art. 18 ust. 5] ustawy z [...] 2001 r. [...], jest roszczeniem odszkodowawczym. Na podstawie tego przepisu gmina zobowiązana jest do zapłaty odszkodowania tylko wtedy, gdy właściciel wykaże, że na skutek zajmowania lokalu przez osobę bez tytułu prawnego poniósł szkodę”.</w:t>
      </w:r>
    </w:p>
    <w:p w14:paraId="3B00895B" w14:textId="77777777" w:rsidR="00E107C0" w:rsidRDefault="00FD69C2">
      <w:pPr>
        <w:pStyle w:val="JuHHead"/>
        <w:numPr>
          <w:ilvl w:val="0"/>
          <w:numId w:val="1"/>
        </w:numPr>
        <w:spacing w:before="280"/>
      </w:pPr>
      <w:r>
        <w:rPr>
          <w:bCs w:val="0"/>
        </w:rPr>
        <w:lastRenderedPageBreak/>
        <w:t>PRAWO</w:t>
      </w:r>
    </w:p>
    <w:p w14:paraId="1EA24C04" w14:textId="77777777" w:rsidR="00E107C0" w:rsidRDefault="00FD69C2">
      <w:pPr>
        <w:pStyle w:val="JuHIRoman"/>
        <w:numPr>
          <w:ilvl w:val="1"/>
          <w:numId w:val="1"/>
        </w:numPr>
        <w:spacing w:before="280"/>
      </w:pPr>
      <w:r>
        <w:rPr>
          <w:bCs w:val="0"/>
        </w:rPr>
        <w:t>ZARZUCANE NARUSZENIE ART. 1 PROTOKOŁU NR 1</w:t>
      </w:r>
    </w:p>
    <w:p w14:paraId="534AF4C4" w14:textId="4BA3DD2C" w:rsidR="00E107C0" w:rsidRDefault="00FD69C2">
      <w:pPr>
        <w:pStyle w:val="JuPara"/>
      </w:pPr>
      <w:r>
        <w:fldChar w:fldCharType="begin"/>
      </w:r>
      <w:r>
        <w:instrText>SEQ level0 \* ARABIC</w:instrText>
      </w:r>
      <w:r>
        <w:fldChar w:fldCharType="separate"/>
      </w:r>
      <w:r>
        <w:t>18</w:t>
      </w:r>
      <w:r>
        <w:fldChar w:fldCharType="end"/>
      </w:r>
      <w:r>
        <w:t>.  Skarżący podniósł zarzut, że odmowa przyznania mu odszkodowania za lokatora, który zajmował jego mieszkanie bez ważnego tytułu prawnego, stanowiła ingerencję w jego prawo do poszanowania mienia z naruszeniem art. 1 Protokołu nr 1, który brzmi następująco:</w:t>
      </w:r>
    </w:p>
    <w:p w14:paraId="7D9CEFB2" w14:textId="77777777" w:rsidR="00E107C0" w:rsidRDefault="00FD69C2">
      <w:pPr>
        <w:pStyle w:val="JuQuot"/>
      </w:pPr>
      <w:r>
        <w:t>„Każda osoba fizyczna i prawna ma prawo do poszanowania swego mienia. Nikt nie może być pozbawiony swojej własności, chyba że w interesie publicznym i na warunkach przewidzianych przez ustawę oraz zgodnie z ogólnymi zasadami prawa międzynarodowego.</w:t>
      </w:r>
    </w:p>
    <w:p w14:paraId="08A48078" w14:textId="6868B3B4" w:rsidR="00E107C0" w:rsidRDefault="00FD69C2">
      <w:pPr>
        <w:pStyle w:val="JuQuot"/>
      </w:pPr>
      <w:r>
        <w:t>Powyższe postanowienia nie będą jednak w żaden sposób naruszać prawa państwa do</w:t>
      </w:r>
      <w:r w:rsidR="00CF3049">
        <w:t> </w:t>
      </w:r>
      <w:r>
        <w:t>stosowania takich ustaw, jakie uzna za konieczne do uregulowania sposobu korzystania z własności zgodnie z interesem powszechnym lub w celu zabezpieczenia uiszczania podatków bądź innych należności lub kar pieniężnych”.</w:t>
      </w:r>
    </w:p>
    <w:p w14:paraId="29E1385D" w14:textId="77777777" w:rsidR="00E107C0" w:rsidRDefault="00FD69C2">
      <w:pPr>
        <w:pStyle w:val="JuHA0"/>
        <w:numPr>
          <w:ilvl w:val="2"/>
          <w:numId w:val="1"/>
        </w:numPr>
        <w:spacing w:before="280"/>
      </w:pPr>
      <w:r>
        <w:t>Dopuszczalność</w:t>
      </w:r>
    </w:p>
    <w:p w14:paraId="403C072D" w14:textId="77777777" w:rsidR="00E107C0" w:rsidRDefault="00FD69C2">
      <w:pPr>
        <w:pStyle w:val="JuH1"/>
        <w:numPr>
          <w:ilvl w:val="3"/>
          <w:numId w:val="1"/>
        </w:numPr>
        <w:spacing w:before="280"/>
      </w:pPr>
      <w:r>
        <w:rPr>
          <w:bCs w:val="0"/>
        </w:rPr>
        <w:t>Status ofiary przysługujący skarżącemu</w:t>
      </w:r>
    </w:p>
    <w:p w14:paraId="59EC1673" w14:textId="7CC4682D" w:rsidR="00E107C0" w:rsidRDefault="00FD69C2">
      <w:pPr>
        <w:pStyle w:val="JuPara"/>
      </w:pPr>
      <w:r>
        <w:fldChar w:fldCharType="begin"/>
      </w:r>
      <w:r>
        <w:instrText>SEQ level0 \* ARABIC</w:instrText>
      </w:r>
      <w:r>
        <w:fldChar w:fldCharType="separate"/>
      </w:r>
      <w:r>
        <w:t>19</w:t>
      </w:r>
      <w:r>
        <w:fldChar w:fldCharType="end"/>
      </w:r>
      <w:r>
        <w:t>.  Rząd podniósł, że skarżący utracił status ofiary, ponieważ w dniu 22 czerwca 2012 r. gmina Poznań poinformował</w:t>
      </w:r>
      <w:r w:rsidR="009722FD">
        <w:t>a</w:t>
      </w:r>
      <w:r>
        <w:t xml:space="preserve"> lokatora skarżącego o przyznaniu mu lokalu socjalnego. W ten sposób władze krajowe wypełniły obowiązek nałożony na nie przez Sąd Rejonowy w Poznaniu wyrokiem z dnia 24 sierpnia 2007 r. Lokator skarżącego </w:t>
      </w:r>
      <w:r w:rsidR="009722FD">
        <w:t>opróżnił</w:t>
      </w:r>
      <w:r>
        <w:t> mieszkani</w:t>
      </w:r>
      <w:r w:rsidR="009722FD">
        <w:t>e</w:t>
      </w:r>
      <w:r>
        <w:t xml:space="preserve"> i tym samym </w:t>
      </w:r>
      <w:r w:rsidR="009722FD">
        <w:t xml:space="preserve">naprawiono </w:t>
      </w:r>
      <w:r>
        <w:t>sytuacj</w:t>
      </w:r>
      <w:r w:rsidR="009722FD">
        <w:t>ę</w:t>
      </w:r>
      <w:r>
        <w:t>. W związku z tym Rząd zwrócił się do</w:t>
      </w:r>
      <w:r w:rsidR="006F23E8">
        <w:t> </w:t>
      </w:r>
      <w:r>
        <w:t xml:space="preserve">Trybunału o uznanie niniejszej skargi za niedopuszczalną jako niezgodnej </w:t>
      </w:r>
      <w:r>
        <w:rPr>
          <w:i/>
          <w:iCs/>
        </w:rPr>
        <w:t>ratione personae</w:t>
      </w:r>
      <w:r>
        <w:t xml:space="preserve"> z art. 1 Protokołu nr 1.</w:t>
      </w:r>
    </w:p>
    <w:p w14:paraId="51261018" w14:textId="14444C8C" w:rsidR="00E107C0" w:rsidRDefault="00FD69C2">
      <w:pPr>
        <w:pStyle w:val="JuPara"/>
      </w:pPr>
      <w:r>
        <w:fldChar w:fldCharType="begin"/>
      </w:r>
      <w:r>
        <w:instrText>SEQ level0 \* ARABIC</w:instrText>
      </w:r>
      <w:r>
        <w:fldChar w:fldCharType="separate"/>
      </w:r>
      <w:r>
        <w:t>20</w:t>
      </w:r>
      <w:r>
        <w:fldChar w:fldCharType="end"/>
      </w:r>
      <w:r>
        <w:t>.  Skarżący podniósł, że aby móc stwierdzić, że skarżący utracił status ofiary, władze krajowe po pierwsze muszą uznać, że doszło do naruszenia Konwencji, a po drugie powinny przyznać mu odpowiednie odszkodowanie. Stwierdził on ponadto, że w dniu 22 czerwca 2012 r. jego lokator rzeczywiście otrzymał lokal socjalny. Jednak w okresie od 15 września 2007 r. do 22 czerwca 2012 r. skarżący nie mógł korzystać ze swoje</w:t>
      </w:r>
      <w:r w:rsidR="006F23E8">
        <w:t>go mienia</w:t>
      </w:r>
      <w:r>
        <w:t>, a jego roszczenie o</w:t>
      </w:r>
      <w:r w:rsidR="006F23E8">
        <w:t>dszkodowawcze</w:t>
      </w:r>
      <w:r>
        <w:t xml:space="preserve"> za ten okres zostało oddalone przez sądy krajowe. Zdaniem skarżącego władze nie zdołały</w:t>
      </w:r>
      <w:r w:rsidR="006F23E8">
        <w:t xml:space="preserve"> zadośćuczynić za</w:t>
      </w:r>
      <w:r>
        <w:t xml:space="preserve"> ingerencj</w:t>
      </w:r>
      <w:r w:rsidR="006F23E8">
        <w:t>ę</w:t>
      </w:r>
      <w:r>
        <w:t xml:space="preserve"> w jego prawa wynikające z Konwencji. Dlatego uznał, że nadal jest ofiarą naruszenia jego praw na gruncie art. 1 Protokołu nr 1.</w:t>
      </w:r>
    </w:p>
    <w:p w14:paraId="3C444C26" w14:textId="016F6533" w:rsidR="00E107C0" w:rsidRDefault="00FD69C2">
      <w:pPr>
        <w:pStyle w:val="JuPara"/>
      </w:pPr>
      <w:r>
        <w:fldChar w:fldCharType="begin"/>
      </w:r>
      <w:r>
        <w:instrText>SEQ level0 \* ARABIC</w:instrText>
      </w:r>
      <w:r>
        <w:fldChar w:fldCharType="separate"/>
      </w:r>
      <w:r>
        <w:t>21</w:t>
      </w:r>
      <w:r>
        <w:fldChar w:fldCharType="end"/>
      </w:r>
      <w:r>
        <w:t>.  Trybunał zauważa, iż bezsporne jest, że lokator skarżącego wyprowadził się z mieszkania po przyznaniu mu lokalu socjalnego przez gminę. Miało to jednak miejsce prawie pięć lat po uprawomocnieniu się nakazu eksmisji; w istocie w okresie od 15 września 2007 r. do 22 czerwca 2012 r. skarżący nie mógł swobodnie korzystać ze swoje</w:t>
      </w:r>
      <w:r w:rsidR="006F23E8">
        <w:t>go mienia</w:t>
      </w:r>
      <w:r>
        <w:t xml:space="preserve">, a władze krajowe odmówiły mu odszkodowania z tego tytułu. Wynika z tego, </w:t>
      </w:r>
      <w:r>
        <w:lastRenderedPageBreak/>
        <w:t>że</w:t>
      </w:r>
      <w:r w:rsidR="00425A98">
        <w:t> </w:t>
      </w:r>
      <w:r>
        <w:t>w odniesieniu do tego okresu skarżący pozostaje ofiarą zarzucanego naruszenia jego praw wynikających z Konwencji i protokołów do niej.</w:t>
      </w:r>
    </w:p>
    <w:p w14:paraId="232A2912" w14:textId="77777777" w:rsidR="00E107C0" w:rsidRDefault="00FD69C2">
      <w:pPr>
        <w:pStyle w:val="JuPara"/>
      </w:pPr>
      <w:r>
        <w:t>Z tego względu Trybunał oddala zastrzeżenie Rządu.</w:t>
      </w:r>
    </w:p>
    <w:p w14:paraId="23765428" w14:textId="77777777" w:rsidR="00E107C0" w:rsidRDefault="00FD69C2">
      <w:pPr>
        <w:pStyle w:val="JuH1"/>
        <w:numPr>
          <w:ilvl w:val="3"/>
          <w:numId w:val="1"/>
        </w:numPr>
        <w:spacing w:before="280"/>
      </w:pPr>
      <w:r>
        <w:rPr>
          <w:bCs w:val="0"/>
        </w:rPr>
        <w:t>Wyczerpanie krajowych środków odwoławczych</w:t>
      </w:r>
    </w:p>
    <w:p w14:paraId="0D875A5A" w14:textId="77777777" w:rsidR="00E107C0" w:rsidRDefault="00FD69C2">
      <w:pPr>
        <w:pStyle w:val="JuHa"/>
        <w:numPr>
          <w:ilvl w:val="4"/>
          <w:numId w:val="1"/>
        </w:numPr>
        <w:spacing w:before="280"/>
      </w:pPr>
      <w:r>
        <w:t>Stanowiska stron</w:t>
      </w:r>
    </w:p>
    <w:p w14:paraId="1CA1DDAE" w14:textId="04D27E23" w:rsidR="00E107C0" w:rsidRDefault="00FD69C2">
      <w:pPr>
        <w:pStyle w:val="JuPara"/>
      </w:pPr>
      <w:r>
        <w:fldChar w:fldCharType="begin"/>
      </w:r>
      <w:r>
        <w:instrText>SEQ level0 \* ARABIC</w:instrText>
      </w:r>
      <w:r>
        <w:fldChar w:fldCharType="separate"/>
      </w:r>
      <w:r>
        <w:t>22</w:t>
      </w:r>
      <w:r>
        <w:fldChar w:fldCharType="end"/>
      </w:r>
      <w:r>
        <w:t>.  Rząd stwierdził ponadto, że niniejszą skargę należy uznać za</w:t>
      </w:r>
      <w:r w:rsidR="00425A98">
        <w:t> </w:t>
      </w:r>
      <w:r>
        <w:t>niedopuszczalną ze względu na niewyczerpanie przez skarżącego krajowych środków odwoławczych. Rząd argumentował po pierwsze, że</w:t>
      </w:r>
      <w:r w:rsidR="005259DF">
        <w:t> </w:t>
      </w:r>
      <w:r>
        <w:t xml:space="preserve">sądy krajowe oddaliły roszczenie skarżącego przeciwko gminie Poznań z powodu nieprzedstawienia przez niego odpowiednich dowodów na poparcie jego żądań. Po drugie Rząd twierdził, że na podstawie art. 18 ust. 5 ustawy z 2001 r. skarżący miał możliwość wystąpić z roszczeniem </w:t>
      </w:r>
      <w:r w:rsidR="00BC3C7B">
        <w:t>odszkodowawczym</w:t>
      </w:r>
      <w:r>
        <w:t xml:space="preserve"> d</w:t>
      </w:r>
      <w:r w:rsidR="005259DF">
        <w:t>o</w:t>
      </w:r>
      <w:r>
        <w:t xml:space="preserve"> lokatora, z której to możliwości nie skorzystał.</w:t>
      </w:r>
    </w:p>
    <w:p w14:paraId="08C20B6B" w14:textId="7450B43D" w:rsidR="00E107C0" w:rsidRDefault="00FD69C2">
      <w:pPr>
        <w:pStyle w:val="JuPara"/>
      </w:pPr>
      <w:r>
        <w:fldChar w:fldCharType="begin"/>
      </w:r>
      <w:r>
        <w:instrText>SEQ level0 \* ARABIC</w:instrText>
      </w:r>
      <w:r>
        <w:fldChar w:fldCharType="separate"/>
      </w:r>
      <w:r>
        <w:t>23</w:t>
      </w:r>
      <w:r>
        <w:fldChar w:fldCharType="end"/>
      </w:r>
      <w:r>
        <w:t>.  Skarżący podniósł, że wyczerpał dostępne krajowe środki odwoławcze i spełnił wszystkie warunki przyznania mu odszkodowania, o których mowa w art. 18 ust. 5 ustawy z 2001 r. W odniesieniu do</w:t>
      </w:r>
      <w:r w:rsidR="00B41CCD">
        <w:t> </w:t>
      </w:r>
      <w:r>
        <w:t>argumentu Rządu, że skarżący powinien był wystąpić z roszczeniem wobec R.S., skarżący utrzymywał, że nawet przy założeniu pozytywnego wyniku postępowania sądowego taki środek nie byłby skuteczny, ponieważ R.S. był niewypłacalny: nie tylko nie płacił skarżącemu należnego czynszu, lecz także nie płacił opłat eksploatacyjnych za przedmiotowe mieszkanie.</w:t>
      </w:r>
    </w:p>
    <w:p w14:paraId="173CCBFC" w14:textId="77777777" w:rsidR="00E107C0" w:rsidRDefault="00FD69C2">
      <w:pPr>
        <w:pStyle w:val="JuHa"/>
        <w:numPr>
          <w:ilvl w:val="4"/>
          <w:numId w:val="1"/>
        </w:numPr>
        <w:spacing w:before="280"/>
      </w:pPr>
      <w:r>
        <w:t>Ocena Trybunału</w:t>
      </w:r>
    </w:p>
    <w:p w14:paraId="126A3A4C" w14:textId="3256EC5C" w:rsidR="00E107C0" w:rsidRDefault="00FD69C2">
      <w:pPr>
        <w:pStyle w:val="JuPara"/>
      </w:pPr>
      <w:r>
        <w:fldChar w:fldCharType="begin"/>
      </w:r>
      <w:r>
        <w:instrText>SEQ level0 \* ARABIC</w:instrText>
      </w:r>
      <w:r>
        <w:fldChar w:fldCharType="separate"/>
      </w:r>
      <w:r>
        <w:t>24</w:t>
      </w:r>
      <w:r>
        <w:fldChar w:fldCharType="end"/>
      </w:r>
      <w:r>
        <w:t xml:space="preserve">.  Trybunał powtarza, że zasada wyczerpania krajowych środków odwoławczych określona w art. 35 ust. 1 Konwencji wymaga, aby skarżący najpierw wykorzystali środki odwoławcze przewidziane w krajowym </w:t>
      </w:r>
      <w:r w:rsidR="00E74EAF">
        <w:t xml:space="preserve">porządku </w:t>
      </w:r>
      <w:r>
        <w:t xml:space="preserve">prawnym, co tym samym zwalnia państwa z odpowiadania przed Trybunałem za swoje działania, dopóki nie mają możliwości naprawienia szkody w ramach własnego </w:t>
      </w:r>
      <w:r w:rsidR="00E74EAF">
        <w:t xml:space="preserve">porządku </w:t>
      </w:r>
      <w:r>
        <w:t xml:space="preserve">prawnego. Skarżący powinien zatem skorzystać ze środków odwoławczych, które są dostępne i wystarczające, aby zapewnić </w:t>
      </w:r>
      <w:r w:rsidR="00E74EAF">
        <w:t xml:space="preserve">zadośćuczynienie za </w:t>
      </w:r>
      <w:r>
        <w:t>podnoszon</w:t>
      </w:r>
      <w:r w:rsidR="00E74EAF">
        <w:t>e</w:t>
      </w:r>
      <w:r>
        <w:t xml:space="preserve"> narusze</w:t>
      </w:r>
      <w:r w:rsidR="00E74EAF">
        <w:t>nia</w:t>
      </w:r>
      <w:r>
        <w:t xml:space="preserve">. W konsekwencji skargi, które mają zostać wniesione do Trybunału, powinny być najpierw wniesione do odpowiedniego organu krajowego, co najmniej w zakresie przedmiotowym i z zachowaniem wymogów formalnych i terminów określonych w prawie </w:t>
      </w:r>
      <w:r w:rsidR="00E74EAF">
        <w:t>wewnętrznym</w:t>
      </w:r>
      <w:r>
        <w:t>, jak również wszelkie środki proceduralne mogące zapobiec naruszeniu Konwencji</w:t>
      </w:r>
      <w:r w:rsidR="00E74EAF">
        <w:t xml:space="preserve"> winny być wcześniej wykorzystane</w:t>
      </w:r>
      <w:r>
        <w:t xml:space="preserve"> (zob. </w:t>
      </w:r>
      <w:r>
        <w:rPr>
          <w:i/>
          <w:iCs/>
        </w:rPr>
        <w:t>Vučković i Inni p</w:t>
      </w:r>
      <w:r w:rsidR="00E74EAF">
        <w:rPr>
          <w:i/>
          <w:iCs/>
        </w:rPr>
        <w:t>rzeciwko</w:t>
      </w:r>
      <w:r>
        <w:rPr>
          <w:i/>
          <w:iCs/>
        </w:rPr>
        <w:t xml:space="preserve"> Serbii</w:t>
      </w:r>
      <w:r>
        <w:t xml:space="preserve"> (zastrzeżenie wstępne) [WI], nr 17153/11 i 29 innych, § 72, 25 marca 2014 r.).</w:t>
      </w:r>
    </w:p>
    <w:p w14:paraId="104B2E7C" w14:textId="2E0FF13F" w:rsidR="00E107C0" w:rsidRDefault="00FD69C2">
      <w:pPr>
        <w:pStyle w:val="JuPara"/>
      </w:pPr>
      <w:r>
        <w:fldChar w:fldCharType="begin"/>
      </w:r>
      <w:r>
        <w:instrText>SEQ level0 \* ARABIC</w:instrText>
      </w:r>
      <w:r>
        <w:fldChar w:fldCharType="separate"/>
      </w:r>
      <w:r>
        <w:t>25</w:t>
      </w:r>
      <w:r>
        <w:fldChar w:fldCharType="end"/>
      </w:r>
      <w:r>
        <w:t>.  Jeżeli chodzi o roszczenie odszkodowa</w:t>
      </w:r>
      <w:r w:rsidR="00E74EAF">
        <w:t>wcze</w:t>
      </w:r>
      <w:r>
        <w:t xml:space="preserve"> wobec gminy na</w:t>
      </w:r>
      <w:r w:rsidR="00E74EAF">
        <w:t> </w:t>
      </w:r>
      <w:r>
        <w:t xml:space="preserve">podstawie art. 18 ust. 5 ustawy z 2001 r. w związku z art. 417 Kodeksu cywilnego, Trybunał zbadał już ten środek i uznał go za skuteczny w tym sensie, że umożliwił on wynajmującym uzyskanie odszkodowania za straty </w:t>
      </w:r>
      <w:r>
        <w:lastRenderedPageBreak/>
        <w:t xml:space="preserve">poniesione z powodu niedostarczenia </w:t>
      </w:r>
      <w:r w:rsidR="00E74EAF">
        <w:t xml:space="preserve">lokatorom lokali socjalnych </w:t>
      </w:r>
      <w:r>
        <w:t xml:space="preserve">przez władze gminne (zob. </w:t>
      </w:r>
      <w:r>
        <w:rPr>
          <w:i/>
          <w:iCs/>
        </w:rPr>
        <w:t>Wasiewska p</w:t>
      </w:r>
      <w:r w:rsidR="00E74EAF">
        <w:rPr>
          <w:i/>
          <w:iCs/>
        </w:rPr>
        <w:t>rzeciwko</w:t>
      </w:r>
      <w:r>
        <w:rPr>
          <w:i/>
          <w:iCs/>
        </w:rPr>
        <w:t xml:space="preserve"> Polsce</w:t>
      </w:r>
      <w:r>
        <w:t xml:space="preserve"> (dec.), nr 9873/11, § 31, 2 grudnia 2014 r. oraz </w:t>
      </w:r>
      <w:r>
        <w:rPr>
          <w:i/>
          <w:iCs/>
        </w:rPr>
        <w:t>Strzelecka p</w:t>
      </w:r>
      <w:r w:rsidR="00A21150">
        <w:rPr>
          <w:i/>
          <w:iCs/>
        </w:rPr>
        <w:t>rzeciwko</w:t>
      </w:r>
      <w:r>
        <w:rPr>
          <w:i/>
          <w:iCs/>
        </w:rPr>
        <w:t xml:space="preserve"> Polsce</w:t>
      </w:r>
      <w:r>
        <w:t xml:space="preserve"> (dec.), nr 14217/10, § 44, 2 grudnia 2014 r.).</w:t>
      </w:r>
    </w:p>
    <w:p w14:paraId="2F42F95B" w14:textId="77777777" w:rsidR="00E107C0" w:rsidRDefault="00FD69C2">
      <w:pPr>
        <w:pStyle w:val="JuPara"/>
      </w:pPr>
      <w:r>
        <w:fldChar w:fldCharType="begin"/>
      </w:r>
      <w:r>
        <w:instrText>SEQ level0 \* ARABIC</w:instrText>
      </w:r>
      <w:r>
        <w:fldChar w:fldCharType="separate"/>
      </w:r>
      <w:r>
        <w:t>26</w:t>
      </w:r>
      <w:r>
        <w:fldChar w:fldCharType="end"/>
      </w:r>
      <w:r>
        <w:t>.  Wynika z tego, że w rozpatrywanej sprawie skarżący miał obowiązek wykorzystania tego środka odwoławczego i tak też uczynił. Wniósł on swoją skargę do właściwego sądu krajowego zgodnie z wymogami proceduralnymi i w odpowiednich terminach. Jego roszczenie nie uległo przedawnieniu ani nie zostało odrzucone z przyczyn formalnych. Wręcz przeciwnie, przedmiot tego roszczenia został zbadany w dwóch instancjach sądowych. Wynika z tego, że skarżący we właściwy sposób wyczerpał dostępne krajowe środki odwoławcze.</w:t>
      </w:r>
    </w:p>
    <w:p w14:paraId="3764D547" w14:textId="7F24D272" w:rsidR="00E107C0" w:rsidRDefault="00FD69C2">
      <w:pPr>
        <w:pStyle w:val="JuPara"/>
      </w:pPr>
      <w:r>
        <w:fldChar w:fldCharType="begin"/>
      </w:r>
      <w:r>
        <w:instrText>SEQ level0 \* ARABIC</w:instrText>
      </w:r>
      <w:r>
        <w:fldChar w:fldCharType="separate"/>
      </w:r>
      <w:r>
        <w:t>27</w:t>
      </w:r>
      <w:r>
        <w:fldChar w:fldCharType="end"/>
      </w:r>
      <w:r>
        <w:t>.  W odniesieniu do drugiego argumentu Rządu Trybunał zauważa, że</w:t>
      </w:r>
      <w:r w:rsidR="00A21150">
        <w:t> </w:t>
      </w:r>
      <w:r>
        <w:t xml:space="preserve">w innej podobnej sprawie (zob. </w:t>
      </w:r>
      <w:r>
        <w:rPr>
          <w:i/>
          <w:iCs/>
        </w:rPr>
        <w:t>Kołpaczewska p</w:t>
      </w:r>
      <w:r w:rsidR="00A21150">
        <w:rPr>
          <w:i/>
          <w:iCs/>
        </w:rPr>
        <w:t>rzeciwko</w:t>
      </w:r>
      <w:r>
        <w:rPr>
          <w:i/>
          <w:iCs/>
        </w:rPr>
        <w:t xml:space="preserve"> Polsce</w:t>
      </w:r>
      <w:r>
        <w:t xml:space="preserve"> (dec.), nr 10872/11, 6 grudnia 2016 r.) Rząd </w:t>
      </w:r>
      <w:r w:rsidR="00A21150">
        <w:t>s</w:t>
      </w:r>
      <w:r>
        <w:t>twierdził, że roszczenie przeciwko lokatorowi nie było skutecznym środkiem i że skarżąca powinna dochodzić odszkodowania od gminy. W tej sprawie Trybunał zgodził się z Rządem i uznał skargę za niedopuszczalną z uwagi na niewyczerpanie krajowych środków odwoławczych. Rząd nie przedstawił dowodów na to, że pozew przeciwko lokatorowi byłby skutecznym środkiem w rozpatrywanej sprawie. W związku z tym Trybunał oddala zastrzeżenie Rządu w tym zakresie.</w:t>
      </w:r>
    </w:p>
    <w:bookmarkStart w:id="6" w:name="paragraph00028"/>
    <w:bookmarkEnd w:id="6"/>
    <w:p w14:paraId="3256C7A1" w14:textId="1DCB0393" w:rsidR="00E107C0" w:rsidRDefault="00FD69C2">
      <w:pPr>
        <w:pStyle w:val="JuPara"/>
      </w:pPr>
      <w:r>
        <w:fldChar w:fldCharType="begin"/>
      </w:r>
      <w:r>
        <w:instrText>SEQ level0 \* ARABIC</w:instrText>
      </w:r>
      <w:r>
        <w:fldChar w:fldCharType="separate"/>
      </w:r>
      <w:r>
        <w:t>28</w:t>
      </w:r>
      <w:r>
        <w:fldChar w:fldCharType="end"/>
      </w:r>
      <w:r>
        <w:t xml:space="preserve">.  W odniesieniu do argumentu Rządu dotyczącego </w:t>
      </w:r>
      <w:bookmarkStart w:id="7" w:name="_Hlk93324020"/>
      <w:r>
        <w:t>domniemanego niespełnienia ustawowych wymogów roszczenia odszkodowa</w:t>
      </w:r>
      <w:r w:rsidR="00E87F3F">
        <w:t>wczego</w:t>
      </w:r>
      <w:bookmarkEnd w:id="7"/>
      <w:r>
        <w:t xml:space="preserve"> Trybunał uważa, że argument ten jest ściśle powiązany z przedmiotem skargi wniesionej przez skarżącego. Z tego względu Trybunał uważa, że argument ten powinien zostać zbadany na gruncie postanowienia materialnego Konwencji, na które powołuje się skarżący (zob. w szczególności </w:t>
      </w:r>
      <w:r>
        <w:rPr>
          <w:i/>
          <w:iCs/>
        </w:rPr>
        <w:t>Airey p</w:t>
      </w:r>
      <w:r w:rsidR="0042258C">
        <w:rPr>
          <w:i/>
          <w:iCs/>
        </w:rPr>
        <w:t>rzeciwko</w:t>
      </w:r>
      <w:r>
        <w:rPr>
          <w:i/>
          <w:iCs/>
        </w:rPr>
        <w:t xml:space="preserve"> Irlandii</w:t>
      </w:r>
      <w:r>
        <w:t xml:space="preserve">, wyrok z dnia 9 października 1979 r., Seria A nr 32; </w:t>
      </w:r>
      <w:r>
        <w:rPr>
          <w:i/>
          <w:iCs/>
        </w:rPr>
        <w:t>Gnahoré p</w:t>
      </w:r>
      <w:r w:rsidR="0042258C">
        <w:rPr>
          <w:i/>
          <w:iCs/>
        </w:rPr>
        <w:t>rzeciwko</w:t>
      </w:r>
      <w:r>
        <w:rPr>
          <w:i/>
          <w:iCs/>
        </w:rPr>
        <w:t xml:space="preserve"> Francji</w:t>
      </w:r>
      <w:r>
        <w:t xml:space="preserve">, nr 40031/98, § 26, ETPCz 2000-IX; oraz </w:t>
      </w:r>
      <w:r>
        <w:rPr>
          <w:i/>
          <w:iCs/>
        </w:rPr>
        <w:t>Isayeva p</w:t>
      </w:r>
      <w:r w:rsidR="0042258C">
        <w:rPr>
          <w:i/>
          <w:iCs/>
        </w:rPr>
        <w:t>rzeciwko</w:t>
      </w:r>
      <w:r>
        <w:rPr>
          <w:i/>
          <w:iCs/>
        </w:rPr>
        <w:t xml:space="preserve"> Rosji</w:t>
      </w:r>
      <w:r>
        <w:t>, nr 57950/00, § 161, 24 lutego 2005 r.). W związku z tym Trybunał przychyla się do zastrzeżenia Rządu dotyczącego przedmiotu skargi.</w:t>
      </w:r>
    </w:p>
    <w:p w14:paraId="4635463A" w14:textId="77777777" w:rsidR="00E107C0" w:rsidRDefault="00FD69C2">
      <w:pPr>
        <w:pStyle w:val="JuPara"/>
      </w:pPr>
      <w:r>
        <w:fldChar w:fldCharType="begin"/>
      </w:r>
      <w:r>
        <w:instrText>SEQ level0 \* ARABIC</w:instrText>
      </w:r>
      <w:r>
        <w:fldChar w:fldCharType="separate"/>
      </w:r>
      <w:r>
        <w:t>29</w:t>
      </w:r>
      <w:r>
        <w:fldChar w:fldCharType="end"/>
      </w:r>
      <w:r>
        <w:t>.  Trybunał zauważa ponadto, że skarga nie jest w sposób oczywisty nieuzasadniona w rozumieniu art. 35 ust. 3 lit. a Konwencji. Ponadto zauważa, że nie jest ona niedopuszczalna na żadnym innym gruncie. Musi zatem zostać uznana za dopuszczalną.</w:t>
      </w:r>
    </w:p>
    <w:p w14:paraId="04D3F7A4" w14:textId="77777777" w:rsidR="00E107C0" w:rsidRDefault="00FD69C2">
      <w:pPr>
        <w:pStyle w:val="JuHA0"/>
        <w:numPr>
          <w:ilvl w:val="2"/>
          <w:numId w:val="1"/>
        </w:numPr>
        <w:spacing w:before="280"/>
      </w:pPr>
      <w:r>
        <w:t>Przedmiot skargi</w:t>
      </w:r>
    </w:p>
    <w:p w14:paraId="52CFF684" w14:textId="77777777" w:rsidR="00E107C0" w:rsidRDefault="00FD69C2">
      <w:pPr>
        <w:pStyle w:val="JuH1"/>
        <w:numPr>
          <w:ilvl w:val="3"/>
          <w:numId w:val="1"/>
        </w:numPr>
        <w:spacing w:before="280"/>
      </w:pPr>
      <w:r>
        <w:rPr>
          <w:bCs w:val="0"/>
        </w:rPr>
        <w:t>Stanowiska stron</w:t>
      </w:r>
    </w:p>
    <w:p w14:paraId="0F30F8AD" w14:textId="77777777" w:rsidR="00E107C0" w:rsidRDefault="00FD69C2">
      <w:pPr>
        <w:pStyle w:val="JuPara"/>
      </w:pPr>
      <w:r>
        <w:fldChar w:fldCharType="begin"/>
      </w:r>
      <w:r>
        <w:instrText>SEQ level0 \* ARABIC</w:instrText>
      </w:r>
      <w:r>
        <w:fldChar w:fldCharType="separate"/>
      </w:r>
      <w:r>
        <w:t>30</w:t>
      </w:r>
      <w:r>
        <w:fldChar w:fldCharType="end"/>
      </w:r>
      <w:r>
        <w:t>.  Skarżący podniósł zarzut, że odmowa przyznania mu odszkodowania za lokatora, który zajmował jego mieszkanie bez ważnego tytułu prawnego, stanowiła ingerencję w jego prawo do poszanowania jego mienia z naruszeniem art. 1 Protokołu nr 1.</w:t>
      </w:r>
    </w:p>
    <w:p w14:paraId="64C0CCB4" w14:textId="1054D9AD" w:rsidR="00E107C0" w:rsidRDefault="00FD69C2">
      <w:pPr>
        <w:pStyle w:val="JuPara"/>
      </w:pPr>
      <w:r>
        <w:lastRenderedPageBreak/>
        <w:fldChar w:fldCharType="begin"/>
      </w:r>
      <w:r>
        <w:instrText>SEQ level0 \* ARABIC</w:instrText>
      </w:r>
      <w:r>
        <w:fldChar w:fldCharType="separate"/>
      </w:r>
      <w:r>
        <w:t>31</w:t>
      </w:r>
      <w:r>
        <w:fldChar w:fldCharType="end"/>
      </w:r>
      <w:r>
        <w:t>.  Skarżący podniósł ponadto, że spełnił wszystkie warunki przyznania mu odszkodowania, o których mowa w art. 18 ust. 5 ustawy z 2001 r., ponieważ lokatorowi zajmującemu jego mieszkanie przyznano prawo do</w:t>
      </w:r>
      <w:r w:rsidR="0042258C">
        <w:t> </w:t>
      </w:r>
      <w:r>
        <w:t>lokalu socjalnego, a gmina przez ponad cztery lata nie zapewniła lokatorowi tego lokalu. Zdaniem skarżącego kwestia tego, czy przeprowadziłby on remont mieszkania i jak długo trwałyby związane z tym prace, nie ma związku z ciążącym na gminie obowiązkiem wypłaty odszkodowania.</w:t>
      </w:r>
    </w:p>
    <w:bookmarkStart w:id="8" w:name="paragraph00032"/>
    <w:bookmarkEnd w:id="8"/>
    <w:p w14:paraId="5379F6A6" w14:textId="0BFCACC5" w:rsidR="00E107C0" w:rsidRDefault="00FD69C2">
      <w:pPr>
        <w:pStyle w:val="JuPara"/>
      </w:pPr>
      <w:r>
        <w:fldChar w:fldCharType="begin"/>
      </w:r>
      <w:r>
        <w:instrText>SEQ level0 \* ARABIC</w:instrText>
      </w:r>
      <w:r>
        <w:fldChar w:fldCharType="separate"/>
      </w:r>
      <w:r>
        <w:t>32</w:t>
      </w:r>
      <w:r>
        <w:fldChar w:fldCharType="end"/>
      </w:r>
      <w:r>
        <w:t>.  Rząd nie zaprzeczył, że doszło do ingerencji w poszanowanie mienia skarżącego. Podniósł on jednak, że ingerencja ta była zgodna z prawem i </w:t>
      </w:r>
      <w:r w:rsidR="003C33CF">
        <w:t>stanowiła realizację</w:t>
      </w:r>
      <w:r>
        <w:t xml:space="preserve"> uzasadnion</w:t>
      </w:r>
      <w:r w:rsidR="003C33CF">
        <w:t>ego</w:t>
      </w:r>
      <w:r>
        <w:t xml:space="preserve"> cel</w:t>
      </w:r>
      <w:r w:rsidR="003C33CF">
        <w:t>u</w:t>
      </w:r>
      <w:r>
        <w:t>, mianowicie ochron</w:t>
      </w:r>
      <w:r w:rsidR="003C33CF">
        <w:t>y</w:t>
      </w:r>
      <w:r>
        <w:t xml:space="preserve"> interesu publicznego i koniecznoś</w:t>
      </w:r>
      <w:r w:rsidR="003C33CF">
        <w:t>ci</w:t>
      </w:r>
      <w:r>
        <w:t xml:space="preserve"> przeciwdziałania eksmisjom </w:t>
      </w:r>
      <w:r w:rsidR="003C33CF">
        <w:t>„</w:t>
      </w:r>
      <w:r>
        <w:t>na bruk</w:t>
      </w:r>
      <w:r w:rsidR="003C33CF">
        <w:t>”</w:t>
      </w:r>
      <w:r>
        <w:t>. Ponadto podniósł, że zarzucana ingerencja była zrekompensowana możliwością dochodzenia odszkodowania oraz że indywidualne obciążenie skarżącego mogło zostać zminimalizowane lub wyeliminowane, gdyby prawidłowo dowiódł pewnych okoliczności przed sądami krajowymi.</w:t>
      </w:r>
    </w:p>
    <w:p w14:paraId="08F80F4E" w14:textId="77777777" w:rsidR="00E107C0" w:rsidRDefault="00FD69C2">
      <w:pPr>
        <w:pStyle w:val="JuH1"/>
        <w:numPr>
          <w:ilvl w:val="3"/>
          <w:numId w:val="1"/>
        </w:numPr>
        <w:spacing w:before="280"/>
      </w:pPr>
      <w:r>
        <w:rPr>
          <w:bCs w:val="0"/>
        </w:rPr>
        <w:t>Ocena Trybunału</w:t>
      </w:r>
    </w:p>
    <w:p w14:paraId="2F6FE460" w14:textId="77777777" w:rsidR="00E107C0" w:rsidRDefault="00FD69C2">
      <w:pPr>
        <w:pStyle w:val="JuHa"/>
        <w:numPr>
          <w:ilvl w:val="4"/>
          <w:numId w:val="1"/>
        </w:numPr>
        <w:spacing w:before="280"/>
      </w:pPr>
      <w:r>
        <w:t>Zasady ogólne</w:t>
      </w:r>
    </w:p>
    <w:p w14:paraId="729903D3" w14:textId="77666BF6" w:rsidR="00E107C0" w:rsidRDefault="00FD69C2">
      <w:pPr>
        <w:pStyle w:val="JuPara"/>
      </w:pPr>
      <w:r>
        <w:fldChar w:fldCharType="begin"/>
      </w:r>
      <w:r>
        <w:instrText>SEQ level0 \* ARABIC</w:instrText>
      </w:r>
      <w:r>
        <w:fldChar w:fldCharType="separate"/>
      </w:r>
      <w:r>
        <w:t>33</w:t>
      </w:r>
      <w:r>
        <w:fldChar w:fldCharType="end"/>
      </w:r>
      <w:r>
        <w:t>.  Trybunał powtarza, że art. 1 Protokołu nr 1 składa się z trzech odrębnych zasad: pierwsza zasada zawarta w pierwszym zdaniu pierwszego akapitu ma charakter ogólny i wyraża normę poszanowania mienia; druga zasada zawarta w drugim zdaniu pierwszego akapitu odnosi się do</w:t>
      </w:r>
      <w:r w:rsidR="00BC3C7B">
        <w:t> </w:t>
      </w:r>
      <w:r>
        <w:t>pozbawienia mienia i zastrzega warunki takiego pozbawienia mienia; trzecia zasada wyrażona w drugim akapicie uznaje prawo układających się państw m.in. do regulowania sposobu korzystania z własności zgodnie z interesem powszechnym. Zasady te nie są jednak odrębne w znaczeniu braku powiązania między nimi. Druga i trzecia zasada dotyczą w szczególności przypadków ingerencji w </w:t>
      </w:r>
      <w:r w:rsidR="00483F8D">
        <w:t xml:space="preserve">prawo do </w:t>
      </w:r>
      <w:r>
        <w:t>poszanowani</w:t>
      </w:r>
      <w:r w:rsidR="00483F8D">
        <w:t>a</w:t>
      </w:r>
      <w:r>
        <w:t xml:space="preserve"> mienia, a zatem należy je</w:t>
      </w:r>
      <w:r w:rsidR="00483F8D">
        <w:t> </w:t>
      </w:r>
      <w:r>
        <w:t xml:space="preserve">interpretować w świetle ogólnej zasady wyrażonej w zasadzie pierwszej (zob. m.in. </w:t>
      </w:r>
      <w:r>
        <w:rPr>
          <w:i/>
          <w:iCs/>
        </w:rPr>
        <w:t>James i Inni p</w:t>
      </w:r>
      <w:r w:rsidR="00483F8D">
        <w:rPr>
          <w:i/>
          <w:iCs/>
        </w:rPr>
        <w:t>rzeciwko</w:t>
      </w:r>
      <w:r>
        <w:rPr>
          <w:i/>
          <w:iCs/>
        </w:rPr>
        <w:t xml:space="preserve"> Zjednoczonemu Królestwu</w:t>
      </w:r>
      <w:r>
        <w:t xml:space="preserve">, 21 lutego 1986, § 37, Seria A, nr 98, gdzie częściowo powtórzono zasady określone przez Trybunał w sprawie </w:t>
      </w:r>
      <w:r>
        <w:rPr>
          <w:i/>
          <w:iCs/>
        </w:rPr>
        <w:t>Sporrong i Lönnroth p</w:t>
      </w:r>
      <w:r w:rsidR="00483F8D">
        <w:rPr>
          <w:i/>
          <w:iCs/>
        </w:rPr>
        <w:t>rzeciwko</w:t>
      </w:r>
      <w:r>
        <w:rPr>
          <w:i/>
          <w:iCs/>
        </w:rPr>
        <w:t>. Szwecji</w:t>
      </w:r>
      <w:r>
        <w:t xml:space="preserve">, 23 września 1982, § 61, Seria A nr 52; zob. również </w:t>
      </w:r>
      <w:r>
        <w:rPr>
          <w:i/>
          <w:iCs/>
        </w:rPr>
        <w:t>Broniowski p</w:t>
      </w:r>
      <w:r w:rsidR="00483F8D">
        <w:rPr>
          <w:i/>
          <w:iCs/>
        </w:rPr>
        <w:t>rzeciwko</w:t>
      </w:r>
      <w:r>
        <w:rPr>
          <w:i/>
          <w:iCs/>
        </w:rPr>
        <w:t xml:space="preserve"> Polsce</w:t>
      </w:r>
      <w:r>
        <w:t xml:space="preserve"> [W</w:t>
      </w:r>
      <w:r w:rsidR="000210C3">
        <w:t>I</w:t>
      </w:r>
      <w:r>
        <w:t>], nr 31443/96, § 134, ETPCz 2004-V).</w:t>
      </w:r>
    </w:p>
    <w:p w14:paraId="7334A465" w14:textId="4C231936" w:rsidR="00E107C0" w:rsidRDefault="00FD69C2">
      <w:pPr>
        <w:pStyle w:val="JuPara"/>
      </w:pPr>
      <w:r>
        <w:fldChar w:fldCharType="begin"/>
      </w:r>
      <w:r>
        <w:instrText>SEQ level0 \* ARABIC</w:instrText>
      </w:r>
      <w:r>
        <w:fldChar w:fldCharType="separate"/>
      </w:r>
      <w:r>
        <w:t>34</w:t>
      </w:r>
      <w:r>
        <w:fldChar w:fldCharType="end"/>
      </w:r>
      <w:r>
        <w:t xml:space="preserve">.  Trybunał podkreśla, że pierwszym i najważniejszym wymogiem art. 1 Protokołu nr 1 jest to, że każda ingerencja władzy publicznej w poszanowanie mienia powinna być zgodna z prawem. W szczególności art. 1 akapit drugi, </w:t>
      </w:r>
      <w:r w:rsidR="00483F8D">
        <w:t>poprzez uznanie</w:t>
      </w:r>
      <w:r>
        <w:t>, iż państwa mają prawo do regulowania sposobu korzystania z własności, uzależnia ich prawa od warunku</w:t>
      </w:r>
      <w:r w:rsidR="00483F8D">
        <w:t xml:space="preserve"> wykonywania ich po</w:t>
      </w:r>
      <w:r>
        <w:t>przez stosowanie „ustaw”.</w:t>
      </w:r>
    </w:p>
    <w:p w14:paraId="4593A283" w14:textId="1AD18CDD" w:rsidR="00E107C0" w:rsidRDefault="00FD69C2">
      <w:pPr>
        <w:pStyle w:val="JuPara"/>
      </w:pPr>
      <w:r>
        <w:fldChar w:fldCharType="begin"/>
      </w:r>
      <w:r>
        <w:instrText>SEQ level0 \* ARABIC</w:instrText>
      </w:r>
      <w:r>
        <w:fldChar w:fldCharType="separate"/>
      </w:r>
      <w:r>
        <w:t>35</w:t>
      </w:r>
      <w:r>
        <w:fldChar w:fldCharType="end"/>
      </w:r>
      <w:r>
        <w:t xml:space="preserve">.  Ingerencja w prawo własności musi nie tylko </w:t>
      </w:r>
      <w:r w:rsidR="00483F8D">
        <w:t xml:space="preserve">stanowić </w:t>
      </w:r>
      <w:r>
        <w:t>realiz</w:t>
      </w:r>
      <w:r w:rsidR="00483F8D">
        <w:t>ację</w:t>
      </w:r>
      <w:r>
        <w:t xml:space="preserve"> – zarówno co do faktów, jak i co do zasady – „uzasadnion</w:t>
      </w:r>
      <w:r w:rsidR="00483F8D">
        <w:t>ego</w:t>
      </w:r>
      <w:r>
        <w:t xml:space="preserve"> cel</w:t>
      </w:r>
      <w:r w:rsidR="00483F8D">
        <w:t>u</w:t>
      </w:r>
      <w:r>
        <w:t xml:space="preserve">” </w:t>
      </w:r>
      <w:r>
        <w:lastRenderedPageBreak/>
        <w:t>w „interesie powszechnym”, lecz także musi</w:t>
      </w:r>
      <w:r w:rsidR="00483F8D">
        <w:t xml:space="preserve"> odbywać się z zachowaniem</w:t>
      </w:r>
      <w:r>
        <w:t xml:space="preserve"> rozsądn</w:t>
      </w:r>
      <w:r w:rsidR="00483F8D">
        <w:t>ego</w:t>
      </w:r>
      <w:r>
        <w:t xml:space="preserve"> stosun</w:t>
      </w:r>
      <w:r w:rsidR="00483F8D">
        <w:t>ku</w:t>
      </w:r>
      <w:r>
        <w:t xml:space="preserve"> proporcjonalności pomiędzy zastosowanymi środkami a celem, który ma być osiągnięty za pomocą wszelkich środków zastosowanych przez państwo, w tym środków mających na celu regulowani</w:t>
      </w:r>
      <w:r w:rsidR="007048CF">
        <w:t>e</w:t>
      </w:r>
      <w:r>
        <w:t xml:space="preserve"> sposobu korzystania z własności jednostki. Wymóg ten wyraża się w pojęciu „sprawiedliwej równowagi”, która musi być zapewniona między potrzebami interesu powszechnego społeczeństwa a wymogami ochrony praw podstawowych jednostki (</w:t>
      </w:r>
      <w:r>
        <w:rPr>
          <w:i/>
          <w:iCs/>
        </w:rPr>
        <w:t>Hutten-Czapska p</w:t>
      </w:r>
      <w:r w:rsidR="00483F8D">
        <w:rPr>
          <w:i/>
          <w:iCs/>
        </w:rPr>
        <w:t>rzeciwko</w:t>
      </w:r>
      <w:r>
        <w:rPr>
          <w:i/>
          <w:iCs/>
        </w:rPr>
        <w:t xml:space="preserve"> Polsce</w:t>
      </w:r>
      <w:r>
        <w:t xml:space="preserve"> [WI], nr 35014/97, § 167, ETPCz 2006-VIII).</w:t>
      </w:r>
    </w:p>
    <w:p w14:paraId="4BCE641D" w14:textId="77777777" w:rsidR="00E107C0" w:rsidRDefault="00FD69C2">
      <w:pPr>
        <w:pStyle w:val="JuHa"/>
        <w:numPr>
          <w:ilvl w:val="4"/>
          <w:numId w:val="1"/>
        </w:numPr>
        <w:spacing w:before="280"/>
      </w:pPr>
      <w:r>
        <w:t>Zastosowanie tych zasad w rozpatrywanej sprawie</w:t>
      </w:r>
    </w:p>
    <w:p w14:paraId="47E39549" w14:textId="6DDB6A46" w:rsidR="00E107C0" w:rsidRDefault="00FD69C2">
      <w:pPr>
        <w:pStyle w:val="JuPara"/>
      </w:pPr>
      <w:r>
        <w:fldChar w:fldCharType="begin"/>
      </w:r>
      <w:r>
        <w:instrText>SEQ level0 \* ARABIC</w:instrText>
      </w:r>
      <w:r>
        <w:fldChar w:fldCharType="separate"/>
      </w:r>
      <w:r>
        <w:t>36</w:t>
      </w:r>
      <w:r>
        <w:fldChar w:fldCharType="end"/>
      </w:r>
      <w:r>
        <w:t>.  Rząd nie zakwestionował faktu, że w rozpatrywanej sprawie doszło do ingerencji w poszanowanie mienia skarżącego. Fakt, że lokator mógł pozostać w mieszkaniu skarżącego przez ponad cztery i pół roku po nakazie eksmisji, musi być uznany za ingerencję w prawo własności skarżącego. Przedmiotowy środek stanowił regulowanie sposobu korzystania z własności, które należy zbadać na gruncie art. 1 akapit</w:t>
      </w:r>
      <w:r w:rsidR="007048CF">
        <w:t>u</w:t>
      </w:r>
      <w:r>
        <w:t xml:space="preserve"> drugi</w:t>
      </w:r>
      <w:r w:rsidR="007048CF">
        <w:t>ego</w:t>
      </w:r>
      <w:r>
        <w:t xml:space="preserve"> Protokołu nr 1 i w odniesieniu do orzecznictwa </w:t>
      </w:r>
      <w:r w:rsidR="007048CF">
        <w:t xml:space="preserve">w sprawach w </w:t>
      </w:r>
      <w:r>
        <w:t>podobn</w:t>
      </w:r>
      <w:r w:rsidR="007048CF">
        <w:t>ym kontekście</w:t>
      </w:r>
      <w:r>
        <w:t xml:space="preserve"> (zob. </w:t>
      </w:r>
      <w:r>
        <w:rPr>
          <w:i/>
          <w:iCs/>
        </w:rPr>
        <w:t>Immobiliare Saffi p</w:t>
      </w:r>
      <w:r w:rsidR="007048CF">
        <w:rPr>
          <w:i/>
          <w:iCs/>
        </w:rPr>
        <w:t>rzeciwko</w:t>
      </w:r>
      <w:r>
        <w:rPr>
          <w:i/>
          <w:iCs/>
        </w:rPr>
        <w:t xml:space="preserve"> Włochom</w:t>
      </w:r>
      <w:r>
        <w:t xml:space="preserve"> [WI], nr 22774/93, § 46, ETPCz 1999</w:t>
      </w:r>
      <w:r>
        <w:noBreakHyphen/>
        <w:t xml:space="preserve">V; </w:t>
      </w:r>
      <w:r>
        <w:rPr>
          <w:i/>
          <w:iCs/>
        </w:rPr>
        <w:t>Ghigo p</w:t>
      </w:r>
      <w:r w:rsidR="007048CF">
        <w:rPr>
          <w:i/>
          <w:iCs/>
        </w:rPr>
        <w:t>rzeciwko</w:t>
      </w:r>
      <w:r>
        <w:rPr>
          <w:i/>
          <w:iCs/>
        </w:rPr>
        <w:t xml:space="preserve"> Malcie</w:t>
      </w:r>
      <w:r>
        <w:t xml:space="preserve">, nr 31122/05, § 50, 26 września 2006 r.; oraz </w:t>
      </w:r>
      <w:r>
        <w:rPr>
          <w:i/>
          <w:iCs/>
        </w:rPr>
        <w:t>Kasmi p</w:t>
      </w:r>
      <w:r w:rsidR="007048CF">
        <w:rPr>
          <w:i/>
          <w:iCs/>
        </w:rPr>
        <w:t>rzeciwko</w:t>
      </w:r>
      <w:r>
        <w:rPr>
          <w:i/>
          <w:iCs/>
        </w:rPr>
        <w:t> Albanii</w:t>
      </w:r>
      <w:r>
        <w:t xml:space="preserve">, nr 1175/06, § 72, 23 czerwca 2020 r.). Trybunał przyjmuje, że przedmiotowa ingerencja miała podstawę w prawie </w:t>
      </w:r>
      <w:r w:rsidR="007048CF">
        <w:t xml:space="preserve">wewnętrznym </w:t>
      </w:r>
      <w:r>
        <w:t>i </w:t>
      </w:r>
      <w:r w:rsidR="007048CF">
        <w:t xml:space="preserve">stanowiła </w:t>
      </w:r>
      <w:r>
        <w:t>realiz</w:t>
      </w:r>
      <w:r w:rsidR="007048CF">
        <w:t>ację</w:t>
      </w:r>
      <w:r>
        <w:t xml:space="preserve"> uzasadnion</w:t>
      </w:r>
      <w:r w:rsidR="007048CF">
        <w:t>ego</w:t>
      </w:r>
      <w:r>
        <w:t xml:space="preserve"> cel</w:t>
      </w:r>
      <w:r w:rsidR="007048CF">
        <w:t>u</w:t>
      </w:r>
      <w:r>
        <w:t>, mianowicie ochron</w:t>
      </w:r>
      <w:r w:rsidR="000210C3">
        <w:t>y</w:t>
      </w:r>
      <w:r>
        <w:t xml:space="preserve"> interesu publicznego i koniecznoś</w:t>
      </w:r>
      <w:r w:rsidR="007048CF">
        <w:t>ci</w:t>
      </w:r>
      <w:r>
        <w:t xml:space="preserve"> przeciwdziałania eksmisjom </w:t>
      </w:r>
      <w:r w:rsidR="007048CF">
        <w:t>„</w:t>
      </w:r>
      <w:r>
        <w:t>na bruk</w:t>
      </w:r>
      <w:r w:rsidR="007048CF">
        <w:t>”</w:t>
      </w:r>
      <w:r>
        <w:t xml:space="preserve">. Należy zbadać, czy w postępowaniu </w:t>
      </w:r>
      <w:r w:rsidR="007048CF">
        <w:t>w sprawie </w:t>
      </w:r>
      <w:r>
        <w:t>odszkodowani</w:t>
      </w:r>
      <w:r w:rsidR="007048CF">
        <w:t>a</w:t>
      </w:r>
      <w:r>
        <w:t xml:space="preserve"> władze krajowe osiągnęły sprawiedliwą równowagę i czy na skarżącego nie nałożono nadmiernego obciążenia.</w:t>
      </w:r>
    </w:p>
    <w:p w14:paraId="00E2E8D1" w14:textId="1588E32A" w:rsidR="00E107C0" w:rsidRDefault="00FD69C2">
      <w:pPr>
        <w:pStyle w:val="JuPara"/>
      </w:pPr>
      <w:r>
        <w:fldChar w:fldCharType="begin"/>
      </w:r>
      <w:r>
        <w:instrText>SEQ level0 \* ARABIC</w:instrText>
      </w:r>
      <w:r>
        <w:fldChar w:fldCharType="separate"/>
      </w:r>
      <w:r>
        <w:t>37</w:t>
      </w:r>
      <w:r>
        <w:fldChar w:fldCharType="end"/>
      </w:r>
      <w:r>
        <w:t>.  W tym względzie Trybunał zauważa, że skarżący powołał się na jasny przepis ustawy z 2001 r., który przewiduje prawo do odszkodowania, w </w:t>
      </w:r>
      <w:proofErr w:type="gramStart"/>
      <w:r>
        <w:t>przypadku</w:t>
      </w:r>
      <w:proofErr w:type="gramEnd"/>
      <w:r>
        <w:t xml:space="preserve"> gdy gmina nie zapewni lokalu socjalnego osobie uprawnionej (zob. paragraf </w:t>
      </w:r>
      <w:r w:rsidR="00D80B27">
        <w:t>15</w:t>
      </w:r>
      <w:r>
        <w:fldChar w:fldCharType="begin"/>
      </w:r>
      <w:r>
        <w:instrText>REF paragraph00015 \h</w:instrText>
      </w:r>
      <w:r w:rsidR="008D3052">
        <w:fldChar w:fldCharType="separate"/>
      </w:r>
      <w:r>
        <w:fldChar w:fldCharType="end"/>
      </w:r>
      <w:r>
        <w:t xml:space="preserve"> powyżej). Roszczenie oparte na tym przepisie wymaga, aby spełnione zostały wszystkie warunki uprawniające do odszkodowania. W</w:t>
      </w:r>
      <w:r w:rsidR="009E13F7">
        <w:t> </w:t>
      </w:r>
      <w:r>
        <w:t xml:space="preserve">związku z tym Trybunał zauważa, że według wyroku Sądu Okręgowego skarżący nie udowodnił, że poniesiona przez niego szkoda była normalnym następstwem niezgodnego z prawem zaniechania gminy. Zdaniem sądu skarżący nie tylko nie udowodnił, że mógłby wynająć mieszkanie innej osobie i czerpać z tego zyski, lecz także nie udowodnił, kiedy mieszkanie byłoby faktycznie gotowe do wynajęcia, biorąc pod uwagę, że wymagało remontu (zob. paragraf </w:t>
      </w:r>
      <w:r w:rsidR="00D80B27">
        <w:t>12</w:t>
      </w:r>
      <w:r>
        <w:fldChar w:fldCharType="begin"/>
      </w:r>
      <w:r>
        <w:instrText>REF paragraph00012 \h</w:instrText>
      </w:r>
      <w:r w:rsidR="008D3052">
        <w:fldChar w:fldCharType="separate"/>
      </w:r>
      <w:r>
        <w:fldChar w:fldCharType="end"/>
      </w:r>
      <w:r>
        <w:t xml:space="preserve"> powyżej).</w:t>
      </w:r>
    </w:p>
    <w:p w14:paraId="1C0A3E7E" w14:textId="3834CF4A" w:rsidR="00E107C0" w:rsidRDefault="00FD69C2">
      <w:pPr>
        <w:pStyle w:val="JuPara"/>
      </w:pPr>
      <w:r>
        <w:fldChar w:fldCharType="begin"/>
      </w:r>
      <w:r>
        <w:instrText>SEQ level0 \* ARABIC</w:instrText>
      </w:r>
      <w:r>
        <w:fldChar w:fldCharType="separate"/>
      </w:r>
      <w:r>
        <w:t>38</w:t>
      </w:r>
      <w:r>
        <w:fldChar w:fldCharType="end"/>
      </w:r>
      <w:r>
        <w:t xml:space="preserve">.  Trybunał powtarza, że wykładnia prawa krajowego jest przede wszystkim zadaniem władz krajowych, a w szczególności sądów. Trybunał nie będzie kwestionował wykładni prawa krajowego przez sądy krajowe, chyba że taką wykładnię można uznać za arbitralną lub w sposób oczywisty nieuzasadnioną (zob. </w:t>
      </w:r>
      <w:r>
        <w:rPr>
          <w:i/>
          <w:iCs/>
        </w:rPr>
        <w:t>Lupeni Greek Catholic Parish i Inni p</w:t>
      </w:r>
      <w:r w:rsidR="00767AF7">
        <w:rPr>
          <w:i/>
          <w:iCs/>
        </w:rPr>
        <w:t>rzeciwko</w:t>
      </w:r>
      <w:r>
        <w:rPr>
          <w:i/>
          <w:iCs/>
        </w:rPr>
        <w:t xml:space="preserve"> Rumunii</w:t>
      </w:r>
      <w:r>
        <w:t xml:space="preserve"> </w:t>
      </w:r>
      <w:r>
        <w:lastRenderedPageBreak/>
        <w:t xml:space="preserve">[WI], nr 76943/11, § 90, 29 listopada 2016 r. oraz </w:t>
      </w:r>
      <w:r>
        <w:rPr>
          <w:i/>
          <w:iCs/>
        </w:rPr>
        <w:t>Anđelković p</w:t>
      </w:r>
      <w:r w:rsidR="00767AF7">
        <w:rPr>
          <w:i/>
          <w:iCs/>
        </w:rPr>
        <w:t>rzeciwko</w:t>
      </w:r>
      <w:r>
        <w:rPr>
          <w:i/>
          <w:iCs/>
        </w:rPr>
        <w:t xml:space="preserve"> Serbii</w:t>
      </w:r>
      <w:r>
        <w:t>, nr 1401/08, § 24, 9 kwietnia 2013 r.).</w:t>
      </w:r>
    </w:p>
    <w:p w14:paraId="500C33D4" w14:textId="75D3CFF0" w:rsidR="00E107C0" w:rsidRDefault="00FD69C2">
      <w:pPr>
        <w:pStyle w:val="JuPara"/>
      </w:pPr>
      <w:r>
        <w:fldChar w:fldCharType="begin"/>
      </w:r>
      <w:r>
        <w:instrText>SEQ level0 \* ARABIC</w:instrText>
      </w:r>
      <w:r>
        <w:fldChar w:fldCharType="separate"/>
      </w:r>
      <w:r>
        <w:t>39</w:t>
      </w:r>
      <w:r>
        <w:fldChar w:fldCharType="end"/>
      </w:r>
      <w:r>
        <w:t>.  Rząd podniósł, że indywidualne obciążenie skarżącego wynikające z opóźnienia eksmisji jego lokatora mogłoby zostać zminimalizowane lub nawet wyeliminowane przez możliwość ubiegania się o odszkodowanie od</w:t>
      </w:r>
      <w:r w:rsidR="009E13F7">
        <w:t> </w:t>
      </w:r>
      <w:r>
        <w:t xml:space="preserve">gminy. Trybunał zgadza się, że gdyby skarżący otrzymał odpowiednie odszkodowanie za okres, w którym lokator ten zajmował mieszkanie skarżącego po uprawomocnieniu się nakazu eksmisji, ingerencja w prawo skarżącego nie byłaby nadmierna. Roszczenie </w:t>
      </w:r>
      <w:r w:rsidR="009E13F7">
        <w:t xml:space="preserve">odszkodowawcze </w:t>
      </w:r>
      <w:r>
        <w:t>skarżącego zostało jednak oddalone. W tych okolicznościach Trybunał musi zbadać wyroki wydane przez sądy krajowe i przeanalizować, czy przyjęte przez nie uzasadnienie nie było arbitralne ani w sposób oczywisty nieuzasadnione.</w:t>
      </w:r>
    </w:p>
    <w:p w14:paraId="7F2D1900" w14:textId="12AAA75B" w:rsidR="00E107C0" w:rsidRDefault="00FD69C2">
      <w:pPr>
        <w:pStyle w:val="JuPara"/>
      </w:pPr>
      <w:r>
        <w:fldChar w:fldCharType="begin"/>
      </w:r>
      <w:r>
        <w:instrText>SEQ level0 \* ARABIC</w:instrText>
      </w:r>
      <w:r>
        <w:fldChar w:fldCharType="separate"/>
      </w:r>
      <w:r>
        <w:t>40</w:t>
      </w:r>
      <w:r>
        <w:fldChar w:fldCharType="end"/>
      </w:r>
      <w:r>
        <w:t xml:space="preserve">.  Sądy krajowe uznały, że aby można było przyznać odszkodowanie, muszą być spełnione wszystkie kryteria odpowiedzialności odszkodowawczej, mianowicie: niezgodne z prawem działanie lub zaniechanie pozwanego, szkoda i związek przyczynowy między działaniem lub zaniechaniem a szkodą. Ponadto zgodziły się, że niezapewnienie przez gminę lokalu socjalnego lokatorowi zgodnie z ostatecznym wyrokiem krajowym stanowi niezgodne z prawem zaniechanie, które może być podstawą odpowiedzialności odszkodowawczej. W tych okolicznościach należało ustalić, czy szkoda będąca przedmiotem skargi była normalnym następstwem zaniechania gminy. Sąd Okręgowy uznał, że skarżący nie udowodnił, iż gdyby gmina dostarczyła lokal socjalny, otrzymywałby czynsz za swoje mieszkanie, ponieważ nie dowiódł, że by je wyremontował i wynajął. Sąd uznał ponadto, </w:t>
      </w:r>
      <w:r w:rsidR="002302B5">
        <w:t xml:space="preserve">iż </w:t>
      </w:r>
      <w:r>
        <w:t xml:space="preserve">nawet gdyby założyć, że mieszkanie zostałoby wyremontowane i wynajęte, skarżący nie wskazał daty, od której mógłby otrzymywać czynsz. Szkoda będąca przedmiotem skargi mogłaby powstać dopiero po zakończeniu prac remontowych (zob. paragraf </w:t>
      </w:r>
      <w:r w:rsidR="00D80B27">
        <w:t>12</w:t>
      </w:r>
      <w:r>
        <w:fldChar w:fldCharType="begin"/>
      </w:r>
      <w:r>
        <w:instrText>REF paragraph00012 \h</w:instrText>
      </w:r>
      <w:r w:rsidR="008D3052">
        <w:fldChar w:fldCharType="separate"/>
      </w:r>
      <w:r>
        <w:fldChar w:fldCharType="end"/>
      </w:r>
      <w:r>
        <w:t xml:space="preserve"> powyżej). Jeżeli chodzi o wysokość szkody, Trybunał zauważa, że w toku postępowania krajowego przedstawiono dwie opinie biegłych określające wysokość czynszu, jakiej skarżący mógł się spodziewać przed remontem przedmiotowego mieszkania i po jego remoncie (zob. paragraf </w:t>
      </w:r>
      <w:r w:rsidR="00D80B27">
        <w:t>10</w:t>
      </w:r>
      <w:r>
        <w:fldChar w:fldCharType="begin"/>
      </w:r>
      <w:r>
        <w:instrText>REF paragraph00010 \h</w:instrText>
      </w:r>
      <w:r w:rsidR="008D3052">
        <w:fldChar w:fldCharType="separate"/>
      </w:r>
      <w:r>
        <w:fldChar w:fldCharType="end"/>
      </w:r>
      <w:r>
        <w:t xml:space="preserve"> powyżej). Sąd krajowy uznał, że skarżący nie udowodnił, czy i od którego momentu byłby w stanie uzyskać kwotę czynszu obliczoną przez biegłego za</w:t>
      </w:r>
      <w:r w:rsidR="00135FCC">
        <w:t> </w:t>
      </w:r>
      <w:r>
        <w:t>mieszkanie po wyremontowaniu. W uzasadnieniu wyroku Sądu Okręgowego nie wyjaśniono jednak, na jakiej podstawie sąd ten odmówił przyznania skarżącemu odszkodowania odpowiadającego niższej kwocie obliczonej w odniesieniu do mieszkania przed remontem.</w:t>
      </w:r>
    </w:p>
    <w:p w14:paraId="00251A60" w14:textId="32A70820" w:rsidR="00E107C0" w:rsidRDefault="00FD69C2">
      <w:pPr>
        <w:pStyle w:val="JuPara"/>
      </w:pPr>
      <w:r>
        <w:fldChar w:fldCharType="begin"/>
      </w:r>
      <w:r>
        <w:instrText>SEQ level0 \* ARABIC</w:instrText>
      </w:r>
      <w:r>
        <w:fldChar w:fldCharType="separate"/>
      </w:r>
      <w:r>
        <w:t>41</w:t>
      </w:r>
      <w:r>
        <w:fldChar w:fldCharType="end"/>
      </w:r>
      <w:r>
        <w:t>.  Trybunał uważa, że wymogi, których spełnienia oczekiwał od</w:t>
      </w:r>
      <w:r w:rsidR="00135FCC">
        <w:t> </w:t>
      </w:r>
      <w:r>
        <w:t>skarżącego Sąd Okręgowy, sformułowane w wyroku tego sądu, mianowicie udowodnienie, że skarżący by wyremontował mieszkanie i je</w:t>
      </w:r>
      <w:r w:rsidR="00135FCC">
        <w:t> </w:t>
      </w:r>
      <w:r>
        <w:t>wynajął po remoncie oraz</w:t>
      </w:r>
      <w:r w:rsidR="00135FCC">
        <w:t xml:space="preserve"> to,</w:t>
      </w:r>
      <w:r>
        <w:t xml:space="preserve"> jak długo potrwałyby prace remontowe, były w rzeczywistości bardzo trudne do spełnienia, a ich nałożenie stanowiło </w:t>
      </w:r>
      <w:r>
        <w:lastRenderedPageBreak/>
        <w:t>nadmierne obciążenie, które w konsekwencji doprowadziło do arbitralnego oddalenia roszczenia skarżącego o odszkodowanie.</w:t>
      </w:r>
    </w:p>
    <w:p w14:paraId="2A7194A4" w14:textId="4CEF6FCB" w:rsidR="00E107C0" w:rsidRDefault="00FD69C2">
      <w:pPr>
        <w:pStyle w:val="JuPara"/>
      </w:pPr>
      <w:r>
        <w:fldChar w:fldCharType="begin"/>
      </w:r>
      <w:r>
        <w:instrText>SEQ level0 \* ARABIC</w:instrText>
      </w:r>
      <w:r>
        <w:fldChar w:fldCharType="separate"/>
      </w:r>
      <w:r>
        <w:t>42</w:t>
      </w:r>
      <w:r>
        <w:fldChar w:fldCharType="end"/>
      </w:r>
      <w:r>
        <w:t xml:space="preserve">.  Trybunał uważa, że wymogi nałożone na skarżącego przez sądy krajowe w toku postępowania </w:t>
      </w:r>
      <w:r w:rsidR="00A64C95">
        <w:t>w sprawie </w:t>
      </w:r>
      <w:r>
        <w:t>odszkodowanie w gruncie rzeczy pozbawiły go prawa do uzyskania naprawienia poniesionej szkody. Wynika z tego, że nie można uznać, iż w ingerencji będącej przedmiotem skargi zachowano „sprawiedliwą równowagę” między zastosowanymi środkami a celami, które miały być osiągnięte.</w:t>
      </w:r>
    </w:p>
    <w:p w14:paraId="62602128" w14:textId="77777777" w:rsidR="00E107C0" w:rsidRDefault="00FD69C2">
      <w:pPr>
        <w:pStyle w:val="JuPara"/>
      </w:pPr>
      <w:r>
        <w:fldChar w:fldCharType="begin"/>
      </w:r>
      <w:r>
        <w:instrText>SEQ level0 \* ARABIC</w:instrText>
      </w:r>
      <w:r>
        <w:fldChar w:fldCharType="separate"/>
      </w:r>
      <w:r>
        <w:t>43</w:t>
      </w:r>
      <w:r>
        <w:fldChar w:fldCharType="end"/>
      </w:r>
      <w:r>
        <w:t xml:space="preserve">.  Powyższe rozważania są wystarczające, aby Trybunał mógł stwierdzić, że doszło do naruszenia art. 1 Protokołu nr 1 do Konwencji. Zastrzeżenie Rządu w tym zakresie (zob. paragraf </w:t>
      </w:r>
      <w:r>
        <w:fldChar w:fldCharType="begin"/>
      </w:r>
      <w:r>
        <w:instrText>REF paragraph00028 \h</w:instrText>
      </w:r>
      <w:r w:rsidR="008D3052">
        <w:fldChar w:fldCharType="separate"/>
      </w:r>
      <w:r>
        <w:fldChar w:fldCharType="end"/>
      </w:r>
      <w:r>
        <w:t xml:space="preserve"> powyżej) powinno zatem zostać oddalone.</w:t>
      </w:r>
    </w:p>
    <w:p w14:paraId="1CE4F1FF" w14:textId="77777777" w:rsidR="00E107C0" w:rsidRDefault="00FD69C2">
      <w:pPr>
        <w:pStyle w:val="JuHIRoman"/>
        <w:numPr>
          <w:ilvl w:val="1"/>
          <w:numId w:val="1"/>
        </w:numPr>
        <w:spacing w:before="280"/>
      </w:pPr>
      <w:r>
        <w:rPr>
          <w:bCs w:val="0"/>
        </w:rPr>
        <w:t>ZASTOSOWANIE ART. 41 KONWENCJI</w:t>
      </w:r>
    </w:p>
    <w:p w14:paraId="16247DC9" w14:textId="77777777" w:rsidR="00E107C0" w:rsidRDefault="00FD69C2">
      <w:pPr>
        <w:pStyle w:val="JuPara"/>
      </w:pPr>
      <w:r>
        <w:fldChar w:fldCharType="begin"/>
      </w:r>
      <w:r>
        <w:instrText>SEQ level0 \* ARABIC</w:instrText>
      </w:r>
      <w:r>
        <w:fldChar w:fldCharType="separate"/>
      </w:r>
      <w:r>
        <w:t>44</w:t>
      </w:r>
      <w:r>
        <w:fldChar w:fldCharType="end"/>
      </w:r>
      <w:r>
        <w:t>.  Art. 41 Konwencji stanowi:</w:t>
      </w:r>
    </w:p>
    <w:p w14:paraId="10FA39B3" w14:textId="77777777" w:rsidR="00E107C0" w:rsidRDefault="00FD69C2">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A844BE9" w14:textId="77777777" w:rsidR="00E107C0" w:rsidRDefault="00FD69C2">
      <w:pPr>
        <w:pStyle w:val="JuHA0"/>
        <w:numPr>
          <w:ilvl w:val="2"/>
          <w:numId w:val="1"/>
        </w:numPr>
        <w:spacing w:before="280"/>
      </w:pPr>
      <w:r>
        <w:t>Szkoda</w:t>
      </w:r>
    </w:p>
    <w:p w14:paraId="70611936" w14:textId="18A0931E" w:rsidR="00E107C0" w:rsidRDefault="00FD69C2">
      <w:pPr>
        <w:pStyle w:val="JuPara"/>
      </w:pPr>
      <w:r>
        <w:fldChar w:fldCharType="begin"/>
      </w:r>
      <w:r>
        <w:instrText>SEQ level0 \* ARABIC</w:instrText>
      </w:r>
      <w:r>
        <w:fldChar w:fldCharType="separate"/>
      </w:r>
      <w:r>
        <w:t>45</w:t>
      </w:r>
      <w:r>
        <w:fldChar w:fldCharType="end"/>
      </w:r>
      <w:r>
        <w:t>.  </w:t>
      </w:r>
      <w:bookmarkStart w:id="9" w:name="_Hlk93326222"/>
      <w:r>
        <w:t>Skarżący domagał się kwoty 13 189 euro (EUR) tytułem szkody majątkowej oraz kwoty 6 091 EUR tytułem szkody niemajątkowej. W</w:t>
      </w:r>
      <w:r w:rsidR="00A64C95">
        <w:t> </w:t>
      </w:r>
      <w:r>
        <w:t>kwestii szkody majątkowej skarżący oparł się na metodzie obliczeniowej przyjętej w wyroku sądu pierwszej instancji.</w:t>
      </w:r>
      <w:bookmarkEnd w:id="9"/>
    </w:p>
    <w:p w14:paraId="58111837" w14:textId="77777777" w:rsidR="00E107C0" w:rsidRDefault="00FD69C2">
      <w:pPr>
        <w:pStyle w:val="JuPara"/>
      </w:pPr>
      <w:r>
        <w:fldChar w:fldCharType="begin"/>
      </w:r>
      <w:r>
        <w:instrText>SEQ level0 \* ARABIC</w:instrText>
      </w:r>
      <w:r>
        <w:fldChar w:fldCharType="separate"/>
      </w:r>
      <w:r>
        <w:t>46</w:t>
      </w:r>
      <w:r>
        <w:fldChar w:fldCharType="end"/>
      </w:r>
      <w:r>
        <w:t>.  Rząd uznał te roszczenia za wygórowane.</w:t>
      </w:r>
    </w:p>
    <w:p w14:paraId="22DAC987" w14:textId="57BAAC53" w:rsidR="00E107C0" w:rsidRDefault="00FD69C2">
      <w:pPr>
        <w:pStyle w:val="JuPara"/>
      </w:pPr>
      <w:r>
        <w:fldChar w:fldCharType="begin"/>
      </w:r>
      <w:r>
        <w:instrText>SEQ level0 \* ARABIC</w:instrText>
      </w:r>
      <w:r>
        <w:fldChar w:fldCharType="separate"/>
      </w:r>
      <w:r>
        <w:t>47</w:t>
      </w:r>
      <w:r>
        <w:fldChar w:fldCharType="end"/>
      </w:r>
      <w:r>
        <w:t>.  Trybunał stwierdza, że skarżący został pozbawiony odszkodowania, które było mu należne na gruncie prawa krajowego, i musi wziąć pod uwagę fakt, iż niewątpliwie poniósł on pewną szkodę majątkową i niemajątkową. Dokonując oceny w oparciu o zasadę słuszności, jak wymaga tego art. 41 Konwencji, Trybunał przyznaje skarżącemu kwotę 14 600 EUR z tytułu obu szkód.</w:t>
      </w:r>
    </w:p>
    <w:p w14:paraId="3E7207D3" w14:textId="77777777" w:rsidR="00E107C0" w:rsidRDefault="00FD69C2">
      <w:pPr>
        <w:pStyle w:val="JuHA0"/>
        <w:numPr>
          <w:ilvl w:val="2"/>
          <w:numId w:val="1"/>
        </w:numPr>
        <w:spacing w:before="280"/>
      </w:pPr>
      <w:r>
        <w:t>Koszty i wydatki</w:t>
      </w:r>
    </w:p>
    <w:p w14:paraId="37A303F1" w14:textId="10A8CE16" w:rsidR="00E107C0" w:rsidRDefault="00FD69C2">
      <w:pPr>
        <w:pStyle w:val="JuPara"/>
      </w:pPr>
      <w:r>
        <w:fldChar w:fldCharType="begin"/>
      </w:r>
      <w:r>
        <w:instrText>SEQ level0 \* ARABIC</w:instrText>
      </w:r>
      <w:r>
        <w:fldChar w:fldCharType="separate"/>
      </w:r>
      <w:r>
        <w:t>48</w:t>
      </w:r>
      <w:r>
        <w:fldChar w:fldCharType="end"/>
      </w:r>
      <w:r>
        <w:t>.  Skarżący domagał się również kwoty</w:t>
      </w:r>
      <w:r w:rsidR="00A64C95">
        <w:t xml:space="preserve"> </w:t>
      </w:r>
      <w:r>
        <w:t>5 720 EUR tytułem kosztów i wydatków poniesionych przed sądami krajowymi i przed Trybunałem.</w:t>
      </w:r>
    </w:p>
    <w:p w14:paraId="03DB09AC" w14:textId="77777777" w:rsidR="00E107C0" w:rsidRDefault="00FD69C2">
      <w:pPr>
        <w:pStyle w:val="JuPara"/>
      </w:pPr>
      <w:r>
        <w:fldChar w:fldCharType="begin"/>
      </w:r>
      <w:r>
        <w:instrText>SEQ level0 \* ARABIC</w:instrText>
      </w:r>
      <w:r>
        <w:fldChar w:fldCharType="separate"/>
      </w:r>
      <w:r>
        <w:t>49</w:t>
      </w:r>
      <w:r>
        <w:fldChar w:fldCharType="end"/>
      </w:r>
      <w:r>
        <w:t>.  Rząd podniósł, że pomimo faktu, iż skarżący przedstawił pewne dokumenty na poparcie swojego roszczenia, żądana kwota jest wygórowana i częściowo nie ma związku z poniesioną szkodą.</w:t>
      </w:r>
    </w:p>
    <w:p w14:paraId="050ECC27" w14:textId="0CC3E0EA" w:rsidR="00E107C0" w:rsidRDefault="00FD69C2">
      <w:pPr>
        <w:pStyle w:val="JuPara"/>
      </w:pPr>
      <w:r>
        <w:fldChar w:fldCharType="begin"/>
      </w:r>
      <w:r>
        <w:instrText>SEQ level0 \* ARABIC</w:instrText>
      </w:r>
      <w:r>
        <w:fldChar w:fldCharType="separate"/>
      </w:r>
      <w:r>
        <w:t>50</w:t>
      </w:r>
      <w:r>
        <w:fldChar w:fldCharType="end"/>
      </w:r>
      <w:r>
        <w:t xml:space="preserve">.  Zgodnie z orzecznictwem Trybunału skarżącemu przysługuje prawo do zwrotu poniesionych kosztów i wydatków wówczas, kiedy wykazał, </w:t>
      </w:r>
      <w:r>
        <w:lastRenderedPageBreak/>
        <w:t>że</w:t>
      </w:r>
      <w:r w:rsidR="00A64C95">
        <w:t> </w:t>
      </w:r>
      <w:r>
        <w:t>były one rzeczywiście i koniecznie poniesione i są uzasadnione co</w:t>
      </w:r>
      <w:r w:rsidR="00A64C95">
        <w:t> </w:t>
      </w:r>
      <w:r>
        <w:t>do</w:t>
      </w:r>
      <w:r w:rsidR="00A64C95">
        <w:t> </w:t>
      </w:r>
      <w:r>
        <w:t>wysokości. W niniejszej sprawie, mając na uwadze posiadane dokumenty oraz powyższe kryteria, Trybunał uznaje za uzasadnione zasądzić całą dochodzoną kwotę tytułem zwrotu wszelkiego rodzaju kosztów.</w:t>
      </w:r>
    </w:p>
    <w:p w14:paraId="23BA9E48" w14:textId="77777777" w:rsidR="00E107C0" w:rsidRDefault="00FD69C2">
      <w:pPr>
        <w:pStyle w:val="JuHA0"/>
        <w:numPr>
          <w:ilvl w:val="2"/>
          <w:numId w:val="1"/>
        </w:numPr>
        <w:spacing w:before="280"/>
      </w:pPr>
      <w:r>
        <w:t>Odsetki za zwłokę</w:t>
      </w:r>
    </w:p>
    <w:p w14:paraId="4956E6C7" w14:textId="519832DE" w:rsidR="00E107C0" w:rsidRDefault="00FD69C2">
      <w:pPr>
        <w:pStyle w:val="JuPara"/>
      </w:pPr>
      <w:r>
        <w:fldChar w:fldCharType="begin"/>
      </w:r>
      <w:r>
        <w:instrText>SEQ level0 \* ARABIC</w:instrText>
      </w:r>
      <w:r>
        <w:fldChar w:fldCharType="separate"/>
      </w:r>
      <w:r>
        <w:t>51</w:t>
      </w:r>
      <w:r>
        <w:fldChar w:fldCharType="end"/>
      </w:r>
      <w:r>
        <w:t>.  Trybunał za słuszne uznaje wyznaczenie wysokości odsetek za</w:t>
      </w:r>
      <w:r w:rsidR="00425A98">
        <w:t> </w:t>
      </w:r>
      <w:r>
        <w:t>zwłokę na podstawie marginalnej stopy procentowej Europejskiego Banku Centralnego powiększonej o trzy punkty procentowe.</w:t>
      </w:r>
    </w:p>
    <w:p w14:paraId="25E04A18" w14:textId="77777777" w:rsidR="00E107C0" w:rsidRDefault="00FD69C2">
      <w:pPr>
        <w:pStyle w:val="JuHHead"/>
        <w:numPr>
          <w:ilvl w:val="0"/>
          <w:numId w:val="1"/>
        </w:numPr>
        <w:spacing w:before="280"/>
      </w:pPr>
      <w:r>
        <w:rPr>
          <w:bCs w:val="0"/>
        </w:rPr>
        <w:t>Z POWYŻSZYCH WZGLĘDÓW TRYBUNAŁ JEDNOGŁOŚNIE:</w:t>
      </w:r>
    </w:p>
    <w:p w14:paraId="2887407B" w14:textId="56E461E3" w:rsidR="00E107C0" w:rsidRDefault="00FD69C2">
      <w:pPr>
        <w:pStyle w:val="JuList"/>
        <w:numPr>
          <w:ilvl w:val="0"/>
          <w:numId w:val="2"/>
        </w:numPr>
      </w:pPr>
      <w:r>
        <w:rPr>
          <w:i/>
          <w:iCs/>
        </w:rPr>
        <w:t>postanawia</w:t>
      </w:r>
      <w:r>
        <w:t xml:space="preserve"> dołączyć do przedmiotu skargi zastrzeżenie wstępne Rządu dotyczące niewyczerpania krajowych środków odwoławczych z powodu domniemanego niespełnienia ustawowych wymogów roszczenia o odszkodowanie i </w:t>
      </w:r>
      <w:r>
        <w:rPr>
          <w:i/>
          <w:iCs/>
        </w:rPr>
        <w:t>oddala</w:t>
      </w:r>
      <w:r>
        <w:t xml:space="preserve"> to zastrzeżenie;</w:t>
      </w:r>
    </w:p>
    <w:p w14:paraId="67C16647" w14:textId="77777777" w:rsidR="00E107C0" w:rsidRDefault="00FD69C2">
      <w:pPr>
        <w:pStyle w:val="JuList"/>
        <w:numPr>
          <w:ilvl w:val="0"/>
          <w:numId w:val="2"/>
        </w:numPr>
      </w:pPr>
      <w:r>
        <w:rPr>
          <w:i/>
          <w:iCs/>
        </w:rPr>
        <w:t>uznaje</w:t>
      </w:r>
      <w:r>
        <w:t xml:space="preserve"> skargę za dopuszczalną;</w:t>
      </w:r>
    </w:p>
    <w:p w14:paraId="017DA975" w14:textId="77777777" w:rsidR="00E107C0" w:rsidRDefault="00FD69C2">
      <w:pPr>
        <w:pStyle w:val="JuList"/>
        <w:numPr>
          <w:ilvl w:val="0"/>
          <w:numId w:val="2"/>
        </w:numPr>
      </w:pPr>
      <w:r>
        <w:rPr>
          <w:i/>
          <w:iCs/>
        </w:rPr>
        <w:t>uznaje</w:t>
      </w:r>
      <w:r>
        <w:t>, że doszło do naruszenia art. 1 Protokołu nr 1 do Konwencji;</w:t>
      </w:r>
    </w:p>
    <w:p w14:paraId="4CDAA40D" w14:textId="77777777" w:rsidR="00E107C0" w:rsidRDefault="00FD69C2">
      <w:pPr>
        <w:pStyle w:val="JuList"/>
        <w:numPr>
          <w:ilvl w:val="0"/>
          <w:numId w:val="2"/>
        </w:numPr>
      </w:pPr>
      <w:r>
        <w:rPr>
          <w:i/>
          <w:iCs/>
        </w:rPr>
        <w:t>uznaje,</w:t>
      </w:r>
    </w:p>
    <w:p w14:paraId="7AD4698D" w14:textId="77777777" w:rsidR="00E107C0" w:rsidRDefault="00FD69C2">
      <w:pPr>
        <w:pStyle w:val="JuLista"/>
        <w:numPr>
          <w:ilvl w:val="1"/>
          <w:numId w:val="2"/>
        </w:numPr>
      </w:pPr>
      <w:r>
        <w:t xml:space="preserve">że pozwane państwo winno, w terminie trzech miesięcy od daty, w której niniejszy wyrok stanie się ostateczny zgodnie z art. 44 ust. 2 Konwencji, uiścić na rzecz skarżącego następujące kwoty, przeliczone na </w:t>
      </w:r>
      <w:r>
        <w:rPr>
          <w:color w:val="000000"/>
        </w:rPr>
        <w:t>walutę pozwanego państwa</w:t>
      </w:r>
      <w:r>
        <w:t xml:space="preserve"> według kursu obowiązującego w dniu płatności:</w:t>
      </w:r>
    </w:p>
    <w:p w14:paraId="41E241EE" w14:textId="77777777" w:rsidR="00E107C0" w:rsidRDefault="00FD69C2">
      <w:pPr>
        <w:pStyle w:val="JuListi"/>
        <w:numPr>
          <w:ilvl w:val="2"/>
          <w:numId w:val="2"/>
        </w:numPr>
      </w:pPr>
      <w:r>
        <w:t>14 600 EUR (czternaście tysięcy sześćset euro), plus wszelkie należne podatki, tytułem zadośćuczynienia za szkodę majątkową i niemajątkową;</w:t>
      </w:r>
    </w:p>
    <w:p w14:paraId="20081D1B" w14:textId="77777777" w:rsidR="00E107C0" w:rsidRDefault="00FD69C2">
      <w:pPr>
        <w:pStyle w:val="JuListi"/>
        <w:numPr>
          <w:ilvl w:val="2"/>
          <w:numId w:val="2"/>
        </w:numPr>
      </w:pPr>
      <w:r>
        <w:t>5 720 EUR (pięć tysięcy siedemset dwadzieścia euro), plus wszelkie należne podatki, tytułem poniesionych kosztów i wydatków;</w:t>
      </w:r>
    </w:p>
    <w:p w14:paraId="72515FE2" w14:textId="2616F8F4" w:rsidR="00E107C0" w:rsidRDefault="00FD69C2">
      <w:pPr>
        <w:pStyle w:val="JuLista"/>
        <w:numPr>
          <w:ilvl w:val="1"/>
          <w:numId w:val="2"/>
        </w:numPr>
      </w:pPr>
      <w:r>
        <w:t>że od upływu wyżej wskazanego terminu trzech miesięcy aż</w:t>
      </w:r>
      <w:r w:rsidR="00D80B27">
        <w:t> </w:t>
      </w:r>
      <w:r>
        <w:t>do</w:t>
      </w:r>
      <w:r w:rsidR="00D80B27">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36D86174" w14:textId="77777777" w:rsidR="00E107C0" w:rsidRDefault="00FD69C2">
      <w:pPr>
        <w:pStyle w:val="JuList"/>
        <w:numPr>
          <w:ilvl w:val="0"/>
          <w:numId w:val="2"/>
        </w:numPr>
      </w:pPr>
      <w:r>
        <w:rPr>
          <w:i/>
          <w:iCs/>
        </w:rPr>
        <w:t>oddala</w:t>
      </w:r>
      <w:r>
        <w:t xml:space="preserve"> pozostałą część roszczenia dotyczącą słusznego zadośćuczynienia.</w:t>
      </w:r>
    </w:p>
    <w:p w14:paraId="261F7ED3" w14:textId="77777777" w:rsidR="00E107C0" w:rsidRDefault="00FD69C2">
      <w:pPr>
        <w:pStyle w:val="JuParaLast"/>
      </w:pPr>
      <w:r>
        <w:lastRenderedPageBreak/>
        <w:t>Sporządzono w języku angielskim i obwieszczono pisemnie dnia 24 marca 2022 r., zgodnie z Regułą 77 §§ 2 i 3 Regulaminu Trybunału.</w:t>
      </w:r>
    </w:p>
    <w:p w14:paraId="21513CC5" w14:textId="5A5982C7" w:rsidR="00E107C0" w:rsidRDefault="00FD69C2">
      <w:pPr>
        <w:pStyle w:val="JuSigned"/>
      </w:pPr>
      <w:r>
        <w:tab/>
        <w:t>Liv Tigerstedt</w:t>
      </w:r>
      <w:r>
        <w:tab/>
        <w:t xml:space="preserve">Marko Bosnjak </w:t>
      </w:r>
      <w:r>
        <w:br/>
      </w:r>
      <w:r>
        <w:tab/>
        <w:t>Zastępc</w:t>
      </w:r>
      <w:r w:rsidR="00D80B27">
        <w:t>a</w:t>
      </w:r>
      <w:r>
        <w:t xml:space="preserve"> Kanclerza</w:t>
      </w:r>
      <w:r>
        <w:tab/>
        <w:t>Przewodniczący</w:t>
      </w:r>
    </w:p>
    <w:sectPr w:rsidR="00E107C0">
      <w:headerReference w:type="even" r:id="rId13"/>
      <w:headerReference w:type="default" r:id="rId14"/>
      <w:footerReference w:type="even" r:id="rId15"/>
      <w:footerReference w:type="default" r:id="rId16"/>
      <w:pgSz w:w="11906" w:h="16838"/>
      <w:pgMar w:top="2274" w:right="2274" w:bottom="2274" w:left="2274" w:header="1701"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366A3" w14:textId="77777777" w:rsidR="008D3052" w:rsidRDefault="008D3052">
      <w:r>
        <w:separator/>
      </w:r>
    </w:p>
  </w:endnote>
  <w:endnote w:type="continuationSeparator" w:id="0">
    <w:p w14:paraId="40F6D1DA" w14:textId="77777777" w:rsidR="008D3052" w:rsidRDefault="008D3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2C9EE" w14:textId="77777777" w:rsidR="00E107C0" w:rsidRDefault="00FD69C2">
    <w:pPr>
      <w:jc w:val="center"/>
    </w:pPr>
    <w:r>
      <w:rPr>
        <w:noProof/>
      </w:rPr>
      <w:drawing>
        <wp:inline distT="0" distB="0" distL="0" distR="0" wp14:anchorId="460F0FFE" wp14:editId="4AE5534C">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00C97B38" w14:textId="77777777" w:rsidR="00E107C0" w:rsidRDefault="00E107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770509"/>
      <w:docPartObj>
        <w:docPartGallery w:val="Page Numbers (Bottom of Page)"/>
        <w:docPartUnique/>
      </w:docPartObj>
    </w:sdtPr>
    <w:sdtEndPr/>
    <w:sdtContent>
      <w:p w14:paraId="456FD2C0" w14:textId="77777777" w:rsidR="00E107C0" w:rsidRDefault="00FD69C2">
        <w:pPr>
          <w:pStyle w:val="Stopka"/>
          <w:jc w:val="center"/>
        </w:pPr>
        <w:r>
          <w:rPr>
            <w:sz w:val="18"/>
            <w:szCs w:val="18"/>
          </w:rPr>
          <w:fldChar w:fldCharType="begin"/>
        </w:r>
        <w:r>
          <w:rPr>
            <w:sz w:val="18"/>
            <w:szCs w:val="18"/>
          </w:rPr>
          <w:instrText>PAGE</w:instrText>
        </w:r>
        <w:r>
          <w:rPr>
            <w:sz w:val="18"/>
            <w:szCs w:val="18"/>
          </w:rPr>
          <w:fldChar w:fldCharType="separate"/>
        </w:r>
        <w:r>
          <w:rPr>
            <w:sz w:val="18"/>
            <w:szCs w:val="18"/>
          </w:rPr>
          <w:t>12</w:t>
        </w:r>
        <w:r>
          <w:rPr>
            <w:sz w:val="18"/>
            <w:szCs w:val="18"/>
          </w:rPr>
          <w:fldChar w:fldCharType="end"/>
        </w:r>
      </w:p>
    </w:sdtContent>
  </w:sdt>
  <w:p w14:paraId="6DF4EDA2" w14:textId="77777777" w:rsidR="00E107C0" w:rsidRDefault="00E107C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374890"/>
      <w:docPartObj>
        <w:docPartGallery w:val="Page Numbers (Bottom of Page)"/>
        <w:docPartUnique/>
      </w:docPartObj>
    </w:sdtPr>
    <w:sdtEndPr/>
    <w:sdtContent>
      <w:p w14:paraId="7917C586" w14:textId="77777777" w:rsidR="00E107C0" w:rsidRDefault="00FD69C2">
        <w:pPr>
          <w:pStyle w:val="Stopka"/>
          <w:jc w:val="center"/>
        </w:pPr>
        <w:r>
          <w:rPr>
            <w:sz w:val="18"/>
            <w:szCs w:val="18"/>
          </w:rPr>
          <w:fldChar w:fldCharType="begin"/>
        </w:r>
        <w:r>
          <w:rPr>
            <w:sz w:val="18"/>
            <w:szCs w:val="18"/>
          </w:rPr>
          <w:instrText>PAGE</w:instrText>
        </w:r>
        <w:r>
          <w:rPr>
            <w:sz w:val="18"/>
            <w:szCs w:val="18"/>
          </w:rPr>
          <w:fldChar w:fldCharType="separate"/>
        </w:r>
        <w:r>
          <w:rPr>
            <w:sz w:val="18"/>
            <w:szCs w:val="18"/>
          </w:rPr>
          <w:t>11</w:t>
        </w:r>
        <w:r>
          <w:rPr>
            <w:sz w:val="18"/>
            <w:szCs w:val="18"/>
          </w:rPr>
          <w:fldChar w:fldCharType="end"/>
        </w:r>
      </w:p>
    </w:sdtContent>
  </w:sdt>
  <w:p w14:paraId="2001AE80" w14:textId="77777777" w:rsidR="00E107C0" w:rsidRDefault="00E107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B0E3E" w14:textId="77777777" w:rsidR="008D3052" w:rsidRDefault="008D3052">
      <w:r>
        <w:separator/>
      </w:r>
    </w:p>
  </w:footnote>
  <w:footnote w:type="continuationSeparator" w:id="0">
    <w:p w14:paraId="0A23D76E" w14:textId="77777777" w:rsidR="008D3052" w:rsidRDefault="008D3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F4945" w14:textId="77777777" w:rsidR="00E107C0" w:rsidRDefault="00FD69C2">
    <w:pPr>
      <w:jc w:val="center"/>
    </w:pPr>
    <w:r>
      <w:rPr>
        <w:noProof/>
      </w:rPr>
      <w:drawing>
        <wp:inline distT="0" distB="0" distL="0" distR="0" wp14:anchorId="68E8E443" wp14:editId="4989C9C9">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4C7A8760" w14:textId="77777777" w:rsidR="00E107C0" w:rsidRDefault="00E107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C6FE3" w14:textId="77777777" w:rsidR="00E107C0" w:rsidRDefault="00FD69C2">
    <w:pPr>
      <w:pStyle w:val="JuHeader"/>
    </w:pPr>
    <w:r>
      <w:t>WYROK W SPRAWIE WYSZYŃSKI PRZECIWKO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0468" w14:textId="77777777" w:rsidR="00E107C0" w:rsidRDefault="00FD69C2">
    <w:pPr>
      <w:pStyle w:val="JuHeader"/>
    </w:pPr>
    <w:r>
      <w:t>WYROK W SPRAWIE WYSZYŃSKI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B0B7B"/>
    <w:multiLevelType w:val="multilevel"/>
    <w:tmpl w:val="2DAED4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557642"/>
    <w:multiLevelType w:val="multilevel"/>
    <w:tmpl w:val="311C6DDC"/>
    <w:lvl w:ilvl="0">
      <w:start w:val="1"/>
      <w:numFmt w:val="decimal"/>
      <w:lvlText w:val="%1."/>
      <w:lvlJc w:val="left"/>
      <w:pPr>
        <w:tabs>
          <w:tab w:val="num" w:pos="340"/>
        </w:tabs>
        <w:ind w:left="340" w:hanging="340"/>
      </w:pPr>
    </w:lvl>
    <w:lvl w:ilvl="1">
      <w:start w:val="1"/>
      <w:numFmt w:val="lowerLetter"/>
      <w:lvlText w:val="(%2)"/>
      <w:lvlJc w:val="left"/>
      <w:pPr>
        <w:tabs>
          <w:tab w:val="num" w:pos="680"/>
        </w:tabs>
        <w:ind w:left="680" w:hanging="340"/>
      </w:pPr>
    </w:lvl>
    <w:lvl w:ilvl="2">
      <w:start w:val="1"/>
      <w:numFmt w:val="lowerRoman"/>
      <w:suff w:val="space"/>
      <w:lvlText w:val="(%3)"/>
      <w:lvlJc w:val="left"/>
      <w:pPr>
        <w:tabs>
          <w:tab w:val="num" w:pos="0"/>
        </w:tabs>
        <w:ind w:left="1021" w:hanging="341"/>
      </w:pPr>
    </w:lvl>
    <w:lvl w:ilvl="3">
      <w:start w:val="1"/>
      <w:numFmt w:val="decimal"/>
      <w:lvlText w:val="(%4)"/>
      <w:lvlJc w:val="left"/>
      <w:pPr>
        <w:tabs>
          <w:tab w:val="num" w:pos="1800"/>
        </w:tabs>
        <w:ind w:left="1440" w:hanging="360"/>
      </w:pPr>
    </w:lvl>
    <w:lvl w:ilvl="4">
      <w:start w:val="1"/>
      <w:numFmt w:val="lowerLetter"/>
      <w:lvlText w:val="(%5)"/>
      <w:lvlJc w:val="left"/>
      <w:pPr>
        <w:tabs>
          <w:tab w:val="num" w:pos="216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880"/>
        </w:tabs>
        <w:ind w:left="2520" w:hanging="360"/>
      </w:pPr>
    </w:lvl>
    <w:lvl w:ilvl="7">
      <w:start w:val="1"/>
      <w:numFmt w:val="lowerLetter"/>
      <w:lvlText w:val="%8."/>
      <w:lvlJc w:val="left"/>
      <w:pPr>
        <w:tabs>
          <w:tab w:val="num" w:pos="3240"/>
        </w:tabs>
        <w:ind w:left="2880" w:hanging="360"/>
      </w:pPr>
    </w:lvl>
    <w:lvl w:ilvl="8">
      <w:start w:val="1"/>
      <w:numFmt w:val="lowerRoman"/>
      <w:lvlText w:val="%9."/>
      <w:lvlJc w:val="left"/>
      <w:pPr>
        <w:tabs>
          <w:tab w:val="num" w:pos="3600"/>
        </w:tabs>
        <w:ind w:left="3240" w:hanging="360"/>
      </w:pPr>
    </w:lvl>
  </w:abstractNum>
  <w:abstractNum w:abstractNumId="2" w15:restartNumberingAfterBreak="0">
    <w:nsid w:val="0F705D56"/>
    <w:multiLevelType w:val="multilevel"/>
    <w:tmpl w:val="0B24DBC0"/>
    <w:lvl w:ilvl="0">
      <w:start w:val="1"/>
      <w:numFmt w:val="none"/>
      <w:suff w:val="nothing"/>
      <w:lvlText w:val=""/>
      <w:lvlJc w:val="left"/>
      <w:pPr>
        <w:tabs>
          <w:tab w:val="num" w:pos="0"/>
        </w:tabs>
        <w:ind w:left="0" w:firstLine="0"/>
      </w:pPr>
    </w:lvl>
    <w:lvl w:ilvl="1">
      <w:start w:val="1"/>
      <w:numFmt w:val="upperRoman"/>
      <w:lvlText w:val="%2."/>
      <w:lvlJc w:val="left"/>
      <w:pPr>
        <w:tabs>
          <w:tab w:val="num" w:pos="1080"/>
        </w:tabs>
        <w:ind w:left="369" w:hanging="369"/>
      </w:pPr>
    </w:lvl>
    <w:lvl w:ilvl="2">
      <w:start w:val="1"/>
      <w:numFmt w:val="upperLetter"/>
      <w:lvlText w:val="%3."/>
      <w:lvlJc w:val="left"/>
      <w:pPr>
        <w:tabs>
          <w:tab w:val="num" w:pos="1440"/>
        </w:tabs>
        <w:ind w:left="510" w:hanging="340"/>
      </w:pPr>
    </w:lvl>
    <w:lvl w:ilvl="3">
      <w:start w:val="1"/>
      <w:numFmt w:val="decimal"/>
      <w:lvlText w:val="%4."/>
      <w:lvlJc w:val="left"/>
      <w:pPr>
        <w:tabs>
          <w:tab w:val="num" w:pos="1800"/>
        </w:tabs>
        <w:ind w:left="680" w:hanging="340"/>
      </w:pPr>
    </w:lvl>
    <w:lvl w:ilvl="4">
      <w:start w:val="1"/>
      <w:numFmt w:val="lowerLetter"/>
      <w:lvlText w:val="(%5)"/>
      <w:lvlJc w:val="left"/>
      <w:pPr>
        <w:tabs>
          <w:tab w:val="num" w:pos="2160"/>
        </w:tabs>
        <w:ind w:left="851" w:hanging="341"/>
      </w:pPr>
    </w:lvl>
    <w:lvl w:ilvl="5">
      <w:start w:val="1"/>
      <w:numFmt w:val="lowerRoman"/>
      <w:lvlText w:val="(%6)"/>
      <w:lvlJc w:val="left"/>
      <w:pPr>
        <w:tabs>
          <w:tab w:val="num" w:pos="2520"/>
        </w:tabs>
        <w:ind w:left="1021" w:hanging="341"/>
      </w:pPr>
    </w:lvl>
    <w:lvl w:ilvl="6">
      <w:start w:val="1"/>
      <w:numFmt w:val="decimal"/>
      <w:lvlText w:val="(%7)"/>
      <w:lvlJc w:val="left"/>
      <w:pPr>
        <w:tabs>
          <w:tab w:val="num" w:pos="2880"/>
        </w:tabs>
        <w:ind w:left="1247" w:hanging="396"/>
      </w:pPr>
      <w:rPr>
        <w:b w:val="0"/>
        <w:i w:val="0"/>
      </w:rPr>
    </w:lvl>
    <w:lvl w:ilvl="7">
      <w:start w:val="1"/>
      <w:numFmt w:val="bullet"/>
      <w:lvlText w:val="‒"/>
      <w:lvlJc w:val="left"/>
      <w:pPr>
        <w:tabs>
          <w:tab w:val="num" w:pos="3240"/>
        </w:tabs>
        <w:ind w:left="1247" w:hanging="226"/>
      </w:pPr>
      <w:rPr>
        <w:rFonts w:ascii="Times New Roman" w:hAnsi="Times New Roman" w:cs="Times New Roman" w:hint="default"/>
      </w:rPr>
    </w:lvl>
    <w:lvl w:ilvl="8">
      <w:start w:val="1"/>
      <w:numFmt w:val="bullet"/>
      <w:lvlText w:val="▪"/>
      <w:lvlJc w:val="left"/>
      <w:pPr>
        <w:tabs>
          <w:tab w:val="num" w:pos="3600"/>
        </w:tabs>
        <w:ind w:left="1361" w:hanging="170"/>
      </w:pPr>
      <w:rPr>
        <w:rFonts w:ascii="Times New Roman" w:hAnsi="Times New Roman"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C0"/>
    <w:rsid w:val="000210C3"/>
    <w:rsid w:val="00054F81"/>
    <w:rsid w:val="000A0535"/>
    <w:rsid w:val="000C0002"/>
    <w:rsid w:val="00135FCC"/>
    <w:rsid w:val="001E5BB2"/>
    <w:rsid w:val="002302B5"/>
    <w:rsid w:val="00276DB2"/>
    <w:rsid w:val="003C33CF"/>
    <w:rsid w:val="0042258C"/>
    <w:rsid w:val="00425A98"/>
    <w:rsid w:val="0043650C"/>
    <w:rsid w:val="0045389D"/>
    <w:rsid w:val="00483F8D"/>
    <w:rsid w:val="00494942"/>
    <w:rsid w:val="005168E5"/>
    <w:rsid w:val="005259DF"/>
    <w:rsid w:val="005633D2"/>
    <w:rsid w:val="00612C75"/>
    <w:rsid w:val="006F23E8"/>
    <w:rsid w:val="007048CF"/>
    <w:rsid w:val="007231C2"/>
    <w:rsid w:val="00767AF7"/>
    <w:rsid w:val="008110C9"/>
    <w:rsid w:val="008D3052"/>
    <w:rsid w:val="009722FD"/>
    <w:rsid w:val="009E13F7"/>
    <w:rsid w:val="00A21150"/>
    <w:rsid w:val="00A5423F"/>
    <w:rsid w:val="00A60837"/>
    <w:rsid w:val="00A64C95"/>
    <w:rsid w:val="00B41CCD"/>
    <w:rsid w:val="00B55304"/>
    <w:rsid w:val="00BC3C7B"/>
    <w:rsid w:val="00BF61CF"/>
    <w:rsid w:val="00CF3049"/>
    <w:rsid w:val="00D31D50"/>
    <w:rsid w:val="00D80B27"/>
    <w:rsid w:val="00E107C0"/>
    <w:rsid w:val="00E74EAF"/>
    <w:rsid w:val="00E87F3F"/>
    <w:rsid w:val="00FD69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E1F8"/>
  <w15:docId w15:val="{050C8C6C-D139-499F-BE42-9611BF87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qFormat/>
    <w:rsid w:val="00EE7416"/>
    <w:rPr>
      <w:sz w:val="24"/>
      <w:szCs w:val="24"/>
    </w:rPr>
  </w:style>
  <w:style w:type="paragraph" w:styleId="Nagwek1">
    <w:name w:val="heading 1"/>
    <w:basedOn w:val="Normalny"/>
    <w:next w:val="Normalny"/>
    <w:link w:val="Nagwek1Znak"/>
    <w:uiPriority w:val="98"/>
    <w:semiHidden/>
    <w:qFormat/>
    <w:rsid w:val="00D035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qFormat/>
    <w:rsid w:val="00D035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qFormat/>
    <w:rsid w:val="00D0355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qFormat/>
    <w:rsid w:val="00D0355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0355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qFormat/>
    <w:rsid w:val="00D0355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0355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035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035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8"/>
    <w:semiHidden/>
    <w:qFormat/>
    <w:rsid w:val="00D03556"/>
    <w:rPr>
      <w:rFonts w:ascii="Tahoma" w:hAnsi="Tahoma" w:cs="Tahoma"/>
      <w:sz w:val="16"/>
      <w:szCs w:val="16"/>
    </w:rPr>
  </w:style>
  <w:style w:type="character" w:styleId="Tytuksiki">
    <w:name w:val="Book Title"/>
    <w:uiPriority w:val="98"/>
    <w:semiHidden/>
    <w:qFormat/>
    <w:rsid w:val="00D03556"/>
    <w:rPr>
      <w:i/>
      <w:iCs/>
      <w:smallCaps/>
      <w:spacing w:val="5"/>
    </w:rPr>
  </w:style>
  <w:style w:type="character" w:styleId="Pogrubienie">
    <w:name w:val="Strong"/>
    <w:uiPriority w:val="98"/>
    <w:semiHidden/>
    <w:qFormat/>
    <w:rsid w:val="00D03556"/>
    <w:rPr>
      <w:b/>
      <w:bCs/>
    </w:rPr>
  </w:style>
  <w:style w:type="character" w:customStyle="1" w:styleId="BezodstpwZnak">
    <w:name w:val="Bez odstępów Znak"/>
    <w:basedOn w:val="Domylnaczcionkaakapitu"/>
    <w:link w:val="Bezodstpw"/>
    <w:uiPriority w:val="98"/>
    <w:semiHidden/>
    <w:qFormat/>
    <w:rsid w:val="00D03556"/>
    <w:rPr>
      <w:sz w:val="24"/>
      <w:szCs w:val="24"/>
    </w:rPr>
  </w:style>
  <w:style w:type="character" w:customStyle="1" w:styleId="TytuZnak">
    <w:name w:val="Tytuł Znak"/>
    <w:basedOn w:val="Domylnaczcionkaakapitu"/>
    <w:link w:val="Tytu"/>
    <w:uiPriority w:val="98"/>
    <w:semiHidden/>
    <w:qFormat/>
    <w:rsid w:val="00D03556"/>
    <w:rPr>
      <w:rFonts w:asciiTheme="majorHAnsi" w:eastAsiaTheme="majorEastAsia" w:hAnsiTheme="majorHAnsi" w:cstheme="majorBidi"/>
      <w:spacing w:val="5"/>
      <w:sz w:val="52"/>
      <w:szCs w:val="52"/>
      <w:lang w:bidi="en-US"/>
    </w:rPr>
  </w:style>
  <w:style w:type="character" w:customStyle="1" w:styleId="ECHRDivisionNameChar">
    <w:name w:val="ECHR_DivisionName Char"/>
    <w:basedOn w:val="Domylnaczcionkaakapitu"/>
    <w:link w:val="ECHRDivisionName"/>
    <w:uiPriority w:val="41"/>
    <w:semiHidden/>
    <w:qFormat/>
    <w:rsid w:val="00D03556"/>
    <w:rPr>
      <w:rFonts w:ascii="Arial" w:hAnsi="Arial"/>
      <w:i/>
      <w:color w:val="002856"/>
      <w:sz w:val="32"/>
      <w:szCs w:val="24"/>
    </w:rPr>
  </w:style>
  <w:style w:type="character" w:customStyle="1" w:styleId="NagwekZnak">
    <w:name w:val="Nagłówek Znak"/>
    <w:basedOn w:val="Domylnaczcionkaakapitu"/>
    <w:link w:val="Nagwek10"/>
    <w:uiPriority w:val="98"/>
    <w:semiHidden/>
    <w:qFormat/>
    <w:rsid w:val="00D03556"/>
    <w:rPr>
      <w:sz w:val="24"/>
      <w:szCs w:val="24"/>
    </w:rPr>
  </w:style>
  <w:style w:type="character" w:customStyle="1" w:styleId="Nagwek1Znak">
    <w:name w:val="Nagłówek 1 Znak"/>
    <w:basedOn w:val="Domylnaczcionkaakapitu"/>
    <w:link w:val="Nagwek1"/>
    <w:uiPriority w:val="98"/>
    <w:semiHidden/>
    <w:qFormat/>
    <w:rsid w:val="00D03556"/>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8"/>
    <w:semiHidden/>
    <w:qFormat/>
    <w:rsid w:val="00D03556"/>
    <w:rPr>
      <w:rFonts w:asciiTheme="majorHAnsi" w:eastAsiaTheme="majorEastAsia" w:hAnsiTheme="majorHAnsi" w:cstheme="majorBidi"/>
      <w:b/>
      <w:bCs/>
      <w:color w:val="4D4D4D"/>
      <w:sz w:val="26"/>
      <w:szCs w:val="26"/>
    </w:rPr>
  </w:style>
  <w:style w:type="character" w:customStyle="1" w:styleId="JUNAMES">
    <w:name w:val="JU_NAMES"/>
    <w:uiPriority w:val="33"/>
    <w:qFormat/>
    <w:rsid w:val="00D03556"/>
    <w:rPr>
      <w:smallCaps/>
    </w:rPr>
  </w:style>
  <w:style w:type="character" w:customStyle="1" w:styleId="Nagwek3Znak">
    <w:name w:val="Nagłówek 3 Znak"/>
    <w:basedOn w:val="Domylnaczcionkaakapitu"/>
    <w:link w:val="Nagwek3"/>
    <w:uiPriority w:val="98"/>
    <w:semiHidden/>
    <w:qFormat/>
    <w:rsid w:val="00D03556"/>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8"/>
    <w:semiHidden/>
    <w:qFormat/>
    <w:rsid w:val="00D03556"/>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8"/>
    <w:semiHidden/>
    <w:qFormat/>
    <w:rsid w:val="00D03556"/>
    <w:rPr>
      <w:rFonts w:asciiTheme="majorHAnsi" w:eastAsiaTheme="majorEastAsia" w:hAnsiTheme="majorHAnsi" w:cstheme="majorBidi"/>
      <w:b/>
      <w:bCs/>
      <w:color w:val="808080"/>
    </w:rPr>
  </w:style>
  <w:style w:type="character" w:styleId="Wyrnieniedelikatne">
    <w:name w:val="Subtle Emphasis"/>
    <w:uiPriority w:val="98"/>
    <w:semiHidden/>
    <w:qFormat/>
    <w:rsid w:val="00D03556"/>
    <w:rPr>
      <w:i/>
      <w:iCs/>
    </w:rPr>
  </w:style>
  <w:style w:type="character" w:customStyle="1" w:styleId="Wyrnienie">
    <w:name w:val="Wyróżnienie"/>
    <w:uiPriority w:val="98"/>
    <w:semiHidden/>
    <w:qFormat/>
    <w:rsid w:val="00D03556"/>
    <w:rPr>
      <w:b/>
      <w:bCs/>
      <w:i/>
      <w:iCs/>
      <w:spacing w:val="10"/>
      <w:shd w:val="clear" w:color="auto" w:fill="auto"/>
    </w:rPr>
  </w:style>
  <w:style w:type="character" w:customStyle="1" w:styleId="StopkaZnak">
    <w:name w:val="Stopka Znak"/>
    <w:basedOn w:val="Domylnaczcionkaakapitu"/>
    <w:link w:val="Stopka"/>
    <w:uiPriority w:val="98"/>
    <w:semiHidden/>
    <w:qFormat/>
    <w:rsid w:val="00D03556"/>
    <w:rPr>
      <w:sz w:val="24"/>
      <w:szCs w:val="24"/>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8"/>
    <w:semiHidden/>
    <w:qFormat/>
    <w:rsid w:val="00D03556"/>
    <w:rPr>
      <w:vertAlign w:val="superscript"/>
    </w:rPr>
  </w:style>
  <w:style w:type="character" w:customStyle="1" w:styleId="TekstprzypisudolnegoZnak">
    <w:name w:val="Tekst przypisu dolnego Znak"/>
    <w:basedOn w:val="Domylnaczcionkaakapitu"/>
    <w:link w:val="Tekstprzypisudolnego"/>
    <w:uiPriority w:val="98"/>
    <w:semiHidden/>
    <w:qFormat/>
    <w:rsid w:val="00D03556"/>
    <w:rPr>
      <w:sz w:val="20"/>
      <w:szCs w:val="20"/>
    </w:rPr>
  </w:style>
  <w:style w:type="character" w:customStyle="1" w:styleId="Nagwek6Znak">
    <w:name w:val="Nagłówek 6 Znak"/>
    <w:basedOn w:val="Domylnaczcionkaakapitu"/>
    <w:link w:val="Nagwek6"/>
    <w:uiPriority w:val="98"/>
    <w:semiHidden/>
    <w:qFormat/>
    <w:rsid w:val="00D03556"/>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8"/>
    <w:semiHidden/>
    <w:qFormat/>
    <w:rsid w:val="00D035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8"/>
    <w:semiHidden/>
    <w:qFormat/>
    <w:rsid w:val="00D035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8"/>
    <w:semiHidden/>
    <w:qFormat/>
    <w:rsid w:val="00D03556"/>
    <w:rPr>
      <w:rFonts w:asciiTheme="majorHAnsi" w:eastAsiaTheme="majorEastAsia" w:hAnsiTheme="majorHAnsi" w:cstheme="majorBidi"/>
      <w:i/>
      <w:iCs/>
      <w:spacing w:val="5"/>
      <w:sz w:val="20"/>
      <w:szCs w:val="20"/>
      <w:lang w:bidi="en-US"/>
    </w:rPr>
  </w:style>
  <w:style w:type="character" w:customStyle="1" w:styleId="czeinternetowe">
    <w:name w:val="Łącze internetowe"/>
    <w:basedOn w:val="Domylnaczcionkaakapitu"/>
    <w:uiPriority w:val="98"/>
    <w:semiHidden/>
    <w:rsid w:val="00D03556"/>
    <w:rPr>
      <w:color w:val="0072BC" w:themeColor="hyperlink"/>
      <w:u w:val="single"/>
    </w:rPr>
  </w:style>
  <w:style w:type="character" w:styleId="Wyrnienieintensywne">
    <w:name w:val="Intense Emphasis"/>
    <w:uiPriority w:val="98"/>
    <w:semiHidden/>
    <w:qFormat/>
    <w:rsid w:val="00D03556"/>
    <w:rPr>
      <w:b/>
      <w:bCs/>
    </w:rPr>
  </w:style>
  <w:style w:type="character" w:customStyle="1" w:styleId="CytatintensywnyZnak">
    <w:name w:val="Cytat intensywny Znak"/>
    <w:basedOn w:val="Domylnaczcionkaakapitu"/>
    <w:link w:val="Cytatintensywny"/>
    <w:uiPriority w:val="98"/>
    <w:semiHidden/>
    <w:qFormat/>
    <w:rsid w:val="00D03556"/>
    <w:rPr>
      <w:b/>
      <w:bCs/>
      <w:i/>
      <w:iCs/>
      <w:sz w:val="24"/>
      <w:szCs w:val="24"/>
      <w:lang w:bidi="en-US"/>
    </w:rPr>
  </w:style>
  <w:style w:type="character" w:styleId="Odwoanieintensywne">
    <w:name w:val="Intense Reference"/>
    <w:uiPriority w:val="98"/>
    <w:semiHidden/>
    <w:qFormat/>
    <w:rsid w:val="00D03556"/>
    <w:rPr>
      <w:smallCaps/>
      <w:spacing w:val="5"/>
      <w:u w:val="single"/>
    </w:rPr>
  </w:style>
  <w:style w:type="character" w:customStyle="1" w:styleId="CytatZnak">
    <w:name w:val="Cytat Znak"/>
    <w:basedOn w:val="Domylnaczcionkaakapitu"/>
    <w:link w:val="Cytat"/>
    <w:uiPriority w:val="98"/>
    <w:semiHidden/>
    <w:qFormat/>
    <w:rsid w:val="00D03556"/>
    <w:rPr>
      <w:i/>
      <w:iCs/>
      <w:sz w:val="24"/>
      <w:szCs w:val="24"/>
      <w:lang w:bidi="en-US"/>
    </w:rPr>
  </w:style>
  <w:style w:type="character" w:styleId="Odwoaniedelikatne">
    <w:name w:val="Subtle Reference"/>
    <w:uiPriority w:val="98"/>
    <w:semiHidden/>
    <w:qFormat/>
    <w:rsid w:val="00D03556"/>
    <w:rPr>
      <w:smallCaps/>
    </w:rPr>
  </w:style>
  <w:style w:type="character" w:styleId="Numerstrony">
    <w:name w:val="page number"/>
    <w:uiPriority w:val="98"/>
    <w:semiHidden/>
    <w:qFormat/>
    <w:rsid w:val="00D03556"/>
    <w:rPr>
      <w:sz w:val="18"/>
    </w:rPr>
  </w:style>
  <w:style w:type="character" w:styleId="Odwoaniedokomentarza">
    <w:name w:val="annotation reference"/>
    <w:basedOn w:val="Domylnaczcionkaakapitu"/>
    <w:uiPriority w:val="98"/>
    <w:semiHidden/>
    <w:qFormat/>
    <w:rsid w:val="00D03556"/>
    <w:rPr>
      <w:sz w:val="16"/>
      <w:szCs w:val="16"/>
    </w:rPr>
  </w:style>
  <w:style w:type="character" w:customStyle="1" w:styleId="TekstkomentarzaZnak">
    <w:name w:val="Tekst komentarza Znak"/>
    <w:basedOn w:val="Domylnaczcionkaakapitu"/>
    <w:link w:val="Tekstkomentarza"/>
    <w:uiPriority w:val="98"/>
    <w:semiHidden/>
    <w:qFormat/>
    <w:rsid w:val="00D03556"/>
    <w:rPr>
      <w:sz w:val="20"/>
      <w:szCs w:val="20"/>
    </w:rPr>
  </w:style>
  <w:style w:type="character" w:customStyle="1" w:styleId="TematkomentarzaZnak">
    <w:name w:val="Temat komentarza Znak"/>
    <w:basedOn w:val="TekstkomentarzaZnak"/>
    <w:link w:val="Tematkomentarza"/>
    <w:uiPriority w:val="98"/>
    <w:semiHidden/>
    <w:qFormat/>
    <w:rsid w:val="00D03556"/>
    <w:rPr>
      <w:b/>
      <w:bCs/>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8"/>
    <w:semiHidden/>
    <w:qFormat/>
    <w:rsid w:val="00D03556"/>
    <w:rPr>
      <w:vertAlign w:val="superscript"/>
    </w:rPr>
  </w:style>
  <w:style w:type="character" w:customStyle="1" w:styleId="TekstprzypisukocowegoZnak">
    <w:name w:val="Tekst przypisu końcowego Znak"/>
    <w:basedOn w:val="Domylnaczcionkaakapitu"/>
    <w:link w:val="Tekstprzypisukocowego"/>
    <w:uiPriority w:val="98"/>
    <w:semiHidden/>
    <w:qFormat/>
    <w:rsid w:val="00D03556"/>
    <w:rPr>
      <w:sz w:val="20"/>
      <w:szCs w:val="20"/>
    </w:rPr>
  </w:style>
  <w:style w:type="character" w:customStyle="1" w:styleId="Odwiedzoneczeinternetowe">
    <w:name w:val="Odwiedzone łącze internetowe"/>
    <w:basedOn w:val="Domylnaczcionkaakapitu"/>
    <w:uiPriority w:val="98"/>
    <w:semiHidden/>
    <w:rsid w:val="00D03556"/>
    <w:rPr>
      <w:color w:val="7030A0" w:themeColor="followedHyperlink"/>
      <w:u w:val="single"/>
    </w:rPr>
  </w:style>
  <w:style w:type="character" w:customStyle="1" w:styleId="MapadokumentuZnak">
    <w:name w:val="Mapa dokumentu Znak"/>
    <w:basedOn w:val="Domylnaczcionkaakapitu"/>
    <w:link w:val="Mapadokumentu"/>
    <w:uiPriority w:val="98"/>
    <w:semiHidden/>
    <w:qFormat/>
    <w:rsid w:val="00D03556"/>
    <w:rPr>
      <w:rFonts w:ascii="Tahoma" w:hAnsi="Tahoma" w:cs="Tahoma"/>
      <w:sz w:val="16"/>
      <w:szCs w:val="16"/>
    </w:rPr>
  </w:style>
  <w:style w:type="character" w:customStyle="1" w:styleId="JuNames0">
    <w:name w:val="Ju_Names"/>
    <w:qFormat/>
    <w:rsid w:val="00014566"/>
    <w:rPr>
      <w:smallCaps/>
    </w:rPr>
  </w:style>
  <w:style w:type="character" w:customStyle="1" w:styleId="JuITMark">
    <w:name w:val="Ju_ITMark"/>
    <w:basedOn w:val="Domylnaczcionkaakapitu"/>
    <w:uiPriority w:val="54"/>
    <w:qFormat/>
    <w:rsid w:val="00D03556"/>
    <w:rPr>
      <w:vanish w:val="0"/>
      <w:color w:val="000000"/>
      <w:sz w:val="14"/>
      <w:shd w:val="clear" w:color="auto" w:fill="BEE5FF"/>
    </w:rPr>
  </w:style>
  <w:style w:type="character" w:customStyle="1" w:styleId="PodtytuZnak">
    <w:name w:val="Podtytuł Znak"/>
    <w:basedOn w:val="Domylnaczcionkaakapitu"/>
    <w:link w:val="Podtytu"/>
    <w:uiPriority w:val="98"/>
    <w:semiHidden/>
    <w:qFormat/>
    <w:rsid w:val="00D03556"/>
    <w:rPr>
      <w:rFonts w:asciiTheme="majorHAnsi" w:eastAsiaTheme="majorEastAsia" w:hAnsiTheme="majorHAnsi" w:cstheme="majorBidi"/>
      <w:i/>
      <w:iCs/>
      <w:spacing w:val="13"/>
      <w:sz w:val="24"/>
      <w:szCs w:val="24"/>
      <w:lang w:bidi="en-US"/>
    </w:rPr>
  </w:style>
  <w:style w:type="character" w:customStyle="1" w:styleId="TekstpodstawowyZnak">
    <w:name w:val="Tekst podstawowy Znak"/>
    <w:basedOn w:val="Domylnaczcionkaakapitu"/>
    <w:link w:val="Tekstpodstawowy"/>
    <w:uiPriority w:val="98"/>
    <w:semiHidden/>
    <w:qFormat/>
    <w:rsid w:val="00D03556"/>
    <w:rPr>
      <w:sz w:val="24"/>
      <w:szCs w:val="24"/>
    </w:rPr>
  </w:style>
  <w:style w:type="character" w:customStyle="1" w:styleId="Tekstpodstawowy2Znak">
    <w:name w:val="Tekst podstawowy 2 Znak"/>
    <w:basedOn w:val="Domylnaczcionkaakapitu"/>
    <w:link w:val="Tekstpodstawowy2"/>
    <w:uiPriority w:val="98"/>
    <w:semiHidden/>
    <w:qFormat/>
    <w:rsid w:val="00D03556"/>
    <w:rPr>
      <w:sz w:val="24"/>
      <w:szCs w:val="24"/>
    </w:rPr>
  </w:style>
  <w:style w:type="character" w:customStyle="1" w:styleId="Tekstpodstawowy3Znak">
    <w:name w:val="Tekst podstawowy 3 Znak"/>
    <w:basedOn w:val="Domylnaczcionkaakapitu"/>
    <w:link w:val="Tekstpodstawowy3"/>
    <w:uiPriority w:val="98"/>
    <w:semiHidden/>
    <w:qFormat/>
    <w:rsid w:val="00D03556"/>
    <w:rPr>
      <w:sz w:val="16"/>
      <w:szCs w:val="16"/>
    </w:rPr>
  </w:style>
  <w:style w:type="character" w:customStyle="1" w:styleId="TekstpodstawowyzwciciemZnak">
    <w:name w:val="Tekst podstawowy z wcięciem Znak"/>
    <w:basedOn w:val="TekstpodstawowyZnak"/>
    <w:uiPriority w:val="98"/>
    <w:semiHidden/>
    <w:qFormat/>
    <w:rsid w:val="00D03556"/>
    <w:rPr>
      <w:sz w:val="24"/>
      <w:szCs w:val="24"/>
    </w:rPr>
  </w:style>
  <w:style w:type="character" w:customStyle="1" w:styleId="TekstpodstawowywcityZnak">
    <w:name w:val="Tekst podstawowy wcięty Znak"/>
    <w:basedOn w:val="Domylnaczcionkaakapitu"/>
    <w:link w:val="Tekstpodstawowywcity"/>
    <w:uiPriority w:val="98"/>
    <w:semiHidden/>
    <w:qFormat/>
    <w:rsid w:val="00D03556"/>
    <w:rPr>
      <w:sz w:val="24"/>
      <w:szCs w:val="24"/>
    </w:rPr>
  </w:style>
  <w:style w:type="character" w:customStyle="1" w:styleId="Tekstpodstawowyzwciciem2Znak">
    <w:name w:val="Tekst podstawowy z wcięciem 2 Znak"/>
    <w:basedOn w:val="TekstpodstawowywcityZnak"/>
    <w:link w:val="Tekstpodstawowyzwciciem2"/>
    <w:uiPriority w:val="98"/>
    <w:semiHidden/>
    <w:qFormat/>
    <w:rsid w:val="00D03556"/>
    <w:rPr>
      <w:sz w:val="24"/>
      <w:szCs w:val="24"/>
    </w:rPr>
  </w:style>
  <w:style w:type="character" w:customStyle="1" w:styleId="Tekstpodstawowywcity2Znak">
    <w:name w:val="Tekst podstawowy wcięty 2 Znak"/>
    <w:basedOn w:val="Domylnaczcionkaakapitu"/>
    <w:link w:val="Tekstpodstawowywcity2"/>
    <w:uiPriority w:val="98"/>
    <w:semiHidden/>
    <w:qFormat/>
    <w:rsid w:val="00D03556"/>
    <w:rPr>
      <w:sz w:val="24"/>
      <w:szCs w:val="24"/>
    </w:rPr>
  </w:style>
  <w:style w:type="character" w:customStyle="1" w:styleId="Tekstpodstawowywcity3Znak">
    <w:name w:val="Tekst podstawowy wcięty 3 Znak"/>
    <w:basedOn w:val="Domylnaczcionkaakapitu"/>
    <w:link w:val="Tekstpodstawowywcity3"/>
    <w:uiPriority w:val="98"/>
    <w:semiHidden/>
    <w:qFormat/>
    <w:rsid w:val="00D03556"/>
    <w:rPr>
      <w:sz w:val="16"/>
      <w:szCs w:val="16"/>
    </w:rPr>
  </w:style>
  <w:style w:type="character" w:customStyle="1" w:styleId="ZwrotpoegnalnyZnak">
    <w:name w:val="Zwrot pożegnalny Znak"/>
    <w:basedOn w:val="Domylnaczcionkaakapitu"/>
    <w:link w:val="Zwrotpoegnalny"/>
    <w:uiPriority w:val="98"/>
    <w:semiHidden/>
    <w:qFormat/>
    <w:rsid w:val="00D03556"/>
    <w:rPr>
      <w:sz w:val="24"/>
      <w:szCs w:val="24"/>
    </w:rPr>
  </w:style>
  <w:style w:type="character" w:customStyle="1" w:styleId="DataZnak">
    <w:name w:val="Data Znak"/>
    <w:basedOn w:val="Domylnaczcionkaakapitu"/>
    <w:link w:val="Data"/>
    <w:uiPriority w:val="98"/>
    <w:semiHidden/>
    <w:qFormat/>
    <w:rsid w:val="00D03556"/>
    <w:rPr>
      <w:sz w:val="24"/>
      <w:szCs w:val="24"/>
    </w:rPr>
  </w:style>
  <w:style w:type="character" w:customStyle="1" w:styleId="Podpise-mailZnak">
    <w:name w:val="Podpis e-mail Znak"/>
    <w:basedOn w:val="Domylnaczcionkaakapitu"/>
    <w:uiPriority w:val="98"/>
    <w:semiHidden/>
    <w:qFormat/>
    <w:rsid w:val="00D03556"/>
    <w:rPr>
      <w:sz w:val="24"/>
      <w:szCs w:val="24"/>
    </w:rPr>
  </w:style>
  <w:style w:type="character" w:styleId="HTML-akronim">
    <w:name w:val="HTML Acronym"/>
    <w:basedOn w:val="Domylnaczcionkaakapitu"/>
    <w:uiPriority w:val="98"/>
    <w:semiHidden/>
    <w:qFormat/>
    <w:rsid w:val="00D03556"/>
  </w:style>
  <w:style w:type="character" w:customStyle="1" w:styleId="HTML-adresZnak">
    <w:name w:val="HTML - adres Znak"/>
    <w:basedOn w:val="Domylnaczcionkaakapitu"/>
    <w:uiPriority w:val="98"/>
    <w:semiHidden/>
    <w:qFormat/>
    <w:rsid w:val="00D03556"/>
    <w:rPr>
      <w:i/>
      <w:iCs/>
      <w:sz w:val="24"/>
      <w:szCs w:val="24"/>
    </w:rPr>
  </w:style>
  <w:style w:type="character" w:styleId="HTML-cytat">
    <w:name w:val="HTML Cite"/>
    <w:basedOn w:val="Domylnaczcionkaakapitu"/>
    <w:uiPriority w:val="98"/>
    <w:semiHidden/>
    <w:qFormat/>
    <w:rsid w:val="00D03556"/>
    <w:rPr>
      <w:i/>
      <w:iCs/>
    </w:rPr>
  </w:style>
  <w:style w:type="character" w:styleId="HTML-kod">
    <w:name w:val="HTML Code"/>
    <w:basedOn w:val="Domylnaczcionkaakapitu"/>
    <w:uiPriority w:val="98"/>
    <w:semiHidden/>
    <w:qFormat/>
    <w:rsid w:val="00D03556"/>
    <w:rPr>
      <w:rFonts w:ascii="Consolas" w:hAnsi="Consolas" w:cs="Consolas"/>
      <w:sz w:val="20"/>
      <w:szCs w:val="20"/>
    </w:rPr>
  </w:style>
  <w:style w:type="character" w:styleId="HTML-definicja">
    <w:name w:val="HTML Definition"/>
    <w:basedOn w:val="Domylnaczcionkaakapitu"/>
    <w:uiPriority w:val="98"/>
    <w:semiHidden/>
    <w:qFormat/>
    <w:rsid w:val="00D03556"/>
    <w:rPr>
      <w:i/>
      <w:iCs/>
    </w:rPr>
  </w:style>
  <w:style w:type="character" w:styleId="HTML-klawiatura">
    <w:name w:val="HTML Keyboard"/>
    <w:basedOn w:val="Domylnaczcionkaakapitu"/>
    <w:uiPriority w:val="98"/>
    <w:semiHidden/>
    <w:qFormat/>
    <w:rsid w:val="00D03556"/>
    <w:rPr>
      <w:rFonts w:ascii="Consolas" w:hAnsi="Consolas" w:cs="Consolas"/>
      <w:sz w:val="20"/>
      <w:szCs w:val="20"/>
    </w:rPr>
  </w:style>
  <w:style w:type="character" w:customStyle="1" w:styleId="HTML-wstpniesformatowanyZnak">
    <w:name w:val="HTML - wstępnie sformatowany Znak"/>
    <w:basedOn w:val="Domylnaczcionkaakapitu"/>
    <w:uiPriority w:val="98"/>
    <w:semiHidden/>
    <w:qFormat/>
    <w:rsid w:val="00D03556"/>
    <w:rPr>
      <w:rFonts w:ascii="Consolas" w:hAnsi="Consolas" w:cs="Consolas"/>
      <w:sz w:val="20"/>
      <w:szCs w:val="20"/>
    </w:rPr>
  </w:style>
  <w:style w:type="character" w:styleId="HTML-przykad">
    <w:name w:val="HTML Sample"/>
    <w:basedOn w:val="Domylnaczcionkaakapitu"/>
    <w:uiPriority w:val="98"/>
    <w:semiHidden/>
    <w:qFormat/>
    <w:rsid w:val="00D03556"/>
    <w:rPr>
      <w:rFonts w:ascii="Consolas" w:hAnsi="Consolas" w:cs="Consolas"/>
      <w:sz w:val="24"/>
      <w:szCs w:val="24"/>
    </w:rPr>
  </w:style>
  <w:style w:type="character" w:styleId="HTML-staaszeroko">
    <w:name w:val="HTML Typewriter"/>
    <w:basedOn w:val="Domylnaczcionkaakapitu"/>
    <w:uiPriority w:val="98"/>
    <w:semiHidden/>
    <w:qFormat/>
    <w:rsid w:val="00D03556"/>
    <w:rPr>
      <w:rFonts w:ascii="Consolas" w:hAnsi="Consolas" w:cs="Consolas"/>
      <w:sz w:val="20"/>
      <w:szCs w:val="20"/>
    </w:rPr>
  </w:style>
  <w:style w:type="character" w:styleId="HTML-zmienna">
    <w:name w:val="HTML Variable"/>
    <w:basedOn w:val="Domylnaczcionkaakapitu"/>
    <w:uiPriority w:val="98"/>
    <w:semiHidden/>
    <w:qFormat/>
    <w:rsid w:val="00D03556"/>
    <w:rPr>
      <w:i/>
      <w:iCs/>
    </w:rPr>
  </w:style>
  <w:style w:type="character" w:styleId="Numerwiersza">
    <w:name w:val="line number"/>
    <w:basedOn w:val="Domylnaczcionkaakapitu"/>
    <w:uiPriority w:val="98"/>
    <w:semiHidden/>
    <w:qFormat/>
    <w:rsid w:val="00D03556"/>
  </w:style>
  <w:style w:type="character" w:customStyle="1" w:styleId="TekstmakraZnak">
    <w:name w:val="Tekst makra Znak"/>
    <w:basedOn w:val="Domylnaczcionkaakapitu"/>
    <w:link w:val="Tekstmakra"/>
    <w:uiPriority w:val="98"/>
    <w:semiHidden/>
    <w:qFormat/>
    <w:rsid w:val="00D03556"/>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8"/>
    <w:semiHidden/>
    <w:qFormat/>
    <w:rsid w:val="00D03556"/>
    <w:rPr>
      <w:rFonts w:asciiTheme="majorHAnsi" w:eastAsiaTheme="majorEastAsia" w:hAnsiTheme="majorHAnsi" w:cstheme="majorBidi"/>
      <w:sz w:val="24"/>
      <w:szCs w:val="24"/>
      <w:shd w:val="clear" w:color="auto" w:fill="CCCCCC"/>
    </w:rPr>
  </w:style>
  <w:style w:type="character" w:styleId="Tekstzastpczy">
    <w:name w:val="Placeholder Text"/>
    <w:basedOn w:val="Domylnaczcionkaakapitu"/>
    <w:uiPriority w:val="98"/>
    <w:semiHidden/>
    <w:qFormat/>
    <w:rsid w:val="00D03556"/>
    <w:rPr>
      <w:color w:val="000000"/>
      <w:shd w:val="clear" w:color="auto" w:fill="DFDFDF"/>
    </w:rPr>
  </w:style>
  <w:style w:type="character" w:customStyle="1" w:styleId="ZwykytekstZnak">
    <w:name w:val="Zwykły tekst Znak"/>
    <w:basedOn w:val="Domylnaczcionkaakapitu"/>
    <w:link w:val="Zwykytekst"/>
    <w:uiPriority w:val="98"/>
    <w:semiHidden/>
    <w:qFormat/>
    <w:rsid w:val="00D03556"/>
    <w:rPr>
      <w:rFonts w:ascii="Consolas" w:hAnsi="Consolas" w:cs="Consolas"/>
      <w:sz w:val="21"/>
      <w:szCs w:val="21"/>
    </w:rPr>
  </w:style>
  <w:style w:type="character" w:customStyle="1" w:styleId="ZwrotgrzecznociowyZnak">
    <w:name w:val="Zwrot grzecznościowy Znak"/>
    <w:basedOn w:val="Domylnaczcionkaakapitu"/>
    <w:link w:val="Zwrotgrzecznociowy"/>
    <w:uiPriority w:val="98"/>
    <w:semiHidden/>
    <w:qFormat/>
    <w:rsid w:val="00D03556"/>
    <w:rPr>
      <w:sz w:val="24"/>
      <w:szCs w:val="24"/>
    </w:rPr>
  </w:style>
  <w:style w:type="character" w:customStyle="1" w:styleId="LegendaZnak">
    <w:name w:val="Legenda Znak"/>
    <w:basedOn w:val="Domylnaczcionkaakapitu"/>
    <w:link w:val="Legenda"/>
    <w:uiPriority w:val="98"/>
    <w:semiHidden/>
    <w:qFormat/>
    <w:rsid w:val="00D03556"/>
    <w:rPr>
      <w:sz w:val="24"/>
      <w:szCs w:val="24"/>
    </w:rPr>
  </w:style>
  <w:style w:type="character" w:customStyle="1" w:styleId="NagweknotatkiZnak">
    <w:name w:val="Nagłówek notatki Znak"/>
    <w:basedOn w:val="Domylnaczcionkaakapitu"/>
    <w:link w:val="Nagweknotatki"/>
    <w:uiPriority w:val="98"/>
    <w:semiHidden/>
    <w:qFormat/>
    <w:rsid w:val="00D03556"/>
    <w:rPr>
      <w:sz w:val="24"/>
      <w:szCs w:val="24"/>
    </w:rPr>
  </w:style>
  <w:style w:type="character" w:customStyle="1" w:styleId="JuParaChar">
    <w:name w:val="Ju_Para Char"/>
    <w:link w:val="JuPara"/>
    <w:uiPriority w:val="4"/>
    <w:qFormat/>
    <w:rsid w:val="00B51E2C"/>
    <w:rPr>
      <w:sz w:val="24"/>
      <w:szCs w:val="24"/>
    </w:rPr>
  </w:style>
  <w:style w:type="character" w:customStyle="1" w:styleId="ECHRRed">
    <w:name w:val="ECHR_Red"/>
    <w:basedOn w:val="Domylnaczcionkaakapitu"/>
    <w:uiPriority w:val="15"/>
    <w:semiHidden/>
    <w:qFormat/>
    <w:rsid w:val="00D03556"/>
    <w:rPr>
      <w:color w:val="C00000" w:themeColor="accent2"/>
    </w:rPr>
  </w:style>
  <w:style w:type="character" w:customStyle="1" w:styleId="Nierozpoznanawzmianka1">
    <w:name w:val="Nierozpoznana wzmianka1"/>
    <w:basedOn w:val="Domylnaczcionkaakapitu"/>
    <w:uiPriority w:val="99"/>
    <w:semiHidden/>
    <w:unhideWhenUsed/>
    <w:qFormat/>
    <w:rsid w:val="00D03556"/>
    <w:rPr>
      <w:color w:val="605E5C"/>
      <w:shd w:val="clear" w:color="auto" w:fill="E1DFDD"/>
    </w:rPr>
  </w:style>
  <w:style w:type="character" w:customStyle="1" w:styleId="Hasztag1">
    <w:name w:val="Hasztag1"/>
    <w:basedOn w:val="Domylnaczcionkaakapitu"/>
    <w:uiPriority w:val="99"/>
    <w:semiHidden/>
    <w:unhideWhenUsed/>
    <w:qFormat/>
    <w:rsid w:val="00BD16F4"/>
    <w:rPr>
      <w:color w:val="2B579A"/>
      <w:shd w:val="clear" w:color="auto" w:fill="E1DFDD"/>
    </w:rPr>
  </w:style>
  <w:style w:type="character" w:customStyle="1" w:styleId="Wzmianka1">
    <w:name w:val="Wzmianka1"/>
    <w:basedOn w:val="Domylnaczcionkaakapitu"/>
    <w:uiPriority w:val="99"/>
    <w:semiHidden/>
    <w:unhideWhenUsed/>
    <w:qFormat/>
    <w:rsid w:val="00BD16F4"/>
    <w:rPr>
      <w:color w:val="2B579A"/>
      <w:shd w:val="clear" w:color="auto" w:fill="E1DFDD"/>
    </w:rPr>
  </w:style>
  <w:style w:type="character" w:customStyle="1" w:styleId="Inteligentnyhiperlink1">
    <w:name w:val="Inteligentny hiperlink1"/>
    <w:basedOn w:val="Domylnaczcionkaakapitu"/>
    <w:uiPriority w:val="99"/>
    <w:semiHidden/>
    <w:unhideWhenUsed/>
    <w:qFormat/>
    <w:rsid w:val="00BD16F4"/>
    <w:rPr>
      <w:u w:val="dotted"/>
    </w:rPr>
  </w:style>
  <w:style w:type="character" w:customStyle="1" w:styleId="Inteligentnylink1">
    <w:name w:val="Inteligentny link1"/>
    <w:basedOn w:val="Domylnaczcionkaakapitu"/>
    <w:uiPriority w:val="99"/>
    <w:semiHidden/>
    <w:unhideWhenUsed/>
    <w:qFormat/>
    <w:rsid w:val="00BD16F4"/>
    <w:rPr>
      <w:color w:val="0000FF"/>
      <w:u w:val="single"/>
      <w:shd w:val="clear" w:color="auto" w:fill="F3F2F1"/>
    </w:rPr>
  </w:style>
  <w:style w:type="character" w:customStyle="1" w:styleId="Znakiprzypiswdolnych">
    <w:name w:val="Znaki przypisów dolnych"/>
    <w:qFormat/>
  </w:style>
  <w:style w:type="paragraph" w:customStyle="1" w:styleId="Nagwek10">
    <w:name w:val="Nagłówek1"/>
    <w:basedOn w:val="Normalny"/>
    <w:next w:val="Tekstpodstawowy"/>
    <w:link w:val="NagwekZnak"/>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8"/>
    <w:semiHidden/>
    <w:rsid w:val="00D03556"/>
    <w:pPr>
      <w:spacing w:after="120"/>
    </w:pPr>
  </w:style>
  <w:style w:type="paragraph" w:styleId="Lista">
    <w:name w:val="List"/>
    <w:basedOn w:val="Normalny"/>
    <w:uiPriority w:val="98"/>
    <w:semiHidden/>
    <w:rsid w:val="00D03556"/>
    <w:pPr>
      <w:ind w:left="283" w:hanging="283"/>
      <w:contextualSpacing/>
    </w:pPr>
  </w:style>
  <w:style w:type="paragraph" w:styleId="Legenda">
    <w:name w:val="caption"/>
    <w:basedOn w:val="Normalny"/>
    <w:next w:val="Normalny"/>
    <w:link w:val="LegendaZnak"/>
    <w:uiPriority w:val="98"/>
    <w:semiHidden/>
    <w:qFormat/>
    <w:rsid w:val="00D03556"/>
    <w:pPr>
      <w:spacing w:after="200"/>
    </w:pPr>
    <w:rPr>
      <w:b/>
      <w:bCs/>
      <w:color w:val="0072BC" w:themeColor="accent1"/>
      <w:sz w:val="18"/>
      <w:szCs w:val="18"/>
    </w:rPr>
  </w:style>
  <w:style w:type="paragraph" w:customStyle="1" w:styleId="Indeks">
    <w:name w:val="Indeks"/>
    <w:basedOn w:val="Normalny"/>
    <w:qFormat/>
    <w:pPr>
      <w:suppressLineNumbers/>
    </w:pPr>
    <w:rPr>
      <w:rFonts w:cs="Lucida Sans"/>
    </w:rPr>
  </w:style>
  <w:style w:type="paragraph" w:styleId="Tekstdymka">
    <w:name w:val="Balloon Text"/>
    <w:basedOn w:val="Normalny"/>
    <w:link w:val="TekstdymkaZnak"/>
    <w:uiPriority w:val="98"/>
    <w:semiHidden/>
    <w:qFormat/>
    <w:rsid w:val="00D03556"/>
    <w:rPr>
      <w:rFonts w:ascii="Tahoma" w:hAnsi="Tahoma" w:cs="Tahoma"/>
      <w:sz w:val="16"/>
      <w:szCs w:val="16"/>
    </w:rPr>
  </w:style>
  <w:style w:type="paragraph" w:customStyle="1" w:styleId="JuHeader">
    <w:name w:val="Ju_Header"/>
    <w:basedOn w:val="Nagwek"/>
    <w:uiPriority w:val="29"/>
    <w:qFormat/>
    <w:rsid w:val="00D03556"/>
    <w:pPr>
      <w:tabs>
        <w:tab w:val="clear" w:pos="4536"/>
        <w:tab w:val="clear" w:pos="9072"/>
      </w:tabs>
      <w:jc w:val="center"/>
    </w:pPr>
    <w:rPr>
      <w:sz w:val="18"/>
    </w:rPr>
  </w:style>
  <w:style w:type="paragraph" w:customStyle="1" w:styleId="Gwkaistopka">
    <w:name w:val="Główka i stopka"/>
    <w:basedOn w:val="Normalny"/>
    <w:qFormat/>
  </w:style>
  <w:style w:type="paragraph" w:styleId="Nagwek">
    <w:name w:val="header"/>
    <w:basedOn w:val="Normalny"/>
    <w:uiPriority w:val="98"/>
    <w:semiHidden/>
    <w:rsid w:val="00D03556"/>
    <w:pPr>
      <w:tabs>
        <w:tab w:val="center" w:pos="4536"/>
        <w:tab w:val="right" w:pos="9072"/>
      </w:tabs>
    </w:pPr>
  </w:style>
  <w:style w:type="paragraph" w:customStyle="1" w:styleId="ECHRFooter">
    <w:name w:val="ECHR_Footer"/>
    <w:basedOn w:val="Stopka"/>
    <w:uiPriority w:val="57"/>
    <w:semiHidden/>
    <w:qFormat/>
    <w:rsid w:val="00000067"/>
    <w:rPr>
      <w:sz w:val="8"/>
    </w:rPr>
  </w:style>
  <w:style w:type="paragraph" w:styleId="Stopka">
    <w:name w:val="footer"/>
    <w:basedOn w:val="Normalny"/>
    <w:link w:val="StopkaZnak"/>
    <w:uiPriority w:val="98"/>
    <w:semiHidden/>
    <w:rsid w:val="00D03556"/>
    <w:pPr>
      <w:tabs>
        <w:tab w:val="center" w:pos="3686"/>
        <w:tab w:val="right" w:pos="7371"/>
      </w:tabs>
    </w:pPr>
  </w:style>
  <w:style w:type="paragraph" w:styleId="Bezodstpw">
    <w:name w:val="No Spacing"/>
    <w:basedOn w:val="Normalny"/>
    <w:link w:val="BezodstpwZnak"/>
    <w:uiPriority w:val="98"/>
    <w:semiHidden/>
    <w:qFormat/>
    <w:rsid w:val="00D03556"/>
  </w:style>
  <w:style w:type="paragraph" w:customStyle="1" w:styleId="ECHRFooterLine">
    <w:name w:val="ECHR_Footer_Line"/>
    <w:basedOn w:val="Normalny"/>
    <w:next w:val="Normalny"/>
    <w:uiPriority w:val="30"/>
    <w:semiHidden/>
    <w:qFormat/>
    <w:rsid w:val="00D03556"/>
    <w:pPr>
      <w:pBdr>
        <w:top w:val="single" w:sz="6" w:space="1" w:color="5F5F5F"/>
      </w:pBdr>
      <w:tabs>
        <w:tab w:val="center" w:pos="3686"/>
        <w:tab w:val="right" w:pos="7371"/>
      </w:tabs>
      <w:ind w:left="-1474" w:right="-1474"/>
    </w:pPr>
    <w:rPr>
      <w:color w:val="5F5F5F"/>
    </w:rPr>
  </w:style>
  <w:style w:type="paragraph" w:customStyle="1" w:styleId="ECHRBullet1">
    <w:name w:val="ECHR_Bullet_1"/>
    <w:basedOn w:val="NormalJustified"/>
    <w:uiPriority w:val="23"/>
    <w:semiHidden/>
    <w:qFormat/>
    <w:rsid w:val="00D03556"/>
    <w:pPr>
      <w:spacing w:before="60" w:after="60"/>
    </w:pPr>
  </w:style>
  <w:style w:type="paragraph" w:customStyle="1" w:styleId="NormalJustified">
    <w:name w:val="Normal_Justified"/>
    <w:basedOn w:val="Normalny"/>
    <w:semiHidden/>
    <w:qFormat/>
    <w:rsid w:val="00D03556"/>
    <w:pPr>
      <w:jc w:val="both"/>
    </w:pPr>
  </w:style>
  <w:style w:type="paragraph" w:customStyle="1" w:styleId="ECHRBullet2">
    <w:name w:val="ECHR_Bullet_2"/>
    <w:basedOn w:val="ECHRBullet1"/>
    <w:uiPriority w:val="23"/>
    <w:semiHidden/>
    <w:qFormat/>
    <w:rsid w:val="00D03556"/>
  </w:style>
  <w:style w:type="paragraph" w:customStyle="1" w:styleId="JuHArticle">
    <w:name w:val="Ju_H_Article"/>
    <w:basedOn w:val="Normalny"/>
    <w:next w:val="JuQuot"/>
    <w:uiPriority w:val="19"/>
    <w:qFormat/>
    <w:rsid w:val="00D03556"/>
    <w:pPr>
      <w:keepNext/>
      <w:spacing w:beforeAutospacing="1" w:after="120"/>
      <w:contextualSpacing/>
      <w:jc w:val="center"/>
    </w:pPr>
    <w:rPr>
      <w:b/>
      <w:sz w:val="20"/>
    </w:rPr>
  </w:style>
  <w:style w:type="paragraph" w:customStyle="1" w:styleId="ECHRBullet3">
    <w:name w:val="ECHR_Bullet_3"/>
    <w:basedOn w:val="ECHRBullet2"/>
    <w:uiPriority w:val="23"/>
    <w:semiHidden/>
    <w:qFormat/>
    <w:rsid w:val="00D03556"/>
  </w:style>
  <w:style w:type="paragraph" w:customStyle="1" w:styleId="ECHRBullet4">
    <w:name w:val="ECHR_Bullet_4"/>
    <w:basedOn w:val="ECHRBullet3"/>
    <w:uiPriority w:val="23"/>
    <w:semiHidden/>
    <w:qFormat/>
    <w:rsid w:val="00D03556"/>
  </w:style>
  <w:style w:type="paragraph" w:customStyle="1" w:styleId="ECHRConfidential">
    <w:name w:val="ECHR_Confidential"/>
    <w:basedOn w:val="Normalny"/>
    <w:next w:val="Normalny"/>
    <w:uiPriority w:val="42"/>
    <w:semiHidden/>
    <w:qFormat/>
    <w:rsid w:val="00D03556"/>
    <w:pPr>
      <w:jc w:val="right"/>
    </w:pPr>
    <w:rPr>
      <w:color w:val="C00000"/>
      <w:sz w:val="20"/>
    </w:rPr>
  </w:style>
  <w:style w:type="paragraph" w:customStyle="1" w:styleId="ECHRDivisionName">
    <w:name w:val="ECHR_DivisionName"/>
    <w:basedOn w:val="Normalny"/>
    <w:link w:val="ECHRDivisionNameChar"/>
    <w:uiPriority w:val="41"/>
    <w:semiHidden/>
    <w:qFormat/>
    <w:rsid w:val="00D03556"/>
    <w:pPr>
      <w:contextualSpacing/>
      <w:jc w:val="center"/>
    </w:pPr>
    <w:rPr>
      <w:rFonts w:ascii="Arial" w:hAnsi="Arial"/>
      <w:i/>
      <w:color w:val="002856"/>
      <w:sz w:val="32"/>
    </w:rPr>
  </w:style>
  <w:style w:type="paragraph" w:customStyle="1" w:styleId="DecHCase">
    <w:name w:val="Dec_H_Case"/>
    <w:basedOn w:val="JuPara"/>
    <w:next w:val="JuPara"/>
    <w:uiPriority w:val="38"/>
    <w:qFormat/>
    <w:rsid w:val="00D03556"/>
    <w:pPr>
      <w:keepNext/>
      <w:keepLines/>
      <w:spacing w:after="280"/>
      <w:ind w:firstLine="0"/>
      <w:jc w:val="center"/>
    </w:pPr>
    <w:rPr>
      <w:rFonts w:asciiTheme="majorHAnsi" w:hAnsiTheme="majorHAnsi"/>
    </w:rPr>
  </w:style>
  <w:style w:type="paragraph" w:customStyle="1" w:styleId="JuTitle">
    <w:name w:val="Ju_Title"/>
    <w:basedOn w:val="Normalny"/>
    <w:next w:val="JuPara"/>
    <w:uiPriority w:val="38"/>
    <w:qFormat/>
    <w:rsid w:val="00D03556"/>
    <w:pPr>
      <w:keepNext/>
      <w:keepLines/>
      <w:spacing w:before="1320" w:after="280"/>
      <w:contextualSpacing/>
      <w:jc w:val="center"/>
    </w:pPr>
    <w:rPr>
      <w:b/>
    </w:rPr>
  </w:style>
  <w:style w:type="paragraph" w:styleId="Tytu">
    <w:name w:val="Title"/>
    <w:basedOn w:val="Normalny"/>
    <w:next w:val="Normalny"/>
    <w:link w:val="TytuZnak"/>
    <w:uiPriority w:val="98"/>
    <w:semiHidden/>
    <w:qFormat/>
    <w:rsid w:val="00D03556"/>
    <w:pPr>
      <w:pBdr>
        <w:bottom w:val="single" w:sz="4" w:space="1" w:color="000000"/>
      </w:pBdr>
      <w:contextualSpacing/>
    </w:pPr>
    <w:rPr>
      <w:rFonts w:asciiTheme="majorHAnsi" w:eastAsiaTheme="majorEastAsia" w:hAnsiTheme="majorHAnsi" w:cstheme="majorBidi"/>
      <w:spacing w:val="5"/>
      <w:sz w:val="52"/>
      <w:szCs w:val="52"/>
      <w:lang w:bidi="en-US"/>
    </w:rPr>
  </w:style>
  <w:style w:type="paragraph" w:customStyle="1" w:styleId="JuH1">
    <w:name w:val="Ju_H_1."/>
    <w:basedOn w:val="Nagwek4"/>
    <w:next w:val="JuPara"/>
    <w:uiPriority w:val="17"/>
    <w:qFormat/>
    <w:rsid w:val="00D03556"/>
    <w:pPr>
      <w:keepNext/>
      <w:keepLines/>
      <w:spacing w:beforeAutospacing="1" w:after="120"/>
      <w:jc w:val="both"/>
    </w:pPr>
    <w:rPr>
      <w:b w:val="0"/>
      <w:color w:val="auto"/>
      <w:sz w:val="24"/>
    </w:rPr>
  </w:style>
  <w:style w:type="paragraph" w:customStyle="1" w:styleId="JuHa">
    <w:name w:val="Ju_H_a"/>
    <w:basedOn w:val="Nagwek5"/>
    <w:next w:val="JuPara"/>
    <w:uiPriority w:val="17"/>
    <w:qFormat/>
    <w:rsid w:val="00D03556"/>
    <w:pPr>
      <w:keepNext/>
      <w:keepLines/>
      <w:spacing w:beforeAutospacing="1" w:after="120"/>
      <w:jc w:val="both"/>
    </w:pPr>
    <w:rPr>
      <w:color w:val="auto"/>
      <w:sz w:val="20"/>
    </w:rPr>
  </w:style>
  <w:style w:type="paragraph" w:customStyle="1" w:styleId="JuHi">
    <w:name w:val="Ju_H_i"/>
    <w:basedOn w:val="Nagwek6"/>
    <w:next w:val="JuPara"/>
    <w:uiPriority w:val="17"/>
    <w:qFormat/>
    <w:rsid w:val="00D03556"/>
    <w:pPr>
      <w:keepNext/>
      <w:keepLines/>
      <w:tabs>
        <w:tab w:val="left" w:pos="1077"/>
        <w:tab w:val="left" w:pos="1134"/>
        <w:tab w:val="left" w:pos="1191"/>
        <w:tab w:val="left" w:pos="1247"/>
      </w:tabs>
      <w:spacing w:beforeAutospacing="1" w:after="120"/>
      <w:jc w:val="both"/>
    </w:pPr>
    <w:rPr>
      <w:b w:val="0"/>
      <w:color w:val="auto"/>
      <w:sz w:val="20"/>
    </w:rPr>
  </w:style>
  <w:style w:type="paragraph" w:customStyle="1" w:styleId="JuHalpha">
    <w:name w:val="Ju_H_alpha"/>
    <w:basedOn w:val="Nagwek7"/>
    <w:next w:val="JuPara"/>
    <w:uiPriority w:val="17"/>
    <w:qFormat/>
    <w:rsid w:val="00D03556"/>
    <w:pPr>
      <w:keepNext/>
      <w:keepLines/>
      <w:tabs>
        <w:tab w:val="left" w:pos="1361"/>
      </w:tabs>
      <w:spacing w:beforeAutospacing="1" w:after="120"/>
      <w:jc w:val="both"/>
    </w:pPr>
    <w:rPr>
      <w:i w:val="0"/>
      <w:sz w:val="20"/>
    </w:rPr>
  </w:style>
  <w:style w:type="paragraph" w:customStyle="1" w:styleId="JuH">
    <w:name w:val="Ju_H_–"/>
    <w:basedOn w:val="Nagwek8"/>
    <w:next w:val="JuPara"/>
    <w:uiPriority w:val="17"/>
    <w:qFormat/>
    <w:rsid w:val="00D03556"/>
    <w:pPr>
      <w:keepNext/>
      <w:keepLines/>
      <w:spacing w:beforeAutospacing="1" w:after="120"/>
      <w:jc w:val="both"/>
    </w:pPr>
    <w:rPr>
      <w:i/>
    </w:rPr>
  </w:style>
  <w:style w:type="paragraph" w:customStyle="1" w:styleId="JuInitialled">
    <w:name w:val="Ju_Initialled"/>
    <w:basedOn w:val="Normalny"/>
    <w:uiPriority w:val="30"/>
    <w:qFormat/>
    <w:rsid w:val="00D03556"/>
    <w:pPr>
      <w:tabs>
        <w:tab w:val="center" w:pos="6407"/>
      </w:tabs>
      <w:spacing w:before="720"/>
      <w:jc w:val="right"/>
    </w:pPr>
  </w:style>
  <w:style w:type="paragraph" w:customStyle="1" w:styleId="DummyStyle">
    <w:name w:val="Dummy_Style"/>
    <w:basedOn w:val="Normalny"/>
    <w:semiHidden/>
    <w:qFormat/>
    <w:rsid w:val="00D03556"/>
    <w:rPr>
      <w:color w:val="00B050"/>
      <w:sz w:val="22"/>
    </w:rPr>
  </w:style>
  <w:style w:type="paragraph" w:customStyle="1" w:styleId="JuHIRoman">
    <w:name w:val="Ju_H_I_Roman"/>
    <w:basedOn w:val="Nagwek2"/>
    <w:next w:val="JuPara"/>
    <w:uiPriority w:val="17"/>
    <w:qFormat/>
    <w:rsid w:val="00D03556"/>
    <w:pPr>
      <w:keepNext/>
      <w:keepLines/>
      <w:tabs>
        <w:tab w:val="left" w:pos="454"/>
        <w:tab w:val="left" w:pos="539"/>
        <w:tab w:val="left" w:pos="624"/>
        <w:tab w:val="left" w:pos="709"/>
        <w:tab w:val="left" w:pos="794"/>
      </w:tabs>
      <w:spacing w:beforeAutospacing="1" w:after="240"/>
      <w:jc w:val="both"/>
    </w:pPr>
    <w:rPr>
      <w:b w:val="0"/>
      <w:caps/>
      <w:color w:val="auto"/>
      <w:sz w:val="24"/>
    </w:rPr>
  </w:style>
  <w:style w:type="paragraph" w:customStyle="1" w:styleId="JuHA0">
    <w:name w:val="Ju_H_A"/>
    <w:basedOn w:val="Nagwek3"/>
    <w:next w:val="JuPara"/>
    <w:uiPriority w:val="17"/>
    <w:qFormat/>
    <w:rsid w:val="00D03556"/>
    <w:pPr>
      <w:keepNext/>
      <w:keepLines/>
      <w:spacing w:beforeAutospacing="1" w:after="240" w:line="240" w:lineRule="auto"/>
      <w:jc w:val="both"/>
    </w:pPr>
    <w:rPr>
      <w:color w:val="auto"/>
      <w:sz w:val="24"/>
    </w:rPr>
  </w:style>
  <w:style w:type="paragraph" w:customStyle="1" w:styleId="JuCase">
    <w:name w:val="Ju_Case"/>
    <w:basedOn w:val="NormalJustified"/>
    <w:next w:val="JuPara"/>
    <w:uiPriority w:val="32"/>
    <w:qFormat/>
    <w:rsid w:val="00D03556"/>
    <w:pPr>
      <w:ind w:firstLine="284"/>
    </w:pPr>
    <w:rPr>
      <w:b/>
    </w:rPr>
  </w:style>
  <w:style w:type="paragraph" w:customStyle="1" w:styleId="JuHHead">
    <w:name w:val="Ju_H_Head"/>
    <w:basedOn w:val="Nagwek1"/>
    <w:next w:val="JuPara"/>
    <w:uiPriority w:val="17"/>
    <w:qFormat/>
    <w:rsid w:val="00D03556"/>
    <w:pPr>
      <w:keepNext/>
      <w:keepLines/>
      <w:spacing w:beforeAutospacing="1" w:after="240"/>
      <w:jc w:val="both"/>
    </w:pPr>
    <w:rPr>
      <w:b w:val="0"/>
      <w:caps/>
      <w:color w:val="auto"/>
    </w:rPr>
  </w:style>
  <w:style w:type="paragraph" w:styleId="Tekstprzypisudolnego">
    <w:name w:val="footnote text"/>
    <w:basedOn w:val="NormalJustified"/>
    <w:link w:val="TekstprzypisudolnegoZnak"/>
    <w:uiPriority w:val="98"/>
    <w:semiHidden/>
    <w:rsid w:val="00D03556"/>
    <w:rPr>
      <w:sz w:val="20"/>
      <w:szCs w:val="20"/>
    </w:rPr>
  </w:style>
  <w:style w:type="paragraph" w:styleId="Cytatintensywny">
    <w:name w:val="Intense Quote"/>
    <w:basedOn w:val="Normalny"/>
    <w:next w:val="Normalny"/>
    <w:link w:val="CytatintensywnyZnak"/>
    <w:uiPriority w:val="98"/>
    <w:semiHidden/>
    <w:qFormat/>
    <w:rsid w:val="00D03556"/>
    <w:pPr>
      <w:pBdr>
        <w:bottom w:val="single" w:sz="4" w:space="1" w:color="000000"/>
      </w:pBdr>
      <w:spacing w:before="200" w:after="280"/>
      <w:ind w:left="1008" w:right="1152"/>
    </w:pPr>
    <w:rPr>
      <w:b/>
      <w:bCs/>
      <w:i/>
      <w:iCs/>
      <w:lang w:bidi="en-US"/>
    </w:rPr>
  </w:style>
  <w:style w:type="paragraph" w:styleId="Akapitzlist">
    <w:name w:val="List Paragraph"/>
    <w:basedOn w:val="Normalny"/>
    <w:uiPriority w:val="98"/>
    <w:semiHidden/>
    <w:qFormat/>
    <w:rsid w:val="00D03556"/>
    <w:pPr>
      <w:ind w:left="720"/>
      <w:contextualSpacing/>
    </w:pPr>
  </w:style>
  <w:style w:type="paragraph" w:styleId="Cytat">
    <w:name w:val="Quote"/>
    <w:basedOn w:val="Normalny"/>
    <w:next w:val="Normalny"/>
    <w:link w:val="CytatZnak"/>
    <w:uiPriority w:val="98"/>
    <w:semiHidden/>
    <w:qFormat/>
    <w:rsid w:val="00D03556"/>
    <w:pPr>
      <w:spacing w:before="200"/>
      <w:ind w:left="360" w:right="360"/>
    </w:pPr>
    <w:rPr>
      <w:i/>
      <w:iCs/>
      <w:lang w:bidi="en-US"/>
    </w:rPr>
  </w:style>
  <w:style w:type="paragraph" w:styleId="Spistreci1">
    <w:name w:val="toc 1"/>
    <w:basedOn w:val="Normalny"/>
    <w:next w:val="Normalny"/>
    <w:autoRedefine/>
    <w:uiPriority w:val="98"/>
    <w:semiHidden/>
    <w:rsid w:val="00D0355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0355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0355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0355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0355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03556"/>
    <w:pPr>
      <w:keepNext/>
      <w:keepLines/>
      <w:spacing w:before="240"/>
      <w:contextualSpacing/>
      <w:jc w:val="center"/>
    </w:pPr>
    <w:rPr>
      <w:rFonts w:asciiTheme="majorHAnsi" w:hAnsiTheme="majorHAnsi"/>
      <w:b/>
      <w:color w:val="474747" w:themeColor="accent3" w:themeShade="BF"/>
      <w:sz w:val="28"/>
    </w:rPr>
  </w:style>
  <w:style w:type="paragraph" w:styleId="Nagwekwykazurde">
    <w:name w:val="toa heading"/>
    <w:basedOn w:val="Normalny"/>
    <w:next w:val="Normalny"/>
    <w:uiPriority w:val="98"/>
    <w:semiHidden/>
    <w:qFormat/>
    <w:rsid w:val="00D0355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basedOn w:val="NormalJustified"/>
    <w:uiPriority w:val="20"/>
    <w:qFormat/>
    <w:rsid w:val="00D03556"/>
    <w:pPr>
      <w:spacing w:before="120" w:after="120"/>
      <w:ind w:left="425" w:firstLine="142"/>
    </w:pPr>
    <w:rPr>
      <w:sz w:val="20"/>
    </w:rPr>
  </w:style>
  <w:style w:type="paragraph" w:customStyle="1" w:styleId="JuPara">
    <w:name w:val="Ju_Para"/>
    <w:basedOn w:val="NormalJustified"/>
    <w:link w:val="JuParaChar"/>
    <w:uiPriority w:val="4"/>
    <w:qFormat/>
    <w:rsid w:val="00D03556"/>
    <w:pPr>
      <w:ind w:firstLine="284"/>
    </w:pPr>
  </w:style>
  <w:style w:type="paragraph" w:customStyle="1" w:styleId="ECHRDecisionBody">
    <w:name w:val="ECHR_Decision_Body"/>
    <w:basedOn w:val="NormalJustified"/>
    <w:uiPriority w:val="54"/>
    <w:qFormat/>
    <w:rsid w:val="00D03556"/>
    <w:pPr>
      <w:tabs>
        <w:tab w:val="left" w:pos="567"/>
        <w:tab w:val="left" w:pos="1134"/>
      </w:tabs>
      <w:spacing w:line="240" w:lineRule="exact"/>
      <w:jc w:val="left"/>
    </w:pPr>
  </w:style>
  <w:style w:type="paragraph" w:customStyle="1" w:styleId="JuList">
    <w:name w:val="Ju_List"/>
    <w:basedOn w:val="NormalJustified"/>
    <w:uiPriority w:val="23"/>
    <w:qFormat/>
    <w:rsid w:val="00D03556"/>
    <w:pPr>
      <w:spacing w:before="280" w:after="60"/>
    </w:pPr>
  </w:style>
  <w:style w:type="paragraph" w:customStyle="1" w:styleId="JuSigned">
    <w:name w:val="Ju_Signed"/>
    <w:basedOn w:val="Normalny"/>
    <w:next w:val="JuPara"/>
    <w:uiPriority w:val="31"/>
    <w:qFormat/>
    <w:rsid w:val="00D03556"/>
    <w:pPr>
      <w:tabs>
        <w:tab w:val="center" w:pos="1418"/>
        <w:tab w:val="center" w:pos="5954"/>
      </w:tabs>
      <w:spacing w:before="720"/>
    </w:pPr>
  </w:style>
  <w:style w:type="paragraph" w:customStyle="1" w:styleId="JuParaLast">
    <w:name w:val="Ju_Para_Last"/>
    <w:basedOn w:val="NormalJustified"/>
    <w:uiPriority w:val="5"/>
    <w:qFormat/>
    <w:rsid w:val="00D03556"/>
    <w:pPr>
      <w:keepNext/>
      <w:keepLines/>
      <w:spacing w:before="240" w:after="240"/>
      <w:ind w:firstLine="284"/>
    </w:pPr>
  </w:style>
  <w:style w:type="paragraph" w:customStyle="1" w:styleId="JuCourt">
    <w:name w:val="Ju_Court"/>
    <w:basedOn w:val="Normalny"/>
    <w:next w:val="Normalny"/>
    <w:uiPriority w:val="32"/>
    <w:qFormat/>
    <w:rsid w:val="00D03556"/>
    <w:pPr>
      <w:tabs>
        <w:tab w:val="left" w:pos="907"/>
        <w:tab w:val="left" w:pos="1701"/>
        <w:tab w:val="right" w:pos="7371"/>
      </w:tabs>
      <w:spacing w:before="240"/>
      <w:ind w:left="397" w:hanging="397"/>
    </w:pPr>
    <w:rPr>
      <w:lang w:bidi="en-US"/>
    </w:rPr>
  </w:style>
  <w:style w:type="paragraph" w:customStyle="1" w:styleId="JuLista">
    <w:name w:val="Ju_List_a"/>
    <w:basedOn w:val="NormalJustified"/>
    <w:uiPriority w:val="23"/>
    <w:qFormat/>
    <w:rsid w:val="00D03556"/>
  </w:style>
  <w:style w:type="paragraph" w:customStyle="1" w:styleId="JuListi">
    <w:name w:val="Ju_List_i"/>
    <w:basedOn w:val="NormalJustified"/>
    <w:uiPriority w:val="23"/>
    <w:qFormat/>
    <w:rsid w:val="00D03556"/>
  </w:style>
  <w:style w:type="paragraph" w:styleId="Tekstkomentarza">
    <w:name w:val="annotation text"/>
    <w:basedOn w:val="Normalny"/>
    <w:link w:val="TekstkomentarzaZnak"/>
    <w:uiPriority w:val="98"/>
    <w:semiHidden/>
    <w:qFormat/>
    <w:rsid w:val="00D03556"/>
    <w:rPr>
      <w:sz w:val="20"/>
      <w:szCs w:val="20"/>
    </w:rPr>
  </w:style>
  <w:style w:type="paragraph" w:styleId="Tematkomentarza">
    <w:name w:val="annotation subject"/>
    <w:basedOn w:val="Tekstkomentarza"/>
    <w:next w:val="Tekstkomentarza"/>
    <w:link w:val="TematkomentarzaZnak"/>
    <w:uiPriority w:val="98"/>
    <w:semiHidden/>
    <w:qFormat/>
    <w:rsid w:val="00D03556"/>
    <w:rPr>
      <w:b/>
      <w:bCs/>
    </w:rPr>
  </w:style>
  <w:style w:type="paragraph" w:styleId="Tekstprzypisukocowego">
    <w:name w:val="endnote text"/>
    <w:basedOn w:val="Normalny"/>
    <w:link w:val="TekstprzypisukocowegoZnak"/>
    <w:uiPriority w:val="98"/>
    <w:semiHidden/>
    <w:rsid w:val="00D03556"/>
    <w:rPr>
      <w:sz w:val="20"/>
      <w:szCs w:val="20"/>
    </w:rPr>
  </w:style>
  <w:style w:type="paragraph" w:styleId="Mapadokumentu">
    <w:name w:val="Document Map"/>
    <w:basedOn w:val="Normalny"/>
    <w:link w:val="MapadokumentuZnak"/>
    <w:uiPriority w:val="98"/>
    <w:semiHidden/>
    <w:qFormat/>
    <w:rsid w:val="00D03556"/>
    <w:rPr>
      <w:rFonts w:ascii="Tahoma" w:hAnsi="Tahoma" w:cs="Tahoma"/>
      <w:sz w:val="16"/>
      <w:szCs w:val="16"/>
    </w:rPr>
  </w:style>
  <w:style w:type="paragraph" w:styleId="Listapunktowana">
    <w:name w:val="List Bullet"/>
    <w:basedOn w:val="Normalny"/>
    <w:uiPriority w:val="98"/>
    <w:semiHidden/>
    <w:qFormat/>
    <w:rsid w:val="00D03556"/>
  </w:style>
  <w:style w:type="paragraph" w:styleId="Podtytu">
    <w:name w:val="Subtitle"/>
    <w:basedOn w:val="Normalny"/>
    <w:next w:val="Normalny"/>
    <w:link w:val="PodtytuZnak"/>
    <w:uiPriority w:val="98"/>
    <w:semiHidden/>
    <w:qFormat/>
    <w:rsid w:val="00D03556"/>
    <w:pPr>
      <w:spacing w:after="600"/>
    </w:pPr>
    <w:rPr>
      <w:rFonts w:asciiTheme="majorHAnsi" w:eastAsiaTheme="majorEastAsia" w:hAnsiTheme="majorHAnsi" w:cstheme="majorBidi"/>
      <w:i/>
      <w:iCs/>
      <w:spacing w:val="13"/>
      <w:lang w:bidi="en-US"/>
    </w:rPr>
  </w:style>
  <w:style w:type="paragraph" w:styleId="Bibliografia">
    <w:name w:val="Bibliography"/>
    <w:basedOn w:val="Normalny"/>
    <w:next w:val="Normalny"/>
    <w:uiPriority w:val="98"/>
    <w:semiHidden/>
    <w:qFormat/>
    <w:rsid w:val="00D03556"/>
  </w:style>
  <w:style w:type="paragraph" w:styleId="Tekstblokowy">
    <w:name w:val="Block Text"/>
    <w:basedOn w:val="Normalny"/>
    <w:uiPriority w:val="98"/>
    <w:semiHidden/>
    <w:qFormat/>
    <w:rsid w:val="00D03556"/>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themeColor="accent1"/>
    </w:rPr>
  </w:style>
  <w:style w:type="paragraph" w:styleId="Tekstpodstawowy2">
    <w:name w:val="Body Text 2"/>
    <w:basedOn w:val="Normalny"/>
    <w:link w:val="Tekstpodstawowy2Znak"/>
    <w:uiPriority w:val="98"/>
    <w:semiHidden/>
    <w:qFormat/>
    <w:rsid w:val="00D03556"/>
    <w:pPr>
      <w:spacing w:after="120" w:line="480" w:lineRule="auto"/>
    </w:pPr>
  </w:style>
  <w:style w:type="paragraph" w:styleId="Tekstpodstawowy3">
    <w:name w:val="Body Text 3"/>
    <w:basedOn w:val="Normalny"/>
    <w:link w:val="Tekstpodstawowy3Znak"/>
    <w:uiPriority w:val="98"/>
    <w:semiHidden/>
    <w:qFormat/>
    <w:rsid w:val="00D03556"/>
    <w:pPr>
      <w:spacing w:after="120"/>
    </w:pPr>
    <w:rPr>
      <w:sz w:val="16"/>
      <w:szCs w:val="16"/>
    </w:rPr>
  </w:style>
  <w:style w:type="paragraph" w:styleId="Tekstpodstawowywcity">
    <w:name w:val="Body Text Indent"/>
    <w:basedOn w:val="Normalny"/>
    <w:link w:val="TekstpodstawowywcityZnak"/>
    <w:uiPriority w:val="98"/>
    <w:semiHidden/>
    <w:rsid w:val="00D03556"/>
    <w:pPr>
      <w:spacing w:after="120"/>
      <w:ind w:left="283"/>
    </w:pPr>
  </w:style>
  <w:style w:type="paragraph" w:styleId="Tekstpodstawowyzwciciem2">
    <w:name w:val="Body Text First Indent 2"/>
    <w:basedOn w:val="Tekstpodstawowywcity"/>
    <w:link w:val="Tekstpodstawowyzwciciem2Znak"/>
    <w:uiPriority w:val="98"/>
    <w:semiHidden/>
    <w:qFormat/>
    <w:rsid w:val="00D03556"/>
    <w:pPr>
      <w:spacing w:after="0"/>
      <w:ind w:left="360" w:firstLine="360"/>
    </w:pPr>
  </w:style>
  <w:style w:type="paragraph" w:styleId="Tekstpodstawowywcity2">
    <w:name w:val="Body Text Indent 2"/>
    <w:basedOn w:val="Normalny"/>
    <w:link w:val="Tekstpodstawowywcity2Znak"/>
    <w:uiPriority w:val="98"/>
    <w:semiHidden/>
    <w:qFormat/>
    <w:rsid w:val="00D03556"/>
    <w:pPr>
      <w:spacing w:after="120" w:line="480" w:lineRule="auto"/>
      <w:ind w:left="283"/>
    </w:pPr>
  </w:style>
  <w:style w:type="paragraph" w:styleId="Tekstpodstawowywcity3">
    <w:name w:val="Body Text Indent 3"/>
    <w:basedOn w:val="Normalny"/>
    <w:link w:val="Tekstpodstawowywcity3Znak"/>
    <w:uiPriority w:val="98"/>
    <w:semiHidden/>
    <w:qFormat/>
    <w:rsid w:val="00D03556"/>
    <w:pPr>
      <w:spacing w:after="120"/>
      <w:ind w:left="283"/>
    </w:pPr>
    <w:rPr>
      <w:sz w:val="16"/>
      <w:szCs w:val="16"/>
    </w:rPr>
  </w:style>
  <w:style w:type="paragraph" w:styleId="Zwrotpoegnalny">
    <w:name w:val="Closing"/>
    <w:basedOn w:val="Normalny"/>
    <w:link w:val="ZwrotpoegnalnyZnak"/>
    <w:uiPriority w:val="98"/>
    <w:semiHidden/>
    <w:qFormat/>
    <w:rsid w:val="00D03556"/>
    <w:pPr>
      <w:ind w:left="4252"/>
    </w:pPr>
  </w:style>
  <w:style w:type="paragraph" w:styleId="Data">
    <w:name w:val="Date"/>
    <w:basedOn w:val="Normalny"/>
    <w:next w:val="Normalny"/>
    <w:link w:val="DataZnak"/>
    <w:uiPriority w:val="98"/>
    <w:semiHidden/>
    <w:qFormat/>
    <w:rsid w:val="00D03556"/>
  </w:style>
  <w:style w:type="paragraph" w:styleId="Podpise-mail">
    <w:name w:val="E-mail Signature"/>
    <w:basedOn w:val="Normalny"/>
    <w:uiPriority w:val="98"/>
    <w:semiHidden/>
    <w:qFormat/>
    <w:rsid w:val="00D03556"/>
  </w:style>
  <w:style w:type="paragraph" w:styleId="Adresnakopercie">
    <w:name w:val="envelope address"/>
    <w:basedOn w:val="Normalny"/>
    <w:uiPriority w:val="98"/>
    <w:semiHidden/>
    <w:qFormat/>
    <w:rsid w:val="00D03556"/>
    <w:pPr>
      <w:ind w:left="2835"/>
    </w:pPr>
    <w:rPr>
      <w:rFonts w:asciiTheme="majorHAnsi" w:eastAsiaTheme="majorEastAsia" w:hAnsiTheme="majorHAnsi" w:cstheme="majorBidi"/>
    </w:rPr>
  </w:style>
  <w:style w:type="paragraph" w:styleId="Adreszwrotnynakopercie">
    <w:name w:val="envelope return"/>
    <w:basedOn w:val="Normalny"/>
    <w:uiPriority w:val="98"/>
    <w:semiHidden/>
    <w:qFormat/>
    <w:rsid w:val="00D03556"/>
    <w:rPr>
      <w:rFonts w:asciiTheme="majorHAnsi" w:eastAsiaTheme="majorEastAsia" w:hAnsiTheme="majorHAnsi" w:cstheme="majorBidi"/>
      <w:sz w:val="20"/>
      <w:szCs w:val="20"/>
    </w:rPr>
  </w:style>
  <w:style w:type="paragraph" w:styleId="HTML-adres">
    <w:name w:val="HTML Address"/>
    <w:basedOn w:val="Normalny"/>
    <w:uiPriority w:val="98"/>
    <w:semiHidden/>
    <w:qFormat/>
    <w:rsid w:val="00D03556"/>
    <w:rPr>
      <w:i/>
      <w:iCs/>
    </w:rPr>
  </w:style>
  <w:style w:type="paragraph" w:styleId="HTML-wstpniesformatowany">
    <w:name w:val="HTML Preformatted"/>
    <w:basedOn w:val="Normalny"/>
    <w:uiPriority w:val="98"/>
    <w:semiHidden/>
    <w:qFormat/>
    <w:rsid w:val="00D03556"/>
    <w:rPr>
      <w:rFonts w:ascii="Consolas" w:hAnsi="Consolas" w:cs="Consolas"/>
      <w:sz w:val="20"/>
      <w:szCs w:val="20"/>
    </w:rPr>
  </w:style>
  <w:style w:type="paragraph" w:styleId="Indeks1">
    <w:name w:val="index 1"/>
    <w:basedOn w:val="Normalny"/>
    <w:next w:val="Normalny"/>
    <w:autoRedefine/>
    <w:uiPriority w:val="98"/>
    <w:semiHidden/>
    <w:qFormat/>
    <w:rsid w:val="00D03556"/>
    <w:pPr>
      <w:ind w:left="240" w:hanging="240"/>
    </w:pPr>
  </w:style>
  <w:style w:type="paragraph" w:styleId="Indeks2">
    <w:name w:val="index 2"/>
    <w:basedOn w:val="Normalny"/>
    <w:next w:val="Normalny"/>
    <w:autoRedefine/>
    <w:uiPriority w:val="98"/>
    <w:semiHidden/>
    <w:qFormat/>
    <w:rsid w:val="00D03556"/>
    <w:pPr>
      <w:ind w:left="480" w:hanging="240"/>
    </w:pPr>
  </w:style>
  <w:style w:type="paragraph" w:styleId="Indeks3">
    <w:name w:val="index 3"/>
    <w:basedOn w:val="Normalny"/>
    <w:next w:val="Normalny"/>
    <w:autoRedefine/>
    <w:uiPriority w:val="98"/>
    <w:semiHidden/>
    <w:qFormat/>
    <w:rsid w:val="00D03556"/>
    <w:pPr>
      <w:ind w:left="720" w:hanging="240"/>
    </w:pPr>
  </w:style>
  <w:style w:type="paragraph" w:styleId="Indeks4">
    <w:name w:val="index 4"/>
    <w:basedOn w:val="Normalny"/>
    <w:next w:val="Normalny"/>
    <w:autoRedefine/>
    <w:uiPriority w:val="98"/>
    <w:semiHidden/>
    <w:qFormat/>
    <w:rsid w:val="00D03556"/>
    <w:pPr>
      <w:ind w:left="960" w:hanging="240"/>
    </w:pPr>
  </w:style>
  <w:style w:type="paragraph" w:styleId="Indeks5">
    <w:name w:val="index 5"/>
    <w:basedOn w:val="Normalny"/>
    <w:next w:val="Normalny"/>
    <w:autoRedefine/>
    <w:uiPriority w:val="98"/>
    <w:semiHidden/>
    <w:qFormat/>
    <w:rsid w:val="00D03556"/>
    <w:pPr>
      <w:ind w:left="1200" w:hanging="240"/>
    </w:pPr>
  </w:style>
  <w:style w:type="paragraph" w:styleId="Indeks6">
    <w:name w:val="index 6"/>
    <w:basedOn w:val="Normalny"/>
    <w:next w:val="Normalny"/>
    <w:autoRedefine/>
    <w:uiPriority w:val="98"/>
    <w:semiHidden/>
    <w:qFormat/>
    <w:rsid w:val="00D03556"/>
    <w:pPr>
      <w:ind w:left="1440" w:hanging="240"/>
    </w:pPr>
  </w:style>
  <w:style w:type="paragraph" w:styleId="Indeks7">
    <w:name w:val="index 7"/>
    <w:basedOn w:val="Normalny"/>
    <w:next w:val="Normalny"/>
    <w:autoRedefine/>
    <w:uiPriority w:val="98"/>
    <w:semiHidden/>
    <w:qFormat/>
    <w:rsid w:val="00D03556"/>
    <w:pPr>
      <w:ind w:left="1680" w:hanging="240"/>
    </w:pPr>
  </w:style>
  <w:style w:type="paragraph" w:styleId="Indeks8">
    <w:name w:val="index 8"/>
    <w:basedOn w:val="Normalny"/>
    <w:next w:val="Normalny"/>
    <w:autoRedefine/>
    <w:uiPriority w:val="98"/>
    <w:semiHidden/>
    <w:qFormat/>
    <w:rsid w:val="00D03556"/>
    <w:pPr>
      <w:ind w:left="1920" w:hanging="240"/>
    </w:pPr>
  </w:style>
  <w:style w:type="paragraph" w:styleId="Indeks9">
    <w:name w:val="index 9"/>
    <w:basedOn w:val="Normalny"/>
    <w:next w:val="Normalny"/>
    <w:autoRedefine/>
    <w:uiPriority w:val="98"/>
    <w:semiHidden/>
    <w:qFormat/>
    <w:rsid w:val="00D03556"/>
    <w:pPr>
      <w:ind w:left="2160" w:hanging="240"/>
    </w:pPr>
  </w:style>
  <w:style w:type="paragraph" w:styleId="Nagwekindeksu">
    <w:name w:val="index heading"/>
    <w:basedOn w:val="Normalny"/>
    <w:next w:val="Indeks1"/>
    <w:uiPriority w:val="98"/>
    <w:semiHidden/>
    <w:qFormat/>
    <w:rsid w:val="00D03556"/>
    <w:rPr>
      <w:rFonts w:asciiTheme="majorHAnsi" w:eastAsiaTheme="majorEastAsia" w:hAnsiTheme="majorHAnsi" w:cstheme="majorBidi"/>
      <w:b/>
      <w:bCs/>
    </w:rPr>
  </w:style>
  <w:style w:type="paragraph" w:styleId="Listapunktowana3">
    <w:name w:val="List Bullet 3"/>
    <w:basedOn w:val="Normalny"/>
    <w:uiPriority w:val="98"/>
    <w:semiHidden/>
    <w:qFormat/>
    <w:rsid w:val="00D03556"/>
    <w:pPr>
      <w:contextualSpacing/>
    </w:pPr>
  </w:style>
  <w:style w:type="paragraph" w:styleId="Listapunktowana4">
    <w:name w:val="List Bullet 4"/>
    <w:basedOn w:val="Normalny"/>
    <w:uiPriority w:val="98"/>
    <w:semiHidden/>
    <w:qFormat/>
    <w:rsid w:val="00D03556"/>
    <w:pPr>
      <w:contextualSpacing/>
    </w:pPr>
  </w:style>
  <w:style w:type="paragraph" w:styleId="Listapunktowana5">
    <w:name w:val="List Bullet 5"/>
    <w:basedOn w:val="Normalny"/>
    <w:uiPriority w:val="98"/>
    <w:semiHidden/>
    <w:qFormat/>
    <w:rsid w:val="00D03556"/>
    <w:pPr>
      <w:contextualSpacing/>
    </w:pPr>
  </w:style>
  <w:style w:type="paragraph" w:styleId="Listanumerowana">
    <w:name w:val="List Number"/>
    <w:basedOn w:val="Normalny"/>
    <w:uiPriority w:val="98"/>
    <w:semiHidden/>
    <w:qFormat/>
    <w:rsid w:val="00D03556"/>
    <w:pPr>
      <w:contextualSpacing/>
    </w:pPr>
  </w:style>
  <w:style w:type="paragraph" w:styleId="Listapunktowana2">
    <w:name w:val="List Bullet 2"/>
    <w:basedOn w:val="Normalny"/>
    <w:uiPriority w:val="98"/>
    <w:semiHidden/>
    <w:qFormat/>
    <w:rsid w:val="00D03556"/>
    <w:pPr>
      <w:contextualSpacing/>
    </w:pPr>
  </w:style>
  <w:style w:type="paragraph" w:styleId="Lista-kontynuacja">
    <w:name w:val="List Continue"/>
    <w:basedOn w:val="Normalny"/>
    <w:uiPriority w:val="98"/>
    <w:semiHidden/>
    <w:qFormat/>
    <w:rsid w:val="00D03556"/>
    <w:pPr>
      <w:spacing w:after="120"/>
      <w:ind w:left="283"/>
      <w:contextualSpacing/>
    </w:pPr>
  </w:style>
  <w:style w:type="paragraph" w:styleId="Lista-kontynuacja2">
    <w:name w:val="List Continue 2"/>
    <w:basedOn w:val="Normalny"/>
    <w:uiPriority w:val="98"/>
    <w:semiHidden/>
    <w:qFormat/>
    <w:rsid w:val="00D03556"/>
    <w:pPr>
      <w:spacing w:after="120"/>
      <w:ind w:left="566"/>
      <w:contextualSpacing/>
    </w:pPr>
  </w:style>
  <w:style w:type="paragraph" w:styleId="Lista-kontynuacja3">
    <w:name w:val="List Continue 3"/>
    <w:basedOn w:val="Normalny"/>
    <w:uiPriority w:val="98"/>
    <w:semiHidden/>
    <w:qFormat/>
    <w:rsid w:val="00D03556"/>
    <w:pPr>
      <w:spacing w:after="120"/>
      <w:ind w:left="849"/>
      <w:contextualSpacing/>
    </w:pPr>
  </w:style>
  <w:style w:type="paragraph" w:styleId="Lista-kontynuacja4">
    <w:name w:val="List Continue 4"/>
    <w:basedOn w:val="Normalny"/>
    <w:uiPriority w:val="98"/>
    <w:semiHidden/>
    <w:qFormat/>
    <w:rsid w:val="00D03556"/>
    <w:pPr>
      <w:spacing w:after="120"/>
      <w:ind w:left="1132"/>
      <w:contextualSpacing/>
    </w:pPr>
  </w:style>
  <w:style w:type="paragraph" w:styleId="Lista-kontynuacja5">
    <w:name w:val="List Continue 5"/>
    <w:basedOn w:val="Normalny"/>
    <w:uiPriority w:val="98"/>
    <w:semiHidden/>
    <w:qFormat/>
    <w:rsid w:val="00D03556"/>
    <w:pPr>
      <w:spacing w:after="120"/>
      <w:ind w:left="1415"/>
      <w:contextualSpacing/>
    </w:pPr>
  </w:style>
  <w:style w:type="paragraph" w:styleId="Listanumerowana2">
    <w:name w:val="List Number 2"/>
    <w:basedOn w:val="Normalny"/>
    <w:uiPriority w:val="98"/>
    <w:semiHidden/>
    <w:qFormat/>
    <w:rsid w:val="00D03556"/>
    <w:pPr>
      <w:contextualSpacing/>
    </w:pPr>
  </w:style>
  <w:style w:type="paragraph" w:styleId="Listanumerowana3">
    <w:name w:val="List Number 3"/>
    <w:basedOn w:val="Normalny"/>
    <w:uiPriority w:val="98"/>
    <w:semiHidden/>
    <w:qFormat/>
    <w:rsid w:val="00D03556"/>
    <w:pPr>
      <w:contextualSpacing/>
    </w:pPr>
  </w:style>
  <w:style w:type="paragraph" w:styleId="Listanumerowana4">
    <w:name w:val="List Number 4"/>
    <w:basedOn w:val="Normalny"/>
    <w:uiPriority w:val="98"/>
    <w:semiHidden/>
    <w:qFormat/>
    <w:rsid w:val="00D03556"/>
    <w:pPr>
      <w:contextualSpacing/>
    </w:pPr>
  </w:style>
  <w:style w:type="paragraph" w:styleId="Listanumerowana5">
    <w:name w:val="List Number 5"/>
    <w:basedOn w:val="Normalny"/>
    <w:uiPriority w:val="98"/>
    <w:semiHidden/>
    <w:qFormat/>
    <w:rsid w:val="00D03556"/>
    <w:pPr>
      <w:contextualSpacing/>
    </w:pPr>
  </w:style>
  <w:style w:type="paragraph" w:styleId="Tekstmakra">
    <w:name w:val="macro"/>
    <w:link w:val="TekstmakraZnak"/>
    <w:uiPriority w:val="98"/>
    <w:semiHidden/>
    <w:qFormat/>
    <w:rsid w:val="00D0355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Cs w:val="20"/>
    </w:rPr>
  </w:style>
  <w:style w:type="paragraph" w:styleId="Nagwekwiadomoci">
    <w:name w:val="Message Header"/>
    <w:basedOn w:val="Normalny"/>
    <w:link w:val="NagwekwiadomociZnak"/>
    <w:uiPriority w:val="98"/>
    <w:semiHidden/>
    <w:qFormat/>
    <w:rsid w:val="00D03556"/>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cstheme="majorBidi"/>
    </w:rPr>
  </w:style>
  <w:style w:type="paragraph" w:styleId="NormalnyWeb">
    <w:name w:val="Normal (Web)"/>
    <w:basedOn w:val="Normalny"/>
    <w:uiPriority w:val="98"/>
    <w:semiHidden/>
    <w:qFormat/>
    <w:rsid w:val="00D03556"/>
    <w:rPr>
      <w:rFonts w:ascii="Times New Roman" w:hAnsi="Times New Roman" w:cs="Times New Roman"/>
    </w:rPr>
  </w:style>
  <w:style w:type="paragraph" w:styleId="Wcicienormalne">
    <w:name w:val="Normal Indent"/>
    <w:basedOn w:val="Normalny"/>
    <w:uiPriority w:val="98"/>
    <w:semiHidden/>
    <w:qFormat/>
    <w:rsid w:val="00D03556"/>
    <w:pPr>
      <w:ind w:left="720"/>
    </w:pPr>
  </w:style>
  <w:style w:type="paragraph" w:customStyle="1" w:styleId="ECHRFooterLineLandscape">
    <w:name w:val="ECHR_Footer_Line_Landscape"/>
    <w:basedOn w:val="Normalny"/>
    <w:uiPriority w:val="30"/>
    <w:semiHidden/>
    <w:qFormat/>
    <w:rsid w:val="00D03556"/>
    <w:pPr>
      <w:pBdr>
        <w:top w:val="single" w:sz="8" w:space="1" w:color="7F7F7F"/>
      </w:pBdr>
      <w:tabs>
        <w:tab w:val="center" w:pos="6146"/>
        <w:tab w:val="right" w:pos="12293"/>
      </w:tabs>
      <w:ind w:left="-1474" w:right="-1474"/>
    </w:pPr>
    <w:rPr>
      <w:color w:val="474747" w:themeColor="accent3" w:themeShade="BF"/>
      <w:sz w:val="22"/>
    </w:rPr>
  </w:style>
  <w:style w:type="paragraph" w:customStyle="1" w:styleId="ECHRParaHanging">
    <w:name w:val="ECHR_Para_Hanging"/>
    <w:basedOn w:val="NormalJustified"/>
    <w:uiPriority w:val="8"/>
    <w:semiHidden/>
    <w:qFormat/>
    <w:rsid w:val="00D03556"/>
    <w:pPr>
      <w:ind w:left="567" w:hanging="567"/>
    </w:pPr>
  </w:style>
  <w:style w:type="paragraph" w:styleId="Zwykytekst">
    <w:name w:val="Plain Text"/>
    <w:basedOn w:val="Normalny"/>
    <w:link w:val="ZwykytekstZnak"/>
    <w:uiPriority w:val="98"/>
    <w:semiHidden/>
    <w:qFormat/>
    <w:rsid w:val="00D03556"/>
    <w:rPr>
      <w:rFonts w:ascii="Consolas" w:hAnsi="Consolas" w:cs="Consolas"/>
      <w:sz w:val="21"/>
      <w:szCs w:val="21"/>
    </w:rPr>
  </w:style>
  <w:style w:type="paragraph" w:styleId="Zwrotgrzecznociowy">
    <w:name w:val="Salutation"/>
    <w:basedOn w:val="Normalny"/>
    <w:next w:val="Normalny"/>
    <w:link w:val="ZwrotgrzecznociowyZnak"/>
    <w:uiPriority w:val="98"/>
    <w:semiHidden/>
    <w:rsid w:val="00D03556"/>
  </w:style>
  <w:style w:type="paragraph" w:styleId="Podpis">
    <w:name w:val="Signature"/>
    <w:basedOn w:val="Normalny"/>
    <w:uiPriority w:val="98"/>
    <w:semiHidden/>
    <w:rsid w:val="00D03556"/>
    <w:pPr>
      <w:ind w:left="4252"/>
    </w:pPr>
  </w:style>
  <w:style w:type="paragraph" w:styleId="Wykazrde">
    <w:name w:val="table of authorities"/>
    <w:basedOn w:val="Normalny"/>
    <w:next w:val="Normalny"/>
    <w:uiPriority w:val="98"/>
    <w:semiHidden/>
    <w:qFormat/>
    <w:rsid w:val="00D03556"/>
    <w:pPr>
      <w:ind w:left="240" w:hanging="240"/>
    </w:pPr>
  </w:style>
  <w:style w:type="paragraph" w:styleId="Spisilustracji">
    <w:name w:val="table of figures"/>
    <w:basedOn w:val="Normalny"/>
    <w:next w:val="Normalny"/>
    <w:uiPriority w:val="98"/>
    <w:semiHidden/>
    <w:qFormat/>
    <w:rsid w:val="00D03556"/>
  </w:style>
  <w:style w:type="paragraph" w:styleId="Spistreci6">
    <w:name w:val="toc 6"/>
    <w:basedOn w:val="Normalny"/>
    <w:next w:val="Normalny"/>
    <w:autoRedefine/>
    <w:uiPriority w:val="98"/>
    <w:semiHidden/>
    <w:rsid w:val="00D0355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0355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03556"/>
    <w:pPr>
      <w:spacing w:after="100"/>
      <w:ind w:left="1680"/>
    </w:pPr>
  </w:style>
  <w:style w:type="paragraph" w:styleId="Spistreci9">
    <w:name w:val="toc 9"/>
    <w:basedOn w:val="Normalny"/>
    <w:next w:val="Normalny"/>
    <w:autoRedefine/>
    <w:uiPriority w:val="98"/>
    <w:semiHidden/>
    <w:rsid w:val="00D03556"/>
    <w:pPr>
      <w:spacing w:after="100"/>
      <w:ind w:left="1920"/>
    </w:pPr>
  </w:style>
  <w:style w:type="paragraph" w:customStyle="1" w:styleId="ECHRHeading9">
    <w:name w:val="ECHR_Heading_9"/>
    <w:basedOn w:val="Nagwek9"/>
    <w:uiPriority w:val="17"/>
    <w:semiHidden/>
    <w:qFormat/>
    <w:rsid w:val="00D03556"/>
    <w:pPr>
      <w:keepNext/>
      <w:keepLines/>
      <w:spacing w:beforeAutospacing="1"/>
      <w:contextualSpacing/>
      <w:jc w:val="both"/>
    </w:pPr>
    <w:rPr>
      <w:i w:val="0"/>
      <w:sz w:val="18"/>
    </w:rPr>
  </w:style>
  <w:style w:type="paragraph" w:customStyle="1" w:styleId="DecHTitle">
    <w:name w:val="Dec_H_Title"/>
    <w:basedOn w:val="JuPara"/>
    <w:next w:val="JuPara"/>
    <w:uiPriority w:val="38"/>
    <w:qFormat/>
    <w:rsid w:val="00D03556"/>
    <w:pPr>
      <w:keepNext/>
      <w:keepLines/>
      <w:spacing w:after="240"/>
      <w:ind w:firstLine="0"/>
      <w:jc w:val="center"/>
      <w:outlineLvl w:val="0"/>
    </w:pPr>
    <w:rPr>
      <w:rFonts w:asciiTheme="majorHAnsi" w:hAnsiTheme="majorHAnsi"/>
      <w:sz w:val="28"/>
    </w:rPr>
  </w:style>
  <w:style w:type="paragraph" w:customStyle="1" w:styleId="ECHRParaIndent">
    <w:name w:val="ECHR_Para_Indent"/>
    <w:basedOn w:val="NormalJustified"/>
    <w:uiPriority w:val="7"/>
    <w:semiHidden/>
    <w:qFormat/>
    <w:rsid w:val="00D03556"/>
    <w:pPr>
      <w:spacing w:before="120" w:after="120"/>
      <w:ind w:left="284"/>
    </w:pPr>
  </w:style>
  <w:style w:type="paragraph" w:customStyle="1" w:styleId="JuJudges">
    <w:name w:val="Ju_Judges"/>
    <w:basedOn w:val="Normalny"/>
    <w:uiPriority w:val="32"/>
    <w:qFormat/>
    <w:rsid w:val="00D03556"/>
    <w:pPr>
      <w:tabs>
        <w:tab w:val="left" w:pos="567"/>
        <w:tab w:val="left" w:pos="1134"/>
      </w:tabs>
    </w:pPr>
  </w:style>
  <w:style w:type="paragraph" w:customStyle="1" w:styleId="ECHRLine">
    <w:name w:val="ECHR_Line"/>
    <w:basedOn w:val="NormalJustified"/>
    <w:next w:val="Normalny"/>
    <w:uiPriority w:val="46"/>
    <w:semiHidden/>
    <w:qFormat/>
    <w:rsid w:val="00D03556"/>
    <w:pPr>
      <w:pBdr>
        <w:bottom w:val="single" w:sz="12" w:space="1" w:color="949494"/>
      </w:pBdr>
      <w:spacing w:after="120"/>
    </w:pPr>
    <w:rPr>
      <w:sz w:val="12"/>
    </w:rPr>
  </w:style>
  <w:style w:type="paragraph" w:styleId="Nagweknotatki">
    <w:name w:val="Note Heading"/>
    <w:basedOn w:val="Normalny"/>
    <w:next w:val="Normalny"/>
    <w:link w:val="NagweknotatkiZnak"/>
    <w:uiPriority w:val="98"/>
    <w:semiHidden/>
    <w:qFormat/>
    <w:rsid w:val="00D03556"/>
  </w:style>
  <w:style w:type="paragraph" w:customStyle="1" w:styleId="JuHeaderLandscape">
    <w:name w:val="Ju_Header_Landscape"/>
    <w:basedOn w:val="JuHeader"/>
    <w:uiPriority w:val="4"/>
    <w:qFormat/>
    <w:rsid w:val="00464097"/>
    <w:pPr>
      <w:tabs>
        <w:tab w:val="center" w:pos="6146"/>
        <w:tab w:val="right" w:pos="12293"/>
      </w:tabs>
    </w:pPr>
  </w:style>
  <w:style w:type="paragraph" w:styleId="Poprawka">
    <w:name w:val="Revision"/>
    <w:uiPriority w:val="99"/>
    <w:semiHidden/>
    <w:qFormat/>
    <w:rsid w:val="0088351E"/>
    <w:rPr>
      <w:rFonts w:ascii="Times New Roman" w:eastAsiaTheme="minorEastAsia" w:hAnsi="Times New Roman"/>
      <w:sz w:val="24"/>
    </w:rPr>
  </w:style>
  <w:style w:type="paragraph" w:customStyle="1" w:styleId="DecList">
    <w:name w:val="Dec_List"/>
    <w:basedOn w:val="JuList"/>
    <w:uiPriority w:val="22"/>
    <w:qFormat/>
    <w:rsid w:val="00D03556"/>
    <w:pPr>
      <w:ind w:left="284"/>
    </w:pPr>
  </w:style>
  <w:style w:type="paragraph" w:customStyle="1" w:styleId="ECHRNumberedList1">
    <w:name w:val="ECHR_Numbered_List_1"/>
    <w:basedOn w:val="NormalJustified"/>
    <w:uiPriority w:val="23"/>
    <w:semiHidden/>
    <w:qFormat/>
    <w:rsid w:val="00D03556"/>
    <w:pPr>
      <w:spacing w:before="60" w:after="60"/>
    </w:pPr>
  </w:style>
  <w:style w:type="paragraph" w:customStyle="1" w:styleId="ECHRNumberedList2">
    <w:name w:val="ECHR_Numbered_List_2"/>
    <w:basedOn w:val="ECHRNumberedList1"/>
    <w:uiPriority w:val="23"/>
    <w:semiHidden/>
    <w:qFormat/>
    <w:rsid w:val="00D03556"/>
  </w:style>
  <w:style w:type="paragraph" w:customStyle="1" w:styleId="ECHRNumberedList3">
    <w:name w:val="ECHR_Numbered_List_3"/>
    <w:basedOn w:val="ECHRNumberedList2"/>
    <w:uiPriority w:val="23"/>
    <w:semiHidden/>
    <w:qFormat/>
    <w:rsid w:val="00D03556"/>
  </w:style>
  <w:style w:type="paragraph" w:customStyle="1" w:styleId="ECHRHeaderDate">
    <w:name w:val="ECHR_Header_Date"/>
    <w:basedOn w:val="Normalny"/>
    <w:uiPriority w:val="44"/>
    <w:semiHidden/>
    <w:qFormat/>
    <w:rsid w:val="00D03556"/>
    <w:pPr>
      <w:jc w:val="right"/>
    </w:pPr>
    <w:rPr>
      <w:sz w:val="20"/>
    </w:rPr>
  </w:style>
  <w:style w:type="paragraph" w:customStyle="1" w:styleId="ECHRHeaderRefIt">
    <w:name w:val="ECHR_Header_Ref_It"/>
    <w:basedOn w:val="Normalny"/>
    <w:next w:val="ECHRHeaderDate"/>
    <w:uiPriority w:val="43"/>
    <w:semiHidden/>
    <w:qFormat/>
    <w:rsid w:val="00D03556"/>
    <w:pPr>
      <w:jc w:val="right"/>
    </w:pPr>
    <w:rPr>
      <w:i/>
      <w:sz w:val="20"/>
    </w:rPr>
  </w:style>
  <w:style w:type="paragraph" w:customStyle="1" w:styleId="ECHRSpacer">
    <w:name w:val="ECHR_Spacer"/>
    <w:basedOn w:val="Normalny"/>
    <w:uiPriority w:val="45"/>
    <w:semiHidden/>
    <w:qFormat/>
    <w:rsid w:val="00D03556"/>
    <w:rPr>
      <w:sz w:val="4"/>
    </w:rPr>
  </w:style>
  <w:style w:type="paragraph" w:customStyle="1" w:styleId="ECHRCoverTitle4">
    <w:name w:val="ECHR_Cover_Title_4"/>
    <w:basedOn w:val="JuPara"/>
    <w:next w:val="JuPara"/>
    <w:uiPriority w:val="38"/>
    <w:qFormat/>
    <w:rsid w:val="00D03556"/>
    <w:pPr>
      <w:keepNext/>
      <w:keepLines/>
      <w:tabs>
        <w:tab w:val="right" w:pos="7938"/>
      </w:tabs>
      <w:ind w:firstLine="0"/>
      <w:jc w:val="center"/>
    </w:pPr>
    <w:rPr>
      <w:i/>
    </w:rPr>
  </w:style>
  <w:style w:type="paragraph" w:customStyle="1" w:styleId="ECHRTitleCentre1">
    <w:name w:val="ECHR_Title_Centre_1"/>
    <w:basedOn w:val="Normalny"/>
    <w:next w:val="Normalny"/>
    <w:uiPriority w:val="26"/>
    <w:semiHidden/>
    <w:qFormat/>
    <w:rsid w:val="00D0355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basedOn w:val="Normalny"/>
    <w:next w:val="Normalny"/>
    <w:uiPriority w:val="26"/>
    <w:semiHidden/>
    <w:qFormat/>
    <w:rsid w:val="00D0355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basedOn w:val="Normalny"/>
    <w:next w:val="Normalny"/>
    <w:uiPriority w:val="26"/>
    <w:semiHidden/>
    <w:qFormat/>
    <w:rsid w:val="00D0355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basedOn w:val="ECHRTitleCentre1"/>
    <w:next w:val="Normalny"/>
    <w:uiPriority w:val="25"/>
    <w:semiHidden/>
    <w:qFormat/>
    <w:rsid w:val="00D03556"/>
    <w:pPr>
      <w:outlineLvl w:val="0"/>
    </w:pPr>
  </w:style>
  <w:style w:type="paragraph" w:customStyle="1" w:styleId="ECHRTitle1">
    <w:name w:val="ECHR_Title_1"/>
    <w:basedOn w:val="Normalny"/>
    <w:next w:val="Normalny"/>
    <w:uiPriority w:val="28"/>
    <w:semiHidden/>
    <w:qFormat/>
    <w:rsid w:val="00D0355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basedOn w:val="Normalny"/>
    <w:next w:val="Normalny"/>
    <w:uiPriority w:val="28"/>
    <w:semiHidden/>
    <w:qFormat/>
    <w:rsid w:val="00D0355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basedOn w:val="Normalny"/>
    <w:next w:val="Normalny"/>
    <w:uiPriority w:val="28"/>
    <w:semiHidden/>
    <w:qFormat/>
    <w:rsid w:val="00D03556"/>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basedOn w:val="ECHRTitle1"/>
    <w:next w:val="Normalny"/>
    <w:uiPriority w:val="27"/>
    <w:semiHidden/>
    <w:qFormat/>
    <w:rsid w:val="00D03556"/>
    <w:pPr>
      <w:outlineLvl w:val="0"/>
    </w:pPr>
  </w:style>
  <w:style w:type="paragraph" w:customStyle="1" w:styleId="Footer">
    <w:name w:val="_Footer"/>
    <w:basedOn w:val="Stopka"/>
    <w:uiPriority w:val="57"/>
    <w:semiHidden/>
    <w:qFormat/>
    <w:rsid w:val="00B66B5F"/>
    <w:rPr>
      <w:sz w:val="8"/>
    </w:rPr>
  </w:style>
  <w:style w:type="paragraph" w:customStyle="1" w:styleId="ECHRHeaderLandscape">
    <w:name w:val="ECHR_Header_Landscape"/>
    <w:basedOn w:val="JuHeader"/>
    <w:uiPriority w:val="29"/>
    <w:semiHidden/>
    <w:qFormat/>
    <w:rsid w:val="00D03556"/>
    <w:pPr>
      <w:tabs>
        <w:tab w:val="center" w:pos="6146"/>
        <w:tab w:val="right" w:pos="13778"/>
      </w:tabs>
      <w:ind w:left="-1474" w:right="-1474"/>
    </w:pPr>
  </w:style>
  <w:style w:type="paragraph" w:customStyle="1" w:styleId="ECHRPlaceholder">
    <w:name w:val="ECHR_Placeholder"/>
    <w:basedOn w:val="JuSigned"/>
    <w:uiPriority w:val="31"/>
    <w:qFormat/>
    <w:rsid w:val="00D03556"/>
    <w:rPr>
      <w:color w:val="FFFFFF"/>
    </w:rPr>
  </w:style>
  <w:style w:type="numbering" w:styleId="111111">
    <w:name w:val="Outline List 2"/>
    <w:uiPriority w:val="99"/>
    <w:semiHidden/>
    <w:unhideWhenUsed/>
    <w:qFormat/>
    <w:rsid w:val="00D03556"/>
  </w:style>
  <w:style w:type="numbering" w:styleId="1ai">
    <w:name w:val="Outline List 1"/>
    <w:uiPriority w:val="99"/>
    <w:semiHidden/>
    <w:unhideWhenUsed/>
    <w:qFormat/>
    <w:rsid w:val="00D03556"/>
  </w:style>
  <w:style w:type="numbering" w:styleId="Artykusekcja">
    <w:name w:val="Outline List 3"/>
    <w:uiPriority w:val="99"/>
    <w:semiHidden/>
    <w:unhideWhenUsed/>
    <w:qFormat/>
    <w:rsid w:val="00D03556"/>
  </w:style>
  <w:style w:type="numbering" w:customStyle="1" w:styleId="ECHRA1StyleBulletedSquare">
    <w:name w:val="ECHR_A1_Style_Bulleted_Square"/>
    <w:qFormat/>
    <w:rsid w:val="00D03556"/>
  </w:style>
  <w:style w:type="numbering" w:customStyle="1" w:styleId="ECHRA1StyleList">
    <w:name w:val="ECHR_A1_Style_List"/>
    <w:uiPriority w:val="99"/>
    <w:qFormat/>
    <w:rsid w:val="00D03556"/>
  </w:style>
  <w:style w:type="numbering" w:customStyle="1" w:styleId="ECHRA1StyleNumberedList">
    <w:name w:val="ECHR_A1_Style_Numbered_List"/>
    <w:qFormat/>
    <w:rsid w:val="00D03556"/>
  </w:style>
  <w:style w:type="table" w:customStyle="1" w:styleId="ECHRTable">
    <w:name w:val="ECHR_Table"/>
    <w:basedOn w:val="Standardowy"/>
    <w:rsid w:val="00D03556"/>
    <w:rPr>
      <w:szCs w:val="20"/>
      <w:lang w:val="en-GB"/>
    </w:rPr>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style>
  <w:style w:type="table" w:customStyle="1" w:styleId="ECHRTableBoxHeader">
    <w:name w:val="ECHR_Table_Box_Header"/>
    <w:basedOn w:val="Standardowy"/>
    <w:rsid w:val="00D03556"/>
    <w:rPr>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D03556"/>
    <w:rPr>
      <w:sz w:val="24"/>
      <w:szCs w:val="24"/>
    </w:rPr>
    <w:tblPr>
      <w:tblInd w:w="5103" w:type="dxa"/>
    </w:tblPr>
  </w:style>
  <w:style w:type="table" w:styleId="Tabela-Siatka">
    <w:name w:val="Table Grid"/>
    <w:basedOn w:val="Standardowy"/>
    <w:uiPriority w:val="59"/>
    <w:semiHidden/>
    <w:rsid w:val="00D0355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
    <w:name w:val="UG_Table"/>
    <w:basedOn w:val="Standardowy"/>
    <w:uiPriority w:val="99"/>
    <w:rsid w:val="00D03556"/>
    <w:rPr>
      <w:rFonts w:eastAsiaTheme="minorEastAsia"/>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D03556"/>
    <w:rPr>
      <w:rFonts w:eastAsiaTheme="minorEastAsia"/>
      <w:sz w:val="24"/>
      <w:szCs w:val="24"/>
      <w:lang w:val="en-GB" w:eastAsia="en-GB"/>
    </w:rPr>
    <w:tblPr>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D0355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afterLines="0" w:after="120" w:line="240" w:lineRule="auto"/>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0355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
    <w:name w:val="ECHR_Table_Memo"/>
    <w:basedOn w:val="Standardowy"/>
    <w:uiPriority w:val="99"/>
    <w:rsid w:val="00D03556"/>
    <w:rPr>
      <w:sz w:val="24"/>
      <w:szCs w:val="24"/>
    </w:rPr>
    <w:tblPr>
      <w:tblCellMar>
        <w:top w:w="113" w:type="dxa"/>
        <w:left w:w="0" w:type="dxa"/>
        <w:bottom w:w="113" w:type="dxa"/>
        <w:right w:w="0" w:type="dxa"/>
      </w:tblCellMar>
    </w:tblPr>
    <w:tblStylePr w:type="lastRow">
      <w:tblPr/>
      <w:tcPr>
        <w:tcBorders>
          <w:top w:val="nil"/>
          <w:left w:val="nil"/>
          <w:bottom w:val="single" w:sz="4" w:space="0" w:color="C6C6C6" w:themeColor="text2"/>
          <w:right w:val="nil"/>
          <w:insideH w:val="nil"/>
          <w:insideV w:val="nil"/>
          <w:tl2br w:val="nil"/>
          <w:tr2bl w:val="nil"/>
        </w:tcBorders>
      </w:tcPr>
    </w:tblStylePr>
  </w:style>
  <w:style w:type="table" w:customStyle="1" w:styleId="ECHRDNTable">
    <w:name w:val="ECHR_DN_Table"/>
    <w:basedOn w:val="Standardowy"/>
    <w:uiPriority w:val="99"/>
    <w:rsid w:val="00D03556"/>
    <w:rPr>
      <w:sz w:val="24"/>
      <w:szCs w:val="24"/>
    </w:rPr>
    <w:tblPr>
      <w:tblBorders>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57" w:type="dxa"/>
        <w:bottom w:w="57" w:type="dxa"/>
      </w:tblCellMar>
    </w:tblPr>
    <w:tcPr>
      <w:vAlign w:val="center"/>
    </w:tcPr>
    <w:tblStylePr w:type="firstRow">
      <w:pPr>
        <w:wordWrap/>
        <w:spacing w:beforeLines="0"/>
      </w:pPr>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nil"/>
          <w:right w:val="single" w:sz="4" w:space="0" w:color="C6C6C6" w:themeColor="text2"/>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D0355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0355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nil"/>
          <w:tl2br w:val="nil"/>
          <w:tr2bl w:val="nil"/>
        </w:tcBorders>
        <w:shd w:val="clear" w:color="auto" w:fill="DFDFDF" w:themeFill="background2" w:themeFillShade="E6"/>
      </w:tcPr>
    </w:tblStylePr>
    <w:tblStylePr w:type="firstCol">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tcPr>
    </w:tblStylePr>
  </w:style>
  <w:style w:type="table" w:customStyle="1" w:styleId="ECHRTableForInternalUse">
    <w:name w:val="ECHR_Table_For_Internal_Use"/>
    <w:basedOn w:val="Standardowy"/>
    <w:uiPriority w:val="99"/>
    <w:rsid w:val="00D03556"/>
    <w:rPr>
      <w:color w:val="636363" w:themeColor="text2" w:themeShade="80"/>
      <w:sz w:val="18"/>
      <w:szCs w:val="24"/>
    </w:rPr>
    <w:tblPr>
      <w:tblStyleColBandSize w:val="1"/>
      <w:tblCellMar>
        <w:top w:w="113" w:type="dxa"/>
        <w:bottom w:w="28" w:type="dxa"/>
      </w:tblCellMar>
    </w:tblPr>
    <w:tblStylePr w:type="firstRow">
      <w:rPr>
        <w:b/>
      </w:rPr>
    </w:tblStylePr>
    <w:tblStylePr w:type="lastCol">
      <w:pPr>
        <w:jc w:val="right"/>
      </w:p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tblStylePr w:type="band1Vert">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style>
  <w:style w:type="table" w:customStyle="1" w:styleId="ECHRListTable">
    <w:name w:val="ECHR_List_Table"/>
    <w:basedOn w:val="Standardowy"/>
    <w:uiPriority w:val="99"/>
    <w:rsid w:val="00D03556"/>
    <w:rPr>
      <w:sz w:val="24"/>
      <w:szCs w:val="24"/>
    </w:rPr>
    <w:tblPr>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b/>
        <w:color w:val="474747" w:themeColor="accent3" w:themeShade="BF"/>
      </w:rPr>
      <w:tblPr/>
      <w:trPr>
        <w:tblHeader/>
      </w:tr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shd w:val="clear" w:color="auto" w:fill="DFDFDF" w:themeFill="background2" w:themeFillShade="E6"/>
      </w:tcPr>
    </w:tblStylePr>
  </w:style>
  <w:style w:type="table" w:customStyle="1" w:styleId="ECHRHeaderTable">
    <w:name w:val="ECHR_Header_Table"/>
    <w:basedOn w:val="Standardowy"/>
    <w:uiPriority w:val="99"/>
    <w:rsid w:val="00D03556"/>
    <w:rPr>
      <w:sz w:val="24"/>
      <w:szCs w:val="24"/>
    </w:rPr>
    <w:tblPr>
      <w:tblInd w:w="-1474" w:type="dxa"/>
      <w:tblBorders>
        <w:bottom w:val="single" w:sz="6" w:space="0" w:color="C6C6C6" w:themeColor="text2"/>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D03556"/>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single" w:sz="4" w:space="0" w:color="C6C6C6" w:themeColor="text2"/>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0355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styleId="Kolorowasiatka">
    <w:name w:val="Colorful Grid"/>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0355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0355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0355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0355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0355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0355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0355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72BC" w:themeColor="accent1"/>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C00000" w:themeColor="accent2"/>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0355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5F5F5F" w:themeColor="accent3"/>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0355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969696" w:themeColor="accent4"/>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0355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5F5F5F" w:themeColor="accent5"/>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0355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4D4D4D" w:themeColor="accent6"/>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0355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0355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0355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0355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0355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0355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0355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0355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0355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0355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0355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0355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0355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0355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072BC" w:themeColor="accent1"/>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C00000" w:themeColor="accent2"/>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5F5F5F" w:themeColor="accent3"/>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969696" w:themeColor="accent4"/>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5F5F5F" w:themeColor="accent5"/>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4D4D4D" w:themeColor="accent6"/>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0355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0355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0355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0355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0355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0355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0355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Tabela-Efekty3D1">
    <w:name w:val="Table 3D effects 1"/>
    <w:basedOn w:val="Standardowy"/>
    <w:uiPriority w:val="99"/>
    <w:semiHidden/>
    <w:unhideWhenUsed/>
    <w:rsid w:val="00D0355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0355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0355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0355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0355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0355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03556"/>
    <w:pPr>
      <w:jc w:val="both"/>
    </w:pPr>
    <w:rPr>
      <w:sz w:val="24"/>
      <w:szCs w:val="24"/>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0355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0355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0355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0355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0355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0355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0355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0355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0355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0355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0355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0355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0355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0355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0355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0355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0355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esjonalny">
    <w:name w:val="Table Professional"/>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0355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0355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0355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0355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0355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03556"/>
    <w:pPr>
      <w:jc w:val="both"/>
    </w:pPr>
    <w:rPr>
      <w:sz w:val="24"/>
      <w:szCs w:val="24"/>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03556"/>
    <w:pPr>
      <w:jc w:val="both"/>
    </w:pPr>
    <w:rPr>
      <w:sz w:val="24"/>
      <w:szCs w:val="24"/>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03556"/>
    <w:pPr>
      <w:jc w:val="both"/>
    </w:pPr>
    <w:rPr>
      <w:sz w:val="24"/>
      <w:szCs w:val="24"/>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CHRHeaderTableReduced1">
    <w:name w:val="ECHR_Header_Table_Reduced1"/>
    <w:basedOn w:val="Standardowy"/>
    <w:uiPriority w:val="99"/>
    <w:rsid w:val="00CB7E6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customStyle="1" w:styleId="ECHRTable2">
    <w:name w:val="ECHR_Table_2"/>
    <w:basedOn w:val="Standardowy"/>
    <w:uiPriority w:val="99"/>
    <w:rsid w:val="00D03556"/>
    <w:rPr>
      <w:color w:val="262626" w:themeColor="text1" w:themeTint="D9"/>
      <w:sz w:val="24"/>
      <w:szCs w:val="24"/>
    </w:rPr>
    <w:tblPr>
      <w:tblStyleRowBandSize w:val="1"/>
      <w:tblStyleColBandSize w:val="1"/>
      <w:tblInd w:w="-964" w:type="dxa"/>
      <w:tblCellMar>
        <w:top w:w="85" w:type="dxa"/>
        <w:left w:w="113" w:type="dxa"/>
        <w:bottom w:w="85" w:type="dxa"/>
        <w:right w:w="113" w:type="dxa"/>
      </w:tblCellMar>
    </w:tbl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03556"/>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D03556"/>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Standardowy"/>
    <w:uiPriority w:val="99"/>
    <w:rsid w:val="00D03556"/>
    <w:tblPr>
      <w:tblBorders>
        <w:top w:val="single" w:sz="4" w:space="0" w:color="C6C6C6" w:themeColor="text2"/>
        <w:left w:val="single" w:sz="4" w:space="0" w:color="C6C6C6" w:themeColor="text2"/>
        <w:bottom w:val="single" w:sz="4" w:space="0" w:color="C6C6C6" w:themeColor="text2"/>
        <w:right w:val="single" w:sz="4" w:space="0" w:color="C6C6C6" w:themeColor="text2"/>
      </w:tblBorders>
      <w:tblCellMar>
        <w:top w:w="142" w:type="dxa"/>
        <w:bottom w:w="85" w:type="dxa"/>
      </w:tblCellMar>
    </w:tblPr>
    <w:tcPr>
      <w:shd w:val="clear" w:color="auto" w:fill="F8F8F8" w:themeFill="background2"/>
    </w:tcPr>
    <w:tblStylePr w:type="firstRow">
      <w:rPr>
        <w:b/>
        <w:color w:val="262626" w:themeColor="text1" w:themeTint="D9"/>
      </w:rPr>
    </w:tblStylePr>
  </w:style>
  <w:style w:type="table" w:styleId="Tabelasiatki1jasna">
    <w:name w:val="Grid Table 1 Light"/>
    <w:basedOn w:val="Standardowy"/>
    <w:uiPriority w:val="46"/>
    <w:semiHidden/>
    <w:rsid w:val="00BD16F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BD16F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0072BC" w:themeColor="accent1"/>
        </w:tcBorders>
      </w:tcPr>
    </w:tblStylePr>
    <w:tblStylePr w:type="lastRow">
      <w:rPr>
        <w:b/>
        <w:bCs/>
      </w:rPr>
      <w:tblPr/>
      <w:tcPr>
        <w:tcBorders>
          <w:top w:val="double" w:sz="2" w:space="0" w:color="0072BC" w:themeColor="accent1"/>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D16F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C00000" w:themeColor="accent2"/>
        </w:tcBorders>
      </w:tcPr>
    </w:tblStylePr>
    <w:tblStylePr w:type="lastRow">
      <w:rPr>
        <w:b/>
        <w:bCs/>
      </w:rPr>
      <w:tblPr/>
      <w:tcPr>
        <w:tcBorders>
          <w:top w:val="double" w:sz="2" w:space="0" w:color="C00000" w:themeColor="accent2"/>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D16F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5F5F5F" w:themeColor="accent3"/>
        </w:tcBorders>
      </w:tcPr>
    </w:tblStylePr>
    <w:tblStylePr w:type="lastRow">
      <w:rPr>
        <w:b/>
        <w:bCs/>
      </w:rPr>
      <w:tblPr/>
      <w:tcPr>
        <w:tcBorders>
          <w:top w:val="double" w:sz="2" w:space="0" w:color="5F5F5F" w:themeColor="accent3"/>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D16F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969696" w:themeColor="accent4"/>
        </w:tcBorders>
      </w:tcPr>
    </w:tblStylePr>
    <w:tblStylePr w:type="lastRow">
      <w:rPr>
        <w:b/>
        <w:bCs/>
      </w:rPr>
      <w:tblPr/>
      <w:tcPr>
        <w:tcBorders>
          <w:top w:val="double" w:sz="2" w:space="0" w:color="969696" w:themeColor="accent4"/>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D16F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5F5F5F" w:themeColor="accent5"/>
        </w:tcBorders>
      </w:tcPr>
    </w:tblStylePr>
    <w:tblStylePr w:type="lastRow">
      <w:rPr>
        <w:b/>
        <w:bCs/>
      </w:rPr>
      <w:tblPr/>
      <w:tcPr>
        <w:tcBorders>
          <w:top w:val="double" w:sz="2" w:space="0" w:color="5F5F5F" w:themeColor="accent5"/>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D16F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4D4D4D" w:themeColor="accent6"/>
        </w:tcBorders>
      </w:tcPr>
    </w:tblStylePr>
    <w:tblStylePr w:type="lastRow">
      <w:rPr>
        <w:b/>
        <w:bCs/>
      </w:rPr>
      <w:tblPr/>
      <w:tcPr>
        <w:tcBorders>
          <w:top w:val="double" w:sz="2" w:space="0" w:color="4D4D4D" w:themeColor="accent6"/>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D16F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0072BC" w:themeFill="background1"/>
      </w:tcPr>
    </w:tblStylePr>
    <w:tblStylePr w:type="lastRow">
      <w:rPr>
        <w:b/>
        <w:bCs/>
      </w:rPr>
      <w:tblPr/>
      <w:tcPr>
        <w:tcBorders>
          <w:top w:val="double" w:sz="2" w:space="0" w:color="000000" w:themeColor="tex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D16F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0072BC" w:themeColor="accent1"/>
          <w:insideH w:val="nil"/>
          <w:insideV w:val="nil"/>
        </w:tcBorders>
        <w:shd w:val="clear" w:color="auto" w:fill="0072BC" w:themeFill="background1"/>
      </w:tcPr>
    </w:tblStylePr>
    <w:tblStylePr w:type="lastRow">
      <w:rPr>
        <w:b/>
        <w:bCs/>
      </w:rPr>
      <w:tblPr/>
      <w:tcPr>
        <w:tcBorders>
          <w:top w:val="double" w:sz="2" w:space="0" w:color="0072BC" w:themeColor="accen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D16F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C00000" w:themeColor="accent2"/>
          <w:insideH w:val="nil"/>
          <w:insideV w:val="nil"/>
        </w:tcBorders>
        <w:shd w:val="clear" w:color="auto" w:fill="0072BC" w:themeFill="background1"/>
      </w:tcPr>
    </w:tblStylePr>
    <w:tblStylePr w:type="lastRow">
      <w:rPr>
        <w:b/>
        <w:bCs/>
      </w:rPr>
      <w:tblPr/>
      <w:tcPr>
        <w:tcBorders>
          <w:top w:val="double" w:sz="2" w:space="0" w:color="C00000" w:themeColor="accent2"/>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D16F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5F5F5F" w:themeColor="accent3"/>
          <w:insideH w:val="nil"/>
          <w:insideV w:val="nil"/>
        </w:tcBorders>
        <w:shd w:val="clear" w:color="auto" w:fill="0072BC" w:themeFill="background1"/>
      </w:tcPr>
    </w:tblStylePr>
    <w:tblStylePr w:type="lastRow">
      <w:rPr>
        <w:b/>
        <w:bCs/>
      </w:rPr>
      <w:tblPr/>
      <w:tcPr>
        <w:tcBorders>
          <w:top w:val="double" w:sz="2" w:space="0" w:color="5F5F5F" w:themeColor="accent3"/>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BD16F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969696" w:themeColor="accent4"/>
          <w:insideH w:val="nil"/>
          <w:insideV w:val="nil"/>
        </w:tcBorders>
        <w:shd w:val="clear" w:color="auto" w:fill="0072BC" w:themeFill="background1"/>
      </w:tcPr>
    </w:tblStylePr>
    <w:tblStylePr w:type="lastRow">
      <w:rPr>
        <w:b/>
        <w:bCs/>
      </w:rPr>
      <w:tblPr/>
      <w:tcPr>
        <w:tcBorders>
          <w:top w:val="double" w:sz="2" w:space="0" w:color="969696" w:themeColor="accent4"/>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D16F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5F5F5F" w:themeColor="accent5"/>
          <w:insideH w:val="nil"/>
          <w:insideV w:val="nil"/>
        </w:tcBorders>
        <w:shd w:val="clear" w:color="auto" w:fill="0072BC" w:themeFill="background1"/>
      </w:tcPr>
    </w:tblStylePr>
    <w:tblStylePr w:type="lastRow">
      <w:rPr>
        <w:b/>
        <w:bCs/>
      </w:rPr>
      <w:tblPr/>
      <w:tcPr>
        <w:tcBorders>
          <w:top w:val="double" w:sz="2" w:space="0" w:color="5F5F5F" w:themeColor="accent5"/>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D16F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4D4D4D" w:themeColor="accent6"/>
          <w:insideH w:val="nil"/>
          <w:insideV w:val="nil"/>
        </w:tcBorders>
        <w:shd w:val="clear" w:color="auto" w:fill="0072BC" w:themeFill="background1"/>
      </w:tcPr>
    </w:tblStylePr>
    <w:tblStylePr w:type="lastRow">
      <w:rPr>
        <w:b/>
        <w:bCs/>
      </w:rPr>
      <w:tblPr/>
      <w:tcPr>
        <w:tcBorders>
          <w:top w:val="double" w:sz="2" w:space="0" w:color="4D4D4D" w:themeColor="accent6"/>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3akcent1">
    <w:name w:val="Grid Table 3 Accent 1"/>
    <w:basedOn w:val="Standardowy"/>
    <w:uiPriority w:val="48"/>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3akcent2">
    <w:name w:val="Grid Table 3 Accent 2"/>
    <w:basedOn w:val="Standardowy"/>
    <w:uiPriority w:val="48"/>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3akcent3">
    <w:name w:val="Grid Table 3 Accent 3"/>
    <w:basedOn w:val="Standardowy"/>
    <w:uiPriority w:val="48"/>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3akcent4">
    <w:name w:val="Grid Table 3 Accent 4"/>
    <w:basedOn w:val="Standardowy"/>
    <w:uiPriority w:val="48"/>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3akcent5">
    <w:name w:val="Grid Table 3 Accent 5"/>
    <w:basedOn w:val="Standardowy"/>
    <w:uiPriority w:val="48"/>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3akcent6">
    <w:name w:val="Grid Table 3 Accent 6"/>
    <w:basedOn w:val="Standardowy"/>
    <w:uiPriority w:val="48"/>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siatki4">
    <w:name w:val="Grid Table 4"/>
    <w:basedOn w:val="Standardowy"/>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7kolorowaakcent1">
    <w:name w:val="Grid Table 7 Colorful Accent 1"/>
    <w:basedOn w:val="Standardowy"/>
    <w:uiPriority w:val="52"/>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7kolorowaakcent2">
    <w:name w:val="Grid Table 7 Colorful Accent 2"/>
    <w:basedOn w:val="Standardowy"/>
    <w:uiPriority w:val="52"/>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7kolorowaakcent3">
    <w:name w:val="Grid Table 7 Colorful Accent 3"/>
    <w:basedOn w:val="Standardowy"/>
    <w:uiPriority w:val="52"/>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7kolorowaakcent4">
    <w:name w:val="Grid Table 7 Colorful Accent 4"/>
    <w:basedOn w:val="Standardowy"/>
    <w:uiPriority w:val="52"/>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7kolorowaakcent5">
    <w:name w:val="Grid Table 7 Colorful Accent 5"/>
    <w:basedOn w:val="Standardowy"/>
    <w:uiPriority w:val="52"/>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7kolorowaakcent6">
    <w:name w:val="Grid Table 7 Colorful Accent 6"/>
    <w:basedOn w:val="Standardowy"/>
    <w:uiPriority w:val="52"/>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listy1jasna">
    <w:name w:val="List Table 1 Light"/>
    <w:basedOn w:val="Standardowy"/>
    <w:uiPriority w:val="46"/>
    <w:semiHidden/>
    <w:rsid w:val="00BD16F4"/>
    <w:tblPr>
      <w:tblStyleRowBandSize w:val="1"/>
      <w:tblStyleColBandSize w:val="1"/>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D16F4"/>
    <w:tblPr>
      <w:tblStyleRowBandSize w:val="1"/>
      <w:tblStyleColBandSize w:val="1"/>
    </w:tblPr>
    <w:tblStylePr w:type="firstRow">
      <w:rPr>
        <w:b/>
        <w:bCs/>
      </w:rPr>
      <w:tblPr/>
      <w:tcPr>
        <w:tcBorders>
          <w:bottom w:val="single" w:sz="4" w:space="0" w:color="0072BC" w:themeColor="accent1"/>
        </w:tcBorders>
      </w:tcPr>
    </w:tblStylePr>
    <w:tblStylePr w:type="lastRow">
      <w:rPr>
        <w:b/>
        <w:bCs/>
      </w:rPr>
      <w:tblPr/>
      <w:tcPr>
        <w:tcBorders>
          <w:top w:val="sing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D16F4"/>
    <w:tblPr>
      <w:tblStyleRowBandSize w:val="1"/>
      <w:tblStyleColBandSize w:val="1"/>
    </w:tblPr>
    <w:tblStylePr w:type="firstRow">
      <w:rPr>
        <w:b/>
        <w:bCs/>
      </w:rPr>
      <w:tblPr/>
      <w:tcPr>
        <w:tcBorders>
          <w:bottom w:val="single" w:sz="4" w:space="0" w:color="C00000" w:themeColor="accent2"/>
        </w:tcBorders>
      </w:tcPr>
    </w:tblStylePr>
    <w:tblStylePr w:type="lastRow">
      <w:rPr>
        <w:b/>
        <w:bCs/>
      </w:rPr>
      <w:tblPr/>
      <w:tcPr>
        <w:tcBorders>
          <w:top w:val="sing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D16F4"/>
    <w:tblPr>
      <w:tblStyleRowBandSize w:val="1"/>
      <w:tblStyleColBandSize w:val="1"/>
    </w:tblPr>
    <w:tblStylePr w:type="firstRow">
      <w:rPr>
        <w:b/>
        <w:bCs/>
      </w:rPr>
      <w:tblPr/>
      <w:tcPr>
        <w:tcBorders>
          <w:bottom w:val="single" w:sz="4" w:space="0" w:color="5F5F5F" w:themeColor="accent3"/>
        </w:tcBorders>
      </w:tcPr>
    </w:tblStylePr>
    <w:tblStylePr w:type="lastRow">
      <w:rPr>
        <w:b/>
        <w:bCs/>
      </w:rPr>
      <w:tblPr/>
      <w:tcPr>
        <w:tcBorders>
          <w:top w:val="sing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BD16F4"/>
    <w:tblPr>
      <w:tblStyleRowBandSize w:val="1"/>
      <w:tblStyleColBandSize w:val="1"/>
    </w:tblPr>
    <w:tblStylePr w:type="firstRow">
      <w:rPr>
        <w:b/>
        <w:bCs/>
      </w:rPr>
      <w:tblPr/>
      <w:tcPr>
        <w:tcBorders>
          <w:bottom w:val="single" w:sz="4" w:space="0" w:color="969696" w:themeColor="accent4"/>
        </w:tcBorders>
      </w:tcPr>
    </w:tblStylePr>
    <w:tblStylePr w:type="lastRow">
      <w:rPr>
        <w:b/>
        <w:bCs/>
      </w:rPr>
      <w:tblPr/>
      <w:tcPr>
        <w:tcBorders>
          <w:top w:val="sing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D16F4"/>
    <w:tblPr>
      <w:tblStyleRowBandSize w:val="1"/>
      <w:tblStyleColBandSize w:val="1"/>
    </w:tblPr>
    <w:tblStylePr w:type="firstRow">
      <w:rPr>
        <w:b/>
        <w:bCs/>
      </w:rPr>
      <w:tblPr/>
      <w:tcPr>
        <w:tcBorders>
          <w:bottom w:val="single" w:sz="4" w:space="0" w:color="5F5F5F" w:themeColor="accent5"/>
        </w:tcBorders>
      </w:tcPr>
    </w:tblStylePr>
    <w:tblStylePr w:type="lastRow">
      <w:rPr>
        <w:b/>
        <w:bCs/>
      </w:rPr>
      <w:tblPr/>
      <w:tcPr>
        <w:tcBorders>
          <w:top w:val="sing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D16F4"/>
    <w:tblPr>
      <w:tblStyleRowBandSize w:val="1"/>
      <w:tblStyleColBandSize w:val="1"/>
    </w:tblPr>
    <w:tblStylePr w:type="firstRow">
      <w:rPr>
        <w:b/>
        <w:bCs/>
      </w:rPr>
      <w:tblPr/>
      <w:tcPr>
        <w:tcBorders>
          <w:bottom w:val="single" w:sz="4" w:space="0" w:color="4D4D4D" w:themeColor="accent6"/>
        </w:tcBorders>
      </w:tcPr>
    </w:tblStylePr>
    <w:tblStylePr w:type="lastRow">
      <w:rPr>
        <w:b/>
        <w:bCs/>
      </w:rPr>
      <w:tblPr/>
      <w:tcPr>
        <w:tcBorders>
          <w:top w:val="sing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D16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D16F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D16F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D16F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BD16F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D16F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D16F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D16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D16F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D16F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D16F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BD16F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D16F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D16F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D16F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D16F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D16F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D16F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D16F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D16F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D16F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D16F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D16F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D16F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D16F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BD16F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D16F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D16F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D16F4"/>
    <w:rPr>
      <w:color w:val="000000" w:themeColor="text1"/>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D16F4"/>
    <w:rPr>
      <w:color w:val="00548C" w:themeColor="accent1"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D16F4"/>
    <w:rPr>
      <w:color w:val="8F0000" w:themeColor="accent2"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D16F4"/>
    <w:rPr>
      <w:color w:val="474747" w:themeColor="accent3"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D16F4"/>
    <w:rPr>
      <w:color w:val="707070" w:themeColor="accent4"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D16F4"/>
    <w:rPr>
      <w:color w:val="474747" w:themeColor="accent5"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D16F4"/>
    <w:rPr>
      <w:color w:val="393939" w:themeColor="accent6"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Zwykatabela1">
    <w:name w:val="Plain Table 1"/>
    <w:basedOn w:val="Standardowy"/>
    <w:uiPriority w:val="41"/>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blStylePr w:type="firstRow">
      <w:rPr>
        <w:b/>
        <w:bCs/>
      </w:rPr>
    </w:tblStylePr>
    <w:tblStylePr w:type="lastRow">
      <w:rPr>
        <w:b/>
        <w:bCs/>
      </w:rPr>
      <w:tblPr/>
      <w:tcPr>
        <w:tcBorders>
          <w:top w:val="double" w:sz="4" w:space="0" w:color="0072BC" w:themeColor="background1"/>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BD16F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43"/>
    <w:semiHidden/>
    <w:rsid w:val="00BD16F4"/>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D16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BD16F4"/>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atkatabelijasna">
    <w:name w:val="Grid Table Light"/>
    <w:basedOn w:val="Standardowy"/>
    <w:uiPriority w:val="40"/>
    <w:semiHidden/>
    <w:rsid w:val="00BD16F4"/>
    <w:tblPr>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9D53D5-675C-4170-87CC-96D3714FF9AF}">
  <ds:schemaRefs>
    <ds:schemaRef ds:uri="http://schemas.openxmlformats.org/officeDocument/2006/bibliography"/>
  </ds:schemaRefs>
</ds:datastoreItem>
</file>

<file path=customXml/itemProps2.xml><?xml version="1.0" encoding="utf-8"?>
<ds:datastoreItem xmlns:ds="http://schemas.openxmlformats.org/officeDocument/2006/customXml" ds:itemID="{64B8439B-F5F2-48A4-BF9A-3E692629C3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6F6CD-0DCC-4219-979C-DD0224BA9720}">
  <ds:schemaRefs>
    <ds:schemaRef ds:uri="http://schemas.microsoft.com/sharepoint/v3/contenttype/forms"/>
  </ds:schemaRefs>
</ds:datastoreItem>
</file>

<file path=customXml/itemProps4.xml><?xml version="1.0" encoding="utf-8"?>
<ds:datastoreItem xmlns:ds="http://schemas.openxmlformats.org/officeDocument/2006/customXml" ds:itemID="{1974CCB4-2B14-44D4-AA76-93151F639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4115</Words>
  <Characters>24692</Characters>
  <Application>Microsoft Office Word</Application>
  <DocSecurity>0</DocSecurity>
  <Lines>205</Lines>
  <Paragraphs>57</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ECHR</vt:lpstr>
      <vt:lpstr>ECHR</vt:lpstr>
    </vt:vector>
  </TitlesOfParts>
  <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Adam Szeligowski</dc:creator>
  <dc:description/>
  <cp:lastModifiedBy>Kiełbik Maciej  (DWMPC)</cp:lastModifiedBy>
  <cp:revision>5</cp:revision>
  <dcterms:created xsi:type="dcterms:W3CDTF">2022-04-15T14:13:00Z</dcterms:created>
  <dcterms:modified xsi:type="dcterms:W3CDTF">2022-04-20T11:24:00Z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ASEID">
    <vt:lpwstr>768707</vt:lpwstr>
  </property>
  <property fmtid="{D5CDD505-2E9C-101B-9397-08002B2CF9AE}" pid="4" name="ContentTypeId">
    <vt:lpwstr>0x010100558EB02BDB9E204AB350EDD385B68E10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RegisteredNo">
    <vt:lpwstr>66/12</vt:lpwstr>
  </property>
  <property fmtid="{D5CDD505-2E9C-101B-9397-08002B2CF9AE}" pid="9" name="ScaleCrop">
    <vt:bool>false</vt:bool>
  </property>
  <property fmtid="{D5CDD505-2E9C-101B-9397-08002B2CF9AE}" pid="10" name="ShareDoc">
    <vt:bool>false</vt:bool>
  </property>
  <property fmtid="{D5CDD505-2E9C-101B-9397-08002B2CF9AE}" pid="11" name="category">
    <vt:lpwstr>ECHR Template</vt:lpwstr>
  </property>
  <property fmtid="{D5CDD505-2E9C-101B-9397-08002B2CF9AE}" pid="12" name="cstLanguage">
    <vt:i4>2057</vt:i4>
  </property>
</Properties>
</file>