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BD58E" w14:textId="77777777" w:rsidR="003E162E" w:rsidRPr="0020706A" w:rsidRDefault="003E162E" w:rsidP="0020706A">
      <w:pPr>
        <w:jc w:val="center"/>
        <w:rPr>
          <w:rFonts w:ascii="Times New Roman" w:hAnsi="Times New Roman" w:cs="Times New Roman"/>
        </w:rPr>
      </w:pPr>
    </w:p>
    <w:p w14:paraId="7D5C7370" w14:textId="77777777" w:rsidR="0098410D" w:rsidRPr="0020706A" w:rsidRDefault="0098410D" w:rsidP="0020706A">
      <w:pPr>
        <w:jc w:val="center"/>
      </w:pPr>
    </w:p>
    <w:p w14:paraId="5EC57B22" w14:textId="3290E203" w:rsidR="0098410D" w:rsidRPr="0020706A" w:rsidRDefault="003E162E" w:rsidP="0020706A">
      <w:pPr>
        <w:pStyle w:val="DecHTitle"/>
        <w:keepNext w:val="0"/>
        <w:keepLines w:val="0"/>
      </w:pPr>
      <w:r>
        <w:t>SEKCJA</w:t>
      </w:r>
      <w:r w:rsidR="00A85F74">
        <w:t xml:space="preserve"> PIERWSZA</w:t>
      </w:r>
    </w:p>
    <w:p w14:paraId="5911B379" w14:textId="6DB8A206" w:rsidR="008E6217" w:rsidRPr="0020706A" w:rsidRDefault="008E6217" w:rsidP="0020706A">
      <w:pPr>
        <w:pStyle w:val="JuTitle"/>
        <w:keepNext w:val="0"/>
        <w:keepLines w:val="0"/>
      </w:pPr>
      <w:bookmarkStart w:id="0" w:name="To"/>
      <w:r>
        <w:t xml:space="preserve">SPRAWA </w:t>
      </w:r>
      <w:bookmarkEnd w:id="0"/>
      <w:r>
        <w:t xml:space="preserve">NIKOGHOSYAN I INNI </w:t>
      </w:r>
      <w:r w:rsidR="006F7274">
        <w:t xml:space="preserve">przeciwko </w:t>
      </w:r>
      <w:r>
        <w:t>POLSCE</w:t>
      </w:r>
    </w:p>
    <w:p w14:paraId="171F06EC" w14:textId="77777777" w:rsidR="00D74888" w:rsidRPr="0020706A" w:rsidRDefault="008E6217" w:rsidP="0020706A">
      <w:pPr>
        <w:pStyle w:val="ECHRCoverTitle4"/>
        <w:keepNext w:val="0"/>
        <w:keepLines w:val="0"/>
      </w:pPr>
      <w:r>
        <w:t>(skarga nr 14743/17)</w:t>
      </w:r>
    </w:p>
    <w:p w14:paraId="1C5936AC" w14:textId="77777777" w:rsidR="0098410D" w:rsidRPr="0020706A" w:rsidRDefault="0098410D" w:rsidP="0020706A">
      <w:pPr>
        <w:pStyle w:val="DecHCase"/>
        <w:keepNext w:val="0"/>
        <w:keepLines w:val="0"/>
      </w:pPr>
    </w:p>
    <w:p w14:paraId="25931B09" w14:textId="77777777" w:rsidR="0098410D" w:rsidRPr="0020706A" w:rsidRDefault="0098410D" w:rsidP="0020706A">
      <w:pPr>
        <w:pStyle w:val="DecHCase"/>
        <w:keepNext w:val="0"/>
        <w:keepLines w:val="0"/>
      </w:pPr>
    </w:p>
    <w:p w14:paraId="1780E4BD" w14:textId="77777777" w:rsidR="00A26746" w:rsidRPr="0020706A" w:rsidRDefault="00A26746" w:rsidP="0020706A">
      <w:pPr>
        <w:pStyle w:val="DecHCase"/>
        <w:keepNext w:val="0"/>
        <w:keepLines w:val="0"/>
      </w:pPr>
    </w:p>
    <w:p w14:paraId="46D3F08A" w14:textId="77777777" w:rsidR="000A2F7D" w:rsidRPr="0020706A" w:rsidRDefault="000A2F7D" w:rsidP="0020706A">
      <w:pPr>
        <w:pStyle w:val="DecHCase"/>
        <w:keepNext w:val="0"/>
        <w:keepLines w:val="0"/>
      </w:pPr>
    </w:p>
    <w:p w14:paraId="4BBFBBB8" w14:textId="77777777" w:rsidR="0098410D" w:rsidRPr="0020706A" w:rsidRDefault="0098410D" w:rsidP="0020706A">
      <w:pPr>
        <w:pStyle w:val="DecHCase"/>
        <w:keepNext w:val="0"/>
        <w:keepLines w:val="0"/>
      </w:pPr>
    </w:p>
    <w:p w14:paraId="159156AA" w14:textId="77777777" w:rsidR="00A26746" w:rsidRPr="0020706A" w:rsidRDefault="0098410D" w:rsidP="0020706A">
      <w:pPr>
        <w:pStyle w:val="DecHCase"/>
        <w:keepNext w:val="0"/>
        <w:keepLines w:val="0"/>
      </w:pPr>
      <w:r>
        <w:t>WYROK</w:t>
      </w:r>
    </w:p>
    <w:p w14:paraId="03B682EA" w14:textId="6D57AE92" w:rsidR="000A2F7D" w:rsidRPr="0020706A" w:rsidRDefault="000A2F7D" w:rsidP="0020706A">
      <w:pPr>
        <w:pBdr>
          <w:top w:val="single" w:sz="4" w:space="1" w:color="auto"/>
          <w:left w:val="single" w:sz="4" w:space="4" w:color="auto"/>
          <w:bottom w:val="single" w:sz="4" w:space="1" w:color="auto"/>
          <w:right w:val="single" w:sz="4" w:space="4" w:color="auto"/>
        </w:pBdr>
        <w:jc w:val="both"/>
      </w:pPr>
      <w:r>
        <w:t>Art</w:t>
      </w:r>
      <w:r w:rsidR="00A85F74">
        <w:t>. </w:t>
      </w:r>
      <w:r>
        <w:t>5 ust.</w:t>
      </w:r>
      <w:r w:rsidR="00A85F74">
        <w:t> </w:t>
      </w:r>
      <w:r>
        <w:t>1 lit.</w:t>
      </w:r>
      <w:r w:rsidR="00A85F74">
        <w:t> </w:t>
      </w:r>
      <w:r>
        <w:t>f • Zapobieżenie nielegalnemu wkroczeniu na terytorium państwa • Automatyczne pozbawienie wolności przez okres sześciu miesięcy rodziny złożonej z osób dorosłych i dzieci ubiegających się o azyl, bez wnikliwej i zindywidualizowanej oceny konkretnej sytuacji oraz potrzeb • Zatrzymanie rodziny nie było środkiem ostatecznym • Ponieważ zatrzymanie dotyczyło małoletnich, wymagan</w:t>
      </w:r>
      <w:r w:rsidR="006F6070">
        <w:t>e</w:t>
      </w:r>
      <w:r>
        <w:t xml:space="preserve"> był</w:t>
      </w:r>
      <w:r w:rsidR="006F6070">
        <w:t>y</w:t>
      </w:r>
      <w:r>
        <w:t xml:space="preserve"> większa szybkość oraz staranność</w:t>
      </w:r>
    </w:p>
    <w:p w14:paraId="0BC9059B" w14:textId="77777777" w:rsidR="000A2F7D" w:rsidRPr="0020706A" w:rsidRDefault="000A2F7D" w:rsidP="0020706A">
      <w:pPr>
        <w:pStyle w:val="DecHCase"/>
        <w:keepNext w:val="0"/>
        <w:keepLines w:val="0"/>
      </w:pPr>
    </w:p>
    <w:p w14:paraId="39E8C06F" w14:textId="77777777" w:rsidR="0098410D" w:rsidRPr="0020706A" w:rsidRDefault="0098410D" w:rsidP="0020706A">
      <w:pPr>
        <w:pStyle w:val="DecHCase"/>
        <w:keepNext w:val="0"/>
        <w:keepLines w:val="0"/>
      </w:pPr>
      <w:r>
        <w:t>STRASBURG</w:t>
      </w:r>
    </w:p>
    <w:p w14:paraId="312B33D9" w14:textId="6DB2DA9D" w:rsidR="0098410D" w:rsidRPr="0020706A" w:rsidRDefault="003E162E" w:rsidP="0020706A">
      <w:pPr>
        <w:pStyle w:val="DecHCase"/>
        <w:keepNext w:val="0"/>
        <w:keepLines w:val="0"/>
      </w:pPr>
      <w:r>
        <w:t>3 marca 2022</w:t>
      </w:r>
      <w:r w:rsidR="006F6070">
        <w:t> </w:t>
      </w:r>
      <w:r>
        <w:t>r.</w:t>
      </w:r>
    </w:p>
    <w:p w14:paraId="6170D748" w14:textId="77777777" w:rsidR="00AC4CD4" w:rsidRPr="0020706A" w:rsidRDefault="00AC4CD4" w:rsidP="0020706A">
      <w:pPr>
        <w:pStyle w:val="JuPara"/>
      </w:pPr>
    </w:p>
    <w:p w14:paraId="40FFE1FD" w14:textId="77777777" w:rsidR="002422B6" w:rsidRPr="0020706A" w:rsidRDefault="0098410D" w:rsidP="0020706A">
      <w:pPr>
        <w:rPr>
          <w:i/>
          <w:sz w:val="22"/>
        </w:rPr>
      </w:pPr>
      <w:r>
        <w:rPr>
          <w:i/>
          <w:sz w:val="22"/>
        </w:rPr>
        <w:t>Wyrok ten stanie się ostateczny zgodnie z warunkami określonymi w art. 44 ust. 2 Konwencji. Może podlegać korekcie wydawniczej.</w:t>
      </w:r>
    </w:p>
    <w:p w14:paraId="338D71EA" w14:textId="77777777" w:rsidR="0098410D" w:rsidRPr="0020706A" w:rsidRDefault="0098410D" w:rsidP="0020706A">
      <w:pPr>
        <w:sectPr w:rsidR="0098410D" w:rsidRPr="0020706A"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457F107" w14:textId="3C902FE3" w:rsidR="0098410D" w:rsidRPr="0020706A" w:rsidRDefault="0098410D" w:rsidP="0020706A">
      <w:pPr>
        <w:pStyle w:val="JuCase"/>
      </w:pPr>
      <w:r>
        <w:lastRenderedPageBreak/>
        <w:t xml:space="preserve">W sprawie </w:t>
      </w:r>
      <w:proofErr w:type="spellStart"/>
      <w:r>
        <w:t>Nikoghosyan</w:t>
      </w:r>
      <w:proofErr w:type="spellEnd"/>
      <w:r>
        <w:t xml:space="preserve"> i Inni przeciwko Polsce</w:t>
      </w:r>
    </w:p>
    <w:p w14:paraId="4CC67D46" w14:textId="77777777" w:rsidR="009F4C8F" w:rsidRPr="0020706A" w:rsidRDefault="009F4C8F" w:rsidP="0020706A">
      <w:pPr>
        <w:pStyle w:val="JuPara"/>
      </w:pPr>
      <w:r>
        <w:t>Europejski Trybunał Praw Człowieka (sekcja pierwsza), zasiadając jako Izba w składzie:</w:t>
      </w:r>
    </w:p>
    <w:p w14:paraId="75C0B733" w14:textId="77777777" w:rsidR="009F4C8F" w:rsidRPr="0020706A" w:rsidRDefault="00F912E6" w:rsidP="0020706A">
      <w:pPr>
        <w:pStyle w:val="JuJudges"/>
      </w:pPr>
      <w:r>
        <w:tab/>
      </w:r>
      <w:proofErr w:type="spellStart"/>
      <w:r>
        <w:t>Péter</w:t>
      </w:r>
      <w:proofErr w:type="spellEnd"/>
      <w:r>
        <w:t xml:space="preserve"> </w:t>
      </w:r>
      <w:proofErr w:type="spellStart"/>
      <w:r>
        <w:t>Paczolay</w:t>
      </w:r>
      <w:proofErr w:type="spellEnd"/>
      <w:r>
        <w:t>,</w:t>
      </w:r>
      <w:r>
        <w:rPr>
          <w:i/>
        </w:rPr>
        <w:t xml:space="preserve"> Przewodniczący,</w:t>
      </w:r>
      <w:r>
        <w:rPr>
          <w:i/>
        </w:rPr>
        <w:br/>
      </w:r>
      <w:r>
        <w:tab/>
        <w:t xml:space="preserve">Krzysztof </w:t>
      </w:r>
      <w:proofErr w:type="spellStart"/>
      <w:r>
        <w:t>Wojtyczek</w:t>
      </w:r>
      <w:proofErr w:type="spellEnd"/>
      <w:r>
        <w:t>,</w:t>
      </w:r>
      <w:r>
        <w:rPr>
          <w:i/>
        </w:rPr>
        <w:br/>
      </w:r>
      <w:r>
        <w:tab/>
        <w:t xml:space="preserve">Alena </w:t>
      </w:r>
      <w:proofErr w:type="spellStart"/>
      <w:r>
        <w:t>Poláčková</w:t>
      </w:r>
      <w:proofErr w:type="spellEnd"/>
      <w:r>
        <w:t>,</w:t>
      </w:r>
      <w:r>
        <w:rPr>
          <w:i/>
        </w:rPr>
        <w:br/>
      </w:r>
      <w:r>
        <w:tab/>
        <w:t xml:space="preserve">Erik </w:t>
      </w:r>
      <w:proofErr w:type="spellStart"/>
      <w:r>
        <w:t>Wennerström</w:t>
      </w:r>
      <w:proofErr w:type="spellEnd"/>
      <w:r>
        <w:t>,</w:t>
      </w:r>
      <w:r>
        <w:rPr>
          <w:i/>
        </w:rPr>
        <w:br/>
      </w:r>
      <w:r>
        <w:tab/>
      </w:r>
      <w:proofErr w:type="spellStart"/>
      <w:r>
        <w:t>Raffaele</w:t>
      </w:r>
      <w:proofErr w:type="spellEnd"/>
      <w:r>
        <w:t xml:space="preserve"> </w:t>
      </w:r>
      <w:proofErr w:type="spellStart"/>
      <w:r>
        <w:t>Sabato</w:t>
      </w:r>
      <w:proofErr w:type="spellEnd"/>
      <w:r>
        <w:t>,</w:t>
      </w:r>
      <w:r>
        <w:rPr>
          <w:i/>
        </w:rPr>
        <w:br/>
      </w:r>
      <w:r>
        <w:tab/>
      </w:r>
      <w:proofErr w:type="spellStart"/>
      <w:r>
        <w:t>Ioannis</w:t>
      </w:r>
      <w:proofErr w:type="spellEnd"/>
      <w:r>
        <w:t xml:space="preserve"> </w:t>
      </w:r>
      <w:proofErr w:type="spellStart"/>
      <w:r>
        <w:t>Ktistakis</w:t>
      </w:r>
      <w:proofErr w:type="spellEnd"/>
      <w:r>
        <w:t>,</w:t>
      </w:r>
      <w:r>
        <w:rPr>
          <w:i/>
        </w:rPr>
        <w:br/>
      </w:r>
      <w:r>
        <w:tab/>
      </w:r>
      <w:proofErr w:type="spellStart"/>
      <w:r>
        <w:t>Davor</w:t>
      </w:r>
      <w:proofErr w:type="spellEnd"/>
      <w:r>
        <w:t xml:space="preserve"> </w:t>
      </w:r>
      <w:proofErr w:type="spellStart"/>
      <w:r>
        <w:t>Derenčinović</w:t>
      </w:r>
      <w:proofErr w:type="spellEnd"/>
      <w:r>
        <w:t>,</w:t>
      </w:r>
      <w:r>
        <w:rPr>
          <w:i/>
        </w:rPr>
        <w:t xml:space="preserve"> sędziowie,</w:t>
      </w:r>
      <w:r>
        <w:rPr>
          <w:i/>
        </w:rPr>
        <w:br/>
      </w:r>
      <w:proofErr w:type="spellStart"/>
      <w:r>
        <w:t>Liv</w:t>
      </w:r>
      <w:proofErr w:type="spellEnd"/>
      <w:r>
        <w:t xml:space="preserve"> </w:t>
      </w:r>
      <w:proofErr w:type="spellStart"/>
      <w:r>
        <w:t>Tigerstedt</w:t>
      </w:r>
      <w:proofErr w:type="spellEnd"/>
      <w:r>
        <w:t xml:space="preserve">, </w:t>
      </w:r>
      <w:r>
        <w:rPr>
          <w:i/>
        </w:rPr>
        <w:t>Zastępczyni Kanclerza Sekcji,</w:t>
      </w:r>
    </w:p>
    <w:p w14:paraId="7D411862" w14:textId="77777777" w:rsidR="003E162E" w:rsidRPr="0020706A" w:rsidRDefault="003E162E" w:rsidP="0020706A">
      <w:pPr>
        <w:pStyle w:val="JuPara"/>
      </w:pPr>
      <w:r>
        <w:t>mając na uwadze:</w:t>
      </w:r>
    </w:p>
    <w:p w14:paraId="4551675B" w14:textId="3F9F0507" w:rsidR="003E162E" w:rsidRPr="0020706A" w:rsidRDefault="003E162E" w:rsidP="0020706A">
      <w:pPr>
        <w:pStyle w:val="JuPara"/>
      </w:pPr>
      <w:r>
        <w:t>skargę (nr 14743/17) przeciwko Rzeczypospolitej Polskiej wniesioną do Trybunału w dniu 15 lutego 2017 r. na podstawie art. 34 Konwencji o</w:t>
      </w:r>
      <w:r w:rsidR="00B74625">
        <w:t> </w:t>
      </w:r>
      <w:r>
        <w:t xml:space="preserve">ochronie praw człowieka i podstawowych wolności („Konwencji”) przez pięcioro obywateli armeńskich: Artura </w:t>
      </w:r>
      <w:proofErr w:type="spellStart"/>
      <w:r>
        <w:t>Nikoghosyana</w:t>
      </w:r>
      <w:proofErr w:type="spellEnd"/>
      <w:r>
        <w:t xml:space="preserve"> i </w:t>
      </w:r>
      <w:proofErr w:type="spellStart"/>
      <w:r>
        <w:t>Varditer</w:t>
      </w:r>
      <w:proofErr w:type="spellEnd"/>
      <w:r>
        <w:t xml:space="preserve"> </w:t>
      </w:r>
      <w:proofErr w:type="spellStart"/>
      <w:r>
        <w:t>Hovhannisyan</w:t>
      </w:r>
      <w:proofErr w:type="spellEnd"/>
      <w:r>
        <w:t xml:space="preserve"> </w:t>
      </w:r>
      <w:r w:rsidR="00C65DAE">
        <w:t>oraz ich dzieci</w:t>
      </w:r>
      <w:r>
        <w:t xml:space="preserve"> – Elen, </w:t>
      </w:r>
      <w:proofErr w:type="spellStart"/>
      <w:r>
        <w:t>Mamikon</w:t>
      </w:r>
      <w:r w:rsidR="00FC4D35">
        <w:t>a</w:t>
      </w:r>
      <w:proofErr w:type="spellEnd"/>
      <w:r>
        <w:t xml:space="preserve"> i Mari</w:t>
      </w:r>
      <w:r w:rsidR="00FC4D35">
        <w:t>ę</w:t>
      </w:r>
      <w:r>
        <w:t xml:space="preserve"> </w:t>
      </w:r>
      <w:proofErr w:type="spellStart"/>
      <w:r>
        <w:t>Nikoghosyan</w:t>
      </w:r>
      <w:proofErr w:type="spellEnd"/>
      <w:r>
        <w:t xml:space="preserve"> („skarżących”)</w:t>
      </w:r>
      <w:r w:rsidR="000F1FDC">
        <w:t>;</w:t>
      </w:r>
    </w:p>
    <w:p w14:paraId="5EF6DC5B" w14:textId="42EBA48E" w:rsidR="003E162E" w:rsidRPr="0020706A" w:rsidRDefault="003E162E" w:rsidP="0020706A">
      <w:pPr>
        <w:pStyle w:val="JuPara"/>
      </w:pPr>
      <w:r>
        <w:t xml:space="preserve">decyzję o zakomunikowaniu </w:t>
      </w:r>
      <w:r w:rsidR="000F1FDC">
        <w:t>R</w:t>
      </w:r>
      <w:r>
        <w:t xml:space="preserve">ządowi </w:t>
      </w:r>
      <w:r w:rsidR="000F1FDC">
        <w:t xml:space="preserve">RP </w:t>
      </w:r>
      <w:r>
        <w:t>(„Rząd”) zarzutów dotyczących zatrzymania administracyjnego skarżących;</w:t>
      </w:r>
    </w:p>
    <w:p w14:paraId="3F708825" w14:textId="6514A65D" w:rsidR="003E162E" w:rsidRPr="0020706A" w:rsidRDefault="003E162E" w:rsidP="0020706A">
      <w:pPr>
        <w:pStyle w:val="JuPara"/>
      </w:pPr>
      <w:r>
        <w:t>decyzję o przyznaniu pierwszeństwa skardze (art.</w:t>
      </w:r>
      <w:r w:rsidR="00115DEE">
        <w:t> </w:t>
      </w:r>
      <w:r>
        <w:t>41 Regulaminu Trybunału);</w:t>
      </w:r>
    </w:p>
    <w:p w14:paraId="5B23BB4C" w14:textId="0B3DF5FA" w:rsidR="00C15221" w:rsidRPr="0020706A" w:rsidRDefault="00C15221" w:rsidP="0020706A">
      <w:pPr>
        <w:pStyle w:val="JuPara"/>
      </w:pPr>
      <w:r>
        <w:t>decyzję Rządu Armenii o nieskorzystaniu z prawa do interwencji w</w:t>
      </w:r>
      <w:r w:rsidR="00B74625">
        <w:t> </w:t>
      </w:r>
      <w:r>
        <w:t>postępowaniu (na podstawie art.</w:t>
      </w:r>
      <w:r w:rsidR="00B74625">
        <w:t> </w:t>
      </w:r>
      <w:r>
        <w:t>36 ust.</w:t>
      </w:r>
      <w:r w:rsidR="00B74625">
        <w:t> </w:t>
      </w:r>
      <w:r>
        <w:t>1 Konwencji);</w:t>
      </w:r>
    </w:p>
    <w:p w14:paraId="04D533DF" w14:textId="63122E84" w:rsidR="003E162E" w:rsidRPr="0020706A" w:rsidRDefault="00B74625" w:rsidP="0020706A">
      <w:pPr>
        <w:pStyle w:val="JuPara"/>
      </w:pPr>
      <w:r>
        <w:t>uwagi przedstawione przez strony</w:t>
      </w:r>
      <w:r w:rsidR="003E162E">
        <w:t>;</w:t>
      </w:r>
    </w:p>
    <w:p w14:paraId="02339CA6" w14:textId="4B8F6EB8" w:rsidR="009F4C8F" w:rsidRPr="0020706A" w:rsidRDefault="009F4C8F" w:rsidP="0020706A">
      <w:pPr>
        <w:pStyle w:val="JuPara"/>
      </w:pPr>
      <w:r>
        <w:t>obradując na posiedzeniu niejawnym w dniu 1 lutego 2022</w:t>
      </w:r>
      <w:r w:rsidR="00B74625">
        <w:t> </w:t>
      </w:r>
      <w:r>
        <w:t>r.</w:t>
      </w:r>
    </w:p>
    <w:p w14:paraId="110D4D58" w14:textId="5290B775" w:rsidR="009F4C8F" w:rsidRPr="0020706A" w:rsidRDefault="009F4C8F" w:rsidP="0020706A">
      <w:pPr>
        <w:pStyle w:val="JuPara"/>
      </w:pPr>
      <w:r>
        <w:t xml:space="preserve">wydaje następujący wyrok, który </w:t>
      </w:r>
      <w:r w:rsidR="005C5D8A">
        <w:t xml:space="preserve">został przyjęty </w:t>
      </w:r>
      <w:r>
        <w:t>w tym dniu:</w:t>
      </w:r>
    </w:p>
    <w:p w14:paraId="465CF5EC" w14:textId="77777777" w:rsidR="003E162E" w:rsidRPr="0020706A" w:rsidRDefault="003E162E" w:rsidP="0020706A">
      <w:pPr>
        <w:pStyle w:val="JuHHead"/>
      </w:pPr>
      <w:r>
        <w:t>WPROWADZENIE</w:t>
      </w:r>
    </w:p>
    <w:p w14:paraId="77533E1D" w14:textId="77777777" w:rsidR="003E162E" w:rsidRPr="0020706A" w:rsidRDefault="005E5B04" w:rsidP="0020706A">
      <w:pPr>
        <w:pStyle w:val="JuPara"/>
      </w:pPr>
      <w:fldSimple w:instr=" SEQ level0 \*arabic ">
        <w:r w:rsidR="005D7A11">
          <w:rPr>
            <w:noProof/>
          </w:rPr>
          <w:t>1</w:t>
        </w:r>
      </w:fldSimple>
      <w:r w:rsidR="003E162E">
        <w:t>.  Sprawa dotyczy automatycznego zatrzymania i pozbawienia wolności na okres sześciu miesięcy rodziny złożonej z osób dorosłych i dzieci ubiegających się o azyl, bez zindywidualizowanej oceny ich konkretnej sytuacji oraz potrzeb.</w:t>
      </w:r>
    </w:p>
    <w:p w14:paraId="4F82E781" w14:textId="77777777" w:rsidR="003E162E" w:rsidRPr="0020706A" w:rsidRDefault="003E162E" w:rsidP="0020706A">
      <w:pPr>
        <w:pStyle w:val="JuHHead"/>
      </w:pPr>
      <w:r>
        <w:t>STAN FAKTYCZNY</w:t>
      </w:r>
    </w:p>
    <w:p w14:paraId="6BF81B33" w14:textId="14DADC26" w:rsidR="003E162E" w:rsidRPr="0020706A" w:rsidRDefault="005E5B04" w:rsidP="0020706A">
      <w:pPr>
        <w:pStyle w:val="JuPara"/>
      </w:pPr>
      <w:fldSimple w:instr=" SEQ level0 \*arabic ">
        <w:r w:rsidR="005D7A11">
          <w:rPr>
            <w:noProof/>
          </w:rPr>
          <w:t>2</w:t>
        </w:r>
      </w:fldSimple>
      <w:r w:rsidR="003E162E">
        <w:t xml:space="preserve">.  Pierwszy skarżący, Artur </w:t>
      </w:r>
      <w:proofErr w:type="spellStart"/>
      <w:r w:rsidR="003E162E">
        <w:t>Nikoghosyan</w:t>
      </w:r>
      <w:proofErr w:type="spellEnd"/>
      <w:r w:rsidR="003E162E">
        <w:t>, urodził się w 1967</w:t>
      </w:r>
      <w:r w:rsidR="00B74625">
        <w:t> </w:t>
      </w:r>
      <w:r w:rsidR="003E162E">
        <w:t xml:space="preserve">r. Drugą </w:t>
      </w:r>
      <w:r w:rsidR="00B74625">
        <w:t xml:space="preserve">osobą </w:t>
      </w:r>
      <w:r w:rsidR="003E162E">
        <w:t xml:space="preserve">skarżącą jest jego żona </w:t>
      </w:r>
      <w:proofErr w:type="spellStart"/>
      <w:r w:rsidR="003E162E">
        <w:t>Varditer</w:t>
      </w:r>
      <w:proofErr w:type="spellEnd"/>
      <w:r w:rsidR="003E162E">
        <w:t xml:space="preserve"> </w:t>
      </w:r>
      <w:proofErr w:type="spellStart"/>
      <w:r w:rsidR="003E162E">
        <w:t>Hovhannisyan</w:t>
      </w:r>
      <w:proofErr w:type="spellEnd"/>
      <w:r w:rsidR="003E162E">
        <w:t>, urodzona w 1979</w:t>
      </w:r>
      <w:r w:rsidR="00B74625">
        <w:t> </w:t>
      </w:r>
      <w:r w:rsidR="003E162E">
        <w:t xml:space="preserve">r. Trzeci, czwarty i piąty skarżący to ich dzieci: </w:t>
      </w:r>
      <w:proofErr w:type="spellStart"/>
      <w:r w:rsidR="003E162E">
        <w:t>Mamikon</w:t>
      </w:r>
      <w:proofErr w:type="spellEnd"/>
      <w:r w:rsidR="003E162E">
        <w:t xml:space="preserve"> </w:t>
      </w:r>
      <w:proofErr w:type="spellStart"/>
      <w:r w:rsidR="003E162E">
        <w:t>Nikoghosyan</w:t>
      </w:r>
      <w:proofErr w:type="spellEnd"/>
      <w:r w:rsidR="003E162E">
        <w:t xml:space="preserve">, Elen </w:t>
      </w:r>
      <w:proofErr w:type="spellStart"/>
      <w:r w:rsidR="003E162E">
        <w:t>Nikoghosyan</w:t>
      </w:r>
      <w:proofErr w:type="spellEnd"/>
      <w:r w:rsidR="003E162E">
        <w:t xml:space="preserve"> i Maria </w:t>
      </w:r>
      <w:proofErr w:type="spellStart"/>
      <w:r w:rsidR="003E162E">
        <w:t>Nikoghosyan</w:t>
      </w:r>
      <w:proofErr w:type="spellEnd"/>
      <w:r w:rsidR="003E162E">
        <w:t>, które urodziły się odpowiednio w 2002, 2003 i 2015 r. Wszyscy skarżący są obywatelami Armenii i obecnie mieszkają w Białej Podlaskiej. Skarżący byli reprezentowani przez S.</w:t>
      </w:r>
      <w:r w:rsidR="00B74625">
        <w:t> </w:t>
      </w:r>
      <w:proofErr w:type="spellStart"/>
      <w:r w:rsidR="003E162E">
        <w:t>Paduchowską</w:t>
      </w:r>
      <w:proofErr w:type="spellEnd"/>
      <w:r w:rsidR="003E162E">
        <w:t xml:space="preserve">, </w:t>
      </w:r>
      <w:r w:rsidR="005C5D8A">
        <w:t xml:space="preserve">radcę prawnego </w:t>
      </w:r>
      <w:r w:rsidR="003E162E">
        <w:t>wykonującą zawód w Lublinie.</w:t>
      </w:r>
    </w:p>
    <w:p w14:paraId="28385D7A" w14:textId="4357B0B8" w:rsidR="003E162E" w:rsidRPr="0020706A" w:rsidRDefault="005E5B04" w:rsidP="0020706A">
      <w:pPr>
        <w:pStyle w:val="JuPara"/>
      </w:pPr>
      <w:fldSimple w:instr=" SEQ level0 \*arabic ">
        <w:r w:rsidR="005D7A11">
          <w:rPr>
            <w:noProof/>
          </w:rPr>
          <w:t>3</w:t>
        </w:r>
      </w:fldSimple>
      <w:r w:rsidR="003E162E">
        <w:t xml:space="preserve">.  Rząd polski („Rząd”) reprezentowany był przez </w:t>
      </w:r>
      <w:r w:rsidR="00E43D17">
        <w:t>swoich pełnomocników</w:t>
      </w:r>
      <w:r w:rsidR="003E162E">
        <w:t> J. Chrzanowską, a następnie przez J. Sobczaka z Ministerstwa Spraw Zagranicznych.</w:t>
      </w:r>
    </w:p>
    <w:p w14:paraId="1566E52B" w14:textId="4FCF1757" w:rsidR="003E162E" w:rsidRPr="0020706A" w:rsidRDefault="005E5B04" w:rsidP="0020706A">
      <w:pPr>
        <w:pStyle w:val="JuPara"/>
      </w:pPr>
      <w:fldSimple w:instr=" SEQ level0 \*arabic ">
        <w:r w:rsidR="005D7A11">
          <w:rPr>
            <w:noProof/>
          </w:rPr>
          <w:t>4</w:t>
        </w:r>
      </w:fldSimple>
      <w:r w:rsidR="003E162E">
        <w:t>.  Okoliczności faktyczne sprawy, przedstawion</w:t>
      </w:r>
      <w:r w:rsidR="00B74625">
        <w:t>e</w:t>
      </w:r>
      <w:r w:rsidR="003E162E">
        <w:t xml:space="preserve"> przez strony, można streścić następująco.</w:t>
      </w:r>
    </w:p>
    <w:p w14:paraId="27725FEA" w14:textId="56BF494F" w:rsidR="00A13254" w:rsidRPr="0020706A" w:rsidRDefault="00A13254" w:rsidP="0020706A">
      <w:pPr>
        <w:pStyle w:val="JuHIRoman"/>
      </w:pPr>
      <w:r>
        <w:t>  Tło</w:t>
      </w:r>
    </w:p>
    <w:p w14:paraId="69D65DCF" w14:textId="036C3A56" w:rsidR="003E162E" w:rsidRPr="0020706A" w:rsidRDefault="005E5B04" w:rsidP="0020706A">
      <w:pPr>
        <w:pStyle w:val="JuPara"/>
      </w:pPr>
      <w:fldSimple w:instr=" SEQ level0 \*arabic ">
        <w:r w:rsidR="005D7A11">
          <w:rPr>
            <w:noProof/>
          </w:rPr>
          <w:t>5</w:t>
        </w:r>
      </w:fldSimple>
      <w:r w:rsidR="003E162E">
        <w:t>.  W okresie od 25 października do 3 listopada 2016</w:t>
      </w:r>
      <w:r w:rsidR="00732E32">
        <w:t> </w:t>
      </w:r>
      <w:r w:rsidR="003E162E">
        <w:t>r. skarżący wielokrotnie próbowali wkroczyć na terytorium Polski przez przejście graniczne w Medyce.</w:t>
      </w:r>
    </w:p>
    <w:p w14:paraId="5FD9CB2E" w14:textId="77777777" w:rsidR="003E162E" w:rsidRPr="0020706A" w:rsidRDefault="005E5B04" w:rsidP="0020706A">
      <w:pPr>
        <w:pStyle w:val="JuPara"/>
      </w:pPr>
      <w:fldSimple w:instr=" SEQ level0 \*arabic ">
        <w:r w:rsidR="005D7A11">
          <w:rPr>
            <w:noProof/>
          </w:rPr>
          <w:t>6</w:t>
        </w:r>
      </w:fldSimple>
      <w:r w:rsidR="003E162E">
        <w:t>.  Pierwszy skarżący podniósł, że polska straż graniczna uniemożliwiła jemu i jego rodzinie przekroczenie granicy oraz złożenie wniosku o azyl, mimo że wyrazili oni zamiar złożenia takich wniosków. Rząd stwierdził, że skarżący nie posiadali żadnych ważnych dokumentów podróży. Ponadto nie zgłosili oni zamiaru ubiegania się o ochronę międzynarodową, lecz stwierdzili, że chcą osiedlić się w Polsce ze względów ekonomicznych.</w:t>
      </w:r>
    </w:p>
    <w:p w14:paraId="41547CA7" w14:textId="77777777" w:rsidR="003E162E" w:rsidRPr="0020706A" w:rsidRDefault="005E5B04" w:rsidP="0020706A">
      <w:pPr>
        <w:pStyle w:val="JuPara"/>
      </w:pPr>
      <w:fldSimple w:instr=" SEQ level0 \*arabic ">
        <w:r w:rsidR="005D7A11">
          <w:rPr>
            <w:noProof/>
          </w:rPr>
          <w:t>7</w:t>
        </w:r>
      </w:fldSimple>
      <w:r w:rsidR="003E162E">
        <w:t>.  Funkcjonariusze Straży Granicznej niezwłocznie zawrócili rodzinę na Ukrainę.</w:t>
      </w:r>
    </w:p>
    <w:p w14:paraId="613EDD72" w14:textId="7AC66C9B" w:rsidR="003E162E" w:rsidRPr="0020706A" w:rsidRDefault="005E5B04" w:rsidP="0020706A">
      <w:pPr>
        <w:pStyle w:val="JuPara"/>
      </w:pPr>
      <w:fldSimple w:instr=" SEQ level0 \*arabic ">
        <w:r w:rsidR="005D7A11">
          <w:rPr>
            <w:noProof/>
          </w:rPr>
          <w:t>8</w:t>
        </w:r>
      </w:fldSimple>
      <w:r w:rsidR="003E162E">
        <w:t>.  Jak wynika z ustaleń, w dniach 25, 28 i 31 października 2016</w:t>
      </w:r>
      <w:r w:rsidR="00025D09">
        <w:t> </w:t>
      </w:r>
      <w:r w:rsidR="003E162E">
        <w:t>r., 1</w:t>
      </w:r>
      <w:r w:rsidR="00025D09">
        <w:t> </w:t>
      </w:r>
      <w:r w:rsidR="003E162E">
        <w:t>listopada 2016</w:t>
      </w:r>
      <w:r w:rsidR="00025D09">
        <w:t> </w:t>
      </w:r>
      <w:r w:rsidR="003E162E">
        <w:t>r. oraz dwukrotnie 3 listopada 2016</w:t>
      </w:r>
      <w:r w:rsidR="004210DB">
        <w:t> </w:t>
      </w:r>
      <w:r w:rsidR="003E162E">
        <w:t xml:space="preserve">r. wydano decyzje administracyjne zawracające skarżących z granicy Polski, ponieważ rodzina nie posiadała żadnych dokumentów uprawniających do wjazdu na terytorium Polski, a skarżący oświadczyli, że nie grozi im żadne prześladowanie w kraju ojczystym, lecz emigrują z przyczyn ekonomicznych. Trybunałowi </w:t>
      </w:r>
      <w:r w:rsidR="00D67462">
        <w:t xml:space="preserve">nie </w:t>
      </w:r>
      <w:r w:rsidR="003E162E">
        <w:t xml:space="preserve">przedłożono żadnych kopii tych decyzji. Zostały one opisane w sposób </w:t>
      </w:r>
      <w:r w:rsidR="00BC5C8F">
        <w:t xml:space="preserve">jak powyżej </w:t>
      </w:r>
      <w:r w:rsidR="003E162E">
        <w:t>w treści postanowienia z 7 listopada 2016</w:t>
      </w:r>
      <w:r w:rsidR="00D67462">
        <w:t> </w:t>
      </w:r>
      <w:r w:rsidR="003E162E">
        <w:t>r. (zob. par. 14-17 poniżej).</w:t>
      </w:r>
    </w:p>
    <w:p w14:paraId="43C242E5" w14:textId="77777777" w:rsidR="003E162E" w:rsidRPr="0020706A" w:rsidRDefault="003E162E" w:rsidP="0020706A">
      <w:pPr>
        <w:pStyle w:val="JuHIRoman"/>
      </w:pPr>
      <w:r>
        <w:t>Postępowanie azylowe</w:t>
      </w:r>
    </w:p>
    <w:p w14:paraId="0E8D14ED" w14:textId="29F350F9" w:rsidR="003E162E" w:rsidRPr="0020706A" w:rsidRDefault="005E5B04" w:rsidP="0020706A">
      <w:pPr>
        <w:pStyle w:val="JuPara"/>
      </w:pPr>
      <w:fldSimple w:instr=" SEQ level0 \*arabic ">
        <w:r w:rsidR="005D7A11">
          <w:rPr>
            <w:noProof/>
          </w:rPr>
          <w:t>9</w:t>
        </w:r>
      </w:fldSimple>
      <w:r w:rsidR="003E162E">
        <w:t>.  W dniu 6 listopada 2016</w:t>
      </w:r>
      <w:r w:rsidR="0080508B">
        <w:t> </w:t>
      </w:r>
      <w:r w:rsidR="003E162E">
        <w:t xml:space="preserve">r. pierwszy skarżący złożył </w:t>
      </w:r>
      <w:r w:rsidR="007F5CE7">
        <w:t>w placówce Straży Granicznej w Medyce</w:t>
      </w:r>
      <w:r w:rsidR="00981FE7">
        <w:t xml:space="preserve">, </w:t>
      </w:r>
      <w:r w:rsidR="003E162E">
        <w:t>w imieniu swoim i swojej rodziny</w:t>
      </w:r>
      <w:r w:rsidR="00981FE7">
        <w:t>,</w:t>
      </w:r>
      <w:r w:rsidR="003E162E">
        <w:t xml:space="preserve"> wniosek o udzielenie azylu . Pierwszy skarżący twierdził, że w razie powrotu on i jego rodzina byliby narażeni na prześladowania w kraju ojczystym ze względu na jego zaangażowanie w ruch opozycyjny.</w:t>
      </w:r>
    </w:p>
    <w:p w14:paraId="55687162" w14:textId="3017829A" w:rsidR="003E162E" w:rsidRPr="0020706A" w:rsidRDefault="005E5B04" w:rsidP="0020706A">
      <w:pPr>
        <w:pStyle w:val="JuPara"/>
      </w:pPr>
      <w:fldSimple w:instr=" SEQ level0 \*arabic ">
        <w:r w:rsidR="005D7A11">
          <w:rPr>
            <w:noProof/>
          </w:rPr>
          <w:t>10</w:t>
        </w:r>
      </w:fldSimple>
      <w:r w:rsidR="003E162E">
        <w:t>.  W dniu 9 grudnia 2016</w:t>
      </w:r>
      <w:r w:rsidR="0080508B">
        <w:t> </w:t>
      </w:r>
      <w:r w:rsidR="003E162E">
        <w:t xml:space="preserve">r. </w:t>
      </w:r>
      <w:r w:rsidR="0080508B">
        <w:t xml:space="preserve">z </w:t>
      </w:r>
      <w:r w:rsidR="003E162E">
        <w:t>pierwszy</w:t>
      </w:r>
      <w:r w:rsidR="0080508B">
        <w:t>m</w:t>
      </w:r>
      <w:r w:rsidR="003E162E">
        <w:t xml:space="preserve"> skarżący</w:t>
      </w:r>
      <w:r w:rsidR="0080508B">
        <w:t>m</w:t>
      </w:r>
      <w:r w:rsidR="003E162E">
        <w:t xml:space="preserve"> oraz drug</w:t>
      </w:r>
      <w:r w:rsidR="0080508B">
        <w:t>ą</w:t>
      </w:r>
      <w:r w:rsidR="003E162E">
        <w:t xml:space="preserve"> skarżąc</w:t>
      </w:r>
      <w:r w:rsidR="0080508B">
        <w:t>ą</w:t>
      </w:r>
      <w:r w:rsidR="003E162E">
        <w:t xml:space="preserve"> </w:t>
      </w:r>
      <w:r w:rsidR="0080508B">
        <w:t xml:space="preserve">przeprowadzono </w:t>
      </w:r>
      <w:r w:rsidR="003E162E">
        <w:t>wywiad statusowy.</w:t>
      </w:r>
    </w:p>
    <w:p w14:paraId="22D299AA" w14:textId="10FA23E4" w:rsidR="003E162E" w:rsidRPr="0020706A" w:rsidRDefault="005E5B04" w:rsidP="0020706A">
      <w:pPr>
        <w:pStyle w:val="JuPara"/>
      </w:pPr>
      <w:fldSimple w:instr=" SEQ level0 \*arabic ">
        <w:r w:rsidR="005D7A11">
          <w:rPr>
            <w:noProof/>
          </w:rPr>
          <w:t>11</w:t>
        </w:r>
      </w:fldSimple>
      <w:r w:rsidR="003E162E">
        <w:t>.  W dniu 19 kwietnia 2017</w:t>
      </w:r>
      <w:r w:rsidR="006F570B">
        <w:t> </w:t>
      </w:r>
      <w:r w:rsidR="003E162E">
        <w:t>r. Szef Urzędu do Spraw Cudzoziemców podjął decyzję o odmowie nadania skarżącym statusu uchodźcy i udzielenia ochrony międzynarodowej. Urząd stwierdził, że dowody zebrane w sprawie nie wykazały, jakoby skarżący byli narażeni na jakiekolwiek ryzyko utraty życia lub zdrowia w przypadku powrotu do kraju pochodzenia.</w:t>
      </w:r>
    </w:p>
    <w:p w14:paraId="045DD92A" w14:textId="77777777" w:rsidR="003E162E" w:rsidRPr="0020706A" w:rsidRDefault="005E5B04" w:rsidP="0020706A">
      <w:pPr>
        <w:pStyle w:val="JuPara"/>
      </w:pPr>
      <w:fldSimple w:instr=" SEQ level0 \*arabic ">
        <w:r w:rsidR="005D7A11">
          <w:rPr>
            <w:noProof/>
          </w:rPr>
          <w:t>12</w:t>
        </w:r>
      </w:fldSimple>
      <w:r w:rsidR="003E162E">
        <w:t>.  Według ustaleń skarżący odwołali się od wyżej wspomnianych decyzji, a postępowanie odwoławcze jest w toku.</w:t>
      </w:r>
    </w:p>
    <w:p w14:paraId="1F60E1E6" w14:textId="77777777" w:rsidR="003E162E" w:rsidRPr="0020706A" w:rsidRDefault="003E162E" w:rsidP="0020706A">
      <w:pPr>
        <w:pStyle w:val="JuHIRoman"/>
      </w:pPr>
      <w:r>
        <w:t>Zatrzymanie administracyjne</w:t>
      </w:r>
    </w:p>
    <w:p w14:paraId="62C6EC86" w14:textId="254FBFFC" w:rsidR="003E162E" w:rsidRPr="0020706A" w:rsidRDefault="005E5B04" w:rsidP="0020706A">
      <w:pPr>
        <w:pStyle w:val="JuPara"/>
      </w:pPr>
      <w:fldSimple w:instr=" SEQ level0 \*arabic ">
        <w:r w:rsidR="005D7A11">
          <w:rPr>
            <w:noProof/>
          </w:rPr>
          <w:t>13</w:t>
        </w:r>
      </w:fldSimple>
      <w:r w:rsidR="003E162E">
        <w:t>.  W dniu 7 listopada 2016</w:t>
      </w:r>
      <w:r w:rsidR="00542537">
        <w:t> </w:t>
      </w:r>
      <w:r w:rsidR="003E162E">
        <w:t>r. Sąd Rejonowy w Przemyślu wydał postanowienie o umieszczeniu pierwszego skarżącego i trójki jego dzieci w</w:t>
      </w:r>
      <w:r w:rsidR="005A0029">
        <w:t> </w:t>
      </w:r>
      <w:r w:rsidR="003E162E">
        <w:t>Strzeżonym Ośrodku dla Cudzoziemców w Białej Podlaskiej na okres 60</w:t>
      </w:r>
      <w:r w:rsidR="00D807D3">
        <w:t> </w:t>
      </w:r>
      <w:r w:rsidR="003E162E">
        <w:t>dni.</w:t>
      </w:r>
    </w:p>
    <w:p w14:paraId="046CC4D3" w14:textId="0B3EF140" w:rsidR="003E162E" w:rsidRPr="0020706A" w:rsidRDefault="005E5B04" w:rsidP="0020706A">
      <w:pPr>
        <w:pStyle w:val="JuPara"/>
      </w:pPr>
      <w:fldSimple w:instr=" SEQ level0 \*arabic ">
        <w:r w:rsidR="005D7A11">
          <w:rPr>
            <w:noProof/>
          </w:rPr>
          <w:t>14</w:t>
        </w:r>
      </w:fldSimple>
      <w:r w:rsidR="003E162E">
        <w:t>.  Sąd zauważył po pierwsze, że należało zapewnić obecność pierwszego skarżącego podczas postępowania azylowego w celu sprawdzenia jego sprzecznych oświadczeń co do powodów emigracji rodziny do Polski oraz obaw przed prześladowaniami w kraju ojczystym. W związku z tym zauważono, że w dniach 25, 28 i 31 października 2016</w:t>
      </w:r>
      <w:r w:rsidR="00E3598F">
        <w:t> </w:t>
      </w:r>
      <w:r w:rsidR="003E162E">
        <w:t>r., 1 listopada 2016</w:t>
      </w:r>
      <w:r w:rsidR="00E3598F">
        <w:t> </w:t>
      </w:r>
      <w:r w:rsidR="003E162E">
        <w:t>r. oraz dwukrotnie w dniu 3 listopada 2016</w:t>
      </w:r>
      <w:r w:rsidR="00E3598F">
        <w:t> </w:t>
      </w:r>
      <w:r w:rsidR="003E162E">
        <w:t>r. wydano decyzje administracyjne zawracające skarżących z granicy Polski, między innymi dlatego, że oświadczyli oni, iż nie grozi im żadne ryzyko prześladowań w</w:t>
      </w:r>
      <w:r w:rsidR="00AE03FE">
        <w:t> </w:t>
      </w:r>
      <w:r w:rsidR="003E162E">
        <w:t>kraju ojczystym, lecz emigrują z przyczyn ekonomicznych (zob. par</w:t>
      </w:r>
      <w:r w:rsidR="00AE03FE">
        <w:t>agraf </w:t>
      </w:r>
      <w:r w:rsidR="003E162E">
        <w:t>8 powyżej).</w:t>
      </w:r>
    </w:p>
    <w:p w14:paraId="5BC77498" w14:textId="08B9D57B" w:rsidR="003E162E" w:rsidRPr="0020706A" w:rsidRDefault="005E5B04" w:rsidP="0020706A">
      <w:pPr>
        <w:pStyle w:val="JuPara"/>
      </w:pPr>
      <w:fldSimple w:instr=" SEQ level0 \*arabic ">
        <w:r w:rsidR="005D7A11">
          <w:rPr>
            <w:noProof/>
          </w:rPr>
          <w:t>15</w:t>
        </w:r>
      </w:fldSimple>
      <w:r w:rsidR="003E162E">
        <w:t>.  Po drugie, sąd uznał, że zachodzi wysokie prawdopodobieństwo ucieczki pierwszego skarżącego, biorąc pod uwagę, że złożył on wniosek o</w:t>
      </w:r>
      <w:r w:rsidR="00D41393">
        <w:t> </w:t>
      </w:r>
      <w:r w:rsidR="003E162E">
        <w:t>azyl po tym, jak kilkakrotnie uniemożliwiono mu nielegalne przekroczenie granicy.</w:t>
      </w:r>
    </w:p>
    <w:p w14:paraId="0DD0CFED" w14:textId="5335EDC9" w:rsidR="003E162E" w:rsidRPr="0020706A" w:rsidRDefault="005E5B04" w:rsidP="0020706A">
      <w:pPr>
        <w:pStyle w:val="JuPara"/>
      </w:pPr>
      <w:fldSimple w:instr=" SEQ level0 \*arabic ">
        <w:r w:rsidR="005D7A11">
          <w:rPr>
            <w:noProof/>
          </w:rPr>
          <w:t>16</w:t>
        </w:r>
      </w:fldSimple>
      <w:r w:rsidR="003E162E">
        <w:t>.  Po trzecie, sąd uznał, że obecność pierwszego skarżącego w Polsce nie może być zapewniona w drodze żadnego z ustawowych środków alternatywnych wobec zatrzymania, takich jak regularne zgłaszanie się do organów, kaucja równa dwukrotności miesięcznego wynagrodzenia minimalnego (tj. 3700 złotych</w:t>
      </w:r>
      <w:r w:rsidR="00063761">
        <w:t xml:space="preserve"> (PLN)</w:t>
      </w:r>
      <w:r w:rsidR="003E162E">
        <w:t>; około 874 euro (EUR)) lub zamieszkanie pod konkretnym adresem. W szczególności sąd uznał, że nie można zastosować żadnego środka zastępczego, ponieważ rodzina posiadała tylko 50 euro i nie miała żadnego adresu w Polsce, a zatem niemożliwe byłoby przydzielenie jej do konkretnej regionalnej placówki ds. azylu.</w:t>
      </w:r>
    </w:p>
    <w:p w14:paraId="1EC56F5F" w14:textId="77777777" w:rsidR="003E162E" w:rsidRPr="0020706A" w:rsidRDefault="005E5B04" w:rsidP="0020706A">
      <w:pPr>
        <w:pStyle w:val="JuPara"/>
      </w:pPr>
      <w:fldSimple w:instr=" SEQ level0 \*arabic ">
        <w:r w:rsidR="005D7A11">
          <w:rPr>
            <w:noProof/>
          </w:rPr>
          <w:t>17</w:t>
        </w:r>
      </w:fldSimple>
      <w:r w:rsidR="003E162E">
        <w:t>.  W tym samym dniu Sąd Rejonowy w Przemyślu wydał podobne postanowienie w odniesieniu do drugiej skarżącej.</w:t>
      </w:r>
    </w:p>
    <w:p w14:paraId="174E52CD" w14:textId="55B45C26" w:rsidR="003E162E" w:rsidRPr="0020706A" w:rsidRDefault="005E5B04" w:rsidP="0020706A">
      <w:pPr>
        <w:pStyle w:val="JuPara"/>
      </w:pPr>
      <w:fldSimple w:instr=" SEQ level0 \*arabic ">
        <w:r w:rsidR="005D7A11">
          <w:rPr>
            <w:noProof/>
          </w:rPr>
          <w:t>18</w:t>
        </w:r>
      </w:fldSimple>
      <w:r w:rsidR="003E162E">
        <w:t>.  W dniu 25 listopada 2016</w:t>
      </w:r>
      <w:r w:rsidR="007F3F65">
        <w:t> </w:t>
      </w:r>
      <w:r w:rsidR="003E162E">
        <w:t>r. pierwszy skarżący, a</w:t>
      </w:r>
      <w:r w:rsidR="00B13721">
        <w:t> </w:t>
      </w:r>
      <w:r w:rsidR="003E162E">
        <w:t>w</w:t>
      </w:r>
      <w:r w:rsidR="00B13721">
        <w:t> </w:t>
      </w:r>
      <w:r w:rsidR="003E162E">
        <w:t>niesprecyzowanym terminie druga skarżąca, złożyli zażalenia na te postanowienia, argumentując, że ich wielokrotne próby wjazdu na terytorium Polski bez odpowiednich dokumentów wynikały z trudności w komunikacji między nimi a funkcjonariuszami Straży Granicznej.</w:t>
      </w:r>
    </w:p>
    <w:p w14:paraId="32CB3A4C" w14:textId="6473B4C7" w:rsidR="003E162E" w:rsidRPr="0020706A" w:rsidRDefault="005E5B04" w:rsidP="0020706A">
      <w:pPr>
        <w:pStyle w:val="JuPara"/>
      </w:pPr>
      <w:fldSimple w:instr=" SEQ level0 \*arabic ">
        <w:r w:rsidR="005D7A11">
          <w:rPr>
            <w:noProof/>
          </w:rPr>
          <w:t>19</w:t>
        </w:r>
      </w:fldSimple>
      <w:r w:rsidR="003E162E">
        <w:t>.  W dniu 7 grudnia 2016</w:t>
      </w:r>
      <w:r w:rsidR="0065168D">
        <w:t> </w:t>
      </w:r>
      <w:r w:rsidR="003E162E">
        <w:t>r. Sąd Okręgowy w Przemyślu utrzymał w</w:t>
      </w:r>
      <w:r w:rsidR="00C85601">
        <w:t> </w:t>
      </w:r>
      <w:r w:rsidR="003E162E">
        <w:t>mocy postanowienie z dnia 7 listopada 2006</w:t>
      </w:r>
      <w:r w:rsidR="00312CEF">
        <w:t> </w:t>
      </w:r>
      <w:r w:rsidR="003E162E">
        <w:t>r. dotyczące drugiej skarżącej.</w:t>
      </w:r>
    </w:p>
    <w:p w14:paraId="39883573" w14:textId="4E2020AB" w:rsidR="003E162E" w:rsidRPr="0020706A" w:rsidRDefault="005E5B04" w:rsidP="0020706A">
      <w:pPr>
        <w:pStyle w:val="JuPara"/>
      </w:pPr>
      <w:fldSimple w:instr=" SEQ level0 \*arabic ">
        <w:r w:rsidR="005D7A11">
          <w:rPr>
            <w:noProof/>
          </w:rPr>
          <w:t>20</w:t>
        </w:r>
      </w:fldSimple>
      <w:r w:rsidR="003E162E">
        <w:t>.  W dniu 19 grudnia 2016</w:t>
      </w:r>
      <w:r w:rsidR="00392CBF">
        <w:t> </w:t>
      </w:r>
      <w:r w:rsidR="003E162E">
        <w:t>r. Sąd Okręgowy w Przemyślu utrzymał w</w:t>
      </w:r>
      <w:r w:rsidR="00AB02C2">
        <w:t> </w:t>
      </w:r>
      <w:r w:rsidR="003E162E">
        <w:t>mocy postanowienie z dnia 7 listopada 2006</w:t>
      </w:r>
      <w:r w:rsidR="00312CEF">
        <w:t> </w:t>
      </w:r>
      <w:r w:rsidR="003E162E">
        <w:t>r. dotyczące pierwszego skarżącego i jego trojga dzieci.</w:t>
      </w:r>
    </w:p>
    <w:p w14:paraId="39774D53" w14:textId="312085F4" w:rsidR="003E162E" w:rsidRPr="0020706A" w:rsidRDefault="005E5B04" w:rsidP="0020706A">
      <w:pPr>
        <w:pStyle w:val="JuPara"/>
      </w:pPr>
      <w:fldSimple w:instr=" SEQ level0 \*arabic ">
        <w:r w:rsidR="005D7A11">
          <w:rPr>
            <w:noProof/>
          </w:rPr>
          <w:t>21</w:t>
        </w:r>
      </w:fldSimple>
      <w:r w:rsidR="003E162E">
        <w:t>.  Sąd okręgowy podzielił argumentację sądu pierwszej instancji. Ponadto wyjaśnił, że wcześniejsze próby wkroczenia na terytorium Polski przez skarżących bez odpowiednich dokumentów, podjęte wyłącznie z</w:t>
      </w:r>
      <w:r w:rsidR="00286458">
        <w:t> </w:t>
      </w:r>
      <w:r w:rsidR="003E162E">
        <w:t>przyczyn ekonomicznych</w:t>
      </w:r>
      <w:r w:rsidR="00286458">
        <w:t>,</w:t>
      </w:r>
      <w:r w:rsidR="003E162E">
        <w:t xml:space="preserve"> uruchomiły ustawowe domniemanie, że istnieje duże prawdopodobieństwo ich ucieczki (zob. art.</w:t>
      </w:r>
      <w:r w:rsidR="00646E99">
        <w:t> </w:t>
      </w:r>
      <w:r w:rsidR="003E162E">
        <w:t>87 ust.</w:t>
      </w:r>
      <w:r w:rsidR="00646E99">
        <w:t> </w:t>
      </w:r>
      <w:r w:rsidR="003E162E">
        <w:t>2 ustawy z 2013</w:t>
      </w:r>
      <w:r w:rsidR="00646E99">
        <w:t> </w:t>
      </w:r>
      <w:r w:rsidR="003E162E">
        <w:t>r., przytoczony w par</w:t>
      </w:r>
      <w:r w:rsidR="00286458">
        <w:t>agrafie</w:t>
      </w:r>
      <w:r w:rsidR="003E162E">
        <w:t xml:space="preserve"> 33 poniżej).</w:t>
      </w:r>
    </w:p>
    <w:p w14:paraId="30DE4D1C" w14:textId="47BFA560" w:rsidR="003E162E" w:rsidRPr="0020706A" w:rsidRDefault="005E5B04" w:rsidP="0020706A">
      <w:pPr>
        <w:pStyle w:val="JuPara"/>
      </w:pPr>
      <w:fldSimple w:instr=" SEQ level0 \*arabic ">
        <w:r w:rsidR="005D7A11">
          <w:rPr>
            <w:noProof/>
          </w:rPr>
          <w:t>22</w:t>
        </w:r>
      </w:fldSimple>
      <w:r w:rsidR="003E162E">
        <w:t>.  W dniu 27 grudnia 2016</w:t>
      </w:r>
      <w:r w:rsidR="000771BC">
        <w:t> </w:t>
      </w:r>
      <w:r w:rsidR="003E162E">
        <w:t>r. pierwszy skarżący i druga skarżąca złożyli wnioski o zwolnienie ze strzeżonego ośrodka dla cudzoziemców, powołując się na okoliczność, że podczas wcześniejszych przesłuchań w grudniu nie zostali poinformowani, że władze będą dążyć do uzyskania jakichkolwiek innych dowodów. Obecność dorosłych skarżących w strzeżonym ośrodku nie była zatem konieczna do kontynuacji postępowania azylowego dotyczącego ich rodziny.</w:t>
      </w:r>
    </w:p>
    <w:p w14:paraId="5B40EA7C" w14:textId="6D6989B3" w:rsidR="003E162E" w:rsidRPr="0020706A" w:rsidRDefault="005E5B04" w:rsidP="0020706A">
      <w:pPr>
        <w:pStyle w:val="JuPara"/>
      </w:pPr>
      <w:fldSimple w:instr=" SEQ level0 \*arabic ">
        <w:r w:rsidR="005D7A11">
          <w:rPr>
            <w:noProof/>
          </w:rPr>
          <w:t>23</w:t>
        </w:r>
      </w:fldSimple>
      <w:r w:rsidR="003E162E">
        <w:t>.  W dniu 5 stycznia 2017</w:t>
      </w:r>
      <w:r w:rsidR="000771BC">
        <w:t> </w:t>
      </w:r>
      <w:r w:rsidR="003E162E">
        <w:t xml:space="preserve">r. </w:t>
      </w:r>
      <w:bookmarkStart w:id="1" w:name="_Hlk59108464"/>
      <w:r w:rsidR="003E162E">
        <w:t>Sąd Rejonowy w Białej Podlaskiej</w:t>
      </w:r>
      <w:bookmarkEnd w:id="1"/>
      <w:r w:rsidR="003E162E">
        <w:t xml:space="preserve"> przedłużył zatrzymanie administracyjne pierwszego skarżącego i jego dzieci do dnia 6 maja 2017</w:t>
      </w:r>
      <w:r w:rsidR="000771BC">
        <w:t> </w:t>
      </w:r>
      <w:r w:rsidR="003E162E">
        <w:t>r. Sąd krajowy zauważył, że konieczne było uzyskanie dalszych dowodów w celu zakończenia postępowania azylowego dotyczącego skarżących. Obecność skarżących w Polsce należało zatem zapewnić poprzez ich zatrzymanie, ponieważ, w świetle niejednoznacznych informacji przekazanych przez pierwszego skarżącego, było wysoce prawdopodobne, że skarżący zamierzali uciec z Polski. W treści postanowienia dwukrotnie użyto formy żeńskiej w odniesieniu do pierwszego skarżącego.</w:t>
      </w:r>
    </w:p>
    <w:p w14:paraId="6470838B" w14:textId="69D2AD56" w:rsidR="003E162E" w:rsidRPr="0020706A" w:rsidRDefault="005E5B04" w:rsidP="0020706A">
      <w:pPr>
        <w:pStyle w:val="JuPara"/>
      </w:pPr>
      <w:fldSimple w:instr=" SEQ level0 \*arabic ">
        <w:r w:rsidR="005D7A11">
          <w:rPr>
            <w:noProof/>
          </w:rPr>
          <w:t>24</w:t>
        </w:r>
      </w:fldSimple>
      <w:r w:rsidR="003E162E">
        <w:t>.  W dniu 25 stycznia 2017</w:t>
      </w:r>
      <w:r w:rsidR="00CC3705">
        <w:t> </w:t>
      </w:r>
      <w:r w:rsidR="003E162E">
        <w:t>r. Sąd Okręgowy w Lublinie utrzymał w</w:t>
      </w:r>
      <w:r w:rsidR="00CC3705">
        <w:t> </w:t>
      </w:r>
      <w:r w:rsidR="003E162E">
        <w:t>mocy wyżej wspomniane postanowienie. Sąd uznał, że podstawy zatrzymania pierwszego skarżącego były nadal aktualne, że nie było środków alternatywnych wobec zatrzymania oraz że środek ów nie stanowił żadnego zagrożenia dla dobra trójki dzieci pierwszego skarżącego. Sąd stwierdził, że dzieci miały dostęp do odpowiedniej opieki medycznej i psychologicznej. Ich dobro było brane pod uwagę, ponieważ nie zostały one oddzielone od rodziców.</w:t>
      </w:r>
    </w:p>
    <w:p w14:paraId="4B7345EF" w14:textId="5C418F62" w:rsidR="003E162E" w:rsidRPr="0020706A" w:rsidRDefault="005E5B04" w:rsidP="0020706A">
      <w:pPr>
        <w:pStyle w:val="JuPara"/>
      </w:pPr>
      <w:fldSimple w:instr=" SEQ level0 \*arabic ">
        <w:r w:rsidR="005D7A11">
          <w:rPr>
            <w:noProof/>
          </w:rPr>
          <w:t>25</w:t>
        </w:r>
      </w:fldSimple>
      <w:r w:rsidR="003E162E">
        <w:t>.  W dniu 5 stycznia 2017</w:t>
      </w:r>
      <w:r w:rsidR="00706642">
        <w:t> </w:t>
      </w:r>
      <w:r w:rsidR="003E162E">
        <w:t>r. Sąd Rejonowy w Białej Podlaskiej wydał podobne postanowienie w odniesieniu do drugiej skarżącej, która w treści postanowienia została dwukrotnie określona z użyciem formy żeńskiej i</w:t>
      </w:r>
      <w:r w:rsidR="004F02CA">
        <w:t> </w:t>
      </w:r>
      <w:r w:rsidR="003E162E">
        <w:t>pięciokrotnie za pomocą formy męskiej lub jako „syn”. Sąd krajowy zauważył, że ucieczka skarżącego z Polski była wysoce prawdopodobna z</w:t>
      </w:r>
      <w:r w:rsidR="004F02CA">
        <w:t> </w:t>
      </w:r>
      <w:r w:rsidR="003E162E">
        <w:t>uwagi na „okoliczności związane z jego [pisownia oryginalna] zachowaniem” oraz „wielokrotne próby przekroczenia granicy Polski bez [odpowiednich] dokumentów w trakcie postępowania [azylowego]”</w:t>
      </w:r>
      <w:r w:rsidR="004F02CA">
        <w:t>.</w:t>
      </w:r>
    </w:p>
    <w:p w14:paraId="204EC4E2" w14:textId="11BA4A24" w:rsidR="003E162E" w:rsidRPr="0020706A" w:rsidRDefault="005E5B04" w:rsidP="0020706A">
      <w:pPr>
        <w:pStyle w:val="JuPara"/>
      </w:pPr>
      <w:fldSimple w:instr=" SEQ level0 \*arabic ">
        <w:r w:rsidR="005D7A11">
          <w:rPr>
            <w:noProof/>
          </w:rPr>
          <w:t>26</w:t>
        </w:r>
      </w:fldSimple>
      <w:r w:rsidR="003E162E">
        <w:t>.  W dniu 11 stycznia 2017</w:t>
      </w:r>
      <w:r w:rsidR="004C172D">
        <w:t> </w:t>
      </w:r>
      <w:r w:rsidR="003E162E">
        <w:t>r. Komendant Placówki Straży Granicznej w Białej Podlaskiej wydał dwie decyzje o odmowie zwolnienia pierwszego skarżącego i drugiej skarżącej ze strzeżonego ośrodka dla cudzoziemców. Organ ten zasadniczo powtórzył powody, na które powołały się sądy krajowe w postanowieniach wspomnianych powyżej (zob. par. 14</w:t>
      </w:r>
      <w:r w:rsidR="0026313A">
        <w:t>–</w:t>
      </w:r>
      <w:r w:rsidR="003E162E">
        <w:t>25 powyżej).</w:t>
      </w:r>
    </w:p>
    <w:p w14:paraId="08E3CA87" w14:textId="72C95372" w:rsidR="003E162E" w:rsidRPr="0020706A" w:rsidRDefault="005E5B04" w:rsidP="0020706A">
      <w:pPr>
        <w:pStyle w:val="JuPara"/>
      </w:pPr>
      <w:fldSimple w:instr=" SEQ level0 \*arabic ">
        <w:r w:rsidR="005D7A11">
          <w:rPr>
            <w:noProof/>
          </w:rPr>
          <w:t>27</w:t>
        </w:r>
      </w:fldSimple>
      <w:r w:rsidR="003E162E">
        <w:t>.  Według ustaleń w dniu 12 stycznia 2017</w:t>
      </w:r>
      <w:r w:rsidR="00A861F6">
        <w:t> </w:t>
      </w:r>
      <w:r w:rsidR="003E162E">
        <w:t xml:space="preserve">r. pierwszy skarżący i druga skarżąca wnieśli do </w:t>
      </w:r>
      <w:r w:rsidR="007178DD">
        <w:t>s</w:t>
      </w:r>
      <w:r w:rsidR="003E162E">
        <w:t xml:space="preserve">ądu </w:t>
      </w:r>
      <w:r w:rsidR="007178DD">
        <w:t>o</w:t>
      </w:r>
      <w:r w:rsidR="003E162E">
        <w:t>kręgowego zażalenia na postanowienia z dnia 5</w:t>
      </w:r>
      <w:r w:rsidR="00A861F6">
        <w:t> </w:t>
      </w:r>
      <w:r w:rsidR="003E162E">
        <w:t>stycznia 2017</w:t>
      </w:r>
      <w:r w:rsidR="00A861F6">
        <w:t> </w:t>
      </w:r>
      <w:r w:rsidR="003E162E">
        <w:t>r. Twierdzili oni, że postanowienia nakazujące oraz utrzymujące w mocy ich zatrzymanie administracyjne były schematyczne i</w:t>
      </w:r>
      <w:r w:rsidR="00A861F6">
        <w:t> </w:t>
      </w:r>
      <w:r w:rsidR="003E162E">
        <w:t>arbitralne. W szczególności podnieśli, że kiedy wcześniej próbowali przekroczyć granicę ukraińsko-polską, polska Straż Graniczna nie chciała się z nimi komunikować, a ostatecznie nie zezwoliła im na złożenie wniosku o</w:t>
      </w:r>
      <w:r w:rsidR="00A861F6">
        <w:t> </w:t>
      </w:r>
      <w:r w:rsidR="003E162E">
        <w:t>azyl, zawracając ich w trybie doraźnym. Skarżący utrzymywali również, że nigdy nie twierdzili, jakoby chcieli wyemigrować do Polski z powodów ekonomicznych. Argumentowali również obszernie, że władze, które zarządziły ich zatrzymanie, nie wzięły pod uwagę dobra ich małoletnich dzieci. W szczególności nie traktowały zatrzymania jako środka ostatecznego i zignorowały fakt, że strzeżony ośrodek dla cudzoziemców w Białej Podlaskiej nie jest dostosowany do potrzeb dzieci.</w:t>
      </w:r>
    </w:p>
    <w:p w14:paraId="25DD47E7" w14:textId="3093295C" w:rsidR="003E162E" w:rsidRPr="0020706A" w:rsidRDefault="005E5B04" w:rsidP="0020706A">
      <w:pPr>
        <w:pStyle w:val="JuPara"/>
      </w:pPr>
      <w:fldSimple w:instr=" SEQ level0 \*arabic ">
        <w:r w:rsidR="005D7A11">
          <w:rPr>
            <w:noProof/>
          </w:rPr>
          <w:t>28</w:t>
        </w:r>
      </w:fldSimple>
      <w:r w:rsidR="003E162E">
        <w:t>.  Nie wiadomo, czy skarżący złożyli również odwołanie do sądu okręgowego od decyzji Straży Granicznej z dnia 11 stycznia 2017</w:t>
      </w:r>
      <w:r w:rsidR="00E219BF">
        <w:t> </w:t>
      </w:r>
      <w:r w:rsidR="003E162E">
        <w:t>r.</w:t>
      </w:r>
    </w:p>
    <w:p w14:paraId="351C3EDD" w14:textId="48673CC5" w:rsidR="003E162E" w:rsidRPr="0020706A" w:rsidRDefault="005E5B04" w:rsidP="0020706A">
      <w:pPr>
        <w:pStyle w:val="JuPara"/>
      </w:pPr>
      <w:fldSimple w:instr=" SEQ level0 \*arabic ">
        <w:r w:rsidR="005D7A11">
          <w:rPr>
            <w:noProof/>
          </w:rPr>
          <w:t>29</w:t>
        </w:r>
      </w:fldSimple>
      <w:r w:rsidR="003E162E">
        <w:t>.  W dniu 5 maja 2017</w:t>
      </w:r>
      <w:r w:rsidR="00E219BF">
        <w:t> </w:t>
      </w:r>
      <w:r w:rsidR="003E162E">
        <w:t>r. skarżący zostali zwolnieni ze strzeżonego ośrodka, ponieważ upłynął maksymalny ustawowy okres zatrzymania administracyjnego (zob. par</w:t>
      </w:r>
      <w:r w:rsidR="008456DC">
        <w:t>agraf</w:t>
      </w:r>
      <w:r w:rsidR="003E162E">
        <w:t xml:space="preserve"> 34 poniżej </w:t>
      </w:r>
      <w:r w:rsidR="003E162E">
        <w:rPr>
          <w:i/>
          <w:iCs/>
        </w:rPr>
        <w:t>in fine</w:t>
      </w:r>
      <w:r w:rsidR="003E162E">
        <w:t>).</w:t>
      </w:r>
    </w:p>
    <w:p w14:paraId="17A464E0" w14:textId="77777777" w:rsidR="003E162E" w:rsidRPr="0020706A" w:rsidRDefault="003E162E" w:rsidP="0020706A">
      <w:pPr>
        <w:pStyle w:val="JuHHead"/>
      </w:pPr>
      <w:r>
        <w:t>WŁAŚCIWE RAMY PRAWNE I PRAKTYKA</w:t>
      </w:r>
    </w:p>
    <w:p w14:paraId="18BEAEE2" w14:textId="17CCC844" w:rsidR="003E162E" w:rsidRPr="0020706A" w:rsidRDefault="005E5B04" w:rsidP="0020706A">
      <w:pPr>
        <w:pStyle w:val="JuPara"/>
      </w:pPr>
      <w:fldSimple w:instr=" SEQ level0 \*arabic ">
        <w:r w:rsidR="005D7A11">
          <w:rPr>
            <w:noProof/>
          </w:rPr>
          <w:t>30</w:t>
        </w:r>
      </w:fldSimple>
      <w:r w:rsidR="003E162E">
        <w:t>.  Procedura nadawania statusu uchodźcy i „pobytów tolerowanych” oraz wydalania, aresztowania i zatrzymania cudzoziemców jest uregulowana w ustawie z dnia 13 czerwca 2003</w:t>
      </w:r>
      <w:r w:rsidR="008456DC">
        <w:t> </w:t>
      </w:r>
      <w:r w:rsidR="003E162E">
        <w:t>r. o udzielaniu cudzoziemcom ochrony na terytorium Rzeczypospolitej Polskiej („ustawa z 2003</w:t>
      </w:r>
      <w:r w:rsidR="008456DC">
        <w:t> </w:t>
      </w:r>
      <w:r w:rsidR="003E162E">
        <w:t>r.”).</w:t>
      </w:r>
    </w:p>
    <w:p w14:paraId="6647CED8" w14:textId="5DDEF9C1" w:rsidR="003E162E" w:rsidRPr="0020706A" w:rsidRDefault="005E5B04" w:rsidP="0020706A">
      <w:pPr>
        <w:pStyle w:val="JuPara"/>
      </w:pPr>
      <w:fldSimple w:instr=" SEQ level0 \*arabic ">
        <w:r w:rsidR="005D7A11">
          <w:rPr>
            <w:noProof/>
          </w:rPr>
          <w:t>31</w:t>
        </w:r>
      </w:fldSimple>
      <w:r w:rsidR="003E162E">
        <w:t>.  Kwestie związane z zatrzymaniem administracyjnym cudzoziemców, umieszczaniem ich w ośrodkach strzeżonych, zwalnianiem z ośrodków oraz warunkami bytowymi, w tym przyjmowaniem rodzin z małoletnimi dziećmi oraz zapewnieniem opieki zdrowotnej i edukacji, reguluje ustawa z 2003</w:t>
      </w:r>
      <w:r w:rsidR="00B61C41">
        <w:t> </w:t>
      </w:r>
      <w:r w:rsidR="003E162E">
        <w:t>r. w</w:t>
      </w:r>
      <w:r w:rsidR="00507AD2">
        <w:t> </w:t>
      </w:r>
      <w:r w:rsidR="003E162E">
        <w:t>zakresie, w jakim odpowiednie przepisy nie zostały uchylone ustawą z dnia 12 grudnia 2013</w:t>
      </w:r>
      <w:r w:rsidR="0027526A">
        <w:t> </w:t>
      </w:r>
      <w:r w:rsidR="003E162E">
        <w:t xml:space="preserve">r. o cudzoziemcach, która weszła w życie 1 maja </w:t>
      </w:r>
      <w:r w:rsidR="00B61C41">
        <w:t>2014 </w:t>
      </w:r>
      <w:r w:rsidR="003E162E">
        <w:t>r.</w:t>
      </w:r>
      <w:r w:rsidR="00507AD2">
        <w:t xml:space="preserve"> (ustawa o cudzoziemcach</w:t>
      </w:r>
      <w:r w:rsidR="003E162E">
        <w:t xml:space="preserve"> – „ustawa z 2013</w:t>
      </w:r>
      <w:r w:rsidR="00507AD2">
        <w:t> </w:t>
      </w:r>
      <w:r w:rsidR="003E162E">
        <w:t>r.”)</w:t>
      </w:r>
      <w:r w:rsidR="00F144F5">
        <w:t>.</w:t>
      </w:r>
    </w:p>
    <w:p w14:paraId="6BD71DE4" w14:textId="2D37AEDB" w:rsidR="003E162E" w:rsidRPr="0020706A" w:rsidRDefault="005E5B04" w:rsidP="0020706A">
      <w:pPr>
        <w:pStyle w:val="JuPara"/>
      </w:pPr>
      <w:fldSimple w:instr=" SEQ level0 \*arabic ">
        <w:r w:rsidR="005D7A11">
          <w:rPr>
            <w:noProof/>
          </w:rPr>
          <w:t>32</w:t>
        </w:r>
      </w:fldSimple>
      <w:r w:rsidR="003E162E">
        <w:t>.  W art.</w:t>
      </w:r>
      <w:r w:rsidR="0035183F">
        <w:t> </w:t>
      </w:r>
      <w:r w:rsidR="003E162E">
        <w:t>87 ust.</w:t>
      </w:r>
      <w:r w:rsidR="0035183F">
        <w:t> </w:t>
      </w:r>
      <w:r w:rsidR="003E162E">
        <w:t>1 ustawy z 2003</w:t>
      </w:r>
      <w:r w:rsidR="008158CC">
        <w:t> </w:t>
      </w:r>
      <w:r w:rsidR="003E162E">
        <w:t>r. wymieniono cele zatrzymania osób ubiegających się o</w:t>
      </w:r>
      <w:r w:rsidR="00BB490E">
        <w:t xml:space="preserve"> </w:t>
      </w:r>
      <w:r w:rsidR="00176126">
        <w:t>azyl</w:t>
      </w:r>
      <w:r w:rsidR="003E162E">
        <w:t>. Zgodnie z pkt</w:t>
      </w:r>
      <w:r w:rsidR="0035183F">
        <w:t> </w:t>
      </w:r>
      <w:r w:rsidR="003E162E">
        <w:t>2 ww. ustępu zatrzymanie takie możliwe jest w celu zebrania z udziałem osób ubiegających się o azyl informacji, na których opiera się wniosek o udzielenie ochrony międzynarodowej, a których uzyskanie bez zatrzymania byłoby niemożliwe – w przypadku istnienia znacznego prawdopodobieństwa ucieczki</w:t>
      </w:r>
      <w:r w:rsidR="00670AEB">
        <w:t xml:space="preserve"> tych osób</w:t>
      </w:r>
      <w:r w:rsidR="003E162E">
        <w:t>. Ponadto zgodnie z pkt</w:t>
      </w:r>
      <w:r w:rsidR="0035183F">
        <w:t> </w:t>
      </w:r>
      <w:r w:rsidR="003E162E">
        <w:t>5 tego ustępu zatrzymanie takie możliwe jest w</w:t>
      </w:r>
      <w:r w:rsidR="00670AEB">
        <w:t> </w:t>
      </w:r>
      <w:r w:rsidR="003E162E">
        <w:t>przypadku</w:t>
      </w:r>
      <w:r w:rsidR="00670AEB">
        <w:t>,</w:t>
      </w:r>
      <w:r w:rsidR="003E162E">
        <w:t xml:space="preserve"> gdy istnieje znaczne prawdopodobieństwo ucieczki wnioskodawcy, a natychmiastowe przekazanie go do innego państwa członkowskiego Unii Europejskiej nie jest możliwe.</w:t>
      </w:r>
    </w:p>
    <w:p w14:paraId="36A2A379" w14:textId="03F385A6" w:rsidR="003E162E" w:rsidRPr="0020706A" w:rsidRDefault="005E5B04" w:rsidP="0020706A">
      <w:pPr>
        <w:pStyle w:val="JuPara"/>
      </w:pPr>
      <w:fldSimple w:instr=" SEQ level0 \*arabic ">
        <w:r w:rsidR="005D7A11">
          <w:rPr>
            <w:noProof/>
          </w:rPr>
          <w:t>33</w:t>
        </w:r>
      </w:fldSimple>
      <w:r w:rsidR="003E162E">
        <w:t>.  W art.</w:t>
      </w:r>
      <w:r w:rsidR="00743FC1">
        <w:t> </w:t>
      </w:r>
      <w:r w:rsidR="003E162E">
        <w:t>87 ust.</w:t>
      </w:r>
      <w:r w:rsidR="00743FC1">
        <w:t> </w:t>
      </w:r>
      <w:r w:rsidR="003E162E">
        <w:t>2 pkt</w:t>
      </w:r>
      <w:r w:rsidR="00743FC1">
        <w:t> </w:t>
      </w:r>
      <w:r w:rsidR="003E162E">
        <w:t>2 ustawy z 2003</w:t>
      </w:r>
      <w:r w:rsidR="00743FC1">
        <w:t> </w:t>
      </w:r>
      <w:r w:rsidR="003E162E">
        <w:t xml:space="preserve">r. ustanowiono domniemanie faktyczne w odniesieniu do osób ubiegających się o ochronę międzynarodową, </w:t>
      </w:r>
      <w:r w:rsidR="00BF6A75">
        <w:t xml:space="preserve">zgodnie </w:t>
      </w:r>
      <w:r w:rsidR="003E162E">
        <w:t xml:space="preserve">z którym prawdopodobieństwo </w:t>
      </w:r>
      <w:r w:rsidR="00BF6A75">
        <w:t xml:space="preserve">ich </w:t>
      </w:r>
      <w:r w:rsidR="003E162E">
        <w:t>ucieczki istnieje w</w:t>
      </w:r>
      <w:r w:rsidR="00743FC1">
        <w:t> </w:t>
      </w:r>
      <w:r w:rsidR="003E162E">
        <w:t>przypadku</w:t>
      </w:r>
      <w:r w:rsidR="00BF6A75">
        <w:t>,</w:t>
      </w:r>
      <w:r w:rsidR="003E162E">
        <w:t xml:space="preserve"> gdy osoby te przekroczyły lub usiłowały przekroczyć granicę wbrew przepisom prawa, chyba że przybyły bezpośrednio z</w:t>
      </w:r>
      <w:r w:rsidR="00F0561C">
        <w:t> </w:t>
      </w:r>
      <w:r w:rsidR="003E162E">
        <w:t>terytorium, na którym zagrażało im niebezpieczeństwo prześladowania lub ryzyko wyrządzenia poważnej krzywdy, oraz przedstawiły wiarygodne przyczyny nielegalnego wjazdu na terytorium Rzeczypospolitej Polskiej i</w:t>
      </w:r>
      <w:r w:rsidR="00F0561C">
        <w:t> </w:t>
      </w:r>
      <w:r w:rsidR="003E162E">
        <w:t>złożyły wniosek o udzielenie ochrony międzynarodowej niezwłocznie po przekroczeniu granicy.</w:t>
      </w:r>
    </w:p>
    <w:p w14:paraId="18662550" w14:textId="1C8DE056" w:rsidR="003E162E" w:rsidRPr="0020706A" w:rsidRDefault="005E5B04" w:rsidP="0020706A">
      <w:pPr>
        <w:pStyle w:val="JuPara"/>
      </w:pPr>
      <w:fldSimple w:instr=" SEQ level0 \*arabic ">
        <w:r w:rsidR="005D7A11">
          <w:rPr>
            <w:noProof/>
          </w:rPr>
          <w:t>34</w:t>
        </w:r>
      </w:fldSimple>
      <w:r w:rsidR="003E162E">
        <w:t>.  Zgodnie z art.</w:t>
      </w:r>
      <w:r w:rsidR="00443C9B">
        <w:t> </w:t>
      </w:r>
      <w:r w:rsidR="003E162E">
        <w:t>89 ustawy z 2003</w:t>
      </w:r>
      <w:r w:rsidR="00443C9B">
        <w:t> </w:t>
      </w:r>
      <w:r w:rsidR="003E162E">
        <w:t>r. umieszczenie w strzeżonym ośrodku początkowo orzeka się na okres nieprzekraczający sześćdziesięciu dni. Do czasu zakończenia postępowania o nadanie statusu uchodźcy pobyt cudzoziemca w strzeżonym ośrodku lub areszcie może zostać przedłużony na okres uznany za niezbędny do wydania ostatecznej decyzji w sprawie oraz do wykonania decyzji o wydaleniu. Całkowity czas pobytu w strzeżonym ośrodku nie może przekroczyć sześciu miesięcy.</w:t>
      </w:r>
    </w:p>
    <w:p w14:paraId="21B22510" w14:textId="0A003B6E" w:rsidR="003E162E" w:rsidRPr="0020706A" w:rsidRDefault="005E5B04" w:rsidP="0020706A">
      <w:pPr>
        <w:pStyle w:val="JuPara"/>
      </w:pPr>
      <w:fldSimple w:instr=" SEQ level0 \*arabic ">
        <w:r w:rsidR="005D7A11">
          <w:rPr>
            <w:noProof/>
          </w:rPr>
          <w:t>35</w:t>
        </w:r>
      </w:fldSimple>
      <w:r w:rsidR="003E162E">
        <w:t>.  Zgodnie z art.</w:t>
      </w:r>
      <w:r w:rsidR="00031C9F">
        <w:t> </w:t>
      </w:r>
      <w:r w:rsidR="003E162E">
        <w:t>401 ust.</w:t>
      </w:r>
      <w:r w:rsidR="00031C9F">
        <w:t> </w:t>
      </w:r>
      <w:r w:rsidR="003E162E">
        <w:t>4 ustawy z 2013</w:t>
      </w:r>
      <w:r w:rsidR="00031C9F">
        <w:t> </w:t>
      </w:r>
      <w:r w:rsidR="003E162E">
        <w:t>r. sąd rozpatrując wniosek o</w:t>
      </w:r>
      <w:r w:rsidR="00031C9F">
        <w:t> </w:t>
      </w:r>
      <w:r w:rsidR="003E162E">
        <w:t>umieszczenie w strzeżonym ośrodku cudzoziemca wraz z małoletnim pozostającym pod jego opieką</w:t>
      </w:r>
      <w:r w:rsidR="00031C9F">
        <w:t>,</w:t>
      </w:r>
      <w:r w:rsidR="003E162E">
        <w:t xml:space="preserve"> kieruje się także dobrem tego małoletniego.</w:t>
      </w:r>
    </w:p>
    <w:p w14:paraId="4A4496BA" w14:textId="30BC34F8" w:rsidR="003E162E" w:rsidRPr="0020706A" w:rsidRDefault="005E5B04" w:rsidP="0020706A">
      <w:pPr>
        <w:pStyle w:val="JuPara"/>
      </w:pPr>
      <w:fldSimple w:instr=" SEQ level0 \*arabic ">
        <w:r w:rsidR="005D7A11">
          <w:rPr>
            <w:noProof/>
          </w:rPr>
          <w:t>36</w:t>
        </w:r>
      </w:fldSimple>
      <w:r w:rsidR="003E162E">
        <w:t>.  Prawo cudzoziemca do ubiegania się o odszkodowanie w przypadku niesłusznego umieszczenia go w strzeżonym ośrodku przewidziano w</w:t>
      </w:r>
      <w:r w:rsidR="00B54C4B">
        <w:t> </w:t>
      </w:r>
      <w:r w:rsidR="003E162E">
        <w:t>art.</w:t>
      </w:r>
      <w:r w:rsidR="00A13F02">
        <w:t> </w:t>
      </w:r>
      <w:r w:rsidR="003E162E">
        <w:t>407 ust.</w:t>
      </w:r>
      <w:r w:rsidR="00A13F02">
        <w:t> </w:t>
      </w:r>
      <w:r w:rsidR="003E162E">
        <w:t>1 ustawy z 2013</w:t>
      </w:r>
      <w:r w:rsidR="00A13F02">
        <w:t> </w:t>
      </w:r>
      <w:r w:rsidR="003E162E">
        <w:t>r., który – w zakresie istotnym dla sprawy – stanowi:</w:t>
      </w:r>
    </w:p>
    <w:p w14:paraId="44573516" w14:textId="3F48D80C" w:rsidR="003E162E" w:rsidRPr="0020706A" w:rsidRDefault="003E162E" w:rsidP="0020706A">
      <w:pPr>
        <w:pStyle w:val="JuQuot"/>
      </w:pPr>
      <w:r>
        <w:t>„1. Cudzoziemcowi przysługuje od Skarbu Państwa odszkodowanie oraz zadośćuczynienie w przypadku niesłusznego zatrzymania lub niesłusznego umieszczenia go w strzeżonym ośrodku lub zastosowania wobec niego aresztu dla cudzoziemców”</w:t>
      </w:r>
      <w:r w:rsidR="00B54C4B">
        <w:t>.</w:t>
      </w:r>
    </w:p>
    <w:p w14:paraId="609C6CD3" w14:textId="1C5FBDD8" w:rsidR="003E162E" w:rsidRPr="0020706A" w:rsidRDefault="005E5B04" w:rsidP="0020706A">
      <w:pPr>
        <w:pStyle w:val="JuPara"/>
      </w:pPr>
      <w:fldSimple w:instr=" SEQ level0 \*arabic ">
        <w:r w:rsidR="005D7A11">
          <w:rPr>
            <w:noProof/>
          </w:rPr>
          <w:t>37</w:t>
        </w:r>
      </w:fldSimple>
      <w:r w:rsidR="003E162E">
        <w:t>.  Postępowanie, w zakresie mającym zastosowanie, regulują art</w:t>
      </w:r>
      <w:r w:rsidR="0084589C">
        <w:t>ykuły od art.</w:t>
      </w:r>
      <w:r w:rsidR="00B20A8E">
        <w:t> </w:t>
      </w:r>
      <w:r w:rsidR="003E162E">
        <w:t>552 §</w:t>
      </w:r>
      <w:r w:rsidR="0084589C">
        <w:t> </w:t>
      </w:r>
      <w:r w:rsidR="003E162E">
        <w:t xml:space="preserve">4 </w:t>
      </w:r>
      <w:r w:rsidR="0084589C">
        <w:t>do art. </w:t>
      </w:r>
      <w:r w:rsidR="003E162E">
        <w:t>555 Kodeksu postępowania karnego. Wszelkie roszczenia o odszkodowanie przedawniają się po upływie roku od zwolnienia (art.</w:t>
      </w:r>
      <w:r w:rsidR="00E2473F">
        <w:t> </w:t>
      </w:r>
      <w:r w:rsidR="003E162E">
        <w:t>555).</w:t>
      </w:r>
    </w:p>
    <w:p w14:paraId="6C07C0B4" w14:textId="26E6E3C4" w:rsidR="003E162E" w:rsidRPr="0020706A" w:rsidRDefault="005E5B04" w:rsidP="0020706A">
      <w:pPr>
        <w:pStyle w:val="JuPara"/>
      </w:pPr>
      <w:fldSimple w:instr=" SEQ level0 \*arabic \* MERGEFORMAT ">
        <w:r w:rsidR="005D7A11">
          <w:rPr>
            <w:noProof/>
          </w:rPr>
          <w:t>38</w:t>
        </w:r>
      </w:fldSimple>
      <w:r w:rsidR="00CF4316">
        <w:t>.  Ponadto art.</w:t>
      </w:r>
      <w:r w:rsidR="001E4557">
        <w:t> </w:t>
      </w:r>
      <w:r w:rsidR="00CF4316">
        <w:t>23 Kodeksu cywilnego, który wszedł w życie w 1964</w:t>
      </w:r>
      <w:r w:rsidR="001E4557">
        <w:t> </w:t>
      </w:r>
      <w:r w:rsidR="00CF4316">
        <w:t>r., zawiera niewyczerpującą listę tzw. dóbr osobistych. Przepis ten stanowi:</w:t>
      </w:r>
    </w:p>
    <w:p w14:paraId="0078A25F" w14:textId="02BC9299" w:rsidR="003E162E" w:rsidRPr="0020706A" w:rsidRDefault="003E162E" w:rsidP="0020706A">
      <w:pPr>
        <w:pStyle w:val="JuQuot"/>
      </w:pPr>
      <w: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001E4557">
        <w:t>.</w:t>
      </w:r>
    </w:p>
    <w:p w14:paraId="2EF9B60F" w14:textId="1750BA7F" w:rsidR="003E162E" w:rsidRPr="0020706A" w:rsidRDefault="003E162E" w:rsidP="0020706A">
      <w:pPr>
        <w:pStyle w:val="JuPara"/>
      </w:pPr>
      <w:r>
        <w:t>Zgodnie z art.</w:t>
      </w:r>
      <w:r w:rsidR="007A5A10">
        <w:t> </w:t>
      </w:r>
      <w:r>
        <w:t>24 § 1 Kodeksu cywilnego</w:t>
      </w:r>
    </w:p>
    <w:p w14:paraId="3CCA22FC" w14:textId="5A4F3B21" w:rsidR="003E162E" w:rsidRPr="0020706A" w:rsidRDefault="003E162E" w:rsidP="0020706A">
      <w:pPr>
        <w:pStyle w:val="JuQuot"/>
      </w:pPr>
      <w:r>
        <w:t xml:space="preserve">„Ten,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 Na zasadach przewidzianych </w:t>
      </w:r>
      <w:r>
        <w:lastRenderedPageBreak/>
        <w:t>w</w:t>
      </w:r>
      <w:r w:rsidR="007A5A10">
        <w:t> </w:t>
      </w:r>
      <w:r>
        <w:t>kodeksie może on również żądać zadośćuczynienia pieniężnego lub zapłaty odpowiedniej sumy pieniężnej na wskazany cel społeczny”</w:t>
      </w:r>
      <w:r w:rsidR="00BA586B">
        <w:t>.</w:t>
      </w:r>
    </w:p>
    <w:p w14:paraId="31ACF21B" w14:textId="77777777" w:rsidR="003E162E" w:rsidRPr="0020706A" w:rsidRDefault="003E162E" w:rsidP="0020706A">
      <w:pPr>
        <w:pStyle w:val="JuHHead"/>
      </w:pPr>
      <w:r>
        <w:t>PRAWO</w:t>
      </w:r>
    </w:p>
    <w:p w14:paraId="52D0BBCA" w14:textId="03414965" w:rsidR="003E162E" w:rsidRPr="0020706A" w:rsidRDefault="003E162E" w:rsidP="0020706A">
      <w:pPr>
        <w:pStyle w:val="JuHIRoman"/>
      </w:pPr>
      <w:r>
        <w:t>ZARZUT NARUSZENIA ART.</w:t>
      </w:r>
      <w:r w:rsidR="001F6C01">
        <w:t> </w:t>
      </w:r>
      <w:r>
        <w:t>5 UST.</w:t>
      </w:r>
      <w:r w:rsidR="001F6C01">
        <w:t> </w:t>
      </w:r>
      <w:r>
        <w:t>1 KONWENCJI</w:t>
      </w:r>
    </w:p>
    <w:p w14:paraId="2CC12740" w14:textId="4C3BDC01" w:rsidR="003E162E" w:rsidRPr="0020706A" w:rsidRDefault="005E5B04" w:rsidP="0020706A">
      <w:pPr>
        <w:pStyle w:val="JuPara"/>
      </w:pPr>
      <w:fldSimple w:instr=" SEQ level0 \*arabic ">
        <w:r w:rsidR="005D7A11">
          <w:rPr>
            <w:noProof/>
          </w:rPr>
          <w:t>39</w:t>
        </w:r>
      </w:fldSimple>
      <w:r w:rsidR="003E162E">
        <w:t>.  Skarżący podnieśli, że ich zatrzymanie administracyjne w strzeżonym ośrodku dla cudzoziemców stanowiło naruszenie art. 5 ust. 1 lit.</w:t>
      </w:r>
      <w:r w:rsidR="006B3502">
        <w:t> </w:t>
      </w:r>
      <w:r w:rsidR="003E162E">
        <w:t>f Konwencji, który stanowi:</w:t>
      </w:r>
    </w:p>
    <w:p w14:paraId="090B8730" w14:textId="77777777" w:rsidR="003E162E" w:rsidRPr="0020706A" w:rsidRDefault="003E162E" w:rsidP="0020706A">
      <w:pPr>
        <w:pStyle w:val="JuQuot"/>
      </w:pPr>
      <w:r>
        <w:t>„1.  Każdy ma prawo do wolności i bezpieczeństwa osobistego. Nikt nie może być pozbawiony wolności, z wyjątkiem następujących przypadków i w trybie ustalonym przez prawo:</w:t>
      </w:r>
    </w:p>
    <w:p w14:paraId="1A4DF41D" w14:textId="4E0FD2D0" w:rsidR="003E162E" w:rsidRPr="0020706A" w:rsidRDefault="003E162E" w:rsidP="0020706A">
      <w:pPr>
        <w:pStyle w:val="JuQuot"/>
      </w:pPr>
      <w:r>
        <w:t>[…]</w:t>
      </w:r>
    </w:p>
    <w:p w14:paraId="3822D77A" w14:textId="7D5A12A6" w:rsidR="003E162E" w:rsidRPr="0020706A" w:rsidRDefault="003E162E" w:rsidP="00996BDD">
      <w:pPr>
        <w:pStyle w:val="JuQuot"/>
      </w:pPr>
      <w:r>
        <w:t>f) zgodnego z prawem zatrzymania lub aresztowania osoby w celu zapobieżenia jej nielegalnemu wkroczeniu na terytorium państwa lub osoby, przeciwko której toczy się postępowanie o wydalenie lub ekstradycję”</w:t>
      </w:r>
      <w:r w:rsidR="007232F9">
        <w:t>.</w:t>
      </w:r>
    </w:p>
    <w:p w14:paraId="2BB14687" w14:textId="77777777" w:rsidR="003E162E" w:rsidRPr="0020706A" w:rsidRDefault="003E162E" w:rsidP="0020706A">
      <w:pPr>
        <w:pStyle w:val="JuHA"/>
      </w:pPr>
      <w:r>
        <w:t>Dopuszczalność</w:t>
      </w:r>
    </w:p>
    <w:p w14:paraId="4AEB6F66" w14:textId="77777777" w:rsidR="003E162E" w:rsidRPr="0020706A" w:rsidRDefault="003E162E" w:rsidP="0020706A">
      <w:pPr>
        <w:pStyle w:val="JuH1"/>
      </w:pPr>
      <w:r>
        <w:t>Stanowiska stron</w:t>
      </w:r>
    </w:p>
    <w:p w14:paraId="451D8B66" w14:textId="038A62A5" w:rsidR="003E162E" w:rsidRPr="0020706A" w:rsidRDefault="005E5B04" w:rsidP="0020706A">
      <w:pPr>
        <w:pStyle w:val="JuPara"/>
      </w:pPr>
      <w:fldSimple w:instr=" SEQ level0 \*arabic ">
        <w:r w:rsidR="005D7A11">
          <w:rPr>
            <w:noProof/>
          </w:rPr>
          <w:t>40</w:t>
        </w:r>
      </w:fldSimple>
      <w:r w:rsidR="003E162E">
        <w:t>.  Rząd zgłosił zastrzeżenie wstępne, że skarga jest niedopuszczalna z</w:t>
      </w:r>
      <w:r w:rsidR="00142C36">
        <w:t> </w:t>
      </w:r>
      <w:r w:rsidR="003E162E">
        <w:t>powodu niewyczerpania krajowych środków odwoławczych.</w:t>
      </w:r>
    </w:p>
    <w:p w14:paraId="19799EC0" w14:textId="68F118D9" w:rsidR="003E162E" w:rsidRPr="0020706A" w:rsidRDefault="005E5B04" w:rsidP="0020706A">
      <w:pPr>
        <w:pStyle w:val="JuPara"/>
      </w:pPr>
      <w:fldSimple w:instr=" SEQ level0 \*arabic ">
        <w:r w:rsidR="005D7A11">
          <w:rPr>
            <w:noProof/>
          </w:rPr>
          <w:t>41</w:t>
        </w:r>
      </w:fldSimple>
      <w:r w:rsidR="003E162E">
        <w:t>.  Argumentował, że skarżący powinni byli złożyć pozew o</w:t>
      </w:r>
      <w:r w:rsidR="00C8021A">
        <w:t> </w:t>
      </w:r>
      <w:r w:rsidR="003E162E">
        <w:t>odszkodowanie za niesłuszne zatrzymanie w strzeżonym ośrodku, na podstawie art.</w:t>
      </w:r>
      <w:r w:rsidR="00C8021A">
        <w:t> </w:t>
      </w:r>
      <w:r w:rsidR="003E162E">
        <w:t>407 ustawy z 2013</w:t>
      </w:r>
      <w:r w:rsidR="00C8021A">
        <w:t> </w:t>
      </w:r>
      <w:r w:rsidR="003E162E">
        <w:t>r. (zob. par</w:t>
      </w:r>
      <w:r w:rsidR="00C8021A">
        <w:t>agraf</w:t>
      </w:r>
      <w:r w:rsidR="003E162E">
        <w:t xml:space="preserve"> 36 powyżej). Rząd powołał się przy tym na kilka wyroków sądów krajowych, w których skarżącym przyznano odszkodowanie za ich wcześniejsze zatrzymanie administracyjne.</w:t>
      </w:r>
    </w:p>
    <w:p w14:paraId="69CBE54B" w14:textId="04B31DFA" w:rsidR="003E162E" w:rsidRPr="0020706A" w:rsidRDefault="005E5B04" w:rsidP="0020706A">
      <w:pPr>
        <w:pStyle w:val="JuPara"/>
      </w:pPr>
      <w:fldSimple w:instr=" SEQ level0 \*arabic ">
        <w:r w:rsidR="005D7A11">
          <w:rPr>
            <w:noProof/>
          </w:rPr>
          <w:t>42</w:t>
        </w:r>
      </w:fldSimple>
      <w:r w:rsidR="003E162E">
        <w:t>.  Rząd argumentował również, że alternatywnie skarżący mogli wnieść powództwo na podstawie art.</w:t>
      </w:r>
      <w:r w:rsidR="001E4731">
        <w:t> </w:t>
      </w:r>
      <w:r w:rsidR="003E162E">
        <w:t>23 i</w:t>
      </w:r>
      <w:r w:rsidR="001E4731">
        <w:t> </w:t>
      </w:r>
      <w:r w:rsidR="003E162E">
        <w:t>24 Kodeksu cywilnego, domagając się zadośćuczynienia za naruszenie ich dóbr osobistych.</w:t>
      </w:r>
    </w:p>
    <w:p w14:paraId="4E285B44" w14:textId="7E05A2E0" w:rsidR="003E162E" w:rsidRPr="0020706A" w:rsidRDefault="005E5B04" w:rsidP="0020706A">
      <w:pPr>
        <w:pStyle w:val="JuPara"/>
      </w:pPr>
      <w:fldSimple w:instr=" SEQ level0 \*arabic ">
        <w:r w:rsidR="005D7A11">
          <w:rPr>
            <w:noProof/>
          </w:rPr>
          <w:t>43</w:t>
        </w:r>
      </w:fldSimple>
      <w:r w:rsidR="003E162E">
        <w:t>.  Skarżący odpowiedzieli, że spełnili wymóg wyczerpania krajowych środków odwoławczych, ponieważ odwołali się od postanowień z dnia 7</w:t>
      </w:r>
      <w:r w:rsidR="001E4731">
        <w:t> </w:t>
      </w:r>
      <w:r w:rsidR="003E162E">
        <w:t>listopada 2016</w:t>
      </w:r>
      <w:r w:rsidR="001E4731">
        <w:t> </w:t>
      </w:r>
      <w:r w:rsidR="003E162E">
        <w:t>r. nakazujących ich zatrzymanie w strzeżonym ośrodku.</w:t>
      </w:r>
    </w:p>
    <w:p w14:paraId="7D42248E" w14:textId="77777777" w:rsidR="003E162E" w:rsidRPr="0020706A" w:rsidRDefault="003E162E" w:rsidP="0020706A">
      <w:pPr>
        <w:pStyle w:val="JuH1"/>
      </w:pPr>
      <w:r>
        <w:t>Ocena Trybunału</w:t>
      </w:r>
    </w:p>
    <w:p w14:paraId="6D814828" w14:textId="5A8921E4" w:rsidR="003E162E" w:rsidRPr="0020706A" w:rsidRDefault="005E5B04" w:rsidP="0020706A">
      <w:pPr>
        <w:pStyle w:val="JuPara"/>
      </w:pPr>
      <w:fldSimple w:instr=" SEQ level0 \*arabic ">
        <w:r w:rsidR="005D7A11">
          <w:rPr>
            <w:noProof/>
          </w:rPr>
          <w:t>44</w:t>
        </w:r>
      </w:fldSimple>
      <w:r w:rsidR="003E162E">
        <w:t xml:space="preserve">.  Ogólne zasady dotyczące wyczerpania krajowych środków odwoławczych zostały określone w wyroku w sprawie </w:t>
      </w:r>
      <w:proofErr w:type="spellStart"/>
      <w:r w:rsidR="003E162E">
        <w:rPr>
          <w:i/>
          <w:iCs/>
        </w:rPr>
        <w:t>Bistieva</w:t>
      </w:r>
      <w:proofErr w:type="spellEnd"/>
      <w:r w:rsidR="003E162E">
        <w:rPr>
          <w:i/>
          <w:iCs/>
        </w:rPr>
        <w:t xml:space="preserve"> i Inni przeciwko Polsce</w:t>
      </w:r>
      <w:r w:rsidR="003E162E">
        <w:t xml:space="preserve"> (nr 75157/14, §§ 52</w:t>
      </w:r>
      <w:r w:rsidR="00AF4EE0">
        <w:t>–</w:t>
      </w:r>
      <w:r w:rsidR="003E162E">
        <w:t>57, 10 kwietnia 2018</w:t>
      </w:r>
      <w:r w:rsidR="00AF4EE0">
        <w:t> </w:t>
      </w:r>
      <w:r w:rsidR="003E162E">
        <w:t>r.).</w:t>
      </w:r>
    </w:p>
    <w:p w14:paraId="13BA0804" w14:textId="77777777" w:rsidR="003E162E" w:rsidRPr="0020706A" w:rsidRDefault="005E5B04" w:rsidP="0020706A">
      <w:pPr>
        <w:pStyle w:val="JuPara"/>
      </w:pPr>
      <w:fldSimple w:instr=" SEQ level0 \*arabic ">
        <w:r w:rsidR="005D7A11">
          <w:rPr>
            <w:noProof/>
          </w:rPr>
          <w:t>45</w:t>
        </w:r>
      </w:fldSimple>
      <w:r w:rsidR="003E162E">
        <w:t xml:space="preserve">.  W szczególności kwestię, czy krajowe środki odwoławcze zostały wyczerpane, zwykle ustala się w odniesieniu do daty wniesienia skargi do Trybunału (zob. </w:t>
      </w:r>
      <w:r w:rsidR="003E162E">
        <w:rPr>
          <w:i/>
          <w:iCs/>
        </w:rPr>
        <w:t>Baumann przeciwko Francji</w:t>
      </w:r>
      <w:r w:rsidR="003E162E">
        <w:t>, nr 33592/96, § 47, ETPC 2001-V (fragmenty)).</w:t>
      </w:r>
    </w:p>
    <w:p w14:paraId="62D24111" w14:textId="4B9B978A" w:rsidR="003E162E" w:rsidRPr="0020706A" w:rsidRDefault="005E5B04" w:rsidP="0020706A">
      <w:pPr>
        <w:pStyle w:val="JuPara"/>
        <w:rPr>
          <w:rFonts w:ascii="Times New Roman" w:hAnsi="Times New Roman" w:cs="Times New Roman"/>
        </w:rPr>
      </w:pPr>
      <w:fldSimple w:instr=" SEQ level0 \*arabic ">
        <w:r w:rsidR="005D7A11">
          <w:rPr>
            <w:noProof/>
          </w:rPr>
          <w:t>46</w:t>
        </w:r>
      </w:fldSimple>
      <w:r w:rsidR="003E162E">
        <w:t xml:space="preserve">.  Trybunał powtarza, że środek odwoławczy mający na celu zakwestionowanie legalności trwającego pozbawienia wolności, aby był skuteczny, </w:t>
      </w:r>
      <w:r w:rsidR="00330A0A">
        <w:t xml:space="preserve">musi </w:t>
      </w:r>
      <w:r w:rsidR="003E162E">
        <w:t xml:space="preserve">dawać zainteresowanej osobie szansę na zakończenie sytuacji, której dotyczy skarga (zob. </w:t>
      </w:r>
      <w:proofErr w:type="spellStart"/>
      <w:r w:rsidR="003E162E">
        <w:rPr>
          <w:i/>
          <w:iCs/>
        </w:rPr>
        <w:t>Gavril</w:t>
      </w:r>
      <w:proofErr w:type="spellEnd"/>
      <w:r w:rsidR="003E162E">
        <w:rPr>
          <w:i/>
          <w:iCs/>
        </w:rPr>
        <w:t xml:space="preserve"> </w:t>
      </w:r>
      <w:proofErr w:type="spellStart"/>
      <w:r w:rsidR="003E162E">
        <w:rPr>
          <w:i/>
          <w:iCs/>
        </w:rPr>
        <w:t>Yossifov</w:t>
      </w:r>
      <w:proofErr w:type="spellEnd"/>
      <w:r w:rsidR="003E162E">
        <w:rPr>
          <w:i/>
          <w:iCs/>
        </w:rPr>
        <w:t xml:space="preserve"> przeciwko Bułgarii</w:t>
      </w:r>
      <w:r w:rsidR="003E162E">
        <w:t>, nr</w:t>
      </w:r>
      <w:r w:rsidR="00330A0A">
        <w:t> </w:t>
      </w:r>
      <w:r w:rsidR="003E162E">
        <w:t>74012/01, §</w:t>
      </w:r>
      <w:r w:rsidR="00130B63">
        <w:t> </w:t>
      </w:r>
      <w:r w:rsidR="003E162E">
        <w:t>40, 6 listopada 2008</w:t>
      </w:r>
      <w:r w:rsidR="00130B63">
        <w:t> </w:t>
      </w:r>
      <w:r w:rsidR="003E162E">
        <w:t xml:space="preserve">r., oraz </w:t>
      </w:r>
      <w:r w:rsidR="003E162E">
        <w:rPr>
          <w:i/>
          <w:iCs/>
        </w:rPr>
        <w:t xml:space="preserve">Mustafa </w:t>
      </w:r>
      <w:proofErr w:type="spellStart"/>
      <w:r w:rsidR="003E162E">
        <w:rPr>
          <w:i/>
          <w:iCs/>
        </w:rPr>
        <w:t>Avci</w:t>
      </w:r>
      <w:proofErr w:type="spellEnd"/>
      <w:r w:rsidR="003E162E">
        <w:rPr>
          <w:i/>
          <w:iCs/>
        </w:rPr>
        <w:t xml:space="preserve"> przeciwko Turcji</w:t>
      </w:r>
      <w:r w:rsidR="003E162E">
        <w:t>, nr</w:t>
      </w:r>
      <w:r w:rsidR="00330A0A">
        <w:t> </w:t>
      </w:r>
      <w:r w:rsidR="003E162E">
        <w:t>39322/12, §</w:t>
      </w:r>
      <w:r w:rsidR="00130B63">
        <w:t> </w:t>
      </w:r>
      <w:r w:rsidR="003E162E">
        <w:t>60, 23 maja 2017</w:t>
      </w:r>
      <w:r w:rsidR="00130B63">
        <w:t> </w:t>
      </w:r>
      <w:r w:rsidR="003E162E">
        <w:t>r.).</w:t>
      </w:r>
    </w:p>
    <w:p w14:paraId="37170B2F" w14:textId="6CB0F01A" w:rsidR="003E162E" w:rsidRPr="0020706A" w:rsidRDefault="003E162E" w:rsidP="0020706A">
      <w:pPr>
        <w:pStyle w:val="JuPara"/>
        <w:rPr>
          <w:rFonts w:ascii="Times New Roman" w:hAnsi="Times New Roman" w:cs="Times New Roman"/>
        </w:rPr>
      </w:pPr>
      <w:r w:rsidRPr="0020706A">
        <w:rPr>
          <w:rFonts w:ascii="Times New Roman" w:hAnsi="Times New Roman" w:cs="Times New Roman"/>
        </w:rPr>
        <w:fldChar w:fldCharType="begin"/>
      </w:r>
      <w:r w:rsidRPr="0020706A">
        <w:rPr>
          <w:rFonts w:ascii="Times New Roman" w:hAnsi="Times New Roman" w:cs="Times New Roman"/>
        </w:rPr>
        <w:instrText xml:space="preserve"> SEQ level0 \*arabic </w:instrText>
      </w:r>
      <w:r w:rsidRPr="0020706A">
        <w:rPr>
          <w:rFonts w:ascii="Times New Roman" w:hAnsi="Times New Roman" w:cs="Times New Roman"/>
        </w:rPr>
        <w:fldChar w:fldCharType="separate"/>
      </w:r>
      <w:r w:rsidR="005D7A11">
        <w:rPr>
          <w:rFonts w:ascii="Times New Roman" w:hAnsi="Times New Roman" w:cs="Times New Roman"/>
          <w:noProof/>
        </w:rPr>
        <w:t>47</w:t>
      </w:r>
      <w:r w:rsidRPr="0020706A">
        <w:rPr>
          <w:rFonts w:ascii="Times New Roman" w:hAnsi="Times New Roman" w:cs="Times New Roman"/>
        </w:rPr>
        <w:fldChar w:fldCharType="end"/>
      </w:r>
      <w:r>
        <w:rPr>
          <w:rFonts w:ascii="Times New Roman" w:hAnsi="Times New Roman"/>
        </w:rPr>
        <w:t xml:space="preserve">.  W przedmiotowej sprawie, w dniu złożenia skargi do Trybunału, skarżący byli przetrzymywani w strzeżonym ośrodku dla cudzoziemców. </w:t>
      </w:r>
      <w:r>
        <w:t xml:space="preserve">Niestety jednak żaden ze środków odwoławczych zaproponowanych przez Rząd – jako że mają one charakter czysto odszkodowawczy – nie mógłby doprowadzić do zwolnienia skarżących, nawet gdyby ich zatrzymanie zostało uznane za bezprawne lub nieuzasadnione (zob. </w:t>
      </w:r>
      <w:proofErr w:type="spellStart"/>
      <w:r w:rsidRPr="0038697A">
        <w:rPr>
          <w:rFonts w:ascii="Times New Roman" w:hAnsi="Times New Roman"/>
          <w:i/>
        </w:rPr>
        <w:t>Bilalova</w:t>
      </w:r>
      <w:proofErr w:type="spellEnd"/>
      <w:r w:rsidRPr="0038697A">
        <w:rPr>
          <w:rFonts w:ascii="Times New Roman" w:hAnsi="Times New Roman"/>
          <w:i/>
        </w:rPr>
        <w:t xml:space="preserve"> i Inni przeciwko Polsce</w:t>
      </w:r>
      <w:r>
        <w:t>, nr 23685/14, §</w:t>
      </w:r>
      <w:r w:rsidR="000C0439">
        <w:t> </w:t>
      </w:r>
      <w:r>
        <w:t>64, 26 marca 2020</w:t>
      </w:r>
      <w:r w:rsidR="000C0439">
        <w:t> </w:t>
      </w:r>
      <w:r>
        <w:t xml:space="preserve">r., por. też </w:t>
      </w:r>
      <w:proofErr w:type="spellStart"/>
      <w:r>
        <w:rPr>
          <w:i/>
          <w:iCs/>
        </w:rPr>
        <w:t>Bistieva</w:t>
      </w:r>
      <w:proofErr w:type="spellEnd"/>
      <w:r>
        <w:rPr>
          <w:i/>
          <w:iCs/>
        </w:rPr>
        <w:t xml:space="preserve"> i Inni</w:t>
      </w:r>
      <w:r>
        <w:t>, cyt.</w:t>
      </w:r>
      <w:r w:rsidR="000C0439">
        <w:t> </w:t>
      </w:r>
      <w:r>
        <w:t>powyżej, §§ 58</w:t>
      </w:r>
      <w:r w:rsidR="000C0439">
        <w:t>–</w:t>
      </w:r>
      <w:r>
        <w:t>66).</w:t>
      </w:r>
    </w:p>
    <w:p w14:paraId="0A14D408" w14:textId="77777777" w:rsidR="003E162E" w:rsidRPr="0020706A" w:rsidRDefault="005E5B04" w:rsidP="0020706A">
      <w:pPr>
        <w:pStyle w:val="JuPara"/>
      </w:pPr>
      <w:fldSimple w:instr=" SEQ level0 \*arabic ">
        <w:r w:rsidR="005D7A11">
          <w:rPr>
            <w:noProof/>
          </w:rPr>
          <w:t>48</w:t>
        </w:r>
      </w:fldSimple>
      <w:r w:rsidR="003E162E">
        <w:t>.  Trybunał musi zatem odrzucić zastrzeżenie wstępne Rządu.</w:t>
      </w:r>
    </w:p>
    <w:p w14:paraId="5C16F518" w14:textId="5AF80B28" w:rsidR="003E162E" w:rsidRPr="0020706A" w:rsidRDefault="005E5B04" w:rsidP="0020706A">
      <w:pPr>
        <w:pStyle w:val="JuPara"/>
      </w:pPr>
      <w:fldSimple w:instr=" SEQ level0 \*arabic ">
        <w:r w:rsidR="005D7A11">
          <w:rPr>
            <w:noProof/>
          </w:rPr>
          <w:t>49</w:t>
        </w:r>
      </w:fldSimple>
      <w:r w:rsidR="003E162E">
        <w:t>.  Trybunał stwierdza ponadto, że skarga nie jest ani w sposób oczywisty nieuzasadniona, ani niedopuszczalna z innych powodów wymienionych w art.</w:t>
      </w:r>
      <w:r w:rsidR="00163C1A">
        <w:t> </w:t>
      </w:r>
      <w:r w:rsidR="003E162E">
        <w:t>35 Konwencji. Musi zatem zostać uznana za dopuszczalną.</w:t>
      </w:r>
    </w:p>
    <w:p w14:paraId="77C590C7" w14:textId="77777777" w:rsidR="003E162E" w:rsidRPr="0020706A" w:rsidRDefault="003E162E" w:rsidP="0020706A">
      <w:pPr>
        <w:pStyle w:val="JuHA"/>
      </w:pPr>
      <w:r>
        <w:t>Przedmiot skargi</w:t>
      </w:r>
    </w:p>
    <w:p w14:paraId="7150142E" w14:textId="77777777" w:rsidR="003E162E" w:rsidRPr="0020706A" w:rsidRDefault="003E162E" w:rsidP="0020706A">
      <w:pPr>
        <w:pStyle w:val="JuH1"/>
      </w:pPr>
      <w:r>
        <w:t>Argumenty stron</w:t>
      </w:r>
    </w:p>
    <w:p w14:paraId="28232C83" w14:textId="77777777" w:rsidR="003E162E" w:rsidRPr="0020706A" w:rsidRDefault="003E162E" w:rsidP="0020706A">
      <w:pPr>
        <w:pStyle w:val="JuHa0"/>
      </w:pPr>
      <w:r>
        <w:t>Skarżący</w:t>
      </w:r>
    </w:p>
    <w:p w14:paraId="686F648B" w14:textId="2F73E10A" w:rsidR="003E162E" w:rsidRPr="0020706A" w:rsidRDefault="005E5B04" w:rsidP="0020706A">
      <w:pPr>
        <w:pStyle w:val="JuPara"/>
      </w:pPr>
      <w:fldSimple w:instr=" SEQ level0 \*arabic ">
        <w:r w:rsidR="005D7A11">
          <w:rPr>
            <w:noProof/>
          </w:rPr>
          <w:t>50</w:t>
        </w:r>
      </w:fldSimple>
      <w:r w:rsidR="003E162E">
        <w:t>.  Skarżący twierdzili, że ich zatrzymanie administracyjne było sprzeczne z wymogami określonymi w art.</w:t>
      </w:r>
      <w:r w:rsidR="001B08E4">
        <w:t> </w:t>
      </w:r>
      <w:r w:rsidR="003E162E">
        <w:t>5 §</w:t>
      </w:r>
      <w:r w:rsidR="001B08E4">
        <w:t> </w:t>
      </w:r>
      <w:r w:rsidR="003E162E">
        <w:t>1 lit.</w:t>
      </w:r>
      <w:r w:rsidR="001B08E4">
        <w:t> </w:t>
      </w:r>
      <w:r w:rsidR="003E162E">
        <w:t>f</w:t>
      </w:r>
      <w:r w:rsidR="00E056C5">
        <w:t xml:space="preserve"> </w:t>
      </w:r>
      <w:r w:rsidR="003E162E">
        <w:t xml:space="preserve"> Konwencji.</w:t>
      </w:r>
    </w:p>
    <w:p w14:paraId="1471293A" w14:textId="16121F56" w:rsidR="003E162E" w:rsidRPr="0020706A" w:rsidRDefault="005E5B04" w:rsidP="0020706A">
      <w:pPr>
        <w:pStyle w:val="JuPara"/>
      </w:pPr>
      <w:fldSimple w:instr=" SEQ level0 \*arabic ">
        <w:r w:rsidR="005D7A11">
          <w:rPr>
            <w:noProof/>
          </w:rPr>
          <w:t>51</w:t>
        </w:r>
      </w:fldSimple>
      <w:r w:rsidR="003E162E">
        <w:t>.  Środek ten był arbitralny, ponieważ władze nie wzięły pod uwagę wyrażonych przez skarżących obaw o prześladowania w kraju pochodzenia, a zamiast tego uznały, że rodzina próbowała osiedlić się w Polsce z powodów ekonomicznych.</w:t>
      </w:r>
    </w:p>
    <w:p w14:paraId="54474BCB" w14:textId="6D03076F" w:rsidR="003E162E" w:rsidRPr="0020706A" w:rsidRDefault="005E5B04" w:rsidP="0020706A">
      <w:pPr>
        <w:pStyle w:val="JuPara"/>
      </w:pPr>
      <w:fldSimple w:instr=" SEQ level0 \*arabic ">
        <w:r w:rsidR="005D7A11">
          <w:rPr>
            <w:noProof/>
          </w:rPr>
          <w:t>52</w:t>
        </w:r>
      </w:fldSimple>
      <w:r w:rsidR="003E162E">
        <w:t>.  Ponadto środek ten nie spełniał wymogów konieczności i</w:t>
      </w:r>
      <w:r w:rsidR="004911FC">
        <w:t> </w:t>
      </w:r>
      <w:r w:rsidR="003E162E">
        <w:t>proporcjonalności. Nie było ryzyka, że uciekną oni z kraju. W</w:t>
      </w:r>
      <w:r w:rsidR="005C4318">
        <w:t> </w:t>
      </w:r>
      <w:r w:rsidR="003E162E">
        <w:t>rzeczywistości nawet po zwolnieniu ze strzeżonego ośrodka skarżący pozostali w Polsce, oczekując na zakończenie postępowania azylowego.</w:t>
      </w:r>
    </w:p>
    <w:p w14:paraId="4E338DA7" w14:textId="77777777" w:rsidR="003E162E" w:rsidRPr="0020706A" w:rsidRDefault="005E5B04" w:rsidP="0020706A">
      <w:pPr>
        <w:pStyle w:val="JuPara"/>
      </w:pPr>
      <w:fldSimple w:instr=" SEQ level0 \*arabic ">
        <w:r w:rsidR="005D7A11">
          <w:rPr>
            <w:noProof/>
          </w:rPr>
          <w:t>53</w:t>
        </w:r>
      </w:fldSimple>
      <w:r w:rsidR="003E162E">
        <w:t xml:space="preserve">.  Skarżący twierdzili, że władze nie rozważyły żadnego alternatywnego i mniej rygorystycznego środka w celu zapewnienia ich obecności w Polsce do czasu zakończenia postępowania azylowego. Zamiast tego władze potraktowały ich sprawę w sposób powierzchowny, pod wpływem ogólnej sytuacji na granicy kraju. Jeśli chodzi o tę ostatnią kwestię, skarżący zauważyli przede wszystkim, że w Polsce istniała praktyka stosowania zatrzymania administracyjnego wobec osób, które – tak jak oni – złożyły pierwszy wniosek o udzielenie azylu po tym, jak wcześniej zostały zawrócone z polskiej granicy. W tym czasie polska Straż Graniczna </w:t>
      </w:r>
      <w:r w:rsidR="003E162E">
        <w:lastRenderedPageBreak/>
        <w:t>zdecydowanie częściej stosowała procedury doraźne w celu zawrócenia migrantów próbujących przekroczyć wschodnią granicę Polski bez wymaganych dokumentów. Skarżący przywołali kilka skarg, które Trybunał zakomunikował pozwanemu państwu w tym kontekście.</w:t>
      </w:r>
    </w:p>
    <w:p w14:paraId="2ACE1084" w14:textId="62F489EF" w:rsidR="003E162E" w:rsidRPr="0020706A" w:rsidRDefault="005E5B04" w:rsidP="0020706A">
      <w:pPr>
        <w:pStyle w:val="JuPara"/>
      </w:pPr>
      <w:fldSimple w:instr=" SEQ level0 \*arabic ">
        <w:r w:rsidR="005D7A11">
          <w:rPr>
            <w:noProof/>
          </w:rPr>
          <w:t>54</w:t>
        </w:r>
      </w:fldSimple>
      <w:r w:rsidR="003E162E">
        <w:t>.  Skarżący podnieśli również, że sądy nakazały ich przetrzymywanie w</w:t>
      </w:r>
      <w:r w:rsidR="004A2F31">
        <w:t> </w:t>
      </w:r>
      <w:r w:rsidR="003E162E">
        <w:t>ośrodku strzeżonym, zupełnie nie bacząc na dobro ich małoletnich dzieci – trójki małoletnich skarżących oraz czwartego, nowo narodzonego dziecka. Podnieśli oni, że dobro dzieci jest zagrożone przez każdy środek detencyjny, nawet jeśli dzieci nie zostają oddzielone od rodziców. Skarżący dodali, że pobyt w strzeżonym ośrodku był dla dzieci bardzo traumatycznym przeżyciem. W związku z tym przedłożyli zaświadczenia lekarskie wydane w marcu 2017</w:t>
      </w:r>
      <w:r w:rsidR="00A103CF">
        <w:t> </w:t>
      </w:r>
      <w:r w:rsidR="003E162E">
        <w:t>r. Dokumenty te stwierdzały, że trzecie z</w:t>
      </w:r>
      <w:r w:rsidR="00A103CF">
        <w:t>e</w:t>
      </w:r>
      <w:r w:rsidR="003E162E">
        <w:t xml:space="preserve"> skarżących – najstarsze dziecko – doświadczało bólów w klatce piersiowej, bólów głowy, zawrotów głowy, omdleń, zaburzeń snu, braku apetytu, depresji, wycofania społecznego i ciągłego niepokoju. Jako przyczynę tych objawów lekarze wskazali przetrzymywanie rodziny w zamkniętym ośrodku.</w:t>
      </w:r>
    </w:p>
    <w:p w14:paraId="3E5C716B" w14:textId="6F4F6D8E" w:rsidR="003E162E" w:rsidRPr="0020706A" w:rsidRDefault="005E5B04" w:rsidP="0020706A">
      <w:pPr>
        <w:pStyle w:val="JuPara"/>
      </w:pPr>
      <w:fldSimple w:instr=" SEQ level0 \*arabic ">
        <w:r w:rsidR="005D7A11">
          <w:rPr>
            <w:noProof/>
          </w:rPr>
          <w:t>55</w:t>
        </w:r>
      </w:fldSimple>
      <w:r w:rsidR="003E162E">
        <w:t xml:space="preserve">.  Skarżący zarzucili również, że ich zatrzymanie trwało zbyt długo, zwłaszcza biorąc pod uwagę fakt, że jedyny dowód niezbędny do rozpatrzenia ich wniosku o azyl został uzyskany już w grudniu </w:t>
      </w:r>
      <w:r w:rsidR="00A103CF">
        <w:t>2016 </w:t>
      </w:r>
      <w:r w:rsidR="003E162E">
        <w:t xml:space="preserve">r., kiedy to </w:t>
      </w:r>
      <w:r w:rsidR="00A103CF">
        <w:t xml:space="preserve">z </w:t>
      </w:r>
      <w:r w:rsidR="003E162E">
        <w:t>pierwszy</w:t>
      </w:r>
      <w:r w:rsidR="00A103CF">
        <w:t>m</w:t>
      </w:r>
      <w:r w:rsidR="003E162E">
        <w:t xml:space="preserve"> skarżący</w:t>
      </w:r>
      <w:r w:rsidR="00A103CF">
        <w:t>m</w:t>
      </w:r>
      <w:r w:rsidR="003E162E">
        <w:t xml:space="preserve"> i drug</w:t>
      </w:r>
      <w:r w:rsidR="00A103CF">
        <w:t>ą</w:t>
      </w:r>
      <w:r w:rsidR="003E162E">
        <w:t xml:space="preserve"> skarżąc</w:t>
      </w:r>
      <w:r w:rsidR="00A103CF">
        <w:t>ą</w:t>
      </w:r>
      <w:r w:rsidR="003E162E">
        <w:t xml:space="preserve"> </w:t>
      </w:r>
      <w:r w:rsidR="00A103CF">
        <w:t xml:space="preserve">przeprowadzono </w:t>
      </w:r>
      <w:r w:rsidR="003E162E">
        <w:t>wywiady statusowe (zob. par</w:t>
      </w:r>
      <w:r w:rsidR="00A103CF">
        <w:t>agraf</w:t>
      </w:r>
      <w:r w:rsidR="003E162E">
        <w:t xml:space="preserve"> 16 powyżej).</w:t>
      </w:r>
    </w:p>
    <w:p w14:paraId="7B77EB10" w14:textId="77777777" w:rsidR="003E162E" w:rsidRPr="0020706A" w:rsidRDefault="003E162E" w:rsidP="0020706A">
      <w:pPr>
        <w:pStyle w:val="JuHa0"/>
      </w:pPr>
      <w:r>
        <w:t>Rząd</w:t>
      </w:r>
    </w:p>
    <w:p w14:paraId="4281B2CF" w14:textId="0B8D0BD6" w:rsidR="003E162E" w:rsidRPr="0020706A" w:rsidRDefault="005E5B04" w:rsidP="0020706A">
      <w:pPr>
        <w:pStyle w:val="JuPara"/>
      </w:pPr>
      <w:fldSimple w:instr=" SEQ level0 \*arabic ">
        <w:r w:rsidR="005D7A11">
          <w:rPr>
            <w:noProof/>
          </w:rPr>
          <w:t>56</w:t>
        </w:r>
      </w:fldSimple>
      <w:r w:rsidR="003E162E">
        <w:t>.  Rząd stwierdził, że zatrzymanie skarżących w okresie od 7 listopada 2016</w:t>
      </w:r>
      <w:r w:rsidR="00F91384">
        <w:t> </w:t>
      </w:r>
      <w:r w:rsidR="003E162E">
        <w:t>r. do 5 maja 2017</w:t>
      </w:r>
      <w:r w:rsidR="00F91384">
        <w:t> </w:t>
      </w:r>
      <w:r w:rsidR="003E162E">
        <w:t>r. było zgodne z art.</w:t>
      </w:r>
      <w:r w:rsidR="00F91384">
        <w:t> </w:t>
      </w:r>
      <w:r w:rsidR="003E162E">
        <w:t>5 §</w:t>
      </w:r>
      <w:r w:rsidR="00F91384">
        <w:t> </w:t>
      </w:r>
      <w:r w:rsidR="003E162E">
        <w:t>1 lit.</w:t>
      </w:r>
      <w:r w:rsidR="00F91384">
        <w:t> </w:t>
      </w:r>
      <w:r w:rsidR="003E162E">
        <w:t>f Konwencji.</w:t>
      </w:r>
    </w:p>
    <w:p w14:paraId="04B57B8E" w14:textId="3D0BC3FE" w:rsidR="003E162E" w:rsidRPr="0020706A" w:rsidRDefault="005E5B04" w:rsidP="0020706A">
      <w:pPr>
        <w:pStyle w:val="JuPara"/>
      </w:pPr>
      <w:fldSimple w:instr=" SEQ level0 \*arabic ">
        <w:r w:rsidR="005D7A11">
          <w:rPr>
            <w:noProof/>
          </w:rPr>
          <w:t>57</w:t>
        </w:r>
      </w:fldSimple>
      <w:r w:rsidR="003E162E">
        <w:t>.  Argumentował, że środek był zgodny z prawem i konieczny, biorąc pod uwagę ryzyko ucieczki skarżących. Ryzyko to było oparte na ustawowym domniemaniu wynikającym z faktu, że skarżący złożyli wniosek o azyl dopiero po kilku nieudanych próbach nielegalnego przekroczenia granicy (zob. par</w:t>
      </w:r>
      <w:r w:rsidR="00A31102">
        <w:t>agrafy</w:t>
      </w:r>
      <w:r w:rsidR="003E162E">
        <w:t xml:space="preserve"> 15 i 33 powyżej). Ponadto, jak stwierdzono w</w:t>
      </w:r>
      <w:r w:rsidR="00A31102">
        <w:t> </w:t>
      </w:r>
      <w:r w:rsidR="003E162E">
        <w:t xml:space="preserve">postanowieniach </w:t>
      </w:r>
      <w:r w:rsidR="00745075">
        <w:t>s</w:t>
      </w:r>
      <w:r w:rsidR="003E162E">
        <w:t xml:space="preserve">ądu </w:t>
      </w:r>
      <w:r w:rsidR="00745075">
        <w:t>o</w:t>
      </w:r>
      <w:r w:rsidR="003E162E">
        <w:t>kręgowego z dnia 7 listopada 2016</w:t>
      </w:r>
      <w:r w:rsidR="00A31102">
        <w:t> </w:t>
      </w:r>
      <w:r w:rsidR="003E162E">
        <w:t>r., obecność skarżących musiała zostać zabezpieczona w celu uzyskania wyczerpujących informacji na temat ich sytuacji, w zakresie, w jakim miała ona znaczenie dla ich wniosku o udzieleniu azylu (zob. par</w:t>
      </w:r>
      <w:r w:rsidR="00FE0917">
        <w:t>agrafy</w:t>
      </w:r>
      <w:r w:rsidR="003E162E">
        <w:t xml:space="preserve"> 14 i 32 powyżej).</w:t>
      </w:r>
    </w:p>
    <w:p w14:paraId="4151AD95" w14:textId="06B44EEB" w:rsidR="003E162E" w:rsidRPr="0020706A" w:rsidRDefault="005E5B04" w:rsidP="0020706A">
      <w:pPr>
        <w:pStyle w:val="JuPara"/>
      </w:pPr>
      <w:fldSimple w:instr=" SEQ level0 \*arabic ">
        <w:r w:rsidR="005D7A11">
          <w:rPr>
            <w:noProof/>
          </w:rPr>
          <w:t>58</w:t>
        </w:r>
      </w:fldSimple>
      <w:r w:rsidR="003E162E">
        <w:t>.  Rząd podkreślił również, że sądy rozważyły alternatywne środki, ale doszły do wniosku, że skarżący nie kwalifikowali się do zastosowania żadnego mniej dotkliwego środka (zob. par</w:t>
      </w:r>
      <w:r w:rsidR="00FE0917">
        <w:t>agraf</w:t>
      </w:r>
      <w:r w:rsidR="003E162E">
        <w:t xml:space="preserve"> 16 powyżej).</w:t>
      </w:r>
    </w:p>
    <w:p w14:paraId="757D1367" w14:textId="3E5E3E29" w:rsidR="003E162E" w:rsidRPr="0020706A" w:rsidRDefault="005E5B04" w:rsidP="0020706A">
      <w:pPr>
        <w:pStyle w:val="JuPara"/>
      </w:pPr>
      <w:fldSimple w:instr=" SEQ level0 \*arabic ">
        <w:r w:rsidR="005D7A11">
          <w:rPr>
            <w:noProof/>
          </w:rPr>
          <w:t>59</w:t>
        </w:r>
      </w:fldSimple>
      <w:r w:rsidR="003E162E">
        <w:t xml:space="preserve">.  Wreszcie </w:t>
      </w:r>
      <w:r w:rsidR="00AE0E95">
        <w:t>R</w:t>
      </w:r>
      <w:r w:rsidR="003E162E">
        <w:t>ząd stwierdził, że władze wzięły pod uwagę dobro dzieci</w:t>
      </w:r>
      <w:r w:rsidR="005F4AB6">
        <w:t>, które</w:t>
      </w:r>
      <w:r w:rsidR="003E162E">
        <w:t xml:space="preserve"> nie zostały oddzielone od rodziców, a rodzina została umieszczona w</w:t>
      </w:r>
      <w:r w:rsidR="005F4AB6">
        <w:t> </w:t>
      </w:r>
      <w:r w:rsidR="003E162E">
        <w:t xml:space="preserve">strzeżonym ośrodku – jednej z trzech placówek tego typu, które zostały przystosowane do potrzeb rodzin. Dzieci przebywające w strzeżonym ośrodku rodzinnym miały zapewnioną opiekę medyczną, odpowiednie warunki bytowe oraz edukację formalną obejmującą naukę języka polskiego i zajęcia sportowe. Ponadto pracownik socjalny monitorował sytuację osób </w:t>
      </w:r>
      <w:r w:rsidR="003E162E">
        <w:lastRenderedPageBreak/>
        <w:t>objętych zatrzymaniem administracyjnym i oferował pomoc odpowiadającą ich konkretnym potrzebom. Osobom potrzebującym zapewniono również specjalistyczną opiekę medyczną i psychologiczną. Organizowano zajęcia rekreacyjne ukierunkowane w szczególności na dzieci.</w:t>
      </w:r>
    </w:p>
    <w:p w14:paraId="5A5E544C" w14:textId="77777777" w:rsidR="003E162E" w:rsidRPr="0020706A" w:rsidRDefault="005E5B04" w:rsidP="0020706A">
      <w:pPr>
        <w:pStyle w:val="JuPara"/>
      </w:pPr>
      <w:fldSimple w:instr=" SEQ level0 \*arabic ">
        <w:r w:rsidR="005D7A11">
          <w:rPr>
            <w:noProof/>
          </w:rPr>
          <w:t>60</w:t>
        </w:r>
      </w:fldSimple>
      <w:r w:rsidR="003E162E">
        <w:t>.  Generalnie Rząd utrzymywał, że zatrzymanie skarżących było przez cały czas uzasadnione i proporcjonalne.</w:t>
      </w:r>
    </w:p>
    <w:p w14:paraId="6FD4C771" w14:textId="77777777" w:rsidR="003E162E" w:rsidRPr="0020706A" w:rsidRDefault="003E162E" w:rsidP="0020706A">
      <w:pPr>
        <w:pStyle w:val="JuH1"/>
      </w:pPr>
      <w:r>
        <w:t>Ocena Trybunału</w:t>
      </w:r>
    </w:p>
    <w:p w14:paraId="50F4201A" w14:textId="77777777" w:rsidR="003E162E" w:rsidRPr="0020706A" w:rsidRDefault="003E162E" w:rsidP="0020706A">
      <w:pPr>
        <w:pStyle w:val="JuHa0"/>
      </w:pPr>
      <w:r>
        <w:t>Zasady ogólne</w:t>
      </w:r>
    </w:p>
    <w:p w14:paraId="40806E92" w14:textId="0CB54CB1" w:rsidR="003E162E" w:rsidRPr="0020706A" w:rsidRDefault="005E5B04" w:rsidP="0020706A">
      <w:pPr>
        <w:pStyle w:val="JuPara"/>
      </w:pPr>
      <w:fldSimple w:instr=" SEQ level0 \*arabic ">
        <w:r w:rsidR="005D7A11">
          <w:rPr>
            <w:noProof/>
          </w:rPr>
          <w:t>61</w:t>
        </w:r>
      </w:fldSimple>
      <w:r w:rsidR="003E162E">
        <w:t>.  Ogólne zasady dotyczące pozbawienia wolności zostały określone w</w:t>
      </w:r>
      <w:r w:rsidR="00BA2917">
        <w:t> </w:t>
      </w:r>
      <w:r w:rsidR="003E162E">
        <w:t xml:space="preserve">wyrokach w sprawach </w:t>
      </w:r>
      <w:r w:rsidR="003E162E">
        <w:rPr>
          <w:i/>
        </w:rPr>
        <w:t>Saadi przeciwko Zjednoczonemu Królestwu</w:t>
      </w:r>
      <w:r w:rsidR="003E162E">
        <w:t xml:space="preserve"> ([WI], nr 3229/03, §§</w:t>
      </w:r>
      <w:r w:rsidR="00AA42DB">
        <w:t> </w:t>
      </w:r>
      <w:r w:rsidR="003E162E">
        <w:t>61</w:t>
      </w:r>
      <w:r w:rsidR="00BA2917">
        <w:t>–</w:t>
      </w:r>
      <w:r w:rsidR="003E162E">
        <w:t xml:space="preserve">74, ETPC 2008) oraz </w:t>
      </w:r>
      <w:proofErr w:type="spellStart"/>
      <w:r w:rsidR="003E162E">
        <w:rPr>
          <w:i/>
          <w:iCs/>
        </w:rPr>
        <w:t>Bilalova</w:t>
      </w:r>
      <w:proofErr w:type="spellEnd"/>
      <w:r w:rsidR="003E162E">
        <w:rPr>
          <w:i/>
          <w:iCs/>
        </w:rPr>
        <w:t xml:space="preserve"> i Inni</w:t>
      </w:r>
      <w:r w:rsidR="003E162E">
        <w:t xml:space="preserve"> (cyt. powyżej, §§</w:t>
      </w:r>
      <w:r w:rsidR="00AA42DB">
        <w:t> </w:t>
      </w:r>
      <w:r w:rsidR="003E162E">
        <w:t>73</w:t>
      </w:r>
      <w:r w:rsidR="00BA2917">
        <w:t>–</w:t>
      </w:r>
      <w:r w:rsidR="003E162E">
        <w:t>76).</w:t>
      </w:r>
    </w:p>
    <w:p w14:paraId="1A1EAAD0" w14:textId="389106AE" w:rsidR="003E162E" w:rsidRPr="0020706A" w:rsidRDefault="005E5B04" w:rsidP="0020706A">
      <w:pPr>
        <w:pStyle w:val="JuPara"/>
      </w:pPr>
      <w:fldSimple w:instr=" SEQ level0 \*arabic ">
        <w:r w:rsidR="005D7A11">
          <w:rPr>
            <w:noProof/>
          </w:rPr>
          <w:t>62</w:t>
        </w:r>
      </w:fldSimple>
      <w:r w:rsidR="003E162E">
        <w:t>.  W szczególności Trybunał powtórzył, że choć pierwsza część tego przepisu umożliwia zatrzymanie osoby ubiegającej się o azyl lub innego imigranta przed udzieleniem przez państwo zezwolenia na wjazd, takie zatrzymanie musi być zgodne z ogólnym celem art.</w:t>
      </w:r>
      <w:r w:rsidR="00801F78">
        <w:t> </w:t>
      </w:r>
      <w:r w:rsidR="003E162E">
        <w:t xml:space="preserve">5, którym jest ochrona prawa do wolności oraz zapewnienie, by nikt nie został pozbawiony wolności w sposób arbitralny (zob. </w:t>
      </w:r>
      <w:r w:rsidR="003E162E">
        <w:rPr>
          <w:i/>
          <w:iCs/>
        </w:rPr>
        <w:t>Saadi</w:t>
      </w:r>
      <w:r w:rsidR="003E162E">
        <w:t>, cyt. powyżej, §§</w:t>
      </w:r>
      <w:r w:rsidR="00AA42DB">
        <w:t> </w:t>
      </w:r>
      <w:r w:rsidR="003E162E">
        <w:t>64</w:t>
      </w:r>
      <w:r w:rsidR="00801F78">
        <w:t>–</w:t>
      </w:r>
      <w:r w:rsidR="003E162E">
        <w:t>66).</w:t>
      </w:r>
    </w:p>
    <w:p w14:paraId="258BA3E3" w14:textId="2EBA0758" w:rsidR="003E162E" w:rsidRPr="0020706A" w:rsidRDefault="005E5B04" w:rsidP="0020706A">
      <w:pPr>
        <w:pStyle w:val="JuPara"/>
      </w:pPr>
      <w:fldSimple w:instr=" SEQ level0 \*arabic ">
        <w:r w:rsidR="005D7A11">
          <w:rPr>
            <w:noProof/>
          </w:rPr>
          <w:t>63</w:t>
        </w:r>
      </w:fldSimple>
      <w:r w:rsidR="003E162E">
        <w:t xml:space="preserve">.  Podsumowując, aby takie zatrzymanie nie zostało uznane za arbitralne, musi być przeprowadzone w dobrej wierze; musi być ściśle związane z celem, jakim jest zapobieżenie nieuprawnionemu wjazdowi danej osoby do kraju; miejsce i warunki zatrzymania powinny być odpowiednie, biorąc pod uwagę, że „środek ten stosuje się nie wobec osób, które popełniły przestępstwo, ale wobec cudzoziemców, którzy często w obawie o życie uciekli z własnego kraju”; zaś czas trwania zatrzymania nie powinien przekraczać okresu rozsądnie wymaganego do osiągnięcia zamierzonego celu (zob. </w:t>
      </w:r>
      <w:r w:rsidR="003E162E">
        <w:rPr>
          <w:i/>
          <w:iCs/>
        </w:rPr>
        <w:t>Saadi</w:t>
      </w:r>
      <w:r w:rsidR="003E162E">
        <w:t>, cyt. powyżej, §</w:t>
      </w:r>
      <w:r w:rsidR="00AA42DB">
        <w:t> </w:t>
      </w:r>
      <w:r w:rsidR="003E162E">
        <w:t>74).</w:t>
      </w:r>
    </w:p>
    <w:p w14:paraId="791B0963" w14:textId="78095D43" w:rsidR="003E162E" w:rsidRPr="0020706A" w:rsidRDefault="005E5B04" w:rsidP="0020706A">
      <w:pPr>
        <w:pStyle w:val="JuPara"/>
        <w:rPr>
          <w:spacing w:val="-2"/>
        </w:rPr>
      </w:pPr>
      <w:fldSimple w:instr=" SEQ level0 \*arabic \* MERGEFORMAT ">
        <w:r w:rsidR="005D7A11">
          <w:rPr>
            <w:noProof/>
          </w:rPr>
          <w:t>64</w:t>
        </w:r>
      </w:fldSimple>
      <w:r w:rsidR="003E162E">
        <w:t>.  Ponadto jeżeli obecne jest dziecko, Trybunał uważa, że pozbawienie wolności musi być konieczne dla osiągnięcia zamierzonego celu.</w:t>
      </w:r>
      <w:r w:rsidR="00473627">
        <w:t xml:space="preserve"> </w:t>
      </w:r>
      <w:r w:rsidR="003E162E">
        <w:t>Przetrzymywanie małych dzieci w nieodpowiednich warunkach może samo w sobie prowadzić do stwierdzenia naruszenia art.</w:t>
      </w:r>
      <w:r w:rsidR="00847786">
        <w:t> </w:t>
      </w:r>
      <w:r w:rsidR="003E162E">
        <w:t>5 ust.</w:t>
      </w:r>
      <w:r w:rsidR="00847786">
        <w:t> </w:t>
      </w:r>
      <w:r w:rsidR="003E162E">
        <w:t xml:space="preserve">1, niezależnie od tego, czy dzieciom towarzyszyła osoba dorosła, czy nie (zob. </w:t>
      </w:r>
      <w:proofErr w:type="spellStart"/>
      <w:r w:rsidR="003E162E">
        <w:rPr>
          <w:i/>
          <w:iCs/>
        </w:rPr>
        <w:t>Bilalova</w:t>
      </w:r>
      <w:proofErr w:type="spellEnd"/>
      <w:r w:rsidR="003E162E">
        <w:rPr>
          <w:i/>
          <w:iCs/>
        </w:rPr>
        <w:t xml:space="preserve"> i Inni</w:t>
      </w:r>
      <w:r w:rsidR="003E162E">
        <w:t>, cyt. powyżej, §</w:t>
      </w:r>
      <w:r w:rsidR="00847786">
        <w:t> </w:t>
      </w:r>
      <w:r w:rsidR="003E162E">
        <w:t>76).</w:t>
      </w:r>
    </w:p>
    <w:p w14:paraId="1D441793" w14:textId="076ACA68" w:rsidR="003E162E" w:rsidRPr="0020706A" w:rsidRDefault="005E5B04" w:rsidP="00914061">
      <w:pPr>
        <w:pStyle w:val="JuPara"/>
        <w:rPr>
          <w:spacing w:val="-2"/>
        </w:rPr>
      </w:pPr>
      <w:fldSimple w:instr=" SEQ level0 \*arabic ">
        <w:r w:rsidR="005D7A11">
          <w:rPr>
            <w:noProof/>
          </w:rPr>
          <w:t>65</w:t>
        </w:r>
      </w:fldSimple>
      <w:r w:rsidR="003E162E">
        <w:t>.  Rozmaite instytucje międzynarodowe, w tym Rada Europy, coraz częściej wzywają państwa do niezwłocznego i całkowitego zaprzestania lub zniesienia zatrzymań dzieci w kontekście imigracji. Trybunał stwierdził, że obecność w zamkniętym ośrodku dziecka, które towarzyszy rodzicom</w:t>
      </w:r>
      <w:r w:rsidR="009A1C37">
        <w:t>,</w:t>
      </w:r>
      <w:r w:rsidR="003E162E">
        <w:t xml:space="preserve"> będzie zgodna z art.</w:t>
      </w:r>
      <w:r w:rsidR="009A1C37">
        <w:t> </w:t>
      </w:r>
      <w:r w:rsidR="003E162E">
        <w:t>5 §</w:t>
      </w:r>
      <w:r w:rsidR="009A1C37">
        <w:t> </w:t>
      </w:r>
      <w:r w:rsidR="003E162E">
        <w:t>1 lit.</w:t>
      </w:r>
      <w:r w:rsidR="009A1C37">
        <w:t> </w:t>
      </w:r>
      <w:r w:rsidR="003E162E">
        <w:t xml:space="preserve">f tylko wtedy, gdy władze krajowe zdołają wykazać, że taki ostateczny środek został zastosowany dopiero po stwierdzeniu, że nie można było zastosować żadnego innego środka wiążącego się z mniejszym ograniczeniem wolności (zob. </w:t>
      </w:r>
      <w:r w:rsidR="003E162E">
        <w:rPr>
          <w:i/>
          <w:iCs/>
        </w:rPr>
        <w:t>G.B. i Inni przeciwko Turcji</w:t>
      </w:r>
      <w:r w:rsidR="003E162E">
        <w:t xml:space="preserve">, nr 4633/15, </w:t>
      </w:r>
      <w:r w:rsidR="003E162E">
        <w:lastRenderedPageBreak/>
        <w:t>§§</w:t>
      </w:r>
      <w:r w:rsidR="0063598E">
        <w:t> </w:t>
      </w:r>
      <w:r w:rsidR="003E162E">
        <w:t>151 i 168, 17 października 2019</w:t>
      </w:r>
      <w:r w:rsidR="0063598E">
        <w:t> </w:t>
      </w:r>
      <w:r w:rsidR="003E162E">
        <w:t xml:space="preserve">r., i przytoczone tam orzecznictwo, oraz </w:t>
      </w:r>
      <w:r w:rsidR="003E162E">
        <w:rPr>
          <w:i/>
          <w:iCs/>
        </w:rPr>
        <w:t>A.B. i Inni przeciwko Francji</w:t>
      </w:r>
      <w:r w:rsidR="003E162E">
        <w:t>, nr 11593/12, §</w:t>
      </w:r>
      <w:r w:rsidR="0063598E">
        <w:t> </w:t>
      </w:r>
      <w:r w:rsidR="003E162E">
        <w:t>120, 20 lipca 2016</w:t>
      </w:r>
      <w:r w:rsidR="0063598E">
        <w:t> </w:t>
      </w:r>
      <w:r w:rsidR="003E162E">
        <w:t>r.).</w:t>
      </w:r>
    </w:p>
    <w:p w14:paraId="58491893" w14:textId="77777777" w:rsidR="003E162E" w:rsidRPr="0020706A" w:rsidRDefault="003E162E" w:rsidP="0020706A">
      <w:pPr>
        <w:pStyle w:val="JuHa0"/>
      </w:pPr>
      <w:r>
        <w:t>Zastosowanie tych zasad w przedmiotowej sprawie</w:t>
      </w:r>
    </w:p>
    <w:p w14:paraId="0740A5C2" w14:textId="26E3B72C" w:rsidR="003E162E" w:rsidRPr="0020706A" w:rsidRDefault="005E5B04" w:rsidP="0020706A">
      <w:pPr>
        <w:pStyle w:val="JuPara"/>
      </w:pPr>
      <w:fldSimple w:instr=" SEQ level0 \*arabic \* MERGEFORMAT ">
        <w:r w:rsidR="005D7A11">
          <w:rPr>
            <w:noProof/>
          </w:rPr>
          <w:t>66</w:t>
        </w:r>
      </w:fldSimple>
      <w:r w:rsidR="003E162E">
        <w:t>.  Trybunał zauważa, że w przedmiotowej sprawie rodzina skarżących została umieszczona na okres od 7 listopada 2016</w:t>
      </w:r>
      <w:r w:rsidR="00140889">
        <w:t> </w:t>
      </w:r>
      <w:r w:rsidR="003E162E">
        <w:t>r. do 5 maja 2017</w:t>
      </w:r>
      <w:r w:rsidR="00140889">
        <w:t> </w:t>
      </w:r>
      <w:r w:rsidR="003E162E">
        <w:t>r. w</w:t>
      </w:r>
      <w:r w:rsidR="00AE5789">
        <w:t> </w:t>
      </w:r>
      <w:r w:rsidR="003E162E">
        <w:t>strzeżonym ośrodku dla cudzoziemców w Białej Podlaskiej w celu zapobieżenia ich nieuprawnionemu wjazdowi do kraju w czasie rozpatrywania ich wniosku o udzielenie azylu. W tym czasie nie wydano żadnej decyzji w sprawie deportacji skarżących. Przedmiotowy środek wchodzi zatem w zakres pierwszego członu art.</w:t>
      </w:r>
      <w:r w:rsidR="00EE64ED">
        <w:t> </w:t>
      </w:r>
      <w:r w:rsidR="003E162E">
        <w:t>5 §</w:t>
      </w:r>
      <w:r w:rsidR="00EE64ED">
        <w:t> </w:t>
      </w:r>
      <w:r w:rsidR="003E162E">
        <w:t>1 lit.</w:t>
      </w:r>
      <w:r w:rsidR="00EE64ED">
        <w:t> </w:t>
      </w:r>
      <w:r w:rsidR="003E162E">
        <w:t>f Konwencji.</w:t>
      </w:r>
    </w:p>
    <w:p w14:paraId="5623BB99" w14:textId="7DD55E77" w:rsidR="003E162E" w:rsidRPr="0020706A" w:rsidRDefault="005E5B04" w:rsidP="0020706A">
      <w:pPr>
        <w:pStyle w:val="JuPara"/>
      </w:pPr>
      <w:fldSimple w:instr=" SEQ level0 \*arabic ">
        <w:r w:rsidR="005D7A11">
          <w:rPr>
            <w:noProof/>
          </w:rPr>
          <w:t>67</w:t>
        </w:r>
      </w:fldSimple>
      <w:r w:rsidR="003E162E">
        <w:t>.  Zatrzymanie skarżących było przewidziane przez prawo krajowe, ponieważ jego podstawę prawną stanowił art.</w:t>
      </w:r>
      <w:r w:rsidR="00EE64ED">
        <w:t> </w:t>
      </w:r>
      <w:r w:rsidR="003E162E">
        <w:t>89 ustawy o cudzoziemcach (zob. par</w:t>
      </w:r>
      <w:r w:rsidR="00EE64ED">
        <w:t>agrafy</w:t>
      </w:r>
      <w:r w:rsidR="003E162E">
        <w:t xml:space="preserve"> 30 i 34 powyżej).</w:t>
      </w:r>
    </w:p>
    <w:p w14:paraId="33E0B84C" w14:textId="77777777" w:rsidR="003E162E" w:rsidRPr="0020706A" w:rsidRDefault="005E5B04" w:rsidP="0020706A">
      <w:pPr>
        <w:pStyle w:val="JuPara"/>
      </w:pPr>
      <w:fldSimple w:instr=" SEQ level0 \*arabic ">
        <w:r w:rsidR="005D7A11">
          <w:rPr>
            <w:noProof/>
          </w:rPr>
          <w:t>68</w:t>
        </w:r>
      </w:fldSimple>
      <w:r w:rsidR="003E162E">
        <w:t>.  Sądy krajowe zarządziły i przedłużyły stosowanie tego środka, opierając się na dwóch przesłankach.</w:t>
      </w:r>
    </w:p>
    <w:p w14:paraId="4F0AFBAC" w14:textId="3CABF764" w:rsidR="003E162E" w:rsidRPr="0020706A" w:rsidRDefault="005E5B04" w:rsidP="0020706A">
      <w:pPr>
        <w:pStyle w:val="JuPara"/>
      </w:pPr>
      <w:fldSimple w:instr=" SEQ level0 \*arabic ">
        <w:r w:rsidR="005D7A11">
          <w:rPr>
            <w:noProof/>
          </w:rPr>
          <w:t>69</w:t>
        </w:r>
      </w:fldSimple>
      <w:r w:rsidR="003E162E">
        <w:t>.  Pierwszą przesłanką była potrzeba sprawdzenia sprzecznych oświadczeń dorosłych skarżących co do powodów emigracji rodziny do Polski oraz ich obaw przed prześladowaniami w kraju pochodzenia (zob. par</w:t>
      </w:r>
      <w:r w:rsidR="008208DE">
        <w:t>agrafy</w:t>
      </w:r>
      <w:r w:rsidR="003E162E">
        <w:t xml:space="preserve"> 14, 17, 21 oraz par</w:t>
      </w:r>
      <w:r w:rsidR="008208DE">
        <w:t>agrafy</w:t>
      </w:r>
      <w:r w:rsidR="003E162E">
        <w:t xml:space="preserve"> 23</w:t>
      </w:r>
      <w:r w:rsidR="008208DE">
        <w:t>–</w:t>
      </w:r>
      <w:r w:rsidR="003E162E">
        <w:t>26 powyżej).</w:t>
      </w:r>
    </w:p>
    <w:p w14:paraId="7365DAEF" w14:textId="3FFEE057" w:rsidR="003E162E" w:rsidRPr="0020706A" w:rsidRDefault="005E5B04" w:rsidP="0020706A">
      <w:pPr>
        <w:pStyle w:val="JuPara"/>
      </w:pPr>
      <w:fldSimple w:instr=" SEQ level0 \*arabic ">
        <w:r w:rsidR="005D7A11">
          <w:rPr>
            <w:noProof/>
          </w:rPr>
          <w:t>70</w:t>
        </w:r>
      </w:fldSimple>
      <w:r w:rsidR="003E162E">
        <w:t xml:space="preserve">.  W tym kontekście Trybunał zauważa, że wywiady statusowe pierwszego skarżącego i drugiej skarżącej </w:t>
      </w:r>
      <w:r w:rsidR="002A0A6F">
        <w:t xml:space="preserve">przeprowadzone </w:t>
      </w:r>
      <w:r w:rsidR="003E162E">
        <w:t>w toku postępowania azylowego miały miejsce w dniu 9 grudnia 2016</w:t>
      </w:r>
      <w:r w:rsidR="005569D4">
        <w:t> </w:t>
      </w:r>
      <w:r w:rsidR="003E162E">
        <w:t>r. (zob. par</w:t>
      </w:r>
      <w:r w:rsidR="005569D4">
        <w:t>agraf</w:t>
      </w:r>
      <w:r w:rsidR="003E162E">
        <w:t xml:space="preserve"> 10 powyżej). Przed wydaniem przez organ pierwszej instancji odmowy przyznania im azylu w dniu 19 kwietnia 2017</w:t>
      </w:r>
      <w:r w:rsidR="00FF5C3A">
        <w:t> </w:t>
      </w:r>
      <w:r w:rsidR="003E162E">
        <w:t>r. nie zwrócono się do skarżących o udzielenie żadnych dalszych informacji (zob. par</w:t>
      </w:r>
      <w:r w:rsidR="00FF5C3A">
        <w:t>agraf</w:t>
      </w:r>
      <w:r w:rsidR="003E162E">
        <w:t xml:space="preserve"> 11 powyżej). Należy zatem przyjąć, że władze w istocie uzyskały niezbędne wyjaśnienia od pierwszego skarżącego i drugiej skarżącej już w dniu 9</w:t>
      </w:r>
      <w:r w:rsidR="00822F44">
        <w:t> </w:t>
      </w:r>
      <w:r w:rsidR="003E162E">
        <w:t>grudnia 2016</w:t>
      </w:r>
      <w:r w:rsidR="00822F44">
        <w:t> </w:t>
      </w:r>
      <w:r w:rsidR="003E162E">
        <w:t>r.</w:t>
      </w:r>
    </w:p>
    <w:p w14:paraId="258D00C8" w14:textId="603B541D" w:rsidR="003E162E" w:rsidRPr="0020706A" w:rsidRDefault="005E5B04" w:rsidP="0020706A">
      <w:pPr>
        <w:pStyle w:val="JuPara"/>
      </w:pPr>
      <w:fldSimple w:instr=" SEQ level0 \*arabic ">
        <w:r w:rsidR="005D7A11">
          <w:rPr>
            <w:noProof/>
          </w:rPr>
          <w:t>71</w:t>
        </w:r>
      </w:fldSimple>
      <w:r w:rsidR="003E162E">
        <w:t>.  W związku z powyższym Trybunał uważa, że potrzeba uściślenia oświadczeń skarżących co do prawdziwych przyczyn ich przybycia do Polski mogła stanowić ważną przesłankę wydania pierwotnych postanowień o ich zatrzymaniu, a być może również utrzymania tych postanowień w mocy w</w:t>
      </w:r>
      <w:r w:rsidR="009143C1">
        <w:t> </w:t>
      </w:r>
      <w:r w:rsidR="003E162E">
        <w:t>postępowaniu odwoławczym w dniach 7 i 19 grudnia 2016</w:t>
      </w:r>
      <w:r w:rsidR="009143C1">
        <w:t> </w:t>
      </w:r>
      <w:r w:rsidR="003E162E">
        <w:t>r. (zob. par</w:t>
      </w:r>
      <w:r w:rsidR="009143C1">
        <w:t>agrafy</w:t>
      </w:r>
      <w:r w:rsidR="003E162E">
        <w:t xml:space="preserve"> 19 i 20 powyżej).</w:t>
      </w:r>
    </w:p>
    <w:p w14:paraId="2D63B92C" w14:textId="3F497971" w:rsidR="003E162E" w:rsidRPr="0020706A" w:rsidRDefault="005E5B04" w:rsidP="0020706A">
      <w:pPr>
        <w:pStyle w:val="JuPara"/>
      </w:pPr>
      <w:fldSimple w:instr=" SEQ level0 \*arabic ">
        <w:r w:rsidR="005D7A11">
          <w:rPr>
            <w:noProof/>
          </w:rPr>
          <w:t>72</w:t>
        </w:r>
      </w:fldSimple>
      <w:r w:rsidR="003E162E">
        <w:t>.  Natomiast dalsze powoływanie się na tę przesłankę w celu przedłużenia zatrzymania na mocy postanowienia z dnia 5 stycznia 2017</w:t>
      </w:r>
      <w:r w:rsidR="00361AB5">
        <w:t> </w:t>
      </w:r>
      <w:r w:rsidR="003E162E">
        <w:t>r., utrzymanego w mocy w dniu 25 stycznia 2017</w:t>
      </w:r>
      <w:r w:rsidR="0065059C">
        <w:t> </w:t>
      </w:r>
      <w:r w:rsidR="003E162E">
        <w:t>r. (zob. par</w:t>
      </w:r>
      <w:r w:rsidR="0065059C">
        <w:t>agrafy</w:t>
      </w:r>
      <w:r w:rsidR="003E162E">
        <w:t xml:space="preserve"> 23</w:t>
      </w:r>
      <w:r w:rsidR="0065059C">
        <w:t>–</w:t>
      </w:r>
      <w:r w:rsidR="003E162E">
        <w:t>25 powyżej), oraz w celu odmowy uchylenia środka (postanowienie z dnia 11 stycznia 2017</w:t>
      </w:r>
      <w:r w:rsidR="0065059C">
        <w:t> </w:t>
      </w:r>
      <w:r w:rsidR="003E162E">
        <w:t>r., zob. par</w:t>
      </w:r>
      <w:r w:rsidR="0065059C">
        <w:t>agraf</w:t>
      </w:r>
      <w:r w:rsidR="003E162E">
        <w:t xml:space="preserve"> 26 powyżej) zdaniem Trybunału nie może zostać uznane za uzasadnione. Na tym etapie postępowania skarżący wyraźnie podnieśli ową kwestię w swoich </w:t>
      </w:r>
      <w:proofErr w:type="spellStart"/>
      <w:r w:rsidR="003E162E">
        <w:t>odwołaniach</w:t>
      </w:r>
      <w:proofErr w:type="spellEnd"/>
      <w:r w:rsidR="003E162E">
        <w:t xml:space="preserve">, twierdząc, że odbyli przesłuchania statusowe i że nie zostali poinformowani, że władze będą </w:t>
      </w:r>
      <w:r w:rsidR="003E162E">
        <w:lastRenderedPageBreak/>
        <w:t>dążyć do uzyskania jakichkolwiek innych dowodów (zob. par</w:t>
      </w:r>
      <w:r w:rsidR="00361AB5">
        <w:t>agraf</w:t>
      </w:r>
      <w:r w:rsidR="003E162E">
        <w:t xml:space="preserve"> 22 powyżej).</w:t>
      </w:r>
    </w:p>
    <w:p w14:paraId="65C38F85" w14:textId="39720C56" w:rsidR="003E162E" w:rsidRPr="0020706A" w:rsidRDefault="005E5B04" w:rsidP="0020706A">
      <w:pPr>
        <w:pStyle w:val="JuPara"/>
      </w:pPr>
      <w:fldSimple w:instr=" SEQ level0 \*arabic ">
        <w:r w:rsidR="005D7A11">
          <w:rPr>
            <w:noProof/>
          </w:rPr>
          <w:t>73</w:t>
        </w:r>
      </w:fldSimple>
      <w:r w:rsidR="003E162E">
        <w:t>.  Wreszcie Trybunał nie jest przekonany, że sądy krajowe przeprowadziły gruntowne i zindywidualizowane badanie tego aspektu sprawy. W swoim postanowieniu z dnia 5 stycznia 2017</w:t>
      </w:r>
      <w:r w:rsidR="00D5672C">
        <w:t> </w:t>
      </w:r>
      <w:r w:rsidR="003E162E">
        <w:t xml:space="preserve">r. </w:t>
      </w:r>
      <w:r w:rsidR="00960AEE">
        <w:t>s</w:t>
      </w:r>
      <w:r w:rsidR="003E162E">
        <w:t xml:space="preserve">ąd </w:t>
      </w:r>
      <w:r w:rsidR="00960AEE">
        <w:t>r</w:t>
      </w:r>
      <w:r w:rsidR="003E162E">
        <w:t>ejonowy – uznając, że niejednoznaczne informacje przedstawione przez pierwszego skarżącego czyniły wysoce prawdopodobnym, że skarżący zamierzali uciec z Polski – odniósł się do pierwszego skarżącego</w:t>
      </w:r>
      <w:r w:rsidR="00D5672C">
        <w:t>,</w:t>
      </w:r>
      <w:r w:rsidR="003E162E">
        <w:t xml:space="preserve"> używając formy żeńskiej (zob. par</w:t>
      </w:r>
      <w:r w:rsidR="00D5672C">
        <w:t>agraf</w:t>
      </w:r>
      <w:r w:rsidR="003E162E">
        <w:t xml:space="preserve"> 23 powyżej). Może to świadczyć o braku staranności ze strony władz.</w:t>
      </w:r>
    </w:p>
    <w:p w14:paraId="1A65C68C" w14:textId="7D69A955" w:rsidR="003E162E" w:rsidRPr="0020706A" w:rsidRDefault="005E5B04" w:rsidP="0020706A">
      <w:pPr>
        <w:pStyle w:val="JuPara"/>
      </w:pPr>
      <w:fldSimple w:instr=" SEQ level0 \*arabic ">
        <w:r w:rsidR="005D7A11">
          <w:rPr>
            <w:noProof/>
          </w:rPr>
          <w:t>74</w:t>
        </w:r>
      </w:fldSimple>
      <w:r w:rsidR="003E162E">
        <w:t>.  Drugą przesłanką, na której oparły się sądy krajowe, zarządzając i</w:t>
      </w:r>
      <w:r w:rsidR="00474368">
        <w:t> </w:t>
      </w:r>
      <w:r w:rsidR="003E162E">
        <w:t>przedłużając zatrzymanie skarżących, było ustawowe domniemanie, że skarżący stwarzają wysokie ryzyko ucieczki, ponieważ wcześniej próbowali nielegalnie wjechać do Polski z powodów ekonomicznych (zob. par</w:t>
      </w:r>
      <w:r w:rsidR="00474368">
        <w:t>agrafy</w:t>
      </w:r>
      <w:r w:rsidR="003E162E">
        <w:t xml:space="preserve"> 15, 17, 21 oraz 23</w:t>
      </w:r>
      <w:r w:rsidR="00474368">
        <w:t>–</w:t>
      </w:r>
      <w:r w:rsidR="003E162E">
        <w:t>26 powyżej).</w:t>
      </w:r>
    </w:p>
    <w:p w14:paraId="4D7EAB8C" w14:textId="08F6E017" w:rsidR="003E162E" w:rsidRPr="0020706A" w:rsidRDefault="005E5B04" w:rsidP="0020706A">
      <w:pPr>
        <w:pStyle w:val="JuPara"/>
      </w:pPr>
      <w:fldSimple w:instr=" SEQ level0 \*arabic ">
        <w:r w:rsidR="005D7A11">
          <w:rPr>
            <w:noProof/>
          </w:rPr>
          <w:t>75</w:t>
        </w:r>
      </w:fldSimple>
      <w:r w:rsidR="003E162E">
        <w:t>.  W tym kontekście Trybunał zauważa, że art.</w:t>
      </w:r>
      <w:r w:rsidR="00535B54">
        <w:t> </w:t>
      </w:r>
      <w:r w:rsidR="003E162E">
        <w:t>5 §</w:t>
      </w:r>
      <w:r w:rsidR="00535B54">
        <w:t> </w:t>
      </w:r>
      <w:r w:rsidR="003E162E">
        <w:t>1 lit.</w:t>
      </w:r>
      <w:r w:rsidR="00535B54">
        <w:t> </w:t>
      </w:r>
      <w:r w:rsidR="003E162E">
        <w:t xml:space="preserve">f nie uniemożliwia państwom przyjmowania przepisów krajowych formułujących podstawy, na których można nakazać zatrzymanie imigrantów, z należytym uwzględnieniem praktycznych realiów dużego napływu osób ubiegających się o azyl (zob. wyrok w sprawie </w:t>
      </w:r>
      <w:r w:rsidR="003E162E">
        <w:rPr>
          <w:i/>
        </w:rPr>
        <w:t>Z.A. i Inni przeciwko Rosji</w:t>
      </w:r>
      <w:r w:rsidR="003E162E">
        <w:t xml:space="preserve"> [WI], </w:t>
      </w:r>
      <w:r w:rsidR="00535B54">
        <w:t xml:space="preserve">skarga </w:t>
      </w:r>
      <w:r w:rsidR="003E162E">
        <w:t>nr</w:t>
      </w:r>
      <w:r w:rsidR="00535B54">
        <w:t> 6</w:t>
      </w:r>
      <w:r w:rsidR="003E162E">
        <w:t>1411/15 i 3 inne, §</w:t>
      </w:r>
      <w:r w:rsidR="00535B54">
        <w:t> </w:t>
      </w:r>
      <w:r w:rsidR="003E162E">
        <w:t>163, 21 listopada 2019</w:t>
      </w:r>
      <w:r w:rsidR="00535B54">
        <w:t> </w:t>
      </w:r>
      <w:r w:rsidR="003E162E">
        <w:t>r., dotyczący zatrzymania w</w:t>
      </w:r>
      <w:r w:rsidR="00535B54">
        <w:t> </w:t>
      </w:r>
      <w:r w:rsidR="003E162E">
        <w:t>strefie tranzytowej). Wynika z tego, że Trybunał co do zasady nie będzie kwestionował ustawowego domniemania, które zafunkcjonowało w</w:t>
      </w:r>
      <w:r w:rsidR="00535B54">
        <w:t> </w:t>
      </w:r>
      <w:r w:rsidR="003E162E">
        <w:t>niniejszej sprawie, o ile dana osoba ubiegająca się o azyl miała skuteczną możliwość obalenia takiego domniemania.</w:t>
      </w:r>
    </w:p>
    <w:p w14:paraId="0F87E6AA" w14:textId="3F16236B" w:rsidR="003E162E" w:rsidRPr="0020706A" w:rsidRDefault="005E5B04" w:rsidP="0020706A">
      <w:pPr>
        <w:pStyle w:val="JuPara"/>
      </w:pPr>
      <w:fldSimple w:instr=" SEQ level0 \*arabic ">
        <w:r w:rsidR="005D7A11">
          <w:rPr>
            <w:noProof/>
          </w:rPr>
          <w:t>76</w:t>
        </w:r>
      </w:fldSimple>
      <w:r w:rsidR="003E162E">
        <w:t>.  W przedmiotowej sprawie skarżący twierdzili, że zostali zawróceni z</w:t>
      </w:r>
      <w:r w:rsidR="0051797A">
        <w:t> </w:t>
      </w:r>
      <w:r w:rsidR="003E162E">
        <w:t>polskiej granicy, ponieważ strażnicy graniczni zlekceważyli bądź źle zrozumieli ich oświadczenia, że obawiają się prześladowań w kraju pochodzenia. Funkcjonariusze Straży Granicznej błędnie uznali, że skarżący emigrowali z powodów ekonomicznych (zob. par</w:t>
      </w:r>
      <w:r w:rsidR="0006370A">
        <w:t>agrafy</w:t>
      </w:r>
      <w:r w:rsidR="003E162E">
        <w:t xml:space="preserve"> 8, 18 i 52 powyżej).</w:t>
      </w:r>
    </w:p>
    <w:p w14:paraId="6BA8C233" w14:textId="2F6CDFDA" w:rsidR="003E162E" w:rsidRPr="0020706A" w:rsidRDefault="005E5B04" w:rsidP="0020706A">
      <w:pPr>
        <w:pStyle w:val="JuPara"/>
      </w:pPr>
      <w:fldSimple w:instr=" SEQ level0 \*arabic ">
        <w:r w:rsidR="005D7A11">
          <w:rPr>
            <w:noProof/>
          </w:rPr>
          <w:t>77</w:t>
        </w:r>
      </w:fldSimple>
      <w:r w:rsidR="003E162E">
        <w:t>.  Trybunał zwraca uwagę na aktualny szerszy kontekst opisany przez skarżących (zob. par</w:t>
      </w:r>
      <w:r w:rsidR="001477CD">
        <w:t>agraf</w:t>
      </w:r>
      <w:r w:rsidR="003E162E">
        <w:t xml:space="preserve"> 54 powyżej) i zilustrowany niedawnym wyrokiem Trybunału w sprawie </w:t>
      </w:r>
      <w:r w:rsidR="00A57854">
        <w:rPr>
          <w:i/>
        </w:rPr>
        <w:t>M.K. i I</w:t>
      </w:r>
      <w:r w:rsidR="003E162E">
        <w:rPr>
          <w:i/>
        </w:rPr>
        <w:t>nni przeciwko Polsce</w:t>
      </w:r>
      <w:r w:rsidR="00A57854">
        <w:t xml:space="preserve"> (nr. 40503/17 i 2/11, z dnia 23 lipca 2020 </w:t>
      </w:r>
      <w:r w:rsidR="003E162E">
        <w:t>r.). Trybunał nie może jednak zweryfikować wersji skarżących i tym samym rozstrzygająco stwierdzić, że w niniejszej sprawie skarżący rzeczywiście wprost oświadczyli strażnikom granicznym, że ubiegają się o azyl, ponieważ grozi im prześladowanie w Armenii.</w:t>
      </w:r>
    </w:p>
    <w:p w14:paraId="442F1271" w14:textId="01FF8250" w:rsidR="003E162E" w:rsidRPr="0020706A" w:rsidRDefault="005E5B04" w:rsidP="0020706A">
      <w:pPr>
        <w:pStyle w:val="JuPara"/>
      </w:pPr>
      <w:fldSimple w:instr=" SEQ level0 \*arabic \* MERGEFORMAT ">
        <w:r w:rsidR="005D7A11">
          <w:rPr>
            <w:noProof/>
          </w:rPr>
          <w:t>78</w:t>
        </w:r>
      </w:fldSimple>
      <w:r w:rsidR="00CF4316">
        <w:t xml:space="preserve">.  Bez względu na to Trybunał podtrzymuje jednak swoje ustalenie, że sądy krajowe, które przedłużyły zatrzymanie skarżących na podstawie </w:t>
      </w:r>
      <w:r w:rsidR="00456C8D">
        <w:t>kwestionowanego</w:t>
      </w:r>
      <w:r w:rsidR="00CF4316">
        <w:t xml:space="preserve"> domniemania, nie rozpatrzyły sytuacji skarżących w sposób wystarczająco dokładny i zindywidualizowany. Oprócz uwag dotyczących pierwsz</w:t>
      </w:r>
      <w:r w:rsidR="0053000F">
        <w:t>ego skarżącego zawartych w paragrafie</w:t>
      </w:r>
      <w:r w:rsidR="001E5D28">
        <w:t xml:space="preserve"> 79 powyżej</w:t>
      </w:r>
      <w:r w:rsidR="00CF4316">
        <w:t xml:space="preserve"> Trybunał zauważa, że postanowienie dotyczące drugiej skarżącej</w:t>
      </w:r>
      <w:r w:rsidR="00144D18">
        <w:t>, wydane w dniu 5 </w:t>
      </w:r>
      <w:r w:rsidR="005906D9">
        <w:t>stycznia 2017 </w:t>
      </w:r>
      <w:r w:rsidR="00CF4316">
        <w:t xml:space="preserve">r. przez Sąd Rejonowy w Białej Podlaskiej, również </w:t>
      </w:r>
      <w:r w:rsidR="00CF4316">
        <w:lastRenderedPageBreak/>
        <w:t>zawierało szereg błędów, takich jak określanie drugiej skarżącej z użyciem</w:t>
      </w:r>
      <w:r w:rsidR="00144D18">
        <w:t xml:space="preserve"> formy męskiej lub jako „syn</w:t>
      </w:r>
      <w:r w:rsidR="00CF4316">
        <w:t>” (zob. par</w:t>
      </w:r>
      <w:r w:rsidR="00144D18">
        <w:t>agraf</w:t>
      </w:r>
      <w:r w:rsidR="00CF4316">
        <w:t xml:space="preserve"> 25 powyżej). Owo postanowienie może być zatem postrzegane jako nieoparte na całościowej ocenie indywidualnej sytuacji skarżących.</w:t>
      </w:r>
    </w:p>
    <w:p w14:paraId="5CE352E3" w14:textId="11A9C01D" w:rsidR="003E162E" w:rsidRPr="0020706A" w:rsidRDefault="005E5B04" w:rsidP="0020706A">
      <w:pPr>
        <w:pStyle w:val="JuPara"/>
      </w:pPr>
      <w:fldSimple w:instr=" SEQ level0 \*arabic ">
        <w:r w:rsidR="005D7A11">
          <w:rPr>
            <w:noProof/>
          </w:rPr>
          <w:t>79</w:t>
        </w:r>
      </w:fldSimple>
      <w:r w:rsidR="003E162E">
        <w:t xml:space="preserve">.  Trybunał wyraził już zastrzeżenia co do praktyki niektórych władz polegającej na automatycznym zatrzymaniu osób ubiegających się o azyl, bez przeprowadzania indywidualnej oceny ich szczególnej sytuacji lub potrzeb (zob. </w:t>
      </w:r>
      <w:r w:rsidR="003E162E">
        <w:rPr>
          <w:i/>
          <w:iCs/>
        </w:rPr>
        <w:t>mutatis mutandis</w:t>
      </w:r>
      <w:r w:rsidR="003E162E">
        <w:t xml:space="preserve">, </w:t>
      </w:r>
      <w:proofErr w:type="spellStart"/>
      <w:r w:rsidR="003E162E">
        <w:rPr>
          <w:i/>
        </w:rPr>
        <w:t>Thimothawes</w:t>
      </w:r>
      <w:proofErr w:type="spellEnd"/>
      <w:r w:rsidR="003E162E">
        <w:rPr>
          <w:i/>
        </w:rPr>
        <w:t xml:space="preserve"> przeciwko Belgii</w:t>
      </w:r>
      <w:r w:rsidR="003E162E">
        <w:t>, nr 39061/11, §</w:t>
      </w:r>
      <w:r w:rsidR="00455187">
        <w:t> 73, 4 </w:t>
      </w:r>
      <w:r w:rsidR="003E162E">
        <w:t>kwietnia 2017</w:t>
      </w:r>
      <w:r w:rsidR="00455187">
        <w:t> </w:t>
      </w:r>
      <w:r w:rsidR="003E162E">
        <w:t xml:space="preserve">r., oraz </w:t>
      </w:r>
      <w:proofErr w:type="spellStart"/>
      <w:r w:rsidR="00CB220A">
        <w:rPr>
          <w:i/>
        </w:rPr>
        <w:t>Mahamed</w:t>
      </w:r>
      <w:proofErr w:type="spellEnd"/>
      <w:r w:rsidR="00CB220A">
        <w:rPr>
          <w:i/>
        </w:rPr>
        <w:t xml:space="preserve"> Jama przeciwko Malc</w:t>
      </w:r>
      <w:r w:rsidR="003E162E">
        <w:rPr>
          <w:i/>
        </w:rPr>
        <w:t>ie</w:t>
      </w:r>
      <w:r w:rsidR="00455187">
        <w:t>, nr 10290/13, § 146, 26 listopada 2015 </w:t>
      </w:r>
      <w:r w:rsidR="003E162E">
        <w:t>r.).</w:t>
      </w:r>
    </w:p>
    <w:p w14:paraId="17EFC681" w14:textId="2D3FE9EA" w:rsidR="003E162E" w:rsidRPr="0020706A" w:rsidRDefault="005E5B04" w:rsidP="0020706A">
      <w:pPr>
        <w:pStyle w:val="JuPara"/>
      </w:pPr>
      <w:fldSimple w:instr=" SEQ level0 \*arabic ">
        <w:r w:rsidR="005D7A11">
          <w:rPr>
            <w:noProof/>
          </w:rPr>
          <w:t>80</w:t>
        </w:r>
      </w:fldSimple>
      <w:r w:rsidR="003E162E">
        <w:t xml:space="preserve">.  W niniejszej sprawie okoliczność, że pierwszemu skarżącemu towarzyszyło troje jego małoletnich dzieci, nie została w żaden sposób uwzględniona, gdy sądy po raz pierwszy zdecydowały </w:t>
      </w:r>
      <w:r w:rsidR="008367AB">
        <w:t>o ich zatrzymaniu (zob. paragrafy 13–</w:t>
      </w:r>
      <w:r w:rsidR="003E162E">
        <w:t>17 powyżej).</w:t>
      </w:r>
    </w:p>
    <w:p w14:paraId="649EF5E3" w14:textId="3CCF1CC1" w:rsidR="003E162E" w:rsidRPr="0020706A" w:rsidRDefault="005E5B04" w:rsidP="0020706A">
      <w:pPr>
        <w:pStyle w:val="JuPara"/>
      </w:pPr>
      <w:fldSimple w:instr=" SEQ level0 \*arabic ">
        <w:r w:rsidR="005D7A11">
          <w:rPr>
            <w:noProof/>
          </w:rPr>
          <w:t>81</w:t>
        </w:r>
      </w:fldSimple>
      <w:r w:rsidR="003E162E">
        <w:t xml:space="preserve">.  Dopiero na późniejszym etapie </w:t>
      </w:r>
      <w:r w:rsidR="003F11EB">
        <w:t>s</w:t>
      </w:r>
      <w:r w:rsidR="003E162E">
        <w:t xml:space="preserve">ąd </w:t>
      </w:r>
      <w:r w:rsidR="003F11EB">
        <w:t>o</w:t>
      </w:r>
      <w:r w:rsidR="003E162E">
        <w:t>kręgowy przyjrzał się warunkom bytowym panującym w strzeż</w:t>
      </w:r>
      <w:r w:rsidR="003D0828">
        <w:t>onym ośrodku dla cudzoziemców w </w:t>
      </w:r>
      <w:r w:rsidR="003E162E">
        <w:t>Białej Podlaskiej i doszedł do wniosku, że dobro rodziny nie było zagrożone przez zatrzymanie, ponieważ pomieszczenia, w których przebywała rodzina, były dostosowane do potrzeb dzieci (zob. par</w:t>
      </w:r>
      <w:r w:rsidR="003D0828">
        <w:t>agraf</w:t>
      </w:r>
      <w:r w:rsidR="003E162E">
        <w:t xml:space="preserve"> 24 powyżej).</w:t>
      </w:r>
    </w:p>
    <w:p w14:paraId="414BFA0E" w14:textId="77777777" w:rsidR="003E162E" w:rsidRPr="0020706A" w:rsidRDefault="005E5B04" w:rsidP="0020706A">
      <w:pPr>
        <w:pStyle w:val="JuPara"/>
      </w:pPr>
      <w:fldSimple w:instr=" SEQ level0 \*arabic ">
        <w:r w:rsidR="005D7A11">
          <w:rPr>
            <w:noProof/>
          </w:rPr>
          <w:t>82</w:t>
        </w:r>
      </w:fldSimple>
      <w:r w:rsidR="003E162E">
        <w:t>.  Trybunał uważa, że badanie tego aspektu sprawy skarżących również nie było gruntowne ani zindywidualizowane.</w:t>
      </w:r>
    </w:p>
    <w:p w14:paraId="1AC4B6D7" w14:textId="74D62666" w:rsidR="003E162E" w:rsidRPr="0020706A" w:rsidRDefault="005E5B04" w:rsidP="0020706A">
      <w:pPr>
        <w:pStyle w:val="JuPara"/>
      </w:pPr>
      <w:fldSimple w:instr=" SEQ level0 \*arabic ">
        <w:r w:rsidR="005D7A11">
          <w:rPr>
            <w:noProof/>
          </w:rPr>
          <w:t>83</w:t>
        </w:r>
      </w:fldSimple>
      <w:r w:rsidR="003E162E">
        <w:t xml:space="preserve">.  Po pierwsze, sądy krajowe nie odniosły się do tego, co wydaje się </w:t>
      </w:r>
      <w:r w:rsidR="001C718A">
        <w:t>być nowym elementem w sprawie,</w:t>
      </w:r>
      <w:r w:rsidR="003E162E">
        <w:t xml:space="preserve"> mianowicie do okoliczności, że podczas pobytu w areszcie druga skarżąca urodziła </w:t>
      </w:r>
      <w:r w:rsidR="001C718A">
        <w:t>swoje czwarte dziecko (zob. paragraf</w:t>
      </w:r>
      <w:r w:rsidR="003E162E">
        <w:t xml:space="preserve"> 56 powyżej; zob. również, </w:t>
      </w:r>
      <w:r w:rsidR="003E162E">
        <w:rPr>
          <w:i/>
          <w:iCs/>
        </w:rPr>
        <w:t>mutatis mutandis</w:t>
      </w:r>
      <w:r w:rsidR="003E162E">
        <w:t xml:space="preserve">, </w:t>
      </w:r>
      <w:r w:rsidR="003E162E">
        <w:rPr>
          <w:i/>
        </w:rPr>
        <w:t>M.D. i A.D. przeciwko Francji</w:t>
      </w:r>
      <w:r w:rsidR="001C718A">
        <w:t>, nr 57035/18, § 89, 22 lipca 2021 </w:t>
      </w:r>
      <w:r w:rsidR="003E162E">
        <w:t>r.).</w:t>
      </w:r>
    </w:p>
    <w:p w14:paraId="07A72216" w14:textId="67EB7D7E" w:rsidR="003E162E" w:rsidRPr="0020706A" w:rsidRDefault="005E5B04" w:rsidP="0020706A">
      <w:pPr>
        <w:pStyle w:val="JuPara"/>
      </w:pPr>
      <w:fldSimple w:instr=" SEQ level0 \*arabic ">
        <w:r w:rsidR="005D7A11">
          <w:rPr>
            <w:noProof/>
          </w:rPr>
          <w:t>84</w:t>
        </w:r>
      </w:fldSimple>
      <w:r w:rsidR="003E162E">
        <w:t>.  Po drugie, sądy krajowe, a następnie Rząd, oparły się na argumencie, że dobro dzieci było z konieczności chronione przez fakt, że rodzina została zatrzymana razem – innymi słowy, ponieważ dzieci nie zostały o</w:t>
      </w:r>
      <w:r w:rsidR="005B1566">
        <w:t>ddzielone od rodziców (zob. paragrafy</w:t>
      </w:r>
      <w:r w:rsidR="003E162E">
        <w:t xml:space="preserve"> 24 i 56 powyżej). W związku z tą kwestią Trybunał przypomina zasadę wyrażoną w podobnym kon</w:t>
      </w:r>
      <w:r w:rsidR="005B1566">
        <w:t>tekście, choć na podstawie art. </w:t>
      </w:r>
      <w:r w:rsidR="003E162E">
        <w:t xml:space="preserve">8 Konwencji, że wzgląd na dobro dziecka nie może ograniczać się do nierozdzielania rodziny oraz że władze muszą </w:t>
      </w:r>
      <w:r w:rsidR="00AC7896">
        <w:t xml:space="preserve">poczynić </w:t>
      </w:r>
      <w:r w:rsidR="003E162E">
        <w:t xml:space="preserve">wszelkie niezbędne kroki w celu ograniczenia, na ile to możliwe, przetrzymywania rodzin, którym towarzyszą dzieci, </w:t>
      </w:r>
      <w:r w:rsidR="007F16A3">
        <w:t xml:space="preserve">a także </w:t>
      </w:r>
      <w:r w:rsidR="003E162E">
        <w:t xml:space="preserve">w celu zapewnienia skutecznej ochrony prawa do życia rodzinnego (zob. </w:t>
      </w:r>
      <w:proofErr w:type="spellStart"/>
      <w:r w:rsidR="003E162E">
        <w:rPr>
          <w:i/>
          <w:iCs/>
        </w:rPr>
        <w:t>Bistieva</w:t>
      </w:r>
      <w:proofErr w:type="spellEnd"/>
      <w:r w:rsidR="003E162E">
        <w:rPr>
          <w:i/>
          <w:iCs/>
        </w:rPr>
        <w:t xml:space="preserve"> i Inni</w:t>
      </w:r>
      <w:r w:rsidR="003E162E">
        <w:t>, cyt. powyżej, §</w:t>
      </w:r>
      <w:r w:rsidR="008435BB">
        <w:t> </w:t>
      </w:r>
      <w:r w:rsidR="003E162E">
        <w:t xml:space="preserve">85; zob. także, </w:t>
      </w:r>
      <w:r w:rsidR="003E162E">
        <w:rPr>
          <w:i/>
          <w:iCs/>
        </w:rPr>
        <w:t>mutatis mutandis</w:t>
      </w:r>
      <w:r w:rsidR="003E162E">
        <w:t xml:space="preserve">, </w:t>
      </w:r>
      <w:proofErr w:type="spellStart"/>
      <w:r w:rsidR="003E162E">
        <w:rPr>
          <w:i/>
        </w:rPr>
        <w:t>Popov</w:t>
      </w:r>
      <w:proofErr w:type="spellEnd"/>
      <w:r w:rsidR="003E162E">
        <w:rPr>
          <w:i/>
        </w:rPr>
        <w:t xml:space="preserve"> przeciwko Francji</w:t>
      </w:r>
      <w:r w:rsidR="003E162E">
        <w:t>, nr. 39472/07 i</w:t>
      </w:r>
      <w:r w:rsidR="007F16A3">
        <w:t> </w:t>
      </w:r>
      <w:r w:rsidR="003E162E">
        <w:t>39474/07, §</w:t>
      </w:r>
      <w:r w:rsidR="008435BB">
        <w:t> </w:t>
      </w:r>
      <w:r w:rsidR="003E162E">
        <w:t>147, 19 stycznia 2012</w:t>
      </w:r>
      <w:r w:rsidR="008435BB">
        <w:t> </w:t>
      </w:r>
      <w:r w:rsidR="003E162E">
        <w:t xml:space="preserve">r.). W sprawie </w:t>
      </w:r>
      <w:proofErr w:type="spellStart"/>
      <w:r w:rsidR="003E162E">
        <w:rPr>
          <w:i/>
          <w:iCs/>
        </w:rPr>
        <w:t>Bistieva</w:t>
      </w:r>
      <w:proofErr w:type="spellEnd"/>
      <w:r w:rsidR="003E162E">
        <w:rPr>
          <w:i/>
          <w:iCs/>
        </w:rPr>
        <w:t xml:space="preserve"> i Inni</w:t>
      </w:r>
      <w:r w:rsidR="003E162E">
        <w:t xml:space="preserve"> Trybunał stwierdził naruszenie art.</w:t>
      </w:r>
      <w:r w:rsidR="00FB0311">
        <w:t> </w:t>
      </w:r>
      <w:r w:rsidR="003E162E">
        <w:t xml:space="preserve">8 ze względu na przetrzymywanie matki oraz dzieci przez prawie sześć miesięcy w ośrodku strzeżonym, który, podobnie jak ośrodek strzeżony w Białej Podlaskiej, został wyznaczony jako przystosowany do przetrzymywania rodzin z dziećmi i został względnie pozytywnie oceniony pod względem organizacji i warunków bytowych (zob. </w:t>
      </w:r>
      <w:proofErr w:type="spellStart"/>
      <w:r w:rsidR="003E162E">
        <w:rPr>
          <w:i/>
          <w:iCs/>
        </w:rPr>
        <w:t>Bistieva</w:t>
      </w:r>
      <w:proofErr w:type="spellEnd"/>
      <w:r w:rsidR="003E162E">
        <w:rPr>
          <w:i/>
          <w:iCs/>
        </w:rPr>
        <w:t xml:space="preserve"> i Inni</w:t>
      </w:r>
      <w:r w:rsidR="003E162E">
        <w:t>, cyt. powyżej, §</w:t>
      </w:r>
      <w:r w:rsidR="00FB0311">
        <w:t> </w:t>
      </w:r>
      <w:r w:rsidR="003E162E">
        <w:t>84).</w:t>
      </w:r>
    </w:p>
    <w:p w14:paraId="31D36083" w14:textId="503A353F" w:rsidR="003E162E" w:rsidRPr="0020706A" w:rsidRDefault="005E5B04" w:rsidP="0020706A">
      <w:pPr>
        <w:pStyle w:val="JuPara"/>
      </w:pPr>
      <w:fldSimple w:instr=" SEQ level0 \*arabic \* MERGEFORMAT ">
        <w:r w:rsidR="005D7A11">
          <w:rPr>
            <w:noProof/>
          </w:rPr>
          <w:t>85</w:t>
        </w:r>
      </w:fldSimple>
      <w:r w:rsidR="00CF4316">
        <w:t xml:space="preserve">.  Jakkolwiek w przedmiotowej sprawie skarżący nie kwestionowali twierdzenia, że warunki bytowe w strzeżonym ośrodku w Białej Podlaskiej były odpowiednie, placówka ta niewątpliwie stanowiła miejsce pozbawienia wolności podobne pod wieloma względami do więzień lub aresztów śledczych (patrz </w:t>
      </w:r>
      <w:proofErr w:type="spellStart"/>
      <w:r w:rsidR="00CF4316">
        <w:rPr>
          <w:i/>
          <w:iCs/>
        </w:rPr>
        <w:t>Bistieva</w:t>
      </w:r>
      <w:proofErr w:type="spellEnd"/>
      <w:r w:rsidR="00CF4316">
        <w:rPr>
          <w:i/>
          <w:iCs/>
        </w:rPr>
        <w:t xml:space="preserve"> i Inni</w:t>
      </w:r>
      <w:r w:rsidR="00CF4316">
        <w:t>, cyt. powyżej, §</w:t>
      </w:r>
      <w:r w:rsidR="00DD31D2">
        <w:t> </w:t>
      </w:r>
      <w:r w:rsidR="00CF4316">
        <w:t>88).</w:t>
      </w:r>
    </w:p>
    <w:p w14:paraId="152A561D" w14:textId="4236F421" w:rsidR="003E162E" w:rsidRPr="0020706A" w:rsidRDefault="005E5B04" w:rsidP="0020706A">
      <w:pPr>
        <w:pStyle w:val="JuPara"/>
      </w:pPr>
      <w:fldSimple w:instr=" SEQ level0 \*arabic ">
        <w:r w:rsidR="005D7A11">
          <w:rPr>
            <w:noProof/>
          </w:rPr>
          <w:t>86</w:t>
        </w:r>
      </w:fldSimple>
      <w:r w:rsidR="003E162E">
        <w:t>.  Z utrwalonego orzecznictwa Trybunału w tej dziedzinie wynika, że co do zasady należy unikać umieszczania małych dzieci w ośrodkach detencyjnych, a jedynie umieszczenie ich w odpowiednich warunkach może być zgodne z Konwencją</w:t>
      </w:r>
      <w:r w:rsidR="00997B2F">
        <w:t xml:space="preserve"> –</w:t>
      </w:r>
      <w:r w:rsidR="003E162E">
        <w:t xml:space="preserve"> z zastrzeżeniem jednak, że władze udowodnią, iż zastosowały ten </w:t>
      </w:r>
      <w:r w:rsidR="002E4F5D">
        <w:t xml:space="preserve">ostateczny </w:t>
      </w:r>
      <w:r w:rsidR="003E162E">
        <w:t>środek dopiero po faktycznym sprawdzeniu, że nie można zastosować żadnego innego środka mniej ograniczającego wolność</w:t>
      </w:r>
      <w:r w:rsidR="00997B2F">
        <w:t xml:space="preserve"> </w:t>
      </w:r>
      <w:r w:rsidR="003E162E">
        <w:t xml:space="preserve">oraz że władze działają </w:t>
      </w:r>
      <w:r w:rsidR="00604248">
        <w:t>należycie szybko</w:t>
      </w:r>
      <w:r w:rsidR="003E162E">
        <w:t xml:space="preserve"> (zob. </w:t>
      </w:r>
      <w:r w:rsidR="003E162E">
        <w:rPr>
          <w:i/>
          <w:iCs/>
        </w:rPr>
        <w:t>A.B. i Inni</w:t>
      </w:r>
      <w:r w:rsidR="003E162E">
        <w:t>, cyt. powyżej, §</w:t>
      </w:r>
      <w:r w:rsidR="003A3E15">
        <w:t> </w:t>
      </w:r>
      <w:r w:rsidR="003E162E">
        <w:t>123).</w:t>
      </w:r>
    </w:p>
    <w:p w14:paraId="143645D1" w14:textId="7659BEF3" w:rsidR="003E162E" w:rsidRPr="0020706A" w:rsidRDefault="005E5B04" w:rsidP="0020706A">
      <w:pPr>
        <w:pStyle w:val="JuPara"/>
      </w:pPr>
      <w:fldSimple w:instr=" SEQ level0 \*arabic ">
        <w:r w:rsidR="005D7A11">
          <w:rPr>
            <w:noProof/>
          </w:rPr>
          <w:t>87</w:t>
        </w:r>
      </w:fldSimple>
      <w:r w:rsidR="003E162E">
        <w:t>.  W odniesieniu do tej ostatniej kwestii Trybunał przyznaje, że w</w:t>
      </w:r>
      <w:r w:rsidR="0098745D">
        <w:t> </w:t>
      </w:r>
      <w:r w:rsidR="003E162E">
        <w:t xml:space="preserve">przedmiotowej sprawie sądy krajowe rozważyły alternatywę w postaci zastosowania wobec skarżących mniej dotkliwego środka. Sądy krajowe, sprawdziwszy, że skarżący posiadali przy sobie jedynie 50 </w:t>
      </w:r>
      <w:r w:rsidR="00706B80">
        <w:t xml:space="preserve">euro </w:t>
      </w:r>
      <w:r w:rsidR="003E162E">
        <w:t>i nie mieli adresu w Polsce, po prostu stwierdziły, że skarżący nie kwalifikują się do zastosowania żadnego alternatywnego środka przewidzianego prawem (zob. par</w:t>
      </w:r>
      <w:r w:rsidR="00304B4B">
        <w:t>agrafy</w:t>
      </w:r>
      <w:r w:rsidR="003E162E">
        <w:t xml:space="preserve"> 16, 17, 24 i 26 powyżej).</w:t>
      </w:r>
    </w:p>
    <w:p w14:paraId="01212E02" w14:textId="6C15F82E" w:rsidR="003E162E" w:rsidRPr="0020706A" w:rsidRDefault="005E5B04" w:rsidP="0020706A">
      <w:pPr>
        <w:pStyle w:val="JuPara"/>
      </w:pPr>
      <w:fldSimple w:instr=" SEQ level0 \*arabic ">
        <w:r w:rsidR="005D7A11">
          <w:rPr>
            <w:noProof/>
          </w:rPr>
          <w:t>88</w:t>
        </w:r>
      </w:fldSimple>
      <w:r w:rsidR="003E162E">
        <w:t xml:space="preserve">.  Powyższe rozważania umożliwiają Trybunałowi stwierdzenie, że w szczególnych okolicznościach przedmiotowej sprawy zatrzymanie zarówno dorosłych, jak i dzieci skarżących na okres prawie sześciu miesięcy nie było środkiem ostatecznym, dla którego nie istniała żadna alternatywa (zob. </w:t>
      </w:r>
      <w:r w:rsidR="003E162E">
        <w:rPr>
          <w:i/>
          <w:iCs/>
        </w:rPr>
        <w:t>mutatis mutandis</w:t>
      </w:r>
      <w:r w:rsidR="003E162E">
        <w:t xml:space="preserve">, </w:t>
      </w:r>
      <w:r w:rsidR="003E162E">
        <w:rPr>
          <w:i/>
          <w:iCs/>
        </w:rPr>
        <w:t>R.K. i Inni</w:t>
      </w:r>
      <w:r w:rsidR="003E162E">
        <w:t>, cyt. powyżej, §</w:t>
      </w:r>
      <w:r w:rsidR="001F02F1">
        <w:t> </w:t>
      </w:r>
      <w:r w:rsidR="003E162E">
        <w:t xml:space="preserve">86; </w:t>
      </w:r>
      <w:proofErr w:type="spellStart"/>
      <w:r w:rsidR="003E162E">
        <w:rPr>
          <w:i/>
          <w:iCs/>
        </w:rPr>
        <w:t>Popov</w:t>
      </w:r>
      <w:proofErr w:type="spellEnd"/>
      <w:r w:rsidR="003E162E">
        <w:t>, cyt. powyżej, §</w:t>
      </w:r>
      <w:r w:rsidR="001F02F1">
        <w:t> </w:t>
      </w:r>
      <w:r w:rsidR="003E162E">
        <w:t xml:space="preserve">119; </w:t>
      </w:r>
      <w:proofErr w:type="spellStart"/>
      <w:r w:rsidR="003E162E">
        <w:rPr>
          <w:i/>
          <w:iCs/>
        </w:rPr>
        <w:t>Bilalova</w:t>
      </w:r>
      <w:proofErr w:type="spellEnd"/>
      <w:r w:rsidR="003E162E">
        <w:rPr>
          <w:i/>
          <w:iCs/>
        </w:rPr>
        <w:t xml:space="preserve"> i Inni</w:t>
      </w:r>
      <w:r w:rsidR="003E162E">
        <w:t>, cyt. powyżej, §</w:t>
      </w:r>
      <w:r w:rsidR="001F02F1">
        <w:t> </w:t>
      </w:r>
      <w:r w:rsidR="003E162E">
        <w:t xml:space="preserve">80; por. też </w:t>
      </w:r>
      <w:r w:rsidR="003E162E">
        <w:rPr>
          <w:i/>
          <w:iCs/>
        </w:rPr>
        <w:t>A.M. i Inni</w:t>
      </w:r>
      <w:r w:rsidR="003E162E">
        <w:t>, cyt. powyżej, §</w:t>
      </w:r>
      <w:r w:rsidR="001F02F1">
        <w:t> </w:t>
      </w:r>
      <w:r w:rsidR="003E162E">
        <w:t xml:space="preserve">68 oraz </w:t>
      </w:r>
      <w:r w:rsidR="003E162E">
        <w:rPr>
          <w:i/>
          <w:iCs/>
        </w:rPr>
        <w:t>G.B. i Inni</w:t>
      </w:r>
      <w:r w:rsidR="003E162E">
        <w:t>, cyt. powyżej, §</w:t>
      </w:r>
      <w:r w:rsidR="001F02F1">
        <w:t> </w:t>
      </w:r>
      <w:r w:rsidR="003E162E">
        <w:t xml:space="preserve">151). Zdaniem Trybunału okoliczność, że przetrzymywano </w:t>
      </w:r>
      <w:r w:rsidR="00EB6BF8">
        <w:t>małoletnich</w:t>
      </w:r>
      <w:r w:rsidR="003E162E">
        <w:t xml:space="preserve">, obligowała władze do </w:t>
      </w:r>
      <w:r w:rsidR="00BE2788">
        <w:t>podjęcia szybszych działań</w:t>
      </w:r>
      <w:r w:rsidR="003E162E">
        <w:t xml:space="preserve"> i </w:t>
      </w:r>
      <w:r w:rsidR="00BE2788">
        <w:t xml:space="preserve">większej </w:t>
      </w:r>
      <w:r w:rsidR="003E162E">
        <w:t>staranności.</w:t>
      </w:r>
    </w:p>
    <w:p w14:paraId="70EEB659" w14:textId="51407141" w:rsidR="003E162E" w:rsidRPr="0020706A" w:rsidRDefault="005E5B04" w:rsidP="0020706A">
      <w:pPr>
        <w:pStyle w:val="JuPara"/>
      </w:pPr>
      <w:fldSimple w:instr=" SEQ level0 \*arabic \* MERGEFORMAT ">
        <w:r w:rsidR="005D7A11">
          <w:rPr>
            <w:noProof/>
          </w:rPr>
          <w:t>89</w:t>
        </w:r>
      </w:fldSimple>
      <w:r w:rsidR="00CF4316">
        <w:t>.  W związku z powyższym nastąpiło naruszenie art.</w:t>
      </w:r>
      <w:r w:rsidR="0036564C">
        <w:t> </w:t>
      </w:r>
      <w:r w:rsidR="00CF4316">
        <w:t>5 ust.</w:t>
      </w:r>
      <w:r w:rsidR="0036564C">
        <w:t> </w:t>
      </w:r>
      <w:r w:rsidR="00CF4316">
        <w:t>1 lit.</w:t>
      </w:r>
      <w:r w:rsidR="0036564C">
        <w:t> </w:t>
      </w:r>
      <w:r w:rsidR="00CF4316">
        <w:t>f Konwencji.</w:t>
      </w:r>
    </w:p>
    <w:p w14:paraId="10D67A4F" w14:textId="5FA7833F" w:rsidR="003E162E" w:rsidRPr="0020706A" w:rsidRDefault="003E162E" w:rsidP="0020706A">
      <w:pPr>
        <w:pStyle w:val="JuHIRoman"/>
      </w:pPr>
      <w:r>
        <w:t>ZARZUT NARUSZENIA ART.</w:t>
      </w:r>
      <w:r w:rsidR="00B23362">
        <w:t> </w:t>
      </w:r>
      <w:r>
        <w:t>5 UST.</w:t>
      </w:r>
      <w:r w:rsidR="00B23362">
        <w:t> </w:t>
      </w:r>
      <w:r>
        <w:t>4 KONWENCJI</w:t>
      </w:r>
    </w:p>
    <w:p w14:paraId="0F1EDF07" w14:textId="05DB5D56" w:rsidR="003E162E" w:rsidRPr="0020706A" w:rsidRDefault="005E5B04" w:rsidP="0020706A">
      <w:pPr>
        <w:pStyle w:val="JuPara"/>
      </w:pPr>
      <w:fldSimple w:instr=" SEQ level0 \*arabic \* MERGEFORMAT ">
        <w:r w:rsidR="005D7A11">
          <w:rPr>
            <w:noProof/>
          </w:rPr>
          <w:t>90</w:t>
        </w:r>
      </w:fldSimple>
      <w:r w:rsidR="00CF4316">
        <w:t>.  Skarżący zarzucili również, że sądy krajowe, postanawiając o</w:t>
      </w:r>
      <w:r w:rsidR="00CC0D10">
        <w:t> </w:t>
      </w:r>
      <w:r w:rsidR="00CF4316">
        <w:t>umieszczeniu rodziny w strzeżonym ośrodku dla cudzoziemców, nie wzięły pod uwagę przedstawionych przez nich dowodów w celu oceny prawdziwości oświadczeń funkcjonariuszy Straży Granicznej o</w:t>
      </w:r>
      <w:r w:rsidR="00BD06A6">
        <w:t> </w:t>
      </w:r>
      <w:r w:rsidR="00CF4316">
        <w:t>wielokrotnych próbach wkroczenia skarżących na terytorium Polski z</w:t>
      </w:r>
      <w:r w:rsidR="001D073A">
        <w:t> </w:t>
      </w:r>
      <w:r w:rsidR="00CF4316">
        <w:t>powodów ekonomicznych. Innymi słowy, władze automatycznie oparły się na informacjach przekazanych przez funkcjonariuszy Straży Granicznej.</w:t>
      </w:r>
    </w:p>
    <w:p w14:paraId="2E5EB71B" w14:textId="1C216852" w:rsidR="003E162E" w:rsidRPr="0020706A" w:rsidRDefault="005E5B04" w:rsidP="0020706A">
      <w:pPr>
        <w:pStyle w:val="JuPara"/>
      </w:pPr>
      <w:fldSimple w:instr=" SEQ level0 \*arabic ">
        <w:r w:rsidR="005D7A11">
          <w:rPr>
            <w:noProof/>
          </w:rPr>
          <w:t>91</w:t>
        </w:r>
      </w:fldSimple>
      <w:r w:rsidR="003E162E">
        <w:t>.  Skarga ta wymaga zbadania w świetle art. </w:t>
      </w:r>
      <w:r w:rsidR="00BB25BB">
        <w:t>5 ust. 4</w:t>
      </w:r>
      <w:r w:rsidR="003E162E">
        <w:t xml:space="preserve"> Konwencji, który stanowi:</w:t>
      </w:r>
    </w:p>
    <w:p w14:paraId="02A35D0E" w14:textId="13404A64" w:rsidR="003E162E" w:rsidRPr="0020706A" w:rsidRDefault="003E162E" w:rsidP="0020706A">
      <w:pPr>
        <w:pStyle w:val="JuQuot"/>
      </w:pPr>
      <w:r>
        <w:lastRenderedPageBreak/>
        <w:t>„4.  Każdy, kto został pozbawiony wolności przez zatrzymanie lub aresztowanie, ma prawo odwołania się do sądu w celu ustalenia bezzwłocznie przez sąd legalności pozbawienia wolności i zarządzenia zwolnienia, jeżeli pozbawienie wolności jest niezgodne z prawem</w:t>
      </w:r>
      <w:r w:rsidR="00620A3D">
        <w:t>”</w:t>
      </w:r>
      <w:r>
        <w:t>.</w:t>
      </w:r>
    </w:p>
    <w:p w14:paraId="5035982F" w14:textId="77777777" w:rsidR="003E162E" w:rsidRPr="0020706A" w:rsidRDefault="005E5B04" w:rsidP="0020706A">
      <w:pPr>
        <w:pStyle w:val="JuPara"/>
      </w:pPr>
      <w:fldSimple w:instr=" SEQ level0 \*arabic \* MERGEFORMAT ">
        <w:r w:rsidR="005D7A11">
          <w:rPr>
            <w:noProof/>
          </w:rPr>
          <w:t>92</w:t>
        </w:r>
      </w:fldSimple>
      <w:r w:rsidR="00CF4316">
        <w:t>.  Rząd zasadniczo stwierdził, że zatrzymanie skarżących zostało poddane odpowiedniej kontroli sądowej. Skarżący mieli możliwość wysłuchania przez sąd, który wydał postanowienie o ich zatrzymaniu, a także mogli zwrócić się o pomoc prawną. Rząd stwierdził, że „skarżący [mieli możliwość] przedstawienia swoich stanowisk na piśmie”, że „mogli zwrócić się do sądów krajowych o umożliwienie im obecności na rozprawach” oraz że mieli dostęp do akt sprawy. Rząd stwierdził również, że sądy krajowe dokładnie zbadały sprawę skarżących, analizując wszystkie jej aspekty.</w:t>
      </w:r>
    </w:p>
    <w:p w14:paraId="331C2276" w14:textId="30459E3C" w:rsidR="003E162E" w:rsidRPr="0020706A" w:rsidRDefault="005E5B04" w:rsidP="0020706A">
      <w:pPr>
        <w:pStyle w:val="JuPara"/>
      </w:pPr>
      <w:fldSimple w:instr=" SEQ level0 \*arabic \* MERGEFORMAT ">
        <w:r w:rsidR="005D7A11">
          <w:rPr>
            <w:noProof/>
          </w:rPr>
          <w:t>93</w:t>
        </w:r>
      </w:fldSimple>
      <w:r w:rsidR="00CF4316">
        <w:t>.  Mając na uwadze stan faktyczny sprawy, stanowiska stron i ustalenia poczynione w związku z zarzutem na gruncie art.</w:t>
      </w:r>
      <w:r w:rsidR="00B52650">
        <w:t> </w:t>
      </w:r>
      <w:r w:rsidR="00CF4316">
        <w:t>5 ust.</w:t>
      </w:r>
      <w:r w:rsidR="00B52650">
        <w:t> </w:t>
      </w:r>
      <w:r w:rsidR="00CF4316">
        <w:t>1 lit.</w:t>
      </w:r>
      <w:r w:rsidR="00B52650">
        <w:t> </w:t>
      </w:r>
      <w:r w:rsidR="00CF4316">
        <w:t>f Konwencji (zob. par</w:t>
      </w:r>
      <w:r w:rsidR="0063242E">
        <w:t>agrafy</w:t>
      </w:r>
      <w:r w:rsidR="00465BD1">
        <w:t xml:space="preserve"> </w:t>
      </w:r>
      <w:r w:rsidR="00CF4316">
        <w:t>66</w:t>
      </w:r>
      <w:r w:rsidR="00CF4316">
        <w:noBreakHyphen/>
        <w:t>89 powyżej), Trybunał uznaje, że zbadał główne kwestie prawne podniesione w niniejszej skardze i nie ma potrzeby odrębnego orzekania w przedmiocie zarzutu na gruncie art.</w:t>
      </w:r>
      <w:r w:rsidR="00B52650">
        <w:t> </w:t>
      </w:r>
      <w:r w:rsidR="00411157">
        <w:t>5 ust.</w:t>
      </w:r>
      <w:r w:rsidR="00B52650">
        <w:t> </w:t>
      </w:r>
      <w:r w:rsidR="00411157">
        <w:t>4</w:t>
      </w:r>
      <w:r w:rsidR="00CF4316">
        <w:t xml:space="preserve"> </w:t>
      </w:r>
      <w:r w:rsidR="00411157">
        <w:t>Konwencji</w:t>
      </w:r>
      <w:r w:rsidR="00CF4316">
        <w:t xml:space="preserve"> (zob. </w:t>
      </w:r>
      <w:r w:rsidR="00CF4316">
        <w:rPr>
          <w:i/>
          <w:iCs/>
        </w:rPr>
        <w:t>mutatis mutandis</w:t>
      </w:r>
      <w:r w:rsidR="00CF4316">
        <w:t xml:space="preserve">, </w:t>
      </w:r>
      <w:r w:rsidR="00CF4316">
        <w:rPr>
          <w:i/>
        </w:rPr>
        <w:t xml:space="preserve">Centre for </w:t>
      </w:r>
      <w:proofErr w:type="spellStart"/>
      <w:r w:rsidR="00CF4316">
        <w:rPr>
          <w:i/>
        </w:rPr>
        <w:t>Legal</w:t>
      </w:r>
      <w:proofErr w:type="spellEnd"/>
      <w:r w:rsidR="00CF4316">
        <w:rPr>
          <w:i/>
        </w:rPr>
        <w:t xml:space="preserve"> </w:t>
      </w:r>
      <w:proofErr w:type="spellStart"/>
      <w:r w:rsidR="00CF4316">
        <w:rPr>
          <w:i/>
        </w:rPr>
        <w:t>Resources</w:t>
      </w:r>
      <w:proofErr w:type="spellEnd"/>
      <w:r w:rsidR="00CF4316">
        <w:rPr>
          <w:i/>
        </w:rPr>
        <w:t xml:space="preserve"> on </w:t>
      </w:r>
      <w:proofErr w:type="spellStart"/>
      <w:r w:rsidR="00CF4316">
        <w:rPr>
          <w:i/>
        </w:rPr>
        <w:t>behalf</w:t>
      </w:r>
      <w:proofErr w:type="spellEnd"/>
      <w:r w:rsidR="00CF4316">
        <w:rPr>
          <w:i/>
        </w:rPr>
        <w:t xml:space="preserve"> of Valentin </w:t>
      </w:r>
      <w:proofErr w:type="spellStart"/>
      <w:r w:rsidR="00CF4316">
        <w:rPr>
          <w:i/>
        </w:rPr>
        <w:t>Câmpeanu</w:t>
      </w:r>
      <w:proofErr w:type="spellEnd"/>
      <w:r w:rsidR="00CF4316">
        <w:rPr>
          <w:i/>
        </w:rPr>
        <w:t xml:space="preserve"> przeciwko Rumunii</w:t>
      </w:r>
      <w:r w:rsidR="00CF4316">
        <w:t xml:space="preserve"> [WI], nr 47848/08, §</w:t>
      </w:r>
      <w:r w:rsidR="00E7516A">
        <w:t> </w:t>
      </w:r>
      <w:r w:rsidR="00CF4316">
        <w:t>156, ETPC 2014).</w:t>
      </w:r>
    </w:p>
    <w:p w14:paraId="5962DC1C" w14:textId="77777777" w:rsidR="003E162E" w:rsidRPr="0020706A" w:rsidRDefault="003E162E" w:rsidP="0020706A">
      <w:pPr>
        <w:pStyle w:val="JuHIRoman"/>
      </w:pPr>
      <w:r>
        <w:t>ZARZUT NARUSZENIA ART. 3 I ART. 8 KONWENCJI</w:t>
      </w:r>
    </w:p>
    <w:p w14:paraId="40A316CF" w14:textId="41C0EEA7" w:rsidR="003E162E" w:rsidRPr="0020706A" w:rsidRDefault="005E5B04" w:rsidP="0020706A">
      <w:pPr>
        <w:pStyle w:val="JuPara"/>
      </w:pPr>
      <w:fldSimple w:instr=" SEQ level0 \*arabic ">
        <w:r w:rsidR="005D7A11">
          <w:rPr>
            <w:noProof/>
          </w:rPr>
          <w:t>94</w:t>
        </w:r>
      </w:fldSimple>
      <w:r w:rsidR="003E162E">
        <w:t xml:space="preserve">.  Po zakomunikowaniu Rządowi skargi przez Trybunał skarżący podnieśli dodatkowe zarzuty w swoich uwagach do sprawy, twierdząc, że ich zatrzymanie w ośrodku strzeżonym naruszyło </w:t>
      </w:r>
      <w:r w:rsidR="006A66F7">
        <w:t xml:space="preserve">również </w:t>
      </w:r>
      <w:r w:rsidR="003E162E">
        <w:t>art.</w:t>
      </w:r>
      <w:r w:rsidR="006A66F7">
        <w:t> </w:t>
      </w:r>
      <w:r w:rsidR="003E162E">
        <w:t>3 i art.</w:t>
      </w:r>
      <w:r w:rsidR="006A66F7">
        <w:t> </w:t>
      </w:r>
      <w:r w:rsidR="003E162E">
        <w:t>8 Konwencji.</w:t>
      </w:r>
    </w:p>
    <w:p w14:paraId="4BAEC79C" w14:textId="219062B9" w:rsidR="003E162E" w:rsidRPr="0020706A" w:rsidRDefault="005E5B04" w:rsidP="0020706A">
      <w:pPr>
        <w:pStyle w:val="JuPara"/>
      </w:pPr>
      <w:fldSimple w:instr=" SEQ level0 \*arabic ">
        <w:r w:rsidR="005D7A11">
          <w:rPr>
            <w:noProof/>
          </w:rPr>
          <w:t>95</w:t>
        </w:r>
      </w:fldSimple>
      <w:r w:rsidR="003E162E">
        <w:t>.  Artykuł 35 Konwencji w zakresie istotnym dla sprawy stanowi:</w:t>
      </w:r>
    </w:p>
    <w:p w14:paraId="0B2C7F4C" w14:textId="79D4328B" w:rsidR="003E162E" w:rsidRPr="0020706A" w:rsidRDefault="003E162E" w:rsidP="0020706A">
      <w:pPr>
        <w:pStyle w:val="JuQuot"/>
      </w:pPr>
      <w:r>
        <w:t xml:space="preserve">„1.  Trybunał może rozpatrywać sprawę dopiero po wyczerpaniu wszystkich środków odwoławczych, przewidzianych prawem wewnętrznym, zgodnie z powszechnie uznanymi zasadami prawa międzynarodowego, i jeśli sprawa została wniesiona w ciągu </w:t>
      </w:r>
      <w:r w:rsidR="007F5CE7">
        <w:t xml:space="preserve">sześciu </w:t>
      </w:r>
      <w:r>
        <w:t>miesięcy od daty podjęcia ostatecznej decyzji.</w:t>
      </w:r>
    </w:p>
    <w:p w14:paraId="451C2EFF" w14:textId="0BD9DF20" w:rsidR="003E162E" w:rsidRPr="0020706A" w:rsidRDefault="003E162E" w:rsidP="0020706A">
      <w:pPr>
        <w:pStyle w:val="JuQuot"/>
      </w:pPr>
      <w:r>
        <w:t>[…]</w:t>
      </w:r>
    </w:p>
    <w:p w14:paraId="6543C2CD" w14:textId="40518D31" w:rsidR="003E162E" w:rsidRPr="0020706A" w:rsidRDefault="003E162E" w:rsidP="0020706A">
      <w:pPr>
        <w:pStyle w:val="JuQuot"/>
      </w:pPr>
      <w:r>
        <w:t>4.  Trybunał odrzuca każdą skargę, którą uzna za niedopuszczalną w myśl niniejszego artykułu. Trybunał może tak zdecydować w każdej fazie postępowania”</w:t>
      </w:r>
      <w:r w:rsidR="00F17930">
        <w:t>.</w:t>
      </w:r>
    </w:p>
    <w:p w14:paraId="73952E54" w14:textId="20F5741F" w:rsidR="003E162E" w:rsidRPr="0020706A" w:rsidRDefault="005E5B04" w:rsidP="0020706A">
      <w:pPr>
        <w:pStyle w:val="JuPara"/>
      </w:pPr>
      <w:fldSimple w:instr=" SEQ level0 \*arabic ">
        <w:r w:rsidR="005D7A11">
          <w:rPr>
            <w:noProof/>
          </w:rPr>
          <w:t>96</w:t>
        </w:r>
      </w:fldSimple>
      <w:r w:rsidR="003E162E">
        <w:t>.  Trybunał zauważa, że skarżący nie podnieśli tych zarzutów, nawet co do istoty, kiedy po raz pierwszy wnieśli skargę w dniu 15 lutego 2017</w:t>
      </w:r>
      <w:r w:rsidR="0063242E">
        <w:t> </w:t>
      </w:r>
      <w:r w:rsidR="003E162E">
        <w:t>r. Biorąc pod uwagę, że skarżący zostali zwolnieni z zatrzymania administracyjnego w dniu 5 maja 2017</w:t>
      </w:r>
      <w:r w:rsidR="0063242E">
        <w:t> </w:t>
      </w:r>
      <w:r w:rsidR="003E162E">
        <w:t>r. (zob. par</w:t>
      </w:r>
      <w:r w:rsidR="005F6978">
        <w:t>agraf</w:t>
      </w:r>
      <w:r w:rsidR="003E162E">
        <w:t xml:space="preserve"> 29 powyżej) oraz że nie wytoczyli żadnego powództwa o odszkodowanie</w:t>
      </w:r>
      <w:r w:rsidR="005F6978">
        <w:t>,</w:t>
      </w:r>
      <w:r w:rsidR="003E162E">
        <w:t xml:space="preserve"> przebywając na wolności, Trybunał musi uznać te skargi za niedopuszczalne jako wniesione po terminie. W związku z powyższym pozostała część skargi musi zostać odrzucona zgodnie z art. 35 ust. 1 i 4 Konwencji.</w:t>
      </w:r>
    </w:p>
    <w:p w14:paraId="3D1F3005" w14:textId="03747E8A" w:rsidR="003E162E" w:rsidRPr="0020706A" w:rsidRDefault="003E162E" w:rsidP="0020706A">
      <w:pPr>
        <w:pStyle w:val="JuHIRoman"/>
      </w:pPr>
      <w:r>
        <w:lastRenderedPageBreak/>
        <w:t>ZASTOSOWANIE ART.</w:t>
      </w:r>
      <w:r w:rsidR="00527062">
        <w:t> </w:t>
      </w:r>
      <w:r>
        <w:t>41 KONWENCJI</w:t>
      </w:r>
    </w:p>
    <w:p w14:paraId="7082120B" w14:textId="27272D3B" w:rsidR="003E162E" w:rsidRPr="0020706A" w:rsidRDefault="005E5B04" w:rsidP="0020706A">
      <w:pPr>
        <w:pStyle w:val="JuPara"/>
        <w:keepNext/>
        <w:keepLines/>
      </w:pPr>
      <w:fldSimple w:instr=" SEQ level0 \*arabic ">
        <w:r w:rsidR="005D7A11">
          <w:rPr>
            <w:noProof/>
          </w:rPr>
          <w:t>97</w:t>
        </w:r>
      </w:fldSimple>
      <w:r w:rsidR="003E162E">
        <w:t>.  Art</w:t>
      </w:r>
      <w:r w:rsidR="00527062">
        <w:t>ykuł</w:t>
      </w:r>
      <w:r w:rsidR="003E162E">
        <w:t xml:space="preserve"> 41 Konwencji stanowi:</w:t>
      </w:r>
    </w:p>
    <w:p w14:paraId="48FB3538" w14:textId="24FEF3A5" w:rsidR="003E162E" w:rsidRPr="0020706A" w:rsidRDefault="003E162E" w:rsidP="0020706A">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8C2928">
        <w:t>.</w:t>
      </w:r>
    </w:p>
    <w:p w14:paraId="68357DAF" w14:textId="77777777" w:rsidR="003E162E" w:rsidRPr="0020706A" w:rsidRDefault="003E162E" w:rsidP="0020706A">
      <w:pPr>
        <w:pStyle w:val="JuHA"/>
      </w:pPr>
      <w:r>
        <w:t>Szkoda</w:t>
      </w:r>
    </w:p>
    <w:p w14:paraId="67238255" w14:textId="77777777" w:rsidR="003E162E" w:rsidRPr="0020706A" w:rsidRDefault="005E5B04" w:rsidP="0020706A">
      <w:pPr>
        <w:pStyle w:val="JuPara"/>
      </w:pPr>
      <w:fldSimple w:instr=" SEQ level0 \*arabic ">
        <w:r w:rsidR="005D7A11">
          <w:rPr>
            <w:noProof/>
          </w:rPr>
          <w:t>98</w:t>
        </w:r>
      </w:fldSimple>
      <w:r w:rsidR="003E162E">
        <w:t>.  Skarżący domagali się kwoty 15 000 euro (EUR) tytułem zadośćuczynienia za szkodę niemajątkową.</w:t>
      </w:r>
    </w:p>
    <w:p w14:paraId="584BD5F6" w14:textId="1DD260DB" w:rsidR="003E162E" w:rsidRPr="0020706A" w:rsidRDefault="005E5B04" w:rsidP="0020706A">
      <w:pPr>
        <w:pStyle w:val="JuPara"/>
      </w:pPr>
      <w:fldSimple w:instr=" SEQ level0 \*arabic ">
        <w:r w:rsidR="005D7A11">
          <w:rPr>
            <w:noProof/>
          </w:rPr>
          <w:t>99</w:t>
        </w:r>
      </w:fldSimple>
      <w:r w:rsidR="003E162E">
        <w:t>.  Rząd stwierdził, że wyżej wymieniona kwota jest wygórowana.</w:t>
      </w:r>
    </w:p>
    <w:p w14:paraId="705C2B76" w14:textId="6CF73A6F" w:rsidR="003E162E" w:rsidRPr="0020706A" w:rsidRDefault="005E5B04" w:rsidP="0020706A">
      <w:pPr>
        <w:pStyle w:val="JuPara"/>
      </w:pPr>
      <w:fldSimple w:instr=" SEQ level0 \*arabic ">
        <w:r w:rsidR="005D7A11">
          <w:rPr>
            <w:noProof/>
          </w:rPr>
          <w:t>100</w:t>
        </w:r>
      </w:fldSimple>
      <w:r w:rsidR="003E162E">
        <w:t>.  Biorąc pod uwagę wyroki w podobnych sprawach przeciwko Polsce, zasadę słuszności, a także okoliczności niniejszej sprawy, w szczególności długość okresu zatrzymania administracyjnego skarżących oraz fakt, że dotyczyło ono także dzieci, Trybunał przyznaje skarżącym łączną kwotę 15</w:t>
      </w:r>
      <w:r w:rsidR="003E3F9F">
        <w:t> </w:t>
      </w:r>
      <w:r w:rsidR="003E162E">
        <w:t>000</w:t>
      </w:r>
      <w:r w:rsidR="003E3F9F">
        <w:t xml:space="preserve"> EUR </w:t>
      </w:r>
      <w:r w:rsidR="003E162E">
        <w:t>tytułem zadośćuczynienia za szkodę niemajątkową, powiększoną o ewentualny podatek należny od tej kwoty.</w:t>
      </w:r>
    </w:p>
    <w:p w14:paraId="1AFC39B1" w14:textId="77777777" w:rsidR="003E162E" w:rsidRPr="0020706A" w:rsidRDefault="003E162E" w:rsidP="0020706A">
      <w:pPr>
        <w:pStyle w:val="JuHA"/>
      </w:pPr>
      <w:r>
        <w:t>Koszty i wydatki</w:t>
      </w:r>
    </w:p>
    <w:p w14:paraId="593DFD76" w14:textId="77777777" w:rsidR="003E162E" w:rsidRPr="0020706A" w:rsidRDefault="005E5B04" w:rsidP="0020706A">
      <w:pPr>
        <w:pStyle w:val="JuPara"/>
      </w:pPr>
      <w:fldSimple w:instr=" SEQ level0 \*arabic ">
        <w:r w:rsidR="005D7A11">
          <w:rPr>
            <w:noProof/>
          </w:rPr>
          <w:t>101</w:t>
        </w:r>
      </w:fldSimple>
      <w:r w:rsidR="003E162E">
        <w:t>.  Skarżący nie wystąpili z roszczeniem w przedmiocie kosztów i wydatków poniesionych przed sądami krajowymi i Trybunałem.</w:t>
      </w:r>
    </w:p>
    <w:p w14:paraId="3A31809E" w14:textId="77777777" w:rsidR="003E162E" w:rsidRPr="0020706A" w:rsidRDefault="005E5B04" w:rsidP="0020706A">
      <w:pPr>
        <w:pStyle w:val="JuPara"/>
      </w:pPr>
      <w:fldSimple w:instr=" SEQ level0 \*arabic ">
        <w:r w:rsidR="005D7A11">
          <w:rPr>
            <w:noProof/>
          </w:rPr>
          <w:t>102</w:t>
        </w:r>
      </w:fldSimple>
      <w:r w:rsidR="003E162E">
        <w:t>.  W związku z tym Trybunał nie zasądza rekompensaty z tego tytułu.</w:t>
      </w:r>
    </w:p>
    <w:p w14:paraId="182004B1" w14:textId="77777777" w:rsidR="003E162E" w:rsidRPr="0020706A" w:rsidRDefault="003E162E" w:rsidP="0020706A">
      <w:pPr>
        <w:pStyle w:val="JuHA"/>
      </w:pPr>
      <w:r>
        <w:t>Odsetki za zwłokę</w:t>
      </w:r>
    </w:p>
    <w:p w14:paraId="1F60C53B" w14:textId="5759540F" w:rsidR="003E162E" w:rsidRPr="0020706A" w:rsidRDefault="005E5B04" w:rsidP="0020706A">
      <w:pPr>
        <w:pStyle w:val="JuPara"/>
      </w:pPr>
      <w:fldSimple w:instr=" SEQ level0 \*arabic ">
        <w:r w:rsidR="005D7A11">
          <w:rPr>
            <w:noProof/>
          </w:rPr>
          <w:t>103</w:t>
        </w:r>
      </w:fldSimple>
      <w:r w:rsidR="003E162E">
        <w:t xml:space="preserve">.  Trybunał uznaje za </w:t>
      </w:r>
      <w:r w:rsidR="00E12A86">
        <w:t>słuszne</w:t>
      </w:r>
      <w:r w:rsidR="003E162E">
        <w:t xml:space="preserve"> </w:t>
      </w:r>
      <w:r w:rsidR="00E12A86">
        <w:t>wyznaczenie wysokości odsetek za zwłokę na podstawie marginalnej stopy procentowej</w:t>
      </w:r>
      <w:r w:rsidR="003E162E">
        <w:t xml:space="preserve"> Europejskiego Banku Centralnego powiększonej o trzy punkty procentowe.</w:t>
      </w:r>
    </w:p>
    <w:p w14:paraId="5E7B347C" w14:textId="7C227179" w:rsidR="003E162E" w:rsidRPr="0020706A" w:rsidRDefault="003E162E" w:rsidP="0020706A">
      <w:pPr>
        <w:pStyle w:val="JuHHead"/>
        <w:numPr>
          <w:ilvl w:val="0"/>
          <w:numId w:val="2"/>
        </w:numPr>
        <w:ind w:left="360" w:hanging="360"/>
      </w:pPr>
      <w:r>
        <w:t xml:space="preserve">Z </w:t>
      </w:r>
      <w:r w:rsidR="00E12A86">
        <w:t xml:space="preserve">POWYŻSZYCH WZGLĘDÓW </w:t>
      </w:r>
      <w:r>
        <w:t>TRYBUNAŁ JEDNOGŁOŚNIE</w:t>
      </w:r>
    </w:p>
    <w:p w14:paraId="379960E6" w14:textId="5CA3FB07" w:rsidR="003E162E" w:rsidRPr="0020706A" w:rsidRDefault="003E162E" w:rsidP="0020706A">
      <w:pPr>
        <w:pStyle w:val="JuList"/>
        <w:numPr>
          <w:ilvl w:val="0"/>
          <w:numId w:val="1"/>
        </w:numPr>
      </w:pPr>
      <w:r>
        <w:rPr>
          <w:i/>
        </w:rPr>
        <w:t>uznaje</w:t>
      </w:r>
      <w:r>
        <w:t xml:space="preserve"> zarzut skargi na gruncie art.</w:t>
      </w:r>
      <w:r w:rsidR="00F40E56">
        <w:t> </w:t>
      </w:r>
      <w:r>
        <w:t>5 ust.</w:t>
      </w:r>
      <w:r w:rsidR="00F40E56">
        <w:t> </w:t>
      </w:r>
      <w:r>
        <w:t>1 lit.</w:t>
      </w:r>
      <w:r w:rsidR="00F40E56">
        <w:t> </w:t>
      </w:r>
      <w:r>
        <w:t>f Konwencji za dopuszczalny, zaś zarzuty skargi na gruncie art.</w:t>
      </w:r>
      <w:r w:rsidR="00F40E56">
        <w:t> </w:t>
      </w:r>
      <w:r>
        <w:t>3 i</w:t>
      </w:r>
      <w:r w:rsidR="00F40E56">
        <w:t> </w:t>
      </w:r>
      <w:r>
        <w:t>8 Konwencji za niedopuszczalne;</w:t>
      </w:r>
    </w:p>
    <w:p w14:paraId="122727F5" w14:textId="19E21130" w:rsidR="003E162E" w:rsidRPr="0020706A" w:rsidRDefault="003E162E" w:rsidP="0020706A">
      <w:pPr>
        <w:pStyle w:val="JuList"/>
        <w:numPr>
          <w:ilvl w:val="0"/>
          <w:numId w:val="1"/>
        </w:numPr>
      </w:pPr>
      <w:r>
        <w:rPr>
          <w:i/>
        </w:rPr>
        <w:t>stwierdza</w:t>
      </w:r>
      <w:r>
        <w:t>, że doszło do naruszenia art. 5 ust.</w:t>
      </w:r>
      <w:r w:rsidR="00544AB2">
        <w:t> </w:t>
      </w:r>
      <w:r>
        <w:t>1 lit.</w:t>
      </w:r>
      <w:r w:rsidR="00544AB2">
        <w:t> </w:t>
      </w:r>
      <w:r>
        <w:t>f Konwencji;</w:t>
      </w:r>
    </w:p>
    <w:p w14:paraId="033491AA" w14:textId="494D42E5" w:rsidR="003E162E" w:rsidRPr="0020706A" w:rsidRDefault="003E162E" w:rsidP="0020706A">
      <w:pPr>
        <w:pStyle w:val="JuList"/>
        <w:numPr>
          <w:ilvl w:val="0"/>
          <w:numId w:val="1"/>
        </w:numPr>
      </w:pPr>
      <w:r>
        <w:rPr>
          <w:i/>
        </w:rPr>
        <w:t>stwierdza</w:t>
      </w:r>
      <w:r>
        <w:t>, że nie ma konieczności badania dopuszczalności ani przedmiotu zarzutu skargi na gruncie art. 5 ust.</w:t>
      </w:r>
      <w:r w:rsidR="009D5495">
        <w:t> </w:t>
      </w:r>
      <w:r>
        <w:t>4 Konwencji;</w:t>
      </w:r>
    </w:p>
    <w:p w14:paraId="12C4C7F4" w14:textId="340C19F1" w:rsidR="003E162E" w:rsidRPr="0020706A" w:rsidRDefault="003E162E" w:rsidP="0020706A">
      <w:pPr>
        <w:pStyle w:val="JuList"/>
        <w:numPr>
          <w:ilvl w:val="0"/>
          <w:numId w:val="1"/>
        </w:numPr>
      </w:pPr>
      <w:r>
        <w:rPr>
          <w:i/>
        </w:rPr>
        <w:lastRenderedPageBreak/>
        <w:t>stwierdza</w:t>
      </w:r>
      <w:r w:rsidR="008B6B75">
        <w:rPr>
          <w:i/>
        </w:rPr>
        <w:t>:</w:t>
      </w:r>
    </w:p>
    <w:p w14:paraId="2237A107" w14:textId="10BA2985" w:rsidR="00EF74A0" w:rsidRPr="0020706A" w:rsidRDefault="008B6B75" w:rsidP="0038697A">
      <w:pPr>
        <w:pStyle w:val="JuLista"/>
        <w:numPr>
          <w:ilvl w:val="0"/>
          <w:numId w:val="0"/>
        </w:numPr>
        <w:ind w:left="680" w:hanging="340"/>
      </w:pPr>
      <w:r>
        <w:t>(a)</w:t>
      </w:r>
      <w:r w:rsidR="003E162E">
        <w:t>  że pozwane państwo winno, w terminie trzech miesięcy od daty, w</w:t>
      </w:r>
      <w:r w:rsidR="00102D27">
        <w:t> </w:t>
      </w:r>
      <w:r w:rsidR="003E162E">
        <w:t>której niniejszy wyrok stanie się ostateczny zgodnie z art. 44 ust. 2 Konwencji, uiścić na rzecz obojga skarżących łącznie kwotę 15 000 EUR (</w:t>
      </w:r>
      <w:r w:rsidR="00F31343">
        <w:t xml:space="preserve">piętnastu </w:t>
      </w:r>
      <w:r w:rsidR="003E162E">
        <w:t>tysięcy euro) plus wszelkie należne podatki, tytułem zadośćuczynienia za szkodę niemajątkową, przeliczoną na walutę pozwanego państwa według kursu obowiązującego w dniu płatności;</w:t>
      </w:r>
    </w:p>
    <w:p w14:paraId="4B295BAA" w14:textId="11283F9F" w:rsidR="00EF74A0" w:rsidRPr="0020706A" w:rsidRDefault="008B6B75" w:rsidP="0038697A">
      <w:pPr>
        <w:pStyle w:val="JuLista"/>
        <w:numPr>
          <w:ilvl w:val="0"/>
          <w:numId w:val="0"/>
        </w:numPr>
        <w:ind w:left="680" w:hanging="340"/>
      </w:pPr>
      <w:r>
        <w:t>(b)  </w:t>
      </w:r>
      <w:r w:rsidR="00EF74A0">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0CAE6599" w14:textId="384EF339" w:rsidR="008E3A08" w:rsidRPr="0020706A" w:rsidRDefault="007E2C8C" w:rsidP="0020706A">
      <w:pPr>
        <w:pStyle w:val="JuParaLast"/>
      </w:pPr>
      <w:r>
        <w:t>Sporządzono w języku angielskim i obwieszczono pisemnie w dniu 3</w:t>
      </w:r>
      <w:r w:rsidR="001E52D9">
        <w:t> </w:t>
      </w:r>
      <w:r>
        <w:t>marca 2022</w:t>
      </w:r>
      <w:r w:rsidR="001E52D9">
        <w:t> </w:t>
      </w:r>
      <w:r>
        <w:t>r., zgodnie z Regułą</w:t>
      </w:r>
      <w:r w:rsidR="001E52D9">
        <w:t> </w:t>
      </w:r>
      <w:r>
        <w:t>77 §§</w:t>
      </w:r>
      <w:r w:rsidR="001E52D9">
        <w:t> </w:t>
      </w:r>
      <w:r>
        <w:t>2 i</w:t>
      </w:r>
      <w:r w:rsidR="001E52D9">
        <w:t> </w:t>
      </w:r>
      <w:r>
        <w:t>3 Regulaminu Trybunału.</w:t>
      </w:r>
    </w:p>
    <w:p w14:paraId="197C5415" w14:textId="77777777" w:rsidR="00675AF2" w:rsidRPr="0020706A" w:rsidRDefault="002E7764" w:rsidP="0020706A">
      <w:pPr>
        <w:pStyle w:val="JuSigned"/>
      </w:pPr>
      <w:r>
        <w:tab/>
      </w:r>
      <w:proofErr w:type="spellStart"/>
      <w:r>
        <w:t>Liv</w:t>
      </w:r>
      <w:proofErr w:type="spellEnd"/>
      <w:r>
        <w:t xml:space="preserve"> </w:t>
      </w:r>
      <w:proofErr w:type="spellStart"/>
      <w:r>
        <w:t>Tigerstedt</w:t>
      </w:r>
      <w:proofErr w:type="spellEnd"/>
      <w:r>
        <w:tab/>
      </w:r>
      <w:proofErr w:type="spellStart"/>
      <w:r>
        <w:t>Péter</w:t>
      </w:r>
      <w:proofErr w:type="spellEnd"/>
      <w:r>
        <w:t xml:space="preserve"> </w:t>
      </w:r>
      <w:proofErr w:type="spellStart"/>
      <w:r>
        <w:t>Paczolay</w:t>
      </w:r>
      <w:proofErr w:type="spellEnd"/>
      <w:r>
        <w:br/>
      </w:r>
      <w:r>
        <w:tab/>
        <w:t>Zastępca Kanclerza</w:t>
      </w:r>
      <w:r>
        <w:tab/>
        <w:t>Przewodniczący</w:t>
      </w:r>
    </w:p>
    <w:sectPr w:rsidR="00675AF2" w:rsidRPr="0020706A"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441D4" w14:textId="77777777" w:rsidR="00DD324B" w:rsidRPr="00E67565" w:rsidRDefault="00DD324B" w:rsidP="0098410D">
      <w:r w:rsidRPr="00E67565">
        <w:separator/>
      </w:r>
    </w:p>
  </w:endnote>
  <w:endnote w:type="continuationSeparator" w:id="0">
    <w:p w14:paraId="5BBECCC0" w14:textId="77777777" w:rsidR="00DD324B" w:rsidRPr="00E67565" w:rsidRDefault="00DD324B"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D5B8" w14:textId="77777777" w:rsidR="006F7274" w:rsidRDefault="006F72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86D5" w14:textId="77777777" w:rsidR="00A26746" w:rsidRPr="00150BFA" w:rsidRDefault="00A26746" w:rsidP="00A26746">
    <w:pPr>
      <w:jc w:val="center"/>
    </w:pPr>
    <w:r>
      <w:rPr>
        <w:noProof/>
        <w:lang w:eastAsia="pl-PL"/>
      </w:rPr>
      <w:drawing>
        <wp:inline distT="0" distB="0" distL="0" distR="0" wp14:anchorId="0E3C8AAD" wp14:editId="43A0C2A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70D78C3" w14:textId="77777777" w:rsidR="00A26746" w:rsidRPr="00E67565" w:rsidRDefault="00A26746" w:rsidP="00A26746">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1E95" w14:textId="77777777" w:rsidR="00A26746" w:rsidRPr="00150BFA" w:rsidRDefault="00A26746" w:rsidP="00A26746">
    <w:pPr>
      <w:jc w:val="center"/>
    </w:pPr>
    <w:r>
      <w:rPr>
        <w:noProof/>
        <w:lang w:eastAsia="pl-PL"/>
      </w:rPr>
      <w:drawing>
        <wp:inline distT="0" distB="0" distL="0" distR="0" wp14:anchorId="5BBC2008" wp14:editId="5B25B6E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972834" w14:textId="77777777" w:rsidR="00A26746" w:rsidRPr="00E67565" w:rsidRDefault="00A26746"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8252B" w14:textId="77777777" w:rsidR="00A26746" w:rsidRDefault="00A26746" w:rsidP="009A115C">
    <w:pPr>
      <w:pStyle w:val="JuHeader"/>
    </w:pPr>
    <w:r>
      <w:rPr>
        <w:rStyle w:val="Numerstrony"/>
      </w:rPr>
      <w:fldChar w:fldCharType="begin"/>
    </w:r>
    <w:r>
      <w:rPr>
        <w:rStyle w:val="Numerstrony"/>
      </w:rPr>
      <w:instrText xml:space="preserve"> PAGE </w:instrText>
    </w:r>
    <w:r>
      <w:rPr>
        <w:rStyle w:val="Numerstrony"/>
      </w:rPr>
      <w:fldChar w:fldCharType="separate"/>
    </w:r>
    <w:r w:rsidR="006F7274">
      <w:rPr>
        <w:rStyle w:val="Numerstrony"/>
        <w:noProof/>
      </w:rPr>
      <w:t>16</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F0CF" w14:textId="77777777" w:rsidR="00A26746" w:rsidRPr="000B7195" w:rsidRDefault="00A26746" w:rsidP="007D3701">
    <w:pPr>
      <w:pStyle w:val="JuHeader"/>
    </w:pPr>
    <w:r>
      <w:fldChar w:fldCharType="begin"/>
    </w:r>
    <w:r>
      <w:instrText xml:space="preserve"> PAGE </w:instrText>
    </w:r>
    <w:r>
      <w:fldChar w:fldCharType="separate"/>
    </w:r>
    <w:r w:rsidR="006F727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816E1" w14:textId="77777777" w:rsidR="00DD324B" w:rsidRPr="00E67565" w:rsidRDefault="00DD324B" w:rsidP="0098410D">
      <w:r w:rsidRPr="00E67565">
        <w:separator/>
      </w:r>
    </w:p>
  </w:footnote>
  <w:footnote w:type="continuationSeparator" w:id="0">
    <w:p w14:paraId="6B178BC8" w14:textId="77777777" w:rsidR="00DD324B" w:rsidRPr="00E67565" w:rsidRDefault="00DD324B"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11ECF" w14:textId="77777777" w:rsidR="006F7274" w:rsidRDefault="006F72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53015" w14:textId="77777777" w:rsidR="00A26746" w:rsidRPr="00A45145" w:rsidRDefault="00A26746" w:rsidP="00A26746">
    <w:pPr>
      <w:jc w:val="center"/>
    </w:pPr>
    <w:r>
      <w:rPr>
        <w:noProof/>
        <w:lang w:eastAsia="pl-PL"/>
      </w:rPr>
      <w:drawing>
        <wp:inline distT="0" distB="0" distL="0" distR="0" wp14:anchorId="07ABE1DC" wp14:editId="6804765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828B91" w14:textId="77777777" w:rsidR="00A26746" w:rsidRPr="00E67565" w:rsidRDefault="00A26746" w:rsidP="00A26746">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EC40B" w14:textId="77777777" w:rsidR="00A26746" w:rsidRPr="00A45145" w:rsidRDefault="00A26746" w:rsidP="00A26746">
    <w:pPr>
      <w:jc w:val="center"/>
    </w:pPr>
    <w:r>
      <w:rPr>
        <w:noProof/>
        <w:lang w:eastAsia="pl-PL"/>
      </w:rPr>
      <w:drawing>
        <wp:inline distT="0" distB="0" distL="0" distR="0" wp14:anchorId="09573B4F" wp14:editId="728B0E9A">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EC393D8" w14:textId="77777777" w:rsidR="00A26746" w:rsidRPr="00E67565" w:rsidRDefault="00A2674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0112" w14:textId="77777777" w:rsidR="00A26746" w:rsidRPr="004D0EC7" w:rsidRDefault="00A26746" w:rsidP="004D0EC7">
    <w:pPr>
      <w:pStyle w:val="JuHeader"/>
    </w:pPr>
    <w:r>
      <w:t>WYROK W SPRAWIE NIKOGHOSYAN I INNI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789CC" w14:textId="67EBD202" w:rsidR="00A26746" w:rsidRPr="00882CD5" w:rsidRDefault="00A26746" w:rsidP="007D3701">
    <w:pPr>
      <w:pStyle w:val="JuHeader"/>
    </w:pPr>
    <w:r>
      <w:t xml:space="preserve">WYROK W SPRAWIE NIKOGHOSYAN I INNI </w:t>
    </w:r>
    <w:r w:rsidR="006F7274">
      <w:t xml:space="preserve">przeciwko </w:t>
    </w:r>
    <w:r>
      <w:t>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3"/>
  </w:num>
  <w:num w:numId="2">
    <w:abstractNumId w:val="18"/>
  </w:num>
  <w:num w:numId="3">
    <w:abstractNumId w:val="14"/>
  </w:num>
  <w:num w:numId="4">
    <w:abstractNumId w:val="12"/>
  </w:num>
  <w:num w:numId="5">
    <w:abstractNumId w:val="11"/>
  </w:num>
  <w:num w:numId="6">
    <w:abstractNumId w:val="15"/>
  </w:num>
  <w:num w:numId="7">
    <w:abstractNumId w:val="13"/>
  </w:num>
  <w:num w:numId="8">
    <w:abstractNumId w:val="16"/>
  </w:num>
  <w:num w:numId="9">
    <w:abstractNumId w:val="15"/>
  </w:num>
  <w:num w:numId="10">
    <w:abstractNumId w:val="16"/>
  </w:num>
  <w:num w:numId="11">
    <w:abstractNumId w:val="10"/>
  </w:num>
  <w:num w:numId="12">
    <w:abstractNumId w:val="9"/>
  </w:num>
  <w:num w:numId="13">
    <w:abstractNumId w:val="17"/>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3"/>
  </w:docVars>
  <w:rsids>
    <w:rsidRoot w:val="003E162E"/>
    <w:rsid w:val="000041F8"/>
    <w:rsid w:val="000042A8"/>
    <w:rsid w:val="00004308"/>
    <w:rsid w:val="00005BF0"/>
    <w:rsid w:val="00005D0B"/>
    <w:rsid w:val="0000617D"/>
    <w:rsid w:val="00007154"/>
    <w:rsid w:val="000103AE"/>
    <w:rsid w:val="00011D69"/>
    <w:rsid w:val="00012AD3"/>
    <w:rsid w:val="00015C2D"/>
    <w:rsid w:val="00015F00"/>
    <w:rsid w:val="00022C1D"/>
    <w:rsid w:val="00025D09"/>
    <w:rsid w:val="00031428"/>
    <w:rsid w:val="00031C9F"/>
    <w:rsid w:val="00034987"/>
    <w:rsid w:val="00041560"/>
    <w:rsid w:val="00053B64"/>
    <w:rsid w:val="000602DF"/>
    <w:rsid w:val="00061B05"/>
    <w:rsid w:val="000632D5"/>
    <w:rsid w:val="0006370A"/>
    <w:rsid w:val="00063761"/>
    <w:rsid w:val="000644EE"/>
    <w:rsid w:val="000771BC"/>
    <w:rsid w:val="0007780A"/>
    <w:rsid w:val="00085457"/>
    <w:rsid w:val="000925AD"/>
    <w:rsid w:val="00096FE1"/>
    <w:rsid w:val="00097A62"/>
    <w:rsid w:val="000A24EB"/>
    <w:rsid w:val="000A2F7D"/>
    <w:rsid w:val="000B686A"/>
    <w:rsid w:val="000B6923"/>
    <w:rsid w:val="000B7195"/>
    <w:rsid w:val="000C0439"/>
    <w:rsid w:val="000C5F3C"/>
    <w:rsid w:val="000C6AB3"/>
    <w:rsid w:val="000C6DCC"/>
    <w:rsid w:val="000D47AA"/>
    <w:rsid w:val="000D721F"/>
    <w:rsid w:val="000E069B"/>
    <w:rsid w:val="000E0E82"/>
    <w:rsid w:val="000E1DC5"/>
    <w:rsid w:val="000E223F"/>
    <w:rsid w:val="000E35AE"/>
    <w:rsid w:val="000E46B8"/>
    <w:rsid w:val="000E7D45"/>
    <w:rsid w:val="000F1FDC"/>
    <w:rsid w:val="000F6575"/>
    <w:rsid w:val="000F7851"/>
    <w:rsid w:val="00101505"/>
    <w:rsid w:val="00102D27"/>
    <w:rsid w:val="00104E23"/>
    <w:rsid w:val="00110DA8"/>
    <w:rsid w:val="00111B0C"/>
    <w:rsid w:val="00115DEE"/>
    <w:rsid w:val="00120D6C"/>
    <w:rsid w:val="001210AE"/>
    <w:rsid w:val="001257EC"/>
    <w:rsid w:val="00130B63"/>
    <w:rsid w:val="00133D33"/>
    <w:rsid w:val="00134B6A"/>
    <w:rsid w:val="00134D64"/>
    <w:rsid w:val="00135A30"/>
    <w:rsid w:val="0013612C"/>
    <w:rsid w:val="00137FF6"/>
    <w:rsid w:val="00140889"/>
    <w:rsid w:val="00141650"/>
    <w:rsid w:val="00142C36"/>
    <w:rsid w:val="00144D18"/>
    <w:rsid w:val="00146E5E"/>
    <w:rsid w:val="001477CD"/>
    <w:rsid w:val="001561B6"/>
    <w:rsid w:val="00162A12"/>
    <w:rsid w:val="00163C1A"/>
    <w:rsid w:val="00165EAD"/>
    <w:rsid w:val="00166530"/>
    <w:rsid w:val="00167A34"/>
    <w:rsid w:val="00170027"/>
    <w:rsid w:val="00175C81"/>
    <w:rsid w:val="00176126"/>
    <w:rsid w:val="00182EBA"/>
    <w:rsid w:val="001832BD"/>
    <w:rsid w:val="00186B6A"/>
    <w:rsid w:val="001943B5"/>
    <w:rsid w:val="00195134"/>
    <w:rsid w:val="001A020C"/>
    <w:rsid w:val="001A145B"/>
    <w:rsid w:val="001A3E09"/>
    <w:rsid w:val="001A674C"/>
    <w:rsid w:val="001A7240"/>
    <w:rsid w:val="001B08E4"/>
    <w:rsid w:val="001B3B24"/>
    <w:rsid w:val="001C055B"/>
    <w:rsid w:val="001C0F98"/>
    <w:rsid w:val="001C2A42"/>
    <w:rsid w:val="001C718A"/>
    <w:rsid w:val="001C7D57"/>
    <w:rsid w:val="001D073A"/>
    <w:rsid w:val="001D63ED"/>
    <w:rsid w:val="001D7348"/>
    <w:rsid w:val="001E035B"/>
    <w:rsid w:val="001E0961"/>
    <w:rsid w:val="001E38C1"/>
    <w:rsid w:val="001E3EAE"/>
    <w:rsid w:val="001E4557"/>
    <w:rsid w:val="001E4731"/>
    <w:rsid w:val="001E52D9"/>
    <w:rsid w:val="001E5D28"/>
    <w:rsid w:val="001E5D94"/>
    <w:rsid w:val="001E6857"/>
    <w:rsid w:val="001E6F32"/>
    <w:rsid w:val="001F02F1"/>
    <w:rsid w:val="001F2145"/>
    <w:rsid w:val="001F623B"/>
    <w:rsid w:val="001F6262"/>
    <w:rsid w:val="001F67B0"/>
    <w:rsid w:val="001F6AAC"/>
    <w:rsid w:val="001F6C01"/>
    <w:rsid w:val="001F7B3D"/>
    <w:rsid w:val="00202752"/>
    <w:rsid w:val="0020335A"/>
    <w:rsid w:val="002052BC"/>
    <w:rsid w:val="00205F9F"/>
    <w:rsid w:val="0020706A"/>
    <w:rsid w:val="00207BDD"/>
    <w:rsid w:val="00210338"/>
    <w:rsid w:val="002115FC"/>
    <w:rsid w:val="00211BAC"/>
    <w:rsid w:val="0021423C"/>
    <w:rsid w:val="00230D00"/>
    <w:rsid w:val="00231DF7"/>
    <w:rsid w:val="00231FD1"/>
    <w:rsid w:val="002339E0"/>
    <w:rsid w:val="00233CF8"/>
    <w:rsid w:val="0023575D"/>
    <w:rsid w:val="00237148"/>
    <w:rsid w:val="0024222D"/>
    <w:rsid w:val="002422B6"/>
    <w:rsid w:val="0024442A"/>
    <w:rsid w:val="00244B0E"/>
    <w:rsid w:val="00244F6C"/>
    <w:rsid w:val="00246B89"/>
    <w:rsid w:val="00252C4E"/>
    <w:rsid w:val="002532C5"/>
    <w:rsid w:val="00254DF2"/>
    <w:rsid w:val="00260C03"/>
    <w:rsid w:val="0026313A"/>
    <w:rsid w:val="0026439A"/>
    <w:rsid w:val="0026540E"/>
    <w:rsid w:val="00266A41"/>
    <w:rsid w:val="00275123"/>
    <w:rsid w:val="0027526A"/>
    <w:rsid w:val="00281B7C"/>
    <w:rsid w:val="00282240"/>
    <w:rsid w:val="00282BD8"/>
    <w:rsid w:val="00286458"/>
    <w:rsid w:val="00287AD5"/>
    <w:rsid w:val="002903A6"/>
    <w:rsid w:val="002934D0"/>
    <w:rsid w:val="00293676"/>
    <w:rsid w:val="00293BD9"/>
    <w:rsid w:val="002948AD"/>
    <w:rsid w:val="002A01CC"/>
    <w:rsid w:val="002A0A6F"/>
    <w:rsid w:val="002A25E4"/>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4F5D"/>
    <w:rsid w:val="002E7764"/>
    <w:rsid w:val="002F1CD6"/>
    <w:rsid w:val="002F2AF7"/>
    <w:rsid w:val="002F69C4"/>
    <w:rsid w:val="002F7D9E"/>
    <w:rsid w:val="002F7E1C"/>
    <w:rsid w:val="00301A75"/>
    <w:rsid w:val="00302F70"/>
    <w:rsid w:val="0030336F"/>
    <w:rsid w:val="0030375E"/>
    <w:rsid w:val="00304B4B"/>
    <w:rsid w:val="00312506"/>
    <w:rsid w:val="00312A30"/>
    <w:rsid w:val="00312CEF"/>
    <w:rsid w:val="00315EF0"/>
    <w:rsid w:val="003201D8"/>
    <w:rsid w:val="00320F72"/>
    <w:rsid w:val="0032463E"/>
    <w:rsid w:val="00325D76"/>
    <w:rsid w:val="00326224"/>
    <w:rsid w:val="00330A0A"/>
    <w:rsid w:val="00333189"/>
    <w:rsid w:val="00337EE4"/>
    <w:rsid w:val="00340FFD"/>
    <w:rsid w:val="00345C41"/>
    <w:rsid w:val="003506B1"/>
    <w:rsid w:val="0035183F"/>
    <w:rsid w:val="00354F2A"/>
    <w:rsid w:val="00355877"/>
    <w:rsid w:val="00356AC7"/>
    <w:rsid w:val="00360765"/>
    <w:rsid w:val="003609FA"/>
    <w:rsid w:val="00361AB5"/>
    <w:rsid w:val="0036564C"/>
    <w:rsid w:val="003710C8"/>
    <w:rsid w:val="003750BE"/>
    <w:rsid w:val="00384722"/>
    <w:rsid w:val="00385A36"/>
    <w:rsid w:val="00385F3D"/>
    <w:rsid w:val="0038697A"/>
    <w:rsid w:val="0038740C"/>
    <w:rsid w:val="00387B9D"/>
    <w:rsid w:val="00387C70"/>
    <w:rsid w:val="00390294"/>
    <w:rsid w:val="00392CBF"/>
    <w:rsid w:val="0039364F"/>
    <w:rsid w:val="00396686"/>
    <w:rsid w:val="0039778E"/>
    <w:rsid w:val="003A3E15"/>
    <w:rsid w:val="003B4941"/>
    <w:rsid w:val="003C5714"/>
    <w:rsid w:val="003C6B9F"/>
    <w:rsid w:val="003C6E2A"/>
    <w:rsid w:val="003D0299"/>
    <w:rsid w:val="003D0828"/>
    <w:rsid w:val="003D28E9"/>
    <w:rsid w:val="003D5000"/>
    <w:rsid w:val="003D59AC"/>
    <w:rsid w:val="003E162E"/>
    <w:rsid w:val="003E33F3"/>
    <w:rsid w:val="003E3F9F"/>
    <w:rsid w:val="003E5A28"/>
    <w:rsid w:val="003E6D80"/>
    <w:rsid w:val="003F05FA"/>
    <w:rsid w:val="003F11EB"/>
    <w:rsid w:val="003F244A"/>
    <w:rsid w:val="003F2517"/>
    <w:rsid w:val="003F30B8"/>
    <w:rsid w:val="003F4C45"/>
    <w:rsid w:val="003F5F7B"/>
    <w:rsid w:val="003F7D64"/>
    <w:rsid w:val="0040433A"/>
    <w:rsid w:val="00411157"/>
    <w:rsid w:val="00414300"/>
    <w:rsid w:val="00414F27"/>
    <w:rsid w:val="00420703"/>
    <w:rsid w:val="004210DB"/>
    <w:rsid w:val="00425C67"/>
    <w:rsid w:val="00427E7A"/>
    <w:rsid w:val="004355AC"/>
    <w:rsid w:val="00436C49"/>
    <w:rsid w:val="00443C9B"/>
    <w:rsid w:val="00443D98"/>
    <w:rsid w:val="00445366"/>
    <w:rsid w:val="00447F5B"/>
    <w:rsid w:val="00455187"/>
    <w:rsid w:val="00456C8D"/>
    <w:rsid w:val="00461DB0"/>
    <w:rsid w:val="00463926"/>
    <w:rsid w:val="00464AB7"/>
    <w:rsid w:val="00464C9A"/>
    <w:rsid w:val="00465BD1"/>
    <w:rsid w:val="00473627"/>
    <w:rsid w:val="00474368"/>
    <w:rsid w:val="00474F3D"/>
    <w:rsid w:val="00477E3A"/>
    <w:rsid w:val="00483E5F"/>
    <w:rsid w:val="00485FF9"/>
    <w:rsid w:val="0049049B"/>
    <w:rsid w:val="004907F0"/>
    <w:rsid w:val="004911FC"/>
    <w:rsid w:val="0049140B"/>
    <w:rsid w:val="004923A5"/>
    <w:rsid w:val="0049310E"/>
    <w:rsid w:val="004950E2"/>
    <w:rsid w:val="00496BFB"/>
    <w:rsid w:val="004A15C7"/>
    <w:rsid w:val="004A1E5D"/>
    <w:rsid w:val="004A2F31"/>
    <w:rsid w:val="004A3201"/>
    <w:rsid w:val="004A7044"/>
    <w:rsid w:val="004B013B"/>
    <w:rsid w:val="004B112B"/>
    <w:rsid w:val="004B444E"/>
    <w:rsid w:val="004C01E4"/>
    <w:rsid w:val="004C086C"/>
    <w:rsid w:val="004C172D"/>
    <w:rsid w:val="004C1F56"/>
    <w:rsid w:val="004C27BC"/>
    <w:rsid w:val="004C53CA"/>
    <w:rsid w:val="004C6621"/>
    <w:rsid w:val="004D0EC7"/>
    <w:rsid w:val="004D15F3"/>
    <w:rsid w:val="004D3B3D"/>
    <w:rsid w:val="004D4EF1"/>
    <w:rsid w:val="004D5311"/>
    <w:rsid w:val="004D5DCC"/>
    <w:rsid w:val="004D7E45"/>
    <w:rsid w:val="004F02CA"/>
    <w:rsid w:val="004F10AF"/>
    <w:rsid w:val="004F11A4"/>
    <w:rsid w:val="004F2389"/>
    <w:rsid w:val="004F304D"/>
    <w:rsid w:val="004F4290"/>
    <w:rsid w:val="004F61BE"/>
    <w:rsid w:val="004F66B1"/>
    <w:rsid w:val="00501736"/>
    <w:rsid w:val="00507AD2"/>
    <w:rsid w:val="00511C07"/>
    <w:rsid w:val="005125CB"/>
    <w:rsid w:val="00512EC4"/>
    <w:rsid w:val="0051725A"/>
    <w:rsid w:val="005173A6"/>
    <w:rsid w:val="0051797A"/>
    <w:rsid w:val="00517F15"/>
    <w:rsid w:val="00520354"/>
    <w:rsid w:val="00520BAA"/>
    <w:rsid w:val="005217D8"/>
    <w:rsid w:val="00525208"/>
    <w:rsid w:val="005257A5"/>
    <w:rsid w:val="005264C0"/>
    <w:rsid w:val="00526A8A"/>
    <w:rsid w:val="00527062"/>
    <w:rsid w:val="00527FB1"/>
    <w:rsid w:val="0053000F"/>
    <w:rsid w:val="00530FE6"/>
    <w:rsid w:val="00531DF2"/>
    <w:rsid w:val="0053315C"/>
    <w:rsid w:val="00535B54"/>
    <w:rsid w:val="00537476"/>
    <w:rsid w:val="00542537"/>
    <w:rsid w:val="005442EE"/>
    <w:rsid w:val="00544AB2"/>
    <w:rsid w:val="00545DA6"/>
    <w:rsid w:val="00547353"/>
    <w:rsid w:val="005474E7"/>
    <w:rsid w:val="005512A3"/>
    <w:rsid w:val="005569D4"/>
    <w:rsid w:val="005578CE"/>
    <w:rsid w:val="00562781"/>
    <w:rsid w:val="00562B6C"/>
    <w:rsid w:val="00567CD1"/>
    <w:rsid w:val="0057271C"/>
    <w:rsid w:val="00572845"/>
    <w:rsid w:val="005879A2"/>
    <w:rsid w:val="005906D9"/>
    <w:rsid w:val="00592772"/>
    <w:rsid w:val="0059574A"/>
    <w:rsid w:val="005A0029"/>
    <w:rsid w:val="005A1B9B"/>
    <w:rsid w:val="005A2E79"/>
    <w:rsid w:val="005A3455"/>
    <w:rsid w:val="005A6751"/>
    <w:rsid w:val="005B0672"/>
    <w:rsid w:val="005B092E"/>
    <w:rsid w:val="005B152C"/>
    <w:rsid w:val="005B1566"/>
    <w:rsid w:val="005B1EE0"/>
    <w:rsid w:val="005B2B24"/>
    <w:rsid w:val="005B4425"/>
    <w:rsid w:val="005B4B94"/>
    <w:rsid w:val="005C3EE8"/>
    <w:rsid w:val="005C4318"/>
    <w:rsid w:val="005C5D8A"/>
    <w:rsid w:val="005D2F2A"/>
    <w:rsid w:val="005D34F9"/>
    <w:rsid w:val="005D4190"/>
    <w:rsid w:val="005D67A3"/>
    <w:rsid w:val="005D7A11"/>
    <w:rsid w:val="005E2988"/>
    <w:rsid w:val="005E3085"/>
    <w:rsid w:val="005E5B04"/>
    <w:rsid w:val="005F0EB3"/>
    <w:rsid w:val="005F4AB6"/>
    <w:rsid w:val="005F51E1"/>
    <w:rsid w:val="005F6978"/>
    <w:rsid w:val="00604248"/>
    <w:rsid w:val="00611C80"/>
    <w:rsid w:val="00620692"/>
    <w:rsid w:val="00620A3D"/>
    <w:rsid w:val="006242CA"/>
    <w:rsid w:val="00627507"/>
    <w:rsid w:val="0063242E"/>
    <w:rsid w:val="00633717"/>
    <w:rsid w:val="006344E1"/>
    <w:rsid w:val="0063598E"/>
    <w:rsid w:val="0064103A"/>
    <w:rsid w:val="00643524"/>
    <w:rsid w:val="0064393B"/>
    <w:rsid w:val="00644ED5"/>
    <w:rsid w:val="00645CF2"/>
    <w:rsid w:val="00646E99"/>
    <w:rsid w:val="0065059C"/>
    <w:rsid w:val="0065168D"/>
    <w:rsid w:val="006545C4"/>
    <w:rsid w:val="00661971"/>
    <w:rsid w:val="00661CE8"/>
    <w:rsid w:val="006623D9"/>
    <w:rsid w:val="006642A5"/>
    <w:rsid w:val="0066550C"/>
    <w:rsid w:val="00665BD2"/>
    <w:rsid w:val="00670AEB"/>
    <w:rsid w:val="006716F2"/>
    <w:rsid w:val="00672E05"/>
    <w:rsid w:val="00673F84"/>
    <w:rsid w:val="00675AF2"/>
    <w:rsid w:val="00682BF2"/>
    <w:rsid w:val="0068573E"/>
    <w:rsid w:val="006859CE"/>
    <w:rsid w:val="00691270"/>
    <w:rsid w:val="00694BA8"/>
    <w:rsid w:val="006A037C"/>
    <w:rsid w:val="006A0C84"/>
    <w:rsid w:val="006A36F4"/>
    <w:rsid w:val="006A406F"/>
    <w:rsid w:val="006A5D3A"/>
    <w:rsid w:val="006A66F7"/>
    <w:rsid w:val="006B1942"/>
    <w:rsid w:val="006B3502"/>
    <w:rsid w:val="006B37C1"/>
    <w:rsid w:val="006B3CEA"/>
    <w:rsid w:val="006B6958"/>
    <w:rsid w:val="006C23D4"/>
    <w:rsid w:val="006C3F60"/>
    <w:rsid w:val="006C7BB0"/>
    <w:rsid w:val="006D3237"/>
    <w:rsid w:val="006D3D1D"/>
    <w:rsid w:val="006E2E37"/>
    <w:rsid w:val="006E3CF1"/>
    <w:rsid w:val="006E68A3"/>
    <w:rsid w:val="006E7E80"/>
    <w:rsid w:val="006F1C2D"/>
    <w:rsid w:val="006F48CA"/>
    <w:rsid w:val="006F570B"/>
    <w:rsid w:val="006F6070"/>
    <w:rsid w:val="006F64DD"/>
    <w:rsid w:val="006F712D"/>
    <w:rsid w:val="006F7274"/>
    <w:rsid w:val="00701509"/>
    <w:rsid w:val="00706642"/>
    <w:rsid w:val="00706B80"/>
    <w:rsid w:val="00715127"/>
    <w:rsid w:val="00715E8E"/>
    <w:rsid w:val="007178DD"/>
    <w:rsid w:val="0072323B"/>
    <w:rsid w:val="007232F9"/>
    <w:rsid w:val="00723580"/>
    <w:rsid w:val="00723755"/>
    <w:rsid w:val="0073136C"/>
    <w:rsid w:val="00731F0F"/>
    <w:rsid w:val="00732E32"/>
    <w:rsid w:val="00733250"/>
    <w:rsid w:val="00741404"/>
    <w:rsid w:val="00743FC1"/>
    <w:rsid w:val="007449E5"/>
    <w:rsid w:val="00745075"/>
    <w:rsid w:val="0074750E"/>
    <w:rsid w:val="00747FF0"/>
    <w:rsid w:val="0075566E"/>
    <w:rsid w:val="00763602"/>
    <w:rsid w:val="00764D4E"/>
    <w:rsid w:val="00765A1F"/>
    <w:rsid w:val="00775B6D"/>
    <w:rsid w:val="00776D68"/>
    <w:rsid w:val="0078323E"/>
    <w:rsid w:val="007850EE"/>
    <w:rsid w:val="00785B95"/>
    <w:rsid w:val="007862F2"/>
    <w:rsid w:val="007873B0"/>
    <w:rsid w:val="00790E96"/>
    <w:rsid w:val="007926FD"/>
    <w:rsid w:val="00793366"/>
    <w:rsid w:val="0079666C"/>
    <w:rsid w:val="007A372F"/>
    <w:rsid w:val="007A5A10"/>
    <w:rsid w:val="007A716F"/>
    <w:rsid w:val="007B270A"/>
    <w:rsid w:val="007B4182"/>
    <w:rsid w:val="007C0695"/>
    <w:rsid w:val="007C419A"/>
    <w:rsid w:val="007C4CC8"/>
    <w:rsid w:val="007C5426"/>
    <w:rsid w:val="007C5798"/>
    <w:rsid w:val="007D1DA8"/>
    <w:rsid w:val="007D1ECD"/>
    <w:rsid w:val="007D3701"/>
    <w:rsid w:val="007D4832"/>
    <w:rsid w:val="007D7A5C"/>
    <w:rsid w:val="007E21B2"/>
    <w:rsid w:val="007E2C4E"/>
    <w:rsid w:val="007E2C8C"/>
    <w:rsid w:val="007E51BA"/>
    <w:rsid w:val="007E73D7"/>
    <w:rsid w:val="007F16A3"/>
    <w:rsid w:val="007F1905"/>
    <w:rsid w:val="007F27E4"/>
    <w:rsid w:val="007F3437"/>
    <w:rsid w:val="007F3F65"/>
    <w:rsid w:val="007F5CE7"/>
    <w:rsid w:val="00801F78"/>
    <w:rsid w:val="00802C64"/>
    <w:rsid w:val="0080508B"/>
    <w:rsid w:val="00805A15"/>
    <w:rsid w:val="00805E52"/>
    <w:rsid w:val="008061D0"/>
    <w:rsid w:val="00810B38"/>
    <w:rsid w:val="008158CC"/>
    <w:rsid w:val="008204C7"/>
    <w:rsid w:val="008208DE"/>
    <w:rsid w:val="00820992"/>
    <w:rsid w:val="00822F44"/>
    <w:rsid w:val="00823602"/>
    <w:rsid w:val="008255F5"/>
    <w:rsid w:val="00826890"/>
    <w:rsid w:val="0083014E"/>
    <w:rsid w:val="0083214A"/>
    <w:rsid w:val="00834220"/>
    <w:rsid w:val="008367AB"/>
    <w:rsid w:val="008435BB"/>
    <w:rsid w:val="008456DC"/>
    <w:rsid w:val="00845723"/>
    <w:rsid w:val="0084589C"/>
    <w:rsid w:val="00847786"/>
    <w:rsid w:val="008519E7"/>
    <w:rsid w:val="00851EF9"/>
    <w:rsid w:val="00853751"/>
    <w:rsid w:val="008577FD"/>
    <w:rsid w:val="00860B03"/>
    <w:rsid w:val="0086497A"/>
    <w:rsid w:val="00867066"/>
    <w:rsid w:val="008713A1"/>
    <w:rsid w:val="00872584"/>
    <w:rsid w:val="008753A8"/>
    <w:rsid w:val="008754AB"/>
    <w:rsid w:val="0088060C"/>
    <w:rsid w:val="00882CD5"/>
    <w:rsid w:val="00883151"/>
    <w:rsid w:val="0088573A"/>
    <w:rsid w:val="00887E9E"/>
    <w:rsid w:val="00893576"/>
    <w:rsid w:val="00893E73"/>
    <w:rsid w:val="008B02DC"/>
    <w:rsid w:val="008B092C"/>
    <w:rsid w:val="008B57CE"/>
    <w:rsid w:val="008B6B75"/>
    <w:rsid w:val="008C26DE"/>
    <w:rsid w:val="008C2928"/>
    <w:rsid w:val="008C6AA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0788E"/>
    <w:rsid w:val="00914061"/>
    <w:rsid w:val="009140A3"/>
    <w:rsid w:val="009143C1"/>
    <w:rsid w:val="009144A2"/>
    <w:rsid w:val="0091510C"/>
    <w:rsid w:val="0091712F"/>
    <w:rsid w:val="009259AC"/>
    <w:rsid w:val="00926F38"/>
    <w:rsid w:val="00927BEB"/>
    <w:rsid w:val="009333DC"/>
    <w:rsid w:val="00934301"/>
    <w:rsid w:val="00936CD1"/>
    <w:rsid w:val="009413A7"/>
    <w:rsid w:val="00941747"/>
    <w:rsid w:val="00941EFB"/>
    <w:rsid w:val="00947AFB"/>
    <w:rsid w:val="00951AA3"/>
    <w:rsid w:val="00951D7D"/>
    <w:rsid w:val="009555D6"/>
    <w:rsid w:val="00956D0C"/>
    <w:rsid w:val="00960AEE"/>
    <w:rsid w:val="009630C7"/>
    <w:rsid w:val="00972B55"/>
    <w:rsid w:val="00973379"/>
    <w:rsid w:val="009743B7"/>
    <w:rsid w:val="00981FE7"/>
    <w:rsid w:val="0098228B"/>
    <w:rsid w:val="009828DA"/>
    <w:rsid w:val="0098410D"/>
    <w:rsid w:val="00985BAB"/>
    <w:rsid w:val="00986B3C"/>
    <w:rsid w:val="0098745D"/>
    <w:rsid w:val="00996BDD"/>
    <w:rsid w:val="00997B2F"/>
    <w:rsid w:val="00997D54"/>
    <w:rsid w:val="009A115C"/>
    <w:rsid w:val="009A1C37"/>
    <w:rsid w:val="009A7FC1"/>
    <w:rsid w:val="009B029E"/>
    <w:rsid w:val="009B1606"/>
    <w:rsid w:val="009B1B5F"/>
    <w:rsid w:val="009B1E35"/>
    <w:rsid w:val="009B6673"/>
    <w:rsid w:val="009C191B"/>
    <w:rsid w:val="009C2BD6"/>
    <w:rsid w:val="009D5495"/>
    <w:rsid w:val="009D57AA"/>
    <w:rsid w:val="009E1F32"/>
    <w:rsid w:val="009E2CC2"/>
    <w:rsid w:val="009E3EE3"/>
    <w:rsid w:val="009E47A2"/>
    <w:rsid w:val="009E776C"/>
    <w:rsid w:val="009E7A6F"/>
    <w:rsid w:val="009F4C8F"/>
    <w:rsid w:val="00A02972"/>
    <w:rsid w:val="00A05588"/>
    <w:rsid w:val="00A103CF"/>
    <w:rsid w:val="00A13254"/>
    <w:rsid w:val="00A13F02"/>
    <w:rsid w:val="00A15601"/>
    <w:rsid w:val="00A1726E"/>
    <w:rsid w:val="00A204CF"/>
    <w:rsid w:val="00A21D2B"/>
    <w:rsid w:val="00A22745"/>
    <w:rsid w:val="00A23D49"/>
    <w:rsid w:val="00A26746"/>
    <w:rsid w:val="00A27004"/>
    <w:rsid w:val="00A308CE"/>
    <w:rsid w:val="00A30C29"/>
    <w:rsid w:val="00A31102"/>
    <w:rsid w:val="00A34DD6"/>
    <w:rsid w:val="00A35683"/>
    <w:rsid w:val="00A36819"/>
    <w:rsid w:val="00A36989"/>
    <w:rsid w:val="00A41425"/>
    <w:rsid w:val="00A41D86"/>
    <w:rsid w:val="00A43628"/>
    <w:rsid w:val="00A51D0F"/>
    <w:rsid w:val="00A530C8"/>
    <w:rsid w:val="00A54192"/>
    <w:rsid w:val="00A57147"/>
    <w:rsid w:val="00A57854"/>
    <w:rsid w:val="00A6035E"/>
    <w:rsid w:val="00A6144C"/>
    <w:rsid w:val="00A66617"/>
    <w:rsid w:val="00A671F8"/>
    <w:rsid w:val="00A673A4"/>
    <w:rsid w:val="00A724AE"/>
    <w:rsid w:val="00A73329"/>
    <w:rsid w:val="00A82359"/>
    <w:rsid w:val="00A84976"/>
    <w:rsid w:val="00A85F74"/>
    <w:rsid w:val="00A861F6"/>
    <w:rsid w:val="00A865D2"/>
    <w:rsid w:val="00A90BCD"/>
    <w:rsid w:val="00A92791"/>
    <w:rsid w:val="00A94C20"/>
    <w:rsid w:val="00AA1B09"/>
    <w:rsid w:val="00AA227F"/>
    <w:rsid w:val="00AA3BC7"/>
    <w:rsid w:val="00AA42DB"/>
    <w:rsid w:val="00AA55A1"/>
    <w:rsid w:val="00AA754A"/>
    <w:rsid w:val="00AB02C2"/>
    <w:rsid w:val="00AB099E"/>
    <w:rsid w:val="00AB1D0B"/>
    <w:rsid w:val="00AB4328"/>
    <w:rsid w:val="00AC4CD4"/>
    <w:rsid w:val="00AC7896"/>
    <w:rsid w:val="00AE03FE"/>
    <w:rsid w:val="00AE0A2E"/>
    <w:rsid w:val="00AE0E95"/>
    <w:rsid w:val="00AE2CF5"/>
    <w:rsid w:val="00AE354C"/>
    <w:rsid w:val="00AE5789"/>
    <w:rsid w:val="00AF4B07"/>
    <w:rsid w:val="00AF4EE0"/>
    <w:rsid w:val="00AF6186"/>
    <w:rsid w:val="00AF7A3A"/>
    <w:rsid w:val="00B02587"/>
    <w:rsid w:val="00B049D1"/>
    <w:rsid w:val="00B05DB8"/>
    <w:rsid w:val="00B13721"/>
    <w:rsid w:val="00B160DB"/>
    <w:rsid w:val="00B20836"/>
    <w:rsid w:val="00B20A8E"/>
    <w:rsid w:val="00B23362"/>
    <w:rsid w:val="00B235BB"/>
    <w:rsid w:val="00B27A44"/>
    <w:rsid w:val="00B30BBF"/>
    <w:rsid w:val="00B33C03"/>
    <w:rsid w:val="00B4421F"/>
    <w:rsid w:val="00B44E56"/>
    <w:rsid w:val="00B45917"/>
    <w:rsid w:val="00B46543"/>
    <w:rsid w:val="00B47D33"/>
    <w:rsid w:val="00B52650"/>
    <w:rsid w:val="00B52BE0"/>
    <w:rsid w:val="00B54133"/>
    <w:rsid w:val="00B54C4B"/>
    <w:rsid w:val="00B61C41"/>
    <w:rsid w:val="00B701ED"/>
    <w:rsid w:val="00B74625"/>
    <w:rsid w:val="00B748F7"/>
    <w:rsid w:val="00B74DA5"/>
    <w:rsid w:val="00B8086C"/>
    <w:rsid w:val="00B81C58"/>
    <w:rsid w:val="00B861B4"/>
    <w:rsid w:val="00B86DFE"/>
    <w:rsid w:val="00B90990"/>
    <w:rsid w:val="00B922FF"/>
    <w:rsid w:val="00B9281E"/>
    <w:rsid w:val="00B93925"/>
    <w:rsid w:val="00B95187"/>
    <w:rsid w:val="00BA2917"/>
    <w:rsid w:val="00BA2D55"/>
    <w:rsid w:val="00BA2E1E"/>
    <w:rsid w:val="00BA54BF"/>
    <w:rsid w:val="00BA586B"/>
    <w:rsid w:val="00BA71B1"/>
    <w:rsid w:val="00BB0637"/>
    <w:rsid w:val="00BB25BB"/>
    <w:rsid w:val="00BB345F"/>
    <w:rsid w:val="00BB490E"/>
    <w:rsid w:val="00BB68EA"/>
    <w:rsid w:val="00BC0B99"/>
    <w:rsid w:val="00BC1C27"/>
    <w:rsid w:val="00BC5C8F"/>
    <w:rsid w:val="00BC6BBF"/>
    <w:rsid w:val="00BD06A6"/>
    <w:rsid w:val="00BD1572"/>
    <w:rsid w:val="00BE14E3"/>
    <w:rsid w:val="00BE2788"/>
    <w:rsid w:val="00BE3774"/>
    <w:rsid w:val="00BE41E5"/>
    <w:rsid w:val="00BF118F"/>
    <w:rsid w:val="00BF4109"/>
    <w:rsid w:val="00BF4CC3"/>
    <w:rsid w:val="00BF6A75"/>
    <w:rsid w:val="00C054C7"/>
    <w:rsid w:val="00C057B5"/>
    <w:rsid w:val="00C07D0E"/>
    <w:rsid w:val="00C115C3"/>
    <w:rsid w:val="00C15221"/>
    <w:rsid w:val="00C15547"/>
    <w:rsid w:val="00C1672D"/>
    <w:rsid w:val="00C22687"/>
    <w:rsid w:val="00C25291"/>
    <w:rsid w:val="00C26A92"/>
    <w:rsid w:val="00C26B1C"/>
    <w:rsid w:val="00C3198C"/>
    <w:rsid w:val="00C32E4D"/>
    <w:rsid w:val="00C333A0"/>
    <w:rsid w:val="00C36A81"/>
    <w:rsid w:val="00C41974"/>
    <w:rsid w:val="00C44A2C"/>
    <w:rsid w:val="00C44F09"/>
    <w:rsid w:val="00C455C7"/>
    <w:rsid w:val="00C46766"/>
    <w:rsid w:val="00C477F7"/>
    <w:rsid w:val="00C509A6"/>
    <w:rsid w:val="00C53F4A"/>
    <w:rsid w:val="00C54125"/>
    <w:rsid w:val="00C55B54"/>
    <w:rsid w:val="00C6098E"/>
    <w:rsid w:val="00C6152C"/>
    <w:rsid w:val="00C65DAE"/>
    <w:rsid w:val="00C74810"/>
    <w:rsid w:val="00C8021A"/>
    <w:rsid w:val="00C85601"/>
    <w:rsid w:val="00C90D68"/>
    <w:rsid w:val="00C939FE"/>
    <w:rsid w:val="00CA4BDA"/>
    <w:rsid w:val="00CB13E3"/>
    <w:rsid w:val="00CB1F66"/>
    <w:rsid w:val="00CB220A"/>
    <w:rsid w:val="00CB232C"/>
    <w:rsid w:val="00CB2951"/>
    <w:rsid w:val="00CB4277"/>
    <w:rsid w:val="00CC0D10"/>
    <w:rsid w:val="00CC3705"/>
    <w:rsid w:val="00CC3D07"/>
    <w:rsid w:val="00CC5067"/>
    <w:rsid w:val="00CD11D3"/>
    <w:rsid w:val="00CD282B"/>
    <w:rsid w:val="00CD447B"/>
    <w:rsid w:val="00CD4A91"/>
    <w:rsid w:val="00CD4C35"/>
    <w:rsid w:val="00CD7369"/>
    <w:rsid w:val="00CE0B0E"/>
    <w:rsid w:val="00CE1EBB"/>
    <w:rsid w:val="00CE3831"/>
    <w:rsid w:val="00CF2397"/>
    <w:rsid w:val="00CF4316"/>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1393"/>
    <w:rsid w:val="00D44C2E"/>
    <w:rsid w:val="00D45414"/>
    <w:rsid w:val="00D50A0A"/>
    <w:rsid w:val="00D52987"/>
    <w:rsid w:val="00D53548"/>
    <w:rsid w:val="00D5576B"/>
    <w:rsid w:val="00D566BD"/>
    <w:rsid w:val="00D5672C"/>
    <w:rsid w:val="00D57A4D"/>
    <w:rsid w:val="00D60AA7"/>
    <w:rsid w:val="00D61769"/>
    <w:rsid w:val="00D63000"/>
    <w:rsid w:val="00D6400B"/>
    <w:rsid w:val="00D6435F"/>
    <w:rsid w:val="00D66471"/>
    <w:rsid w:val="00D67462"/>
    <w:rsid w:val="00D70641"/>
    <w:rsid w:val="00D721F5"/>
    <w:rsid w:val="00D74888"/>
    <w:rsid w:val="00D7488B"/>
    <w:rsid w:val="00D75E28"/>
    <w:rsid w:val="00D772C2"/>
    <w:rsid w:val="00D8008E"/>
    <w:rsid w:val="00D807D3"/>
    <w:rsid w:val="00D82C45"/>
    <w:rsid w:val="00D908A8"/>
    <w:rsid w:val="00D977B6"/>
    <w:rsid w:val="00DA1223"/>
    <w:rsid w:val="00DA4A31"/>
    <w:rsid w:val="00DA57E6"/>
    <w:rsid w:val="00DA7B04"/>
    <w:rsid w:val="00DB36C2"/>
    <w:rsid w:val="00DC169B"/>
    <w:rsid w:val="00DC2AB9"/>
    <w:rsid w:val="00DC63F0"/>
    <w:rsid w:val="00DD259D"/>
    <w:rsid w:val="00DD31D2"/>
    <w:rsid w:val="00DD324B"/>
    <w:rsid w:val="00DD37EA"/>
    <w:rsid w:val="00DD6EE5"/>
    <w:rsid w:val="00DE0ED9"/>
    <w:rsid w:val="00DE386C"/>
    <w:rsid w:val="00DE4D35"/>
    <w:rsid w:val="00DF098B"/>
    <w:rsid w:val="00DF11C4"/>
    <w:rsid w:val="00DF210C"/>
    <w:rsid w:val="00DF4B6A"/>
    <w:rsid w:val="00E004C0"/>
    <w:rsid w:val="00E02C09"/>
    <w:rsid w:val="00E037C3"/>
    <w:rsid w:val="00E04D59"/>
    <w:rsid w:val="00E056C5"/>
    <w:rsid w:val="00E07DA1"/>
    <w:rsid w:val="00E123CB"/>
    <w:rsid w:val="00E12A86"/>
    <w:rsid w:val="00E13B09"/>
    <w:rsid w:val="00E20E13"/>
    <w:rsid w:val="00E219BF"/>
    <w:rsid w:val="00E21DBC"/>
    <w:rsid w:val="00E2473F"/>
    <w:rsid w:val="00E275D7"/>
    <w:rsid w:val="00E27DBE"/>
    <w:rsid w:val="00E306F3"/>
    <w:rsid w:val="00E32AB1"/>
    <w:rsid w:val="00E3598F"/>
    <w:rsid w:val="00E36C71"/>
    <w:rsid w:val="00E37186"/>
    <w:rsid w:val="00E40404"/>
    <w:rsid w:val="00E4126A"/>
    <w:rsid w:val="00E42A06"/>
    <w:rsid w:val="00E43D17"/>
    <w:rsid w:val="00E459C6"/>
    <w:rsid w:val="00E47589"/>
    <w:rsid w:val="00E51A7A"/>
    <w:rsid w:val="00E63EC7"/>
    <w:rsid w:val="00E64915"/>
    <w:rsid w:val="00E64D3A"/>
    <w:rsid w:val="00E661D4"/>
    <w:rsid w:val="00E67565"/>
    <w:rsid w:val="00E70091"/>
    <w:rsid w:val="00E70D2E"/>
    <w:rsid w:val="00E720F5"/>
    <w:rsid w:val="00E7516A"/>
    <w:rsid w:val="00E76D47"/>
    <w:rsid w:val="00E824A7"/>
    <w:rsid w:val="00E827BC"/>
    <w:rsid w:val="00E849F7"/>
    <w:rsid w:val="00E90302"/>
    <w:rsid w:val="00E91D05"/>
    <w:rsid w:val="00E9262D"/>
    <w:rsid w:val="00E95C1E"/>
    <w:rsid w:val="00E963D1"/>
    <w:rsid w:val="00E97396"/>
    <w:rsid w:val="00EA185E"/>
    <w:rsid w:val="00EA592A"/>
    <w:rsid w:val="00EB14E4"/>
    <w:rsid w:val="00EB32A5"/>
    <w:rsid w:val="00EB34ED"/>
    <w:rsid w:val="00EB447C"/>
    <w:rsid w:val="00EB4DDE"/>
    <w:rsid w:val="00EB5B45"/>
    <w:rsid w:val="00EB6BF8"/>
    <w:rsid w:val="00EB7BE0"/>
    <w:rsid w:val="00EC315E"/>
    <w:rsid w:val="00ED077C"/>
    <w:rsid w:val="00ED0B05"/>
    <w:rsid w:val="00ED10A9"/>
    <w:rsid w:val="00ED1190"/>
    <w:rsid w:val="00ED34AC"/>
    <w:rsid w:val="00ED5072"/>
    <w:rsid w:val="00ED6544"/>
    <w:rsid w:val="00ED68F7"/>
    <w:rsid w:val="00EE0277"/>
    <w:rsid w:val="00EE2899"/>
    <w:rsid w:val="00EE3E00"/>
    <w:rsid w:val="00EE5DD2"/>
    <w:rsid w:val="00EE64ED"/>
    <w:rsid w:val="00EF36C5"/>
    <w:rsid w:val="00EF3DB4"/>
    <w:rsid w:val="00EF74A0"/>
    <w:rsid w:val="00F00A79"/>
    <w:rsid w:val="00F00D13"/>
    <w:rsid w:val="00F00E86"/>
    <w:rsid w:val="00F023DE"/>
    <w:rsid w:val="00F054DF"/>
    <w:rsid w:val="00F0561C"/>
    <w:rsid w:val="00F07C1E"/>
    <w:rsid w:val="00F10415"/>
    <w:rsid w:val="00F105DB"/>
    <w:rsid w:val="00F132BC"/>
    <w:rsid w:val="00F13D80"/>
    <w:rsid w:val="00F144F5"/>
    <w:rsid w:val="00F15B4D"/>
    <w:rsid w:val="00F16A7C"/>
    <w:rsid w:val="00F16AAA"/>
    <w:rsid w:val="00F1709C"/>
    <w:rsid w:val="00F17930"/>
    <w:rsid w:val="00F21161"/>
    <w:rsid w:val="00F218EF"/>
    <w:rsid w:val="00F21BC7"/>
    <w:rsid w:val="00F266A2"/>
    <w:rsid w:val="00F31343"/>
    <w:rsid w:val="00F32269"/>
    <w:rsid w:val="00F35B7A"/>
    <w:rsid w:val="00F40E56"/>
    <w:rsid w:val="00F425AF"/>
    <w:rsid w:val="00F51001"/>
    <w:rsid w:val="00F56A6F"/>
    <w:rsid w:val="00F5709C"/>
    <w:rsid w:val="00F60B85"/>
    <w:rsid w:val="00F64EF1"/>
    <w:rsid w:val="00F72B14"/>
    <w:rsid w:val="00F7349B"/>
    <w:rsid w:val="00F80B75"/>
    <w:rsid w:val="00F8765F"/>
    <w:rsid w:val="00F90767"/>
    <w:rsid w:val="00F912E6"/>
    <w:rsid w:val="00F91384"/>
    <w:rsid w:val="00F9263C"/>
    <w:rsid w:val="00FA1637"/>
    <w:rsid w:val="00FA685B"/>
    <w:rsid w:val="00FB0311"/>
    <w:rsid w:val="00FB0C01"/>
    <w:rsid w:val="00FB14C6"/>
    <w:rsid w:val="00FB5934"/>
    <w:rsid w:val="00FC18F2"/>
    <w:rsid w:val="00FC2A17"/>
    <w:rsid w:val="00FC38CF"/>
    <w:rsid w:val="00FC39E5"/>
    <w:rsid w:val="00FC3A78"/>
    <w:rsid w:val="00FC4D35"/>
    <w:rsid w:val="00FD1005"/>
    <w:rsid w:val="00FD1F7F"/>
    <w:rsid w:val="00FD6C75"/>
    <w:rsid w:val="00FD7972"/>
    <w:rsid w:val="00FE0401"/>
    <w:rsid w:val="00FE0917"/>
    <w:rsid w:val="00FE71B3"/>
    <w:rsid w:val="00FF42C5"/>
    <w:rsid w:val="00FF5C3A"/>
    <w:rsid w:val="00FF6DF8"/>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DB7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0A2F7D"/>
    <w:rPr>
      <w:sz w:val="24"/>
      <w:szCs w:val="24"/>
    </w:rPr>
  </w:style>
  <w:style w:type="paragraph" w:styleId="Nagwek1">
    <w:name w:val="heading 1"/>
    <w:basedOn w:val="Normalny"/>
    <w:next w:val="Normalny"/>
    <w:link w:val="Nagwek1Znak"/>
    <w:uiPriority w:val="98"/>
    <w:semiHidden/>
    <w:rsid w:val="00A2674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2674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2674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2674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2674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2674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2674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2674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2674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26746"/>
    <w:rPr>
      <w:rFonts w:ascii="Tahoma" w:hAnsi="Tahoma" w:cs="Tahoma"/>
      <w:sz w:val="16"/>
      <w:szCs w:val="16"/>
    </w:rPr>
  </w:style>
  <w:style w:type="character" w:customStyle="1" w:styleId="TekstdymkaZnak">
    <w:name w:val="Tekst dymka Znak"/>
    <w:basedOn w:val="Domylnaczcionkaakapitu"/>
    <w:link w:val="Tekstdymka"/>
    <w:uiPriority w:val="98"/>
    <w:semiHidden/>
    <w:rsid w:val="00A26746"/>
    <w:rPr>
      <w:rFonts w:ascii="Tahoma" w:hAnsi="Tahoma" w:cs="Tahoma"/>
      <w:sz w:val="16"/>
      <w:szCs w:val="16"/>
      <w:lang w:val="pl-PL"/>
    </w:rPr>
  </w:style>
  <w:style w:type="character" w:styleId="Tytuksiki">
    <w:name w:val="Book Title"/>
    <w:uiPriority w:val="98"/>
    <w:semiHidden/>
    <w:qFormat/>
    <w:rsid w:val="00A26746"/>
    <w:rPr>
      <w:i/>
      <w:iCs/>
      <w:smallCaps/>
      <w:spacing w:val="5"/>
    </w:rPr>
  </w:style>
  <w:style w:type="paragraph" w:customStyle="1" w:styleId="JuHeader">
    <w:name w:val="Ju_Header"/>
    <w:aliases w:val="_Header"/>
    <w:basedOn w:val="Nagwek"/>
    <w:uiPriority w:val="29"/>
    <w:qFormat/>
    <w:rsid w:val="00A26746"/>
    <w:pPr>
      <w:tabs>
        <w:tab w:val="clear" w:pos="4536"/>
        <w:tab w:val="clear" w:pos="9072"/>
      </w:tabs>
      <w:jc w:val="center"/>
    </w:pPr>
    <w:rPr>
      <w:sz w:val="18"/>
    </w:rPr>
  </w:style>
  <w:style w:type="paragraph" w:customStyle="1" w:styleId="NormalJustified">
    <w:name w:val="Normal_Justified"/>
    <w:basedOn w:val="Normalny"/>
    <w:semiHidden/>
    <w:rsid w:val="00A26746"/>
    <w:pPr>
      <w:jc w:val="both"/>
    </w:pPr>
  </w:style>
  <w:style w:type="character" w:styleId="Pogrubienie">
    <w:name w:val="Strong"/>
    <w:uiPriority w:val="98"/>
    <w:semiHidden/>
    <w:qFormat/>
    <w:rsid w:val="00A26746"/>
    <w:rPr>
      <w:b/>
      <w:bCs/>
    </w:rPr>
  </w:style>
  <w:style w:type="paragraph" w:styleId="Bezodstpw">
    <w:name w:val="No Spacing"/>
    <w:basedOn w:val="Normalny"/>
    <w:link w:val="BezodstpwZnak"/>
    <w:uiPriority w:val="98"/>
    <w:semiHidden/>
    <w:qFormat/>
    <w:rsid w:val="00A26746"/>
  </w:style>
  <w:style w:type="character" w:customStyle="1" w:styleId="BezodstpwZnak">
    <w:name w:val="Bez odstępów Znak"/>
    <w:basedOn w:val="Domylnaczcionkaakapitu"/>
    <w:link w:val="Bezodstpw"/>
    <w:uiPriority w:val="98"/>
    <w:rsid w:val="00A26746"/>
    <w:rPr>
      <w:sz w:val="24"/>
      <w:szCs w:val="24"/>
      <w:lang w:val="pl-PL"/>
    </w:rPr>
  </w:style>
  <w:style w:type="paragraph" w:customStyle="1" w:styleId="JuQuot">
    <w:name w:val="Ju_Quot"/>
    <w:aliases w:val="_Quote"/>
    <w:basedOn w:val="NormalJustified"/>
    <w:uiPriority w:val="20"/>
    <w:qFormat/>
    <w:rsid w:val="00A26746"/>
    <w:pPr>
      <w:spacing w:before="120" w:after="120"/>
      <w:ind w:left="425" w:firstLine="142"/>
    </w:pPr>
    <w:rPr>
      <w:sz w:val="20"/>
    </w:rPr>
  </w:style>
  <w:style w:type="paragraph" w:customStyle="1" w:styleId="DummyStyle">
    <w:name w:val="Dummy_Style"/>
    <w:aliases w:val="_Dummy"/>
    <w:basedOn w:val="Normalny"/>
    <w:semiHidden/>
    <w:qFormat/>
    <w:rsid w:val="00A26746"/>
    <w:rPr>
      <w:color w:val="00B050"/>
      <w:sz w:val="22"/>
    </w:rPr>
  </w:style>
  <w:style w:type="paragraph" w:customStyle="1" w:styleId="JuList">
    <w:name w:val="Ju_List"/>
    <w:aliases w:val="_List_1"/>
    <w:basedOn w:val="NormalJustified"/>
    <w:uiPriority w:val="23"/>
    <w:qFormat/>
    <w:rsid w:val="00A26746"/>
    <w:pPr>
      <w:numPr>
        <w:numId w:val="12"/>
      </w:numPr>
      <w:spacing w:before="280" w:after="60"/>
    </w:pPr>
  </w:style>
  <w:style w:type="paragraph" w:customStyle="1" w:styleId="JuLista">
    <w:name w:val="Ju_List_a"/>
    <w:aliases w:val="_List_2"/>
    <w:basedOn w:val="NormalJustified"/>
    <w:uiPriority w:val="23"/>
    <w:rsid w:val="00A26746"/>
    <w:pPr>
      <w:numPr>
        <w:ilvl w:val="1"/>
        <w:numId w:val="12"/>
      </w:numPr>
    </w:pPr>
  </w:style>
  <w:style w:type="paragraph" w:customStyle="1" w:styleId="JuListi">
    <w:name w:val="Ju_List_i"/>
    <w:aliases w:val="_List_3"/>
    <w:basedOn w:val="NormalJustified"/>
    <w:uiPriority w:val="23"/>
    <w:rsid w:val="00A26746"/>
    <w:pPr>
      <w:numPr>
        <w:ilvl w:val="2"/>
        <w:numId w:val="12"/>
      </w:numPr>
    </w:pPr>
  </w:style>
  <w:style w:type="paragraph" w:customStyle="1" w:styleId="JuHArticle">
    <w:name w:val="Ju_H_Article"/>
    <w:aliases w:val="_Title_Quote"/>
    <w:basedOn w:val="Normalny"/>
    <w:next w:val="JuQuot"/>
    <w:uiPriority w:val="19"/>
    <w:qFormat/>
    <w:rsid w:val="00A2674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674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674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26746"/>
    <w:pPr>
      <w:keepNext/>
      <w:keepLines/>
      <w:numPr>
        <w:numId w:val="1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26746"/>
    <w:pPr>
      <w:numPr>
        <w:numId w:val="6"/>
      </w:numPr>
    </w:pPr>
  </w:style>
  <w:style w:type="paragraph" w:customStyle="1" w:styleId="JuSigned">
    <w:name w:val="Ju_Signed"/>
    <w:aliases w:val="_Signature"/>
    <w:basedOn w:val="Normalny"/>
    <w:next w:val="JuPara"/>
    <w:uiPriority w:val="31"/>
    <w:qFormat/>
    <w:rsid w:val="00A26746"/>
    <w:pPr>
      <w:tabs>
        <w:tab w:val="center" w:pos="1418"/>
        <w:tab w:val="center" w:pos="5954"/>
      </w:tabs>
      <w:spacing w:before="720"/>
    </w:pPr>
  </w:style>
  <w:style w:type="paragraph" w:styleId="Tytu">
    <w:name w:val="Title"/>
    <w:basedOn w:val="Normalny"/>
    <w:next w:val="Normalny"/>
    <w:link w:val="TytuZnak"/>
    <w:uiPriority w:val="98"/>
    <w:semiHidden/>
    <w:qFormat/>
    <w:rsid w:val="00A2674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A26746"/>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A26746"/>
    <w:pPr>
      <w:numPr>
        <w:numId w:val="1"/>
      </w:numPr>
    </w:pPr>
  </w:style>
  <w:style w:type="numbering" w:customStyle="1" w:styleId="ECHRA1StyleNumberedList">
    <w:name w:val="ECHR_A1_Style_Numbered_List"/>
    <w:basedOn w:val="Bezlisty"/>
    <w:rsid w:val="00A26746"/>
    <w:pPr>
      <w:numPr>
        <w:numId w:val="8"/>
      </w:numPr>
    </w:pPr>
  </w:style>
  <w:style w:type="table" w:customStyle="1" w:styleId="ECHRTable2019">
    <w:name w:val="ECHR_Table_2019"/>
    <w:basedOn w:val="Standardowy"/>
    <w:uiPriority w:val="99"/>
    <w:rsid w:val="00A2674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2674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26746"/>
    <w:pPr>
      <w:keepNext/>
      <w:keepLines/>
      <w:numPr>
        <w:ilvl w:val="1"/>
        <w:numId w:val="1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26746"/>
    <w:pPr>
      <w:keepNext/>
      <w:keepLines/>
      <w:numPr>
        <w:ilvl w:val="2"/>
        <w:numId w:val="1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26746"/>
    <w:pPr>
      <w:keepNext/>
      <w:keepLines/>
      <w:numPr>
        <w:ilvl w:val="3"/>
        <w:numId w:val="11"/>
      </w:numPr>
      <w:spacing w:before="100" w:beforeAutospacing="1" w:after="120"/>
      <w:jc w:val="both"/>
    </w:pPr>
    <w:rPr>
      <w:b w:val="0"/>
      <w:color w:val="auto"/>
      <w:sz w:val="24"/>
    </w:rPr>
  </w:style>
  <w:style w:type="paragraph" w:styleId="Nagwek">
    <w:name w:val="header"/>
    <w:basedOn w:val="Normalny"/>
    <w:link w:val="NagwekZnak"/>
    <w:uiPriority w:val="98"/>
    <w:semiHidden/>
    <w:rsid w:val="00A26746"/>
    <w:pPr>
      <w:tabs>
        <w:tab w:val="center" w:pos="4536"/>
        <w:tab w:val="right" w:pos="9072"/>
      </w:tabs>
    </w:pPr>
  </w:style>
  <w:style w:type="character" w:customStyle="1" w:styleId="NagwekZnak">
    <w:name w:val="Nagłówek Znak"/>
    <w:basedOn w:val="Domylnaczcionkaakapitu"/>
    <w:link w:val="Nagwek"/>
    <w:uiPriority w:val="98"/>
    <w:semiHidden/>
    <w:rsid w:val="00A26746"/>
    <w:rPr>
      <w:sz w:val="24"/>
      <w:szCs w:val="24"/>
      <w:lang w:val="pl-PL"/>
    </w:rPr>
  </w:style>
  <w:style w:type="character" w:customStyle="1" w:styleId="Nagwek1Znak">
    <w:name w:val="Nagłówek 1 Znak"/>
    <w:basedOn w:val="Domylnaczcionkaakapitu"/>
    <w:link w:val="Nagwek1"/>
    <w:uiPriority w:val="98"/>
    <w:rsid w:val="00A26746"/>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26746"/>
    <w:pPr>
      <w:keepNext/>
      <w:keepLines/>
      <w:numPr>
        <w:ilvl w:val="4"/>
        <w:numId w:val="11"/>
      </w:numPr>
      <w:spacing w:before="100" w:beforeAutospacing="1" w:after="120"/>
      <w:jc w:val="both"/>
    </w:pPr>
    <w:rPr>
      <w:color w:val="auto"/>
      <w:sz w:val="20"/>
    </w:rPr>
  </w:style>
  <w:style w:type="paragraph" w:customStyle="1" w:styleId="JuHi">
    <w:name w:val="Ju_H_i"/>
    <w:aliases w:val="_Head_6"/>
    <w:basedOn w:val="Nagwek6"/>
    <w:next w:val="JuPara"/>
    <w:uiPriority w:val="17"/>
    <w:rsid w:val="00A26746"/>
    <w:pPr>
      <w:keepNext/>
      <w:keepLines/>
      <w:numPr>
        <w:ilvl w:val="5"/>
        <w:numId w:val="1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26746"/>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26746"/>
    <w:pPr>
      <w:keepNext/>
      <w:keepLines/>
      <w:numPr>
        <w:ilvl w:val="6"/>
        <w:numId w:val="1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26746"/>
    <w:pPr>
      <w:keepNext/>
      <w:keepLines/>
      <w:numPr>
        <w:ilvl w:val="7"/>
        <w:numId w:val="11"/>
      </w:numPr>
      <w:spacing w:before="100" w:beforeAutospacing="1" w:after="120"/>
      <w:jc w:val="both"/>
    </w:pPr>
    <w:rPr>
      <w:i/>
    </w:rPr>
  </w:style>
  <w:style w:type="character" w:customStyle="1" w:styleId="Nagwek3Znak">
    <w:name w:val="Nagłówek 3 Znak"/>
    <w:basedOn w:val="Domylnaczcionkaakapitu"/>
    <w:link w:val="Nagwek3"/>
    <w:uiPriority w:val="98"/>
    <w:semiHidden/>
    <w:rsid w:val="00A26746"/>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26746"/>
    <w:pPr>
      <w:keepNext/>
      <w:keepLines/>
      <w:spacing w:before="240" w:after="240"/>
      <w:ind w:firstLine="284"/>
    </w:pPr>
  </w:style>
  <w:style w:type="paragraph" w:customStyle="1" w:styleId="JuJudges">
    <w:name w:val="Ju_Judges"/>
    <w:aliases w:val="_Judges"/>
    <w:basedOn w:val="Normalny"/>
    <w:uiPriority w:val="32"/>
    <w:qFormat/>
    <w:rsid w:val="00A26746"/>
    <w:pPr>
      <w:tabs>
        <w:tab w:val="left" w:pos="567"/>
        <w:tab w:val="left" w:pos="1134"/>
      </w:tabs>
    </w:pPr>
  </w:style>
  <w:style w:type="character" w:customStyle="1" w:styleId="Nagwek4Znak">
    <w:name w:val="Nagłówek 4 Znak"/>
    <w:basedOn w:val="Domylnaczcionkaakapitu"/>
    <w:link w:val="Nagwek4"/>
    <w:uiPriority w:val="98"/>
    <w:semiHidden/>
    <w:rsid w:val="00A26746"/>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A26746"/>
    <w:pPr>
      <w:tabs>
        <w:tab w:val="center" w:pos="6407"/>
      </w:tabs>
      <w:spacing w:before="720"/>
      <w:jc w:val="right"/>
    </w:pPr>
  </w:style>
  <w:style w:type="character" w:customStyle="1" w:styleId="Nagwek5Znak">
    <w:name w:val="Nagłówek 5 Znak"/>
    <w:basedOn w:val="Domylnaczcionkaakapitu"/>
    <w:link w:val="Nagwek5"/>
    <w:uiPriority w:val="98"/>
    <w:semiHidden/>
    <w:rsid w:val="00A26746"/>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A2674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26746"/>
    <w:rPr>
      <w:caps w:val="0"/>
      <w:smallCaps/>
    </w:rPr>
  </w:style>
  <w:style w:type="character" w:styleId="Wyrnieniedelikatne">
    <w:name w:val="Subtle Emphasis"/>
    <w:uiPriority w:val="98"/>
    <w:semiHidden/>
    <w:qFormat/>
    <w:rsid w:val="00A26746"/>
    <w:rPr>
      <w:i/>
      <w:iCs/>
    </w:rPr>
  </w:style>
  <w:style w:type="table" w:customStyle="1" w:styleId="ECHRTable">
    <w:name w:val="ECHR_Table"/>
    <w:basedOn w:val="Standardowy"/>
    <w:rsid w:val="00A26746"/>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26746"/>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26746"/>
    <w:rPr>
      <w:b/>
      <w:bCs/>
      <w:i/>
      <w:iCs/>
      <w:spacing w:val="10"/>
      <w:bdr w:val="none" w:sz="0" w:space="0" w:color="auto"/>
      <w:shd w:val="clear" w:color="auto" w:fill="auto"/>
    </w:rPr>
  </w:style>
  <w:style w:type="paragraph" w:styleId="Stopka">
    <w:name w:val="footer"/>
    <w:basedOn w:val="Normalny"/>
    <w:link w:val="StopkaZnak"/>
    <w:uiPriority w:val="98"/>
    <w:semiHidden/>
    <w:rsid w:val="00A26746"/>
    <w:pPr>
      <w:tabs>
        <w:tab w:val="center" w:pos="3686"/>
        <w:tab w:val="right" w:pos="7371"/>
      </w:tabs>
    </w:pPr>
  </w:style>
  <w:style w:type="character" w:customStyle="1" w:styleId="StopkaZnak">
    <w:name w:val="Stopka Znak"/>
    <w:basedOn w:val="Domylnaczcionkaakapitu"/>
    <w:link w:val="Stopka"/>
    <w:uiPriority w:val="98"/>
    <w:semiHidden/>
    <w:rsid w:val="00A26746"/>
    <w:rPr>
      <w:sz w:val="24"/>
      <w:szCs w:val="24"/>
      <w:lang w:val="pl-PL"/>
    </w:rPr>
  </w:style>
  <w:style w:type="character" w:styleId="Odwoanieprzypisudolnego">
    <w:name w:val="footnote reference"/>
    <w:basedOn w:val="Domylnaczcionkaakapitu"/>
    <w:uiPriority w:val="98"/>
    <w:semiHidden/>
    <w:rsid w:val="00A26746"/>
    <w:rPr>
      <w:vertAlign w:val="superscript"/>
    </w:rPr>
  </w:style>
  <w:style w:type="paragraph" w:styleId="Tekstprzypisudolnego">
    <w:name w:val="footnote text"/>
    <w:basedOn w:val="NormalJustified"/>
    <w:link w:val="TekstprzypisudolnegoZnak"/>
    <w:uiPriority w:val="98"/>
    <w:semiHidden/>
    <w:rsid w:val="00A26746"/>
    <w:rPr>
      <w:sz w:val="20"/>
      <w:szCs w:val="20"/>
    </w:rPr>
  </w:style>
  <w:style w:type="character" w:customStyle="1" w:styleId="TekstprzypisudolnegoZnak">
    <w:name w:val="Tekst przypisu dolnego Znak"/>
    <w:basedOn w:val="Domylnaczcionkaakapitu"/>
    <w:link w:val="Tekstprzypisudolnego"/>
    <w:uiPriority w:val="98"/>
    <w:semiHidden/>
    <w:rsid w:val="00A26746"/>
    <w:rPr>
      <w:sz w:val="20"/>
      <w:szCs w:val="20"/>
      <w:lang w:val="pl-PL"/>
    </w:rPr>
  </w:style>
  <w:style w:type="character" w:customStyle="1" w:styleId="Nagwek6Znak">
    <w:name w:val="Nagłówek 6 Znak"/>
    <w:basedOn w:val="Domylnaczcionkaakapitu"/>
    <w:link w:val="Nagwek6"/>
    <w:uiPriority w:val="98"/>
    <w:semiHidden/>
    <w:rsid w:val="00A26746"/>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26746"/>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26746"/>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26746"/>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26746"/>
    <w:rPr>
      <w:color w:val="0072BC" w:themeColor="hyperlink"/>
      <w:u w:val="single"/>
    </w:rPr>
  </w:style>
  <w:style w:type="character" w:styleId="Wyrnienieintensywne">
    <w:name w:val="Intense Emphasis"/>
    <w:uiPriority w:val="98"/>
    <w:semiHidden/>
    <w:qFormat/>
    <w:rsid w:val="00A26746"/>
    <w:rPr>
      <w:b/>
      <w:bCs/>
    </w:rPr>
  </w:style>
  <w:style w:type="paragraph" w:styleId="Cytatintensywny">
    <w:name w:val="Intense Quote"/>
    <w:basedOn w:val="Normalny"/>
    <w:next w:val="Normalny"/>
    <w:link w:val="CytatintensywnyZnak"/>
    <w:uiPriority w:val="98"/>
    <w:semiHidden/>
    <w:qFormat/>
    <w:rsid w:val="00A2674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A26746"/>
    <w:rPr>
      <w:b/>
      <w:bCs/>
      <w:i/>
      <w:iCs/>
      <w:sz w:val="24"/>
      <w:szCs w:val="24"/>
      <w:lang w:val="pl-PL" w:bidi="en-US"/>
    </w:rPr>
  </w:style>
  <w:style w:type="character" w:styleId="Odwoanieintensywne">
    <w:name w:val="Intense Reference"/>
    <w:uiPriority w:val="98"/>
    <w:semiHidden/>
    <w:qFormat/>
    <w:rsid w:val="00A26746"/>
    <w:rPr>
      <w:smallCaps/>
      <w:spacing w:val="5"/>
      <w:u w:val="single"/>
    </w:rPr>
  </w:style>
  <w:style w:type="paragraph" w:styleId="Akapitzlist">
    <w:name w:val="List Paragraph"/>
    <w:basedOn w:val="Normalny"/>
    <w:uiPriority w:val="98"/>
    <w:semiHidden/>
    <w:qFormat/>
    <w:rsid w:val="00A26746"/>
    <w:pPr>
      <w:ind w:left="720"/>
      <w:contextualSpacing/>
    </w:pPr>
  </w:style>
  <w:style w:type="table" w:customStyle="1" w:styleId="LtrTableAddress">
    <w:name w:val="Ltr_Table_Address"/>
    <w:aliases w:val="ECHR_Ltr_Table_Address"/>
    <w:basedOn w:val="Standardowy"/>
    <w:uiPriority w:val="99"/>
    <w:rsid w:val="00A26746"/>
    <w:rPr>
      <w:sz w:val="24"/>
      <w:szCs w:val="24"/>
    </w:rPr>
    <w:tblPr>
      <w:tblInd w:w="5103" w:type="dxa"/>
    </w:tblPr>
  </w:style>
  <w:style w:type="paragraph" w:styleId="Cytat">
    <w:name w:val="Quote"/>
    <w:basedOn w:val="Normalny"/>
    <w:next w:val="Normalny"/>
    <w:link w:val="CytatZnak"/>
    <w:uiPriority w:val="98"/>
    <w:semiHidden/>
    <w:qFormat/>
    <w:rsid w:val="00A26746"/>
    <w:pPr>
      <w:spacing w:before="200"/>
      <w:ind w:left="360" w:right="360"/>
    </w:pPr>
    <w:rPr>
      <w:i/>
      <w:iCs/>
      <w:lang w:bidi="en-US"/>
    </w:rPr>
  </w:style>
  <w:style w:type="character" w:customStyle="1" w:styleId="CytatZnak">
    <w:name w:val="Cytat Znak"/>
    <w:basedOn w:val="Domylnaczcionkaakapitu"/>
    <w:link w:val="Cytat"/>
    <w:uiPriority w:val="98"/>
    <w:rsid w:val="00A26746"/>
    <w:rPr>
      <w:i/>
      <w:iCs/>
      <w:sz w:val="24"/>
      <w:szCs w:val="24"/>
      <w:lang w:val="pl-PL" w:bidi="en-US"/>
    </w:rPr>
  </w:style>
  <w:style w:type="character" w:styleId="Odwoaniedelikatne">
    <w:name w:val="Subtle Reference"/>
    <w:uiPriority w:val="98"/>
    <w:semiHidden/>
    <w:qFormat/>
    <w:rsid w:val="00A26746"/>
    <w:rPr>
      <w:smallCaps/>
    </w:rPr>
  </w:style>
  <w:style w:type="table" w:styleId="Tabela-Siatka">
    <w:name w:val="Table Grid"/>
    <w:basedOn w:val="Standardowy"/>
    <w:uiPriority w:val="59"/>
    <w:semiHidden/>
    <w:rsid w:val="00A2674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267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267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267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2674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267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2674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26746"/>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26746"/>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2674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2674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2674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2674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2674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2674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A26746"/>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26746"/>
    <w:pPr>
      <w:numPr>
        <w:numId w:val="3"/>
      </w:numPr>
    </w:pPr>
  </w:style>
  <w:style w:type="paragraph" w:customStyle="1" w:styleId="JuPara">
    <w:name w:val="Ju_Para"/>
    <w:aliases w:val="_Para"/>
    <w:basedOn w:val="NormalJustified"/>
    <w:link w:val="JuParaChar"/>
    <w:uiPriority w:val="4"/>
    <w:qFormat/>
    <w:rsid w:val="00A26746"/>
    <w:pPr>
      <w:ind w:firstLine="284"/>
    </w:pPr>
  </w:style>
  <w:style w:type="numbering" w:styleId="1ai">
    <w:name w:val="Outline List 1"/>
    <w:basedOn w:val="Bezlisty"/>
    <w:uiPriority w:val="99"/>
    <w:semiHidden/>
    <w:unhideWhenUsed/>
    <w:rsid w:val="00A26746"/>
    <w:pPr>
      <w:numPr>
        <w:numId w:val="4"/>
      </w:numPr>
    </w:pPr>
  </w:style>
  <w:style w:type="table" w:customStyle="1" w:styleId="ECHRTableSimpleBox">
    <w:name w:val="ECHR_Table_Simple_Box"/>
    <w:basedOn w:val="Standardowy"/>
    <w:uiPriority w:val="99"/>
    <w:rsid w:val="00A2674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2674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26746"/>
    <w:pPr>
      <w:numPr>
        <w:numId w:val="5"/>
      </w:numPr>
    </w:pPr>
  </w:style>
  <w:style w:type="table" w:customStyle="1" w:styleId="ECHRTableForInternalUse">
    <w:name w:val="ECHR_Table_For_Internal_Use"/>
    <w:basedOn w:val="Standardowy"/>
    <w:uiPriority w:val="99"/>
    <w:rsid w:val="00A2674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2674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26746"/>
  </w:style>
  <w:style w:type="paragraph" w:styleId="Tekstblokowy">
    <w:name w:val="Block Text"/>
    <w:basedOn w:val="Normalny"/>
    <w:uiPriority w:val="98"/>
    <w:semiHidden/>
    <w:rsid w:val="00A2674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2674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26746"/>
    <w:pPr>
      <w:spacing w:after="120"/>
    </w:pPr>
  </w:style>
  <w:style w:type="character" w:customStyle="1" w:styleId="TekstpodstawowyZnak">
    <w:name w:val="Tekst podstawowy Znak"/>
    <w:basedOn w:val="Domylnaczcionkaakapitu"/>
    <w:link w:val="Tekstpodstawowy"/>
    <w:uiPriority w:val="98"/>
    <w:semiHidden/>
    <w:rsid w:val="00A26746"/>
    <w:rPr>
      <w:sz w:val="24"/>
      <w:szCs w:val="24"/>
      <w:lang w:val="pl-PL"/>
    </w:rPr>
  </w:style>
  <w:style w:type="table" w:customStyle="1" w:styleId="ECHRTableOddBanded">
    <w:name w:val="ECHR_Table_Odd_Banded"/>
    <w:basedOn w:val="Standardowy"/>
    <w:uiPriority w:val="99"/>
    <w:rsid w:val="00A2674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26746"/>
    <w:pPr>
      <w:spacing w:after="120" w:line="480" w:lineRule="auto"/>
    </w:pPr>
  </w:style>
  <w:style w:type="table" w:customStyle="1" w:styleId="ECHRHeaderTableReduced">
    <w:name w:val="ECHR_Header_Table_Reduced"/>
    <w:basedOn w:val="Standardowy"/>
    <w:uiPriority w:val="99"/>
    <w:rsid w:val="00A2674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26746"/>
    <w:pPr>
      <w:ind w:firstLine="284"/>
    </w:pPr>
    <w:rPr>
      <w:b/>
    </w:rPr>
  </w:style>
  <w:style w:type="character" w:styleId="Numerstrony">
    <w:name w:val="page number"/>
    <w:uiPriority w:val="98"/>
    <w:semiHidden/>
    <w:rsid w:val="00A26746"/>
    <w:rPr>
      <w:sz w:val="18"/>
    </w:rPr>
  </w:style>
  <w:style w:type="paragraph" w:styleId="Listapunktowana">
    <w:name w:val="List Bullet"/>
    <w:basedOn w:val="Normalny"/>
    <w:uiPriority w:val="98"/>
    <w:semiHidden/>
    <w:rsid w:val="00A26746"/>
    <w:pPr>
      <w:numPr>
        <w:numId w:val="13"/>
      </w:numPr>
    </w:pPr>
  </w:style>
  <w:style w:type="paragraph" w:styleId="Listapunktowana3">
    <w:name w:val="List Bullet 3"/>
    <w:basedOn w:val="Normalny"/>
    <w:uiPriority w:val="98"/>
    <w:semiHidden/>
    <w:rsid w:val="00A26746"/>
    <w:pPr>
      <w:numPr>
        <w:numId w:val="15"/>
      </w:numPr>
      <w:contextualSpacing/>
    </w:pPr>
  </w:style>
  <w:style w:type="character" w:customStyle="1" w:styleId="Tekstpodstawowy2Znak">
    <w:name w:val="Tekst podstawowy 2 Znak"/>
    <w:basedOn w:val="Domylnaczcionkaakapitu"/>
    <w:link w:val="Tekstpodstawowy2"/>
    <w:uiPriority w:val="98"/>
    <w:semiHidden/>
    <w:rsid w:val="00A26746"/>
    <w:rPr>
      <w:sz w:val="24"/>
      <w:szCs w:val="24"/>
      <w:lang w:val="pl-PL"/>
    </w:rPr>
  </w:style>
  <w:style w:type="paragraph" w:styleId="Tekstpodstawowy3">
    <w:name w:val="Body Text 3"/>
    <w:basedOn w:val="Normalny"/>
    <w:link w:val="Tekstpodstawowy3Znak"/>
    <w:uiPriority w:val="98"/>
    <w:semiHidden/>
    <w:rsid w:val="00A26746"/>
    <w:pPr>
      <w:spacing w:after="120"/>
    </w:pPr>
    <w:rPr>
      <w:sz w:val="16"/>
      <w:szCs w:val="16"/>
    </w:rPr>
  </w:style>
  <w:style w:type="character" w:customStyle="1" w:styleId="Tekstpodstawowy3Znak">
    <w:name w:val="Tekst podstawowy 3 Znak"/>
    <w:basedOn w:val="Domylnaczcionkaakapitu"/>
    <w:link w:val="Tekstpodstawowy3"/>
    <w:uiPriority w:val="98"/>
    <w:semiHidden/>
    <w:rsid w:val="00A26746"/>
    <w:rPr>
      <w:sz w:val="16"/>
      <w:szCs w:val="16"/>
      <w:lang w:val="pl-PL"/>
    </w:rPr>
  </w:style>
  <w:style w:type="paragraph" w:styleId="Tekstpodstawowyzwciciem">
    <w:name w:val="Body Text First Indent"/>
    <w:basedOn w:val="Tekstpodstawowy"/>
    <w:link w:val="TekstpodstawowyzwciciemZnak"/>
    <w:uiPriority w:val="98"/>
    <w:semiHidden/>
    <w:rsid w:val="00A2674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26746"/>
    <w:rPr>
      <w:sz w:val="24"/>
      <w:szCs w:val="24"/>
      <w:lang w:val="pl-PL"/>
    </w:rPr>
  </w:style>
  <w:style w:type="paragraph" w:styleId="Tekstpodstawowywcity">
    <w:name w:val="Body Text Indent"/>
    <w:basedOn w:val="Normalny"/>
    <w:link w:val="TekstpodstawowywcityZnak"/>
    <w:uiPriority w:val="98"/>
    <w:semiHidden/>
    <w:rsid w:val="00A26746"/>
    <w:pPr>
      <w:spacing w:after="120"/>
      <w:ind w:left="283"/>
    </w:pPr>
  </w:style>
  <w:style w:type="character" w:customStyle="1" w:styleId="TekstpodstawowywcityZnak">
    <w:name w:val="Tekst podstawowy wcięty Znak"/>
    <w:basedOn w:val="Domylnaczcionkaakapitu"/>
    <w:link w:val="Tekstpodstawowywcity"/>
    <w:uiPriority w:val="98"/>
    <w:semiHidden/>
    <w:rsid w:val="00A26746"/>
    <w:rPr>
      <w:sz w:val="24"/>
      <w:szCs w:val="24"/>
      <w:lang w:val="pl-PL"/>
    </w:rPr>
  </w:style>
  <w:style w:type="paragraph" w:styleId="Tekstpodstawowyzwciciem2">
    <w:name w:val="Body Text First Indent 2"/>
    <w:basedOn w:val="Tekstpodstawowywcity"/>
    <w:link w:val="Tekstpodstawowyzwciciem2Znak"/>
    <w:uiPriority w:val="98"/>
    <w:semiHidden/>
    <w:rsid w:val="00A2674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26746"/>
    <w:rPr>
      <w:sz w:val="24"/>
      <w:szCs w:val="24"/>
      <w:lang w:val="pl-PL"/>
    </w:rPr>
  </w:style>
  <w:style w:type="paragraph" w:styleId="Tekstpodstawowywcity2">
    <w:name w:val="Body Text Indent 2"/>
    <w:basedOn w:val="Normalny"/>
    <w:link w:val="Tekstpodstawowywcity2Znak"/>
    <w:uiPriority w:val="98"/>
    <w:semiHidden/>
    <w:rsid w:val="00A2674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26746"/>
    <w:rPr>
      <w:sz w:val="24"/>
      <w:szCs w:val="24"/>
      <w:lang w:val="pl-PL"/>
    </w:rPr>
  </w:style>
  <w:style w:type="paragraph" w:styleId="Tekstpodstawowywcity3">
    <w:name w:val="Body Text Indent 3"/>
    <w:basedOn w:val="Normalny"/>
    <w:link w:val="Tekstpodstawowywcity3Znak"/>
    <w:uiPriority w:val="98"/>
    <w:semiHidden/>
    <w:rsid w:val="00A2674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26746"/>
    <w:rPr>
      <w:sz w:val="16"/>
      <w:szCs w:val="16"/>
      <w:lang w:val="pl-PL"/>
    </w:rPr>
  </w:style>
  <w:style w:type="paragraph" w:styleId="Legenda">
    <w:name w:val="caption"/>
    <w:basedOn w:val="Normalny"/>
    <w:next w:val="Normalny"/>
    <w:uiPriority w:val="98"/>
    <w:semiHidden/>
    <w:qFormat/>
    <w:rsid w:val="00A26746"/>
    <w:pPr>
      <w:spacing w:after="200"/>
    </w:pPr>
    <w:rPr>
      <w:b/>
      <w:bCs/>
      <w:color w:val="0072BC" w:themeColor="accent1"/>
      <w:sz w:val="18"/>
      <w:szCs w:val="18"/>
    </w:rPr>
  </w:style>
  <w:style w:type="paragraph" w:styleId="Zwrotpoegnalny">
    <w:name w:val="Closing"/>
    <w:basedOn w:val="Normalny"/>
    <w:link w:val="ZwrotpoegnalnyZnak"/>
    <w:uiPriority w:val="98"/>
    <w:semiHidden/>
    <w:rsid w:val="00A26746"/>
    <w:pPr>
      <w:ind w:left="4252"/>
    </w:pPr>
  </w:style>
  <w:style w:type="character" w:customStyle="1" w:styleId="ZwrotpoegnalnyZnak">
    <w:name w:val="Zwrot pożegnalny Znak"/>
    <w:basedOn w:val="Domylnaczcionkaakapitu"/>
    <w:link w:val="Zwrotpoegnalny"/>
    <w:uiPriority w:val="98"/>
    <w:semiHidden/>
    <w:rsid w:val="00A26746"/>
    <w:rPr>
      <w:sz w:val="24"/>
      <w:szCs w:val="24"/>
      <w:lang w:val="pl-PL"/>
    </w:rPr>
  </w:style>
  <w:style w:type="table" w:styleId="Kolorowasiatka">
    <w:name w:val="Colorful Grid"/>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2674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2674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2674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2674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2674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2674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2674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2674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2674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2674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2674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2674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2674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2674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A26746"/>
    <w:rPr>
      <w:sz w:val="20"/>
      <w:szCs w:val="20"/>
      <w:lang w:val="pl-PL"/>
    </w:rPr>
  </w:style>
  <w:style w:type="paragraph" w:styleId="Tematkomentarza">
    <w:name w:val="annotation subject"/>
    <w:basedOn w:val="Tekstkomentarza"/>
    <w:next w:val="Tekstkomentarza"/>
    <w:link w:val="TematkomentarzaZnak"/>
    <w:uiPriority w:val="98"/>
    <w:semiHidden/>
    <w:rsid w:val="00A26746"/>
    <w:rPr>
      <w:b/>
      <w:bCs/>
    </w:rPr>
  </w:style>
  <w:style w:type="character" w:customStyle="1" w:styleId="TematkomentarzaZnak">
    <w:name w:val="Temat komentarza Znak"/>
    <w:basedOn w:val="TekstkomentarzaZnak"/>
    <w:link w:val="Tematkomentarza"/>
    <w:uiPriority w:val="98"/>
    <w:semiHidden/>
    <w:rsid w:val="00A26746"/>
    <w:rPr>
      <w:b/>
      <w:bCs/>
      <w:sz w:val="20"/>
      <w:szCs w:val="20"/>
      <w:lang w:val="pl-PL"/>
    </w:rPr>
  </w:style>
  <w:style w:type="table" w:styleId="Ciemnalista">
    <w:name w:val="Dark List"/>
    <w:basedOn w:val="Standardowy"/>
    <w:uiPriority w:val="70"/>
    <w:semiHidden/>
    <w:rsid w:val="00A2674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2674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2674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2674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2674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2674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2674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26746"/>
  </w:style>
  <w:style w:type="character" w:customStyle="1" w:styleId="DataZnak">
    <w:name w:val="Data Znak"/>
    <w:basedOn w:val="Domylnaczcionkaakapitu"/>
    <w:link w:val="Data"/>
    <w:uiPriority w:val="98"/>
    <w:semiHidden/>
    <w:rsid w:val="00A26746"/>
    <w:rPr>
      <w:sz w:val="24"/>
      <w:szCs w:val="24"/>
      <w:lang w:val="pl-PL"/>
    </w:rPr>
  </w:style>
  <w:style w:type="paragraph" w:styleId="Mapadokumentu">
    <w:name w:val="Document Map"/>
    <w:basedOn w:val="Normalny"/>
    <w:link w:val="MapadokumentuZnak"/>
    <w:uiPriority w:val="98"/>
    <w:semiHidden/>
    <w:rsid w:val="00A2674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26746"/>
    <w:rPr>
      <w:rFonts w:ascii="Tahoma" w:hAnsi="Tahoma" w:cs="Tahoma"/>
      <w:sz w:val="16"/>
      <w:szCs w:val="16"/>
      <w:lang w:val="pl-PL"/>
    </w:rPr>
  </w:style>
  <w:style w:type="paragraph" w:styleId="Podpise-mail">
    <w:name w:val="E-mail Signature"/>
    <w:basedOn w:val="Normalny"/>
    <w:link w:val="Podpise-mailZnak"/>
    <w:uiPriority w:val="98"/>
    <w:semiHidden/>
    <w:rsid w:val="00A26746"/>
  </w:style>
  <w:style w:type="character" w:customStyle="1" w:styleId="Podpise-mailZnak">
    <w:name w:val="Podpis e-mail Znak"/>
    <w:basedOn w:val="Domylnaczcionkaakapitu"/>
    <w:link w:val="Podpise-mail"/>
    <w:uiPriority w:val="98"/>
    <w:semiHidden/>
    <w:rsid w:val="00A26746"/>
    <w:rPr>
      <w:sz w:val="24"/>
      <w:szCs w:val="24"/>
      <w:lang w:val="pl-PL"/>
    </w:rPr>
  </w:style>
  <w:style w:type="character" w:styleId="Odwoanieprzypisukocowego">
    <w:name w:val="endnote reference"/>
    <w:basedOn w:val="Domylnaczcionkaakapitu"/>
    <w:uiPriority w:val="98"/>
    <w:semiHidden/>
    <w:rsid w:val="00A26746"/>
    <w:rPr>
      <w:vertAlign w:val="superscript"/>
    </w:rPr>
  </w:style>
  <w:style w:type="paragraph" w:styleId="Tekstprzypisukocowego">
    <w:name w:val="endnote text"/>
    <w:basedOn w:val="Normalny"/>
    <w:link w:val="TekstprzypisukocowegoZnak"/>
    <w:uiPriority w:val="98"/>
    <w:semiHidden/>
    <w:rsid w:val="00A26746"/>
    <w:rPr>
      <w:sz w:val="20"/>
      <w:szCs w:val="20"/>
    </w:rPr>
  </w:style>
  <w:style w:type="character" w:customStyle="1" w:styleId="TekstprzypisukocowegoZnak">
    <w:name w:val="Tekst przypisu końcowego Znak"/>
    <w:basedOn w:val="Domylnaczcionkaakapitu"/>
    <w:link w:val="Tekstprzypisukocowego"/>
    <w:uiPriority w:val="98"/>
    <w:semiHidden/>
    <w:rsid w:val="00A26746"/>
    <w:rPr>
      <w:sz w:val="20"/>
      <w:szCs w:val="20"/>
      <w:lang w:val="pl-PL"/>
    </w:rPr>
  </w:style>
  <w:style w:type="paragraph" w:styleId="Adresnakopercie">
    <w:name w:val="envelope address"/>
    <w:basedOn w:val="Normalny"/>
    <w:uiPriority w:val="98"/>
    <w:semiHidden/>
    <w:rsid w:val="00A2674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2674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26746"/>
    <w:rPr>
      <w:color w:val="7030A0" w:themeColor="followedHyperlink"/>
      <w:u w:val="single"/>
    </w:rPr>
  </w:style>
  <w:style w:type="character" w:styleId="HTML-akronim">
    <w:name w:val="HTML Acronym"/>
    <w:basedOn w:val="Domylnaczcionkaakapitu"/>
    <w:uiPriority w:val="98"/>
    <w:semiHidden/>
    <w:rsid w:val="00A26746"/>
  </w:style>
  <w:style w:type="paragraph" w:styleId="HTML-adres">
    <w:name w:val="HTML Address"/>
    <w:basedOn w:val="Normalny"/>
    <w:link w:val="HTML-adresZnak"/>
    <w:uiPriority w:val="98"/>
    <w:semiHidden/>
    <w:rsid w:val="00A26746"/>
    <w:rPr>
      <w:i/>
      <w:iCs/>
    </w:rPr>
  </w:style>
  <w:style w:type="character" w:customStyle="1" w:styleId="HTML-adresZnak">
    <w:name w:val="HTML - adres Znak"/>
    <w:basedOn w:val="Domylnaczcionkaakapitu"/>
    <w:link w:val="HTML-adres"/>
    <w:uiPriority w:val="98"/>
    <w:semiHidden/>
    <w:rsid w:val="00A26746"/>
    <w:rPr>
      <w:i/>
      <w:iCs/>
      <w:sz w:val="24"/>
      <w:szCs w:val="24"/>
      <w:lang w:val="pl-PL"/>
    </w:rPr>
  </w:style>
  <w:style w:type="character" w:styleId="HTML-cytat">
    <w:name w:val="HTML Cite"/>
    <w:basedOn w:val="Domylnaczcionkaakapitu"/>
    <w:uiPriority w:val="98"/>
    <w:semiHidden/>
    <w:rsid w:val="00A26746"/>
    <w:rPr>
      <w:i/>
      <w:iCs/>
    </w:rPr>
  </w:style>
  <w:style w:type="character" w:styleId="HTML-kod">
    <w:name w:val="HTML Code"/>
    <w:basedOn w:val="Domylnaczcionkaakapitu"/>
    <w:uiPriority w:val="98"/>
    <w:semiHidden/>
    <w:rsid w:val="00A26746"/>
    <w:rPr>
      <w:rFonts w:ascii="Consolas" w:hAnsi="Consolas" w:cs="Consolas"/>
      <w:sz w:val="20"/>
      <w:szCs w:val="20"/>
    </w:rPr>
  </w:style>
  <w:style w:type="character" w:styleId="HTML-definicja">
    <w:name w:val="HTML Definition"/>
    <w:basedOn w:val="Domylnaczcionkaakapitu"/>
    <w:uiPriority w:val="98"/>
    <w:semiHidden/>
    <w:rsid w:val="00A26746"/>
    <w:rPr>
      <w:i/>
      <w:iCs/>
    </w:rPr>
  </w:style>
  <w:style w:type="character" w:styleId="HTML-klawiatura">
    <w:name w:val="HTML Keyboard"/>
    <w:basedOn w:val="Domylnaczcionkaakapitu"/>
    <w:uiPriority w:val="98"/>
    <w:semiHidden/>
    <w:rsid w:val="00A26746"/>
    <w:rPr>
      <w:rFonts w:ascii="Consolas" w:hAnsi="Consolas" w:cs="Consolas"/>
      <w:sz w:val="20"/>
      <w:szCs w:val="20"/>
    </w:rPr>
  </w:style>
  <w:style w:type="paragraph" w:styleId="HTML-wstpniesformatowany">
    <w:name w:val="HTML Preformatted"/>
    <w:basedOn w:val="Normalny"/>
    <w:link w:val="HTML-wstpniesformatowanyZnak"/>
    <w:uiPriority w:val="98"/>
    <w:semiHidden/>
    <w:rsid w:val="00A2674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26746"/>
    <w:rPr>
      <w:rFonts w:ascii="Consolas" w:hAnsi="Consolas" w:cs="Consolas"/>
      <w:sz w:val="20"/>
      <w:szCs w:val="20"/>
      <w:lang w:val="pl-PL"/>
    </w:rPr>
  </w:style>
  <w:style w:type="character" w:styleId="HTML-przykad">
    <w:name w:val="HTML Sample"/>
    <w:basedOn w:val="Domylnaczcionkaakapitu"/>
    <w:uiPriority w:val="98"/>
    <w:semiHidden/>
    <w:rsid w:val="00A26746"/>
    <w:rPr>
      <w:rFonts w:ascii="Consolas" w:hAnsi="Consolas" w:cs="Consolas"/>
      <w:sz w:val="24"/>
      <w:szCs w:val="24"/>
    </w:rPr>
  </w:style>
  <w:style w:type="character" w:styleId="HTML-staaszeroko">
    <w:name w:val="HTML Typewriter"/>
    <w:basedOn w:val="Domylnaczcionkaakapitu"/>
    <w:uiPriority w:val="98"/>
    <w:semiHidden/>
    <w:rsid w:val="00A26746"/>
    <w:rPr>
      <w:rFonts w:ascii="Consolas" w:hAnsi="Consolas" w:cs="Consolas"/>
      <w:sz w:val="20"/>
      <w:szCs w:val="20"/>
    </w:rPr>
  </w:style>
  <w:style w:type="character" w:styleId="HTML-zmienna">
    <w:name w:val="HTML Variable"/>
    <w:basedOn w:val="Domylnaczcionkaakapitu"/>
    <w:uiPriority w:val="98"/>
    <w:semiHidden/>
    <w:rsid w:val="00A26746"/>
    <w:rPr>
      <w:i/>
      <w:iCs/>
    </w:rPr>
  </w:style>
  <w:style w:type="paragraph" w:styleId="Indeks1">
    <w:name w:val="index 1"/>
    <w:basedOn w:val="Normalny"/>
    <w:next w:val="Normalny"/>
    <w:autoRedefine/>
    <w:uiPriority w:val="98"/>
    <w:semiHidden/>
    <w:rsid w:val="00A26746"/>
    <w:pPr>
      <w:ind w:left="240" w:hanging="240"/>
    </w:pPr>
  </w:style>
  <w:style w:type="paragraph" w:styleId="Indeks2">
    <w:name w:val="index 2"/>
    <w:basedOn w:val="Normalny"/>
    <w:next w:val="Normalny"/>
    <w:autoRedefine/>
    <w:uiPriority w:val="98"/>
    <w:semiHidden/>
    <w:rsid w:val="00A26746"/>
    <w:pPr>
      <w:ind w:left="480" w:hanging="240"/>
    </w:pPr>
  </w:style>
  <w:style w:type="paragraph" w:styleId="Indeks3">
    <w:name w:val="index 3"/>
    <w:basedOn w:val="Normalny"/>
    <w:next w:val="Normalny"/>
    <w:autoRedefine/>
    <w:uiPriority w:val="98"/>
    <w:semiHidden/>
    <w:rsid w:val="00A26746"/>
    <w:pPr>
      <w:ind w:left="720" w:hanging="240"/>
    </w:pPr>
  </w:style>
  <w:style w:type="paragraph" w:styleId="Indeks4">
    <w:name w:val="index 4"/>
    <w:basedOn w:val="Normalny"/>
    <w:next w:val="Normalny"/>
    <w:autoRedefine/>
    <w:uiPriority w:val="98"/>
    <w:semiHidden/>
    <w:rsid w:val="00A26746"/>
    <w:pPr>
      <w:ind w:left="960" w:hanging="240"/>
    </w:pPr>
  </w:style>
  <w:style w:type="paragraph" w:styleId="Indeks5">
    <w:name w:val="index 5"/>
    <w:basedOn w:val="Normalny"/>
    <w:next w:val="Normalny"/>
    <w:autoRedefine/>
    <w:uiPriority w:val="98"/>
    <w:semiHidden/>
    <w:rsid w:val="00A26746"/>
    <w:pPr>
      <w:ind w:left="1200" w:hanging="240"/>
    </w:pPr>
  </w:style>
  <w:style w:type="paragraph" w:styleId="Indeks6">
    <w:name w:val="index 6"/>
    <w:basedOn w:val="Normalny"/>
    <w:next w:val="Normalny"/>
    <w:autoRedefine/>
    <w:uiPriority w:val="98"/>
    <w:semiHidden/>
    <w:rsid w:val="00A26746"/>
    <w:pPr>
      <w:ind w:left="1440" w:hanging="240"/>
    </w:pPr>
  </w:style>
  <w:style w:type="paragraph" w:styleId="Indeks7">
    <w:name w:val="index 7"/>
    <w:basedOn w:val="Normalny"/>
    <w:next w:val="Normalny"/>
    <w:autoRedefine/>
    <w:uiPriority w:val="98"/>
    <w:semiHidden/>
    <w:rsid w:val="00A26746"/>
    <w:pPr>
      <w:ind w:left="1680" w:hanging="240"/>
    </w:pPr>
  </w:style>
  <w:style w:type="paragraph" w:styleId="Indeks8">
    <w:name w:val="index 8"/>
    <w:basedOn w:val="Normalny"/>
    <w:next w:val="Normalny"/>
    <w:autoRedefine/>
    <w:uiPriority w:val="98"/>
    <w:semiHidden/>
    <w:rsid w:val="00A26746"/>
    <w:pPr>
      <w:ind w:left="1920" w:hanging="240"/>
    </w:pPr>
  </w:style>
  <w:style w:type="paragraph" w:styleId="Indeks9">
    <w:name w:val="index 9"/>
    <w:basedOn w:val="Normalny"/>
    <w:next w:val="Normalny"/>
    <w:autoRedefine/>
    <w:uiPriority w:val="98"/>
    <w:semiHidden/>
    <w:rsid w:val="00A26746"/>
    <w:pPr>
      <w:ind w:left="2160" w:hanging="240"/>
    </w:pPr>
  </w:style>
  <w:style w:type="paragraph" w:styleId="Nagwekindeksu">
    <w:name w:val="index heading"/>
    <w:basedOn w:val="Normalny"/>
    <w:next w:val="Indeks1"/>
    <w:uiPriority w:val="98"/>
    <w:semiHidden/>
    <w:rsid w:val="00A26746"/>
    <w:rPr>
      <w:rFonts w:asciiTheme="majorHAnsi" w:eastAsiaTheme="majorEastAsia" w:hAnsiTheme="majorHAnsi" w:cstheme="majorBidi"/>
      <w:b/>
      <w:bCs/>
    </w:rPr>
  </w:style>
  <w:style w:type="table" w:styleId="Jasnasiatka">
    <w:name w:val="Light Grid"/>
    <w:basedOn w:val="Standardowy"/>
    <w:uiPriority w:val="62"/>
    <w:semiHidden/>
    <w:rsid w:val="00A2674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2674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2674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2674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2674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2674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2674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2674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2674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2674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2674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2674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2674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2674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2674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2674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2674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2674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2674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2674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2674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26746"/>
  </w:style>
  <w:style w:type="paragraph" w:styleId="Lista">
    <w:name w:val="List"/>
    <w:basedOn w:val="Normalny"/>
    <w:uiPriority w:val="98"/>
    <w:semiHidden/>
    <w:rsid w:val="00A26746"/>
    <w:pPr>
      <w:ind w:left="283" w:hanging="283"/>
      <w:contextualSpacing/>
    </w:pPr>
  </w:style>
  <w:style w:type="paragraph" w:styleId="Lista2">
    <w:name w:val="List 2"/>
    <w:basedOn w:val="Normalny"/>
    <w:uiPriority w:val="98"/>
    <w:semiHidden/>
    <w:rsid w:val="00A26746"/>
    <w:pPr>
      <w:ind w:left="566" w:hanging="283"/>
      <w:contextualSpacing/>
    </w:pPr>
  </w:style>
  <w:style w:type="paragraph" w:styleId="Lista3">
    <w:name w:val="List 3"/>
    <w:basedOn w:val="Normalny"/>
    <w:uiPriority w:val="98"/>
    <w:semiHidden/>
    <w:rsid w:val="00A26746"/>
    <w:pPr>
      <w:ind w:left="849" w:hanging="283"/>
      <w:contextualSpacing/>
    </w:pPr>
  </w:style>
  <w:style w:type="paragraph" w:styleId="Lista4">
    <w:name w:val="List 4"/>
    <w:basedOn w:val="Normalny"/>
    <w:uiPriority w:val="98"/>
    <w:semiHidden/>
    <w:rsid w:val="00A26746"/>
    <w:pPr>
      <w:ind w:left="1132" w:hanging="283"/>
      <w:contextualSpacing/>
    </w:pPr>
  </w:style>
  <w:style w:type="paragraph" w:styleId="Lista5">
    <w:name w:val="List 5"/>
    <w:basedOn w:val="Normalny"/>
    <w:uiPriority w:val="98"/>
    <w:semiHidden/>
    <w:rsid w:val="00A26746"/>
    <w:pPr>
      <w:ind w:left="1415" w:hanging="283"/>
      <w:contextualSpacing/>
    </w:pPr>
  </w:style>
  <w:style w:type="paragraph" w:styleId="Listapunktowana2">
    <w:name w:val="List Bullet 2"/>
    <w:basedOn w:val="Normalny"/>
    <w:uiPriority w:val="98"/>
    <w:semiHidden/>
    <w:rsid w:val="00A26746"/>
    <w:pPr>
      <w:numPr>
        <w:numId w:val="14"/>
      </w:numPr>
      <w:contextualSpacing/>
    </w:pPr>
  </w:style>
  <w:style w:type="paragraph" w:styleId="Listapunktowana4">
    <w:name w:val="List Bullet 4"/>
    <w:basedOn w:val="Normalny"/>
    <w:uiPriority w:val="98"/>
    <w:semiHidden/>
    <w:rsid w:val="00A26746"/>
    <w:pPr>
      <w:numPr>
        <w:numId w:val="16"/>
      </w:numPr>
      <w:contextualSpacing/>
    </w:pPr>
  </w:style>
  <w:style w:type="paragraph" w:styleId="Listapunktowana5">
    <w:name w:val="List Bullet 5"/>
    <w:basedOn w:val="Normalny"/>
    <w:uiPriority w:val="98"/>
    <w:semiHidden/>
    <w:rsid w:val="00A26746"/>
    <w:pPr>
      <w:numPr>
        <w:numId w:val="17"/>
      </w:numPr>
      <w:contextualSpacing/>
    </w:pPr>
  </w:style>
  <w:style w:type="paragraph" w:styleId="Lista-kontynuacja">
    <w:name w:val="List Continue"/>
    <w:basedOn w:val="Normalny"/>
    <w:uiPriority w:val="98"/>
    <w:semiHidden/>
    <w:rsid w:val="00A26746"/>
    <w:pPr>
      <w:spacing w:after="120"/>
      <w:ind w:left="283"/>
      <w:contextualSpacing/>
    </w:pPr>
  </w:style>
  <w:style w:type="paragraph" w:styleId="Lista-kontynuacja2">
    <w:name w:val="List Continue 2"/>
    <w:basedOn w:val="Normalny"/>
    <w:uiPriority w:val="98"/>
    <w:semiHidden/>
    <w:rsid w:val="00A26746"/>
    <w:pPr>
      <w:spacing w:after="120"/>
      <w:ind w:left="566"/>
      <w:contextualSpacing/>
    </w:pPr>
  </w:style>
  <w:style w:type="paragraph" w:styleId="Lista-kontynuacja3">
    <w:name w:val="List Continue 3"/>
    <w:basedOn w:val="Normalny"/>
    <w:uiPriority w:val="98"/>
    <w:semiHidden/>
    <w:rsid w:val="00A26746"/>
    <w:pPr>
      <w:spacing w:after="120"/>
      <w:ind w:left="849"/>
      <w:contextualSpacing/>
    </w:pPr>
  </w:style>
  <w:style w:type="paragraph" w:styleId="Lista-kontynuacja4">
    <w:name w:val="List Continue 4"/>
    <w:basedOn w:val="Normalny"/>
    <w:uiPriority w:val="98"/>
    <w:semiHidden/>
    <w:rsid w:val="00A26746"/>
    <w:pPr>
      <w:spacing w:after="120"/>
      <w:ind w:left="1132"/>
      <w:contextualSpacing/>
    </w:pPr>
  </w:style>
  <w:style w:type="paragraph" w:styleId="Lista-kontynuacja5">
    <w:name w:val="List Continue 5"/>
    <w:basedOn w:val="Normalny"/>
    <w:uiPriority w:val="98"/>
    <w:semiHidden/>
    <w:rsid w:val="00A26746"/>
    <w:pPr>
      <w:spacing w:after="120"/>
      <w:ind w:left="1415"/>
      <w:contextualSpacing/>
    </w:pPr>
  </w:style>
  <w:style w:type="paragraph" w:styleId="Listanumerowana">
    <w:name w:val="List Number"/>
    <w:basedOn w:val="Normalny"/>
    <w:uiPriority w:val="98"/>
    <w:semiHidden/>
    <w:rsid w:val="00A26746"/>
    <w:pPr>
      <w:numPr>
        <w:numId w:val="18"/>
      </w:numPr>
      <w:contextualSpacing/>
    </w:pPr>
  </w:style>
  <w:style w:type="paragraph" w:styleId="Listanumerowana2">
    <w:name w:val="List Number 2"/>
    <w:basedOn w:val="Normalny"/>
    <w:uiPriority w:val="98"/>
    <w:semiHidden/>
    <w:rsid w:val="00A26746"/>
    <w:pPr>
      <w:numPr>
        <w:numId w:val="19"/>
      </w:numPr>
      <w:contextualSpacing/>
    </w:pPr>
  </w:style>
  <w:style w:type="paragraph" w:styleId="Listanumerowana3">
    <w:name w:val="List Number 3"/>
    <w:basedOn w:val="Normalny"/>
    <w:uiPriority w:val="98"/>
    <w:semiHidden/>
    <w:rsid w:val="00A26746"/>
    <w:pPr>
      <w:numPr>
        <w:numId w:val="20"/>
      </w:numPr>
      <w:contextualSpacing/>
    </w:pPr>
  </w:style>
  <w:style w:type="paragraph" w:styleId="Listanumerowana4">
    <w:name w:val="List Number 4"/>
    <w:basedOn w:val="Normalny"/>
    <w:uiPriority w:val="98"/>
    <w:semiHidden/>
    <w:rsid w:val="00A26746"/>
    <w:pPr>
      <w:numPr>
        <w:numId w:val="21"/>
      </w:numPr>
      <w:contextualSpacing/>
    </w:pPr>
  </w:style>
  <w:style w:type="paragraph" w:styleId="Listanumerowana5">
    <w:name w:val="List Number 5"/>
    <w:basedOn w:val="Normalny"/>
    <w:uiPriority w:val="98"/>
    <w:semiHidden/>
    <w:rsid w:val="00A26746"/>
    <w:pPr>
      <w:numPr>
        <w:numId w:val="22"/>
      </w:numPr>
      <w:contextualSpacing/>
    </w:pPr>
  </w:style>
  <w:style w:type="paragraph" w:styleId="Tekstmakra">
    <w:name w:val="macro"/>
    <w:link w:val="TekstmakraZnak"/>
    <w:uiPriority w:val="98"/>
    <w:semiHidden/>
    <w:rsid w:val="00A2674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26746"/>
    <w:rPr>
      <w:rFonts w:ascii="Consolas" w:eastAsiaTheme="minorEastAsia" w:hAnsi="Consolas" w:cs="Consolas"/>
      <w:sz w:val="20"/>
      <w:szCs w:val="20"/>
    </w:rPr>
  </w:style>
  <w:style w:type="table" w:styleId="redniasiatka1">
    <w:name w:val="Medium Grid 1"/>
    <w:basedOn w:val="Standardowy"/>
    <w:uiPriority w:val="67"/>
    <w:semiHidden/>
    <w:rsid w:val="00A2674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2674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2674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2674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2674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2674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2674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2674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2674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2674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2674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2674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2674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2674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2674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2674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2674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2674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2674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2674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2674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2674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26746"/>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A26746"/>
    <w:rPr>
      <w:rFonts w:ascii="Times New Roman" w:hAnsi="Times New Roman" w:cs="Times New Roman"/>
    </w:rPr>
  </w:style>
  <w:style w:type="paragraph" w:styleId="Wcicienormalne">
    <w:name w:val="Normal Indent"/>
    <w:basedOn w:val="Normalny"/>
    <w:uiPriority w:val="98"/>
    <w:semiHidden/>
    <w:rsid w:val="00A26746"/>
    <w:pPr>
      <w:ind w:left="720"/>
    </w:pPr>
  </w:style>
  <w:style w:type="paragraph" w:styleId="Nagweknotatki">
    <w:name w:val="Note Heading"/>
    <w:basedOn w:val="Normalny"/>
    <w:next w:val="Normalny"/>
    <w:link w:val="NagweknotatkiZnak"/>
    <w:uiPriority w:val="98"/>
    <w:semiHidden/>
    <w:rsid w:val="00A26746"/>
  </w:style>
  <w:style w:type="character" w:customStyle="1" w:styleId="NagweknotatkiZnak">
    <w:name w:val="Nagłówek notatki Znak"/>
    <w:basedOn w:val="Domylnaczcionkaakapitu"/>
    <w:link w:val="Nagweknotatki"/>
    <w:uiPriority w:val="98"/>
    <w:semiHidden/>
    <w:rsid w:val="00A26746"/>
    <w:rPr>
      <w:sz w:val="24"/>
      <w:szCs w:val="24"/>
      <w:lang w:val="pl-PL"/>
    </w:rPr>
  </w:style>
  <w:style w:type="character" w:styleId="Tekstzastpczy">
    <w:name w:val="Placeholder Text"/>
    <w:basedOn w:val="Domylnaczcionkaakapitu"/>
    <w:uiPriority w:val="98"/>
    <w:semiHidden/>
    <w:rsid w:val="00A2674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2674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26746"/>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26746"/>
  </w:style>
  <w:style w:type="character" w:customStyle="1" w:styleId="ZwrotgrzecznociowyZnak">
    <w:name w:val="Zwrot grzecznościowy Znak"/>
    <w:basedOn w:val="Domylnaczcionkaakapitu"/>
    <w:link w:val="Zwrotgrzecznociowy"/>
    <w:uiPriority w:val="98"/>
    <w:semiHidden/>
    <w:rsid w:val="00A26746"/>
    <w:rPr>
      <w:sz w:val="24"/>
      <w:szCs w:val="24"/>
      <w:lang w:val="pl-PL"/>
    </w:rPr>
  </w:style>
  <w:style w:type="paragraph" w:styleId="Podpis">
    <w:name w:val="Signature"/>
    <w:basedOn w:val="Normalny"/>
    <w:link w:val="PodpisZnak"/>
    <w:uiPriority w:val="98"/>
    <w:semiHidden/>
    <w:rsid w:val="00A26746"/>
    <w:pPr>
      <w:ind w:left="4252"/>
    </w:pPr>
  </w:style>
  <w:style w:type="character" w:customStyle="1" w:styleId="PodpisZnak">
    <w:name w:val="Podpis Znak"/>
    <w:basedOn w:val="Domylnaczcionkaakapitu"/>
    <w:link w:val="Podpis"/>
    <w:uiPriority w:val="98"/>
    <w:semiHidden/>
    <w:rsid w:val="00A26746"/>
    <w:rPr>
      <w:sz w:val="24"/>
      <w:szCs w:val="24"/>
      <w:lang w:val="pl-PL"/>
    </w:rPr>
  </w:style>
  <w:style w:type="table" w:styleId="Tabela-Efekty3D1">
    <w:name w:val="Table 3D effects 1"/>
    <w:basedOn w:val="Standardowy"/>
    <w:uiPriority w:val="99"/>
    <w:semiHidden/>
    <w:unhideWhenUsed/>
    <w:rsid w:val="00A2674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2674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2674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2674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2674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2674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2674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2674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2674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2674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2674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2674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2674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2674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2674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2674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2674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2674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2674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2674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2674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2674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2674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2674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2674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2674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2674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2674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2674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2674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26746"/>
    <w:pPr>
      <w:ind w:left="240" w:hanging="240"/>
    </w:pPr>
  </w:style>
  <w:style w:type="paragraph" w:styleId="Spisilustracji">
    <w:name w:val="table of figures"/>
    <w:basedOn w:val="Normalny"/>
    <w:next w:val="Normalny"/>
    <w:uiPriority w:val="98"/>
    <w:semiHidden/>
    <w:rsid w:val="00A26746"/>
  </w:style>
  <w:style w:type="table" w:styleId="Tabela-Profesjonalny">
    <w:name w:val="Table Professional"/>
    <w:basedOn w:val="Standardowy"/>
    <w:uiPriority w:val="99"/>
    <w:semiHidden/>
    <w:unhideWhenUsed/>
    <w:rsid w:val="00A2674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2674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2674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2674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2674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2674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2674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2674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2674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267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267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26746"/>
    <w:pPr>
      <w:spacing w:after="100"/>
      <w:ind w:left="1680"/>
    </w:pPr>
  </w:style>
  <w:style w:type="paragraph" w:styleId="Spistreci9">
    <w:name w:val="toc 9"/>
    <w:basedOn w:val="Normalny"/>
    <w:next w:val="Normalny"/>
    <w:autoRedefine/>
    <w:uiPriority w:val="98"/>
    <w:semiHidden/>
    <w:rsid w:val="00A26746"/>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2674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674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2674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2674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6746"/>
    <w:pPr>
      <w:numPr>
        <w:numId w:val="9"/>
      </w:numPr>
      <w:spacing w:before="60" w:after="60"/>
    </w:pPr>
  </w:style>
  <w:style w:type="paragraph" w:customStyle="1" w:styleId="ECHRBullet2">
    <w:name w:val="ECHR_Bullet_2"/>
    <w:aliases w:val="_Bul_2"/>
    <w:basedOn w:val="ECHRBullet1"/>
    <w:uiPriority w:val="23"/>
    <w:semiHidden/>
    <w:rsid w:val="00A26746"/>
    <w:pPr>
      <w:numPr>
        <w:ilvl w:val="1"/>
      </w:numPr>
    </w:pPr>
  </w:style>
  <w:style w:type="paragraph" w:customStyle="1" w:styleId="ECHRBullet3">
    <w:name w:val="ECHR_Bullet_3"/>
    <w:aliases w:val="_Bul_3"/>
    <w:basedOn w:val="ECHRBullet2"/>
    <w:uiPriority w:val="23"/>
    <w:semiHidden/>
    <w:rsid w:val="00A26746"/>
    <w:pPr>
      <w:numPr>
        <w:ilvl w:val="2"/>
      </w:numPr>
    </w:pPr>
  </w:style>
  <w:style w:type="paragraph" w:customStyle="1" w:styleId="ECHRBullet4">
    <w:name w:val="ECHR_Bullet_4"/>
    <w:aliases w:val="_Bul_4"/>
    <w:basedOn w:val="ECHRBullet3"/>
    <w:uiPriority w:val="23"/>
    <w:semiHidden/>
    <w:rsid w:val="00A26746"/>
    <w:pPr>
      <w:numPr>
        <w:ilvl w:val="3"/>
      </w:numPr>
    </w:pPr>
  </w:style>
  <w:style w:type="paragraph" w:customStyle="1" w:styleId="ECHRConfidential">
    <w:name w:val="ECHR_Confidential"/>
    <w:aliases w:val="_Confidential"/>
    <w:basedOn w:val="Normalny"/>
    <w:next w:val="Normalny"/>
    <w:uiPriority w:val="42"/>
    <w:semiHidden/>
    <w:qFormat/>
    <w:rsid w:val="00A26746"/>
    <w:pPr>
      <w:jc w:val="right"/>
    </w:pPr>
    <w:rPr>
      <w:color w:val="C00000"/>
      <w:sz w:val="20"/>
    </w:rPr>
  </w:style>
  <w:style w:type="paragraph" w:customStyle="1" w:styleId="ECHRDecisionBody">
    <w:name w:val="ECHR_Decision_Body"/>
    <w:aliases w:val="_Decision_Body"/>
    <w:basedOn w:val="NormalJustified"/>
    <w:uiPriority w:val="54"/>
    <w:semiHidden/>
    <w:rsid w:val="00A2674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2674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26746"/>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A2674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26746"/>
    <w:pPr>
      <w:jc w:val="right"/>
    </w:pPr>
    <w:rPr>
      <w:sz w:val="20"/>
    </w:rPr>
  </w:style>
  <w:style w:type="paragraph" w:customStyle="1" w:styleId="ECHRHeaderRefIt">
    <w:name w:val="ECHR_Header_Ref_It"/>
    <w:aliases w:val="_Ref_Ital"/>
    <w:basedOn w:val="Normalny"/>
    <w:next w:val="ECHRHeaderDate"/>
    <w:uiPriority w:val="43"/>
    <w:qFormat/>
    <w:rsid w:val="00A26746"/>
    <w:pPr>
      <w:jc w:val="right"/>
    </w:pPr>
    <w:rPr>
      <w:i/>
      <w:sz w:val="20"/>
    </w:rPr>
  </w:style>
  <w:style w:type="paragraph" w:customStyle="1" w:styleId="ECHRHeading9">
    <w:name w:val="ECHR_Heading_9"/>
    <w:aliases w:val="_Head_9"/>
    <w:basedOn w:val="Nagwek9"/>
    <w:uiPriority w:val="17"/>
    <w:semiHidden/>
    <w:rsid w:val="00A26746"/>
    <w:pPr>
      <w:keepNext/>
      <w:keepLines/>
      <w:numPr>
        <w:ilvl w:val="8"/>
        <w:numId w:val="1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2674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26746"/>
    <w:pPr>
      <w:numPr>
        <w:numId w:val="10"/>
      </w:numPr>
      <w:spacing w:before="60" w:after="60"/>
    </w:pPr>
  </w:style>
  <w:style w:type="paragraph" w:customStyle="1" w:styleId="ECHRNumberedList2">
    <w:name w:val="ECHR_Numbered_List_2"/>
    <w:aliases w:val="_Num_2"/>
    <w:basedOn w:val="ECHRNumberedList1"/>
    <w:uiPriority w:val="23"/>
    <w:semiHidden/>
    <w:rsid w:val="00A26746"/>
    <w:pPr>
      <w:numPr>
        <w:ilvl w:val="1"/>
      </w:numPr>
    </w:pPr>
  </w:style>
  <w:style w:type="paragraph" w:customStyle="1" w:styleId="ECHRNumberedList3">
    <w:name w:val="ECHR_Numbered_List_3"/>
    <w:aliases w:val="_Num_3"/>
    <w:basedOn w:val="ECHRNumberedList2"/>
    <w:uiPriority w:val="23"/>
    <w:semiHidden/>
    <w:rsid w:val="00A26746"/>
    <w:pPr>
      <w:numPr>
        <w:ilvl w:val="2"/>
      </w:numPr>
    </w:pPr>
  </w:style>
  <w:style w:type="paragraph" w:customStyle="1" w:styleId="ECHRParaHanging">
    <w:name w:val="ECHR_Para_Hanging"/>
    <w:aliases w:val="_Hanging"/>
    <w:basedOn w:val="NormalJustified"/>
    <w:uiPriority w:val="8"/>
    <w:semiHidden/>
    <w:qFormat/>
    <w:rsid w:val="00A26746"/>
    <w:pPr>
      <w:ind w:left="567" w:hanging="567"/>
    </w:pPr>
  </w:style>
  <w:style w:type="paragraph" w:customStyle="1" w:styleId="ECHRParaIndent">
    <w:name w:val="ECHR_Para_Indent"/>
    <w:aliases w:val="_Indent"/>
    <w:basedOn w:val="NormalJustified"/>
    <w:uiPriority w:val="7"/>
    <w:semiHidden/>
    <w:qFormat/>
    <w:rsid w:val="00A26746"/>
    <w:pPr>
      <w:spacing w:before="120" w:after="120"/>
      <w:ind w:left="284"/>
    </w:pPr>
  </w:style>
  <w:style w:type="character" w:customStyle="1" w:styleId="ECHRRed">
    <w:name w:val="ECHR_Red"/>
    <w:aliases w:val="_Red"/>
    <w:basedOn w:val="Domylnaczcionkaakapitu"/>
    <w:uiPriority w:val="15"/>
    <w:semiHidden/>
    <w:qFormat/>
    <w:rsid w:val="00A26746"/>
    <w:rPr>
      <w:color w:val="C00000" w:themeColor="accent2"/>
    </w:rPr>
  </w:style>
  <w:style w:type="paragraph" w:customStyle="1" w:styleId="DecList">
    <w:name w:val="Dec_List"/>
    <w:aliases w:val="_List"/>
    <w:basedOn w:val="JuList"/>
    <w:uiPriority w:val="22"/>
    <w:rsid w:val="00A26746"/>
    <w:pPr>
      <w:numPr>
        <w:numId w:val="0"/>
      </w:numPr>
      <w:ind w:left="284"/>
    </w:pPr>
  </w:style>
  <w:style w:type="table" w:customStyle="1" w:styleId="ECHRTable2">
    <w:name w:val="ECHR_Table_2"/>
    <w:basedOn w:val="Standardowy"/>
    <w:uiPriority w:val="99"/>
    <w:rsid w:val="00A2674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2674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2674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2674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2674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2674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2674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2674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26746"/>
    <w:pPr>
      <w:outlineLvl w:val="0"/>
    </w:pPr>
  </w:style>
  <w:style w:type="paragraph" w:customStyle="1" w:styleId="ECHRTitleTOC1">
    <w:name w:val="ECHR_Title_TOC_1"/>
    <w:aliases w:val="_Title_L_TOC"/>
    <w:basedOn w:val="ECHRTitle1"/>
    <w:next w:val="Normalny"/>
    <w:uiPriority w:val="27"/>
    <w:semiHidden/>
    <w:qFormat/>
    <w:rsid w:val="00A26746"/>
    <w:pPr>
      <w:outlineLvl w:val="0"/>
    </w:pPr>
  </w:style>
  <w:style w:type="paragraph" w:customStyle="1" w:styleId="ECHRPlaceholder">
    <w:name w:val="ECHR_Placeholder"/>
    <w:aliases w:val="_Placeholder"/>
    <w:basedOn w:val="JuSigned"/>
    <w:uiPriority w:val="31"/>
    <w:rsid w:val="00A26746"/>
    <w:rPr>
      <w:color w:val="FFFFFF"/>
    </w:rPr>
  </w:style>
  <w:style w:type="paragraph" w:customStyle="1" w:styleId="ECHRSpacer">
    <w:name w:val="ECHR_Spacer"/>
    <w:aliases w:val="_Spacer"/>
    <w:basedOn w:val="Normalny"/>
    <w:uiPriority w:val="45"/>
    <w:semiHidden/>
    <w:rsid w:val="00A26746"/>
    <w:rPr>
      <w:sz w:val="4"/>
    </w:rPr>
  </w:style>
  <w:style w:type="table" w:customStyle="1" w:styleId="ECHRTableGrey">
    <w:name w:val="ECHR_Table_Grey"/>
    <w:basedOn w:val="Standardowy"/>
    <w:uiPriority w:val="99"/>
    <w:rsid w:val="00A2674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A26746"/>
    <w:rPr>
      <w:color w:val="605E5C"/>
      <w:shd w:val="clear" w:color="auto" w:fill="E1DFDD"/>
    </w:rPr>
  </w:style>
  <w:style w:type="character" w:customStyle="1" w:styleId="JuParaChar">
    <w:name w:val="Ju_Para Char"/>
    <w:aliases w:val="_Para Char"/>
    <w:link w:val="JuPara"/>
    <w:uiPriority w:val="4"/>
    <w:rsid w:val="003E162E"/>
    <w:rPr>
      <w:sz w:val="24"/>
      <w:szCs w:val="24"/>
      <w:lang w:val="pl-PL"/>
    </w:rPr>
  </w:style>
  <w:style w:type="table" w:styleId="Tabelasiatki1jasna">
    <w:name w:val="Grid Table 1 Light"/>
    <w:basedOn w:val="Standardowy"/>
    <w:uiPriority w:val="46"/>
    <w:semiHidden/>
    <w:rsid w:val="003E162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3E162E"/>
    <w:rPr>
      <w:smallCaps/>
    </w:rPr>
  </w:style>
  <w:style w:type="paragraph" w:customStyle="1" w:styleId="JuList4">
    <w:name w:val="Ju_List_4"/>
    <w:aliases w:val="N_Bul_4"/>
    <w:basedOn w:val="JuListi"/>
    <w:uiPriority w:val="19"/>
    <w:rsid w:val="003E162E"/>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3E162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E162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E162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E162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E162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E162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E162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E162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E162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E162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E162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E162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E162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E162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E162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E162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E162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E162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E162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E162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E162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E162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E162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E162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E162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E162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E162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E162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E162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E162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E162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E162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E162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E162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E162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E162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E162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E162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E162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E162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E162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E162E"/>
    <w:rPr>
      <w:color w:val="2B579A"/>
      <w:shd w:val="clear" w:color="auto" w:fill="E1DFDD"/>
    </w:rPr>
  </w:style>
  <w:style w:type="table" w:styleId="Tabelalisty1jasna">
    <w:name w:val="List Table 1 Light"/>
    <w:basedOn w:val="Standardowy"/>
    <w:uiPriority w:val="46"/>
    <w:semiHidden/>
    <w:rsid w:val="003E162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E162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E162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E162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E162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E162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E162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E162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E162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E162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E162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E162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E162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E162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E162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E162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E162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E162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E162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E162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E162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E162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E162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E162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E162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E162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E162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E162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E162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E162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E162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E162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E162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E162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E162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E162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E162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E162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E162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E162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E162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E162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E162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E162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E162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E162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E162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E162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E162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E162E"/>
    <w:rPr>
      <w:color w:val="2B579A"/>
      <w:shd w:val="clear" w:color="auto" w:fill="E1DFDD"/>
    </w:rPr>
  </w:style>
  <w:style w:type="table" w:styleId="Zwykatabela1">
    <w:name w:val="Plain Table 1"/>
    <w:basedOn w:val="Standardowy"/>
    <w:uiPriority w:val="41"/>
    <w:semiHidden/>
    <w:rsid w:val="003E162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E162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E162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E162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E162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3E162E"/>
    <w:rPr>
      <w:u w:val="dotted"/>
    </w:rPr>
  </w:style>
  <w:style w:type="character" w:customStyle="1" w:styleId="Inteligentnylink1">
    <w:name w:val="Inteligentny link1"/>
    <w:basedOn w:val="Domylnaczcionkaakapitu"/>
    <w:uiPriority w:val="99"/>
    <w:semiHidden/>
    <w:unhideWhenUsed/>
    <w:rsid w:val="003E162E"/>
    <w:rPr>
      <w:color w:val="0000FF"/>
      <w:u w:val="single"/>
      <w:shd w:val="clear" w:color="auto" w:fill="F3F2F1"/>
    </w:rPr>
  </w:style>
  <w:style w:type="table" w:styleId="Siatkatabelijasna">
    <w:name w:val="Grid Table Light"/>
    <w:basedOn w:val="Standardowy"/>
    <w:uiPriority w:val="40"/>
    <w:semiHidden/>
    <w:rsid w:val="003E162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EF274-1B5D-4FB4-B7BB-E240A955EB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BCAE05-F9A7-4D31-B842-C9FD775C9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96C9184-7A5B-471D-8B32-6C8295527D5B}">
  <ds:schemaRefs>
    <ds:schemaRef ds:uri="http://schemas.microsoft.com/sharepoint/v3/contenttype/forms"/>
  </ds:schemaRefs>
</ds:datastoreItem>
</file>

<file path=customXml/itemProps4.xml><?xml version="1.0" encoding="utf-8"?>
<ds:datastoreItem xmlns:ds="http://schemas.openxmlformats.org/officeDocument/2006/customXml" ds:itemID="{486AD5D3-3545-4883-8690-3C46FFAA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6405</Words>
  <Characters>38431</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2022-04-12T07:26:00Z</dcterms:created>
  <dcterms:modified xsi:type="dcterms:W3CDTF">2022-04-12T10:23:00Z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14743/17</vt:lpwstr>
  </property>
  <property fmtid="{D5CDD505-2E9C-101B-9397-08002B2CF9AE}" pid="4" name="CASEID">
    <vt:lpwstr>1287999</vt:lpwstr>
  </property>
  <property fmtid="{D5CDD505-2E9C-101B-9397-08002B2CF9AE}" pid="5" name="ContentTypeId">
    <vt:lpwstr>0x010100558EB02BDB9E204AB350EDD385B68E10</vt:lpwstr>
  </property>
</Properties>
</file>