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9AE36B" w14:textId="77777777" w:rsidR="00851280" w:rsidRDefault="00851280" w:rsidP="00851280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4913732F" w14:textId="77777777" w:rsidR="00851280" w:rsidRDefault="00851280" w:rsidP="00851280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0A36C0D2" w14:textId="77777777" w:rsidR="00A95940" w:rsidRPr="00851280" w:rsidRDefault="00851280" w:rsidP="00851280">
      <w:pPr>
        <w:pStyle w:val="ClinEditionNumber"/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B316D5" w:rsidRPr="00851280">
        <w:rPr>
          <w:lang w:val="pl-PL"/>
        </w:rPr>
        <w:t>242</w:t>
      </w:r>
    </w:p>
    <w:p w14:paraId="718FFD98" w14:textId="77777777" w:rsidR="00A95940" w:rsidRPr="003030DB" w:rsidRDefault="003030DB">
      <w:pPr>
        <w:pStyle w:val="ClinEditionMonth"/>
        <w:rPr>
          <w:lang w:val="de-AT"/>
        </w:rPr>
      </w:pPr>
      <w:proofErr w:type="spellStart"/>
      <w:r w:rsidRPr="003030DB">
        <w:rPr>
          <w:lang w:val="de-AT"/>
        </w:rPr>
        <w:t>Lipiec</w:t>
      </w:r>
      <w:proofErr w:type="spellEnd"/>
      <w:r w:rsidRPr="003030DB">
        <w:rPr>
          <w:lang w:val="de-AT"/>
        </w:rPr>
        <w:t xml:space="preserve"> </w:t>
      </w:r>
      <w:r w:rsidR="00B316D5" w:rsidRPr="003030DB">
        <w:rPr>
          <w:lang w:val="de-AT"/>
        </w:rPr>
        <w:t>2020</w:t>
      </w:r>
      <w:r w:rsidRPr="003030DB">
        <w:rPr>
          <w:lang w:val="de-AT"/>
        </w:rPr>
        <w:t xml:space="preserve"> r.</w:t>
      </w:r>
    </w:p>
    <w:p w14:paraId="3C00B119" w14:textId="77777777" w:rsidR="00A95940" w:rsidRPr="001D5D0F" w:rsidRDefault="003030DB">
      <w:pPr>
        <w:rPr>
          <w:lang w:val="pl-PL"/>
        </w:rPr>
      </w:pPr>
      <w:proofErr w:type="spellStart"/>
      <w:r w:rsidRPr="001D5D0F">
        <w:rPr>
          <w:rStyle w:val="ClinCaseTitle"/>
          <w:lang w:val="pl-PL"/>
        </w:rPr>
        <w:t>Mugemangango</w:t>
      </w:r>
      <w:proofErr w:type="spellEnd"/>
      <w:r w:rsidRPr="001D5D0F">
        <w:rPr>
          <w:rStyle w:val="ClinCaseTitle"/>
          <w:lang w:val="pl-PL"/>
        </w:rPr>
        <w:t xml:space="preserve"> p</w:t>
      </w:r>
      <w:r w:rsidR="00B316D5" w:rsidRPr="001D5D0F">
        <w:rPr>
          <w:rStyle w:val="ClinCaseTitle"/>
          <w:lang w:val="pl-PL"/>
        </w:rPr>
        <w:t>. Belgi</w:t>
      </w:r>
      <w:r w:rsidRPr="001D5D0F">
        <w:rPr>
          <w:rStyle w:val="ClinCaseTitle"/>
          <w:lang w:val="pl-PL"/>
        </w:rPr>
        <w:t>i</w:t>
      </w:r>
      <w:r w:rsidR="00B316D5" w:rsidRPr="001D5D0F">
        <w:rPr>
          <w:rStyle w:val="ClinCaseTitle"/>
          <w:lang w:val="pl-PL"/>
        </w:rPr>
        <w:t xml:space="preserve"> [</w:t>
      </w:r>
      <w:r w:rsidRPr="001D5D0F">
        <w:rPr>
          <w:rStyle w:val="ClinCaseTitle"/>
          <w:lang w:val="pl-PL"/>
        </w:rPr>
        <w:t>W</w:t>
      </w:r>
      <w:r w:rsidR="00773CEE">
        <w:rPr>
          <w:rStyle w:val="ClinCaseTitle"/>
          <w:lang w:val="pl-PL"/>
        </w:rPr>
        <w:t xml:space="preserve">ielka </w:t>
      </w:r>
      <w:r w:rsidRPr="001D5D0F">
        <w:rPr>
          <w:rStyle w:val="ClinCaseTitle"/>
          <w:lang w:val="pl-PL"/>
        </w:rPr>
        <w:t>I</w:t>
      </w:r>
      <w:r w:rsidR="00773CEE">
        <w:rPr>
          <w:rStyle w:val="ClinCaseTitle"/>
          <w:lang w:val="pl-PL"/>
        </w:rPr>
        <w:t>zba</w:t>
      </w:r>
      <w:r w:rsidR="00B316D5" w:rsidRPr="001D5D0F">
        <w:rPr>
          <w:rStyle w:val="ClinCaseTitle"/>
          <w:lang w:val="pl-PL"/>
        </w:rPr>
        <w:t>]</w:t>
      </w:r>
      <w:r w:rsidR="00B316D5" w:rsidRPr="001D5D0F">
        <w:rPr>
          <w:rStyle w:val="ClinApplicationNumber"/>
          <w:lang w:val="pl-PL"/>
        </w:rPr>
        <w:t xml:space="preserve"> </w:t>
      </w:r>
      <w:r w:rsidRPr="001D5D0F">
        <w:rPr>
          <w:rStyle w:val="ClinApplicationNumber"/>
          <w:lang w:val="pl-PL"/>
        </w:rPr>
        <w:t>–</w:t>
      </w:r>
      <w:r w:rsidR="00B316D5" w:rsidRPr="001D5D0F">
        <w:rPr>
          <w:rStyle w:val="ClinApplicationNumber"/>
          <w:lang w:val="pl-PL"/>
        </w:rPr>
        <w:t xml:space="preserve"> </w:t>
      </w:r>
      <w:r w:rsidRPr="001D5D0F">
        <w:rPr>
          <w:rStyle w:val="ClinApplicationNumber"/>
          <w:lang w:val="pl-PL"/>
        </w:rPr>
        <w:t xml:space="preserve">skarga nr </w:t>
      </w:r>
      <w:r w:rsidR="00B316D5" w:rsidRPr="001D5D0F">
        <w:rPr>
          <w:rStyle w:val="ClinApplicationNumber"/>
          <w:lang w:val="pl-PL"/>
        </w:rPr>
        <w:t>310/15</w:t>
      </w:r>
    </w:p>
    <w:p w14:paraId="0196CFBF" w14:textId="77777777" w:rsidR="00A95940" w:rsidRPr="003030DB" w:rsidRDefault="003030DB">
      <w:pPr>
        <w:rPr>
          <w:lang w:val="pl-PL"/>
        </w:rPr>
      </w:pPr>
      <w:r w:rsidRPr="003030DB">
        <w:rPr>
          <w:rStyle w:val="ClinHudocDocumentTitle"/>
          <w:lang w:val="pl-PL"/>
        </w:rPr>
        <w:t xml:space="preserve">Wyrok z </w:t>
      </w:r>
      <w:r w:rsidR="00B316D5" w:rsidRPr="003030DB">
        <w:rPr>
          <w:rStyle w:val="ClinHudocDocumentTitle"/>
          <w:lang w:val="pl-PL"/>
        </w:rPr>
        <w:t>10.</w:t>
      </w:r>
      <w:r w:rsidRPr="003030DB">
        <w:rPr>
          <w:rStyle w:val="ClinHudocDocumentTitle"/>
          <w:lang w:val="pl-PL"/>
        </w:rPr>
        <w:t>0</w:t>
      </w:r>
      <w:r w:rsidR="00B316D5" w:rsidRPr="003030DB">
        <w:rPr>
          <w:rStyle w:val="ClinHudocDocumentTitle"/>
          <w:lang w:val="pl-PL"/>
        </w:rPr>
        <w:t>7.2020</w:t>
      </w:r>
      <w:r w:rsidR="00B316D5" w:rsidRPr="003030DB">
        <w:rPr>
          <w:rStyle w:val="ClinSectionName"/>
          <w:lang w:val="pl-PL"/>
        </w:rPr>
        <w:t xml:space="preserve"> </w:t>
      </w:r>
      <w:r w:rsidRPr="003030DB">
        <w:rPr>
          <w:rStyle w:val="ClinSectionName"/>
          <w:lang w:val="pl-PL"/>
        </w:rPr>
        <w:t xml:space="preserve">r. </w:t>
      </w:r>
      <w:r w:rsidR="00B316D5" w:rsidRPr="003030DB">
        <w:rPr>
          <w:rStyle w:val="ClinSectionName"/>
          <w:lang w:val="pl-PL"/>
        </w:rPr>
        <w:t>[</w:t>
      </w:r>
      <w:r w:rsidRPr="003030DB">
        <w:rPr>
          <w:rStyle w:val="ClinSectionName"/>
          <w:lang w:val="pl-PL"/>
        </w:rPr>
        <w:t>W</w:t>
      </w:r>
      <w:r w:rsidR="00773CEE">
        <w:rPr>
          <w:rStyle w:val="ClinSectionName"/>
          <w:lang w:val="pl-PL"/>
        </w:rPr>
        <w:t xml:space="preserve">ielka </w:t>
      </w:r>
      <w:r w:rsidRPr="003030DB">
        <w:rPr>
          <w:rStyle w:val="ClinSectionName"/>
          <w:lang w:val="pl-PL"/>
        </w:rPr>
        <w:t>I</w:t>
      </w:r>
      <w:r w:rsidR="00773CEE">
        <w:rPr>
          <w:rStyle w:val="ClinSectionName"/>
          <w:lang w:val="pl-PL"/>
        </w:rPr>
        <w:t>zba</w:t>
      </w:r>
      <w:r w:rsidR="00B316D5" w:rsidRPr="003030DB">
        <w:rPr>
          <w:rStyle w:val="ClinSectionName"/>
          <w:lang w:val="pl-PL"/>
        </w:rPr>
        <w:t>]</w:t>
      </w:r>
    </w:p>
    <w:p w14:paraId="11AC86B1" w14:textId="77777777" w:rsidR="00A95940" w:rsidRPr="001D5D0F" w:rsidRDefault="00B316D5">
      <w:pPr>
        <w:pStyle w:val="ClinMainKeywordCode"/>
        <w:rPr>
          <w:lang w:val="pl-PL"/>
        </w:rPr>
      </w:pPr>
      <w:r w:rsidRPr="001D5D0F">
        <w:rPr>
          <w:lang w:val="pl-PL"/>
        </w:rPr>
        <w:t>Art</w:t>
      </w:r>
      <w:r w:rsidR="003030DB" w:rsidRPr="001D5D0F">
        <w:rPr>
          <w:lang w:val="pl-PL"/>
        </w:rPr>
        <w:t>.</w:t>
      </w:r>
      <w:r w:rsidRPr="001D5D0F">
        <w:rPr>
          <w:lang w:val="pl-PL"/>
        </w:rPr>
        <w:t xml:space="preserve"> 3 Proto</w:t>
      </w:r>
      <w:r w:rsidR="003030DB" w:rsidRPr="001D5D0F">
        <w:rPr>
          <w:lang w:val="pl-PL"/>
        </w:rPr>
        <w:t>kołu nr</w:t>
      </w:r>
      <w:r w:rsidRPr="001D5D0F">
        <w:rPr>
          <w:lang w:val="pl-PL"/>
        </w:rPr>
        <w:t xml:space="preserve"> 1</w:t>
      </w:r>
    </w:p>
    <w:p w14:paraId="22B7DF8A" w14:textId="77777777" w:rsidR="00F5088E" w:rsidRPr="001F3D19" w:rsidRDefault="00F5088E">
      <w:pPr>
        <w:pStyle w:val="ClinKeyword"/>
        <w:rPr>
          <w:lang w:val="pl-PL"/>
        </w:rPr>
      </w:pPr>
      <w:r w:rsidRPr="001F3D19">
        <w:rPr>
          <w:lang w:val="pl-PL"/>
        </w:rPr>
        <w:t>Startowanie w wyborach</w:t>
      </w:r>
    </w:p>
    <w:p w14:paraId="030768B2" w14:textId="77777777" w:rsidR="0094524C" w:rsidRPr="0094524C" w:rsidRDefault="0094524C" w:rsidP="00D82FBF">
      <w:pPr>
        <w:jc w:val="both"/>
        <w:rPr>
          <w:i/>
          <w:lang w:val="pl-PL"/>
        </w:rPr>
      </w:pPr>
      <w:r w:rsidRPr="0094524C">
        <w:rPr>
          <w:rStyle w:val="ClinConclusions"/>
          <w:i w:val="0"/>
          <w:lang w:val="pl-PL"/>
        </w:rPr>
        <w:t xml:space="preserve">Skarga wzywająca do ponownego </w:t>
      </w:r>
      <w:r w:rsidR="001F3D19">
        <w:rPr>
          <w:rStyle w:val="ClinConclusions"/>
          <w:i w:val="0"/>
          <w:lang w:val="pl-PL"/>
        </w:rPr>
        <w:t>policz</w:t>
      </w:r>
      <w:r w:rsidRPr="0094524C">
        <w:rPr>
          <w:rStyle w:val="ClinConclusions"/>
          <w:i w:val="0"/>
          <w:lang w:val="pl-PL"/>
        </w:rPr>
        <w:t xml:space="preserve">enia głosów </w:t>
      </w:r>
      <w:r w:rsidR="00ED2EEC">
        <w:rPr>
          <w:rStyle w:val="ClinConclusions"/>
          <w:i w:val="0"/>
          <w:lang w:val="pl-PL"/>
        </w:rPr>
        <w:t xml:space="preserve">została </w:t>
      </w:r>
      <w:r w:rsidRPr="0094524C">
        <w:rPr>
          <w:rStyle w:val="ClinConclusions"/>
          <w:i w:val="0"/>
          <w:lang w:val="pl-PL"/>
        </w:rPr>
        <w:t xml:space="preserve">zbadana </w:t>
      </w:r>
      <w:r w:rsidR="00B41B62" w:rsidRPr="0094524C">
        <w:rPr>
          <w:rStyle w:val="ClinConclusions"/>
          <w:i w:val="0"/>
          <w:lang w:val="pl-PL"/>
        </w:rPr>
        <w:t>przez organ, któremu brak było bezstronności</w:t>
      </w:r>
      <w:r w:rsidR="00B41B62">
        <w:rPr>
          <w:rStyle w:val="ClinConclusions"/>
          <w:i w:val="0"/>
          <w:lang w:val="pl-PL"/>
        </w:rPr>
        <w:t>,</w:t>
      </w:r>
      <w:r w:rsidR="00B41B62" w:rsidRPr="0094524C">
        <w:rPr>
          <w:rStyle w:val="ClinConclusions"/>
          <w:i w:val="0"/>
          <w:lang w:val="pl-PL"/>
        </w:rPr>
        <w:t xml:space="preserve"> </w:t>
      </w:r>
      <w:r w:rsidR="006E0E38" w:rsidRPr="0094524C">
        <w:rPr>
          <w:rStyle w:val="ClinConclusions"/>
          <w:i w:val="0"/>
          <w:lang w:val="pl-PL"/>
        </w:rPr>
        <w:t>w procedurze niezapewniającej odpowiednich i wystarczających gwarancji</w:t>
      </w:r>
      <w:r w:rsidR="00B41B62" w:rsidRPr="0094524C">
        <w:rPr>
          <w:rStyle w:val="ClinConclusions"/>
          <w:i w:val="0"/>
          <w:lang w:val="pl-PL"/>
        </w:rPr>
        <w:t xml:space="preserve">: </w:t>
      </w:r>
      <w:r w:rsidR="00B41B62">
        <w:rPr>
          <w:rStyle w:val="ClinConclusions"/>
          <w:lang w:val="pl-PL"/>
        </w:rPr>
        <w:t>naruszenie</w:t>
      </w:r>
    </w:p>
    <w:p w14:paraId="4E482F4B" w14:textId="77777777" w:rsidR="00A95940" w:rsidRPr="00773CEE" w:rsidRDefault="00B316D5">
      <w:pPr>
        <w:pStyle w:val="ClinMainKeywordCode"/>
        <w:rPr>
          <w:lang w:val="pl-PL"/>
        </w:rPr>
      </w:pPr>
      <w:r w:rsidRPr="00773CEE">
        <w:rPr>
          <w:lang w:val="pl-PL"/>
        </w:rPr>
        <w:t>Art</w:t>
      </w:r>
      <w:r w:rsidR="0094524C" w:rsidRPr="00773CEE">
        <w:rPr>
          <w:lang w:val="pl-PL"/>
        </w:rPr>
        <w:t>.</w:t>
      </w:r>
      <w:r w:rsidRPr="00773CEE">
        <w:rPr>
          <w:lang w:val="pl-PL"/>
        </w:rPr>
        <w:t xml:space="preserve"> 13</w:t>
      </w:r>
    </w:p>
    <w:p w14:paraId="424B4267" w14:textId="77777777" w:rsidR="0094524C" w:rsidRPr="00ED2EEC" w:rsidRDefault="0094524C">
      <w:pPr>
        <w:pStyle w:val="ClinKeyword"/>
        <w:rPr>
          <w:lang w:val="pl-PL"/>
        </w:rPr>
      </w:pPr>
      <w:r w:rsidRPr="00ED2EEC">
        <w:rPr>
          <w:lang w:val="pl-PL"/>
        </w:rPr>
        <w:t>Skuteczny środek</w:t>
      </w:r>
      <w:r w:rsidR="00ED2EEC" w:rsidRPr="00ED2EEC">
        <w:rPr>
          <w:lang w:val="pl-PL"/>
        </w:rPr>
        <w:t xml:space="preserve"> odwoławczy</w:t>
      </w:r>
    </w:p>
    <w:p w14:paraId="5C3F3CA9" w14:textId="77777777" w:rsidR="0094524C" w:rsidRPr="0094524C" w:rsidRDefault="0094524C" w:rsidP="00D82FBF">
      <w:pPr>
        <w:jc w:val="both"/>
        <w:rPr>
          <w:lang w:val="pl-PL"/>
        </w:rPr>
      </w:pPr>
      <w:r w:rsidRPr="0094524C">
        <w:rPr>
          <w:rStyle w:val="ClinConclusions"/>
          <w:i w:val="0"/>
          <w:lang w:val="pl-PL"/>
        </w:rPr>
        <w:t xml:space="preserve">Niezapewnienie skutecznego środka </w:t>
      </w:r>
      <w:r w:rsidR="00ED2EEC">
        <w:rPr>
          <w:rStyle w:val="ClinConclusions"/>
          <w:i w:val="0"/>
          <w:lang w:val="pl-PL"/>
        </w:rPr>
        <w:t xml:space="preserve">odwoławczego </w:t>
      </w:r>
      <w:r w:rsidRPr="0094524C">
        <w:rPr>
          <w:rStyle w:val="ClinConclusions"/>
          <w:i w:val="0"/>
          <w:lang w:val="pl-PL"/>
        </w:rPr>
        <w:t xml:space="preserve">umożliwiającego kwestionowanie wyników wyborów i ubieganie się o ponowne </w:t>
      </w:r>
      <w:r w:rsidR="001F3D19">
        <w:rPr>
          <w:rStyle w:val="ClinConclusions"/>
          <w:i w:val="0"/>
          <w:lang w:val="pl-PL"/>
        </w:rPr>
        <w:t>policz</w:t>
      </w:r>
      <w:r w:rsidRPr="0094524C">
        <w:rPr>
          <w:rStyle w:val="ClinConclusions"/>
          <w:i w:val="0"/>
          <w:lang w:val="pl-PL"/>
        </w:rPr>
        <w:t>enie głosów</w:t>
      </w:r>
      <w:r w:rsidRPr="0094524C">
        <w:rPr>
          <w:rStyle w:val="ClinConclusions"/>
          <w:lang w:val="pl-PL"/>
        </w:rPr>
        <w:t>: naruszenie</w:t>
      </w:r>
    </w:p>
    <w:p w14:paraId="01071809" w14:textId="5628CE44" w:rsidR="007560F1" w:rsidRPr="00F374C4" w:rsidRDefault="007560F1">
      <w:pPr>
        <w:pStyle w:val="ClinContent"/>
        <w:rPr>
          <w:lang w:val="pl-PL"/>
        </w:rPr>
      </w:pPr>
      <w:r w:rsidRPr="007560F1">
        <w:rPr>
          <w:i/>
          <w:lang w:val="pl-PL"/>
        </w:rPr>
        <w:t xml:space="preserve">Fakty – </w:t>
      </w:r>
      <w:r w:rsidRPr="007560F1">
        <w:rPr>
          <w:lang w:val="pl-PL"/>
        </w:rPr>
        <w:t xml:space="preserve">W świetle belgijskiego prawa wyborczego to zgromadzenia </w:t>
      </w:r>
      <w:r w:rsidR="00ED2EEC">
        <w:rPr>
          <w:lang w:val="pl-PL"/>
        </w:rPr>
        <w:t xml:space="preserve">ustawodawcze </w:t>
      </w:r>
      <w:r w:rsidRPr="007560F1">
        <w:rPr>
          <w:lang w:val="pl-PL"/>
        </w:rPr>
        <w:t xml:space="preserve">są </w:t>
      </w:r>
      <w:r w:rsidR="00B05F10">
        <w:rPr>
          <w:lang w:val="pl-PL"/>
        </w:rPr>
        <w:t xml:space="preserve">same </w:t>
      </w:r>
      <w:r w:rsidRPr="007560F1">
        <w:rPr>
          <w:lang w:val="pl-PL"/>
        </w:rPr>
        <w:t xml:space="preserve">właściwe do weryfikowania ewentualnych nieprawidłowości podczas wyborów, </w:t>
      </w:r>
      <w:r w:rsidR="00ED2EEC">
        <w:rPr>
          <w:lang w:val="pl-PL"/>
        </w:rPr>
        <w:t>co wyklucza</w:t>
      </w:r>
      <w:r w:rsidRPr="007560F1">
        <w:rPr>
          <w:lang w:val="pl-PL"/>
        </w:rPr>
        <w:t xml:space="preserve"> właściwość jakiegokolwiek zewnętrznego sądu lub organu. </w:t>
      </w:r>
      <w:r w:rsidR="00A36315">
        <w:rPr>
          <w:lang w:val="pl-PL"/>
        </w:rPr>
        <w:t>Skarżącemu, który w 2014 r. startował w wyborach do parlamentu regionu Walonii, zabrakło zaledwie 14 głosów do</w:t>
      </w:r>
      <w:r w:rsidR="00251D9C">
        <w:rPr>
          <w:lang w:val="pl-PL"/>
        </w:rPr>
        <w:t> </w:t>
      </w:r>
      <w:r w:rsidR="00A36315">
        <w:rPr>
          <w:lang w:val="pl-PL"/>
        </w:rPr>
        <w:t xml:space="preserve">uzyskania mandatu. </w:t>
      </w:r>
      <w:r w:rsidR="004B4508">
        <w:rPr>
          <w:lang w:val="pl-PL"/>
        </w:rPr>
        <w:t xml:space="preserve">Nie wnioskując o uznanie wyborów za nieważne i przeprowadzenie nowego głosowania, skarżący wezwał do ponownego </w:t>
      </w:r>
      <w:r w:rsidR="00ED2EEC">
        <w:rPr>
          <w:lang w:val="pl-PL"/>
        </w:rPr>
        <w:t xml:space="preserve">zbadania </w:t>
      </w:r>
      <w:r w:rsidR="004B4508">
        <w:rPr>
          <w:lang w:val="pl-PL"/>
        </w:rPr>
        <w:t xml:space="preserve">głosów, które zostały uznane za puste, </w:t>
      </w:r>
      <w:r w:rsidR="00233E8F">
        <w:rPr>
          <w:lang w:val="pl-PL"/>
        </w:rPr>
        <w:t xml:space="preserve">uszkodzone </w:t>
      </w:r>
      <w:r w:rsidR="00A82DE3">
        <w:rPr>
          <w:lang w:val="pl-PL"/>
        </w:rPr>
        <w:t xml:space="preserve">lub </w:t>
      </w:r>
      <w:r w:rsidR="00DB307A">
        <w:rPr>
          <w:lang w:val="pl-PL"/>
        </w:rPr>
        <w:t>sporne</w:t>
      </w:r>
      <w:r w:rsidR="00A82DE3">
        <w:rPr>
          <w:lang w:val="pl-PL"/>
        </w:rPr>
        <w:t xml:space="preserve"> (ponad 20 tysięcy), i do ponownego </w:t>
      </w:r>
      <w:r w:rsidR="001F3D19">
        <w:rPr>
          <w:lang w:val="pl-PL"/>
        </w:rPr>
        <w:t>policz</w:t>
      </w:r>
      <w:r w:rsidR="00A82DE3">
        <w:rPr>
          <w:lang w:val="pl-PL"/>
        </w:rPr>
        <w:t xml:space="preserve">enia głosów ważnie oddanych w jego okręgu wyborczym. Choć Komisja </w:t>
      </w:r>
      <w:r w:rsidR="0007037E">
        <w:rPr>
          <w:lang w:val="pl-PL"/>
        </w:rPr>
        <w:t xml:space="preserve">Parlamentu Walonii </w:t>
      </w:r>
      <w:r w:rsidR="00A82DE3">
        <w:rPr>
          <w:lang w:val="pl-PL"/>
        </w:rPr>
        <w:t>ds.</w:t>
      </w:r>
      <w:r w:rsidR="00251D9C">
        <w:rPr>
          <w:lang w:val="pl-PL"/>
        </w:rPr>
        <w:t> </w:t>
      </w:r>
      <w:r w:rsidR="0007037E">
        <w:rPr>
          <w:lang w:val="pl-PL"/>
        </w:rPr>
        <w:t xml:space="preserve">Badania Mandatów </w:t>
      </w:r>
      <w:r w:rsidR="008173EA">
        <w:rPr>
          <w:lang w:val="pl-PL"/>
        </w:rPr>
        <w:t>uznała skargę skarżącego za uzasadnioną i zaproponowa</w:t>
      </w:r>
      <w:r w:rsidR="00ED2EEC">
        <w:rPr>
          <w:lang w:val="pl-PL"/>
        </w:rPr>
        <w:t>ł</w:t>
      </w:r>
      <w:r w:rsidR="008173EA">
        <w:rPr>
          <w:lang w:val="pl-PL"/>
        </w:rPr>
        <w:t xml:space="preserve">a przeprowadzenie ponownego liczenia głosów, Parlament Walonii, który wówczas jeszcze się nie ukonstytuował, postanowił nie uwzględnić tego </w:t>
      </w:r>
      <w:r w:rsidR="002F2132">
        <w:rPr>
          <w:lang w:val="pl-PL"/>
        </w:rPr>
        <w:t>wniosku</w:t>
      </w:r>
      <w:r w:rsidR="008173EA">
        <w:rPr>
          <w:lang w:val="pl-PL"/>
        </w:rPr>
        <w:t xml:space="preserve"> i zatwierdził </w:t>
      </w:r>
      <w:r w:rsidR="00F374C4">
        <w:rPr>
          <w:lang w:val="pl-PL"/>
        </w:rPr>
        <w:t xml:space="preserve">mandaty </w:t>
      </w:r>
      <w:r w:rsidR="008173EA">
        <w:rPr>
          <w:lang w:val="pl-PL"/>
        </w:rPr>
        <w:t xml:space="preserve">wszystkich </w:t>
      </w:r>
      <w:r w:rsidR="00A0718A">
        <w:rPr>
          <w:lang w:val="pl-PL"/>
        </w:rPr>
        <w:t xml:space="preserve">wybranych przedstawicieli. </w:t>
      </w:r>
      <w:r w:rsidR="00A0718A" w:rsidRPr="00F374C4">
        <w:rPr>
          <w:lang w:val="pl-PL"/>
        </w:rPr>
        <w:t xml:space="preserve">Zarzuty skarżącego dotyczą procedury </w:t>
      </w:r>
      <w:r w:rsidR="002F2132" w:rsidRPr="00F374C4">
        <w:rPr>
          <w:lang w:val="pl-PL"/>
        </w:rPr>
        <w:t>z</w:t>
      </w:r>
      <w:r w:rsidR="00A0718A" w:rsidRPr="00F374C4">
        <w:rPr>
          <w:lang w:val="pl-PL"/>
        </w:rPr>
        <w:t xml:space="preserve">badania jego skargi.  </w:t>
      </w:r>
    </w:p>
    <w:p w14:paraId="0831AF52" w14:textId="77777777" w:rsidR="00A95940" w:rsidRPr="00773CEE" w:rsidRDefault="00A0718A">
      <w:pPr>
        <w:pStyle w:val="ClinContent"/>
        <w:rPr>
          <w:i/>
          <w:lang w:val="pl-PL"/>
        </w:rPr>
      </w:pPr>
      <w:r w:rsidRPr="00773CEE">
        <w:rPr>
          <w:i/>
          <w:lang w:val="pl-PL"/>
        </w:rPr>
        <w:t>Prawo</w:t>
      </w:r>
    </w:p>
    <w:p w14:paraId="751F8A0B" w14:textId="1D1A6244" w:rsidR="00D848A6" w:rsidRPr="00D848A6" w:rsidRDefault="00D848A6">
      <w:pPr>
        <w:pStyle w:val="ClinContent"/>
        <w:rPr>
          <w:lang w:val="pl-PL"/>
        </w:rPr>
      </w:pPr>
      <w:r w:rsidRPr="00D848A6">
        <w:rPr>
          <w:lang w:val="pl-PL"/>
        </w:rPr>
        <w:t>Art. 3 Protokołu nr 1:</w:t>
      </w:r>
      <w:r w:rsidR="002F2132">
        <w:rPr>
          <w:lang w:val="pl-PL"/>
        </w:rPr>
        <w:t xml:space="preserve"> </w:t>
      </w:r>
      <w:r w:rsidRPr="00D848A6">
        <w:rPr>
          <w:lang w:val="pl-PL"/>
        </w:rPr>
        <w:t>W przypadku gdy nieprawidłowości w liczeniu głosów lub</w:t>
      </w:r>
      <w:r w:rsidR="00251D9C">
        <w:rPr>
          <w:lang w:val="pl-PL"/>
        </w:rPr>
        <w:t> </w:t>
      </w:r>
      <w:r w:rsidRPr="00D848A6">
        <w:rPr>
          <w:lang w:val="pl-PL"/>
        </w:rPr>
        <w:t>w</w:t>
      </w:r>
      <w:r w:rsidR="00251D9C">
        <w:rPr>
          <w:lang w:val="pl-PL"/>
        </w:rPr>
        <w:t> </w:t>
      </w:r>
      <w:r w:rsidRPr="00D848A6">
        <w:rPr>
          <w:lang w:val="pl-PL"/>
        </w:rPr>
        <w:t xml:space="preserve">dokumentach wyborczych mogły mieć wpływ na wynik wyborów, rzetelna procedura </w:t>
      </w:r>
      <w:r w:rsidR="002F2132">
        <w:rPr>
          <w:lang w:val="pl-PL"/>
        </w:rPr>
        <w:t xml:space="preserve">ponownego </w:t>
      </w:r>
      <w:r w:rsidR="001F3D19">
        <w:rPr>
          <w:lang w:val="pl-PL"/>
        </w:rPr>
        <w:t>policz</w:t>
      </w:r>
      <w:r w:rsidRPr="00D848A6">
        <w:rPr>
          <w:lang w:val="pl-PL"/>
        </w:rPr>
        <w:t xml:space="preserve">enia głosów stanowi istotną gwarancję rzetelności i powodzenia całego procesu wyborczego. </w:t>
      </w:r>
      <w:r w:rsidR="0012741D">
        <w:rPr>
          <w:lang w:val="pl-PL"/>
        </w:rPr>
        <w:t>Koncepcja wolnych wyborów zostałaby zagrożona jedynie, jeśli istniały</w:t>
      </w:r>
      <w:r w:rsidR="004C4408">
        <w:rPr>
          <w:lang w:val="pl-PL"/>
        </w:rPr>
        <w:t>by</w:t>
      </w:r>
      <w:r w:rsidR="0012741D">
        <w:rPr>
          <w:lang w:val="pl-PL"/>
        </w:rPr>
        <w:t xml:space="preserve"> dowody naruszeń proceduralnych, które były</w:t>
      </w:r>
      <w:r w:rsidR="00255245">
        <w:rPr>
          <w:lang w:val="pl-PL"/>
        </w:rPr>
        <w:t>by</w:t>
      </w:r>
      <w:r w:rsidR="0012741D">
        <w:rPr>
          <w:lang w:val="pl-PL"/>
        </w:rPr>
        <w:t xml:space="preserve"> w stanie </w:t>
      </w:r>
      <w:r w:rsidR="00255245">
        <w:rPr>
          <w:lang w:val="pl-PL"/>
        </w:rPr>
        <w:t>udaremnić swobodę wyrażenia opinii ludności, a skargi dotyczące takich naruszeń nie zostałyby skutecznie zbadane na poziomie krajowym.</w:t>
      </w:r>
      <w:r w:rsidR="004C4408">
        <w:rPr>
          <w:lang w:val="pl-PL"/>
        </w:rPr>
        <w:t xml:space="preserve"> Trybunał musiał zatem ust</w:t>
      </w:r>
      <w:r w:rsidR="00CE2200">
        <w:rPr>
          <w:lang w:val="pl-PL"/>
        </w:rPr>
        <w:t>a</w:t>
      </w:r>
      <w:r w:rsidR="004C4408">
        <w:rPr>
          <w:lang w:val="pl-PL"/>
        </w:rPr>
        <w:t xml:space="preserve">lić, </w:t>
      </w:r>
      <w:r w:rsidR="00CE2200">
        <w:rPr>
          <w:lang w:val="pl-PL"/>
        </w:rPr>
        <w:t xml:space="preserve">po pierwsze, </w:t>
      </w:r>
      <w:r w:rsidR="004C4408">
        <w:rPr>
          <w:lang w:val="pl-PL"/>
        </w:rPr>
        <w:t xml:space="preserve">czy zarzuty skarżącego były wystarczająco poważne i </w:t>
      </w:r>
      <w:r w:rsidR="002F2132">
        <w:rPr>
          <w:lang w:val="pl-PL"/>
        </w:rPr>
        <w:t>możliwe do uzasadnienia</w:t>
      </w:r>
      <w:r w:rsidR="00CE2200">
        <w:rPr>
          <w:lang w:val="pl-PL"/>
        </w:rPr>
        <w:t xml:space="preserve"> (</w:t>
      </w:r>
      <w:proofErr w:type="spellStart"/>
      <w:r w:rsidR="00CE2200">
        <w:rPr>
          <w:i/>
          <w:lang w:val="pl-PL"/>
        </w:rPr>
        <w:t>arguable</w:t>
      </w:r>
      <w:proofErr w:type="spellEnd"/>
      <w:r w:rsidR="00CE2200" w:rsidRPr="00CE2200">
        <w:rPr>
          <w:lang w:val="pl-PL"/>
        </w:rPr>
        <w:t>)</w:t>
      </w:r>
      <w:r w:rsidR="004C4408">
        <w:rPr>
          <w:lang w:val="pl-PL"/>
        </w:rPr>
        <w:t>, a</w:t>
      </w:r>
      <w:r w:rsidR="00251D9C">
        <w:rPr>
          <w:lang w:val="pl-PL"/>
        </w:rPr>
        <w:t> </w:t>
      </w:r>
      <w:r w:rsidR="004C4408">
        <w:rPr>
          <w:lang w:val="pl-PL"/>
        </w:rPr>
        <w:t>po</w:t>
      </w:r>
      <w:r w:rsidR="00251D9C">
        <w:rPr>
          <w:lang w:val="pl-PL"/>
        </w:rPr>
        <w:t> </w:t>
      </w:r>
      <w:r w:rsidR="004C4408">
        <w:rPr>
          <w:lang w:val="pl-PL"/>
        </w:rPr>
        <w:t xml:space="preserve">drugie, czy zostały one skutecznie zbadane. </w:t>
      </w:r>
    </w:p>
    <w:p w14:paraId="55FFC89C" w14:textId="2A02EC1A" w:rsidR="00CE2200" w:rsidRPr="00B47FA0" w:rsidRDefault="00CE2200">
      <w:pPr>
        <w:pStyle w:val="ClinContent"/>
        <w:rPr>
          <w:lang w:val="pl-PL"/>
        </w:rPr>
      </w:pPr>
      <w:r w:rsidRPr="00CE2200">
        <w:rPr>
          <w:lang w:val="pl-PL"/>
        </w:rPr>
        <w:lastRenderedPageBreak/>
        <w:t>a)</w:t>
      </w:r>
      <w:r w:rsidRPr="00CE2200">
        <w:rPr>
          <w:i/>
          <w:lang w:val="pl-PL"/>
        </w:rPr>
        <w:t xml:space="preserve"> Czy zarzuty skarżącego były poważne i </w:t>
      </w:r>
      <w:r w:rsidR="002F2132">
        <w:rPr>
          <w:i/>
          <w:lang w:val="pl-PL"/>
        </w:rPr>
        <w:t>możliwe do uzasadnienia</w:t>
      </w:r>
      <w:r>
        <w:rPr>
          <w:i/>
          <w:lang w:val="pl-PL"/>
        </w:rPr>
        <w:t xml:space="preserve"> </w:t>
      </w:r>
      <w:r w:rsidR="002F2132">
        <w:rPr>
          <w:i/>
          <w:lang w:val="pl-PL"/>
        </w:rPr>
        <w:t>–</w:t>
      </w:r>
      <w:r>
        <w:rPr>
          <w:i/>
          <w:lang w:val="pl-PL"/>
        </w:rPr>
        <w:t xml:space="preserve"> </w:t>
      </w:r>
      <w:r w:rsidR="00B47FA0" w:rsidRPr="00B47FA0">
        <w:rPr>
          <w:lang w:val="pl-PL"/>
        </w:rPr>
        <w:t xml:space="preserve">Komisja ds. </w:t>
      </w:r>
      <w:r w:rsidR="0007037E" w:rsidRPr="00B47FA0">
        <w:rPr>
          <w:lang w:val="pl-PL"/>
        </w:rPr>
        <w:t xml:space="preserve">Badania </w:t>
      </w:r>
      <w:r w:rsidR="0007037E">
        <w:rPr>
          <w:lang w:val="pl-PL"/>
        </w:rPr>
        <w:t xml:space="preserve">Mandatów </w:t>
      </w:r>
      <w:r w:rsidR="00B47FA0" w:rsidRPr="00B47FA0">
        <w:rPr>
          <w:lang w:val="pl-PL"/>
        </w:rPr>
        <w:t>Parlamentu Walonii</w:t>
      </w:r>
      <w:r w:rsidR="00B47FA0">
        <w:rPr>
          <w:lang w:val="pl-PL"/>
        </w:rPr>
        <w:t xml:space="preserve"> („Komisja ds. </w:t>
      </w:r>
      <w:r w:rsidR="0007037E">
        <w:rPr>
          <w:lang w:val="pl-PL"/>
        </w:rPr>
        <w:t>mandatów</w:t>
      </w:r>
      <w:r w:rsidR="00B47FA0">
        <w:rPr>
          <w:lang w:val="pl-PL"/>
        </w:rPr>
        <w:t xml:space="preserve">”) ustaliła, że </w:t>
      </w:r>
      <w:r w:rsidR="00DB307A">
        <w:rPr>
          <w:lang w:val="pl-PL"/>
        </w:rPr>
        <w:t xml:space="preserve">w ramach kilku rozważanych scenariuszy podział mandatów w okręgu wyborczym skarżącego mógłby się zmienić, jeśli puste, </w:t>
      </w:r>
      <w:r w:rsidR="003F4DFE">
        <w:rPr>
          <w:lang w:val="pl-PL"/>
        </w:rPr>
        <w:t xml:space="preserve">uszkodzone </w:t>
      </w:r>
      <w:r w:rsidR="00DB307A">
        <w:rPr>
          <w:lang w:val="pl-PL"/>
        </w:rPr>
        <w:t xml:space="preserve">i sporne </w:t>
      </w:r>
      <w:r w:rsidR="002F2132">
        <w:rPr>
          <w:lang w:val="pl-PL"/>
        </w:rPr>
        <w:t xml:space="preserve">karty do głosowania </w:t>
      </w:r>
      <w:r w:rsidR="005943F1">
        <w:rPr>
          <w:lang w:val="pl-PL"/>
        </w:rPr>
        <w:t xml:space="preserve">zostałyby </w:t>
      </w:r>
      <w:r w:rsidR="00B05F10">
        <w:rPr>
          <w:lang w:val="pl-PL"/>
        </w:rPr>
        <w:t xml:space="preserve">ostatecznie </w:t>
      </w:r>
      <w:r w:rsidR="005943F1">
        <w:rPr>
          <w:lang w:val="pl-PL"/>
        </w:rPr>
        <w:t xml:space="preserve">policzone jako głosy ważne. Taka zmiana mogłaby również wpłynąć na podział mandatów w innych okręgach wyborczych prowincji. Zostało to potwierdzone przez Parlament Walonii w składzie plenarnym. </w:t>
      </w:r>
      <w:r w:rsidR="00173BC7">
        <w:rPr>
          <w:lang w:val="pl-PL"/>
        </w:rPr>
        <w:t xml:space="preserve">W każdym razie nie </w:t>
      </w:r>
      <w:r w:rsidR="00A04AF4">
        <w:rPr>
          <w:lang w:val="pl-PL"/>
        </w:rPr>
        <w:t>można wykluczyć, że skarżący mógł</w:t>
      </w:r>
      <w:r w:rsidR="002F2132">
        <w:rPr>
          <w:lang w:val="pl-PL"/>
        </w:rPr>
        <w:t>by</w:t>
      </w:r>
      <w:r w:rsidR="00A04AF4">
        <w:rPr>
          <w:lang w:val="pl-PL"/>
        </w:rPr>
        <w:t xml:space="preserve"> uzyskać mandat po </w:t>
      </w:r>
      <w:r w:rsidR="002F2132">
        <w:rPr>
          <w:lang w:val="pl-PL"/>
        </w:rPr>
        <w:t xml:space="preserve">ponownym </w:t>
      </w:r>
      <w:r w:rsidR="001F3D19">
        <w:rPr>
          <w:lang w:val="pl-PL"/>
        </w:rPr>
        <w:t>policz</w:t>
      </w:r>
      <w:r w:rsidR="00A04AF4">
        <w:rPr>
          <w:lang w:val="pl-PL"/>
        </w:rPr>
        <w:t xml:space="preserve">eniu głosów, o </w:t>
      </w:r>
      <w:r w:rsidR="002F2132">
        <w:rPr>
          <w:lang w:val="pl-PL"/>
        </w:rPr>
        <w:t>co</w:t>
      </w:r>
      <w:r w:rsidR="00A04AF4">
        <w:rPr>
          <w:lang w:val="pl-PL"/>
        </w:rPr>
        <w:t xml:space="preserve"> si</w:t>
      </w:r>
      <w:r w:rsidR="00034EAD">
        <w:rPr>
          <w:lang w:val="pl-PL"/>
        </w:rPr>
        <w:t>ę ubiegał. W związku z powyższym</w:t>
      </w:r>
      <w:r w:rsidR="00A04AF4">
        <w:rPr>
          <w:lang w:val="pl-PL"/>
        </w:rPr>
        <w:t xml:space="preserve"> nie można twierdzić, że zarzucane błędy nie podważyłyby wiarygodności wyników wyborów. </w:t>
      </w:r>
    </w:p>
    <w:p w14:paraId="50BFED99" w14:textId="2537A349" w:rsidR="00F930D0" w:rsidRPr="00F930D0" w:rsidRDefault="00F930D0">
      <w:pPr>
        <w:pStyle w:val="ClinContent"/>
        <w:rPr>
          <w:lang w:val="pl-PL"/>
        </w:rPr>
      </w:pPr>
      <w:r w:rsidRPr="00F930D0">
        <w:rPr>
          <w:lang w:val="pl-PL"/>
        </w:rPr>
        <w:t xml:space="preserve">Skarżący podniósł wystarczająco poważne i </w:t>
      </w:r>
      <w:r w:rsidR="00871878">
        <w:rPr>
          <w:lang w:val="pl-PL"/>
        </w:rPr>
        <w:t xml:space="preserve">możliwe do uzasadnienia </w:t>
      </w:r>
      <w:r w:rsidRPr="00F930D0">
        <w:rPr>
          <w:lang w:val="pl-PL"/>
        </w:rPr>
        <w:t xml:space="preserve">zarzuty, które </w:t>
      </w:r>
      <w:r>
        <w:rPr>
          <w:lang w:val="pl-PL"/>
        </w:rPr>
        <w:t>mogły doprowadzić do zmiany w podziale mandatów. Nie</w:t>
      </w:r>
      <w:r w:rsidR="006B0126">
        <w:rPr>
          <w:lang w:val="pl-PL"/>
        </w:rPr>
        <w:t>koniecznie</w:t>
      </w:r>
      <w:r>
        <w:rPr>
          <w:lang w:val="pl-PL"/>
        </w:rPr>
        <w:t xml:space="preserve"> oznacza to, że Parlament Walonii powinien był uwzględnić jego wniosek o ponowne </w:t>
      </w:r>
      <w:r w:rsidR="001F3D19">
        <w:rPr>
          <w:lang w:val="pl-PL"/>
        </w:rPr>
        <w:t>policz</w:t>
      </w:r>
      <w:r>
        <w:rPr>
          <w:lang w:val="pl-PL"/>
        </w:rPr>
        <w:t xml:space="preserve">enie głosów. </w:t>
      </w:r>
      <w:r w:rsidR="000A2B1A">
        <w:rPr>
          <w:lang w:val="pl-PL"/>
        </w:rPr>
        <w:t xml:space="preserve">Choć </w:t>
      </w:r>
      <w:r w:rsidR="00871878">
        <w:rPr>
          <w:lang w:val="pl-PL"/>
        </w:rPr>
        <w:t xml:space="preserve">ponowne </w:t>
      </w:r>
      <w:r w:rsidR="000A2B1A">
        <w:rPr>
          <w:lang w:val="pl-PL"/>
        </w:rPr>
        <w:t>p</w:t>
      </w:r>
      <w:r w:rsidR="00871878">
        <w:rPr>
          <w:lang w:val="pl-PL"/>
        </w:rPr>
        <w:t>o</w:t>
      </w:r>
      <w:r w:rsidR="000A2B1A">
        <w:rPr>
          <w:lang w:val="pl-PL"/>
        </w:rPr>
        <w:t xml:space="preserve">liczenie głosów stanowi istotną gwarancję rzetelności procesu wyborczego, nie jest rolą Trybunału precyzyjne określanie, jakie działania powinny były być podjęte przez władze. Zadaniem Trybunału </w:t>
      </w:r>
      <w:r w:rsidR="009C6129">
        <w:rPr>
          <w:lang w:val="pl-PL"/>
        </w:rPr>
        <w:t>jest</w:t>
      </w:r>
      <w:r w:rsidR="000A2B1A">
        <w:rPr>
          <w:lang w:val="pl-PL"/>
        </w:rPr>
        <w:t xml:space="preserve"> zweryfikowanie, czy prawo skarżącego do startowania w</w:t>
      </w:r>
      <w:r w:rsidR="00251D9C">
        <w:rPr>
          <w:lang w:val="pl-PL"/>
        </w:rPr>
        <w:t> </w:t>
      </w:r>
      <w:r w:rsidR="000A2B1A">
        <w:rPr>
          <w:lang w:val="pl-PL"/>
        </w:rPr>
        <w:t>wy</w:t>
      </w:r>
      <w:r w:rsidR="006E0E38">
        <w:rPr>
          <w:lang w:val="pl-PL"/>
        </w:rPr>
        <w:t>borach było skuteczne.</w:t>
      </w:r>
      <w:r w:rsidR="007C4BB2">
        <w:rPr>
          <w:lang w:val="pl-PL"/>
        </w:rPr>
        <w:t xml:space="preserve"> </w:t>
      </w:r>
      <w:r w:rsidR="009D68EC">
        <w:rPr>
          <w:lang w:val="pl-PL"/>
        </w:rPr>
        <w:t>Oznacza to</w:t>
      </w:r>
      <w:r w:rsidR="007C4BB2">
        <w:rPr>
          <w:lang w:val="pl-PL"/>
        </w:rPr>
        <w:t xml:space="preserve">, że jego </w:t>
      </w:r>
      <w:r w:rsidR="006E0E38">
        <w:rPr>
          <w:lang w:val="pl-PL"/>
        </w:rPr>
        <w:t>wystarczająco poważne i możliwe do</w:t>
      </w:r>
      <w:r w:rsidR="00251D9C">
        <w:rPr>
          <w:lang w:val="pl-PL"/>
        </w:rPr>
        <w:t> </w:t>
      </w:r>
      <w:r w:rsidR="006E0E38">
        <w:rPr>
          <w:lang w:val="pl-PL"/>
        </w:rPr>
        <w:t xml:space="preserve">uzasadnienia </w:t>
      </w:r>
      <w:r w:rsidR="007C4BB2">
        <w:rPr>
          <w:lang w:val="pl-PL"/>
        </w:rPr>
        <w:t>zarzuty powinny były zostać skutecznie zbadane</w:t>
      </w:r>
      <w:r w:rsidR="00871878">
        <w:rPr>
          <w:lang w:val="pl-PL"/>
        </w:rPr>
        <w:t xml:space="preserve"> zgodnie z wymogami wskazanymi</w:t>
      </w:r>
      <w:r w:rsidR="00FA2EE1">
        <w:rPr>
          <w:lang w:val="pl-PL"/>
        </w:rPr>
        <w:t xml:space="preserve"> </w:t>
      </w:r>
      <w:r w:rsidR="007C4BB2">
        <w:rPr>
          <w:lang w:val="pl-PL"/>
        </w:rPr>
        <w:t xml:space="preserve">poniżej. </w:t>
      </w:r>
    </w:p>
    <w:p w14:paraId="6E0AFA1E" w14:textId="51AE0F5B" w:rsidR="00FA2EE1" w:rsidRPr="00FA2EE1" w:rsidRDefault="00FA2EE1">
      <w:pPr>
        <w:pStyle w:val="ClinContent"/>
        <w:rPr>
          <w:lang w:val="pl-PL"/>
        </w:rPr>
      </w:pPr>
      <w:r w:rsidRPr="00FA2EE1">
        <w:rPr>
          <w:lang w:val="pl-PL"/>
        </w:rPr>
        <w:t xml:space="preserve">b) </w:t>
      </w:r>
      <w:r w:rsidRPr="00FA2EE1">
        <w:rPr>
          <w:i/>
          <w:lang w:val="pl-PL"/>
        </w:rPr>
        <w:t xml:space="preserve">Czy badanie zarzutów skarżącego było skuteczne </w:t>
      </w:r>
      <w:r>
        <w:rPr>
          <w:i/>
          <w:lang w:val="pl-PL"/>
        </w:rPr>
        <w:t>–</w:t>
      </w:r>
      <w:r w:rsidRPr="00FA2EE1">
        <w:rPr>
          <w:i/>
          <w:lang w:val="pl-PL"/>
        </w:rPr>
        <w:t xml:space="preserve"> </w:t>
      </w:r>
      <w:r>
        <w:rPr>
          <w:lang w:val="pl-PL"/>
        </w:rPr>
        <w:t>Aby proces badania odwołań w</w:t>
      </w:r>
      <w:r w:rsidR="00251D9C">
        <w:rPr>
          <w:lang w:val="pl-PL"/>
        </w:rPr>
        <w:t> </w:t>
      </w:r>
      <w:r>
        <w:rPr>
          <w:lang w:val="pl-PL"/>
        </w:rPr>
        <w:t xml:space="preserve">sprawach dotyczących praw wyborczych był skuteczny, </w:t>
      </w:r>
      <w:r w:rsidR="009D68EC">
        <w:rPr>
          <w:lang w:val="pl-PL"/>
        </w:rPr>
        <w:t>w procesie decyzyjnym dotyczącym</w:t>
      </w:r>
      <w:r>
        <w:rPr>
          <w:lang w:val="pl-PL"/>
        </w:rPr>
        <w:t xml:space="preserve"> kwestionowania wyników wyborów powinny </w:t>
      </w:r>
      <w:r w:rsidR="009D68EC">
        <w:rPr>
          <w:lang w:val="pl-PL"/>
        </w:rPr>
        <w:t xml:space="preserve">istnieć </w:t>
      </w:r>
      <w:r>
        <w:rPr>
          <w:lang w:val="pl-PL"/>
        </w:rPr>
        <w:t>odpowiednie i</w:t>
      </w:r>
      <w:r w:rsidR="00251D9C">
        <w:rPr>
          <w:lang w:val="pl-PL"/>
        </w:rPr>
        <w:t> </w:t>
      </w:r>
      <w:r>
        <w:rPr>
          <w:lang w:val="pl-PL"/>
        </w:rPr>
        <w:t>wystarczające gwarancje zapewniające</w:t>
      </w:r>
      <w:r w:rsidR="00636F59">
        <w:rPr>
          <w:lang w:val="pl-PL"/>
        </w:rPr>
        <w:t xml:space="preserve"> </w:t>
      </w:r>
      <w:r w:rsidR="002F7154">
        <w:rPr>
          <w:lang w:val="pl-PL"/>
        </w:rPr>
        <w:t>zwłaszcza</w:t>
      </w:r>
      <w:r w:rsidR="002F7154" w:rsidRPr="001D5D0F">
        <w:rPr>
          <w:lang w:val="pl-PL"/>
        </w:rPr>
        <w:t xml:space="preserve"> </w:t>
      </w:r>
      <w:r w:rsidR="00D23D2E" w:rsidRPr="001D5D0F">
        <w:rPr>
          <w:lang w:val="pl-PL"/>
        </w:rPr>
        <w:t>unikanie wszelkiej arbitralności.</w:t>
      </w:r>
      <w:r w:rsidR="00D23D2E">
        <w:rPr>
          <w:lang w:val="pl-PL"/>
        </w:rPr>
        <w:t xml:space="preserve"> </w:t>
      </w:r>
      <w:r w:rsidR="001D5D0F">
        <w:rPr>
          <w:lang w:val="pl-PL"/>
        </w:rPr>
        <w:t>Gwarancje takie służą zapewnieniu przestrzegania</w:t>
      </w:r>
      <w:r w:rsidR="00A51D68">
        <w:rPr>
          <w:lang w:val="pl-PL"/>
        </w:rPr>
        <w:t xml:space="preserve"> </w:t>
      </w:r>
      <w:r w:rsidR="00C44D4F">
        <w:rPr>
          <w:lang w:val="pl-PL"/>
        </w:rPr>
        <w:t xml:space="preserve">zasady </w:t>
      </w:r>
      <w:r w:rsidR="00A51D68">
        <w:rPr>
          <w:lang w:val="pl-PL"/>
        </w:rPr>
        <w:t>rządów prawa</w:t>
      </w:r>
      <w:r w:rsidR="001D5D0F">
        <w:rPr>
          <w:lang w:val="pl-PL"/>
        </w:rPr>
        <w:t xml:space="preserve"> podczas procesu badania sporów wyborczych, a zatem integralności wyboru</w:t>
      </w:r>
      <w:r w:rsidR="006E0E38">
        <w:rPr>
          <w:lang w:val="pl-PL"/>
        </w:rPr>
        <w:t xml:space="preserve">. W ten sposób gwarantują </w:t>
      </w:r>
      <w:r w:rsidR="001D5D0F">
        <w:rPr>
          <w:lang w:val="pl-PL"/>
        </w:rPr>
        <w:t xml:space="preserve">legitymację parlamentu i </w:t>
      </w:r>
      <w:r w:rsidR="006E0E38">
        <w:rPr>
          <w:lang w:val="pl-PL"/>
        </w:rPr>
        <w:t>możliwość jego funkcjonowania</w:t>
      </w:r>
      <w:r w:rsidR="001D5D0F">
        <w:rPr>
          <w:lang w:val="pl-PL"/>
        </w:rPr>
        <w:t xml:space="preserve"> bez </w:t>
      </w:r>
      <w:r w:rsidR="006B0126">
        <w:rPr>
          <w:lang w:val="pl-PL"/>
        </w:rPr>
        <w:t xml:space="preserve">ryzyka </w:t>
      </w:r>
      <w:r w:rsidR="001D5D0F">
        <w:rPr>
          <w:lang w:val="pl-PL"/>
        </w:rPr>
        <w:t xml:space="preserve">kwestionowania jego składu. W grę wchodzi zachowanie zaufania wyborców do parlamentu. W tym względzie gwarancje te zapewniają właściwe funkcjonowanie rzeczywiście demokratycznego ustroju politycznego i w ten sposób </w:t>
      </w:r>
      <w:r w:rsidR="00D1272B">
        <w:rPr>
          <w:lang w:val="pl-PL"/>
        </w:rPr>
        <w:t>stanowią</w:t>
      </w:r>
      <w:r w:rsidR="001D5D0F">
        <w:rPr>
          <w:lang w:val="pl-PL"/>
        </w:rPr>
        <w:t xml:space="preserve"> </w:t>
      </w:r>
      <w:r w:rsidR="002F7154">
        <w:rPr>
          <w:lang w:val="pl-PL"/>
        </w:rPr>
        <w:t xml:space="preserve">pierwszy </w:t>
      </w:r>
      <w:r w:rsidR="001D5D0F">
        <w:rPr>
          <w:lang w:val="pl-PL"/>
        </w:rPr>
        <w:t>krok d</w:t>
      </w:r>
      <w:r w:rsidR="009C6129">
        <w:rPr>
          <w:lang w:val="pl-PL"/>
        </w:rPr>
        <w:t>o</w:t>
      </w:r>
      <w:r w:rsidR="001D5D0F">
        <w:rPr>
          <w:lang w:val="pl-PL"/>
        </w:rPr>
        <w:t xml:space="preserve"> </w:t>
      </w:r>
      <w:r w:rsidR="00C44D4F">
        <w:rPr>
          <w:lang w:val="pl-PL"/>
        </w:rPr>
        <w:t xml:space="preserve">jakiejkolwiek </w:t>
      </w:r>
      <w:r w:rsidR="001D5D0F">
        <w:rPr>
          <w:lang w:val="pl-PL"/>
        </w:rPr>
        <w:t xml:space="preserve">autonomii parlamentu. </w:t>
      </w:r>
    </w:p>
    <w:p w14:paraId="362A548C" w14:textId="0C22FAAC" w:rsidR="001D5D0F" w:rsidRPr="001D5D0F" w:rsidRDefault="001D5D0F">
      <w:pPr>
        <w:pStyle w:val="ClinContent"/>
        <w:rPr>
          <w:lang w:val="pl-PL"/>
        </w:rPr>
      </w:pPr>
      <w:r w:rsidRPr="001D5D0F">
        <w:rPr>
          <w:lang w:val="pl-PL"/>
        </w:rPr>
        <w:t>Uregulowania dotyczące wewnętrznego funkcjonowania parl</w:t>
      </w:r>
      <w:r w:rsidR="00A51D68">
        <w:rPr>
          <w:lang w:val="pl-PL"/>
        </w:rPr>
        <w:t>amentu, w tym składu jego organów</w:t>
      </w:r>
      <w:r w:rsidRPr="001D5D0F">
        <w:rPr>
          <w:lang w:val="pl-PL"/>
        </w:rPr>
        <w:t xml:space="preserve">, </w:t>
      </w:r>
      <w:r>
        <w:rPr>
          <w:lang w:val="pl-PL"/>
        </w:rPr>
        <w:t xml:space="preserve">objęte są co do zasady </w:t>
      </w:r>
      <w:r w:rsidRPr="001D5D0F">
        <w:rPr>
          <w:lang w:val="pl-PL"/>
        </w:rPr>
        <w:t xml:space="preserve">– jako aspekt </w:t>
      </w:r>
      <w:r>
        <w:rPr>
          <w:lang w:val="pl-PL"/>
        </w:rPr>
        <w:t xml:space="preserve">autonomii parlamentu – marginesem oceny Układających się Państw. Niemniej jednak swoboda, z </w:t>
      </w:r>
      <w:r w:rsidR="003A1BA5">
        <w:rPr>
          <w:lang w:val="pl-PL"/>
        </w:rPr>
        <w:t>jaki</w:t>
      </w:r>
      <w:r>
        <w:rPr>
          <w:lang w:val="pl-PL"/>
        </w:rPr>
        <w:t>ej korzystają organy krajowe</w:t>
      </w:r>
      <w:r w:rsidR="00B908DB">
        <w:rPr>
          <w:lang w:val="pl-PL"/>
        </w:rPr>
        <w:t>, powinna być zgodna z koncepcjami</w:t>
      </w:r>
      <w:r>
        <w:rPr>
          <w:lang w:val="pl-PL"/>
        </w:rPr>
        <w:t xml:space="preserve"> „rzeczywiście demokratycznego ustroju politycznego” oraz „</w:t>
      </w:r>
      <w:r w:rsidR="00B908DB">
        <w:rPr>
          <w:lang w:val="pl-PL"/>
        </w:rPr>
        <w:t>rządów prawa</w:t>
      </w:r>
      <w:r>
        <w:rPr>
          <w:lang w:val="pl-PL"/>
        </w:rPr>
        <w:t>”, do których odwołuje się preambuła Konwencji.</w:t>
      </w:r>
      <w:r w:rsidR="00B908DB">
        <w:rPr>
          <w:lang w:val="pl-PL"/>
        </w:rPr>
        <w:t xml:space="preserve"> Wynika z tego, że</w:t>
      </w:r>
      <w:r w:rsidR="00251D9C">
        <w:rPr>
          <w:lang w:val="pl-PL"/>
        </w:rPr>
        <w:t> </w:t>
      </w:r>
      <w:r w:rsidR="00B908DB">
        <w:rPr>
          <w:lang w:val="pl-PL"/>
        </w:rPr>
        <w:t>autonomia parlamentu w sposób ważny może być wykonywana jedynie w zgodzie z</w:t>
      </w:r>
      <w:r w:rsidR="00613F4F">
        <w:rPr>
          <w:lang w:val="pl-PL"/>
        </w:rPr>
        <w:t> </w:t>
      </w:r>
      <w:r w:rsidR="00B908DB">
        <w:rPr>
          <w:lang w:val="pl-PL"/>
        </w:rPr>
        <w:t xml:space="preserve">zasadą rządów prawa. </w:t>
      </w:r>
    </w:p>
    <w:p w14:paraId="10FA5E3F" w14:textId="0C930FE7" w:rsidR="00B908DB" w:rsidRPr="00B908DB" w:rsidRDefault="00B908DB">
      <w:pPr>
        <w:pStyle w:val="ClinContent"/>
        <w:rPr>
          <w:lang w:val="pl-PL"/>
        </w:rPr>
      </w:pPr>
      <w:r w:rsidRPr="00B908DB">
        <w:rPr>
          <w:lang w:val="pl-PL"/>
        </w:rPr>
        <w:t>Spraw</w:t>
      </w:r>
      <w:r w:rsidR="00A51D68">
        <w:rPr>
          <w:lang w:val="pl-PL"/>
        </w:rPr>
        <w:t>a skarżącego dotyczyła sporu po</w:t>
      </w:r>
      <w:r w:rsidRPr="00B908DB">
        <w:rPr>
          <w:lang w:val="pl-PL"/>
        </w:rPr>
        <w:t>wybor</w:t>
      </w:r>
      <w:r w:rsidR="00A51D68">
        <w:rPr>
          <w:lang w:val="pl-PL"/>
        </w:rPr>
        <w:t>czego dotyczącego</w:t>
      </w:r>
      <w:r w:rsidRPr="00B908DB">
        <w:rPr>
          <w:lang w:val="pl-PL"/>
        </w:rPr>
        <w:t xml:space="preserve"> wyniku wyborów</w:t>
      </w:r>
      <w:r w:rsidR="00A51D68">
        <w:rPr>
          <w:lang w:val="pl-PL"/>
        </w:rPr>
        <w:t>, to jest zgodności z prawem i legitymacji</w:t>
      </w:r>
      <w:r>
        <w:rPr>
          <w:lang w:val="pl-PL"/>
        </w:rPr>
        <w:t xml:space="preserve"> składu nowo wybranego parlamentu. W tym względzie ninie</w:t>
      </w:r>
      <w:r w:rsidR="006E0E38">
        <w:rPr>
          <w:lang w:val="pl-PL"/>
        </w:rPr>
        <w:t>jsza sprawa różni</w:t>
      </w:r>
      <w:r w:rsidR="00C44D4F">
        <w:rPr>
          <w:lang w:val="pl-PL"/>
        </w:rPr>
        <w:t>ła</w:t>
      </w:r>
      <w:r w:rsidR="006E0E38">
        <w:rPr>
          <w:lang w:val="pl-PL"/>
        </w:rPr>
        <w:t xml:space="preserve"> się od sporów</w:t>
      </w:r>
      <w:r>
        <w:rPr>
          <w:lang w:val="pl-PL"/>
        </w:rPr>
        <w:t xml:space="preserve"> mogą</w:t>
      </w:r>
      <w:r w:rsidR="006E0E38">
        <w:rPr>
          <w:lang w:val="pl-PL"/>
        </w:rPr>
        <w:t>cych</w:t>
      </w:r>
      <w:r>
        <w:rPr>
          <w:lang w:val="pl-PL"/>
        </w:rPr>
        <w:t xml:space="preserve"> wyniknąć po ważnym wyborze kandydata,</w:t>
      </w:r>
      <w:r w:rsidR="00A51D68">
        <w:rPr>
          <w:lang w:val="pl-PL"/>
        </w:rPr>
        <w:t xml:space="preserve"> czyli</w:t>
      </w:r>
      <w:r>
        <w:rPr>
          <w:lang w:val="pl-PL"/>
        </w:rPr>
        <w:t xml:space="preserve"> </w:t>
      </w:r>
      <w:r w:rsidR="003A1BA5">
        <w:rPr>
          <w:lang w:val="pl-PL"/>
        </w:rPr>
        <w:t>dotyczących</w:t>
      </w:r>
      <w:r>
        <w:rPr>
          <w:lang w:val="pl-PL"/>
        </w:rPr>
        <w:t xml:space="preserve"> pełnoprawnego członka parlamentu w czasie, gdy skład władzy ustawodawczej został zatwierdzony zgodnie z procedurą obowiązującą w danym systemie krajowym. W czasie, gdy </w:t>
      </w:r>
      <w:r w:rsidR="00CA7012">
        <w:rPr>
          <w:lang w:val="pl-PL"/>
        </w:rPr>
        <w:t>były badane</w:t>
      </w:r>
      <w:r>
        <w:rPr>
          <w:lang w:val="pl-PL"/>
        </w:rPr>
        <w:t xml:space="preserve"> zarzuty skarżącego i wydawa</w:t>
      </w:r>
      <w:r w:rsidR="00CA7012">
        <w:rPr>
          <w:lang w:val="pl-PL"/>
        </w:rPr>
        <w:t>ne były</w:t>
      </w:r>
      <w:r>
        <w:rPr>
          <w:lang w:val="pl-PL"/>
        </w:rPr>
        <w:t xml:space="preserve"> decyzje</w:t>
      </w:r>
      <w:r w:rsidR="00CA7012">
        <w:rPr>
          <w:lang w:val="pl-PL"/>
        </w:rPr>
        <w:t xml:space="preserve"> przez Komisję ds. Mandatów oraz Parlament Walonii </w:t>
      </w:r>
      <w:r w:rsidR="002F7154">
        <w:rPr>
          <w:lang w:val="pl-PL"/>
        </w:rPr>
        <w:t xml:space="preserve">działający </w:t>
      </w:r>
      <w:r w:rsidR="00CA7012">
        <w:rPr>
          <w:lang w:val="pl-PL"/>
        </w:rPr>
        <w:t>w pełnym składzie</w:t>
      </w:r>
      <w:r>
        <w:rPr>
          <w:lang w:val="pl-PL"/>
        </w:rPr>
        <w:t>, oba te organy składały się z członków parlamentu wybranych w wyborach, których ważność była kwestionowana przez skarżącego. Ponadto w czasie, gdy Parlament Walonii postanowił odrzucić</w:t>
      </w:r>
      <w:r w:rsidR="00CA7012">
        <w:rPr>
          <w:lang w:val="pl-PL"/>
        </w:rPr>
        <w:t xml:space="preserve"> jego</w:t>
      </w:r>
      <w:r>
        <w:rPr>
          <w:lang w:val="pl-PL"/>
        </w:rPr>
        <w:t xml:space="preserve"> skargę</w:t>
      </w:r>
      <w:r w:rsidR="00075A54">
        <w:rPr>
          <w:lang w:val="pl-PL"/>
        </w:rPr>
        <w:t>,</w:t>
      </w:r>
      <w:r>
        <w:rPr>
          <w:lang w:val="pl-PL"/>
        </w:rPr>
        <w:t xml:space="preserve"> </w:t>
      </w:r>
      <w:r w:rsidR="00F374C4">
        <w:rPr>
          <w:lang w:val="pl-PL"/>
        </w:rPr>
        <w:t>mandaty</w:t>
      </w:r>
      <w:r>
        <w:rPr>
          <w:lang w:val="pl-PL"/>
        </w:rPr>
        <w:t xml:space="preserve"> jego członków nie zostały jeszcze zatwierdzone i nie zostali oni zaprzysiężeni. A zatem Parlament jeszcze się nie ukonstytuował. Czy</w:t>
      </w:r>
      <w:r w:rsidR="004452B2">
        <w:rPr>
          <w:lang w:val="pl-PL"/>
        </w:rPr>
        <w:t xml:space="preserve">nnik ten należy wziąć pod uwagę przy </w:t>
      </w:r>
      <w:r w:rsidR="00075A54">
        <w:rPr>
          <w:lang w:val="pl-PL"/>
        </w:rPr>
        <w:t xml:space="preserve">uwzględnianiu znaczenia </w:t>
      </w:r>
      <w:r w:rsidR="004452B2">
        <w:rPr>
          <w:lang w:val="pl-PL"/>
        </w:rPr>
        <w:t xml:space="preserve">autonomii parlamentarnej podczas </w:t>
      </w:r>
      <w:r w:rsidR="003A1BA5">
        <w:rPr>
          <w:lang w:val="pl-PL"/>
        </w:rPr>
        <w:t xml:space="preserve">prowadzonej przez Trybunał </w:t>
      </w:r>
      <w:r w:rsidR="004452B2">
        <w:rPr>
          <w:lang w:val="pl-PL"/>
        </w:rPr>
        <w:t>kontroli przestrzegania praw gwarantowanych na</w:t>
      </w:r>
      <w:r w:rsidR="00251D9C">
        <w:rPr>
          <w:lang w:val="pl-PL"/>
        </w:rPr>
        <w:t> </w:t>
      </w:r>
      <w:r w:rsidR="004452B2">
        <w:rPr>
          <w:lang w:val="pl-PL"/>
        </w:rPr>
        <w:t xml:space="preserve">podstawie art. 3 Protokołu nr 1. </w:t>
      </w:r>
    </w:p>
    <w:p w14:paraId="6FFE5320" w14:textId="77777777" w:rsidR="004452B2" w:rsidRPr="004452B2" w:rsidRDefault="004452B2">
      <w:pPr>
        <w:pStyle w:val="ClinContent"/>
        <w:rPr>
          <w:lang w:val="pl-PL"/>
        </w:rPr>
      </w:pPr>
      <w:r w:rsidRPr="009C4A83">
        <w:rPr>
          <w:lang w:val="pl-PL"/>
        </w:rPr>
        <w:t>Trybu</w:t>
      </w:r>
      <w:r w:rsidR="00075A54" w:rsidRPr="009C4A83">
        <w:rPr>
          <w:lang w:val="pl-PL"/>
        </w:rPr>
        <w:t>nał skoncentrował swoją kontrolę</w:t>
      </w:r>
      <w:r w:rsidRPr="009C4A83">
        <w:rPr>
          <w:lang w:val="pl-PL"/>
        </w:rPr>
        <w:t xml:space="preserve"> na następujących kwestiach:</w:t>
      </w:r>
    </w:p>
    <w:p w14:paraId="0AC7F454" w14:textId="3D1FA92E" w:rsidR="004452B2" w:rsidRPr="004452B2" w:rsidRDefault="004452B2">
      <w:pPr>
        <w:pStyle w:val="ClinContent"/>
        <w:rPr>
          <w:lang w:val="pl-PL"/>
        </w:rPr>
      </w:pPr>
      <w:r w:rsidRPr="004452B2">
        <w:rPr>
          <w:lang w:val="pl-PL"/>
        </w:rPr>
        <w:lastRenderedPageBreak/>
        <w:t xml:space="preserve">i) </w:t>
      </w:r>
      <w:r w:rsidRPr="004452B2">
        <w:rPr>
          <w:i/>
          <w:lang w:val="pl-PL"/>
        </w:rPr>
        <w:t xml:space="preserve">Gwarancje bezstronności organu decyzyjnego </w:t>
      </w:r>
      <w:r>
        <w:rPr>
          <w:i/>
          <w:lang w:val="pl-PL"/>
        </w:rPr>
        <w:t>–</w:t>
      </w:r>
      <w:r w:rsidRPr="004452B2">
        <w:rPr>
          <w:i/>
          <w:lang w:val="pl-PL"/>
        </w:rPr>
        <w:t xml:space="preserve"> </w:t>
      </w:r>
      <w:r>
        <w:rPr>
          <w:lang w:val="pl-PL"/>
        </w:rPr>
        <w:t>Art. 3 Protokołu nr 1 dąży do</w:t>
      </w:r>
      <w:r w:rsidR="00251D9C">
        <w:rPr>
          <w:lang w:val="pl-PL"/>
        </w:rPr>
        <w:t> </w:t>
      </w:r>
      <w:r>
        <w:rPr>
          <w:lang w:val="pl-PL"/>
        </w:rPr>
        <w:t xml:space="preserve">wzmocnienia zaufania obywateli do parlamentu poprzez zagwarantowanie jego </w:t>
      </w:r>
      <w:r w:rsidR="00CB0746">
        <w:rPr>
          <w:lang w:val="pl-PL"/>
        </w:rPr>
        <w:t xml:space="preserve">demokratycznej </w:t>
      </w:r>
      <w:r>
        <w:rPr>
          <w:lang w:val="pl-PL"/>
        </w:rPr>
        <w:t xml:space="preserve">legitymacji </w:t>
      </w:r>
      <w:r w:rsidR="00EE521F">
        <w:rPr>
          <w:lang w:val="pl-PL"/>
        </w:rPr>
        <w:t xml:space="preserve">i z tego względu </w:t>
      </w:r>
      <w:r>
        <w:rPr>
          <w:lang w:val="pl-PL"/>
        </w:rPr>
        <w:t xml:space="preserve">z artykułu </w:t>
      </w:r>
      <w:r w:rsidR="00EE521F">
        <w:rPr>
          <w:lang w:val="pl-PL"/>
        </w:rPr>
        <w:t xml:space="preserve">tego wynikają </w:t>
      </w:r>
      <w:r>
        <w:rPr>
          <w:lang w:val="pl-PL"/>
        </w:rPr>
        <w:t xml:space="preserve">również pewne wymogi </w:t>
      </w:r>
      <w:r w:rsidR="00EE521F">
        <w:rPr>
          <w:lang w:val="pl-PL"/>
        </w:rPr>
        <w:t xml:space="preserve">dotyczące </w:t>
      </w:r>
      <w:r>
        <w:rPr>
          <w:lang w:val="pl-PL"/>
        </w:rPr>
        <w:t>bezstronności organu rozstrzygającego spory wyborcze</w:t>
      </w:r>
      <w:r w:rsidR="00EE521F">
        <w:rPr>
          <w:lang w:val="pl-PL"/>
        </w:rPr>
        <w:t>, przy czym</w:t>
      </w:r>
      <w:r>
        <w:rPr>
          <w:lang w:val="pl-PL"/>
        </w:rPr>
        <w:t xml:space="preserve"> istotne znaczenie może mieć </w:t>
      </w:r>
      <w:r w:rsidR="00EE521F">
        <w:rPr>
          <w:lang w:val="pl-PL"/>
        </w:rPr>
        <w:t xml:space="preserve">też kwestia </w:t>
      </w:r>
      <w:r w:rsidR="00EE521F" w:rsidRPr="00EE521F">
        <w:rPr>
          <w:lang w:val="pl-PL"/>
        </w:rPr>
        <w:t>postrzegania</w:t>
      </w:r>
      <w:r w:rsidRPr="00EE521F">
        <w:rPr>
          <w:lang w:val="pl-PL"/>
        </w:rPr>
        <w:t>.</w:t>
      </w:r>
    </w:p>
    <w:p w14:paraId="33F4FE2D" w14:textId="55E88473" w:rsidR="004452B2" w:rsidRPr="004452B2" w:rsidRDefault="004452B2">
      <w:pPr>
        <w:pStyle w:val="ClinContent"/>
        <w:rPr>
          <w:lang w:val="pl-PL"/>
        </w:rPr>
      </w:pPr>
      <w:r w:rsidRPr="004452B2">
        <w:rPr>
          <w:lang w:val="pl-PL"/>
        </w:rPr>
        <w:t xml:space="preserve">W kontekście prawa do wolnych wyborów zapewnionego przez art. </w:t>
      </w:r>
      <w:r>
        <w:rPr>
          <w:lang w:val="pl-PL"/>
        </w:rPr>
        <w:t xml:space="preserve">3 Protokołu nr 1 </w:t>
      </w:r>
      <w:r w:rsidR="00032F9F">
        <w:rPr>
          <w:lang w:val="pl-PL"/>
        </w:rPr>
        <w:t xml:space="preserve">wymagane </w:t>
      </w:r>
      <w:r>
        <w:rPr>
          <w:lang w:val="pl-PL"/>
        </w:rPr>
        <w:t>gwarancje bezstronności mają zapewnić, by decyzja była podejmowana w</w:t>
      </w:r>
      <w:r w:rsidR="00251D9C">
        <w:rPr>
          <w:lang w:val="pl-PL"/>
        </w:rPr>
        <w:t> </w:t>
      </w:r>
      <w:r>
        <w:rPr>
          <w:lang w:val="pl-PL"/>
        </w:rPr>
        <w:t xml:space="preserve">oparciu </w:t>
      </w:r>
      <w:r w:rsidR="00D5773B">
        <w:rPr>
          <w:lang w:val="pl-PL"/>
        </w:rPr>
        <w:t xml:space="preserve">jedynie </w:t>
      </w:r>
      <w:r>
        <w:rPr>
          <w:lang w:val="pl-PL"/>
        </w:rPr>
        <w:t xml:space="preserve">o względy faktyczne i prawne, </w:t>
      </w:r>
      <w:r w:rsidR="00032F9F">
        <w:rPr>
          <w:lang w:val="pl-PL"/>
        </w:rPr>
        <w:t>a nie polityczne. Badanie skarg</w:t>
      </w:r>
      <w:r>
        <w:rPr>
          <w:lang w:val="pl-PL"/>
        </w:rPr>
        <w:t xml:space="preserve"> na wyniki wyborów nie może stać się areną walki politycznej między różnymi partiami. </w:t>
      </w:r>
      <w:r w:rsidR="005A4F43">
        <w:rPr>
          <w:lang w:val="pl-PL"/>
        </w:rPr>
        <w:t xml:space="preserve">W tym kontekście członkowie parlamentu z definicji nie </w:t>
      </w:r>
      <w:r w:rsidR="00CA7012">
        <w:rPr>
          <w:lang w:val="pl-PL"/>
        </w:rPr>
        <w:t>są</w:t>
      </w:r>
      <w:r w:rsidR="005A4F43">
        <w:rPr>
          <w:lang w:val="pl-PL"/>
        </w:rPr>
        <w:t xml:space="preserve"> „neutralni politycznie”. Wynika z tego, że w systemie takim jak w Belgii, gdzie parlament jest jedynym sędzią ws. wyboru sw</w:t>
      </w:r>
      <w:r w:rsidR="002F7154">
        <w:rPr>
          <w:lang w:val="pl-PL"/>
        </w:rPr>
        <w:t>oi</w:t>
      </w:r>
      <w:r w:rsidR="005A4F43">
        <w:rPr>
          <w:lang w:val="pl-PL"/>
        </w:rPr>
        <w:t xml:space="preserve">ch członków, szczególną uwagę </w:t>
      </w:r>
      <w:r w:rsidR="00032F9F">
        <w:rPr>
          <w:lang w:val="pl-PL"/>
        </w:rPr>
        <w:t xml:space="preserve">należy zwrócić </w:t>
      </w:r>
      <w:r w:rsidR="005A4F43">
        <w:rPr>
          <w:lang w:val="pl-PL"/>
        </w:rPr>
        <w:t>na gwarancje bezstronności przewidziane w</w:t>
      </w:r>
      <w:r w:rsidR="00251D9C">
        <w:rPr>
          <w:lang w:val="pl-PL"/>
        </w:rPr>
        <w:t> </w:t>
      </w:r>
      <w:r w:rsidR="005A4F43">
        <w:rPr>
          <w:lang w:val="pl-PL"/>
        </w:rPr>
        <w:t xml:space="preserve">prawie krajowym w </w:t>
      </w:r>
      <w:r w:rsidR="00D5773B">
        <w:rPr>
          <w:lang w:val="pl-PL"/>
        </w:rPr>
        <w:t>procedurze</w:t>
      </w:r>
      <w:r w:rsidR="005A4F43">
        <w:rPr>
          <w:lang w:val="pl-PL"/>
        </w:rPr>
        <w:t xml:space="preserve"> badania skarg kwestionujących wyniki wyborów. </w:t>
      </w:r>
    </w:p>
    <w:p w14:paraId="58C7DF02" w14:textId="79FA85ED" w:rsidR="005A4F43" w:rsidRPr="005A4F43" w:rsidRDefault="005A4F43">
      <w:pPr>
        <w:pStyle w:val="ClinContent"/>
        <w:rPr>
          <w:lang w:val="pl-PL"/>
        </w:rPr>
      </w:pPr>
      <w:r w:rsidRPr="005A4F43">
        <w:rPr>
          <w:lang w:val="pl-PL"/>
        </w:rPr>
        <w:t xml:space="preserve">Mając na uwadze standardy oraz zalecenia </w:t>
      </w:r>
      <w:r w:rsidR="00CA7012" w:rsidRPr="005A4F43">
        <w:rPr>
          <w:lang w:val="pl-PL"/>
        </w:rPr>
        <w:t xml:space="preserve">wypracowane </w:t>
      </w:r>
      <w:r w:rsidRPr="005A4F43">
        <w:rPr>
          <w:lang w:val="pl-PL"/>
        </w:rPr>
        <w:t>przez inne organy europejskie i</w:t>
      </w:r>
      <w:r w:rsidR="00251D9C">
        <w:rPr>
          <w:lang w:val="pl-PL"/>
        </w:rPr>
        <w:t> </w:t>
      </w:r>
      <w:r w:rsidRPr="005A4F43">
        <w:rPr>
          <w:lang w:val="pl-PL"/>
        </w:rPr>
        <w:t>międzynarodo</w:t>
      </w:r>
      <w:r>
        <w:rPr>
          <w:lang w:val="pl-PL"/>
        </w:rPr>
        <w:t>we, pojawiła</w:t>
      </w:r>
      <w:r w:rsidRPr="005A4F43">
        <w:rPr>
          <w:lang w:val="pl-PL"/>
        </w:rPr>
        <w:t xml:space="preserve"> się kwestia, czy system </w:t>
      </w:r>
      <w:r>
        <w:rPr>
          <w:lang w:val="pl-PL"/>
        </w:rPr>
        <w:t xml:space="preserve">utworzony na podstawie prawa belgijskiego, jaki zastosowano w okolicznościach sprawy skarżącego, </w:t>
      </w:r>
      <w:r w:rsidR="00032F9F">
        <w:rPr>
          <w:lang w:val="pl-PL"/>
        </w:rPr>
        <w:t xml:space="preserve">zapewniał </w:t>
      </w:r>
      <w:r>
        <w:rPr>
          <w:lang w:val="pl-PL"/>
        </w:rPr>
        <w:t xml:space="preserve">wystarczające gwarancje bezstronności. </w:t>
      </w:r>
    </w:p>
    <w:p w14:paraId="06C347B1" w14:textId="13FB4181" w:rsidR="005A4F43" w:rsidRPr="005A4F43" w:rsidRDefault="005A4F43">
      <w:pPr>
        <w:pStyle w:val="ClinContent"/>
        <w:rPr>
          <w:lang w:val="pl-PL"/>
        </w:rPr>
      </w:pPr>
      <w:r w:rsidRPr="005A4F43">
        <w:rPr>
          <w:lang w:val="pl-PL"/>
        </w:rPr>
        <w:t xml:space="preserve">Skarga skarżącego została początkowo zbadana przez Komisję </w:t>
      </w:r>
      <w:r w:rsidR="0007037E">
        <w:rPr>
          <w:lang w:val="pl-PL"/>
        </w:rPr>
        <w:t>ds. Mandatów</w:t>
      </w:r>
      <w:r>
        <w:rPr>
          <w:lang w:val="pl-PL"/>
        </w:rPr>
        <w:t>. W skład tej Komisji wchodziło siedmiu członków w</w:t>
      </w:r>
      <w:r w:rsidR="00CA7012">
        <w:rPr>
          <w:lang w:val="pl-PL"/>
        </w:rPr>
        <w:t>skazanych</w:t>
      </w:r>
      <w:r>
        <w:rPr>
          <w:lang w:val="pl-PL"/>
        </w:rPr>
        <w:t xml:space="preserve"> losowo spośród osób wybranych do</w:t>
      </w:r>
      <w:r w:rsidR="00251D9C">
        <w:rPr>
          <w:lang w:val="pl-PL"/>
        </w:rPr>
        <w:t> </w:t>
      </w:r>
      <w:r>
        <w:rPr>
          <w:lang w:val="pl-PL"/>
        </w:rPr>
        <w:t>Parlamentu Walonii. Składał</w:t>
      </w:r>
      <w:r w:rsidR="00CA7012">
        <w:rPr>
          <w:lang w:val="pl-PL"/>
        </w:rPr>
        <w:t>a</w:t>
      </w:r>
      <w:r>
        <w:rPr>
          <w:lang w:val="pl-PL"/>
        </w:rPr>
        <w:t xml:space="preserve"> się wyłącznie z członków </w:t>
      </w:r>
      <w:r w:rsidR="00032F9F">
        <w:rPr>
          <w:lang w:val="pl-PL"/>
        </w:rPr>
        <w:t>Parlamentu</w:t>
      </w:r>
      <w:r>
        <w:rPr>
          <w:lang w:val="pl-PL"/>
        </w:rPr>
        <w:t xml:space="preserve">, nie było </w:t>
      </w:r>
      <w:r w:rsidR="00CE0536">
        <w:rPr>
          <w:lang w:val="pl-PL"/>
        </w:rPr>
        <w:t xml:space="preserve">prawnego </w:t>
      </w:r>
      <w:r>
        <w:rPr>
          <w:lang w:val="pl-PL"/>
        </w:rPr>
        <w:t>wymogu, by reprezentował</w:t>
      </w:r>
      <w:r w:rsidR="00CA7012">
        <w:rPr>
          <w:lang w:val="pl-PL"/>
        </w:rPr>
        <w:t>a</w:t>
      </w:r>
      <w:r>
        <w:rPr>
          <w:lang w:val="pl-PL"/>
        </w:rPr>
        <w:t xml:space="preserve"> różne grupy polityczne </w:t>
      </w:r>
      <w:r w:rsidR="00032F9F">
        <w:rPr>
          <w:lang w:val="pl-PL"/>
        </w:rPr>
        <w:t>Parlamentu</w:t>
      </w:r>
      <w:r>
        <w:rPr>
          <w:lang w:val="pl-PL"/>
        </w:rPr>
        <w:t xml:space="preserve">. Członkowie </w:t>
      </w:r>
      <w:r w:rsidR="00032F9F">
        <w:rPr>
          <w:lang w:val="pl-PL"/>
        </w:rPr>
        <w:t xml:space="preserve">Parlamentu </w:t>
      </w:r>
      <w:r>
        <w:rPr>
          <w:lang w:val="pl-PL"/>
        </w:rPr>
        <w:t xml:space="preserve">zasiadający w Komisji </w:t>
      </w:r>
      <w:r w:rsidR="0007037E">
        <w:rPr>
          <w:lang w:val="pl-PL"/>
        </w:rPr>
        <w:t xml:space="preserve">ds. Mandatów </w:t>
      </w:r>
      <w:r>
        <w:rPr>
          <w:lang w:val="pl-PL"/>
        </w:rPr>
        <w:t xml:space="preserve">zostali wybrani z tego samego okręgu, z którego startował skarżący. W </w:t>
      </w:r>
      <w:r w:rsidR="00064F4A">
        <w:rPr>
          <w:lang w:val="pl-PL"/>
        </w:rPr>
        <w:t>dan</w:t>
      </w:r>
      <w:r>
        <w:rPr>
          <w:lang w:val="pl-PL"/>
        </w:rPr>
        <w:t>ym czasie brak było w Regulaminie Parlamentu Walonii lub</w:t>
      </w:r>
      <w:r w:rsidR="00251D9C">
        <w:rPr>
          <w:lang w:val="pl-PL"/>
        </w:rPr>
        <w:t> </w:t>
      </w:r>
      <w:r>
        <w:rPr>
          <w:lang w:val="pl-PL"/>
        </w:rPr>
        <w:t>w</w:t>
      </w:r>
      <w:r w:rsidR="00251D9C">
        <w:rPr>
          <w:lang w:val="pl-PL"/>
        </w:rPr>
        <w:t> </w:t>
      </w:r>
      <w:r>
        <w:rPr>
          <w:lang w:val="pl-PL"/>
        </w:rPr>
        <w:t xml:space="preserve">innym akcie prawnym </w:t>
      </w:r>
      <w:r w:rsidR="00D1175F">
        <w:rPr>
          <w:lang w:val="pl-PL"/>
        </w:rPr>
        <w:t xml:space="preserve">przepisu </w:t>
      </w:r>
      <w:r>
        <w:rPr>
          <w:lang w:val="pl-PL"/>
        </w:rPr>
        <w:t>przewidując</w:t>
      </w:r>
      <w:r w:rsidR="00D1175F">
        <w:rPr>
          <w:lang w:val="pl-PL"/>
        </w:rPr>
        <w:t>ego</w:t>
      </w:r>
      <w:r>
        <w:rPr>
          <w:lang w:val="pl-PL"/>
        </w:rPr>
        <w:t xml:space="preserve"> wycofanie się zainteresowanych członków parlamentu, </w:t>
      </w:r>
      <w:r w:rsidR="00CA7012">
        <w:rPr>
          <w:lang w:val="pl-PL"/>
        </w:rPr>
        <w:t>choć</w:t>
      </w:r>
      <w:r>
        <w:rPr>
          <w:lang w:val="pl-PL"/>
        </w:rPr>
        <w:t xml:space="preserve"> dobrowolnie postanowili </w:t>
      </w:r>
      <w:r w:rsidR="00CA7012">
        <w:rPr>
          <w:lang w:val="pl-PL"/>
        </w:rPr>
        <w:t xml:space="preserve">oni </w:t>
      </w:r>
      <w:r>
        <w:rPr>
          <w:lang w:val="pl-PL"/>
        </w:rPr>
        <w:t>nie uczestniczyć w pracach. Wnioski raportu Komisji wskazywały, że kwestionowani członkowie byli jednak obecni w</w:t>
      </w:r>
      <w:r w:rsidR="00251D9C">
        <w:rPr>
          <w:lang w:val="pl-PL"/>
        </w:rPr>
        <w:t> </w:t>
      </w:r>
      <w:r>
        <w:rPr>
          <w:lang w:val="pl-PL"/>
        </w:rPr>
        <w:t xml:space="preserve">czasie obrad nad skargą skarżącego i głosowali w sprawie ostatecznego raportu, który miał być przedłożony Parlamentowi w pełnym składzie, a który zawierał opinię co do istoty sprawy. W każdym razie opinia Komisji </w:t>
      </w:r>
      <w:r w:rsidR="0007037E">
        <w:rPr>
          <w:lang w:val="pl-PL"/>
        </w:rPr>
        <w:t>ds. Mandatów</w:t>
      </w:r>
      <w:r>
        <w:rPr>
          <w:lang w:val="pl-PL"/>
        </w:rPr>
        <w:t xml:space="preserve"> została następnie przedłożona Parlamentowi Walonii w pełnym składzie, który nie zastosował się do wniosków raportu. </w:t>
      </w:r>
    </w:p>
    <w:p w14:paraId="0CA1FD5D" w14:textId="2FD4F825" w:rsidR="005A4F43" w:rsidRPr="005A4F43" w:rsidRDefault="005A4F43">
      <w:pPr>
        <w:pStyle w:val="ClinContent"/>
        <w:rPr>
          <w:lang w:val="pl-PL"/>
        </w:rPr>
      </w:pPr>
      <w:r w:rsidRPr="005A4F43">
        <w:rPr>
          <w:lang w:val="pl-PL"/>
        </w:rPr>
        <w:t xml:space="preserve">Członkowie wybrani z okręgu skarżącego, którzy byli jego bezpośrednimi przeciwnikami, nie zostali wykluczeni z głosowania w Parlamencie Walonii obradującym w pełnym składzie. </w:t>
      </w:r>
      <w:r>
        <w:rPr>
          <w:lang w:val="pl-PL"/>
        </w:rPr>
        <w:t xml:space="preserve">Decyzja </w:t>
      </w:r>
      <w:r w:rsidR="00023C87">
        <w:rPr>
          <w:lang w:val="pl-PL"/>
        </w:rPr>
        <w:t xml:space="preserve">w sprawie </w:t>
      </w:r>
      <w:r w:rsidR="00CE0536">
        <w:rPr>
          <w:lang w:val="pl-PL"/>
        </w:rPr>
        <w:t xml:space="preserve">skarżącego </w:t>
      </w:r>
      <w:r>
        <w:rPr>
          <w:lang w:val="pl-PL"/>
        </w:rPr>
        <w:t xml:space="preserve">została zatem podjęta przez organ, w skład którego wchodzili członkowie parlamentu, których wybór mógł zostać </w:t>
      </w:r>
      <w:r w:rsidR="00D1175F">
        <w:rPr>
          <w:lang w:val="pl-PL"/>
        </w:rPr>
        <w:t>za</w:t>
      </w:r>
      <w:r>
        <w:rPr>
          <w:lang w:val="pl-PL"/>
        </w:rPr>
        <w:t>kwestionowany w</w:t>
      </w:r>
      <w:r w:rsidR="00251D9C">
        <w:rPr>
          <w:lang w:val="pl-PL"/>
        </w:rPr>
        <w:t> </w:t>
      </w:r>
      <w:r>
        <w:rPr>
          <w:lang w:val="pl-PL"/>
        </w:rPr>
        <w:t xml:space="preserve">razie  uznania zasadności skargi skarżącego i których interesy </w:t>
      </w:r>
      <w:r w:rsidR="006D325E">
        <w:rPr>
          <w:lang w:val="pl-PL"/>
        </w:rPr>
        <w:t xml:space="preserve">były całkowicie przeciwstawne </w:t>
      </w:r>
      <w:r>
        <w:rPr>
          <w:lang w:val="pl-PL"/>
        </w:rPr>
        <w:t>interes</w:t>
      </w:r>
      <w:r w:rsidR="006D325E">
        <w:rPr>
          <w:lang w:val="pl-PL"/>
        </w:rPr>
        <w:t>om</w:t>
      </w:r>
      <w:r>
        <w:rPr>
          <w:lang w:val="pl-PL"/>
        </w:rPr>
        <w:t xml:space="preserve"> skarżącego. </w:t>
      </w:r>
      <w:r w:rsidR="00D1175F">
        <w:rPr>
          <w:lang w:val="pl-PL"/>
        </w:rPr>
        <w:t xml:space="preserve">Decyzja w sprawie skargi skarżącego została podjęta zwykłą większością. </w:t>
      </w:r>
      <w:r w:rsidR="00CA7012">
        <w:rPr>
          <w:lang w:val="pl-PL"/>
        </w:rPr>
        <w:t>Taki sposób u</w:t>
      </w:r>
      <w:r w:rsidR="004566A4">
        <w:rPr>
          <w:lang w:val="pl-PL"/>
        </w:rPr>
        <w:t>regulowani</w:t>
      </w:r>
      <w:r w:rsidR="00CA7012">
        <w:rPr>
          <w:lang w:val="pl-PL"/>
        </w:rPr>
        <w:t xml:space="preserve">a kwestii </w:t>
      </w:r>
      <w:r w:rsidR="004566A4">
        <w:rPr>
          <w:lang w:val="pl-PL"/>
        </w:rPr>
        <w:t xml:space="preserve">głosowania umożliwia </w:t>
      </w:r>
      <w:r w:rsidR="002A5B9B">
        <w:rPr>
          <w:lang w:val="pl-PL"/>
        </w:rPr>
        <w:t xml:space="preserve">potencjalnej większości </w:t>
      </w:r>
      <w:r w:rsidR="004566A4">
        <w:rPr>
          <w:lang w:val="pl-PL"/>
        </w:rPr>
        <w:t xml:space="preserve">narzucenie </w:t>
      </w:r>
      <w:r w:rsidR="00DC23B7">
        <w:rPr>
          <w:lang w:val="pl-PL"/>
        </w:rPr>
        <w:t>swego poglądu</w:t>
      </w:r>
      <w:r w:rsidR="004566A4">
        <w:rPr>
          <w:lang w:val="pl-PL"/>
        </w:rPr>
        <w:t>, nawet jeśli istniałaby również znacząca mniejszość. W te</w:t>
      </w:r>
      <w:r w:rsidR="00064F4A">
        <w:rPr>
          <w:lang w:val="pl-PL"/>
        </w:rPr>
        <w:t>n</w:t>
      </w:r>
      <w:r w:rsidR="004566A4">
        <w:rPr>
          <w:lang w:val="pl-PL"/>
        </w:rPr>
        <w:t xml:space="preserve"> sposób, wbrew zaleceniom Komisji Weneckiej, uregulowanie o</w:t>
      </w:r>
      <w:r w:rsidR="00251D9C">
        <w:rPr>
          <w:lang w:val="pl-PL"/>
        </w:rPr>
        <w:t> </w:t>
      </w:r>
      <w:r w:rsidR="004566A4">
        <w:rPr>
          <w:lang w:val="pl-PL"/>
        </w:rPr>
        <w:t>głosowaniu zwykłą większoś</w:t>
      </w:r>
      <w:r w:rsidR="00D1175F">
        <w:rPr>
          <w:lang w:val="pl-PL"/>
        </w:rPr>
        <w:t>cią</w:t>
      </w:r>
      <w:r w:rsidR="00867904">
        <w:rPr>
          <w:lang w:val="pl-PL"/>
        </w:rPr>
        <w:t xml:space="preserve">, które zostało zastosowane </w:t>
      </w:r>
      <w:r w:rsidR="00D1175F">
        <w:rPr>
          <w:lang w:val="pl-PL"/>
        </w:rPr>
        <w:t>bez żadnego dostosowania do</w:t>
      </w:r>
      <w:r w:rsidR="004566A4">
        <w:rPr>
          <w:lang w:val="pl-PL"/>
        </w:rPr>
        <w:t xml:space="preserve"> szczególnej sprawy</w:t>
      </w:r>
      <w:r w:rsidR="00867904">
        <w:rPr>
          <w:lang w:val="pl-PL"/>
        </w:rPr>
        <w:t>,</w:t>
      </w:r>
      <w:r w:rsidR="004566A4">
        <w:rPr>
          <w:lang w:val="pl-PL"/>
        </w:rPr>
        <w:t xml:space="preserve"> </w:t>
      </w:r>
      <w:r w:rsidR="00867904">
        <w:rPr>
          <w:lang w:val="pl-PL"/>
        </w:rPr>
        <w:t>nie było w stanie zapewnić skarżącemu – kandydatowi</w:t>
      </w:r>
      <w:r w:rsidR="004566A4">
        <w:rPr>
          <w:lang w:val="pl-PL"/>
        </w:rPr>
        <w:t xml:space="preserve"> partii politycznej niereprezentowanej w Parlamencie Walonii pr</w:t>
      </w:r>
      <w:r w:rsidR="00867904">
        <w:rPr>
          <w:lang w:val="pl-PL"/>
        </w:rPr>
        <w:t>zed wyborami z 25 maja 2014 r.</w:t>
      </w:r>
      <w:r w:rsidR="00DC23B7">
        <w:rPr>
          <w:lang w:val="pl-PL"/>
        </w:rPr>
        <w:t xml:space="preserve"> –</w:t>
      </w:r>
      <w:r w:rsidR="00DC23B7" w:rsidRPr="00DC23B7">
        <w:rPr>
          <w:lang w:val="pl-PL"/>
        </w:rPr>
        <w:t xml:space="preserve"> </w:t>
      </w:r>
      <w:r w:rsidR="00DC23B7">
        <w:rPr>
          <w:lang w:val="pl-PL"/>
        </w:rPr>
        <w:t>ochrony przed stronniczą decyzją.</w:t>
      </w:r>
    </w:p>
    <w:p w14:paraId="3D8184C5" w14:textId="77777777" w:rsidR="003F38F8" w:rsidRPr="003F38F8" w:rsidRDefault="003F38F8">
      <w:pPr>
        <w:pStyle w:val="ClinContent"/>
        <w:rPr>
          <w:lang w:val="pl-PL"/>
        </w:rPr>
      </w:pPr>
      <w:r w:rsidRPr="003F38F8">
        <w:rPr>
          <w:lang w:val="pl-PL"/>
        </w:rPr>
        <w:t xml:space="preserve">Wynika z tego, że skarga skarżącego została rozpatrzona przez organ, który nie zapewniał wystarczających gwarancji bezstronności. </w:t>
      </w:r>
    </w:p>
    <w:p w14:paraId="2CCF44F2" w14:textId="40C9DE5E" w:rsidR="00E3048B" w:rsidRPr="00773CEE" w:rsidRDefault="00E3048B">
      <w:pPr>
        <w:pStyle w:val="ClinContent"/>
        <w:rPr>
          <w:lang w:val="pl-PL"/>
        </w:rPr>
      </w:pPr>
      <w:r w:rsidRPr="00E3048B">
        <w:rPr>
          <w:lang w:val="pl-PL"/>
        </w:rPr>
        <w:t xml:space="preserve">ii) </w:t>
      </w:r>
      <w:r w:rsidRPr="00E3048B">
        <w:rPr>
          <w:i/>
          <w:lang w:val="pl-PL"/>
        </w:rPr>
        <w:t xml:space="preserve">Swoboda organu decyzyjnego – </w:t>
      </w:r>
      <w:r w:rsidRPr="00E3048B">
        <w:rPr>
          <w:lang w:val="pl-PL"/>
        </w:rPr>
        <w:t>Swoboda,</w:t>
      </w:r>
      <w:r>
        <w:rPr>
          <w:lang w:val="pl-PL"/>
        </w:rPr>
        <w:t xml:space="preserve"> z </w:t>
      </w:r>
      <w:r w:rsidR="00DC23B7">
        <w:rPr>
          <w:lang w:val="pl-PL"/>
        </w:rPr>
        <w:t>jakiej</w:t>
      </w:r>
      <w:r>
        <w:rPr>
          <w:lang w:val="pl-PL"/>
        </w:rPr>
        <w:t xml:space="preserve"> korzysta</w:t>
      </w:r>
      <w:r w:rsidRPr="00E3048B">
        <w:rPr>
          <w:lang w:val="pl-PL"/>
        </w:rPr>
        <w:t xml:space="preserve"> organ decyzyjny przy podejmowaniu decyzji w sprawach wybor</w:t>
      </w:r>
      <w:r>
        <w:rPr>
          <w:lang w:val="pl-PL"/>
        </w:rPr>
        <w:t xml:space="preserve">czych, nie może być nadmierna; </w:t>
      </w:r>
      <w:r w:rsidR="00867904">
        <w:rPr>
          <w:lang w:val="pl-PL"/>
        </w:rPr>
        <w:t>jej zakres powinien</w:t>
      </w:r>
      <w:r>
        <w:rPr>
          <w:lang w:val="pl-PL"/>
        </w:rPr>
        <w:t xml:space="preserve"> być</w:t>
      </w:r>
      <w:r w:rsidR="00867904">
        <w:rPr>
          <w:lang w:val="pl-PL"/>
        </w:rPr>
        <w:t xml:space="preserve"> </w:t>
      </w:r>
      <w:r w:rsidR="00CE0536">
        <w:rPr>
          <w:lang w:val="pl-PL"/>
        </w:rPr>
        <w:t xml:space="preserve">określony </w:t>
      </w:r>
      <w:r>
        <w:rPr>
          <w:lang w:val="pl-PL"/>
        </w:rPr>
        <w:t xml:space="preserve">w sposób wystarczająco precyzyjny przez przepisy prawa krajowego. </w:t>
      </w:r>
      <w:r w:rsidR="00023C87">
        <w:rPr>
          <w:lang w:val="pl-PL"/>
        </w:rPr>
        <w:t>Z</w:t>
      </w:r>
      <w:r w:rsidRPr="00773CEE">
        <w:rPr>
          <w:lang w:val="pl-PL"/>
        </w:rPr>
        <w:t xml:space="preserve">asady </w:t>
      </w:r>
      <w:r w:rsidR="00023C87">
        <w:rPr>
          <w:lang w:val="pl-PL"/>
        </w:rPr>
        <w:t>m</w:t>
      </w:r>
      <w:r w:rsidR="00023C87" w:rsidRPr="00773CEE">
        <w:rPr>
          <w:lang w:val="pl-PL"/>
        </w:rPr>
        <w:t xml:space="preserve">ające zastosowanie </w:t>
      </w:r>
      <w:r w:rsidRPr="00773CEE">
        <w:rPr>
          <w:lang w:val="pl-PL"/>
        </w:rPr>
        <w:t>powinny być wy</w:t>
      </w:r>
      <w:r w:rsidR="00270B0B" w:rsidRPr="00773CEE">
        <w:rPr>
          <w:lang w:val="pl-PL"/>
        </w:rPr>
        <w:t xml:space="preserve">starczająco pewne i precyzyjne. </w:t>
      </w:r>
    </w:p>
    <w:p w14:paraId="2694C76A" w14:textId="2DD5EA85" w:rsidR="00E42F39" w:rsidRPr="00E42F39" w:rsidRDefault="00E42F39">
      <w:pPr>
        <w:pStyle w:val="ClinContent"/>
        <w:rPr>
          <w:lang w:val="pl-PL"/>
        </w:rPr>
      </w:pPr>
      <w:r w:rsidRPr="00E42F39">
        <w:rPr>
          <w:lang w:val="pl-PL"/>
        </w:rPr>
        <w:lastRenderedPageBreak/>
        <w:t xml:space="preserve">Wymogi te nie zostały spełnione w sprawie skarżącego. </w:t>
      </w:r>
      <w:r w:rsidR="00BE7E8C">
        <w:rPr>
          <w:lang w:val="pl-PL"/>
        </w:rPr>
        <w:t xml:space="preserve">Prawo krajowe nie przewidywało w </w:t>
      </w:r>
      <w:r w:rsidR="00DC23B7">
        <w:rPr>
          <w:lang w:val="pl-PL"/>
        </w:rPr>
        <w:t>t</w:t>
      </w:r>
      <w:r w:rsidR="00BE7E8C">
        <w:rPr>
          <w:lang w:val="pl-PL"/>
        </w:rPr>
        <w:t>ym czasie procedury rozpatrywania takich skarg, jak złożona przez skarżącego, i</w:t>
      </w:r>
      <w:r w:rsidR="00251D9C">
        <w:rPr>
          <w:lang w:val="pl-PL"/>
        </w:rPr>
        <w:t> </w:t>
      </w:r>
      <w:r w:rsidR="00BE7E8C">
        <w:rPr>
          <w:lang w:val="pl-PL"/>
        </w:rPr>
        <w:t>przyznawało Parlamento</w:t>
      </w:r>
      <w:r w:rsidR="008E2196">
        <w:rPr>
          <w:lang w:val="pl-PL"/>
        </w:rPr>
        <w:t>wi Walonii wyłączną właściwość do orzekania</w:t>
      </w:r>
      <w:r w:rsidR="00BE7E8C">
        <w:rPr>
          <w:lang w:val="pl-PL"/>
        </w:rPr>
        <w:t xml:space="preserve"> o ważności procesów wyborczych i w sprawie sporów </w:t>
      </w:r>
      <w:r w:rsidR="008E2196">
        <w:rPr>
          <w:lang w:val="pl-PL"/>
        </w:rPr>
        <w:t xml:space="preserve">pojawiających się </w:t>
      </w:r>
      <w:r w:rsidR="00BE7E8C">
        <w:rPr>
          <w:lang w:val="pl-PL"/>
        </w:rPr>
        <w:t xml:space="preserve">w odniesieniu do mandatów jego członków. Kryteria, </w:t>
      </w:r>
      <w:r w:rsidR="00B4584D">
        <w:rPr>
          <w:lang w:val="pl-PL"/>
        </w:rPr>
        <w:t>jaki</w:t>
      </w:r>
      <w:r w:rsidR="00BE7E8C">
        <w:rPr>
          <w:lang w:val="pl-PL"/>
        </w:rPr>
        <w:t xml:space="preserve">e mogły być stosowane przez Parlament Walonii </w:t>
      </w:r>
      <w:r w:rsidR="00DC23B7">
        <w:rPr>
          <w:lang w:val="pl-PL"/>
        </w:rPr>
        <w:t>przy</w:t>
      </w:r>
      <w:r w:rsidR="00BE7E8C">
        <w:rPr>
          <w:lang w:val="pl-PL"/>
        </w:rPr>
        <w:t xml:space="preserve"> rozstrzyganiu takich spraw, nie zostały określone wystarczająco jasno w mających zastosowanie przepisach prawa krajowego. Przepisy te nie określały również skutków decyzji o uwzględnieniu skargi, </w:t>
      </w:r>
      <w:r w:rsidR="00DC23B7">
        <w:rPr>
          <w:lang w:val="pl-PL"/>
        </w:rPr>
        <w:t>a w odniesieniu do tej konkretnie sprawy nie precyzowały</w:t>
      </w:r>
      <w:r w:rsidR="00BE7E8C">
        <w:rPr>
          <w:lang w:val="pl-PL"/>
        </w:rPr>
        <w:t xml:space="preserve"> okoliczności, w jakich </w:t>
      </w:r>
      <w:r w:rsidR="008E2196">
        <w:rPr>
          <w:lang w:val="pl-PL"/>
        </w:rPr>
        <w:t>powinno</w:t>
      </w:r>
      <w:r w:rsidR="00BE7E8C">
        <w:rPr>
          <w:lang w:val="pl-PL"/>
        </w:rPr>
        <w:t xml:space="preserve"> dojść do ponownego </w:t>
      </w:r>
      <w:r w:rsidR="001F3D19">
        <w:rPr>
          <w:lang w:val="pl-PL"/>
        </w:rPr>
        <w:t>policz</w:t>
      </w:r>
      <w:r w:rsidR="00BE7E8C">
        <w:rPr>
          <w:lang w:val="pl-PL"/>
        </w:rPr>
        <w:t xml:space="preserve">enia głosów albo uznania wyboru za nieważny. </w:t>
      </w:r>
    </w:p>
    <w:p w14:paraId="34B2FCA2" w14:textId="356E5F87" w:rsidR="00BE7E8C" w:rsidRPr="00BE7E8C" w:rsidRDefault="00BE7E8C">
      <w:pPr>
        <w:pStyle w:val="ClinContent"/>
        <w:rPr>
          <w:lang w:val="pl-PL"/>
        </w:rPr>
      </w:pPr>
      <w:r w:rsidRPr="00BE7E8C">
        <w:rPr>
          <w:lang w:val="pl-PL"/>
        </w:rPr>
        <w:t xml:space="preserve">iii) </w:t>
      </w:r>
      <w:r w:rsidRPr="00BE7E8C">
        <w:rPr>
          <w:i/>
          <w:lang w:val="pl-PL"/>
        </w:rPr>
        <w:t xml:space="preserve">Gwarancje sprawiedliwej, obiektywnej i uzasadnionej decyzji </w:t>
      </w:r>
      <w:r>
        <w:rPr>
          <w:i/>
          <w:lang w:val="pl-PL"/>
        </w:rPr>
        <w:t>–</w:t>
      </w:r>
      <w:r w:rsidRPr="00BE7E8C">
        <w:rPr>
          <w:i/>
          <w:lang w:val="pl-PL"/>
        </w:rPr>
        <w:t xml:space="preserve"> </w:t>
      </w:r>
      <w:r w:rsidR="008C0894">
        <w:rPr>
          <w:lang w:val="pl-PL"/>
        </w:rPr>
        <w:t>W obszarze sporów wyborczych p</w:t>
      </w:r>
      <w:r>
        <w:rPr>
          <w:lang w:val="pl-PL"/>
        </w:rPr>
        <w:t>rocedura musi gwarantować wydanie sprawiedliwej, obiektywnej i</w:t>
      </w:r>
      <w:r w:rsidR="00251D9C">
        <w:rPr>
          <w:lang w:val="pl-PL"/>
        </w:rPr>
        <w:t> </w:t>
      </w:r>
      <w:r>
        <w:rPr>
          <w:lang w:val="pl-PL"/>
        </w:rPr>
        <w:t xml:space="preserve">wystarczająco uzasadnionej decyzji. W szczególności skarżący muszą mieć możliwość wyrażenia </w:t>
      </w:r>
      <w:r w:rsidR="00DC23B7">
        <w:rPr>
          <w:lang w:val="pl-PL"/>
        </w:rPr>
        <w:t xml:space="preserve">w takiej procedurze </w:t>
      </w:r>
      <w:r>
        <w:rPr>
          <w:lang w:val="pl-PL"/>
        </w:rPr>
        <w:t>sw</w:t>
      </w:r>
      <w:r w:rsidR="00CE0536">
        <w:rPr>
          <w:lang w:val="pl-PL"/>
        </w:rPr>
        <w:t>oi</w:t>
      </w:r>
      <w:r>
        <w:rPr>
          <w:lang w:val="pl-PL"/>
        </w:rPr>
        <w:t xml:space="preserve">ch poglądów i przedłożenia wszelkich argumentów, </w:t>
      </w:r>
      <w:r w:rsidR="00DC23B7">
        <w:rPr>
          <w:lang w:val="pl-PL"/>
        </w:rPr>
        <w:t xml:space="preserve">jakie </w:t>
      </w:r>
      <w:r>
        <w:rPr>
          <w:lang w:val="pl-PL"/>
        </w:rPr>
        <w:t>uznają za istotne dla obrony swych interesów</w:t>
      </w:r>
      <w:r w:rsidR="00270B0B">
        <w:rPr>
          <w:lang w:val="pl-PL"/>
        </w:rPr>
        <w:t>,</w:t>
      </w:r>
      <w:r>
        <w:rPr>
          <w:lang w:val="pl-PL"/>
        </w:rPr>
        <w:t xml:space="preserve"> w drodze pisemnej lub – tam gdzie to</w:t>
      </w:r>
      <w:r w:rsidR="00251D9C">
        <w:rPr>
          <w:lang w:val="pl-PL"/>
        </w:rPr>
        <w:t> </w:t>
      </w:r>
      <w:r>
        <w:rPr>
          <w:lang w:val="pl-PL"/>
        </w:rPr>
        <w:t>stosowne – na publicznym przesłuchaniu. W ten sposób gwarantowane jest prawo do</w:t>
      </w:r>
      <w:r w:rsidR="00251D9C">
        <w:rPr>
          <w:lang w:val="pl-PL"/>
        </w:rPr>
        <w:t> </w:t>
      </w:r>
      <w:r>
        <w:rPr>
          <w:lang w:val="pl-PL"/>
        </w:rPr>
        <w:t xml:space="preserve">procedury </w:t>
      </w:r>
      <w:r w:rsidRPr="00270B0B">
        <w:rPr>
          <w:lang w:val="pl-PL"/>
        </w:rPr>
        <w:t>kontradyktoryjnej. Ponadto z publicznego uzasadnienia podanego przez właściwy organ decyzyjny musi jasno wynikać, że argumenty skarżącego zostały poddanej odpowiedniej ocenie i uzyskały stosowną odpowiedź.</w:t>
      </w:r>
      <w:r>
        <w:rPr>
          <w:lang w:val="pl-PL"/>
        </w:rPr>
        <w:t xml:space="preserve"> </w:t>
      </w:r>
    </w:p>
    <w:p w14:paraId="5192A57F" w14:textId="37C477F6" w:rsidR="00BE7E8C" w:rsidRPr="00BE7E8C" w:rsidRDefault="00BE7E8C">
      <w:pPr>
        <w:pStyle w:val="ClinContent"/>
        <w:rPr>
          <w:lang w:val="pl-PL"/>
        </w:rPr>
      </w:pPr>
      <w:r w:rsidRPr="00BE7E8C">
        <w:rPr>
          <w:lang w:val="pl-PL"/>
        </w:rPr>
        <w:t>W sprawie skarżącego ani Konstytucja, ani ustawa, ani Regulamin Parlamentu Walonii w</w:t>
      </w:r>
      <w:r w:rsidR="00251D9C">
        <w:rPr>
          <w:lang w:val="pl-PL"/>
        </w:rPr>
        <w:t> </w:t>
      </w:r>
      <w:r w:rsidRPr="00BE7E8C">
        <w:rPr>
          <w:lang w:val="pl-PL"/>
        </w:rPr>
        <w:t>kształcie, w jakim miały zastosowanie w przedmiotowym czasie, nie przewidywał</w:t>
      </w:r>
      <w:r w:rsidR="00270B0B">
        <w:rPr>
          <w:lang w:val="pl-PL"/>
        </w:rPr>
        <w:t>y</w:t>
      </w:r>
      <w:r w:rsidRPr="00BE7E8C">
        <w:rPr>
          <w:lang w:val="pl-PL"/>
        </w:rPr>
        <w:t xml:space="preserve"> obowiązku zapewnienia </w:t>
      </w:r>
      <w:r w:rsidR="00707809" w:rsidRPr="00BE7E8C">
        <w:rPr>
          <w:lang w:val="pl-PL"/>
        </w:rPr>
        <w:t xml:space="preserve">tego rodzaju </w:t>
      </w:r>
      <w:r w:rsidRPr="00BE7E8C">
        <w:rPr>
          <w:lang w:val="pl-PL"/>
        </w:rPr>
        <w:t>gwarancji w czasie procedury badania</w:t>
      </w:r>
      <w:r w:rsidR="00270B0B">
        <w:rPr>
          <w:lang w:val="pl-PL"/>
        </w:rPr>
        <w:t xml:space="preserve"> </w:t>
      </w:r>
      <w:r w:rsidR="0007037E">
        <w:rPr>
          <w:lang w:val="pl-PL"/>
        </w:rPr>
        <w:t>mandatów</w:t>
      </w:r>
      <w:r w:rsidR="00DC23B7">
        <w:rPr>
          <w:lang w:val="pl-PL"/>
        </w:rPr>
        <w:t xml:space="preserve"> parlamentarnych</w:t>
      </w:r>
      <w:r w:rsidRPr="00BE7E8C">
        <w:rPr>
          <w:lang w:val="pl-PL"/>
        </w:rPr>
        <w:t xml:space="preserve">. </w:t>
      </w:r>
      <w:r>
        <w:rPr>
          <w:lang w:val="pl-PL"/>
        </w:rPr>
        <w:t xml:space="preserve">W praktyce skarżący korzystał </w:t>
      </w:r>
      <w:r w:rsidR="00DC23B7">
        <w:rPr>
          <w:lang w:val="pl-PL"/>
        </w:rPr>
        <w:t xml:space="preserve">jednak </w:t>
      </w:r>
      <w:r>
        <w:rPr>
          <w:lang w:val="pl-PL"/>
        </w:rPr>
        <w:t xml:space="preserve">z niektórych gwarancji proceduralnych w trakcie badania jego sprawy przez Komisję </w:t>
      </w:r>
      <w:r w:rsidR="0007037E">
        <w:rPr>
          <w:lang w:val="pl-PL"/>
        </w:rPr>
        <w:t>ds. Mandatów</w:t>
      </w:r>
      <w:r>
        <w:rPr>
          <w:lang w:val="pl-PL"/>
        </w:rPr>
        <w:t xml:space="preserve">. Zarówno on, jak i jego prawnik zostali wysłuchani na publicznym posiedzeniu, a Komisja podała uzasadnienie swych ustaleń. Ponadto decyzja Parlamentu Walonii również zawierała uzasadnienie i zostało ono doręczone skarżącemu. </w:t>
      </w:r>
    </w:p>
    <w:p w14:paraId="01E3E064" w14:textId="55456383" w:rsidR="00BE7E8C" w:rsidRPr="00773CEE" w:rsidRDefault="00BE7E8C">
      <w:pPr>
        <w:pStyle w:val="ClinContent"/>
        <w:rPr>
          <w:lang w:val="pl-PL"/>
        </w:rPr>
      </w:pPr>
      <w:r w:rsidRPr="00BE7E8C">
        <w:rPr>
          <w:lang w:val="pl-PL"/>
        </w:rPr>
        <w:t>N</w:t>
      </w:r>
      <w:r w:rsidR="00270B0B">
        <w:rPr>
          <w:lang w:val="pl-PL"/>
        </w:rPr>
        <w:t>iemniej jednak gwarancje udzielo</w:t>
      </w:r>
      <w:r w:rsidRPr="00BE7E8C">
        <w:rPr>
          <w:lang w:val="pl-PL"/>
        </w:rPr>
        <w:t xml:space="preserve">ne skarżącemu w trakcie procedury nie były wystarczające. </w:t>
      </w:r>
      <w:r w:rsidR="00295A6A">
        <w:rPr>
          <w:lang w:val="pl-PL"/>
        </w:rPr>
        <w:t>Ponieważ</w:t>
      </w:r>
      <w:r w:rsidR="001F3D19">
        <w:rPr>
          <w:lang w:val="pl-PL"/>
        </w:rPr>
        <w:t xml:space="preserve"> </w:t>
      </w:r>
      <w:r>
        <w:rPr>
          <w:lang w:val="pl-PL"/>
        </w:rPr>
        <w:t xml:space="preserve">w </w:t>
      </w:r>
      <w:r w:rsidR="00DC23B7">
        <w:rPr>
          <w:lang w:val="pl-PL"/>
        </w:rPr>
        <w:t>zastosowanych</w:t>
      </w:r>
      <w:r>
        <w:rPr>
          <w:lang w:val="pl-PL"/>
        </w:rPr>
        <w:t xml:space="preserve"> aktach prawnych</w:t>
      </w:r>
      <w:r w:rsidR="00B7477B">
        <w:rPr>
          <w:lang w:val="pl-PL"/>
        </w:rPr>
        <w:t xml:space="preserve"> procedury nie były określone</w:t>
      </w:r>
      <w:r>
        <w:rPr>
          <w:lang w:val="pl-PL"/>
        </w:rPr>
        <w:t xml:space="preserve">, gwarancje te były rezultatem doraźnych uznaniowych decyzji Komisji </w:t>
      </w:r>
      <w:r w:rsidR="0007037E">
        <w:rPr>
          <w:lang w:val="pl-PL"/>
        </w:rPr>
        <w:t>ds. Mandatów</w:t>
      </w:r>
      <w:r>
        <w:rPr>
          <w:lang w:val="pl-PL"/>
        </w:rPr>
        <w:t xml:space="preserve"> i</w:t>
      </w:r>
      <w:r w:rsidR="00251D9C">
        <w:rPr>
          <w:lang w:val="pl-PL"/>
        </w:rPr>
        <w:t> </w:t>
      </w:r>
      <w:r>
        <w:rPr>
          <w:lang w:val="pl-PL"/>
        </w:rPr>
        <w:t xml:space="preserve">Parlamentu Walonii </w:t>
      </w:r>
      <w:r w:rsidR="00415980">
        <w:rPr>
          <w:lang w:val="pl-PL"/>
        </w:rPr>
        <w:t xml:space="preserve">działającego </w:t>
      </w:r>
      <w:r>
        <w:rPr>
          <w:lang w:val="pl-PL"/>
        </w:rPr>
        <w:t xml:space="preserve">w pełnym składzie. </w:t>
      </w:r>
      <w:r w:rsidRPr="00773CEE">
        <w:rPr>
          <w:lang w:val="pl-PL"/>
        </w:rPr>
        <w:t>Nie były ani dostępne, ani</w:t>
      </w:r>
      <w:r w:rsidR="00251D9C">
        <w:rPr>
          <w:lang w:val="pl-PL"/>
        </w:rPr>
        <w:t> </w:t>
      </w:r>
      <w:r w:rsidRPr="00773CEE">
        <w:rPr>
          <w:lang w:val="pl-PL"/>
        </w:rPr>
        <w:t>przewidywal</w:t>
      </w:r>
      <w:r w:rsidR="008A7298" w:rsidRPr="00773CEE">
        <w:rPr>
          <w:lang w:val="pl-PL"/>
        </w:rPr>
        <w:t>ne w swym zastosowaniu.</w:t>
      </w:r>
    </w:p>
    <w:p w14:paraId="1E241B58" w14:textId="3DF594D3" w:rsidR="008A7298" w:rsidRPr="008A7298" w:rsidRDefault="008A7298">
      <w:pPr>
        <w:pStyle w:val="ClinContent"/>
        <w:rPr>
          <w:lang w:val="pl-PL"/>
        </w:rPr>
      </w:pPr>
      <w:r w:rsidRPr="008A7298">
        <w:rPr>
          <w:lang w:val="pl-PL"/>
        </w:rPr>
        <w:t xml:space="preserve">Ponadto większość z tych gwarancji została przyznana skarżącemu przed Komisją </w:t>
      </w:r>
      <w:r w:rsidR="0007037E">
        <w:rPr>
          <w:lang w:val="pl-PL"/>
        </w:rPr>
        <w:t>ds.</w:t>
      </w:r>
      <w:r w:rsidR="00251D9C">
        <w:rPr>
          <w:lang w:val="pl-PL"/>
        </w:rPr>
        <w:t> </w:t>
      </w:r>
      <w:r w:rsidR="0007037E">
        <w:rPr>
          <w:lang w:val="pl-PL"/>
        </w:rPr>
        <w:t>Mandatów</w:t>
      </w:r>
      <w:r>
        <w:rPr>
          <w:lang w:val="pl-PL"/>
        </w:rPr>
        <w:t>, która nie miała żadnych uprawnień decyzyjnych, a Parlament Walonii nie</w:t>
      </w:r>
      <w:r w:rsidR="00251D9C">
        <w:rPr>
          <w:lang w:val="pl-PL"/>
        </w:rPr>
        <w:t> </w:t>
      </w:r>
      <w:r>
        <w:rPr>
          <w:lang w:val="pl-PL"/>
        </w:rPr>
        <w:t>zastosował się do jej wniosków. Parlament Walonii podał co prawda uzasadnienie sw</w:t>
      </w:r>
      <w:r w:rsidR="00415980">
        <w:rPr>
          <w:lang w:val="pl-PL"/>
        </w:rPr>
        <w:t>oj</w:t>
      </w:r>
      <w:r>
        <w:rPr>
          <w:lang w:val="pl-PL"/>
        </w:rPr>
        <w:t>ej decyzji, jednak nie wyjaśnił, dlaczego postanowił nie uwzględnić opinii Komisji, choć</w:t>
      </w:r>
      <w:r w:rsidR="00251D9C">
        <w:rPr>
          <w:lang w:val="pl-PL"/>
        </w:rPr>
        <w:t> </w:t>
      </w:r>
      <w:r>
        <w:rPr>
          <w:lang w:val="pl-PL"/>
        </w:rPr>
        <w:t xml:space="preserve">Komisja wyraziła pogląd, na tych samych podstawach, na jakich opierał się Parlament, że skarga skarżącego jest dopuszczalna i uzasadniona oraz że głosy wyborcze z okręgu skarżącego powinny zostać </w:t>
      </w:r>
      <w:r w:rsidR="001F3D19">
        <w:rPr>
          <w:lang w:val="pl-PL"/>
        </w:rPr>
        <w:t>policz</w:t>
      </w:r>
      <w:r>
        <w:rPr>
          <w:lang w:val="pl-PL"/>
        </w:rPr>
        <w:t>one</w:t>
      </w:r>
      <w:r w:rsidR="00DC23B7" w:rsidRPr="00DC23B7">
        <w:rPr>
          <w:lang w:val="pl-PL"/>
        </w:rPr>
        <w:t xml:space="preserve"> </w:t>
      </w:r>
      <w:r w:rsidR="00DC23B7">
        <w:rPr>
          <w:lang w:val="pl-PL"/>
        </w:rPr>
        <w:t>ponownie</w:t>
      </w:r>
      <w:r>
        <w:rPr>
          <w:lang w:val="pl-PL"/>
        </w:rPr>
        <w:t xml:space="preserve">. </w:t>
      </w:r>
    </w:p>
    <w:p w14:paraId="6A39CF97" w14:textId="5E7CF8E1" w:rsidR="008A7298" w:rsidRPr="008A7298" w:rsidRDefault="008A7298">
      <w:pPr>
        <w:pStyle w:val="ClinContent"/>
        <w:rPr>
          <w:lang w:val="pl-PL"/>
        </w:rPr>
      </w:pPr>
      <w:r w:rsidRPr="008A7298">
        <w:rPr>
          <w:lang w:val="pl-PL"/>
        </w:rPr>
        <w:t xml:space="preserve">Wynika z tego, że skarga skarżącego została zbadana przez organ, który nie zapewnił wymaganych gwarancji bezstronności i którego </w:t>
      </w:r>
      <w:r w:rsidR="001F3D19">
        <w:rPr>
          <w:lang w:val="pl-PL"/>
        </w:rPr>
        <w:t>zakres swobody nie został określony</w:t>
      </w:r>
      <w:r w:rsidRPr="008A7298">
        <w:rPr>
          <w:lang w:val="pl-PL"/>
        </w:rPr>
        <w:t xml:space="preserve"> wystarczająco precyzyjnie przez przepisy prawa krajowego. </w:t>
      </w:r>
      <w:r>
        <w:rPr>
          <w:lang w:val="pl-PL"/>
        </w:rPr>
        <w:t xml:space="preserve">Gwarancje udzielone skarżącemu w trakcie procedury, przyznawane w sposób uznaniowy, były również niewystarczające. Zarzuty skarżącego nie zostały rozpatrzone w procedurze oferującej odpowiednie i wystarczające gwarancje </w:t>
      </w:r>
      <w:r w:rsidR="001F3D19">
        <w:rPr>
          <w:lang w:val="pl-PL"/>
        </w:rPr>
        <w:t>mające na celu zapobieganie arbitralności i</w:t>
      </w:r>
      <w:r w:rsidR="00251D9C">
        <w:rPr>
          <w:lang w:val="pl-PL"/>
        </w:rPr>
        <w:t> </w:t>
      </w:r>
      <w:r w:rsidR="001F3D19">
        <w:rPr>
          <w:lang w:val="pl-PL"/>
        </w:rPr>
        <w:t>zapewnienie</w:t>
      </w:r>
      <w:r>
        <w:rPr>
          <w:lang w:val="pl-PL"/>
        </w:rPr>
        <w:t xml:space="preserve"> skutecznego zbadania zgodnie z wymogami art. 3 Protokołu nr 1. </w:t>
      </w:r>
    </w:p>
    <w:p w14:paraId="46DDD5C8" w14:textId="77777777" w:rsidR="008A7298" w:rsidRPr="00ED2EEC" w:rsidRDefault="008A7298">
      <w:pPr>
        <w:pStyle w:val="ClinContent"/>
        <w:rPr>
          <w:lang w:val="pl-PL"/>
        </w:rPr>
      </w:pPr>
      <w:r w:rsidRPr="00ED2EEC">
        <w:rPr>
          <w:i/>
          <w:lang w:val="pl-PL"/>
        </w:rPr>
        <w:t xml:space="preserve">Rozstrzygnięcie: </w:t>
      </w:r>
      <w:r w:rsidRPr="00ED2EEC">
        <w:rPr>
          <w:lang w:val="pl-PL"/>
        </w:rPr>
        <w:t xml:space="preserve">naruszenie (jednogłośnie). </w:t>
      </w:r>
    </w:p>
    <w:p w14:paraId="475F3225" w14:textId="62DCAE55" w:rsidR="008A7298" w:rsidRPr="008A7298" w:rsidRDefault="008A7298">
      <w:pPr>
        <w:pStyle w:val="ClinContent"/>
        <w:rPr>
          <w:lang w:val="pl-PL"/>
        </w:rPr>
      </w:pPr>
      <w:r w:rsidRPr="008A7298">
        <w:rPr>
          <w:lang w:val="pl-PL"/>
        </w:rPr>
        <w:t>Art. 13 Konwencji w związku</w:t>
      </w:r>
      <w:r>
        <w:rPr>
          <w:lang w:val="pl-PL"/>
        </w:rPr>
        <w:t xml:space="preserve"> </w:t>
      </w:r>
      <w:r w:rsidRPr="008A7298">
        <w:rPr>
          <w:lang w:val="pl-PL"/>
        </w:rPr>
        <w:t xml:space="preserve">z art. </w:t>
      </w:r>
      <w:r>
        <w:rPr>
          <w:lang w:val="pl-PL"/>
        </w:rPr>
        <w:t xml:space="preserve">3 Protokołu nr 1: W obecnym systemie belgijskim </w:t>
      </w:r>
      <w:r w:rsidR="00776AD6">
        <w:rPr>
          <w:lang w:val="pl-PL"/>
        </w:rPr>
        <w:t>po</w:t>
      </w:r>
      <w:r w:rsidR="00251D9C">
        <w:rPr>
          <w:lang w:val="pl-PL"/>
        </w:rPr>
        <w:t> </w:t>
      </w:r>
      <w:r w:rsidR="00776AD6">
        <w:rPr>
          <w:lang w:val="pl-PL"/>
        </w:rPr>
        <w:t xml:space="preserve">decyzji Parlamentu Walonii </w:t>
      </w:r>
      <w:r>
        <w:rPr>
          <w:lang w:val="pl-PL"/>
        </w:rPr>
        <w:t>nie był dostępny inny środek odwoławczy</w:t>
      </w:r>
      <w:r w:rsidR="00776AD6">
        <w:rPr>
          <w:lang w:val="pl-PL"/>
        </w:rPr>
        <w:t xml:space="preserve"> </w:t>
      </w:r>
      <w:r>
        <w:rPr>
          <w:lang w:val="pl-PL"/>
        </w:rPr>
        <w:t xml:space="preserve">– ani do władzy sądowej, ani do innego organu. W istocie prawo krajowe przyznawało Parlamentowi </w:t>
      </w:r>
      <w:r>
        <w:rPr>
          <w:lang w:val="pl-PL"/>
        </w:rPr>
        <w:lastRenderedPageBreak/>
        <w:t xml:space="preserve">Walonii wyłączną właściwość do orzekania w sprawie ważności wyborów </w:t>
      </w:r>
      <w:r w:rsidR="007A0821">
        <w:rPr>
          <w:lang w:val="pl-PL"/>
        </w:rPr>
        <w:t>jego</w:t>
      </w:r>
      <w:r>
        <w:rPr>
          <w:lang w:val="pl-PL"/>
        </w:rPr>
        <w:t xml:space="preserve"> członków. Zgodnie z tymi postanowieniami sądy uznawały brak sw</w:t>
      </w:r>
      <w:r w:rsidR="00415980">
        <w:rPr>
          <w:lang w:val="pl-PL"/>
        </w:rPr>
        <w:t>oj</w:t>
      </w:r>
      <w:r>
        <w:rPr>
          <w:lang w:val="pl-PL"/>
        </w:rPr>
        <w:t xml:space="preserve">ej właściwości do zajmowania się sporami dotyczącymi kwestii wynikających po wyborach. </w:t>
      </w:r>
    </w:p>
    <w:p w14:paraId="2A13A323" w14:textId="27F94CD7" w:rsidR="008A7298" w:rsidRPr="008A7298" w:rsidRDefault="008A7298">
      <w:pPr>
        <w:pStyle w:val="ClinContent"/>
        <w:rPr>
          <w:lang w:val="pl-PL"/>
        </w:rPr>
      </w:pPr>
      <w:r w:rsidRPr="008A7298">
        <w:rPr>
          <w:lang w:val="pl-PL"/>
        </w:rPr>
        <w:t xml:space="preserve">Trybunał uznał na podstawie art. </w:t>
      </w:r>
      <w:r>
        <w:rPr>
          <w:lang w:val="pl-PL"/>
        </w:rPr>
        <w:t>3 Protokołu nr 1, że procedura skargowa do Parlamentu Walonii nie zapewniała odpowiednich i wystarczających gwarancji skuteczne</w:t>
      </w:r>
      <w:r w:rsidR="008755FA">
        <w:rPr>
          <w:lang w:val="pl-PL"/>
        </w:rPr>
        <w:t>go zbadania</w:t>
      </w:r>
      <w:r>
        <w:rPr>
          <w:lang w:val="pl-PL"/>
        </w:rPr>
        <w:t xml:space="preserve"> zarzutów skarżącego. A zat</w:t>
      </w:r>
      <w:r w:rsidR="00415980">
        <w:rPr>
          <w:lang w:val="pl-PL"/>
        </w:rPr>
        <w:t>em, przy braku takich gwarancji</w:t>
      </w:r>
      <w:r>
        <w:rPr>
          <w:lang w:val="pl-PL"/>
        </w:rPr>
        <w:t xml:space="preserve"> środek ten nie może być uznany za skuteczny </w:t>
      </w:r>
      <w:r w:rsidR="008755FA">
        <w:rPr>
          <w:lang w:val="pl-PL"/>
        </w:rPr>
        <w:t xml:space="preserve">również </w:t>
      </w:r>
      <w:r>
        <w:rPr>
          <w:lang w:val="pl-PL"/>
        </w:rPr>
        <w:t xml:space="preserve">w rozumieniu art. 13 Konwencji. </w:t>
      </w:r>
    </w:p>
    <w:p w14:paraId="4E664C8E" w14:textId="7DD11EE8" w:rsidR="008A7298" w:rsidRPr="0084068A" w:rsidRDefault="0084068A">
      <w:pPr>
        <w:pStyle w:val="ClinContent"/>
        <w:rPr>
          <w:lang w:val="pl-PL"/>
        </w:rPr>
      </w:pPr>
      <w:r w:rsidRPr="0084068A">
        <w:rPr>
          <w:lang w:val="pl-PL"/>
        </w:rPr>
        <w:t>Pojęcie</w:t>
      </w:r>
      <w:r w:rsidR="008A7298" w:rsidRPr="0084068A">
        <w:rPr>
          <w:lang w:val="pl-PL"/>
        </w:rPr>
        <w:t xml:space="preserve"> </w:t>
      </w:r>
      <w:r>
        <w:rPr>
          <w:lang w:val="pl-PL"/>
        </w:rPr>
        <w:t>„</w:t>
      </w:r>
      <w:r w:rsidRPr="0084068A">
        <w:rPr>
          <w:lang w:val="pl-PL"/>
        </w:rPr>
        <w:t>organu</w:t>
      </w:r>
      <w:r w:rsidR="008A7298" w:rsidRPr="0084068A">
        <w:rPr>
          <w:lang w:val="pl-PL"/>
        </w:rPr>
        <w:t>”</w:t>
      </w:r>
      <w:r w:rsidRPr="0084068A">
        <w:rPr>
          <w:lang w:val="pl-PL"/>
        </w:rPr>
        <w:t xml:space="preserve">, do którego odwołuje się art. </w:t>
      </w:r>
      <w:r>
        <w:rPr>
          <w:lang w:val="pl-PL"/>
        </w:rPr>
        <w:t xml:space="preserve">13, niekoniecznie musi </w:t>
      </w:r>
      <w:r w:rsidR="007A0821">
        <w:rPr>
          <w:lang w:val="pl-PL"/>
        </w:rPr>
        <w:t xml:space="preserve">się </w:t>
      </w:r>
      <w:r>
        <w:rPr>
          <w:lang w:val="pl-PL"/>
        </w:rPr>
        <w:t>odnosić do</w:t>
      </w:r>
      <w:r w:rsidR="00251D9C">
        <w:rPr>
          <w:lang w:val="pl-PL"/>
        </w:rPr>
        <w:t> </w:t>
      </w:r>
      <w:r>
        <w:rPr>
          <w:lang w:val="pl-PL"/>
        </w:rPr>
        <w:t>władzy sądowej w ścisłym rozumieniu</w:t>
      </w:r>
      <w:r w:rsidR="00DC23B7">
        <w:rPr>
          <w:lang w:val="pl-PL"/>
        </w:rPr>
        <w:t xml:space="preserve"> tego pojęcia</w:t>
      </w:r>
      <w:r>
        <w:rPr>
          <w:lang w:val="pl-PL"/>
        </w:rPr>
        <w:t>. Mając na uwadze zasadę subsydiarności i różnorodność systemów wyborczych istniejących w Europie, nie jest rolą Trybunału wskazywanie, jaki środek powinien być zapewniony</w:t>
      </w:r>
      <w:r w:rsidR="007A0821">
        <w:rPr>
          <w:lang w:val="pl-PL"/>
        </w:rPr>
        <w:t xml:space="preserve"> w celu spełnienia wymogów </w:t>
      </w:r>
      <w:r>
        <w:rPr>
          <w:lang w:val="pl-PL"/>
        </w:rPr>
        <w:t>Konwencji. Kwestia ta, która jest ściśle powiązana z zasadą podziału władz, należy do</w:t>
      </w:r>
      <w:r w:rsidR="00251D9C">
        <w:rPr>
          <w:lang w:val="pl-PL"/>
        </w:rPr>
        <w:t> </w:t>
      </w:r>
      <w:r>
        <w:rPr>
          <w:lang w:val="pl-PL"/>
        </w:rPr>
        <w:t xml:space="preserve">szerokiego marginesu oceny przyznanego Układającym się Państwom w </w:t>
      </w:r>
      <w:r w:rsidR="008755FA">
        <w:rPr>
          <w:lang w:val="pl-PL"/>
        </w:rPr>
        <w:t>organizowaniu</w:t>
      </w:r>
      <w:r>
        <w:rPr>
          <w:lang w:val="pl-PL"/>
        </w:rPr>
        <w:t xml:space="preserve"> </w:t>
      </w:r>
      <w:r w:rsidR="00DC23B7">
        <w:rPr>
          <w:lang w:val="pl-PL"/>
        </w:rPr>
        <w:t>swy</w:t>
      </w:r>
      <w:r w:rsidR="006D4D35">
        <w:rPr>
          <w:lang w:val="pl-PL"/>
        </w:rPr>
        <w:t>ch systemów wyborczych</w:t>
      </w:r>
      <w:r>
        <w:rPr>
          <w:lang w:val="pl-PL"/>
        </w:rPr>
        <w:t xml:space="preserve">. Środek sądowy lub </w:t>
      </w:r>
      <w:r w:rsidR="006D4D35">
        <w:rPr>
          <w:lang w:val="pl-PL"/>
        </w:rPr>
        <w:t>typu sądowego</w:t>
      </w:r>
      <w:r>
        <w:rPr>
          <w:lang w:val="pl-PL"/>
        </w:rPr>
        <w:t xml:space="preserve">, </w:t>
      </w:r>
      <w:r w:rsidR="007A0821">
        <w:rPr>
          <w:lang w:val="pl-PL"/>
        </w:rPr>
        <w:t xml:space="preserve">czy to </w:t>
      </w:r>
      <w:r>
        <w:rPr>
          <w:lang w:val="pl-PL"/>
        </w:rPr>
        <w:t>w pierwszej instancji</w:t>
      </w:r>
      <w:r w:rsidR="007A0821">
        <w:rPr>
          <w:lang w:val="pl-PL"/>
        </w:rPr>
        <w:t>, czy</w:t>
      </w:r>
      <w:r>
        <w:rPr>
          <w:lang w:val="pl-PL"/>
        </w:rPr>
        <w:t xml:space="preserve"> po decyzji organu niesądowego, </w:t>
      </w:r>
      <w:r w:rsidR="00415980">
        <w:rPr>
          <w:lang w:val="pl-PL"/>
        </w:rPr>
        <w:t xml:space="preserve">ze swej natury </w:t>
      </w:r>
      <w:r w:rsidR="006D4D35">
        <w:rPr>
          <w:lang w:val="pl-PL"/>
        </w:rPr>
        <w:t xml:space="preserve">co do zasady </w:t>
      </w:r>
      <w:r>
        <w:rPr>
          <w:lang w:val="pl-PL"/>
        </w:rPr>
        <w:t xml:space="preserve">spełnia wymogi art. 3 Protokołu nr 1. </w:t>
      </w:r>
    </w:p>
    <w:p w14:paraId="4593D16E" w14:textId="77777777" w:rsidR="0084068A" w:rsidRPr="00ED2EEC" w:rsidRDefault="0084068A">
      <w:pPr>
        <w:pStyle w:val="ClinContent"/>
        <w:rPr>
          <w:lang w:val="pl-PL"/>
        </w:rPr>
      </w:pPr>
      <w:r w:rsidRPr="00ED2EEC">
        <w:rPr>
          <w:i/>
          <w:lang w:val="pl-PL"/>
        </w:rPr>
        <w:t xml:space="preserve">Rozstrzygnięcie: </w:t>
      </w:r>
      <w:r w:rsidRPr="00ED2EEC">
        <w:rPr>
          <w:lang w:val="pl-PL"/>
        </w:rPr>
        <w:t xml:space="preserve">naruszenie (jednogłośnie). </w:t>
      </w:r>
    </w:p>
    <w:p w14:paraId="52D64DBD" w14:textId="77777777" w:rsidR="0084068A" w:rsidRPr="0084068A" w:rsidRDefault="0084068A">
      <w:pPr>
        <w:pStyle w:val="ClinContent"/>
        <w:rPr>
          <w:lang w:val="pl-PL"/>
        </w:rPr>
      </w:pPr>
      <w:r w:rsidRPr="0084068A">
        <w:rPr>
          <w:lang w:val="pl-PL"/>
        </w:rPr>
        <w:t xml:space="preserve">Art. 41: 2000 euro </w:t>
      </w:r>
      <w:r>
        <w:rPr>
          <w:lang w:val="pl-PL"/>
        </w:rPr>
        <w:t xml:space="preserve">z tytułu </w:t>
      </w:r>
      <w:r w:rsidRPr="0084068A">
        <w:rPr>
          <w:lang w:val="pl-PL"/>
        </w:rPr>
        <w:t xml:space="preserve">szkody niemajątkowej, roszczenie z </w:t>
      </w:r>
      <w:r>
        <w:rPr>
          <w:lang w:val="pl-PL"/>
        </w:rPr>
        <w:t>tytułu szkody majątkowej oddalone.</w:t>
      </w:r>
    </w:p>
    <w:p w14:paraId="02713144" w14:textId="64363EF6" w:rsidR="00A95940" w:rsidRPr="0084068A" w:rsidRDefault="00B316D5">
      <w:pPr>
        <w:pStyle w:val="ClinContent"/>
        <w:rPr>
          <w:lang w:val="pl-PL"/>
        </w:rPr>
      </w:pPr>
      <w:r w:rsidRPr="0084068A">
        <w:rPr>
          <w:lang w:val="pl-PL"/>
        </w:rPr>
        <w:t>(</w:t>
      </w:r>
      <w:r w:rsidR="0084068A" w:rsidRPr="0084068A">
        <w:rPr>
          <w:lang w:val="pl-PL"/>
        </w:rPr>
        <w:t xml:space="preserve">Zob. również </w:t>
      </w:r>
      <w:proofErr w:type="spellStart"/>
      <w:r w:rsidRPr="0084068A">
        <w:rPr>
          <w:i/>
          <w:lang w:val="pl-PL"/>
        </w:rPr>
        <w:t>Dadydov</w:t>
      </w:r>
      <w:proofErr w:type="spellEnd"/>
      <w:r w:rsidRPr="0084068A">
        <w:rPr>
          <w:i/>
          <w:lang w:val="pl-PL"/>
        </w:rPr>
        <w:t xml:space="preserve"> </w:t>
      </w:r>
      <w:r w:rsidR="0084068A" w:rsidRPr="0084068A">
        <w:rPr>
          <w:i/>
          <w:lang w:val="pl-PL"/>
        </w:rPr>
        <w:t>i Inni p</w:t>
      </w:r>
      <w:r w:rsidRPr="0084068A">
        <w:rPr>
          <w:i/>
          <w:lang w:val="pl-PL"/>
        </w:rPr>
        <w:t>. R</w:t>
      </w:r>
      <w:r w:rsidR="0084068A" w:rsidRPr="0084068A">
        <w:rPr>
          <w:i/>
          <w:lang w:val="pl-PL"/>
        </w:rPr>
        <w:t>osji</w:t>
      </w:r>
      <w:r w:rsidRPr="0084068A">
        <w:rPr>
          <w:lang w:val="pl-PL"/>
        </w:rPr>
        <w:t xml:space="preserve">, </w:t>
      </w:r>
      <w:r w:rsidR="0084068A" w:rsidRPr="0084068A">
        <w:rPr>
          <w:lang w:val="pl-PL"/>
        </w:rPr>
        <w:t xml:space="preserve">nr </w:t>
      </w:r>
      <w:r w:rsidRPr="0084068A">
        <w:rPr>
          <w:lang w:val="pl-PL"/>
        </w:rPr>
        <w:t>75947/11, 30 </w:t>
      </w:r>
      <w:r w:rsidR="0084068A">
        <w:rPr>
          <w:lang w:val="pl-PL"/>
        </w:rPr>
        <w:t xml:space="preserve">maja </w:t>
      </w:r>
      <w:r w:rsidRPr="0084068A">
        <w:rPr>
          <w:lang w:val="pl-PL"/>
        </w:rPr>
        <w:t>2017</w:t>
      </w:r>
      <w:r w:rsidR="0084068A">
        <w:rPr>
          <w:lang w:val="pl-PL"/>
        </w:rPr>
        <w:t xml:space="preserve"> r.</w:t>
      </w:r>
      <w:r w:rsidRPr="0084068A">
        <w:rPr>
          <w:lang w:val="pl-PL"/>
        </w:rPr>
        <w:t xml:space="preserve">, </w:t>
      </w:r>
      <w:hyperlink r:id="rId7" w:history="1">
        <w:r w:rsidRPr="0084068A">
          <w:rPr>
            <w:rStyle w:val="Hipercze"/>
            <w:lang w:val="pl-PL"/>
          </w:rPr>
          <w:t>Not</w:t>
        </w:r>
        <w:r w:rsidR="0084068A">
          <w:rPr>
            <w:rStyle w:val="Hipercze"/>
            <w:lang w:val="pl-PL"/>
          </w:rPr>
          <w:t>a informacyjna nt. orzecznictwa nr</w:t>
        </w:r>
        <w:r w:rsidRPr="0084068A">
          <w:rPr>
            <w:rStyle w:val="Hipercze"/>
            <w:lang w:val="pl-PL"/>
          </w:rPr>
          <w:t> 207</w:t>
        </w:r>
      </w:hyperlink>
      <w:r w:rsidR="006F628B">
        <w:rPr>
          <w:rStyle w:val="Odwoanieprzypisudolnego"/>
          <w:color w:val="0069D6"/>
          <w:u w:val="single"/>
          <w:lang w:val="pl-PL"/>
        </w:rPr>
        <w:footnoteReference w:id="1"/>
      </w:r>
      <w:bookmarkStart w:id="0" w:name="_GoBack"/>
      <w:bookmarkEnd w:id="0"/>
      <w:r w:rsidRPr="0084068A">
        <w:rPr>
          <w:lang w:val="pl-PL"/>
        </w:rPr>
        <w:t>)</w:t>
      </w:r>
    </w:p>
    <w:p w14:paraId="4B7BBCDE" w14:textId="77777777" w:rsidR="00A95940" w:rsidRPr="0084068A" w:rsidRDefault="00A95940">
      <w:pPr>
        <w:pBdr>
          <w:bottom w:val="single" w:sz="8" w:space="1" w:color="auto"/>
        </w:pBdr>
        <w:rPr>
          <w:lang w:val="pl-PL"/>
        </w:rPr>
      </w:pPr>
    </w:p>
    <w:p w14:paraId="65096F35" w14:textId="77777777" w:rsidR="000E04AC" w:rsidRDefault="000E04AC" w:rsidP="000E04AC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35FC3DF0" w14:textId="77777777" w:rsidR="00A95940" w:rsidRDefault="000E04AC" w:rsidP="000E04AC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8" w:history="1">
        <w:r>
          <w:rPr>
            <w:rStyle w:val="Hipercze"/>
            <w:lang w:val="pl-PL"/>
          </w:rPr>
          <w:t>Not informacyjnych nt. orzecznictwa</w:t>
        </w:r>
      </w:hyperlink>
    </w:p>
    <w:p w14:paraId="28E0F96E" w14:textId="0CEFA4A8" w:rsidR="000A7C94" w:rsidRPr="003030DB" w:rsidRDefault="000A7C94" w:rsidP="000A7C94">
      <w:pPr>
        <w:pStyle w:val="ClinFooter"/>
        <w:jc w:val="left"/>
        <w:rPr>
          <w:lang w:val="pl-PL"/>
        </w:rPr>
      </w:pPr>
    </w:p>
    <w:sectPr w:rsidR="000A7C94" w:rsidRPr="003030DB" w:rsidSect="004A5B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BFDD5" w14:textId="77777777" w:rsidR="0057570C" w:rsidRDefault="0057570C" w:rsidP="00C63262">
      <w:r>
        <w:separator/>
      </w:r>
    </w:p>
  </w:endnote>
  <w:endnote w:type="continuationSeparator" w:id="0">
    <w:p w14:paraId="1EB6563C" w14:textId="77777777" w:rsidR="0057570C" w:rsidRDefault="0057570C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7CE827" w14:textId="77777777" w:rsidR="007C7DF8" w:rsidRDefault="007C7D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611096" w14:textId="77777777" w:rsidR="007C7DF8" w:rsidRDefault="007C7DF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72BEB" w14:textId="77777777" w:rsidR="0071773F" w:rsidRPr="0071773F" w:rsidRDefault="0071773F" w:rsidP="0071773F"/>
  <w:p w14:paraId="191C9850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E26339F" wp14:editId="2A974CA8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DF751" w14:textId="77777777" w:rsidR="0057570C" w:rsidRDefault="0057570C" w:rsidP="00C63262">
      <w:r>
        <w:separator/>
      </w:r>
    </w:p>
  </w:footnote>
  <w:footnote w:type="continuationSeparator" w:id="0">
    <w:p w14:paraId="3A963EE7" w14:textId="77777777" w:rsidR="0057570C" w:rsidRDefault="0057570C" w:rsidP="00C63262">
      <w:r>
        <w:continuationSeparator/>
      </w:r>
    </w:p>
  </w:footnote>
  <w:footnote w:id="1">
    <w:p w14:paraId="101A61C6" w14:textId="77777777" w:rsidR="006F628B" w:rsidRDefault="006F628B" w:rsidP="006F628B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Tłumaczenie streszczenia wyroku na język polski jest dostępne na stronie:</w:t>
      </w:r>
    </w:p>
    <w:p w14:paraId="5F25ACD0" w14:textId="77777777" w:rsidR="006F628B" w:rsidRPr="00BF49CA" w:rsidRDefault="006F628B" w:rsidP="006F628B">
      <w:pPr>
        <w:pStyle w:val="Tekstprzypisudolnego"/>
        <w:rPr>
          <w:lang w:val="pl-PL"/>
        </w:rPr>
      </w:pPr>
      <w:hyperlink r:id="rId1" w:history="1">
        <w:r w:rsidRPr="00326409">
          <w:rPr>
            <w:rStyle w:val="Hipercze"/>
            <w:lang w:val="pl-PL"/>
          </w:rPr>
          <w:t>https://hudoc.echr.coe.int/eng?i=001-182494</w:t>
        </w:r>
      </w:hyperlink>
      <w:r>
        <w:rPr>
          <w:lang w:val="pl-P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8DC63" w14:textId="77777777" w:rsidR="007C7DF8" w:rsidRDefault="007C7D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312215"/>
      <w:docPartObj>
        <w:docPartGallery w:val="Page Numbers (Top of Page)"/>
        <w:docPartUnique/>
      </w:docPartObj>
    </w:sdtPr>
    <w:sdtEndPr/>
    <w:sdtContent>
      <w:p w14:paraId="0C7BA14E" w14:textId="3C691F1B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6F628B">
          <w:rPr>
            <w:noProof/>
          </w:rPr>
          <w:t>5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8BF84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65D0EC1F" wp14:editId="1AFF45D1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F0"/>
    <w:rsid w:val="00023C87"/>
    <w:rsid w:val="00032F9F"/>
    <w:rsid w:val="00034EAD"/>
    <w:rsid w:val="00037CCC"/>
    <w:rsid w:val="00064F4A"/>
    <w:rsid w:val="0007037E"/>
    <w:rsid w:val="0007515C"/>
    <w:rsid w:val="00075A54"/>
    <w:rsid w:val="00097888"/>
    <w:rsid w:val="000A2B1A"/>
    <w:rsid w:val="000A7C94"/>
    <w:rsid w:val="000E04AC"/>
    <w:rsid w:val="000E08D8"/>
    <w:rsid w:val="000E6448"/>
    <w:rsid w:val="000F13B5"/>
    <w:rsid w:val="00107377"/>
    <w:rsid w:val="0012741D"/>
    <w:rsid w:val="00143602"/>
    <w:rsid w:val="00172D28"/>
    <w:rsid w:val="00173BC7"/>
    <w:rsid w:val="001769E4"/>
    <w:rsid w:val="00186560"/>
    <w:rsid w:val="001D5D0F"/>
    <w:rsid w:val="001F3D19"/>
    <w:rsid w:val="00212E83"/>
    <w:rsid w:val="0023098E"/>
    <w:rsid w:val="00233E8F"/>
    <w:rsid w:val="00251D9C"/>
    <w:rsid w:val="00255245"/>
    <w:rsid w:val="00270B0B"/>
    <w:rsid w:val="00292726"/>
    <w:rsid w:val="00295A6A"/>
    <w:rsid w:val="002966E7"/>
    <w:rsid w:val="002A5B9B"/>
    <w:rsid w:val="002E088D"/>
    <w:rsid w:val="002F2132"/>
    <w:rsid w:val="002F7154"/>
    <w:rsid w:val="0030264F"/>
    <w:rsid w:val="003030DB"/>
    <w:rsid w:val="003450B3"/>
    <w:rsid w:val="0036707C"/>
    <w:rsid w:val="00386397"/>
    <w:rsid w:val="00386958"/>
    <w:rsid w:val="003A1BA5"/>
    <w:rsid w:val="003A64A6"/>
    <w:rsid w:val="003D7BB3"/>
    <w:rsid w:val="003F38F8"/>
    <w:rsid w:val="003F4DFE"/>
    <w:rsid w:val="0040054B"/>
    <w:rsid w:val="00404AA3"/>
    <w:rsid w:val="00415980"/>
    <w:rsid w:val="004404C2"/>
    <w:rsid w:val="004452B2"/>
    <w:rsid w:val="004554E1"/>
    <w:rsid w:val="004566A4"/>
    <w:rsid w:val="00460AA0"/>
    <w:rsid w:val="0046453F"/>
    <w:rsid w:val="004A5B52"/>
    <w:rsid w:val="004B4508"/>
    <w:rsid w:val="004C4408"/>
    <w:rsid w:val="004D568D"/>
    <w:rsid w:val="004E1037"/>
    <w:rsid w:val="0052092D"/>
    <w:rsid w:val="00540D75"/>
    <w:rsid w:val="005514E5"/>
    <w:rsid w:val="0057570C"/>
    <w:rsid w:val="005943F1"/>
    <w:rsid w:val="005A4F43"/>
    <w:rsid w:val="005C7C54"/>
    <w:rsid w:val="00600363"/>
    <w:rsid w:val="006028A1"/>
    <w:rsid w:val="00613F4F"/>
    <w:rsid w:val="00631A28"/>
    <w:rsid w:val="00636F59"/>
    <w:rsid w:val="00682FD6"/>
    <w:rsid w:val="00686844"/>
    <w:rsid w:val="006A36AD"/>
    <w:rsid w:val="006B0126"/>
    <w:rsid w:val="006C1D96"/>
    <w:rsid w:val="006C283F"/>
    <w:rsid w:val="006D325E"/>
    <w:rsid w:val="006D4D35"/>
    <w:rsid w:val="006E0E38"/>
    <w:rsid w:val="006F628B"/>
    <w:rsid w:val="00707809"/>
    <w:rsid w:val="0071773F"/>
    <w:rsid w:val="00747F25"/>
    <w:rsid w:val="007560F1"/>
    <w:rsid w:val="007632C8"/>
    <w:rsid w:val="00773CEE"/>
    <w:rsid w:val="00774515"/>
    <w:rsid w:val="00776AD6"/>
    <w:rsid w:val="007A0821"/>
    <w:rsid w:val="007C4BB2"/>
    <w:rsid w:val="007C7DF8"/>
    <w:rsid w:val="008173EA"/>
    <w:rsid w:val="0084068A"/>
    <w:rsid w:val="00843B71"/>
    <w:rsid w:val="00851280"/>
    <w:rsid w:val="00867904"/>
    <w:rsid w:val="00871878"/>
    <w:rsid w:val="008755FA"/>
    <w:rsid w:val="008758E0"/>
    <w:rsid w:val="00895EF3"/>
    <w:rsid w:val="008A7298"/>
    <w:rsid w:val="008C0894"/>
    <w:rsid w:val="008C64D5"/>
    <w:rsid w:val="008E2196"/>
    <w:rsid w:val="008F5822"/>
    <w:rsid w:val="00903D38"/>
    <w:rsid w:val="00940665"/>
    <w:rsid w:val="0094524C"/>
    <w:rsid w:val="00946441"/>
    <w:rsid w:val="0097468D"/>
    <w:rsid w:val="009B3B2C"/>
    <w:rsid w:val="009C4A83"/>
    <w:rsid w:val="009C5F5D"/>
    <w:rsid w:val="009C6129"/>
    <w:rsid w:val="009D68EC"/>
    <w:rsid w:val="009E3EF0"/>
    <w:rsid w:val="00A01052"/>
    <w:rsid w:val="00A04AF4"/>
    <w:rsid w:val="00A04D9C"/>
    <w:rsid w:val="00A0718A"/>
    <w:rsid w:val="00A258BB"/>
    <w:rsid w:val="00A33541"/>
    <w:rsid w:val="00A36315"/>
    <w:rsid w:val="00A45616"/>
    <w:rsid w:val="00A51D68"/>
    <w:rsid w:val="00A82DE3"/>
    <w:rsid w:val="00A95940"/>
    <w:rsid w:val="00AC7726"/>
    <w:rsid w:val="00B05F10"/>
    <w:rsid w:val="00B316D5"/>
    <w:rsid w:val="00B41B62"/>
    <w:rsid w:val="00B4584D"/>
    <w:rsid w:val="00B47FA0"/>
    <w:rsid w:val="00B7477B"/>
    <w:rsid w:val="00B80CA0"/>
    <w:rsid w:val="00B830F0"/>
    <w:rsid w:val="00B85770"/>
    <w:rsid w:val="00B908DB"/>
    <w:rsid w:val="00BE7E8C"/>
    <w:rsid w:val="00BF1CD9"/>
    <w:rsid w:val="00C37433"/>
    <w:rsid w:val="00C44D4F"/>
    <w:rsid w:val="00C547C6"/>
    <w:rsid w:val="00C63262"/>
    <w:rsid w:val="00C71837"/>
    <w:rsid w:val="00C72355"/>
    <w:rsid w:val="00C93CFB"/>
    <w:rsid w:val="00CA7012"/>
    <w:rsid w:val="00CB0746"/>
    <w:rsid w:val="00CC60A1"/>
    <w:rsid w:val="00CE0536"/>
    <w:rsid w:val="00CE2200"/>
    <w:rsid w:val="00CF7BA6"/>
    <w:rsid w:val="00D1175F"/>
    <w:rsid w:val="00D1272B"/>
    <w:rsid w:val="00D23D2E"/>
    <w:rsid w:val="00D42086"/>
    <w:rsid w:val="00D425B3"/>
    <w:rsid w:val="00D5773B"/>
    <w:rsid w:val="00D82FBF"/>
    <w:rsid w:val="00D848A6"/>
    <w:rsid w:val="00DB307A"/>
    <w:rsid w:val="00DC23B7"/>
    <w:rsid w:val="00DD1E42"/>
    <w:rsid w:val="00DF7AD8"/>
    <w:rsid w:val="00E3048B"/>
    <w:rsid w:val="00E42F39"/>
    <w:rsid w:val="00E55491"/>
    <w:rsid w:val="00E83DB6"/>
    <w:rsid w:val="00EA53E7"/>
    <w:rsid w:val="00ED2EEC"/>
    <w:rsid w:val="00EE521F"/>
    <w:rsid w:val="00F374C4"/>
    <w:rsid w:val="00F5088E"/>
    <w:rsid w:val="00F508C9"/>
    <w:rsid w:val="00F50CCD"/>
    <w:rsid w:val="00F5247C"/>
    <w:rsid w:val="00F930D0"/>
    <w:rsid w:val="00FA29ED"/>
    <w:rsid w:val="00FA2E20"/>
    <w:rsid w:val="00FA2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F9352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851280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51280"/>
  </w:style>
  <w:style w:type="character" w:styleId="Odwoaniedokomentarza">
    <w:name w:val="annotation reference"/>
    <w:basedOn w:val="Domylnaczcionkaakapitu"/>
    <w:semiHidden/>
    <w:unhideWhenUsed/>
    <w:rsid w:val="0007515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7515C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7515C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0751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07515C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07515C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5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://hudoc.echr.coe.int/eng?i=002-11520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hudoc.echr.coe.int/eng?i=001-182494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2275</Words>
  <Characters>13653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2022-02-25T14:36:00Z</dcterms:created>
  <dcterms:modified xsi:type="dcterms:W3CDTF">2022-03-07T14:14:00Z</dcterms:modified>
</cp:coreProperties>
</file>