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B3D2F" w:rsidR="001C45B8" w:rsidP="00EB3D2F" w:rsidRDefault="001C45B8">
      <w:pPr>
        <w:pStyle w:val="JuPara"/>
        <w:ind w:firstLine="0"/>
        <w:jc w:val="center"/>
      </w:pPr>
      <w:bookmarkStart w:name="_GoBack" w:id="0"/>
      <w:bookmarkEnd w:id="0"/>
    </w:p>
    <w:p w:rsidRPr="00EB3D2F" w:rsidR="001C45B8" w:rsidP="00EB3D2F" w:rsidRDefault="001C45B8">
      <w:pPr>
        <w:pStyle w:val="JuPara"/>
        <w:ind w:firstLine="0"/>
        <w:jc w:val="center"/>
      </w:pPr>
    </w:p>
    <w:p w:rsidRPr="00EB3D2F" w:rsidR="00E77CB3" w:rsidP="00EB3D2F" w:rsidRDefault="00382AC5">
      <w:pPr>
        <w:pStyle w:val="DecHCase"/>
      </w:pPr>
      <w:r w:rsidRPr="00EB3D2F">
        <w:t>CINQUIÈME SECTION</w:t>
      </w:r>
    </w:p>
    <w:p w:rsidRPr="00EB3D2F" w:rsidR="00E77CB3" w:rsidP="00826A64" w:rsidRDefault="00E77CB3">
      <w:pPr>
        <w:pStyle w:val="JuTitle"/>
        <w:spacing w:before="960"/>
      </w:pPr>
      <w:bookmarkStart w:name="To" w:id="1"/>
      <w:r w:rsidRPr="00EB3D2F">
        <w:t xml:space="preserve">AFFAIRE </w:t>
      </w:r>
      <w:bookmarkEnd w:id="1"/>
      <w:r w:rsidRPr="00EB3D2F" w:rsidR="00382AC5">
        <w:t xml:space="preserve">BALDASSI </w:t>
      </w:r>
      <w:r w:rsidRPr="00EB3D2F" w:rsidR="000036C3">
        <w:t>ET AUTRES</w:t>
      </w:r>
      <w:r w:rsidR="00565C93">
        <w:t xml:space="preserve"> c. </w:t>
      </w:r>
      <w:r w:rsidRPr="00EB3D2F" w:rsidR="00382AC5">
        <w:t>FRANCE</w:t>
      </w:r>
    </w:p>
    <w:p w:rsidRPr="00EB3D2F" w:rsidR="00F35091" w:rsidP="00EB3D2F" w:rsidRDefault="00E77CB3">
      <w:pPr>
        <w:pStyle w:val="ECHRCoverTitle4"/>
      </w:pPr>
      <w:r w:rsidRPr="00EB3D2F">
        <w:t>(</w:t>
      </w:r>
      <w:r w:rsidRPr="00EB3D2F" w:rsidR="00F779A8">
        <w:t>Requête</w:t>
      </w:r>
      <w:r w:rsidRPr="00EB3D2F" w:rsidR="007D2369">
        <w:t>s</w:t>
      </w:r>
      <w:r w:rsidRPr="00EB3D2F" w:rsidR="00382AC5">
        <w:t xml:space="preserve"> </w:t>
      </w:r>
      <w:r w:rsidRPr="00EB3D2F" w:rsidR="002612A3">
        <w:t>n</w:t>
      </w:r>
      <w:r w:rsidRPr="00EB3D2F" w:rsidR="002612A3">
        <w:rPr>
          <w:vertAlign w:val="superscript"/>
        </w:rPr>
        <w:t>o</w:t>
      </w:r>
      <w:r w:rsidRPr="00EB3D2F" w:rsidR="007D2369">
        <w:rPr>
          <w:vertAlign w:val="superscript"/>
        </w:rPr>
        <w:t>s</w:t>
      </w:r>
      <w:r w:rsidRPr="00EB3D2F" w:rsidR="00382AC5">
        <w:t xml:space="preserve"> 15271/16</w:t>
      </w:r>
      <w:r w:rsidRPr="00EB3D2F" w:rsidR="00A6318E">
        <w:t xml:space="preserve"> et 6 autres</w:t>
      </w:r>
      <w:r w:rsidRPr="00EB3D2F" w:rsidR="00F35091">
        <w:t>)</w:t>
      </w:r>
    </w:p>
    <w:p w:rsidRPr="00EB3D2F" w:rsidR="00C2408B" w:rsidP="00EB3D2F" w:rsidRDefault="00C2408B">
      <w:pPr>
        <w:pStyle w:val="DecHCase"/>
      </w:pPr>
    </w:p>
    <w:p w:rsidRPr="00EB3D2F" w:rsidR="00C2408B" w:rsidP="00EB3D2F" w:rsidRDefault="00C2408B">
      <w:pPr>
        <w:pStyle w:val="DecHCase"/>
      </w:pPr>
    </w:p>
    <w:p w:rsidRPr="00EB3D2F" w:rsidR="00C2408B" w:rsidP="00EB3D2F" w:rsidRDefault="00042E32">
      <w:pPr>
        <w:pStyle w:val="DecHCase"/>
      </w:pPr>
      <w:r w:rsidRPr="00EB3D2F">
        <w:t>ARRÊ</w:t>
      </w:r>
      <w:r w:rsidRPr="00EB3D2F" w:rsidR="00C2408B">
        <w:t>T</w:t>
      </w:r>
    </w:p>
    <w:p w:rsidRPr="00EB3D2F" w:rsidR="001C45B8" w:rsidP="00EB3D2F" w:rsidRDefault="001C45B8">
      <w:pPr>
        <w:pStyle w:val="JuPara"/>
      </w:pPr>
    </w:p>
    <w:p w:rsidRPr="00826A64" w:rsidR="000E00D1" w:rsidP="00EB3D2F" w:rsidRDefault="000E00D1">
      <w:pPr>
        <w:pStyle w:val="JuPara"/>
        <w:pBdr>
          <w:top w:val="single" w:color="auto" w:sz="4" w:space="1"/>
          <w:left w:val="single" w:color="auto" w:sz="4" w:space="4"/>
          <w:bottom w:val="single" w:color="auto" w:sz="4" w:space="1"/>
          <w:right w:val="single" w:color="auto" w:sz="4" w:space="4"/>
        </w:pBdr>
        <w:ind w:firstLine="0"/>
        <w:rPr>
          <w:sz w:val="22"/>
          <w:szCs w:val="22"/>
        </w:rPr>
      </w:pPr>
      <w:r w:rsidRPr="00826A64">
        <w:rPr>
          <w:sz w:val="22"/>
          <w:szCs w:val="22"/>
        </w:rPr>
        <w:t>Art</w:t>
      </w:r>
      <w:r w:rsidR="0035776E">
        <w:rPr>
          <w:sz w:val="22"/>
          <w:szCs w:val="22"/>
        </w:rPr>
        <w:t>.</w:t>
      </w:r>
      <w:r w:rsidRPr="00826A64">
        <w:rPr>
          <w:sz w:val="22"/>
          <w:szCs w:val="22"/>
        </w:rPr>
        <w:t xml:space="preserve"> 10 • Liberté d</w:t>
      </w:r>
      <w:r w:rsidR="00062221">
        <w:rPr>
          <w:sz w:val="22"/>
          <w:szCs w:val="22"/>
        </w:rPr>
        <w:t>’</w:t>
      </w:r>
      <w:r w:rsidRPr="00826A64">
        <w:rPr>
          <w:sz w:val="22"/>
          <w:szCs w:val="22"/>
        </w:rPr>
        <w:t>expression • Action militante en faveur du boycott des produits en provenance d</w:t>
      </w:r>
      <w:r w:rsidR="00062221">
        <w:rPr>
          <w:sz w:val="22"/>
          <w:szCs w:val="22"/>
        </w:rPr>
        <w:t>’</w:t>
      </w:r>
      <w:r w:rsidRPr="00826A64">
        <w:rPr>
          <w:sz w:val="22"/>
          <w:szCs w:val="22"/>
        </w:rPr>
        <w:t>Israël pénalement réprimée comme discriminatoire, sans motifs pertinents et suffisants • Appel au boycott protégé par l</w:t>
      </w:r>
      <w:r w:rsidR="00062221">
        <w:rPr>
          <w:sz w:val="22"/>
          <w:szCs w:val="22"/>
        </w:rPr>
        <w:t>’</w:t>
      </w:r>
      <w:r w:rsidR="00565C93">
        <w:rPr>
          <w:sz w:val="22"/>
          <w:szCs w:val="22"/>
        </w:rPr>
        <w:t>article </w:t>
      </w:r>
      <w:r w:rsidRPr="00826A64">
        <w:rPr>
          <w:sz w:val="22"/>
          <w:szCs w:val="22"/>
        </w:rPr>
        <w:t>10 en tant que modalité d</w:t>
      </w:r>
      <w:r w:rsidR="00062221">
        <w:rPr>
          <w:sz w:val="22"/>
          <w:szCs w:val="22"/>
        </w:rPr>
        <w:t>’</w:t>
      </w:r>
      <w:r w:rsidRPr="00826A64">
        <w:rPr>
          <w:sz w:val="22"/>
          <w:szCs w:val="22"/>
        </w:rPr>
        <w:t>expression d</w:t>
      </w:r>
      <w:r w:rsidR="00062221">
        <w:rPr>
          <w:sz w:val="22"/>
          <w:szCs w:val="22"/>
        </w:rPr>
        <w:t>’</w:t>
      </w:r>
      <w:r w:rsidRPr="00826A64">
        <w:rPr>
          <w:sz w:val="22"/>
          <w:szCs w:val="22"/>
        </w:rPr>
        <w:t>opinions protestataires • Différences établies avec l</w:t>
      </w:r>
      <w:r w:rsidR="00062221">
        <w:rPr>
          <w:sz w:val="22"/>
          <w:szCs w:val="22"/>
        </w:rPr>
        <w:t>’</w:t>
      </w:r>
      <w:r w:rsidRPr="00826A64">
        <w:rPr>
          <w:sz w:val="22"/>
          <w:szCs w:val="22"/>
        </w:rPr>
        <w:t xml:space="preserve">affaire </w:t>
      </w:r>
      <w:r w:rsidRPr="00826A64">
        <w:rPr>
          <w:i/>
          <w:sz w:val="22"/>
          <w:szCs w:val="22"/>
        </w:rPr>
        <w:t>Willem</w:t>
      </w:r>
      <w:r w:rsidR="00565C93">
        <w:rPr>
          <w:i/>
          <w:sz w:val="22"/>
          <w:szCs w:val="22"/>
        </w:rPr>
        <w:t xml:space="preserve"> c. </w:t>
      </w:r>
      <w:r w:rsidRPr="00826A64">
        <w:rPr>
          <w:i/>
          <w:sz w:val="22"/>
          <w:szCs w:val="22"/>
        </w:rPr>
        <w:t>France</w:t>
      </w:r>
      <w:r w:rsidRPr="00826A64">
        <w:rPr>
          <w:sz w:val="22"/>
          <w:szCs w:val="22"/>
        </w:rPr>
        <w:t xml:space="preserve"> • Influence des requérants, simples citoyens, incomparable à celle d</w:t>
      </w:r>
      <w:r w:rsidR="00062221">
        <w:rPr>
          <w:sz w:val="22"/>
          <w:szCs w:val="22"/>
        </w:rPr>
        <w:t>’</w:t>
      </w:r>
      <w:r w:rsidRPr="00826A64">
        <w:rPr>
          <w:sz w:val="22"/>
          <w:szCs w:val="22"/>
        </w:rPr>
        <w:t>un maire • Action tendant à provoquer ou stimuler le débat sur un sujet d</w:t>
      </w:r>
      <w:r w:rsidR="00062221">
        <w:rPr>
          <w:sz w:val="22"/>
          <w:szCs w:val="22"/>
        </w:rPr>
        <w:t>’</w:t>
      </w:r>
      <w:r w:rsidRPr="00826A64">
        <w:rPr>
          <w:sz w:val="22"/>
          <w:szCs w:val="22"/>
        </w:rPr>
        <w:t>intérêt général • Absence de propos racistes ou antisémites et d</w:t>
      </w:r>
      <w:r w:rsidR="00062221">
        <w:rPr>
          <w:sz w:val="22"/>
          <w:szCs w:val="22"/>
        </w:rPr>
        <w:t>’</w:t>
      </w:r>
      <w:r w:rsidRPr="00826A64">
        <w:rPr>
          <w:sz w:val="22"/>
          <w:szCs w:val="22"/>
        </w:rPr>
        <w:t>appel à la haine, la violence et l</w:t>
      </w:r>
      <w:r w:rsidR="00062221">
        <w:rPr>
          <w:sz w:val="22"/>
          <w:szCs w:val="22"/>
        </w:rPr>
        <w:t>’</w:t>
      </w:r>
      <w:r w:rsidRPr="00826A64">
        <w:rPr>
          <w:sz w:val="22"/>
          <w:szCs w:val="22"/>
        </w:rPr>
        <w:t>intolérance • Absence de violence ou dégâts matériels</w:t>
      </w:r>
    </w:p>
    <w:p w:rsidRPr="00826A64" w:rsidR="00C2408B" w:rsidP="00EB3D2F" w:rsidRDefault="000E00D1">
      <w:pPr>
        <w:pStyle w:val="JuPara"/>
        <w:pBdr>
          <w:top w:val="single" w:color="auto" w:sz="4" w:space="1"/>
          <w:left w:val="single" w:color="auto" w:sz="4" w:space="4"/>
          <w:bottom w:val="single" w:color="auto" w:sz="4" w:space="1"/>
          <w:right w:val="single" w:color="auto" w:sz="4" w:space="4"/>
        </w:pBdr>
        <w:ind w:firstLine="0"/>
        <w:rPr>
          <w:sz w:val="22"/>
          <w:szCs w:val="22"/>
        </w:rPr>
      </w:pPr>
      <w:r w:rsidRPr="00826A64">
        <w:rPr>
          <w:sz w:val="22"/>
          <w:szCs w:val="22"/>
        </w:rPr>
        <w:t>Art</w:t>
      </w:r>
      <w:r w:rsidR="0035776E">
        <w:rPr>
          <w:sz w:val="22"/>
          <w:szCs w:val="22"/>
        </w:rPr>
        <w:t>.</w:t>
      </w:r>
      <w:r w:rsidRPr="00826A64">
        <w:rPr>
          <w:sz w:val="22"/>
          <w:szCs w:val="22"/>
        </w:rPr>
        <w:t xml:space="preserve"> 7 • </w:t>
      </w:r>
      <w:proofErr w:type="spellStart"/>
      <w:r w:rsidRPr="00826A64">
        <w:rPr>
          <w:i/>
          <w:sz w:val="22"/>
          <w:szCs w:val="22"/>
        </w:rPr>
        <w:t>Nullum</w:t>
      </w:r>
      <w:proofErr w:type="spellEnd"/>
      <w:r w:rsidRPr="00826A64">
        <w:rPr>
          <w:i/>
          <w:sz w:val="22"/>
          <w:szCs w:val="22"/>
        </w:rPr>
        <w:t xml:space="preserve"> </w:t>
      </w:r>
      <w:proofErr w:type="spellStart"/>
      <w:r w:rsidRPr="00826A64">
        <w:rPr>
          <w:i/>
          <w:sz w:val="22"/>
          <w:szCs w:val="22"/>
        </w:rPr>
        <w:t>crimen</w:t>
      </w:r>
      <w:proofErr w:type="spellEnd"/>
      <w:r w:rsidRPr="00826A64">
        <w:rPr>
          <w:i/>
          <w:sz w:val="22"/>
          <w:szCs w:val="22"/>
        </w:rPr>
        <w:t xml:space="preserve"> sine lege</w:t>
      </w:r>
      <w:r w:rsidRPr="00826A64">
        <w:rPr>
          <w:sz w:val="22"/>
          <w:szCs w:val="22"/>
        </w:rPr>
        <w:t xml:space="preserve"> • Existence d</w:t>
      </w:r>
      <w:r w:rsidR="00062221">
        <w:rPr>
          <w:sz w:val="22"/>
          <w:szCs w:val="22"/>
        </w:rPr>
        <w:t>’</w:t>
      </w:r>
      <w:r w:rsidRPr="00826A64">
        <w:rPr>
          <w:sz w:val="22"/>
          <w:szCs w:val="22"/>
        </w:rPr>
        <w:t>un précédent jurisprudentiel rendant prévisible une condamnation pénale</w:t>
      </w:r>
    </w:p>
    <w:p w:rsidRPr="00EB3D2F" w:rsidR="001C45B8" w:rsidP="00EB3D2F" w:rsidRDefault="001C45B8">
      <w:pPr>
        <w:pStyle w:val="JuPara"/>
        <w:ind w:firstLine="0"/>
      </w:pPr>
    </w:p>
    <w:p w:rsidRPr="00EB3D2F" w:rsidR="00C2408B" w:rsidP="00EB3D2F" w:rsidRDefault="00C2408B">
      <w:pPr>
        <w:pStyle w:val="DecHCase"/>
      </w:pPr>
      <w:r w:rsidRPr="00EB3D2F">
        <w:t>STRASBOURG</w:t>
      </w:r>
    </w:p>
    <w:p w:rsidRPr="00EB3D2F" w:rsidR="00C2408B" w:rsidP="00826A64" w:rsidRDefault="00D83079">
      <w:pPr>
        <w:pStyle w:val="DecHCase"/>
        <w:spacing w:after="360"/>
      </w:pPr>
      <w:r w:rsidRPr="00EB3D2F">
        <w:t>11</w:t>
      </w:r>
      <w:r w:rsidR="00565C93">
        <w:t> juin</w:t>
      </w:r>
      <w:r w:rsidRPr="00EB3D2F" w:rsidR="00C2408B">
        <w:t xml:space="preserve"> 2020</w:t>
      </w:r>
    </w:p>
    <w:p w:rsidR="00826A64" w:rsidP="00826A64" w:rsidRDefault="00826A64">
      <w:pPr>
        <w:pStyle w:val="jucase0"/>
        <w:ind w:firstLine="0"/>
        <w:jc w:val="center"/>
        <w:rPr>
          <w:color w:val="FF0000"/>
          <w:sz w:val="28"/>
          <w:szCs w:val="28"/>
          <w:u w:val="single"/>
          <w:lang w:val="fr-FR"/>
        </w:rPr>
      </w:pPr>
      <w:r w:rsidRPr="00261F46">
        <w:rPr>
          <w:color w:val="FF0000"/>
          <w:sz w:val="28"/>
          <w:szCs w:val="28"/>
          <w:u w:val="single"/>
          <w:lang w:val="fr-FR"/>
        </w:rPr>
        <w:t>DÉFINITIF</w:t>
      </w:r>
    </w:p>
    <w:p w:rsidRPr="00826A64" w:rsidR="00826A64" w:rsidP="00826A64" w:rsidRDefault="00826A64">
      <w:pPr>
        <w:pStyle w:val="jucase0"/>
        <w:ind w:firstLine="0"/>
        <w:jc w:val="center"/>
        <w:rPr>
          <w:b w:val="0"/>
          <w:color w:val="FF0000"/>
          <w:u w:val="single"/>
          <w:lang w:val="fr-FR"/>
        </w:rPr>
      </w:pPr>
    </w:p>
    <w:p w:rsidRPr="00E974D6" w:rsidR="00826A64" w:rsidP="00826A64" w:rsidRDefault="00826A64">
      <w:pPr>
        <w:pStyle w:val="jucase0"/>
        <w:ind w:firstLine="0"/>
        <w:jc w:val="center"/>
        <w:rPr>
          <w:b w:val="0"/>
          <w:color w:val="FF0000"/>
          <w:sz w:val="28"/>
          <w:szCs w:val="28"/>
          <w:lang w:val="fr-FR"/>
        </w:rPr>
      </w:pPr>
      <w:r>
        <w:rPr>
          <w:b w:val="0"/>
          <w:color w:val="FF0000"/>
          <w:sz w:val="28"/>
          <w:szCs w:val="28"/>
          <w:lang w:val="fr-FR"/>
        </w:rPr>
        <w:t>11</w:t>
      </w:r>
      <w:r w:rsidRPr="00E974D6">
        <w:rPr>
          <w:b w:val="0"/>
          <w:color w:val="FF0000"/>
          <w:sz w:val="28"/>
          <w:szCs w:val="28"/>
          <w:lang w:val="fr-FR"/>
        </w:rPr>
        <w:t>/09/2020</w:t>
      </w:r>
    </w:p>
    <w:p w:rsidRPr="00261F46" w:rsidR="00826A64" w:rsidP="00826A64" w:rsidRDefault="00826A64">
      <w:pPr>
        <w:pStyle w:val="jupara0"/>
        <w:ind w:firstLine="0"/>
        <w:jc w:val="center"/>
        <w:rPr>
          <w:u w:val="single"/>
          <w:lang w:val="fr-FR"/>
        </w:rPr>
      </w:pPr>
    </w:p>
    <w:p w:rsidR="00062221" w:rsidP="00826A64" w:rsidRDefault="00826A64">
      <w:pPr>
        <w:rPr>
          <w:i/>
          <w:iCs/>
          <w:sz w:val="22"/>
          <w:szCs w:val="22"/>
        </w:rPr>
      </w:pPr>
      <w:r w:rsidRPr="00261F46">
        <w:rPr>
          <w:i/>
          <w:iCs/>
          <w:sz w:val="22"/>
          <w:szCs w:val="22"/>
        </w:rPr>
        <w:t>Cet arrêt est devenu définitif en vertu de l</w:t>
      </w:r>
      <w:r w:rsidR="00062221">
        <w:rPr>
          <w:i/>
          <w:iCs/>
          <w:sz w:val="22"/>
          <w:szCs w:val="22"/>
        </w:rPr>
        <w:t>’</w:t>
      </w:r>
      <w:r w:rsidR="00565C93">
        <w:rPr>
          <w:i/>
          <w:iCs/>
          <w:sz w:val="22"/>
          <w:szCs w:val="22"/>
        </w:rPr>
        <w:t>article </w:t>
      </w:r>
      <w:r w:rsidRPr="00261F46">
        <w:rPr>
          <w:i/>
          <w:iCs/>
          <w:sz w:val="22"/>
          <w:szCs w:val="22"/>
        </w:rPr>
        <w:t xml:space="preserve">44 </w:t>
      </w:r>
      <w:r w:rsidR="00565C93">
        <w:rPr>
          <w:i/>
          <w:iCs/>
          <w:sz w:val="22"/>
          <w:szCs w:val="22"/>
        </w:rPr>
        <w:t>§ </w:t>
      </w:r>
      <w:r w:rsidRPr="00261F46">
        <w:rPr>
          <w:i/>
          <w:iCs/>
          <w:sz w:val="22"/>
          <w:szCs w:val="22"/>
        </w:rPr>
        <w:t>2 de la Convention.</w:t>
      </w:r>
    </w:p>
    <w:p w:rsidRPr="00EB3D2F" w:rsidR="00DC4D84" w:rsidP="00EB3D2F" w:rsidRDefault="00DC4D84">
      <w:pPr>
        <w:pStyle w:val="JuPara"/>
        <w:ind w:firstLine="0"/>
        <w:jc w:val="left"/>
        <w:sectPr w:rsidRPr="00EB3D2F" w:rsidR="00DC4D84" w:rsidSect="007F1711">
          <w:headerReference w:type="even" r:id="rId8"/>
          <w:headerReference w:type="default" r:id="rId9"/>
          <w:footerReference w:type="default" r:id="rId10"/>
          <w:headerReference w:type="first" r:id="rId11"/>
          <w:footerReference w:type="first" r:id="rId12"/>
          <w:footnotePr>
            <w:numRestart w:val="eachSect"/>
          </w:footnotePr>
          <w:type w:val="continuous"/>
          <w:pgSz w:w="11906" w:h="16838" w:code="9"/>
          <w:pgMar w:top="2274" w:right="2274" w:bottom="2274" w:left="2274" w:header="1701" w:footer="720" w:gutter="0"/>
          <w:cols w:space="720"/>
          <w:titlePg/>
          <w:docGrid w:linePitch="326"/>
        </w:sectPr>
      </w:pPr>
    </w:p>
    <w:p w:rsidRPr="00EB3D2F" w:rsidR="00E77CB3" w:rsidP="00EB3D2F" w:rsidRDefault="00E77CB3">
      <w:pPr>
        <w:pStyle w:val="JuCase"/>
      </w:pPr>
      <w:r w:rsidRPr="00EB3D2F">
        <w:t>En l</w:t>
      </w:r>
      <w:r w:rsidR="00062221">
        <w:t>’</w:t>
      </w:r>
      <w:r w:rsidRPr="00EB3D2F">
        <w:t xml:space="preserve">affaire </w:t>
      </w:r>
      <w:r w:rsidRPr="00EB3D2F" w:rsidR="00382AC5">
        <w:t xml:space="preserve">Baldassi </w:t>
      </w:r>
      <w:r w:rsidRPr="00EB3D2F" w:rsidR="00637AF3">
        <w:t>et autres</w:t>
      </w:r>
      <w:r w:rsidR="00565C93">
        <w:t xml:space="preserve"> c. </w:t>
      </w:r>
      <w:r w:rsidRPr="00EB3D2F" w:rsidR="00382AC5">
        <w:t>France</w:t>
      </w:r>
      <w:r w:rsidRPr="00EB3D2F">
        <w:t>,</w:t>
      </w:r>
    </w:p>
    <w:p w:rsidRPr="00EB3D2F" w:rsidR="00E77CB3" w:rsidP="00EB3D2F" w:rsidRDefault="00E77CB3">
      <w:pPr>
        <w:pStyle w:val="JuPara"/>
      </w:pPr>
      <w:r w:rsidRPr="00EB3D2F">
        <w:t>La Cour européenne des droits de l</w:t>
      </w:r>
      <w:r w:rsidR="00062221">
        <w:t>’</w:t>
      </w:r>
      <w:r w:rsidRPr="00EB3D2F">
        <w:t>homme (</w:t>
      </w:r>
      <w:r w:rsidRPr="00EB3D2F" w:rsidR="00382AC5">
        <w:t>cinquième section</w:t>
      </w:r>
      <w:r w:rsidRPr="00EB3D2F">
        <w:t xml:space="preserve">), siégeant en </w:t>
      </w:r>
      <w:r w:rsidRPr="00EB3D2F" w:rsidR="00382AC5">
        <w:t xml:space="preserve">une </w:t>
      </w:r>
      <w:r w:rsidR="00277282">
        <w:t>chambre</w:t>
      </w:r>
      <w:r w:rsidRPr="00EB3D2F" w:rsidR="00277282">
        <w:t xml:space="preserve"> </w:t>
      </w:r>
      <w:r w:rsidRPr="00EB3D2F" w:rsidR="00382AC5">
        <w:t>composée</w:t>
      </w:r>
      <w:r w:rsidRPr="00EB3D2F">
        <w:t xml:space="preserve"> de</w:t>
      </w:r>
      <w:r w:rsidR="006A4DF1">
        <w:t> :</w:t>
      </w:r>
    </w:p>
    <w:p w:rsidRPr="00EB3D2F" w:rsidR="00E77CB3" w:rsidP="00EB3D2F" w:rsidRDefault="00C2408B">
      <w:pPr>
        <w:pStyle w:val="ECHRDecisionBody"/>
      </w:pPr>
      <w:r w:rsidRPr="00EB3D2F">
        <w:tab/>
      </w:r>
      <w:proofErr w:type="spellStart"/>
      <w:r w:rsidRPr="00EB3D2F">
        <w:t>Síofra</w:t>
      </w:r>
      <w:proofErr w:type="spellEnd"/>
      <w:r w:rsidRPr="00EB3D2F">
        <w:t xml:space="preserve"> </w:t>
      </w:r>
      <w:proofErr w:type="spellStart"/>
      <w:r w:rsidRPr="00EB3D2F">
        <w:t>O</w:t>
      </w:r>
      <w:r w:rsidR="00062221">
        <w:t>’</w:t>
      </w:r>
      <w:r w:rsidRPr="00EB3D2F">
        <w:t>Leary</w:t>
      </w:r>
      <w:proofErr w:type="spellEnd"/>
      <w:r w:rsidRPr="00EB3D2F">
        <w:t>,</w:t>
      </w:r>
      <w:r w:rsidRPr="00EB3D2F">
        <w:rPr>
          <w:i/>
        </w:rPr>
        <w:t xml:space="preserve"> présidente</w:t>
      </w:r>
      <w:r w:rsidRPr="00062221">
        <w:t>,</w:t>
      </w:r>
      <w:r w:rsidRPr="00EB3D2F">
        <w:rPr>
          <w:i/>
        </w:rPr>
        <w:br/>
      </w:r>
      <w:r w:rsidRPr="00EB3D2F">
        <w:tab/>
        <w:t xml:space="preserve">Gabriele </w:t>
      </w:r>
      <w:proofErr w:type="spellStart"/>
      <w:r w:rsidRPr="00EB3D2F">
        <w:t>Kucsko-Stadlmayer</w:t>
      </w:r>
      <w:proofErr w:type="spellEnd"/>
      <w:r w:rsidRPr="00EB3D2F">
        <w:t>,</w:t>
      </w:r>
      <w:r w:rsidRPr="00EB3D2F">
        <w:rPr>
          <w:i/>
        </w:rPr>
        <w:br/>
      </w:r>
      <w:r w:rsidRPr="00EB3D2F">
        <w:tab/>
      </w:r>
      <w:proofErr w:type="spellStart"/>
      <w:r w:rsidRPr="00EB3D2F">
        <w:t>Ganna</w:t>
      </w:r>
      <w:proofErr w:type="spellEnd"/>
      <w:r w:rsidRPr="00EB3D2F">
        <w:t xml:space="preserve"> </w:t>
      </w:r>
      <w:proofErr w:type="spellStart"/>
      <w:r w:rsidRPr="00EB3D2F">
        <w:t>Yudkivska</w:t>
      </w:r>
      <w:proofErr w:type="spellEnd"/>
      <w:r w:rsidRPr="00EB3D2F">
        <w:t>,</w:t>
      </w:r>
      <w:r w:rsidRPr="00EB3D2F">
        <w:rPr>
          <w:i/>
        </w:rPr>
        <w:br/>
      </w:r>
      <w:r w:rsidRPr="00EB3D2F">
        <w:tab/>
        <w:t>André Potocki,</w:t>
      </w:r>
      <w:r w:rsidRPr="00EB3D2F">
        <w:rPr>
          <w:i/>
        </w:rPr>
        <w:br/>
      </w:r>
      <w:r w:rsidRPr="00EB3D2F">
        <w:tab/>
      </w:r>
      <w:proofErr w:type="spellStart"/>
      <w:r w:rsidRPr="00EB3D2F">
        <w:t>Mārtiņš</w:t>
      </w:r>
      <w:proofErr w:type="spellEnd"/>
      <w:r w:rsidRPr="00EB3D2F">
        <w:t xml:space="preserve"> </w:t>
      </w:r>
      <w:proofErr w:type="spellStart"/>
      <w:r w:rsidRPr="00EB3D2F">
        <w:t>Mits</w:t>
      </w:r>
      <w:proofErr w:type="spellEnd"/>
      <w:r w:rsidRPr="00EB3D2F">
        <w:t>,</w:t>
      </w:r>
      <w:r w:rsidRPr="00EB3D2F">
        <w:rPr>
          <w:i/>
        </w:rPr>
        <w:br/>
      </w:r>
      <w:r w:rsidRPr="00EB3D2F">
        <w:tab/>
      </w:r>
      <w:proofErr w:type="spellStart"/>
      <w:r w:rsidRPr="00EB3D2F">
        <w:t>Lad</w:t>
      </w:r>
      <w:r w:rsidRPr="00277282" w:rsidR="00565C93">
        <w:t>o</w:t>
      </w:r>
      <w:proofErr w:type="spellEnd"/>
      <w:r w:rsidR="00277282">
        <w:t xml:space="preserve"> </w:t>
      </w:r>
      <w:proofErr w:type="spellStart"/>
      <w:r w:rsidRPr="00EB3D2F">
        <w:t>Chanturia</w:t>
      </w:r>
      <w:proofErr w:type="spellEnd"/>
      <w:r w:rsidRPr="00EB3D2F">
        <w:t>,</w:t>
      </w:r>
      <w:r w:rsidRPr="00EB3D2F">
        <w:rPr>
          <w:i/>
        </w:rPr>
        <w:br/>
      </w:r>
      <w:r w:rsidRPr="00EB3D2F">
        <w:tab/>
        <w:t xml:space="preserve">Anja </w:t>
      </w:r>
      <w:proofErr w:type="spellStart"/>
      <w:r w:rsidRPr="00EB3D2F">
        <w:t>Seibert-Fohr</w:t>
      </w:r>
      <w:proofErr w:type="spellEnd"/>
      <w:r w:rsidRPr="00EB3D2F">
        <w:t>,</w:t>
      </w:r>
      <w:r w:rsidRPr="00EB3D2F">
        <w:rPr>
          <w:i/>
        </w:rPr>
        <w:t xml:space="preserve"> juges</w:t>
      </w:r>
      <w:proofErr w:type="gramStart"/>
      <w:r w:rsidRPr="00062221">
        <w:t>,</w:t>
      </w:r>
      <w:proofErr w:type="gramEnd"/>
      <w:r w:rsidRPr="00EB3D2F" w:rsidR="00E77CB3">
        <w:br/>
        <w:t xml:space="preserve">et de </w:t>
      </w:r>
      <w:r w:rsidRPr="00EB3D2F" w:rsidR="00742C62">
        <w:t xml:space="preserve">Victor </w:t>
      </w:r>
      <w:proofErr w:type="spellStart"/>
      <w:r w:rsidRPr="00EB3D2F" w:rsidR="00742C62">
        <w:rPr>
          <w:rStyle w:val="JuJudgesChar"/>
        </w:rPr>
        <w:t>Soloveytchik</w:t>
      </w:r>
      <w:proofErr w:type="spellEnd"/>
      <w:r w:rsidRPr="00EB3D2F" w:rsidR="00E77CB3">
        <w:t xml:space="preserve">, </w:t>
      </w:r>
      <w:r w:rsidRPr="00EB3D2F" w:rsidR="00382AC5">
        <w:rPr>
          <w:i/>
        </w:rPr>
        <w:t>greffi</w:t>
      </w:r>
      <w:r w:rsidRPr="00EB3D2F" w:rsidR="00742C62">
        <w:rPr>
          <w:i/>
        </w:rPr>
        <w:t>e</w:t>
      </w:r>
      <w:r w:rsidRPr="00EB3D2F" w:rsidR="00382AC5">
        <w:rPr>
          <w:i/>
        </w:rPr>
        <w:t>r</w:t>
      </w:r>
      <w:r w:rsidRPr="00EB3D2F" w:rsidR="00382AC5">
        <w:rPr>
          <w:i/>
          <w:iCs/>
        </w:rPr>
        <w:t xml:space="preserve"> </w:t>
      </w:r>
      <w:r w:rsidRPr="00EB3D2F" w:rsidR="00742C62">
        <w:rPr>
          <w:i/>
          <w:iCs/>
        </w:rPr>
        <w:t xml:space="preserve">adjoint </w:t>
      </w:r>
      <w:r w:rsidRPr="00EB3D2F" w:rsidR="00382AC5">
        <w:rPr>
          <w:i/>
          <w:iCs/>
        </w:rPr>
        <w:t>d</w:t>
      </w:r>
      <w:r w:rsidRPr="00EB3D2F" w:rsidR="00382AC5">
        <w:rPr>
          <w:i/>
        </w:rPr>
        <w:t>e section</w:t>
      </w:r>
      <w:r w:rsidRPr="00EB3D2F" w:rsidR="00E77CB3">
        <w:t>,</w:t>
      </w:r>
    </w:p>
    <w:p w:rsidRPr="00EB3D2F" w:rsidR="00287D8D" w:rsidP="00EB3D2F" w:rsidRDefault="00287D8D">
      <w:pPr>
        <w:pStyle w:val="JuPara"/>
      </w:pPr>
      <w:r w:rsidRPr="00EB3D2F">
        <w:t>Vu</w:t>
      </w:r>
      <w:r w:rsidR="006A4DF1">
        <w:t xml:space="preserve"> </w:t>
      </w:r>
      <w:r w:rsidRPr="00EB3D2F">
        <w:t>les requêtes (n</w:t>
      </w:r>
      <w:r w:rsidRPr="00EB3D2F">
        <w:rPr>
          <w:vertAlign w:val="superscript"/>
        </w:rPr>
        <w:t>os</w:t>
      </w:r>
      <w:r w:rsidRPr="00EB3D2F">
        <w:t xml:space="preserve"> 15271/16, 15280/16, 15282/16, 15286/16, 15724/16, 15842/16 et 16207/16) dirigées contre la Ré</w:t>
      </w:r>
      <w:r w:rsidRPr="00EB3D2F" w:rsidR="00C9363E">
        <w:t>publique française et dont onze</w:t>
      </w:r>
      <w:r w:rsidR="006A4DF1">
        <w:t xml:space="preserve"> </w:t>
      </w:r>
      <w:r w:rsidRPr="00EB3D2F">
        <w:t>individus (</w:t>
      </w:r>
      <w:r w:rsidR="006A4DF1">
        <w:t>« </w:t>
      </w:r>
      <w:r w:rsidRPr="00EB3D2F">
        <w:t>les requérants</w:t>
      </w:r>
      <w:r w:rsidR="006A4DF1">
        <w:t> »</w:t>
      </w:r>
      <w:r w:rsidRPr="00EB3D2F">
        <w:t>) ont saisi la Cour en vertu de l</w:t>
      </w:r>
      <w:r w:rsidR="00062221">
        <w:t>’</w:t>
      </w:r>
      <w:r w:rsidR="00565C93">
        <w:t>article </w:t>
      </w:r>
      <w:r w:rsidRPr="00EB3D2F">
        <w:t>34 de la Convention de sauvegarde des droits de l</w:t>
      </w:r>
      <w:r w:rsidR="00062221">
        <w:t>’</w:t>
      </w:r>
      <w:r w:rsidRPr="00EB3D2F">
        <w:t>homme et des libertés fondamentales (</w:t>
      </w:r>
      <w:r w:rsidR="006A4DF1">
        <w:t>« </w:t>
      </w:r>
      <w:r w:rsidRPr="00EB3D2F">
        <w:t>la Convention</w:t>
      </w:r>
      <w:r w:rsidR="006A4DF1">
        <w:t> »</w:t>
      </w:r>
      <w:r w:rsidRPr="00EB3D2F">
        <w:t>)</w:t>
      </w:r>
      <w:r w:rsidR="006A4DF1">
        <w:t> ;</w:t>
      </w:r>
      <w:r w:rsidRPr="00EB3D2F">
        <w:t xml:space="preserve"> il s</w:t>
      </w:r>
      <w:r w:rsidR="00062221">
        <w:t>’</w:t>
      </w:r>
      <w:r w:rsidRPr="00EB3D2F">
        <w:t xml:space="preserve">agit de </w:t>
      </w:r>
      <w:r w:rsidR="00A54A38">
        <w:t>M. </w:t>
      </w:r>
      <w:r w:rsidRPr="00EB3D2F">
        <w:t>Jean-Michel Baldassi (requête n</w:t>
      </w:r>
      <w:r w:rsidRPr="00565C93" w:rsidR="00565C93">
        <w:rPr>
          <w:vertAlign w:val="superscript"/>
        </w:rPr>
        <w:t>o</w:t>
      </w:r>
      <w:r w:rsidRPr="00565C93" w:rsidR="00565C93">
        <w:t> </w:t>
      </w:r>
      <w:r w:rsidRPr="00EB3D2F">
        <w:t xml:space="preserve">15271/16), </w:t>
      </w:r>
      <w:r w:rsidR="00A54A38">
        <w:t>M. </w:t>
      </w:r>
      <w:r w:rsidRPr="00EB3D2F">
        <w:t xml:space="preserve">Henri </w:t>
      </w:r>
      <w:proofErr w:type="spellStart"/>
      <w:r w:rsidRPr="00EB3D2F">
        <w:t>Eichholtzer</w:t>
      </w:r>
      <w:proofErr w:type="spellEnd"/>
      <w:r w:rsidRPr="00EB3D2F">
        <w:t xml:space="preserve"> (requête n</w:t>
      </w:r>
      <w:r w:rsidRPr="00565C93" w:rsidR="00565C93">
        <w:rPr>
          <w:vertAlign w:val="superscript"/>
        </w:rPr>
        <w:t>o</w:t>
      </w:r>
      <w:r w:rsidRPr="00565C93" w:rsidR="00565C93">
        <w:t> </w:t>
      </w:r>
      <w:r w:rsidRPr="00EB3D2F">
        <w:t>15280/16), M</w:t>
      </w:r>
      <w:r w:rsidRPr="00EB3D2F">
        <w:rPr>
          <w:vertAlign w:val="superscript"/>
        </w:rPr>
        <w:t>me</w:t>
      </w:r>
      <w:r w:rsidRPr="00EB3D2F" w:rsidR="008B0E9A">
        <w:t> </w:t>
      </w:r>
      <w:r w:rsidRPr="00EB3D2F">
        <w:t>Aline Parmentier (requête n</w:t>
      </w:r>
      <w:r w:rsidRPr="00565C93" w:rsidR="00565C93">
        <w:rPr>
          <w:vertAlign w:val="superscript"/>
        </w:rPr>
        <w:t>o</w:t>
      </w:r>
      <w:r w:rsidRPr="00565C93" w:rsidR="00565C93">
        <w:t> </w:t>
      </w:r>
      <w:r w:rsidRPr="00EB3D2F">
        <w:t>15282/16) et M</w:t>
      </w:r>
      <w:r w:rsidRPr="00EB3D2F">
        <w:rPr>
          <w:vertAlign w:val="superscript"/>
        </w:rPr>
        <w:t>me</w:t>
      </w:r>
      <w:r w:rsidR="00A54A38">
        <w:t> </w:t>
      </w:r>
      <w:r w:rsidRPr="00EB3D2F">
        <w:t>Sylviane Mure (requête n</w:t>
      </w:r>
      <w:r w:rsidRPr="00565C93" w:rsidR="00565C93">
        <w:rPr>
          <w:vertAlign w:val="superscript"/>
        </w:rPr>
        <w:t>o</w:t>
      </w:r>
      <w:r w:rsidRPr="00565C93" w:rsidR="00565C93">
        <w:t> </w:t>
      </w:r>
      <w:r w:rsidRPr="00EB3D2F">
        <w:t>15286/16), qui ont saisi la Cour l</w:t>
      </w:r>
      <w:r w:rsidRPr="00EB3D2F" w:rsidR="00CE14B2">
        <w:t>e 16</w:t>
      </w:r>
      <w:r w:rsidR="00565C93">
        <w:t xml:space="preserve"> mars </w:t>
      </w:r>
      <w:r w:rsidRPr="00EB3D2F" w:rsidR="00CE14B2">
        <w:t>2016, de M</w:t>
      </w:r>
      <w:r w:rsidR="00A54A38">
        <w:t>. </w:t>
      </w:r>
      <w:proofErr w:type="spellStart"/>
      <w:r w:rsidRPr="00EB3D2F" w:rsidR="00CE14B2">
        <w:t>Nohammad</w:t>
      </w:r>
      <w:proofErr w:type="spellEnd"/>
      <w:r w:rsidR="00A54A38">
        <w:t xml:space="preserve"> </w:t>
      </w:r>
      <w:r w:rsidRPr="00EB3D2F">
        <w:t>Akbar (requête n</w:t>
      </w:r>
      <w:r w:rsidRPr="00565C93" w:rsidR="00565C93">
        <w:rPr>
          <w:vertAlign w:val="superscript"/>
        </w:rPr>
        <w:t>o</w:t>
      </w:r>
      <w:r w:rsidRPr="00565C93" w:rsidR="00565C93">
        <w:t> </w:t>
      </w:r>
      <w:r w:rsidRPr="00EB3D2F">
        <w:t xml:space="preserve">15842/16) et </w:t>
      </w:r>
      <w:r w:rsidR="00A54A38">
        <w:t>M. </w:t>
      </w:r>
      <w:r w:rsidRPr="00EB3D2F">
        <w:t>Maxime Roll (requête n</w:t>
      </w:r>
      <w:r w:rsidRPr="00565C93" w:rsidR="00565C93">
        <w:rPr>
          <w:vertAlign w:val="superscript"/>
        </w:rPr>
        <w:t>o</w:t>
      </w:r>
      <w:r w:rsidRPr="00565C93" w:rsidR="00565C93">
        <w:t> </w:t>
      </w:r>
      <w:r w:rsidRPr="00EB3D2F">
        <w:t>16207/16), qui ont saisi la Cour le 21</w:t>
      </w:r>
      <w:r w:rsidR="00565C93">
        <w:t xml:space="preserve"> mars </w:t>
      </w:r>
      <w:r w:rsidRPr="00EB3D2F">
        <w:t>2016, et de M</w:t>
      </w:r>
      <w:r w:rsidRPr="00EB3D2F">
        <w:rPr>
          <w:vertAlign w:val="superscript"/>
        </w:rPr>
        <w:t>me</w:t>
      </w:r>
      <w:r w:rsidRPr="00EB3D2F" w:rsidR="00CE14B2">
        <w:t> Laila</w:t>
      </w:r>
      <w:r w:rsidR="00A54A38">
        <w:t xml:space="preserve"> </w:t>
      </w:r>
      <w:proofErr w:type="spellStart"/>
      <w:r w:rsidRPr="00EB3D2F">
        <w:t>Assakali</w:t>
      </w:r>
      <w:proofErr w:type="spellEnd"/>
      <w:r w:rsidRPr="00EB3D2F">
        <w:t xml:space="preserve">, </w:t>
      </w:r>
      <w:r w:rsidR="00A54A38">
        <w:t>M. </w:t>
      </w:r>
      <w:r w:rsidRPr="00EB3D2F">
        <w:t xml:space="preserve">Yahya </w:t>
      </w:r>
      <w:proofErr w:type="spellStart"/>
      <w:r w:rsidRPr="00EB3D2F">
        <w:t>Assakali</w:t>
      </w:r>
      <w:proofErr w:type="spellEnd"/>
      <w:r w:rsidRPr="00EB3D2F">
        <w:t xml:space="preserve">, </w:t>
      </w:r>
      <w:r w:rsidR="00A54A38">
        <w:t>M. </w:t>
      </w:r>
      <w:r w:rsidRPr="00EB3D2F">
        <w:t xml:space="preserve">Jacques </w:t>
      </w:r>
      <w:proofErr w:type="spellStart"/>
      <w:r w:rsidRPr="00EB3D2F">
        <w:t>Ballouey</w:t>
      </w:r>
      <w:proofErr w:type="spellEnd"/>
      <w:r w:rsidRPr="00EB3D2F">
        <w:t>, M</w:t>
      </w:r>
      <w:r w:rsidRPr="00EB3D2F">
        <w:rPr>
          <w:vertAlign w:val="superscript"/>
        </w:rPr>
        <w:t>me</w:t>
      </w:r>
      <w:r w:rsidRPr="00565C93" w:rsidR="00565C93">
        <w:t> </w:t>
      </w:r>
      <w:proofErr w:type="spellStart"/>
      <w:r w:rsidRPr="00EB3D2F" w:rsidR="00CE14B2">
        <w:t>Habiba</w:t>
      </w:r>
      <w:proofErr w:type="spellEnd"/>
      <w:r w:rsidR="00A54A38">
        <w:t xml:space="preserve"> </w:t>
      </w:r>
      <w:r w:rsidRPr="00EB3D2F">
        <w:t xml:space="preserve">El </w:t>
      </w:r>
      <w:proofErr w:type="spellStart"/>
      <w:r w:rsidRPr="00EB3D2F">
        <w:t>Jarroudi</w:t>
      </w:r>
      <w:proofErr w:type="spellEnd"/>
      <w:r w:rsidRPr="00EB3D2F">
        <w:t xml:space="preserve"> et M</w:t>
      </w:r>
      <w:r w:rsidRPr="00EB3D2F">
        <w:rPr>
          <w:vertAlign w:val="superscript"/>
        </w:rPr>
        <w:t>me</w:t>
      </w:r>
      <w:r w:rsidR="00532467">
        <w:t> </w:t>
      </w:r>
      <w:r w:rsidRPr="00EB3D2F">
        <w:t xml:space="preserve">Farida </w:t>
      </w:r>
      <w:proofErr w:type="spellStart"/>
      <w:r w:rsidRPr="00EB3D2F">
        <w:t>Sarr</w:t>
      </w:r>
      <w:proofErr w:type="spellEnd"/>
      <w:r w:rsidRPr="00EB3D2F">
        <w:t>-Trichine (requête n</w:t>
      </w:r>
      <w:r w:rsidRPr="00565C93" w:rsidR="00565C93">
        <w:rPr>
          <w:vertAlign w:val="superscript"/>
        </w:rPr>
        <w:t>o</w:t>
      </w:r>
      <w:r w:rsidRPr="00565C93" w:rsidR="00565C93">
        <w:t> </w:t>
      </w:r>
      <w:r w:rsidRPr="00EB3D2F">
        <w:t>15724/16), qui ont saisi la Cour le 18</w:t>
      </w:r>
      <w:r w:rsidR="00565C93">
        <w:t xml:space="preserve"> mars </w:t>
      </w:r>
      <w:r w:rsidRPr="00EB3D2F">
        <w:t>2016</w:t>
      </w:r>
      <w:r w:rsidR="006A4DF1">
        <w:t> ;</w:t>
      </w:r>
      <w:r w:rsidRPr="00EB3D2F">
        <w:t xml:space="preserve"> ils sont de nationalité française, sauf </w:t>
      </w:r>
      <w:r w:rsidR="00A54A38">
        <w:t>M. </w:t>
      </w:r>
      <w:proofErr w:type="spellStart"/>
      <w:r w:rsidRPr="00EB3D2F">
        <w:t>Nohammad</w:t>
      </w:r>
      <w:proofErr w:type="spellEnd"/>
      <w:r w:rsidRPr="00EB3D2F">
        <w:t xml:space="preserve"> Akbar et M</w:t>
      </w:r>
      <w:r w:rsidRPr="00062221">
        <w:rPr>
          <w:vertAlign w:val="superscript"/>
        </w:rPr>
        <w:t>me</w:t>
      </w:r>
      <w:r w:rsidRPr="00EB3D2F">
        <w:t xml:space="preserve"> </w:t>
      </w:r>
      <w:proofErr w:type="spellStart"/>
      <w:r w:rsidRPr="00EB3D2F">
        <w:t>Habiba</w:t>
      </w:r>
      <w:proofErr w:type="spellEnd"/>
      <w:r w:rsidRPr="00EB3D2F">
        <w:t xml:space="preserve"> El </w:t>
      </w:r>
      <w:proofErr w:type="spellStart"/>
      <w:r w:rsidRPr="00EB3D2F">
        <w:t>Jarroudi</w:t>
      </w:r>
      <w:proofErr w:type="spellEnd"/>
      <w:r w:rsidRPr="00EB3D2F">
        <w:t>, qui sont de nationalités afghane et marocaine, respectivement,</w:t>
      </w:r>
    </w:p>
    <w:p w:rsidRPr="00EB3D2F" w:rsidR="00286329" w:rsidP="00EB3D2F" w:rsidRDefault="00A54A38">
      <w:pPr>
        <w:pStyle w:val="JuPara"/>
      </w:pPr>
      <w:r>
        <w:t xml:space="preserve">Vu </w:t>
      </w:r>
      <w:r w:rsidRPr="00EB3D2F" w:rsidR="00286329">
        <w:t>la décision du 7</w:t>
      </w:r>
      <w:r w:rsidR="00565C93">
        <w:t> avril</w:t>
      </w:r>
      <w:r w:rsidRPr="00EB3D2F" w:rsidR="00286329">
        <w:t xml:space="preserve"> 2017 de porter les requêtes </w:t>
      </w:r>
      <w:r w:rsidRPr="00EB3D2F" w:rsidR="00F847FF">
        <w:t xml:space="preserve">à </w:t>
      </w:r>
      <w:r w:rsidRPr="00EB3D2F" w:rsidR="00286329">
        <w:t>la connaissance du gouvernement français (</w:t>
      </w:r>
      <w:r w:rsidR="006A4DF1">
        <w:t>« </w:t>
      </w:r>
      <w:r w:rsidRPr="00EB3D2F" w:rsidR="00286329">
        <w:t>le Gouvernement</w:t>
      </w:r>
      <w:r w:rsidR="006A4DF1">
        <w:t> »</w:t>
      </w:r>
      <w:r w:rsidRPr="00EB3D2F" w:rsidR="00286329">
        <w:t>),</w:t>
      </w:r>
    </w:p>
    <w:p w:rsidRPr="00EB3D2F" w:rsidR="00286329" w:rsidP="00EB3D2F" w:rsidRDefault="00A54A38">
      <w:pPr>
        <w:pStyle w:val="JuPara"/>
      </w:pPr>
      <w:r>
        <w:t xml:space="preserve">Vu </w:t>
      </w:r>
      <w:r w:rsidRPr="00EB3D2F" w:rsidR="00286329">
        <w:t xml:space="preserve">les observations communiquées par le </w:t>
      </w:r>
      <w:r>
        <w:t>G</w:t>
      </w:r>
      <w:r w:rsidRPr="00EB3D2F" w:rsidR="00286329">
        <w:t>ouvernement et celles communiquées en réplique par les requérants, ainsi que</w:t>
      </w:r>
      <w:r>
        <w:t xml:space="preserve"> </w:t>
      </w:r>
      <w:r w:rsidRPr="00EB3D2F" w:rsidR="00286329">
        <w:t xml:space="preserve">les observations de la </w:t>
      </w:r>
      <w:r>
        <w:t>F</w:t>
      </w:r>
      <w:r w:rsidRPr="00EB3D2F" w:rsidR="00286329">
        <w:t>édération internationale des droits de l</w:t>
      </w:r>
      <w:r w:rsidR="00062221">
        <w:t>’</w:t>
      </w:r>
      <w:r w:rsidRPr="00EB3D2F" w:rsidR="00286329">
        <w:t xml:space="preserve">homme et la </w:t>
      </w:r>
      <w:r>
        <w:t>L</w:t>
      </w:r>
      <w:r w:rsidRPr="00EB3D2F" w:rsidR="00286329">
        <w:t>igue des droits de l</w:t>
      </w:r>
      <w:r w:rsidR="00062221">
        <w:t>’</w:t>
      </w:r>
      <w:r w:rsidRPr="00EB3D2F" w:rsidR="00286329">
        <w:t>homme, qui avaient été autorisée</w:t>
      </w:r>
      <w:r w:rsidRPr="00EB3D2F" w:rsidR="00283F24">
        <w:t>s</w:t>
      </w:r>
      <w:r w:rsidRPr="00EB3D2F" w:rsidR="00286329">
        <w:t xml:space="preserve"> </w:t>
      </w:r>
      <w:r w:rsidRPr="00EB3D2F" w:rsidR="00F847FF">
        <w:t xml:space="preserve">à </w:t>
      </w:r>
      <w:r w:rsidRPr="00EB3D2F" w:rsidR="00286329">
        <w:t>intervenir dans la procédure écrite (</w:t>
      </w:r>
      <w:r w:rsidR="00565C93">
        <w:t>article </w:t>
      </w:r>
      <w:r w:rsidRPr="00EB3D2F" w:rsidR="00286329">
        <w:t xml:space="preserve">36 </w:t>
      </w:r>
      <w:r w:rsidR="00565C93">
        <w:t>§ </w:t>
      </w:r>
      <w:r w:rsidRPr="00EB3D2F" w:rsidR="00286329">
        <w:t xml:space="preserve">2 de la Convention et </w:t>
      </w:r>
      <w:r w:rsidR="00565C93">
        <w:t>article </w:t>
      </w:r>
      <w:r w:rsidRPr="00EB3D2F" w:rsidR="00286329">
        <w:t xml:space="preserve">44 </w:t>
      </w:r>
      <w:r w:rsidR="00565C93">
        <w:t>§ </w:t>
      </w:r>
      <w:r w:rsidRPr="00EB3D2F" w:rsidR="00286329">
        <w:t>3 du règlement),</w:t>
      </w:r>
    </w:p>
    <w:p w:rsidRPr="00EB3D2F" w:rsidR="00E77CB3" w:rsidP="00EB3D2F" w:rsidRDefault="00286329">
      <w:pPr>
        <w:pStyle w:val="JuPara"/>
      </w:pPr>
      <w:r w:rsidRPr="00EB3D2F">
        <w:t xml:space="preserve">Après </w:t>
      </w:r>
      <w:r w:rsidRPr="00EB3D2F" w:rsidR="00E77CB3">
        <w:t xml:space="preserve">avoir délibéré en chambre du conseil le </w:t>
      </w:r>
      <w:r w:rsidRPr="00EB3D2F" w:rsidR="00C2408B">
        <w:t>28</w:t>
      </w:r>
      <w:r w:rsidR="00565C93">
        <w:t> avril</w:t>
      </w:r>
      <w:r w:rsidRPr="00EB3D2F" w:rsidR="00C2408B">
        <w:t xml:space="preserve"> 2020</w:t>
      </w:r>
      <w:r w:rsidRPr="00EB3D2F" w:rsidR="00E77CB3">
        <w:t>,</w:t>
      </w:r>
    </w:p>
    <w:p w:rsidRPr="00EB3D2F" w:rsidR="00E77CB3" w:rsidP="00EB3D2F" w:rsidRDefault="00E77CB3">
      <w:pPr>
        <w:pStyle w:val="JuPara"/>
      </w:pPr>
      <w:r w:rsidRPr="00EB3D2F">
        <w:t>Rend l</w:t>
      </w:r>
      <w:r w:rsidR="00062221">
        <w:t>’</w:t>
      </w:r>
      <w:r w:rsidRPr="00EB3D2F">
        <w:t xml:space="preserve">arrêt que voici, adopté </w:t>
      </w:r>
      <w:r w:rsidRPr="00EB3D2F" w:rsidR="00F847FF">
        <w:t xml:space="preserve">à </w:t>
      </w:r>
      <w:r w:rsidRPr="00EB3D2F">
        <w:t>cette date</w:t>
      </w:r>
      <w:r w:rsidR="006A4DF1">
        <w:t> :</w:t>
      </w:r>
    </w:p>
    <w:p w:rsidRPr="00EB3D2F" w:rsidR="00171065" w:rsidP="00EB3D2F" w:rsidRDefault="00171065">
      <w:pPr>
        <w:pStyle w:val="JuHHead"/>
      </w:pPr>
      <w:r w:rsidRPr="00EB3D2F">
        <w:t>INTRODUCTION</w:t>
      </w:r>
    </w:p>
    <w:p w:rsidRPr="00EB3D2F" w:rsidR="00171065" w:rsidP="00EB3D2F" w:rsidRDefault="00286329">
      <w:pPr>
        <w:pStyle w:val="JuPara"/>
      </w:pPr>
      <w:r w:rsidRPr="00EB3D2F">
        <w:fldChar w:fldCharType="begin"/>
      </w:r>
      <w:r w:rsidRPr="00EB3D2F">
        <w:instrText xml:space="preserve"> SEQ level0 \*arabic </w:instrText>
      </w:r>
      <w:r w:rsidRPr="00EB3D2F">
        <w:fldChar w:fldCharType="separate"/>
      </w:r>
      <w:r w:rsidRPr="00EB3D2F" w:rsidR="00EB3D2F">
        <w:rPr>
          <w:noProof/>
        </w:rPr>
        <w:t>1</w:t>
      </w:r>
      <w:r w:rsidRPr="00EB3D2F">
        <w:fldChar w:fldCharType="end"/>
      </w:r>
      <w:r w:rsidRPr="00EB3D2F">
        <w:t>.  </w:t>
      </w:r>
      <w:r w:rsidRPr="00EB3D2F" w:rsidR="00917313">
        <w:t xml:space="preserve">Les affaires concernent la condamnation pénale de militants de la cause palestinienne pour incitation </w:t>
      </w:r>
      <w:r w:rsidRPr="00EB3D2F" w:rsidR="00F847FF">
        <w:t xml:space="preserve">à </w:t>
      </w:r>
      <w:r w:rsidRPr="00EB3D2F" w:rsidR="00917313">
        <w:t>la discrimination économique sur le fondement de l</w:t>
      </w:r>
      <w:r w:rsidR="00062221">
        <w:t>’</w:t>
      </w:r>
      <w:r w:rsidR="00565C93">
        <w:t>article </w:t>
      </w:r>
      <w:r w:rsidRPr="00EB3D2F" w:rsidR="00917313">
        <w:t xml:space="preserve">24, </w:t>
      </w:r>
      <w:r w:rsidR="00F92E77">
        <w:t>alinéa </w:t>
      </w:r>
      <w:r w:rsidRPr="00EB3D2F" w:rsidR="00917313">
        <w:t>8, de la loi du 29</w:t>
      </w:r>
      <w:r w:rsidR="00565C93">
        <w:t> juillet</w:t>
      </w:r>
      <w:r w:rsidRPr="00EB3D2F" w:rsidR="00917313">
        <w:t xml:space="preserve"> 1881 sur la liberté de la presse, en raison de leur participation </w:t>
      </w:r>
      <w:r w:rsidRPr="00EB3D2F" w:rsidR="00F847FF">
        <w:t xml:space="preserve">à </w:t>
      </w:r>
      <w:r w:rsidRPr="00EB3D2F" w:rsidR="00917313">
        <w:t xml:space="preserve">des actions appelant </w:t>
      </w:r>
      <w:r w:rsidRPr="00EB3D2F" w:rsidR="00F847FF">
        <w:t xml:space="preserve">à </w:t>
      </w:r>
      <w:r w:rsidRPr="00EB3D2F" w:rsidR="00917313">
        <w:t>boycott</w:t>
      </w:r>
      <w:r w:rsidRPr="00EB3D2F" w:rsidR="004C0210">
        <w:t>er</w:t>
      </w:r>
      <w:r w:rsidRPr="00EB3D2F" w:rsidR="00917313">
        <w:t xml:space="preserve"> </w:t>
      </w:r>
      <w:r w:rsidRPr="00EB3D2F" w:rsidR="004C0210">
        <w:t>l</w:t>
      </w:r>
      <w:r w:rsidRPr="00EB3D2F" w:rsidR="00917313">
        <w:t xml:space="preserve">es produits </w:t>
      </w:r>
      <w:r w:rsidRPr="00EB3D2F" w:rsidR="004C0210">
        <w:t>importés d</w:t>
      </w:r>
      <w:r w:rsidR="00062221">
        <w:t>’</w:t>
      </w:r>
      <w:r w:rsidRPr="00EB3D2F" w:rsidR="004C0210">
        <w:t>Israël</w:t>
      </w:r>
      <w:r w:rsidRPr="00EB3D2F" w:rsidR="00917313">
        <w:t xml:space="preserve">. Les requérants dénoncent une violation des </w:t>
      </w:r>
      <w:r w:rsidR="00565C93">
        <w:t>articles </w:t>
      </w:r>
      <w:r w:rsidRPr="00EB3D2F" w:rsidR="00917313">
        <w:t>7 et 10 de la Convention.</w:t>
      </w:r>
    </w:p>
    <w:p w:rsidRPr="00EB3D2F" w:rsidR="00E77CB3" w:rsidP="00EB3D2F" w:rsidRDefault="00E77CB3">
      <w:pPr>
        <w:pStyle w:val="JuHHead"/>
        <w:tabs>
          <w:tab w:val="left" w:pos="5387"/>
        </w:tabs>
      </w:pPr>
      <w:r w:rsidRPr="00EB3D2F">
        <w:t>EN FAIT</w:t>
      </w:r>
    </w:p>
    <w:p w:rsidRPr="00EB3D2F" w:rsidR="008B0E9A" w:rsidP="00EB3D2F" w:rsidRDefault="00286329">
      <w:pPr>
        <w:pStyle w:val="JuPara"/>
      </w:pPr>
      <w:r w:rsidRPr="00EB3D2F">
        <w:fldChar w:fldCharType="begin"/>
      </w:r>
      <w:r w:rsidRPr="00EB3D2F">
        <w:instrText xml:space="preserve"> SEQ level0 \*arabic </w:instrText>
      </w:r>
      <w:r w:rsidRPr="00EB3D2F">
        <w:fldChar w:fldCharType="separate"/>
      </w:r>
      <w:r w:rsidRPr="00EB3D2F" w:rsidR="00EB3D2F">
        <w:rPr>
          <w:noProof/>
        </w:rPr>
        <w:t>2</w:t>
      </w:r>
      <w:r w:rsidRPr="00EB3D2F">
        <w:fldChar w:fldCharType="end"/>
      </w:r>
      <w:r w:rsidRPr="00EB3D2F">
        <w:t>.  </w:t>
      </w:r>
      <w:r w:rsidR="00A54A38">
        <w:t>M. </w:t>
      </w:r>
      <w:r w:rsidRPr="00EB3D2F">
        <w:t xml:space="preserve">Henri </w:t>
      </w:r>
      <w:proofErr w:type="spellStart"/>
      <w:r w:rsidRPr="00EB3D2F">
        <w:t>Eichhol</w:t>
      </w:r>
      <w:r w:rsidR="006A7EEC">
        <w:t>t</w:t>
      </w:r>
      <w:r w:rsidRPr="00EB3D2F">
        <w:t>zer</w:t>
      </w:r>
      <w:proofErr w:type="spellEnd"/>
      <w:r w:rsidRPr="00EB3D2F">
        <w:t xml:space="preserve"> et M</w:t>
      </w:r>
      <w:r w:rsidRPr="00EB3D2F">
        <w:rPr>
          <w:vertAlign w:val="superscript"/>
        </w:rPr>
        <w:t>me</w:t>
      </w:r>
      <w:r w:rsidRPr="00565C93" w:rsidR="00565C93">
        <w:t> </w:t>
      </w:r>
      <w:r w:rsidRPr="00EB3D2F">
        <w:t xml:space="preserve">Aline Parmentier résident </w:t>
      </w:r>
      <w:r w:rsidRPr="00EB3D2F" w:rsidR="00F847FF">
        <w:t xml:space="preserve">à </w:t>
      </w:r>
      <w:r w:rsidRPr="00EB3D2F">
        <w:t xml:space="preserve">Habsheim et </w:t>
      </w:r>
      <w:proofErr w:type="spellStart"/>
      <w:r w:rsidRPr="00EB3D2F">
        <w:t>Zillisheim</w:t>
      </w:r>
      <w:proofErr w:type="spellEnd"/>
      <w:r w:rsidRPr="00EB3D2F">
        <w:t xml:space="preserve">, respectivement. </w:t>
      </w:r>
      <w:r w:rsidR="00A54A38">
        <w:t>M. </w:t>
      </w:r>
      <w:r w:rsidRPr="00EB3D2F">
        <w:t xml:space="preserve">Jacques </w:t>
      </w:r>
      <w:proofErr w:type="spellStart"/>
      <w:r w:rsidRPr="00EB3D2F">
        <w:t>Ballouey</w:t>
      </w:r>
      <w:proofErr w:type="spellEnd"/>
      <w:r w:rsidRPr="00EB3D2F">
        <w:t xml:space="preserve"> résidait </w:t>
      </w:r>
      <w:r w:rsidRPr="00EB3D2F" w:rsidR="00F847FF">
        <w:t xml:space="preserve">à </w:t>
      </w:r>
      <w:r w:rsidRPr="00EB3D2F">
        <w:t>Mulhouse, comme les autres requérants.</w:t>
      </w:r>
    </w:p>
    <w:p w:rsidRPr="00EB3D2F" w:rsidR="00286329" w:rsidP="00EB3D2F" w:rsidRDefault="00286329">
      <w:pPr>
        <w:pStyle w:val="JuPara"/>
      </w:pPr>
      <w:r w:rsidRPr="00EB3D2F">
        <w:fldChar w:fldCharType="begin"/>
      </w:r>
      <w:r w:rsidRPr="00EB3D2F">
        <w:instrText xml:space="preserve"> SEQ level0 \*arabic </w:instrText>
      </w:r>
      <w:r w:rsidRPr="00EB3D2F">
        <w:fldChar w:fldCharType="separate"/>
      </w:r>
      <w:r w:rsidRPr="00EB3D2F" w:rsidR="00EB3D2F">
        <w:rPr>
          <w:noProof/>
        </w:rPr>
        <w:t>3</w:t>
      </w:r>
      <w:r w:rsidRPr="00EB3D2F">
        <w:fldChar w:fldCharType="end"/>
      </w:r>
      <w:r w:rsidRPr="00EB3D2F">
        <w:t>.  </w:t>
      </w:r>
      <w:r w:rsidRPr="00CB4786">
        <w:t>M</w:t>
      </w:r>
      <w:r w:rsidRPr="00CB4786">
        <w:rPr>
          <w:vertAlign w:val="superscript"/>
        </w:rPr>
        <w:t>me</w:t>
      </w:r>
      <w:r w:rsidRPr="00CB4786" w:rsidR="00E81215">
        <w:t> </w:t>
      </w:r>
      <w:r w:rsidRPr="00CB4786">
        <w:t xml:space="preserve">Laila </w:t>
      </w:r>
      <w:proofErr w:type="spellStart"/>
      <w:r w:rsidRPr="00CB4786">
        <w:t>Assakali</w:t>
      </w:r>
      <w:proofErr w:type="spellEnd"/>
      <w:r w:rsidRPr="00CB4786">
        <w:t xml:space="preserve">, </w:t>
      </w:r>
      <w:r w:rsidRPr="00CB4786" w:rsidR="00A54A38">
        <w:t>M. </w:t>
      </w:r>
      <w:r w:rsidRPr="00CB4786">
        <w:t xml:space="preserve">Yahya </w:t>
      </w:r>
      <w:proofErr w:type="spellStart"/>
      <w:r w:rsidRPr="00CB4786">
        <w:t>Assakali</w:t>
      </w:r>
      <w:proofErr w:type="spellEnd"/>
      <w:r w:rsidRPr="00CB4786">
        <w:t xml:space="preserve">, </w:t>
      </w:r>
      <w:r w:rsidRPr="003549D8" w:rsidR="00A54A38">
        <w:t>M. </w:t>
      </w:r>
      <w:r w:rsidRPr="003549D8">
        <w:t xml:space="preserve">Jacques </w:t>
      </w:r>
      <w:proofErr w:type="spellStart"/>
      <w:r w:rsidRPr="00EB3D2F">
        <w:t>Ballouey</w:t>
      </w:r>
      <w:proofErr w:type="spellEnd"/>
      <w:r w:rsidRPr="00EB3D2F">
        <w:t>, M</w:t>
      </w:r>
      <w:r w:rsidRPr="00EB3D2F">
        <w:rPr>
          <w:vertAlign w:val="superscript"/>
        </w:rPr>
        <w:t>me</w:t>
      </w:r>
      <w:r w:rsidRPr="00565C93" w:rsidR="00565C93">
        <w:t> </w:t>
      </w:r>
      <w:proofErr w:type="spellStart"/>
      <w:r w:rsidRPr="00EB3D2F">
        <w:t>Habiba</w:t>
      </w:r>
      <w:proofErr w:type="spellEnd"/>
      <w:r w:rsidRPr="00EB3D2F">
        <w:t xml:space="preserve"> El </w:t>
      </w:r>
      <w:proofErr w:type="spellStart"/>
      <w:r w:rsidRPr="00EB3D2F">
        <w:t>Jarroudi</w:t>
      </w:r>
      <w:proofErr w:type="spellEnd"/>
      <w:r w:rsidRPr="00EB3D2F">
        <w:t xml:space="preserve"> et M</w:t>
      </w:r>
      <w:r w:rsidRPr="00EB3D2F">
        <w:rPr>
          <w:vertAlign w:val="superscript"/>
        </w:rPr>
        <w:t>me</w:t>
      </w:r>
      <w:r w:rsidR="00E81215">
        <w:t> </w:t>
      </w:r>
      <w:r w:rsidRPr="00EB3D2F">
        <w:t xml:space="preserve">Farida </w:t>
      </w:r>
      <w:proofErr w:type="spellStart"/>
      <w:r w:rsidRPr="00EB3D2F">
        <w:t>Sarr</w:t>
      </w:r>
      <w:proofErr w:type="spellEnd"/>
      <w:r w:rsidRPr="00EB3D2F">
        <w:t>-Trichine sont représentés par M</w:t>
      </w:r>
      <w:r w:rsidRPr="00EB3D2F">
        <w:rPr>
          <w:vertAlign w:val="superscript"/>
        </w:rPr>
        <w:t>e</w:t>
      </w:r>
      <w:r w:rsidRPr="00EB3D2F">
        <w:t xml:space="preserve"> Grégory Thuan dit Dieudonné, avocat exerçant </w:t>
      </w:r>
      <w:r w:rsidRPr="00EB3D2F" w:rsidR="00F847FF">
        <w:t xml:space="preserve">à </w:t>
      </w:r>
      <w:r w:rsidRPr="00EB3D2F">
        <w:t>Strasbourg. Les autres requérants sont représentés par M</w:t>
      </w:r>
      <w:r w:rsidRPr="00EB3D2F">
        <w:rPr>
          <w:vertAlign w:val="superscript"/>
        </w:rPr>
        <w:t>e</w:t>
      </w:r>
      <w:r w:rsidRPr="00EB3D2F">
        <w:t xml:space="preserve"> Antoine Comte, avocat exerçant </w:t>
      </w:r>
      <w:r w:rsidRPr="00EB3D2F" w:rsidR="00F847FF">
        <w:t xml:space="preserve">à </w:t>
      </w:r>
      <w:r w:rsidRPr="00EB3D2F">
        <w:t>Paris.</w:t>
      </w:r>
    </w:p>
    <w:p w:rsidRPr="00EB3D2F" w:rsidR="00286329" w:rsidP="00EB3D2F" w:rsidRDefault="00286329">
      <w:pPr>
        <w:pStyle w:val="JuPara"/>
      </w:pPr>
      <w:r w:rsidRPr="00EB3D2F">
        <w:rPr>
          <w:lang w:val="pt-BR"/>
        </w:rPr>
        <w:fldChar w:fldCharType="begin"/>
      </w:r>
      <w:r w:rsidRPr="00EB3D2F">
        <w:instrText xml:space="preserve"> SEQ level0 \*arabic </w:instrText>
      </w:r>
      <w:r w:rsidRPr="00EB3D2F">
        <w:rPr>
          <w:lang w:val="pt-BR"/>
        </w:rPr>
        <w:fldChar w:fldCharType="separate"/>
      </w:r>
      <w:r w:rsidRPr="00EB3D2F" w:rsidR="00EB3D2F">
        <w:rPr>
          <w:noProof/>
        </w:rPr>
        <w:t>4</w:t>
      </w:r>
      <w:r w:rsidRPr="00EB3D2F">
        <w:rPr>
          <w:lang w:val="pt-BR"/>
        </w:rPr>
        <w:fldChar w:fldCharType="end"/>
      </w:r>
      <w:r w:rsidRPr="00EB3D2F">
        <w:t xml:space="preserve">.  Le Gouvernement est représenté par son agent, </w:t>
      </w:r>
      <w:r w:rsidR="00A54A38">
        <w:t>M. </w:t>
      </w:r>
      <w:r w:rsidRPr="00EB3D2F" w:rsidR="00B51067">
        <w:t>F</w:t>
      </w:r>
      <w:r w:rsidR="00B51067">
        <w:t>.</w:t>
      </w:r>
      <w:r w:rsidR="00532467">
        <w:t> </w:t>
      </w:r>
      <w:proofErr w:type="spellStart"/>
      <w:r w:rsidRPr="00EB3D2F">
        <w:t>Alabrune</w:t>
      </w:r>
      <w:proofErr w:type="spellEnd"/>
      <w:r w:rsidRPr="00EB3D2F">
        <w:t>, direc</w:t>
      </w:r>
      <w:r w:rsidRPr="00EB3D2F" w:rsidR="00F847FF">
        <w:t xml:space="preserve">teur des affaires juridiques au </w:t>
      </w:r>
      <w:r w:rsidRPr="00EB3D2F">
        <w:t>ministère des Affaires étrangères.</w:t>
      </w:r>
    </w:p>
    <w:p w:rsidRPr="00EB3D2F" w:rsidR="00824520" w:rsidP="00EB3D2F" w:rsidRDefault="00824520">
      <w:pPr>
        <w:pStyle w:val="JuPara"/>
      </w:pPr>
      <w:r w:rsidRPr="00EB3D2F">
        <w:fldChar w:fldCharType="begin"/>
      </w:r>
      <w:r w:rsidRPr="00EB3D2F">
        <w:instrText xml:space="preserve"> SEQ level0 \*arabic </w:instrText>
      </w:r>
      <w:r w:rsidRPr="00EB3D2F">
        <w:fldChar w:fldCharType="separate"/>
      </w:r>
      <w:r w:rsidRPr="00EB3D2F" w:rsidR="00EB3D2F">
        <w:rPr>
          <w:noProof/>
        </w:rPr>
        <w:t>5</w:t>
      </w:r>
      <w:r w:rsidRPr="00EB3D2F">
        <w:fldChar w:fldCharType="end"/>
      </w:r>
      <w:r w:rsidRPr="00EB3D2F">
        <w:t xml:space="preserve">.  Les requérants font partie du </w:t>
      </w:r>
      <w:r w:rsidR="006A4DF1">
        <w:t>« </w:t>
      </w:r>
      <w:r w:rsidRPr="00EB3D2F">
        <w:t>Collectif Palestine 68</w:t>
      </w:r>
      <w:r w:rsidR="006A4DF1">
        <w:t> »</w:t>
      </w:r>
      <w:r w:rsidRPr="00EB3D2F">
        <w:t xml:space="preserve">, qui relaie localement la campagne internationale </w:t>
      </w:r>
      <w:r w:rsidR="006A4DF1">
        <w:t>« </w:t>
      </w:r>
      <w:r w:rsidRPr="00EB3D2F">
        <w:t>Boycott, Désinvestissement et Sanctions</w:t>
      </w:r>
      <w:r w:rsidR="006A4DF1">
        <w:t> »</w:t>
      </w:r>
      <w:r w:rsidRPr="00EB3D2F">
        <w:t xml:space="preserve"> (BDS). Cette campagne a été initiée le 9</w:t>
      </w:r>
      <w:r w:rsidR="00565C93">
        <w:t> juillet</w:t>
      </w:r>
      <w:r w:rsidRPr="00EB3D2F">
        <w:t xml:space="preserve"> 2005 par un appel émanant d</w:t>
      </w:r>
      <w:r w:rsidR="00062221">
        <w:t>’</w:t>
      </w:r>
      <w:r w:rsidRPr="00EB3D2F">
        <w:t>organisations non</w:t>
      </w:r>
      <w:r w:rsidR="00B51067">
        <w:t xml:space="preserve"> </w:t>
      </w:r>
      <w:r w:rsidRPr="00EB3D2F">
        <w:t>gouvernementales palestiniennes, un an après l</w:t>
      </w:r>
      <w:r w:rsidR="00062221">
        <w:t>’</w:t>
      </w:r>
      <w:r w:rsidRPr="00EB3D2F">
        <w:t xml:space="preserve">avis de la Cour internationale de </w:t>
      </w:r>
      <w:r w:rsidR="00B51067">
        <w:t>j</w:t>
      </w:r>
      <w:r w:rsidRPr="00EB3D2F">
        <w:t xml:space="preserve">ustice selon lequel </w:t>
      </w:r>
      <w:r w:rsidR="006A4DF1">
        <w:t>« </w:t>
      </w:r>
      <w:r w:rsidRPr="00EB3D2F">
        <w:t>l</w:t>
      </w:r>
      <w:r w:rsidR="00062221">
        <w:t>’</w:t>
      </w:r>
      <w:r w:rsidRPr="00EB3D2F">
        <w:t>édification du mur qu</w:t>
      </w:r>
      <w:r w:rsidR="00062221">
        <w:t>’</w:t>
      </w:r>
      <w:r w:rsidRPr="00EB3D2F">
        <w:t xml:space="preserve">Israël, puissance occupante, est en train de construire dans le territoire palestinien occupé, y compris </w:t>
      </w:r>
      <w:r w:rsidRPr="00EB3D2F" w:rsidR="00F847FF">
        <w:t xml:space="preserve">à </w:t>
      </w:r>
      <w:r w:rsidRPr="00EB3D2F">
        <w:t>l</w:t>
      </w:r>
      <w:r w:rsidR="00062221">
        <w:t>’</w:t>
      </w:r>
      <w:r w:rsidRPr="00EB3D2F">
        <w:t>intérieur et sur le pourtour de Jérusalem</w:t>
      </w:r>
      <w:r w:rsidR="00D32AA0">
        <w:t>-</w:t>
      </w:r>
      <w:r w:rsidRPr="00EB3D2F">
        <w:t>Est, et le régime qui lui est associé, sont contraires au droit international</w:t>
      </w:r>
      <w:r w:rsidR="006A4DF1">
        <w:t> »</w:t>
      </w:r>
      <w:r w:rsidRPr="00EB3D2F">
        <w:t xml:space="preserve">. Cet </w:t>
      </w:r>
      <w:r w:rsidR="006A4DF1">
        <w:t>« </w:t>
      </w:r>
      <w:r w:rsidRPr="00EB3D2F">
        <w:t>appel au boycott, aux sanctions et aux retraits des investissements contre Israël jusqu</w:t>
      </w:r>
      <w:r w:rsidR="00062221">
        <w:t>’</w:t>
      </w:r>
      <w:r w:rsidRPr="00EB3D2F" w:rsidR="00F847FF">
        <w:t xml:space="preserve">à </w:t>
      </w:r>
      <w:r w:rsidRPr="00EB3D2F">
        <w:t>ce qu</w:t>
      </w:r>
      <w:r w:rsidR="00062221">
        <w:t>’</w:t>
      </w:r>
      <w:r w:rsidRPr="00EB3D2F">
        <w:t>il applique le droit international et les principes universels des droits de l</w:t>
      </w:r>
      <w:r w:rsidR="00062221">
        <w:t>’</w:t>
      </w:r>
      <w:r w:rsidRPr="00EB3D2F">
        <w:t>homme</w:t>
      </w:r>
      <w:r w:rsidR="006A4DF1">
        <w:t> »</w:t>
      </w:r>
      <w:r w:rsidRPr="00EB3D2F">
        <w:t xml:space="preserve"> est ainsi formulé</w:t>
      </w:r>
      <w:r w:rsidR="006A4DF1">
        <w:t> :</w:t>
      </w:r>
    </w:p>
    <w:p w:rsidRPr="00EB3D2F" w:rsidR="00824520" w:rsidP="00EB3D2F" w:rsidRDefault="006A4DF1">
      <w:pPr>
        <w:pStyle w:val="JuQuot"/>
      </w:pPr>
      <w:r>
        <w:t>« </w:t>
      </w:r>
      <w:r w:rsidRPr="00EB3D2F" w:rsidR="00824520">
        <w:t>(...) Inspirés par la lutte des Sud-Africains contre l</w:t>
      </w:r>
      <w:r w:rsidR="00062221">
        <w:t>’</w:t>
      </w:r>
      <w:r w:rsidRPr="00EB3D2F" w:rsidR="00121AAB">
        <w:t>a</w:t>
      </w:r>
      <w:r w:rsidRPr="00EB3D2F" w:rsidR="00824520">
        <w:t>partheid et dans l</w:t>
      </w:r>
      <w:r w:rsidR="00062221">
        <w:t>’</w:t>
      </w:r>
      <w:r w:rsidRPr="00EB3D2F" w:rsidR="00824520">
        <w:t xml:space="preserve">esprit de la solidarité internationale, de la cohérence morale et de la résistance </w:t>
      </w:r>
      <w:r w:rsidRPr="00EB3D2F" w:rsidR="00F847FF">
        <w:t xml:space="preserve">à </w:t>
      </w:r>
      <w:r w:rsidRPr="00EB3D2F" w:rsidR="00824520">
        <w:t>l</w:t>
      </w:r>
      <w:r w:rsidR="00062221">
        <w:t>’</w:t>
      </w:r>
      <w:r w:rsidRPr="00EB3D2F" w:rsidR="006F7DE6">
        <w:t xml:space="preserve">injustice et </w:t>
      </w:r>
      <w:r w:rsidRPr="00EB3D2F" w:rsidR="00F847FF">
        <w:t xml:space="preserve">à </w:t>
      </w:r>
      <w:r w:rsidRPr="00EB3D2F" w:rsidR="00824520">
        <w:t>l</w:t>
      </w:r>
      <w:r w:rsidR="00062221">
        <w:t>’</w:t>
      </w:r>
      <w:r w:rsidRPr="00EB3D2F" w:rsidR="00824520">
        <w:t>oppression</w:t>
      </w:r>
      <w:r>
        <w:t> ;</w:t>
      </w:r>
    </w:p>
    <w:p w:rsidRPr="00EB3D2F" w:rsidR="00824520" w:rsidP="00EB3D2F" w:rsidRDefault="008F715A">
      <w:pPr>
        <w:pStyle w:val="JuQuot"/>
      </w:pPr>
      <w:r>
        <w:t xml:space="preserve"> </w:t>
      </w:r>
      <w:r w:rsidRPr="00062221" w:rsidR="00824520">
        <w:rPr>
          <w:i/>
        </w:rPr>
        <w:t>Nous, représentants de la société civile palestinienne</w:t>
      </w:r>
      <w:r w:rsidRPr="00EB3D2F" w:rsidR="00824520">
        <w:t xml:space="preserve">, invitons les organisations des sociétés civiles internationales et les gens de conscience du monde entier </w:t>
      </w:r>
      <w:r w:rsidRPr="00EB3D2F" w:rsidR="00F847FF">
        <w:t xml:space="preserve">à </w:t>
      </w:r>
      <w:r w:rsidRPr="00EB3D2F" w:rsidR="00824520">
        <w:t xml:space="preserve">imposer de larges boycotts et </w:t>
      </w:r>
      <w:r w:rsidRPr="00EB3D2F" w:rsidR="00F847FF">
        <w:t xml:space="preserve">à </w:t>
      </w:r>
      <w:r w:rsidRPr="00EB3D2F" w:rsidR="00824520">
        <w:t>mettre en application des initiatives de retrait d</w:t>
      </w:r>
      <w:r w:rsidR="00062221">
        <w:t>’</w:t>
      </w:r>
      <w:r w:rsidRPr="00EB3D2F" w:rsidR="00824520">
        <w:t xml:space="preserve">investissement contre Israël semblables </w:t>
      </w:r>
      <w:r w:rsidRPr="00EB3D2F" w:rsidR="00F847FF">
        <w:t xml:space="preserve">à </w:t>
      </w:r>
      <w:r w:rsidRPr="00EB3D2F" w:rsidR="00824520">
        <w:t xml:space="preserve">ceux appliqués </w:t>
      </w:r>
      <w:r w:rsidRPr="00EB3D2F" w:rsidR="00F847FF">
        <w:t xml:space="preserve">à </w:t>
      </w:r>
      <w:r w:rsidRPr="00EB3D2F" w:rsidR="00824520">
        <w:t>l</w:t>
      </w:r>
      <w:r w:rsidR="00062221">
        <w:t>’</w:t>
      </w:r>
      <w:r w:rsidRPr="00EB3D2F" w:rsidR="00824520">
        <w:t xml:space="preserve">Afrique du Sud </w:t>
      </w:r>
      <w:r w:rsidRPr="00EB3D2F" w:rsidR="00F847FF">
        <w:t xml:space="preserve">à </w:t>
      </w:r>
      <w:r w:rsidRPr="00EB3D2F" w:rsidR="00824520">
        <w:t>l</w:t>
      </w:r>
      <w:r w:rsidR="00062221">
        <w:t>’</w:t>
      </w:r>
      <w:r w:rsidRPr="00EB3D2F" w:rsidR="00824520">
        <w:t xml:space="preserve">époque de </w:t>
      </w:r>
      <w:r w:rsidRPr="003258A2" w:rsidR="00824520">
        <w:t>l</w:t>
      </w:r>
      <w:r w:rsidR="00062221">
        <w:t>’</w:t>
      </w:r>
      <w:r w:rsidRPr="00062221" w:rsidR="00824520">
        <w:t>apartheid</w:t>
      </w:r>
      <w:r w:rsidRPr="00EB3D2F" w:rsidR="00824520">
        <w:t xml:space="preserve">. Nous vous appelons </w:t>
      </w:r>
      <w:r w:rsidRPr="00EB3D2F" w:rsidR="00F847FF">
        <w:t xml:space="preserve">à </w:t>
      </w:r>
      <w:r w:rsidRPr="00EB3D2F" w:rsidR="00824520">
        <w:t>faire pression sur vos États respectifs afin qu</w:t>
      </w:r>
      <w:r w:rsidR="00062221">
        <w:t>’</w:t>
      </w:r>
      <w:r w:rsidRPr="00EB3D2F" w:rsidR="00824520">
        <w:t xml:space="preserve">ils appliquent des embargos et des sanctions contre Israël. Nous invitons également les Israéliens scrupuleux </w:t>
      </w:r>
      <w:r w:rsidRPr="00EB3D2F" w:rsidR="00F847FF">
        <w:t xml:space="preserve">à </w:t>
      </w:r>
      <w:r w:rsidRPr="00EB3D2F" w:rsidR="00824520">
        <w:t>soutenir cet appel dans l</w:t>
      </w:r>
      <w:r w:rsidR="00062221">
        <w:t>’</w:t>
      </w:r>
      <w:r w:rsidRPr="00EB3D2F" w:rsidR="00824520">
        <w:t>intérêt de la justice et d</w:t>
      </w:r>
      <w:r w:rsidR="00062221">
        <w:t>’</w:t>
      </w:r>
      <w:r w:rsidRPr="00EB3D2F" w:rsidR="00824520">
        <w:t>une véritable paix.</w:t>
      </w:r>
    </w:p>
    <w:p w:rsidR="004E5DA9" w:rsidP="00EB3D2F" w:rsidRDefault="00824520">
      <w:pPr>
        <w:pStyle w:val="JuQuot"/>
      </w:pPr>
      <w:r w:rsidRPr="00EB3D2F">
        <w:t>Ces mesures punitives non</w:t>
      </w:r>
      <w:r w:rsidR="004E5DA9">
        <w:t xml:space="preserve"> </w:t>
      </w:r>
      <w:r w:rsidRPr="00EB3D2F">
        <w:t>violentes devraient être maintenues jusqu</w:t>
      </w:r>
      <w:r w:rsidR="00062221">
        <w:t>’</w:t>
      </w:r>
      <w:r w:rsidRPr="00EB3D2F" w:rsidR="00F847FF">
        <w:t xml:space="preserve">à </w:t>
      </w:r>
      <w:r w:rsidRPr="00EB3D2F">
        <w:t>ce qu</w:t>
      </w:r>
      <w:r w:rsidR="00062221">
        <w:t>’</w:t>
      </w:r>
      <w:r w:rsidRPr="00EB3D2F">
        <w:t>Israël honore ses obligations de reconnaître le droit inaliénable du peuple palestinien</w:t>
      </w:r>
      <w:r w:rsidRPr="00EB3D2F" w:rsidR="00F847FF">
        <w:t xml:space="preserve"> à </w:t>
      </w:r>
      <w:r w:rsidRPr="00EB3D2F">
        <w:t>l</w:t>
      </w:r>
      <w:r w:rsidR="00062221">
        <w:t>’</w:t>
      </w:r>
      <w:r w:rsidRPr="00EB3D2F">
        <w:t>autodétermination et se conforme entièrement aux préce</w:t>
      </w:r>
      <w:r w:rsidRPr="00EB3D2F" w:rsidR="00F847FF">
        <w:t>ptes du droit international, en</w:t>
      </w:r>
      <w:r w:rsidR="006A4DF1">
        <w:t> :</w:t>
      </w:r>
    </w:p>
    <w:p w:rsidR="004E5DA9" w:rsidP="00EB3D2F" w:rsidRDefault="00824520">
      <w:pPr>
        <w:pStyle w:val="JuQuot"/>
      </w:pPr>
      <w:r w:rsidRPr="00EB3D2F">
        <w:t>1.</w:t>
      </w:r>
      <w:r w:rsidR="004E5DA9">
        <w:t>  </w:t>
      </w:r>
      <w:r w:rsidRPr="00EB3D2F">
        <w:t xml:space="preserve">mettant fin </w:t>
      </w:r>
      <w:r w:rsidRPr="00EB3D2F" w:rsidR="00F847FF">
        <w:t xml:space="preserve">à </w:t>
      </w:r>
      <w:r w:rsidRPr="00EB3D2F">
        <w:t xml:space="preserve">son occupation et </w:t>
      </w:r>
      <w:r w:rsidRPr="00EB3D2F" w:rsidR="00F847FF">
        <w:t xml:space="preserve">à </w:t>
      </w:r>
      <w:r w:rsidRPr="00EB3D2F">
        <w:t>sa colonisation de toutes les terres arabes et en démantelant le mur</w:t>
      </w:r>
      <w:r w:rsidR="006A4DF1">
        <w:t> ;</w:t>
      </w:r>
    </w:p>
    <w:p w:rsidR="004E5DA9" w:rsidP="00EB3D2F" w:rsidRDefault="00824520">
      <w:pPr>
        <w:pStyle w:val="JuQuot"/>
      </w:pPr>
      <w:r w:rsidRPr="00EB3D2F">
        <w:t>2.</w:t>
      </w:r>
      <w:r w:rsidR="004E5DA9">
        <w:t>  </w:t>
      </w:r>
      <w:r w:rsidRPr="00EB3D2F">
        <w:t xml:space="preserve">reconnaissant les droits </w:t>
      </w:r>
      <w:r w:rsidRPr="00EB3D2F" w:rsidR="00722138">
        <w:t>fondamentaux des citoyens arabo</w:t>
      </w:r>
      <w:r w:rsidR="008F715A">
        <w:t>-</w:t>
      </w:r>
      <w:r w:rsidRPr="00EB3D2F">
        <w:t>palestiniens d</w:t>
      </w:r>
      <w:r w:rsidR="00062221">
        <w:t>’</w:t>
      </w:r>
      <w:r w:rsidRPr="00EB3D2F">
        <w:t xml:space="preserve">Israël </w:t>
      </w:r>
      <w:r w:rsidRPr="00EB3D2F" w:rsidR="00F847FF">
        <w:t xml:space="preserve">à </w:t>
      </w:r>
      <w:r w:rsidRPr="00EB3D2F">
        <w:t>une complète égalité</w:t>
      </w:r>
      <w:r w:rsidR="008F715A">
        <w:t> </w:t>
      </w:r>
      <w:r w:rsidRPr="00EB3D2F">
        <w:t>; et</w:t>
      </w:r>
    </w:p>
    <w:p w:rsidRPr="00EB3D2F" w:rsidR="00824520" w:rsidP="00EB3D2F" w:rsidRDefault="00824520">
      <w:pPr>
        <w:pStyle w:val="JuQuot"/>
      </w:pPr>
      <w:r w:rsidRPr="00EB3D2F">
        <w:t>3.</w:t>
      </w:r>
      <w:r w:rsidR="004E5DA9">
        <w:t>  </w:t>
      </w:r>
      <w:r w:rsidRPr="00EB3D2F">
        <w:t xml:space="preserve">respectant, protégeant et favorisant les droits des réfugiés palestiniens </w:t>
      </w:r>
      <w:r w:rsidRPr="00EB3D2F" w:rsidR="00F847FF">
        <w:t xml:space="preserve">à </w:t>
      </w:r>
      <w:r w:rsidRPr="00EB3D2F">
        <w:t>recouvrer leurs maisons et leurs biens comme le stipule la Résolution</w:t>
      </w:r>
      <w:r w:rsidR="008F715A">
        <w:t> </w:t>
      </w:r>
      <w:r w:rsidRPr="00EB3D2F">
        <w:t>194 de l</w:t>
      </w:r>
      <w:r w:rsidR="00062221">
        <w:t>’</w:t>
      </w:r>
      <w:r w:rsidRPr="00EB3D2F">
        <w:t>ONU</w:t>
      </w:r>
      <w:r w:rsidR="00B70C3D">
        <w:t>.</w:t>
      </w:r>
      <w:r w:rsidR="006A4DF1">
        <w:t> »</w:t>
      </w:r>
    </w:p>
    <w:p w:rsidRPr="00EB3D2F" w:rsidR="006B511F" w:rsidP="00EB3D2F" w:rsidRDefault="00400ECC">
      <w:pPr>
        <w:pStyle w:val="JuHIRoman"/>
        <w:rPr>
          <w:lang w:val="fr-FR"/>
        </w:rPr>
      </w:pPr>
      <w:r w:rsidRPr="00EB3D2F">
        <w:rPr>
          <w:lang w:val="fr-FR"/>
        </w:rPr>
        <w:t>Les événements des 26</w:t>
      </w:r>
      <w:r w:rsidR="00565C93">
        <w:rPr>
          <w:lang w:val="fr-FR"/>
        </w:rPr>
        <w:t> septembre</w:t>
      </w:r>
      <w:r w:rsidRPr="00EB3D2F">
        <w:rPr>
          <w:lang w:val="fr-FR"/>
        </w:rPr>
        <w:t xml:space="preserve"> 2009 et 22</w:t>
      </w:r>
      <w:r w:rsidR="00565C93">
        <w:rPr>
          <w:lang w:val="fr-FR"/>
        </w:rPr>
        <w:t xml:space="preserve"> mai </w:t>
      </w:r>
      <w:r w:rsidRPr="00EB3D2F">
        <w:rPr>
          <w:lang w:val="fr-FR"/>
        </w:rPr>
        <w:t>2010</w:t>
      </w:r>
    </w:p>
    <w:p w:rsidRPr="00EB3D2F" w:rsidR="00E350A8" w:rsidP="00EB3D2F" w:rsidRDefault="00824520">
      <w:pPr>
        <w:pStyle w:val="JuPara"/>
      </w:pPr>
      <w:r w:rsidRPr="00EB3D2F">
        <w:fldChar w:fldCharType="begin"/>
      </w:r>
      <w:r w:rsidRPr="00EB3D2F">
        <w:instrText xml:space="preserve"> SEQ level0 \*arabic </w:instrText>
      </w:r>
      <w:r w:rsidRPr="00EB3D2F">
        <w:fldChar w:fldCharType="separate"/>
      </w:r>
      <w:r w:rsidRPr="00EB3D2F" w:rsidR="00EB3D2F">
        <w:rPr>
          <w:noProof/>
        </w:rPr>
        <w:t>6</w:t>
      </w:r>
      <w:r w:rsidRPr="00EB3D2F">
        <w:fldChar w:fldCharType="end"/>
      </w:r>
      <w:r w:rsidRPr="00EB3D2F">
        <w:t xml:space="preserve">.  Le </w:t>
      </w:r>
      <w:r w:rsidRPr="00EB3D2F" w:rsidR="006B511F">
        <w:t>26</w:t>
      </w:r>
      <w:r w:rsidR="00565C93">
        <w:t> septembre</w:t>
      </w:r>
      <w:r w:rsidRPr="00EB3D2F" w:rsidR="006B511F">
        <w:t xml:space="preserve"> 2009, les requ</w:t>
      </w:r>
      <w:r w:rsidRPr="00EB3D2F" w:rsidR="00F70EB9">
        <w:t xml:space="preserve">érants Henri </w:t>
      </w:r>
      <w:proofErr w:type="spellStart"/>
      <w:r w:rsidRPr="00EB3D2F" w:rsidR="00F70EB9">
        <w:t>Eichholtzer</w:t>
      </w:r>
      <w:proofErr w:type="spellEnd"/>
      <w:r w:rsidRPr="00EB3D2F" w:rsidR="00F70EB9">
        <w:t>, Aline</w:t>
      </w:r>
      <w:r w:rsidR="00CB4786">
        <w:t xml:space="preserve"> </w:t>
      </w:r>
      <w:r w:rsidRPr="00EB3D2F" w:rsidR="006B511F">
        <w:t xml:space="preserve">Parmentier, Jacques </w:t>
      </w:r>
      <w:proofErr w:type="spellStart"/>
      <w:r w:rsidRPr="00EB3D2F" w:rsidR="006B511F">
        <w:t>Ballouey</w:t>
      </w:r>
      <w:proofErr w:type="spellEnd"/>
      <w:r w:rsidRPr="00EB3D2F" w:rsidR="006B511F">
        <w:t xml:space="preserve">, Farida </w:t>
      </w:r>
      <w:proofErr w:type="spellStart"/>
      <w:r w:rsidRPr="00EB3D2F" w:rsidR="000249C7">
        <w:t>Sarr</w:t>
      </w:r>
      <w:proofErr w:type="spellEnd"/>
      <w:r w:rsidRPr="00EB3D2F" w:rsidR="000249C7">
        <w:t>-Trichine</w:t>
      </w:r>
      <w:r w:rsidRPr="00EB3D2F" w:rsidR="00F70EB9">
        <w:t xml:space="preserve"> et Mohamed</w:t>
      </w:r>
      <w:r w:rsidR="00CB4786">
        <w:t xml:space="preserve"> </w:t>
      </w:r>
      <w:r w:rsidRPr="00EB3D2F" w:rsidR="006B511F">
        <w:t>Akbar</w:t>
      </w:r>
      <w:r w:rsidRPr="00EB3D2F" w:rsidR="009F719A">
        <w:t xml:space="preserve"> participèrent</w:t>
      </w:r>
      <w:r w:rsidRPr="00EB3D2F" w:rsidR="00340372">
        <w:t xml:space="preserve"> </w:t>
      </w:r>
      <w:r w:rsidRPr="00EB3D2F" w:rsidR="00F847FF">
        <w:t xml:space="preserve">à </w:t>
      </w:r>
      <w:r w:rsidRPr="00EB3D2F" w:rsidR="006B511F">
        <w:t xml:space="preserve">une action </w:t>
      </w:r>
      <w:r w:rsidRPr="00EB3D2F" w:rsidR="00F847FF">
        <w:t xml:space="preserve">à </w:t>
      </w:r>
      <w:r w:rsidRPr="00EB3D2F" w:rsidR="006B511F">
        <w:t>l</w:t>
      </w:r>
      <w:r w:rsidR="00062221">
        <w:t>’</w:t>
      </w:r>
      <w:r w:rsidRPr="00EB3D2F" w:rsidR="006B511F">
        <w:t>intérieur de l</w:t>
      </w:r>
      <w:r w:rsidR="00062221">
        <w:t>’</w:t>
      </w:r>
      <w:r w:rsidRPr="00EB3D2F" w:rsidR="006B511F">
        <w:t>hypermarché C. d</w:t>
      </w:r>
      <w:r w:rsidR="00062221">
        <w:t>’</w:t>
      </w:r>
      <w:r w:rsidRPr="00EB3D2F" w:rsidR="006B511F">
        <w:t>Illzach, appelant au boycott des produits israéliens</w:t>
      </w:r>
      <w:r w:rsidRPr="00EB3D2F" w:rsidR="00E350A8">
        <w:t>, organisée par le collectif Palestine 68</w:t>
      </w:r>
      <w:r w:rsidRPr="00EB3D2F" w:rsidR="006B511F">
        <w:t xml:space="preserve">. </w:t>
      </w:r>
      <w:r w:rsidRPr="00EB3D2F" w:rsidR="0055683A">
        <w:t>I</w:t>
      </w:r>
      <w:r w:rsidRPr="00EB3D2F" w:rsidR="00E350A8">
        <w:t xml:space="preserve">ls </w:t>
      </w:r>
      <w:r w:rsidRPr="00EB3D2F" w:rsidR="00F33E4C">
        <w:t>exposèrent des produits qu</w:t>
      </w:r>
      <w:r w:rsidR="00062221">
        <w:t>’</w:t>
      </w:r>
      <w:r w:rsidRPr="00EB3D2F" w:rsidR="00F33E4C">
        <w:t>ils estimaient être d</w:t>
      </w:r>
      <w:r w:rsidR="00062221">
        <w:t>’</w:t>
      </w:r>
      <w:r w:rsidRPr="00EB3D2F" w:rsidR="00F33E4C">
        <w:t xml:space="preserve">origine israélienne dans trois caddies placés </w:t>
      </w:r>
      <w:r w:rsidRPr="00EB3D2F" w:rsidR="00F847FF">
        <w:t xml:space="preserve">à </w:t>
      </w:r>
      <w:r w:rsidRPr="00EB3D2F" w:rsidR="00F33E4C">
        <w:t>la vue de</w:t>
      </w:r>
      <w:r w:rsidRPr="00EB3D2F" w:rsidR="001E081C">
        <w:t>s</w:t>
      </w:r>
      <w:r w:rsidRPr="00EB3D2F" w:rsidR="00F33E4C">
        <w:t xml:space="preserve"> clients et </w:t>
      </w:r>
      <w:r w:rsidRPr="00EB3D2F" w:rsidR="00E350A8">
        <w:t xml:space="preserve">distribuèrent des tracts </w:t>
      </w:r>
      <w:r w:rsidRPr="00EB3D2F" w:rsidR="001E081C">
        <w:t>ainsi rédigés</w:t>
      </w:r>
      <w:r w:rsidR="006A4DF1">
        <w:t> :</w:t>
      </w:r>
    </w:p>
    <w:p w:rsidRPr="00EB3D2F" w:rsidR="00E350A8" w:rsidP="00EB3D2F" w:rsidRDefault="006A4DF1">
      <w:pPr>
        <w:pStyle w:val="JuQuot"/>
      </w:pPr>
      <w:r>
        <w:t>« </w:t>
      </w:r>
      <w:r w:rsidRPr="00EB3D2F" w:rsidR="00E350A8">
        <w:t>Vous pouvez contraindre Israël au respect des droits de l</w:t>
      </w:r>
      <w:r w:rsidR="00062221">
        <w:t>’</w:t>
      </w:r>
      <w:r w:rsidRPr="00EB3D2F" w:rsidR="00E350A8">
        <w:t>Homme. Boycott des produits importés d</w:t>
      </w:r>
      <w:r w:rsidR="00062221">
        <w:t>’</w:t>
      </w:r>
      <w:r w:rsidRPr="00EB3D2F" w:rsidR="00E350A8">
        <w:t>Israël.</w:t>
      </w:r>
    </w:p>
    <w:p w:rsidRPr="00EB3D2F" w:rsidR="00E350A8" w:rsidP="00EB3D2F" w:rsidRDefault="006A4DF1">
      <w:pPr>
        <w:pStyle w:val="JuQuot"/>
      </w:pPr>
      <w:r>
        <w:t>« </w:t>
      </w:r>
      <w:r w:rsidRPr="00EB3D2F" w:rsidR="00E350A8">
        <w:t>Si l</w:t>
      </w:r>
      <w:r w:rsidR="00062221">
        <w:t>’</w:t>
      </w:r>
      <w:r w:rsidRPr="00EB3D2F" w:rsidR="00E350A8">
        <w:t>apartheid (en Afrique du Sud) a pris fin, alors cette occupation peut être arrêtée elle aussi, mais les pressions morales et internationales devront être justes et déterminées. L</w:t>
      </w:r>
      <w:r w:rsidR="00062221">
        <w:t>’</w:t>
      </w:r>
      <w:r w:rsidRPr="00EB3D2F" w:rsidR="00E350A8">
        <w:t>effort de désinvestissement est le premier</w:t>
      </w:r>
      <w:r w:rsidRPr="00EB3D2F" w:rsidR="00F847FF">
        <w:t xml:space="preserve"> mouvement dans cette direction</w:t>
      </w:r>
      <w:r>
        <w:t> »</w:t>
      </w:r>
      <w:r w:rsidRPr="00EB3D2F" w:rsidR="00E350A8">
        <w:t>, Monseigneur Desmond Tutu, Prix Nobel de la Paix,</w:t>
      </w:r>
      <w:r w:rsidR="004D228E">
        <w:t xml:space="preserve"> </w:t>
      </w:r>
      <w:r w:rsidR="00565C93">
        <w:t>octobre</w:t>
      </w:r>
      <w:r w:rsidRPr="00EB3D2F" w:rsidR="00E350A8">
        <w:t xml:space="preserve"> 2002.</w:t>
      </w:r>
    </w:p>
    <w:p w:rsidRPr="00EB3D2F" w:rsidR="00E350A8" w:rsidP="00EB3D2F" w:rsidRDefault="00E350A8">
      <w:pPr>
        <w:pStyle w:val="JuQuot"/>
      </w:pPr>
      <w:r w:rsidRPr="00EB3D2F">
        <w:t>Acheter les produits importés d</w:t>
      </w:r>
      <w:r w:rsidR="00062221">
        <w:t>’</w:t>
      </w:r>
      <w:r w:rsidRPr="00EB3D2F">
        <w:t>Israël c</w:t>
      </w:r>
      <w:r w:rsidR="00062221">
        <w:t>’</w:t>
      </w:r>
      <w:r w:rsidRPr="00EB3D2F">
        <w:t xml:space="preserve">est légitimer les crimes </w:t>
      </w:r>
      <w:r w:rsidRPr="00EB3D2F" w:rsidR="00F847FF">
        <w:t xml:space="preserve">à </w:t>
      </w:r>
      <w:r w:rsidRPr="00EB3D2F">
        <w:t>Gaza, c</w:t>
      </w:r>
      <w:r w:rsidR="00062221">
        <w:t>’</w:t>
      </w:r>
      <w:r w:rsidRPr="00EB3D2F">
        <w:t>est approuver la politique menée par les gouvernements israéliens.</w:t>
      </w:r>
    </w:p>
    <w:p w:rsidRPr="00EB3D2F" w:rsidR="00E350A8" w:rsidP="00EB3D2F" w:rsidRDefault="00E350A8">
      <w:pPr>
        <w:pStyle w:val="JuQuot"/>
      </w:pPr>
      <w:r w:rsidRPr="00EB3D2F">
        <w:t>Quelques produits importés d</w:t>
      </w:r>
      <w:r w:rsidR="00062221">
        <w:t>’</w:t>
      </w:r>
      <w:r w:rsidRPr="00EB3D2F">
        <w:t>Israël vendus dans les grandes surfaces de la région mulhousienne [suit une liste de marques ou de noms de produits].</w:t>
      </w:r>
    </w:p>
    <w:p w:rsidRPr="00EB3D2F" w:rsidR="00E350A8" w:rsidP="00EB3D2F" w:rsidRDefault="00F847FF">
      <w:pPr>
        <w:pStyle w:val="JuQuot"/>
      </w:pPr>
      <w:r w:rsidRPr="00EB3D2F">
        <w:t>Campagne soutenue par</w:t>
      </w:r>
      <w:r w:rsidR="006A4DF1">
        <w:t> :</w:t>
      </w:r>
      <w:r w:rsidRPr="00EB3D2F" w:rsidR="00E350A8">
        <w:t xml:space="preserve"> association France-Palestine solidarité Haut-Rhin (AFPS 68), association REDA (de la dynamique présence musulmane), justice pour la Palestine (JPLP), parti communiste français (PCF-68), Les Verts ... Pour plus d</w:t>
      </w:r>
      <w:r w:rsidR="00062221">
        <w:t>’</w:t>
      </w:r>
      <w:r w:rsidRPr="00EB3D2F" w:rsidR="00E350A8">
        <w:t>infos sur le boycott ...</w:t>
      </w:r>
      <w:r w:rsidR="006A4DF1">
        <w:t> :</w:t>
      </w:r>
      <w:r w:rsidRPr="00EB3D2F" w:rsidR="00E350A8">
        <w:t xml:space="preserve"> [indication de liens Internet]</w:t>
      </w:r>
      <w:r w:rsidRPr="00EB3D2F">
        <w:t>.</w:t>
      </w:r>
      <w:r w:rsidR="006A4DF1">
        <w:t> »</w:t>
      </w:r>
    </w:p>
    <w:p w:rsidRPr="00EB3D2F" w:rsidR="00340372" w:rsidP="00EB3D2F" w:rsidRDefault="00824520">
      <w:pPr>
        <w:pStyle w:val="JuPara"/>
      </w:pPr>
      <w:r w:rsidRPr="00EB3D2F">
        <w:fldChar w:fldCharType="begin"/>
      </w:r>
      <w:r w:rsidRPr="00EB3D2F">
        <w:instrText xml:space="preserve"> SEQ level0 \*arabic </w:instrText>
      </w:r>
      <w:r w:rsidRPr="00EB3D2F">
        <w:fldChar w:fldCharType="separate"/>
      </w:r>
      <w:r w:rsidRPr="00EB3D2F" w:rsidR="00EB3D2F">
        <w:rPr>
          <w:noProof/>
        </w:rPr>
        <w:t>7</w:t>
      </w:r>
      <w:r w:rsidRPr="00EB3D2F">
        <w:fldChar w:fldCharType="end"/>
      </w:r>
      <w:r w:rsidRPr="00EB3D2F">
        <w:t>.  </w:t>
      </w:r>
      <w:r w:rsidRPr="00EB3D2F" w:rsidR="001E081C">
        <w:t xml:space="preserve">Un événement similaire fut organisé </w:t>
      </w:r>
      <w:r w:rsidRPr="00EB3D2F" w:rsidR="00637C0E">
        <w:t>par le collectif Palestine 68 l</w:t>
      </w:r>
      <w:r w:rsidRPr="00EB3D2F" w:rsidR="006F7DE6">
        <w:t>e 22</w:t>
      </w:r>
      <w:r w:rsidR="00565C93">
        <w:t xml:space="preserve"> mai </w:t>
      </w:r>
      <w:r w:rsidRPr="00EB3D2F" w:rsidR="00637C0E">
        <w:t xml:space="preserve">2010 </w:t>
      </w:r>
      <w:r w:rsidRPr="00EB3D2F" w:rsidR="001E081C">
        <w:t xml:space="preserve">dans le même </w:t>
      </w:r>
      <w:r w:rsidRPr="00EB3D2F" w:rsidR="00B11322">
        <w:t>hypermarché</w:t>
      </w:r>
      <w:r w:rsidRPr="00EB3D2F" w:rsidR="00B8706C">
        <w:t>. Les requérants Jean</w:t>
      </w:r>
      <w:r w:rsidR="000707F1">
        <w:t>-</w:t>
      </w:r>
      <w:r w:rsidRPr="00EB3D2F" w:rsidR="00B8706C">
        <w:t>Michel</w:t>
      </w:r>
      <w:r w:rsidR="000707F1">
        <w:t xml:space="preserve"> </w:t>
      </w:r>
      <w:r w:rsidRPr="00EB3D2F" w:rsidR="001E081C">
        <w:t>Baldassi, Sylviane Mure, L</w:t>
      </w:r>
      <w:r w:rsidR="00893AF8">
        <w:t>a</w:t>
      </w:r>
      <w:r w:rsidRPr="00EB3D2F" w:rsidR="001E081C">
        <w:t xml:space="preserve">ila </w:t>
      </w:r>
      <w:proofErr w:type="spellStart"/>
      <w:r w:rsidRPr="00EB3D2F" w:rsidR="001E081C">
        <w:t>Assakali</w:t>
      </w:r>
      <w:proofErr w:type="spellEnd"/>
      <w:r w:rsidRPr="00EB3D2F" w:rsidR="001E081C">
        <w:t xml:space="preserve">, Yahya </w:t>
      </w:r>
      <w:proofErr w:type="spellStart"/>
      <w:r w:rsidRPr="00EB3D2F" w:rsidR="001E081C">
        <w:t>Assakali</w:t>
      </w:r>
      <w:proofErr w:type="spellEnd"/>
      <w:r w:rsidRPr="00EB3D2F" w:rsidR="001E081C">
        <w:t xml:space="preserve">, </w:t>
      </w:r>
      <w:proofErr w:type="spellStart"/>
      <w:r w:rsidRPr="00EB3D2F" w:rsidR="001E081C">
        <w:t>Habiba</w:t>
      </w:r>
      <w:proofErr w:type="spellEnd"/>
      <w:r w:rsidRPr="00EB3D2F" w:rsidR="001E081C">
        <w:t xml:space="preserve"> El </w:t>
      </w:r>
      <w:proofErr w:type="spellStart"/>
      <w:r w:rsidRPr="00EB3D2F" w:rsidR="001E081C">
        <w:t>Jarroubi</w:t>
      </w:r>
      <w:proofErr w:type="spellEnd"/>
      <w:r w:rsidRPr="00EB3D2F" w:rsidR="001E081C">
        <w:t xml:space="preserve">, Farida </w:t>
      </w:r>
      <w:proofErr w:type="spellStart"/>
      <w:r w:rsidRPr="00EB3D2F" w:rsidR="000249C7">
        <w:t>Sarr</w:t>
      </w:r>
      <w:proofErr w:type="spellEnd"/>
      <w:r w:rsidRPr="00EB3D2F" w:rsidR="000249C7">
        <w:t>-Trichine</w:t>
      </w:r>
      <w:r w:rsidRPr="00EB3D2F" w:rsidR="001E081C">
        <w:t xml:space="preserve">, Mohamed Akbar et Maxime Roll y prirent part. </w:t>
      </w:r>
      <w:r w:rsidRPr="00EB3D2F">
        <w:t xml:space="preserve">Les participants présentèrent en outre une pétition </w:t>
      </w:r>
      <w:r w:rsidRPr="00EB3D2F" w:rsidR="00F847FF">
        <w:t xml:space="preserve">à </w:t>
      </w:r>
      <w:r w:rsidRPr="00EB3D2F">
        <w:t>la signature des clients de l</w:t>
      </w:r>
      <w:r w:rsidR="00062221">
        <w:t>’</w:t>
      </w:r>
      <w:r w:rsidRPr="00EB3D2F">
        <w:t xml:space="preserve">hypermarché invitant celui-ci </w:t>
      </w:r>
      <w:r w:rsidRPr="00EB3D2F" w:rsidR="00F847FF">
        <w:t xml:space="preserve">à </w:t>
      </w:r>
      <w:r w:rsidRPr="00EB3D2F">
        <w:t>ne plus mettre en vente des produits importés d</w:t>
      </w:r>
      <w:r w:rsidR="00062221">
        <w:t>’</w:t>
      </w:r>
      <w:r w:rsidRPr="00EB3D2F">
        <w:t>Israël.</w:t>
      </w:r>
    </w:p>
    <w:p w:rsidRPr="00EB3D2F" w:rsidR="0036373B" w:rsidP="00EB3D2F" w:rsidRDefault="0036373B">
      <w:pPr>
        <w:pStyle w:val="JuPara"/>
      </w:pPr>
      <w:r w:rsidRPr="00EB3D2F">
        <w:fldChar w:fldCharType="begin"/>
      </w:r>
      <w:r w:rsidRPr="00EB3D2F">
        <w:instrText xml:space="preserve"> SEQ level0 \*arabic </w:instrText>
      </w:r>
      <w:r w:rsidRPr="00EB3D2F">
        <w:fldChar w:fldCharType="separate"/>
      </w:r>
      <w:r w:rsidRPr="00EB3D2F" w:rsidR="00EB3D2F">
        <w:rPr>
          <w:noProof/>
        </w:rPr>
        <w:t>8</w:t>
      </w:r>
      <w:r w:rsidRPr="00EB3D2F">
        <w:fldChar w:fldCharType="end"/>
      </w:r>
      <w:r w:rsidRPr="00EB3D2F">
        <w:t>.  Il n</w:t>
      </w:r>
      <w:r w:rsidR="00062221">
        <w:t>’</w:t>
      </w:r>
      <w:r w:rsidRPr="00EB3D2F">
        <w:t>y eut ni violence</w:t>
      </w:r>
      <w:r w:rsidRPr="00EB3D2F" w:rsidR="002438F0">
        <w:t xml:space="preserve"> </w:t>
      </w:r>
      <w:r w:rsidRPr="00EB3D2F">
        <w:t>ni dégât.</w:t>
      </w:r>
    </w:p>
    <w:p w:rsidRPr="00EB3D2F" w:rsidR="00824520" w:rsidP="00EB3D2F" w:rsidRDefault="00400ECC">
      <w:pPr>
        <w:pStyle w:val="JuHIRoman"/>
        <w:rPr>
          <w:caps w:val="0"/>
          <w:lang w:val="fr-FR"/>
        </w:rPr>
      </w:pPr>
      <w:r w:rsidRPr="00EB3D2F">
        <w:rPr>
          <w:lang w:val="fr-FR"/>
        </w:rPr>
        <w:t xml:space="preserve">La citation des requérants </w:t>
      </w:r>
      <w:r w:rsidRPr="00EB3D2F" w:rsidR="00F847FF">
        <w:rPr>
          <w:lang w:val="fr-FR"/>
        </w:rPr>
        <w:t xml:space="preserve">à </w:t>
      </w:r>
      <w:r w:rsidRPr="00EB3D2F">
        <w:rPr>
          <w:lang w:val="fr-FR"/>
        </w:rPr>
        <w:t>comparaître devant le tribunal correctionnel de Mulhouse</w:t>
      </w:r>
    </w:p>
    <w:p w:rsidRPr="00EB3D2F" w:rsidR="00824520"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9</w:t>
      </w:r>
      <w:r w:rsidRPr="00EB3D2F">
        <w:fldChar w:fldCharType="end"/>
      </w:r>
      <w:r w:rsidRPr="00EB3D2F">
        <w:t>.  </w:t>
      </w:r>
      <w:r w:rsidRPr="00EB3D2F" w:rsidR="00824520">
        <w:t>Le procureur de la République de Colmar cita les requérants</w:t>
      </w:r>
      <w:r w:rsidRPr="00EB3D2F" w:rsidR="00C97730">
        <w:t xml:space="preserve"> (ainsi qu</w:t>
      </w:r>
      <w:r w:rsidR="00062221">
        <w:t>’</w:t>
      </w:r>
      <w:r w:rsidRPr="00EB3D2F" w:rsidR="00C97730">
        <w:t>une autre personne, s</w:t>
      </w:r>
      <w:r w:rsidR="00062221">
        <w:t>’</w:t>
      </w:r>
      <w:r w:rsidRPr="00EB3D2F" w:rsidR="00C97730">
        <w:t>agissant des événements du 22</w:t>
      </w:r>
      <w:r w:rsidR="00565C93">
        <w:t xml:space="preserve"> mai </w:t>
      </w:r>
      <w:r w:rsidRPr="00EB3D2F" w:rsidR="00C97730">
        <w:t xml:space="preserve">2010) </w:t>
      </w:r>
      <w:r w:rsidRPr="00EB3D2F" w:rsidR="00F847FF">
        <w:t xml:space="preserve">à </w:t>
      </w:r>
      <w:r w:rsidRPr="00EB3D2F" w:rsidR="00824520">
        <w:t>comparaître devant le tribunal correctionnel de Mulhouse pour avoir</w:t>
      </w:r>
      <w:r w:rsidR="006A4DF1">
        <w:t> :</w:t>
      </w:r>
    </w:p>
    <w:p w:rsidRPr="00EB3D2F" w:rsidR="00824520" w:rsidP="00EB3D2F" w:rsidRDefault="006A4DF1">
      <w:pPr>
        <w:pStyle w:val="JuQuot"/>
      </w:pPr>
      <w:r>
        <w:t>« </w:t>
      </w:r>
      <w:r w:rsidRPr="00EB3D2F" w:rsidR="00824520">
        <w:t>(...) par des écrits, imprimés, dessins, gravures, peintures, emblèmes, images, distribués, exposés dans un lieu ou réunions publics, en l</w:t>
      </w:r>
      <w:r w:rsidR="00062221">
        <w:t>’</w:t>
      </w:r>
      <w:r w:rsidRPr="00EB3D2F" w:rsidR="00824520">
        <w:t xml:space="preserve">espèce les locaux du centre commercial [C.], provoqué </w:t>
      </w:r>
      <w:r w:rsidRPr="00EB3D2F" w:rsidR="00F847FF">
        <w:t xml:space="preserve">à </w:t>
      </w:r>
      <w:r w:rsidRPr="00EB3D2F" w:rsidR="00824520">
        <w:t xml:space="preserve">la discrimination, </w:t>
      </w:r>
      <w:r w:rsidRPr="00EB3D2F" w:rsidR="00F847FF">
        <w:t xml:space="preserve">à </w:t>
      </w:r>
      <w:r w:rsidRPr="00EB3D2F" w:rsidR="00824520">
        <w:t xml:space="preserve">la haine, </w:t>
      </w:r>
      <w:r w:rsidRPr="00EB3D2F" w:rsidR="00F847FF">
        <w:t xml:space="preserve">à </w:t>
      </w:r>
      <w:r w:rsidRPr="00EB3D2F" w:rsidR="00824520">
        <w:t xml:space="preserve">la violence, </w:t>
      </w:r>
      <w:r w:rsidRPr="00EB3D2F" w:rsidR="00F847FF">
        <w:t xml:space="preserve">à </w:t>
      </w:r>
      <w:r w:rsidRPr="00EB3D2F" w:rsidR="00824520">
        <w:t>l</w:t>
      </w:r>
      <w:r w:rsidR="00062221">
        <w:t>’</w:t>
      </w:r>
      <w:r w:rsidRPr="00EB3D2F" w:rsidR="00824520">
        <w:t>égard d</w:t>
      </w:r>
      <w:r w:rsidR="00062221">
        <w:t>’</w:t>
      </w:r>
      <w:r w:rsidRPr="00EB3D2F" w:rsidR="00824520">
        <w:t xml:space="preserve">un groupe de personne en raison de leur origine ou de leur appartenance </w:t>
      </w:r>
      <w:r w:rsidRPr="00EB3D2F" w:rsidR="00F847FF">
        <w:t xml:space="preserve">à </w:t>
      </w:r>
      <w:r w:rsidRPr="00EB3D2F" w:rsidR="00824520">
        <w:t>une ethnie, une race, une religion, une nation, en l</w:t>
      </w:r>
      <w:r w:rsidR="00062221">
        <w:t>’</w:t>
      </w:r>
      <w:r w:rsidRPr="00EB3D2F" w:rsidR="00824520">
        <w:t>espèce en distribuant des tracts portant les mentions suivantes</w:t>
      </w:r>
      <w:r>
        <w:t> :</w:t>
      </w:r>
      <w:r w:rsidRPr="00EB3D2F" w:rsidR="00824520">
        <w:t xml:space="preserve"> </w:t>
      </w:r>
      <w:r>
        <w:t>« </w:t>
      </w:r>
      <w:r w:rsidRPr="00EB3D2F" w:rsidR="00824520">
        <w:t>Boycott des produits importés d</w:t>
      </w:r>
      <w:r w:rsidR="00062221">
        <w:t>’</w:t>
      </w:r>
      <w:r w:rsidRPr="00EB3D2F" w:rsidR="00824520">
        <w:t>Israël, acheter les produits importés d</w:t>
      </w:r>
      <w:r w:rsidR="00062221">
        <w:t>’</w:t>
      </w:r>
      <w:r w:rsidRPr="00EB3D2F" w:rsidR="00824520">
        <w:t>Israël c</w:t>
      </w:r>
      <w:r w:rsidR="00062221">
        <w:t>’</w:t>
      </w:r>
      <w:r w:rsidRPr="00EB3D2F" w:rsidR="00824520">
        <w:t xml:space="preserve">est légitimer les crimes </w:t>
      </w:r>
      <w:r w:rsidRPr="00EB3D2F" w:rsidR="00F847FF">
        <w:t xml:space="preserve">à </w:t>
      </w:r>
      <w:r w:rsidRPr="00EB3D2F" w:rsidR="00824520">
        <w:t>Gaza, c</w:t>
      </w:r>
      <w:r w:rsidR="00062221">
        <w:t>’</w:t>
      </w:r>
      <w:r w:rsidRPr="00EB3D2F" w:rsidR="00824520">
        <w:t>est approuver la politique menée par le gouvernement israélien</w:t>
      </w:r>
      <w:r>
        <w:t> ;</w:t>
      </w:r>
      <w:r w:rsidRPr="00EB3D2F" w:rsidR="00824520">
        <w:t xml:space="preserve"> quelques produits importés d</w:t>
      </w:r>
      <w:r w:rsidR="00062221">
        <w:t>’</w:t>
      </w:r>
      <w:r w:rsidRPr="00EB3D2F" w:rsidR="00824520">
        <w:t>Israël vendus dans les grandes surfaces de la région mulhousienne [suit une liste], et en proférant les termes suivants</w:t>
      </w:r>
      <w:r>
        <w:t> :</w:t>
      </w:r>
      <w:r w:rsidRPr="00EB3D2F" w:rsidR="00824520">
        <w:t xml:space="preserve"> </w:t>
      </w:r>
      <w:r>
        <w:t>« </w:t>
      </w:r>
      <w:r w:rsidRPr="00EB3D2F" w:rsidR="00824520">
        <w:t>Israël assassin, [C.] complice</w:t>
      </w:r>
      <w:r>
        <w:t> »</w:t>
      </w:r>
      <w:r w:rsidRPr="00EB3D2F" w:rsidR="00824520">
        <w:t>, faits prévus par l</w:t>
      </w:r>
      <w:r w:rsidR="00062221">
        <w:t>’</w:t>
      </w:r>
      <w:r w:rsidR="00565C93">
        <w:t>article </w:t>
      </w:r>
      <w:r w:rsidRPr="00EB3D2F" w:rsidR="00824520">
        <w:t xml:space="preserve">24 </w:t>
      </w:r>
      <w:r w:rsidR="00F92E77">
        <w:t>alinéa </w:t>
      </w:r>
      <w:r w:rsidRPr="00EB3D2F" w:rsidR="00824520">
        <w:t>8, l</w:t>
      </w:r>
      <w:r w:rsidR="00062221">
        <w:t>’</w:t>
      </w:r>
      <w:r w:rsidR="00565C93">
        <w:t>article </w:t>
      </w:r>
      <w:r w:rsidRPr="00EB3D2F" w:rsidR="00824520">
        <w:t xml:space="preserve">23 </w:t>
      </w:r>
      <w:r w:rsidR="00F92E77">
        <w:t>alinéa </w:t>
      </w:r>
      <w:r w:rsidRPr="00EB3D2F" w:rsidR="00824520">
        <w:t>1 [et] l</w:t>
      </w:r>
      <w:r w:rsidR="00062221">
        <w:t>’</w:t>
      </w:r>
      <w:r w:rsidR="00565C93">
        <w:t>article </w:t>
      </w:r>
      <w:r w:rsidRPr="00EB3D2F" w:rsidR="00824520">
        <w:t>42 de la loi du 29</w:t>
      </w:r>
      <w:r w:rsidR="00565C93">
        <w:t> juillet</w:t>
      </w:r>
      <w:r w:rsidRPr="00EB3D2F" w:rsidR="00824520">
        <w:t xml:space="preserve"> 1881, l</w:t>
      </w:r>
      <w:r w:rsidR="00062221">
        <w:t>’</w:t>
      </w:r>
      <w:r w:rsidR="00565C93">
        <w:t>article </w:t>
      </w:r>
      <w:r w:rsidRPr="00EB3D2F" w:rsidR="00F847FF">
        <w:t>93-3 de la loi </w:t>
      </w:r>
      <w:r w:rsidRPr="00EB3D2F" w:rsidR="00824520">
        <w:t>82-652 du 29</w:t>
      </w:r>
      <w:r w:rsidR="00565C93">
        <w:t> juillet</w:t>
      </w:r>
      <w:r w:rsidRPr="00EB3D2F" w:rsidR="00824520">
        <w:t xml:space="preserve"> 1982, et réprimés par les </w:t>
      </w:r>
      <w:r w:rsidR="00565C93">
        <w:t>articles </w:t>
      </w:r>
      <w:r w:rsidRPr="00EB3D2F" w:rsidR="00824520">
        <w:t xml:space="preserve">24 </w:t>
      </w:r>
      <w:r w:rsidR="00F92E77">
        <w:t>alinéa </w:t>
      </w:r>
      <w:r w:rsidRPr="00EB3D2F" w:rsidR="00824520">
        <w:t xml:space="preserve">8, </w:t>
      </w:r>
      <w:r w:rsidR="00F92E77">
        <w:t>alinéa </w:t>
      </w:r>
      <w:r w:rsidRPr="00EB3D2F" w:rsidR="00824520">
        <w:t xml:space="preserve">10, </w:t>
      </w:r>
      <w:r w:rsidR="00F92E77">
        <w:t>alinéa </w:t>
      </w:r>
      <w:r w:rsidRPr="00EB3D2F" w:rsidR="00824520">
        <w:t xml:space="preserve">11, </w:t>
      </w:r>
      <w:r w:rsidR="00F92E77">
        <w:t>alinéa </w:t>
      </w:r>
      <w:r w:rsidRPr="00EB3D2F" w:rsidR="00824520">
        <w:t>12 de la loi du 29</w:t>
      </w:r>
      <w:r w:rsidR="00565C93">
        <w:t> juillet</w:t>
      </w:r>
      <w:r w:rsidRPr="00EB3D2F" w:rsidR="00824520">
        <w:t xml:space="preserve"> 1881, [et] l</w:t>
      </w:r>
      <w:r w:rsidR="00062221">
        <w:t>’</w:t>
      </w:r>
      <w:r w:rsidR="00565C93">
        <w:t>article </w:t>
      </w:r>
      <w:r w:rsidRPr="00EB3D2F" w:rsidR="00824520">
        <w:t>131-26, 2</w:t>
      </w:r>
      <w:r w:rsidRPr="00565C93" w:rsidR="00565C93">
        <w:rPr>
          <w:vertAlign w:val="superscript"/>
        </w:rPr>
        <w:t>o</w:t>
      </w:r>
      <w:r w:rsidRPr="00565C93" w:rsidR="00565C93">
        <w:t> </w:t>
      </w:r>
      <w:r w:rsidRPr="00EB3D2F" w:rsidR="00824520">
        <w:t>et 3</w:t>
      </w:r>
      <w:r w:rsidRPr="00565C93" w:rsidR="00565C93">
        <w:rPr>
          <w:vertAlign w:val="superscript"/>
        </w:rPr>
        <w:t>o</w:t>
      </w:r>
      <w:r w:rsidRPr="00565C93" w:rsidR="00565C93">
        <w:t> </w:t>
      </w:r>
      <w:r w:rsidRPr="00EB3D2F" w:rsidR="00824520">
        <w:t>du code pénal</w:t>
      </w:r>
      <w:r w:rsidRPr="00EB3D2F" w:rsidR="00F847FF">
        <w:t>.</w:t>
      </w:r>
      <w:r>
        <w:t> »</w:t>
      </w:r>
    </w:p>
    <w:p w:rsidRPr="00EB3D2F" w:rsidR="00AC2AC6" w:rsidP="00EB3D2F" w:rsidRDefault="00EC1CF0">
      <w:pPr>
        <w:pStyle w:val="JuPara"/>
      </w:pPr>
      <w:r w:rsidRPr="00EB3D2F">
        <w:fldChar w:fldCharType="begin"/>
      </w:r>
      <w:r w:rsidRPr="00EB3D2F">
        <w:instrText xml:space="preserve"> SEQ level0 \*arabic </w:instrText>
      </w:r>
      <w:r w:rsidRPr="00EB3D2F">
        <w:fldChar w:fldCharType="separate"/>
      </w:r>
      <w:r w:rsidRPr="00EB3D2F" w:rsidR="00EB3D2F">
        <w:rPr>
          <w:noProof/>
        </w:rPr>
        <w:t>10</w:t>
      </w:r>
      <w:r w:rsidRPr="00EB3D2F">
        <w:fldChar w:fldCharType="end"/>
      </w:r>
      <w:r w:rsidRPr="00EB3D2F">
        <w:t>.  </w:t>
      </w:r>
      <w:r w:rsidRPr="00EB3D2F" w:rsidR="00F847FF">
        <w:t xml:space="preserve">À </w:t>
      </w:r>
      <w:r w:rsidRPr="00EB3D2F" w:rsidR="00A81870">
        <w:t>l</w:t>
      </w:r>
      <w:r w:rsidR="00062221">
        <w:t>’</w:t>
      </w:r>
      <w:r w:rsidRPr="00EB3D2F" w:rsidR="00A81870">
        <w:t>exception de M</w:t>
      </w:r>
      <w:r w:rsidRPr="00EB3D2F" w:rsidR="00A81870">
        <w:rPr>
          <w:vertAlign w:val="superscript"/>
        </w:rPr>
        <w:t>me</w:t>
      </w:r>
      <w:r w:rsidRPr="00EB3D2F" w:rsidR="000B329C">
        <w:rPr>
          <w:vertAlign w:val="superscript"/>
        </w:rPr>
        <w:t>s</w:t>
      </w:r>
      <w:r w:rsidR="000707F1">
        <w:t> </w:t>
      </w:r>
      <w:r w:rsidRPr="00EB3D2F" w:rsidR="00A81870">
        <w:t>Sylvianne Mur</w:t>
      </w:r>
      <w:r w:rsidRPr="00EB3D2F" w:rsidR="00F70EB9">
        <w:t xml:space="preserve">e, </w:t>
      </w:r>
      <w:proofErr w:type="spellStart"/>
      <w:r w:rsidRPr="00EB3D2F" w:rsidR="00F70EB9">
        <w:t>Habiba</w:t>
      </w:r>
      <w:proofErr w:type="spellEnd"/>
      <w:r w:rsidRPr="00EB3D2F" w:rsidR="00F70EB9">
        <w:t xml:space="preserve"> El </w:t>
      </w:r>
      <w:proofErr w:type="spellStart"/>
      <w:r w:rsidRPr="00EB3D2F" w:rsidR="00F70EB9">
        <w:t>Jarroudi</w:t>
      </w:r>
      <w:proofErr w:type="spellEnd"/>
      <w:r w:rsidRPr="00EB3D2F" w:rsidR="00F70EB9">
        <w:t xml:space="preserve"> et Farida</w:t>
      </w:r>
      <w:r w:rsidR="000707F1">
        <w:t xml:space="preserve"> </w:t>
      </w:r>
      <w:proofErr w:type="spellStart"/>
      <w:r w:rsidRPr="00EB3D2F" w:rsidR="000249C7">
        <w:t>Sarr</w:t>
      </w:r>
      <w:proofErr w:type="spellEnd"/>
      <w:r w:rsidRPr="00EB3D2F" w:rsidR="000249C7">
        <w:t>-Trichine</w:t>
      </w:r>
      <w:r w:rsidRPr="00EB3D2F" w:rsidR="00A81870">
        <w:t xml:space="preserve">, </w:t>
      </w:r>
      <w:r w:rsidRPr="00EB3D2F" w:rsidR="00367876">
        <w:t xml:space="preserve">les requérants </w:t>
      </w:r>
      <w:r w:rsidRPr="00EB3D2F" w:rsidR="00957CBF">
        <w:t>furent</w:t>
      </w:r>
      <w:r w:rsidRPr="00EB3D2F" w:rsidR="00367876">
        <w:t xml:space="preserve"> également cités </w:t>
      </w:r>
      <w:r w:rsidRPr="00EB3D2F" w:rsidR="00F847FF">
        <w:t xml:space="preserve">à </w:t>
      </w:r>
      <w:r w:rsidRPr="00EB3D2F" w:rsidR="00367876">
        <w:t xml:space="preserve">comparaître </w:t>
      </w:r>
      <w:r w:rsidRPr="00EB3D2F" w:rsidR="00AC2AC6">
        <w:t xml:space="preserve">pour avoir porté </w:t>
      </w:r>
      <w:r w:rsidRPr="00EB3D2F" w:rsidR="00367876">
        <w:t>des vêtements comprenant l</w:t>
      </w:r>
      <w:r w:rsidR="00062221">
        <w:t>’</w:t>
      </w:r>
      <w:r w:rsidRPr="00EB3D2F" w:rsidR="00367876">
        <w:t xml:space="preserve">inscription </w:t>
      </w:r>
      <w:r w:rsidR="006A4DF1">
        <w:t>« </w:t>
      </w:r>
      <w:r w:rsidRPr="00EB3D2F" w:rsidR="00367876">
        <w:t>Palestine vivra</w:t>
      </w:r>
      <w:r w:rsidR="006A4DF1">
        <w:t> »</w:t>
      </w:r>
      <w:r w:rsidRPr="00EB3D2F" w:rsidR="00367876">
        <w:t xml:space="preserve"> et </w:t>
      </w:r>
      <w:r w:rsidR="006A4DF1">
        <w:t>« </w:t>
      </w:r>
      <w:r w:rsidRPr="00EB3D2F" w:rsidR="00367876">
        <w:t>boycott Israël</w:t>
      </w:r>
      <w:r w:rsidR="006A4DF1">
        <w:t> »</w:t>
      </w:r>
      <w:r w:rsidRPr="00EB3D2F" w:rsidR="00367876">
        <w:t>.</w:t>
      </w:r>
    </w:p>
    <w:p w:rsidRPr="00EB3D2F" w:rsidR="00824520"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11</w:t>
      </w:r>
      <w:r w:rsidRPr="00EB3D2F">
        <w:fldChar w:fldCharType="end"/>
      </w:r>
      <w:r w:rsidRPr="00EB3D2F">
        <w:t>.  </w:t>
      </w:r>
      <w:r w:rsidRPr="00EB3D2F" w:rsidR="00824520">
        <w:t>L</w:t>
      </w:r>
      <w:r w:rsidR="00062221">
        <w:t>’</w:t>
      </w:r>
      <w:r w:rsidRPr="00EB3D2F" w:rsidR="00824520">
        <w:t>hypermarché concerné ne se constitua pas partie civile.</w:t>
      </w:r>
    </w:p>
    <w:p w:rsidRPr="00EB3D2F" w:rsidR="00824520" w:rsidP="00EB3D2F" w:rsidRDefault="008D52EE">
      <w:pPr>
        <w:pStyle w:val="JuHIRoman"/>
        <w:rPr>
          <w:caps w:val="0"/>
          <w:lang w:val="fr-FR"/>
        </w:rPr>
      </w:pPr>
      <w:r w:rsidRPr="00EB3D2F">
        <w:rPr>
          <w:lang w:val="fr-FR"/>
        </w:rPr>
        <w:t>Les jugements du tribunal correctionnel de Mulhouse du 15</w:t>
      </w:r>
      <w:r w:rsidR="00565C93">
        <w:rPr>
          <w:lang w:val="fr-FR"/>
        </w:rPr>
        <w:t> décembre</w:t>
      </w:r>
      <w:r w:rsidRPr="00EB3D2F">
        <w:rPr>
          <w:lang w:val="fr-FR"/>
        </w:rPr>
        <w:t xml:space="preserve"> 2011</w:t>
      </w:r>
    </w:p>
    <w:p w:rsidRPr="00EB3D2F" w:rsidR="00824520"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12</w:t>
      </w:r>
      <w:r w:rsidRPr="00EB3D2F">
        <w:fldChar w:fldCharType="end"/>
      </w:r>
      <w:r w:rsidRPr="00EB3D2F">
        <w:t>.  </w:t>
      </w:r>
      <w:r w:rsidRPr="00EB3D2F" w:rsidR="00824520">
        <w:t>Par deux jugements du 15</w:t>
      </w:r>
      <w:r w:rsidR="00565C93">
        <w:t> décembre</w:t>
      </w:r>
      <w:r w:rsidRPr="00EB3D2F" w:rsidR="00824520">
        <w:t xml:space="preserve"> 2011, </w:t>
      </w:r>
      <w:r w:rsidRPr="00EB3D2F" w:rsidR="00462CA6">
        <w:t>pareillement motivés pour l</w:t>
      </w:r>
      <w:r w:rsidR="00062221">
        <w:t>’</w:t>
      </w:r>
      <w:r w:rsidRPr="00EB3D2F" w:rsidR="00462CA6">
        <w:t xml:space="preserve">essentiel, </w:t>
      </w:r>
      <w:r w:rsidRPr="00EB3D2F" w:rsidR="00824520">
        <w:t>le tribunal correctionnel de Mulhouse relaxa les requérants. Il considéra notamment ce qui suit</w:t>
      </w:r>
      <w:r w:rsidRPr="00EB3D2F" w:rsidR="00DB028D">
        <w:t xml:space="preserve"> (</w:t>
      </w:r>
      <w:r w:rsidRPr="00EB3D2F" w:rsidR="00462CA6">
        <w:t xml:space="preserve">extrait du </w:t>
      </w:r>
      <w:r w:rsidRPr="00EB3D2F" w:rsidR="00DB028D">
        <w:t>jugement relatif au</w:t>
      </w:r>
      <w:r w:rsidRPr="00EB3D2F" w:rsidR="00462CA6">
        <w:t>x événements du</w:t>
      </w:r>
      <w:r w:rsidRPr="00EB3D2F" w:rsidR="00DB028D">
        <w:t xml:space="preserve"> 22</w:t>
      </w:r>
      <w:r w:rsidR="00565C93">
        <w:t xml:space="preserve"> mai </w:t>
      </w:r>
      <w:r w:rsidRPr="00EB3D2F" w:rsidR="00DB028D">
        <w:t>2010)</w:t>
      </w:r>
      <w:r w:rsidR="006A4DF1">
        <w:t> :</w:t>
      </w:r>
    </w:p>
    <w:p w:rsidRPr="00EB3D2F" w:rsidR="00824520" w:rsidP="00EB3D2F" w:rsidRDefault="006A4DF1">
      <w:pPr>
        <w:pStyle w:val="JuQuot"/>
      </w:pPr>
      <w:r>
        <w:t>« </w:t>
      </w:r>
      <w:r w:rsidRPr="00EB3D2F" w:rsidR="00824520">
        <w:t>(...) Attendu que le tribunal est saisi sur le fondement de l</w:t>
      </w:r>
      <w:r w:rsidR="00062221">
        <w:t>’</w:t>
      </w:r>
      <w:r w:rsidR="00565C93">
        <w:t>article </w:t>
      </w:r>
      <w:r w:rsidRPr="00EB3D2F" w:rsidR="00824520">
        <w:t xml:space="preserve">24 </w:t>
      </w:r>
      <w:r w:rsidR="00F92E77">
        <w:t>alinéa </w:t>
      </w:r>
      <w:r w:rsidRPr="00EB3D2F" w:rsidR="00824520">
        <w:t>8 de la loi de 1881</w:t>
      </w:r>
      <w:r>
        <w:t> ;</w:t>
      </w:r>
      <w:r w:rsidRPr="00EB3D2F" w:rsidR="00824520">
        <w:t xml:space="preserve"> que ce texte fixe définitivement le débat en application de l</w:t>
      </w:r>
      <w:r w:rsidR="00062221">
        <w:t>’</w:t>
      </w:r>
      <w:r w:rsidR="00565C93">
        <w:t>article </w:t>
      </w:r>
      <w:r w:rsidRPr="00EB3D2F" w:rsidR="00824520">
        <w:t>53 du texte précité</w:t>
      </w:r>
      <w:r>
        <w:t> ;</w:t>
      </w:r>
      <w:r w:rsidRPr="00EB3D2F" w:rsidR="00824520">
        <w:t xml:space="preserve"> que, selon une jurisprudence constante en effet, le juge doit apprécier le délit sous le rapport de la qualification précitée selon ladite citation et par application de l</w:t>
      </w:r>
      <w:r w:rsidR="00062221">
        <w:t>’</w:t>
      </w:r>
      <w:r w:rsidR="00565C93">
        <w:t>article </w:t>
      </w:r>
      <w:r w:rsidRPr="00EB3D2F" w:rsidR="00824520">
        <w:t>de la loi de 1881 qui y est visé (...)</w:t>
      </w:r>
      <w:r>
        <w:t> ;</w:t>
      </w:r>
    </w:p>
    <w:p w:rsidRPr="00EB3D2F" w:rsidR="00824520" w:rsidP="00EB3D2F" w:rsidRDefault="00824520">
      <w:pPr>
        <w:pStyle w:val="JuQuot"/>
      </w:pPr>
      <w:r w:rsidRPr="00EB3D2F">
        <w:t xml:space="preserve">(...) Attendu que les agissements retenus dans la citation résultent des expressions </w:t>
      </w:r>
      <w:r w:rsidR="006A4DF1">
        <w:t>« </w:t>
      </w:r>
      <w:r w:rsidRPr="00EB3D2F">
        <w:t>Palestine vivra</w:t>
      </w:r>
      <w:r w:rsidR="006A4DF1">
        <w:t> »</w:t>
      </w:r>
      <w:r w:rsidRPr="00EB3D2F">
        <w:t xml:space="preserve">, </w:t>
      </w:r>
      <w:r w:rsidR="006A4DF1">
        <w:t>« </w:t>
      </w:r>
      <w:r w:rsidRPr="00EB3D2F">
        <w:t>Boycott des produits importés d</w:t>
      </w:r>
      <w:r w:rsidR="00062221">
        <w:t>’</w:t>
      </w:r>
      <w:r w:rsidRPr="00EB3D2F">
        <w:t>Israël</w:t>
      </w:r>
      <w:r w:rsidR="006A4DF1">
        <w:t> »</w:t>
      </w:r>
      <w:r w:rsidRPr="00EB3D2F">
        <w:t xml:space="preserve">, </w:t>
      </w:r>
      <w:r w:rsidR="006A4DF1">
        <w:t>« </w:t>
      </w:r>
      <w:r w:rsidRPr="00EB3D2F">
        <w:t>Acheter les produits importés d</w:t>
      </w:r>
      <w:r w:rsidR="00062221">
        <w:t>’</w:t>
      </w:r>
      <w:r w:rsidRPr="00EB3D2F">
        <w:t>Israël, c</w:t>
      </w:r>
      <w:r w:rsidR="00062221">
        <w:t>’</w:t>
      </w:r>
      <w:r w:rsidRPr="00EB3D2F">
        <w:t>est légitimer les crimes de Gaza, c</w:t>
      </w:r>
      <w:r w:rsidR="00062221">
        <w:t>’</w:t>
      </w:r>
      <w:r w:rsidRPr="00EB3D2F">
        <w:t>est approuver la politique menée par le gouvernement israélien</w:t>
      </w:r>
      <w:r w:rsidR="006A4DF1">
        <w:t> » ;</w:t>
      </w:r>
      <w:r w:rsidRPr="00EB3D2F">
        <w:t xml:space="preserve"> que les termes employés ne visent qu</w:t>
      </w:r>
      <w:r w:rsidR="00062221">
        <w:t>’</w:t>
      </w:r>
      <w:r w:rsidRPr="00EB3D2F" w:rsidR="00F847FF">
        <w:t xml:space="preserve">à </w:t>
      </w:r>
      <w:r w:rsidRPr="00EB3D2F">
        <w:t>inciter, au soutien de l</w:t>
      </w:r>
      <w:r w:rsidR="00062221">
        <w:t>’</w:t>
      </w:r>
      <w:r w:rsidRPr="00EB3D2F">
        <w:t xml:space="preserve">action des prévenus, les consommateurs </w:t>
      </w:r>
      <w:r w:rsidRPr="00EB3D2F" w:rsidR="00F847FF">
        <w:t xml:space="preserve">à </w:t>
      </w:r>
      <w:r w:rsidRPr="00EB3D2F">
        <w:t>ne pas acheter de produits israéliens</w:t>
      </w:r>
      <w:r w:rsidR="006A4DF1">
        <w:t> ;</w:t>
      </w:r>
    </w:p>
    <w:p w:rsidRPr="00EB3D2F" w:rsidR="00824520" w:rsidP="00EB3D2F" w:rsidRDefault="00824520">
      <w:pPr>
        <w:pStyle w:val="JuQuot"/>
      </w:pPr>
      <w:r w:rsidRPr="00EB3D2F">
        <w:t>Attendu que l</w:t>
      </w:r>
      <w:r w:rsidR="00062221">
        <w:t>’</w:t>
      </w:r>
      <w:r w:rsidR="00565C93">
        <w:t>article </w:t>
      </w:r>
      <w:r w:rsidRPr="00EB3D2F">
        <w:t xml:space="preserve">24 </w:t>
      </w:r>
      <w:r w:rsidR="00F92E77">
        <w:t>alinéa </w:t>
      </w:r>
      <w:r w:rsidRPr="00EB3D2F">
        <w:t>8 tel que retenu dans l</w:t>
      </w:r>
      <w:r w:rsidR="00062221">
        <w:t>’</w:t>
      </w:r>
      <w:r w:rsidRPr="00EB3D2F">
        <w:t>acte de poursuite ne vise pas l</w:t>
      </w:r>
      <w:r w:rsidR="00062221">
        <w:t>’</w:t>
      </w:r>
      <w:r w:rsidRPr="00EB3D2F">
        <w:t xml:space="preserve">incitation </w:t>
      </w:r>
      <w:r w:rsidRPr="00EB3D2F" w:rsidR="00F847FF">
        <w:t xml:space="preserve">à </w:t>
      </w:r>
      <w:r w:rsidRPr="00EB3D2F">
        <w:t>la discrimination économique définie par l</w:t>
      </w:r>
      <w:r w:rsidR="00062221">
        <w:t>’</w:t>
      </w:r>
      <w:r w:rsidR="00565C93">
        <w:t>article </w:t>
      </w:r>
      <w:r w:rsidRPr="00EB3D2F">
        <w:t>225-2 du code pénal comme l</w:t>
      </w:r>
      <w:r w:rsidR="00062221">
        <w:t>’</w:t>
      </w:r>
      <w:r w:rsidRPr="00EB3D2F">
        <w:t xml:space="preserve">entrave </w:t>
      </w:r>
      <w:r w:rsidRPr="00EB3D2F" w:rsidR="00F847FF">
        <w:t xml:space="preserve">à </w:t>
      </w:r>
      <w:r w:rsidRPr="00EB3D2F">
        <w:t>l</w:t>
      </w:r>
      <w:r w:rsidR="00062221">
        <w:t>’</w:t>
      </w:r>
      <w:r w:rsidRPr="00EB3D2F">
        <w:t>exercice normal d</w:t>
      </w:r>
      <w:r w:rsidR="00062221">
        <w:t>’</w:t>
      </w:r>
      <w:r w:rsidRPr="00EB3D2F">
        <w:t>une activité économique</w:t>
      </w:r>
      <w:r w:rsidR="006A4DF1">
        <w:t> ;</w:t>
      </w:r>
    </w:p>
    <w:p w:rsidRPr="00EB3D2F" w:rsidR="00824520" w:rsidP="00EB3D2F" w:rsidRDefault="00824520">
      <w:pPr>
        <w:pStyle w:val="JuQuot"/>
      </w:pPr>
      <w:r w:rsidRPr="00EB3D2F">
        <w:t>Attendu que le fondement des poursuites est d</w:t>
      </w:r>
      <w:r w:rsidR="00062221">
        <w:t>’</w:t>
      </w:r>
      <w:r w:rsidRPr="00EB3D2F">
        <w:t>autant plus inadéquat, que les agissements en cause sont susceptibles de relever d</w:t>
      </w:r>
      <w:r w:rsidR="00062221">
        <w:t>’</w:t>
      </w:r>
      <w:r w:rsidRPr="00EB3D2F">
        <w:t xml:space="preserve">un texte spécifique </w:t>
      </w:r>
      <w:r w:rsidRPr="00EB3D2F" w:rsidR="00F847FF">
        <w:t xml:space="preserve">à </w:t>
      </w:r>
      <w:r w:rsidRPr="00EB3D2F">
        <w:t>savoir l</w:t>
      </w:r>
      <w:r w:rsidR="00062221">
        <w:t>’</w:t>
      </w:r>
      <w:r w:rsidR="00F92E77">
        <w:t>alinéa </w:t>
      </w:r>
      <w:r w:rsidRPr="00EB3D2F">
        <w:t>9 du même texte introduite par la loi de 2004 et qui renvoie aux actes de discriminations économiques prévus et définis par l</w:t>
      </w:r>
      <w:r w:rsidR="00062221">
        <w:t>’</w:t>
      </w:r>
      <w:r w:rsidR="00565C93">
        <w:t>article </w:t>
      </w:r>
      <w:r w:rsidRPr="00EB3D2F">
        <w:t>225-2 du code pénal</w:t>
      </w:r>
      <w:r w:rsidR="006A4DF1">
        <w:t> ;</w:t>
      </w:r>
      <w:r w:rsidRPr="00EB3D2F">
        <w:t xml:space="preserve"> qu</w:t>
      </w:r>
      <w:r w:rsidR="00062221">
        <w:t>’</w:t>
      </w:r>
      <w:r w:rsidRPr="00EB3D2F">
        <w:t>il n</w:t>
      </w:r>
      <w:r w:rsidR="00062221">
        <w:t>’</w:t>
      </w:r>
      <w:r w:rsidRPr="00EB3D2F">
        <w:t>y a pas d</w:t>
      </w:r>
      <w:r w:rsidR="00062221">
        <w:t>’</w:t>
      </w:r>
      <w:r w:rsidRPr="00EB3D2F">
        <w:t>ambiguïté quant au choix de l</w:t>
      </w:r>
      <w:r w:rsidR="00062221">
        <w:t>’</w:t>
      </w:r>
      <w:r w:rsidR="00565C93">
        <w:t>article </w:t>
      </w:r>
      <w:r w:rsidRPr="00EB3D2F">
        <w:t xml:space="preserve">24 </w:t>
      </w:r>
      <w:r w:rsidR="00F92E77">
        <w:t>alinéa </w:t>
      </w:r>
      <w:r w:rsidRPr="00EB3D2F">
        <w:t>8, puisqu</w:t>
      </w:r>
      <w:r w:rsidR="00062221">
        <w:t>’</w:t>
      </w:r>
      <w:r w:rsidRPr="00EB3D2F">
        <w:t xml:space="preserve">aucune référence </w:t>
      </w:r>
      <w:r w:rsidRPr="00EB3D2F" w:rsidR="00F847FF">
        <w:t xml:space="preserve">à </w:t>
      </w:r>
      <w:r w:rsidRPr="00EB3D2F">
        <w:t>l</w:t>
      </w:r>
      <w:r w:rsidR="00062221">
        <w:t>’</w:t>
      </w:r>
      <w:r w:rsidR="00565C93">
        <w:t>article </w:t>
      </w:r>
      <w:r w:rsidRPr="00EB3D2F">
        <w:t xml:space="preserve">225-2 du code pénal mentionné expressément </w:t>
      </w:r>
      <w:r w:rsidRPr="00EB3D2F" w:rsidR="00F847FF">
        <w:t xml:space="preserve">à </w:t>
      </w:r>
      <w:r w:rsidRPr="00EB3D2F">
        <w:t>l</w:t>
      </w:r>
      <w:r w:rsidR="00062221">
        <w:t>’</w:t>
      </w:r>
      <w:r w:rsidR="00565C93">
        <w:t>article </w:t>
      </w:r>
      <w:r w:rsidRPr="00EB3D2F">
        <w:t xml:space="preserve">24 </w:t>
      </w:r>
      <w:r w:rsidR="00F92E77">
        <w:t>alinéa </w:t>
      </w:r>
      <w:r w:rsidRPr="00EB3D2F">
        <w:t>9, n</w:t>
      </w:r>
      <w:r w:rsidR="00062221">
        <w:t>’</w:t>
      </w:r>
      <w:r w:rsidRPr="00EB3D2F">
        <w:t>est faite dans les citation aux prévenus</w:t>
      </w:r>
      <w:r w:rsidR="006A4DF1">
        <w:t> ;</w:t>
      </w:r>
    </w:p>
    <w:p w:rsidRPr="00EB3D2F" w:rsidR="00824520" w:rsidP="00EB3D2F" w:rsidRDefault="00824520">
      <w:pPr>
        <w:pStyle w:val="JuQuot"/>
      </w:pPr>
      <w:r w:rsidRPr="00EB3D2F">
        <w:t>Attendu que certaines parties civiles ont pu soutenir que l</w:t>
      </w:r>
      <w:r w:rsidR="00062221">
        <w:t>’</w:t>
      </w:r>
      <w:r w:rsidRPr="00EB3D2F">
        <w:t xml:space="preserve">usage du slogan </w:t>
      </w:r>
      <w:r w:rsidR="006A4DF1">
        <w:t>« </w:t>
      </w:r>
      <w:r w:rsidRPr="00EB3D2F">
        <w:t xml:space="preserve">Israël assassin [C.] </w:t>
      </w:r>
      <w:proofErr w:type="gramStart"/>
      <w:r w:rsidRPr="00EB3D2F">
        <w:t>complice</w:t>
      </w:r>
      <w:proofErr w:type="gramEnd"/>
      <w:r w:rsidR="00EF4F87">
        <w:t> !</w:t>
      </w:r>
      <w:r w:rsidR="006A4DF1">
        <w:t> »</w:t>
      </w:r>
      <w:r w:rsidRPr="00EB3D2F">
        <w:t xml:space="preserve"> </w:t>
      </w:r>
      <w:proofErr w:type="gramStart"/>
      <w:r w:rsidRPr="00EB3D2F">
        <w:t>démontrait</w:t>
      </w:r>
      <w:proofErr w:type="gramEnd"/>
      <w:r w:rsidRPr="00EB3D2F">
        <w:t xml:space="preserve"> en réalité le caractère d</w:t>
      </w:r>
      <w:r w:rsidR="00062221">
        <w:t>’</w:t>
      </w:r>
      <w:r w:rsidRPr="00EB3D2F">
        <w:t xml:space="preserve">incitation </w:t>
      </w:r>
      <w:r w:rsidRPr="00EB3D2F" w:rsidR="00F847FF">
        <w:t xml:space="preserve">à </w:t>
      </w:r>
      <w:r w:rsidRPr="00EB3D2F">
        <w:t>la haine raciale de cette action conforme aux prévisions de l</w:t>
      </w:r>
      <w:r w:rsidR="00062221">
        <w:t>’</w:t>
      </w:r>
      <w:r w:rsidR="00565C93">
        <w:t>article </w:t>
      </w:r>
      <w:r w:rsidRPr="00EB3D2F">
        <w:t xml:space="preserve">24 </w:t>
      </w:r>
      <w:r w:rsidR="00F92E77">
        <w:t>alinéa </w:t>
      </w:r>
      <w:r w:rsidRPr="00EB3D2F">
        <w:t>8</w:t>
      </w:r>
      <w:r w:rsidR="006A4DF1">
        <w:t> ;</w:t>
      </w:r>
    </w:p>
    <w:p w:rsidRPr="00EB3D2F" w:rsidR="00824520" w:rsidP="00EB3D2F" w:rsidRDefault="00824520">
      <w:pPr>
        <w:pStyle w:val="JuQuot"/>
      </w:pPr>
      <w:r w:rsidRPr="00EB3D2F">
        <w:t xml:space="preserve">Attendu que ce slogan, imputé </w:t>
      </w:r>
      <w:r w:rsidRPr="00EB3D2F" w:rsidR="00F847FF">
        <w:t xml:space="preserve">à </w:t>
      </w:r>
      <w:r w:rsidRPr="00EB3D2F">
        <w:t>certains prévenus seulement, lesquels ont reconnu l</w:t>
      </w:r>
      <w:r w:rsidR="00062221">
        <w:t>’</w:t>
      </w:r>
      <w:r w:rsidRPr="00EB3D2F">
        <w:t>avoir employé, a été également contesté par bon nombre d</w:t>
      </w:r>
      <w:r w:rsidR="00062221">
        <w:t>’</w:t>
      </w:r>
      <w:r w:rsidRPr="00EB3D2F">
        <w:t>autres participants qui en ont réfuté l</w:t>
      </w:r>
      <w:r w:rsidR="00062221">
        <w:t>’</w:t>
      </w:r>
      <w:r w:rsidRPr="00EB3D2F">
        <w:t>usage en ce qui les concerne, les termes leur paraissant excessifs et non en adéquation avec le sens de leur action</w:t>
      </w:r>
      <w:r w:rsidR="006A4DF1">
        <w:t> ;</w:t>
      </w:r>
      <w:r w:rsidRPr="00EB3D2F">
        <w:t xml:space="preserve"> que la plupart des prévenus, sans renier leur participation, ont souligné au contraire que cette manifestation n</w:t>
      </w:r>
      <w:r w:rsidR="00062221">
        <w:t>’</w:t>
      </w:r>
      <w:r w:rsidRPr="00EB3D2F">
        <w:t>avait aucune visée religieuse ou antisémite</w:t>
      </w:r>
      <w:r w:rsidR="006A4DF1">
        <w:t> ;</w:t>
      </w:r>
    </w:p>
    <w:p w:rsidRPr="00EB3D2F" w:rsidR="00824520" w:rsidP="00EB3D2F" w:rsidRDefault="00824520">
      <w:pPr>
        <w:pStyle w:val="JuQuot"/>
      </w:pPr>
      <w:r w:rsidRPr="00EB3D2F">
        <w:t xml:space="preserve">Attendu que ce slogan, non exprimé de manière concertée, ne pouvait </w:t>
      </w:r>
      <w:r w:rsidRPr="00EB3D2F" w:rsidR="00F847FF">
        <w:t xml:space="preserve">à </w:t>
      </w:r>
      <w:r w:rsidRPr="00EB3D2F">
        <w:t>lui seule donner aux propos et aux actes reprochés le caractère d</w:t>
      </w:r>
      <w:r w:rsidR="00062221">
        <w:t>’</w:t>
      </w:r>
      <w:r w:rsidRPr="00EB3D2F">
        <w:t xml:space="preserve">incitation </w:t>
      </w:r>
      <w:r w:rsidRPr="00EB3D2F" w:rsidR="00F847FF">
        <w:t xml:space="preserve">à </w:t>
      </w:r>
      <w:r w:rsidRPr="00EB3D2F">
        <w:t>la haine raciale tel que prévu par l</w:t>
      </w:r>
      <w:r w:rsidR="00062221">
        <w:t>’</w:t>
      </w:r>
      <w:r w:rsidR="00565C93">
        <w:t>article </w:t>
      </w:r>
      <w:r w:rsidRPr="00EB3D2F">
        <w:t xml:space="preserve">124 </w:t>
      </w:r>
      <w:r w:rsidR="00F92E77">
        <w:t>alinéa </w:t>
      </w:r>
      <w:r w:rsidRPr="00EB3D2F">
        <w:t>8</w:t>
      </w:r>
      <w:r w:rsidR="006A4DF1">
        <w:t> ;</w:t>
      </w:r>
      <w:r w:rsidRPr="00EB3D2F">
        <w:t xml:space="preserve"> que le caractère de discrimination économique portant sur certains produits résulte clairement de la matérialité des actes et propos retenus et constatés</w:t>
      </w:r>
      <w:r w:rsidR="006A4DF1">
        <w:t> ;</w:t>
      </w:r>
    </w:p>
    <w:p w:rsidRPr="00EB3D2F" w:rsidR="00824520" w:rsidP="00EB3D2F" w:rsidRDefault="00824520">
      <w:pPr>
        <w:pStyle w:val="JuQuot"/>
      </w:pPr>
      <w:r w:rsidRPr="00EB3D2F">
        <w:t>Attendus au surplus que le tribunal a pu se convaincre de l</w:t>
      </w:r>
      <w:r w:rsidR="00062221">
        <w:t>’</w:t>
      </w:r>
      <w:r w:rsidRPr="00EB3D2F">
        <w:t>absence d</w:t>
      </w:r>
      <w:r w:rsidR="00062221">
        <w:t>’</w:t>
      </w:r>
      <w:r w:rsidRPr="00EB3D2F">
        <w:t xml:space="preserve">incitation </w:t>
      </w:r>
      <w:r w:rsidRPr="00EB3D2F" w:rsidR="00F847FF">
        <w:t xml:space="preserve">à </w:t>
      </w:r>
      <w:r w:rsidRPr="00EB3D2F">
        <w:t xml:space="preserve">la haine raciale voire antisémite au vu de la personnalité des membres du Collectif 68 issus de mouvements associatifs ou politiques non connus pour leurs prises de position racistes ou antisémites, de même que par le témoignage de soutien </w:t>
      </w:r>
      <w:r w:rsidRPr="00EB3D2F" w:rsidR="00F847FF">
        <w:t xml:space="preserve">à </w:t>
      </w:r>
      <w:r w:rsidRPr="00EB3D2F">
        <w:t xml:space="preserve">la barre de </w:t>
      </w:r>
      <w:r w:rsidR="00A54A38">
        <w:t>M. </w:t>
      </w:r>
      <w:r w:rsidRPr="00EB3D2F">
        <w:t>[M.], sénateur de la République et maire, ainsi que de M</w:t>
      </w:r>
      <w:r w:rsidRPr="00062221">
        <w:rPr>
          <w:vertAlign w:val="superscript"/>
        </w:rPr>
        <w:t>gr</w:t>
      </w:r>
      <w:r w:rsidR="005E5E05">
        <w:t> </w:t>
      </w:r>
      <w:r w:rsidRPr="00EB3D2F">
        <w:t>[G.], évêque, connu pour ses prises de positions en faveur des minorités</w:t>
      </w:r>
      <w:r w:rsidR="006A4DF1">
        <w:t> ;</w:t>
      </w:r>
    </w:p>
    <w:p w:rsidRPr="00EB3D2F" w:rsidR="00824520" w:rsidP="00EB3D2F" w:rsidRDefault="00824520">
      <w:pPr>
        <w:pStyle w:val="JuQuot"/>
      </w:pPr>
      <w:r w:rsidRPr="00EB3D2F">
        <w:t>Attendu qu</w:t>
      </w:r>
      <w:r w:rsidR="00062221">
        <w:t>’</w:t>
      </w:r>
      <w:r w:rsidRPr="00EB3D2F">
        <w:t>il y a lieu au regard des textes visés dans l</w:t>
      </w:r>
      <w:r w:rsidR="00062221">
        <w:t>’</w:t>
      </w:r>
      <w:r w:rsidRPr="00EB3D2F">
        <w:t xml:space="preserve">acte de poursuite, </w:t>
      </w:r>
      <w:r w:rsidRPr="00EB3D2F" w:rsidR="00F847FF">
        <w:t xml:space="preserve">à </w:t>
      </w:r>
      <w:r w:rsidRPr="00EB3D2F">
        <w:t>savoir l</w:t>
      </w:r>
      <w:r w:rsidR="00062221">
        <w:t>’</w:t>
      </w:r>
      <w:r w:rsidR="00565C93">
        <w:t>article </w:t>
      </w:r>
      <w:r w:rsidRPr="00EB3D2F">
        <w:t xml:space="preserve">24 </w:t>
      </w:r>
      <w:r w:rsidR="00F92E77">
        <w:t>alinéa </w:t>
      </w:r>
      <w:r w:rsidRPr="00EB3D2F">
        <w:t>8 de la loi du 29</w:t>
      </w:r>
      <w:r w:rsidR="00565C93">
        <w:t> juillet</w:t>
      </w:r>
      <w:r w:rsidRPr="00EB3D2F">
        <w:t xml:space="preserve"> </w:t>
      </w:r>
      <w:r w:rsidRPr="00EB3D2F" w:rsidR="00F847FF">
        <w:t>1881, de relaxer les prévenus.</w:t>
      </w:r>
      <w:r w:rsidR="006A4DF1">
        <w:t> »</w:t>
      </w:r>
    </w:p>
    <w:p w:rsidRPr="00EB3D2F" w:rsidR="00824520" w:rsidP="00EB3D2F" w:rsidRDefault="008D52EE">
      <w:pPr>
        <w:pStyle w:val="JuHIRoman"/>
        <w:rPr>
          <w:caps w:val="0"/>
          <w:lang w:val="fr-FR"/>
        </w:rPr>
      </w:pPr>
      <w:r w:rsidRPr="00EB3D2F">
        <w:rPr>
          <w:lang w:val="fr-FR"/>
        </w:rPr>
        <w:t>Les arrêts de la cour d</w:t>
      </w:r>
      <w:r w:rsidR="00062221">
        <w:rPr>
          <w:lang w:val="fr-FR"/>
        </w:rPr>
        <w:t>’</w:t>
      </w:r>
      <w:r w:rsidRPr="00EB3D2F">
        <w:rPr>
          <w:lang w:val="fr-FR"/>
        </w:rPr>
        <w:t>appel de Colmar du 27</w:t>
      </w:r>
      <w:r w:rsidR="00565C93">
        <w:rPr>
          <w:lang w:val="fr-FR"/>
        </w:rPr>
        <w:t> novembre</w:t>
      </w:r>
      <w:r w:rsidRPr="00EB3D2F">
        <w:rPr>
          <w:lang w:val="fr-FR"/>
        </w:rPr>
        <w:t xml:space="preserve"> 2013</w:t>
      </w:r>
    </w:p>
    <w:p w:rsidRPr="00EB3D2F" w:rsidR="00824520"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13</w:t>
      </w:r>
      <w:r w:rsidRPr="00EB3D2F">
        <w:fldChar w:fldCharType="end"/>
      </w:r>
      <w:r w:rsidRPr="00EB3D2F">
        <w:t>.  </w:t>
      </w:r>
      <w:r w:rsidRPr="00EB3D2F" w:rsidR="00824520">
        <w:t>Par deux arrêts du 27</w:t>
      </w:r>
      <w:r w:rsidR="00565C93">
        <w:t> novembre</w:t>
      </w:r>
      <w:r w:rsidRPr="00EB3D2F" w:rsidR="00824520">
        <w:t xml:space="preserve"> 2013, la Cour d</w:t>
      </w:r>
      <w:r w:rsidR="00062221">
        <w:t>’</w:t>
      </w:r>
      <w:r w:rsidRPr="00EB3D2F" w:rsidR="00824520">
        <w:t>appel de Colmar infirma le</w:t>
      </w:r>
      <w:r w:rsidRPr="00EB3D2F" w:rsidR="00D602A0">
        <w:t>s</w:t>
      </w:r>
      <w:r w:rsidRPr="00EB3D2F" w:rsidR="00824520">
        <w:t xml:space="preserve"> jugement</w:t>
      </w:r>
      <w:r w:rsidRPr="00EB3D2F" w:rsidR="00D602A0">
        <w:t xml:space="preserve">s </w:t>
      </w:r>
      <w:r w:rsidRPr="00EB3D2F" w:rsidR="00824520">
        <w:t>en ce qu</w:t>
      </w:r>
      <w:r w:rsidR="00062221">
        <w:t>’</w:t>
      </w:r>
      <w:r w:rsidRPr="00EB3D2F" w:rsidR="00824520">
        <w:t>il</w:t>
      </w:r>
      <w:r w:rsidRPr="00EB3D2F" w:rsidR="00D602A0">
        <w:t>s</w:t>
      </w:r>
      <w:r w:rsidRPr="00EB3D2F" w:rsidR="00824520">
        <w:t xml:space="preserve"> relaxai</w:t>
      </w:r>
      <w:r w:rsidRPr="00EB3D2F" w:rsidR="00D602A0">
        <w:t>en</w:t>
      </w:r>
      <w:r w:rsidRPr="00EB3D2F" w:rsidR="00824520">
        <w:t>t les requérants. Elle jugea ce qui suit</w:t>
      </w:r>
      <w:r w:rsidR="006A4DF1">
        <w:t> :</w:t>
      </w:r>
    </w:p>
    <w:p w:rsidRPr="00EB3D2F" w:rsidR="00824520" w:rsidP="00EB3D2F" w:rsidRDefault="006A4DF1">
      <w:pPr>
        <w:pStyle w:val="JuQuot"/>
      </w:pPr>
      <w:r>
        <w:t>« </w:t>
      </w:r>
      <w:r w:rsidRPr="00EB3D2F" w:rsidR="00824520">
        <w:t>(...) Attendu qu</w:t>
      </w:r>
      <w:r w:rsidR="00062221">
        <w:t>’</w:t>
      </w:r>
      <w:r w:rsidRPr="00EB3D2F" w:rsidR="00824520">
        <w:t>il importe peu que l</w:t>
      </w:r>
      <w:r w:rsidR="00062221">
        <w:t>’</w:t>
      </w:r>
      <w:r w:rsidR="00F92E77">
        <w:t>alinéa </w:t>
      </w:r>
      <w:r w:rsidRPr="00EB3D2F" w:rsidR="00824520">
        <w:t>9 de l</w:t>
      </w:r>
      <w:r w:rsidR="00062221">
        <w:t>’</w:t>
      </w:r>
      <w:r w:rsidR="00565C93">
        <w:t>article </w:t>
      </w:r>
      <w:r w:rsidRPr="00EB3D2F" w:rsidR="006F7DE6">
        <w:t xml:space="preserve">24 de la </w:t>
      </w:r>
      <w:r w:rsidRPr="00EB3D2F" w:rsidR="00F847FF">
        <w:t>loi du 29</w:t>
      </w:r>
      <w:r w:rsidR="00565C93">
        <w:t> juillet</w:t>
      </w:r>
      <w:r w:rsidRPr="00EB3D2F" w:rsidR="00F847FF">
        <w:t xml:space="preserve"> </w:t>
      </w:r>
      <w:r w:rsidRPr="00EB3D2F" w:rsidR="00824520">
        <w:t xml:space="preserve">1881 incrimine la provocation </w:t>
      </w:r>
      <w:r w:rsidRPr="00EB3D2F" w:rsidR="00F847FF">
        <w:t xml:space="preserve">à </w:t>
      </w:r>
      <w:r w:rsidRPr="00EB3D2F" w:rsidR="00824520">
        <w:t>la discrimination économique définie par l</w:t>
      </w:r>
      <w:r w:rsidR="00062221">
        <w:t>’</w:t>
      </w:r>
      <w:r w:rsidR="00565C93">
        <w:t>article </w:t>
      </w:r>
      <w:r w:rsidRPr="00EB3D2F" w:rsidR="00824520">
        <w:t>225-2 du code pénal dès lors que la juridiction pénale, saisie par les termes de la prévention, se doit d</w:t>
      </w:r>
      <w:r w:rsidR="00062221">
        <w:t>’</w:t>
      </w:r>
      <w:r w:rsidRPr="00EB3D2F" w:rsidR="00824520">
        <w:t xml:space="preserve">examiner si les faits </w:t>
      </w:r>
      <w:r w:rsidRPr="00EB3D2F" w:rsidR="00F847FF">
        <w:t xml:space="preserve">à </w:t>
      </w:r>
      <w:r w:rsidRPr="00EB3D2F" w:rsidR="00824520">
        <w:t xml:space="preserve">elle déférés peuvent recevoir la qualification prévue par la citation, </w:t>
      </w:r>
      <w:r w:rsidRPr="00EB3D2F" w:rsidR="00F847FF">
        <w:t xml:space="preserve">à </w:t>
      </w:r>
      <w:r w:rsidRPr="00EB3D2F" w:rsidR="00824520">
        <w:t>savoir en l</w:t>
      </w:r>
      <w:r w:rsidR="00062221">
        <w:t>’</w:t>
      </w:r>
      <w:r w:rsidRPr="00EB3D2F" w:rsidR="00824520">
        <w:t>espèce celle résultant de l</w:t>
      </w:r>
      <w:r w:rsidR="00062221">
        <w:t>’</w:t>
      </w:r>
      <w:r w:rsidR="00F92E77">
        <w:t>alinéa </w:t>
      </w:r>
      <w:r w:rsidRPr="00EB3D2F" w:rsidR="00F847FF">
        <w:t xml:space="preserve">8 </w:t>
      </w:r>
      <w:r w:rsidRPr="00EB3D2F" w:rsidR="00824520">
        <w:t>dudit article, sans possibilité, dans le cadre de ce type d</w:t>
      </w:r>
      <w:r w:rsidR="00062221">
        <w:t>’</w:t>
      </w:r>
      <w:r w:rsidRPr="00EB3D2F" w:rsidR="00F847FF">
        <w:t xml:space="preserve">infractions, de procéder à </w:t>
      </w:r>
      <w:r w:rsidRPr="00EB3D2F" w:rsidR="00824520">
        <w:t>une requalification</w:t>
      </w:r>
      <w:r>
        <w:t> ;</w:t>
      </w:r>
    </w:p>
    <w:p w:rsidRPr="00EB3D2F" w:rsidR="00824520" w:rsidP="00EB3D2F" w:rsidRDefault="00824520">
      <w:pPr>
        <w:pStyle w:val="JuQuot"/>
      </w:pPr>
      <w:r w:rsidRPr="00EB3D2F">
        <w:t>Attendu qu</w:t>
      </w:r>
      <w:r w:rsidR="00062221">
        <w:t>’</w:t>
      </w:r>
      <w:r w:rsidRPr="00EB3D2F">
        <w:t xml:space="preserve">il est établi par les termes du tract distribué et par les déclarations des prévenus que ceux-ci, par leur action, provoquaient </w:t>
      </w:r>
      <w:r w:rsidRPr="00EB3D2F" w:rsidR="00F847FF">
        <w:t xml:space="preserve">à </w:t>
      </w:r>
      <w:r w:rsidRPr="00EB3D2F">
        <w:t>discriminer les produits venant d</w:t>
      </w:r>
      <w:r w:rsidR="00062221">
        <w:t>’</w:t>
      </w:r>
      <w:r w:rsidRPr="00EB3D2F">
        <w:t xml:space="preserve">Israël, incitant les clients du commerce en question </w:t>
      </w:r>
      <w:r w:rsidRPr="00EB3D2F" w:rsidR="00F847FF">
        <w:t xml:space="preserve">à </w:t>
      </w:r>
      <w:r w:rsidRPr="00EB3D2F">
        <w:t>ne pas acheter ces marchandises en raison de l</w:t>
      </w:r>
      <w:r w:rsidR="00062221">
        <w:t>’</w:t>
      </w:r>
      <w:r w:rsidRPr="00EB3D2F">
        <w:t xml:space="preserve">origine des producteurs ou fournisseurs lesquels, constituant un groupe de personnes, appartiennent </w:t>
      </w:r>
      <w:r w:rsidRPr="00EB3D2F" w:rsidR="00F847FF">
        <w:t xml:space="preserve">à </w:t>
      </w:r>
      <w:r w:rsidRPr="00EB3D2F">
        <w:t>une nation déterminée, en l</w:t>
      </w:r>
      <w:r w:rsidR="00062221">
        <w:t>’</w:t>
      </w:r>
      <w:r w:rsidRPr="00EB3D2F">
        <w:t>espèce Israël, qui constitue une nation au sens de l</w:t>
      </w:r>
      <w:r w:rsidR="00062221">
        <w:t>’</w:t>
      </w:r>
      <w:r w:rsidR="00565C93">
        <w:t>article </w:t>
      </w:r>
      <w:r w:rsidRPr="00EB3D2F">
        <w:t>d</w:t>
      </w:r>
      <w:r w:rsidR="00062221">
        <w:t>’</w:t>
      </w:r>
      <w:r w:rsidRPr="00EB3D2F">
        <w:t>incrimination et du droit international</w:t>
      </w:r>
      <w:r w:rsidR="006A4DF1">
        <w:t> ;</w:t>
      </w:r>
    </w:p>
    <w:p w:rsidRPr="00EB3D2F" w:rsidR="00824520" w:rsidP="00EB3D2F" w:rsidRDefault="00824520">
      <w:pPr>
        <w:pStyle w:val="JuQuot"/>
      </w:pPr>
      <w:r w:rsidRPr="00EB3D2F">
        <w:t xml:space="preserve">Attendu que la provocation </w:t>
      </w:r>
      <w:r w:rsidRPr="00EB3D2F" w:rsidR="00F847FF">
        <w:t xml:space="preserve">à </w:t>
      </w:r>
      <w:r w:rsidRPr="00EB3D2F">
        <w:t xml:space="preserve">la discrimination ne saurait entrer dans le droit </w:t>
      </w:r>
      <w:r w:rsidRPr="00EB3D2F" w:rsidR="00F847FF">
        <w:t xml:space="preserve">à </w:t>
      </w:r>
      <w:r w:rsidRPr="00EB3D2F">
        <w:t>la liberté d</w:t>
      </w:r>
      <w:r w:rsidR="00062221">
        <w:t>’</w:t>
      </w:r>
      <w:r w:rsidRPr="00EB3D2F">
        <w:t>opinion et d</w:t>
      </w:r>
      <w:r w:rsidR="00062221">
        <w:t>’</w:t>
      </w:r>
      <w:r w:rsidRPr="00EB3D2F">
        <w:t>expression dès lors qu</w:t>
      </w:r>
      <w:r w:rsidR="00062221">
        <w:t>’</w:t>
      </w:r>
      <w:r w:rsidRPr="00EB3D2F">
        <w:t>elle constitue un acte positif de rejet, se manifestant par l</w:t>
      </w:r>
      <w:r w:rsidR="00062221">
        <w:t>’</w:t>
      </w:r>
      <w:r w:rsidRPr="00EB3D2F">
        <w:t xml:space="preserve">incitation </w:t>
      </w:r>
      <w:r w:rsidRPr="00EB3D2F" w:rsidR="00F847FF">
        <w:t xml:space="preserve">à </w:t>
      </w:r>
      <w:r w:rsidRPr="00EB3D2F">
        <w:t xml:space="preserve">opérer une différence de traitement, </w:t>
      </w:r>
      <w:r w:rsidRPr="00EB3D2F" w:rsidR="00F847FF">
        <w:t xml:space="preserve">à </w:t>
      </w:r>
      <w:r w:rsidRPr="00EB3D2F">
        <w:t>l</w:t>
      </w:r>
      <w:r w:rsidR="00062221">
        <w:t>’</w:t>
      </w:r>
      <w:r w:rsidRPr="00EB3D2F">
        <w:t>égard d</w:t>
      </w:r>
      <w:r w:rsidR="00062221">
        <w:t>’</w:t>
      </w:r>
      <w:r w:rsidRPr="00EB3D2F">
        <w:t>une catégorie de personnes, en l</w:t>
      </w:r>
      <w:r w:rsidR="00062221">
        <w:t>’</w:t>
      </w:r>
      <w:r w:rsidRPr="00EB3D2F">
        <w:t>espèce les producteurs de biens installés en Israël</w:t>
      </w:r>
      <w:r w:rsidR="006A4DF1">
        <w:t> ;</w:t>
      </w:r>
    </w:p>
    <w:p w:rsidRPr="00EB3D2F" w:rsidR="00340372" w:rsidP="00EB3D2F" w:rsidRDefault="00824520">
      <w:pPr>
        <w:pStyle w:val="JuQuot"/>
      </w:pPr>
      <w:r w:rsidRPr="00EB3D2F">
        <w:t>Attendu que le seul fait pour les prévenus d</w:t>
      </w:r>
      <w:r w:rsidR="00062221">
        <w:t>’</w:t>
      </w:r>
      <w:r w:rsidRPr="00EB3D2F">
        <w:t xml:space="preserve">inciter autrui </w:t>
      </w:r>
      <w:r w:rsidRPr="00EB3D2F" w:rsidR="00F847FF">
        <w:t xml:space="preserve">à </w:t>
      </w:r>
      <w:r w:rsidRPr="00EB3D2F">
        <w:t xml:space="preserve">procéder </w:t>
      </w:r>
      <w:r w:rsidRPr="00EB3D2F" w:rsidR="00F847FF">
        <w:t xml:space="preserve">à </w:t>
      </w:r>
      <w:r w:rsidRPr="00EB3D2F">
        <w:t>une discrimination entre les producteurs et/ou les fournisseurs, pour rejeter ceux d</w:t>
      </w:r>
      <w:r w:rsidR="00062221">
        <w:t>’</w:t>
      </w:r>
      <w:r w:rsidRPr="00EB3D2F">
        <w:t xml:space="preserve">Israël, est suffisant </w:t>
      </w:r>
      <w:r w:rsidRPr="00EB3D2F" w:rsidR="00F847FF">
        <w:t xml:space="preserve">à </w:t>
      </w:r>
      <w:r w:rsidRPr="00EB3D2F">
        <w:t>caractériser l</w:t>
      </w:r>
      <w:r w:rsidR="00062221">
        <w:t>’</w:t>
      </w:r>
      <w:r w:rsidRPr="00EB3D2F">
        <w:t>élément matériel de l</w:t>
      </w:r>
      <w:r w:rsidR="00062221">
        <w:t>’</w:t>
      </w:r>
      <w:r w:rsidRPr="00EB3D2F">
        <w:t>infraction en cause sans qu</w:t>
      </w:r>
      <w:r w:rsidR="00062221">
        <w:t>’</w:t>
      </w:r>
      <w:r w:rsidRPr="00EB3D2F">
        <w:t>il soit nécessaire de démontrer que les produits visés dans le tract distribué étaient effectivement d</w:t>
      </w:r>
      <w:r w:rsidR="00062221">
        <w:t>’</w:t>
      </w:r>
      <w:r w:rsidRPr="00EB3D2F">
        <w:t>origine israélienne</w:t>
      </w:r>
      <w:r w:rsidR="006A4DF1">
        <w:t> ;</w:t>
      </w:r>
    </w:p>
    <w:p w:rsidR="00A76D3F" w:rsidP="00EB3D2F" w:rsidRDefault="00DC47C9">
      <w:pPr>
        <w:pStyle w:val="JuQuot"/>
      </w:pPr>
      <w:r w:rsidRPr="00EB3D2F">
        <w:t>Attendu qu</w:t>
      </w:r>
      <w:r w:rsidR="00062221">
        <w:t>’</w:t>
      </w:r>
      <w:r w:rsidRPr="00EB3D2F">
        <w:t>au titre de l</w:t>
      </w:r>
      <w:r w:rsidR="00062221">
        <w:t>’</w:t>
      </w:r>
      <w:r w:rsidRPr="00EB3D2F">
        <w:t>état de nécessité il est prétendu qu</w:t>
      </w:r>
      <w:r w:rsidR="00062221">
        <w:t>’</w:t>
      </w:r>
      <w:r w:rsidRPr="00EB3D2F">
        <w:t>il existe une disproportion entre le fait que les consommateurs ont été trompés sur l</w:t>
      </w:r>
      <w:r w:rsidR="00062221">
        <w:t>’</w:t>
      </w:r>
      <w:r w:rsidRPr="00EB3D2F">
        <w:t>origine des biens étiquetés comme provenant d</w:t>
      </w:r>
      <w:r w:rsidR="00062221">
        <w:t>’</w:t>
      </w:r>
      <w:r w:rsidRPr="00EB3D2F">
        <w:t>Israël alors qu</w:t>
      </w:r>
      <w:r w:rsidR="00062221">
        <w:t>’</w:t>
      </w:r>
      <w:r w:rsidRPr="00EB3D2F">
        <w:t>ils pouvaient en réalité avoir été produits dans les territoires occupés par l</w:t>
      </w:r>
      <w:r w:rsidR="00062221">
        <w:t>’</w:t>
      </w:r>
      <w:r w:rsidRPr="00EB3D2F">
        <w:t>État d</w:t>
      </w:r>
      <w:r w:rsidR="00062221">
        <w:t>’</w:t>
      </w:r>
      <w:r w:rsidRPr="00EB3D2F">
        <w:t>Israël</w:t>
      </w:r>
      <w:r w:rsidR="006A4DF1">
        <w:t> ;</w:t>
      </w:r>
    </w:p>
    <w:p w:rsidRPr="00EB3D2F" w:rsidR="00DC47C9" w:rsidP="00EB3D2F" w:rsidRDefault="00DC47C9">
      <w:pPr>
        <w:pStyle w:val="JuQuot"/>
      </w:pPr>
      <w:r w:rsidRPr="00EB3D2F">
        <w:t xml:space="preserve">Attendu que même </w:t>
      </w:r>
      <w:proofErr w:type="gramStart"/>
      <w:r w:rsidRPr="00EB3D2F">
        <w:t>s</w:t>
      </w:r>
      <w:r w:rsidR="00062221">
        <w:t>’</w:t>
      </w:r>
      <w:r w:rsidRPr="00EB3D2F">
        <w:t>ils s</w:t>
      </w:r>
      <w:r w:rsidR="00062221">
        <w:t>’</w:t>
      </w:r>
      <w:r w:rsidRPr="00EB3D2F">
        <w:t>avérait</w:t>
      </w:r>
      <w:proofErr w:type="gramEnd"/>
      <w:r w:rsidRPr="00EB3D2F">
        <w:t xml:space="preserve"> que les produits litigieux faisaient l</w:t>
      </w:r>
      <w:r w:rsidR="00062221">
        <w:t>’</w:t>
      </w:r>
      <w:r w:rsidRPr="00EB3D2F">
        <w:t>objet d</w:t>
      </w:r>
      <w:r w:rsidR="00062221">
        <w:t>’</w:t>
      </w:r>
      <w:r w:rsidRPr="00EB3D2F">
        <w:t>une fausse déclaration d</w:t>
      </w:r>
      <w:r w:rsidR="00062221">
        <w:t>’</w:t>
      </w:r>
      <w:r w:rsidRPr="00EB3D2F">
        <w:t>origine, ce qui n</w:t>
      </w:r>
      <w:r w:rsidR="00062221">
        <w:t>’</w:t>
      </w:r>
      <w:r w:rsidRPr="00EB3D2F">
        <w:t>est pas démontré mais résulte d</w:t>
      </w:r>
      <w:r w:rsidR="00062221">
        <w:t>’</w:t>
      </w:r>
      <w:r w:rsidRPr="00EB3D2F">
        <w:t xml:space="preserve">une simple allégation, ce fait ne constitue pas, </w:t>
      </w:r>
      <w:r w:rsidRPr="00EB3D2F" w:rsidR="00F847FF">
        <w:t xml:space="preserve">à </w:t>
      </w:r>
      <w:r w:rsidRPr="00EB3D2F">
        <w:t>l</w:t>
      </w:r>
      <w:r w:rsidR="00062221">
        <w:t>’</w:t>
      </w:r>
      <w:r w:rsidRPr="00EB3D2F">
        <w:t>évidence, un quelconque péril imminent pour les prévenus ou les tiers</w:t>
      </w:r>
      <w:r w:rsidR="006A4DF1">
        <w:t> ;</w:t>
      </w:r>
      <w:r w:rsidRPr="00EB3D2F">
        <w:t xml:space="preserve"> que par conséquent les dispositions de l</w:t>
      </w:r>
      <w:r w:rsidR="00062221">
        <w:t>’</w:t>
      </w:r>
      <w:r w:rsidR="00565C93">
        <w:t>article </w:t>
      </w:r>
      <w:r w:rsidRPr="00EB3D2F">
        <w:t>122-7 du code pénal ne peuvent recevoir application en l</w:t>
      </w:r>
      <w:r w:rsidR="00062221">
        <w:t>’</w:t>
      </w:r>
      <w:r w:rsidRPr="00EB3D2F">
        <w:t>espèce</w:t>
      </w:r>
      <w:r w:rsidR="006A4DF1">
        <w:t> ;</w:t>
      </w:r>
    </w:p>
    <w:p w:rsidRPr="00EB3D2F" w:rsidR="00C22449" w:rsidP="00EB3D2F" w:rsidRDefault="00C22449">
      <w:pPr>
        <w:pStyle w:val="JuQuot"/>
      </w:pPr>
      <w:r w:rsidRPr="00EB3D2F">
        <w:t>Attendu qu</w:t>
      </w:r>
      <w:r w:rsidR="00062221">
        <w:t>’</w:t>
      </w:r>
      <w:r w:rsidRPr="00EB3D2F">
        <w:t xml:space="preserve">il en sera de même </w:t>
      </w:r>
      <w:r w:rsidRPr="00EB3D2F" w:rsidR="00703EE2">
        <w:t>pour les dispositions de l</w:t>
      </w:r>
      <w:r w:rsidR="00062221">
        <w:t>’</w:t>
      </w:r>
      <w:r w:rsidR="00565C93">
        <w:t>article </w:t>
      </w:r>
      <w:r w:rsidRPr="00EB3D2F" w:rsidR="00703EE2">
        <w:t>122-4 dudit code puisque si la liberté d</w:t>
      </w:r>
      <w:r w:rsidR="00062221">
        <w:t>’</w:t>
      </w:r>
      <w:r w:rsidRPr="00EB3D2F" w:rsidR="00703EE2">
        <w:t>expression est garantie tant par les lois fondamentales de la République que par les textes conventionnels reconnus par cette dernière, il doit de nouveau être rappelé que le respect de ce droit n</w:t>
      </w:r>
      <w:r w:rsidR="00062221">
        <w:t>’</w:t>
      </w:r>
      <w:r w:rsidRPr="00EB3D2F" w:rsidR="00703EE2">
        <w:t xml:space="preserve">autorise pas son détenteur, sous le couvert de cette liberté, </w:t>
      </w:r>
      <w:r w:rsidRPr="00EB3D2F" w:rsidR="00F847FF">
        <w:t xml:space="preserve">à </w:t>
      </w:r>
      <w:r w:rsidRPr="00EB3D2F" w:rsidR="00703EE2">
        <w:t>commettre un délit puni par la loi, comme en l</w:t>
      </w:r>
      <w:r w:rsidR="00062221">
        <w:t>’</w:t>
      </w:r>
      <w:r w:rsidRPr="00EB3D2F" w:rsidR="00703EE2">
        <w:t xml:space="preserve">espèce la provocation </w:t>
      </w:r>
      <w:r w:rsidRPr="00EB3D2F" w:rsidR="00F847FF">
        <w:t xml:space="preserve">à </w:t>
      </w:r>
      <w:r w:rsidRPr="00EB3D2F" w:rsidR="00703EE2">
        <w:t>la discrimination</w:t>
      </w:r>
      <w:r w:rsidR="006A4DF1">
        <w:t> ;</w:t>
      </w:r>
    </w:p>
    <w:p w:rsidRPr="00EB3D2F" w:rsidR="00824520" w:rsidP="00EB3D2F" w:rsidRDefault="00703EE2">
      <w:pPr>
        <w:pStyle w:val="JuQuot"/>
      </w:pPr>
      <w:r w:rsidRPr="00EB3D2F">
        <w:t>Attendu que par conséquent, en inf</w:t>
      </w:r>
      <w:r w:rsidRPr="00EB3D2F" w:rsidR="00150200">
        <w:t>i</w:t>
      </w:r>
      <w:r w:rsidRPr="00EB3D2F">
        <w:t xml:space="preserve">rmant le jugement déféré, il y a lieu de déclarer chaque prévenu coupable du délit visé </w:t>
      </w:r>
      <w:r w:rsidRPr="00EB3D2F" w:rsidR="00F847FF">
        <w:t xml:space="preserve">à </w:t>
      </w:r>
      <w:r w:rsidRPr="00EB3D2F">
        <w:t xml:space="preserve">la prévention et de condamner chacun </w:t>
      </w:r>
      <w:r w:rsidRPr="00EB3D2F" w:rsidR="00F847FF">
        <w:t xml:space="preserve">à </w:t>
      </w:r>
      <w:r w:rsidRPr="00EB3D2F">
        <w:t>une amende de mille euros avec sursis</w:t>
      </w:r>
      <w:r w:rsidR="006A4DF1">
        <w:t> ;</w:t>
      </w:r>
      <w:r w:rsidRPr="00EB3D2F">
        <w:t xml:space="preserve"> (</w:t>
      </w:r>
      <w:r w:rsidRPr="00EB3D2F" w:rsidR="00340372">
        <w:t>...</w:t>
      </w:r>
      <w:r w:rsidRPr="00EB3D2F">
        <w:t>)</w:t>
      </w:r>
      <w:r w:rsidR="006A4DF1">
        <w:t> »</w:t>
      </w:r>
    </w:p>
    <w:p w:rsidRPr="00EB3D2F" w:rsidR="00D602A0"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14</w:t>
      </w:r>
      <w:r w:rsidRPr="00EB3D2F">
        <w:fldChar w:fldCharType="end"/>
      </w:r>
      <w:r w:rsidRPr="00EB3D2F">
        <w:t>.  </w:t>
      </w:r>
      <w:r w:rsidRPr="00EB3D2F" w:rsidR="00C97730">
        <w:t>S</w:t>
      </w:r>
      <w:r w:rsidR="00062221">
        <w:t>’</w:t>
      </w:r>
      <w:r w:rsidRPr="00EB3D2F" w:rsidR="00C97730">
        <w:t>agissant des événements du 26</w:t>
      </w:r>
      <w:r w:rsidR="00565C93">
        <w:t> septembre</w:t>
      </w:r>
      <w:r w:rsidRPr="00EB3D2F" w:rsidR="00C97730">
        <w:t xml:space="preserve"> 2009, la cour d</w:t>
      </w:r>
      <w:r w:rsidR="00062221">
        <w:t>’</w:t>
      </w:r>
      <w:r w:rsidRPr="00EB3D2F" w:rsidR="00C97730">
        <w:t xml:space="preserve">appel condamna chacun des cinq prévenus </w:t>
      </w:r>
      <w:r w:rsidRPr="00EB3D2F" w:rsidR="00F847FF">
        <w:t xml:space="preserve">à </w:t>
      </w:r>
      <w:r w:rsidRPr="00EB3D2F" w:rsidR="00C97730">
        <w:t xml:space="preserve">une amende de 1 000 </w:t>
      </w:r>
      <w:r w:rsidRPr="00EB3D2F" w:rsidR="00F70EB9">
        <w:t>euros (</w:t>
      </w:r>
      <w:r w:rsidRPr="00EB3D2F" w:rsidR="00C97730">
        <w:t>EUR</w:t>
      </w:r>
      <w:r w:rsidRPr="00EB3D2F" w:rsidR="00F70EB9">
        <w:t>)</w:t>
      </w:r>
      <w:r w:rsidRPr="00EB3D2F" w:rsidR="00C97730">
        <w:t xml:space="preserve"> avec sursis. Elle les condamna aussi </w:t>
      </w:r>
      <w:r w:rsidRPr="00EB3D2F" w:rsidR="00C97730">
        <w:rPr>
          <w:i/>
        </w:rPr>
        <w:t xml:space="preserve">in </w:t>
      </w:r>
      <w:proofErr w:type="spellStart"/>
      <w:r w:rsidRPr="00EB3D2F" w:rsidR="00C97730">
        <w:rPr>
          <w:i/>
        </w:rPr>
        <w:t>solidum</w:t>
      </w:r>
      <w:proofErr w:type="spellEnd"/>
      <w:r w:rsidRPr="00EB3D2F" w:rsidR="00C97730">
        <w:t xml:space="preserve"> au paiement </w:t>
      </w:r>
      <w:r w:rsidRPr="00EB3D2F" w:rsidR="00F847FF">
        <w:t xml:space="preserve">à </w:t>
      </w:r>
      <w:r w:rsidRPr="00EB3D2F" w:rsidR="00C97730">
        <w:t>chacune des quatre parties civiles</w:t>
      </w:r>
      <w:r w:rsidRPr="00EB3D2F" w:rsidR="00340372">
        <w:t xml:space="preserve"> </w:t>
      </w:r>
      <w:r w:rsidRPr="00EB3D2F" w:rsidR="00C97730">
        <w:t xml:space="preserve">recevables </w:t>
      </w:r>
      <w:r w:rsidRPr="00EB3D2F" w:rsidR="003127C9">
        <w:t xml:space="preserve">(la </w:t>
      </w:r>
      <w:r w:rsidR="00DC37EF">
        <w:t>L</w:t>
      </w:r>
      <w:r w:rsidRPr="00EB3D2F" w:rsidR="003127C9">
        <w:t>igue internationale contre le racisme et l</w:t>
      </w:r>
      <w:r w:rsidR="00062221">
        <w:t>’</w:t>
      </w:r>
      <w:r w:rsidRPr="00EB3D2F" w:rsidR="003127C9">
        <w:t>antisémitisme, l</w:t>
      </w:r>
      <w:r w:rsidR="00062221">
        <w:t>’</w:t>
      </w:r>
      <w:r w:rsidRPr="00EB3D2F" w:rsidR="003127C9">
        <w:t xml:space="preserve">association </w:t>
      </w:r>
      <w:r w:rsidR="00DC37EF">
        <w:t>A</w:t>
      </w:r>
      <w:r w:rsidRPr="00EB3D2F" w:rsidR="003127C9">
        <w:t>vocats sans frontières, l</w:t>
      </w:r>
      <w:r w:rsidR="00062221">
        <w:t>’</w:t>
      </w:r>
      <w:r w:rsidRPr="00EB3D2F" w:rsidR="003127C9">
        <w:t xml:space="preserve">association </w:t>
      </w:r>
      <w:r w:rsidR="00DC37EF">
        <w:t>A</w:t>
      </w:r>
      <w:r w:rsidRPr="00EB3D2F" w:rsidR="003127C9">
        <w:t xml:space="preserve">lliance France-Israël et le </w:t>
      </w:r>
      <w:r w:rsidR="00DC37EF">
        <w:t>B</w:t>
      </w:r>
      <w:r w:rsidRPr="00EB3D2F" w:rsidR="003127C9">
        <w:t>ureau national de vigilance contre l</w:t>
      </w:r>
      <w:r w:rsidR="00062221">
        <w:t>’</w:t>
      </w:r>
      <w:r w:rsidRPr="00EB3D2F" w:rsidR="003127C9">
        <w:t xml:space="preserve">antisémitisme) </w:t>
      </w:r>
      <w:r w:rsidRPr="00EB3D2F" w:rsidR="00C97730">
        <w:t>de 1</w:t>
      </w:r>
      <w:r w:rsidRPr="00EB3D2F" w:rsidR="003127C9">
        <w:t> </w:t>
      </w:r>
      <w:r w:rsidRPr="00EB3D2F" w:rsidR="00C97730">
        <w:t>000</w:t>
      </w:r>
      <w:r w:rsidR="00C84F83">
        <w:t> EUR</w:t>
      </w:r>
      <w:r w:rsidRPr="00EB3D2F" w:rsidR="00C97730">
        <w:t xml:space="preserve"> pour préjudice moral, et de</w:t>
      </w:r>
      <w:r w:rsidRPr="00EB3D2F" w:rsidR="00722138">
        <w:t xml:space="preserve"> 3 </w:t>
      </w:r>
      <w:r w:rsidRPr="00EB3D2F" w:rsidR="00C97730">
        <w:t>000</w:t>
      </w:r>
      <w:r w:rsidR="00C84F83">
        <w:t> EUR</w:t>
      </w:r>
      <w:r w:rsidRPr="00EB3D2F" w:rsidR="00C97730">
        <w:t xml:space="preserve"> sur le fondement de l</w:t>
      </w:r>
      <w:r w:rsidR="00062221">
        <w:t>’</w:t>
      </w:r>
      <w:r w:rsidR="00565C93">
        <w:t>article </w:t>
      </w:r>
      <w:r w:rsidRPr="00EB3D2F" w:rsidR="00C97730">
        <w:t>475-1 du code de procédure pénale (frais exposés par les parties civiles et non payés par l</w:t>
      </w:r>
      <w:r w:rsidR="00062221">
        <w:t>’</w:t>
      </w:r>
      <w:r w:rsidRPr="00EB3D2F" w:rsidR="00C97730">
        <w:t>État).</w:t>
      </w:r>
    </w:p>
    <w:p w:rsidRPr="00EB3D2F" w:rsidR="00824520" w:rsidP="00EB3D2F" w:rsidRDefault="00C97730">
      <w:pPr>
        <w:pStyle w:val="JuPara"/>
      </w:pPr>
      <w:r w:rsidRPr="00EB3D2F">
        <w:fldChar w:fldCharType="begin"/>
      </w:r>
      <w:r w:rsidRPr="00EB3D2F">
        <w:instrText xml:space="preserve"> SEQ level0 \*arabic </w:instrText>
      </w:r>
      <w:r w:rsidRPr="00EB3D2F">
        <w:fldChar w:fldCharType="separate"/>
      </w:r>
      <w:r w:rsidRPr="00EB3D2F" w:rsidR="00EB3D2F">
        <w:rPr>
          <w:noProof/>
        </w:rPr>
        <w:t>15</w:t>
      </w:r>
      <w:r w:rsidRPr="00EB3D2F">
        <w:fldChar w:fldCharType="end"/>
      </w:r>
      <w:r w:rsidRPr="00EB3D2F">
        <w:t>.  </w:t>
      </w:r>
      <w:r w:rsidRPr="00EB3D2F" w:rsidR="00D602A0">
        <w:t>S</w:t>
      </w:r>
      <w:r w:rsidR="00062221">
        <w:t>’</w:t>
      </w:r>
      <w:r w:rsidRPr="00EB3D2F" w:rsidR="00D602A0">
        <w:t>agissant des événe</w:t>
      </w:r>
      <w:r w:rsidRPr="00EB3D2F">
        <w:t>m</w:t>
      </w:r>
      <w:r w:rsidRPr="00EB3D2F" w:rsidR="00D602A0">
        <w:t>ents du 22</w:t>
      </w:r>
      <w:r w:rsidR="00565C93">
        <w:t xml:space="preserve"> mai </w:t>
      </w:r>
      <w:r w:rsidRPr="00EB3D2F" w:rsidR="00D602A0">
        <w:t>2010, l</w:t>
      </w:r>
      <w:r w:rsidRPr="00EB3D2F" w:rsidR="00824520">
        <w:t>a cour d</w:t>
      </w:r>
      <w:r w:rsidR="00062221">
        <w:t>’</w:t>
      </w:r>
      <w:r w:rsidRPr="00EB3D2F" w:rsidR="00824520">
        <w:t xml:space="preserve">appel condamna chacun des </w:t>
      </w:r>
      <w:r w:rsidRPr="00EB3D2F">
        <w:t xml:space="preserve">neuf </w:t>
      </w:r>
      <w:r w:rsidRPr="00EB3D2F" w:rsidR="00824520">
        <w:t xml:space="preserve">prévenus </w:t>
      </w:r>
      <w:r w:rsidRPr="00EB3D2F" w:rsidR="00F847FF">
        <w:t xml:space="preserve">à </w:t>
      </w:r>
      <w:r w:rsidRPr="00EB3D2F" w:rsidR="00824520">
        <w:t>une amende de 1 000</w:t>
      </w:r>
      <w:r w:rsidR="00C84F83">
        <w:t> EUR</w:t>
      </w:r>
      <w:r w:rsidRPr="00EB3D2F" w:rsidR="00824520">
        <w:t xml:space="preserve"> avec sursis. En outre, elle les condamna </w:t>
      </w:r>
      <w:r w:rsidRPr="00EB3D2F" w:rsidR="00824520">
        <w:rPr>
          <w:i/>
        </w:rPr>
        <w:t xml:space="preserve">in </w:t>
      </w:r>
      <w:proofErr w:type="spellStart"/>
      <w:r w:rsidRPr="00EB3D2F" w:rsidR="00824520">
        <w:rPr>
          <w:i/>
        </w:rPr>
        <w:t>solidum</w:t>
      </w:r>
      <w:proofErr w:type="spellEnd"/>
      <w:r w:rsidRPr="00EB3D2F" w:rsidR="00824520">
        <w:t xml:space="preserve"> au paiement </w:t>
      </w:r>
      <w:r w:rsidRPr="00EB3D2F" w:rsidR="00F847FF">
        <w:t xml:space="preserve">à </w:t>
      </w:r>
      <w:r w:rsidRPr="00EB3D2F" w:rsidR="006F7798">
        <w:t xml:space="preserve">trois des parties civiles (la </w:t>
      </w:r>
      <w:r w:rsidR="00BC1837">
        <w:t>L</w:t>
      </w:r>
      <w:r w:rsidRPr="00EB3D2F" w:rsidR="006F7798">
        <w:t>igue internationale contre le racisme et l</w:t>
      </w:r>
      <w:r w:rsidR="00062221">
        <w:t>’</w:t>
      </w:r>
      <w:r w:rsidRPr="00EB3D2F" w:rsidR="006F7798">
        <w:t>antisémitisme, l</w:t>
      </w:r>
      <w:r w:rsidR="00062221">
        <w:t>’</w:t>
      </w:r>
      <w:r w:rsidRPr="00EB3D2F" w:rsidR="006F7798">
        <w:t xml:space="preserve">association </w:t>
      </w:r>
      <w:r w:rsidR="00BC1837">
        <w:t>A</w:t>
      </w:r>
      <w:r w:rsidRPr="00EB3D2F" w:rsidR="006F7798">
        <w:t>vocats sans frontières et l</w:t>
      </w:r>
      <w:r w:rsidR="00062221">
        <w:t>’</w:t>
      </w:r>
      <w:r w:rsidRPr="00EB3D2F" w:rsidR="006F7798">
        <w:t xml:space="preserve">association </w:t>
      </w:r>
      <w:r w:rsidR="00BC1837">
        <w:t>A</w:t>
      </w:r>
      <w:r w:rsidRPr="00EB3D2F" w:rsidR="006F7798">
        <w:t xml:space="preserve">lliance </w:t>
      </w:r>
      <w:r w:rsidRPr="00EB3D2F" w:rsidR="003127C9">
        <w:t>France-</w:t>
      </w:r>
      <w:r w:rsidRPr="00EB3D2F" w:rsidR="006F7798">
        <w:t>Israël), chacune, de 1000</w:t>
      </w:r>
      <w:r w:rsidR="00C84F83">
        <w:t> EUR</w:t>
      </w:r>
      <w:r w:rsidRPr="00EB3D2F" w:rsidR="006F7798">
        <w:t xml:space="preserve"> </w:t>
      </w:r>
      <w:r w:rsidRPr="00EB3D2F" w:rsidR="00824520">
        <w:t>pour préjudice moral et de 3 000</w:t>
      </w:r>
      <w:r w:rsidR="00C84F83">
        <w:t> EUR</w:t>
      </w:r>
      <w:r w:rsidRPr="00EB3D2F" w:rsidR="00824520">
        <w:t xml:space="preserve"> sur le fondement de l</w:t>
      </w:r>
      <w:r w:rsidR="00062221">
        <w:t>’</w:t>
      </w:r>
      <w:r w:rsidR="00565C93">
        <w:t>article </w:t>
      </w:r>
      <w:r w:rsidRPr="00EB3D2F" w:rsidR="00824520">
        <w:t>475-1 du code de procédure pénale (frais exposés par les parties civiles et non payés par l</w:t>
      </w:r>
      <w:r w:rsidR="00062221">
        <w:t>’</w:t>
      </w:r>
      <w:r w:rsidRPr="00EB3D2F" w:rsidR="00824520">
        <w:t>État).</w:t>
      </w:r>
    </w:p>
    <w:p w:rsidRPr="00EB3D2F" w:rsidR="00824520" w:rsidP="00EB3D2F" w:rsidRDefault="008D52EE">
      <w:pPr>
        <w:pStyle w:val="JuHIRoman"/>
        <w:rPr>
          <w:caps w:val="0"/>
          <w:lang w:val="fr-FR"/>
        </w:rPr>
      </w:pPr>
      <w:r w:rsidRPr="00EB3D2F">
        <w:rPr>
          <w:lang w:val="fr-FR"/>
        </w:rPr>
        <w:t>Les arrêts de la Cour de cassation du 20</w:t>
      </w:r>
      <w:r w:rsidR="00565C93">
        <w:rPr>
          <w:lang w:val="fr-FR"/>
        </w:rPr>
        <w:t> octobre</w:t>
      </w:r>
      <w:r w:rsidRPr="00EB3D2F">
        <w:rPr>
          <w:lang w:val="fr-FR"/>
        </w:rPr>
        <w:t xml:space="preserve"> 2015</w:t>
      </w:r>
    </w:p>
    <w:p w:rsidRPr="00EB3D2F" w:rsidR="00824520"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16</w:t>
      </w:r>
      <w:r w:rsidRPr="00EB3D2F">
        <w:fldChar w:fldCharType="end"/>
      </w:r>
      <w:r w:rsidRPr="00EB3D2F">
        <w:t>.  </w:t>
      </w:r>
      <w:r w:rsidRPr="00EB3D2F" w:rsidR="006443C5">
        <w:t xml:space="preserve">Par deux arrêts du </w:t>
      </w:r>
      <w:r w:rsidRPr="00EB3D2F" w:rsidR="00824520">
        <w:t>20</w:t>
      </w:r>
      <w:r w:rsidR="00565C93">
        <w:t> octobre</w:t>
      </w:r>
      <w:r w:rsidRPr="00EB3D2F" w:rsidR="00824520">
        <w:t xml:space="preserve"> 2015, la chambre criminelle de la Cour de cassation rejeta les pourvois formés par les requérants, qui invoquaient notamment la violation des </w:t>
      </w:r>
      <w:r w:rsidR="00565C93">
        <w:t>articles </w:t>
      </w:r>
      <w:r w:rsidRPr="00EB3D2F" w:rsidR="00824520">
        <w:t>7 et 10 de la Convention.</w:t>
      </w:r>
    </w:p>
    <w:p w:rsidRPr="00EB3D2F" w:rsidR="00824520"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17</w:t>
      </w:r>
      <w:r w:rsidRPr="00EB3D2F">
        <w:fldChar w:fldCharType="end"/>
      </w:r>
      <w:r w:rsidRPr="00EB3D2F">
        <w:t>.  </w:t>
      </w:r>
      <w:r w:rsidRPr="00EB3D2F" w:rsidR="00824520">
        <w:t>Elle jugea en particulier que la cour d</w:t>
      </w:r>
      <w:r w:rsidR="00062221">
        <w:t>’</w:t>
      </w:r>
      <w:r w:rsidRPr="00EB3D2F" w:rsidR="00824520">
        <w:t>appel avait justifié sa décision, dès lors qu</w:t>
      </w:r>
      <w:r w:rsidR="00062221">
        <w:t>’</w:t>
      </w:r>
      <w:r w:rsidRPr="00EB3D2F" w:rsidR="00824520">
        <w:t xml:space="preserve">elle avait relevé, </w:t>
      </w:r>
      <w:r w:rsidRPr="00EB3D2F" w:rsidR="00F847FF">
        <w:t xml:space="preserve">à </w:t>
      </w:r>
      <w:r w:rsidRPr="00EB3D2F" w:rsidR="00824520">
        <w:t>bon droit, que les éléments constitutifs du délit prévu par l</w:t>
      </w:r>
      <w:r w:rsidR="00062221">
        <w:t>’</w:t>
      </w:r>
      <w:r w:rsidR="00565C93">
        <w:t>article </w:t>
      </w:r>
      <w:r w:rsidRPr="00EB3D2F" w:rsidR="00824520">
        <w:t xml:space="preserve">24, </w:t>
      </w:r>
      <w:r w:rsidR="00F92E77">
        <w:t>alinéa </w:t>
      </w:r>
      <w:r w:rsidRPr="00EB3D2F" w:rsidR="00824520">
        <w:t>8, de la loi du 29</w:t>
      </w:r>
      <w:r w:rsidR="00565C93">
        <w:t> juillet</w:t>
      </w:r>
      <w:r w:rsidRPr="00EB3D2F" w:rsidR="00824520">
        <w:t xml:space="preserve"> 1881 étaient réunis, et que l</w:t>
      </w:r>
      <w:r w:rsidR="00062221">
        <w:t>’</w:t>
      </w:r>
      <w:r w:rsidRPr="00EB3D2F" w:rsidR="00824520">
        <w:t>exercice de la liberté d</w:t>
      </w:r>
      <w:r w:rsidR="00062221">
        <w:t>’</w:t>
      </w:r>
      <w:r w:rsidRPr="00EB3D2F" w:rsidR="00824520">
        <w:t>expression, proclamée par l</w:t>
      </w:r>
      <w:r w:rsidR="00062221">
        <w:t>’</w:t>
      </w:r>
      <w:r w:rsidR="00565C93">
        <w:t>article </w:t>
      </w:r>
      <w:r w:rsidRPr="00EB3D2F" w:rsidR="00824520">
        <w:t xml:space="preserve">10 de la Convention, pouvait être, en application du second </w:t>
      </w:r>
      <w:r w:rsidR="00BC1837">
        <w:t xml:space="preserve">alinéa </w:t>
      </w:r>
      <w:r w:rsidRPr="00EB3D2F" w:rsidR="00824520">
        <w:t xml:space="preserve">de ce texte, soumis </w:t>
      </w:r>
      <w:r w:rsidRPr="00EB3D2F" w:rsidR="00F847FF">
        <w:t xml:space="preserve">à </w:t>
      </w:r>
      <w:r w:rsidRPr="00EB3D2F" w:rsidR="00824520">
        <w:t>des restrictions ou sanctions constituant, comme en l</w:t>
      </w:r>
      <w:r w:rsidR="00062221">
        <w:t>’</w:t>
      </w:r>
      <w:r w:rsidRPr="00EB3D2F" w:rsidR="00824520">
        <w:t xml:space="preserve">espèce, des mesures nécessaires, dans une société démocratique, </w:t>
      </w:r>
      <w:r w:rsidRPr="00EB3D2F" w:rsidR="00F847FF">
        <w:t xml:space="preserve">à </w:t>
      </w:r>
      <w:r w:rsidRPr="00EB3D2F" w:rsidR="00824520">
        <w:t>la défense de l</w:t>
      </w:r>
      <w:r w:rsidR="00062221">
        <w:t>’</w:t>
      </w:r>
      <w:r w:rsidRPr="00EB3D2F" w:rsidR="00824520">
        <w:t xml:space="preserve">ordre et </w:t>
      </w:r>
      <w:r w:rsidRPr="00EB3D2F" w:rsidR="00F847FF">
        <w:t xml:space="preserve">à </w:t>
      </w:r>
      <w:r w:rsidRPr="00EB3D2F" w:rsidR="00824520">
        <w:t>la protection des droits d</w:t>
      </w:r>
      <w:r w:rsidR="00062221">
        <w:t>’</w:t>
      </w:r>
      <w:r w:rsidRPr="00EB3D2F" w:rsidR="00824520">
        <w:t>autrui.</w:t>
      </w:r>
    </w:p>
    <w:p w:rsidRPr="00EB3D2F" w:rsidR="00E77CB3" w:rsidP="00EB3D2F" w:rsidRDefault="00E77CB3">
      <w:pPr>
        <w:pStyle w:val="JuHHead"/>
        <w:rPr>
          <w:lang w:val="fr-FR"/>
        </w:rPr>
      </w:pPr>
      <w:r w:rsidRPr="00EB3D2F">
        <w:rPr>
          <w:lang w:val="fr-FR"/>
        </w:rPr>
        <w:t xml:space="preserve">LE </w:t>
      </w:r>
      <w:r w:rsidRPr="00EB3D2F" w:rsidR="00AC387D">
        <w:rPr>
          <w:lang w:val="fr-FR"/>
        </w:rPr>
        <w:t>CADRE JURI</w:t>
      </w:r>
      <w:r w:rsidRPr="00EB3D2F" w:rsidR="005514FF">
        <w:rPr>
          <w:lang w:val="fr-FR"/>
        </w:rPr>
        <w:t>D</w:t>
      </w:r>
      <w:r w:rsidRPr="00EB3D2F" w:rsidR="00AC387D">
        <w:rPr>
          <w:lang w:val="fr-FR"/>
        </w:rPr>
        <w:t xml:space="preserve">IQUE ET </w:t>
      </w:r>
      <w:r w:rsidRPr="00EB3D2F">
        <w:rPr>
          <w:lang w:val="fr-FR"/>
        </w:rPr>
        <w:t>LA PRATIQUE INTERNES PERTINENTS</w:t>
      </w:r>
    </w:p>
    <w:p w:rsidRPr="00EB3D2F" w:rsidR="003A627D" w:rsidP="00EB3D2F" w:rsidRDefault="00705EE8">
      <w:pPr>
        <w:pStyle w:val="JuHIRoman"/>
        <w:rPr>
          <w:lang w:val="fr-FR"/>
        </w:rPr>
      </w:pPr>
      <w:r w:rsidRPr="00EB3D2F">
        <w:rPr>
          <w:lang w:val="fr-FR"/>
        </w:rPr>
        <w:t>Extraits de la loi du 29</w:t>
      </w:r>
      <w:r w:rsidR="00565C93">
        <w:rPr>
          <w:lang w:val="fr-FR"/>
        </w:rPr>
        <w:t> juillet</w:t>
      </w:r>
      <w:r w:rsidRPr="00EB3D2F">
        <w:rPr>
          <w:lang w:val="fr-FR"/>
        </w:rPr>
        <w:t xml:space="preserve"> 1881 sur la liberté de la presse et du code pénal</w:t>
      </w:r>
    </w:p>
    <w:p w:rsidRPr="00EB3D2F" w:rsidR="003A627D"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18</w:t>
      </w:r>
      <w:r w:rsidRPr="00EB3D2F">
        <w:fldChar w:fldCharType="end"/>
      </w:r>
      <w:r w:rsidRPr="00EB3D2F">
        <w:t>.  </w:t>
      </w:r>
      <w:r w:rsidRPr="00EB3D2F" w:rsidR="00F847FF">
        <w:t xml:space="preserve">À </w:t>
      </w:r>
      <w:r w:rsidRPr="00EB3D2F" w:rsidR="003A627D">
        <w:t>l</w:t>
      </w:r>
      <w:r w:rsidR="00062221">
        <w:t>’</w:t>
      </w:r>
      <w:r w:rsidRPr="00EB3D2F" w:rsidR="003A627D">
        <w:t xml:space="preserve">époque des faits de la cause, les </w:t>
      </w:r>
      <w:r w:rsidR="00565C93">
        <w:t>articles </w:t>
      </w:r>
      <w:r w:rsidRPr="00EB3D2F" w:rsidR="008B0E9A">
        <w:t>23 et 24 de la loi du 29</w:t>
      </w:r>
      <w:r w:rsidR="00565C93">
        <w:t> juillet</w:t>
      </w:r>
      <w:r w:rsidRPr="00EB3D2F" w:rsidR="003A627D">
        <w:t xml:space="preserve"> 1881 sur la liberté de la presse étaient ainsi </w:t>
      </w:r>
      <w:r w:rsidRPr="00EB3D2F" w:rsidR="00690BCA">
        <w:t>libellés (rédaction issue de la loi n</w:t>
      </w:r>
      <w:r w:rsidRPr="00565C93" w:rsidR="00565C93">
        <w:rPr>
          <w:vertAlign w:val="superscript"/>
        </w:rPr>
        <w:t>o</w:t>
      </w:r>
      <w:r w:rsidRPr="00565C93" w:rsidR="00565C93">
        <w:t> </w:t>
      </w:r>
      <w:r w:rsidRPr="00EB3D2F" w:rsidR="00690BCA">
        <w:t>2004-1486 du 30</w:t>
      </w:r>
      <w:r w:rsidR="00565C93">
        <w:t> décembre</w:t>
      </w:r>
      <w:r w:rsidRPr="00EB3D2F" w:rsidR="00690BCA">
        <w:t xml:space="preserve"> 2004)</w:t>
      </w:r>
      <w:r w:rsidR="006A4DF1">
        <w:t> :</w:t>
      </w:r>
    </w:p>
    <w:p w:rsidRPr="00EB3D2F" w:rsidR="003A627D" w:rsidP="00EB3D2F" w:rsidRDefault="003A627D">
      <w:pPr>
        <w:pStyle w:val="JuHArticle"/>
      </w:pPr>
      <w:r w:rsidRPr="00EB3D2F">
        <w:t>Article 23</w:t>
      </w:r>
    </w:p>
    <w:p w:rsidRPr="00EB3D2F" w:rsidR="003A627D" w:rsidP="00EB3D2F" w:rsidRDefault="006A4DF1">
      <w:pPr>
        <w:pStyle w:val="JuQuot"/>
      </w:pPr>
      <w:r>
        <w:t>« </w:t>
      </w:r>
      <w:r w:rsidRPr="00EB3D2F" w:rsidR="003A627D">
        <w:t>Seront punis comme complices d</w:t>
      </w:r>
      <w:r w:rsidR="00062221">
        <w:t>’</w:t>
      </w:r>
      <w:r w:rsidRPr="00EB3D2F" w:rsidR="003A627D">
        <w:t>une action qualifiée crime ou délit ceux qui, soit par des discours, cris ou menaces proférés dans des lieux ou réunions publics, soit par des écrits, imprimés, dessins, gravures, peintures, emblèmes, images ou tout autre support de l</w:t>
      </w:r>
      <w:r w:rsidR="00062221">
        <w:t>’</w:t>
      </w:r>
      <w:r w:rsidRPr="00EB3D2F" w:rsidR="003A627D">
        <w:t>écrit, de la parole ou de l</w:t>
      </w:r>
      <w:r w:rsidR="00062221">
        <w:t>’</w:t>
      </w:r>
      <w:r w:rsidRPr="00EB3D2F" w:rsidR="003A627D">
        <w:t>image vendus ou distribués, mis en vente ou exposés dans des lieux ou réunions publics, soit par des placards ou des affiches exposés au regard du public, soit par tout moyen de communication au public par voie électronique, auront directement provoqué l</w:t>
      </w:r>
      <w:r w:rsidR="00062221">
        <w:t>’</w:t>
      </w:r>
      <w:r w:rsidRPr="00EB3D2F" w:rsidR="003A627D">
        <w:t xml:space="preserve">auteur ou les auteurs </w:t>
      </w:r>
      <w:r w:rsidRPr="00EB3D2F" w:rsidR="00F847FF">
        <w:t xml:space="preserve">à </w:t>
      </w:r>
      <w:r w:rsidRPr="00EB3D2F" w:rsidR="003A627D">
        <w:t>commettre ladite action, si la provocation a été suivie d</w:t>
      </w:r>
      <w:r w:rsidR="00062221">
        <w:t>’</w:t>
      </w:r>
      <w:r w:rsidRPr="00EB3D2F" w:rsidR="003A627D">
        <w:t>effet. (...</w:t>
      </w:r>
      <w:r w:rsidRPr="00EB3D2F" w:rsidR="00F847FF">
        <w:t>)</w:t>
      </w:r>
      <w:r>
        <w:t> »</w:t>
      </w:r>
    </w:p>
    <w:p w:rsidRPr="00EB3D2F" w:rsidR="003A627D" w:rsidP="00EB3D2F" w:rsidRDefault="003A627D">
      <w:pPr>
        <w:pStyle w:val="JuHArticle"/>
      </w:pPr>
      <w:r w:rsidRPr="00EB3D2F">
        <w:t>Article 24</w:t>
      </w:r>
    </w:p>
    <w:p w:rsidRPr="00EB3D2F" w:rsidR="003A627D" w:rsidP="00EB3D2F" w:rsidRDefault="006A4DF1">
      <w:pPr>
        <w:pStyle w:val="JuQuot"/>
      </w:pPr>
      <w:r>
        <w:t>« </w:t>
      </w:r>
      <w:r w:rsidRPr="00EB3D2F" w:rsidDel="00580947" w:rsidR="00580947">
        <w:t xml:space="preserve"> </w:t>
      </w:r>
      <w:r w:rsidRPr="00EB3D2F" w:rsidR="003A627D">
        <w:t>[</w:t>
      </w:r>
      <w:r w:rsidR="00F92E77">
        <w:t>alinéa </w:t>
      </w:r>
      <w:r w:rsidRPr="00EB3D2F" w:rsidR="003A627D">
        <w:t>8] Ceux qui, par l</w:t>
      </w:r>
      <w:r w:rsidR="00062221">
        <w:t>’</w:t>
      </w:r>
      <w:r w:rsidRPr="00EB3D2F" w:rsidR="003A627D">
        <w:t xml:space="preserve">un des moyens énoncés </w:t>
      </w:r>
      <w:r w:rsidRPr="00EB3D2F" w:rsidR="00F847FF">
        <w:t xml:space="preserve">à </w:t>
      </w:r>
      <w:r w:rsidRPr="00EB3D2F" w:rsidR="003A627D">
        <w:t>l</w:t>
      </w:r>
      <w:r w:rsidR="00062221">
        <w:t>’</w:t>
      </w:r>
      <w:r w:rsidR="00565C93">
        <w:t>article </w:t>
      </w:r>
      <w:r w:rsidRPr="00EB3D2F" w:rsidR="003A627D">
        <w:t xml:space="preserve">23, auront provoqué </w:t>
      </w:r>
      <w:r w:rsidRPr="00EB3D2F" w:rsidR="00F847FF">
        <w:t xml:space="preserve">à </w:t>
      </w:r>
      <w:r w:rsidRPr="00EB3D2F" w:rsidR="003A627D">
        <w:t xml:space="preserve">la discrimination, </w:t>
      </w:r>
      <w:r w:rsidRPr="00EB3D2F" w:rsidR="00F847FF">
        <w:t xml:space="preserve">à </w:t>
      </w:r>
      <w:r w:rsidRPr="00EB3D2F" w:rsidR="003A627D">
        <w:t xml:space="preserve">la haine ou </w:t>
      </w:r>
      <w:r w:rsidRPr="00EB3D2F" w:rsidR="00F847FF">
        <w:t xml:space="preserve">à </w:t>
      </w:r>
      <w:r w:rsidRPr="00EB3D2F" w:rsidR="003A627D">
        <w:t xml:space="preserve">la violence </w:t>
      </w:r>
      <w:r w:rsidRPr="00EB3D2F" w:rsidR="00F847FF">
        <w:t xml:space="preserve">à </w:t>
      </w:r>
      <w:r w:rsidRPr="00EB3D2F" w:rsidR="003A627D">
        <w:t>l</w:t>
      </w:r>
      <w:r w:rsidR="00062221">
        <w:t>’</w:t>
      </w:r>
      <w:r w:rsidRPr="00EB3D2F" w:rsidR="003A627D">
        <w:t>égard d</w:t>
      </w:r>
      <w:r w:rsidR="00062221">
        <w:t>’</w:t>
      </w:r>
      <w:r w:rsidRPr="00EB3D2F" w:rsidR="003A627D">
        <w:t>une personne ou d</w:t>
      </w:r>
      <w:r w:rsidR="00062221">
        <w:t>’</w:t>
      </w:r>
      <w:r w:rsidRPr="00EB3D2F" w:rsidR="003A627D">
        <w:t xml:space="preserve">un groupe de personnes </w:t>
      </w:r>
      <w:r w:rsidRPr="00EB3D2F" w:rsidR="00F847FF">
        <w:t xml:space="preserve">à </w:t>
      </w:r>
      <w:r w:rsidRPr="00EB3D2F" w:rsidR="003A627D">
        <w:t>raison de leur origine ou de l</w:t>
      </w:r>
      <w:r w:rsidRPr="00EB3D2F" w:rsidR="00722138">
        <w:t>eur appartenance ou de leur non</w:t>
      </w:r>
      <w:r w:rsidR="00BC1837">
        <w:t>-</w:t>
      </w:r>
      <w:r w:rsidRPr="00EB3D2F" w:rsidR="003A627D">
        <w:t xml:space="preserve">appartenance </w:t>
      </w:r>
      <w:r w:rsidRPr="00EB3D2F" w:rsidR="00F847FF">
        <w:t xml:space="preserve">à </w:t>
      </w:r>
      <w:r w:rsidRPr="00EB3D2F" w:rsidR="003A627D">
        <w:t>une ethnie, une nation, une race ou une religion déterminée, seront punis d</w:t>
      </w:r>
      <w:r w:rsidR="00062221">
        <w:t>’</w:t>
      </w:r>
      <w:r w:rsidRPr="00EB3D2F" w:rsidR="003A627D">
        <w:t>un an d</w:t>
      </w:r>
      <w:r w:rsidR="00062221">
        <w:t>’</w:t>
      </w:r>
      <w:r w:rsidRPr="00EB3D2F" w:rsidR="003A627D">
        <w:t>emprisonnement et de 45</w:t>
      </w:r>
      <w:r w:rsidR="00BC1837">
        <w:t> </w:t>
      </w:r>
      <w:r w:rsidRPr="00EB3D2F" w:rsidR="003A627D">
        <w:t>000 euros d</w:t>
      </w:r>
      <w:r w:rsidR="00062221">
        <w:t>’</w:t>
      </w:r>
      <w:r w:rsidRPr="00EB3D2F" w:rsidR="003A627D">
        <w:t>amende ou de l</w:t>
      </w:r>
      <w:r w:rsidR="00062221">
        <w:t>’</w:t>
      </w:r>
      <w:r w:rsidRPr="00EB3D2F" w:rsidR="003A627D">
        <w:t>une de ces deux peines seulement.</w:t>
      </w:r>
    </w:p>
    <w:p w:rsidRPr="00EB3D2F" w:rsidR="003A627D" w:rsidP="00EB3D2F" w:rsidRDefault="003A627D">
      <w:pPr>
        <w:pStyle w:val="JuQuot"/>
      </w:pPr>
      <w:r w:rsidRPr="00EB3D2F">
        <w:t>[</w:t>
      </w:r>
      <w:proofErr w:type="gramStart"/>
      <w:r w:rsidR="00F92E77">
        <w:t>alinéa</w:t>
      </w:r>
      <w:proofErr w:type="gramEnd"/>
      <w:r w:rsidR="00F92E77">
        <w:t> </w:t>
      </w:r>
      <w:r w:rsidRPr="00EB3D2F">
        <w:t xml:space="preserve">9] Seront punis des peines prévues </w:t>
      </w:r>
      <w:r w:rsidRPr="00EB3D2F" w:rsidR="00F847FF">
        <w:t xml:space="preserve">à </w:t>
      </w:r>
      <w:r w:rsidRPr="00EB3D2F">
        <w:t>l</w:t>
      </w:r>
      <w:r w:rsidR="00062221">
        <w:t>’</w:t>
      </w:r>
      <w:r w:rsidR="00BC1837">
        <w:t xml:space="preserve">alinéa </w:t>
      </w:r>
      <w:r w:rsidRPr="00EB3D2F">
        <w:t xml:space="preserve">précédent ceux qui, par ces mêmes moyens, auront provoqué </w:t>
      </w:r>
      <w:r w:rsidRPr="00EB3D2F" w:rsidR="00F847FF">
        <w:t xml:space="preserve">à </w:t>
      </w:r>
      <w:r w:rsidRPr="00EB3D2F">
        <w:t xml:space="preserve">la haine ou </w:t>
      </w:r>
      <w:r w:rsidRPr="00EB3D2F" w:rsidR="00F847FF">
        <w:t xml:space="preserve">à </w:t>
      </w:r>
      <w:r w:rsidRPr="00EB3D2F">
        <w:t xml:space="preserve">la violence </w:t>
      </w:r>
      <w:r w:rsidRPr="00EB3D2F" w:rsidR="00F847FF">
        <w:t xml:space="preserve">à </w:t>
      </w:r>
      <w:r w:rsidRPr="00EB3D2F">
        <w:t>l</w:t>
      </w:r>
      <w:r w:rsidR="00062221">
        <w:t>’</w:t>
      </w:r>
      <w:r w:rsidRPr="00EB3D2F">
        <w:t>égard d</w:t>
      </w:r>
      <w:r w:rsidR="00062221">
        <w:t>’</w:t>
      </w:r>
      <w:r w:rsidRPr="00EB3D2F">
        <w:t>une personne ou d</w:t>
      </w:r>
      <w:r w:rsidR="00062221">
        <w:t>’</w:t>
      </w:r>
      <w:r w:rsidRPr="00EB3D2F">
        <w:t xml:space="preserve">un groupe de personnes </w:t>
      </w:r>
      <w:r w:rsidRPr="00EB3D2F" w:rsidR="00F847FF">
        <w:t xml:space="preserve">à </w:t>
      </w:r>
      <w:r w:rsidRPr="00EB3D2F">
        <w:t xml:space="preserve">raison de leur sexe, de leur orientation sexuelle ou de leur handicap ou auront provoqué, </w:t>
      </w:r>
      <w:r w:rsidRPr="00EB3D2F" w:rsidR="00F847FF">
        <w:t xml:space="preserve">à </w:t>
      </w:r>
      <w:r w:rsidRPr="00EB3D2F">
        <w:t>l</w:t>
      </w:r>
      <w:r w:rsidR="00062221">
        <w:t>’</w:t>
      </w:r>
      <w:r w:rsidRPr="00EB3D2F">
        <w:t xml:space="preserve">égard des mêmes personnes, aux discriminations prévues par les </w:t>
      </w:r>
      <w:r w:rsidR="00565C93">
        <w:t>articles </w:t>
      </w:r>
      <w:r w:rsidRPr="00EB3D2F">
        <w:t>225-2 et 432-7 du code pénal.</w:t>
      </w:r>
    </w:p>
    <w:p w:rsidRPr="00EB3D2F" w:rsidR="004A026A" w:rsidP="00EB3D2F" w:rsidRDefault="00F847FF">
      <w:pPr>
        <w:pStyle w:val="JuQuot"/>
      </w:pPr>
      <w:r w:rsidRPr="00EB3D2F">
        <w:t>(...)</w:t>
      </w:r>
      <w:r w:rsidR="006A4DF1">
        <w:t> »</w:t>
      </w:r>
    </w:p>
    <w:p w:rsidRPr="00EB3D2F" w:rsidR="003A627D"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19</w:t>
      </w:r>
      <w:r w:rsidRPr="00EB3D2F">
        <w:fldChar w:fldCharType="end"/>
      </w:r>
      <w:r w:rsidRPr="00EB3D2F">
        <w:t>.  </w:t>
      </w:r>
      <w:r w:rsidRPr="00EB3D2F" w:rsidR="00F847FF">
        <w:t xml:space="preserve">À </w:t>
      </w:r>
      <w:r w:rsidRPr="00EB3D2F" w:rsidR="003A627D">
        <w:t>l</w:t>
      </w:r>
      <w:r w:rsidR="00062221">
        <w:t>’</w:t>
      </w:r>
      <w:r w:rsidRPr="00EB3D2F" w:rsidR="003A627D">
        <w:t xml:space="preserve">époque des faits de la cause, les </w:t>
      </w:r>
      <w:r w:rsidR="00565C93">
        <w:t>articles </w:t>
      </w:r>
      <w:r w:rsidRPr="00EB3D2F" w:rsidR="00927656">
        <w:t xml:space="preserve">122-4, </w:t>
      </w:r>
      <w:r w:rsidRPr="00EB3D2F" w:rsidR="003A627D">
        <w:t>225-1 et 225-2 du code pénal étaient ainsi libellés</w:t>
      </w:r>
      <w:r w:rsidR="006A4DF1">
        <w:t> :</w:t>
      </w:r>
    </w:p>
    <w:p w:rsidRPr="00EB3D2F" w:rsidR="00340372" w:rsidP="00EB3D2F" w:rsidRDefault="00927656">
      <w:pPr>
        <w:pStyle w:val="JuHArticle"/>
      </w:pPr>
      <w:r w:rsidRPr="00EB3D2F">
        <w:t>Article 122-4</w:t>
      </w:r>
    </w:p>
    <w:p w:rsidRPr="00EB3D2F" w:rsidR="00927656" w:rsidP="00EB3D2F" w:rsidRDefault="006A4DF1">
      <w:pPr>
        <w:pStyle w:val="JuQuot"/>
      </w:pPr>
      <w:r>
        <w:t>« </w:t>
      </w:r>
      <w:r w:rsidRPr="00EB3D2F" w:rsidR="00927656">
        <w:t>N</w:t>
      </w:r>
      <w:r w:rsidR="00062221">
        <w:t>’</w:t>
      </w:r>
      <w:r w:rsidRPr="00EB3D2F" w:rsidR="00927656">
        <w:t>est pas pénalement responsable la personne qui accomplit un acte prescrit ou autorisé par des dispositions législatives ou réglementaires.</w:t>
      </w:r>
    </w:p>
    <w:p w:rsidRPr="00EB3D2F" w:rsidR="00927656" w:rsidP="00EB3D2F" w:rsidRDefault="00927656">
      <w:pPr>
        <w:pStyle w:val="JuQuot"/>
      </w:pPr>
      <w:r w:rsidRPr="00EB3D2F">
        <w:t>N</w:t>
      </w:r>
      <w:r w:rsidR="00062221">
        <w:t>’</w:t>
      </w:r>
      <w:r w:rsidRPr="00EB3D2F">
        <w:t>est pas pénalement responsable la personne qui accomplit un acte commandé par l</w:t>
      </w:r>
      <w:r w:rsidR="00062221">
        <w:t>’</w:t>
      </w:r>
      <w:r w:rsidRPr="00EB3D2F">
        <w:t>autorité légitime, sauf si cet acte est manifestement illégal.</w:t>
      </w:r>
      <w:r w:rsidR="006A4DF1">
        <w:t> »</w:t>
      </w:r>
    </w:p>
    <w:p w:rsidRPr="00EB3D2F" w:rsidR="003A627D" w:rsidP="00EB3D2F" w:rsidRDefault="003A627D">
      <w:pPr>
        <w:pStyle w:val="JuHArticle"/>
      </w:pPr>
      <w:r w:rsidRPr="00EB3D2F">
        <w:t>Article 225-1</w:t>
      </w:r>
    </w:p>
    <w:p w:rsidRPr="00EB3D2F" w:rsidR="003A627D" w:rsidP="00EB3D2F" w:rsidRDefault="006A4DF1">
      <w:pPr>
        <w:pStyle w:val="JuQuot"/>
      </w:pPr>
      <w:r>
        <w:t>« </w:t>
      </w:r>
      <w:r w:rsidRPr="00EB3D2F" w:rsidR="003A627D">
        <w:t xml:space="preserve">Constitue une discrimination toute distinction opérée entre les personnes physiques </w:t>
      </w:r>
      <w:r w:rsidRPr="00EB3D2F" w:rsidR="00F847FF">
        <w:t xml:space="preserve">à </w:t>
      </w:r>
      <w:r w:rsidRPr="00EB3D2F" w:rsidR="003A627D">
        <w:t>raison de leur origine, de leur sexe, de leur situation de famille, de leur grossesse, de leur apparence physique, de leur patronyme, de leur lieu de résidence, de leur état de santé, de leur handicap, de leurs caractéristiques génétiques, de leurs mœurs, de leur orientation ou identité sexuelle, de leur âge, de leurs opinions politiques, de leurs activités syndicales, de l</w:t>
      </w:r>
      <w:r w:rsidRPr="00EB3D2F" w:rsidR="00722138">
        <w:t>eur appartenance ou de leur non</w:t>
      </w:r>
      <w:r w:rsidR="00BC1837">
        <w:t>-</w:t>
      </w:r>
      <w:r w:rsidRPr="00EB3D2F" w:rsidR="003A627D">
        <w:t xml:space="preserve">appartenance, vraie ou supposée, </w:t>
      </w:r>
      <w:r w:rsidRPr="00EB3D2F" w:rsidR="00F847FF">
        <w:t xml:space="preserve">à </w:t>
      </w:r>
      <w:r w:rsidRPr="00EB3D2F" w:rsidR="003A627D">
        <w:t>une ethnie, une nation, une race ou une religion déterminée.</w:t>
      </w:r>
    </w:p>
    <w:p w:rsidRPr="00EB3D2F" w:rsidR="003A627D" w:rsidP="00EB3D2F" w:rsidRDefault="003A627D">
      <w:pPr>
        <w:pStyle w:val="JuQuot"/>
      </w:pPr>
      <w:r w:rsidRPr="00EB3D2F">
        <w:t xml:space="preserve">Constitue également une discrimination toute distinction opérée entre les personnes morales </w:t>
      </w:r>
      <w:r w:rsidRPr="00EB3D2F" w:rsidR="00F847FF">
        <w:t xml:space="preserve">à </w:t>
      </w:r>
      <w:r w:rsidRPr="00EB3D2F">
        <w:t>raison de l</w:t>
      </w:r>
      <w:r w:rsidR="00062221">
        <w:t>’</w:t>
      </w:r>
      <w:r w:rsidRPr="00EB3D2F">
        <w:t>origine, du sexe, de la situation de famille, de l</w:t>
      </w:r>
      <w:r w:rsidR="00062221">
        <w:t>’</w:t>
      </w:r>
      <w:r w:rsidRPr="00EB3D2F">
        <w:t>apparence physique, du patronyme, du lieu de résidence, de l</w:t>
      </w:r>
      <w:r w:rsidR="00062221">
        <w:t>’</w:t>
      </w:r>
      <w:r w:rsidRPr="00EB3D2F">
        <w:t>état de santé, du handicap, des caractéristiques génétiques, des mœurs, de l</w:t>
      </w:r>
      <w:r w:rsidR="00062221">
        <w:t>’</w:t>
      </w:r>
      <w:r w:rsidRPr="00EB3D2F">
        <w:t>orientation ou identité sexuelle, de l</w:t>
      </w:r>
      <w:r w:rsidR="00062221">
        <w:t>’</w:t>
      </w:r>
      <w:r w:rsidRPr="00EB3D2F">
        <w:t>âge, des opinions politiques, des activités syndicales, de l</w:t>
      </w:r>
      <w:r w:rsidR="00062221">
        <w:t>’</w:t>
      </w:r>
      <w:r w:rsidRPr="00EB3D2F">
        <w:t xml:space="preserve">appartenance ou de la non-appartenance, vraie ou supposée, </w:t>
      </w:r>
      <w:r w:rsidRPr="00EB3D2F" w:rsidR="00F847FF">
        <w:t xml:space="preserve">à </w:t>
      </w:r>
      <w:r w:rsidRPr="00EB3D2F">
        <w:t>une ethnie, une nation, une race ou une religion déterminée des membres ou de certains membres de ces personnes morales.</w:t>
      </w:r>
      <w:r w:rsidR="006A4DF1">
        <w:t> »</w:t>
      </w:r>
    </w:p>
    <w:p w:rsidRPr="00EB3D2F" w:rsidR="003A627D" w:rsidP="00EB3D2F" w:rsidRDefault="003A627D">
      <w:pPr>
        <w:pStyle w:val="JuHArticle"/>
      </w:pPr>
      <w:r w:rsidRPr="00EB3D2F">
        <w:t>Article 225-2</w:t>
      </w:r>
    </w:p>
    <w:p w:rsidRPr="00EB3D2F" w:rsidR="003A627D" w:rsidP="00EB3D2F" w:rsidRDefault="006A4DF1">
      <w:pPr>
        <w:pStyle w:val="JuQuot"/>
      </w:pPr>
      <w:r>
        <w:t>« </w:t>
      </w:r>
      <w:r w:rsidRPr="00EB3D2F" w:rsidR="003A627D">
        <w:t xml:space="preserve">La discrimination définie </w:t>
      </w:r>
      <w:r w:rsidRPr="00EB3D2F" w:rsidR="00F847FF">
        <w:t xml:space="preserve">à </w:t>
      </w:r>
      <w:r w:rsidRPr="00EB3D2F" w:rsidR="003A627D">
        <w:t>l</w:t>
      </w:r>
      <w:r w:rsidR="00062221">
        <w:t>’</w:t>
      </w:r>
      <w:r w:rsidR="00565C93">
        <w:t>article </w:t>
      </w:r>
      <w:r w:rsidRPr="00EB3D2F" w:rsidR="003A627D">
        <w:t xml:space="preserve">225-1, commise </w:t>
      </w:r>
      <w:r w:rsidRPr="00EB3D2F" w:rsidR="00F847FF">
        <w:t xml:space="preserve">à </w:t>
      </w:r>
      <w:r w:rsidRPr="00EB3D2F" w:rsidR="003A627D">
        <w:t>l</w:t>
      </w:r>
      <w:r w:rsidR="00062221">
        <w:t>’</w:t>
      </w:r>
      <w:r w:rsidRPr="00EB3D2F" w:rsidR="003A627D">
        <w:t>égard d</w:t>
      </w:r>
      <w:r w:rsidR="00062221">
        <w:t>’</w:t>
      </w:r>
      <w:r w:rsidRPr="00EB3D2F" w:rsidR="003A627D">
        <w:t>une personne physique ou morale, est punie de trois ans d</w:t>
      </w:r>
      <w:r w:rsidR="00062221">
        <w:t>’</w:t>
      </w:r>
      <w:r w:rsidRPr="00EB3D2F" w:rsidR="003A627D">
        <w:t>emprisonnement et de 45</w:t>
      </w:r>
      <w:r w:rsidR="00497CAD">
        <w:t> </w:t>
      </w:r>
      <w:r w:rsidRPr="00EB3D2F" w:rsidR="003A627D">
        <w:t xml:space="preserve">000 </w:t>
      </w:r>
      <w:r w:rsidR="00497CAD">
        <w:t>euros</w:t>
      </w:r>
      <w:r w:rsidRPr="00EB3D2F" w:rsidR="00497CAD">
        <w:t xml:space="preserve"> </w:t>
      </w:r>
      <w:r w:rsidRPr="00EB3D2F" w:rsidR="003A627D">
        <w:t>d</w:t>
      </w:r>
      <w:r w:rsidR="00062221">
        <w:t>’</w:t>
      </w:r>
      <w:r w:rsidRPr="00EB3D2F" w:rsidR="003A627D">
        <w:t>amende lorsqu</w:t>
      </w:r>
      <w:r w:rsidR="00062221">
        <w:t>’</w:t>
      </w:r>
      <w:r w:rsidRPr="00EB3D2F" w:rsidR="003A627D">
        <w:t>elle consiste</w:t>
      </w:r>
      <w:r>
        <w:t> :</w:t>
      </w:r>
    </w:p>
    <w:p w:rsidRPr="00EB3D2F" w:rsidR="003A627D" w:rsidP="00EB3D2F" w:rsidRDefault="003A627D">
      <w:pPr>
        <w:pStyle w:val="JuQuot"/>
      </w:pPr>
      <w:r w:rsidRPr="00EB3D2F">
        <w:t>1</w:t>
      </w:r>
      <w:r w:rsidRPr="00565C93" w:rsidR="00565C93">
        <w:rPr>
          <w:vertAlign w:val="superscript"/>
        </w:rPr>
        <w:t>o</w:t>
      </w:r>
      <w:r w:rsidRPr="00565C93" w:rsidR="00565C93">
        <w:t> </w:t>
      </w:r>
      <w:r w:rsidRPr="00EB3D2F" w:rsidR="00F847FF">
        <w:t xml:space="preserve">à </w:t>
      </w:r>
      <w:r w:rsidRPr="00EB3D2F">
        <w:t>refuser la fourniture d</w:t>
      </w:r>
      <w:r w:rsidR="00062221">
        <w:t>’</w:t>
      </w:r>
      <w:r w:rsidRPr="00EB3D2F">
        <w:t>un bien ou d</w:t>
      </w:r>
      <w:r w:rsidR="00062221">
        <w:t>’</w:t>
      </w:r>
      <w:r w:rsidRPr="00EB3D2F">
        <w:t>un service</w:t>
      </w:r>
      <w:r w:rsidR="006A4DF1">
        <w:t> ;</w:t>
      </w:r>
    </w:p>
    <w:p w:rsidRPr="00EB3D2F" w:rsidR="003A627D" w:rsidP="00EB3D2F" w:rsidRDefault="003A627D">
      <w:pPr>
        <w:pStyle w:val="JuQuot"/>
      </w:pPr>
      <w:r w:rsidRPr="00EB3D2F">
        <w:t>2</w:t>
      </w:r>
      <w:r w:rsidRPr="00565C93" w:rsidR="00565C93">
        <w:rPr>
          <w:vertAlign w:val="superscript"/>
        </w:rPr>
        <w:t>o</w:t>
      </w:r>
      <w:r w:rsidRPr="00565C93" w:rsidR="00565C93">
        <w:t> </w:t>
      </w:r>
      <w:r w:rsidRPr="00EB3D2F" w:rsidR="00F847FF">
        <w:t xml:space="preserve">à </w:t>
      </w:r>
      <w:r w:rsidRPr="00EB3D2F">
        <w:t>entraver l</w:t>
      </w:r>
      <w:r w:rsidR="00062221">
        <w:t>’</w:t>
      </w:r>
      <w:r w:rsidRPr="00EB3D2F">
        <w:t>exercice normal d</w:t>
      </w:r>
      <w:r w:rsidR="00062221">
        <w:t>’</w:t>
      </w:r>
      <w:r w:rsidRPr="00EB3D2F">
        <w:t>une activité économique quelconque</w:t>
      </w:r>
      <w:r w:rsidR="006A4DF1">
        <w:t> ;</w:t>
      </w:r>
    </w:p>
    <w:p w:rsidRPr="00EB3D2F" w:rsidR="003A627D" w:rsidP="00EB3D2F" w:rsidRDefault="003A627D">
      <w:pPr>
        <w:pStyle w:val="JuQuot"/>
      </w:pPr>
      <w:r w:rsidRPr="00EB3D2F">
        <w:t>3</w:t>
      </w:r>
      <w:r w:rsidRPr="00565C93" w:rsidR="00565C93">
        <w:rPr>
          <w:vertAlign w:val="superscript"/>
        </w:rPr>
        <w:t>o</w:t>
      </w:r>
      <w:r w:rsidRPr="00565C93" w:rsidR="00565C93">
        <w:t> </w:t>
      </w:r>
      <w:r w:rsidRPr="00EB3D2F" w:rsidR="00F847FF">
        <w:t xml:space="preserve">à </w:t>
      </w:r>
      <w:r w:rsidRPr="00EB3D2F">
        <w:t>refuser d</w:t>
      </w:r>
      <w:r w:rsidR="00062221">
        <w:t>’</w:t>
      </w:r>
      <w:r w:rsidRPr="00EB3D2F">
        <w:t xml:space="preserve">embaucher, </w:t>
      </w:r>
      <w:r w:rsidRPr="00EB3D2F" w:rsidR="00F847FF">
        <w:t xml:space="preserve">à </w:t>
      </w:r>
      <w:r w:rsidRPr="00EB3D2F">
        <w:t xml:space="preserve">sanctionner ou </w:t>
      </w:r>
      <w:r w:rsidRPr="00EB3D2F" w:rsidR="00F847FF">
        <w:t xml:space="preserve">à </w:t>
      </w:r>
      <w:r w:rsidRPr="00EB3D2F">
        <w:t>licencier une personne</w:t>
      </w:r>
      <w:r w:rsidR="006A4DF1">
        <w:t> ;</w:t>
      </w:r>
    </w:p>
    <w:p w:rsidRPr="00EB3D2F" w:rsidR="003A627D" w:rsidP="00EB3D2F" w:rsidRDefault="003A627D">
      <w:pPr>
        <w:pStyle w:val="JuQuot"/>
      </w:pPr>
      <w:r w:rsidRPr="00EB3D2F">
        <w:t>4</w:t>
      </w:r>
      <w:r w:rsidRPr="00565C93" w:rsidR="00565C93">
        <w:rPr>
          <w:vertAlign w:val="superscript"/>
        </w:rPr>
        <w:t>o</w:t>
      </w:r>
      <w:r w:rsidRPr="00565C93" w:rsidR="00565C93">
        <w:t> </w:t>
      </w:r>
      <w:r w:rsidRPr="00EB3D2F" w:rsidR="00F847FF">
        <w:t xml:space="preserve">à </w:t>
      </w:r>
      <w:r w:rsidRPr="00EB3D2F">
        <w:t>subordonner la fourniture d</w:t>
      </w:r>
      <w:r w:rsidR="00062221">
        <w:t>’</w:t>
      </w:r>
      <w:r w:rsidRPr="00EB3D2F">
        <w:t>un bien ou d</w:t>
      </w:r>
      <w:r w:rsidR="00062221">
        <w:t>’</w:t>
      </w:r>
      <w:r w:rsidRPr="00EB3D2F">
        <w:t xml:space="preserve">un service </w:t>
      </w:r>
      <w:r w:rsidRPr="00EB3D2F" w:rsidR="00F847FF">
        <w:t xml:space="preserve">à </w:t>
      </w:r>
      <w:r w:rsidRPr="00EB3D2F">
        <w:t>une condition fondée sur l</w:t>
      </w:r>
      <w:r w:rsidR="00062221">
        <w:t>’</w:t>
      </w:r>
      <w:r w:rsidRPr="00EB3D2F">
        <w:t xml:space="preserve">un des éléments visés </w:t>
      </w:r>
      <w:r w:rsidRPr="00EB3D2F" w:rsidR="00F847FF">
        <w:t xml:space="preserve">à </w:t>
      </w:r>
      <w:r w:rsidRPr="00EB3D2F">
        <w:t>l</w:t>
      </w:r>
      <w:r w:rsidR="00062221">
        <w:t>’</w:t>
      </w:r>
      <w:r w:rsidR="00565C93">
        <w:t>article </w:t>
      </w:r>
      <w:r w:rsidRPr="00EB3D2F">
        <w:t>225-1</w:t>
      </w:r>
      <w:r w:rsidR="006A4DF1">
        <w:t> ;</w:t>
      </w:r>
    </w:p>
    <w:p w:rsidRPr="00EB3D2F" w:rsidR="003A627D" w:rsidP="00EB3D2F" w:rsidRDefault="003A627D">
      <w:pPr>
        <w:pStyle w:val="JuQuot"/>
      </w:pPr>
      <w:r w:rsidRPr="00EB3D2F">
        <w:t>5</w:t>
      </w:r>
      <w:r w:rsidRPr="00565C93" w:rsidR="00565C93">
        <w:rPr>
          <w:vertAlign w:val="superscript"/>
        </w:rPr>
        <w:t>o</w:t>
      </w:r>
      <w:r w:rsidRPr="00565C93" w:rsidR="00565C93">
        <w:t> </w:t>
      </w:r>
      <w:r w:rsidRPr="00EB3D2F" w:rsidR="00F847FF">
        <w:t xml:space="preserve">à </w:t>
      </w:r>
      <w:r w:rsidRPr="00EB3D2F">
        <w:t>subordonner une offre d</w:t>
      </w:r>
      <w:r w:rsidR="00062221">
        <w:t>’</w:t>
      </w:r>
      <w:r w:rsidRPr="00EB3D2F">
        <w:t xml:space="preserve">emploi, une demande de stage ou une période de formation en entreprise </w:t>
      </w:r>
      <w:r w:rsidRPr="00EB3D2F" w:rsidR="00F847FF">
        <w:t xml:space="preserve">à </w:t>
      </w:r>
      <w:r w:rsidRPr="00EB3D2F">
        <w:t>une condition fondée sur l</w:t>
      </w:r>
      <w:r w:rsidR="00062221">
        <w:t>’</w:t>
      </w:r>
      <w:r w:rsidRPr="00EB3D2F">
        <w:t xml:space="preserve">un des éléments visés </w:t>
      </w:r>
      <w:r w:rsidRPr="00EB3D2F" w:rsidR="00F847FF">
        <w:t xml:space="preserve">à </w:t>
      </w:r>
      <w:r w:rsidRPr="00EB3D2F">
        <w:t>l</w:t>
      </w:r>
      <w:r w:rsidR="00062221">
        <w:t>’</w:t>
      </w:r>
      <w:r w:rsidR="00565C93">
        <w:t>article </w:t>
      </w:r>
      <w:r w:rsidRPr="00EB3D2F">
        <w:t>225-1</w:t>
      </w:r>
      <w:r w:rsidR="006A4DF1">
        <w:t> ;</w:t>
      </w:r>
    </w:p>
    <w:p w:rsidRPr="00EB3D2F" w:rsidR="003A627D" w:rsidP="00EB3D2F" w:rsidRDefault="003A627D">
      <w:pPr>
        <w:pStyle w:val="JuQuot"/>
      </w:pPr>
      <w:r w:rsidRPr="00EB3D2F">
        <w:t>6</w:t>
      </w:r>
      <w:r w:rsidRPr="00565C93" w:rsidR="00565C93">
        <w:rPr>
          <w:vertAlign w:val="superscript"/>
        </w:rPr>
        <w:t>o</w:t>
      </w:r>
      <w:r w:rsidRPr="00565C93" w:rsidR="00565C93">
        <w:t> </w:t>
      </w:r>
      <w:r w:rsidRPr="00EB3D2F" w:rsidR="00F847FF">
        <w:t xml:space="preserve">à </w:t>
      </w:r>
      <w:r w:rsidRPr="00EB3D2F">
        <w:t>refuser d</w:t>
      </w:r>
      <w:r w:rsidR="00062221">
        <w:t>’</w:t>
      </w:r>
      <w:r w:rsidRPr="00EB3D2F">
        <w:t xml:space="preserve">accepter une personne </w:t>
      </w:r>
      <w:r w:rsidRPr="00EB3D2F" w:rsidR="00F847FF">
        <w:t xml:space="preserve">à </w:t>
      </w:r>
      <w:r w:rsidRPr="00EB3D2F">
        <w:t>l</w:t>
      </w:r>
      <w:r w:rsidR="00062221">
        <w:t>’</w:t>
      </w:r>
      <w:r w:rsidRPr="00EB3D2F">
        <w:t>un des stages visés par le 2</w:t>
      </w:r>
      <w:r w:rsidRPr="00565C93" w:rsidR="00565C93">
        <w:rPr>
          <w:vertAlign w:val="superscript"/>
        </w:rPr>
        <w:t>o</w:t>
      </w:r>
      <w:r w:rsidRPr="00565C93" w:rsidR="00565C93">
        <w:t> </w:t>
      </w:r>
      <w:r w:rsidRPr="00EB3D2F">
        <w:t>de l</w:t>
      </w:r>
      <w:r w:rsidR="00062221">
        <w:t>’</w:t>
      </w:r>
      <w:r w:rsidR="00565C93">
        <w:t>article </w:t>
      </w:r>
      <w:r w:rsidRPr="00EB3D2F" w:rsidR="00F847FF">
        <w:t>L. </w:t>
      </w:r>
      <w:r w:rsidRPr="00EB3D2F">
        <w:t>412-8 du code de la sécurité sociale.</w:t>
      </w:r>
    </w:p>
    <w:p w:rsidRPr="00EB3D2F" w:rsidR="003A627D" w:rsidP="00EB3D2F" w:rsidRDefault="003A627D">
      <w:pPr>
        <w:pStyle w:val="JuQuot"/>
      </w:pPr>
      <w:r w:rsidRPr="00EB3D2F">
        <w:t>Lorsque le refus discriminatoire prévu au 1</w:t>
      </w:r>
      <w:r w:rsidRPr="00565C93" w:rsidR="00565C93">
        <w:rPr>
          <w:vertAlign w:val="superscript"/>
        </w:rPr>
        <w:t>o</w:t>
      </w:r>
      <w:r w:rsidRPr="00565C93" w:rsidR="00565C93">
        <w:t> </w:t>
      </w:r>
      <w:r w:rsidRPr="00EB3D2F">
        <w:t>est commis dans un lieu accueillant du public ou aux fins d</w:t>
      </w:r>
      <w:r w:rsidR="00062221">
        <w:t>’</w:t>
      </w:r>
      <w:r w:rsidRPr="00EB3D2F">
        <w:t>en interdire l</w:t>
      </w:r>
      <w:r w:rsidR="00062221">
        <w:t>’</w:t>
      </w:r>
      <w:r w:rsidRPr="00EB3D2F">
        <w:t xml:space="preserve">accès, les peines sont portées </w:t>
      </w:r>
      <w:r w:rsidRPr="00EB3D2F" w:rsidR="00F847FF">
        <w:t xml:space="preserve">à </w:t>
      </w:r>
      <w:r w:rsidRPr="00EB3D2F">
        <w:t>cinq ans d</w:t>
      </w:r>
      <w:r w:rsidR="00062221">
        <w:t>’</w:t>
      </w:r>
      <w:r w:rsidRPr="00EB3D2F">
        <w:t xml:space="preserve">emprisonnement et </w:t>
      </w:r>
      <w:r w:rsidRPr="00EB3D2F" w:rsidR="00F847FF">
        <w:t xml:space="preserve">à </w:t>
      </w:r>
      <w:r w:rsidRPr="00EB3D2F">
        <w:t>75</w:t>
      </w:r>
      <w:r w:rsidR="008445B5">
        <w:t> </w:t>
      </w:r>
      <w:r w:rsidRPr="00EB3D2F">
        <w:t xml:space="preserve">000 </w:t>
      </w:r>
      <w:r w:rsidR="008445B5">
        <w:t>euros</w:t>
      </w:r>
      <w:r w:rsidRPr="00EB3D2F" w:rsidR="008445B5">
        <w:t xml:space="preserve"> </w:t>
      </w:r>
      <w:r w:rsidRPr="00EB3D2F">
        <w:t>d</w:t>
      </w:r>
      <w:r w:rsidR="00062221">
        <w:t>’</w:t>
      </w:r>
      <w:r w:rsidRPr="00EB3D2F">
        <w:t>amende.</w:t>
      </w:r>
      <w:r w:rsidR="006A4DF1">
        <w:t> »</w:t>
      </w:r>
    </w:p>
    <w:p w:rsidRPr="00EB3D2F" w:rsidR="003A627D" w:rsidP="00EB3D2F" w:rsidRDefault="000507C6">
      <w:pPr>
        <w:pStyle w:val="JuHIRoman"/>
        <w:rPr>
          <w:caps w:val="0"/>
          <w:lang w:val="fr-FR"/>
        </w:rPr>
      </w:pPr>
      <w:r w:rsidRPr="00EB3D2F">
        <w:rPr>
          <w:lang w:val="fr-FR"/>
        </w:rPr>
        <w:t>La circulaire CRIM-AP n</w:t>
      </w:r>
      <w:r w:rsidRPr="00565C93" w:rsidR="00167F51">
        <w:rPr>
          <w:caps w:val="0"/>
          <w:vertAlign w:val="superscript"/>
          <w:lang w:val="fr-FR"/>
        </w:rPr>
        <w:t>o</w:t>
      </w:r>
      <w:r w:rsidRPr="00565C93" w:rsidR="00565C93">
        <w:rPr>
          <w:lang w:val="fr-FR"/>
        </w:rPr>
        <w:t> </w:t>
      </w:r>
      <w:r w:rsidRPr="00EB3D2F">
        <w:rPr>
          <w:lang w:val="fr-FR"/>
        </w:rPr>
        <w:t>09-900-A4 du 12</w:t>
      </w:r>
      <w:r w:rsidR="00565C93">
        <w:rPr>
          <w:lang w:val="fr-FR"/>
        </w:rPr>
        <w:t> février</w:t>
      </w:r>
      <w:r w:rsidRPr="00EB3D2F">
        <w:rPr>
          <w:lang w:val="fr-FR"/>
        </w:rPr>
        <w:t xml:space="preserve"> 2010</w:t>
      </w:r>
    </w:p>
    <w:p w:rsidRPr="00EB3D2F" w:rsidR="003A627D" w:rsidP="00EB3D2F" w:rsidRDefault="00974BD8">
      <w:pPr>
        <w:pStyle w:val="JuPara"/>
      </w:pPr>
      <w:r w:rsidRPr="00EB3D2F">
        <w:fldChar w:fldCharType="begin"/>
      </w:r>
      <w:r w:rsidRPr="00EB3D2F">
        <w:instrText xml:space="preserve"> SEQ level0 \*arabic </w:instrText>
      </w:r>
      <w:r w:rsidRPr="00EB3D2F">
        <w:fldChar w:fldCharType="separate"/>
      </w:r>
      <w:r w:rsidRPr="00EB3D2F" w:rsidR="00EB3D2F">
        <w:rPr>
          <w:noProof/>
        </w:rPr>
        <w:t>20</w:t>
      </w:r>
      <w:r w:rsidRPr="00EB3D2F">
        <w:fldChar w:fldCharType="end"/>
      </w:r>
      <w:r w:rsidRPr="00EB3D2F">
        <w:t>.  </w:t>
      </w:r>
      <w:r w:rsidRPr="00EB3D2F" w:rsidR="003A627D">
        <w:t>Le 12</w:t>
      </w:r>
      <w:r w:rsidR="00565C93">
        <w:t> février</w:t>
      </w:r>
      <w:r w:rsidRPr="00EB3D2F" w:rsidR="003A627D">
        <w:t xml:space="preserve"> 2010, le directeur des </w:t>
      </w:r>
      <w:r w:rsidR="00CF27C1">
        <w:t>A</w:t>
      </w:r>
      <w:r w:rsidRPr="00EB3D2F" w:rsidR="003A627D">
        <w:t xml:space="preserve">ffaires criminelles et des </w:t>
      </w:r>
      <w:r w:rsidR="00CF27C1">
        <w:t>G</w:t>
      </w:r>
      <w:r w:rsidRPr="00EB3D2F" w:rsidR="003A627D">
        <w:t>râces a adressé la circulaire suivante aux procureurs généraux près les cours d</w:t>
      </w:r>
      <w:r w:rsidR="00062221">
        <w:t>’</w:t>
      </w:r>
      <w:r w:rsidRPr="00EB3D2F" w:rsidR="003A627D">
        <w:t>appel</w:t>
      </w:r>
      <w:r w:rsidR="006A4DF1">
        <w:t> :</w:t>
      </w:r>
    </w:p>
    <w:p w:rsidRPr="00EB3D2F" w:rsidR="003A627D" w:rsidP="00EB3D2F" w:rsidRDefault="006A4DF1">
      <w:pPr>
        <w:pStyle w:val="JuQuot"/>
      </w:pPr>
      <w:r>
        <w:t>« </w:t>
      </w:r>
      <w:r w:rsidRPr="00EB3D2F" w:rsidR="003A627D">
        <w:t>Depuis le mois de</w:t>
      </w:r>
      <w:r w:rsidR="001D4688">
        <w:t xml:space="preserve"> </w:t>
      </w:r>
      <w:r w:rsidR="00565C93">
        <w:t xml:space="preserve">mars </w:t>
      </w:r>
      <w:r w:rsidRPr="00EB3D2F" w:rsidR="003A627D">
        <w:t>2009, plusieurs procédures faisant</w:t>
      </w:r>
      <w:r w:rsidRPr="00EB3D2F" w:rsidR="004E1905">
        <w:t xml:space="preserve"> </w:t>
      </w:r>
      <w:r w:rsidRPr="00EB3D2F" w:rsidR="003A627D">
        <w:t xml:space="preserve">suite </w:t>
      </w:r>
      <w:r w:rsidRPr="00EB3D2F" w:rsidR="00F847FF">
        <w:t xml:space="preserve">à </w:t>
      </w:r>
      <w:r w:rsidRPr="00EB3D2F" w:rsidR="003A627D">
        <w:t xml:space="preserve">des appels au boycott de produits israéliens diligentées sur le fondement de la provocation publique </w:t>
      </w:r>
      <w:r w:rsidRPr="00EB3D2F" w:rsidR="00F847FF">
        <w:t xml:space="preserve">à </w:t>
      </w:r>
      <w:r w:rsidRPr="00EB3D2F" w:rsidR="003A627D">
        <w:t>la discrimination prévue et réprimée par l</w:t>
      </w:r>
      <w:r w:rsidR="00062221">
        <w:t>’</w:t>
      </w:r>
      <w:r w:rsidR="00565C93">
        <w:t>article </w:t>
      </w:r>
      <w:r w:rsidRPr="00EB3D2F" w:rsidR="003A627D">
        <w:t xml:space="preserve">24 </w:t>
      </w:r>
      <w:r w:rsidR="00F92E77">
        <w:t>alinéa </w:t>
      </w:r>
      <w:r w:rsidRPr="00EB3D2F" w:rsidR="003A627D">
        <w:t>8 de la loi du 2</w:t>
      </w:r>
      <w:r w:rsidRPr="00EB3D2F" w:rsidR="006F7DE6">
        <w:t>9</w:t>
      </w:r>
      <w:r w:rsidR="00565C93">
        <w:t> juillet</w:t>
      </w:r>
      <w:r w:rsidR="001D4688">
        <w:t xml:space="preserve"> </w:t>
      </w:r>
      <w:r w:rsidRPr="00EB3D2F" w:rsidR="003A627D">
        <w:t xml:space="preserve">1881 ont été portées </w:t>
      </w:r>
      <w:r w:rsidRPr="00EB3D2F" w:rsidR="00F847FF">
        <w:t xml:space="preserve">à </w:t>
      </w:r>
      <w:r w:rsidRPr="00EB3D2F" w:rsidR="003A627D">
        <w:t>la connaissance de la direction des affaires criminelles et des grâces.</w:t>
      </w:r>
    </w:p>
    <w:p w:rsidRPr="00EB3D2F" w:rsidR="003A627D" w:rsidP="00EB3D2F" w:rsidRDefault="003A627D">
      <w:pPr>
        <w:pStyle w:val="JuQuot"/>
      </w:pPr>
      <w:r w:rsidRPr="00EB3D2F">
        <w:t>Ces faits prennent le plus souvent la forme de rassemblements dans des centres commerciaux dans le cadre desquels les appels au boycott sont formulés. Certaines de ces manifestations font ensuite l</w:t>
      </w:r>
      <w:r w:rsidR="00062221">
        <w:t>’</w:t>
      </w:r>
      <w:r w:rsidRPr="00EB3D2F">
        <w:t>objet de diffusions via des sites internet.</w:t>
      </w:r>
    </w:p>
    <w:p w:rsidRPr="00EB3D2F" w:rsidR="003A627D" w:rsidP="00EB3D2F" w:rsidRDefault="003A627D">
      <w:pPr>
        <w:pStyle w:val="JuQuot"/>
      </w:pPr>
      <w:r w:rsidRPr="00EB3D2F">
        <w:t>Par jugement du 10</w:t>
      </w:r>
      <w:r w:rsidR="00565C93">
        <w:t> février</w:t>
      </w:r>
      <w:r w:rsidRPr="00EB3D2F">
        <w:t xml:space="preserve"> 2010, le tribunal correctionnel de Bordeaux a prononcé une condamnation </w:t>
      </w:r>
      <w:r w:rsidRPr="00EB3D2F" w:rsidR="00F847FF">
        <w:t xml:space="preserve">à </w:t>
      </w:r>
      <w:r w:rsidRPr="00EB3D2F">
        <w:t>l</w:t>
      </w:r>
      <w:r w:rsidR="00062221">
        <w:t>’</w:t>
      </w:r>
      <w:r w:rsidRPr="00EB3D2F">
        <w:t>encontre d</w:t>
      </w:r>
      <w:r w:rsidR="00062221">
        <w:t>’</w:t>
      </w:r>
      <w:r w:rsidRPr="00EB3D2F">
        <w:t>une personne poursuivie sous la qualification précitée pour des faits de cette nature.</w:t>
      </w:r>
    </w:p>
    <w:p w:rsidRPr="00EB3D2F" w:rsidR="003A627D" w:rsidP="00EB3D2F" w:rsidRDefault="003A627D">
      <w:pPr>
        <w:pStyle w:val="JuQuot"/>
      </w:pPr>
      <w:r w:rsidRPr="00EB3D2F">
        <w:t>Il apparait impératif d</w:t>
      </w:r>
      <w:r w:rsidR="00062221">
        <w:t>’</w:t>
      </w:r>
      <w:r w:rsidRPr="00EB3D2F">
        <w:t xml:space="preserve">assurer de la part du ministère public une réponse cohérente et ferme </w:t>
      </w:r>
      <w:r w:rsidRPr="00EB3D2F" w:rsidR="00F847FF">
        <w:t xml:space="preserve">à </w:t>
      </w:r>
      <w:r w:rsidRPr="00EB3D2F">
        <w:t xml:space="preserve">ces agissements. </w:t>
      </w:r>
      <w:r w:rsidRPr="00EB3D2F" w:rsidR="00F847FF">
        <w:t xml:space="preserve">À </w:t>
      </w:r>
      <w:r w:rsidRPr="00EB3D2F">
        <w:t>cette fin et dans la perspective éventuelle d</w:t>
      </w:r>
      <w:r w:rsidR="00062221">
        <w:t>’</w:t>
      </w:r>
      <w:r w:rsidRPr="00EB3D2F">
        <w:t>un regroupement des procédures motivé par le souci d</w:t>
      </w:r>
      <w:r w:rsidR="00062221">
        <w:t>’</w:t>
      </w:r>
      <w:r w:rsidRPr="00EB3D2F">
        <w:t>une bonne administration de la justice, j</w:t>
      </w:r>
      <w:r w:rsidR="00062221">
        <w:t>’</w:t>
      </w:r>
      <w:r w:rsidRPr="00EB3D2F">
        <w:t>ai l</w:t>
      </w:r>
      <w:r w:rsidR="00062221">
        <w:t>’</w:t>
      </w:r>
      <w:r w:rsidRPr="00EB3D2F">
        <w:t xml:space="preserve">honneur de vous prier de bien vouloir porter </w:t>
      </w:r>
      <w:r w:rsidRPr="00EB3D2F" w:rsidR="00F847FF">
        <w:t xml:space="preserve">à </w:t>
      </w:r>
      <w:r w:rsidRPr="00EB3D2F">
        <w:t>la connaissance de la direction des affaires criminelles et des grâces tous les faits de cette nature dont les parquets de votre ressort ont été saisis. Si certaines procédures ont déj</w:t>
      </w:r>
      <w:r w:rsidRPr="00EB3D2F" w:rsidR="00F847FF">
        <w:t xml:space="preserve">à </w:t>
      </w:r>
      <w:r w:rsidRPr="00EB3D2F">
        <w:t>fait l</w:t>
      </w:r>
      <w:r w:rsidR="00062221">
        <w:t>’</w:t>
      </w:r>
      <w:r w:rsidRPr="00EB3D2F">
        <w:t>objet de classements sans suite, vous prendrez soin d</w:t>
      </w:r>
      <w:r w:rsidR="00062221">
        <w:t>’</w:t>
      </w:r>
      <w:r w:rsidRPr="00EB3D2F">
        <w:t>exposer de manière détaillée les faits et de préciser les éléments d</w:t>
      </w:r>
      <w:r w:rsidR="00062221">
        <w:t>’</w:t>
      </w:r>
      <w:r w:rsidRPr="00EB3D2F">
        <w:t>analyse ayant conduit de ces décisions. (...)</w:t>
      </w:r>
      <w:r w:rsidR="006A4DF1">
        <w:t> »</w:t>
      </w:r>
    </w:p>
    <w:p w:rsidRPr="00EB3D2F" w:rsidR="00690774" w:rsidP="00EB3D2F" w:rsidRDefault="00644D08">
      <w:pPr>
        <w:pStyle w:val="JuHHead"/>
        <w:rPr>
          <w:caps w:val="0"/>
          <w:lang w:val="fr-FR"/>
        </w:rPr>
      </w:pPr>
      <w:r w:rsidRPr="00EB3D2F">
        <w:rPr>
          <w:caps w:val="0"/>
          <w:lang w:val="fr-FR"/>
        </w:rPr>
        <w:t>EXTRAIT DU RAPPORT D</w:t>
      </w:r>
      <w:r w:rsidR="00062221">
        <w:rPr>
          <w:caps w:val="0"/>
          <w:lang w:val="fr-FR"/>
        </w:rPr>
        <w:t>’</w:t>
      </w:r>
      <w:r w:rsidRPr="00EB3D2F">
        <w:rPr>
          <w:caps w:val="0"/>
          <w:lang w:val="fr-FR"/>
        </w:rPr>
        <w:t>ACTIVITÉ DU RAPPORTEUR SPÉCIAL SUR LA LIBERTÉ DE RELIGION OU DE CONVICTION AUX MEMBRES DE L</w:t>
      </w:r>
      <w:r w:rsidR="00062221">
        <w:rPr>
          <w:caps w:val="0"/>
          <w:lang w:val="fr-FR"/>
        </w:rPr>
        <w:t>’</w:t>
      </w:r>
      <w:r w:rsidRPr="00EB3D2F">
        <w:rPr>
          <w:caps w:val="0"/>
          <w:lang w:val="fr-FR"/>
        </w:rPr>
        <w:t>ASSEMBLÉE GÉNÉRALE DES NATIONS UNIES, DU 20</w:t>
      </w:r>
      <w:r>
        <w:rPr>
          <w:caps w:val="0"/>
          <w:lang w:val="fr-FR"/>
        </w:rPr>
        <w:t> SEPTEMBRE</w:t>
      </w:r>
      <w:r w:rsidRPr="00EB3D2F">
        <w:rPr>
          <w:caps w:val="0"/>
          <w:lang w:val="fr-FR"/>
        </w:rPr>
        <w:t xml:space="preserve"> 2019</w:t>
      </w:r>
    </w:p>
    <w:p w:rsidRPr="00EB3D2F" w:rsidR="00690774" w:rsidP="00EB3D2F" w:rsidRDefault="004D73B9">
      <w:pPr>
        <w:pStyle w:val="JuPara"/>
      </w:pPr>
      <w:r w:rsidRPr="00EB3D2F">
        <w:fldChar w:fldCharType="begin"/>
      </w:r>
      <w:r w:rsidRPr="00EB3D2F">
        <w:instrText xml:space="preserve"> SEQ level0 \*arabic </w:instrText>
      </w:r>
      <w:r w:rsidRPr="00EB3D2F">
        <w:fldChar w:fldCharType="separate"/>
      </w:r>
      <w:r w:rsidRPr="00EB3D2F" w:rsidR="00EB3D2F">
        <w:rPr>
          <w:noProof/>
        </w:rPr>
        <w:t>21</w:t>
      </w:r>
      <w:r w:rsidRPr="00EB3D2F">
        <w:fldChar w:fldCharType="end"/>
      </w:r>
      <w:r w:rsidRPr="00EB3D2F">
        <w:t>.  </w:t>
      </w:r>
      <w:r w:rsidRPr="00EB3D2F" w:rsidR="00690774">
        <w:t>Dans son rapport d</w:t>
      </w:r>
      <w:r w:rsidR="00062221">
        <w:t>’</w:t>
      </w:r>
      <w:r w:rsidRPr="00EB3D2F" w:rsidR="00690774">
        <w:t xml:space="preserve">activité aux </w:t>
      </w:r>
      <w:r w:rsidRPr="00EB3D2F" w:rsidR="00095AFE">
        <w:t>membres de l</w:t>
      </w:r>
      <w:r w:rsidR="00062221">
        <w:t>’</w:t>
      </w:r>
      <w:r w:rsidRPr="00EB3D2F" w:rsidR="00095AFE">
        <w:t>Assemblée générale</w:t>
      </w:r>
      <w:r w:rsidRPr="00EB3D2F" w:rsidR="00690774">
        <w:t xml:space="preserve"> des Nations unies </w:t>
      </w:r>
      <w:r w:rsidR="00EB6ACF">
        <w:t xml:space="preserve">(ONU, documents officiels, </w:t>
      </w:r>
      <w:r w:rsidRPr="00EB3D2F" w:rsidR="008F5A98">
        <w:t>20</w:t>
      </w:r>
      <w:r w:rsidR="00565C93">
        <w:t> septembre</w:t>
      </w:r>
      <w:r w:rsidRPr="00EB3D2F" w:rsidR="008F5A98">
        <w:t xml:space="preserve"> 2019</w:t>
      </w:r>
      <w:r w:rsidR="00EB6ACF">
        <w:t>,</w:t>
      </w:r>
      <w:r w:rsidRPr="00EB3D2F" w:rsidR="008F5A98">
        <w:t xml:space="preserve"> A/74/358), l</w:t>
      </w:r>
      <w:r w:rsidRPr="00EB3D2F" w:rsidR="00690774">
        <w:t xml:space="preserve">e rapporteur spécial sur la liberté de religion ou de conviction </w:t>
      </w:r>
      <w:r w:rsidRPr="00EB3D2F" w:rsidR="008F5A98">
        <w:t>a souligné ce qui suit</w:t>
      </w:r>
      <w:r w:rsidR="006A4DF1">
        <w:t> :</w:t>
      </w:r>
    </w:p>
    <w:p w:rsidRPr="00EB3D2F" w:rsidR="008F5A98" w:rsidP="00EB3D2F" w:rsidRDefault="006A4DF1">
      <w:pPr>
        <w:pStyle w:val="JuQuot"/>
      </w:pPr>
      <w:r>
        <w:t>« </w:t>
      </w:r>
      <w:r w:rsidRPr="00EB3D2F" w:rsidR="008F5A98">
        <w:t>18.</w:t>
      </w:r>
      <w:r w:rsidR="00644D08">
        <w:t>  </w:t>
      </w:r>
      <w:r w:rsidRPr="00EB3D2F" w:rsidR="008F5A98">
        <w:t>(</w:t>
      </w:r>
      <w:r w:rsidRPr="00EB3D2F" w:rsidR="00C2408B">
        <w:t>...</w:t>
      </w:r>
      <w:r w:rsidRPr="00EB3D2F" w:rsidR="008F5A98">
        <w:t>) Le Rapporteur spécial rappelle qu</w:t>
      </w:r>
      <w:r w:rsidR="00062221">
        <w:t>’</w:t>
      </w:r>
      <w:r w:rsidRPr="00EB3D2F" w:rsidR="008F5A98">
        <w:t>en droit international, le boycottage est considéré comme une forme légitime d</w:t>
      </w:r>
      <w:r w:rsidR="00062221">
        <w:t>’</w:t>
      </w:r>
      <w:r w:rsidRPr="00EB3D2F" w:rsidR="008F5A98">
        <w:t>expression politique, et que les manifestations non violentes de soutien aux boycotts relèvent, de manière générale, de la liberté d</w:t>
      </w:r>
      <w:r w:rsidR="00062221">
        <w:t>’</w:t>
      </w:r>
      <w:r w:rsidRPr="00EB3D2F" w:rsidR="008F5A98">
        <w:t>expression légitime qu</w:t>
      </w:r>
      <w:r w:rsidR="00062221">
        <w:t>’</w:t>
      </w:r>
      <w:r w:rsidRPr="00EB3D2F" w:rsidR="008F5A98">
        <w:t>il convient de protéger. Toutefois, il souligne également que les propos nourris de clichés et de stéréotypes antisémites, le rejet du droit d</w:t>
      </w:r>
      <w:r w:rsidR="00062221">
        <w:t>’</w:t>
      </w:r>
      <w:r w:rsidRPr="00EB3D2F" w:rsidR="008F5A98">
        <w:t>Israël d</w:t>
      </w:r>
      <w:r w:rsidR="00062221">
        <w:t>’</w:t>
      </w:r>
      <w:r w:rsidRPr="00EB3D2F" w:rsidR="008F5A98">
        <w:t>exister et l</w:t>
      </w:r>
      <w:r w:rsidR="00062221">
        <w:t>’</w:t>
      </w:r>
      <w:r w:rsidRPr="00EB3D2F" w:rsidR="008F5A98">
        <w:t xml:space="preserve">incitation </w:t>
      </w:r>
      <w:r w:rsidRPr="00EB3D2F" w:rsidR="00F847FF">
        <w:t xml:space="preserve">à </w:t>
      </w:r>
      <w:r w:rsidRPr="00EB3D2F" w:rsidR="008F5A98">
        <w:t>la discrimination contre les Juifs en raison de leur religion doivent être condamnés.</w:t>
      </w:r>
    </w:p>
    <w:p w:rsidRPr="00EB3D2F" w:rsidR="00C2408B" w:rsidP="00EB3D2F" w:rsidRDefault="008F5A98">
      <w:pPr>
        <w:pStyle w:val="JuQuot"/>
      </w:pPr>
      <w:r w:rsidRPr="00EB3D2F">
        <w:t>(</w:t>
      </w:r>
      <w:r w:rsidRPr="00EB3D2F" w:rsidR="00C2408B">
        <w:t>...</w:t>
      </w:r>
      <w:r w:rsidRPr="00EB3D2F">
        <w:t>)</w:t>
      </w:r>
      <w:r w:rsidR="006A4DF1">
        <w:t> »</w:t>
      </w:r>
    </w:p>
    <w:p w:rsidRPr="00EB3D2F" w:rsidR="003B257F" w:rsidP="00EB3D2F" w:rsidRDefault="00E77CB3">
      <w:pPr>
        <w:pStyle w:val="JuHHead"/>
      </w:pPr>
      <w:r w:rsidRPr="00EB3D2F">
        <w:t>EN DROIT</w:t>
      </w:r>
    </w:p>
    <w:p w:rsidRPr="00EB3D2F" w:rsidR="004E1905" w:rsidP="00EB3D2F" w:rsidRDefault="00A113C0">
      <w:pPr>
        <w:pStyle w:val="JuHIRoman"/>
        <w:rPr>
          <w:lang w:val="fr-FR"/>
        </w:rPr>
      </w:pPr>
      <w:r w:rsidRPr="00EB3D2F">
        <w:rPr>
          <w:caps w:val="0"/>
          <w:lang w:val="fr-FR"/>
        </w:rPr>
        <w:t xml:space="preserve">SUR LE </w:t>
      </w:r>
      <w:r w:rsidRPr="00EB3D2F">
        <w:rPr>
          <w:i/>
          <w:caps w:val="0"/>
          <w:lang w:val="fr-FR"/>
        </w:rPr>
        <w:t>LOCUS STANDI</w:t>
      </w:r>
      <w:r w:rsidRPr="00EB3D2F">
        <w:rPr>
          <w:caps w:val="0"/>
          <w:lang w:val="fr-FR"/>
        </w:rPr>
        <w:t xml:space="preserve"> DE M</w:t>
      </w:r>
      <w:r w:rsidRPr="00EB3D2F">
        <w:rPr>
          <w:caps w:val="0"/>
          <w:vertAlign w:val="superscript"/>
          <w:lang w:val="fr-FR"/>
        </w:rPr>
        <w:t>me</w:t>
      </w:r>
      <w:r w:rsidRPr="00EB3D2F">
        <w:rPr>
          <w:caps w:val="0"/>
          <w:lang w:val="fr-FR"/>
        </w:rPr>
        <w:t xml:space="preserve"> </w:t>
      </w:r>
      <w:r w:rsidRPr="00EB3D2F">
        <w:rPr>
          <w:caps w:val="0"/>
          <w:lang w:val="fr-FR" w:eastAsia="en-GB"/>
        </w:rPr>
        <w:t xml:space="preserve">MARINE </w:t>
      </w:r>
      <w:r w:rsidRPr="00EB3D2F">
        <w:rPr>
          <w:caps w:val="0"/>
          <w:lang w:val="fr-FR"/>
        </w:rPr>
        <w:t>ROBERT</w:t>
      </w:r>
      <w:r w:rsidRPr="00EB3D2F">
        <w:rPr>
          <w:caps w:val="0"/>
          <w:lang w:val="fr-FR" w:eastAsia="en-GB"/>
        </w:rPr>
        <w:t xml:space="preserve"> ET DE </w:t>
      </w:r>
      <w:r>
        <w:rPr>
          <w:caps w:val="0"/>
          <w:lang w:val="fr-FR" w:eastAsia="en-GB"/>
        </w:rPr>
        <w:t>M. </w:t>
      </w:r>
      <w:r w:rsidRPr="00EB3D2F">
        <w:rPr>
          <w:caps w:val="0"/>
          <w:lang w:val="fr-FR" w:eastAsia="en-GB"/>
        </w:rPr>
        <w:t>BRUNO BALLOUEY</w:t>
      </w:r>
    </w:p>
    <w:p w:rsidRPr="00EB3D2F" w:rsidR="008B0E9A" w:rsidP="00EB3D2F" w:rsidRDefault="00480507">
      <w:pPr>
        <w:pStyle w:val="JuPara"/>
      </w:pPr>
      <w:r w:rsidRPr="00EB3D2F">
        <w:fldChar w:fldCharType="begin"/>
      </w:r>
      <w:r w:rsidRPr="00EB3D2F">
        <w:instrText xml:space="preserve"> SEQ level0 \*arabic </w:instrText>
      </w:r>
      <w:r w:rsidRPr="00EB3D2F">
        <w:fldChar w:fldCharType="separate"/>
      </w:r>
      <w:r w:rsidRPr="00EB3D2F" w:rsidR="00EB3D2F">
        <w:rPr>
          <w:noProof/>
        </w:rPr>
        <w:t>22</w:t>
      </w:r>
      <w:r w:rsidRPr="00EB3D2F">
        <w:fldChar w:fldCharType="end"/>
      </w:r>
      <w:r w:rsidRPr="00EB3D2F">
        <w:t>.  </w:t>
      </w:r>
      <w:r w:rsidRPr="00EB3D2F" w:rsidR="00AB2273">
        <w:t>L</w:t>
      </w:r>
      <w:r w:rsidRPr="00EB3D2F" w:rsidR="00AB2273">
        <w:rPr>
          <w:lang w:eastAsia="en-GB"/>
        </w:rPr>
        <w:t>e 15</w:t>
      </w:r>
      <w:r w:rsidR="00565C93">
        <w:rPr>
          <w:lang w:eastAsia="en-GB"/>
        </w:rPr>
        <w:t xml:space="preserve"> mai </w:t>
      </w:r>
      <w:r w:rsidRPr="00EB3D2F" w:rsidR="00AB2273">
        <w:rPr>
          <w:lang w:eastAsia="en-GB"/>
        </w:rPr>
        <w:t xml:space="preserve">2018, le représentant de </w:t>
      </w:r>
      <w:r w:rsidR="00A54A38">
        <w:rPr>
          <w:lang w:eastAsia="en-GB"/>
        </w:rPr>
        <w:t>M. </w:t>
      </w:r>
      <w:r w:rsidRPr="00EB3D2F" w:rsidR="00AB2273">
        <w:rPr>
          <w:lang w:eastAsia="en-GB"/>
        </w:rPr>
        <w:t xml:space="preserve">Jacques </w:t>
      </w:r>
      <w:proofErr w:type="spellStart"/>
      <w:r w:rsidRPr="00EB3D2F" w:rsidR="00AB2273">
        <w:rPr>
          <w:lang w:eastAsia="en-GB"/>
        </w:rPr>
        <w:t>Ballouey</w:t>
      </w:r>
      <w:proofErr w:type="spellEnd"/>
      <w:r w:rsidRPr="00EB3D2F" w:rsidR="00AB2273">
        <w:rPr>
          <w:lang w:eastAsia="en-GB"/>
        </w:rPr>
        <w:t xml:space="preserve"> a informé la Cour du décès de ce denier. L</w:t>
      </w:r>
      <w:r w:rsidR="00062221">
        <w:rPr>
          <w:lang w:eastAsia="en-GB"/>
        </w:rPr>
        <w:t>’</w:t>
      </w:r>
      <w:r w:rsidRPr="00EB3D2F" w:rsidR="00AB2273">
        <w:rPr>
          <w:lang w:eastAsia="en-GB"/>
        </w:rPr>
        <w:t xml:space="preserve">épouse de </w:t>
      </w:r>
      <w:r w:rsidR="00A54A38">
        <w:rPr>
          <w:lang w:eastAsia="en-GB"/>
        </w:rPr>
        <w:t>M. </w:t>
      </w:r>
      <w:r w:rsidRPr="00EB3D2F" w:rsidR="00AB2273">
        <w:rPr>
          <w:lang w:eastAsia="en-GB"/>
        </w:rPr>
        <w:t xml:space="preserve">Jacques </w:t>
      </w:r>
      <w:proofErr w:type="spellStart"/>
      <w:r w:rsidRPr="00EB3D2F" w:rsidR="00AB2273">
        <w:rPr>
          <w:lang w:eastAsia="en-GB"/>
        </w:rPr>
        <w:t>Ballouey</w:t>
      </w:r>
      <w:proofErr w:type="spellEnd"/>
      <w:r w:rsidRPr="00EB3D2F" w:rsidR="00AB2273">
        <w:rPr>
          <w:lang w:eastAsia="en-GB"/>
        </w:rPr>
        <w:t>, M</w:t>
      </w:r>
      <w:r w:rsidRPr="00EB3D2F" w:rsidR="00AB2273">
        <w:rPr>
          <w:vertAlign w:val="superscript"/>
          <w:lang w:eastAsia="en-GB"/>
        </w:rPr>
        <w:t>me</w:t>
      </w:r>
      <w:r w:rsidRPr="00EB3D2F" w:rsidR="006A4B6F">
        <w:rPr>
          <w:lang w:eastAsia="en-GB"/>
        </w:rPr>
        <w:t> Marine</w:t>
      </w:r>
      <w:r w:rsidR="00E55BDA">
        <w:rPr>
          <w:lang w:eastAsia="en-GB"/>
        </w:rPr>
        <w:t xml:space="preserve"> </w:t>
      </w:r>
      <w:r w:rsidRPr="00EB3D2F" w:rsidR="00AB2273">
        <w:rPr>
          <w:lang w:eastAsia="en-GB"/>
        </w:rPr>
        <w:t xml:space="preserve">Robert, et leur fils, </w:t>
      </w:r>
      <w:r w:rsidR="00A54A38">
        <w:rPr>
          <w:lang w:eastAsia="en-GB"/>
        </w:rPr>
        <w:t>M. </w:t>
      </w:r>
      <w:r w:rsidR="00AC442E">
        <w:rPr>
          <w:lang w:eastAsia="en-GB"/>
        </w:rPr>
        <w:t xml:space="preserve">Bruno </w:t>
      </w:r>
      <w:proofErr w:type="spellStart"/>
      <w:r w:rsidRPr="00EB3D2F" w:rsidR="00AB2273">
        <w:rPr>
          <w:lang w:eastAsia="en-GB"/>
        </w:rPr>
        <w:t>Ballouey</w:t>
      </w:r>
      <w:proofErr w:type="spellEnd"/>
      <w:r w:rsidRPr="00EB3D2F" w:rsidR="00AB2273">
        <w:rPr>
          <w:lang w:eastAsia="en-GB"/>
        </w:rPr>
        <w:t>, ont indiqué souhaiter poursuivre la procédure en son nom.</w:t>
      </w:r>
    </w:p>
    <w:p w:rsidRPr="00EB3D2F" w:rsidR="00917DCC" w:rsidP="00EB3D2F" w:rsidRDefault="00480507">
      <w:pPr>
        <w:pStyle w:val="JuPara"/>
      </w:pPr>
      <w:r w:rsidRPr="00EB3D2F">
        <w:fldChar w:fldCharType="begin"/>
      </w:r>
      <w:r w:rsidRPr="00EB3D2F">
        <w:instrText xml:space="preserve"> SEQ level0 \*arabic </w:instrText>
      </w:r>
      <w:r w:rsidRPr="00EB3D2F">
        <w:fldChar w:fldCharType="separate"/>
      </w:r>
      <w:r w:rsidRPr="00EB3D2F" w:rsidR="00EB3D2F">
        <w:rPr>
          <w:noProof/>
        </w:rPr>
        <w:t>23</w:t>
      </w:r>
      <w:r w:rsidRPr="00EB3D2F">
        <w:fldChar w:fldCharType="end"/>
      </w:r>
      <w:r w:rsidRPr="00EB3D2F">
        <w:t>.  La Cour</w:t>
      </w:r>
      <w:r w:rsidRPr="00EB3D2F" w:rsidR="00917DCC">
        <w:t xml:space="preserve"> rappelle que, dans les cas où le requérant originaire décède après l</w:t>
      </w:r>
      <w:r w:rsidR="00062221">
        <w:t>’</w:t>
      </w:r>
      <w:r w:rsidRPr="00EB3D2F" w:rsidR="00917DCC">
        <w:t>introduction de la requête, elle autorise normalement les proches de l</w:t>
      </w:r>
      <w:r w:rsidR="00062221">
        <w:t>’</w:t>
      </w:r>
      <w:r w:rsidRPr="00EB3D2F" w:rsidR="00917DCC">
        <w:t xml:space="preserve">intéressé </w:t>
      </w:r>
      <w:r w:rsidRPr="00EB3D2F" w:rsidR="00F847FF">
        <w:t xml:space="preserve">à </w:t>
      </w:r>
      <w:r w:rsidRPr="00EB3D2F" w:rsidR="00917DCC">
        <w:t xml:space="preserve">poursuivre la procédure, </w:t>
      </w:r>
      <w:r w:rsidRPr="00EB3D2F" w:rsidR="00F847FF">
        <w:t xml:space="preserve">à </w:t>
      </w:r>
      <w:r w:rsidRPr="00EB3D2F" w:rsidR="00917DCC">
        <w:t>condition qu</w:t>
      </w:r>
      <w:r w:rsidR="00062221">
        <w:t>’</w:t>
      </w:r>
      <w:r w:rsidRPr="00EB3D2F" w:rsidR="00917DCC">
        <w:t xml:space="preserve">ils aient un intérêt légitime </w:t>
      </w:r>
      <w:r w:rsidRPr="00EB3D2F" w:rsidR="00F847FF">
        <w:t xml:space="preserve">à </w:t>
      </w:r>
      <w:r w:rsidRPr="00EB3D2F" w:rsidR="00917DCC">
        <w:t>le faire (voir, parmi beaucoup d</w:t>
      </w:r>
      <w:r w:rsidR="00062221">
        <w:t>’</w:t>
      </w:r>
      <w:r w:rsidRPr="00EB3D2F" w:rsidR="00917DCC">
        <w:t xml:space="preserve">autres, </w:t>
      </w:r>
      <w:proofErr w:type="spellStart"/>
      <w:r w:rsidRPr="00EB3D2F" w:rsidR="00917DCC">
        <w:rPr>
          <w:i/>
          <w:iCs/>
        </w:rPr>
        <w:t>Malhous</w:t>
      </w:r>
      <w:proofErr w:type="spellEnd"/>
      <w:r w:rsidR="00565C93">
        <w:rPr>
          <w:i/>
          <w:iCs/>
        </w:rPr>
        <w:t xml:space="preserve"> c. </w:t>
      </w:r>
      <w:r w:rsidRPr="00EB3D2F" w:rsidR="00917DCC">
        <w:rPr>
          <w:i/>
          <w:iCs/>
        </w:rPr>
        <w:t xml:space="preserve">République tchèque </w:t>
      </w:r>
      <w:r w:rsidRPr="00EB3D2F" w:rsidR="00917DCC">
        <w:t>(déc.) [GC], n</w:t>
      </w:r>
      <w:r w:rsidRPr="00565C93" w:rsidR="00565C93">
        <w:rPr>
          <w:vertAlign w:val="superscript"/>
        </w:rPr>
        <w:t>o</w:t>
      </w:r>
      <w:r w:rsidRPr="00565C93" w:rsidR="00565C93">
        <w:t> </w:t>
      </w:r>
      <w:r w:rsidRPr="00EB3D2F">
        <w:t>33071/96</w:t>
      </w:r>
      <w:r w:rsidRPr="00EB3D2F" w:rsidR="00917DCC">
        <w:t>, CEDH 2000</w:t>
      </w:r>
      <w:r w:rsidRPr="00EB3D2F" w:rsidR="00917DCC">
        <w:noBreakHyphen/>
        <w:t xml:space="preserve">XII, et </w:t>
      </w:r>
      <w:r w:rsidRPr="00EB3D2F" w:rsidR="00917DCC">
        <w:rPr>
          <w:i/>
          <w:iCs/>
        </w:rPr>
        <w:t>Murray</w:t>
      </w:r>
      <w:r w:rsidR="00565C93">
        <w:rPr>
          <w:i/>
          <w:iCs/>
        </w:rPr>
        <w:t xml:space="preserve"> c. </w:t>
      </w:r>
      <w:r w:rsidRPr="00EB3D2F" w:rsidR="00917DCC">
        <w:rPr>
          <w:i/>
          <w:iCs/>
        </w:rPr>
        <w:t>Pays-Bas</w:t>
      </w:r>
      <w:r w:rsidRPr="00EB3D2F" w:rsidR="00917DCC">
        <w:t xml:space="preserve"> [GC], n</w:t>
      </w:r>
      <w:r w:rsidRPr="00565C93" w:rsidR="00565C93">
        <w:rPr>
          <w:vertAlign w:val="superscript"/>
        </w:rPr>
        <w:t>o</w:t>
      </w:r>
      <w:r w:rsidRPr="00565C93" w:rsidR="00565C93">
        <w:t> </w:t>
      </w:r>
      <w:r w:rsidRPr="00EB3D2F">
        <w:t>10511/10</w:t>
      </w:r>
      <w:r w:rsidRPr="00EB3D2F" w:rsidR="00917DCC">
        <w:t xml:space="preserve">, </w:t>
      </w:r>
      <w:r w:rsidR="00565C93">
        <w:t>§ </w:t>
      </w:r>
      <w:r w:rsidRPr="00EB3D2F" w:rsidR="00917DCC">
        <w:t xml:space="preserve">79, </w:t>
      </w:r>
      <w:r w:rsidR="00C65983">
        <w:t>26 avril</w:t>
      </w:r>
      <w:r w:rsidRPr="00EB3D2F" w:rsidR="00C65983">
        <w:t xml:space="preserve"> </w:t>
      </w:r>
      <w:r w:rsidRPr="00EB3D2F" w:rsidR="00917DCC">
        <w:t xml:space="preserve">2016). Eu égard </w:t>
      </w:r>
      <w:r w:rsidRPr="00EB3D2F" w:rsidR="00F847FF">
        <w:t xml:space="preserve">à </w:t>
      </w:r>
      <w:r w:rsidRPr="00EB3D2F" w:rsidR="00917DCC">
        <w:t>l</w:t>
      </w:r>
      <w:r w:rsidR="00062221">
        <w:t>’</w:t>
      </w:r>
      <w:r w:rsidRPr="00EB3D2F" w:rsidR="006A4B6F">
        <w:t xml:space="preserve">objet de la requête et </w:t>
      </w:r>
      <w:r w:rsidRPr="00EB3D2F" w:rsidR="00F847FF">
        <w:t xml:space="preserve">à </w:t>
      </w:r>
      <w:r w:rsidRPr="00EB3D2F" w:rsidR="00917DCC">
        <w:t>l</w:t>
      </w:r>
      <w:r w:rsidR="00062221">
        <w:t>’</w:t>
      </w:r>
      <w:r w:rsidRPr="00EB3D2F" w:rsidR="00917DCC">
        <w:t>ensemble des éléments dont elle dispose, la Cour estime qu</w:t>
      </w:r>
      <w:r w:rsidR="00062221">
        <w:t>’</w:t>
      </w:r>
      <w:r w:rsidRPr="00EB3D2F" w:rsidR="00917DCC">
        <w:t>en l</w:t>
      </w:r>
      <w:r w:rsidR="00062221">
        <w:t>’</w:t>
      </w:r>
      <w:r w:rsidRPr="00EB3D2F" w:rsidR="00917DCC">
        <w:t xml:space="preserve">espèce </w:t>
      </w:r>
      <w:r w:rsidRPr="00EB3D2F" w:rsidR="00917DCC">
        <w:rPr>
          <w:lang w:eastAsia="en-GB"/>
        </w:rPr>
        <w:t>M</w:t>
      </w:r>
      <w:r w:rsidRPr="00EB3D2F" w:rsidR="00917DCC">
        <w:rPr>
          <w:vertAlign w:val="superscript"/>
          <w:lang w:eastAsia="en-GB"/>
        </w:rPr>
        <w:t>me</w:t>
      </w:r>
      <w:r w:rsidR="007B1923">
        <w:rPr>
          <w:lang w:eastAsia="en-GB"/>
        </w:rPr>
        <w:t> </w:t>
      </w:r>
      <w:r w:rsidRPr="00EB3D2F" w:rsidR="00917DCC">
        <w:rPr>
          <w:lang w:eastAsia="en-GB"/>
        </w:rPr>
        <w:t>Marine Robert</w:t>
      </w:r>
      <w:r w:rsidRPr="00EB3D2F" w:rsidR="00917DCC">
        <w:t xml:space="preserve"> et </w:t>
      </w:r>
      <w:r w:rsidR="00A54A38">
        <w:rPr>
          <w:lang w:eastAsia="en-GB"/>
        </w:rPr>
        <w:t>M. </w:t>
      </w:r>
      <w:r w:rsidR="00AC442E">
        <w:rPr>
          <w:lang w:eastAsia="en-GB"/>
        </w:rPr>
        <w:t xml:space="preserve">Bruno </w:t>
      </w:r>
      <w:proofErr w:type="spellStart"/>
      <w:r w:rsidRPr="00EB3D2F" w:rsidR="00917DCC">
        <w:rPr>
          <w:lang w:eastAsia="en-GB"/>
        </w:rPr>
        <w:t>Ballouey</w:t>
      </w:r>
      <w:proofErr w:type="spellEnd"/>
      <w:r w:rsidRPr="00EB3D2F" w:rsidR="00917DCC">
        <w:rPr>
          <w:lang w:eastAsia="en-GB"/>
        </w:rPr>
        <w:t xml:space="preserve"> </w:t>
      </w:r>
      <w:r w:rsidRPr="00EB3D2F" w:rsidR="00917DCC">
        <w:t>ont un intérêt légitime au maintien de la requête au nom de leur défunt mari et père et, de ce fait, qualité pour agir au titre de l</w:t>
      </w:r>
      <w:r w:rsidR="00062221">
        <w:t>’</w:t>
      </w:r>
      <w:r w:rsidR="00565C93">
        <w:t>article </w:t>
      </w:r>
      <w:r w:rsidRPr="00EB3D2F" w:rsidR="00917DCC">
        <w:t>34 de la Convention. Pour des raisons d</w:t>
      </w:r>
      <w:r w:rsidR="00062221">
        <w:t>’</w:t>
      </w:r>
      <w:r w:rsidRPr="00EB3D2F" w:rsidR="00917DCC">
        <w:t xml:space="preserve">ordre pratique, la Cour continuera de désigner feu </w:t>
      </w:r>
      <w:r w:rsidR="00A54A38">
        <w:t>M. </w:t>
      </w:r>
      <w:r w:rsidRPr="00EB3D2F" w:rsidR="00917DCC">
        <w:rPr>
          <w:lang w:eastAsia="en-GB"/>
        </w:rPr>
        <w:t xml:space="preserve">Jacques </w:t>
      </w:r>
      <w:proofErr w:type="spellStart"/>
      <w:r w:rsidRPr="00EB3D2F" w:rsidR="00917DCC">
        <w:rPr>
          <w:lang w:eastAsia="en-GB"/>
        </w:rPr>
        <w:t>Ballouey</w:t>
      </w:r>
      <w:proofErr w:type="spellEnd"/>
      <w:r w:rsidRPr="00EB3D2F" w:rsidR="00917DCC">
        <w:t xml:space="preserve"> comme l</w:t>
      </w:r>
      <w:r w:rsidR="00062221">
        <w:t>’</w:t>
      </w:r>
      <w:r w:rsidRPr="00EB3D2F" w:rsidR="00917DCC">
        <w:t xml:space="preserve">un des </w:t>
      </w:r>
      <w:r w:rsidR="006A4DF1">
        <w:t>« </w:t>
      </w:r>
      <w:r w:rsidRPr="00EB3D2F" w:rsidR="00917DCC">
        <w:t>requérants</w:t>
      </w:r>
      <w:r w:rsidR="006A4DF1">
        <w:t> »</w:t>
      </w:r>
      <w:r w:rsidRPr="00EB3D2F" w:rsidR="00917DCC">
        <w:t>.</w:t>
      </w:r>
    </w:p>
    <w:p w:rsidRPr="00EB3D2F" w:rsidR="00480507" w:rsidP="00EB3D2F" w:rsidRDefault="00480507">
      <w:pPr>
        <w:pStyle w:val="JuHIRoman"/>
        <w:rPr>
          <w:lang w:val="fr-FR"/>
        </w:rPr>
      </w:pPr>
      <w:r w:rsidRPr="00EB3D2F">
        <w:rPr>
          <w:lang w:val="fr-FR"/>
        </w:rPr>
        <w:t>SUR LA JONCTION DES REQUÊTES</w:t>
      </w:r>
    </w:p>
    <w:p w:rsidRPr="00EB3D2F" w:rsidR="004673B1" w:rsidP="00EB3D2F" w:rsidRDefault="004673B1">
      <w:pPr>
        <w:pStyle w:val="JuPara"/>
      </w:pPr>
      <w:r w:rsidRPr="00EB3D2F">
        <w:fldChar w:fldCharType="begin"/>
      </w:r>
      <w:r w:rsidRPr="00EB3D2F">
        <w:instrText xml:space="preserve"> SEQ level0 \*arabic </w:instrText>
      </w:r>
      <w:r w:rsidRPr="00EB3D2F">
        <w:fldChar w:fldCharType="separate"/>
      </w:r>
      <w:r w:rsidRPr="00EB3D2F" w:rsidR="00EB3D2F">
        <w:rPr>
          <w:noProof/>
        </w:rPr>
        <w:t>24</w:t>
      </w:r>
      <w:r w:rsidRPr="00EB3D2F">
        <w:fldChar w:fldCharType="end"/>
      </w:r>
      <w:r w:rsidRPr="00EB3D2F">
        <w:t>.  Compte tenu de la similitude des requêtes quant aux faits et aux questions de fond qu</w:t>
      </w:r>
      <w:r w:rsidR="00062221">
        <w:t>’</w:t>
      </w:r>
      <w:r w:rsidRPr="00EB3D2F">
        <w:t>elles posent, la Cour juge approprié de les joindre, en application de l</w:t>
      </w:r>
      <w:r w:rsidR="00062221">
        <w:t>’</w:t>
      </w:r>
      <w:r w:rsidR="00565C93">
        <w:t>article </w:t>
      </w:r>
      <w:r w:rsidRPr="00EB3D2F">
        <w:t xml:space="preserve">42 </w:t>
      </w:r>
      <w:r w:rsidR="00565C93">
        <w:t>§ </w:t>
      </w:r>
      <w:r w:rsidRPr="00EB3D2F">
        <w:t>1 de son règlement.</w:t>
      </w:r>
    </w:p>
    <w:p w:rsidRPr="00EB3D2F" w:rsidR="00E77CB3" w:rsidP="00EB3D2F" w:rsidRDefault="00E77CB3">
      <w:pPr>
        <w:pStyle w:val="JuHIRoman"/>
        <w:rPr>
          <w:lang w:val="fr-FR"/>
        </w:rPr>
      </w:pPr>
      <w:r w:rsidRPr="00EB3D2F">
        <w:rPr>
          <w:lang w:val="fr-FR"/>
        </w:rPr>
        <w:t>SUR LA VIOLATION ALLÉGUÉE DE L</w:t>
      </w:r>
      <w:r w:rsidR="00062221">
        <w:rPr>
          <w:lang w:val="fr-FR"/>
        </w:rPr>
        <w:t>’</w:t>
      </w:r>
      <w:r w:rsidRPr="00EB3D2F">
        <w:rPr>
          <w:lang w:val="fr-FR"/>
        </w:rPr>
        <w:t xml:space="preserve">ARTICLE </w:t>
      </w:r>
      <w:r w:rsidRPr="00EB3D2F" w:rsidR="004E1905">
        <w:rPr>
          <w:lang w:val="fr-FR"/>
        </w:rPr>
        <w:t>7</w:t>
      </w:r>
      <w:r w:rsidRPr="00EB3D2F">
        <w:rPr>
          <w:lang w:val="fr-FR"/>
        </w:rPr>
        <w:t xml:space="preserve"> DE LA CONVENTION</w:t>
      </w:r>
    </w:p>
    <w:p w:rsidRPr="00EB3D2F" w:rsidR="00E77CB3"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25</w:t>
      </w:r>
      <w:r w:rsidRPr="00EB3D2F">
        <w:fldChar w:fldCharType="end"/>
      </w:r>
      <w:r w:rsidRPr="00EB3D2F" w:rsidR="00E77CB3">
        <w:t>.  </w:t>
      </w:r>
      <w:r w:rsidRPr="00EB3D2F" w:rsidR="009838B1">
        <w:t>Invoquant l</w:t>
      </w:r>
      <w:r w:rsidR="00062221">
        <w:t>’</w:t>
      </w:r>
      <w:r w:rsidR="00565C93">
        <w:t>article </w:t>
      </w:r>
      <w:r w:rsidRPr="00EB3D2F" w:rsidR="009838B1">
        <w:t xml:space="preserve">7 de la Convention, </w:t>
      </w:r>
      <w:r w:rsidRPr="00EB3D2F" w:rsidR="009C38E3">
        <w:t>l</w:t>
      </w:r>
      <w:r w:rsidRPr="00EB3D2F" w:rsidR="009838B1">
        <w:t>es requérants se plaignent d</w:t>
      </w:r>
      <w:r w:rsidR="00062221">
        <w:t>’</w:t>
      </w:r>
      <w:r w:rsidRPr="00EB3D2F" w:rsidR="009838B1">
        <w:t>avoir été condamnés sur le fondement de l</w:t>
      </w:r>
      <w:r w:rsidR="00062221">
        <w:t>’</w:t>
      </w:r>
      <w:r w:rsidR="00565C93">
        <w:t>article </w:t>
      </w:r>
      <w:r w:rsidRPr="00EB3D2F" w:rsidR="009838B1">
        <w:t>24</w:t>
      </w:r>
      <w:r w:rsidRPr="00EB3D2F" w:rsidR="0092054D">
        <w:t>,</w:t>
      </w:r>
      <w:r w:rsidRPr="00EB3D2F" w:rsidR="009838B1">
        <w:t xml:space="preserve"> </w:t>
      </w:r>
      <w:r w:rsidR="00F92E77">
        <w:t>alinéa </w:t>
      </w:r>
      <w:r w:rsidRPr="00EB3D2F" w:rsidR="009838B1">
        <w:t>8</w:t>
      </w:r>
      <w:r w:rsidRPr="00EB3D2F" w:rsidR="0092054D">
        <w:t>,</w:t>
      </w:r>
      <w:r w:rsidRPr="00EB3D2F" w:rsidR="009838B1">
        <w:t xml:space="preserve"> de la loi du 29</w:t>
      </w:r>
      <w:r w:rsidR="00565C93">
        <w:t> juillet</w:t>
      </w:r>
      <w:r w:rsidRPr="00EB3D2F" w:rsidR="009838B1">
        <w:t xml:space="preserve"> 1881 sur la liberté de la presse pour incitation </w:t>
      </w:r>
      <w:r w:rsidRPr="00EB3D2F" w:rsidR="00F847FF">
        <w:t xml:space="preserve">à </w:t>
      </w:r>
      <w:r w:rsidRPr="00EB3D2F" w:rsidR="009838B1">
        <w:t>la discrimination économique alors que ce texte ne vise pas la discrimination économique. Ils invoquent l</w:t>
      </w:r>
      <w:r w:rsidR="00062221">
        <w:t>’</w:t>
      </w:r>
      <w:r w:rsidR="00565C93">
        <w:t>article </w:t>
      </w:r>
      <w:r w:rsidRPr="00EB3D2F" w:rsidR="009838B1">
        <w:t>7 de la Convention, aux termes duquel</w:t>
      </w:r>
      <w:r w:rsidR="006A4DF1">
        <w:t> :</w:t>
      </w:r>
    </w:p>
    <w:p w:rsidRPr="00EB3D2F" w:rsidR="009838B1" w:rsidP="00EB3D2F" w:rsidRDefault="006A4DF1">
      <w:pPr>
        <w:pStyle w:val="JuQuot"/>
      </w:pPr>
      <w:r>
        <w:t>« </w:t>
      </w:r>
      <w:r w:rsidRPr="00EB3D2F" w:rsidR="009838B1">
        <w:t>1.  Nul ne peut être condamné pour une action ou une omission qui, au moment où elle a été commise, ne constituait pas une infraction d</w:t>
      </w:r>
      <w:r w:rsidR="00062221">
        <w:t>’</w:t>
      </w:r>
      <w:r w:rsidRPr="00EB3D2F" w:rsidR="009838B1">
        <w:t>après le droit national ou international. De même il n</w:t>
      </w:r>
      <w:r w:rsidR="00062221">
        <w:t>’</w:t>
      </w:r>
      <w:r w:rsidRPr="00EB3D2F" w:rsidR="009838B1">
        <w:t>est infligé aucune peine plus forte que celle qui était applicable au moment où l</w:t>
      </w:r>
      <w:r w:rsidR="00062221">
        <w:t>’</w:t>
      </w:r>
      <w:r w:rsidRPr="00EB3D2F" w:rsidR="009838B1">
        <w:t>infraction a été commise.</w:t>
      </w:r>
    </w:p>
    <w:p w:rsidRPr="00EB3D2F" w:rsidR="009838B1" w:rsidP="00EB3D2F" w:rsidRDefault="009838B1">
      <w:pPr>
        <w:pStyle w:val="JuQuot"/>
      </w:pPr>
      <w:r w:rsidRPr="00EB3D2F">
        <w:t xml:space="preserve">2.  Le présent </w:t>
      </w:r>
      <w:r w:rsidR="007B1923">
        <w:t xml:space="preserve">article </w:t>
      </w:r>
      <w:r w:rsidRPr="00EB3D2F">
        <w:t xml:space="preserve">ne portera pas atteinte au jugement et </w:t>
      </w:r>
      <w:r w:rsidRPr="00EB3D2F" w:rsidR="00F847FF">
        <w:t xml:space="preserve">à </w:t>
      </w:r>
      <w:r w:rsidRPr="00EB3D2F">
        <w:t>la punition d</w:t>
      </w:r>
      <w:r w:rsidR="00062221">
        <w:t>’</w:t>
      </w:r>
      <w:r w:rsidRPr="00EB3D2F">
        <w:t>une personne coupable d</w:t>
      </w:r>
      <w:r w:rsidR="00062221">
        <w:t>’</w:t>
      </w:r>
      <w:r w:rsidRPr="00EB3D2F">
        <w:t>une action ou d</w:t>
      </w:r>
      <w:r w:rsidR="00062221">
        <w:t>’</w:t>
      </w:r>
      <w:r w:rsidRPr="00EB3D2F">
        <w:t>une omission qui, au moment où elle a été commise, était criminelle d</w:t>
      </w:r>
      <w:r w:rsidR="00062221">
        <w:t>’</w:t>
      </w:r>
      <w:r w:rsidRPr="00EB3D2F">
        <w:t>après les principes généraux de droit reconnus par les nations civilisées.</w:t>
      </w:r>
      <w:r w:rsidR="006A4DF1">
        <w:t> »</w:t>
      </w:r>
    </w:p>
    <w:p w:rsidRPr="00EB3D2F" w:rsidR="00E77CB3" w:rsidP="00EB3D2F" w:rsidRDefault="00E77CB3">
      <w:pPr>
        <w:pStyle w:val="JuHA"/>
        <w:rPr>
          <w:lang w:val="fr-FR"/>
        </w:rPr>
      </w:pPr>
      <w:r w:rsidRPr="00EB3D2F">
        <w:rPr>
          <w:lang w:val="fr-FR"/>
        </w:rPr>
        <w:t>Sur la recevabilité</w:t>
      </w:r>
    </w:p>
    <w:p w:rsidRPr="00EB3D2F" w:rsidR="00553E3F"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26</w:t>
      </w:r>
      <w:r w:rsidRPr="00EB3D2F">
        <w:fldChar w:fldCharType="end"/>
      </w:r>
      <w:r w:rsidRPr="00EB3D2F" w:rsidR="00E77CB3">
        <w:t>.  </w:t>
      </w:r>
      <w:r w:rsidRPr="00EB3D2F" w:rsidR="00553E3F">
        <w:t>Constatant que ce grief n</w:t>
      </w:r>
      <w:r w:rsidR="00062221">
        <w:t>’</w:t>
      </w:r>
      <w:r w:rsidRPr="00EB3D2F" w:rsidR="00553E3F">
        <w:t>est pas manifestement mal fondé au sens de l</w:t>
      </w:r>
      <w:r w:rsidR="00062221">
        <w:t>’</w:t>
      </w:r>
      <w:r w:rsidR="00565C93">
        <w:t>article </w:t>
      </w:r>
      <w:r w:rsidRPr="00EB3D2F" w:rsidR="00553E3F">
        <w:t xml:space="preserve">35 </w:t>
      </w:r>
      <w:r w:rsidR="00565C93">
        <w:t>§ </w:t>
      </w:r>
      <w:r w:rsidRPr="00EB3D2F" w:rsidR="00553E3F">
        <w:t>3 a) de la Convention et qu</w:t>
      </w:r>
      <w:r w:rsidR="00062221">
        <w:t>’</w:t>
      </w:r>
      <w:r w:rsidRPr="00EB3D2F" w:rsidR="006A4B6F">
        <w:t xml:space="preserve">il ne se heurte par ailleurs </w:t>
      </w:r>
      <w:r w:rsidRPr="00EB3D2F" w:rsidR="00F847FF">
        <w:t xml:space="preserve">à </w:t>
      </w:r>
      <w:r w:rsidRPr="00EB3D2F" w:rsidR="00553E3F">
        <w:t>aucun autre motif d</w:t>
      </w:r>
      <w:r w:rsidR="00062221">
        <w:t>’</w:t>
      </w:r>
      <w:r w:rsidRPr="00EB3D2F" w:rsidR="00553E3F">
        <w:t>irrecevabilité, la Cour le déclare recevable.</w:t>
      </w:r>
    </w:p>
    <w:p w:rsidRPr="00EB3D2F" w:rsidR="00E77CB3" w:rsidP="00EB3D2F" w:rsidRDefault="00E77CB3">
      <w:pPr>
        <w:pStyle w:val="JuHA"/>
        <w:rPr>
          <w:lang w:val="fr-FR"/>
        </w:rPr>
      </w:pPr>
      <w:r w:rsidRPr="00EB3D2F">
        <w:rPr>
          <w:lang w:val="fr-FR"/>
        </w:rPr>
        <w:t>Sur le fond</w:t>
      </w:r>
    </w:p>
    <w:p w:rsidRPr="00EB3D2F" w:rsidR="00601DA2" w:rsidP="00EB3D2F" w:rsidRDefault="005956FB">
      <w:pPr>
        <w:pStyle w:val="JuH1"/>
        <w:rPr>
          <w:lang w:val="fr-FR"/>
        </w:rPr>
      </w:pPr>
      <w:r w:rsidRPr="00EB3D2F">
        <w:rPr>
          <w:lang w:val="fr-FR"/>
        </w:rPr>
        <w:t>Observations</w:t>
      </w:r>
      <w:r w:rsidRPr="00EB3D2F" w:rsidR="00601DA2">
        <w:rPr>
          <w:lang w:val="fr-FR"/>
        </w:rPr>
        <w:t xml:space="preserve"> des parties</w:t>
      </w:r>
    </w:p>
    <w:p w:rsidRPr="00EB3D2F" w:rsidR="00601DA2" w:rsidP="00EB3D2F" w:rsidRDefault="00601DA2">
      <w:pPr>
        <w:pStyle w:val="JuHa0"/>
        <w:rPr>
          <w:lang w:val="fr-FR"/>
        </w:rPr>
      </w:pPr>
      <w:r w:rsidRPr="00EB3D2F">
        <w:rPr>
          <w:lang w:val="fr-FR"/>
        </w:rPr>
        <w:t>Les requérants</w:t>
      </w:r>
    </w:p>
    <w:p w:rsidRPr="00EB3D2F" w:rsidR="00340372" w:rsidP="00EB3D2F" w:rsidRDefault="00601DA2">
      <w:pPr>
        <w:pStyle w:val="JuPara"/>
      </w:pPr>
      <w:r w:rsidRPr="00EB3D2F">
        <w:fldChar w:fldCharType="begin"/>
      </w:r>
      <w:r w:rsidRPr="00EB3D2F">
        <w:instrText xml:space="preserve"> SEQ level0 \*arabic </w:instrText>
      </w:r>
      <w:r w:rsidRPr="00EB3D2F">
        <w:fldChar w:fldCharType="separate"/>
      </w:r>
      <w:r w:rsidRPr="00EB3D2F" w:rsidR="00EB3D2F">
        <w:rPr>
          <w:noProof/>
        </w:rPr>
        <w:t>27</w:t>
      </w:r>
      <w:r w:rsidRPr="00EB3D2F">
        <w:fldChar w:fldCharType="end"/>
      </w:r>
      <w:r w:rsidRPr="00EB3D2F">
        <w:t>.  Les requérants rappellent qu</w:t>
      </w:r>
      <w:r w:rsidR="00062221">
        <w:t>’</w:t>
      </w:r>
      <w:r w:rsidRPr="00EB3D2F">
        <w:t xml:space="preserve">ils ont </w:t>
      </w:r>
      <w:r w:rsidRPr="00EB3D2F" w:rsidR="006A4B6F">
        <w:t xml:space="preserve">été condamnés pour incitation </w:t>
      </w:r>
      <w:r w:rsidRPr="00EB3D2F" w:rsidR="00F847FF">
        <w:t xml:space="preserve">à </w:t>
      </w:r>
      <w:r w:rsidRPr="00EB3D2F">
        <w:t xml:space="preserve">la </w:t>
      </w:r>
      <w:r w:rsidR="006A4DF1">
        <w:t>« </w:t>
      </w:r>
      <w:r w:rsidRPr="00EB3D2F">
        <w:t>discrimination économique</w:t>
      </w:r>
      <w:r w:rsidR="006A4DF1">
        <w:t> »</w:t>
      </w:r>
      <w:r w:rsidRPr="00EB3D2F">
        <w:t xml:space="preserve"> sur le fondement de l</w:t>
      </w:r>
      <w:r w:rsidR="00062221">
        <w:t>’</w:t>
      </w:r>
      <w:r w:rsidR="00565C93">
        <w:t>article </w:t>
      </w:r>
      <w:r w:rsidRPr="00EB3D2F">
        <w:t>24</w:t>
      </w:r>
      <w:r w:rsidRPr="00EB3D2F" w:rsidR="0092054D">
        <w:t>,</w:t>
      </w:r>
      <w:r w:rsidRPr="00EB3D2F">
        <w:t xml:space="preserve"> </w:t>
      </w:r>
      <w:r w:rsidR="00F92E77">
        <w:t>alinéa </w:t>
      </w:r>
      <w:r w:rsidRPr="00EB3D2F">
        <w:t>8</w:t>
      </w:r>
      <w:r w:rsidRPr="00EB3D2F" w:rsidR="0092054D">
        <w:t>,</w:t>
      </w:r>
      <w:r w:rsidRPr="00EB3D2F">
        <w:t xml:space="preserve"> de la loi sur la liberté de la presse, qui réprime le fait de provoquer </w:t>
      </w:r>
      <w:r w:rsidRPr="00EB3D2F" w:rsidR="00F847FF">
        <w:t xml:space="preserve">à </w:t>
      </w:r>
      <w:r w:rsidRPr="00EB3D2F">
        <w:t xml:space="preserve">la discrimination, </w:t>
      </w:r>
      <w:r w:rsidRPr="00EB3D2F" w:rsidR="00F847FF">
        <w:t xml:space="preserve">à </w:t>
      </w:r>
      <w:r w:rsidRPr="00EB3D2F">
        <w:t xml:space="preserve">la haine ou </w:t>
      </w:r>
      <w:r w:rsidRPr="00EB3D2F" w:rsidR="00F847FF">
        <w:t xml:space="preserve">à </w:t>
      </w:r>
      <w:r w:rsidRPr="00EB3D2F">
        <w:t xml:space="preserve">la violence </w:t>
      </w:r>
      <w:r w:rsidRPr="00EB3D2F" w:rsidR="00F847FF">
        <w:t xml:space="preserve">à </w:t>
      </w:r>
      <w:r w:rsidRPr="00EB3D2F">
        <w:t>l</w:t>
      </w:r>
      <w:r w:rsidR="00062221">
        <w:t>’</w:t>
      </w:r>
      <w:r w:rsidRPr="00EB3D2F">
        <w:t>égard d</w:t>
      </w:r>
      <w:r w:rsidR="00062221">
        <w:t>’</w:t>
      </w:r>
      <w:r w:rsidRPr="00EB3D2F">
        <w:t>une personne ou d</w:t>
      </w:r>
      <w:r w:rsidR="00062221">
        <w:t>’</w:t>
      </w:r>
      <w:r w:rsidRPr="00EB3D2F">
        <w:t xml:space="preserve">un groupe de personnes </w:t>
      </w:r>
      <w:r w:rsidRPr="00EB3D2F" w:rsidR="00F847FF">
        <w:t xml:space="preserve">à </w:t>
      </w:r>
      <w:r w:rsidRPr="00EB3D2F">
        <w:t xml:space="preserve">raison de leur origine ou de leur appartenance ou de leur non-appartenance </w:t>
      </w:r>
      <w:r w:rsidRPr="00EB3D2F" w:rsidR="00F847FF">
        <w:t xml:space="preserve">à </w:t>
      </w:r>
      <w:r w:rsidRPr="00EB3D2F">
        <w:t>une ethnie, une nation, une race ou une religion déterminée, et qui ne vise donc pas la discrimination économique, celle-ci étant prévue par une autre disposition (l</w:t>
      </w:r>
      <w:r w:rsidR="00062221">
        <w:t>’</w:t>
      </w:r>
      <w:r w:rsidR="00F92E77">
        <w:t>alinéa </w:t>
      </w:r>
      <w:r w:rsidRPr="00EB3D2F">
        <w:t>9 de cet article) adoptée en 2004. Ils soulignent que, dans le cadre des travaux législatif</w:t>
      </w:r>
      <w:r w:rsidRPr="00EB3D2F" w:rsidR="00D72FC4">
        <w:t>s</w:t>
      </w:r>
      <w:r w:rsidRPr="00EB3D2F" w:rsidR="00502193">
        <w:t xml:space="preserve">, </w:t>
      </w:r>
      <w:r w:rsidR="00A54A38">
        <w:t>M. </w:t>
      </w:r>
      <w:r w:rsidRPr="00EB3D2F" w:rsidR="00502193">
        <w:t>Pascal</w:t>
      </w:r>
      <w:r w:rsidR="007B1923">
        <w:t xml:space="preserve"> </w:t>
      </w:r>
      <w:r w:rsidRPr="00EB3D2F">
        <w:t xml:space="preserve">Clément, président de la </w:t>
      </w:r>
      <w:r w:rsidR="007B1923">
        <w:t>C</w:t>
      </w:r>
      <w:r w:rsidRPr="00EB3D2F">
        <w:t>ommission des lois constitutionnelles, de la législation et de l</w:t>
      </w:r>
      <w:r w:rsidR="00062221">
        <w:t>’</w:t>
      </w:r>
      <w:r w:rsidRPr="00EB3D2F">
        <w:t>administration générale de la République, devenu ultérieurement garde des Sceaux, a déclaré devant l</w:t>
      </w:r>
      <w:r w:rsidR="00062221">
        <w:t>’</w:t>
      </w:r>
      <w:r w:rsidRPr="00EB3D2F">
        <w:t>Assemblée nationale</w:t>
      </w:r>
      <w:r w:rsidRPr="00EB3D2F" w:rsidR="00340372">
        <w:t xml:space="preserve"> </w:t>
      </w:r>
      <w:r w:rsidRPr="00EB3D2F">
        <w:t xml:space="preserve">que la loi de 2004 visait </w:t>
      </w:r>
      <w:r w:rsidRPr="00EB3D2F" w:rsidR="00F847FF">
        <w:t xml:space="preserve">à </w:t>
      </w:r>
      <w:r w:rsidRPr="00EB3D2F">
        <w:t xml:space="preserve">sanctionner les provocations prévues </w:t>
      </w:r>
      <w:r w:rsidRPr="00EB3D2F" w:rsidR="00F847FF">
        <w:t xml:space="preserve">à </w:t>
      </w:r>
      <w:r w:rsidRPr="00EB3D2F">
        <w:t>l</w:t>
      </w:r>
      <w:r w:rsidR="00062221">
        <w:t>’</w:t>
      </w:r>
      <w:r w:rsidR="00F92E77">
        <w:t>alinéa </w:t>
      </w:r>
      <w:r w:rsidRPr="00EB3D2F">
        <w:t>8 de l</w:t>
      </w:r>
      <w:r w:rsidR="00062221">
        <w:t>’</w:t>
      </w:r>
      <w:r w:rsidR="00565C93">
        <w:t>article </w:t>
      </w:r>
      <w:r w:rsidRPr="00EB3D2F">
        <w:t>24</w:t>
      </w:r>
      <w:r w:rsidRPr="00EB3D2F" w:rsidR="00F303AD">
        <w:t xml:space="preserve"> de</w:t>
      </w:r>
      <w:r w:rsidRPr="00EB3D2F">
        <w:t xml:space="preserve"> la loi sur la liberté de </w:t>
      </w:r>
      <w:r w:rsidR="00123E89">
        <w:t xml:space="preserve">la </w:t>
      </w:r>
      <w:r w:rsidRPr="00EB3D2F">
        <w:t xml:space="preserve">presse </w:t>
      </w:r>
      <w:r w:rsidRPr="00EB3D2F" w:rsidR="00F847FF">
        <w:t xml:space="preserve">à </w:t>
      </w:r>
      <w:r w:rsidRPr="00EB3D2F">
        <w:t>l</w:t>
      </w:r>
      <w:r w:rsidR="00062221">
        <w:t>’</w:t>
      </w:r>
      <w:r w:rsidRPr="00EB3D2F">
        <w:t>égard de nouvelles catégories de personnes, victimes de discrimination économique, ajoutant que cette précision n</w:t>
      </w:r>
      <w:r w:rsidR="00062221">
        <w:t>’</w:t>
      </w:r>
      <w:r w:rsidRPr="00EB3D2F">
        <w:t>existait pas dans le cas de l</w:t>
      </w:r>
      <w:r w:rsidR="00062221">
        <w:t>’</w:t>
      </w:r>
      <w:r w:rsidRPr="00EB3D2F">
        <w:t xml:space="preserve">incitation </w:t>
      </w:r>
      <w:r w:rsidRPr="00EB3D2F" w:rsidR="00F847FF">
        <w:t xml:space="preserve">à </w:t>
      </w:r>
      <w:r w:rsidRPr="00EB3D2F">
        <w:t xml:space="preserve">la discrimination </w:t>
      </w:r>
      <w:r w:rsidRPr="00EB3D2F" w:rsidR="00F847FF">
        <w:t xml:space="preserve">à </w:t>
      </w:r>
      <w:r w:rsidRPr="00EB3D2F">
        <w:t>caractère racial, religieux ou ethnique.</w:t>
      </w:r>
    </w:p>
    <w:p w:rsidRPr="00EB3D2F" w:rsidR="00340372" w:rsidP="00EB3D2F" w:rsidRDefault="00601DA2">
      <w:pPr>
        <w:pStyle w:val="JuPara"/>
      </w:pPr>
      <w:r w:rsidRPr="00EB3D2F">
        <w:fldChar w:fldCharType="begin"/>
      </w:r>
      <w:r w:rsidRPr="00EB3D2F">
        <w:instrText xml:space="preserve"> SEQ level0 \*arabic </w:instrText>
      </w:r>
      <w:r w:rsidRPr="00EB3D2F">
        <w:fldChar w:fldCharType="separate"/>
      </w:r>
      <w:r w:rsidRPr="00EB3D2F" w:rsidR="00EB3D2F">
        <w:rPr>
          <w:noProof/>
        </w:rPr>
        <w:t>28</w:t>
      </w:r>
      <w:r w:rsidRPr="00EB3D2F">
        <w:fldChar w:fldCharType="end"/>
      </w:r>
      <w:r w:rsidRPr="00EB3D2F">
        <w:t>.  Ils considèrent par ailleurs que c</w:t>
      </w:r>
      <w:r w:rsidR="00062221">
        <w:t>’</w:t>
      </w:r>
      <w:r w:rsidRPr="00EB3D2F">
        <w:t>est au prix d</w:t>
      </w:r>
      <w:r w:rsidR="00062221">
        <w:t>’</w:t>
      </w:r>
      <w:r w:rsidRPr="00EB3D2F">
        <w:t>une dénaturation des faits qu</w:t>
      </w:r>
      <w:r w:rsidR="00062221">
        <w:t>’</w:t>
      </w:r>
      <w:r w:rsidRPr="00EB3D2F">
        <w:t>ils ont été ainsi condamnés puisqu</w:t>
      </w:r>
      <w:r w:rsidR="00062221">
        <w:t>’</w:t>
      </w:r>
      <w:r w:rsidRPr="00EB3D2F">
        <w:t xml:space="preserve">ils se bornaient </w:t>
      </w:r>
      <w:r w:rsidRPr="00EB3D2F" w:rsidR="00F847FF">
        <w:t xml:space="preserve">à </w:t>
      </w:r>
      <w:r w:rsidRPr="00EB3D2F">
        <w:t>exprimer une critique de l</w:t>
      </w:r>
      <w:r w:rsidR="00062221">
        <w:t>’</w:t>
      </w:r>
      <w:r w:rsidRPr="00EB3D2F">
        <w:t>État – dont l</w:t>
      </w:r>
      <w:r w:rsidR="00062221">
        <w:t>’</w:t>
      </w:r>
      <w:r w:rsidRPr="00EB3D2F">
        <w:t xml:space="preserve">appel </w:t>
      </w:r>
      <w:r w:rsidRPr="00EB3D2F" w:rsidR="00F847FF">
        <w:t xml:space="preserve">à </w:t>
      </w:r>
      <w:r w:rsidRPr="00EB3D2F">
        <w:t>boycott n</w:t>
      </w:r>
      <w:r w:rsidR="00062221">
        <w:t>’</w:t>
      </w:r>
      <w:r w:rsidRPr="00EB3D2F">
        <w:t>était que le moyen –, ce qui n</w:t>
      </w:r>
      <w:r w:rsidR="00062221">
        <w:t>’</w:t>
      </w:r>
      <w:r w:rsidRPr="00EB3D2F">
        <w:t>est pas punissable en droit français, la loi sur la liberté de la presse ne protégeant que les personnes.</w:t>
      </w:r>
    </w:p>
    <w:p w:rsidRPr="00EB3D2F" w:rsidR="00340372" w:rsidP="00EB3D2F" w:rsidRDefault="00601DA2">
      <w:pPr>
        <w:pStyle w:val="JuPara"/>
      </w:pPr>
      <w:r w:rsidRPr="00EB3D2F">
        <w:fldChar w:fldCharType="begin"/>
      </w:r>
      <w:r w:rsidRPr="00EB3D2F">
        <w:instrText xml:space="preserve"> SEQ level0 \*arabic </w:instrText>
      </w:r>
      <w:r w:rsidRPr="00EB3D2F">
        <w:fldChar w:fldCharType="separate"/>
      </w:r>
      <w:r w:rsidRPr="00EB3D2F" w:rsidR="00EB3D2F">
        <w:rPr>
          <w:noProof/>
        </w:rPr>
        <w:t>29</w:t>
      </w:r>
      <w:r w:rsidRPr="00EB3D2F">
        <w:fldChar w:fldCharType="end"/>
      </w:r>
      <w:r w:rsidRPr="00EB3D2F">
        <w:t>.  Ils soulignent aussi que le</w:t>
      </w:r>
      <w:r w:rsidRPr="00EB3D2F" w:rsidR="009324A8">
        <w:t xml:space="preserve"> caractère général des termes </w:t>
      </w:r>
      <w:r w:rsidR="006A4DF1">
        <w:t>« </w:t>
      </w:r>
      <w:r w:rsidRPr="00EB3D2F">
        <w:t xml:space="preserve">provocation </w:t>
      </w:r>
      <w:r w:rsidRPr="00EB3D2F" w:rsidR="00F847FF">
        <w:t xml:space="preserve">à </w:t>
      </w:r>
      <w:r w:rsidRPr="00EB3D2F">
        <w:t>la discriminatio</w:t>
      </w:r>
      <w:r w:rsidRPr="00EB3D2F" w:rsidR="009324A8">
        <w:t>n</w:t>
      </w:r>
      <w:r w:rsidR="006A4DF1">
        <w:t> »</w:t>
      </w:r>
      <w:r w:rsidRPr="00EB3D2F">
        <w:t xml:space="preserve"> contenu dans cette disposition est contraire </w:t>
      </w:r>
      <w:r w:rsidRPr="00EB3D2F" w:rsidR="00F847FF">
        <w:t xml:space="preserve">à </w:t>
      </w:r>
      <w:r w:rsidRPr="00EB3D2F">
        <w:t>l</w:t>
      </w:r>
      <w:r w:rsidR="00062221">
        <w:t>’</w:t>
      </w:r>
      <w:r w:rsidR="00565C93">
        <w:t>article </w:t>
      </w:r>
      <w:r w:rsidRPr="00EB3D2F">
        <w:t>7 dès lors qu</w:t>
      </w:r>
      <w:r w:rsidR="00062221">
        <w:t>’</w:t>
      </w:r>
      <w:r w:rsidRPr="00EB3D2F">
        <w:t>il s</w:t>
      </w:r>
      <w:r w:rsidR="00062221">
        <w:t>’</w:t>
      </w:r>
      <w:r w:rsidRPr="00EB3D2F">
        <w:t>agit d</w:t>
      </w:r>
      <w:r w:rsidR="00062221">
        <w:t>’</w:t>
      </w:r>
      <w:r w:rsidRPr="00EB3D2F">
        <w:t xml:space="preserve">un terme large appliqué </w:t>
      </w:r>
      <w:r w:rsidRPr="00EB3D2F" w:rsidR="00F847FF">
        <w:t xml:space="preserve">à </w:t>
      </w:r>
      <w:r w:rsidRPr="00EB3D2F">
        <w:t xml:space="preserve">un concept – la discrimination – ambivalent. Ils reprochent de plus </w:t>
      </w:r>
      <w:r w:rsidRPr="00EB3D2F" w:rsidR="00F847FF">
        <w:t xml:space="preserve">à </w:t>
      </w:r>
      <w:r w:rsidRPr="00EB3D2F">
        <w:t>la cour d</w:t>
      </w:r>
      <w:r w:rsidR="00062221">
        <w:t>’</w:t>
      </w:r>
      <w:r w:rsidRPr="00EB3D2F">
        <w:t xml:space="preserve">appel et </w:t>
      </w:r>
      <w:r w:rsidRPr="00EB3D2F" w:rsidR="00F847FF">
        <w:t xml:space="preserve">à </w:t>
      </w:r>
      <w:r w:rsidRPr="00EB3D2F">
        <w:t>la Cour de cassation d</w:t>
      </w:r>
      <w:r w:rsidR="00062221">
        <w:t>’</w:t>
      </w:r>
      <w:r w:rsidRPr="00EB3D2F">
        <w:t>avoir retenu qu</w:t>
      </w:r>
      <w:r w:rsidR="00062221">
        <w:t>’</w:t>
      </w:r>
      <w:r w:rsidRPr="00EB3D2F">
        <w:t xml:space="preserve">en provoquant </w:t>
      </w:r>
      <w:r w:rsidRPr="00EB3D2F" w:rsidR="00F847FF">
        <w:t xml:space="preserve">à </w:t>
      </w:r>
      <w:r w:rsidRPr="00EB3D2F">
        <w:t>discriminer les produits venant d</w:t>
      </w:r>
      <w:r w:rsidR="00062221">
        <w:t>’</w:t>
      </w:r>
      <w:r w:rsidRPr="00EB3D2F">
        <w:t xml:space="preserve">Israël, ils avaient incité les clients du commerce en question </w:t>
      </w:r>
      <w:r w:rsidRPr="00EB3D2F" w:rsidR="00F847FF">
        <w:t xml:space="preserve">à </w:t>
      </w:r>
      <w:r w:rsidRPr="00EB3D2F">
        <w:t>ne pas acheter ces marchandises en raison de l</w:t>
      </w:r>
      <w:r w:rsidR="00062221">
        <w:t>’</w:t>
      </w:r>
      <w:r w:rsidRPr="00EB3D2F">
        <w:t>origine des producteurs ou fournisseu</w:t>
      </w:r>
      <w:r w:rsidRPr="00EB3D2F" w:rsidR="009324A8">
        <w:t xml:space="preserve">rs, lesquels constituaient un </w:t>
      </w:r>
      <w:r w:rsidR="006A4DF1">
        <w:t>« </w:t>
      </w:r>
      <w:r w:rsidRPr="00EB3D2F">
        <w:t xml:space="preserve">groupe de personnes appartenant </w:t>
      </w:r>
      <w:r w:rsidRPr="00EB3D2F" w:rsidR="00F847FF">
        <w:t xml:space="preserve">à </w:t>
      </w:r>
      <w:r w:rsidRPr="00EB3D2F">
        <w:t>une nation déterminée</w:t>
      </w:r>
      <w:r w:rsidR="006A4DF1">
        <w:t> »</w:t>
      </w:r>
      <w:r w:rsidRPr="00EB3D2F">
        <w:t>. Ce faisant</w:t>
      </w:r>
      <w:r w:rsidRPr="00EB3D2F" w:rsidR="009324A8">
        <w:t xml:space="preserve">, elles auraient institué les </w:t>
      </w:r>
      <w:r w:rsidR="006A4DF1">
        <w:t>« </w:t>
      </w:r>
      <w:r w:rsidRPr="00EB3D2F" w:rsidR="009324A8">
        <w:t>producteurs israéliens</w:t>
      </w:r>
      <w:r w:rsidR="006A4DF1">
        <w:t> »</w:t>
      </w:r>
      <w:r w:rsidRPr="00EB3D2F">
        <w:t xml:space="preserve"> comme le groupe de personnes victime de la discrimination </w:t>
      </w:r>
      <w:r w:rsidRPr="00EB3D2F" w:rsidR="0088773F">
        <w:t>en</w:t>
      </w:r>
      <w:r w:rsidRPr="00EB3D2F">
        <w:t xml:space="preserve"> raison de son appartenance </w:t>
      </w:r>
      <w:r w:rsidRPr="00EB3D2F" w:rsidR="00F847FF">
        <w:t xml:space="preserve">à </w:t>
      </w:r>
      <w:r w:rsidRPr="00EB3D2F">
        <w:t xml:space="preserve">la nation israélienne, en contradiction avec la jurisprudence de la Cour de cassation (ils se réfèrent </w:t>
      </w:r>
      <w:r w:rsidRPr="00EB3D2F" w:rsidR="00F847FF">
        <w:t xml:space="preserve">à </w:t>
      </w:r>
      <w:r w:rsidRPr="00EB3D2F">
        <w:t>des arrêts de la chambre criminelle des 3</w:t>
      </w:r>
      <w:r w:rsidR="00565C93">
        <w:t> février</w:t>
      </w:r>
      <w:r w:rsidRPr="00EB3D2F">
        <w:t xml:space="preserve"> 2009 et 1</w:t>
      </w:r>
      <w:r w:rsidRPr="00EB3D2F">
        <w:rPr>
          <w:vertAlign w:val="superscript"/>
        </w:rPr>
        <w:t>er</w:t>
      </w:r>
      <w:r w:rsidR="00565C93">
        <w:t xml:space="preserve"> mars </w:t>
      </w:r>
      <w:r w:rsidRPr="00EB3D2F">
        <w:t>2011).</w:t>
      </w:r>
    </w:p>
    <w:p w:rsidRPr="00EB3D2F" w:rsidR="00601DA2" w:rsidP="00EB3D2F" w:rsidRDefault="00601DA2">
      <w:pPr>
        <w:pStyle w:val="JuPara"/>
      </w:pPr>
      <w:r w:rsidRPr="00EB3D2F">
        <w:fldChar w:fldCharType="begin"/>
      </w:r>
      <w:r w:rsidRPr="00EB3D2F">
        <w:instrText xml:space="preserve"> SEQ level0 \*arabic </w:instrText>
      </w:r>
      <w:r w:rsidRPr="00EB3D2F">
        <w:fldChar w:fldCharType="separate"/>
      </w:r>
      <w:r w:rsidRPr="00EB3D2F" w:rsidR="00EB3D2F">
        <w:rPr>
          <w:noProof/>
        </w:rPr>
        <w:t>30</w:t>
      </w:r>
      <w:r w:rsidRPr="00EB3D2F">
        <w:fldChar w:fldCharType="end"/>
      </w:r>
      <w:r w:rsidRPr="00EB3D2F">
        <w:t>.  Ils constatent que de nombreuses juridictions internes ont refusé de faire application de l</w:t>
      </w:r>
      <w:r w:rsidR="00062221">
        <w:t>’</w:t>
      </w:r>
      <w:r w:rsidR="00565C93">
        <w:t>article </w:t>
      </w:r>
      <w:r w:rsidRPr="00EB3D2F">
        <w:t>24</w:t>
      </w:r>
      <w:r w:rsidRPr="00EB3D2F" w:rsidR="0092054D">
        <w:t>,</w:t>
      </w:r>
      <w:r w:rsidRPr="00EB3D2F">
        <w:t xml:space="preserve"> </w:t>
      </w:r>
      <w:r w:rsidR="00F92E77">
        <w:t>alinéa </w:t>
      </w:r>
      <w:r w:rsidRPr="00EB3D2F">
        <w:t>8</w:t>
      </w:r>
      <w:r w:rsidRPr="00EB3D2F" w:rsidR="0092054D">
        <w:t>,</w:t>
      </w:r>
      <w:r w:rsidRPr="00EB3D2F">
        <w:t xml:space="preserve"> de la lo</w:t>
      </w:r>
      <w:r w:rsidRPr="00EB3D2F" w:rsidR="006A4B6F">
        <w:t xml:space="preserve">i sur la liberté de la presse </w:t>
      </w:r>
      <w:r w:rsidRPr="00EB3D2F" w:rsidR="00F847FF">
        <w:t xml:space="preserve">à </w:t>
      </w:r>
      <w:r w:rsidRPr="00EB3D2F">
        <w:t>des circonstances telles que celles de leur cause et que la doctrine a</w:t>
      </w:r>
      <w:r w:rsidRPr="00EB3D2F" w:rsidR="009324A8">
        <w:t xml:space="preserve"> </w:t>
      </w:r>
      <w:r w:rsidRPr="00EB3D2F">
        <w:t>fortement critiqué les décisions rendues dans leur cas. Ils observent aussi que le droit pénal français ne sanctionne pas l</w:t>
      </w:r>
      <w:r w:rsidR="00062221">
        <w:t>’</w:t>
      </w:r>
      <w:r w:rsidRPr="00EB3D2F">
        <w:t xml:space="preserve">appel au boycott de produits, ce qui tiendrait </w:t>
      </w:r>
      <w:r w:rsidRPr="00EB3D2F" w:rsidR="00F847FF">
        <w:t xml:space="preserve">à </w:t>
      </w:r>
      <w:r w:rsidRPr="00EB3D2F">
        <w:t>deux facteurs. Il s</w:t>
      </w:r>
      <w:r w:rsidR="00062221">
        <w:t>’</w:t>
      </w:r>
      <w:r w:rsidRPr="00EB3D2F">
        <w:t>agit tout d</w:t>
      </w:r>
      <w:r w:rsidR="00062221">
        <w:t>’</w:t>
      </w:r>
      <w:r w:rsidRPr="00EB3D2F">
        <w:t>abord du fait qu</w:t>
      </w:r>
      <w:r w:rsidR="00062221">
        <w:t>’</w:t>
      </w:r>
      <w:r w:rsidRPr="00EB3D2F">
        <w:t>il s</w:t>
      </w:r>
      <w:r w:rsidR="00062221">
        <w:t>’</w:t>
      </w:r>
      <w:r w:rsidRPr="00EB3D2F">
        <w:t>inscrit dans une longue histoire de protestation ou de contestation civiques non violentes, destinée</w:t>
      </w:r>
      <w:r w:rsidRPr="00EB3D2F" w:rsidR="0055548C">
        <w:t>s</w:t>
      </w:r>
      <w:r w:rsidRPr="00EB3D2F">
        <w:t xml:space="preserve"> </w:t>
      </w:r>
      <w:r w:rsidRPr="00EB3D2F" w:rsidR="00F847FF">
        <w:t xml:space="preserve">à </w:t>
      </w:r>
      <w:r w:rsidRPr="00EB3D2F">
        <w:t>informer les consommateur</w:t>
      </w:r>
      <w:r w:rsidRPr="00EB3D2F" w:rsidR="00C33748">
        <w:t>s</w:t>
      </w:r>
      <w:r w:rsidRPr="00EB3D2F">
        <w:t xml:space="preserve"> sur le sens politique économique et éthique de leurs achats. Il s</w:t>
      </w:r>
      <w:r w:rsidR="00062221">
        <w:t>’</w:t>
      </w:r>
      <w:r w:rsidRPr="00EB3D2F">
        <w:t>agit ensuite de l</w:t>
      </w:r>
      <w:r w:rsidR="00062221">
        <w:t>’</w:t>
      </w:r>
      <w:r w:rsidRPr="00EB3D2F">
        <w:t>émergence des droits des consommateurs, dont celui d</w:t>
      </w:r>
      <w:r w:rsidR="00062221">
        <w:t>’</w:t>
      </w:r>
      <w:r w:rsidRPr="00EB3D2F">
        <w:t>être libre de choisir le produit qu</w:t>
      </w:r>
      <w:r w:rsidR="00062221">
        <w:t>’</w:t>
      </w:r>
      <w:r w:rsidRPr="00EB3D2F">
        <w:t>ils achètent en raison de motifs tirés de multiples considérations, y compris très intimes</w:t>
      </w:r>
      <w:r w:rsidRPr="00EB3D2F" w:rsidR="0055548C">
        <w:t>.</w:t>
      </w:r>
      <w:r w:rsidRPr="00EB3D2F">
        <w:t xml:space="preserve"> </w:t>
      </w:r>
      <w:r w:rsidRPr="00EB3D2F" w:rsidR="0055548C">
        <w:t>L</w:t>
      </w:r>
      <w:r w:rsidRPr="00EB3D2F">
        <w:t>es requérants notent que les parlementaires ont retenu dans le contexte de l</w:t>
      </w:r>
      <w:r w:rsidR="00062221">
        <w:t>’</w:t>
      </w:r>
      <w:r w:rsidRPr="00EB3D2F">
        <w:t>examen du rôle des compagnies pétrolières sur l</w:t>
      </w:r>
      <w:r w:rsidR="00062221">
        <w:t>’</w:t>
      </w:r>
      <w:r w:rsidRPr="00EB3D2F">
        <w:t xml:space="preserve">environnement que </w:t>
      </w:r>
      <w:r w:rsidR="006A4DF1">
        <w:t>« </w:t>
      </w:r>
      <w:r w:rsidRPr="00EB3D2F">
        <w:t>l</w:t>
      </w:r>
      <w:r w:rsidR="00062221">
        <w:t>’</w:t>
      </w:r>
      <w:r w:rsidRPr="00EB3D2F">
        <w:t>appel au boycott comme arme ultime d</w:t>
      </w:r>
      <w:r w:rsidR="00062221">
        <w:t>’</w:t>
      </w:r>
      <w:r w:rsidRPr="00EB3D2F">
        <w:t>une consommation responsable doit être considéré comme licite dès lors qu</w:t>
      </w:r>
      <w:r w:rsidR="00062221">
        <w:t>’</w:t>
      </w:r>
      <w:r w:rsidRPr="00EB3D2F">
        <w:t>il est établi par des rapports crédibles d</w:t>
      </w:r>
      <w:r w:rsidR="00062221">
        <w:t>’</w:t>
      </w:r>
      <w:r w:rsidRPr="00EB3D2F">
        <w:t>organisations internationales et d</w:t>
      </w:r>
      <w:r w:rsidR="00062221">
        <w:t>’</w:t>
      </w:r>
      <w:r w:rsidRPr="00EB3D2F" w:rsidR="002B00D8">
        <w:t>organisations non gouvernementales</w:t>
      </w:r>
      <w:r w:rsidRPr="00EB3D2F">
        <w:t xml:space="preserve"> dignes de foi, qu</w:t>
      </w:r>
      <w:r w:rsidR="00062221">
        <w:t>’</w:t>
      </w:r>
      <w:r w:rsidRPr="00EB3D2F">
        <w:t>une multinationale viole délibérément et gravement la légalité internationale</w:t>
      </w:r>
      <w:r w:rsidR="006A4DF1">
        <w:t> »</w:t>
      </w:r>
      <w:r w:rsidRPr="00EB3D2F">
        <w:t xml:space="preserve"> (rapport d</w:t>
      </w:r>
      <w:r w:rsidR="00062221">
        <w:t>’</w:t>
      </w:r>
      <w:r w:rsidRPr="00EB3D2F">
        <w:t>information sur le rôle des compagnies pétrolières, AN n</w:t>
      </w:r>
      <w:r w:rsidRPr="00565C93" w:rsidR="00565C93">
        <w:rPr>
          <w:vertAlign w:val="superscript"/>
        </w:rPr>
        <w:t>o</w:t>
      </w:r>
      <w:r w:rsidRPr="00565C93" w:rsidR="00565C93">
        <w:t> </w:t>
      </w:r>
      <w:r w:rsidRPr="00EB3D2F">
        <w:t>1859, p.</w:t>
      </w:r>
      <w:r w:rsidR="00F6337D">
        <w:t> </w:t>
      </w:r>
      <w:r w:rsidRPr="00EB3D2F">
        <w:t>134). Or, en l</w:t>
      </w:r>
      <w:r w:rsidR="00062221">
        <w:t>’</w:t>
      </w:r>
      <w:r w:rsidRPr="00EB3D2F">
        <w:t>espèce, la violation délibérée et grave de la légalité internationale serait attestée non seulement par des rapports crédibles d</w:t>
      </w:r>
      <w:r w:rsidR="00062221">
        <w:t>’</w:t>
      </w:r>
      <w:r w:rsidRPr="00EB3D2F">
        <w:t>organisations internationale</w:t>
      </w:r>
      <w:r w:rsidRPr="00EB3D2F" w:rsidR="00A5117D">
        <w:t>s</w:t>
      </w:r>
      <w:r w:rsidRPr="00EB3D2F">
        <w:t xml:space="preserve"> et </w:t>
      </w:r>
      <w:r w:rsidRPr="00EB3D2F" w:rsidR="002B00D8">
        <w:t>d</w:t>
      </w:r>
      <w:r w:rsidR="00062221">
        <w:t>’</w:t>
      </w:r>
      <w:r w:rsidRPr="00EB3D2F" w:rsidR="002B00D8">
        <w:t>organisations non gouvernementales</w:t>
      </w:r>
      <w:r w:rsidRPr="00EB3D2F">
        <w:t xml:space="preserve"> dignes de foi, mais aussi par l</w:t>
      </w:r>
      <w:r w:rsidR="00062221">
        <w:t>’</w:t>
      </w:r>
      <w:r w:rsidRPr="00EB3D2F">
        <w:t xml:space="preserve">avis de la Cour internationale de </w:t>
      </w:r>
      <w:r w:rsidR="00456404">
        <w:t>j</w:t>
      </w:r>
      <w:r w:rsidRPr="00EB3D2F">
        <w:t xml:space="preserve">ustice relatif </w:t>
      </w:r>
      <w:r w:rsidRPr="00EB3D2F" w:rsidR="00F847FF">
        <w:t xml:space="preserve">à </w:t>
      </w:r>
      <w:r w:rsidRPr="00EB3D2F">
        <w:t>l</w:t>
      </w:r>
      <w:r w:rsidR="00062221">
        <w:t>’</w:t>
      </w:r>
      <w:r w:rsidRPr="00EB3D2F">
        <w:t>illégalité du mur de séparation israélien, ce qui rendrait incontestablement l</w:t>
      </w:r>
      <w:r w:rsidR="00062221">
        <w:t>’</w:t>
      </w:r>
      <w:r w:rsidRPr="00EB3D2F">
        <w:t>appel au boycott licite.</w:t>
      </w:r>
    </w:p>
    <w:p w:rsidRPr="00EB3D2F" w:rsidR="00601DA2" w:rsidP="00EB3D2F" w:rsidRDefault="00601DA2">
      <w:pPr>
        <w:pStyle w:val="JuHa0"/>
        <w:rPr>
          <w:lang w:val="fr-FR"/>
        </w:rPr>
      </w:pPr>
      <w:r w:rsidRPr="00EB3D2F">
        <w:rPr>
          <w:lang w:val="fr-FR"/>
        </w:rPr>
        <w:t>Le Gouvernement</w:t>
      </w:r>
    </w:p>
    <w:p w:rsidRPr="00EB3D2F" w:rsidR="00340372" w:rsidP="00EB3D2F" w:rsidRDefault="00601DA2">
      <w:pPr>
        <w:pStyle w:val="JuPara"/>
      </w:pPr>
      <w:r w:rsidRPr="00EB3D2F">
        <w:fldChar w:fldCharType="begin"/>
      </w:r>
      <w:r w:rsidRPr="00EB3D2F">
        <w:instrText xml:space="preserve"> SEQ level0 \*arabic </w:instrText>
      </w:r>
      <w:r w:rsidRPr="00EB3D2F">
        <w:fldChar w:fldCharType="separate"/>
      </w:r>
      <w:r w:rsidRPr="00EB3D2F" w:rsidR="00EB3D2F">
        <w:rPr>
          <w:noProof/>
        </w:rPr>
        <w:t>31</w:t>
      </w:r>
      <w:r w:rsidRPr="00EB3D2F">
        <w:fldChar w:fldCharType="end"/>
      </w:r>
      <w:r w:rsidRPr="00EB3D2F">
        <w:t xml:space="preserve">.  Le Gouvernement indique ne pas contester que la sanction prononcée </w:t>
      </w:r>
      <w:r w:rsidRPr="00EB3D2F" w:rsidR="00F847FF">
        <w:t xml:space="preserve">à </w:t>
      </w:r>
      <w:r w:rsidRPr="00EB3D2F">
        <w:t>l</w:t>
      </w:r>
      <w:r w:rsidR="00062221">
        <w:t>’</w:t>
      </w:r>
      <w:r w:rsidRPr="00EB3D2F">
        <w:t>encontre des requérants est une peine, au sens de l</w:t>
      </w:r>
      <w:r w:rsidR="00062221">
        <w:t>’</w:t>
      </w:r>
      <w:r w:rsidR="00565C93">
        <w:t>article </w:t>
      </w:r>
      <w:r w:rsidRPr="00EB3D2F">
        <w:t>7 de la Convention. Il estime cependant que la condamnation dont ils ont été l</w:t>
      </w:r>
      <w:r w:rsidR="00062221">
        <w:t>’</w:t>
      </w:r>
      <w:r w:rsidRPr="00EB3D2F">
        <w:t>objet répond aux exigences de cette disposition et que celle-ci n</w:t>
      </w:r>
      <w:r w:rsidR="00062221">
        <w:t>’</w:t>
      </w:r>
      <w:r w:rsidRPr="00EB3D2F">
        <w:t>a donc pas été violée.</w:t>
      </w:r>
    </w:p>
    <w:p w:rsidRPr="00EB3D2F" w:rsidR="00340372" w:rsidP="00EB3D2F" w:rsidRDefault="00601DA2">
      <w:pPr>
        <w:pStyle w:val="JuPara"/>
      </w:pPr>
      <w:r w:rsidRPr="00EB3D2F">
        <w:fldChar w:fldCharType="begin"/>
      </w:r>
      <w:r w:rsidRPr="00EB3D2F">
        <w:instrText xml:space="preserve"> SEQ level0 \*arabic </w:instrText>
      </w:r>
      <w:r w:rsidRPr="00EB3D2F">
        <w:fldChar w:fldCharType="separate"/>
      </w:r>
      <w:r w:rsidRPr="00EB3D2F" w:rsidR="00EB3D2F">
        <w:rPr>
          <w:noProof/>
        </w:rPr>
        <w:t>32</w:t>
      </w:r>
      <w:r w:rsidRPr="00EB3D2F">
        <w:fldChar w:fldCharType="end"/>
      </w:r>
      <w:r w:rsidRPr="00EB3D2F">
        <w:t xml:space="preserve">.  Il observe </w:t>
      </w:r>
      <w:r w:rsidRPr="00EB3D2F" w:rsidR="00F847FF">
        <w:t xml:space="preserve">à </w:t>
      </w:r>
      <w:r w:rsidRPr="00EB3D2F">
        <w:t xml:space="preserve">cet égard que la </w:t>
      </w:r>
      <w:r w:rsidR="006A4DF1">
        <w:t>« </w:t>
      </w:r>
      <w:r w:rsidRPr="00EB3D2F">
        <w:t>loi</w:t>
      </w:r>
      <w:r w:rsidR="006A4DF1">
        <w:t> »</w:t>
      </w:r>
      <w:r w:rsidRPr="00EB3D2F">
        <w:t xml:space="preserve"> sur laquelle repose cette condamnation était accessible puisqu</w:t>
      </w:r>
      <w:r w:rsidR="00062221">
        <w:t>’</w:t>
      </w:r>
      <w:r w:rsidRPr="00EB3D2F">
        <w:t>il s</w:t>
      </w:r>
      <w:r w:rsidR="00062221">
        <w:t>’</w:t>
      </w:r>
      <w:r w:rsidRPr="00EB3D2F">
        <w:t xml:space="preserve">agissait des </w:t>
      </w:r>
      <w:r w:rsidR="00565C93">
        <w:t>articles </w:t>
      </w:r>
      <w:r w:rsidRPr="00EB3D2F">
        <w:t>23 et 24 de la loi du 29</w:t>
      </w:r>
      <w:r w:rsidR="00565C93">
        <w:t> juillet</w:t>
      </w:r>
      <w:r w:rsidRPr="00EB3D2F">
        <w:t xml:space="preserve"> 1881 sur la liberté de la presse et d</w:t>
      </w:r>
      <w:r w:rsidR="00062221">
        <w:t>’</w:t>
      </w:r>
      <w:r w:rsidRPr="00EB3D2F">
        <w:t>une jurisprudence publiée. Il estime qu</w:t>
      </w:r>
      <w:r w:rsidR="00062221">
        <w:t>’</w:t>
      </w:r>
      <w:r w:rsidRPr="00EB3D2F">
        <w:t>elle était également prévisible. Le texte de l</w:t>
      </w:r>
      <w:r w:rsidR="00062221">
        <w:t>’</w:t>
      </w:r>
      <w:r w:rsidR="00565C93">
        <w:t>article </w:t>
      </w:r>
      <w:r w:rsidRPr="00EB3D2F">
        <w:t xml:space="preserve">24 de cette loi serait en effet clair et précis, et la généralité des termes </w:t>
      </w:r>
      <w:r w:rsidR="006A4DF1">
        <w:t>« </w:t>
      </w:r>
      <w:r w:rsidRPr="00EB3D2F">
        <w:t xml:space="preserve">provocation </w:t>
      </w:r>
      <w:r w:rsidRPr="00EB3D2F" w:rsidR="00F847FF">
        <w:t xml:space="preserve">à </w:t>
      </w:r>
      <w:r w:rsidRPr="00EB3D2F">
        <w:t>la discrimination</w:t>
      </w:r>
      <w:r w:rsidR="006A4DF1">
        <w:t> »</w:t>
      </w:r>
      <w:r w:rsidRPr="00EB3D2F">
        <w:t xml:space="preserve"> qu</w:t>
      </w:r>
      <w:r w:rsidR="00062221">
        <w:t>’</w:t>
      </w:r>
      <w:r w:rsidRPr="00EB3D2F">
        <w:t>il comprend serait l</w:t>
      </w:r>
      <w:r w:rsidR="00062221">
        <w:t>’</w:t>
      </w:r>
      <w:r w:rsidRPr="00EB3D2F">
        <w:t>expression de la volonté du législateur d</w:t>
      </w:r>
      <w:r w:rsidR="00062221">
        <w:t>’</w:t>
      </w:r>
      <w:r w:rsidRPr="00EB3D2F">
        <w:t xml:space="preserve">englober toutes les formes de discrimination, dont la discrimination économique. Se référant </w:t>
      </w:r>
      <w:r w:rsidRPr="00EB3D2F" w:rsidR="00F847FF">
        <w:t xml:space="preserve">à </w:t>
      </w:r>
      <w:r w:rsidRPr="00EB3D2F">
        <w:t>des arrêts de la chambre criminelle de la Cour de cassation des 28</w:t>
      </w:r>
      <w:r w:rsidR="00565C93">
        <w:t> septembre</w:t>
      </w:r>
      <w:r w:rsidRPr="00EB3D2F">
        <w:t xml:space="preserve"> 2004 (n</w:t>
      </w:r>
      <w:r w:rsidRPr="00565C93" w:rsidR="00565C93">
        <w:rPr>
          <w:vertAlign w:val="superscript"/>
        </w:rPr>
        <w:t>o</w:t>
      </w:r>
      <w:r w:rsidRPr="00565C93" w:rsidR="00565C93">
        <w:t> </w:t>
      </w:r>
      <w:r w:rsidRPr="00EB3D2F">
        <w:t>03-87.450</w:t>
      </w:r>
      <w:r w:rsidR="006A4DF1">
        <w:t> ;</w:t>
      </w:r>
      <w:r w:rsidRPr="00EB3D2F">
        <w:t xml:space="preserve"> rendu dans l</w:t>
      </w:r>
      <w:r w:rsidR="00062221">
        <w:t>’</w:t>
      </w:r>
      <w:r w:rsidRPr="00EB3D2F">
        <w:t xml:space="preserve">affaire </w:t>
      </w:r>
      <w:r w:rsidRPr="00EB3D2F">
        <w:rPr>
          <w:i/>
        </w:rPr>
        <w:t>Willem</w:t>
      </w:r>
      <w:r w:rsidR="00565C93">
        <w:rPr>
          <w:i/>
        </w:rPr>
        <w:t xml:space="preserve"> c. </w:t>
      </w:r>
      <w:r w:rsidRPr="00EB3D2F">
        <w:rPr>
          <w:i/>
        </w:rPr>
        <w:t>France</w:t>
      </w:r>
      <w:r w:rsidR="00060C4C">
        <w:t>,</w:t>
      </w:r>
      <w:r w:rsidRPr="00EB3D2F" w:rsidR="0055548C">
        <w:t xml:space="preserve"> </w:t>
      </w:r>
      <w:r w:rsidRPr="00EB3D2F">
        <w:t>n</w:t>
      </w:r>
      <w:r w:rsidRPr="00565C93" w:rsidR="00565C93">
        <w:rPr>
          <w:vertAlign w:val="superscript"/>
        </w:rPr>
        <w:t>o</w:t>
      </w:r>
      <w:r w:rsidRPr="00565C93" w:rsidR="00565C93">
        <w:t> </w:t>
      </w:r>
      <w:r w:rsidRPr="00EB3D2F">
        <w:t>10883/05, 16</w:t>
      </w:r>
      <w:r w:rsidR="00565C93">
        <w:t> juillet</w:t>
      </w:r>
      <w:r w:rsidRPr="00EB3D2F">
        <w:t xml:space="preserve"> 2009</w:t>
      </w:r>
      <w:r w:rsidRPr="00EB3D2F" w:rsidR="0055548C">
        <w:t>)</w:t>
      </w:r>
      <w:r w:rsidRPr="00EB3D2F">
        <w:t xml:space="preserve"> et 16</w:t>
      </w:r>
      <w:r w:rsidR="00565C93">
        <w:t> avril</w:t>
      </w:r>
      <w:r w:rsidRPr="00EB3D2F">
        <w:t xml:space="preserve"> 2013 (n</w:t>
      </w:r>
      <w:r w:rsidRPr="00565C93" w:rsidR="00565C93">
        <w:rPr>
          <w:vertAlign w:val="superscript"/>
        </w:rPr>
        <w:t>o</w:t>
      </w:r>
      <w:r w:rsidRPr="00565C93" w:rsidR="00565C93">
        <w:t> </w:t>
      </w:r>
      <w:r w:rsidRPr="00EB3D2F">
        <w:t>13-90.008), le Gouvernement ajoute que la position de la Cour de cassation selon laquelle la discrimination économique, notamment sous la forme d</w:t>
      </w:r>
      <w:r w:rsidR="00062221">
        <w:t>’</w:t>
      </w:r>
      <w:r w:rsidRPr="00EB3D2F">
        <w:t xml:space="preserve">appels au boycott, entre dans le champ du huitième </w:t>
      </w:r>
      <w:r w:rsidR="006F0358">
        <w:t xml:space="preserve">alinéa </w:t>
      </w:r>
      <w:r w:rsidRPr="00EB3D2F">
        <w:t>de l</w:t>
      </w:r>
      <w:r w:rsidR="00062221">
        <w:t>’</w:t>
      </w:r>
      <w:r w:rsidR="00565C93">
        <w:t>article </w:t>
      </w:r>
      <w:r w:rsidRPr="00EB3D2F">
        <w:t>24 est ancienne et constante.</w:t>
      </w:r>
    </w:p>
    <w:p w:rsidRPr="00EB3D2F" w:rsidR="00340372" w:rsidP="00EB3D2F" w:rsidRDefault="00601DA2">
      <w:pPr>
        <w:pStyle w:val="JuPara"/>
      </w:pPr>
      <w:r w:rsidRPr="00EB3D2F">
        <w:fldChar w:fldCharType="begin"/>
      </w:r>
      <w:r w:rsidRPr="00EB3D2F">
        <w:instrText xml:space="preserve"> SEQ level0 \*arabic </w:instrText>
      </w:r>
      <w:r w:rsidRPr="00EB3D2F">
        <w:fldChar w:fldCharType="separate"/>
      </w:r>
      <w:r w:rsidRPr="00EB3D2F" w:rsidR="00EB3D2F">
        <w:rPr>
          <w:noProof/>
        </w:rPr>
        <w:t>33</w:t>
      </w:r>
      <w:r w:rsidRPr="00EB3D2F">
        <w:fldChar w:fldCharType="end"/>
      </w:r>
      <w:r w:rsidRPr="00EB3D2F">
        <w:t>.  Cette interprétation serait de plus conforme au texte de la loi. Il observe que l</w:t>
      </w:r>
      <w:r w:rsidR="00062221">
        <w:t>’</w:t>
      </w:r>
      <w:r w:rsidR="00F92E77">
        <w:t>alinéa </w:t>
      </w:r>
      <w:r w:rsidRPr="00EB3D2F">
        <w:t>8 de l</w:t>
      </w:r>
      <w:r w:rsidR="00062221">
        <w:t>’</w:t>
      </w:r>
      <w:r w:rsidR="00565C93">
        <w:t>article </w:t>
      </w:r>
      <w:r w:rsidRPr="00EB3D2F">
        <w:t xml:space="preserve">24 vise la provocation </w:t>
      </w:r>
      <w:r w:rsidRPr="00EB3D2F" w:rsidR="00F847FF">
        <w:t xml:space="preserve">à </w:t>
      </w:r>
      <w:r w:rsidRPr="00EB3D2F">
        <w:t xml:space="preserve">la discrimination </w:t>
      </w:r>
      <w:r w:rsidRPr="00EB3D2F" w:rsidR="00F847FF">
        <w:t xml:space="preserve">à </w:t>
      </w:r>
      <w:r w:rsidRPr="00EB3D2F">
        <w:t>l</w:t>
      </w:r>
      <w:r w:rsidR="00062221">
        <w:t>’</w:t>
      </w:r>
      <w:r w:rsidRPr="00EB3D2F">
        <w:t>égard d</w:t>
      </w:r>
      <w:r w:rsidR="00062221">
        <w:t>’</w:t>
      </w:r>
      <w:r w:rsidRPr="00EB3D2F">
        <w:t>une personne ou d</w:t>
      </w:r>
      <w:r w:rsidR="00062221">
        <w:t>’</w:t>
      </w:r>
      <w:r w:rsidRPr="00EB3D2F">
        <w:t xml:space="preserve">un groupe de personnes </w:t>
      </w:r>
      <w:r w:rsidRPr="00EB3D2F" w:rsidR="00F847FF">
        <w:t xml:space="preserve">à </w:t>
      </w:r>
      <w:r w:rsidRPr="00EB3D2F">
        <w:t>raison de leur origine ou de leur appartenance ou de leur non</w:t>
      </w:r>
      <w:r w:rsidR="00D973DC">
        <w:t>-</w:t>
      </w:r>
      <w:r w:rsidRPr="00EB3D2F">
        <w:t xml:space="preserve">appartenance </w:t>
      </w:r>
      <w:r w:rsidRPr="00EB3D2F" w:rsidR="00F847FF">
        <w:t xml:space="preserve">à </w:t>
      </w:r>
      <w:r w:rsidRPr="00EB3D2F">
        <w:t>une ethnie, une nation, une race ou une religion, alors que l</w:t>
      </w:r>
      <w:r w:rsidR="00062221">
        <w:t>’</w:t>
      </w:r>
      <w:r w:rsidR="00F92E77">
        <w:t>alinéa </w:t>
      </w:r>
      <w:r w:rsidRPr="00EB3D2F" w:rsidR="00502193">
        <w:t>9, créé par la loi du 30</w:t>
      </w:r>
      <w:r w:rsidR="00565C93">
        <w:t> décembre</w:t>
      </w:r>
      <w:r w:rsidRPr="00EB3D2F">
        <w:t xml:space="preserve"> 2004, concerne la provocation </w:t>
      </w:r>
      <w:r w:rsidRPr="00EB3D2F" w:rsidR="00F847FF">
        <w:t xml:space="preserve">à </w:t>
      </w:r>
      <w:r w:rsidRPr="00EB3D2F">
        <w:t>l</w:t>
      </w:r>
      <w:r w:rsidR="00062221">
        <w:t>’</w:t>
      </w:r>
      <w:r w:rsidRPr="00EB3D2F">
        <w:t xml:space="preserve">une des formes de discrimination définies aux </w:t>
      </w:r>
      <w:r w:rsidR="00565C93">
        <w:t>articles </w:t>
      </w:r>
      <w:r w:rsidRPr="00EB3D2F">
        <w:t xml:space="preserve">225-2 et 432-7 du code pénal, </w:t>
      </w:r>
      <w:r w:rsidRPr="00EB3D2F" w:rsidR="00F847FF">
        <w:t xml:space="preserve">à </w:t>
      </w:r>
      <w:r w:rsidRPr="00EB3D2F">
        <w:t>l</w:t>
      </w:r>
      <w:r w:rsidR="00062221">
        <w:t>’</w:t>
      </w:r>
      <w:r w:rsidRPr="00EB3D2F">
        <w:t>égard d</w:t>
      </w:r>
      <w:r w:rsidR="00062221">
        <w:t>’</w:t>
      </w:r>
      <w:r w:rsidRPr="00EB3D2F">
        <w:t>une personne ou d</w:t>
      </w:r>
      <w:r w:rsidR="00062221">
        <w:t>’</w:t>
      </w:r>
      <w:r w:rsidRPr="00EB3D2F">
        <w:t xml:space="preserve">un groupe de personnes </w:t>
      </w:r>
      <w:r w:rsidRPr="00EB3D2F" w:rsidR="00F847FF">
        <w:t xml:space="preserve">à </w:t>
      </w:r>
      <w:r w:rsidRPr="00EB3D2F">
        <w:t xml:space="preserve">raison de leur sexe, de leur orientation sexuelle ou de leur handicap et que les modalités de la discrimination sont plus restreintes et sont limitativement énumérées au moyen du renvoi </w:t>
      </w:r>
      <w:r w:rsidRPr="00EB3D2F" w:rsidR="00F847FF">
        <w:t xml:space="preserve">à </w:t>
      </w:r>
      <w:r w:rsidRPr="00EB3D2F">
        <w:t xml:space="preserve">ces </w:t>
      </w:r>
      <w:r w:rsidR="00077847">
        <w:t xml:space="preserve">articles </w:t>
      </w:r>
      <w:r w:rsidRPr="00EB3D2F">
        <w:t>du code pénal. L</w:t>
      </w:r>
      <w:r w:rsidR="00062221">
        <w:t>’</w:t>
      </w:r>
      <w:r w:rsidR="00F92E77">
        <w:t>alinéa </w:t>
      </w:r>
      <w:r w:rsidRPr="00EB3D2F">
        <w:t xml:space="preserve">8, du fait de sa formulation générale, qui vise le terme </w:t>
      </w:r>
      <w:r w:rsidR="006A4DF1">
        <w:t>« </w:t>
      </w:r>
      <w:r w:rsidRPr="00EB3D2F">
        <w:t>discrimination</w:t>
      </w:r>
      <w:r w:rsidR="006A4DF1">
        <w:t> »</w:t>
      </w:r>
      <w:r w:rsidRPr="00EB3D2F">
        <w:t>, inclurait toutes les modalités de celle-ci, y compris</w:t>
      </w:r>
      <w:r w:rsidRPr="00EB3D2F" w:rsidR="0055548C">
        <w:t xml:space="preserve"> celles qui s</w:t>
      </w:r>
      <w:r w:rsidR="00062221">
        <w:t>’</w:t>
      </w:r>
      <w:r w:rsidRPr="00EB3D2F" w:rsidR="0055548C">
        <w:t xml:space="preserve">inscrivent </w:t>
      </w:r>
      <w:r w:rsidRPr="00EB3D2F">
        <w:t>dans le domaine économique. Cela ressortirait du reste des</w:t>
      </w:r>
      <w:r w:rsidRPr="00EB3D2F" w:rsidR="00F60B66">
        <w:t xml:space="preserve"> débats parlementaires. Quant </w:t>
      </w:r>
      <w:r w:rsidRPr="00EB3D2F" w:rsidR="00F847FF">
        <w:t xml:space="preserve">à </w:t>
      </w:r>
      <w:r w:rsidRPr="00EB3D2F">
        <w:t>l</w:t>
      </w:r>
      <w:r w:rsidR="00062221">
        <w:t>’</w:t>
      </w:r>
      <w:r w:rsidR="00F92E77">
        <w:t>alinéa </w:t>
      </w:r>
      <w:r w:rsidRPr="00EB3D2F">
        <w:t>9, il n</w:t>
      </w:r>
      <w:r w:rsidR="00062221">
        <w:t>’</w:t>
      </w:r>
      <w:r w:rsidRPr="00EB3D2F">
        <w:t>aurait pas pour origine la volonté d</w:t>
      </w:r>
      <w:r w:rsidR="00062221">
        <w:t>’</w:t>
      </w:r>
      <w:r w:rsidRPr="00EB3D2F">
        <w:t xml:space="preserve">introduire les discriminations économiques dans le dispositif de la loi, mais de réprimer les provocations </w:t>
      </w:r>
      <w:r w:rsidRPr="00EB3D2F" w:rsidR="00F847FF">
        <w:t xml:space="preserve">à </w:t>
      </w:r>
      <w:r w:rsidRPr="00EB3D2F">
        <w:t xml:space="preserve">la haine, </w:t>
      </w:r>
      <w:r w:rsidRPr="00EB3D2F" w:rsidR="00F847FF">
        <w:t xml:space="preserve">à </w:t>
      </w:r>
      <w:r w:rsidRPr="00EB3D2F">
        <w:t xml:space="preserve">la violence ou </w:t>
      </w:r>
      <w:r w:rsidRPr="00EB3D2F" w:rsidR="00F847FF">
        <w:t xml:space="preserve">à </w:t>
      </w:r>
      <w:r w:rsidRPr="00EB3D2F">
        <w:t xml:space="preserve">la discrimination, non plus seulement </w:t>
      </w:r>
      <w:r w:rsidRPr="00EB3D2F" w:rsidR="00F847FF">
        <w:t xml:space="preserve">à </w:t>
      </w:r>
      <w:r w:rsidRPr="00EB3D2F">
        <w:t>raison de l</w:t>
      </w:r>
      <w:r w:rsidR="00062221">
        <w:t>’</w:t>
      </w:r>
      <w:r w:rsidRPr="00EB3D2F">
        <w:t>origine des personnes, mais également de leur sexe, de leur orientation sexuelle ou de leu</w:t>
      </w:r>
      <w:r w:rsidRPr="00EB3D2F" w:rsidR="00664DD1">
        <w:t>r handicap</w:t>
      </w:r>
      <w:r w:rsidR="006A4DF1">
        <w:t> ;</w:t>
      </w:r>
      <w:r w:rsidRPr="00EB3D2F" w:rsidR="00F60B66">
        <w:t xml:space="preserve"> il viserait donc </w:t>
      </w:r>
      <w:r w:rsidRPr="00EB3D2F" w:rsidR="00F847FF">
        <w:t xml:space="preserve">à </w:t>
      </w:r>
      <w:r w:rsidRPr="00EB3D2F">
        <w:t xml:space="preserve">restreindre le nouveau délit de provocation </w:t>
      </w:r>
      <w:r w:rsidRPr="00EB3D2F" w:rsidR="00F847FF">
        <w:t xml:space="preserve">à </w:t>
      </w:r>
      <w:r w:rsidRPr="00EB3D2F">
        <w:t>la discrimination en raison du sexe, de l</w:t>
      </w:r>
      <w:r w:rsidR="00062221">
        <w:t>’</w:t>
      </w:r>
      <w:r w:rsidRPr="00EB3D2F">
        <w:t xml:space="preserve">orientation sexuelle ou du handicap </w:t>
      </w:r>
      <w:r w:rsidRPr="00EB3D2F" w:rsidR="00F847FF">
        <w:t xml:space="preserve">à </w:t>
      </w:r>
      <w:r w:rsidRPr="00EB3D2F">
        <w:t>certaines formes de discrimination.</w:t>
      </w:r>
      <w:r w:rsidRPr="00EB3D2F" w:rsidR="00340372">
        <w:t xml:space="preserve"> </w:t>
      </w:r>
      <w:r w:rsidRPr="00EB3D2F">
        <w:t>Le Gouvernement en déduit que la Cour de cassation n</w:t>
      </w:r>
      <w:r w:rsidR="00062221">
        <w:t>’</w:t>
      </w:r>
      <w:r w:rsidRPr="00EB3D2F">
        <w:t xml:space="preserve">a pas procédé </w:t>
      </w:r>
      <w:r w:rsidRPr="00EB3D2F" w:rsidR="00F847FF">
        <w:t xml:space="preserve">à </w:t>
      </w:r>
      <w:r w:rsidRPr="00EB3D2F">
        <w:t>un raisonnement par analogie en jugeant que l</w:t>
      </w:r>
      <w:r w:rsidR="00062221">
        <w:t>’</w:t>
      </w:r>
      <w:r w:rsidR="00F92E77">
        <w:t>alinéa </w:t>
      </w:r>
      <w:r w:rsidRPr="00EB3D2F">
        <w:t>8 s</w:t>
      </w:r>
      <w:r w:rsidR="00062221">
        <w:t>’</w:t>
      </w:r>
      <w:r w:rsidRPr="00EB3D2F">
        <w:t xml:space="preserve">appliquait </w:t>
      </w:r>
      <w:r w:rsidRPr="00EB3D2F" w:rsidR="00F847FF">
        <w:t xml:space="preserve">à </w:t>
      </w:r>
      <w:r w:rsidRPr="00EB3D2F">
        <w:t xml:space="preserve">la provocation </w:t>
      </w:r>
      <w:r w:rsidRPr="00EB3D2F" w:rsidR="00F847FF">
        <w:t xml:space="preserve">à </w:t>
      </w:r>
      <w:r w:rsidRPr="00EB3D2F">
        <w:t>la discrimination économique, mais s</w:t>
      </w:r>
      <w:r w:rsidR="00062221">
        <w:t>’</w:t>
      </w:r>
      <w:r w:rsidRPr="00EB3D2F">
        <w:t xml:space="preserve">est bornée </w:t>
      </w:r>
      <w:r w:rsidRPr="00EB3D2F" w:rsidR="00F847FF">
        <w:t xml:space="preserve">à </w:t>
      </w:r>
      <w:r w:rsidRPr="00EB3D2F">
        <w:t>définir l</w:t>
      </w:r>
      <w:r w:rsidR="00062221">
        <w:t>’</w:t>
      </w:r>
      <w:r w:rsidRPr="00EB3D2F">
        <w:t>étendue de son champ d</w:t>
      </w:r>
      <w:r w:rsidR="00062221">
        <w:t>’</w:t>
      </w:r>
      <w:r w:rsidRPr="00EB3D2F">
        <w:t>application en appliquant le principe qui veut qu</w:t>
      </w:r>
      <w:r w:rsidR="00062221">
        <w:t>’</w:t>
      </w:r>
      <w:r w:rsidRPr="00EB3D2F">
        <w:t>il n</w:t>
      </w:r>
      <w:r w:rsidR="00062221">
        <w:t>’</w:t>
      </w:r>
      <w:r w:rsidRPr="00EB3D2F">
        <w:t>y a pas lieu de distinguer lorsque le texte ne distingue pas.</w:t>
      </w:r>
    </w:p>
    <w:p w:rsidRPr="00EB3D2F" w:rsidR="00A34B62" w:rsidP="00EB3D2F" w:rsidRDefault="00601DA2">
      <w:pPr>
        <w:pStyle w:val="JuPara"/>
      </w:pPr>
      <w:r w:rsidRPr="00EB3D2F">
        <w:fldChar w:fldCharType="begin"/>
      </w:r>
      <w:r w:rsidRPr="00EB3D2F">
        <w:instrText xml:space="preserve"> SEQ level0 \*arabic </w:instrText>
      </w:r>
      <w:r w:rsidRPr="00EB3D2F">
        <w:fldChar w:fldCharType="separate"/>
      </w:r>
      <w:r w:rsidRPr="00EB3D2F" w:rsidR="00EB3D2F">
        <w:rPr>
          <w:noProof/>
        </w:rPr>
        <w:t>34</w:t>
      </w:r>
      <w:r w:rsidRPr="00EB3D2F">
        <w:fldChar w:fldCharType="end"/>
      </w:r>
      <w:r w:rsidRPr="00EB3D2F">
        <w:t xml:space="preserve">.  Quant </w:t>
      </w:r>
      <w:r w:rsidRPr="00EB3D2F" w:rsidR="00F847FF">
        <w:t xml:space="preserve">à </w:t>
      </w:r>
      <w:r w:rsidRPr="00EB3D2F">
        <w:t>la thèse d</w:t>
      </w:r>
      <w:r w:rsidRPr="00EB3D2F" w:rsidR="0041596C">
        <w:t>es</w:t>
      </w:r>
      <w:r w:rsidRPr="00EB3D2F">
        <w:t xml:space="preserve"> requérant</w:t>
      </w:r>
      <w:r w:rsidRPr="00EB3D2F" w:rsidR="0041596C">
        <w:t>s</w:t>
      </w:r>
      <w:r w:rsidRPr="00EB3D2F">
        <w:t xml:space="preserve"> selon laquelle les juridictions auraient élargi la portée de l</w:t>
      </w:r>
      <w:r w:rsidR="00062221">
        <w:t>’</w:t>
      </w:r>
      <w:r w:rsidRPr="00EB3D2F">
        <w:t>incrimination en l</w:t>
      </w:r>
      <w:r w:rsidR="00062221">
        <w:t>’</w:t>
      </w:r>
      <w:r w:rsidRPr="00EB3D2F">
        <w:t xml:space="preserve">étendant des </w:t>
      </w:r>
      <w:r w:rsidR="006A4DF1">
        <w:t>« </w:t>
      </w:r>
      <w:r w:rsidRPr="00EB3D2F">
        <w:t>personnes</w:t>
      </w:r>
      <w:r w:rsidR="006A4DF1">
        <w:t> »</w:t>
      </w:r>
      <w:r w:rsidRPr="00EB3D2F">
        <w:t xml:space="preserve"> aux </w:t>
      </w:r>
      <w:r w:rsidR="006A4DF1">
        <w:t>« </w:t>
      </w:r>
      <w:r w:rsidRPr="00EB3D2F">
        <w:t>produit</w:t>
      </w:r>
      <w:r w:rsidR="00664B15">
        <w:t>s</w:t>
      </w:r>
      <w:r w:rsidR="006A4DF1">
        <w:t> »</w:t>
      </w:r>
      <w:r w:rsidRPr="00EB3D2F">
        <w:t>, il fait valoir que, par personne, on entend également personnes morales, et que, comme l</w:t>
      </w:r>
      <w:r w:rsidR="00062221">
        <w:t>’</w:t>
      </w:r>
      <w:r w:rsidRPr="00EB3D2F">
        <w:t>a indiqué en l</w:t>
      </w:r>
      <w:r w:rsidR="00062221">
        <w:t>’</w:t>
      </w:r>
      <w:r w:rsidRPr="00EB3D2F">
        <w:t>espèce l</w:t>
      </w:r>
      <w:r w:rsidR="00062221">
        <w:t>’</w:t>
      </w:r>
      <w:r w:rsidRPr="00EB3D2F">
        <w:t>avocat général près la Cour de cassation, on ne peut artificiellement dissocier entièrement les produits de ceux qui les produisent, les fabriquent et les fournissent. Il rappelle que l</w:t>
      </w:r>
      <w:r w:rsidR="00062221">
        <w:t>’</w:t>
      </w:r>
      <w:r w:rsidR="00565C93">
        <w:t>article </w:t>
      </w:r>
      <w:r w:rsidRPr="00EB3D2F">
        <w:t>7 de la Convention ne proscrit pas les interprétations jurisprudentielles, même extensives, dès lors qu</w:t>
      </w:r>
      <w:r w:rsidR="00062221">
        <w:t>’</w:t>
      </w:r>
      <w:r w:rsidRPr="00EB3D2F">
        <w:t>elles sont cohérentes avec la substance de l</w:t>
      </w:r>
      <w:r w:rsidR="00062221">
        <w:t>’</w:t>
      </w:r>
      <w:r w:rsidRPr="00EB3D2F">
        <w:t>infraction et raisonnablement prévisibles.</w:t>
      </w:r>
    </w:p>
    <w:p w:rsidRPr="00EB3D2F" w:rsidR="00601DA2" w:rsidP="00EB3D2F" w:rsidRDefault="00601DA2">
      <w:pPr>
        <w:pStyle w:val="JuH1"/>
        <w:rPr>
          <w:lang w:val="fr-FR"/>
        </w:rPr>
      </w:pPr>
      <w:r w:rsidRPr="00EB3D2F">
        <w:rPr>
          <w:lang w:val="fr-FR"/>
        </w:rPr>
        <w:t>Appréciation de la Cour</w:t>
      </w:r>
    </w:p>
    <w:p w:rsidRPr="00EB3D2F" w:rsidR="00340372" w:rsidP="00EB3D2F" w:rsidRDefault="00D76805">
      <w:pPr>
        <w:pStyle w:val="JuPara"/>
      </w:pPr>
      <w:r w:rsidRPr="00EB3D2F">
        <w:fldChar w:fldCharType="begin"/>
      </w:r>
      <w:r w:rsidRPr="00EB3D2F">
        <w:instrText xml:space="preserve"> SEQ level0 \*arabic </w:instrText>
      </w:r>
      <w:r w:rsidRPr="00EB3D2F">
        <w:fldChar w:fldCharType="separate"/>
      </w:r>
      <w:r w:rsidRPr="00EB3D2F" w:rsidR="00EB3D2F">
        <w:rPr>
          <w:noProof/>
        </w:rPr>
        <w:t>35</w:t>
      </w:r>
      <w:r w:rsidRPr="00EB3D2F">
        <w:fldChar w:fldCharType="end"/>
      </w:r>
      <w:r w:rsidRPr="00EB3D2F" w:rsidR="00704F2B">
        <w:t>. </w:t>
      </w:r>
      <w:r w:rsidRPr="00EB3D2F" w:rsidR="005E5924">
        <w:t> </w:t>
      </w:r>
      <w:r w:rsidRPr="00EB3D2F" w:rsidR="003F61DE">
        <w:t>La Cour renvoie aux</w:t>
      </w:r>
      <w:r w:rsidRPr="00EB3D2F">
        <w:t xml:space="preserve"> principes généraux </w:t>
      </w:r>
      <w:r w:rsidRPr="00EB3D2F" w:rsidR="003F61DE">
        <w:t xml:space="preserve">relatifs </w:t>
      </w:r>
      <w:r w:rsidRPr="00EB3D2F" w:rsidR="00F847FF">
        <w:t xml:space="preserve">à </w:t>
      </w:r>
      <w:r w:rsidRPr="00EB3D2F" w:rsidR="003F61DE">
        <w:t>l</w:t>
      </w:r>
      <w:r w:rsidR="00062221">
        <w:t>’</w:t>
      </w:r>
      <w:r w:rsidR="00565C93">
        <w:t>article </w:t>
      </w:r>
      <w:r w:rsidRPr="00EB3D2F" w:rsidR="003F61DE">
        <w:t>7 tels qu</w:t>
      </w:r>
      <w:r w:rsidR="00062221">
        <w:t>’</w:t>
      </w:r>
      <w:r w:rsidRPr="00EB3D2F" w:rsidR="003F61DE">
        <w:t xml:space="preserve">ils sont notamment </w:t>
      </w:r>
      <w:r w:rsidRPr="00EB3D2F">
        <w:t>énoncés dans l</w:t>
      </w:r>
      <w:r w:rsidR="00062221">
        <w:t>’</w:t>
      </w:r>
      <w:r w:rsidRPr="00EB3D2F">
        <w:t xml:space="preserve">arrêt </w:t>
      </w:r>
      <w:proofErr w:type="spellStart"/>
      <w:r w:rsidRPr="00EB3D2F">
        <w:rPr>
          <w:i/>
        </w:rPr>
        <w:t>Vasiliauskas</w:t>
      </w:r>
      <w:proofErr w:type="spellEnd"/>
      <w:r w:rsidR="00565C93">
        <w:rPr>
          <w:i/>
        </w:rPr>
        <w:t xml:space="preserve"> c. </w:t>
      </w:r>
      <w:r w:rsidRPr="00EB3D2F">
        <w:rPr>
          <w:i/>
        </w:rPr>
        <w:t>Lituanie</w:t>
      </w:r>
      <w:r w:rsidRPr="00EB3D2F">
        <w:t xml:space="preserve"> [GC] (n</w:t>
      </w:r>
      <w:r w:rsidRPr="00565C93" w:rsidR="00565C93">
        <w:rPr>
          <w:vertAlign w:val="superscript"/>
        </w:rPr>
        <w:t>o</w:t>
      </w:r>
      <w:r w:rsidRPr="00565C93" w:rsidR="00565C93">
        <w:t> </w:t>
      </w:r>
      <w:r w:rsidRPr="00EB3D2F">
        <w:t>35343/05, §</w:t>
      </w:r>
      <w:r w:rsidR="00565C93">
        <w:t>§ </w:t>
      </w:r>
      <w:r w:rsidRPr="00EB3D2F">
        <w:t>153-157</w:t>
      </w:r>
      <w:r w:rsidRPr="00EB3D2F" w:rsidR="00704F2B">
        <w:t xml:space="preserve"> et 160</w:t>
      </w:r>
      <w:r w:rsidRPr="00EB3D2F">
        <w:t>, CEDH 2015)</w:t>
      </w:r>
      <w:r w:rsidRPr="00EB3D2F" w:rsidR="003F61DE">
        <w:t>.</w:t>
      </w:r>
      <w:r w:rsidRPr="00EB3D2F" w:rsidR="00815E49">
        <w:t xml:space="preserve"> Il en ressort en particulier que cette disposition</w:t>
      </w:r>
      <w:r w:rsidRPr="00EB3D2F">
        <w:t xml:space="preserve"> ne se borne pas </w:t>
      </w:r>
      <w:r w:rsidRPr="00EB3D2F" w:rsidR="00F847FF">
        <w:t xml:space="preserve">à </w:t>
      </w:r>
      <w:r w:rsidRPr="00EB3D2F">
        <w:t>prohiber l</w:t>
      </w:r>
      <w:r w:rsidR="00062221">
        <w:t>’</w:t>
      </w:r>
      <w:r w:rsidRPr="00EB3D2F">
        <w:t>application rétroactive du droit pénal au désavantage de l</w:t>
      </w:r>
      <w:r w:rsidR="00062221">
        <w:t>’</w:t>
      </w:r>
      <w:r w:rsidRPr="00EB3D2F">
        <w:t>accusé</w:t>
      </w:r>
      <w:r w:rsidR="006A4DF1">
        <w:t> :</w:t>
      </w:r>
      <w:r w:rsidRPr="00EB3D2F">
        <w:t xml:space="preserve"> </w:t>
      </w:r>
      <w:r w:rsidRPr="00EB3D2F" w:rsidR="00815E49">
        <w:t>elle</w:t>
      </w:r>
      <w:r w:rsidRPr="00EB3D2F">
        <w:t xml:space="preserve"> consacre aussi, d</w:t>
      </w:r>
      <w:r w:rsidR="00062221">
        <w:t>’</w:t>
      </w:r>
      <w:r w:rsidRPr="00EB3D2F">
        <w:t>une manière plus générale, le principe de la légalité des délits et des peines (</w:t>
      </w:r>
      <w:proofErr w:type="spellStart"/>
      <w:r w:rsidRPr="00EB3D2F">
        <w:rPr>
          <w:i/>
        </w:rPr>
        <w:t>nullum</w:t>
      </w:r>
      <w:proofErr w:type="spellEnd"/>
      <w:r w:rsidRPr="00EB3D2F" w:rsidR="009324A8">
        <w:rPr>
          <w:i/>
        </w:rPr>
        <w:t xml:space="preserve"> </w:t>
      </w:r>
      <w:proofErr w:type="spellStart"/>
      <w:r w:rsidRPr="00EB3D2F">
        <w:rPr>
          <w:i/>
        </w:rPr>
        <w:t>crimen</w:t>
      </w:r>
      <w:proofErr w:type="spellEnd"/>
      <w:r w:rsidRPr="00EB3D2F">
        <w:rPr>
          <w:i/>
        </w:rPr>
        <w:t xml:space="preserve">, </w:t>
      </w:r>
      <w:proofErr w:type="spellStart"/>
      <w:r w:rsidRPr="00EB3D2F">
        <w:rPr>
          <w:i/>
        </w:rPr>
        <w:t>nulla</w:t>
      </w:r>
      <w:proofErr w:type="spellEnd"/>
      <w:r w:rsidRPr="00EB3D2F">
        <w:rPr>
          <w:i/>
        </w:rPr>
        <w:t xml:space="preserve"> </w:t>
      </w:r>
      <w:proofErr w:type="spellStart"/>
      <w:r w:rsidRPr="00EB3D2F">
        <w:rPr>
          <w:i/>
        </w:rPr>
        <w:t>poena</w:t>
      </w:r>
      <w:proofErr w:type="spellEnd"/>
      <w:r w:rsidRPr="00EB3D2F">
        <w:rPr>
          <w:i/>
        </w:rPr>
        <w:t xml:space="preserve"> sine lege</w:t>
      </w:r>
      <w:r w:rsidRPr="00EB3D2F">
        <w:t>) et celui qui commande de ne pas appliquer la loi pénale de manière extensive au détriment de l</w:t>
      </w:r>
      <w:r w:rsidR="00062221">
        <w:t>’</w:t>
      </w:r>
      <w:r w:rsidRPr="00EB3D2F">
        <w:t>accusé, notamment par analogie. Il en résulte qu</w:t>
      </w:r>
      <w:r w:rsidR="00062221">
        <w:t>’</w:t>
      </w:r>
      <w:r w:rsidRPr="00EB3D2F">
        <w:t>une infraction doit être clairement définie par le droit, qu</w:t>
      </w:r>
      <w:r w:rsidR="00062221">
        <w:t>’</w:t>
      </w:r>
      <w:r w:rsidRPr="00EB3D2F">
        <w:t xml:space="preserve">il soit national ou international. Cette condition se trouve remplie lorsque le justiciable peut savoir, </w:t>
      </w:r>
      <w:r w:rsidRPr="00EB3D2F" w:rsidR="00F847FF">
        <w:t xml:space="preserve">à </w:t>
      </w:r>
      <w:r w:rsidRPr="00EB3D2F">
        <w:t xml:space="preserve">partir du libellé de la disposition pertinente et, au besoin, </w:t>
      </w:r>
      <w:r w:rsidRPr="00EB3D2F" w:rsidR="00F847FF">
        <w:t xml:space="preserve">à </w:t>
      </w:r>
      <w:r w:rsidRPr="00EB3D2F">
        <w:t>l</w:t>
      </w:r>
      <w:r w:rsidR="00062221">
        <w:t>’</w:t>
      </w:r>
      <w:r w:rsidRPr="00EB3D2F">
        <w:t>aide de son interprétation par les tribunaux et d</w:t>
      </w:r>
      <w:r w:rsidR="00062221">
        <w:t>’</w:t>
      </w:r>
      <w:r w:rsidRPr="00EB3D2F">
        <w:t xml:space="preserve">un avis juridique éclairé, quels actes et omissions engagent sa responsabilité pénale. </w:t>
      </w:r>
      <w:r w:rsidRPr="00EB3D2F" w:rsidR="00F847FF">
        <w:t xml:space="preserve">À </w:t>
      </w:r>
      <w:r w:rsidRPr="00EB3D2F">
        <w:t xml:space="preserve">cet égard, la Cour a indiqué que la notion de </w:t>
      </w:r>
      <w:r w:rsidR="006A4DF1">
        <w:t>« </w:t>
      </w:r>
      <w:r w:rsidRPr="00EB3D2F">
        <w:t>droit</w:t>
      </w:r>
      <w:r w:rsidR="006A4DF1">
        <w:t> »</w:t>
      </w:r>
      <w:r w:rsidRPr="00EB3D2F">
        <w:t xml:space="preserve"> (</w:t>
      </w:r>
      <w:r w:rsidR="006A4DF1">
        <w:t>« </w:t>
      </w:r>
      <w:proofErr w:type="spellStart"/>
      <w:r w:rsidRPr="00EB3D2F">
        <w:rPr>
          <w:i/>
        </w:rPr>
        <w:t>law</w:t>
      </w:r>
      <w:proofErr w:type="spellEnd"/>
      <w:r w:rsidR="006A4DF1">
        <w:t> »</w:t>
      </w:r>
      <w:r w:rsidRPr="00EB3D2F">
        <w:t xml:space="preserve">) utilisée </w:t>
      </w:r>
      <w:r w:rsidRPr="00EB3D2F" w:rsidR="00F847FF">
        <w:t xml:space="preserve">à </w:t>
      </w:r>
      <w:r w:rsidRPr="00EB3D2F">
        <w:t>l</w:t>
      </w:r>
      <w:r w:rsidR="00062221">
        <w:t>’</w:t>
      </w:r>
      <w:r w:rsidR="00565C93">
        <w:t>article </w:t>
      </w:r>
      <w:r w:rsidRPr="00EB3D2F">
        <w:t xml:space="preserve">7 correspond </w:t>
      </w:r>
      <w:r w:rsidRPr="00EB3D2F" w:rsidR="00F847FF">
        <w:t xml:space="preserve">à </w:t>
      </w:r>
      <w:r w:rsidRPr="00EB3D2F">
        <w:t xml:space="preserve">celle de </w:t>
      </w:r>
      <w:r w:rsidR="006A4DF1">
        <w:t>« </w:t>
      </w:r>
      <w:r w:rsidRPr="00EB3D2F">
        <w:t>loi</w:t>
      </w:r>
      <w:r w:rsidR="006A4DF1">
        <w:t> »</w:t>
      </w:r>
      <w:r w:rsidRPr="00EB3D2F">
        <w:t xml:space="preserve"> qui figure dans d</w:t>
      </w:r>
      <w:r w:rsidR="00062221">
        <w:t>’</w:t>
      </w:r>
      <w:r w:rsidRPr="00EB3D2F">
        <w:t xml:space="preserve">autres </w:t>
      </w:r>
      <w:r w:rsidR="009D5B01">
        <w:t xml:space="preserve">articles </w:t>
      </w:r>
      <w:r w:rsidRPr="00EB3D2F">
        <w:t>de la Convention</w:t>
      </w:r>
      <w:r w:rsidR="006A4DF1">
        <w:t> ;</w:t>
      </w:r>
      <w:r w:rsidRPr="00EB3D2F">
        <w:t xml:space="preserve"> elle englobe le droit écrit comme non écrit et implique des conditions qualitatives, entre autres celles de l</w:t>
      </w:r>
      <w:r w:rsidR="00062221">
        <w:t>’</w:t>
      </w:r>
      <w:r w:rsidRPr="00EB3D2F">
        <w:t>accessibilité et de la prévisibilité.</w:t>
      </w:r>
    </w:p>
    <w:p w:rsidRPr="00EB3D2F" w:rsidR="001E01FA" w:rsidP="00EB3D2F" w:rsidRDefault="00704F2B">
      <w:pPr>
        <w:pStyle w:val="JuPara"/>
      </w:pPr>
      <w:r w:rsidRPr="00EB3D2F">
        <w:fldChar w:fldCharType="begin"/>
      </w:r>
      <w:r w:rsidRPr="00EB3D2F">
        <w:instrText xml:space="preserve"> SEQ level0 \*arabic </w:instrText>
      </w:r>
      <w:r w:rsidRPr="00EB3D2F">
        <w:fldChar w:fldCharType="separate"/>
      </w:r>
      <w:r w:rsidRPr="00EB3D2F" w:rsidR="00EB3D2F">
        <w:rPr>
          <w:noProof/>
        </w:rPr>
        <w:t>36</w:t>
      </w:r>
      <w:r w:rsidRPr="00EB3D2F">
        <w:fldChar w:fldCharType="end"/>
      </w:r>
      <w:r w:rsidRPr="00EB3D2F">
        <w:t>.  </w:t>
      </w:r>
      <w:r w:rsidRPr="00EB3D2F" w:rsidR="001E01FA">
        <w:t>En l</w:t>
      </w:r>
      <w:r w:rsidR="00062221">
        <w:t>’</w:t>
      </w:r>
      <w:r w:rsidRPr="00EB3D2F" w:rsidR="001E01FA">
        <w:t>espèce, les requérants ont été condamnés sur le fondement de l</w:t>
      </w:r>
      <w:r w:rsidR="00062221">
        <w:t>’</w:t>
      </w:r>
      <w:r w:rsidR="00565C93">
        <w:t>article </w:t>
      </w:r>
      <w:r w:rsidRPr="00EB3D2F" w:rsidR="001E01FA">
        <w:t>24</w:t>
      </w:r>
      <w:r w:rsidRPr="00EB3D2F" w:rsidR="001D494B">
        <w:t>,</w:t>
      </w:r>
      <w:r w:rsidRPr="00EB3D2F" w:rsidR="001E01FA">
        <w:t xml:space="preserve"> </w:t>
      </w:r>
      <w:r w:rsidR="00F92E77">
        <w:t>alinéa </w:t>
      </w:r>
      <w:r w:rsidRPr="00EB3D2F" w:rsidR="001E01FA">
        <w:t>8</w:t>
      </w:r>
      <w:r w:rsidRPr="00EB3D2F" w:rsidR="001D494B">
        <w:t>,</w:t>
      </w:r>
      <w:r w:rsidRPr="00EB3D2F" w:rsidR="001E01FA">
        <w:t xml:space="preserve"> de la loi du 29</w:t>
      </w:r>
      <w:r w:rsidR="00565C93">
        <w:t> juillet</w:t>
      </w:r>
      <w:r w:rsidRPr="00EB3D2F" w:rsidR="001E01FA">
        <w:t xml:space="preserve"> 1881, qui dispose que </w:t>
      </w:r>
      <w:r w:rsidR="006A4DF1">
        <w:t>« </w:t>
      </w:r>
      <w:r w:rsidRPr="00EB3D2F" w:rsidR="001D4785">
        <w:t>c</w:t>
      </w:r>
      <w:r w:rsidRPr="00EB3D2F" w:rsidR="001E01FA">
        <w:t>eux qui, par l</w:t>
      </w:r>
      <w:r w:rsidR="00062221">
        <w:t>’</w:t>
      </w:r>
      <w:r w:rsidRPr="00EB3D2F" w:rsidR="001E01FA">
        <w:t>u</w:t>
      </w:r>
      <w:r w:rsidRPr="00EB3D2F" w:rsidR="00D9798E">
        <w:t xml:space="preserve">n des moyens énoncés </w:t>
      </w:r>
      <w:r w:rsidRPr="00EB3D2F" w:rsidR="00F847FF">
        <w:t xml:space="preserve">à </w:t>
      </w:r>
      <w:r w:rsidRPr="00EB3D2F" w:rsidR="00D9798E">
        <w:t>l</w:t>
      </w:r>
      <w:r w:rsidR="00062221">
        <w:t>’</w:t>
      </w:r>
      <w:r w:rsidR="00565C93">
        <w:t>article </w:t>
      </w:r>
      <w:r w:rsidRPr="00EB3D2F" w:rsidR="001E01FA">
        <w:t xml:space="preserve">23, auront provoqué </w:t>
      </w:r>
      <w:r w:rsidRPr="00EB3D2F" w:rsidR="00F847FF">
        <w:t xml:space="preserve">à </w:t>
      </w:r>
      <w:r w:rsidRPr="00EB3D2F" w:rsidR="001E01FA">
        <w:t xml:space="preserve">la discrimination, </w:t>
      </w:r>
      <w:r w:rsidRPr="00EB3D2F" w:rsidR="00F847FF">
        <w:t xml:space="preserve">à </w:t>
      </w:r>
      <w:r w:rsidRPr="00EB3D2F" w:rsidR="001E01FA">
        <w:t xml:space="preserve">la haine ou </w:t>
      </w:r>
      <w:r w:rsidRPr="00EB3D2F" w:rsidR="00F847FF">
        <w:t xml:space="preserve">à </w:t>
      </w:r>
      <w:r w:rsidRPr="00EB3D2F" w:rsidR="001E01FA">
        <w:t xml:space="preserve">la violence </w:t>
      </w:r>
      <w:r w:rsidRPr="00EB3D2F" w:rsidR="00F847FF">
        <w:t xml:space="preserve">à </w:t>
      </w:r>
      <w:r w:rsidRPr="00EB3D2F" w:rsidR="001E01FA">
        <w:t>l</w:t>
      </w:r>
      <w:r w:rsidR="00062221">
        <w:t>’</w:t>
      </w:r>
      <w:r w:rsidRPr="00EB3D2F" w:rsidR="001E01FA">
        <w:t>égard d</w:t>
      </w:r>
      <w:r w:rsidR="00062221">
        <w:t>’</w:t>
      </w:r>
      <w:r w:rsidRPr="00EB3D2F" w:rsidR="001E01FA">
        <w:t>une personne ou d</w:t>
      </w:r>
      <w:r w:rsidR="00062221">
        <w:t>’</w:t>
      </w:r>
      <w:r w:rsidRPr="00EB3D2F" w:rsidR="001E01FA">
        <w:t xml:space="preserve">un groupe de personnes </w:t>
      </w:r>
      <w:r w:rsidRPr="00EB3D2F" w:rsidR="00F847FF">
        <w:t xml:space="preserve">à </w:t>
      </w:r>
      <w:r w:rsidRPr="00EB3D2F" w:rsidR="001E01FA">
        <w:t xml:space="preserve">raison de leur origine ou de leur appartenance ou de leur non-appartenance </w:t>
      </w:r>
      <w:r w:rsidRPr="00EB3D2F" w:rsidR="00F847FF">
        <w:t xml:space="preserve">à </w:t>
      </w:r>
      <w:r w:rsidRPr="00EB3D2F" w:rsidR="001E01FA">
        <w:t>une ethnie, une nation, une race ou une religion dét</w:t>
      </w:r>
      <w:r w:rsidRPr="00EB3D2F" w:rsidR="001D4785">
        <w:t>erminée, seront punis d</w:t>
      </w:r>
      <w:r w:rsidR="00062221">
        <w:t>’</w:t>
      </w:r>
      <w:r w:rsidRPr="00EB3D2F" w:rsidR="001D4785">
        <w:t>un an d</w:t>
      </w:r>
      <w:r w:rsidR="00062221">
        <w:t>’</w:t>
      </w:r>
      <w:r w:rsidRPr="00EB3D2F" w:rsidR="001E01FA">
        <w:t>emprisonnement et de 45</w:t>
      </w:r>
      <w:r w:rsidR="009D5B01">
        <w:t> </w:t>
      </w:r>
      <w:r w:rsidRPr="00EB3D2F" w:rsidR="001E01FA">
        <w:t>000 euros d</w:t>
      </w:r>
      <w:r w:rsidR="00062221">
        <w:t>’</w:t>
      </w:r>
      <w:r w:rsidRPr="00EB3D2F" w:rsidR="001E01FA">
        <w:t>amende ou de l</w:t>
      </w:r>
      <w:r w:rsidR="00062221">
        <w:t>’</w:t>
      </w:r>
      <w:r w:rsidRPr="00EB3D2F" w:rsidR="001E01FA">
        <w:t>une de ces deux peines seulement</w:t>
      </w:r>
      <w:r w:rsidR="006A4DF1">
        <w:t> »</w:t>
      </w:r>
      <w:r w:rsidRPr="00EB3D2F" w:rsidR="001E01FA">
        <w:t>.</w:t>
      </w:r>
    </w:p>
    <w:p w:rsidRPr="00EB3D2F" w:rsidR="00A34B62" w:rsidP="00EB3D2F" w:rsidRDefault="00D9686A">
      <w:pPr>
        <w:pStyle w:val="JuPara"/>
      </w:pPr>
      <w:r w:rsidRPr="00EB3D2F">
        <w:fldChar w:fldCharType="begin"/>
      </w:r>
      <w:r w:rsidRPr="00EB3D2F">
        <w:instrText xml:space="preserve"> SEQ level0 \*arabic </w:instrText>
      </w:r>
      <w:r w:rsidRPr="00EB3D2F">
        <w:fldChar w:fldCharType="separate"/>
      </w:r>
      <w:r w:rsidRPr="00EB3D2F" w:rsidR="00EB3D2F">
        <w:rPr>
          <w:noProof/>
        </w:rPr>
        <w:t>37</w:t>
      </w:r>
      <w:r w:rsidRPr="00EB3D2F">
        <w:fldChar w:fldCharType="end"/>
      </w:r>
      <w:r w:rsidRPr="00EB3D2F">
        <w:t>.  </w:t>
      </w:r>
      <w:r w:rsidRPr="00EB3D2F" w:rsidR="001E01FA">
        <w:t xml:space="preserve">Les requérants avaient été relaxés en première instance, au motif notamment que les agissements pour lesquels ils étaient poursuivis visaient seulement </w:t>
      </w:r>
      <w:r w:rsidRPr="00EB3D2F" w:rsidR="00F847FF">
        <w:t xml:space="preserve">à </w:t>
      </w:r>
      <w:r w:rsidRPr="00EB3D2F" w:rsidR="001E01FA">
        <w:t xml:space="preserve">inciter les consommateurs </w:t>
      </w:r>
      <w:r w:rsidRPr="00EB3D2F" w:rsidR="00F847FF">
        <w:t xml:space="preserve">à </w:t>
      </w:r>
      <w:r w:rsidRPr="00EB3D2F" w:rsidR="001E01FA">
        <w:t>ne pas acheter des produits israéliens, et que l</w:t>
      </w:r>
      <w:r w:rsidR="00062221">
        <w:t>’</w:t>
      </w:r>
      <w:r w:rsidR="00565C93">
        <w:t>article </w:t>
      </w:r>
      <w:r w:rsidRPr="00EB3D2F" w:rsidR="001E01FA">
        <w:t>24</w:t>
      </w:r>
      <w:r w:rsidRPr="00EB3D2F" w:rsidR="001D494B">
        <w:t>,</w:t>
      </w:r>
      <w:r w:rsidRPr="00EB3D2F" w:rsidR="001E01FA">
        <w:t xml:space="preserve"> </w:t>
      </w:r>
      <w:r w:rsidR="00F92E77">
        <w:t>alinéa </w:t>
      </w:r>
      <w:r w:rsidRPr="00EB3D2F" w:rsidR="001E01FA">
        <w:t>8</w:t>
      </w:r>
      <w:r w:rsidRPr="00EB3D2F" w:rsidR="001D494B">
        <w:t>,</w:t>
      </w:r>
      <w:r w:rsidRPr="00EB3D2F" w:rsidR="001E01FA">
        <w:t xml:space="preserve"> de la loi du 29</w:t>
      </w:r>
      <w:r w:rsidR="00565C93">
        <w:t> juillet</w:t>
      </w:r>
      <w:r w:rsidRPr="00EB3D2F" w:rsidR="001E01FA">
        <w:t xml:space="preserve"> 1881 ne visait pas la discrimination </w:t>
      </w:r>
      <w:r w:rsidR="006A4DF1">
        <w:t>« </w:t>
      </w:r>
      <w:r w:rsidRPr="00EB3D2F" w:rsidR="001E01FA">
        <w:t>économique</w:t>
      </w:r>
      <w:r w:rsidR="006A4DF1">
        <w:t> »</w:t>
      </w:r>
      <w:r w:rsidRPr="00EB3D2F" w:rsidR="001E01FA">
        <w:t>, celle-ci étant prévue spécifiquement par l</w:t>
      </w:r>
      <w:r w:rsidR="00062221">
        <w:t>’</w:t>
      </w:r>
      <w:r w:rsidR="00F92E77">
        <w:t>alinéa </w:t>
      </w:r>
      <w:r w:rsidRPr="00EB3D2F" w:rsidR="001E01FA">
        <w:t>9 du même article, lequel renvoie aux actes de discrimination économique prévus et définis par l</w:t>
      </w:r>
      <w:r w:rsidR="00062221">
        <w:t>’</w:t>
      </w:r>
      <w:r w:rsidR="00565C93">
        <w:t>article </w:t>
      </w:r>
      <w:r w:rsidRPr="00EB3D2F" w:rsidR="001E01FA">
        <w:t>225-2 du code pénal. La cour d</w:t>
      </w:r>
      <w:r w:rsidR="00062221">
        <w:t>’</w:t>
      </w:r>
      <w:r w:rsidRPr="00EB3D2F" w:rsidR="001E01FA">
        <w:t xml:space="preserve">appel </w:t>
      </w:r>
      <w:r w:rsidRPr="00EB3D2F" w:rsidR="001D4785">
        <w:t xml:space="preserve">de Colmar </w:t>
      </w:r>
      <w:r w:rsidRPr="00EB3D2F" w:rsidR="001E01FA">
        <w:t xml:space="preserve">a cependant </w:t>
      </w:r>
      <w:r w:rsidRPr="00EB3D2F" w:rsidR="001D4785">
        <w:t>infirmé ce jugement, considérant</w:t>
      </w:r>
      <w:r w:rsidRPr="00EB3D2F" w:rsidR="001E01FA">
        <w:t xml:space="preserve"> que les requérants avaient </w:t>
      </w:r>
      <w:r w:rsidR="006A4DF1">
        <w:t>« </w:t>
      </w:r>
      <w:proofErr w:type="spellStart"/>
      <w:r w:rsidRPr="00EB3D2F" w:rsidR="001E01FA">
        <w:t>provoqu</w:t>
      </w:r>
      <w:proofErr w:type="spellEnd"/>
      <w:r w:rsidRPr="00EB3D2F" w:rsidR="001E01FA">
        <w:t xml:space="preserve">[é] </w:t>
      </w:r>
      <w:r w:rsidRPr="00EB3D2F" w:rsidR="00F847FF">
        <w:t xml:space="preserve">à </w:t>
      </w:r>
      <w:r w:rsidRPr="00EB3D2F" w:rsidR="001E01FA">
        <w:t>discriminer les produits venant d</w:t>
      </w:r>
      <w:r w:rsidR="00062221">
        <w:t>’</w:t>
      </w:r>
      <w:r w:rsidRPr="00EB3D2F" w:rsidR="001E01FA">
        <w:t>Israël</w:t>
      </w:r>
      <w:r w:rsidR="006A4DF1">
        <w:t> »</w:t>
      </w:r>
      <w:r w:rsidRPr="00EB3D2F" w:rsidR="001E01FA">
        <w:t xml:space="preserve">, incitant les clients </w:t>
      </w:r>
      <w:r w:rsidRPr="00EB3D2F" w:rsidR="00F847FF">
        <w:t xml:space="preserve">à </w:t>
      </w:r>
      <w:r w:rsidRPr="00EB3D2F" w:rsidR="001E01FA">
        <w:t>ne pas acheter ces marchandises en raison de l</w:t>
      </w:r>
      <w:r w:rsidR="00062221">
        <w:t>’</w:t>
      </w:r>
      <w:r w:rsidRPr="00EB3D2F" w:rsidR="001E01FA">
        <w:t xml:space="preserve">origine des producteurs, lesquels constituaient un </w:t>
      </w:r>
      <w:r w:rsidR="006A4DF1">
        <w:t>« </w:t>
      </w:r>
      <w:r w:rsidRPr="00EB3D2F" w:rsidR="001E01FA">
        <w:t>groupe de personnes</w:t>
      </w:r>
      <w:r w:rsidR="006A4DF1">
        <w:t> »</w:t>
      </w:r>
      <w:r w:rsidRPr="00EB3D2F" w:rsidR="001E01FA">
        <w:t xml:space="preserve"> appartenant </w:t>
      </w:r>
      <w:r w:rsidRPr="00EB3D2F" w:rsidR="00F847FF">
        <w:t xml:space="preserve">à </w:t>
      </w:r>
      <w:r w:rsidRPr="00EB3D2F" w:rsidR="001E01FA">
        <w:t xml:space="preserve">une </w:t>
      </w:r>
      <w:r w:rsidR="006A4DF1">
        <w:t>« </w:t>
      </w:r>
      <w:r w:rsidRPr="00EB3D2F" w:rsidR="001E01FA">
        <w:t>nation</w:t>
      </w:r>
      <w:r w:rsidR="006A4DF1">
        <w:t> »</w:t>
      </w:r>
      <w:r w:rsidRPr="00EB3D2F" w:rsidR="001E01FA">
        <w:t xml:space="preserve"> déterminée, Israël.</w:t>
      </w:r>
    </w:p>
    <w:p w:rsidRPr="00EB3D2F" w:rsidR="00340372" w:rsidP="00EB3D2F" w:rsidRDefault="00D9686A">
      <w:pPr>
        <w:pStyle w:val="JuPara"/>
      </w:pPr>
      <w:r w:rsidRPr="00EB3D2F">
        <w:fldChar w:fldCharType="begin"/>
      </w:r>
      <w:r w:rsidRPr="00EB3D2F">
        <w:instrText xml:space="preserve"> SEQ level0 \*arabic </w:instrText>
      </w:r>
      <w:r w:rsidRPr="00EB3D2F">
        <w:fldChar w:fldCharType="separate"/>
      </w:r>
      <w:r w:rsidRPr="00EB3D2F" w:rsidR="00EB3D2F">
        <w:rPr>
          <w:noProof/>
        </w:rPr>
        <w:t>38</w:t>
      </w:r>
      <w:r w:rsidRPr="00EB3D2F">
        <w:fldChar w:fldCharType="end"/>
      </w:r>
      <w:r w:rsidRPr="00EB3D2F">
        <w:t>.  </w:t>
      </w:r>
      <w:r w:rsidRPr="00EB3D2F" w:rsidR="0055116D">
        <w:t>La Cour observe que, c</w:t>
      </w:r>
      <w:r w:rsidRPr="00EB3D2F" w:rsidR="00C51178">
        <w:t xml:space="preserve">ertes, </w:t>
      </w:r>
      <w:r w:rsidRPr="00EB3D2F" w:rsidR="001E01FA">
        <w:t>l</w:t>
      </w:r>
      <w:r w:rsidRPr="00EB3D2F" w:rsidR="00454504">
        <w:t xml:space="preserve">e texte de </w:t>
      </w:r>
      <w:r w:rsidRPr="00EB3D2F" w:rsidR="00786ACC">
        <w:t>l</w:t>
      </w:r>
      <w:r w:rsidR="00062221">
        <w:t>’</w:t>
      </w:r>
      <w:r w:rsidR="00565C93">
        <w:t>article </w:t>
      </w:r>
      <w:r w:rsidRPr="00EB3D2F" w:rsidR="00786ACC">
        <w:t>24</w:t>
      </w:r>
      <w:r w:rsidRPr="00EB3D2F" w:rsidR="001D494B">
        <w:t>,</w:t>
      </w:r>
      <w:r w:rsidRPr="00EB3D2F" w:rsidR="00786ACC">
        <w:t xml:space="preserve"> </w:t>
      </w:r>
      <w:r w:rsidR="00F92E77">
        <w:t>alinéa </w:t>
      </w:r>
      <w:r w:rsidRPr="00EB3D2F" w:rsidR="00786ACC">
        <w:t>8</w:t>
      </w:r>
      <w:r w:rsidRPr="00EB3D2F" w:rsidR="001D494B">
        <w:t>,</w:t>
      </w:r>
      <w:r w:rsidRPr="00EB3D2F" w:rsidR="00786ACC">
        <w:t xml:space="preserve"> de la loi du 29</w:t>
      </w:r>
      <w:r w:rsidR="00565C93">
        <w:t> juillet</w:t>
      </w:r>
      <w:r w:rsidRPr="00EB3D2F" w:rsidR="00786ACC">
        <w:t xml:space="preserve"> 1881 </w:t>
      </w:r>
      <w:r w:rsidRPr="00EB3D2F" w:rsidR="00454504">
        <w:t>ne renvoie</w:t>
      </w:r>
      <w:r w:rsidRPr="00EB3D2F" w:rsidR="001E01FA">
        <w:t xml:space="preserve"> pas </w:t>
      </w:r>
      <w:r w:rsidRPr="00EB3D2F" w:rsidR="003E796E">
        <w:t xml:space="preserve">explicitement </w:t>
      </w:r>
      <w:r w:rsidRPr="00EB3D2F" w:rsidR="00F847FF">
        <w:t xml:space="preserve">à </w:t>
      </w:r>
      <w:r w:rsidRPr="00EB3D2F" w:rsidR="001E01FA">
        <w:t xml:space="preserve">la provocation </w:t>
      </w:r>
      <w:r w:rsidRPr="00EB3D2F" w:rsidR="00F847FF">
        <w:t xml:space="preserve">à </w:t>
      </w:r>
      <w:r w:rsidRPr="00EB3D2F" w:rsidR="001E01FA">
        <w:t xml:space="preserve">la discrimination économique. Quant </w:t>
      </w:r>
      <w:r w:rsidRPr="00EB3D2F" w:rsidR="00F847FF">
        <w:t xml:space="preserve">à </w:t>
      </w:r>
      <w:r w:rsidRPr="00EB3D2F" w:rsidR="001E01FA">
        <w:t>l</w:t>
      </w:r>
      <w:r w:rsidR="00062221">
        <w:t>’</w:t>
      </w:r>
      <w:r w:rsidR="00F92E77">
        <w:t>alinéa </w:t>
      </w:r>
      <w:r w:rsidRPr="00EB3D2F" w:rsidR="001E01FA">
        <w:t xml:space="preserve">9, il vise </w:t>
      </w:r>
      <w:r w:rsidRPr="00EB3D2F" w:rsidR="007955D0">
        <w:t xml:space="preserve">expressément </w:t>
      </w:r>
      <w:r w:rsidRPr="00EB3D2F" w:rsidR="001E01FA">
        <w:t xml:space="preserve">cette forme de provocation </w:t>
      </w:r>
      <w:r w:rsidRPr="00EB3D2F" w:rsidR="00F847FF">
        <w:t xml:space="preserve">à </w:t>
      </w:r>
      <w:r w:rsidRPr="00EB3D2F" w:rsidR="001E01FA">
        <w:t xml:space="preserve">la discrimination mais uniquement </w:t>
      </w:r>
      <w:r w:rsidRPr="00EB3D2F" w:rsidR="00F847FF">
        <w:t xml:space="preserve">à </w:t>
      </w:r>
      <w:r w:rsidRPr="00EB3D2F" w:rsidR="001E01FA">
        <w:t>raison du sexe, de l</w:t>
      </w:r>
      <w:r w:rsidR="00062221">
        <w:t>’</w:t>
      </w:r>
      <w:r w:rsidRPr="00EB3D2F" w:rsidR="001E01FA">
        <w:t>orientation sexuelle ou du handicap</w:t>
      </w:r>
      <w:r w:rsidRPr="00EB3D2F" w:rsidR="00124481">
        <w:t xml:space="preserve">, pas </w:t>
      </w:r>
      <w:r w:rsidRPr="00EB3D2F" w:rsidR="00F847FF">
        <w:t xml:space="preserve">à </w:t>
      </w:r>
      <w:r w:rsidRPr="00EB3D2F" w:rsidR="00124481">
        <w:t xml:space="preserve">raison </w:t>
      </w:r>
      <w:r w:rsidRPr="00EB3D2F" w:rsidR="00A44427">
        <w:t xml:space="preserve">de </w:t>
      </w:r>
      <w:r w:rsidRPr="00EB3D2F" w:rsidR="0055548C">
        <w:t>l</w:t>
      </w:r>
      <w:r w:rsidR="00062221">
        <w:t>’</w:t>
      </w:r>
      <w:r w:rsidRPr="00EB3D2F" w:rsidR="0055548C">
        <w:t xml:space="preserve">origine ou de </w:t>
      </w:r>
      <w:r w:rsidRPr="00EB3D2F" w:rsidR="00124481">
        <w:t>l</w:t>
      </w:r>
      <w:r w:rsidR="00062221">
        <w:t>’</w:t>
      </w:r>
      <w:r w:rsidRPr="00EB3D2F" w:rsidR="00A44427">
        <w:t xml:space="preserve">appartenance </w:t>
      </w:r>
      <w:r w:rsidRPr="00EB3D2F" w:rsidR="00F847FF">
        <w:t xml:space="preserve">à </w:t>
      </w:r>
      <w:r w:rsidRPr="00EB3D2F" w:rsidR="00A44427">
        <w:t>une nation</w:t>
      </w:r>
      <w:r w:rsidRPr="00EB3D2F" w:rsidR="001E01FA">
        <w:t>.</w:t>
      </w:r>
    </w:p>
    <w:p w:rsidR="00062221" w:rsidP="00EB3D2F" w:rsidRDefault="00B25DDE">
      <w:pPr>
        <w:pStyle w:val="JuPara"/>
      </w:pPr>
      <w:r w:rsidRPr="00EB3D2F">
        <w:fldChar w:fldCharType="begin"/>
      </w:r>
      <w:r w:rsidRPr="00EB3D2F">
        <w:instrText xml:space="preserve"> SEQ level0 \*arabic </w:instrText>
      </w:r>
      <w:r w:rsidRPr="00EB3D2F">
        <w:fldChar w:fldCharType="separate"/>
      </w:r>
      <w:r w:rsidRPr="00EB3D2F" w:rsidR="00EB3D2F">
        <w:rPr>
          <w:noProof/>
        </w:rPr>
        <w:t>39</w:t>
      </w:r>
      <w:r w:rsidRPr="00EB3D2F">
        <w:fldChar w:fldCharType="end"/>
      </w:r>
      <w:r w:rsidRPr="00EB3D2F">
        <w:t>.  </w:t>
      </w:r>
      <w:r w:rsidRPr="00EB3D2F" w:rsidR="007955D0">
        <w:t xml:space="preserve">La Cour </w:t>
      </w:r>
      <w:r w:rsidRPr="00EB3D2F" w:rsidR="00D9798E">
        <w:t>constate</w:t>
      </w:r>
      <w:r w:rsidRPr="00EB3D2F" w:rsidR="00A125EF">
        <w:t xml:space="preserve"> </w:t>
      </w:r>
      <w:r w:rsidRPr="00EB3D2F">
        <w:t>toutefois</w:t>
      </w:r>
      <w:r w:rsidRPr="00EB3D2F" w:rsidR="00D9798E">
        <w:t xml:space="preserve"> avec le Gouvernement</w:t>
      </w:r>
      <w:r w:rsidRPr="00EB3D2F">
        <w:t xml:space="preserve"> </w:t>
      </w:r>
      <w:r w:rsidRPr="00EB3D2F" w:rsidR="009C3ABB">
        <w:t>qu</w:t>
      </w:r>
      <w:r w:rsidR="00062221">
        <w:t>’</w:t>
      </w:r>
      <w:r w:rsidRPr="00EB3D2F" w:rsidR="009C3ABB">
        <w:t>avant la date des faits de l</w:t>
      </w:r>
      <w:r w:rsidR="00062221">
        <w:t>’</w:t>
      </w:r>
      <w:r w:rsidRPr="00EB3D2F" w:rsidR="009C3ABB">
        <w:t>espèce, la Cour de cassation s</w:t>
      </w:r>
      <w:r w:rsidR="00062221">
        <w:t>’</w:t>
      </w:r>
      <w:r w:rsidRPr="00EB3D2F" w:rsidR="009C3ABB">
        <w:t>était prononcée dans le sens de l</w:t>
      </w:r>
      <w:r w:rsidR="00062221">
        <w:t>’</w:t>
      </w:r>
      <w:r w:rsidRPr="00EB3D2F" w:rsidR="009C3ABB">
        <w:t>application de l</w:t>
      </w:r>
      <w:r w:rsidR="00062221">
        <w:t>’</w:t>
      </w:r>
      <w:r w:rsidR="00565C93">
        <w:t>article </w:t>
      </w:r>
      <w:r w:rsidRPr="00EB3D2F" w:rsidR="009C3ABB">
        <w:t>24</w:t>
      </w:r>
      <w:r w:rsidRPr="00EB3D2F" w:rsidR="001D494B">
        <w:t>,</w:t>
      </w:r>
      <w:r w:rsidRPr="00EB3D2F" w:rsidR="009C3ABB">
        <w:t xml:space="preserve"> </w:t>
      </w:r>
      <w:r w:rsidR="00F92E77">
        <w:t>alinéa </w:t>
      </w:r>
      <w:r w:rsidRPr="00EB3D2F" w:rsidR="009C3ABB">
        <w:t>8</w:t>
      </w:r>
      <w:r w:rsidRPr="00EB3D2F" w:rsidR="001D494B">
        <w:t>,</w:t>
      </w:r>
      <w:r w:rsidRPr="00EB3D2F" w:rsidR="009C3ABB">
        <w:t xml:space="preserve"> de la loi du 29</w:t>
      </w:r>
      <w:r w:rsidR="00565C93">
        <w:t> juillet</w:t>
      </w:r>
      <w:r w:rsidRPr="00EB3D2F" w:rsidR="009C3ABB">
        <w:t xml:space="preserve"> 1881 en cas d</w:t>
      </w:r>
      <w:r w:rsidR="00062221">
        <w:t>’</w:t>
      </w:r>
      <w:r w:rsidRPr="00EB3D2F" w:rsidR="009C3ABB">
        <w:t>appel au boycott de produits importés d</w:t>
      </w:r>
      <w:r w:rsidR="00062221">
        <w:t>’</w:t>
      </w:r>
      <w:r w:rsidRPr="00EB3D2F" w:rsidR="009C3ABB">
        <w:t>Israël. D</w:t>
      </w:r>
      <w:r w:rsidRPr="00EB3D2F">
        <w:t>ans le cadre de l</w:t>
      </w:r>
      <w:r w:rsidR="00062221">
        <w:t>’</w:t>
      </w:r>
      <w:r w:rsidRPr="00EB3D2F">
        <w:t xml:space="preserve">affaire </w:t>
      </w:r>
      <w:r w:rsidRPr="00EB3D2F">
        <w:rPr>
          <w:i/>
        </w:rPr>
        <w:t>Willem</w:t>
      </w:r>
      <w:r w:rsidR="0019365C">
        <w:t>,</w:t>
      </w:r>
      <w:r w:rsidRPr="00EB3D2F">
        <w:t xml:space="preserve"> </w:t>
      </w:r>
      <w:r w:rsidRPr="00EB3D2F" w:rsidR="00A125EF">
        <w:t xml:space="preserve">précitée, </w:t>
      </w:r>
      <w:r w:rsidRPr="00EB3D2F" w:rsidR="00D9798E">
        <w:t xml:space="preserve">répondant </w:t>
      </w:r>
      <w:r w:rsidRPr="00EB3D2F" w:rsidR="00F847FF">
        <w:t xml:space="preserve">à </w:t>
      </w:r>
      <w:r w:rsidRPr="00EB3D2F" w:rsidR="00D9798E">
        <w:t>un moyen tiré d</w:t>
      </w:r>
      <w:r w:rsidR="00062221">
        <w:t>’</w:t>
      </w:r>
      <w:r w:rsidRPr="00EB3D2F" w:rsidR="00D9798E">
        <w:t>une méconnaissance du principe d</w:t>
      </w:r>
      <w:r w:rsidR="00062221">
        <w:t>’</w:t>
      </w:r>
      <w:r w:rsidRPr="00EB3D2F" w:rsidR="00D9798E">
        <w:t xml:space="preserve">interprétation stricte de la loi pénale, </w:t>
      </w:r>
      <w:r w:rsidRPr="00EB3D2F" w:rsidR="001154D3">
        <w:t>la Cour de cassation</w:t>
      </w:r>
      <w:r w:rsidRPr="00EB3D2F" w:rsidR="00D9798E">
        <w:t xml:space="preserve"> </w:t>
      </w:r>
      <w:r w:rsidRPr="00EB3D2F">
        <w:t xml:space="preserve">a </w:t>
      </w:r>
      <w:r w:rsidRPr="00EB3D2F" w:rsidR="009C3ABB">
        <w:t xml:space="preserve">en effet </w:t>
      </w:r>
      <w:r w:rsidRPr="00EB3D2F">
        <w:t>validé par un arrêt du 28</w:t>
      </w:r>
      <w:r w:rsidR="00565C93">
        <w:t> septembre</w:t>
      </w:r>
      <w:r w:rsidRPr="00EB3D2F">
        <w:t xml:space="preserve"> 2004 un arrêt de la cour d</w:t>
      </w:r>
      <w:r w:rsidR="00062221">
        <w:t>’</w:t>
      </w:r>
      <w:r w:rsidRPr="00EB3D2F" w:rsidR="005E5924">
        <w:t>appel de Douai du 11</w:t>
      </w:r>
      <w:r w:rsidR="00565C93">
        <w:t> septembre</w:t>
      </w:r>
      <w:r w:rsidRPr="00EB3D2F">
        <w:t xml:space="preserve"> 2003 qui retenait ce qui suit</w:t>
      </w:r>
      <w:r w:rsidR="006A4DF1">
        <w:t> :</w:t>
      </w:r>
    </w:p>
    <w:p w:rsidR="00EF184D" w:rsidP="00062221" w:rsidRDefault="006A4DF1">
      <w:pPr>
        <w:pStyle w:val="JuQuot"/>
      </w:pPr>
      <w:r>
        <w:t>« </w:t>
      </w:r>
      <w:r w:rsidR="00FC7530">
        <w:t>[</w:t>
      </w:r>
      <w:r w:rsidR="00EF184D">
        <w:t>L</w:t>
      </w:r>
      <w:r w:rsidR="007E6B0F">
        <w:t>]</w:t>
      </w:r>
      <w:r w:rsidRPr="00EB3D2F" w:rsidR="00B25DDE">
        <w:t xml:space="preserve">es </w:t>
      </w:r>
      <w:r w:rsidR="00565C93">
        <w:t>articles </w:t>
      </w:r>
      <w:r w:rsidRPr="00EB3D2F" w:rsidR="00B25DDE">
        <w:t>23 et 24 de la loi du 29</w:t>
      </w:r>
      <w:r w:rsidR="00565C93">
        <w:t> juillet</w:t>
      </w:r>
      <w:r w:rsidRPr="00EB3D2F" w:rsidR="00B25DDE">
        <w:t xml:space="preserve"> 1881 incriminent le fait de provoquer (</w:t>
      </w:r>
      <w:r w:rsidRPr="00EB3D2F" w:rsidR="00340372">
        <w:t>...</w:t>
      </w:r>
      <w:r w:rsidRPr="00EB3D2F" w:rsidR="00B25DDE">
        <w:t xml:space="preserve">) </w:t>
      </w:r>
      <w:r w:rsidRPr="00EB3D2F" w:rsidR="00F847FF">
        <w:t xml:space="preserve">à </w:t>
      </w:r>
      <w:r w:rsidRPr="00EB3D2F" w:rsidR="00B25DDE">
        <w:t xml:space="preserve">la discrimination en portant entrave </w:t>
      </w:r>
      <w:r w:rsidRPr="00EB3D2F" w:rsidR="00F847FF">
        <w:t xml:space="preserve">à </w:t>
      </w:r>
      <w:r w:rsidRPr="00EB3D2F" w:rsidR="00B25DDE">
        <w:t>l</w:t>
      </w:r>
      <w:r w:rsidR="00062221">
        <w:t>’</w:t>
      </w:r>
      <w:r w:rsidRPr="00EB3D2F" w:rsidR="00B25DDE">
        <w:t>exercice normal d</w:t>
      </w:r>
      <w:r w:rsidR="00062221">
        <w:t>’</w:t>
      </w:r>
      <w:r w:rsidRPr="00EB3D2F" w:rsidR="00B25DDE">
        <w:t>une activité économique quelconque</w:t>
      </w:r>
      <w:r w:rsidR="002E04AF">
        <w:t xml:space="preserve"> </w:t>
      </w:r>
      <w:r w:rsidRPr="00EB3D2F" w:rsidR="00B25DDE">
        <w:t>(</w:t>
      </w:r>
      <w:r w:rsidRPr="00EB3D2F" w:rsidR="00340372">
        <w:t>...</w:t>
      </w:r>
      <w:r w:rsidRPr="00EB3D2F" w:rsidR="00B25DDE">
        <w:t xml:space="preserve">) ces textes </w:t>
      </w:r>
      <w:proofErr w:type="spellStart"/>
      <w:proofErr w:type="gramStart"/>
      <w:r w:rsidRPr="00EB3D2F" w:rsidR="00B25DDE">
        <w:t>renvo</w:t>
      </w:r>
      <w:proofErr w:type="spellEnd"/>
      <w:r w:rsidRPr="00EB3D2F" w:rsidR="00B25DDE">
        <w:t>[</w:t>
      </w:r>
      <w:proofErr w:type="spellStart"/>
      <w:proofErr w:type="gramEnd"/>
      <w:r w:rsidRPr="00EB3D2F" w:rsidR="00B25DDE">
        <w:t>yant</w:t>
      </w:r>
      <w:proofErr w:type="spellEnd"/>
      <w:r w:rsidRPr="00EB3D2F" w:rsidR="00B25DDE">
        <w:t xml:space="preserve">] aux dispositions des </w:t>
      </w:r>
      <w:r w:rsidR="00565C93">
        <w:t>articles </w:t>
      </w:r>
      <w:r w:rsidRPr="00EB3D2F" w:rsidR="00B25DDE">
        <w:t>225</w:t>
      </w:r>
      <w:r w:rsidRPr="006F49EE" w:rsidR="002E04AF">
        <w:rPr>
          <w:lang w:val="it-IT"/>
        </w:rPr>
        <w:noBreakHyphen/>
      </w:r>
      <w:r w:rsidRPr="00EB3D2F" w:rsidR="00B25DDE">
        <w:t>1 et 225</w:t>
      </w:r>
      <w:r w:rsidRPr="006F49EE" w:rsidR="002E04AF">
        <w:rPr>
          <w:lang w:val="it-IT"/>
        </w:rPr>
        <w:noBreakHyphen/>
      </w:r>
      <w:r w:rsidRPr="00EB3D2F" w:rsidR="00B25DDE">
        <w:t>2 du code pénal (</w:t>
      </w:r>
      <w:r w:rsidRPr="00EB3D2F" w:rsidR="00340372">
        <w:t>...</w:t>
      </w:r>
      <w:r w:rsidRPr="00EB3D2F" w:rsidR="00B25DDE">
        <w:t>)</w:t>
      </w:r>
      <w:r w:rsidR="00EF184D">
        <w:t>.</w:t>
      </w:r>
      <w:r>
        <w:t> »</w:t>
      </w:r>
    </w:p>
    <w:p w:rsidRPr="00EB3D2F" w:rsidR="00CF4DAB" w:rsidP="00EB3D2F" w:rsidRDefault="00CF4DAB">
      <w:pPr>
        <w:pStyle w:val="JuPara"/>
      </w:pPr>
      <w:r w:rsidRPr="00EB3D2F">
        <w:t>La Cour de cassation a relevé que l</w:t>
      </w:r>
      <w:r w:rsidR="00062221">
        <w:t>’</w:t>
      </w:r>
      <w:r w:rsidRPr="00EB3D2F">
        <w:t xml:space="preserve">arrêt attaqué énonçait notamment que le prévenu, en annonçant son intention </w:t>
      </w:r>
      <w:r w:rsidRPr="00EB3D2F" w:rsidR="00124481">
        <w:t xml:space="preserve">en tant que maire </w:t>
      </w:r>
      <w:r w:rsidRPr="00EB3D2F">
        <w:t>de demander aux services de restauration de la commune de ne plus acheter</w:t>
      </w:r>
      <w:r w:rsidRPr="00EB3D2F" w:rsidR="00D9798E">
        <w:t xml:space="preserve"> de produits en provenance de l</w:t>
      </w:r>
      <w:r w:rsidR="00062221">
        <w:t>’</w:t>
      </w:r>
      <w:r w:rsidRPr="00EB3D2F">
        <w:t>État d</w:t>
      </w:r>
      <w:r w:rsidR="00062221">
        <w:t>’</w:t>
      </w:r>
      <w:r w:rsidRPr="00EB3D2F">
        <w:t xml:space="preserve">Israël, avait incité ceux-ci </w:t>
      </w:r>
      <w:r w:rsidRPr="00EB3D2F" w:rsidR="00F847FF">
        <w:t xml:space="preserve">à </w:t>
      </w:r>
      <w:r w:rsidRPr="00EB3D2F">
        <w:t xml:space="preserve">tenir compte de </w:t>
      </w:r>
      <w:r w:rsidRPr="00EB3D2F" w:rsidR="00124481">
        <w:t>l</w:t>
      </w:r>
      <w:r w:rsidR="00062221">
        <w:t>’</w:t>
      </w:r>
      <w:r w:rsidRPr="00EB3D2F">
        <w:t xml:space="preserve">origine de ces </w:t>
      </w:r>
      <w:r w:rsidRPr="00EB3D2F" w:rsidR="006A4B6F">
        <w:t xml:space="preserve">produits et, par suite, </w:t>
      </w:r>
      <w:r w:rsidRPr="00EB3D2F" w:rsidR="00F847FF">
        <w:t xml:space="preserve">à </w:t>
      </w:r>
      <w:r w:rsidRPr="00EB3D2F">
        <w:t>entraver l</w:t>
      </w:r>
      <w:r w:rsidR="00062221">
        <w:t>’</w:t>
      </w:r>
      <w:r w:rsidRPr="00EB3D2F">
        <w:t>exercice de l</w:t>
      </w:r>
      <w:r w:rsidR="00062221">
        <w:t>’</w:t>
      </w:r>
      <w:r w:rsidRPr="00EB3D2F">
        <w:t xml:space="preserve">activité économique des producteurs israéliens, cet appel au boycott étant fait en raison de leur appartenance </w:t>
      </w:r>
      <w:r w:rsidRPr="00EB3D2F" w:rsidR="00F847FF">
        <w:t xml:space="preserve">à </w:t>
      </w:r>
      <w:r w:rsidRPr="00EB3D2F">
        <w:t xml:space="preserve">la nation israélienne. Elle </w:t>
      </w:r>
      <w:r w:rsidRPr="00EB3D2F" w:rsidR="00124481">
        <w:t xml:space="preserve">a </w:t>
      </w:r>
      <w:r w:rsidRPr="00EB3D2F">
        <w:t>jugé qu</w:t>
      </w:r>
      <w:r w:rsidR="00062221">
        <w:t>’</w:t>
      </w:r>
      <w:r w:rsidRPr="00EB3D2F">
        <w:t xml:space="preserve">en cet état, et dès lors que la diffusion sur le site </w:t>
      </w:r>
      <w:r w:rsidR="00502A5D">
        <w:t>I</w:t>
      </w:r>
      <w:r w:rsidRPr="00EB3D2F">
        <w:t>nternet de la commune de la décision prise par le maire de boycotter les produits israéliens, accompagnée d</w:t>
      </w:r>
      <w:r w:rsidR="00062221">
        <w:t>’</w:t>
      </w:r>
      <w:r w:rsidRPr="00EB3D2F">
        <w:t>un commentaire militant, était</w:t>
      </w:r>
      <w:r w:rsidRPr="00EB3D2F" w:rsidR="00124481">
        <w:t>,</w:t>
      </w:r>
      <w:r w:rsidRPr="00EB3D2F">
        <w:t xml:space="preserve"> en multipliant les destinataires du message, de nature </w:t>
      </w:r>
      <w:r w:rsidRPr="00EB3D2F" w:rsidR="00F847FF">
        <w:t xml:space="preserve">à </w:t>
      </w:r>
      <w:r w:rsidRPr="00EB3D2F">
        <w:t>provoquer des comportements discriminatoires, la cour d</w:t>
      </w:r>
      <w:r w:rsidR="00062221">
        <w:t>’</w:t>
      </w:r>
      <w:r w:rsidRPr="00EB3D2F">
        <w:t>appel avait justifié sa décision.</w:t>
      </w:r>
    </w:p>
    <w:p w:rsidRPr="00EB3D2F" w:rsidR="00CF4DAB" w:rsidP="00EB3D2F" w:rsidRDefault="00CF4DAB">
      <w:pPr>
        <w:pStyle w:val="JuPara"/>
      </w:pPr>
      <w:r w:rsidRPr="00EB3D2F">
        <w:fldChar w:fldCharType="begin"/>
      </w:r>
      <w:r w:rsidRPr="00EB3D2F">
        <w:instrText xml:space="preserve"> SEQ level0 \*arabic </w:instrText>
      </w:r>
      <w:r w:rsidRPr="00EB3D2F">
        <w:fldChar w:fldCharType="separate"/>
      </w:r>
      <w:r w:rsidRPr="00EB3D2F" w:rsidR="00EB3D2F">
        <w:rPr>
          <w:noProof/>
        </w:rPr>
        <w:t>40</w:t>
      </w:r>
      <w:r w:rsidRPr="00EB3D2F">
        <w:fldChar w:fldCharType="end"/>
      </w:r>
      <w:r w:rsidRPr="00EB3D2F">
        <w:t>.  </w:t>
      </w:r>
      <w:r w:rsidRPr="00EB3D2F" w:rsidR="0084587E">
        <w:t xml:space="preserve">Ainsi, </w:t>
      </w:r>
      <w:r w:rsidRPr="00EB3D2F">
        <w:t>en l</w:t>
      </w:r>
      <w:r w:rsidR="00062221">
        <w:t>’</w:t>
      </w:r>
      <w:r w:rsidRPr="00EB3D2F">
        <w:t xml:space="preserve">état de la jurisprudence </w:t>
      </w:r>
      <w:r w:rsidRPr="00EB3D2F" w:rsidR="00F847FF">
        <w:t xml:space="preserve">à </w:t>
      </w:r>
      <w:r w:rsidRPr="00EB3D2F">
        <w:t>l</w:t>
      </w:r>
      <w:r w:rsidR="00062221">
        <w:t>’</w:t>
      </w:r>
      <w:r w:rsidRPr="00EB3D2F">
        <w:t>époque des faits de leur cause, les requérants pouvaient savoir qu</w:t>
      </w:r>
      <w:r w:rsidR="00062221">
        <w:t>’</w:t>
      </w:r>
      <w:r w:rsidRPr="00EB3D2F">
        <w:t>ils risquaient d</w:t>
      </w:r>
      <w:r w:rsidR="00062221">
        <w:t>’</w:t>
      </w:r>
      <w:r w:rsidRPr="00EB3D2F">
        <w:t>être condamnés sur le fondement de l</w:t>
      </w:r>
      <w:r w:rsidR="00062221">
        <w:t>’</w:t>
      </w:r>
      <w:r w:rsidR="00565C93">
        <w:t>article </w:t>
      </w:r>
      <w:r w:rsidRPr="00EB3D2F">
        <w:t>24</w:t>
      </w:r>
      <w:r w:rsidRPr="00EB3D2F" w:rsidR="001D494B">
        <w:t>,</w:t>
      </w:r>
      <w:r w:rsidRPr="00EB3D2F">
        <w:t xml:space="preserve"> </w:t>
      </w:r>
      <w:r w:rsidR="00F92E77">
        <w:t>alinéa </w:t>
      </w:r>
      <w:r w:rsidRPr="00EB3D2F">
        <w:t>8</w:t>
      </w:r>
      <w:r w:rsidRPr="00EB3D2F" w:rsidR="001D494B">
        <w:t>,</w:t>
      </w:r>
      <w:r w:rsidRPr="00EB3D2F">
        <w:t xml:space="preserve"> de la loi du 29</w:t>
      </w:r>
      <w:r w:rsidR="00565C93">
        <w:t> juillet</w:t>
      </w:r>
      <w:r w:rsidRPr="00EB3D2F">
        <w:t xml:space="preserve"> 1881 </w:t>
      </w:r>
      <w:r w:rsidRPr="00EB3D2F" w:rsidR="0088773F">
        <w:t>en</w:t>
      </w:r>
      <w:r w:rsidRPr="00EB3D2F">
        <w:t xml:space="preserve"> raison de l</w:t>
      </w:r>
      <w:r w:rsidR="00062221">
        <w:t>’</w:t>
      </w:r>
      <w:r w:rsidRPr="00EB3D2F">
        <w:t xml:space="preserve">appel </w:t>
      </w:r>
      <w:r w:rsidRPr="00EB3D2F" w:rsidR="00F847FF">
        <w:t xml:space="preserve">à </w:t>
      </w:r>
      <w:r w:rsidRPr="00EB3D2F">
        <w:t xml:space="preserve">boycott </w:t>
      </w:r>
      <w:r w:rsidRPr="00EB3D2F" w:rsidR="003F61DE">
        <w:t>des produits importés d</w:t>
      </w:r>
      <w:r w:rsidR="00062221">
        <w:t>’</w:t>
      </w:r>
      <w:r w:rsidRPr="00EB3D2F" w:rsidR="003F61DE">
        <w:t xml:space="preserve">Israël </w:t>
      </w:r>
      <w:r w:rsidRPr="00EB3D2F">
        <w:t>qu</w:t>
      </w:r>
      <w:r w:rsidR="00062221">
        <w:t>’</w:t>
      </w:r>
      <w:r w:rsidRPr="00EB3D2F">
        <w:t>ils ont proféré.</w:t>
      </w:r>
    </w:p>
    <w:p w:rsidRPr="00EB3D2F" w:rsidR="00340372" w:rsidP="00EB3D2F" w:rsidRDefault="00E75261">
      <w:pPr>
        <w:pStyle w:val="JuPara"/>
      </w:pPr>
      <w:r w:rsidRPr="00EB3D2F">
        <w:fldChar w:fldCharType="begin"/>
      </w:r>
      <w:r w:rsidRPr="00EB3D2F">
        <w:instrText xml:space="preserve"> SEQ level0 \*arabic </w:instrText>
      </w:r>
      <w:r w:rsidRPr="00EB3D2F">
        <w:fldChar w:fldCharType="separate"/>
      </w:r>
      <w:r w:rsidRPr="00EB3D2F" w:rsidR="00EB3D2F">
        <w:rPr>
          <w:noProof/>
        </w:rPr>
        <w:t>41</w:t>
      </w:r>
      <w:r w:rsidRPr="00EB3D2F">
        <w:fldChar w:fldCharType="end"/>
      </w:r>
      <w:r w:rsidRPr="00EB3D2F">
        <w:t>.  </w:t>
      </w:r>
      <w:r w:rsidRPr="00EB3D2F" w:rsidR="003F61DE">
        <w:t>Partant, il n</w:t>
      </w:r>
      <w:r w:rsidR="00062221">
        <w:t>’</w:t>
      </w:r>
      <w:r w:rsidRPr="00EB3D2F" w:rsidR="003F61DE">
        <w:t>y a pas eu violation de l</w:t>
      </w:r>
      <w:r w:rsidR="00062221">
        <w:t>’</w:t>
      </w:r>
      <w:r w:rsidR="00565C93">
        <w:t>article </w:t>
      </w:r>
      <w:r w:rsidRPr="00EB3D2F" w:rsidR="003F61DE">
        <w:t>7</w:t>
      </w:r>
      <w:r w:rsidRPr="00EB3D2F" w:rsidR="00C51178">
        <w:t xml:space="preserve"> de la Convention</w:t>
      </w:r>
      <w:r w:rsidRPr="00EB3D2F" w:rsidR="003F61DE">
        <w:t>.</w:t>
      </w:r>
    </w:p>
    <w:p w:rsidRPr="00EB3D2F" w:rsidR="00E77CB3" w:rsidP="00EB3D2F" w:rsidRDefault="00E77CB3">
      <w:pPr>
        <w:pStyle w:val="JuHIRoman"/>
        <w:rPr>
          <w:lang w:val="fr-FR"/>
        </w:rPr>
      </w:pPr>
      <w:r w:rsidRPr="00EB3D2F">
        <w:rPr>
          <w:lang w:val="fr-FR"/>
        </w:rPr>
        <w:t>SUR LA VIOLATION ALLÉGUÉE DE L</w:t>
      </w:r>
      <w:r w:rsidR="00062221">
        <w:rPr>
          <w:lang w:val="fr-FR"/>
        </w:rPr>
        <w:t>’</w:t>
      </w:r>
      <w:r w:rsidRPr="00EB3D2F">
        <w:rPr>
          <w:lang w:val="fr-FR"/>
        </w:rPr>
        <w:t xml:space="preserve">ARTICLE </w:t>
      </w:r>
      <w:r w:rsidRPr="00EB3D2F" w:rsidR="004E1905">
        <w:rPr>
          <w:lang w:val="fr-FR"/>
        </w:rPr>
        <w:t>10</w:t>
      </w:r>
      <w:r w:rsidRPr="00EB3D2F">
        <w:rPr>
          <w:lang w:val="fr-FR"/>
        </w:rPr>
        <w:t xml:space="preserve"> DE LA CONVENTION</w:t>
      </w:r>
    </w:p>
    <w:p w:rsidRPr="00EB3D2F" w:rsidR="009838B1"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42</w:t>
      </w:r>
      <w:r w:rsidRPr="00EB3D2F">
        <w:fldChar w:fldCharType="end"/>
      </w:r>
      <w:r w:rsidRPr="00EB3D2F" w:rsidR="00E77CB3">
        <w:t>.  </w:t>
      </w:r>
      <w:r w:rsidRPr="00EB3D2F" w:rsidR="009838B1">
        <w:t xml:space="preserve">Les requérants se plaignent de leur condamnation </w:t>
      </w:r>
      <w:r w:rsidRPr="00EB3D2F" w:rsidR="001863CC">
        <w:t xml:space="preserve">pénale </w:t>
      </w:r>
      <w:r w:rsidRPr="00EB3D2F" w:rsidR="0088773F">
        <w:t>en</w:t>
      </w:r>
      <w:r w:rsidRPr="00EB3D2F" w:rsidR="009838B1">
        <w:t xml:space="preserve"> raison de leur participation, dans le contexte de la campagne BDS, </w:t>
      </w:r>
      <w:r w:rsidRPr="00EB3D2F" w:rsidR="00F847FF">
        <w:t xml:space="preserve">à </w:t>
      </w:r>
      <w:r w:rsidRPr="00EB3D2F" w:rsidR="001863CC">
        <w:t>des</w:t>
      </w:r>
      <w:r w:rsidRPr="00EB3D2F" w:rsidR="009838B1">
        <w:t xml:space="preserve"> action</w:t>
      </w:r>
      <w:r w:rsidRPr="00EB3D2F" w:rsidR="001863CC">
        <w:t>s</w:t>
      </w:r>
      <w:r w:rsidRPr="00EB3D2F" w:rsidR="009838B1">
        <w:t xml:space="preserve"> appelant au boycott des produits </w:t>
      </w:r>
      <w:r w:rsidRPr="00EB3D2F" w:rsidR="0055548C">
        <w:t>originaires d</w:t>
      </w:r>
      <w:r w:rsidR="00062221">
        <w:t>’</w:t>
      </w:r>
      <w:r w:rsidRPr="00EB3D2F" w:rsidR="0055548C">
        <w:t>Israël</w:t>
      </w:r>
      <w:r w:rsidRPr="00EB3D2F" w:rsidR="009838B1">
        <w:t>. Ils invoquent l</w:t>
      </w:r>
      <w:r w:rsidR="00062221">
        <w:t>’</w:t>
      </w:r>
      <w:r w:rsidR="00565C93">
        <w:t>article </w:t>
      </w:r>
      <w:r w:rsidRPr="00EB3D2F" w:rsidR="009838B1">
        <w:t>10 de la Convention, aux termes duquel</w:t>
      </w:r>
      <w:r w:rsidR="006A4DF1">
        <w:t> :</w:t>
      </w:r>
    </w:p>
    <w:p w:rsidRPr="00EB3D2F" w:rsidR="009838B1" w:rsidP="00EB3D2F" w:rsidRDefault="006A4DF1">
      <w:pPr>
        <w:pStyle w:val="JuQuot"/>
      </w:pPr>
      <w:r>
        <w:t>« </w:t>
      </w:r>
      <w:r w:rsidRPr="00EB3D2F" w:rsidR="009838B1">
        <w:t xml:space="preserve">1.  Toute personne a droit </w:t>
      </w:r>
      <w:r w:rsidRPr="00EB3D2F" w:rsidR="00F847FF">
        <w:t xml:space="preserve">à </w:t>
      </w:r>
      <w:r w:rsidRPr="00EB3D2F" w:rsidR="009838B1">
        <w:t>la liberté d</w:t>
      </w:r>
      <w:r w:rsidR="00062221">
        <w:t>’</w:t>
      </w:r>
      <w:r w:rsidRPr="00EB3D2F" w:rsidR="009838B1">
        <w:t>expression. Ce droit comprend la liberté d</w:t>
      </w:r>
      <w:r w:rsidR="00062221">
        <w:t>’</w:t>
      </w:r>
      <w:r w:rsidRPr="00EB3D2F" w:rsidR="009838B1">
        <w:t>opinion et la liberté de recevoir ou de communiquer des informations ou des idées sans qu</w:t>
      </w:r>
      <w:r w:rsidR="00062221">
        <w:t>’</w:t>
      </w:r>
      <w:r w:rsidRPr="00EB3D2F" w:rsidR="009838B1">
        <w:t>il puisse y avoir ingérence d</w:t>
      </w:r>
      <w:r w:rsidR="00062221">
        <w:t>’</w:t>
      </w:r>
      <w:r w:rsidRPr="00EB3D2F" w:rsidR="009838B1">
        <w:t xml:space="preserve">autorités publiques et sans considération de frontière. Le présent </w:t>
      </w:r>
      <w:r w:rsidR="00565C93">
        <w:t>ar</w:t>
      </w:r>
      <w:r w:rsidR="001F7958">
        <w:t xml:space="preserve">ticle </w:t>
      </w:r>
      <w:r w:rsidRPr="00EB3D2F" w:rsidR="009838B1">
        <w:t>n</w:t>
      </w:r>
      <w:r w:rsidR="00062221">
        <w:t>’</w:t>
      </w:r>
      <w:r w:rsidRPr="00EB3D2F" w:rsidR="009838B1">
        <w:t xml:space="preserve">empêche pas les </w:t>
      </w:r>
      <w:r w:rsidRPr="00EB3D2F" w:rsidR="001F7958">
        <w:t>États</w:t>
      </w:r>
      <w:r w:rsidRPr="00EB3D2F" w:rsidR="009838B1">
        <w:t xml:space="preserve"> de soumettre les entreprises de radiodiffusion, de cinéma ou de télévision </w:t>
      </w:r>
      <w:r w:rsidRPr="00EB3D2F" w:rsidR="00F847FF">
        <w:t xml:space="preserve">à </w:t>
      </w:r>
      <w:r w:rsidRPr="00EB3D2F" w:rsidR="009838B1">
        <w:t>un régime d</w:t>
      </w:r>
      <w:r w:rsidR="00062221">
        <w:t>’</w:t>
      </w:r>
      <w:r w:rsidRPr="00EB3D2F" w:rsidR="009838B1">
        <w:t>autorisations.</w:t>
      </w:r>
    </w:p>
    <w:p w:rsidRPr="00EB3D2F" w:rsidR="009838B1" w:rsidP="00EB3D2F" w:rsidRDefault="009838B1">
      <w:pPr>
        <w:pStyle w:val="JuQuot"/>
      </w:pPr>
      <w:r w:rsidRPr="00EB3D2F">
        <w:t>2.  L</w:t>
      </w:r>
      <w:r w:rsidR="00062221">
        <w:t>’</w:t>
      </w:r>
      <w:r w:rsidRPr="00EB3D2F">
        <w:t xml:space="preserve">exercice de ces libertés comportant des devoirs et des responsabilités peut être soumis </w:t>
      </w:r>
      <w:r w:rsidRPr="00EB3D2F" w:rsidR="00F847FF">
        <w:t xml:space="preserve">à </w:t>
      </w:r>
      <w:r w:rsidRPr="00EB3D2F">
        <w:t xml:space="preserve">certaines formalités, conditions, restrictions ou sanctions prévues par la loi, qui constituent des mesures nécessaires, dans une société démocratique, </w:t>
      </w:r>
      <w:r w:rsidRPr="00EB3D2F" w:rsidR="00F847FF">
        <w:t xml:space="preserve">à </w:t>
      </w:r>
      <w:r w:rsidRPr="00EB3D2F">
        <w:t xml:space="preserve">la sécurité nationale, </w:t>
      </w:r>
      <w:r w:rsidRPr="00EB3D2F" w:rsidR="00F847FF">
        <w:t xml:space="preserve">à </w:t>
      </w:r>
      <w:r w:rsidRPr="00EB3D2F">
        <w:t>l</w:t>
      </w:r>
      <w:r w:rsidR="00062221">
        <w:t>’</w:t>
      </w:r>
      <w:r w:rsidRPr="00EB3D2F">
        <w:t xml:space="preserve">intégrité territoriale ou </w:t>
      </w:r>
      <w:r w:rsidRPr="00EB3D2F" w:rsidR="00F847FF">
        <w:t xml:space="preserve">à </w:t>
      </w:r>
      <w:r w:rsidRPr="00EB3D2F">
        <w:t xml:space="preserve">la sûreté publique, </w:t>
      </w:r>
      <w:r w:rsidRPr="00EB3D2F" w:rsidR="00F847FF">
        <w:t xml:space="preserve">à </w:t>
      </w:r>
      <w:r w:rsidRPr="00EB3D2F">
        <w:t>la défense de l</w:t>
      </w:r>
      <w:r w:rsidR="00062221">
        <w:t>’</w:t>
      </w:r>
      <w:r w:rsidRPr="00EB3D2F">
        <w:t xml:space="preserve">ordre et </w:t>
      </w:r>
      <w:r w:rsidRPr="00EB3D2F" w:rsidR="00F847FF">
        <w:t xml:space="preserve">à </w:t>
      </w:r>
      <w:r w:rsidRPr="00EB3D2F">
        <w:t xml:space="preserve">la prévention du crime, </w:t>
      </w:r>
      <w:r w:rsidRPr="00EB3D2F" w:rsidR="00F847FF">
        <w:t xml:space="preserve">à </w:t>
      </w:r>
      <w:r w:rsidRPr="00EB3D2F">
        <w:t xml:space="preserve">la protection de la santé ou de la morale, </w:t>
      </w:r>
      <w:r w:rsidRPr="00EB3D2F" w:rsidR="00F847FF">
        <w:t xml:space="preserve">à </w:t>
      </w:r>
      <w:r w:rsidRPr="00EB3D2F">
        <w:t>la protection de la réputation ou des droits d</w:t>
      </w:r>
      <w:r w:rsidR="00062221">
        <w:t>’</w:t>
      </w:r>
      <w:r w:rsidRPr="00EB3D2F">
        <w:t>autrui, pour empêcher la divulgation d</w:t>
      </w:r>
      <w:r w:rsidR="00062221">
        <w:t>’</w:t>
      </w:r>
      <w:r w:rsidRPr="00EB3D2F">
        <w:t>informations confidentielles ou pour garantir l</w:t>
      </w:r>
      <w:r w:rsidR="00062221">
        <w:t>’</w:t>
      </w:r>
      <w:r w:rsidRPr="00EB3D2F">
        <w:t>autorité et l</w:t>
      </w:r>
      <w:r w:rsidR="00062221">
        <w:t>’</w:t>
      </w:r>
      <w:r w:rsidRPr="00EB3D2F">
        <w:t>impartialité du pouvoir judiciaire.</w:t>
      </w:r>
      <w:r w:rsidR="006A4DF1">
        <w:t> »</w:t>
      </w:r>
    </w:p>
    <w:p w:rsidRPr="00062221" w:rsidR="009838B1" w:rsidP="00EB3D2F" w:rsidRDefault="009838B1">
      <w:pPr>
        <w:pStyle w:val="JuHA"/>
        <w:rPr>
          <w:lang w:val="fr-FR"/>
        </w:rPr>
      </w:pPr>
      <w:r w:rsidRPr="00062221">
        <w:rPr>
          <w:lang w:val="fr-FR"/>
        </w:rPr>
        <w:t>Sur la recevabilité</w:t>
      </w:r>
    </w:p>
    <w:p w:rsidRPr="00EB3D2F" w:rsidR="009838B1" w:rsidP="00EB3D2F" w:rsidRDefault="009838B1">
      <w:pPr>
        <w:pStyle w:val="JuPara"/>
      </w:pPr>
      <w:r w:rsidRPr="00EB3D2F">
        <w:fldChar w:fldCharType="begin"/>
      </w:r>
      <w:r w:rsidRPr="00EB3D2F">
        <w:instrText xml:space="preserve"> SEQ level0 \*arabic </w:instrText>
      </w:r>
      <w:r w:rsidRPr="00EB3D2F">
        <w:fldChar w:fldCharType="separate"/>
      </w:r>
      <w:r w:rsidRPr="00EB3D2F" w:rsidR="00EB3D2F">
        <w:rPr>
          <w:noProof/>
        </w:rPr>
        <w:t>43</w:t>
      </w:r>
      <w:r w:rsidRPr="00EB3D2F">
        <w:fldChar w:fldCharType="end"/>
      </w:r>
      <w:r w:rsidRPr="00EB3D2F">
        <w:t>.  Constatant que ce grief n</w:t>
      </w:r>
      <w:r w:rsidR="00062221">
        <w:t>’</w:t>
      </w:r>
      <w:r w:rsidRPr="00EB3D2F">
        <w:t>est pas manifestement mal fondé au sens de l</w:t>
      </w:r>
      <w:r w:rsidR="00062221">
        <w:t>’</w:t>
      </w:r>
      <w:r w:rsidR="00565C93">
        <w:t>article </w:t>
      </w:r>
      <w:r w:rsidRPr="00EB3D2F">
        <w:t xml:space="preserve">35 </w:t>
      </w:r>
      <w:r w:rsidR="00565C93">
        <w:t>§ </w:t>
      </w:r>
      <w:r w:rsidRPr="00EB3D2F">
        <w:t>3 a) de la Convention et qu</w:t>
      </w:r>
      <w:r w:rsidR="00062221">
        <w:t>’</w:t>
      </w:r>
      <w:r w:rsidRPr="00EB3D2F" w:rsidR="006A4B6F">
        <w:t xml:space="preserve">il ne se heurte par ailleurs </w:t>
      </w:r>
      <w:r w:rsidRPr="00EB3D2F" w:rsidR="00F847FF">
        <w:t xml:space="preserve">à </w:t>
      </w:r>
      <w:r w:rsidRPr="00EB3D2F">
        <w:t>aucun autre motif d</w:t>
      </w:r>
      <w:r w:rsidR="00062221">
        <w:t>’</w:t>
      </w:r>
      <w:r w:rsidRPr="00EB3D2F">
        <w:t>irrecevabilité, la Cour le déclare recevable.</w:t>
      </w:r>
    </w:p>
    <w:p w:rsidRPr="00EB3D2F" w:rsidR="009838B1" w:rsidP="00EB3D2F" w:rsidRDefault="009838B1">
      <w:pPr>
        <w:pStyle w:val="JuHA"/>
      </w:pPr>
      <w:r w:rsidRPr="00EB3D2F">
        <w:t>Sur le fond</w:t>
      </w:r>
    </w:p>
    <w:p w:rsidRPr="00EB3D2F" w:rsidR="00873B57" w:rsidP="00EB3D2F" w:rsidRDefault="00873B57">
      <w:pPr>
        <w:pStyle w:val="JuH1"/>
        <w:rPr>
          <w:lang w:val="fr-FR"/>
        </w:rPr>
      </w:pPr>
      <w:r w:rsidRPr="00EB3D2F">
        <w:rPr>
          <w:lang w:val="fr-FR"/>
        </w:rPr>
        <w:t>Observation des parties</w:t>
      </w:r>
    </w:p>
    <w:p w:rsidRPr="00062221" w:rsidR="00873B57" w:rsidP="00EB3D2F" w:rsidRDefault="00873B57">
      <w:pPr>
        <w:pStyle w:val="JuHa0"/>
        <w:rPr>
          <w:lang w:val="fr-FR"/>
        </w:rPr>
      </w:pPr>
      <w:r w:rsidRPr="00062221">
        <w:rPr>
          <w:lang w:val="fr-FR"/>
        </w:rPr>
        <w:t>Les requérants</w:t>
      </w:r>
    </w:p>
    <w:p w:rsidRPr="00EB3D2F" w:rsidR="00340372"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44</w:t>
      </w:r>
      <w:r w:rsidRPr="00EB3D2F">
        <w:fldChar w:fldCharType="end"/>
      </w:r>
      <w:r w:rsidRPr="00EB3D2F">
        <w:t>.  Les requérants rappellent que, le 9</w:t>
      </w:r>
      <w:r w:rsidR="00565C93">
        <w:t> juillet</w:t>
      </w:r>
      <w:r w:rsidRPr="00EB3D2F">
        <w:t xml:space="preserve"> 2005, un an après l</w:t>
      </w:r>
      <w:r w:rsidR="00062221">
        <w:t>’</w:t>
      </w:r>
      <w:r w:rsidRPr="00EB3D2F">
        <w:t xml:space="preserve">avis consultatif de la Cour internationale de </w:t>
      </w:r>
      <w:r w:rsidR="00610FE9">
        <w:t>j</w:t>
      </w:r>
      <w:r w:rsidRPr="00EB3D2F">
        <w:t>ustice du 9</w:t>
      </w:r>
      <w:r w:rsidR="00565C93">
        <w:t> juillet</w:t>
      </w:r>
      <w:r w:rsidRPr="00EB3D2F">
        <w:t xml:space="preserve"> 2004 sur les conséquences juridiques de l</w:t>
      </w:r>
      <w:r w:rsidR="00062221">
        <w:t>’</w:t>
      </w:r>
      <w:r w:rsidRPr="00EB3D2F">
        <w:t>édification d</w:t>
      </w:r>
      <w:r w:rsidR="00062221">
        <w:t>’</w:t>
      </w:r>
      <w:r w:rsidRPr="00EB3D2F">
        <w:t>un mur dans le territoire palestinien occupé – resté lettre morte –,</w:t>
      </w:r>
      <w:r w:rsidRPr="00EB3D2F" w:rsidR="0055548C">
        <w:t xml:space="preserve"> cent soixante-dix</w:t>
      </w:r>
      <w:r w:rsidRPr="00EB3D2F">
        <w:t xml:space="preserve"> partis, organisations et syndicats palestinien</w:t>
      </w:r>
      <w:r w:rsidRPr="00EB3D2F" w:rsidR="00F303AD">
        <w:t>s</w:t>
      </w:r>
      <w:r w:rsidRPr="00EB3D2F">
        <w:t xml:space="preserve"> </w:t>
      </w:r>
      <w:r w:rsidRPr="00EB3D2F" w:rsidR="0055548C">
        <w:t>ont</w:t>
      </w:r>
      <w:r w:rsidRPr="00EB3D2F">
        <w:t xml:space="preserve"> lancé un </w:t>
      </w:r>
      <w:r w:rsidR="006A4DF1">
        <w:t>« </w:t>
      </w:r>
      <w:r w:rsidRPr="00EB3D2F">
        <w:t>appel au boycott, aux sanctions et aux retraits des investissements contre Israël jusqu</w:t>
      </w:r>
      <w:r w:rsidR="00062221">
        <w:t>’</w:t>
      </w:r>
      <w:r w:rsidRPr="00EB3D2F" w:rsidR="00F847FF">
        <w:t xml:space="preserve">à </w:t>
      </w:r>
      <w:r w:rsidRPr="00EB3D2F">
        <w:t>ce qu</w:t>
      </w:r>
      <w:r w:rsidR="00062221">
        <w:t>’</w:t>
      </w:r>
      <w:r w:rsidRPr="00EB3D2F">
        <w:t>il applique le droit international et les principes universels des droits de l</w:t>
      </w:r>
      <w:r w:rsidR="00062221">
        <w:t>’</w:t>
      </w:r>
      <w:r w:rsidRPr="00EB3D2F">
        <w:t>homme</w:t>
      </w:r>
      <w:r w:rsidR="006A4DF1">
        <w:t> »</w:t>
      </w:r>
      <w:r w:rsidRPr="00EB3D2F">
        <w:t>.</w:t>
      </w:r>
    </w:p>
    <w:p w:rsidRPr="00EB3D2F" w:rsidR="00340372" w:rsidP="00EB3D2F" w:rsidRDefault="006051DD">
      <w:pPr>
        <w:pStyle w:val="JuPara"/>
      </w:pPr>
      <w:r w:rsidRPr="00EB3D2F">
        <w:fldChar w:fldCharType="begin"/>
      </w:r>
      <w:r w:rsidRPr="00EB3D2F">
        <w:instrText xml:space="preserve"> SEQ level0 \*arabic </w:instrText>
      </w:r>
      <w:r w:rsidRPr="00EB3D2F">
        <w:fldChar w:fldCharType="separate"/>
      </w:r>
      <w:r w:rsidRPr="00EB3D2F" w:rsidR="00EB3D2F">
        <w:rPr>
          <w:noProof/>
        </w:rPr>
        <w:t>45</w:t>
      </w:r>
      <w:r w:rsidRPr="00EB3D2F">
        <w:fldChar w:fldCharType="end"/>
      </w:r>
      <w:r w:rsidRPr="00EB3D2F">
        <w:t>.  </w:t>
      </w:r>
      <w:r w:rsidRPr="00EB3D2F" w:rsidR="00995481">
        <w:t>Ils soulignent qu</w:t>
      </w:r>
      <w:r w:rsidR="00062221">
        <w:t>’</w:t>
      </w:r>
      <w:r w:rsidRPr="00EB3D2F" w:rsidR="00995481">
        <w:t>il s</w:t>
      </w:r>
      <w:r w:rsidR="00062221">
        <w:t>’</w:t>
      </w:r>
      <w:r w:rsidRPr="00EB3D2F" w:rsidR="00995481">
        <w:t>agit d</w:t>
      </w:r>
      <w:r w:rsidR="00062221">
        <w:t>’</w:t>
      </w:r>
      <w:r w:rsidRPr="00EB3D2F" w:rsidR="00995481">
        <w:t>une campagne internationale non</w:t>
      </w:r>
      <w:r w:rsidR="00AB6851">
        <w:t xml:space="preserve"> </w:t>
      </w:r>
      <w:r w:rsidRPr="00EB3D2F" w:rsidR="00995481">
        <w:t xml:space="preserve">violente qui vise la </w:t>
      </w:r>
      <w:r w:rsidR="006A4DF1">
        <w:t>« </w:t>
      </w:r>
      <w:r w:rsidRPr="00EB3D2F" w:rsidR="00995481">
        <w:t>politique coloniale d</w:t>
      </w:r>
      <w:r w:rsidR="00062221">
        <w:t>’</w:t>
      </w:r>
      <w:r w:rsidRPr="00EB3D2F" w:rsidR="00995481">
        <w:t>occupation israélienne</w:t>
      </w:r>
      <w:r w:rsidR="006A4DF1">
        <w:t> »</w:t>
      </w:r>
      <w:r w:rsidRPr="00EB3D2F" w:rsidR="00995481">
        <w:t xml:space="preserve"> et ses partisans, qui s</w:t>
      </w:r>
      <w:r w:rsidR="00062221">
        <w:t>’</w:t>
      </w:r>
      <w:r w:rsidRPr="00EB3D2F" w:rsidR="00995481">
        <w:t>adresse au citoyen en tant qu</w:t>
      </w:r>
      <w:r w:rsidR="00062221">
        <w:t>’</w:t>
      </w:r>
      <w:r w:rsidRPr="00EB3D2F" w:rsidR="00995481">
        <w:t>acteur social et politique et au consommateur afin qu</w:t>
      </w:r>
      <w:r w:rsidR="00062221">
        <w:t>’</w:t>
      </w:r>
      <w:r w:rsidRPr="00EB3D2F" w:rsidR="00995481">
        <w:t>il fasse une distinction entre les produits sur la base de motifs politiques légitimes et raisonnables</w:t>
      </w:r>
      <w:r w:rsidR="006A4DF1">
        <w:t> ;</w:t>
      </w:r>
      <w:r w:rsidRPr="00EB3D2F" w:rsidR="0055548C">
        <w:t xml:space="preserve"> cette campagne</w:t>
      </w:r>
      <w:r w:rsidRPr="00EB3D2F" w:rsidR="00995481">
        <w:t xml:space="preserve"> entend réagir </w:t>
      </w:r>
      <w:r w:rsidRPr="00EB3D2F" w:rsidR="00F847FF">
        <w:t xml:space="preserve">à </w:t>
      </w:r>
      <w:r w:rsidRPr="00EB3D2F" w:rsidR="00995481">
        <w:t>l</w:t>
      </w:r>
      <w:r w:rsidR="00062221">
        <w:t>’</w:t>
      </w:r>
      <w:r w:rsidRPr="00EB3D2F" w:rsidR="00995481">
        <w:t xml:space="preserve">inertie des puissances dominantes </w:t>
      </w:r>
      <w:r w:rsidRPr="00EB3D2F" w:rsidR="00F847FF">
        <w:t xml:space="preserve">à </w:t>
      </w:r>
      <w:r w:rsidRPr="00EB3D2F" w:rsidR="00995481">
        <w:t>faire respecter leurs propres résolutions et au refus d</w:t>
      </w:r>
      <w:r w:rsidR="00062221">
        <w:t>’</w:t>
      </w:r>
      <w:r w:rsidRPr="00EB3D2F" w:rsidR="00995481">
        <w:t>Israël de se conformer au droit international. Ils ajoutent que cet appel au boycott des produits israéliens s</w:t>
      </w:r>
      <w:r w:rsidR="00062221">
        <w:t>’</w:t>
      </w:r>
      <w:r w:rsidRPr="00EB3D2F" w:rsidR="00995481">
        <w:t>inscrit dans une grande et ancienne tradition d</w:t>
      </w:r>
      <w:r w:rsidR="00062221">
        <w:t>’</w:t>
      </w:r>
      <w:r w:rsidRPr="00EB3D2F" w:rsidR="00995481">
        <w:t>action citoyenne non</w:t>
      </w:r>
      <w:r w:rsidR="00AB6851">
        <w:t xml:space="preserve"> </w:t>
      </w:r>
      <w:r w:rsidRPr="00EB3D2F" w:rsidR="00995481">
        <w:t xml:space="preserve">violente </w:t>
      </w:r>
      <w:r w:rsidRPr="00EB3D2F" w:rsidR="00F847FF">
        <w:t xml:space="preserve">à </w:t>
      </w:r>
      <w:r w:rsidRPr="00EB3D2F" w:rsidR="00995481">
        <w:t xml:space="preserve">visée politique (ils se </w:t>
      </w:r>
      <w:r w:rsidR="00E737DA">
        <w:t>réfèrent</w:t>
      </w:r>
      <w:r w:rsidRPr="00EB3D2F" w:rsidR="00E737DA">
        <w:t xml:space="preserve"> </w:t>
      </w:r>
      <w:r w:rsidRPr="00EB3D2F" w:rsidR="00995481">
        <w:t>notamment aux mouvements pacifiques de lutte contre l</w:t>
      </w:r>
      <w:r w:rsidR="00062221">
        <w:t>’</w:t>
      </w:r>
      <w:r w:rsidRPr="00EB3D2F" w:rsidR="00995481">
        <w:t xml:space="preserve">apartheid et contre la discrimination aux États-Unis), ainsi que dans le mouvement plus récent du boycott </w:t>
      </w:r>
      <w:r w:rsidR="006A4DF1">
        <w:t>« </w:t>
      </w:r>
      <w:proofErr w:type="spellStart"/>
      <w:r w:rsidRPr="00EB3D2F" w:rsidR="00995481">
        <w:t>consom</w:t>
      </w:r>
      <w:proofErr w:type="spellEnd"/>
      <w:r w:rsidRPr="00EB3D2F" w:rsidR="00995481">
        <w:t>-acteur</w:t>
      </w:r>
      <w:r w:rsidR="006A4DF1">
        <w:t> »</w:t>
      </w:r>
      <w:r w:rsidRPr="00EB3D2F" w:rsidR="00995481">
        <w:t xml:space="preserve"> ou </w:t>
      </w:r>
      <w:r w:rsidR="006A4DF1">
        <w:t>« </w:t>
      </w:r>
      <w:r w:rsidRPr="00EB3D2F" w:rsidR="00995481">
        <w:t>consumériste</w:t>
      </w:r>
      <w:r w:rsidR="006A4DF1">
        <w:t> »</w:t>
      </w:r>
      <w:r w:rsidRPr="00EB3D2F" w:rsidR="00995481">
        <w:t xml:space="preserve"> qui vise </w:t>
      </w:r>
      <w:r w:rsidRPr="00EB3D2F" w:rsidR="00F847FF">
        <w:t xml:space="preserve">à </w:t>
      </w:r>
      <w:r w:rsidRPr="00EB3D2F" w:rsidR="00995481">
        <w:t xml:space="preserve">inciter chacun </w:t>
      </w:r>
      <w:r w:rsidRPr="00EB3D2F" w:rsidR="00F847FF">
        <w:t xml:space="preserve">à </w:t>
      </w:r>
      <w:r w:rsidRPr="00EB3D2F" w:rsidR="00995481">
        <w:t>mettre en harmonie ses pratiques de consommation avec ses convictions. Ils ajoutent qu</w:t>
      </w:r>
      <w:r w:rsidR="00062221">
        <w:t>’</w:t>
      </w:r>
      <w:r w:rsidRPr="00EB3D2F" w:rsidR="00995481">
        <w:t>au nom de la liberté d</w:t>
      </w:r>
      <w:r w:rsidR="00062221">
        <w:t>’</w:t>
      </w:r>
      <w:r w:rsidRPr="00EB3D2F" w:rsidR="00995481">
        <w:t xml:space="preserve">expression, la campagne BDS bénéficie du soutien majoritaire de la communauté internationale. Ils renvoient </w:t>
      </w:r>
      <w:r w:rsidRPr="00EB3D2F" w:rsidR="00F847FF">
        <w:t xml:space="preserve">à </w:t>
      </w:r>
      <w:r w:rsidRPr="00EB3D2F" w:rsidR="00995481">
        <w:t>cet égard aux prises de position des organes compétents des Nations unies, des représentants de l</w:t>
      </w:r>
      <w:r w:rsidR="00062221">
        <w:t>’</w:t>
      </w:r>
      <w:r w:rsidRPr="00EB3D2F" w:rsidR="00995481">
        <w:t xml:space="preserve">exécutif ou du pouvoir législatif de nombreux États européens, des </w:t>
      </w:r>
      <w:r w:rsidRPr="00EB3D2F" w:rsidR="00562253">
        <w:t>États-Unis d</w:t>
      </w:r>
      <w:r w:rsidR="00062221">
        <w:t>’</w:t>
      </w:r>
      <w:r w:rsidRPr="00EB3D2F" w:rsidR="00562253">
        <w:t>Amérique</w:t>
      </w:r>
      <w:r w:rsidRPr="00EB3D2F" w:rsidR="00995481">
        <w:t xml:space="preserve">, du </w:t>
      </w:r>
      <w:r w:rsidRPr="00EB3D2F" w:rsidR="001863CC">
        <w:t>P</w:t>
      </w:r>
      <w:r w:rsidRPr="00EB3D2F" w:rsidR="00995481">
        <w:t xml:space="preserve">arlement européen, de la </w:t>
      </w:r>
      <w:r w:rsidRPr="00EB3D2F" w:rsidR="001863CC">
        <w:t>C</w:t>
      </w:r>
      <w:r w:rsidRPr="00EB3D2F" w:rsidR="00995481">
        <w:t>ommission européenne, de régions et de villes d</w:t>
      </w:r>
      <w:r w:rsidR="00062221">
        <w:t>’</w:t>
      </w:r>
      <w:r w:rsidRPr="00EB3D2F" w:rsidR="00995481">
        <w:t>Europe, d</w:t>
      </w:r>
      <w:r w:rsidR="00062221">
        <w:t>’</w:t>
      </w:r>
      <w:r w:rsidRPr="00EB3D2F" w:rsidR="00995481">
        <w:t>universitaires juristes reconnus, de partis politiques, d</w:t>
      </w:r>
      <w:r w:rsidR="00062221">
        <w:t>’</w:t>
      </w:r>
      <w:r w:rsidRPr="00EB3D2F" w:rsidR="002B00D8">
        <w:t>organisations non gouvernementales</w:t>
      </w:r>
      <w:r w:rsidRPr="00EB3D2F" w:rsidR="00995481">
        <w:t xml:space="preserve"> majeures influentes et de représentants de la société civile palestinienne et israélienne.</w:t>
      </w:r>
    </w:p>
    <w:p w:rsidRPr="00EB3D2F" w:rsidR="00995481"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46</w:t>
      </w:r>
      <w:r w:rsidRPr="00EB3D2F">
        <w:fldChar w:fldCharType="end"/>
      </w:r>
      <w:r w:rsidRPr="00EB3D2F">
        <w:t>.  Ils soulignent qu</w:t>
      </w:r>
      <w:r w:rsidR="00062221">
        <w:t>’</w:t>
      </w:r>
      <w:r w:rsidRPr="00EB3D2F">
        <w:t>il</w:t>
      </w:r>
      <w:r w:rsidRPr="00EB3D2F" w:rsidR="00562253">
        <w:t>s</w:t>
      </w:r>
      <w:r w:rsidRPr="00EB3D2F">
        <w:t xml:space="preserve"> sont de simples citoyens militants dépourvus de prérogatives de puissance publique – </w:t>
      </w:r>
      <w:r w:rsidRPr="00EB3D2F" w:rsidR="00F847FF">
        <w:t xml:space="preserve">à </w:t>
      </w:r>
      <w:r w:rsidRPr="00EB3D2F">
        <w:t xml:space="preserve">la différence du requérant </w:t>
      </w:r>
      <w:r w:rsidR="00AD74DE">
        <w:t>J</w:t>
      </w:r>
      <w:r w:rsidR="00D736A6">
        <w:t>.</w:t>
      </w:r>
      <w:r w:rsidRPr="006F49EE" w:rsidR="00D736A6">
        <w:noBreakHyphen/>
      </w:r>
      <w:r w:rsidR="00D736A6">
        <w:t>C. </w:t>
      </w:r>
      <w:r w:rsidRPr="00062221">
        <w:t>Willem</w:t>
      </w:r>
      <w:r w:rsidRPr="00EB3D2F">
        <w:t xml:space="preserve"> –, et que leur liberté d</w:t>
      </w:r>
      <w:r w:rsidR="00062221">
        <w:t>’</w:t>
      </w:r>
      <w:r w:rsidRPr="00EB3D2F">
        <w:t>expression (manifestée par l</w:t>
      </w:r>
      <w:r w:rsidR="00062221">
        <w:t>’</w:t>
      </w:r>
      <w:r w:rsidRPr="00EB3D2F">
        <w:t>appel au boycott) sur un sujet éminemment politique et relevant du débat d</w:t>
      </w:r>
      <w:r w:rsidR="00062221">
        <w:t>’</w:t>
      </w:r>
      <w:r w:rsidRPr="00EB3D2F">
        <w:t>intérêt général, a été violée du fait de leur condamnation, alors qu</w:t>
      </w:r>
      <w:r w:rsidR="00062221">
        <w:t>’</w:t>
      </w:r>
      <w:r w:rsidRPr="00EB3D2F">
        <w:t>ils appelaient publiquement et sans violence ou autre forme de contrainte, les consommateurs et la direction d</w:t>
      </w:r>
      <w:r w:rsidR="00062221">
        <w:t>’</w:t>
      </w:r>
      <w:r w:rsidRPr="00EB3D2F">
        <w:t xml:space="preserve">une grande surface </w:t>
      </w:r>
      <w:r w:rsidRPr="00EB3D2F" w:rsidR="00F847FF">
        <w:t xml:space="preserve">à </w:t>
      </w:r>
      <w:r w:rsidRPr="00EB3D2F">
        <w:t>ne pas acheter les produits fabriqués en Israël et ainsi exercer une forme d</w:t>
      </w:r>
      <w:r w:rsidR="00062221">
        <w:t>’</w:t>
      </w:r>
      <w:r w:rsidRPr="00EB3D2F">
        <w:t>objection de conscience, en raison de la politique gouvernementale menée par cet État en violation flagrante et constatée du droit international public général, du droit international humanitaire et des droits de l</w:t>
      </w:r>
      <w:r w:rsidR="00062221">
        <w:t>’</w:t>
      </w:r>
      <w:r w:rsidRPr="00EB3D2F">
        <w:t>homme. Ils mettent l</w:t>
      </w:r>
      <w:r w:rsidR="00062221">
        <w:t>’</w:t>
      </w:r>
      <w:r w:rsidRPr="00EB3D2F">
        <w:t>accent sur le fait que leur appel était exempt de toute connotation raciste ou antisémite, et qu</w:t>
      </w:r>
      <w:r w:rsidR="00062221">
        <w:t>’</w:t>
      </w:r>
      <w:r w:rsidRPr="00EB3D2F">
        <w:t>il ne visait aucune personne ou groupe de personnes identifié</w:t>
      </w:r>
      <w:r w:rsidRPr="00EB3D2F" w:rsidR="00623AB7">
        <w:t>s</w:t>
      </w:r>
      <w:r w:rsidRPr="00EB3D2F">
        <w:t xml:space="preserve"> mais uniquement les produits importés d</w:t>
      </w:r>
      <w:r w:rsidR="00062221">
        <w:t>’</w:t>
      </w:r>
      <w:r w:rsidRPr="00EB3D2F">
        <w:t>Israël, quelle que soit donc la nationalité des fournisseurs ou producteurs. Ils en déduisent que la substance de leur expression a été artificiellement et arbitrairement dépolitisée afin de la soustraire au régime protecteur du discours politique.</w:t>
      </w:r>
    </w:p>
    <w:p w:rsidRPr="00EB3D2F" w:rsidR="00995481" w:rsidP="00EB3D2F" w:rsidRDefault="007F244D">
      <w:pPr>
        <w:pStyle w:val="JuPara"/>
      </w:pPr>
      <w:r w:rsidRPr="00EB3D2F">
        <w:fldChar w:fldCharType="begin"/>
      </w:r>
      <w:r w:rsidRPr="00EB3D2F">
        <w:instrText xml:space="preserve"> SEQ level0 \*arabic </w:instrText>
      </w:r>
      <w:r w:rsidRPr="00EB3D2F">
        <w:fldChar w:fldCharType="separate"/>
      </w:r>
      <w:r w:rsidRPr="00EB3D2F" w:rsidR="00EB3D2F">
        <w:rPr>
          <w:noProof/>
        </w:rPr>
        <w:t>47</w:t>
      </w:r>
      <w:r w:rsidRPr="00EB3D2F">
        <w:fldChar w:fldCharType="end"/>
      </w:r>
      <w:r w:rsidRPr="00EB3D2F">
        <w:t>.  </w:t>
      </w:r>
      <w:r w:rsidRPr="00EB3D2F" w:rsidR="00995481">
        <w:t xml:space="preserve">Les requérants renvoient ensuite aux principes qui se dégagent de la jurisprudence </w:t>
      </w:r>
      <w:r w:rsidRPr="00EB3D2F" w:rsidR="0041596C">
        <w:t xml:space="preserve">de </w:t>
      </w:r>
      <w:r w:rsidRPr="00EB3D2F" w:rsidR="00995481">
        <w:t>la Cour sur l</w:t>
      </w:r>
      <w:r w:rsidR="00062221">
        <w:t>’</w:t>
      </w:r>
      <w:r w:rsidR="00565C93">
        <w:t>article </w:t>
      </w:r>
      <w:r w:rsidRPr="00EB3D2F" w:rsidR="00995481">
        <w:t>10</w:t>
      </w:r>
      <w:r w:rsidR="006A4DF1">
        <w:t> :</w:t>
      </w:r>
      <w:r w:rsidRPr="00EB3D2F" w:rsidR="00995481">
        <w:t xml:space="preserve"> la liberté d</w:t>
      </w:r>
      <w:r w:rsidR="00062221">
        <w:t>’</w:t>
      </w:r>
      <w:r w:rsidRPr="00EB3D2F" w:rsidR="00995481">
        <w:t>expression comprend la liberté de choquer, de heurter ou d</w:t>
      </w:r>
      <w:r w:rsidR="00062221">
        <w:t>’</w:t>
      </w:r>
      <w:r w:rsidRPr="00EB3D2F" w:rsidR="00995481">
        <w:t>inquiéter, sa limite se trouvant dans le discours de haine</w:t>
      </w:r>
      <w:r w:rsidR="006A4DF1">
        <w:t> ;</w:t>
      </w:r>
      <w:r w:rsidRPr="00EB3D2F" w:rsidR="00995481">
        <w:t xml:space="preserve"> le discours de nature politique ou militante bénéficie d</w:t>
      </w:r>
      <w:r w:rsidR="00062221">
        <w:t>’</w:t>
      </w:r>
      <w:r w:rsidRPr="00EB3D2F" w:rsidR="00995481">
        <w:t>une protection renforcée, la marge d</w:t>
      </w:r>
      <w:r w:rsidR="00062221">
        <w:t>’</w:t>
      </w:r>
      <w:r w:rsidRPr="00EB3D2F" w:rsidR="00995481">
        <w:t>appréciation des États étant alors restreinte</w:t>
      </w:r>
      <w:r w:rsidR="006A4DF1">
        <w:t> ;</w:t>
      </w:r>
      <w:r w:rsidRPr="00EB3D2F" w:rsidR="00995481">
        <w:t xml:space="preserve"> les restrictions </w:t>
      </w:r>
      <w:r w:rsidRPr="00EB3D2F" w:rsidR="00F847FF">
        <w:t xml:space="preserve">à </w:t>
      </w:r>
      <w:r w:rsidRPr="00EB3D2F" w:rsidR="00995481">
        <w:t>la liberté d</w:t>
      </w:r>
      <w:r w:rsidR="00062221">
        <w:t>’</w:t>
      </w:r>
      <w:r w:rsidRPr="00EB3D2F" w:rsidR="00995481">
        <w:t>expression doivent être interprétées strictement</w:t>
      </w:r>
      <w:r w:rsidR="006A4DF1">
        <w:t> ;</w:t>
      </w:r>
      <w:r w:rsidRPr="00EB3D2F" w:rsidR="00995481">
        <w:t xml:space="preserve"> l</w:t>
      </w:r>
      <w:r w:rsidR="00062221">
        <w:t>’</w:t>
      </w:r>
      <w:r w:rsidRPr="00EB3D2F" w:rsidR="00995481">
        <w:t>appréciation par les juridictions internes de la bonne foi de l</w:t>
      </w:r>
      <w:r w:rsidR="00062221">
        <w:t>’</w:t>
      </w:r>
      <w:r w:rsidRPr="00EB3D2F" w:rsidR="00995481">
        <w:t xml:space="preserve">individu et des faits doit être </w:t>
      </w:r>
      <w:r w:rsidR="00F04DB6">
        <w:t>acceptable </w:t>
      </w:r>
      <w:r w:rsidR="006A4DF1">
        <w:t>;</w:t>
      </w:r>
      <w:r w:rsidRPr="00EB3D2F" w:rsidR="00995481">
        <w:t xml:space="preserve"> l</w:t>
      </w:r>
      <w:r w:rsidR="00062221">
        <w:t>’</w:t>
      </w:r>
      <w:r w:rsidRPr="00EB3D2F" w:rsidR="00995481">
        <w:t>ingérence doit reposer sur des motifs pertinents et suffisants et un besoin social impérieux.</w:t>
      </w:r>
    </w:p>
    <w:p w:rsidRPr="00EB3D2F" w:rsidR="00340372"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48</w:t>
      </w:r>
      <w:r w:rsidRPr="00EB3D2F">
        <w:fldChar w:fldCharType="end"/>
      </w:r>
      <w:r w:rsidRPr="00EB3D2F">
        <w:t>.  Ils soulignent que leur appel au boycott relève de l</w:t>
      </w:r>
      <w:r w:rsidR="00062221">
        <w:t>’</w:t>
      </w:r>
      <w:r w:rsidRPr="00EB3D2F">
        <w:t>expression politique et militante sur un sujet géopolitique d</w:t>
      </w:r>
      <w:r w:rsidR="00062221">
        <w:t>’</w:t>
      </w:r>
      <w:r w:rsidRPr="00EB3D2F">
        <w:t>intérêt général majeur</w:t>
      </w:r>
      <w:r w:rsidR="006A4DF1">
        <w:t> :</w:t>
      </w:r>
      <w:r w:rsidRPr="00EB3D2F">
        <w:t xml:space="preserve"> la résolution de la question israélo-palestinienne par l</w:t>
      </w:r>
      <w:r w:rsidR="00062221">
        <w:t>’</w:t>
      </w:r>
      <w:r w:rsidRPr="00EB3D2F">
        <w:t xml:space="preserve">application effective du droit international public ainsi que la responsabilité internationale des sociétés commerciales </w:t>
      </w:r>
      <w:r w:rsidRPr="00EB3D2F" w:rsidR="006051DD">
        <w:t xml:space="preserve">quant </w:t>
      </w:r>
      <w:r w:rsidRPr="00EB3D2F" w:rsidR="00F847FF">
        <w:t xml:space="preserve">à </w:t>
      </w:r>
      <w:r w:rsidRPr="00EB3D2F" w:rsidR="006051DD">
        <w:t>la</w:t>
      </w:r>
      <w:r w:rsidRPr="00EB3D2F">
        <w:t xml:space="preserve"> violation des droits de l</w:t>
      </w:r>
      <w:r w:rsidR="00062221">
        <w:t>’</w:t>
      </w:r>
      <w:r w:rsidRPr="00EB3D2F">
        <w:t>homme dans les territoires palestiniens occupés. On se trouverait donc dans un cas où l</w:t>
      </w:r>
      <w:r w:rsidR="00062221">
        <w:t>’</w:t>
      </w:r>
      <w:r w:rsidR="00565C93">
        <w:t>article </w:t>
      </w:r>
      <w:r w:rsidRPr="00EB3D2F">
        <w:t>10 de la Convention exige un degré élevé de protection de la liberté d</w:t>
      </w:r>
      <w:r w:rsidR="00062221">
        <w:t>’</w:t>
      </w:r>
      <w:r w:rsidRPr="00EB3D2F">
        <w:t>expression et où la marge d</w:t>
      </w:r>
      <w:r w:rsidR="00062221">
        <w:t>’</w:t>
      </w:r>
      <w:r w:rsidRPr="00EB3D2F">
        <w:t>appréciation de l</w:t>
      </w:r>
      <w:r w:rsidR="00062221">
        <w:t>’</w:t>
      </w:r>
      <w:r w:rsidRPr="00EB3D2F">
        <w:t>État est particulièrement restreinte. Ils soulignent plus largement que les appels au boycott des produits en provenance d</w:t>
      </w:r>
      <w:r w:rsidR="00062221">
        <w:t>’</w:t>
      </w:r>
      <w:r w:rsidRPr="00EB3D2F">
        <w:t>Israël ne sont pas d</w:t>
      </w:r>
      <w:r w:rsidRPr="00EB3D2F" w:rsidR="006A4B6F">
        <w:t xml:space="preserve">es provocations </w:t>
      </w:r>
      <w:r w:rsidRPr="00EB3D2F" w:rsidR="00F847FF">
        <w:t xml:space="preserve">à </w:t>
      </w:r>
      <w:r w:rsidRPr="00EB3D2F" w:rsidR="006A4B6F">
        <w:t xml:space="preserve">la haine ou </w:t>
      </w:r>
      <w:r w:rsidRPr="00EB3D2F" w:rsidR="00F847FF">
        <w:t xml:space="preserve">à </w:t>
      </w:r>
      <w:r w:rsidRPr="00EB3D2F">
        <w:t>la violence puisqu</w:t>
      </w:r>
      <w:r w:rsidR="00062221">
        <w:t>’</w:t>
      </w:r>
      <w:r w:rsidRPr="00EB3D2F">
        <w:t>exempts de diffamation et insultes, de propos racistes ou antisémites, d</w:t>
      </w:r>
      <w:r w:rsidR="00062221">
        <w:t>’</w:t>
      </w:r>
      <w:r w:rsidRPr="00EB3D2F">
        <w:t xml:space="preserve">appels </w:t>
      </w:r>
      <w:r w:rsidRPr="00EB3D2F" w:rsidR="00F847FF">
        <w:t xml:space="preserve">à </w:t>
      </w:r>
      <w:r w:rsidRPr="00EB3D2F">
        <w:t>la commission d</w:t>
      </w:r>
      <w:r w:rsidR="00062221">
        <w:t>’</w:t>
      </w:r>
      <w:r w:rsidRPr="00EB3D2F">
        <w:t>une infraction et d</w:t>
      </w:r>
      <w:r w:rsidR="00062221">
        <w:t>’</w:t>
      </w:r>
      <w:r w:rsidRPr="00EB3D2F">
        <w:t xml:space="preserve">apologie de crimes internationaux. Ils ne seraient pas non plus des provocations </w:t>
      </w:r>
      <w:r w:rsidRPr="00EB3D2F" w:rsidR="00F847FF">
        <w:t xml:space="preserve">à </w:t>
      </w:r>
      <w:r w:rsidRPr="00EB3D2F">
        <w:t>la discrimination fondée sur l</w:t>
      </w:r>
      <w:r w:rsidR="00062221">
        <w:t>’</w:t>
      </w:r>
      <w:r w:rsidRPr="00EB3D2F">
        <w:t>origine ou l</w:t>
      </w:r>
      <w:r w:rsidR="00062221">
        <w:t>’</w:t>
      </w:r>
      <w:r w:rsidRPr="00EB3D2F">
        <w:t>appartenance d</w:t>
      </w:r>
      <w:r w:rsidR="00062221">
        <w:t>’</w:t>
      </w:r>
      <w:r w:rsidRPr="00EB3D2F">
        <w:t>une personne ou d</w:t>
      </w:r>
      <w:r w:rsidR="00062221">
        <w:t>’</w:t>
      </w:r>
      <w:r w:rsidRPr="00EB3D2F">
        <w:t xml:space="preserve">un groupe de personnes </w:t>
      </w:r>
      <w:r w:rsidRPr="00EB3D2F" w:rsidR="00F847FF">
        <w:t xml:space="preserve">à </w:t>
      </w:r>
      <w:r w:rsidRPr="00EB3D2F">
        <w:t>une ethnie, race ou religion puisqu</w:t>
      </w:r>
      <w:r w:rsidR="00062221">
        <w:t>’</w:t>
      </w:r>
      <w:r w:rsidRPr="00EB3D2F">
        <w:t>ils viseraient uniquement des produits qui ne sont pas nécessairement manufacturés par des personnes de nationalité israélienne. Ils estiment en outre que leur cas doit être distingué de celui que la Cour a examiné dans l</w:t>
      </w:r>
      <w:r w:rsidR="00062221">
        <w:t>’</w:t>
      </w:r>
      <w:r w:rsidRPr="00EB3D2F">
        <w:t xml:space="preserve">affaire </w:t>
      </w:r>
      <w:r w:rsidRPr="00EB3D2F">
        <w:rPr>
          <w:i/>
        </w:rPr>
        <w:t>Willem</w:t>
      </w:r>
      <w:r w:rsidR="009B5BDA">
        <w:t>, précitée</w:t>
      </w:r>
      <w:r w:rsidR="006A4DF1">
        <w:t> :</w:t>
      </w:r>
      <w:r w:rsidRPr="00EB3D2F">
        <w:t xml:space="preserve"> le statut, la qualité et la fonction des requérants </w:t>
      </w:r>
      <w:r w:rsidRPr="00EB3D2F" w:rsidR="007C463F">
        <w:t>ne sont</w:t>
      </w:r>
      <w:r w:rsidRPr="00EB3D2F" w:rsidR="00AA5CA5">
        <w:t xml:space="preserve"> pas les</w:t>
      </w:r>
      <w:r w:rsidRPr="00EB3D2F">
        <w:t xml:space="preserve"> même</w:t>
      </w:r>
      <w:r w:rsidRPr="00EB3D2F" w:rsidR="007C463F">
        <w:t>s</w:t>
      </w:r>
      <w:r w:rsidRPr="00EB3D2F" w:rsidR="00AA5CA5">
        <w:t>, la</w:t>
      </w:r>
      <w:r w:rsidRPr="00EB3D2F">
        <w:t xml:space="preserve"> Cour ayant accordé du poids au fait que le requérant </w:t>
      </w:r>
      <w:r w:rsidR="00CB5E90">
        <w:t>J.</w:t>
      </w:r>
      <w:r w:rsidRPr="006F49EE" w:rsidR="0048179C">
        <w:rPr>
          <w:lang w:val="it-IT"/>
        </w:rPr>
        <w:noBreakHyphen/>
      </w:r>
      <w:r w:rsidR="00CB5E90">
        <w:t>C. </w:t>
      </w:r>
      <w:r w:rsidRPr="00EB3D2F">
        <w:t>Willem avait agi en sa qualité de maire</w:t>
      </w:r>
      <w:r w:rsidR="006A4DF1">
        <w:t> ;</w:t>
      </w:r>
      <w:r w:rsidRPr="00EB3D2F">
        <w:t xml:space="preserve"> ce dernier avait ainsi une capacité d</w:t>
      </w:r>
      <w:r w:rsidR="00062221">
        <w:t>’</w:t>
      </w:r>
      <w:r w:rsidRPr="00EB3D2F" w:rsidR="006A4B6F">
        <w:t xml:space="preserve">influence supérieure </w:t>
      </w:r>
      <w:r w:rsidRPr="00EB3D2F" w:rsidR="00F847FF">
        <w:t xml:space="preserve">à </w:t>
      </w:r>
      <w:r w:rsidRPr="00EB3D2F">
        <w:t xml:space="preserve">la leur, et la Cour a entendu sanctionner un maire qui, en tant que tel, a des responsabilité </w:t>
      </w:r>
      <w:r w:rsidRPr="00EB3D2F" w:rsidR="00F847FF">
        <w:t xml:space="preserve">à </w:t>
      </w:r>
      <w:r w:rsidRPr="00EB3D2F">
        <w:t>l</w:t>
      </w:r>
      <w:r w:rsidR="00062221">
        <w:t>’</w:t>
      </w:r>
      <w:r w:rsidRPr="00EB3D2F">
        <w:t>égard de l</w:t>
      </w:r>
      <w:r w:rsidR="00062221">
        <w:t>’</w:t>
      </w:r>
      <w:r w:rsidRPr="00EB3D2F">
        <w:t xml:space="preserve">ensemble de ses administrés, qui doit garder un certain niveau de neutralité, qui a utilisé ses pouvoirs pour ordonner </w:t>
      </w:r>
      <w:r w:rsidRPr="00EB3D2F" w:rsidR="00F847FF">
        <w:t xml:space="preserve">à </w:t>
      </w:r>
      <w:r w:rsidRPr="00EB3D2F">
        <w:t>ses services de ne pas acheter les produits d</w:t>
      </w:r>
      <w:r w:rsidR="00062221">
        <w:t>’</w:t>
      </w:r>
      <w:r w:rsidRPr="00EB3D2F">
        <w:t>un pays donné et qui a pris cette décision sans favoriser le libre débat.</w:t>
      </w:r>
    </w:p>
    <w:p w:rsidRPr="00EB3D2F" w:rsidR="00340372"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49</w:t>
      </w:r>
      <w:r w:rsidRPr="00EB3D2F">
        <w:fldChar w:fldCharType="end"/>
      </w:r>
      <w:r w:rsidRPr="00EB3D2F">
        <w:t xml:space="preserve">.  Renvoyant </w:t>
      </w:r>
      <w:r w:rsidRPr="00EB3D2F" w:rsidR="00F847FF">
        <w:t xml:space="preserve">à </w:t>
      </w:r>
      <w:r w:rsidRPr="00EB3D2F">
        <w:t xml:space="preserve">leur argumentation relative </w:t>
      </w:r>
      <w:r w:rsidRPr="00EB3D2F" w:rsidR="00F847FF">
        <w:t xml:space="preserve">à </w:t>
      </w:r>
      <w:r w:rsidRPr="00EB3D2F">
        <w:t>l</w:t>
      </w:r>
      <w:r w:rsidR="00062221">
        <w:t>’</w:t>
      </w:r>
      <w:r w:rsidR="00565C93">
        <w:t>article </w:t>
      </w:r>
      <w:r w:rsidRPr="00EB3D2F">
        <w:t>7 de la Convention, les requérants soutiennent par ailleurs que la répression de leur appel au boycott ne repose sur aucune base légale. Ils estiment aussi qu</w:t>
      </w:r>
      <w:r w:rsidR="00062221">
        <w:t>’</w:t>
      </w:r>
      <w:r w:rsidRPr="00EB3D2F">
        <w:t xml:space="preserve">elle ne vise aucun des buts légitimes énumérés </w:t>
      </w:r>
      <w:r w:rsidRPr="00EB3D2F" w:rsidR="00F847FF">
        <w:t xml:space="preserve">à </w:t>
      </w:r>
      <w:r w:rsidRPr="00EB3D2F">
        <w:t>l</w:t>
      </w:r>
      <w:r w:rsidR="00062221">
        <w:t>’</w:t>
      </w:r>
      <w:r w:rsidR="00565C93">
        <w:t>article </w:t>
      </w:r>
      <w:r w:rsidRPr="00EB3D2F" w:rsidR="006A4B6F">
        <w:t xml:space="preserve">10 </w:t>
      </w:r>
      <w:r w:rsidR="00565C93">
        <w:t>§ </w:t>
      </w:r>
      <w:r w:rsidRPr="00EB3D2F" w:rsidR="006A4B6F">
        <w:t xml:space="preserve">2. Ils observent </w:t>
      </w:r>
      <w:r w:rsidRPr="00EB3D2F" w:rsidR="00F847FF">
        <w:t xml:space="preserve">à </w:t>
      </w:r>
      <w:r w:rsidRPr="00EB3D2F">
        <w:t>cet égard que les juridictions internes n</w:t>
      </w:r>
      <w:r w:rsidR="00062221">
        <w:t>’</w:t>
      </w:r>
      <w:r w:rsidRPr="00EB3D2F">
        <w:t xml:space="preserve">ont pas précisé en quoi </w:t>
      </w:r>
      <w:r w:rsidRPr="00EB3D2F" w:rsidR="00562253">
        <w:t xml:space="preserve">leur appel </w:t>
      </w:r>
      <w:r w:rsidRPr="00EB3D2F" w:rsidR="00F303AD">
        <w:t>au</w:t>
      </w:r>
      <w:r w:rsidRPr="00EB3D2F" w:rsidR="00562253">
        <w:t xml:space="preserve"> boycott</w:t>
      </w:r>
      <w:r w:rsidRPr="00EB3D2F">
        <w:t xml:space="preserve"> pouvait être attentatoire </w:t>
      </w:r>
      <w:r w:rsidRPr="00EB3D2F" w:rsidR="006C0393">
        <w:t xml:space="preserve">aux </w:t>
      </w:r>
      <w:r w:rsidR="006A4DF1">
        <w:t>« </w:t>
      </w:r>
      <w:r w:rsidRPr="00EB3D2F" w:rsidR="006C0393">
        <w:t>droits d</w:t>
      </w:r>
      <w:r w:rsidR="00062221">
        <w:t>’</w:t>
      </w:r>
      <w:r w:rsidRPr="00EB3D2F" w:rsidR="006C0393">
        <w:t>autrui</w:t>
      </w:r>
      <w:r w:rsidR="006A4DF1">
        <w:t> »</w:t>
      </w:r>
      <w:r w:rsidRPr="00EB3D2F" w:rsidR="006C0393">
        <w:t xml:space="preserve"> ou </w:t>
      </w:r>
      <w:r w:rsidRPr="00EB3D2F" w:rsidR="00F847FF">
        <w:t xml:space="preserve">à </w:t>
      </w:r>
      <w:r w:rsidRPr="00EB3D2F">
        <w:t>l</w:t>
      </w:r>
      <w:r w:rsidR="00062221">
        <w:t>’</w:t>
      </w:r>
      <w:r w:rsidR="000166EC">
        <w:t>« </w:t>
      </w:r>
      <w:r w:rsidRPr="00EB3D2F">
        <w:t>ordre</w:t>
      </w:r>
      <w:r w:rsidRPr="00EB3D2F" w:rsidR="00340372">
        <w:t xml:space="preserve"> </w:t>
      </w:r>
      <w:r w:rsidRPr="00EB3D2F">
        <w:t>public</w:t>
      </w:r>
      <w:r w:rsidR="006A4DF1">
        <w:t> »</w:t>
      </w:r>
      <w:r w:rsidRPr="00EB3D2F">
        <w:t xml:space="preserve"> </w:t>
      </w:r>
      <w:r w:rsidRPr="00EB3D2F" w:rsidR="006C0393">
        <w:t>(</w:t>
      </w:r>
      <w:r w:rsidRPr="00EB3D2F">
        <w:t>c</w:t>
      </w:r>
      <w:r w:rsidR="00062221">
        <w:t>’</w:t>
      </w:r>
      <w:r w:rsidRPr="00EB3D2F">
        <w:t>est-à-dire, comme précisé par l</w:t>
      </w:r>
      <w:r w:rsidR="00062221">
        <w:t>’</w:t>
      </w:r>
      <w:r w:rsidRPr="00EB3D2F">
        <w:t xml:space="preserve">arrêt </w:t>
      </w:r>
      <w:proofErr w:type="spellStart"/>
      <w:r w:rsidRPr="00EB3D2F">
        <w:rPr>
          <w:i/>
        </w:rPr>
        <w:t>Perinçek</w:t>
      </w:r>
      <w:proofErr w:type="spellEnd"/>
      <w:r w:rsidR="00565C93">
        <w:rPr>
          <w:i/>
        </w:rPr>
        <w:t xml:space="preserve"> c. </w:t>
      </w:r>
      <w:r w:rsidRPr="00EB3D2F">
        <w:rPr>
          <w:i/>
        </w:rPr>
        <w:t>Suisse</w:t>
      </w:r>
      <w:r w:rsidRPr="00EB3D2F">
        <w:t xml:space="preserve"> </w:t>
      </w:r>
      <w:r w:rsidR="00BC197C">
        <w:t>(</w:t>
      </w:r>
      <w:r w:rsidRPr="00EB3D2F">
        <w:t>[GC]</w:t>
      </w:r>
      <w:r w:rsidR="000166EC">
        <w:t>,</w:t>
      </w:r>
      <w:r w:rsidRPr="00EB3D2F">
        <w:t xml:space="preserve"> n</w:t>
      </w:r>
      <w:r w:rsidRPr="00565C93" w:rsidR="00565C93">
        <w:rPr>
          <w:vertAlign w:val="superscript"/>
        </w:rPr>
        <w:t>o</w:t>
      </w:r>
      <w:r w:rsidRPr="00565C93" w:rsidR="00565C93">
        <w:t> </w:t>
      </w:r>
      <w:r w:rsidRPr="00EB3D2F">
        <w:t>27510/08, §</w:t>
      </w:r>
      <w:r w:rsidR="00565C93">
        <w:t>§ </w:t>
      </w:r>
      <w:r w:rsidRPr="00EB3D2F">
        <w:t>146154, CEDH 2015 (extraits)), en quoi il induisait un risque de troubles publics tels que des émeutes</w:t>
      </w:r>
      <w:r w:rsidRPr="00EB3D2F" w:rsidR="006C0393">
        <w:t>).</w:t>
      </w:r>
      <w:r w:rsidRPr="00EB3D2F">
        <w:t xml:space="preserve"> Enfin, ils considèrent qu</w:t>
      </w:r>
      <w:r w:rsidR="00062221">
        <w:t>’</w:t>
      </w:r>
      <w:r w:rsidRPr="00EB3D2F">
        <w:t>elle n</w:t>
      </w:r>
      <w:r w:rsidR="00062221">
        <w:t>’</w:t>
      </w:r>
      <w:r w:rsidRPr="00EB3D2F">
        <w:t>est pas nécessaire dans une société démocratique.</w:t>
      </w:r>
    </w:p>
    <w:p w:rsidRPr="00EB3D2F" w:rsidR="00A34B62" w:rsidP="00EB3D2F" w:rsidRDefault="006C0393">
      <w:pPr>
        <w:pStyle w:val="JuPara"/>
      </w:pPr>
      <w:r w:rsidRPr="00EB3D2F">
        <w:fldChar w:fldCharType="begin"/>
      </w:r>
      <w:r w:rsidRPr="00EB3D2F">
        <w:instrText xml:space="preserve"> SEQ level0 \*arabic </w:instrText>
      </w:r>
      <w:r w:rsidRPr="00EB3D2F">
        <w:fldChar w:fldCharType="separate"/>
      </w:r>
      <w:r w:rsidRPr="00EB3D2F" w:rsidR="00EB3D2F">
        <w:rPr>
          <w:noProof/>
        </w:rPr>
        <w:t>50</w:t>
      </w:r>
      <w:r w:rsidRPr="00EB3D2F">
        <w:fldChar w:fldCharType="end"/>
      </w:r>
      <w:r w:rsidRPr="00EB3D2F">
        <w:t>.  </w:t>
      </w:r>
      <w:r w:rsidRPr="00EB3D2F" w:rsidR="00995481">
        <w:t xml:space="preserve">Sur ce dernier point, </w:t>
      </w:r>
      <w:r w:rsidRPr="00EB3D2F">
        <w:t>les requérants</w:t>
      </w:r>
      <w:r w:rsidRPr="00EB3D2F" w:rsidR="00995481">
        <w:t xml:space="preserve"> reprochent aux juridictions internes de ne pas avoir considéré l</w:t>
      </w:r>
      <w:r w:rsidR="00062221">
        <w:t>’</w:t>
      </w:r>
      <w:r w:rsidRPr="00EB3D2F" w:rsidR="00995481">
        <w:t xml:space="preserve">ingérence litigieuse </w:t>
      </w:r>
      <w:r w:rsidRPr="00EB3D2F" w:rsidR="00F847FF">
        <w:t xml:space="preserve">à </w:t>
      </w:r>
      <w:r w:rsidRPr="00EB3D2F" w:rsidR="00995481">
        <w:t>la lumière de l</w:t>
      </w:r>
      <w:r w:rsidR="00062221">
        <w:t>’</w:t>
      </w:r>
      <w:r w:rsidRPr="00EB3D2F" w:rsidR="00995481">
        <w:t>ensemble de l</w:t>
      </w:r>
      <w:r w:rsidR="00062221">
        <w:t>’</w:t>
      </w:r>
      <w:r w:rsidRPr="00EB3D2F" w:rsidR="00995481">
        <w:t>affaire, en particulier de ne pas avoir pris en compte la teneur des propos reprochés, le contexte dans lequel ils ont été tenus et la qualité des auteurs, exempts de tout soupçon d</w:t>
      </w:r>
      <w:r w:rsidR="00062221">
        <w:t>’</w:t>
      </w:r>
      <w:r w:rsidRPr="00EB3D2F" w:rsidR="00995481">
        <w:t xml:space="preserve">antisémitisme. Selon eux, la motivation des décisions internes repose sur une interprétation tronquée des faits et une interprétation excessivement large des exceptions au droit </w:t>
      </w:r>
      <w:r w:rsidRPr="00EB3D2F" w:rsidR="00F847FF">
        <w:t xml:space="preserve">à </w:t>
      </w:r>
      <w:r w:rsidRPr="00EB3D2F" w:rsidR="00995481">
        <w:t>la liberté d</w:t>
      </w:r>
      <w:r w:rsidR="00062221">
        <w:t>’</w:t>
      </w:r>
      <w:r w:rsidRPr="00EB3D2F" w:rsidR="00995481">
        <w:t>expression</w:t>
      </w:r>
      <w:r w:rsidR="006A4DF1">
        <w:t> :</w:t>
      </w:r>
      <w:r w:rsidRPr="00EB3D2F" w:rsidR="00995481">
        <w:t xml:space="preserve"> le juge interne a interprété </w:t>
      </w:r>
      <w:r w:rsidRPr="00EB3D2F" w:rsidR="00F847FF">
        <w:t xml:space="preserve">à </w:t>
      </w:r>
      <w:r w:rsidRPr="00EB3D2F" w:rsidR="00995481">
        <w:t>sa guise les objectifs qu</w:t>
      </w:r>
      <w:r w:rsidR="00062221">
        <w:t>’</w:t>
      </w:r>
      <w:r w:rsidRPr="00EB3D2F" w:rsidR="00995481">
        <w:t>ils visaient en estimant qu</w:t>
      </w:r>
      <w:r w:rsidR="00062221">
        <w:t>’</w:t>
      </w:r>
      <w:r w:rsidRPr="00EB3D2F" w:rsidR="00995481">
        <w:t xml:space="preserve">ils tendaient, sans distinction, </w:t>
      </w:r>
      <w:r w:rsidRPr="00EB3D2F" w:rsidR="00F847FF">
        <w:t xml:space="preserve">à </w:t>
      </w:r>
      <w:r w:rsidRPr="00EB3D2F" w:rsidR="00995481">
        <w:t>discriminer des personnes de nationalité israélienne, en faisant peser sur eux une forme de responsabilité collective, alors que leur objectif, clairement affiché, assumé et répété, est d</w:t>
      </w:r>
      <w:r w:rsidR="00062221">
        <w:t>’</w:t>
      </w:r>
      <w:r w:rsidRPr="00EB3D2F" w:rsidR="00995481">
        <w:t xml:space="preserve">inciter le consommateur </w:t>
      </w:r>
      <w:r w:rsidRPr="00EB3D2F" w:rsidR="00F847FF">
        <w:t xml:space="preserve">à </w:t>
      </w:r>
      <w:r w:rsidRPr="00EB3D2F" w:rsidR="00995481">
        <w:t>exercer sa liberté de conscience, en distinguant les produits de consommation sur la base de critères politique, humaniste et juridique. Ensuite, les requérants considèrent que les juridictions internes n</w:t>
      </w:r>
      <w:r w:rsidR="00062221">
        <w:t>’</w:t>
      </w:r>
      <w:r w:rsidRPr="00EB3D2F" w:rsidR="00995481">
        <w:t>ont pas pris en compte les modalités d</w:t>
      </w:r>
      <w:r w:rsidR="00062221">
        <w:t>’</w:t>
      </w:r>
      <w:r w:rsidRPr="00EB3D2F" w:rsidR="00995481">
        <w:t>action de l</w:t>
      </w:r>
      <w:r w:rsidR="00062221">
        <w:t>’</w:t>
      </w:r>
      <w:r w:rsidRPr="00EB3D2F" w:rsidR="00995481">
        <w:t>appel au boycott – non violent, citoyen et pacifique – et n</w:t>
      </w:r>
      <w:r w:rsidR="00062221">
        <w:t>’</w:t>
      </w:r>
      <w:r w:rsidRPr="00EB3D2F">
        <w:t>ont</w:t>
      </w:r>
      <w:r w:rsidRPr="00EB3D2F" w:rsidR="00995481">
        <w:t xml:space="preserve"> pas répondu </w:t>
      </w:r>
      <w:r w:rsidRPr="00EB3D2F" w:rsidR="00F847FF">
        <w:t xml:space="preserve">à </w:t>
      </w:r>
      <w:r w:rsidRPr="00EB3D2F" w:rsidR="00995481">
        <w:t>la question du caractère justifié ou non de la discrimination en cause, qui reposait sur une base raisonnable et objective. Elles n</w:t>
      </w:r>
      <w:r w:rsidR="00062221">
        <w:t>’</w:t>
      </w:r>
      <w:r w:rsidRPr="00EB3D2F" w:rsidR="00995481">
        <w:t xml:space="preserve">auraient </w:t>
      </w:r>
      <w:r w:rsidRPr="00EB3D2F">
        <w:t>ni</w:t>
      </w:r>
      <w:r w:rsidRPr="00EB3D2F" w:rsidR="00995481">
        <w:t xml:space="preserve"> caractérisé un besoin social impérieux ni justifié la condamnation par des motifs pertinents et suffisants. Enfin, ils soulignent que le </w:t>
      </w:r>
      <w:r w:rsidRPr="00EB3D2F" w:rsidR="00995481">
        <w:rPr>
          <w:i/>
        </w:rPr>
        <w:t>quantum</w:t>
      </w:r>
      <w:r w:rsidRPr="00EB3D2F" w:rsidR="00995481">
        <w:t xml:space="preserve"> de la peine est élevé</w:t>
      </w:r>
      <w:r w:rsidR="006A4DF1">
        <w:t> :</w:t>
      </w:r>
      <w:r w:rsidRPr="00EB3D2F" w:rsidR="00995481">
        <w:t xml:space="preserve"> condamnés chacun </w:t>
      </w:r>
      <w:r w:rsidRPr="00EB3D2F" w:rsidR="00F847FF">
        <w:t xml:space="preserve">à </w:t>
      </w:r>
      <w:r w:rsidRPr="00EB3D2F" w:rsidR="00995481">
        <w:t>une amende de 1</w:t>
      </w:r>
      <w:r w:rsidR="00BF584D">
        <w:t> </w:t>
      </w:r>
      <w:r w:rsidRPr="00EB3D2F" w:rsidR="00995481">
        <w:t>000</w:t>
      </w:r>
      <w:r w:rsidR="00C84F83">
        <w:t> EUR</w:t>
      </w:r>
      <w:r w:rsidRPr="00EB3D2F" w:rsidR="000D1C1F">
        <w:t xml:space="preserve"> (avec sursis)</w:t>
      </w:r>
      <w:r w:rsidRPr="00EB3D2F" w:rsidR="00995481">
        <w:t xml:space="preserve">, ils ont en outre été condamnés </w:t>
      </w:r>
      <w:r w:rsidRPr="00EB3D2F" w:rsidR="00F847FF">
        <w:t xml:space="preserve">à </w:t>
      </w:r>
      <w:r w:rsidRPr="00EB3D2F" w:rsidR="00995481">
        <w:t xml:space="preserve">payer </w:t>
      </w:r>
      <w:r w:rsidRPr="00EB3D2F" w:rsidR="00F847FF">
        <w:t xml:space="preserve">à </w:t>
      </w:r>
      <w:r w:rsidRPr="00EB3D2F" w:rsidR="00995481">
        <w:t xml:space="preserve">chaque </w:t>
      </w:r>
      <w:r w:rsidR="00BF584D">
        <w:t>partie</w:t>
      </w:r>
      <w:r w:rsidRPr="00EB3D2F" w:rsidR="00BF584D">
        <w:t xml:space="preserve"> </w:t>
      </w:r>
      <w:r w:rsidR="00BF584D">
        <w:t>civile</w:t>
      </w:r>
      <w:r w:rsidRPr="00EB3D2F" w:rsidR="00BF584D">
        <w:t xml:space="preserve"> </w:t>
      </w:r>
      <w:r w:rsidRPr="00EB3D2F" w:rsidR="00995481">
        <w:t>1</w:t>
      </w:r>
      <w:r w:rsidRPr="00EB3D2F" w:rsidR="00AA5CA5">
        <w:t> 000</w:t>
      </w:r>
      <w:r w:rsidR="00C84F83">
        <w:t> EUR</w:t>
      </w:r>
      <w:r w:rsidRPr="00EB3D2F" w:rsidR="00995481">
        <w:t xml:space="preserve"> </w:t>
      </w:r>
      <w:r w:rsidRPr="00EB3D2F" w:rsidR="00F847FF">
        <w:t xml:space="preserve">à </w:t>
      </w:r>
      <w:r w:rsidRPr="00EB3D2F" w:rsidR="00995481">
        <w:t>titre de dommages</w:t>
      </w:r>
      <w:r w:rsidR="00C70100">
        <w:t xml:space="preserve"> et </w:t>
      </w:r>
      <w:r w:rsidRPr="00EB3D2F" w:rsidR="00995481">
        <w:t>intérêts et 3</w:t>
      </w:r>
      <w:r w:rsidR="00FD4C94">
        <w:t> </w:t>
      </w:r>
      <w:r w:rsidRPr="00EB3D2F" w:rsidR="00995481">
        <w:t>000</w:t>
      </w:r>
      <w:r w:rsidR="00C84F83">
        <w:t> EUR</w:t>
      </w:r>
      <w:r w:rsidRPr="00EB3D2F" w:rsidR="00995481">
        <w:t xml:space="preserve"> au titre des frais et dépens, soit au total 14</w:t>
      </w:r>
      <w:r w:rsidRPr="00EB3D2F">
        <w:t> </w:t>
      </w:r>
      <w:r w:rsidRPr="00EB3D2F" w:rsidR="00995481">
        <w:t>000</w:t>
      </w:r>
      <w:r w:rsidR="00C84F83">
        <w:t> EUR</w:t>
      </w:r>
      <w:r w:rsidRPr="00EB3D2F" w:rsidR="00995481">
        <w:t xml:space="preserve"> d</w:t>
      </w:r>
      <w:r w:rsidR="00062221">
        <w:t>’</w:t>
      </w:r>
      <w:r w:rsidRPr="00EB3D2F" w:rsidR="00995481">
        <w:t>amende délictuelle (avec sursis) et 33</w:t>
      </w:r>
      <w:r w:rsidRPr="00EB3D2F" w:rsidR="00623AB7">
        <w:t> </w:t>
      </w:r>
      <w:r w:rsidRPr="00EB3D2F" w:rsidR="00995481">
        <w:t>320</w:t>
      </w:r>
      <w:r w:rsidR="00C84F83">
        <w:t> EUR</w:t>
      </w:r>
      <w:r w:rsidRPr="00EB3D2F" w:rsidR="00995481">
        <w:t xml:space="preserve"> sur le plan civil.</w:t>
      </w:r>
    </w:p>
    <w:p w:rsidRPr="00EB3D2F" w:rsidR="00995481" w:rsidP="00EB3D2F" w:rsidRDefault="00995481">
      <w:pPr>
        <w:pStyle w:val="JuHa0"/>
        <w:rPr>
          <w:lang w:val="fr-FR"/>
        </w:rPr>
      </w:pPr>
      <w:r w:rsidRPr="00EB3D2F">
        <w:rPr>
          <w:lang w:val="fr-FR"/>
        </w:rPr>
        <w:t>Le Gouvernement</w:t>
      </w:r>
    </w:p>
    <w:p w:rsidRPr="00EB3D2F" w:rsidR="00A34B62"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51</w:t>
      </w:r>
      <w:r w:rsidRPr="00EB3D2F">
        <w:fldChar w:fldCharType="end"/>
      </w:r>
      <w:r w:rsidRPr="00EB3D2F">
        <w:t>.  Le Gouvernement rejette la thèse des requérants. Il soutient tout d</w:t>
      </w:r>
      <w:r w:rsidR="00062221">
        <w:t>’</w:t>
      </w:r>
      <w:r w:rsidRPr="00EB3D2F">
        <w:t>abord que l</w:t>
      </w:r>
      <w:r w:rsidR="00062221">
        <w:t>’</w:t>
      </w:r>
      <w:r w:rsidRPr="00EB3D2F">
        <w:t xml:space="preserve">ingérence litigieuse était prévue </w:t>
      </w:r>
      <w:r w:rsidRPr="00EB3D2F" w:rsidR="009324A8">
        <w:t>par la loi</w:t>
      </w:r>
      <w:r w:rsidR="006A4DF1">
        <w:t> :</w:t>
      </w:r>
      <w:r w:rsidRPr="00EB3D2F" w:rsidR="009324A8">
        <w:t xml:space="preserve"> les </w:t>
      </w:r>
      <w:r w:rsidR="00565C93">
        <w:t>articles </w:t>
      </w:r>
      <w:r w:rsidRPr="00EB3D2F" w:rsidR="009324A8">
        <w:t>23 et </w:t>
      </w:r>
      <w:r w:rsidRPr="00EB3D2F">
        <w:t xml:space="preserve">24, </w:t>
      </w:r>
      <w:r w:rsidR="00F92E77">
        <w:t>alinéa </w:t>
      </w:r>
      <w:r w:rsidRPr="00EB3D2F">
        <w:t>8, de la loi du 29</w:t>
      </w:r>
      <w:r w:rsidR="00565C93">
        <w:t> juillet</w:t>
      </w:r>
      <w:r w:rsidRPr="00EB3D2F">
        <w:t xml:space="preserve"> 1881. Renvoyant </w:t>
      </w:r>
      <w:r w:rsidRPr="00EB3D2F" w:rsidR="00F847FF">
        <w:t xml:space="preserve">à </w:t>
      </w:r>
      <w:r w:rsidRPr="00EB3D2F">
        <w:t xml:space="preserve">ses observations relatives </w:t>
      </w:r>
      <w:r w:rsidRPr="00EB3D2F" w:rsidR="00F847FF">
        <w:t xml:space="preserve">à </w:t>
      </w:r>
      <w:r w:rsidRPr="00EB3D2F">
        <w:t>l</w:t>
      </w:r>
      <w:r w:rsidR="00062221">
        <w:t>’</w:t>
      </w:r>
      <w:r w:rsidR="00565C93">
        <w:t>article </w:t>
      </w:r>
      <w:r w:rsidRPr="00EB3D2F">
        <w:t>7 de la Convention, il ajoute que le droit positif remplissait les critères de clarté, d</w:t>
      </w:r>
      <w:r w:rsidR="00062221">
        <w:t>’</w:t>
      </w:r>
      <w:r w:rsidRPr="00EB3D2F">
        <w:t>accessibilité et de prévisibilité. Il rappelle en outre que la Cour a déj</w:t>
      </w:r>
      <w:r w:rsidRPr="00EB3D2F" w:rsidR="00F847FF">
        <w:t xml:space="preserve">à </w:t>
      </w:r>
      <w:r w:rsidRPr="00EB3D2F">
        <w:t xml:space="preserve">jugé dans les affaires </w:t>
      </w:r>
      <w:r w:rsidRPr="00EB3D2F">
        <w:rPr>
          <w:i/>
        </w:rPr>
        <w:t>Willem</w:t>
      </w:r>
      <w:r w:rsidRPr="00EB3D2F">
        <w:t xml:space="preserve"> (précitée, </w:t>
      </w:r>
      <w:r w:rsidR="00565C93">
        <w:t>§ </w:t>
      </w:r>
      <w:r w:rsidRPr="00EB3D2F">
        <w:t xml:space="preserve">29) et </w:t>
      </w:r>
      <w:r w:rsidRPr="00EB3D2F">
        <w:rPr>
          <w:i/>
        </w:rPr>
        <w:t>Soulas et autres</w:t>
      </w:r>
      <w:r w:rsidR="00565C93">
        <w:rPr>
          <w:i/>
        </w:rPr>
        <w:t xml:space="preserve"> c. </w:t>
      </w:r>
      <w:r w:rsidRPr="00EB3D2F">
        <w:rPr>
          <w:i/>
        </w:rPr>
        <w:t>France</w:t>
      </w:r>
      <w:r w:rsidRPr="00EB3D2F">
        <w:t xml:space="preserve"> (n</w:t>
      </w:r>
      <w:r w:rsidRPr="00565C93" w:rsidR="00565C93">
        <w:rPr>
          <w:vertAlign w:val="superscript"/>
        </w:rPr>
        <w:t>o</w:t>
      </w:r>
      <w:r w:rsidRPr="00565C93" w:rsidR="00565C93">
        <w:t> </w:t>
      </w:r>
      <w:r w:rsidRPr="00EB3D2F">
        <w:t xml:space="preserve">15948/03, </w:t>
      </w:r>
      <w:r w:rsidR="00565C93">
        <w:t>§ </w:t>
      </w:r>
      <w:r w:rsidRPr="00EB3D2F">
        <w:t>29, 10</w:t>
      </w:r>
      <w:r w:rsidR="00565C93">
        <w:t> juillet</w:t>
      </w:r>
      <w:r w:rsidRPr="00EB3D2F">
        <w:t xml:space="preserve"> 2008) qu</w:t>
      </w:r>
      <w:r w:rsidR="00062221">
        <w:t>’</w:t>
      </w:r>
      <w:r w:rsidRPr="00EB3D2F">
        <w:t>une condamnation prononcée sur le fondement de ces dispositions constituait une ingérence prévue par la loi au sens de l</w:t>
      </w:r>
      <w:r w:rsidR="00062221">
        <w:t>’</w:t>
      </w:r>
      <w:r w:rsidR="00565C93">
        <w:t>article </w:t>
      </w:r>
      <w:r w:rsidRPr="00EB3D2F">
        <w:t xml:space="preserve">10. Renvoyant également </w:t>
      </w:r>
      <w:r w:rsidRPr="00EB3D2F" w:rsidR="00F847FF">
        <w:t xml:space="preserve">à </w:t>
      </w:r>
      <w:r w:rsidRPr="00EB3D2F">
        <w:t>l</w:t>
      </w:r>
      <w:r w:rsidR="00062221">
        <w:t>’</w:t>
      </w:r>
      <w:r w:rsidRPr="00EB3D2F">
        <w:t xml:space="preserve">arrêt </w:t>
      </w:r>
      <w:r w:rsidRPr="00EB3D2F">
        <w:rPr>
          <w:i/>
        </w:rPr>
        <w:t>Willem</w:t>
      </w:r>
      <w:r w:rsidRPr="00EB3D2F">
        <w:t>, il soutient ensuite que l</w:t>
      </w:r>
      <w:r w:rsidR="00062221">
        <w:t>’</w:t>
      </w:r>
      <w:r w:rsidRPr="00EB3D2F">
        <w:t>ingérence poursuivait un but légitime</w:t>
      </w:r>
      <w:r w:rsidR="006A4DF1">
        <w:t> :</w:t>
      </w:r>
      <w:r w:rsidRPr="00EB3D2F">
        <w:t xml:space="preserve"> la protection </w:t>
      </w:r>
      <w:r w:rsidR="006A4DF1">
        <w:t>« </w:t>
      </w:r>
      <w:r w:rsidRPr="00EB3D2F">
        <w:t>de</w:t>
      </w:r>
      <w:r w:rsidRPr="00EB3D2F" w:rsidR="00C23EDD">
        <w:t>s</w:t>
      </w:r>
      <w:r w:rsidRPr="00EB3D2F">
        <w:t xml:space="preserve"> droits d</w:t>
      </w:r>
      <w:r w:rsidR="00062221">
        <w:t>’</w:t>
      </w:r>
      <w:r w:rsidRPr="00EB3D2F">
        <w:t>autrui</w:t>
      </w:r>
      <w:r w:rsidR="006A4DF1">
        <w:t> »</w:t>
      </w:r>
      <w:r w:rsidRPr="00EB3D2F">
        <w:t>, en l</w:t>
      </w:r>
      <w:r w:rsidR="00062221">
        <w:t>’</w:t>
      </w:r>
      <w:r w:rsidRPr="00EB3D2F">
        <w:t xml:space="preserve">occurrence le </w:t>
      </w:r>
      <w:r w:rsidRPr="00EB3D2F" w:rsidR="005873F1">
        <w:t xml:space="preserve">droit des </w:t>
      </w:r>
      <w:r w:rsidRPr="00EB3D2F">
        <w:t xml:space="preserve">producteurs </w:t>
      </w:r>
      <w:r w:rsidRPr="00EB3D2F" w:rsidR="005873F1">
        <w:t xml:space="preserve">et fournisseurs </w:t>
      </w:r>
      <w:r w:rsidRPr="00EB3D2F">
        <w:t>israéliens</w:t>
      </w:r>
      <w:r w:rsidRPr="00EB3D2F" w:rsidR="005873F1">
        <w:t xml:space="preserve"> d</w:t>
      </w:r>
      <w:r w:rsidR="00062221">
        <w:t>’</w:t>
      </w:r>
      <w:r w:rsidRPr="00EB3D2F" w:rsidR="005873F1">
        <w:t xml:space="preserve">accéder </w:t>
      </w:r>
      <w:r w:rsidRPr="00EB3D2F" w:rsidR="00F847FF">
        <w:t xml:space="preserve">à </w:t>
      </w:r>
      <w:r w:rsidRPr="00EB3D2F" w:rsidR="005873F1">
        <w:t>un marché</w:t>
      </w:r>
      <w:r w:rsidRPr="00EB3D2F">
        <w:t>. Il estime aussi qu</w:t>
      </w:r>
      <w:r w:rsidR="00062221">
        <w:t>’</w:t>
      </w:r>
      <w:r w:rsidRPr="00EB3D2F">
        <w:t>elle était nécessaire dans une société démocratique.</w:t>
      </w:r>
    </w:p>
    <w:p w:rsidRPr="00EB3D2F" w:rsidR="00340372"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52</w:t>
      </w:r>
      <w:r w:rsidRPr="00EB3D2F">
        <w:fldChar w:fldCharType="end"/>
      </w:r>
      <w:r w:rsidRPr="00EB3D2F">
        <w:t>.  Sur ce dernier point, le Gouvernement fait valoir que les actions des requérants ne sont pas la manifestation d</w:t>
      </w:r>
      <w:r w:rsidR="00062221">
        <w:t>’</w:t>
      </w:r>
      <w:r w:rsidRPr="00EB3D2F">
        <w:t>une opinion politique ou militante s</w:t>
      </w:r>
      <w:r w:rsidR="00062221">
        <w:t>’</w:t>
      </w:r>
      <w:r w:rsidRPr="00EB3D2F">
        <w:t>inscrivant dans un débat d</w:t>
      </w:r>
      <w:r w:rsidR="00062221">
        <w:t>’</w:t>
      </w:r>
      <w:r w:rsidRPr="00EB3D2F">
        <w:t>intérêt général et bénéficiant en conséquence d</w:t>
      </w:r>
      <w:r w:rsidR="00062221">
        <w:t>’</w:t>
      </w:r>
      <w:r w:rsidRPr="00EB3D2F">
        <w:t xml:space="preserve">une protection renforcée, mais relèvent de la catégorie des propos appelant </w:t>
      </w:r>
      <w:r w:rsidRPr="00EB3D2F" w:rsidR="00F847FF">
        <w:t xml:space="preserve">à </w:t>
      </w:r>
      <w:r w:rsidRPr="00EB3D2F">
        <w:t>la haine, la violence, la discrimination ou l</w:t>
      </w:r>
      <w:r w:rsidR="00062221">
        <w:t>’</w:t>
      </w:r>
      <w:r w:rsidRPr="00EB3D2F">
        <w:t xml:space="preserve">intolérance. Il se réfère </w:t>
      </w:r>
      <w:r w:rsidRPr="00EB3D2F" w:rsidR="00F847FF">
        <w:t xml:space="preserve">à </w:t>
      </w:r>
      <w:r w:rsidRPr="00EB3D2F">
        <w:t>la conclusion de la cour d</w:t>
      </w:r>
      <w:r w:rsidR="00062221">
        <w:t>’</w:t>
      </w:r>
      <w:r w:rsidRPr="00EB3D2F">
        <w:t xml:space="preserve">appel de Colmar, selon laquelle </w:t>
      </w:r>
      <w:r w:rsidR="006A4DF1">
        <w:t>« </w:t>
      </w:r>
      <w:r w:rsidRPr="00EB3D2F">
        <w:t xml:space="preserve">il est établi par les termes du tract distribué et par les déclarations des [requérants] que ceux-ci, par leur action, provoquaient </w:t>
      </w:r>
      <w:r w:rsidRPr="00EB3D2F" w:rsidR="00F847FF">
        <w:t xml:space="preserve">à </w:t>
      </w:r>
      <w:r w:rsidRPr="00EB3D2F">
        <w:t>discriminer les produits venant d</w:t>
      </w:r>
      <w:r w:rsidR="00062221">
        <w:t>’</w:t>
      </w:r>
      <w:r w:rsidRPr="00EB3D2F">
        <w:t xml:space="preserve">Israël, incitant les clients du commerce en question </w:t>
      </w:r>
      <w:r w:rsidRPr="00EB3D2F" w:rsidR="00F847FF">
        <w:t xml:space="preserve">à </w:t>
      </w:r>
      <w:r w:rsidRPr="00EB3D2F">
        <w:t>ne pas acheter ces marchandises en raison de l</w:t>
      </w:r>
      <w:r w:rsidR="00062221">
        <w:t>’</w:t>
      </w:r>
      <w:r w:rsidRPr="00EB3D2F" w:rsidR="00043EFB">
        <w:t>origine des producteurs</w:t>
      </w:r>
      <w:r w:rsidRPr="00EB3D2F">
        <w:t xml:space="preserve"> ou fournisseurs</w:t>
      </w:r>
      <w:r w:rsidR="006A4DF1">
        <w:t> »</w:t>
      </w:r>
      <w:r w:rsidRPr="00EB3D2F">
        <w:t xml:space="preserve">. Il fait de plus valoir que la Cour a procédé </w:t>
      </w:r>
      <w:r w:rsidRPr="00EB3D2F" w:rsidR="00F847FF">
        <w:t xml:space="preserve">à </w:t>
      </w:r>
      <w:r w:rsidRPr="00EB3D2F">
        <w:t>une telle distinction dans l</w:t>
      </w:r>
      <w:r w:rsidR="00062221">
        <w:t>’</w:t>
      </w:r>
      <w:r w:rsidRPr="00EB3D2F">
        <w:t xml:space="preserve">affaire </w:t>
      </w:r>
      <w:r w:rsidRPr="00EB3D2F">
        <w:rPr>
          <w:i/>
        </w:rPr>
        <w:t>Willem</w:t>
      </w:r>
      <w:r w:rsidRPr="00EB3D2F">
        <w:t xml:space="preserve"> (</w:t>
      </w:r>
      <w:r w:rsidRPr="00EB3D2F" w:rsidR="004B0FBA">
        <w:t>précitée</w:t>
      </w:r>
      <w:r w:rsidR="004B0FBA">
        <w:t>,</w:t>
      </w:r>
      <w:r w:rsidRPr="00EB3D2F" w:rsidR="004B0FBA">
        <w:t xml:space="preserve"> </w:t>
      </w:r>
      <w:r w:rsidRPr="00EB3D2F">
        <w:t>§</w:t>
      </w:r>
      <w:r w:rsidR="00565C93">
        <w:t>§ </w:t>
      </w:r>
      <w:r w:rsidRPr="00EB3D2F">
        <w:t>35 et 38), qui portait sur des circonstances similaires, et que l</w:t>
      </w:r>
      <w:r w:rsidR="00062221">
        <w:t>’</w:t>
      </w:r>
      <w:r w:rsidRPr="00EB3D2F">
        <w:t xml:space="preserve">arrêt </w:t>
      </w:r>
      <w:proofErr w:type="spellStart"/>
      <w:r w:rsidRPr="00EB3D2F">
        <w:rPr>
          <w:i/>
        </w:rPr>
        <w:t>Perinçek</w:t>
      </w:r>
      <w:proofErr w:type="spellEnd"/>
      <w:r w:rsidR="00B00BE8">
        <w:t>,</w:t>
      </w:r>
      <w:r w:rsidRPr="00EB3D2F">
        <w:t xml:space="preserve"> précité</w:t>
      </w:r>
      <w:r w:rsidR="00B00BE8">
        <w:t>,</w:t>
      </w:r>
      <w:r w:rsidRPr="00EB3D2F">
        <w:t xml:space="preserve"> n</w:t>
      </w:r>
      <w:r w:rsidR="00062221">
        <w:t>’</w:t>
      </w:r>
      <w:r w:rsidRPr="00EB3D2F">
        <w:t>est pas pertinent en l</w:t>
      </w:r>
      <w:r w:rsidR="00062221">
        <w:t>’</w:t>
      </w:r>
      <w:r w:rsidRPr="00EB3D2F">
        <w:t xml:space="preserve">espèce, le requérant </w:t>
      </w:r>
      <w:r w:rsidR="00B00BE8">
        <w:t>D. </w:t>
      </w:r>
      <w:proofErr w:type="spellStart"/>
      <w:r w:rsidRPr="00EB3D2F">
        <w:t>Perinçek</w:t>
      </w:r>
      <w:proofErr w:type="spellEnd"/>
      <w:r w:rsidRPr="00EB3D2F">
        <w:t xml:space="preserve"> n</w:t>
      </w:r>
      <w:r w:rsidR="00062221">
        <w:t>’</w:t>
      </w:r>
      <w:r w:rsidRPr="00EB3D2F">
        <w:t xml:space="preserve">ayant pas été poursuivi pour incitation </w:t>
      </w:r>
      <w:r w:rsidRPr="00EB3D2F" w:rsidR="00F847FF">
        <w:t xml:space="preserve">à </w:t>
      </w:r>
      <w:r w:rsidRPr="00EB3D2F">
        <w:t xml:space="preserve">la haine. Il en déduit que la France disposait </w:t>
      </w:r>
      <w:proofErr w:type="gramStart"/>
      <w:r w:rsidRPr="00EB3D2F">
        <w:t>d</w:t>
      </w:r>
      <w:r w:rsidR="00062221">
        <w:t>’</w:t>
      </w:r>
      <w:r w:rsidRPr="00EB3D2F">
        <w:t>une</w:t>
      </w:r>
      <w:proofErr w:type="gramEnd"/>
      <w:r w:rsidRPr="00EB3D2F">
        <w:t xml:space="preserve"> large marge d</w:t>
      </w:r>
      <w:r w:rsidR="00062221">
        <w:t>’</w:t>
      </w:r>
      <w:r w:rsidRPr="00EB3D2F">
        <w:t>appréciation en l</w:t>
      </w:r>
      <w:r w:rsidR="00062221">
        <w:t>’</w:t>
      </w:r>
      <w:r w:rsidRPr="00EB3D2F">
        <w:t>espèce.</w:t>
      </w:r>
    </w:p>
    <w:p w:rsidRPr="00EB3D2F" w:rsidR="00A34B62"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53</w:t>
      </w:r>
      <w:r w:rsidRPr="00EB3D2F">
        <w:fldChar w:fldCharType="end"/>
      </w:r>
      <w:r w:rsidRPr="00EB3D2F">
        <w:t>.  Le Gouvernement indique ensuite qu</w:t>
      </w:r>
      <w:r w:rsidR="00062221">
        <w:t>’</w:t>
      </w:r>
      <w:r w:rsidRPr="00EB3D2F">
        <w:t xml:space="preserve">au regard des modalités de leur action, des propos tenus et des objectifs poursuivis, la condamnation des requérants était fondée sur des motifs </w:t>
      </w:r>
      <w:r w:rsidRPr="00EB3D2F" w:rsidR="007C463F">
        <w:t xml:space="preserve">pertinents et </w:t>
      </w:r>
      <w:r w:rsidRPr="00EB3D2F">
        <w:t>suffisants. Il note que les requérants ont, par leurs actions, poussé au rejet des producteurs et fournisseurs israéliens, et que certains ont tenu de</w:t>
      </w:r>
      <w:r w:rsidRPr="00EB3D2F" w:rsidR="009324A8">
        <w:t>s propos violents en criant</w:t>
      </w:r>
      <w:r w:rsidR="00EF4F87">
        <w:t> :</w:t>
      </w:r>
      <w:r w:rsidRPr="00EB3D2F" w:rsidR="009324A8">
        <w:t xml:space="preserve"> </w:t>
      </w:r>
      <w:r w:rsidR="006A4DF1">
        <w:t>« </w:t>
      </w:r>
      <w:r w:rsidRPr="00EB3D2F">
        <w:t xml:space="preserve">Israël assassin, </w:t>
      </w:r>
      <w:r w:rsidRPr="00EB3D2F" w:rsidR="003D266C">
        <w:t>[</w:t>
      </w:r>
      <w:r w:rsidRPr="00EB3D2F">
        <w:t>C</w:t>
      </w:r>
      <w:r w:rsidRPr="00EB3D2F" w:rsidR="003D266C">
        <w:t>.]</w:t>
      </w:r>
      <w:r w:rsidRPr="00EB3D2F" w:rsidR="009324A8">
        <w:t xml:space="preserve"> complice</w:t>
      </w:r>
      <w:r w:rsidR="00986F90">
        <w:t> !</w:t>
      </w:r>
      <w:r w:rsidR="006A4DF1">
        <w:t> »</w:t>
      </w:r>
      <w:r w:rsidRPr="00EB3D2F">
        <w:t xml:space="preserve">, propos qui étaient de nature </w:t>
      </w:r>
      <w:r w:rsidRPr="00EB3D2F" w:rsidR="00F847FF">
        <w:t xml:space="preserve">à </w:t>
      </w:r>
      <w:r w:rsidRPr="00EB3D2F">
        <w:t>susciter chez les clients un sentiment de haine et de rejet vis-à-vis de la population israélienne dans un contexte international tendu. Il note de plus que les tracts indiquaient qu</w:t>
      </w:r>
      <w:r w:rsidR="00062221">
        <w:t>’</w:t>
      </w:r>
      <w:r w:rsidRPr="00EB3D2F">
        <w:t xml:space="preserve">acheter les produits israéliens revenait </w:t>
      </w:r>
      <w:r w:rsidRPr="00EB3D2F" w:rsidR="00F847FF">
        <w:t xml:space="preserve">à </w:t>
      </w:r>
      <w:r w:rsidR="006A4DF1">
        <w:t>« </w:t>
      </w:r>
      <w:r w:rsidRPr="00EB3D2F">
        <w:t xml:space="preserve">légitimer les crimes commis </w:t>
      </w:r>
      <w:r w:rsidRPr="00EB3D2F" w:rsidR="00F847FF">
        <w:t xml:space="preserve">à </w:t>
      </w:r>
      <w:r w:rsidRPr="00EB3D2F" w:rsidR="009324A8">
        <w:t>Gaza</w:t>
      </w:r>
      <w:r w:rsidR="006A4DF1">
        <w:t> »</w:t>
      </w:r>
      <w:r w:rsidRPr="00EB3D2F">
        <w:t>, suggérant implicitement, comme l</w:t>
      </w:r>
      <w:r w:rsidR="00062221">
        <w:t>’</w:t>
      </w:r>
      <w:r w:rsidRPr="00EB3D2F">
        <w:t>a relevé l</w:t>
      </w:r>
      <w:r w:rsidR="00062221">
        <w:t>’</w:t>
      </w:r>
      <w:r w:rsidRPr="00EB3D2F">
        <w:t>avocat général près la Cour de cassation, que tous les producteurs israéliens étaient des criminels. Il ajoute que, comme l</w:t>
      </w:r>
      <w:r w:rsidR="00062221">
        <w:t>’</w:t>
      </w:r>
      <w:r w:rsidRPr="00EB3D2F">
        <w:t>a également relevé l</w:t>
      </w:r>
      <w:r w:rsidR="00062221">
        <w:t>’</w:t>
      </w:r>
      <w:r w:rsidRPr="00EB3D2F">
        <w:t>avocat général, le discours des requérants visait l</w:t>
      </w:r>
      <w:r w:rsidR="00062221">
        <w:t>’</w:t>
      </w:r>
      <w:r w:rsidRPr="00EB3D2F">
        <w:t>ensemble des producteurs israéliens plutôt que spécifiquement ceux qui sont installés dans les territoires occupés, et leur action avait pour effet de pénaliser l</w:t>
      </w:r>
      <w:r w:rsidR="00062221">
        <w:t>’</w:t>
      </w:r>
      <w:r w:rsidRPr="00EB3D2F">
        <w:t>ensemble des producteurs et fournisseurs israéliens, quelle que soit l</w:t>
      </w:r>
      <w:r w:rsidR="00062221">
        <w:t>’</w:t>
      </w:r>
      <w:r w:rsidRPr="00EB3D2F">
        <w:t xml:space="preserve">origine géographique de leurs produits, au nom de la politique de leur gouvernement, faisant ainsi peser sur eux une forme de responsabilité collective. Se référant </w:t>
      </w:r>
      <w:r w:rsidRPr="00EB3D2F" w:rsidR="00F847FF">
        <w:t xml:space="preserve">à </w:t>
      </w:r>
      <w:r w:rsidRPr="00EB3D2F">
        <w:t>l</w:t>
      </w:r>
      <w:r w:rsidR="00062221">
        <w:t>’</w:t>
      </w:r>
      <w:r w:rsidRPr="00EB3D2F">
        <w:t xml:space="preserve">arrêt </w:t>
      </w:r>
      <w:r w:rsidRPr="00EB3D2F">
        <w:rPr>
          <w:i/>
        </w:rPr>
        <w:t>Willem</w:t>
      </w:r>
      <w:r w:rsidRPr="00EB3D2F">
        <w:t xml:space="preserve"> (</w:t>
      </w:r>
      <w:r w:rsidR="001B3645">
        <w:t xml:space="preserve">précité, </w:t>
      </w:r>
      <w:r w:rsidR="00565C93">
        <w:t>§ </w:t>
      </w:r>
      <w:r w:rsidRPr="00EB3D2F">
        <w:t>22), il ajoute que le boycott n</w:t>
      </w:r>
      <w:r w:rsidR="00062221">
        <w:t>’</w:t>
      </w:r>
      <w:r w:rsidRPr="00EB3D2F">
        <w:t>a ni existence ni légitimité en droit international.</w:t>
      </w:r>
    </w:p>
    <w:p w:rsidRPr="00EB3D2F" w:rsidR="00873B57"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54</w:t>
      </w:r>
      <w:r w:rsidRPr="00EB3D2F">
        <w:fldChar w:fldCharType="end"/>
      </w:r>
      <w:r w:rsidRPr="00EB3D2F">
        <w:t>.  Le Gouvernement estime en outre que la condamnation des requérants n</w:t>
      </w:r>
      <w:r w:rsidR="00062221">
        <w:t>’</w:t>
      </w:r>
      <w:r w:rsidRPr="00EB3D2F">
        <w:t>était pas disproportionnée. D</w:t>
      </w:r>
      <w:r w:rsidR="00062221">
        <w:t>’</w:t>
      </w:r>
      <w:r w:rsidRPr="00EB3D2F">
        <w:t>une part parce que, comme l</w:t>
      </w:r>
      <w:r w:rsidR="00062221">
        <w:t>’</w:t>
      </w:r>
      <w:r w:rsidRPr="00EB3D2F">
        <w:t>a retenu la cour d</w:t>
      </w:r>
      <w:r w:rsidR="00062221">
        <w:t>’</w:t>
      </w:r>
      <w:r w:rsidRPr="00EB3D2F">
        <w:t xml:space="preserve">appel de Colmar, les provocations </w:t>
      </w:r>
      <w:r w:rsidRPr="00EB3D2F" w:rsidR="00F847FF">
        <w:t xml:space="preserve">à </w:t>
      </w:r>
      <w:r w:rsidRPr="00EB3D2F">
        <w:t>la discrimination sont par nature condamnables. D</w:t>
      </w:r>
      <w:r w:rsidR="00062221">
        <w:t>’</w:t>
      </w:r>
      <w:r w:rsidRPr="00EB3D2F">
        <w:t>autre part parce qu</w:t>
      </w:r>
      <w:r w:rsidR="00062221">
        <w:t>’</w:t>
      </w:r>
      <w:r w:rsidRPr="00EB3D2F">
        <w:t xml:space="preserve">il ressort des motifs des décisions internes que </w:t>
      </w:r>
      <w:r w:rsidRPr="00EB3D2F" w:rsidR="00B73E67">
        <w:t xml:space="preserve">la condamnation </w:t>
      </w:r>
      <w:r w:rsidRPr="00EB3D2F">
        <w:t xml:space="preserve">répondait </w:t>
      </w:r>
      <w:r w:rsidRPr="00EB3D2F" w:rsidR="00F847FF">
        <w:t xml:space="preserve">à </w:t>
      </w:r>
      <w:r w:rsidRPr="00EB3D2F">
        <w:t xml:space="preserve">un besoin social impérieux. Renvoyant </w:t>
      </w:r>
      <w:r w:rsidRPr="00EB3D2F" w:rsidR="00F847FF">
        <w:t xml:space="preserve">à </w:t>
      </w:r>
      <w:r w:rsidRPr="00EB3D2F">
        <w:t>l</w:t>
      </w:r>
      <w:r w:rsidR="00062221">
        <w:t>’</w:t>
      </w:r>
      <w:r w:rsidRPr="00EB3D2F">
        <w:t xml:space="preserve">arrêt </w:t>
      </w:r>
      <w:r w:rsidRPr="00EB3D2F">
        <w:rPr>
          <w:i/>
        </w:rPr>
        <w:t>Willem</w:t>
      </w:r>
      <w:r w:rsidRPr="00EB3D2F">
        <w:t xml:space="preserve"> (</w:t>
      </w:r>
      <w:r w:rsidR="004227D4">
        <w:t xml:space="preserve">précité, </w:t>
      </w:r>
      <w:r w:rsidR="00565C93">
        <w:t>§ </w:t>
      </w:r>
      <w:r w:rsidRPr="00EB3D2F">
        <w:t>41), il ajoute qu</w:t>
      </w:r>
      <w:r w:rsidR="00062221">
        <w:t>’</w:t>
      </w:r>
      <w:r w:rsidRPr="00EB3D2F">
        <w:t>elle n</w:t>
      </w:r>
      <w:r w:rsidR="00062221">
        <w:t>’</w:t>
      </w:r>
      <w:r w:rsidRPr="00EB3D2F">
        <w:t xml:space="preserve">était pas non plus disproportionnée dans son </w:t>
      </w:r>
      <w:r w:rsidRPr="00EB3D2F">
        <w:rPr>
          <w:i/>
        </w:rPr>
        <w:t>quantum</w:t>
      </w:r>
      <w:r w:rsidRPr="00EB3D2F">
        <w:t>, la cour d</w:t>
      </w:r>
      <w:r w:rsidR="00062221">
        <w:t>’</w:t>
      </w:r>
      <w:r w:rsidRPr="00EB3D2F">
        <w:t xml:space="preserve">appel de Colmar ayant dans ses deux arrêts condamné chaque requérant </w:t>
      </w:r>
      <w:r w:rsidRPr="00EB3D2F" w:rsidR="00F847FF">
        <w:t xml:space="preserve">à </w:t>
      </w:r>
      <w:r w:rsidRPr="00EB3D2F">
        <w:t>une amende assortie de sursis, les cinq requérant</w:t>
      </w:r>
      <w:r w:rsidRPr="00EB3D2F" w:rsidR="008B0E9A">
        <w:t>s concernés par les faits du 26</w:t>
      </w:r>
      <w:r w:rsidR="00565C93">
        <w:t> septembre</w:t>
      </w:r>
      <w:r w:rsidRPr="00EB3D2F">
        <w:t xml:space="preserve"> 2009 ayant en outre été condamnés solidairement au payement de 1</w:t>
      </w:r>
      <w:r w:rsidR="00081172">
        <w:t> </w:t>
      </w:r>
      <w:r w:rsidRPr="00EB3D2F">
        <w:t>000</w:t>
      </w:r>
      <w:r w:rsidR="00C84F83">
        <w:t> EUR</w:t>
      </w:r>
      <w:r w:rsidRPr="00EB3D2F">
        <w:t xml:space="preserve"> au titre de dommages et intérêts et 3</w:t>
      </w:r>
      <w:r w:rsidR="001C7457">
        <w:t> </w:t>
      </w:r>
      <w:r w:rsidRPr="00EB3D2F">
        <w:t>000</w:t>
      </w:r>
      <w:r w:rsidR="00C84F83">
        <w:t> EUR</w:t>
      </w:r>
      <w:r w:rsidRPr="00EB3D2F">
        <w:t xml:space="preserve"> pour frais et dépens </w:t>
      </w:r>
      <w:r w:rsidRPr="00EB3D2F" w:rsidR="00F847FF">
        <w:t xml:space="preserve">à </w:t>
      </w:r>
      <w:r w:rsidRPr="00EB3D2F">
        <w:t>chacune des trois parties civiles (soit 2</w:t>
      </w:r>
      <w:r w:rsidR="001C7457">
        <w:t> </w:t>
      </w:r>
      <w:r w:rsidRPr="00EB3D2F">
        <w:t>800</w:t>
      </w:r>
      <w:r w:rsidR="00C84F83">
        <w:t> EUR</w:t>
      </w:r>
      <w:r w:rsidRPr="00EB3D2F">
        <w:t xml:space="preserve"> par requérant), les mêmes condamnations ayant été prononcées </w:t>
      </w:r>
      <w:r w:rsidRPr="00EB3D2F" w:rsidR="00F847FF">
        <w:t xml:space="preserve">à </w:t>
      </w:r>
      <w:r w:rsidRPr="00EB3D2F">
        <w:t>l</w:t>
      </w:r>
      <w:r w:rsidR="00062221">
        <w:t>’</w:t>
      </w:r>
      <w:r w:rsidRPr="00EB3D2F">
        <w:t>encontre des huit requérants concernés par les faits du 22</w:t>
      </w:r>
      <w:r w:rsidR="00565C93">
        <w:t xml:space="preserve"> mai </w:t>
      </w:r>
      <w:r w:rsidRPr="00EB3D2F">
        <w:t xml:space="preserve">2010 </w:t>
      </w:r>
      <w:r w:rsidRPr="00EB3D2F" w:rsidR="009D391B">
        <w:t>au profit des quatre</w:t>
      </w:r>
      <w:r w:rsidR="001C7457">
        <w:t xml:space="preserve"> </w:t>
      </w:r>
      <w:r w:rsidRPr="00EB3D2F">
        <w:t>parties civiles (soit 2</w:t>
      </w:r>
      <w:r w:rsidR="001C7457">
        <w:t> </w:t>
      </w:r>
      <w:r w:rsidRPr="00EB3D2F">
        <w:t>000</w:t>
      </w:r>
      <w:r w:rsidR="00C84F83">
        <w:t> EUR</w:t>
      </w:r>
      <w:r w:rsidRPr="00EB3D2F">
        <w:t xml:space="preserve"> par requérant).</w:t>
      </w:r>
    </w:p>
    <w:p w:rsidRPr="00EB3D2F" w:rsidR="009838B1" w:rsidP="00EB3D2F" w:rsidRDefault="00873B57">
      <w:pPr>
        <w:pStyle w:val="JuH1"/>
        <w:rPr>
          <w:lang w:val="fr-FR"/>
        </w:rPr>
      </w:pPr>
      <w:r w:rsidRPr="00EB3D2F">
        <w:rPr>
          <w:lang w:val="fr-FR"/>
        </w:rPr>
        <w:t>Observation</w:t>
      </w:r>
      <w:r w:rsidRPr="00EB3D2F" w:rsidR="007C463F">
        <w:rPr>
          <w:lang w:val="fr-FR"/>
        </w:rPr>
        <w:t>s</w:t>
      </w:r>
      <w:r w:rsidRPr="00EB3D2F">
        <w:rPr>
          <w:lang w:val="fr-FR"/>
        </w:rPr>
        <w:t xml:space="preserve"> de la </w:t>
      </w:r>
      <w:r w:rsidR="00A113C0">
        <w:rPr>
          <w:lang w:val="fr-FR"/>
        </w:rPr>
        <w:t>F</w:t>
      </w:r>
      <w:r w:rsidRPr="00EB3D2F">
        <w:rPr>
          <w:lang w:val="fr-FR"/>
        </w:rPr>
        <w:t>édération internationale des ligues des droits de l</w:t>
      </w:r>
      <w:r w:rsidR="00062221">
        <w:rPr>
          <w:lang w:val="fr-FR"/>
        </w:rPr>
        <w:t>’</w:t>
      </w:r>
      <w:r w:rsidRPr="00EB3D2F">
        <w:rPr>
          <w:lang w:val="fr-FR"/>
        </w:rPr>
        <w:t xml:space="preserve">homme et de la </w:t>
      </w:r>
      <w:r w:rsidR="00A113C0">
        <w:rPr>
          <w:lang w:val="fr-FR"/>
        </w:rPr>
        <w:t>L</w:t>
      </w:r>
      <w:r w:rsidRPr="00EB3D2F">
        <w:rPr>
          <w:lang w:val="fr-FR"/>
        </w:rPr>
        <w:t>igue des droits de l</w:t>
      </w:r>
      <w:r w:rsidR="00062221">
        <w:rPr>
          <w:lang w:val="fr-FR"/>
        </w:rPr>
        <w:t>’</w:t>
      </w:r>
      <w:r w:rsidRPr="00EB3D2F">
        <w:rPr>
          <w:lang w:val="fr-FR"/>
        </w:rPr>
        <w:t xml:space="preserve">homme, </w:t>
      </w:r>
      <w:r w:rsidRPr="00EB3D2F" w:rsidR="00623AB7">
        <w:rPr>
          <w:lang w:val="fr-FR"/>
        </w:rPr>
        <w:t>tierces</w:t>
      </w:r>
      <w:r w:rsidRPr="00EB3D2F">
        <w:rPr>
          <w:lang w:val="fr-FR"/>
        </w:rPr>
        <w:t xml:space="preserve"> intervenantes</w:t>
      </w:r>
    </w:p>
    <w:p w:rsidRPr="00EB3D2F" w:rsidR="00340372"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55</w:t>
      </w:r>
      <w:r w:rsidRPr="00EB3D2F">
        <w:fldChar w:fldCharType="end"/>
      </w:r>
      <w:r w:rsidRPr="00EB3D2F">
        <w:t>.  </w:t>
      </w:r>
      <w:r w:rsidRPr="00EB3D2F" w:rsidR="000E335D">
        <w:t xml:space="preserve">Les </w:t>
      </w:r>
      <w:r w:rsidR="00DF7D8B">
        <w:t xml:space="preserve">tierces </w:t>
      </w:r>
      <w:r w:rsidRPr="00EB3D2F" w:rsidR="000E335D">
        <w:t xml:space="preserve">intervenantes </w:t>
      </w:r>
      <w:r w:rsidRPr="00EB3D2F">
        <w:t>soulignent qu</w:t>
      </w:r>
      <w:r w:rsidR="00062221">
        <w:t>’</w:t>
      </w:r>
      <w:r w:rsidRPr="00EB3D2F">
        <w:t>elles se sont toutes deux publiquement engagées pour défendre, au nom de la liberté d</w:t>
      </w:r>
      <w:r w:rsidR="00062221">
        <w:t>’</w:t>
      </w:r>
      <w:r w:rsidRPr="00EB3D2F">
        <w:t>expression et de manifestation, le droit de participer pacifiquement et d</w:t>
      </w:r>
      <w:r w:rsidR="00062221">
        <w:t>’</w:t>
      </w:r>
      <w:r w:rsidRPr="00EB3D2F">
        <w:t xml:space="preserve">appeler </w:t>
      </w:r>
      <w:r w:rsidRPr="00EB3D2F" w:rsidR="00F847FF">
        <w:t xml:space="preserve">à </w:t>
      </w:r>
      <w:r w:rsidRPr="00EB3D2F">
        <w:t>des mesures de boycott</w:t>
      </w:r>
      <w:r w:rsidRPr="00EB3D2F" w:rsidR="00EF6CAC">
        <w:t>, de désinvestissement et de sanctions</w:t>
      </w:r>
      <w:r w:rsidRPr="00EB3D2F">
        <w:t xml:space="preserve">, </w:t>
      </w:r>
      <w:r w:rsidRPr="00EB3D2F" w:rsidR="00EF6CAC">
        <w:t>notamment pour protester contre les politiques d</w:t>
      </w:r>
      <w:r w:rsidR="00062221">
        <w:t>’</w:t>
      </w:r>
      <w:r w:rsidRPr="00EB3D2F" w:rsidR="00EF6CAC">
        <w:t xml:space="preserve">occupation et de discrimination du gouvernement israélien, </w:t>
      </w:r>
      <w:r w:rsidRPr="00EB3D2F">
        <w:t xml:space="preserve">tout en refusant que des discours antisémites soient proférés sous </w:t>
      </w:r>
      <w:r w:rsidRPr="00EB3D2F" w:rsidR="00EF6CAC">
        <w:t xml:space="preserve">ce </w:t>
      </w:r>
      <w:r w:rsidRPr="00EB3D2F">
        <w:t xml:space="preserve">couvert. </w:t>
      </w:r>
      <w:r w:rsidRPr="00EB3D2F" w:rsidR="00EF6CAC">
        <w:t xml:space="preserve">Elles jugent indispensable de protéger </w:t>
      </w:r>
      <w:r w:rsidRPr="00EB3D2F" w:rsidR="0055548C">
        <w:t>c</w:t>
      </w:r>
      <w:r w:rsidRPr="00EB3D2F" w:rsidR="00EF6CAC">
        <w:t>e mode pacifique d</w:t>
      </w:r>
      <w:r w:rsidR="00062221">
        <w:t>’</w:t>
      </w:r>
      <w:r w:rsidRPr="00EB3D2F" w:rsidR="00EF6CAC">
        <w:t xml:space="preserve">expression politique. </w:t>
      </w:r>
      <w:r w:rsidRPr="00EB3D2F">
        <w:t xml:space="preserve">Elles observent </w:t>
      </w:r>
      <w:r w:rsidRPr="00EB3D2F" w:rsidR="00EF6CAC">
        <w:t xml:space="preserve">de plus </w:t>
      </w:r>
      <w:r w:rsidRPr="00EB3D2F">
        <w:t>que la présente affaire se distingue de l</w:t>
      </w:r>
      <w:r w:rsidR="00062221">
        <w:t>’</w:t>
      </w:r>
      <w:r w:rsidRPr="00EB3D2F">
        <w:t xml:space="preserve">affaire </w:t>
      </w:r>
      <w:r w:rsidRPr="00EB3D2F">
        <w:rPr>
          <w:i/>
        </w:rPr>
        <w:t>Willem</w:t>
      </w:r>
      <w:r w:rsidRPr="00EB3D2F">
        <w:t xml:space="preserve"> précitée, qui concernait une prise de position d</w:t>
      </w:r>
      <w:r w:rsidR="00062221">
        <w:t>’</w:t>
      </w:r>
      <w:r w:rsidRPr="00EB3D2F">
        <w:t xml:space="preserve">un élu qui engageait la puissance publique par ses actes, cette affaire devant de plus être réexaminée </w:t>
      </w:r>
      <w:r w:rsidRPr="00EB3D2F" w:rsidR="00F847FF">
        <w:t xml:space="preserve">à </w:t>
      </w:r>
      <w:r w:rsidRPr="00EB3D2F">
        <w:t>la lumière de l</w:t>
      </w:r>
      <w:r w:rsidR="00062221">
        <w:t>’</w:t>
      </w:r>
      <w:r w:rsidRPr="00EB3D2F">
        <w:t xml:space="preserve">arrêt </w:t>
      </w:r>
      <w:proofErr w:type="spellStart"/>
      <w:r w:rsidRPr="00EB3D2F">
        <w:rPr>
          <w:i/>
        </w:rPr>
        <w:t>Perinçek</w:t>
      </w:r>
      <w:proofErr w:type="spellEnd"/>
      <w:r w:rsidRPr="00EB3D2F">
        <w:t xml:space="preserve"> précité. Elles invitent la Cour </w:t>
      </w:r>
      <w:r w:rsidRPr="00EB3D2F" w:rsidR="00F847FF">
        <w:t xml:space="preserve">à </w:t>
      </w:r>
      <w:r w:rsidRPr="00EB3D2F">
        <w:t>réaffirmer fermement que la protection de la liberté d</w:t>
      </w:r>
      <w:r w:rsidR="00062221">
        <w:t>’</w:t>
      </w:r>
      <w:r w:rsidRPr="00EB3D2F">
        <w:t>expression est le principe conventionnel alors que sa limitation n</w:t>
      </w:r>
      <w:r w:rsidR="00062221">
        <w:t>’</w:t>
      </w:r>
      <w:r w:rsidRPr="00EB3D2F">
        <w:t>est que l</w:t>
      </w:r>
      <w:r w:rsidR="00062221">
        <w:t>’</w:t>
      </w:r>
      <w:r w:rsidRPr="00EB3D2F">
        <w:t xml:space="preserve">exception, et de retenir que, pour trancher le dilemme conventionnel qui oppose cette liberté </w:t>
      </w:r>
      <w:r w:rsidRPr="00EB3D2F" w:rsidR="00F847FF">
        <w:t xml:space="preserve">à </w:t>
      </w:r>
      <w:r w:rsidRPr="00EB3D2F">
        <w:t>la lutte contre le discours de haine, il ne faut pas s</w:t>
      </w:r>
      <w:r w:rsidR="00062221">
        <w:t>’</w:t>
      </w:r>
      <w:r w:rsidRPr="00EB3D2F">
        <w:t xml:space="preserve">en remettre trop largement </w:t>
      </w:r>
      <w:r w:rsidRPr="00EB3D2F" w:rsidR="00F847FF">
        <w:t xml:space="preserve">à </w:t>
      </w:r>
      <w:r w:rsidRPr="00EB3D2F">
        <w:t>la marge d</w:t>
      </w:r>
      <w:r w:rsidR="00062221">
        <w:t>’</w:t>
      </w:r>
      <w:r w:rsidRPr="00EB3D2F">
        <w:t>appréciation de l</w:t>
      </w:r>
      <w:r w:rsidR="00062221">
        <w:t>’</w:t>
      </w:r>
      <w:r w:rsidRPr="00EB3D2F">
        <w:t>État défendeur.</w:t>
      </w:r>
    </w:p>
    <w:p w:rsidRPr="00EB3D2F" w:rsidR="00340372"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56</w:t>
      </w:r>
      <w:r w:rsidRPr="00EB3D2F">
        <w:fldChar w:fldCharType="end"/>
      </w:r>
      <w:r w:rsidRPr="00EB3D2F">
        <w:t xml:space="preserve">.  Les </w:t>
      </w:r>
      <w:r w:rsidR="00DF7D8B">
        <w:t xml:space="preserve">tierces </w:t>
      </w:r>
      <w:r w:rsidRPr="00EB3D2F">
        <w:t xml:space="preserve">intervenantes invitent ensuite la Cour </w:t>
      </w:r>
      <w:r w:rsidRPr="00EB3D2F" w:rsidR="00F847FF">
        <w:t xml:space="preserve">à </w:t>
      </w:r>
      <w:r w:rsidRPr="00EB3D2F">
        <w:t>distinguer nettement entre les discours défendant ou justifiant la violence, la haine, la xénophobie ou d</w:t>
      </w:r>
      <w:r w:rsidR="00062221">
        <w:t>’</w:t>
      </w:r>
      <w:r w:rsidRPr="00EB3D2F">
        <w:t>autres formes d</w:t>
      </w:r>
      <w:r w:rsidR="00062221">
        <w:t>’</w:t>
      </w:r>
      <w:r w:rsidRPr="00EB3D2F">
        <w:t>intolérance – lesquels méritent d</w:t>
      </w:r>
      <w:r w:rsidR="00062221">
        <w:t>’</w:t>
      </w:r>
      <w:r w:rsidRPr="00EB3D2F">
        <w:t xml:space="preserve">être vivement combattus –, et les discours et actions qui aspirent uniquement </w:t>
      </w:r>
      <w:r w:rsidRPr="00EB3D2F" w:rsidR="00F847FF">
        <w:t xml:space="preserve">à </w:t>
      </w:r>
      <w:r w:rsidRPr="00EB3D2F">
        <w:t>dénoncer une politique gouvernementale perçue comme contraire aux droits et libertés dans le contexte d</w:t>
      </w:r>
      <w:r w:rsidR="00062221">
        <w:t>’</w:t>
      </w:r>
      <w:r w:rsidRPr="00EB3D2F">
        <w:t>un débat d</w:t>
      </w:r>
      <w:r w:rsidR="00062221">
        <w:t>’</w:t>
      </w:r>
      <w:r w:rsidRPr="00EB3D2F">
        <w:t>intérêt général, qui méritent de bénéficier d</w:t>
      </w:r>
      <w:r w:rsidR="00062221">
        <w:t>’</w:t>
      </w:r>
      <w:r w:rsidRPr="00EB3D2F">
        <w:t>une forte protection au nom des principes fondamentaux d</w:t>
      </w:r>
      <w:r w:rsidR="00062221">
        <w:t>’</w:t>
      </w:r>
      <w:r w:rsidRPr="00EB3D2F">
        <w:t>une société démocratique. Elles observent que</w:t>
      </w:r>
      <w:r w:rsidRPr="00EB3D2F" w:rsidR="0055548C">
        <w:t>,</w:t>
      </w:r>
      <w:r w:rsidRPr="00EB3D2F">
        <w:t xml:space="preserve"> pour distinguer les uns des autres, la Cour s</w:t>
      </w:r>
      <w:r w:rsidR="00062221">
        <w:t>’</w:t>
      </w:r>
      <w:r w:rsidRPr="00EB3D2F">
        <w:t>est concentrée dans l</w:t>
      </w:r>
      <w:r w:rsidR="00062221">
        <w:t>’</w:t>
      </w:r>
      <w:r w:rsidRPr="00EB3D2F">
        <w:t xml:space="preserve">affaire </w:t>
      </w:r>
      <w:r w:rsidRPr="00EB3D2F">
        <w:rPr>
          <w:i/>
        </w:rPr>
        <w:t>Willem</w:t>
      </w:r>
      <w:r w:rsidRPr="00EB3D2F">
        <w:t xml:space="preserve"> (précité</w:t>
      </w:r>
      <w:r w:rsidRPr="00EB3D2F" w:rsidR="000D1C1F">
        <w:t>e</w:t>
      </w:r>
      <w:r w:rsidRPr="00EB3D2F">
        <w:t>) sur l</w:t>
      </w:r>
      <w:r w:rsidR="00062221">
        <w:t>’</w:t>
      </w:r>
      <w:r w:rsidRPr="00EB3D2F">
        <w:t>objet des propos litigieux en occultant leur finalité, mais qu</w:t>
      </w:r>
      <w:r w:rsidR="00062221">
        <w:t>’</w:t>
      </w:r>
      <w:r w:rsidRPr="00EB3D2F">
        <w:t>ultérieurement, dans l</w:t>
      </w:r>
      <w:r w:rsidR="00062221">
        <w:t>’</w:t>
      </w:r>
      <w:r w:rsidRPr="00EB3D2F">
        <w:t xml:space="preserve">affaire </w:t>
      </w:r>
      <w:proofErr w:type="spellStart"/>
      <w:r w:rsidRPr="00EB3D2F">
        <w:rPr>
          <w:i/>
        </w:rPr>
        <w:t>Perinçek</w:t>
      </w:r>
      <w:proofErr w:type="spellEnd"/>
      <w:r w:rsidRPr="00EB3D2F" w:rsidR="006051DD">
        <w:t xml:space="preserve"> (précitée</w:t>
      </w:r>
      <w:r w:rsidRPr="00EB3D2F">
        <w:t>), elle a vérifié s</w:t>
      </w:r>
      <w:r w:rsidR="00062221">
        <w:t>’</w:t>
      </w:r>
      <w:r w:rsidRPr="00EB3D2F">
        <w:t>il était établi, eu égard tout particulièrement au contexte de leur énonciation, qu</w:t>
      </w:r>
      <w:r w:rsidR="00062221">
        <w:t>’</w:t>
      </w:r>
      <w:r w:rsidRPr="00EB3D2F">
        <w:t>ils relevaient de l</w:t>
      </w:r>
      <w:r w:rsidR="00062221">
        <w:t>’</w:t>
      </w:r>
      <w:r w:rsidRPr="00EB3D2F">
        <w:t xml:space="preserve">incitation </w:t>
      </w:r>
      <w:r w:rsidRPr="00EB3D2F" w:rsidR="00F847FF">
        <w:t xml:space="preserve">à </w:t>
      </w:r>
      <w:r w:rsidRPr="00EB3D2F">
        <w:t xml:space="preserve">la haine ou </w:t>
      </w:r>
      <w:r w:rsidRPr="00EB3D2F" w:rsidR="00F847FF">
        <w:t xml:space="preserve">à </w:t>
      </w:r>
      <w:r w:rsidRPr="00EB3D2F">
        <w:t>l</w:t>
      </w:r>
      <w:r w:rsidR="00062221">
        <w:t>’</w:t>
      </w:r>
      <w:r w:rsidRPr="00EB3D2F">
        <w:t xml:space="preserve">intolérance. Elles invitent la Cour </w:t>
      </w:r>
      <w:r w:rsidRPr="00EB3D2F" w:rsidR="00F847FF">
        <w:t xml:space="preserve">à </w:t>
      </w:r>
      <w:r w:rsidRPr="00EB3D2F">
        <w:t xml:space="preserve">opter </w:t>
      </w:r>
      <w:r w:rsidRPr="00EB3D2F" w:rsidR="000D1C1F">
        <w:t>en l</w:t>
      </w:r>
      <w:r w:rsidR="00062221">
        <w:t>’</w:t>
      </w:r>
      <w:r w:rsidRPr="00EB3D2F" w:rsidR="000D1C1F">
        <w:t xml:space="preserve">espèce </w:t>
      </w:r>
      <w:r w:rsidRPr="00EB3D2F">
        <w:t xml:space="preserve">pour cette dernière approche, et </w:t>
      </w:r>
      <w:r w:rsidRPr="00EB3D2F" w:rsidR="00F847FF">
        <w:t xml:space="preserve">à </w:t>
      </w:r>
      <w:r w:rsidRPr="00EB3D2F">
        <w:t xml:space="preserve">retenir une présomption de protection conventionnelle renforcée au profit des appels au boycott </w:t>
      </w:r>
      <w:r w:rsidRPr="00EB3D2F" w:rsidR="001863CC">
        <w:t xml:space="preserve">motivés </w:t>
      </w:r>
      <w:r w:rsidRPr="00EB3D2F">
        <w:t>par des objectifs politiques – tels que ceux qui s</w:t>
      </w:r>
      <w:r w:rsidR="00062221">
        <w:t>’</w:t>
      </w:r>
      <w:r w:rsidRPr="00EB3D2F">
        <w:t>inscrivent dans le cadre de la campagne BDS –, cette présomption pouvant être renversée lorsqu</w:t>
      </w:r>
      <w:r w:rsidR="00062221">
        <w:t>’</w:t>
      </w:r>
      <w:r w:rsidRPr="00EB3D2F">
        <w:t>il est démontré que le discours ou l</w:t>
      </w:r>
      <w:r w:rsidR="00062221">
        <w:t>’</w:t>
      </w:r>
      <w:r w:rsidRPr="00EB3D2F">
        <w:t>action en cause sont entachés de racisme ou d</w:t>
      </w:r>
      <w:r w:rsidR="00062221">
        <w:t>’</w:t>
      </w:r>
      <w:r w:rsidRPr="00EB3D2F">
        <w:t xml:space="preserve">antisémitisme. En somme, les </w:t>
      </w:r>
      <w:r w:rsidR="00DF7D8B">
        <w:t xml:space="preserve">tierces </w:t>
      </w:r>
      <w:r w:rsidRPr="00EB3D2F">
        <w:t xml:space="preserve">intervenantes invitent la Cour </w:t>
      </w:r>
      <w:r w:rsidRPr="00EB3D2F" w:rsidR="00F847FF">
        <w:t xml:space="preserve">à </w:t>
      </w:r>
      <w:r w:rsidRPr="00EB3D2F">
        <w:t>ne pas s</w:t>
      </w:r>
      <w:r w:rsidR="00062221">
        <w:t>’</w:t>
      </w:r>
      <w:r w:rsidRPr="00EB3D2F">
        <w:t>arrêter au seul constat éminemment réducteur selon lequel l</w:t>
      </w:r>
      <w:r w:rsidR="00062221">
        <w:t>’</w:t>
      </w:r>
      <w:r w:rsidRPr="00EB3D2F">
        <w:t>appel au boycott serait illicite uniquement au motif qu</w:t>
      </w:r>
      <w:r w:rsidR="00062221">
        <w:t>’</w:t>
      </w:r>
      <w:r w:rsidRPr="00EB3D2F">
        <w:t>il est vecteur d</w:t>
      </w:r>
      <w:r w:rsidR="00062221">
        <w:t>’</w:t>
      </w:r>
      <w:r w:rsidRPr="00EB3D2F">
        <w:t xml:space="preserve">une différence de traitement fondé sur la nationalité, et </w:t>
      </w:r>
      <w:r w:rsidRPr="00EB3D2F" w:rsidR="00F847FF">
        <w:t xml:space="preserve">à </w:t>
      </w:r>
      <w:r w:rsidRPr="00EB3D2F">
        <w:t>s</w:t>
      </w:r>
      <w:r w:rsidR="00062221">
        <w:t>’</w:t>
      </w:r>
      <w:r w:rsidRPr="00EB3D2F">
        <w:t xml:space="preserve">attacher </w:t>
      </w:r>
      <w:r w:rsidRPr="00EB3D2F" w:rsidR="00F847FF">
        <w:t xml:space="preserve">à </w:t>
      </w:r>
      <w:r w:rsidRPr="00EB3D2F">
        <w:t>la finalité politique du discours, lequel bénéficierait ainsi d</w:t>
      </w:r>
      <w:r w:rsidR="00062221">
        <w:t>’</w:t>
      </w:r>
      <w:r w:rsidRPr="00EB3D2F">
        <w:t>une forte protection conventionnelle.</w:t>
      </w:r>
    </w:p>
    <w:p w:rsidRPr="00EB3D2F" w:rsidR="00873B57" w:rsidP="00EB3D2F" w:rsidRDefault="00995481">
      <w:pPr>
        <w:pStyle w:val="JuPara"/>
      </w:pPr>
      <w:r w:rsidRPr="00EB3D2F">
        <w:fldChar w:fldCharType="begin"/>
      </w:r>
      <w:r w:rsidRPr="00EB3D2F">
        <w:instrText xml:space="preserve"> SEQ level0 \*arabic </w:instrText>
      </w:r>
      <w:r w:rsidRPr="00EB3D2F">
        <w:fldChar w:fldCharType="separate"/>
      </w:r>
      <w:r w:rsidRPr="00EB3D2F" w:rsidR="00EB3D2F">
        <w:rPr>
          <w:noProof/>
        </w:rPr>
        <w:t>57</w:t>
      </w:r>
      <w:r w:rsidRPr="00EB3D2F">
        <w:fldChar w:fldCharType="end"/>
      </w:r>
      <w:r w:rsidRPr="00EB3D2F">
        <w:t xml:space="preserve">.  Enfin, les </w:t>
      </w:r>
      <w:r w:rsidR="00DF7D8B">
        <w:t xml:space="preserve">tierces </w:t>
      </w:r>
      <w:r w:rsidRPr="00EB3D2F">
        <w:t xml:space="preserve">intervenantes appellent la Cour </w:t>
      </w:r>
      <w:r w:rsidRPr="00EB3D2F" w:rsidR="00F847FF">
        <w:t xml:space="preserve">à </w:t>
      </w:r>
      <w:r w:rsidRPr="00EB3D2F">
        <w:t>affirmer que les discours politiques ou militants – fussent-ils incisifs – méritent de bénéficier d</w:t>
      </w:r>
      <w:r w:rsidR="00062221">
        <w:t>’</w:t>
      </w:r>
      <w:r w:rsidRPr="00EB3D2F">
        <w:t>une protection privilégiée au titre de l</w:t>
      </w:r>
      <w:r w:rsidR="00062221">
        <w:t>’</w:t>
      </w:r>
      <w:r w:rsidR="00565C93">
        <w:t>article </w:t>
      </w:r>
      <w:r w:rsidRPr="00EB3D2F">
        <w:t>10 dès lors qu</w:t>
      </w:r>
      <w:r w:rsidR="00062221">
        <w:t>’</w:t>
      </w:r>
      <w:r w:rsidRPr="00EB3D2F">
        <w:t>ils s</w:t>
      </w:r>
      <w:r w:rsidR="00062221">
        <w:t>’</w:t>
      </w:r>
      <w:r w:rsidRPr="00EB3D2F">
        <w:t>inscrivent dans une démarche pacifique et ciblent prioritairement une politique gouvernementale. Elles estiment que la reconnaissance explicite du droit conventionnel de critique pacifique d</w:t>
      </w:r>
      <w:r w:rsidR="00062221">
        <w:t>’</w:t>
      </w:r>
      <w:r w:rsidRPr="00EB3D2F">
        <w:t>une politique gouvernementale, fût-ce par des appels au boycott de certains produits aux fins de pressions économiques, s</w:t>
      </w:r>
      <w:r w:rsidR="00062221">
        <w:t>’</w:t>
      </w:r>
      <w:r w:rsidRPr="00EB3D2F">
        <w:t>impose. Selon elles, la présente affaire est cruciale puisque la position que la Cour retiendra aura un fort retentissement.</w:t>
      </w:r>
    </w:p>
    <w:p w:rsidRPr="00EB3D2F" w:rsidR="00873B57" w:rsidP="00EB3D2F" w:rsidRDefault="00873B57">
      <w:pPr>
        <w:pStyle w:val="JuH1"/>
        <w:rPr>
          <w:lang w:val="fr-FR"/>
        </w:rPr>
      </w:pPr>
      <w:r w:rsidRPr="00EB3D2F">
        <w:rPr>
          <w:lang w:val="fr-FR"/>
        </w:rPr>
        <w:t>Appréciation de la Cour</w:t>
      </w:r>
    </w:p>
    <w:p w:rsidRPr="00EB3D2F" w:rsidR="00873B57" w:rsidP="00EB3D2F" w:rsidRDefault="00873B57">
      <w:pPr>
        <w:pStyle w:val="JuPara"/>
      </w:pPr>
      <w:r w:rsidRPr="00EB3D2F">
        <w:fldChar w:fldCharType="begin"/>
      </w:r>
      <w:r w:rsidRPr="00EB3D2F">
        <w:instrText xml:space="preserve"> SEQ level0 \*arabic </w:instrText>
      </w:r>
      <w:r w:rsidRPr="00EB3D2F">
        <w:fldChar w:fldCharType="separate"/>
      </w:r>
      <w:r w:rsidRPr="00EB3D2F" w:rsidR="00EB3D2F">
        <w:rPr>
          <w:noProof/>
        </w:rPr>
        <w:t>58</w:t>
      </w:r>
      <w:r w:rsidRPr="00EB3D2F">
        <w:fldChar w:fldCharType="end"/>
      </w:r>
      <w:r w:rsidRPr="00EB3D2F">
        <w:t>.  </w:t>
      </w:r>
      <w:r w:rsidRPr="00EB3D2F" w:rsidR="00511598">
        <w:t>La condamnation des requérants s</w:t>
      </w:r>
      <w:r w:rsidR="00062221">
        <w:t>’</w:t>
      </w:r>
      <w:r w:rsidRPr="00EB3D2F" w:rsidR="00511598">
        <w:t xml:space="preserve">analyse en une </w:t>
      </w:r>
      <w:r w:rsidR="006A4DF1">
        <w:t>« </w:t>
      </w:r>
      <w:r w:rsidRPr="00EB3D2F" w:rsidR="00511598">
        <w:t>ingérence</w:t>
      </w:r>
      <w:r w:rsidR="006A4DF1">
        <w:t> »</w:t>
      </w:r>
      <w:r w:rsidRPr="00EB3D2F" w:rsidR="00511598">
        <w:t xml:space="preserve"> dans l</w:t>
      </w:r>
      <w:r w:rsidR="00062221">
        <w:t>’</w:t>
      </w:r>
      <w:r w:rsidRPr="00EB3D2F" w:rsidR="00511598">
        <w:t xml:space="preserve">exercice par </w:t>
      </w:r>
      <w:r w:rsidRPr="00EB3D2F" w:rsidR="0088773F">
        <w:t>eux</w:t>
      </w:r>
      <w:r w:rsidRPr="00EB3D2F" w:rsidR="00511598">
        <w:t xml:space="preserve"> de leur liberté d</w:t>
      </w:r>
      <w:r w:rsidR="00062221">
        <w:t>’</w:t>
      </w:r>
      <w:r w:rsidRPr="00EB3D2F" w:rsidR="00511598">
        <w:t>expression. Cela n</w:t>
      </w:r>
      <w:r w:rsidR="00062221">
        <w:t>’</w:t>
      </w:r>
      <w:r w:rsidRPr="00EB3D2F" w:rsidR="006A4B6F">
        <w:t xml:space="preserve">a du reste pas prêté </w:t>
      </w:r>
      <w:r w:rsidRPr="00EB3D2F" w:rsidR="00F847FF">
        <w:t xml:space="preserve">à </w:t>
      </w:r>
      <w:r w:rsidRPr="00EB3D2F" w:rsidR="00511598">
        <w:t>controverse entre les parties. Pareille immixtion enfreint l</w:t>
      </w:r>
      <w:r w:rsidR="00062221">
        <w:t>’</w:t>
      </w:r>
      <w:r w:rsidR="00565C93">
        <w:t>article </w:t>
      </w:r>
      <w:r w:rsidRPr="00EB3D2F" w:rsidR="00511598">
        <w:t xml:space="preserve">10, sauf si elle est </w:t>
      </w:r>
      <w:r w:rsidR="006A4DF1">
        <w:t>« </w:t>
      </w:r>
      <w:r w:rsidRPr="00EB3D2F" w:rsidR="00511598">
        <w:t>prévue par la loi</w:t>
      </w:r>
      <w:r w:rsidR="006A4DF1">
        <w:t> »</w:t>
      </w:r>
      <w:r w:rsidRPr="00EB3D2F" w:rsidR="00511598">
        <w:t xml:space="preserve">, dirigée vers un ou des buts légitimes au regard du </w:t>
      </w:r>
      <w:r w:rsidR="00565C93">
        <w:t>paragraphe </w:t>
      </w:r>
      <w:r w:rsidRPr="00EB3D2F" w:rsidR="00511598">
        <w:t xml:space="preserve">2 et </w:t>
      </w:r>
      <w:r w:rsidR="006A4DF1">
        <w:t>« </w:t>
      </w:r>
      <w:r w:rsidRPr="00EB3D2F" w:rsidR="00511598">
        <w:t>nécessaire</w:t>
      </w:r>
      <w:r w:rsidR="006A4DF1">
        <w:t> »</w:t>
      </w:r>
      <w:r w:rsidRPr="00EB3D2F" w:rsidR="00511598">
        <w:t xml:space="preserve"> dans une société démocratique pour les atteindre.</w:t>
      </w:r>
    </w:p>
    <w:p w:rsidRPr="00EB3D2F" w:rsidR="00D728C0" w:rsidP="00EB3D2F" w:rsidRDefault="00526F71">
      <w:pPr>
        <w:pStyle w:val="JuHa0"/>
        <w:rPr>
          <w:lang w:val="fr-FR"/>
        </w:rPr>
      </w:pPr>
      <w:r w:rsidRPr="00EB3D2F">
        <w:rPr>
          <w:lang w:val="fr-FR"/>
        </w:rPr>
        <w:t>Prévue par la loi</w:t>
      </w:r>
    </w:p>
    <w:p w:rsidRPr="00EB3D2F" w:rsidR="00340372" w:rsidP="00EB3D2F" w:rsidRDefault="00D728C0">
      <w:pPr>
        <w:pStyle w:val="JuPara"/>
      </w:pPr>
      <w:r w:rsidRPr="00EB3D2F">
        <w:fldChar w:fldCharType="begin"/>
      </w:r>
      <w:r w:rsidRPr="00EB3D2F">
        <w:instrText xml:space="preserve"> SEQ level0 \*arabic </w:instrText>
      </w:r>
      <w:r w:rsidRPr="00EB3D2F">
        <w:fldChar w:fldCharType="separate"/>
      </w:r>
      <w:r w:rsidRPr="00EB3D2F" w:rsidR="00EB3D2F">
        <w:rPr>
          <w:noProof/>
        </w:rPr>
        <w:t>59</w:t>
      </w:r>
      <w:r w:rsidRPr="00EB3D2F">
        <w:fldChar w:fldCharType="end"/>
      </w:r>
      <w:r w:rsidRPr="00EB3D2F">
        <w:t>.  </w:t>
      </w:r>
      <w:r w:rsidRPr="00EB3D2F" w:rsidR="00FC5C29">
        <w:t xml:space="preserve">Vu la conclusion </w:t>
      </w:r>
      <w:r w:rsidRPr="00EB3D2F" w:rsidR="00F847FF">
        <w:t xml:space="preserve">à </w:t>
      </w:r>
      <w:r w:rsidRPr="00EB3D2F" w:rsidR="00FC5C29">
        <w:t>laquelle elle est parvenue s</w:t>
      </w:r>
      <w:r w:rsidR="00062221">
        <w:t>’</w:t>
      </w:r>
      <w:r w:rsidRPr="00EB3D2F" w:rsidR="00FC5C29">
        <w:t>agissant du grief tiré de l</w:t>
      </w:r>
      <w:r w:rsidR="00062221">
        <w:t>’</w:t>
      </w:r>
      <w:r w:rsidR="00565C93">
        <w:t>article </w:t>
      </w:r>
      <w:r w:rsidRPr="00EB3D2F" w:rsidR="00FC5C29">
        <w:t>7 de la Convention (</w:t>
      </w:r>
      <w:r w:rsidR="00565C93">
        <w:t>paragraphes </w:t>
      </w:r>
      <w:r w:rsidRPr="00EB3D2F" w:rsidR="00FC5C29">
        <w:t>3</w:t>
      </w:r>
      <w:r w:rsidRPr="00EB3D2F" w:rsidR="004A026A">
        <w:t>5</w:t>
      </w:r>
      <w:r w:rsidRPr="00EB3D2F" w:rsidR="00FC5C29">
        <w:t>-4</w:t>
      </w:r>
      <w:r w:rsidRPr="00EB3D2F" w:rsidR="004A026A">
        <w:t>1</w:t>
      </w:r>
      <w:r w:rsidRPr="00EB3D2F" w:rsidR="00FC5C29">
        <w:t xml:space="preserve"> ci-dessus), la Cour retient que l</w:t>
      </w:r>
      <w:r w:rsidR="00062221">
        <w:t>’</w:t>
      </w:r>
      <w:r w:rsidRPr="00EB3D2F" w:rsidR="00FC5C29">
        <w:t xml:space="preserve">ingérence était </w:t>
      </w:r>
      <w:r w:rsidR="006A4DF1">
        <w:t>« </w:t>
      </w:r>
      <w:r w:rsidRPr="00EB3D2F" w:rsidR="00FC5C29">
        <w:t>prévue par la loi</w:t>
      </w:r>
      <w:r w:rsidR="006A4DF1">
        <w:t> »</w:t>
      </w:r>
      <w:r w:rsidRPr="00EB3D2F" w:rsidR="00FC5C29">
        <w:t>, au sens de l</w:t>
      </w:r>
      <w:r w:rsidR="00062221">
        <w:t>’</w:t>
      </w:r>
      <w:r w:rsidR="00565C93">
        <w:t>article </w:t>
      </w:r>
      <w:r w:rsidRPr="00EB3D2F" w:rsidR="00FC5C29">
        <w:t>10 de la Convention.</w:t>
      </w:r>
    </w:p>
    <w:p w:rsidRPr="00EB3D2F" w:rsidR="00D728C0" w:rsidP="00EB3D2F" w:rsidRDefault="00D728C0">
      <w:pPr>
        <w:pStyle w:val="JuHa0"/>
        <w:rPr>
          <w:lang w:val="fr-FR"/>
        </w:rPr>
      </w:pPr>
      <w:r w:rsidRPr="00EB3D2F">
        <w:rPr>
          <w:lang w:val="fr-FR"/>
        </w:rPr>
        <w:t>But légitime</w:t>
      </w:r>
    </w:p>
    <w:p w:rsidRPr="00EB3D2F" w:rsidR="00340372" w:rsidP="00EB3D2F" w:rsidRDefault="00D728C0">
      <w:pPr>
        <w:pStyle w:val="JuPara"/>
        <w:rPr>
          <w:rFonts w:eastAsia="Times New Roman"/>
        </w:rPr>
      </w:pPr>
      <w:r w:rsidRPr="00EB3D2F">
        <w:fldChar w:fldCharType="begin"/>
      </w:r>
      <w:r w:rsidRPr="00EB3D2F">
        <w:instrText xml:space="preserve"> SEQ level0 \*arabic </w:instrText>
      </w:r>
      <w:r w:rsidRPr="00EB3D2F">
        <w:fldChar w:fldCharType="separate"/>
      </w:r>
      <w:r w:rsidRPr="00EB3D2F" w:rsidR="00EB3D2F">
        <w:rPr>
          <w:noProof/>
        </w:rPr>
        <w:t>60</w:t>
      </w:r>
      <w:r w:rsidRPr="00EB3D2F">
        <w:fldChar w:fldCharType="end"/>
      </w:r>
      <w:r w:rsidRPr="00EB3D2F">
        <w:t>.  </w:t>
      </w:r>
      <w:r w:rsidRPr="00EB3D2F" w:rsidR="00DC30B8">
        <w:rPr>
          <w:rFonts w:eastAsia="Times New Roman"/>
        </w:rPr>
        <w:t>Il résulte des motifs des arrêts de la cour d</w:t>
      </w:r>
      <w:r w:rsidR="00062221">
        <w:rPr>
          <w:rFonts w:eastAsia="Times New Roman"/>
        </w:rPr>
        <w:t>’</w:t>
      </w:r>
      <w:r w:rsidRPr="00EB3D2F" w:rsidR="00DC30B8">
        <w:rPr>
          <w:rFonts w:eastAsia="Times New Roman"/>
        </w:rPr>
        <w:t xml:space="preserve">appel de Colmar du </w:t>
      </w:r>
      <w:r w:rsidR="00E507E9">
        <w:rPr>
          <w:rFonts w:eastAsia="Times New Roman"/>
        </w:rPr>
        <w:t>27 </w:t>
      </w:r>
      <w:r w:rsidR="00565C93">
        <w:rPr>
          <w:rFonts w:eastAsia="Times New Roman"/>
        </w:rPr>
        <w:t>novembre</w:t>
      </w:r>
      <w:r w:rsidRPr="00EB3D2F" w:rsidR="00DC30B8">
        <w:rPr>
          <w:rFonts w:eastAsia="Times New Roman"/>
        </w:rPr>
        <w:t xml:space="preserve"> 2013 que les requérants ont été condamnés pour avoir provoqué </w:t>
      </w:r>
      <w:r w:rsidRPr="00EB3D2F" w:rsidR="00F847FF">
        <w:rPr>
          <w:rFonts w:eastAsia="Times New Roman"/>
        </w:rPr>
        <w:t xml:space="preserve">à </w:t>
      </w:r>
      <w:r w:rsidRPr="00EB3D2F" w:rsidR="00DC30B8">
        <w:rPr>
          <w:rFonts w:eastAsia="Times New Roman"/>
        </w:rPr>
        <w:t>discriminer les producteurs ou les fournisseurs de produits venant d</w:t>
      </w:r>
      <w:r w:rsidR="00062221">
        <w:rPr>
          <w:rFonts w:eastAsia="Times New Roman"/>
        </w:rPr>
        <w:t>’</w:t>
      </w:r>
      <w:r w:rsidRPr="00EB3D2F" w:rsidR="00DC30B8">
        <w:rPr>
          <w:rFonts w:eastAsia="Times New Roman"/>
        </w:rPr>
        <w:t>Israël (</w:t>
      </w:r>
      <w:r w:rsidR="00565C93">
        <w:rPr>
          <w:rFonts w:eastAsia="Times New Roman"/>
        </w:rPr>
        <w:t>paragraphe </w:t>
      </w:r>
      <w:r w:rsidRPr="00EB3D2F" w:rsidR="006E48BD">
        <w:rPr>
          <w:rFonts w:eastAsia="Times New Roman"/>
        </w:rPr>
        <w:t>1</w:t>
      </w:r>
      <w:r w:rsidRPr="00EB3D2F" w:rsidR="00020D6A">
        <w:rPr>
          <w:rFonts w:eastAsia="Times New Roman"/>
        </w:rPr>
        <w:t>3</w:t>
      </w:r>
      <w:r w:rsidRPr="00EB3D2F" w:rsidR="00DC30B8">
        <w:rPr>
          <w:rFonts w:eastAsia="Times New Roman"/>
        </w:rPr>
        <w:t xml:space="preserve"> ci-dessus). </w:t>
      </w:r>
      <w:r w:rsidRPr="00EB3D2F" w:rsidR="00907B5C">
        <w:rPr>
          <w:rFonts w:eastAsia="Times New Roman"/>
        </w:rPr>
        <w:t xml:space="preserve">Leur condamnation </w:t>
      </w:r>
      <w:r w:rsidRPr="00EB3D2F" w:rsidR="00EE4B1C">
        <w:rPr>
          <w:rFonts w:eastAsia="Times New Roman"/>
        </w:rPr>
        <w:t xml:space="preserve">visait </w:t>
      </w:r>
      <w:r w:rsidRPr="00EB3D2F" w:rsidR="002C2A5C">
        <w:rPr>
          <w:rFonts w:eastAsia="Times New Roman"/>
        </w:rPr>
        <w:t xml:space="preserve">donc </w:t>
      </w:r>
      <w:r w:rsidRPr="00EB3D2F" w:rsidR="00F847FF">
        <w:rPr>
          <w:rFonts w:eastAsia="Times New Roman"/>
        </w:rPr>
        <w:t xml:space="preserve">à </w:t>
      </w:r>
      <w:r w:rsidRPr="00EB3D2F" w:rsidR="00907B5C">
        <w:rPr>
          <w:rFonts w:eastAsia="Times New Roman"/>
        </w:rPr>
        <w:t xml:space="preserve">protéger les droits commerciaux de ces derniers. </w:t>
      </w:r>
      <w:r w:rsidRPr="00EB3D2F" w:rsidR="00D1127D">
        <w:rPr>
          <w:rFonts w:eastAsia="Times New Roman"/>
        </w:rPr>
        <w:t xml:space="preserve">La Cour admet en conséquence </w:t>
      </w:r>
      <w:r w:rsidRPr="00EB3D2F" w:rsidR="00DC30B8">
        <w:rPr>
          <w:rFonts w:eastAsia="Times New Roman"/>
        </w:rPr>
        <w:t>que</w:t>
      </w:r>
      <w:r w:rsidRPr="00EB3D2F" w:rsidR="00AC18C6">
        <w:rPr>
          <w:rFonts w:eastAsia="Times New Roman"/>
        </w:rPr>
        <w:t>, comme le soutient le Gouvernement,</w:t>
      </w:r>
      <w:r w:rsidRPr="00EB3D2F" w:rsidR="00EE4B1C">
        <w:rPr>
          <w:rFonts w:eastAsia="Times New Roman"/>
        </w:rPr>
        <w:t xml:space="preserve"> qui se réfère </w:t>
      </w:r>
      <w:r w:rsidRPr="00EB3D2F" w:rsidR="00EE4B1C">
        <w:t xml:space="preserve">au droit </w:t>
      </w:r>
      <w:r w:rsidRPr="00EB3D2F" w:rsidR="007E00C7">
        <w:t>d</w:t>
      </w:r>
      <w:r w:rsidRPr="00EB3D2F" w:rsidR="00907B5C">
        <w:t xml:space="preserve">es producteurs ou </w:t>
      </w:r>
      <w:r w:rsidRPr="00EB3D2F" w:rsidR="007E00C7">
        <w:t>d</w:t>
      </w:r>
      <w:r w:rsidRPr="00EB3D2F" w:rsidR="00907B5C">
        <w:t xml:space="preserve">es fournisseurs </w:t>
      </w:r>
      <w:r w:rsidRPr="00EB3D2F" w:rsidR="00EE4B1C">
        <w:t>d</w:t>
      </w:r>
      <w:r w:rsidR="00062221">
        <w:t>’</w:t>
      </w:r>
      <w:r w:rsidRPr="00EB3D2F" w:rsidR="00EE4B1C">
        <w:t xml:space="preserve">accéder </w:t>
      </w:r>
      <w:r w:rsidRPr="00EB3D2F" w:rsidR="00F847FF">
        <w:t xml:space="preserve">à </w:t>
      </w:r>
      <w:r w:rsidRPr="00EB3D2F" w:rsidR="00EE4B1C">
        <w:t>un marché,</w:t>
      </w:r>
      <w:r w:rsidRPr="00EB3D2F" w:rsidR="00DC30B8">
        <w:rPr>
          <w:rFonts w:eastAsia="Times New Roman"/>
        </w:rPr>
        <w:t xml:space="preserve"> l</w:t>
      </w:r>
      <w:r w:rsidR="00062221">
        <w:rPr>
          <w:rFonts w:eastAsia="Times New Roman"/>
        </w:rPr>
        <w:t>’</w:t>
      </w:r>
      <w:r w:rsidRPr="00EB3D2F" w:rsidR="00DC30B8">
        <w:rPr>
          <w:rFonts w:eastAsia="Times New Roman"/>
        </w:rPr>
        <w:t xml:space="preserve">ingérence litigieuse avait pour but la protection des </w:t>
      </w:r>
      <w:r w:rsidR="006A4DF1">
        <w:rPr>
          <w:rFonts w:eastAsia="Times New Roman"/>
        </w:rPr>
        <w:t>« </w:t>
      </w:r>
      <w:r w:rsidRPr="00EB3D2F" w:rsidR="00DC30B8">
        <w:rPr>
          <w:rFonts w:eastAsia="Times New Roman"/>
        </w:rPr>
        <w:t>droits d</w:t>
      </w:r>
      <w:r w:rsidR="00062221">
        <w:rPr>
          <w:rFonts w:eastAsia="Times New Roman"/>
        </w:rPr>
        <w:t>’</w:t>
      </w:r>
      <w:r w:rsidRPr="00EB3D2F" w:rsidR="00DC30B8">
        <w:rPr>
          <w:rFonts w:eastAsia="Times New Roman"/>
        </w:rPr>
        <w:t>autrui</w:t>
      </w:r>
      <w:r w:rsidR="006A4DF1">
        <w:rPr>
          <w:rFonts w:eastAsia="Times New Roman"/>
        </w:rPr>
        <w:t> »</w:t>
      </w:r>
      <w:r w:rsidRPr="00EB3D2F" w:rsidR="00DC30B8">
        <w:rPr>
          <w:rFonts w:eastAsia="Times New Roman"/>
        </w:rPr>
        <w:t xml:space="preserve"> au sens du second </w:t>
      </w:r>
      <w:r w:rsidR="00C50062">
        <w:rPr>
          <w:rFonts w:eastAsia="Times New Roman"/>
        </w:rPr>
        <w:t xml:space="preserve">paragraphe </w:t>
      </w:r>
      <w:r w:rsidRPr="00EB3D2F" w:rsidR="00DC30B8">
        <w:rPr>
          <w:rFonts w:eastAsia="Times New Roman"/>
        </w:rPr>
        <w:t>de l</w:t>
      </w:r>
      <w:r w:rsidR="00062221">
        <w:rPr>
          <w:rFonts w:eastAsia="Times New Roman"/>
        </w:rPr>
        <w:t>’</w:t>
      </w:r>
      <w:r w:rsidR="00565C93">
        <w:rPr>
          <w:rFonts w:eastAsia="Times New Roman"/>
        </w:rPr>
        <w:t>article </w:t>
      </w:r>
      <w:r w:rsidRPr="00EB3D2F" w:rsidR="00DC30B8">
        <w:rPr>
          <w:rFonts w:eastAsia="Times New Roman"/>
        </w:rPr>
        <w:t>10</w:t>
      </w:r>
      <w:r w:rsidRPr="00EB3D2F" w:rsidR="00734845">
        <w:rPr>
          <w:rFonts w:eastAsia="Times New Roman"/>
        </w:rPr>
        <w:t>.</w:t>
      </w:r>
    </w:p>
    <w:p w:rsidRPr="00EB3D2F" w:rsidR="00D728C0" w:rsidP="00EB3D2F" w:rsidRDefault="00D728C0">
      <w:pPr>
        <w:pStyle w:val="JuHa0"/>
        <w:rPr>
          <w:lang w:val="fr-FR"/>
        </w:rPr>
      </w:pPr>
      <w:r w:rsidRPr="00EB3D2F">
        <w:rPr>
          <w:lang w:val="fr-FR"/>
        </w:rPr>
        <w:t>N</w:t>
      </w:r>
      <w:r w:rsidRPr="00EB3D2F" w:rsidR="00526F71">
        <w:rPr>
          <w:lang w:val="fr-FR"/>
        </w:rPr>
        <w:t>écessité</w:t>
      </w:r>
      <w:r w:rsidRPr="00EB3D2F">
        <w:rPr>
          <w:lang w:val="fr-FR"/>
        </w:rPr>
        <w:t xml:space="preserve"> dans une société démocratique</w:t>
      </w:r>
    </w:p>
    <w:p w:rsidRPr="00EB3D2F" w:rsidR="00DC21DB" w:rsidP="00EB3D2F" w:rsidRDefault="00A113C0">
      <w:pPr>
        <w:pStyle w:val="JuHi"/>
        <w:rPr>
          <w:lang w:val="fr-FR"/>
        </w:rPr>
      </w:pPr>
      <w:r>
        <w:rPr>
          <w:lang w:val="fr-FR"/>
        </w:rPr>
        <w:t>Les p</w:t>
      </w:r>
      <w:r w:rsidRPr="00EB3D2F" w:rsidR="00DC21DB">
        <w:rPr>
          <w:lang w:val="fr-FR"/>
        </w:rPr>
        <w:t>rincipes généraux</w:t>
      </w:r>
    </w:p>
    <w:p w:rsidRPr="00EB3D2F" w:rsidR="00DC21DB" w:rsidP="00EB3D2F" w:rsidRDefault="00DC21DB">
      <w:pPr>
        <w:pStyle w:val="JuPara"/>
      </w:pPr>
      <w:r w:rsidRPr="00EB3D2F">
        <w:fldChar w:fldCharType="begin"/>
      </w:r>
      <w:r w:rsidRPr="00EB3D2F">
        <w:instrText xml:space="preserve"> SEQ level0 \*arabic </w:instrText>
      </w:r>
      <w:r w:rsidRPr="00EB3D2F">
        <w:fldChar w:fldCharType="separate"/>
      </w:r>
      <w:r w:rsidRPr="00EB3D2F" w:rsidR="00EB3D2F">
        <w:rPr>
          <w:noProof/>
        </w:rPr>
        <w:t>61</w:t>
      </w:r>
      <w:r w:rsidRPr="00EB3D2F">
        <w:fldChar w:fldCharType="end"/>
      </w:r>
      <w:r w:rsidRPr="00EB3D2F">
        <w:t xml:space="preserve">.  Les principes généraux </w:t>
      </w:r>
      <w:r w:rsidRPr="00EB3D2F" w:rsidR="00F847FF">
        <w:t xml:space="preserve">à </w:t>
      </w:r>
      <w:r w:rsidRPr="00EB3D2F">
        <w:t>suivre pour déterminer si une ingérence dans l</w:t>
      </w:r>
      <w:r w:rsidR="00062221">
        <w:t>’</w:t>
      </w:r>
      <w:r w:rsidRPr="00EB3D2F">
        <w:t xml:space="preserve">exercice du droit </w:t>
      </w:r>
      <w:r w:rsidRPr="00EB3D2F" w:rsidR="00F847FF">
        <w:t xml:space="preserve">à </w:t>
      </w:r>
      <w:r w:rsidRPr="00EB3D2F">
        <w:t>la liberté d</w:t>
      </w:r>
      <w:r w:rsidR="00062221">
        <w:t>’</w:t>
      </w:r>
      <w:r w:rsidRPr="00EB3D2F">
        <w:t xml:space="preserve">expression est </w:t>
      </w:r>
      <w:r w:rsidR="006A4DF1">
        <w:t>« </w:t>
      </w:r>
      <w:r w:rsidRPr="00EB3D2F">
        <w:t>nécessaire dans une société démocratique</w:t>
      </w:r>
      <w:r w:rsidR="006A4DF1">
        <w:t> »</w:t>
      </w:r>
      <w:r w:rsidRPr="00EB3D2F">
        <w:t xml:space="preserve">, au sens de </w:t>
      </w:r>
      <w:r w:rsidRPr="00EB3D2F">
        <w:rPr>
          <w:rFonts w:ascii="Times New Roman" w:hAnsi="Times New Roman" w:cs="Times New Roman"/>
        </w:rPr>
        <w:t>l</w:t>
      </w:r>
      <w:r w:rsidR="00062221">
        <w:rPr>
          <w:rFonts w:ascii="Times New Roman" w:hAnsi="Times New Roman" w:cs="Times New Roman"/>
        </w:rPr>
        <w:t>’</w:t>
      </w:r>
      <w:r w:rsidR="00565C93">
        <w:rPr>
          <w:rFonts w:ascii="Times New Roman" w:hAnsi="Times New Roman" w:cs="Times New Roman"/>
        </w:rPr>
        <w:t>article </w:t>
      </w:r>
      <w:r w:rsidRPr="00EB3D2F">
        <w:rPr>
          <w:rFonts w:ascii="Times New Roman" w:hAnsi="Times New Roman" w:cs="Times New Roman"/>
        </w:rPr>
        <w:t xml:space="preserve">10 </w:t>
      </w:r>
      <w:r w:rsidR="00565C93">
        <w:rPr>
          <w:rFonts w:ascii="Times New Roman" w:hAnsi="Times New Roman" w:cs="Times New Roman"/>
        </w:rPr>
        <w:t>§ </w:t>
      </w:r>
      <w:r w:rsidRPr="00EB3D2F">
        <w:rPr>
          <w:rFonts w:ascii="Times New Roman" w:hAnsi="Times New Roman" w:cs="Times New Roman"/>
        </w:rPr>
        <w:t>2</w:t>
      </w:r>
      <w:r w:rsidRPr="00EB3D2F">
        <w:t xml:space="preserve"> de la Convention, sont bien établis dans la jurisprudence de la Cour. Ils ont notamment été rappelés dans l</w:t>
      </w:r>
      <w:r w:rsidR="00062221">
        <w:t>’</w:t>
      </w:r>
      <w:r w:rsidRPr="00EB3D2F">
        <w:t xml:space="preserve">arrêt </w:t>
      </w:r>
      <w:proofErr w:type="spellStart"/>
      <w:r w:rsidRPr="00EB3D2F">
        <w:rPr>
          <w:i/>
        </w:rPr>
        <w:t>Perinçek</w:t>
      </w:r>
      <w:proofErr w:type="spellEnd"/>
      <w:r w:rsidRPr="00EB3D2F">
        <w:t xml:space="preserve"> (</w:t>
      </w:r>
      <w:r w:rsidR="00C50062">
        <w:t xml:space="preserve">précité, </w:t>
      </w:r>
      <w:r w:rsidR="00565C93">
        <w:t>§ </w:t>
      </w:r>
      <w:r w:rsidRPr="00EB3D2F">
        <w:t>196)</w:t>
      </w:r>
      <w:r w:rsidR="006A4DF1">
        <w:t> :</w:t>
      </w:r>
    </w:p>
    <w:p w:rsidRPr="00EB3D2F" w:rsidR="00DC21DB" w:rsidP="00062221" w:rsidRDefault="00597558">
      <w:pPr>
        <w:pStyle w:val="JuQuot"/>
      </w:pPr>
      <w:r>
        <w:t>« </w:t>
      </w:r>
      <w:proofErr w:type="gramStart"/>
      <w:r w:rsidRPr="00EB3D2F" w:rsidR="00DC21DB">
        <w:t>i</w:t>
      </w:r>
      <w:proofErr w:type="gramEnd"/>
      <w:r w:rsidRPr="00EB3D2F" w:rsidR="00DC21DB">
        <w:t>.  La liberté d</w:t>
      </w:r>
      <w:r w:rsidR="00062221">
        <w:t>’</w:t>
      </w:r>
      <w:r w:rsidRPr="00EB3D2F" w:rsidR="00DC21DB">
        <w:t>expression constitue l</w:t>
      </w:r>
      <w:r w:rsidR="00062221">
        <w:t>’</w:t>
      </w:r>
      <w:r w:rsidRPr="00EB3D2F" w:rsidR="00DC21DB">
        <w:t>un des fondements essentiels d</w:t>
      </w:r>
      <w:r w:rsidR="00062221">
        <w:t>’</w:t>
      </w:r>
      <w:r w:rsidRPr="00EB3D2F" w:rsidR="00DC21DB">
        <w:t>une société démocratique et l</w:t>
      </w:r>
      <w:r w:rsidR="00062221">
        <w:t>’</w:t>
      </w:r>
      <w:r w:rsidRPr="00EB3D2F" w:rsidR="00DC21DB">
        <w:t>une des conditions primordiales de son progrès et de l</w:t>
      </w:r>
      <w:r w:rsidR="00062221">
        <w:t>’</w:t>
      </w:r>
      <w:r w:rsidRPr="00EB3D2F" w:rsidR="00DC21DB">
        <w:t xml:space="preserve">épanouissement de chacun. Sous réserve du </w:t>
      </w:r>
      <w:r w:rsidR="00565C93">
        <w:t>paragraphe </w:t>
      </w:r>
      <w:r w:rsidRPr="00EB3D2F" w:rsidR="00DC21DB">
        <w:t>2 de l</w:t>
      </w:r>
      <w:r w:rsidR="00062221">
        <w:t>’</w:t>
      </w:r>
      <w:r w:rsidR="00565C93">
        <w:t>article </w:t>
      </w:r>
      <w:r w:rsidRPr="00EB3D2F" w:rsidR="00DC21DB">
        <w:t xml:space="preserve">10, elle vaut non seulement pour les </w:t>
      </w:r>
      <w:r w:rsidR="006A4DF1">
        <w:t>« </w:t>
      </w:r>
      <w:r w:rsidRPr="00EB3D2F" w:rsidR="00DC21DB">
        <w:t>informations</w:t>
      </w:r>
      <w:r w:rsidR="006A4DF1">
        <w:t> »</w:t>
      </w:r>
      <w:r w:rsidRPr="00EB3D2F" w:rsidR="00DC21DB">
        <w:t xml:space="preserve"> ou </w:t>
      </w:r>
      <w:r w:rsidR="006A4DF1">
        <w:t>« </w:t>
      </w:r>
      <w:r w:rsidRPr="00EB3D2F" w:rsidR="00DC21DB">
        <w:t>idées</w:t>
      </w:r>
      <w:r w:rsidR="006A4DF1">
        <w:t> »</w:t>
      </w:r>
      <w:r w:rsidRPr="00EB3D2F" w:rsidR="00DC21DB">
        <w:t xml:space="preserve"> accueillies avec faveur ou considérées comme inoffensives ou indifférentes, mais aussi pour celles qui heurtent, choquent ou inquiètent</w:t>
      </w:r>
      <w:r w:rsidR="006A4DF1">
        <w:t> :</w:t>
      </w:r>
      <w:r w:rsidRPr="00EB3D2F" w:rsidR="00DC21DB">
        <w:t xml:space="preserve"> ainsi le veulent le pluralisme, la tolérance et l</w:t>
      </w:r>
      <w:r w:rsidR="00062221">
        <w:t>’</w:t>
      </w:r>
      <w:r w:rsidRPr="00EB3D2F" w:rsidR="00DC21DB">
        <w:t>esprit d</w:t>
      </w:r>
      <w:r w:rsidR="00062221">
        <w:t>’</w:t>
      </w:r>
      <w:r w:rsidRPr="00EB3D2F" w:rsidR="00DC21DB">
        <w:t>ouverture sans lesquels il n</w:t>
      </w:r>
      <w:r w:rsidR="00062221">
        <w:t>’</w:t>
      </w:r>
      <w:r w:rsidRPr="00EB3D2F" w:rsidR="00DC21DB">
        <w:t xml:space="preserve">est pas de </w:t>
      </w:r>
      <w:r w:rsidR="006A4DF1">
        <w:t>« </w:t>
      </w:r>
      <w:r w:rsidRPr="00EB3D2F" w:rsidR="00DC21DB">
        <w:t>société démocratique</w:t>
      </w:r>
      <w:r w:rsidR="006A4DF1">
        <w:t> »</w:t>
      </w:r>
      <w:r w:rsidRPr="00EB3D2F" w:rsidR="00DC21DB">
        <w:t>. Telle que la consacre l</w:t>
      </w:r>
      <w:r w:rsidR="00062221">
        <w:t>’</w:t>
      </w:r>
      <w:r w:rsidR="00565C93">
        <w:t>article </w:t>
      </w:r>
      <w:r w:rsidRPr="00EB3D2F" w:rsidR="00DC21DB">
        <w:t>10, elle est assortie d</w:t>
      </w:r>
      <w:r w:rsidR="00062221">
        <w:t>’</w:t>
      </w:r>
      <w:r w:rsidRPr="00EB3D2F" w:rsidR="00DC21DB">
        <w:t>exceptions qui sont toutefois d</w:t>
      </w:r>
      <w:r w:rsidR="00062221">
        <w:t>’</w:t>
      </w:r>
      <w:r w:rsidRPr="00EB3D2F" w:rsidR="00DC21DB">
        <w:t>interprétation restrictive, et le besoin de la restreindre doit se trouver établi de manière convaincante.</w:t>
      </w:r>
    </w:p>
    <w:p w:rsidRPr="00EB3D2F" w:rsidR="00DC21DB" w:rsidP="00062221" w:rsidRDefault="00DC21DB">
      <w:pPr>
        <w:pStyle w:val="JuQuot"/>
      </w:pPr>
      <w:r w:rsidRPr="00EB3D2F">
        <w:t>ii.  L</w:t>
      </w:r>
      <w:r w:rsidR="00062221">
        <w:t>’</w:t>
      </w:r>
      <w:r w:rsidRPr="00EB3D2F">
        <w:t xml:space="preserve">adjectif </w:t>
      </w:r>
      <w:r w:rsidR="006A4DF1">
        <w:t>« </w:t>
      </w:r>
      <w:r w:rsidRPr="00EB3D2F">
        <w:t>nécessaire</w:t>
      </w:r>
      <w:r w:rsidR="006A4DF1">
        <w:t> »</w:t>
      </w:r>
      <w:r w:rsidRPr="00EB3D2F">
        <w:t>, au sens de l</w:t>
      </w:r>
      <w:r w:rsidR="00062221">
        <w:t>’</w:t>
      </w:r>
      <w:r w:rsidR="00565C93">
        <w:t>article </w:t>
      </w:r>
      <w:r w:rsidRPr="00EB3D2F">
        <w:t xml:space="preserve">10 </w:t>
      </w:r>
      <w:r w:rsidR="00565C93">
        <w:t>§ </w:t>
      </w:r>
      <w:r w:rsidRPr="00EB3D2F">
        <w:t>2, implique un besoin social impérieux. Les Hautes Parties contractantes jouissent d</w:t>
      </w:r>
      <w:r w:rsidR="00062221">
        <w:t>’</w:t>
      </w:r>
      <w:r w:rsidRPr="00EB3D2F">
        <w:t>une certaine marge d</w:t>
      </w:r>
      <w:r w:rsidR="00062221">
        <w:t>’</w:t>
      </w:r>
      <w:r w:rsidRPr="00EB3D2F">
        <w:t>appréciation pour juger de l</w:t>
      </w:r>
      <w:r w:rsidR="00062221">
        <w:t>’</w:t>
      </w:r>
      <w:r w:rsidRPr="00EB3D2F">
        <w:t>existence d</w:t>
      </w:r>
      <w:r w:rsidR="00062221">
        <w:t>’</w:t>
      </w:r>
      <w:r w:rsidRPr="00EB3D2F">
        <w:t>un tel besoin, mais elle se double d</w:t>
      </w:r>
      <w:r w:rsidR="00062221">
        <w:t>’</w:t>
      </w:r>
      <w:r w:rsidRPr="00EB3D2F">
        <w:t xml:space="preserve">un contrôle européen portant </w:t>
      </w:r>
      <w:r w:rsidRPr="00EB3D2F" w:rsidR="00F847FF">
        <w:t xml:space="preserve">à </w:t>
      </w:r>
      <w:r w:rsidRPr="00EB3D2F">
        <w:t>la fois sur la loi et sur les décisions qui l</w:t>
      </w:r>
      <w:r w:rsidR="00062221">
        <w:t>’</w:t>
      </w:r>
      <w:r w:rsidRPr="00EB3D2F">
        <w:t>appliquent, même quand elles émanent d</w:t>
      </w:r>
      <w:r w:rsidR="00062221">
        <w:t>’</w:t>
      </w:r>
      <w:r w:rsidRPr="00EB3D2F">
        <w:t xml:space="preserve">une juridiction indépendante. La Cour a donc compétence pour statuer en dernier lieu sur le point de savoir si une </w:t>
      </w:r>
      <w:r w:rsidR="006A4DF1">
        <w:t>« </w:t>
      </w:r>
      <w:r w:rsidRPr="00EB3D2F">
        <w:t>restriction</w:t>
      </w:r>
      <w:r w:rsidR="006A4DF1">
        <w:t> »</w:t>
      </w:r>
      <w:r w:rsidRPr="00EB3D2F">
        <w:t xml:space="preserve"> se concilie avec la liberté d</w:t>
      </w:r>
      <w:r w:rsidR="00062221">
        <w:t>’</w:t>
      </w:r>
      <w:r w:rsidRPr="00EB3D2F">
        <w:t>expression.</w:t>
      </w:r>
    </w:p>
    <w:p w:rsidRPr="00EB3D2F" w:rsidR="00DC21DB" w:rsidP="00062221" w:rsidRDefault="00DC21DB">
      <w:pPr>
        <w:pStyle w:val="JuQuot"/>
      </w:pPr>
      <w:r w:rsidRPr="00EB3D2F">
        <w:t xml:space="preserve">iii.  La Cour </w:t>
      </w:r>
      <w:proofErr w:type="gramStart"/>
      <w:r w:rsidRPr="00EB3D2F">
        <w:t>n</w:t>
      </w:r>
      <w:r w:rsidR="00062221">
        <w:t>’</w:t>
      </w:r>
      <w:r w:rsidRPr="00EB3D2F">
        <w:t>a</w:t>
      </w:r>
      <w:proofErr w:type="gramEnd"/>
      <w:r w:rsidRPr="00EB3D2F">
        <w:t xml:space="preserve"> point pour tâche de se substituer aux autorités nationales compétentes, mais il lui incombe de vérifier sous l</w:t>
      </w:r>
      <w:r w:rsidR="00062221">
        <w:t>’</w:t>
      </w:r>
      <w:r w:rsidRPr="00EB3D2F">
        <w:t>angle de l</w:t>
      </w:r>
      <w:r w:rsidR="00062221">
        <w:t>’</w:t>
      </w:r>
      <w:r w:rsidR="00565C93">
        <w:t>article </w:t>
      </w:r>
      <w:r w:rsidRPr="00EB3D2F">
        <w:t>10 les décisions qu</w:t>
      </w:r>
      <w:r w:rsidR="00062221">
        <w:t>’</w:t>
      </w:r>
      <w:r w:rsidRPr="00EB3D2F">
        <w:t>elles ont rendues. Il ne s</w:t>
      </w:r>
      <w:r w:rsidR="00062221">
        <w:t>’</w:t>
      </w:r>
      <w:r w:rsidRPr="00EB3D2F">
        <w:t>ensuit pas qu</w:t>
      </w:r>
      <w:r w:rsidR="00062221">
        <w:t>’</w:t>
      </w:r>
      <w:r w:rsidRPr="00EB3D2F" w:rsidR="002C2A5C">
        <w:t xml:space="preserve">elle doive se borner </w:t>
      </w:r>
      <w:r w:rsidRPr="00EB3D2F" w:rsidR="00F847FF">
        <w:t xml:space="preserve">à </w:t>
      </w:r>
      <w:r w:rsidRPr="00EB3D2F">
        <w:t>rechercher si l</w:t>
      </w:r>
      <w:r w:rsidR="00062221">
        <w:t>’</w:t>
      </w:r>
      <w:r w:rsidRPr="00EB3D2F">
        <w:rPr>
          <w:rFonts w:cstheme="minorHAnsi"/>
        </w:rPr>
        <w:t>É</w:t>
      </w:r>
      <w:r w:rsidRPr="00EB3D2F">
        <w:t>tat défendeur a usé de ce pouvoir d</w:t>
      </w:r>
      <w:r w:rsidR="00062221">
        <w:t>’</w:t>
      </w:r>
      <w:r w:rsidRPr="00EB3D2F">
        <w:t>appréciation de bonne foi, avec soin et de façon raisonnable</w:t>
      </w:r>
      <w:r w:rsidR="006A4DF1">
        <w:t> :</w:t>
      </w:r>
      <w:r w:rsidRPr="00EB3D2F">
        <w:t xml:space="preserve"> il lui faut considérer l</w:t>
      </w:r>
      <w:r w:rsidR="00062221">
        <w:t>’</w:t>
      </w:r>
      <w:r w:rsidRPr="00EB3D2F">
        <w:t xml:space="preserve">ingérence litigieuse </w:t>
      </w:r>
      <w:r w:rsidRPr="00EB3D2F" w:rsidR="00F847FF">
        <w:t xml:space="preserve">à </w:t>
      </w:r>
      <w:r w:rsidRPr="00EB3D2F">
        <w:t>la lumière de l</w:t>
      </w:r>
      <w:r w:rsidR="00062221">
        <w:t>’</w:t>
      </w:r>
      <w:r w:rsidRPr="00EB3D2F">
        <w:t>ensemble de l</w:t>
      </w:r>
      <w:r w:rsidR="00062221">
        <w:t>’</w:t>
      </w:r>
      <w:r w:rsidRPr="00EB3D2F">
        <w:t xml:space="preserve">affaire pour déterminer si elle était proportionnée au but légitime poursuivi et si les motifs invoqués par les autorités nationales pour la justifier apparaissent pertinents et suffisants. Ce faisant, la Cour doit se convaincre que les autorités nationales ont appliqué des règles conformes aux principes consacrés </w:t>
      </w:r>
      <w:r w:rsidRPr="00EB3D2F" w:rsidR="00F847FF">
        <w:t xml:space="preserve">à </w:t>
      </w:r>
      <w:r w:rsidRPr="00EB3D2F">
        <w:t>l</w:t>
      </w:r>
      <w:r w:rsidR="00062221">
        <w:t>’</w:t>
      </w:r>
      <w:r w:rsidR="00565C93">
        <w:t>article </w:t>
      </w:r>
      <w:r w:rsidRPr="00EB3D2F">
        <w:t>10 et ce, de surcroît, en se fondant sur une appréciation acceptable des faits pertinents.</w:t>
      </w:r>
      <w:r w:rsidR="00597558">
        <w:t> »</w:t>
      </w:r>
    </w:p>
    <w:p w:rsidRPr="00EB3D2F" w:rsidR="00C0110B" w:rsidP="00EB3D2F" w:rsidRDefault="00C0110B">
      <w:pPr>
        <w:pStyle w:val="JuPara"/>
      </w:pPr>
      <w:r w:rsidRPr="00EB3D2F">
        <w:fldChar w:fldCharType="begin"/>
      </w:r>
      <w:r w:rsidRPr="00EB3D2F">
        <w:instrText xml:space="preserve"> SEQ level0 \*arabic </w:instrText>
      </w:r>
      <w:r w:rsidRPr="00EB3D2F">
        <w:fldChar w:fldCharType="separate"/>
      </w:r>
      <w:r w:rsidRPr="00EB3D2F" w:rsidR="00EB3D2F">
        <w:rPr>
          <w:noProof/>
        </w:rPr>
        <w:t>62</w:t>
      </w:r>
      <w:r w:rsidRPr="00EB3D2F">
        <w:fldChar w:fldCharType="end"/>
      </w:r>
      <w:r w:rsidRPr="00EB3D2F">
        <w:t>.  </w:t>
      </w:r>
      <w:r w:rsidRPr="00EB3D2F" w:rsidR="00F847FF">
        <w:t xml:space="preserve">À </w:t>
      </w:r>
      <w:r w:rsidRPr="00EB3D2F">
        <w:t>cela il faut ajouter qu</w:t>
      </w:r>
      <w:r w:rsidR="00062221">
        <w:t>’</w:t>
      </w:r>
      <w:r w:rsidRPr="00EB3D2F">
        <w:t>outre la substance des idées et informations exprimées, l</w:t>
      </w:r>
      <w:r w:rsidR="00062221">
        <w:t>’</w:t>
      </w:r>
      <w:r w:rsidR="00565C93">
        <w:t>article </w:t>
      </w:r>
      <w:r w:rsidRPr="00EB3D2F">
        <w:t>10 protège aussi leur mode d</w:t>
      </w:r>
      <w:r w:rsidR="00062221">
        <w:t>’</w:t>
      </w:r>
      <w:r w:rsidRPr="00EB3D2F">
        <w:t xml:space="preserve">expression (voir, par exemple, </w:t>
      </w:r>
      <w:proofErr w:type="spellStart"/>
      <w:r w:rsidRPr="00EB3D2F">
        <w:rPr>
          <w:i/>
        </w:rPr>
        <w:t>Lehideux</w:t>
      </w:r>
      <w:proofErr w:type="spellEnd"/>
      <w:r w:rsidRPr="00EB3D2F">
        <w:rPr>
          <w:i/>
        </w:rPr>
        <w:t xml:space="preserve"> et Isorni</w:t>
      </w:r>
      <w:r w:rsidR="00565C93">
        <w:rPr>
          <w:i/>
        </w:rPr>
        <w:t xml:space="preserve"> c. </w:t>
      </w:r>
      <w:r w:rsidRPr="00EB3D2F">
        <w:rPr>
          <w:i/>
        </w:rPr>
        <w:t>France</w:t>
      </w:r>
      <w:r w:rsidRPr="00EB3D2F">
        <w:t>, 23</w:t>
      </w:r>
      <w:r w:rsidR="00565C93">
        <w:t> septembre</w:t>
      </w:r>
      <w:r w:rsidRPr="00EB3D2F">
        <w:t xml:space="preserve"> 1998, </w:t>
      </w:r>
      <w:r w:rsidR="00565C93">
        <w:t>§ </w:t>
      </w:r>
      <w:r w:rsidRPr="00EB3D2F">
        <w:t xml:space="preserve">52, </w:t>
      </w:r>
      <w:r w:rsidRPr="00EB3D2F">
        <w:rPr>
          <w:i/>
        </w:rPr>
        <w:t>Recueil des arrêts et décisions</w:t>
      </w:r>
      <w:r w:rsidRPr="00EB3D2F">
        <w:t xml:space="preserve"> 1998</w:t>
      </w:r>
      <w:r w:rsidRPr="006F49EE" w:rsidR="006B0240">
        <w:noBreakHyphen/>
      </w:r>
      <w:r w:rsidRPr="00EB3D2F">
        <w:t>VII</w:t>
      </w:r>
      <w:r w:rsidRPr="00EB3D2F" w:rsidR="00B1782D">
        <w:t xml:space="preserve">, </w:t>
      </w:r>
      <w:proofErr w:type="spellStart"/>
      <w:r w:rsidR="006B0240">
        <w:rPr>
          <w:i/>
        </w:rPr>
        <w:t>Palomo</w:t>
      </w:r>
      <w:proofErr w:type="spellEnd"/>
      <w:r w:rsidR="006B0240">
        <w:rPr>
          <w:i/>
        </w:rPr>
        <w:t xml:space="preserve"> </w:t>
      </w:r>
      <w:proofErr w:type="spellStart"/>
      <w:r w:rsidRPr="00EB3D2F" w:rsidR="00537031">
        <w:rPr>
          <w:i/>
        </w:rPr>
        <w:t>Sánchez</w:t>
      </w:r>
      <w:proofErr w:type="spellEnd"/>
      <w:r w:rsidRPr="00EB3D2F" w:rsidR="00537031">
        <w:rPr>
          <w:i/>
        </w:rPr>
        <w:t xml:space="preserve"> et autres</w:t>
      </w:r>
      <w:r w:rsidR="00565C93">
        <w:rPr>
          <w:i/>
        </w:rPr>
        <w:t xml:space="preserve"> c. </w:t>
      </w:r>
      <w:r w:rsidRPr="00EB3D2F" w:rsidR="00537031">
        <w:rPr>
          <w:i/>
        </w:rPr>
        <w:t>Espagne</w:t>
      </w:r>
      <w:r w:rsidRPr="00EB3D2F" w:rsidR="00537031">
        <w:rPr>
          <w:rFonts w:cs="Times New Roman"/>
        </w:rPr>
        <w:t xml:space="preserve"> [GC], n</w:t>
      </w:r>
      <w:r w:rsidRPr="00EB3D2F" w:rsidR="00537031">
        <w:rPr>
          <w:rFonts w:cs="Times New Roman"/>
          <w:vertAlign w:val="superscript"/>
        </w:rPr>
        <w:t>os</w:t>
      </w:r>
      <w:r w:rsidR="006B0240">
        <w:rPr>
          <w:rFonts w:cs="Times New Roman"/>
        </w:rPr>
        <w:t> </w:t>
      </w:r>
      <w:r w:rsidRPr="00EB3D2F" w:rsidR="00537031">
        <w:rPr>
          <w:rFonts w:cs="Times New Roman"/>
        </w:rPr>
        <w:t>28955/06 et 3</w:t>
      </w:r>
      <w:r w:rsidR="006B0240">
        <w:rPr>
          <w:rFonts w:cs="Times New Roman"/>
        </w:rPr>
        <w:t> </w:t>
      </w:r>
      <w:r w:rsidRPr="00EB3D2F" w:rsidR="00537031">
        <w:rPr>
          <w:rFonts w:cs="Times New Roman"/>
        </w:rPr>
        <w:t xml:space="preserve">autres, </w:t>
      </w:r>
      <w:r w:rsidR="00565C93">
        <w:rPr>
          <w:rFonts w:cs="Times New Roman"/>
        </w:rPr>
        <w:t>§ </w:t>
      </w:r>
      <w:r w:rsidRPr="00EB3D2F" w:rsidR="00715F73">
        <w:rPr>
          <w:rFonts w:cs="Times New Roman"/>
        </w:rPr>
        <w:t>53</w:t>
      </w:r>
      <w:r w:rsidRPr="00EB3D2F" w:rsidR="00537031">
        <w:rPr>
          <w:rFonts w:cs="Times New Roman"/>
        </w:rPr>
        <w:t xml:space="preserve">, CEDH 2011, </w:t>
      </w:r>
      <w:proofErr w:type="spellStart"/>
      <w:r w:rsidRPr="00EB3D2F" w:rsidR="00E62387">
        <w:rPr>
          <w:i/>
        </w:rPr>
        <w:t>Gillberg</w:t>
      </w:r>
      <w:proofErr w:type="spellEnd"/>
      <w:r w:rsidR="00565C93">
        <w:rPr>
          <w:i/>
        </w:rPr>
        <w:t xml:space="preserve"> c. </w:t>
      </w:r>
      <w:r w:rsidRPr="00EB3D2F" w:rsidR="00E62387">
        <w:rPr>
          <w:i/>
        </w:rPr>
        <w:t>Suède</w:t>
      </w:r>
      <w:r w:rsidRPr="00EB3D2F" w:rsidR="00E62387">
        <w:t xml:space="preserve"> [GC]</w:t>
      </w:r>
      <w:r w:rsidRPr="00EB3D2F" w:rsidR="00E62387">
        <w:rPr>
          <w:snapToGrid w:val="0"/>
        </w:rPr>
        <w:t>, n</w:t>
      </w:r>
      <w:r w:rsidRPr="00565C93" w:rsidR="00565C93">
        <w:rPr>
          <w:snapToGrid w:val="0"/>
          <w:vertAlign w:val="superscript"/>
        </w:rPr>
        <w:t>o</w:t>
      </w:r>
      <w:r w:rsidRPr="00565C93" w:rsidR="00565C93">
        <w:rPr>
          <w:snapToGrid w:val="0"/>
        </w:rPr>
        <w:t> </w:t>
      </w:r>
      <w:r w:rsidRPr="00EB3D2F" w:rsidR="00E62387">
        <w:rPr>
          <w:lang w:eastAsia="en-GB"/>
        </w:rPr>
        <w:t>41723/06</w:t>
      </w:r>
      <w:r w:rsidRPr="00EB3D2F" w:rsidR="00E62387">
        <w:t xml:space="preserve">, </w:t>
      </w:r>
      <w:r w:rsidR="00565C93">
        <w:t>§ </w:t>
      </w:r>
      <w:r w:rsidRPr="00EB3D2F" w:rsidR="00715F73">
        <w:t>82</w:t>
      </w:r>
      <w:r w:rsidRPr="00EB3D2F" w:rsidR="00E62387">
        <w:t>, 3</w:t>
      </w:r>
      <w:r w:rsidR="00565C93">
        <w:t> avril</w:t>
      </w:r>
      <w:r w:rsidRPr="00EB3D2F" w:rsidR="00E62387">
        <w:t xml:space="preserve"> 2012, </w:t>
      </w:r>
      <w:r w:rsidRPr="00EB3D2F" w:rsidR="00715F73">
        <w:t xml:space="preserve">et </w:t>
      </w:r>
      <w:proofErr w:type="spellStart"/>
      <w:r w:rsidRPr="00EB3D2F" w:rsidR="00715F73">
        <w:rPr>
          <w:i/>
        </w:rPr>
        <w:t>Bédat</w:t>
      </w:r>
      <w:proofErr w:type="spellEnd"/>
      <w:r w:rsidR="00565C93">
        <w:rPr>
          <w:i/>
        </w:rPr>
        <w:t xml:space="preserve"> c. </w:t>
      </w:r>
      <w:r w:rsidRPr="00EB3D2F" w:rsidR="00715F73">
        <w:rPr>
          <w:i/>
        </w:rPr>
        <w:t>Suisse</w:t>
      </w:r>
      <w:r w:rsidRPr="00EB3D2F" w:rsidR="00715F73">
        <w:t xml:space="preserve"> [GC], n</w:t>
      </w:r>
      <w:r w:rsidRPr="00565C93" w:rsidR="00565C93">
        <w:rPr>
          <w:vertAlign w:val="superscript"/>
        </w:rPr>
        <w:t>o</w:t>
      </w:r>
      <w:r w:rsidRPr="00565C93" w:rsidR="00565C93">
        <w:t> </w:t>
      </w:r>
      <w:r w:rsidRPr="00EB3D2F" w:rsidR="00715F73">
        <w:t xml:space="preserve">56925/08, </w:t>
      </w:r>
      <w:r w:rsidR="00565C93">
        <w:t>§ </w:t>
      </w:r>
      <w:r w:rsidRPr="00EB3D2F" w:rsidR="00715F73">
        <w:t>58, 29</w:t>
      </w:r>
      <w:r w:rsidR="00565C93">
        <w:t xml:space="preserve"> mars </w:t>
      </w:r>
      <w:r w:rsidRPr="00EB3D2F" w:rsidR="00715F73">
        <w:t>2016</w:t>
      </w:r>
      <w:r w:rsidRPr="00EB3D2F" w:rsidR="00E75B75">
        <w:t>, ainsi que les références qui y sont indiquées</w:t>
      </w:r>
      <w:r w:rsidRPr="00EB3D2F">
        <w:t>).</w:t>
      </w:r>
    </w:p>
    <w:p w:rsidRPr="00EB3D2F" w:rsidR="004229E8" w:rsidP="00EB3D2F" w:rsidRDefault="006E5CF8">
      <w:pPr>
        <w:pStyle w:val="JuHi"/>
        <w:rPr>
          <w:lang w:val="fr-FR"/>
        </w:rPr>
      </w:pPr>
      <w:r w:rsidRPr="00EB3D2F">
        <w:rPr>
          <w:lang w:val="fr-FR"/>
        </w:rPr>
        <w:t xml:space="preserve">Considérations relatives </w:t>
      </w:r>
      <w:r w:rsidRPr="00EB3D2F" w:rsidR="00F847FF">
        <w:rPr>
          <w:lang w:val="fr-FR"/>
        </w:rPr>
        <w:t xml:space="preserve">à </w:t>
      </w:r>
      <w:r w:rsidRPr="00EB3D2F">
        <w:rPr>
          <w:lang w:val="fr-FR"/>
        </w:rPr>
        <w:t>l</w:t>
      </w:r>
      <w:r w:rsidR="00062221">
        <w:rPr>
          <w:lang w:val="fr-FR"/>
        </w:rPr>
        <w:t>’</w:t>
      </w:r>
      <w:r w:rsidRPr="00EB3D2F">
        <w:rPr>
          <w:lang w:val="fr-FR"/>
        </w:rPr>
        <w:t>appel au boycott</w:t>
      </w:r>
    </w:p>
    <w:p w:rsidRPr="00EB3D2F" w:rsidR="00C2408B" w:rsidP="00EB3D2F" w:rsidRDefault="00E76FE5">
      <w:pPr>
        <w:pStyle w:val="JuPara"/>
      </w:pPr>
      <w:r w:rsidRPr="00EB3D2F">
        <w:fldChar w:fldCharType="begin"/>
      </w:r>
      <w:r w:rsidRPr="00EB3D2F">
        <w:instrText xml:space="preserve"> SEQ level0 \*arabic </w:instrText>
      </w:r>
      <w:r w:rsidRPr="00EB3D2F">
        <w:fldChar w:fldCharType="separate"/>
      </w:r>
      <w:r w:rsidRPr="00EB3D2F" w:rsidR="00EB3D2F">
        <w:rPr>
          <w:noProof/>
        </w:rPr>
        <w:t>63</w:t>
      </w:r>
      <w:r w:rsidRPr="00EB3D2F">
        <w:fldChar w:fldCharType="end"/>
      </w:r>
      <w:r w:rsidRPr="00EB3D2F">
        <w:t>.  </w:t>
      </w:r>
      <w:r w:rsidRPr="00EB3D2F" w:rsidR="00B1782D">
        <w:t>L</w:t>
      </w:r>
      <w:r w:rsidRPr="00EB3D2F" w:rsidR="00CB3838">
        <w:t xml:space="preserve">e </w:t>
      </w:r>
      <w:r w:rsidRPr="00EB3D2F" w:rsidR="0093708A">
        <w:t>boycott</w:t>
      </w:r>
      <w:r w:rsidRPr="00EB3D2F" w:rsidR="00B1782D">
        <w:t xml:space="preserve"> </w:t>
      </w:r>
      <w:r w:rsidRPr="00EB3D2F" w:rsidR="00E75B75">
        <w:t>est avant tout une modalité d</w:t>
      </w:r>
      <w:r w:rsidR="00062221">
        <w:t>’</w:t>
      </w:r>
      <w:r w:rsidRPr="00EB3D2F" w:rsidR="00E75B75">
        <w:t>expression d</w:t>
      </w:r>
      <w:r w:rsidR="00062221">
        <w:t>’</w:t>
      </w:r>
      <w:r w:rsidRPr="00EB3D2F" w:rsidR="00E75B75">
        <w:t>opinion</w:t>
      </w:r>
      <w:r w:rsidRPr="00EB3D2F" w:rsidR="00A325E5">
        <w:t>s</w:t>
      </w:r>
      <w:r w:rsidRPr="00EB3D2F" w:rsidR="00E75B75">
        <w:t xml:space="preserve"> protestataire</w:t>
      </w:r>
      <w:r w:rsidRPr="00EB3D2F" w:rsidR="00A325E5">
        <w:t>s</w:t>
      </w:r>
      <w:r w:rsidRPr="00EB3D2F" w:rsidR="00E75B75">
        <w:t xml:space="preserve">. </w:t>
      </w:r>
      <w:r w:rsidRPr="00EB3D2F" w:rsidR="00CB3838">
        <w:t>L</w:t>
      </w:r>
      <w:r w:rsidR="00062221">
        <w:t>’</w:t>
      </w:r>
      <w:r w:rsidRPr="00EB3D2F" w:rsidR="00CB3838">
        <w:t xml:space="preserve">appel au boycott, qui vise </w:t>
      </w:r>
      <w:r w:rsidRPr="00EB3D2F" w:rsidR="00F847FF">
        <w:t xml:space="preserve">à </w:t>
      </w:r>
      <w:r w:rsidRPr="00EB3D2F" w:rsidR="00CB3838">
        <w:t>communiquer ces opinions</w:t>
      </w:r>
      <w:r w:rsidRPr="00EB3D2F" w:rsidR="0041596C">
        <w:t xml:space="preserve"> tout en appelant </w:t>
      </w:r>
      <w:r w:rsidRPr="00EB3D2F" w:rsidR="00F847FF">
        <w:t xml:space="preserve">à </w:t>
      </w:r>
      <w:r w:rsidRPr="00EB3D2F" w:rsidR="0041596C">
        <w:t xml:space="preserve">des actions spécifiques qui </w:t>
      </w:r>
      <w:r w:rsidR="0062522C">
        <w:t>leur</w:t>
      </w:r>
      <w:r w:rsidRPr="00EB3D2F" w:rsidR="0041596C">
        <w:t xml:space="preserve"> sont liées</w:t>
      </w:r>
      <w:r w:rsidRPr="00EB3D2F" w:rsidR="00CB3838">
        <w:t>, relève donc</w:t>
      </w:r>
      <w:r w:rsidRPr="00EB3D2F" w:rsidR="00E75B75">
        <w:t xml:space="preserve"> </w:t>
      </w:r>
      <w:r w:rsidRPr="00EB3D2F" w:rsidR="00726540">
        <w:t xml:space="preserve">en principe </w:t>
      </w:r>
      <w:r w:rsidRPr="00EB3D2F" w:rsidR="00E75B75">
        <w:t>de la protection de l</w:t>
      </w:r>
      <w:r w:rsidR="00062221">
        <w:t>’</w:t>
      </w:r>
      <w:r w:rsidR="00565C93">
        <w:t>article </w:t>
      </w:r>
      <w:r w:rsidRPr="00EB3D2F" w:rsidR="00E75B75">
        <w:t>10 de la Convention.</w:t>
      </w:r>
    </w:p>
    <w:p w:rsidRPr="00EB3D2F" w:rsidR="00C2408B" w:rsidP="00EB3D2F" w:rsidRDefault="00C46CDF">
      <w:pPr>
        <w:pStyle w:val="JuPara"/>
      </w:pPr>
      <w:r w:rsidRPr="00EB3D2F">
        <w:fldChar w:fldCharType="begin"/>
      </w:r>
      <w:r w:rsidRPr="00EB3D2F">
        <w:instrText xml:space="preserve"> SEQ level0 \*arabic </w:instrText>
      </w:r>
      <w:r w:rsidRPr="00EB3D2F">
        <w:fldChar w:fldCharType="separate"/>
      </w:r>
      <w:r w:rsidRPr="00EB3D2F" w:rsidR="00EB3D2F">
        <w:rPr>
          <w:noProof/>
        </w:rPr>
        <w:t>64</w:t>
      </w:r>
      <w:r w:rsidRPr="00EB3D2F">
        <w:fldChar w:fldCharType="end"/>
      </w:r>
      <w:r w:rsidRPr="00EB3D2F">
        <w:t>.  </w:t>
      </w:r>
      <w:r w:rsidRPr="00EB3D2F" w:rsidR="00B120E6">
        <w:t>L</w:t>
      </w:r>
      <w:r w:rsidR="00062221">
        <w:t>’</w:t>
      </w:r>
      <w:r w:rsidRPr="00EB3D2F" w:rsidR="00B120E6">
        <w:t>appel au boycott constitue cependant une modalité particulière d</w:t>
      </w:r>
      <w:r w:rsidR="00062221">
        <w:t>’</w:t>
      </w:r>
      <w:r w:rsidRPr="00EB3D2F" w:rsidR="00B120E6">
        <w:t>exercice de la liberté d</w:t>
      </w:r>
      <w:r w:rsidR="00062221">
        <w:t>’</w:t>
      </w:r>
      <w:r w:rsidRPr="00EB3D2F" w:rsidR="00B120E6">
        <w:t>expression en ce qu</w:t>
      </w:r>
      <w:r w:rsidR="00062221">
        <w:t>’</w:t>
      </w:r>
      <w:r w:rsidRPr="00EB3D2F" w:rsidR="00B120E6">
        <w:t>il combine l</w:t>
      </w:r>
      <w:r w:rsidR="00062221">
        <w:t>’</w:t>
      </w:r>
      <w:r w:rsidRPr="00EB3D2F" w:rsidR="00B120E6">
        <w:t>expression d</w:t>
      </w:r>
      <w:r w:rsidR="00062221">
        <w:t>’</w:t>
      </w:r>
      <w:r w:rsidRPr="00EB3D2F" w:rsidR="00B120E6">
        <w:t>un</w:t>
      </w:r>
      <w:r w:rsidRPr="00EB3D2F" w:rsidR="009D28B8">
        <w:t>e</w:t>
      </w:r>
      <w:r w:rsidRPr="00EB3D2F" w:rsidR="00B120E6">
        <w:t xml:space="preserve"> opinion </w:t>
      </w:r>
      <w:r w:rsidRPr="00EB3D2F" w:rsidR="00FE3B75">
        <w:t xml:space="preserve">protestataire </w:t>
      </w:r>
      <w:r w:rsidRPr="00EB3D2F" w:rsidR="00B120E6">
        <w:t>et l</w:t>
      </w:r>
      <w:r w:rsidR="00062221">
        <w:t>’</w:t>
      </w:r>
      <w:r w:rsidRPr="00EB3D2F" w:rsidR="00B120E6">
        <w:t xml:space="preserve">incitation </w:t>
      </w:r>
      <w:r w:rsidRPr="00EB3D2F" w:rsidR="00F847FF">
        <w:t xml:space="preserve">à </w:t>
      </w:r>
      <w:r w:rsidRPr="00EB3D2F" w:rsidR="00B120E6">
        <w:t xml:space="preserve">un traitement </w:t>
      </w:r>
      <w:r w:rsidRPr="00EB3D2F" w:rsidR="009D28B8">
        <w:t>différencié</w:t>
      </w:r>
      <w:r w:rsidRPr="00EB3D2F" w:rsidR="00B120E6">
        <w:t xml:space="preserve"> de sorte qu</w:t>
      </w:r>
      <w:r w:rsidRPr="00EB3D2F" w:rsidR="009D28B8">
        <w:t>e</w:t>
      </w:r>
      <w:r w:rsidRPr="00EB3D2F" w:rsidR="00B120E6">
        <w:t xml:space="preserve">, selon les </w:t>
      </w:r>
      <w:r w:rsidRPr="00EB3D2F" w:rsidR="009D28B8">
        <w:t>circonstances</w:t>
      </w:r>
      <w:r w:rsidRPr="00EB3D2F" w:rsidR="00B120E6">
        <w:t xml:space="preserve"> qui le caractérisent, il est </w:t>
      </w:r>
      <w:r w:rsidRPr="00EB3D2F" w:rsidR="009D28B8">
        <w:t>susceptible</w:t>
      </w:r>
      <w:r w:rsidRPr="00EB3D2F" w:rsidR="00B120E6">
        <w:t xml:space="preserve"> de constituer un appel </w:t>
      </w:r>
      <w:r w:rsidRPr="00EB3D2F" w:rsidR="00F847FF">
        <w:t xml:space="preserve">à </w:t>
      </w:r>
      <w:r w:rsidRPr="00EB3D2F" w:rsidR="00B120E6">
        <w:t>la discrimination d</w:t>
      </w:r>
      <w:r w:rsidR="00062221">
        <w:t>’</w:t>
      </w:r>
      <w:r w:rsidRPr="00EB3D2F" w:rsidR="00B120E6">
        <w:t>autrui. Or l</w:t>
      </w:r>
      <w:r w:rsidR="00062221">
        <w:t>’</w:t>
      </w:r>
      <w:r w:rsidRPr="00EB3D2F" w:rsidR="00B120E6">
        <w:t xml:space="preserve">appel </w:t>
      </w:r>
      <w:r w:rsidRPr="00EB3D2F" w:rsidR="00F847FF">
        <w:t xml:space="preserve">à </w:t>
      </w:r>
      <w:r w:rsidRPr="00EB3D2F" w:rsidR="00B120E6">
        <w:t>la discrimination relève de l</w:t>
      </w:r>
      <w:r w:rsidR="00062221">
        <w:t>’</w:t>
      </w:r>
      <w:r w:rsidRPr="00EB3D2F" w:rsidR="00B120E6">
        <w:t xml:space="preserve">appel </w:t>
      </w:r>
      <w:r w:rsidRPr="00EB3D2F" w:rsidR="00F847FF">
        <w:t xml:space="preserve">à </w:t>
      </w:r>
      <w:r w:rsidRPr="00EB3D2F" w:rsidR="00B120E6">
        <w:t>l</w:t>
      </w:r>
      <w:r w:rsidR="00062221">
        <w:t>’</w:t>
      </w:r>
      <w:r w:rsidRPr="00EB3D2F" w:rsidR="009D28B8">
        <w:t>intolérance,</w:t>
      </w:r>
      <w:r w:rsidRPr="00EB3D2F" w:rsidR="00B120E6">
        <w:t xml:space="preserve"> le</w:t>
      </w:r>
      <w:r w:rsidRPr="00EB3D2F" w:rsidR="009D28B8">
        <w:t>quel</w:t>
      </w:r>
      <w:r w:rsidRPr="00EB3D2F" w:rsidR="00B120E6">
        <w:t>, avec l</w:t>
      </w:r>
      <w:r w:rsidR="00062221">
        <w:t>’</w:t>
      </w:r>
      <w:r w:rsidRPr="00EB3D2F" w:rsidR="00B120E6">
        <w:t xml:space="preserve">appel </w:t>
      </w:r>
      <w:r w:rsidRPr="00EB3D2F" w:rsidR="00F847FF">
        <w:t xml:space="preserve">à </w:t>
      </w:r>
      <w:r w:rsidRPr="00EB3D2F" w:rsidR="00B120E6">
        <w:t>la violence et l</w:t>
      </w:r>
      <w:r w:rsidR="00062221">
        <w:t>’</w:t>
      </w:r>
      <w:r w:rsidRPr="00EB3D2F" w:rsidR="00B120E6">
        <w:t xml:space="preserve">appel </w:t>
      </w:r>
      <w:r w:rsidRPr="00EB3D2F" w:rsidR="00F847FF">
        <w:t xml:space="preserve">à </w:t>
      </w:r>
      <w:r w:rsidRPr="00EB3D2F" w:rsidR="00B120E6">
        <w:t>la haine, est l</w:t>
      </w:r>
      <w:r w:rsidR="00062221">
        <w:t>’</w:t>
      </w:r>
      <w:r w:rsidRPr="00EB3D2F" w:rsidR="00B120E6">
        <w:t>une des</w:t>
      </w:r>
      <w:r w:rsidRPr="00EB3D2F" w:rsidR="009D28B8">
        <w:t xml:space="preserve"> </w:t>
      </w:r>
      <w:r w:rsidRPr="00EB3D2F" w:rsidR="00B120E6">
        <w:t xml:space="preserve">limites </w:t>
      </w:r>
      <w:r w:rsidRPr="00EB3D2F" w:rsidR="00F847FF">
        <w:t xml:space="preserve">à </w:t>
      </w:r>
      <w:r w:rsidRPr="00EB3D2F" w:rsidR="00B120E6">
        <w:t>ne dépasser en aucun cas dans le cadre de l</w:t>
      </w:r>
      <w:r w:rsidR="00062221">
        <w:t>’</w:t>
      </w:r>
      <w:r w:rsidRPr="00EB3D2F" w:rsidR="00B120E6">
        <w:t>exer</w:t>
      </w:r>
      <w:r w:rsidRPr="00EB3D2F" w:rsidR="009D28B8">
        <w:t>c</w:t>
      </w:r>
      <w:r w:rsidRPr="00EB3D2F" w:rsidR="00B120E6">
        <w:t>ice de la liberté d</w:t>
      </w:r>
      <w:r w:rsidR="00062221">
        <w:t>’</w:t>
      </w:r>
      <w:r w:rsidRPr="00EB3D2F" w:rsidR="00B120E6">
        <w:t>expression (voi</w:t>
      </w:r>
      <w:r w:rsidRPr="00EB3D2F" w:rsidR="009D28B8">
        <w:t>r</w:t>
      </w:r>
      <w:r w:rsidRPr="00EB3D2F" w:rsidR="00B120E6">
        <w:t xml:space="preserve">, par exemple, </w:t>
      </w:r>
      <w:proofErr w:type="spellStart"/>
      <w:r w:rsidRPr="00EB3D2F" w:rsidR="00B120E6">
        <w:rPr>
          <w:i/>
        </w:rPr>
        <w:t>Perinçek</w:t>
      </w:r>
      <w:proofErr w:type="spellEnd"/>
      <w:r w:rsidRPr="00EB3D2F" w:rsidR="00B120E6">
        <w:t xml:space="preserve">, précité, </w:t>
      </w:r>
      <w:r w:rsidR="00565C93">
        <w:t>§ </w:t>
      </w:r>
      <w:r w:rsidRPr="00EB3D2F" w:rsidR="00B120E6">
        <w:t>240).</w:t>
      </w:r>
      <w:r w:rsidRPr="00EB3D2F" w:rsidR="008B0E9A">
        <w:t xml:space="preserve"> </w:t>
      </w:r>
      <w:r w:rsidRPr="00EB3D2F" w:rsidR="00AE0A81">
        <w:t xml:space="preserve">Toutefois, inciter </w:t>
      </w:r>
      <w:r w:rsidRPr="00EB3D2F" w:rsidR="00F847FF">
        <w:t xml:space="preserve">à </w:t>
      </w:r>
      <w:r w:rsidRPr="00EB3D2F" w:rsidR="00AE0A81">
        <w:t xml:space="preserve">traiter différemment ne revient pas nécessairement </w:t>
      </w:r>
      <w:r w:rsidRPr="00EB3D2F" w:rsidR="00F847FF">
        <w:t xml:space="preserve">à </w:t>
      </w:r>
      <w:r w:rsidRPr="00EB3D2F" w:rsidR="00E112BC">
        <w:t>inciter</w:t>
      </w:r>
      <w:r w:rsidRPr="00EB3D2F" w:rsidR="00AE0A81">
        <w:t xml:space="preserve"> </w:t>
      </w:r>
      <w:r w:rsidRPr="00EB3D2F" w:rsidR="00F847FF">
        <w:t xml:space="preserve">à </w:t>
      </w:r>
      <w:r w:rsidRPr="00EB3D2F" w:rsidR="00AE0A81">
        <w:t>discriminer.</w:t>
      </w:r>
    </w:p>
    <w:p w:rsidRPr="00EB3D2F" w:rsidR="00DC21DB" w:rsidP="00EB3D2F" w:rsidRDefault="00DC21DB">
      <w:pPr>
        <w:pStyle w:val="JuHi"/>
        <w:rPr>
          <w:lang w:val="fr-FR"/>
        </w:rPr>
      </w:pPr>
      <w:r w:rsidRPr="00EB3D2F">
        <w:rPr>
          <w:lang w:val="fr-FR"/>
        </w:rPr>
        <w:t>L</w:t>
      </w:r>
      <w:r w:rsidR="00062221">
        <w:rPr>
          <w:lang w:val="fr-FR"/>
        </w:rPr>
        <w:t>’</w:t>
      </w:r>
      <w:r w:rsidRPr="00EB3D2F" w:rsidR="002E50C6">
        <w:rPr>
          <w:lang w:val="fr-FR"/>
        </w:rPr>
        <w:t>arrêt</w:t>
      </w:r>
      <w:r w:rsidRPr="00EB3D2F">
        <w:rPr>
          <w:lang w:val="fr-FR"/>
        </w:rPr>
        <w:t xml:space="preserve"> </w:t>
      </w:r>
      <w:r w:rsidRPr="00062221">
        <w:rPr>
          <w:i w:val="0"/>
          <w:lang w:val="fr-FR"/>
        </w:rPr>
        <w:t>Willem</w:t>
      </w:r>
      <w:r w:rsidRPr="00062221" w:rsidR="00565C93">
        <w:rPr>
          <w:i w:val="0"/>
          <w:lang w:val="fr-FR"/>
        </w:rPr>
        <w:t xml:space="preserve"> c. </w:t>
      </w:r>
      <w:r w:rsidRPr="00062221">
        <w:rPr>
          <w:i w:val="0"/>
          <w:lang w:val="fr-FR"/>
        </w:rPr>
        <w:t>France</w:t>
      </w:r>
    </w:p>
    <w:p w:rsidRPr="00EB3D2F" w:rsidR="00340372" w:rsidP="00EB3D2F" w:rsidRDefault="00B73E67">
      <w:pPr>
        <w:pStyle w:val="JuPara"/>
      </w:pPr>
      <w:r w:rsidRPr="00EB3D2F">
        <w:fldChar w:fldCharType="begin"/>
      </w:r>
      <w:r w:rsidRPr="00EB3D2F">
        <w:instrText xml:space="preserve"> SEQ level0 \*arabic </w:instrText>
      </w:r>
      <w:r w:rsidRPr="00EB3D2F">
        <w:fldChar w:fldCharType="separate"/>
      </w:r>
      <w:r w:rsidRPr="00EB3D2F" w:rsidR="00EB3D2F">
        <w:rPr>
          <w:noProof/>
        </w:rPr>
        <w:t>65</w:t>
      </w:r>
      <w:r w:rsidRPr="00EB3D2F">
        <w:fldChar w:fldCharType="end"/>
      </w:r>
      <w:r w:rsidRPr="00EB3D2F">
        <w:t>.  </w:t>
      </w:r>
      <w:r w:rsidRPr="00EB3D2F" w:rsidR="002E50C6">
        <w:t>La Cour partage le point de vue des requérants et des intervenant</w:t>
      </w:r>
      <w:r w:rsidRPr="00EB3D2F" w:rsidR="00596DE3">
        <w:t>s</w:t>
      </w:r>
      <w:r w:rsidRPr="00EB3D2F" w:rsidR="002E50C6">
        <w:t xml:space="preserve"> selon lequel il faut distinguer la présente espèce de l</w:t>
      </w:r>
      <w:r w:rsidR="00062221">
        <w:t>’</w:t>
      </w:r>
      <w:r w:rsidRPr="00EB3D2F" w:rsidR="002E50C6">
        <w:t xml:space="preserve">affaire </w:t>
      </w:r>
      <w:r w:rsidRPr="00EB3D2F" w:rsidR="002E50C6">
        <w:rPr>
          <w:i/>
        </w:rPr>
        <w:t>Willem</w:t>
      </w:r>
      <w:r w:rsidR="00E87F6F">
        <w:t>,</w:t>
      </w:r>
      <w:r w:rsidRPr="00EB3D2F" w:rsidR="002E50C6">
        <w:t xml:space="preserve"> précitée.</w:t>
      </w:r>
    </w:p>
    <w:p w:rsidRPr="00EB3D2F" w:rsidR="00AA5565" w:rsidP="00EB3D2F" w:rsidRDefault="00AA5565">
      <w:pPr>
        <w:pStyle w:val="JuPara"/>
      </w:pPr>
      <w:r w:rsidRPr="00EB3D2F">
        <w:fldChar w:fldCharType="begin"/>
      </w:r>
      <w:r w:rsidRPr="00EB3D2F">
        <w:instrText xml:space="preserve"> SEQ level0 \*arabic </w:instrText>
      </w:r>
      <w:r w:rsidRPr="00EB3D2F">
        <w:fldChar w:fldCharType="separate"/>
      </w:r>
      <w:r w:rsidRPr="00EB3D2F" w:rsidR="00EB3D2F">
        <w:rPr>
          <w:noProof/>
        </w:rPr>
        <w:t>66</w:t>
      </w:r>
      <w:r w:rsidRPr="00EB3D2F">
        <w:fldChar w:fldCharType="end"/>
      </w:r>
      <w:r w:rsidRPr="00EB3D2F">
        <w:t>.  Il s</w:t>
      </w:r>
      <w:r w:rsidR="00062221">
        <w:t>’</w:t>
      </w:r>
      <w:r w:rsidRPr="00EB3D2F">
        <w:t xml:space="preserve">agissait </w:t>
      </w:r>
      <w:r w:rsidRPr="00EB3D2F" w:rsidR="007963BE">
        <w:t xml:space="preserve">dans cette affaire </w:t>
      </w:r>
      <w:r w:rsidRPr="00EB3D2F">
        <w:t>d</w:t>
      </w:r>
      <w:r w:rsidR="00062221">
        <w:t>’</w:t>
      </w:r>
      <w:r w:rsidRPr="00EB3D2F">
        <w:t>un maire qui, en 2002, lors d</w:t>
      </w:r>
      <w:r w:rsidR="00062221">
        <w:t>’</w:t>
      </w:r>
      <w:r w:rsidRPr="00EB3D2F">
        <w:t>une réunion du conseil municipal</w:t>
      </w:r>
      <w:r w:rsidRPr="00EB3D2F" w:rsidR="00070A0E">
        <w:t>, en présence de journalistes,</w:t>
      </w:r>
      <w:r w:rsidRPr="00EB3D2F">
        <w:t xml:space="preserve"> puis sur le site Internet de la commune, avait annoncé avoir demandé </w:t>
      </w:r>
      <w:r w:rsidRPr="00EB3D2F" w:rsidR="008D4063">
        <w:t>aux</w:t>
      </w:r>
      <w:r w:rsidRPr="00EB3D2F">
        <w:t xml:space="preserve"> services </w:t>
      </w:r>
      <w:r w:rsidRPr="00EB3D2F" w:rsidR="008D4063">
        <w:t xml:space="preserve">municipaux </w:t>
      </w:r>
      <w:r w:rsidRPr="00EB3D2F">
        <w:t xml:space="preserve">de restauration de boycotter les produits alimentaires israéliens, afin de protester contre la politique menée par </w:t>
      </w:r>
      <w:r w:rsidRPr="00EB3D2F" w:rsidR="00B01BAB">
        <w:t xml:space="preserve">le </w:t>
      </w:r>
      <w:r w:rsidR="00A022D5">
        <w:t>P</w:t>
      </w:r>
      <w:r w:rsidRPr="00EB3D2F" w:rsidR="00B01BAB">
        <w:t>remier ministre israélien</w:t>
      </w:r>
      <w:r w:rsidRPr="00EB3D2F" w:rsidR="00644D47">
        <w:t xml:space="preserve"> </w:t>
      </w:r>
      <w:r w:rsidRPr="00EB3D2F" w:rsidR="00F847FF">
        <w:t xml:space="preserve">à </w:t>
      </w:r>
      <w:r w:rsidRPr="00EB3D2F">
        <w:t>l</w:t>
      </w:r>
      <w:r w:rsidR="00062221">
        <w:t>’</w:t>
      </w:r>
      <w:r w:rsidRPr="00EB3D2F">
        <w:t xml:space="preserve">égard des Palestiniens. </w:t>
      </w:r>
      <w:r w:rsidRPr="00EB3D2F" w:rsidR="00070A0E">
        <w:t>Il</w:t>
      </w:r>
      <w:r w:rsidRPr="00EB3D2F">
        <w:t xml:space="preserve"> avait été condamné </w:t>
      </w:r>
      <w:r w:rsidRPr="00EB3D2F" w:rsidR="00070A0E">
        <w:t xml:space="preserve">pour provocation </w:t>
      </w:r>
      <w:r w:rsidRPr="00EB3D2F" w:rsidR="00F847FF">
        <w:t xml:space="preserve">à </w:t>
      </w:r>
      <w:r w:rsidRPr="00EB3D2F" w:rsidR="00070A0E">
        <w:t xml:space="preserve">la discrimination </w:t>
      </w:r>
      <w:r w:rsidRPr="00EB3D2F">
        <w:t xml:space="preserve">sur le fondement des </w:t>
      </w:r>
      <w:r w:rsidR="00565C93">
        <w:t>articles </w:t>
      </w:r>
      <w:r w:rsidRPr="00EB3D2F">
        <w:t>2</w:t>
      </w:r>
      <w:r w:rsidRPr="00EB3D2F" w:rsidR="009324A8">
        <w:t>3 et 24 de la loi du 29</w:t>
      </w:r>
      <w:r w:rsidR="00565C93">
        <w:t> juillet</w:t>
      </w:r>
      <w:r w:rsidRPr="00EB3D2F" w:rsidR="009324A8">
        <w:t xml:space="preserve"> </w:t>
      </w:r>
      <w:r w:rsidRPr="00EB3D2F">
        <w:t xml:space="preserve">1881 </w:t>
      </w:r>
      <w:r w:rsidRPr="00EB3D2F" w:rsidR="00F847FF">
        <w:t xml:space="preserve">à </w:t>
      </w:r>
      <w:r w:rsidRPr="00EB3D2F">
        <w:t>une amende de 1</w:t>
      </w:r>
      <w:r w:rsidR="000117FB">
        <w:t> </w:t>
      </w:r>
      <w:r w:rsidRPr="00EB3D2F">
        <w:t>000</w:t>
      </w:r>
      <w:r w:rsidR="00C84F83">
        <w:t> EUR</w:t>
      </w:r>
      <w:r w:rsidRPr="00EB3D2F">
        <w:t xml:space="preserve"> avec sursis.</w:t>
      </w:r>
    </w:p>
    <w:p w:rsidRPr="00EB3D2F" w:rsidR="008B0E9A" w:rsidP="00EB3D2F" w:rsidRDefault="007963BE">
      <w:pPr>
        <w:pStyle w:val="JuPara"/>
      </w:pPr>
      <w:r w:rsidRPr="00EB3D2F">
        <w:fldChar w:fldCharType="begin"/>
      </w:r>
      <w:r w:rsidRPr="00EB3D2F">
        <w:instrText xml:space="preserve"> SEQ level0 \*arabic </w:instrText>
      </w:r>
      <w:r w:rsidRPr="00EB3D2F">
        <w:fldChar w:fldCharType="separate"/>
      </w:r>
      <w:r w:rsidRPr="00EB3D2F" w:rsidR="00EB3D2F">
        <w:rPr>
          <w:noProof/>
        </w:rPr>
        <w:t>67</w:t>
      </w:r>
      <w:r w:rsidRPr="00EB3D2F">
        <w:fldChar w:fldCharType="end"/>
      </w:r>
      <w:r w:rsidRPr="00EB3D2F">
        <w:t xml:space="preserve">.  Le requérant </w:t>
      </w:r>
      <w:r w:rsidR="000117FB">
        <w:t>J.</w:t>
      </w:r>
      <w:r w:rsidRPr="006F49EE" w:rsidR="000117FB">
        <w:noBreakHyphen/>
      </w:r>
      <w:r w:rsidR="000117FB">
        <w:t>C. </w:t>
      </w:r>
      <w:r w:rsidRPr="00EB3D2F" w:rsidR="00B73E67">
        <w:t xml:space="preserve">Willem </w:t>
      </w:r>
      <w:r w:rsidRPr="00EB3D2F">
        <w:t>dénonçait une violation de l</w:t>
      </w:r>
      <w:r w:rsidR="00062221">
        <w:t>’</w:t>
      </w:r>
      <w:r w:rsidR="00565C93">
        <w:t>article </w:t>
      </w:r>
      <w:r w:rsidRPr="00EB3D2F">
        <w:t xml:space="preserve">10. Dans le </w:t>
      </w:r>
      <w:r w:rsidRPr="00EB3D2F" w:rsidR="00723902">
        <w:t>cadre</w:t>
      </w:r>
      <w:r w:rsidRPr="00EB3D2F">
        <w:t xml:space="preserve"> de l</w:t>
      </w:r>
      <w:r w:rsidR="00062221">
        <w:t>’</w:t>
      </w:r>
      <w:r w:rsidRPr="00EB3D2F">
        <w:t xml:space="preserve">examen de </w:t>
      </w:r>
      <w:r w:rsidRPr="00EB3D2F" w:rsidR="00AA5565">
        <w:t>la nécessité</w:t>
      </w:r>
      <w:r w:rsidRPr="00EB3D2F">
        <w:t xml:space="preserve"> de l</w:t>
      </w:r>
      <w:r w:rsidR="00062221">
        <w:t>’</w:t>
      </w:r>
      <w:r w:rsidRPr="00EB3D2F">
        <w:t>ingérence</w:t>
      </w:r>
      <w:r w:rsidRPr="00EB3D2F" w:rsidR="00AA5565">
        <w:t>, la Cour a souligné l</w:t>
      </w:r>
      <w:r w:rsidR="00062221">
        <w:t>’</w:t>
      </w:r>
      <w:r w:rsidRPr="00EB3D2F" w:rsidR="00AA5565">
        <w:t>importance particulière de la liberté d</w:t>
      </w:r>
      <w:r w:rsidR="00062221">
        <w:t>’</w:t>
      </w:r>
      <w:r w:rsidRPr="00EB3D2F" w:rsidR="00AA5565">
        <w:t>expression pour les élus du peuple</w:t>
      </w:r>
      <w:r w:rsidR="006A4DF1">
        <w:t> ;</w:t>
      </w:r>
      <w:r w:rsidRPr="00EB3D2F" w:rsidR="00AA5565">
        <w:t xml:space="preserve"> elle en a déduit qu</w:t>
      </w:r>
      <w:r w:rsidR="00062221">
        <w:t>’</w:t>
      </w:r>
      <w:r w:rsidRPr="00EB3D2F" w:rsidR="00AA5565">
        <w:t xml:space="preserve">il lui fallait se livrer </w:t>
      </w:r>
      <w:r w:rsidRPr="00EB3D2F" w:rsidR="00F847FF">
        <w:t xml:space="preserve">à </w:t>
      </w:r>
      <w:r w:rsidRPr="00EB3D2F" w:rsidR="00AA5565">
        <w:t>un contrôle des plus stricts, ajoutant qu</w:t>
      </w:r>
      <w:r w:rsidR="00062221">
        <w:t>’</w:t>
      </w:r>
      <w:r w:rsidRPr="00EB3D2F" w:rsidR="00AA5565">
        <w:t>on ne pouvait restreindre le discours politique sans raison</w:t>
      </w:r>
      <w:r w:rsidRPr="00EB3D2F" w:rsidR="00B73E67">
        <w:t>s</w:t>
      </w:r>
      <w:r w:rsidRPr="00EB3D2F" w:rsidR="00AA5565">
        <w:t xml:space="preserve"> impérieuse</w:t>
      </w:r>
      <w:r w:rsidRPr="00EB3D2F" w:rsidR="00B73E67">
        <w:t>s (</w:t>
      </w:r>
      <w:r w:rsidRPr="00062221" w:rsidR="00D33A9C">
        <w:rPr>
          <w:i/>
        </w:rPr>
        <w:t>ibidem</w:t>
      </w:r>
      <w:r w:rsidRPr="00EB3D2F" w:rsidR="007C463F">
        <w:t xml:space="preserve">, </w:t>
      </w:r>
      <w:r w:rsidRPr="00EB3D2F" w:rsidR="00B73E67">
        <w:t>§</w:t>
      </w:r>
      <w:r w:rsidR="00565C93">
        <w:t>§ </w:t>
      </w:r>
      <w:r w:rsidRPr="00EB3D2F" w:rsidR="00B73E67">
        <w:t>32</w:t>
      </w:r>
      <w:r w:rsidRPr="006F49EE" w:rsidR="00D33A9C">
        <w:noBreakHyphen/>
      </w:r>
      <w:r w:rsidRPr="00EB3D2F" w:rsidR="00B73E67">
        <w:t>33)</w:t>
      </w:r>
      <w:r w:rsidRPr="00EB3D2F" w:rsidR="00AA5565">
        <w:t>.</w:t>
      </w:r>
    </w:p>
    <w:p w:rsidR="00571D48" w:rsidP="00EB3D2F" w:rsidRDefault="00B73E67">
      <w:pPr>
        <w:pStyle w:val="JuPara"/>
      </w:pPr>
      <w:r w:rsidRPr="00EB3D2F">
        <w:fldChar w:fldCharType="begin"/>
      </w:r>
      <w:r w:rsidRPr="00EB3D2F">
        <w:instrText xml:space="preserve"> SEQ level0 \*arabic </w:instrText>
      </w:r>
      <w:r w:rsidRPr="00EB3D2F">
        <w:fldChar w:fldCharType="separate"/>
      </w:r>
      <w:r w:rsidRPr="00EB3D2F" w:rsidR="00EB3D2F">
        <w:rPr>
          <w:noProof/>
        </w:rPr>
        <w:t>68</w:t>
      </w:r>
      <w:r w:rsidRPr="00EB3D2F">
        <w:fldChar w:fldCharType="end"/>
      </w:r>
      <w:r w:rsidRPr="00EB3D2F">
        <w:t>.  La Cour</w:t>
      </w:r>
      <w:r w:rsidRPr="00EB3D2F" w:rsidR="00AA5565">
        <w:t xml:space="preserve"> a cependant considéré, au vu des décisions internes, que le requérant </w:t>
      </w:r>
      <w:r w:rsidR="000117FB">
        <w:t>J.</w:t>
      </w:r>
      <w:r w:rsidRPr="006F49EE" w:rsidR="000117FB">
        <w:noBreakHyphen/>
      </w:r>
      <w:r w:rsidR="000117FB">
        <w:t>C. </w:t>
      </w:r>
      <w:r w:rsidRPr="00EB3D2F" w:rsidR="007073FC">
        <w:t xml:space="preserve">Willem </w:t>
      </w:r>
      <w:r w:rsidRPr="00EB3D2F" w:rsidR="00AA5565">
        <w:t>n</w:t>
      </w:r>
      <w:r w:rsidR="00062221">
        <w:t>’</w:t>
      </w:r>
      <w:r w:rsidRPr="00EB3D2F" w:rsidR="00AA5565">
        <w:t xml:space="preserve">avait pas été condamné pour ses opinions politiques mais pour une incitation </w:t>
      </w:r>
      <w:r w:rsidRPr="00EB3D2F" w:rsidR="00F847FF">
        <w:t xml:space="preserve">à </w:t>
      </w:r>
      <w:r w:rsidRPr="00EB3D2F" w:rsidR="00AA5565">
        <w:t>un acte de discrimination, notant aussi qu</w:t>
      </w:r>
      <w:r w:rsidR="00062221">
        <w:t>’</w:t>
      </w:r>
      <w:r w:rsidRPr="00EB3D2F" w:rsidR="00AA5565">
        <w:t>il ne s</w:t>
      </w:r>
      <w:r w:rsidR="00062221">
        <w:t>’</w:t>
      </w:r>
      <w:r w:rsidRPr="00EB3D2F" w:rsidR="00AA5565">
        <w:t xml:space="preserve">était pas contenté de dénoncer la politique menée par </w:t>
      </w:r>
      <w:r w:rsidRPr="00EB3D2F" w:rsidR="00B01BAB">
        <w:t xml:space="preserve">le </w:t>
      </w:r>
      <w:r w:rsidR="00D33A9C">
        <w:t>P</w:t>
      </w:r>
      <w:r w:rsidRPr="00EB3D2F" w:rsidR="00B01BAB">
        <w:t>remier ministre israélien</w:t>
      </w:r>
      <w:r w:rsidRPr="00EB3D2F" w:rsidR="00AA5565">
        <w:t xml:space="preserve"> mais était allé plus loin, en annonçant un boycott </w:t>
      </w:r>
      <w:r w:rsidR="00EB61BE">
        <w:t>des</w:t>
      </w:r>
      <w:r w:rsidRPr="00EB3D2F" w:rsidR="00AA5565">
        <w:t xml:space="preserve"> produits alimentaires israéliens. La Cour a ensuite relevé ceci</w:t>
      </w:r>
      <w:r w:rsidR="006A4DF1">
        <w:t> :</w:t>
      </w:r>
    </w:p>
    <w:p w:rsidR="00571D48" w:rsidP="00062221" w:rsidRDefault="006A4DF1">
      <w:pPr>
        <w:pStyle w:val="JuQuot"/>
      </w:pPr>
      <w:r>
        <w:t>« </w:t>
      </w:r>
      <w:r w:rsidR="00571D48">
        <w:t>[E]</w:t>
      </w:r>
      <w:r w:rsidRPr="00EB3D2F" w:rsidR="00AA5565">
        <w:t xml:space="preserve">n sa qualité de maire, le requérant avait des devoirs et des responsabilités. Il se [devait], notamment, de conserver une certaine neutralité et </w:t>
      </w:r>
      <w:proofErr w:type="gramStart"/>
      <w:r w:rsidRPr="00EB3D2F" w:rsidR="00AA5565">
        <w:t>dispos[</w:t>
      </w:r>
      <w:proofErr w:type="gramEnd"/>
      <w:r w:rsidRPr="00EB3D2F" w:rsidR="00AA5565">
        <w:t>ait] d</w:t>
      </w:r>
      <w:r w:rsidR="00062221">
        <w:t>’</w:t>
      </w:r>
      <w:r w:rsidRPr="00EB3D2F" w:rsidR="00AA5565">
        <w:t>un devoir de réserve dans ses actes lorsque ceux-ci engagent la collectivité territoriale qu</w:t>
      </w:r>
      <w:r w:rsidR="00062221">
        <w:t>’</w:t>
      </w:r>
      <w:r w:rsidRPr="00EB3D2F" w:rsidR="00AA5565">
        <w:t xml:space="preserve">il </w:t>
      </w:r>
      <w:proofErr w:type="spellStart"/>
      <w:r w:rsidRPr="00EB3D2F" w:rsidR="00AA5565">
        <w:t>représent</w:t>
      </w:r>
      <w:proofErr w:type="spellEnd"/>
      <w:r w:rsidRPr="00EB3D2F" w:rsidR="00AA5565">
        <w:t xml:space="preserve">[ait] dans son ensemble. </w:t>
      </w:r>
      <w:r w:rsidRPr="00EB3D2F" w:rsidR="00F847FF">
        <w:t xml:space="preserve">À </w:t>
      </w:r>
      <w:r w:rsidRPr="00EB3D2F" w:rsidR="00AA5565">
        <w:t xml:space="preserve">cet égard, un maire gère les fonds publics de la commune et ne doit pas inciter </w:t>
      </w:r>
      <w:r w:rsidRPr="00EB3D2F" w:rsidR="00F847FF">
        <w:t xml:space="preserve">à </w:t>
      </w:r>
      <w:r w:rsidRPr="00EB3D2F" w:rsidR="00AA5565">
        <w:t>les dépenser selon une logique discriminatoire</w:t>
      </w:r>
      <w:r w:rsidR="00571D48">
        <w:t>.</w:t>
      </w:r>
      <w:r>
        <w:t> »</w:t>
      </w:r>
    </w:p>
    <w:p w:rsidR="005E59C5" w:rsidP="00EB3D2F" w:rsidRDefault="00AA5565">
      <w:pPr>
        <w:pStyle w:val="JuPara"/>
      </w:pPr>
      <w:r w:rsidRPr="00EB3D2F">
        <w:t xml:space="preserve">La Cour </w:t>
      </w:r>
      <w:r w:rsidRPr="00EB3D2F" w:rsidR="00472DF9">
        <w:t xml:space="preserve">a </w:t>
      </w:r>
      <w:r w:rsidRPr="00EB3D2F">
        <w:t xml:space="preserve">ensuite </w:t>
      </w:r>
      <w:r w:rsidRPr="00EB3D2F" w:rsidR="00723902">
        <w:t>indiqué concevoir que l</w:t>
      </w:r>
      <w:r w:rsidR="00062221">
        <w:t>’</w:t>
      </w:r>
      <w:r w:rsidRPr="00EB3D2F" w:rsidR="00723902">
        <w:t xml:space="preserve">intention du requérant était de dénoncer la politique du </w:t>
      </w:r>
      <w:r w:rsidR="00057D35">
        <w:t>P</w:t>
      </w:r>
      <w:r w:rsidRPr="00EB3D2F" w:rsidR="00723902">
        <w:t xml:space="preserve">remier ministre israélien, mais estimer que la justification du boycott exprimée tant lors de la réunion du conseil municipal que sur le site </w:t>
      </w:r>
      <w:r w:rsidR="00B060CB">
        <w:t>Internet</w:t>
      </w:r>
      <w:r w:rsidRPr="00EB3D2F" w:rsidR="00B060CB">
        <w:t xml:space="preserve"> </w:t>
      </w:r>
      <w:r w:rsidRPr="00EB3D2F" w:rsidR="00723902">
        <w:t xml:space="preserve">de la municipalité </w:t>
      </w:r>
      <w:r w:rsidR="006A4DF1">
        <w:t>« </w:t>
      </w:r>
      <w:r w:rsidRPr="00EB3D2F" w:rsidR="00723902">
        <w:t xml:space="preserve">correspondait </w:t>
      </w:r>
      <w:r w:rsidRPr="00EB3D2F" w:rsidR="00F847FF">
        <w:t xml:space="preserve">à </w:t>
      </w:r>
      <w:r w:rsidRPr="00EB3D2F" w:rsidR="00723902">
        <w:t>une démarche discriminatoire et, de ce fait, condamnable</w:t>
      </w:r>
      <w:r w:rsidR="006A4DF1">
        <w:t> »</w:t>
      </w:r>
      <w:r w:rsidRPr="00EB3D2F" w:rsidR="00723902">
        <w:t>.</w:t>
      </w:r>
      <w:r w:rsidRPr="00EB3D2F" w:rsidR="00D358D1">
        <w:t xml:space="preserve"> Elle a </w:t>
      </w:r>
      <w:r w:rsidRPr="00EB3D2F" w:rsidR="00472DF9">
        <w:t xml:space="preserve">observé </w:t>
      </w:r>
      <w:r w:rsidRPr="00EB3D2F">
        <w:t>qu</w:t>
      </w:r>
      <w:r w:rsidR="00062221">
        <w:t>’</w:t>
      </w:r>
      <w:r w:rsidRPr="00EB3D2F">
        <w:t>au-del</w:t>
      </w:r>
      <w:r w:rsidRPr="00EB3D2F" w:rsidR="00F847FF">
        <w:t xml:space="preserve">à </w:t>
      </w:r>
      <w:r w:rsidRPr="00EB3D2F">
        <w:t>de ses opinions politiques, pour lesquel</w:t>
      </w:r>
      <w:r w:rsidRPr="00EB3D2F" w:rsidR="00F303AD">
        <w:t>le</w:t>
      </w:r>
      <w:r w:rsidRPr="00EB3D2F">
        <w:t>s il n</w:t>
      </w:r>
      <w:r w:rsidR="00062221">
        <w:t>’</w:t>
      </w:r>
      <w:r w:rsidRPr="00EB3D2F">
        <w:t xml:space="preserve">avait été </w:t>
      </w:r>
      <w:r w:rsidRPr="00EB3D2F" w:rsidR="00ED50AF">
        <w:t xml:space="preserve">ni </w:t>
      </w:r>
      <w:r w:rsidRPr="00EB3D2F">
        <w:t>poursuivi ni sanctionné, le requérant avait</w:t>
      </w:r>
    </w:p>
    <w:p w:rsidR="005E59C5" w:rsidP="00062221" w:rsidRDefault="006A4DF1">
      <w:pPr>
        <w:pStyle w:val="JuQuot"/>
      </w:pPr>
      <w:r>
        <w:t>« </w:t>
      </w:r>
      <w:proofErr w:type="gramStart"/>
      <w:r w:rsidRPr="00EB3D2F" w:rsidR="00AA5565">
        <w:t>appelé</w:t>
      </w:r>
      <w:proofErr w:type="gramEnd"/>
      <w:r w:rsidRPr="00EB3D2F" w:rsidR="00AA5565">
        <w:t xml:space="preserve"> les services municipaux </w:t>
      </w:r>
      <w:r w:rsidRPr="00EB3D2F" w:rsidR="00F847FF">
        <w:t xml:space="preserve">à </w:t>
      </w:r>
      <w:r w:rsidRPr="00EB3D2F" w:rsidR="00AA5565">
        <w:t>un acte positif de discrimination, refus explicite et revendiqué d</w:t>
      </w:r>
      <w:r w:rsidR="00062221">
        <w:t>’</w:t>
      </w:r>
      <w:r w:rsidRPr="00EB3D2F" w:rsidR="00AA5565">
        <w:t>entretenir des relations commerciales avec des producteurs ressortissants de la nation israélienne. Ce faisant, par l</w:t>
      </w:r>
      <w:r w:rsidR="00062221">
        <w:t>’</w:t>
      </w:r>
      <w:r w:rsidRPr="00EB3D2F" w:rsidR="00AA5565">
        <w:t>exposé d</w:t>
      </w:r>
      <w:r w:rsidR="00062221">
        <w:t>’</w:t>
      </w:r>
      <w:r w:rsidRPr="00EB3D2F" w:rsidR="00AA5565">
        <w:t xml:space="preserve">une communication effectuée tant lors de la réunion du conseil municipal, sans donner lieu </w:t>
      </w:r>
      <w:r w:rsidRPr="00EB3D2F" w:rsidR="00F847FF">
        <w:t xml:space="preserve">à </w:t>
      </w:r>
      <w:r w:rsidRPr="00EB3D2F" w:rsidR="00AA5565">
        <w:t>débat ni vote, que sur le site internet de la commune, le requérant ne [pouvait] soutenir avoir favorisé la libre discussion sur un sujet d</w:t>
      </w:r>
      <w:r w:rsidR="00062221">
        <w:t>’</w:t>
      </w:r>
      <w:r w:rsidRPr="00EB3D2F" w:rsidR="00AA5565">
        <w:t>intérêt général</w:t>
      </w:r>
      <w:r>
        <w:t> »</w:t>
      </w:r>
      <w:r w:rsidRPr="00EB3D2F" w:rsidR="00AA5565">
        <w:t>.</w:t>
      </w:r>
    </w:p>
    <w:p w:rsidRPr="00EB3D2F" w:rsidR="00A34B62" w:rsidP="00EB3D2F" w:rsidRDefault="00AA5565">
      <w:pPr>
        <w:pStyle w:val="JuPara"/>
      </w:pPr>
      <w:r w:rsidRPr="00EB3D2F">
        <w:t xml:space="preserve">Elle </w:t>
      </w:r>
      <w:r w:rsidRPr="00EB3D2F" w:rsidR="00723902">
        <w:t>a</w:t>
      </w:r>
      <w:r w:rsidRPr="00EB3D2F">
        <w:t xml:space="preserve"> aussi </w:t>
      </w:r>
      <w:r w:rsidRPr="00EB3D2F" w:rsidR="00723902">
        <w:t xml:space="preserve">noté </w:t>
      </w:r>
      <w:r w:rsidRPr="00EB3D2F">
        <w:t>que le procureur avait fait valoir devant le juge interne qu</w:t>
      </w:r>
      <w:r w:rsidR="00062221">
        <w:t>’</w:t>
      </w:r>
      <w:r w:rsidRPr="00EB3D2F">
        <w:t>un maire ne pouvait se substituer aux autorités gouvernementales pour ordonner un boycott de produits provenant d</w:t>
      </w:r>
      <w:r w:rsidR="00062221">
        <w:t>’</w:t>
      </w:r>
      <w:r w:rsidRPr="00EB3D2F">
        <w:t xml:space="preserve">une nation étrangère. Retenant par ailleurs la </w:t>
      </w:r>
      <w:r w:rsidR="006A4DF1">
        <w:t>« </w:t>
      </w:r>
      <w:r w:rsidRPr="00EB3D2F">
        <w:t>relative modicité</w:t>
      </w:r>
      <w:r w:rsidR="006A4DF1">
        <w:t> »</w:t>
      </w:r>
      <w:r w:rsidRPr="00EB3D2F">
        <w:t xml:space="preserve"> de l</w:t>
      </w:r>
      <w:r w:rsidR="00062221">
        <w:t>’</w:t>
      </w:r>
      <w:r w:rsidRPr="00EB3D2F">
        <w:t>amende infligée au requérant, la Cour</w:t>
      </w:r>
      <w:r w:rsidRPr="00EB3D2F" w:rsidR="00ED50AF">
        <w:t xml:space="preserve"> a</w:t>
      </w:r>
      <w:r w:rsidRPr="00EB3D2F">
        <w:t xml:space="preserve"> </w:t>
      </w:r>
      <w:r w:rsidRPr="00EB3D2F" w:rsidR="00ED50AF">
        <w:t>jugé</w:t>
      </w:r>
      <w:r w:rsidRPr="00EB3D2F">
        <w:t xml:space="preserve"> </w:t>
      </w:r>
      <w:r w:rsidRPr="00EB3D2F" w:rsidR="00ED50AF">
        <w:t>qu</w:t>
      </w:r>
      <w:r w:rsidR="00062221">
        <w:t>’</w:t>
      </w:r>
      <w:r w:rsidRPr="00EB3D2F" w:rsidR="00ED50AF">
        <w:t>il n</w:t>
      </w:r>
      <w:r w:rsidR="00062221">
        <w:t>’</w:t>
      </w:r>
      <w:r w:rsidRPr="00EB3D2F" w:rsidR="00ED50AF">
        <w:t xml:space="preserve">y avait pas </w:t>
      </w:r>
      <w:r w:rsidRPr="00EB3D2F">
        <w:t>violation de l</w:t>
      </w:r>
      <w:r w:rsidR="00062221">
        <w:t>’</w:t>
      </w:r>
      <w:r w:rsidR="00565C93">
        <w:t>article </w:t>
      </w:r>
      <w:r w:rsidRPr="00EB3D2F">
        <w:t>10</w:t>
      </w:r>
      <w:r w:rsidRPr="00EB3D2F" w:rsidR="00D358D1">
        <w:t xml:space="preserve"> (</w:t>
      </w:r>
      <w:r w:rsidRPr="00062221" w:rsidR="00BF3389">
        <w:rPr>
          <w:i/>
        </w:rPr>
        <w:t>ibidem</w:t>
      </w:r>
      <w:r w:rsidRPr="00EB3D2F" w:rsidR="007C463F">
        <w:t xml:space="preserve">, </w:t>
      </w:r>
      <w:r w:rsidRPr="00EB3D2F" w:rsidR="00D358D1">
        <w:t>§</w:t>
      </w:r>
      <w:r w:rsidR="00565C93">
        <w:t>§ </w:t>
      </w:r>
      <w:r w:rsidRPr="00EB3D2F" w:rsidR="00D358D1">
        <w:t>34</w:t>
      </w:r>
      <w:r w:rsidRPr="00062221" w:rsidR="004C5666">
        <w:noBreakHyphen/>
      </w:r>
      <w:r w:rsidRPr="00EB3D2F" w:rsidR="00D358D1">
        <w:t>42)</w:t>
      </w:r>
      <w:r w:rsidRPr="00EB3D2F">
        <w:t>.</w:t>
      </w:r>
    </w:p>
    <w:p w:rsidRPr="00EB3D2F" w:rsidR="008C2E22" w:rsidP="00EB3D2F" w:rsidRDefault="00D358D1">
      <w:pPr>
        <w:pStyle w:val="JuPara"/>
        <w:rPr>
          <w:strike/>
        </w:rPr>
      </w:pPr>
      <w:r w:rsidRPr="00EB3D2F">
        <w:fldChar w:fldCharType="begin"/>
      </w:r>
      <w:r w:rsidRPr="00EB3D2F">
        <w:instrText xml:space="preserve"> SEQ level0 \*arabic </w:instrText>
      </w:r>
      <w:r w:rsidRPr="00EB3D2F">
        <w:fldChar w:fldCharType="separate"/>
      </w:r>
      <w:r w:rsidRPr="00EB3D2F" w:rsidR="00EB3D2F">
        <w:rPr>
          <w:noProof/>
        </w:rPr>
        <w:t>69</w:t>
      </w:r>
      <w:r w:rsidRPr="00EB3D2F">
        <w:fldChar w:fldCharType="end"/>
      </w:r>
      <w:r w:rsidRPr="00EB3D2F">
        <w:t>.  </w:t>
      </w:r>
      <w:r w:rsidRPr="00EB3D2F" w:rsidR="008C2E22">
        <w:t>L</w:t>
      </w:r>
      <w:r w:rsidRPr="00EB3D2F" w:rsidR="00AA5565">
        <w:t xml:space="preserve">a conclusion de la Cour dans </w:t>
      </w:r>
      <w:r w:rsidRPr="00EB3D2F" w:rsidR="008C2E22">
        <w:t xml:space="preserve">cette </w:t>
      </w:r>
      <w:r w:rsidRPr="00EB3D2F" w:rsidR="00AA5565">
        <w:t>affaire repo</w:t>
      </w:r>
      <w:r w:rsidRPr="00EB3D2F" w:rsidR="008D4063">
        <w:t xml:space="preserve">se </w:t>
      </w:r>
      <w:r w:rsidRPr="00EB3D2F" w:rsidR="00A6280A">
        <w:t xml:space="preserve">ainsi </w:t>
      </w:r>
      <w:r w:rsidRPr="00EB3D2F" w:rsidR="008D4063">
        <w:t>pour beaucoup sur le</w:t>
      </w:r>
      <w:r w:rsidRPr="00EB3D2F" w:rsidR="004019A7">
        <w:t>s éléments suivants</w:t>
      </w:r>
      <w:r w:rsidR="006A4DF1">
        <w:t> :</w:t>
      </w:r>
      <w:r w:rsidRPr="00EB3D2F" w:rsidR="004019A7">
        <w:t xml:space="preserve"> le fait qu</w:t>
      </w:r>
      <w:r w:rsidR="00062221">
        <w:t>’</w:t>
      </w:r>
      <w:r w:rsidRPr="00EB3D2F" w:rsidR="00B01BAB">
        <w:t xml:space="preserve">en annonçant </w:t>
      </w:r>
      <w:r w:rsidRPr="00EB3D2F" w:rsidR="004019A7">
        <w:t>sa décision de demander aux</w:t>
      </w:r>
      <w:r w:rsidRPr="00EB3D2F" w:rsidR="00B01BAB">
        <w:t xml:space="preserve"> services municipaux de restauration</w:t>
      </w:r>
      <w:r w:rsidRPr="00EB3D2F" w:rsidR="004019A7">
        <w:t xml:space="preserve"> de boycotter les produits israéliens</w:t>
      </w:r>
      <w:r w:rsidRPr="00EB3D2F" w:rsidR="00B01BAB">
        <w:t xml:space="preserve">, </w:t>
      </w:r>
      <w:r w:rsidRPr="00EB3D2F" w:rsidR="00CA4786">
        <w:t xml:space="preserve">le requérant </w:t>
      </w:r>
      <w:r w:rsidR="000117FB">
        <w:t>J.</w:t>
      </w:r>
      <w:r w:rsidRPr="006F49EE" w:rsidR="000117FB">
        <w:noBreakHyphen/>
      </w:r>
      <w:r w:rsidR="000117FB">
        <w:t>C. </w:t>
      </w:r>
      <w:r w:rsidRPr="00EB3D2F" w:rsidR="00CA4786">
        <w:t xml:space="preserve">Willem avait agi en sa qualité de maire et </w:t>
      </w:r>
      <w:r w:rsidRPr="00EB3D2F" w:rsidR="00B01BAB">
        <w:t>avait usé</w:t>
      </w:r>
      <w:r w:rsidRPr="00EB3D2F" w:rsidR="00CA4786">
        <w:t xml:space="preserve"> de </w:t>
      </w:r>
      <w:r w:rsidRPr="00EB3D2F" w:rsidR="004D5D07">
        <w:t>pouvoirs</w:t>
      </w:r>
      <w:r w:rsidRPr="00EB3D2F" w:rsidR="00CA4786">
        <w:t xml:space="preserve"> attachés </w:t>
      </w:r>
      <w:r w:rsidRPr="00EB3D2F" w:rsidR="00F847FF">
        <w:t xml:space="preserve">à </w:t>
      </w:r>
      <w:r w:rsidRPr="00EB3D2F" w:rsidR="00CA4786">
        <w:t>celle-ci au mépris de la neutralité et du devoir de réserve qu</w:t>
      </w:r>
      <w:r w:rsidR="00062221">
        <w:t>’</w:t>
      </w:r>
      <w:r w:rsidRPr="00EB3D2F" w:rsidR="004019A7">
        <w:t>elle</w:t>
      </w:r>
      <w:r w:rsidRPr="00EB3D2F" w:rsidR="00CA4786">
        <w:t xml:space="preserve"> lui imposait</w:t>
      </w:r>
      <w:r w:rsidR="006A4DF1">
        <w:t> ;</w:t>
      </w:r>
      <w:r w:rsidRPr="00EB3D2F" w:rsidR="00CA4786">
        <w:t xml:space="preserve"> </w:t>
      </w:r>
      <w:r w:rsidRPr="00EB3D2F" w:rsidR="004019A7">
        <w:t>la circonstance qu</w:t>
      </w:r>
      <w:r w:rsidR="00062221">
        <w:t>’</w:t>
      </w:r>
      <w:r w:rsidRPr="00EB3D2F" w:rsidR="004019A7">
        <w:t>il avait fait cette annonce sans avoir ni ouvert le débat au sein du conse</w:t>
      </w:r>
      <w:r w:rsidRPr="00EB3D2F" w:rsidR="00644D47">
        <w:t xml:space="preserve">il municipal ni fait procéder </w:t>
      </w:r>
      <w:r w:rsidRPr="00EB3D2F" w:rsidR="00F847FF">
        <w:t xml:space="preserve">à </w:t>
      </w:r>
      <w:r w:rsidRPr="00EB3D2F" w:rsidR="004019A7">
        <w:t>un vote</w:t>
      </w:r>
      <w:r w:rsidRPr="00EB3D2F" w:rsidR="00263C7E">
        <w:t>,</w:t>
      </w:r>
      <w:r w:rsidRPr="00EB3D2F" w:rsidR="004019A7">
        <w:t xml:space="preserve"> et qu</w:t>
      </w:r>
      <w:r w:rsidR="00062221">
        <w:t>’</w:t>
      </w:r>
      <w:r w:rsidRPr="00EB3D2F" w:rsidR="004019A7">
        <w:t>il ne pouvait donc prétendre avoir favorisé la libre discussion sur un sujet d</w:t>
      </w:r>
      <w:r w:rsidR="00062221">
        <w:t>’</w:t>
      </w:r>
      <w:r w:rsidRPr="00EB3D2F" w:rsidR="004019A7">
        <w:t>intérêt général.</w:t>
      </w:r>
    </w:p>
    <w:p w:rsidRPr="00EB3D2F" w:rsidR="00263C7E" w:rsidP="00EB3D2F" w:rsidRDefault="00263C7E">
      <w:pPr>
        <w:pStyle w:val="JuHi"/>
        <w:rPr>
          <w:lang w:val="fr-FR"/>
        </w:rPr>
      </w:pPr>
      <w:r w:rsidRPr="00EB3D2F">
        <w:rPr>
          <w:lang w:val="fr-FR"/>
        </w:rPr>
        <w:t>Le cas d</w:t>
      </w:r>
      <w:r w:rsidR="00062221">
        <w:rPr>
          <w:lang w:val="fr-FR"/>
        </w:rPr>
        <w:t>’</w:t>
      </w:r>
      <w:r w:rsidRPr="00EB3D2F">
        <w:rPr>
          <w:lang w:val="fr-FR"/>
        </w:rPr>
        <w:t>espèce</w:t>
      </w:r>
    </w:p>
    <w:p w:rsidRPr="00EB3D2F" w:rsidR="00C2408B" w:rsidP="00EB3D2F" w:rsidRDefault="00E76FE5">
      <w:pPr>
        <w:pStyle w:val="JuPara"/>
      </w:pPr>
      <w:r w:rsidRPr="00EB3D2F">
        <w:fldChar w:fldCharType="begin"/>
      </w:r>
      <w:r w:rsidRPr="00EB3D2F">
        <w:instrText xml:space="preserve"> SEQ level0 \*arabic </w:instrText>
      </w:r>
      <w:r w:rsidRPr="00EB3D2F">
        <w:fldChar w:fldCharType="separate"/>
      </w:r>
      <w:r w:rsidRPr="00EB3D2F" w:rsidR="00EB3D2F">
        <w:rPr>
          <w:noProof/>
        </w:rPr>
        <w:t>70</w:t>
      </w:r>
      <w:r w:rsidRPr="00EB3D2F">
        <w:fldChar w:fldCharType="end"/>
      </w:r>
      <w:r w:rsidRPr="00EB3D2F">
        <w:t>.  </w:t>
      </w:r>
      <w:r w:rsidRPr="00EB3D2F" w:rsidR="00F847FF">
        <w:t xml:space="preserve">À </w:t>
      </w:r>
      <w:r w:rsidRPr="00EB3D2F" w:rsidR="001B506B">
        <w:t>la différence</w:t>
      </w:r>
      <w:r w:rsidRPr="00EB3D2F" w:rsidR="00B36655">
        <w:t xml:space="preserve"> des circonstances de l</w:t>
      </w:r>
      <w:r w:rsidR="00062221">
        <w:t>’</w:t>
      </w:r>
      <w:r w:rsidRPr="00EB3D2F" w:rsidR="00B36655">
        <w:t>affaire</w:t>
      </w:r>
      <w:r w:rsidRPr="00EB3D2F" w:rsidR="001B506B">
        <w:t xml:space="preserve"> </w:t>
      </w:r>
      <w:r w:rsidRPr="00EB3D2F" w:rsidR="001B506B">
        <w:rPr>
          <w:i/>
        </w:rPr>
        <w:t>Willem</w:t>
      </w:r>
      <w:r w:rsidRPr="00EB3D2F" w:rsidR="001B506B">
        <w:t xml:space="preserve">, </w:t>
      </w:r>
      <w:r w:rsidR="001D4CA0">
        <w:t xml:space="preserve">précitée, </w:t>
      </w:r>
      <w:r w:rsidRPr="00EB3D2F" w:rsidR="001B506B">
        <w:t>d</w:t>
      </w:r>
      <w:r w:rsidR="00062221">
        <w:t>’</w:t>
      </w:r>
      <w:r w:rsidRPr="00EB3D2F" w:rsidR="001B506B">
        <w:t xml:space="preserve">une part, les requérants sont de simples citoyens, </w:t>
      </w:r>
      <w:r w:rsidRPr="00EB3D2F" w:rsidR="003E796E">
        <w:t>qui ne sont pas astreints aux devoirs et responsabilité</w:t>
      </w:r>
      <w:r w:rsidRPr="00EB3D2F" w:rsidR="0022730C">
        <w:t>s</w:t>
      </w:r>
      <w:r w:rsidRPr="00EB3D2F" w:rsidR="003E796E">
        <w:t xml:space="preserve"> </w:t>
      </w:r>
      <w:r w:rsidRPr="00EB3D2F" w:rsidR="007B213A">
        <w:t>rattachés au mandat</w:t>
      </w:r>
      <w:r w:rsidRPr="00EB3D2F" w:rsidR="003E796E">
        <w:t xml:space="preserve"> de maire, et </w:t>
      </w:r>
      <w:r w:rsidRPr="00EB3D2F" w:rsidR="001B506B">
        <w:t>dont l</w:t>
      </w:r>
      <w:r w:rsidR="00062221">
        <w:t>’</w:t>
      </w:r>
      <w:r w:rsidRPr="00EB3D2F" w:rsidR="001B506B">
        <w:t>influence sur les consommateurs n</w:t>
      </w:r>
      <w:r w:rsidR="00062221">
        <w:t>’</w:t>
      </w:r>
      <w:r w:rsidRPr="00EB3D2F" w:rsidR="001B506B">
        <w:t xml:space="preserve">est pas comparable </w:t>
      </w:r>
      <w:r w:rsidRPr="00EB3D2F" w:rsidR="00F847FF">
        <w:t xml:space="preserve">à </w:t>
      </w:r>
      <w:r w:rsidRPr="00EB3D2F" w:rsidR="001B506B">
        <w:t>celle d</w:t>
      </w:r>
      <w:r w:rsidR="00062221">
        <w:t>’</w:t>
      </w:r>
      <w:r w:rsidRPr="00EB3D2F" w:rsidR="001B506B">
        <w:t>un maire sur les services de sa commune. D</w:t>
      </w:r>
      <w:r w:rsidR="00062221">
        <w:t>’</w:t>
      </w:r>
      <w:r w:rsidRPr="00EB3D2F" w:rsidR="001B506B">
        <w:t>autre part, c</w:t>
      </w:r>
      <w:r w:rsidR="00062221">
        <w:t>’</w:t>
      </w:r>
      <w:r w:rsidRPr="00EB3D2F" w:rsidR="001B506B">
        <w:t>est manifestement pour provoquer ou stimuler le débat parmi les consommateurs des supermarchés que les requérants ont mené les actions d</w:t>
      </w:r>
      <w:r w:rsidR="00062221">
        <w:t>’</w:t>
      </w:r>
      <w:r w:rsidRPr="00EB3D2F" w:rsidR="001B506B">
        <w:t>appel au boycott qui leur ont valu les poursuites qu</w:t>
      </w:r>
      <w:r w:rsidR="00062221">
        <w:t>’</w:t>
      </w:r>
      <w:r w:rsidRPr="00EB3D2F" w:rsidR="001B506B">
        <w:t>ils dénoncent devant la Cour. On ne saurait d</w:t>
      </w:r>
      <w:r w:rsidRPr="00EB3D2F" w:rsidR="00644D47">
        <w:t xml:space="preserve">onc retenir que la conclusion </w:t>
      </w:r>
      <w:r w:rsidRPr="00EB3D2F" w:rsidR="00F847FF">
        <w:t xml:space="preserve">à </w:t>
      </w:r>
      <w:r w:rsidRPr="00EB3D2F" w:rsidR="001B506B">
        <w:t>laquelle la Cour est parvenue dans l</w:t>
      </w:r>
      <w:r w:rsidR="00062221">
        <w:t>’</w:t>
      </w:r>
      <w:r w:rsidRPr="00EB3D2F" w:rsidR="001B506B">
        <w:t xml:space="preserve">affaire </w:t>
      </w:r>
      <w:r w:rsidRPr="00EB3D2F" w:rsidR="001B506B">
        <w:rPr>
          <w:i/>
        </w:rPr>
        <w:t>Willem</w:t>
      </w:r>
      <w:r w:rsidRPr="00EB3D2F" w:rsidR="001B506B">
        <w:t xml:space="preserve"> s</w:t>
      </w:r>
      <w:r w:rsidR="00062221">
        <w:t>’</w:t>
      </w:r>
      <w:r w:rsidRPr="00EB3D2F" w:rsidR="001B506B">
        <w:t>impose en l</w:t>
      </w:r>
      <w:r w:rsidR="00062221">
        <w:t>’</w:t>
      </w:r>
      <w:r w:rsidRPr="00EB3D2F" w:rsidR="001B506B">
        <w:t>espèce.</w:t>
      </w:r>
    </w:p>
    <w:p w:rsidRPr="00EB3D2F" w:rsidR="008B0E9A" w:rsidP="00EB3D2F" w:rsidRDefault="00DD3312">
      <w:pPr>
        <w:pStyle w:val="JuPara"/>
      </w:pPr>
      <w:r w:rsidRPr="00EB3D2F">
        <w:fldChar w:fldCharType="begin"/>
      </w:r>
      <w:r w:rsidRPr="00EB3D2F">
        <w:instrText xml:space="preserve"> SEQ level0 \*arabic </w:instrText>
      </w:r>
      <w:r w:rsidRPr="00EB3D2F">
        <w:fldChar w:fldCharType="separate"/>
      </w:r>
      <w:r w:rsidRPr="00EB3D2F" w:rsidR="00EB3D2F">
        <w:rPr>
          <w:noProof/>
        </w:rPr>
        <w:t>71</w:t>
      </w:r>
      <w:r w:rsidRPr="00EB3D2F">
        <w:fldChar w:fldCharType="end"/>
      </w:r>
      <w:r w:rsidRPr="00EB3D2F">
        <w:t>.  </w:t>
      </w:r>
      <w:r w:rsidRPr="00EB3D2F" w:rsidR="00476A21">
        <w:t xml:space="preserve">La Cour observe </w:t>
      </w:r>
      <w:r w:rsidRPr="00EB3D2F" w:rsidR="00E851AB">
        <w:t>ensuite que les requérants n</w:t>
      </w:r>
      <w:r w:rsidR="00062221">
        <w:t>’</w:t>
      </w:r>
      <w:r w:rsidRPr="00EB3D2F" w:rsidR="00E851AB">
        <w:t>ont pas été condamné</w:t>
      </w:r>
      <w:r w:rsidRPr="00EB3D2F" w:rsidR="00DE35D5">
        <w:t>s</w:t>
      </w:r>
      <w:r w:rsidRPr="00EB3D2F" w:rsidR="00E851AB">
        <w:t xml:space="preserve"> pour avoir proféré des propos </w:t>
      </w:r>
      <w:r w:rsidRPr="00EB3D2F" w:rsidR="00A176A0">
        <w:t>racistes ou antisémites</w:t>
      </w:r>
      <w:r w:rsidRPr="00EB3D2F" w:rsidR="00644D47">
        <w:t xml:space="preserve"> ou pour avoir appelé </w:t>
      </w:r>
      <w:r w:rsidRPr="00EB3D2F" w:rsidR="00F847FF">
        <w:t xml:space="preserve">à </w:t>
      </w:r>
      <w:r w:rsidRPr="00EB3D2F" w:rsidR="00DE35D5">
        <w:t xml:space="preserve">la haine ou </w:t>
      </w:r>
      <w:r w:rsidRPr="00EB3D2F" w:rsidR="00F847FF">
        <w:t xml:space="preserve">à </w:t>
      </w:r>
      <w:r w:rsidRPr="00EB3D2F" w:rsidR="00DE35D5">
        <w:t>la violence</w:t>
      </w:r>
      <w:r w:rsidRPr="00EB3D2F" w:rsidR="00A176A0">
        <w:t>.</w:t>
      </w:r>
      <w:r w:rsidRPr="00EB3D2F" w:rsidR="00DE35D5">
        <w:t xml:space="preserve"> Ils n</w:t>
      </w:r>
      <w:r w:rsidR="00062221">
        <w:t>’</w:t>
      </w:r>
      <w:r w:rsidRPr="00EB3D2F" w:rsidR="00DE35D5">
        <w:t>ont pas non plus été condamné</w:t>
      </w:r>
      <w:r w:rsidRPr="00EB3D2F">
        <w:t>s</w:t>
      </w:r>
      <w:r w:rsidRPr="00EB3D2F" w:rsidR="00DE35D5">
        <w:t xml:space="preserve"> pour </w:t>
      </w:r>
      <w:r w:rsidRPr="00EB3D2F">
        <w:t>s</w:t>
      </w:r>
      <w:r w:rsidR="00062221">
        <w:t>’</w:t>
      </w:r>
      <w:r w:rsidRPr="00EB3D2F">
        <w:t xml:space="preserve">être montrés violents ou pour </w:t>
      </w:r>
      <w:r w:rsidRPr="00EB3D2F" w:rsidR="00DE35D5">
        <w:t>avoir causé des dégâts</w:t>
      </w:r>
      <w:r w:rsidRPr="00EB3D2F" w:rsidR="00644D47">
        <w:t xml:space="preserve"> lors des événements des 26</w:t>
      </w:r>
      <w:r w:rsidR="00565C93">
        <w:t> septembre</w:t>
      </w:r>
      <w:r w:rsidRPr="00EB3D2F">
        <w:t xml:space="preserve"> 2009 et 22</w:t>
      </w:r>
      <w:r w:rsidR="00565C93">
        <w:t xml:space="preserve"> mai </w:t>
      </w:r>
      <w:r w:rsidRPr="00EB3D2F">
        <w:t>20</w:t>
      </w:r>
      <w:r w:rsidRPr="00EB3D2F" w:rsidR="0092054D">
        <w:t>1</w:t>
      </w:r>
      <w:r w:rsidRPr="00EB3D2F">
        <w:t>0. Il ressort du reste très clairement du dossier qu</w:t>
      </w:r>
      <w:r w:rsidR="00062221">
        <w:t>’</w:t>
      </w:r>
      <w:r w:rsidRPr="00EB3D2F">
        <w:t>il n</w:t>
      </w:r>
      <w:r w:rsidR="00062221">
        <w:t>’</w:t>
      </w:r>
      <w:r w:rsidRPr="00EB3D2F">
        <w:t>y eut ni violence ni dégât</w:t>
      </w:r>
      <w:r w:rsidRPr="00EB3D2F" w:rsidR="00FB35AA">
        <w:t>. L</w:t>
      </w:r>
      <w:r w:rsidR="00062221">
        <w:t>’</w:t>
      </w:r>
      <w:r w:rsidRPr="00EB3D2F">
        <w:t xml:space="preserve">hypermarché dans lequel </w:t>
      </w:r>
      <w:r w:rsidRPr="00EB3D2F" w:rsidR="005F4F79">
        <w:t>les requérants</w:t>
      </w:r>
      <w:r w:rsidRPr="00EB3D2F">
        <w:t xml:space="preserve"> ont </w:t>
      </w:r>
      <w:r w:rsidRPr="00EB3D2F" w:rsidR="005F4F79">
        <w:t>mené</w:t>
      </w:r>
      <w:r w:rsidRPr="00EB3D2F">
        <w:t xml:space="preserve"> leurs actions ne s</w:t>
      </w:r>
      <w:r w:rsidR="00062221">
        <w:t>’</w:t>
      </w:r>
      <w:r w:rsidRPr="00EB3D2F">
        <w:t xml:space="preserve">est </w:t>
      </w:r>
      <w:r w:rsidRPr="00EB3D2F" w:rsidR="00FB35AA">
        <w:t>d</w:t>
      </w:r>
      <w:r w:rsidR="00062221">
        <w:t>’</w:t>
      </w:r>
      <w:r w:rsidRPr="00EB3D2F" w:rsidR="00FB35AA">
        <w:t xml:space="preserve">ailleurs </w:t>
      </w:r>
      <w:r w:rsidRPr="00EB3D2F">
        <w:t>pas constitué partie civile devant les juridictions internes.</w:t>
      </w:r>
    </w:p>
    <w:p w:rsidRPr="00EB3D2F" w:rsidR="008B0E9A" w:rsidP="00EB3D2F" w:rsidRDefault="00363170">
      <w:pPr>
        <w:pStyle w:val="JuPara"/>
      </w:pPr>
      <w:r w:rsidRPr="00EB3D2F">
        <w:fldChar w:fldCharType="begin"/>
      </w:r>
      <w:r w:rsidRPr="00EB3D2F">
        <w:instrText xml:space="preserve"> SEQ level0 \*arabic </w:instrText>
      </w:r>
      <w:r w:rsidRPr="00EB3D2F">
        <w:fldChar w:fldCharType="separate"/>
      </w:r>
      <w:r w:rsidRPr="00EB3D2F" w:rsidR="00EB3D2F">
        <w:rPr>
          <w:noProof/>
        </w:rPr>
        <w:t>72</w:t>
      </w:r>
      <w:r w:rsidRPr="00EB3D2F">
        <w:fldChar w:fldCharType="end"/>
      </w:r>
      <w:r w:rsidRPr="00EB3D2F">
        <w:t>.  </w:t>
      </w:r>
      <w:r w:rsidRPr="00EB3D2F" w:rsidR="00002381">
        <w:t>Comme indiqué précédemment, les requérants ont été condamnés</w:t>
      </w:r>
      <w:r w:rsidRPr="00EB3D2F" w:rsidR="00FB35AA">
        <w:t xml:space="preserve"> </w:t>
      </w:r>
      <w:r w:rsidRPr="00EB3D2F" w:rsidR="0088773F">
        <w:t>en</w:t>
      </w:r>
      <w:r w:rsidRPr="00EB3D2F" w:rsidR="00FB35AA">
        <w:t xml:space="preserve"> raison de l</w:t>
      </w:r>
      <w:r w:rsidR="00062221">
        <w:t>’</w:t>
      </w:r>
      <w:r w:rsidRPr="00EB3D2F" w:rsidR="00FB35AA">
        <w:t>appel au boycott de produits en provenance d</w:t>
      </w:r>
      <w:r w:rsidR="00062221">
        <w:t>’</w:t>
      </w:r>
      <w:r w:rsidRPr="00EB3D2F" w:rsidR="00FB35AA">
        <w:t>Israël qu</w:t>
      </w:r>
      <w:r w:rsidR="00062221">
        <w:t>’</w:t>
      </w:r>
      <w:r w:rsidRPr="00EB3D2F" w:rsidR="00FB35AA">
        <w:t>ils ont lancé,</w:t>
      </w:r>
      <w:r w:rsidRPr="00EB3D2F" w:rsidR="00002381">
        <w:t xml:space="preserve"> pour avoir </w:t>
      </w:r>
      <w:r w:rsidR="006A4DF1">
        <w:t>« </w:t>
      </w:r>
      <w:r w:rsidRPr="00EB3D2F" w:rsidR="00002381">
        <w:t xml:space="preserve">provoqué </w:t>
      </w:r>
      <w:r w:rsidRPr="00EB3D2F" w:rsidR="00F847FF">
        <w:t xml:space="preserve">à </w:t>
      </w:r>
      <w:r w:rsidRPr="00EB3D2F" w:rsidR="00002381">
        <w:t>la discrimination</w:t>
      </w:r>
      <w:r w:rsidR="006A4DF1">
        <w:t> »</w:t>
      </w:r>
      <w:r w:rsidRPr="00EB3D2F" w:rsidR="00002381">
        <w:t>, au sens de l</w:t>
      </w:r>
      <w:r w:rsidR="00062221">
        <w:t>’</w:t>
      </w:r>
      <w:r w:rsidR="00565C93">
        <w:t>article </w:t>
      </w:r>
      <w:r w:rsidRPr="00EB3D2F" w:rsidR="00002381">
        <w:t xml:space="preserve">24, </w:t>
      </w:r>
      <w:r w:rsidR="00F92E77">
        <w:t>alinéa </w:t>
      </w:r>
      <w:r w:rsidRPr="00EB3D2F" w:rsidR="00002381">
        <w:t>8, de la loi du 29</w:t>
      </w:r>
      <w:r w:rsidR="00565C93">
        <w:t> juillet</w:t>
      </w:r>
      <w:r w:rsidRPr="00EB3D2F" w:rsidR="00002381">
        <w:t xml:space="preserve"> 1881 sur la liberté de la presse.</w:t>
      </w:r>
    </w:p>
    <w:p w:rsidRPr="00EB3D2F" w:rsidR="00116134" w:rsidP="00EB3D2F" w:rsidRDefault="00116134">
      <w:pPr>
        <w:pStyle w:val="JuPara"/>
      </w:pPr>
      <w:r w:rsidRPr="00EB3D2F">
        <w:fldChar w:fldCharType="begin"/>
      </w:r>
      <w:r w:rsidRPr="00EB3D2F">
        <w:instrText xml:space="preserve"> SEQ level0 \*arabic </w:instrText>
      </w:r>
      <w:r w:rsidRPr="00EB3D2F">
        <w:fldChar w:fldCharType="separate"/>
      </w:r>
      <w:r w:rsidRPr="00EB3D2F" w:rsidR="00EB3D2F">
        <w:rPr>
          <w:noProof/>
        </w:rPr>
        <w:t>73</w:t>
      </w:r>
      <w:r w:rsidRPr="00EB3D2F">
        <w:fldChar w:fldCharType="end"/>
      </w:r>
      <w:r w:rsidRPr="00EB3D2F">
        <w:t>.  </w:t>
      </w:r>
      <w:r w:rsidRPr="00EB3D2F" w:rsidR="0055548C">
        <w:t>P</w:t>
      </w:r>
      <w:r w:rsidRPr="00EB3D2F" w:rsidR="002228D2">
        <w:t xml:space="preserve">our entrer en voie de condamnation, </w:t>
      </w:r>
      <w:r w:rsidRPr="00EB3D2F">
        <w:t>la cour d</w:t>
      </w:r>
      <w:r w:rsidR="00062221">
        <w:t>’</w:t>
      </w:r>
      <w:r w:rsidRPr="00EB3D2F">
        <w:t>appel de Colmar (</w:t>
      </w:r>
      <w:r w:rsidR="00565C93">
        <w:t>paragraphe </w:t>
      </w:r>
      <w:r w:rsidRPr="00EB3D2F">
        <w:t>1</w:t>
      </w:r>
      <w:r w:rsidRPr="00EB3D2F" w:rsidR="00020D6A">
        <w:t>3</w:t>
      </w:r>
      <w:r w:rsidRPr="00EB3D2F">
        <w:t xml:space="preserve"> ci-dessus) a retenu qu</w:t>
      </w:r>
      <w:r w:rsidR="00062221">
        <w:t>’</w:t>
      </w:r>
      <w:r w:rsidRPr="00EB3D2F">
        <w:t>en appelant les clients d</w:t>
      </w:r>
      <w:r w:rsidRPr="00EB3D2F" w:rsidR="00363170">
        <w:t>e</w:t>
      </w:r>
      <w:r w:rsidRPr="00EB3D2F">
        <w:t xml:space="preserve"> </w:t>
      </w:r>
      <w:r w:rsidRPr="00EB3D2F" w:rsidR="00363170">
        <w:t>l</w:t>
      </w:r>
      <w:r w:rsidR="00062221">
        <w:t>’</w:t>
      </w:r>
      <w:r w:rsidRPr="00EB3D2F" w:rsidR="00363170">
        <w:t>hypermarché</w:t>
      </w:r>
      <w:r w:rsidRPr="00EB3D2F">
        <w:t xml:space="preserve"> </w:t>
      </w:r>
      <w:r w:rsidRPr="00EB3D2F" w:rsidR="00F847FF">
        <w:t xml:space="preserve">à </w:t>
      </w:r>
      <w:r w:rsidRPr="00EB3D2F">
        <w:t>ne pas acheter des produits venant d</w:t>
      </w:r>
      <w:r w:rsidR="00062221">
        <w:t>’</w:t>
      </w:r>
      <w:r w:rsidRPr="00EB3D2F">
        <w:t xml:space="preserve">Israël, les requérants </w:t>
      </w:r>
      <w:r w:rsidRPr="00EB3D2F" w:rsidR="002228D2">
        <w:t>avaient</w:t>
      </w:r>
      <w:r w:rsidRPr="00EB3D2F">
        <w:t xml:space="preserve"> provoqué </w:t>
      </w:r>
      <w:r w:rsidRPr="00EB3D2F" w:rsidR="00F847FF">
        <w:t xml:space="preserve">à </w:t>
      </w:r>
      <w:r w:rsidRPr="00EB3D2F" w:rsidR="00C47D96">
        <w:t>discriminer les producteurs ou</w:t>
      </w:r>
      <w:r w:rsidRPr="00EB3D2F">
        <w:t xml:space="preserve"> les fournisseurs de ces produits </w:t>
      </w:r>
      <w:r w:rsidRPr="00EB3D2F" w:rsidR="00F847FF">
        <w:t xml:space="preserve">à </w:t>
      </w:r>
      <w:r w:rsidRPr="00EB3D2F">
        <w:t xml:space="preserve">raison de leur origine. Elle a ensuite souligné que </w:t>
      </w:r>
      <w:r w:rsidRPr="00EB3D2F" w:rsidR="002B32AF">
        <w:t xml:space="preserve">la provocation </w:t>
      </w:r>
      <w:r w:rsidRPr="00EB3D2F" w:rsidR="00F847FF">
        <w:t xml:space="preserve">à </w:t>
      </w:r>
      <w:r w:rsidRPr="00EB3D2F">
        <w:t xml:space="preserve">la discrimination ne relevait pas du droit </w:t>
      </w:r>
      <w:r w:rsidRPr="00EB3D2F" w:rsidR="00F847FF">
        <w:t xml:space="preserve">à </w:t>
      </w:r>
      <w:r w:rsidRPr="00EB3D2F">
        <w:t>la liberté d</w:t>
      </w:r>
      <w:r w:rsidR="00062221">
        <w:t>’</w:t>
      </w:r>
      <w:r w:rsidRPr="00EB3D2F">
        <w:t>opinion et d</w:t>
      </w:r>
      <w:r w:rsidR="00062221">
        <w:t>’</w:t>
      </w:r>
      <w:r w:rsidRPr="00EB3D2F">
        <w:t>expre</w:t>
      </w:r>
      <w:r w:rsidRPr="00EB3D2F" w:rsidR="00C47D96">
        <w:t>ssion dès lors qu</w:t>
      </w:r>
      <w:r w:rsidR="00062221">
        <w:t>’</w:t>
      </w:r>
      <w:r w:rsidRPr="00EB3D2F" w:rsidR="00C47D96">
        <w:t>elle constituait</w:t>
      </w:r>
      <w:r w:rsidRPr="00EB3D2F">
        <w:t xml:space="preserve"> un acte positif de rejet </w:t>
      </w:r>
      <w:r w:rsidRPr="00EB3D2F" w:rsidR="00F847FF">
        <w:t xml:space="preserve">à </w:t>
      </w:r>
      <w:r w:rsidRPr="00EB3D2F">
        <w:t>l</w:t>
      </w:r>
      <w:r w:rsidR="00062221">
        <w:t>’</w:t>
      </w:r>
      <w:r w:rsidRPr="00EB3D2F">
        <w:t>égard d</w:t>
      </w:r>
      <w:r w:rsidR="00062221">
        <w:t>’</w:t>
      </w:r>
      <w:r w:rsidRPr="00EB3D2F">
        <w:t>une catégorie de personnes, se manifestant par l</w:t>
      </w:r>
      <w:r w:rsidR="00062221">
        <w:t>’</w:t>
      </w:r>
      <w:r w:rsidRPr="00EB3D2F">
        <w:t xml:space="preserve">incitation </w:t>
      </w:r>
      <w:r w:rsidRPr="00EB3D2F" w:rsidR="00F847FF">
        <w:t xml:space="preserve">à </w:t>
      </w:r>
      <w:r w:rsidRPr="00EB3D2F">
        <w:t>opérer une différence de traitement. Selon elle, le fait pour les prévenus d</w:t>
      </w:r>
      <w:r w:rsidR="00062221">
        <w:t>’</w:t>
      </w:r>
      <w:r w:rsidRPr="00EB3D2F">
        <w:t xml:space="preserve">inciter autrui </w:t>
      </w:r>
      <w:r w:rsidRPr="00EB3D2F" w:rsidR="00F847FF">
        <w:t xml:space="preserve">à </w:t>
      </w:r>
      <w:r w:rsidRPr="00EB3D2F">
        <w:t xml:space="preserve">procéder </w:t>
      </w:r>
      <w:r w:rsidRPr="00EB3D2F" w:rsidR="00F847FF">
        <w:t xml:space="preserve">à </w:t>
      </w:r>
      <w:r w:rsidRPr="00EB3D2F">
        <w:t>une discrimination entre les producteurs ou les fournisseurs, pour rejeter ceux d</w:t>
      </w:r>
      <w:r w:rsidR="00062221">
        <w:t>’</w:t>
      </w:r>
      <w:r w:rsidRPr="00EB3D2F">
        <w:t xml:space="preserve">Israël, suffisait </w:t>
      </w:r>
      <w:r w:rsidRPr="00EB3D2F" w:rsidR="00F847FF">
        <w:t xml:space="preserve">à </w:t>
      </w:r>
      <w:r w:rsidRPr="00EB3D2F">
        <w:t>caractériser l</w:t>
      </w:r>
      <w:r w:rsidR="00062221">
        <w:t>’</w:t>
      </w:r>
      <w:r w:rsidRPr="00EB3D2F">
        <w:t>élément matériel de l</w:t>
      </w:r>
      <w:r w:rsidR="00062221">
        <w:t>’</w:t>
      </w:r>
      <w:r w:rsidRPr="00EB3D2F">
        <w:t xml:space="preserve">infraction de provocation </w:t>
      </w:r>
      <w:r w:rsidRPr="00EB3D2F" w:rsidR="00F847FF">
        <w:t xml:space="preserve">à </w:t>
      </w:r>
      <w:r w:rsidRPr="00EB3D2F">
        <w:t>la discrimination</w:t>
      </w:r>
      <w:r w:rsidRPr="00EB3D2F" w:rsidR="007F1565">
        <w:t>,</w:t>
      </w:r>
      <w:r w:rsidRPr="00EB3D2F">
        <w:t xml:space="preserve"> </w:t>
      </w:r>
      <w:r w:rsidRPr="00EB3D2F" w:rsidR="00F847FF">
        <w:t xml:space="preserve">à </w:t>
      </w:r>
      <w:r w:rsidRPr="00EB3D2F">
        <w:t xml:space="preserve">la haine ou </w:t>
      </w:r>
      <w:r w:rsidRPr="00EB3D2F" w:rsidR="00F847FF">
        <w:t xml:space="preserve">à </w:t>
      </w:r>
      <w:r w:rsidRPr="00EB3D2F">
        <w:t>la violence prévue par l</w:t>
      </w:r>
      <w:r w:rsidR="00062221">
        <w:t>’</w:t>
      </w:r>
      <w:r w:rsidR="00565C93">
        <w:t>article </w:t>
      </w:r>
      <w:r w:rsidRPr="00EB3D2F">
        <w:t>24 de la loi du 29</w:t>
      </w:r>
      <w:r w:rsidR="00565C93">
        <w:t> juillet</w:t>
      </w:r>
      <w:r w:rsidRPr="00EB3D2F">
        <w:t xml:space="preserve"> 1881</w:t>
      </w:r>
      <w:r w:rsidRPr="00EB3D2F" w:rsidR="00DF11C1">
        <w:t>,</w:t>
      </w:r>
      <w:r w:rsidRPr="00EB3D2F">
        <w:t xml:space="preserve"> </w:t>
      </w:r>
      <w:r w:rsidR="00F92E77">
        <w:t>alinéa </w:t>
      </w:r>
      <w:r w:rsidRPr="00EB3D2F" w:rsidR="001B506B">
        <w:t>8</w:t>
      </w:r>
      <w:r w:rsidRPr="00EB3D2F" w:rsidR="00DF11C1">
        <w:t>,</w:t>
      </w:r>
      <w:r w:rsidRPr="00EB3D2F" w:rsidR="001B506B">
        <w:t xml:space="preserve"> </w:t>
      </w:r>
      <w:r w:rsidRPr="00EB3D2F">
        <w:t xml:space="preserve">sur la liberté de la presse. Répondant </w:t>
      </w:r>
      <w:r w:rsidRPr="00EB3D2F" w:rsidR="00F847FF">
        <w:t xml:space="preserve">à </w:t>
      </w:r>
      <w:r w:rsidRPr="00EB3D2F">
        <w:t>un moyen tiré de l</w:t>
      </w:r>
      <w:r w:rsidR="00062221">
        <w:t>’</w:t>
      </w:r>
      <w:r w:rsidR="00565C93">
        <w:t>article </w:t>
      </w:r>
      <w:r w:rsidRPr="00EB3D2F">
        <w:t>122-4 du code pénal (</w:t>
      </w:r>
      <w:r w:rsidR="00565C93">
        <w:t>paragraphe </w:t>
      </w:r>
      <w:r w:rsidRPr="00EB3D2F" w:rsidR="00020D6A">
        <w:t>19</w:t>
      </w:r>
      <w:r w:rsidRPr="00EB3D2F">
        <w:t xml:space="preserve"> ci-dessus), elle a ajouté que la liberté d</w:t>
      </w:r>
      <w:r w:rsidR="00062221">
        <w:t>’</w:t>
      </w:r>
      <w:r w:rsidRPr="00EB3D2F">
        <w:t>expression n</w:t>
      </w:r>
      <w:r w:rsidR="00062221">
        <w:t>’</w:t>
      </w:r>
      <w:r w:rsidRPr="00EB3D2F">
        <w:t xml:space="preserve">autorisait pas son détenteur, sous le couvert de cette liberté, </w:t>
      </w:r>
      <w:r w:rsidRPr="00EB3D2F" w:rsidR="00F847FF">
        <w:t xml:space="preserve">à </w:t>
      </w:r>
      <w:r w:rsidRPr="00EB3D2F">
        <w:t>commettre un délit puni par la loi.</w:t>
      </w:r>
    </w:p>
    <w:p w:rsidRPr="00EB3D2F" w:rsidR="008B0E9A" w:rsidP="00EB3D2F" w:rsidRDefault="00116134">
      <w:pPr>
        <w:pStyle w:val="JuPara"/>
      </w:pPr>
      <w:r w:rsidRPr="00EB3D2F">
        <w:fldChar w:fldCharType="begin"/>
      </w:r>
      <w:r w:rsidRPr="00EB3D2F">
        <w:instrText xml:space="preserve"> SEQ level0 \*arabic </w:instrText>
      </w:r>
      <w:r w:rsidRPr="00EB3D2F">
        <w:fldChar w:fldCharType="separate"/>
      </w:r>
      <w:r w:rsidRPr="00EB3D2F" w:rsidR="00EB3D2F">
        <w:rPr>
          <w:noProof/>
        </w:rPr>
        <w:t>74</w:t>
      </w:r>
      <w:r w:rsidRPr="00EB3D2F">
        <w:fldChar w:fldCharType="end"/>
      </w:r>
      <w:r w:rsidRPr="00EB3D2F">
        <w:t>.  La Cour n</w:t>
      </w:r>
      <w:r w:rsidR="00062221">
        <w:t>’</w:t>
      </w:r>
      <w:r w:rsidRPr="00EB3D2F">
        <w:t>entend pas mettre en cause l</w:t>
      </w:r>
      <w:r w:rsidR="00062221">
        <w:t>’</w:t>
      </w:r>
      <w:r w:rsidRPr="00EB3D2F">
        <w:t>interprétation de l</w:t>
      </w:r>
      <w:r w:rsidR="00062221">
        <w:t>’</w:t>
      </w:r>
      <w:r w:rsidR="00565C93">
        <w:t>article </w:t>
      </w:r>
      <w:r w:rsidRPr="00EB3D2F">
        <w:t>24 de la loi du 29</w:t>
      </w:r>
      <w:r w:rsidR="00565C93">
        <w:t> juillet</w:t>
      </w:r>
      <w:r w:rsidRPr="00EB3D2F">
        <w:t xml:space="preserve"> 1881 sur laquelle repose </w:t>
      </w:r>
      <w:r w:rsidRPr="00EB3D2F" w:rsidR="002228D2">
        <w:t xml:space="preserve">ainsi </w:t>
      </w:r>
      <w:r w:rsidRPr="00EB3D2F">
        <w:t>la condamnation des requérants, selon laquelle, en appelant au boycott de produits venant d</w:t>
      </w:r>
      <w:r w:rsidR="00062221">
        <w:t>’</w:t>
      </w:r>
      <w:r w:rsidRPr="00EB3D2F">
        <w:t>Israël, les requérant</w:t>
      </w:r>
      <w:r w:rsidRPr="00EB3D2F" w:rsidR="001A5E43">
        <w:t>s</w:t>
      </w:r>
      <w:r w:rsidRPr="00EB3D2F">
        <w:t xml:space="preserve"> ont</w:t>
      </w:r>
      <w:r w:rsidRPr="00EB3D2F" w:rsidR="007F1565">
        <w:t>, au sens de cette disposition,</w:t>
      </w:r>
      <w:r w:rsidRPr="00EB3D2F">
        <w:t xml:space="preserve"> provoqué </w:t>
      </w:r>
      <w:r w:rsidRPr="00EB3D2F" w:rsidR="00F847FF">
        <w:t xml:space="preserve">à </w:t>
      </w:r>
      <w:r w:rsidRPr="00EB3D2F">
        <w:t xml:space="preserve">la discrimination des producteurs ou fournisseurs de ces produits </w:t>
      </w:r>
      <w:r w:rsidRPr="00EB3D2F" w:rsidR="00F847FF">
        <w:t xml:space="preserve">à </w:t>
      </w:r>
      <w:r w:rsidRPr="00EB3D2F">
        <w:t>raison de leur origine. C</w:t>
      </w:r>
      <w:r w:rsidR="00062221">
        <w:t>’</w:t>
      </w:r>
      <w:r w:rsidRPr="00EB3D2F">
        <w:t>est au premier chef aux autorités nationales, notamment aux tribunaux, qu</w:t>
      </w:r>
      <w:r w:rsidR="00062221">
        <w:t>’</w:t>
      </w:r>
      <w:r w:rsidRPr="00EB3D2F">
        <w:t>il incombe d</w:t>
      </w:r>
      <w:r w:rsidR="00062221">
        <w:t>’</w:t>
      </w:r>
      <w:r w:rsidRPr="00EB3D2F">
        <w:t>interpréter et d</w:t>
      </w:r>
      <w:r w:rsidR="00062221">
        <w:t>’</w:t>
      </w:r>
      <w:r w:rsidRPr="00EB3D2F">
        <w:t>appliquer le droit national</w:t>
      </w:r>
      <w:r w:rsidRPr="00EB3D2F" w:rsidR="002228D2">
        <w:t xml:space="preserve">. Le rôle de la Cour se limite </w:t>
      </w:r>
      <w:r w:rsidRPr="00EB3D2F" w:rsidR="00F847FF">
        <w:t xml:space="preserve">à </w:t>
      </w:r>
      <w:r w:rsidRPr="00EB3D2F" w:rsidR="002228D2">
        <w:t>vérifier si l</w:t>
      </w:r>
      <w:r w:rsidR="00062221">
        <w:t>’</w:t>
      </w:r>
      <w:r w:rsidRPr="00EB3D2F" w:rsidR="002228D2">
        <w:t xml:space="preserve">ingérence qui a résulté de la condamnation des requérants du chef de ce délit peut passer pour </w:t>
      </w:r>
      <w:r w:rsidR="006A4DF1">
        <w:t>« </w:t>
      </w:r>
      <w:r w:rsidRPr="00EB3D2F" w:rsidR="002228D2">
        <w:t>nécessaire dans une société démocratique</w:t>
      </w:r>
      <w:r w:rsidR="006A4DF1">
        <w:t> »</w:t>
      </w:r>
      <w:r w:rsidRPr="00EB3D2F" w:rsidR="00340372">
        <w:t xml:space="preserve"> </w:t>
      </w:r>
      <w:r w:rsidRPr="00EB3D2F">
        <w:t xml:space="preserve">(voir, par exemple, </w:t>
      </w:r>
      <w:proofErr w:type="spellStart"/>
      <w:r w:rsidRPr="00EB3D2F">
        <w:rPr>
          <w:i/>
        </w:rPr>
        <w:t>Lehideux</w:t>
      </w:r>
      <w:proofErr w:type="spellEnd"/>
      <w:r w:rsidRPr="00EB3D2F">
        <w:rPr>
          <w:i/>
        </w:rPr>
        <w:t xml:space="preserve"> et Isorni</w:t>
      </w:r>
      <w:r w:rsidRPr="00EB3D2F">
        <w:t xml:space="preserve">, </w:t>
      </w:r>
      <w:r w:rsidRPr="00EB3D2F" w:rsidR="000818DC">
        <w:t>précité</w:t>
      </w:r>
      <w:r w:rsidRPr="00EB3D2F">
        <w:t xml:space="preserve">, </w:t>
      </w:r>
      <w:r w:rsidR="00565C93">
        <w:t>§ </w:t>
      </w:r>
      <w:r w:rsidRPr="00EB3D2F">
        <w:t>50)</w:t>
      </w:r>
      <w:r w:rsidRPr="00EB3D2F" w:rsidR="00363170">
        <w:t xml:space="preserve">, </w:t>
      </w:r>
      <w:r w:rsidRPr="00EB3D2F" w:rsidR="00FB35AA">
        <w:t>c</w:t>
      </w:r>
      <w:r w:rsidR="00062221">
        <w:t>’</w:t>
      </w:r>
      <w:r w:rsidRPr="00EB3D2F" w:rsidR="00FB35AA">
        <w:t>est-à-dire, notamment, si les motifs invoqués pour la justifier sont pertinents et suffisants (</w:t>
      </w:r>
      <w:r w:rsidR="00565C93">
        <w:t>paragraphe </w:t>
      </w:r>
      <w:r w:rsidRPr="00EB3D2F" w:rsidR="00FB35AA">
        <w:t>6</w:t>
      </w:r>
      <w:r w:rsidRPr="00EB3D2F" w:rsidR="004A026A">
        <w:t>1</w:t>
      </w:r>
      <w:r w:rsidRPr="00EB3D2F" w:rsidR="00FB35AA">
        <w:t xml:space="preserve"> ci-dessus).</w:t>
      </w:r>
    </w:p>
    <w:p w:rsidRPr="00EB3D2F" w:rsidR="00340372" w:rsidP="00EB3D2F" w:rsidRDefault="00FB35AA">
      <w:pPr>
        <w:pStyle w:val="JuPara"/>
      </w:pPr>
      <w:r w:rsidRPr="00EB3D2F">
        <w:fldChar w:fldCharType="begin"/>
      </w:r>
      <w:r w:rsidRPr="00EB3D2F">
        <w:instrText xml:space="preserve"> SEQ level0 \*arabic </w:instrText>
      </w:r>
      <w:r w:rsidRPr="00EB3D2F">
        <w:fldChar w:fldCharType="separate"/>
      </w:r>
      <w:r w:rsidRPr="00EB3D2F" w:rsidR="00EB3D2F">
        <w:rPr>
          <w:noProof/>
        </w:rPr>
        <w:t>75</w:t>
      </w:r>
      <w:r w:rsidRPr="00EB3D2F">
        <w:fldChar w:fldCharType="end"/>
      </w:r>
      <w:r w:rsidRPr="00EB3D2F">
        <w:t>.  </w:t>
      </w:r>
      <w:r w:rsidRPr="00EB3D2F" w:rsidR="005A6230">
        <w:t xml:space="preserve">La Cour </w:t>
      </w:r>
      <w:r w:rsidRPr="00EB3D2F" w:rsidR="00D07CBC">
        <w:t>relève</w:t>
      </w:r>
      <w:r w:rsidRPr="00EB3D2F" w:rsidR="002228D2">
        <w:t xml:space="preserve"> </w:t>
      </w:r>
      <w:r w:rsidRPr="00EB3D2F" w:rsidR="006126DB">
        <w:t>cependant</w:t>
      </w:r>
      <w:r w:rsidRPr="00EB3D2F" w:rsidR="005A6230">
        <w:t xml:space="preserve"> </w:t>
      </w:r>
      <w:r w:rsidRPr="00EB3D2F" w:rsidR="002228D2">
        <w:t>qu</w:t>
      </w:r>
      <w:r w:rsidRPr="00EB3D2F" w:rsidR="00C47D96">
        <w:t>e</w:t>
      </w:r>
      <w:r w:rsidRPr="00EB3D2F" w:rsidR="002D5A1D">
        <w:t>, tel qu</w:t>
      </w:r>
      <w:r w:rsidR="00062221">
        <w:t>’</w:t>
      </w:r>
      <w:r w:rsidRPr="00EB3D2F" w:rsidR="00767B68">
        <w:t xml:space="preserve">interprété et </w:t>
      </w:r>
      <w:r w:rsidRPr="00EB3D2F" w:rsidR="002D5A1D">
        <w:t>appliqué en l</w:t>
      </w:r>
      <w:r w:rsidR="00062221">
        <w:t>’</w:t>
      </w:r>
      <w:r w:rsidRPr="00EB3D2F" w:rsidR="002D5A1D">
        <w:t>espèce,</w:t>
      </w:r>
      <w:r w:rsidRPr="00EB3D2F" w:rsidR="00C47D96">
        <w:t xml:space="preserve"> </w:t>
      </w:r>
      <w:r w:rsidRPr="00EB3D2F" w:rsidR="002228D2">
        <w:t>le droit français interdit tout appel au boycott de produits</w:t>
      </w:r>
      <w:r w:rsidRPr="00EB3D2F" w:rsidR="007F1565">
        <w:t xml:space="preserve"> </w:t>
      </w:r>
      <w:r w:rsidRPr="00EB3D2F" w:rsidR="00F847FF">
        <w:t xml:space="preserve">à </w:t>
      </w:r>
      <w:r w:rsidRPr="00EB3D2F" w:rsidR="007F1565">
        <w:t>raison de leur origine</w:t>
      </w:r>
      <w:r w:rsidRPr="00EB3D2F" w:rsidR="003720BD">
        <w:t xml:space="preserve"> géographique</w:t>
      </w:r>
      <w:r w:rsidRPr="00EB3D2F" w:rsidR="002228D2">
        <w:t xml:space="preserve">, quels que soient </w:t>
      </w:r>
      <w:r w:rsidRPr="00EB3D2F" w:rsidR="004769C5">
        <w:t>l</w:t>
      </w:r>
      <w:r w:rsidRPr="00EB3D2F" w:rsidR="002228D2">
        <w:t>a teneur</w:t>
      </w:r>
      <w:r w:rsidRPr="00EB3D2F" w:rsidR="004769C5">
        <w:t xml:space="preserve"> de cet appel</w:t>
      </w:r>
      <w:r w:rsidRPr="00EB3D2F" w:rsidR="002228D2">
        <w:t>, ses motifs et les circonstances dans lequel il s</w:t>
      </w:r>
      <w:r w:rsidR="00062221">
        <w:t>’</w:t>
      </w:r>
      <w:r w:rsidRPr="00EB3D2F" w:rsidR="002228D2">
        <w:t>inscrit.</w:t>
      </w:r>
    </w:p>
    <w:p w:rsidRPr="00EB3D2F" w:rsidR="00C2408B" w:rsidP="00EB3D2F" w:rsidRDefault="003A3CA5">
      <w:pPr>
        <w:pStyle w:val="JuPara"/>
        <w:rPr>
          <w:color w:val="000000" w:themeColor="text1"/>
        </w:rPr>
      </w:pPr>
      <w:r w:rsidRPr="00EB3D2F">
        <w:fldChar w:fldCharType="begin"/>
      </w:r>
      <w:r w:rsidRPr="00EB3D2F">
        <w:instrText xml:space="preserve"> SEQ level0 \*arabic </w:instrText>
      </w:r>
      <w:r w:rsidRPr="00EB3D2F">
        <w:fldChar w:fldCharType="separate"/>
      </w:r>
      <w:r w:rsidRPr="00EB3D2F" w:rsidR="00EB3D2F">
        <w:rPr>
          <w:noProof/>
        </w:rPr>
        <w:t>76</w:t>
      </w:r>
      <w:r w:rsidRPr="00EB3D2F">
        <w:fldChar w:fldCharType="end"/>
      </w:r>
      <w:r w:rsidRPr="00EB3D2F">
        <w:t>.  </w:t>
      </w:r>
      <w:r w:rsidRPr="00EB3D2F" w:rsidR="00816C62">
        <w:t xml:space="preserve">Elle constate </w:t>
      </w:r>
      <w:r w:rsidRPr="00EB3D2F" w:rsidR="006D1776">
        <w:t xml:space="preserve">ensuite </w:t>
      </w:r>
      <w:r w:rsidRPr="00EB3D2F" w:rsidR="00B10562">
        <w:t>que</w:t>
      </w:r>
      <w:r w:rsidRPr="00EB3D2F" w:rsidR="00816C62">
        <w:t>, s</w:t>
      </w:r>
      <w:r w:rsidRPr="00EB3D2F" w:rsidR="006276E7">
        <w:t>tatuant sur ce fondement</w:t>
      </w:r>
      <w:r w:rsidRPr="00EB3D2F" w:rsidR="00816C62">
        <w:t xml:space="preserve"> juridique</w:t>
      </w:r>
      <w:r w:rsidRPr="00EB3D2F" w:rsidR="006276E7">
        <w:t xml:space="preserve">, </w:t>
      </w:r>
      <w:r w:rsidRPr="00EB3D2F" w:rsidR="00816C62">
        <w:t>l</w:t>
      </w:r>
      <w:r w:rsidRPr="00EB3D2F" w:rsidR="006276E7">
        <w:t xml:space="preserve">a </w:t>
      </w:r>
      <w:r w:rsidRPr="00EB3D2F" w:rsidR="00591A21">
        <w:t>cour d</w:t>
      </w:r>
      <w:r w:rsidR="00062221">
        <w:t>’</w:t>
      </w:r>
      <w:r w:rsidRPr="00EB3D2F" w:rsidR="00591A21">
        <w:t xml:space="preserve">appel de Colmar </w:t>
      </w:r>
      <w:r w:rsidRPr="00EB3D2F" w:rsidR="006276E7">
        <w:t>n</w:t>
      </w:r>
      <w:r w:rsidR="00062221">
        <w:t>’</w:t>
      </w:r>
      <w:r w:rsidRPr="00EB3D2F" w:rsidR="006276E7">
        <w:t>a pas analysé les actes et propos poursuivis</w:t>
      </w:r>
      <w:r w:rsidRPr="00EB3D2F" w:rsidR="00122613">
        <w:t xml:space="preserve"> </w:t>
      </w:r>
      <w:r w:rsidRPr="00EB3D2F" w:rsidR="00F847FF">
        <w:t xml:space="preserve">à </w:t>
      </w:r>
      <w:r w:rsidRPr="00EB3D2F" w:rsidR="00122613">
        <w:t>la lumière de ces facteurs</w:t>
      </w:r>
      <w:r w:rsidRPr="00EB3D2F" w:rsidR="006276E7">
        <w:t xml:space="preserve">. </w:t>
      </w:r>
      <w:r w:rsidRPr="00EB3D2F" w:rsidR="0047779C">
        <w:rPr>
          <w:color w:val="000000" w:themeColor="text1"/>
        </w:rPr>
        <w:t>Elle a conclu de manière générale que</w:t>
      </w:r>
      <w:r w:rsidRPr="00EB3D2F" w:rsidR="00C81288">
        <w:rPr>
          <w:color w:val="000000" w:themeColor="text1"/>
        </w:rPr>
        <w:t xml:space="preserve"> l</w:t>
      </w:r>
      <w:r w:rsidR="00062221">
        <w:rPr>
          <w:color w:val="000000" w:themeColor="text1"/>
        </w:rPr>
        <w:t>’</w:t>
      </w:r>
      <w:r w:rsidRPr="00EB3D2F" w:rsidR="00C81288">
        <w:rPr>
          <w:color w:val="000000" w:themeColor="text1"/>
        </w:rPr>
        <w:t xml:space="preserve">appel au boycott constituait une </w:t>
      </w:r>
      <w:r w:rsidRPr="00EB3D2F" w:rsidR="0047779C">
        <w:rPr>
          <w:color w:val="000000" w:themeColor="text1"/>
        </w:rPr>
        <w:t xml:space="preserve">provocation </w:t>
      </w:r>
      <w:r w:rsidRPr="00EB3D2F" w:rsidR="00F847FF">
        <w:rPr>
          <w:color w:val="000000" w:themeColor="text1"/>
        </w:rPr>
        <w:t xml:space="preserve">à </w:t>
      </w:r>
      <w:r w:rsidRPr="00EB3D2F" w:rsidR="0047779C">
        <w:rPr>
          <w:color w:val="000000" w:themeColor="text1"/>
        </w:rPr>
        <w:t>la discrimination, au sens de l</w:t>
      </w:r>
      <w:r w:rsidR="00062221">
        <w:rPr>
          <w:color w:val="000000" w:themeColor="text1"/>
        </w:rPr>
        <w:t>’</w:t>
      </w:r>
      <w:r w:rsidR="00565C93">
        <w:rPr>
          <w:color w:val="000000" w:themeColor="text1"/>
        </w:rPr>
        <w:t>article </w:t>
      </w:r>
      <w:r w:rsidRPr="00EB3D2F" w:rsidR="0047779C">
        <w:rPr>
          <w:color w:val="000000" w:themeColor="text1"/>
        </w:rPr>
        <w:t xml:space="preserve">24, </w:t>
      </w:r>
      <w:r w:rsidR="00F92E77">
        <w:rPr>
          <w:color w:val="000000" w:themeColor="text1"/>
        </w:rPr>
        <w:t>alinéa </w:t>
      </w:r>
      <w:r w:rsidRPr="00EB3D2F" w:rsidR="0047779C">
        <w:rPr>
          <w:color w:val="000000" w:themeColor="text1"/>
        </w:rPr>
        <w:t>8, de la loi du 29</w:t>
      </w:r>
      <w:r w:rsidR="00565C93">
        <w:rPr>
          <w:color w:val="000000" w:themeColor="text1"/>
        </w:rPr>
        <w:t> juillet</w:t>
      </w:r>
      <w:r w:rsidRPr="00EB3D2F" w:rsidR="0047779C">
        <w:rPr>
          <w:color w:val="000000" w:themeColor="text1"/>
        </w:rPr>
        <w:t xml:space="preserve"> 1881, sur le fondement duquel les requérants étaient poursuivis, </w:t>
      </w:r>
      <w:r w:rsidRPr="00EB3D2F" w:rsidR="00C81288">
        <w:rPr>
          <w:color w:val="000000" w:themeColor="text1"/>
        </w:rPr>
        <w:t>et qu</w:t>
      </w:r>
      <w:r w:rsidR="00062221">
        <w:rPr>
          <w:color w:val="000000" w:themeColor="text1"/>
        </w:rPr>
        <w:t>’</w:t>
      </w:r>
      <w:r w:rsidRPr="00EB3D2F" w:rsidR="00C81288">
        <w:rPr>
          <w:color w:val="000000" w:themeColor="text1"/>
        </w:rPr>
        <w:t xml:space="preserve">il </w:t>
      </w:r>
      <w:r w:rsidR="006A4DF1">
        <w:rPr>
          <w:color w:val="000000" w:themeColor="text1"/>
        </w:rPr>
        <w:t>« </w:t>
      </w:r>
      <w:r w:rsidRPr="00EB3D2F" w:rsidR="0047779C">
        <w:rPr>
          <w:color w:val="000000" w:themeColor="text1"/>
        </w:rPr>
        <w:t xml:space="preserve">ne saurait entrer dans le droit </w:t>
      </w:r>
      <w:r w:rsidRPr="00EB3D2F" w:rsidR="00F847FF">
        <w:rPr>
          <w:color w:val="000000" w:themeColor="text1"/>
        </w:rPr>
        <w:t xml:space="preserve">à </w:t>
      </w:r>
      <w:r w:rsidRPr="00EB3D2F" w:rsidR="0047779C">
        <w:rPr>
          <w:color w:val="000000" w:themeColor="text1"/>
        </w:rPr>
        <w:t>la liberté d</w:t>
      </w:r>
      <w:r w:rsidR="00062221">
        <w:rPr>
          <w:color w:val="000000" w:themeColor="text1"/>
        </w:rPr>
        <w:t>’</w:t>
      </w:r>
      <w:r w:rsidRPr="00EB3D2F" w:rsidR="0047779C">
        <w:rPr>
          <w:color w:val="000000" w:themeColor="text1"/>
        </w:rPr>
        <w:t>expression</w:t>
      </w:r>
      <w:r w:rsidR="006A4DF1">
        <w:rPr>
          <w:color w:val="000000" w:themeColor="text1"/>
        </w:rPr>
        <w:t> »</w:t>
      </w:r>
      <w:r w:rsidRPr="00EB3D2F" w:rsidR="0047779C">
        <w:rPr>
          <w:color w:val="000000" w:themeColor="text1"/>
        </w:rPr>
        <w:t>.</w:t>
      </w:r>
    </w:p>
    <w:p w:rsidRPr="00EB3D2F" w:rsidR="008B0E9A" w:rsidP="00EB3D2F" w:rsidRDefault="00476087">
      <w:pPr>
        <w:pStyle w:val="JuPara"/>
      </w:pPr>
      <w:r w:rsidRPr="00EB3D2F">
        <w:fldChar w:fldCharType="begin"/>
      </w:r>
      <w:r w:rsidRPr="00EB3D2F">
        <w:instrText xml:space="preserve"> SEQ level0 \*arabic </w:instrText>
      </w:r>
      <w:r w:rsidRPr="00EB3D2F">
        <w:fldChar w:fldCharType="separate"/>
      </w:r>
      <w:r w:rsidRPr="00EB3D2F" w:rsidR="00EB3D2F">
        <w:rPr>
          <w:noProof/>
        </w:rPr>
        <w:t>77</w:t>
      </w:r>
      <w:r w:rsidRPr="00EB3D2F">
        <w:fldChar w:fldCharType="end"/>
      </w:r>
      <w:r w:rsidRPr="00EB3D2F" w:rsidR="005E5924">
        <w:t>.  </w:t>
      </w:r>
      <w:r w:rsidRPr="00EB3D2F">
        <w:t>En d</w:t>
      </w:r>
      <w:r w:rsidR="00062221">
        <w:t>’</w:t>
      </w:r>
      <w:r w:rsidRPr="00EB3D2F">
        <w:t>autres termes</w:t>
      </w:r>
      <w:r w:rsidRPr="00EB3D2F" w:rsidR="004769C5">
        <w:t>,</w:t>
      </w:r>
      <w:r w:rsidRPr="00EB3D2F" w:rsidR="0097512B">
        <w:t xml:space="preserve"> le juge interne n</w:t>
      </w:r>
      <w:r w:rsidR="00062221">
        <w:t>’</w:t>
      </w:r>
      <w:r w:rsidRPr="00EB3D2F" w:rsidR="0097512B">
        <w:t>a pas établi qu</w:t>
      </w:r>
      <w:r w:rsidR="00062221">
        <w:t>’</w:t>
      </w:r>
      <w:r w:rsidRPr="00EB3D2F" w:rsidR="0097512B">
        <w:t>au regard des circonstances de l</w:t>
      </w:r>
      <w:r w:rsidR="00062221">
        <w:t>’</w:t>
      </w:r>
      <w:r w:rsidRPr="00EB3D2F" w:rsidR="0097512B">
        <w:t xml:space="preserve">espèce, la condamnation des requérants </w:t>
      </w:r>
      <w:r w:rsidRPr="00EB3D2F" w:rsidR="0088773F">
        <w:t>en</w:t>
      </w:r>
      <w:r w:rsidRPr="00EB3D2F" w:rsidR="0097512B">
        <w:t xml:space="preserve"> raison de l</w:t>
      </w:r>
      <w:r w:rsidR="00062221">
        <w:t>’</w:t>
      </w:r>
      <w:r w:rsidRPr="00EB3D2F" w:rsidR="0097512B">
        <w:t>appel au boycott de produits en provenance d</w:t>
      </w:r>
      <w:r w:rsidR="00062221">
        <w:t>’</w:t>
      </w:r>
      <w:r w:rsidRPr="00EB3D2F" w:rsidR="0097512B">
        <w:t xml:space="preserve">Israël </w:t>
      </w:r>
      <w:r w:rsidRPr="00EB3D2F" w:rsidR="00884F61">
        <w:t>qu</w:t>
      </w:r>
      <w:r w:rsidR="00062221">
        <w:t>’</w:t>
      </w:r>
      <w:r w:rsidRPr="00EB3D2F" w:rsidR="00884F61">
        <w:t xml:space="preserve">ils ont lancé </w:t>
      </w:r>
      <w:r w:rsidRPr="00EB3D2F" w:rsidR="0097512B">
        <w:t>était nécessaire</w:t>
      </w:r>
      <w:r w:rsidRPr="00EB3D2F" w:rsidR="00884F61">
        <w:t>,</w:t>
      </w:r>
      <w:r w:rsidRPr="00EB3D2F" w:rsidR="0097512B">
        <w:t xml:space="preserve"> dans une société démocratique,</w:t>
      </w:r>
      <w:r w:rsidRPr="00EB3D2F" w:rsidR="00335DF8">
        <w:t xml:space="preserve"> pour atteindre le but légitime poursuivi, </w:t>
      </w:r>
      <w:r w:rsidRPr="00EB3D2F" w:rsidR="00F847FF">
        <w:t xml:space="preserve">à </w:t>
      </w:r>
      <w:r w:rsidRPr="00EB3D2F" w:rsidR="00335DF8">
        <w:t xml:space="preserve">savoir </w:t>
      </w:r>
      <w:r w:rsidRPr="00EB3D2F" w:rsidR="0097512B">
        <w:t>la protection</w:t>
      </w:r>
      <w:r w:rsidR="00445668">
        <w:t xml:space="preserve"> </w:t>
      </w:r>
      <w:r w:rsidRPr="00EB3D2F" w:rsidR="0097512B">
        <w:t>des droits</w:t>
      </w:r>
      <w:r w:rsidRPr="00EB3D2F" w:rsidR="00335DF8">
        <w:t xml:space="preserve"> d</w:t>
      </w:r>
      <w:r w:rsidR="00062221">
        <w:t>’</w:t>
      </w:r>
      <w:r w:rsidRPr="00EB3D2F" w:rsidR="00335DF8">
        <w:t xml:space="preserve">autrui, au sens du second </w:t>
      </w:r>
      <w:r w:rsidR="00F61E11">
        <w:t xml:space="preserve">paragraphe </w:t>
      </w:r>
      <w:r w:rsidRPr="00EB3D2F" w:rsidR="00335DF8">
        <w:t>de l</w:t>
      </w:r>
      <w:r w:rsidR="00062221">
        <w:t>’</w:t>
      </w:r>
      <w:r w:rsidR="00565C93">
        <w:t>article </w:t>
      </w:r>
      <w:r w:rsidRPr="00EB3D2F" w:rsidR="009D391B">
        <w:t>10.</w:t>
      </w:r>
    </w:p>
    <w:p w:rsidRPr="00EB3D2F" w:rsidR="00E851AB" w:rsidP="00EB3D2F" w:rsidRDefault="00E851AB">
      <w:pPr>
        <w:pStyle w:val="JuPara"/>
      </w:pPr>
      <w:r w:rsidRPr="00EB3D2F">
        <w:fldChar w:fldCharType="begin"/>
      </w:r>
      <w:r w:rsidRPr="00EB3D2F">
        <w:instrText xml:space="preserve"> SEQ level0 \*arabic </w:instrText>
      </w:r>
      <w:r w:rsidRPr="00EB3D2F">
        <w:fldChar w:fldCharType="separate"/>
      </w:r>
      <w:r w:rsidRPr="00EB3D2F" w:rsidR="00EB3D2F">
        <w:rPr>
          <w:noProof/>
        </w:rPr>
        <w:t>78</w:t>
      </w:r>
      <w:r w:rsidRPr="00EB3D2F">
        <w:fldChar w:fldCharType="end"/>
      </w:r>
      <w:r w:rsidRPr="00EB3D2F">
        <w:t>.  </w:t>
      </w:r>
      <w:r w:rsidRPr="00EB3D2F" w:rsidR="00884F61">
        <w:t>Une motivation circonstanciée était pourtant d</w:t>
      </w:r>
      <w:r w:rsidR="00062221">
        <w:t>’</w:t>
      </w:r>
      <w:r w:rsidRPr="00EB3D2F" w:rsidR="00884F61">
        <w:t>autant plus essentielle en l</w:t>
      </w:r>
      <w:r w:rsidR="00062221">
        <w:t>’</w:t>
      </w:r>
      <w:r w:rsidRPr="00EB3D2F" w:rsidR="00884F61">
        <w:t xml:space="preserve">espèce </w:t>
      </w:r>
      <w:r w:rsidRPr="00EB3D2F">
        <w:t>qu</w:t>
      </w:r>
      <w:r w:rsidR="00062221">
        <w:t>’</w:t>
      </w:r>
      <w:r w:rsidRPr="00EB3D2F">
        <w:t>on se trouve dans un cas où l</w:t>
      </w:r>
      <w:r w:rsidR="00062221">
        <w:t>’</w:t>
      </w:r>
      <w:r w:rsidR="00565C93">
        <w:t>article </w:t>
      </w:r>
      <w:r w:rsidRPr="00EB3D2F">
        <w:t xml:space="preserve">10 de la Convention exige un niveau élevé de protection du droit </w:t>
      </w:r>
      <w:r w:rsidRPr="00EB3D2F" w:rsidR="00F847FF">
        <w:t xml:space="preserve">à </w:t>
      </w:r>
      <w:r w:rsidRPr="00EB3D2F">
        <w:t>la liberté d</w:t>
      </w:r>
      <w:r w:rsidR="00062221">
        <w:t>’</w:t>
      </w:r>
      <w:r w:rsidRPr="00EB3D2F">
        <w:t>expression. En effet, d</w:t>
      </w:r>
      <w:r w:rsidR="00062221">
        <w:t>’</w:t>
      </w:r>
      <w:r w:rsidRPr="00EB3D2F">
        <w:t>une part, les actions et les propos reprochés aux requérants concernaient un sujet d</w:t>
      </w:r>
      <w:r w:rsidR="00062221">
        <w:t>’</w:t>
      </w:r>
      <w:r w:rsidRPr="00EB3D2F">
        <w:t>intérêt général, celui du respect du droit international public par l</w:t>
      </w:r>
      <w:r w:rsidR="00062221">
        <w:t>’</w:t>
      </w:r>
      <w:r w:rsidRPr="00EB3D2F">
        <w:t>État d</w:t>
      </w:r>
      <w:r w:rsidR="00062221">
        <w:t>’</w:t>
      </w:r>
      <w:r w:rsidRPr="00EB3D2F">
        <w:t>Israël et de la situation des droits de l</w:t>
      </w:r>
      <w:r w:rsidR="00062221">
        <w:t>’</w:t>
      </w:r>
      <w:r w:rsidRPr="00EB3D2F">
        <w:t>homme dans les territoires palestiniens occupés, et s</w:t>
      </w:r>
      <w:r w:rsidR="00062221">
        <w:t>’</w:t>
      </w:r>
      <w:r w:rsidRPr="00EB3D2F">
        <w:t>inscrivaient dans un débat contemporain, ouvert en France comme dans toute la communauté internationale. D</w:t>
      </w:r>
      <w:r w:rsidR="00062221">
        <w:t>’</w:t>
      </w:r>
      <w:r w:rsidRPr="00EB3D2F">
        <w:t>autre part, ces actions et ces propos relevaient de l</w:t>
      </w:r>
      <w:r w:rsidR="00062221">
        <w:t>’</w:t>
      </w:r>
      <w:r w:rsidRPr="00EB3D2F">
        <w:t xml:space="preserve">expression politique et militante (voir, par exemple, </w:t>
      </w:r>
      <w:proofErr w:type="spellStart"/>
      <w:r w:rsidRPr="00EB3D2F">
        <w:rPr>
          <w:i/>
        </w:rPr>
        <w:t>Mamère</w:t>
      </w:r>
      <w:proofErr w:type="spellEnd"/>
      <w:r w:rsidR="00565C93">
        <w:rPr>
          <w:i/>
        </w:rPr>
        <w:t xml:space="preserve"> c. </w:t>
      </w:r>
      <w:r w:rsidRPr="00EB3D2F">
        <w:rPr>
          <w:i/>
        </w:rPr>
        <w:t>France</w:t>
      </w:r>
      <w:r w:rsidRPr="00EB3D2F">
        <w:t>, n</w:t>
      </w:r>
      <w:r w:rsidRPr="00565C93" w:rsidR="00565C93">
        <w:rPr>
          <w:vertAlign w:val="superscript"/>
        </w:rPr>
        <w:t>o</w:t>
      </w:r>
      <w:r w:rsidRPr="00565C93" w:rsidR="00565C93">
        <w:t> </w:t>
      </w:r>
      <w:r w:rsidRPr="00EB3D2F">
        <w:t xml:space="preserve">12697/03, </w:t>
      </w:r>
      <w:r w:rsidR="00565C93">
        <w:t>§ </w:t>
      </w:r>
      <w:r w:rsidRPr="00EB3D2F">
        <w:t>20, CEDH 2006</w:t>
      </w:r>
      <w:r w:rsidRPr="006F49EE" w:rsidR="00F61E11">
        <w:rPr>
          <w:lang w:val="it-IT"/>
        </w:rPr>
        <w:noBreakHyphen/>
      </w:r>
      <w:r w:rsidRPr="00EB3D2F">
        <w:t xml:space="preserve">XIII). La Cour a souligné </w:t>
      </w:r>
      <w:r w:rsidRPr="00EB3D2F" w:rsidR="00F847FF">
        <w:t xml:space="preserve">à </w:t>
      </w:r>
      <w:r w:rsidRPr="00EB3D2F">
        <w:t>de nombreuses reprises que l</w:t>
      </w:r>
      <w:r w:rsidR="00062221">
        <w:t>’</w:t>
      </w:r>
      <w:r w:rsidR="00565C93">
        <w:t>article </w:t>
      </w:r>
      <w:r w:rsidRPr="00EB3D2F">
        <w:t xml:space="preserve">10 </w:t>
      </w:r>
      <w:r w:rsidR="00565C93">
        <w:t>§ </w:t>
      </w:r>
      <w:r w:rsidRPr="00EB3D2F">
        <w:t xml:space="preserve">2 ne laisse </w:t>
      </w:r>
      <w:r w:rsidRPr="00EB3D2F" w:rsidR="00F303AD">
        <w:t>guère</w:t>
      </w:r>
      <w:r w:rsidRPr="00EB3D2F" w:rsidR="002438F0">
        <w:t xml:space="preserve"> </w:t>
      </w:r>
      <w:r w:rsidRPr="00EB3D2F">
        <w:t xml:space="preserve">de place pour des restrictions </w:t>
      </w:r>
      <w:r w:rsidRPr="00EB3D2F" w:rsidR="00F847FF">
        <w:t xml:space="preserve">à </w:t>
      </w:r>
      <w:r w:rsidRPr="00EB3D2F">
        <w:t>la liberté d</w:t>
      </w:r>
      <w:r w:rsidR="00062221">
        <w:t>’</w:t>
      </w:r>
      <w:r w:rsidRPr="00EB3D2F">
        <w:t>expression dans le domaine du discours politique ou de questions d</w:t>
      </w:r>
      <w:r w:rsidR="00062221">
        <w:t>’</w:t>
      </w:r>
      <w:r w:rsidRPr="00EB3D2F">
        <w:t>intérêt général (</w:t>
      </w:r>
      <w:proofErr w:type="spellStart"/>
      <w:r w:rsidRPr="00EB3D2F">
        <w:rPr>
          <w:i/>
        </w:rPr>
        <w:t>Perinçek</w:t>
      </w:r>
      <w:proofErr w:type="spellEnd"/>
      <w:r w:rsidRPr="00EB3D2F">
        <w:t xml:space="preserve">, précité, </w:t>
      </w:r>
      <w:r w:rsidR="00565C93">
        <w:t>§ </w:t>
      </w:r>
      <w:r w:rsidRPr="00EB3D2F">
        <w:t>197, ainsi que les références qui y figurent).</w:t>
      </w:r>
    </w:p>
    <w:p w:rsidRPr="00EB3D2F" w:rsidR="00C2408B" w:rsidP="00EB3D2F" w:rsidRDefault="00BF241B">
      <w:pPr>
        <w:pStyle w:val="JuPara"/>
      </w:pPr>
      <w:r w:rsidRPr="00EB3D2F">
        <w:fldChar w:fldCharType="begin"/>
      </w:r>
      <w:r w:rsidRPr="00EB3D2F">
        <w:instrText xml:space="preserve"> SEQ level0 \*arabic </w:instrText>
      </w:r>
      <w:r w:rsidRPr="00EB3D2F">
        <w:fldChar w:fldCharType="separate"/>
      </w:r>
      <w:r w:rsidRPr="00EB3D2F" w:rsidR="00EB3D2F">
        <w:rPr>
          <w:noProof/>
        </w:rPr>
        <w:t>79</w:t>
      </w:r>
      <w:r w:rsidRPr="00EB3D2F">
        <w:fldChar w:fldCharType="end"/>
      </w:r>
      <w:r w:rsidRPr="00EB3D2F">
        <w:t>.  </w:t>
      </w:r>
      <w:r w:rsidRPr="00EB3D2F" w:rsidR="00E851AB">
        <w:t>Comme la Cour l</w:t>
      </w:r>
      <w:r w:rsidR="00062221">
        <w:t>’</w:t>
      </w:r>
      <w:r w:rsidRPr="00EB3D2F" w:rsidR="00E851AB">
        <w:t>a rappelé dans l</w:t>
      </w:r>
      <w:r w:rsidR="00062221">
        <w:t>’</w:t>
      </w:r>
      <w:r w:rsidRPr="00EB3D2F" w:rsidR="00E851AB">
        <w:t xml:space="preserve">arrêt </w:t>
      </w:r>
      <w:proofErr w:type="spellStart"/>
      <w:r w:rsidRPr="00EB3D2F" w:rsidR="00E851AB">
        <w:rPr>
          <w:i/>
        </w:rPr>
        <w:t>Perinçek</w:t>
      </w:r>
      <w:proofErr w:type="spellEnd"/>
      <w:r w:rsidRPr="00EB3D2F" w:rsidR="00E851AB">
        <w:t xml:space="preserve"> (précité, </w:t>
      </w:r>
      <w:r w:rsidR="00565C93">
        <w:t>§ </w:t>
      </w:r>
      <w:r w:rsidRPr="00EB3D2F" w:rsidR="00E851AB">
        <w:t>231), par nature, le discours politique est source de polémiques et est souvent virulent. Il n</w:t>
      </w:r>
      <w:r w:rsidR="00062221">
        <w:t>’</w:t>
      </w:r>
      <w:r w:rsidRPr="00EB3D2F" w:rsidR="00E851AB">
        <w:t>en demeure pas moins d</w:t>
      </w:r>
      <w:r w:rsidR="00062221">
        <w:t>’</w:t>
      </w:r>
      <w:r w:rsidRPr="00EB3D2F" w:rsidR="00E851AB">
        <w:t>intérêt public, sauf s</w:t>
      </w:r>
      <w:r w:rsidR="00062221">
        <w:t>’</w:t>
      </w:r>
      <w:r w:rsidRPr="00EB3D2F" w:rsidR="00E851AB">
        <w:t xml:space="preserve">il dégénère en un appel </w:t>
      </w:r>
      <w:r w:rsidRPr="00EB3D2F" w:rsidR="00F847FF">
        <w:t xml:space="preserve">à </w:t>
      </w:r>
      <w:r w:rsidRPr="00EB3D2F" w:rsidR="00E851AB">
        <w:t xml:space="preserve">la violence, </w:t>
      </w:r>
      <w:r w:rsidRPr="00EB3D2F" w:rsidR="00F847FF">
        <w:t xml:space="preserve">à </w:t>
      </w:r>
      <w:r w:rsidRPr="00EB3D2F" w:rsidR="00E851AB">
        <w:t xml:space="preserve">la haine ou </w:t>
      </w:r>
      <w:r w:rsidRPr="00EB3D2F" w:rsidR="00F847FF">
        <w:t xml:space="preserve">à </w:t>
      </w:r>
      <w:r w:rsidRPr="00EB3D2F" w:rsidR="00E851AB">
        <w:t>l</w:t>
      </w:r>
      <w:r w:rsidR="00062221">
        <w:t>’</w:t>
      </w:r>
      <w:r w:rsidRPr="00EB3D2F" w:rsidR="00E851AB">
        <w:t>intolérance. L</w:t>
      </w:r>
      <w:r w:rsidRPr="00EB3D2F" w:rsidR="00F847FF">
        <w:t xml:space="preserve">à </w:t>
      </w:r>
      <w:r w:rsidRPr="00EB3D2F" w:rsidR="00E851AB">
        <w:t xml:space="preserve">se trouve la limite </w:t>
      </w:r>
      <w:r w:rsidRPr="00EB3D2F" w:rsidR="00F847FF">
        <w:t xml:space="preserve">à </w:t>
      </w:r>
      <w:r w:rsidRPr="00EB3D2F" w:rsidR="00E851AB">
        <w:t>ne pas dépasser</w:t>
      </w:r>
      <w:r w:rsidRPr="00EB3D2F" w:rsidR="005A09F0">
        <w:t>.</w:t>
      </w:r>
      <w:r w:rsidRPr="00EB3D2F" w:rsidR="00C81288">
        <w:t xml:space="preserve"> Tel est aussi</w:t>
      </w:r>
      <w:r w:rsidRPr="00EB3D2F" w:rsidR="007E58AD">
        <w:t>, s</w:t>
      </w:r>
      <w:r w:rsidR="00062221">
        <w:t>’</w:t>
      </w:r>
      <w:r w:rsidRPr="00EB3D2F" w:rsidR="007E58AD">
        <w:t>agissant de l</w:t>
      </w:r>
      <w:r w:rsidR="00062221">
        <w:t>’</w:t>
      </w:r>
      <w:r w:rsidRPr="00EB3D2F" w:rsidR="007E58AD">
        <w:t xml:space="preserve">appel au boycott, </w:t>
      </w:r>
      <w:r w:rsidRPr="00EB3D2F" w:rsidR="00C81288">
        <w:t>ce qu</w:t>
      </w:r>
      <w:r w:rsidR="00062221">
        <w:t>’</w:t>
      </w:r>
      <w:r w:rsidRPr="00EB3D2F" w:rsidR="00095AFE">
        <w:t>a</w:t>
      </w:r>
      <w:r w:rsidRPr="00EB3D2F" w:rsidR="00C81288">
        <w:t xml:space="preserve"> souligné</w:t>
      </w:r>
      <w:r w:rsidRPr="00EB3D2F" w:rsidR="005514FF">
        <w:t xml:space="preserve"> </w:t>
      </w:r>
      <w:r w:rsidRPr="00EB3D2F" w:rsidR="00C81288">
        <w:t>le rapporteur spécial sur la liberté de religion ou de conviction dans son rapport d</w:t>
      </w:r>
      <w:r w:rsidR="00062221">
        <w:t>’</w:t>
      </w:r>
      <w:r w:rsidRPr="00EB3D2F" w:rsidR="00C81288">
        <w:t>activité aux membres de l</w:t>
      </w:r>
      <w:r w:rsidR="00062221">
        <w:t>’</w:t>
      </w:r>
      <w:r w:rsidRPr="00EB3D2F" w:rsidR="00C81288">
        <w:t>Assemblée générale des Nations unies</w:t>
      </w:r>
      <w:r w:rsidR="000200DF">
        <w:t>,</w:t>
      </w:r>
      <w:r w:rsidRPr="00EB3D2F" w:rsidR="005514FF">
        <w:t xml:space="preserve"> </w:t>
      </w:r>
      <w:r w:rsidR="000200DF">
        <w:t xml:space="preserve">du </w:t>
      </w:r>
      <w:r w:rsidRPr="00EB3D2F" w:rsidR="000200DF">
        <w:t>20</w:t>
      </w:r>
      <w:r w:rsidR="000200DF">
        <w:t> septembre</w:t>
      </w:r>
      <w:r w:rsidRPr="00EB3D2F" w:rsidR="000200DF">
        <w:t xml:space="preserve"> </w:t>
      </w:r>
      <w:r w:rsidRPr="00EB3D2F" w:rsidR="00A8620F">
        <w:t xml:space="preserve">2019 </w:t>
      </w:r>
      <w:r w:rsidRPr="00EB3D2F" w:rsidR="005514FF">
        <w:t>(</w:t>
      </w:r>
      <w:r w:rsidR="00565C93">
        <w:t>paragraphe </w:t>
      </w:r>
      <w:r w:rsidRPr="00EB3D2F" w:rsidR="004D73B9">
        <w:t>21</w:t>
      </w:r>
      <w:r w:rsidRPr="00EB3D2F" w:rsidR="005514FF">
        <w:t xml:space="preserve"> ci-dessus)</w:t>
      </w:r>
      <w:r w:rsidRPr="00EB3D2F" w:rsidR="00FE3B75">
        <w:t>,</w:t>
      </w:r>
      <w:r w:rsidRPr="00EB3D2F" w:rsidR="005514FF">
        <w:t xml:space="preserve"> ainsi que la </w:t>
      </w:r>
      <w:r w:rsidR="00F73EAA">
        <w:t>F</w:t>
      </w:r>
      <w:r w:rsidRPr="00EB3D2F" w:rsidR="005514FF">
        <w:t>édération internationale des ligues des droits de l</w:t>
      </w:r>
      <w:r w:rsidR="00062221">
        <w:t>’</w:t>
      </w:r>
      <w:r w:rsidRPr="00EB3D2F" w:rsidR="005514FF">
        <w:t xml:space="preserve">homme et la </w:t>
      </w:r>
      <w:r w:rsidR="00F73EAA">
        <w:t>L</w:t>
      </w:r>
      <w:r w:rsidRPr="00EB3D2F" w:rsidR="005514FF">
        <w:t>igue des droits de l</w:t>
      </w:r>
      <w:r w:rsidR="00062221">
        <w:t>’</w:t>
      </w:r>
      <w:r w:rsidRPr="00EB3D2F" w:rsidR="005514FF">
        <w:t>homme dans leurs observations en intervention (</w:t>
      </w:r>
      <w:r w:rsidR="00565C93">
        <w:t>paragraphe </w:t>
      </w:r>
      <w:r w:rsidRPr="00EB3D2F" w:rsidR="005514FF">
        <w:t>5</w:t>
      </w:r>
      <w:r w:rsidRPr="00EB3D2F" w:rsidR="004A026A">
        <w:t>5</w:t>
      </w:r>
      <w:r w:rsidRPr="00EB3D2F" w:rsidR="005514FF">
        <w:t xml:space="preserve"> ci-dessus).</w:t>
      </w:r>
    </w:p>
    <w:p w:rsidRPr="00EB3D2F" w:rsidR="008B0E9A" w:rsidP="00EB3D2F" w:rsidRDefault="00953EF9">
      <w:pPr>
        <w:pStyle w:val="JuPara"/>
      </w:pPr>
      <w:r w:rsidRPr="00EB3D2F">
        <w:fldChar w:fldCharType="begin"/>
      </w:r>
      <w:r w:rsidRPr="00EB3D2F">
        <w:instrText xml:space="preserve"> SEQ level0 \*arabic </w:instrText>
      </w:r>
      <w:r w:rsidRPr="00EB3D2F">
        <w:fldChar w:fldCharType="separate"/>
      </w:r>
      <w:r w:rsidRPr="00EB3D2F" w:rsidR="00EB3D2F">
        <w:rPr>
          <w:noProof/>
        </w:rPr>
        <w:t>80</w:t>
      </w:r>
      <w:r w:rsidRPr="00EB3D2F">
        <w:fldChar w:fldCharType="end"/>
      </w:r>
      <w:r w:rsidRPr="00EB3D2F">
        <w:t>.  </w:t>
      </w:r>
      <w:r w:rsidRPr="00EB3D2F" w:rsidR="004C05E1">
        <w:t xml:space="preserve">La Cour </w:t>
      </w:r>
      <w:r w:rsidRPr="00EB3D2F" w:rsidR="00AE3E21">
        <w:t xml:space="preserve">en déduit </w:t>
      </w:r>
      <w:r w:rsidRPr="00EB3D2F" w:rsidR="00363170">
        <w:t xml:space="preserve">que la condamnation des requérants </w:t>
      </w:r>
      <w:r w:rsidRPr="00EB3D2F" w:rsidR="00AE3E21">
        <w:t xml:space="preserve">ne </w:t>
      </w:r>
      <w:r w:rsidRPr="00EB3D2F" w:rsidR="00363170">
        <w:t xml:space="preserve">repose </w:t>
      </w:r>
      <w:r w:rsidRPr="00EB3D2F" w:rsidR="00AE3E21">
        <w:t xml:space="preserve">pas </w:t>
      </w:r>
      <w:r w:rsidRPr="00EB3D2F" w:rsidR="00363170">
        <w:t>sur des motifs pertinent</w:t>
      </w:r>
      <w:r w:rsidRPr="00EB3D2F" w:rsidR="00AE3E21">
        <w:t>s</w:t>
      </w:r>
      <w:r w:rsidRPr="00EB3D2F" w:rsidR="00363170">
        <w:t xml:space="preserve"> et suffisant</w:t>
      </w:r>
      <w:r w:rsidRPr="00EB3D2F" w:rsidR="00AE3E21">
        <w:t>s. Elle n</w:t>
      </w:r>
      <w:r w:rsidR="00062221">
        <w:t>’</w:t>
      </w:r>
      <w:r w:rsidRPr="00EB3D2F" w:rsidR="00AE3E21">
        <w:t xml:space="preserve">est pas convaincue que </w:t>
      </w:r>
      <w:r w:rsidRPr="00EB3D2F" w:rsidR="00151198">
        <w:t>le</w:t>
      </w:r>
      <w:r w:rsidRPr="00EB3D2F" w:rsidR="003C69AF">
        <w:t xml:space="preserve"> juge interne a</w:t>
      </w:r>
      <w:r w:rsidRPr="00EB3D2F" w:rsidR="00B53B39">
        <w:t>it</w:t>
      </w:r>
      <w:r w:rsidRPr="00EB3D2F" w:rsidR="004C05E1">
        <w:t xml:space="preserve"> appliqué des règles conformes aux principes consacrés </w:t>
      </w:r>
      <w:r w:rsidRPr="00EB3D2F" w:rsidR="00F847FF">
        <w:t xml:space="preserve">à </w:t>
      </w:r>
      <w:r w:rsidRPr="00EB3D2F" w:rsidR="004C05E1">
        <w:t>l</w:t>
      </w:r>
      <w:r w:rsidR="00062221">
        <w:t>’</w:t>
      </w:r>
      <w:r w:rsidR="00565C93">
        <w:t>article </w:t>
      </w:r>
      <w:r w:rsidRPr="00EB3D2F" w:rsidR="004C05E1">
        <w:t>10</w:t>
      </w:r>
      <w:r w:rsidRPr="00EB3D2F" w:rsidR="00CD42E4">
        <w:t xml:space="preserve"> et</w:t>
      </w:r>
      <w:r w:rsidRPr="00EB3D2F" w:rsidR="00EE43BC">
        <w:t xml:space="preserve"> </w:t>
      </w:r>
      <w:r w:rsidRPr="00EB3D2F" w:rsidR="00B53B39">
        <w:t>se soit</w:t>
      </w:r>
      <w:r w:rsidRPr="00EB3D2F" w:rsidR="004C05E1">
        <w:t xml:space="preserve"> fondé sur une appréciation acceptable des faits</w:t>
      </w:r>
      <w:r w:rsidRPr="00EB3D2F" w:rsidR="00EE43BC">
        <w:t>.</w:t>
      </w:r>
    </w:p>
    <w:p w:rsidRPr="00EB3D2F" w:rsidR="006E2E96" w:rsidP="00EB3D2F" w:rsidRDefault="00EE4B1C">
      <w:pPr>
        <w:pStyle w:val="JuPara"/>
        <w:rPr>
          <w:rFonts w:asciiTheme="majorHAnsi" w:hAnsiTheme="majorHAnsi" w:eastAsiaTheme="majorEastAsia" w:cstheme="majorBidi"/>
          <w:bCs/>
          <w:szCs w:val="28"/>
        </w:rPr>
      </w:pPr>
      <w:r w:rsidRPr="00EB3D2F">
        <w:fldChar w:fldCharType="begin"/>
      </w:r>
      <w:r w:rsidRPr="00EB3D2F">
        <w:instrText xml:space="preserve"> SEQ level0 \*arabic </w:instrText>
      </w:r>
      <w:r w:rsidRPr="00EB3D2F">
        <w:fldChar w:fldCharType="separate"/>
      </w:r>
      <w:r w:rsidRPr="00EB3D2F" w:rsidR="00EB3D2F">
        <w:rPr>
          <w:noProof/>
        </w:rPr>
        <w:t>81</w:t>
      </w:r>
      <w:r w:rsidRPr="00EB3D2F">
        <w:fldChar w:fldCharType="end"/>
      </w:r>
      <w:r w:rsidRPr="00EB3D2F">
        <w:t>.  Partant, il y a eu violation de l</w:t>
      </w:r>
      <w:r w:rsidR="00062221">
        <w:t>’</w:t>
      </w:r>
      <w:r w:rsidR="00565C93">
        <w:t>article </w:t>
      </w:r>
      <w:r w:rsidRPr="00EB3D2F">
        <w:t>10 de la Convention.</w:t>
      </w:r>
    </w:p>
    <w:p w:rsidRPr="00EB3D2F" w:rsidR="00E77CB3" w:rsidP="00EB3D2F" w:rsidRDefault="00E77CB3">
      <w:pPr>
        <w:pStyle w:val="JuHIRoman"/>
        <w:rPr>
          <w:lang w:val="fr-FR"/>
        </w:rPr>
      </w:pPr>
      <w:r w:rsidRPr="00EB3D2F">
        <w:rPr>
          <w:lang w:val="fr-FR"/>
        </w:rPr>
        <w:t>SUR L</w:t>
      </w:r>
      <w:r w:rsidR="00062221">
        <w:rPr>
          <w:lang w:val="fr-FR"/>
        </w:rPr>
        <w:t>’</w:t>
      </w:r>
      <w:r w:rsidRPr="00EB3D2F">
        <w:rPr>
          <w:lang w:val="fr-FR"/>
        </w:rPr>
        <w:t>APPLICATION DE L</w:t>
      </w:r>
      <w:r w:rsidR="00062221">
        <w:rPr>
          <w:lang w:val="fr-FR"/>
        </w:rPr>
        <w:t>’</w:t>
      </w:r>
      <w:r w:rsidRPr="00EB3D2F">
        <w:rPr>
          <w:lang w:val="fr-FR"/>
        </w:rPr>
        <w:t>ARTICLE 41 DE LA CONVENTION</w:t>
      </w:r>
    </w:p>
    <w:p w:rsidRPr="00EB3D2F" w:rsidR="00E77CB3"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82</w:t>
      </w:r>
      <w:r w:rsidRPr="00EB3D2F">
        <w:fldChar w:fldCharType="end"/>
      </w:r>
      <w:r w:rsidRPr="00EB3D2F" w:rsidR="00E77CB3">
        <w:t>.  Aux termes de l</w:t>
      </w:r>
      <w:r w:rsidR="00062221">
        <w:t>’</w:t>
      </w:r>
      <w:r w:rsidR="00565C93">
        <w:t>article </w:t>
      </w:r>
      <w:r w:rsidRPr="00EB3D2F" w:rsidR="00E77CB3">
        <w:t>41 de la Convention,</w:t>
      </w:r>
    </w:p>
    <w:p w:rsidRPr="00EB3D2F" w:rsidR="00E77CB3" w:rsidP="00EB3D2F" w:rsidRDefault="006A4DF1">
      <w:pPr>
        <w:pStyle w:val="JuQuot"/>
        <w:keepNext/>
        <w:keepLines/>
      </w:pPr>
      <w:r>
        <w:t>« </w:t>
      </w:r>
      <w:r w:rsidRPr="00EB3D2F" w:rsidR="00E77CB3">
        <w:t>Si la Cour déclare qu</w:t>
      </w:r>
      <w:r w:rsidR="00062221">
        <w:t>’</w:t>
      </w:r>
      <w:r w:rsidRPr="00EB3D2F" w:rsidR="00E77CB3">
        <w:t>il y a eu violation de la Convention ou de ses Protocoles, et si le droit interne de la Haute Partie contractante ne permet d</w:t>
      </w:r>
      <w:r w:rsidR="00062221">
        <w:t>’</w:t>
      </w:r>
      <w:r w:rsidRPr="00EB3D2F" w:rsidR="00E77CB3">
        <w:t>effacer qu</w:t>
      </w:r>
      <w:r w:rsidR="00062221">
        <w:t>’</w:t>
      </w:r>
      <w:r w:rsidRPr="00EB3D2F" w:rsidR="00E77CB3">
        <w:t xml:space="preserve">imparfaitement les conséquences de cette violation, la Cour accorde </w:t>
      </w:r>
      <w:r w:rsidRPr="00EB3D2F" w:rsidR="00F847FF">
        <w:t xml:space="preserve">à </w:t>
      </w:r>
      <w:r w:rsidRPr="00EB3D2F" w:rsidR="00E77CB3">
        <w:t>la partie lésée, s</w:t>
      </w:r>
      <w:r w:rsidR="00062221">
        <w:t>’</w:t>
      </w:r>
      <w:r w:rsidRPr="00EB3D2F" w:rsidR="00E77CB3">
        <w:t>il y a lieu, une satisfaction équitable.</w:t>
      </w:r>
      <w:r>
        <w:t> »</w:t>
      </w:r>
    </w:p>
    <w:p w:rsidRPr="00EB3D2F" w:rsidR="00E77CB3" w:rsidP="00EB3D2F" w:rsidRDefault="00E77CB3">
      <w:pPr>
        <w:pStyle w:val="JuHA"/>
        <w:rPr>
          <w:lang w:val="fr-FR"/>
        </w:rPr>
      </w:pPr>
      <w:r w:rsidRPr="00EB3D2F">
        <w:rPr>
          <w:lang w:val="fr-FR"/>
        </w:rPr>
        <w:t>Dommage</w:t>
      </w:r>
    </w:p>
    <w:p w:rsidRPr="00EB3D2F" w:rsidR="00340372"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83</w:t>
      </w:r>
      <w:r w:rsidRPr="00EB3D2F">
        <w:fldChar w:fldCharType="end"/>
      </w:r>
      <w:r w:rsidRPr="00EB3D2F" w:rsidR="00E77CB3">
        <w:t>.  </w:t>
      </w:r>
      <w:r w:rsidRPr="00EB3D2F" w:rsidR="0075781C">
        <w:t xml:space="preserve">Au titre du dommage matériel, les requérants demandent le remboursement des </w:t>
      </w:r>
      <w:r w:rsidRPr="00EB3D2F" w:rsidR="00AC779C">
        <w:t>droits de procédure dont ils ont dû s</w:t>
      </w:r>
      <w:r w:rsidR="00062221">
        <w:t>’</w:t>
      </w:r>
      <w:r w:rsidRPr="00EB3D2F" w:rsidR="00AC779C">
        <w:t>acquitter en application de l</w:t>
      </w:r>
      <w:r w:rsidR="00062221">
        <w:t>’</w:t>
      </w:r>
      <w:r w:rsidR="00565C93">
        <w:t>article </w:t>
      </w:r>
      <w:r w:rsidRPr="00EB3D2F" w:rsidR="00AC779C">
        <w:t>1018</w:t>
      </w:r>
      <w:r w:rsidR="00C228D8">
        <w:t> </w:t>
      </w:r>
      <w:r w:rsidRPr="00EB3D2F" w:rsidR="00AC779C">
        <w:t xml:space="preserve">A du code général des impôts (ils produisent chacun un avis de payement avant poursuite émanant du ministère des </w:t>
      </w:r>
      <w:r w:rsidR="00C228D8">
        <w:t>F</w:t>
      </w:r>
      <w:r w:rsidRPr="00EB3D2F" w:rsidR="00AC779C">
        <w:t xml:space="preserve">inances et des </w:t>
      </w:r>
      <w:r w:rsidR="00C228D8">
        <w:t>C</w:t>
      </w:r>
      <w:r w:rsidRPr="00EB3D2F" w:rsidR="00AC779C">
        <w:t>omptes publics, daté de</w:t>
      </w:r>
      <w:r w:rsidR="00B20523">
        <w:t xml:space="preserve"> </w:t>
      </w:r>
      <w:r w:rsidR="00565C93">
        <w:t xml:space="preserve">mars </w:t>
      </w:r>
      <w:r w:rsidRPr="00EB3D2F" w:rsidR="00AC779C">
        <w:t>2016 et portant sur un montant de 380</w:t>
      </w:r>
      <w:r w:rsidR="00897AEC">
        <w:t> </w:t>
      </w:r>
      <w:r w:rsidRPr="00EB3D2F" w:rsidR="007E3A29">
        <w:t>euros (</w:t>
      </w:r>
      <w:r w:rsidRPr="00EB3D2F" w:rsidR="00AC779C">
        <w:t>EUR</w:t>
      </w:r>
      <w:r w:rsidRPr="00EB3D2F" w:rsidR="007E3A29">
        <w:t>)</w:t>
      </w:r>
      <w:r w:rsidRPr="00EB3D2F" w:rsidR="00AC779C">
        <w:t xml:space="preserve">) ainsi que </w:t>
      </w:r>
      <w:r w:rsidRPr="00EB3D2F" w:rsidR="0055548C">
        <w:t xml:space="preserve">des </w:t>
      </w:r>
      <w:r w:rsidRPr="00EB3D2F" w:rsidR="0075781C">
        <w:t xml:space="preserve">dommages et intérêts auxquels ils ont été condamnés. </w:t>
      </w:r>
      <w:r w:rsidRPr="00EB3D2F" w:rsidR="00AC779C">
        <w:t>Ils indiquent que c</w:t>
      </w:r>
      <w:r w:rsidRPr="00EB3D2F" w:rsidR="0075781C">
        <w:t>ela correspond aux montants suivants</w:t>
      </w:r>
      <w:r w:rsidR="006A4DF1">
        <w:t> :</w:t>
      </w:r>
      <w:r w:rsidRPr="00EB3D2F" w:rsidR="0075781C">
        <w:t xml:space="preserve"> 1713</w:t>
      </w:r>
      <w:r w:rsidR="00C84F83">
        <w:t> EUR</w:t>
      </w:r>
      <w:r w:rsidRPr="00EB3D2F" w:rsidR="0075781C">
        <w:t xml:space="preserve"> pour M</w:t>
      </w:r>
      <w:r w:rsidRPr="00EB3D2F" w:rsidR="0075781C">
        <w:rPr>
          <w:vertAlign w:val="superscript"/>
        </w:rPr>
        <w:t>mes</w:t>
      </w:r>
      <w:r w:rsidRPr="00EB3D2F" w:rsidR="0075781C">
        <w:t xml:space="preserve"> </w:t>
      </w:r>
      <w:r w:rsidR="003E35E6">
        <w:t>L. </w:t>
      </w:r>
      <w:proofErr w:type="spellStart"/>
      <w:r w:rsidRPr="00EB3D2F" w:rsidR="0075781C">
        <w:t>Assakali</w:t>
      </w:r>
      <w:proofErr w:type="spellEnd"/>
      <w:r w:rsidRPr="00EB3D2F" w:rsidR="0075781C">
        <w:t xml:space="preserve">, </w:t>
      </w:r>
      <w:r w:rsidR="003E35E6">
        <w:t>H. </w:t>
      </w:r>
      <w:r w:rsidRPr="00EB3D2F" w:rsidR="0075781C">
        <w:t xml:space="preserve">El </w:t>
      </w:r>
      <w:proofErr w:type="spellStart"/>
      <w:r w:rsidRPr="00EB3D2F" w:rsidR="0075781C">
        <w:t>Jar</w:t>
      </w:r>
      <w:r w:rsidRPr="00EB3D2F" w:rsidR="00644FA1">
        <w:t>r</w:t>
      </w:r>
      <w:r w:rsidRPr="00EB3D2F" w:rsidR="007E3A29">
        <w:t>oudi</w:t>
      </w:r>
      <w:proofErr w:type="spellEnd"/>
      <w:r w:rsidRPr="00EB3D2F" w:rsidR="007E3A29">
        <w:t xml:space="preserve"> et </w:t>
      </w:r>
      <w:r w:rsidR="003E35E6">
        <w:t>S. </w:t>
      </w:r>
      <w:r w:rsidRPr="00EB3D2F" w:rsidR="007E3A29">
        <w:t>Mure, et M</w:t>
      </w:r>
      <w:r w:rsidR="00A54A38">
        <w:t>M. </w:t>
      </w:r>
      <w:r w:rsidR="003E35E6">
        <w:t>Y. </w:t>
      </w:r>
      <w:proofErr w:type="spellStart"/>
      <w:r w:rsidRPr="00EB3D2F" w:rsidR="0075781C">
        <w:t>Assakali</w:t>
      </w:r>
      <w:proofErr w:type="spellEnd"/>
      <w:r w:rsidRPr="00EB3D2F" w:rsidR="0075781C">
        <w:t xml:space="preserve">, </w:t>
      </w:r>
      <w:r w:rsidR="003E35E6">
        <w:t>J.-M. </w:t>
      </w:r>
      <w:r w:rsidRPr="00EB3D2F" w:rsidR="0075781C">
        <w:t xml:space="preserve">Baldassi et </w:t>
      </w:r>
      <w:r w:rsidR="003E35E6">
        <w:t>M. </w:t>
      </w:r>
      <w:r w:rsidRPr="00EB3D2F" w:rsidR="0075781C">
        <w:t>Roll, chacun</w:t>
      </w:r>
      <w:r w:rsidR="006A4DF1">
        <w:t> ;</w:t>
      </w:r>
      <w:r w:rsidRPr="00EB3D2F" w:rsidR="0075781C">
        <w:t xml:space="preserve"> 3</w:t>
      </w:r>
      <w:r w:rsidR="003E35E6">
        <w:t> </w:t>
      </w:r>
      <w:r w:rsidRPr="00EB3D2F" w:rsidR="0075781C">
        <w:t>580</w:t>
      </w:r>
      <w:r w:rsidR="00C84F83">
        <w:t> EUR</w:t>
      </w:r>
      <w:r w:rsidRPr="00EB3D2F" w:rsidR="0075781C">
        <w:t xml:space="preserve"> pour M</w:t>
      </w:r>
      <w:r w:rsidRPr="00EB3D2F" w:rsidR="0075781C">
        <w:rPr>
          <w:vertAlign w:val="superscript"/>
        </w:rPr>
        <w:t>me</w:t>
      </w:r>
      <w:r w:rsidR="003E35E6">
        <w:t> A. </w:t>
      </w:r>
      <w:r w:rsidRPr="00EB3D2F" w:rsidR="0075781C">
        <w:t>Parmentier et M</w:t>
      </w:r>
      <w:r w:rsidR="00A54A38">
        <w:t>M. </w:t>
      </w:r>
      <w:r w:rsidR="003E35E6">
        <w:t>J. </w:t>
      </w:r>
      <w:proofErr w:type="spellStart"/>
      <w:r w:rsidRPr="00EB3D2F" w:rsidR="0075781C">
        <w:t>Ballouey</w:t>
      </w:r>
      <w:proofErr w:type="spellEnd"/>
      <w:r w:rsidRPr="00EB3D2F" w:rsidR="0075781C">
        <w:t xml:space="preserve"> et </w:t>
      </w:r>
      <w:r w:rsidR="00115865">
        <w:t>H. </w:t>
      </w:r>
      <w:proofErr w:type="spellStart"/>
      <w:r w:rsidRPr="00EB3D2F" w:rsidR="0075781C">
        <w:t>Eich</w:t>
      </w:r>
      <w:r w:rsidR="003E35E6">
        <w:t>h</w:t>
      </w:r>
      <w:r w:rsidRPr="00EB3D2F" w:rsidR="0075781C">
        <w:t>oltzer</w:t>
      </w:r>
      <w:proofErr w:type="spellEnd"/>
      <w:r w:rsidRPr="00EB3D2F" w:rsidR="0075781C">
        <w:t>, chacun</w:t>
      </w:r>
      <w:r w:rsidR="006A4DF1">
        <w:t> ;</w:t>
      </w:r>
      <w:r w:rsidRPr="00EB3D2F" w:rsidR="0075781C">
        <w:t xml:space="preserve"> 5</w:t>
      </w:r>
      <w:r w:rsidR="00115865">
        <w:t> </w:t>
      </w:r>
      <w:r w:rsidRPr="00EB3D2F" w:rsidR="0075781C">
        <w:t>293</w:t>
      </w:r>
      <w:r w:rsidR="00C84F83">
        <w:t> EUR</w:t>
      </w:r>
      <w:r w:rsidRPr="00EB3D2F" w:rsidR="0075781C">
        <w:t xml:space="preserve"> pour M</w:t>
      </w:r>
      <w:r w:rsidRPr="00EB3D2F" w:rsidR="0075781C">
        <w:rPr>
          <w:vertAlign w:val="superscript"/>
        </w:rPr>
        <w:t>me</w:t>
      </w:r>
      <w:r w:rsidR="00115865">
        <w:t> </w:t>
      </w:r>
      <w:r w:rsidR="004E7792">
        <w:t>F. </w:t>
      </w:r>
      <w:proofErr w:type="spellStart"/>
      <w:r w:rsidRPr="00EB3D2F" w:rsidR="000249C7">
        <w:t>Sarr</w:t>
      </w:r>
      <w:proofErr w:type="spellEnd"/>
      <w:r w:rsidRPr="00EB3D2F" w:rsidR="000249C7">
        <w:t>-Trichine</w:t>
      </w:r>
      <w:r w:rsidRPr="00EB3D2F" w:rsidR="0075781C">
        <w:t xml:space="preserve"> et </w:t>
      </w:r>
      <w:r w:rsidR="00A54A38">
        <w:t>M. </w:t>
      </w:r>
      <w:r w:rsidR="004E7792">
        <w:t>N. </w:t>
      </w:r>
      <w:r w:rsidRPr="00EB3D2F" w:rsidR="0075781C">
        <w:t>Akbar, chacun.</w:t>
      </w:r>
      <w:r w:rsidRPr="00EB3D2F" w:rsidR="00CC00DA">
        <w:t xml:space="preserve"> Ils demandent en outre 15 000</w:t>
      </w:r>
      <w:r w:rsidR="00C84F83">
        <w:t> EUR</w:t>
      </w:r>
      <w:r w:rsidRPr="00EB3D2F" w:rsidR="00CC00DA">
        <w:t xml:space="preserve"> chacun au titre </w:t>
      </w:r>
      <w:r w:rsidRPr="00EB3D2F" w:rsidR="0055548C">
        <w:t>de leur</w:t>
      </w:r>
      <w:r w:rsidRPr="00EB3D2F" w:rsidR="00CC00DA">
        <w:t xml:space="preserve"> préjudice moral.</w:t>
      </w:r>
    </w:p>
    <w:p w:rsidRPr="00EB3D2F" w:rsidR="00A34B62"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84</w:t>
      </w:r>
      <w:r w:rsidRPr="00EB3D2F">
        <w:fldChar w:fldCharType="end"/>
      </w:r>
      <w:r w:rsidRPr="00EB3D2F" w:rsidR="00E77CB3">
        <w:t>.  </w:t>
      </w:r>
      <w:r w:rsidRPr="00EB3D2F" w:rsidR="0022665C">
        <w:t>S</w:t>
      </w:r>
      <w:r w:rsidR="00062221">
        <w:t>’</w:t>
      </w:r>
      <w:r w:rsidRPr="00EB3D2F" w:rsidR="0022665C">
        <w:t>agissant du dommage matériel, l</w:t>
      </w:r>
      <w:r w:rsidRPr="00EB3D2F" w:rsidR="00E77CB3">
        <w:t xml:space="preserve">e Gouvernement </w:t>
      </w:r>
      <w:r w:rsidRPr="00EB3D2F" w:rsidR="00A400F0">
        <w:t xml:space="preserve">constate que les requérants </w:t>
      </w:r>
      <w:r w:rsidR="00210A8D">
        <w:t>N. </w:t>
      </w:r>
      <w:r w:rsidRPr="00EB3D2F" w:rsidR="00A400F0">
        <w:t xml:space="preserve">Akbar, </w:t>
      </w:r>
      <w:r w:rsidR="00210A8D">
        <w:t>J. </w:t>
      </w:r>
      <w:proofErr w:type="spellStart"/>
      <w:r w:rsidRPr="00EB3D2F" w:rsidR="00A400F0">
        <w:t>Ballou</w:t>
      </w:r>
      <w:r w:rsidR="003F42C3">
        <w:t>e</w:t>
      </w:r>
      <w:r w:rsidRPr="00EB3D2F" w:rsidR="00A400F0">
        <w:t>y</w:t>
      </w:r>
      <w:proofErr w:type="spellEnd"/>
      <w:r w:rsidRPr="00EB3D2F" w:rsidR="00A400F0">
        <w:t xml:space="preserve">, </w:t>
      </w:r>
      <w:r w:rsidR="00210A8D">
        <w:t>H. </w:t>
      </w:r>
      <w:proofErr w:type="spellStart"/>
      <w:r w:rsidRPr="00EB3D2F" w:rsidR="00A400F0">
        <w:t>Eich</w:t>
      </w:r>
      <w:r w:rsidR="003E35E6">
        <w:t>h</w:t>
      </w:r>
      <w:r w:rsidRPr="00EB3D2F" w:rsidR="00A400F0">
        <w:t>oltzer</w:t>
      </w:r>
      <w:proofErr w:type="spellEnd"/>
      <w:r w:rsidRPr="00EB3D2F" w:rsidR="00A400F0">
        <w:t xml:space="preserve">, </w:t>
      </w:r>
      <w:r w:rsidR="00210A8D">
        <w:t>A. </w:t>
      </w:r>
      <w:r w:rsidRPr="00EB3D2F" w:rsidR="00A400F0">
        <w:t xml:space="preserve">Parmentier et </w:t>
      </w:r>
      <w:r w:rsidR="00210A8D">
        <w:t>F. </w:t>
      </w:r>
      <w:proofErr w:type="spellStart"/>
      <w:r w:rsidRPr="00EB3D2F" w:rsidR="000249C7">
        <w:t>Sarr</w:t>
      </w:r>
      <w:proofErr w:type="spellEnd"/>
      <w:r w:rsidRPr="00EB3D2F" w:rsidR="000249C7">
        <w:t>-Trichine</w:t>
      </w:r>
      <w:r w:rsidRPr="00EB3D2F" w:rsidR="00A400F0">
        <w:t xml:space="preserve"> ont été condamnés</w:t>
      </w:r>
      <w:r w:rsidR="0080141A">
        <w:t>,</w:t>
      </w:r>
      <w:r w:rsidRPr="00EB3D2F" w:rsidR="00A400F0">
        <w:t xml:space="preserve"> pour les faits du 26</w:t>
      </w:r>
      <w:r w:rsidR="00565C93">
        <w:t> septembre</w:t>
      </w:r>
      <w:r w:rsidRPr="00EB3D2F" w:rsidR="00A400F0">
        <w:t xml:space="preserve"> 2009, </w:t>
      </w:r>
      <w:r w:rsidRPr="00EB3D2F" w:rsidR="00F847FF">
        <w:t xml:space="preserve">à </w:t>
      </w:r>
      <w:r w:rsidRPr="00EB3D2F" w:rsidR="00A400F0">
        <w:t xml:space="preserve">payer, </w:t>
      </w:r>
      <w:r w:rsidRPr="00EB3D2F" w:rsidR="00A400F0">
        <w:rPr>
          <w:i/>
        </w:rPr>
        <w:t xml:space="preserve">in </w:t>
      </w:r>
      <w:proofErr w:type="spellStart"/>
      <w:r w:rsidRPr="00EB3D2F" w:rsidR="00A400F0">
        <w:rPr>
          <w:i/>
        </w:rPr>
        <w:t>solidum</w:t>
      </w:r>
      <w:proofErr w:type="spellEnd"/>
      <w:r w:rsidRPr="00EB3D2F" w:rsidR="002B32AF">
        <w:t xml:space="preserve">, </w:t>
      </w:r>
      <w:r w:rsidRPr="00EB3D2F" w:rsidR="00F847FF">
        <w:t xml:space="preserve">à </w:t>
      </w:r>
      <w:r w:rsidRPr="00EB3D2F" w:rsidR="00A400F0">
        <w:t>chacune des quatre parties civiles, 1 000</w:t>
      </w:r>
      <w:r w:rsidR="00C84F83">
        <w:t> EUR</w:t>
      </w:r>
      <w:r w:rsidRPr="00EB3D2F" w:rsidR="00A400F0">
        <w:t xml:space="preserve"> au titre des dommages et intérêts (soit 4 000</w:t>
      </w:r>
      <w:r w:rsidR="00C84F83">
        <w:t> EUR</w:t>
      </w:r>
      <w:r w:rsidRPr="00EB3D2F" w:rsidR="00A400F0">
        <w:t>) et 3 000</w:t>
      </w:r>
      <w:r w:rsidR="00C84F83">
        <w:t> EUR</w:t>
      </w:r>
      <w:r w:rsidRPr="00EB3D2F" w:rsidR="00A400F0">
        <w:t xml:space="preserve"> au titre de leurs frais et dépens (soit 12 000</w:t>
      </w:r>
      <w:r w:rsidR="00C84F83">
        <w:t> EUR</w:t>
      </w:r>
      <w:r w:rsidRPr="00EB3D2F" w:rsidR="00A400F0">
        <w:t xml:space="preserve">), ce qui correspond </w:t>
      </w:r>
      <w:r w:rsidRPr="00EB3D2F" w:rsidR="00F847FF">
        <w:t xml:space="preserve">à </w:t>
      </w:r>
      <w:r w:rsidRPr="00EB3D2F" w:rsidR="00A400F0">
        <w:t>3 200</w:t>
      </w:r>
      <w:r w:rsidR="00C84F83">
        <w:t> EUR</w:t>
      </w:r>
      <w:r w:rsidRPr="00EB3D2F" w:rsidR="00A400F0">
        <w:t xml:space="preserve"> par requérant. </w:t>
      </w:r>
      <w:r w:rsidRPr="00EB3D2F" w:rsidR="00D8461E">
        <w:t>Il note p</w:t>
      </w:r>
      <w:r w:rsidRPr="00EB3D2F" w:rsidR="00A400F0">
        <w:t>ar ailleurs</w:t>
      </w:r>
      <w:r w:rsidRPr="00EB3D2F" w:rsidR="00D8461E">
        <w:t xml:space="preserve"> que</w:t>
      </w:r>
      <w:r w:rsidRPr="00EB3D2F" w:rsidR="00A400F0">
        <w:t xml:space="preserve"> les requérants </w:t>
      </w:r>
      <w:r w:rsidR="0009101E">
        <w:t>N. </w:t>
      </w:r>
      <w:r w:rsidRPr="00EB3D2F" w:rsidR="00A400F0">
        <w:t>Akbar, L.</w:t>
      </w:r>
      <w:r w:rsidR="0009101E">
        <w:t> </w:t>
      </w:r>
      <w:proofErr w:type="spellStart"/>
      <w:r w:rsidRPr="00EB3D2F" w:rsidR="0009101E">
        <w:t>Assakali</w:t>
      </w:r>
      <w:proofErr w:type="spellEnd"/>
      <w:r w:rsidRPr="00EB3D2F" w:rsidR="00A400F0">
        <w:t xml:space="preserve"> et Y.</w:t>
      </w:r>
      <w:r w:rsidR="0009101E">
        <w:t> </w:t>
      </w:r>
      <w:proofErr w:type="spellStart"/>
      <w:r w:rsidRPr="00EB3D2F" w:rsidR="00A400F0">
        <w:t>Assakali</w:t>
      </w:r>
      <w:proofErr w:type="spellEnd"/>
      <w:r w:rsidRPr="00EB3D2F" w:rsidR="00A400F0">
        <w:t xml:space="preserve">, </w:t>
      </w:r>
      <w:r w:rsidR="00E2506D">
        <w:t>M. </w:t>
      </w:r>
      <w:r w:rsidRPr="00EB3D2F" w:rsidR="00A400F0">
        <w:t xml:space="preserve">Roll, </w:t>
      </w:r>
      <w:r w:rsidR="00E2506D">
        <w:t>J.-M. </w:t>
      </w:r>
      <w:r w:rsidRPr="00EB3D2F" w:rsidR="00A400F0">
        <w:t xml:space="preserve">Baldassi, </w:t>
      </w:r>
      <w:r w:rsidR="00E2506D">
        <w:t>H. </w:t>
      </w:r>
      <w:r w:rsidRPr="00EB3D2F" w:rsidR="00A400F0">
        <w:t>El</w:t>
      </w:r>
      <w:r w:rsidR="00E2506D">
        <w:t xml:space="preserve"> </w:t>
      </w:r>
      <w:proofErr w:type="spellStart"/>
      <w:r w:rsidRPr="00EB3D2F" w:rsidR="00A400F0">
        <w:t>Jarroudi</w:t>
      </w:r>
      <w:proofErr w:type="spellEnd"/>
      <w:r w:rsidRPr="00EB3D2F" w:rsidR="00A400F0">
        <w:t xml:space="preserve">, </w:t>
      </w:r>
      <w:r w:rsidR="00E2506D">
        <w:t>S. </w:t>
      </w:r>
      <w:r w:rsidRPr="00EB3D2F" w:rsidR="00A400F0">
        <w:t xml:space="preserve">Mure et </w:t>
      </w:r>
      <w:r w:rsidR="00E2506D">
        <w:t>F. </w:t>
      </w:r>
      <w:proofErr w:type="spellStart"/>
      <w:r w:rsidRPr="00EB3D2F" w:rsidR="000249C7">
        <w:t>Sarr</w:t>
      </w:r>
      <w:proofErr w:type="spellEnd"/>
      <w:r w:rsidRPr="00EB3D2F" w:rsidR="000249C7">
        <w:t>-Trichine</w:t>
      </w:r>
      <w:r w:rsidRPr="00EB3D2F" w:rsidR="00A400F0">
        <w:t xml:space="preserve"> ont été condamnés</w:t>
      </w:r>
      <w:r w:rsidR="009D20E3">
        <w:t>,</w:t>
      </w:r>
      <w:r w:rsidRPr="00EB3D2F" w:rsidR="00A400F0">
        <w:t xml:space="preserve"> pour les faits du </w:t>
      </w:r>
      <w:r w:rsidRPr="00EB3D2F" w:rsidR="00D8461E">
        <w:t>22</w:t>
      </w:r>
      <w:r w:rsidR="00565C93">
        <w:t xml:space="preserve"> mai </w:t>
      </w:r>
      <w:r w:rsidRPr="00EB3D2F" w:rsidR="00A400F0">
        <w:t>20</w:t>
      </w:r>
      <w:r w:rsidRPr="00EB3D2F" w:rsidR="00D8461E">
        <w:t>10</w:t>
      </w:r>
      <w:r w:rsidRPr="00EB3D2F" w:rsidR="00A400F0">
        <w:t xml:space="preserve">, </w:t>
      </w:r>
      <w:r w:rsidRPr="00EB3D2F" w:rsidR="00F847FF">
        <w:t xml:space="preserve">à </w:t>
      </w:r>
      <w:r w:rsidRPr="00EB3D2F" w:rsidR="00A400F0">
        <w:t xml:space="preserve">payer, </w:t>
      </w:r>
      <w:r w:rsidRPr="00EB3D2F" w:rsidR="00A400F0">
        <w:rPr>
          <w:i/>
        </w:rPr>
        <w:t xml:space="preserve">in </w:t>
      </w:r>
      <w:proofErr w:type="spellStart"/>
      <w:r w:rsidRPr="00EB3D2F" w:rsidR="00A400F0">
        <w:rPr>
          <w:i/>
        </w:rPr>
        <w:t>solidum</w:t>
      </w:r>
      <w:proofErr w:type="spellEnd"/>
      <w:r w:rsidRPr="00EB3D2F" w:rsidR="00A400F0">
        <w:t xml:space="preserve">, </w:t>
      </w:r>
      <w:r w:rsidRPr="00EB3D2F" w:rsidR="00F847FF">
        <w:t xml:space="preserve">à </w:t>
      </w:r>
      <w:r w:rsidRPr="00EB3D2F" w:rsidR="00A400F0">
        <w:t xml:space="preserve">chacune des </w:t>
      </w:r>
      <w:r w:rsidRPr="00EB3D2F" w:rsidR="00D8461E">
        <w:t>trois</w:t>
      </w:r>
      <w:r w:rsidRPr="00EB3D2F" w:rsidR="00A400F0">
        <w:t xml:space="preserve"> partie</w:t>
      </w:r>
      <w:r w:rsidRPr="00EB3D2F" w:rsidR="002B32AF">
        <w:t>s civiles, 1 000</w:t>
      </w:r>
      <w:r w:rsidR="00C84F83">
        <w:t> EUR</w:t>
      </w:r>
      <w:r w:rsidRPr="00EB3D2F" w:rsidR="00A400F0">
        <w:t xml:space="preserve"> au titre des dommages et intérêts (soit </w:t>
      </w:r>
      <w:r w:rsidRPr="00EB3D2F" w:rsidR="00D8461E">
        <w:t>3</w:t>
      </w:r>
      <w:r w:rsidR="0084713C">
        <w:t> </w:t>
      </w:r>
      <w:r w:rsidRPr="00EB3D2F" w:rsidR="002B32AF">
        <w:t>000</w:t>
      </w:r>
      <w:r w:rsidR="00C84F83">
        <w:t> EUR</w:t>
      </w:r>
      <w:r w:rsidRPr="00EB3D2F" w:rsidR="002B32AF">
        <w:t>) et 3 000</w:t>
      </w:r>
      <w:r w:rsidR="00C84F83">
        <w:t> EUR</w:t>
      </w:r>
      <w:r w:rsidRPr="00EB3D2F" w:rsidR="00A400F0">
        <w:t xml:space="preserve"> au titre de leurs frais </w:t>
      </w:r>
      <w:r w:rsidRPr="00EB3D2F" w:rsidR="00D8461E">
        <w:t>de justice</w:t>
      </w:r>
      <w:r w:rsidRPr="00EB3D2F" w:rsidR="00A400F0">
        <w:t xml:space="preserve"> (soit </w:t>
      </w:r>
      <w:r w:rsidRPr="00EB3D2F" w:rsidR="00D8461E">
        <w:t>9</w:t>
      </w:r>
      <w:r w:rsidR="0084713C">
        <w:t> </w:t>
      </w:r>
      <w:r w:rsidRPr="00EB3D2F" w:rsidR="00A400F0">
        <w:t>000</w:t>
      </w:r>
      <w:r w:rsidR="00C84F83">
        <w:t> EUR</w:t>
      </w:r>
      <w:r w:rsidRPr="00EB3D2F" w:rsidR="00A400F0">
        <w:t xml:space="preserve">), ce qui correspond </w:t>
      </w:r>
      <w:r w:rsidRPr="00EB3D2F" w:rsidR="00F847FF">
        <w:t xml:space="preserve">à </w:t>
      </w:r>
      <w:r w:rsidRPr="00EB3D2F" w:rsidR="00D8461E">
        <w:t>1</w:t>
      </w:r>
      <w:r w:rsidRPr="00EB3D2F" w:rsidR="002B32AF">
        <w:t> </w:t>
      </w:r>
      <w:r w:rsidRPr="00EB3D2F" w:rsidR="00D8461E">
        <w:t>333</w:t>
      </w:r>
      <w:r w:rsidR="00C84F83">
        <w:t> EUR</w:t>
      </w:r>
      <w:r w:rsidRPr="00EB3D2F" w:rsidR="00A400F0">
        <w:t xml:space="preserve"> par requérant.</w:t>
      </w:r>
      <w:r w:rsidRPr="00EB3D2F" w:rsidR="00D8461E">
        <w:t xml:space="preserve"> Il relève de plus que chacun des requérant</w:t>
      </w:r>
      <w:r w:rsidRPr="00EB3D2F" w:rsidR="00202C85">
        <w:t>s</w:t>
      </w:r>
      <w:r w:rsidRPr="00EB3D2F" w:rsidR="00D8461E">
        <w:t xml:space="preserve"> a été condamné </w:t>
      </w:r>
      <w:r w:rsidRPr="00EB3D2F" w:rsidR="00F847FF">
        <w:t xml:space="preserve">à </w:t>
      </w:r>
      <w:r w:rsidRPr="00EB3D2F" w:rsidR="00D8461E">
        <w:t>verser 380</w:t>
      </w:r>
      <w:r w:rsidR="00C84F83">
        <w:t> EUR</w:t>
      </w:r>
      <w:r w:rsidRPr="00EB3D2F" w:rsidR="00D8461E">
        <w:t xml:space="preserve"> au titre des droits fixes de procédure</w:t>
      </w:r>
      <w:r w:rsidR="006A4DF1">
        <w:t> :</w:t>
      </w:r>
      <w:r w:rsidRPr="00EB3D2F" w:rsidR="00D8461E">
        <w:t xml:space="preserve"> 169</w:t>
      </w:r>
      <w:r w:rsidR="00C84F83">
        <w:t> EUR</w:t>
      </w:r>
      <w:r w:rsidRPr="00EB3D2F" w:rsidR="00D8461E">
        <w:t xml:space="preserve"> pour la décision de la cour d</w:t>
      </w:r>
      <w:r w:rsidR="00062221">
        <w:t>’</w:t>
      </w:r>
      <w:r w:rsidRPr="00EB3D2F" w:rsidR="00D8461E">
        <w:t>appel</w:t>
      </w:r>
      <w:r w:rsidR="006A4DF1">
        <w:t> ;</w:t>
      </w:r>
      <w:r w:rsidRPr="00EB3D2F" w:rsidR="00D8461E">
        <w:t xml:space="preserve"> 211</w:t>
      </w:r>
      <w:r w:rsidR="00C84F83">
        <w:t> EUR</w:t>
      </w:r>
      <w:r w:rsidRPr="00EB3D2F" w:rsidR="00D8461E">
        <w:t xml:space="preserve"> pour la </w:t>
      </w:r>
      <w:proofErr w:type="gramStart"/>
      <w:r w:rsidRPr="00EB3D2F" w:rsidR="00D8461E">
        <w:t>décision</w:t>
      </w:r>
      <w:proofErr w:type="gramEnd"/>
      <w:r w:rsidRPr="00EB3D2F" w:rsidR="00D8461E">
        <w:t xml:space="preserve"> de la Cour de cassation. Il constate toutefois que les requérants n</w:t>
      </w:r>
      <w:r w:rsidR="00062221">
        <w:t>’</w:t>
      </w:r>
      <w:r w:rsidRPr="00EB3D2F" w:rsidR="00D8461E">
        <w:t>ont fourni aucun document attestant du payement des sommes dues aux parties civiles et des droits de procédure. Selon lui, en l</w:t>
      </w:r>
      <w:r w:rsidR="00062221">
        <w:t>’</w:t>
      </w:r>
      <w:r w:rsidRPr="00EB3D2F" w:rsidR="00D8461E">
        <w:t xml:space="preserve">absence de justificatif de paiement, aucun montant ne saurait être attribué aux requérants au titre du préjudice matériel. </w:t>
      </w:r>
      <w:r w:rsidRPr="00EB3D2F" w:rsidR="0022665C">
        <w:t>Il estime ensuite qu</w:t>
      </w:r>
      <w:r w:rsidR="00062221">
        <w:t>’</w:t>
      </w:r>
      <w:r w:rsidRPr="00EB3D2F" w:rsidR="00F847FF">
        <w:t xml:space="preserve">à </w:t>
      </w:r>
      <w:r w:rsidRPr="00EB3D2F" w:rsidR="0022665C">
        <w:t>supposer que l</w:t>
      </w:r>
      <w:r w:rsidR="00062221">
        <w:t>’</w:t>
      </w:r>
      <w:r w:rsidRPr="00EB3D2F" w:rsidR="0022665C">
        <w:t>existence d</w:t>
      </w:r>
      <w:r w:rsidR="00062221">
        <w:t>’</w:t>
      </w:r>
      <w:r w:rsidRPr="00EB3D2F" w:rsidR="0022665C">
        <w:t xml:space="preserve">un préjudice moral soit avéré, le constat de violation de la Cour suffirait </w:t>
      </w:r>
      <w:r w:rsidRPr="00EB3D2F" w:rsidR="00F847FF">
        <w:t xml:space="preserve">à </w:t>
      </w:r>
      <w:r w:rsidRPr="00EB3D2F" w:rsidR="0022665C">
        <w:t>le réparer</w:t>
      </w:r>
      <w:r w:rsidR="006A4DF1">
        <w:t> ;</w:t>
      </w:r>
      <w:r w:rsidRPr="00EB3D2F" w:rsidR="0022665C">
        <w:t xml:space="preserve"> </w:t>
      </w:r>
      <w:r w:rsidRPr="00EB3D2F" w:rsidR="00F847FF">
        <w:t xml:space="preserve">à </w:t>
      </w:r>
      <w:r w:rsidRPr="00EB3D2F" w:rsidR="0022665C">
        <w:t>titre subsidiaire, si la Cour devait juger que le constat de violation ne suff</w:t>
      </w:r>
      <w:r w:rsidRPr="00EB3D2F" w:rsidR="00202C85">
        <w:t>it pas, le préjudice moral ne sau</w:t>
      </w:r>
      <w:r w:rsidRPr="00EB3D2F" w:rsidR="002B32AF">
        <w:t>rait excéder 200</w:t>
      </w:r>
      <w:r w:rsidR="00C84F83">
        <w:t> EUR</w:t>
      </w:r>
      <w:r w:rsidRPr="00EB3D2F" w:rsidR="0022665C">
        <w:t>.</w:t>
      </w:r>
    </w:p>
    <w:p w:rsidRPr="00EB3D2F" w:rsidR="008B0E9A"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85</w:t>
      </w:r>
      <w:r w:rsidRPr="00EB3D2F">
        <w:fldChar w:fldCharType="end"/>
      </w:r>
      <w:r w:rsidRPr="00EB3D2F" w:rsidR="00E77CB3">
        <w:t>.  </w:t>
      </w:r>
      <w:r w:rsidRPr="00EB3D2F" w:rsidR="009E131F">
        <w:t xml:space="preserve">La Cour </w:t>
      </w:r>
      <w:r w:rsidRPr="00EB3D2F" w:rsidR="001D7B90">
        <w:t>constate</w:t>
      </w:r>
      <w:r w:rsidRPr="00EB3D2F" w:rsidR="009E131F">
        <w:t xml:space="preserve"> qu</w:t>
      </w:r>
      <w:r w:rsidR="00062221">
        <w:t>’</w:t>
      </w:r>
      <w:r w:rsidRPr="00EB3D2F" w:rsidR="009E131F">
        <w:t xml:space="preserve">il existe un lien de causalité entre la </w:t>
      </w:r>
      <w:r w:rsidRPr="00EB3D2F" w:rsidR="001D7B90">
        <w:t>violation de l</w:t>
      </w:r>
      <w:r w:rsidR="00062221">
        <w:t>’</w:t>
      </w:r>
      <w:r w:rsidR="00565C93">
        <w:t>article </w:t>
      </w:r>
      <w:r w:rsidRPr="00EB3D2F" w:rsidR="001D7B90">
        <w:t>10 de la Convention qu</w:t>
      </w:r>
      <w:r w:rsidR="00062221">
        <w:t>’</w:t>
      </w:r>
      <w:r w:rsidRPr="00EB3D2F" w:rsidR="001D7B90">
        <w:t xml:space="preserve">elle a constatée et la </w:t>
      </w:r>
      <w:r w:rsidRPr="00EB3D2F" w:rsidR="009E131F">
        <w:t xml:space="preserve">condamnation des requérants au paiement de dommages et intérêts et </w:t>
      </w:r>
      <w:r w:rsidRPr="00EB3D2F" w:rsidR="00E92C3F">
        <w:t>leur obligation de payer l</w:t>
      </w:r>
      <w:r w:rsidRPr="00EB3D2F" w:rsidR="009E131F">
        <w:t>e</w:t>
      </w:r>
      <w:r w:rsidRPr="00EB3D2F" w:rsidR="0088689D">
        <w:t>s</w:t>
      </w:r>
      <w:r w:rsidRPr="00EB3D2F" w:rsidR="009E131F">
        <w:t xml:space="preserve"> droits de procédure</w:t>
      </w:r>
      <w:r w:rsidRPr="00EB3D2F" w:rsidR="0088689D">
        <w:t xml:space="preserve"> </w:t>
      </w:r>
      <w:r w:rsidRPr="00EB3D2F" w:rsidR="00E92C3F">
        <w:t>prévus par</w:t>
      </w:r>
      <w:r w:rsidRPr="00EB3D2F" w:rsidR="0088689D">
        <w:t xml:space="preserve"> l</w:t>
      </w:r>
      <w:r w:rsidR="00062221">
        <w:t>’</w:t>
      </w:r>
      <w:r w:rsidR="00565C93">
        <w:t>article </w:t>
      </w:r>
      <w:r w:rsidRPr="00EB3D2F" w:rsidR="0088689D">
        <w:t>1018</w:t>
      </w:r>
      <w:r w:rsidR="00DA31F6">
        <w:t> </w:t>
      </w:r>
      <w:r w:rsidRPr="00EB3D2F" w:rsidR="0088689D">
        <w:t xml:space="preserve">A du code général des impôts </w:t>
      </w:r>
      <w:r w:rsidRPr="00EB3D2F" w:rsidR="00F02151">
        <w:t>(</w:t>
      </w:r>
      <w:r w:rsidRPr="00EB3D2F" w:rsidR="00FE4424">
        <w:t xml:space="preserve">voir, par exemple, </w:t>
      </w:r>
      <w:proofErr w:type="spellStart"/>
      <w:r w:rsidRPr="00EB3D2F" w:rsidR="00FE4424">
        <w:rPr>
          <w:i/>
        </w:rPr>
        <w:t>Haguenauer</w:t>
      </w:r>
      <w:proofErr w:type="spellEnd"/>
      <w:r w:rsidR="00565C93">
        <w:rPr>
          <w:i/>
        </w:rPr>
        <w:t xml:space="preserve"> c. </w:t>
      </w:r>
      <w:r w:rsidRPr="00EB3D2F" w:rsidR="00FE4424">
        <w:rPr>
          <w:i/>
        </w:rPr>
        <w:t>France</w:t>
      </w:r>
      <w:r w:rsidRPr="00EB3D2F" w:rsidR="00FE4424">
        <w:t>, n</w:t>
      </w:r>
      <w:r w:rsidRPr="00565C93" w:rsidR="00565C93">
        <w:rPr>
          <w:vertAlign w:val="superscript"/>
        </w:rPr>
        <w:t>o</w:t>
      </w:r>
      <w:r w:rsidRPr="00565C93" w:rsidR="00565C93">
        <w:t> </w:t>
      </w:r>
      <w:r w:rsidRPr="00EB3D2F" w:rsidR="00FE4424">
        <w:t>34050/05</w:t>
      </w:r>
      <w:r w:rsidRPr="00EB3D2F" w:rsidR="00FE4424">
        <w:rPr>
          <w:snapToGrid w:val="0"/>
        </w:rPr>
        <w:t>, §</w:t>
      </w:r>
      <w:r w:rsidR="00565C93">
        <w:rPr>
          <w:snapToGrid w:val="0"/>
        </w:rPr>
        <w:t>§ </w:t>
      </w:r>
      <w:r w:rsidRPr="00EB3D2F" w:rsidR="00FE4424">
        <w:rPr>
          <w:snapToGrid w:val="0"/>
        </w:rPr>
        <w:t>57-59, 22</w:t>
      </w:r>
      <w:r w:rsidR="00565C93">
        <w:rPr>
          <w:snapToGrid w:val="0"/>
        </w:rPr>
        <w:t> avril</w:t>
      </w:r>
      <w:r w:rsidRPr="00EB3D2F" w:rsidR="00FE4424">
        <w:rPr>
          <w:snapToGrid w:val="0"/>
        </w:rPr>
        <w:t xml:space="preserve"> 2010</w:t>
      </w:r>
      <w:r w:rsidRPr="00EB3D2F" w:rsidR="00471955">
        <w:t>)</w:t>
      </w:r>
      <w:r w:rsidRPr="00EB3D2F" w:rsidR="009E131F">
        <w:t>.</w:t>
      </w:r>
      <w:r w:rsidRPr="00EB3D2F" w:rsidR="00A209B4">
        <w:t xml:space="preserve"> Relevant qu</w:t>
      </w:r>
      <w:r w:rsidR="00062221">
        <w:t>’</w:t>
      </w:r>
      <w:r w:rsidRPr="00EB3D2F" w:rsidR="00A209B4">
        <w:t>ils ne font pas la preuve d</w:t>
      </w:r>
      <w:r w:rsidRPr="00EB3D2F" w:rsidR="00FE4424">
        <w:t>u</w:t>
      </w:r>
      <w:r w:rsidRPr="00EB3D2F" w:rsidR="00A209B4">
        <w:t xml:space="preserve"> paiement de</w:t>
      </w:r>
      <w:r w:rsidRPr="00EB3D2F" w:rsidR="00B81DAB">
        <w:t xml:space="preserve"> ces</w:t>
      </w:r>
      <w:r w:rsidRPr="00EB3D2F" w:rsidR="00A209B4">
        <w:t xml:space="preserve"> dommages et intérêts, elle rejette </w:t>
      </w:r>
      <w:r w:rsidRPr="00EB3D2F" w:rsidR="00471955">
        <w:t xml:space="preserve">cependant </w:t>
      </w:r>
      <w:r w:rsidRPr="00EB3D2F" w:rsidR="00A209B4">
        <w:t xml:space="preserve">leur demande </w:t>
      </w:r>
      <w:r w:rsidRPr="00EB3D2F" w:rsidR="00F847FF">
        <w:t xml:space="preserve">à </w:t>
      </w:r>
      <w:r w:rsidRPr="00EB3D2F" w:rsidR="00A209B4">
        <w:t>ce titre (voir, par exemple</w:t>
      </w:r>
      <w:r w:rsidR="00DA31F6">
        <w:t>,</w:t>
      </w:r>
      <w:r w:rsidRPr="00EB3D2F" w:rsidR="00A209B4">
        <w:t xml:space="preserve"> </w:t>
      </w:r>
      <w:proofErr w:type="spellStart"/>
      <w:r w:rsidRPr="00EB3D2F" w:rsidR="00A209B4">
        <w:rPr>
          <w:i/>
        </w:rPr>
        <w:t>Reichman</w:t>
      </w:r>
      <w:proofErr w:type="spellEnd"/>
      <w:r w:rsidR="00565C93">
        <w:rPr>
          <w:i/>
        </w:rPr>
        <w:t xml:space="preserve"> c. </w:t>
      </w:r>
      <w:r w:rsidRPr="00EB3D2F" w:rsidR="00A209B4">
        <w:rPr>
          <w:i/>
        </w:rPr>
        <w:t>France</w:t>
      </w:r>
      <w:r w:rsidRPr="00EB3D2F" w:rsidR="00A209B4">
        <w:t>, n</w:t>
      </w:r>
      <w:r w:rsidRPr="00565C93" w:rsidR="00565C93">
        <w:rPr>
          <w:vertAlign w:val="superscript"/>
        </w:rPr>
        <w:t>o</w:t>
      </w:r>
      <w:r w:rsidRPr="00565C93" w:rsidR="00565C93">
        <w:t> </w:t>
      </w:r>
      <w:r w:rsidRPr="00EB3D2F" w:rsidR="00A209B4">
        <w:t>50147/11</w:t>
      </w:r>
      <w:r w:rsidRPr="00EB3D2F" w:rsidR="00A209B4">
        <w:rPr>
          <w:snapToGrid w:val="0"/>
        </w:rPr>
        <w:t xml:space="preserve">, </w:t>
      </w:r>
      <w:r w:rsidR="00565C93">
        <w:rPr>
          <w:snapToGrid w:val="0"/>
        </w:rPr>
        <w:t>§ </w:t>
      </w:r>
      <w:r w:rsidRPr="00EB3D2F" w:rsidR="00A209B4">
        <w:rPr>
          <w:snapToGrid w:val="0"/>
        </w:rPr>
        <w:t>79, 12</w:t>
      </w:r>
      <w:r w:rsidR="00565C93">
        <w:rPr>
          <w:snapToGrid w:val="0"/>
        </w:rPr>
        <w:t> juillet</w:t>
      </w:r>
      <w:r w:rsidRPr="00EB3D2F" w:rsidR="00A209B4">
        <w:rPr>
          <w:snapToGrid w:val="0"/>
        </w:rPr>
        <w:t xml:space="preserve"> 2016</w:t>
      </w:r>
      <w:r w:rsidR="006A4DF1">
        <w:rPr>
          <w:snapToGrid w:val="0"/>
        </w:rPr>
        <w:t> ;</w:t>
      </w:r>
      <w:r w:rsidRPr="00EB3D2F" w:rsidR="00471955">
        <w:rPr>
          <w:snapToGrid w:val="0"/>
        </w:rPr>
        <w:t xml:space="preserve"> comparer avec </w:t>
      </w:r>
      <w:r w:rsidRPr="00EB3D2F" w:rsidR="00471955">
        <w:rPr>
          <w:i/>
          <w:snapToGrid w:val="0"/>
        </w:rPr>
        <w:t>Lacroix</w:t>
      </w:r>
      <w:r w:rsidR="00565C93">
        <w:rPr>
          <w:i/>
          <w:snapToGrid w:val="0"/>
        </w:rPr>
        <w:t xml:space="preserve"> c. </w:t>
      </w:r>
      <w:r w:rsidRPr="00EB3D2F" w:rsidR="00471955">
        <w:rPr>
          <w:i/>
          <w:snapToGrid w:val="0"/>
        </w:rPr>
        <w:t>France</w:t>
      </w:r>
      <w:r w:rsidRPr="00EB3D2F" w:rsidR="00471955">
        <w:rPr>
          <w:snapToGrid w:val="0"/>
        </w:rPr>
        <w:t>, n</w:t>
      </w:r>
      <w:r w:rsidRPr="00565C93" w:rsidR="00565C93">
        <w:rPr>
          <w:snapToGrid w:val="0"/>
          <w:vertAlign w:val="superscript"/>
        </w:rPr>
        <w:t>o</w:t>
      </w:r>
      <w:r w:rsidRPr="00565C93" w:rsidR="00565C93">
        <w:rPr>
          <w:snapToGrid w:val="0"/>
        </w:rPr>
        <w:t> </w:t>
      </w:r>
      <w:r w:rsidRPr="00EB3D2F" w:rsidR="00471955">
        <w:rPr>
          <w:snapToGrid w:val="0"/>
        </w:rPr>
        <w:t xml:space="preserve">41519/12, </w:t>
      </w:r>
      <w:r w:rsidR="00565C93">
        <w:rPr>
          <w:snapToGrid w:val="0"/>
        </w:rPr>
        <w:t>§ </w:t>
      </w:r>
      <w:r w:rsidRPr="00EB3D2F" w:rsidR="00471955">
        <w:rPr>
          <w:snapToGrid w:val="0"/>
        </w:rPr>
        <w:t>57, 7</w:t>
      </w:r>
      <w:r w:rsidR="00565C93">
        <w:rPr>
          <w:snapToGrid w:val="0"/>
        </w:rPr>
        <w:t> septembre</w:t>
      </w:r>
      <w:r w:rsidRPr="00EB3D2F" w:rsidR="00471955">
        <w:rPr>
          <w:snapToGrid w:val="0"/>
        </w:rPr>
        <w:t xml:space="preserve"> 2017</w:t>
      </w:r>
      <w:r w:rsidRPr="00EB3D2F" w:rsidR="00A209B4">
        <w:t>). En revanche, au vu de l</w:t>
      </w:r>
      <w:r w:rsidR="00062221">
        <w:t>’</w:t>
      </w:r>
      <w:r w:rsidRPr="00EB3D2F" w:rsidR="00A209B4">
        <w:t xml:space="preserve">avis de payement avant poursuite </w:t>
      </w:r>
      <w:r w:rsidRPr="00EB3D2F" w:rsidR="0088689D">
        <w:t xml:space="preserve">des droits de procédure </w:t>
      </w:r>
      <w:r w:rsidRPr="00EB3D2F" w:rsidR="00A209B4">
        <w:t xml:space="preserve">émanant du ministère des </w:t>
      </w:r>
      <w:r w:rsidR="00DA31F6">
        <w:t>F</w:t>
      </w:r>
      <w:r w:rsidRPr="00EB3D2F" w:rsidR="00A209B4">
        <w:t xml:space="preserve">inances et des </w:t>
      </w:r>
      <w:r w:rsidR="00DA31F6">
        <w:t>C</w:t>
      </w:r>
      <w:r w:rsidRPr="00EB3D2F" w:rsidR="00A209B4">
        <w:t>omptes publics, daté de</w:t>
      </w:r>
      <w:r w:rsidR="0017497B">
        <w:t xml:space="preserve"> </w:t>
      </w:r>
      <w:r w:rsidR="00565C93">
        <w:t xml:space="preserve">mars </w:t>
      </w:r>
      <w:r w:rsidRPr="00EB3D2F" w:rsidR="00A209B4">
        <w:t>2016 et portant sur un montant de 380</w:t>
      </w:r>
      <w:r w:rsidR="00C84F83">
        <w:t> EUR</w:t>
      </w:r>
      <w:r w:rsidRPr="00EB3D2F" w:rsidR="00A209B4">
        <w:t>, produit par cha</w:t>
      </w:r>
      <w:r w:rsidRPr="00EB3D2F" w:rsidR="00F02151">
        <w:t>c</w:t>
      </w:r>
      <w:r w:rsidRPr="00EB3D2F" w:rsidR="00A209B4">
        <w:t xml:space="preserve">un des requérants, elle </w:t>
      </w:r>
      <w:r w:rsidRPr="00EB3D2F" w:rsidR="009E131F">
        <w:t>ne voit pas de raison de douter qu</w:t>
      </w:r>
      <w:r w:rsidR="00062221">
        <w:t>’</w:t>
      </w:r>
      <w:r w:rsidRPr="00EB3D2F" w:rsidR="000C06E8">
        <w:t>ils</w:t>
      </w:r>
      <w:r w:rsidRPr="00EB3D2F" w:rsidR="009E131F">
        <w:t xml:space="preserve"> </w:t>
      </w:r>
      <w:r w:rsidRPr="00EB3D2F" w:rsidR="00471955">
        <w:t>o</w:t>
      </w:r>
      <w:r w:rsidRPr="00EB3D2F" w:rsidR="00F02151">
        <w:t>n</w:t>
      </w:r>
      <w:r w:rsidRPr="00EB3D2F" w:rsidR="00A209B4">
        <w:t>t</w:t>
      </w:r>
      <w:r w:rsidRPr="00EB3D2F" w:rsidR="009E131F">
        <w:t xml:space="preserve"> </w:t>
      </w:r>
      <w:r w:rsidRPr="00EB3D2F" w:rsidR="008B34A5">
        <w:t>réglé</w:t>
      </w:r>
      <w:r w:rsidRPr="00EB3D2F" w:rsidR="009E131F">
        <w:t xml:space="preserve"> </w:t>
      </w:r>
      <w:r w:rsidRPr="00EB3D2F" w:rsidR="00F02151">
        <w:t>cette somme</w:t>
      </w:r>
      <w:r w:rsidRPr="00EB3D2F" w:rsidR="000C06E8">
        <w:t>.</w:t>
      </w:r>
      <w:r w:rsidRPr="00EB3D2F" w:rsidR="00A209B4">
        <w:t xml:space="preserve"> </w:t>
      </w:r>
      <w:r w:rsidRPr="00EB3D2F" w:rsidR="00FE3296">
        <w:t>Elle accorde en conséquence 380</w:t>
      </w:r>
      <w:r w:rsidR="00C84F83">
        <w:t> EUR</w:t>
      </w:r>
      <w:r w:rsidRPr="00EB3D2F" w:rsidR="00FE3296">
        <w:t xml:space="preserve"> </w:t>
      </w:r>
      <w:r w:rsidRPr="00EB3D2F" w:rsidR="00F847FF">
        <w:t xml:space="preserve">à </w:t>
      </w:r>
      <w:r w:rsidRPr="00EB3D2F" w:rsidR="00FE3296">
        <w:t>cha</w:t>
      </w:r>
      <w:r w:rsidRPr="00EB3D2F" w:rsidR="00DE53F9">
        <w:t>que</w:t>
      </w:r>
      <w:r w:rsidRPr="00EB3D2F" w:rsidR="00FE3296">
        <w:t xml:space="preserve"> requérant pour dommage matériel.</w:t>
      </w:r>
    </w:p>
    <w:p w:rsidRPr="00EB3D2F" w:rsidR="00340372" w:rsidP="00EB3D2F" w:rsidRDefault="00AC1F60">
      <w:pPr>
        <w:pStyle w:val="JuPara"/>
      </w:pPr>
      <w:r w:rsidRPr="00EB3D2F">
        <w:fldChar w:fldCharType="begin"/>
      </w:r>
      <w:r w:rsidRPr="00EB3D2F">
        <w:instrText xml:space="preserve"> SEQ level0 \*arabic </w:instrText>
      </w:r>
      <w:r w:rsidRPr="00EB3D2F">
        <w:fldChar w:fldCharType="separate"/>
      </w:r>
      <w:r w:rsidRPr="00EB3D2F" w:rsidR="00EB3D2F">
        <w:rPr>
          <w:noProof/>
        </w:rPr>
        <w:t>86</w:t>
      </w:r>
      <w:r w:rsidRPr="00EB3D2F">
        <w:fldChar w:fldCharType="end"/>
      </w:r>
      <w:r w:rsidRPr="00EB3D2F">
        <w:t>.  La Cour</w:t>
      </w:r>
      <w:r w:rsidRPr="00EB3D2F" w:rsidR="00B81DAB">
        <w:t xml:space="preserve"> juge en outre équitable d</w:t>
      </w:r>
      <w:r w:rsidR="00062221">
        <w:t>’</w:t>
      </w:r>
      <w:r w:rsidRPr="00EB3D2F" w:rsidR="00B81DAB">
        <w:t xml:space="preserve">allouer </w:t>
      </w:r>
      <w:r w:rsidRPr="00EB3D2F" w:rsidR="005A09F0">
        <w:t>7</w:t>
      </w:r>
      <w:r w:rsidRPr="00EB3D2F" w:rsidR="00B81DAB">
        <w:t> 000</w:t>
      </w:r>
      <w:r w:rsidR="00C84F83">
        <w:t> EUR</w:t>
      </w:r>
      <w:r w:rsidRPr="00EB3D2F" w:rsidR="00B81DAB">
        <w:t xml:space="preserve"> </w:t>
      </w:r>
      <w:r w:rsidRPr="00EB3D2F" w:rsidR="00F847FF">
        <w:t xml:space="preserve">à </w:t>
      </w:r>
      <w:r w:rsidRPr="00EB3D2F">
        <w:t>chaque requérant</w:t>
      </w:r>
      <w:r w:rsidRPr="00EB3D2F" w:rsidR="00B81DAB">
        <w:t xml:space="preserve"> pour dommage moral.</w:t>
      </w:r>
    </w:p>
    <w:p w:rsidRPr="00EB3D2F" w:rsidR="00E77CB3" w:rsidP="00EB3D2F" w:rsidRDefault="00E77CB3">
      <w:pPr>
        <w:pStyle w:val="JuHA"/>
        <w:rPr>
          <w:lang w:val="fr-FR"/>
        </w:rPr>
      </w:pPr>
      <w:r w:rsidRPr="00EB3D2F">
        <w:rPr>
          <w:lang w:val="fr-FR"/>
        </w:rPr>
        <w:t>Frais et dépens</w:t>
      </w:r>
    </w:p>
    <w:p w:rsidRPr="00EB3D2F" w:rsidR="00340372"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87</w:t>
      </w:r>
      <w:r w:rsidRPr="00EB3D2F">
        <w:fldChar w:fldCharType="end"/>
      </w:r>
      <w:r w:rsidRPr="00EB3D2F" w:rsidR="00E77CB3">
        <w:t>.  </w:t>
      </w:r>
      <w:r w:rsidRPr="00EB3D2F">
        <w:t>Les requérants</w:t>
      </w:r>
      <w:r w:rsidRPr="00EB3D2F" w:rsidR="00E77CB3">
        <w:t xml:space="preserve"> demande</w:t>
      </w:r>
      <w:r w:rsidRPr="00EB3D2F">
        <w:t>nt</w:t>
      </w:r>
      <w:r w:rsidRPr="00EB3D2F" w:rsidR="00E77CB3">
        <w:t xml:space="preserve"> </w:t>
      </w:r>
      <w:r w:rsidRPr="00EB3D2F" w:rsidR="00CC00DA">
        <w:t>le remboursement de leurs frais et dépens devant les juridictions internes et devant la Cour. Ils indiquent avoir payé</w:t>
      </w:r>
      <w:r w:rsidRPr="00EB3D2F" w:rsidR="00B874D2">
        <w:t xml:space="preserve">, ensemble, </w:t>
      </w:r>
      <w:r w:rsidRPr="00EB3D2F" w:rsidR="004617D2">
        <w:t>21 595,15</w:t>
      </w:r>
      <w:r w:rsidR="00C84F83">
        <w:t> EUR</w:t>
      </w:r>
      <w:r w:rsidR="002034A7">
        <w:t xml:space="preserve"> </w:t>
      </w:r>
      <w:r w:rsidRPr="00EB3D2F" w:rsidR="00B874D2">
        <w:t>dans le cadre de la procédure interne</w:t>
      </w:r>
      <w:r w:rsidR="006A4DF1">
        <w:t> :</w:t>
      </w:r>
      <w:r w:rsidRPr="00EB3D2F" w:rsidR="00CC00DA">
        <w:t xml:space="preserve"> 5 548,65</w:t>
      </w:r>
      <w:r w:rsidR="00C84F83">
        <w:t> EUR</w:t>
      </w:r>
      <w:r w:rsidRPr="00EB3D2F" w:rsidR="00CC00DA">
        <w:t xml:space="preserve"> pour la procédure devant le tribunal de grande instance de Mulhouse</w:t>
      </w:r>
      <w:r w:rsidR="006A4DF1">
        <w:t> ;</w:t>
      </w:r>
      <w:r w:rsidRPr="00EB3D2F" w:rsidR="00CC00DA">
        <w:t xml:space="preserve"> 8 486,50</w:t>
      </w:r>
      <w:r w:rsidR="00C84F83">
        <w:t> EUR</w:t>
      </w:r>
      <w:r w:rsidRPr="00EB3D2F" w:rsidR="00CC00DA">
        <w:t xml:space="preserve"> devant la cour d</w:t>
      </w:r>
      <w:r w:rsidR="00062221">
        <w:t>’</w:t>
      </w:r>
      <w:r w:rsidRPr="00EB3D2F" w:rsidR="00CC00DA">
        <w:t>appel de Colmar</w:t>
      </w:r>
      <w:r w:rsidR="006A4DF1">
        <w:t> ;</w:t>
      </w:r>
      <w:r w:rsidRPr="00EB3D2F" w:rsidR="00CC00DA">
        <w:t xml:space="preserve"> 7 560</w:t>
      </w:r>
      <w:r w:rsidR="00C84F83">
        <w:t> EUR</w:t>
      </w:r>
      <w:r w:rsidRPr="00EB3D2F" w:rsidR="00CC00DA">
        <w:t xml:space="preserve"> devant la Cour de cassation. </w:t>
      </w:r>
      <w:r w:rsidRPr="00EB3D2F" w:rsidR="00B874D2">
        <w:t>Pour la procédure devant la Cour, les requérants</w:t>
      </w:r>
      <w:r w:rsidRPr="00EB3D2F" w:rsidR="001D37F1">
        <w:t xml:space="preserve"> </w:t>
      </w:r>
      <w:r w:rsidR="004632FA">
        <w:t>J.-M. </w:t>
      </w:r>
      <w:r w:rsidRPr="00EB3D2F" w:rsidR="001D37F1">
        <w:t xml:space="preserve">Baldassi, </w:t>
      </w:r>
      <w:r w:rsidR="004632FA">
        <w:t>H. </w:t>
      </w:r>
      <w:proofErr w:type="spellStart"/>
      <w:r w:rsidRPr="00EB3D2F" w:rsidR="001D37F1">
        <w:t>Eichholtzer</w:t>
      </w:r>
      <w:proofErr w:type="spellEnd"/>
      <w:r w:rsidRPr="00EB3D2F" w:rsidR="001D37F1">
        <w:t xml:space="preserve">, </w:t>
      </w:r>
      <w:r w:rsidR="004632FA">
        <w:t>A. </w:t>
      </w:r>
      <w:r w:rsidRPr="00EB3D2F" w:rsidR="001D37F1">
        <w:t xml:space="preserve">Parmentier, </w:t>
      </w:r>
      <w:r w:rsidR="004632FA">
        <w:t>S. </w:t>
      </w:r>
      <w:r w:rsidRPr="00EB3D2F" w:rsidR="001D37F1">
        <w:t xml:space="preserve">Mure, </w:t>
      </w:r>
      <w:r w:rsidR="004632FA">
        <w:t>N. </w:t>
      </w:r>
      <w:r w:rsidRPr="00EB3D2F" w:rsidR="001D37F1">
        <w:t xml:space="preserve">Akbar et </w:t>
      </w:r>
      <w:r w:rsidR="004632FA">
        <w:t>M. </w:t>
      </w:r>
      <w:r w:rsidRPr="00EB3D2F" w:rsidR="001D37F1">
        <w:t xml:space="preserve">Roll </w:t>
      </w:r>
      <w:r w:rsidRPr="00EB3D2F" w:rsidR="00B874D2">
        <w:t>indiquent avoir, ensemble, versé 36 000</w:t>
      </w:r>
      <w:r w:rsidR="00C84F83">
        <w:t> EUR</w:t>
      </w:r>
      <w:r w:rsidRPr="00EB3D2F" w:rsidR="00B874D2">
        <w:t xml:space="preserve"> d</w:t>
      </w:r>
      <w:r w:rsidR="00062221">
        <w:t>’</w:t>
      </w:r>
      <w:r w:rsidRPr="00EB3D2F" w:rsidR="00B874D2">
        <w:t xml:space="preserve">honoraires </w:t>
      </w:r>
      <w:r w:rsidRPr="00EB3D2F" w:rsidR="00F847FF">
        <w:t xml:space="preserve">à </w:t>
      </w:r>
      <w:r w:rsidRPr="00EB3D2F" w:rsidR="00B874D2">
        <w:t xml:space="preserve">leur avocat, </w:t>
      </w:r>
      <w:r w:rsidRPr="00EB3D2F" w:rsidR="001D37F1">
        <w:t>M</w:t>
      </w:r>
      <w:r w:rsidRPr="00EB3D2F" w:rsidR="001D37F1">
        <w:rPr>
          <w:vertAlign w:val="superscript"/>
        </w:rPr>
        <w:t>e</w:t>
      </w:r>
      <w:r w:rsidR="00EC3898">
        <w:t> A. </w:t>
      </w:r>
      <w:r w:rsidRPr="00EB3D2F" w:rsidR="001D37F1">
        <w:t xml:space="preserve">Comte, </w:t>
      </w:r>
      <w:r w:rsidRPr="00EB3D2F" w:rsidR="00B874D2">
        <w:t xml:space="preserve">et les requérants, </w:t>
      </w:r>
      <w:r w:rsidRPr="00EB3D2F" w:rsidR="001D37F1">
        <w:t>L.</w:t>
      </w:r>
      <w:r w:rsidR="007C7A26">
        <w:t> </w:t>
      </w:r>
      <w:proofErr w:type="spellStart"/>
      <w:r w:rsidRPr="00EB3D2F" w:rsidR="007C7A26">
        <w:t>Assakali</w:t>
      </w:r>
      <w:proofErr w:type="spellEnd"/>
      <w:r w:rsidRPr="00EB3D2F" w:rsidR="001D37F1">
        <w:t xml:space="preserve"> et Y.</w:t>
      </w:r>
      <w:r w:rsidR="007C7A26">
        <w:t> </w:t>
      </w:r>
      <w:proofErr w:type="spellStart"/>
      <w:r w:rsidRPr="00EB3D2F" w:rsidR="001D37F1">
        <w:t>Assakali</w:t>
      </w:r>
      <w:proofErr w:type="spellEnd"/>
      <w:r w:rsidRPr="00EB3D2F" w:rsidR="001D37F1">
        <w:t xml:space="preserve">, </w:t>
      </w:r>
      <w:r w:rsidR="007C7A26">
        <w:t>J. </w:t>
      </w:r>
      <w:proofErr w:type="spellStart"/>
      <w:r w:rsidRPr="00EB3D2F" w:rsidR="001D37F1">
        <w:t>Ballouey</w:t>
      </w:r>
      <w:proofErr w:type="spellEnd"/>
      <w:r w:rsidRPr="00EB3D2F" w:rsidR="001D37F1">
        <w:t xml:space="preserve">, </w:t>
      </w:r>
      <w:r w:rsidR="007C7A26">
        <w:t>H. </w:t>
      </w:r>
      <w:r w:rsidRPr="00EB3D2F" w:rsidR="001D37F1">
        <w:t xml:space="preserve">El </w:t>
      </w:r>
      <w:proofErr w:type="spellStart"/>
      <w:r w:rsidRPr="00EB3D2F" w:rsidR="001D37F1">
        <w:t>Jarroudi</w:t>
      </w:r>
      <w:proofErr w:type="spellEnd"/>
      <w:r w:rsidRPr="00EB3D2F" w:rsidR="001D37F1">
        <w:t xml:space="preserve"> et </w:t>
      </w:r>
      <w:r w:rsidR="007C7A26">
        <w:t>F. </w:t>
      </w:r>
      <w:proofErr w:type="spellStart"/>
      <w:r w:rsidRPr="00EB3D2F" w:rsidR="000249C7">
        <w:t>Sarr</w:t>
      </w:r>
      <w:proofErr w:type="spellEnd"/>
      <w:r w:rsidRPr="00EB3D2F" w:rsidR="000249C7">
        <w:t>-Trichine</w:t>
      </w:r>
      <w:r w:rsidRPr="00EB3D2F" w:rsidR="001D37F1">
        <w:t xml:space="preserve">, </w:t>
      </w:r>
      <w:r w:rsidRPr="00EB3D2F" w:rsidR="00B874D2">
        <w:t>8 100</w:t>
      </w:r>
      <w:r w:rsidR="00C84F83">
        <w:t> EUR</w:t>
      </w:r>
      <w:r w:rsidRPr="00EB3D2F" w:rsidR="001D37F1">
        <w:t xml:space="preserve"> au leur, M</w:t>
      </w:r>
      <w:r w:rsidRPr="00EB3D2F" w:rsidR="001D37F1">
        <w:rPr>
          <w:vertAlign w:val="superscript"/>
        </w:rPr>
        <w:t>e</w:t>
      </w:r>
      <w:r w:rsidR="007C7A26">
        <w:t> G. </w:t>
      </w:r>
      <w:r w:rsidRPr="00EB3D2F" w:rsidR="001D37F1">
        <w:t>Thuan Dit Dieudonné</w:t>
      </w:r>
      <w:r w:rsidRPr="00EB3D2F" w:rsidR="00B874D2">
        <w:t>.</w:t>
      </w:r>
    </w:p>
    <w:p w:rsidRPr="00EB3D2F" w:rsidR="00340372"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88</w:t>
      </w:r>
      <w:r w:rsidRPr="00EB3D2F">
        <w:fldChar w:fldCharType="end"/>
      </w:r>
      <w:r w:rsidRPr="00EB3D2F" w:rsidR="00E77CB3">
        <w:t xml:space="preserve">.  Le Gouvernement </w:t>
      </w:r>
      <w:r w:rsidRPr="00EB3D2F" w:rsidR="00263527">
        <w:t>juge les demandes des requérants excessives. Il considère qu</w:t>
      </w:r>
      <w:r w:rsidR="00062221">
        <w:t>’</w:t>
      </w:r>
      <w:r w:rsidRPr="00EB3D2F" w:rsidR="00263527">
        <w:t>il n</w:t>
      </w:r>
      <w:r w:rsidR="00062221">
        <w:t>’</w:t>
      </w:r>
      <w:r w:rsidRPr="00EB3D2F" w:rsidR="00263527">
        <w:t xml:space="preserve">a pas </w:t>
      </w:r>
      <w:r w:rsidRPr="00EB3D2F" w:rsidR="00F847FF">
        <w:t xml:space="preserve">à </w:t>
      </w:r>
      <w:r w:rsidRPr="00EB3D2F" w:rsidR="00263527">
        <w:t xml:space="preserve">supporter leur choix de recourir </w:t>
      </w:r>
      <w:r w:rsidRPr="00EB3D2F" w:rsidR="00F847FF">
        <w:t xml:space="preserve">à </w:t>
      </w:r>
      <w:r w:rsidRPr="00EB3D2F" w:rsidR="00263527">
        <w:t>deux avocats devant les juridictions internes. Il relève ensuite qu</w:t>
      </w:r>
      <w:r w:rsidR="00062221">
        <w:t>’</w:t>
      </w:r>
      <w:r w:rsidRPr="00EB3D2F" w:rsidR="00263527">
        <w:t>ils ont mutualisés leurs frais de représentation devant la Cour comme au plan interne.</w:t>
      </w:r>
    </w:p>
    <w:p w:rsidRPr="00EB3D2F" w:rsidR="00E77CB3"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89</w:t>
      </w:r>
      <w:r w:rsidRPr="00EB3D2F">
        <w:fldChar w:fldCharType="end"/>
      </w:r>
      <w:r w:rsidRPr="00EB3D2F" w:rsidR="00E77CB3">
        <w:t>.  </w:t>
      </w:r>
      <w:r w:rsidRPr="00EB3D2F">
        <w:t>Selon la jurisprudence de la Cour, un requérant ne peut obtenir le remboursement de ses frais et dépens que dans la mesure où se trouvent établis leur réalité, leur nécessité et le caractère raisonnable de leur taux. En l</w:t>
      </w:r>
      <w:r w:rsidR="00062221">
        <w:t>’</w:t>
      </w:r>
      <w:r w:rsidRPr="00EB3D2F">
        <w:t>espèce, compte</w:t>
      </w:r>
      <w:r w:rsidRPr="00EB3D2F" w:rsidR="00E77CB3">
        <w:t xml:space="preserve"> tenu des documents </w:t>
      </w:r>
      <w:r w:rsidRPr="00EB3D2F" w:rsidR="00D576CF">
        <w:t>dont elle dispose</w:t>
      </w:r>
      <w:r w:rsidRPr="00EB3D2F" w:rsidR="00E77CB3">
        <w:t xml:space="preserve"> et de sa jurisprudence, la Cour estime raisonnable la somme de </w:t>
      </w:r>
      <w:r w:rsidRPr="00EB3D2F" w:rsidR="00263527">
        <w:t>20</w:t>
      </w:r>
      <w:r w:rsidR="007909C2">
        <w:t> </w:t>
      </w:r>
      <w:r w:rsidRPr="00EB3D2F" w:rsidR="00263527">
        <w:t>000</w:t>
      </w:r>
      <w:r w:rsidR="00C84F83">
        <w:t> EUR</w:t>
      </w:r>
      <w:r w:rsidRPr="00EB3D2F" w:rsidR="00E77CB3">
        <w:t xml:space="preserve"> pour l</w:t>
      </w:r>
      <w:r w:rsidRPr="00EB3D2F" w:rsidR="004617D2">
        <w:t>a</w:t>
      </w:r>
      <w:r w:rsidRPr="00EB3D2F" w:rsidR="00E77CB3">
        <w:t xml:space="preserve"> procédure devant </w:t>
      </w:r>
      <w:r w:rsidRPr="00EB3D2F" w:rsidR="00263527">
        <w:t xml:space="preserve">les juridictions internes et la procédure devant </w:t>
      </w:r>
      <w:r w:rsidRPr="00EB3D2F" w:rsidR="00E77CB3">
        <w:t>la Cour</w:t>
      </w:r>
      <w:r w:rsidRPr="00EB3D2F" w:rsidR="004617D2">
        <w:t>,</w:t>
      </w:r>
      <w:r w:rsidRPr="00EB3D2F" w:rsidR="00263527">
        <w:t xml:space="preserve"> </w:t>
      </w:r>
      <w:r w:rsidRPr="00EB3D2F" w:rsidR="00E77CB3">
        <w:t>tous frais confondus</w:t>
      </w:r>
      <w:r w:rsidRPr="00EB3D2F" w:rsidR="00263527">
        <w:t xml:space="preserve">. Elle </w:t>
      </w:r>
      <w:r w:rsidRPr="00EB3D2F" w:rsidR="00E77CB3">
        <w:t xml:space="preserve">accorde </w:t>
      </w:r>
      <w:r w:rsidRPr="00EB3D2F" w:rsidR="00263527">
        <w:t xml:space="preserve">donc </w:t>
      </w:r>
      <w:r w:rsidRPr="00EB3D2F">
        <w:t>aux requérants</w:t>
      </w:r>
      <w:r w:rsidRPr="00EB3D2F" w:rsidR="00263527">
        <w:t>, ensemble</w:t>
      </w:r>
      <w:r w:rsidRPr="00EB3D2F" w:rsidR="004617D2">
        <w:t>, 20 000</w:t>
      </w:r>
      <w:r w:rsidR="00C84F83">
        <w:t> EUR</w:t>
      </w:r>
      <w:r w:rsidRPr="00EB3D2F" w:rsidR="004617D2">
        <w:t xml:space="preserve"> pour frais et dépens</w:t>
      </w:r>
      <w:r w:rsidRPr="00EB3D2F" w:rsidR="00E77CB3">
        <w:t>.</w:t>
      </w:r>
    </w:p>
    <w:p w:rsidRPr="00EB3D2F" w:rsidR="00E77CB3" w:rsidP="00EB3D2F" w:rsidRDefault="00E77CB3">
      <w:pPr>
        <w:pStyle w:val="JuHA"/>
        <w:rPr>
          <w:lang w:val="fr-FR"/>
        </w:rPr>
      </w:pPr>
      <w:r w:rsidRPr="00EB3D2F">
        <w:rPr>
          <w:lang w:val="fr-FR"/>
        </w:rPr>
        <w:t>Intérêts moratoires</w:t>
      </w:r>
    </w:p>
    <w:p w:rsidRPr="00EB3D2F" w:rsidR="00AF0C40" w:rsidP="00EB3D2F" w:rsidRDefault="00382AC5">
      <w:pPr>
        <w:pStyle w:val="JuPara"/>
      </w:pPr>
      <w:r w:rsidRPr="00EB3D2F">
        <w:fldChar w:fldCharType="begin"/>
      </w:r>
      <w:r w:rsidRPr="00EB3D2F">
        <w:instrText xml:space="preserve"> SEQ level0 \*arabic </w:instrText>
      </w:r>
      <w:r w:rsidRPr="00EB3D2F">
        <w:fldChar w:fldCharType="separate"/>
      </w:r>
      <w:r w:rsidRPr="00EB3D2F" w:rsidR="00EB3D2F">
        <w:rPr>
          <w:noProof/>
        </w:rPr>
        <w:t>90</w:t>
      </w:r>
      <w:r w:rsidRPr="00EB3D2F">
        <w:fldChar w:fldCharType="end"/>
      </w:r>
      <w:r w:rsidRPr="00EB3D2F" w:rsidR="00E77CB3">
        <w:t>.  La Cour juge approprié de calquer le taux des intérêts moratoires sur le taux d</w:t>
      </w:r>
      <w:r w:rsidR="00062221">
        <w:t>’</w:t>
      </w:r>
      <w:r w:rsidRPr="00EB3D2F" w:rsidR="00E77CB3">
        <w:t>intérêt de la facilité de prêt marginal de la Banque centrale européenne majoré de trois points de pourcentage.</w:t>
      </w:r>
    </w:p>
    <w:p w:rsidRPr="00EB3D2F" w:rsidR="00C2408B" w:rsidP="00EB3D2F" w:rsidRDefault="00E77CB3">
      <w:pPr>
        <w:pStyle w:val="JuHHead"/>
        <w:rPr>
          <w:lang w:val="fr-FR"/>
        </w:rPr>
      </w:pPr>
      <w:r w:rsidRPr="00EB3D2F">
        <w:rPr>
          <w:lang w:val="fr-FR"/>
        </w:rPr>
        <w:t>PAR CES MOTIFS, LA COUR</w:t>
      </w:r>
    </w:p>
    <w:p w:rsidRPr="00EB3D2F" w:rsidR="00AF0C40" w:rsidP="00EB3D2F" w:rsidRDefault="00AF0C40">
      <w:pPr>
        <w:pStyle w:val="JuList"/>
      </w:pPr>
      <w:r w:rsidRPr="00EB3D2F">
        <w:rPr>
          <w:i/>
        </w:rPr>
        <w:t>Dit</w:t>
      </w:r>
      <w:r w:rsidRPr="00EB3D2F">
        <w:t xml:space="preserve">, </w:t>
      </w:r>
      <w:r w:rsidRPr="00EB3D2F" w:rsidR="00F847FF">
        <w:t xml:space="preserve">à </w:t>
      </w:r>
      <w:r w:rsidRPr="00EB3D2F">
        <w:t>l</w:t>
      </w:r>
      <w:r w:rsidR="00062221">
        <w:t>’</w:t>
      </w:r>
      <w:r w:rsidRPr="00EB3D2F">
        <w:t>unanimité, que M</w:t>
      </w:r>
      <w:r w:rsidRPr="00EB3D2F">
        <w:rPr>
          <w:vertAlign w:val="superscript"/>
        </w:rPr>
        <w:t>me</w:t>
      </w:r>
      <w:r w:rsidR="006F594E">
        <w:t> </w:t>
      </w:r>
      <w:r w:rsidRPr="00EB3D2F">
        <w:t xml:space="preserve">Marine Robert et </w:t>
      </w:r>
      <w:r w:rsidR="00A54A38">
        <w:t>M. </w:t>
      </w:r>
      <w:r w:rsidR="00AC442E">
        <w:t xml:space="preserve">Bruno </w:t>
      </w:r>
      <w:proofErr w:type="spellStart"/>
      <w:r w:rsidRPr="00EB3D2F">
        <w:t>Ballouey</w:t>
      </w:r>
      <w:proofErr w:type="spellEnd"/>
      <w:r w:rsidRPr="00EB3D2F">
        <w:t xml:space="preserve"> ont qualité pour agir au nom du feu </w:t>
      </w:r>
      <w:r w:rsidR="00A54A38">
        <w:t>M. </w:t>
      </w:r>
      <w:r w:rsidRPr="00EB3D2F">
        <w:t xml:space="preserve">Jacques </w:t>
      </w:r>
      <w:proofErr w:type="spellStart"/>
      <w:r w:rsidRPr="00EB3D2F">
        <w:t>Ballouey</w:t>
      </w:r>
      <w:proofErr w:type="spellEnd"/>
      <w:r w:rsidR="006A4DF1">
        <w:t> ;</w:t>
      </w:r>
    </w:p>
    <w:p w:rsidRPr="00EB3D2F" w:rsidR="004673B1" w:rsidP="00EB3D2F" w:rsidRDefault="004673B1">
      <w:pPr>
        <w:pStyle w:val="JuList"/>
      </w:pPr>
      <w:r w:rsidRPr="00EB3D2F">
        <w:rPr>
          <w:i/>
        </w:rPr>
        <w:t>Décide</w:t>
      </w:r>
      <w:r w:rsidRPr="00EB3D2F">
        <w:t xml:space="preserve">, </w:t>
      </w:r>
      <w:r w:rsidRPr="00EB3D2F" w:rsidR="00F847FF">
        <w:t xml:space="preserve">à </w:t>
      </w:r>
      <w:r w:rsidRPr="00EB3D2F">
        <w:t>l</w:t>
      </w:r>
      <w:r w:rsidR="00062221">
        <w:t>’</w:t>
      </w:r>
      <w:r w:rsidRPr="00EB3D2F">
        <w:t>unanimité, de joindre les requêtes</w:t>
      </w:r>
      <w:r w:rsidR="006A4DF1">
        <w:t> ;</w:t>
      </w:r>
    </w:p>
    <w:p w:rsidRPr="00EB3D2F" w:rsidR="00FB2B45" w:rsidP="00EB3D2F" w:rsidRDefault="00FB2B45">
      <w:pPr>
        <w:pStyle w:val="JuList"/>
      </w:pPr>
      <w:r w:rsidRPr="00EB3D2F">
        <w:rPr>
          <w:i/>
        </w:rPr>
        <w:t>Déclare</w:t>
      </w:r>
      <w:r w:rsidRPr="00EB3D2F" w:rsidR="00F778C2">
        <w:t xml:space="preserve">, </w:t>
      </w:r>
      <w:r w:rsidRPr="00EB3D2F" w:rsidR="00F847FF">
        <w:t xml:space="preserve">à </w:t>
      </w:r>
      <w:r w:rsidRPr="00EB3D2F" w:rsidR="00F778C2">
        <w:t>l</w:t>
      </w:r>
      <w:r w:rsidR="00062221">
        <w:t>’</w:t>
      </w:r>
      <w:r w:rsidRPr="00EB3D2F" w:rsidR="00F778C2">
        <w:t xml:space="preserve">unanimité, </w:t>
      </w:r>
      <w:r w:rsidRPr="00EB3D2F" w:rsidR="00382AC5">
        <w:t>les requêtes recevables</w:t>
      </w:r>
      <w:r w:rsidR="006A4DF1">
        <w:t> ;</w:t>
      </w:r>
    </w:p>
    <w:p w:rsidRPr="00EB3D2F" w:rsidR="00E77CB3" w:rsidP="00EB3D2F" w:rsidRDefault="00E77CB3">
      <w:pPr>
        <w:pStyle w:val="JuList"/>
      </w:pPr>
      <w:r w:rsidRPr="00EB3D2F">
        <w:rPr>
          <w:i/>
        </w:rPr>
        <w:t>Dit</w:t>
      </w:r>
      <w:r w:rsidRPr="00EB3D2F" w:rsidR="00382AC5">
        <w:t xml:space="preserve">, par </w:t>
      </w:r>
      <w:r w:rsidRPr="00EB3D2F" w:rsidR="0019749B">
        <w:t>six</w:t>
      </w:r>
      <w:r w:rsidRPr="00EB3D2F" w:rsidR="00382AC5">
        <w:t xml:space="preserve"> voix contre </w:t>
      </w:r>
      <w:r w:rsidRPr="00EB3D2F" w:rsidR="0019749B">
        <w:t>une,</w:t>
      </w:r>
      <w:r w:rsidRPr="00EB3D2F" w:rsidR="00382AC5">
        <w:t xml:space="preserve"> </w:t>
      </w:r>
      <w:r w:rsidRPr="00EB3D2F">
        <w:t>qu</w:t>
      </w:r>
      <w:r w:rsidR="00062221">
        <w:t>’</w:t>
      </w:r>
      <w:r w:rsidRPr="00EB3D2F">
        <w:t xml:space="preserve">il </w:t>
      </w:r>
      <w:r w:rsidRPr="00EB3D2F" w:rsidR="004E1905">
        <w:t>n</w:t>
      </w:r>
      <w:r w:rsidR="00062221">
        <w:t>’</w:t>
      </w:r>
      <w:r w:rsidRPr="00EB3D2F" w:rsidR="004E1905">
        <w:t xml:space="preserve">y a pas eu </w:t>
      </w:r>
      <w:r w:rsidRPr="00EB3D2F">
        <w:t>violation de l</w:t>
      </w:r>
      <w:r w:rsidR="00062221">
        <w:t>’</w:t>
      </w:r>
      <w:r w:rsidR="00565C93">
        <w:t>article </w:t>
      </w:r>
      <w:r w:rsidRPr="00EB3D2F" w:rsidR="004E1905">
        <w:t>7</w:t>
      </w:r>
      <w:r w:rsidRPr="00EB3D2F">
        <w:t xml:space="preserve"> de la Convention</w:t>
      </w:r>
      <w:r w:rsidR="006A4DF1">
        <w:t> ;</w:t>
      </w:r>
    </w:p>
    <w:p w:rsidRPr="00EB3D2F" w:rsidR="00E77CB3" w:rsidP="00EB3D2F" w:rsidRDefault="00E77CB3">
      <w:pPr>
        <w:pStyle w:val="JuList"/>
      </w:pPr>
      <w:r w:rsidRPr="00EB3D2F">
        <w:rPr>
          <w:i/>
        </w:rPr>
        <w:t>Dit</w:t>
      </w:r>
      <w:r w:rsidRPr="00EB3D2F" w:rsidR="00382AC5">
        <w:t xml:space="preserve">, </w:t>
      </w:r>
      <w:r w:rsidRPr="00EB3D2F" w:rsidR="00F847FF">
        <w:t xml:space="preserve">à </w:t>
      </w:r>
      <w:r w:rsidRPr="00EB3D2F" w:rsidR="00382AC5">
        <w:t>l</w:t>
      </w:r>
      <w:r w:rsidR="00062221">
        <w:t>’</w:t>
      </w:r>
      <w:r w:rsidRPr="00EB3D2F" w:rsidR="00382AC5">
        <w:t xml:space="preserve">unanimité, </w:t>
      </w:r>
      <w:r w:rsidRPr="00EB3D2F">
        <w:t>qu</w:t>
      </w:r>
      <w:r w:rsidR="00062221">
        <w:t>’</w:t>
      </w:r>
      <w:r w:rsidRPr="00EB3D2F">
        <w:t>il y a eu</w:t>
      </w:r>
      <w:r w:rsidRPr="00EB3D2F" w:rsidR="00FD658E">
        <w:t xml:space="preserve"> </w:t>
      </w:r>
      <w:r w:rsidRPr="00EB3D2F">
        <w:t>violation de l</w:t>
      </w:r>
      <w:r w:rsidR="00062221">
        <w:t>’</w:t>
      </w:r>
      <w:r w:rsidR="00565C93">
        <w:t>article </w:t>
      </w:r>
      <w:r w:rsidRPr="00EB3D2F" w:rsidR="004E1905">
        <w:t>10</w:t>
      </w:r>
      <w:r w:rsidRPr="00EB3D2F">
        <w:t xml:space="preserve"> de la Convention</w:t>
      </w:r>
      <w:r w:rsidR="006A4DF1">
        <w:t> ;</w:t>
      </w:r>
    </w:p>
    <w:p w:rsidRPr="00EB3D2F" w:rsidR="00E77CB3" w:rsidP="00EB3D2F" w:rsidRDefault="00E77CB3">
      <w:pPr>
        <w:pStyle w:val="JuList"/>
      </w:pPr>
      <w:r w:rsidRPr="00EB3D2F">
        <w:rPr>
          <w:i/>
        </w:rPr>
        <w:t>Dit</w:t>
      </w:r>
      <w:r w:rsidRPr="00EB3D2F" w:rsidR="0019749B">
        <w:t>,</w:t>
      </w:r>
      <w:r w:rsidRPr="00EB3D2F">
        <w:t xml:space="preserve"> </w:t>
      </w:r>
      <w:r w:rsidRPr="00EB3D2F" w:rsidR="00F847FF">
        <w:t xml:space="preserve">à </w:t>
      </w:r>
      <w:r w:rsidRPr="00EB3D2F" w:rsidR="00382AC5">
        <w:t>l</w:t>
      </w:r>
      <w:r w:rsidR="00062221">
        <w:t>’</w:t>
      </w:r>
      <w:r w:rsidRPr="00EB3D2F" w:rsidR="00382AC5">
        <w:t>unanimité,</w:t>
      </w:r>
    </w:p>
    <w:p w:rsidRPr="00EB3D2F" w:rsidR="00E77CB3" w:rsidP="00EB3D2F" w:rsidRDefault="00E77CB3">
      <w:pPr>
        <w:pStyle w:val="JuLista"/>
      </w:pPr>
      <w:r w:rsidRPr="00EB3D2F">
        <w:t>que l</w:t>
      </w:r>
      <w:r w:rsidR="00062221">
        <w:t>’</w:t>
      </w:r>
      <w:r w:rsidRPr="00EB3D2F">
        <w:t>État défendeur doit verser</w:t>
      </w:r>
      <w:r w:rsidRPr="00EB3D2F" w:rsidR="004617D2">
        <w:t>,</w:t>
      </w:r>
      <w:r w:rsidRPr="00EB3D2F">
        <w:t xml:space="preserve"> dans les trois mois</w:t>
      </w:r>
      <w:r w:rsidRPr="00EB3D2F" w:rsidR="004617D2">
        <w:t xml:space="preserve"> </w:t>
      </w:r>
      <w:r w:rsidRPr="00EB3D2F" w:rsidR="00F847FF">
        <w:t xml:space="preserve">à </w:t>
      </w:r>
      <w:r w:rsidRPr="00EB3D2F" w:rsidR="00382AC5">
        <w:t>compter du jour où l</w:t>
      </w:r>
      <w:r w:rsidR="00062221">
        <w:t>’</w:t>
      </w:r>
      <w:r w:rsidRPr="00EB3D2F" w:rsidR="00382AC5">
        <w:t xml:space="preserve">arrêt sera devenu définitif conformément </w:t>
      </w:r>
      <w:r w:rsidRPr="00EB3D2F" w:rsidR="00F847FF">
        <w:t xml:space="preserve">à </w:t>
      </w:r>
      <w:r w:rsidRPr="00EB3D2F" w:rsidR="00382AC5">
        <w:t>l</w:t>
      </w:r>
      <w:r w:rsidR="00062221">
        <w:t>’</w:t>
      </w:r>
      <w:r w:rsidR="00565C93">
        <w:t>article </w:t>
      </w:r>
      <w:r w:rsidRPr="00EB3D2F" w:rsidR="00382AC5">
        <w:t>44 </w:t>
      </w:r>
      <w:r w:rsidR="00565C93">
        <w:t>§ </w:t>
      </w:r>
      <w:r w:rsidRPr="00EB3D2F" w:rsidR="00382AC5">
        <w:t>2 de la Convention</w:t>
      </w:r>
      <w:r w:rsidRPr="00EB3D2F">
        <w:t>, les sommes suivantes</w:t>
      </w:r>
      <w:r w:rsidR="006A4DF1">
        <w:t> :</w:t>
      </w:r>
    </w:p>
    <w:p w:rsidRPr="00EB3D2F" w:rsidR="00E77CB3" w:rsidP="00EB3D2F" w:rsidRDefault="00F847FF">
      <w:pPr>
        <w:pStyle w:val="JuListi"/>
      </w:pPr>
      <w:r w:rsidRPr="00EB3D2F">
        <w:t xml:space="preserve">à </w:t>
      </w:r>
      <w:r w:rsidRPr="00EB3D2F" w:rsidR="00677229">
        <w:t>chacun des requérants, 380</w:t>
      </w:r>
      <w:r w:rsidR="00C84F83">
        <w:t> EUR</w:t>
      </w:r>
      <w:r w:rsidRPr="00EB3D2F" w:rsidR="00E77CB3">
        <w:t xml:space="preserve"> (</w:t>
      </w:r>
      <w:r w:rsidRPr="00EB3D2F" w:rsidR="00677229">
        <w:t>trois cent quatre-vingt</w:t>
      </w:r>
      <w:r w:rsidRPr="00EB3D2F" w:rsidR="00E77CB3">
        <w:t xml:space="preserve"> euros), plus tout montant pouvant être dû </w:t>
      </w:r>
      <w:r w:rsidR="006F594E">
        <w:t xml:space="preserve">sur cette somme </w:t>
      </w:r>
      <w:r w:rsidRPr="00EB3D2F">
        <w:t xml:space="preserve">à </w:t>
      </w:r>
      <w:r w:rsidRPr="00EB3D2F" w:rsidR="00E77CB3">
        <w:t>titre d</w:t>
      </w:r>
      <w:r w:rsidR="00062221">
        <w:t>’</w:t>
      </w:r>
      <w:r w:rsidRPr="00EB3D2F" w:rsidR="00E77CB3">
        <w:t>impôt, pour dommage matériel</w:t>
      </w:r>
      <w:r w:rsidR="006A4DF1">
        <w:t> ;</w:t>
      </w:r>
    </w:p>
    <w:p w:rsidRPr="00EB3D2F" w:rsidR="00E77CB3" w:rsidP="00EB3D2F" w:rsidRDefault="00F847FF">
      <w:pPr>
        <w:pStyle w:val="JuListi"/>
      </w:pPr>
      <w:r w:rsidRPr="00EB3D2F">
        <w:t xml:space="preserve">à </w:t>
      </w:r>
      <w:r w:rsidRPr="00EB3D2F" w:rsidR="004617D2">
        <w:t>chacun des requérants</w:t>
      </w:r>
      <w:r w:rsidRPr="00EB3D2F" w:rsidR="00677229">
        <w:t>,</w:t>
      </w:r>
      <w:r w:rsidRPr="00EB3D2F" w:rsidR="004617D2">
        <w:t xml:space="preserve"> </w:t>
      </w:r>
      <w:r w:rsidRPr="00EB3D2F" w:rsidR="005A09F0">
        <w:t>7</w:t>
      </w:r>
      <w:r w:rsidR="006F594E">
        <w:t> </w:t>
      </w:r>
      <w:r w:rsidRPr="00EB3D2F" w:rsidR="009C61B1">
        <w:t>000</w:t>
      </w:r>
      <w:r w:rsidR="00C84F83">
        <w:t> EUR</w:t>
      </w:r>
      <w:r w:rsidRPr="00EB3D2F" w:rsidR="00E77CB3">
        <w:t xml:space="preserve"> (</w:t>
      </w:r>
      <w:r w:rsidRPr="00EB3D2F" w:rsidR="005A09F0">
        <w:t>sept</w:t>
      </w:r>
      <w:r w:rsidRPr="00EB3D2F" w:rsidR="009C61B1">
        <w:t xml:space="preserve"> mille</w:t>
      </w:r>
      <w:r w:rsidRPr="00EB3D2F" w:rsidR="00E77CB3">
        <w:t xml:space="preserve"> euros), plus tout montant pouvant être dû </w:t>
      </w:r>
      <w:r w:rsidR="006F594E">
        <w:t xml:space="preserve">sur cette somme </w:t>
      </w:r>
      <w:r w:rsidRPr="00EB3D2F">
        <w:t xml:space="preserve">à </w:t>
      </w:r>
      <w:r w:rsidRPr="00EB3D2F" w:rsidR="00E77CB3">
        <w:t>titre d</w:t>
      </w:r>
      <w:r w:rsidR="00062221">
        <w:t>’</w:t>
      </w:r>
      <w:r w:rsidRPr="00EB3D2F" w:rsidR="00E77CB3">
        <w:t>impôt, pour dommage moral</w:t>
      </w:r>
      <w:r w:rsidR="006A4DF1">
        <w:t> ;</w:t>
      </w:r>
    </w:p>
    <w:p w:rsidRPr="00EB3D2F" w:rsidR="00E77CB3" w:rsidP="00EB3D2F" w:rsidRDefault="004617D2">
      <w:pPr>
        <w:pStyle w:val="JuListi"/>
      </w:pPr>
      <w:r w:rsidRPr="00EB3D2F">
        <w:t>aux requérants, ensemble, 20</w:t>
      </w:r>
      <w:r w:rsidR="006F594E">
        <w:t> </w:t>
      </w:r>
      <w:r w:rsidRPr="00EB3D2F">
        <w:t>000</w:t>
      </w:r>
      <w:r w:rsidR="00C84F83">
        <w:t> EUR</w:t>
      </w:r>
      <w:r w:rsidRPr="00EB3D2F" w:rsidR="00E77CB3">
        <w:t xml:space="preserve"> (</w:t>
      </w:r>
      <w:r w:rsidRPr="00EB3D2F">
        <w:t>vingt mille</w:t>
      </w:r>
      <w:r w:rsidRPr="00EB3D2F" w:rsidR="00E77CB3">
        <w:t xml:space="preserve"> euros), plus tout montant </w:t>
      </w:r>
      <w:r w:rsidRPr="00EB3D2F" w:rsidR="005E37C6">
        <w:t xml:space="preserve">pouvant être dû </w:t>
      </w:r>
      <w:r w:rsidR="006F594E">
        <w:t xml:space="preserve">sur cette somme </w:t>
      </w:r>
      <w:r w:rsidRPr="00EB3D2F" w:rsidR="005A69C9">
        <w:t xml:space="preserve">par les requérants </w:t>
      </w:r>
      <w:r w:rsidRPr="00EB3D2F" w:rsidR="00F847FF">
        <w:t xml:space="preserve">à </w:t>
      </w:r>
      <w:r w:rsidRPr="00EB3D2F" w:rsidR="005E37C6">
        <w:t>titre d</w:t>
      </w:r>
      <w:r w:rsidR="00062221">
        <w:t>’</w:t>
      </w:r>
      <w:r w:rsidRPr="00EB3D2F" w:rsidR="005E37C6">
        <w:t>impôt, pour frais et dépens</w:t>
      </w:r>
      <w:r w:rsidR="006A4DF1">
        <w:t> ;</w:t>
      </w:r>
    </w:p>
    <w:p w:rsidRPr="00EB3D2F" w:rsidR="003175BA" w:rsidP="00EB3D2F" w:rsidRDefault="00E77CB3">
      <w:pPr>
        <w:pStyle w:val="JuLista"/>
      </w:pPr>
      <w:r w:rsidRPr="00EB3D2F">
        <w:t>qu</w:t>
      </w:r>
      <w:r w:rsidR="00062221">
        <w:t>’</w:t>
      </w:r>
      <w:r w:rsidRPr="00EB3D2F" w:rsidR="00F847FF">
        <w:t xml:space="preserve">à </w:t>
      </w:r>
      <w:r w:rsidRPr="00EB3D2F">
        <w:t>compter de l</w:t>
      </w:r>
      <w:r w:rsidR="00062221">
        <w:t>’</w:t>
      </w:r>
      <w:r w:rsidRPr="00EB3D2F">
        <w:t>expiration dudit délai et jusqu</w:t>
      </w:r>
      <w:r w:rsidR="00062221">
        <w:t>’</w:t>
      </w:r>
      <w:r w:rsidRPr="00EB3D2F">
        <w:t xml:space="preserve">au versement, ces montants seront </w:t>
      </w:r>
      <w:r w:rsidRPr="00EB3D2F" w:rsidR="00F847FF">
        <w:t xml:space="preserve">à </w:t>
      </w:r>
      <w:r w:rsidRPr="00EB3D2F">
        <w:t>majorer d</w:t>
      </w:r>
      <w:r w:rsidR="00062221">
        <w:t>’</w:t>
      </w:r>
      <w:r w:rsidRPr="00EB3D2F">
        <w:t xml:space="preserve">un intérêt simple </w:t>
      </w:r>
      <w:r w:rsidRPr="00EB3D2F" w:rsidR="00F847FF">
        <w:t xml:space="preserve">à </w:t>
      </w:r>
      <w:r w:rsidRPr="00EB3D2F">
        <w:t xml:space="preserve">un taux égal </w:t>
      </w:r>
      <w:r w:rsidRPr="00EB3D2F" w:rsidR="00F847FF">
        <w:t xml:space="preserve">à </w:t>
      </w:r>
      <w:r w:rsidRPr="00EB3D2F">
        <w:t>celui de la facilité de prêt marginal de la Banque centrale européenne applicable pendant cette période, augmenté de trois points de pourcentage</w:t>
      </w:r>
      <w:r w:rsidR="006A4DF1">
        <w:t> ;</w:t>
      </w:r>
    </w:p>
    <w:p w:rsidRPr="00EB3D2F" w:rsidR="00E77CB3" w:rsidP="00EB3D2F" w:rsidRDefault="00E77CB3">
      <w:pPr>
        <w:pStyle w:val="JuList"/>
      </w:pPr>
      <w:r w:rsidRPr="00EB3D2F">
        <w:rPr>
          <w:i/>
        </w:rPr>
        <w:t>Rejette</w:t>
      </w:r>
      <w:r w:rsidRPr="00EB3D2F" w:rsidR="00382AC5">
        <w:t xml:space="preserve">, </w:t>
      </w:r>
      <w:r w:rsidRPr="00EB3D2F" w:rsidR="00F847FF">
        <w:t xml:space="preserve">à </w:t>
      </w:r>
      <w:r w:rsidRPr="00EB3D2F" w:rsidR="00382AC5">
        <w:t>l</w:t>
      </w:r>
      <w:r w:rsidR="00062221">
        <w:t>’</w:t>
      </w:r>
      <w:r w:rsidRPr="00EB3D2F" w:rsidR="00382AC5">
        <w:t xml:space="preserve">unanimité, </w:t>
      </w:r>
      <w:r w:rsidRPr="00EB3D2F">
        <w:t>la demande de satisfaction équitable pour le surplus.</w:t>
      </w:r>
    </w:p>
    <w:p w:rsidRPr="00EB3D2F" w:rsidR="00E77CB3" w:rsidP="00EB3D2F" w:rsidRDefault="00E77CB3">
      <w:pPr>
        <w:pStyle w:val="JuParaLast"/>
        <w:keepNext w:val="0"/>
        <w:keepLines w:val="0"/>
      </w:pPr>
      <w:r w:rsidRPr="00EB3D2F">
        <w:t>Fait en français, puis communiqué par écrit le</w:t>
      </w:r>
      <w:r w:rsidRPr="00EB3D2F" w:rsidR="00E61708">
        <w:t xml:space="preserve"> 11</w:t>
      </w:r>
      <w:r w:rsidR="00565C93">
        <w:t> juin</w:t>
      </w:r>
      <w:r w:rsidRPr="00EB3D2F" w:rsidR="004A026A">
        <w:t xml:space="preserve"> 2020</w:t>
      </w:r>
      <w:r w:rsidRPr="00EB3D2F">
        <w:t>, en application de l</w:t>
      </w:r>
      <w:r w:rsidR="00062221">
        <w:t>’</w:t>
      </w:r>
      <w:r w:rsidR="00565C93">
        <w:t>article </w:t>
      </w:r>
      <w:r w:rsidRPr="00EB3D2F">
        <w:t>77 §</w:t>
      </w:r>
      <w:r w:rsidR="00565C93">
        <w:t>§ </w:t>
      </w:r>
      <w:r w:rsidRPr="00EB3D2F">
        <w:t>2 et 3 du règlement</w:t>
      </w:r>
      <w:r w:rsidRPr="00EB3D2F" w:rsidR="00AC0824">
        <w:t xml:space="preserve"> de la Cour</w:t>
      </w:r>
      <w:r w:rsidRPr="00EB3D2F">
        <w:t>.</w:t>
      </w:r>
    </w:p>
    <w:p w:rsidRPr="00EB3D2F" w:rsidR="00E77CB3" w:rsidP="00EB3D2F" w:rsidRDefault="00382AC5">
      <w:pPr>
        <w:pStyle w:val="JuSigned"/>
      </w:pPr>
      <w:r w:rsidRPr="00EB3D2F">
        <w:tab/>
      </w:r>
      <w:r w:rsidRPr="00EB3D2F" w:rsidR="00742C62">
        <w:t xml:space="preserve">Victor </w:t>
      </w:r>
      <w:proofErr w:type="spellStart"/>
      <w:r w:rsidRPr="00EB3D2F" w:rsidR="00742C62">
        <w:t>Soloveytchik</w:t>
      </w:r>
      <w:proofErr w:type="spellEnd"/>
      <w:r w:rsidRPr="00EB3D2F" w:rsidR="00E77CB3">
        <w:tab/>
      </w:r>
      <w:proofErr w:type="spellStart"/>
      <w:r w:rsidRPr="00EB3D2F" w:rsidR="001A36D5">
        <w:t>Síofra</w:t>
      </w:r>
      <w:proofErr w:type="spellEnd"/>
      <w:r w:rsidRPr="00EB3D2F" w:rsidR="001A36D5">
        <w:t xml:space="preserve"> </w:t>
      </w:r>
      <w:proofErr w:type="spellStart"/>
      <w:r w:rsidRPr="00EB3D2F" w:rsidR="001A36D5">
        <w:t>O</w:t>
      </w:r>
      <w:r w:rsidR="00062221">
        <w:t>’</w:t>
      </w:r>
      <w:r w:rsidRPr="00EB3D2F" w:rsidR="001A36D5">
        <w:t>Leary</w:t>
      </w:r>
      <w:proofErr w:type="spellEnd"/>
      <w:r w:rsidRPr="00EB3D2F" w:rsidR="00E77CB3">
        <w:br/>
      </w:r>
      <w:r w:rsidRPr="00EB3D2F" w:rsidR="00E77CB3">
        <w:tab/>
      </w:r>
      <w:r w:rsidRPr="00EB3D2F">
        <w:t>Greffie</w:t>
      </w:r>
      <w:r w:rsidRPr="00EB3D2F" w:rsidR="00742C62">
        <w:t>r adjoint</w:t>
      </w:r>
      <w:r w:rsidRPr="00EB3D2F" w:rsidR="00E77CB3">
        <w:tab/>
      </w:r>
      <w:r w:rsidRPr="00EB3D2F">
        <w:t>Présidente</w:t>
      </w:r>
    </w:p>
    <w:p w:rsidRPr="00EB3D2F" w:rsidR="00F872F6" w:rsidP="00EB3D2F" w:rsidRDefault="00F872F6">
      <w:pPr>
        <w:pStyle w:val="JuParaLast"/>
      </w:pPr>
    </w:p>
    <w:p w:rsidRPr="00EB3D2F" w:rsidR="00886CD8" w:rsidP="00EB3D2F" w:rsidRDefault="00886CD8">
      <w:pPr>
        <w:pStyle w:val="JuParaLast"/>
      </w:pPr>
      <w:r w:rsidRPr="00EB3D2F">
        <w:t xml:space="preserve">Au présent arrêt se trouve joint, conformément aux </w:t>
      </w:r>
      <w:r w:rsidR="00565C93">
        <w:t>articles </w:t>
      </w:r>
      <w:r w:rsidRPr="00EB3D2F">
        <w:t xml:space="preserve">45 </w:t>
      </w:r>
      <w:r w:rsidR="00565C93">
        <w:t>§ </w:t>
      </w:r>
      <w:r w:rsidRPr="00EB3D2F">
        <w:t xml:space="preserve">2 de la Convention et 74 </w:t>
      </w:r>
      <w:r w:rsidR="00565C93">
        <w:t>§ </w:t>
      </w:r>
      <w:r w:rsidRPr="00EB3D2F">
        <w:t>2 du règlement, l</w:t>
      </w:r>
      <w:r w:rsidR="00062221">
        <w:t>’</w:t>
      </w:r>
      <w:r w:rsidRPr="00EB3D2F">
        <w:t>exposé de l</w:t>
      </w:r>
      <w:r w:rsidR="00062221">
        <w:t>’</w:t>
      </w:r>
      <w:r w:rsidRPr="00EB3D2F">
        <w:t>opinion séparée de la juge </w:t>
      </w:r>
      <w:proofErr w:type="spellStart"/>
      <w:r w:rsidRPr="00EB3D2F">
        <w:t>O</w:t>
      </w:r>
      <w:r w:rsidR="00062221">
        <w:t>’</w:t>
      </w:r>
      <w:r w:rsidRPr="00EB3D2F">
        <w:t>Leary</w:t>
      </w:r>
      <w:proofErr w:type="spellEnd"/>
      <w:r w:rsidRPr="00EB3D2F">
        <w:t>.</w:t>
      </w:r>
    </w:p>
    <w:p w:rsidRPr="00EB3D2F" w:rsidR="00886CD8" w:rsidP="00EB3D2F" w:rsidRDefault="00886CD8">
      <w:pPr>
        <w:pStyle w:val="JuInitialled"/>
      </w:pPr>
      <w:r w:rsidRPr="00EB3D2F">
        <w:t>S</w:t>
      </w:r>
      <w:r w:rsidR="00AE19B5">
        <w:t>.</w:t>
      </w:r>
      <w:r w:rsidRPr="00EB3D2F">
        <w:t>O</w:t>
      </w:r>
      <w:r w:rsidR="00062221">
        <w:t>’</w:t>
      </w:r>
      <w:r w:rsidRPr="00EB3D2F">
        <w:t>L</w:t>
      </w:r>
      <w:proofErr w:type="gramStart"/>
      <w:r w:rsidR="00AE19B5">
        <w:t>.</w:t>
      </w:r>
      <w:proofErr w:type="gramEnd"/>
      <w:r w:rsidRPr="00EB3D2F">
        <w:br/>
        <w:t>V</w:t>
      </w:r>
      <w:r w:rsidR="00AE19B5">
        <w:t>.</w:t>
      </w:r>
      <w:r w:rsidRPr="00EB3D2F">
        <w:t>S</w:t>
      </w:r>
      <w:r w:rsidR="00AE19B5">
        <w:t>.</w:t>
      </w:r>
      <w:r w:rsidRPr="00EB3D2F">
        <w:br/>
      </w:r>
    </w:p>
    <w:p w:rsidRPr="00EB3D2F" w:rsidR="00886CD8" w:rsidP="00EB3D2F" w:rsidRDefault="00886CD8">
      <w:pPr>
        <w:pStyle w:val="DecHTitle"/>
        <w:sectPr w:rsidRPr="00EB3D2F" w:rsidR="00886CD8" w:rsidSect="00066F40">
          <w:foot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rsidRPr="00EB3D2F" w:rsidR="00886CD8" w:rsidP="00EB3D2F" w:rsidRDefault="00886CD8">
      <w:pPr>
        <w:pStyle w:val="DecHTitle"/>
        <w:rPr>
          <w:rFonts w:eastAsia="Times New Roman"/>
        </w:rPr>
      </w:pPr>
      <w:bookmarkStart w:name="_Toc30606300" w:id="2"/>
      <w:r w:rsidRPr="00EB3D2F">
        <w:rPr>
          <w:rFonts w:eastAsia="Times New Roman"/>
        </w:rPr>
        <w:t>OPINION EN PARTIE DISSIDENTE ET EN PARTIE CONCORDANTE DE LA JUGE O</w:t>
      </w:r>
      <w:r w:rsidR="00062221">
        <w:rPr>
          <w:rFonts w:eastAsia="Times New Roman"/>
        </w:rPr>
        <w:t>’</w:t>
      </w:r>
      <w:r w:rsidRPr="00EB3D2F">
        <w:rPr>
          <w:rFonts w:eastAsia="Times New Roman"/>
        </w:rPr>
        <w:t>LEARY</w:t>
      </w:r>
    </w:p>
    <w:p w:rsidR="00886CD8" w:rsidP="00EB3D2F" w:rsidRDefault="00886CD8">
      <w:pPr>
        <w:pStyle w:val="OpiTranslation"/>
        <w:rPr>
          <w:rFonts w:eastAsia="Times New Roman"/>
          <w:lang w:val="fr-FR"/>
        </w:rPr>
      </w:pPr>
      <w:r w:rsidRPr="00EB3D2F">
        <w:rPr>
          <w:rFonts w:eastAsia="Times New Roman"/>
          <w:lang w:val="fr-FR"/>
        </w:rPr>
        <w:t>(Traduction)</w:t>
      </w:r>
    </w:p>
    <w:p w:rsidRPr="00062221" w:rsidR="0008476E" w:rsidP="00062221" w:rsidRDefault="0008476E">
      <w:pPr>
        <w:pStyle w:val="OpiPara"/>
      </w:pPr>
    </w:p>
    <w:bookmarkEnd w:id="2"/>
    <w:p w:rsidRPr="00EB3D2F" w:rsidR="00886CD8" w:rsidP="00EB3D2F" w:rsidRDefault="00886CD8">
      <w:pPr>
        <w:pStyle w:val="OpiPara"/>
        <w:rPr>
          <w:rFonts w:eastAsia="Times New Roman"/>
        </w:rPr>
      </w:pPr>
      <w:r w:rsidRPr="00EB3D2F">
        <w:rPr>
          <w:rFonts w:eastAsia="Times New Roman"/>
        </w:rPr>
        <w:fldChar w:fldCharType="begin"/>
      </w:r>
      <w:r w:rsidRPr="00EB3D2F">
        <w:rPr>
          <w:rFonts w:eastAsia="Times New Roman"/>
        </w:rPr>
        <w:instrText xml:space="preserve"> SEQ level0 \*arabic \r1 </w:instrText>
      </w:r>
      <w:r w:rsidRPr="00EB3D2F">
        <w:rPr>
          <w:rFonts w:eastAsia="Times New Roman"/>
        </w:rPr>
        <w:fldChar w:fldCharType="separate"/>
      </w:r>
      <w:r w:rsidRPr="00EB3D2F" w:rsidR="00EB3D2F">
        <w:rPr>
          <w:rFonts w:eastAsia="Times New Roman"/>
          <w:noProof/>
        </w:rPr>
        <w:t>1</w:t>
      </w:r>
      <w:r w:rsidRPr="00EB3D2F">
        <w:rPr>
          <w:rFonts w:eastAsia="Times New Roman"/>
        </w:rPr>
        <w:fldChar w:fldCharType="end"/>
      </w:r>
      <w:r w:rsidRPr="00EB3D2F">
        <w:rPr>
          <w:rFonts w:eastAsia="Times New Roman"/>
        </w:rPr>
        <w:t>.  La présente affaire découle de la condamnation pénale de membres d</w:t>
      </w:r>
      <w:r w:rsidR="00062221">
        <w:rPr>
          <w:rFonts w:eastAsia="Times New Roman"/>
        </w:rPr>
        <w:t>’</w:t>
      </w:r>
      <w:r w:rsidRPr="00EB3D2F">
        <w:rPr>
          <w:rFonts w:eastAsia="Times New Roman"/>
        </w:rPr>
        <w:t xml:space="preserve">un groupe lié à un mouvement international </w:t>
      </w:r>
      <w:r w:rsidR="00977163">
        <w:rPr>
          <w:rFonts w:eastAsia="Times New Roman"/>
        </w:rPr>
        <w:t>–</w:t>
      </w:r>
      <w:r w:rsidRPr="00EB3D2F">
        <w:rPr>
          <w:rFonts w:eastAsia="Times New Roman"/>
        </w:rPr>
        <w:t xml:space="preserve"> le mouvement BDS (Boycott, Désinvestissement et Sanctions) – à la suite de leur participation à des manifestations qui s</w:t>
      </w:r>
      <w:r w:rsidR="00062221">
        <w:rPr>
          <w:rFonts w:eastAsia="Times New Roman"/>
        </w:rPr>
        <w:t>’</w:t>
      </w:r>
      <w:r w:rsidRPr="00EB3D2F">
        <w:rPr>
          <w:rFonts w:eastAsia="Times New Roman"/>
        </w:rPr>
        <w:t>étaient déroulées en</w:t>
      </w:r>
      <w:r w:rsidR="004557A3">
        <w:rPr>
          <w:rFonts w:eastAsia="Times New Roman"/>
        </w:rPr>
        <w:t xml:space="preserve"> </w:t>
      </w:r>
      <w:r w:rsidR="00565C93">
        <w:rPr>
          <w:rFonts w:eastAsia="Times New Roman"/>
        </w:rPr>
        <w:t>septembre</w:t>
      </w:r>
      <w:r w:rsidRPr="00EB3D2F">
        <w:rPr>
          <w:rFonts w:eastAsia="Times New Roman"/>
        </w:rPr>
        <w:t xml:space="preserve"> 2009 et</w:t>
      </w:r>
      <w:r w:rsidR="004557A3">
        <w:rPr>
          <w:rFonts w:eastAsia="Times New Roman"/>
        </w:rPr>
        <w:t xml:space="preserve"> </w:t>
      </w:r>
      <w:r w:rsidR="00565C93">
        <w:rPr>
          <w:rFonts w:eastAsia="Times New Roman"/>
        </w:rPr>
        <w:t xml:space="preserve">mai </w:t>
      </w:r>
      <w:r w:rsidRPr="00EB3D2F">
        <w:rPr>
          <w:rFonts w:eastAsia="Times New Roman"/>
        </w:rPr>
        <w:t>2010 dans un hypermarché français.</w:t>
      </w:r>
    </w:p>
    <w:p w:rsidRPr="00EB3D2F" w:rsidR="00886CD8" w:rsidP="00EB3D2F" w:rsidRDefault="00886CD8">
      <w:pPr>
        <w:pStyle w:val="Opi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w:t>
      </w:r>
      <w:r w:rsidRPr="00EB3D2F">
        <w:rPr>
          <w:rFonts w:eastAsia="Times New Roman"/>
        </w:rPr>
        <w:fldChar w:fldCharType="end"/>
      </w:r>
      <w:r w:rsidRPr="00EB3D2F">
        <w:rPr>
          <w:rFonts w:eastAsia="Times New Roman"/>
        </w:rPr>
        <w:t>.  Je souscris au constat unanime de la chambre selon lequel il y a eu violation de l</w:t>
      </w:r>
      <w:r w:rsidR="00062221">
        <w:rPr>
          <w:rFonts w:eastAsia="Times New Roman"/>
        </w:rPr>
        <w:t>’</w:t>
      </w:r>
      <w:r w:rsidR="00565C93">
        <w:rPr>
          <w:rFonts w:eastAsia="Times New Roman"/>
        </w:rPr>
        <w:t>article </w:t>
      </w:r>
      <w:r w:rsidRPr="00EB3D2F">
        <w:rPr>
          <w:rFonts w:eastAsia="Times New Roman"/>
        </w:rPr>
        <w:t>10 de la Convention. Il ne fait aucun doute que le droit français, tel qu</w:t>
      </w:r>
      <w:r w:rsidR="00062221">
        <w:rPr>
          <w:rFonts w:eastAsia="Times New Roman"/>
        </w:rPr>
        <w:t>’</w:t>
      </w:r>
      <w:r w:rsidRPr="00EB3D2F">
        <w:rPr>
          <w:rFonts w:eastAsia="Times New Roman"/>
        </w:rPr>
        <w:t>interprété et appliqué par les juridictions internes, emporte violation du droit à la liberté d</w:t>
      </w:r>
      <w:r w:rsidR="00062221">
        <w:rPr>
          <w:rFonts w:eastAsia="Times New Roman"/>
        </w:rPr>
        <w:t>’</w:t>
      </w:r>
      <w:r w:rsidRPr="00EB3D2F">
        <w:rPr>
          <w:rFonts w:eastAsia="Times New Roman"/>
        </w:rPr>
        <w:t>expression protégé par la Convention.</w:t>
      </w:r>
    </w:p>
    <w:p w:rsidRPr="00EB3D2F" w:rsidR="00886CD8" w:rsidP="00EB3D2F" w:rsidRDefault="00886CD8">
      <w:pPr>
        <w:pStyle w:val="Opi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w:t>
      </w:r>
      <w:r w:rsidRPr="00EB3D2F">
        <w:rPr>
          <w:rFonts w:eastAsia="Times New Roman"/>
        </w:rPr>
        <w:fldChar w:fldCharType="end"/>
      </w:r>
      <w:r w:rsidRPr="00EB3D2F">
        <w:rPr>
          <w:rFonts w:eastAsia="Times New Roman"/>
        </w:rPr>
        <w:t>.  Je suis néanmoins au regret de ne pouvoir me rallier à la décision de mes collègues de conclure à la non</w:t>
      </w:r>
      <w:r w:rsidRPr="00EB3D2F">
        <w:rPr>
          <w:rFonts w:eastAsia="Times New Roman"/>
        </w:rPr>
        <w:noBreakHyphen/>
        <w:t>violation de l</w:t>
      </w:r>
      <w:r w:rsidR="00062221">
        <w:rPr>
          <w:rFonts w:eastAsia="Times New Roman"/>
        </w:rPr>
        <w:t>’</w:t>
      </w:r>
      <w:r w:rsidR="00565C93">
        <w:rPr>
          <w:rFonts w:eastAsia="Times New Roman"/>
        </w:rPr>
        <w:t>article </w:t>
      </w:r>
      <w:r w:rsidRPr="00EB3D2F">
        <w:rPr>
          <w:rFonts w:eastAsia="Times New Roman"/>
        </w:rPr>
        <w:t>7 de la Convention. Les requérants ont soulevé devant la Cour comme devant les juridictions internes des questions sérieuses quant à la prévisibilité, au sens de la jurisprudence de la Cour, du cadre réglementaire français tel qu</w:t>
      </w:r>
      <w:r w:rsidR="00062221">
        <w:rPr>
          <w:rFonts w:eastAsia="Times New Roman"/>
        </w:rPr>
        <w:t>’</w:t>
      </w:r>
      <w:r w:rsidRPr="00EB3D2F">
        <w:rPr>
          <w:rFonts w:eastAsia="Times New Roman"/>
        </w:rPr>
        <w:t>interprété et appliqué aux manifestants. Ces questions auraient pu être examinées soit sous l</w:t>
      </w:r>
      <w:r w:rsidR="00062221">
        <w:rPr>
          <w:rFonts w:eastAsia="Times New Roman"/>
        </w:rPr>
        <w:t>’</w:t>
      </w:r>
      <w:r w:rsidRPr="00EB3D2F">
        <w:rPr>
          <w:rFonts w:eastAsia="Times New Roman"/>
        </w:rPr>
        <w:t>angle de l</w:t>
      </w:r>
      <w:r w:rsidR="00062221">
        <w:rPr>
          <w:rFonts w:eastAsia="Times New Roman"/>
        </w:rPr>
        <w:t>’</w:t>
      </w:r>
      <w:r w:rsidR="00565C93">
        <w:rPr>
          <w:rFonts w:eastAsia="Times New Roman"/>
        </w:rPr>
        <w:t>article </w:t>
      </w:r>
      <w:r w:rsidRPr="00EB3D2F">
        <w:rPr>
          <w:rFonts w:eastAsia="Times New Roman"/>
        </w:rPr>
        <w:t>7, soit à l</w:t>
      </w:r>
      <w:r w:rsidR="00062221">
        <w:rPr>
          <w:rFonts w:eastAsia="Times New Roman"/>
        </w:rPr>
        <w:t>’</w:t>
      </w:r>
      <w:r w:rsidRPr="00EB3D2F">
        <w:rPr>
          <w:rFonts w:eastAsia="Times New Roman"/>
        </w:rPr>
        <w:t xml:space="preserve">aune du critère de </w:t>
      </w:r>
      <w:r w:rsidR="006A4DF1">
        <w:rPr>
          <w:rFonts w:eastAsia="Times New Roman"/>
        </w:rPr>
        <w:t>« </w:t>
      </w:r>
      <w:r w:rsidRPr="00EB3D2F">
        <w:rPr>
          <w:rFonts w:eastAsia="Times New Roman"/>
        </w:rPr>
        <w:t>légalité</w:t>
      </w:r>
      <w:r w:rsidR="006A4DF1">
        <w:rPr>
          <w:rFonts w:eastAsia="Times New Roman"/>
        </w:rPr>
        <w:t> »</w:t>
      </w:r>
      <w:r w:rsidRPr="00EB3D2F">
        <w:rPr>
          <w:rFonts w:eastAsia="Times New Roman"/>
        </w:rPr>
        <w:t xml:space="preserve"> posé par l</w:t>
      </w:r>
      <w:r w:rsidR="00062221">
        <w:rPr>
          <w:rFonts w:eastAsia="Times New Roman"/>
        </w:rPr>
        <w:t>’</w:t>
      </w:r>
      <w:r w:rsidR="00565C93">
        <w:rPr>
          <w:rFonts w:eastAsia="Times New Roman"/>
        </w:rPr>
        <w:t>article </w:t>
      </w:r>
      <w:r w:rsidRPr="00EB3D2F">
        <w:rPr>
          <w:rFonts w:eastAsia="Times New Roman"/>
        </w:rPr>
        <w:t xml:space="preserve">10 </w:t>
      </w:r>
      <w:r w:rsidR="00565C93">
        <w:rPr>
          <w:rFonts w:eastAsia="Times New Roman"/>
        </w:rPr>
        <w:t>§ </w:t>
      </w:r>
      <w:r w:rsidRPr="00EB3D2F">
        <w:rPr>
          <w:rFonts w:eastAsia="Times New Roman"/>
        </w:rPr>
        <w:t>2 de la Convention.</w:t>
      </w:r>
    </w:p>
    <w:p w:rsidRPr="00EB3D2F" w:rsidR="00886CD8" w:rsidP="00EB3D2F" w:rsidRDefault="00886CD8">
      <w:pPr>
        <w:pStyle w:val="OpiPara"/>
      </w:pPr>
      <w:r w:rsidRPr="00EB3D2F">
        <w:fldChar w:fldCharType="begin"/>
      </w:r>
      <w:r w:rsidRPr="00EB3D2F">
        <w:instrText xml:space="preserve"> SEQ level0 \*arabic </w:instrText>
      </w:r>
      <w:r w:rsidRPr="00EB3D2F">
        <w:fldChar w:fldCharType="separate"/>
      </w:r>
      <w:r w:rsidRPr="00EB3D2F" w:rsidR="00EB3D2F">
        <w:rPr>
          <w:noProof/>
        </w:rPr>
        <w:t>4</w:t>
      </w:r>
      <w:r w:rsidRPr="00EB3D2F">
        <w:fldChar w:fldCharType="end"/>
      </w:r>
      <w:r w:rsidRPr="00EB3D2F">
        <w:t>.  Dans un cas comme dans l</w:t>
      </w:r>
      <w:r w:rsidR="00062221">
        <w:t>’</w:t>
      </w:r>
      <w:r w:rsidRPr="00EB3D2F">
        <w:t>autre, la chambre ne pouvait se borner à s</w:t>
      </w:r>
      <w:r w:rsidR="00062221">
        <w:t>’</w:t>
      </w:r>
      <w:r w:rsidRPr="00EB3D2F">
        <w:t>appuyer sur l</w:t>
      </w:r>
      <w:r w:rsidR="00062221">
        <w:t>’</w:t>
      </w:r>
      <w:r w:rsidRPr="00EB3D2F">
        <w:t>arrêt qu</w:t>
      </w:r>
      <w:r w:rsidR="00062221">
        <w:t>’</w:t>
      </w:r>
      <w:r w:rsidRPr="00EB3D2F">
        <w:t>elle avait rendu en 2009 dans l</w:t>
      </w:r>
      <w:r w:rsidR="00062221">
        <w:t>’</w:t>
      </w:r>
      <w:r w:rsidRPr="00EB3D2F">
        <w:t xml:space="preserve">affaire </w:t>
      </w:r>
      <w:r w:rsidRPr="00EB3D2F">
        <w:rPr>
          <w:i/>
        </w:rPr>
        <w:t>Willem</w:t>
      </w:r>
      <w:r w:rsidR="00565C93">
        <w:rPr>
          <w:i/>
        </w:rPr>
        <w:t xml:space="preserve"> c. </w:t>
      </w:r>
      <w:r w:rsidRPr="00EB3D2F">
        <w:rPr>
          <w:i/>
        </w:rPr>
        <w:t>France</w:t>
      </w:r>
      <w:r w:rsidRPr="00EB3D2F">
        <w:t xml:space="preserve"> (n</w:t>
      </w:r>
      <w:r w:rsidRPr="00565C93" w:rsidR="00565C93">
        <w:rPr>
          <w:vertAlign w:val="superscript"/>
        </w:rPr>
        <w:t>o</w:t>
      </w:r>
      <w:r w:rsidRPr="00565C93" w:rsidR="00565C93">
        <w:t> </w:t>
      </w:r>
      <w:r w:rsidRPr="00EB3D2F">
        <w:t>10883/05, 16</w:t>
      </w:r>
      <w:r w:rsidR="00565C93">
        <w:t> juillet</w:t>
      </w:r>
      <w:r w:rsidRPr="00EB3D2F">
        <w:t xml:space="preserve"> 2009) ni, en particulier, sur les arrêts de la cour d</w:t>
      </w:r>
      <w:r w:rsidR="00062221">
        <w:t>’</w:t>
      </w:r>
      <w:r w:rsidRPr="00EB3D2F">
        <w:t>appel et de la Cour de cassation qui l</w:t>
      </w:r>
      <w:r w:rsidR="00062221">
        <w:t>’</w:t>
      </w:r>
      <w:r w:rsidRPr="00EB3D2F">
        <w:t>avaient précédé.</w:t>
      </w:r>
    </w:p>
    <w:p w:rsidRPr="00EB3D2F" w:rsidR="00886CD8" w:rsidP="00EB3D2F" w:rsidRDefault="00886CD8">
      <w:pPr>
        <w:pStyle w:val="OpiPara"/>
      </w:pPr>
      <w:r w:rsidRPr="00EB3D2F">
        <w:fldChar w:fldCharType="begin"/>
      </w:r>
      <w:r w:rsidRPr="00EB3D2F">
        <w:instrText xml:space="preserve"> SEQ level0 \*arabic </w:instrText>
      </w:r>
      <w:r w:rsidRPr="00EB3D2F">
        <w:fldChar w:fldCharType="separate"/>
      </w:r>
      <w:r w:rsidRPr="00EB3D2F" w:rsidR="00EB3D2F">
        <w:rPr>
          <w:noProof/>
        </w:rPr>
        <w:t>5</w:t>
      </w:r>
      <w:r w:rsidRPr="00EB3D2F">
        <w:fldChar w:fldCharType="end"/>
      </w:r>
      <w:r w:rsidRPr="00EB3D2F">
        <w:t>.  Étant donné que la Cour de cassation ne s</w:t>
      </w:r>
      <w:r w:rsidR="00062221">
        <w:t>’</w:t>
      </w:r>
      <w:r w:rsidRPr="00EB3D2F">
        <w:t>est tout simplement pas penchée sur la substance du grief tiré de l</w:t>
      </w:r>
      <w:r w:rsidR="00062221">
        <w:t>’</w:t>
      </w:r>
      <w:r w:rsidR="00565C93">
        <w:t>article </w:t>
      </w:r>
      <w:r w:rsidRPr="00EB3D2F">
        <w:t>7 dans l</w:t>
      </w:r>
      <w:r w:rsidR="00062221">
        <w:t>’</w:t>
      </w:r>
      <w:r w:rsidRPr="00EB3D2F">
        <w:t>arrêt qu</w:t>
      </w:r>
      <w:r w:rsidR="00062221">
        <w:t>’</w:t>
      </w:r>
      <w:r w:rsidRPr="00EB3D2F">
        <w:t>elle a rendu en 2015, j</w:t>
      </w:r>
      <w:r w:rsidR="00062221">
        <w:t>’</w:t>
      </w:r>
      <w:r w:rsidRPr="00EB3D2F">
        <w:t>estime que tant la plus haute juridiction pénale de France que la Cour de Strasbourg persistent depuis plusieurs années à ne pas traiter de la question de la prévisibilité du droit français relatif aux boycotts.</w:t>
      </w:r>
    </w:p>
    <w:p w:rsidRPr="00EB3D2F" w:rsidR="00886CD8" w:rsidP="00EB3D2F" w:rsidRDefault="00886CD8">
      <w:pPr>
        <w:pStyle w:val="JuHIRoman"/>
        <w:rPr>
          <w:rFonts w:eastAsia="Times New Roman"/>
        </w:rPr>
      </w:pPr>
      <w:r w:rsidRPr="00EB3D2F">
        <w:rPr>
          <w:rFonts w:eastAsia="Times New Roman"/>
        </w:rPr>
        <w:t>Le contexte de l</w:t>
      </w:r>
      <w:r w:rsidR="00062221">
        <w:rPr>
          <w:rFonts w:eastAsia="Times New Roman"/>
        </w:rPr>
        <w:t>’</w:t>
      </w:r>
      <w:r w:rsidRPr="00EB3D2F">
        <w:rPr>
          <w:rFonts w:eastAsia="Times New Roman"/>
        </w:rPr>
        <w:t>affaire</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6</w:t>
      </w:r>
      <w:r w:rsidRPr="00EB3D2F">
        <w:rPr>
          <w:rFonts w:eastAsia="Times New Roman"/>
        </w:rPr>
        <w:fldChar w:fldCharType="end"/>
      </w:r>
      <w:r w:rsidRPr="00EB3D2F">
        <w:rPr>
          <w:rFonts w:eastAsia="Times New Roman"/>
        </w:rPr>
        <w:t>.  Le 9</w:t>
      </w:r>
      <w:r w:rsidR="00565C93">
        <w:rPr>
          <w:rFonts w:eastAsia="Times New Roman"/>
        </w:rPr>
        <w:t> juillet</w:t>
      </w:r>
      <w:r w:rsidRPr="00EB3D2F">
        <w:rPr>
          <w:rFonts w:eastAsia="Times New Roman"/>
        </w:rPr>
        <w:t xml:space="preserve"> 2004, la Cour internationale de justice rendit son avis consultatif sur les conséquences juridiques de l</w:t>
      </w:r>
      <w:r w:rsidR="00062221">
        <w:rPr>
          <w:rFonts w:eastAsia="Times New Roman"/>
        </w:rPr>
        <w:t>’</w:t>
      </w:r>
      <w:r w:rsidRPr="00EB3D2F">
        <w:rPr>
          <w:rFonts w:eastAsia="Times New Roman"/>
        </w:rPr>
        <w:t>édification d</w:t>
      </w:r>
      <w:r w:rsidR="00062221">
        <w:rPr>
          <w:rFonts w:eastAsia="Times New Roman"/>
        </w:rPr>
        <w:t>’</w:t>
      </w:r>
      <w:r w:rsidRPr="00EB3D2F">
        <w:rPr>
          <w:rFonts w:eastAsia="Times New Roman"/>
        </w:rPr>
        <w:t>un mur dans le territoire palestinien occupé (CIJ Recueil 2004, p.</w:t>
      </w:r>
      <w:r w:rsidR="009F7E67">
        <w:rPr>
          <w:rFonts w:eastAsia="Times New Roman"/>
        </w:rPr>
        <w:t> </w:t>
      </w:r>
      <w:r w:rsidRPr="00EB3D2F">
        <w:rPr>
          <w:rFonts w:eastAsia="Times New Roman"/>
        </w:rPr>
        <w:t>136).</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7</w:t>
      </w:r>
      <w:r w:rsidRPr="00EB3D2F">
        <w:rPr>
          <w:rFonts w:eastAsia="Times New Roman"/>
        </w:rPr>
        <w:fldChar w:fldCharType="end"/>
      </w:r>
      <w:r w:rsidRPr="00EB3D2F">
        <w:rPr>
          <w:rFonts w:eastAsia="Times New Roman"/>
        </w:rPr>
        <w:t>.  Le mouvement BDS, que j</w:t>
      </w:r>
      <w:r w:rsidR="00062221">
        <w:rPr>
          <w:rFonts w:eastAsia="Times New Roman"/>
        </w:rPr>
        <w:t>’</w:t>
      </w:r>
      <w:r w:rsidRPr="00EB3D2F">
        <w:rPr>
          <w:rFonts w:eastAsia="Times New Roman"/>
        </w:rPr>
        <w:t>évoquerai brièvement ci-après lorsque je traiterai du grief tiré de l</w:t>
      </w:r>
      <w:r w:rsidR="00062221">
        <w:rPr>
          <w:rFonts w:eastAsia="Times New Roman"/>
        </w:rPr>
        <w:t>’</w:t>
      </w:r>
      <w:r w:rsidR="00565C93">
        <w:rPr>
          <w:rFonts w:eastAsia="Times New Roman"/>
        </w:rPr>
        <w:t>article </w:t>
      </w:r>
      <w:r w:rsidRPr="00EB3D2F">
        <w:rPr>
          <w:rFonts w:eastAsia="Times New Roman"/>
        </w:rPr>
        <w:t>10, vit le jour un an plus tard.</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8</w:t>
      </w:r>
      <w:r w:rsidRPr="00EB3D2F">
        <w:rPr>
          <w:rFonts w:eastAsia="Times New Roman"/>
        </w:rPr>
        <w:fldChar w:fldCharType="end"/>
      </w:r>
      <w:r w:rsidRPr="00EB3D2F">
        <w:rPr>
          <w:rFonts w:eastAsia="Times New Roman"/>
        </w:rPr>
        <w:t>.  Au cours des manifestations qui furent organisées en 2009 et 2010 dans un hypermarché, les requérants, qui arboraient des t</w:t>
      </w:r>
      <w:r w:rsidR="00CD0906">
        <w:rPr>
          <w:rFonts w:eastAsia="Times New Roman"/>
        </w:rPr>
        <w:t>ee</w:t>
      </w:r>
      <w:r w:rsidRPr="00EB3D2F">
        <w:rPr>
          <w:rFonts w:eastAsia="Times New Roman"/>
        </w:rPr>
        <w:t>-shirts portant l</w:t>
      </w:r>
      <w:r w:rsidR="00062221">
        <w:rPr>
          <w:rFonts w:eastAsia="Times New Roman"/>
        </w:rPr>
        <w:t>’</w:t>
      </w:r>
      <w:r w:rsidRPr="00EB3D2F">
        <w:rPr>
          <w:rFonts w:eastAsia="Times New Roman"/>
        </w:rPr>
        <w:t xml:space="preserve">inscription </w:t>
      </w:r>
      <w:r w:rsidR="006A4DF1">
        <w:rPr>
          <w:rFonts w:eastAsia="Times New Roman"/>
        </w:rPr>
        <w:t>« </w:t>
      </w:r>
      <w:r w:rsidRPr="00EB3D2F">
        <w:rPr>
          <w:rFonts w:eastAsia="Times New Roman"/>
        </w:rPr>
        <w:t>Palestine vivra</w:t>
      </w:r>
      <w:r w:rsidR="006A4DF1">
        <w:rPr>
          <w:rFonts w:eastAsia="Times New Roman"/>
        </w:rPr>
        <w:t> »</w:t>
      </w:r>
      <w:r w:rsidRPr="00EB3D2F">
        <w:rPr>
          <w:rFonts w:eastAsia="Times New Roman"/>
        </w:rPr>
        <w:t>, exposèrent dans des caddies des avocats et des lingettes pour bébé importés d</w:t>
      </w:r>
      <w:r w:rsidR="00062221">
        <w:rPr>
          <w:rFonts w:eastAsia="Times New Roman"/>
        </w:rPr>
        <w:t>’</w:t>
      </w:r>
      <w:r w:rsidRPr="00EB3D2F">
        <w:rPr>
          <w:rFonts w:eastAsia="Times New Roman"/>
        </w:rPr>
        <w:t>Israël, distribuèrent des tracts et appelèrent les clients à boycotter les produits en provenance d</w:t>
      </w:r>
      <w:r w:rsidR="00062221">
        <w:rPr>
          <w:rFonts w:eastAsia="Times New Roman"/>
        </w:rPr>
        <w:t>’</w:t>
      </w:r>
      <w:r w:rsidRPr="00EB3D2F">
        <w:rPr>
          <w:rFonts w:eastAsia="Times New Roman"/>
        </w:rPr>
        <w:t>Israël, et des territoires occupés en particulier, et à signer une pétition destinée à la direction du magasin. Des vidéos de l</w:t>
      </w:r>
      <w:r w:rsidR="00062221">
        <w:rPr>
          <w:rFonts w:eastAsia="Times New Roman"/>
        </w:rPr>
        <w:t>’</w:t>
      </w:r>
      <w:r w:rsidRPr="00EB3D2F">
        <w:rPr>
          <w:rFonts w:eastAsia="Times New Roman"/>
        </w:rPr>
        <w:t>événement furent diffusées sur Internet. Ainsi que les juridictions françaises le soulignèrent, le but politique de ces actions était d</w:t>
      </w:r>
      <w:r w:rsidR="00062221">
        <w:rPr>
          <w:rFonts w:eastAsia="Times New Roman"/>
        </w:rPr>
        <w:t>’</w:t>
      </w:r>
      <w:r w:rsidRPr="00EB3D2F">
        <w:rPr>
          <w:rFonts w:eastAsia="Times New Roman"/>
        </w:rPr>
        <w:t>appeler les consommateurs à boycotter les produits en provenance d</w:t>
      </w:r>
      <w:r w:rsidR="00062221">
        <w:rPr>
          <w:rFonts w:eastAsia="Times New Roman"/>
        </w:rPr>
        <w:t>’</w:t>
      </w:r>
      <w:r w:rsidRPr="00EB3D2F">
        <w:rPr>
          <w:rFonts w:eastAsia="Times New Roman"/>
        </w:rPr>
        <w:t>Israël pour faire pression sur l</w:t>
      </w:r>
      <w:r w:rsidR="00062221">
        <w:rPr>
          <w:rFonts w:eastAsia="Times New Roman"/>
        </w:rPr>
        <w:t>’</w:t>
      </w:r>
      <w:r w:rsidRPr="00EB3D2F">
        <w:rPr>
          <w:rFonts w:eastAsia="Times New Roman"/>
        </w:rPr>
        <w:t>État israélien et le contraindre ainsi à honorer ses obligations au regard du droit international.</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9</w:t>
      </w:r>
      <w:r w:rsidRPr="00EB3D2F">
        <w:rPr>
          <w:rFonts w:eastAsia="Times New Roman"/>
        </w:rPr>
        <w:fldChar w:fldCharType="end"/>
      </w:r>
      <w:r w:rsidRPr="00EB3D2F">
        <w:rPr>
          <w:rFonts w:eastAsia="Times New Roman"/>
        </w:rPr>
        <w:t xml:space="preserve">.  Il ne fait pas controverse que certains manifestants crièrent </w:t>
      </w:r>
      <w:r w:rsidR="006A4DF1">
        <w:rPr>
          <w:rFonts w:eastAsia="Times New Roman"/>
        </w:rPr>
        <w:t>« </w:t>
      </w:r>
      <w:r w:rsidRPr="00EB3D2F">
        <w:rPr>
          <w:rFonts w:eastAsia="Times New Roman"/>
        </w:rPr>
        <w:t xml:space="preserve">Israël assassin, </w:t>
      </w:r>
      <w:r w:rsidR="008A55EF">
        <w:rPr>
          <w:rFonts w:eastAsia="Times New Roman"/>
        </w:rPr>
        <w:t>[</w:t>
      </w:r>
      <w:r w:rsidRPr="00EB3D2F">
        <w:rPr>
          <w:rFonts w:eastAsia="Times New Roman"/>
        </w:rPr>
        <w:t>C</w:t>
      </w:r>
      <w:r w:rsidR="008A55EF">
        <w:rPr>
          <w:rFonts w:eastAsia="Times New Roman"/>
        </w:rPr>
        <w:t>.]</w:t>
      </w:r>
      <w:r w:rsidRPr="00EB3D2F">
        <w:rPr>
          <w:rFonts w:eastAsia="Times New Roman"/>
        </w:rPr>
        <w:t xml:space="preserve"> </w:t>
      </w:r>
      <w:proofErr w:type="gramStart"/>
      <w:r w:rsidRPr="00EB3D2F">
        <w:rPr>
          <w:rFonts w:eastAsia="Times New Roman"/>
        </w:rPr>
        <w:t>complice</w:t>
      </w:r>
      <w:proofErr w:type="gramEnd"/>
      <w:r w:rsidR="006A4DF1">
        <w:rPr>
          <w:rFonts w:eastAsia="Times New Roman"/>
        </w:rPr>
        <w:t> »</w:t>
      </w:r>
      <w:r w:rsidRPr="00EB3D2F">
        <w:rPr>
          <w:rFonts w:eastAsia="Times New Roman"/>
        </w:rPr>
        <w:t>. Devant le tribunal correctionnel, il fut établi que la majorité des personnes présentes contestaient ce slogan, qui leur paraissait excessif et non en adéquation avec le sens de leur action.</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10</w:t>
      </w:r>
      <w:r w:rsidRPr="00EB3D2F">
        <w:rPr>
          <w:rFonts w:eastAsia="Times New Roman"/>
        </w:rPr>
        <w:fldChar w:fldCharType="end"/>
      </w:r>
      <w:r w:rsidRPr="00EB3D2F">
        <w:rPr>
          <w:rFonts w:eastAsia="Times New Roman"/>
        </w:rPr>
        <w:t>.  Le procureur de la République de Colmar cita les requérants (qui avaient tous, sauf l</w:t>
      </w:r>
      <w:r w:rsidR="00062221">
        <w:rPr>
          <w:rFonts w:eastAsia="Times New Roman"/>
        </w:rPr>
        <w:t>’</w:t>
      </w:r>
      <w:r w:rsidRPr="00EB3D2F">
        <w:rPr>
          <w:rFonts w:eastAsia="Times New Roman"/>
        </w:rPr>
        <w:t>un d</w:t>
      </w:r>
      <w:r w:rsidR="00062221">
        <w:rPr>
          <w:rFonts w:eastAsia="Times New Roman"/>
        </w:rPr>
        <w:t>’</w:t>
      </w:r>
      <w:r w:rsidRPr="00EB3D2F">
        <w:rPr>
          <w:rFonts w:eastAsia="Times New Roman"/>
        </w:rPr>
        <w:t>eux, participé à la manifestation organisée en</w:t>
      </w:r>
      <w:r w:rsidR="00CE3FF8">
        <w:rPr>
          <w:rFonts w:eastAsia="Times New Roman"/>
        </w:rPr>
        <w:t xml:space="preserve"> </w:t>
      </w:r>
      <w:r w:rsidR="00565C93">
        <w:rPr>
          <w:rFonts w:eastAsia="Times New Roman"/>
        </w:rPr>
        <w:t>septembre</w:t>
      </w:r>
      <w:r w:rsidRPr="00EB3D2F">
        <w:rPr>
          <w:rFonts w:eastAsia="Times New Roman"/>
        </w:rPr>
        <w:t xml:space="preserve"> 2009) à comparaître devant le tribunal correctionnel de Mulhouse près d</w:t>
      </w:r>
      <w:r w:rsidR="00062221">
        <w:rPr>
          <w:rFonts w:eastAsia="Times New Roman"/>
        </w:rPr>
        <w:t>’</w:t>
      </w:r>
      <w:r w:rsidRPr="00EB3D2F">
        <w:rPr>
          <w:rFonts w:eastAsia="Times New Roman"/>
        </w:rPr>
        <w:t>un an après les faits, sur le fondement de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sur la liberté de la presse. L</w:t>
      </w:r>
      <w:r w:rsidR="00062221">
        <w:rPr>
          <w:rFonts w:eastAsia="Times New Roman"/>
        </w:rPr>
        <w:t>’</w:t>
      </w:r>
      <w:r w:rsidRPr="00EB3D2F">
        <w:rPr>
          <w:rFonts w:eastAsia="Times New Roman"/>
        </w:rPr>
        <w:t>acte de poursuite ne faisait aucune mention de l</w:t>
      </w:r>
      <w:r w:rsidR="00062221">
        <w:rPr>
          <w:rFonts w:eastAsia="Times New Roman"/>
        </w:rPr>
        <w:t>’</w:t>
      </w:r>
      <w:r w:rsidR="00565C93">
        <w:rPr>
          <w:rFonts w:eastAsia="Times New Roman"/>
        </w:rPr>
        <w:t>article </w:t>
      </w:r>
      <w:r w:rsidRPr="00EB3D2F">
        <w:rPr>
          <w:rFonts w:eastAsia="Times New Roman"/>
        </w:rPr>
        <w:t>225-2 du code pénal, qui réprime expressément les actes de discrimination économique. Le tribunal correctionnel examina les faits de la cause et, dans les jugements qu</w:t>
      </w:r>
      <w:r w:rsidR="00062221">
        <w:rPr>
          <w:rFonts w:eastAsia="Times New Roman"/>
        </w:rPr>
        <w:t>’</w:t>
      </w:r>
      <w:r w:rsidRPr="00EB3D2F">
        <w:rPr>
          <w:rFonts w:eastAsia="Times New Roman"/>
        </w:rPr>
        <w:t>il rendit le 15</w:t>
      </w:r>
      <w:r w:rsidR="00565C93">
        <w:rPr>
          <w:rFonts w:eastAsia="Times New Roman"/>
        </w:rPr>
        <w:t> décembre</w:t>
      </w:r>
      <w:r w:rsidRPr="00EB3D2F">
        <w:rPr>
          <w:rFonts w:eastAsia="Times New Roman"/>
        </w:rPr>
        <w:t xml:space="preserve"> 2011, conclut que les éléments constitutifs du délit prévu par la loi du </w:t>
      </w:r>
      <w:r w:rsidRPr="00EB3D2F">
        <w:t>29</w:t>
      </w:r>
      <w:r w:rsidR="00565C93">
        <w:t> juillet</w:t>
      </w:r>
      <w:r w:rsidR="009F63DD">
        <w:rPr>
          <w:rFonts w:eastAsia="Times New Roman"/>
        </w:rPr>
        <w:t xml:space="preserve"> </w:t>
      </w:r>
      <w:r w:rsidRPr="00EB3D2F">
        <w:rPr>
          <w:rFonts w:eastAsia="Times New Roman"/>
        </w:rPr>
        <w:t>1881 n</w:t>
      </w:r>
      <w:r w:rsidR="00062221">
        <w:rPr>
          <w:rFonts w:eastAsia="Times New Roman"/>
        </w:rPr>
        <w:t>’</w:t>
      </w:r>
      <w:r w:rsidRPr="00EB3D2F">
        <w:rPr>
          <w:rFonts w:eastAsia="Times New Roman"/>
        </w:rPr>
        <w:t>étaient pas réunis et que le fondement juridique des poursuites était inadéquat. Il considéra en effet que les faits reprochés aux manifestants étaient susceptibles de relever d</w:t>
      </w:r>
      <w:r w:rsidR="00062221">
        <w:rPr>
          <w:rFonts w:eastAsia="Times New Roman"/>
        </w:rPr>
        <w:t>’</w:t>
      </w:r>
      <w:r w:rsidRPr="00EB3D2F">
        <w:rPr>
          <w:rFonts w:eastAsia="Times New Roman"/>
        </w:rPr>
        <w:t>actes de discrimination économique à l</w:t>
      </w:r>
      <w:r w:rsidR="00062221">
        <w:rPr>
          <w:rFonts w:eastAsia="Times New Roman"/>
        </w:rPr>
        <w:t>’</w:t>
      </w:r>
      <w:r w:rsidRPr="00EB3D2F">
        <w:rPr>
          <w:rFonts w:eastAsia="Times New Roman"/>
        </w:rPr>
        <w:t>égard de certains produits, délit qui n</w:t>
      </w:r>
      <w:r w:rsidR="00062221">
        <w:rPr>
          <w:rFonts w:eastAsia="Times New Roman"/>
        </w:rPr>
        <w:t>’</w:t>
      </w:r>
      <w:r w:rsidRPr="00EB3D2F">
        <w:rPr>
          <w:rFonts w:eastAsia="Times New Roman"/>
        </w:rPr>
        <w:t>était visé ni par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ni par l</w:t>
      </w:r>
      <w:r w:rsidR="00062221">
        <w:rPr>
          <w:rFonts w:eastAsia="Times New Roman"/>
        </w:rPr>
        <w:t>’</w:t>
      </w:r>
      <w:r w:rsidRPr="00EB3D2F">
        <w:rPr>
          <w:rFonts w:eastAsia="Times New Roman"/>
        </w:rPr>
        <w:t>acte de poursuite. Les requérants, ainsi qu</w:t>
      </w:r>
      <w:r w:rsidR="00062221">
        <w:rPr>
          <w:rFonts w:eastAsia="Times New Roman"/>
        </w:rPr>
        <w:t>’</w:t>
      </w:r>
      <w:r w:rsidRPr="00EB3D2F">
        <w:rPr>
          <w:rFonts w:eastAsia="Times New Roman"/>
        </w:rPr>
        <w:t>une autre personne ayant participé aux événements qui s</w:t>
      </w:r>
      <w:r w:rsidR="00062221">
        <w:rPr>
          <w:rFonts w:eastAsia="Times New Roman"/>
        </w:rPr>
        <w:t>’</w:t>
      </w:r>
      <w:r w:rsidRPr="00EB3D2F">
        <w:rPr>
          <w:rFonts w:eastAsia="Times New Roman"/>
        </w:rPr>
        <w:t>étaient déroulés en</w:t>
      </w:r>
      <w:r w:rsidR="005F2362">
        <w:rPr>
          <w:rFonts w:eastAsia="Times New Roman"/>
        </w:rPr>
        <w:t xml:space="preserve"> </w:t>
      </w:r>
      <w:r w:rsidR="00565C93">
        <w:rPr>
          <w:rFonts w:eastAsia="Times New Roman"/>
        </w:rPr>
        <w:t xml:space="preserve">mai </w:t>
      </w:r>
      <w:r w:rsidRPr="00EB3D2F">
        <w:rPr>
          <w:rFonts w:eastAsia="Times New Roman"/>
        </w:rPr>
        <w:t>2010, furent relaxés.</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11</w:t>
      </w:r>
      <w:r w:rsidRPr="00EB3D2F">
        <w:rPr>
          <w:rFonts w:eastAsia="Times New Roman"/>
        </w:rPr>
        <w:fldChar w:fldCharType="end"/>
      </w:r>
      <w:r w:rsidRPr="00EB3D2F">
        <w:rPr>
          <w:rFonts w:eastAsia="Times New Roman"/>
        </w:rPr>
        <w:t>.  Saisie par le procureur de la République, la cour d</w:t>
      </w:r>
      <w:r w:rsidR="00062221">
        <w:rPr>
          <w:rFonts w:eastAsia="Times New Roman"/>
        </w:rPr>
        <w:t>’</w:t>
      </w:r>
      <w:r w:rsidRPr="00EB3D2F">
        <w:rPr>
          <w:rFonts w:eastAsia="Times New Roman"/>
        </w:rPr>
        <w:t>appel de Colmar infirma en</w:t>
      </w:r>
      <w:r w:rsidR="005F2362">
        <w:rPr>
          <w:rFonts w:eastAsia="Times New Roman"/>
        </w:rPr>
        <w:t xml:space="preserve"> </w:t>
      </w:r>
      <w:r w:rsidR="00565C93">
        <w:rPr>
          <w:rFonts w:eastAsia="Times New Roman"/>
        </w:rPr>
        <w:t>novembre</w:t>
      </w:r>
      <w:r w:rsidRPr="00EB3D2F">
        <w:rPr>
          <w:rFonts w:eastAsia="Times New Roman"/>
        </w:rPr>
        <w:t xml:space="preserve"> 2013 les jugements du tribunal correctionnel. Elle jugea en particulier que le seul fait pour les requérants d</w:t>
      </w:r>
      <w:r w:rsidR="00062221">
        <w:rPr>
          <w:rFonts w:eastAsia="Times New Roman"/>
        </w:rPr>
        <w:t>’</w:t>
      </w:r>
      <w:r w:rsidRPr="00EB3D2F">
        <w:rPr>
          <w:rFonts w:eastAsia="Times New Roman"/>
        </w:rPr>
        <w:t>inciter autrui à procéder à une discrimination entre les producteurs et les fournisseurs pour rejeter ceux d</w:t>
      </w:r>
      <w:r w:rsidR="00062221">
        <w:rPr>
          <w:rFonts w:eastAsia="Times New Roman"/>
        </w:rPr>
        <w:t>’</w:t>
      </w:r>
      <w:r w:rsidRPr="00EB3D2F">
        <w:rPr>
          <w:rFonts w:eastAsia="Times New Roman"/>
        </w:rPr>
        <w:t>Israël était suffisant à caractériser l</w:t>
      </w:r>
      <w:r w:rsidR="00062221">
        <w:rPr>
          <w:rFonts w:eastAsia="Times New Roman"/>
        </w:rPr>
        <w:t>’</w:t>
      </w:r>
      <w:r w:rsidRPr="00EB3D2F">
        <w:rPr>
          <w:rFonts w:eastAsia="Times New Roman"/>
        </w:rPr>
        <w:t>élément matériel de l</w:t>
      </w:r>
      <w:r w:rsidR="00062221">
        <w:rPr>
          <w:rFonts w:eastAsia="Times New Roman"/>
        </w:rPr>
        <w:t>’</w:t>
      </w:r>
      <w:r w:rsidRPr="00EB3D2F">
        <w:rPr>
          <w:rFonts w:eastAsia="Times New Roman"/>
        </w:rPr>
        <w:t>infraction qui leur était reprochée sur le fondement de la disposition incriminée de la loi du 29</w:t>
      </w:r>
      <w:r w:rsidR="00565C93">
        <w:rPr>
          <w:rFonts w:eastAsia="Times New Roman"/>
        </w:rPr>
        <w:t> juillet</w:t>
      </w:r>
      <w:r w:rsidRPr="00EB3D2F">
        <w:rPr>
          <w:rFonts w:eastAsia="Times New Roman"/>
        </w:rPr>
        <w:t xml:space="preserve"> 1881.</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12</w:t>
      </w:r>
      <w:r w:rsidRPr="00EB3D2F">
        <w:rPr>
          <w:rFonts w:eastAsia="Times New Roman"/>
        </w:rPr>
        <w:fldChar w:fldCharType="end"/>
      </w:r>
      <w:r w:rsidRPr="00EB3D2F">
        <w:rPr>
          <w:rFonts w:eastAsia="Times New Roman"/>
        </w:rPr>
        <w:t>.  Par son arrêt du 20</w:t>
      </w:r>
      <w:r w:rsidR="00565C93">
        <w:rPr>
          <w:rFonts w:eastAsia="Times New Roman"/>
        </w:rPr>
        <w:t> octobre</w:t>
      </w:r>
      <w:r w:rsidRPr="00EB3D2F">
        <w:rPr>
          <w:rFonts w:eastAsia="Times New Roman"/>
        </w:rPr>
        <w:t xml:space="preserve"> 2015, la Cour de cassation, dans un court paragraphe, confirma la décision de la cour d</w:t>
      </w:r>
      <w:r w:rsidR="00062221">
        <w:rPr>
          <w:rFonts w:eastAsia="Times New Roman"/>
        </w:rPr>
        <w:t>’</w:t>
      </w:r>
      <w:r w:rsidRPr="00EB3D2F">
        <w:rPr>
          <w:rFonts w:eastAsia="Times New Roman"/>
        </w:rPr>
        <w:t>appel (</w:t>
      </w:r>
      <w:proofErr w:type="spellStart"/>
      <w:r w:rsidRPr="00EB3D2F">
        <w:rPr>
          <w:rFonts w:eastAsia="Times New Roman"/>
        </w:rPr>
        <w:t>Cass</w:t>
      </w:r>
      <w:proofErr w:type="spellEnd"/>
      <w:r w:rsidRPr="00EB3D2F">
        <w:rPr>
          <w:rFonts w:eastAsia="Times New Roman"/>
        </w:rPr>
        <w:t xml:space="preserve">. </w:t>
      </w:r>
      <w:proofErr w:type="spellStart"/>
      <w:r w:rsidRPr="00EB3D2F">
        <w:rPr>
          <w:rFonts w:eastAsia="Times New Roman"/>
        </w:rPr>
        <w:t>Crim</w:t>
      </w:r>
      <w:proofErr w:type="spellEnd"/>
      <w:r w:rsidRPr="00EB3D2F">
        <w:rPr>
          <w:rFonts w:eastAsia="Times New Roman"/>
        </w:rPr>
        <w:t>., 20 oct. 2015, n</w:t>
      </w:r>
      <w:r w:rsidRPr="00565C93" w:rsidR="00565C93">
        <w:rPr>
          <w:rFonts w:eastAsia="Times New Roman"/>
          <w:vertAlign w:val="superscript"/>
        </w:rPr>
        <w:t>o</w:t>
      </w:r>
      <w:r w:rsidRPr="00565C93" w:rsidR="00565C93">
        <w:rPr>
          <w:rFonts w:eastAsia="Times New Roman"/>
        </w:rPr>
        <w:t> </w:t>
      </w:r>
      <w:r w:rsidRPr="00EB3D2F">
        <w:rPr>
          <w:rFonts w:eastAsia="Times New Roman"/>
        </w:rPr>
        <w:t>14-80020). Elle jugea que celle-ci était suffisamment justifiée et ne présentait pas de contradiction, la cour d</w:t>
      </w:r>
      <w:r w:rsidR="00062221">
        <w:rPr>
          <w:rFonts w:eastAsia="Times New Roman"/>
        </w:rPr>
        <w:t>’</w:t>
      </w:r>
      <w:r w:rsidRPr="00EB3D2F">
        <w:rPr>
          <w:rFonts w:eastAsia="Times New Roman"/>
        </w:rPr>
        <w:t>appel ayant relevé, à bon droit, que les éléments constitutifs du délit prévu par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étaient réunis et que l</w:t>
      </w:r>
      <w:r w:rsidR="00062221">
        <w:rPr>
          <w:rFonts w:eastAsia="Times New Roman"/>
        </w:rPr>
        <w:t>’</w:t>
      </w:r>
      <w:r w:rsidRPr="00EB3D2F">
        <w:rPr>
          <w:rFonts w:eastAsia="Times New Roman"/>
        </w:rPr>
        <w:t>exercice de la liberté d</w:t>
      </w:r>
      <w:r w:rsidR="00062221">
        <w:rPr>
          <w:rFonts w:eastAsia="Times New Roman"/>
        </w:rPr>
        <w:t>’</w:t>
      </w:r>
      <w:r w:rsidRPr="00EB3D2F">
        <w:rPr>
          <w:rFonts w:eastAsia="Times New Roman"/>
        </w:rPr>
        <w:t>expression, proclamée par l</w:t>
      </w:r>
      <w:r w:rsidR="00062221">
        <w:rPr>
          <w:rFonts w:eastAsia="Times New Roman"/>
        </w:rPr>
        <w:t>’</w:t>
      </w:r>
      <w:r w:rsidR="00565C93">
        <w:rPr>
          <w:rFonts w:eastAsia="Times New Roman"/>
        </w:rPr>
        <w:t>article </w:t>
      </w:r>
      <w:r w:rsidRPr="00EB3D2F">
        <w:rPr>
          <w:rFonts w:eastAsia="Times New Roman"/>
        </w:rPr>
        <w:t>10 de la Convention, pouvait être soumis à des restrictions constituant, comme dans le cas d</w:t>
      </w:r>
      <w:r w:rsidR="00062221">
        <w:rPr>
          <w:rFonts w:eastAsia="Times New Roman"/>
        </w:rPr>
        <w:t>’</w:t>
      </w:r>
      <w:r w:rsidRPr="00EB3D2F">
        <w:rPr>
          <w:rFonts w:eastAsia="Times New Roman"/>
        </w:rPr>
        <w:t>espèce, des mesures nécessaires dans une société démocratique.</w:t>
      </w:r>
    </w:p>
    <w:p w:rsidRPr="00EB3D2F" w:rsidR="00886CD8" w:rsidP="00EB3D2F" w:rsidRDefault="00886CD8">
      <w:pPr>
        <w:pStyle w:val="JuHIRoman"/>
        <w:rPr>
          <w:rFonts w:eastAsia="Times New Roman"/>
          <w:lang w:val="fr-FR"/>
        </w:rPr>
      </w:pPr>
      <w:r w:rsidRPr="00EB3D2F">
        <w:rPr>
          <w:rFonts w:eastAsia="Times New Roman"/>
          <w:lang w:val="fr-FR"/>
        </w:rPr>
        <w:t>Les impératifs de sécurité juridique et de prévisibilité dans le cas d</w:t>
      </w:r>
      <w:r w:rsidR="00062221">
        <w:rPr>
          <w:rFonts w:eastAsia="Times New Roman"/>
          <w:lang w:val="fr-FR"/>
        </w:rPr>
        <w:t>’</w:t>
      </w:r>
      <w:r w:rsidRPr="00EB3D2F">
        <w:rPr>
          <w:rFonts w:eastAsia="Times New Roman"/>
          <w:lang w:val="fr-FR"/>
        </w:rPr>
        <w:t>espèce</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13</w:t>
      </w:r>
      <w:r w:rsidRPr="00EB3D2F">
        <w:rPr>
          <w:rFonts w:eastAsia="Times New Roman"/>
        </w:rPr>
        <w:fldChar w:fldCharType="end"/>
      </w:r>
      <w:r w:rsidRPr="00EB3D2F">
        <w:rPr>
          <w:rFonts w:eastAsia="Times New Roman"/>
        </w:rPr>
        <w:t>.  L</w:t>
      </w:r>
      <w:r w:rsidR="00062221">
        <w:rPr>
          <w:rFonts w:eastAsia="Times New Roman"/>
        </w:rPr>
        <w:t>’</w:t>
      </w:r>
      <w:r w:rsidR="00565C93">
        <w:rPr>
          <w:rFonts w:eastAsia="Times New Roman"/>
        </w:rPr>
        <w:t>article </w:t>
      </w:r>
      <w:r w:rsidRPr="00EB3D2F">
        <w:rPr>
          <w:rFonts w:eastAsia="Times New Roman"/>
        </w:rPr>
        <w:t>7 de la Convention, qui consacre notamment le principe de la légalité des délits et des peines (</w:t>
      </w:r>
      <w:proofErr w:type="spellStart"/>
      <w:r w:rsidRPr="00EB3D2F">
        <w:rPr>
          <w:rFonts w:eastAsia="Times New Roman"/>
          <w:i/>
        </w:rPr>
        <w:t>nullum</w:t>
      </w:r>
      <w:proofErr w:type="spellEnd"/>
      <w:r w:rsidRPr="00EB3D2F">
        <w:rPr>
          <w:rFonts w:eastAsia="Times New Roman"/>
          <w:i/>
        </w:rPr>
        <w:t xml:space="preserve"> </w:t>
      </w:r>
      <w:proofErr w:type="spellStart"/>
      <w:r w:rsidRPr="00EB3D2F">
        <w:rPr>
          <w:rFonts w:eastAsia="Times New Roman"/>
          <w:i/>
        </w:rPr>
        <w:t>crimen</w:t>
      </w:r>
      <w:proofErr w:type="spellEnd"/>
      <w:r w:rsidRPr="00EB3D2F">
        <w:rPr>
          <w:rFonts w:eastAsia="Times New Roman"/>
          <w:i/>
        </w:rPr>
        <w:t xml:space="preserve">, </w:t>
      </w:r>
      <w:proofErr w:type="spellStart"/>
      <w:r w:rsidRPr="00EB3D2F">
        <w:rPr>
          <w:rFonts w:eastAsia="Times New Roman"/>
          <w:i/>
        </w:rPr>
        <w:t>nulla</w:t>
      </w:r>
      <w:proofErr w:type="spellEnd"/>
      <w:r w:rsidRPr="00EB3D2F">
        <w:rPr>
          <w:rFonts w:eastAsia="Times New Roman"/>
          <w:i/>
        </w:rPr>
        <w:t xml:space="preserve"> </w:t>
      </w:r>
      <w:proofErr w:type="spellStart"/>
      <w:r w:rsidRPr="00EB3D2F">
        <w:rPr>
          <w:rFonts w:eastAsia="Times New Roman"/>
          <w:i/>
        </w:rPr>
        <w:t>poena</w:t>
      </w:r>
      <w:proofErr w:type="spellEnd"/>
      <w:r w:rsidRPr="00EB3D2F">
        <w:rPr>
          <w:rFonts w:eastAsia="Times New Roman"/>
          <w:i/>
        </w:rPr>
        <w:t xml:space="preserve"> sine lege</w:t>
      </w:r>
      <w:r w:rsidRPr="00EB3D2F">
        <w:rPr>
          <w:rFonts w:eastAsia="Times New Roman"/>
        </w:rPr>
        <w:t>), commande de ne pas appliquer la loi pénale de manière extensive au détriment de l</w:t>
      </w:r>
      <w:r w:rsidR="00062221">
        <w:rPr>
          <w:rFonts w:eastAsia="Times New Roman"/>
        </w:rPr>
        <w:t>’</w:t>
      </w:r>
      <w:r w:rsidRPr="00EB3D2F">
        <w:rPr>
          <w:rFonts w:eastAsia="Times New Roman"/>
        </w:rPr>
        <w:t>accusé, par exemple par analogie (</w:t>
      </w:r>
      <w:r w:rsidRPr="00EB3D2F">
        <w:rPr>
          <w:rFonts w:eastAsia="Times New Roman"/>
          <w:i/>
        </w:rPr>
        <w:t xml:space="preserve">Del </w:t>
      </w:r>
      <w:r w:rsidR="005F2362">
        <w:rPr>
          <w:rFonts w:eastAsia="Times New Roman"/>
          <w:i/>
        </w:rPr>
        <w:t xml:space="preserve">Río </w:t>
      </w:r>
      <w:r w:rsidRPr="00EB3D2F">
        <w:rPr>
          <w:rFonts w:eastAsia="Times New Roman"/>
          <w:i/>
        </w:rPr>
        <w:t>Prada</w:t>
      </w:r>
      <w:r w:rsidR="00565C93">
        <w:rPr>
          <w:rFonts w:eastAsia="Times New Roman"/>
          <w:i/>
        </w:rPr>
        <w:t xml:space="preserve"> c. </w:t>
      </w:r>
      <w:r w:rsidRPr="00EB3D2F">
        <w:rPr>
          <w:rFonts w:eastAsia="Times New Roman"/>
          <w:i/>
        </w:rPr>
        <w:t>Espagne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 xml:space="preserve">42750/09, </w:t>
      </w:r>
      <w:r w:rsidR="00565C93">
        <w:rPr>
          <w:rFonts w:eastAsia="Times New Roman"/>
        </w:rPr>
        <w:t>§ </w:t>
      </w:r>
      <w:r w:rsidRPr="00EB3D2F">
        <w:rPr>
          <w:rFonts w:eastAsia="Times New Roman"/>
        </w:rPr>
        <w:t xml:space="preserve">78, CEDH 2013, et </w:t>
      </w:r>
      <w:proofErr w:type="spellStart"/>
      <w:r w:rsidRPr="00EB3D2F">
        <w:rPr>
          <w:rFonts w:eastAsia="Times New Roman"/>
          <w:i/>
        </w:rPr>
        <w:t>Vasiliauskas</w:t>
      </w:r>
      <w:proofErr w:type="spellEnd"/>
      <w:r w:rsidR="00565C93">
        <w:rPr>
          <w:rFonts w:eastAsia="Times New Roman"/>
          <w:i/>
        </w:rPr>
        <w:t xml:space="preserve"> c. </w:t>
      </w:r>
      <w:r w:rsidRPr="00EB3D2F">
        <w:rPr>
          <w:rFonts w:eastAsia="Times New Roman"/>
          <w:i/>
        </w:rPr>
        <w:t>Lituanie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 xml:space="preserve">35343/05, </w:t>
      </w:r>
      <w:r w:rsidR="00565C93">
        <w:rPr>
          <w:rFonts w:eastAsia="Times New Roman"/>
        </w:rPr>
        <w:t>§ </w:t>
      </w:r>
      <w:r w:rsidRPr="00EB3D2F">
        <w:rPr>
          <w:rFonts w:eastAsia="Times New Roman"/>
        </w:rPr>
        <w:t>153, CEDH 2015). Ainsi qu</w:t>
      </w:r>
      <w:r w:rsidR="00062221">
        <w:rPr>
          <w:rFonts w:eastAsia="Times New Roman"/>
        </w:rPr>
        <w:t>’</w:t>
      </w:r>
      <w:r w:rsidRPr="00EB3D2F">
        <w:rPr>
          <w:rFonts w:eastAsia="Times New Roman"/>
        </w:rPr>
        <w:t>il découle de son objet et de son but, la garantie que consacre l</w:t>
      </w:r>
      <w:r w:rsidR="00062221">
        <w:rPr>
          <w:rFonts w:eastAsia="Times New Roman"/>
        </w:rPr>
        <w:t>’</w:t>
      </w:r>
      <w:r w:rsidR="00565C93">
        <w:rPr>
          <w:rFonts w:eastAsia="Times New Roman"/>
        </w:rPr>
        <w:t>article </w:t>
      </w:r>
      <w:r w:rsidRPr="00EB3D2F">
        <w:rPr>
          <w:rFonts w:eastAsia="Times New Roman"/>
        </w:rPr>
        <w:t>7 doit être interprétée et appliquée de manière à assurer une protection effective contre les poursuites, les condamnations et les sanctions arbitraires (</w:t>
      </w:r>
      <w:r w:rsidRPr="00EB3D2F">
        <w:rPr>
          <w:rFonts w:eastAsia="Times New Roman"/>
          <w:i/>
        </w:rPr>
        <w:t xml:space="preserve">Del </w:t>
      </w:r>
      <w:r w:rsidR="005F2362">
        <w:rPr>
          <w:rFonts w:eastAsia="Times New Roman"/>
          <w:i/>
        </w:rPr>
        <w:t xml:space="preserve">Río </w:t>
      </w:r>
      <w:r w:rsidRPr="00EB3D2F">
        <w:rPr>
          <w:rFonts w:eastAsia="Times New Roman"/>
          <w:i/>
        </w:rPr>
        <w:t>Prada</w:t>
      </w:r>
      <w:r w:rsidRPr="00EB3D2F">
        <w:rPr>
          <w:rFonts w:eastAsia="Times New Roman"/>
        </w:rPr>
        <w:t xml:space="preserve">, précité, </w:t>
      </w:r>
      <w:r w:rsidR="00565C93">
        <w:rPr>
          <w:rFonts w:eastAsia="Times New Roman"/>
        </w:rPr>
        <w:t>§ </w:t>
      </w:r>
      <w:r w:rsidRPr="00EB3D2F">
        <w:rPr>
          <w:rFonts w:eastAsia="Times New Roman"/>
        </w:rPr>
        <w:t>77).</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14</w:t>
      </w:r>
      <w:r w:rsidRPr="00EB3D2F">
        <w:rPr>
          <w:rFonts w:eastAsia="Times New Roman"/>
        </w:rPr>
        <w:fldChar w:fldCharType="end"/>
      </w:r>
      <w:r w:rsidRPr="00EB3D2F">
        <w:rPr>
          <w:rFonts w:eastAsia="Times New Roman"/>
        </w:rPr>
        <w:t>.  Aux fins de l</w:t>
      </w:r>
      <w:r w:rsidR="00062221">
        <w:rPr>
          <w:rFonts w:eastAsia="Times New Roman"/>
        </w:rPr>
        <w:t>’</w:t>
      </w:r>
      <w:r w:rsidR="00565C93">
        <w:rPr>
          <w:rFonts w:eastAsia="Times New Roman"/>
        </w:rPr>
        <w:t>article </w:t>
      </w:r>
      <w:r w:rsidRPr="00EB3D2F">
        <w:rPr>
          <w:rFonts w:eastAsia="Times New Roman"/>
        </w:rPr>
        <w:t xml:space="preserve">10 </w:t>
      </w:r>
      <w:r w:rsidR="00565C93">
        <w:rPr>
          <w:rFonts w:eastAsia="Times New Roman"/>
        </w:rPr>
        <w:t>§ </w:t>
      </w:r>
      <w:r w:rsidRPr="00EB3D2F">
        <w:rPr>
          <w:rFonts w:eastAsia="Times New Roman"/>
        </w:rPr>
        <w:t>2 de la Convention, l</w:t>
      </w:r>
      <w:r w:rsidR="00062221">
        <w:rPr>
          <w:rFonts w:eastAsia="Times New Roman"/>
        </w:rPr>
        <w:t>’</w:t>
      </w:r>
      <w:r w:rsidRPr="00EB3D2F">
        <w:rPr>
          <w:rFonts w:eastAsia="Times New Roman"/>
        </w:rPr>
        <w:t>exigence qu</w:t>
      </w:r>
      <w:r w:rsidR="00062221">
        <w:rPr>
          <w:rFonts w:eastAsia="Times New Roman"/>
        </w:rPr>
        <w:t>’</w:t>
      </w:r>
      <w:r w:rsidRPr="00EB3D2F">
        <w:rPr>
          <w:rFonts w:eastAsia="Times New Roman"/>
        </w:rPr>
        <w:t>une mesure d</w:t>
      </w:r>
      <w:r w:rsidR="00062221">
        <w:rPr>
          <w:rFonts w:eastAsia="Times New Roman"/>
        </w:rPr>
        <w:t>’</w:t>
      </w:r>
      <w:r w:rsidRPr="00EB3D2F">
        <w:rPr>
          <w:rFonts w:eastAsia="Times New Roman"/>
        </w:rPr>
        <w:t xml:space="preserve">ingérence soit </w:t>
      </w:r>
      <w:r w:rsidR="006A4DF1">
        <w:rPr>
          <w:rFonts w:eastAsia="Times New Roman"/>
        </w:rPr>
        <w:t>« </w:t>
      </w:r>
      <w:r w:rsidRPr="00EB3D2F">
        <w:rPr>
          <w:rFonts w:eastAsia="Times New Roman"/>
        </w:rPr>
        <w:t>prévue par la loi</w:t>
      </w:r>
      <w:r w:rsidR="006A4DF1">
        <w:rPr>
          <w:rFonts w:eastAsia="Times New Roman"/>
        </w:rPr>
        <w:t> »</w:t>
      </w:r>
      <w:r w:rsidRPr="00EB3D2F">
        <w:rPr>
          <w:rFonts w:eastAsia="Times New Roman"/>
        </w:rPr>
        <w:t xml:space="preserve"> est l</w:t>
      </w:r>
      <w:r w:rsidR="00062221">
        <w:rPr>
          <w:rFonts w:eastAsia="Times New Roman"/>
        </w:rPr>
        <w:t>’</w:t>
      </w:r>
      <w:r w:rsidRPr="00EB3D2F">
        <w:rPr>
          <w:rFonts w:eastAsia="Times New Roman"/>
        </w:rPr>
        <w:t xml:space="preserve">une des conditions qui doivent être remplies pour que pareille mesure soit justifiée. Cette exigence de légalité, qui est énoncée dans les </w:t>
      </w:r>
      <w:r w:rsidR="00565C93">
        <w:rPr>
          <w:rFonts w:eastAsia="Times New Roman"/>
        </w:rPr>
        <w:t>articles </w:t>
      </w:r>
      <w:r w:rsidRPr="00EB3D2F">
        <w:rPr>
          <w:rFonts w:eastAsia="Times New Roman"/>
        </w:rPr>
        <w:t xml:space="preserve">8 à 11 de la Convention, sert également à offrir une certaine protection contre les atteintes arbitraires de la puissance publique aux droits garantis par la Convention (voir, par exemple, </w:t>
      </w:r>
      <w:r w:rsidRPr="00EB3D2F">
        <w:rPr>
          <w:rFonts w:eastAsia="Times New Roman"/>
          <w:i/>
        </w:rPr>
        <w:t>Roman Zakharov</w:t>
      </w:r>
      <w:r w:rsidR="00565C93">
        <w:rPr>
          <w:rFonts w:eastAsia="Times New Roman"/>
          <w:i/>
        </w:rPr>
        <w:t xml:space="preserve"> c. </w:t>
      </w:r>
      <w:r w:rsidRPr="00EB3D2F">
        <w:rPr>
          <w:rFonts w:eastAsia="Times New Roman"/>
          <w:i/>
        </w:rPr>
        <w:t>Russie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47143/06, §</w:t>
      </w:r>
      <w:r w:rsidR="00565C93">
        <w:rPr>
          <w:rFonts w:eastAsia="Times New Roman"/>
        </w:rPr>
        <w:t>§ </w:t>
      </w:r>
      <w:r w:rsidRPr="00EB3D2F">
        <w:rPr>
          <w:rFonts w:eastAsia="Times New Roman"/>
        </w:rPr>
        <w:t>228-229, CEDH 2015, relativement à l</w:t>
      </w:r>
      <w:r w:rsidR="00062221">
        <w:rPr>
          <w:rFonts w:eastAsia="Times New Roman"/>
        </w:rPr>
        <w:t>’</w:t>
      </w:r>
      <w:r w:rsidR="00565C93">
        <w:rPr>
          <w:rFonts w:eastAsia="Times New Roman"/>
        </w:rPr>
        <w:t>article </w:t>
      </w:r>
      <w:r w:rsidRPr="00EB3D2F">
        <w:rPr>
          <w:rFonts w:eastAsia="Times New Roman"/>
        </w:rPr>
        <w:t xml:space="preserve">8, </w:t>
      </w:r>
      <w:proofErr w:type="spellStart"/>
      <w:r w:rsidRPr="00EB3D2F">
        <w:rPr>
          <w:rFonts w:eastAsia="Times New Roman"/>
          <w:i/>
        </w:rPr>
        <w:t>Leyla</w:t>
      </w:r>
      <w:proofErr w:type="spellEnd"/>
      <w:r w:rsidRPr="00EB3D2F">
        <w:rPr>
          <w:rFonts w:eastAsia="Times New Roman"/>
          <w:i/>
        </w:rPr>
        <w:t xml:space="preserve"> </w:t>
      </w:r>
      <w:proofErr w:type="spellStart"/>
      <w:r w:rsidRPr="00EB3D2F">
        <w:rPr>
          <w:rFonts w:eastAsia="Times New Roman"/>
          <w:i/>
        </w:rPr>
        <w:t>Şahin</w:t>
      </w:r>
      <w:proofErr w:type="spellEnd"/>
      <w:r w:rsidR="00565C93">
        <w:rPr>
          <w:rFonts w:eastAsia="Times New Roman"/>
          <w:i/>
        </w:rPr>
        <w:t xml:space="preserve"> c. </w:t>
      </w:r>
      <w:r w:rsidRPr="00EB3D2F">
        <w:rPr>
          <w:rFonts w:eastAsia="Times New Roman"/>
          <w:i/>
        </w:rPr>
        <w:t>Turquie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44774/98, §</w:t>
      </w:r>
      <w:r w:rsidR="00565C93">
        <w:rPr>
          <w:rFonts w:eastAsia="Times New Roman"/>
        </w:rPr>
        <w:t>§ </w:t>
      </w:r>
      <w:r w:rsidRPr="00EB3D2F">
        <w:rPr>
          <w:rFonts w:eastAsia="Times New Roman"/>
        </w:rPr>
        <w:t>88</w:t>
      </w:r>
      <w:r w:rsidRPr="00EB3D2F">
        <w:rPr>
          <w:rFonts w:eastAsia="Times New Roman"/>
        </w:rPr>
        <w:noBreakHyphen/>
        <w:t>91, CEDH 2005</w:t>
      </w:r>
      <w:r w:rsidRPr="00EB3D2F">
        <w:rPr>
          <w:rFonts w:eastAsia="Times New Roman"/>
        </w:rPr>
        <w:noBreakHyphen/>
        <w:t>XI, relativement à l</w:t>
      </w:r>
      <w:r w:rsidR="00062221">
        <w:rPr>
          <w:rFonts w:eastAsia="Times New Roman"/>
        </w:rPr>
        <w:t>’</w:t>
      </w:r>
      <w:r w:rsidR="00565C93">
        <w:rPr>
          <w:rFonts w:eastAsia="Times New Roman"/>
        </w:rPr>
        <w:t>article </w:t>
      </w:r>
      <w:r w:rsidRPr="00EB3D2F">
        <w:rPr>
          <w:rFonts w:eastAsia="Times New Roman"/>
        </w:rPr>
        <w:t xml:space="preserve">9, </w:t>
      </w:r>
      <w:r w:rsidR="00A02C54">
        <w:rPr>
          <w:rFonts w:eastAsia="Times New Roman"/>
          <w:i/>
        </w:rPr>
        <w:t xml:space="preserve">Centro </w:t>
      </w:r>
      <w:r w:rsidRPr="00EB3D2F">
        <w:rPr>
          <w:rFonts w:eastAsia="Times New Roman"/>
          <w:i/>
        </w:rPr>
        <w:t xml:space="preserve">Europa 7 </w:t>
      </w:r>
      <w:proofErr w:type="spellStart"/>
      <w:r w:rsidRPr="00EB3D2F">
        <w:rPr>
          <w:rFonts w:eastAsia="Times New Roman"/>
          <w:i/>
        </w:rPr>
        <w:t>S.r.l</w:t>
      </w:r>
      <w:proofErr w:type="spellEnd"/>
      <w:r w:rsidRPr="00EB3D2F">
        <w:rPr>
          <w:rFonts w:eastAsia="Times New Roman"/>
          <w:i/>
        </w:rPr>
        <w:t xml:space="preserve">. et Di </w:t>
      </w:r>
      <w:r w:rsidR="00A02C54">
        <w:rPr>
          <w:rFonts w:eastAsia="Times New Roman"/>
          <w:i/>
        </w:rPr>
        <w:t xml:space="preserve">Stefano </w:t>
      </w:r>
      <w:r w:rsidR="00565C93">
        <w:rPr>
          <w:rFonts w:eastAsia="Times New Roman"/>
          <w:i/>
        </w:rPr>
        <w:t>c. </w:t>
      </w:r>
      <w:r w:rsidRPr="00EB3D2F">
        <w:rPr>
          <w:rFonts w:eastAsia="Times New Roman"/>
          <w:i/>
        </w:rPr>
        <w:t>Italie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 xml:space="preserve">38433/09, </w:t>
      </w:r>
      <w:r w:rsidR="00565C93">
        <w:rPr>
          <w:rFonts w:eastAsia="Times New Roman"/>
        </w:rPr>
        <w:t>§ </w:t>
      </w:r>
      <w:r w:rsidRPr="00EB3D2F">
        <w:rPr>
          <w:rFonts w:eastAsia="Times New Roman"/>
        </w:rPr>
        <w:t>143, CEDH 2012, relativement à l</w:t>
      </w:r>
      <w:r w:rsidR="00062221">
        <w:rPr>
          <w:rFonts w:eastAsia="Times New Roman"/>
        </w:rPr>
        <w:t>’</w:t>
      </w:r>
      <w:r w:rsidR="00565C93">
        <w:rPr>
          <w:rFonts w:eastAsia="Times New Roman"/>
        </w:rPr>
        <w:t>article </w:t>
      </w:r>
      <w:r w:rsidRPr="00EB3D2F">
        <w:rPr>
          <w:rFonts w:eastAsia="Times New Roman"/>
        </w:rPr>
        <w:t xml:space="preserve">10, et </w:t>
      </w:r>
      <w:proofErr w:type="spellStart"/>
      <w:r w:rsidRPr="00EB3D2F">
        <w:rPr>
          <w:rFonts w:eastAsia="Times New Roman"/>
          <w:i/>
        </w:rPr>
        <w:t>Navalnyy</w:t>
      </w:r>
      <w:proofErr w:type="spellEnd"/>
      <w:r w:rsidR="00565C93">
        <w:rPr>
          <w:rFonts w:eastAsia="Times New Roman"/>
          <w:i/>
        </w:rPr>
        <w:t xml:space="preserve"> c. </w:t>
      </w:r>
      <w:r w:rsidRPr="00EB3D2F">
        <w:rPr>
          <w:rFonts w:eastAsia="Times New Roman"/>
          <w:i/>
        </w:rPr>
        <w:t>Russie</w:t>
      </w:r>
      <w:r w:rsidRPr="00EB3D2F">
        <w:rPr>
          <w:rFonts w:eastAsia="Times New Roman"/>
        </w:rPr>
        <w:t xml:space="preserve"> [GC], n</w:t>
      </w:r>
      <w:r w:rsidRPr="00EB3D2F">
        <w:rPr>
          <w:rFonts w:eastAsia="Times New Roman"/>
          <w:vertAlign w:val="superscript"/>
        </w:rPr>
        <w:t>os</w:t>
      </w:r>
      <w:r w:rsidR="000B6CD8">
        <w:rPr>
          <w:rFonts w:eastAsia="Times New Roman"/>
        </w:rPr>
        <w:t xml:space="preserve"> 29580/12 et 4 </w:t>
      </w:r>
      <w:r w:rsidRPr="00EB3D2F">
        <w:rPr>
          <w:rFonts w:eastAsia="Times New Roman"/>
        </w:rPr>
        <w:t>autres, §</w:t>
      </w:r>
      <w:r w:rsidR="00565C93">
        <w:rPr>
          <w:rFonts w:eastAsia="Times New Roman"/>
        </w:rPr>
        <w:t>§ </w:t>
      </w:r>
      <w:r w:rsidRPr="00EB3D2F">
        <w:rPr>
          <w:rFonts w:eastAsia="Times New Roman"/>
        </w:rPr>
        <w:t>114</w:t>
      </w:r>
      <w:r w:rsidRPr="00EB3D2F">
        <w:rPr>
          <w:rFonts w:eastAsia="Times New Roman"/>
        </w:rPr>
        <w:noBreakHyphen/>
        <w:t>115, 15</w:t>
      </w:r>
      <w:r w:rsidR="00565C93">
        <w:rPr>
          <w:rFonts w:eastAsia="Times New Roman"/>
        </w:rPr>
        <w:t> novembre</w:t>
      </w:r>
      <w:r w:rsidRPr="00EB3D2F">
        <w:rPr>
          <w:rFonts w:eastAsia="Times New Roman"/>
        </w:rPr>
        <w:t xml:space="preserve"> 2018</w:t>
      </w:r>
      <w:r w:rsidRPr="00062221">
        <w:rPr>
          <w:rFonts w:eastAsia="Times New Roman"/>
        </w:rPr>
        <w:t>,</w:t>
      </w:r>
      <w:r w:rsidRPr="00EB3D2F">
        <w:rPr>
          <w:rFonts w:eastAsia="Times New Roman"/>
          <w:i/>
        </w:rPr>
        <w:t xml:space="preserve"> </w:t>
      </w:r>
      <w:r w:rsidRPr="00EB3D2F">
        <w:rPr>
          <w:rFonts w:eastAsia="Times New Roman"/>
        </w:rPr>
        <w:t>relativement à l</w:t>
      </w:r>
      <w:r w:rsidR="00062221">
        <w:rPr>
          <w:rFonts w:eastAsia="Times New Roman"/>
        </w:rPr>
        <w:t>’</w:t>
      </w:r>
      <w:r w:rsidR="00565C93">
        <w:rPr>
          <w:rFonts w:eastAsia="Times New Roman"/>
        </w:rPr>
        <w:t>article </w:t>
      </w:r>
      <w:r w:rsidRPr="00EB3D2F">
        <w:rPr>
          <w:rFonts w:eastAsia="Times New Roman"/>
        </w:rPr>
        <w:t>11).</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15</w:t>
      </w:r>
      <w:r w:rsidRPr="00EB3D2F">
        <w:rPr>
          <w:rFonts w:eastAsia="Times New Roman"/>
        </w:rPr>
        <w:fldChar w:fldCharType="end"/>
      </w:r>
      <w:r w:rsidRPr="00EB3D2F">
        <w:rPr>
          <w:rFonts w:eastAsia="Times New Roman"/>
        </w:rPr>
        <w:t>.  D</w:t>
      </w:r>
      <w:r w:rsidR="00062221">
        <w:rPr>
          <w:rFonts w:eastAsia="Times New Roman"/>
        </w:rPr>
        <w:t>’</w:t>
      </w:r>
      <w:r w:rsidRPr="00EB3D2F">
        <w:rPr>
          <w:rFonts w:eastAsia="Times New Roman"/>
        </w:rPr>
        <w:t xml:space="preserve">après la jurisprudence établie de la Cour, la notion de </w:t>
      </w:r>
      <w:r w:rsidR="006A4DF1">
        <w:rPr>
          <w:rFonts w:eastAsia="Times New Roman"/>
        </w:rPr>
        <w:t>« </w:t>
      </w:r>
      <w:r w:rsidRPr="00EB3D2F">
        <w:rPr>
          <w:rFonts w:eastAsia="Times New Roman"/>
        </w:rPr>
        <w:t>droit</w:t>
      </w:r>
      <w:r w:rsidR="006A4DF1">
        <w:rPr>
          <w:rFonts w:eastAsia="Times New Roman"/>
        </w:rPr>
        <w:t> »</w:t>
      </w:r>
      <w:r w:rsidRPr="00EB3D2F">
        <w:rPr>
          <w:rFonts w:eastAsia="Times New Roman"/>
        </w:rPr>
        <w:t xml:space="preserve"> (</w:t>
      </w:r>
      <w:proofErr w:type="spellStart"/>
      <w:r w:rsidRPr="00EB3D2F">
        <w:rPr>
          <w:rFonts w:eastAsia="Times New Roman"/>
          <w:i/>
        </w:rPr>
        <w:t>law</w:t>
      </w:r>
      <w:proofErr w:type="spellEnd"/>
      <w:r w:rsidRPr="00EB3D2F">
        <w:rPr>
          <w:rFonts w:eastAsia="Times New Roman"/>
        </w:rPr>
        <w:t xml:space="preserve">) </w:t>
      </w:r>
      <w:r w:rsidRPr="00EB3D2F" w:rsidR="00B42C76">
        <w:rPr>
          <w:rFonts w:eastAsia="Times New Roman"/>
        </w:rPr>
        <w:t>utilisée</w:t>
      </w:r>
      <w:r w:rsidRPr="00EB3D2F">
        <w:rPr>
          <w:rFonts w:eastAsia="Times New Roman"/>
        </w:rPr>
        <w:t xml:space="preserve"> à l</w:t>
      </w:r>
      <w:r w:rsidR="00062221">
        <w:rPr>
          <w:rFonts w:eastAsia="Times New Roman"/>
        </w:rPr>
        <w:t>’</w:t>
      </w:r>
      <w:r w:rsidR="00565C93">
        <w:rPr>
          <w:rFonts w:eastAsia="Times New Roman"/>
        </w:rPr>
        <w:t>article </w:t>
      </w:r>
      <w:r w:rsidRPr="00EB3D2F">
        <w:rPr>
          <w:rFonts w:eastAsia="Times New Roman"/>
        </w:rPr>
        <w:t xml:space="preserve">7 correspond </w:t>
      </w:r>
      <w:proofErr w:type="spellStart"/>
      <w:r w:rsidRPr="00EB3D2F">
        <w:rPr>
          <w:rFonts w:eastAsia="Times New Roman"/>
        </w:rPr>
        <w:t>a</w:t>
      </w:r>
      <w:proofErr w:type="spellEnd"/>
      <w:r w:rsidRPr="00EB3D2F">
        <w:rPr>
          <w:rFonts w:eastAsia="Times New Roman"/>
        </w:rPr>
        <w:t xml:space="preserve">̀ celle de </w:t>
      </w:r>
      <w:r w:rsidR="006A4DF1">
        <w:rPr>
          <w:rFonts w:eastAsia="Times New Roman"/>
        </w:rPr>
        <w:t>« </w:t>
      </w:r>
      <w:r w:rsidRPr="00EB3D2F">
        <w:rPr>
          <w:rFonts w:eastAsia="Times New Roman"/>
        </w:rPr>
        <w:t>loi</w:t>
      </w:r>
      <w:r w:rsidR="006A4DF1">
        <w:rPr>
          <w:rFonts w:eastAsia="Times New Roman"/>
        </w:rPr>
        <w:t> »</w:t>
      </w:r>
      <w:r w:rsidRPr="00EB3D2F">
        <w:rPr>
          <w:rFonts w:eastAsia="Times New Roman"/>
        </w:rPr>
        <w:t xml:space="preserve"> qui figure dans d</w:t>
      </w:r>
      <w:r w:rsidR="00062221">
        <w:rPr>
          <w:rFonts w:eastAsia="Times New Roman"/>
        </w:rPr>
        <w:t>’</w:t>
      </w:r>
      <w:r w:rsidRPr="00EB3D2F">
        <w:rPr>
          <w:rFonts w:eastAsia="Times New Roman"/>
        </w:rPr>
        <w:t xml:space="preserve">autres </w:t>
      </w:r>
      <w:r w:rsidR="005F196F">
        <w:rPr>
          <w:rFonts w:eastAsia="Times New Roman"/>
        </w:rPr>
        <w:t xml:space="preserve">articles </w:t>
      </w:r>
      <w:r w:rsidRPr="00EB3D2F">
        <w:rPr>
          <w:rFonts w:eastAsia="Times New Roman"/>
        </w:rPr>
        <w:t>de la Convention</w:t>
      </w:r>
      <w:r w:rsidR="006A4DF1">
        <w:rPr>
          <w:rFonts w:eastAsia="Times New Roman"/>
        </w:rPr>
        <w:t> ;</w:t>
      </w:r>
      <w:r w:rsidRPr="00EB3D2F">
        <w:rPr>
          <w:rFonts w:eastAsia="Times New Roman"/>
        </w:rPr>
        <w:t xml:space="preserve"> elle englobe le droit d</w:t>
      </w:r>
      <w:r w:rsidR="00062221">
        <w:rPr>
          <w:rFonts w:eastAsia="Times New Roman"/>
        </w:rPr>
        <w:t>’</w:t>
      </w:r>
      <w:r w:rsidRPr="00EB3D2F">
        <w:rPr>
          <w:rFonts w:eastAsia="Times New Roman"/>
        </w:rPr>
        <w:t>origine tant législative que jurisprudentielle et implique des conditions qualitatives, entre autres celles d</w:t>
      </w:r>
      <w:r w:rsidR="00062221">
        <w:rPr>
          <w:rFonts w:eastAsia="Times New Roman"/>
        </w:rPr>
        <w:t>’</w:t>
      </w:r>
      <w:r w:rsidRPr="00EB3D2F" w:rsidR="00B42C76">
        <w:rPr>
          <w:rFonts w:eastAsia="Times New Roman"/>
        </w:rPr>
        <w:t>accessibilité</w:t>
      </w:r>
      <w:r w:rsidRPr="00EB3D2F">
        <w:rPr>
          <w:rFonts w:eastAsia="Times New Roman"/>
        </w:rPr>
        <w:t xml:space="preserve">́ et de </w:t>
      </w:r>
      <w:r w:rsidRPr="00EB3D2F" w:rsidR="00B42C76">
        <w:rPr>
          <w:rFonts w:eastAsia="Times New Roman"/>
        </w:rPr>
        <w:t>prévisibilité</w:t>
      </w:r>
      <w:r w:rsidRPr="00EB3D2F">
        <w:rPr>
          <w:rFonts w:eastAsia="Times New Roman"/>
        </w:rPr>
        <w:t>́ (</w:t>
      </w:r>
      <w:proofErr w:type="spellStart"/>
      <w:r w:rsidRPr="00EB3D2F">
        <w:rPr>
          <w:rFonts w:eastAsia="Times New Roman"/>
          <w:i/>
        </w:rPr>
        <w:t>Streletz</w:t>
      </w:r>
      <w:proofErr w:type="spellEnd"/>
      <w:r w:rsidRPr="00EB3D2F">
        <w:rPr>
          <w:rFonts w:eastAsia="Times New Roman"/>
          <w:i/>
        </w:rPr>
        <w:t xml:space="preserve">, </w:t>
      </w:r>
      <w:proofErr w:type="spellStart"/>
      <w:r w:rsidRPr="00EB3D2F">
        <w:rPr>
          <w:rFonts w:eastAsia="Times New Roman"/>
          <w:i/>
        </w:rPr>
        <w:t>Kessler</w:t>
      </w:r>
      <w:proofErr w:type="spellEnd"/>
      <w:r w:rsidRPr="00EB3D2F">
        <w:rPr>
          <w:rFonts w:eastAsia="Times New Roman"/>
          <w:i/>
        </w:rPr>
        <w:t xml:space="preserve"> et </w:t>
      </w:r>
      <w:proofErr w:type="spellStart"/>
      <w:r w:rsidRPr="00EB3D2F">
        <w:rPr>
          <w:rFonts w:eastAsia="Times New Roman"/>
          <w:i/>
        </w:rPr>
        <w:t>Krenz</w:t>
      </w:r>
      <w:proofErr w:type="spellEnd"/>
      <w:r w:rsidR="00565C93">
        <w:rPr>
          <w:rFonts w:eastAsia="Times New Roman"/>
          <w:i/>
        </w:rPr>
        <w:t xml:space="preserve"> c. </w:t>
      </w:r>
      <w:r w:rsidRPr="00EB3D2F">
        <w:rPr>
          <w:rFonts w:eastAsia="Times New Roman"/>
          <w:i/>
        </w:rPr>
        <w:t>Allemagne</w:t>
      </w:r>
      <w:r w:rsidRPr="00EB3D2F">
        <w:rPr>
          <w:rFonts w:eastAsia="Times New Roman"/>
        </w:rPr>
        <w:t xml:space="preserve"> [GC], n</w:t>
      </w:r>
      <w:r w:rsidRPr="00EB3D2F">
        <w:rPr>
          <w:rFonts w:eastAsia="Times New Roman"/>
          <w:vertAlign w:val="superscript"/>
        </w:rPr>
        <w:t>os</w:t>
      </w:r>
      <w:r w:rsidRPr="00EB3D2F">
        <w:rPr>
          <w:rFonts w:eastAsia="Times New Roman"/>
        </w:rPr>
        <w:t xml:space="preserve"> 34044/96 et 2</w:t>
      </w:r>
      <w:r w:rsidR="00163BFD">
        <w:rPr>
          <w:rFonts w:eastAsia="Times New Roman"/>
        </w:rPr>
        <w:t> </w:t>
      </w:r>
      <w:r w:rsidRPr="00EB3D2F">
        <w:rPr>
          <w:rFonts w:eastAsia="Times New Roman"/>
        </w:rPr>
        <w:t xml:space="preserve">autres, </w:t>
      </w:r>
      <w:r w:rsidR="00565C93">
        <w:rPr>
          <w:rFonts w:eastAsia="Times New Roman"/>
        </w:rPr>
        <w:t>§ </w:t>
      </w:r>
      <w:r w:rsidRPr="00EB3D2F">
        <w:rPr>
          <w:rFonts w:eastAsia="Times New Roman"/>
        </w:rPr>
        <w:t>82, CEDH 2001</w:t>
      </w:r>
      <w:r w:rsidRPr="00EB3D2F">
        <w:rPr>
          <w:rFonts w:eastAsia="Times New Roman"/>
        </w:rPr>
        <w:noBreakHyphen/>
        <w:t>II</w:t>
      </w:r>
      <w:r w:rsidRPr="00EB3D2F">
        <w:rPr>
          <w:rFonts w:eastAsia="Times New Roman"/>
          <w:i/>
        </w:rPr>
        <w:t>,</w:t>
      </w:r>
      <w:r w:rsidRPr="00EB3D2F">
        <w:rPr>
          <w:rFonts w:eastAsia="Times New Roman"/>
        </w:rPr>
        <w:t xml:space="preserve"> </w:t>
      </w:r>
      <w:proofErr w:type="spellStart"/>
      <w:r w:rsidRPr="00EB3D2F">
        <w:rPr>
          <w:rFonts w:eastAsia="Times New Roman"/>
          <w:i/>
        </w:rPr>
        <w:t>Vasiliauskas</w:t>
      </w:r>
      <w:proofErr w:type="spellEnd"/>
      <w:r w:rsidRPr="00EB3D2F">
        <w:rPr>
          <w:rFonts w:eastAsia="Times New Roman"/>
        </w:rPr>
        <w:t xml:space="preserve">, précité, </w:t>
      </w:r>
      <w:r w:rsidR="00565C93">
        <w:rPr>
          <w:rFonts w:eastAsia="Times New Roman"/>
        </w:rPr>
        <w:t>§ </w:t>
      </w:r>
      <w:r w:rsidRPr="00EB3D2F">
        <w:rPr>
          <w:rFonts w:eastAsia="Times New Roman"/>
        </w:rPr>
        <w:t xml:space="preserve">154, et </w:t>
      </w:r>
      <w:proofErr w:type="spellStart"/>
      <w:r w:rsidRPr="00EB3D2F">
        <w:rPr>
          <w:rFonts w:eastAsia="Times New Roman"/>
          <w:i/>
        </w:rPr>
        <w:t>Kudrevičius</w:t>
      </w:r>
      <w:proofErr w:type="spellEnd"/>
      <w:r w:rsidRPr="00EB3D2F">
        <w:rPr>
          <w:rFonts w:eastAsia="Times New Roman"/>
          <w:i/>
        </w:rPr>
        <w:t xml:space="preserve"> et autres</w:t>
      </w:r>
      <w:r w:rsidR="00565C93">
        <w:rPr>
          <w:rFonts w:eastAsia="Times New Roman"/>
          <w:i/>
        </w:rPr>
        <w:t xml:space="preserve"> c. </w:t>
      </w:r>
      <w:r w:rsidRPr="00EB3D2F">
        <w:rPr>
          <w:rFonts w:eastAsia="Times New Roman"/>
          <w:i/>
        </w:rPr>
        <w:t>Lituanie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 xml:space="preserve">37553/05, </w:t>
      </w:r>
      <w:r w:rsidR="00565C93">
        <w:rPr>
          <w:rFonts w:eastAsia="Times New Roman"/>
        </w:rPr>
        <w:t>§ </w:t>
      </w:r>
      <w:r w:rsidRPr="00EB3D2F">
        <w:rPr>
          <w:rFonts w:eastAsia="Times New Roman"/>
        </w:rPr>
        <w:t>193, CEDH 2015).</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16</w:t>
      </w:r>
      <w:r w:rsidRPr="00EB3D2F">
        <w:rPr>
          <w:rFonts w:eastAsia="Times New Roman"/>
        </w:rPr>
        <w:fldChar w:fldCharType="end"/>
      </w:r>
      <w:r w:rsidRPr="00EB3D2F">
        <w:rPr>
          <w:rFonts w:eastAsia="Times New Roman"/>
        </w:rPr>
        <w:t>.  La loi doit définir clairement les infractions et les peines qui les répriment. Cette condition se trouve remplie lorsque le justiciable peut savoir, à partir du libellé de la disposition pertinente, au besoin à l</w:t>
      </w:r>
      <w:r w:rsidR="00062221">
        <w:rPr>
          <w:rFonts w:eastAsia="Times New Roman"/>
        </w:rPr>
        <w:t>’</w:t>
      </w:r>
      <w:r w:rsidRPr="00EB3D2F">
        <w:rPr>
          <w:rFonts w:eastAsia="Times New Roman"/>
        </w:rPr>
        <w:t>aide de l</w:t>
      </w:r>
      <w:r w:rsidR="00062221">
        <w:rPr>
          <w:rFonts w:eastAsia="Times New Roman"/>
        </w:rPr>
        <w:t>’</w:t>
      </w:r>
      <w:r w:rsidRPr="00EB3D2F">
        <w:rPr>
          <w:rFonts w:eastAsia="Times New Roman"/>
        </w:rPr>
        <w:t>interprétation qui en est donnée par les tribunaux et le cas échéant après avoir recouru à des conseils éclairés, quels actes et omissions engagent sa responsabilité pénale (</w:t>
      </w:r>
      <w:r w:rsidRPr="00EB3D2F">
        <w:rPr>
          <w:rFonts w:eastAsia="Times New Roman"/>
          <w:i/>
        </w:rPr>
        <w:t xml:space="preserve">Del </w:t>
      </w:r>
      <w:r w:rsidR="005F2362">
        <w:rPr>
          <w:rFonts w:eastAsia="Times New Roman"/>
          <w:i/>
        </w:rPr>
        <w:t xml:space="preserve">Río </w:t>
      </w:r>
      <w:r w:rsidRPr="00EB3D2F">
        <w:rPr>
          <w:rFonts w:eastAsia="Times New Roman"/>
          <w:i/>
        </w:rPr>
        <w:t>Prada</w:t>
      </w:r>
      <w:r w:rsidRPr="00EB3D2F">
        <w:rPr>
          <w:rFonts w:eastAsia="Times New Roman"/>
        </w:rPr>
        <w:t xml:space="preserve">, précité, </w:t>
      </w:r>
      <w:r w:rsidR="00565C93">
        <w:rPr>
          <w:rFonts w:eastAsia="Times New Roman"/>
        </w:rPr>
        <w:t>§ </w:t>
      </w:r>
      <w:r w:rsidRPr="00EB3D2F">
        <w:rPr>
          <w:rFonts w:eastAsia="Times New Roman"/>
        </w:rPr>
        <w:t>79, relativement à l</w:t>
      </w:r>
      <w:r w:rsidR="00062221">
        <w:rPr>
          <w:rFonts w:eastAsia="Times New Roman"/>
        </w:rPr>
        <w:t>’</w:t>
      </w:r>
      <w:r w:rsidR="00565C93">
        <w:rPr>
          <w:rFonts w:eastAsia="Times New Roman"/>
        </w:rPr>
        <w:t>article </w:t>
      </w:r>
      <w:r w:rsidRPr="00EB3D2F">
        <w:rPr>
          <w:rFonts w:eastAsia="Times New Roman"/>
        </w:rPr>
        <w:t>7, ou, relativement à l</w:t>
      </w:r>
      <w:r w:rsidR="00062221">
        <w:rPr>
          <w:rFonts w:eastAsia="Times New Roman"/>
        </w:rPr>
        <w:t>’</w:t>
      </w:r>
      <w:r w:rsidR="00565C93">
        <w:rPr>
          <w:rFonts w:eastAsia="Times New Roman"/>
        </w:rPr>
        <w:t>article </w:t>
      </w:r>
      <w:r w:rsidRPr="00EB3D2F">
        <w:rPr>
          <w:rFonts w:eastAsia="Times New Roman"/>
        </w:rPr>
        <w:t xml:space="preserve">11, </w:t>
      </w:r>
      <w:proofErr w:type="spellStart"/>
      <w:r w:rsidRPr="00EB3D2F">
        <w:rPr>
          <w:rFonts w:eastAsia="Times New Roman"/>
          <w:i/>
        </w:rPr>
        <w:t>Kudrevičius</w:t>
      </w:r>
      <w:proofErr w:type="spellEnd"/>
      <w:r w:rsidRPr="00EB3D2F">
        <w:rPr>
          <w:rFonts w:eastAsia="Times New Roman"/>
          <w:i/>
        </w:rPr>
        <w:t xml:space="preserve"> et autres</w:t>
      </w:r>
      <w:r w:rsidRPr="00EB3D2F">
        <w:rPr>
          <w:rFonts w:eastAsia="Times New Roman"/>
        </w:rPr>
        <w:t xml:space="preserve">, précité, </w:t>
      </w:r>
      <w:r w:rsidR="00565C93">
        <w:rPr>
          <w:rFonts w:eastAsia="Times New Roman"/>
        </w:rPr>
        <w:t>§ </w:t>
      </w:r>
      <w:r w:rsidRPr="00EB3D2F">
        <w:rPr>
          <w:rFonts w:eastAsia="Times New Roman"/>
        </w:rPr>
        <w:t xml:space="preserve">109, et </w:t>
      </w:r>
      <w:proofErr w:type="spellStart"/>
      <w:r w:rsidRPr="00EB3D2F">
        <w:rPr>
          <w:rFonts w:eastAsia="Times New Roman"/>
          <w:i/>
        </w:rPr>
        <w:t>Navalnyy</w:t>
      </w:r>
      <w:proofErr w:type="spellEnd"/>
      <w:r w:rsidRPr="00EB3D2F">
        <w:rPr>
          <w:rFonts w:eastAsia="Times New Roman"/>
        </w:rPr>
        <w:t xml:space="preserve">, précité, </w:t>
      </w:r>
      <w:r w:rsidR="00565C93">
        <w:rPr>
          <w:rFonts w:eastAsia="Times New Roman"/>
        </w:rPr>
        <w:t>§ </w:t>
      </w:r>
      <w:r w:rsidRPr="00EB3D2F">
        <w:rPr>
          <w:rFonts w:eastAsia="Times New Roman"/>
        </w:rPr>
        <w:t>114). La Cour admet qu</w:t>
      </w:r>
      <w:r w:rsidR="00062221">
        <w:rPr>
          <w:rFonts w:eastAsia="Times New Roman"/>
        </w:rPr>
        <w:t>’</w:t>
      </w:r>
      <w:r w:rsidRPr="00EB3D2F">
        <w:rPr>
          <w:rFonts w:eastAsia="Times New Roman"/>
        </w:rPr>
        <w:t>en raison de leur caractère général, le libellé des lois ne présente pas toujours une précision absolue, et qu</w:t>
      </w:r>
      <w:r w:rsidR="00062221">
        <w:rPr>
          <w:rFonts w:eastAsia="Times New Roman"/>
        </w:rPr>
        <w:t>’</w:t>
      </w:r>
      <w:r w:rsidRPr="00EB3D2F">
        <w:rPr>
          <w:rFonts w:eastAsia="Times New Roman"/>
        </w:rPr>
        <w:t xml:space="preserve">il faudra toujours que le juge en élucide des points obscurs et </w:t>
      </w:r>
      <w:proofErr w:type="gramStart"/>
      <w:r w:rsidRPr="00EB3D2F">
        <w:rPr>
          <w:rFonts w:eastAsia="Times New Roman"/>
        </w:rPr>
        <w:t>en</w:t>
      </w:r>
      <w:proofErr w:type="gramEnd"/>
      <w:r w:rsidRPr="00EB3D2F">
        <w:rPr>
          <w:rFonts w:eastAsia="Times New Roman"/>
        </w:rPr>
        <w:t xml:space="preserve"> adapte le libellé en fonction de l</w:t>
      </w:r>
      <w:r w:rsidR="00062221">
        <w:rPr>
          <w:rFonts w:eastAsia="Times New Roman"/>
        </w:rPr>
        <w:t>’</w:t>
      </w:r>
      <w:r w:rsidRPr="00EB3D2F">
        <w:rPr>
          <w:rFonts w:eastAsia="Times New Roman"/>
        </w:rPr>
        <w:t xml:space="preserve">évolution des circonstances. La fonction </w:t>
      </w:r>
      <w:proofErr w:type="gramStart"/>
      <w:r w:rsidRPr="00EB3D2F">
        <w:rPr>
          <w:rFonts w:eastAsia="Times New Roman"/>
        </w:rPr>
        <w:t>de</w:t>
      </w:r>
      <w:proofErr w:type="gramEnd"/>
      <w:r w:rsidRPr="00EB3D2F">
        <w:rPr>
          <w:rFonts w:eastAsia="Times New Roman"/>
        </w:rPr>
        <w:t xml:space="preserve"> décision confiée aux juridictions sert précisément à dissiper les doutes qui pourraient subsister quant à l</w:t>
      </w:r>
      <w:r w:rsidR="00062221">
        <w:rPr>
          <w:rFonts w:eastAsia="Times New Roman"/>
        </w:rPr>
        <w:t>’</w:t>
      </w:r>
      <w:r w:rsidRPr="00EB3D2F">
        <w:rPr>
          <w:rFonts w:eastAsia="Times New Roman"/>
        </w:rPr>
        <w:t>interprétation des normes (</w:t>
      </w:r>
      <w:r w:rsidRPr="00EB3D2F">
        <w:rPr>
          <w:rFonts w:eastAsia="Times New Roman"/>
          <w:i/>
        </w:rPr>
        <w:t xml:space="preserve">Del </w:t>
      </w:r>
      <w:r w:rsidR="005F2362">
        <w:rPr>
          <w:rFonts w:eastAsia="Times New Roman"/>
          <w:i/>
        </w:rPr>
        <w:t xml:space="preserve">Río </w:t>
      </w:r>
      <w:r w:rsidRPr="00EB3D2F">
        <w:rPr>
          <w:rFonts w:eastAsia="Times New Roman"/>
          <w:i/>
        </w:rPr>
        <w:t>Prada</w:t>
      </w:r>
      <w:r w:rsidRPr="00EB3D2F">
        <w:rPr>
          <w:rFonts w:eastAsia="Times New Roman"/>
        </w:rPr>
        <w:t xml:space="preserve">, précité, </w:t>
      </w:r>
      <w:r w:rsidR="00565C93">
        <w:rPr>
          <w:rFonts w:eastAsia="Times New Roman"/>
        </w:rPr>
        <w:t>§ </w:t>
      </w:r>
      <w:r w:rsidRPr="00EB3D2F">
        <w:rPr>
          <w:rFonts w:eastAsia="Times New Roman"/>
        </w:rPr>
        <w:t xml:space="preserve">93, et </w:t>
      </w:r>
      <w:proofErr w:type="spellStart"/>
      <w:r w:rsidRPr="00EB3D2F">
        <w:rPr>
          <w:rFonts w:eastAsia="Times New Roman"/>
          <w:i/>
        </w:rPr>
        <w:t>Kudrevičius</w:t>
      </w:r>
      <w:proofErr w:type="spellEnd"/>
      <w:r w:rsidRPr="00EB3D2F">
        <w:rPr>
          <w:rFonts w:eastAsia="Times New Roman"/>
          <w:i/>
        </w:rPr>
        <w:t xml:space="preserve"> et autres</w:t>
      </w:r>
      <w:r w:rsidRPr="00EB3D2F">
        <w:rPr>
          <w:rFonts w:eastAsia="Times New Roman"/>
        </w:rPr>
        <w:t xml:space="preserve">, précité, </w:t>
      </w:r>
      <w:r w:rsidR="00565C93">
        <w:rPr>
          <w:rFonts w:eastAsia="Times New Roman"/>
        </w:rPr>
        <w:t>§ </w:t>
      </w:r>
      <w:r w:rsidRPr="00EB3D2F">
        <w:rPr>
          <w:rFonts w:eastAsia="Times New Roman"/>
        </w:rPr>
        <w:t>110).</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17</w:t>
      </w:r>
      <w:r w:rsidRPr="00EB3D2F">
        <w:rPr>
          <w:rFonts w:eastAsia="Times New Roman"/>
        </w:rPr>
        <w:fldChar w:fldCharType="end"/>
      </w:r>
      <w:r w:rsidRPr="00EB3D2F">
        <w:rPr>
          <w:rFonts w:eastAsia="Times New Roman"/>
        </w:rPr>
        <w:t>.  Dans le contexte de l</w:t>
      </w:r>
      <w:r w:rsidR="00062221">
        <w:rPr>
          <w:rFonts w:eastAsia="Times New Roman"/>
        </w:rPr>
        <w:t>’</w:t>
      </w:r>
      <w:r w:rsidR="00565C93">
        <w:rPr>
          <w:rFonts w:eastAsia="Times New Roman"/>
        </w:rPr>
        <w:t>article </w:t>
      </w:r>
      <w:r w:rsidRPr="00EB3D2F">
        <w:rPr>
          <w:rFonts w:eastAsia="Times New Roman"/>
        </w:rPr>
        <w:t>7 comme dans celui de l</w:t>
      </w:r>
      <w:r w:rsidR="00062221">
        <w:rPr>
          <w:rFonts w:eastAsia="Times New Roman"/>
        </w:rPr>
        <w:t>’</w:t>
      </w:r>
      <w:r w:rsidR="00565C93">
        <w:rPr>
          <w:rFonts w:eastAsia="Times New Roman"/>
        </w:rPr>
        <w:t>article </w:t>
      </w:r>
      <w:r w:rsidRPr="00EB3D2F">
        <w:rPr>
          <w:rFonts w:eastAsia="Times New Roman"/>
        </w:rPr>
        <w:t xml:space="preserve">10 </w:t>
      </w:r>
      <w:r w:rsidR="00565C93">
        <w:rPr>
          <w:rFonts w:eastAsia="Times New Roman"/>
        </w:rPr>
        <w:t>§ </w:t>
      </w:r>
      <w:r w:rsidRPr="00EB3D2F">
        <w:rPr>
          <w:rFonts w:eastAsia="Times New Roman"/>
        </w:rPr>
        <w:t>2, le niveau de précision requis de la législation interne dépend dans une large mesure du contenu de la loi en question, du domaine qu</w:t>
      </w:r>
      <w:r w:rsidR="00062221">
        <w:rPr>
          <w:rFonts w:eastAsia="Times New Roman"/>
        </w:rPr>
        <w:t>’</w:t>
      </w:r>
      <w:r w:rsidRPr="00EB3D2F">
        <w:rPr>
          <w:rFonts w:eastAsia="Times New Roman"/>
        </w:rPr>
        <w:t>elle est censée couvrir, ainsi que du nombre et de la qualité de ceux à qui elle s</w:t>
      </w:r>
      <w:r w:rsidR="00062221">
        <w:rPr>
          <w:rFonts w:eastAsia="Times New Roman"/>
        </w:rPr>
        <w:t>’</w:t>
      </w:r>
      <w:r w:rsidRPr="00EB3D2F">
        <w:rPr>
          <w:rFonts w:eastAsia="Times New Roman"/>
        </w:rPr>
        <w:t>adresse (voir, relativement à l</w:t>
      </w:r>
      <w:r w:rsidR="00062221">
        <w:rPr>
          <w:rFonts w:eastAsia="Times New Roman"/>
        </w:rPr>
        <w:t>’</w:t>
      </w:r>
      <w:r w:rsidR="00565C93">
        <w:rPr>
          <w:rFonts w:eastAsia="Times New Roman"/>
        </w:rPr>
        <w:t>article </w:t>
      </w:r>
      <w:r w:rsidRPr="00EB3D2F">
        <w:rPr>
          <w:rFonts w:eastAsia="Times New Roman"/>
        </w:rPr>
        <w:t xml:space="preserve">7, </w:t>
      </w:r>
      <w:proofErr w:type="spellStart"/>
      <w:r w:rsidRPr="00EB3D2F">
        <w:rPr>
          <w:rFonts w:eastAsia="Times New Roman"/>
          <w:i/>
        </w:rPr>
        <w:t>Vasiliauskas</w:t>
      </w:r>
      <w:proofErr w:type="spellEnd"/>
      <w:r w:rsidRPr="00EB3D2F">
        <w:rPr>
          <w:rFonts w:eastAsia="Times New Roman"/>
        </w:rPr>
        <w:t xml:space="preserve">, précité, </w:t>
      </w:r>
      <w:r w:rsidR="00565C93">
        <w:rPr>
          <w:rFonts w:eastAsia="Times New Roman"/>
        </w:rPr>
        <w:t>§ </w:t>
      </w:r>
      <w:r w:rsidRPr="00EB3D2F">
        <w:rPr>
          <w:rFonts w:eastAsia="Times New Roman"/>
        </w:rPr>
        <w:t>157, et relativement à l</w:t>
      </w:r>
      <w:r w:rsidR="00062221">
        <w:rPr>
          <w:rFonts w:eastAsia="Times New Roman"/>
        </w:rPr>
        <w:t>’</w:t>
      </w:r>
      <w:r w:rsidR="00565C93">
        <w:rPr>
          <w:rFonts w:eastAsia="Times New Roman"/>
        </w:rPr>
        <w:t>article </w:t>
      </w:r>
      <w:r w:rsidRPr="00EB3D2F">
        <w:rPr>
          <w:rFonts w:eastAsia="Times New Roman"/>
        </w:rPr>
        <w:t xml:space="preserve">10 </w:t>
      </w:r>
      <w:r w:rsidR="00565C93">
        <w:rPr>
          <w:rFonts w:eastAsia="Times New Roman"/>
        </w:rPr>
        <w:t>§ </w:t>
      </w:r>
      <w:r w:rsidRPr="00EB3D2F">
        <w:rPr>
          <w:rFonts w:eastAsia="Times New Roman"/>
        </w:rPr>
        <w:t xml:space="preserve">2, </w:t>
      </w:r>
      <w:proofErr w:type="spellStart"/>
      <w:r w:rsidRPr="00EB3D2F">
        <w:rPr>
          <w:rFonts w:eastAsia="Times New Roman"/>
          <w:i/>
          <w:iCs/>
        </w:rPr>
        <w:t>Satakunnan</w:t>
      </w:r>
      <w:proofErr w:type="spellEnd"/>
      <w:r w:rsidRPr="00EB3D2F">
        <w:rPr>
          <w:rFonts w:eastAsia="Times New Roman"/>
          <w:i/>
          <w:iCs/>
        </w:rPr>
        <w:t xml:space="preserve"> </w:t>
      </w:r>
      <w:proofErr w:type="spellStart"/>
      <w:r w:rsidRPr="00EB3D2F">
        <w:rPr>
          <w:rFonts w:eastAsia="Times New Roman"/>
          <w:i/>
          <w:iCs/>
        </w:rPr>
        <w:t>Markkinapörssi</w:t>
      </w:r>
      <w:proofErr w:type="spellEnd"/>
      <w:r w:rsidRPr="00EB3D2F">
        <w:rPr>
          <w:rFonts w:eastAsia="Times New Roman"/>
          <w:i/>
          <w:iCs/>
        </w:rPr>
        <w:t xml:space="preserve"> </w:t>
      </w:r>
      <w:proofErr w:type="spellStart"/>
      <w:r w:rsidRPr="00EB3D2F">
        <w:rPr>
          <w:rFonts w:eastAsia="Times New Roman"/>
          <w:i/>
          <w:iCs/>
        </w:rPr>
        <w:t>Oy</w:t>
      </w:r>
      <w:proofErr w:type="spellEnd"/>
      <w:r w:rsidRPr="00EB3D2F">
        <w:rPr>
          <w:rFonts w:eastAsia="Times New Roman"/>
          <w:i/>
          <w:iCs/>
        </w:rPr>
        <w:t xml:space="preserve"> et </w:t>
      </w:r>
      <w:proofErr w:type="spellStart"/>
      <w:r w:rsidRPr="00EB3D2F">
        <w:rPr>
          <w:rFonts w:eastAsia="Times New Roman"/>
          <w:i/>
          <w:iCs/>
        </w:rPr>
        <w:t>Satamedia</w:t>
      </w:r>
      <w:proofErr w:type="spellEnd"/>
      <w:r w:rsidRPr="00EB3D2F">
        <w:rPr>
          <w:rFonts w:eastAsia="Times New Roman"/>
          <w:i/>
          <w:iCs/>
        </w:rPr>
        <w:t xml:space="preserve"> </w:t>
      </w:r>
      <w:proofErr w:type="spellStart"/>
      <w:r w:rsidRPr="00EB3D2F">
        <w:rPr>
          <w:rFonts w:eastAsia="Times New Roman"/>
          <w:i/>
          <w:iCs/>
        </w:rPr>
        <w:t>Oy</w:t>
      </w:r>
      <w:proofErr w:type="spellEnd"/>
      <w:r w:rsidR="00565C93">
        <w:rPr>
          <w:rFonts w:eastAsia="Times New Roman"/>
          <w:i/>
          <w:iCs/>
        </w:rPr>
        <w:t xml:space="preserve"> c. </w:t>
      </w:r>
      <w:r w:rsidRPr="00EB3D2F">
        <w:rPr>
          <w:rFonts w:eastAsia="Times New Roman"/>
          <w:i/>
          <w:iCs/>
        </w:rPr>
        <w:t>Finlande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 xml:space="preserve">931/13, </w:t>
      </w:r>
      <w:r w:rsidR="00565C93">
        <w:rPr>
          <w:rFonts w:eastAsia="Times New Roman"/>
        </w:rPr>
        <w:t>§ </w:t>
      </w:r>
      <w:r w:rsidRPr="00EB3D2F">
        <w:rPr>
          <w:rFonts w:eastAsia="Times New Roman"/>
        </w:rPr>
        <w:t>144, 27</w:t>
      </w:r>
      <w:r w:rsidR="00565C93">
        <w:rPr>
          <w:rFonts w:eastAsia="Times New Roman"/>
        </w:rPr>
        <w:t> juin</w:t>
      </w:r>
      <w:r w:rsidRPr="00EB3D2F">
        <w:rPr>
          <w:rFonts w:eastAsia="Times New Roman"/>
        </w:rPr>
        <w:t xml:space="preserve"> 2017).</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18</w:t>
      </w:r>
      <w:r w:rsidRPr="00EB3D2F">
        <w:rPr>
          <w:rFonts w:eastAsia="Times New Roman"/>
        </w:rPr>
        <w:fldChar w:fldCharType="end"/>
      </w:r>
      <w:r w:rsidRPr="00EB3D2F">
        <w:rPr>
          <w:rFonts w:eastAsia="Times New Roman"/>
        </w:rPr>
        <w:t>.  Néanmoins, dès lors qu</w:t>
      </w:r>
      <w:r w:rsidR="00062221">
        <w:rPr>
          <w:rFonts w:eastAsia="Times New Roman"/>
        </w:rPr>
        <w:t>’</w:t>
      </w:r>
      <w:r w:rsidRPr="00EB3D2F">
        <w:rPr>
          <w:rFonts w:eastAsia="Times New Roman"/>
        </w:rPr>
        <w:t>il est question d</w:t>
      </w:r>
      <w:r w:rsidR="00062221">
        <w:rPr>
          <w:rFonts w:eastAsia="Times New Roman"/>
        </w:rPr>
        <w:t>’</w:t>
      </w:r>
      <w:r w:rsidRPr="00EB3D2F">
        <w:rPr>
          <w:rFonts w:eastAsia="Times New Roman"/>
        </w:rPr>
        <w:t>une accusation ou d</w:t>
      </w:r>
      <w:r w:rsidR="00062221">
        <w:rPr>
          <w:rFonts w:eastAsia="Times New Roman"/>
        </w:rPr>
        <w:t>’</w:t>
      </w:r>
      <w:r w:rsidRPr="00EB3D2F">
        <w:rPr>
          <w:rFonts w:eastAsia="Times New Roman"/>
        </w:rPr>
        <w:t>une condamnation pénale, l</w:t>
      </w:r>
      <w:r w:rsidR="00062221">
        <w:rPr>
          <w:rFonts w:eastAsia="Times New Roman"/>
        </w:rPr>
        <w:t>’</w:t>
      </w:r>
      <w:r w:rsidR="00565C93">
        <w:rPr>
          <w:rFonts w:eastAsia="Times New Roman"/>
        </w:rPr>
        <w:t>article </w:t>
      </w:r>
      <w:r w:rsidRPr="00EB3D2F">
        <w:rPr>
          <w:rFonts w:eastAsia="Times New Roman"/>
        </w:rPr>
        <w:t xml:space="preserve">7 </w:t>
      </w:r>
      <w:r w:rsidR="00565C93">
        <w:rPr>
          <w:rFonts w:eastAsia="Times New Roman"/>
        </w:rPr>
        <w:t>§ </w:t>
      </w:r>
      <w:r w:rsidRPr="00EB3D2F">
        <w:rPr>
          <w:rFonts w:eastAsia="Times New Roman"/>
        </w:rPr>
        <w:t>1 exige de la Cour qu</w:t>
      </w:r>
      <w:r w:rsidR="00062221">
        <w:rPr>
          <w:rFonts w:eastAsia="Times New Roman"/>
        </w:rPr>
        <w:t>’</w:t>
      </w:r>
      <w:r w:rsidRPr="00EB3D2F">
        <w:rPr>
          <w:rFonts w:eastAsia="Times New Roman"/>
        </w:rPr>
        <w:t>elle recherche si la condamnation du requérant reposait à l</w:t>
      </w:r>
      <w:r w:rsidR="00062221">
        <w:rPr>
          <w:rFonts w:eastAsia="Times New Roman"/>
        </w:rPr>
        <w:t>’</w:t>
      </w:r>
      <w:r w:rsidRPr="00EB3D2F">
        <w:rPr>
          <w:rFonts w:eastAsia="Times New Roman"/>
        </w:rPr>
        <w:t>époque des faits sur une base légale, et qu</w:t>
      </w:r>
      <w:r w:rsidR="00062221">
        <w:rPr>
          <w:rFonts w:eastAsia="Times New Roman"/>
        </w:rPr>
        <w:t>’</w:t>
      </w:r>
      <w:r w:rsidRPr="00EB3D2F">
        <w:rPr>
          <w:rFonts w:eastAsia="Times New Roman"/>
        </w:rPr>
        <w:t>elle s</w:t>
      </w:r>
      <w:r w:rsidR="00062221">
        <w:rPr>
          <w:rFonts w:eastAsia="Times New Roman"/>
        </w:rPr>
        <w:t>’</w:t>
      </w:r>
      <w:r w:rsidRPr="00EB3D2F">
        <w:rPr>
          <w:rFonts w:eastAsia="Times New Roman"/>
        </w:rPr>
        <w:t xml:space="preserve">assure que le résultat auquel ont abouti les juridictions internes compétentes était en conformité avec cet </w:t>
      </w:r>
      <w:r w:rsidR="00F56320">
        <w:rPr>
          <w:rFonts w:eastAsia="Times New Roman"/>
        </w:rPr>
        <w:t xml:space="preserve">article </w:t>
      </w:r>
      <w:r w:rsidRPr="00EB3D2F">
        <w:rPr>
          <w:rFonts w:eastAsia="Times New Roman"/>
        </w:rPr>
        <w:t xml:space="preserve">(voir, par exemple, </w:t>
      </w:r>
      <w:proofErr w:type="spellStart"/>
      <w:r w:rsidRPr="00EB3D2F">
        <w:rPr>
          <w:rFonts w:eastAsia="Times New Roman"/>
          <w:i/>
        </w:rPr>
        <w:t>Kononov</w:t>
      </w:r>
      <w:proofErr w:type="spellEnd"/>
      <w:r w:rsidR="00565C93">
        <w:rPr>
          <w:rFonts w:eastAsia="Times New Roman"/>
          <w:i/>
        </w:rPr>
        <w:t xml:space="preserve"> c. </w:t>
      </w:r>
      <w:r w:rsidRPr="00EB3D2F">
        <w:rPr>
          <w:rFonts w:eastAsia="Times New Roman"/>
          <w:i/>
        </w:rPr>
        <w:t>Lettonie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36376/04, §</w:t>
      </w:r>
      <w:r w:rsidR="00565C93">
        <w:rPr>
          <w:rFonts w:eastAsia="Times New Roman"/>
        </w:rPr>
        <w:t>§ </w:t>
      </w:r>
      <w:r w:rsidRPr="00EB3D2F">
        <w:rPr>
          <w:rFonts w:eastAsia="Times New Roman"/>
        </w:rPr>
        <w:t xml:space="preserve">197-198, CEDH 2010, et </w:t>
      </w:r>
      <w:proofErr w:type="spellStart"/>
      <w:r w:rsidRPr="00EB3D2F">
        <w:rPr>
          <w:rFonts w:eastAsia="Times New Roman"/>
          <w:i/>
        </w:rPr>
        <w:t>Rohlena</w:t>
      </w:r>
      <w:proofErr w:type="spellEnd"/>
      <w:r w:rsidR="00565C93">
        <w:rPr>
          <w:rFonts w:eastAsia="Times New Roman"/>
          <w:i/>
        </w:rPr>
        <w:t xml:space="preserve"> c. </w:t>
      </w:r>
      <w:r w:rsidRPr="00EB3D2F">
        <w:rPr>
          <w:rFonts w:eastAsia="Times New Roman"/>
          <w:i/>
        </w:rPr>
        <w:t>République tchèque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59552/08, §</w:t>
      </w:r>
      <w:r w:rsidR="00565C93">
        <w:rPr>
          <w:rFonts w:eastAsia="Times New Roman"/>
        </w:rPr>
        <w:t>§ </w:t>
      </w:r>
      <w:r w:rsidRPr="00EB3D2F">
        <w:rPr>
          <w:rFonts w:eastAsia="Times New Roman"/>
        </w:rPr>
        <w:t>51-52, CEDH 2015). Sur la question du rôle d</w:t>
      </w:r>
      <w:r w:rsidR="00062221">
        <w:rPr>
          <w:rFonts w:eastAsia="Times New Roman"/>
        </w:rPr>
        <w:t>’</w:t>
      </w:r>
      <w:r w:rsidRPr="00EB3D2F">
        <w:rPr>
          <w:rFonts w:eastAsia="Times New Roman"/>
        </w:rPr>
        <w:t>interprétation judiciaire, il apparaît en outre que la jurisprudence de la Cour est plus spécifique en ce qui concerne l</w:t>
      </w:r>
      <w:r w:rsidR="00062221">
        <w:rPr>
          <w:rFonts w:eastAsia="Times New Roman"/>
        </w:rPr>
        <w:t>’</w:t>
      </w:r>
      <w:r w:rsidR="00565C93">
        <w:rPr>
          <w:rFonts w:eastAsia="Times New Roman"/>
        </w:rPr>
        <w:t>article </w:t>
      </w:r>
      <w:r w:rsidRPr="00EB3D2F">
        <w:rPr>
          <w:rFonts w:eastAsia="Times New Roman"/>
        </w:rPr>
        <w:t>7 qu</w:t>
      </w:r>
      <w:r w:rsidR="00062221">
        <w:rPr>
          <w:rFonts w:eastAsia="Times New Roman"/>
        </w:rPr>
        <w:t>’</w:t>
      </w:r>
      <w:r w:rsidRPr="00EB3D2F">
        <w:rPr>
          <w:rFonts w:eastAsia="Times New Roman"/>
        </w:rPr>
        <w:t xml:space="preserve">en ce qui concerne les </w:t>
      </w:r>
      <w:r w:rsidR="00565C93">
        <w:rPr>
          <w:rFonts w:eastAsia="Times New Roman"/>
        </w:rPr>
        <w:t>articles </w:t>
      </w:r>
      <w:r w:rsidRPr="00EB3D2F">
        <w:rPr>
          <w:rFonts w:eastAsia="Times New Roman"/>
        </w:rPr>
        <w:t>8 à 11. Si l</w:t>
      </w:r>
      <w:r w:rsidR="00062221">
        <w:rPr>
          <w:rFonts w:eastAsia="Times New Roman"/>
        </w:rPr>
        <w:t>’</w:t>
      </w:r>
      <w:r w:rsidR="00565C93">
        <w:rPr>
          <w:rFonts w:eastAsia="Times New Roman"/>
        </w:rPr>
        <w:t>article </w:t>
      </w:r>
      <w:r w:rsidRPr="00EB3D2F">
        <w:rPr>
          <w:rFonts w:eastAsia="Times New Roman"/>
        </w:rPr>
        <w:t>7 ne proscrit pas la clarification graduelle des règles de la responsabilité pénale par l</w:t>
      </w:r>
      <w:r w:rsidR="00062221">
        <w:rPr>
          <w:rFonts w:eastAsia="Times New Roman"/>
        </w:rPr>
        <w:t>’</w:t>
      </w:r>
      <w:r w:rsidRPr="00EB3D2F">
        <w:rPr>
          <w:rFonts w:eastAsia="Times New Roman"/>
        </w:rPr>
        <w:t>interprétation judiciaire d</w:t>
      </w:r>
      <w:r w:rsidR="00062221">
        <w:rPr>
          <w:rFonts w:eastAsia="Times New Roman"/>
        </w:rPr>
        <w:t>’</w:t>
      </w:r>
      <w:r w:rsidRPr="00EB3D2F">
        <w:rPr>
          <w:rFonts w:eastAsia="Times New Roman"/>
        </w:rPr>
        <w:t>une affaire à l</w:t>
      </w:r>
      <w:r w:rsidR="00062221">
        <w:rPr>
          <w:rFonts w:eastAsia="Times New Roman"/>
        </w:rPr>
        <w:t>’</w:t>
      </w:r>
      <w:r w:rsidRPr="00EB3D2F">
        <w:rPr>
          <w:rFonts w:eastAsia="Times New Roman"/>
        </w:rPr>
        <w:t>autre, il impose malgré tout que le résultat soit cohérent avec la substance de l</w:t>
      </w:r>
      <w:r w:rsidR="00062221">
        <w:rPr>
          <w:rFonts w:eastAsia="Times New Roman"/>
        </w:rPr>
        <w:t>’</w:t>
      </w:r>
      <w:r w:rsidRPr="00EB3D2F">
        <w:rPr>
          <w:rFonts w:eastAsia="Times New Roman"/>
        </w:rPr>
        <w:t>infraction et raisonnablement prévisible (</w:t>
      </w:r>
      <w:proofErr w:type="spellStart"/>
      <w:r w:rsidRPr="00EB3D2F">
        <w:rPr>
          <w:rFonts w:eastAsia="Times New Roman"/>
          <w:i/>
        </w:rPr>
        <w:t>Kononov</w:t>
      </w:r>
      <w:proofErr w:type="spellEnd"/>
      <w:r w:rsidRPr="00EB3D2F">
        <w:rPr>
          <w:rFonts w:eastAsia="Times New Roman"/>
        </w:rPr>
        <w:t xml:space="preserve">, précité, </w:t>
      </w:r>
      <w:r w:rsidR="00565C93">
        <w:rPr>
          <w:rFonts w:eastAsia="Times New Roman"/>
        </w:rPr>
        <w:t>§ </w:t>
      </w:r>
      <w:r w:rsidRPr="00EB3D2F">
        <w:rPr>
          <w:rFonts w:eastAsia="Times New Roman"/>
        </w:rPr>
        <w:t xml:space="preserve">185, et </w:t>
      </w:r>
      <w:r w:rsidRPr="00EB3D2F">
        <w:rPr>
          <w:rFonts w:eastAsia="Times New Roman"/>
          <w:i/>
        </w:rPr>
        <w:t xml:space="preserve">Del </w:t>
      </w:r>
      <w:r w:rsidR="005F2362">
        <w:rPr>
          <w:rFonts w:eastAsia="Times New Roman"/>
          <w:i/>
        </w:rPr>
        <w:t xml:space="preserve">Río </w:t>
      </w:r>
      <w:r w:rsidRPr="00EB3D2F">
        <w:rPr>
          <w:rFonts w:eastAsia="Times New Roman"/>
          <w:i/>
        </w:rPr>
        <w:t>Prada</w:t>
      </w:r>
      <w:r w:rsidRPr="00EB3D2F">
        <w:rPr>
          <w:rFonts w:eastAsia="Times New Roman"/>
        </w:rPr>
        <w:t xml:space="preserve">, précité, </w:t>
      </w:r>
      <w:r w:rsidR="00565C93">
        <w:rPr>
          <w:rFonts w:eastAsia="Times New Roman"/>
        </w:rPr>
        <w:t>§ </w:t>
      </w:r>
      <w:r w:rsidRPr="00EB3D2F">
        <w:rPr>
          <w:rFonts w:eastAsia="Times New Roman"/>
        </w:rPr>
        <w:t>93). Cette exigence peut certes se trouver remplie même dans le cas où les juridictions internes interprètent et appliquent une disposition pour la première fois (voir, par exemple, relativement à l</w:t>
      </w:r>
      <w:r w:rsidR="00062221">
        <w:rPr>
          <w:rFonts w:eastAsia="Times New Roman"/>
        </w:rPr>
        <w:t>’</w:t>
      </w:r>
      <w:r w:rsidR="00565C93">
        <w:rPr>
          <w:rFonts w:eastAsia="Times New Roman"/>
        </w:rPr>
        <w:t>article </w:t>
      </w:r>
      <w:r w:rsidRPr="00EB3D2F">
        <w:rPr>
          <w:rFonts w:eastAsia="Times New Roman"/>
        </w:rPr>
        <w:t xml:space="preserve">10, </w:t>
      </w:r>
      <w:proofErr w:type="spellStart"/>
      <w:r w:rsidRPr="00EB3D2F">
        <w:rPr>
          <w:rFonts w:eastAsia="Times New Roman"/>
          <w:i/>
        </w:rPr>
        <w:t>Satakunnan</w:t>
      </w:r>
      <w:proofErr w:type="spellEnd"/>
      <w:r w:rsidRPr="00EB3D2F">
        <w:rPr>
          <w:rFonts w:eastAsia="Times New Roman"/>
          <w:i/>
        </w:rPr>
        <w:t xml:space="preserve"> </w:t>
      </w:r>
      <w:proofErr w:type="spellStart"/>
      <w:r w:rsidRPr="00EB3D2F">
        <w:rPr>
          <w:rFonts w:eastAsia="Times New Roman"/>
          <w:i/>
        </w:rPr>
        <w:t>Markkinapörssi</w:t>
      </w:r>
      <w:proofErr w:type="spellEnd"/>
      <w:r w:rsidRPr="00EB3D2F">
        <w:rPr>
          <w:rFonts w:eastAsia="Times New Roman"/>
          <w:i/>
        </w:rPr>
        <w:t xml:space="preserve"> </w:t>
      </w:r>
      <w:proofErr w:type="spellStart"/>
      <w:r w:rsidRPr="00EB3D2F">
        <w:rPr>
          <w:rFonts w:eastAsia="Times New Roman"/>
          <w:i/>
        </w:rPr>
        <w:t>Oy</w:t>
      </w:r>
      <w:proofErr w:type="spellEnd"/>
      <w:r w:rsidRPr="00EB3D2F">
        <w:rPr>
          <w:rFonts w:eastAsia="Times New Roman"/>
          <w:i/>
        </w:rPr>
        <w:t xml:space="preserve"> et </w:t>
      </w:r>
      <w:proofErr w:type="spellStart"/>
      <w:r w:rsidRPr="00EB3D2F">
        <w:rPr>
          <w:rFonts w:eastAsia="Times New Roman"/>
          <w:i/>
        </w:rPr>
        <w:t>Satamedia</w:t>
      </w:r>
      <w:proofErr w:type="spellEnd"/>
      <w:r w:rsidRPr="00EB3D2F">
        <w:rPr>
          <w:rFonts w:eastAsia="Times New Roman"/>
          <w:i/>
        </w:rPr>
        <w:t xml:space="preserve"> </w:t>
      </w:r>
      <w:proofErr w:type="spellStart"/>
      <w:r w:rsidRPr="00EB3D2F">
        <w:rPr>
          <w:rFonts w:eastAsia="Times New Roman"/>
          <w:i/>
        </w:rPr>
        <w:t>Oy</w:t>
      </w:r>
      <w:proofErr w:type="spellEnd"/>
      <w:r w:rsidRPr="00EB3D2F">
        <w:rPr>
          <w:rFonts w:eastAsia="Times New Roman"/>
        </w:rPr>
        <w:t xml:space="preserve">, précité, </w:t>
      </w:r>
      <w:r w:rsidR="00565C93">
        <w:rPr>
          <w:rFonts w:eastAsia="Times New Roman"/>
        </w:rPr>
        <w:t>§ </w:t>
      </w:r>
      <w:r w:rsidRPr="00EB3D2F">
        <w:rPr>
          <w:rFonts w:eastAsia="Times New Roman"/>
        </w:rPr>
        <w:t>150), mais l</w:t>
      </w:r>
      <w:r w:rsidR="00062221">
        <w:rPr>
          <w:rFonts w:eastAsia="Times New Roman"/>
        </w:rPr>
        <w:t>’</w:t>
      </w:r>
      <w:r w:rsidRPr="00EB3D2F">
        <w:rPr>
          <w:rFonts w:eastAsia="Times New Roman"/>
        </w:rPr>
        <w:t>interprétation judiciaire ainsi livrée doit généralement suivre une tendance qui soit perceptible dans l</w:t>
      </w:r>
      <w:r w:rsidR="00062221">
        <w:rPr>
          <w:rFonts w:eastAsia="Times New Roman"/>
        </w:rPr>
        <w:t>’</w:t>
      </w:r>
      <w:r w:rsidRPr="00EB3D2F">
        <w:rPr>
          <w:rFonts w:eastAsia="Times New Roman"/>
        </w:rPr>
        <w:t>évolution de la jurisprudence et compatible avec la substance de l</w:t>
      </w:r>
      <w:r w:rsidR="00062221">
        <w:rPr>
          <w:rFonts w:eastAsia="Times New Roman"/>
        </w:rPr>
        <w:t>’</w:t>
      </w:r>
      <w:r w:rsidRPr="00EB3D2F">
        <w:rPr>
          <w:rFonts w:eastAsia="Times New Roman"/>
        </w:rPr>
        <w:t>infraction.</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19</w:t>
      </w:r>
      <w:r w:rsidRPr="00EB3D2F">
        <w:rPr>
          <w:rFonts w:eastAsia="Times New Roman"/>
        </w:rPr>
        <w:fldChar w:fldCharType="end"/>
      </w:r>
      <w:r w:rsidRPr="00EB3D2F">
        <w:rPr>
          <w:rFonts w:eastAsia="Times New Roman"/>
        </w:rPr>
        <w:t>.  Avant d</w:t>
      </w:r>
      <w:r w:rsidR="00062221">
        <w:rPr>
          <w:rFonts w:eastAsia="Times New Roman"/>
        </w:rPr>
        <w:t>’</w:t>
      </w:r>
      <w:r w:rsidRPr="00EB3D2F">
        <w:rPr>
          <w:rFonts w:eastAsia="Times New Roman"/>
        </w:rPr>
        <w:t>examiner comment les principes généraux rappelés ci</w:t>
      </w:r>
      <w:r w:rsidRPr="00EB3D2F">
        <w:rPr>
          <w:rFonts w:eastAsia="Times New Roman"/>
        </w:rPr>
        <w:noBreakHyphen/>
        <w:t>dessus auraient dû s</w:t>
      </w:r>
      <w:r w:rsidR="00062221">
        <w:rPr>
          <w:rFonts w:eastAsia="Times New Roman"/>
        </w:rPr>
        <w:t>’</w:t>
      </w:r>
      <w:r w:rsidRPr="00EB3D2F">
        <w:rPr>
          <w:rFonts w:eastAsia="Times New Roman"/>
        </w:rPr>
        <w:t>appliquer dans les circonstances de l</w:t>
      </w:r>
      <w:r w:rsidR="00062221">
        <w:rPr>
          <w:rFonts w:eastAsia="Times New Roman"/>
        </w:rPr>
        <w:t>’</w:t>
      </w:r>
      <w:r w:rsidRPr="00EB3D2F">
        <w:rPr>
          <w:rFonts w:eastAsia="Times New Roman"/>
        </w:rPr>
        <w:t>espèce, il est intéressant de noter, à titre préliminaire, que la nature et l</w:t>
      </w:r>
      <w:r w:rsidR="00062221">
        <w:rPr>
          <w:rFonts w:eastAsia="Times New Roman"/>
        </w:rPr>
        <w:t>’</w:t>
      </w:r>
      <w:r w:rsidRPr="00EB3D2F">
        <w:rPr>
          <w:rFonts w:eastAsia="Times New Roman"/>
        </w:rPr>
        <w:t>effet de l</w:t>
      </w:r>
      <w:r w:rsidR="00062221">
        <w:rPr>
          <w:rFonts w:eastAsia="Times New Roman"/>
        </w:rPr>
        <w:t>’</w:t>
      </w:r>
      <w:r w:rsidRPr="00EB3D2F">
        <w:rPr>
          <w:rFonts w:eastAsia="Times New Roman"/>
        </w:rPr>
        <w:t xml:space="preserve">arrêt rendu en 2015 par la chambre criminelle de la Cour de cassation furent évoqués par le journal </w:t>
      </w:r>
      <w:r w:rsidRPr="00EB3D2F">
        <w:rPr>
          <w:rFonts w:eastAsia="Times New Roman"/>
          <w:i/>
        </w:rPr>
        <w:t>Le Monde</w:t>
      </w:r>
      <w:r w:rsidRPr="00EB3D2F">
        <w:rPr>
          <w:rFonts w:eastAsia="Times New Roman"/>
        </w:rPr>
        <w:t xml:space="preserve"> en ces termes</w:t>
      </w:r>
      <w:r w:rsidR="006A4DF1">
        <w:rPr>
          <w:rFonts w:eastAsia="Times New Roman"/>
          <w:i/>
        </w:rPr>
        <w:t> :</w:t>
      </w:r>
    </w:p>
    <w:p w:rsidRPr="00EB3D2F" w:rsidR="00886CD8" w:rsidP="00EB3D2F" w:rsidRDefault="006A4DF1">
      <w:pPr>
        <w:pStyle w:val="JuQuot"/>
        <w:rPr>
          <w:rFonts w:eastAsia="Times New Roman"/>
        </w:rPr>
      </w:pPr>
      <w:r>
        <w:rPr>
          <w:rFonts w:eastAsia="Times New Roman"/>
        </w:rPr>
        <w:t>« </w:t>
      </w:r>
      <w:r w:rsidRPr="00EB3D2F" w:rsidR="00886CD8">
        <w:rPr>
          <w:rFonts w:eastAsia="Times New Roman"/>
          <w:i/>
        </w:rPr>
        <w:t>Il n</w:t>
      </w:r>
      <w:r w:rsidR="00062221">
        <w:rPr>
          <w:rFonts w:eastAsia="Times New Roman"/>
          <w:i/>
        </w:rPr>
        <w:t>’</w:t>
      </w:r>
      <w:r w:rsidRPr="00EB3D2F" w:rsidR="00886CD8">
        <w:rPr>
          <w:rFonts w:eastAsia="Times New Roman"/>
          <w:i/>
        </w:rPr>
        <w:t>y a plus aucun doute possible</w:t>
      </w:r>
      <w:r>
        <w:rPr>
          <w:rFonts w:eastAsia="Times New Roman"/>
        </w:rPr>
        <w:t> :</w:t>
      </w:r>
      <w:r w:rsidRPr="00EB3D2F" w:rsidR="00886CD8">
        <w:rPr>
          <w:rFonts w:eastAsia="Times New Roman"/>
        </w:rPr>
        <w:t xml:space="preserve"> le simple appel à boycotter des produits israéliens </w:t>
      </w:r>
      <w:r w:rsidRPr="00EB3D2F" w:rsidR="00886CD8">
        <w:rPr>
          <w:rFonts w:eastAsia="Times New Roman"/>
          <w:i/>
        </w:rPr>
        <w:t>est totalement illégal en France</w:t>
      </w:r>
      <w:r w:rsidRPr="00EB3D2F" w:rsidR="00886CD8">
        <w:rPr>
          <w:rFonts w:eastAsia="Times New Roman"/>
        </w:rPr>
        <w:t>. Et sévèrement puni. Deux arrêts de la Cour de cassation (...) font de la France l</w:t>
      </w:r>
      <w:r w:rsidR="00062221">
        <w:rPr>
          <w:rFonts w:eastAsia="Times New Roman"/>
        </w:rPr>
        <w:t>’</w:t>
      </w:r>
      <w:r w:rsidRPr="00EB3D2F" w:rsidR="00886CD8">
        <w:rPr>
          <w:rFonts w:eastAsia="Times New Roman"/>
        </w:rPr>
        <w:t>un des rares pays du monde, et la seule démocratie, où l</w:t>
      </w:r>
      <w:r w:rsidR="00062221">
        <w:rPr>
          <w:rFonts w:eastAsia="Times New Roman"/>
        </w:rPr>
        <w:t>’</w:t>
      </w:r>
      <w:r w:rsidRPr="00EB3D2F" w:rsidR="00886CD8">
        <w:rPr>
          <w:rFonts w:eastAsia="Times New Roman"/>
        </w:rPr>
        <w:t>appel au boycott par un mouvement associatif ou citoyen pour critiquer la politique d</w:t>
      </w:r>
      <w:r w:rsidR="00062221">
        <w:rPr>
          <w:rFonts w:eastAsia="Times New Roman"/>
        </w:rPr>
        <w:t>’</w:t>
      </w:r>
      <w:r w:rsidRPr="00EB3D2F" w:rsidR="00886CD8">
        <w:rPr>
          <w:rFonts w:eastAsia="Times New Roman"/>
        </w:rPr>
        <w:t>un État tiers est interdit.</w:t>
      </w:r>
      <w:r>
        <w:rPr>
          <w:rFonts w:eastAsia="Times New Roman"/>
        </w:rPr>
        <w:t> »</w:t>
      </w:r>
      <w:r w:rsidRPr="00EB3D2F" w:rsidR="00886CD8">
        <w:rPr>
          <w:rFonts w:eastAsia="Times New Roman"/>
          <w:vertAlign w:val="superscript"/>
        </w:rPr>
        <w:footnoteReference w:id="1"/>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20</w:t>
      </w:r>
      <w:r w:rsidRPr="00EB3D2F">
        <w:rPr>
          <w:rFonts w:eastAsia="Times New Roman"/>
        </w:rPr>
        <w:fldChar w:fldCharType="end"/>
      </w:r>
      <w:r w:rsidRPr="00EB3D2F">
        <w:rPr>
          <w:rFonts w:eastAsia="Times New Roman"/>
        </w:rPr>
        <w:t>.  Pour rejeter le grief formulé par les requérants sous l</w:t>
      </w:r>
      <w:r w:rsidR="00062221">
        <w:rPr>
          <w:rFonts w:eastAsia="Times New Roman"/>
        </w:rPr>
        <w:t>’</w:t>
      </w:r>
      <w:r w:rsidRPr="00EB3D2F">
        <w:rPr>
          <w:rFonts w:eastAsia="Times New Roman"/>
        </w:rPr>
        <w:t>angle de l</w:t>
      </w:r>
      <w:r w:rsidR="00062221">
        <w:rPr>
          <w:rFonts w:eastAsia="Times New Roman"/>
        </w:rPr>
        <w:t>’</w:t>
      </w:r>
      <w:r w:rsidR="00565C93">
        <w:rPr>
          <w:rFonts w:eastAsia="Times New Roman"/>
        </w:rPr>
        <w:t>article </w:t>
      </w:r>
      <w:r w:rsidRPr="00EB3D2F">
        <w:rPr>
          <w:rFonts w:eastAsia="Times New Roman"/>
        </w:rPr>
        <w:t>7, la chambre s</w:t>
      </w:r>
      <w:r w:rsidR="00062221">
        <w:rPr>
          <w:rFonts w:eastAsia="Times New Roman"/>
        </w:rPr>
        <w:t>’</w:t>
      </w:r>
      <w:r w:rsidRPr="00EB3D2F">
        <w:rPr>
          <w:rFonts w:eastAsia="Times New Roman"/>
        </w:rPr>
        <w:t>appuie uniquement sur l</w:t>
      </w:r>
      <w:r w:rsidR="00062221">
        <w:rPr>
          <w:rFonts w:eastAsia="Times New Roman"/>
        </w:rPr>
        <w:t>’</w:t>
      </w:r>
      <w:r w:rsidRPr="00EB3D2F">
        <w:rPr>
          <w:rFonts w:eastAsia="Times New Roman"/>
        </w:rPr>
        <w:t>arrêt que la Cour de cassation avait rendu en</w:t>
      </w:r>
      <w:r w:rsidR="00565C93">
        <w:rPr>
          <w:rFonts w:eastAsia="Times New Roman"/>
        </w:rPr>
        <w:t> septembre</w:t>
      </w:r>
      <w:r w:rsidRPr="00EB3D2F">
        <w:rPr>
          <w:rFonts w:eastAsia="Times New Roman"/>
        </w:rPr>
        <w:t xml:space="preserve"> 2004 et qui était à l</w:t>
      </w:r>
      <w:r w:rsidR="00062221">
        <w:rPr>
          <w:rFonts w:eastAsia="Times New Roman"/>
        </w:rPr>
        <w:t>’</w:t>
      </w:r>
      <w:r w:rsidRPr="00EB3D2F">
        <w:rPr>
          <w:rFonts w:eastAsia="Times New Roman"/>
        </w:rPr>
        <w:t>origine de l</w:t>
      </w:r>
      <w:r w:rsidR="00062221">
        <w:rPr>
          <w:rFonts w:eastAsia="Times New Roman"/>
        </w:rPr>
        <w:t>’</w:t>
      </w:r>
      <w:r w:rsidRPr="00EB3D2F">
        <w:rPr>
          <w:rFonts w:eastAsia="Times New Roman"/>
        </w:rPr>
        <w:t xml:space="preserve">affaire </w:t>
      </w:r>
      <w:r w:rsidRPr="00EB3D2F">
        <w:rPr>
          <w:rFonts w:eastAsia="Times New Roman"/>
          <w:i/>
        </w:rPr>
        <w:t>Willem</w:t>
      </w:r>
      <w:r w:rsidRPr="003E0A7F" w:rsidR="00875AB2">
        <w:rPr>
          <w:i/>
        </w:rPr>
        <w:t xml:space="preserve"> </w:t>
      </w:r>
      <w:r w:rsidR="00875AB2">
        <w:rPr>
          <w:i/>
        </w:rPr>
        <w:t>c. </w:t>
      </w:r>
      <w:r w:rsidRPr="003E0A7F" w:rsidR="00875AB2">
        <w:rPr>
          <w:i/>
        </w:rPr>
        <w:t>France</w:t>
      </w:r>
      <w:r w:rsidRPr="003E0A7F" w:rsidR="00875AB2">
        <w:t xml:space="preserve"> </w:t>
      </w:r>
      <w:r w:rsidR="00875AB2">
        <w:t>(</w:t>
      </w:r>
      <w:r w:rsidRPr="003E0A7F" w:rsidR="00875AB2">
        <w:t>n</w:t>
      </w:r>
      <w:r w:rsidRPr="003E0A7F" w:rsidR="00875AB2">
        <w:rPr>
          <w:vertAlign w:val="superscript"/>
        </w:rPr>
        <w:t>o</w:t>
      </w:r>
      <w:r w:rsidR="00875AB2">
        <w:t> </w:t>
      </w:r>
      <w:r w:rsidRPr="003E0A7F" w:rsidR="00875AB2">
        <w:t>10883/05</w:t>
      </w:r>
      <w:r w:rsidR="00875AB2">
        <w:t xml:space="preserve">, </w:t>
      </w:r>
      <w:r w:rsidR="00875AB2">
        <w:rPr>
          <w:snapToGrid w:val="0"/>
        </w:rPr>
        <w:t>16 </w:t>
      </w:r>
      <w:r w:rsidRPr="003E0A7F" w:rsidR="00875AB2">
        <w:t>juillet</w:t>
      </w:r>
      <w:r w:rsidRPr="003E0A7F" w:rsidR="00875AB2">
        <w:rPr>
          <w:snapToGrid w:val="0"/>
        </w:rPr>
        <w:t xml:space="preserve"> 2009</w:t>
      </w:r>
      <w:r w:rsidR="00875AB2">
        <w:rPr>
          <w:snapToGrid w:val="0"/>
        </w:rPr>
        <w:t>)</w:t>
      </w:r>
      <w:r w:rsidRPr="00EB3D2F">
        <w:rPr>
          <w:rFonts w:eastAsia="Times New Roman"/>
        </w:rPr>
        <w:t>, et sur l</w:t>
      </w:r>
      <w:r w:rsidR="00062221">
        <w:rPr>
          <w:rFonts w:eastAsia="Times New Roman"/>
        </w:rPr>
        <w:t>’</w:t>
      </w:r>
      <w:r w:rsidRPr="00EB3D2F">
        <w:rPr>
          <w:rFonts w:eastAsia="Times New Roman"/>
        </w:rPr>
        <w:t>interprétation que cette juridiction avait faite de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sur la liberté de la presse (</w:t>
      </w:r>
      <w:r w:rsidR="008A4587">
        <w:rPr>
          <w:rFonts w:eastAsia="Times New Roman"/>
        </w:rPr>
        <w:t>paragraphe</w:t>
      </w:r>
      <w:r w:rsidR="00565C93">
        <w:rPr>
          <w:rFonts w:eastAsia="Times New Roman"/>
        </w:rPr>
        <w:t> </w:t>
      </w:r>
      <w:r w:rsidRPr="00EB3D2F">
        <w:rPr>
          <w:rFonts w:eastAsia="Times New Roman"/>
        </w:rPr>
        <w:t>39 de l</w:t>
      </w:r>
      <w:r w:rsidR="00062221">
        <w:rPr>
          <w:rFonts w:eastAsia="Times New Roman"/>
        </w:rPr>
        <w:t>’</w:t>
      </w:r>
      <w:r w:rsidRPr="00EB3D2F">
        <w:rPr>
          <w:rFonts w:eastAsia="Times New Roman"/>
        </w:rPr>
        <w:t>arrêt de la chambre). Comme la chambre le souligne à raison dans son analyse sous l</w:t>
      </w:r>
      <w:r w:rsidR="00062221">
        <w:rPr>
          <w:rFonts w:eastAsia="Times New Roman"/>
        </w:rPr>
        <w:t>’</w:t>
      </w:r>
      <w:r w:rsidRPr="00EB3D2F">
        <w:rPr>
          <w:rFonts w:eastAsia="Times New Roman"/>
        </w:rPr>
        <w:t>angle de l</w:t>
      </w:r>
      <w:r w:rsidR="00062221">
        <w:rPr>
          <w:rFonts w:eastAsia="Times New Roman"/>
        </w:rPr>
        <w:t>’</w:t>
      </w:r>
      <w:r w:rsidR="00565C93">
        <w:rPr>
          <w:rFonts w:eastAsia="Times New Roman"/>
        </w:rPr>
        <w:t>article </w:t>
      </w:r>
      <w:r w:rsidRPr="00EB3D2F">
        <w:rPr>
          <w:rFonts w:eastAsia="Times New Roman"/>
        </w:rPr>
        <w:t>10, l</w:t>
      </w:r>
      <w:r w:rsidR="00062221">
        <w:rPr>
          <w:rFonts w:eastAsia="Times New Roman"/>
        </w:rPr>
        <w:t>’</w:t>
      </w:r>
      <w:r w:rsidRPr="00EB3D2F">
        <w:rPr>
          <w:rFonts w:eastAsia="Times New Roman"/>
        </w:rPr>
        <w:t xml:space="preserve">arrêt </w:t>
      </w:r>
      <w:r w:rsidRPr="00EB3D2F">
        <w:rPr>
          <w:rFonts w:eastAsia="Times New Roman"/>
          <w:i/>
        </w:rPr>
        <w:t xml:space="preserve">Willem </w:t>
      </w:r>
      <w:r w:rsidRPr="00EB3D2F">
        <w:rPr>
          <w:rFonts w:eastAsia="Times New Roman"/>
        </w:rPr>
        <w:t>porte sur une affaire particulière et différente. Le maire d</w:t>
      </w:r>
      <w:r w:rsidR="00062221">
        <w:rPr>
          <w:rFonts w:eastAsia="Times New Roman"/>
        </w:rPr>
        <w:t>’</w:t>
      </w:r>
      <w:r w:rsidRPr="00EB3D2F">
        <w:rPr>
          <w:rFonts w:eastAsia="Times New Roman"/>
        </w:rPr>
        <w:t>une commune française avait été reconnu coupable, sur le fondement de cette même disposition de la loi du 29</w:t>
      </w:r>
      <w:r w:rsidR="00565C93">
        <w:rPr>
          <w:rFonts w:eastAsia="Times New Roman"/>
        </w:rPr>
        <w:t> juillet</w:t>
      </w:r>
      <w:r w:rsidRPr="00EB3D2F">
        <w:rPr>
          <w:rFonts w:eastAsia="Times New Roman"/>
        </w:rPr>
        <w:t xml:space="preserve"> 1881, d</w:t>
      </w:r>
      <w:r w:rsidR="00062221">
        <w:rPr>
          <w:rFonts w:eastAsia="Times New Roman"/>
        </w:rPr>
        <w:t>’</w:t>
      </w:r>
      <w:r w:rsidRPr="00EB3D2F">
        <w:rPr>
          <w:rFonts w:eastAsia="Times New Roman"/>
        </w:rPr>
        <w:t xml:space="preserve">avoir </w:t>
      </w:r>
      <w:r w:rsidRPr="00EB3D2F">
        <w:rPr>
          <w:rFonts w:eastAsia="Times New Roman"/>
          <w:i/>
        </w:rPr>
        <w:t xml:space="preserve">ordonné </w:t>
      </w:r>
      <w:r w:rsidRPr="00EB3D2F">
        <w:rPr>
          <w:rFonts w:eastAsia="Times New Roman"/>
        </w:rPr>
        <w:t>aux services municipaux de restauration de ne plus acheter de produits alimentaires en provenance de l</w:t>
      </w:r>
      <w:r w:rsidR="00062221">
        <w:rPr>
          <w:rFonts w:eastAsia="Times New Roman"/>
        </w:rPr>
        <w:t>’</w:t>
      </w:r>
      <w:r w:rsidRPr="00EB3D2F">
        <w:rPr>
          <w:rFonts w:eastAsia="Times New Roman"/>
        </w:rPr>
        <w:t>État d</w:t>
      </w:r>
      <w:r w:rsidR="00062221">
        <w:rPr>
          <w:rFonts w:eastAsia="Times New Roman"/>
        </w:rPr>
        <w:t>’</w:t>
      </w:r>
      <w:r w:rsidRPr="00EB3D2F">
        <w:rPr>
          <w:rFonts w:eastAsia="Times New Roman"/>
        </w:rPr>
        <w:t>Israël. Sa condamnation par les juridictions internes et le constat de non-violation de l</w:t>
      </w:r>
      <w:r w:rsidR="00062221">
        <w:rPr>
          <w:rFonts w:eastAsia="Times New Roman"/>
        </w:rPr>
        <w:t>’</w:t>
      </w:r>
      <w:r w:rsidR="00565C93">
        <w:rPr>
          <w:rFonts w:eastAsia="Times New Roman"/>
        </w:rPr>
        <w:t>article </w:t>
      </w:r>
      <w:r w:rsidRPr="00EB3D2F">
        <w:rPr>
          <w:rFonts w:eastAsia="Times New Roman"/>
        </w:rPr>
        <w:t>10 formulé par la Cour à son égard reposaient sur le fait que l</w:t>
      </w:r>
      <w:r w:rsidR="00062221">
        <w:rPr>
          <w:rFonts w:eastAsia="Times New Roman"/>
        </w:rPr>
        <w:t>’</w:t>
      </w:r>
      <w:r w:rsidRPr="00EB3D2F">
        <w:rPr>
          <w:rFonts w:eastAsia="Times New Roman"/>
        </w:rPr>
        <w:t>intéressé avait appelé ses services municipaux, dont il était responsable en sa qualité d</w:t>
      </w:r>
      <w:r w:rsidR="00062221">
        <w:rPr>
          <w:rFonts w:eastAsia="Times New Roman"/>
        </w:rPr>
        <w:t>’</w:t>
      </w:r>
      <w:r w:rsidRPr="00EB3D2F">
        <w:rPr>
          <w:rFonts w:eastAsia="Times New Roman"/>
        </w:rPr>
        <w:t>agent de l</w:t>
      </w:r>
      <w:r w:rsidR="00062221">
        <w:rPr>
          <w:rFonts w:eastAsia="Times New Roman"/>
        </w:rPr>
        <w:t>’</w:t>
      </w:r>
      <w:r w:rsidRPr="00EB3D2F">
        <w:rPr>
          <w:rFonts w:eastAsia="Times New Roman"/>
        </w:rPr>
        <w:t>État, à se livrer à un acte positif de discrimination (</w:t>
      </w:r>
      <w:r w:rsidR="00763DE1">
        <w:rPr>
          <w:rFonts w:eastAsia="Times New Roman"/>
          <w:i/>
        </w:rPr>
        <w:t>ibidem</w:t>
      </w:r>
      <w:r w:rsidRPr="00EB3D2F">
        <w:rPr>
          <w:rFonts w:eastAsia="Times New Roman"/>
        </w:rPr>
        <w:t xml:space="preserve">, </w:t>
      </w:r>
      <w:r w:rsidR="00565C93">
        <w:rPr>
          <w:rFonts w:eastAsia="Times New Roman"/>
        </w:rPr>
        <w:t>§ </w:t>
      </w:r>
      <w:r w:rsidRPr="00EB3D2F">
        <w:rPr>
          <w:rFonts w:eastAsia="Times New Roman"/>
        </w:rPr>
        <w:t>38, et l</w:t>
      </w:r>
      <w:r w:rsidR="00062221">
        <w:rPr>
          <w:rFonts w:eastAsia="Times New Roman"/>
        </w:rPr>
        <w:t>’</w:t>
      </w:r>
      <w:r w:rsidRPr="00EB3D2F">
        <w:rPr>
          <w:rFonts w:eastAsia="Times New Roman"/>
        </w:rPr>
        <w:t>analyse de l</w:t>
      </w:r>
      <w:r w:rsidR="00062221">
        <w:rPr>
          <w:rFonts w:eastAsia="Times New Roman"/>
        </w:rPr>
        <w:t>’</w:t>
      </w:r>
      <w:r w:rsidRPr="00EB3D2F">
        <w:rPr>
          <w:rFonts w:eastAsia="Times New Roman"/>
        </w:rPr>
        <w:t xml:space="preserve">arrêt </w:t>
      </w:r>
      <w:r w:rsidRPr="00EB3D2F">
        <w:rPr>
          <w:rFonts w:eastAsia="Times New Roman"/>
          <w:i/>
        </w:rPr>
        <w:t>Willem</w:t>
      </w:r>
      <w:r w:rsidRPr="00EB3D2F">
        <w:rPr>
          <w:rFonts w:eastAsia="Times New Roman"/>
        </w:rPr>
        <w:t xml:space="preserve"> figurant au </w:t>
      </w:r>
      <w:r w:rsidR="00565C93">
        <w:rPr>
          <w:rFonts w:eastAsia="Times New Roman"/>
        </w:rPr>
        <w:t>paragraphe </w:t>
      </w:r>
      <w:r w:rsidRPr="00EB3D2F">
        <w:rPr>
          <w:rFonts w:eastAsia="Times New Roman"/>
        </w:rPr>
        <w:t>68 de l</w:t>
      </w:r>
      <w:r w:rsidR="00062221">
        <w:rPr>
          <w:rFonts w:eastAsia="Times New Roman"/>
        </w:rPr>
        <w:t>’</w:t>
      </w:r>
      <w:r w:rsidRPr="00EB3D2F">
        <w:rPr>
          <w:rFonts w:eastAsia="Times New Roman"/>
        </w:rPr>
        <w:t>arrêt de la chambre).</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21</w:t>
      </w:r>
      <w:r w:rsidRPr="00EB3D2F">
        <w:rPr>
          <w:rFonts w:eastAsia="Times New Roman"/>
        </w:rPr>
        <w:fldChar w:fldCharType="end"/>
      </w:r>
      <w:r w:rsidRPr="00EB3D2F">
        <w:rPr>
          <w:rFonts w:eastAsia="Times New Roman"/>
        </w:rPr>
        <w:t>.  La décision de la chambre de se fonder uniquement dans le présent arrêt sur l</w:t>
      </w:r>
      <w:r w:rsidR="00062221">
        <w:rPr>
          <w:rFonts w:eastAsia="Times New Roman"/>
        </w:rPr>
        <w:t>’</w:t>
      </w:r>
      <w:r w:rsidRPr="00EB3D2F">
        <w:rPr>
          <w:rFonts w:eastAsia="Times New Roman"/>
        </w:rPr>
        <w:t xml:space="preserve">arrêt </w:t>
      </w:r>
      <w:r w:rsidRPr="00EB3D2F">
        <w:rPr>
          <w:rFonts w:eastAsia="Times New Roman"/>
          <w:i/>
        </w:rPr>
        <w:t>Willem</w:t>
      </w:r>
      <w:r w:rsidRPr="00EB3D2F">
        <w:rPr>
          <w:rFonts w:eastAsia="Times New Roman"/>
        </w:rPr>
        <w:t xml:space="preserve"> et sur les deux arrêts internes qui l</w:t>
      </w:r>
      <w:r w:rsidR="00062221">
        <w:rPr>
          <w:rFonts w:eastAsia="Times New Roman"/>
        </w:rPr>
        <w:t>’</w:t>
      </w:r>
      <w:r w:rsidRPr="00EB3D2F">
        <w:rPr>
          <w:rFonts w:eastAsia="Times New Roman"/>
        </w:rPr>
        <w:t>ont précédé est donc problématique pour plusieurs raisons.</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22</w:t>
      </w:r>
      <w:r w:rsidRPr="00EB3D2F">
        <w:rPr>
          <w:rFonts w:eastAsia="Times New Roman"/>
        </w:rPr>
        <w:fldChar w:fldCharType="end"/>
      </w:r>
      <w:r w:rsidRPr="00EB3D2F">
        <w:rPr>
          <w:rFonts w:eastAsia="Times New Roman"/>
        </w:rPr>
        <w:t>.  Premièrement, il n</w:t>
      </w:r>
      <w:r w:rsidR="00062221">
        <w:rPr>
          <w:rFonts w:eastAsia="Times New Roman"/>
        </w:rPr>
        <w:t>’</w:t>
      </w:r>
      <w:r w:rsidRPr="00EB3D2F">
        <w:rPr>
          <w:rFonts w:eastAsia="Times New Roman"/>
        </w:rPr>
        <w:t>est pas contesté que l</w:t>
      </w:r>
      <w:r w:rsidR="00062221">
        <w:rPr>
          <w:rFonts w:eastAsia="Times New Roman"/>
        </w:rPr>
        <w:t>’</w:t>
      </w:r>
      <w:r w:rsidR="00565C93">
        <w:rPr>
          <w:rFonts w:eastAsia="Times New Roman"/>
        </w:rPr>
        <w:t>article </w:t>
      </w:r>
      <w:r w:rsidRPr="00EB3D2F">
        <w:rPr>
          <w:rFonts w:eastAsia="Times New Roman"/>
        </w:rPr>
        <w:t>24 de la loi du 29</w:t>
      </w:r>
      <w:r w:rsidR="00565C93">
        <w:rPr>
          <w:rFonts w:eastAsia="Times New Roman"/>
        </w:rPr>
        <w:t> juillet</w:t>
      </w:r>
      <w:r w:rsidRPr="00EB3D2F">
        <w:rPr>
          <w:rFonts w:eastAsia="Times New Roman"/>
        </w:rPr>
        <w:t xml:space="preserve"> 1881 ne renvoyait pas explicitement à la notion de discrimination économique. Seul l</w:t>
      </w:r>
      <w:r w:rsidR="00062221">
        <w:rPr>
          <w:rFonts w:eastAsia="Times New Roman"/>
        </w:rPr>
        <w:t>’</w:t>
      </w:r>
      <w:r w:rsidR="00565C93">
        <w:rPr>
          <w:rFonts w:eastAsia="Times New Roman"/>
        </w:rPr>
        <w:t>article </w:t>
      </w:r>
      <w:r w:rsidRPr="00EB3D2F">
        <w:rPr>
          <w:rFonts w:eastAsia="Times New Roman"/>
        </w:rPr>
        <w:t>225-2 du code pénal y faisait, et y fait, explicitement référence. L</w:t>
      </w:r>
      <w:r w:rsidR="00062221">
        <w:rPr>
          <w:rFonts w:eastAsia="Times New Roman"/>
        </w:rPr>
        <w:t>’</w:t>
      </w:r>
      <w:r w:rsidR="00565C93">
        <w:rPr>
          <w:rFonts w:eastAsia="Times New Roman"/>
        </w:rPr>
        <w:t>article </w:t>
      </w:r>
      <w:r w:rsidRPr="00EB3D2F">
        <w:rPr>
          <w:rFonts w:eastAsia="Times New Roman"/>
        </w:rPr>
        <w:t>24 de la loi du 29</w:t>
      </w:r>
      <w:r w:rsidR="00565C93">
        <w:rPr>
          <w:rFonts w:eastAsia="Times New Roman"/>
        </w:rPr>
        <w:t> juillet</w:t>
      </w:r>
      <w:r w:rsidRPr="00EB3D2F">
        <w:rPr>
          <w:rFonts w:eastAsia="Times New Roman"/>
        </w:rPr>
        <w:t xml:space="preserve"> 1881 renvoie à cet </w:t>
      </w:r>
      <w:r w:rsidR="00565C93">
        <w:rPr>
          <w:rFonts w:eastAsia="Times New Roman"/>
        </w:rPr>
        <w:t>article </w:t>
      </w:r>
      <w:r w:rsidRPr="00EB3D2F">
        <w:rPr>
          <w:rFonts w:eastAsia="Times New Roman"/>
        </w:rPr>
        <w:t xml:space="preserve">du code pénal, mais uniquement dans son </w:t>
      </w:r>
      <w:r w:rsidR="00F92E77">
        <w:rPr>
          <w:rFonts w:eastAsia="Times New Roman"/>
        </w:rPr>
        <w:t>alinéa </w:t>
      </w:r>
      <w:r w:rsidRPr="00EB3D2F">
        <w:rPr>
          <w:rFonts w:eastAsia="Times New Roman"/>
        </w:rPr>
        <w:t>9, qui fut adopté en 1972 dans le but de lutter contre la discrimination raciale et dont la portée est limitée. Le gouvernement défendeur estime que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peut, et doit, être interprété comme englobant les actes de discrimination économique. Il soutient en effet qu</w:t>
      </w:r>
      <w:r w:rsidR="00062221">
        <w:rPr>
          <w:rFonts w:eastAsia="Times New Roman"/>
        </w:rPr>
        <w:t>’</w:t>
      </w:r>
      <w:r w:rsidRPr="00EB3D2F">
        <w:rPr>
          <w:rFonts w:eastAsia="Times New Roman"/>
        </w:rPr>
        <w:t>au cours des débats parlementaires qui avaient précédé l</w:t>
      </w:r>
      <w:r w:rsidR="00062221">
        <w:rPr>
          <w:rFonts w:eastAsia="Times New Roman"/>
        </w:rPr>
        <w:t>’</w:t>
      </w:r>
      <w:r w:rsidRPr="00EB3D2F">
        <w:rPr>
          <w:rFonts w:eastAsia="Times New Roman"/>
        </w:rPr>
        <w:t xml:space="preserve">adoption de cet alinéa, il avait été fait référence à la </w:t>
      </w:r>
      <w:r w:rsidRPr="00EB3D2F">
        <w:rPr>
          <w:rFonts w:eastAsia="Times New Roman"/>
          <w:color w:val="000000"/>
        </w:rPr>
        <w:t>Convention internationale sur l</w:t>
      </w:r>
      <w:r w:rsidR="00062221">
        <w:rPr>
          <w:rFonts w:eastAsia="Times New Roman"/>
          <w:color w:val="000000"/>
        </w:rPr>
        <w:t>’</w:t>
      </w:r>
      <w:r w:rsidRPr="00EB3D2F">
        <w:rPr>
          <w:rFonts w:eastAsia="Times New Roman"/>
          <w:color w:val="000000"/>
        </w:rPr>
        <w:t>élimination de toutes les formes de discrimination raciale, dont l</w:t>
      </w:r>
      <w:r w:rsidR="00062221">
        <w:rPr>
          <w:rFonts w:eastAsia="Times New Roman"/>
          <w:color w:val="000000"/>
        </w:rPr>
        <w:t>’</w:t>
      </w:r>
      <w:r w:rsidR="00565C93">
        <w:rPr>
          <w:rFonts w:eastAsia="Times New Roman"/>
          <w:color w:val="000000"/>
        </w:rPr>
        <w:t>article </w:t>
      </w:r>
      <w:r w:rsidRPr="00EB3D2F">
        <w:rPr>
          <w:rFonts w:eastAsia="Times New Roman"/>
          <w:color w:val="000000"/>
        </w:rPr>
        <w:t>premier propose une définition de l</w:t>
      </w:r>
      <w:r w:rsidR="00062221">
        <w:rPr>
          <w:rFonts w:eastAsia="Times New Roman"/>
          <w:color w:val="000000"/>
        </w:rPr>
        <w:t>’</w:t>
      </w:r>
      <w:r w:rsidRPr="00EB3D2F">
        <w:rPr>
          <w:rFonts w:eastAsia="Times New Roman"/>
          <w:color w:val="000000"/>
        </w:rPr>
        <w:t xml:space="preserve">expression </w:t>
      </w:r>
      <w:r w:rsidR="006A4DF1">
        <w:rPr>
          <w:rFonts w:eastAsia="Times New Roman"/>
          <w:color w:val="000000"/>
        </w:rPr>
        <w:t>« </w:t>
      </w:r>
      <w:r w:rsidRPr="00EB3D2F">
        <w:rPr>
          <w:rFonts w:eastAsia="Times New Roman"/>
          <w:color w:val="000000"/>
        </w:rPr>
        <w:t>discrimination raciale</w:t>
      </w:r>
      <w:r w:rsidR="006A4DF1">
        <w:rPr>
          <w:rFonts w:eastAsia="Times New Roman"/>
          <w:color w:val="000000"/>
        </w:rPr>
        <w:t> »</w:t>
      </w:r>
      <w:r w:rsidRPr="00EB3D2F">
        <w:rPr>
          <w:rFonts w:eastAsia="Times New Roman"/>
          <w:color w:val="000000"/>
        </w:rPr>
        <w:t xml:space="preserve"> et renvoie aux </w:t>
      </w:r>
      <w:r w:rsidR="006A4DF1">
        <w:rPr>
          <w:rFonts w:eastAsia="Times New Roman"/>
          <w:color w:val="000000"/>
        </w:rPr>
        <w:t>« </w:t>
      </w:r>
      <w:r w:rsidRPr="00EB3D2F">
        <w:rPr>
          <w:rFonts w:eastAsia="Times New Roman"/>
          <w:color w:val="000000"/>
        </w:rPr>
        <w:t xml:space="preserve">domaines politique, </w:t>
      </w:r>
      <w:r w:rsidRPr="00EB3D2F">
        <w:rPr>
          <w:rFonts w:eastAsia="Times New Roman"/>
          <w:i/>
          <w:color w:val="000000"/>
        </w:rPr>
        <w:t>économique</w:t>
      </w:r>
      <w:r w:rsidRPr="00EB3D2F">
        <w:rPr>
          <w:rFonts w:eastAsia="Times New Roman"/>
          <w:color w:val="000000"/>
        </w:rPr>
        <w:t>, social et culturel [et à] tout autre domaine de la vie publique</w:t>
      </w:r>
      <w:r w:rsidR="006A4DF1">
        <w:rPr>
          <w:rFonts w:eastAsia="Times New Roman"/>
          <w:color w:val="000000"/>
        </w:rPr>
        <w:t> »</w:t>
      </w:r>
      <w:r w:rsidRPr="00EB3D2F">
        <w:rPr>
          <w:rFonts w:eastAsia="Times New Roman"/>
        </w:rPr>
        <w:t>. Cette façon d</w:t>
      </w:r>
      <w:r w:rsidR="00062221">
        <w:rPr>
          <w:rFonts w:eastAsia="Times New Roman"/>
        </w:rPr>
        <w:t>’</w:t>
      </w:r>
      <w:r w:rsidRPr="00EB3D2F">
        <w:rPr>
          <w:rFonts w:eastAsia="Times New Roman"/>
        </w:rPr>
        <w:t>interpréter une disposition pénale est certes inventive et peu habituelle, mais elle n</w:t>
      </w:r>
      <w:r w:rsidR="00062221">
        <w:rPr>
          <w:rFonts w:eastAsia="Times New Roman"/>
        </w:rPr>
        <w:t>’</w:t>
      </w:r>
      <w:r w:rsidRPr="00EB3D2F">
        <w:rPr>
          <w:rFonts w:eastAsia="Times New Roman"/>
        </w:rPr>
        <w:t>est pas conforme – loin s</w:t>
      </w:r>
      <w:r w:rsidR="00062221">
        <w:rPr>
          <w:rFonts w:eastAsia="Times New Roman"/>
        </w:rPr>
        <w:t>’</w:t>
      </w:r>
      <w:r w:rsidRPr="00EB3D2F">
        <w:rPr>
          <w:rFonts w:eastAsia="Times New Roman"/>
        </w:rPr>
        <w:t>en faut − aux normes établies dans la jurisprudence de la Cour qui sont rappelées ci-dessus. En substance, la jurisprudence de la Cour commande que les dispositions pénales soient accessibles et prévisibles, et qu</w:t>
      </w:r>
      <w:r w:rsidR="00062221">
        <w:rPr>
          <w:rFonts w:eastAsia="Times New Roman"/>
        </w:rPr>
        <w:t>’</w:t>
      </w:r>
      <w:r w:rsidRPr="00EB3D2F">
        <w:rPr>
          <w:rFonts w:eastAsia="Times New Roman"/>
        </w:rPr>
        <w:t>elles ne soient pas appliquées de manière extensive au détriment de l</w:t>
      </w:r>
      <w:r w:rsidR="00062221">
        <w:rPr>
          <w:rFonts w:eastAsia="Times New Roman"/>
        </w:rPr>
        <w:t>’</w:t>
      </w:r>
      <w:r w:rsidRPr="00EB3D2F">
        <w:rPr>
          <w:rFonts w:eastAsia="Times New Roman"/>
        </w:rPr>
        <w:t>accusé.</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23</w:t>
      </w:r>
      <w:r w:rsidRPr="00EB3D2F">
        <w:rPr>
          <w:rFonts w:eastAsia="Times New Roman"/>
        </w:rPr>
        <w:fldChar w:fldCharType="end"/>
      </w:r>
      <w:r w:rsidRPr="00EB3D2F">
        <w:rPr>
          <w:rFonts w:eastAsia="Times New Roman"/>
        </w:rPr>
        <w:t>.  Deuxièmement, les juridictions internes et la Cour avaient déjà été appelées à examiner la question de savoir si la disposition invoquée dans l</w:t>
      </w:r>
      <w:r w:rsidR="00062221">
        <w:rPr>
          <w:rFonts w:eastAsia="Times New Roman"/>
        </w:rPr>
        <w:t>’</w:t>
      </w:r>
      <w:r w:rsidRPr="00EB3D2F">
        <w:rPr>
          <w:rFonts w:eastAsia="Times New Roman"/>
        </w:rPr>
        <w:t xml:space="preserve">arrêt </w:t>
      </w:r>
      <w:r w:rsidRPr="00EB3D2F">
        <w:rPr>
          <w:rFonts w:eastAsia="Times New Roman"/>
          <w:i/>
        </w:rPr>
        <w:t>Willem</w:t>
      </w:r>
      <w:r w:rsidRPr="00EB3D2F">
        <w:rPr>
          <w:rFonts w:eastAsia="Times New Roman"/>
        </w:rPr>
        <w:t xml:space="preserve"> (et maintenant dans l</w:t>
      </w:r>
      <w:r w:rsidR="00062221">
        <w:rPr>
          <w:rFonts w:eastAsia="Times New Roman"/>
        </w:rPr>
        <w:t>’</w:t>
      </w:r>
      <w:r w:rsidRPr="00EB3D2F">
        <w:rPr>
          <w:rFonts w:eastAsia="Times New Roman"/>
        </w:rPr>
        <w:t xml:space="preserve">arrêt </w:t>
      </w:r>
      <w:r w:rsidRPr="00EB3D2F">
        <w:rPr>
          <w:rFonts w:eastAsia="Times New Roman"/>
          <w:i/>
        </w:rPr>
        <w:t>Baldassi</w:t>
      </w:r>
      <w:r w:rsidR="00934987">
        <w:rPr>
          <w:rFonts w:eastAsia="Times New Roman"/>
          <w:i/>
        </w:rPr>
        <w:t xml:space="preserve"> et autres</w:t>
      </w:r>
      <w:r w:rsidRPr="00EB3D2F">
        <w:rPr>
          <w:rFonts w:eastAsia="Times New Roman"/>
        </w:rPr>
        <w:t>) satisfaisait à la condition de légalité posée par l</w:t>
      </w:r>
      <w:r w:rsidR="00062221">
        <w:rPr>
          <w:rFonts w:eastAsia="Times New Roman"/>
        </w:rPr>
        <w:t>’</w:t>
      </w:r>
      <w:r w:rsidR="00565C93">
        <w:rPr>
          <w:rFonts w:eastAsia="Times New Roman"/>
        </w:rPr>
        <w:t>article </w:t>
      </w:r>
      <w:r w:rsidRPr="00EB3D2F">
        <w:rPr>
          <w:rFonts w:eastAsia="Times New Roman"/>
        </w:rPr>
        <w:t xml:space="preserve">10 </w:t>
      </w:r>
      <w:r w:rsidR="00565C93">
        <w:rPr>
          <w:rFonts w:eastAsia="Times New Roman"/>
        </w:rPr>
        <w:t>§ </w:t>
      </w:r>
      <w:r w:rsidRPr="00EB3D2F">
        <w:rPr>
          <w:rFonts w:eastAsia="Times New Roman"/>
        </w:rPr>
        <w:t>2 de la Convention. Dans l</w:t>
      </w:r>
      <w:r w:rsidR="00062221">
        <w:rPr>
          <w:rFonts w:eastAsia="Times New Roman"/>
        </w:rPr>
        <w:t>’</w:t>
      </w:r>
      <w:r w:rsidRPr="00EB3D2F">
        <w:rPr>
          <w:rFonts w:eastAsia="Times New Roman"/>
        </w:rPr>
        <w:t xml:space="preserve">arrêt </w:t>
      </w:r>
      <w:r w:rsidRPr="00EB3D2F">
        <w:rPr>
          <w:rFonts w:eastAsia="Times New Roman"/>
          <w:i/>
        </w:rPr>
        <w:t>Willem</w:t>
      </w:r>
      <w:r w:rsidRPr="00EB3D2F">
        <w:rPr>
          <w:rFonts w:eastAsia="Times New Roman"/>
        </w:rPr>
        <w:t xml:space="preserve">, </w:t>
      </w:r>
      <w:r w:rsidR="00A34927">
        <w:rPr>
          <w:rFonts w:eastAsia="Times New Roman"/>
        </w:rPr>
        <w:t xml:space="preserve">précité, </w:t>
      </w:r>
      <w:r w:rsidRPr="00EB3D2F">
        <w:rPr>
          <w:rFonts w:eastAsia="Times New Roman"/>
        </w:rPr>
        <w:t>la Cour a simplement admis que la condamnation pénale prononcée à l</w:t>
      </w:r>
      <w:r w:rsidR="00062221">
        <w:rPr>
          <w:rFonts w:eastAsia="Times New Roman"/>
        </w:rPr>
        <w:t>’</w:t>
      </w:r>
      <w:r w:rsidRPr="00EB3D2F">
        <w:rPr>
          <w:rFonts w:eastAsia="Times New Roman"/>
        </w:rPr>
        <w:t>encontre du requérant avait une base légale. Elle a ajouté que selon la cour d</w:t>
      </w:r>
      <w:r w:rsidR="00062221">
        <w:rPr>
          <w:rFonts w:eastAsia="Times New Roman"/>
        </w:rPr>
        <w:t>’</w:t>
      </w:r>
      <w:r w:rsidRPr="00EB3D2F">
        <w:rPr>
          <w:rFonts w:eastAsia="Times New Roman"/>
        </w:rPr>
        <w:t xml:space="preserve">appel de Douai, les </w:t>
      </w:r>
      <w:r w:rsidR="00565C93">
        <w:rPr>
          <w:rFonts w:eastAsia="Times New Roman"/>
        </w:rPr>
        <w:t>articles </w:t>
      </w:r>
      <w:r w:rsidRPr="00EB3D2F">
        <w:rPr>
          <w:rFonts w:eastAsia="Times New Roman"/>
        </w:rPr>
        <w:t xml:space="preserve">23 et 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renvoyaient, à l</w:t>
      </w:r>
      <w:r w:rsidR="00062221">
        <w:rPr>
          <w:rFonts w:eastAsia="Times New Roman"/>
        </w:rPr>
        <w:t>’</w:t>
      </w:r>
      <w:r w:rsidRPr="00EB3D2F">
        <w:rPr>
          <w:rFonts w:eastAsia="Times New Roman"/>
        </w:rPr>
        <w:t xml:space="preserve">époque, aux dispositions des </w:t>
      </w:r>
      <w:r w:rsidR="00565C93">
        <w:rPr>
          <w:rFonts w:eastAsia="Times New Roman"/>
        </w:rPr>
        <w:t>articles </w:t>
      </w:r>
      <w:r w:rsidRPr="00EB3D2F">
        <w:rPr>
          <w:rFonts w:eastAsia="Times New Roman"/>
        </w:rPr>
        <w:t>225-1 et 225-2 du code pénal (</w:t>
      </w:r>
      <w:r w:rsidR="00356EEA">
        <w:rPr>
          <w:rFonts w:eastAsia="Times New Roman"/>
          <w:i/>
        </w:rPr>
        <w:t>ibidem</w:t>
      </w:r>
      <w:r w:rsidRPr="00EB3D2F">
        <w:rPr>
          <w:rFonts w:eastAsia="Times New Roman"/>
        </w:rPr>
        <w:t xml:space="preserve">, </w:t>
      </w:r>
      <w:r w:rsidR="00565C93">
        <w:rPr>
          <w:rFonts w:eastAsia="Times New Roman"/>
        </w:rPr>
        <w:t>§ </w:t>
      </w:r>
      <w:r w:rsidRPr="00EB3D2F">
        <w:rPr>
          <w:rFonts w:eastAsia="Times New Roman"/>
        </w:rPr>
        <w:t>29). Cette affirmation n</w:t>
      </w:r>
      <w:r w:rsidR="00062221">
        <w:rPr>
          <w:rFonts w:eastAsia="Times New Roman"/>
        </w:rPr>
        <w:t>’</w:t>
      </w:r>
      <w:r w:rsidRPr="00EB3D2F">
        <w:rPr>
          <w:rFonts w:eastAsia="Times New Roman"/>
        </w:rPr>
        <w:t>était pas correcte, et elle ne l</w:t>
      </w:r>
      <w:r w:rsidR="00062221">
        <w:rPr>
          <w:rFonts w:eastAsia="Times New Roman"/>
        </w:rPr>
        <w:t>’</w:t>
      </w:r>
      <w:r w:rsidRPr="00EB3D2F">
        <w:rPr>
          <w:rFonts w:eastAsia="Times New Roman"/>
        </w:rPr>
        <w:t>est toujours pas. De fait, la Cour, dans l</w:t>
      </w:r>
      <w:r w:rsidR="00062221">
        <w:rPr>
          <w:rFonts w:eastAsia="Times New Roman"/>
        </w:rPr>
        <w:t>’</w:t>
      </w:r>
      <w:r w:rsidRPr="00EB3D2F">
        <w:rPr>
          <w:rFonts w:eastAsia="Times New Roman"/>
        </w:rPr>
        <w:t xml:space="preserve">arrêt </w:t>
      </w:r>
      <w:r w:rsidRPr="00EB3D2F">
        <w:rPr>
          <w:rFonts w:eastAsia="Times New Roman"/>
          <w:i/>
        </w:rPr>
        <w:t>Willem</w:t>
      </w:r>
      <w:r w:rsidRPr="00EB3D2F">
        <w:rPr>
          <w:rFonts w:eastAsia="Times New Roman"/>
        </w:rPr>
        <w:t>, a omis de répondre, ou n</w:t>
      </w:r>
      <w:r w:rsidR="00062221">
        <w:rPr>
          <w:rFonts w:eastAsia="Times New Roman"/>
        </w:rPr>
        <w:t>’</w:t>
      </w:r>
      <w:r w:rsidRPr="00EB3D2F">
        <w:rPr>
          <w:rFonts w:eastAsia="Times New Roman"/>
        </w:rPr>
        <w:t>a pas répondu correctement, à une question de légalité qui posait problème. Or cette carence dans une affaire qui concernait des faits très différents et une version antérieure de la loi du 29</w:t>
      </w:r>
      <w:r w:rsidR="00565C93">
        <w:rPr>
          <w:rFonts w:eastAsia="Times New Roman"/>
        </w:rPr>
        <w:t> juillet</w:t>
      </w:r>
      <w:r w:rsidRPr="00EB3D2F">
        <w:rPr>
          <w:rFonts w:eastAsia="Times New Roman"/>
        </w:rPr>
        <w:t xml:space="preserve"> 1881 vient d</w:t>
      </w:r>
      <w:r w:rsidR="00062221">
        <w:rPr>
          <w:rFonts w:eastAsia="Times New Roman"/>
        </w:rPr>
        <w:t>’</w:t>
      </w:r>
      <w:r w:rsidRPr="00EB3D2F">
        <w:rPr>
          <w:rFonts w:eastAsia="Times New Roman"/>
        </w:rPr>
        <w:t>être transposée telle quelle dans la présente affaire.</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24</w:t>
      </w:r>
      <w:r w:rsidRPr="00EB3D2F">
        <w:rPr>
          <w:rFonts w:eastAsia="Times New Roman"/>
        </w:rPr>
        <w:fldChar w:fldCharType="end"/>
      </w:r>
      <w:r w:rsidRPr="00EB3D2F">
        <w:rPr>
          <w:rFonts w:eastAsia="Times New Roman"/>
        </w:rPr>
        <w:t>.  Troisièmement, indépendamment des distinctions opérées entre le cas d</w:t>
      </w:r>
      <w:r w:rsidR="00062221">
        <w:rPr>
          <w:rFonts w:eastAsia="Times New Roman"/>
        </w:rPr>
        <w:t>’</w:t>
      </w:r>
      <w:r w:rsidRPr="00EB3D2F">
        <w:rPr>
          <w:rFonts w:eastAsia="Times New Roman"/>
        </w:rPr>
        <w:t>espèce et l</w:t>
      </w:r>
      <w:r w:rsidR="00062221">
        <w:rPr>
          <w:rFonts w:eastAsia="Times New Roman"/>
        </w:rPr>
        <w:t>’</w:t>
      </w:r>
      <w:r w:rsidRPr="00EB3D2F">
        <w:rPr>
          <w:rFonts w:eastAsia="Times New Roman"/>
        </w:rPr>
        <w:t xml:space="preserve">arrêt </w:t>
      </w:r>
      <w:r w:rsidRPr="00EB3D2F">
        <w:rPr>
          <w:rFonts w:eastAsia="Times New Roman"/>
          <w:i/>
        </w:rPr>
        <w:t>Willem</w:t>
      </w:r>
      <w:r w:rsidRPr="00EB3D2F">
        <w:rPr>
          <w:rFonts w:eastAsia="Times New Roman"/>
        </w:rPr>
        <w:t>, les requérants auraient-ils pu prévoir que leur participation aux manifestations qui s</w:t>
      </w:r>
      <w:r w:rsidR="00062221">
        <w:rPr>
          <w:rFonts w:eastAsia="Times New Roman"/>
        </w:rPr>
        <w:t>’</w:t>
      </w:r>
      <w:r w:rsidRPr="00EB3D2F">
        <w:rPr>
          <w:rFonts w:eastAsia="Times New Roman"/>
        </w:rPr>
        <w:t>étaient déroulées dans un hypermarché en</w:t>
      </w:r>
      <w:r w:rsidR="00A34927">
        <w:rPr>
          <w:rFonts w:eastAsia="Times New Roman"/>
        </w:rPr>
        <w:t xml:space="preserve"> </w:t>
      </w:r>
      <w:r w:rsidR="00565C93">
        <w:rPr>
          <w:rFonts w:eastAsia="Times New Roman"/>
        </w:rPr>
        <w:t>septembre</w:t>
      </w:r>
      <w:r w:rsidRPr="00EB3D2F">
        <w:rPr>
          <w:rFonts w:eastAsia="Times New Roman"/>
        </w:rPr>
        <w:t xml:space="preserve"> 2009 et</w:t>
      </w:r>
      <w:r w:rsidR="00A34927">
        <w:rPr>
          <w:rFonts w:eastAsia="Times New Roman"/>
        </w:rPr>
        <w:t xml:space="preserve"> </w:t>
      </w:r>
      <w:r w:rsidR="00565C93">
        <w:rPr>
          <w:rFonts w:eastAsia="Times New Roman"/>
        </w:rPr>
        <w:t xml:space="preserve">mai </w:t>
      </w:r>
      <w:r w:rsidRPr="00EB3D2F">
        <w:rPr>
          <w:rFonts w:eastAsia="Times New Roman"/>
        </w:rPr>
        <w:t>2010 donneraient lieu à des poursuites pénales et à une condamnation sur le fondement de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 D</w:t>
      </w:r>
      <w:r w:rsidR="00062221">
        <w:rPr>
          <w:rFonts w:eastAsia="Times New Roman"/>
        </w:rPr>
        <w:t>’</w:t>
      </w:r>
      <w:r w:rsidRPr="00EB3D2F">
        <w:rPr>
          <w:rFonts w:eastAsia="Times New Roman"/>
        </w:rPr>
        <w:t xml:space="preserve">après la jurisprudence de la Cour, la question de la prévisibilité doit être appréciée du point de vue de la personne condamnée </w:t>
      </w:r>
      <w:r w:rsidRPr="00EB3D2F">
        <w:rPr>
          <w:rFonts w:eastAsia="Times New Roman"/>
          <w:i/>
        </w:rPr>
        <w:t>au moment de la commission de l</w:t>
      </w:r>
      <w:r w:rsidR="00062221">
        <w:rPr>
          <w:rFonts w:eastAsia="Times New Roman"/>
          <w:i/>
        </w:rPr>
        <w:t>’</w:t>
      </w:r>
      <w:r w:rsidRPr="00EB3D2F">
        <w:rPr>
          <w:rFonts w:eastAsia="Times New Roman"/>
          <w:i/>
        </w:rPr>
        <w:t xml:space="preserve">infraction </w:t>
      </w:r>
      <w:r w:rsidRPr="00EB3D2F">
        <w:rPr>
          <w:rFonts w:eastAsia="Times New Roman"/>
        </w:rPr>
        <w:t>(</w:t>
      </w:r>
      <w:proofErr w:type="spellStart"/>
      <w:r w:rsidRPr="00EB3D2F">
        <w:rPr>
          <w:rFonts w:eastAsia="Times New Roman"/>
          <w:i/>
        </w:rPr>
        <w:t>Rohlena</w:t>
      </w:r>
      <w:proofErr w:type="spellEnd"/>
      <w:r w:rsidRPr="00EB3D2F">
        <w:rPr>
          <w:rFonts w:eastAsia="Times New Roman"/>
        </w:rPr>
        <w:t xml:space="preserve">, précité, </w:t>
      </w:r>
      <w:r w:rsidR="00565C93">
        <w:rPr>
          <w:rFonts w:eastAsia="Times New Roman"/>
        </w:rPr>
        <w:t>§ </w:t>
      </w:r>
      <w:r w:rsidRPr="00EB3D2F">
        <w:rPr>
          <w:rFonts w:eastAsia="Times New Roman"/>
        </w:rPr>
        <w:t xml:space="preserve">56, </w:t>
      </w:r>
      <w:proofErr w:type="spellStart"/>
      <w:r w:rsidRPr="00EB3D2F">
        <w:rPr>
          <w:rFonts w:eastAsia="Times New Roman"/>
          <w:i/>
        </w:rPr>
        <w:t>Streletz</w:t>
      </w:r>
      <w:proofErr w:type="spellEnd"/>
      <w:r w:rsidRPr="00EB3D2F">
        <w:rPr>
          <w:rFonts w:eastAsia="Times New Roman"/>
          <w:i/>
        </w:rPr>
        <w:t xml:space="preserve">, </w:t>
      </w:r>
      <w:proofErr w:type="spellStart"/>
      <w:r w:rsidRPr="00EB3D2F">
        <w:rPr>
          <w:rFonts w:eastAsia="Times New Roman"/>
          <w:i/>
        </w:rPr>
        <w:t>Kessler</w:t>
      </w:r>
      <w:proofErr w:type="spellEnd"/>
      <w:r w:rsidRPr="00EB3D2F">
        <w:rPr>
          <w:rFonts w:eastAsia="Times New Roman"/>
          <w:i/>
        </w:rPr>
        <w:t xml:space="preserve"> et </w:t>
      </w:r>
      <w:proofErr w:type="spellStart"/>
      <w:r w:rsidRPr="00EB3D2F">
        <w:rPr>
          <w:rFonts w:eastAsia="Times New Roman"/>
          <w:i/>
        </w:rPr>
        <w:t>Krenz</w:t>
      </w:r>
      <w:proofErr w:type="spellEnd"/>
      <w:r w:rsidRPr="00EB3D2F">
        <w:rPr>
          <w:rFonts w:eastAsia="Times New Roman"/>
        </w:rPr>
        <w:t xml:space="preserve">, précité, </w:t>
      </w:r>
      <w:r w:rsidR="00565C93">
        <w:rPr>
          <w:rFonts w:eastAsia="Times New Roman"/>
        </w:rPr>
        <w:t>§ </w:t>
      </w:r>
      <w:r w:rsidRPr="00EB3D2F">
        <w:rPr>
          <w:rFonts w:eastAsia="Times New Roman"/>
        </w:rPr>
        <w:t xml:space="preserve">51, </w:t>
      </w:r>
      <w:proofErr w:type="spellStart"/>
      <w:r w:rsidRPr="00EB3D2F">
        <w:rPr>
          <w:rFonts w:eastAsia="Times New Roman"/>
          <w:i/>
        </w:rPr>
        <w:t>Veeber</w:t>
      </w:r>
      <w:proofErr w:type="spellEnd"/>
      <w:r w:rsidR="00565C93">
        <w:rPr>
          <w:rFonts w:eastAsia="Times New Roman"/>
          <w:i/>
        </w:rPr>
        <w:t xml:space="preserve"> c. </w:t>
      </w:r>
      <w:r w:rsidRPr="00EB3D2F">
        <w:rPr>
          <w:rFonts w:eastAsia="Times New Roman"/>
          <w:i/>
        </w:rPr>
        <w:t>Estonie (n</w:t>
      </w:r>
      <w:r w:rsidRPr="00565C93" w:rsidR="00565C93">
        <w:rPr>
          <w:rFonts w:eastAsia="Times New Roman"/>
          <w:i/>
          <w:vertAlign w:val="superscript"/>
        </w:rPr>
        <w:t>o</w:t>
      </w:r>
      <w:r w:rsidRPr="00565C93" w:rsidR="00565C93">
        <w:rPr>
          <w:rFonts w:eastAsia="Times New Roman"/>
          <w:i/>
        </w:rPr>
        <w:t> </w:t>
      </w:r>
      <w:r w:rsidRPr="00EB3D2F">
        <w:rPr>
          <w:rFonts w:eastAsia="Times New Roman"/>
          <w:i/>
        </w:rPr>
        <w:t>2)</w:t>
      </w:r>
      <w:r w:rsidRPr="00EB3D2F">
        <w:rPr>
          <w:rFonts w:eastAsia="Times New Roman"/>
        </w:rPr>
        <w:t>, n</w:t>
      </w:r>
      <w:r w:rsidRPr="00565C93" w:rsidR="00565C93">
        <w:rPr>
          <w:rFonts w:eastAsia="Times New Roman"/>
          <w:vertAlign w:val="superscript"/>
        </w:rPr>
        <w:t>o</w:t>
      </w:r>
      <w:r w:rsidRPr="00565C93" w:rsidR="00565C93">
        <w:rPr>
          <w:rFonts w:eastAsia="Times New Roman"/>
        </w:rPr>
        <w:t> </w:t>
      </w:r>
      <w:r w:rsidRPr="00EB3D2F" w:rsidR="001456F1">
        <w:rPr>
          <w:rFonts w:eastAsia="Times New Roman"/>
        </w:rPr>
        <w:t xml:space="preserve">45771/99, </w:t>
      </w:r>
      <w:r w:rsidR="00565C93">
        <w:rPr>
          <w:rFonts w:eastAsia="Times New Roman"/>
        </w:rPr>
        <w:t>§ </w:t>
      </w:r>
      <w:r w:rsidRPr="00EB3D2F">
        <w:rPr>
          <w:rFonts w:eastAsia="Times New Roman"/>
        </w:rPr>
        <w:t>33, CEDH 2003</w:t>
      </w:r>
      <w:r w:rsidRPr="00EB3D2F">
        <w:rPr>
          <w:rFonts w:eastAsia="Times New Roman"/>
        </w:rPr>
        <w:noBreakHyphen/>
        <w:t>I</w:t>
      </w:r>
      <w:r w:rsidR="00A34927">
        <w:rPr>
          <w:rFonts w:eastAsia="Times New Roman"/>
        </w:rPr>
        <w:t>,</w:t>
      </w:r>
      <w:r w:rsidRPr="00EB3D2F">
        <w:rPr>
          <w:rFonts w:eastAsia="Times New Roman"/>
        </w:rPr>
        <w:t xml:space="preserve"> et </w:t>
      </w:r>
      <w:proofErr w:type="spellStart"/>
      <w:r w:rsidRPr="00EB3D2F">
        <w:rPr>
          <w:rFonts w:eastAsia="Times New Roman"/>
          <w:i/>
        </w:rPr>
        <w:t>Korbely</w:t>
      </w:r>
      <w:proofErr w:type="spellEnd"/>
      <w:r w:rsidR="00565C93">
        <w:rPr>
          <w:rFonts w:eastAsia="Times New Roman"/>
          <w:i/>
        </w:rPr>
        <w:t xml:space="preserve"> c. </w:t>
      </w:r>
      <w:r w:rsidRPr="00EB3D2F">
        <w:rPr>
          <w:rFonts w:eastAsia="Times New Roman"/>
          <w:i/>
        </w:rPr>
        <w:t>Hongrie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 xml:space="preserve">9174/02, </w:t>
      </w:r>
      <w:r w:rsidR="00565C93">
        <w:rPr>
          <w:rFonts w:eastAsia="Times New Roman"/>
        </w:rPr>
        <w:t>§ </w:t>
      </w:r>
      <w:r w:rsidRPr="00EB3D2F">
        <w:rPr>
          <w:rFonts w:eastAsia="Times New Roman"/>
        </w:rPr>
        <w:t>73, CEDH 2008). J</w:t>
      </w:r>
      <w:r w:rsidR="00062221">
        <w:rPr>
          <w:rFonts w:eastAsia="Times New Roman"/>
        </w:rPr>
        <w:t>’</w:t>
      </w:r>
      <w:r w:rsidRPr="00EB3D2F">
        <w:rPr>
          <w:rFonts w:eastAsia="Times New Roman"/>
        </w:rPr>
        <w:t>estime que la chambre, dans la mesure où elle aurait cherché à donner une réponse à cette question, a apprécié la situation telle qu</w:t>
      </w:r>
      <w:r w:rsidR="00062221">
        <w:rPr>
          <w:rFonts w:eastAsia="Times New Roman"/>
        </w:rPr>
        <w:t>’</w:t>
      </w:r>
      <w:r w:rsidRPr="00EB3D2F">
        <w:rPr>
          <w:rFonts w:eastAsia="Times New Roman"/>
        </w:rPr>
        <w:t>elle se présentait en 2015, postérieurement à l</w:t>
      </w:r>
      <w:r w:rsidR="00062221">
        <w:rPr>
          <w:rFonts w:eastAsia="Times New Roman"/>
        </w:rPr>
        <w:t>’</w:t>
      </w:r>
      <w:r w:rsidRPr="00EB3D2F">
        <w:rPr>
          <w:rFonts w:eastAsia="Times New Roman"/>
        </w:rPr>
        <w:t>arrêt de la Cour de cassation, et non en 2009, au moment où les premiers manifestants, munis de leurs tracts, se rendaient à l</w:t>
      </w:r>
      <w:r w:rsidR="00062221">
        <w:rPr>
          <w:rFonts w:eastAsia="Times New Roman"/>
        </w:rPr>
        <w:t>’</w:t>
      </w:r>
      <w:r w:rsidRPr="00EB3D2F">
        <w:rPr>
          <w:rFonts w:eastAsia="Times New Roman"/>
        </w:rPr>
        <w:t>hypermarché Carrefour.</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25</w:t>
      </w:r>
      <w:r w:rsidRPr="00EB3D2F">
        <w:rPr>
          <w:rFonts w:eastAsia="Times New Roman"/>
        </w:rPr>
        <w:fldChar w:fldCharType="end"/>
      </w:r>
      <w:r w:rsidRPr="00EB3D2F">
        <w:rPr>
          <w:rFonts w:eastAsia="Times New Roman"/>
        </w:rPr>
        <w:t>.  Deux points sont intéressants à cet égard.</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26</w:t>
      </w:r>
      <w:r w:rsidRPr="00EB3D2F">
        <w:rPr>
          <w:rFonts w:eastAsia="Times New Roman"/>
        </w:rPr>
        <w:fldChar w:fldCharType="end"/>
      </w:r>
      <w:r w:rsidRPr="00EB3D2F">
        <w:rPr>
          <w:rFonts w:eastAsia="Times New Roman"/>
        </w:rPr>
        <w:t>.  D</w:t>
      </w:r>
      <w:r w:rsidR="00062221">
        <w:rPr>
          <w:rFonts w:eastAsia="Times New Roman"/>
        </w:rPr>
        <w:t>’</w:t>
      </w:r>
      <w:r w:rsidRPr="00EB3D2F">
        <w:rPr>
          <w:rFonts w:eastAsia="Times New Roman"/>
        </w:rPr>
        <w:t xml:space="preserve">une part, la circulaire (connue sous le nom de </w:t>
      </w:r>
      <w:r w:rsidR="006A4DF1">
        <w:rPr>
          <w:rFonts w:eastAsia="Times New Roman"/>
        </w:rPr>
        <w:t>« </w:t>
      </w:r>
      <w:r w:rsidRPr="00EB3D2F">
        <w:rPr>
          <w:rFonts w:eastAsia="Times New Roman"/>
        </w:rPr>
        <w:t xml:space="preserve">circulaire </w:t>
      </w:r>
      <w:r w:rsidRPr="00EB3D2F">
        <w:rPr>
          <w:rFonts w:eastAsia="Times New Roman"/>
          <w:i/>
        </w:rPr>
        <w:t>Alliot</w:t>
      </w:r>
      <w:r w:rsidR="00C45B8A">
        <w:rPr>
          <w:rFonts w:eastAsia="Times New Roman"/>
          <w:i/>
        </w:rPr>
        <w:t>-</w:t>
      </w:r>
      <w:r w:rsidRPr="00EB3D2F">
        <w:rPr>
          <w:rFonts w:eastAsia="Times New Roman"/>
          <w:i/>
        </w:rPr>
        <w:t>Marie</w:t>
      </w:r>
      <w:r w:rsidRPr="00EB3D2F">
        <w:rPr>
          <w:rFonts w:eastAsia="Times New Roman"/>
        </w:rPr>
        <w:t xml:space="preserve">) dont il est question au </w:t>
      </w:r>
      <w:r w:rsidR="00565C93">
        <w:rPr>
          <w:rFonts w:eastAsia="Times New Roman"/>
        </w:rPr>
        <w:t>paragraphe </w:t>
      </w:r>
      <w:r w:rsidRPr="00EB3D2F">
        <w:rPr>
          <w:rFonts w:eastAsia="Times New Roman"/>
        </w:rPr>
        <w:t>20 de l</w:t>
      </w:r>
      <w:r w:rsidR="00062221">
        <w:rPr>
          <w:rFonts w:eastAsia="Times New Roman"/>
        </w:rPr>
        <w:t>’</w:t>
      </w:r>
      <w:r w:rsidRPr="00EB3D2F">
        <w:rPr>
          <w:rFonts w:eastAsia="Times New Roman"/>
        </w:rPr>
        <w:t>arrêt de la chambre fut adressée le 12</w:t>
      </w:r>
      <w:r w:rsidR="00565C93">
        <w:rPr>
          <w:rFonts w:eastAsia="Times New Roman"/>
        </w:rPr>
        <w:t> février</w:t>
      </w:r>
      <w:r w:rsidRPr="00EB3D2F">
        <w:rPr>
          <w:rFonts w:eastAsia="Times New Roman"/>
        </w:rPr>
        <w:t xml:space="preserve"> 2010 aux procureurs généraux près les cours d</w:t>
      </w:r>
      <w:r w:rsidR="00062221">
        <w:rPr>
          <w:rFonts w:eastAsia="Times New Roman"/>
        </w:rPr>
        <w:t>’</w:t>
      </w:r>
      <w:r w:rsidRPr="00EB3D2F">
        <w:rPr>
          <w:rFonts w:eastAsia="Times New Roman"/>
        </w:rPr>
        <w:t>appel sur instruction de la ministre de la Justice de l</w:t>
      </w:r>
      <w:r w:rsidR="00062221">
        <w:rPr>
          <w:rFonts w:eastAsia="Times New Roman"/>
        </w:rPr>
        <w:t>’</w:t>
      </w:r>
      <w:r w:rsidRPr="00EB3D2F">
        <w:rPr>
          <w:rFonts w:eastAsia="Times New Roman"/>
        </w:rPr>
        <w:t xml:space="preserve">époque. Elle était donc </w:t>
      </w:r>
      <w:r w:rsidRPr="00EB3D2F">
        <w:rPr>
          <w:rFonts w:eastAsia="Times New Roman"/>
          <w:i/>
        </w:rPr>
        <w:t>postérieure</w:t>
      </w:r>
      <w:r w:rsidRPr="00EB3D2F">
        <w:rPr>
          <w:rFonts w:eastAsia="Times New Roman"/>
        </w:rPr>
        <w:t xml:space="preserve"> de plusieurs mois à la première et principale manifestation organisée dans l</w:t>
      </w:r>
      <w:r w:rsidR="00062221">
        <w:rPr>
          <w:rFonts w:eastAsia="Times New Roman"/>
        </w:rPr>
        <w:t>’</w:t>
      </w:r>
      <w:r w:rsidRPr="00EB3D2F">
        <w:rPr>
          <w:rFonts w:eastAsia="Times New Roman"/>
        </w:rPr>
        <w:t>hypermarché Carrefour à laquelle les requérants avaient participé, celle-ci s</w:t>
      </w:r>
      <w:r w:rsidR="00062221">
        <w:rPr>
          <w:rFonts w:eastAsia="Times New Roman"/>
        </w:rPr>
        <w:t>’</w:t>
      </w:r>
      <w:r w:rsidRPr="00EB3D2F">
        <w:rPr>
          <w:rFonts w:eastAsia="Times New Roman"/>
        </w:rPr>
        <w:t>étant déroulée en</w:t>
      </w:r>
      <w:r w:rsidR="00565C93">
        <w:rPr>
          <w:rFonts w:eastAsia="Times New Roman"/>
        </w:rPr>
        <w:t> septembre</w:t>
      </w:r>
      <w:r w:rsidRPr="00EB3D2F">
        <w:rPr>
          <w:rFonts w:eastAsia="Times New Roman"/>
        </w:rPr>
        <w:t xml:space="preserve"> 2009. Elle relevait effectivement qu</w:t>
      </w:r>
      <w:r w:rsidR="00062221">
        <w:rPr>
          <w:rFonts w:eastAsia="Times New Roman"/>
        </w:rPr>
        <w:t>’</w:t>
      </w:r>
      <w:r w:rsidRPr="00EB3D2F">
        <w:rPr>
          <w:rFonts w:eastAsia="Times New Roman"/>
        </w:rPr>
        <w:t>en 2009 plusieurs procédures pénales avaient été diligentées sur le fondement de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contre des personnes ayant participé à des manifestations similaires. Elle indiquait clairement en revanche que l</w:t>
      </w:r>
      <w:r w:rsidR="00062221">
        <w:rPr>
          <w:rFonts w:eastAsia="Times New Roman"/>
        </w:rPr>
        <w:t>’</w:t>
      </w:r>
      <w:r w:rsidRPr="00EB3D2F">
        <w:rPr>
          <w:rFonts w:eastAsia="Times New Roman"/>
        </w:rPr>
        <w:t>issue de ces procédures était loin d</w:t>
      </w:r>
      <w:r w:rsidR="00062221">
        <w:rPr>
          <w:rFonts w:eastAsia="Times New Roman"/>
        </w:rPr>
        <w:t>’</w:t>
      </w:r>
      <w:r w:rsidRPr="00EB3D2F">
        <w:rPr>
          <w:rFonts w:eastAsia="Times New Roman"/>
        </w:rPr>
        <w:t>être uniforme. Elle faisait référence à un seul jugement, rendu deux jours plus tôt, par lequel le tribunal correctionnel de Bordeaux avait prononcé une condamnation à l</w:t>
      </w:r>
      <w:r w:rsidR="00062221">
        <w:rPr>
          <w:rFonts w:eastAsia="Times New Roman"/>
        </w:rPr>
        <w:t>’</w:t>
      </w:r>
      <w:r w:rsidRPr="00EB3D2F">
        <w:rPr>
          <w:rFonts w:eastAsia="Times New Roman"/>
        </w:rPr>
        <w:t>encontre de personnes qui avaient manifesté dans un supermarché. Elle appelait le ministère public à assurer une réponse cohérente et ferme à pareils agissements et à porter à la connaissance des autorités toutes les procédures ayant fait l</w:t>
      </w:r>
      <w:r w:rsidR="00062221">
        <w:rPr>
          <w:rFonts w:eastAsia="Times New Roman"/>
        </w:rPr>
        <w:t>’</w:t>
      </w:r>
      <w:r w:rsidRPr="00EB3D2F">
        <w:rPr>
          <w:rFonts w:eastAsia="Times New Roman"/>
        </w:rPr>
        <w:t>objet de classements sans suite, en précisant les éléments d</w:t>
      </w:r>
      <w:r w:rsidR="00062221">
        <w:rPr>
          <w:rFonts w:eastAsia="Times New Roman"/>
        </w:rPr>
        <w:t>’</w:t>
      </w:r>
      <w:r w:rsidRPr="00EB3D2F">
        <w:rPr>
          <w:rFonts w:eastAsia="Times New Roman"/>
        </w:rPr>
        <w:t>analyse ayant conduit de ces décisions.</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27</w:t>
      </w:r>
      <w:r w:rsidRPr="00EB3D2F">
        <w:rPr>
          <w:rFonts w:eastAsia="Times New Roman"/>
        </w:rPr>
        <w:fldChar w:fldCharType="end"/>
      </w:r>
      <w:r w:rsidRPr="00EB3D2F">
        <w:rPr>
          <w:rFonts w:eastAsia="Times New Roman"/>
        </w:rPr>
        <w:t>.  D</w:t>
      </w:r>
      <w:r w:rsidR="00062221">
        <w:rPr>
          <w:rFonts w:eastAsia="Times New Roman"/>
        </w:rPr>
        <w:t>’</w:t>
      </w:r>
      <w:r w:rsidRPr="00EB3D2F">
        <w:rPr>
          <w:rFonts w:eastAsia="Times New Roman"/>
        </w:rPr>
        <w:t>autre part, un examen de décisions rendues en première instance et en appel concernant des manifestations similaires qui avaient été organisées à l</w:t>
      </w:r>
      <w:r w:rsidR="00062221">
        <w:rPr>
          <w:rFonts w:eastAsia="Times New Roman"/>
        </w:rPr>
        <w:t>’</w:t>
      </w:r>
      <w:r w:rsidRPr="00EB3D2F">
        <w:rPr>
          <w:rFonts w:eastAsia="Times New Roman"/>
        </w:rPr>
        <w:t>époque des faits et au cours des années qui suivirent montre que le droit interne était loin d</w:t>
      </w:r>
      <w:r w:rsidR="00062221">
        <w:rPr>
          <w:rFonts w:eastAsia="Times New Roman"/>
        </w:rPr>
        <w:t>’</w:t>
      </w:r>
      <w:r w:rsidRPr="00EB3D2F">
        <w:rPr>
          <w:rFonts w:eastAsia="Times New Roman"/>
        </w:rPr>
        <w:t>être clair. Le jugement du tribunal correctionnel de Bordeaux évoqué ci-dessus ne fut confirmé par la cour d</w:t>
      </w:r>
      <w:r w:rsidR="00062221">
        <w:rPr>
          <w:rFonts w:eastAsia="Times New Roman"/>
        </w:rPr>
        <w:t>’</w:t>
      </w:r>
      <w:r w:rsidRPr="00EB3D2F">
        <w:rPr>
          <w:rFonts w:eastAsia="Times New Roman"/>
        </w:rPr>
        <w:t>appel et la Cour de cassation qu</w:t>
      </w:r>
      <w:r w:rsidR="00062221">
        <w:rPr>
          <w:rFonts w:eastAsia="Times New Roman"/>
        </w:rPr>
        <w:t>’</w:t>
      </w:r>
      <w:r w:rsidRPr="00EB3D2F">
        <w:rPr>
          <w:rFonts w:eastAsia="Times New Roman"/>
        </w:rPr>
        <w:t>en</w:t>
      </w:r>
      <w:r w:rsidR="00154DA4">
        <w:rPr>
          <w:rFonts w:eastAsia="Times New Roman"/>
        </w:rPr>
        <w:t xml:space="preserve"> </w:t>
      </w:r>
      <w:r w:rsidR="00565C93">
        <w:rPr>
          <w:rFonts w:eastAsia="Times New Roman"/>
        </w:rPr>
        <w:t>octobre</w:t>
      </w:r>
      <w:r w:rsidRPr="00EB3D2F">
        <w:rPr>
          <w:rFonts w:eastAsia="Times New Roman"/>
        </w:rPr>
        <w:t xml:space="preserve"> 2010 et en</w:t>
      </w:r>
      <w:r w:rsidR="00154DA4">
        <w:rPr>
          <w:rFonts w:eastAsia="Times New Roman"/>
        </w:rPr>
        <w:t xml:space="preserve"> </w:t>
      </w:r>
      <w:r w:rsidR="00565C93">
        <w:rPr>
          <w:rFonts w:eastAsia="Times New Roman"/>
        </w:rPr>
        <w:t xml:space="preserve">mai </w:t>
      </w:r>
      <w:r w:rsidRPr="00EB3D2F">
        <w:rPr>
          <w:rFonts w:eastAsia="Times New Roman"/>
        </w:rPr>
        <w:t>2012 r</w:t>
      </w:r>
      <w:r w:rsidRPr="00EB3D2F" w:rsidR="001456F1">
        <w:rPr>
          <w:rFonts w:eastAsia="Times New Roman"/>
        </w:rPr>
        <w:t>espectivement. Entretemps, le 8</w:t>
      </w:r>
      <w:r w:rsidR="00565C93">
        <w:rPr>
          <w:rFonts w:eastAsia="Times New Roman"/>
        </w:rPr>
        <w:t> juillet</w:t>
      </w:r>
      <w:r w:rsidRPr="00EB3D2F">
        <w:rPr>
          <w:rFonts w:eastAsia="Times New Roman"/>
        </w:rPr>
        <w:t xml:space="preserve"> 2011, le tribunal de grande instance de Paris acquitta un manifestant qui avait publié sur Internet une </w:t>
      </w:r>
      <w:r w:rsidR="00C30B27">
        <w:rPr>
          <w:rFonts w:eastAsia="Times New Roman"/>
        </w:rPr>
        <w:t xml:space="preserve">vidéo </w:t>
      </w:r>
      <w:r w:rsidRPr="00EB3D2F">
        <w:rPr>
          <w:rFonts w:eastAsia="Times New Roman"/>
        </w:rPr>
        <w:t>montrant une opération de boycott similaire dans un supermarché (tribunal de grande instance de Paris</w:t>
      </w:r>
      <w:r w:rsidRPr="00062221">
        <w:rPr>
          <w:rFonts w:eastAsia="Times New Roman"/>
        </w:rPr>
        <w:t>,</w:t>
      </w:r>
      <w:r w:rsidRPr="00EB3D2F">
        <w:rPr>
          <w:rFonts w:eastAsia="Times New Roman"/>
          <w:i/>
        </w:rPr>
        <w:t xml:space="preserve"> </w:t>
      </w:r>
      <w:r w:rsidRPr="00EB3D2F">
        <w:rPr>
          <w:rFonts w:eastAsia="Times New Roman"/>
        </w:rPr>
        <w:t>8</w:t>
      </w:r>
      <w:r w:rsidR="00565C93">
        <w:rPr>
          <w:rFonts w:eastAsia="Times New Roman"/>
        </w:rPr>
        <w:t> juillet</w:t>
      </w:r>
      <w:r w:rsidRPr="00EB3D2F">
        <w:rPr>
          <w:rFonts w:eastAsia="Times New Roman"/>
        </w:rPr>
        <w:t xml:space="preserve"> 2011), et il s</w:t>
      </w:r>
      <w:r w:rsidR="00062221">
        <w:rPr>
          <w:rFonts w:eastAsia="Times New Roman"/>
        </w:rPr>
        <w:t>’</w:t>
      </w:r>
      <w:r w:rsidRPr="00EB3D2F">
        <w:rPr>
          <w:rFonts w:eastAsia="Times New Roman"/>
        </w:rPr>
        <w:t>exprima ainsi à propos de l</w:t>
      </w:r>
      <w:r w:rsidR="00062221">
        <w:rPr>
          <w:rFonts w:eastAsia="Times New Roman"/>
        </w:rPr>
        <w:t>’</w:t>
      </w:r>
      <w:r w:rsidR="00565C93">
        <w:rPr>
          <w:rFonts w:eastAsia="Times New Roman"/>
        </w:rPr>
        <w:t>article </w:t>
      </w:r>
      <w:r w:rsidRPr="00EB3D2F" w:rsidR="001456F1">
        <w:rPr>
          <w:rFonts w:eastAsia="Times New Roman"/>
        </w:rPr>
        <w:t xml:space="preserve">24, </w:t>
      </w:r>
      <w:r w:rsidR="00F92E77">
        <w:rPr>
          <w:rFonts w:eastAsia="Times New Roman"/>
        </w:rPr>
        <w:t>alinéa </w:t>
      </w:r>
      <w:r w:rsidRPr="00EB3D2F" w:rsidR="001456F1">
        <w:rPr>
          <w:rFonts w:eastAsia="Times New Roman"/>
        </w:rPr>
        <w:t>8 de la loi du 29</w:t>
      </w:r>
      <w:r w:rsidR="00565C93">
        <w:rPr>
          <w:rFonts w:eastAsia="Times New Roman"/>
        </w:rPr>
        <w:t> juillet</w:t>
      </w:r>
      <w:r w:rsidRPr="00EB3D2F">
        <w:rPr>
          <w:rFonts w:eastAsia="Times New Roman"/>
        </w:rPr>
        <w:t xml:space="preserve"> 1881</w:t>
      </w:r>
      <w:r w:rsidR="006A4DF1">
        <w:rPr>
          <w:rFonts w:eastAsia="Times New Roman"/>
        </w:rPr>
        <w:t> :</w:t>
      </w:r>
    </w:p>
    <w:p w:rsidRPr="00EB3D2F" w:rsidR="00886CD8" w:rsidP="00EB3D2F" w:rsidRDefault="006A4DF1">
      <w:pPr>
        <w:pStyle w:val="JuQuot"/>
        <w:rPr>
          <w:rFonts w:eastAsia="Times New Roman"/>
        </w:rPr>
      </w:pPr>
      <w:r>
        <w:rPr>
          <w:rFonts w:eastAsia="Times New Roman"/>
        </w:rPr>
        <w:t>« </w:t>
      </w:r>
      <w:r w:rsidR="00C30B27">
        <w:rPr>
          <w:rFonts w:eastAsia="Times New Roman"/>
        </w:rPr>
        <w:t>[Cet</w:t>
      </w:r>
      <w:r w:rsidRPr="00EB3D2F" w:rsidR="00886CD8">
        <w:rPr>
          <w:rFonts w:eastAsia="Times New Roman"/>
        </w:rPr>
        <w:t xml:space="preserve"> article</w:t>
      </w:r>
      <w:r w:rsidR="00C30B27">
        <w:rPr>
          <w:rFonts w:eastAsia="Times New Roman"/>
        </w:rPr>
        <w:t>]</w:t>
      </w:r>
      <w:r w:rsidRPr="00EB3D2F" w:rsidR="00886CD8">
        <w:rPr>
          <w:rFonts w:eastAsia="Times New Roman"/>
        </w:rPr>
        <w:t xml:space="preserve"> ne saurait, avec le degré de prévisibilité exigé par les normes constitutionnelles et conventionnelles, être invoqué pour interdire, en tant que tel, l</w:t>
      </w:r>
      <w:r w:rsidR="00062221">
        <w:rPr>
          <w:rFonts w:eastAsia="Times New Roman"/>
        </w:rPr>
        <w:t>’</w:t>
      </w:r>
      <w:r w:rsidRPr="00EB3D2F" w:rsidR="00886CD8">
        <w:rPr>
          <w:rFonts w:eastAsia="Times New Roman"/>
        </w:rPr>
        <w:t>appel invitant à une forme d</w:t>
      </w:r>
      <w:r w:rsidR="00062221">
        <w:rPr>
          <w:rFonts w:eastAsia="Times New Roman"/>
        </w:rPr>
        <w:t>’</w:t>
      </w:r>
      <w:r w:rsidRPr="00EB3D2F" w:rsidR="00886CD8">
        <w:rPr>
          <w:rFonts w:eastAsia="Times New Roman"/>
        </w:rPr>
        <w:t>objection de conscience, que chacun est libre de manifester ou pas, dépourvu de toute contrainte susceptible d</w:t>
      </w:r>
      <w:r w:rsidR="00062221">
        <w:rPr>
          <w:rFonts w:eastAsia="Times New Roman"/>
        </w:rPr>
        <w:t>’</w:t>
      </w:r>
      <w:r w:rsidRPr="00EB3D2F" w:rsidR="00886CD8">
        <w:rPr>
          <w:rFonts w:eastAsia="Times New Roman"/>
        </w:rPr>
        <w:t>entraver la liberté des consommateurs, lancé par des organisations non gouvernementales ne disposant d</w:t>
      </w:r>
      <w:r w:rsidR="00062221">
        <w:rPr>
          <w:rFonts w:eastAsia="Times New Roman"/>
        </w:rPr>
        <w:t>’</w:t>
      </w:r>
      <w:r w:rsidRPr="00EB3D2F" w:rsidR="00886CD8">
        <w:rPr>
          <w:rFonts w:eastAsia="Times New Roman"/>
        </w:rPr>
        <w:t>aucune prérogative de puissance publique.</w:t>
      </w:r>
      <w:r>
        <w:rPr>
          <w:rFonts w:eastAsia="Times New Roman"/>
        </w:rPr>
        <w:t> »</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28</w:t>
      </w:r>
      <w:r w:rsidRPr="00EB3D2F">
        <w:rPr>
          <w:rFonts w:eastAsia="Times New Roman"/>
        </w:rPr>
        <w:fldChar w:fldCharType="end"/>
      </w:r>
      <w:r w:rsidRPr="00EB3D2F">
        <w:rPr>
          <w:rFonts w:eastAsia="Times New Roman"/>
        </w:rPr>
        <w:t>.  Ce jugement fut confirmé le 24</w:t>
      </w:r>
      <w:r w:rsidR="00565C93">
        <w:rPr>
          <w:rFonts w:eastAsia="Times New Roman"/>
        </w:rPr>
        <w:t xml:space="preserve"> mai </w:t>
      </w:r>
      <w:r w:rsidRPr="00EB3D2F">
        <w:rPr>
          <w:rFonts w:eastAsia="Times New Roman"/>
        </w:rPr>
        <w:t>2012 par la cour d</w:t>
      </w:r>
      <w:r w:rsidR="00062221">
        <w:rPr>
          <w:rFonts w:eastAsia="Times New Roman"/>
        </w:rPr>
        <w:t>’</w:t>
      </w:r>
      <w:r w:rsidRPr="00EB3D2F">
        <w:rPr>
          <w:rFonts w:eastAsia="Times New Roman"/>
        </w:rPr>
        <w:t xml:space="preserve">appel de Paris, qui considéra les actes qui avaient été commis comme une </w:t>
      </w:r>
      <w:r w:rsidR="006A4DF1">
        <w:rPr>
          <w:rFonts w:eastAsia="Times New Roman"/>
        </w:rPr>
        <w:t>« </w:t>
      </w:r>
      <w:r w:rsidRPr="00EB3D2F">
        <w:rPr>
          <w:rFonts w:eastAsia="Times New Roman"/>
        </w:rPr>
        <w:t>critique passive de la politique d</w:t>
      </w:r>
      <w:r w:rsidR="00062221">
        <w:rPr>
          <w:rFonts w:eastAsia="Times New Roman"/>
        </w:rPr>
        <w:t>’</w:t>
      </w:r>
      <w:r w:rsidRPr="00EB3D2F">
        <w:rPr>
          <w:rFonts w:eastAsia="Times New Roman"/>
        </w:rPr>
        <w:t>un État relevant du libre jeu du débat politique</w:t>
      </w:r>
      <w:r w:rsidR="006A4DF1">
        <w:rPr>
          <w:rFonts w:eastAsia="Times New Roman"/>
        </w:rPr>
        <w:t> »</w:t>
      </w:r>
      <w:r w:rsidRPr="00EB3D2F">
        <w:rPr>
          <w:rFonts w:eastAsia="Times New Roman"/>
        </w:rPr>
        <w:t>. Dans l</w:t>
      </w:r>
      <w:r w:rsidR="00062221">
        <w:rPr>
          <w:rFonts w:eastAsia="Times New Roman"/>
        </w:rPr>
        <w:t>’</w:t>
      </w:r>
      <w:r w:rsidRPr="00EB3D2F">
        <w:rPr>
          <w:rFonts w:eastAsia="Times New Roman"/>
        </w:rPr>
        <w:t>arrêt qu</w:t>
      </w:r>
      <w:r w:rsidR="00062221">
        <w:rPr>
          <w:rFonts w:eastAsia="Times New Roman"/>
        </w:rPr>
        <w:t>’</w:t>
      </w:r>
      <w:r w:rsidRPr="00EB3D2F">
        <w:rPr>
          <w:rFonts w:eastAsia="Times New Roman"/>
        </w:rPr>
        <w:t>elle rendit le 19</w:t>
      </w:r>
      <w:r w:rsidR="00565C93">
        <w:rPr>
          <w:rFonts w:eastAsia="Times New Roman"/>
        </w:rPr>
        <w:t> novembre</w:t>
      </w:r>
      <w:r w:rsidRPr="00EB3D2F">
        <w:rPr>
          <w:rFonts w:eastAsia="Times New Roman"/>
        </w:rPr>
        <w:t xml:space="preserve"> 2013, la Cour de cassation, sans examiner l</w:t>
      </w:r>
      <w:r w:rsidR="00062221">
        <w:rPr>
          <w:rFonts w:eastAsia="Times New Roman"/>
        </w:rPr>
        <w:t>’</w:t>
      </w:r>
      <w:r w:rsidRPr="00EB3D2F">
        <w:rPr>
          <w:rFonts w:eastAsia="Times New Roman"/>
        </w:rPr>
        <w:t>affaire au fond, rejeta sur des points de procédure le recours dont les parties civiles l</w:t>
      </w:r>
      <w:r w:rsidR="00062221">
        <w:rPr>
          <w:rFonts w:eastAsia="Times New Roman"/>
        </w:rPr>
        <w:t>’</w:t>
      </w:r>
      <w:r w:rsidRPr="00EB3D2F">
        <w:rPr>
          <w:rFonts w:eastAsia="Times New Roman"/>
        </w:rPr>
        <w:t>avaient saisie (</w:t>
      </w:r>
      <w:proofErr w:type="spellStart"/>
      <w:r w:rsidRPr="00EB3D2F">
        <w:rPr>
          <w:rFonts w:eastAsia="Times New Roman"/>
        </w:rPr>
        <w:t>Cass</w:t>
      </w:r>
      <w:proofErr w:type="spellEnd"/>
      <w:r w:rsidRPr="00EB3D2F">
        <w:rPr>
          <w:rFonts w:eastAsia="Times New Roman"/>
        </w:rPr>
        <w:t xml:space="preserve">. </w:t>
      </w:r>
      <w:proofErr w:type="spellStart"/>
      <w:r w:rsidRPr="00EB3D2F">
        <w:rPr>
          <w:rFonts w:eastAsia="Times New Roman"/>
        </w:rPr>
        <w:t>Crim</w:t>
      </w:r>
      <w:proofErr w:type="spellEnd"/>
      <w:r w:rsidRPr="00EB3D2F">
        <w:rPr>
          <w:rFonts w:eastAsia="Times New Roman"/>
        </w:rPr>
        <w:t>., 19</w:t>
      </w:r>
      <w:r w:rsidR="00565C93">
        <w:rPr>
          <w:rFonts w:eastAsia="Times New Roman"/>
        </w:rPr>
        <w:t> novembre</w:t>
      </w:r>
      <w:r w:rsidRPr="00EB3D2F">
        <w:rPr>
          <w:rFonts w:eastAsia="Times New Roman"/>
        </w:rPr>
        <w:t xml:space="preserve"> 2013, n</w:t>
      </w:r>
      <w:r w:rsidRPr="00565C93" w:rsidR="00565C93">
        <w:rPr>
          <w:rFonts w:eastAsia="Times New Roman"/>
          <w:vertAlign w:val="superscript"/>
        </w:rPr>
        <w:t>o</w:t>
      </w:r>
      <w:r w:rsidRPr="00565C93" w:rsidR="00565C93">
        <w:rPr>
          <w:rFonts w:eastAsia="Times New Roman"/>
        </w:rPr>
        <w:t> </w:t>
      </w:r>
      <w:r w:rsidRPr="00EB3D2F">
        <w:rPr>
          <w:rFonts w:eastAsia="Times New Roman"/>
        </w:rPr>
        <w:t>12</w:t>
      </w:r>
      <w:r w:rsidRPr="00EB3D2F">
        <w:rPr>
          <w:rFonts w:eastAsia="Times New Roman"/>
        </w:rPr>
        <w:noBreakHyphen/>
        <w:t>08483).</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29</w:t>
      </w:r>
      <w:r w:rsidRPr="00EB3D2F">
        <w:rPr>
          <w:rFonts w:eastAsia="Times New Roman"/>
        </w:rPr>
        <w:fldChar w:fldCharType="end"/>
      </w:r>
      <w:r w:rsidRPr="00EB3D2F">
        <w:rPr>
          <w:rFonts w:eastAsia="Times New Roman"/>
        </w:rPr>
        <w:t>.  En</w:t>
      </w:r>
      <w:r w:rsidR="007529A2">
        <w:rPr>
          <w:rFonts w:eastAsia="Times New Roman"/>
        </w:rPr>
        <w:t xml:space="preserve"> </w:t>
      </w:r>
      <w:r w:rsidR="00565C93">
        <w:rPr>
          <w:rFonts w:eastAsia="Times New Roman"/>
        </w:rPr>
        <w:t>novembre</w:t>
      </w:r>
      <w:r w:rsidRPr="00EB3D2F">
        <w:rPr>
          <w:rFonts w:eastAsia="Times New Roman"/>
        </w:rPr>
        <w:t xml:space="preserve"> </w:t>
      </w:r>
      <w:r w:rsidRPr="00EB3D2F">
        <w:t>2011</w:t>
      </w:r>
      <w:r w:rsidRPr="00EB3D2F">
        <w:rPr>
          <w:rFonts w:eastAsia="Times New Roman"/>
        </w:rPr>
        <w:t>, la Cour de cassation avait également confirmé (</w:t>
      </w:r>
      <w:proofErr w:type="spellStart"/>
      <w:r w:rsidRPr="00EB3D2F">
        <w:rPr>
          <w:rFonts w:eastAsia="Times New Roman"/>
        </w:rPr>
        <w:t>Cass</w:t>
      </w:r>
      <w:proofErr w:type="spellEnd"/>
      <w:r w:rsidRPr="00EB3D2F">
        <w:rPr>
          <w:rFonts w:eastAsia="Times New Roman"/>
        </w:rPr>
        <w:t xml:space="preserve">. </w:t>
      </w:r>
      <w:proofErr w:type="spellStart"/>
      <w:r w:rsidRPr="00EB3D2F">
        <w:rPr>
          <w:rFonts w:eastAsia="Times New Roman"/>
        </w:rPr>
        <w:t>Crim</w:t>
      </w:r>
      <w:proofErr w:type="spellEnd"/>
      <w:r w:rsidRPr="00EB3D2F">
        <w:rPr>
          <w:rFonts w:eastAsia="Times New Roman"/>
        </w:rPr>
        <w:t>., 8</w:t>
      </w:r>
      <w:r w:rsidR="00565C93">
        <w:rPr>
          <w:rFonts w:eastAsia="Times New Roman"/>
        </w:rPr>
        <w:t> novembre</w:t>
      </w:r>
      <w:r w:rsidRPr="00EB3D2F">
        <w:rPr>
          <w:rFonts w:eastAsia="Times New Roman"/>
        </w:rPr>
        <w:t xml:space="preserve"> 2011, n</w:t>
      </w:r>
      <w:r w:rsidRPr="00565C93" w:rsidR="00565C93">
        <w:rPr>
          <w:rFonts w:eastAsia="Times New Roman"/>
          <w:vertAlign w:val="superscript"/>
        </w:rPr>
        <w:t>o</w:t>
      </w:r>
      <w:r w:rsidRPr="00565C93" w:rsidR="00565C93">
        <w:rPr>
          <w:rFonts w:eastAsia="Times New Roman"/>
        </w:rPr>
        <w:t> </w:t>
      </w:r>
      <w:r w:rsidRPr="00EB3D2F">
        <w:rPr>
          <w:rFonts w:eastAsia="Times New Roman"/>
        </w:rPr>
        <w:t>09-88007) le raisonnement suivant, que la cour d</w:t>
      </w:r>
      <w:r w:rsidR="00062221">
        <w:rPr>
          <w:rFonts w:eastAsia="Times New Roman"/>
        </w:rPr>
        <w:t>’</w:t>
      </w:r>
      <w:r w:rsidRPr="00EB3D2F">
        <w:rPr>
          <w:rFonts w:eastAsia="Times New Roman"/>
        </w:rPr>
        <w:t>appel de Paris avait adopté relativement à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dans une affaire relative à un ouvrage qui décrivait de manière péjorative la communauté Tutsi au Rwanda</w:t>
      </w:r>
      <w:r w:rsidR="006A4DF1">
        <w:rPr>
          <w:rFonts w:eastAsia="Times New Roman"/>
        </w:rPr>
        <w:t> :</w:t>
      </w:r>
    </w:p>
    <w:p w:rsidRPr="00EB3D2F" w:rsidR="00886CD8" w:rsidP="00EB3D2F" w:rsidRDefault="006A4DF1">
      <w:pPr>
        <w:pStyle w:val="JuQuot"/>
        <w:rPr>
          <w:rFonts w:eastAsia="Times New Roman"/>
        </w:rPr>
      </w:pPr>
      <w:r>
        <w:rPr>
          <w:rFonts w:eastAsia="Times New Roman"/>
        </w:rPr>
        <w:t>« </w:t>
      </w:r>
      <w:r w:rsidR="007529A2">
        <w:rPr>
          <w:rFonts w:eastAsia="Times New Roman"/>
        </w:rPr>
        <w:t>[L]</w:t>
      </w:r>
      <w:r w:rsidR="00062221">
        <w:rPr>
          <w:rFonts w:eastAsia="Times New Roman"/>
        </w:rPr>
        <w:t>’</w:t>
      </w:r>
      <w:r w:rsidRPr="00EB3D2F" w:rsidR="00886CD8">
        <w:rPr>
          <w:rFonts w:eastAsia="Times New Roman"/>
        </w:rPr>
        <w:t>infraction n</w:t>
      </w:r>
      <w:r w:rsidR="00062221">
        <w:rPr>
          <w:rFonts w:eastAsia="Times New Roman"/>
        </w:rPr>
        <w:t>’</w:t>
      </w:r>
      <w:r w:rsidRPr="00EB3D2F" w:rsidR="00886CD8">
        <w:rPr>
          <w:rFonts w:eastAsia="Times New Roman"/>
        </w:rPr>
        <w:t>est constituée que dans l</w:t>
      </w:r>
      <w:r w:rsidR="00062221">
        <w:rPr>
          <w:rFonts w:eastAsia="Times New Roman"/>
        </w:rPr>
        <w:t>’</w:t>
      </w:r>
      <w:r w:rsidRPr="00EB3D2F" w:rsidR="00886CD8">
        <w:rPr>
          <w:rFonts w:eastAsia="Times New Roman"/>
        </w:rPr>
        <w:t>hypothèse de l</w:t>
      </w:r>
      <w:r w:rsidR="00062221">
        <w:rPr>
          <w:rFonts w:eastAsia="Times New Roman"/>
        </w:rPr>
        <w:t>’</w:t>
      </w:r>
      <w:r w:rsidRPr="00EB3D2F" w:rsidR="00886CD8">
        <w:rPr>
          <w:rFonts w:eastAsia="Times New Roman"/>
        </w:rPr>
        <w:t>existence démontrée d</w:t>
      </w:r>
      <w:r w:rsidR="00062221">
        <w:rPr>
          <w:rFonts w:eastAsia="Times New Roman"/>
        </w:rPr>
        <w:t>’</w:t>
      </w:r>
      <w:r w:rsidRPr="00EB3D2F" w:rsidR="00886CD8">
        <w:rPr>
          <w:rFonts w:eastAsia="Times New Roman"/>
        </w:rPr>
        <w:t>une incitation à la discrimination (...) à l</w:t>
      </w:r>
      <w:r w:rsidR="00062221">
        <w:rPr>
          <w:rFonts w:eastAsia="Times New Roman"/>
        </w:rPr>
        <w:t>’</w:t>
      </w:r>
      <w:r w:rsidRPr="00EB3D2F" w:rsidR="00886CD8">
        <w:rPr>
          <w:rFonts w:eastAsia="Times New Roman"/>
        </w:rPr>
        <w:t>égard de la personne ou du groupe visé</w:t>
      </w:r>
      <w:r>
        <w:rPr>
          <w:rFonts w:eastAsia="Times New Roman"/>
        </w:rPr>
        <w:t> ;</w:t>
      </w:r>
      <w:r w:rsidRPr="00EB3D2F" w:rsidR="00886CD8">
        <w:rPr>
          <w:rFonts w:eastAsia="Times New Roman"/>
        </w:rPr>
        <w:t xml:space="preserve"> qu</w:t>
      </w:r>
      <w:r w:rsidR="00062221">
        <w:rPr>
          <w:rFonts w:eastAsia="Times New Roman"/>
        </w:rPr>
        <w:t>’</w:t>
      </w:r>
      <w:r w:rsidRPr="00EB3D2F" w:rsidR="00886CD8">
        <w:rPr>
          <w:rFonts w:eastAsia="Times New Roman"/>
        </w:rPr>
        <w:t>il ne suffit pas à cet égard de constater que les (propos) incriminés ont pu engendrer chez (autrui) des sentiments négatifs à l</w:t>
      </w:r>
      <w:r w:rsidR="00062221">
        <w:rPr>
          <w:rFonts w:eastAsia="Times New Roman"/>
        </w:rPr>
        <w:t>’</w:t>
      </w:r>
      <w:r w:rsidRPr="00EB3D2F" w:rsidR="00886CD8">
        <w:rPr>
          <w:rFonts w:eastAsia="Times New Roman"/>
        </w:rPr>
        <w:t>égard d</w:t>
      </w:r>
      <w:r w:rsidR="00062221">
        <w:rPr>
          <w:rFonts w:eastAsia="Times New Roman"/>
        </w:rPr>
        <w:t>’</w:t>
      </w:r>
      <w:r w:rsidRPr="00EB3D2F" w:rsidR="00886CD8">
        <w:rPr>
          <w:rFonts w:eastAsia="Times New Roman"/>
        </w:rPr>
        <w:t>une communauté ou heurter, même à juste raison, la sensibilité des personnes appartenant au groupe visé, mais qu</w:t>
      </w:r>
      <w:r w:rsidR="00062221">
        <w:rPr>
          <w:rFonts w:eastAsia="Times New Roman"/>
        </w:rPr>
        <w:t>’</w:t>
      </w:r>
      <w:r w:rsidRPr="00EB3D2F" w:rsidR="00886CD8">
        <w:rPr>
          <w:rFonts w:eastAsia="Times New Roman"/>
        </w:rPr>
        <w:t>il doit exister chez (le prévenu) l</w:t>
      </w:r>
      <w:r w:rsidR="00062221">
        <w:rPr>
          <w:rFonts w:eastAsia="Times New Roman"/>
        </w:rPr>
        <w:t>’</w:t>
      </w:r>
      <w:r w:rsidRPr="00EB3D2F" w:rsidR="00886CD8">
        <w:rPr>
          <w:rFonts w:eastAsia="Times New Roman"/>
        </w:rPr>
        <w:t>intention coupable d</w:t>
      </w:r>
      <w:r w:rsidR="00062221">
        <w:rPr>
          <w:rFonts w:eastAsia="Times New Roman"/>
        </w:rPr>
        <w:t>’</w:t>
      </w:r>
      <w:r w:rsidRPr="00EB3D2F" w:rsidR="00886CD8">
        <w:rPr>
          <w:rFonts w:eastAsia="Times New Roman"/>
        </w:rPr>
        <w:t>inciter, de provoquer, ou d</w:t>
      </w:r>
      <w:r w:rsidR="00062221">
        <w:rPr>
          <w:rFonts w:eastAsia="Times New Roman"/>
        </w:rPr>
        <w:t>’</w:t>
      </w:r>
      <w:r w:rsidRPr="00EB3D2F" w:rsidR="00886CD8">
        <w:rPr>
          <w:rFonts w:eastAsia="Times New Roman"/>
        </w:rPr>
        <w:t>encourager (...) des comportements positifs (discriminatoires) que la loi réprime.</w:t>
      </w:r>
      <w:r>
        <w:rPr>
          <w:rFonts w:eastAsia="Times New Roman"/>
        </w:rPr>
        <w:t> »</w:t>
      </w:r>
      <w:r w:rsidRPr="00EB3D2F" w:rsidR="00886CD8">
        <w:rPr>
          <w:rFonts w:eastAsia="Times New Roman"/>
        </w:rPr>
        <w:t xml:space="preserve"> (</w:t>
      </w:r>
      <w:proofErr w:type="gramStart"/>
      <w:r w:rsidRPr="00EB3D2F" w:rsidR="00886CD8">
        <w:rPr>
          <w:rFonts w:eastAsia="Times New Roman"/>
        </w:rPr>
        <w:t>cour</w:t>
      </w:r>
      <w:proofErr w:type="gramEnd"/>
      <w:r w:rsidRPr="00EB3D2F" w:rsidR="00886CD8">
        <w:rPr>
          <w:rFonts w:eastAsia="Times New Roman"/>
        </w:rPr>
        <w:t xml:space="preserve"> d</w:t>
      </w:r>
      <w:r w:rsidR="00062221">
        <w:rPr>
          <w:rFonts w:eastAsia="Times New Roman"/>
        </w:rPr>
        <w:t>’</w:t>
      </w:r>
      <w:r w:rsidRPr="00EB3D2F" w:rsidR="00886CD8">
        <w:rPr>
          <w:rFonts w:eastAsia="Times New Roman"/>
        </w:rPr>
        <w:t>appel de Paris, 18</w:t>
      </w:r>
      <w:r w:rsidR="00565C93">
        <w:rPr>
          <w:rFonts w:eastAsia="Times New Roman"/>
        </w:rPr>
        <w:t> novembre</w:t>
      </w:r>
      <w:r w:rsidRPr="00EB3D2F" w:rsidR="00886CD8">
        <w:rPr>
          <w:rFonts w:eastAsia="Times New Roman"/>
        </w:rPr>
        <w:t xml:space="preserve"> 2009, cité par R. </w:t>
      </w:r>
      <w:proofErr w:type="spellStart"/>
      <w:r w:rsidRPr="00EB3D2F" w:rsidR="00886CD8">
        <w:rPr>
          <w:rFonts w:eastAsia="Times New Roman"/>
        </w:rPr>
        <w:t>Medard</w:t>
      </w:r>
      <w:proofErr w:type="spellEnd"/>
      <w:r w:rsidRPr="00EB3D2F" w:rsidR="00886CD8">
        <w:rPr>
          <w:rFonts w:eastAsia="Times New Roman"/>
        </w:rPr>
        <w:t xml:space="preserve"> </w:t>
      </w:r>
      <w:proofErr w:type="spellStart"/>
      <w:r w:rsidRPr="00EB3D2F" w:rsidR="00886CD8">
        <w:rPr>
          <w:rFonts w:eastAsia="Times New Roman"/>
        </w:rPr>
        <w:t>Inghilterra</w:t>
      </w:r>
      <w:proofErr w:type="spellEnd"/>
      <w:r w:rsidRPr="00EB3D2F" w:rsidR="00886CD8">
        <w:rPr>
          <w:rFonts w:eastAsia="Times New Roman"/>
        </w:rPr>
        <w:t xml:space="preserve">, </w:t>
      </w:r>
      <w:r>
        <w:rPr>
          <w:rFonts w:eastAsia="Times New Roman"/>
        </w:rPr>
        <w:t>« </w:t>
      </w:r>
      <w:r w:rsidRPr="00EB3D2F" w:rsidR="00886CD8">
        <w:rPr>
          <w:rFonts w:eastAsia="Times New Roman"/>
        </w:rPr>
        <w:t>Provocation à la discrimination et appel au boycott de produits étrangers</w:t>
      </w:r>
      <w:r>
        <w:rPr>
          <w:rFonts w:eastAsia="Times New Roman"/>
        </w:rPr>
        <w:t> :</w:t>
      </w:r>
      <w:r w:rsidRPr="00EB3D2F" w:rsidR="00886CD8">
        <w:rPr>
          <w:rFonts w:eastAsia="Times New Roman"/>
        </w:rPr>
        <w:t xml:space="preserve"> la Cour de cassation tranche le débat</w:t>
      </w:r>
      <w:r>
        <w:rPr>
          <w:rFonts w:eastAsia="Times New Roman"/>
        </w:rPr>
        <w:t> »</w:t>
      </w:r>
      <w:r w:rsidRPr="00EB3D2F" w:rsidR="00886CD8">
        <w:rPr>
          <w:rFonts w:eastAsia="Times New Roman"/>
        </w:rPr>
        <w:t xml:space="preserve">, (2015) </w:t>
      </w:r>
      <w:r w:rsidRPr="00EB3D2F" w:rsidR="00886CD8">
        <w:rPr>
          <w:rFonts w:eastAsia="Times New Roman"/>
          <w:i/>
        </w:rPr>
        <w:t>Actualités Droits-Libertés</w:t>
      </w:r>
      <w:r w:rsidRPr="00EB3D2F" w:rsidR="00886CD8">
        <w:rPr>
          <w:rFonts w:eastAsia="Times New Roman"/>
        </w:rPr>
        <w:t>)</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30</w:t>
      </w:r>
      <w:r w:rsidRPr="00EB3D2F">
        <w:rPr>
          <w:rFonts w:eastAsia="Times New Roman"/>
        </w:rPr>
        <w:fldChar w:fldCharType="end"/>
      </w:r>
      <w:r w:rsidRPr="00EB3D2F">
        <w:rPr>
          <w:rFonts w:eastAsia="Times New Roman"/>
        </w:rPr>
        <w:t>.  Je ne suggère pas que le fait que certaines procédures fondées sur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aient été classées sans suite ou que certains manifestants aient été acquittés et d</w:t>
      </w:r>
      <w:r w:rsidR="00062221">
        <w:rPr>
          <w:rFonts w:eastAsia="Times New Roman"/>
        </w:rPr>
        <w:t>’</w:t>
      </w:r>
      <w:r w:rsidRPr="00EB3D2F">
        <w:rPr>
          <w:rFonts w:eastAsia="Times New Roman"/>
        </w:rPr>
        <w:t>autres reconnus coupables constitue en soit la preuve d</w:t>
      </w:r>
      <w:r w:rsidR="00062221">
        <w:rPr>
          <w:rFonts w:eastAsia="Times New Roman"/>
        </w:rPr>
        <w:t>’</w:t>
      </w:r>
      <w:r w:rsidRPr="00EB3D2F">
        <w:rPr>
          <w:rFonts w:eastAsia="Times New Roman"/>
        </w:rPr>
        <w:t xml:space="preserve">un manque de prévisibilité au sens des </w:t>
      </w:r>
      <w:r w:rsidR="00565C93">
        <w:rPr>
          <w:rFonts w:eastAsia="Times New Roman"/>
        </w:rPr>
        <w:t>articles </w:t>
      </w:r>
      <w:r w:rsidRPr="00EB3D2F">
        <w:rPr>
          <w:rFonts w:eastAsia="Times New Roman"/>
        </w:rPr>
        <w:t xml:space="preserve">7 ou 10 </w:t>
      </w:r>
      <w:r w:rsidR="00565C93">
        <w:rPr>
          <w:rFonts w:eastAsia="Times New Roman"/>
        </w:rPr>
        <w:t>§ </w:t>
      </w:r>
      <w:r w:rsidRPr="00EB3D2F">
        <w:rPr>
          <w:rFonts w:eastAsia="Times New Roman"/>
        </w:rPr>
        <w:t>2 de la Convention. La Cour a déjà dit que le seul fait que d</w:t>
      </w:r>
      <w:r w:rsidR="00062221">
        <w:rPr>
          <w:rFonts w:eastAsia="Times New Roman"/>
        </w:rPr>
        <w:t>’</w:t>
      </w:r>
      <w:r w:rsidRPr="00EB3D2F">
        <w:rPr>
          <w:rFonts w:eastAsia="Times New Roman"/>
        </w:rPr>
        <w:t>autres personnes n</w:t>
      </w:r>
      <w:r w:rsidR="00062221">
        <w:rPr>
          <w:rFonts w:eastAsia="Times New Roman"/>
        </w:rPr>
        <w:t>’</w:t>
      </w:r>
      <w:r w:rsidRPr="00EB3D2F">
        <w:rPr>
          <w:rFonts w:eastAsia="Times New Roman"/>
        </w:rPr>
        <w:t>aient pas été poursuivies ou reconnues coupables ne saurait exonérer un requérant de sa responsabilité pénale ni rendre sa condamnation imprévisible aux fins de l</w:t>
      </w:r>
      <w:r w:rsidR="00062221">
        <w:rPr>
          <w:rFonts w:eastAsia="Times New Roman"/>
        </w:rPr>
        <w:t>’</w:t>
      </w:r>
      <w:r w:rsidR="00565C93">
        <w:rPr>
          <w:rFonts w:eastAsia="Times New Roman"/>
        </w:rPr>
        <w:t>article </w:t>
      </w:r>
      <w:r w:rsidRPr="00EB3D2F">
        <w:rPr>
          <w:rFonts w:eastAsia="Times New Roman"/>
        </w:rPr>
        <w:t>7 (</w:t>
      </w:r>
      <w:proofErr w:type="spellStart"/>
      <w:r w:rsidRPr="00EB3D2F">
        <w:rPr>
          <w:rFonts w:eastAsia="Times New Roman"/>
          <w:i/>
        </w:rPr>
        <w:t>Khodorkovskiy</w:t>
      </w:r>
      <w:proofErr w:type="spellEnd"/>
      <w:r w:rsidRPr="00EB3D2F">
        <w:rPr>
          <w:rFonts w:eastAsia="Times New Roman"/>
          <w:i/>
        </w:rPr>
        <w:t xml:space="preserve"> et </w:t>
      </w:r>
      <w:proofErr w:type="spellStart"/>
      <w:r w:rsidRPr="00EB3D2F">
        <w:rPr>
          <w:rFonts w:eastAsia="Times New Roman"/>
          <w:i/>
        </w:rPr>
        <w:t>Lebedev</w:t>
      </w:r>
      <w:proofErr w:type="spellEnd"/>
      <w:r w:rsidR="00565C93">
        <w:rPr>
          <w:rFonts w:eastAsia="Times New Roman"/>
        </w:rPr>
        <w:t xml:space="preserve"> </w:t>
      </w:r>
      <w:r w:rsidRPr="00062221" w:rsidR="00565C93">
        <w:rPr>
          <w:rFonts w:eastAsia="Times New Roman"/>
          <w:i/>
        </w:rPr>
        <w:t>c</w:t>
      </w:r>
      <w:r w:rsidR="00565C93">
        <w:rPr>
          <w:rFonts w:eastAsia="Times New Roman"/>
        </w:rPr>
        <w:t>. </w:t>
      </w:r>
      <w:r w:rsidRPr="00EB3D2F">
        <w:rPr>
          <w:rFonts w:eastAsia="Times New Roman"/>
          <w:i/>
        </w:rPr>
        <w:t>Russie</w:t>
      </w:r>
      <w:r w:rsidRPr="00EB3D2F">
        <w:rPr>
          <w:rFonts w:eastAsia="Times New Roman"/>
        </w:rPr>
        <w:t>, n</w:t>
      </w:r>
      <w:r w:rsidRPr="00EB3D2F">
        <w:rPr>
          <w:rFonts w:eastAsia="Times New Roman"/>
          <w:vertAlign w:val="superscript"/>
        </w:rPr>
        <w:t>os</w:t>
      </w:r>
      <w:r w:rsidR="008C3769">
        <w:rPr>
          <w:rFonts w:eastAsia="Times New Roman"/>
        </w:rPr>
        <w:t> </w:t>
      </w:r>
      <w:r w:rsidRPr="00EB3D2F">
        <w:rPr>
          <w:rFonts w:eastAsia="Times New Roman"/>
        </w:rPr>
        <w:t>11082/06 et 13772/05, §</w:t>
      </w:r>
      <w:r w:rsidR="00565C93">
        <w:rPr>
          <w:rFonts w:eastAsia="Times New Roman"/>
        </w:rPr>
        <w:t>§ </w:t>
      </w:r>
      <w:r w:rsidRPr="00EB3D2F">
        <w:rPr>
          <w:rFonts w:eastAsia="Times New Roman"/>
        </w:rPr>
        <w:t>816-820, 25</w:t>
      </w:r>
      <w:r w:rsidR="00565C93">
        <w:rPr>
          <w:rFonts w:eastAsia="Times New Roman"/>
        </w:rPr>
        <w:t> juillet</w:t>
      </w:r>
      <w:r w:rsidRPr="00EB3D2F">
        <w:rPr>
          <w:rFonts w:eastAsia="Times New Roman"/>
        </w:rPr>
        <w:t xml:space="preserve"> 2013). Cependant, ni les arrêts de la cour d</w:t>
      </w:r>
      <w:r w:rsidR="00062221">
        <w:rPr>
          <w:rFonts w:eastAsia="Times New Roman"/>
        </w:rPr>
        <w:t>’</w:t>
      </w:r>
      <w:r w:rsidRPr="00EB3D2F">
        <w:rPr>
          <w:rFonts w:eastAsia="Times New Roman"/>
        </w:rPr>
        <w:t>appel et de la Cour de cassation, ni les observations communiquées par le gouvernement défendeur dans la présente affaire ne laissent transparaître une quelconque preuve de l</w:t>
      </w:r>
      <w:r w:rsidR="00062221">
        <w:rPr>
          <w:rFonts w:eastAsia="Times New Roman"/>
        </w:rPr>
        <w:t>’</w:t>
      </w:r>
      <w:r w:rsidRPr="00EB3D2F">
        <w:rPr>
          <w:rFonts w:eastAsia="Times New Roman"/>
        </w:rPr>
        <w:t>existence, à l</w:t>
      </w:r>
      <w:r w:rsidR="00062221">
        <w:rPr>
          <w:rFonts w:eastAsia="Times New Roman"/>
        </w:rPr>
        <w:t>’</w:t>
      </w:r>
      <w:r w:rsidRPr="00EB3D2F">
        <w:rPr>
          <w:rFonts w:eastAsia="Times New Roman"/>
        </w:rPr>
        <w:t>époque des faits, d</w:t>
      </w:r>
      <w:r w:rsidR="00062221">
        <w:rPr>
          <w:rFonts w:eastAsia="Times New Roman"/>
        </w:rPr>
        <w:t>’</w:t>
      </w:r>
      <w:r w:rsidRPr="00EB3D2F">
        <w:rPr>
          <w:rFonts w:eastAsia="Times New Roman"/>
        </w:rPr>
        <w:t>une tendance perceptible dans l</w:t>
      </w:r>
      <w:r w:rsidR="00062221">
        <w:rPr>
          <w:rFonts w:eastAsia="Times New Roman"/>
        </w:rPr>
        <w:t>’</w:t>
      </w:r>
      <w:r w:rsidRPr="00EB3D2F">
        <w:rPr>
          <w:rFonts w:eastAsia="Times New Roman"/>
        </w:rPr>
        <w:t>évolution de la jurisprudence qui serait de nature à corroborer la décision de poursuivre et de condamner sur le fondement de l</w:t>
      </w:r>
      <w:r w:rsidR="00062221">
        <w:rPr>
          <w:rFonts w:eastAsia="Times New Roman"/>
        </w:rPr>
        <w:t>’</w:t>
      </w:r>
      <w:r w:rsidR="00565C93">
        <w:rPr>
          <w:rFonts w:eastAsia="Times New Roman"/>
        </w:rPr>
        <w:t>article </w:t>
      </w:r>
      <w:r w:rsidRPr="00EB3D2F" w:rsidR="001456F1">
        <w:rPr>
          <w:rFonts w:eastAsia="Times New Roman"/>
        </w:rPr>
        <w:t xml:space="preserve">24, </w:t>
      </w:r>
      <w:r w:rsidR="00F92E77">
        <w:rPr>
          <w:rFonts w:eastAsia="Times New Roman"/>
        </w:rPr>
        <w:t>alinéa </w:t>
      </w:r>
      <w:r w:rsidRPr="00EB3D2F" w:rsidR="001456F1">
        <w:rPr>
          <w:rFonts w:eastAsia="Times New Roman"/>
        </w:rPr>
        <w:t>8, de la loi du 29</w:t>
      </w:r>
      <w:r w:rsidR="00565C93">
        <w:rPr>
          <w:rFonts w:eastAsia="Times New Roman"/>
        </w:rPr>
        <w:t> juillet</w:t>
      </w:r>
      <w:r w:rsidRPr="00EB3D2F">
        <w:rPr>
          <w:rFonts w:eastAsia="Times New Roman"/>
        </w:rPr>
        <w:t xml:space="preserve"> 1881 des citoyens qui manifestaient sans violence (voir aussi </w:t>
      </w:r>
      <w:proofErr w:type="spellStart"/>
      <w:r w:rsidR="008C3769">
        <w:rPr>
          <w:rFonts w:eastAsia="Times New Roman"/>
          <w:i/>
        </w:rPr>
        <w:t>Pessino</w:t>
      </w:r>
      <w:proofErr w:type="spellEnd"/>
      <w:r w:rsidR="008C3769">
        <w:rPr>
          <w:rFonts w:eastAsia="Times New Roman"/>
          <w:i/>
        </w:rPr>
        <w:t xml:space="preserve"> </w:t>
      </w:r>
      <w:r w:rsidR="00565C93">
        <w:rPr>
          <w:rFonts w:eastAsia="Times New Roman"/>
          <w:i/>
        </w:rPr>
        <w:t>c. </w:t>
      </w:r>
      <w:r w:rsidRPr="00EB3D2F">
        <w:rPr>
          <w:rFonts w:eastAsia="Times New Roman"/>
          <w:i/>
        </w:rPr>
        <w:t>France</w:t>
      </w:r>
      <w:r w:rsidRPr="00EB3D2F">
        <w:rPr>
          <w:rFonts w:eastAsia="Times New Roman"/>
        </w:rPr>
        <w:t>, n</w:t>
      </w:r>
      <w:r w:rsidRPr="00565C93" w:rsidR="00565C93">
        <w:rPr>
          <w:rFonts w:eastAsia="Times New Roman"/>
          <w:vertAlign w:val="superscript"/>
        </w:rPr>
        <w:t>o</w:t>
      </w:r>
      <w:r w:rsidRPr="00565C93" w:rsidR="00565C93">
        <w:rPr>
          <w:rFonts w:eastAsia="Times New Roman"/>
        </w:rPr>
        <w:t> </w:t>
      </w:r>
      <w:r w:rsidRPr="00EB3D2F">
        <w:rPr>
          <w:rFonts w:eastAsia="Times New Roman"/>
        </w:rPr>
        <w:t>40403/02, §</w:t>
      </w:r>
      <w:r w:rsidR="00565C93">
        <w:rPr>
          <w:rFonts w:eastAsia="Times New Roman"/>
        </w:rPr>
        <w:t>§ </w:t>
      </w:r>
      <w:r w:rsidRPr="00EB3D2F">
        <w:rPr>
          <w:rFonts w:eastAsia="Times New Roman"/>
        </w:rPr>
        <w:t>34-36, 10</w:t>
      </w:r>
      <w:r w:rsidR="00565C93">
        <w:rPr>
          <w:rFonts w:eastAsia="Times New Roman"/>
        </w:rPr>
        <w:t> octobre</w:t>
      </w:r>
      <w:r w:rsidRPr="00EB3D2F">
        <w:rPr>
          <w:rFonts w:eastAsia="Times New Roman"/>
        </w:rPr>
        <w:t xml:space="preserve"> 2006, sur les questions d</w:t>
      </w:r>
      <w:r w:rsidR="00062221">
        <w:rPr>
          <w:rFonts w:eastAsia="Times New Roman"/>
        </w:rPr>
        <w:t>’</w:t>
      </w:r>
      <w:r w:rsidRPr="00EB3D2F">
        <w:rPr>
          <w:rFonts w:eastAsia="Times New Roman"/>
        </w:rPr>
        <w:t>accessibilité et de prévisibilité). Il apparaît en effet qu</w:t>
      </w:r>
      <w:r w:rsidR="00062221">
        <w:rPr>
          <w:rFonts w:eastAsia="Times New Roman"/>
        </w:rPr>
        <w:t>’</w:t>
      </w:r>
      <w:r w:rsidRPr="00EB3D2F">
        <w:rPr>
          <w:rFonts w:eastAsia="Times New Roman"/>
        </w:rPr>
        <w:t>à l</w:t>
      </w:r>
      <w:r w:rsidR="00062221">
        <w:rPr>
          <w:rFonts w:eastAsia="Times New Roman"/>
        </w:rPr>
        <w:t>’</w:t>
      </w:r>
      <w:r w:rsidRPr="00EB3D2F">
        <w:rPr>
          <w:rFonts w:eastAsia="Times New Roman"/>
        </w:rPr>
        <w:t>époque des faits, c</w:t>
      </w:r>
      <w:r w:rsidR="00062221">
        <w:rPr>
          <w:rFonts w:eastAsia="Times New Roman"/>
        </w:rPr>
        <w:t>’</w:t>
      </w:r>
      <w:r w:rsidRPr="00EB3D2F">
        <w:rPr>
          <w:rFonts w:eastAsia="Times New Roman"/>
        </w:rPr>
        <w:t xml:space="preserve">est-à-dire avant la diffusion de la circulaire </w:t>
      </w:r>
      <w:r w:rsidRPr="00EB3D2F">
        <w:rPr>
          <w:rFonts w:eastAsia="Times New Roman"/>
          <w:i/>
        </w:rPr>
        <w:t>Alliot-Marie</w:t>
      </w:r>
      <w:r w:rsidRPr="00EB3D2F">
        <w:rPr>
          <w:rFonts w:eastAsia="Times New Roman"/>
        </w:rPr>
        <w:t xml:space="preserve">, la </w:t>
      </w:r>
      <w:r w:rsidR="006A4DF1">
        <w:rPr>
          <w:rFonts w:eastAsia="Times New Roman"/>
        </w:rPr>
        <w:t>« </w:t>
      </w:r>
      <w:r w:rsidRPr="00EB3D2F">
        <w:rPr>
          <w:rFonts w:eastAsia="Times New Roman"/>
        </w:rPr>
        <w:t>tendance perceptible dans l</w:t>
      </w:r>
      <w:r w:rsidR="00062221">
        <w:rPr>
          <w:rFonts w:eastAsia="Times New Roman"/>
        </w:rPr>
        <w:t>’</w:t>
      </w:r>
      <w:r w:rsidRPr="00EB3D2F">
        <w:rPr>
          <w:rFonts w:eastAsia="Times New Roman"/>
        </w:rPr>
        <w:t>évolution de la jurisprudence</w:t>
      </w:r>
      <w:r w:rsidR="006A4DF1">
        <w:rPr>
          <w:rFonts w:eastAsia="Times New Roman"/>
        </w:rPr>
        <w:t> »</w:t>
      </w:r>
      <w:r w:rsidRPr="00EB3D2F">
        <w:rPr>
          <w:rFonts w:eastAsia="Times New Roman"/>
        </w:rPr>
        <w:t xml:space="preserve"> était la position adoptée par les juridictions de première instance qui avaient conclu que les éléments constitutifs du délit n</w:t>
      </w:r>
      <w:r w:rsidR="00062221">
        <w:rPr>
          <w:rFonts w:eastAsia="Times New Roman"/>
        </w:rPr>
        <w:t>’</w:t>
      </w:r>
      <w:r w:rsidRPr="00EB3D2F">
        <w:rPr>
          <w:rFonts w:eastAsia="Times New Roman"/>
        </w:rPr>
        <w:t>étaient pas réunis et que les poursuites fondées sur ces éléments étaient inadéquates. Il est possible que l</w:t>
      </w:r>
      <w:r w:rsidR="00062221">
        <w:rPr>
          <w:rFonts w:eastAsia="Times New Roman"/>
        </w:rPr>
        <w:t>’</w:t>
      </w:r>
      <w:r w:rsidRPr="00EB3D2F">
        <w:rPr>
          <w:rFonts w:eastAsia="Times New Roman"/>
        </w:rPr>
        <w:t>arrêt rendu par la Cour de cassation en 2015 ait finalement apporté des éclaircissements qui faisaient défaut (bien que l</w:t>
      </w:r>
      <w:r w:rsidR="00062221">
        <w:rPr>
          <w:rFonts w:eastAsia="Times New Roman"/>
        </w:rPr>
        <w:t>’</w:t>
      </w:r>
      <w:r w:rsidRPr="00EB3D2F">
        <w:rPr>
          <w:rFonts w:eastAsia="Times New Roman"/>
        </w:rPr>
        <w:t>absence de raisonnement concernant la question qui se posait sous l</w:t>
      </w:r>
      <w:r w:rsidR="00062221">
        <w:rPr>
          <w:rFonts w:eastAsia="Times New Roman"/>
        </w:rPr>
        <w:t>’</w:t>
      </w:r>
      <w:r w:rsidRPr="00EB3D2F">
        <w:rPr>
          <w:rFonts w:eastAsia="Times New Roman"/>
        </w:rPr>
        <w:t>angle de l</w:t>
      </w:r>
      <w:r w:rsidR="00062221">
        <w:rPr>
          <w:rFonts w:eastAsia="Times New Roman"/>
        </w:rPr>
        <w:t>’</w:t>
      </w:r>
      <w:r w:rsidR="00565C93">
        <w:rPr>
          <w:rFonts w:eastAsia="Times New Roman"/>
        </w:rPr>
        <w:t>article </w:t>
      </w:r>
      <w:r w:rsidRPr="00EB3D2F">
        <w:rPr>
          <w:rFonts w:eastAsia="Times New Roman"/>
        </w:rPr>
        <w:t>7 ait été à tout le moins regrettable). Pourtant, la Cour doit se placer au moment où les faits reprochés aux requérants se sont produits, c</w:t>
      </w:r>
      <w:r w:rsidR="00062221">
        <w:rPr>
          <w:rFonts w:eastAsia="Times New Roman"/>
        </w:rPr>
        <w:t>’</w:t>
      </w:r>
      <w:r w:rsidRPr="00EB3D2F">
        <w:rPr>
          <w:rFonts w:eastAsia="Times New Roman"/>
        </w:rPr>
        <w:t>est-à-dire en</w:t>
      </w:r>
      <w:r w:rsidR="00D77608">
        <w:rPr>
          <w:rFonts w:eastAsia="Times New Roman"/>
        </w:rPr>
        <w:t xml:space="preserve"> </w:t>
      </w:r>
      <w:r w:rsidR="00565C93">
        <w:rPr>
          <w:rFonts w:eastAsia="Times New Roman"/>
        </w:rPr>
        <w:t>septembre</w:t>
      </w:r>
      <w:r w:rsidRPr="00EB3D2F">
        <w:rPr>
          <w:rFonts w:eastAsia="Times New Roman"/>
        </w:rPr>
        <w:t xml:space="preserve"> 2009 et en</w:t>
      </w:r>
      <w:r w:rsidR="00D77608">
        <w:rPr>
          <w:rFonts w:eastAsia="Times New Roman"/>
        </w:rPr>
        <w:t xml:space="preserve"> </w:t>
      </w:r>
      <w:r w:rsidR="00565C93">
        <w:rPr>
          <w:rFonts w:eastAsia="Times New Roman"/>
        </w:rPr>
        <w:t xml:space="preserve">mai </w:t>
      </w:r>
      <w:r w:rsidRPr="00EB3D2F">
        <w:rPr>
          <w:rFonts w:eastAsia="Times New Roman"/>
        </w:rPr>
        <w:t>2010, pour apprécier la prévisibilité de la disposition litigieuse.</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31</w:t>
      </w:r>
      <w:r w:rsidRPr="00EB3D2F">
        <w:rPr>
          <w:rFonts w:eastAsia="Times New Roman"/>
        </w:rPr>
        <w:fldChar w:fldCharType="end"/>
      </w:r>
      <w:r w:rsidRPr="00EB3D2F">
        <w:rPr>
          <w:rFonts w:eastAsia="Times New Roman"/>
        </w:rPr>
        <w:t>.  Il est frappant que le gouvernement défendeur, s</w:t>
      </w:r>
      <w:r w:rsidR="00062221">
        <w:rPr>
          <w:rFonts w:eastAsia="Times New Roman"/>
        </w:rPr>
        <w:t>’</w:t>
      </w:r>
      <w:r w:rsidRPr="00EB3D2F">
        <w:rPr>
          <w:rFonts w:eastAsia="Times New Roman"/>
        </w:rPr>
        <w:t>appuyant sur les propos de l</w:t>
      </w:r>
      <w:r w:rsidR="00062221">
        <w:rPr>
          <w:rFonts w:eastAsia="Times New Roman"/>
        </w:rPr>
        <w:t>’</w:t>
      </w:r>
      <w:r w:rsidRPr="00EB3D2F">
        <w:rPr>
          <w:rFonts w:eastAsia="Times New Roman"/>
        </w:rPr>
        <w:t>avocat général près la Cour de cassation, se soit exprimé en ces termes à propos de l</w:t>
      </w:r>
      <w:r w:rsidR="00062221">
        <w:rPr>
          <w:rFonts w:eastAsia="Times New Roman"/>
        </w:rPr>
        <w:t>’</w:t>
      </w:r>
      <w:r w:rsidRPr="00EB3D2F">
        <w:rPr>
          <w:rFonts w:eastAsia="Times New Roman"/>
        </w:rPr>
        <w:t>action des requérants et des buts que ceux-ci visaient</w:t>
      </w:r>
      <w:r w:rsidR="006A4DF1">
        <w:rPr>
          <w:rFonts w:eastAsia="Times New Roman"/>
        </w:rPr>
        <w:t> :</w:t>
      </w:r>
    </w:p>
    <w:p w:rsidRPr="00EB3D2F" w:rsidR="00886CD8" w:rsidP="00EB3D2F" w:rsidRDefault="006A4DF1">
      <w:pPr>
        <w:pStyle w:val="JuQuot"/>
        <w:rPr>
          <w:rFonts w:eastAsia="Times New Roman"/>
        </w:rPr>
      </w:pPr>
      <w:r>
        <w:rPr>
          <w:rFonts w:eastAsia="Times New Roman"/>
        </w:rPr>
        <w:t>« </w:t>
      </w:r>
      <w:r w:rsidR="00371741">
        <w:rPr>
          <w:rFonts w:eastAsia="Times New Roman"/>
        </w:rPr>
        <w:t>[L]</w:t>
      </w:r>
      <w:r w:rsidRPr="00EB3D2F" w:rsidR="00886CD8">
        <w:rPr>
          <w:rFonts w:eastAsia="Times New Roman"/>
        </w:rPr>
        <w:t>e but de l</w:t>
      </w:r>
      <w:r w:rsidR="00062221">
        <w:rPr>
          <w:rFonts w:eastAsia="Times New Roman"/>
        </w:rPr>
        <w:t>’</w:t>
      </w:r>
      <w:r w:rsidRPr="00EB3D2F" w:rsidR="00886CD8">
        <w:rPr>
          <w:rFonts w:eastAsia="Times New Roman"/>
        </w:rPr>
        <w:t>action des requérants était d</w:t>
      </w:r>
      <w:r w:rsidR="00062221">
        <w:rPr>
          <w:rFonts w:eastAsia="Times New Roman"/>
        </w:rPr>
        <w:t>’</w:t>
      </w:r>
      <w:r w:rsidRPr="00EB3D2F" w:rsidR="00886CD8">
        <w:rPr>
          <w:rFonts w:eastAsia="Times New Roman"/>
        </w:rPr>
        <w:t>entraver l</w:t>
      </w:r>
      <w:r w:rsidR="00062221">
        <w:rPr>
          <w:rFonts w:eastAsia="Times New Roman"/>
        </w:rPr>
        <w:t>’</w:t>
      </w:r>
      <w:r w:rsidRPr="00EB3D2F" w:rsidR="00886CD8">
        <w:rPr>
          <w:rFonts w:eastAsia="Times New Roman"/>
        </w:rPr>
        <w:t>activité économique des producteurs et distributeurs, la baisse des achats de leurs produits ayant pour effet de pousser les magasins à ne plus contracter avec eux, rendant ainsi leur activité économique plus difficile. Ainsi les requérants voulaient, au soutien de leur cause, créer des conséquences économiques suffisamment graves pour que l</w:t>
      </w:r>
      <w:r w:rsidR="00062221">
        <w:rPr>
          <w:rFonts w:eastAsia="Times New Roman"/>
        </w:rPr>
        <w:t>’</w:t>
      </w:r>
      <w:r w:rsidRPr="00EB3D2F" w:rsidR="00886CD8">
        <w:rPr>
          <w:rFonts w:eastAsia="Times New Roman"/>
        </w:rPr>
        <w:t>État d</w:t>
      </w:r>
      <w:r w:rsidR="00062221">
        <w:rPr>
          <w:rFonts w:eastAsia="Times New Roman"/>
        </w:rPr>
        <w:t>’</w:t>
      </w:r>
      <w:r w:rsidRPr="00EB3D2F" w:rsidR="00886CD8">
        <w:rPr>
          <w:rFonts w:eastAsia="Times New Roman"/>
        </w:rPr>
        <w:t>Israël soit contraint de réagir.</w:t>
      </w:r>
      <w:r>
        <w:rPr>
          <w:rFonts w:eastAsia="Times New Roman"/>
        </w:rPr>
        <w:t> »</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32</w:t>
      </w:r>
      <w:r w:rsidRPr="00EB3D2F">
        <w:rPr>
          <w:rFonts w:eastAsia="Times New Roman"/>
        </w:rPr>
        <w:fldChar w:fldCharType="end"/>
      </w:r>
      <w:r w:rsidRPr="00EB3D2F">
        <w:rPr>
          <w:rFonts w:eastAsia="Times New Roman"/>
        </w:rPr>
        <w:t>.  Une disposition du code pénal, l</w:t>
      </w:r>
      <w:r w:rsidR="00062221">
        <w:rPr>
          <w:rFonts w:eastAsia="Times New Roman"/>
        </w:rPr>
        <w:t>’</w:t>
      </w:r>
      <w:r w:rsidR="00565C93">
        <w:rPr>
          <w:rFonts w:eastAsia="Times New Roman"/>
        </w:rPr>
        <w:t>article </w:t>
      </w:r>
      <w:r w:rsidRPr="00EB3D2F">
        <w:rPr>
          <w:rFonts w:eastAsia="Times New Roman"/>
        </w:rPr>
        <w:t>225-2, prévoyait spécifiquement la possibilité d</w:t>
      </w:r>
      <w:r w:rsidR="00062221">
        <w:rPr>
          <w:rFonts w:eastAsia="Times New Roman"/>
        </w:rPr>
        <w:t>’</w:t>
      </w:r>
      <w:r w:rsidRPr="00EB3D2F">
        <w:rPr>
          <w:rFonts w:eastAsia="Times New Roman"/>
        </w:rPr>
        <w:t>imposer à des personnes physiques ou morales des sanctions pénales pour discrimination économique si les éléments constitutifs du délit étaient réunis. À l</w:t>
      </w:r>
      <w:r w:rsidR="00062221">
        <w:rPr>
          <w:rFonts w:eastAsia="Times New Roman"/>
        </w:rPr>
        <w:t>’</w:t>
      </w:r>
      <w:r w:rsidRPr="00EB3D2F">
        <w:rPr>
          <w:rFonts w:eastAsia="Times New Roman"/>
        </w:rPr>
        <w:t>époque des faits, ce n</w:t>
      </w:r>
      <w:r w:rsidR="00062221">
        <w:rPr>
          <w:rFonts w:eastAsia="Times New Roman"/>
        </w:rPr>
        <w:t>’</w:t>
      </w:r>
      <w:r w:rsidRPr="00EB3D2F">
        <w:rPr>
          <w:rFonts w:eastAsia="Times New Roman"/>
        </w:rPr>
        <w:t>était pas le cas de l</w:t>
      </w:r>
      <w:r w:rsidR="00062221">
        <w:rPr>
          <w:rFonts w:eastAsia="Times New Roman"/>
        </w:rPr>
        <w:t>’</w:t>
      </w:r>
      <w:r w:rsidR="00565C93">
        <w:rPr>
          <w:rFonts w:eastAsia="Times New Roman"/>
        </w:rPr>
        <w:t>article </w:t>
      </w:r>
      <w:r w:rsidRPr="00EB3D2F">
        <w:rPr>
          <w:rFonts w:eastAsia="Times New Roman"/>
        </w:rPr>
        <w:t xml:space="preserve">24, </w:t>
      </w:r>
      <w:r w:rsidR="00F92E77">
        <w:rPr>
          <w:rFonts w:eastAsia="Times New Roman"/>
        </w:rPr>
        <w:t>alinéa </w:t>
      </w:r>
      <w:r w:rsidRPr="00EB3D2F">
        <w:rPr>
          <w:rFonts w:eastAsia="Times New Roman"/>
        </w:rPr>
        <w:t>8, de la loi du 29</w:t>
      </w:r>
      <w:r w:rsidR="00565C93">
        <w:rPr>
          <w:rFonts w:eastAsia="Times New Roman"/>
        </w:rPr>
        <w:t> juillet</w:t>
      </w:r>
      <w:r w:rsidRPr="00EB3D2F">
        <w:rPr>
          <w:rFonts w:eastAsia="Times New Roman"/>
        </w:rPr>
        <w:t xml:space="preserve"> 1881 (voir aussi l</w:t>
      </w:r>
      <w:r w:rsidR="00062221">
        <w:rPr>
          <w:rFonts w:eastAsia="Times New Roman"/>
        </w:rPr>
        <w:t>’</w:t>
      </w:r>
      <w:r w:rsidRPr="00EB3D2F">
        <w:rPr>
          <w:rFonts w:eastAsia="Times New Roman"/>
        </w:rPr>
        <w:t xml:space="preserve">opinion dissidente du juge </w:t>
      </w:r>
      <w:proofErr w:type="spellStart"/>
      <w:r w:rsidRPr="00EB3D2F">
        <w:rPr>
          <w:rFonts w:eastAsia="Times New Roman"/>
        </w:rPr>
        <w:t>Jungwiert</w:t>
      </w:r>
      <w:proofErr w:type="spellEnd"/>
      <w:r w:rsidRPr="00EB3D2F">
        <w:rPr>
          <w:rFonts w:eastAsia="Times New Roman"/>
        </w:rPr>
        <w:t xml:space="preserve"> dans </w:t>
      </w:r>
      <w:r w:rsidRPr="00EB3D2F">
        <w:rPr>
          <w:rFonts w:eastAsia="Times New Roman"/>
          <w:i/>
        </w:rPr>
        <w:t>Willem</w:t>
      </w:r>
      <w:r w:rsidRPr="00EB3D2F">
        <w:rPr>
          <w:rFonts w:eastAsia="Times New Roman"/>
        </w:rPr>
        <w:t>, précité).</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33</w:t>
      </w:r>
      <w:r w:rsidRPr="00EB3D2F">
        <w:rPr>
          <w:rFonts w:eastAsia="Times New Roman"/>
        </w:rPr>
        <w:fldChar w:fldCharType="end"/>
      </w:r>
      <w:r w:rsidRPr="00EB3D2F">
        <w:rPr>
          <w:rFonts w:eastAsia="Times New Roman"/>
        </w:rPr>
        <w:t>.  Enfin, que l</w:t>
      </w:r>
      <w:r w:rsidR="00062221">
        <w:rPr>
          <w:rFonts w:eastAsia="Times New Roman"/>
        </w:rPr>
        <w:t>’</w:t>
      </w:r>
      <w:r w:rsidRPr="00EB3D2F">
        <w:rPr>
          <w:rFonts w:eastAsia="Times New Roman"/>
        </w:rPr>
        <w:t>on souscrive ou non au raisonnement suivi par la Cour dans l</w:t>
      </w:r>
      <w:r w:rsidR="00062221">
        <w:rPr>
          <w:rFonts w:eastAsia="Times New Roman"/>
        </w:rPr>
        <w:t>’</w:t>
      </w:r>
      <w:r w:rsidRPr="00EB3D2F">
        <w:rPr>
          <w:rFonts w:eastAsia="Times New Roman"/>
        </w:rPr>
        <w:t xml:space="preserve">arrêt </w:t>
      </w:r>
      <w:r w:rsidRPr="00EB3D2F">
        <w:rPr>
          <w:rFonts w:eastAsia="Times New Roman"/>
          <w:i/>
        </w:rPr>
        <w:t xml:space="preserve">Willem </w:t>
      </w:r>
      <w:r w:rsidRPr="00EB3D2F">
        <w:rPr>
          <w:rFonts w:eastAsia="Times New Roman"/>
        </w:rPr>
        <w:t>(voir ci-dessous relativement à l</w:t>
      </w:r>
      <w:r w:rsidR="00062221">
        <w:rPr>
          <w:rFonts w:eastAsia="Times New Roman"/>
        </w:rPr>
        <w:t>’</w:t>
      </w:r>
      <w:r w:rsidR="00565C93">
        <w:rPr>
          <w:rFonts w:eastAsia="Times New Roman"/>
        </w:rPr>
        <w:t>article </w:t>
      </w:r>
      <w:r w:rsidRPr="00EB3D2F">
        <w:rPr>
          <w:rFonts w:eastAsia="Times New Roman"/>
        </w:rPr>
        <w:t>10), le statut du requérant dans cette affaire et l</w:t>
      </w:r>
      <w:r w:rsidR="00062221">
        <w:rPr>
          <w:rFonts w:eastAsia="Times New Roman"/>
        </w:rPr>
        <w:t>’</w:t>
      </w:r>
      <w:r w:rsidRPr="00EB3D2F">
        <w:rPr>
          <w:rFonts w:eastAsia="Times New Roman"/>
        </w:rPr>
        <w:t>impact de ses actes différaient de ceux des manifestants en l</w:t>
      </w:r>
      <w:r w:rsidR="00062221">
        <w:rPr>
          <w:rFonts w:eastAsia="Times New Roman"/>
        </w:rPr>
        <w:t>’</w:t>
      </w:r>
      <w:r w:rsidRPr="00EB3D2F">
        <w:rPr>
          <w:rFonts w:eastAsia="Times New Roman"/>
        </w:rPr>
        <w:t>espèce. Ceux-ci n</w:t>
      </w:r>
      <w:r w:rsidR="00062221">
        <w:rPr>
          <w:rFonts w:eastAsia="Times New Roman"/>
        </w:rPr>
        <w:t>’</w:t>
      </w:r>
      <w:r w:rsidRPr="00EB3D2F">
        <w:rPr>
          <w:rFonts w:eastAsia="Times New Roman"/>
        </w:rPr>
        <w:t>avaient en effet aucun pouvoir sur les clients de l</w:t>
      </w:r>
      <w:r w:rsidR="00062221">
        <w:rPr>
          <w:rFonts w:eastAsia="Times New Roman"/>
        </w:rPr>
        <w:t>’</w:t>
      </w:r>
      <w:r w:rsidRPr="00EB3D2F">
        <w:rPr>
          <w:rFonts w:eastAsia="Times New Roman"/>
        </w:rPr>
        <w:t>hypermarché qu</w:t>
      </w:r>
      <w:r w:rsidR="00062221">
        <w:rPr>
          <w:rFonts w:eastAsia="Times New Roman"/>
        </w:rPr>
        <w:t>’</w:t>
      </w:r>
      <w:r w:rsidRPr="00EB3D2F">
        <w:rPr>
          <w:rFonts w:eastAsia="Times New Roman"/>
        </w:rPr>
        <w:t>ils interpellaient ni aucun moyen de décider de la manière dont ceux-ci dépensaient le budget de leur ménage. Comme indiqué précédemment, le statut d</w:t>
      </w:r>
      <w:r w:rsidR="00062221">
        <w:rPr>
          <w:rFonts w:eastAsia="Times New Roman"/>
        </w:rPr>
        <w:t>’</w:t>
      </w:r>
      <w:r w:rsidRPr="00EB3D2F">
        <w:rPr>
          <w:rFonts w:eastAsia="Times New Roman"/>
        </w:rPr>
        <w:t>un requérant constitue un critère clé lorsqu</w:t>
      </w:r>
      <w:r w:rsidR="00062221">
        <w:rPr>
          <w:rFonts w:eastAsia="Times New Roman"/>
        </w:rPr>
        <w:t>’</w:t>
      </w:r>
      <w:r w:rsidRPr="00EB3D2F">
        <w:rPr>
          <w:rFonts w:eastAsia="Times New Roman"/>
        </w:rPr>
        <w:t>il s</w:t>
      </w:r>
      <w:r w:rsidR="00062221">
        <w:rPr>
          <w:rFonts w:eastAsia="Times New Roman"/>
        </w:rPr>
        <w:t>’</w:t>
      </w:r>
      <w:r w:rsidRPr="00EB3D2F">
        <w:rPr>
          <w:rFonts w:eastAsia="Times New Roman"/>
        </w:rPr>
        <w:t>agit d</w:t>
      </w:r>
      <w:r w:rsidR="00062221">
        <w:rPr>
          <w:rFonts w:eastAsia="Times New Roman"/>
        </w:rPr>
        <w:t>’</w:t>
      </w:r>
      <w:r w:rsidRPr="00EB3D2F">
        <w:rPr>
          <w:rFonts w:eastAsia="Times New Roman"/>
        </w:rPr>
        <w:t>apprécier la prévisibilité d</w:t>
      </w:r>
      <w:r w:rsidR="00062221">
        <w:rPr>
          <w:rFonts w:eastAsia="Times New Roman"/>
        </w:rPr>
        <w:t>’</w:t>
      </w:r>
      <w:r w:rsidRPr="00EB3D2F">
        <w:rPr>
          <w:rFonts w:eastAsia="Times New Roman"/>
        </w:rPr>
        <w:t>une loi. Dans une autre affaire française qui portait sur la loi du 29</w:t>
      </w:r>
      <w:r w:rsidR="00565C93">
        <w:rPr>
          <w:rFonts w:eastAsia="Times New Roman"/>
        </w:rPr>
        <w:t> juillet</w:t>
      </w:r>
      <w:r w:rsidRPr="00EB3D2F">
        <w:rPr>
          <w:rFonts w:eastAsia="Times New Roman"/>
        </w:rPr>
        <w:t xml:space="preserve"> 1881 (</w:t>
      </w:r>
      <w:proofErr w:type="spellStart"/>
      <w:r w:rsidRPr="00EB3D2F">
        <w:rPr>
          <w:rFonts w:eastAsia="Times New Roman"/>
          <w:i/>
        </w:rPr>
        <w:t>Lindon</w:t>
      </w:r>
      <w:proofErr w:type="spellEnd"/>
      <w:r w:rsidRPr="00EB3D2F">
        <w:rPr>
          <w:rFonts w:eastAsia="Times New Roman"/>
          <w:i/>
        </w:rPr>
        <w:t xml:space="preserve">, </w:t>
      </w:r>
      <w:proofErr w:type="spellStart"/>
      <w:r w:rsidRPr="00EB3D2F">
        <w:rPr>
          <w:rFonts w:eastAsia="Times New Roman"/>
          <w:i/>
        </w:rPr>
        <w:t>Otchakovsky</w:t>
      </w:r>
      <w:proofErr w:type="spellEnd"/>
      <w:r w:rsidRPr="00EB3D2F">
        <w:rPr>
          <w:rFonts w:eastAsia="Times New Roman"/>
          <w:i/>
        </w:rPr>
        <w:t>-Laurens et July</w:t>
      </w:r>
      <w:r w:rsidR="00565C93">
        <w:rPr>
          <w:rFonts w:eastAsia="Times New Roman"/>
          <w:i/>
        </w:rPr>
        <w:t xml:space="preserve"> c. </w:t>
      </w:r>
      <w:r w:rsidRPr="00EB3D2F">
        <w:rPr>
          <w:rFonts w:eastAsia="Times New Roman"/>
          <w:i/>
        </w:rPr>
        <w:t>France</w:t>
      </w:r>
      <w:r w:rsidRPr="00EB3D2F">
        <w:rPr>
          <w:rFonts w:eastAsia="Times New Roman"/>
        </w:rPr>
        <w:t xml:space="preserve"> [GC], n</w:t>
      </w:r>
      <w:r w:rsidRPr="00EB3D2F">
        <w:rPr>
          <w:rFonts w:eastAsia="Times New Roman"/>
          <w:vertAlign w:val="superscript"/>
        </w:rPr>
        <w:t>os</w:t>
      </w:r>
      <w:r w:rsidRPr="00EB3D2F">
        <w:rPr>
          <w:rFonts w:eastAsia="Times New Roman"/>
        </w:rPr>
        <w:t xml:space="preserve"> 21279/02 et 36448/02, §</w:t>
      </w:r>
      <w:r w:rsidR="00565C93">
        <w:rPr>
          <w:rFonts w:eastAsia="Times New Roman"/>
        </w:rPr>
        <w:t>§ </w:t>
      </w:r>
      <w:r w:rsidRPr="00EB3D2F">
        <w:rPr>
          <w:rFonts w:eastAsia="Times New Roman"/>
        </w:rPr>
        <w:t>41</w:t>
      </w:r>
      <w:r w:rsidRPr="00EB3D2F">
        <w:rPr>
          <w:rFonts w:eastAsia="Times New Roman"/>
        </w:rPr>
        <w:noBreakHyphen/>
        <w:t>43, CEDH 2007</w:t>
      </w:r>
      <w:r w:rsidRPr="00EB3D2F">
        <w:rPr>
          <w:rFonts w:eastAsia="Times New Roman"/>
        </w:rPr>
        <w:noBreakHyphen/>
        <w:t xml:space="preserve">IV), la Cour, après avoir relevé que la jurisprudence sur le point litigieux apparaissait </w:t>
      </w:r>
      <w:r w:rsidR="006A4DF1">
        <w:rPr>
          <w:rFonts w:eastAsia="Times New Roman"/>
        </w:rPr>
        <w:t>« </w:t>
      </w:r>
      <w:r w:rsidRPr="00EB3D2F">
        <w:rPr>
          <w:rFonts w:eastAsia="Times New Roman"/>
        </w:rPr>
        <w:t>ancienne et peu abondante</w:t>
      </w:r>
      <w:r w:rsidR="006A4DF1">
        <w:rPr>
          <w:rFonts w:eastAsia="Times New Roman"/>
        </w:rPr>
        <w:t> »</w:t>
      </w:r>
      <w:r w:rsidRPr="00EB3D2F">
        <w:rPr>
          <w:rFonts w:eastAsia="Times New Roman"/>
        </w:rPr>
        <w:t>, avait insisté sur le statut professionnel des requérants en question et sur l</w:t>
      </w:r>
      <w:r w:rsidR="00062221">
        <w:rPr>
          <w:rFonts w:eastAsia="Times New Roman"/>
        </w:rPr>
        <w:t>’</w:t>
      </w:r>
      <w:r w:rsidRPr="00EB3D2F">
        <w:rPr>
          <w:rFonts w:eastAsia="Times New Roman"/>
        </w:rPr>
        <w:t>obligation que ce statut leur faisait d</w:t>
      </w:r>
      <w:r w:rsidR="00062221">
        <w:rPr>
          <w:rFonts w:eastAsia="Times New Roman"/>
        </w:rPr>
        <w:t>’</w:t>
      </w:r>
      <w:r w:rsidRPr="00EB3D2F">
        <w:rPr>
          <w:rFonts w:eastAsia="Times New Roman"/>
        </w:rPr>
        <w:t>être au fait des dispositions légales pertinentes et de la jurisprudence, et elle avait conclu qu</w:t>
      </w:r>
      <w:r w:rsidR="00062221">
        <w:rPr>
          <w:rFonts w:eastAsia="Times New Roman"/>
        </w:rPr>
        <w:t>’</w:t>
      </w:r>
      <w:r w:rsidRPr="00EB3D2F">
        <w:rPr>
          <w:rFonts w:eastAsia="Times New Roman"/>
        </w:rPr>
        <w:t>il y avait eu non-violation. En l</w:t>
      </w:r>
      <w:r w:rsidR="00062221">
        <w:rPr>
          <w:rFonts w:eastAsia="Times New Roman"/>
        </w:rPr>
        <w:t>’</w:t>
      </w:r>
      <w:r w:rsidRPr="00EB3D2F">
        <w:rPr>
          <w:rFonts w:eastAsia="Times New Roman"/>
        </w:rPr>
        <w:t>espèce, même si les requérants avaient pris conseil auprès de professionnels du droit, je ne vois pas comment eux-mêmes ou leurs avocats auraient pu prévoir, à l</w:t>
      </w:r>
      <w:r w:rsidR="00062221">
        <w:rPr>
          <w:rFonts w:eastAsia="Times New Roman"/>
        </w:rPr>
        <w:t>’</w:t>
      </w:r>
      <w:r w:rsidRPr="00EB3D2F">
        <w:rPr>
          <w:rFonts w:eastAsia="Times New Roman"/>
        </w:rPr>
        <w:t>époque, que les juridictions internes interpréteraient de la sorte la disposition litigieuse de la loi du 29</w:t>
      </w:r>
      <w:r w:rsidR="00565C93">
        <w:rPr>
          <w:rFonts w:eastAsia="Times New Roman"/>
        </w:rPr>
        <w:t> juillet</w:t>
      </w:r>
      <w:r w:rsidRPr="00EB3D2F">
        <w:rPr>
          <w:rFonts w:eastAsia="Times New Roman"/>
        </w:rPr>
        <w:t xml:space="preserve"> 1881 et en élargiraient la portée pour inclure les actes de discrimination économique commis par des citoyens protestataires.</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34</w:t>
      </w:r>
      <w:r w:rsidRPr="00EB3D2F">
        <w:rPr>
          <w:rFonts w:eastAsia="Times New Roman"/>
        </w:rPr>
        <w:fldChar w:fldCharType="end"/>
      </w:r>
      <w:r w:rsidRPr="00EB3D2F">
        <w:rPr>
          <w:rFonts w:eastAsia="Times New Roman"/>
        </w:rPr>
        <w:t>.  C</w:t>
      </w:r>
      <w:r w:rsidR="00062221">
        <w:rPr>
          <w:rFonts w:eastAsia="Times New Roman"/>
        </w:rPr>
        <w:t>’</w:t>
      </w:r>
      <w:r w:rsidRPr="00EB3D2F">
        <w:rPr>
          <w:rFonts w:eastAsia="Times New Roman"/>
        </w:rPr>
        <w:t>est pour ces raisons – auxquelles s</w:t>
      </w:r>
      <w:r w:rsidR="00062221">
        <w:rPr>
          <w:rFonts w:eastAsia="Times New Roman"/>
        </w:rPr>
        <w:t>’</w:t>
      </w:r>
      <w:r w:rsidRPr="00EB3D2F">
        <w:rPr>
          <w:rFonts w:eastAsia="Times New Roman"/>
        </w:rPr>
        <w:t>ajoute le fait que la Cour de cassation n</w:t>
      </w:r>
      <w:r w:rsidR="00062221">
        <w:rPr>
          <w:rFonts w:eastAsia="Times New Roman"/>
        </w:rPr>
        <w:t>’</w:t>
      </w:r>
      <w:r w:rsidRPr="00EB3D2F">
        <w:rPr>
          <w:rFonts w:eastAsia="Times New Roman"/>
        </w:rPr>
        <w:t>ait pas examiné le grief que les requérants avaient tiré de l</w:t>
      </w:r>
      <w:r w:rsidR="00062221">
        <w:rPr>
          <w:rFonts w:eastAsia="Times New Roman"/>
        </w:rPr>
        <w:t>’</w:t>
      </w:r>
      <w:r w:rsidR="00565C93">
        <w:rPr>
          <w:rFonts w:eastAsia="Times New Roman"/>
        </w:rPr>
        <w:t>article </w:t>
      </w:r>
      <w:r w:rsidRPr="00EB3D2F">
        <w:rPr>
          <w:rFonts w:eastAsia="Times New Roman"/>
        </w:rPr>
        <w:t>7 – que je me vois dans l</w:t>
      </w:r>
      <w:r w:rsidR="00062221">
        <w:rPr>
          <w:rFonts w:eastAsia="Times New Roman"/>
        </w:rPr>
        <w:t>’</w:t>
      </w:r>
      <w:r w:rsidRPr="00EB3D2F">
        <w:rPr>
          <w:rFonts w:eastAsia="Times New Roman"/>
        </w:rPr>
        <w:t>impossibilité de voter en faveur d</w:t>
      </w:r>
      <w:r w:rsidR="00062221">
        <w:rPr>
          <w:rFonts w:eastAsia="Times New Roman"/>
        </w:rPr>
        <w:t>’</w:t>
      </w:r>
      <w:r w:rsidRPr="00EB3D2F">
        <w:rPr>
          <w:rFonts w:eastAsia="Times New Roman"/>
        </w:rPr>
        <w:t xml:space="preserve">un constat de non-violation de cet </w:t>
      </w:r>
      <w:r w:rsidR="00565C93">
        <w:rPr>
          <w:rFonts w:eastAsia="Times New Roman"/>
        </w:rPr>
        <w:t>article </w:t>
      </w:r>
      <w:r w:rsidRPr="00EB3D2F">
        <w:rPr>
          <w:rFonts w:eastAsia="Times New Roman"/>
        </w:rPr>
        <w:t>de la Convention dans la présente affaire.</w:t>
      </w:r>
    </w:p>
    <w:p w:rsidRPr="00062221" w:rsidR="00886CD8" w:rsidP="00BB242D" w:rsidRDefault="00A113C0">
      <w:pPr>
        <w:pStyle w:val="JuHIRoman"/>
        <w:rPr>
          <w:lang w:val="fr-FR"/>
        </w:rPr>
      </w:pPr>
      <w:r w:rsidRPr="00062221">
        <w:rPr>
          <w:lang w:val="fr-FR"/>
        </w:rPr>
        <w:t>Le droit français, tel qu</w:t>
      </w:r>
      <w:r w:rsidRPr="00062221" w:rsidR="00062221">
        <w:rPr>
          <w:lang w:val="fr-FR"/>
        </w:rPr>
        <w:t>’</w:t>
      </w:r>
      <w:r w:rsidRPr="00062221">
        <w:rPr>
          <w:lang w:val="fr-FR"/>
        </w:rPr>
        <w:t>interprété et appliqué en l</w:t>
      </w:r>
      <w:r w:rsidRPr="00062221" w:rsidR="00062221">
        <w:rPr>
          <w:lang w:val="fr-FR"/>
        </w:rPr>
        <w:t>’</w:t>
      </w:r>
      <w:r w:rsidRPr="00062221">
        <w:rPr>
          <w:lang w:val="fr-FR"/>
        </w:rPr>
        <w:t>espèce par les juridictions internes, emporte violation de l</w:t>
      </w:r>
      <w:r w:rsidRPr="00062221" w:rsidR="00062221">
        <w:rPr>
          <w:lang w:val="fr-FR"/>
        </w:rPr>
        <w:t>’</w:t>
      </w:r>
      <w:r w:rsidRPr="00062221">
        <w:rPr>
          <w:lang w:val="fr-FR"/>
        </w:rPr>
        <w:t>article </w:t>
      </w:r>
      <w:r w:rsidRPr="00062221" w:rsidR="00886CD8">
        <w:rPr>
          <w:lang w:val="fr-FR"/>
        </w:rPr>
        <w:t>10</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35</w:t>
      </w:r>
      <w:r w:rsidRPr="00EB3D2F">
        <w:rPr>
          <w:rFonts w:eastAsia="Times New Roman"/>
        </w:rPr>
        <w:fldChar w:fldCharType="end"/>
      </w:r>
      <w:r w:rsidRPr="00EB3D2F">
        <w:rPr>
          <w:rFonts w:eastAsia="Times New Roman"/>
        </w:rPr>
        <w:t>.  La chambre a conclu à l</w:t>
      </w:r>
      <w:r w:rsidR="00062221">
        <w:rPr>
          <w:rFonts w:eastAsia="Times New Roman"/>
        </w:rPr>
        <w:t>’</w:t>
      </w:r>
      <w:r w:rsidRPr="00EB3D2F">
        <w:rPr>
          <w:rFonts w:eastAsia="Times New Roman"/>
        </w:rPr>
        <w:t>unanimité à une violation de l</w:t>
      </w:r>
      <w:r w:rsidR="00062221">
        <w:rPr>
          <w:rFonts w:eastAsia="Times New Roman"/>
        </w:rPr>
        <w:t>’</w:t>
      </w:r>
      <w:r w:rsidR="00565C93">
        <w:rPr>
          <w:rFonts w:eastAsia="Times New Roman"/>
        </w:rPr>
        <w:t>article </w:t>
      </w:r>
      <w:r w:rsidRPr="00EB3D2F">
        <w:rPr>
          <w:rFonts w:eastAsia="Times New Roman"/>
        </w:rPr>
        <w:t>10 de la Convention compte tenu des circonstances de l</w:t>
      </w:r>
      <w:r w:rsidR="00062221">
        <w:rPr>
          <w:rFonts w:eastAsia="Times New Roman"/>
        </w:rPr>
        <w:t>’</w:t>
      </w:r>
      <w:r w:rsidRPr="00EB3D2F">
        <w:rPr>
          <w:rFonts w:eastAsia="Times New Roman"/>
        </w:rPr>
        <w:t>espèce.</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36</w:t>
      </w:r>
      <w:r w:rsidRPr="00EB3D2F">
        <w:rPr>
          <w:rFonts w:eastAsia="Times New Roman"/>
        </w:rPr>
        <w:fldChar w:fldCharType="end"/>
      </w:r>
      <w:r w:rsidRPr="00EB3D2F">
        <w:rPr>
          <w:rFonts w:eastAsia="Times New Roman"/>
        </w:rPr>
        <w:t>.  Aux fins de l</w:t>
      </w:r>
      <w:r w:rsidR="00062221">
        <w:rPr>
          <w:rFonts w:eastAsia="Times New Roman"/>
        </w:rPr>
        <w:t>’</w:t>
      </w:r>
      <w:r w:rsidRPr="00EB3D2F">
        <w:rPr>
          <w:rFonts w:eastAsia="Times New Roman"/>
        </w:rPr>
        <w:t>examen de la question juridique qui se posait sur le terrain de l</w:t>
      </w:r>
      <w:r w:rsidR="00062221">
        <w:rPr>
          <w:rFonts w:eastAsia="Times New Roman"/>
        </w:rPr>
        <w:t>’</w:t>
      </w:r>
      <w:r w:rsidR="00565C93">
        <w:rPr>
          <w:rFonts w:eastAsia="Times New Roman"/>
        </w:rPr>
        <w:t>article </w:t>
      </w:r>
      <w:r w:rsidRPr="00EB3D2F">
        <w:rPr>
          <w:rFonts w:eastAsia="Times New Roman"/>
        </w:rPr>
        <w:t>10, la chambre aurait pu considérer le cas d</w:t>
      </w:r>
      <w:r w:rsidR="00062221">
        <w:rPr>
          <w:rFonts w:eastAsia="Times New Roman"/>
        </w:rPr>
        <w:t>’</w:t>
      </w:r>
      <w:r w:rsidRPr="00EB3D2F">
        <w:rPr>
          <w:rFonts w:eastAsia="Times New Roman"/>
        </w:rPr>
        <w:t>espèce de trois façons différentes</w:t>
      </w:r>
      <w:r w:rsidR="006A4DF1">
        <w:rPr>
          <w:rFonts w:eastAsia="Times New Roman"/>
        </w:rPr>
        <w:t> :</w:t>
      </w:r>
      <w:r w:rsidRPr="00EB3D2F">
        <w:rPr>
          <w:rFonts w:eastAsia="Times New Roman"/>
        </w:rPr>
        <w:t xml:space="preserve"> a)</w:t>
      </w:r>
      <w:r w:rsidR="00827A40">
        <w:rPr>
          <w:rFonts w:eastAsia="Times New Roman"/>
        </w:rPr>
        <w:t> </w:t>
      </w:r>
      <w:r w:rsidRPr="00EB3D2F">
        <w:rPr>
          <w:rFonts w:eastAsia="Times New Roman"/>
        </w:rPr>
        <w:t>comme une affaire classique relative à l</w:t>
      </w:r>
      <w:r w:rsidR="00062221">
        <w:rPr>
          <w:rFonts w:eastAsia="Times New Roman"/>
        </w:rPr>
        <w:t>’</w:t>
      </w:r>
      <w:r w:rsidR="00565C93">
        <w:rPr>
          <w:rFonts w:eastAsia="Times New Roman"/>
        </w:rPr>
        <w:t>article </w:t>
      </w:r>
      <w:r w:rsidRPr="00EB3D2F">
        <w:rPr>
          <w:rFonts w:eastAsia="Times New Roman"/>
        </w:rPr>
        <w:t>10, b)</w:t>
      </w:r>
      <w:r w:rsidR="00827A40">
        <w:rPr>
          <w:rFonts w:eastAsia="Times New Roman"/>
        </w:rPr>
        <w:t> </w:t>
      </w:r>
      <w:r w:rsidRPr="00EB3D2F">
        <w:rPr>
          <w:rFonts w:eastAsia="Times New Roman"/>
        </w:rPr>
        <w:t>comme une affaire d</w:t>
      </w:r>
      <w:r w:rsidR="00062221">
        <w:rPr>
          <w:rFonts w:eastAsia="Times New Roman"/>
        </w:rPr>
        <w:t>’</w:t>
      </w:r>
      <w:r w:rsidRPr="00EB3D2F">
        <w:rPr>
          <w:rFonts w:eastAsia="Times New Roman"/>
        </w:rPr>
        <w:t>appel au boycott (en recherchant si pareille pratique constitue un acte d</w:t>
      </w:r>
      <w:r w:rsidR="00062221">
        <w:rPr>
          <w:rFonts w:eastAsia="Times New Roman"/>
        </w:rPr>
        <w:t>’</w:t>
      </w:r>
      <w:r w:rsidRPr="00EB3D2F">
        <w:rPr>
          <w:rFonts w:eastAsia="Times New Roman"/>
        </w:rPr>
        <w:t>expression et, dans l</w:t>
      </w:r>
      <w:r w:rsidR="00062221">
        <w:rPr>
          <w:rFonts w:eastAsia="Times New Roman"/>
        </w:rPr>
        <w:t>’</w:t>
      </w:r>
      <w:r w:rsidRPr="00EB3D2F">
        <w:rPr>
          <w:rFonts w:eastAsia="Times New Roman"/>
        </w:rPr>
        <w:t>affirmative, en en déterminant la nature) ou c)</w:t>
      </w:r>
      <w:r w:rsidR="00827A40">
        <w:rPr>
          <w:rFonts w:eastAsia="Times New Roman"/>
        </w:rPr>
        <w:t> </w:t>
      </w:r>
      <w:r w:rsidRPr="00EB3D2F">
        <w:rPr>
          <w:rFonts w:eastAsia="Times New Roman"/>
        </w:rPr>
        <w:t>comme une affaire portant sur les appels au boycott lancés par le mouvement BDS en particulier. La difficulté que certains peuvent éprouver avec cet arrêt réside dans le fait qu</w:t>
      </w:r>
      <w:r w:rsidR="00062221">
        <w:rPr>
          <w:rFonts w:eastAsia="Times New Roman"/>
        </w:rPr>
        <w:t>’</w:t>
      </w:r>
      <w:r w:rsidRPr="00EB3D2F">
        <w:rPr>
          <w:rFonts w:eastAsia="Times New Roman"/>
        </w:rPr>
        <w:t>il tente de suivre un peu ces trois voies en même temps, sans s</w:t>
      </w:r>
      <w:r w:rsidR="00062221">
        <w:rPr>
          <w:rFonts w:eastAsia="Times New Roman"/>
        </w:rPr>
        <w:t>’</w:t>
      </w:r>
      <w:r w:rsidRPr="00EB3D2F">
        <w:rPr>
          <w:rFonts w:eastAsia="Times New Roman"/>
        </w:rPr>
        <w:t>engager pleinement dans aucune. J</w:t>
      </w:r>
      <w:r w:rsidR="00062221">
        <w:rPr>
          <w:rFonts w:eastAsia="Times New Roman"/>
        </w:rPr>
        <w:t>’</w:t>
      </w:r>
      <w:r w:rsidRPr="00EB3D2F">
        <w:rPr>
          <w:rFonts w:eastAsia="Times New Roman"/>
        </w:rPr>
        <w:t>estime donc qu</w:t>
      </w:r>
      <w:r w:rsidR="00062221">
        <w:rPr>
          <w:rFonts w:eastAsia="Times New Roman"/>
        </w:rPr>
        <w:t>’</w:t>
      </w:r>
      <w:r w:rsidRPr="00EB3D2F">
        <w:rPr>
          <w:rFonts w:eastAsia="Times New Roman"/>
        </w:rPr>
        <w:t>il pourrait être utile de s</w:t>
      </w:r>
      <w:r w:rsidR="00062221">
        <w:rPr>
          <w:rFonts w:eastAsia="Times New Roman"/>
        </w:rPr>
        <w:t>’</w:t>
      </w:r>
      <w:r w:rsidRPr="00EB3D2F">
        <w:rPr>
          <w:rFonts w:eastAsia="Times New Roman"/>
        </w:rPr>
        <w:t>attarder, même brièvement, sur chacune.</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37</w:t>
      </w:r>
      <w:r w:rsidRPr="00EB3D2F">
        <w:rPr>
          <w:rFonts w:eastAsia="Times New Roman"/>
        </w:rPr>
        <w:fldChar w:fldCharType="end"/>
      </w:r>
      <w:r w:rsidRPr="00EB3D2F">
        <w:rPr>
          <w:rFonts w:eastAsia="Times New Roman"/>
        </w:rPr>
        <w:t>.  Examinons tout d</w:t>
      </w:r>
      <w:r w:rsidR="00062221">
        <w:rPr>
          <w:rFonts w:eastAsia="Times New Roman"/>
        </w:rPr>
        <w:t>’</w:t>
      </w:r>
      <w:r w:rsidRPr="00EB3D2F">
        <w:rPr>
          <w:rFonts w:eastAsia="Times New Roman"/>
        </w:rPr>
        <w:t>abord la première approche. Tel qu</w:t>
      </w:r>
      <w:r w:rsidR="00062221">
        <w:rPr>
          <w:rFonts w:eastAsia="Times New Roman"/>
        </w:rPr>
        <w:t>’</w:t>
      </w:r>
      <w:r w:rsidRPr="00EB3D2F">
        <w:rPr>
          <w:rFonts w:eastAsia="Times New Roman"/>
        </w:rPr>
        <w:t>interprété et appliqué par les juridictions internes, le droit français interdit de manière absolue et générale tout appel au boycott de produits à raison de leur origine géographique. En soi, pareille restriction à la liberté d</w:t>
      </w:r>
      <w:r w:rsidR="00062221">
        <w:rPr>
          <w:rFonts w:eastAsia="Times New Roman"/>
        </w:rPr>
        <w:t>’</w:t>
      </w:r>
      <w:r w:rsidRPr="00EB3D2F">
        <w:rPr>
          <w:rFonts w:eastAsia="Times New Roman"/>
        </w:rPr>
        <w:t>expression de manifestants appelant à un boycott, et d</w:t>
      </w:r>
      <w:r w:rsidR="00062221">
        <w:rPr>
          <w:rFonts w:eastAsia="Times New Roman"/>
        </w:rPr>
        <w:t>’</w:t>
      </w:r>
      <w:r w:rsidRPr="00EB3D2F">
        <w:rPr>
          <w:rFonts w:eastAsia="Times New Roman"/>
        </w:rPr>
        <w:t>ailleurs à la liberté d</w:t>
      </w:r>
      <w:r w:rsidR="00062221">
        <w:rPr>
          <w:rFonts w:eastAsia="Times New Roman"/>
        </w:rPr>
        <w:t>’</w:t>
      </w:r>
      <w:r w:rsidRPr="00EB3D2F">
        <w:rPr>
          <w:rFonts w:eastAsia="Times New Roman"/>
        </w:rPr>
        <w:t>expression des consommateurs répondant à un tel appel, est contraire à l</w:t>
      </w:r>
      <w:r w:rsidR="00062221">
        <w:rPr>
          <w:rFonts w:eastAsia="Times New Roman"/>
        </w:rPr>
        <w:t>’</w:t>
      </w:r>
      <w:r w:rsidR="00565C93">
        <w:rPr>
          <w:rFonts w:eastAsia="Times New Roman"/>
        </w:rPr>
        <w:t>article </w:t>
      </w:r>
      <w:r w:rsidRPr="00EB3D2F">
        <w:rPr>
          <w:rFonts w:eastAsia="Times New Roman"/>
        </w:rPr>
        <w:t>10 de la Convention. En effet, une interdiction générale de cette nature ne permet pas aux juridictions de procéder à la nécessaire analyse des circonstances particulières à chaque affaire, pas plus qu</w:t>
      </w:r>
      <w:r w:rsidR="00062221">
        <w:rPr>
          <w:rFonts w:eastAsia="Times New Roman"/>
        </w:rPr>
        <w:t>’</w:t>
      </w:r>
      <w:r w:rsidRPr="00EB3D2F">
        <w:rPr>
          <w:rFonts w:eastAsia="Times New Roman"/>
        </w:rPr>
        <w:t>elle ne leur laisse pas la possibilité d</w:t>
      </w:r>
      <w:r w:rsidR="00062221">
        <w:rPr>
          <w:rFonts w:eastAsia="Times New Roman"/>
        </w:rPr>
        <w:t>’</w:t>
      </w:r>
      <w:r w:rsidRPr="00EB3D2F">
        <w:rPr>
          <w:rFonts w:eastAsia="Times New Roman"/>
        </w:rPr>
        <w:t>identifier les différents droits et intérêts en présence et de procéder à leur mise en balance. Autre point crucial, elle ne permet pas d</w:t>
      </w:r>
      <w:r w:rsidR="00062221">
        <w:rPr>
          <w:rFonts w:eastAsia="Times New Roman"/>
        </w:rPr>
        <w:t>’</w:t>
      </w:r>
      <w:r w:rsidRPr="00EB3D2F">
        <w:rPr>
          <w:rFonts w:eastAsia="Times New Roman"/>
        </w:rPr>
        <w:t>opérer une distinction entre les actes qui, pour reprendre les termes employés par la cour d</w:t>
      </w:r>
      <w:r w:rsidR="00062221">
        <w:rPr>
          <w:rFonts w:eastAsia="Times New Roman"/>
        </w:rPr>
        <w:t>’</w:t>
      </w:r>
      <w:r w:rsidRPr="00EB3D2F">
        <w:rPr>
          <w:rFonts w:eastAsia="Times New Roman"/>
        </w:rPr>
        <w:t>appel de Paris (voir ci-dessus) relèvent d</w:t>
      </w:r>
      <w:r w:rsidR="00062221">
        <w:rPr>
          <w:rFonts w:eastAsia="Times New Roman"/>
        </w:rPr>
        <w:t>’</w:t>
      </w:r>
      <w:r w:rsidRPr="00EB3D2F">
        <w:rPr>
          <w:rFonts w:eastAsia="Times New Roman"/>
        </w:rPr>
        <w:t xml:space="preserve">une </w:t>
      </w:r>
      <w:r w:rsidR="006A4DF1">
        <w:rPr>
          <w:rFonts w:eastAsia="Times New Roman"/>
        </w:rPr>
        <w:t>« </w:t>
      </w:r>
      <w:r w:rsidRPr="00EB3D2F">
        <w:rPr>
          <w:rFonts w:eastAsia="Times New Roman"/>
        </w:rPr>
        <w:t>critique passive de la politique d</w:t>
      </w:r>
      <w:r w:rsidR="00062221">
        <w:rPr>
          <w:rFonts w:eastAsia="Times New Roman"/>
        </w:rPr>
        <w:t>’</w:t>
      </w:r>
      <w:r w:rsidRPr="00EB3D2F">
        <w:rPr>
          <w:rFonts w:eastAsia="Times New Roman"/>
        </w:rPr>
        <w:t>un État relevant du libre jeu du débat politique</w:t>
      </w:r>
      <w:r w:rsidR="006A4DF1">
        <w:rPr>
          <w:rFonts w:eastAsia="Times New Roman"/>
        </w:rPr>
        <w:t> »</w:t>
      </w:r>
      <w:r w:rsidRPr="00EB3D2F">
        <w:rPr>
          <w:rFonts w:eastAsia="Times New Roman"/>
        </w:rPr>
        <w:t xml:space="preserve"> et ceux, bien différents, qui relèvent d</w:t>
      </w:r>
      <w:r w:rsidR="00062221">
        <w:rPr>
          <w:rFonts w:eastAsia="Times New Roman"/>
        </w:rPr>
        <w:t>’</w:t>
      </w:r>
      <w:r w:rsidRPr="00EB3D2F">
        <w:rPr>
          <w:rFonts w:eastAsia="Times New Roman"/>
        </w:rPr>
        <w:t>appels sinistres et déguisés à la haine, à l</w:t>
      </w:r>
      <w:r w:rsidR="00062221">
        <w:rPr>
          <w:rFonts w:eastAsia="Times New Roman"/>
        </w:rPr>
        <w:t>’</w:t>
      </w:r>
      <w:r w:rsidRPr="00EB3D2F">
        <w:rPr>
          <w:rFonts w:eastAsia="Times New Roman"/>
        </w:rPr>
        <w:t>intolérance et à l</w:t>
      </w:r>
      <w:r w:rsidR="00062221">
        <w:rPr>
          <w:rFonts w:eastAsia="Times New Roman"/>
        </w:rPr>
        <w:t>’</w:t>
      </w:r>
      <w:r w:rsidRPr="00EB3D2F">
        <w:rPr>
          <w:rFonts w:eastAsia="Times New Roman"/>
        </w:rPr>
        <w:t>antisémitisme et que la Convention ne saurait tolérer.</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38</w:t>
      </w:r>
      <w:r w:rsidRPr="00EB3D2F">
        <w:rPr>
          <w:rFonts w:eastAsia="Times New Roman"/>
        </w:rPr>
        <w:fldChar w:fldCharType="end"/>
      </w:r>
      <w:r w:rsidRPr="00EB3D2F">
        <w:rPr>
          <w:rFonts w:eastAsia="Times New Roman"/>
        </w:rPr>
        <w:t>.  Ainsi qu</w:t>
      </w:r>
      <w:r w:rsidR="00062221">
        <w:rPr>
          <w:rFonts w:eastAsia="Times New Roman"/>
        </w:rPr>
        <w:t>’</w:t>
      </w:r>
      <w:r w:rsidRPr="00EB3D2F">
        <w:rPr>
          <w:rFonts w:eastAsia="Times New Roman"/>
        </w:rPr>
        <w:t>en atteste l</w:t>
      </w:r>
      <w:r w:rsidR="00062221">
        <w:rPr>
          <w:rFonts w:eastAsia="Times New Roman"/>
        </w:rPr>
        <w:t>’</w:t>
      </w:r>
      <w:r w:rsidRPr="00EB3D2F">
        <w:rPr>
          <w:rFonts w:eastAsia="Times New Roman"/>
        </w:rPr>
        <w:t>arrêt de la cour d</w:t>
      </w:r>
      <w:r w:rsidR="00062221">
        <w:rPr>
          <w:rFonts w:eastAsia="Times New Roman"/>
        </w:rPr>
        <w:t>’</w:t>
      </w:r>
      <w:r w:rsidRPr="00EB3D2F">
        <w:rPr>
          <w:rFonts w:eastAsia="Times New Roman"/>
        </w:rPr>
        <w:t>appel de Colmar, certaines juridictions françaises ont depuis quelques années tendance à considérer que le simple fait d</w:t>
      </w:r>
      <w:r w:rsidR="00062221">
        <w:rPr>
          <w:rFonts w:eastAsia="Times New Roman"/>
        </w:rPr>
        <w:t>’</w:t>
      </w:r>
      <w:r w:rsidRPr="00EB3D2F">
        <w:rPr>
          <w:rFonts w:eastAsia="Times New Roman"/>
        </w:rPr>
        <w:t>inciter des consommateurs à ne pas acheter des produits d</w:t>
      </w:r>
      <w:r w:rsidR="00062221">
        <w:rPr>
          <w:rFonts w:eastAsia="Times New Roman"/>
        </w:rPr>
        <w:t>’</w:t>
      </w:r>
      <w:r w:rsidRPr="00EB3D2F">
        <w:rPr>
          <w:rFonts w:eastAsia="Times New Roman"/>
        </w:rPr>
        <w:t>une origine donnée s</w:t>
      </w:r>
      <w:r w:rsidR="00062221">
        <w:rPr>
          <w:rFonts w:eastAsia="Times New Roman"/>
        </w:rPr>
        <w:t>’</w:t>
      </w:r>
      <w:r w:rsidRPr="00EB3D2F">
        <w:rPr>
          <w:rFonts w:eastAsia="Times New Roman"/>
        </w:rPr>
        <w:t>analyse en une incitation à la discrimination réprimée par la loi. Pour justifier leurs actes, les personnes poursuivies pour une telle infraction ne peuvent donc pas arguer qu</w:t>
      </w:r>
      <w:r w:rsidR="00062221">
        <w:rPr>
          <w:rFonts w:eastAsia="Times New Roman"/>
        </w:rPr>
        <w:t>’</w:t>
      </w:r>
      <w:r w:rsidRPr="00EB3D2F">
        <w:rPr>
          <w:rFonts w:eastAsia="Times New Roman"/>
        </w:rPr>
        <w:t>elles exprimaient une opinion politique, les juridictions internes considérant que la liberté d</w:t>
      </w:r>
      <w:r w:rsidR="00062221">
        <w:rPr>
          <w:rFonts w:eastAsia="Times New Roman"/>
        </w:rPr>
        <w:t>’</w:t>
      </w:r>
      <w:r w:rsidRPr="00EB3D2F">
        <w:rPr>
          <w:rFonts w:eastAsia="Times New Roman"/>
        </w:rPr>
        <w:t>expression ne constitue pas un moyen de défense valable relativement à une infraction réprimée par le droit français. En substance, cela signifie que des appels au boycott tels ceux organisés dans l</w:t>
      </w:r>
      <w:r w:rsidR="00062221">
        <w:rPr>
          <w:rFonts w:eastAsia="Times New Roman"/>
        </w:rPr>
        <w:t>’</w:t>
      </w:r>
      <w:r w:rsidRPr="00EB3D2F">
        <w:rPr>
          <w:rFonts w:eastAsia="Times New Roman"/>
        </w:rPr>
        <w:t>hypermarché Carrefour en 2009 et 2010 sont interdits par principe, et que l</w:t>
      </w:r>
      <w:r w:rsidR="00062221">
        <w:rPr>
          <w:rFonts w:eastAsia="Times New Roman"/>
        </w:rPr>
        <w:t>’</w:t>
      </w:r>
      <w:r w:rsidRPr="00EB3D2F">
        <w:rPr>
          <w:rFonts w:eastAsia="Times New Roman"/>
        </w:rPr>
        <w:t>application de l</w:t>
      </w:r>
      <w:r w:rsidR="00062221">
        <w:rPr>
          <w:rFonts w:eastAsia="Times New Roman"/>
        </w:rPr>
        <w:t>’</w:t>
      </w:r>
      <w:r w:rsidR="00565C93">
        <w:rPr>
          <w:rFonts w:eastAsia="Times New Roman"/>
        </w:rPr>
        <w:t>article </w:t>
      </w:r>
      <w:r w:rsidRPr="00EB3D2F">
        <w:rPr>
          <w:rFonts w:eastAsia="Times New Roman"/>
        </w:rPr>
        <w:t>10 est exclue. Un raisonnement juridique comme celui suivi par la cour d</w:t>
      </w:r>
      <w:r w:rsidR="00062221">
        <w:rPr>
          <w:rFonts w:eastAsia="Times New Roman"/>
        </w:rPr>
        <w:t>’</w:t>
      </w:r>
      <w:r w:rsidRPr="00EB3D2F">
        <w:rPr>
          <w:rFonts w:eastAsia="Times New Roman"/>
        </w:rPr>
        <w:t>appel de Colmar exclut l</w:t>
      </w:r>
      <w:r w:rsidR="00062221">
        <w:rPr>
          <w:rFonts w:eastAsia="Times New Roman"/>
        </w:rPr>
        <w:t>’</w:t>
      </w:r>
      <w:r w:rsidRPr="00EB3D2F">
        <w:rPr>
          <w:rFonts w:eastAsia="Times New Roman"/>
        </w:rPr>
        <w:t>application de la Convention d</w:t>
      </w:r>
      <w:r w:rsidR="00062221">
        <w:rPr>
          <w:rFonts w:eastAsia="Times New Roman"/>
        </w:rPr>
        <w:t>’</w:t>
      </w:r>
      <w:r w:rsidRPr="00EB3D2F">
        <w:rPr>
          <w:rFonts w:eastAsia="Times New Roman"/>
        </w:rPr>
        <w:t>une manière équivalente à l</w:t>
      </w:r>
      <w:r w:rsidR="00062221">
        <w:rPr>
          <w:rFonts w:eastAsia="Times New Roman"/>
        </w:rPr>
        <w:t>’</w:t>
      </w:r>
      <w:r w:rsidR="00565C93">
        <w:rPr>
          <w:rFonts w:eastAsia="Times New Roman"/>
        </w:rPr>
        <w:t>article </w:t>
      </w:r>
      <w:r w:rsidRPr="00EB3D2F">
        <w:rPr>
          <w:rFonts w:eastAsia="Times New Roman"/>
        </w:rPr>
        <w:t>17. Cela étant, cette disposition de la Convention, qui s</w:t>
      </w:r>
      <w:r w:rsidR="00062221">
        <w:rPr>
          <w:rFonts w:eastAsia="Times New Roman"/>
        </w:rPr>
        <w:t>’</w:t>
      </w:r>
      <w:r w:rsidRPr="00EB3D2F">
        <w:rPr>
          <w:rFonts w:eastAsia="Times New Roman"/>
        </w:rPr>
        <w:t>applique de manière exceptionnelle, concerne un type d</w:t>
      </w:r>
      <w:r w:rsidR="00062221">
        <w:rPr>
          <w:rFonts w:eastAsia="Times New Roman"/>
        </w:rPr>
        <w:t>’</w:t>
      </w:r>
      <w:r w:rsidRPr="00EB3D2F">
        <w:rPr>
          <w:rFonts w:eastAsia="Times New Roman"/>
        </w:rPr>
        <w:t>abus particulier</w:t>
      </w:r>
      <w:r w:rsidR="006A4DF1">
        <w:rPr>
          <w:rFonts w:eastAsia="Times New Roman"/>
        </w:rPr>
        <w:t> :</w:t>
      </w:r>
      <w:r w:rsidRPr="00EB3D2F">
        <w:rPr>
          <w:rFonts w:eastAsia="Times New Roman"/>
        </w:rPr>
        <w:t xml:space="preserve"> des abus d</w:t>
      </w:r>
      <w:r w:rsidR="00062221">
        <w:rPr>
          <w:rFonts w:eastAsia="Times New Roman"/>
        </w:rPr>
        <w:t>’</w:t>
      </w:r>
      <w:r w:rsidRPr="00EB3D2F">
        <w:rPr>
          <w:rFonts w:eastAsia="Times New Roman"/>
        </w:rPr>
        <w:t>une gravité telle qu</w:t>
      </w:r>
      <w:r w:rsidR="00062221">
        <w:rPr>
          <w:rFonts w:eastAsia="Times New Roman"/>
        </w:rPr>
        <w:t>’</w:t>
      </w:r>
      <w:r w:rsidRPr="00EB3D2F">
        <w:rPr>
          <w:rFonts w:eastAsia="Times New Roman"/>
        </w:rPr>
        <w:t>ils en viennent à réduire à néant l</w:t>
      </w:r>
      <w:r w:rsidR="00062221">
        <w:rPr>
          <w:rFonts w:eastAsia="Times New Roman"/>
        </w:rPr>
        <w:t>’</w:t>
      </w:r>
      <w:r w:rsidRPr="00EB3D2F">
        <w:rPr>
          <w:rFonts w:eastAsia="Times New Roman"/>
        </w:rPr>
        <w:t>application de la Convention. Certes, la Cour de cassation s</w:t>
      </w:r>
      <w:r w:rsidR="00062221">
        <w:rPr>
          <w:rFonts w:eastAsia="Times New Roman"/>
        </w:rPr>
        <w:t>’</w:t>
      </w:r>
      <w:r w:rsidRPr="00EB3D2F">
        <w:rPr>
          <w:rFonts w:eastAsia="Times New Roman"/>
        </w:rPr>
        <w:t>est écartée de ce raisonnement lorsqu</w:t>
      </w:r>
      <w:r w:rsidR="00062221">
        <w:rPr>
          <w:rFonts w:eastAsia="Times New Roman"/>
        </w:rPr>
        <w:t>’</w:t>
      </w:r>
      <w:r w:rsidRPr="00EB3D2F">
        <w:rPr>
          <w:rFonts w:eastAsia="Times New Roman"/>
        </w:rPr>
        <w:t>elle s</w:t>
      </w:r>
      <w:r w:rsidR="00062221">
        <w:rPr>
          <w:rFonts w:eastAsia="Times New Roman"/>
        </w:rPr>
        <w:t>’</w:t>
      </w:r>
      <w:r w:rsidRPr="00EB3D2F">
        <w:rPr>
          <w:rFonts w:eastAsia="Times New Roman"/>
        </w:rPr>
        <w:t>est appuyée sur l</w:t>
      </w:r>
      <w:r w:rsidR="00062221">
        <w:rPr>
          <w:rFonts w:eastAsia="Times New Roman"/>
        </w:rPr>
        <w:t>’</w:t>
      </w:r>
      <w:r w:rsidR="00565C93">
        <w:rPr>
          <w:rFonts w:eastAsia="Times New Roman"/>
        </w:rPr>
        <w:t>article </w:t>
      </w:r>
      <w:r w:rsidRPr="00EB3D2F">
        <w:rPr>
          <w:rFonts w:eastAsia="Times New Roman"/>
        </w:rPr>
        <w:t xml:space="preserve">10 </w:t>
      </w:r>
      <w:r w:rsidR="00565C93">
        <w:rPr>
          <w:rFonts w:eastAsia="Times New Roman"/>
        </w:rPr>
        <w:t>§ </w:t>
      </w:r>
      <w:r w:rsidRPr="00EB3D2F">
        <w:rPr>
          <w:rFonts w:eastAsia="Times New Roman"/>
        </w:rPr>
        <w:t>2 et a déclaré que la restriction litigieuse au droit à la liberté d</w:t>
      </w:r>
      <w:r w:rsidR="00062221">
        <w:rPr>
          <w:rFonts w:eastAsia="Times New Roman"/>
        </w:rPr>
        <w:t>’</w:t>
      </w:r>
      <w:r w:rsidRPr="00EB3D2F">
        <w:rPr>
          <w:rFonts w:eastAsia="Times New Roman"/>
        </w:rPr>
        <w:t>expression était nécessaire dans une société démocratique. Toutefois, plutôt que de critiquer le raisonnement suivi par la juridiction inférieure, elle y a ostensiblement souscrit (</w:t>
      </w:r>
      <w:r w:rsidR="00827A40">
        <w:rPr>
          <w:rFonts w:eastAsia="Times New Roman"/>
        </w:rPr>
        <w:t>paragraphe</w:t>
      </w:r>
      <w:r w:rsidR="00565C93">
        <w:rPr>
          <w:rFonts w:eastAsia="Times New Roman"/>
        </w:rPr>
        <w:t> </w:t>
      </w:r>
      <w:r w:rsidRPr="00EB3D2F">
        <w:rPr>
          <w:rFonts w:eastAsia="Times New Roman"/>
        </w:rPr>
        <w:t>17 de l</w:t>
      </w:r>
      <w:r w:rsidR="00062221">
        <w:rPr>
          <w:rFonts w:eastAsia="Times New Roman"/>
        </w:rPr>
        <w:t>’</w:t>
      </w:r>
      <w:r w:rsidRPr="00EB3D2F">
        <w:rPr>
          <w:rFonts w:eastAsia="Times New Roman"/>
        </w:rPr>
        <w:t xml:space="preserve">arrêt de chambre – </w:t>
      </w:r>
      <w:r w:rsidR="006A4DF1">
        <w:rPr>
          <w:rFonts w:eastAsia="Times New Roman"/>
        </w:rPr>
        <w:t>« </w:t>
      </w:r>
      <w:r w:rsidRPr="00EB3D2F">
        <w:rPr>
          <w:rFonts w:eastAsia="Times New Roman"/>
        </w:rPr>
        <w:t>la cour d</w:t>
      </w:r>
      <w:r w:rsidR="00062221">
        <w:rPr>
          <w:rFonts w:eastAsia="Times New Roman"/>
        </w:rPr>
        <w:t>’</w:t>
      </w:r>
      <w:r w:rsidRPr="00EB3D2F">
        <w:rPr>
          <w:rFonts w:eastAsia="Times New Roman"/>
        </w:rPr>
        <w:t>appel (...) avait relevé, à bon droit, (...)</w:t>
      </w:r>
      <w:r w:rsidR="006A4DF1">
        <w:rPr>
          <w:rFonts w:eastAsia="Times New Roman"/>
        </w:rPr>
        <w:t> »</w:t>
      </w:r>
      <w:r w:rsidRPr="00EB3D2F">
        <w:rPr>
          <w:rFonts w:eastAsia="Times New Roman"/>
        </w:rPr>
        <w:t>). En pareilles circonstances, il ne suffit pas de conclure qu</w:t>
      </w:r>
      <w:r w:rsidR="00062221">
        <w:rPr>
          <w:rFonts w:eastAsia="Times New Roman"/>
        </w:rPr>
        <w:t>’</w:t>
      </w:r>
      <w:r w:rsidRPr="00EB3D2F">
        <w:rPr>
          <w:rFonts w:eastAsia="Times New Roman"/>
        </w:rPr>
        <w:t>il y a eu violation de l</w:t>
      </w:r>
      <w:r w:rsidR="00062221">
        <w:rPr>
          <w:rFonts w:eastAsia="Times New Roman"/>
        </w:rPr>
        <w:t>’</w:t>
      </w:r>
      <w:r w:rsidR="00565C93">
        <w:rPr>
          <w:rFonts w:eastAsia="Times New Roman"/>
        </w:rPr>
        <w:t>article </w:t>
      </w:r>
      <w:r w:rsidRPr="00EB3D2F">
        <w:rPr>
          <w:rFonts w:eastAsia="Times New Roman"/>
        </w:rPr>
        <w:t>10 de la Convention au simple motif que la condamnation des requérants en question n</w:t>
      </w:r>
      <w:r w:rsidR="00062221">
        <w:rPr>
          <w:rFonts w:eastAsia="Times New Roman"/>
        </w:rPr>
        <w:t>’</w:t>
      </w:r>
      <w:r w:rsidRPr="00EB3D2F">
        <w:rPr>
          <w:rFonts w:eastAsia="Times New Roman"/>
        </w:rPr>
        <w:t>était pas fondée sur des motifs pertinents et suffisants. La violation découle plus largement de l</w:t>
      </w:r>
      <w:r w:rsidR="00062221">
        <w:rPr>
          <w:rFonts w:eastAsia="Times New Roman"/>
        </w:rPr>
        <w:t>’</w:t>
      </w:r>
      <w:r w:rsidRPr="00EB3D2F">
        <w:rPr>
          <w:rFonts w:eastAsia="Times New Roman"/>
        </w:rPr>
        <w:t>approche adoptée par le droit français à l</w:t>
      </w:r>
      <w:r w:rsidR="00062221">
        <w:rPr>
          <w:rFonts w:eastAsia="Times New Roman"/>
        </w:rPr>
        <w:t>’</w:t>
      </w:r>
      <w:r w:rsidRPr="00EB3D2F">
        <w:rPr>
          <w:rFonts w:eastAsia="Times New Roman"/>
        </w:rPr>
        <w:t>égard d</w:t>
      </w:r>
      <w:r w:rsidR="00062221">
        <w:rPr>
          <w:rFonts w:eastAsia="Times New Roman"/>
        </w:rPr>
        <w:t>’</w:t>
      </w:r>
      <w:r w:rsidRPr="00EB3D2F">
        <w:rPr>
          <w:rFonts w:eastAsia="Times New Roman"/>
        </w:rPr>
        <w:t>actes de boycott de cette nature, ainsi qu</w:t>
      </w:r>
      <w:r w:rsidR="00062221">
        <w:rPr>
          <w:rFonts w:eastAsia="Times New Roman"/>
        </w:rPr>
        <w:t>’</w:t>
      </w:r>
      <w:r w:rsidRPr="00EB3D2F">
        <w:rPr>
          <w:rFonts w:eastAsia="Times New Roman"/>
        </w:rPr>
        <w:t>il ressort d</w:t>
      </w:r>
      <w:r w:rsidR="00062221">
        <w:rPr>
          <w:rFonts w:eastAsia="Times New Roman"/>
        </w:rPr>
        <w:t>’</w:t>
      </w:r>
      <w:r w:rsidRPr="00EB3D2F">
        <w:rPr>
          <w:rFonts w:eastAsia="Times New Roman"/>
        </w:rPr>
        <w:t xml:space="preserve">une lecture attentive du </w:t>
      </w:r>
      <w:r w:rsidR="00565C93">
        <w:rPr>
          <w:rFonts w:eastAsia="Times New Roman"/>
        </w:rPr>
        <w:t>paragraphe </w:t>
      </w:r>
      <w:r w:rsidRPr="00EB3D2F">
        <w:rPr>
          <w:rFonts w:eastAsia="Times New Roman"/>
        </w:rPr>
        <w:t>75 de l</w:t>
      </w:r>
      <w:r w:rsidR="00062221">
        <w:rPr>
          <w:rFonts w:eastAsia="Times New Roman"/>
        </w:rPr>
        <w:t>’</w:t>
      </w:r>
      <w:r w:rsidRPr="00EB3D2F">
        <w:rPr>
          <w:rFonts w:eastAsia="Times New Roman"/>
        </w:rPr>
        <w:t>arrêt.</w:t>
      </w:r>
    </w:p>
    <w:p w:rsidRPr="00EB3D2F" w:rsidR="00886CD8" w:rsidP="00062221" w:rsidRDefault="00886CD8">
      <w:pPr>
        <w:pStyle w:val="JuPara"/>
        <w:keepNext/>
        <w:keepLines/>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39</w:t>
      </w:r>
      <w:r w:rsidRPr="00EB3D2F">
        <w:rPr>
          <w:rFonts w:eastAsia="Times New Roman"/>
        </w:rPr>
        <w:fldChar w:fldCharType="end"/>
      </w:r>
      <w:r w:rsidRPr="00EB3D2F">
        <w:rPr>
          <w:rFonts w:eastAsia="Times New Roman"/>
        </w:rPr>
        <w:t>.  En ce qui concerne la deuxième approche, la notion d</w:t>
      </w:r>
      <w:r w:rsidR="00062221">
        <w:rPr>
          <w:rFonts w:eastAsia="Times New Roman"/>
        </w:rPr>
        <w:t>’</w:t>
      </w:r>
      <w:r w:rsidRPr="00EB3D2F">
        <w:rPr>
          <w:rFonts w:eastAsia="Times New Roman"/>
        </w:rPr>
        <w:t xml:space="preserve">appel au boycott est définie en ces termes au </w:t>
      </w:r>
      <w:r w:rsidR="00565C93">
        <w:rPr>
          <w:rFonts w:eastAsia="Times New Roman"/>
        </w:rPr>
        <w:t>paragraphe </w:t>
      </w:r>
      <w:r w:rsidRPr="00EB3D2F">
        <w:rPr>
          <w:rFonts w:eastAsia="Times New Roman"/>
        </w:rPr>
        <w:t>64 de l</w:t>
      </w:r>
      <w:r w:rsidR="00062221">
        <w:rPr>
          <w:rFonts w:eastAsia="Times New Roman"/>
        </w:rPr>
        <w:t>’</w:t>
      </w:r>
      <w:r w:rsidRPr="00EB3D2F">
        <w:rPr>
          <w:rFonts w:eastAsia="Times New Roman"/>
        </w:rPr>
        <w:t>arrêt</w:t>
      </w:r>
      <w:r w:rsidR="006A4DF1">
        <w:rPr>
          <w:rFonts w:eastAsia="Times New Roman"/>
        </w:rPr>
        <w:t> :</w:t>
      </w:r>
    </w:p>
    <w:p w:rsidRPr="00EB3D2F" w:rsidR="00886CD8" w:rsidP="001D7C6B" w:rsidRDefault="006A4DF1">
      <w:pPr>
        <w:pStyle w:val="JuQuot"/>
        <w:rPr>
          <w:rFonts w:eastAsia="Times New Roman"/>
        </w:rPr>
      </w:pPr>
      <w:r>
        <w:rPr>
          <w:rFonts w:eastAsia="Times New Roman"/>
        </w:rPr>
        <w:t>« </w:t>
      </w:r>
      <w:r w:rsidRPr="00EB3D2F" w:rsidR="00886CD8">
        <w:rPr>
          <w:rFonts w:eastAsia="Times New Roman"/>
        </w:rPr>
        <w:t>une modalité particulière d</w:t>
      </w:r>
      <w:r w:rsidR="00062221">
        <w:rPr>
          <w:rFonts w:eastAsia="Times New Roman"/>
        </w:rPr>
        <w:t>’</w:t>
      </w:r>
      <w:r w:rsidRPr="00EB3D2F" w:rsidR="00886CD8">
        <w:rPr>
          <w:rFonts w:eastAsia="Times New Roman"/>
        </w:rPr>
        <w:t>exercice de la liberté d</w:t>
      </w:r>
      <w:r w:rsidR="00062221">
        <w:rPr>
          <w:rFonts w:eastAsia="Times New Roman"/>
        </w:rPr>
        <w:t>’</w:t>
      </w:r>
      <w:r w:rsidRPr="00EB3D2F" w:rsidR="00886CD8">
        <w:rPr>
          <w:rFonts w:eastAsia="Times New Roman"/>
        </w:rPr>
        <w:t>expression en ce qu</w:t>
      </w:r>
      <w:r w:rsidR="00062221">
        <w:rPr>
          <w:rFonts w:eastAsia="Times New Roman"/>
        </w:rPr>
        <w:t>’</w:t>
      </w:r>
      <w:r w:rsidRPr="00EB3D2F" w:rsidR="00886CD8">
        <w:rPr>
          <w:rFonts w:eastAsia="Times New Roman"/>
        </w:rPr>
        <w:t>il combine l</w:t>
      </w:r>
      <w:r w:rsidR="00062221">
        <w:rPr>
          <w:rFonts w:eastAsia="Times New Roman"/>
        </w:rPr>
        <w:t>’</w:t>
      </w:r>
      <w:r w:rsidRPr="00EB3D2F" w:rsidR="00886CD8">
        <w:rPr>
          <w:rFonts w:eastAsia="Times New Roman"/>
        </w:rPr>
        <w:t>expression d</w:t>
      </w:r>
      <w:r w:rsidR="00062221">
        <w:rPr>
          <w:rFonts w:eastAsia="Times New Roman"/>
        </w:rPr>
        <w:t>’</w:t>
      </w:r>
      <w:r w:rsidRPr="00EB3D2F" w:rsidR="00886CD8">
        <w:rPr>
          <w:rFonts w:eastAsia="Times New Roman"/>
        </w:rPr>
        <w:t>une opinion protestataire et l</w:t>
      </w:r>
      <w:r w:rsidR="00062221">
        <w:rPr>
          <w:rFonts w:eastAsia="Times New Roman"/>
        </w:rPr>
        <w:t>’</w:t>
      </w:r>
      <w:r w:rsidRPr="00EB3D2F" w:rsidR="00886CD8">
        <w:rPr>
          <w:rFonts w:eastAsia="Times New Roman"/>
        </w:rPr>
        <w:t>incitation à un traitement différencié de sorte que, selon les circonstances qui le caractérisent, il est susceptible de constituer un appel à la discrimination d</w:t>
      </w:r>
      <w:r w:rsidR="00062221">
        <w:rPr>
          <w:rFonts w:eastAsia="Times New Roman"/>
        </w:rPr>
        <w:t>’</w:t>
      </w:r>
      <w:r w:rsidRPr="00EB3D2F" w:rsidR="00886CD8">
        <w:rPr>
          <w:rFonts w:eastAsia="Times New Roman"/>
        </w:rPr>
        <w:t>autrui</w:t>
      </w:r>
      <w:r>
        <w:rPr>
          <w:rFonts w:eastAsia="Times New Roman"/>
        </w:rPr>
        <w:t> »</w:t>
      </w:r>
      <w:r w:rsidR="001D7C6B">
        <w:rPr>
          <w:rFonts w:eastAsia="Times New Roman"/>
        </w:rPr>
        <w:t>.</w:t>
      </w:r>
    </w:p>
    <w:p w:rsidRPr="00EB3D2F" w:rsidR="00886CD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40</w:t>
      </w:r>
      <w:r w:rsidRPr="00EB3D2F">
        <w:rPr>
          <w:rFonts w:eastAsia="Times New Roman"/>
        </w:rPr>
        <w:fldChar w:fldCharType="end"/>
      </w:r>
      <w:r w:rsidRPr="00EB3D2F">
        <w:rPr>
          <w:rFonts w:eastAsia="Times New Roman"/>
        </w:rPr>
        <w:t>.  La chambre évoque ensuite les appels à la violence, à la haine et à l</w:t>
      </w:r>
      <w:r w:rsidR="00062221">
        <w:rPr>
          <w:rFonts w:eastAsia="Times New Roman"/>
        </w:rPr>
        <w:t>’</w:t>
      </w:r>
      <w:r w:rsidRPr="00EB3D2F">
        <w:rPr>
          <w:rFonts w:eastAsia="Times New Roman"/>
        </w:rPr>
        <w:t>intolérance (</w:t>
      </w:r>
      <w:proofErr w:type="spellStart"/>
      <w:r w:rsidRPr="00EB3D2F">
        <w:rPr>
          <w:rFonts w:eastAsia="Times New Roman"/>
          <w:i/>
        </w:rPr>
        <w:t>Perinçek</w:t>
      </w:r>
      <w:proofErr w:type="spellEnd"/>
      <w:r w:rsidR="00565C93">
        <w:rPr>
          <w:rFonts w:eastAsia="Times New Roman"/>
          <w:i/>
        </w:rPr>
        <w:t xml:space="preserve"> c. </w:t>
      </w:r>
      <w:r w:rsidRPr="00EB3D2F">
        <w:rPr>
          <w:rFonts w:eastAsia="Times New Roman"/>
          <w:i/>
        </w:rPr>
        <w:t>Suisse</w:t>
      </w:r>
      <w:r w:rsidRPr="00EB3D2F">
        <w:rPr>
          <w:rFonts w:eastAsia="Times New Roman"/>
        </w:rPr>
        <w:t xml:space="preserve"> [GC], n</w:t>
      </w:r>
      <w:r w:rsidRPr="00565C93" w:rsidR="00565C93">
        <w:rPr>
          <w:rFonts w:eastAsia="Times New Roman"/>
          <w:vertAlign w:val="superscript"/>
        </w:rPr>
        <w:t>o</w:t>
      </w:r>
      <w:r w:rsidRPr="00565C93" w:rsidR="00565C93">
        <w:rPr>
          <w:rFonts w:eastAsia="Times New Roman"/>
        </w:rPr>
        <w:t> </w:t>
      </w:r>
      <w:r w:rsidRPr="00EB3D2F">
        <w:rPr>
          <w:rFonts w:eastAsia="Times New Roman"/>
        </w:rPr>
        <w:t xml:space="preserve">27510/08, </w:t>
      </w:r>
      <w:r w:rsidR="00565C93">
        <w:rPr>
          <w:rFonts w:eastAsia="Times New Roman"/>
        </w:rPr>
        <w:t>§ </w:t>
      </w:r>
      <w:r w:rsidRPr="00EB3D2F">
        <w:rPr>
          <w:rFonts w:eastAsia="Times New Roman"/>
        </w:rPr>
        <w:t>240, CEDH 2015 (extraits)), en précisant que l</w:t>
      </w:r>
      <w:r w:rsidR="00062221">
        <w:rPr>
          <w:rFonts w:eastAsia="Times New Roman"/>
        </w:rPr>
        <w:t>’</w:t>
      </w:r>
      <w:r w:rsidRPr="00EB3D2F">
        <w:rPr>
          <w:rFonts w:eastAsia="Times New Roman"/>
        </w:rPr>
        <w:t>appel à la discrimination relève de l</w:t>
      </w:r>
      <w:r w:rsidR="00062221">
        <w:rPr>
          <w:rFonts w:eastAsia="Times New Roman"/>
        </w:rPr>
        <w:t>’</w:t>
      </w:r>
      <w:r w:rsidRPr="00EB3D2F">
        <w:rPr>
          <w:rFonts w:eastAsia="Times New Roman"/>
        </w:rPr>
        <w:t>appel à l</w:t>
      </w:r>
      <w:r w:rsidR="00062221">
        <w:rPr>
          <w:rFonts w:eastAsia="Times New Roman"/>
        </w:rPr>
        <w:t>’</w:t>
      </w:r>
      <w:r w:rsidRPr="00EB3D2F">
        <w:rPr>
          <w:rFonts w:eastAsia="Times New Roman"/>
        </w:rPr>
        <w:t xml:space="preserve">intolérance. La référence générale à un </w:t>
      </w:r>
      <w:r w:rsidR="006A4DF1">
        <w:rPr>
          <w:rFonts w:eastAsia="Times New Roman"/>
        </w:rPr>
        <w:t>« </w:t>
      </w:r>
      <w:r w:rsidRPr="00EB3D2F">
        <w:rPr>
          <w:rFonts w:eastAsia="Times New Roman"/>
        </w:rPr>
        <w:t>traitement différencié</w:t>
      </w:r>
      <w:r w:rsidR="006A4DF1">
        <w:rPr>
          <w:rFonts w:eastAsia="Times New Roman"/>
        </w:rPr>
        <w:t> »</w:t>
      </w:r>
      <w:r w:rsidRPr="00EB3D2F">
        <w:rPr>
          <w:rFonts w:eastAsia="Times New Roman"/>
        </w:rPr>
        <w:t xml:space="preserve"> qui figure au </w:t>
      </w:r>
      <w:r w:rsidR="00565C93">
        <w:rPr>
          <w:rFonts w:eastAsia="Times New Roman"/>
        </w:rPr>
        <w:t>paragraphe </w:t>
      </w:r>
      <w:r w:rsidRPr="00EB3D2F">
        <w:rPr>
          <w:rFonts w:eastAsia="Times New Roman"/>
        </w:rPr>
        <w:t>64 pourrait cependant être mal comprise ou mal utilisée, une référence à un traitement différencié pouvant rapidement se transformer en une référence à un traitement discriminatoire, sans que les différences importantes qui existent entre ces deux notions sur le plan juridique soient prises en considération. L</w:t>
      </w:r>
      <w:r w:rsidR="00062221">
        <w:rPr>
          <w:rFonts w:eastAsia="Times New Roman"/>
        </w:rPr>
        <w:t>’</w:t>
      </w:r>
      <w:r w:rsidRPr="00EB3D2F">
        <w:rPr>
          <w:rFonts w:eastAsia="Times New Roman"/>
        </w:rPr>
        <w:t>arrêt rendu dans l</w:t>
      </w:r>
      <w:r w:rsidR="00062221">
        <w:rPr>
          <w:rFonts w:eastAsia="Times New Roman"/>
        </w:rPr>
        <w:t>’</w:t>
      </w:r>
      <w:r w:rsidRPr="00EB3D2F">
        <w:rPr>
          <w:rFonts w:eastAsia="Times New Roman"/>
        </w:rPr>
        <w:t xml:space="preserve">affaire </w:t>
      </w:r>
      <w:r w:rsidRPr="00EB3D2F">
        <w:rPr>
          <w:rFonts w:eastAsia="Times New Roman"/>
          <w:i/>
        </w:rPr>
        <w:t>Willem</w:t>
      </w:r>
      <w:r w:rsidR="008A4587">
        <w:rPr>
          <w:rFonts w:eastAsia="Times New Roman"/>
        </w:rPr>
        <w:t>, précitée,</w:t>
      </w:r>
      <w:r w:rsidRPr="00EB3D2F">
        <w:rPr>
          <w:rFonts w:eastAsia="Times New Roman"/>
        </w:rPr>
        <w:t xml:space="preserve"> offre un excellent exemple de ce cas de figure. Étant donné qu</w:t>
      </w:r>
      <w:r w:rsidR="00062221">
        <w:rPr>
          <w:rFonts w:eastAsia="Times New Roman"/>
        </w:rPr>
        <w:t>’</w:t>
      </w:r>
      <w:r w:rsidRPr="00EB3D2F">
        <w:rPr>
          <w:rFonts w:eastAsia="Times New Roman"/>
        </w:rPr>
        <w:t>en substance la chambre conclut en l</w:t>
      </w:r>
      <w:r w:rsidR="00062221">
        <w:rPr>
          <w:rFonts w:eastAsia="Times New Roman"/>
        </w:rPr>
        <w:t>’</w:t>
      </w:r>
      <w:r w:rsidRPr="00EB3D2F">
        <w:rPr>
          <w:rFonts w:eastAsia="Times New Roman"/>
        </w:rPr>
        <w:t>espèce que l</w:t>
      </w:r>
      <w:r w:rsidR="00062221">
        <w:rPr>
          <w:rFonts w:eastAsia="Times New Roman"/>
        </w:rPr>
        <w:t>’</w:t>
      </w:r>
      <w:r w:rsidRPr="00EB3D2F">
        <w:rPr>
          <w:rFonts w:eastAsia="Times New Roman"/>
        </w:rPr>
        <w:t>approche adoptée par le droit français concernant la question des appels au boycott ne répond pas aux exigences de l</w:t>
      </w:r>
      <w:r w:rsidR="00062221">
        <w:rPr>
          <w:rFonts w:eastAsia="Times New Roman"/>
        </w:rPr>
        <w:t>’</w:t>
      </w:r>
      <w:r w:rsidR="00565C93">
        <w:rPr>
          <w:rFonts w:eastAsia="Times New Roman"/>
        </w:rPr>
        <w:t>article </w:t>
      </w:r>
      <w:r w:rsidRPr="00EB3D2F">
        <w:rPr>
          <w:rFonts w:eastAsia="Times New Roman"/>
        </w:rPr>
        <w:t>10 de la Convention, j</w:t>
      </w:r>
      <w:r w:rsidR="00062221">
        <w:rPr>
          <w:rFonts w:eastAsia="Times New Roman"/>
        </w:rPr>
        <w:t>’</w:t>
      </w:r>
      <w:r w:rsidRPr="00EB3D2F">
        <w:rPr>
          <w:rFonts w:eastAsia="Times New Roman"/>
        </w:rPr>
        <w:t>ai du mal à comprendre pourquoi c</w:t>
      </w:r>
      <w:r w:rsidR="00062221">
        <w:rPr>
          <w:rFonts w:eastAsia="Times New Roman"/>
        </w:rPr>
        <w:t>’</w:t>
      </w:r>
      <w:r w:rsidRPr="00EB3D2F">
        <w:rPr>
          <w:rFonts w:eastAsia="Times New Roman"/>
        </w:rPr>
        <w:t xml:space="preserve">est la qualification juridique de la notion de boycott retenue en droit français que la chambre reprend aux fins de son analyse dans le </w:t>
      </w:r>
      <w:r w:rsidR="00565C93">
        <w:rPr>
          <w:rFonts w:eastAsia="Times New Roman"/>
        </w:rPr>
        <w:t>paragraphe </w:t>
      </w:r>
      <w:r w:rsidRPr="00EB3D2F">
        <w:rPr>
          <w:rFonts w:eastAsia="Times New Roman"/>
        </w:rPr>
        <w:t xml:space="preserve">64. En effet, cette </w:t>
      </w:r>
      <w:proofErr w:type="gramStart"/>
      <w:r w:rsidRPr="00EB3D2F">
        <w:rPr>
          <w:rFonts w:eastAsia="Times New Roman"/>
        </w:rPr>
        <w:t>définition offre</w:t>
      </w:r>
      <w:proofErr w:type="gramEnd"/>
      <w:r w:rsidRPr="00EB3D2F">
        <w:rPr>
          <w:rFonts w:eastAsia="Times New Roman"/>
        </w:rPr>
        <w:t xml:space="preserve"> peu, voire pas, d</w:t>
      </w:r>
      <w:r w:rsidR="00062221">
        <w:rPr>
          <w:rFonts w:eastAsia="Times New Roman"/>
        </w:rPr>
        <w:t>’</w:t>
      </w:r>
      <w:r w:rsidRPr="00EB3D2F">
        <w:rPr>
          <w:rFonts w:eastAsia="Times New Roman"/>
        </w:rPr>
        <w:t>éléments de réponse quant à la question de la compatibilité avec la Convention des actes de boycott en tant qu</w:t>
      </w:r>
      <w:r w:rsidR="00062221">
        <w:rPr>
          <w:rFonts w:eastAsia="Times New Roman"/>
        </w:rPr>
        <w:t>’</w:t>
      </w:r>
      <w:r w:rsidRPr="00EB3D2F">
        <w:rPr>
          <w:rFonts w:eastAsia="Times New Roman"/>
        </w:rPr>
        <w:t>actes d</w:t>
      </w:r>
      <w:r w:rsidR="00062221">
        <w:rPr>
          <w:rFonts w:eastAsia="Times New Roman"/>
        </w:rPr>
        <w:t>’</w:t>
      </w:r>
      <w:r w:rsidRPr="00EB3D2F">
        <w:rPr>
          <w:rFonts w:eastAsia="Times New Roman"/>
        </w:rPr>
        <w:t>expression. Elle diffère de l</w:t>
      </w:r>
      <w:r w:rsidR="00062221">
        <w:rPr>
          <w:rFonts w:eastAsia="Times New Roman"/>
        </w:rPr>
        <w:t>’</w:t>
      </w:r>
      <w:r w:rsidRPr="00EB3D2F">
        <w:rPr>
          <w:rFonts w:eastAsia="Times New Roman"/>
        </w:rPr>
        <w:t>approche adoptée par certaines juridictions internes, comme la Cour constitutionnelle fédérale allemande, qui considèrent depuis longtemps que le droit d</w:t>
      </w:r>
      <w:r w:rsidR="00062221">
        <w:rPr>
          <w:rFonts w:eastAsia="Times New Roman"/>
        </w:rPr>
        <w:t>’</w:t>
      </w:r>
      <w:r w:rsidRPr="00EB3D2F">
        <w:rPr>
          <w:rFonts w:eastAsia="Times New Roman"/>
        </w:rPr>
        <w:t>appel au boycott découle manifestement du droit fondamental à la liberté d</w:t>
      </w:r>
      <w:r w:rsidR="00062221">
        <w:rPr>
          <w:rFonts w:eastAsia="Times New Roman"/>
        </w:rPr>
        <w:t>’</w:t>
      </w:r>
      <w:r w:rsidRPr="00EB3D2F">
        <w:rPr>
          <w:rFonts w:eastAsia="Times New Roman"/>
        </w:rPr>
        <w:t xml:space="preserve">expression qui est </w:t>
      </w:r>
      <w:r w:rsidR="006A4DF1">
        <w:rPr>
          <w:rFonts w:eastAsia="Times New Roman"/>
        </w:rPr>
        <w:t>« </w:t>
      </w:r>
      <w:r w:rsidRPr="00EB3D2F">
        <w:rPr>
          <w:rFonts w:eastAsia="Times New Roman"/>
        </w:rPr>
        <w:t xml:space="preserve">non seulement un droit à exprimer son opinion personnelle sans ingérence (un droit </w:t>
      </w:r>
      <w:r w:rsidR="006A4DF1">
        <w:rPr>
          <w:rFonts w:eastAsia="Times New Roman"/>
        </w:rPr>
        <w:t>« </w:t>
      </w:r>
      <w:r w:rsidRPr="00EB3D2F">
        <w:rPr>
          <w:rFonts w:eastAsia="Times New Roman"/>
        </w:rPr>
        <w:t>négatif</w:t>
      </w:r>
      <w:r w:rsidR="006A4DF1">
        <w:rPr>
          <w:rFonts w:eastAsia="Times New Roman"/>
        </w:rPr>
        <w:t> »</w:t>
      </w:r>
      <w:r w:rsidRPr="00EB3D2F">
        <w:rPr>
          <w:rFonts w:eastAsia="Times New Roman"/>
        </w:rPr>
        <w:t xml:space="preserve">), mais aussi </w:t>
      </w:r>
      <w:r w:rsidRPr="00EB3D2F">
        <w:rPr>
          <w:rFonts w:eastAsia="Times New Roman"/>
          <w:i/>
        </w:rPr>
        <w:t>un</w:t>
      </w:r>
      <w:r w:rsidRPr="00EB3D2F">
        <w:rPr>
          <w:rFonts w:eastAsia="Times New Roman"/>
        </w:rPr>
        <w:t xml:space="preserve"> </w:t>
      </w:r>
      <w:r w:rsidRPr="00EB3D2F">
        <w:rPr>
          <w:rFonts w:eastAsia="Times New Roman"/>
          <w:i/>
        </w:rPr>
        <w:t>droit politique consistant à chercher à modifier et modeler l</w:t>
      </w:r>
      <w:r w:rsidR="00062221">
        <w:rPr>
          <w:rFonts w:eastAsia="Times New Roman"/>
          <w:i/>
        </w:rPr>
        <w:t>’</w:t>
      </w:r>
      <w:r w:rsidRPr="00EB3D2F">
        <w:rPr>
          <w:rFonts w:eastAsia="Times New Roman"/>
          <w:i/>
        </w:rPr>
        <w:t xml:space="preserve">opinion publique dans sa globalité </w:t>
      </w:r>
      <w:r w:rsidRPr="00EB3D2F">
        <w:rPr>
          <w:rFonts w:eastAsia="Times New Roman"/>
        </w:rPr>
        <w:t xml:space="preserve">(un droit </w:t>
      </w:r>
      <w:r w:rsidR="006A4DF1">
        <w:rPr>
          <w:rFonts w:eastAsia="Times New Roman"/>
        </w:rPr>
        <w:t>« </w:t>
      </w:r>
      <w:r w:rsidRPr="00EB3D2F">
        <w:rPr>
          <w:rFonts w:eastAsia="Times New Roman"/>
        </w:rPr>
        <w:t>positif</w:t>
      </w:r>
      <w:r w:rsidR="006A4DF1">
        <w:rPr>
          <w:rFonts w:eastAsia="Times New Roman"/>
        </w:rPr>
        <w:t> »</w:t>
      </w:r>
      <w:r w:rsidRPr="00EB3D2F">
        <w:rPr>
          <w:rFonts w:eastAsia="Times New Roman"/>
        </w:rPr>
        <w:t>), qui l</w:t>
      </w:r>
      <w:r w:rsidR="00062221">
        <w:rPr>
          <w:rFonts w:eastAsia="Times New Roman"/>
        </w:rPr>
        <w:t>’</w:t>
      </w:r>
      <w:r w:rsidRPr="00EB3D2F">
        <w:rPr>
          <w:rFonts w:eastAsia="Times New Roman"/>
        </w:rPr>
        <w:t>emporte sur les droits privés dès lors que l</w:t>
      </w:r>
      <w:r w:rsidR="00062221">
        <w:rPr>
          <w:rFonts w:eastAsia="Times New Roman"/>
        </w:rPr>
        <w:t>’</w:t>
      </w:r>
      <w:r w:rsidRPr="00EB3D2F">
        <w:rPr>
          <w:rFonts w:eastAsia="Times New Roman"/>
        </w:rPr>
        <w:t>acte d</w:t>
      </w:r>
      <w:r w:rsidR="00062221">
        <w:rPr>
          <w:rFonts w:eastAsia="Times New Roman"/>
        </w:rPr>
        <w:t>’</w:t>
      </w:r>
      <w:r w:rsidRPr="00EB3D2F">
        <w:rPr>
          <w:rFonts w:eastAsia="Times New Roman"/>
        </w:rPr>
        <w:t>expression ne vise pas un but privé mais un but public</w:t>
      </w:r>
      <w:r w:rsidR="006A4DF1">
        <w:rPr>
          <w:rFonts w:eastAsia="Times New Roman"/>
        </w:rPr>
        <w:t> »</w:t>
      </w:r>
      <w:r w:rsidRPr="00EB3D2F">
        <w:rPr>
          <w:rFonts w:eastAsia="Times New Roman"/>
        </w:rPr>
        <w:t xml:space="preserve"> (</w:t>
      </w:r>
      <w:proofErr w:type="spellStart"/>
      <w:r w:rsidRPr="00EB3D2F">
        <w:rPr>
          <w:rFonts w:eastAsia="Times New Roman"/>
          <w:i/>
        </w:rPr>
        <w:t>Lüth</w:t>
      </w:r>
      <w:proofErr w:type="spellEnd"/>
      <w:r w:rsidRPr="00EB3D2F">
        <w:rPr>
          <w:rFonts w:eastAsia="Times New Roman"/>
        </w:rPr>
        <w:t>, 1 </w:t>
      </w:r>
      <w:proofErr w:type="spellStart"/>
      <w:r w:rsidRPr="00EB3D2F">
        <w:rPr>
          <w:rFonts w:eastAsia="Times New Roman"/>
        </w:rPr>
        <w:t>BvR</w:t>
      </w:r>
      <w:proofErr w:type="spellEnd"/>
      <w:r w:rsidRPr="00EB3D2F">
        <w:rPr>
          <w:rFonts w:eastAsia="Times New Roman"/>
        </w:rPr>
        <w:t> 400/51, 15</w:t>
      </w:r>
      <w:r w:rsidR="00565C93">
        <w:rPr>
          <w:rFonts w:eastAsia="Times New Roman"/>
        </w:rPr>
        <w:t> janvier</w:t>
      </w:r>
      <w:r w:rsidRPr="00EB3D2F">
        <w:rPr>
          <w:rFonts w:eastAsia="Times New Roman"/>
        </w:rPr>
        <w:t xml:space="preserve"> 1958, évoqué dans </w:t>
      </w:r>
      <w:r w:rsidR="00A54A38">
        <w:rPr>
          <w:rFonts w:eastAsia="Times New Roman"/>
        </w:rPr>
        <w:t>M. </w:t>
      </w:r>
      <w:r w:rsidRPr="00EB3D2F">
        <w:rPr>
          <w:rFonts w:eastAsia="Times New Roman"/>
        </w:rPr>
        <w:t xml:space="preserve">Bot, </w:t>
      </w:r>
      <w:r w:rsidR="006A4DF1">
        <w:rPr>
          <w:rFonts w:eastAsia="Times New Roman"/>
        </w:rPr>
        <w:t>« </w:t>
      </w:r>
      <w:r w:rsidRPr="00EB3D2F">
        <w:rPr>
          <w:rFonts w:eastAsia="Times New Roman"/>
        </w:rPr>
        <w:t xml:space="preserve">The right </w:t>
      </w:r>
      <w:r w:rsidR="00827A40">
        <w:rPr>
          <w:rFonts w:eastAsia="Times New Roman"/>
        </w:rPr>
        <w:t xml:space="preserve">to </w:t>
      </w:r>
      <w:r w:rsidRPr="00EB3D2F">
        <w:rPr>
          <w:rFonts w:eastAsia="Times New Roman"/>
        </w:rPr>
        <w:t xml:space="preserve">boycott: BDS, </w:t>
      </w:r>
      <w:proofErr w:type="spellStart"/>
      <w:r w:rsidRPr="00EB3D2F">
        <w:rPr>
          <w:rFonts w:eastAsia="Times New Roman"/>
        </w:rPr>
        <w:t>law</w:t>
      </w:r>
      <w:proofErr w:type="spellEnd"/>
      <w:r w:rsidRPr="00EB3D2F">
        <w:rPr>
          <w:rFonts w:eastAsia="Times New Roman"/>
        </w:rPr>
        <w:t xml:space="preserve"> and </w:t>
      </w:r>
      <w:proofErr w:type="spellStart"/>
      <w:r w:rsidRPr="00EB3D2F">
        <w:rPr>
          <w:rFonts w:eastAsia="Times New Roman"/>
        </w:rPr>
        <w:t>politics</w:t>
      </w:r>
      <w:proofErr w:type="spellEnd"/>
      <w:r w:rsidRPr="00EB3D2F">
        <w:rPr>
          <w:rFonts w:eastAsia="Times New Roman"/>
        </w:rPr>
        <w:t xml:space="preserve"> in a global </w:t>
      </w:r>
      <w:proofErr w:type="spellStart"/>
      <w:r w:rsidRPr="00EB3D2F">
        <w:rPr>
          <w:rFonts w:eastAsia="Times New Roman"/>
        </w:rPr>
        <w:t>context</w:t>
      </w:r>
      <w:proofErr w:type="spellEnd"/>
      <w:r w:rsidR="006A4DF1">
        <w:rPr>
          <w:rFonts w:eastAsia="Times New Roman"/>
        </w:rPr>
        <w:t> »</w:t>
      </w:r>
      <w:r w:rsidRPr="00EB3D2F">
        <w:rPr>
          <w:rFonts w:eastAsia="Times New Roman"/>
        </w:rPr>
        <w:t xml:space="preserve"> (2019), </w:t>
      </w:r>
      <w:r w:rsidRPr="00EB3D2F">
        <w:rPr>
          <w:rFonts w:eastAsia="Times New Roman"/>
          <w:i/>
        </w:rPr>
        <w:t xml:space="preserve">Transnational </w:t>
      </w:r>
      <w:proofErr w:type="spellStart"/>
      <w:r w:rsidRPr="00EB3D2F">
        <w:rPr>
          <w:rFonts w:eastAsia="Times New Roman"/>
          <w:i/>
        </w:rPr>
        <w:t>Legal</w:t>
      </w:r>
      <w:proofErr w:type="spellEnd"/>
      <w:r w:rsidRPr="00EB3D2F">
        <w:rPr>
          <w:rFonts w:eastAsia="Times New Roman"/>
          <w:i/>
        </w:rPr>
        <w:t xml:space="preserve"> Theory</w:t>
      </w:r>
      <w:r w:rsidRPr="00062221">
        <w:rPr>
          <w:rFonts w:eastAsia="Times New Roman"/>
        </w:rPr>
        <w:t>,</w:t>
      </w:r>
      <w:r w:rsidRPr="00EB3D2F">
        <w:rPr>
          <w:rFonts w:eastAsia="Times New Roman"/>
          <w:i/>
        </w:rPr>
        <w:t xml:space="preserve"> </w:t>
      </w:r>
      <w:r w:rsidRPr="00EB3D2F">
        <w:rPr>
          <w:rFonts w:eastAsia="Times New Roman"/>
        </w:rPr>
        <w:t>vol. 10, issue 3-4).</w:t>
      </w:r>
    </w:p>
    <w:p w:rsidRPr="00EB3D2F" w:rsidR="00886CD8" w:rsidP="00EB3D2F" w:rsidRDefault="00886CD8">
      <w:pPr>
        <w:pStyle w:val="JuPara"/>
        <w:rPr>
          <w:rFonts w:eastAsia="Times New Roman"/>
          <w:i/>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41</w:t>
      </w:r>
      <w:r w:rsidRPr="00EB3D2F">
        <w:rPr>
          <w:rFonts w:eastAsia="Times New Roman"/>
        </w:rPr>
        <w:fldChar w:fldCharType="end"/>
      </w:r>
      <w:r w:rsidRPr="00EB3D2F">
        <w:rPr>
          <w:rFonts w:eastAsia="Times New Roman"/>
        </w:rPr>
        <w:t>.  Enfin, en ce qui concerne la troisième approche, la Cour doit, lorsqu</w:t>
      </w:r>
      <w:r w:rsidR="00062221">
        <w:rPr>
          <w:rFonts w:eastAsia="Times New Roman"/>
        </w:rPr>
        <w:t>’</w:t>
      </w:r>
      <w:r w:rsidRPr="00EB3D2F">
        <w:rPr>
          <w:rFonts w:eastAsia="Times New Roman"/>
        </w:rPr>
        <w:t>elle est saisie d</w:t>
      </w:r>
      <w:r w:rsidR="00062221">
        <w:rPr>
          <w:rFonts w:eastAsia="Times New Roman"/>
        </w:rPr>
        <w:t>’</w:t>
      </w:r>
      <w:r w:rsidRPr="00EB3D2F">
        <w:rPr>
          <w:rFonts w:eastAsia="Times New Roman"/>
        </w:rPr>
        <w:t>une affaire de cette nature, chercher à offrir de l</w:t>
      </w:r>
      <w:r w:rsidR="00062221">
        <w:rPr>
          <w:rFonts w:eastAsia="Times New Roman"/>
        </w:rPr>
        <w:t>’</w:t>
      </w:r>
      <w:r w:rsidR="00565C93">
        <w:rPr>
          <w:rFonts w:eastAsia="Times New Roman"/>
        </w:rPr>
        <w:t>article </w:t>
      </w:r>
      <w:r w:rsidRPr="00EB3D2F">
        <w:rPr>
          <w:rFonts w:eastAsia="Times New Roman"/>
        </w:rPr>
        <w:t>10 de la Convention une interprétation conforme à sa jurisprudence bien établie, tout en restant consciente que certaines parties pourraient chercher à l</w:t>
      </w:r>
      <w:r w:rsidR="00062221">
        <w:rPr>
          <w:rFonts w:eastAsia="Times New Roman"/>
        </w:rPr>
        <w:t>’</w:t>
      </w:r>
      <w:r w:rsidRPr="00EB3D2F">
        <w:rPr>
          <w:rFonts w:eastAsia="Times New Roman"/>
        </w:rPr>
        <w:t xml:space="preserve">impliquer dans les luttes politiques qui sous-tendent certaines affaires. À cet égard, elle ne peut se permettre de faire preuve de naïveté. La chambre a, à raison, cherché à suivre un raisonnement judicieux. Renvoyant au </w:t>
      </w:r>
      <w:r w:rsidR="00565C93">
        <w:rPr>
          <w:rFonts w:eastAsia="Times New Roman"/>
        </w:rPr>
        <w:t>paragraphe </w:t>
      </w:r>
      <w:r w:rsidRPr="00EB3D2F">
        <w:rPr>
          <w:rFonts w:eastAsia="Times New Roman"/>
        </w:rPr>
        <w:t>18 du rapport d</w:t>
      </w:r>
      <w:r w:rsidR="00062221">
        <w:rPr>
          <w:rFonts w:eastAsia="Times New Roman"/>
        </w:rPr>
        <w:t>’</w:t>
      </w:r>
      <w:r w:rsidRPr="00EB3D2F">
        <w:rPr>
          <w:rFonts w:eastAsia="Times New Roman"/>
        </w:rPr>
        <w:t xml:space="preserve">activité de 2019 du rapporteur spécial des Nations unies (cité au </w:t>
      </w:r>
      <w:r w:rsidR="00565C93">
        <w:rPr>
          <w:rFonts w:eastAsia="Times New Roman"/>
        </w:rPr>
        <w:t>paragraphe </w:t>
      </w:r>
      <w:r w:rsidRPr="00EB3D2F">
        <w:rPr>
          <w:rFonts w:eastAsia="Times New Roman"/>
        </w:rPr>
        <w:t>21 de l</w:t>
      </w:r>
      <w:r w:rsidR="00062221">
        <w:rPr>
          <w:rFonts w:eastAsia="Times New Roman"/>
        </w:rPr>
        <w:t>’</w:t>
      </w:r>
      <w:r w:rsidRPr="00EB3D2F">
        <w:rPr>
          <w:rFonts w:eastAsia="Times New Roman"/>
        </w:rPr>
        <w:t>arrêt), dans lequel il est question du mouvement BDS, elle confirme que les manifestations non violentes de soutien aux boycotts relèvent, de manière générale, de la liberté d</w:t>
      </w:r>
      <w:r w:rsidR="00062221">
        <w:rPr>
          <w:rFonts w:eastAsia="Times New Roman"/>
        </w:rPr>
        <w:t>’</w:t>
      </w:r>
      <w:r w:rsidRPr="00EB3D2F">
        <w:rPr>
          <w:rFonts w:eastAsia="Times New Roman"/>
        </w:rPr>
        <w:t>expression légitime qu</w:t>
      </w:r>
      <w:r w:rsidR="00062221">
        <w:rPr>
          <w:rFonts w:eastAsia="Times New Roman"/>
        </w:rPr>
        <w:t>’</w:t>
      </w:r>
      <w:r w:rsidRPr="00EB3D2F">
        <w:rPr>
          <w:rFonts w:eastAsia="Times New Roman"/>
        </w:rPr>
        <w:t>il convient de protéger, tout en excluant les propos nourris de clichés et de stéréotypes antisémites, le rejet du droit d</w:t>
      </w:r>
      <w:r w:rsidR="00062221">
        <w:rPr>
          <w:rFonts w:eastAsia="Times New Roman"/>
        </w:rPr>
        <w:t>’</w:t>
      </w:r>
      <w:r w:rsidRPr="00EB3D2F">
        <w:rPr>
          <w:rFonts w:eastAsia="Times New Roman"/>
        </w:rPr>
        <w:t>Israël d</w:t>
      </w:r>
      <w:r w:rsidR="00062221">
        <w:rPr>
          <w:rFonts w:eastAsia="Times New Roman"/>
        </w:rPr>
        <w:t>’</w:t>
      </w:r>
      <w:r w:rsidRPr="00EB3D2F">
        <w:rPr>
          <w:rFonts w:eastAsia="Times New Roman"/>
        </w:rPr>
        <w:t>exister et l</w:t>
      </w:r>
      <w:r w:rsidR="00062221">
        <w:rPr>
          <w:rFonts w:eastAsia="Times New Roman"/>
        </w:rPr>
        <w:t>’</w:t>
      </w:r>
      <w:r w:rsidRPr="00EB3D2F">
        <w:rPr>
          <w:rFonts w:eastAsia="Times New Roman"/>
        </w:rPr>
        <w:t>incitation à la discrimination contre les Juifs en raison de leur religion. Il est bien établi et utile de répéter que les formes d</w:t>
      </w:r>
      <w:r w:rsidR="00062221">
        <w:rPr>
          <w:rFonts w:eastAsia="Times New Roman"/>
        </w:rPr>
        <w:t>’</w:t>
      </w:r>
      <w:r w:rsidRPr="00EB3D2F">
        <w:rPr>
          <w:rFonts w:eastAsia="Times New Roman"/>
        </w:rPr>
        <w:t>expression qui servent de paravent ou appellent à l</w:t>
      </w:r>
      <w:r w:rsidR="00062221">
        <w:rPr>
          <w:rFonts w:eastAsia="Times New Roman"/>
        </w:rPr>
        <w:t>’</w:t>
      </w:r>
      <w:r w:rsidRPr="00EB3D2F">
        <w:rPr>
          <w:rFonts w:eastAsia="Times New Roman"/>
        </w:rPr>
        <w:t>antisémitisme ne relèvent pas de la protection garantie par la Convention, que ce soit en vertu de l</w:t>
      </w:r>
      <w:r w:rsidR="00062221">
        <w:rPr>
          <w:rFonts w:eastAsia="Times New Roman"/>
        </w:rPr>
        <w:t>’</w:t>
      </w:r>
      <w:r w:rsidR="00565C93">
        <w:rPr>
          <w:rFonts w:eastAsia="Times New Roman"/>
        </w:rPr>
        <w:t>article </w:t>
      </w:r>
      <w:r w:rsidRPr="00EB3D2F">
        <w:rPr>
          <w:rFonts w:eastAsia="Times New Roman"/>
        </w:rPr>
        <w:t>17 ou en vertu de l</w:t>
      </w:r>
      <w:r w:rsidR="00062221">
        <w:rPr>
          <w:rFonts w:eastAsia="Times New Roman"/>
        </w:rPr>
        <w:t>’</w:t>
      </w:r>
      <w:r w:rsidR="00565C93">
        <w:rPr>
          <w:rFonts w:eastAsia="Times New Roman"/>
        </w:rPr>
        <w:t>article </w:t>
      </w:r>
      <w:r w:rsidRPr="00EB3D2F">
        <w:rPr>
          <w:rFonts w:eastAsia="Times New Roman"/>
        </w:rPr>
        <w:t xml:space="preserve">10 </w:t>
      </w:r>
      <w:r w:rsidR="00565C93">
        <w:rPr>
          <w:rFonts w:eastAsia="Times New Roman"/>
        </w:rPr>
        <w:t>§ </w:t>
      </w:r>
      <w:r w:rsidRPr="00EB3D2F">
        <w:rPr>
          <w:rFonts w:eastAsia="Times New Roman"/>
        </w:rPr>
        <w:t>2 interprété à la lumière de l</w:t>
      </w:r>
      <w:r w:rsidR="00062221">
        <w:rPr>
          <w:rFonts w:eastAsia="Times New Roman"/>
        </w:rPr>
        <w:t>’</w:t>
      </w:r>
      <w:r w:rsidR="00565C93">
        <w:rPr>
          <w:rFonts w:eastAsia="Times New Roman"/>
        </w:rPr>
        <w:t>article </w:t>
      </w:r>
      <w:r w:rsidRPr="00EB3D2F">
        <w:rPr>
          <w:rFonts w:eastAsia="Times New Roman"/>
        </w:rPr>
        <w:t>17. En revanche, les actes d</w:t>
      </w:r>
      <w:r w:rsidR="00062221">
        <w:rPr>
          <w:rFonts w:eastAsia="Times New Roman"/>
        </w:rPr>
        <w:t>’</w:t>
      </w:r>
      <w:r w:rsidRPr="00EB3D2F">
        <w:rPr>
          <w:rFonts w:eastAsia="Times New Roman"/>
        </w:rPr>
        <w:t>expression qui, comme en l</w:t>
      </w:r>
      <w:r w:rsidR="00062221">
        <w:rPr>
          <w:rFonts w:eastAsia="Times New Roman"/>
        </w:rPr>
        <w:t>’</w:t>
      </w:r>
      <w:r w:rsidRPr="00EB3D2F">
        <w:rPr>
          <w:rFonts w:eastAsia="Times New Roman"/>
        </w:rPr>
        <w:t>espèce, visent à condamner un gouvernement ou un État, en droite ligne de l</w:t>
      </w:r>
      <w:r w:rsidR="00062221">
        <w:rPr>
          <w:rFonts w:eastAsia="Times New Roman"/>
        </w:rPr>
        <w:t>’</w:t>
      </w:r>
      <w:r w:rsidRPr="00EB3D2F">
        <w:rPr>
          <w:rFonts w:eastAsia="Times New Roman"/>
        </w:rPr>
        <w:t xml:space="preserve">opinion formulée par des </w:t>
      </w:r>
      <w:r w:rsidR="006A4DF1">
        <w:rPr>
          <w:rFonts w:eastAsia="Times New Roman"/>
        </w:rPr>
        <w:t>« </w:t>
      </w:r>
      <w:r w:rsidRPr="00EB3D2F">
        <w:rPr>
          <w:rFonts w:eastAsia="Times New Roman"/>
        </w:rPr>
        <w:t>observateurs respectables</w:t>
      </w:r>
      <w:r w:rsidR="006A4DF1">
        <w:rPr>
          <w:rFonts w:eastAsia="Times New Roman"/>
        </w:rPr>
        <w:t> »</w:t>
      </w:r>
      <w:r w:rsidRPr="00EB3D2F">
        <w:rPr>
          <w:rFonts w:eastAsia="Times New Roman"/>
        </w:rPr>
        <w:t>, dont les États membres du Conseil de l</w:t>
      </w:r>
      <w:r w:rsidR="00062221">
        <w:rPr>
          <w:rFonts w:eastAsia="Times New Roman"/>
        </w:rPr>
        <w:t>’</w:t>
      </w:r>
      <w:r w:rsidRPr="00EB3D2F">
        <w:rPr>
          <w:rFonts w:eastAsia="Times New Roman"/>
        </w:rPr>
        <w:t>Europe, l</w:t>
      </w:r>
      <w:r w:rsidR="00062221">
        <w:rPr>
          <w:rFonts w:eastAsia="Times New Roman"/>
        </w:rPr>
        <w:t>’</w:t>
      </w:r>
      <w:r w:rsidRPr="00EB3D2F">
        <w:rPr>
          <w:rFonts w:eastAsia="Times New Roman"/>
        </w:rPr>
        <w:t>Assemblée générale des Nations unies, l</w:t>
      </w:r>
      <w:r w:rsidR="00062221">
        <w:rPr>
          <w:rFonts w:eastAsia="Times New Roman"/>
        </w:rPr>
        <w:t>’</w:t>
      </w:r>
      <w:r w:rsidRPr="00EB3D2F">
        <w:rPr>
          <w:rFonts w:eastAsia="Times New Roman"/>
        </w:rPr>
        <w:t>Union européenne et la Cour internationale de justice (voir l</w:t>
      </w:r>
      <w:r w:rsidR="00062221">
        <w:rPr>
          <w:rFonts w:eastAsia="Times New Roman"/>
        </w:rPr>
        <w:t>’</w:t>
      </w:r>
      <w:r w:rsidRPr="00EB3D2F">
        <w:rPr>
          <w:rFonts w:eastAsia="Times New Roman"/>
        </w:rPr>
        <w:t>arrêt rendu par la Cour d</w:t>
      </w:r>
      <w:r w:rsidR="00062221">
        <w:rPr>
          <w:rFonts w:eastAsia="Times New Roman"/>
        </w:rPr>
        <w:t>’</w:t>
      </w:r>
      <w:r w:rsidRPr="00EB3D2F">
        <w:rPr>
          <w:rFonts w:eastAsia="Times New Roman"/>
        </w:rPr>
        <w:t>appel d</w:t>
      </w:r>
      <w:r w:rsidR="00062221">
        <w:rPr>
          <w:rFonts w:eastAsia="Times New Roman"/>
        </w:rPr>
        <w:t>’</w:t>
      </w:r>
      <w:r w:rsidRPr="00EB3D2F">
        <w:rPr>
          <w:rFonts w:eastAsia="Times New Roman"/>
        </w:rPr>
        <w:t>Angleterre et du Pays de Galles (</w:t>
      </w:r>
      <w:r w:rsidRPr="00EB3D2F">
        <w:rPr>
          <w:rFonts w:eastAsia="Times New Roman"/>
          <w:i/>
        </w:rPr>
        <w:t>Lord Justice</w:t>
      </w:r>
      <w:r w:rsidRPr="00EB3D2F">
        <w:rPr>
          <w:rFonts w:eastAsia="Times New Roman"/>
        </w:rPr>
        <w:t xml:space="preserve"> Sales) dans l</w:t>
      </w:r>
      <w:r w:rsidR="00062221">
        <w:rPr>
          <w:rFonts w:eastAsia="Times New Roman"/>
        </w:rPr>
        <w:t>’</w:t>
      </w:r>
      <w:r w:rsidRPr="00EB3D2F">
        <w:rPr>
          <w:rFonts w:eastAsia="Times New Roman"/>
        </w:rPr>
        <w:t xml:space="preserve">affaire </w:t>
      </w:r>
      <w:r w:rsidRPr="00EB3D2F">
        <w:rPr>
          <w:rFonts w:eastAsia="Times New Roman"/>
          <w:i/>
        </w:rPr>
        <w:t xml:space="preserve">The </w:t>
      </w:r>
      <w:proofErr w:type="spellStart"/>
      <w:r w:rsidRPr="00EB3D2F">
        <w:rPr>
          <w:rFonts w:eastAsia="Times New Roman"/>
          <w:i/>
        </w:rPr>
        <w:t>Queen</w:t>
      </w:r>
      <w:proofErr w:type="spellEnd"/>
      <w:r w:rsidRPr="00EB3D2F">
        <w:rPr>
          <w:rFonts w:eastAsia="Times New Roman"/>
          <w:i/>
        </w:rPr>
        <w:t xml:space="preserve"> on the Application of: </w:t>
      </w:r>
      <w:proofErr w:type="spellStart"/>
      <w:r w:rsidRPr="00EB3D2F">
        <w:rPr>
          <w:rFonts w:eastAsia="Times New Roman"/>
          <w:i/>
        </w:rPr>
        <w:t>Jewish</w:t>
      </w:r>
      <w:proofErr w:type="spellEnd"/>
      <w:r w:rsidRPr="00EB3D2F">
        <w:rPr>
          <w:rFonts w:eastAsia="Times New Roman"/>
          <w:i/>
        </w:rPr>
        <w:t xml:space="preserve"> </w:t>
      </w:r>
      <w:proofErr w:type="spellStart"/>
      <w:r w:rsidRPr="00EB3D2F">
        <w:rPr>
          <w:rFonts w:eastAsia="Times New Roman"/>
          <w:i/>
        </w:rPr>
        <w:t>Rights</w:t>
      </w:r>
      <w:proofErr w:type="spellEnd"/>
      <w:r w:rsidRPr="00EB3D2F">
        <w:rPr>
          <w:rFonts w:eastAsia="Times New Roman"/>
          <w:i/>
        </w:rPr>
        <w:t xml:space="preserve"> Watch Ltd (T/A </w:t>
      </w:r>
      <w:proofErr w:type="spellStart"/>
      <w:r w:rsidRPr="00EB3D2F">
        <w:rPr>
          <w:rFonts w:eastAsia="Times New Roman"/>
          <w:i/>
        </w:rPr>
        <w:t>Jewish</w:t>
      </w:r>
      <w:proofErr w:type="spellEnd"/>
      <w:r w:rsidRPr="00EB3D2F">
        <w:rPr>
          <w:rFonts w:eastAsia="Times New Roman"/>
          <w:i/>
        </w:rPr>
        <w:t xml:space="preserve"> </w:t>
      </w:r>
      <w:proofErr w:type="spellStart"/>
      <w:r w:rsidRPr="00EB3D2F">
        <w:rPr>
          <w:rFonts w:eastAsia="Times New Roman"/>
          <w:i/>
        </w:rPr>
        <w:t>Human</w:t>
      </w:r>
      <w:proofErr w:type="spellEnd"/>
      <w:r w:rsidRPr="00EB3D2F">
        <w:rPr>
          <w:rFonts w:eastAsia="Times New Roman"/>
          <w:i/>
        </w:rPr>
        <w:t xml:space="preserve"> </w:t>
      </w:r>
      <w:proofErr w:type="spellStart"/>
      <w:r w:rsidRPr="00EB3D2F">
        <w:rPr>
          <w:rFonts w:eastAsia="Times New Roman"/>
          <w:i/>
        </w:rPr>
        <w:t>Rights</w:t>
      </w:r>
      <w:proofErr w:type="spellEnd"/>
      <w:r w:rsidRPr="00EB3D2F">
        <w:rPr>
          <w:rFonts w:eastAsia="Times New Roman"/>
          <w:i/>
        </w:rPr>
        <w:t xml:space="preserve"> Watch) v. Leicester City Council</w:t>
      </w:r>
      <w:r w:rsidRPr="00EB3D2F">
        <w:rPr>
          <w:rFonts w:eastAsia="Times New Roman"/>
        </w:rPr>
        <w:t xml:space="preserve">, [2018] EWCA </w:t>
      </w:r>
      <w:proofErr w:type="spellStart"/>
      <w:r w:rsidRPr="00EB3D2F">
        <w:rPr>
          <w:rFonts w:eastAsia="Times New Roman"/>
        </w:rPr>
        <w:t>Civ</w:t>
      </w:r>
      <w:proofErr w:type="spellEnd"/>
      <w:r w:rsidR="008A4587">
        <w:rPr>
          <w:rFonts w:eastAsia="Times New Roman"/>
        </w:rPr>
        <w:t>.</w:t>
      </w:r>
      <w:r w:rsidRPr="00EB3D2F">
        <w:rPr>
          <w:rFonts w:eastAsia="Times New Roman"/>
        </w:rPr>
        <w:t xml:space="preserve"> 1551, </w:t>
      </w:r>
      <w:r w:rsidR="00565C93">
        <w:rPr>
          <w:rFonts w:eastAsia="Times New Roman"/>
        </w:rPr>
        <w:t>§ </w:t>
      </w:r>
      <w:r w:rsidRPr="00EB3D2F">
        <w:rPr>
          <w:rFonts w:eastAsia="Times New Roman"/>
        </w:rPr>
        <w:t>38), peuvent indiscutablement relever de l</w:t>
      </w:r>
      <w:r w:rsidR="00062221">
        <w:rPr>
          <w:rFonts w:eastAsia="Times New Roman"/>
        </w:rPr>
        <w:t>’</w:t>
      </w:r>
      <w:r w:rsidR="00565C93">
        <w:rPr>
          <w:rFonts w:eastAsia="Times New Roman"/>
        </w:rPr>
        <w:t>article </w:t>
      </w:r>
      <w:r w:rsidRPr="00EB3D2F">
        <w:rPr>
          <w:rFonts w:eastAsia="Times New Roman"/>
        </w:rPr>
        <w:t>10 de la Convention. C</w:t>
      </w:r>
      <w:r w:rsidR="00062221">
        <w:rPr>
          <w:rFonts w:eastAsia="Times New Roman"/>
        </w:rPr>
        <w:t>’</w:t>
      </w:r>
      <w:r w:rsidRPr="00EB3D2F">
        <w:rPr>
          <w:rFonts w:eastAsia="Times New Roman"/>
        </w:rPr>
        <w:t>est manifestement ce qu</w:t>
      </w:r>
      <w:r w:rsidR="00062221">
        <w:rPr>
          <w:rFonts w:eastAsia="Times New Roman"/>
        </w:rPr>
        <w:t>’</w:t>
      </w:r>
      <w:r w:rsidRPr="00EB3D2F">
        <w:rPr>
          <w:rFonts w:eastAsia="Times New Roman"/>
        </w:rPr>
        <w:t xml:space="preserve">il ressort des </w:t>
      </w:r>
      <w:r w:rsidR="00565C93">
        <w:rPr>
          <w:rFonts w:eastAsia="Times New Roman"/>
        </w:rPr>
        <w:t>paragraphes </w:t>
      </w:r>
      <w:r w:rsidRPr="00EB3D2F">
        <w:rPr>
          <w:rFonts w:eastAsia="Times New Roman"/>
        </w:rPr>
        <w:t>78 et 79 de l</w:t>
      </w:r>
      <w:r w:rsidR="00062221">
        <w:rPr>
          <w:rFonts w:eastAsia="Times New Roman"/>
        </w:rPr>
        <w:t>’</w:t>
      </w:r>
      <w:r w:rsidRPr="00EB3D2F">
        <w:rPr>
          <w:rFonts w:eastAsia="Times New Roman"/>
        </w:rPr>
        <w:t>arrêt de la chambre.</w:t>
      </w:r>
    </w:p>
    <w:p w:rsidRPr="00EB3D2F" w:rsidR="00E52CC8" w:rsidP="00EB3D2F" w:rsidRDefault="00886CD8">
      <w:pPr>
        <w:pStyle w:val="JuPara"/>
        <w:rPr>
          <w:rFonts w:eastAsia="Times New Roman"/>
        </w:rPr>
      </w:pPr>
      <w:r w:rsidRPr="00EB3D2F">
        <w:rPr>
          <w:rFonts w:eastAsia="Times New Roman"/>
        </w:rPr>
        <w:fldChar w:fldCharType="begin"/>
      </w:r>
      <w:r w:rsidRPr="00EB3D2F">
        <w:rPr>
          <w:rFonts w:eastAsia="Times New Roman"/>
        </w:rPr>
        <w:instrText xml:space="preserve"> SEQ level0 \*arabic </w:instrText>
      </w:r>
      <w:r w:rsidRPr="00EB3D2F">
        <w:rPr>
          <w:rFonts w:eastAsia="Times New Roman"/>
        </w:rPr>
        <w:fldChar w:fldCharType="separate"/>
      </w:r>
      <w:r w:rsidRPr="00EB3D2F" w:rsidR="00EB3D2F">
        <w:rPr>
          <w:rFonts w:eastAsia="Times New Roman"/>
          <w:noProof/>
        </w:rPr>
        <w:t>42</w:t>
      </w:r>
      <w:r w:rsidRPr="00EB3D2F">
        <w:rPr>
          <w:rFonts w:eastAsia="Times New Roman"/>
        </w:rPr>
        <w:fldChar w:fldCharType="end"/>
      </w:r>
      <w:r w:rsidRPr="00EB3D2F">
        <w:rPr>
          <w:rFonts w:eastAsia="Times New Roman"/>
        </w:rPr>
        <w:t xml:space="preserve">.  Le premier acte de boycott – appelé ainsi en référence au Capitaine Charles Cunningham Boycott – fut organisé en 1880 par les métayers et résidents de Lough </w:t>
      </w:r>
      <w:proofErr w:type="spellStart"/>
      <w:r w:rsidRPr="00EB3D2F">
        <w:rPr>
          <w:rFonts w:eastAsia="Times New Roman"/>
        </w:rPr>
        <w:t>Mask</w:t>
      </w:r>
      <w:proofErr w:type="spellEnd"/>
      <w:r w:rsidRPr="00EB3D2F">
        <w:rPr>
          <w:rFonts w:eastAsia="Times New Roman"/>
        </w:rPr>
        <w:t xml:space="preserve"> et du village de </w:t>
      </w:r>
      <w:proofErr w:type="spellStart"/>
      <w:r w:rsidRPr="00EB3D2F">
        <w:rPr>
          <w:rFonts w:eastAsia="Times New Roman"/>
        </w:rPr>
        <w:t>Ballinrobe</w:t>
      </w:r>
      <w:proofErr w:type="spellEnd"/>
      <w:r w:rsidRPr="00EB3D2F">
        <w:rPr>
          <w:rFonts w:eastAsia="Times New Roman"/>
        </w:rPr>
        <w:t xml:space="preserve">, dans le Comté de Mayo, en Irlande. Un long chemin a été parcouru depuis </w:t>
      </w:r>
      <w:r w:rsidR="00C97FCD">
        <w:rPr>
          <w:rFonts w:eastAsia="Times New Roman"/>
        </w:rPr>
        <w:t xml:space="preserve">Mayo </w:t>
      </w:r>
      <w:r w:rsidRPr="00EB3D2F">
        <w:rPr>
          <w:rFonts w:eastAsia="Times New Roman"/>
        </w:rPr>
        <w:t>jusqu</w:t>
      </w:r>
      <w:r w:rsidR="00062221">
        <w:rPr>
          <w:rFonts w:eastAsia="Times New Roman"/>
        </w:rPr>
        <w:t>’</w:t>
      </w:r>
      <w:r w:rsidRPr="00EB3D2F">
        <w:rPr>
          <w:rFonts w:eastAsia="Times New Roman"/>
        </w:rPr>
        <w:t>au supermarché Carrefour à Illzach, en Alsace, et par la suite aux cours d</w:t>
      </w:r>
      <w:r w:rsidR="00062221">
        <w:rPr>
          <w:rFonts w:eastAsia="Times New Roman"/>
        </w:rPr>
        <w:t>’</w:t>
      </w:r>
      <w:r w:rsidRPr="00EB3D2F">
        <w:rPr>
          <w:rFonts w:eastAsia="Times New Roman"/>
        </w:rPr>
        <w:t>appel de Douai et de Colmar et enfin devant la chambre criminelle de la Cour de cassation à Paris.</w:t>
      </w:r>
    </w:p>
    <w:p w:rsidRPr="00EB3D2F" w:rsidR="001C45B8" w:rsidP="00EB3D2F" w:rsidRDefault="001C45B8">
      <w:pPr>
        <w:pStyle w:val="JuPara"/>
        <w:rPr>
          <w:rFonts w:eastAsia="Times New Roman"/>
        </w:rPr>
      </w:pPr>
    </w:p>
    <w:sectPr w:rsidRPr="00EB3D2F" w:rsidR="001C45B8" w:rsidSect="00886CD8">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03B" w:rsidRPr="001C3AE1" w:rsidRDefault="00B1503B" w:rsidP="00E77CB3">
      <w:r w:rsidRPr="001C3AE1">
        <w:separator/>
      </w:r>
    </w:p>
  </w:endnote>
  <w:endnote w:type="continuationSeparator" w:id="0">
    <w:p w:rsidR="00B1503B" w:rsidRPr="001C3AE1" w:rsidRDefault="00B1503B" w:rsidP="00E77CB3">
      <w:r w:rsidRPr="001C3A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03B" w:rsidRDefault="00B1503B" w:rsidP="00B51067">
    <w:pPr>
      <w:pStyle w:val="Footer"/>
    </w:pPr>
  </w:p>
  <w:p w:rsidR="00B1503B" w:rsidRDefault="00B150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8847702"/>
      <w:docPartObj>
        <w:docPartGallery w:val="Page Numbers (Bottom of Page)"/>
        <w:docPartUnique/>
      </w:docPartObj>
    </w:sdtPr>
    <w:sdtEndPr/>
    <w:sdtContent>
      <w:p w:rsidR="00B1503B" w:rsidRDefault="00B1503B" w:rsidP="00454348">
        <w:pPr>
          <w:pStyle w:val="Footer"/>
        </w:pPr>
        <w:r>
          <w:tab/>
        </w:r>
        <w:r>
          <w:rPr>
            <w:noProof/>
            <w:lang w:val="en-US" w:eastAsia="ja-JP"/>
          </w:rPr>
          <w:drawing>
            <wp:inline distT="0" distB="0" distL="0" distR="0" wp14:anchorId="1BD5A68C" wp14:editId="6E6312A9">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sdtContent>
  </w:sdt>
  <w:p w:rsidR="00B1503B" w:rsidRDefault="00B150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4559897"/>
      <w:docPartObj>
        <w:docPartGallery w:val="Page Numbers (Bottom of Page)"/>
        <w:docPartUnique/>
      </w:docPartObj>
    </w:sdtPr>
    <w:sdtEndPr/>
    <w:sdtContent>
      <w:p w:rsidR="00B1503B" w:rsidRDefault="00B1503B" w:rsidP="00B51067">
        <w:pPr>
          <w:pStyle w:val="Footer"/>
        </w:pPr>
        <w:r>
          <w:tab/>
        </w:r>
        <w:r>
          <w:fldChar w:fldCharType="begin"/>
        </w:r>
        <w:r w:rsidRPr="00F921AB">
          <w:instrText xml:space="preserve"> PAGE </w:instrText>
        </w:r>
        <w:r>
          <w:fldChar w:fldCharType="separate"/>
        </w:r>
        <w:r w:rsidR="00062221">
          <w:rPr>
            <w:noProof/>
          </w:rPr>
          <w:t>2</w:t>
        </w:r>
        <w:r>
          <w:fldChar w:fldCharType="end"/>
        </w:r>
      </w:p>
    </w:sdtContent>
  </w:sdt>
  <w:p w:rsidR="00B1503B" w:rsidRDefault="00B150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6298378"/>
      <w:docPartObj>
        <w:docPartGallery w:val="Page Numbers (Bottom of Page)"/>
        <w:docPartUnique/>
      </w:docPartObj>
    </w:sdtPr>
    <w:sdtEndPr/>
    <w:sdtContent>
      <w:p w:rsidR="00B1503B" w:rsidRDefault="00B1503B" w:rsidP="00B51067">
        <w:pPr>
          <w:pStyle w:val="Footer"/>
        </w:pPr>
        <w:r>
          <w:tab/>
        </w:r>
        <w:r>
          <w:fldChar w:fldCharType="begin"/>
        </w:r>
        <w:r w:rsidRPr="00F921AB">
          <w:instrText xml:space="preserve"> PAGE </w:instrText>
        </w:r>
        <w:r>
          <w:fldChar w:fldCharType="separate"/>
        </w:r>
        <w:r w:rsidR="00062221">
          <w:rPr>
            <w:noProof/>
          </w:rPr>
          <w:t>1</w:t>
        </w:r>
        <w:r>
          <w:fldChar w:fldCharType="end"/>
        </w:r>
      </w:p>
    </w:sdtContent>
  </w:sdt>
  <w:p w:rsidR="00B1503B" w:rsidRDefault="00B150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03B" w:rsidRPr="001C3AE1" w:rsidRDefault="00B1503B" w:rsidP="00E77CB3">
      <w:r w:rsidRPr="001C3AE1">
        <w:separator/>
      </w:r>
    </w:p>
  </w:footnote>
  <w:footnote w:type="continuationSeparator" w:id="0">
    <w:p w:rsidR="00B1503B" w:rsidRPr="001C3AE1" w:rsidRDefault="00B1503B" w:rsidP="00E77CB3">
      <w:r w:rsidRPr="001C3AE1">
        <w:continuationSeparator/>
      </w:r>
    </w:p>
  </w:footnote>
  <w:footnote w:id="1">
    <w:p w:rsidR="00B1503B" w:rsidRPr="00A9038C" w:rsidRDefault="00B1503B" w:rsidP="00886CD8">
      <w:pPr>
        <w:pStyle w:val="FootnoteText"/>
        <w:jc w:val="both"/>
        <w:rPr>
          <w:rFonts w:ascii="Times New Roman" w:hAnsi="Times New Roman" w:cs="Times New Roman"/>
        </w:rPr>
      </w:pPr>
      <w:r w:rsidRPr="00796B6C">
        <w:rPr>
          <w:rStyle w:val="FootnoteReference"/>
          <w:rFonts w:ascii="Times New Roman" w:hAnsi="Times New Roman" w:cs="Times New Roman"/>
        </w:rPr>
        <w:footnoteRef/>
      </w:r>
      <w:r>
        <w:rPr>
          <w:rFonts w:ascii="Times New Roman" w:hAnsi="Times New Roman" w:cs="Times New Roman"/>
        </w:rPr>
        <w:t>  </w:t>
      </w:r>
      <w:r w:rsidRPr="00796B6C">
        <w:rPr>
          <w:rFonts w:ascii="Times New Roman" w:hAnsi="Times New Roman" w:cs="Times New Roman"/>
        </w:rPr>
        <w:t xml:space="preserve">Voir J.-B. </w:t>
      </w:r>
      <w:proofErr w:type="spellStart"/>
      <w:r w:rsidRPr="00796B6C">
        <w:rPr>
          <w:rFonts w:ascii="Times New Roman" w:hAnsi="Times New Roman" w:cs="Times New Roman"/>
        </w:rPr>
        <w:t>Jacquin</w:t>
      </w:r>
      <w:proofErr w:type="spellEnd"/>
      <w:r w:rsidRPr="00796B6C">
        <w:rPr>
          <w:rFonts w:ascii="Times New Roman" w:hAnsi="Times New Roman" w:cs="Times New Roman"/>
        </w:rPr>
        <w:t xml:space="preserve"> «</w:t>
      </w:r>
      <w:r>
        <w:rPr>
          <w:rFonts w:ascii="Times New Roman" w:hAnsi="Times New Roman" w:cs="Times New Roman"/>
        </w:rPr>
        <w:t> </w:t>
      </w:r>
      <w:r w:rsidRPr="00796B6C">
        <w:rPr>
          <w:rFonts w:ascii="Times New Roman" w:hAnsi="Times New Roman" w:cs="Times New Roman"/>
        </w:rPr>
        <w:t>L’appel à boycotter Israël déclaré illégal. Un arrêt de la Cour de cassation fait de la France l’un des rares pays à interdire les actions du mouvement pro</w:t>
      </w:r>
      <w:r>
        <w:rPr>
          <w:rFonts w:ascii="Times New Roman" w:hAnsi="Times New Roman" w:cs="Times New Roman"/>
        </w:rPr>
        <w:noBreakHyphen/>
      </w:r>
      <w:r w:rsidRPr="00796B6C">
        <w:rPr>
          <w:rFonts w:ascii="Times New Roman" w:hAnsi="Times New Roman" w:cs="Times New Roman"/>
        </w:rPr>
        <w:t>palestinien BDS</w:t>
      </w:r>
      <w:r>
        <w:rPr>
          <w:rFonts w:ascii="Times New Roman" w:hAnsi="Times New Roman" w:cs="Times New Roman"/>
        </w:rPr>
        <w:t> </w:t>
      </w:r>
      <w:r w:rsidRPr="00796B6C">
        <w:rPr>
          <w:rFonts w:ascii="Times New Roman" w:hAnsi="Times New Roman" w:cs="Times New Roman"/>
        </w:rPr>
        <w:t xml:space="preserve">», </w:t>
      </w:r>
      <w:r w:rsidRPr="00796B6C">
        <w:rPr>
          <w:rFonts w:ascii="Times New Roman" w:hAnsi="Times New Roman" w:cs="Times New Roman"/>
          <w:i/>
        </w:rPr>
        <w:t>Le Monde</w:t>
      </w:r>
      <w:r w:rsidRPr="00796B6C">
        <w:rPr>
          <w:rFonts w:ascii="Times New Roman" w:hAnsi="Times New Roman" w:cs="Times New Roman"/>
        </w:rPr>
        <w:t>, 6</w:t>
      </w:r>
      <w:r>
        <w:rPr>
          <w:rFonts w:ascii="Times New Roman" w:hAnsi="Times New Roman" w:cs="Times New Roman"/>
        </w:rPr>
        <w:t> novembre</w:t>
      </w:r>
      <w:r w:rsidRPr="00796B6C">
        <w:rPr>
          <w:rFonts w:ascii="Times New Roman" w:hAnsi="Times New Roman" w:cs="Times New Roman"/>
        </w:rPr>
        <w:t xml:space="preserve"> 2015</w:t>
      </w:r>
      <w:r>
        <w:rPr>
          <w:rFonts w:ascii="Times New Roman" w:hAnsi="Times New Roman" w:cs="Times New Roman"/>
        </w:rPr>
        <w:t xml:space="preserve"> (italique ajouté)</w:t>
      </w:r>
      <w:r w:rsidRPr="00796B6C">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03B" w:rsidRPr="0098237D" w:rsidRDefault="00B1503B" w:rsidP="00F872F6">
    <w:pPr>
      <w:pStyle w:val="JuHeader"/>
      <w:tabs>
        <w:tab w:val="center" w:pos="3685"/>
      </w:tabs>
    </w:pPr>
    <w:r>
      <w:rPr>
        <w:noProof/>
      </w:rPr>
      <w:t xml:space="preserve">ARRÊT </w:t>
    </w:r>
    <w:r w:rsidRPr="0098237D">
      <w:t>BALDASSI ET AUTRES</w:t>
    </w:r>
    <w:r>
      <w:t xml:space="preserve"> c. FRANCE - </w:t>
    </w:r>
    <w:r w:rsidRPr="00B05AD8">
      <w:t>OPINION SÉPARÉE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03B" w:rsidRPr="00F779A8" w:rsidRDefault="00B1503B" w:rsidP="003A2B02">
    <w:pPr>
      <w:pStyle w:val="JuHeader"/>
      <w:tabs>
        <w:tab w:val="center" w:pos="3685"/>
        <w:tab w:val="right" w:pos="7370"/>
      </w:tabs>
    </w:pPr>
    <w:r w:rsidRPr="00F779A8">
      <w:t xml:space="preserve">ARRÊT </w:t>
    </w:r>
    <w:r>
      <w:t>BALDASSI ET AUTRES c. FRANCE</w:t>
    </w:r>
  </w:p>
  <w:p w:rsidR="00B1503B" w:rsidRPr="003A2B02" w:rsidRDefault="00B1503B" w:rsidP="003A2B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03B" w:rsidRDefault="00B1503B" w:rsidP="00454348">
    <w:pPr>
      <w:pStyle w:val="Header"/>
      <w:jc w:val="center"/>
    </w:pPr>
    <w:r>
      <w:rPr>
        <w:noProof/>
        <w:lang w:val="en-US" w:eastAsia="ja-JP"/>
      </w:rPr>
      <w:drawing>
        <wp:inline distT="0" distB="0" distL="0" distR="0" wp14:anchorId="4AB6180C" wp14:editId="46C55834">
          <wp:extent cx="2962910" cy="12192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19200"/>
                  </a:xfrm>
                  <a:prstGeom prst="rect">
                    <a:avLst/>
                  </a:prstGeom>
                  <a:noFill/>
                </pic:spPr>
              </pic:pic>
            </a:graphicData>
          </a:graphic>
        </wp:inline>
      </w:drawing>
    </w:r>
  </w:p>
  <w:p w:rsidR="00B1503B" w:rsidRDefault="00B1503B" w:rsidP="00454348">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03B" w:rsidRPr="00F779A8" w:rsidRDefault="00B1503B" w:rsidP="003A2B02">
    <w:pPr>
      <w:pStyle w:val="JuHeader"/>
      <w:tabs>
        <w:tab w:val="center" w:pos="3685"/>
        <w:tab w:val="right" w:pos="7370"/>
      </w:tabs>
    </w:pPr>
    <w:r w:rsidRPr="00F779A8">
      <w:t xml:space="preserve">ARRÊT </w:t>
    </w:r>
    <w:r>
      <w:t>BALDASSI ET AUTRES c. FRANCE</w:t>
    </w:r>
  </w:p>
  <w:p w:rsidR="00B1503B" w:rsidRDefault="00B1503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503B" w:rsidRPr="00F779A8" w:rsidRDefault="00B1503B" w:rsidP="00F872F6">
    <w:pPr>
      <w:pStyle w:val="JuHeader"/>
      <w:tabs>
        <w:tab w:val="center" w:pos="3685"/>
        <w:tab w:val="right" w:pos="7370"/>
      </w:tabs>
    </w:pPr>
    <w:r w:rsidRPr="00F779A8">
      <w:t xml:space="preserve">ARRÊT </w:t>
    </w:r>
    <w:r>
      <w:t>BALDASSI ET AUTRES c. FRANCE – OPINION SÉPARÉE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7372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Application" w:val="6"/>
    <w:docVar w:name="NBEMMDOC" w:val="0"/>
  </w:docVars>
  <w:rsids>
    <w:rsidRoot w:val="00382AC5"/>
    <w:rsid w:val="00002381"/>
    <w:rsid w:val="000036C3"/>
    <w:rsid w:val="000041F8"/>
    <w:rsid w:val="000042A8"/>
    <w:rsid w:val="00004308"/>
    <w:rsid w:val="0000567B"/>
    <w:rsid w:val="00005BF0"/>
    <w:rsid w:val="00007154"/>
    <w:rsid w:val="000103AE"/>
    <w:rsid w:val="000117FB"/>
    <w:rsid w:val="00011D69"/>
    <w:rsid w:val="00012AD3"/>
    <w:rsid w:val="00012ED7"/>
    <w:rsid w:val="00015C2D"/>
    <w:rsid w:val="00015F00"/>
    <w:rsid w:val="00016634"/>
    <w:rsid w:val="000166EC"/>
    <w:rsid w:val="0001674F"/>
    <w:rsid w:val="00016811"/>
    <w:rsid w:val="000200DF"/>
    <w:rsid w:val="00020D6A"/>
    <w:rsid w:val="00022C1D"/>
    <w:rsid w:val="000249C7"/>
    <w:rsid w:val="00025879"/>
    <w:rsid w:val="00031134"/>
    <w:rsid w:val="00031347"/>
    <w:rsid w:val="00032054"/>
    <w:rsid w:val="00034987"/>
    <w:rsid w:val="00035334"/>
    <w:rsid w:val="000355F2"/>
    <w:rsid w:val="00040F21"/>
    <w:rsid w:val="00042E32"/>
    <w:rsid w:val="00043A74"/>
    <w:rsid w:val="00043EFB"/>
    <w:rsid w:val="00046E2E"/>
    <w:rsid w:val="000507C6"/>
    <w:rsid w:val="00050F12"/>
    <w:rsid w:val="000516D1"/>
    <w:rsid w:val="00056083"/>
    <w:rsid w:val="00057D35"/>
    <w:rsid w:val="000602DF"/>
    <w:rsid w:val="00060790"/>
    <w:rsid w:val="00060C4C"/>
    <w:rsid w:val="00061B05"/>
    <w:rsid w:val="00062221"/>
    <w:rsid w:val="000625F4"/>
    <w:rsid w:val="000632D5"/>
    <w:rsid w:val="000644EE"/>
    <w:rsid w:val="00066A71"/>
    <w:rsid w:val="00066F40"/>
    <w:rsid w:val="000678AF"/>
    <w:rsid w:val="000706C0"/>
    <w:rsid w:val="000707F1"/>
    <w:rsid w:val="00070A0E"/>
    <w:rsid w:val="0007370D"/>
    <w:rsid w:val="00077847"/>
    <w:rsid w:val="00081172"/>
    <w:rsid w:val="000818DC"/>
    <w:rsid w:val="0008476E"/>
    <w:rsid w:val="00084E17"/>
    <w:rsid w:val="0008562E"/>
    <w:rsid w:val="00085AAC"/>
    <w:rsid w:val="0009101E"/>
    <w:rsid w:val="000925AD"/>
    <w:rsid w:val="00092FF6"/>
    <w:rsid w:val="00095AFE"/>
    <w:rsid w:val="00096909"/>
    <w:rsid w:val="000A24EB"/>
    <w:rsid w:val="000A5B1B"/>
    <w:rsid w:val="000A5EFF"/>
    <w:rsid w:val="000B03B9"/>
    <w:rsid w:val="000B1CA1"/>
    <w:rsid w:val="000B329C"/>
    <w:rsid w:val="000B6923"/>
    <w:rsid w:val="000B6CD8"/>
    <w:rsid w:val="000B7B33"/>
    <w:rsid w:val="000C06E8"/>
    <w:rsid w:val="000C52F3"/>
    <w:rsid w:val="000C5F3C"/>
    <w:rsid w:val="000C6DCC"/>
    <w:rsid w:val="000D01EC"/>
    <w:rsid w:val="000D1C1F"/>
    <w:rsid w:val="000D1C4C"/>
    <w:rsid w:val="000D47AA"/>
    <w:rsid w:val="000D721F"/>
    <w:rsid w:val="000E00D1"/>
    <w:rsid w:val="000E069B"/>
    <w:rsid w:val="000E0E82"/>
    <w:rsid w:val="000E1DC5"/>
    <w:rsid w:val="000E223F"/>
    <w:rsid w:val="000E335D"/>
    <w:rsid w:val="000E33B0"/>
    <w:rsid w:val="000E3D0A"/>
    <w:rsid w:val="000E5A6B"/>
    <w:rsid w:val="000E6F3B"/>
    <w:rsid w:val="000E78F4"/>
    <w:rsid w:val="000E7D45"/>
    <w:rsid w:val="000F00EF"/>
    <w:rsid w:val="000F1626"/>
    <w:rsid w:val="000F27F3"/>
    <w:rsid w:val="000F3C31"/>
    <w:rsid w:val="000F6BDE"/>
    <w:rsid w:val="000F7851"/>
    <w:rsid w:val="0010238F"/>
    <w:rsid w:val="00104E23"/>
    <w:rsid w:val="00111B0C"/>
    <w:rsid w:val="0011297E"/>
    <w:rsid w:val="001154D3"/>
    <w:rsid w:val="00115865"/>
    <w:rsid w:val="00116134"/>
    <w:rsid w:val="001166F7"/>
    <w:rsid w:val="00116DC2"/>
    <w:rsid w:val="00120D6C"/>
    <w:rsid w:val="00121AAB"/>
    <w:rsid w:val="00122613"/>
    <w:rsid w:val="00123E89"/>
    <w:rsid w:val="00124323"/>
    <w:rsid w:val="00124481"/>
    <w:rsid w:val="00124848"/>
    <w:rsid w:val="001257EC"/>
    <w:rsid w:val="00132695"/>
    <w:rsid w:val="00133D33"/>
    <w:rsid w:val="00134D64"/>
    <w:rsid w:val="001357B5"/>
    <w:rsid w:val="00135A30"/>
    <w:rsid w:val="0013612C"/>
    <w:rsid w:val="00137FF6"/>
    <w:rsid w:val="00141650"/>
    <w:rsid w:val="00141CFC"/>
    <w:rsid w:val="001456F1"/>
    <w:rsid w:val="001462BF"/>
    <w:rsid w:val="00150200"/>
    <w:rsid w:val="00151198"/>
    <w:rsid w:val="001516A3"/>
    <w:rsid w:val="00153228"/>
    <w:rsid w:val="0015365A"/>
    <w:rsid w:val="0015389E"/>
    <w:rsid w:val="00154DA4"/>
    <w:rsid w:val="001558B2"/>
    <w:rsid w:val="0016163D"/>
    <w:rsid w:val="0016174F"/>
    <w:rsid w:val="001619D7"/>
    <w:rsid w:val="0016267E"/>
    <w:rsid w:val="00162A12"/>
    <w:rsid w:val="00163BFD"/>
    <w:rsid w:val="00163CB4"/>
    <w:rsid w:val="00166530"/>
    <w:rsid w:val="00167F51"/>
    <w:rsid w:val="00171065"/>
    <w:rsid w:val="0017497B"/>
    <w:rsid w:val="00174C48"/>
    <w:rsid w:val="00175259"/>
    <w:rsid w:val="001758AB"/>
    <w:rsid w:val="00180AB2"/>
    <w:rsid w:val="001832BD"/>
    <w:rsid w:val="0018338F"/>
    <w:rsid w:val="001841BE"/>
    <w:rsid w:val="00185416"/>
    <w:rsid w:val="001863CC"/>
    <w:rsid w:val="0019365C"/>
    <w:rsid w:val="001943B5"/>
    <w:rsid w:val="00195134"/>
    <w:rsid w:val="0019607A"/>
    <w:rsid w:val="0019670A"/>
    <w:rsid w:val="0019749B"/>
    <w:rsid w:val="001A145B"/>
    <w:rsid w:val="001A36D5"/>
    <w:rsid w:val="001A3EF2"/>
    <w:rsid w:val="001A5E43"/>
    <w:rsid w:val="001A674C"/>
    <w:rsid w:val="001B03EE"/>
    <w:rsid w:val="001B1014"/>
    <w:rsid w:val="001B3645"/>
    <w:rsid w:val="001B3B24"/>
    <w:rsid w:val="001B506B"/>
    <w:rsid w:val="001B519C"/>
    <w:rsid w:val="001B767C"/>
    <w:rsid w:val="001B7851"/>
    <w:rsid w:val="001C0F98"/>
    <w:rsid w:val="001C2A42"/>
    <w:rsid w:val="001C3531"/>
    <w:rsid w:val="001C3AE1"/>
    <w:rsid w:val="001C3BF4"/>
    <w:rsid w:val="001C41FA"/>
    <w:rsid w:val="001C45B8"/>
    <w:rsid w:val="001C7457"/>
    <w:rsid w:val="001D37F1"/>
    <w:rsid w:val="001D4688"/>
    <w:rsid w:val="001D4785"/>
    <w:rsid w:val="001D494B"/>
    <w:rsid w:val="001D4CA0"/>
    <w:rsid w:val="001D63ED"/>
    <w:rsid w:val="001D7348"/>
    <w:rsid w:val="001D7B90"/>
    <w:rsid w:val="001D7C6B"/>
    <w:rsid w:val="001E01FA"/>
    <w:rsid w:val="001E035B"/>
    <w:rsid w:val="001E081C"/>
    <w:rsid w:val="001E0961"/>
    <w:rsid w:val="001E0B6D"/>
    <w:rsid w:val="001E3BD3"/>
    <w:rsid w:val="001E3EAE"/>
    <w:rsid w:val="001E6F32"/>
    <w:rsid w:val="001F0E22"/>
    <w:rsid w:val="001F2145"/>
    <w:rsid w:val="001F22AB"/>
    <w:rsid w:val="001F4E43"/>
    <w:rsid w:val="001F5C98"/>
    <w:rsid w:val="001F60EA"/>
    <w:rsid w:val="001F6262"/>
    <w:rsid w:val="001F6703"/>
    <w:rsid w:val="001F67B0"/>
    <w:rsid w:val="001F6F11"/>
    <w:rsid w:val="001F7958"/>
    <w:rsid w:val="001F7B3D"/>
    <w:rsid w:val="00200F45"/>
    <w:rsid w:val="00202C85"/>
    <w:rsid w:val="00202DF6"/>
    <w:rsid w:val="002034A7"/>
    <w:rsid w:val="00205F9F"/>
    <w:rsid w:val="00210326"/>
    <w:rsid w:val="00210338"/>
    <w:rsid w:val="00210A8D"/>
    <w:rsid w:val="002115FC"/>
    <w:rsid w:val="0021289B"/>
    <w:rsid w:val="00212EC6"/>
    <w:rsid w:val="00213A89"/>
    <w:rsid w:val="0021423C"/>
    <w:rsid w:val="00214553"/>
    <w:rsid w:val="00216449"/>
    <w:rsid w:val="002228D2"/>
    <w:rsid w:val="0022665C"/>
    <w:rsid w:val="0022730C"/>
    <w:rsid w:val="00230D00"/>
    <w:rsid w:val="00231DF7"/>
    <w:rsid w:val="00231FD1"/>
    <w:rsid w:val="002339E0"/>
    <w:rsid w:val="00233CF8"/>
    <w:rsid w:val="0023481C"/>
    <w:rsid w:val="0023575D"/>
    <w:rsid w:val="00235937"/>
    <w:rsid w:val="00236011"/>
    <w:rsid w:val="00237148"/>
    <w:rsid w:val="0024222D"/>
    <w:rsid w:val="00243432"/>
    <w:rsid w:val="002438F0"/>
    <w:rsid w:val="00244B0E"/>
    <w:rsid w:val="00244F6C"/>
    <w:rsid w:val="00246ABB"/>
    <w:rsid w:val="002532C5"/>
    <w:rsid w:val="002548C4"/>
    <w:rsid w:val="00260C03"/>
    <w:rsid w:val="002612A3"/>
    <w:rsid w:val="00263527"/>
    <w:rsid w:val="00263C7E"/>
    <w:rsid w:val="00264D0C"/>
    <w:rsid w:val="0026540E"/>
    <w:rsid w:val="00266BD6"/>
    <w:rsid w:val="00267348"/>
    <w:rsid w:val="00272856"/>
    <w:rsid w:val="00275123"/>
    <w:rsid w:val="00277282"/>
    <w:rsid w:val="00281454"/>
    <w:rsid w:val="00282240"/>
    <w:rsid w:val="00283F24"/>
    <w:rsid w:val="0028445E"/>
    <w:rsid w:val="00285B7C"/>
    <w:rsid w:val="00286329"/>
    <w:rsid w:val="002878A4"/>
    <w:rsid w:val="00287D8D"/>
    <w:rsid w:val="00291379"/>
    <w:rsid w:val="002948AD"/>
    <w:rsid w:val="002A01CC"/>
    <w:rsid w:val="002A45FA"/>
    <w:rsid w:val="002A61B1"/>
    <w:rsid w:val="002A663C"/>
    <w:rsid w:val="002A6840"/>
    <w:rsid w:val="002B00D8"/>
    <w:rsid w:val="002B32AF"/>
    <w:rsid w:val="002B444B"/>
    <w:rsid w:val="002B49BF"/>
    <w:rsid w:val="002B5887"/>
    <w:rsid w:val="002C0E27"/>
    <w:rsid w:val="002C2A5C"/>
    <w:rsid w:val="002C3040"/>
    <w:rsid w:val="002C41E7"/>
    <w:rsid w:val="002C50AC"/>
    <w:rsid w:val="002C5C3A"/>
    <w:rsid w:val="002C70FE"/>
    <w:rsid w:val="002C798D"/>
    <w:rsid w:val="002D022D"/>
    <w:rsid w:val="002D23B6"/>
    <w:rsid w:val="002D24BB"/>
    <w:rsid w:val="002D2927"/>
    <w:rsid w:val="002D3290"/>
    <w:rsid w:val="002D5A1D"/>
    <w:rsid w:val="002D7856"/>
    <w:rsid w:val="002D7AD1"/>
    <w:rsid w:val="002E02CB"/>
    <w:rsid w:val="002E04AF"/>
    <w:rsid w:val="002E0C87"/>
    <w:rsid w:val="002E0CFC"/>
    <w:rsid w:val="002E1BF6"/>
    <w:rsid w:val="002E50C6"/>
    <w:rsid w:val="002E5159"/>
    <w:rsid w:val="002E583F"/>
    <w:rsid w:val="002F03A3"/>
    <w:rsid w:val="002F2461"/>
    <w:rsid w:val="002F2AF7"/>
    <w:rsid w:val="002F4873"/>
    <w:rsid w:val="002F6F12"/>
    <w:rsid w:val="002F7E1C"/>
    <w:rsid w:val="00301A75"/>
    <w:rsid w:val="00302F0C"/>
    <w:rsid w:val="00302F70"/>
    <w:rsid w:val="0030336F"/>
    <w:rsid w:val="0030375E"/>
    <w:rsid w:val="00303B1D"/>
    <w:rsid w:val="003127C9"/>
    <w:rsid w:val="00312A30"/>
    <w:rsid w:val="00315BF4"/>
    <w:rsid w:val="00316205"/>
    <w:rsid w:val="0031649A"/>
    <w:rsid w:val="003175BA"/>
    <w:rsid w:val="00320F72"/>
    <w:rsid w:val="003239AD"/>
    <w:rsid w:val="0032463E"/>
    <w:rsid w:val="00324C35"/>
    <w:rsid w:val="003252F0"/>
    <w:rsid w:val="003258A2"/>
    <w:rsid w:val="00326132"/>
    <w:rsid w:val="00326224"/>
    <w:rsid w:val="003270BF"/>
    <w:rsid w:val="00327EC5"/>
    <w:rsid w:val="00335DF8"/>
    <w:rsid w:val="00337EE4"/>
    <w:rsid w:val="00340372"/>
    <w:rsid w:val="00340FFD"/>
    <w:rsid w:val="00344997"/>
    <w:rsid w:val="00347136"/>
    <w:rsid w:val="00347339"/>
    <w:rsid w:val="003473AB"/>
    <w:rsid w:val="003506B1"/>
    <w:rsid w:val="00352796"/>
    <w:rsid w:val="00354035"/>
    <w:rsid w:val="003549D8"/>
    <w:rsid w:val="00354F8C"/>
    <w:rsid w:val="00356AC7"/>
    <w:rsid w:val="00356EEA"/>
    <w:rsid w:val="0035776E"/>
    <w:rsid w:val="00360179"/>
    <w:rsid w:val="003609FA"/>
    <w:rsid w:val="00363170"/>
    <w:rsid w:val="0036373B"/>
    <w:rsid w:val="00364FDD"/>
    <w:rsid w:val="00365306"/>
    <w:rsid w:val="00367876"/>
    <w:rsid w:val="003710C8"/>
    <w:rsid w:val="00371741"/>
    <w:rsid w:val="003720BD"/>
    <w:rsid w:val="00372D89"/>
    <w:rsid w:val="003750BE"/>
    <w:rsid w:val="00382AC5"/>
    <w:rsid w:val="00383F9B"/>
    <w:rsid w:val="00384D70"/>
    <w:rsid w:val="00385B4F"/>
    <w:rsid w:val="00386AA5"/>
    <w:rsid w:val="00387B9D"/>
    <w:rsid w:val="0039364F"/>
    <w:rsid w:val="00394441"/>
    <w:rsid w:val="00395AF6"/>
    <w:rsid w:val="00396686"/>
    <w:rsid w:val="0039778E"/>
    <w:rsid w:val="00397E38"/>
    <w:rsid w:val="003A140D"/>
    <w:rsid w:val="003A19F1"/>
    <w:rsid w:val="003A2B02"/>
    <w:rsid w:val="003A3CA5"/>
    <w:rsid w:val="003A5D96"/>
    <w:rsid w:val="003A627D"/>
    <w:rsid w:val="003B0230"/>
    <w:rsid w:val="003B257F"/>
    <w:rsid w:val="003B2814"/>
    <w:rsid w:val="003B3995"/>
    <w:rsid w:val="003B4941"/>
    <w:rsid w:val="003B7804"/>
    <w:rsid w:val="003B7A2C"/>
    <w:rsid w:val="003C1FC3"/>
    <w:rsid w:val="003C5714"/>
    <w:rsid w:val="003C69AF"/>
    <w:rsid w:val="003C6B9F"/>
    <w:rsid w:val="003C6BFD"/>
    <w:rsid w:val="003C6E2A"/>
    <w:rsid w:val="003D021D"/>
    <w:rsid w:val="003D0299"/>
    <w:rsid w:val="003D266C"/>
    <w:rsid w:val="003D6D2E"/>
    <w:rsid w:val="003E35E6"/>
    <w:rsid w:val="003E3CB0"/>
    <w:rsid w:val="003E6D25"/>
    <w:rsid w:val="003E6D80"/>
    <w:rsid w:val="003E796E"/>
    <w:rsid w:val="003F05FA"/>
    <w:rsid w:val="003F244A"/>
    <w:rsid w:val="003F30B8"/>
    <w:rsid w:val="003F359C"/>
    <w:rsid w:val="003F42C3"/>
    <w:rsid w:val="003F4C45"/>
    <w:rsid w:val="003F528E"/>
    <w:rsid w:val="003F5F7B"/>
    <w:rsid w:val="003F61DE"/>
    <w:rsid w:val="003F6C12"/>
    <w:rsid w:val="003F7D64"/>
    <w:rsid w:val="00400ECC"/>
    <w:rsid w:val="004019A7"/>
    <w:rsid w:val="00403D25"/>
    <w:rsid w:val="004069D3"/>
    <w:rsid w:val="00414300"/>
    <w:rsid w:val="004147EA"/>
    <w:rsid w:val="0041596C"/>
    <w:rsid w:val="004227D4"/>
    <w:rsid w:val="004229E8"/>
    <w:rsid w:val="00423715"/>
    <w:rsid w:val="0042461B"/>
    <w:rsid w:val="004249B1"/>
    <w:rsid w:val="00425C67"/>
    <w:rsid w:val="00427E7A"/>
    <w:rsid w:val="00434EC4"/>
    <w:rsid w:val="00436C49"/>
    <w:rsid w:val="00445366"/>
    <w:rsid w:val="00445578"/>
    <w:rsid w:val="00445668"/>
    <w:rsid w:val="0044796C"/>
    <w:rsid w:val="00447F5B"/>
    <w:rsid w:val="0045067D"/>
    <w:rsid w:val="004525EB"/>
    <w:rsid w:val="00454348"/>
    <w:rsid w:val="00454504"/>
    <w:rsid w:val="00454707"/>
    <w:rsid w:val="00455311"/>
    <w:rsid w:val="004557A3"/>
    <w:rsid w:val="00456404"/>
    <w:rsid w:val="004617D2"/>
    <w:rsid w:val="00461DB0"/>
    <w:rsid w:val="00462CA6"/>
    <w:rsid w:val="004632FA"/>
    <w:rsid w:val="00463926"/>
    <w:rsid w:val="0046404E"/>
    <w:rsid w:val="0046464F"/>
    <w:rsid w:val="00464C9A"/>
    <w:rsid w:val="004673B1"/>
    <w:rsid w:val="00471408"/>
    <w:rsid w:val="00471955"/>
    <w:rsid w:val="00472DF9"/>
    <w:rsid w:val="004741F5"/>
    <w:rsid w:val="00474239"/>
    <w:rsid w:val="00474F3D"/>
    <w:rsid w:val="004750FC"/>
    <w:rsid w:val="00476087"/>
    <w:rsid w:val="004763E8"/>
    <w:rsid w:val="004769C5"/>
    <w:rsid w:val="00476A21"/>
    <w:rsid w:val="0047779C"/>
    <w:rsid w:val="00477945"/>
    <w:rsid w:val="00477E3A"/>
    <w:rsid w:val="00480507"/>
    <w:rsid w:val="00480A5A"/>
    <w:rsid w:val="0048179C"/>
    <w:rsid w:val="00483A34"/>
    <w:rsid w:val="00483E5F"/>
    <w:rsid w:val="004852FF"/>
    <w:rsid w:val="00485FF9"/>
    <w:rsid w:val="004907F0"/>
    <w:rsid w:val="0049140B"/>
    <w:rsid w:val="004923A5"/>
    <w:rsid w:val="00496042"/>
    <w:rsid w:val="00496BFB"/>
    <w:rsid w:val="00497CAD"/>
    <w:rsid w:val="004A026A"/>
    <w:rsid w:val="004A15C7"/>
    <w:rsid w:val="004A2428"/>
    <w:rsid w:val="004B013B"/>
    <w:rsid w:val="004B0FBA"/>
    <w:rsid w:val="004B112B"/>
    <w:rsid w:val="004B651A"/>
    <w:rsid w:val="004B659D"/>
    <w:rsid w:val="004C01E4"/>
    <w:rsid w:val="004C0210"/>
    <w:rsid w:val="004C05E1"/>
    <w:rsid w:val="004C086C"/>
    <w:rsid w:val="004C1F56"/>
    <w:rsid w:val="004C27BC"/>
    <w:rsid w:val="004C5666"/>
    <w:rsid w:val="004C636D"/>
    <w:rsid w:val="004D15F3"/>
    <w:rsid w:val="004D228E"/>
    <w:rsid w:val="004D2544"/>
    <w:rsid w:val="004D385C"/>
    <w:rsid w:val="004D5311"/>
    <w:rsid w:val="004D5D07"/>
    <w:rsid w:val="004D5DCC"/>
    <w:rsid w:val="004D73B9"/>
    <w:rsid w:val="004E0E3A"/>
    <w:rsid w:val="004E1905"/>
    <w:rsid w:val="004E2209"/>
    <w:rsid w:val="004E2298"/>
    <w:rsid w:val="004E3A56"/>
    <w:rsid w:val="004E4E47"/>
    <w:rsid w:val="004E5DA9"/>
    <w:rsid w:val="004E7792"/>
    <w:rsid w:val="004F0475"/>
    <w:rsid w:val="004F10AF"/>
    <w:rsid w:val="004F11A4"/>
    <w:rsid w:val="004F1B29"/>
    <w:rsid w:val="004F2389"/>
    <w:rsid w:val="004F2979"/>
    <w:rsid w:val="004F304D"/>
    <w:rsid w:val="004F362D"/>
    <w:rsid w:val="004F4AFB"/>
    <w:rsid w:val="004F61BE"/>
    <w:rsid w:val="004F66B1"/>
    <w:rsid w:val="004F7835"/>
    <w:rsid w:val="00502193"/>
    <w:rsid w:val="005029CE"/>
    <w:rsid w:val="00502A5D"/>
    <w:rsid w:val="0050426A"/>
    <w:rsid w:val="005057A9"/>
    <w:rsid w:val="00505C27"/>
    <w:rsid w:val="00511598"/>
    <w:rsid w:val="00511C07"/>
    <w:rsid w:val="005147A7"/>
    <w:rsid w:val="00514D8F"/>
    <w:rsid w:val="00515263"/>
    <w:rsid w:val="005173A6"/>
    <w:rsid w:val="00520BAA"/>
    <w:rsid w:val="00525208"/>
    <w:rsid w:val="005257A5"/>
    <w:rsid w:val="005264C0"/>
    <w:rsid w:val="00526A8A"/>
    <w:rsid w:val="00526F71"/>
    <w:rsid w:val="00531DF2"/>
    <w:rsid w:val="00532467"/>
    <w:rsid w:val="0053421F"/>
    <w:rsid w:val="00537031"/>
    <w:rsid w:val="005379A9"/>
    <w:rsid w:val="005411B5"/>
    <w:rsid w:val="00542B28"/>
    <w:rsid w:val="005442EE"/>
    <w:rsid w:val="00546802"/>
    <w:rsid w:val="00547353"/>
    <w:rsid w:val="005474E7"/>
    <w:rsid w:val="0055116D"/>
    <w:rsid w:val="005512A3"/>
    <w:rsid w:val="005514FF"/>
    <w:rsid w:val="005536BD"/>
    <w:rsid w:val="00553E3F"/>
    <w:rsid w:val="0055548C"/>
    <w:rsid w:val="0055683A"/>
    <w:rsid w:val="005578CE"/>
    <w:rsid w:val="00560AFF"/>
    <w:rsid w:val="00561EE5"/>
    <w:rsid w:val="00562253"/>
    <w:rsid w:val="00562781"/>
    <w:rsid w:val="00565C93"/>
    <w:rsid w:val="00566E67"/>
    <w:rsid w:val="00570480"/>
    <w:rsid w:val="00571D48"/>
    <w:rsid w:val="0057271C"/>
    <w:rsid w:val="00572845"/>
    <w:rsid w:val="005745DF"/>
    <w:rsid w:val="00574C83"/>
    <w:rsid w:val="00580947"/>
    <w:rsid w:val="005849E7"/>
    <w:rsid w:val="005873F1"/>
    <w:rsid w:val="00591A21"/>
    <w:rsid w:val="00592772"/>
    <w:rsid w:val="005927F4"/>
    <w:rsid w:val="005933C5"/>
    <w:rsid w:val="005956FB"/>
    <w:rsid w:val="0059574A"/>
    <w:rsid w:val="00596468"/>
    <w:rsid w:val="00596DE3"/>
    <w:rsid w:val="00597558"/>
    <w:rsid w:val="005A029D"/>
    <w:rsid w:val="005A02CB"/>
    <w:rsid w:val="005A09F0"/>
    <w:rsid w:val="005A177A"/>
    <w:rsid w:val="005A1B9B"/>
    <w:rsid w:val="005A2D32"/>
    <w:rsid w:val="005A2ED0"/>
    <w:rsid w:val="005A3A61"/>
    <w:rsid w:val="005A6230"/>
    <w:rsid w:val="005A6751"/>
    <w:rsid w:val="005A69C9"/>
    <w:rsid w:val="005B092E"/>
    <w:rsid w:val="005B152C"/>
    <w:rsid w:val="005B1EE0"/>
    <w:rsid w:val="005B2B24"/>
    <w:rsid w:val="005B4425"/>
    <w:rsid w:val="005B4B94"/>
    <w:rsid w:val="005C3EE8"/>
    <w:rsid w:val="005C58CB"/>
    <w:rsid w:val="005D34F9"/>
    <w:rsid w:val="005D4190"/>
    <w:rsid w:val="005D46FB"/>
    <w:rsid w:val="005D4C3C"/>
    <w:rsid w:val="005D67A3"/>
    <w:rsid w:val="005E020B"/>
    <w:rsid w:val="005E2988"/>
    <w:rsid w:val="005E3085"/>
    <w:rsid w:val="005E3331"/>
    <w:rsid w:val="005E3412"/>
    <w:rsid w:val="005E37C6"/>
    <w:rsid w:val="005E4F92"/>
    <w:rsid w:val="005E5924"/>
    <w:rsid w:val="005E59C5"/>
    <w:rsid w:val="005E5E05"/>
    <w:rsid w:val="005F1328"/>
    <w:rsid w:val="005F196F"/>
    <w:rsid w:val="005F2362"/>
    <w:rsid w:val="005F4F79"/>
    <w:rsid w:val="005F51E1"/>
    <w:rsid w:val="00600EC8"/>
    <w:rsid w:val="00601982"/>
    <w:rsid w:val="00601CE7"/>
    <w:rsid w:val="00601DA2"/>
    <w:rsid w:val="00603A0A"/>
    <w:rsid w:val="006051DD"/>
    <w:rsid w:val="00607784"/>
    <w:rsid w:val="00610ACA"/>
    <w:rsid w:val="00610FE9"/>
    <w:rsid w:val="00611B2B"/>
    <w:rsid w:val="00611C80"/>
    <w:rsid w:val="006126DB"/>
    <w:rsid w:val="00612D10"/>
    <w:rsid w:val="006132EF"/>
    <w:rsid w:val="00614D65"/>
    <w:rsid w:val="00615767"/>
    <w:rsid w:val="00617733"/>
    <w:rsid w:val="00617837"/>
    <w:rsid w:val="00617E0D"/>
    <w:rsid w:val="00620692"/>
    <w:rsid w:val="00623AB7"/>
    <w:rsid w:val="006242CA"/>
    <w:rsid w:val="0062522C"/>
    <w:rsid w:val="00625372"/>
    <w:rsid w:val="00627507"/>
    <w:rsid w:val="006276E7"/>
    <w:rsid w:val="00633717"/>
    <w:rsid w:val="006344E1"/>
    <w:rsid w:val="00637AF3"/>
    <w:rsid w:val="00637C0E"/>
    <w:rsid w:val="006422D9"/>
    <w:rsid w:val="006443C5"/>
    <w:rsid w:val="00644D08"/>
    <w:rsid w:val="00644D47"/>
    <w:rsid w:val="00644FA1"/>
    <w:rsid w:val="00646454"/>
    <w:rsid w:val="0065298D"/>
    <w:rsid w:val="00653C29"/>
    <w:rsid w:val="00654304"/>
    <w:rsid w:val="006545C4"/>
    <w:rsid w:val="0066157F"/>
    <w:rsid w:val="00661971"/>
    <w:rsid w:val="00661CE8"/>
    <w:rsid w:val="006623D9"/>
    <w:rsid w:val="00664B15"/>
    <w:rsid w:val="00664B61"/>
    <w:rsid w:val="00664DD1"/>
    <w:rsid w:val="0066550C"/>
    <w:rsid w:val="006661DF"/>
    <w:rsid w:val="00667B26"/>
    <w:rsid w:val="00667EFE"/>
    <w:rsid w:val="00670B42"/>
    <w:rsid w:val="006716F2"/>
    <w:rsid w:val="00671943"/>
    <w:rsid w:val="00674B99"/>
    <w:rsid w:val="00677229"/>
    <w:rsid w:val="00682BF2"/>
    <w:rsid w:val="00683503"/>
    <w:rsid w:val="006859CE"/>
    <w:rsid w:val="00690774"/>
    <w:rsid w:val="00690BCA"/>
    <w:rsid w:val="00691270"/>
    <w:rsid w:val="006944ED"/>
    <w:rsid w:val="00694A2E"/>
    <w:rsid w:val="00694BA8"/>
    <w:rsid w:val="00694F5A"/>
    <w:rsid w:val="00696ABC"/>
    <w:rsid w:val="006A037C"/>
    <w:rsid w:val="006A0E9D"/>
    <w:rsid w:val="006A314D"/>
    <w:rsid w:val="006A36F4"/>
    <w:rsid w:val="006A3DC2"/>
    <w:rsid w:val="006A406F"/>
    <w:rsid w:val="006A4B6F"/>
    <w:rsid w:val="006A4DF1"/>
    <w:rsid w:val="006A5D3A"/>
    <w:rsid w:val="006A7EEC"/>
    <w:rsid w:val="006B0240"/>
    <w:rsid w:val="006B511F"/>
    <w:rsid w:val="006C0393"/>
    <w:rsid w:val="006C1BCB"/>
    <w:rsid w:val="006C23D4"/>
    <w:rsid w:val="006C2EDA"/>
    <w:rsid w:val="006C35B3"/>
    <w:rsid w:val="006C64BE"/>
    <w:rsid w:val="006C7BB0"/>
    <w:rsid w:val="006D0DD0"/>
    <w:rsid w:val="006D1776"/>
    <w:rsid w:val="006D1854"/>
    <w:rsid w:val="006D3237"/>
    <w:rsid w:val="006E0D20"/>
    <w:rsid w:val="006E0ED5"/>
    <w:rsid w:val="006E2E37"/>
    <w:rsid w:val="006E2E96"/>
    <w:rsid w:val="006E3CF1"/>
    <w:rsid w:val="006E48BD"/>
    <w:rsid w:val="006E5CF8"/>
    <w:rsid w:val="006E7E80"/>
    <w:rsid w:val="006F0358"/>
    <w:rsid w:val="006F2700"/>
    <w:rsid w:val="006F42CD"/>
    <w:rsid w:val="006F48CA"/>
    <w:rsid w:val="006F594E"/>
    <w:rsid w:val="006F64DD"/>
    <w:rsid w:val="006F7798"/>
    <w:rsid w:val="006F7DE6"/>
    <w:rsid w:val="007006A4"/>
    <w:rsid w:val="00703EE2"/>
    <w:rsid w:val="00704F2B"/>
    <w:rsid w:val="00705B52"/>
    <w:rsid w:val="00705EE8"/>
    <w:rsid w:val="007073FC"/>
    <w:rsid w:val="007112FB"/>
    <w:rsid w:val="00711B9F"/>
    <w:rsid w:val="00715127"/>
    <w:rsid w:val="00715E8E"/>
    <w:rsid w:val="00715F73"/>
    <w:rsid w:val="00722138"/>
    <w:rsid w:val="00723580"/>
    <w:rsid w:val="00723755"/>
    <w:rsid w:val="00723902"/>
    <w:rsid w:val="00726540"/>
    <w:rsid w:val="0073136C"/>
    <w:rsid w:val="00731F0F"/>
    <w:rsid w:val="00733250"/>
    <w:rsid w:val="007337C3"/>
    <w:rsid w:val="00734845"/>
    <w:rsid w:val="00735E04"/>
    <w:rsid w:val="00741404"/>
    <w:rsid w:val="00742C62"/>
    <w:rsid w:val="007449E5"/>
    <w:rsid w:val="00746F29"/>
    <w:rsid w:val="00747196"/>
    <w:rsid w:val="00747FF0"/>
    <w:rsid w:val="00750117"/>
    <w:rsid w:val="007513B3"/>
    <w:rsid w:val="007529A2"/>
    <w:rsid w:val="007537BB"/>
    <w:rsid w:val="0075415E"/>
    <w:rsid w:val="00755C98"/>
    <w:rsid w:val="0075781C"/>
    <w:rsid w:val="0076133B"/>
    <w:rsid w:val="007637A8"/>
    <w:rsid w:val="00763DE1"/>
    <w:rsid w:val="0076463B"/>
    <w:rsid w:val="00764D4E"/>
    <w:rsid w:val="00765A1F"/>
    <w:rsid w:val="007660B4"/>
    <w:rsid w:val="00767B68"/>
    <w:rsid w:val="00773388"/>
    <w:rsid w:val="00775B6D"/>
    <w:rsid w:val="00776D68"/>
    <w:rsid w:val="00782FCD"/>
    <w:rsid w:val="00784091"/>
    <w:rsid w:val="007850EE"/>
    <w:rsid w:val="00785B95"/>
    <w:rsid w:val="00786ACC"/>
    <w:rsid w:val="007909C2"/>
    <w:rsid w:val="00790E96"/>
    <w:rsid w:val="00793366"/>
    <w:rsid w:val="00793E95"/>
    <w:rsid w:val="007952DA"/>
    <w:rsid w:val="007955D0"/>
    <w:rsid w:val="007963BE"/>
    <w:rsid w:val="007A0725"/>
    <w:rsid w:val="007A153D"/>
    <w:rsid w:val="007A6404"/>
    <w:rsid w:val="007A716F"/>
    <w:rsid w:val="007B1923"/>
    <w:rsid w:val="007B213A"/>
    <w:rsid w:val="007B26E8"/>
    <w:rsid w:val="007B270A"/>
    <w:rsid w:val="007B4B56"/>
    <w:rsid w:val="007C011D"/>
    <w:rsid w:val="007C0695"/>
    <w:rsid w:val="007C1C7F"/>
    <w:rsid w:val="007C2F03"/>
    <w:rsid w:val="007C419A"/>
    <w:rsid w:val="007C463F"/>
    <w:rsid w:val="007C4CC8"/>
    <w:rsid w:val="007C5300"/>
    <w:rsid w:val="007C5426"/>
    <w:rsid w:val="007C5798"/>
    <w:rsid w:val="007C7A26"/>
    <w:rsid w:val="007D09A3"/>
    <w:rsid w:val="007D2369"/>
    <w:rsid w:val="007D4832"/>
    <w:rsid w:val="007E00C7"/>
    <w:rsid w:val="007E1108"/>
    <w:rsid w:val="007E21B2"/>
    <w:rsid w:val="007E2C4E"/>
    <w:rsid w:val="007E34F4"/>
    <w:rsid w:val="007E3A29"/>
    <w:rsid w:val="007E3ED4"/>
    <w:rsid w:val="007E48C2"/>
    <w:rsid w:val="007E58AD"/>
    <w:rsid w:val="007E5FBE"/>
    <w:rsid w:val="007E6B0F"/>
    <w:rsid w:val="007F1565"/>
    <w:rsid w:val="007F1711"/>
    <w:rsid w:val="007F1905"/>
    <w:rsid w:val="007F244D"/>
    <w:rsid w:val="007F4F51"/>
    <w:rsid w:val="007F5F5D"/>
    <w:rsid w:val="00801300"/>
    <w:rsid w:val="0080141A"/>
    <w:rsid w:val="008014B0"/>
    <w:rsid w:val="00802C64"/>
    <w:rsid w:val="00805E52"/>
    <w:rsid w:val="008061D0"/>
    <w:rsid w:val="00810B38"/>
    <w:rsid w:val="0081184F"/>
    <w:rsid w:val="00813C68"/>
    <w:rsid w:val="00815E49"/>
    <w:rsid w:val="00816C62"/>
    <w:rsid w:val="008204C7"/>
    <w:rsid w:val="00820992"/>
    <w:rsid w:val="008222CA"/>
    <w:rsid w:val="008223F2"/>
    <w:rsid w:val="00823602"/>
    <w:rsid w:val="00824520"/>
    <w:rsid w:val="008255F5"/>
    <w:rsid w:val="00826A64"/>
    <w:rsid w:val="00827A40"/>
    <w:rsid w:val="0083014E"/>
    <w:rsid w:val="0083214A"/>
    <w:rsid w:val="008323C4"/>
    <w:rsid w:val="00834220"/>
    <w:rsid w:val="008373E0"/>
    <w:rsid w:val="00841623"/>
    <w:rsid w:val="00841C96"/>
    <w:rsid w:val="0084351A"/>
    <w:rsid w:val="008445B5"/>
    <w:rsid w:val="00844C8F"/>
    <w:rsid w:val="00845723"/>
    <w:rsid w:val="0084587E"/>
    <w:rsid w:val="00845DBC"/>
    <w:rsid w:val="0084713C"/>
    <w:rsid w:val="00851EF9"/>
    <w:rsid w:val="008577FD"/>
    <w:rsid w:val="00860B03"/>
    <w:rsid w:val="0086497A"/>
    <w:rsid w:val="00866BAD"/>
    <w:rsid w:val="00866EFE"/>
    <w:rsid w:val="008713A1"/>
    <w:rsid w:val="008733F2"/>
    <w:rsid w:val="00873A59"/>
    <w:rsid w:val="00873B57"/>
    <w:rsid w:val="008754AB"/>
    <w:rsid w:val="00875AB2"/>
    <w:rsid w:val="00875AB3"/>
    <w:rsid w:val="0088060C"/>
    <w:rsid w:val="00884F61"/>
    <w:rsid w:val="008851E6"/>
    <w:rsid w:val="0088689D"/>
    <w:rsid w:val="00886CD8"/>
    <w:rsid w:val="0088773F"/>
    <w:rsid w:val="00893576"/>
    <w:rsid w:val="00893AF8"/>
    <w:rsid w:val="00893E73"/>
    <w:rsid w:val="008972CD"/>
    <w:rsid w:val="00897AEC"/>
    <w:rsid w:val="008A322B"/>
    <w:rsid w:val="008A339E"/>
    <w:rsid w:val="008A4587"/>
    <w:rsid w:val="008A55EF"/>
    <w:rsid w:val="008A6E65"/>
    <w:rsid w:val="008B02DC"/>
    <w:rsid w:val="008B0E9A"/>
    <w:rsid w:val="008B34A5"/>
    <w:rsid w:val="008B57CE"/>
    <w:rsid w:val="008B76CA"/>
    <w:rsid w:val="008C26DE"/>
    <w:rsid w:val="008C2E22"/>
    <w:rsid w:val="008C3769"/>
    <w:rsid w:val="008D0824"/>
    <w:rsid w:val="008D213A"/>
    <w:rsid w:val="008D2225"/>
    <w:rsid w:val="008D4063"/>
    <w:rsid w:val="008D4752"/>
    <w:rsid w:val="008D52EE"/>
    <w:rsid w:val="008D5802"/>
    <w:rsid w:val="008D7298"/>
    <w:rsid w:val="008E1571"/>
    <w:rsid w:val="008E271C"/>
    <w:rsid w:val="008E418E"/>
    <w:rsid w:val="008E5BC6"/>
    <w:rsid w:val="008E6A25"/>
    <w:rsid w:val="008F5193"/>
    <w:rsid w:val="008F5721"/>
    <w:rsid w:val="008F5A98"/>
    <w:rsid w:val="008F715A"/>
    <w:rsid w:val="009013A7"/>
    <w:rsid w:val="009017FB"/>
    <w:rsid w:val="009017FC"/>
    <w:rsid w:val="00903E4E"/>
    <w:rsid w:val="0090506B"/>
    <w:rsid w:val="009050C9"/>
    <w:rsid w:val="009051F8"/>
    <w:rsid w:val="00905A4E"/>
    <w:rsid w:val="009066FC"/>
    <w:rsid w:val="00907580"/>
    <w:rsid w:val="00907B5C"/>
    <w:rsid w:val="00913BDC"/>
    <w:rsid w:val="009140A3"/>
    <w:rsid w:val="009144A2"/>
    <w:rsid w:val="00914A9E"/>
    <w:rsid w:val="0091510C"/>
    <w:rsid w:val="00915286"/>
    <w:rsid w:val="00917313"/>
    <w:rsid w:val="00917DCC"/>
    <w:rsid w:val="0092054D"/>
    <w:rsid w:val="00920854"/>
    <w:rsid w:val="009259AC"/>
    <w:rsid w:val="00926AD5"/>
    <w:rsid w:val="00926F38"/>
    <w:rsid w:val="00927656"/>
    <w:rsid w:val="00931D89"/>
    <w:rsid w:val="009324A8"/>
    <w:rsid w:val="009328C0"/>
    <w:rsid w:val="00934301"/>
    <w:rsid w:val="00934987"/>
    <w:rsid w:val="009351D4"/>
    <w:rsid w:val="00936109"/>
    <w:rsid w:val="00936A05"/>
    <w:rsid w:val="00936C2D"/>
    <w:rsid w:val="00936CD1"/>
    <w:rsid w:val="0093708A"/>
    <w:rsid w:val="009414BD"/>
    <w:rsid w:val="00941747"/>
    <w:rsid w:val="00941EFB"/>
    <w:rsid w:val="0094524F"/>
    <w:rsid w:val="00947AFB"/>
    <w:rsid w:val="00951D7D"/>
    <w:rsid w:val="00952FEF"/>
    <w:rsid w:val="00953EF9"/>
    <w:rsid w:val="0095553B"/>
    <w:rsid w:val="00955974"/>
    <w:rsid w:val="00957CBF"/>
    <w:rsid w:val="00962A13"/>
    <w:rsid w:val="009630C7"/>
    <w:rsid w:val="009677B6"/>
    <w:rsid w:val="00970E0B"/>
    <w:rsid w:val="0097143A"/>
    <w:rsid w:val="00972804"/>
    <w:rsid w:val="00972B55"/>
    <w:rsid w:val="00973751"/>
    <w:rsid w:val="00973D7B"/>
    <w:rsid w:val="009743B7"/>
    <w:rsid w:val="00974BD8"/>
    <w:rsid w:val="0097512B"/>
    <w:rsid w:val="00977163"/>
    <w:rsid w:val="009776A2"/>
    <w:rsid w:val="0098228B"/>
    <w:rsid w:val="0098237D"/>
    <w:rsid w:val="009828DA"/>
    <w:rsid w:val="009838B1"/>
    <w:rsid w:val="00984CA2"/>
    <w:rsid w:val="00985BAB"/>
    <w:rsid w:val="00986F90"/>
    <w:rsid w:val="00995481"/>
    <w:rsid w:val="00997161"/>
    <w:rsid w:val="00997754"/>
    <w:rsid w:val="009B1B5F"/>
    <w:rsid w:val="009B4330"/>
    <w:rsid w:val="009B5BDA"/>
    <w:rsid w:val="009B6673"/>
    <w:rsid w:val="009B6CF5"/>
    <w:rsid w:val="009B7BF8"/>
    <w:rsid w:val="009B7F86"/>
    <w:rsid w:val="009C191B"/>
    <w:rsid w:val="009C1F1B"/>
    <w:rsid w:val="009C2345"/>
    <w:rsid w:val="009C2A7D"/>
    <w:rsid w:val="009C2BD6"/>
    <w:rsid w:val="009C38E3"/>
    <w:rsid w:val="009C3ABB"/>
    <w:rsid w:val="009C587E"/>
    <w:rsid w:val="009C5881"/>
    <w:rsid w:val="009C61B1"/>
    <w:rsid w:val="009C66D3"/>
    <w:rsid w:val="009D1209"/>
    <w:rsid w:val="009D16B0"/>
    <w:rsid w:val="009D20E3"/>
    <w:rsid w:val="009D28B8"/>
    <w:rsid w:val="009D391B"/>
    <w:rsid w:val="009D4290"/>
    <w:rsid w:val="009D5B01"/>
    <w:rsid w:val="009E131F"/>
    <w:rsid w:val="009E1F32"/>
    <w:rsid w:val="009E76A9"/>
    <w:rsid w:val="009E776C"/>
    <w:rsid w:val="009F1B61"/>
    <w:rsid w:val="009F63DD"/>
    <w:rsid w:val="009F719A"/>
    <w:rsid w:val="009F7E67"/>
    <w:rsid w:val="00A00144"/>
    <w:rsid w:val="00A022D5"/>
    <w:rsid w:val="00A02C54"/>
    <w:rsid w:val="00A06A68"/>
    <w:rsid w:val="00A06C07"/>
    <w:rsid w:val="00A113C0"/>
    <w:rsid w:val="00A125EF"/>
    <w:rsid w:val="00A16D0F"/>
    <w:rsid w:val="00A1726E"/>
    <w:rsid w:val="00A176A0"/>
    <w:rsid w:val="00A204CF"/>
    <w:rsid w:val="00A209B4"/>
    <w:rsid w:val="00A23D49"/>
    <w:rsid w:val="00A2485C"/>
    <w:rsid w:val="00A27004"/>
    <w:rsid w:val="00A2764F"/>
    <w:rsid w:val="00A303D2"/>
    <w:rsid w:val="00A305F3"/>
    <w:rsid w:val="00A30C29"/>
    <w:rsid w:val="00A325E5"/>
    <w:rsid w:val="00A33742"/>
    <w:rsid w:val="00A34927"/>
    <w:rsid w:val="00A34B62"/>
    <w:rsid w:val="00A34DD6"/>
    <w:rsid w:val="00A36819"/>
    <w:rsid w:val="00A36989"/>
    <w:rsid w:val="00A400F0"/>
    <w:rsid w:val="00A4091D"/>
    <w:rsid w:val="00A42F6D"/>
    <w:rsid w:val="00A43308"/>
    <w:rsid w:val="00A43628"/>
    <w:rsid w:val="00A44427"/>
    <w:rsid w:val="00A4697A"/>
    <w:rsid w:val="00A47E29"/>
    <w:rsid w:val="00A5117D"/>
    <w:rsid w:val="00A52386"/>
    <w:rsid w:val="00A528AD"/>
    <w:rsid w:val="00A54192"/>
    <w:rsid w:val="00A54A38"/>
    <w:rsid w:val="00A6035E"/>
    <w:rsid w:val="00A6144C"/>
    <w:rsid w:val="00A6280A"/>
    <w:rsid w:val="00A6318E"/>
    <w:rsid w:val="00A6582B"/>
    <w:rsid w:val="00A65956"/>
    <w:rsid w:val="00A660E4"/>
    <w:rsid w:val="00A66617"/>
    <w:rsid w:val="00A66B02"/>
    <w:rsid w:val="00A671F8"/>
    <w:rsid w:val="00A673A4"/>
    <w:rsid w:val="00A67531"/>
    <w:rsid w:val="00A713FA"/>
    <w:rsid w:val="00A724AE"/>
    <w:rsid w:val="00A73329"/>
    <w:rsid w:val="00A74BC1"/>
    <w:rsid w:val="00A76D3F"/>
    <w:rsid w:val="00A81870"/>
    <w:rsid w:val="00A82359"/>
    <w:rsid w:val="00A8486D"/>
    <w:rsid w:val="00A857A0"/>
    <w:rsid w:val="00A8620F"/>
    <w:rsid w:val="00A865D2"/>
    <w:rsid w:val="00A912E2"/>
    <w:rsid w:val="00A924D8"/>
    <w:rsid w:val="00A94C20"/>
    <w:rsid w:val="00A96729"/>
    <w:rsid w:val="00AA1626"/>
    <w:rsid w:val="00AA227F"/>
    <w:rsid w:val="00AA296E"/>
    <w:rsid w:val="00AA3BC7"/>
    <w:rsid w:val="00AA5565"/>
    <w:rsid w:val="00AA5CA5"/>
    <w:rsid w:val="00AA6C62"/>
    <w:rsid w:val="00AA754A"/>
    <w:rsid w:val="00AA755B"/>
    <w:rsid w:val="00AB099E"/>
    <w:rsid w:val="00AB2273"/>
    <w:rsid w:val="00AB4328"/>
    <w:rsid w:val="00AB5F68"/>
    <w:rsid w:val="00AB6851"/>
    <w:rsid w:val="00AB71BE"/>
    <w:rsid w:val="00AC0824"/>
    <w:rsid w:val="00AC18C6"/>
    <w:rsid w:val="00AC1F60"/>
    <w:rsid w:val="00AC2AC6"/>
    <w:rsid w:val="00AC387D"/>
    <w:rsid w:val="00AC442E"/>
    <w:rsid w:val="00AC4EBF"/>
    <w:rsid w:val="00AC779C"/>
    <w:rsid w:val="00AD412E"/>
    <w:rsid w:val="00AD4702"/>
    <w:rsid w:val="00AD673D"/>
    <w:rsid w:val="00AD74DE"/>
    <w:rsid w:val="00AE0A2E"/>
    <w:rsid w:val="00AE0A81"/>
    <w:rsid w:val="00AE166B"/>
    <w:rsid w:val="00AE19B5"/>
    <w:rsid w:val="00AE354C"/>
    <w:rsid w:val="00AE3E21"/>
    <w:rsid w:val="00AF0C40"/>
    <w:rsid w:val="00AF2521"/>
    <w:rsid w:val="00AF264D"/>
    <w:rsid w:val="00AF4B07"/>
    <w:rsid w:val="00AF5CC8"/>
    <w:rsid w:val="00AF6186"/>
    <w:rsid w:val="00AF7A3A"/>
    <w:rsid w:val="00AF7C12"/>
    <w:rsid w:val="00B00BE8"/>
    <w:rsid w:val="00B01BAB"/>
    <w:rsid w:val="00B05AD8"/>
    <w:rsid w:val="00B060CB"/>
    <w:rsid w:val="00B10562"/>
    <w:rsid w:val="00B11322"/>
    <w:rsid w:val="00B120E6"/>
    <w:rsid w:val="00B1503B"/>
    <w:rsid w:val="00B152B9"/>
    <w:rsid w:val="00B160DB"/>
    <w:rsid w:val="00B17150"/>
    <w:rsid w:val="00B17306"/>
    <w:rsid w:val="00B1782D"/>
    <w:rsid w:val="00B20523"/>
    <w:rsid w:val="00B20836"/>
    <w:rsid w:val="00B235BB"/>
    <w:rsid w:val="00B25DDE"/>
    <w:rsid w:val="00B26CE6"/>
    <w:rsid w:val="00B27A44"/>
    <w:rsid w:val="00B30BBF"/>
    <w:rsid w:val="00B32C89"/>
    <w:rsid w:val="00B33C03"/>
    <w:rsid w:val="00B3581E"/>
    <w:rsid w:val="00B36655"/>
    <w:rsid w:val="00B37552"/>
    <w:rsid w:val="00B37CC3"/>
    <w:rsid w:val="00B42C76"/>
    <w:rsid w:val="00B44E56"/>
    <w:rsid w:val="00B46543"/>
    <w:rsid w:val="00B47D33"/>
    <w:rsid w:val="00B51067"/>
    <w:rsid w:val="00B52BE0"/>
    <w:rsid w:val="00B53B39"/>
    <w:rsid w:val="00B540B6"/>
    <w:rsid w:val="00B54133"/>
    <w:rsid w:val="00B66688"/>
    <w:rsid w:val="00B67520"/>
    <w:rsid w:val="00B676E5"/>
    <w:rsid w:val="00B701ED"/>
    <w:rsid w:val="00B70C3D"/>
    <w:rsid w:val="00B711C9"/>
    <w:rsid w:val="00B72997"/>
    <w:rsid w:val="00B7388A"/>
    <w:rsid w:val="00B73992"/>
    <w:rsid w:val="00B73E67"/>
    <w:rsid w:val="00B75768"/>
    <w:rsid w:val="00B757BA"/>
    <w:rsid w:val="00B7750B"/>
    <w:rsid w:val="00B776F4"/>
    <w:rsid w:val="00B8086C"/>
    <w:rsid w:val="00B81DAB"/>
    <w:rsid w:val="00B825D9"/>
    <w:rsid w:val="00B84F09"/>
    <w:rsid w:val="00B85A04"/>
    <w:rsid w:val="00B861B4"/>
    <w:rsid w:val="00B86DFE"/>
    <w:rsid w:val="00B8706C"/>
    <w:rsid w:val="00B874D2"/>
    <w:rsid w:val="00B876DB"/>
    <w:rsid w:val="00B90990"/>
    <w:rsid w:val="00B922FF"/>
    <w:rsid w:val="00B9281E"/>
    <w:rsid w:val="00B93925"/>
    <w:rsid w:val="00B93ECF"/>
    <w:rsid w:val="00B94BB8"/>
    <w:rsid w:val="00B95187"/>
    <w:rsid w:val="00B96385"/>
    <w:rsid w:val="00B9776F"/>
    <w:rsid w:val="00BA2D55"/>
    <w:rsid w:val="00BA3FE9"/>
    <w:rsid w:val="00BA71B1"/>
    <w:rsid w:val="00BB0637"/>
    <w:rsid w:val="00BB180C"/>
    <w:rsid w:val="00BB227A"/>
    <w:rsid w:val="00BB242D"/>
    <w:rsid w:val="00BB345F"/>
    <w:rsid w:val="00BB6123"/>
    <w:rsid w:val="00BB68EA"/>
    <w:rsid w:val="00BC038B"/>
    <w:rsid w:val="00BC1837"/>
    <w:rsid w:val="00BC197C"/>
    <w:rsid w:val="00BC1C27"/>
    <w:rsid w:val="00BC47F6"/>
    <w:rsid w:val="00BC4A8F"/>
    <w:rsid w:val="00BC6BBF"/>
    <w:rsid w:val="00BC6E3D"/>
    <w:rsid w:val="00BC70F1"/>
    <w:rsid w:val="00BD0653"/>
    <w:rsid w:val="00BD1572"/>
    <w:rsid w:val="00BD4FDA"/>
    <w:rsid w:val="00BE14E3"/>
    <w:rsid w:val="00BE1A3E"/>
    <w:rsid w:val="00BE3774"/>
    <w:rsid w:val="00BE41E5"/>
    <w:rsid w:val="00BE6759"/>
    <w:rsid w:val="00BE77C2"/>
    <w:rsid w:val="00BF0560"/>
    <w:rsid w:val="00BF0DCA"/>
    <w:rsid w:val="00BF241B"/>
    <w:rsid w:val="00BF2571"/>
    <w:rsid w:val="00BF25CF"/>
    <w:rsid w:val="00BF3389"/>
    <w:rsid w:val="00BF4109"/>
    <w:rsid w:val="00BF4CC3"/>
    <w:rsid w:val="00BF584D"/>
    <w:rsid w:val="00C0110B"/>
    <w:rsid w:val="00C04E59"/>
    <w:rsid w:val="00C054C7"/>
    <w:rsid w:val="00C057B5"/>
    <w:rsid w:val="00C05E69"/>
    <w:rsid w:val="00C06E15"/>
    <w:rsid w:val="00C07D77"/>
    <w:rsid w:val="00C1262B"/>
    <w:rsid w:val="00C15BB2"/>
    <w:rsid w:val="00C222AC"/>
    <w:rsid w:val="00C22449"/>
    <w:rsid w:val="00C22687"/>
    <w:rsid w:val="00C228D8"/>
    <w:rsid w:val="00C23D11"/>
    <w:rsid w:val="00C23EDD"/>
    <w:rsid w:val="00C2408B"/>
    <w:rsid w:val="00C24185"/>
    <w:rsid w:val="00C2459A"/>
    <w:rsid w:val="00C26CD5"/>
    <w:rsid w:val="00C30B27"/>
    <w:rsid w:val="00C3228D"/>
    <w:rsid w:val="00C32E4D"/>
    <w:rsid w:val="00C333A0"/>
    <w:rsid w:val="00C33748"/>
    <w:rsid w:val="00C36408"/>
    <w:rsid w:val="00C36A81"/>
    <w:rsid w:val="00C37196"/>
    <w:rsid w:val="00C400EB"/>
    <w:rsid w:val="00C41974"/>
    <w:rsid w:val="00C45B8A"/>
    <w:rsid w:val="00C46CDF"/>
    <w:rsid w:val="00C46F81"/>
    <w:rsid w:val="00C47D96"/>
    <w:rsid w:val="00C50062"/>
    <w:rsid w:val="00C51178"/>
    <w:rsid w:val="00C5159A"/>
    <w:rsid w:val="00C5263D"/>
    <w:rsid w:val="00C53F4A"/>
    <w:rsid w:val="00C54125"/>
    <w:rsid w:val="00C55B54"/>
    <w:rsid w:val="00C6098E"/>
    <w:rsid w:val="00C611D8"/>
    <w:rsid w:val="00C6152C"/>
    <w:rsid w:val="00C63990"/>
    <w:rsid w:val="00C64EF6"/>
    <w:rsid w:val="00C65050"/>
    <w:rsid w:val="00C65983"/>
    <w:rsid w:val="00C70100"/>
    <w:rsid w:val="00C74810"/>
    <w:rsid w:val="00C76F02"/>
    <w:rsid w:val="00C77C5A"/>
    <w:rsid w:val="00C81288"/>
    <w:rsid w:val="00C84F83"/>
    <w:rsid w:val="00C86EB4"/>
    <w:rsid w:val="00C90D68"/>
    <w:rsid w:val="00C91601"/>
    <w:rsid w:val="00C9167B"/>
    <w:rsid w:val="00C927DB"/>
    <w:rsid w:val="00C9363E"/>
    <w:rsid w:val="00C939FE"/>
    <w:rsid w:val="00C97730"/>
    <w:rsid w:val="00C97FCD"/>
    <w:rsid w:val="00CA3B10"/>
    <w:rsid w:val="00CA4786"/>
    <w:rsid w:val="00CA4BDA"/>
    <w:rsid w:val="00CB13AD"/>
    <w:rsid w:val="00CB1F66"/>
    <w:rsid w:val="00CB2951"/>
    <w:rsid w:val="00CB3838"/>
    <w:rsid w:val="00CB4786"/>
    <w:rsid w:val="00CB4CA2"/>
    <w:rsid w:val="00CB5B5B"/>
    <w:rsid w:val="00CB5E90"/>
    <w:rsid w:val="00CB60DE"/>
    <w:rsid w:val="00CB773D"/>
    <w:rsid w:val="00CB77B2"/>
    <w:rsid w:val="00CB7B9F"/>
    <w:rsid w:val="00CC00DA"/>
    <w:rsid w:val="00CC3FE5"/>
    <w:rsid w:val="00CC534F"/>
    <w:rsid w:val="00CC61B6"/>
    <w:rsid w:val="00CC71E6"/>
    <w:rsid w:val="00CD0906"/>
    <w:rsid w:val="00CD16F8"/>
    <w:rsid w:val="00CD282B"/>
    <w:rsid w:val="00CD2F17"/>
    <w:rsid w:val="00CD42E4"/>
    <w:rsid w:val="00CD4C35"/>
    <w:rsid w:val="00CD5BEE"/>
    <w:rsid w:val="00CD7369"/>
    <w:rsid w:val="00CE0B0E"/>
    <w:rsid w:val="00CE14B2"/>
    <w:rsid w:val="00CE3831"/>
    <w:rsid w:val="00CE3FF8"/>
    <w:rsid w:val="00CE6258"/>
    <w:rsid w:val="00CE74CC"/>
    <w:rsid w:val="00CE775E"/>
    <w:rsid w:val="00CF0B6A"/>
    <w:rsid w:val="00CF27C1"/>
    <w:rsid w:val="00CF4DAB"/>
    <w:rsid w:val="00D00ABB"/>
    <w:rsid w:val="00D02EEC"/>
    <w:rsid w:val="00D03551"/>
    <w:rsid w:val="00D0611D"/>
    <w:rsid w:val="00D06A63"/>
    <w:rsid w:val="00D07CBC"/>
    <w:rsid w:val="00D07E0E"/>
    <w:rsid w:val="00D1039F"/>
    <w:rsid w:val="00D1127D"/>
    <w:rsid w:val="00D11478"/>
    <w:rsid w:val="00D12F22"/>
    <w:rsid w:val="00D13729"/>
    <w:rsid w:val="00D14E71"/>
    <w:rsid w:val="00D15397"/>
    <w:rsid w:val="00D15ED0"/>
    <w:rsid w:val="00D16130"/>
    <w:rsid w:val="00D16B8F"/>
    <w:rsid w:val="00D21B3E"/>
    <w:rsid w:val="00D21FED"/>
    <w:rsid w:val="00D23257"/>
    <w:rsid w:val="00D24251"/>
    <w:rsid w:val="00D250D7"/>
    <w:rsid w:val="00D267EA"/>
    <w:rsid w:val="00D26FAA"/>
    <w:rsid w:val="00D32AA0"/>
    <w:rsid w:val="00D33A9C"/>
    <w:rsid w:val="00D343E2"/>
    <w:rsid w:val="00D34A1A"/>
    <w:rsid w:val="00D358D1"/>
    <w:rsid w:val="00D361A2"/>
    <w:rsid w:val="00D36DF7"/>
    <w:rsid w:val="00D37C1F"/>
    <w:rsid w:val="00D40F6E"/>
    <w:rsid w:val="00D42AFF"/>
    <w:rsid w:val="00D44C2E"/>
    <w:rsid w:val="00D45414"/>
    <w:rsid w:val="00D52477"/>
    <w:rsid w:val="00D53689"/>
    <w:rsid w:val="00D55FD3"/>
    <w:rsid w:val="00D566BD"/>
    <w:rsid w:val="00D576CF"/>
    <w:rsid w:val="00D57A4D"/>
    <w:rsid w:val="00D602A0"/>
    <w:rsid w:val="00D60AA7"/>
    <w:rsid w:val="00D60F5C"/>
    <w:rsid w:val="00D62CDD"/>
    <w:rsid w:val="00D632D3"/>
    <w:rsid w:val="00D6435F"/>
    <w:rsid w:val="00D64CCA"/>
    <w:rsid w:val="00D7187A"/>
    <w:rsid w:val="00D728C0"/>
    <w:rsid w:val="00D72FC4"/>
    <w:rsid w:val="00D736A6"/>
    <w:rsid w:val="00D741FA"/>
    <w:rsid w:val="00D748D0"/>
    <w:rsid w:val="00D75E28"/>
    <w:rsid w:val="00D76805"/>
    <w:rsid w:val="00D772C2"/>
    <w:rsid w:val="00D77608"/>
    <w:rsid w:val="00D8008E"/>
    <w:rsid w:val="00D82C45"/>
    <w:rsid w:val="00D82EF2"/>
    <w:rsid w:val="00D83079"/>
    <w:rsid w:val="00D83447"/>
    <w:rsid w:val="00D8461E"/>
    <w:rsid w:val="00D908A8"/>
    <w:rsid w:val="00D936B7"/>
    <w:rsid w:val="00D9686A"/>
    <w:rsid w:val="00D973DC"/>
    <w:rsid w:val="00D977B6"/>
    <w:rsid w:val="00D9798E"/>
    <w:rsid w:val="00DA0313"/>
    <w:rsid w:val="00DA264C"/>
    <w:rsid w:val="00DA273F"/>
    <w:rsid w:val="00DA31F6"/>
    <w:rsid w:val="00DA4A31"/>
    <w:rsid w:val="00DA7B04"/>
    <w:rsid w:val="00DA7E83"/>
    <w:rsid w:val="00DB028D"/>
    <w:rsid w:val="00DB099B"/>
    <w:rsid w:val="00DB1536"/>
    <w:rsid w:val="00DB36C2"/>
    <w:rsid w:val="00DB4937"/>
    <w:rsid w:val="00DC169B"/>
    <w:rsid w:val="00DC21DB"/>
    <w:rsid w:val="00DC2AB9"/>
    <w:rsid w:val="00DC30B8"/>
    <w:rsid w:val="00DC37EF"/>
    <w:rsid w:val="00DC3C4C"/>
    <w:rsid w:val="00DC47C9"/>
    <w:rsid w:val="00DC4ACE"/>
    <w:rsid w:val="00DC4D84"/>
    <w:rsid w:val="00DC63F0"/>
    <w:rsid w:val="00DD3312"/>
    <w:rsid w:val="00DD4AAB"/>
    <w:rsid w:val="00DD5146"/>
    <w:rsid w:val="00DD6EE5"/>
    <w:rsid w:val="00DE0CDA"/>
    <w:rsid w:val="00DE1A5E"/>
    <w:rsid w:val="00DE35D5"/>
    <w:rsid w:val="00DE386C"/>
    <w:rsid w:val="00DE4D35"/>
    <w:rsid w:val="00DE53F9"/>
    <w:rsid w:val="00DE572F"/>
    <w:rsid w:val="00DF098B"/>
    <w:rsid w:val="00DF11C1"/>
    <w:rsid w:val="00DF11C4"/>
    <w:rsid w:val="00DF210C"/>
    <w:rsid w:val="00DF2AF5"/>
    <w:rsid w:val="00DF2C1B"/>
    <w:rsid w:val="00DF4B6A"/>
    <w:rsid w:val="00DF7D8B"/>
    <w:rsid w:val="00E01E65"/>
    <w:rsid w:val="00E02C09"/>
    <w:rsid w:val="00E04D59"/>
    <w:rsid w:val="00E065E4"/>
    <w:rsid w:val="00E07DA1"/>
    <w:rsid w:val="00E112BC"/>
    <w:rsid w:val="00E11A82"/>
    <w:rsid w:val="00E123CB"/>
    <w:rsid w:val="00E12565"/>
    <w:rsid w:val="00E146FB"/>
    <w:rsid w:val="00E177B5"/>
    <w:rsid w:val="00E20735"/>
    <w:rsid w:val="00E20E13"/>
    <w:rsid w:val="00E21DBC"/>
    <w:rsid w:val="00E2506D"/>
    <w:rsid w:val="00E26842"/>
    <w:rsid w:val="00E275D7"/>
    <w:rsid w:val="00E27DBE"/>
    <w:rsid w:val="00E31471"/>
    <w:rsid w:val="00E327FF"/>
    <w:rsid w:val="00E32AB1"/>
    <w:rsid w:val="00E350A8"/>
    <w:rsid w:val="00E36C71"/>
    <w:rsid w:val="00E373F5"/>
    <w:rsid w:val="00E37C32"/>
    <w:rsid w:val="00E40404"/>
    <w:rsid w:val="00E40595"/>
    <w:rsid w:val="00E41592"/>
    <w:rsid w:val="00E4529A"/>
    <w:rsid w:val="00E459C6"/>
    <w:rsid w:val="00E47589"/>
    <w:rsid w:val="00E50037"/>
    <w:rsid w:val="00E507E9"/>
    <w:rsid w:val="00E52CC8"/>
    <w:rsid w:val="00E55BDA"/>
    <w:rsid w:val="00E61708"/>
    <w:rsid w:val="00E62387"/>
    <w:rsid w:val="00E64915"/>
    <w:rsid w:val="00E64D2C"/>
    <w:rsid w:val="00E661D4"/>
    <w:rsid w:val="00E70091"/>
    <w:rsid w:val="00E70A48"/>
    <w:rsid w:val="00E720F5"/>
    <w:rsid w:val="00E737DA"/>
    <w:rsid w:val="00E74175"/>
    <w:rsid w:val="00E75261"/>
    <w:rsid w:val="00E75B75"/>
    <w:rsid w:val="00E76D47"/>
    <w:rsid w:val="00E76FE5"/>
    <w:rsid w:val="00E77CB3"/>
    <w:rsid w:val="00E81215"/>
    <w:rsid w:val="00E819D2"/>
    <w:rsid w:val="00E849F7"/>
    <w:rsid w:val="00E851AB"/>
    <w:rsid w:val="00E87F6F"/>
    <w:rsid w:val="00E90302"/>
    <w:rsid w:val="00E90C41"/>
    <w:rsid w:val="00E92C3F"/>
    <w:rsid w:val="00E95ACF"/>
    <w:rsid w:val="00E97396"/>
    <w:rsid w:val="00E97FD4"/>
    <w:rsid w:val="00EA185E"/>
    <w:rsid w:val="00EA2001"/>
    <w:rsid w:val="00EA26E7"/>
    <w:rsid w:val="00EA592A"/>
    <w:rsid w:val="00EA7800"/>
    <w:rsid w:val="00EB14E4"/>
    <w:rsid w:val="00EB32A5"/>
    <w:rsid w:val="00EB34ED"/>
    <w:rsid w:val="00EB3D2F"/>
    <w:rsid w:val="00EB61BE"/>
    <w:rsid w:val="00EB6ACF"/>
    <w:rsid w:val="00EB7BE0"/>
    <w:rsid w:val="00EB7E63"/>
    <w:rsid w:val="00EC1CF0"/>
    <w:rsid w:val="00EC1D5C"/>
    <w:rsid w:val="00EC1D9D"/>
    <w:rsid w:val="00EC315E"/>
    <w:rsid w:val="00EC3898"/>
    <w:rsid w:val="00EC5FCC"/>
    <w:rsid w:val="00EC6609"/>
    <w:rsid w:val="00ED077C"/>
    <w:rsid w:val="00ED1190"/>
    <w:rsid w:val="00ED50AF"/>
    <w:rsid w:val="00ED6544"/>
    <w:rsid w:val="00EE0277"/>
    <w:rsid w:val="00EE21F2"/>
    <w:rsid w:val="00EE3E00"/>
    <w:rsid w:val="00EE43BC"/>
    <w:rsid w:val="00EE4B1C"/>
    <w:rsid w:val="00EE4F5F"/>
    <w:rsid w:val="00EE5DD2"/>
    <w:rsid w:val="00EE76FA"/>
    <w:rsid w:val="00EF0A2E"/>
    <w:rsid w:val="00EF12F9"/>
    <w:rsid w:val="00EF184D"/>
    <w:rsid w:val="00EF4F87"/>
    <w:rsid w:val="00EF63C2"/>
    <w:rsid w:val="00EF6CAC"/>
    <w:rsid w:val="00F0087A"/>
    <w:rsid w:val="00F00A79"/>
    <w:rsid w:val="00F00E86"/>
    <w:rsid w:val="00F02151"/>
    <w:rsid w:val="00F02EC7"/>
    <w:rsid w:val="00F04DB6"/>
    <w:rsid w:val="00F07C1E"/>
    <w:rsid w:val="00F105DB"/>
    <w:rsid w:val="00F132BC"/>
    <w:rsid w:val="00F13D80"/>
    <w:rsid w:val="00F16669"/>
    <w:rsid w:val="00F16AAA"/>
    <w:rsid w:val="00F21161"/>
    <w:rsid w:val="00F218EF"/>
    <w:rsid w:val="00F21BC7"/>
    <w:rsid w:val="00F237BC"/>
    <w:rsid w:val="00F23F9E"/>
    <w:rsid w:val="00F2529A"/>
    <w:rsid w:val="00F26134"/>
    <w:rsid w:val="00F266A2"/>
    <w:rsid w:val="00F2699E"/>
    <w:rsid w:val="00F303AD"/>
    <w:rsid w:val="00F32269"/>
    <w:rsid w:val="00F33E4C"/>
    <w:rsid w:val="00F33F6E"/>
    <w:rsid w:val="00F35091"/>
    <w:rsid w:val="00F41EF3"/>
    <w:rsid w:val="00F46607"/>
    <w:rsid w:val="00F50ADE"/>
    <w:rsid w:val="00F523CB"/>
    <w:rsid w:val="00F56320"/>
    <w:rsid w:val="00F56A6F"/>
    <w:rsid w:val="00F5709C"/>
    <w:rsid w:val="00F603F2"/>
    <w:rsid w:val="00F60B66"/>
    <w:rsid w:val="00F61E11"/>
    <w:rsid w:val="00F6337D"/>
    <w:rsid w:val="00F64EF1"/>
    <w:rsid w:val="00F70DF7"/>
    <w:rsid w:val="00F70EB9"/>
    <w:rsid w:val="00F72861"/>
    <w:rsid w:val="00F73105"/>
    <w:rsid w:val="00F73C13"/>
    <w:rsid w:val="00F73EAA"/>
    <w:rsid w:val="00F778C2"/>
    <w:rsid w:val="00F779A8"/>
    <w:rsid w:val="00F82392"/>
    <w:rsid w:val="00F838B3"/>
    <w:rsid w:val="00F83D1B"/>
    <w:rsid w:val="00F84343"/>
    <w:rsid w:val="00F847FF"/>
    <w:rsid w:val="00F8592C"/>
    <w:rsid w:val="00F872F6"/>
    <w:rsid w:val="00F87458"/>
    <w:rsid w:val="00F8765F"/>
    <w:rsid w:val="00F8794E"/>
    <w:rsid w:val="00F90767"/>
    <w:rsid w:val="00F92E77"/>
    <w:rsid w:val="00FA3C96"/>
    <w:rsid w:val="00FA45F5"/>
    <w:rsid w:val="00FA685B"/>
    <w:rsid w:val="00FA72E6"/>
    <w:rsid w:val="00FB0C01"/>
    <w:rsid w:val="00FB2B45"/>
    <w:rsid w:val="00FB334B"/>
    <w:rsid w:val="00FB35AA"/>
    <w:rsid w:val="00FB3675"/>
    <w:rsid w:val="00FB47C1"/>
    <w:rsid w:val="00FB4BF3"/>
    <w:rsid w:val="00FB5A6E"/>
    <w:rsid w:val="00FC05DA"/>
    <w:rsid w:val="00FC18F2"/>
    <w:rsid w:val="00FC39E5"/>
    <w:rsid w:val="00FC3A78"/>
    <w:rsid w:val="00FC5C29"/>
    <w:rsid w:val="00FC7530"/>
    <w:rsid w:val="00FD1005"/>
    <w:rsid w:val="00FD10F7"/>
    <w:rsid w:val="00FD1698"/>
    <w:rsid w:val="00FD4672"/>
    <w:rsid w:val="00FD4C94"/>
    <w:rsid w:val="00FD658E"/>
    <w:rsid w:val="00FD6C75"/>
    <w:rsid w:val="00FD7572"/>
    <w:rsid w:val="00FE3296"/>
    <w:rsid w:val="00FE3B75"/>
    <w:rsid w:val="00FE4424"/>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456F1"/>
    <w:rPr>
      <w:lang w:val="fr-FR"/>
    </w:rPr>
  </w:style>
  <w:style w:type="paragraph" w:styleId="Heading1">
    <w:name w:val="heading 1"/>
    <w:basedOn w:val="Normal"/>
    <w:next w:val="Normal"/>
    <w:link w:val="Heading1Char"/>
    <w:uiPriority w:val="98"/>
    <w:semiHidden/>
    <w:rsid w:val="001456F1"/>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1456F1"/>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1456F1"/>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1456F1"/>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1456F1"/>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1456F1"/>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1456F1"/>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1456F1"/>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1456F1"/>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1456F1"/>
    <w:rPr>
      <w:rFonts w:ascii="Tahoma" w:hAnsi="Tahoma" w:cs="Tahoma"/>
      <w:sz w:val="16"/>
      <w:szCs w:val="16"/>
    </w:rPr>
  </w:style>
  <w:style w:type="character" w:customStyle="1" w:styleId="BalloonTextChar">
    <w:name w:val="Balloon Text Char"/>
    <w:basedOn w:val="DefaultParagraphFont"/>
    <w:link w:val="BalloonText"/>
    <w:uiPriority w:val="98"/>
    <w:semiHidden/>
    <w:rsid w:val="001456F1"/>
    <w:rPr>
      <w:rFonts w:ascii="Tahoma" w:hAnsi="Tahoma" w:cs="Tahoma"/>
      <w:sz w:val="16"/>
      <w:szCs w:val="16"/>
      <w:lang w:val="fr-FR"/>
    </w:rPr>
  </w:style>
  <w:style w:type="character" w:styleId="BookTitle">
    <w:name w:val="Book Title"/>
    <w:uiPriority w:val="98"/>
    <w:semiHidden/>
    <w:qFormat/>
    <w:rsid w:val="001456F1"/>
    <w:rPr>
      <w:i/>
      <w:iCs/>
      <w:smallCaps/>
      <w:spacing w:val="5"/>
    </w:rPr>
  </w:style>
  <w:style w:type="paragraph" w:customStyle="1" w:styleId="JuHeader">
    <w:name w:val="Ju_Header"/>
    <w:aliases w:val="_Header"/>
    <w:basedOn w:val="Header"/>
    <w:uiPriority w:val="29"/>
    <w:qFormat/>
    <w:rsid w:val="001456F1"/>
    <w:pPr>
      <w:tabs>
        <w:tab w:val="clear" w:pos="4536"/>
        <w:tab w:val="clear" w:pos="9072"/>
      </w:tabs>
      <w:jc w:val="center"/>
    </w:pPr>
    <w:rPr>
      <w:sz w:val="18"/>
    </w:rPr>
  </w:style>
  <w:style w:type="paragraph" w:customStyle="1" w:styleId="ECHRFooter">
    <w:name w:val="ECHR_Footer"/>
    <w:aliases w:val="Footer_ECHR"/>
    <w:basedOn w:val="Footer"/>
    <w:uiPriority w:val="57"/>
    <w:semiHidden/>
    <w:rsid w:val="008B0E9A"/>
    <w:rPr>
      <w:sz w:val="8"/>
    </w:rPr>
  </w:style>
  <w:style w:type="character" w:styleId="Strong">
    <w:name w:val="Strong"/>
    <w:uiPriority w:val="98"/>
    <w:semiHidden/>
    <w:qFormat/>
    <w:rsid w:val="001456F1"/>
    <w:rPr>
      <w:b/>
      <w:bCs/>
    </w:rPr>
  </w:style>
  <w:style w:type="paragraph" w:styleId="NoSpacing">
    <w:name w:val="No Spacing"/>
    <w:basedOn w:val="Normal"/>
    <w:link w:val="NoSpacingChar"/>
    <w:uiPriority w:val="98"/>
    <w:semiHidden/>
    <w:qFormat/>
    <w:rsid w:val="001456F1"/>
  </w:style>
  <w:style w:type="character" w:customStyle="1" w:styleId="NoSpacingChar">
    <w:name w:val="No Spacing Char"/>
    <w:basedOn w:val="DefaultParagraphFont"/>
    <w:link w:val="NoSpacing"/>
    <w:uiPriority w:val="98"/>
    <w:semiHidden/>
    <w:rsid w:val="001456F1"/>
    <w:rPr>
      <w:lang w:val="fr-FR"/>
    </w:rPr>
  </w:style>
  <w:style w:type="paragraph" w:customStyle="1" w:styleId="FooterLine">
    <w:name w:val="_Footer_Line"/>
    <w:aliases w:val="Footer_Line"/>
    <w:basedOn w:val="Normal"/>
    <w:next w:val="Footer0"/>
    <w:uiPriority w:val="57"/>
    <w:semiHidden/>
    <w:rsid w:val="001456F1"/>
    <w:pPr>
      <w:pBdr>
        <w:top w:val="single" w:sz="6" w:space="1" w:color="5F5F5F"/>
      </w:pBdr>
      <w:tabs>
        <w:tab w:val="center" w:pos="3686"/>
        <w:tab w:val="right" w:pos="7371"/>
      </w:tabs>
      <w:ind w:left="-1474" w:right="-1474"/>
    </w:pPr>
    <w:rPr>
      <w:color w:val="5F5F5F"/>
    </w:rPr>
  </w:style>
  <w:style w:type="paragraph" w:customStyle="1" w:styleId="ECHRBullet1">
    <w:name w:val="ECHR_Bullet_1"/>
    <w:aliases w:val="_Bul_1"/>
    <w:basedOn w:val="NormalJustified"/>
    <w:uiPriority w:val="23"/>
    <w:semiHidden/>
    <w:qFormat/>
    <w:rsid w:val="001456F1"/>
    <w:pPr>
      <w:numPr>
        <w:numId w:val="6"/>
      </w:numPr>
      <w:spacing w:before="60" w:after="60"/>
    </w:pPr>
  </w:style>
  <w:style w:type="paragraph" w:customStyle="1" w:styleId="NormalJustified">
    <w:name w:val="Normal_Justified"/>
    <w:basedOn w:val="Normal"/>
    <w:semiHidden/>
    <w:rsid w:val="001456F1"/>
    <w:pPr>
      <w:jc w:val="both"/>
    </w:pPr>
  </w:style>
  <w:style w:type="paragraph" w:customStyle="1" w:styleId="ECHRBullet2">
    <w:name w:val="ECHR_Bullet_2"/>
    <w:aliases w:val="_Bul_2"/>
    <w:basedOn w:val="ECHRBullet1"/>
    <w:uiPriority w:val="23"/>
    <w:semiHidden/>
    <w:rsid w:val="001456F1"/>
    <w:pPr>
      <w:numPr>
        <w:ilvl w:val="1"/>
      </w:numPr>
    </w:pPr>
  </w:style>
  <w:style w:type="paragraph" w:customStyle="1" w:styleId="JuHArticle">
    <w:name w:val="Ju_H_Article"/>
    <w:aliases w:val="_Title_Quote"/>
    <w:basedOn w:val="Normal"/>
    <w:next w:val="JuQuot"/>
    <w:uiPriority w:val="19"/>
    <w:qFormat/>
    <w:rsid w:val="001456F1"/>
    <w:pPr>
      <w:keepNext/>
      <w:spacing w:before="100" w:beforeAutospacing="1" w:after="120"/>
      <w:contextualSpacing/>
      <w:jc w:val="center"/>
    </w:pPr>
    <w:rPr>
      <w:b/>
      <w:sz w:val="20"/>
    </w:rPr>
  </w:style>
  <w:style w:type="paragraph" w:customStyle="1" w:styleId="ECHRBullet3">
    <w:name w:val="ECHR_Bullet_3"/>
    <w:aliases w:val="_Bul_3"/>
    <w:basedOn w:val="ECHRBullet2"/>
    <w:uiPriority w:val="23"/>
    <w:semiHidden/>
    <w:rsid w:val="001456F1"/>
    <w:pPr>
      <w:numPr>
        <w:ilvl w:val="2"/>
      </w:numPr>
    </w:pPr>
  </w:style>
  <w:style w:type="paragraph" w:customStyle="1" w:styleId="ECHRBullet4">
    <w:name w:val="ECHR_Bullet_4"/>
    <w:aliases w:val="_Bul_4"/>
    <w:basedOn w:val="ECHRBullet3"/>
    <w:uiPriority w:val="23"/>
    <w:semiHidden/>
    <w:rsid w:val="001456F1"/>
    <w:pPr>
      <w:numPr>
        <w:ilvl w:val="3"/>
      </w:numPr>
    </w:pPr>
  </w:style>
  <w:style w:type="paragraph" w:customStyle="1" w:styleId="ECHRConfidential">
    <w:name w:val="ECHR_Confidential"/>
    <w:aliases w:val="_Confidential"/>
    <w:basedOn w:val="Normal"/>
    <w:next w:val="Normal"/>
    <w:uiPriority w:val="42"/>
    <w:semiHidden/>
    <w:qFormat/>
    <w:rsid w:val="001456F1"/>
    <w:pPr>
      <w:jc w:val="right"/>
    </w:pPr>
    <w:rPr>
      <w:color w:val="C00000"/>
      <w:sz w:val="20"/>
    </w:rPr>
  </w:style>
  <w:style w:type="paragraph" w:customStyle="1" w:styleId="ECHRDivisionName">
    <w:name w:val="ECHR_DivisionName"/>
    <w:aliases w:val="_Div_Name"/>
    <w:basedOn w:val="Normal"/>
    <w:link w:val="ECHRDivisionNameChar"/>
    <w:uiPriority w:val="41"/>
    <w:semiHidden/>
    <w:qFormat/>
    <w:rsid w:val="001456F1"/>
    <w:pPr>
      <w:contextualSpacing/>
      <w:jc w:val="center"/>
    </w:pPr>
    <w:rPr>
      <w:rFonts w:ascii="Arial" w:hAnsi="Arial"/>
      <w:i/>
      <w:color w:val="002856"/>
      <w:sz w:val="32"/>
    </w:rPr>
  </w:style>
  <w:style w:type="paragraph" w:customStyle="1" w:styleId="DecHCase">
    <w:name w:val="Dec_H_Case"/>
    <w:aliases w:val="_Title_3"/>
    <w:basedOn w:val="JuPara"/>
    <w:next w:val="JuPara"/>
    <w:uiPriority w:val="38"/>
    <w:qFormat/>
    <w:rsid w:val="001456F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56F1"/>
    <w:pPr>
      <w:keepNext/>
      <w:keepLines/>
      <w:spacing w:before="1320" w:after="280"/>
      <w:contextualSpacing/>
      <w:jc w:val="center"/>
    </w:pPr>
    <w:rPr>
      <w:b/>
    </w:rPr>
  </w:style>
  <w:style w:type="paragraph" w:styleId="Title">
    <w:name w:val="Title"/>
    <w:basedOn w:val="Normal"/>
    <w:next w:val="Normal"/>
    <w:link w:val="TitleChar"/>
    <w:uiPriority w:val="98"/>
    <w:semiHidden/>
    <w:qFormat/>
    <w:rsid w:val="001456F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56F1"/>
    <w:rPr>
      <w:rFonts w:asciiTheme="majorHAnsi" w:eastAsiaTheme="majorEastAsia" w:hAnsiTheme="majorHAnsi" w:cstheme="majorBidi"/>
      <w:spacing w:val="5"/>
      <w:sz w:val="52"/>
      <w:szCs w:val="52"/>
      <w:lang w:val="fr-FR" w:bidi="en-US"/>
    </w:rPr>
  </w:style>
  <w:style w:type="paragraph" w:customStyle="1" w:styleId="JuH1">
    <w:name w:val="Ju_H_1."/>
    <w:aliases w:val="_Head_4"/>
    <w:basedOn w:val="Heading4"/>
    <w:next w:val="JuPara"/>
    <w:uiPriority w:val="17"/>
    <w:rsid w:val="001456F1"/>
    <w:pPr>
      <w:keepNext/>
      <w:keepLines/>
      <w:numPr>
        <w:ilvl w:val="3"/>
        <w:numId w:val="2"/>
      </w:numPr>
      <w:spacing w:before="100" w:beforeAutospacing="1" w:after="120"/>
    </w:pPr>
    <w:rPr>
      <w:b w:val="0"/>
      <w:color w:val="auto"/>
      <w:sz w:val="24"/>
    </w:rPr>
  </w:style>
  <w:style w:type="paragraph" w:customStyle="1" w:styleId="JuHa0">
    <w:name w:val="Ju_H_a"/>
    <w:aliases w:val="_Head_5"/>
    <w:basedOn w:val="Heading5"/>
    <w:next w:val="JuPara"/>
    <w:uiPriority w:val="17"/>
    <w:rsid w:val="001456F1"/>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1456F1"/>
    <w:pPr>
      <w:keepNext/>
      <w:keepLines/>
      <w:numPr>
        <w:ilvl w:val="5"/>
        <w:numId w:val="2"/>
      </w:numPr>
      <w:spacing w:before="100" w:beforeAutospacing="1" w:after="120"/>
    </w:pPr>
    <w:rPr>
      <w:b w:val="0"/>
      <w:color w:val="auto"/>
      <w:sz w:val="20"/>
    </w:rPr>
  </w:style>
  <w:style w:type="paragraph" w:customStyle="1" w:styleId="JuHalpha">
    <w:name w:val="Ju_H_alpha"/>
    <w:aliases w:val="_Head_7"/>
    <w:basedOn w:val="Heading7"/>
    <w:next w:val="JuPara"/>
    <w:uiPriority w:val="17"/>
    <w:rsid w:val="001456F1"/>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1456F1"/>
    <w:pPr>
      <w:keepNext/>
      <w:keepLines/>
      <w:numPr>
        <w:ilvl w:val="7"/>
        <w:numId w:val="2"/>
      </w:numPr>
      <w:spacing w:before="100" w:beforeAutospacing="1" w:after="120"/>
    </w:pPr>
    <w:rPr>
      <w:i/>
    </w:rPr>
  </w:style>
  <w:style w:type="character" w:customStyle="1" w:styleId="ECHRDivisionNameChar">
    <w:name w:val="ECHR_DivisionName Char"/>
    <w:aliases w:val="_Div_Name Char"/>
    <w:basedOn w:val="DefaultParagraphFont"/>
    <w:link w:val="ECHRDivisionName"/>
    <w:uiPriority w:val="41"/>
    <w:semiHidden/>
    <w:rsid w:val="001456F1"/>
    <w:rPr>
      <w:rFonts w:ascii="Arial" w:hAnsi="Arial"/>
      <w:i/>
      <w:color w:val="002856"/>
      <w:sz w:val="32"/>
      <w:lang w:val="fr-FR"/>
    </w:rPr>
  </w:style>
  <w:style w:type="paragraph" w:customStyle="1" w:styleId="JuInitialled">
    <w:name w:val="Ju_Initialled"/>
    <w:aliases w:val="_Right"/>
    <w:basedOn w:val="Normal"/>
    <w:uiPriority w:val="31"/>
    <w:qFormat/>
    <w:rsid w:val="001456F1"/>
    <w:pPr>
      <w:tabs>
        <w:tab w:val="center" w:pos="6407"/>
      </w:tabs>
      <w:spacing w:before="720"/>
      <w:jc w:val="right"/>
    </w:pPr>
  </w:style>
  <w:style w:type="paragraph" w:styleId="Header">
    <w:name w:val="header"/>
    <w:basedOn w:val="Normal"/>
    <w:link w:val="HeaderChar"/>
    <w:uiPriority w:val="98"/>
    <w:semiHidden/>
    <w:rsid w:val="001456F1"/>
    <w:pPr>
      <w:tabs>
        <w:tab w:val="center" w:pos="4536"/>
        <w:tab w:val="right" w:pos="9072"/>
      </w:tabs>
    </w:pPr>
  </w:style>
  <w:style w:type="character" w:customStyle="1" w:styleId="HeaderChar">
    <w:name w:val="Header Char"/>
    <w:basedOn w:val="DefaultParagraphFont"/>
    <w:link w:val="Header"/>
    <w:uiPriority w:val="98"/>
    <w:semiHidden/>
    <w:rsid w:val="001456F1"/>
    <w:rPr>
      <w:lang w:val="fr-FR"/>
    </w:rPr>
  </w:style>
  <w:style w:type="character" w:customStyle="1" w:styleId="Heading1Char">
    <w:name w:val="Heading 1 Char"/>
    <w:basedOn w:val="DefaultParagraphFont"/>
    <w:link w:val="Heading1"/>
    <w:uiPriority w:val="98"/>
    <w:semiHidden/>
    <w:rsid w:val="001456F1"/>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Heading2"/>
    <w:next w:val="JuPara"/>
    <w:uiPriority w:val="17"/>
    <w:qFormat/>
    <w:rsid w:val="001456F1"/>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1456F1"/>
    <w:pPr>
      <w:keepNext/>
      <w:keepLines/>
      <w:numPr>
        <w:ilvl w:val="2"/>
        <w:numId w:val="2"/>
      </w:numPr>
      <w:spacing w:before="100" w:beforeAutospacing="1" w:after="240" w:line="240" w:lineRule="auto"/>
    </w:pPr>
    <w:rPr>
      <w:color w:val="auto"/>
      <w:sz w:val="24"/>
    </w:rPr>
  </w:style>
  <w:style w:type="character" w:customStyle="1" w:styleId="Heading2Char">
    <w:name w:val="Heading 2 Char"/>
    <w:basedOn w:val="DefaultParagraphFont"/>
    <w:link w:val="Heading2"/>
    <w:uiPriority w:val="98"/>
    <w:semiHidden/>
    <w:rsid w:val="001456F1"/>
    <w:rPr>
      <w:rFonts w:asciiTheme="majorHAnsi" w:eastAsiaTheme="majorEastAsia" w:hAnsiTheme="majorHAnsi" w:cstheme="majorBidi"/>
      <w:b/>
      <w:bCs/>
      <w:color w:val="4D4D4D"/>
      <w:sz w:val="26"/>
      <w:szCs w:val="26"/>
      <w:lang w:val="en-GB"/>
    </w:rPr>
  </w:style>
  <w:style w:type="character" w:customStyle="1" w:styleId="JUNAMES">
    <w:name w:val="JU_NAMES"/>
    <w:aliases w:val="_Ju_Names"/>
    <w:uiPriority w:val="33"/>
    <w:qFormat/>
    <w:rsid w:val="001456F1"/>
    <w:rPr>
      <w:caps w:val="0"/>
      <w:smallCaps/>
    </w:rPr>
  </w:style>
  <w:style w:type="paragraph" w:customStyle="1" w:styleId="ECHRDecisionBody">
    <w:name w:val="ECHR_Decision_Body"/>
    <w:aliases w:val="_Decision_Body"/>
    <w:basedOn w:val="NormalJustified"/>
    <w:link w:val="JuJudgesChar"/>
    <w:uiPriority w:val="54"/>
    <w:rsid w:val="001456F1"/>
    <w:pPr>
      <w:tabs>
        <w:tab w:val="left" w:pos="567"/>
        <w:tab w:val="left" w:pos="1134"/>
      </w:tabs>
      <w:spacing w:line="240" w:lineRule="exact"/>
      <w:jc w:val="left"/>
    </w:pPr>
  </w:style>
  <w:style w:type="character" w:customStyle="1" w:styleId="Heading3Char">
    <w:name w:val="Heading 3 Char"/>
    <w:basedOn w:val="DefaultParagraphFont"/>
    <w:link w:val="Heading3"/>
    <w:uiPriority w:val="98"/>
    <w:semiHidden/>
    <w:rsid w:val="001456F1"/>
    <w:rPr>
      <w:rFonts w:asciiTheme="majorHAnsi" w:eastAsiaTheme="majorEastAsia" w:hAnsiTheme="majorHAnsi" w:cstheme="majorBidi"/>
      <w:b/>
      <w:bCs/>
      <w:color w:val="5F5F5F"/>
      <w:sz w:val="22"/>
      <w:szCs w:val="22"/>
      <w:lang w:val="en-GB"/>
    </w:rPr>
  </w:style>
  <w:style w:type="paragraph" w:customStyle="1" w:styleId="JuPara">
    <w:name w:val="Ju_Para"/>
    <w:aliases w:val="_Para"/>
    <w:basedOn w:val="NormalJustified"/>
    <w:link w:val="JuParaChar"/>
    <w:uiPriority w:val="4"/>
    <w:qFormat/>
    <w:rsid w:val="001456F1"/>
    <w:pPr>
      <w:ind w:firstLine="284"/>
    </w:pPr>
  </w:style>
  <w:style w:type="character" w:customStyle="1" w:styleId="Heading4Char">
    <w:name w:val="Heading 4 Char"/>
    <w:basedOn w:val="DefaultParagraphFont"/>
    <w:link w:val="Heading4"/>
    <w:uiPriority w:val="98"/>
    <w:semiHidden/>
    <w:rsid w:val="001456F1"/>
    <w:rPr>
      <w:rFonts w:asciiTheme="majorHAnsi" w:eastAsiaTheme="majorEastAsia" w:hAnsiTheme="majorHAnsi" w:cstheme="majorBidi"/>
      <w:b/>
      <w:bCs/>
      <w:i/>
      <w:iCs/>
      <w:color w:val="777777"/>
      <w:sz w:val="22"/>
      <w:szCs w:val="22"/>
      <w:lang w:val="en-GB"/>
    </w:rPr>
  </w:style>
  <w:style w:type="character" w:customStyle="1" w:styleId="Heading5Char">
    <w:name w:val="Heading 5 Char"/>
    <w:basedOn w:val="DefaultParagraphFont"/>
    <w:link w:val="Heading5"/>
    <w:uiPriority w:val="98"/>
    <w:semiHidden/>
    <w:rsid w:val="001456F1"/>
    <w:rPr>
      <w:rFonts w:asciiTheme="majorHAnsi" w:eastAsiaTheme="majorEastAsia" w:hAnsiTheme="majorHAnsi" w:cstheme="majorBidi"/>
      <w:b/>
      <w:bCs/>
      <w:color w:val="808080"/>
      <w:sz w:val="22"/>
      <w:szCs w:val="22"/>
      <w:lang w:val="en-GB"/>
    </w:rPr>
  </w:style>
  <w:style w:type="character" w:styleId="SubtleEmphasis">
    <w:name w:val="Subtle Emphasis"/>
    <w:uiPriority w:val="98"/>
    <w:semiHidden/>
    <w:qFormat/>
    <w:rsid w:val="001456F1"/>
    <w:rPr>
      <w:i/>
      <w:iCs/>
    </w:rPr>
  </w:style>
  <w:style w:type="table" w:customStyle="1" w:styleId="ECHRTable">
    <w:name w:val="ECHR_Table"/>
    <w:basedOn w:val="TableNormal"/>
    <w:rsid w:val="001456F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456F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JuPara"/>
    <w:uiPriority w:val="17"/>
    <w:qFormat/>
    <w:rsid w:val="001456F1"/>
    <w:pPr>
      <w:keepNext/>
      <w:keepLines/>
      <w:numPr>
        <w:numId w:val="2"/>
      </w:numPr>
      <w:spacing w:before="100" w:beforeAutospacing="1" w:after="240"/>
      <w:contextualSpacing w:val="0"/>
    </w:pPr>
    <w:rPr>
      <w:b w:val="0"/>
      <w:caps/>
      <w:color w:val="auto"/>
    </w:rPr>
  </w:style>
  <w:style w:type="character" w:styleId="Emphasis">
    <w:name w:val="Emphasis"/>
    <w:uiPriority w:val="98"/>
    <w:semiHidden/>
    <w:qFormat/>
    <w:rsid w:val="001456F1"/>
    <w:rPr>
      <w:b/>
      <w:bCs/>
      <w:i/>
      <w:iCs/>
      <w:spacing w:val="10"/>
      <w:bdr w:val="none" w:sz="0" w:space="0" w:color="auto"/>
      <w:shd w:val="clear" w:color="auto" w:fill="auto"/>
    </w:rPr>
  </w:style>
  <w:style w:type="paragraph" w:styleId="Footer">
    <w:name w:val="footer"/>
    <w:basedOn w:val="Normal"/>
    <w:link w:val="FooterChar"/>
    <w:uiPriority w:val="98"/>
    <w:semiHidden/>
    <w:rsid w:val="001456F1"/>
    <w:pPr>
      <w:tabs>
        <w:tab w:val="center" w:pos="3686"/>
        <w:tab w:val="right" w:pos="7371"/>
      </w:tabs>
    </w:pPr>
  </w:style>
  <w:style w:type="character" w:customStyle="1" w:styleId="FooterChar">
    <w:name w:val="Footer Char"/>
    <w:basedOn w:val="DefaultParagraphFont"/>
    <w:link w:val="Footer"/>
    <w:uiPriority w:val="98"/>
    <w:semiHidden/>
    <w:rsid w:val="001456F1"/>
    <w:rPr>
      <w:lang w:val="fr-FR"/>
    </w:rPr>
  </w:style>
  <w:style w:type="character" w:styleId="FootnoteReference">
    <w:name w:val="footnote reference"/>
    <w:basedOn w:val="DefaultParagraphFont"/>
    <w:uiPriority w:val="98"/>
    <w:semiHidden/>
    <w:rsid w:val="001456F1"/>
    <w:rPr>
      <w:vertAlign w:val="superscript"/>
    </w:rPr>
  </w:style>
  <w:style w:type="paragraph" w:styleId="FootnoteText">
    <w:name w:val="footnote text"/>
    <w:basedOn w:val="Normal"/>
    <w:link w:val="FootnoteTextChar"/>
    <w:uiPriority w:val="98"/>
    <w:semiHidden/>
    <w:rsid w:val="001456F1"/>
    <w:rPr>
      <w:sz w:val="20"/>
      <w:szCs w:val="20"/>
    </w:rPr>
  </w:style>
  <w:style w:type="character" w:customStyle="1" w:styleId="FootnoteTextChar">
    <w:name w:val="Footnote Text Char"/>
    <w:basedOn w:val="DefaultParagraphFont"/>
    <w:link w:val="FootnoteText"/>
    <w:uiPriority w:val="98"/>
    <w:semiHidden/>
    <w:rsid w:val="001456F1"/>
    <w:rPr>
      <w:sz w:val="20"/>
      <w:szCs w:val="20"/>
      <w:lang w:val="fr-FR"/>
    </w:rPr>
  </w:style>
  <w:style w:type="character" w:customStyle="1" w:styleId="Heading6Char">
    <w:name w:val="Heading 6 Char"/>
    <w:basedOn w:val="DefaultParagraphFont"/>
    <w:link w:val="Heading6"/>
    <w:uiPriority w:val="98"/>
    <w:semiHidden/>
    <w:rsid w:val="001456F1"/>
    <w:rPr>
      <w:rFonts w:asciiTheme="majorHAnsi" w:eastAsiaTheme="majorEastAsia" w:hAnsiTheme="majorHAnsi" w:cstheme="majorBidi"/>
      <w:b/>
      <w:bCs/>
      <w:i/>
      <w:iCs/>
      <w:color w:val="7F7F7F" w:themeColor="text1" w:themeTint="80"/>
      <w:sz w:val="22"/>
      <w:szCs w:val="22"/>
      <w:lang w:val="en-GB" w:bidi="en-US"/>
    </w:rPr>
  </w:style>
  <w:style w:type="character" w:customStyle="1" w:styleId="Heading7Char">
    <w:name w:val="Heading 7 Char"/>
    <w:basedOn w:val="DefaultParagraphFont"/>
    <w:link w:val="Heading7"/>
    <w:uiPriority w:val="98"/>
    <w:semiHidden/>
    <w:rsid w:val="001456F1"/>
    <w:rPr>
      <w:rFonts w:asciiTheme="majorHAnsi" w:eastAsiaTheme="majorEastAsia" w:hAnsiTheme="majorHAnsi" w:cstheme="majorBidi"/>
      <w:i/>
      <w:iCs/>
      <w:sz w:val="22"/>
      <w:szCs w:val="22"/>
      <w:lang w:val="en-GB" w:bidi="en-US"/>
    </w:rPr>
  </w:style>
  <w:style w:type="character" w:customStyle="1" w:styleId="Heading8Char">
    <w:name w:val="Heading 8 Char"/>
    <w:basedOn w:val="DefaultParagraphFont"/>
    <w:link w:val="Heading8"/>
    <w:uiPriority w:val="98"/>
    <w:semiHidden/>
    <w:rsid w:val="001456F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56F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1456F1"/>
    <w:rPr>
      <w:color w:val="0072BC" w:themeColor="hyperlink"/>
      <w:u w:val="single"/>
    </w:rPr>
  </w:style>
  <w:style w:type="character" w:styleId="IntenseEmphasis">
    <w:name w:val="Intense Emphasis"/>
    <w:uiPriority w:val="98"/>
    <w:semiHidden/>
    <w:qFormat/>
    <w:rsid w:val="001456F1"/>
    <w:rPr>
      <w:b/>
      <w:bCs/>
    </w:rPr>
  </w:style>
  <w:style w:type="paragraph" w:styleId="IntenseQuote">
    <w:name w:val="Intense Quote"/>
    <w:basedOn w:val="Normal"/>
    <w:next w:val="Normal"/>
    <w:link w:val="IntenseQuoteChar"/>
    <w:uiPriority w:val="98"/>
    <w:semiHidden/>
    <w:qFormat/>
    <w:rsid w:val="001456F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56F1"/>
    <w:rPr>
      <w:b/>
      <w:bCs/>
      <w:i/>
      <w:iCs/>
      <w:lang w:val="fr-FR" w:bidi="en-US"/>
    </w:rPr>
  </w:style>
  <w:style w:type="character" w:styleId="IntenseReference">
    <w:name w:val="Intense Reference"/>
    <w:uiPriority w:val="98"/>
    <w:semiHidden/>
    <w:qFormat/>
    <w:rsid w:val="001456F1"/>
    <w:rPr>
      <w:smallCaps/>
      <w:spacing w:val="5"/>
      <w:u w:val="single"/>
    </w:rPr>
  </w:style>
  <w:style w:type="paragraph" w:styleId="ListParagraph">
    <w:name w:val="List Paragraph"/>
    <w:basedOn w:val="Normal"/>
    <w:uiPriority w:val="98"/>
    <w:semiHidden/>
    <w:qFormat/>
    <w:rsid w:val="001456F1"/>
    <w:pPr>
      <w:ind w:left="720"/>
      <w:contextualSpacing/>
    </w:pPr>
  </w:style>
  <w:style w:type="table" w:customStyle="1" w:styleId="LtrTableAddress">
    <w:name w:val="Ltr_Table_Address"/>
    <w:aliases w:val="ECHR_Ltr_Table_Address"/>
    <w:basedOn w:val="TableNormal"/>
    <w:uiPriority w:val="99"/>
    <w:rsid w:val="001456F1"/>
    <w:tblPr>
      <w:tblInd w:w="5103" w:type="dxa"/>
    </w:tblPr>
  </w:style>
  <w:style w:type="paragraph" w:styleId="Quote">
    <w:name w:val="Quote"/>
    <w:basedOn w:val="Normal"/>
    <w:next w:val="Normal"/>
    <w:link w:val="QuoteChar"/>
    <w:uiPriority w:val="98"/>
    <w:semiHidden/>
    <w:qFormat/>
    <w:rsid w:val="001456F1"/>
    <w:pPr>
      <w:spacing w:before="200"/>
      <w:ind w:left="360" w:right="360"/>
    </w:pPr>
    <w:rPr>
      <w:i/>
      <w:iCs/>
      <w:lang w:bidi="en-US"/>
    </w:rPr>
  </w:style>
  <w:style w:type="character" w:customStyle="1" w:styleId="QuoteChar">
    <w:name w:val="Quote Char"/>
    <w:basedOn w:val="DefaultParagraphFont"/>
    <w:link w:val="Quote"/>
    <w:uiPriority w:val="98"/>
    <w:semiHidden/>
    <w:rsid w:val="001456F1"/>
    <w:rPr>
      <w:i/>
      <w:iCs/>
      <w:lang w:val="fr-FR" w:bidi="en-US"/>
    </w:rPr>
  </w:style>
  <w:style w:type="character" w:styleId="SubtleReference">
    <w:name w:val="Subtle Reference"/>
    <w:uiPriority w:val="98"/>
    <w:semiHidden/>
    <w:qFormat/>
    <w:rsid w:val="001456F1"/>
    <w:rPr>
      <w:smallCaps/>
    </w:rPr>
  </w:style>
  <w:style w:type="table" w:styleId="TableGrid">
    <w:name w:val="Table Grid"/>
    <w:basedOn w:val="TableNormal"/>
    <w:uiPriority w:val="59"/>
    <w:semiHidden/>
    <w:rsid w:val="001456F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456F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56F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56F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56F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56F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456F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1456F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56F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456F1"/>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456F1"/>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1456F1"/>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456F1"/>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456F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1456F1"/>
    <w:pPr>
      <w:spacing w:before="120" w:after="120"/>
      <w:ind w:left="425" w:firstLine="142"/>
    </w:pPr>
    <w:rPr>
      <w:sz w:val="20"/>
    </w:rPr>
  </w:style>
  <w:style w:type="table" w:customStyle="1" w:styleId="ECHRTableSimpleBox">
    <w:name w:val="ECHR_Table_Simple_Box"/>
    <w:basedOn w:val="TableNormal"/>
    <w:uiPriority w:val="99"/>
    <w:rsid w:val="001456F1"/>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1456F1"/>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1456F1"/>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456F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1456F1"/>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1456F1"/>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aliases w:val="_Signature"/>
    <w:basedOn w:val="Normal"/>
    <w:next w:val="JuPara"/>
    <w:uiPriority w:val="31"/>
    <w:qFormat/>
    <w:rsid w:val="001456F1"/>
    <w:pPr>
      <w:tabs>
        <w:tab w:val="center" w:pos="851"/>
        <w:tab w:val="center" w:pos="6407"/>
      </w:tabs>
      <w:spacing w:before="720"/>
    </w:pPr>
  </w:style>
  <w:style w:type="paragraph" w:customStyle="1" w:styleId="JuParaLast">
    <w:name w:val="Ju_Para_Last"/>
    <w:aliases w:val="_Para_Spaced"/>
    <w:basedOn w:val="NormalJustified"/>
    <w:uiPriority w:val="5"/>
    <w:qFormat/>
    <w:rsid w:val="001456F1"/>
    <w:pPr>
      <w:keepNext/>
      <w:keepLines/>
      <w:spacing w:before="240" w:after="240"/>
      <w:ind w:firstLine="284"/>
    </w:pPr>
  </w:style>
  <w:style w:type="paragraph" w:customStyle="1" w:styleId="JuCase">
    <w:name w:val="Ju_Case"/>
    <w:aliases w:val="_Case_Name"/>
    <w:basedOn w:val="Normal"/>
    <w:next w:val="JuPara"/>
    <w:uiPriority w:val="32"/>
    <w:rsid w:val="001456F1"/>
    <w:pPr>
      <w:ind w:firstLine="284"/>
    </w:pPr>
    <w:rPr>
      <w:b/>
    </w:rPr>
  </w:style>
  <w:style w:type="paragraph" w:customStyle="1" w:styleId="JuList">
    <w:name w:val="Ju_List"/>
    <w:aliases w:val="_List_1"/>
    <w:basedOn w:val="NormalJustified"/>
    <w:uiPriority w:val="23"/>
    <w:qFormat/>
    <w:rsid w:val="001456F1"/>
    <w:pPr>
      <w:numPr>
        <w:numId w:val="7"/>
      </w:numPr>
      <w:spacing w:before="280" w:after="60"/>
    </w:pPr>
  </w:style>
  <w:style w:type="paragraph" w:customStyle="1" w:styleId="ECHRFooterLineLandscape">
    <w:name w:val="ECHR_Footer_Line_Landscape"/>
    <w:aliases w:val="_Footer_Line_Landscape"/>
    <w:basedOn w:val="Normal"/>
    <w:uiPriority w:val="30"/>
    <w:semiHidden/>
    <w:rsid w:val="001456F1"/>
    <w:pPr>
      <w:pBdr>
        <w:top w:val="single" w:sz="8" w:space="1" w:color="7F7F7F" w:themeColor="text1" w:themeTint="80"/>
      </w:pBdr>
      <w:tabs>
        <w:tab w:val="center" w:pos="6146"/>
        <w:tab w:val="right" w:pos="12293"/>
      </w:tabs>
      <w:ind w:left="-1474" w:right="-1474"/>
    </w:pPr>
    <w:rPr>
      <w:color w:val="474747" w:themeColor="accent3" w:themeShade="BF"/>
      <w:sz w:val="22"/>
    </w:rPr>
  </w:style>
  <w:style w:type="character" w:styleId="PageNumber">
    <w:name w:val="page number"/>
    <w:uiPriority w:val="98"/>
    <w:semiHidden/>
    <w:rsid w:val="001456F1"/>
    <w:rPr>
      <w:sz w:val="18"/>
    </w:rPr>
  </w:style>
  <w:style w:type="paragraph" w:customStyle="1" w:styleId="JuLista">
    <w:name w:val="Ju_List_a"/>
    <w:aliases w:val="_List_2"/>
    <w:basedOn w:val="NormalJustified"/>
    <w:uiPriority w:val="23"/>
    <w:rsid w:val="001456F1"/>
    <w:pPr>
      <w:numPr>
        <w:ilvl w:val="1"/>
        <w:numId w:val="7"/>
      </w:numPr>
    </w:pPr>
  </w:style>
  <w:style w:type="paragraph" w:customStyle="1" w:styleId="JuListi">
    <w:name w:val="Ju_List_i"/>
    <w:aliases w:val="_List_3"/>
    <w:basedOn w:val="NormalJustified"/>
    <w:uiPriority w:val="23"/>
    <w:rsid w:val="001456F1"/>
    <w:pPr>
      <w:numPr>
        <w:ilvl w:val="2"/>
        <w:numId w:val="7"/>
      </w:numPr>
    </w:pPr>
  </w:style>
  <w:style w:type="character" w:styleId="CommentReference">
    <w:name w:val="annotation reference"/>
    <w:basedOn w:val="DefaultParagraphFont"/>
    <w:uiPriority w:val="98"/>
    <w:semiHidden/>
    <w:rsid w:val="001456F1"/>
    <w:rPr>
      <w:sz w:val="16"/>
      <w:szCs w:val="16"/>
    </w:rPr>
  </w:style>
  <w:style w:type="paragraph" w:styleId="CommentText">
    <w:name w:val="annotation text"/>
    <w:basedOn w:val="Normal"/>
    <w:link w:val="CommentTextChar"/>
    <w:uiPriority w:val="98"/>
    <w:semiHidden/>
    <w:rsid w:val="001456F1"/>
    <w:rPr>
      <w:sz w:val="20"/>
      <w:szCs w:val="20"/>
    </w:rPr>
  </w:style>
  <w:style w:type="character" w:customStyle="1" w:styleId="CommentTextChar">
    <w:name w:val="Comment Text Char"/>
    <w:basedOn w:val="DefaultParagraphFont"/>
    <w:link w:val="CommentText"/>
    <w:uiPriority w:val="98"/>
    <w:semiHidden/>
    <w:rsid w:val="001456F1"/>
    <w:rPr>
      <w:sz w:val="20"/>
      <w:szCs w:val="20"/>
      <w:lang w:val="fr-FR"/>
    </w:rPr>
  </w:style>
  <w:style w:type="character" w:styleId="EndnoteReference">
    <w:name w:val="endnote reference"/>
    <w:basedOn w:val="DefaultParagraphFont"/>
    <w:uiPriority w:val="98"/>
    <w:semiHidden/>
    <w:rsid w:val="001456F1"/>
    <w:rPr>
      <w:vertAlign w:val="superscript"/>
    </w:rPr>
  </w:style>
  <w:style w:type="paragraph" w:styleId="EndnoteText">
    <w:name w:val="endnote text"/>
    <w:basedOn w:val="Normal"/>
    <w:link w:val="EndnoteTextChar"/>
    <w:uiPriority w:val="98"/>
    <w:semiHidden/>
    <w:rsid w:val="001456F1"/>
    <w:rPr>
      <w:sz w:val="20"/>
      <w:szCs w:val="20"/>
    </w:rPr>
  </w:style>
  <w:style w:type="character" w:customStyle="1" w:styleId="EndnoteTextChar">
    <w:name w:val="Endnote Text Char"/>
    <w:basedOn w:val="DefaultParagraphFont"/>
    <w:link w:val="EndnoteText"/>
    <w:uiPriority w:val="98"/>
    <w:semiHidden/>
    <w:rsid w:val="001456F1"/>
    <w:rPr>
      <w:sz w:val="20"/>
      <w:szCs w:val="20"/>
      <w:lang w:val="fr-FR"/>
    </w:rPr>
  </w:style>
  <w:style w:type="character" w:styleId="FollowedHyperlink">
    <w:name w:val="FollowedHyperlink"/>
    <w:basedOn w:val="DefaultParagraphFont"/>
    <w:uiPriority w:val="98"/>
    <w:semiHidden/>
    <w:rsid w:val="001456F1"/>
    <w:rPr>
      <w:color w:val="7030A0" w:themeColor="followedHyperlink"/>
      <w:u w:val="single"/>
    </w:rPr>
  </w:style>
  <w:style w:type="paragraph" w:styleId="ListBullet">
    <w:name w:val="List Bullet"/>
    <w:basedOn w:val="Normal"/>
    <w:uiPriority w:val="98"/>
    <w:semiHidden/>
    <w:rsid w:val="001456F1"/>
    <w:pPr>
      <w:numPr>
        <w:numId w:val="9"/>
      </w:numPr>
    </w:pPr>
  </w:style>
  <w:style w:type="character" w:customStyle="1" w:styleId="JuNames0">
    <w:name w:val="Ju_Names"/>
    <w:rsid w:val="00E77CB3"/>
    <w:rPr>
      <w:rFonts w:ascii="Times New Roman" w:hAnsi="Times New Roman" w:cs="Times New Roman"/>
      <w:smallCaps/>
    </w:rPr>
  </w:style>
  <w:style w:type="paragraph" w:styleId="CommentSubject">
    <w:name w:val="annotation subject"/>
    <w:basedOn w:val="CommentText"/>
    <w:next w:val="CommentText"/>
    <w:link w:val="CommentSubjectChar"/>
    <w:uiPriority w:val="98"/>
    <w:semiHidden/>
    <w:rsid w:val="001456F1"/>
    <w:rPr>
      <w:b/>
      <w:bCs/>
    </w:rPr>
  </w:style>
  <w:style w:type="character" w:customStyle="1" w:styleId="CommentSubjectChar">
    <w:name w:val="Comment Subject Char"/>
    <w:basedOn w:val="CommentTextChar"/>
    <w:link w:val="CommentSubject"/>
    <w:uiPriority w:val="98"/>
    <w:semiHidden/>
    <w:rsid w:val="001456F1"/>
    <w:rPr>
      <w:b/>
      <w:bCs/>
      <w:sz w:val="20"/>
      <w:szCs w:val="20"/>
      <w:lang w:val="fr-FR"/>
    </w:rPr>
  </w:style>
  <w:style w:type="paragraph" w:styleId="DocumentMap">
    <w:name w:val="Document Map"/>
    <w:basedOn w:val="Normal"/>
    <w:link w:val="DocumentMapChar"/>
    <w:uiPriority w:val="98"/>
    <w:semiHidden/>
    <w:rsid w:val="001456F1"/>
    <w:rPr>
      <w:rFonts w:ascii="Tahoma" w:hAnsi="Tahoma" w:cs="Tahoma"/>
      <w:sz w:val="16"/>
      <w:szCs w:val="16"/>
    </w:rPr>
  </w:style>
  <w:style w:type="character" w:customStyle="1" w:styleId="DocumentMapChar">
    <w:name w:val="Document Map Char"/>
    <w:basedOn w:val="DefaultParagraphFont"/>
    <w:link w:val="DocumentMap"/>
    <w:uiPriority w:val="98"/>
    <w:semiHidden/>
    <w:rsid w:val="001456F1"/>
    <w:rPr>
      <w:rFonts w:ascii="Tahoma" w:hAnsi="Tahoma" w:cs="Tahoma"/>
      <w:sz w:val="16"/>
      <w:szCs w:val="16"/>
      <w:lang w:val="fr-FR"/>
    </w:rPr>
  </w:style>
  <w:style w:type="character" w:customStyle="1" w:styleId="JuITMark">
    <w:name w:val="Ju_ITMark"/>
    <w:aliases w:val="_ITMark"/>
    <w:basedOn w:val="DefaultParagraphFont"/>
    <w:uiPriority w:val="43"/>
    <w:qFormat/>
    <w:rsid w:val="001456F1"/>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8"/>
    <w:semiHidden/>
    <w:qFormat/>
    <w:rsid w:val="001456F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56F1"/>
    <w:rPr>
      <w:rFonts w:asciiTheme="majorHAnsi" w:eastAsiaTheme="majorEastAsia" w:hAnsiTheme="majorHAnsi" w:cstheme="majorBidi"/>
      <w:i/>
      <w:iCs/>
      <w:spacing w:val="13"/>
      <w:lang w:val="fr-FR" w:bidi="en-US"/>
    </w:rPr>
  </w:style>
  <w:style w:type="numbering" w:styleId="111111">
    <w:name w:val="Outline List 2"/>
    <w:basedOn w:val="NoList"/>
    <w:uiPriority w:val="99"/>
    <w:semiHidden/>
    <w:unhideWhenUsed/>
    <w:rsid w:val="001456F1"/>
    <w:pPr>
      <w:numPr>
        <w:numId w:val="3"/>
      </w:numPr>
    </w:pPr>
  </w:style>
  <w:style w:type="numbering" w:styleId="1ai">
    <w:name w:val="Outline List 1"/>
    <w:basedOn w:val="NoList"/>
    <w:uiPriority w:val="99"/>
    <w:semiHidden/>
    <w:unhideWhenUsed/>
    <w:rsid w:val="001456F1"/>
    <w:pPr>
      <w:numPr>
        <w:numId w:val="4"/>
      </w:numPr>
    </w:pPr>
  </w:style>
  <w:style w:type="numbering" w:styleId="ArticleSection">
    <w:name w:val="Outline List 3"/>
    <w:basedOn w:val="NoList"/>
    <w:uiPriority w:val="99"/>
    <w:semiHidden/>
    <w:unhideWhenUsed/>
    <w:rsid w:val="001456F1"/>
    <w:pPr>
      <w:numPr>
        <w:numId w:val="5"/>
      </w:numPr>
    </w:pPr>
  </w:style>
  <w:style w:type="paragraph" w:styleId="Bibliography">
    <w:name w:val="Bibliography"/>
    <w:basedOn w:val="Normal"/>
    <w:next w:val="Normal"/>
    <w:uiPriority w:val="98"/>
    <w:semiHidden/>
    <w:rsid w:val="001456F1"/>
  </w:style>
  <w:style w:type="paragraph" w:styleId="BlockText">
    <w:name w:val="Block Text"/>
    <w:basedOn w:val="Normal"/>
    <w:uiPriority w:val="98"/>
    <w:semiHidden/>
    <w:rsid w:val="001456F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56F1"/>
    <w:pPr>
      <w:spacing w:after="120"/>
    </w:pPr>
  </w:style>
  <w:style w:type="character" w:customStyle="1" w:styleId="BodyTextChar">
    <w:name w:val="Body Text Char"/>
    <w:basedOn w:val="DefaultParagraphFont"/>
    <w:link w:val="BodyText"/>
    <w:uiPriority w:val="98"/>
    <w:semiHidden/>
    <w:rsid w:val="001456F1"/>
    <w:rPr>
      <w:lang w:val="fr-FR"/>
    </w:rPr>
  </w:style>
  <w:style w:type="paragraph" w:styleId="BodyText2">
    <w:name w:val="Body Text 2"/>
    <w:basedOn w:val="Normal"/>
    <w:link w:val="BodyText2Char"/>
    <w:uiPriority w:val="98"/>
    <w:semiHidden/>
    <w:rsid w:val="001456F1"/>
    <w:pPr>
      <w:spacing w:after="120" w:line="480" w:lineRule="auto"/>
    </w:pPr>
  </w:style>
  <w:style w:type="character" w:customStyle="1" w:styleId="BodyText2Char">
    <w:name w:val="Body Text 2 Char"/>
    <w:basedOn w:val="DefaultParagraphFont"/>
    <w:link w:val="BodyText2"/>
    <w:uiPriority w:val="98"/>
    <w:semiHidden/>
    <w:rsid w:val="001456F1"/>
    <w:rPr>
      <w:lang w:val="fr-FR"/>
    </w:rPr>
  </w:style>
  <w:style w:type="paragraph" w:styleId="BodyText3">
    <w:name w:val="Body Text 3"/>
    <w:basedOn w:val="Normal"/>
    <w:link w:val="BodyText3Char"/>
    <w:uiPriority w:val="98"/>
    <w:semiHidden/>
    <w:rsid w:val="001456F1"/>
    <w:pPr>
      <w:spacing w:after="120"/>
    </w:pPr>
    <w:rPr>
      <w:sz w:val="16"/>
      <w:szCs w:val="16"/>
    </w:rPr>
  </w:style>
  <w:style w:type="character" w:customStyle="1" w:styleId="BodyText3Char">
    <w:name w:val="Body Text 3 Char"/>
    <w:basedOn w:val="DefaultParagraphFont"/>
    <w:link w:val="BodyText3"/>
    <w:uiPriority w:val="98"/>
    <w:semiHidden/>
    <w:rsid w:val="001456F1"/>
    <w:rPr>
      <w:sz w:val="16"/>
      <w:szCs w:val="16"/>
      <w:lang w:val="fr-FR"/>
    </w:rPr>
  </w:style>
  <w:style w:type="paragraph" w:styleId="BodyTextFirstIndent">
    <w:name w:val="Body Text First Indent"/>
    <w:basedOn w:val="BodyText"/>
    <w:link w:val="BodyTextFirstIndentChar"/>
    <w:uiPriority w:val="98"/>
    <w:semiHidden/>
    <w:rsid w:val="001456F1"/>
    <w:pPr>
      <w:spacing w:after="0"/>
      <w:ind w:firstLine="360"/>
    </w:pPr>
  </w:style>
  <w:style w:type="character" w:customStyle="1" w:styleId="BodyTextFirstIndentChar">
    <w:name w:val="Body Text First Indent Char"/>
    <w:basedOn w:val="BodyTextChar"/>
    <w:link w:val="BodyTextFirstIndent"/>
    <w:uiPriority w:val="98"/>
    <w:semiHidden/>
    <w:rsid w:val="001456F1"/>
    <w:rPr>
      <w:lang w:val="fr-FR"/>
    </w:rPr>
  </w:style>
  <w:style w:type="paragraph" w:styleId="BodyTextIndent">
    <w:name w:val="Body Text Indent"/>
    <w:basedOn w:val="Normal"/>
    <w:link w:val="BodyTextIndentChar"/>
    <w:uiPriority w:val="98"/>
    <w:semiHidden/>
    <w:rsid w:val="001456F1"/>
    <w:pPr>
      <w:spacing w:after="120"/>
      <w:ind w:left="283"/>
    </w:pPr>
  </w:style>
  <w:style w:type="character" w:customStyle="1" w:styleId="BodyTextIndentChar">
    <w:name w:val="Body Text Indent Char"/>
    <w:basedOn w:val="DefaultParagraphFont"/>
    <w:link w:val="BodyTextIndent"/>
    <w:uiPriority w:val="98"/>
    <w:semiHidden/>
    <w:rsid w:val="001456F1"/>
    <w:rPr>
      <w:lang w:val="fr-FR"/>
    </w:rPr>
  </w:style>
  <w:style w:type="paragraph" w:styleId="BodyTextFirstIndent2">
    <w:name w:val="Body Text First Indent 2"/>
    <w:basedOn w:val="BodyTextIndent"/>
    <w:link w:val="BodyTextFirstIndent2Char"/>
    <w:uiPriority w:val="98"/>
    <w:semiHidden/>
    <w:rsid w:val="001456F1"/>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56F1"/>
    <w:rPr>
      <w:lang w:val="fr-FR"/>
    </w:rPr>
  </w:style>
  <w:style w:type="paragraph" w:styleId="BodyTextIndent2">
    <w:name w:val="Body Text Indent 2"/>
    <w:basedOn w:val="Normal"/>
    <w:link w:val="BodyTextIndent2Char"/>
    <w:uiPriority w:val="98"/>
    <w:semiHidden/>
    <w:rsid w:val="001456F1"/>
    <w:pPr>
      <w:spacing w:after="120" w:line="480" w:lineRule="auto"/>
      <w:ind w:left="283"/>
    </w:pPr>
  </w:style>
  <w:style w:type="character" w:customStyle="1" w:styleId="BodyTextIndent2Char">
    <w:name w:val="Body Text Indent 2 Char"/>
    <w:basedOn w:val="DefaultParagraphFont"/>
    <w:link w:val="BodyTextIndent2"/>
    <w:uiPriority w:val="98"/>
    <w:semiHidden/>
    <w:rsid w:val="001456F1"/>
    <w:rPr>
      <w:lang w:val="fr-FR"/>
    </w:rPr>
  </w:style>
  <w:style w:type="paragraph" w:styleId="BodyTextIndent3">
    <w:name w:val="Body Text Indent 3"/>
    <w:basedOn w:val="Normal"/>
    <w:link w:val="BodyTextIndent3Char"/>
    <w:uiPriority w:val="98"/>
    <w:semiHidden/>
    <w:rsid w:val="001456F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56F1"/>
    <w:rPr>
      <w:sz w:val="16"/>
      <w:szCs w:val="16"/>
      <w:lang w:val="fr-FR"/>
    </w:rPr>
  </w:style>
  <w:style w:type="paragraph" w:styleId="Caption">
    <w:name w:val="caption"/>
    <w:basedOn w:val="Normal"/>
    <w:next w:val="Normal"/>
    <w:uiPriority w:val="98"/>
    <w:semiHidden/>
    <w:qFormat/>
    <w:rsid w:val="001456F1"/>
    <w:pPr>
      <w:spacing w:after="200"/>
    </w:pPr>
    <w:rPr>
      <w:b/>
      <w:bCs/>
      <w:color w:val="0072BC" w:themeColor="accent1"/>
      <w:sz w:val="18"/>
      <w:szCs w:val="18"/>
    </w:rPr>
  </w:style>
  <w:style w:type="paragraph" w:styleId="Closing">
    <w:name w:val="Closing"/>
    <w:basedOn w:val="Normal"/>
    <w:link w:val="ClosingChar"/>
    <w:uiPriority w:val="98"/>
    <w:semiHidden/>
    <w:rsid w:val="001456F1"/>
    <w:pPr>
      <w:ind w:left="4252"/>
    </w:pPr>
  </w:style>
  <w:style w:type="character" w:customStyle="1" w:styleId="ClosingChar">
    <w:name w:val="Closing Char"/>
    <w:basedOn w:val="DefaultParagraphFont"/>
    <w:link w:val="Closing"/>
    <w:uiPriority w:val="98"/>
    <w:semiHidden/>
    <w:rsid w:val="001456F1"/>
    <w:rPr>
      <w:lang w:val="fr-FR"/>
    </w:rPr>
  </w:style>
  <w:style w:type="table" w:styleId="ColorfulGrid">
    <w:name w:val="Colorful Grid"/>
    <w:basedOn w:val="TableNormal"/>
    <w:uiPriority w:val="73"/>
    <w:semiHidden/>
    <w:rsid w:val="001456F1"/>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56F1"/>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56F1"/>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56F1"/>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56F1"/>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56F1"/>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56F1"/>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56F1"/>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56F1"/>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56F1"/>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56F1"/>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56F1"/>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56F1"/>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56F1"/>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56F1"/>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56F1"/>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56F1"/>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56F1"/>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56F1"/>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56F1"/>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56F1"/>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1456F1"/>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56F1"/>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56F1"/>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56F1"/>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56F1"/>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56F1"/>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56F1"/>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56F1"/>
  </w:style>
  <w:style w:type="character" w:customStyle="1" w:styleId="DateChar">
    <w:name w:val="Date Char"/>
    <w:basedOn w:val="DefaultParagraphFont"/>
    <w:link w:val="Date"/>
    <w:uiPriority w:val="98"/>
    <w:semiHidden/>
    <w:rsid w:val="001456F1"/>
    <w:rPr>
      <w:lang w:val="fr-FR"/>
    </w:rPr>
  </w:style>
  <w:style w:type="paragraph" w:styleId="E-mailSignature">
    <w:name w:val="E-mail Signature"/>
    <w:basedOn w:val="Normal"/>
    <w:link w:val="E-mailSignatureChar"/>
    <w:uiPriority w:val="98"/>
    <w:semiHidden/>
    <w:rsid w:val="001456F1"/>
  </w:style>
  <w:style w:type="character" w:customStyle="1" w:styleId="E-mailSignatureChar">
    <w:name w:val="E-mail Signature Char"/>
    <w:basedOn w:val="DefaultParagraphFont"/>
    <w:link w:val="E-mailSignature"/>
    <w:uiPriority w:val="98"/>
    <w:semiHidden/>
    <w:rsid w:val="001456F1"/>
    <w:rPr>
      <w:lang w:val="fr-FR"/>
    </w:rPr>
  </w:style>
  <w:style w:type="paragraph" w:styleId="EnvelopeAddress">
    <w:name w:val="envelope address"/>
    <w:basedOn w:val="Normal"/>
    <w:uiPriority w:val="98"/>
    <w:semiHidden/>
    <w:rsid w:val="001456F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56F1"/>
    <w:rPr>
      <w:rFonts w:asciiTheme="majorHAnsi" w:eastAsiaTheme="majorEastAsia" w:hAnsiTheme="majorHAnsi" w:cstheme="majorBidi"/>
      <w:sz w:val="20"/>
      <w:szCs w:val="20"/>
    </w:rPr>
  </w:style>
  <w:style w:type="character" w:styleId="HTMLAcronym">
    <w:name w:val="HTML Acronym"/>
    <w:basedOn w:val="DefaultParagraphFont"/>
    <w:uiPriority w:val="98"/>
    <w:semiHidden/>
    <w:rsid w:val="001456F1"/>
  </w:style>
  <w:style w:type="paragraph" w:styleId="HTMLAddress">
    <w:name w:val="HTML Address"/>
    <w:basedOn w:val="Normal"/>
    <w:link w:val="HTMLAddressChar"/>
    <w:uiPriority w:val="98"/>
    <w:semiHidden/>
    <w:rsid w:val="001456F1"/>
    <w:rPr>
      <w:i/>
      <w:iCs/>
    </w:rPr>
  </w:style>
  <w:style w:type="character" w:customStyle="1" w:styleId="HTMLAddressChar">
    <w:name w:val="HTML Address Char"/>
    <w:basedOn w:val="DefaultParagraphFont"/>
    <w:link w:val="HTMLAddress"/>
    <w:uiPriority w:val="98"/>
    <w:semiHidden/>
    <w:rsid w:val="001456F1"/>
    <w:rPr>
      <w:i/>
      <w:iCs/>
      <w:lang w:val="fr-FR"/>
    </w:rPr>
  </w:style>
  <w:style w:type="character" w:styleId="HTMLCite">
    <w:name w:val="HTML Cite"/>
    <w:basedOn w:val="DefaultParagraphFont"/>
    <w:uiPriority w:val="98"/>
    <w:semiHidden/>
    <w:rsid w:val="001456F1"/>
    <w:rPr>
      <w:i/>
      <w:iCs/>
    </w:rPr>
  </w:style>
  <w:style w:type="character" w:styleId="HTMLCode">
    <w:name w:val="HTML Code"/>
    <w:basedOn w:val="DefaultParagraphFont"/>
    <w:uiPriority w:val="98"/>
    <w:semiHidden/>
    <w:rsid w:val="001456F1"/>
    <w:rPr>
      <w:rFonts w:ascii="Consolas" w:hAnsi="Consolas" w:cs="Consolas"/>
      <w:sz w:val="20"/>
      <w:szCs w:val="20"/>
    </w:rPr>
  </w:style>
  <w:style w:type="character" w:styleId="HTMLDefinition">
    <w:name w:val="HTML Definition"/>
    <w:basedOn w:val="DefaultParagraphFont"/>
    <w:uiPriority w:val="98"/>
    <w:semiHidden/>
    <w:rsid w:val="001456F1"/>
    <w:rPr>
      <w:i/>
      <w:iCs/>
    </w:rPr>
  </w:style>
  <w:style w:type="character" w:styleId="HTMLKeyboard">
    <w:name w:val="HTML Keyboard"/>
    <w:basedOn w:val="DefaultParagraphFont"/>
    <w:uiPriority w:val="98"/>
    <w:semiHidden/>
    <w:rsid w:val="001456F1"/>
    <w:rPr>
      <w:rFonts w:ascii="Consolas" w:hAnsi="Consolas" w:cs="Consolas"/>
      <w:sz w:val="20"/>
      <w:szCs w:val="20"/>
    </w:rPr>
  </w:style>
  <w:style w:type="paragraph" w:styleId="HTMLPreformatted">
    <w:name w:val="HTML Preformatted"/>
    <w:basedOn w:val="Normal"/>
    <w:link w:val="HTMLPreformattedChar"/>
    <w:uiPriority w:val="98"/>
    <w:semiHidden/>
    <w:rsid w:val="001456F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56F1"/>
    <w:rPr>
      <w:rFonts w:ascii="Consolas" w:hAnsi="Consolas" w:cs="Consolas"/>
      <w:sz w:val="20"/>
      <w:szCs w:val="20"/>
      <w:lang w:val="fr-FR"/>
    </w:rPr>
  </w:style>
  <w:style w:type="character" w:styleId="HTMLSample">
    <w:name w:val="HTML Sample"/>
    <w:basedOn w:val="DefaultParagraphFont"/>
    <w:uiPriority w:val="98"/>
    <w:semiHidden/>
    <w:rsid w:val="001456F1"/>
    <w:rPr>
      <w:rFonts w:ascii="Consolas" w:hAnsi="Consolas" w:cs="Consolas"/>
      <w:sz w:val="24"/>
      <w:szCs w:val="24"/>
    </w:rPr>
  </w:style>
  <w:style w:type="character" w:styleId="HTMLTypewriter">
    <w:name w:val="HTML Typewriter"/>
    <w:basedOn w:val="DefaultParagraphFont"/>
    <w:uiPriority w:val="98"/>
    <w:semiHidden/>
    <w:rsid w:val="001456F1"/>
    <w:rPr>
      <w:rFonts w:ascii="Consolas" w:hAnsi="Consolas" w:cs="Consolas"/>
      <w:sz w:val="20"/>
      <w:szCs w:val="20"/>
    </w:rPr>
  </w:style>
  <w:style w:type="character" w:styleId="HTMLVariable">
    <w:name w:val="HTML Variable"/>
    <w:basedOn w:val="DefaultParagraphFont"/>
    <w:uiPriority w:val="98"/>
    <w:semiHidden/>
    <w:rsid w:val="001456F1"/>
    <w:rPr>
      <w:i/>
      <w:iCs/>
    </w:rPr>
  </w:style>
  <w:style w:type="paragraph" w:styleId="Index1">
    <w:name w:val="index 1"/>
    <w:basedOn w:val="Normal"/>
    <w:next w:val="Normal"/>
    <w:autoRedefine/>
    <w:uiPriority w:val="98"/>
    <w:semiHidden/>
    <w:rsid w:val="001456F1"/>
    <w:pPr>
      <w:ind w:left="240" w:hanging="240"/>
    </w:pPr>
  </w:style>
  <w:style w:type="paragraph" w:styleId="Index2">
    <w:name w:val="index 2"/>
    <w:basedOn w:val="Normal"/>
    <w:next w:val="Normal"/>
    <w:autoRedefine/>
    <w:uiPriority w:val="98"/>
    <w:semiHidden/>
    <w:rsid w:val="001456F1"/>
    <w:pPr>
      <w:ind w:left="480" w:hanging="240"/>
    </w:pPr>
  </w:style>
  <w:style w:type="paragraph" w:styleId="Index3">
    <w:name w:val="index 3"/>
    <w:basedOn w:val="Normal"/>
    <w:next w:val="Normal"/>
    <w:autoRedefine/>
    <w:uiPriority w:val="98"/>
    <w:semiHidden/>
    <w:rsid w:val="001456F1"/>
    <w:pPr>
      <w:ind w:left="720" w:hanging="240"/>
    </w:pPr>
  </w:style>
  <w:style w:type="paragraph" w:styleId="Index4">
    <w:name w:val="index 4"/>
    <w:basedOn w:val="Normal"/>
    <w:next w:val="Normal"/>
    <w:autoRedefine/>
    <w:uiPriority w:val="98"/>
    <w:semiHidden/>
    <w:rsid w:val="001456F1"/>
    <w:pPr>
      <w:ind w:left="960" w:hanging="240"/>
    </w:pPr>
  </w:style>
  <w:style w:type="paragraph" w:styleId="Index5">
    <w:name w:val="index 5"/>
    <w:basedOn w:val="Normal"/>
    <w:next w:val="Normal"/>
    <w:autoRedefine/>
    <w:uiPriority w:val="98"/>
    <w:semiHidden/>
    <w:rsid w:val="001456F1"/>
    <w:pPr>
      <w:ind w:left="1200" w:hanging="240"/>
    </w:pPr>
  </w:style>
  <w:style w:type="paragraph" w:styleId="Index6">
    <w:name w:val="index 6"/>
    <w:basedOn w:val="Normal"/>
    <w:next w:val="Normal"/>
    <w:autoRedefine/>
    <w:uiPriority w:val="98"/>
    <w:semiHidden/>
    <w:rsid w:val="001456F1"/>
    <w:pPr>
      <w:ind w:left="1440" w:hanging="240"/>
    </w:pPr>
  </w:style>
  <w:style w:type="paragraph" w:styleId="Index7">
    <w:name w:val="index 7"/>
    <w:basedOn w:val="Normal"/>
    <w:next w:val="Normal"/>
    <w:autoRedefine/>
    <w:uiPriority w:val="98"/>
    <w:semiHidden/>
    <w:rsid w:val="001456F1"/>
    <w:pPr>
      <w:ind w:left="1680" w:hanging="240"/>
    </w:pPr>
  </w:style>
  <w:style w:type="paragraph" w:styleId="Index8">
    <w:name w:val="index 8"/>
    <w:basedOn w:val="Normal"/>
    <w:next w:val="Normal"/>
    <w:autoRedefine/>
    <w:uiPriority w:val="98"/>
    <w:semiHidden/>
    <w:rsid w:val="001456F1"/>
    <w:pPr>
      <w:ind w:left="1920" w:hanging="240"/>
    </w:pPr>
  </w:style>
  <w:style w:type="paragraph" w:styleId="Index9">
    <w:name w:val="index 9"/>
    <w:basedOn w:val="Normal"/>
    <w:next w:val="Normal"/>
    <w:autoRedefine/>
    <w:uiPriority w:val="98"/>
    <w:semiHidden/>
    <w:rsid w:val="001456F1"/>
    <w:pPr>
      <w:ind w:left="2160" w:hanging="240"/>
    </w:pPr>
  </w:style>
  <w:style w:type="paragraph" w:styleId="IndexHeading">
    <w:name w:val="index heading"/>
    <w:basedOn w:val="Normal"/>
    <w:next w:val="Index1"/>
    <w:uiPriority w:val="98"/>
    <w:semiHidden/>
    <w:rsid w:val="001456F1"/>
    <w:rPr>
      <w:rFonts w:asciiTheme="majorHAnsi" w:eastAsiaTheme="majorEastAsia" w:hAnsiTheme="majorHAnsi" w:cstheme="majorBidi"/>
      <w:b/>
      <w:bCs/>
    </w:rPr>
  </w:style>
  <w:style w:type="table" w:styleId="LightGrid">
    <w:name w:val="Light Grid"/>
    <w:basedOn w:val="TableNormal"/>
    <w:uiPriority w:val="62"/>
    <w:semiHidden/>
    <w:rsid w:val="001456F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56F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56F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56F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56F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56F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56F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56F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56F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56F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56F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56F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56F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56F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56F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56F1"/>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56F1"/>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56F1"/>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56F1"/>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56F1"/>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56F1"/>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56F1"/>
  </w:style>
  <w:style w:type="paragraph" w:styleId="List">
    <w:name w:val="List"/>
    <w:basedOn w:val="Normal"/>
    <w:uiPriority w:val="98"/>
    <w:semiHidden/>
    <w:rsid w:val="001456F1"/>
    <w:pPr>
      <w:ind w:left="283" w:hanging="283"/>
      <w:contextualSpacing/>
    </w:pPr>
  </w:style>
  <w:style w:type="paragraph" w:styleId="List2">
    <w:name w:val="List 2"/>
    <w:basedOn w:val="Normal"/>
    <w:uiPriority w:val="98"/>
    <w:semiHidden/>
    <w:rsid w:val="001456F1"/>
    <w:pPr>
      <w:ind w:left="566" w:hanging="283"/>
      <w:contextualSpacing/>
    </w:pPr>
  </w:style>
  <w:style w:type="paragraph" w:styleId="List3">
    <w:name w:val="List 3"/>
    <w:basedOn w:val="Normal"/>
    <w:uiPriority w:val="98"/>
    <w:semiHidden/>
    <w:rsid w:val="001456F1"/>
    <w:pPr>
      <w:ind w:left="849" w:hanging="283"/>
      <w:contextualSpacing/>
    </w:pPr>
  </w:style>
  <w:style w:type="paragraph" w:styleId="List4">
    <w:name w:val="List 4"/>
    <w:basedOn w:val="Normal"/>
    <w:uiPriority w:val="98"/>
    <w:semiHidden/>
    <w:rsid w:val="001456F1"/>
    <w:pPr>
      <w:ind w:left="1132" w:hanging="283"/>
      <w:contextualSpacing/>
    </w:pPr>
  </w:style>
  <w:style w:type="paragraph" w:styleId="List5">
    <w:name w:val="List 5"/>
    <w:basedOn w:val="Normal"/>
    <w:uiPriority w:val="98"/>
    <w:semiHidden/>
    <w:rsid w:val="001456F1"/>
    <w:pPr>
      <w:ind w:left="1415" w:hanging="283"/>
      <w:contextualSpacing/>
    </w:pPr>
  </w:style>
  <w:style w:type="paragraph" w:styleId="ListBullet2">
    <w:name w:val="List Bullet 2"/>
    <w:basedOn w:val="Normal"/>
    <w:uiPriority w:val="98"/>
    <w:semiHidden/>
    <w:rsid w:val="001456F1"/>
    <w:pPr>
      <w:numPr>
        <w:numId w:val="10"/>
      </w:numPr>
      <w:contextualSpacing/>
    </w:pPr>
  </w:style>
  <w:style w:type="paragraph" w:styleId="ListBullet3">
    <w:name w:val="List Bullet 3"/>
    <w:basedOn w:val="Normal"/>
    <w:uiPriority w:val="98"/>
    <w:semiHidden/>
    <w:rsid w:val="001456F1"/>
    <w:pPr>
      <w:numPr>
        <w:numId w:val="11"/>
      </w:numPr>
      <w:contextualSpacing/>
    </w:pPr>
  </w:style>
  <w:style w:type="paragraph" w:styleId="ListBullet4">
    <w:name w:val="List Bullet 4"/>
    <w:basedOn w:val="Normal"/>
    <w:uiPriority w:val="98"/>
    <w:semiHidden/>
    <w:rsid w:val="001456F1"/>
    <w:pPr>
      <w:numPr>
        <w:numId w:val="12"/>
      </w:numPr>
      <w:contextualSpacing/>
    </w:pPr>
  </w:style>
  <w:style w:type="paragraph" w:styleId="ListBullet5">
    <w:name w:val="List Bullet 5"/>
    <w:basedOn w:val="Normal"/>
    <w:uiPriority w:val="98"/>
    <w:semiHidden/>
    <w:rsid w:val="001456F1"/>
    <w:pPr>
      <w:numPr>
        <w:numId w:val="13"/>
      </w:numPr>
      <w:contextualSpacing/>
    </w:pPr>
  </w:style>
  <w:style w:type="paragraph" w:styleId="ListContinue">
    <w:name w:val="List Continue"/>
    <w:basedOn w:val="Normal"/>
    <w:uiPriority w:val="98"/>
    <w:semiHidden/>
    <w:rsid w:val="001456F1"/>
    <w:pPr>
      <w:spacing w:after="120"/>
      <w:ind w:left="283"/>
      <w:contextualSpacing/>
    </w:pPr>
  </w:style>
  <w:style w:type="paragraph" w:styleId="ListContinue2">
    <w:name w:val="List Continue 2"/>
    <w:basedOn w:val="Normal"/>
    <w:uiPriority w:val="98"/>
    <w:semiHidden/>
    <w:rsid w:val="001456F1"/>
    <w:pPr>
      <w:spacing w:after="120"/>
      <w:ind w:left="566"/>
      <w:contextualSpacing/>
    </w:pPr>
  </w:style>
  <w:style w:type="paragraph" w:styleId="ListContinue3">
    <w:name w:val="List Continue 3"/>
    <w:basedOn w:val="Normal"/>
    <w:uiPriority w:val="98"/>
    <w:semiHidden/>
    <w:rsid w:val="001456F1"/>
    <w:pPr>
      <w:spacing w:after="120"/>
      <w:ind w:left="849"/>
      <w:contextualSpacing/>
    </w:pPr>
  </w:style>
  <w:style w:type="paragraph" w:styleId="ListContinue4">
    <w:name w:val="List Continue 4"/>
    <w:basedOn w:val="Normal"/>
    <w:uiPriority w:val="98"/>
    <w:semiHidden/>
    <w:rsid w:val="001456F1"/>
    <w:pPr>
      <w:spacing w:after="120"/>
      <w:ind w:left="1132"/>
      <w:contextualSpacing/>
    </w:pPr>
  </w:style>
  <w:style w:type="paragraph" w:styleId="ListContinue5">
    <w:name w:val="List Continue 5"/>
    <w:basedOn w:val="Normal"/>
    <w:uiPriority w:val="98"/>
    <w:semiHidden/>
    <w:rsid w:val="001456F1"/>
    <w:pPr>
      <w:spacing w:after="120"/>
      <w:ind w:left="1415"/>
      <w:contextualSpacing/>
    </w:pPr>
  </w:style>
  <w:style w:type="paragraph" w:styleId="ListNumber">
    <w:name w:val="List Number"/>
    <w:basedOn w:val="Normal"/>
    <w:uiPriority w:val="98"/>
    <w:semiHidden/>
    <w:rsid w:val="001456F1"/>
    <w:pPr>
      <w:numPr>
        <w:numId w:val="14"/>
      </w:numPr>
      <w:contextualSpacing/>
    </w:pPr>
  </w:style>
  <w:style w:type="paragraph" w:styleId="ListNumber2">
    <w:name w:val="List Number 2"/>
    <w:basedOn w:val="Normal"/>
    <w:uiPriority w:val="98"/>
    <w:semiHidden/>
    <w:rsid w:val="001456F1"/>
    <w:pPr>
      <w:numPr>
        <w:numId w:val="15"/>
      </w:numPr>
      <w:contextualSpacing/>
    </w:pPr>
  </w:style>
  <w:style w:type="paragraph" w:styleId="ListNumber3">
    <w:name w:val="List Number 3"/>
    <w:basedOn w:val="Normal"/>
    <w:uiPriority w:val="98"/>
    <w:semiHidden/>
    <w:rsid w:val="001456F1"/>
    <w:pPr>
      <w:numPr>
        <w:numId w:val="16"/>
      </w:numPr>
      <w:contextualSpacing/>
    </w:pPr>
  </w:style>
  <w:style w:type="paragraph" w:styleId="ListNumber4">
    <w:name w:val="List Number 4"/>
    <w:basedOn w:val="Normal"/>
    <w:uiPriority w:val="98"/>
    <w:semiHidden/>
    <w:rsid w:val="001456F1"/>
    <w:pPr>
      <w:numPr>
        <w:numId w:val="17"/>
      </w:numPr>
      <w:contextualSpacing/>
    </w:pPr>
  </w:style>
  <w:style w:type="paragraph" w:styleId="ListNumber5">
    <w:name w:val="List Number 5"/>
    <w:basedOn w:val="Normal"/>
    <w:uiPriority w:val="98"/>
    <w:semiHidden/>
    <w:rsid w:val="001456F1"/>
    <w:pPr>
      <w:numPr>
        <w:numId w:val="18"/>
      </w:numPr>
      <w:contextualSpacing/>
    </w:pPr>
  </w:style>
  <w:style w:type="paragraph" w:styleId="MacroText">
    <w:name w:val="macro"/>
    <w:link w:val="MacroTextChar"/>
    <w:uiPriority w:val="98"/>
    <w:semiHidden/>
    <w:rsid w:val="001456F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1456F1"/>
    <w:rPr>
      <w:rFonts w:ascii="Consolas" w:eastAsiaTheme="minorEastAsia" w:hAnsi="Consolas" w:cs="Consolas"/>
      <w:sz w:val="20"/>
      <w:szCs w:val="20"/>
    </w:rPr>
  </w:style>
  <w:style w:type="table" w:styleId="MediumGrid1">
    <w:name w:val="Medium Grid 1"/>
    <w:basedOn w:val="TableNormal"/>
    <w:uiPriority w:val="67"/>
    <w:semiHidden/>
    <w:rsid w:val="001456F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56F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56F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56F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56F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56F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56F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56F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56F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56F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56F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56F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56F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56F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56F1"/>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56F1"/>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56F1"/>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56F1"/>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56F1"/>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56F1"/>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56F1"/>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56F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56F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56F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56F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56F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56F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56F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56F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56F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56F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56F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56F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56F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56F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56F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56F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56F1"/>
    <w:rPr>
      <w:rFonts w:asciiTheme="majorHAnsi" w:eastAsiaTheme="majorEastAsia" w:hAnsiTheme="majorHAnsi" w:cstheme="majorBidi"/>
      <w:shd w:val="pct20" w:color="auto" w:fill="auto"/>
      <w:lang w:val="fr-FR"/>
    </w:rPr>
  </w:style>
  <w:style w:type="paragraph" w:styleId="NormalWeb">
    <w:name w:val="Normal (Web)"/>
    <w:basedOn w:val="Normal"/>
    <w:uiPriority w:val="98"/>
    <w:semiHidden/>
    <w:rsid w:val="001456F1"/>
    <w:rPr>
      <w:rFonts w:ascii="Times New Roman" w:hAnsi="Times New Roman" w:cs="Times New Roman"/>
    </w:rPr>
  </w:style>
  <w:style w:type="paragraph" w:styleId="NormalIndent">
    <w:name w:val="Normal Indent"/>
    <w:basedOn w:val="Normal"/>
    <w:uiPriority w:val="98"/>
    <w:semiHidden/>
    <w:rsid w:val="001456F1"/>
    <w:pPr>
      <w:ind w:left="720"/>
    </w:pPr>
  </w:style>
  <w:style w:type="paragraph" w:styleId="NoteHeading">
    <w:name w:val="Note Heading"/>
    <w:basedOn w:val="Normal"/>
    <w:next w:val="Normal"/>
    <w:link w:val="NoteHeadingChar"/>
    <w:uiPriority w:val="98"/>
    <w:semiHidden/>
    <w:rsid w:val="001456F1"/>
  </w:style>
  <w:style w:type="character" w:customStyle="1" w:styleId="NoteHeadingChar">
    <w:name w:val="Note Heading Char"/>
    <w:basedOn w:val="DefaultParagraphFont"/>
    <w:link w:val="NoteHeading"/>
    <w:uiPriority w:val="98"/>
    <w:semiHidden/>
    <w:rsid w:val="001456F1"/>
    <w:rPr>
      <w:lang w:val="fr-FR"/>
    </w:rPr>
  </w:style>
  <w:style w:type="character" w:styleId="PlaceholderText">
    <w:name w:val="Placeholder Text"/>
    <w:basedOn w:val="DefaultParagraphFont"/>
    <w:uiPriority w:val="98"/>
    <w:semiHidden/>
    <w:rsid w:val="001456F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56F1"/>
    <w:rPr>
      <w:rFonts w:ascii="Consolas" w:hAnsi="Consolas" w:cs="Consolas"/>
      <w:sz w:val="21"/>
      <w:szCs w:val="21"/>
    </w:rPr>
  </w:style>
  <w:style w:type="character" w:customStyle="1" w:styleId="PlainTextChar">
    <w:name w:val="Plain Text Char"/>
    <w:basedOn w:val="DefaultParagraphFont"/>
    <w:link w:val="PlainText"/>
    <w:uiPriority w:val="98"/>
    <w:semiHidden/>
    <w:rsid w:val="001456F1"/>
    <w:rPr>
      <w:rFonts w:ascii="Consolas" w:hAnsi="Consolas" w:cs="Consolas"/>
      <w:sz w:val="21"/>
      <w:szCs w:val="21"/>
      <w:lang w:val="fr-FR"/>
    </w:rPr>
  </w:style>
  <w:style w:type="paragraph" w:styleId="Salutation">
    <w:name w:val="Salutation"/>
    <w:basedOn w:val="Normal"/>
    <w:next w:val="Normal"/>
    <w:link w:val="SalutationChar"/>
    <w:uiPriority w:val="98"/>
    <w:semiHidden/>
    <w:rsid w:val="001456F1"/>
  </w:style>
  <w:style w:type="character" w:customStyle="1" w:styleId="SalutationChar">
    <w:name w:val="Salutation Char"/>
    <w:basedOn w:val="DefaultParagraphFont"/>
    <w:link w:val="Salutation"/>
    <w:uiPriority w:val="98"/>
    <w:semiHidden/>
    <w:rsid w:val="001456F1"/>
    <w:rPr>
      <w:lang w:val="fr-FR"/>
    </w:rPr>
  </w:style>
  <w:style w:type="paragraph" w:styleId="Signature">
    <w:name w:val="Signature"/>
    <w:basedOn w:val="Normal"/>
    <w:link w:val="SignatureChar"/>
    <w:uiPriority w:val="98"/>
    <w:semiHidden/>
    <w:rsid w:val="001456F1"/>
    <w:pPr>
      <w:ind w:left="4252"/>
    </w:pPr>
  </w:style>
  <w:style w:type="character" w:customStyle="1" w:styleId="SignatureChar">
    <w:name w:val="Signature Char"/>
    <w:basedOn w:val="DefaultParagraphFont"/>
    <w:link w:val="Signature"/>
    <w:uiPriority w:val="98"/>
    <w:semiHidden/>
    <w:rsid w:val="001456F1"/>
    <w:rPr>
      <w:lang w:val="fr-FR"/>
    </w:rPr>
  </w:style>
  <w:style w:type="table" w:styleId="Table3Deffects1">
    <w:name w:val="Table 3D effects 1"/>
    <w:basedOn w:val="TableNormal"/>
    <w:uiPriority w:val="99"/>
    <w:semiHidden/>
    <w:unhideWhenUsed/>
    <w:rsid w:val="001456F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56F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56F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56F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56F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56F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56F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56F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56F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56F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56F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56F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56F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56F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56F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56F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56F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456F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56F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56F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56F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56F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56F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56F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56F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56F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56F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56F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56F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56F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56F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56F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56F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56F1"/>
    <w:pPr>
      <w:ind w:left="240" w:hanging="240"/>
    </w:pPr>
  </w:style>
  <w:style w:type="paragraph" w:styleId="TableofFigures">
    <w:name w:val="table of figures"/>
    <w:basedOn w:val="Normal"/>
    <w:next w:val="Normal"/>
    <w:uiPriority w:val="98"/>
    <w:semiHidden/>
    <w:rsid w:val="001456F1"/>
  </w:style>
  <w:style w:type="table" w:styleId="TableProfessional">
    <w:name w:val="Table Professional"/>
    <w:basedOn w:val="TableNormal"/>
    <w:uiPriority w:val="99"/>
    <w:semiHidden/>
    <w:unhideWhenUsed/>
    <w:rsid w:val="001456F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56F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56F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56F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56F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56F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56F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56F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56F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56F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456F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56F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56F1"/>
    <w:pPr>
      <w:spacing w:after="100"/>
      <w:ind w:left="1680"/>
    </w:pPr>
  </w:style>
  <w:style w:type="paragraph" w:styleId="TOC9">
    <w:name w:val="toc 9"/>
    <w:basedOn w:val="Normal"/>
    <w:next w:val="Normal"/>
    <w:autoRedefine/>
    <w:uiPriority w:val="98"/>
    <w:semiHidden/>
    <w:rsid w:val="001456F1"/>
    <w:pPr>
      <w:spacing w:after="100"/>
      <w:ind w:left="1920"/>
    </w:pPr>
  </w:style>
  <w:style w:type="paragraph" w:customStyle="1" w:styleId="DecHTitle">
    <w:name w:val="Dec_H_Title"/>
    <w:aliases w:val="_Title_1"/>
    <w:basedOn w:val="JuPara"/>
    <w:next w:val="JuPara"/>
    <w:uiPriority w:val="38"/>
    <w:qFormat/>
    <w:rsid w:val="001456F1"/>
    <w:pPr>
      <w:keepNext/>
      <w:keepLines/>
      <w:spacing w:after="240"/>
      <w:ind w:firstLine="0"/>
      <w:jc w:val="center"/>
      <w:outlineLvl w:val="0"/>
    </w:pPr>
    <w:rPr>
      <w:rFonts w:asciiTheme="majorHAnsi" w:hAnsiTheme="majorHAnsi"/>
      <w:sz w:val="28"/>
    </w:rPr>
  </w:style>
  <w:style w:type="paragraph" w:customStyle="1" w:styleId="JuCourt">
    <w:name w:val="Ju_Court"/>
    <w:aliases w:val="_Court_Names"/>
    <w:basedOn w:val="Normal"/>
    <w:next w:val="Normal"/>
    <w:uiPriority w:val="32"/>
    <w:qFormat/>
    <w:rsid w:val="001456F1"/>
    <w:pPr>
      <w:tabs>
        <w:tab w:val="left" w:pos="907"/>
        <w:tab w:val="left" w:pos="1701"/>
        <w:tab w:val="right" w:pos="7371"/>
      </w:tabs>
      <w:spacing w:before="240"/>
      <w:ind w:left="397" w:hanging="397"/>
    </w:pPr>
    <w:rPr>
      <w:lang w:bidi="en-US"/>
    </w:rPr>
  </w:style>
  <w:style w:type="paragraph" w:customStyle="1" w:styleId="ECHRParaHanging">
    <w:name w:val="ECHR_Para_Hanging"/>
    <w:aliases w:val="_Hanging"/>
    <w:basedOn w:val="Normal"/>
    <w:uiPriority w:val="8"/>
    <w:semiHidden/>
    <w:qFormat/>
    <w:rsid w:val="001456F1"/>
    <w:pPr>
      <w:ind w:left="567" w:hanging="567"/>
      <w:jc w:val="both"/>
    </w:pPr>
  </w:style>
  <w:style w:type="paragraph" w:customStyle="1" w:styleId="ECHRHeading9">
    <w:name w:val="ECHR_Heading_9"/>
    <w:aliases w:val="_Head_9"/>
    <w:basedOn w:val="Heading9"/>
    <w:uiPriority w:val="17"/>
    <w:semiHidden/>
    <w:rsid w:val="001456F1"/>
    <w:pPr>
      <w:keepNext/>
      <w:keepLines/>
      <w:numPr>
        <w:ilvl w:val="8"/>
        <w:numId w:val="2"/>
      </w:numPr>
      <w:spacing w:before="100" w:beforeAutospacing="1"/>
      <w:contextualSpacing/>
    </w:pPr>
    <w:rPr>
      <w:i w:val="0"/>
      <w:sz w:val="18"/>
    </w:rPr>
  </w:style>
  <w:style w:type="paragraph" w:customStyle="1" w:styleId="ECHRParaIndent">
    <w:name w:val="ECHR_Para_Indent"/>
    <w:aliases w:val="_Indent"/>
    <w:basedOn w:val="Normal"/>
    <w:uiPriority w:val="7"/>
    <w:semiHidden/>
    <w:qFormat/>
    <w:rsid w:val="001456F1"/>
    <w:pPr>
      <w:spacing w:before="120" w:after="120"/>
      <w:ind w:left="567"/>
      <w:jc w:val="both"/>
    </w:pPr>
  </w:style>
  <w:style w:type="paragraph" w:customStyle="1" w:styleId="JuJudges">
    <w:name w:val="Ju_Judges"/>
    <w:aliases w:val="_Judges"/>
    <w:basedOn w:val="Normal"/>
    <w:uiPriority w:val="32"/>
    <w:qFormat/>
    <w:rsid w:val="001456F1"/>
    <w:pPr>
      <w:tabs>
        <w:tab w:val="left" w:pos="567"/>
        <w:tab w:val="left" w:pos="1134"/>
      </w:tabs>
    </w:pPr>
  </w:style>
  <w:style w:type="paragraph" w:customStyle="1" w:styleId="ECHRLine">
    <w:name w:val="ECHR_Line"/>
    <w:aliases w:val="_Line"/>
    <w:basedOn w:val="NormalJustified"/>
    <w:next w:val="Normal"/>
    <w:uiPriority w:val="46"/>
    <w:semiHidden/>
    <w:rsid w:val="001456F1"/>
    <w:pPr>
      <w:pBdr>
        <w:bottom w:val="single" w:sz="12" w:space="1" w:color="949494" w:themeColor="text2" w:themeShade="BF"/>
      </w:pBdr>
      <w:spacing w:after="120"/>
    </w:pPr>
    <w:rPr>
      <w:sz w:val="12"/>
    </w:rPr>
  </w:style>
  <w:style w:type="paragraph" w:customStyle="1" w:styleId="JuHeaderLandscape">
    <w:name w:val="Ju_Header_Landscape"/>
    <w:basedOn w:val="JuHeader"/>
    <w:uiPriority w:val="4"/>
    <w:rsid w:val="00B152B9"/>
    <w:pPr>
      <w:tabs>
        <w:tab w:val="center" w:pos="6146"/>
        <w:tab w:val="right" w:pos="12293"/>
      </w:tabs>
    </w:pPr>
  </w:style>
  <w:style w:type="paragraph" w:customStyle="1" w:styleId="DummyStyle">
    <w:name w:val="Dummy_Style"/>
    <w:aliases w:val="_Dummy"/>
    <w:basedOn w:val="Normal"/>
    <w:semiHidden/>
    <w:qFormat/>
    <w:rsid w:val="001456F1"/>
    <w:rPr>
      <w:color w:val="00B050"/>
      <w:sz w:val="22"/>
    </w:rPr>
  </w:style>
  <w:style w:type="character" w:customStyle="1" w:styleId="JuParaChar">
    <w:name w:val="Ju_Para Char"/>
    <w:aliases w:val="_Para Char"/>
    <w:link w:val="JuPara"/>
    <w:uiPriority w:val="4"/>
    <w:rsid w:val="00DA7E83"/>
    <w:rPr>
      <w:lang w:val="fr-FR"/>
    </w:rPr>
  </w:style>
  <w:style w:type="character" w:customStyle="1" w:styleId="JuJudgesChar">
    <w:name w:val="Ju_Judges Char"/>
    <w:link w:val="ECHRDecisionBody"/>
    <w:uiPriority w:val="54"/>
    <w:rsid w:val="00742C62"/>
    <w:rPr>
      <w:lang w:val="fr-FR"/>
    </w:rPr>
  </w:style>
  <w:style w:type="paragraph" w:customStyle="1" w:styleId="ECHRNumberedList1">
    <w:name w:val="ECHR_Numbered_List_1"/>
    <w:aliases w:val="_Num_1"/>
    <w:basedOn w:val="Normal"/>
    <w:uiPriority w:val="23"/>
    <w:semiHidden/>
    <w:qFormat/>
    <w:rsid w:val="001456F1"/>
    <w:pPr>
      <w:numPr>
        <w:numId w:val="8"/>
      </w:numPr>
      <w:spacing w:before="60" w:after="60"/>
    </w:pPr>
  </w:style>
  <w:style w:type="paragraph" w:customStyle="1" w:styleId="ECHRNumberedList2">
    <w:name w:val="ECHR_Numbered_List_2"/>
    <w:aliases w:val="_Num_2"/>
    <w:basedOn w:val="ECHRNumberedList1"/>
    <w:uiPriority w:val="23"/>
    <w:semiHidden/>
    <w:rsid w:val="001456F1"/>
    <w:pPr>
      <w:numPr>
        <w:ilvl w:val="1"/>
      </w:numPr>
    </w:pPr>
  </w:style>
  <w:style w:type="paragraph" w:customStyle="1" w:styleId="ECHRNumberedList3">
    <w:name w:val="ECHR_Numbered_List_3"/>
    <w:aliases w:val="_Num_3"/>
    <w:basedOn w:val="ECHRNumberedList2"/>
    <w:uiPriority w:val="23"/>
    <w:semiHidden/>
    <w:rsid w:val="001456F1"/>
    <w:pPr>
      <w:numPr>
        <w:ilvl w:val="2"/>
      </w:numPr>
    </w:pPr>
  </w:style>
  <w:style w:type="character" w:customStyle="1" w:styleId="ECHRRed">
    <w:name w:val="ECHR_Red"/>
    <w:aliases w:val="_Red"/>
    <w:basedOn w:val="DefaultParagraphFont"/>
    <w:uiPriority w:val="15"/>
    <w:semiHidden/>
    <w:qFormat/>
    <w:rsid w:val="001456F1"/>
    <w:rPr>
      <w:color w:val="C00000" w:themeColor="accent2"/>
    </w:rPr>
  </w:style>
  <w:style w:type="paragraph" w:customStyle="1" w:styleId="ECHRHeaderDate">
    <w:name w:val="ECHR_Header_Date"/>
    <w:aliases w:val="_Ref_Date"/>
    <w:basedOn w:val="Normal"/>
    <w:uiPriority w:val="44"/>
    <w:semiHidden/>
    <w:qFormat/>
    <w:rsid w:val="001456F1"/>
    <w:pPr>
      <w:jc w:val="right"/>
    </w:pPr>
    <w:rPr>
      <w:sz w:val="20"/>
    </w:rPr>
  </w:style>
  <w:style w:type="paragraph" w:customStyle="1" w:styleId="ECHRHeaderRefIt">
    <w:name w:val="ECHR_Header_Ref_It"/>
    <w:aliases w:val="_Ref_Ital"/>
    <w:basedOn w:val="Normal"/>
    <w:next w:val="ECHRHeaderDate"/>
    <w:uiPriority w:val="43"/>
    <w:semiHidden/>
    <w:qFormat/>
    <w:rsid w:val="001456F1"/>
    <w:pPr>
      <w:jc w:val="right"/>
    </w:pPr>
    <w:rPr>
      <w:i/>
      <w:sz w:val="20"/>
    </w:rPr>
  </w:style>
  <w:style w:type="paragraph" w:customStyle="1" w:styleId="DecList">
    <w:name w:val="Dec_List"/>
    <w:aliases w:val="_List"/>
    <w:basedOn w:val="JuList"/>
    <w:uiPriority w:val="22"/>
    <w:rsid w:val="001456F1"/>
    <w:pPr>
      <w:numPr>
        <w:numId w:val="0"/>
      </w:numPr>
      <w:ind w:left="284"/>
    </w:pPr>
  </w:style>
  <w:style w:type="paragraph" w:customStyle="1" w:styleId="ECHRCoverTitle4">
    <w:name w:val="ECHR_Cover_Title_4"/>
    <w:aliases w:val="_Title_4"/>
    <w:basedOn w:val="JuPara"/>
    <w:next w:val="JuPara"/>
    <w:uiPriority w:val="38"/>
    <w:qFormat/>
    <w:rsid w:val="001456F1"/>
    <w:pPr>
      <w:keepNext/>
      <w:keepLines/>
      <w:tabs>
        <w:tab w:val="right" w:pos="7938"/>
      </w:tabs>
      <w:ind w:firstLine="0"/>
      <w:jc w:val="center"/>
    </w:pPr>
    <w:rPr>
      <w:i/>
    </w:rPr>
  </w:style>
  <w:style w:type="paragraph" w:customStyle="1" w:styleId="ECHRTitleCentre1">
    <w:name w:val="ECHR_Title_Centre_1"/>
    <w:aliases w:val="_Title_C_1"/>
    <w:basedOn w:val="Normal"/>
    <w:next w:val="Normal"/>
    <w:uiPriority w:val="26"/>
    <w:qFormat/>
    <w:rsid w:val="001456F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56F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1456F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56F1"/>
    <w:pPr>
      <w:outlineLvl w:val="0"/>
    </w:pPr>
  </w:style>
  <w:style w:type="paragraph" w:customStyle="1" w:styleId="ECHRTitle1">
    <w:name w:val="ECHR_Title_1"/>
    <w:aliases w:val="_Title_L_1"/>
    <w:basedOn w:val="Normal"/>
    <w:next w:val="Normal"/>
    <w:uiPriority w:val="28"/>
    <w:qFormat/>
    <w:rsid w:val="001456F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56F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56F1"/>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1456F1"/>
    <w:pPr>
      <w:outlineLvl w:val="0"/>
    </w:pPr>
  </w:style>
  <w:style w:type="numbering" w:customStyle="1" w:styleId="ECHRA1StyleBulletedSquare">
    <w:name w:val="ECHR_A1_Style_Bulleted_Square"/>
    <w:basedOn w:val="NoList"/>
    <w:rsid w:val="001456F1"/>
    <w:pPr>
      <w:numPr>
        <w:numId w:val="6"/>
      </w:numPr>
    </w:pPr>
  </w:style>
  <w:style w:type="numbering" w:customStyle="1" w:styleId="ECHRA1StyleList">
    <w:name w:val="ECHR_A1_Style_List"/>
    <w:basedOn w:val="NoList"/>
    <w:uiPriority w:val="99"/>
    <w:rsid w:val="001456F1"/>
    <w:pPr>
      <w:numPr>
        <w:numId w:val="7"/>
      </w:numPr>
    </w:pPr>
  </w:style>
  <w:style w:type="numbering" w:customStyle="1" w:styleId="ECHRA1StyleNumberedList">
    <w:name w:val="ECHR_A1_Style_Numbered_List"/>
    <w:basedOn w:val="NoList"/>
    <w:rsid w:val="001456F1"/>
    <w:pPr>
      <w:numPr>
        <w:numId w:val="8"/>
      </w:numPr>
    </w:pPr>
  </w:style>
  <w:style w:type="table" w:customStyle="1" w:styleId="ECHRTable2">
    <w:name w:val="ECHR_Table_2"/>
    <w:basedOn w:val="TableNormal"/>
    <w:uiPriority w:val="99"/>
    <w:rsid w:val="001456F1"/>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56F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TableNormal"/>
    <w:uiPriority w:val="99"/>
    <w:rsid w:val="001456F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0">
    <w:name w:val="_Footer"/>
    <w:aliases w:val="Footer_"/>
    <w:basedOn w:val="Footer"/>
    <w:uiPriority w:val="57"/>
    <w:semiHidden/>
    <w:rsid w:val="001456F1"/>
    <w:rPr>
      <w:sz w:val="8"/>
    </w:rPr>
  </w:style>
  <w:style w:type="paragraph" w:customStyle="1" w:styleId="ECHRSpacer">
    <w:name w:val="ECHR_Spacer"/>
    <w:aliases w:val="_Spacer"/>
    <w:basedOn w:val="Normal"/>
    <w:uiPriority w:val="45"/>
    <w:semiHidden/>
    <w:rsid w:val="001456F1"/>
    <w:rPr>
      <w:sz w:val="4"/>
    </w:rPr>
  </w:style>
  <w:style w:type="table" w:customStyle="1" w:styleId="ECHRListTable1">
    <w:name w:val="ECHR_List_Table1"/>
    <w:basedOn w:val="TableNormal"/>
    <w:uiPriority w:val="99"/>
    <w:rsid w:val="00997161"/>
    <w:rPr>
      <w:lang w:val="fr-FR" w:eastAsia="fr-FR"/>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Revision">
    <w:name w:val="Revision"/>
    <w:hidden/>
    <w:uiPriority w:val="99"/>
    <w:semiHidden/>
    <w:rsid w:val="00D82EF2"/>
    <w:rPr>
      <w:lang w:val="en-GB" w:eastAsia="fr-FR"/>
    </w:rPr>
  </w:style>
  <w:style w:type="table" w:customStyle="1" w:styleId="ECHRListTable2">
    <w:name w:val="ECHR_List_Table2"/>
    <w:basedOn w:val="TableNormal"/>
    <w:uiPriority w:val="99"/>
    <w:rsid w:val="00D82EF2"/>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003F69"/>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TableGrid10">
    <w:name w:val="Table Grid1"/>
    <w:basedOn w:val="TableNormal"/>
    <w:next w:val="TableGrid"/>
    <w:uiPriority w:val="59"/>
    <w:rsid w:val="00D82EF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Grid1">
    <w:name w:val="Colorful Grid1"/>
    <w:basedOn w:val="TableNormal"/>
    <w:next w:val="ColorfulGrid"/>
    <w:uiPriority w:val="73"/>
    <w:semiHidden/>
    <w:rsid w:val="00D82EF2"/>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TableNormal"/>
    <w:next w:val="ColorfulGrid-Accent1"/>
    <w:uiPriority w:val="73"/>
    <w:semiHidden/>
    <w:rsid w:val="00D82EF2"/>
    <w:rPr>
      <w:color w:val="000000"/>
    </w:rPr>
    <w:tblPr>
      <w:tblStyleRowBandSize w:val="1"/>
      <w:tblStyleColBandSize w:val="1"/>
      <w:tblBorders>
        <w:insideH w:val="single" w:sz="4" w:space="0" w:color="0072BC"/>
      </w:tblBorders>
    </w:tblPr>
    <w:tcPr>
      <w:shd w:val="clear" w:color="auto" w:fill="ABDDFF"/>
    </w:tcPr>
    <w:tblStylePr w:type="firstRow">
      <w:rPr>
        <w:b/>
        <w:bCs/>
      </w:rPr>
      <w:tblPr/>
      <w:tcPr>
        <w:shd w:val="clear" w:color="auto" w:fill="58BCFF"/>
      </w:tcPr>
    </w:tblStylePr>
    <w:tblStylePr w:type="lastRow">
      <w:rPr>
        <w:b/>
        <w:bCs/>
        <w:color w:val="000000"/>
      </w:rPr>
      <w:tblPr/>
      <w:tcPr>
        <w:shd w:val="clear" w:color="auto" w:fill="58BCFF"/>
      </w:tcPr>
    </w:tblStylePr>
    <w:tblStylePr w:type="firstCol">
      <w:rPr>
        <w:color w:val="0072BC"/>
      </w:rPr>
      <w:tblPr/>
      <w:tcPr>
        <w:shd w:val="clear" w:color="auto" w:fill="002A46"/>
      </w:tcPr>
    </w:tblStylePr>
    <w:tblStylePr w:type="lastCol">
      <w:rPr>
        <w:color w:val="0072BC"/>
      </w:rPr>
      <w:tblPr/>
      <w:tcPr>
        <w:shd w:val="clear" w:color="auto" w:fill="002A46"/>
      </w:tcPr>
    </w:tblStylePr>
    <w:tblStylePr w:type="band1Vert">
      <w:tblPr/>
      <w:tcPr>
        <w:shd w:val="clear" w:color="auto" w:fill="2FACFF"/>
      </w:tcPr>
    </w:tblStylePr>
    <w:tblStylePr w:type="band1Horz">
      <w:tblPr/>
      <w:tcPr>
        <w:shd w:val="clear" w:color="auto" w:fill="2FACFF"/>
      </w:tcPr>
    </w:tblStylePr>
  </w:style>
  <w:style w:type="table" w:customStyle="1" w:styleId="ColorfulGrid-Accent21">
    <w:name w:val="Colorful Grid - Accent 21"/>
    <w:basedOn w:val="TableNormal"/>
    <w:next w:val="ColorfulGrid-Accent2"/>
    <w:uiPriority w:val="73"/>
    <w:semiHidden/>
    <w:rsid w:val="00D82EF2"/>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ColorfulGrid-Accent31">
    <w:name w:val="Colorful Grid - Accent 31"/>
    <w:basedOn w:val="TableNormal"/>
    <w:next w:val="ColorfulGrid-Accent3"/>
    <w:uiPriority w:val="73"/>
    <w:semiHidden/>
    <w:rsid w:val="00D82EF2"/>
    <w:rPr>
      <w:color w:val="000000"/>
    </w:rPr>
    <w:tblPr>
      <w:tblStyleRowBandSize w:val="1"/>
      <w:tblStyleColBandSize w:val="1"/>
      <w:tblBorders>
        <w:insideH w:val="single" w:sz="4" w:space="0" w:color="0072BC"/>
      </w:tblBorders>
    </w:tblPr>
    <w:tcPr>
      <w:shd w:val="clear" w:color="auto" w:fill="B5E1FF"/>
    </w:tcPr>
    <w:tblStylePr w:type="firstRow">
      <w:rPr>
        <w:b/>
        <w:bCs/>
      </w:rPr>
      <w:tblPr/>
      <w:tcPr>
        <w:shd w:val="clear" w:color="auto" w:fill="6BC3FF"/>
      </w:tcPr>
    </w:tblStylePr>
    <w:tblStylePr w:type="lastRow">
      <w:rPr>
        <w:b/>
        <w:bCs/>
        <w:color w:val="000000"/>
      </w:rPr>
      <w:tblPr/>
      <w:tcPr>
        <w:shd w:val="clear" w:color="auto" w:fill="6BC3FF"/>
      </w:tcPr>
    </w:tblStylePr>
    <w:tblStylePr w:type="firstCol">
      <w:rPr>
        <w:color w:val="0072BC"/>
      </w:rPr>
      <w:tblPr/>
      <w:tcPr>
        <w:shd w:val="clear" w:color="auto" w:fill="003F69"/>
      </w:tcPr>
    </w:tblStylePr>
    <w:tblStylePr w:type="lastCol">
      <w:rPr>
        <w:color w:val="0072BC"/>
      </w:rPr>
      <w:tblPr/>
      <w:tcPr>
        <w:shd w:val="clear" w:color="auto" w:fill="003F69"/>
      </w:tcPr>
    </w:tblStylePr>
    <w:tblStylePr w:type="band1Vert">
      <w:tblPr/>
      <w:tcPr>
        <w:shd w:val="clear" w:color="auto" w:fill="47B5FF"/>
      </w:tcPr>
    </w:tblStylePr>
    <w:tblStylePr w:type="band1Horz">
      <w:tblPr/>
      <w:tcPr>
        <w:shd w:val="clear" w:color="auto" w:fill="47B5FF"/>
      </w:tcPr>
    </w:tblStylePr>
  </w:style>
  <w:style w:type="table" w:customStyle="1" w:styleId="ColorfulGrid-Accent41">
    <w:name w:val="Colorful Grid - Accent 41"/>
    <w:basedOn w:val="TableNormal"/>
    <w:next w:val="ColorfulGrid-Accent4"/>
    <w:uiPriority w:val="73"/>
    <w:semiHidden/>
    <w:rsid w:val="00D82EF2"/>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ColorfulGrid-Accent51">
    <w:name w:val="Colorful Grid - Accent 51"/>
    <w:basedOn w:val="TableNormal"/>
    <w:next w:val="ColorfulGrid-Accent5"/>
    <w:uiPriority w:val="73"/>
    <w:semiHidden/>
    <w:rsid w:val="00D82EF2"/>
    <w:rPr>
      <w:color w:val="000000"/>
    </w:rPr>
    <w:tblPr>
      <w:tblStyleRowBandSize w:val="1"/>
      <w:tblStyleColBandSize w:val="1"/>
      <w:tblBorders>
        <w:insideH w:val="single" w:sz="4" w:space="0" w:color="0072BC"/>
      </w:tblBorders>
    </w:tblPr>
    <w:tcPr>
      <w:shd w:val="clear" w:color="auto" w:fill="E7FFB7"/>
    </w:tcPr>
    <w:tblStylePr w:type="firstRow">
      <w:rPr>
        <w:b/>
        <w:bCs/>
      </w:rPr>
      <w:tblPr/>
      <w:tcPr>
        <w:shd w:val="clear" w:color="auto" w:fill="CFFF70"/>
      </w:tcPr>
    </w:tblStylePr>
    <w:tblStylePr w:type="lastRow">
      <w:rPr>
        <w:b/>
        <w:bCs/>
        <w:color w:val="000000"/>
      </w:rPr>
      <w:tblPr/>
      <w:tcPr>
        <w:shd w:val="clear" w:color="auto" w:fill="CFFF70"/>
      </w:tcPr>
    </w:tblStylePr>
    <w:tblStylePr w:type="firstCol">
      <w:rPr>
        <w:color w:val="0072BC"/>
      </w:rPr>
      <w:tblPr/>
      <w:tcPr>
        <w:shd w:val="clear" w:color="auto" w:fill="4C7200"/>
      </w:tcPr>
    </w:tblStylePr>
    <w:tblStylePr w:type="lastCol">
      <w:rPr>
        <w:color w:val="0072BC"/>
      </w:rPr>
      <w:tblPr/>
      <w:tcPr>
        <w:shd w:val="clear" w:color="auto" w:fill="4C7200"/>
      </w:tcPr>
    </w:tblStylePr>
    <w:tblStylePr w:type="band1Vert">
      <w:tblPr/>
      <w:tcPr>
        <w:shd w:val="clear" w:color="auto" w:fill="C3FF4D"/>
      </w:tcPr>
    </w:tblStylePr>
    <w:tblStylePr w:type="band1Horz">
      <w:tblPr/>
      <w:tcPr>
        <w:shd w:val="clear" w:color="auto" w:fill="C3FF4D"/>
      </w:tcPr>
    </w:tblStylePr>
  </w:style>
  <w:style w:type="table" w:customStyle="1" w:styleId="ColorfulGrid-Accent61">
    <w:name w:val="Colorful Grid - Accent 61"/>
    <w:basedOn w:val="TableNormal"/>
    <w:next w:val="ColorfulGrid-Accent6"/>
    <w:uiPriority w:val="73"/>
    <w:semiHidden/>
    <w:rsid w:val="00D82EF2"/>
    <w:rPr>
      <w:color w:val="000000"/>
    </w:rPr>
    <w:tblPr>
      <w:tblStyleRowBandSize w:val="1"/>
      <w:tblStyleColBandSize w:val="1"/>
      <w:tblBorders>
        <w:insideH w:val="single" w:sz="4" w:space="0" w:color="0072BC"/>
      </w:tblBorders>
    </w:tblPr>
    <w:tcPr>
      <w:shd w:val="clear" w:color="auto" w:fill="FEDCCA"/>
    </w:tcPr>
    <w:tblStylePr w:type="firstRow">
      <w:rPr>
        <w:b/>
        <w:bCs/>
      </w:rPr>
      <w:tblPr/>
      <w:tcPr>
        <w:shd w:val="clear" w:color="auto" w:fill="FCB995"/>
      </w:tcPr>
    </w:tblStylePr>
    <w:tblStylePr w:type="lastRow">
      <w:rPr>
        <w:b/>
        <w:bCs/>
        <w:color w:val="000000"/>
      </w:rPr>
      <w:tblPr/>
      <w:tcPr>
        <w:shd w:val="clear" w:color="auto" w:fill="FCB995"/>
      </w:tcPr>
    </w:tblStylePr>
    <w:tblStylePr w:type="firstCol">
      <w:rPr>
        <w:color w:val="0072BC"/>
      </w:rPr>
      <w:tblPr/>
      <w:tcPr>
        <w:shd w:val="clear" w:color="auto" w:fill="AF3F03"/>
      </w:tcPr>
    </w:tblStylePr>
    <w:tblStylePr w:type="lastCol">
      <w:rPr>
        <w:color w:val="0072BC"/>
      </w:rPr>
      <w:tblPr/>
      <w:tcPr>
        <w:shd w:val="clear" w:color="auto" w:fill="AF3F03"/>
      </w:tcPr>
    </w:tblStylePr>
    <w:tblStylePr w:type="band1Vert">
      <w:tblPr/>
      <w:tcPr>
        <w:shd w:val="clear" w:color="auto" w:fill="FCA87B"/>
      </w:tcPr>
    </w:tblStylePr>
    <w:tblStylePr w:type="band1Horz">
      <w:tblPr/>
      <w:tcPr>
        <w:shd w:val="clear" w:color="auto" w:fill="FCA87B"/>
      </w:tcPr>
    </w:tblStylePr>
  </w:style>
  <w:style w:type="table" w:customStyle="1" w:styleId="ColorfulList1">
    <w:name w:val="Colorful List1"/>
    <w:basedOn w:val="TableNormal"/>
    <w:next w:val="ColorfulList"/>
    <w:uiPriority w:val="72"/>
    <w:semiHidden/>
    <w:rsid w:val="00D82EF2"/>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TableNormal"/>
    <w:next w:val="ColorfulList-Accent1"/>
    <w:uiPriority w:val="72"/>
    <w:semiHidden/>
    <w:rsid w:val="00D82EF2"/>
    <w:rPr>
      <w:color w:val="000000"/>
    </w:rPr>
    <w:tblPr>
      <w:tblStyleRowBandSize w:val="1"/>
      <w:tblStyleColBandSize w:val="1"/>
    </w:tblPr>
    <w:tcPr>
      <w:shd w:val="clear" w:color="auto" w:fill="D6EE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8D6FF"/>
      </w:tcPr>
    </w:tblStylePr>
    <w:tblStylePr w:type="band1Horz">
      <w:tblPr/>
      <w:tcPr>
        <w:shd w:val="clear" w:color="auto" w:fill="ABDDFF"/>
      </w:tcPr>
    </w:tblStylePr>
  </w:style>
  <w:style w:type="table" w:customStyle="1" w:styleId="ColorfulList-Accent21">
    <w:name w:val="Colorful List - Accent 21"/>
    <w:basedOn w:val="TableNormal"/>
    <w:next w:val="ColorfulList-Accent2"/>
    <w:uiPriority w:val="72"/>
    <w:semiHidden/>
    <w:rsid w:val="00D82EF2"/>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ColorfulList-Accent31">
    <w:name w:val="Colorful List - Accent 31"/>
    <w:basedOn w:val="TableNormal"/>
    <w:next w:val="ColorfulList-Accent3"/>
    <w:uiPriority w:val="72"/>
    <w:semiHidden/>
    <w:rsid w:val="00D82EF2"/>
    <w:rPr>
      <w:color w:val="000000"/>
    </w:rPr>
    <w:tblPr>
      <w:tblStyleRowBandSize w:val="1"/>
      <w:tblStyleColBandSize w:val="1"/>
    </w:tblPr>
    <w:tcPr>
      <w:shd w:val="clear" w:color="auto" w:fill="DAF0F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3DAFF"/>
      </w:tcPr>
    </w:tblStylePr>
    <w:tblStylePr w:type="band1Horz">
      <w:tblPr/>
      <w:tcPr>
        <w:shd w:val="clear" w:color="auto" w:fill="B5E1FF"/>
      </w:tcPr>
    </w:tblStylePr>
  </w:style>
  <w:style w:type="table" w:customStyle="1" w:styleId="ColorfulList-Accent41">
    <w:name w:val="Colorful List - Accent 41"/>
    <w:basedOn w:val="TableNormal"/>
    <w:next w:val="ColorfulList-Accent4"/>
    <w:uiPriority w:val="72"/>
    <w:semiHidden/>
    <w:rsid w:val="00D82EF2"/>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004370"/>
      </w:tcPr>
    </w:tblStylePr>
    <w:tblStylePr w:type="lastRow">
      <w:rPr>
        <w:b/>
        <w:bCs/>
        <w:color w:val="00437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ColorfulList-Accent51">
    <w:name w:val="Colorful List - Accent 51"/>
    <w:basedOn w:val="TableNormal"/>
    <w:next w:val="ColorfulList-Accent5"/>
    <w:uiPriority w:val="72"/>
    <w:semiHidden/>
    <w:rsid w:val="00D82EF2"/>
    <w:rPr>
      <w:color w:val="000000"/>
    </w:rPr>
    <w:tblPr>
      <w:tblStyleRowBandSize w:val="1"/>
      <w:tblStyleColBandSize w:val="1"/>
    </w:tblPr>
    <w:tcPr>
      <w:shd w:val="clear" w:color="auto" w:fill="F3FFDC"/>
    </w:tcPr>
    <w:tblStylePr w:type="firstRow">
      <w:rPr>
        <w:b/>
        <w:bCs/>
        <w:color w:val="0072BC"/>
      </w:rPr>
      <w:tblPr/>
      <w:tcPr>
        <w:tcBorders>
          <w:bottom w:val="single" w:sz="12" w:space="0" w:color="0072BC"/>
        </w:tcBorders>
        <w:shd w:val="clear" w:color="auto" w:fill="BB4404"/>
      </w:tcPr>
    </w:tblStylePr>
    <w:tblStylePr w:type="lastRow">
      <w:rPr>
        <w:b/>
        <w:bCs/>
        <w:color w:val="BB4404"/>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FA6"/>
      </w:tcPr>
    </w:tblStylePr>
    <w:tblStylePr w:type="band1Horz">
      <w:tblPr/>
      <w:tcPr>
        <w:shd w:val="clear" w:color="auto" w:fill="E7FFB7"/>
      </w:tcPr>
    </w:tblStylePr>
  </w:style>
  <w:style w:type="table" w:customStyle="1" w:styleId="ColorfulList-Accent61">
    <w:name w:val="Colorful List - Accent 61"/>
    <w:basedOn w:val="TableNormal"/>
    <w:next w:val="ColorfulList-Accent6"/>
    <w:uiPriority w:val="72"/>
    <w:semiHidden/>
    <w:rsid w:val="00D82EF2"/>
    <w:rPr>
      <w:color w:val="000000"/>
    </w:rPr>
    <w:tblPr>
      <w:tblStyleRowBandSize w:val="1"/>
      <w:tblStyleColBandSize w:val="1"/>
    </w:tblPr>
    <w:tcPr>
      <w:shd w:val="clear" w:color="auto" w:fill="FEEDE4"/>
    </w:tcPr>
    <w:tblStylePr w:type="firstRow">
      <w:rPr>
        <w:b/>
        <w:bCs/>
        <w:color w:val="0072BC"/>
      </w:rPr>
      <w:tblPr/>
      <w:tcPr>
        <w:tcBorders>
          <w:bottom w:val="single" w:sz="12" w:space="0" w:color="0072BC"/>
        </w:tcBorders>
        <w:shd w:val="clear" w:color="auto" w:fill="517A00"/>
      </w:tcPr>
    </w:tblStylePr>
    <w:tblStylePr w:type="lastRow">
      <w:rPr>
        <w:b/>
        <w:bCs/>
        <w:color w:val="517A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D3BD"/>
      </w:tcPr>
    </w:tblStylePr>
    <w:tblStylePr w:type="band1Horz">
      <w:tblPr/>
      <w:tcPr>
        <w:shd w:val="clear" w:color="auto" w:fill="FEDCCA"/>
      </w:tcPr>
    </w:tblStylePr>
  </w:style>
  <w:style w:type="table" w:customStyle="1" w:styleId="ColorfulShading1">
    <w:name w:val="Colorful Shading1"/>
    <w:basedOn w:val="TableNormal"/>
    <w:next w:val="ColorfulShading"/>
    <w:uiPriority w:val="71"/>
    <w:semiHidden/>
    <w:rsid w:val="00D82EF2"/>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TableNormal"/>
    <w:next w:val="ColorfulShading-Accent1"/>
    <w:uiPriority w:val="71"/>
    <w:semiHidden/>
    <w:rsid w:val="00D82EF2"/>
    <w:rPr>
      <w:color w:val="000000"/>
    </w:rPr>
    <w:tblPr>
      <w:tblStyleRowBandSize w:val="1"/>
      <w:tblStyleColBandSize w:val="1"/>
      <w:tblBorders>
        <w:top w:val="single" w:sz="24" w:space="0" w:color="C00000"/>
        <w:left w:val="single" w:sz="4" w:space="0" w:color="00395E"/>
        <w:bottom w:val="single" w:sz="4" w:space="0" w:color="00395E"/>
        <w:right w:val="single" w:sz="4" w:space="0" w:color="00395E"/>
        <w:insideH w:val="single" w:sz="4" w:space="0" w:color="0072BC"/>
        <w:insideV w:val="single" w:sz="4" w:space="0" w:color="0072BC"/>
      </w:tblBorders>
    </w:tblPr>
    <w:tcPr>
      <w:shd w:val="clear" w:color="auto" w:fill="D6EE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2238"/>
      </w:tcPr>
    </w:tblStylePr>
    <w:tblStylePr w:type="firstCol">
      <w:rPr>
        <w:color w:val="0072BC"/>
      </w:rPr>
      <w:tblPr/>
      <w:tcPr>
        <w:tcBorders>
          <w:top w:val="nil"/>
          <w:left w:val="nil"/>
          <w:bottom w:val="nil"/>
          <w:right w:val="nil"/>
          <w:insideH w:val="single" w:sz="4" w:space="0" w:color="002238"/>
          <w:insideV w:val="nil"/>
        </w:tcBorders>
        <w:shd w:val="clear" w:color="auto" w:fill="002238"/>
      </w:tcPr>
    </w:tblStylePr>
    <w:tblStylePr w:type="lastCol">
      <w:rPr>
        <w:color w:val="0072BC"/>
      </w:rPr>
      <w:tblPr/>
      <w:tcPr>
        <w:tcBorders>
          <w:top w:val="nil"/>
          <w:left w:val="nil"/>
          <w:bottom w:val="nil"/>
          <w:right w:val="nil"/>
          <w:insideH w:val="nil"/>
          <w:insideV w:val="nil"/>
        </w:tcBorders>
        <w:shd w:val="clear" w:color="auto" w:fill="002238"/>
      </w:tcPr>
    </w:tblStylePr>
    <w:tblStylePr w:type="band1Vert">
      <w:tblPr/>
      <w:tcPr>
        <w:shd w:val="clear" w:color="auto" w:fill="58BCFF"/>
      </w:tcPr>
    </w:tblStylePr>
    <w:tblStylePr w:type="band1Horz">
      <w:tblPr/>
      <w:tcPr>
        <w:shd w:val="clear" w:color="auto" w:fill="2FACFF"/>
      </w:tcPr>
    </w:tblStylePr>
    <w:tblStylePr w:type="neCell">
      <w:rPr>
        <w:color w:val="000000"/>
      </w:rPr>
    </w:tblStylePr>
    <w:tblStylePr w:type="nwCell">
      <w:rPr>
        <w:color w:val="000000"/>
      </w:rPr>
    </w:tblStylePr>
  </w:style>
  <w:style w:type="table" w:customStyle="1" w:styleId="ColorfulShading-Accent21">
    <w:name w:val="Colorful Shading - Accent 21"/>
    <w:basedOn w:val="TableNormal"/>
    <w:next w:val="ColorfulShading-Accent2"/>
    <w:uiPriority w:val="71"/>
    <w:semiHidden/>
    <w:rsid w:val="00D82EF2"/>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ColorfulShading-Accent31">
    <w:name w:val="Colorful Shading - Accent 31"/>
    <w:basedOn w:val="TableNormal"/>
    <w:next w:val="ColorfulShading-Accent3"/>
    <w:uiPriority w:val="71"/>
    <w:semiHidden/>
    <w:rsid w:val="00D82EF2"/>
    <w:rPr>
      <w:color w:val="000000"/>
    </w:rPr>
    <w:tblPr>
      <w:tblStyleRowBandSize w:val="1"/>
      <w:tblStyleColBandSize w:val="1"/>
      <w:tblBorders>
        <w:top w:val="single" w:sz="24" w:space="0" w:color="969696"/>
        <w:left w:val="single" w:sz="4" w:space="0" w:color="00558D"/>
        <w:bottom w:val="single" w:sz="4" w:space="0" w:color="00558D"/>
        <w:right w:val="single" w:sz="4" w:space="0" w:color="00558D"/>
        <w:insideH w:val="single" w:sz="4" w:space="0" w:color="0072BC"/>
        <w:insideV w:val="single" w:sz="4" w:space="0" w:color="0072BC"/>
      </w:tblBorders>
    </w:tblPr>
    <w:tcPr>
      <w:shd w:val="clear" w:color="auto" w:fill="DAF0F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3254"/>
      </w:tcPr>
    </w:tblStylePr>
    <w:tblStylePr w:type="firstCol">
      <w:rPr>
        <w:color w:val="0072BC"/>
      </w:rPr>
      <w:tblPr/>
      <w:tcPr>
        <w:tcBorders>
          <w:top w:val="nil"/>
          <w:left w:val="nil"/>
          <w:bottom w:val="nil"/>
          <w:right w:val="nil"/>
          <w:insideH w:val="single" w:sz="4" w:space="0" w:color="003254"/>
          <w:insideV w:val="nil"/>
        </w:tcBorders>
        <w:shd w:val="clear" w:color="auto" w:fill="003254"/>
      </w:tcPr>
    </w:tblStylePr>
    <w:tblStylePr w:type="lastCol">
      <w:rPr>
        <w:color w:val="0072BC"/>
      </w:rPr>
      <w:tblPr/>
      <w:tcPr>
        <w:tcBorders>
          <w:top w:val="nil"/>
          <w:left w:val="nil"/>
          <w:bottom w:val="nil"/>
          <w:right w:val="nil"/>
          <w:insideH w:val="nil"/>
          <w:insideV w:val="nil"/>
        </w:tcBorders>
        <w:shd w:val="clear" w:color="auto" w:fill="003254"/>
      </w:tcPr>
    </w:tblStylePr>
    <w:tblStylePr w:type="band1Vert">
      <w:tblPr/>
      <w:tcPr>
        <w:shd w:val="clear" w:color="auto" w:fill="6BC3FF"/>
      </w:tcPr>
    </w:tblStylePr>
    <w:tblStylePr w:type="band1Horz">
      <w:tblPr/>
      <w:tcPr>
        <w:shd w:val="clear" w:color="auto" w:fill="47B5FF"/>
      </w:tcPr>
    </w:tblStylePr>
  </w:style>
  <w:style w:type="table" w:customStyle="1" w:styleId="ColorfulShading-Accent41">
    <w:name w:val="Colorful Shading - Accent 41"/>
    <w:basedOn w:val="TableNormal"/>
    <w:next w:val="ColorfulShading-Accent4"/>
    <w:uiPriority w:val="71"/>
    <w:semiHidden/>
    <w:rsid w:val="00D82EF2"/>
    <w:rPr>
      <w:color w:val="000000"/>
    </w:rPr>
    <w:tblPr>
      <w:tblStyleRowBandSize w:val="1"/>
      <w:tblStyleColBandSize w:val="1"/>
      <w:tblBorders>
        <w:top w:val="single" w:sz="24" w:space="0" w:color="00558D"/>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00558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ColorfulShading-Accent51">
    <w:name w:val="Colorful Shading - Accent 51"/>
    <w:basedOn w:val="TableNormal"/>
    <w:next w:val="ColorfulShading-Accent5"/>
    <w:uiPriority w:val="71"/>
    <w:semiHidden/>
    <w:rsid w:val="00D82EF2"/>
    <w:rPr>
      <w:color w:val="000000"/>
    </w:rPr>
    <w:tblPr>
      <w:tblStyleRowBandSize w:val="1"/>
      <w:tblStyleColBandSize w:val="1"/>
      <w:tblBorders>
        <w:top w:val="single" w:sz="24" w:space="0" w:color="EB5605"/>
        <w:left w:val="single" w:sz="4" w:space="0" w:color="669900"/>
        <w:bottom w:val="single" w:sz="4" w:space="0" w:color="669900"/>
        <w:right w:val="single" w:sz="4" w:space="0" w:color="669900"/>
        <w:insideH w:val="single" w:sz="4" w:space="0" w:color="0072BC"/>
        <w:insideV w:val="single" w:sz="4" w:space="0" w:color="0072BC"/>
      </w:tblBorders>
    </w:tblPr>
    <w:tcPr>
      <w:shd w:val="clear" w:color="auto" w:fill="F3FFDC"/>
    </w:tcPr>
    <w:tblStylePr w:type="firstRow">
      <w:rPr>
        <w:b/>
        <w:bCs/>
      </w:rPr>
      <w:tblPr/>
      <w:tcPr>
        <w:tcBorders>
          <w:top w:val="nil"/>
          <w:left w:val="nil"/>
          <w:bottom w:val="single" w:sz="24" w:space="0" w:color="EB5605"/>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D5B00"/>
      </w:tcPr>
    </w:tblStylePr>
    <w:tblStylePr w:type="firstCol">
      <w:rPr>
        <w:color w:val="0072BC"/>
      </w:rPr>
      <w:tblPr/>
      <w:tcPr>
        <w:tcBorders>
          <w:top w:val="nil"/>
          <w:left w:val="nil"/>
          <w:bottom w:val="nil"/>
          <w:right w:val="nil"/>
          <w:insideH w:val="single" w:sz="4" w:space="0" w:color="3D5B00"/>
          <w:insideV w:val="nil"/>
        </w:tcBorders>
        <w:shd w:val="clear" w:color="auto" w:fill="3D5B00"/>
      </w:tcPr>
    </w:tblStylePr>
    <w:tblStylePr w:type="lastCol">
      <w:rPr>
        <w:color w:val="0072BC"/>
      </w:rPr>
      <w:tblPr/>
      <w:tcPr>
        <w:tcBorders>
          <w:top w:val="nil"/>
          <w:left w:val="nil"/>
          <w:bottom w:val="nil"/>
          <w:right w:val="nil"/>
          <w:insideH w:val="nil"/>
          <w:insideV w:val="nil"/>
        </w:tcBorders>
        <w:shd w:val="clear" w:color="auto" w:fill="3D5B00"/>
      </w:tcPr>
    </w:tblStylePr>
    <w:tblStylePr w:type="band1Vert">
      <w:tblPr/>
      <w:tcPr>
        <w:shd w:val="clear" w:color="auto" w:fill="CFFF70"/>
      </w:tcPr>
    </w:tblStylePr>
    <w:tblStylePr w:type="band1Horz">
      <w:tblPr/>
      <w:tcPr>
        <w:shd w:val="clear" w:color="auto" w:fill="C3FF4D"/>
      </w:tcPr>
    </w:tblStylePr>
    <w:tblStylePr w:type="neCell">
      <w:rPr>
        <w:color w:val="000000"/>
      </w:rPr>
    </w:tblStylePr>
    <w:tblStylePr w:type="nwCell">
      <w:rPr>
        <w:color w:val="000000"/>
      </w:rPr>
    </w:tblStylePr>
  </w:style>
  <w:style w:type="table" w:customStyle="1" w:styleId="ColorfulShading-Accent61">
    <w:name w:val="Colorful Shading - Accent 61"/>
    <w:basedOn w:val="TableNormal"/>
    <w:next w:val="ColorfulShading-Accent6"/>
    <w:uiPriority w:val="71"/>
    <w:semiHidden/>
    <w:rsid w:val="00D82EF2"/>
    <w:rPr>
      <w:color w:val="000000"/>
    </w:rPr>
    <w:tblPr>
      <w:tblStyleRowBandSize w:val="1"/>
      <w:tblStyleColBandSize w:val="1"/>
      <w:tblBorders>
        <w:top w:val="single" w:sz="24" w:space="0" w:color="669900"/>
        <w:left w:val="single" w:sz="4" w:space="0" w:color="EB5605"/>
        <w:bottom w:val="single" w:sz="4" w:space="0" w:color="EB5605"/>
        <w:right w:val="single" w:sz="4" w:space="0" w:color="EB5605"/>
        <w:insideH w:val="single" w:sz="4" w:space="0" w:color="0072BC"/>
        <w:insideV w:val="single" w:sz="4" w:space="0" w:color="0072BC"/>
      </w:tblBorders>
    </w:tblPr>
    <w:tcPr>
      <w:shd w:val="clear" w:color="auto" w:fill="FEEDE4"/>
    </w:tcPr>
    <w:tblStylePr w:type="firstRow">
      <w:rPr>
        <w:b/>
        <w:bCs/>
      </w:rPr>
      <w:tblPr/>
      <w:tcPr>
        <w:tcBorders>
          <w:top w:val="nil"/>
          <w:left w:val="nil"/>
          <w:bottom w:val="single" w:sz="24" w:space="0" w:color="6699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8C3303"/>
      </w:tcPr>
    </w:tblStylePr>
    <w:tblStylePr w:type="firstCol">
      <w:rPr>
        <w:color w:val="0072BC"/>
      </w:rPr>
      <w:tblPr/>
      <w:tcPr>
        <w:tcBorders>
          <w:top w:val="nil"/>
          <w:left w:val="nil"/>
          <w:bottom w:val="nil"/>
          <w:right w:val="nil"/>
          <w:insideH w:val="single" w:sz="4" w:space="0" w:color="8C3303"/>
          <w:insideV w:val="nil"/>
        </w:tcBorders>
        <w:shd w:val="clear" w:color="auto" w:fill="8C3303"/>
      </w:tcPr>
    </w:tblStylePr>
    <w:tblStylePr w:type="lastCol">
      <w:rPr>
        <w:color w:val="0072BC"/>
      </w:rPr>
      <w:tblPr/>
      <w:tcPr>
        <w:tcBorders>
          <w:top w:val="nil"/>
          <w:left w:val="nil"/>
          <w:bottom w:val="nil"/>
          <w:right w:val="nil"/>
          <w:insideH w:val="nil"/>
          <w:insideV w:val="nil"/>
        </w:tcBorders>
        <w:shd w:val="clear" w:color="auto" w:fill="8C3303"/>
      </w:tcPr>
    </w:tblStylePr>
    <w:tblStylePr w:type="band1Vert">
      <w:tblPr/>
      <w:tcPr>
        <w:shd w:val="clear" w:color="auto" w:fill="FCB995"/>
      </w:tcPr>
    </w:tblStylePr>
    <w:tblStylePr w:type="band1Horz">
      <w:tblPr/>
      <w:tcPr>
        <w:shd w:val="clear" w:color="auto" w:fill="FCA87B"/>
      </w:tcPr>
    </w:tblStylePr>
    <w:tblStylePr w:type="neCell">
      <w:rPr>
        <w:color w:val="000000"/>
      </w:rPr>
    </w:tblStylePr>
    <w:tblStylePr w:type="nwCell">
      <w:rPr>
        <w:color w:val="000000"/>
      </w:rPr>
    </w:tblStylePr>
  </w:style>
  <w:style w:type="table" w:customStyle="1" w:styleId="DarkList1">
    <w:name w:val="Dark List1"/>
    <w:basedOn w:val="TableNormal"/>
    <w:next w:val="DarkList"/>
    <w:uiPriority w:val="70"/>
    <w:semiHidden/>
    <w:rsid w:val="00D82EF2"/>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TableNormal"/>
    <w:next w:val="DarkList-Accent1"/>
    <w:uiPriority w:val="70"/>
    <w:semiHidden/>
    <w:rsid w:val="00D82EF2"/>
    <w:rPr>
      <w:color w:val="0072BC"/>
    </w:rPr>
    <w:tblPr>
      <w:tblStyleRowBandSize w:val="1"/>
      <w:tblStyleColBandSize w:val="1"/>
    </w:tblPr>
    <w:tcPr>
      <w:shd w:val="clear" w:color="auto" w:fill="00395E"/>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1C2E"/>
      </w:tcPr>
    </w:tblStylePr>
    <w:tblStylePr w:type="firstCol">
      <w:tblPr/>
      <w:tcPr>
        <w:tcBorders>
          <w:top w:val="nil"/>
          <w:left w:val="nil"/>
          <w:bottom w:val="nil"/>
          <w:right w:val="single" w:sz="18" w:space="0" w:color="0072BC"/>
          <w:insideH w:val="nil"/>
          <w:insideV w:val="nil"/>
        </w:tcBorders>
        <w:shd w:val="clear" w:color="auto" w:fill="002A46"/>
      </w:tcPr>
    </w:tblStylePr>
    <w:tblStylePr w:type="lastCol">
      <w:tblPr/>
      <w:tcPr>
        <w:tcBorders>
          <w:top w:val="nil"/>
          <w:left w:val="single" w:sz="18" w:space="0" w:color="0072BC"/>
          <w:bottom w:val="nil"/>
          <w:right w:val="nil"/>
          <w:insideH w:val="nil"/>
          <w:insideV w:val="nil"/>
        </w:tcBorders>
        <w:shd w:val="clear" w:color="auto" w:fill="002A46"/>
      </w:tcPr>
    </w:tblStylePr>
    <w:tblStylePr w:type="band1Vert">
      <w:tblPr/>
      <w:tcPr>
        <w:tcBorders>
          <w:top w:val="nil"/>
          <w:left w:val="nil"/>
          <w:bottom w:val="nil"/>
          <w:right w:val="nil"/>
          <w:insideH w:val="nil"/>
          <w:insideV w:val="nil"/>
        </w:tcBorders>
        <w:shd w:val="clear" w:color="auto" w:fill="002A46"/>
      </w:tcPr>
    </w:tblStylePr>
    <w:tblStylePr w:type="band1Horz">
      <w:tblPr/>
      <w:tcPr>
        <w:tcBorders>
          <w:top w:val="nil"/>
          <w:left w:val="nil"/>
          <w:bottom w:val="nil"/>
          <w:right w:val="nil"/>
          <w:insideH w:val="nil"/>
          <w:insideV w:val="nil"/>
        </w:tcBorders>
        <w:shd w:val="clear" w:color="auto" w:fill="002A46"/>
      </w:tcPr>
    </w:tblStylePr>
  </w:style>
  <w:style w:type="table" w:customStyle="1" w:styleId="DarkList-Accent21">
    <w:name w:val="Dark List - Accent 21"/>
    <w:basedOn w:val="TableNormal"/>
    <w:next w:val="DarkList-Accent2"/>
    <w:uiPriority w:val="70"/>
    <w:semiHidden/>
    <w:rsid w:val="00D82EF2"/>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DarkList-Accent31">
    <w:name w:val="Dark List - Accent 31"/>
    <w:basedOn w:val="TableNormal"/>
    <w:next w:val="DarkList-Accent3"/>
    <w:uiPriority w:val="70"/>
    <w:semiHidden/>
    <w:rsid w:val="00D82EF2"/>
    <w:rPr>
      <w:color w:val="0072BC"/>
    </w:rPr>
    <w:tblPr>
      <w:tblStyleRowBandSize w:val="1"/>
      <w:tblStyleColBandSize w:val="1"/>
    </w:tblPr>
    <w:tcPr>
      <w:shd w:val="clear" w:color="auto" w:fill="00558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2A46"/>
      </w:tcPr>
    </w:tblStylePr>
    <w:tblStylePr w:type="firstCol">
      <w:tblPr/>
      <w:tcPr>
        <w:tcBorders>
          <w:top w:val="nil"/>
          <w:left w:val="nil"/>
          <w:bottom w:val="nil"/>
          <w:right w:val="single" w:sz="18" w:space="0" w:color="0072BC"/>
          <w:insideH w:val="nil"/>
          <w:insideV w:val="nil"/>
        </w:tcBorders>
        <w:shd w:val="clear" w:color="auto" w:fill="003F69"/>
      </w:tcPr>
    </w:tblStylePr>
    <w:tblStylePr w:type="lastCol">
      <w:tblPr/>
      <w:tcPr>
        <w:tcBorders>
          <w:top w:val="nil"/>
          <w:left w:val="single" w:sz="18" w:space="0" w:color="0072BC"/>
          <w:bottom w:val="nil"/>
          <w:right w:val="nil"/>
          <w:insideH w:val="nil"/>
          <w:insideV w:val="nil"/>
        </w:tcBorders>
        <w:shd w:val="clear" w:color="auto" w:fill="003F69"/>
      </w:tcPr>
    </w:tblStylePr>
    <w:tblStylePr w:type="band1Vert">
      <w:tblPr/>
      <w:tcPr>
        <w:tcBorders>
          <w:top w:val="nil"/>
          <w:left w:val="nil"/>
          <w:bottom w:val="nil"/>
          <w:right w:val="nil"/>
          <w:insideH w:val="nil"/>
          <w:insideV w:val="nil"/>
        </w:tcBorders>
        <w:shd w:val="clear" w:color="auto" w:fill="003F69"/>
      </w:tcPr>
    </w:tblStylePr>
    <w:tblStylePr w:type="band1Horz">
      <w:tblPr/>
      <w:tcPr>
        <w:tcBorders>
          <w:top w:val="nil"/>
          <w:left w:val="nil"/>
          <w:bottom w:val="nil"/>
          <w:right w:val="nil"/>
          <w:insideH w:val="nil"/>
          <w:insideV w:val="nil"/>
        </w:tcBorders>
        <w:shd w:val="clear" w:color="auto" w:fill="003F69"/>
      </w:tcPr>
    </w:tblStylePr>
  </w:style>
  <w:style w:type="table" w:customStyle="1" w:styleId="DarkList-Accent41">
    <w:name w:val="Dark List - Accent 41"/>
    <w:basedOn w:val="TableNormal"/>
    <w:next w:val="DarkList-Accent4"/>
    <w:uiPriority w:val="70"/>
    <w:semiHidden/>
    <w:rsid w:val="00D82EF2"/>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DarkList-Accent51">
    <w:name w:val="Dark List - Accent 51"/>
    <w:basedOn w:val="TableNormal"/>
    <w:next w:val="DarkList-Accent5"/>
    <w:uiPriority w:val="70"/>
    <w:semiHidden/>
    <w:rsid w:val="00D82EF2"/>
    <w:rPr>
      <w:color w:val="0072BC"/>
    </w:rPr>
    <w:tblPr>
      <w:tblStyleRowBandSize w:val="1"/>
      <w:tblStyleColBandSize w:val="1"/>
    </w:tblPr>
    <w:tcPr>
      <w:shd w:val="clear" w:color="auto" w:fill="6699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324C00"/>
      </w:tcPr>
    </w:tblStylePr>
    <w:tblStylePr w:type="firstCol">
      <w:tblPr/>
      <w:tcPr>
        <w:tcBorders>
          <w:top w:val="nil"/>
          <w:left w:val="nil"/>
          <w:bottom w:val="nil"/>
          <w:right w:val="single" w:sz="18" w:space="0" w:color="0072BC"/>
          <w:insideH w:val="nil"/>
          <w:insideV w:val="nil"/>
        </w:tcBorders>
        <w:shd w:val="clear" w:color="auto" w:fill="4C7200"/>
      </w:tcPr>
    </w:tblStylePr>
    <w:tblStylePr w:type="lastCol">
      <w:tblPr/>
      <w:tcPr>
        <w:tcBorders>
          <w:top w:val="nil"/>
          <w:left w:val="single" w:sz="18" w:space="0" w:color="0072BC"/>
          <w:bottom w:val="nil"/>
          <w:right w:val="nil"/>
          <w:insideH w:val="nil"/>
          <w:insideV w:val="nil"/>
        </w:tcBorders>
        <w:shd w:val="clear" w:color="auto" w:fill="4C7200"/>
      </w:tcPr>
    </w:tblStylePr>
    <w:tblStylePr w:type="band1Vert">
      <w:tblPr/>
      <w:tcPr>
        <w:tcBorders>
          <w:top w:val="nil"/>
          <w:left w:val="nil"/>
          <w:bottom w:val="nil"/>
          <w:right w:val="nil"/>
          <w:insideH w:val="nil"/>
          <w:insideV w:val="nil"/>
        </w:tcBorders>
        <w:shd w:val="clear" w:color="auto" w:fill="4C7200"/>
      </w:tcPr>
    </w:tblStylePr>
    <w:tblStylePr w:type="band1Horz">
      <w:tblPr/>
      <w:tcPr>
        <w:tcBorders>
          <w:top w:val="nil"/>
          <w:left w:val="nil"/>
          <w:bottom w:val="nil"/>
          <w:right w:val="nil"/>
          <w:insideH w:val="nil"/>
          <w:insideV w:val="nil"/>
        </w:tcBorders>
        <w:shd w:val="clear" w:color="auto" w:fill="4C7200"/>
      </w:tcPr>
    </w:tblStylePr>
  </w:style>
  <w:style w:type="table" w:customStyle="1" w:styleId="DarkList-Accent61">
    <w:name w:val="Dark List - Accent 61"/>
    <w:basedOn w:val="TableNormal"/>
    <w:next w:val="DarkList-Accent6"/>
    <w:uiPriority w:val="70"/>
    <w:semiHidden/>
    <w:rsid w:val="00D82EF2"/>
    <w:rPr>
      <w:color w:val="0072BC"/>
    </w:rPr>
    <w:tblPr>
      <w:tblStyleRowBandSize w:val="1"/>
      <w:tblStyleColBandSize w:val="1"/>
    </w:tblPr>
    <w:tcPr>
      <w:shd w:val="clear" w:color="auto" w:fill="EB5605"/>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742A02"/>
      </w:tcPr>
    </w:tblStylePr>
    <w:tblStylePr w:type="firstCol">
      <w:tblPr/>
      <w:tcPr>
        <w:tcBorders>
          <w:top w:val="nil"/>
          <w:left w:val="nil"/>
          <w:bottom w:val="nil"/>
          <w:right w:val="single" w:sz="18" w:space="0" w:color="0072BC"/>
          <w:insideH w:val="nil"/>
          <w:insideV w:val="nil"/>
        </w:tcBorders>
        <w:shd w:val="clear" w:color="auto" w:fill="AF3F03"/>
      </w:tcPr>
    </w:tblStylePr>
    <w:tblStylePr w:type="lastCol">
      <w:tblPr/>
      <w:tcPr>
        <w:tcBorders>
          <w:top w:val="nil"/>
          <w:left w:val="single" w:sz="18" w:space="0" w:color="0072BC"/>
          <w:bottom w:val="nil"/>
          <w:right w:val="nil"/>
          <w:insideH w:val="nil"/>
          <w:insideV w:val="nil"/>
        </w:tcBorders>
        <w:shd w:val="clear" w:color="auto" w:fill="AF3F03"/>
      </w:tcPr>
    </w:tblStylePr>
    <w:tblStylePr w:type="band1Vert">
      <w:tblPr/>
      <w:tcPr>
        <w:tcBorders>
          <w:top w:val="nil"/>
          <w:left w:val="nil"/>
          <w:bottom w:val="nil"/>
          <w:right w:val="nil"/>
          <w:insideH w:val="nil"/>
          <w:insideV w:val="nil"/>
        </w:tcBorders>
        <w:shd w:val="clear" w:color="auto" w:fill="AF3F03"/>
      </w:tcPr>
    </w:tblStylePr>
    <w:tblStylePr w:type="band1Horz">
      <w:tblPr/>
      <w:tcPr>
        <w:tcBorders>
          <w:top w:val="nil"/>
          <w:left w:val="nil"/>
          <w:bottom w:val="nil"/>
          <w:right w:val="nil"/>
          <w:insideH w:val="nil"/>
          <w:insideV w:val="nil"/>
        </w:tcBorders>
        <w:shd w:val="clear" w:color="auto" w:fill="AF3F03"/>
      </w:tcPr>
    </w:tblStylePr>
  </w:style>
  <w:style w:type="numbering" w:customStyle="1" w:styleId="ECHRA1StyleBulletedSquare1">
    <w:name w:val="ECHR_A1_Style_Bulleted_Square1"/>
    <w:basedOn w:val="NoList"/>
    <w:rsid w:val="00D82EF2"/>
  </w:style>
  <w:style w:type="numbering" w:customStyle="1" w:styleId="ECHRA1StyleList1">
    <w:name w:val="ECHR_A1_Style_List1"/>
    <w:basedOn w:val="NoList"/>
    <w:uiPriority w:val="99"/>
    <w:rsid w:val="00D82EF2"/>
  </w:style>
  <w:style w:type="numbering" w:customStyle="1" w:styleId="ECHRA1StyleNumberedList1">
    <w:name w:val="ECHR_A1_Style_Numbered_List1"/>
    <w:basedOn w:val="NoList"/>
    <w:rsid w:val="00D82EF2"/>
  </w:style>
  <w:style w:type="table" w:customStyle="1" w:styleId="ECHRDNTable1">
    <w:name w:val="ECHR_DN_Table1"/>
    <w:basedOn w:val="TableNormal"/>
    <w:uiPriority w:val="99"/>
    <w:rsid w:val="00D82EF2"/>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003F69"/>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table" w:customStyle="1" w:styleId="ECHRHeaderTable1">
    <w:name w:val="ECHR_Header_Table1"/>
    <w:basedOn w:val="TableNormal"/>
    <w:uiPriority w:val="99"/>
    <w:rsid w:val="00D82EF2"/>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HeaderTableReduced1">
    <w:name w:val="ECHR_Header_Table_Reduced1"/>
    <w:basedOn w:val="TableNormal"/>
    <w:uiPriority w:val="99"/>
    <w:rsid w:val="00D82EF2"/>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table" w:customStyle="1" w:styleId="ECHRLtrTableAddress1">
    <w:name w:val="ECHR_Ltr_Table_Address1"/>
    <w:basedOn w:val="TableNormal"/>
    <w:uiPriority w:val="99"/>
    <w:rsid w:val="00D82EF2"/>
    <w:tblPr>
      <w:tblInd w:w="5103" w:type="dxa"/>
    </w:tblPr>
  </w:style>
  <w:style w:type="table" w:customStyle="1" w:styleId="ECHRPCFTableStyle1">
    <w:name w:val="ECHR_PCF_Table_Style1"/>
    <w:basedOn w:val="TableNormal"/>
    <w:uiPriority w:val="99"/>
    <w:rsid w:val="00D82EF2"/>
    <w:rPr>
      <w:color w:val="000000"/>
      <w:sz w:val="18"/>
    </w:rPr>
    <w:tblPr>
      <w:tblBorders>
        <w:top w:val="single" w:sz="8" w:space="0" w:color="21A6FF"/>
        <w:left w:val="single" w:sz="8" w:space="0" w:color="21A6FF"/>
        <w:bottom w:val="single" w:sz="8" w:space="0" w:color="21A6FF"/>
        <w:right w:val="single" w:sz="8" w:space="0" w:color="21A6FF"/>
        <w:insideH w:val="single" w:sz="8" w:space="0" w:color="21A6FF"/>
        <w:insideV w:val="single" w:sz="8" w:space="0" w:color="21A6F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395E"/>
        <w:vAlign w:val="center"/>
      </w:tcPr>
    </w:tblStylePr>
    <w:tblStylePr w:type="firstCol">
      <w:pPr>
        <w:jc w:val="left"/>
      </w:pPr>
      <w:tblPr/>
      <w:tcPr>
        <w:vAlign w:val="center"/>
      </w:tcPr>
    </w:tblStylePr>
  </w:style>
  <w:style w:type="table" w:customStyle="1" w:styleId="ECHRTable21">
    <w:name w:val="ECHR_Table_21"/>
    <w:basedOn w:val="TableNormal"/>
    <w:uiPriority w:val="99"/>
    <w:rsid w:val="00D82EF2"/>
    <w:pPr>
      <w:tabs>
        <w:tab w:val="left" w:pos="567"/>
        <w:tab w:val="left" w:pos="851"/>
        <w:tab w:val="right" w:pos="5273"/>
      </w:tabs>
    </w:pPr>
    <w:rPr>
      <w:color w:val="262626"/>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1">
    <w:name w:val="ECHR_Table_20161"/>
    <w:basedOn w:val="TableNormal"/>
    <w:uiPriority w:val="99"/>
    <w:rsid w:val="00D82EF2"/>
    <w:tblPr>
      <w:tblStyleRowBandSize w:val="1"/>
      <w:tblStyleColBandSize w:val="1"/>
      <w:jc w:val="center"/>
      <w:tblBorders>
        <w:top w:val="single" w:sz="4" w:space="0" w:color="00558D"/>
        <w:left w:val="single" w:sz="4" w:space="0" w:color="00558D"/>
        <w:bottom w:val="single" w:sz="4" w:space="0" w:color="00558D"/>
        <w:right w:val="single" w:sz="4" w:space="0" w:color="00558D"/>
        <w:insideH w:val="single" w:sz="4" w:space="0" w:color="00558D"/>
        <w:insideV w:val="single" w:sz="4" w:space="0" w:color="00558D"/>
      </w:tblBorders>
    </w:tblPr>
    <w:trPr>
      <w:jc w:val="center"/>
    </w:trPr>
    <w:tblStylePr w:type="firstRow">
      <w:rPr>
        <w:rFonts w:ascii="Times New Roman" w:hAnsi="Times New Roman"/>
        <w:b/>
        <w:i w:val="0"/>
        <w:color w:val="F8F8F8"/>
        <w:sz w:val="22"/>
      </w:rPr>
      <w:tblPr/>
      <w:trPr>
        <w:tblHeader/>
      </w:trPr>
      <w:tcPr>
        <w:tcBorders>
          <w:top w:val="single" w:sz="4" w:space="0" w:color="00558D"/>
          <w:left w:val="single" w:sz="4" w:space="0" w:color="00558D"/>
          <w:bottom w:val="single" w:sz="4" w:space="0" w:color="00558D"/>
          <w:right w:val="single" w:sz="4" w:space="0" w:color="00558D"/>
          <w:insideH w:val="single" w:sz="4" w:space="0" w:color="00558D"/>
          <w:insideV w:val="single" w:sz="4" w:space="0" w:color="F8F8F8"/>
          <w:tl2br w:val="nil"/>
          <w:tr2bl w:val="nil"/>
        </w:tcBorders>
        <w:shd w:val="clear" w:color="auto" w:fill="00558D"/>
      </w:tcPr>
    </w:tblStylePr>
    <w:tblStylePr w:type="lastRow">
      <w:rPr>
        <w:b/>
        <w:i w:val="0"/>
      </w:rPr>
      <w:tblPr/>
      <w:tcPr>
        <w:tcBorders>
          <w:top w:val="single" w:sz="8" w:space="0" w:color="00558D"/>
          <w:left w:val="single" w:sz="4" w:space="0" w:color="00558D"/>
          <w:bottom w:val="single" w:sz="8" w:space="0" w:color="00558D"/>
          <w:right w:val="single" w:sz="4" w:space="0" w:color="00558D"/>
          <w:insideH w:val="nil"/>
          <w:insideV w:val="single" w:sz="4" w:space="0" w:color="00558D"/>
          <w:tl2br w:val="nil"/>
          <w:tr2bl w:val="nil"/>
        </w:tcBorders>
      </w:tcPr>
    </w:tblStylePr>
    <w:tblStylePr w:type="firstCol">
      <w:rPr>
        <w:rFonts w:ascii="Times New Roman" w:hAnsi="Times New Roman"/>
        <w:b/>
        <w:i w:val="0"/>
        <w:color w:val="3E3E3E"/>
        <w:sz w:val="22"/>
      </w:rPr>
      <w:tblPr/>
      <w:tcPr>
        <w:tcBorders>
          <w:top w:val="single" w:sz="4" w:space="0" w:color="00558D"/>
          <w:left w:val="single" w:sz="4" w:space="0" w:color="00558D"/>
          <w:bottom w:val="single" w:sz="4" w:space="0" w:color="00558D"/>
          <w:right w:val="single" w:sz="4" w:space="0" w:color="00558D"/>
          <w:insideH w:val="nil"/>
          <w:insideV w:val="nil"/>
          <w:tl2br w:val="nil"/>
          <w:tr2bl w:val="nil"/>
        </w:tcBorders>
        <w:shd w:val="clear" w:color="auto" w:fill="E8E8E8"/>
      </w:tcPr>
    </w:tblStylePr>
    <w:tblStylePr w:type="lastCol">
      <w:rPr>
        <w:b/>
        <w:i w:val="0"/>
      </w:rPr>
    </w:tblStylePr>
    <w:tblStylePr w:type="band2Vert">
      <w:tblPr/>
      <w:tcPr>
        <w:tcBorders>
          <w:top w:val="single" w:sz="4" w:space="0" w:color="00558D"/>
          <w:left w:val="single" w:sz="4" w:space="0" w:color="00558D"/>
          <w:bottom w:val="single" w:sz="4" w:space="0" w:color="00558D"/>
          <w:right w:val="single" w:sz="4" w:space="0" w:color="00558D"/>
          <w:insideH w:val="nil"/>
          <w:insideV w:val="nil"/>
          <w:tl2br w:val="nil"/>
          <w:tr2bl w:val="nil"/>
        </w:tcBorders>
        <w:shd w:val="clear" w:color="auto" w:fill="E8E8E8"/>
      </w:tcPr>
    </w:tblStylePr>
    <w:tblStylePr w:type="band2Horz">
      <w:tblPr/>
      <w:tcPr>
        <w:tcBorders>
          <w:top w:val="single" w:sz="4" w:space="0" w:color="00395E"/>
          <w:left w:val="single" w:sz="4" w:space="0" w:color="00395E"/>
          <w:bottom w:val="single" w:sz="4" w:space="0" w:color="00395E"/>
          <w:right w:val="single" w:sz="4" w:space="0" w:color="00395E"/>
          <w:insideH w:val="single" w:sz="4" w:space="0" w:color="00395E"/>
          <w:insideV w:val="single" w:sz="4" w:space="0" w:color="00395E"/>
          <w:tl2br w:val="nil"/>
          <w:tr2bl w:val="nil"/>
        </w:tcBorders>
        <w:shd w:val="clear" w:color="auto" w:fill="E8E8E8"/>
      </w:tcPr>
    </w:tblStylePr>
  </w:style>
  <w:style w:type="table" w:customStyle="1" w:styleId="ECHRTable20191">
    <w:name w:val="ECHR_Table_20191"/>
    <w:basedOn w:val="TableNormal"/>
    <w:uiPriority w:val="99"/>
    <w:rsid w:val="00D82EF2"/>
    <w:tblPr>
      <w:tblStyleRowBandSize w:val="1"/>
      <w:tblStyleColBandSize w:val="1"/>
      <w:jc w:val="center"/>
      <w:tblBorders>
        <w:top w:val="single" w:sz="4" w:space="0" w:color="00558D"/>
        <w:left w:val="single" w:sz="4" w:space="0" w:color="00558D"/>
        <w:bottom w:val="single" w:sz="4" w:space="0" w:color="00558D"/>
        <w:right w:val="single" w:sz="4" w:space="0" w:color="00558D"/>
        <w:insideH w:val="single" w:sz="4" w:space="0" w:color="00558D"/>
        <w:insideV w:val="single" w:sz="4" w:space="0" w:color="00558D"/>
      </w:tblBorders>
    </w:tblPr>
    <w:trPr>
      <w:jc w:val="center"/>
    </w:trPr>
    <w:tblStylePr w:type="firstRow">
      <w:rPr>
        <w:rFonts w:ascii="Times New Roman" w:hAnsi="Times New Roman"/>
        <w:b/>
        <w:i w:val="0"/>
        <w:color w:val="auto"/>
        <w:sz w:val="22"/>
      </w:rPr>
      <w:tblPr/>
      <w:tcPr>
        <w:shd w:val="clear" w:color="auto" w:fill="B5E1FF"/>
      </w:tcPr>
    </w:tblStylePr>
    <w:tblStylePr w:type="lastRow">
      <w:rPr>
        <w:b/>
        <w:i w:val="0"/>
      </w:rPr>
      <w:tblPr/>
      <w:tcPr>
        <w:tcBorders>
          <w:top w:val="single" w:sz="8" w:space="0" w:color="00558D"/>
          <w:left w:val="single" w:sz="4" w:space="0" w:color="00558D"/>
          <w:bottom w:val="single" w:sz="8" w:space="0" w:color="00558D"/>
          <w:right w:val="single" w:sz="4" w:space="0" w:color="00558D"/>
          <w:insideH w:val="nil"/>
          <w:insideV w:val="single" w:sz="4" w:space="0" w:color="00558D"/>
          <w:tl2br w:val="nil"/>
          <w:tr2bl w:val="nil"/>
        </w:tcBorders>
      </w:tcPr>
    </w:tblStylePr>
    <w:tblStylePr w:type="firstCol">
      <w:rPr>
        <w:rFonts w:ascii="Times New Roman" w:hAnsi="Times New Roman"/>
        <w:b/>
        <w:i w:val="0"/>
        <w:color w:val="3E3E3E"/>
        <w:sz w:val="22"/>
      </w:rPr>
      <w:tblPr/>
      <w:tcPr>
        <w:tcBorders>
          <w:top w:val="single" w:sz="4" w:space="0" w:color="00558D"/>
          <w:left w:val="single" w:sz="4" w:space="0" w:color="00558D"/>
          <w:bottom w:val="single" w:sz="4" w:space="0" w:color="00558D"/>
          <w:right w:val="single" w:sz="4" w:space="0" w:color="00558D"/>
          <w:insideH w:val="nil"/>
          <w:insideV w:val="nil"/>
          <w:tl2br w:val="nil"/>
          <w:tr2bl w:val="nil"/>
        </w:tcBorders>
        <w:shd w:val="clear" w:color="auto" w:fill="F3F3F3"/>
      </w:tcPr>
    </w:tblStylePr>
    <w:tblStylePr w:type="lastCol">
      <w:rPr>
        <w:b/>
        <w:i w:val="0"/>
      </w:rPr>
    </w:tblStylePr>
    <w:tblStylePr w:type="band2Vert">
      <w:tblPr/>
      <w:tcPr>
        <w:tcBorders>
          <w:top w:val="single" w:sz="4" w:space="0" w:color="00558D"/>
          <w:left w:val="single" w:sz="4" w:space="0" w:color="00558D"/>
          <w:bottom w:val="single" w:sz="4" w:space="0" w:color="00558D"/>
          <w:right w:val="single" w:sz="4" w:space="0" w:color="00558D"/>
          <w:insideH w:val="nil"/>
          <w:insideV w:val="nil"/>
          <w:tl2br w:val="nil"/>
          <w:tr2bl w:val="nil"/>
        </w:tcBorders>
        <w:shd w:val="clear" w:color="auto" w:fill="F3F3F3"/>
      </w:tcPr>
    </w:tblStylePr>
    <w:tblStylePr w:type="band2Horz">
      <w:tblPr/>
      <w:tcPr>
        <w:tcBorders>
          <w:top w:val="single" w:sz="4" w:space="0" w:color="00558D"/>
          <w:left w:val="single" w:sz="4" w:space="0" w:color="00558D"/>
          <w:bottom w:val="single" w:sz="4" w:space="0" w:color="00558D"/>
          <w:right w:val="single" w:sz="4" w:space="0" w:color="00558D"/>
          <w:insideH w:val="single" w:sz="4" w:space="0" w:color="00558D"/>
          <w:insideV w:val="single" w:sz="4" w:space="0" w:color="00558D"/>
          <w:tl2br w:val="nil"/>
          <w:tr2bl w:val="nil"/>
        </w:tcBorders>
        <w:shd w:val="clear" w:color="auto" w:fill="F3F3F3"/>
      </w:tcPr>
    </w:tblStylePr>
  </w:style>
  <w:style w:type="table" w:customStyle="1" w:styleId="ECHRTableFax1">
    <w:name w:val="ECHR_Table_Fax1"/>
    <w:basedOn w:val="TableNormal"/>
    <w:uiPriority w:val="99"/>
    <w:rsid w:val="00D82EF2"/>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ForInternalUse1">
    <w:name w:val="ECHR_Table_For_Internal_Use1"/>
    <w:basedOn w:val="TableNormal"/>
    <w:uiPriority w:val="99"/>
    <w:rsid w:val="00D82EF2"/>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TableMemo1">
    <w:name w:val="ECHR_Table_Memo1"/>
    <w:basedOn w:val="TableNormal"/>
    <w:uiPriority w:val="99"/>
    <w:rsid w:val="00D82EF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TableNoLines1">
    <w:name w:val="ECHR_Table_No_Lines1"/>
    <w:basedOn w:val="TableNormal"/>
    <w:uiPriority w:val="99"/>
    <w:rsid w:val="00D82EF2"/>
    <w:tblPr>
      <w:tblCellMar>
        <w:top w:w="85" w:type="dxa"/>
        <w:left w:w="142" w:type="dxa"/>
        <w:bottom w:w="28" w:type="dxa"/>
        <w:right w:w="142" w:type="dxa"/>
      </w:tblCellMar>
    </w:tblPr>
    <w:tblStylePr w:type="firstRow">
      <w:rPr>
        <w:rFonts w:ascii="Times New Roman" w:hAnsi="Times New Roman"/>
        <w:b/>
        <w:i w:val="0"/>
        <w:color w:val="003F69"/>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SimpleBox1">
    <w:name w:val="ECHR_Table_Simple_Box1"/>
    <w:basedOn w:val="TableNormal"/>
    <w:uiPriority w:val="99"/>
    <w:rsid w:val="00D82EF2"/>
    <w:tblPr>
      <w:tblBorders>
        <w:top w:val="single" w:sz="4" w:space="0" w:color="21A6FF"/>
        <w:left w:val="single" w:sz="4" w:space="0" w:color="21A6FF"/>
        <w:bottom w:val="single" w:sz="4" w:space="0" w:color="21A6FF"/>
        <w:right w:val="single" w:sz="4" w:space="0" w:color="21A6FF"/>
      </w:tblBorders>
      <w:tblCellMar>
        <w:top w:w="113" w:type="dxa"/>
        <w:bottom w:w="113" w:type="dxa"/>
      </w:tblCellMar>
    </w:tblPr>
  </w:style>
  <w:style w:type="table" w:customStyle="1" w:styleId="ECHRUGTable1">
    <w:name w:val="ECHR_UG_Table1"/>
    <w:basedOn w:val="TableNormal"/>
    <w:uiPriority w:val="99"/>
    <w:rsid w:val="00D82EF2"/>
    <w:rPr>
      <w:rFonts w:eastAsia="Times New Roman"/>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ECHRUGTableWhiteBox1">
    <w:name w:val="ECHR_UG_Table_White_Box1"/>
    <w:basedOn w:val="TableNormal"/>
    <w:uiPriority w:val="99"/>
    <w:rsid w:val="00D82EF2"/>
    <w:rPr>
      <w:rFonts w:eastAsia="Times New Roman"/>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LightGrid1">
    <w:name w:val="Light Grid1"/>
    <w:basedOn w:val="TableNormal"/>
    <w:next w:val="LightGrid"/>
    <w:uiPriority w:val="62"/>
    <w:semiHidden/>
    <w:rsid w:val="00D82EF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next w:val="LightGrid-Accent1"/>
    <w:uiPriority w:val="62"/>
    <w:semiHidden/>
    <w:rsid w:val="00D82EF2"/>
    <w:tblPr>
      <w:tblStyleRowBandSize w:val="1"/>
      <w:tblStyleColBandSize w:val="1"/>
      <w:tblBorders>
        <w:top w:val="single" w:sz="8" w:space="0" w:color="00395E"/>
        <w:left w:val="single" w:sz="8" w:space="0" w:color="00395E"/>
        <w:bottom w:val="single" w:sz="8" w:space="0" w:color="00395E"/>
        <w:right w:val="single" w:sz="8" w:space="0" w:color="00395E"/>
        <w:insideH w:val="single" w:sz="8" w:space="0" w:color="00395E"/>
        <w:insideV w:val="single" w:sz="8" w:space="0" w:color="00395E"/>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395E"/>
          <w:left w:val="single" w:sz="8" w:space="0" w:color="00395E"/>
          <w:bottom w:val="single" w:sz="18" w:space="0" w:color="00395E"/>
          <w:right w:val="single" w:sz="8" w:space="0" w:color="00395E"/>
          <w:insideH w:val="nil"/>
          <w:insideV w:val="single" w:sz="8" w:space="0" w:color="00395E"/>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395E"/>
          <w:left w:val="single" w:sz="8" w:space="0" w:color="00395E"/>
          <w:bottom w:val="single" w:sz="8" w:space="0" w:color="00395E"/>
          <w:right w:val="single" w:sz="8" w:space="0" w:color="00395E"/>
          <w:insideH w:val="nil"/>
          <w:insideV w:val="single" w:sz="8" w:space="0" w:color="00395E"/>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395E"/>
          <w:left w:val="single" w:sz="8" w:space="0" w:color="00395E"/>
          <w:bottom w:val="single" w:sz="8" w:space="0" w:color="00395E"/>
          <w:right w:val="single" w:sz="8" w:space="0" w:color="00395E"/>
        </w:tcBorders>
      </w:tcPr>
    </w:tblStylePr>
    <w:tblStylePr w:type="band1Vert">
      <w:tblPr/>
      <w:tcPr>
        <w:tcBorders>
          <w:top w:val="single" w:sz="8" w:space="0" w:color="00395E"/>
          <w:left w:val="single" w:sz="8" w:space="0" w:color="00395E"/>
          <w:bottom w:val="single" w:sz="8" w:space="0" w:color="00395E"/>
          <w:right w:val="single" w:sz="8" w:space="0" w:color="00395E"/>
        </w:tcBorders>
        <w:shd w:val="clear" w:color="auto" w:fill="98D6FF"/>
      </w:tcPr>
    </w:tblStylePr>
    <w:tblStylePr w:type="band1Horz">
      <w:tblPr/>
      <w:tcPr>
        <w:tcBorders>
          <w:top w:val="single" w:sz="8" w:space="0" w:color="00395E"/>
          <w:left w:val="single" w:sz="8" w:space="0" w:color="00395E"/>
          <w:bottom w:val="single" w:sz="8" w:space="0" w:color="00395E"/>
          <w:right w:val="single" w:sz="8" w:space="0" w:color="00395E"/>
          <w:insideV w:val="single" w:sz="8" w:space="0" w:color="00395E"/>
        </w:tcBorders>
        <w:shd w:val="clear" w:color="auto" w:fill="98D6FF"/>
      </w:tcPr>
    </w:tblStylePr>
    <w:tblStylePr w:type="band2Horz">
      <w:tblPr/>
      <w:tcPr>
        <w:tcBorders>
          <w:top w:val="single" w:sz="8" w:space="0" w:color="00395E"/>
          <w:left w:val="single" w:sz="8" w:space="0" w:color="00395E"/>
          <w:bottom w:val="single" w:sz="8" w:space="0" w:color="00395E"/>
          <w:right w:val="single" w:sz="8" w:space="0" w:color="00395E"/>
          <w:insideV w:val="single" w:sz="8" w:space="0" w:color="00395E"/>
        </w:tcBorders>
      </w:tcPr>
    </w:tblStylePr>
  </w:style>
  <w:style w:type="table" w:customStyle="1" w:styleId="LightGrid-Accent21">
    <w:name w:val="Light Grid - Accent 21"/>
    <w:basedOn w:val="TableNormal"/>
    <w:next w:val="LightGrid-Accent2"/>
    <w:uiPriority w:val="62"/>
    <w:semiHidden/>
    <w:rsid w:val="00D82EF2"/>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LightGrid-Accent31">
    <w:name w:val="Light Grid - Accent 31"/>
    <w:basedOn w:val="TableNormal"/>
    <w:next w:val="LightGrid-Accent3"/>
    <w:uiPriority w:val="62"/>
    <w:semiHidden/>
    <w:rsid w:val="00D82EF2"/>
    <w:tblPr>
      <w:tblStyleRowBandSize w:val="1"/>
      <w:tblStyleColBandSize w:val="1"/>
      <w:tblBorders>
        <w:top w:val="single" w:sz="8" w:space="0" w:color="00558D"/>
        <w:left w:val="single" w:sz="8" w:space="0" w:color="00558D"/>
        <w:bottom w:val="single" w:sz="8" w:space="0" w:color="00558D"/>
        <w:right w:val="single" w:sz="8" w:space="0" w:color="00558D"/>
        <w:insideH w:val="single" w:sz="8" w:space="0" w:color="00558D"/>
        <w:insideV w:val="single" w:sz="8" w:space="0" w:color="00558D"/>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558D"/>
          <w:left w:val="single" w:sz="8" w:space="0" w:color="00558D"/>
          <w:bottom w:val="single" w:sz="18" w:space="0" w:color="00558D"/>
          <w:right w:val="single" w:sz="8" w:space="0" w:color="00558D"/>
          <w:insideH w:val="nil"/>
          <w:insideV w:val="single" w:sz="8" w:space="0" w:color="00558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558D"/>
          <w:left w:val="single" w:sz="8" w:space="0" w:color="00558D"/>
          <w:bottom w:val="single" w:sz="8" w:space="0" w:color="00558D"/>
          <w:right w:val="single" w:sz="8" w:space="0" w:color="00558D"/>
          <w:insideH w:val="nil"/>
          <w:insideV w:val="single" w:sz="8" w:space="0" w:color="00558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558D"/>
          <w:left w:val="single" w:sz="8" w:space="0" w:color="00558D"/>
          <w:bottom w:val="single" w:sz="8" w:space="0" w:color="00558D"/>
          <w:right w:val="single" w:sz="8" w:space="0" w:color="00558D"/>
        </w:tcBorders>
      </w:tcPr>
    </w:tblStylePr>
    <w:tblStylePr w:type="band1Vert">
      <w:tblPr/>
      <w:tcPr>
        <w:tcBorders>
          <w:top w:val="single" w:sz="8" w:space="0" w:color="00558D"/>
          <w:left w:val="single" w:sz="8" w:space="0" w:color="00558D"/>
          <w:bottom w:val="single" w:sz="8" w:space="0" w:color="00558D"/>
          <w:right w:val="single" w:sz="8" w:space="0" w:color="00558D"/>
        </w:tcBorders>
        <w:shd w:val="clear" w:color="auto" w:fill="A3DAFF"/>
      </w:tcPr>
    </w:tblStylePr>
    <w:tblStylePr w:type="band1Horz">
      <w:tblPr/>
      <w:tcPr>
        <w:tcBorders>
          <w:top w:val="single" w:sz="8" w:space="0" w:color="00558D"/>
          <w:left w:val="single" w:sz="8" w:space="0" w:color="00558D"/>
          <w:bottom w:val="single" w:sz="8" w:space="0" w:color="00558D"/>
          <w:right w:val="single" w:sz="8" w:space="0" w:color="00558D"/>
          <w:insideV w:val="single" w:sz="8" w:space="0" w:color="00558D"/>
        </w:tcBorders>
        <w:shd w:val="clear" w:color="auto" w:fill="A3DAFF"/>
      </w:tcPr>
    </w:tblStylePr>
    <w:tblStylePr w:type="band2Horz">
      <w:tblPr/>
      <w:tcPr>
        <w:tcBorders>
          <w:top w:val="single" w:sz="8" w:space="0" w:color="00558D"/>
          <w:left w:val="single" w:sz="8" w:space="0" w:color="00558D"/>
          <w:bottom w:val="single" w:sz="8" w:space="0" w:color="00558D"/>
          <w:right w:val="single" w:sz="8" w:space="0" w:color="00558D"/>
          <w:insideV w:val="single" w:sz="8" w:space="0" w:color="00558D"/>
        </w:tcBorders>
      </w:tcPr>
    </w:tblStylePr>
  </w:style>
  <w:style w:type="table" w:customStyle="1" w:styleId="LightGrid-Accent41">
    <w:name w:val="Light Grid - Accent 41"/>
    <w:basedOn w:val="TableNormal"/>
    <w:next w:val="LightGrid-Accent4"/>
    <w:uiPriority w:val="62"/>
    <w:semiHidden/>
    <w:rsid w:val="00D82EF2"/>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LightGrid-Accent51">
    <w:name w:val="Light Grid - Accent 51"/>
    <w:basedOn w:val="TableNormal"/>
    <w:next w:val="LightGrid-Accent5"/>
    <w:uiPriority w:val="62"/>
    <w:semiHidden/>
    <w:rsid w:val="00D82EF2"/>
    <w:tblPr>
      <w:tblStyleRowBandSize w:val="1"/>
      <w:tblStyleColBandSize w:val="1"/>
      <w:tblBorders>
        <w:top w:val="single" w:sz="8" w:space="0" w:color="669900"/>
        <w:left w:val="single" w:sz="8" w:space="0" w:color="669900"/>
        <w:bottom w:val="single" w:sz="8" w:space="0" w:color="669900"/>
        <w:right w:val="single" w:sz="8" w:space="0" w:color="669900"/>
        <w:insideH w:val="single" w:sz="8" w:space="0" w:color="669900"/>
        <w:insideV w:val="single" w:sz="8" w:space="0" w:color="6699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669900"/>
          <w:left w:val="single" w:sz="8" w:space="0" w:color="669900"/>
          <w:bottom w:val="single" w:sz="18" w:space="0" w:color="669900"/>
          <w:right w:val="single" w:sz="8" w:space="0" w:color="669900"/>
          <w:insideH w:val="nil"/>
          <w:insideV w:val="single" w:sz="8" w:space="0" w:color="6699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669900"/>
          <w:left w:val="single" w:sz="8" w:space="0" w:color="669900"/>
          <w:bottom w:val="single" w:sz="8" w:space="0" w:color="669900"/>
          <w:right w:val="single" w:sz="8" w:space="0" w:color="669900"/>
          <w:insideH w:val="nil"/>
          <w:insideV w:val="single" w:sz="8" w:space="0" w:color="6699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669900"/>
          <w:left w:val="single" w:sz="8" w:space="0" w:color="669900"/>
          <w:bottom w:val="single" w:sz="8" w:space="0" w:color="669900"/>
          <w:right w:val="single" w:sz="8" w:space="0" w:color="669900"/>
        </w:tcBorders>
      </w:tcPr>
    </w:tblStylePr>
    <w:tblStylePr w:type="band1Vert">
      <w:tblPr/>
      <w:tcPr>
        <w:tcBorders>
          <w:top w:val="single" w:sz="8" w:space="0" w:color="669900"/>
          <w:left w:val="single" w:sz="8" w:space="0" w:color="669900"/>
          <w:bottom w:val="single" w:sz="8" w:space="0" w:color="669900"/>
          <w:right w:val="single" w:sz="8" w:space="0" w:color="669900"/>
        </w:tcBorders>
        <w:shd w:val="clear" w:color="auto" w:fill="E1FFA6"/>
      </w:tcPr>
    </w:tblStylePr>
    <w:tblStylePr w:type="band1Horz">
      <w:tblPr/>
      <w:tcPr>
        <w:tcBorders>
          <w:top w:val="single" w:sz="8" w:space="0" w:color="669900"/>
          <w:left w:val="single" w:sz="8" w:space="0" w:color="669900"/>
          <w:bottom w:val="single" w:sz="8" w:space="0" w:color="669900"/>
          <w:right w:val="single" w:sz="8" w:space="0" w:color="669900"/>
          <w:insideV w:val="single" w:sz="8" w:space="0" w:color="669900"/>
        </w:tcBorders>
        <w:shd w:val="clear" w:color="auto" w:fill="E1FFA6"/>
      </w:tcPr>
    </w:tblStylePr>
    <w:tblStylePr w:type="band2Horz">
      <w:tblPr/>
      <w:tcPr>
        <w:tcBorders>
          <w:top w:val="single" w:sz="8" w:space="0" w:color="669900"/>
          <w:left w:val="single" w:sz="8" w:space="0" w:color="669900"/>
          <w:bottom w:val="single" w:sz="8" w:space="0" w:color="669900"/>
          <w:right w:val="single" w:sz="8" w:space="0" w:color="669900"/>
          <w:insideV w:val="single" w:sz="8" w:space="0" w:color="669900"/>
        </w:tcBorders>
      </w:tcPr>
    </w:tblStylePr>
  </w:style>
  <w:style w:type="table" w:customStyle="1" w:styleId="LightGrid-Accent61">
    <w:name w:val="Light Grid - Accent 61"/>
    <w:basedOn w:val="TableNormal"/>
    <w:next w:val="LightGrid-Accent6"/>
    <w:uiPriority w:val="62"/>
    <w:semiHidden/>
    <w:rsid w:val="00D82EF2"/>
    <w:tblPr>
      <w:tblStyleRowBandSize w:val="1"/>
      <w:tblStyleColBandSize w:val="1"/>
      <w:tblBorders>
        <w:top w:val="single" w:sz="8" w:space="0" w:color="EB5605"/>
        <w:left w:val="single" w:sz="8" w:space="0" w:color="EB5605"/>
        <w:bottom w:val="single" w:sz="8" w:space="0" w:color="EB5605"/>
        <w:right w:val="single" w:sz="8" w:space="0" w:color="EB5605"/>
        <w:insideH w:val="single" w:sz="8" w:space="0" w:color="EB5605"/>
        <w:insideV w:val="single" w:sz="8" w:space="0" w:color="EB5605"/>
      </w:tblBorders>
    </w:tblPr>
    <w:tblStylePr w:type="firstRow">
      <w:pPr>
        <w:spacing w:before="0" w:after="0" w:line="240" w:lineRule="auto"/>
      </w:pPr>
      <w:rPr>
        <w:rFonts w:ascii="Times New Roman" w:eastAsia="Times New Roman" w:hAnsi="Times New Roman" w:cs="Times New Roman"/>
        <w:b/>
        <w:bCs/>
      </w:rPr>
      <w:tblPr/>
      <w:tcPr>
        <w:tcBorders>
          <w:top w:val="single" w:sz="8" w:space="0" w:color="EB5605"/>
          <w:left w:val="single" w:sz="8" w:space="0" w:color="EB5605"/>
          <w:bottom w:val="single" w:sz="18" w:space="0" w:color="EB5605"/>
          <w:right w:val="single" w:sz="8" w:space="0" w:color="EB5605"/>
          <w:insideH w:val="nil"/>
          <w:insideV w:val="single" w:sz="8" w:space="0" w:color="EB5605"/>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EB5605"/>
          <w:left w:val="single" w:sz="8" w:space="0" w:color="EB5605"/>
          <w:bottom w:val="single" w:sz="8" w:space="0" w:color="EB5605"/>
          <w:right w:val="single" w:sz="8" w:space="0" w:color="EB5605"/>
          <w:insideH w:val="nil"/>
          <w:insideV w:val="single" w:sz="8" w:space="0" w:color="EB5605"/>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EB5605"/>
          <w:left w:val="single" w:sz="8" w:space="0" w:color="EB5605"/>
          <w:bottom w:val="single" w:sz="8" w:space="0" w:color="EB5605"/>
          <w:right w:val="single" w:sz="8" w:space="0" w:color="EB5605"/>
        </w:tcBorders>
      </w:tcPr>
    </w:tblStylePr>
    <w:tblStylePr w:type="band1Vert">
      <w:tblPr/>
      <w:tcPr>
        <w:tcBorders>
          <w:top w:val="single" w:sz="8" w:space="0" w:color="EB5605"/>
          <w:left w:val="single" w:sz="8" w:space="0" w:color="EB5605"/>
          <w:bottom w:val="single" w:sz="8" w:space="0" w:color="EB5605"/>
          <w:right w:val="single" w:sz="8" w:space="0" w:color="EB5605"/>
        </w:tcBorders>
        <w:shd w:val="clear" w:color="auto" w:fill="FDD3BD"/>
      </w:tcPr>
    </w:tblStylePr>
    <w:tblStylePr w:type="band1Horz">
      <w:tblPr/>
      <w:tcPr>
        <w:tcBorders>
          <w:top w:val="single" w:sz="8" w:space="0" w:color="EB5605"/>
          <w:left w:val="single" w:sz="8" w:space="0" w:color="EB5605"/>
          <w:bottom w:val="single" w:sz="8" w:space="0" w:color="EB5605"/>
          <w:right w:val="single" w:sz="8" w:space="0" w:color="EB5605"/>
          <w:insideV w:val="single" w:sz="8" w:space="0" w:color="EB5605"/>
        </w:tcBorders>
        <w:shd w:val="clear" w:color="auto" w:fill="FDD3BD"/>
      </w:tcPr>
    </w:tblStylePr>
    <w:tblStylePr w:type="band2Horz">
      <w:tblPr/>
      <w:tcPr>
        <w:tcBorders>
          <w:top w:val="single" w:sz="8" w:space="0" w:color="EB5605"/>
          <w:left w:val="single" w:sz="8" w:space="0" w:color="EB5605"/>
          <w:bottom w:val="single" w:sz="8" w:space="0" w:color="EB5605"/>
          <w:right w:val="single" w:sz="8" w:space="0" w:color="EB5605"/>
          <w:insideV w:val="single" w:sz="8" w:space="0" w:color="EB5605"/>
        </w:tcBorders>
      </w:tcPr>
    </w:tblStylePr>
  </w:style>
  <w:style w:type="table" w:customStyle="1" w:styleId="LightList1">
    <w:name w:val="Light List1"/>
    <w:basedOn w:val="TableNormal"/>
    <w:next w:val="LightList"/>
    <w:uiPriority w:val="61"/>
    <w:semiHidden/>
    <w:rsid w:val="00D82EF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next w:val="LightList-Accent1"/>
    <w:uiPriority w:val="61"/>
    <w:semiHidden/>
    <w:rsid w:val="00D82EF2"/>
    <w:tblPr>
      <w:tblStyleRowBandSize w:val="1"/>
      <w:tblStyleColBandSize w:val="1"/>
      <w:tblBorders>
        <w:top w:val="single" w:sz="8" w:space="0" w:color="00395E"/>
        <w:left w:val="single" w:sz="8" w:space="0" w:color="00395E"/>
        <w:bottom w:val="single" w:sz="8" w:space="0" w:color="00395E"/>
        <w:right w:val="single" w:sz="8" w:space="0" w:color="00395E"/>
      </w:tblBorders>
    </w:tblPr>
    <w:tblStylePr w:type="firstRow">
      <w:pPr>
        <w:spacing w:before="0" w:after="0" w:line="240" w:lineRule="auto"/>
      </w:pPr>
      <w:rPr>
        <w:b/>
        <w:bCs/>
        <w:color w:val="0072BC"/>
      </w:rPr>
      <w:tblPr/>
      <w:tcPr>
        <w:shd w:val="clear" w:color="auto" w:fill="00395E"/>
      </w:tcPr>
    </w:tblStylePr>
    <w:tblStylePr w:type="lastRow">
      <w:pPr>
        <w:spacing w:before="0" w:after="0" w:line="240" w:lineRule="auto"/>
      </w:pPr>
      <w:rPr>
        <w:b/>
        <w:bCs/>
      </w:rPr>
      <w:tblPr/>
      <w:tcPr>
        <w:tcBorders>
          <w:top w:val="double" w:sz="6" w:space="0" w:color="00395E"/>
          <w:left w:val="single" w:sz="8" w:space="0" w:color="00395E"/>
          <w:bottom w:val="single" w:sz="8" w:space="0" w:color="00395E"/>
          <w:right w:val="single" w:sz="8" w:space="0" w:color="00395E"/>
        </w:tcBorders>
      </w:tcPr>
    </w:tblStylePr>
    <w:tblStylePr w:type="firstCol">
      <w:rPr>
        <w:b/>
        <w:bCs/>
      </w:rPr>
    </w:tblStylePr>
    <w:tblStylePr w:type="lastCol">
      <w:rPr>
        <w:b/>
        <w:bCs/>
      </w:rPr>
    </w:tblStylePr>
    <w:tblStylePr w:type="band1Vert">
      <w:tblPr/>
      <w:tcPr>
        <w:tcBorders>
          <w:top w:val="single" w:sz="8" w:space="0" w:color="00395E"/>
          <w:left w:val="single" w:sz="8" w:space="0" w:color="00395E"/>
          <w:bottom w:val="single" w:sz="8" w:space="0" w:color="00395E"/>
          <w:right w:val="single" w:sz="8" w:space="0" w:color="00395E"/>
        </w:tcBorders>
      </w:tcPr>
    </w:tblStylePr>
    <w:tblStylePr w:type="band1Horz">
      <w:tblPr/>
      <w:tcPr>
        <w:tcBorders>
          <w:top w:val="single" w:sz="8" w:space="0" w:color="00395E"/>
          <w:left w:val="single" w:sz="8" w:space="0" w:color="00395E"/>
          <w:bottom w:val="single" w:sz="8" w:space="0" w:color="00395E"/>
          <w:right w:val="single" w:sz="8" w:space="0" w:color="00395E"/>
        </w:tcBorders>
      </w:tcPr>
    </w:tblStylePr>
  </w:style>
  <w:style w:type="table" w:customStyle="1" w:styleId="LightList-Accent21">
    <w:name w:val="Light List - Accent 21"/>
    <w:basedOn w:val="TableNormal"/>
    <w:next w:val="LightList-Accent2"/>
    <w:uiPriority w:val="61"/>
    <w:semiHidden/>
    <w:rsid w:val="00D82EF2"/>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LightList-Accent31">
    <w:name w:val="Light List - Accent 31"/>
    <w:basedOn w:val="TableNormal"/>
    <w:next w:val="LightList-Accent3"/>
    <w:uiPriority w:val="61"/>
    <w:semiHidden/>
    <w:rsid w:val="00D82EF2"/>
    <w:tblPr>
      <w:tblStyleRowBandSize w:val="1"/>
      <w:tblStyleColBandSize w:val="1"/>
      <w:tblBorders>
        <w:top w:val="single" w:sz="8" w:space="0" w:color="00558D"/>
        <w:left w:val="single" w:sz="8" w:space="0" w:color="00558D"/>
        <w:bottom w:val="single" w:sz="8" w:space="0" w:color="00558D"/>
        <w:right w:val="single" w:sz="8" w:space="0" w:color="00558D"/>
      </w:tblBorders>
    </w:tblPr>
    <w:tblStylePr w:type="firstRow">
      <w:pPr>
        <w:spacing w:before="0" w:after="0" w:line="240" w:lineRule="auto"/>
      </w:pPr>
      <w:rPr>
        <w:b/>
        <w:bCs/>
        <w:color w:val="0072BC"/>
      </w:rPr>
      <w:tblPr/>
      <w:tcPr>
        <w:shd w:val="clear" w:color="auto" w:fill="00558D"/>
      </w:tcPr>
    </w:tblStylePr>
    <w:tblStylePr w:type="lastRow">
      <w:pPr>
        <w:spacing w:before="0" w:after="0" w:line="240" w:lineRule="auto"/>
      </w:pPr>
      <w:rPr>
        <w:b/>
        <w:bCs/>
      </w:rPr>
      <w:tblPr/>
      <w:tcPr>
        <w:tcBorders>
          <w:top w:val="double" w:sz="6" w:space="0" w:color="00558D"/>
          <w:left w:val="single" w:sz="8" w:space="0" w:color="00558D"/>
          <w:bottom w:val="single" w:sz="8" w:space="0" w:color="00558D"/>
          <w:right w:val="single" w:sz="8" w:space="0" w:color="00558D"/>
        </w:tcBorders>
      </w:tcPr>
    </w:tblStylePr>
    <w:tblStylePr w:type="firstCol">
      <w:rPr>
        <w:b/>
        <w:bCs/>
      </w:rPr>
    </w:tblStylePr>
    <w:tblStylePr w:type="lastCol">
      <w:rPr>
        <w:b/>
        <w:bCs/>
      </w:rPr>
    </w:tblStylePr>
    <w:tblStylePr w:type="band1Vert">
      <w:tblPr/>
      <w:tcPr>
        <w:tcBorders>
          <w:top w:val="single" w:sz="8" w:space="0" w:color="00558D"/>
          <w:left w:val="single" w:sz="8" w:space="0" w:color="00558D"/>
          <w:bottom w:val="single" w:sz="8" w:space="0" w:color="00558D"/>
          <w:right w:val="single" w:sz="8" w:space="0" w:color="00558D"/>
        </w:tcBorders>
      </w:tcPr>
    </w:tblStylePr>
    <w:tblStylePr w:type="band1Horz">
      <w:tblPr/>
      <w:tcPr>
        <w:tcBorders>
          <w:top w:val="single" w:sz="8" w:space="0" w:color="00558D"/>
          <w:left w:val="single" w:sz="8" w:space="0" w:color="00558D"/>
          <w:bottom w:val="single" w:sz="8" w:space="0" w:color="00558D"/>
          <w:right w:val="single" w:sz="8" w:space="0" w:color="00558D"/>
        </w:tcBorders>
      </w:tcPr>
    </w:tblStylePr>
  </w:style>
  <w:style w:type="table" w:customStyle="1" w:styleId="LightList-Accent41">
    <w:name w:val="Light List - Accent 41"/>
    <w:basedOn w:val="TableNormal"/>
    <w:next w:val="LightList-Accent4"/>
    <w:uiPriority w:val="61"/>
    <w:semiHidden/>
    <w:rsid w:val="00D82EF2"/>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LightList-Accent51">
    <w:name w:val="Light List - Accent 51"/>
    <w:basedOn w:val="TableNormal"/>
    <w:next w:val="LightList-Accent5"/>
    <w:uiPriority w:val="61"/>
    <w:semiHidden/>
    <w:rsid w:val="00D82EF2"/>
    <w:tblPr>
      <w:tblStyleRowBandSize w:val="1"/>
      <w:tblStyleColBandSize w:val="1"/>
      <w:tblBorders>
        <w:top w:val="single" w:sz="8" w:space="0" w:color="669900"/>
        <w:left w:val="single" w:sz="8" w:space="0" w:color="669900"/>
        <w:bottom w:val="single" w:sz="8" w:space="0" w:color="669900"/>
        <w:right w:val="single" w:sz="8" w:space="0" w:color="669900"/>
      </w:tblBorders>
    </w:tblPr>
    <w:tblStylePr w:type="firstRow">
      <w:pPr>
        <w:spacing w:before="0" w:after="0" w:line="240" w:lineRule="auto"/>
      </w:pPr>
      <w:rPr>
        <w:b/>
        <w:bCs/>
        <w:color w:val="0072BC"/>
      </w:rPr>
      <w:tblPr/>
      <w:tcPr>
        <w:shd w:val="clear" w:color="auto" w:fill="669900"/>
      </w:tcPr>
    </w:tblStylePr>
    <w:tblStylePr w:type="lastRow">
      <w:pPr>
        <w:spacing w:before="0" w:after="0" w:line="240" w:lineRule="auto"/>
      </w:pPr>
      <w:rPr>
        <w:b/>
        <w:bCs/>
      </w:rPr>
      <w:tblPr/>
      <w:tcPr>
        <w:tcBorders>
          <w:top w:val="double" w:sz="6" w:space="0" w:color="669900"/>
          <w:left w:val="single" w:sz="8" w:space="0" w:color="669900"/>
          <w:bottom w:val="single" w:sz="8" w:space="0" w:color="669900"/>
          <w:right w:val="single" w:sz="8" w:space="0" w:color="669900"/>
        </w:tcBorders>
      </w:tcPr>
    </w:tblStylePr>
    <w:tblStylePr w:type="firstCol">
      <w:rPr>
        <w:b/>
        <w:bCs/>
      </w:rPr>
    </w:tblStylePr>
    <w:tblStylePr w:type="lastCol">
      <w:rPr>
        <w:b/>
        <w:bCs/>
      </w:rPr>
    </w:tblStylePr>
    <w:tblStylePr w:type="band1Vert">
      <w:tblPr/>
      <w:tcPr>
        <w:tcBorders>
          <w:top w:val="single" w:sz="8" w:space="0" w:color="669900"/>
          <w:left w:val="single" w:sz="8" w:space="0" w:color="669900"/>
          <w:bottom w:val="single" w:sz="8" w:space="0" w:color="669900"/>
          <w:right w:val="single" w:sz="8" w:space="0" w:color="669900"/>
        </w:tcBorders>
      </w:tcPr>
    </w:tblStylePr>
    <w:tblStylePr w:type="band1Horz">
      <w:tblPr/>
      <w:tcPr>
        <w:tcBorders>
          <w:top w:val="single" w:sz="8" w:space="0" w:color="669900"/>
          <w:left w:val="single" w:sz="8" w:space="0" w:color="669900"/>
          <w:bottom w:val="single" w:sz="8" w:space="0" w:color="669900"/>
          <w:right w:val="single" w:sz="8" w:space="0" w:color="669900"/>
        </w:tcBorders>
      </w:tcPr>
    </w:tblStylePr>
  </w:style>
  <w:style w:type="table" w:customStyle="1" w:styleId="LightList-Accent61">
    <w:name w:val="Light List - Accent 61"/>
    <w:basedOn w:val="TableNormal"/>
    <w:next w:val="LightList-Accent6"/>
    <w:uiPriority w:val="61"/>
    <w:semiHidden/>
    <w:rsid w:val="00D82EF2"/>
    <w:tblPr>
      <w:tblStyleRowBandSize w:val="1"/>
      <w:tblStyleColBandSize w:val="1"/>
      <w:tblBorders>
        <w:top w:val="single" w:sz="8" w:space="0" w:color="EB5605"/>
        <w:left w:val="single" w:sz="8" w:space="0" w:color="EB5605"/>
        <w:bottom w:val="single" w:sz="8" w:space="0" w:color="EB5605"/>
        <w:right w:val="single" w:sz="8" w:space="0" w:color="EB5605"/>
      </w:tblBorders>
    </w:tblPr>
    <w:tblStylePr w:type="firstRow">
      <w:pPr>
        <w:spacing w:before="0" w:after="0" w:line="240" w:lineRule="auto"/>
      </w:pPr>
      <w:rPr>
        <w:b/>
        <w:bCs/>
        <w:color w:val="0072BC"/>
      </w:rPr>
      <w:tblPr/>
      <w:tcPr>
        <w:shd w:val="clear" w:color="auto" w:fill="EB5605"/>
      </w:tcPr>
    </w:tblStylePr>
    <w:tblStylePr w:type="lastRow">
      <w:pPr>
        <w:spacing w:before="0" w:after="0" w:line="240" w:lineRule="auto"/>
      </w:pPr>
      <w:rPr>
        <w:b/>
        <w:bCs/>
      </w:rPr>
      <w:tblPr/>
      <w:tcPr>
        <w:tcBorders>
          <w:top w:val="double" w:sz="6" w:space="0" w:color="EB5605"/>
          <w:left w:val="single" w:sz="8" w:space="0" w:color="EB5605"/>
          <w:bottom w:val="single" w:sz="8" w:space="0" w:color="EB5605"/>
          <w:right w:val="single" w:sz="8" w:space="0" w:color="EB5605"/>
        </w:tcBorders>
      </w:tcPr>
    </w:tblStylePr>
    <w:tblStylePr w:type="firstCol">
      <w:rPr>
        <w:b/>
        <w:bCs/>
      </w:rPr>
    </w:tblStylePr>
    <w:tblStylePr w:type="lastCol">
      <w:rPr>
        <w:b/>
        <w:bCs/>
      </w:rPr>
    </w:tblStylePr>
    <w:tblStylePr w:type="band1Vert">
      <w:tblPr/>
      <w:tcPr>
        <w:tcBorders>
          <w:top w:val="single" w:sz="8" w:space="0" w:color="EB5605"/>
          <w:left w:val="single" w:sz="8" w:space="0" w:color="EB5605"/>
          <w:bottom w:val="single" w:sz="8" w:space="0" w:color="EB5605"/>
          <w:right w:val="single" w:sz="8" w:space="0" w:color="EB5605"/>
        </w:tcBorders>
      </w:tcPr>
    </w:tblStylePr>
    <w:tblStylePr w:type="band1Horz">
      <w:tblPr/>
      <w:tcPr>
        <w:tcBorders>
          <w:top w:val="single" w:sz="8" w:space="0" w:color="EB5605"/>
          <w:left w:val="single" w:sz="8" w:space="0" w:color="EB5605"/>
          <w:bottom w:val="single" w:sz="8" w:space="0" w:color="EB5605"/>
          <w:right w:val="single" w:sz="8" w:space="0" w:color="EB5605"/>
        </w:tcBorders>
      </w:tcPr>
    </w:tblStylePr>
  </w:style>
  <w:style w:type="table" w:customStyle="1" w:styleId="LightShading1">
    <w:name w:val="Light Shading1"/>
    <w:basedOn w:val="TableNormal"/>
    <w:next w:val="LightShading"/>
    <w:uiPriority w:val="60"/>
    <w:rsid w:val="00D82EF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semiHidden/>
    <w:rsid w:val="00D82EF2"/>
    <w:rPr>
      <w:color w:val="002A46"/>
    </w:rPr>
    <w:tblPr>
      <w:tblStyleRowBandSize w:val="1"/>
      <w:tblStyleColBandSize w:val="1"/>
      <w:tblBorders>
        <w:top w:val="single" w:sz="8" w:space="0" w:color="00395E"/>
        <w:bottom w:val="single" w:sz="8" w:space="0" w:color="00395E"/>
      </w:tblBorders>
    </w:tblPr>
    <w:tblStylePr w:type="firstRow">
      <w:pPr>
        <w:spacing w:before="0" w:after="0" w:line="240" w:lineRule="auto"/>
      </w:pPr>
      <w:rPr>
        <w:b/>
        <w:bCs/>
      </w:rPr>
      <w:tblPr/>
      <w:tcPr>
        <w:tcBorders>
          <w:top w:val="single" w:sz="8" w:space="0" w:color="00395E"/>
          <w:left w:val="nil"/>
          <w:bottom w:val="single" w:sz="8" w:space="0" w:color="00395E"/>
          <w:right w:val="nil"/>
          <w:insideH w:val="nil"/>
          <w:insideV w:val="nil"/>
        </w:tcBorders>
      </w:tcPr>
    </w:tblStylePr>
    <w:tblStylePr w:type="lastRow">
      <w:pPr>
        <w:spacing w:before="0" w:after="0" w:line="240" w:lineRule="auto"/>
      </w:pPr>
      <w:rPr>
        <w:b/>
        <w:bCs/>
      </w:rPr>
      <w:tblPr/>
      <w:tcPr>
        <w:tcBorders>
          <w:top w:val="single" w:sz="8" w:space="0" w:color="00395E"/>
          <w:left w:val="nil"/>
          <w:bottom w:val="single" w:sz="8" w:space="0" w:color="00395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8D6FF"/>
      </w:tcPr>
    </w:tblStylePr>
    <w:tblStylePr w:type="band1Horz">
      <w:tblPr/>
      <w:tcPr>
        <w:tcBorders>
          <w:left w:val="nil"/>
          <w:right w:val="nil"/>
          <w:insideH w:val="nil"/>
          <w:insideV w:val="nil"/>
        </w:tcBorders>
        <w:shd w:val="clear" w:color="auto" w:fill="98D6FF"/>
      </w:tcPr>
    </w:tblStylePr>
  </w:style>
  <w:style w:type="table" w:customStyle="1" w:styleId="LightShading-Accent21">
    <w:name w:val="Light Shading - Accent 21"/>
    <w:basedOn w:val="TableNormal"/>
    <w:next w:val="LightShading-Accent2"/>
    <w:uiPriority w:val="60"/>
    <w:semiHidden/>
    <w:rsid w:val="00D82EF2"/>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LightShading-Accent31">
    <w:name w:val="Light Shading - Accent 31"/>
    <w:basedOn w:val="TableNormal"/>
    <w:next w:val="LightShading-Accent3"/>
    <w:uiPriority w:val="60"/>
    <w:semiHidden/>
    <w:rsid w:val="00D82EF2"/>
    <w:rPr>
      <w:color w:val="003F69"/>
    </w:rPr>
    <w:tblPr>
      <w:tblStyleRowBandSize w:val="1"/>
      <w:tblStyleColBandSize w:val="1"/>
      <w:tblBorders>
        <w:top w:val="single" w:sz="8" w:space="0" w:color="00558D"/>
        <w:bottom w:val="single" w:sz="8" w:space="0" w:color="00558D"/>
      </w:tblBorders>
    </w:tblPr>
    <w:tblStylePr w:type="firstRow">
      <w:pPr>
        <w:spacing w:before="0" w:after="0" w:line="240" w:lineRule="auto"/>
      </w:pPr>
      <w:rPr>
        <w:b/>
        <w:bCs/>
      </w:rPr>
      <w:tblPr/>
      <w:tcPr>
        <w:tcBorders>
          <w:top w:val="single" w:sz="8" w:space="0" w:color="00558D"/>
          <w:left w:val="nil"/>
          <w:bottom w:val="single" w:sz="8" w:space="0" w:color="00558D"/>
          <w:right w:val="nil"/>
          <w:insideH w:val="nil"/>
          <w:insideV w:val="nil"/>
        </w:tcBorders>
      </w:tcPr>
    </w:tblStylePr>
    <w:tblStylePr w:type="lastRow">
      <w:pPr>
        <w:spacing w:before="0" w:after="0" w:line="240" w:lineRule="auto"/>
      </w:pPr>
      <w:rPr>
        <w:b/>
        <w:bCs/>
      </w:rPr>
      <w:tblPr/>
      <w:tcPr>
        <w:tcBorders>
          <w:top w:val="single" w:sz="8" w:space="0" w:color="00558D"/>
          <w:left w:val="nil"/>
          <w:bottom w:val="single" w:sz="8" w:space="0" w:color="00558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3DAFF"/>
      </w:tcPr>
    </w:tblStylePr>
    <w:tblStylePr w:type="band1Horz">
      <w:tblPr/>
      <w:tcPr>
        <w:tcBorders>
          <w:left w:val="nil"/>
          <w:right w:val="nil"/>
          <w:insideH w:val="nil"/>
          <w:insideV w:val="nil"/>
        </w:tcBorders>
        <w:shd w:val="clear" w:color="auto" w:fill="A3DAFF"/>
      </w:tcPr>
    </w:tblStylePr>
  </w:style>
  <w:style w:type="table" w:customStyle="1" w:styleId="LightShading-Accent41">
    <w:name w:val="Light Shading - Accent 41"/>
    <w:basedOn w:val="TableNormal"/>
    <w:next w:val="LightShading-Accent4"/>
    <w:uiPriority w:val="60"/>
    <w:semiHidden/>
    <w:rsid w:val="00D82EF2"/>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LightShading-Accent51">
    <w:name w:val="Light Shading - Accent 51"/>
    <w:basedOn w:val="TableNormal"/>
    <w:next w:val="LightShading-Accent5"/>
    <w:uiPriority w:val="60"/>
    <w:semiHidden/>
    <w:rsid w:val="00D82EF2"/>
    <w:rPr>
      <w:color w:val="4C7200"/>
    </w:rPr>
    <w:tblPr>
      <w:tblStyleRowBandSize w:val="1"/>
      <w:tblStyleColBandSize w:val="1"/>
      <w:tblBorders>
        <w:top w:val="single" w:sz="8" w:space="0" w:color="669900"/>
        <w:bottom w:val="single" w:sz="8" w:space="0" w:color="669900"/>
      </w:tblBorders>
    </w:tblPr>
    <w:tblStylePr w:type="firstRow">
      <w:pPr>
        <w:spacing w:before="0" w:after="0" w:line="240" w:lineRule="auto"/>
      </w:pPr>
      <w:rPr>
        <w:b/>
        <w:bCs/>
      </w:rPr>
      <w:tblPr/>
      <w:tcPr>
        <w:tcBorders>
          <w:top w:val="single" w:sz="8" w:space="0" w:color="669900"/>
          <w:left w:val="nil"/>
          <w:bottom w:val="single" w:sz="8" w:space="0" w:color="669900"/>
          <w:right w:val="nil"/>
          <w:insideH w:val="nil"/>
          <w:insideV w:val="nil"/>
        </w:tcBorders>
      </w:tcPr>
    </w:tblStylePr>
    <w:tblStylePr w:type="lastRow">
      <w:pPr>
        <w:spacing w:before="0" w:after="0" w:line="240" w:lineRule="auto"/>
      </w:pPr>
      <w:rPr>
        <w:b/>
        <w:bCs/>
      </w:rPr>
      <w:tblPr/>
      <w:tcPr>
        <w:tcBorders>
          <w:top w:val="single" w:sz="8" w:space="0" w:color="669900"/>
          <w:left w:val="nil"/>
          <w:bottom w:val="single" w:sz="8" w:space="0" w:color="6699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FA6"/>
      </w:tcPr>
    </w:tblStylePr>
    <w:tblStylePr w:type="band1Horz">
      <w:tblPr/>
      <w:tcPr>
        <w:tcBorders>
          <w:left w:val="nil"/>
          <w:right w:val="nil"/>
          <w:insideH w:val="nil"/>
          <w:insideV w:val="nil"/>
        </w:tcBorders>
        <w:shd w:val="clear" w:color="auto" w:fill="E1FFA6"/>
      </w:tcPr>
    </w:tblStylePr>
  </w:style>
  <w:style w:type="table" w:customStyle="1" w:styleId="LightShading-Accent61">
    <w:name w:val="Light Shading - Accent 61"/>
    <w:basedOn w:val="TableNormal"/>
    <w:next w:val="LightShading-Accent6"/>
    <w:uiPriority w:val="60"/>
    <w:semiHidden/>
    <w:rsid w:val="00D82EF2"/>
    <w:rPr>
      <w:color w:val="AF3F03"/>
    </w:rPr>
    <w:tblPr>
      <w:tblStyleRowBandSize w:val="1"/>
      <w:tblStyleColBandSize w:val="1"/>
      <w:tblBorders>
        <w:top w:val="single" w:sz="8" w:space="0" w:color="EB5605"/>
        <w:bottom w:val="single" w:sz="8" w:space="0" w:color="EB5605"/>
      </w:tblBorders>
    </w:tblPr>
    <w:tblStylePr w:type="firstRow">
      <w:pPr>
        <w:spacing w:before="0" w:after="0" w:line="240" w:lineRule="auto"/>
      </w:pPr>
      <w:rPr>
        <w:b/>
        <w:bCs/>
      </w:rPr>
      <w:tblPr/>
      <w:tcPr>
        <w:tcBorders>
          <w:top w:val="single" w:sz="8" w:space="0" w:color="EB5605"/>
          <w:left w:val="nil"/>
          <w:bottom w:val="single" w:sz="8" w:space="0" w:color="EB5605"/>
          <w:right w:val="nil"/>
          <w:insideH w:val="nil"/>
          <w:insideV w:val="nil"/>
        </w:tcBorders>
      </w:tcPr>
    </w:tblStylePr>
    <w:tblStylePr w:type="lastRow">
      <w:pPr>
        <w:spacing w:before="0" w:after="0" w:line="240" w:lineRule="auto"/>
      </w:pPr>
      <w:rPr>
        <w:b/>
        <w:bCs/>
      </w:rPr>
      <w:tblPr/>
      <w:tcPr>
        <w:tcBorders>
          <w:top w:val="single" w:sz="8" w:space="0" w:color="EB5605"/>
          <w:left w:val="nil"/>
          <w:bottom w:val="single" w:sz="8" w:space="0" w:color="EB560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D3BD"/>
      </w:tcPr>
    </w:tblStylePr>
    <w:tblStylePr w:type="band1Horz">
      <w:tblPr/>
      <w:tcPr>
        <w:tcBorders>
          <w:left w:val="nil"/>
          <w:right w:val="nil"/>
          <w:insideH w:val="nil"/>
          <w:insideV w:val="nil"/>
        </w:tcBorders>
        <w:shd w:val="clear" w:color="auto" w:fill="FDD3BD"/>
      </w:tcPr>
    </w:tblStylePr>
  </w:style>
  <w:style w:type="table" w:customStyle="1" w:styleId="MediumGrid11">
    <w:name w:val="Medium Grid 11"/>
    <w:basedOn w:val="TableNormal"/>
    <w:next w:val="MediumGrid1"/>
    <w:uiPriority w:val="67"/>
    <w:semiHidden/>
    <w:rsid w:val="00D82EF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TableNormal"/>
    <w:next w:val="MediumGrid1-Accent1"/>
    <w:uiPriority w:val="67"/>
    <w:semiHidden/>
    <w:rsid w:val="00D82EF2"/>
    <w:tblPr>
      <w:tblStyleRowBandSize w:val="1"/>
      <w:tblStyleColBandSize w:val="1"/>
      <w:tblBorders>
        <w:top w:val="single" w:sz="8" w:space="0" w:color="0077C6"/>
        <w:left w:val="single" w:sz="8" w:space="0" w:color="0077C6"/>
        <w:bottom w:val="single" w:sz="8" w:space="0" w:color="0077C6"/>
        <w:right w:val="single" w:sz="8" w:space="0" w:color="0077C6"/>
        <w:insideH w:val="single" w:sz="8" w:space="0" w:color="0077C6"/>
        <w:insideV w:val="single" w:sz="8" w:space="0" w:color="0077C6"/>
      </w:tblBorders>
    </w:tblPr>
    <w:tcPr>
      <w:shd w:val="clear" w:color="auto" w:fill="98D6FF"/>
    </w:tcPr>
    <w:tblStylePr w:type="firstRow">
      <w:rPr>
        <w:b/>
        <w:bCs/>
      </w:rPr>
    </w:tblStylePr>
    <w:tblStylePr w:type="lastRow">
      <w:rPr>
        <w:b/>
        <w:bCs/>
      </w:rPr>
      <w:tblPr/>
      <w:tcPr>
        <w:tcBorders>
          <w:top w:val="single" w:sz="18" w:space="0" w:color="0077C6"/>
        </w:tcBorders>
      </w:tcPr>
    </w:tblStylePr>
    <w:tblStylePr w:type="firstCol">
      <w:rPr>
        <w:b/>
        <w:bCs/>
      </w:rPr>
    </w:tblStylePr>
    <w:tblStylePr w:type="lastCol">
      <w:rPr>
        <w:b/>
        <w:bCs/>
      </w:rPr>
    </w:tblStylePr>
    <w:tblStylePr w:type="band1Vert">
      <w:tblPr/>
      <w:tcPr>
        <w:shd w:val="clear" w:color="auto" w:fill="2FACFF"/>
      </w:tcPr>
    </w:tblStylePr>
    <w:tblStylePr w:type="band1Horz">
      <w:tblPr/>
      <w:tcPr>
        <w:shd w:val="clear" w:color="auto" w:fill="2FACFF"/>
      </w:tcPr>
    </w:tblStylePr>
  </w:style>
  <w:style w:type="table" w:customStyle="1" w:styleId="MediumGrid1-Accent21">
    <w:name w:val="Medium Grid 1 - Accent 21"/>
    <w:basedOn w:val="TableNormal"/>
    <w:next w:val="MediumGrid1-Accent2"/>
    <w:uiPriority w:val="67"/>
    <w:semiHidden/>
    <w:rsid w:val="00D82EF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MediumGrid1-Accent31">
    <w:name w:val="Medium Grid 1 - Accent 31"/>
    <w:basedOn w:val="TableNormal"/>
    <w:next w:val="MediumGrid1-Accent3"/>
    <w:uiPriority w:val="67"/>
    <w:semiHidden/>
    <w:rsid w:val="00D82EF2"/>
    <w:tblPr>
      <w:tblStyleRowBandSize w:val="1"/>
      <w:tblStyleColBandSize w:val="1"/>
      <w:tblBorders>
        <w:top w:val="single" w:sz="8" w:space="0" w:color="008CE9"/>
        <w:left w:val="single" w:sz="8" w:space="0" w:color="008CE9"/>
        <w:bottom w:val="single" w:sz="8" w:space="0" w:color="008CE9"/>
        <w:right w:val="single" w:sz="8" w:space="0" w:color="008CE9"/>
        <w:insideH w:val="single" w:sz="8" w:space="0" w:color="008CE9"/>
        <w:insideV w:val="single" w:sz="8" w:space="0" w:color="008CE9"/>
      </w:tblBorders>
    </w:tblPr>
    <w:tcPr>
      <w:shd w:val="clear" w:color="auto" w:fill="A3DAFF"/>
    </w:tcPr>
    <w:tblStylePr w:type="firstRow">
      <w:rPr>
        <w:b/>
        <w:bCs/>
      </w:rPr>
    </w:tblStylePr>
    <w:tblStylePr w:type="lastRow">
      <w:rPr>
        <w:b/>
        <w:bCs/>
      </w:rPr>
      <w:tblPr/>
      <w:tcPr>
        <w:tcBorders>
          <w:top w:val="single" w:sz="18" w:space="0" w:color="008CE9"/>
        </w:tcBorders>
      </w:tcPr>
    </w:tblStylePr>
    <w:tblStylePr w:type="firstCol">
      <w:rPr>
        <w:b/>
        <w:bCs/>
      </w:rPr>
    </w:tblStylePr>
    <w:tblStylePr w:type="lastCol">
      <w:rPr>
        <w:b/>
        <w:bCs/>
      </w:rPr>
    </w:tblStylePr>
    <w:tblStylePr w:type="band1Vert">
      <w:tblPr/>
      <w:tcPr>
        <w:shd w:val="clear" w:color="auto" w:fill="47B5FF"/>
      </w:tcPr>
    </w:tblStylePr>
    <w:tblStylePr w:type="band1Horz">
      <w:tblPr/>
      <w:tcPr>
        <w:shd w:val="clear" w:color="auto" w:fill="47B5FF"/>
      </w:tcPr>
    </w:tblStylePr>
  </w:style>
  <w:style w:type="table" w:customStyle="1" w:styleId="MediumGrid1-Accent41">
    <w:name w:val="Medium Grid 1 - Accent 41"/>
    <w:basedOn w:val="TableNormal"/>
    <w:next w:val="MediumGrid1-Accent4"/>
    <w:uiPriority w:val="67"/>
    <w:semiHidden/>
    <w:rsid w:val="00D82EF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MediumGrid1-Accent51">
    <w:name w:val="Medium Grid 1 - Accent 51"/>
    <w:basedOn w:val="TableNormal"/>
    <w:next w:val="MediumGrid1-Accent5"/>
    <w:uiPriority w:val="67"/>
    <w:semiHidden/>
    <w:rsid w:val="00D82EF2"/>
    <w:tblPr>
      <w:tblStyleRowBandSize w:val="1"/>
      <w:tblStyleColBandSize w:val="1"/>
      <w:tblBorders>
        <w:top w:val="single" w:sz="8" w:space="0" w:color="A1F200"/>
        <w:left w:val="single" w:sz="8" w:space="0" w:color="A1F200"/>
        <w:bottom w:val="single" w:sz="8" w:space="0" w:color="A1F200"/>
        <w:right w:val="single" w:sz="8" w:space="0" w:color="A1F200"/>
        <w:insideH w:val="single" w:sz="8" w:space="0" w:color="A1F200"/>
        <w:insideV w:val="single" w:sz="8" w:space="0" w:color="A1F200"/>
      </w:tblBorders>
    </w:tblPr>
    <w:tcPr>
      <w:shd w:val="clear" w:color="auto" w:fill="E1FFA6"/>
    </w:tcPr>
    <w:tblStylePr w:type="firstRow">
      <w:rPr>
        <w:b/>
        <w:bCs/>
      </w:rPr>
    </w:tblStylePr>
    <w:tblStylePr w:type="lastRow">
      <w:rPr>
        <w:b/>
        <w:bCs/>
      </w:rPr>
      <w:tblPr/>
      <w:tcPr>
        <w:tcBorders>
          <w:top w:val="single" w:sz="18" w:space="0" w:color="A1F200"/>
        </w:tcBorders>
      </w:tcPr>
    </w:tblStylePr>
    <w:tblStylePr w:type="firstCol">
      <w:rPr>
        <w:b/>
        <w:bCs/>
      </w:rPr>
    </w:tblStylePr>
    <w:tblStylePr w:type="lastCol">
      <w:rPr>
        <w:b/>
        <w:bCs/>
      </w:rPr>
    </w:tblStylePr>
    <w:tblStylePr w:type="band1Vert">
      <w:tblPr/>
      <w:tcPr>
        <w:shd w:val="clear" w:color="auto" w:fill="C3FF4D"/>
      </w:tcPr>
    </w:tblStylePr>
    <w:tblStylePr w:type="band1Horz">
      <w:tblPr/>
      <w:tcPr>
        <w:shd w:val="clear" w:color="auto" w:fill="C3FF4D"/>
      </w:tcPr>
    </w:tblStylePr>
  </w:style>
  <w:style w:type="table" w:customStyle="1" w:styleId="MediumGrid1-Accent61">
    <w:name w:val="Medium Grid 1 - Accent 61"/>
    <w:basedOn w:val="TableNormal"/>
    <w:next w:val="MediumGrid1-Accent6"/>
    <w:uiPriority w:val="67"/>
    <w:semiHidden/>
    <w:rsid w:val="00D82EF2"/>
    <w:tblPr>
      <w:tblStyleRowBandSize w:val="1"/>
      <w:tblStyleColBandSize w:val="1"/>
      <w:tblBorders>
        <w:top w:val="single" w:sz="8" w:space="0" w:color="FA7C38"/>
        <w:left w:val="single" w:sz="8" w:space="0" w:color="FA7C38"/>
        <w:bottom w:val="single" w:sz="8" w:space="0" w:color="FA7C38"/>
        <w:right w:val="single" w:sz="8" w:space="0" w:color="FA7C38"/>
        <w:insideH w:val="single" w:sz="8" w:space="0" w:color="FA7C38"/>
        <w:insideV w:val="single" w:sz="8" w:space="0" w:color="FA7C38"/>
      </w:tblBorders>
    </w:tblPr>
    <w:tcPr>
      <w:shd w:val="clear" w:color="auto" w:fill="FDD3BD"/>
    </w:tcPr>
    <w:tblStylePr w:type="firstRow">
      <w:rPr>
        <w:b/>
        <w:bCs/>
      </w:rPr>
    </w:tblStylePr>
    <w:tblStylePr w:type="lastRow">
      <w:rPr>
        <w:b/>
        <w:bCs/>
      </w:rPr>
      <w:tblPr/>
      <w:tcPr>
        <w:tcBorders>
          <w:top w:val="single" w:sz="18" w:space="0" w:color="FA7C38"/>
        </w:tcBorders>
      </w:tcPr>
    </w:tblStylePr>
    <w:tblStylePr w:type="firstCol">
      <w:rPr>
        <w:b/>
        <w:bCs/>
      </w:rPr>
    </w:tblStylePr>
    <w:tblStylePr w:type="lastCol">
      <w:rPr>
        <w:b/>
        <w:bCs/>
      </w:rPr>
    </w:tblStylePr>
    <w:tblStylePr w:type="band1Vert">
      <w:tblPr/>
      <w:tcPr>
        <w:shd w:val="clear" w:color="auto" w:fill="FCA87B"/>
      </w:tcPr>
    </w:tblStylePr>
    <w:tblStylePr w:type="band1Horz">
      <w:tblPr/>
      <w:tcPr>
        <w:shd w:val="clear" w:color="auto" w:fill="FCA87B"/>
      </w:tcPr>
    </w:tblStylePr>
  </w:style>
  <w:style w:type="table" w:customStyle="1" w:styleId="MediumGrid21">
    <w:name w:val="Medium Grid 21"/>
    <w:basedOn w:val="TableNormal"/>
    <w:next w:val="MediumGrid2"/>
    <w:uiPriority w:val="68"/>
    <w:semiHidden/>
    <w:rsid w:val="00D82EF2"/>
    <w:rPr>
      <w:rFonts w:ascii="Times New Roman" w:eastAsia="Times New Roman" w:hAnsi="Times New Roman"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2-Accent11">
    <w:name w:val="Medium Grid 2 - Accent 11"/>
    <w:basedOn w:val="TableNormal"/>
    <w:next w:val="MediumGrid2-Accent1"/>
    <w:uiPriority w:val="68"/>
    <w:semiHidden/>
    <w:rsid w:val="00D82EF2"/>
    <w:rPr>
      <w:rFonts w:ascii="Times New Roman" w:eastAsia="Times New Roman" w:hAnsi="Times New Roman" w:cs="Times New Roman"/>
      <w:color w:val="000000"/>
    </w:rPr>
    <w:tblPr>
      <w:tblStyleRowBandSize w:val="1"/>
      <w:tblStyleColBandSize w:val="1"/>
      <w:tblBorders>
        <w:top w:val="single" w:sz="8" w:space="0" w:color="00395E"/>
        <w:left w:val="single" w:sz="8" w:space="0" w:color="00395E"/>
        <w:bottom w:val="single" w:sz="8" w:space="0" w:color="00395E"/>
        <w:right w:val="single" w:sz="8" w:space="0" w:color="00395E"/>
        <w:insideH w:val="single" w:sz="8" w:space="0" w:color="00395E"/>
        <w:insideV w:val="single" w:sz="8" w:space="0" w:color="00395E"/>
      </w:tblBorders>
    </w:tblPr>
    <w:tcPr>
      <w:shd w:val="clear" w:color="auto" w:fill="98D6FF"/>
    </w:tcPr>
    <w:tblStylePr w:type="firstRow">
      <w:rPr>
        <w:b/>
        <w:bCs/>
        <w:color w:val="000000"/>
      </w:rPr>
      <w:tblPr/>
      <w:tcPr>
        <w:shd w:val="clear" w:color="auto" w:fill="D6EE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ABDDFF"/>
      </w:tcPr>
    </w:tblStylePr>
    <w:tblStylePr w:type="band1Vert">
      <w:tblPr/>
      <w:tcPr>
        <w:shd w:val="clear" w:color="auto" w:fill="2FACFF"/>
      </w:tcPr>
    </w:tblStylePr>
    <w:tblStylePr w:type="band1Horz">
      <w:tblPr/>
      <w:tcPr>
        <w:tcBorders>
          <w:insideH w:val="single" w:sz="6" w:space="0" w:color="00395E"/>
          <w:insideV w:val="single" w:sz="6" w:space="0" w:color="00395E"/>
        </w:tcBorders>
        <w:shd w:val="clear" w:color="auto" w:fill="2FACFF"/>
      </w:tcPr>
    </w:tblStylePr>
    <w:tblStylePr w:type="nwCell">
      <w:tblPr/>
      <w:tcPr>
        <w:shd w:val="clear" w:color="auto" w:fill="0072BC"/>
      </w:tcPr>
    </w:tblStylePr>
  </w:style>
  <w:style w:type="table" w:customStyle="1" w:styleId="MediumGrid2-Accent21">
    <w:name w:val="Medium Grid 2 - Accent 21"/>
    <w:basedOn w:val="TableNormal"/>
    <w:next w:val="MediumGrid2-Accent2"/>
    <w:uiPriority w:val="68"/>
    <w:semiHidden/>
    <w:rsid w:val="00D82EF2"/>
    <w:rPr>
      <w:rFonts w:ascii="Times New Roman" w:eastAsia="Times New Roman" w:hAnsi="Times New Roman" w:cs="Times New Roman"/>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MediumGrid2-Accent31">
    <w:name w:val="Medium Grid 2 - Accent 31"/>
    <w:basedOn w:val="TableNormal"/>
    <w:next w:val="MediumGrid2-Accent3"/>
    <w:uiPriority w:val="68"/>
    <w:semiHidden/>
    <w:rsid w:val="00D82EF2"/>
    <w:rPr>
      <w:rFonts w:ascii="Times New Roman" w:eastAsia="Times New Roman" w:hAnsi="Times New Roman" w:cs="Times New Roman"/>
      <w:color w:val="000000"/>
    </w:rPr>
    <w:tblPr>
      <w:tblStyleRowBandSize w:val="1"/>
      <w:tblStyleColBandSize w:val="1"/>
      <w:tblBorders>
        <w:top w:val="single" w:sz="8" w:space="0" w:color="00558D"/>
        <w:left w:val="single" w:sz="8" w:space="0" w:color="00558D"/>
        <w:bottom w:val="single" w:sz="8" w:space="0" w:color="00558D"/>
        <w:right w:val="single" w:sz="8" w:space="0" w:color="00558D"/>
        <w:insideH w:val="single" w:sz="8" w:space="0" w:color="00558D"/>
        <w:insideV w:val="single" w:sz="8" w:space="0" w:color="00558D"/>
      </w:tblBorders>
    </w:tblPr>
    <w:tcPr>
      <w:shd w:val="clear" w:color="auto" w:fill="A3DAFF"/>
    </w:tcPr>
    <w:tblStylePr w:type="firstRow">
      <w:rPr>
        <w:b/>
        <w:bCs/>
        <w:color w:val="000000"/>
      </w:rPr>
      <w:tblPr/>
      <w:tcPr>
        <w:shd w:val="clear" w:color="auto" w:fill="DAF0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5E1FF"/>
      </w:tcPr>
    </w:tblStylePr>
    <w:tblStylePr w:type="band1Vert">
      <w:tblPr/>
      <w:tcPr>
        <w:shd w:val="clear" w:color="auto" w:fill="47B5FF"/>
      </w:tcPr>
    </w:tblStylePr>
    <w:tblStylePr w:type="band1Horz">
      <w:tblPr/>
      <w:tcPr>
        <w:tcBorders>
          <w:insideH w:val="single" w:sz="6" w:space="0" w:color="00558D"/>
          <w:insideV w:val="single" w:sz="6" w:space="0" w:color="00558D"/>
        </w:tcBorders>
        <w:shd w:val="clear" w:color="auto" w:fill="47B5FF"/>
      </w:tcPr>
    </w:tblStylePr>
    <w:tblStylePr w:type="nwCell">
      <w:tblPr/>
      <w:tcPr>
        <w:shd w:val="clear" w:color="auto" w:fill="0072BC"/>
      </w:tcPr>
    </w:tblStylePr>
  </w:style>
  <w:style w:type="table" w:customStyle="1" w:styleId="MediumGrid2-Accent41">
    <w:name w:val="Medium Grid 2 - Accent 41"/>
    <w:basedOn w:val="TableNormal"/>
    <w:next w:val="MediumGrid2-Accent4"/>
    <w:uiPriority w:val="68"/>
    <w:semiHidden/>
    <w:rsid w:val="00D82EF2"/>
    <w:rPr>
      <w:rFonts w:ascii="Times New Roman" w:eastAsia="Times New Roman" w:hAnsi="Times New Roman" w:cs="Times New Roman"/>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MediumGrid2-Accent51">
    <w:name w:val="Medium Grid 2 - Accent 51"/>
    <w:basedOn w:val="TableNormal"/>
    <w:next w:val="MediumGrid2-Accent5"/>
    <w:uiPriority w:val="68"/>
    <w:semiHidden/>
    <w:rsid w:val="00D82EF2"/>
    <w:rPr>
      <w:rFonts w:ascii="Times New Roman" w:eastAsia="Times New Roman" w:hAnsi="Times New Roman" w:cs="Times New Roman"/>
      <w:color w:val="000000"/>
    </w:rPr>
    <w:tblPr>
      <w:tblStyleRowBandSize w:val="1"/>
      <w:tblStyleColBandSize w:val="1"/>
      <w:tblBorders>
        <w:top w:val="single" w:sz="8" w:space="0" w:color="669900"/>
        <w:left w:val="single" w:sz="8" w:space="0" w:color="669900"/>
        <w:bottom w:val="single" w:sz="8" w:space="0" w:color="669900"/>
        <w:right w:val="single" w:sz="8" w:space="0" w:color="669900"/>
        <w:insideH w:val="single" w:sz="8" w:space="0" w:color="669900"/>
        <w:insideV w:val="single" w:sz="8" w:space="0" w:color="669900"/>
      </w:tblBorders>
    </w:tblPr>
    <w:tcPr>
      <w:shd w:val="clear" w:color="auto" w:fill="E1FFA6"/>
    </w:tcPr>
    <w:tblStylePr w:type="firstRow">
      <w:rPr>
        <w:b/>
        <w:bCs/>
        <w:color w:val="000000"/>
      </w:rPr>
      <w:tblPr/>
      <w:tcPr>
        <w:shd w:val="clear" w:color="auto" w:fill="F3FFDC"/>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7FFB7"/>
      </w:tcPr>
    </w:tblStylePr>
    <w:tblStylePr w:type="band1Vert">
      <w:tblPr/>
      <w:tcPr>
        <w:shd w:val="clear" w:color="auto" w:fill="C3FF4D"/>
      </w:tcPr>
    </w:tblStylePr>
    <w:tblStylePr w:type="band1Horz">
      <w:tblPr/>
      <w:tcPr>
        <w:tcBorders>
          <w:insideH w:val="single" w:sz="6" w:space="0" w:color="669900"/>
          <w:insideV w:val="single" w:sz="6" w:space="0" w:color="669900"/>
        </w:tcBorders>
        <w:shd w:val="clear" w:color="auto" w:fill="C3FF4D"/>
      </w:tcPr>
    </w:tblStylePr>
    <w:tblStylePr w:type="nwCell">
      <w:tblPr/>
      <w:tcPr>
        <w:shd w:val="clear" w:color="auto" w:fill="0072BC"/>
      </w:tcPr>
    </w:tblStylePr>
  </w:style>
  <w:style w:type="table" w:customStyle="1" w:styleId="MediumGrid2-Accent61">
    <w:name w:val="Medium Grid 2 - Accent 61"/>
    <w:basedOn w:val="TableNormal"/>
    <w:next w:val="MediumGrid2-Accent6"/>
    <w:uiPriority w:val="68"/>
    <w:semiHidden/>
    <w:rsid w:val="00D82EF2"/>
    <w:rPr>
      <w:rFonts w:ascii="Times New Roman" w:eastAsia="Times New Roman" w:hAnsi="Times New Roman" w:cs="Times New Roman"/>
      <w:color w:val="000000"/>
    </w:rPr>
    <w:tblPr>
      <w:tblStyleRowBandSize w:val="1"/>
      <w:tblStyleColBandSize w:val="1"/>
      <w:tblBorders>
        <w:top w:val="single" w:sz="8" w:space="0" w:color="EB5605"/>
        <w:left w:val="single" w:sz="8" w:space="0" w:color="EB5605"/>
        <w:bottom w:val="single" w:sz="8" w:space="0" w:color="EB5605"/>
        <w:right w:val="single" w:sz="8" w:space="0" w:color="EB5605"/>
        <w:insideH w:val="single" w:sz="8" w:space="0" w:color="EB5605"/>
        <w:insideV w:val="single" w:sz="8" w:space="0" w:color="EB5605"/>
      </w:tblBorders>
    </w:tblPr>
    <w:tcPr>
      <w:shd w:val="clear" w:color="auto" w:fill="FDD3BD"/>
    </w:tcPr>
    <w:tblStylePr w:type="firstRow">
      <w:rPr>
        <w:b/>
        <w:bCs/>
        <w:color w:val="000000"/>
      </w:rPr>
      <w:tblPr/>
      <w:tcPr>
        <w:shd w:val="clear" w:color="auto" w:fill="FEEDE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EDCCA"/>
      </w:tcPr>
    </w:tblStylePr>
    <w:tblStylePr w:type="band1Vert">
      <w:tblPr/>
      <w:tcPr>
        <w:shd w:val="clear" w:color="auto" w:fill="FCA87B"/>
      </w:tcPr>
    </w:tblStylePr>
    <w:tblStylePr w:type="band1Horz">
      <w:tblPr/>
      <w:tcPr>
        <w:tcBorders>
          <w:insideH w:val="single" w:sz="6" w:space="0" w:color="EB5605"/>
          <w:insideV w:val="single" w:sz="6" w:space="0" w:color="EB5605"/>
        </w:tcBorders>
        <w:shd w:val="clear" w:color="auto" w:fill="FCA87B"/>
      </w:tcPr>
    </w:tblStylePr>
    <w:tblStylePr w:type="nwCell">
      <w:tblPr/>
      <w:tcPr>
        <w:shd w:val="clear" w:color="auto" w:fill="0072BC"/>
      </w:tcPr>
    </w:tblStylePr>
  </w:style>
  <w:style w:type="table" w:customStyle="1" w:styleId="MediumGrid31">
    <w:name w:val="Medium Grid 31"/>
    <w:basedOn w:val="TableNormal"/>
    <w:next w:val="MediumGrid3"/>
    <w:uiPriority w:val="69"/>
    <w:semiHidden/>
    <w:rsid w:val="00D82EF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Grid3-Accent11">
    <w:name w:val="Medium Grid 3 - Accent 11"/>
    <w:basedOn w:val="TableNormal"/>
    <w:next w:val="MediumGrid3-Accent1"/>
    <w:uiPriority w:val="69"/>
    <w:semiHidden/>
    <w:rsid w:val="00D82EF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98D6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395E"/>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395E"/>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395E"/>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395E"/>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2FAC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2FACFF"/>
      </w:tcPr>
    </w:tblStylePr>
  </w:style>
  <w:style w:type="table" w:customStyle="1" w:styleId="MediumGrid3-Accent21">
    <w:name w:val="Medium Grid 3 - Accent 21"/>
    <w:basedOn w:val="TableNormal"/>
    <w:next w:val="MediumGrid3-Accent2"/>
    <w:uiPriority w:val="69"/>
    <w:semiHidden/>
    <w:rsid w:val="00D82EF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MediumGrid3-Accent31">
    <w:name w:val="Medium Grid 3 - Accent 31"/>
    <w:basedOn w:val="TableNormal"/>
    <w:next w:val="MediumGrid3-Accent3"/>
    <w:uiPriority w:val="69"/>
    <w:semiHidden/>
    <w:rsid w:val="00D82EF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3DA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558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558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558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558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47B5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47B5FF"/>
      </w:tcPr>
    </w:tblStylePr>
  </w:style>
  <w:style w:type="table" w:customStyle="1" w:styleId="MediumGrid3-Accent41">
    <w:name w:val="Medium Grid 3 - Accent 41"/>
    <w:basedOn w:val="TableNormal"/>
    <w:next w:val="MediumGrid3-Accent4"/>
    <w:uiPriority w:val="69"/>
    <w:semiHidden/>
    <w:rsid w:val="00D82EF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MediumGrid3-Accent51">
    <w:name w:val="Medium Grid 3 - Accent 51"/>
    <w:basedOn w:val="TableNormal"/>
    <w:next w:val="MediumGrid3-Accent5"/>
    <w:uiPriority w:val="69"/>
    <w:semiHidden/>
    <w:rsid w:val="00D82EF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1FFA6"/>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6699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6699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6699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6699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3FF4D"/>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3FF4D"/>
      </w:tcPr>
    </w:tblStylePr>
  </w:style>
  <w:style w:type="table" w:customStyle="1" w:styleId="MediumGrid3-Accent61">
    <w:name w:val="Medium Grid 3 - Accent 61"/>
    <w:basedOn w:val="TableNormal"/>
    <w:next w:val="MediumGrid3-Accent6"/>
    <w:uiPriority w:val="69"/>
    <w:semiHidden/>
    <w:rsid w:val="00D82EF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DD3BD"/>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EB5605"/>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EB5605"/>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EB5605"/>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EB5605"/>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CA87B"/>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CA87B"/>
      </w:tcPr>
    </w:tblStylePr>
  </w:style>
  <w:style w:type="table" w:customStyle="1" w:styleId="MediumList11">
    <w:name w:val="Medium List 11"/>
    <w:basedOn w:val="TableNormal"/>
    <w:next w:val="MediumList1"/>
    <w:uiPriority w:val="65"/>
    <w:semiHidden/>
    <w:rsid w:val="00D82EF2"/>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next w:val="MediumList1-Accent1"/>
    <w:uiPriority w:val="65"/>
    <w:semiHidden/>
    <w:rsid w:val="00D82EF2"/>
    <w:rPr>
      <w:color w:val="000000"/>
    </w:rPr>
    <w:tblPr>
      <w:tblStyleRowBandSize w:val="1"/>
      <w:tblStyleColBandSize w:val="1"/>
      <w:tblBorders>
        <w:top w:val="single" w:sz="8" w:space="0" w:color="00395E"/>
        <w:bottom w:val="single" w:sz="8" w:space="0" w:color="00395E"/>
      </w:tblBorders>
    </w:tblPr>
    <w:tblStylePr w:type="firstRow">
      <w:rPr>
        <w:rFonts w:ascii="Times New Roman" w:eastAsia="Times New Roman" w:hAnsi="Times New Roman" w:cs="Times New Roman"/>
      </w:rPr>
      <w:tblPr/>
      <w:tcPr>
        <w:tcBorders>
          <w:top w:val="nil"/>
          <w:bottom w:val="single" w:sz="8" w:space="0" w:color="00395E"/>
        </w:tcBorders>
      </w:tcPr>
    </w:tblStylePr>
    <w:tblStylePr w:type="lastRow">
      <w:rPr>
        <w:b/>
        <w:bCs/>
        <w:color w:val="C6C6C6"/>
      </w:rPr>
      <w:tblPr/>
      <w:tcPr>
        <w:tcBorders>
          <w:top w:val="single" w:sz="8" w:space="0" w:color="00395E"/>
          <w:bottom w:val="single" w:sz="8" w:space="0" w:color="00395E"/>
        </w:tcBorders>
      </w:tcPr>
    </w:tblStylePr>
    <w:tblStylePr w:type="firstCol">
      <w:rPr>
        <w:b/>
        <w:bCs/>
      </w:rPr>
    </w:tblStylePr>
    <w:tblStylePr w:type="lastCol">
      <w:rPr>
        <w:b/>
        <w:bCs/>
      </w:rPr>
      <w:tblPr/>
      <w:tcPr>
        <w:tcBorders>
          <w:top w:val="single" w:sz="8" w:space="0" w:color="00395E"/>
          <w:bottom w:val="single" w:sz="8" w:space="0" w:color="00395E"/>
        </w:tcBorders>
      </w:tcPr>
    </w:tblStylePr>
    <w:tblStylePr w:type="band1Vert">
      <w:tblPr/>
      <w:tcPr>
        <w:shd w:val="clear" w:color="auto" w:fill="98D6FF"/>
      </w:tcPr>
    </w:tblStylePr>
    <w:tblStylePr w:type="band1Horz">
      <w:tblPr/>
      <w:tcPr>
        <w:shd w:val="clear" w:color="auto" w:fill="98D6FF"/>
      </w:tcPr>
    </w:tblStylePr>
  </w:style>
  <w:style w:type="table" w:customStyle="1" w:styleId="MediumList1-Accent21">
    <w:name w:val="Medium List 1 - Accent 21"/>
    <w:basedOn w:val="TableNormal"/>
    <w:next w:val="MediumList1-Accent2"/>
    <w:uiPriority w:val="65"/>
    <w:semiHidden/>
    <w:rsid w:val="00D82EF2"/>
    <w:rPr>
      <w:color w:val="00000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MediumList1-Accent31">
    <w:name w:val="Medium List 1 - Accent 31"/>
    <w:basedOn w:val="TableNormal"/>
    <w:next w:val="MediumList1-Accent3"/>
    <w:uiPriority w:val="65"/>
    <w:semiHidden/>
    <w:rsid w:val="00D82EF2"/>
    <w:rPr>
      <w:color w:val="000000"/>
    </w:rPr>
    <w:tblPr>
      <w:tblStyleRowBandSize w:val="1"/>
      <w:tblStyleColBandSize w:val="1"/>
      <w:tblBorders>
        <w:top w:val="single" w:sz="8" w:space="0" w:color="00558D"/>
        <w:bottom w:val="single" w:sz="8" w:space="0" w:color="00558D"/>
      </w:tblBorders>
    </w:tblPr>
    <w:tblStylePr w:type="firstRow">
      <w:rPr>
        <w:rFonts w:ascii="Times New Roman" w:eastAsia="Times New Roman" w:hAnsi="Times New Roman" w:cs="Times New Roman"/>
      </w:rPr>
      <w:tblPr/>
      <w:tcPr>
        <w:tcBorders>
          <w:top w:val="nil"/>
          <w:bottom w:val="single" w:sz="8" w:space="0" w:color="00558D"/>
        </w:tcBorders>
      </w:tcPr>
    </w:tblStylePr>
    <w:tblStylePr w:type="lastRow">
      <w:rPr>
        <w:b/>
        <w:bCs/>
        <w:color w:val="C6C6C6"/>
      </w:rPr>
      <w:tblPr/>
      <w:tcPr>
        <w:tcBorders>
          <w:top w:val="single" w:sz="8" w:space="0" w:color="00558D"/>
          <w:bottom w:val="single" w:sz="8" w:space="0" w:color="00558D"/>
        </w:tcBorders>
      </w:tcPr>
    </w:tblStylePr>
    <w:tblStylePr w:type="firstCol">
      <w:rPr>
        <w:b/>
        <w:bCs/>
      </w:rPr>
    </w:tblStylePr>
    <w:tblStylePr w:type="lastCol">
      <w:rPr>
        <w:b/>
        <w:bCs/>
      </w:rPr>
      <w:tblPr/>
      <w:tcPr>
        <w:tcBorders>
          <w:top w:val="single" w:sz="8" w:space="0" w:color="00558D"/>
          <w:bottom w:val="single" w:sz="8" w:space="0" w:color="00558D"/>
        </w:tcBorders>
      </w:tcPr>
    </w:tblStylePr>
    <w:tblStylePr w:type="band1Vert">
      <w:tblPr/>
      <w:tcPr>
        <w:shd w:val="clear" w:color="auto" w:fill="A3DAFF"/>
      </w:tcPr>
    </w:tblStylePr>
    <w:tblStylePr w:type="band1Horz">
      <w:tblPr/>
      <w:tcPr>
        <w:shd w:val="clear" w:color="auto" w:fill="A3DAFF"/>
      </w:tcPr>
    </w:tblStylePr>
  </w:style>
  <w:style w:type="table" w:customStyle="1" w:styleId="MediumList1-Accent41">
    <w:name w:val="Medium List 1 - Accent 41"/>
    <w:basedOn w:val="TableNormal"/>
    <w:next w:val="MediumList1-Accent4"/>
    <w:uiPriority w:val="65"/>
    <w:semiHidden/>
    <w:rsid w:val="00D82EF2"/>
    <w:rPr>
      <w:color w:val="00000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MediumList1-Accent51">
    <w:name w:val="Medium List 1 - Accent 51"/>
    <w:basedOn w:val="TableNormal"/>
    <w:next w:val="MediumList1-Accent5"/>
    <w:uiPriority w:val="65"/>
    <w:semiHidden/>
    <w:rsid w:val="00D82EF2"/>
    <w:rPr>
      <w:color w:val="000000"/>
    </w:rPr>
    <w:tblPr>
      <w:tblStyleRowBandSize w:val="1"/>
      <w:tblStyleColBandSize w:val="1"/>
      <w:tblBorders>
        <w:top w:val="single" w:sz="8" w:space="0" w:color="669900"/>
        <w:bottom w:val="single" w:sz="8" w:space="0" w:color="669900"/>
      </w:tblBorders>
    </w:tblPr>
    <w:tblStylePr w:type="firstRow">
      <w:rPr>
        <w:rFonts w:ascii="Times New Roman" w:eastAsia="Times New Roman" w:hAnsi="Times New Roman" w:cs="Times New Roman"/>
      </w:rPr>
      <w:tblPr/>
      <w:tcPr>
        <w:tcBorders>
          <w:top w:val="nil"/>
          <w:bottom w:val="single" w:sz="8" w:space="0" w:color="669900"/>
        </w:tcBorders>
      </w:tcPr>
    </w:tblStylePr>
    <w:tblStylePr w:type="lastRow">
      <w:rPr>
        <w:b/>
        <w:bCs/>
        <w:color w:val="C6C6C6"/>
      </w:rPr>
      <w:tblPr/>
      <w:tcPr>
        <w:tcBorders>
          <w:top w:val="single" w:sz="8" w:space="0" w:color="669900"/>
          <w:bottom w:val="single" w:sz="8" w:space="0" w:color="669900"/>
        </w:tcBorders>
      </w:tcPr>
    </w:tblStylePr>
    <w:tblStylePr w:type="firstCol">
      <w:rPr>
        <w:b/>
        <w:bCs/>
      </w:rPr>
    </w:tblStylePr>
    <w:tblStylePr w:type="lastCol">
      <w:rPr>
        <w:b/>
        <w:bCs/>
      </w:rPr>
      <w:tblPr/>
      <w:tcPr>
        <w:tcBorders>
          <w:top w:val="single" w:sz="8" w:space="0" w:color="669900"/>
          <w:bottom w:val="single" w:sz="8" w:space="0" w:color="669900"/>
        </w:tcBorders>
      </w:tcPr>
    </w:tblStylePr>
    <w:tblStylePr w:type="band1Vert">
      <w:tblPr/>
      <w:tcPr>
        <w:shd w:val="clear" w:color="auto" w:fill="E1FFA6"/>
      </w:tcPr>
    </w:tblStylePr>
    <w:tblStylePr w:type="band1Horz">
      <w:tblPr/>
      <w:tcPr>
        <w:shd w:val="clear" w:color="auto" w:fill="E1FFA6"/>
      </w:tcPr>
    </w:tblStylePr>
  </w:style>
  <w:style w:type="table" w:customStyle="1" w:styleId="MediumList1-Accent61">
    <w:name w:val="Medium List 1 - Accent 61"/>
    <w:basedOn w:val="TableNormal"/>
    <w:next w:val="MediumList1-Accent6"/>
    <w:uiPriority w:val="65"/>
    <w:semiHidden/>
    <w:rsid w:val="00D82EF2"/>
    <w:rPr>
      <w:color w:val="000000"/>
    </w:rPr>
    <w:tblPr>
      <w:tblStyleRowBandSize w:val="1"/>
      <w:tblStyleColBandSize w:val="1"/>
      <w:tblBorders>
        <w:top w:val="single" w:sz="8" w:space="0" w:color="EB5605"/>
        <w:bottom w:val="single" w:sz="8" w:space="0" w:color="EB5605"/>
      </w:tblBorders>
    </w:tblPr>
    <w:tblStylePr w:type="firstRow">
      <w:rPr>
        <w:rFonts w:ascii="Times New Roman" w:eastAsia="Times New Roman" w:hAnsi="Times New Roman" w:cs="Times New Roman"/>
      </w:rPr>
      <w:tblPr/>
      <w:tcPr>
        <w:tcBorders>
          <w:top w:val="nil"/>
          <w:bottom w:val="single" w:sz="8" w:space="0" w:color="EB5605"/>
        </w:tcBorders>
      </w:tcPr>
    </w:tblStylePr>
    <w:tblStylePr w:type="lastRow">
      <w:rPr>
        <w:b/>
        <w:bCs/>
        <w:color w:val="C6C6C6"/>
      </w:rPr>
      <w:tblPr/>
      <w:tcPr>
        <w:tcBorders>
          <w:top w:val="single" w:sz="8" w:space="0" w:color="EB5605"/>
          <w:bottom w:val="single" w:sz="8" w:space="0" w:color="EB5605"/>
        </w:tcBorders>
      </w:tcPr>
    </w:tblStylePr>
    <w:tblStylePr w:type="firstCol">
      <w:rPr>
        <w:b/>
        <w:bCs/>
      </w:rPr>
    </w:tblStylePr>
    <w:tblStylePr w:type="lastCol">
      <w:rPr>
        <w:b/>
        <w:bCs/>
      </w:rPr>
      <w:tblPr/>
      <w:tcPr>
        <w:tcBorders>
          <w:top w:val="single" w:sz="8" w:space="0" w:color="EB5605"/>
          <w:bottom w:val="single" w:sz="8" w:space="0" w:color="EB5605"/>
        </w:tcBorders>
      </w:tcPr>
    </w:tblStylePr>
    <w:tblStylePr w:type="band1Vert">
      <w:tblPr/>
      <w:tcPr>
        <w:shd w:val="clear" w:color="auto" w:fill="FDD3BD"/>
      </w:tcPr>
    </w:tblStylePr>
    <w:tblStylePr w:type="band1Horz">
      <w:tblPr/>
      <w:tcPr>
        <w:shd w:val="clear" w:color="auto" w:fill="FDD3BD"/>
      </w:tcPr>
    </w:tblStylePr>
  </w:style>
  <w:style w:type="table" w:customStyle="1" w:styleId="MediumList21">
    <w:name w:val="Medium List 21"/>
    <w:basedOn w:val="TableNormal"/>
    <w:next w:val="MediumList2"/>
    <w:uiPriority w:val="66"/>
    <w:semiHidden/>
    <w:rsid w:val="00D82EF2"/>
    <w:rPr>
      <w:rFonts w:ascii="Times New Roman" w:eastAsia="Times New Roman" w:hAnsi="Times New Roman"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66"/>
    <w:semiHidden/>
    <w:rsid w:val="00D82EF2"/>
    <w:rPr>
      <w:rFonts w:ascii="Times New Roman" w:eastAsia="Times New Roman" w:hAnsi="Times New Roman" w:cs="Times New Roman"/>
      <w:color w:val="000000"/>
    </w:rPr>
    <w:tblPr>
      <w:tblStyleRowBandSize w:val="1"/>
      <w:tblStyleColBandSize w:val="1"/>
      <w:tblBorders>
        <w:top w:val="single" w:sz="8" w:space="0" w:color="00395E"/>
        <w:left w:val="single" w:sz="8" w:space="0" w:color="00395E"/>
        <w:bottom w:val="single" w:sz="8" w:space="0" w:color="00395E"/>
        <w:right w:val="single" w:sz="8" w:space="0" w:color="00395E"/>
      </w:tblBorders>
    </w:tblPr>
    <w:tblStylePr w:type="firstRow">
      <w:rPr>
        <w:sz w:val="24"/>
        <w:szCs w:val="24"/>
      </w:rPr>
      <w:tblPr/>
      <w:tcPr>
        <w:tcBorders>
          <w:top w:val="nil"/>
          <w:left w:val="nil"/>
          <w:bottom w:val="single" w:sz="24" w:space="0" w:color="00395E"/>
          <w:right w:val="nil"/>
          <w:insideH w:val="nil"/>
          <w:insideV w:val="nil"/>
        </w:tcBorders>
        <w:shd w:val="clear" w:color="auto" w:fill="0072BC"/>
      </w:tcPr>
    </w:tblStylePr>
    <w:tblStylePr w:type="lastRow">
      <w:tblPr/>
      <w:tcPr>
        <w:tcBorders>
          <w:top w:val="single" w:sz="8" w:space="0" w:color="00395E"/>
          <w:left w:val="nil"/>
          <w:bottom w:val="nil"/>
          <w:right w:val="nil"/>
          <w:insideH w:val="nil"/>
          <w:insideV w:val="nil"/>
        </w:tcBorders>
        <w:shd w:val="clear" w:color="auto" w:fill="0072BC"/>
      </w:tcPr>
    </w:tblStylePr>
    <w:tblStylePr w:type="firstCol">
      <w:tblPr/>
      <w:tcPr>
        <w:tcBorders>
          <w:top w:val="nil"/>
          <w:left w:val="nil"/>
          <w:bottom w:val="nil"/>
          <w:right w:val="single" w:sz="8" w:space="0" w:color="00395E"/>
          <w:insideH w:val="nil"/>
          <w:insideV w:val="nil"/>
        </w:tcBorders>
        <w:shd w:val="clear" w:color="auto" w:fill="0072BC"/>
      </w:tcPr>
    </w:tblStylePr>
    <w:tblStylePr w:type="lastCol">
      <w:tblPr/>
      <w:tcPr>
        <w:tcBorders>
          <w:top w:val="nil"/>
          <w:left w:val="single" w:sz="8" w:space="0" w:color="00395E"/>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98D6FF"/>
      </w:tcPr>
    </w:tblStylePr>
    <w:tblStylePr w:type="band1Horz">
      <w:tblPr/>
      <w:tcPr>
        <w:tcBorders>
          <w:top w:val="nil"/>
          <w:bottom w:val="nil"/>
          <w:insideH w:val="nil"/>
          <w:insideV w:val="nil"/>
        </w:tcBorders>
        <w:shd w:val="clear" w:color="auto" w:fill="98D6FF"/>
      </w:tcPr>
    </w:tblStylePr>
    <w:tblStylePr w:type="nwCell">
      <w:tblPr/>
      <w:tcPr>
        <w:shd w:val="clear" w:color="auto" w:fill="0072BC"/>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66"/>
    <w:semiHidden/>
    <w:rsid w:val="00D82EF2"/>
    <w:rPr>
      <w:rFonts w:ascii="Times New Roman" w:eastAsia="Times New Roman" w:hAnsi="Times New Roman" w:cs="Times New Roman"/>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66"/>
    <w:semiHidden/>
    <w:rsid w:val="00D82EF2"/>
    <w:rPr>
      <w:rFonts w:ascii="Times New Roman" w:eastAsia="Times New Roman" w:hAnsi="Times New Roman" w:cs="Times New Roman"/>
      <w:color w:val="000000"/>
    </w:rPr>
    <w:tblPr>
      <w:tblStyleRowBandSize w:val="1"/>
      <w:tblStyleColBandSize w:val="1"/>
      <w:tblBorders>
        <w:top w:val="single" w:sz="8" w:space="0" w:color="00558D"/>
        <w:left w:val="single" w:sz="8" w:space="0" w:color="00558D"/>
        <w:bottom w:val="single" w:sz="8" w:space="0" w:color="00558D"/>
        <w:right w:val="single" w:sz="8" w:space="0" w:color="00558D"/>
      </w:tblBorders>
    </w:tblPr>
    <w:tblStylePr w:type="firstRow">
      <w:rPr>
        <w:sz w:val="24"/>
        <w:szCs w:val="24"/>
      </w:rPr>
      <w:tblPr/>
      <w:tcPr>
        <w:tcBorders>
          <w:top w:val="nil"/>
          <w:left w:val="nil"/>
          <w:bottom w:val="single" w:sz="24" w:space="0" w:color="00558D"/>
          <w:right w:val="nil"/>
          <w:insideH w:val="nil"/>
          <w:insideV w:val="nil"/>
        </w:tcBorders>
        <w:shd w:val="clear" w:color="auto" w:fill="0072BC"/>
      </w:tcPr>
    </w:tblStylePr>
    <w:tblStylePr w:type="lastRow">
      <w:tblPr/>
      <w:tcPr>
        <w:tcBorders>
          <w:top w:val="single" w:sz="8" w:space="0" w:color="00558D"/>
          <w:left w:val="nil"/>
          <w:bottom w:val="nil"/>
          <w:right w:val="nil"/>
          <w:insideH w:val="nil"/>
          <w:insideV w:val="nil"/>
        </w:tcBorders>
        <w:shd w:val="clear" w:color="auto" w:fill="0072BC"/>
      </w:tcPr>
    </w:tblStylePr>
    <w:tblStylePr w:type="firstCol">
      <w:tblPr/>
      <w:tcPr>
        <w:tcBorders>
          <w:top w:val="nil"/>
          <w:left w:val="nil"/>
          <w:bottom w:val="nil"/>
          <w:right w:val="single" w:sz="8" w:space="0" w:color="00558D"/>
          <w:insideH w:val="nil"/>
          <w:insideV w:val="nil"/>
        </w:tcBorders>
        <w:shd w:val="clear" w:color="auto" w:fill="0072BC"/>
      </w:tcPr>
    </w:tblStylePr>
    <w:tblStylePr w:type="lastCol">
      <w:tblPr/>
      <w:tcPr>
        <w:tcBorders>
          <w:top w:val="nil"/>
          <w:left w:val="single" w:sz="8" w:space="0" w:color="00558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3DAFF"/>
      </w:tcPr>
    </w:tblStylePr>
    <w:tblStylePr w:type="band1Horz">
      <w:tblPr/>
      <w:tcPr>
        <w:tcBorders>
          <w:top w:val="nil"/>
          <w:bottom w:val="nil"/>
          <w:insideH w:val="nil"/>
          <w:insideV w:val="nil"/>
        </w:tcBorders>
        <w:shd w:val="clear" w:color="auto" w:fill="A3DAFF"/>
      </w:tcPr>
    </w:tblStylePr>
    <w:tblStylePr w:type="nwCell">
      <w:tblPr/>
      <w:tcPr>
        <w:shd w:val="clear" w:color="auto" w:fill="0072BC"/>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semiHidden/>
    <w:rsid w:val="00D82EF2"/>
    <w:rPr>
      <w:rFonts w:ascii="Times New Roman" w:eastAsia="Times New Roman" w:hAnsi="Times New Roman" w:cs="Times New Roman"/>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66"/>
    <w:semiHidden/>
    <w:rsid w:val="00D82EF2"/>
    <w:rPr>
      <w:rFonts w:ascii="Times New Roman" w:eastAsia="Times New Roman" w:hAnsi="Times New Roman" w:cs="Times New Roman"/>
      <w:color w:val="000000"/>
    </w:rPr>
    <w:tblPr>
      <w:tblStyleRowBandSize w:val="1"/>
      <w:tblStyleColBandSize w:val="1"/>
      <w:tblBorders>
        <w:top w:val="single" w:sz="8" w:space="0" w:color="669900"/>
        <w:left w:val="single" w:sz="8" w:space="0" w:color="669900"/>
        <w:bottom w:val="single" w:sz="8" w:space="0" w:color="669900"/>
        <w:right w:val="single" w:sz="8" w:space="0" w:color="669900"/>
      </w:tblBorders>
    </w:tblPr>
    <w:tblStylePr w:type="firstRow">
      <w:rPr>
        <w:sz w:val="24"/>
        <w:szCs w:val="24"/>
      </w:rPr>
      <w:tblPr/>
      <w:tcPr>
        <w:tcBorders>
          <w:top w:val="nil"/>
          <w:left w:val="nil"/>
          <w:bottom w:val="single" w:sz="24" w:space="0" w:color="669900"/>
          <w:right w:val="nil"/>
          <w:insideH w:val="nil"/>
          <w:insideV w:val="nil"/>
        </w:tcBorders>
        <w:shd w:val="clear" w:color="auto" w:fill="0072BC"/>
      </w:tcPr>
    </w:tblStylePr>
    <w:tblStylePr w:type="lastRow">
      <w:tblPr/>
      <w:tcPr>
        <w:tcBorders>
          <w:top w:val="single" w:sz="8" w:space="0" w:color="669900"/>
          <w:left w:val="nil"/>
          <w:bottom w:val="nil"/>
          <w:right w:val="nil"/>
          <w:insideH w:val="nil"/>
          <w:insideV w:val="nil"/>
        </w:tcBorders>
        <w:shd w:val="clear" w:color="auto" w:fill="0072BC"/>
      </w:tcPr>
    </w:tblStylePr>
    <w:tblStylePr w:type="firstCol">
      <w:tblPr/>
      <w:tcPr>
        <w:tcBorders>
          <w:top w:val="nil"/>
          <w:left w:val="nil"/>
          <w:bottom w:val="nil"/>
          <w:right w:val="single" w:sz="8" w:space="0" w:color="669900"/>
          <w:insideH w:val="nil"/>
          <w:insideV w:val="nil"/>
        </w:tcBorders>
        <w:shd w:val="clear" w:color="auto" w:fill="0072BC"/>
      </w:tcPr>
    </w:tblStylePr>
    <w:tblStylePr w:type="lastCol">
      <w:tblPr/>
      <w:tcPr>
        <w:tcBorders>
          <w:top w:val="nil"/>
          <w:left w:val="single" w:sz="8" w:space="0" w:color="6699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1FFA6"/>
      </w:tcPr>
    </w:tblStylePr>
    <w:tblStylePr w:type="band1Horz">
      <w:tblPr/>
      <w:tcPr>
        <w:tcBorders>
          <w:top w:val="nil"/>
          <w:bottom w:val="nil"/>
          <w:insideH w:val="nil"/>
          <w:insideV w:val="nil"/>
        </w:tcBorders>
        <w:shd w:val="clear" w:color="auto" w:fill="E1FFA6"/>
      </w:tcPr>
    </w:tblStylePr>
    <w:tblStylePr w:type="nwCell">
      <w:tblPr/>
      <w:tcPr>
        <w:shd w:val="clear" w:color="auto" w:fill="0072BC"/>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66"/>
    <w:semiHidden/>
    <w:rsid w:val="00D82EF2"/>
    <w:rPr>
      <w:rFonts w:ascii="Times New Roman" w:eastAsia="Times New Roman" w:hAnsi="Times New Roman" w:cs="Times New Roman"/>
      <w:color w:val="000000"/>
    </w:rPr>
    <w:tblPr>
      <w:tblStyleRowBandSize w:val="1"/>
      <w:tblStyleColBandSize w:val="1"/>
      <w:tblBorders>
        <w:top w:val="single" w:sz="8" w:space="0" w:color="EB5605"/>
        <w:left w:val="single" w:sz="8" w:space="0" w:color="EB5605"/>
        <w:bottom w:val="single" w:sz="8" w:space="0" w:color="EB5605"/>
        <w:right w:val="single" w:sz="8" w:space="0" w:color="EB5605"/>
      </w:tblBorders>
    </w:tblPr>
    <w:tblStylePr w:type="firstRow">
      <w:rPr>
        <w:sz w:val="24"/>
        <w:szCs w:val="24"/>
      </w:rPr>
      <w:tblPr/>
      <w:tcPr>
        <w:tcBorders>
          <w:top w:val="nil"/>
          <w:left w:val="nil"/>
          <w:bottom w:val="single" w:sz="24" w:space="0" w:color="EB5605"/>
          <w:right w:val="nil"/>
          <w:insideH w:val="nil"/>
          <w:insideV w:val="nil"/>
        </w:tcBorders>
        <w:shd w:val="clear" w:color="auto" w:fill="0072BC"/>
      </w:tcPr>
    </w:tblStylePr>
    <w:tblStylePr w:type="lastRow">
      <w:tblPr/>
      <w:tcPr>
        <w:tcBorders>
          <w:top w:val="single" w:sz="8" w:space="0" w:color="EB5605"/>
          <w:left w:val="nil"/>
          <w:bottom w:val="nil"/>
          <w:right w:val="nil"/>
          <w:insideH w:val="nil"/>
          <w:insideV w:val="nil"/>
        </w:tcBorders>
        <w:shd w:val="clear" w:color="auto" w:fill="0072BC"/>
      </w:tcPr>
    </w:tblStylePr>
    <w:tblStylePr w:type="firstCol">
      <w:tblPr/>
      <w:tcPr>
        <w:tcBorders>
          <w:top w:val="nil"/>
          <w:left w:val="nil"/>
          <w:bottom w:val="nil"/>
          <w:right w:val="single" w:sz="8" w:space="0" w:color="EB5605"/>
          <w:insideH w:val="nil"/>
          <w:insideV w:val="nil"/>
        </w:tcBorders>
        <w:shd w:val="clear" w:color="auto" w:fill="0072BC"/>
      </w:tcPr>
    </w:tblStylePr>
    <w:tblStylePr w:type="lastCol">
      <w:tblPr/>
      <w:tcPr>
        <w:tcBorders>
          <w:top w:val="nil"/>
          <w:left w:val="single" w:sz="8" w:space="0" w:color="EB5605"/>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DD3BD"/>
      </w:tcPr>
    </w:tblStylePr>
    <w:tblStylePr w:type="band1Horz">
      <w:tblPr/>
      <w:tcPr>
        <w:tcBorders>
          <w:top w:val="nil"/>
          <w:bottom w:val="nil"/>
          <w:insideH w:val="nil"/>
          <w:insideV w:val="nil"/>
        </w:tcBorders>
        <w:shd w:val="clear" w:color="auto" w:fill="FDD3BD"/>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TableNormal"/>
    <w:next w:val="MediumShading1"/>
    <w:uiPriority w:val="63"/>
    <w:semiHidden/>
    <w:rsid w:val="00D82EF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semiHidden/>
    <w:rsid w:val="00D82EF2"/>
    <w:tblPr>
      <w:tblStyleRowBandSize w:val="1"/>
      <w:tblStyleColBandSize w:val="1"/>
      <w:tblBorders>
        <w:top w:val="single" w:sz="8" w:space="0" w:color="0077C6"/>
        <w:left w:val="single" w:sz="8" w:space="0" w:color="0077C6"/>
        <w:bottom w:val="single" w:sz="8" w:space="0" w:color="0077C6"/>
        <w:right w:val="single" w:sz="8" w:space="0" w:color="0077C6"/>
        <w:insideH w:val="single" w:sz="8" w:space="0" w:color="0077C6"/>
      </w:tblBorders>
    </w:tblPr>
    <w:tblStylePr w:type="firstRow">
      <w:pPr>
        <w:spacing w:before="0" w:after="0" w:line="240" w:lineRule="auto"/>
      </w:pPr>
      <w:rPr>
        <w:b/>
        <w:bCs/>
        <w:color w:val="0072BC"/>
      </w:rPr>
      <w:tblPr/>
      <w:tcPr>
        <w:tcBorders>
          <w:top w:val="single" w:sz="8" w:space="0" w:color="0077C6"/>
          <w:left w:val="single" w:sz="8" w:space="0" w:color="0077C6"/>
          <w:bottom w:val="single" w:sz="8" w:space="0" w:color="0077C6"/>
          <w:right w:val="single" w:sz="8" w:space="0" w:color="0077C6"/>
          <w:insideH w:val="nil"/>
          <w:insideV w:val="nil"/>
        </w:tcBorders>
        <w:shd w:val="clear" w:color="auto" w:fill="00395E"/>
      </w:tcPr>
    </w:tblStylePr>
    <w:tblStylePr w:type="lastRow">
      <w:pPr>
        <w:spacing w:before="0" w:after="0" w:line="240" w:lineRule="auto"/>
      </w:pPr>
      <w:rPr>
        <w:b/>
        <w:bCs/>
      </w:rPr>
      <w:tblPr/>
      <w:tcPr>
        <w:tcBorders>
          <w:top w:val="double" w:sz="6" w:space="0" w:color="0077C6"/>
          <w:left w:val="single" w:sz="8" w:space="0" w:color="0077C6"/>
          <w:bottom w:val="single" w:sz="8" w:space="0" w:color="0077C6"/>
          <w:right w:val="single" w:sz="8" w:space="0" w:color="0077C6"/>
          <w:insideH w:val="nil"/>
          <w:insideV w:val="nil"/>
        </w:tcBorders>
      </w:tcPr>
    </w:tblStylePr>
    <w:tblStylePr w:type="firstCol">
      <w:rPr>
        <w:b/>
        <w:bCs/>
      </w:rPr>
    </w:tblStylePr>
    <w:tblStylePr w:type="lastCol">
      <w:rPr>
        <w:b/>
        <w:bCs/>
      </w:rPr>
    </w:tblStylePr>
    <w:tblStylePr w:type="band1Vert">
      <w:tblPr/>
      <w:tcPr>
        <w:shd w:val="clear" w:color="auto" w:fill="98D6FF"/>
      </w:tcPr>
    </w:tblStylePr>
    <w:tblStylePr w:type="band1Horz">
      <w:tblPr/>
      <w:tcPr>
        <w:tcBorders>
          <w:insideH w:val="nil"/>
          <w:insideV w:val="nil"/>
        </w:tcBorders>
        <w:shd w:val="clear" w:color="auto" w:fill="98D6FF"/>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semiHidden/>
    <w:rsid w:val="00D82EF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semiHidden/>
    <w:rsid w:val="00D82EF2"/>
    <w:tblPr>
      <w:tblStyleRowBandSize w:val="1"/>
      <w:tblStyleColBandSize w:val="1"/>
      <w:tblBorders>
        <w:top w:val="single" w:sz="8" w:space="0" w:color="008CE9"/>
        <w:left w:val="single" w:sz="8" w:space="0" w:color="008CE9"/>
        <w:bottom w:val="single" w:sz="8" w:space="0" w:color="008CE9"/>
        <w:right w:val="single" w:sz="8" w:space="0" w:color="008CE9"/>
        <w:insideH w:val="single" w:sz="8" w:space="0" w:color="008CE9"/>
      </w:tblBorders>
    </w:tblPr>
    <w:tblStylePr w:type="firstRow">
      <w:pPr>
        <w:spacing w:before="0" w:after="0" w:line="240" w:lineRule="auto"/>
      </w:pPr>
      <w:rPr>
        <w:b/>
        <w:bCs/>
        <w:color w:val="0072BC"/>
      </w:rPr>
      <w:tblPr/>
      <w:tcPr>
        <w:tcBorders>
          <w:top w:val="single" w:sz="8" w:space="0" w:color="008CE9"/>
          <w:left w:val="single" w:sz="8" w:space="0" w:color="008CE9"/>
          <w:bottom w:val="single" w:sz="8" w:space="0" w:color="008CE9"/>
          <w:right w:val="single" w:sz="8" w:space="0" w:color="008CE9"/>
          <w:insideH w:val="nil"/>
          <w:insideV w:val="nil"/>
        </w:tcBorders>
        <w:shd w:val="clear" w:color="auto" w:fill="00558D"/>
      </w:tcPr>
    </w:tblStylePr>
    <w:tblStylePr w:type="lastRow">
      <w:pPr>
        <w:spacing w:before="0" w:after="0" w:line="240" w:lineRule="auto"/>
      </w:pPr>
      <w:rPr>
        <w:b/>
        <w:bCs/>
      </w:rPr>
      <w:tblPr/>
      <w:tcPr>
        <w:tcBorders>
          <w:top w:val="double" w:sz="6" w:space="0" w:color="008CE9"/>
          <w:left w:val="single" w:sz="8" w:space="0" w:color="008CE9"/>
          <w:bottom w:val="single" w:sz="8" w:space="0" w:color="008CE9"/>
          <w:right w:val="single" w:sz="8" w:space="0" w:color="008CE9"/>
          <w:insideH w:val="nil"/>
          <w:insideV w:val="nil"/>
        </w:tcBorders>
      </w:tcPr>
    </w:tblStylePr>
    <w:tblStylePr w:type="firstCol">
      <w:rPr>
        <w:b/>
        <w:bCs/>
      </w:rPr>
    </w:tblStylePr>
    <w:tblStylePr w:type="lastCol">
      <w:rPr>
        <w:b/>
        <w:bCs/>
      </w:rPr>
    </w:tblStylePr>
    <w:tblStylePr w:type="band1Vert">
      <w:tblPr/>
      <w:tcPr>
        <w:shd w:val="clear" w:color="auto" w:fill="A3DAFF"/>
      </w:tcPr>
    </w:tblStylePr>
    <w:tblStylePr w:type="band1Horz">
      <w:tblPr/>
      <w:tcPr>
        <w:tcBorders>
          <w:insideH w:val="nil"/>
          <w:insideV w:val="nil"/>
        </w:tcBorders>
        <w:shd w:val="clear" w:color="auto" w:fill="A3DAFF"/>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semiHidden/>
    <w:rsid w:val="00D82EF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semiHidden/>
    <w:rsid w:val="00D82EF2"/>
    <w:tblPr>
      <w:tblStyleRowBandSize w:val="1"/>
      <w:tblStyleColBandSize w:val="1"/>
      <w:tblBorders>
        <w:top w:val="single" w:sz="8" w:space="0" w:color="A1F200"/>
        <w:left w:val="single" w:sz="8" w:space="0" w:color="A1F200"/>
        <w:bottom w:val="single" w:sz="8" w:space="0" w:color="A1F200"/>
        <w:right w:val="single" w:sz="8" w:space="0" w:color="A1F200"/>
        <w:insideH w:val="single" w:sz="8" w:space="0" w:color="A1F200"/>
      </w:tblBorders>
    </w:tblPr>
    <w:tblStylePr w:type="firstRow">
      <w:pPr>
        <w:spacing w:before="0" w:after="0" w:line="240" w:lineRule="auto"/>
      </w:pPr>
      <w:rPr>
        <w:b/>
        <w:bCs/>
        <w:color w:val="0072BC"/>
      </w:rPr>
      <w:tblPr/>
      <w:tcPr>
        <w:tcBorders>
          <w:top w:val="single" w:sz="8" w:space="0" w:color="A1F200"/>
          <w:left w:val="single" w:sz="8" w:space="0" w:color="A1F200"/>
          <w:bottom w:val="single" w:sz="8" w:space="0" w:color="A1F200"/>
          <w:right w:val="single" w:sz="8" w:space="0" w:color="A1F200"/>
          <w:insideH w:val="nil"/>
          <w:insideV w:val="nil"/>
        </w:tcBorders>
        <w:shd w:val="clear" w:color="auto" w:fill="669900"/>
      </w:tcPr>
    </w:tblStylePr>
    <w:tblStylePr w:type="lastRow">
      <w:pPr>
        <w:spacing w:before="0" w:after="0" w:line="240" w:lineRule="auto"/>
      </w:pPr>
      <w:rPr>
        <w:b/>
        <w:bCs/>
      </w:rPr>
      <w:tblPr/>
      <w:tcPr>
        <w:tcBorders>
          <w:top w:val="double" w:sz="6" w:space="0" w:color="A1F200"/>
          <w:left w:val="single" w:sz="8" w:space="0" w:color="A1F200"/>
          <w:bottom w:val="single" w:sz="8" w:space="0" w:color="A1F200"/>
          <w:right w:val="single" w:sz="8" w:space="0" w:color="A1F200"/>
          <w:insideH w:val="nil"/>
          <w:insideV w:val="nil"/>
        </w:tcBorders>
      </w:tcPr>
    </w:tblStylePr>
    <w:tblStylePr w:type="firstCol">
      <w:rPr>
        <w:b/>
        <w:bCs/>
      </w:rPr>
    </w:tblStylePr>
    <w:tblStylePr w:type="lastCol">
      <w:rPr>
        <w:b/>
        <w:bCs/>
      </w:rPr>
    </w:tblStylePr>
    <w:tblStylePr w:type="band1Vert">
      <w:tblPr/>
      <w:tcPr>
        <w:shd w:val="clear" w:color="auto" w:fill="E1FFA6"/>
      </w:tcPr>
    </w:tblStylePr>
    <w:tblStylePr w:type="band1Horz">
      <w:tblPr/>
      <w:tcPr>
        <w:tcBorders>
          <w:insideH w:val="nil"/>
          <w:insideV w:val="nil"/>
        </w:tcBorders>
        <w:shd w:val="clear" w:color="auto" w:fill="E1FFA6"/>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semiHidden/>
    <w:rsid w:val="00D82EF2"/>
    <w:tblPr>
      <w:tblStyleRowBandSize w:val="1"/>
      <w:tblStyleColBandSize w:val="1"/>
      <w:tblBorders>
        <w:top w:val="single" w:sz="8" w:space="0" w:color="FA7C38"/>
        <w:left w:val="single" w:sz="8" w:space="0" w:color="FA7C38"/>
        <w:bottom w:val="single" w:sz="8" w:space="0" w:color="FA7C38"/>
        <w:right w:val="single" w:sz="8" w:space="0" w:color="FA7C38"/>
        <w:insideH w:val="single" w:sz="8" w:space="0" w:color="FA7C38"/>
      </w:tblBorders>
    </w:tblPr>
    <w:tblStylePr w:type="firstRow">
      <w:pPr>
        <w:spacing w:before="0" w:after="0" w:line="240" w:lineRule="auto"/>
      </w:pPr>
      <w:rPr>
        <w:b/>
        <w:bCs/>
        <w:color w:val="0072BC"/>
      </w:rPr>
      <w:tblPr/>
      <w:tcPr>
        <w:tcBorders>
          <w:top w:val="single" w:sz="8" w:space="0" w:color="FA7C38"/>
          <w:left w:val="single" w:sz="8" w:space="0" w:color="FA7C38"/>
          <w:bottom w:val="single" w:sz="8" w:space="0" w:color="FA7C38"/>
          <w:right w:val="single" w:sz="8" w:space="0" w:color="FA7C38"/>
          <w:insideH w:val="nil"/>
          <w:insideV w:val="nil"/>
        </w:tcBorders>
        <w:shd w:val="clear" w:color="auto" w:fill="EB5605"/>
      </w:tcPr>
    </w:tblStylePr>
    <w:tblStylePr w:type="lastRow">
      <w:pPr>
        <w:spacing w:before="0" w:after="0" w:line="240" w:lineRule="auto"/>
      </w:pPr>
      <w:rPr>
        <w:b/>
        <w:bCs/>
      </w:rPr>
      <w:tblPr/>
      <w:tcPr>
        <w:tcBorders>
          <w:top w:val="double" w:sz="6" w:space="0" w:color="FA7C38"/>
          <w:left w:val="single" w:sz="8" w:space="0" w:color="FA7C38"/>
          <w:bottom w:val="single" w:sz="8" w:space="0" w:color="FA7C38"/>
          <w:right w:val="single" w:sz="8" w:space="0" w:color="FA7C38"/>
          <w:insideH w:val="nil"/>
          <w:insideV w:val="nil"/>
        </w:tcBorders>
      </w:tcPr>
    </w:tblStylePr>
    <w:tblStylePr w:type="firstCol">
      <w:rPr>
        <w:b/>
        <w:bCs/>
      </w:rPr>
    </w:tblStylePr>
    <w:tblStylePr w:type="lastCol">
      <w:rPr>
        <w:b/>
        <w:bCs/>
      </w:rPr>
    </w:tblStylePr>
    <w:tblStylePr w:type="band1Vert">
      <w:tblPr/>
      <w:tcPr>
        <w:shd w:val="clear" w:color="auto" w:fill="FDD3BD"/>
      </w:tcPr>
    </w:tblStylePr>
    <w:tblStylePr w:type="band1Horz">
      <w:tblPr/>
      <w:tcPr>
        <w:tcBorders>
          <w:insideH w:val="nil"/>
          <w:insideV w:val="nil"/>
        </w:tcBorders>
        <w:shd w:val="clear" w:color="auto" w:fill="FDD3BD"/>
      </w:tcPr>
    </w:tblStylePr>
    <w:tblStylePr w:type="band2Horz">
      <w:tblPr/>
      <w:tcPr>
        <w:tcBorders>
          <w:insideH w:val="nil"/>
          <w:insideV w:val="nil"/>
        </w:tcBorders>
      </w:tcPr>
    </w:tblStylePr>
  </w:style>
  <w:style w:type="table" w:customStyle="1" w:styleId="MediumShading21">
    <w:name w:val="Medium Shading 21"/>
    <w:basedOn w:val="TableNormal"/>
    <w:next w:val="MediumShading2"/>
    <w:uiPriority w:val="64"/>
    <w:semiHidden/>
    <w:rsid w:val="00D82E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next w:val="MediumShading2-Accent1"/>
    <w:uiPriority w:val="64"/>
    <w:semiHidden/>
    <w:rsid w:val="00D82E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395E"/>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395E"/>
      </w:tcPr>
    </w:tblStylePr>
    <w:tblStylePr w:type="lastCol">
      <w:rPr>
        <w:b/>
        <w:bCs/>
        <w:color w:val="0072BC"/>
      </w:rPr>
      <w:tblPr/>
      <w:tcPr>
        <w:tcBorders>
          <w:left w:val="nil"/>
          <w:right w:val="nil"/>
          <w:insideH w:val="nil"/>
          <w:insideV w:val="nil"/>
        </w:tcBorders>
        <w:shd w:val="clear" w:color="auto" w:fill="00395E"/>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semiHidden/>
    <w:rsid w:val="00D82E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64"/>
    <w:semiHidden/>
    <w:rsid w:val="00D82E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558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558D"/>
      </w:tcPr>
    </w:tblStylePr>
    <w:tblStylePr w:type="lastCol">
      <w:rPr>
        <w:b/>
        <w:bCs/>
        <w:color w:val="0072BC"/>
      </w:rPr>
      <w:tblPr/>
      <w:tcPr>
        <w:tcBorders>
          <w:left w:val="nil"/>
          <w:right w:val="nil"/>
          <w:insideH w:val="nil"/>
          <w:insideV w:val="nil"/>
        </w:tcBorders>
        <w:shd w:val="clear" w:color="auto" w:fill="00558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semiHidden/>
    <w:rsid w:val="00D82E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semiHidden/>
    <w:rsid w:val="00D82E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6699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669900"/>
      </w:tcPr>
    </w:tblStylePr>
    <w:tblStylePr w:type="lastCol">
      <w:rPr>
        <w:b/>
        <w:bCs/>
        <w:color w:val="0072BC"/>
      </w:rPr>
      <w:tblPr/>
      <w:tcPr>
        <w:tcBorders>
          <w:left w:val="nil"/>
          <w:right w:val="nil"/>
          <w:insideH w:val="nil"/>
          <w:insideV w:val="nil"/>
        </w:tcBorders>
        <w:shd w:val="clear" w:color="auto" w:fill="6699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semiHidden/>
    <w:rsid w:val="00D82E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EB560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EB5605"/>
      </w:tcPr>
    </w:tblStylePr>
    <w:tblStylePr w:type="lastCol">
      <w:rPr>
        <w:b/>
        <w:bCs/>
        <w:color w:val="0072BC"/>
      </w:rPr>
      <w:tblPr/>
      <w:tcPr>
        <w:tcBorders>
          <w:left w:val="nil"/>
          <w:right w:val="nil"/>
          <w:insideH w:val="nil"/>
          <w:insideV w:val="nil"/>
        </w:tcBorders>
        <w:shd w:val="clear" w:color="auto" w:fill="EB5605"/>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Table3Deffects11">
    <w:name w:val="Table 3D effects 11"/>
    <w:basedOn w:val="TableNormal"/>
    <w:next w:val="Table3Deffects1"/>
    <w:uiPriority w:val="99"/>
    <w:semiHidden/>
    <w:unhideWhenUsed/>
    <w:rsid w:val="00D82EF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unhideWhenUsed/>
    <w:rsid w:val="00D82EF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unhideWhenUsed/>
    <w:rsid w:val="00D82EF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unhideWhenUsed/>
    <w:rsid w:val="00D82EF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unhideWhenUsed/>
    <w:rsid w:val="00D82EF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unhideWhenUsed/>
    <w:rsid w:val="00D82EF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unhideWhenUsed/>
    <w:rsid w:val="00D82EF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unhideWhenUsed/>
    <w:rsid w:val="00D82EF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unhideWhenUsed/>
    <w:rsid w:val="00D82EF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unhideWhenUsed/>
    <w:rsid w:val="00D82EF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unhideWhenUsed/>
    <w:rsid w:val="00D82EF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unhideWhenUsed/>
    <w:rsid w:val="00D82EF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unhideWhenUsed/>
    <w:rsid w:val="00D82EF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unhideWhenUsed/>
    <w:rsid w:val="00D82EF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unhideWhenUsed/>
    <w:rsid w:val="00D82EF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unhideWhenUsed/>
    <w:rsid w:val="00D82EF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unhideWhenUsed/>
    <w:rsid w:val="00D82EF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unhideWhenUsed/>
    <w:rsid w:val="00D82EF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unhideWhenUsed/>
    <w:rsid w:val="00D82EF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unhideWhenUsed/>
    <w:rsid w:val="00D82EF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unhideWhenUsed/>
    <w:rsid w:val="00D82EF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unhideWhenUsed/>
    <w:rsid w:val="00D82EF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unhideWhenUsed/>
    <w:rsid w:val="00D82EF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unhideWhenUsed/>
    <w:rsid w:val="00D82EF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unhideWhenUsed/>
    <w:rsid w:val="00D82EF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unhideWhenUsed/>
    <w:rsid w:val="00D82EF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unhideWhenUsed/>
    <w:rsid w:val="00D82EF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unhideWhenUsed/>
    <w:rsid w:val="00D82EF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unhideWhenUsed/>
    <w:rsid w:val="00D82EF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unhideWhenUsed/>
    <w:rsid w:val="00D82EF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unhideWhenUsed/>
    <w:rsid w:val="00D82EF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unhideWhenUsed/>
    <w:rsid w:val="00D82EF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unhideWhenUsed/>
    <w:rsid w:val="00D82EF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unhideWhenUsed/>
    <w:rsid w:val="00D82EF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unhideWhenUsed/>
    <w:rsid w:val="00D82EF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unhideWhenUsed/>
    <w:rsid w:val="00D82EF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unhideWhenUsed/>
    <w:rsid w:val="00D82EF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unhideWhenUsed/>
    <w:rsid w:val="00D82EF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unhideWhenUsed/>
    <w:rsid w:val="00D82EF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unhideWhenUsed/>
    <w:rsid w:val="00D82EF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unhideWhenUsed/>
    <w:rsid w:val="00D82EF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unhideWhenUsed/>
    <w:rsid w:val="00D82EF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unhideWhenUsed/>
    <w:rsid w:val="00D82EF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JuAppQuestion">
    <w:name w:val="Ju_App_Question"/>
    <w:basedOn w:val="Normal"/>
    <w:uiPriority w:val="5"/>
    <w:semiHidden/>
    <w:rsid w:val="006E0ED5"/>
    <w:pPr>
      <w:numPr>
        <w:numId w:val="1"/>
      </w:numPr>
    </w:pPr>
    <w:rPr>
      <w:rFonts w:eastAsiaTheme="minorEastAsia"/>
      <w:b/>
      <w:szCs w:val="22"/>
      <w:lang w:val="en-GB"/>
    </w:rPr>
  </w:style>
  <w:style w:type="paragraph" w:customStyle="1" w:styleId="OpiPara">
    <w:name w:val="Opi_Para"/>
    <w:basedOn w:val="JuPara"/>
    <w:uiPriority w:val="46"/>
    <w:rsid w:val="006E0ED5"/>
  </w:style>
  <w:style w:type="paragraph" w:customStyle="1" w:styleId="JuParaSub">
    <w:name w:val="Ju_Para_Sub"/>
    <w:basedOn w:val="JuPara"/>
    <w:uiPriority w:val="13"/>
    <w:rsid w:val="006E0ED5"/>
    <w:pPr>
      <w:ind w:left="284"/>
    </w:pPr>
  </w:style>
  <w:style w:type="paragraph" w:customStyle="1" w:styleId="JuQuotSub">
    <w:name w:val="Ju_Quot_Sub"/>
    <w:basedOn w:val="JuQuot"/>
    <w:uiPriority w:val="15"/>
    <w:rsid w:val="006E0ED5"/>
    <w:pPr>
      <w:ind w:left="567"/>
    </w:pPr>
  </w:style>
  <w:style w:type="paragraph" w:customStyle="1" w:styleId="OpiTranslation">
    <w:name w:val="Opi_Translation"/>
    <w:basedOn w:val="Normal"/>
    <w:next w:val="OpiPara"/>
    <w:uiPriority w:val="40"/>
    <w:qFormat/>
    <w:rsid w:val="006E0ED5"/>
    <w:pPr>
      <w:jc w:val="center"/>
      <w:outlineLvl w:val="0"/>
    </w:pPr>
    <w:rPr>
      <w:rFonts w:eastAsiaTheme="minorEastAsia"/>
      <w:i/>
      <w:szCs w:val="22"/>
      <w:lang w:val="en-GB"/>
    </w:rPr>
  </w:style>
  <w:style w:type="paragraph" w:customStyle="1" w:styleId="jupara0">
    <w:name w:val="jupara"/>
    <w:basedOn w:val="Normal"/>
    <w:rsid w:val="00826A64"/>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826A64"/>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133402">
      <w:bodyDiv w:val="1"/>
      <w:marLeft w:val="0"/>
      <w:marRight w:val="0"/>
      <w:marTop w:val="0"/>
      <w:marBottom w:val="0"/>
      <w:divBdr>
        <w:top w:val="none" w:sz="0" w:space="0" w:color="auto"/>
        <w:left w:val="none" w:sz="0" w:space="0" w:color="auto"/>
        <w:bottom w:val="none" w:sz="0" w:space="0" w:color="auto"/>
        <w:right w:val="none" w:sz="0" w:space="0" w:color="auto"/>
      </w:divBdr>
      <w:divsChild>
        <w:div w:id="1981231365">
          <w:marLeft w:val="0"/>
          <w:marRight w:val="0"/>
          <w:marTop w:val="0"/>
          <w:marBottom w:val="0"/>
          <w:divBdr>
            <w:top w:val="none" w:sz="0" w:space="0" w:color="auto"/>
            <w:left w:val="none" w:sz="0" w:space="0" w:color="auto"/>
            <w:bottom w:val="none" w:sz="0" w:space="0" w:color="auto"/>
            <w:right w:val="none" w:sz="0" w:space="0" w:color="auto"/>
          </w:divBdr>
          <w:divsChild>
            <w:div w:id="1719275671">
              <w:marLeft w:val="0"/>
              <w:marRight w:val="0"/>
              <w:marTop w:val="0"/>
              <w:marBottom w:val="0"/>
              <w:divBdr>
                <w:top w:val="none" w:sz="0" w:space="0" w:color="auto"/>
                <w:left w:val="none" w:sz="0" w:space="0" w:color="auto"/>
                <w:bottom w:val="none" w:sz="0" w:space="0" w:color="auto"/>
                <w:right w:val="none" w:sz="0" w:space="0" w:color="auto"/>
              </w:divBdr>
              <w:divsChild>
                <w:div w:id="1907184068">
                  <w:marLeft w:val="0"/>
                  <w:marRight w:val="0"/>
                  <w:marTop w:val="0"/>
                  <w:marBottom w:val="0"/>
                  <w:divBdr>
                    <w:top w:val="none" w:sz="0" w:space="0" w:color="auto"/>
                    <w:left w:val="none" w:sz="0" w:space="0" w:color="auto"/>
                    <w:bottom w:val="none" w:sz="0" w:space="0" w:color="auto"/>
                    <w:right w:val="none" w:sz="0" w:space="0" w:color="auto"/>
                  </w:divBdr>
                  <w:divsChild>
                    <w:div w:id="197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175481">
      <w:bodyDiv w:val="1"/>
      <w:marLeft w:val="0"/>
      <w:marRight w:val="0"/>
      <w:marTop w:val="0"/>
      <w:marBottom w:val="0"/>
      <w:divBdr>
        <w:top w:val="none" w:sz="0" w:space="0" w:color="auto"/>
        <w:left w:val="none" w:sz="0" w:space="0" w:color="auto"/>
        <w:bottom w:val="none" w:sz="0" w:space="0" w:color="auto"/>
        <w:right w:val="none" w:sz="0" w:space="0" w:color="auto"/>
      </w:divBdr>
      <w:divsChild>
        <w:div w:id="439451017">
          <w:marLeft w:val="0"/>
          <w:marRight w:val="0"/>
          <w:marTop w:val="0"/>
          <w:marBottom w:val="0"/>
          <w:divBdr>
            <w:top w:val="none" w:sz="0" w:space="0" w:color="auto"/>
            <w:left w:val="none" w:sz="0" w:space="0" w:color="auto"/>
            <w:bottom w:val="none" w:sz="0" w:space="0" w:color="auto"/>
            <w:right w:val="none" w:sz="0" w:space="0" w:color="auto"/>
          </w:divBdr>
          <w:divsChild>
            <w:div w:id="1998726744">
              <w:marLeft w:val="0"/>
              <w:marRight w:val="0"/>
              <w:marTop w:val="0"/>
              <w:marBottom w:val="0"/>
              <w:divBdr>
                <w:top w:val="none" w:sz="0" w:space="0" w:color="auto"/>
                <w:left w:val="none" w:sz="0" w:space="0" w:color="auto"/>
                <w:bottom w:val="none" w:sz="0" w:space="0" w:color="auto"/>
                <w:right w:val="none" w:sz="0" w:space="0" w:color="auto"/>
              </w:divBdr>
              <w:divsChild>
                <w:div w:id="17048795">
                  <w:marLeft w:val="0"/>
                  <w:marRight w:val="0"/>
                  <w:marTop w:val="0"/>
                  <w:marBottom w:val="0"/>
                  <w:divBdr>
                    <w:top w:val="none" w:sz="0" w:space="0" w:color="auto"/>
                    <w:left w:val="none" w:sz="0" w:space="0" w:color="auto"/>
                    <w:bottom w:val="none" w:sz="0" w:space="0" w:color="auto"/>
                    <w:right w:val="none" w:sz="0" w:space="0" w:color="auto"/>
                  </w:divBdr>
                  <w:divsChild>
                    <w:div w:id="891770049">
                      <w:marLeft w:val="0"/>
                      <w:marRight w:val="0"/>
                      <w:marTop w:val="0"/>
                      <w:marBottom w:val="0"/>
                      <w:divBdr>
                        <w:top w:val="none" w:sz="0" w:space="0" w:color="auto"/>
                        <w:left w:val="none" w:sz="0" w:space="0" w:color="auto"/>
                        <w:bottom w:val="none" w:sz="0" w:space="0" w:color="auto"/>
                        <w:right w:val="none" w:sz="0" w:space="0" w:color="auto"/>
                      </w:divBdr>
                      <w:divsChild>
                        <w:div w:id="1349988206">
                          <w:marLeft w:val="0"/>
                          <w:marRight w:val="0"/>
                          <w:marTop w:val="0"/>
                          <w:marBottom w:val="0"/>
                          <w:divBdr>
                            <w:top w:val="none" w:sz="0" w:space="0" w:color="auto"/>
                            <w:left w:val="none" w:sz="0" w:space="0" w:color="auto"/>
                            <w:bottom w:val="none" w:sz="0" w:space="0" w:color="auto"/>
                            <w:right w:val="none" w:sz="0" w:space="0" w:color="auto"/>
                          </w:divBdr>
                          <w:divsChild>
                            <w:div w:id="77857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1689673">
      <w:bodyDiv w:val="1"/>
      <w:marLeft w:val="0"/>
      <w:marRight w:val="0"/>
      <w:marTop w:val="0"/>
      <w:marBottom w:val="0"/>
      <w:divBdr>
        <w:top w:val="none" w:sz="0" w:space="0" w:color="auto"/>
        <w:left w:val="none" w:sz="0" w:space="0" w:color="auto"/>
        <w:bottom w:val="none" w:sz="0" w:space="0" w:color="auto"/>
        <w:right w:val="none" w:sz="0" w:space="0" w:color="auto"/>
      </w:divBdr>
    </w:div>
    <w:div w:id="1870871273">
      <w:bodyDiv w:val="1"/>
      <w:marLeft w:val="0"/>
      <w:marRight w:val="0"/>
      <w:marTop w:val="0"/>
      <w:marBottom w:val="0"/>
      <w:divBdr>
        <w:top w:val="none" w:sz="0" w:space="0" w:color="auto"/>
        <w:left w:val="none" w:sz="0" w:space="0" w:color="auto"/>
        <w:bottom w:val="none" w:sz="0" w:space="0" w:color="auto"/>
        <w:right w:val="none" w:sz="0" w:space="0" w:color="auto"/>
      </w:divBdr>
      <w:divsChild>
        <w:div w:id="2117092129">
          <w:marLeft w:val="0"/>
          <w:marRight w:val="0"/>
          <w:marTop w:val="0"/>
          <w:marBottom w:val="0"/>
          <w:divBdr>
            <w:top w:val="none" w:sz="0" w:space="0" w:color="auto"/>
            <w:left w:val="none" w:sz="0" w:space="0" w:color="auto"/>
            <w:bottom w:val="none" w:sz="0" w:space="0" w:color="auto"/>
            <w:right w:val="none" w:sz="0" w:space="0" w:color="auto"/>
          </w:divBdr>
          <w:divsChild>
            <w:div w:id="1043672060">
              <w:marLeft w:val="0"/>
              <w:marRight w:val="0"/>
              <w:marTop w:val="0"/>
              <w:marBottom w:val="0"/>
              <w:divBdr>
                <w:top w:val="none" w:sz="0" w:space="0" w:color="auto"/>
                <w:left w:val="none" w:sz="0" w:space="0" w:color="auto"/>
                <w:bottom w:val="none" w:sz="0" w:space="0" w:color="auto"/>
                <w:right w:val="none" w:sz="0" w:space="0" w:color="auto"/>
              </w:divBdr>
              <w:divsChild>
                <w:div w:id="736827232">
                  <w:marLeft w:val="0"/>
                  <w:marRight w:val="0"/>
                  <w:marTop w:val="0"/>
                  <w:marBottom w:val="0"/>
                  <w:divBdr>
                    <w:top w:val="none" w:sz="0" w:space="0" w:color="auto"/>
                    <w:left w:val="none" w:sz="0" w:space="0" w:color="auto"/>
                    <w:bottom w:val="none" w:sz="0" w:space="0" w:color="auto"/>
                    <w:right w:val="none" w:sz="0" w:space="0" w:color="auto"/>
                  </w:divBdr>
                  <w:divsChild>
                    <w:div w:id="1653096507">
                      <w:marLeft w:val="0"/>
                      <w:marRight w:val="0"/>
                      <w:marTop w:val="0"/>
                      <w:marBottom w:val="0"/>
                      <w:divBdr>
                        <w:top w:val="none" w:sz="0" w:space="0" w:color="auto"/>
                        <w:left w:val="none" w:sz="0" w:space="0" w:color="auto"/>
                        <w:bottom w:val="none" w:sz="0" w:space="0" w:color="auto"/>
                        <w:right w:val="none" w:sz="0" w:space="0" w:color="auto"/>
                      </w:divBdr>
                      <w:divsChild>
                        <w:div w:id="1223907727">
                          <w:marLeft w:val="0"/>
                          <w:marRight w:val="0"/>
                          <w:marTop w:val="0"/>
                          <w:marBottom w:val="0"/>
                          <w:divBdr>
                            <w:top w:val="none" w:sz="0" w:space="0" w:color="auto"/>
                            <w:left w:val="none" w:sz="0" w:space="0" w:color="auto"/>
                            <w:bottom w:val="none" w:sz="0" w:space="0" w:color="auto"/>
                            <w:right w:val="none" w:sz="0" w:space="0" w:color="auto"/>
                          </w:divBdr>
                          <w:divsChild>
                            <w:div w:id="66034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4FA1A0-D8B7-41C9-AD96-008DCCDDF2A4}">
  <ds:schemaRefs>
    <ds:schemaRef ds:uri="http://schemas.openxmlformats.org/officeDocument/2006/bibliography"/>
  </ds:schemaRefs>
</ds:datastoreItem>
</file>

<file path=customXml/itemProps2.xml><?xml version="1.0" encoding="utf-8"?>
<ds:datastoreItem xmlns:ds="http://schemas.openxmlformats.org/officeDocument/2006/customXml" ds:itemID="{9F67B0AF-B73B-411D-9D65-6AF99F396938}"/>
</file>

<file path=customXml/itemProps3.xml><?xml version="1.0" encoding="utf-8"?>
<ds:datastoreItem xmlns:ds="http://schemas.openxmlformats.org/officeDocument/2006/customXml" ds:itemID="{C8477184-E8A1-4236-8E4C-8D1831ED9EDA}"/>
</file>

<file path=customXml/itemProps4.xml><?xml version="1.0" encoding="utf-8"?>
<ds:datastoreItem xmlns:ds="http://schemas.openxmlformats.org/officeDocument/2006/customXml" ds:itemID="{FB9B7E45-7C13-459E-8A95-B7D329A9A43E}"/>
</file>

<file path=docProps/app.xml><?xml version="1.0" encoding="utf-8"?>
<Properties xmlns="http://schemas.openxmlformats.org/officeDocument/2006/extended-properties" xmlns:vt="http://schemas.openxmlformats.org/officeDocument/2006/docPropsVTypes">
  <Template>Normal.dotm</Template>
  <TotalTime>0</TotalTime>
  <Pages>1</Pages>
  <Words>18427</Words>
  <Characters>105034</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123215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2022-02-11T13:17:00Z</dcterms:created>
  <dcterms:modified xsi:type="dcterms:W3CDTF">2022-02-11T13:17:00Z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15271/16</vt:lpwstr>
  </property>
  <property fmtid="{D5CDD505-2E9C-101B-9397-08002B2CF9AE}" pid="4" name="CASEID">
    <vt:lpwstr>1188769</vt:lpwstr>
  </property>
  <property fmtid="{D5CDD505-2E9C-101B-9397-08002B2CF9AE}" pid="5" name="ContentTypeId">
    <vt:lpwstr>0x010100558EB02BDB9E204AB350EDD385B68E10</vt:lpwstr>
  </property>
</Properties>
</file>